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37A1C" w14:textId="595A56FC" w:rsidR="007B1B69" w:rsidRPr="00F50C10" w:rsidRDefault="007B1B69" w:rsidP="000B206D">
      <w:pPr>
        <w:pStyle w:val="ResimYazs"/>
        <w:spacing w:line="276" w:lineRule="auto"/>
        <w:jc w:val="center"/>
        <w:rPr>
          <w:rFonts w:cs="Times New Roman"/>
          <w:szCs w:val="24"/>
        </w:rPr>
      </w:pPr>
      <w:r w:rsidRPr="00F50C10">
        <w:rPr>
          <w:rFonts w:cs="Times New Roman"/>
          <w:szCs w:val="24"/>
        </w:rPr>
        <w:t xml:space="preserve">KİMYA </w:t>
      </w:r>
      <w:r w:rsidR="00AF2187">
        <w:rPr>
          <w:rFonts w:cs="Times New Roman"/>
          <w:szCs w:val="24"/>
        </w:rPr>
        <w:t>ENDÜSTRİSİN</w:t>
      </w:r>
      <w:r w:rsidR="00B020E7">
        <w:rPr>
          <w:rFonts w:cs="Times New Roman"/>
          <w:szCs w:val="24"/>
        </w:rPr>
        <w:t>DE</w:t>
      </w:r>
      <w:r w:rsidRPr="00F50C10">
        <w:rPr>
          <w:rFonts w:cs="Times New Roman"/>
          <w:szCs w:val="24"/>
        </w:rPr>
        <w:t xml:space="preserve"> MEVCUT EN İYİ TEKNİKLER TEBLİĞİ</w:t>
      </w:r>
      <w:r w:rsidR="00B020E7">
        <w:rPr>
          <w:rFonts w:cs="Times New Roman"/>
          <w:szCs w:val="24"/>
        </w:rPr>
        <w:t xml:space="preserve"> TASLAĞI</w:t>
      </w:r>
    </w:p>
    <w:p w14:paraId="0380539A" w14:textId="77777777" w:rsidR="007B1B69" w:rsidRPr="00F50C10" w:rsidRDefault="007B1B69" w:rsidP="000B206D">
      <w:pPr>
        <w:pStyle w:val="ResimYazs"/>
        <w:spacing w:line="276" w:lineRule="auto"/>
        <w:jc w:val="center"/>
        <w:rPr>
          <w:rFonts w:cs="Times New Roman"/>
          <w:szCs w:val="24"/>
        </w:rPr>
      </w:pPr>
      <w:r w:rsidRPr="00F50C10">
        <w:rPr>
          <w:rFonts w:cs="Times New Roman"/>
          <w:szCs w:val="24"/>
        </w:rPr>
        <w:t>BİRİNCİ</w:t>
      </w:r>
      <w:r w:rsidRPr="00F50C10">
        <w:rPr>
          <w:rFonts w:cs="Times New Roman"/>
          <w:spacing w:val="-3"/>
          <w:szCs w:val="24"/>
        </w:rPr>
        <w:t xml:space="preserve"> </w:t>
      </w:r>
      <w:r w:rsidRPr="00F50C10">
        <w:rPr>
          <w:rFonts w:cs="Times New Roman"/>
          <w:szCs w:val="24"/>
        </w:rPr>
        <w:t>BÖLÜM</w:t>
      </w:r>
    </w:p>
    <w:p w14:paraId="6D13DCBC" w14:textId="7632BD00" w:rsidR="007B1B69" w:rsidRPr="00F50C10" w:rsidRDefault="002A1746" w:rsidP="000B206D">
      <w:pPr>
        <w:pStyle w:val="ResimYazs"/>
        <w:spacing w:line="276" w:lineRule="auto"/>
        <w:jc w:val="center"/>
        <w:rPr>
          <w:rFonts w:cs="Times New Roman"/>
          <w:szCs w:val="24"/>
        </w:rPr>
      </w:pPr>
      <w:r>
        <w:rPr>
          <w:rFonts w:cs="Times New Roman"/>
          <w:szCs w:val="24"/>
        </w:rPr>
        <w:t>Başlangıç H</w:t>
      </w:r>
      <w:bookmarkStart w:id="0" w:name="_GoBack"/>
      <w:bookmarkEnd w:id="0"/>
      <w:r>
        <w:rPr>
          <w:rFonts w:cs="Times New Roman"/>
          <w:szCs w:val="24"/>
        </w:rPr>
        <w:t>ükümleri</w:t>
      </w:r>
      <w:r w:rsidR="007B1B69" w:rsidRPr="00F50C10">
        <w:rPr>
          <w:rFonts w:cs="Times New Roman"/>
          <w:szCs w:val="24"/>
        </w:rPr>
        <w:t xml:space="preserve"> </w:t>
      </w:r>
    </w:p>
    <w:p w14:paraId="2E08156E" w14:textId="77777777" w:rsidR="007B1B69" w:rsidRPr="00F50C10" w:rsidRDefault="007B1B69" w:rsidP="000B206D">
      <w:pPr>
        <w:pStyle w:val="GvdeMetni"/>
        <w:spacing w:line="276" w:lineRule="auto"/>
        <w:rPr>
          <w:b/>
          <w:sz w:val="24"/>
          <w:szCs w:val="24"/>
        </w:rPr>
      </w:pPr>
    </w:p>
    <w:p w14:paraId="072ADD7A" w14:textId="77777777" w:rsidR="007B1B69" w:rsidRPr="00F50C10" w:rsidRDefault="007B1B69" w:rsidP="000B206D">
      <w:pPr>
        <w:pStyle w:val="Balk1"/>
        <w:numPr>
          <w:ilvl w:val="0"/>
          <w:numId w:val="0"/>
        </w:numPr>
        <w:spacing w:line="276" w:lineRule="auto"/>
        <w:rPr>
          <w:rFonts w:cs="Times New Roman"/>
          <w:szCs w:val="24"/>
        </w:rPr>
      </w:pPr>
      <w:r w:rsidRPr="00F50C10">
        <w:rPr>
          <w:rFonts w:cs="Times New Roman"/>
          <w:szCs w:val="24"/>
        </w:rPr>
        <w:t>Amaç</w:t>
      </w:r>
    </w:p>
    <w:p w14:paraId="127F53DC" w14:textId="44D81537" w:rsidR="007B1B69" w:rsidRPr="00F50C10" w:rsidRDefault="007B1B69" w:rsidP="000B206D">
      <w:pPr>
        <w:pStyle w:val="Balk1"/>
        <w:numPr>
          <w:ilvl w:val="0"/>
          <w:numId w:val="0"/>
        </w:numPr>
        <w:spacing w:line="276" w:lineRule="auto"/>
        <w:rPr>
          <w:rFonts w:cs="Times New Roman"/>
          <w:b w:val="0"/>
          <w:szCs w:val="24"/>
        </w:rPr>
      </w:pPr>
      <w:r w:rsidRPr="00F50C10">
        <w:rPr>
          <w:rFonts w:cs="Times New Roman"/>
          <w:szCs w:val="24"/>
        </w:rPr>
        <w:t>MADDE 1-</w:t>
      </w:r>
      <w:r w:rsidRPr="00F50C10">
        <w:rPr>
          <w:rFonts w:cs="Times New Roman"/>
          <w:b w:val="0"/>
          <w:szCs w:val="24"/>
        </w:rPr>
        <w:t xml:space="preserve"> (1) </w:t>
      </w:r>
      <w:r w:rsidRPr="00F50C10">
        <w:rPr>
          <w:rFonts w:eastAsia="Times New Roman" w:cs="Times New Roman"/>
          <w:b w:val="0"/>
          <w:szCs w:val="24"/>
          <w:lang w:val="es-ES" w:eastAsia="es-ES"/>
        </w:rPr>
        <w:t>Bu tebliğin amacı; çevrenin</w:t>
      </w:r>
      <w:r w:rsidR="00F0590D" w:rsidRPr="00F50C10">
        <w:rPr>
          <w:rFonts w:eastAsia="Times New Roman" w:cs="Times New Roman"/>
          <w:b w:val="0"/>
          <w:szCs w:val="24"/>
          <w:lang w:val="es-ES" w:eastAsia="es-ES"/>
        </w:rPr>
        <w:t xml:space="preserve"> ve insan sağlığının </w:t>
      </w:r>
      <w:r w:rsidRPr="00F50C10">
        <w:rPr>
          <w:rFonts w:eastAsia="Times New Roman" w:cs="Times New Roman"/>
          <w:b w:val="0"/>
          <w:szCs w:val="24"/>
          <w:lang w:val="es-ES" w:eastAsia="es-ES"/>
        </w:rPr>
        <w:t xml:space="preserve">bütüncül olarak korunması için </w:t>
      </w:r>
      <w:r w:rsidR="00F0590D" w:rsidRPr="00F50C10">
        <w:rPr>
          <w:rFonts w:eastAsia="Times New Roman" w:cs="Times New Roman"/>
          <w:b w:val="0"/>
          <w:szCs w:val="24"/>
          <w:lang w:val="es-ES" w:eastAsia="es-ES"/>
        </w:rPr>
        <w:t xml:space="preserve">sıfır kirlilik hedefleri doğrultusunda entegre kirlilik önleme ve kontrol yaklaşımıyla kimya sektöründen kaynaklı </w:t>
      </w:r>
      <w:r w:rsidRPr="00F50C10">
        <w:rPr>
          <w:rFonts w:eastAsia="Times New Roman" w:cs="Times New Roman"/>
          <w:b w:val="0"/>
          <w:szCs w:val="24"/>
          <w:lang w:val="es-ES" w:eastAsia="es-ES"/>
        </w:rPr>
        <w:t>hava, su</w:t>
      </w:r>
      <w:r w:rsidR="00F0590D" w:rsidRPr="00F50C10">
        <w:rPr>
          <w:rFonts w:eastAsia="Times New Roman" w:cs="Times New Roman"/>
          <w:b w:val="0"/>
          <w:szCs w:val="24"/>
          <w:lang w:val="es-ES" w:eastAsia="es-ES"/>
        </w:rPr>
        <w:t>,</w:t>
      </w:r>
      <w:r w:rsidRPr="00F50C10">
        <w:rPr>
          <w:rFonts w:eastAsia="Times New Roman" w:cs="Times New Roman"/>
          <w:b w:val="0"/>
          <w:szCs w:val="24"/>
          <w:lang w:val="es-ES" w:eastAsia="es-ES"/>
        </w:rPr>
        <w:t xml:space="preserve"> toprak</w:t>
      </w:r>
      <w:r w:rsidR="00F0590D" w:rsidRPr="00F50C10">
        <w:rPr>
          <w:rFonts w:eastAsia="Times New Roman" w:cs="Times New Roman"/>
          <w:b w:val="0"/>
          <w:szCs w:val="24"/>
          <w:lang w:val="es-ES" w:eastAsia="es-ES"/>
        </w:rPr>
        <w:t>, gürültü ve koku kirliliğine neden olan sanayi kaynaklı</w:t>
      </w:r>
      <w:r w:rsidRPr="00F50C10">
        <w:rPr>
          <w:rFonts w:eastAsia="Times New Roman" w:cs="Times New Roman"/>
          <w:b w:val="0"/>
          <w:szCs w:val="24"/>
          <w:lang w:val="es-ES" w:eastAsia="es-ES"/>
        </w:rPr>
        <w:t xml:space="preserve"> emisyonları</w:t>
      </w:r>
      <w:r w:rsidR="00F0590D" w:rsidRPr="00F50C10">
        <w:rPr>
          <w:rFonts w:eastAsia="Times New Roman" w:cs="Times New Roman"/>
          <w:b w:val="0"/>
          <w:szCs w:val="24"/>
          <w:lang w:val="es-ES" w:eastAsia="es-ES"/>
        </w:rPr>
        <w:t xml:space="preserve"> ve atık oluşumunu kaynağında</w:t>
      </w:r>
      <w:r w:rsidRPr="00F50C10">
        <w:rPr>
          <w:rFonts w:eastAsia="Times New Roman" w:cs="Times New Roman"/>
          <w:b w:val="0"/>
          <w:szCs w:val="24"/>
          <w:lang w:val="es-ES" w:eastAsia="es-ES"/>
        </w:rPr>
        <w:t xml:space="preserve"> önlemek</w:t>
      </w:r>
      <w:r w:rsidR="00F0590D" w:rsidRPr="00F50C10">
        <w:rPr>
          <w:rFonts w:eastAsia="Times New Roman" w:cs="Times New Roman"/>
          <w:b w:val="0"/>
          <w:szCs w:val="24"/>
          <w:lang w:val="es-ES" w:eastAsia="es-ES"/>
        </w:rPr>
        <w:t xml:space="preserve"> ve</w:t>
      </w:r>
      <w:r w:rsidRPr="00F50C10">
        <w:rPr>
          <w:rFonts w:eastAsia="Times New Roman" w:cs="Times New Roman"/>
          <w:b w:val="0"/>
          <w:szCs w:val="24"/>
          <w:lang w:val="es-ES" w:eastAsia="es-ES"/>
        </w:rPr>
        <w:t xml:space="preserve"> </w:t>
      </w:r>
      <w:r w:rsidR="00F0590D" w:rsidRPr="00F50C10">
        <w:rPr>
          <w:rFonts w:eastAsia="Times New Roman" w:cs="Times New Roman"/>
          <w:b w:val="0"/>
          <w:szCs w:val="24"/>
          <w:lang w:val="es-ES" w:eastAsia="es-ES"/>
        </w:rPr>
        <w:t>azaltmak</w:t>
      </w:r>
      <w:r w:rsidRPr="00F50C10">
        <w:rPr>
          <w:rFonts w:eastAsia="Times New Roman" w:cs="Times New Roman"/>
          <w:b w:val="0"/>
          <w:szCs w:val="24"/>
          <w:lang w:val="es-ES" w:eastAsia="es-ES"/>
        </w:rPr>
        <w:t xml:space="preserve"> </w:t>
      </w:r>
      <w:r w:rsidR="00F0590D" w:rsidRPr="00F50C10">
        <w:rPr>
          <w:rFonts w:eastAsia="Times New Roman" w:cs="Times New Roman"/>
          <w:b w:val="0"/>
          <w:szCs w:val="24"/>
          <w:lang w:val="es-ES" w:eastAsia="es-ES"/>
        </w:rPr>
        <w:t>ile kaynakları verimli kullanmak için sanayide yeşil dönüşüme, döngüsel ekonomiye ve karbonsuzlaşmaya yönelik</w:t>
      </w:r>
      <w:r w:rsidRPr="00F50C10">
        <w:rPr>
          <w:rFonts w:eastAsia="Times New Roman" w:cs="Times New Roman"/>
          <w:b w:val="0"/>
          <w:szCs w:val="24"/>
          <w:lang w:val="es-ES" w:eastAsia="es-ES"/>
        </w:rPr>
        <w:t xml:space="preserve"> işletmelere Sanayide Yeşil Dönüşüm Belgelendirme sürecine esas Mevcut En İyi Teknikler (MET) ile Mevcut En İyi Teknikler ile ilişkili emisyon seviyelerini (MET-İES)  düzenlemektir.</w:t>
      </w:r>
    </w:p>
    <w:p w14:paraId="39C0DDCA" w14:textId="77777777" w:rsidR="007B1B69" w:rsidRPr="00F50C10" w:rsidRDefault="007B1B69" w:rsidP="000B206D">
      <w:pPr>
        <w:pStyle w:val="Balk1"/>
        <w:numPr>
          <w:ilvl w:val="0"/>
          <w:numId w:val="0"/>
        </w:numPr>
        <w:spacing w:line="276" w:lineRule="auto"/>
        <w:rPr>
          <w:rFonts w:cs="Times New Roman"/>
          <w:szCs w:val="24"/>
        </w:rPr>
      </w:pPr>
      <w:r w:rsidRPr="00F50C10">
        <w:rPr>
          <w:rFonts w:cs="Times New Roman"/>
          <w:szCs w:val="24"/>
        </w:rPr>
        <w:t>Kapsam</w:t>
      </w:r>
    </w:p>
    <w:p w14:paraId="7B77EC56" w14:textId="545D76F8" w:rsidR="007B1B69" w:rsidRPr="00F50C10" w:rsidRDefault="007B1B69" w:rsidP="000B206D">
      <w:pPr>
        <w:pStyle w:val="Balk1"/>
        <w:numPr>
          <w:ilvl w:val="0"/>
          <w:numId w:val="0"/>
        </w:numPr>
        <w:spacing w:line="276" w:lineRule="auto"/>
        <w:rPr>
          <w:rFonts w:cs="Times New Roman"/>
          <w:szCs w:val="24"/>
        </w:rPr>
      </w:pPr>
      <w:r w:rsidRPr="00F50C10">
        <w:rPr>
          <w:rFonts w:cs="Times New Roman"/>
          <w:szCs w:val="24"/>
        </w:rPr>
        <w:t xml:space="preserve">MADDE 2- </w:t>
      </w:r>
      <w:r w:rsidRPr="00F50C10">
        <w:rPr>
          <w:rFonts w:cs="Times New Roman"/>
          <w:b w:val="0"/>
          <w:szCs w:val="24"/>
        </w:rPr>
        <w:t xml:space="preserve">(1) Bu tebliğ, Yönetmelik Ek-1’de </w:t>
      </w:r>
      <w:r w:rsidRPr="00F50C10">
        <w:rPr>
          <w:rFonts w:eastAsia="Times New Roman" w:cs="Times New Roman"/>
          <w:b w:val="0"/>
          <w:szCs w:val="24"/>
          <w:lang w:val="es-ES" w:eastAsia="es-ES"/>
        </w:rPr>
        <w:t xml:space="preserve">yer alan </w:t>
      </w:r>
      <w:r w:rsidR="00CE7AA8" w:rsidRPr="00F50C10">
        <w:rPr>
          <w:rFonts w:eastAsia="Times New Roman" w:cs="Times New Roman"/>
          <w:b w:val="0"/>
          <w:szCs w:val="24"/>
          <w:lang w:val="es-ES" w:eastAsia="es-ES"/>
        </w:rPr>
        <w:t>4. Kimya Endüstrisini kapsar. (</w:t>
      </w:r>
      <w:r w:rsidRPr="00F50C10">
        <w:rPr>
          <w:rFonts w:eastAsia="Times New Roman" w:cs="Times New Roman"/>
          <w:b w:val="0"/>
          <w:szCs w:val="24"/>
          <w:lang w:val="es-ES" w:eastAsia="es-ES"/>
        </w:rPr>
        <w:t xml:space="preserve">4.1’den 4.6’ya kadar belirtilen maddelerin veya madde gruplarının kimyasal veya biyolojik tepkimeyle endüstriyel ölçekte üretimi anlamındadır. </w:t>
      </w:r>
      <w:r w:rsidR="00CE7AA8" w:rsidRPr="00F50C10">
        <w:rPr>
          <w:rFonts w:eastAsia="Times New Roman" w:cs="Times New Roman"/>
          <w:b w:val="0"/>
          <w:szCs w:val="24"/>
          <w:lang w:val="es-ES" w:eastAsia="es-ES"/>
        </w:rPr>
        <w:t>)</w:t>
      </w:r>
    </w:p>
    <w:p w14:paraId="42B2A66A" w14:textId="0BF35BC7" w:rsidR="007B1B69" w:rsidRPr="00F50C10" w:rsidRDefault="007B1B69" w:rsidP="00A654AE">
      <w:pPr>
        <w:pStyle w:val="ListeParagraf"/>
        <w:numPr>
          <w:ilvl w:val="1"/>
          <w:numId w:val="141"/>
        </w:numPr>
        <w:tabs>
          <w:tab w:val="left" w:pos="475"/>
        </w:tabs>
        <w:spacing w:line="276" w:lineRule="auto"/>
        <w:rPr>
          <w:rFonts w:eastAsia="Times New Roman" w:cs="Times New Roman"/>
          <w:szCs w:val="24"/>
        </w:rPr>
      </w:pPr>
      <w:r w:rsidRPr="00F50C10">
        <w:rPr>
          <w:rFonts w:eastAsia="Times New Roman" w:cs="Times New Roman"/>
          <w:szCs w:val="24"/>
        </w:rPr>
        <w:t>Organik kimyasalların üretimi, örneğin:</w:t>
      </w:r>
    </w:p>
    <w:p w14:paraId="5AA6FE0F" w14:textId="568F06B5" w:rsidR="007B1B69" w:rsidRPr="00F50C10" w:rsidRDefault="007B1B69" w:rsidP="00A654AE">
      <w:pPr>
        <w:pStyle w:val="ListeParagraf"/>
        <w:widowControl w:val="0"/>
        <w:numPr>
          <w:ilvl w:val="0"/>
          <w:numId w:val="139"/>
        </w:numPr>
        <w:pBdr>
          <w:top w:val="nil"/>
          <w:left w:val="nil"/>
          <w:bottom w:val="nil"/>
          <w:right w:val="nil"/>
          <w:between w:val="nil"/>
        </w:pBdr>
        <w:tabs>
          <w:tab w:val="left" w:pos="426"/>
        </w:tabs>
        <w:spacing w:line="276" w:lineRule="auto"/>
        <w:rPr>
          <w:rFonts w:eastAsia="Times New Roman" w:cs="Times New Roman"/>
          <w:szCs w:val="24"/>
        </w:rPr>
      </w:pPr>
      <w:r w:rsidRPr="00F50C10">
        <w:rPr>
          <w:rFonts w:eastAsia="Times New Roman" w:cs="Times New Roman"/>
          <w:szCs w:val="24"/>
        </w:rPr>
        <w:t xml:space="preserve">Basit hidrokarbonlar (düz zincirli, halkalı, doymuş, doymamış, alifatik veya aromatik); </w:t>
      </w:r>
    </w:p>
    <w:p w14:paraId="536D5F36" w14:textId="2F7B88F0" w:rsidR="007B1B69" w:rsidRPr="00F50C10" w:rsidRDefault="007B1B69" w:rsidP="00A654AE">
      <w:pPr>
        <w:pStyle w:val="ListeParagraf"/>
        <w:widowControl w:val="0"/>
        <w:numPr>
          <w:ilvl w:val="0"/>
          <w:numId w:val="139"/>
        </w:numPr>
        <w:pBdr>
          <w:top w:val="nil"/>
          <w:left w:val="nil"/>
          <w:bottom w:val="nil"/>
          <w:right w:val="nil"/>
          <w:between w:val="nil"/>
        </w:pBdr>
        <w:tabs>
          <w:tab w:val="left" w:pos="426"/>
        </w:tabs>
        <w:spacing w:line="276" w:lineRule="auto"/>
        <w:rPr>
          <w:rFonts w:eastAsia="Times New Roman" w:cs="Times New Roman"/>
          <w:szCs w:val="24"/>
        </w:rPr>
      </w:pPr>
      <w:r w:rsidRPr="00F50C10">
        <w:rPr>
          <w:rFonts w:eastAsia="Times New Roman" w:cs="Times New Roman"/>
          <w:szCs w:val="24"/>
        </w:rPr>
        <w:t xml:space="preserve">Alkoller, aldehitler, ketonlar, karboksilik asit, esterler ve ester, asetat, eter, peroksit, epoksi reçineleri karışımları gibi oksijen içeren </w:t>
      </w:r>
      <w:r w:rsidR="00D4361D" w:rsidRPr="00F50C10">
        <w:rPr>
          <w:rFonts w:eastAsia="Times New Roman" w:cs="Times New Roman"/>
          <w:szCs w:val="24"/>
        </w:rPr>
        <w:t>hidrokarbonlar</w:t>
      </w:r>
      <w:r w:rsidRPr="00F50C10">
        <w:rPr>
          <w:rFonts w:eastAsia="Times New Roman" w:cs="Times New Roman"/>
          <w:szCs w:val="24"/>
        </w:rPr>
        <w:t>,</w:t>
      </w:r>
    </w:p>
    <w:p w14:paraId="25EA8BB0" w14:textId="31413282" w:rsidR="007B1B69" w:rsidRPr="00F50C10" w:rsidRDefault="007B1B69" w:rsidP="00A654AE">
      <w:pPr>
        <w:pStyle w:val="ListeParagraf"/>
        <w:widowControl w:val="0"/>
        <w:numPr>
          <w:ilvl w:val="0"/>
          <w:numId w:val="139"/>
        </w:numPr>
        <w:pBdr>
          <w:top w:val="nil"/>
          <w:left w:val="nil"/>
          <w:bottom w:val="nil"/>
          <w:right w:val="nil"/>
          <w:between w:val="nil"/>
        </w:pBdr>
        <w:tabs>
          <w:tab w:val="left" w:pos="426"/>
        </w:tabs>
        <w:spacing w:line="276" w:lineRule="auto"/>
        <w:rPr>
          <w:rFonts w:eastAsia="Times New Roman" w:cs="Times New Roman"/>
          <w:szCs w:val="24"/>
        </w:rPr>
      </w:pPr>
      <w:r w:rsidRPr="00F50C10">
        <w:rPr>
          <w:rFonts w:eastAsia="Times New Roman" w:cs="Times New Roman"/>
          <w:szCs w:val="24"/>
        </w:rPr>
        <w:t xml:space="preserve">Sülfürlü </w:t>
      </w:r>
      <w:r w:rsidR="00D4361D" w:rsidRPr="00F50C10">
        <w:rPr>
          <w:rFonts w:eastAsia="Times New Roman" w:cs="Times New Roman"/>
          <w:szCs w:val="24"/>
        </w:rPr>
        <w:t>hidrokarbonlar</w:t>
      </w:r>
      <w:r w:rsidRPr="00F50C10">
        <w:rPr>
          <w:rFonts w:eastAsia="Times New Roman" w:cs="Times New Roman"/>
          <w:szCs w:val="24"/>
        </w:rPr>
        <w:t>,</w:t>
      </w:r>
    </w:p>
    <w:p w14:paraId="31FD9616" w14:textId="1DD814F4" w:rsidR="007B1B69" w:rsidRPr="00F50C10" w:rsidRDefault="007B1B69" w:rsidP="00A654AE">
      <w:pPr>
        <w:pStyle w:val="ListeParagraf"/>
        <w:widowControl w:val="0"/>
        <w:numPr>
          <w:ilvl w:val="0"/>
          <w:numId w:val="139"/>
        </w:numPr>
        <w:pBdr>
          <w:top w:val="nil"/>
          <w:left w:val="nil"/>
          <w:bottom w:val="nil"/>
          <w:right w:val="nil"/>
          <w:between w:val="nil"/>
        </w:pBdr>
        <w:tabs>
          <w:tab w:val="left" w:pos="426"/>
        </w:tabs>
        <w:spacing w:line="276" w:lineRule="auto"/>
        <w:rPr>
          <w:rFonts w:eastAsia="Times New Roman" w:cs="Times New Roman"/>
          <w:szCs w:val="24"/>
        </w:rPr>
      </w:pPr>
      <w:r w:rsidRPr="00F50C10">
        <w:rPr>
          <w:rFonts w:eastAsia="Times New Roman" w:cs="Times New Roman"/>
          <w:szCs w:val="24"/>
        </w:rPr>
        <w:t>Aminler, amitler, azot bileşikleri, nitro bileşikler, nitrat bileşikleri, nitriller, siyanatlar, izosiyanatlar gibi azotlu organi</w:t>
      </w:r>
      <w:r w:rsidR="000F2ABD" w:rsidRPr="00F50C10">
        <w:rPr>
          <w:rFonts w:eastAsia="Times New Roman" w:cs="Times New Roman"/>
          <w:szCs w:val="24"/>
        </w:rPr>
        <w:t>k</w:t>
      </w:r>
      <w:r w:rsidRPr="00F50C10">
        <w:rPr>
          <w:rFonts w:eastAsia="Times New Roman" w:cs="Times New Roman"/>
          <w:szCs w:val="24"/>
        </w:rPr>
        <w:t xml:space="preserve"> bileşikler,</w:t>
      </w:r>
    </w:p>
    <w:p w14:paraId="687397D7" w14:textId="2D3B7E78" w:rsidR="007B1B69" w:rsidRPr="00F50C10" w:rsidRDefault="007B1B69" w:rsidP="00A654AE">
      <w:pPr>
        <w:pStyle w:val="ListeParagraf"/>
        <w:widowControl w:val="0"/>
        <w:numPr>
          <w:ilvl w:val="0"/>
          <w:numId w:val="139"/>
        </w:numPr>
        <w:pBdr>
          <w:top w:val="nil"/>
          <w:left w:val="nil"/>
          <w:bottom w:val="nil"/>
          <w:right w:val="nil"/>
          <w:between w:val="nil"/>
        </w:pBdr>
        <w:tabs>
          <w:tab w:val="left" w:pos="426"/>
        </w:tabs>
        <w:spacing w:line="276" w:lineRule="auto"/>
        <w:rPr>
          <w:rFonts w:eastAsia="Times New Roman" w:cs="Times New Roman"/>
          <w:szCs w:val="24"/>
        </w:rPr>
      </w:pPr>
      <w:r w:rsidRPr="00F50C10">
        <w:rPr>
          <w:rFonts w:eastAsia="Times New Roman" w:cs="Times New Roman"/>
          <w:szCs w:val="24"/>
        </w:rPr>
        <w:t xml:space="preserve">Fosfor içeren </w:t>
      </w:r>
      <w:r w:rsidR="00D4361D" w:rsidRPr="00F50C10">
        <w:rPr>
          <w:rFonts w:eastAsia="Times New Roman" w:cs="Times New Roman"/>
          <w:szCs w:val="24"/>
        </w:rPr>
        <w:t>hidrokarbonlar</w:t>
      </w:r>
      <w:r w:rsidRPr="00F50C10">
        <w:rPr>
          <w:rFonts w:eastAsia="Times New Roman" w:cs="Times New Roman"/>
          <w:szCs w:val="24"/>
        </w:rPr>
        <w:t>,</w:t>
      </w:r>
    </w:p>
    <w:p w14:paraId="359508BE" w14:textId="5E6F81E1" w:rsidR="007B1B69" w:rsidRPr="00F50C10" w:rsidRDefault="007B1B69" w:rsidP="00A654AE">
      <w:pPr>
        <w:pStyle w:val="ListeParagraf"/>
        <w:widowControl w:val="0"/>
        <w:numPr>
          <w:ilvl w:val="0"/>
          <w:numId w:val="139"/>
        </w:numPr>
        <w:pBdr>
          <w:top w:val="nil"/>
          <w:left w:val="nil"/>
          <w:bottom w:val="nil"/>
          <w:right w:val="nil"/>
          <w:between w:val="nil"/>
        </w:pBdr>
        <w:tabs>
          <w:tab w:val="left" w:pos="426"/>
        </w:tabs>
        <w:spacing w:line="276" w:lineRule="auto"/>
        <w:rPr>
          <w:rFonts w:eastAsia="Times New Roman" w:cs="Times New Roman"/>
          <w:szCs w:val="24"/>
        </w:rPr>
      </w:pPr>
      <w:r w:rsidRPr="00F50C10">
        <w:rPr>
          <w:rFonts w:eastAsia="Times New Roman" w:cs="Times New Roman"/>
          <w:szCs w:val="24"/>
        </w:rPr>
        <w:t xml:space="preserve">Halojenli </w:t>
      </w:r>
      <w:r w:rsidR="00D4361D" w:rsidRPr="00F50C10">
        <w:rPr>
          <w:rFonts w:eastAsia="Times New Roman" w:cs="Times New Roman"/>
          <w:szCs w:val="24"/>
        </w:rPr>
        <w:t>hidrokarbonlar</w:t>
      </w:r>
      <w:r w:rsidRPr="00F50C10">
        <w:rPr>
          <w:rFonts w:eastAsia="Times New Roman" w:cs="Times New Roman"/>
          <w:szCs w:val="24"/>
        </w:rPr>
        <w:t>,</w:t>
      </w:r>
    </w:p>
    <w:p w14:paraId="317D419B" w14:textId="715777E2" w:rsidR="007B1B69" w:rsidRPr="00F50C10" w:rsidRDefault="007B1B69" w:rsidP="00A654AE">
      <w:pPr>
        <w:pStyle w:val="ListeParagraf"/>
        <w:widowControl w:val="0"/>
        <w:numPr>
          <w:ilvl w:val="0"/>
          <w:numId w:val="139"/>
        </w:numPr>
        <w:pBdr>
          <w:top w:val="nil"/>
          <w:left w:val="nil"/>
          <w:bottom w:val="nil"/>
          <w:right w:val="nil"/>
          <w:between w:val="nil"/>
        </w:pBdr>
        <w:tabs>
          <w:tab w:val="left" w:pos="426"/>
        </w:tabs>
        <w:spacing w:line="276" w:lineRule="auto"/>
        <w:rPr>
          <w:rFonts w:eastAsia="Times New Roman" w:cs="Times New Roman"/>
          <w:szCs w:val="24"/>
        </w:rPr>
      </w:pPr>
      <w:r w:rsidRPr="00F50C10">
        <w:rPr>
          <w:rFonts w:eastAsia="Times New Roman" w:cs="Times New Roman"/>
          <w:szCs w:val="24"/>
        </w:rPr>
        <w:t>Organometalik bileşikler,</w:t>
      </w:r>
    </w:p>
    <w:p w14:paraId="2D4AB652" w14:textId="4889834B" w:rsidR="007B1B69" w:rsidRPr="00F50C10" w:rsidRDefault="007B1B69" w:rsidP="00A654AE">
      <w:pPr>
        <w:pStyle w:val="ListeParagraf"/>
        <w:widowControl w:val="0"/>
        <w:numPr>
          <w:ilvl w:val="0"/>
          <w:numId w:val="139"/>
        </w:numPr>
        <w:pBdr>
          <w:top w:val="nil"/>
          <w:left w:val="nil"/>
          <w:bottom w:val="nil"/>
          <w:right w:val="nil"/>
          <w:between w:val="nil"/>
        </w:pBdr>
        <w:tabs>
          <w:tab w:val="left" w:pos="426"/>
        </w:tabs>
        <w:spacing w:line="276" w:lineRule="auto"/>
        <w:rPr>
          <w:rFonts w:eastAsia="Times New Roman" w:cs="Times New Roman"/>
          <w:szCs w:val="24"/>
        </w:rPr>
      </w:pPr>
      <w:r w:rsidRPr="00F50C10">
        <w:rPr>
          <w:rFonts w:eastAsia="Times New Roman" w:cs="Times New Roman"/>
          <w:szCs w:val="24"/>
        </w:rPr>
        <w:t>Plastik materyaller (polimer, sentetik elyaf ve selüloz bazlı elyaf),</w:t>
      </w:r>
    </w:p>
    <w:p w14:paraId="2641278E" w14:textId="3E05E6DC" w:rsidR="007B1B69" w:rsidRPr="00F50C10" w:rsidRDefault="007B1B69" w:rsidP="00A654AE">
      <w:pPr>
        <w:pStyle w:val="ListeParagraf"/>
        <w:widowControl w:val="0"/>
        <w:numPr>
          <w:ilvl w:val="0"/>
          <w:numId w:val="139"/>
        </w:numPr>
        <w:pBdr>
          <w:top w:val="nil"/>
          <w:left w:val="nil"/>
          <w:bottom w:val="nil"/>
          <w:right w:val="nil"/>
          <w:between w:val="nil"/>
        </w:pBdr>
        <w:tabs>
          <w:tab w:val="left" w:pos="426"/>
        </w:tabs>
        <w:spacing w:line="276" w:lineRule="auto"/>
        <w:rPr>
          <w:rFonts w:eastAsia="Times New Roman" w:cs="Times New Roman"/>
          <w:szCs w:val="24"/>
        </w:rPr>
      </w:pPr>
      <w:r w:rsidRPr="00F50C10">
        <w:rPr>
          <w:rFonts w:eastAsia="Times New Roman" w:cs="Times New Roman"/>
          <w:szCs w:val="24"/>
        </w:rPr>
        <w:t>Sentetik kauçuk,</w:t>
      </w:r>
    </w:p>
    <w:p w14:paraId="2C973C2B" w14:textId="2BBE9231" w:rsidR="007B1B69" w:rsidRPr="00F50C10" w:rsidRDefault="007B1B69" w:rsidP="00A654AE">
      <w:pPr>
        <w:pStyle w:val="ListeParagraf"/>
        <w:widowControl w:val="0"/>
        <w:numPr>
          <w:ilvl w:val="0"/>
          <w:numId w:val="139"/>
        </w:numPr>
        <w:pBdr>
          <w:top w:val="nil"/>
          <w:left w:val="nil"/>
          <w:bottom w:val="nil"/>
          <w:right w:val="nil"/>
          <w:between w:val="nil"/>
        </w:pBdr>
        <w:tabs>
          <w:tab w:val="left" w:pos="426"/>
        </w:tabs>
        <w:spacing w:line="276" w:lineRule="auto"/>
        <w:rPr>
          <w:rFonts w:eastAsia="Times New Roman" w:cs="Times New Roman"/>
          <w:szCs w:val="24"/>
        </w:rPr>
      </w:pPr>
      <w:r w:rsidRPr="00F50C10">
        <w:rPr>
          <w:rFonts w:eastAsia="Times New Roman" w:cs="Times New Roman"/>
          <w:szCs w:val="24"/>
        </w:rPr>
        <w:t>Boyalar ve pigmentler, reaksiyon sonucu oluşan boyar madde veya boya yarı mamülünün üretimi (karışım işlemleri hariçtir)</w:t>
      </w:r>
    </w:p>
    <w:p w14:paraId="40EBFF55" w14:textId="05A89F46" w:rsidR="007B1B69" w:rsidRPr="00F50C10" w:rsidRDefault="007B1B69" w:rsidP="00A654AE">
      <w:pPr>
        <w:pStyle w:val="ListeParagraf"/>
        <w:widowControl w:val="0"/>
        <w:numPr>
          <w:ilvl w:val="0"/>
          <w:numId w:val="139"/>
        </w:numPr>
        <w:pBdr>
          <w:top w:val="nil"/>
          <w:left w:val="nil"/>
          <w:bottom w:val="nil"/>
          <w:right w:val="nil"/>
          <w:between w:val="nil"/>
        </w:pBdr>
        <w:tabs>
          <w:tab w:val="left" w:pos="426"/>
        </w:tabs>
        <w:spacing w:line="276" w:lineRule="auto"/>
        <w:rPr>
          <w:rFonts w:eastAsia="Times New Roman" w:cs="Times New Roman"/>
          <w:szCs w:val="24"/>
        </w:rPr>
      </w:pPr>
      <w:r w:rsidRPr="00F50C10">
        <w:rPr>
          <w:rFonts w:eastAsia="Times New Roman" w:cs="Times New Roman"/>
          <w:szCs w:val="24"/>
        </w:rPr>
        <w:t xml:space="preserve">Yüzey aktif ve </w:t>
      </w:r>
      <w:r w:rsidR="008B56C4" w:rsidRPr="00F50C10">
        <w:rPr>
          <w:rFonts w:eastAsia="Times New Roman" w:cs="Times New Roman"/>
          <w:szCs w:val="24"/>
        </w:rPr>
        <w:t xml:space="preserve">sürfaktif </w:t>
      </w:r>
      <w:r w:rsidRPr="00F50C10">
        <w:rPr>
          <w:rFonts w:eastAsia="Times New Roman" w:cs="Times New Roman"/>
          <w:szCs w:val="24"/>
        </w:rPr>
        <w:t>maddeler.</w:t>
      </w:r>
    </w:p>
    <w:p w14:paraId="38AF452F" w14:textId="60C44EA6" w:rsidR="007B1B69" w:rsidRPr="00F50C10" w:rsidRDefault="007B1B69" w:rsidP="00A654AE">
      <w:pPr>
        <w:pStyle w:val="ListeParagraf"/>
        <w:widowControl w:val="0"/>
        <w:numPr>
          <w:ilvl w:val="1"/>
          <w:numId w:val="141"/>
        </w:numPr>
        <w:pBdr>
          <w:top w:val="nil"/>
          <w:left w:val="nil"/>
          <w:bottom w:val="nil"/>
          <w:right w:val="nil"/>
          <w:between w:val="nil"/>
        </w:pBdr>
        <w:tabs>
          <w:tab w:val="left" w:pos="426"/>
        </w:tabs>
        <w:spacing w:line="276" w:lineRule="auto"/>
        <w:rPr>
          <w:rFonts w:eastAsia="Times New Roman" w:cs="Times New Roman"/>
          <w:szCs w:val="24"/>
        </w:rPr>
      </w:pPr>
      <w:r w:rsidRPr="00F50C10">
        <w:rPr>
          <w:rFonts w:eastAsia="Times New Roman" w:cs="Times New Roman"/>
          <w:szCs w:val="24"/>
        </w:rPr>
        <w:t>İnorganik kimyasalların üretimi, örneğin:</w:t>
      </w:r>
    </w:p>
    <w:p w14:paraId="36FDE5BB" w14:textId="69BA06E8" w:rsidR="007B1B69" w:rsidRPr="00F50C10" w:rsidRDefault="007B1B69" w:rsidP="00A654AE">
      <w:pPr>
        <w:pStyle w:val="ListeParagraf"/>
        <w:widowControl w:val="0"/>
        <w:numPr>
          <w:ilvl w:val="0"/>
          <w:numId w:val="140"/>
        </w:numPr>
        <w:pBdr>
          <w:top w:val="nil"/>
          <w:left w:val="nil"/>
          <w:bottom w:val="nil"/>
          <w:right w:val="nil"/>
          <w:between w:val="nil"/>
        </w:pBdr>
        <w:tabs>
          <w:tab w:val="left" w:pos="426"/>
        </w:tabs>
        <w:spacing w:line="276" w:lineRule="auto"/>
        <w:rPr>
          <w:rFonts w:eastAsia="Times New Roman" w:cs="Times New Roman"/>
          <w:szCs w:val="24"/>
        </w:rPr>
      </w:pPr>
      <w:r w:rsidRPr="00F50C10">
        <w:rPr>
          <w:rFonts w:eastAsia="Times New Roman" w:cs="Times New Roman"/>
          <w:szCs w:val="24"/>
        </w:rPr>
        <w:t>Amonyak, klor veya hidrojen klorür, flor veya hidrojen florür, karbon oksitler, kükürt bileşikleri, kükürt dioksit, karbonil klorür gibi gazlar,</w:t>
      </w:r>
    </w:p>
    <w:p w14:paraId="4562FF9D" w14:textId="03AD7D8F" w:rsidR="007B1B69" w:rsidRPr="00F50C10" w:rsidRDefault="007B1B69" w:rsidP="00A654AE">
      <w:pPr>
        <w:pStyle w:val="ListeParagraf"/>
        <w:widowControl w:val="0"/>
        <w:numPr>
          <w:ilvl w:val="0"/>
          <w:numId w:val="140"/>
        </w:numPr>
        <w:pBdr>
          <w:top w:val="nil"/>
          <w:left w:val="nil"/>
          <w:bottom w:val="nil"/>
          <w:right w:val="nil"/>
          <w:between w:val="nil"/>
        </w:pBdr>
        <w:tabs>
          <w:tab w:val="left" w:pos="426"/>
        </w:tabs>
        <w:spacing w:line="276" w:lineRule="auto"/>
        <w:rPr>
          <w:rFonts w:eastAsia="Times New Roman" w:cs="Times New Roman"/>
          <w:szCs w:val="24"/>
        </w:rPr>
      </w:pPr>
      <w:r w:rsidRPr="00F50C10">
        <w:rPr>
          <w:rFonts w:eastAsia="Times New Roman" w:cs="Times New Roman"/>
          <w:szCs w:val="24"/>
        </w:rPr>
        <w:t>Kromik asit, hidroflorik asit, fosforik asit, nitrik asit, hidroklorik asit, sülfürik asit, oleum, sülfürlü  asitler gibi asitler,</w:t>
      </w:r>
    </w:p>
    <w:p w14:paraId="01F50B39" w14:textId="221AF7C2" w:rsidR="007B1B69" w:rsidRPr="00F50C10" w:rsidRDefault="007B1B69" w:rsidP="00A654AE">
      <w:pPr>
        <w:pStyle w:val="ListeParagraf"/>
        <w:widowControl w:val="0"/>
        <w:numPr>
          <w:ilvl w:val="0"/>
          <w:numId w:val="140"/>
        </w:numPr>
        <w:pBdr>
          <w:top w:val="nil"/>
          <w:left w:val="nil"/>
          <w:bottom w:val="nil"/>
          <w:right w:val="nil"/>
          <w:between w:val="nil"/>
        </w:pBdr>
        <w:tabs>
          <w:tab w:val="left" w:pos="426"/>
        </w:tabs>
        <w:spacing w:line="276" w:lineRule="auto"/>
        <w:rPr>
          <w:rFonts w:eastAsia="Times New Roman" w:cs="Times New Roman"/>
          <w:szCs w:val="24"/>
        </w:rPr>
      </w:pPr>
      <w:r w:rsidRPr="00F50C10">
        <w:rPr>
          <w:rFonts w:eastAsia="Times New Roman" w:cs="Times New Roman"/>
          <w:szCs w:val="24"/>
        </w:rPr>
        <w:t>Amonyum hidroksit, potasyum hidroksit, sodyum hidroksit gibi bazlar,</w:t>
      </w:r>
    </w:p>
    <w:p w14:paraId="30BC2D60" w14:textId="2967312C" w:rsidR="007B1B69" w:rsidRPr="00F50C10" w:rsidRDefault="007B1B69" w:rsidP="00A654AE">
      <w:pPr>
        <w:pStyle w:val="ListeParagraf"/>
        <w:widowControl w:val="0"/>
        <w:numPr>
          <w:ilvl w:val="0"/>
          <w:numId w:val="140"/>
        </w:numPr>
        <w:pBdr>
          <w:top w:val="nil"/>
          <w:left w:val="nil"/>
          <w:bottom w:val="nil"/>
          <w:right w:val="nil"/>
          <w:between w:val="nil"/>
        </w:pBdr>
        <w:tabs>
          <w:tab w:val="left" w:pos="426"/>
        </w:tabs>
        <w:spacing w:line="276" w:lineRule="auto"/>
        <w:rPr>
          <w:rFonts w:eastAsia="Times New Roman" w:cs="Times New Roman"/>
          <w:szCs w:val="24"/>
        </w:rPr>
      </w:pPr>
      <w:r w:rsidRPr="00F50C10">
        <w:rPr>
          <w:rFonts w:eastAsia="Times New Roman" w:cs="Times New Roman"/>
          <w:szCs w:val="24"/>
        </w:rPr>
        <w:t>Amonyum klorür, potasyum klorat, potasyum karbonat, sodyum karbonat, perborat, gümüş nitrat gibi tuzlar,</w:t>
      </w:r>
    </w:p>
    <w:p w14:paraId="3E258109" w14:textId="0F722D29" w:rsidR="007B1B69" w:rsidRPr="00F50C10" w:rsidRDefault="007B1B69" w:rsidP="00A654AE">
      <w:pPr>
        <w:pStyle w:val="ListeParagraf"/>
        <w:widowControl w:val="0"/>
        <w:numPr>
          <w:ilvl w:val="0"/>
          <w:numId w:val="140"/>
        </w:numPr>
        <w:pBdr>
          <w:top w:val="nil"/>
          <w:left w:val="nil"/>
          <w:bottom w:val="nil"/>
          <w:right w:val="nil"/>
          <w:between w:val="nil"/>
        </w:pBdr>
        <w:tabs>
          <w:tab w:val="left" w:pos="426"/>
        </w:tabs>
        <w:spacing w:line="276" w:lineRule="auto"/>
        <w:rPr>
          <w:rFonts w:eastAsia="Times New Roman" w:cs="Times New Roman"/>
          <w:szCs w:val="24"/>
        </w:rPr>
      </w:pPr>
      <w:r w:rsidRPr="00F50C10">
        <w:rPr>
          <w:rFonts w:eastAsia="Times New Roman" w:cs="Times New Roman"/>
          <w:szCs w:val="24"/>
        </w:rPr>
        <w:t>Ağır metaller, metal oksitler ve kalsiyum karbür, silikon, silisyum karbür gibi diğer inorganik bileşikler.</w:t>
      </w:r>
    </w:p>
    <w:p w14:paraId="3FD419D9" w14:textId="203C7D50" w:rsidR="007B1B69" w:rsidRPr="00F50C10" w:rsidRDefault="007B1B69" w:rsidP="00A654AE">
      <w:pPr>
        <w:pStyle w:val="ListeParagraf"/>
        <w:widowControl w:val="0"/>
        <w:numPr>
          <w:ilvl w:val="1"/>
          <w:numId w:val="141"/>
        </w:numPr>
        <w:pBdr>
          <w:top w:val="nil"/>
          <w:left w:val="nil"/>
          <w:bottom w:val="nil"/>
          <w:right w:val="nil"/>
          <w:between w:val="nil"/>
        </w:pBdr>
        <w:tabs>
          <w:tab w:val="left" w:pos="426"/>
        </w:tabs>
        <w:spacing w:line="276" w:lineRule="auto"/>
        <w:rPr>
          <w:rFonts w:eastAsia="Times New Roman" w:cs="Times New Roman"/>
          <w:szCs w:val="24"/>
        </w:rPr>
      </w:pPr>
      <w:r w:rsidRPr="00F50C10">
        <w:rPr>
          <w:rFonts w:eastAsia="Times New Roman" w:cs="Times New Roman"/>
          <w:szCs w:val="24"/>
        </w:rPr>
        <w:lastRenderedPageBreak/>
        <w:t xml:space="preserve">Fosfor, </w:t>
      </w:r>
      <w:r w:rsidR="008B56C4" w:rsidRPr="00F50C10">
        <w:rPr>
          <w:rFonts w:eastAsia="Times New Roman" w:cs="Times New Roman"/>
          <w:szCs w:val="24"/>
        </w:rPr>
        <w:t xml:space="preserve">nitrojen </w:t>
      </w:r>
      <w:r w:rsidRPr="00F50C10">
        <w:rPr>
          <w:rFonts w:eastAsia="Times New Roman" w:cs="Times New Roman"/>
          <w:szCs w:val="24"/>
        </w:rPr>
        <w:t>veya potasyum bazlı gübrelerin üretimi (basit veya kompleks gübreler)</w:t>
      </w:r>
    </w:p>
    <w:p w14:paraId="46F08308" w14:textId="544D0819" w:rsidR="007B1B69" w:rsidRPr="00F50C10" w:rsidRDefault="007B1B69" w:rsidP="00A654AE">
      <w:pPr>
        <w:pStyle w:val="ListeParagraf"/>
        <w:widowControl w:val="0"/>
        <w:numPr>
          <w:ilvl w:val="1"/>
          <w:numId w:val="141"/>
        </w:numPr>
        <w:tabs>
          <w:tab w:val="left" w:pos="475"/>
        </w:tabs>
        <w:spacing w:line="276" w:lineRule="auto"/>
        <w:rPr>
          <w:rFonts w:eastAsia="Times New Roman" w:cs="Times New Roman"/>
          <w:szCs w:val="24"/>
        </w:rPr>
      </w:pPr>
      <w:r w:rsidRPr="00F50C10">
        <w:rPr>
          <w:rFonts w:eastAsia="Times New Roman" w:cs="Times New Roman"/>
          <w:szCs w:val="24"/>
        </w:rPr>
        <w:t>Bitki koruma ürünleri veya biyosit üretimi</w:t>
      </w:r>
    </w:p>
    <w:p w14:paraId="13DFA4A6" w14:textId="68A34B46" w:rsidR="007B1B69" w:rsidRPr="00F50C10" w:rsidRDefault="007B1B69" w:rsidP="00A654AE">
      <w:pPr>
        <w:pStyle w:val="ListeParagraf"/>
        <w:widowControl w:val="0"/>
        <w:numPr>
          <w:ilvl w:val="1"/>
          <w:numId w:val="141"/>
        </w:numPr>
        <w:tabs>
          <w:tab w:val="left" w:pos="567"/>
        </w:tabs>
        <w:spacing w:line="276" w:lineRule="auto"/>
        <w:rPr>
          <w:rFonts w:eastAsia="Times New Roman" w:cs="Times New Roman"/>
          <w:szCs w:val="24"/>
        </w:rPr>
      </w:pPr>
      <w:r w:rsidRPr="00F50C10">
        <w:rPr>
          <w:rFonts w:eastAsia="Times New Roman" w:cs="Times New Roman"/>
          <w:szCs w:val="24"/>
        </w:rPr>
        <w:t>Ara ürünler dâhil farmasötik ürünlerin kimyasal veya biyolojik tepkimeyle endüstriyel ölçekte üretimi (sadece fiziksel karışım ile formülasyon bazlı ilaç üretimi bu yönetmeliğin kapsamı dışındadır)</w:t>
      </w:r>
    </w:p>
    <w:p w14:paraId="05BC2683" w14:textId="188BBEA6" w:rsidR="007B1B69" w:rsidRPr="00F50C10" w:rsidRDefault="007B1B69" w:rsidP="00A654AE">
      <w:pPr>
        <w:pStyle w:val="ListeParagraf"/>
        <w:widowControl w:val="0"/>
        <w:numPr>
          <w:ilvl w:val="1"/>
          <w:numId w:val="141"/>
        </w:numPr>
        <w:tabs>
          <w:tab w:val="left" w:pos="475"/>
        </w:tabs>
        <w:spacing w:line="276" w:lineRule="auto"/>
        <w:rPr>
          <w:rFonts w:eastAsia="Times New Roman" w:cs="Times New Roman"/>
          <w:szCs w:val="24"/>
        </w:rPr>
      </w:pPr>
      <w:r w:rsidRPr="00F50C10">
        <w:rPr>
          <w:rFonts w:eastAsia="Times New Roman" w:cs="Times New Roman"/>
          <w:szCs w:val="24"/>
        </w:rPr>
        <w:t>Patlayıcı üretimi</w:t>
      </w:r>
    </w:p>
    <w:p w14:paraId="1E1E1787" w14:textId="429531CE" w:rsidR="007B1B69" w:rsidRPr="00F50C10" w:rsidRDefault="007B1B69" w:rsidP="000B206D">
      <w:pPr>
        <w:pStyle w:val="GvdeMetni"/>
        <w:spacing w:line="276" w:lineRule="auto"/>
        <w:ind w:left="-78" w:firstLine="786"/>
        <w:jc w:val="both"/>
        <w:rPr>
          <w:sz w:val="24"/>
          <w:szCs w:val="24"/>
          <w:lang w:val="es-ES" w:eastAsia="es-ES"/>
        </w:rPr>
      </w:pPr>
      <w:r w:rsidRPr="00F50C10">
        <w:rPr>
          <w:sz w:val="24"/>
          <w:szCs w:val="24"/>
          <w:lang w:val="es-ES" w:eastAsia="es-ES"/>
        </w:rPr>
        <w:t>faaliyetlerini kapsamaktadır.</w:t>
      </w:r>
    </w:p>
    <w:p w14:paraId="7A0CA826" w14:textId="5E0AD040" w:rsidR="007B1B69" w:rsidRPr="00F50C10" w:rsidRDefault="007B1B69" w:rsidP="000B206D">
      <w:pPr>
        <w:pStyle w:val="GvdeMetni"/>
        <w:spacing w:line="276" w:lineRule="auto"/>
        <w:jc w:val="both"/>
        <w:rPr>
          <w:b/>
          <w:sz w:val="24"/>
          <w:szCs w:val="24"/>
          <w:lang w:val="es-ES" w:eastAsia="es-ES"/>
        </w:rPr>
      </w:pPr>
      <w:r w:rsidRPr="00F50C10">
        <w:rPr>
          <w:b/>
          <w:sz w:val="24"/>
          <w:szCs w:val="24"/>
          <w:lang w:val="es-ES" w:eastAsia="es-ES"/>
        </w:rPr>
        <w:t xml:space="preserve">Dayanak </w:t>
      </w:r>
    </w:p>
    <w:p w14:paraId="529BAD1E" w14:textId="0F1B7279" w:rsidR="007B1B69" w:rsidRPr="00F50C10" w:rsidRDefault="007B1B69" w:rsidP="000B206D">
      <w:pPr>
        <w:pStyle w:val="GvdeMetni"/>
        <w:spacing w:line="276" w:lineRule="auto"/>
        <w:jc w:val="both"/>
        <w:rPr>
          <w:rFonts w:eastAsiaTheme="minorHAnsi"/>
          <w:sz w:val="24"/>
          <w:szCs w:val="24"/>
          <w:lang w:val="en-US" w:bidi="tr-TR"/>
        </w:rPr>
      </w:pPr>
      <w:r w:rsidRPr="00F50C10">
        <w:rPr>
          <w:b/>
          <w:sz w:val="24"/>
          <w:szCs w:val="24"/>
        </w:rPr>
        <w:t>MADDE 3</w:t>
      </w:r>
      <w:r w:rsidRPr="00F50C10">
        <w:rPr>
          <w:sz w:val="24"/>
          <w:szCs w:val="24"/>
        </w:rPr>
        <w:t xml:space="preserve">- </w:t>
      </w:r>
      <w:r w:rsidRPr="00F50C10">
        <w:rPr>
          <w:rFonts w:eastAsiaTheme="minorHAnsi"/>
          <w:sz w:val="24"/>
          <w:szCs w:val="24"/>
          <w:lang w:val="en-US" w:bidi="tr-TR"/>
        </w:rPr>
        <w:t>Bu Tebliğ</w:t>
      </w:r>
      <w:r w:rsidR="00BB742A" w:rsidRPr="00F50C10">
        <w:rPr>
          <w:rFonts w:eastAsiaTheme="minorHAnsi"/>
          <w:sz w:val="24"/>
          <w:szCs w:val="24"/>
          <w:lang w:val="en-US" w:bidi="tr-TR"/>
        </w:rPr>
        <w:t>, 9/8/1983 tarihli ve 2872 sayılı Çevre Kanununun 3 üncü, 8 inci ve 11 inci maddeleri ile 1 sayılı Cumhurbaşkanlığı Teşkilatı Hakkında Cumhurbaşkanlığı Kararnamesinin 103 üncü ve 104 üncü maddeleri</w:t>
      </w:r>
      <w:r w:rsidR="004A4AC9" w:rsidRPr="00F50C10">
        <w:rPr>
          <w:rFonts w:eastAsiaTheme="minorHAnsi"/>
          <w:sz w:val="24"/>
          <w:szCs w:val="24"/>
          <w:lang w:val="en-US" w:bidi="tr-TR"/>
        </w:rPr>
        <w:t xml:space="preserve"> ve</w:t>
      </w:r>
      <w:r w:rsidR="00C723B6" w:rsidRPr="00F50C10">
        <w:rPr>
          <w:rFonts w:eastAsiaTheme="minorHAnsi"/>
          <w:sz w:val="24"/>
          <w:szCs w:val="24"/>
          <w:lang w:val="en-US" w:bidi="tr-TR"/>
        </w:rPr>
        <w:t xml:space="preserve"> </w:t>
      </w:r>
      <w:r w:rsidRPr="00F50C10">
        <w:rPr>
          <w:rFonts w:eastAsiaTheme="minorHAnsi"/>
          <w:sz w:val="24"/>
          <w:szCs w:val="24"/>
          <w:lang w:val="en-US" w:bidi="tr-TR"/>
        </w:rPr>
        <w:t xml:space="preserve">14.01.2025 tarihli ve 32782 sayılı Resmi Gazete’de yayımlanarak yürürlüğe giren Endüstriyel Emisyonların Yönetimi Yönetmeliğine dayanılarak hazırlanmıştır. </w:t>
      </w:r>
    </w:p>
    <w:p w14:paraId="394D46B8" w14:textId="77777777" w:rsidR="007B1B69" w:rsidRPr="00F50C10" w:rsidRDefault="007B1B69" w:rsidP="000B206D">
      <w:pPr>
        <w:pStyle w:val="Balk1"/>
        <w:numPr>
          <w:ilvl w:val="0"/>
          <w:numId w:val="0"/>
        </w:numPr>
        <w:spacing w:line="276" w:lineRule="auto"/>
        <w:jc w:val="left"/>
        <w:rPr>
          <w:rFonts w:cs="Times New Roman"/>
          <w:szCs w:val="24"/>
        </w:rPr>
      </w:pPr>
      <w:r w:rsidRPr="00F50C10">
        <w:rPr>
          <w:rFonts w:cs="Times New Roman"/>
          <w:szCs w:val="24"/>
        </w:rPr>
        <w:t xml:space="preserve">Tanımlar </w:t>
      </w:r>
    </w:p>
    <w:p w14:paraId="1D4E51C4" w14:textId="3B471588" w:rsidR="008C3CA4" w:rsidRPr="00F50C10" w:rsidRDefault="007B1B69" w:rsidP="000B206D">
      <w:pPr>
        <w:pStyle w:val="Balk1"/>
        <w:numPr>
          <w:ilvl w:val="0"/>
          <w:numId w:val="0"/>
        </w:numPr>
        <w:spacing w:line="276" w:lineRule="auto"/>
        <w:rPr>
          <w:rFonts w:cs="Times New Roman"/>
          <w:szCs w:val="24"/>
        </w:rPr>
      </w:pPr>
      <w:r w:rsidRPr="00F50C10">
        <w:rPr>
          <w:rFonts w:cs="Times New Roman"/>
          <w:szCs w:val="24"/>
        </w:rPr>
        <w:t xml:space="preserve">MADDE 4- </w:t>
      </w:r>
      <w:r w:rsidRPr="00F50C10">
        <w:rPr>
          <w:rFonts w:cs="Times New Roman"/>
          <w:b w:val="0"/>
          <w:szCs w:val="24"/>
        </w:rPr>
        <w:t>(1)</w:t>
      </w:r>
      <w:r w:rsidRPr="00F50C10">
        <w:rPr>
          <w:rFonts w:cs="Times New Roman"/>
          <w:szCs w:val="24"/>
        </w:rPr>
        <w:t xml:space="preserve"> </w:t>
      </w:r>
      <w:r w:rsidR="00352C5B" w:rsidRPr="00F50C10">
        <w:rPr>
          <w:rFonts w:cs="Times New Roman"/>
          <w:b w:val="0"/>
          <w:bCs/>
          <w:szCs w:val="24"/>
        </w:rPr>
        <w:t>Bu Tebliğde geçen;</w:t>
      </w:r>
    </w:p>
    <w:p w14:paraId="5DA7B5CA" w14:textId="13A71FB6" w:rsidR="00352C5B" w:rsidRPr="00F50C10" w:rsidRDefault="00352C5B" w:rsidP="00A654AE">
      <w:pPr>
        <w:pStyle w:val="ListeParagraf"/>
        <w:numPr>
          <w:ilvl w:val="0"/>
          <w:numId w:val="192"/>
        </w:numPr>
        <w:spacing w:line="276" w:lineRule="auto"/>
        <w:rPr>
          <w:rFonts w:cs="Times New Roman"/>
          <w:szCs w:val="24"/>
          <w:lang w:bidi="tr-TR"/>
        </w:rPr>
      </w:pPr>
      <w:r w:rsidRPr="00F50C10">
        <w:rPr>
          <w:rFonts w:cs="Times New Roman"/>
          <w:szCs w:val="24"/>
          <w:lang w:bidi="tr-TR"/>
        </w:rPr>
        <w:t>Birim:</w:t>
      </w:r>
      <w:r w:rsidR="00C723B6" w:rsidRPr="00F50C10">
        <w:rPr>
          <w:rFonts w:cs="Times New Roman"/>
          <w:szCs w:val="24"/>
          <w:lang w:bidi="tr-TR"/>
        </w:rPr>
        <w:t xml:space="preserve"> B</w:t>
      </w:r>
      <w:r w:rsidRPr="00F50C10">
        <w:rPr>
          <w:rFonts w:cs="Times New Roman"/>
          <w:szCs w:val="24"/>
          <w:lang w:bidi="tr-TR"/>
        </w:rPr>
        <w:t>elirli bir işlemin veya işlemin gerçekleştirildiği bir tesisin bir bölümü / alt bölümü</w:t>
      </w:r>
      <w:r w:rsidR="00C723B6" w:rsidRPr="00F50C10">
        <w:rPr>
          <w:rFonts w:cs="Times New Roman"/>
          <w:szCs w:val="24"/>
          <w:lang w:bidi="tr-TR"/>
        </w:rPr>
        <w:t xml:space="preserve">nü </w:t>
      </w:r>
      <w:r w:rsidRPr="00F50C10">
        <w:rPr>
          <w:rFonts w:cs="Times New Roman"/>
          <w:szCs w:val="24"/>
          <w:lang w:bidi="tr-TR"/>
        </w:rPr>
        <w:t>(örneğin, reaktör, yıkayıcı, damıtma sütunu)</w:t>
      </w:r>
      <w:r w:rsidR="00C723B6" w:rsidRPr="00F50C10">
        <w:rPr>
          <w:rFonts w:cs="Times New Roman"/>
          <w:szCs w:val="24"/>
          <w:lang w:bidi="tr-TR"/>
        </w:rPr>
        <w:t>,</w:t>
      </w:r>
    </w:p>
    <w:p w14:paraId="05F5F475" w14:textId="34A5A2F8" w:rsidR="00352C5B" w:rsidRPr="00F50C10" w:rsidRDefault="00352C5B" w:rsidP="00A654AE">
      <w:pPr>
        <w:pStyle w:val="ListeParagraf"/>
        <w:numPr>
          <w:ilvl w:val="0"/>
          <w:numId w:val="192"/>
        </w:numPr>
        <w:spacing w:line="276" w:lineRule="auto"/>
        <w:rPr>
          <w:rFonts w:cs="Times New Roman"/>
          <w:szCs w:val="24"/>
          <w:lang w:bidi="tr-TR"/>
        </w:rPr>
      </w:pPr>
      <w:r w:rsidRPr="00F50C10">
        <w:rPr>
          <w:rFonts w:cs="Times New Roman"/>
          <w:szCs w:val="24"/>
          <w:lang w:bidi="tr-TR"/>
        </w:rPr>
        <w:t>Birincil tedbir/Teknik:</w:t>
      </w:r>
      <w:r w:rsidR="00C723B6" w:rsidRPr="00F50C10">
        <w:rPr>
          <w:rFonts w:cs="Times New Roman"/>
          <w:szCs w:val="24"/>
          <w:lang w:bidi="tr-TR"/>
        </w:rPr>
        <w:t xml:space="preserve"> T</w:t>
      </w:r>
      <w:r w:rsidRPr="00F50C10">
        <w:rPr>
          <w:rFonts w:cs="Times New Roman"/>
          <w:szCs w:val="24"/>
          <w:lang w:bidi="tr-TR"/>
        </w:rPr>
        <w:t>emel prosesin işleyişini belirli şekillerde değiştirerek ham emisyonları veya tüketimi azaltan tekni</w:t>
      </w:r>
      <w:r w:rsidR="00C723B6" w:rsidRPr="00F50C10">
        <w:rPr>
          <w:rFonts w:cs="Times New Roman"/>
          <w:szCs w:val="24"/>
          <w:lang w:bidi="tr-TR"/>
        </w:rPr>
        <w:t>ği</w:t>
      </w:r>
      <w:r w:rsidRPr="00F50C10">
        <w:rPr>
          <w:rFonts w:cs="Times New Roman"/>
          <w:szCs w:val="24"/>
          <w:lang w:bidi="tr-TR"/>
        </w:rPr>
        <w:t xml:space="preserve"> (boru çıkışı tekniği)</w:t>
      </w:r>
      <w:r w:rsidR="00C723B6" w:rsidRPr="00F50C10">
        <w:rPr>
          <w:rFonts w:cs="Times New Roman"/>
          <w:szCs w:val="24"/>
          <w:lang w:bidi="tr-TR"/>
        </w:rPr>
        <w:t>,</w:t>
      </w:r>
    </w:p>
    <w:p w14:paraId="47AFD976" w14:textId="78C094DA" w:rsidR="00352C5B" w:rsidRPr="00F50C10" w:rsidRDefault="00352C5B" w:rsidP="00A654AE">
      <w:pPr>
        <w:pStyle w:val="ListeParagraf"/>
        <w:numPr>
          <w:ilvl w:val="0"/>
          <w:numId w:val="192"/>
        </w:numPr>
        <w:spacing w:line="276" w:lineRule="auto"/>
        <w:rPr>
          <w:rFonts w:cs="Times New Roman"/>
          <w:szCs w:val="24"/>
          <w:lang w:bidi="tr-TR"/>
        </w:rPr>
      </w:pPr>
      <w:r w:rsidRPr="00F50C10">
        <w:rPr>
          <w:rFonts w:cs="Times New Roman"/>
          <w:szCs w:val="24"/>
          <w:lang w:bidi="tr-TR"/>
        </w:rPr>
        <w:t>Boru çıkışı tekniği: Nihai emisyonları veya tüketimi bazı ek işlemlerle azaltan, ancak temel işlemin asıl işleyişi üzerinde değişikliğe sebep olmayan tekni</w:t>
      </w:r>
      <w:r w:rsidR="00C723B6" w:rsidRPr="00F50C10">
        <w:rPr>
          <w:rFonts w:cs="Times New Roman"/>
          <w:szCs w:val="24"/>
          <w:lang w:bidi="tr-TR"/>
        </w:rPr>
        <w:t>ği, (</w:t>
      </w:r>
      <w:r w:rsidRPr="00F50C10">
        <w:rPr>
          <w:rFonts w:cs="Times New Roman"/>
          <w:szCs w:val="24"/>
          <w:lang w:bidi="tr-TR"/>
        </w:rPr>
        <w:t>Eşanlamlılar: "ikincil teknik", "azaltma tekniği". Zıt anlamlılar: “prosese entegre teknik”, “birincil teknik” (temel prosesin işleyişini belirli şekillerde değiştirerek brüt emisyonları veya tüketimi azaltan teknik).</w:t>
      </w:r>
    </w:p>
    <w:p w14:paraId="7C4D4F0E" w14:textId="77777777" w:rsidR="0064552A" w:rsidRDefault="0064552A" w:rsidP="00A654AE">
      <w:pPr>
        <w:pStyle w:val="ListeParagraf"/>
        <w:numPr>
          <w:ilvl w:val="0"/>
          <w:numId w:val="192"/>
        </w:numPr>
        <w:spacing w:line="276" w:lineRule="auto"/>
        <w:rPr>
          <w:rFonts w:cs="Times New Roman"/>
          <w:szCs w:val="24"/>
          <w:lang w:bidi="tr-TR"/>
        </w:rPr>
        <w:sectPr w:rsidR="0064552A" w:rsidSect="005E5461">
          <w:headerReference w:type="even" r:id="rId11"/>
          <w:headerReference w:type="default" r:id="rId12"/>
          <w:type w:val="continuous"/>
          <w:pgSz w:w="11909" w:h="16834" w:code="9"/>
          <w:pgMar w:top="1134" w:right="1134" w:bottom="1134" w:left="2268" w:header="709" w:footer="709" w:gutter="0"/>
          <w:paperSrc w:first="15" w:other="15"/>
          <w:cols w:space="60"/>
          <w:noEndnote/>
        </w:sectPr>
      </w:pPr>
    </w:p>
    <w:p w14:paraId="1ACB60EE" w14:textId="1CE0EF69" w:rsidR="00352C5B" w:rsidRPr="00F50C10" w:rsidRDefault="00352C5B" w:rsidP="00A654AE">
      <w:pPr>
        <w:pStyle w:val="ListeParagraf"/>
        <w:numPr>
          <w:ilvl w:val="0"/>
          <w:numId w:val="192"/>
        </w:numPr>
        <w:spacing w:line="276" w:lineRule="auto"/>
        <w:rPr>
          <w:rFonts w:cs="Times New Roman"/>
          <w:szCs w:val="24"/>
          <w:lang w:bidi="tr-TR"/>
        </w:rPr>
      </w:pPr>
      <w:r w:rsidRPr="00F50C10">
        <w:rPr>
          <w:rFonts w:cs="Times New Roman"/>
          <w:szCs w:val="24"/>
          <w:lang w:bidi="tr-TR"/>
        </w:rPr>
        <w:t>Difüz emisyon: Uçucu veya hafif, tozlu maddelerin çevreyle (normal işletim koşullarındaki atmosfer) doğrudan teması sonucu meydana gelen emisyonlar</w:t>
      </w:r>
      <w:r w:rsidR="00C723B6" w:rsidRPr="00F50C10">
        <w:rPr>
          <w:rFonts w:cs="Times New Roman"/>
          <w:szCs w:val="24"/>
          <w:lang w:bidi="tr-TR"/>
        </w:rPr>
        <w:t>ı,</w:t>
      </w:r>
    </w:p>
    <w:p w14:paraId="0EAD9635" w14:textId="019429E7" w:rsidR="00352C5B" w:rsidRPr="00F50C10" w:rsidRDefault="00352C5B" w:rsidP="000B206D">
      <w:pPr>
        <w:pStyle w:val="ListeParagraf"/>
        <w:spacing w:line="276" w:lineRule="auto"/>
        <w:ind w:left="708"/>
        <w:rPr>
          <w:rFonts w:cs="Times New Roman"/>
          <w:szCs w:val="24"/>
          <w:lang w:bidi="tr-TR"/>
        </w:rPr>
      </w:pPr>
      <w:r w:rsidRPr="00F50C10">
        <w:rPr>
          <w:rFonts w:cs="Times New Roman"/>
          <w:szCs w:val="24"/>
          <w:lang w:bidi="tr-TR"/>
        </w:rPr>
        <w:t xml:space="preserve">Bunlar: 1) teçhizata ait tasarım (örn. filtreler, kurutucular, vb.) </w:t>
      </w:r>
    </w:p>
    <w:p w14:paraId="5A025DF2" w14:textId="2C182B02" w:rsidR="00352C5B" w:rsidRPr="00F50C10" w:rsidRDefault="00352C5B" w:rsidP="000B206D">
      <w:pPr>
        <w:pStyle w:val="ListeParagraf"/>
        <w:spacing w:line="276" w:lineRule="auto"/>
        <w:ind w:left="708"/>
        <w:rPr>
          <w:rFonts w:cs="Times New Roman"/>
          <w:szCs w:val="24"/>
          <w:lang w:bidi="tr-TR"/>
        </w:rPr>
      </w:pPr>
      <w:r w:rsidRPr="00F50C10">
        <w:rPr>
          <w:rFonts w:cs="Times New Roman"/>
          <w:szCs w:val="24"/>
          <w:lang w:bidi="tr-TR"/>
        </w:rPr>
        <w:t xml:space="preserve">2) işletim koşulları (örn. malzemenin konteynerler arasında aktarımı sırasında) </w:t>
      </w:r>
    </w:p>
    <w:p w14:paraId="40365D1B" w14:textId="3636A606" w:rsidR="00352C5B" w:rsidRPr="00F50C10" w:rsidRDefault="00352C5B" w:rsidP="000B206D">
      <w:pPr>
        <w:pStyle w:val="ListeParagraf"/>
        <w:spacing w:line="276" w:lineRule="auto"/>
        <w:ind w:left="708"/>
        <w:rPr>
          <w:rFonts w:cs="Times New Roman"/>
          <w:szCs w:val="24"/>
          <w:lang w:bidi="tr-TR"/>
        </w:rPr>
      </w:pPr>
      <w:r w:rsidRPr="00F50C10">
        <w:rPr>
          <w:rFonts w:cs="Times New Roman"/>
          <w:szCs w:val="24"/>
          <w:lang w:bidi="tr-TR"/>
        </w:rPr>
        <w:t>3) işletim türü (örn. bakım faaliyetleri) veya diğer ortamlara (örn. soğutma suyuna veya atık suya) kademeli olarak gerçekleşen salınım sonucu oluşabilir.</w:t>
      </w:r>
    </w:p>
    <w:p w14:paraId="009EBB77" w14:textId="50DB2177" w:rsidR="00352C5B" w:rsidRPr="00F50C10" w:rsidRDefault="00352C5B" w:rsidP="00A654AE">
      <w:pPr>
        <w:pStyle w:val="ListeParagraf"/>
        <w:numPr>
          <w:ilvl w:val="0"/>
          <w:numId w:val="192"/>
        </w:numPr>
        <w:spacing w:line="276" w:lineRule="auto"/>
        <w:rPr>
          <w:rFonts w:cs="Times New Roman"/>
          <w:szCs w:val="24"/>
          <w:lang w:bidi="tr-TR"/>
        </w:rPr>
      </w:pPr>
      <w:r w:rsidRPr="00F50C10">
        <w:rPr>
          <w:rFonts w:cs="Times New Roman"/>
          <w:szCs w:val="24"/>
          <w:lang w:bidi="tr-TR"/>
        </w:rPr>
        <w:t>Difüz kaynaklar: Birden fazla ve belirli bir alan içerisinde dağınık halde olan, benzer difüz veya doğrudan emisyonların kaynaklarını,</w:t>
      </w:r>
    </w:p>
    <w:p w14:paraId="648A71DC" w14:textId="1AE3D211" w:rsidR="00352C5B" w:rsidRPr="00F50C10" w:rsidRDefault="00352C5B" w:rsidP="00A654AE">
      <w:pPr>
        <w:pStyle w:val="ListeParagraf"/>
        <w:numPr>
          <w:ilvl w:val="0"/>
          <w:numId w:val="192"/>
        </w:numPr>
        <w:spacing w:line="276" w:lineRule="auto"/>
        <w:rPr>
          <w:rFonts w:cs="Times New Roman"/>
          <w:szCs w:val="24"/>
          <w:lang w:bidi="tr-TR"/>
        </w:rPr>
      </w:pPr>
      <w:r w:rsidRPr="00F50C10">
        <w:rPr>
          <w:rFonts w:cs="Times New Roman"/>
          <w:szCs w:val="24"/>
        </w:rPr>
        <w:t>Emisyon: Maddelerin, titreşimin, ısı veya gürültünün işletme veya tesiste yer alan bir veya birden fazla kaynaktan havaya, suya ya da toprağa doğrudan veya dolaylı biçimde bırakılmasını,</w:t>
      </w:r>
    </w:p>
    <w:p w14:paraId="5697BD85" w14:textId="6EE375B6" w:rsidR="0064552A" w:rsidRDefault="00352C5B" w:rsidP="00A654AE">
      <w:pPr>
        <w:pStyle w:val="ListeParagraf"/>
        <w:numPr>
          <w:ilvl w:val="0"/>
          <w:numId w:val="192"/>
        </w:numPr>
        <w:spacing w:line="276" w:lineRule="auto"/>
        <w:rPr>
          <w:rFonts w:cs="Times New Roman"/>
          <w:szCs w:val="24"/>
          <w:lang w:bidi="tr-TR"/>
        </w:rPr>
      </w:pPr>
      <w:r w:rsidRPr="002B5971">
        <w:rPr>
          <w:rFonts w:cs="Times New Roman"/>
          <w:szCs w:val="24"/>
          <w:lang w:bidi="tr-TR"/>
        </w:rPr>
        <w:t>İkincil tedbir/Teknik; Boru çıkışı tekniğini,</w:t>
      </w:r>
    </w:p>
    <w:p w14:paraId="3BC8C9F4" w14:textId="77777777" w:rsidR="0064552A" w:rsidRDefault="0064552A" w:rsidP="00A654AE">
      <w:pPr>
        <w:pStyle w:val="Balk1"/>
        <w:numPr>
          <w:ilvl w:val="0"/>
          <w:numId w:val="192"/>
        </w:numPr>
        <w:spacing w:line="276" w:lineRule="auto"/>
        <w:rPr>
          <w:rFonts w:eastAsiaTheme="minorHAnsi" w:cs="Times New Roman"/>
          <w:b w:val="0"/>
          <w:szCs w:val="24"/>
          <w:lang w:bidi="tr-TR"/>
        </w:rPr>
      </w:pPr>
      <w:r w:rsidRPr="002B5971">
        <w:rPr>
          <w:rFonts w:eastAsiaTheme="minorHAnsi" w:cs="Times New Roman"/>
          <w:b w:val="0"/>
          <w:szCs w:val="24"/>
          <w:lang w:bidi="tr-TR"/>
        </w:rPr>
        <w:t xml:space="preserve">MET-İÇPS: Mevcut en iyi tekniklerle ilişkili emisyon seviyelerini ifade eder. MET-İÇPS şunları içerebilir: </w:t>
      </w:r>
    </w:p>
    <w:p w14:paraId="20F86B36" w14:textId="77777777" w:rsidR="0064552A" w:rsidRPr="00F50C10" w:rsidRDefault="0064552A" w:rsidP="00A654AE">
      <w:pPr>
        <w:pStyle w:val="Balk1"/>
        <w:numPr>
          <w:ilvl w:val="0"/>
          <w:numId w:val="193"/>
        </w:numPr>
        <w:spacing w:line="276" w:lineRule="auto"/>
        <w:rPr>
          <w:rFonts w:eastAsiaTheme="minorHAnsi" w:cs="Times New Roman"/>
          <w:b w:val="0"/>
          <w:szCs w:val="24"/>
          <w:lang w:bidi="tr-TR"/>
        </w:rPr>
      </w:pPr>
      <w:r w:rsidRPr="00F50C10">
        <w:rPr>
          <w:rFonts w:eastAsiaTheme="minorHAnsi" w:cs="Times New Roman"/>
          <w:b w:val="0"/>
          <w:szCs w:val="24"/>
          <w:lang w:bidi="tr-TR"/>
        </w:rPr>
        <w:t xml:space="preserve">Emisyon seviyeleri, </w:t>
      </w:r>
    </w:p>
    <w:p w14:paraId="7535BAB9" w14:textId="77777777" w:rsidR="0064552A" w:rsidRPr="00F50C10" w:rsidRDefault="0064552A" w:rsidP="00A654AE">
      <w:pPr>
        <w:pStyle w:val="Balk1"/>
        <w:numPr>
          <w:ilvl w:val="0"/>
          <w:numId w:val="193"/>
        </w:numPr>
        <w:spacing w:line="276" w:lineRule="auto"/>
        <w:rPr>
          <w:rFonts w:eastAsiaTheme="minorHAnsi" w:cs="Times New Roman"/>
          <w:b w:val="0"/>
          <w:szCs w:val="24"/>
          <w:lang w:bidi="tr-TR"/>
        </w:rPr>
      </w:pPr>
      <w:r w:rsidRPr="00F50C10">
        <w:rPr>
          <w:rFonts w:eastAsiaTheme="minorHAnsi" w:cs="Times New Roman"/>
          <w:b w:val="0"/>
          <w:szCs w:val="24"/>
          <w:lang w:bidi="tr-TR"/>
        </w:rPr>
        <w:t>Tüketim seviyeleri,</w:t>
      </w:r>
    </w:p>
    <w:p w14:paraId="29494FAF" w14:textId="77777777" w:rsidR="0064552A" w:rsidRPr="00F50C10" w:rsidRDefault="0064552A" w:rsidP="00A654AE">
      <w:pPr>
        <w:pStyle w:val="Balk1"/>
        <w:numPr>
          <w:ilvl w:val="0"/>
          <w:numId w:val="193"/>
        </w:numPr>
        <w:spacing w:line="276" w:lineRule="auto"/>
        <w:rPr>
          <w:rFonts w:eastAsiaTheme="minorHAnsi" w:cs="Times New Roman"/>
          <w:b w:val="0"/>
          <w:szCs w:val="24"/>
          <w:lang w:bidi="tr-TR"/>
        </w:rPr>
      </w:pPr>
      <w:r w:rsidRPr="00F50C10">
        <w:rPr>
          <w:rFonts w:eastAsiaTheme="minorHAnsi" w:cs="Times New Roman"/>
          <w:b w:val="0"/>
          <w:szCs w:val="24"/>
          <w:lang w:bidi="tr-TR"/>
        </w:rPr>
        <w:t>Diğer seviyeler (örn. azaltma verimliliği).</w:t>
      </w:r>
    </w:p>
    <w:p w14:paraId="7C82A571" w14:textId="77777777" w:rsidR="0064552A" w:rsidRPr="00F50C10" w:rsidRDefault="0064552A" w:rsidP="00A654AE">
      <w:pPr>
        <w:pStyle w:val="Balk1"/>
        <w:numPr>
          <w:ilvl w:val="0"/>
          <w:numId w:val="192"/>
        </w:numPr>
        <w:spacing w:line="276" w:lineRule="auto"/>
        <w:rPr>
          <w:rFonts w:eastAsiaTheme="minorHAnsi" w:cs="Times New Roman"/>
          <w:b w:val="0"/>
          <w:szCs w:val="24"/>
          <w:lang w:bidi="tr-TR"/>
        </w:rPr>
      </w:pPr>
      <w:r w:rsidRPr="00F50C10">
        <w:rPr>
          <w:rFonts w:eastAsiaTheme="minorHAnsi" w:cs="Times New Roman"/>
          <w:b w:val="0"/>
          <w:szCs w:val="24"/>
          <w:lang w:bidi="tr-TR"/>
        </w:rPr>
        <w:t>Mevcut tesis: Yeni olmayan bir tesisi,</w:t>
      </w:r>
    </w:p>
    <w:p w14:paraId="3B11DB15" w14:textId="77777777" w:rsidR="0064552A" w:rsidRPr="00F50C10" w:rsidRDefault="0064552A" w:rsidP="00A654AE">
      <w:pPr>
        <w:pStyle w:val="Balk1"/>
        <w:numPr>
          <w:ilvl w:val="0"/>
          <w:numId w:val="192"/>
        </w:numPr>
        <w:spacing w:line="276" w:lineRule="auto"/>
        <w:rPr>
          <w:rFonts w:eastAsiaTheme="minorHAnsi" w:cs="Times New Roman"/>
          <w:b w:val="0"/>
          <w:szCs w:val="24"/>
          <w:lang w:bidi="tr-TR"/>
        </w:rPr>
      </w:pPr>
      <w:r w:rsidRPr="00F50C10">
        <w:rPr>
          <w:rFonts w:eastAsiaTheme="minorHAnsi" w:cs="Times New Roman"/>
          <w:b w:val="0"/>
          <w:szCs w:val="24"/>
          <w:lang w:bidi="tr-TR"/>
        </w:rPr>
        <w:t>Mevcut ünite: Yeni olmayan bir üniteyi,</w:t>
      </w:r>
    </w:p>
    <w:p w14:paraId="370E985C" w14:textId="77777777" w:rsidR="0064552A" w:rsidRPr="00F50C10" w:rsidRDefault="0064552A" w:rsidP="00A654AE">
      <w:pPr>
        <w:pStyle w:val="Balk1"/>
        <w:numPr>
          <w:ilvl w:val="0"/>
          <w:numId w:val="192"/>
        </w:numPr>
        <w:spacing w:line="276" w:lineRule="auto"/>
        <w:rPr>
          <w:rFonts w:eastAsiaTheme="minorHAnsi" w:cs="Times New Roman"/>
          <w:b w:val="0"/>
          <w:szCs w:val="24"/>
          <w:lang w:bidi="tr-TR"/>
        </w:rPr>
      </w:pPr>
      <w:r w:rsidRPr="00F50C10">
        <w:rPr>
          <w:rFonts w:eastAsiaTheme="minorHAnsi" w:cs="Times New Roman"/>
          <w:b w:val="0"/>
          <w:szCs w:val="24"/>
          <w:lang w:bidi="tr-TR"/>
        </w:rPr>
        <w:t>Periyodik ölçüm:</w:t>
      </w:r>
      <w:r w:rsidRPr="00F50C10">
        <w:rPr>
          <w:rFonts w:eastAsiaTheme="minorHAnsi" w:cs="Times New Roman"/>
          <w:b w:val="0"/>
          <w:szCs w:val="24"/>
          <w:lang w:bidi="tr-TR"/>
        </w:rPr>
        <w:tab/>
        <w:t>Manuel veya otomatik kullanarak belirli zaman aralıklarında ölçüm yöntemlerini,</w:t>
      </w:r>
    </w:p>
    <w:p w14:paraId="45F7D232" w14:textId="77777777" w:rsidR="0064552A" w:rsidRPr="00F50C10" w:rsidRDefault="0064552A" w:rsidP="00A654AE">
      <w:pPr>
        <w:pStyle w:val="Balk1"/>
        <w:numPr>
          <w:ilvl w:val="0"/>
          <w:numId w:val="192"/>
        </w:numPr>
        <w:spacing w:line="276" w:lineRule="auto"/>
        <w:rPr>
          <w:rFonts w:eastAsiaTheme="minorHAnsi" w:cs="Times New Roman"/>
          <w:b w:val="0"/>
          <w:szCs w:val="24"/>
          <w:lang w:bidi="tr-TR"/>
        </w:rPr>
      </w:pPr>
      <w:r w:rsidRPr="00F50C10">
        <w:rPr>
          <w:rFonts w:eastAsiaTheme="minorHAnsi" w:cs="Times New Roman"/>
          <w:b w:val="0"/>
          <w:szCs w:val="24"/>
          <w:lang w:bidi="tr-TR"/>
        </w:rPr>
        <w:t>Sürekli ölçüm: Tesiste kalıcı olarak yerleştirilmiş bir 'otomatik ölçüm sistemi' kullanarak ölçümü,</w:t>
      </w:r>
    </w:p>
    <w:p w14:paraId="4F479AA9" w14:textId="77777777" w:rsidR="0064552A" w:rsidRPr="00F50C10" w:rsidRDefault="0064552A" w:rsidP="00A654AE">
      <w:pPr>
        <w:pStyle w:val="Balk1"/>
        <w:numPr>
          <w:ilvl w:val="0"/>
          <w:numId w:val="192"/>
        </w:numPr>
        <w:spacing w:line="276" w:lineRule="auto"/>
        <w:rPr>
          <w:rFonts w:eastAsiaTheme="minorHAnsi" w:cs="Times New Roman"/>
          <w:b w:val="0"/>
          <w:szCs w:val="24"/>
          <w:lang w:bidi="tr-TR"/>
        </w:rPr>
      </w:pPr>
      <w:r w:rsidRPr="00F50C10">
        <w:rPr>
          <w:rFonts w:eastAsiaTheme="minorHAnsi" w:cs="Times New Roman"/>
          <w:b w:val="0"/>
          <w:szCs w:val="24"/>
          <w:lang w:bidi="tr-TR"/>
        </w:rPr>
        <w:t>Sürekli proses: Hammaddelerin sürekli olarak reaksiyon ürünleri ile reaktöre beslendiği ve daha sonra bağlantılı ayırma ve / veya geri kazanım ünitelerine beslendiği bir prosesi,</w:t>
      </w:r>
    </w:p>
    <w:p w14:paraId="09051EB6" w14:textId="77777777" w:rsidR="0064552A" w:rsidRPr="00F50C10" w:rsidRDefault="0064552A" w:rsidP="00A654AE">
      <w:pPr>
        <w:pStyle w:val="Balk1"/>
        <w:numPr>
          <w:ilvl w:val="0"/>
          <w:numId w:val="192"/>
        </w:numPr>
        <w:spacing w:line="276" w:lineRule="auto"/>
        <w:rPr>
          <w:rFonts w:eastAsiaTheme="minorHAnsi" w:cs="Times New Roman"/>
          <w:b w:val="0"/>
          <w:szCs w:val="24"/>
          <w:lang w:bidi="tr-TR"/>
        </w:rPr>
      </w:pPr>
      <w:r w:rsidRPr="00F50C10">
        <w:rPr>
          <w:rFonts w:eastAsiaTheme="minorHAnsi" w:cs="Times New Roman"/>
          <w:b w:val="0"/>
          <w:szCs w:val="24"/>
          <w:lang w:bidi="tr-TR"/>
        </w:rPr>
        <w:t>Tesiste dikkate değer iyileştirme: Proses ve/veya bertaraf ünitelerinde ve ilgili ekipmanda yapılan büyük düzenlemeler veya değişikliklerle, bir tesisin tasarımında veya teknolojisinde yapılan büyük değişiklikleri,</w:t>
      </w:r>
    </w:p>
    <w:p w14:paraId="2477F360" w14:textId="77777777" w:rsidR="0064552A" w:rsidRPr="00F50C10" w:rsidRDefault="0064552A" w:rsidP="00A654AE">
      <w:pPr>
        <w:pStyle w:val="Balk1"/>
        <w:numPr>
          <w:ilvl w:val="0"/>
          <w:numId w:val="192"/>
        </w:numPr>
        <w:spacing w:line="276" w:lineRule="auto"/>
        <w:rPr>
          <w:rFonts w:eastAsiaTheme="minorHAnsi" w:cs="Times New Roman"/>
          <w:b w:val="0"/>
          <w:szCs w:val="24"/>
          <w:lang w:bidi="tr-TR"/>
        </w:rPr>
      </w:pPr>
      <w:r w:rsidRPr="00F50C10">
        <w:rPr>
          <w:rFonts w:eastAsiaTheme="minorHAnsi" w:cs="Times New Roman"/>
          <w:b w:val="0"/>
          <w:szCs w:val="24"/>
          <w:lang w:bidi="tr-TR"/>
        </w:rPr>
        <w:t>Yeni tesis:</w:t>
      </w:r>
      <w:r w:rsidRPr="00F50C10">
        <w:rPr>
          <w:rFonts w:eastAsiaTheme="minorHAnsi" w:cs="Times New Roman"/>
          <w:b w:val="0"/>
          <w:szCs w:val="24"/>
          <w:lang w:bidi="tr-TR"/>
        </w:rPr>
        <w:tab/>
        <w:t>Yönetmeliğin yürürlüğe girdiği tarihten itibaren bir sahada kurulmasına ilk defa izin verilen bir tesis veya Yönetmeliğin yayımlanmasının ardından tamamen değiştirilen bir tesisi,</w:t>
      </w:r>
    </w:p>
    <w:p w14:paraId="28C079C0" w14:textId="77777777" w:rsidR="0064552A" w:rsidRPr="00F50C10" w:rsidRDefault="0064552A" w:rsidP="00A654AE">
      <w:pPr>
        <w:pStyle w:val="Balk1"/>
        <w:numPr>
          <w:ilvl w:val="0"/>
          <w:numId w:val="192"/>
        </w:numPr>
        <w:spacing w:line="276" w:lineRule="auto"/>
        <w:rPr>
          <w:rFonts w:eastAsiaTheme="minorHAnsi" w:cs="Times New Roman"/>
          <w:b w:val="0"/>
          <w:szCs w:val="24"/>
          <w:lang w:bidi="tr-TR"/>
        </w:rPr>
      </w:pPr>
      <w:r w:rsidRPr="00F50C10">
        <w:rPr>
          <w:rFonts w:eastAsiaTheme="minorHAnsi" w:cs="Times New Roman"/>
          <w:b w:val="0"/>
          <w:szCs w:val="24"/>
          <w:lang w:bidi="tr-TR"/>
        </w:rPr>
        <w:t>Yeni ünite: Yönetmeliğin yürürlüğe girdiği tarihten itibaren bir sahada kurulmasına ilk defa izin verilen bir ünite veya bu MET sonuçlarının yayımlanmasının ardından tamamen değiştirilen bir ünite,</w:t>
      </w:r>
    </w:p>
    <w:p w14:paraId="7B0B8659" w14:textId="77777777" w:rsidR="0064552A" w:rsidRPr="002B5971" w:rsidRDefault="0064552A" w:rsidP="00A654AE">
      <w:pPr>
        <w:pStyle w:val="ListeParagraf"/>
        <w:numPr>
          <w:ilvl w:val="0"/>
          <w:numId w:val="192"/>
        </w:numPr>
        <w:spacing w:line="276" w:lineRule="auto"/>
        <w:rPr>
          <w:rFonts w:cs="Times New Roman"/>
          <w:szCs w:val="24"/>
          <w:lang w:bidi="tr-TR"/>
        </w:rPr>
      </w:pPr>
      <w:r w:rsidRPr="002B5971">
        <w:rPr>
          <w:rFonts w:cs="Times New Roman"/>
          <w:bCs/>
          <w:szCs w:val="24"/>
          <w:lang w:bidi="tr-TR"/>
        </w:rPr>
        <w:t>Yönetmelik: 14.01.2025</w:t>
      </w:r>
      <w:r w:rsidRPr="00F50C10">
        <w:rPr>
          <w:rFonts w:cs="Times New Roman"/>
          <w:szCs w:val="24"/>
          <w:lang w:bidi="tr-TR"/>
        </w:rPr>
        <w:t xml:space="preserve"> tarihli ve 32782 sayılı Resmi Gazete’de yayımlanarak yürürlüğe giren Endüstriyel</w:t>
      </w:r>
      <w:r>
        <w:rPr>
          <w:rFonts w:cs="Times New Roman"/>
          <w:szCs w:val="24"/>
          <w:lang w:bidi="tr-TR"/>
        </w:rPr>
        <w:t xml:space="preserve"> </w:t>
      </w:r>
      <w:r w:rsidRPr="002B5971">
        <w:rPr>
          <w:rFonts w:cs="Times New Roman"/>
          <w:szCs w:val="24"/>
          <w:lang w:bidi="tr-TR"/>
        </w:rPr>
        <w:t>Emisyonların Yönetimi Yönetmeliğini,</w:t>
      </w:r>
    </w:p>
    <w:p w14:paraId="042E0F1A" w14:textId="77777777" w:rsidR="0064552A" w:rsidRPr="00F50C10" w:rsidRDefault="0064552A" w:rsidP="000B206D">
      <w:pPr>
        <w:spacing w:line="276" w:lineRule="auto"/>
        <w:rPr>
          <w:rFonts w:cs="Times New Roman"/>
          <w:szCs w:val="24"/>
          <w:lang w:bidi="tr-TR"/>
        </w:rPr>
      </w:pPr>
      <w:r w:rsidRPr="00F50C10">
        <w:rPr>
          <w:rFonts w:cs="Times New Roman"/>
          <w:szCs w:val="24"/>
          <w:lang w:bidi="tr-TR"/>
        </w:rPr>
        <w:t>ifade eder.</w:t>
      </w:r>
    </w:p>
    <w:p w14:paraId="76061B34" w14:textId="77777777" w:rsidR="0064552A" w:rsidRPr="00F50C10" w:rsidRDefault="0064552A" w:rsidP="000B206D">
      <w:pPr>
        <w:pStyle w:val="Balk1"/>
        <w:numPr>
          <w:ilvl w:val="0"/>
          <w:numId w:val="0"/>
        </w:numPr>
        <w:spacing w:line="276" w:lineRule="auto"/>
        <w:rPr>
          <w:rFonts w:cs="Times New Roman"/>
          <w:b w:val="0"/>
          <w:szCs w:val="24"/>
        </w:rPr>
      </w:pPr>
      <w:r w:rsidRPr="00F50C10">
        <w:rPr>
          <w:rFonts w:cs="Times New Roman"/>
          <w:b w:val="0"/>
          <w:szCs w:val="24"/>
        </w:rPr>
        <w:t>(2)</w:t>
      </w:r>
      <w:r w:rsidRPr="00F50C10">
        <w:rPr>
          <w:rFonts w:cs="Times New Roman"/>
          <w:szCs w:val="24"/>
        </w:rPr>
        <w:t xml:space="preserve"> </w:t>
      </w:r>
      <w:r w:rsidRPr="00F50C10">
        <w:rPr>
          <w:rFonts w:cs="Times New Roman"/>
          <w:b w:val="0"/>
          <w:szCs w:val="24"/>
        </w:rPr>
        <w:t xml:space="preserve">Bu Tebliğde geçen; teknik terimler ve kısaltmalar ilgili sektör eklerinde yer alır. </w:t>
      </w:r>
    </w:p>
    <w:p w14:paraId="3B2FF4A8" w14:textId="77777777" w:rsidR="007B1B69" w:rsidRPr="00F50C10" w:rsidRDefault="007B1B69" w:rsidP="000B206D">
      <w:pPr>
        <w:pStyle w:val="GvdeMetni"/>
        <w:spacing w:line="276" w:lineRule="auto"/>
        <w:jc w:val="center"/>
        <w:rPr>
          <w:b/>
          <w:sz w:val="24"/>
          <w:szCs w:val="24"/>
        </w:rPr>
      </w:pPr>
    </w:p>
    <w:p w14:paraId="39C99511" w14:textId="77777777" w:rsidR="007B1B69" w:rsidRPr="00F50C10" w:rsidRDefault="007B1B69" w:rsidP="000B206D">
      <w:pPr>
        <w:pStyle w:val="GvdeMetni"/>
        <w:spacing w:line="276" w:lineRule="auto"/>
        <w:jc w:val="center"/>
        <w:rPr>
          <w:b/>
          <w:sz w:val="24"/>
          <w:szCs w:val="24"/>
        </w:rPr>
      </w:pPr>
      <w:r w:rsidRPr="00F50C10">
        <w:rPr>
          <w:b/>
          <w:sz w:val="24"/>
          <w:szCs w:val="24"/>
        </w:rPr>
        <w:t>İKİNCİ BÖLÜM</w:t>
      </w:r>
    </w:p>
    <w:p w14:paraId="05688452" w14:textId="77777777" w:rsidR="007B1B69" w:rsidRPr="00F50C10" w:rsidRDefault="007B1B69" w:rsidP="000B206D">
      <w:pPr>
        <w:pStyle w:val="GvdeMetni"/>
        <w:spacing w:line="276" w:lineRule="auto"/>
        <w:jc w:val="center"/>
        <w:rPr>
          <w:b/>
          <w:sz w:val="24"/>
          <w:szCs w:val="24"/>
        </w:rPr>
      </w:pPr>
      <w:r w:rsidRPr="00F50C10">
        <w:rPr>
          <w:b/>
          <w:sz w:val="24"/>
          <w:szCs w:val="24"/>
        </w:rPr>
        <w:t>Genel Esaslar</w:t>
      </w:r>
    </w:p>
    <w:p w14:paraId="15A8FAC9" w14:textId="77777777" w:rsidR="007B1B69" w:rsidRPr="00F50C10" w:rsidRDefault="007B1B69" w:rsidP="000B206D">
      <w:pPr>
        <w:pStyle w:val="GvdeMetni"/>
        <w:spacing w:line="276" w:lineRule="auto"/>
        <w:jc w:val="both"/>
        <w:rPr>
          <w:sz w:val="24"/>
          <w:szCs w:val="24"/>
        </w:rPr>
      </w:pPr>
    </w:p>
    <w:p w14:paraId="0EA99EF4" w14:textId="77777777" w:rsidR="007B1B69" w:rsidRPr="00F50C10" w:rsidRDefault="007B1B69" w:rsidP="000B206D">
      <w:pPr>
        <w:pStyle w:val="GvdeMetni"/>
        <w:spacing w:line="276" w:lineRule="auto"/>
        <w:jc w:val="both"/>
        <w:rPr>
          <w:b/>
          <w:sz w:val="24"/>
          <w:szCs w:val="24"/>
        </w:rPr>
      </w:pPr>
      <w:r w:rsidRPr="00F50C10">
        <w:rPr>
          <w:b/>
          <w:sz w:val="24"/>
          <w:szCs w:val="24"/>
        </w:rPr>
        <w:t>Genel MET, Sektörel MET ve  MET-İES</w:t>
      </w:r>
    </w:p>
    <w:p w14:paraId="1C43B762" w14:textId="4324C3C3" w:rsidR="007B1B69" w:rsidRPr="00F50C10" w:rsidRDefault="007B1B69" w:rsidP="000B206D">
      <w:pPr>
        <w:pStyle w:val="GvdeMetni"/>
        <w:spacing w:line="276" w:lineRule="auto"/>
        <w:jc w:val="both"/>
        <w:rPr>
          <w:sz w:val="24"/>
          <w:szCs w:val="24"/>
        </w:rPr>
      </w:pPr>
      <w:r w:rsidRPr="00F50C10">
        <w:rPr>
          <w:b/>
          <w:sz w:val="24"/>
          <w:szCs w:val="24"/>
        </w:rPr>
        <w:t xml:space="preserve">MADDE </w:t>
      </w:r>
      <w:r w:rsidR="007F2336" w:rsidRPr="00F50C10">
        <w:rPr>
          <w:b/>
          <w:sz w:val="24"/>
          <w:szCs w:val="24"/>
        </w:rPr>
        <w:t>5</w:t>
      </w:r>
      <w:r w:rsidRPr="00F50C10">
        <w:rPr>
          <w:sz w:val="24"/>
          <w:szCs w:val="24"/>
        </w:rPr>
        <w:t xml:space="preserve">- (1) Kimya sektörü için Mevcut En İyi Teknikler, MET-İES ve ESD’ler </w:t>
      </w:r>
      <w:r w:rsidR="0051758D" w:rsidRPr="00F50C10">
        <w:rPr>
          <w:sz w:val="24"/>
          <w:szCs w:val="24"/>
        </w:rPr>
        <w:t xml:space="preserve">bu </w:t>
      </w:r>
      <w:r w:rsidRPr="00F50C10">
        <w:rPr>
          <w:sz w:val="24"/>
          <w:szCs w:val="24"/>
        </w:rPr>
        <w:t>Tebliğ Ek</w:t>
      </w:r>
      <w:r w:rsidR="0051758D" w:rsidRPr="00F50C10">
        <w:rPr>
          <w:sz w:val="24"/>
          <w:szCs w:val="24"/>
        </w:rPr>
        <w:t xml:space="preserve">lerinde sektörel olarak sıralanmıştır. </w:t>
      </w:r>
      <w:r w:rsidRPr="00F50C10">
        <w:rPr>
          <w:sz w:val="24"/>
          <w:szCs w:val="24"/>
        </w:rPr>
        <w:t xml:space="preserve">. </w:t>
      </w:r>
    </w:p>
    <w:p w14:paraId="77E19191" w14:textId="77777777" w:rsidR="0051758D" w:rsidRPr="00F50C10" w:rsidRDefault="0051758D" w:rsidP="00A654AE">
      <w:pPr>
        <w:pStyle w:val="GvdeMetni"/>
        <w:numPr>
          <w:ilvl w:val="0"/>
          <w:numId w:val="178"/>
        </w:numPr>
        <w:spacing w:line="276" w:lineRule="auto"/>
        <w:jc w:val="both"/>
        <w:rPr>
          <w:sz w:val="24"/>
          <w:szCs w:val="24"/>
        </w:rPr>
      </w:pPr>
      <w:r w:rsidRPr="00F50C10">
        <w:rPr>
          <w:bCs/>
          <w:sz w:val="24"/>
          <w:szCs w:val="24"/>
          <w:lang w:val="es-ES" w:eastAsia="es-ES"/>
        </w:rPr>
        <w:t>Bakanlık 1’inci fıkrada tanımlanan MET ile ilişkili MET-İES aralığında ESD belirleyebilir</w:t>
      </w:r>
      <w:r w:rsidRPr="00F50C10">
        <w:rPr>
          <w:b/>
          <w:sz w:val="24"/>
          <w:szCs w:val="24"/>
          <w:lang w:val="es-ES" w:eastAsia="es-ES"/>
        </w:rPr>
        <w:t>.</w:t>
      </w:r>
    </w:p>
    <w:p w14:paraId="6CDEDBAD" w14:textId="29DDA697" w:rsidR="007B1B69" w:rsidRPr="00F50C10" w:rsidRDefault="007B1B69" w:rsidP="00A654AE">
      <w:pPr>
        <w:pStyle w:val="GvdeMetni"/>
        <w:numPr>
          <w:ilvl w:val="0"/>
          <w:numId w:val="178"/>
        </w:numPr>
        <w:spacing w:line="276" w:lineRule="auto"/>
        <w:jc w:val="both"/>
        <w:rPr>
          <w:sz w:val="24"/>
          <w:szCs w:val="24"/>
        </w:rPr>
      </w:pPr>
      <w:r w:rsidRPr="00F50C10">
        <w:rPr>
          <w:sz w:val="24"/>
          <w:szCs w:val="24"/>
        </w:rPr>
        <w:t xml:space="preserve">Bu Tebliğ </w:t>
      </w:r>
      <w:r w:rsidR="004F2739" w:rsidRPr="00F50C10">
        <w:rPr>
          <w:sz w:val="24"/>
          <w:szCs w:val="24"/>
        </w:rPr>
        <w:t xml:space="preserve">kendi sektörü içinde ilgili </w:t>
      </w:r>
      <w:r w:rsidRPr="00F50C10">
        <w:rPr>
          <w:sz w:val="24"/>
          <w:szCs w:val="24"/>
        </w:rPr>
        <w:t>Ek-1</w:t>
      </w:r>
      <w:r w:rsidR="004F2739" w:rsidRPr="00F50C10">
        <w:rPr>
          <w:sz w:val="24"/>
          <w:szCs w:val="24"/>
        </w:rPr>
        <w:t>, 2, 3, 4, 5</w:t>
      </w:r>
      <w:r w:rsidR="00B020E7">
        <w:rPr>
          <w:sz w:val="24"/>
          <w:szCs w:val="24"/>
        </w:rPr>
        <w:t>,</w:t>
      </w:r>
      <w:r w:rsidR="00C723B6" w:rsidRPr="00F50C10">
        <w:rPr>
          <w:sz w:val="24"/>
          <w:szCs w:val="24"/>
        </w:rPr>
        <w:t xml:space="preserve"> </w:t>
      </w:r>
      <w:r w:rsidR="004F2739" w:rsidRPr="00F50C10">
        <w:rPr>
          <w:sz w:val="24"/>
          <w:szCs w:val="24"/>
        </w:rPr>
        <w:t>6</w:t>
      </w:r>
      <w:r w:rsidR="00B020E7">
        <w:rPr>
          <w:sz w:val="24"/>
          <w:szCs w:val="24"/>
        </w:rPr>
        <w:t xml:space="preserve"> ve 7</w:t>
      </w:r>
      <w:r w:rsidR="00C723B6" w:rsidRPr="00F50C10">
        <w:rPr>
          <w:sz w:val="24"/>
          <w:szCs w:val="24"/>
        </w:rPr>
        <w:t>’d</w:t>
      </w:r>
      <w:r w:rsidR="00B020E7">
        <w:rPr>
          <w:sz w:val="24"/>
          <w:szCs w:val="24"/>
        </w:rPr>
        <w:t>e</w:t>
      </w:r>
      <w:r w:rsidR="00C723B6" w:rsidRPr="00F50C10">
        <w:rPr>
          <w:sz w:val="24"/>
          <w:szCs w:val="24"/>
        </w:rPr>
        <w:t xml:space="preserve"> </w:t>
      </w:r>
      <w:r w:rsidRPr="00F50C10">
        <w:rPr>
          <w:sz w:val="24"/>
          <w:szCs w:val="24"/>
        </w:rPr>
        <w:t>yer alan Genel MET ve Sektörel MET birlikte uygulanır.</w:t>
      </w:r>
    </w:p>
    <w:p w14:paraId="3C9E7B14" w14:textId="57915159" w:rsidR="007B1B69" w:rsidRPr="00F50C10" w:rsidRDefault="007B1B69" w:rsidP="000B206D">
      <w:pPr>
        <w:pStyle w:val="Balk1"/>
        <w:numPr>
          <w:ilvl w:val="0"/>
          <w:numId w:val="0"/>
        </w:numPr>
        <w:spacing w:line="276" w:lineRule="auto"/>
        <w:rPr>
          <w:rFonts w:eastAsia="Times New Roman" w:cs="Times New Roman"/>
          <w:szCs w:val="24"/>
          <w:lang w:val="es-ES" w:eastAsia="es-ES"/>
        </w:rPr>
      </w:pPr>
      <w:r w:rsidRPr="00F50C10">
        <w:rPr>
          <w:rFonts w:eastAsia="Times New Roman" w:cs="Times New Roman"/>
          <w:szCs w:val="24"/>
          <w:lang w:val="es-ES" w:eastAsia="es-ES"/>
        </w:rPr>
        <w:t>MET Uyum Durumu Puanlaması</w:t>
      </w:r>
      <w:r w:rsidR="004D3EE7" w:rsidRPr="00F50C10">
        <w:rPr>
          <w:rFonts w:eastAsia="Times New Roman" w:cs="Times New Roman"/>
          <w:szCs w:val="24"/>
          <w:lang w:val="es-ES" w:eastAsia="es-ES"/>
        </w:rPr>
        <w:t xml:space="preserve"> ve Çevresel Performans Skoru</w:t>
      </w:r>
    </w:p>
    <w:p w14:paraId="7E3AC025" w14:textId="171785EC" w:rsidR="0051758D" w:rsidRPr="00F50C10" w:rsidRDefault="007B1B69" w:rsidP="000B206D">
      <w:pPr>
        <w:pStyle w:val="Balk1"/>
        <w:numPr>
          <w:ilvl w:val="0"/>
          <w:numId w:val="0"/>
        </w:numPr>
        <w:spacing w:line="276" w:lineRule="auto"/>
        <w:rPr>
          <w:rFonts w:eastAsia="Times New Roman" w:cs="Times New Roman"/>
          <w:b w:val="0"/>
          <w:szCs w:val="24"/>
          <w:lang w:val="es-ES" w:eastAsia="es-ES"/>
        </w:rPr>
      </w:pPr>
      <w:r w:rsidRPr="00F50C10">
        <w:rPr>
          <w:rFonts w:eastAsia="Times New Roman" w:cs="Times New Roman"/>
          <w:szCs w:val="24"/>
          <w:lang w:val="es-ES" w:eastAsia="es-ES"/>
        </w:rPr>
        <w:t xml:space="preserve">MADDE </w:t>
      </w:r>
      <w:r w:rsidR="007F2336" w:rsidRPr="00F50C10">
        <w:rPr>
          <w:rFonts w:eastAsia="Times New Roman" w:cs="Times New Roman"/>
          <w:szCs w:val="24"/>
          <w:lang w:val="es-ES" w:eastAsia="es-ES"/>
        </w:rPr>
        <w:t>6</w:t>
      </w:r>
      <w:r w:rsidRPr="00F50C10">
        <w:rPr>
          <w:rFonts w:eastAsia="Times New Roman" w:cs="Times New Roman"/>
          <w:szCs w:val="24"/>
          <w:lang w:val="es-ES" w:eastAsia="es-ES"/>
        </w:rPr>
        <w:t>-</w:t>
      </w:r>
      <w:r w:rsidRPr="00F50C10">
        <w:rPr>
          <w:rFonts w:eastAsia="Times New Roman" w:cs="Times New Roman"/>
          <w:b w:val="0"/>
          <w:szCs w:val="24"/>
          <w:lang w:val="es-ES" w:eastAsia="es-ES"/>
        </w:rPr>
        <w:t xml:space="preserve"> (1) MET’in uyum durumu  </w:t>
      </w:r>
      <w:r w:rsidR="004D3EE7" w:rsidRPr="00F50C10">
        <w:rPr>
          <w:rFonts w:cs="Times New Roman"/>
          <w:b w:val="0"/>
          <w:bCs/>
          <w:szCs w:val="24"/>
        </w:rPr>
        <w:t>Bakanlıkça resmi internet sitesinde yayımlanan sektörel tebliğlerle uyumlu puanlama tablosu ile hesaplanarak SYD belge kategorisi belirlenir.</w:t>
      </w:r>
    </w:p>
    <w:p w14:paraId="0633C716" w14:textId="375E6FC5" w:rsidR="004D3EE7" w:rsidRPr="00F50C10" w:rsidRDefault="0051758D" w:rsidP="000B206D">
      <w:pPr>
        <w:pStyle w:val="Balk1"/>
        <w:numPr>
          <w:ilvl w:val="0"/>
          <w:numId w:val="0"/>
        </w:numPr>
        <w:spacing w:after="120" w:line="276" w:lineRule="auto"/>
        <w:rPr>
          <w:rFonts w:cs="Times New Roman"/>
          <w:b w:val="0"/>
          <w:bCs/>
          <w:szCs w:val="24"/>
        </w:rPr>
      </w:pPr>
      <w:r w:rsidRPr="00F50C10">
        <w:rPr>
          <w:rFonts w:eastAsia="Times New Roman" w:cs="Times New Roman"/>
          <w:b w:val="0"/>
          <w:szCs w:val="24"/>
          <w:lang w:val="es-ES" w:eastAsia="es-ES"/>
        </w:rPr>
        <w:t xml:space="preserve">(2) </w:t>
      </w:r>
      <w:r w:rsidR="004D3EE7" w:rsidRPr="00F50C10">
        <w:rPr>
          <w:rFonts w:cs="Times New Roman"/>
          <w:b w:val="0"/>
          <w:bCs/>
          <w:szCs w:val="24"/>
        </w:rPr>
        <w:t>Tesislerin çapraz medya etkisi gözetilerek, çevresel performans skorları Bakanlıkça resmi internet sitesinde algoritması yayımlanır.</w:t>
      </w:r>
    </w:p>
    <w:p w14:paraId="77D5A2C0" w14:textId="77777777" w:rsidR="004D3EE7" w:rsidRPr="00F50C10" w:rsidRDefault="004D3EE7" w:rsidP="000B206D">
      <w:pPr>
        <w:spacing w:line="276" w:lineRule="auto"/>
        <w:rPr>
          <w:rFonts w:cs="Times New Roman"/>
          <w:szCs w:val="24"/>
        </w:rPr>
      </w:pPr>
    </w:p>
    <w:p w14:paraId="71150AE4" w14:textId="0B3BA6E9" w:rsidR="0051758D" w:rsidRPr="00F50C10" w:rsidRDefault="0051758D" w:rsidP="000B206D">
      <w:pPr>
        <w:pStyle w:val="GvdeMetni"/>
        <w:spacing w:line="276" w:lineRule="auto"/>
        <w:jc w:val="center"/>
        <w:rPr>
          <w:b/>
          <w:sz w:val="24"/>
          <w:szCs w:val="24"/>
        </w:rPr>
      </w:pPr>
      <w:r w:rsidRPr="00F50C10">
        <w:rPr>
          <w:b/>
          <w:sz w:val="24"/>
          <w:szCs w:val="24"/>
        </w:rPr>
        <w:t>ÜÇÜNCÜ BÖLÜM</w:t>
      </w:r>
    </w:p>
    <w:p w14:paraId="4F4FB760" w14:textId="2BD5E8D1" w:rsidR="0051758D" w:rsidRPr="00F50C10" w:rsidRDefault="0051758D" w:rsidP="000B206D">
      <w:pPr>
        <w:pStyle w:val="GvdeMetni"/>
        <w:spacing w:line="276" w:lineRule="auto"/>
        <w:jc w:val="center"/>
        <w:rPr>
          <w:b/>
          <w:sz w:val="24"/>
          <w:szCs w:val="24"/>
        </w:rPr>
      </w:pPr>
      <w:r w:rsidRPr="00F50C10">
        <w:rPr>
          <w:b/>
          <w:sz w:val="24"/>
          <w:szCs w:val="24"/>
        </w:rPr>
        <w:t>Kimya Sektörü İçin MET</w:t>
      </w:r>
    </w:p>
    <w:p w14:paraId="1612B97B" w14:textId="77777777" w:rsidR="00B020E7" w:rsidRDefault="00B020E7" w:rsidP="000B206D">
      <w:pPr>
        <w:pStyle w:val="Balk1"/>
        <w:numPr>
          <w:ilvl w:val="0"/>
          <w:numId w:val="0"/>
        </w:numPr>
        <w:spacing w:after="120" w:line="276" w:lineRule="auto"/>
        <w:rPr>
          <w:rFonts w:cs="Times New Roman"/>
          <w:szCs w:val="24"/>
        </w:rPr>
      </w:pPr>
    </w:p>
    <w:p w14:paraId="3551DAE0" w14:textId="374CBD9B" w:rsidR="004F2739" w:rsidRPr="00F50C10" w:rsidRDefault="00851C63" w:rsidP="000B206D">
      <w:pPr>
        <w:pStyle w:val="Balk1"/>
        <w:numPr>
          <w:ilvl w:val="0"/>
          <w:numId w:val="0"/>
        </w:numPr>
        <w:spacing w:after="120" w:line="276" w:lineRule="auto"/>
        <w:rPr>
          <w:rFonts w:cs="Times New Roman"/>
          <w:szCs w:val="24"/>
        </w:rPr>
      </w:pPr>
      <w:r w:rsidRPr="00F50C10">
        <w:rPr>
          <w:rFonts w:cs="Times New Roman"/>
          <w:szCs w:val="24"/>
        </w:rPr>
        <w:t xml:space="preserve">Büyük Hacimli Organik Kimyasallar </w:t>
      </w:r>
      <w:r w:rsidR="00F7299E" w:rsidRPr="00F50C10">
        <w:rPr>
          <w:rFonts w:cs="Times New Roman"/>
          <w:szCs w:val="24"/>
        </w:rPr>
        <w:t>için</w:t>
      </w:r>
      <w:r w:rsidR="004F2739" w:rsidRPr="00F50C10">
        <w:rPr>
          <w:rFonts w:cs="Times New Roman"/>
          <w:szCs w:val="24"/>
        </w:rPr>
        <w:t xml:space="preserve"> MET</w:t>
      </w:r>
    </w:p>
    <w:p w14:paraId="23AB183E" w14:textId="2FEFB122" w:rsidR="00983114" w:rsidRPr="00F50C10" w:rsidRDefault="00851C63" w:rsidP="000B206D">
      <w:pPr>
        <w:tabs>
          <w:tab w:val="left" w:pos="475"/>
        </w:tabs>
        <w:spacing w:line="276" w:lineRule="auto"/>
        <w:rPr>
          <w:rFonts w:eastAsia="Times New Roman" w:cs="Times New Roman"/>
          <w:szCs w:val="24"/>
        </w:rPr>
      </w:pPr>
      <w:r w:rsidRPr="00B020E7">
        <w:rPr>
          <w:rFonts w:cs="Times New Roman"/>
          <w:b/>
          <w:bCs/>
          <w:szCs w:val="24"/>
        </w:rPr>
        <w:t xml:space="preserve">MADDE </w:t>
      </w:r>
      <w:r w:rsidR="007F2336" w:rsidRPr="00B020E7">
        <w:rPr>
          <w:rFonts w:cs="Times New Roman"/>
          <w:b/>
          <w:bCs/>
          <w:szCs w:val="24"/>
        </w:rPr>
        <w:t>7</w:t>
      </w:r>
      <w:r w:rsidRPr="00B020E7">
        <w:rPr>
          <w:rFonts w:cs="Times New Roman"/>
          <w:b/>
          <w:bCs/>
          <w:szCs w:val="24"/>
        </w:rPr>
        <w:t>-</w:t>
      </w:r>
      <w:r w:rsidRPr="00F50C10">
        <w:rPr>
          <w:rFonts w:cs="Times New Roman"/>
          <w:szCs w:val="24"/>
        </w:rPr>
        <w:t xml:space="preserve"> (1) </w:t>
      </w:r>
      <w:r w:rsidR="005C0A12" w:rsidRPr="00F50C10">
        <w:rPr>
          <w:rFonts w:cs="Times New Roman"/>
          <w:szCs w:val="24"/>
          <w:lang w:bidi="tr-TR"/>
        </w:rPr>
        <w:t xml:space="preserve"> </w:t>
      </w:r>
      <w:r w:rsidR="005C0A12" w:rsidRPr="00F50C10">
        <w:rPr>
          <w:rFonts w:cs="Times New Roman"/>
          <w:bCs/>
          <w:szCs w:val="24"/>
          <w:lang w:bidi="tr-TR"/>
        </w:rPr>
        <w:t>Yönetmelik</w:t>
      </w:r>
      <w:r w:rsidR="00614C27" w:rsidRPr="00F50C10">
        <w:rPr>
          <w:rFonts w:cs="Times New Roman"/>
          <w:bCs/>
          <w:szCs w:val="24"/>
          <w:lang w:bidi="tr-TR"/>
        </w:rPr>
        <w:t xml:space="preserve"> </w:t>
      </w:r>
      <w:r w:rsidR="00614C27" w:rsidRPr="00F50C10">
        <w:rPr>
          <w:rFonts w:cs="Times New Roman"/>
          <w:bCs/>
          <w:szCs w:val="24"/>
        </w:rPr>
        <w:t>Ek 1</w:t>
      </w:r>
      <w:r w:rsidR="00A12A58" w:rsidRPr="00F50C10">
        <w:rPr>
          <w:rFonts w:cs="Times New Roman"/>
          <w:b/>
          <w:bCs/>
          <w:szCs w:val="24"/>
        </w:rPr>
        <w:t>,</w:t>
      </w:r>
      <w:r w:rsidR="00983114" w:rsidRPr="00F50C10">
        <w:rPr>
          <w:rFonts w:eastAsia="Times New Roman" w:cs="Times New Roman"/>
          <w:szCs w:val="24"/>
        </w:rPr>
        <w:t xml:space="preserve"> 4.1.Organik kimyasalların üretimi, örneğin:</w:t>
      </w:r>
    </w:p>
    <w:p w14:paraId="669391CD" w14:textId="3210297E" w:rsidR="00983114" w:rsidRPr="00F50C10" w:rsidRDefault="00983114" w:rsidP="00A654AE">
      <w:pPr>
        <w:pStyle w:val="Balk1"/>
        <w:numPr>
          <w:ilvl w:val="0"/>
          <w:numId w:val="194"/>
        </w:numPr>
        <w:spacing w:after="120" w:line="276" w:lineRule="auto"/>
        <w:rPr>
          <w:rFonts w:cs="Times New Roman"/>
          <w:b w:val="0"/>
          <w:bCs/>
          <w:szCs w:val="24"/>
        </w:rPr>
      </w:pPr>
      <w:r w:rsidRPr="00F50C10">
        <w:rPr>
          <w:rFonts w:cs="Times New Roman"/>
          <w:b w:val="0"/>
          <w:bCs/>
          <w:szCs w:val="24"/>
        </w:rPr>
        <w:t>a.</w:t>
      </w:r>
      <w:r w:rsidRPr="00F50C10">
        <w:rPr>
          <w:rFonts w:eastAsia="Times New Roman" w:cs="Times New Roman"/>
          <w:b w:val="0"/>
          <w:bCs/>
          <w:szCs w:val="24"/>
        </w:rPr>
        <w:t xml:space="preserve"> Basit hidrokarbonlar (düz zincirli[o20], halkalı, doymuş, doymamış, alifatik veya aromatik);</w:t>
      </w:r>
    </w:p>
    <w:p w14:paraId="1E9679D0" w14:textId="2A4CCBAE" w:rsidR="00983114" w:rsidRPr="00F50C10" w:rsidRDefault="00614C27" w:rsidP="00A654AE">
      <w:pPr>
        <w:pStyle w:val="Balk1"/>
        <w:numPr>
          <w:ilvl w:val="0"/>
          <w:numId w:val="194"/>
        </w:numPr>
        <w:spacing w:after="120" w:line="276" w:lineRule="auto"/>
        <w:rPr>
          <w:rFonts w:cs="Times New Roman"/>
          <w:b w:val="0"/>
          <w:bCs/>
          <w:szCs w:val="24"/>
        </w:rPr>
      </w:pPr>
      <w:r w:rsidRPr="00F50C10">
        <w:rPr>
          <w:rFonts w:cs="Times New Roman"/>
          <w:b w:val="0"/>
          <w:bCs/>
          <w:szCs w:val="24"/>
        </w:rPr>
        <w:t>b</w:t>
      </w:r>
      <w:r w:rsidR="00983114" w:rsidRPr="00F50C10">
        <w:rPr>
          <w:rFonts w:cs="Times New Roman"/>
          <w:b w:val="0"/>
          <w:bCs/>
          <w:szCs w:val="24"/>
        </w:rPr>
        <w:t>.</w:t>
      </w:r>
      <w:r w:rsidR="00983114" w:rsidRPr="00F50C10">
        <w:rPr>
          <w:rFonts w:eastAsia="Times New Roman" w:cs="Times New Roman"/>
          <w:b w:val="0"/>
          <w:bCs/>
          <w:szCs w:val="24"/>
        </w:rPr>
        <w:t xml:space="preserve"> Alkoller, aldehitler, ketonlar, karboksilik asit, esterler ve ester, asetat, eter, peroksit, epoksi reçineleri karışımları gibi oksijen içeren hidrokarbonlar,</w:t>
      </w:r>
    </w:p>
    <w:p w14:paraId="603BEDAC" w14:textId="7BDC12FA" w:rsidR="00983114" w:rsidRPr="00F50C10" w:rsidRDefault="00614C27" w:rsidP="00A654AE">
      <w:pPr>
        <w:pStyle w:val="Balk1"/>
        <w:numPr>
          <w:ilvl w:val="0"/>
          <w:numId w:val="194"/>
        </w:numPr>
        <w:spacing w:after="120" w:line="276" w:lineRule="auto"/>
        <w:rPr>
          <w:rFonts w:cs="Times New Roman"/>
          <w:b w:val="0"/>
          <w:bCs/>
          <w:szCs w:val="24"/>
        </w:rPr>
      </w:pPr>
      <w:r w:rsidRPr="00F50C10">
        <w:rPr>
          <w:rFonts w:cs="Times New Roman"/>
          <w:b w:val="0"/>
          <w:bCs/>
          <w:szCs w:val="24"/>
        </w:rPr>
        <w:t>c</w:t>
      </w:r>
      <w:r w:rsidR="00983114" w:rsidRPr="00F50C10">
        <w:rPr>
          <w:rFonts w:cs="Times New Roman"/>
          <w:b w:val="0"/>
          <w:bCs/>
          <w:szCs w:val="24"/>
        </w:rPr>
        <w:t>.</w:t>
      </w:r>
      <w:r w:rsidR="00983114" w:rsidRPr="00F50C10">
        <w:rPr>
          <w:rFonts w:eastAsia="Times New Roman" w:cs="Times New Roman"/>
          <w:b w:val="0"/>
          <w:bCs/>
          <w:szCs w:val="24"/>
        </w:rPr>
        <w:t xml:space="preserve"> Sülfürlü hidrokarbonlar,</w:t>
      </w:r>
    </w:p>
    <w:p w14:paraId="57A4ABC2" w14:textId="3E960D1D" w:rsidR="00983114" w:rsidRPr="00F50C10" w:rsidRDefault="00614C27" w:rsidP="00A654AE">
      <w:pPr>
        <w:pStyle w:val="Balk1"/>
        <w:numPr>
          <w:ilvl w:val="0"/>
          <w:numId w:val="194"/>
        </w:numPr>
        <w:spacing w:after="120" w:line="276" w:lineRule="auto"/>
        <w:rPr>
          <w:rFonts w:cs="Times New Roman"/>
          <w:b w:val="0"/>
          <w:bCs/>
          <w:szCs w:val="24"/>
        </w:rPr>
      </w:pPr>
      <w:r w:rsidRPr="00F50C10">
        <w:rPr>
          <w:rFonts w:cs="Times New Roman"/>
          <w:b w:val="0"/>
          <w:bCs/>
          <w:szCs w:val="24"/>
        </w:rPr>
        <w:t>ç</w:t>
      </w:r>
      <w:r w:rsidR="00983114" w:rsidRPr="00F50C10">
        <w:rPr>
          <w:rFonts w:cs="Times New Roman"/>
          <w:b w:val="0"/>
          <w:bCs/>
          <w:szCs w:val="24"/>
        </w:rPr>
        <w:t>.</w:t>
      </w:r>
      <w:r w:rsidR="003C0A69" w:rsidRPr="00F50C10">
        <w:rPr>
          <w:rFonts w:cs="Times New Roman"/>
          <w:b w:val="0"/>
          <w:bCs/>
          <w:szCs w:val="24"/>
        </w:rPr>
        <w:t xml:space="preserve"> </w:t>
      </w:r>
      <w:r w:rsidR="00983114" w:rsidRPr="00F50C10">
        <w:rPr>
          <w:rFonts w:eastAsia="Times New Roman" w:cs="Times New Roman"/>
          <w:b w:val="0"/>
          <w:bCs/>
          <w:szCs w:val="24"/>
        </w:rPr>
        <w:t>Aminler, amitler, azot bileşikleri, nitro bileşikler, nitrat bileşikleri, nitriller, siyanatlar, izosiyanatlar gibi nitrojenli hidrokarbonlar,</w:t>
      </w:r>
    </w:p>
    <w:p w14:paraId="2B26E59D" w14:textId="238CE915" w:rsidR="00983114" w:rsidRPr="00F50C10" w:rsidRDefault="00983114" w:rsidP="00A654AE">
      <w:pPr>
        <w:pStyle w:val="Balk1"/>
        <w:numPr>
          <w:ilvl w:val="0"/>
          <w:numId w:val="194"/>
        </w:numPr>
        <w:spacing w:after="120" w:line="276" w:lineRule="auto"/>
        <w:rPr>
          <w:rFonts w:cs="Times New Roman"/>
          <w:b w:val="0"/>
          <w:bCs/>
          <w:szCs w:val="24"/>
        </w:rPr>
      </w:pPr>
      <w:r w:rsidRPr="00F50C10">
        <w:rPr>
          <w:rFonts w:cs="Times New Roman"/>
          <w:b w:val="0"/>
          <w:bCs/>
          <w:szCs w:val="24"/>
        </w:rPr>
        <w:t>d.</w:t>
      </w:r>
      <w:r w:rsidR="003C0A69" w:rsidRPr="00F50C10">
        <w:rPr>
          <w:rFonts w:cs="Times New Roman"/>
          <w:b w:val="0"/>
          <w:bCs/>
          <w:szCs w:val="24"/>
        </w:rPr>
        <w:t xml:space="preserve"> </w:t>
      </w:r>
      <w:r w:rsidRPr="00F50C10">
        <w:rPr>
          <w:rFonts w:eastAsia="Times New Roman" w:cs="Times New Roman"/>
          <w:b w:val="0"/>
          <w:bCs/>
          <w:szCs w:val="24"/>
        </w:rPr>
        <w:t>Fosfor içeren hidrokarbonlar,</w:t>
      </w:r>
    </w:p>
    <w:p w14:paraId="5100D2E4" w14:textId="14A01C71" w:rsidR="00983114" w:rsidRPr="00F50C10" w:rsidRDefault="00614C27" w:rsidP="00A654AE">
      <w:pPr>
        <w:pStyle w:val="Balk1"/>
        <w:numPr>
          <w:ilvl w:val="0"/>
          <w:numId w:val="194"/>
        </w:numPr>
        <w:spacing w:after="120" w:line="276" w:lineRule="auto"/>
        <w:rPr>
          <w:rFonts w:cs="Times New Roman"/>
          <w:b w:val="0"/>
          <w:bCs/>
          <w:szCs w:val="24"/>
        </w:rPr>
      </w:pPr>
      <w:r w:rsidRPr="00F50C10">
        <w:rPr>
          <w:rFonts w:cs="Times New Roman"/>
          <w:b w:val="0"/>
          <w:bCs/>
          <w:szCs w:val="24"/>
        </w:rPr>
        <w:t>e</w:t>
      </w:r>
      <w:r w:rsidR="00983114" w:rsidRPr="00F50C10">
        <w:rPr>
          <w:rFonts w:cs="Times New Roman"/>
          <w:b w:val="0"/>
          <w:bCs/>
          <w:szCs w:val="24"/>
        </w:rPr>
        <w:t>.</w:t>
      </w:r>
      <w:r w:rsidR="00983114" w:rsidRPr="00F50C10">
        <w:rPr>
          <w:rFonts w:eastAsia="Times New Roman" w:cs="Times New Roman"/>
          <w:b w:val="0"/>
          <w:bCs/>
          <w:szCs w:val="24"/>
        </w:rPr>
        <w:t xml:space="preserve"> Halojenli hidrokarbonlar,</w:t>
      </w:r>
    </w:p>
    <w:p w14:paraId="5A873083" w14:textId="7B937AA4" w:rsidR="00983114" w:rsidRPr="00F50C10" w:rsidRDefault="00614C27" w:rsidP="00A654AE">
      <w:pPr>
        <w:pStyle w:val="Balk1"/>
        <w:numPr>
          <w:ilvl w:val="0"/>
          <w:numId w:val="194"/>
        </w:numPr>
        <w:spacing w:after="120" w:line="276" w:lineRule="auto"/>
        <w:rPr>
          <w:rFonts w:cs="Times New Roman"/>
          <w:b w:val="0"/>
          <w:bCs/>
          <w:szCs w:val="24"/>
        </w:rPr>
      </w:pPr>
      <w:r w:rsidRPr="00F50C10">
        <w:rPr>
          <w:rFonts w:cs="Times New Roman"/>
          <w:b w:val="0"/>
          <w:bCs/>
          <w:szCs w:val="24"/>
        </w:rPr>
        <w:t>f</w:t>
      </w:r>
      <w:r w:rsidR="00983114" w:rsidRPr="00F50C10">
        <w:rPr>
          <w:rFonts w:cs="Times New Roman"/>
          <w:b w:val="0"/>
          <w:bCs/>
          <w:szCs w:val="24"/>
        </w:rPr>
        <w:t>.</w:t>
      </w:r>
      <w:r w:rsidR="003C0A69" w:rsidRPr="00F50C10">
        <w:rPr>
          <w:rFonts w:cs="Times New Roman"/>
          <w:b w:val="0"/>
          <w:bCs/>
          <w:szCs w:val="24"/>
        </w:rPr>
        <w:t xml:space="preserve"> </w:t>
      </w:r>
      <w:r w:rsidR="00983114" w:rsidRPr="00F50C10">
        <w:rPr>
          <w:rFonts w:eastAsia="Times New Roman" w:cs="Times New Roman"/>
          <w:b w:val="0"/>
          <w:bCs/>
          <w:szCs w:val="24"/>
        </w:rPr>
        <w:t>Organometalik bileşikler,</w:t>
      </w:r>
    </w:p>
    <w:p w14:paraId="7E80C16F" w14:textId="4F1BC45D" w:rsidR="00983114" w:rsidRPr="00F50C10" w:rsidRDefault="000F2ABD" w:rsidP="00A654AE">
      <w:pPr>
        <w:pStyle w:val="Balk1"/>
        <w:numPr>
          <w:ilvl w:val="0"/>
          <w:numId w:val="194"/>
        </w:numPr>
        <w:spacing w:after="120" w:line="276" w:lineRule="auto"/>
        <w:rPr>
          <w:rFonts w:cs="Times New Roman"/>
          <w:b w:val="0"/>
          <w:bCs/>
          <w:szCs w:val="24"/>
        </w:rPr>
      </w:pPr>
      <w:r w:rsidRPr="00F50C10">
        <w:rPr>
          <w:rFonts w:cs="Times New Roman"/>
          <w:b w:val="0"/>
          <w:bCs/>
          <w:szCs w:val="24"/>
        </w:rPr>
        <w:t>h</w:t>
      </w:r>
      <w:r w:rsidR="00983114" w:rsidRPr="00F50C10">
        <w:rPr>
          <w:rFonts w:cs="Times New Roman"/>
          <w:b w:val="0"/>
          <w:bCs/>
          <w:szCs w:val="24"/>
        </w:rPr>
        <w:t>.</w:t>
      </w:r>
      <w:r w:rsidR="0010082E" w:rsidRPr="00F50C10">
        <w:rPr>
          <w:rFonts w:cs="Times New Roman"/>
          <w:b w:val="0"/>
          <w:bCs/>
          <w:szCs w:val="24"/>
        </w:rPr>
        <w:t xml:space="preserve">  </w:t>
      </w:r>
      <w:r w:rsidRPr="00F50C10">
        <w:rPr>
          <w:rFonts w:eastAsia="Times New Roman" w:cs="Times New Roman"/>
          <w:b w:val="0"/>
          <w:bCs/>
          <w:szCs w:val="24"/>
        </w:rPr>
        <w:t>Yüzey aktif maddeler</w:t>
      </w:r>
      <w:r w:rsidR="00983114" w:rsidRPr="00F50C10">
        <w:rPr>
          <w:rFonts w:eastAsia="Times New Roman" w:cs="Times New Roman"/>
          <w:b w:val="0"/>
          <w:bCs/>
          <w:szCs w:val="24"/>
        </w:rPr>
        <w:t>,</w:t>
      </w:r>
    </w:p>
    <w:p w14:paraId="6986E527" w14:textId="0853A05C" w:rsidR="000F2ABD" w:rsidRPr="00F50C10" w:rsidRDefault="0010082E" w:rsidP="00A654AE">
      <w:pPr>
        <w:pStyle w:val="Balk1"/>
        <w:numPr>
          <w:ilvl w:val="0"/>
          <w:numId w:val="194"/>
        </w:numPr>
        <w:spacing w:after="120" w:line="276" w:lineRule="auto"/>
        <w:rPr>
          <w:rFonts w:cs="Times New Roman"/>
          <w:b w:val="0"/>
          <w:bCs/>
          <w:szCs w:val="24"/>
        </w:rPr>
      </w:pPr>
      <w:r w:rsidRPr="00F50C10">
        <w:rPr>
          <w:rFonts w:cs="Times New Roman"/>
          <w:b w:val="0"/>
          <w:bCs/>
          <w:szCs w:val="24"/>
        </w:rPr>
        <w:t>4.2.d</w:t>
      </w:r>
      <w:r w:rsidR="00983114" w:rsidRPr="00F50C10">
        <w:rPr>
          <w:rFonts w:cs="Times New Roman"/>
          <w:b w:val="0"/>
          <w:bCs/>
          <w:szCs w:val="24"/>
        </w:rPr>
        <w:t>. Ağır metaller, metal oksitler ve kalsiyum karpit silikon, silikon karpit gibi, diğer inorganik bileşikler</w:t>
      </w:r>
      <w:bookmarkStart w:id="1" w:name="_heading=h.2et92p0" w:colFirst="0" w:colLast="0"/>
      <w:bookmarkEnd w:id="1"/>
    </w:p>
    <w:p w14:paraId="10C07901" w14:textId="19AEFF5A" w:rsidR="00614C27" w:rsidRPr="00F50C10" w:rsidRDefault="0000299C" w:rsidP="000B206D">
      <w:pPr>
        <w:pStyle w:val="Balk1"/>
        <w:numPr>
          <w:ilvl w:val="0"/>
          <w:numId w:val="0"/>
        </w:numPr>
        <w:spacing w:after="120" w:line="276" w:lineRule="auto"/>
        <w:rPr>
          <w:rFonts w:cs="Times New Roman"/>
          <w:szCs w:val="24"/>
        </w:rPr>
      </w:pPr>
      <w:r w:rsidRPr="00F50C10">
        <w:rPr>
          <w:rFonts w:cs="Times New Roman"/>
          <w:b w:val="0"/>
          <w:bCs/>
          <w:szCs w:val="24"/>
        </w:rPr>
        <w:t xml:space="preserve">faaliyetleri </w:t>
      </w:r>
      <w:r w:rsidR="00614C27" w:rsidRPr="00F50C10">
        <w:rPr>
          <w:rFonts w:cs="Times New Roman"/>
          <w:b w:val="0"/>
          <w:bCs/>
          <w:szCs w:val="24"/>
        </w:rPr>
        <w:t xml:space="preserve">bu Tebliğ Ek </w:t>
      </w:r>
      <w:r w:rsidR="007C2D79" w:rsidRPr="00F50C10">
        <w:rPr>
          <w:rFonts w:cs="Times New Roman"/>
          <w:b w:val="0"/>
          <w:bCs/>
          <w:szCs w:val="24"/>
        </w:rPr>
        <w:t>1</w:t>
      </w:r>
      <w:r w:rsidR="00614C27" w:rsidRPr="00F50C10">
        <w:rPr>
          <w:rFonts w:cs="Times New Roman"/>
          <w:b w:val="0"/>
          <w:bCs/>
          <w:szCs w:val="24"/>
        </w:rPr>
        <w:t>’de yer alan hususlara göre değerlendirilir.</w:t>
      </w:r>
      <w:r w:rsidR="00614C27" w:rsidRPr="00F50C10">
        <w:rPr>
          <w:rFonts w:cs="Times New Roman"/>
          <w:szCs w:val="24"/>
        </w:rPr>
        <w:t xml:space="preserve"> </w:t>
      </w:r>
    </w:p>
    <w:p w14:paraId="7E3E9391" w14:textId="6F8DB6F9" w:rsidR="00D8591E" w:rsidRPr="00F50C10" w:rsidRDefault="00D8591E" w:rsidP="00A654AE">
      <w:pPr>
        <w:pStyle w:val="ListeParagraf"/>
        <w:numPr>
          <w:ilvl w:val="0"/>
          <w:numId w:val="181"/>
        </w:numPr>
        <w:spacing w:line="276" w:lineRule="auto"/>
        <w:rPr>
          <w:rFonts w:cs="Times New Roman"/>
          <w:szCs w:val="24"/>
        </w:rPr>
      </w:pPr>
      <w:r w:rsidRPr="00F50C10">
        <w:rPr>
          <w:rFonts w:cs="Times New Roman"/>
          <w:szCs w:val="24"/>
        </w:rPr>
        <w:t xml:space="preserve">Bu Tebliğ Ek </w:t>
      </w:r>
      <w:r w:rsidR="007C2D79" w:rsidRPr="00F50C10">
        <w:rPr>
          <w:rFonts w:cs="Times New Roman"/>
          <w:szCs w:val="24"/>
        </w:rPr>
        <w:t>1</w:t>
      </w:r>
      <w:r w:rsidRPr="00F50C10">
        <w:rPr>
          <w:rFonts w:cs="Times New Roman"/>
          <w:szCs w:val="24"/>
        </w:rPr>
        <w:t xml:space="preserve"> aynı zamanda </w:t>
      </w:r>
      <w:r w:rsidR="004F2739" w:rsidRPr="00F50C10">
        <w:rPr>
          <w:rFonts w:cs="Times New Roman"/>
          <w:szCs w:val="24"/>
        </w:rPr>
        <w:t>Yönetmelik</w:t>
      </w:r>
      <w:r w:rsidRPr="00F50C10">
        <w:rPr>
          <w:rFonts w:cs="Times New Roman"/>
          <w:szCs w:val="24"/>
        </w:rPr>
        <w:t xml:space="preserve">  Ek </w:t>
      </w:r>
      <w:r w:rsidR="0051758D" w:rsidRPr="00F50C10">
        <w:rPr>
          <w:rFonts w:cs="Times New Roman"/>
          <w:szCs w:val="24"/>
        </w:rPr>
        <w:t>1</w:t>
      </w:r>
      <w:r w:rsidRPr="00F50C10">
        <w:rPr>
          <w:rFonts w:cs="Times New Roman"/>
          <w:szCs w:val="24"/>
        </w:rPr>
        <w:t xml:space="preserve"> Kısım 4.2</w:t>
      </w:r>
      <w:r w:rsidR="003C0A69" w:rsidRPr="00F50C10">
        <w:rPr>
          <w:rFonts w:cs="Times New Roman"/>
          <w:szCs w:val="24"/>
        </w:rPr>
        <w:t>.</w:t>
      </w:r>
      <w:r w:rsidRPr="00F50C10">
        <w:rPr>
          <w:rFonts w:cs="Times New Roman"/>
          <w:szCs w:val="24"/>
        </w:rPr>
        <w:t>d</w:t>
      </w:r>
      <w:r w:rsidR="00A12A58" w:rsidRPr="00F50C10">
        <w:rPr>
          <w:rFonts w:cs="Times New Roman"/>
          <w:szCs w:val="24"/>
        </w:rPr>
        <w:t xml:space="preserve"> kapsamında</w:t>
      </w:r>
      <w:r w:rsidRPr="00F50C10">
        <w:rPr>
          <w:rFonts w:cs="Times New Roman"/>
          <w:szCs w:val="24"/>
        </w:rPr>
        <w:t xml:space="preserve"> hidrojen peroksit üretimini de kapsar.</w:t>
      </w:r>
    </w:p>
    <w:p w14:paraId="567A236B" w14:textId="6043F619" w:rsidR="0038267A" w:rsidRPr="00F50C10" w:rsidRDefault="00D8591E" w:rsidP="00A654AE">
      <w:pPr>
        <w:pStyle w:val="ListeParagraf"/>
        <w:numPr>
          <w:ilvl w:val="0"/>
          <w:numId w:val="181"/>
        </w:numPr>
        <w:spacing w:line="276" w:lineRule="auto"/>
        <w:rPr>
          <w:rFonts w:cs="Times New Roman"/>
          <w:szCs w:val="24"/>
        </w:rPr>
      </w:pPr>
      <w:r w:rsidRPr="00F50C10">
        <w:rPr>
          <w:rFonts w:cs="Times New Roman"/>
          <w:szCs w:val="24"/>
        </w:rPr>
        <w:t xml:space="preserve">Bu Tebliğ Ek </w:t>
      </w:r>
      <w:r w:rsidR="007C2D79" w:rsidRPr="00F50C10">
        <w:rPr>
          <w:rFonts w:cs="Times New Roman"/>
          <w:szCs w:val="24"/>
        </w:rPr>
        <w:t>1</w:t>
      </w:r>
      <w:r w:rsidRPr="00F50C10">
        <w:rPr>
          <w:rFonts w:cs="Times New Roman"/>
          <w:szCs w:val="24"/>
        </w:rPr>
        <w:t>,</w:t>
      </w:r>
      <w:r w:rsidR="0038267A" w:rsidRPr="00F50C10">
        <w:rPr>
          <w:rFonts w:cs="Times New Roman"/>
          <w:szCs w:val="24"/>
        </w:rPr>
        <w:t xml:space="preserve"> </w:t>
      </w:r>
      <w:r w:rsidRPr="00F50C10">
        <w:rPr>
          <w:rFonts w:cs="Times New Roman"/>
          <w:szCs w:val="24"/>
        </w:rPr>
        <w:t>yukarıda bahsedilen faaliyetlerin bir parçası olduğu durumlarda yakıtların proses fırınlarında/ısıtıcılarında yakılmasını kapsar.</w:t>
      </w:r>
    </w:p>
    <w:p w14:paraId="6EEFC41E" w14:textId="26F27CC1" w:rsidR="00D8591E" w:rsidRPr="00F50C10" w:rsidRDefault="00D8591E" w:rsidP="00A654AE">
      <w:pPr>
        <w:pStyle w:val="ListeParagraf"/>
        <w:numPr>
          <w:ilvl w:val="0"/>
          <w:numId w:val="181"/>
        </w:numPr>
        <w:spacing w:line="276" w:lineRule="auto"/>
        <w:rPr>
          <w:rFonts w:cs="Times New Roman"/>
          <w:szCs w:val="24"/>
        </w:rPr>
      </w:pPr>
      <w:r w:rsidRPr="00F50C10">
        <w:rPr>
          <w:rFonts w:cs="Times New Roman"/>
          <w:szCs w:val="24"/>
        </w:rPr>
        <w:t xml:space="preserve">Bu </w:t>
      </w:r>
      <w:r w:rsidR="0038267A" w:rsidRPr="00F50C10">
        <w:rPr>
          <w:rFonts w:cs="Times New Roman"/>
          <w:szCs w:val="24"/>
        </w:rPr>
        <w:t xml:space="preserve">Tebliğ Ek </w:t>
      </w:r>
      <w:r w:rsidR="007C2D79" w:rsidRPr="00F50C10">
        <w:rPr>
          <w:rFonts w:cs="Times New Roman"/>
          <w:szCs w:val="24"/>
        </w:rPr>
        <w:t>1</w:t>
      </w:r>
      <w:r w:rsidRPr="00F50C10">
        <w:rPr>
          <w:rFonts w:cs="Times New Roman"/>
          <w:szCs w:val="24"/>
        </w:rPr>
        <w:t>,</w:t>
      </w:r>
      <w:r w:rsidR="0038267A" w:rsidRPr="00F50C10">
        <w:rPr>
          <w:rFonts w:cs="Times New Roman"/>
          <w:szCs w:val="24"/>
        </w:rPr>
        <w:t xml:space="preserve"> </w:t>
      </w:r>
      <w:r w:rsidRPr="00F50C10">
        <w:rPr>
          <w:rFonts w:cs="Times New Roman"/>
          <w:szCs w:val="24"/>
        </w:rPr>
        <w:t>yukarıda belirtilen kimyasalların toplam üretim kapasitesinin 20 kt/yıl’ı aştığı sürekli proseslerde</w:t>
      </w:r>
      <w:r w:rsidR="003C0A69" w:rsidRPr="00F50C10">
        <w:rPr>
          <w:rFonts w:cs="Times New Roman"/>
          <w:szCs w:val="24"/>
        </w:rPr>
        <w:t>ki</w:t>
      </w:r>
      <w:r w:rsidRPr="00F50C10">
        <w:rPr>
          <w:rFonts w:cs="Times New Roman"/>
          <w:szCs w:val="24"/>
        </w:rPr>
        <w:t xml:space="preserve"> üretimi kapsar.</w:t>
      </w:r>
    </w:p>
    <w:p w14:paraId="5FCE1119" w14:textId="4604E36E" w:rsidR="00D8591E" w:rsidRPr="00F50C10" w:rsidRDefault="00D8591E" w:rsidP="00A654AE">
      <w:pPr>
        <w:pStyle w:val="ListeParagraf"/>
        <w:numPr>
          <w:ilvl w:val="0"/>
          <w:numId w:val="181"/>
        </w:numPr>
        <w:spacing w:line="276" w:lineRule="auto"/>
        <w:rPr>
          <w:rFonts w:cs="Times New Roman"/>
          <w:szCs w:val="24"/>
        </w:rPr>
      </w:pPr>
      <w:r w:rsidRPr="00F50C10">
        <w:rPr>
          <w:rFonts w:cs="Times New Roman"/>
          <w:szCs w:val="24"/>
        </w:rPr>
        <w:t xml:space="preserve">Bu </w:t>
      </w:r>
      <w:r w:rsidR="004F2739" w:rsidRPr="00F50C10">
        <w:rPr>
          <w:rFonts w:cs="Times New Roman"/>
          <w:szCs w:val="24"/>
        </w:rPr>
        <w:t>Tebliğde yer alan MET</w:t>
      </w:r>
      <w:r w:rsidRPr="00F50C10">
        <w:rPr>
          <w:rFonts w:cs="Times New Roman"/>
          <w:szCs w:val="24"/>
        </w:rPr>
        <w:t xml:space="preserve"> aşağıdakileri ele almamaktadır:</w:t>
      </w:r>
    </w:p>
    <w:p w14:paraId="754D104B" w14:textId="4FFF4AD4" w:rsidR="00D8591E" w:rsidRPr="00F50C10" w:rsidRDefault="00D8591E" w:rsidP="00A654AE">
      <w:pPr>
        <w:pStyle w:val="GvdeMetni"/>
        <w:numPr>
          <w:ilvl w:val="0"/>
          <w:numId w:val="134"/>
        </w:numPr>
        <w:spacing w:after="120" w:line="276" w:lineRule="auto"/>
        <w:rPr>
          <w:sz w:val="24"/>
          <w:szCs w:val="24"/>
        </w:rPr>
      </w:pPr>
      <w:r w:rsidRPr="00F50C10">
        <w:rPr>
          <w:sz w:val="24"/>
          <w:szCs w:val="24"/>
        </w:rPr>
        <w:t xml:space="preserve">yakıtların proses fırını/ısıtıcısı veya termal/katalitik oksitleyici dışında yakılması; </w:t>
      </w:r>
      <w:r w:rsidR="00D4361D" w:rsidRPr="00F50C10">
        <w:rPr>
          <w:sz w:val="24"/>
          <w:szCs w:val="24"/>
        </w:rPr>
        <w:t>Enerji Sektörü</w:t>
      </w:r>
      <w:r w:rsidR="00F35E77" w:rsidRPr="00F50C10">
        <w:rPr>
          <w:sz w:val="24"/>
          <w:szCs w:val="24"/>
        </w:rPr>
        <w:t xml:space="preserve"> Mevcut En İyi Teknikler </w:t>
      </w:r>
      <w:r w:rsidR="00D4361D" w:rsidRPr="00F50C10">
        <w:rPr>
          <w:sz w:val="24"/>
          <w:szCs w:val="24"/>
        </w:rPr>
        <w:t xml:space="preserve"> Tebliği </w:t>
      </w:r>
      <w:r w:rsidRPr="00F50C10">
        <w:rPr>
          <w:sz w:val="24"/>
          <w:szCs w:val="24"/>
        </w:rPr>
        <w:t xml:space="preserve">Büyük Yakma Tesisleri için MET </w:t>
      </w:r>
      <w:r w:rsidR="00D4361D" w:rsidRPr="00F50C10">
        <w:rPr>
          <w:sz w:val="24"/>
          <w:szCs w:val="24"/>
        </w:rPr>
        <w:t>k</w:t>
      </w:r>
      <w:r w:rsidRPr="00F50C10">
        <w:rPr>
          <w:sz w:val="24"/>
          <w:szCs w:val="24"/>
        </w:rPr>
        <w:t>apsamında olabilir;</w:t>
      </w:r>
    </w:p>
    <w:p w14:paraId="28770EA6" w14:textId="3A3BA902" w:rsidR="00D8591E" w:rsidRPr="00F50C10" w:rsidRDefault="00D8591E" w:rsidP="00A654AE">
      <w:pPr>
        <w:pStyle w:val="GvdeMetni"/>
        <w:numPr>
          <w:ilvl w:val="0"/>
          <w:numId w:val="134"/>
        </w:numPr>
        <w:spacing w:after="120" w:line="276" w:lineRule="auto"/>
        <w:rPr>
          <w:sz w:val="24"/>
          <w:szCs w:val="24"/>
        </w:rPr>
      </w:pPr>
      <w:r w:rsidRPr="00F50C10">
        <w:rPr>
          <w:sz w:val="24"/>
          <w:szCs w:val="24"/>
        </w:rPr>
        <w:t xml:space="preserve">atıkların yakılması; </w:t>
      </w:r>
      <w:r w:rsidR="00D4361D" w:rsidRPr="00F50C10">
        <w:rPr>
          <w:sz w:val="24"/>
          <w:szCs w:val="24"/>
        </w:rPr>
        <w:t>Atık Sektörü</w:t>
      </w:r>
      <w:r w:rsidR="00F35E77" w:rsidRPr="00F50C10">
        <w:rPr>
          <w:sz w:val="24"/>
          <w:szCs w:val="24"/>
        </w:rPr>
        <w:t>nde Mevcut EN İyi teknikler</w:t>
      </w:r>
      <w:r w:rsidR="00D4361D" w:rsidRPr="00F50C10">
        <w:rPr>
          <w:sz w:val="24"/>
          <w:szCs w:val="24"/>
        </w:rPr>
        <w:t xml:space="preserve"> Tebliği</w:t>
      </w:r>
      <w:r w:rsidRPr="00F50C10">
        <w:rPr>
          <w:sz w:val="24"/>
          <w:szCs w:val="24"/>
        </w:rPr>
        <w:t xml:space="preserve"> Atık Yakma için MET kapsamında olabilir;</w:t>
      </w:r>
    </w:p>
    <w:p w14:paraId="7A79C474" w14:textId="2826515E" w:rsidR="00D8591E" w:rsidRPr="00F50C10" w:rsidRDefault="004F2739" w:rsidP="00A654AE">
      <w:pPr>
        <w:pStyle w:val="GvdeMetni"/>
        <w:numPr>
          <w:ilvl w:val="0"/>
          <w:numId w:val="134"/>
        </w:numPr>
        <w:spacing w:after="120" w:line="276" w:lineRule="auto"/>
        <w:rPr>
          <w:sz w:val="24"/>
          <w:szCs w:val="24"/>
        </w:rPr>
      </w:pPr>
      <w:r w:rsidRPr="00F50C10">
        <w:rPr>
          <w:sz w:val="24"/>
          <w:szCs w:val="24"/>
        </w:rPr>
        <w:t xml:space="preserve">Yönetmelik </w:t>
      </w:r>
      <w:r w:rsidR="00D8591E" w:rsidRPr="00F50C10">
        <w:rPr>
          <w:sz w:val="24"/>
          <w:szCs w:val="24"/>
        </w:rPr>
        <w:t xml:space="preserve">Ek I Kısım 6.4 (b)(ii)'deki faaliyet tanımı kapsamındaki bir tesiste veya böyle bir tesisle doğrudan ilişkili bir faaliyet olarak gerçekleşen etanol üretimi; </w:t>
      </w:r>
      <w:r w:rsidR="00D4361D" w:rsidRPr="00F50C10">
        <w:rPr>
          <w:sz w:val="24"/>
          <w:szCs w:val="24"/>
        </w:rPr>
        <w:t xml:space="preserve">Diğer </w:t>
      </w:r>
      <w:r w:rsidR="00F35E77" w:rsidRPr="00F50C10">
        <w:rPr>
          <w:sz w:val="24"/>
          <w:szCs w:val="24"/>
        </w:rPr>
        <w:t>Ü</w:t>
      </w:r>
      <w:r w:rsidR="00747473" w:rsidRPr="00F50C10">
        <w:rPr>
          <w:sz w:val="24"/>
          <w:szCs w:val="24"/>
        </w:rPr>
        <w:t xml:space="preserve">retim Faaliyetlerinde Mevcut En </w:t>
      </w:r>
      <w:r w:rsidR="00F35E77" w:rsidRPr="00F50C10">
        <w:rPr>
          <w:sz w:val="24"/>
          <w:szCs w:val="24"/>
        </w:rPr>
        <w:t>İyi Teknikler</w:t>
      </w:r>
      <w:r w:rsidR="00D4361D" w:rsidRPr="00F50C10">
        <w:rPr>
          <w:sz w:val="24"/>
          <w:szCs w:val="24"/>
        </w:rPr>
        <w:t xml:space="preserve"> Tebliği</w:t>
      </w:r>
      <w:r w:rsidR="00D8591E" w:rsidRPr="00F50C10">
        <w:rPr>
          <w:sz w:val="24"/>
          <w:szCs w:val="24"/>
        </w:rPr>
        <w:t xml:space="preserve"> Yiyecek, İçecek ve Süt Endüstrileri</w:t>
      </w:r>
      <w:r w:rsidR="00D4361D" w:rsidRPr="00F50C10">
        <w:rPr>
          <w:sz w:val="24"/>
          <w:szCs w:val="24"/>
        </w:rPr>
        <w:t xml:space="preserve"> </w:t>
      </w:r>
      <w:r w:rsidR="00D8591E" w:rsidRPr="00F50C10">
        <w:rPr>
          <w:sz w:val="24"/>
          <w:szCs w:val="24"/>
        </w:rPr>
        <w:t>için MET kapsamında olabilir.</w:t>
      </w:r>
    </w:p>
    <w:p w14:paraId="2D068CDD" w14:textId="60E0556D" w:rsidR="0038267A" w:rsidRPr="00F50C10" w:rsidRDefault="004F2739" w:rsidP="000B206D">
      <w:pPr>
        <w:pStyle w:val="Balk1"/>
        <w:numPr>
          <w:ilvl w:val="0"/>
          <w:numId w:val="0"/>
        </w:numPr>
        <w:spacing w:line="276" w:lineRule="auto"/>
        <w:ind w:left="432" w:hanging="432"/>
        <w:rPr>
          <w:rFonts w:cs="Times New Roman"/>
          <w:szCs w:val="24"/>
        </w:rPr>
      </w:pPr>
      <w:r w:rsidRPr="00F50C10">
        <w:rPr>
          <w:rFonts w:cs="Times New Roman"/>
          <w:szCs w:val="24"/>
        </w:rPr>
        <w:t xml:space="preserve">Büyük Hacimli Organik Kimyasallar ile </w:t>
      </w:r>
      <w:r w:rsidR="0038267A" w:rsidRPr="00F50C10">
        <w:rPr>
          <w:rFonts w:cs="Times New Roman"/>
          <w:szCs w:val="24"/>
        </w:rPr>
        <w:t>İlişkili Diğer Tebliğler ve Dokümanlar</w:t>
      </w:r>
    </w:p>
    <w:p w14:paraId="71879C1F" w14:textId="6ECC7EBF" w:rsidR="0038267A" w:rsidRPr="00F50C10" w:rsidRDefault="0038267A" w:rsidP="000B206D">
      <w:pPr>
        <w:pStyle w:val="GvdeMetni"/>
        <w:spacing w:after="120" w:line="276" w:lineRule="auto"/>
        <w:jc w:val="both"/>
        <w:rPr>
          <w:b/>
          <w:sz w:val="24"/>
          <w:szCs w:val="24"/>
        </w:rPr>
      </w:pPr>
      <w:r w:rsidRPr="00F50C10">
        <w:rPr>
          <w:b/>
          <w:sz w:val="24"/>
          <w:szCs w:val="24"/>
        </w:rPr>
        <w:t xml:space="preserve">MADDE- </w:t>
      </w:r>
      <w:r w:rsidR="007F2336" w:rsidRPr="00F50C10">
        <w:rPr>
          <w:b/>
          <w:sz w:val="24"/>
          <w:szCs w:val="24"/>
        </w:rPr>
        <w:t>8</w:t>
      </w:r>
      <w:r w:rsidR="007F2336" w:rsidRPr="00F50C10">
        <w:rPr>
          <w:sz w:val="24"/>
          <w:szCs w:val="24"/>
        </w:rPr>
        <w:t xml:space="preserve"> (1) </w:t>
      </w:r>
      <w:r w:rsidRPr="00F50C10">
        <w:rPr>
          <w:sz w:val="24"/>
          <w:szCs w:val="24"/>
        </w:rPr>
        <w:t xml:space="preserve">Bu tebliğ </w:t>
      </w:r>
      <w:r w:rsidR="0010082E" w:rsidRPr="00F50C10">
        <w:rPr>
          <w:sz w:val="24"/>
          <w:szCs w:val="24"/>
        </w:rPr>
        <w:t xml:space="preserve">EK 1 </w:t>
      </w:r>
      <w:r w:rsidRPr="00F50C10">
        <w:rPr>
          <w:sz w:val="24"/>
          <w:szCs w:val="24"/>
        </w:rPr>
        <w:t>kapsamına giren tesislerin Sanayide Yeşil Dönüşüm Belgelendirme sürecinde aşağıdaki tebliğlerin ilgili hükümlerinin de sağlanması esastır.</w:t>
      </w:r>
    </w:p>
    <w:p w14:paraId="546FBE50" w14:textId="193A2066" w:rsidR="00CC4473" w:rsidRPr="00F50C10" w:rsidRDefault="00CC4473" w:rsidP="000B206D">
      <w:pPr>
        <w:pStyle w:val="GvdeMetni"/>
        <w:spacing w:after="120" w:line="276" w:lineRule="auto"/>
        <w:ind w:left="720"/>
        <w:jc w:val="both"/>
        <w:rPr>
          <w:sz w:val="24"/>
          <w:szCs w:val="24"/>
        </w:rPr>
      </w:pPr>
      <w:r w:rsidRPr="00F50C10">
        <w:rPr>
          <w:sz w:val="24"/>
          <w:szCs w:val="24"/>
        </w:rPr>
        <w:t xml:space="preserve">a) </w:t>
      </w:r>
      <w:r w:rsidR="00F35E77" w:rsidRPr="00F50C10">
        <w:rPr>
          <w:sz w:val="24"/>
          <w:szCs w:val="24"/>
        </w:rPr>
        <w:t>Diğer Üretim Faaliyetlerinde Mevcut En İyi Teknikler Tebliği - Ortak ve Bağımsız Atıksu Arıtma Tesisleri</w:t>
      </w:r>
      <w:r w:rsidR="00D4361D" w:rsidRPr="00F50C10">
        <w:rPr>
          <w:sz w:val="24"/>
          <w:szCs w:val="24"/>
        </w:rPr>
        <w:t>,</w:t>
      </w:r>
    </w:p>
    <w:p w14:paraId="79A6D744" w14:textId="17633833" w:rsidR="007F2336" w:rsidRPr="00F50C10" w:rsidRDefault="00CC4473" w:rsidP="000B206D">
      <w:pPr>
        <w:pStyle w:val="GvdeMetni"/>
        <w:spacing w:after="120" w:line="276" w:lineRule="auto"/>
        <w:ind w:left="720"/>
        <w:jc w:val="both"/>
        <w:rPr>
          <w:sz w:val="24"/>
          <w:szCs w:val="24"/>
        </w:rPr>
      </w:pPr>
      <w:r w:rsidRPr="00F50C10">
        <w:rPr>
          <w:sz w:val="24"/>
          <w:szCs w:val="24"/>
        </w:rPr>
        <w:t xml:space="preserve">b) </w:t>
      </w:r>
      <w:r w:rsidR="00F35E77" w:rsidRPr="00F50C10">
        <w:rPr>
          <w:sz w:val="24"/>
          <w:szCs w:val="24"/>
        </w:rPr>
        <w:t xml:space="preserve">Diğer Üretim Faaliyetlerinde Mevcut En İyi Teknikler Tebliği - </w:t>
      </w:r>
      <w:r w:rsidR="0038267A" w:rsidRPr="00F50C10">
        <w:rPr>
          <w:rFonts w:eastAsiaTheme="minorHAnsi"/>
          <w:sz w:val="24"/>
          <w:szCs w:val="24"/>
          <w:lang w:val="en-US"/>
        </w:rPr>
        <w:t xml:space="preserve">Kimya Sektöründe Ortak Atık Gaz Arıtma </w:t>
      </w:r>
      <w:r w:rsidR="00D4361D" w:rsidRPr="00F50C10">
        <w:rPr>
          <w:sz w:val="24"/>
          <w:szCs w:val="24"/>
        </w:rPr>
        <w:t>Tebliği,</w:t>
      </w:r>
    </w:p>
    <w:p w14:paraId="4722350E" w14:textId="65F9AED0" w:rsidR="0038267A" w:rsidRPr="00F50C10" w:rsidRDefault="00CC4473" w:rsidP="000B206D">
      <w:pPr>
        <w:pStyle w:val="GvdeMetni"/>
        <w:spacing w:after="120" w:line="276" w:lineRule="auto"/>
        <w:jc w:val="both"/>
        <w:rPr>
          <w:sz w:val="24"/>
          <w:szCs w:val="24"/>
        </w:rPr>
      </w:pPr>
      <w:r w:rsidRPr="00F50C10">
        <w:rPr>
          <w:sz w:val="24"/>
          <w:szCs w:val="24"/>
        </w:rPr>
        <w:t xml:space="preserve">(2) </w:t>
      </w:r>
      <w:r w:rsidR="0038267A" w:rsidRPr="00F50C10">
        <w:rPr>
          <w:sz w:val="24"/>
          <w:szCs w:val="24"/>
        </w:rPr>
        <w:t xml:space="preserve">Bu </w:t>
      </w:r>
      <w:r w:rsidRPr="00F50C10">
        <w:rPr>
          <w:sz w:val="24"/>
          <w:szCs w:val="24"/>
        </w:rPr>
        <w:t>T</w:t>
      </w:r>
      <w:r w:rsidR="0038267A" w:rsidRPr="00F50C10">
        <w:rPr>
          <w:sz w:val="24"/>
          <w:szCs w:val="24"/>
        </w:rPr>
        <w:t xml:space="preserve">ebliğ </w:t>
      </w:r>
      <w:r w:rsidR="008C7EBB" w:rsidRPr="00F50C10">
        <w:rPr>
          <w:sz w:val="24"/>
          <w:szCs w:val="24"/>
        </w:rPr>
        <w:t>Ek 1</w:t>
      </w:r>
      <w:r w:rsidR="00D45691" w:rsidRPr="00F50C10">
        <w:rPr>
          <w:sz w:val="24"/>
          <w:szCs w:val="24"/>
        </w:rPr>
        <w:t xml:space="preserve"> </w:t>
      </w:r>
      <w:r w:rsidR="0038267A" w:rsidRPr="00F50C10">
        <w:rPr>
          <w:sz w:val="24"/>
          <w:szCs w:val="24"/>
        </w:rPr>
        <w:t xml:space="preserve">kapsamına giren tesislerin Sanayide Yeşil Dönüşüm Belgelendirme sürecinde ilave değerlendirme gerekmesi halinde aşağıdaki rehber dokümanlardan da yararlanılabilir.  </w:t>
      </w:r>
    </w:p>
    <w:p w14:paraId="1D44AD18" w14:textId="77777777" w:rsidR="0038267A" w:rsidRPr="00F50C10" w:rsidRDefault="0038267A" w:rsidP="000B206D">
      <w:pPr>
        <w:pStyle w:val="ListeParagraf"/>
        <w:widowControl w:val="0"/>
        <w:numPr>
          <w:ilvl w:val="0"/>
          <w:numId w:val="8"/>
        </w:numPr>
        <w:autoSpaceDE w:val="0"/>
        <w:autoSpaceDN w:val="0"/>
        <w:spacing w:after="120" w:line="276" w:lineRule="auto"/>
        <w:contextualSpacing w:val="0"/>
        <w:rPr>
          <w:rFonts w:cs="Times New Roman"/>
          <w:szCs w:val="24"/>
        </w:rPr>
      </w:pPr>
      <w:r w:rsidRPr="00F50C10">
        <w:rPr>
          <w:rFonts w:cs="Times New Roman"/>
          <w:szCs w:val="24"/>
        </w:rPr>
        <w:t>Ekonomi ve Ortamlar Arası Etkiler (ECM);</w:t>
      </w:r>
    </w:p>
    <w:p w14:paraId="6EB13035" w14:textId="77777777" w:rsidR="0038267A" w:rsidRPr="00F50C10" w:rsidRDefault="0038267A" w:rsidP="000B206D">
      <w:pPr>
        <w:pStyle w:val="ListeParagraf"/>
        <w:widowControl w:val="0"/>
        <w:numPr>
          <w:ilvl w:val="0"/>
          <w:numId w:val="8"/>
        </w:numPr>
        <w:autoSpaceDE w:val="0"/>
        <w:autoSpaceDN w:val="0"/>
        <w:spacing w:after="120" w:line="276" w:lineRule="auto"/>
        <w:contextualSpacing w:val="0"/>
        <w:rPr>
          <w:rFonts w:cs="Times New Roman"/>
          <w:szCs w:val="24"/>
        </w:rPr>
      </w:pPr>
      <w:r w:rsidRPr="00F50C10">
        <w:rPr>
          <w:rFonts w:cs="Times New Roman"/>
          <w:szCs w:val="24"/>
        </w:rPr>
        <w:t>Depolamadan Kaynaklanan Emisyonlar (EFS);</w:t>
      </w:r>
    </w:p>
    <w:p w14:paraId="1E934DD4" w14:textId="77777777" w:rsidR="0038267A" w:rsidRPr="00F50C10" w:rsidRDefault="0038267A" w:rsidP="000B206D">
      <w:pPr>
        <w:pStyle w:val="ListeParagraf"/>
        <w:widowControl w:val="0"/>
        <w:numPr>
          <w:ilvl w:val="0"/>
          <w:numId w:val="8"/>
        </w:numPr>
        <w:autoSpaceDE w:val="0"/>
        <w:autoSpaceDN w:val="0"/>
        <w:spacing w:after="120" w:line="276" w:lineRule="auto"/>
        <w:contextualSpacing w:val="0"/>
        <w:rPr>
          <w:rFonts w:cs="Times New Roman"/>
          <w:szCs w:val="24"/>
        </w:rPr>
      </w:pPr>
      <w:r w:rsidRPr="00F50C10">
        <w:rPr>
          <w:rFonts w:cs="Times New Roman"/>
          <w:szCs w:val="24"/>
        </w:rPr>
        <w:t>Enerji Verimliliği (ENE);</w:t>
      </w:r>
    </w:p>
    <w:p w14:paraId="141D7923" w14:textId="77777777" w:rsidR="0038267A" w:rsidRPr="00F50C10" w:rsidRDefault="0038267A" w:rsidP="000B206D">
      <w:pPr>
        <w:pStyle w:val="ListeParagraf"/>
        <w:widowControl w:val="0"/>
        <w:numPr>
          <w:ilvl w:val="0"/>
          <w:numId w:val="8"/>
        </w:numPr>
        <w:autoSpaceDE w:val="0"/>
        <w:autoSpaceDN w:val="0"/>
        <w:spacing w:after="120" w:line="276" w:lineRule="auto"/>
        <w:contextualSpacing w:val="0"/>
        <w:rPr>
          <w:rFonts w:cs="Times New Roman"/>
          <w:szCs w:val="24"/>
        </w:rPr>
      </w:pPr>
      <w:r w:rsidRPr="00F50C10">
        <w:rPr>
          <w:rFonts w:cs="Times New Roman"/>
          <w:szCs w:val="24"/>
        </w:rPr>
        <w:t>Endüstriyel Soğutma Sistemleri (ICS);</w:t>
      </w:r>
    </w:p>
    <w:p w14:paraId="49BCF341" w14:textId="33621E6F" w:rsidR="0038267A" w:rsidRPr="00F50C10" w:rsidRDefault="0038267A" w:rsidP="000B206D">
      <w:pPr>
        <w:pStyle w:val="ListeParagraf"/>
        <w:widowControl w:val="0"/>
        <w:numPr>
          <w:ilvl w:val="0"/>
          <w:numId w:val="8"/>
        </w:numPr>
        <w:autoSpaceDE w:val="0"/>
        <w:autoSpaceDN w:val="0"/>
        <w:spacing w:after="120" w:line="276" w:lineRule="auto"/>
        <w:contextualSpacing w:val="0"/>
        <w:rPr>
          <w:rFonts w:cs="Times New Roman"/>
          <w:szCs w:val="24"/>
        </w:rPr>
      </w:pPr>
      <w:r w:rsidRPr="00F50C10">
        <w:rPr>
          <w:rFonts w:cs="Times New Roman"/>
          <w:szCs w:val="24"/>
        </w:rPr>
        <w:t>Büyük Yakma Tesisleri (LCP);</w:t>
      </w:r>
    </w:p>
    <w:p w14:paraId="70CCDFA6" w14:textId="77777777" w:rsidR="0038267A" w:rsidRPr="00F50C10" w:rsidRDefault="0038267A" w:rsidP="000B206D">
      <w:pPr>
        <w:pStyle w:val="ListeParagraf"/>
        <w:widowControl w:val="0"/>
        <w:numPr>
          <w:ilvl w:val="0"/>
          <w:numId w:val="8"/>
        </w:numPr>
        <w:autoSpaceDE w:val="0"/>
        <w:autoSpaceDN w:val="0"/>
        <w:spacing w:after="120" w:line="276" w:lineRule="auto"/>
        <w:contextualSpacing w:val="0"/>
        <w:rPr>
          <w:rFonts w:cs="Times New Roman"/>
          <w:szCs w:val="24"/>
        </w:rPr>
      </w:pPr>
      <w:r w:rsidRPr="00F50C10">
        <w:rPr>
          <w:rFonts w:cs="Times New Roman"/>
          <w:szCs w:val="24"/>
        </w:rPr>
        <w:t>Madeni Yağ ve Gazın Rafinasyonu (REF);</w:t>
      </w:r>
    </w:p>
    <w:p w14:paraId="7EACD7BD" w14:textId="77777777" w:rsidR="0038267A" w:rsidRPr="00F50C10" w:rsidRDefault="0038267A" w:rsidP="000B206D">
      <w:pPr>
        <w:pStyle w:val="ListeParagraf"/>
        <w:widowControl w:val="0"/>
        <w:numPr>
          <w:ilvl w:val="0"/>
          <w:numId w:val="8"/>
        </w:numPr>
        <w:autoSpaceDE w:val="0"/>
        <w:autoSpaceDN w:val="0"/>
        <w:spacing w:after="120" w:line="276" w:lineRule="auto"/>
        <w:contextualSpacing w:val="0"/>
        <w:rPr>
          <w:rFonts w:cs="Times New Roman"/>
          <w:szCs w:val="24"/>
        </w:rPr>
      </w:pPr>
      <w:r w:rsidRPr="00F50C10">
        <w:rPr>
          <w:rFonts w:cs="Times New Roman"/>
          <w:szCs w:val="24"/>
        </w:rPr>
        <w:t>EED Tesislerinin Hava ve Su Emisyonlarının İzlenmesi (ROM);</w:t>
      </w:r>
    </w:p>
    <w:p w14:paraId="47DD785A" w14:textId="1E02D02E" w:rsidR="0038267A" w:rsidRPr="00F50C10" w:rsidRDefault="0038267A" w:rsidP="000B206D">
      <w:pPr>
        <w:pStyle w:val="ListeParagraf"/>
        <w:widowControl w:val="0"/>
        <w:numPr>
          <w:ilvl w:val="0"/>
          <w:numId w:val="8"/>
        </w:numPr>
        <w:autoSpaceDE w:val="0"/>
        <w:autoSpaceDN w:val="0"/>
        <w:spacing w:after="120" w:line="276" w:lineRule="auto"/>
        <w:contextualSpacing w:val="0"/>
        <w:rPr>
          <w:rFonts w:cs="Times New Roman"/>
          <w:szCs w:val="24"/>
        </w:rPr>
      </w:pPr>
      <w:r w:rsidRPr="00F50C10">
        <w:rPr>
          <w:rFonts w:cs="Times New Roman"/>
          <w:szCs w:val="24"/>
        </w:rPr>
        <w:t>Atık Yakma (WI);</w:t>
      </w:r>
    </w:p>
    <w:p w14:paraId="165EF6EE" w14:textId="77777777" w:rsidR="0038267A" w:rsidRPr="00F50C10" w:rsidRDefault="0038267A" w:rsidP="000B206D">
      <w:pPr>
        <w:pStyle w:val="ListeParagraf"/>
        <w:widowControl w:val="0"/>
        <w:numPr>
          <w:ilvl w:val="0"/>
          <w:numId w:val="8"/>
        </w:numPr>
        <w:autoSpaceDE w:val="0"/>
        <w:autoSpaceDN w:val="0"/>
        <w:spacing w:after="120" w:line="276" w:lineRule="auto"/>
        <w:contextualSpacing w:val="0"/>
        <w:rPr>
          <w:rFonts w:cs="Times New Roman"/>
          <w:szCs w:val="24"/>
        </w:rPr>
      </w:pPr>
      <w:r w:rsidRPr="00F50C10">
        <w:rPr>
          <w:rFonts w:cs="Times New Roman"/>
          <w:szCs w:val="24"/>
        </w:rPr>
        <w:t>Atık Arıtma (WT).</w:t>
      </w:r>
    </w:p>
    <w:p w14:paraId="75074367" w14:textId="77777777" w:rsidR="00B020E7" w:rsidRDefault="00F7299E" w:rsidP="000B206D">
      <w:pPr>
        <w:pStyle w:val="GvdeMetni"/>
        <w:spacing w:after="120" w:line="276" w:lineRule="auto"/>
        <w:jc w:val="both"/>
        <w:rPr>
          <w:b/>
          <w:sz w:val="24"/>
          <w:szCs w:val="24"/>
        </w:rPr>
      </w:pPr>
      <w:r w:rsidRPr="00F50C10">
        <w:rPr>
          <w:b/>
          <w:sz w:val="24"/>
          <w:szCs w:val="24"/>
        </w:rPr>
        <w:t>Polimerlerin Üretimi için MET</w:t>
      </w:r>
    </w:p>
    <w:p w14:paraId="374D6852" w14:textId="57CC44F6" w:rsidR="000B206D" w:rsidRDefault="00F7299E" w:rsidP="000B206D">
      <w:pPr>
        <w:pStyle w:val="GvdeMetni"/>
        <w:spacing w:after="120" w:line="276" w:lineRule="auto"/>
        <w:jc w:val="both"/>
        <w:rPr>
          <w:sz w:val="24"/>
          <w:szCs w:val="24"/>
        </w:rPr>
      </w:pPr>
      <w:r w:rsidRPr="00B020E7">
        <w:rPr>
          <w:b/>
          <w:bCs/>
          <w:sz w:val="24"/>
          <w:szCs w:val="24"/>
        </w:rPr>
        <w:t xml:space="preserve">MADDE </w:t>
      </w:r>
      <w:r w:rsidR="007F2336" w:rsidRPr="00B020E7">
        <w:rPr>
          <w:b/>
          <w:bCs/>
          <w:sz w:val="24"/>
          <w:szCs w:val="24"/>
        </w:rPr>
        <w:t>9</w:t>
      </w:r>
      <w:r w:rsidRPr="00F50C10">
        <w:rPr>
          <w:sz w:val="24"/>
          <w:szCs w:val="24"/>
        </w:rPr>
        <w:t xml:space="preserve">-  (1) </w:t>
      </w:r>
      <w:r w:rsidRPr="00F50C10">
        <w:rPr>
          <w:rFonts w:eastAsiaTheme="minorHAnsi"/>
          <w:sz w:val="24"/>
          <w:szCs w:val="24"/>
          <w:lang w:bidi="tr-TR"/>
        </w:rPr>
        <w:t xml:space="preserve">Yönetmelik </w:t>
      </w:r>
      <w:r w:rsidRPr="00F50C10">
        <w:rPr>
          <w:sz w:val="24"/>
          <w:szCs w:val="24"/>
        </w:rPr>
        <w:t>Ek 1</w:t>
      </w:r>
      <w:r w:rsidR="00540199">
        <w:rPr>
          <w:sz w:val="24"/>
          <w:szCs w:val="24"/>
        </w:rPr>
        <w:t xml:space="preserve"> 4. 1.</w:t>
      </w:r>
      <w:r w:rsidRPr="00F50C10">
        <w:rPr>
          <w:sz w:val="24"/>
          <w:szCs w:val="24"/>
        </w:rPr>
        <w:t xml:space="preserve">  </w:t>
      </w:r>
      <w:r w:rsidR="00540199" w:rsidRPr="008273E8">
        <w:rPr>
          <w:sz w:val="24"/>
          <w:szCs w:val="24"/>
        </w:rPr>
        <w:t>Organik kimyasalların üretimi, örneğin</w:t>
      </w:r>
    </w:p>
    <w:p w14:paraId="2E311129" w14:textId="4083DA54" w:rsidR="000B206D" w:rsidRDefault="00F7299E" w:rsidP="00A654AE">
      <w:pPr>
        <w:pStyle w:val="GvdeMetni"/>
        <w:numPr>
          <w:ilvl w:val="0"/>
          <w:numId w:val="201"/>
        </w:numPr>
        <w:spacing w:after="120" w:line="276" w:lineRule="auto"/>
        <w:jc w:val="both"/>
        <w:rPr>
          <w:sz w:val="24"/>
          <w:szCs w:val="24"/>
        </w:rPr>
      </w:pPr>
      <w:r w:rsidRPr="00F50C10">
        <w:rPr>
          <w:sz w:val="24"/>
          <w:szCs w:val="24"/>
        </w:rPr>
        <w:t xml:space="preserve">4.1 </w:t>
      </w:r>
      <w:r w:rsidR="0010082E" w:rsidRPr="00F50C10">
        <w:rPr>
          <w:sz w:val="24"/>
          <w:szCs w:val="24"/>
        </w:rPr>
        <w:t>b</w:t>
      </w:r>
      <w:r w:rsidR="000B206D">
        <w:rPr>
          <w:sz w:val="24"/>
          <w:szCs w:val="24"/>
        </w:rPr>
        <w:t>.</w:t>
      </w:r>
      <w:r w:rsidR="000B206D" w:rsidRPr="000B206D">
        <w:rPr>
          <w:sz w:val="24"/>
          <w:szCs w:val="24"/>
        </w:rPr>
        <w:t xml:space="preserve"> </w:t>
      </w:r>
      <w:r w:rsidR="000B206D" w:rsidRPr="008273E8">
        <w:rPr>
          <w:sz w:val="24"/>
          <w:szCs w:val="24"/>
        </w:rPr>
        <w:t>Alkoller, aldehitler, ketonlar, karboksilik asit, esterler ve ester, asetat, eter, peroksit, epoksi reçineleri karışımları gibi oksijen içeren hidrokarbonlar</w:t>
      </w:r>
    </w:p>
    <w:p w14:paraId="606442C8" w14:textId="36A9739C" w:rsidR="000B206D" w:rsidRPr="000B206D" w:rsidRDefault="000B206D" w:rsidP="00A654AE">
      <w:pPr>
        <w:pStyle w:val="ListeParagraf"/>
        <w:widowControl w:val="0"/>
        <w:numPr>
          <w:ilvl w:val="0"/>
          <w:numId w:val="201"/>
        </w:numPr>
        <w:tabs>
          <w:tab w:val="left" w:pos="426"/>
        </w:tabs>
        <w:rPr>
          <w:rFonts w:eastAsia="Times New Roman" w:cs="Times New Roman"/>
          <w:szCs w:val="24"/>
        </w:rPr>
      </w:pPr>
      <w:r w:rsidRPr="000B206D">
        <w:rPr>
          <w:szCs w:val="24"/>
        </w:rPr>
        <w:t>4.1.</w:t>
      </w:r>
      <w:r w:rsidR="0000299C" w:rsidRPr="000B206D">
        <w:rPr>
          <w:rFonts w:cs="Times New Roman"/>
          <w:szCs w:val="24"/>
        </w:rPr>
        <w:t>g</w:t>
      </w:r>
      <w:r w:rsidRPr="000B206D">
        <w:rPr>
          <w:szCs w:val="24"/>
        </w:rPr>
        <w:t>.</w:t>
      </w:r>
      <w:r w:rsidRPr="000B206D">
        <w:rPr>
          <w:rFonts w:eastAsia="Times New Roman" w:cs="Times New Roman"/>
          <w:szCs w:val="24"/>
        </w:rPr>
        <w:t xml:space="preserve"> Plastik materyaller (polimer, sentetik elyaf ve selüloz bazlı elyaf),</w:t>
      </w:r>
      <w:r w:rsidR="0000299C" w:rsidRPr="000B206D">
        <w:rPr>
          <w:rFonts w:cs="Times New Roman"/>
          <w:szCs w:val="24"/>
        </w:rPr>
        <w:t xml:space="preserve"> </w:t>
      </w:r>
    </w:p>
    <w:p w14:paraId="13A9675A" w14:textId="7A2136F3" w:rsidR="000B206D" w:rsidRDefault="000B206D" w:rsidP="00A654AE">
      <w:pPr>
        <w:pStyle w:val="GvdeMetni"/>
        <w:numPr>
          <w:ilvl w:val="0"/>
          <w:numId w:val="201"/>
        </w:numPr>
        <w:spacing w:after="120" w:line="276" w:lineRule="auto"/>
        <w:jc w:val="both"/>
        <w:rPr>
          <w:sz w:val="24"/>
          <w:szCs w:val="24"/>
        </w:rPr>
      </w:pPr>
      <w:r>
        <w:rPr>
          <w:sz w:val="24"/>
          <w:szCs w:val="24"/>
        </w:rPr>
        <w:t>4.1.</w:t>
      </w:r>
      <w:r w:rsidR="0000299C" w:rsidRPr="000B206D">
        <w:rPr>
          <w:sz w:val="24"/>
          <w:szCs w:val="24"/>
        </w:rPr>
        <w:t>ğ</w:t>
      </w:r>
      <w:r>
        <w:rPr>
          <w:sz w:val="24"/>
          <w:szCs w:val="24"/>
        </w:rPr>
        <w:t>.</w:t>
      </w:r>
      <w:r w:rsidRPr="000B206D">
        <w:rPr>
          <w:sz w:val="24"/>
          <w:szCs w:val="24"/>
        </w:rPr>
        <w:t xml:space="preserve"> </w:t>
      </w:r>
      <w:r w:rsidRPr="008273E8">
        <w:rPr>
          <w:sz w:val="24"/>
          <w:szCs w:val="24"/>
        </w:rPr>
        <w:t>Sentetik kauçuk,</w:t>
      </w:r>
    </w:p>
    <w:p w14:paraId="0B215922" w14:textId="1E7BEFC0" w:rsidR="00B020E7" w:rsidRPr="000B206D" w:rsidRDefault="0000299C" w:rsidP="000B206D">
      <w:pPr>
        <w:pStyle w:val="GvdeMetni"/>
        <w:spacing w:after="120" w:line="276" w:lineRule="auto"/>
        <w:ind w:left="360"/>
        <w:jc w:val="both"/>
        <w:rPr>
          <w:sz w:val="24"/>
          <w:szCs w:val="24"/>
        </w:rPr>
      </w:pPr>
      <w:r w:rsidRPr="000B206D">
        <w:rPr>
          <w:sz w:val="24"/>
          <w:szCs w:val="24"/>
        </w:rPr>
        <w:t>faaliyetleri</w:t>
      </w:r>
      <w:r w:rsidR="00F7299E" w:rsidRPr="000B206D">
        <w:rPr>
          <w:sz w:val="24"/>
          <w:szCs w:val="24"/>
        </w:rPr>
        <w:t xml:space="preserve"> bu Tebliğ Ek </w:t>
      </w:r>
      <w:r w:rsidR="00311739" w:rsidRPr="000B206D">
        <w:rPr>
          <w:sz w:val="24"/>
          <w:szCs w:val="24"/>
        </w:rPr>
        <w:t>2</w:t>
      </w:r>
      <w:r w:rsidR="00F7299E" w:rsidRPr="000B206D">
        <w:rPr>
          <w:sz w:val="24"/>
          <w:szCs w:val="24"/>
        </w:rPr>
        <w:t xml:space="preserve">’de yer alan hususlara göre değerlendirilir. </w:t>
      </w:r>
    </w:p>
    <w:p w14:paraId="49F8CF89" w14:textId="40944B9B" w:rsidR="0010082E" w:rsidRPr="00F50C10" w:rsidRDefault="00311739" w:rsidP="00A654AE">
      <w:pPr>
        <w:pStyle w:val="GvdeMetni"/>
        <w:numPr>
          <w:ilvl w:val="0"/>
          <w:numId w:val="172"/>
        </w:numPr>
        <w:spacing w:after="120" w:line="276" w:lineRule="auto"/>
        <w:jc w:val="both"/>
        <w:rPr>
          <w:b/>
          <w:sz w:val="24"/>
          <w:szCs w:val="24"/>
        </w:rPr>
      </w:pPr>
      <w:r w:rsidRPr="00F50C10">
        <w:rPr>
          <w:sz w:val="24"/>
          <w:szCs w:val="24"/>
        </w:rPr>
        <w:t xml:space="preserve">Ek 2’de yer alan MET, polimer, </w:t>
      </w:r>
      <w:r w:rsidR="00F7299E" w:rsidRPr="00F50C10">
        <w:rPr>
          <w:sz w:val="24"/>
          <w:szCs w:val="24"/>
        </w:rPr>
        <w:t>poliolefinler, polistiren, polivinil klorü</w:t>
      </w:r>
      <w:r w:rsidRPr="00F50C10">
        <w:rPr>
          <w:sz w:val="24"/>
          <w:szCs w:val="24"/>
        </w:rPr>
        <w:t>r (PVC), doymamış polyesterler, emülsiyonla polimerize edilmiş stiren bütadien kauçuk (</w:t>
      </w:r>
      <w:r w:rsidR="00F7299E" w:rsidRPr="00F50C10">
        <w:rPr>
          <w:sz w:val="24"/>
          <w:szCs w:val="24"/>
        </w:rPr>
        <w:t>ESBR</w:t>
      </w:r>
      <w:r w:rsidRPr="00F50C10">
        <w:rPr>
          <w:sz w:val="24"/>
          <w:szCs w:val="24"/>
        </w:rPr>
        <w:t>)</w:t>
      </w:r>
      <w:r w:rsidR="00F7299E" w:rsidRPr="00F50C10">
        <w:rPr>
          <w:sz w:val="24"/>
          <w:szCs w:val="24"/>
        </w:rPr>
        <w:t>, Bütadien içeren çözeltiye polimerize edilmiş kauçuklar, poliamid</w:t>
      </w:r>
      <w:r w:rsidRPr="00F50C10">
        <w:rPr>
          <w:sz w:val="24"/>
          <w:szCs w:val="24"/>
        </w:rPr>
        <w:t>ler, polietilen tereftalat lifler ve viskon lif üretimini kapsar</w:t>
      </w:r>
      <w:r w:rsidR="003B218B" w:rsidRPr="00F50C10">
        <w:rPr>
          <w:sz w:val="24"/>
          <w:szCs w:val="24"/>
        </w:rPr>
        <w:t>.</w:t>
      </w:r>
    </w:p>
    <w:p w14:paraId="29F7DD44" w14:textId="55AA05A5" w:rsidR="0010082E" w:rsidRPr="00F50C10" w:rsidRDefault="0010082E" w:rsidP="00A654AE">
      <w:pPr>
        <w:pStyle w:val="Balk1"/>
        <w:numPr>
          <w:ilvl w:val="0"/>
          <w:numId w:val="172"/>
        </w:numPr>
        <w:spacing w:after="120" w:line="276" w:lineRule="auto"/>
        <w:rPr>
          <w:rFonts w:cs="Times New Roman"/>
          <w:b w:val="0"/>
          <w:szCs w:val="24"/>
        </w:rPr>
      </w:pPr>
      <w:r w:rsidRPr="00F50C10">
        <w:rPr>
          <w:rFonts w:cs="Times New Roman"/>
          <w:b w:val="0"/>
          <w:szCs w:val="24"/>
        </w:rPr>
        <w:t xml:space="preserve">Bu Tebliğ Ek 2 aynı zamanda Yönetmelik  Ek </w:t>
      </w:r>
      <w:r w:rsidR="009A6E16" w:rsidRPr="00F50C10">
        <w:rPr>
          <w:rFonts w:cs="Times New Roman"/>
          <w:b w:val="0"/>
          <w:szCs w:val="24"/>
        </w:rPr>
        <w:t>1</w:t>
      </w:r>
      <w:r w:rsidRPr="00F50C10">
        <w:rPr>
          <w:rFonts w:cs="Times New Roman"/>
          <w:b w:val="0"/>
          <w:szCs w:val="24"/>
        </w:rPr>
        <w:t xml:space="preserve"> Kısım 4.1 (b)'de belirtilen alkoller, aldehitler, ketonlar, karbosiklik asitler, esterler, asetatlar, eterler, peroksitler, epoksi reçineler gibi oksijen içeren hidrokarbonları da kapsar.</w:t>
      </w:r>
    </w:p>
    <w:p w14:paraId="7C3CE5F0" w14:textId="3C9D7F83" w:rsidR="0010082E" w:rsidRPr="00F50C10" w:rsidRDefault="0010082E" w:rsidP="00A654AE">
      <w:pPr>
        <w:pStyle w:val="Balk1"/>
        <w:numPr>
          <w:ilvl w:val="0"/>
          <w:numId w:val="172"/>
        </w:numPr>
        <w:spacing w:after="120" w:line="276" w:lineRule="auto"/>
        <w:rPr>
          <w:rFonts w:cs="Times New Roman"/>
          <w:szCs w:val="24"/>
        </w:rPr>
      </w:pPr>
      <w:r w:rsidRPr="00F50C10">
        <w:rPr>
          <w:rFonts w:cs="Times New Roman"/>
          <w:b w:val="0"/>
          <w:szCs w:val="24"/>
        </w:rPr>
        <w:t xml:space="preserve">Son ürün üretimine yönelik olarak polimerlerin ilave işlenmesi bu </w:t>
      </w:r>
      <w:r w:rsidR="003B218B" w:rsidRPr="00F50C10">
        <w:rPr>
          <w:rFonts w:cs="Times New Roman"/>
          <w:b w:val="0"/>
          <w:szCs w:val="24"/>
        </w:rPr>
        <w:t>T</w:t>
      </w:r>
      <w:r w:rsidRPr="00F50C10">
        <w:rPr>
          <w:rFonts w:cs="Times New Roman"/>
          <w:b w:val="0"/>
          <w:szCs w:val="24"/>
        </w:rPr>
        <w:t>ebliğ Ek 2 kapsamına dahil değildir. Bununla birlikte, teknik olarak polimerin üretimine bağlı olduklarında ve aynı sahada gerçekleştirildiklerinde, buna ek olarak tesisin çevresel etkisi üzerinde rol oynadıklarında, lif üretimi veya bileştirme gibi işleme teknikleri dahil edilir.</w:t>
      </w:r>
    </w:p>
    <w:p w14:paraId="314B9AAA" w14:textId="2EEF0322" w:rsidR="0010082E" w:rsidRPr="00F50C10" w:rsidRDefault="0010082E" w:rsidP="000B206D">
      <w:pPr>
        <w:pStyle w:val="Balk1"/>
        <w:numPr>
          <w:ilvl w:val="0"/>
          <w:numId w:val="0"/>
        </w:numPr>
        <w:spacing w:line="276" w:lineRule="auto"/>
        <w:ind w:left="432" w:hanging="432"/>
        <w:rPr>
          <w:rFonts w:cs="Times New Roman"/>
          <w:b w:val="0"/>
          <w:szCs w:val="24"/>
        </w:rPr>
      </w:pPr>
      <w:r w:rsidRPr="00F50C10">
        <w:rPr>
          <w:rFonts w:cs="Times New Roman"/>
          <w:szCs w:val="24"/>
        </w:rPr>
        <w:t>Polimerlerin Üretimi  ile İlişkili Diğer Tebliğler ve Dokümanlar</w:t>
      </w:r>
    </w:p>
    <w:p w14:paraId="14082967" w14:textId="12C754B8" w:rsidR="0010082E" w:rsidRPr="00F50C10" w:rsidRDefault="007F2336" w:rsidP="000B206D">
      <w:pPr>
        <w:pStyle w:val="GvdeMetni"/>
        <w:spacing w:after="120" w:line="276" w:lineRule="auto"/>
        <w:rPr>
          <w:b/>
          <w:sz w:val="24"/>
          <w:szCs w:val="24"/>
        </w:rPr>
      </w:pPr>
      <w:r w:rsidRPr="00F50C10">
        <w:rPr>
          <w:b/>
          <w:sz w:val="24"/>
          <w:szCs w:val="24"/>
        </w:rPr>
        <w:t xml:space="preserve">MADDE- 10 </w:t>
      </w:r>
      <w:r w:rsidRPr="009A148A">
        <w:rPr>
          <w:bCs/>
          <w:sz w:val="24"/>
          <w:szCs w:val="24"/>
        </w:rPr>
        <w:t>(1)</w:t>
      </w:r>
      <w:r w:rsidRPr="00F50C10">
        <w:rPr>
          <w:b/>
          <w:sz w:val="24"/>
          <w:szCs w:val="24"/>
        </w:rPr>
        <w:t xml:space="preserve"> </w:t>
      </w:r>
      <w:r w:rsidR="0010082E" w:rsidRPr="00F50C10">
        <w:rPr>
          <w:sz w:val="24"/>
          <w:szCs w:val="24"/>
        </w:rPr>
        <w:t>Bu tebliğ Ek 2 kapsamına giren tesislerin Sanayide Yeşil Dönüşüm Belgelendirme sürecinde aşağıdaki tebliğlerin ilgili hükümlerinin de sağlanması esastır.</w:t>
      </w:r>
    </w:p>
    <w:p w14:paraId="18291336" w14:textId="77777777" w:rsidR="0010082E" w:rsidRPr="00F50C10" w:rsidRDefault="0010082E" w:rsidP="00A654AE">
      <w:pPr>
        <w:pStyle w:val="GvdeMetni"/>
        <w:numPr>
          <w:ilvl w:val="0"/>
          <w:numId w:val="173"/>
        </w:numPr>
        <w:spacing w:after="120" w:line="276" w:lineRule="auto"/>
        <w:rPr>
          <w:sz w:val="24"/>
          <w:szCs w:val="24"/>
        </w:rPr>
      </w:pPr>
      <w:r w:rsidRPr="00F50C10">
        <w:rPr>
          <w:sz w:val="24"/>
          <w:szCs w:val="24"/>
        </w:rPr>
        <w:t>Kimyasal Sektöründe Ortak Atık Su/Atık Gaz Arıtma/Yönetim Sistemleri (CWW);</w:t>
      </w:r>
    </w:p>
    <w:p w14:paraId="7AD2BA55" w14:textId="77777777" w:rsidR="0010082E" w:rsidRPr="00F50C10" w:rsidRDefault="0010082E" w:rsidP="00A654AE">
      <w:pPr>
        <w:pStyle w:val="GvdeMetni"/>
        <w:numPr>
          <w:ilvl w:val="0"/>
          <w:numId w:val="173"/>
        </w:numPr>
        <w:spacing w:after="120" w:line="276" w:lineRule="auto"/>
        <w:rPr>
          <w:sz w:val="24"/>
          <w:szCs w:val="24"/>
        </w:rPr>
      </w:pPr>
      <w:r w:rsidRPr="00F50C10">
        <w:rPr>
          <w:sz w:val="24"/>
          <w:szCs w:val="24"/>
        </w:rPr>
        <w:t>Kimya Sektöründe Ortak Atık Gaz Arıtma (WGC).</w:t>
      </w:r>
    </w:p>
    <w:p w14:paraId="0143462B" w14:textId="64260044" w:rsidR="0010082E" w:rsidRPr="00F50C10" w:rsidRDefault="0010082E" w:rsidP="00A654AE">
      <w:pPr>
        <w:pStyle w:val="GvdeMetni"/>
        <w:numPr>
          <w:ilvl w:val="0"/>
          <w:numId w:val="175"/>
        </w:numPr>
        <w:spacing w:after="120" w:line="276" w:lineRule="auto"/>
        <w:jc w:val="both"/>
        <w:rPr>
          <w:sz w:val="24"/>
          <w:szCs w:val="24"/>
        </w:rPr>
      </w:pPr>
      <w:r w:rsidRPr="00F50C10">
        <w:rPr>
          <w:sz w:val="24"/>
          <w:szCs w:val="24"/>
        </w:rPr>
        <w:t xml:space="preserve">Bu tebliğ </w:t>
      </w:r>
      <w:r w:rsidR="008C7EBB" w:rsidRPr="00F50C10">
        <w:rPr>
          <w:sz w:val="24"/>
          <w:szCs w:val="24"/>
        </w:rPr>
        <w:t xml:space="preserve">EK 2 </w:t>
      </w:r>
      <w:r w:rsidRPr="00F50C10">
        <w:rPr>
          <w:sz w:val="24"/>
          <w:szCs w:val="24"/>
        </w:rPr>
        <w:t xml:space="preserve">kapsamına giren tesislerin Sanayide Yeşil Dönüşüm Belgelendirme sürecinde ilave değerlendirme gerekmesi halinde aşağıdaki rehber dokümanlardan da yararlanılabilir.  </w:t>
      </w:r>
    </w:p>
    <w:p w14:paraId="0CE799B2" w14:textId="77777777" w:rsidR="0010082E" w:rsidRPr="00F50C10" w:rsidRDefault="0010082E" w:rsidP="00A654AE">
      <w:pPr>
        <w:pStyle w:val="ListeParagraf"/>
        <w:widowControl w:val="0"/>
        <w:numPr>
          <w:ilvl w:val="0"/>
          <w:numId w:val="190"/>
        </w:numPr>
        <w:autoSpaceDE w:val="0"/>
        <w:autoSpaceDN w:val="0"/>
        <w:spacing w:after="120" w:line="276" w:lineRule="auto"/>
        <w:contextualSpacing w:val="0"/>
        <w:jc w:val="left"/>
        <w:rPr>
          <w:rFonts w:cs="Times New Roman"/>
          <w:szCs w:val="24"/>
        </w:rPr>
      </w:pPr>
      <w:r w:rsidRPr="00F50C10">
        <w:rPr>
          <w:rFonts w:cs="Times New Roman"/>
          <w:szCs w:val="24"/>
        </w:rPr>
        <w:t>Ekonomi ve Ortamlar Arası Etkiler (ECM);</w:t>
      </w:r>
    </w:p>
    <w:p w14:paraId="2BFFEC60" w14:textId="77777777" w:rsidR="0010082E" w:rsidRPr="00F50C10" w:rsidRDefault="0010082E" w:rsidP="00A654AE">
      <w:pPr>
        <w:pStyle w:val="ListeParagraf"/>
        <w:widowControl w:val="0"/>
        <w:numPr>
          <w:ilvl w:val="0"/>
          <w:numId w:val="190"/>
        </w:numPr>
        <w:autoSpaceDE w:val="0"/>
        <w:autoSpaceDN w:val="0"/>
        <w:spacing w:after="120" w:line="276" w:lineRule="auto"/>
        <w:contextualSpacing w:val="0"/>
        <w:jc w:val="left"/>
        <w:rPr>
          <w:rFonts w:cs="Times New Roman"/>
          <w:szCs w:val="24"/>
        </w:rPr>
      </w:pPr>
      <w:r w:rsidRPr="00F50C10">
        <w:rPr>
          <w:rFonts w:cs="Times New Roman"/>
          <w:szCs w:val="24"/>
        </w:rPr>
        <w:t>Depolamadan Kaynaklanan Emisyonlar (EFS);</w:t>
      </w:r>
    </w:p>
    <w:p w14:paraId="141BF263" w14:textId="77777777" w:rsidR="0010082E" w:rsidRPr="00F50C10" w:rsidRDefault="0010082E" w:rsidP="00A654AE">
      <w:pPr>
        <w:pStyle w:val="ListeParagraf"/>
        <w:widowControl w:val="0"/>
        <w:numPr>
          <w:ilvl w:val="0"/>
          <w:numId w:val="190"/>
        </w:numPr>
        <w:autoSpaceDE w:val="0"/>
        <w:autoSpaceDN w:val="0"/>
        <w:spacing w:after="120" w:line="276" w:lineRule="auto"/>
        <w:contextualSpacing w:val="0"/>
        <w:jc w:val="left"/>
        <w:rPr>
          <w:rFonts w:cs="Times New Roman"/>
          <w:szCs w:val="24"/>
        </w:rPr>
      </w:pPr>
      <w:r w:rsidRPr="00F50C10">
        <w:rPr>
          <w:rFonts w:cs="Times New Roman"/>
          <w:szCs w:val="24"/>
        </w:rPr>
        <w:t>Enerji Verimliliği (ENE);</w:t>
      </w:r>
    </w:p>
    <w:p w14:paraId="0F2E7115" w14:textId="77777777" w:rsidR="0010082E" w:rsidRPr="00F50C10" w:rsidRDefault="0010082E" w:rsidP="00A654AE">
      <w:pPr>
        <w:pStyle w:val="ListeParagraf"/>
        <w:widowControl w:val="0"/>
        <w:numPr>
          <w:ilvl w:val="0"/>
          <w:numId w:val="190"/>
        </w:numPr>
        <w:autoSpaceDE w:val="0"/>
        <w:autoSpaceDN w:val="0"/>
        <w:spacing w:after="120" w:line="276" w:lineRule="auto"/>
        <w:contextualSpacing w:val="0"/>
        <w:jc w:val="left"/>
        <w:rPr>
          <w:rFonts w:cs="Times New Roman"/>
          <w:szCs w:val="24"/>
        </w:rPr>
      </w:pPr>
      <w:r w:rsidRPr="00F50C10">
        <w:rPr>
          <w:rFonts w:cs="Times New Roman"/>
          <w:szCs w:val="24"/>
        </w:rPr>
        <w:t>Endüstriyel Soğutma Sistemleri (ICS);</w:t>
      </w:r>
    </w:p>
    <w:p w14:paraId="3684E66C" w14:textId="77777777" w:rsidR="0010082E" w:rsidRPr="00F50C10" w:rsidRDefault="0010082E" w:rsidP="00A654AE">
      <w:pPr>
        <w:pStyle w:val="ListeParagraf"/>
        <w:widowControl w:val="0"/>
        <w:numPr>
          <w:ilvl w:val="0"/>
          <w:numId w:val="190"/>
        </w:numPr>
        <w:autoSpaceDE w:val="0"/>
        <w:autoSpaceDN w:val="0"/>
        <w:spacing w:after="120" w:line="276" w:lineRule="auto"/>
        <w:contextualSpacing w:val="0"/>
        <w:jc w:val="left"/>
        <w:rPr>
          <w:rFonts w:cs="Times New Roman"/>
          <w:szCs w:val="24"/>
        </w:rPr>
      </w:pPr>
      <w:r w:rsidRPr="00F50C10">
        <w:rPr>
          <w:rFonts w:cs="Times New Roman"/>
          <w:szCs w:val="24"/>
        </w:rPr>
        <w:t>EED Tesislerinin Hava ve Su Emisyonlarının İzlenmesi (ROM);</w:t>
      </w:r>
    </w:p>
    <w:p w14:paraId="27C79689" w14:textId="77777777" w:rsidR="00453FD9" w:rsidRPr="00F50C10" w:rsidRDefault="00453FD9" w:rsidP="000B206D">
      <w:pPr>
        <w:pStyle w:val="GvdeMetni"/>
        <w:spacing w:after="120" w:line="276" w:lineRule="auto"/>
        <w:jc w:val="both"/>
        <w:rPr>
          <w:b/>
          <w:sz w:val="24"/>
          <w:szCs w:val="24"/>
        </w:rPr>
      </w:pPr>
      <w:r w:rsidRPr="00F50C10">
        <w:rPr>
          <w:b/>
          <w:sz w:val="24"/>
          <w:szCs w:val="24"/>
        </w:rPr>
        <w:t>Organik İnce Kimyasallar için MET</w:t>
      </w:r>
    </w:p>
    <w:p w14:paraId="05B9D13B" w14:textId="703572DC" w:rsidR="00D70A5C" w:rsidRDefault="007F2336" w:rsidP="000B206D">
      <w:pPr>
        <w:pStyle w:val="ListeParagraf"/>
        <w:widowControl w:val="0"/>
        <w:tabs>
          <w:tab w:val="left" w:pos="2087"/>
          <w:tab w:val="left" w:pos="2089"/>
        </w:tabs>
        <w:autoSpaceDE w:val="0"/>
        <w:autoSpaceDN w:val="0"/>
        <w:spacing w:before="1" w:after="120" w:line="276" w:lineRule="auto"/>
        <w:ind w:left="0"/>
        <w:contextualSpacing w:val="0"/>
        <w:rPr>
          <w:rFonts w:cs="Times New Roman"/>
          <w:szCs w:val="24"/>
        </w:rPr>
      </w:pPr>
      <w:r w:rsidRPr="00F50C10">
        <w:rPr>
          <w:rFonts w:cs="Times New Roman"/>
          <w:b/>
          <w:szCs w:val="24"/>
        </w:rPr>
        <w:t>MADDE 11</w:t>
      </w:r>
      <w:r w:rsidR="00453FD9" w:rsidRPr="00F50C10">
        <w:rPr>
          <w:rFonts w:cs="Times New Roman"/>
          <w:b/>
          <w:szCs w:val="24"/>
        </w:rPr>
        <w:t xml:space="preserve"> </w:t>
      </w:r>
      <w:r w:rsidR="00453FD9" w:rsidRPr="00F50C10">
        <w:rPr>
          <w:rFonts w:cs="Times New Roman"/>
          <w:szCs w:val="24"/>
        </w:rPr>
        <w:t xml:space="preserve">(1) </w:t>
      </w:r>
      <w:r w:rsidR="00453FD9" w:rsidRPr="00F50C10">
        <w:rPr>
          <w:rFonts w:cs="Times New Roman"/>
          <w:szCs w:val="24"/>
          <w:lang w:bidi="tr-TR"/>
        </w:rPr>
        <w:t xml:space="preserve">Yönetmelik </w:t>
      </w:r>
      <w:r w:rsidR="00453FD9" w:rsidRPr="00F50C10">
        <w:rPr>
          <w:rFonts w:cs="Times New Roman"/>
          <w:szCs w:val="24"/>
        </w:rPr>
        <w:t>Ek 1</w:t>
      </w:r>
      <w:r w:rsidR="00540199">
        <w:rPr>
          <w:rFonts w:cs="Times New Roman"/>
          <w:szCs w:val="24"/>
        </w:rPr>
        <w:t xml:space="preserve"> 4.1.</w:t>
      </w:r>
      <w:r w:rsidR="00540199" w:rsidRPr="00540199">
        <w:rPr>
          <w:rFonts w:eastAsia="Times New Roman" w:cs="Times New Roman"/>
          <w:szCs w:val="24"/>
        </w:rPr>
        <w:t xml:space="preserve"> </w:t>
      </w:r>
      <w:r w:rsidR="00540199" w:rsidRPr="008273E8">
        <w:rPr>
          <w:rFonts w:eastAsia="Times New Roman" w:cs="Times New Roman"/>
          <w:szCs w:val="24"/>
        </w:rPr>
        <w:t>Organik kimyasalların üretimi, örneğin</w:t>
      </w:r>
    </w:p>
    <w:p w14:paraId="01DFF917" w14:textId="32E6871C" w:rsidR="00D70A5C" w:rsidRDefault="00453FD9" w:rsidP="00A654AE">
      <w:pPr>
        <w:pStyle w:val="ListeParagraf"/>
        <w:widowControl w:val="0"/>
        <w:numPr>
          <w:ilvl w:val="0"/>
          <w:numId w:val="202"/>
        </w:numPr>
        <w:autoSpaceDE w:val="0"/>
        <w:autoSpaceDN w:val="0"/>
        <w:spacing w:after="120" w:line="276" w:lineRule="auto"/>
        <w:contextualSpacing w:val="0"/>
        <w:rPr>
          <w:rFonts w:cs="Times New Roman"/>
          <w:szCs w:val="24"/>
        </w:rPr>
      </w:pPr>
      <w:r w:rsidRPr="00F50C10">
        <w:rPr>
          <w:rFonts w:cs="Times New Roman"/>
          <w:szCs w:val="24"/>
        </w:rPr>
        <w:t>4.1 h</w:t>
      </w:r>
      <w:r w:rsidR="00D70A5C">
        <w:rPr>
          <w:rFonts w:cs="Times New Roman"/>
          <w:szCs w:val="24"/>
        </w:rPr>
        <w:t>.</w:t>
      </w:r>
      <w:r w:rsidR="00D70A5C" w:rsidRPr="00D70A5C">
        <w:rPr>
          <w:rFonts w:cs="Times New Roman"/>
          <w:szCs w:val="24"/>
        </w:rPr>
        <w:t xml:space="preserve"> Boyalar ve pigmentler, Reaksiyon sonucu oluşan boyar madde veya boya yarı mamülünün üretimi (karışım işlemleri hariçtir)</w:t>
      </w:r>
    </w:p>
    <w:p w14:paraId="52F54DE3" w14:textId="3167ED66" w:rsidR="00D70A5C" w:rsidRDefault="00500C75" w:rsidP="00A654AE">
      <w:pPr>
        <w:pStyle w:val="ListeParagraf"/>
        <w:widowControl w:val="0"/>
        <w:numPr>
          <w:ilvl w:val="0"/>
          <w:numId w:val="202"/>
        </w:numPr>
        <w:autoSpaceDE w:val="0"/>
        <w:autoSpaceDN w:val="0"/>
        <w:spacing w:after="120" w:line="276" w:lineRule="auto"/>
        <w:contextualSpacing w:val="0"/>
        <w:rPr>
          <w:rFonts w:cs="Times New Roman"/>
          <w:szCs w:val="24"/>
        </w:rPr>
      </w:pPr>
      <w:r w:rsidRPr="00F50C10">
        <w:rPr>
          <w:rFonts w:cs="Times New Roman"/>
          <w:szCs w:val="24"/>
        </w:rPr>
        <w:t>4.1.ı</w:t>
      </w:r>
      <w:r w:rsidR="00D70A5C">
        <w:rPr>
          <w:rFonts w:cs="Times New Roman"/>
          <w:szCs w:val="24"/>
        </w:rPr>
        <w:t>.</w:t>
      </w:r>
      <w:r w:rsidR="00453FD9" w:rsidRPr="00F50C10">
        <w:rPr>
          <w:rFonts w:cs="Times New Roman"/>
          <w:szCs w:val="24"/>
        </w:rPr>
        <w:t xml:space="preserve"> </w:t>
      </w:r>
      <w:r w:rsidR="00D70A5C" w:rsidRPr="00D70A5C">
        <w:rPr>
          <w:rFonts w:cs="Times New Roman"/>
          <w:szCs w:val="24"/>
        </w:rPr>
        <w:t>Yüzey aktif ve sürfaktif maddeler.</w:t>
      </w:r>
    </w:p>
    <w:p w14:paraId="4BF9851A" w14:textId="323AC2A1" w:rsidR="00D70A5C" w:rsidRPr="00D70A5C" w:rsidRDefault="00D70A5C" w:rsidP="00A654AE">
      <w:pPr>
        <w:pStyle w:val="ListeParagraf"/>
        <w:widowControl w:val="0"/>
        <w:numPr>
          <w:ilvl w:val="0"/>
          <w:numId w:val="202"/>
        </w:numPr>
        <w:autoSpaceDE w:val="0"/>
        <w:autoSpaceDN w:val="0"/>
        <w:spacing w:after="120" w:line="276" w:lineRule="auto"/>
        <w:contextualSpacing w:val="0"/>
        <w:rPr>
          <w:rFonts w:cs="Times New Roman"/>
          <w:szCs w:val="24"/>
        </w:rPr>
      </w:pPr>
      <w:r w:rsidRPr="00D70A5C">
        <w:rPr>
          <w:rFonts w:cs="Times New Roman"/>
          <w:szCs w:val="24"/>
        </w:rPr>
        <w:t xml:space="preserve"> </w:t>
      </w:r>
      <w:r w:rsidR="00453FD9" w:rsidRPr="00D70A5C">
        <w:rPr>
          <w:rFonts w:cs="Times New Roman"/>
          <w:szCs w:val="24"/>
        </w:rPr>
        <w:t>4.4</w:t>
      </w:r>
      <w:r w:rsidRPr="00D70A5C">
        <w:rPr>
          <w:rFonts w:cs="Times New Roman"/>
          <w:szCs w:val="24"/>
        </w:rPr>
        <w:t>.</w:t>
      </w:r>
      <w:r w:rsidR="00560CC6" w:rsidRPr="00D70A5C">
        <w:rPr>
          <w:rFonts w:cs="Times New Roman"/>
          <w:szCs w:val="24"/>
        </w:rPr>
        <w:t xml:space="preserve"> </w:t>
      </w:r>
      <w:r w:rsidRPr="00D70A5C">
        <w:rPr>
          <w:rFonts w:cs="Times New Roman"/>
          <w:szCs w:val="24"/>
        </w:rPr>
        <w:t>Bitki koruma ürünleri veya biyosit üretimi</w:t>
      </w:r>
    </w:p>
    <w:p w14:paraId="568C48E5" w14:textId="2655D4C2" w:rsidR="00D70A5C" w:rsidRPr="00D70A5C" w:rsidRDefault="00560CC6" w:rsidP="00A654AE">
      <w:pPr>
        <w:pStyle w:val="ListeParagraf"/>
        <w:widowControl w:val="0"/>
        <w:numPr>
          <w:ilvl w:val="0"/>
          <w:numId w:val="202"/>
        </w:numPr>
        <w:autoSpaceDE w:val="0"/>
        <w:autoSpaceDN w:val="0"/>
        <w:spacing w:after="120" w:line="276" w:lineRule="auto"/>
        <w:contextualSpacing w:val="0"/>
        <w:rPr>
          <w:rFonts w:cs="Times New Roman"/>
          <w:szCs w:val="24"/>
        </w:rPr>
      </w:pPr>
      <w:r w:rsidRPr="00D70A5C">
        <w:rPr>
          <w:rFonts w:cs="Times New Roman"/>
          <w:szCs w:val="24"/>
        </w:rPr>
        <w:t xml:space="preserve"> </w:t>
      </w:r>
      <w:r w:rsidR="00453FD9" w:rsidRPr="00D70A5C">
        <w:rPr>
          <w:rFonts w:cs="Times New Roman"/>
          <w:szCs w:val="24"/>
        </w:rPr>
        <w:t>4.5</w:t>
      </w:r>
      <w:r w:rsidR="00D70A5C" w:rsidRPr="00D70A5C">
        <w:rPr>
          <w:rFonts w:cs="Times New Roman"/>
          <w:szCs w:val="24"/>
        </w:rPr>
        <w:t>. Ara ürünler dâhil farmasötik ürünlerin kimyasal veya biyolojik tepkimeyle endüstriyel ölçekte üretimi (Sadece fiziksel karışım ile formülasyon bazlı ilaç üretimi bu yönetmeliğin kapsamı dışındadır.)</w:t>
      </w:r>
    </w:p>
    <w:p w14:paraId="2FF53BAA" w14:textId="5966C479" w:rsidR="00453FD9" w:rsidRPr="00F50C10" w:rsidRDefault="00453FD9" w:rsidP="000B206D">
      <w:pPr>
        <w:pStyle w:val="ListeParagraf"/>
        <w:widowControl w:val="0"/>
        <w:tabs>
          <w:tab w:val="left" w:pos="2087"/>
          <w:tab w:val="left" w:pos="2089"/>
        </w:tabs>
        <w:autoSpaceDE w:val="0"/>
        <w:autoSpaceDN w:val="0"/>
        <w:spacing w:before="1" w:after="120" w:line="276" w:lineRule="auto"/>
        <w:ind w:left="0"/>
        <w:contextualSpacing w:val="0"/>
        <w:rPr>
          <w:rFonts w:cs="Times New Roman"/>
          <w:szCs w:val="24"/>
        </w:rPr>
      </w:pPr>
      <w:r w:rsidRPr="00F50C10">
        <w:rPr>
          <w:rFonts w:cs="Times New Roman"/>
          <w:szCs w:val="24"/>
        </w:rPr>
        <w:t xml:space="preserve">bu Tebliğ Ek 3’de yer alan hususlara göre değerlendirilir. </w:t>
      </w:r>
    </w:p>
    <w:p w14:paraId="58C04C66" w14:textId="6E28DAEB" w:rsidR="009275A9" w:rsidRPr="00F50C10" w:rsidRDefault="00560CC6" w:rsidP="00A654AE">
      <w:pPr>
        <w:pStyle w:val="ListeParagraf"/>
        <w:numPr>
          <w:ilvl w:val="0"/>
          <w:numId w:val="174"/>
        </w:numPr>
        <w:spacing w:line="276" w:lineRule="auto"/>
        <w:rPr>
          <w:rFonts w:cs="Times New Roman"/>
          <w:szCs w:val="24"/>
        </w:rPr>
      </w:pPr>
      <w:r w:rsidRPr="00F50C10">
        <w:rPr>
          <w:rFonts w:cs="Times New Roman"/>
          <w:szCs w:val="24"/>
        </w:rPr>
        <w:t xml:space="preserve">Bu Tebliğ Ek </w:t>
      </w:r>
      <w:r w:rsidR="00A80434" w:rsidRPr="00F50C10">
        <w:rPr>
          <w:rFonts w:cs="Times New Roman"/>
          <w:szCs w:val="24"/>
        </w:rPr>
        <w:t>3</w:t>
      </w:r>
      <w:r w:rsidRPr="00F50C10">
        <w:rPr>
          <w:rFonts w:cs="Times New Roman"/>
          <w:szCs w:val="24"/>
        </w:rPr>
        <w:t xml:space="preserve"> aynı zamanda Yönetmelik  Ek I Kısım 4.6 Patlayıcıları, “</w:t>
      </w:r>
      <w:r w:rsidRPr="00F50C10">
        <w:rPr>
          <w:rFonts w:cs="Times New Roman"/>
          <w:szCs w:val="24"/>
          <w:lang w:bidi="tr-TR"/>
        </w:rPr>
        <w:t>organik bileşiklerin imalatıyla ilişkili olması</w:t>
      </w:r>
      <w:r w:rsidR="00A80434" w:rsidRPr="00F50C10">
        <w:rPr>
          <w:rFonts w:cs="Times New Roman"/>
          <w:szCs w:val="24"/>
          <w:lang w:bidi="tr-TR"/>
        </w:rPr>
        <w:t>”</w:t>
      </w:r>
      <w:r w:rsidRPr="00F50C10">
        <w:rPr>
          <w:rFonts w:cs="Times New Roman"/>
          <w:szCs w:val="24"/>
          <w:lang w:bidi="tr-TR"/>
        </w:rPr>
        <w:t xml:space="preserve"> kaydıyla</w:t>
      </w:r>
      <w:r w:rsidRPr="00F50C10">
        <w:rPr>
          <w:rFonts w:cs="Times New Roman"/>
          <w:szCs w:val="24"/>
        </w:rPr>
        <w:t xml:space="preserve"> kapsar.</w:t>
      </w:r>
    </w:p>
    <w:p w14:paraId="5235764C" w14:textId="77777777" w:rsidR="003B58B2" w:rsidRPr="00F50C10" w:rsidRDefault="003B58B2" w:rsidP="00A654AE">
      <w:pPr>
        <w:pStyle w:val="Balk1"/>
        <w:numPr>
          <w:ilvl w:val="0"/>
          <w:numId w:val="174"/>
        </w:numPr>
        <w:spacing w:after="120" w:line="276" w:lineRule="auto"/>
        <w:rPr>
          <w:rFonts w:cs="Times New Roman"/>
          <w:b w:val="0"/>
          <w:szCs w:val="24"/>
        </w:rPr>
      </w:pPr>
      <w:r w:rsidRPr="00F50C10">
        <w:rPr>
          <w:rFonts w:cs="Times New Roman"/>
          <w:b w:val="0"/>
          <w:szCs w:val="24"/>
        </w:rPr>
        <w:t xml:space="preserve">Ek 3’de yer alan MET Organik İnce Kimyasalların üretimini kapsar. </w:t>
      </w:r>
    </w:p>
    <w:p w14:paraId="0C597C6E" w14:textId="438B25C2" w:rsidR="009275A9" w:rsidRPr="00F50C10" w:rsidRDefault="009275A9" w:rsidP="00A654AE">
      <w:pPr>
        <w:pStyle w:val="ListeParagraf"/>
        <w:numPr>
          <w:ilvl w:val="0"/>
          <w:numId w:val="174"/>
        </w:numPr>
        <w:spacing w:line="276" w:lineRule="auto"/>
        <w:rPr>
          <w:rFonts w:cs="Times New Roman"/>
          <w:szCs w:val="24"/>
        </w:rPr>
      </w:pPr>
      <w:r w:rsidRPr="00F50C10">
        <w:rPr>
          <w:rFonts w:cs="Times New Roman"/>
          <w:szCs w:val="24"/>
          <w:lang w:bidi="tr-TR"/>
        </w:rPr>
        <w:t>Ek 3 çok amaçlı tesislerde seri üretim sonrası, aşağıdaki kimyasal kategorilerini de ele almaktadır:</w:t>
      </w:r>
    </w:p>
    <w:p w14:paraId="13FB2145" w14:textId="77777777" w:rsidR="009275A9" w:rsidRPr="00F50C10" w:rsidRDefault="009275A9" w:rsidP="00A654AE">
      <w:pPr>
        <w:pStyle w:val="ListeParagraf"/>
        <w:widowControl w:val="0"/>
        <w:numPr>
          <w:ilvl w:val="0"/>
          <w:numId w:val="191"/>
        </w:numPr>
        <w:autoSpaceDE w:val="0"/>
        <w:autoSpaceDN w:val="0"/>
        <w:spacing w:after="120" w:line="276" w:lineRule="auto"/>
        <w:contextualSpacing w:val="0"/>
        <w:jc w:val="left"/>
        <w:rPr>
          <w:rFonts w:cs="Times New Roman"/>
          <w:szCs w:val="24"/>
        </w:rPr>
      </w:pPr>
      <w:r w:rsidRPr="00F50C10">
        <w:rPr>
          <w:rFonts w:cs="Times New Roman"/>
          <w:szCs w:val="24"/>
        </w:rPr>
        <w:t>organik ara ürünler</w:t>
      </w:r>
    </w:p>
    <w:p w14:paraId="243821EB" w14:textId="77777777" w:rsidR="009275A9" w:rsidRPr="00F50C10" w:rsidRDefault="009275A9" w:rsidP="00A654AE">
      <w:pPr>
        <w:pStyle w:val="ListeParagraf"/>
        <w:widowControl w:val="0"/>
        <w:numPr>
          <w:ilvl w:val="0"/>
          <w:numId w:val="191"/>
        </w:numPr>
        <w:autoSpaceDE w:val="0"/>
        <w:autoSpaceDN w:val="0"/>
        <w:spacing w:after="120" w:line="276" w:lineRule="auto"/>
        <w:contextualSpacing w:val="0"/>
        <w:jc w:val="left"/>
        <w:rPr>
          <w:rFonts w:cs="Times New Roman"/>
          <w:szCs w:val="24"/>
        </w:rPr>
      </w:pPr>
      <w:r w:rsidRPr="00F50C10">
        <w:rPr>
          <w:rFonts w:cs="Times New Roman"/>
          <w:szCs w:val="24"/>
        </w:rPr>
        <w:t>özel yüzey aktif maddeler</w:t>
      </w:r>
    </w:p>
    <w:p w14:paraId="187A03A6" w14:textId="77777777" w:rsidR="009275A9" w:rsidRPr="00F50C10" w:rsidRDefault="009275A9" w:rsidP="00A654AE">
      <w:pPr>
        <w:pStyle w:val="ListeParagraf"/>
        <w:widowControl w:val="0"/>
        <w:numPr>
          <w:ilvl w:val="0"/>
          <w:numId w:val="191"/>
        </w:numPr>
        <w:autoSpaceDE w:val="0"/>
        <w:autoSpaceDN w:val="0"/>
        <w:spacing w:after="120" w:line="276" w:lineRule="auto"/>
        <w:contextualSpacing w:val="0"/>
        <w:jc w:val="left"/>
        <w:rPr>
          <w:rFonts w:cs="Times New Roman"/>
          <w:szCs w:val="24"/>
        </w:rPr>
      </w:pPr>
      <w:r w:rsidRPr="00F50C10">
        <w:rPr>
          <w:rFonts w:cs="Times New Roman"/>
          <w:szCs w:val="24"/>
        </w:rPr>
        <w:t>aromalar, kokular, feromonlar</w:t>
      </w:r>
    </w:p>
    <w:p w14:paraId="1BEAB187" w14:textId="77777777" w:rsidR="009275A9" w:rsidRPr="00F50C10" w:rsidRDefault="009275A9" w:rsidP="00A654AE">
      <w:pPr>
        <w:pStyle w:val="ListeParagraf"/>
        <w:widowControl w:val="0"/>
        <w:numPr>
          <w:ilvl w:val="0"/>
          <w:numId w:val="191"/>
        </w:numPr>
        <w:autoSpaceDE w:val="0"/>
        <w:autoSpaceDN w:val="0"/>
        <w:spacing w:after="120" w:line="276" w:lineRule="auto"/>
        <w:contextualSpacing w:val="0"/>
        <w:jc w:val="left"/>
        <w:rPr>
          <w:rFonts w:cs="Times New Roman"/>
          <w:szCs w:val="24"/>
        </w:rPr>
      </w:pPr>
      <w:r w:rsidRPr="00F50C10">
        <w:rPr>
          <w:rFonts w:cs="Times New Roman"/>
          <w:szCs w:val="24"/>
        </w:rPr>
        <w:t>plastikleştiriciler</w:t>
      </w:r>
    </w:p>
    <w:p w14:paraId="15A940B1" w14:textId="77777777" w:rsidR="009275A9" w:rsidRPr="00F50C10" w:rsidRDefault="009275A9" w:rsidP="00A654AE">
      <w:pPr>
        <w:pStyle w:val="ListeParagraf"/>
        <w:widowControl w:val="0"/>
        <w:numPr>
          <w:ilvl w:val="0"/>
          <w:numId w:val="191"/>
        </w:numPr>
        <w:autoSpaceDE w:val="0"/>
        <w:autoSpaceDN w:val="0"/>
        <w:spacing w:after="120" w:line="276" w:lineRule="auto"/>
        <w:contextualSpacing w:val="0"/>
        <w:jc w:val="left"/>
        <w:rPr>
          <w:rFonts w:cs="Times New Roman"/>
          <w:szCs w:val="24"/>
        </w:rPr>
      </w:pPr>
      <w:r w:rsidRPr="00F50C10">
        <w:rPr>
          <w:rFonts w:cs="Times New Roman"/>
          <w:szCs w:val="24"/>
        </w:rPr>
        <w:t>vitaminler (eczacılık ürünlerine ait)</w:t>
      </w:r>
    </w:p>
    <w:p w14:paraId="0F11B9DB" w14:textId="77777777" w:rsidR="009275A9" w:rsidRPr="00F50C10" w:rsidRDefault="009275A9" w:rsidP="00A654AE">
      <w:pPr>
        <w:pStyle w:val="ListeParagraf"/>
        <w:widowControl w:val="0"/>
        <w:numPr>
          <w:ilvl w:val="0"/>
          <w:numId w:val="191"/>
        </w:numPr>
        <w:autoSpaceDE w:val="0"/>
        <w:autoSpaceDN w:val="0"/>
        <w:spacing w:after="120" w:line="276" w:lineRule="auto"/>
        <w:contextualSpacing w:val="0"/>
        <w:jc w:val="left"/>
        <w:rPr>
          <w:rFonts w:cs="Times New Roman"/>
          <w:szCs w:val="24"/>
        </w:rPr>
      </w:pPr>
      <w:r w:rsidRPr="00F50C10">
        <w:rPr>
          <w:rFonts w:cs="Times New Roman"/>
          <w:szCs w:val="24"/>
        </w:rPr>
        <w:t>optik parlatıcılar (boya ve pigmentlere ait)</w:t>
      </w:r>
    </w:p>
    <w:p w14:paraId="2124556B" w14:textId="16B3E981" w:rsidR="00560CC6" w:rsidRPr="00F50C10" w:rsidRDefault="009275A9" w:rsidP="00A654AE">
      <w:pPr>
        <w:pStyle w:val="ListeParagraf"/>
        <w:widowControl w:val="0"/>
        <w:numPr>
          <w:ilvl w:val="0"/>
          <w:numId w:val="191"/>
        </w:numPr>
        <w:autoSpaceDE w:val="0"/>
        <w:autoSpaceDN w:val="0"/>
        <w:spacing w:after="120" w:line="276" w:lineRule="auto"/>
        <w:contextualSpacing w:val="0"/>
        <w:jc w:val="left"/>
        <w:rPr>
          <w:rFonts w:cs="Times New Roman"/>
          <w:szCs w:val="24"/>
        </w:rPr>
      </w:pPr>
      <w:r w:rsidRPr="00F50C10">
        <w:rPr>
          <w:rFonts w:cs="Times New Roman"/>
          <w:szCs w:val="24"/>
        </w:rPr>
        <w:t>alev geciktiriciler</w:t>
      </w:r>
    </w:p>
    <w:p w14:paraId="6A4F53EC" w14:textId="01D7839E" w:rsidR="009133C9" w:rsidRPr="00F50C10" w:rsidRDefault="009133C9" w:rsidP="000B206D">
      <w:pPr>
        <w:pStyle w:val="Balk1"/>
        <w:numPr>
          <w:ilvl w:val="0"/>
          <w:numId w:val="0"/>
        </w:numPr>
        <w:spacing w:line="276" w:lineRule="auto"/>
        <w:ind w:left="432" w:hanging="432"/>
        <w:rPr>
          <w:rFonts w:cs="Times New Roman"/>
          <w:b w:val="0"/>
          <w:szCs w:val="24"/>
        </w:rPr>
      </w:pPr>
      <w:r w:rsidRPr="00F50C10">
        <w:rPr>
          <w:rFonts w:cs="Times New Roman"/>
          <w:szCs w:val="24"/>
        </w:rPr>
        <w:t>Organik İnce Kimyasallar  ile İlişkili Diğer Tebliğler ve Dokümanlar</w:t>
      </w:r>
    </w:p>
    <w:p w14:paraId="00536C84" w14:textId="767E9748" w:rsidR="009133C9" w:rsidRPr="00F50C10" w:rsidRDefault="009133C9" w:rsidP="000B206D">
      <w:pPr>
        <w:pStyle w:val="GvdeMetni"/>
        <w:spacing w:after="120" w:line="276" w:lineRule="auto"/>
        <w:rPr>
          <w:b/>
          <w:sz w:val="24"/>
          <w:szCs w:val="24"/>
        </w:rPr>
      </w:pPr>
      <w:r w:rsidRPr="00F50C10">
        <w:rPr>
          <w:b/>
          <w:sz w:val="24"/>
          <w:szCs w:val="24"/>
        </w:rPr>
        <w:t>MADDE- 1</w:t>
      </w:r>
      <w:r w:rsidR="003B218B" w:rsidRPr="00F50C10">
        <w:rPr>
          <w:b/>
          <w:sz w:val="24"/>
          <w:szCs w:val="24"/>
        </w:rPr>
        <w:t>2</w:t>
      </w:r>
      <w:r w:rsidRPr="00F50C10">
        <w:rPr>
          <w:b/>
          <w:sz w:val="24"/>
          <w:szCs w:val="24"/>
        </w:rPr>
        <w:t xml:space="preserve"> (1) </w:t>
      </w:r>
      <w:r w:rsidRPr="00F50C10">
        <w:rPr>
          <w:sz w:val="24"/>
          <w:szCs w:val="24"/>
        </w:rPr>
        <w:t>Bu tebliğ Ek 3 kapsamına giren tesislerin Sanayide Yeşil Dönüşüm Belgelendirme sürecinde aşağıdaki tebliğlerin ilgili hükümlerinin de sağlanması esastır.</w:t>
      </w:r>
    </w:p>
    <w:p w14:paraId="1B76A706" w14:textId="672FAE67" w:rsidR="009133C9" w:rsidRPr="00F50C10" w:rsidRDefault="00F35E77" w:rsidP="00A654AE">
      <w:pPr>
        <w:pStyle w:val="GvdeMetni"/>
        <w:numPr>
          <w:ilvl w:val="0"/>
          <w:numId w:val="177"/>
        </w:numPr>
        <w:spacing w:after="120" w:line="276" w:lineRule="auto"/>
        <w:rPr>
          <w:sz w:val="24"/>
          <w:szCs w:val="24"/>
        </w:rPr>
      </w:pPr>
      <w:r w:rsidRPr="00F50C10">
        <w:rPr>
          <w:bCs/>
          <w:sz w:val="24"/>
          <w:szCs w:val="24"/>
        </w:rPr>
        <w:t>Diğer Üretim Faaliyetlerinde Mevcut En İyi Teknikler Tebliği - Ortak ve Bağımsız Atıksu Arıtma Tesisleri</w:t>
      </w:r>
      <w:r w:rsidR="009133C9" w:rsidRPr="00F50C10">
        <w:rPr>
          <w:sz w:val="24"/>
          <w:szCs w:val="24"/>
        </w:rPr>
        <w:t>);</w:t>
      </w:r>
    </w:p>
    <w:p w14:paraId="31F244F5" w14:textId="77777777" w:rsidR="009133C9" w:rsidRPr="00F50C10" w:rsidRDefault="009133C9" w:rsidP="00A654AE">
      <w:pPr>
        <w:pStyle w:val="GvdeMetni"/>
        <w:numPr>
          <w:ilvl w:val="0"/>
          <w:numId w:val="177"/>
        </w:numPr>
        <w:spacing w:after="120" w:line="276" w:lineRule="auto"/>
        <w:rPr>
          <w:sz w:val="24"/>
          <w:szCs w:val="24"/>
        </w:rPr>
      </w:pPr>
      <w:r w:rsidRPr="00F50C10">
        <w:rPr>
          <w:sz w:val="24"/>
          <w:szCs w:val="24"/>
        </w:rPr>
        <w:t>Kimya Sektöründe Ortak Atık Gaz Arıtma (WGC).</w:t>
      </w:r>
    </w:p>
    <w:p w14:paraId="364C4093" w14:textId="56D4F6E2" w:rsidR="009133C9" w:rsidRPr="00F50C10" w:rsidRDefault="009133C9" w:rsidP="00A654AE">
      <w:pPr>
        <w:pStyle w:val="GvdeMetni"/>
        <w:numPr>
          <w:ilvl w:val="0"/>
          <w:numId w:val="175"/>
        </w:numPr>
        <w:spacing w:after="120" w:line="276" w:lineRule="auto"/>
        <w:jc w:val="both"/>
        <w:rPr>
          <w:sz w:val="24"/>
          <w:szCs w:val="24"/>
        </w:rPr>
      </w:pPr>
      <w:r w:rsidRPr="00F50C10">
        <w:rPr>
          <w:sz w:val="24"/>
          <w:szCs w:val="24"/>
        </w:rPr>
        <w:t xml:space="preserve">Bu tebliğ Ek 3 kapsamına giren tesislerin Sanayide Yeşil Dönüşüm Belgelendirme sürecinde ilave değerlendirme gerekmesi halinde aşağıdaki rehber dokümanlardan da yararlanılabilir.  </w:t>
      </w:r>
    </w:p>
    <w:p w14:paraId="26560B84" w14:textId="77777777" w:rsidR="009133C9" w:rsidRPr="00F50C10" w:rsidRDefault="009133C9" w:rsidP="00A654AE">
      <w:pPr>
        <w:pStyle w:val="ListeParagraf"/>
        <w:widowControl w:val="0"/>
        <w:numPr>
          <w:ilvl w:val="0"/>
          <w:numId w:val="176"/>
        </w:numPr>
        <w:autoSpaceDE w:val="0"/>
        <w:autoSpaceDN w:val="0"/>
        <w:spacing w:after="120" w:line="276" w:lineRule="auto"/>
        <w:contextualSpacing w:val="0"/>
        <w:jc w:val="left"/>
        <w:rPr>
          <w:rFonts w:cs="Times New Roman"/>
          <w:szCs w:val="24"/>
        </w:rPr>
      </w:pPr>
      <w:r w:rsidRPr="00F50C10">
        <w:rPr>
          <w:rFonts w:cs="Times New Roman"/>
          <w:szCs w:val="24"/>
        </w:rPr>
        <w:t>Ekonomi ve Ortamlar Arası Etkiler (ECM);</w:t>
      </w:r>
    </w:p>
    <w:p w14:paraId="4E047EB3" w14:textId="77777777" w:rsidR="009133C9" w:rsidRPr="00F50C10" w:rsidRDefault="009133C9" w:rsidP="00A654AE">
      <w:pPr>
        <w:pStyle w:val="ListeParagraf"/>
        <w:widowControl w:val="0"/>
        <w:numPr>
          <w:ilvl w:val="0"/>
          <w:numId w:val="176"/>
        </w:numPr>
        <w:autoSpaceDE w:val="0"/>
        <w:autoSpaceDN w:val="0"/>
        <w:spacing w:after="120" w:line="276" w:lineRule="auto"/>
        <w:contextualSpacing w:val="0"/>
        <w:jc w:val="left"/>
        <w:rPr>
          <w:rFonts w:cs="Times New Roman"/>
          <w:szCs w:val="24"/>
        </w:rPr>
      </w:pPr>
      <w:r w:rsidRPr="00F50C10">
        <w:rPr>
          <w:rFonts w:cs="Times New Roman"/>
          <w:szCs w:val="24"/>
        </w:rPr>
        <w:t>Depolamadan Kaynaklanan Emisyonlar (EFS);</w:t>
      </w:r>
    </w:p>
    <w:p w14:paraId="1D7D7843" w14:textId="77777777" w:rsidR="009133C9" w:rsidRPr="00F50C10" w:rsidRDefault="009133C9" w:rsidP="00A654AE">
      <w:pPr>
        <w:pStyle w:val="ListeParagraf"/>
        <w:widowControl w:val="0"/>
        <w:numPr>
          <w:ilvl w:val="0"/>
          <w:numId w:val="176"/>
        </w:numPr>
        <w:autoSpaceDE w:val="0"/>
        <w:autoSpaceDN w:val="0"/>
        <w:spacing w:after="120" w:line="276" w:lineRule="auto"/>
        <w:contextualSpacing w:val="0"/>
        <w:jc w:val="left"/>
        <w:rPr>
          <w:rFonts w:cs="Times New Roman"/>
          <w:szCs w:val="24"/>
        </w:rPr>
      </w:pPr>
      <w:r w:rsidRPr="00F50C10">
        <w:rPr>
          <w:rFonts w:cs="Times New Roman"/>
          <w:szCs w:val="24"/>
        </w:rPr>
        <w:t>Enerji Verimliliği (ENE);</w:t>
      </w:r>
    </w:p>
    <w:p w14:paraId="717B7702" w14:textId="77777777" w:rsidR="009133C9" w:rsidRPr="00F50C10" w:rsidRDefault="009133C9" w:rsidP="00A654AE">
      <w:pPr>
        <w:pStyle w:val="ListeParagraf"/>
        <w:widowControl w:val="0"/>
        <w:numPr>
          <w:ilvl w:val="0"/>
          <w:numId w:val="176"/>
        </w:numPr>
        <w:autoSpaceDE w:val="0"/>
        <w:autoSpaceDN w:val="0"/>
        <w:spacing w:after="120" w:line="276" w:lineRule="auto"/>
        <w:contextualSpacing w:val="0"/>
        <w:jc w:val="left"/>
        <w:rPr>
          <w:rFonts w:cs="Times New Roman"/>
          <w:szCs w:val="24"/>
        </w:rPr>
      </w:pPr>
      <w:r w:rsidRPr="00F50C10">
        <w:rPr>
          <w:rFonts w:cs="Times New Roman"/>
          <w:szCs w:val="24"/>
        </w:rPr>
        <w:t>Endüstriyel Soğutma Sistemleri (ICS);</w:t>
      </w:r>
    </w:p>
    <w:p w14:paraId="28916B4F" w14:textId="7374BD20" w:rsidR="009133C9" w:rsidRPr="00F50C10" w:rsidRDefault="009133C9" w:rsidP="00A654AE">
      <w:pPr>
        <w:pStyle w:val="ListeParagraf"/>
        <w:widowControl w:val="0"/>
        <w:numPr>
          <w:ilvl w:val="0"/>
          <w:numId w:val="176"/>
        </w:numPr>
        <w:autoSpaceDE w:val="0"/>
        <w:autoSpaceDN w:val="0"/>
        <w:spacing w:after="120" w:line="276" w:lineRule="auto"/>
        <w:contextualSpacing w:val="0"/>
        <w:jc w:val="left"/>
        <w:rPr>
          <w:rFonts w:cs="Times New Roman"/>
          <w:szCs w:val="24"/>
        </w:rPr>
      </w:pPr>
      <w:r w:rsidRPr="00F50C10">
        <w:rPr>
          <w:rFonts w:cs="Times New Roman"/>
          <w:szCs w:val="24"/>
        </w:rPr>
        <w:t>EED Tesislerinin Hava ve Su Emisyonlarının İzlenmesi (ROM);</w:t>
      </w:r>
    </w:p>
    <w:p w14:paraId="02741CCB" w14:textId="77777777" w:rsidR="003B218B" w:rsidRPr="00F50C10" w:rsidRDefault="003B218B" w:rsidP="000B206D">
      <w:pPr>
        <w:pStyle w:val="GvdeMetni"/>
        <w:spacing w:after="120" w:line="276" w:lineRule="auto"/>
        <w:jc w:val="both"/>
        <w:rPr>
          <w:b/>
          <w:sz w:val="24"/>
          <w:szCs w:val="24"/>
        </w:rPr>
      </w:pPr>
      <w:r w:rsidRPr="00F50C10">
        <w:rPr>
          <w:b/>
          <w:sz w:val="24"/>
          <w:szCs w:val="24"/>
        </w:rPr>
        <w:t>Klor Alkali Üretimi için MET</w:t>
      </w:r>
    </w:p>
    <w:p w14:paraId="56DB2F2B" w14:textId="201E9FE6" w:rsidR="00F34E0D" w:rsidRPr="00F34E0D" w:rsidRDefault="003B218B" w:rsidP="00F34E0D">
      <w:pPr>
        <w:tabs>
          <w:tab w:val="left" w:pos="475"/>
        </w:tabs>
        <w:ind w:left="567"/>
        <w:rPr>
          <w:rFonts w:eastAsia="Times New Roman" w:cs="Times New Roman"/>
          <w:szCs w:val="24"/>
        </w:rPr>
      </w:pPr>
      <w:r w:rsidRPr="00F50C10">
        <w:rPr>
          <w:rFonts w:cs="Times New Roman"/>
          <w:b/>
          <w:szCs w:val="24"/>
        </w:rPr>
        <w:t xml:space="preserve">MADDE 13 </w:t>
      </w:r>
      <w:r w:rsidRPr="00F50C10">
        <w:rPr>
          <w:rFonts w:cs="Times New Roman"/>
          <w:szCs w:val="24"/>
        </w:rPr>
        <w:t xml:space="preserve">(1) </w:t>
      </w:r>
      <w:r w:rsidRPr="00F50C10">
        <w:rPr>
          <w:rFonts w:cs="Times New Roman"/>
          <w:szCs w:val="24"/>
          <w:lang w:bidi="tr-TR"/>
        </w:rPr>
        <w:t>Yönetmelik</w:t>
      </w:r>
      <w:r w:rsidRPr="00F50C10">
        <w:rPr>
          <w:rFonts w:cs="Times New Roman"/>
          <w:szCs w:val="24"/>
        </w:rPr>
        <w:t xml:space="preserve"> </w:t>
      </w:r>
      <w:r w:rsidRPr="00F50C10">
        <w:rPr>
          <w:rFonts w:cs="Times New Roman"/>
          <w:szCs w:val="24"/>
          <w:lang w:bidi="tr-TR"/>
        </w:rPr>
        <w:t>Ek I</w:t>
      </w:r>
      <w:r w:rsidR="00F34E0D">
        <w:rPr>
          <w:szCs w:val="24"/>
          <w:lang w:bidi="tr-TR"/>
        </w:rPr>
        <w:t>, 4.2.</w:t>
      </w:r>
      <w:r w:rsidR="00F34E0D" w:rsidRPr="00F34E0D">
        <w:rPr>
          <w:rFonts w:eastAsia="Times New Roman" w:cs="Times New Roman"/>
          <w:szCs w:val="24"/>
        </w:rPr>
        <w:t xml:space="preserve"> </w:t>
      </w:r>
      <w:r w:rsidR="00F34E0D" w:rsidRPr="008273E8">
        <w:rPr>
          <w:rFonts w:eastAsia="Times New Roman" w:cs="Times New Roman"/>
          <w:szCs w:val="24"/>
        </w:rPr>
        <w:t>İnorganik kimyasalların üretimi, örneğin:</w:t>
      </w:r>
    </w:p>
    <w:p w14:paraId="65E46EA6" w14:textId="759622E5" w:rsidR="00F34E0D" w:rsidRDefault="003B218B" w:rsidP="00A654AE">
      <w:pPr>
        <w:pStyle w:val="GvdeMetni"/>
        <w:numPr>
          <w:ilvl w:val="0"/>
          <w:numId w:val="203"/>
        </w:numPr>
        <w:spacing w:after="120" w:line="276" w:lineRule="auto"/>
        <w:jc w:val="both"/>
        <w:rPr>
          <w:sz w:val="24"/>
          <w:szCs w:val="24"/>
        </w:rPr>
      </w:pPr>
      <w:r w:rsidRPr="00F50C10">
        <w:rPr>
          <w:sz w:val="24"/>
          <w:szCs w:val="24"/>
          <w:lang w:bidi="tr-TR"/>
        </w:rPr>
        <w:t xml:space="preserve"> 4.2.a</w:t>
      </w:r>
      <w:r w:rsidR="00F34E0D">
        <w:rPr>
          <w:sz w:val="24"/>
          <w:szCs w:val="24"/>
          <w:lang w:bidi="tr-TR"/>
        </w:rPr>
        <w:t xml:space="preserve">. </w:t>
      </w:r>
      <w:r w:rsidR="00F34E0D" w:rsidRPr="008273E8">
        <w:rPr>
          <w:sz w:val="24"/>
          <w:szCs w:val="24"/>
        </w:rPr>
        <w:t>amonyak, klor veya hidrojen klorür, flor veya hidrojen florür, karbon oksitler, kükürt bileşikleri, azot oksitler, suyun elektrolizi dışında hidrojen*, kükürt dioksit, karbonil klorür gibi gazlar,</w:t>
      </w:r>
    </w:p>
    <w:p w14:paraId="4AFE7593" w14:textId="6BCEC7DD" w:rsidR="00F34E0D" w:rsidRPr="00463439" w:rsidRDefault="003B218B" w:rsidP="00A654AE">
      <w:pPr>
        <w:pStyle w:val="ListeParagraf"/>
        <w:widowControl w:val="0"/>
        <w:numPr>
          <w:ilvl w:val="0"/>
          <w:numId w:val="203"/>
        </w:numPr>
        <w:pBdr>
          <w:top w:val="nil"/>
          <w:left w:val="nil"/>
          <w:bottom w:val="nil"/>
          <w:right w:val="nil"/>
          <w:between w:val="nil"/>
        </w:pBdr>
        <w:tabs>
          <w:tab w:val="left" w:pos="426"/>
        </w:tabs>
        <w:rPr>
          <w:rFonts w:eastAsia="Times New Roman" w:cs="Times New Roman"/>
          <w:szCs w:val="24"/>
        </w:rPr>
      </w:pPr>
      <w:r w:rsidRPr="00463439">
        <w:rPr>
          <w:rFonts w:cs="Times New Roman"/>
          <w:szCs w:val="24"/>
          <w:lang w:bidi="tr-TR"/>
        </w:rPr>
        <w:t>4.2.c</w:t>
      </w:r>
      <w:r w:rsidR="00F34E0D" w:rsidRPr="00463439">
        <w:rPr>
          <w:szCs w:val="24"/>
          <w:lang w:bidi="tr-TR"/>
        </w:rPr>
        <w:t xml:space="preserve">. </w:t>
      </w:r>
      <w:r w:rsidR="00F34E0D" w:rsidRPr="00463439">
        <w:rPr>
          <w:rFonts w:eastAsia="Times New Roman" w:cs="Times New Roman"/>
          <w:szCs w:val="24"/>
        </w:rPr>
        <w:t>Amonyum hidroksit, potasyum hidroksit, sodyum hidroksit gibi bazlar,</w:t>
      </w:r>
    </w:p>
    <w:p w14:paraId="63C624FD" w14:textId="0775BDC9" w:rsidR="003B218B" w:rsidRPr="00F50C10" w:rsidRDefault="003B218B" w:rsidP="00F34E0D">
      <w:pPr>
        <w:pStyle w:val="GvdeMetni"/>
        <w:spacing w:after="120" w:line="276" w:lineRule="auto"/>
        <w:ind w:left="360"/>
        <w:jc w:val="both"/>
        <w:rPr>
          <w:sz w:val="24"/>
          <w:szCs w:val="24"/>
        </w:rPr>
      </w:pPr>
      <w:r w:rsidRPr="00F50C10">
        <w:rPr>
          <w:sz w:val="24"/>
          <w:szCs w:val="24"/>
        </w:rPr>
        <w:t xml:space="preserve">bu Tebliğ Ek 4’de yer alan hususlara göre değerlendirilir. </w:t>
      </w:r>
    </w:p>
    <w:p w14:paraId="07EFEAD6" w14:textId="165A00A3" w:rsidR="009A6E16" w:rsidRPr="00F50C10" w:rsidRDefault="009A6E16" w:rsidP="00A654AE">
      <w:pPr>
        <w:pStyle w:val="Balk1"/>
        <w:numPr>
          <w:ilvl w:val="0"/>
          <w:numId w:val="183"/>
        </w:numPr>
        <w:spacing w:after="120" w:line="276" w:lineRule="auto"/>
        <w:rPr>
          <w:rFonts w:cs="Times New Roman"/>
          <w:b w:val="0"/>
          <w:szCs w:val="24"/>
        </w:rPr>
      </w:pPr>
      <w:r w:rsidRPr="00F50C10">
        <w:rPr>
          <w:rFonts w:cs="Times New Roman"/>
          <w:b w:val="0"/>
          <w:szCs w:val="24"/>
        </w:rPr>
        <w:t xml:space="preserve">Ek 4’de yer alan MET Klor Alkalı üretimini kapsar. </w:t>
      </w:r>
    </w:p>
    <w:p w14:paraId="0F89AE99" w14:textId="39250BB0" w:rsidR="009A6E16" w:rsidRPr="00F50C10" w:rsidRDefault="009A6E16" w:rsidP="00A654AE">
      <w:pPr>
        <w:pStyle w:val="ListeParagraf"/>
        <w:numPr>
          <w:ilvl w:val="0"/>
          <w:numId w:val="183"/>
        </w:numPr>
        <w:spacing w:line="276" w:lineRule="auto"/>
        <w:rPr>
          <w:rFonts w:cs="Times New Roman"/>
          <w:szCs w:val="24"/>
        </w:rPr>
      </w:pPr>
      <w:r w:rsidRPr="00F50C10">
        <w:rPr>
          <w:rFonts w:cs="Times New Roman"/>
          <w:szCs w:val="24"/>
          <w:lang w:bidi="tr-TR"/>
        </w:rPr>
        <w:t>Ek 4 özellikle aşağıdaki prosesleri ve faaliyetleri kapsar:</w:t>
      </w:r>
      <w:r w:rsidRPr="00F50C10">
        <w:rPr>
          <w:rFonts w:cs="Times New Roman"/>
          <w:szCs w:val="24"/>
        </w:rPr>
        <w:t xml:space="preserve"> </w:t>
      </w:r>
    </w:p>
    <w:p w14:paraId="5EB06C49" w14:textId="77777777" w:rsidR="009A6E16" w:rsidRPr="00F50C10" w:rsidRDefault="009A6E16" w:rsidP="00A654AE">
      <w:pPr>
        <w:pStyle w:val="GvdeMetni"/>
        <w:numPr>
          <w:ilvl w:val="0"/>
          <w:numId w:val="182"/>
        </w:numPr>
        <w:tabs>
          <w:tab w:val="left" w:pos="1155"/>
        </w:tabs>
        <w:autoSpaceDE/>
        <w:autoSpaceDN/>
        <w:spacing w:line="276" w:lineRule="auto"/>
        <w:jc w:val="both"/>
        <w:rPr>
          <w:sz w:val="24"/>
          <w:szCs w:val="24"/>
        </w:rPr>
      </w:pPr>
      <w:r w:rsidRPr="00F50C10">
        <w:rPr>
          <w:sz w:val="24"/>
          <w:szCs w:val="24"/>
          <w:lang w:bidi="tr-TR"/>
        </w:rPr>
        <w:t>tuzun depolanması;</w:t>
      </w:r>
    </w:p>
    <w:p w14:paraId="3137156C" w14:textId="77777777" w:rsidR="009A6E16" w:rsidRPr="00F50C10" w:rsidRDefault="009A6E16" w:rsidP="00A654AE">
      <w:pPr>
        <w:pStyle w:val="GvdeMetni"/>
        <w:numPr>
          <w:ilvl w:val="0"/>
          <w:numId w:val="182"/>
        </w:numPr>
        <w:tabs>
          <w:tab w:val="left" w:pos="1155"/>
        </w:tabs>
        <w:autoSpaceDE/>
        <w:autoSpaceDN/>
        <w:spacing w:line="276" w:lineRule="auto"/>
        <w:jc w:val="both"/>
        <w:rPr>
          <w:sz w:val="24"/>
          <w:szCs w:val="24"/>
        </w:rPr>
      </w:pPr>
      <w:r w:rsidRPr="00F50C10">
        <w:rPr>
          <w:sz w:val="24"/>
          <w:szCs w:val="24"/>
          <w:lang w:bidi="tr-TR"/>
        </w:rPr>
        <w:t>tuzlu suyun hazırlanması, saflaştırılması ve yeniden doygunlaştırılması;</w:t>
      </w:r>
    </w:p>
    <w:p w14:paraId="293D8F1A" w14:textId="77777777" w:rsidR="009A6E16" w:rsidRPr="00F50C10" w:rsidRDefault="009A6E16" w:rsidP="00A654AE">
      <w:pPr>
        <w:pStyle w:val="GvdeMetni"/>
        <w:numPr>
          <w:ilvl w:val="0"/>
          <w:numId w:val="182"/>
        </w:numPr>
        <w:tabs>
          <w:tab w:val="left" w:pos="1155"/>
        </w:tabs>
        <w:autoSpaceDE/>
        <w:autoSpaceDN/>
        <w:spacing w:line="276" w:lineRule="auto"/>
        <w:jc w:val="both"/>
        <w:rPr>
          <w:sz w:val="24"/>
          <w:szCs w:val="24"/>
        </w:rPr>
      </w:pPr>
      <w:r w:rsidRPr="00F50C10">
        <w:rPr>
          <w:sz w:val="24"/>
          <w:szCs w:val="24"/>
          <w:lang w:bidi="tr-TR"/>
        </w:rPr>
        <w:t>tuzlu suyun elektrolizi;</w:t>
      </w:r>
    </w:p>
    <w:p w14:paraId="39A79B22" w14:textId="77777777" w:rsidR="009A6E16" w:rsidRPr="00F50C10" w:rsidRDefault="009A6E16" w:rsidP="00A654AE">
      <w:pPr>
        <w:pStyle w:val="GvdeMetni"/>
        <w:numPr>
          <w:ilvl w:val="0"/>
          <w:numId w:val="182"/>
        </w:numPr>
        <w:tabs>
          <w:tab w:val="left" w:pos="1155"/>
        </w:tabs>
        <w:autoSpaceDE/>
        <w:autoSpaceDN/>
        <w:spacing w:line="276" w:lineRule="auto"/>
        <w:jc w:val="both"/>
        <w:rPr>
          <w:sz w:val="24"/>
          <w:szCs w:val="24"/>
        </w:rPr>
      </w:pPr>
      <w:r w:rsidRPr="00F50C10">
        <w:rPr>
          <w:sz w:val="24"/>
          <w:szCs w:val="24"/>
          <w:lang w:bidi="tr-TR"/>
        </w:rPr>
        <w:t>sodyum/potasyum hidroksitin derişik hale getirilmesi, saflaştırılması, depolanması ve taşınması;</w:t>
      </w:r>
    </w:p>
    <w:p w14:paraId="6DF73427" w14:textId="77777777" w:rsidR="009A6E16" w:rsidRPr="00F50C10" w:rsidRDefault="009A6E16" w:rsidP="00A654AE">
      <w:pPr>
        <w:pStyle w:val="GvdeMetni"/>
        <w:numPr>
          <w:ilvl w:val="0"/>
          <w:numId w:val="182"/>
        </w:numPr>
        <w:tabs>
          <w:tab w:val="left" w:pos="1155"/>
        </w:tabs>
        <w:autoSpaceDE/>
        <w:autoSpaceDN/>
        <w:spacing w:line="276" w:lineRule="auto"/>
        <w:ind w:right="156"/>
        <w:rPr>
          <w:sz w:val="24"/>
          <w:szCs w:val="24"/>
        </w:rPr>
      </w:pPr>
      <w:r w:rsidRPr="00F50C10">
        <w:rPr>
          <w:sz w:val="24"/>
          <w:szCs w:val="24"/>
          <w:lang w:bidi="tr-TR"/>
        </w:rPr>
        <w:t>klorun soğutulması, kurutulması, saflaştırılması, sıkıştırılması, sıvılaştırılması, depolanması ve taşınması;</w:t>
      </w:r>
    </w:p>
    <w:p w14:paraId="3F989CFA" w14:textId="77777777" w:rsidR="009A6E16" w:rsidRPr="00F50C10" w:rsidRDefault="009A6E16" w:rsidP="00A654AE">
      <w:pPr>
        <w:pStyle w:val="GvdeMetni"/>
        <w:numPr>
          <w:ilvl w:val="0"/>
          <w:numId w:val="182"/>
        </w:numPr>
        <w:tabs>
          <w:tab w:val="left" w:pos="1155"/>
        </w:tabs>
        <w:autoSpaceDE/>
        <w:autoSpaceDN/>
        <w:spacing w:line="276" w:lineRule="auto"/>
        <w:jc w:val="both"/>
        <w:rPr>
          <w:sz w:val="24"/>
          <w:szCs w:val="24"/>
        </w:rPr>
      </w:pPr>
      <w:r w:rsidRPr="00F50C10">
        <w:rPr>
          <w:sz w:val="24"/>
          <w:szCs w:val="24"/>
          <w:lang w:bidi="tr-TR"/>
        </w:rPr>
        <w:t>hidrojenin soğutulması, saflaştırılması, sıkıştırılması, depolanması ve taşınması;</w:t>
      </w:r>
    </w:p>
    <w:p w14:paraId="5CCAF05F" w14:textId="77777777" w:rsidR="009A6E16" w:rsidRPr="00F50C10" w:rsidRDefault="009A6E16" w:rsidP="00A654AE">
      <w:pPr>
        <w:pStyle w:val="GvdeMetni"/>
        <w:numPr>
          <w:ilvl w:val="0"/>
          <w:numId w:val="182"/>
        </w:numPr>
        <w:tabs>
          <w:tab w:val="left" w:pos="1155"/>
        </w:tabs>
        <w:autoSpaceDE/>
        <w:autoSpaceDN/>
        <w:spacing w:line="276" w:lineRule="auto"/>
        <w:jc w:val="both"/>
        <w:rPr>
          <w:sz w:val="24"/>
          <w:szCs w:val="24"/>
        </w:rPr>
      </w:pPr>
      <w:r w:rsidRPr="00F50C10">
        <w:rPr>
          <w:sz w:val="24"/>
          <w:szCs w:val="24"/>
          <w:lang w:bidi="tr-TR"/>
        </w:rPr>
        <w:t>cıva hücreli tesislerin membran hücreli tesislere dönüştürülmesi;</w:t>
      </w:r>
    </w:p>
    <w:p w14:paraId="70744646" w14:textId="77777777" w:rsidR="009A6E16" w:rsidRPr="00F50C10" w:rsidRDefault="009A6E16" w:rsidP="00A654AE">
      <w:pPr>
        <w:pStyle w:val="GvdeMetni"/>
        <w:numPr>
          <w:ilvl w:val="0"/>
          <w:numId w:val="182"/>
        </w:numPr>
        <w:tabs>
          <w:tab w:val="left" w:pos="1155"/>
        </w:tabs>
        <w:autoSpaceDE/>
        <w:autoSpaceDN/>
        <w:spacing w:line="276" w:lineRule="auto"/>
        <w:jc w:val="both"/>
        <w:rPr>
          <w:sz w:val="24"/>
          <w:szCs w:val="24"/>
        </w:rPr>
      </w:pPr>
      <w:r w:rsidRPr="00F50C10">
        <w:rPr>
          <w:sz w:val="24"/>
          <w:szCs w:val="24"/>
          <w:lang w:bidi="tr-TR"/>
        </w:rPr>
        <w:t>cıva hücreli tesislerin hizmetten çıkarılması;</w:t>
      </w:r>
    </w:p>
    <w:p w14:paraId="37B8DC7F" w14:textId="77777777" w:rsidR="009A6E16" w:rsidRPr="00F50C10" w:rsidRDefault="009A6E16" w:rsidP="00A654AE">
      <w:pPr>
        <w:pStyle w:val="GvdeMetni"/>
        <w:numPr>
          <w:ilvl w:val="0"/>
          <w:numId w:val="182"/>
        </w:numPr>
        <w:tabs>
          <w:tab w:val="left" w:pos="1155"/>
        </w:tabs>
        <w:autoSpaceDE/>
        <w:autoSpaceDN/>
        <w:spacing w:line="276" w:lineRule="auto"/>
        <w:jc w:val="both"/>
        <w:rPr>
          <w:sz w:val="24"/>
          <w:szCs w:val="24"/>
        </w:rPr>
      </w:pPr>
      <w:r w:rsidRPr="00F50C10">
        <w:rPr>
          <w:sz w:val="24"/>
          <w:szCs w:val="24"/>
          <w:lang w:bidi="tr-TR"/>
        </w:rPr>
        <w:t>klor-alkali üretim sahalarının iyileştirilmesi / ıslahı.</w:t>
      </w:r>
    </w:p>
    <w:p w14:paraId="49EFD1B9" w14:textId="77777777" w:rsidR="009A6E16" w:rsidRPr="00F50C10" w:rsidRDefault="009A6E16" w:rsidP="000B206D">
      <w:pPr>
        <w:spacing w:before="15" w:line="276" w:lineRule="auto"/>
        <w:rPr>
          <w:rFonts w:cs="Times New Roman"/>
          <w:szCs w:val="24"/>
        </w:rPr>
      </w:pPr>
    </w:p>
    <w:p w14:paraId="104D7B07" w14:textId="48DD9E4E" w:rsidR="009A6E16" w:rsidRPr="00F50C10" w:rsidRDefault="009A6E16" w:rsidP="00A654AE">
      <w:pPr>
        <w:pStyle w:val="GvdeMetni"/>
        <w:numPr>
          <w:ilvl w:val="0"/>
          <w:numId w:val="183"/>
        </w:numPr>
        <w:spacing w:line="276" w:lineRule="auto"/>
        <w:jc w:val="both"/>
        <w:rPr>
          <w:sz w:val="24"/>
          <w:szCs w:val="24"/>
        </w:rPr>
      </w:pPr>
      <w:r w:rsidRPr="00F50C10">
        <w:rPr>
          <w:sz w:val="24"/>
          <w:szCs w:val="24"/>
          <w:lang w:bidi="tr-TR"/>
        </w:rPr>
        <w:t>Bu Tebliğ Ek 4’de  aşağıdaki faaliyetler veya prosesler ele alınmamaktadır:</w:t>
      </w:r>
    </w:p>
    <w:p w14:paraId="077586B3" w14:textId="77777777" w:rsidR="009A6E16" w:rsidRPr="00F50C10" w:rsidRDefault="009A6E16" w:rsidP="000B206D">
      <w:pPr>
        <w:spacing w:before="10" w:line="276" w:lineRule="auto"/>
        <w:rPr>
          <w:rFonts w:cs="Times New Roman"/>
          <w:szCs w:val="24"/>
        </w:rPr>
      </w:pPr>
    </w:p>
    <w:p w14:paraId="42BD3B9F" w14:textId="77777777" w:rsidR="009A6E16" w:rsidRPr="00F50C10" w:rsidRDefault="009A6E16" w:rsidP="00A654AE">
      <w:pPr>
        <w:pStyle w:val="GvdeMetni"/>
        <w:numPr>
          <w:ilvl w:val="0"/>
          <w:numId w:val="187"/>
        </w:numPr>
        <w:tabs>
          <w:tab w:val="left" w:pos="1155"/>
        </w:tabs>
        <w:autoSpaceDE/>
        <w:autoSpaceDN/>
        <w:spacing w:line="276" w:lineRule="auto"/>
        <w:jc w:val="both"/>
        <w:rPr>
          <w:sz w:val="24"/>
          <w:szCs w:val="24"/>
          <w:lang w:bidi="tr-TR"/>
        </w:rPr>
      </w:pPr>
      <w:r w:rsidRPr="00F50C10">
        <w:rPr>
          <w:sz w:val="24"/>
          <w:szCs w:val="24"/>
          <w:lang w:bidi="tr-TR"/>
        </w:rPr>
        <w:t>klor üretimi için hidroklorik asidin elektrolizi;</w:t>
      </w:r>
    </w:p>
    <w:p w14:paraId="70A51E3F" w14:textId="77777777" w:rsidR="009A6E16" w:rsidRPr="00F50C10" w:rsidRDefault="009A6E16" w:rsidP="00A654AE">
      <w:pPr>
        <w:pStyle w:val="GvdeMetni"/>
        <w:numPr>
          <w:ilvl w:val="0"/>
          <w:numId w:val="187"/>
        </w:numPr>
        <w:tabs>
          <w:tab w:val="left" w:pos="1155"/>
        </w:tabs>
        <w:autoSpaceDE/>
        <w:autoSpaceDN/>
        <w:spacing w:line="276" w:lineRule="auto"/>
        <w:jc w:val="both"/>
        <w:rPr>
          <w:sz w:val="24"/>
          <w:szCs w:val="24"/>
          <w:lang w:bidi="tr-TR"/>
        </w:rPr>
      </w:pPr>
      <w:r w:rsidRPr="00F50C10">
        <w:rPr>
          <w:sz w:val="24"/>
          <w:szCs w:val="24"/>
          <w:lang w:bidi="tr-TR"/>
        </w:rPr>
        <w:t>sodyum klorat üretimi için tuzlu suyun elektrolizi; bu, Büyük Hacimli İnorganik Kimyasallar – Katılar ve Diğer Sanayi (LVIC-S) hakkındaki MET referans belgesi kapsamındadır;</w:t>
      </w:r>
    </w:p>
    <w:p w14:paraId="09864EC7" w14:textId="77777777" w:rsidR="009A6E16" w:rsidRPr="00F50C10" w:rsidRDefault="009A6E16" w:rsidP="00A654AE">
      <w:pPr>
        <w:pStyle w:val="GvdeMetni"/>
        <w:numPr>
          <w:ilvl w:val="0"/>
          <w:numId w:val="187"/>
        </w:numPr>
        <w:tabs>
          <w:tab w:val="left" w:pos="1155"/>
        </w:tabs>
        <w:autoSpaceDE/>
        <w:autoSpaceDN/>
        <w:spacing w:line="276" w:lineRule="auto"/>
        <w:jc w:val="both"/>
        <w:rPr>
          <w:sz w:val="24"/>
          <w:szCs w:val="24"/>
          <w:lang w:bidi="tr-TR"/>
        </w:rPr>
      </w:pPr>
      <w:r w:rsidRPr="00F50C10">
        <w:rPr>
          <w:sz w:val="24"/>
          <w:szCs w:val="24"/>
          <w:lang w:bidi="tr-TR"/>
        </w:rPr>
        <w:t>alkali veya toprak alkali metaller ve klor üretimi için erimiş tuzların elektrolizi; bu, Demir Dışı Metal Endüstrileri (NFM) hakkındaki MET referans belgesi kapsamındadır;</w:t>
      </w:r>
    </w:p>
    <w:p w14:paraId="0088CD63" w14:textId="77777777" w:rsidR="009A6E16" w:rsidRPr="00F50C10" w:rsidRDefault="009A6E16" w:rsidP="00A654AE">
      <w:pPr>
        <w:pStyle w:val="GvdeMetni"/>
        <w:numPr>
          <w:ilvl w:val="0"/>
          <w:numId w:val="187"/>
        </w:numPr>
        <w:tabs>
          <w:tab w:val="left" w:pos="1155"/>
        </w:tabs>
        <w:autoSpaceDE/>
        <w:autoSpaceDN/>
        <w:spacing w:line="276" w:lineRule="auto"/>
        <w:jc w:val="both"/>
        <w:rPr>
          <w:sz w:val="24"/>
          <w:szCs w:val="24"/>
          <w:lang w:bidi="tr-TR"/>
        </w:rPr>
      </w:pPr>
      <w:r w:rsidRPr="00F50C10">
        <w:rPr>
          <w:sz w:val="24"/>
          <w:szCs w:val="24"/>
          <w:lang w:bidi="tr-TR"/>
        </w:rPr>
        <w:t>cıva hücresi tekniği ile üretilen alkali metal amalgam kullanılarak alkolatlar, ditiyonitler ve alkali metaller gibi özel ürünlerin üretimi;</w:t>
      </w:r>
    </w:p>
    <w:p w14:paraId="1B3BFF12" w14:textId="77777777" w:rsidR="009A6E16" w:rsidRPr="00F50C10" w:rsidRDefault="009A6E16" w:rsidP="00A654AE">
      <w:pPr>
        <w:pStyle w:val="GvdeMetni"/>
        <w:numPr>
          <w:ilvl w:val="0"/>
          <w:numId w:val="187"/>
        </w:numPr>
        <w:tabs>
          <w:tab w:val="left" w:pos="1155"/>
        </w:tabs>
        <w:autoSpaceDE/>
        <w:autoSpaceDN/>
        <w:spacing w:line="276" w:lineRule="auto"/>
        <w:jc w:val="both"/>
        <w:rPr>
          <w:sz w:val="24"/>
          <w:szCs w:val="24"/>
          <w:lang w:bidi="tr-TR"/>
        </w:rPr>
      </w:pPr>
      <w:r w:rsidRPr="00F50C10">
        <w:rPr>
          <w:sz w:val="24"/>
          <w:szCs w:val="24"/>
          <w:lang w:bidi="tr-TR"/>
        </w:rPr>
        <w:t>elektroliz dışındaki proseslerle klor, hidrojen veya sodyum/potasyum hidroksit üretimi.</w:t>
      </w:r>
    </w:p>
    <w:p w14:paraId="65A51BE7" w14:textId="5AD8544E" w:rsidR="009A6E16" w:rsidRPr="00F50C10" w:rsidRDefault="009A6E16" w:rsidP="000B206D">
      <w:pPr>
        <w:pStyle w:val="Balk1"/>
        <w:numPr>
          <w:ilvl w:val="0"/>
          <w:numId w:val="0"/>
        </w:numPr>
        <w:spacing w:line="276" w:lineRule="auto"/>
        <w:ind w:left="432" w:hanging="432"/>
        <w:rPr>
          <w:rFonts w:cs="Times New Roman"/>
          <w:b w:val="0"/>
          <w:szCs w:val="24"/>
        </w:rPr>
      </w:pPr>
      <w:r w:rsidRPr="00F50C10">
        <w:rPr>
          <w:rFonts w:cs="Times New Roman"/>
          <w:szCs w:val="24"/>
        </w:rPr>
        <w:t>Klor Alkali Üretimi  ile İlişkili Diğer Tebliğler ve Dokümanlar</w:t>
      </w:r>
    </w:p>
    <w:p w14:paraId="0A2C5C1D" w14:textId="773007C2" w:rsidR="009A6E16" w:rsidRPr="00F50C10" w:rsidRDefault="009A6E16" w:rsidP="000B206D">
      <w:pPr>
        <w:pStyle w:val="GvdeMetni"/>
        <w:spacing w:after="120" w:line="276" w:lineRule="auto"/>
        <w:rPr>
          <w:b/>
          <w:sz w:val="24"/>
          <w:szCs w:val="24"/>
        </w:rPr>
      </w:pPr>
      <w:r w:rsidRPr="00F50C10">
        <w:rPr>
          <w:b/>
          <w:sz w:val="24"/>
          <w:szCs w:val="24"/>
        </w:rPr>
        <w:t>MADDE- 1</w:t>
      </w:r>
      <w:r w:rsidR="00B020E7">
        <w:rPr>
          <w:b/>
          <w:sz w:val="24"/>
          <w:szCs w:val="24"/>
        </w:rPr>
        <w:t>4</w:t>
      </w:r>
      <w:r w:rsidRPr="00F50C10">
        <w:rPr>
          <w:b/>
          <w:sz w:val="24"/>
          <w:szCs w:val="24"/>
        </w:rPr>
        <w:t xml:space="preserve"> (1) </w:t>
      </w:r>
      <w:r w:rsidRPr="00F50C10">
        <w:rPr>
          <w:sz w:val="24"/>
          <w:szCs w:val="24"/>
        </w:rPr>
        <w:t>Bu Tebliğ Ek 4 kapsamına giren tesislerin Sanayide Yeşil Dönüşüm Belgelendirme sürecinde aşağıdaki tebliğlerin ilgili hükümlerinin de sağlanması esastır.</w:t>
      </w:r>
    </w:p>
    <w:p w14:paraId="62D68D4A" w14:textId="77777777" w:rsidR="009A6E16" w:rsidRPr="00F50C10" w:rsidRDefault="009A6E16" w:rsidP="00A654AE">
      <w:pPr>
        <w:pStyle w:val="GvdeMetni"/>
        <w:numPr>
          <w:ilvl w:val="0"/>
          <w:numId w:val="188"/>
        </w:numPr>
        <w:spacing w:after="120" w:line="276" w:lineRule="auto"/>
        <w:rPr>
          <w:sz w:val="24"/>
          <w:szCs w:val="24"/>
        </w:rPr>
      </w:pPr>
      <w:r w:rsidRPr="00F50C10">
        <w:rPr>
          <w:sz w:val="24"/>
          <w:szCs w:val="24"/>
        </w:rPr>
        <w:t>Kimyasal Sektöründe Ortak Atık Su/Atık Gaz Arıtma/Yönetim Sistemleri (CWW);</w:t>
      </w:r>
    </w:p>
    <w:p w14:paraId="5BF73808" w14:textId="77777777" w:rsidR="009A6E16" w:rsidRPr="00F50C10" w:rsidRDefault="009A6E16" w:rsidP="00A654AE">
      <w:pPr>
        <w:pStyle w:val="GvdeMetni"/>
        <w:numPr>
          <w:ilvl w:val="0"/>
          <w:numId w:val="188"/>
        </w:numPr>
        <w:spacing w:after="120" w:line="276" w:lineRule="auto"/>
        <w:rPr>
          <w:sz w:val="24"/>
          <w:szCs w:val="24"/>
        </w:rPr>
      </w:pPr>
      <w:r w:rsidRPr="00F50C10">
        <w:rPr>
          <w:sz w:val="24"/>
          <w:szCs w:val="24"/>
        </w:rPr>
        <w:t>Kimya Sektöründe Ortak Atık Gaz Arıtma (WGC).</w:t>
      </w:r>
    </w:p>
    <w:p w14:paraId="362D772E" w14:textId="6810F238" w:rsidR="009A6E16" w:rsidRPr="00F50C10" w:rsidRDefault="009A6E16" w:rsidP="00A654AE">
      <w:pPr>
        <w:pStyle w:val="GvdeMetni"/>
        <w:numPr>
          <w:ilvl w:val="0"/>
          <w:numId w:val="185"/>
        </w:numPr>
        <w:spacing w:after="120" w:line="276" w:lineRule="auto"/>
        <w:jc w:val="both"/>
        <w:rPr>
          <w:sz w:val="24"/>
          <w:szCs w:val="24"/>
        </w:rPr>
      </w:pPr>
      <w:r w:rsidRPr="00F50C10">
        <w:rPr>
          <w:sz w:val="24"/>
          <w:szCs w:val="24"/>
        </w:rPr>
        <w:t>Bu Tebliğ E</w:t>
      </w:r>
      <w:r w:rsidR="000F2ABD" w:rsidRPr="00F50C10">
        <w:rPr>
          <w:sz w:val="24"/>
          <w:szCs w:val="24"/>
        </w:rPr>
        <w:t>k</w:t>
      </w:r>
      <w:r w:rsidRPr="00F50C10">
        <w:rPr>
          <w:sz w:val="24"/>
          <w:szCs w:val="24"/>
        </w:rPr>
        <w:t xml:space="preserve"> 4 kapsamına giren tesislerin Sanayide Yeşil Dönüşüm Belgelendirme sürecinde ilave değerlendirme gerekmesi halinde aşağıdaki rehber dokümanlardan da yararlanılabilir.  </w:t>
      </w:r>
    </w:p>
    <w:p w14:paraId="0941E540" w14:textId="77777777" w:rsidR="009A6E16" w:rsidRPr="00F50C10" w:rsidRDefault="009A6E16" w:rsidP="00A654AE">
      <w:pPr>
        <w:pStyle w:val="GvdeMetni"/>
        <w:numPr>
          <w:ilvl w:val="0"/>
          <w:numId w:val="189"/>
        </w:numPr>
        <w:spacing w:after="120" w:line="276" w:lineRule="auto"/>
        <w:rPr>
          <w:sz w:val="24"/>
          <w:szCs w:val="24"/>
        </w:rPr>
      </w:pPr>
      <w:r w:rsidRPr="00F50C10">
        <w:rPr>
          <w:sz w:val="24"/>
          <w:szCs w:val="24"/>
        </w:rPr>
        <w:t>Ekonomi ve Ortamlar Arası Etkiler (ECM);</w:t>
      </w:r>
    </w:p>
    <w:p w14:paraId="40046AF1" w14:textId="77777777" w:rsidR="009A6E16" w:rsidRPr="00F50C10" w:rsidRDefault="009A6E16" w:rsidP="00A654AE">
      <w:pPr>
        <w:pStyle w:val="GvdeMetni"/>
        <w:numPr>
          <w:ilvl w:val="0"/>
          <w:numId w:val="189"/>
        </w:numPr>
        <w:spacing w:after="120" w:line="276" w:lineRule="auto"/>
        <w:rPr>
          <w:sz w:val="24"/>
          <w:szCs w:val="24"/>
        </w:rPr>
      </w:pPr>
      <w:r w:rsidRPr="00F50C10">
        <w:rPr>
          <w:sz w:val="24"/>
          <w:szCs w:val="24"/>
        </w:rPr>
        <w:t>Depolamadan Kaynaklanan Emisyonlar (EFS);</w:t>
      </w:r>
    </w:p>
    <w:p w14:paraId="04877D37" w14:textId="77777777" w:rsidR="009A6E16" w:rsidRPr="00F50C10" w:rsidRDefault="009A6E16" w:rsidP="00A654AE">
      <w:pPr>
        <w:pStyle w:val="GvdeMetni"/>
        <w:numPr>
          <w:ilvl w:val="0"/>
          <w:numId w:val="189"/>
        </w:numPr>
        <w:spacing w:after="120" w:line="276" w:lineRule="auto"/>
        <w:rPr>
          <w:sz w:val="24"/>
          <w:szCs w:val="24"/>
        </w:rPr>
      </w:pPr>
      <w:r w:rsidRPr="00F50C10">
        <w:rPr>
          <w:sz w:val="24"/>
          <w:szCs w:val="24"/>
        </w:rPr>
        <w:t>Enerji Verimliliği (ENE);</w:t>
      </w:r>
    </w:p>
    <w:p w14:paraId="5CDB5C67" w14:textId="77777777" w:rsidR="009A6E16" w:rsidRPr="00F50C10" w:rsidRDefault="009A6E16" w:rsidP="00A654AE">
      <w:pPr>
        <w:pStyle w:val="GvdeMetni"/>
        <w:numPr>
          <w:ilvl w:val="0"/>
          <w:numId w:val="189"/>
        </w:numPr>
        <w:spacing w:after="120" w:line="276" w:lineRule="auto"/>
        <w:rPr>
          <w:sz w:val="24"/>
          <w:szCs w:val="24"/>
        </w:rPr>
      </w:pPr>
      <w:r w:rsidRPr="00F50C10">
        <w:rPr>
          <w:sz w:val="24"/>
          <w:szCs w:val="24"/>
        </w:rPr>
        <w:t>Endüstriyel Soğutma Sistemleri (ICS);</w:t>
      </w:r>
    </w:p>
    <w:p w14:paraId="6674C8D0" w14:textId="3C24013F" w:rsidR="009A6E16" w:rsidRPr="00F50C10" w:rsidRDefault="009A6E16" w:rsidP="00A654AE">
      <w:pPr>
        <w:pStyle w:val="GvdeMetni"/>
        <w:numPr>
          <w:ilvl w:val="0"/>
          <w:numId w:val="189"/>
        </w:numPr>
        <w:spacing w:after="120" w:line="276" w:lineRule="auto"/>
        <w:rPr>
          <w:sz w:val="24"/>
          <w:szCs w:val="24"/>
        </w:rPr>
      </w:pPr>
      <w:r w:rsidRPr="00F50C10">
        <w:rPr>
          <w:sz w:val="24"/>
          <w:szCs w:val="24"/>
        </w:rPr>
        <w:t>EED Tesislerinin Hava ve Su Emisyonlarının İzlenmesi (ROM);</w:t>
      </w:r>
    </w:p>
    <w:p w14:paraId="587B88A2" w14:textId="77777777" w:rsidR="009A6E16" w:rsidRPr="00F50C10" w:rsidRDefault="009A6E16" w:rsidP="00A654AE">
      <w:pPr>
        <w:pStyle w:val="GvdeMetni"/>
        <w:numPr>
          <w:ilvl w:val="0"/>
          <w:numId w:val="189"/>
        </w:numPr>
        <w:spacing w:after="120" w:line="276" w:lineRule="auto"/>
        <w:rPr>
          <w:sz w:val="24"/>
          <w:szCs w:val="24"/>
        </w:rPr>
      </w:pPr>
      <w:r w:rsidRPr="00F50C10">
        <w:rPr>
          <w:sz w:val="24"/>
          <w:szCs w:val="24"/>
        </w:rPr>
        <w:t>Büyük Yakma Tesisleri (LCP)</w:t>
      </w:r>
    </w:p>
    <w:p w14:paraId="1635973B" w14:textId="77777777" w:rsidR="009A6E16" w:rsidRPr="00F50C10" w:rsidRDefault="009A6E16" w:rsidP="00A654AE">
      <w:pPr>
        <w:pStyle w:val="GvdeMetni"/>
        <w:numPr>
          <w:ilvl w:val="0"/>
          <w:numId w:val="189"/>
        </w:numPr>
        <w:spacing w:after="120" w:line="276" w:lineRule="auto"/>
        <w:rPr>
          <w:sz w:val="24"/>
          <w:szCs w:val="24"/>
        </w:rPr>
      </w:pPr>
      <w:r w:rsidRPr="00F50C10">
        <w:rPr>
          <w:sz w:val="24"/>
          <w:szCs w:val="24"/>
        </w:rPr>
        <w:t>Genel İzleme İlkeleri (MON)</w:t>
      </w:r>
    </w:p>
    <w:p w14:paraId="20F766E3" w14:textId="77777777" w:rsidR="009A6E16" w:rsidRPr="00F50C10" w:rsidRDefault="009A6E16" w:rsidP="00A654AE">
      <w:pPr>
        <w:pStyle w:val="GvdeMetni"/>
        <w:numPr>
          <w:ilvl w:val="0"/>
          <w:numId w:val="189"/>
        </w:numPr>
        <w:spacing w:after="120" w:line="276" w:lineRule="auto"/>
        <w:rPr>
          <w:sz w:val="24"/>
          <w:szCs w:val="24"/>
        </w:rPr>
      </w:pPr>
      <w:r w:rsidRPr="00F50C10">
        <w:rPr>
          <w:sz w:val="24"/>
          <w:szCs w:val="24"/>
        </w:rPr>
        <w:t>Atık Yakma (WI)</w:t>
      </w:r>
    </w:p>
    <w:p w14:paraId="4C509837" w14:textId="4E32CBA2" w:rsidR="009A6E16" w:rsidRPr="00F50C10" w:rsidRDefault="009A6E16" w:rsidP="00A654AE">
      <w:pPr>
        <w:pStyle w:val="GvdeMetni"/>
        <w:numPr>
          <w:ilvl w:val="0"/>
          <w:numId w:val="189"/>
        </w:numPr>
        <w:spacing w:after="120" w:line="276" w:lineRule="auto"/>
        <w:rPr>
          <w:sz w:val="24"/>
          <w:szCs w:val="24"/>
        </w:rPr>
      </w:pPr>
      <w:r w:rsidRPr="00F50C10">
        <w:rPr>
          <w:sz w:val="24"/>
          <w:szCs w:val="24"/>
        </w:rPr>
        <w:t>Atık Arıtma Endüstrileri (WT)</w:t>
      </w:r>
    </w:p>
    <w:p w14:paraId="2AAE5305" w14:textId="6ACDAB3E" w:rsidR="009A6E16" w:rsidRPr="00F50C10" w:rsidRDefault="009A6E16" w:rsidP="00A654AE">
      <w:pPr>
        <w:pStyle w:val="GvdeMetni"/>
        <w:numPr>
          <w:ilvl w:val="0"/>
          <w:numId w:val="186"/>
        </w:numPr>
        <w:spacing w:line="276" w:lineRule="auto"/>
        <w:ind w:right="151"/>
        <w:jc w:val="both"/>
        <w:rPr>
          <w:sz w:val="24"/>
          <w:szCs w:val="24"/>
        </w:rPr>
      </w:pPr>
      <w:r w:rsidRPr="00F50C10">
        <w:rPr>
          <w:sz w:val="24"/>
          <w:szCs w:val="24"/>
          <w:lang w:bidi="tr-TR"/>
        </w:rPr>
        <w:t>Bu Tebliğ Ek 4’de  klor-alkali üretiminin aşağıdaki yönleri ele alınmamaktadır ancak bu hususlar Diğer Sektörü Mevcut En İyi Teknikler Tebliği Kimya Sektöründe Yaygın Atık Su ve Atık Gaz Arıtma/Yönetim Sistemleri Kısmı kapsamında yer almaktadır:</w:t>
      </w:r>
    </w:p>
    <w:p w14:paraId="7CB3B2CA" w14:textId="77777777" w:rsidR="009A6E16" w:rsidRPr="00F50C10" w:rsidRDefault="009A6E16" w:rsidP="000B206D">
      <w:pPr>
        <w:spacing w:before="12" w:line="276" w:lineRule="auto"/>
        <w:rPr>
          <w:rFonts w:cs="Times New Roman"/>
          <w:szCs w:val="24"/>
        </w:rPr>
      </w:pPr>
    </w:p>
    <w:p w14:paraId="14DEF6A2" w14:textId="2AA0D9DA" w:rsidR="009A6E16" w:rsidRPr="00F50C10" w:rsidRDefault="009A6E16" w:rsidP="00A654AE">
      <w:pPr>
        <w:pStyle w:val="ListeParagraf"/>
        <w:widowControl w:val="0"/>
        <w:numPr>
          <w:ilvl w:val="0"/>
          <w:numId w:val="184"/>
        </w:numPr>
        <w:autoSpaceDE w:val="0"/>
        <w:autoSpaceDN w:val="0"/>
        <w:spacing w:after="120" w:line="276" w:lineRule="auto"/>
        <w:contextualSpacing w:val="0"/>
        <w:jc w:val="left"/>
        <w:rPr>
          <w:rFonts w:cs="Times New Roman"/>
          <w:szCs w:val="24"/>
        </w:rPr>
      </w:pPr>
      <w:r w:rsidRPr="00F50C10">
        <w:rPr>
          <w:rFonts w:cs="Times New Roman"/>
          <w:szCs w:val="24"/>
        </w:rPr>
        <w:t>akış aşağı yönündeki bir arıtma tesisinde atık suyun arıtılması</w:t>
      </w:r>
      <w:r w:rsidR="000F2ABD" w:rsidRPr="00F50C10">
        <w:rPr>
          <w:rFonts w:cs="Times New Roman"/>
          <w:szCs w:val="24"/>
        </w:rPr>
        <w:t>,</w:t>
      </w:r>
    </w:p>
    <w:p w14:paraId="48A85315" w14:textId="614EB9BE" w:rsidR="009A6E16" w:rsidRPr="00F50C10" w:rsidRDefault="009A6E16" w:rsidP="00A654AE">
      <w:pPr>
        <w:pStyle w:val="ListeParagraf"/>
        <w:widowControl w:val="0"/>
        <w:numPr>
          <w:ilvl w:val="0"/>
          <w:numId w:val="184"/>
        </w:numPr>
        <w:autoSpaceDE w:val="0"/>
        <w:autoSpaceDN w:val="0"/>
        <w:spacing w:after="120" w:line="276" w:lineRule="auto"/>
        <w:contextualSpacing w:val="0"/>
        <w:jc w:val="left"/>
        <w:rPr>
          <w:rFonts w:cs="Times New Roman"/>
          <w:szCs w:val="24"/>
        </w:rPr>
      </w:pPr>
      <w:r w:rsidRPr="00F50C10">
        <w:rPr>
          <w:rFonts w:cs="Times New Roman"/>
          <w:szCs w:val="24"/>
        </w:rPr>
        <w:t>çevre yönetim sistemleri</w:t>
      </w:r>
      <w:r w:rsidR="000F2ABD" w:rsidRPr="00F50C10">
        <w:rPr>
          <w:rFonts w:cs="Times New Roman"/>
          <w:szCs w:val="24"/>
        </w:rPr>
        <w:t>,</w:t>
      </w:r>
    </w:p>
    <w:p w14:paraId="7C88293D" w14:textId="77777777" w:rsidR="009A6E16" w:rsidRPr="00F50C10" w:rsidRDefault="009A6E16" w:rsidP="00A654AE">
      <w:pPr>
        <w:pStyle w:val="ListeParagraf"/>
        <w:widowControl w:val="0"/>
        <w:numPr>
          <w:ilvl w:val="0"/>
          <w:numId w:val="184"/>
        </w:numPr>
        <w:autoSpaceDE w:val="0"/>
        <w:autoSpaceDN w:val="0"/>
        <w:spacing w:after="120" w:line="276" w:lineRule="auto"/>
        <w:contextualSpacing w:val="0"/>
        <w:jc w:val="left"/>
        <w:rPr>
          <w:rFonts w:cs="Times New Roman"/>
          <w:szCs w:val="24"/>
        </w:rPr>
      </w:pPr>
      <w:r w:rsidRPr="00F50C10">
        <w:rPr>
          <w:rFonts w:cs="Times New Roman"/>
          <w:szCs w:val="24"/>
        </w:rPr>
        <w:t>gürültü emisyonları</w:t>
      </w:r>
      <w:r w:rsidRPr="00F50C10">
        <w:rPr>
          <w:rFonts w:cs="Times New Roman"/>
          <w:szCs w:val="24"/>
          <w:lang w:bidi="tr-TR"/>
        </w:rPr>
        <w:t>.</w:t>
      </w:r>
    </w:p>
    <w:p w14:paraId="2EC7503B" w14:textId="034EC6B5" w:rsidR="00C11EF2" w:rsidRPr="00F50C10" w:rsidRDefault="00C11EF2" w:rsidP="000B206D">
      <w:pPr>
        <w:pStyle w:val="GvdeMetni"/>
        <w:spacing w:after="120" w:line="276" w:lineRule="auto"/>
        <w:jc w:val="both"/>
        <w:rPr>
          <w:b/>
          <w:sz w:val="24"/>
          <w:szCs w:val="24"/>
        </w:rPr>
      </w:pPr>
      <w:r w:rsidRPr="00F50C10">
        <w:rPr>
          <w:b/>
          <w:sz w:val="24"/>
          <w:szCs w:val="24"/>
        </w:rPr>
        <w:t xml:space="preserve">Büyük Hacimli İnorganik Kimyasallar – </w:t>
      </w:r>
      <w:r>
        <w:rPr>
          <w:b/>
          <w:sz w:val="24"/>
          <w:szCs w:val="24"/>
        </w:rPr>
        <w:t xml:space="preserve">Amonyak, Asit, Gübre Üretimi </w:t>
      </w:r>
      <w:r w:rsidRPr="00F50C10">
        <w:rPr>
          <w:b/>
          <w:sz w:val="24"/>
          <w:szCs w:val="24"/>
        </w:rPr>
        <w:t xml:space="preserve"> için MET</w:t>
      </w:r>
    </w:p>
    <w:p w14:paraId="27DF2C96" w14:textId="5C15001E" w:rsidR="00FE5E99" w:rsidRDefault="00C11EF2" w:rsidP="000B206D">
      <w:pPr>
        <w:pStyle w:val="ListeParagraf"/>
        <w:widowControl w:val="0"/>
        <w:tabs>
          <w:tab w:val="left" w:pos="2087"/>
          <w:tab w:val="left" w:pos="2089"/>
        </w:tabs>
        <w:autoSpaceDE w:val="0"/>
        <w:autoSpaceDN w:val="0"/>
        <w:spacing w:before="1" w:after="120" w:line="276" w:lineRule="auto"/>
        <w:ind w:left="0"/>
        <w:contextualSpacing w:val="0"/>
        <w:rPr>
          <w:rFonts w:cs="Times New Roman"/>
          <w:szCs w:val="24"/>
          <w:lang w:bidi="tr-TR"/>
        </w:rPr>
      </w:pPr>
      <w:r w:rsidRPr="00F50C10">
        <w:rPr>
          <w:rFonts w:eastAsia="Times New Roman" w:cs="Times New Roman"/>
          <w:b/>
          <w:szCs w:val="24"/>
          <w:lang w:val="tr-TR"/>
        </w:rPr>
        <w:t>MADDE 1</w:t>
      </w:r>
      <w:r w:rsidR="00B020E7">
        <w:rPr>
          <w:rFonts w:eastAsia="Times New Roman" w:cs="Times New Roman"/>
          <w:b/>
          <w:szCs w:val="24"/>
          <w:lang w:val="tr-TR"/>
        </w:rPr>
        <w:t>5</w:t>
      </w:r>
      <w:r w:rsidRPr="00F50C10">
        <w:rPr>
          <w:rFonts w:eastAsia="Times New Roman" w:cs="Times New Roman"/>
          <w:b/>
          <w:szCs w:val="24"/>
          <w:lang w:val="tr-TR"/>
        </w:rPr>
        <w:t xml:space="preserve">- (1) </w:t>
      </w:r>
      <w:r w:rsidRPr="00F50C10">
        <w:rPr>
          <w:rFonts w:cs="Times New Roman"/>
          <w:szCs w:val="24"/>
          <w:lang w:bidi="tr-TR"/>
        </w:rPr>
        <w:t>Yönetmelik</w:t>
      </w:r>
      <w:r w:rsidRPr="00F50C10">
        <w:rPr>
          <w:rFonts w:cs="Times New Roman"/>
          <w:szCs w:val="24"/>
        </w:rPr>
        <w:t xml:space="preserve"> </w:t>
      </w:r>
      <w:r w:rsidRPr="00F50C10">
        <w:rPr>
          <w:rFonts w:cs="Times New Roman"/>
          <w:szCs w:val="24"/>
          <w:lang w:bidi="tr-TR"/>
        </w:rPr>
        <w:t xml:space="preserve">Ek </w:t>
      </w:r>
      <w:r w:rsidR="007C17E4">
        <w:rPr>
          <w:rFonts w:cs="Times New Roman"/>
          <w:szCs w:val="24"/>
          <w:lang w:bidi="tr-TR"/>
        </w:rPr>
        <w:t>1</w:t>
      </w:r>
      <w:r w:rsidR="00FE5E99">
        <w:rPr>
          <w:rFonts w:cs="Times New Roman"/>
          <w:szCs w:val="24"/>
          <w:lang w:bidi="tr-TR"/>
        </w:rPr>
        <w:t>;</w:t>
      </w:r>
      <w:r w:rsidR="00B759D5" w:rsidRPr="00B759D5">
        <w:rPr>
          <w:rFonts w:eastAsia="Times New Roman" w:cs="Times New Roman"/>
          <w:szCs w:val="24"/>
        </w:rPr>
        <w:t xml:space="preserve"> </w:t>
      </w:r>
      <w:r w:rsidR="00B759D5">
        <w:rPr>
          <w:rFonts w:eastAsia="Times New Roman" w:cs="Times New Roman"/>
          <w:szCs w:val="24"/>
        </w:rPr>
        <w:t xml:space="preserve">4.2. </w:t>
      </w:r>
      <w:r w:rsidR="00B759D5" w:rsidRPr="008273E8">
        <w:rPr>
          <w:rFonts w:eastAsia="Times New Roman" w:cs="Times New Roman"/>
          <w:szCs w:val="24"/>
        </w:rPr>
        <w:t>İnorganik kimyasalların üretimi, örneğin</w:t>
      </w:r>
    </w:p>
    <w:p w14:paraId="6EB53AE5" w14:textId="69A47642" w:rsidR="00FE5E99" w:rsidRPr="006B3D50" w:rsidRDefault="00776030" w:rsidP="000B206D">
      <w:pPr>
        <w:pStyle w:val="ListeParagraf"/>
        <w:widowControl w:val="0"/>
        <w:tabs>
          <w:tab w:val="left" w:pos="2087"/>
          <w:tab w:val="left" w:pos="2089"/>
        </w:tabs>
        <w:autoSpaceDE w:val="0"/>
        <w:autoSpaceDN w:val="0"/>
        <w:spacing w:before="1" w:after="120" w:line="276" w:lineRule="auto"/>
        <w:ind w:left="0"/>
        <w:contextualSpacing w:val="0"/>
        <w:rPr>
          <w:szCs w:val="24"/>
        </w:rPr>
      </w:pPr>
      <w:r>
        <w:rPr>
          <w:szCs w:val="24"/>
        </w:rPr>
        <w:t xml:space="preserve">a) </w:t>
      </w:r>
      <w:r w:rsidR="00FE5E99" w:rsidRPr="006B3D50">
        <w:rPr>
          <w:szCs w:val="24"/>
        </w:rPr>
        <w:t>4.2(a) Amonyak, klor veya hidrojen klorür, florür veya hidrojen florür, karbon oksitler, sülfür bileşikleri, nitrojen oksitler, hidrojen, sülfür diosit, karbonil klorür gibi gazlar,</w:t>
      </w:r>
    </w:p>
    <w:p w14:paraId="39A1662B" w14:textId="700F13C1" w:rsidR="00FE5E99" w:rsidRPr="006B3D50" w:rsidRDefault="00776030" w:rsidP="000B206D">
      <w:pPr>
        <w:pStyle w:val="GvdeMetni"/>
        <w:spacing w:line="276" w:lineRule="auto"/>
        <w:rPr>
          <w:spacing w:val="-2"/>
          <w:sz w:val="24"/>
          <w:szCs w:val="24"/>
        </w:rPr>
      </w:pPr>
      <w:r>
        <w:rPr>
          <w:sz w:val="24"/>
          <w:szCs w:val="24"/>
        </w:rPr>
        <w:t xml:space="preserve">b) </w:t>
      </w:r>
      <w:r w:rsidR="00FE5E99" w:rsidRPr="006B3D50">
        <w:rPr>
          <w:sz w:val="24"/>
          <w:szCs w:val="24"/>
        </w:rPr>
        <w:t>4.2(b)</w:t>
      </w:r>
      <w:r w:rsidR="00FE5E99" w:rsidRPr="006B3D50">
        <w:rPr>
          <w:spacing w:val="-7"/>
          <w:sz w:val="24"/>
          <w:szCs w:val="24"/>
        </w:rPr>
        <w:t xml:space="preserve"> </w:t>
      </w:r>
      <w:r w:rsidR="00FE5E99" w:rsidRPr="006B3D50">
        <w:rPr>
          <w:spacing w:val="-2"/>
          <w:sz w:val="24"/>
          <w:szCs w:val="24"/>
        </w:rPr>
        <w:t>Kromik asit, hidrofluorik asit, fosforik asit, nitrik asit, hidroklorik asit, sülfürik asit, oleum, sülfürlü asitler gibi asitler,</w:t>
      </w:r>
    </w:p>
    <w:p w14:paraId="7FD94693" w14:textId="7C1B20B6" w:rsidR="00776030" w:rsidRDefault="00776030" w:rsidP="000B206D">
      <w:pPr>
        <w:pStyle w:val="GvdeMetni"/>
        <w:spacing w:line="276" w:lineRule="auto"/>
        <w:rPr>
          <w:szCs w:val="24"/>
        </w:rPr>
      </w:pPr>
      <w:r>
        <w:rPr>
          <w:sz w:val="24"/>
          <w:szCs w:val="24"/>
        </w:rPr>
        <w:t xml:space="preserve">c) </w:t>
      </w:r>
      <w:r w:rsidR="00FE5E99" w:rsidRPr="006B3D50">
        <w:rPr>
          <w:sz w:val="24"/>
          <w:szCs w:val="24"/>
        </w:rPr>
        <w:t>4.3</w:t>
      </w:r>
      <w:r w:rsidR="00FE5E99" w:rsidRPr="006B3D50">
        <w:rPr>
          <w:spacing w:val="-7"/>
          <w:sz w:val="24"/>
          <w:szCs w:val="24"/>
        </w:rPr>
        <w:t xml:space="preserve"> </w:t>
      </w:r>
      <w:r w:rsidR="00FE5E99" w:rsidRPr="006B3D50">
        <w:rPr>
          <w:spacing w:val="-2"/>
          <w:sz w:val="24"/>
          <w:szCs w:val="24"/>
        </w:rPr>
        <w:t>Fosfor, nitrojen veya potasyum bazlı gübrelerin üretimi (basit veya kompleks gübreler)</w:t>
      </w:r>
    </w:p>
    <w:p w14:paraId="5AD2BB45" w14:textId="1C1E326D" w:rsidR="00C11EF2" w:rsidRDefault="00FE5E99" w:rsidP="000B206D">
      <w:pPr>
        <w:pStyle w:val="ListeParagraf"/>
        <w:widowControl w:val="0"/>
        <w:tabs>
          <w:tab w:val="left" w:pos="2087"/>
          <w:tab w:val="left" w:pos="2089"/>
        </w:tabs>
        <w:autoSpaceDE w:val="0"/>
        <w:autoSpaceDN w:val="0"/>
        <w:spacing w:before="1" w:after="120" w:line="276" w:lineRule="auto"/>
        <w:ind w:left="0"/>
        <w:contextualSpacing w:val="0"/>
        <w:rPr>
          <w:rFonts w:cs="Times New Roman"/>
          <w:szCs w:val="24"/>
        </w:rPr>
      </w:pPr>
      <w:r w:rsidRPr="00F50C10">
        <w:rPr>
          <w:rFonts w:cs="Times New Roman"/>
          <w:szCs w:val="24"/>
        </w:rPr>
        <w:t xml:space="preserve">bu Tebliğ Ek </w:t>
      </w:r>
      <w:r>
        <w:rPr>
          <w:rFonts w:cs="Times New Roman"/>
          <w:szCs w:val="24"/>
        </w:rPr>
        <w:t>5</w:t>
      </w:r>
      <w:r w:rsidRPr="00F50C10">
        <w:rPr>
          <w:rFonts w:cs="Times New Roman"/>
          <w:szCs w:val="24"/>
        </w:rPr>
        <w:t>’de yer alan hususlara göre değerlendirilir</w:t>
      </w:r>
      <w:r w:rsidR="00776030">
        <w:rPr>
          <w:rFonts w:cs="Times New Roman"/>
          <w:szCs w:val="24"/>
        </w:rPr>
        <w:t>.</w:t>
      </w:r>
    </w:p>
    <w:p w14:paraId="3501277F" w14:textId="16F1C6E6" w:rsidR="00692D00" w:rsidRPr="00692D00" w:rsidRDefault="00692D00" w:rsidP="000B206D">
      <w:pPr>
        <w:widowControl w:val="0"/>
        <w:tabs>
          <w:tab w:val="left" w:pos="2087"/>
          <w:tab w:val="left" w:pos="2089"/>
        </w:tabs>
        <w:autoSpaceDE w:val="0"/>
        <w:autoSpaceDN w:val="0"/>
        <w:spacing w:before="1" w:after="120" w:line="276" w:lineRule="auto"/>
        <w:rPr>
          <w:rFonts w:cs="Times New Roman"/>
          <w:szCs w:val="24"/>
        </w:rPr>
      </w:pPr>
      <w:r>
        <w:rPr>
          <w:rFonts w:cs="Times New Roman"/>
          <w:szCs w:val="24"/>
        </w:rPr>
        <w:t>(</w:t>
      </w:r>
      <w:r w:rsidRPr="00692D00">
        <w:rPr>
          <w:rFonts w:cs="Times New Roman"/>
          <w:szCs w:val="24"/>
        </w:rPr>
        <w:t xml:space="preserve">2) Amonyak, nitrik asit, sülfürik asit ve fosforik asidin ana kullanım amacı gübrelerin alt akış üretimi olsa da, bu </w:t>
      </w:r>
      <w:r>
        <w:rPr>
          <w:rFonts w:cs="Times New Roman"/>
          <w:szCs w:val="24"/>
        </w:rPr>
        <w:t>Tebliğ</w:t>
      </w:r>
      <w:r w:rsidRPr="00692D00">
        <w:rPr>
          <w:rFonts w:cs="Times New Roman"/>
          <w:szCs w:val="24"/>
        </w:rPr>
        <w:t xml:space="preserve"> kapsamı gübre sınıfı ürünlerin üretimiyle sınırlı değildir.</w:t>
      </w:r>
      <w:r w:rsidR="000B206D">
        <w:rPr>
          <w:rFonts w:cs="Times New Roman"/>
          <w:szCs w:val="24"/>
        </w:rPr>
        <w:t xml:space="preserve"> </w:t>
      </w:r>
      <w:r>
        <w:rPr>
          <w:rFonts w:cs="Times New Roman"/>
          <w:szCs w:val="24"/>
        </w:rPr>
        <w:t>Bu tebliği Ek 5</w:t>
      </w:r>
      <w:r w:rsidRPr="00692D00">
        <w:rPr>
          <w:rFonts w:cs="Times New Roman"/>
          <w:szCs w:val="24"/>
        </w:rPr>
        <w:t xml:space="preserve"> kapsam</w:t>
      </w:r>
      <w:r>
        <w:rPr>
          <w:rFonts w:cs="Times New Roman"/>
          <w:szCs w:val="24"/>
        </w:rPr>
        <w:t>ı;</w:t>
      </w:r>
    </w:p>
    <w:p w14:paraId="0854FB4C" w14:textId="77777777" w:rsidR="00692D00" w:rsidRPr="00692D00" w:rsidRDefault="00692D00" w:rsidP="000B206D">
      <w:pPr>
        <w:pStyle w:val="ListeParagraf"/>
        <w:widowControl w:val="0"/>
        <w:tabs>
          <w:tab w:val="left" w:pos="2087"/>
          <w:tab w:val="left" w:pos="2089"/>
        </w:tabs>
        <w:autoSpaceDE w:val="0"/>
        <w:autoSpaceDN w:val="0"/>
        <w:spacing w:before="1" w:after="120" w:line="276" w:lineRule="auto"/>
        <w:rPr>
          <w:rFonts w:cs="Times New Roman"/>
          <w:szCs w:val="24"/>
        </w:rPr>
      </w:pPr>
      <w:r w:rsidRPr="00692D00">
        <w:rPr>
          <w:rFonts w:cs="Times New Roman"/>
          <w:szCs w:val="24"/>
        </w:rPr>
        <w:t>• amonyak üretimi için sentez gazı üretimi</w:t>
      </w:r>
    </w:p>
    <w:p w14:paraId="3F394303" w14:textId="547A8B70" w:rsidR="00692D00" w:rsidRDefault="00692D00" w:rsidP="000B206D">
      <w:pPr>
        <w:pStyle w:val="ListeParagraf"/>
        <w:widowControl w:val="0"/>
        <w:tabs>
          <w:tab w:val="left" w:pos="2087"/>
          <w:tab w:val="left" w:pos="2089"/>
        </w:tabs>
        <w:autoSpaceDE w:val="0"/>
        <w:autoSpaceDN w:val="0"/>
        <w:spacing w:before="1" w:after="120" w:line="276" w:lineRule="auto"/>
        <w:rPr>
          <w:rFonts w:cs="Times New Roman"/>
          <w:szCs w:val="24"/>
        </w:rPr>
      </w:pPr>
      <w:r w:rsidRPr="00692D00">
        <w:rPr>
          <w:rFonts w:cs="Times New Roman"/>
          <w:szCs w:val="24"/>
        </w:rPr>
        <w:t>• çeşitli proseslerden elde edilen SO2 gazlarına dayalı sülfürik asit üretimi, örn. demir dışı metallerin üretimi veya kullanılmış asitlerin rejenerasyonundan elde edilen SO2 gazları</w:t>
      </w:r>
      <w:r>
        <w:rPr>
          <w:rFonts w:cs="Times New Roman"/>
          <w:szCs w:val="24"/>
        </w:rPr>
        <w:t xml:space="preserve">nı </w:t>
      </w:r>
    </w:p>
    <w:p w14:paraId="7C442616" w14:textId="189C9439" w:rsidR="00692D00" w:rsidRDefault="00692D00" w:rsidP="000B206D">
      <w:pPr>
        <w:widowControl w:val="0"/>
        <w:tabs>
          <w:tab w:val="left" w:pos="2087"/>
          <w:tab w:val="left" w:pos="2089"/>
        </w:tabs>
        <w:autoSpaceDE w:val="0"/>
        <w:autoSpaceDN w:val="0"/>
        <w:spacing w:before="1" w:after="120" w:line="276" w:lineRule="auto"/>
        <w:rPr>
          <w:rFonts w:cs="Times New Roman"/>
          <w:szCs w:val="24"/>
        </w:rPr>
      </w:pPr>
      <w:r>
        <w:rPr>
          <w:rFonts w:cs="Times New Roman"/>
          <w:szCs w:val="24"/>
        </w:rPr>
        <w:t>içerir.</w:t>
      </w:r>
    </w:p>
    <w:p w14:paraId="345986EB" w14:textId="29FB47DD" w:rsidR="00692D00" w:rsidRPr="00692D00" w:rsidRDefault="00692D00" w:rsidP="00A654AE">
      <w:pPr>
        <w:pStyle w:val="ListeParagraf"/>
        <w:widowControl w:val="0"/>
        <w:numPr>
          <w:ilvl w:val="0"/>
          <w:numId w:val="185"/>
        </w:numPr>
        <w:tabs>
          <w:tab w:val="left" w:pos="2087"/>
          <w:tab w:val="left" w:pos="2089"/>
        </w:tabs>
        <w:autoSpaceDE w:val="0"/>
        <w:autoSpaceDN w:val="0"/>
        <w:spacing w:before="1" w:after="120" w:line="276" w:lineRule="auto"/>
        <w:rPr>
          <w:rFonts w:cs="Times New Roman"/>
          <w:szCs w:val="24"/>
        </w:rPr>
      </w:pPr>
      <w:r>
        <w:rPr>
          <w:rFonts w:cs="Times New Roman"/>
          <w:szCs w:val="24"/>
        </w:rPr>
        <w:t xml:space="preserve">Bu tebliğ Ek 5 </w:t>
      </w:r>
      <w:r w:rsidRPr="00692D00">
        <w:rPr>
          <w:rFonts w:cs="Times New Roman"/>
          <w:szCs w:val="24"/>
        </w:rPr>
        <w:t>kapsamı</w:t>
      </w:r>
      <w:r>
        <w:rPr>
          <w:rFonts w:cs="Times New Roman"/>
          <w:szCs w:val="24"/>
        </w:rPr>
        <w:t xml:space="preserve"> aşağıdakileri içermez:</w:t>
      </w:r>
      <w:r w:rsidRPr="00692D00">
        <w:rPr>
          <w:rFonts w:cs="Times New Roman"/>
          <w:szCs w:val="24"/>
        </w:rPr>
        <w:t xml:space="preserve"> </w:t>
      </w:r>
    </w:p>
    <w:p w14:paraId="6999AFB3" w14:textId="781D7B1A" w:rsidR="00692D00" w:rsidRPr="00692D00" w:rsidRDefault="00692D00" w:rsidP="000B206D">
      <w:pPr>
        <w:pStyle w:val="ListeParagraf"/>
        <w:widowControl w:val="0"/>
        <w:tabs>
          <w:tab w:val="left" w:pos="2087"/>
          <w:tab w:val="left" w:pos="2089"/>
        </w:tabs>
        <w:autoSpaceDE w:val="0"/>
        <w:autoSpaceDN w:val="0"/>
        <w:spacing w:before="1" w:after="120" w:line="276" w:lineRule="auto"/>
        <w:rPr>
          <w:rFonts w:cs="Times New Roman"/>
          <w:szCs w:val="24"/>
        </w:rPr>
      </w:pPr>
      <w:r w:rsidRPr="00692D00">
        <w:rPr>
          <w:rFonts w:cs="Times New Roman"/>
          <w:szCs w:val="24"/>
        </w:rPr>
        <w:t>• kullanılmış sülfürik asitlerin yeniden yoğunlaştırılması veya saflaştırılması</w:t>
      </w:r>
      <w:r w:rsidR="00BA598C">
        <w:rPr>
          <w:rFonts w:cs="Times New Roman"/>
          <w:szCs w:val="24"/>
        </w:rPr>
        <w:t>,</w:t>
      </w:r>
    </w:p>
    <w:p w14:paraId="47F6470F" w14:textId="77777777" w:rsidR="00692D00" w:rsidRPr="00F50C10" w:rsidRDefault="00692D00" w:rsidP="000B206D">
      <w:pPr>
        <w:pStyle w:val="ListeParagraf"/>
        <w:widowControl w:val="0"/>
        <w:tabs>
          <w:tab w:val="left" w:pos="2087"/>
          <w:tab w:val="left" w:pos="2089"/>
        </w:tabs>
        <w:autoSpaceDE w:val="0"/>
        <w:autoSpaceDN w:val="0"/>
        <w:spacing w:before="1" w:after="120" w:line="276" w:lineRule="auto"/>
        <w:contextualSpacing w:val="0"/>
        <w:rPr>
          <w:rFonts w:cs="Times New Roman"/>
          <w:szCs w:val="24"/>
        </w:rPr>
      </w:pPr>
      <w:r w:rsidRPr="00692D00">
        <w:rPr>
          <w:rFonts w:cs="Times New Roman"/>
          <w:szCs w:val="24"/>
        </w:rPr>
        <w:t>• gıda sınıfı fosfatların üretimi.</w:t>
      </w:r>
    </w:p>
    <w:p w14:paraId="12CCB0F8" w14:textId="711F56A6" w:rsidR="00692D00" w:rsidRPr="00692D00" w:rsidRDefault="00BA598C" w:rsidP="00A654AE">
      <w:pPr>
        <w:pStyle w:val="ListeParagraf"/>
        <w:widowControl w:val="0"/>
        <w:numPr>
          <w:ilvl w:val="0"/>
          <w:numId w:val="185"/>
        </w:numPr>
        <w:tabs>
          <w:tab w:val="left" w:pos="2087"/>
          <w:tab w:val="left" w:pos="2089"/>
        </w:tabs>
        <w:autoSpaceDE w:val="0"/>
        <w:autoSpaceDN w:val="0"/>
        <w:spacing w:before="1" w:after="120" w:line="276" w:lineRule="auto"/>
        <w:rPr>
          <w:rFonts w:cs="Times New Roman"/>
          <w:szCs w:val="24"/>
        </w:rPr>
      </w:pPr>
      <w:r>
        <w:rPr>
          <w:rFonts w:cs="Times New Roman"/>
          <w:szCs w:val="24"/>
        </w:rPr>
        <w:t xml:space="preserve">Bu tebliğ Ek 5de </w:t>
      </w:r>
      <w:r w:rsidR="00692D00" w:rsidRPr="00692D00">
        <w:rPr>
          <w:rFonts w:cs="Times New Roman"/>
          <w:szCs w:val="24"/>
        </w:rPr>
        <w:t>demir dışı metallerin üretimine ilişkin</w:t>
      </w:r>
      <w:r w:rsidRPr="00BA598C">
        <w:rPr>
          <w:rFonts w:cs="Times New Roman"/>
          <w:szCs w:val="24"/>
        </w:rPr>
        <w:t xml:space="preserve"> </w:t>
      </w:r>
      <w:r>
        <w:rPr>
          <w:rFonts w:cs="Times New Roman"/>
          <w:szCs w:val="24"/>
        </w:rPr>
        <w:t>atfı yapılan hususlar için</w:t>
      </w:r>
      <w:r w:rsidR="00692D00" w:rsidRPr="00692D00">
        <w:rPr>
          <w:rFonts w:cs="Times New Roman"/>
          <w:szCs w:val="24"/>
        </w:rPr>
        <w:t xml:space="preserve"> </w:t>
      </w:r>
      <w:r>
        <w:rPr>
          <w:rFonts w:cs="Times New Roman"/>
          <w:szCs w:val="24"/>
        </w:rPr>
        <w:t xml:space="preserve">Metal Üretimi ve İşlenmesinde Mevcut En iyi Teknikleri Tebliği Taslağı </w:t>
      </w:r>
      <w:r w:rsidR="00692D00" w:rsidRPr="00692D00">
        <w:rPr>
          <w:rFonts w:cs="Times New Roman"/>
          <w:szCs w:val="24"/>
        </w:rPr>
        <w:t xml:space="preserve"> Demir Dışı Metaller Endüstrileri </w:t>
      </w:r>
      <w:r>
        <w:rPr>
          <w:rFonts w:cs="Times New Roman"/>
          <w:szCs w:val="24"/>
        </w:rPr>
        <w:t>ksmına bakılmalıdır.</w:t>
      </w:r>
    </w:p>
    <w:p w14:paraId="4D813D30" w14:textId="71ABC1D5" w:rsidR="00692D00" w:rsidRPr="00F50C10" w:rsidRDefault="00692D00" w:rsidP="000B206D">
      <w:pPr>
        <w:pStyle w:val="ListeParagraf"/>
        <w:widowControl w:val="0"/>
        <w:tabs>
          <w:tab w:val="left" w:pos="2087"/>
          <w:tab w:val="left" w:pos="2089"/>
        </w:tabs>
        <w:autoSpaceDE w:val="0"/>
        <w:autoSpaceDN w:val="0"/>
        <w:spacing w:before="1" w:after="120" w:line="276" w:lineRule="auto"/>
        <w:rPr>
          <w:rFonts w:cs="Times New Roman"/>
          <w:szCs w:val="24"/>
        </w:rPr>
      </w:pPr>
    </w:p>
    <w:p w14:paraId="4250FA08" w14:textId="48307D7C" w:rsidR="007B1B69" w:rsidRPr="00F50C10" w:rsidRDefault="006E1400" w:rsidP="000B206D">
      <w:pPr>
        <w:pStyle w:val="GvdeMetni"/>
        <w:spacing w:after="120" w:line="276" w:lineRule="auto"/>
        <w:jc w:val="both"/>
        <w:rPr>
          <w:b/>
          <w:sz w:val="24"/>
          <w:szCs w:val="24"/>
        </w:rPr>
      </w:pPr>
      <w:r w:rsidRPr="00F50C10">
        <w:rPr>
          <w:b/>
          <w:sz w:val="24"/>
          <w:szCs w:val="24"/>
        </w:rPr>
        <w:t>Büyük Hacimli İnorganik Kimyasallar – Katılar ve Diğerleri için MET</w:t>
      </w:r>
    </w:p>
    <w:p w14:paraId="1FD575CC" w14:textId="4A1285A3" w:rsidR="007C17E4" w:rsidRDefault="007B1B69" w:rsidP="000B206D">
      <w:pPr>
        <w:pStyle w:val="ListeParagraf"/>
        <w:widowControl w:val="0"/>
        <w:tabs>
          <w:tab w:val="left" w:pos="2087"/>
          <w:tab w:val="left" w:pos="2089"/>
        </w:tabs>
        <w:autoSpaceDE w:val="0"/>
        <w:autoSpaceDN w:val="0"/>
        <w:spacing w:before="1" w:after="120" w:line="276" w:lineRule="auto"/>
        <w:ind w:left="0"/>
        <w:contextualSpacing w:val="0"/>
        <w:rPr>
          <w:rFonts w:cs="Times New Roman"/>
          <w:szCs w:val="24"/>
        </w:rPr>
      </w:pPr>
      <w:r w:rsidRPr="00F50C10">
        <w:rPr>
          <w:rFonts w:eastAsia="Times New Roman" w:cs="Times New Roman"/>
          <w:b/>
          <w:szCs w:val="24"/>
          <w:lang w:val="tr-TR"/>
        </w:rPr>
        <w:t>MADDE 1</w:t>
      </w:r>
      <w:r w:rsidR="00B020E7">
        <w:rPr>
          <w:rFonts w:eastAsia="Times New Roman" w:cs="Times New Roman"/>
          <w:b/>
          <w:szCs w:val="24"/>
          <w:lang w:val="tr-TR"/>
        </w:rPr>
        <w:t>6</w:t>
      </w:r>
      <w:r w:rsidRPr="00F50C10">
        <w:rPr>
          <w:rFonts w:eastAsia="Times New Roman" w:cs="Times New Roman"/>
          <w:b/>
          <w:szCs w:val="24"/>
          <w:lang w:val="tr-TR"/>
        </w:rPr>
        <w:t xml:space="preserve">- (1) </w:t>
      </w:r>
      <w:r w:rsidR="00931B85" w:rsidRPr="00F50C10">
        <w:rPr>
          <w:rFonts w:eastAsia="Times New Roman" w:cs="Times New Roman"/>
          <w:bCs/>
          <w:szCs w:val="24"/>
          <w:lang w:val="tr-TR"/>
        </w:rPr>
        <w:t>Yönetmelik</w:t>
      </w:r>
      <w:r w:rsidR="00931B85" w:rsidRPr="00F50C10">
        <w:rPr>
          <w:rFonts w:eastAsia="Times New Roman" w:cs="Times New Roman"/>
          <w:b/>
          <w:szCs w:val="24"/>
          <w:lang w:val="tr-TR"/>
        </w:rPr>
        <w:t xml:space="preserve"> </w:t>
      </w:r>
      <w:r w:rsidR="00931B85" w:rsidRPr="00F50C10">
        <w:rPr>
          <w:rFonts w:cs="Times New Roman"/>
          <w:szCs w:val="24"/>
        </w:rPr>
        <w:t>Ek 1</w:t>
      </w:r>
      <w:r w:rsidR="007C17E4">
        <w:rPr>
          <w:rFonts w:cs="Times New Roman"/>
          <w:szCs w:val="24"/>
        </w:rPr>
        <w:t>;</w:t>
      </w:r>
      <w:r w:rsidR="00B759D5">
        <w:rPr>
          <w:rFonts w:cs="Times New Roman"/>
          <w:szCs w:val="24"/>
        </w:rPr>
        <w:t xml:space="preserve"> 4.2.</w:t>
      </w:r>
      <w:r w:rsidR="00B759D5" w:rsidRPr="00B759D5">
        <w:rPr>
          <w:rFonts w:eastAsia="Times New Roman" w:cs="Times New Roman"/>
          <w:szCs w:val="24"/>
        </w:rPr>
        <w:t xml:space="preserve"> </w:t>
      </w:r>
      <w:r w:rsidR="00B759D5" w:rsidRPr="008273E8">
        <w:rPr>
          <w:rFonts w:eastAsia="Times New Roman" w:cs="Times New Roman"/>
          <w:szCs w:val="24"/>
        </w:rPr>
        <w:t>İnorganik kimyasalların üretimi, örneğin</w:t>
      </w:r>
    </w:p>
    <w:p w14:paraId="3C968C36" w14:textId="09DB9094" w:rsidR="00C11EF2" w:rsidRPr="005B2F92" w:rsidRDefault="007C17E4" w:rsidP="00A654AE">
      <w:pPr>
        <w:pStyle w:val="GvdeMetni"/>
        <w:numPr>
          <w:ilvl w:val="0"/>
          <w:numId w:val="197"/>
        </w:numPr>
        <w:spacing w:before="120" w:line="276" w:lineRule="auto"/>
        <w:ind w:right="40"/>
        <w:jc w:val="both"/>
        <w:rPr>
          <w:sz w:val="24"/>
          <w:szCs w:val="24"/>
          <w:lang w:bidi="tr-TR"/>
        </w:rPr>
      </w:pPr>
      <w:r>
        <w:rPr>
          <w:sz w:val="24"/>
          <w:szCs w:val="24"/>
          <w:lang w:bidi="tr-TR"/>
        </w:rPr>
        <w:t xml:space="preserve">4.2.d) </w:t>
      </w:r>
      <w:r w:rsidR="00C11EF2" w:rsidRPr="005B2F92">
        <w:rPr>
          <w:sz w:val="24"/>
          <w:szCs w:val="24"/>
          <w:lang w:bidi="tr-TR"/>
        </w:rPr>
        <w:t>amonyum klorür, potasyum klorat, potasyum karbonat, sodyum karbonat, sodyum perborat, gümüş nitrat gibi tuzlar</w:t>
      </w:r>
    </w:p>
    <w:p w14:paraId="016DD870" w14:textId="3E6B088C" w:rsidR="007C17E4" w:rsidRDefault="007C17E4" w:rsidP="00A654AE">
      <w:pPr>
        <w:pStyle w:val="GvdeMetni"/>
        <w:numPr>
          <w:ilvl w:val="0"/>
          <w:numId w:val="197"/>
        </w:numPr>
        <w:spacing w:before="120" w:line="276" w:lineRule="auto"/>
        <w:ind w:right="40"/>
        <w:jc w:val="both"/>
        <w:rPr>
          <w:sz w:val="24"/>
          <w:szCs w:val="24"/>
          <w:lang w:bidi="tr-TR"/>
        </w:rPr>
      </w:pPr>
      <w:r>
        <w:rPr>
          <w:sz w:val="24"/>
          <w:szCs w:val="24"/>
          <w:lang w:bidi="tr-TR"/>
        </w:rPr>
        <w:t xml:space="preserve">4.2.e) </w:t>
      </w:r>
      <w:r w:rsidR="00C11EF2" w:rsidRPr="005B2F92">
        <w:rPr>
          <w:sz w:val="24"/>
          <w:szCs w:val="24"/>
          <w:lang w:bidi="tr-TR"/>
        </w:rPr>
        <w:t xml:space="preserve">kalsiyum karbür, silikon, silikon karbür gibi non-metaller, metal oksitler veya diğer inorganik bileşikler </w:t>
      </w:r>
    </w:p>
    <w:p w14:paraId="768DCA9B" w14:textId="6E14F549" w:rsidR="00C11EF2" w:rsidRDefault="007C17E4" w:rsidP="000B206D">
      <w:pPr>
        <w:pStyle w:val="GvdeMetni"/>
        <w:spacing w:before="120" w:line="276" w:lineRule="auto"/>
        <w:ind w:left="360" w:right="40"/>
        <w:jc w:val="both"/>
        <w:rPr>
          <w:sz w:val="24"/>
          <w:szCs w:val="24"/>
          <w:lang w:bidi="tr-TR"/>
        </w:rPr>
      </w:pPr>
      <w:r w:rsidRPr="00F50C10">
        <w:rPr>
          <w:sz w:val="24"/>
          <w:szCs w:val="24"/>
        </w:rPr>
        <w:t xml:space="preserve">bu Tebliğ Ek </w:t>
      </w:r>
      <w:r>
        <w:rPr>
          <w:szCs w:val="24"/>
        </w:rPr>
        <w:t>6</w:t>
      </w:r>
      <w:r w:rsidRPr="00F50C10">
        <w:rPr>
          <w:sz w:val="24"/>
          <w:szCs w:val="24"/>
        </w:rPr>
        <w:t>’de yer alan hususlara göre değerlendirilir</w:t>
      </w:r>
    </w:p>
    <w:p w14:paraId="38A29817" w14:textId="55EF5955" w:rsidR="00C11EF2" w:rsidRPr="005B2F92" w:rsidRDefault="007C17E4" w:rsidP="000B206D">
      <w:pPr>
        <w:pStyle w:val="GvdeMetni"/>
        <w:spacing w:before="120" w:line="276" w:lineRule="auto"/>
        <w:ind w:right="40"/>
        <w:jc w:val="both"/>
        <w:rPr>
          <w:sz w:val="24"/>
          <w:szCs w:val="24"/>
          <w:lang w:bidi="tr-TR"/>
        </w:rPr>
      </w:pPr>
      <w:r w:rsidRPr="0079045C">
        <w:rPr>
          <w:sz w:val="24"/>
          <w:szCs w:val="24"/>
          <w:lang w:bidi="tr-TR"/>
        </w:rPr>
        <w:t>(2)</w:t>
      </w:r>
      <w:r>
        <w:rPr>
          <w:b/>
          <w:bCs/>
          <w:sz w:val="24"/>
          <w:szCs w:val="24"/>
          <w:lang w:bidi="tr-TR"/>
        </w:rPr>
        <w:t xml:space="preserve"> </w:t>
      </w:r>
      <w:r w:rsidR="00C11EF2" w:rsidRPr="007C17E4">
        <w:rPr>
          <w:sz w:val="24"/>
          <w:szCs w:val="24"/>
          <w:lang w:bidi="tr-TR"/>
        </w:rPr>
        <w:t xml:space="preserve">Bu </w:t>
      </w:r>
      <w:r>
        <w:rPr>
          <w:sz w:val="24"/>
          <w:szCs w:val="24"/>
          <w:lang w:bidi="tr-TR"/>
        </w:rPr>
        <w:t>T</w:t>
      </w:r>
      <w:r w:rsidR="00C11EF2" w:rsidRPr="007C17E4">
        <w:rPr>
          <w:sz w:val="24"/>
          <w:szCs w:val="24"/>
          <w:lang w:bidi="tr-TR"/>
        </w:rPr>
        <w:t>ebliğde ele alınan ürünlerin listesi:</w:t>
      </w:r>
    </w:p>
    <w:p w14:paraId="50B186E4" w14:textId="77777777" w:rsidR="00C11EF2" w:rsidRPr="005B2F92" w:rsidRDefault="00C11EF2" w:rsidP="00A654AE">
      <w:pPr>
        <w:pStyle w:val="ListeParagraf"/>
        <w:widowControl w:val="0"/>
        <w:numPr>
          <w:ilvl w:val="0"/>
          <w:numId w:val="199"/>
        </w:numPr>
        <w:tabs>
          <w:tab w:val="left" w:pos="1652"/>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Temel ürün olarak adlandırılan beş ürün:</w:t>
      </w:r>
    </w:p>
    <w:p w14:paraId="4590BF2E" w14:textId="77777777" w:rsidR="00C11EF2" w:rsidRPr="005B2F92" w:rsidRDefault="00C11EF2" w:rsidP="00A654AE">
      <w:pPr>
        <w:pStyle w:val="ListeParagraf"/>
        <w:widowControl w:val="0"/>
        <w:numPr>
          <w:ilvl w:val="0"/>
          <w:numId w:val="198"/>
        </w:numPr>
        <w:tabs>
          <w:tab w:val="left" w:pos="1652"/>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Soda külü (sodyum karbonat, sodyum bikarbonat dahil)</w:t>
      </w:r>
    </w:p>
    <w:p w14:paraId="5D032632" w14:textId="77777777" w:rsidR="00C11EF2" w:rsidRPr="005B2F92" w:rsidRDefault="00C11EF2" w:rsidP="00A654AE">
      <w:pPr>
        <w:pStyle w:val="ListeParagraf"/>
        <w:widowControl w:val="0"/>
        <w:numPr>
          <w:ilvl w:val="0"/>
          <w:numId w:val="198"/>
        </w:numPr>
        <w:tabs>
          <w:tab w:val="left" w:pos="1652"/>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Titanyum oksit (klorür ve sülfat proses yolları)</w:t>
      </w:r>
    </w:p>
    <w:p w14:paraId="5CDD27E0" w14:textId="77777777" w:rsidR="00C11EF2" w:rsidRPr="005B2F92" w:rsidRDefault="00C11EF2" w:rsidP="00A654AE">
      <w:pPr>
        <w:pStyle w:val="ListeParagraf"/>
        <w:widowControl w:val="0"/>
        <w:numPr>
          <w:ilvl w:val="0"/>
          <w:numId w:val="198"/>
        </w:numPr>
        <w:tabs>
          <w:tab w:val="left" w:pos="1652"/>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Karbon siyahı (kauçuk ve özel sınıflar)</w:t>
      </w:r>
    </w:p>
    <w:p w14:paraId="2B4FA2CE" w14:textId="77777777" w:rsidR="00C11EF2" w:rsidRPr="005B2F92" w:rsidRDefault="00C11EF2" w:rsidP="00A654AE">
      <w:pPr>
        <w:pStyle w:val="ListeParagraf"/>
        <w:widowControl w:val="0"/>
        <w:numPr>
          <w:ilvl w:val="0"/>
          <w:numId w:val="198"/>
        </w:numPr>
        <w:tabs>
          <w:tab w:val="left" w:pos="1652"/>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Sentetik amorf silika (projenik silika, çöktürülmüş silika ve silika jeli)</w:t>
      </w:r>
    </w:p>
    <w:p w14:paraId="769865CB" w14:textId="77777777" w:rsidR="0079045C" w:rsidRDefault="00C11EF2" w:rsidP="00A654AE">
      <w:pPr>
        <w:pStyle w:val="ListeParagraf"/>
        <w:widowControl w:val="0"/>
        <w:numPr>
          <w:ilvl w:val="0"/>
          <w:numId w:val="198"/>
        </w:numPr>
        <w:tabs>
          <w:tab w:val="left" w:pos="1652"/>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İnorganik fosfatlar (deterjan, gıda ve yem fosfatları)</w:t>
      </w:r>
    </w:p>
    <w:p w14:paraId="1D7696B1" w14:textId="2B797170" w:rsidR="00C11EF2" w:rsidRPr="0079045C" w:rsidRDefault="0079045C" w:rsidP="000B206D">
      <w:pPr>
        <w:widowControl w:val="0"/>
        <w:tabs>
          <w:tab w:val="left" w:pos="1652"/>
        </w:tabs>
        <w:autoSpaceDE w:val="0"/>
        <w:autoSpaceDN w:val="0"/>
        <w:spacing w:before="120" w:line="276" w:lineRule="auto"/>
        <w:ind w:left="360" w:right="40"/>
        <w:rPr>
          <w:rFonts w:cs="Times New Roman"/>
          <w:szCs w:val="24"/>
          <w:lang w:bidi="tr-TR"/>
        </w:rPr>
      </w:pPr>
      <w:r>
        <w:rPr>
          <w:rFonts w:cs="Times New Roman"/>
          <w:szCs w:val="24"/>
          <w:lang w:bidi="tr-TR"/>
        </w:rPr>
        <w:t>Ve a</w:t>
      </w:r>
      <w:r w:rsidR="00C11EF2" w:rsidRPr="0079045C">
        <w:rPr>
          <w:rFonts w:cs="Times New Roman"/>
          <w:szCs w:val="24"/>
          <w:lang w:bidi="tr-TR"/>
        </w:rPr>
        <w:t>yrıca, çok ayrıntılı olmayarak 17 seçili örnek ürün (veya ürün grubu) ele alınmaktadır.</w:t>
      </w:r>
    </w:p>
    <w:p w14:paraId="697FC4BD" w14:textId="77777777" w:rsidR="00C11EF2" w:rsidRPr="005B2F92" w:rsidRDefault="00C11EF2" w:rsidP="00A654AE">
      <w:pPr>
        <w:pStyle w:val="ListeParagraf"/>
        <w:widowControl w:val="0"/>
        <w:numPr>
          <w:ilvl w:val="0"/>
          <w:numId w:val="199"/>
        </w:numPr>
        <w:tabs>
          <w:tab w:val="left" w:pos="952"/>
          <w:tab w:val="left" w:pos="953"/>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Seçili örnek ürün olarak adlandırılan 17 ürün:</w:t>
      </w:r>
    </w:p>
    <w:p w14:paraId="65AB6897" w14:textId="77777777" w:rsidR="00C11EF2" w:rsidRPr="005B2F92" w:rsidRDefault="00C11EF2" w:rsidP="00A654AE">
      <w:pPr>
        <w:pStyle w:val="ListeParagraf"/>
        <w:widowControl w:val="0"/>
        <w:numPr>
          <w:ilvl w:val="0"/>
          <w:numId w:val="200"/>
        </w:numPr>
        <w:tabs>
          <w:tab w:val="left" w:pos="720"/>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Alüminyum florür</w:t>
      </w:r>
    </w:p>
    <w:p w14:paraId="7BD85234" w14:textId="77777777" w:rsidR="00C11EF2" w:rsidRPr="005B2F92" w:rsidRDefault="00C11EF2" w:rsidP="00A654AE">
      <w:pPr>
        <w:pStyle w:val="ListeParagraf"/>
        <w:widowControl w:val="0"/>
        <w:numPr>
          <w:ilvl w:val="0"/>
          <w:numId w:val="200"/>
        </w:numPr>
        <w:tabs>
          <w:tab w:val="left" w:pos="720"/>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Kalsiyum karbür</w:t>
      </w:r>
    </w:p>
    <w:p w14:paraId="34D67D91" w14:textId="77777777" w:rsidR="00C11EF2" w:rsidRPr="005B2F92" w:rsidRDefault="00C11EF2" w:rsidP="00A654AE">
      <w:pPr>
        <w:pStyle w:val="ListeParagraf"/>
        <w:widowControl w:val="0"/>
        <w:numPr>
          <w:ilvl w:val="0"/>
          <w:numId w:val="200"/>
        </w:numPr>
        <w:tabs>
          <w:tab w:val="left" w:pos="720"/>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Karbon disülfür</w:t>
      </w:r>
    </w:p>
    <w:p w14:paraId="239BF413" w14:textId="77777777" w:rsidR="00C11EF2" w:rsidRPr="005B2F92" w:rsidRDefault="00C11EF2" w:rsidP="00A654AE">
      <w:pPr>
        <w:pStyle w:val="ListeParagraf"/>
        <w:widowControl w:val="0"/>
        <w:numPr>
          <w:ilvl w:val="0"/>
          <w:numId w:val="200"/>
        </w:numPr>
        <w:tabs>
          <w:tab w:val="left" w:pos="720"/>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Demir ikiklorür</w:t>
      </w:r>
    </w:p>
    <w:p w14:paraId="30EF52EC" w14:textId="77777777" w:rsidR="00C11EF2" w:rsidRPr="005B2F92" w:rsidRDefault="00C11EF2" w:rsidP="00A654AE">
      <w:pPr>
        <w:pStyle w:val="ListeParagraf"/>
        <w:widowControl w:val="0"/>
        <w:numPr>
          <w:ilvl w:val="0"/>
          <w:numId w:val="200"/>
        </w:numPr>
        <w:tabs>
          <w:tab w:val="left" w:pos="720"/>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Bakırlar ve ilgili ürünler</w:t>
      </w:r>
    </w:p>
    <w:p w14:paraId="684CEF4A" w14:textId="77777777" w:rsidR="00C11EF2" w:rsidRPr="005B2F92" w:rsidRDefault="00C11EF2" w:rsidP="00A654AE">
      <w:pPr>
        <w:pStyle w:val="ListeParagraf"/>
        <w:widowControl w:val="0"/>
        <w:numPr>
          <w:ilvl w:val="0"/>
          <w:numId w:val="200"/>
        </w:numPr>
        <w:tabs>
          <w:tab w:val="left" w:pos="720"/>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Kurşun oksit</w:t>
      </w:r>
    </w:p>
    <w:p w14:paraId="6A84D5A1" w14:textId="77777777" w:rsidR="00C11EF2" w:rsidRPr="005B2F92" w:rsidRDefault="00C11EF2" w:rsidP="00A654AE">
      <w:pPr>
        <w:pStyle w:val="ListeParagraf"/>
        <w:widowControl w:val="0"/>
        <w:numPr>
          <w:ilvl w:val="0"/>
          <w:numId w:val="200"/>
        </w:numPr>
        <w:tabs>
          <w:tab w:val="left" w:pos="720"/>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Magnezyum bileşikleri</w:t>
      </w:r>
    </w:p>
    <w:p w14:paraId="050462F9" w14:textId="77777777" w:rsidR="00C11EF2" w:rsidRPr="005B2F92" w:rsidRDefault="00C11EF2" w:rsidP="00A654AE">
      <w:pPr>
        <w:pStyle w:val="ListeParagraf"/>
        <w:widowControl w:val="0"/>
        <w:numPr>
          <w:ilvl w:val="0"/>
          <w:numId w:val="200"/>
        </w:numPr>
        <w:tabs>
          <w:tab w:val="left" w:pos="720"/>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Sodyum silikat</w:t>
      </w:r>
    </w:p>
    <w:p w14:paraId="1455AA00" w14:textId="77777777" w:rsidR="00C11EF2" w:rsidRPr="005B2F92" w:rsidRDefault="00C11EF2" w:rsidP="00A654AE">
      <w:pPr>
        <w:pStyle w:val="ListeParagraf"/>
        <w:widowControl w:val="0"/>
        <w:numPr>
          <w:ilvl w:val="0"/>
          <w:numId w:val="200"/>
        </w:numPr>
        <w:tabs>
          <w:tab w:val="left" w:pos="720"/>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Silikon karbür</w:t>
      </w:r>
    </w:p>
    <w:p w14:paraId="356776AD" w14:textId="77777777" w:rsidR="00C11EF2" w:rsidRPr="005B2F92" w:rsidRDefault="00C11EF2" w:rsidP="00A654AE">
      <w:pPr>
        <w:pStyle w:val="ListeParagraf"/>
        <w:widowControl w:val="0"/>
        <w:numPr>
          <w:ilvl w:val="0"/>
          <w:numId w:val="200"/>
        </w:numPr>
        <w:tabs>
          <w:tab w:val="left" w:pos="720"/>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Zeolitler</w:t>
      </w:r>
    </w:p>
    <w:p w14:paraId="5D4098EC" w14:textId="77777777" w:rsidR="00C11EF2" w:rsidRPr="005B2F92" w:rsidRDefault="00C11EF2" w:rsidP="00A654AE">
      <w:pPr>
        <w:pStyle w:val="ListeParagraf"/>
        <w:widowControl w:val="0"/>
        <w:numPr>
          <w:ilvl w:val="0"/>
          <w:numId w:val="200"/>
        </w:numPr>
        <w:tabs>
          <w:tab w:val="left" w:pos="720"/>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Kalsiyum klorür</w:t>
      </w:r>
    </w:p>
    <w:p w14:paraId="123779EB" w14:textId="77777777" w:rsidR="00C11EF2" w:rsidRPr="005B2F92" w:rsidRDefault="00C11EF2" w:rsidP="00A654AE">
      <w:pPr>
        <w:pStyle w:val="ListeParagraf"/>
        <w:widowControl w:val="0"/>
        <w:numPr>
          <w:ilvl w:val="0"/>
          <w:numId w:val="200"/>
        </w:numPr>
        <w:tabs>
          <w:tab w:val="left" w:pos="720"/>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Çöktürülmüş kalsiyum karbonat</w:t>
      </w:r>
    </w:p>
    <w:p w14:paraId="754CDA39" w14:textId="77777777" w:rsidR="00C11EF2" w:rsidRPr="005B2F92" w:rsidRDefault="00C11EF2" w:rsidP="00A654AE">
      <w:pPr>
        <w:pStyle w:val="ListeParagraf"/>
        <w:widowControl w:val="0"/>
        <w:numPr>
          <w:ilvl w:val="0"/>
          <w:numId w:val="200"/>
        </w:numPr>
        <w:tabs>
          <w:tab w:val="left" w:pos="720"/>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Sodyum klorat</w:t>
      </w:r>
    </w:p>
    <w:p w14:paraId="205CC335" w14:textId="77777777" w:rsidR="00C11EF2" w:rsidRPr="005B2F92" w:rsidRDefault="00C11EF2" w:rsidP="00A654AE">
      <w:pPr>
        <w:pStyle w:val="ListeParagraf"/>
        <w:widowControl w:val="0"/>
        <w:numPr>
          <w:ilvl w:val="0"/>
          <w:numId w:val="200"/>
        </w:numPr>
        <w:tabs>
          <w:tab w:val="left" w:pos="720"/>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Sodyum perborat</w:t>
      </w:r>
    </w:p>
    <w:p w14:paraId="21B97D88" w14:textId="77777777" w:rsidR="00C11EF2" w:rsidRPr="005B2F92" w:rsidRDefault="00C11EF2" w:rsidP="00A654AE">
      <w:pPr>
        <w:pStyle w:val="ListeParagraf"/>
        <w:widowControl w:val="0"/>
        <w:numPr>
          <w:ilvl w:val="0"/>
          <w:numId w:val="200"/>
        </w:numPr>
        <w:tabs>
          <w:tab w:val="left" w:pos="720"/>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Sodyum perkarbonat</w:t>
      </w:r>
    </w:p>
    <w:p w14:paraId="64118380" w14:textId="77777777" w:rsidR="00C11EF2" w:rsidRPr="005B2F92" w:rsidRDefault="00C11EF2" w:rsidP="00A654AE">
      <w:pPr>
        <w:pStyle w:val="ListeParagraf"/>
        <w:widowControl w:val="0"/>
        <w:numPr>
          <w:ilvl w:val="0"/>
          <w:numId w:val="200"/>
        </w:numPr>
        <w:tabs>
          <w:tab w:val="left" w:pos="720"/>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Sodyum sülfit</w:t>
      </w:r>
    </w:p>
    <w:p w14:paraId="0EEEAF14" w14:textId="77777777" w:rsidR="00C11EF2" w:rsidRPr="005B2F92" w:rsidRDefault="00C11EF2" w:rsidP="00A654AE">
      <w:pPr>
        <w:pStyle w:val="ListeParagraf"/>
        <w:widowControl w:val="0"/>
        <w:numPr>
          <w:ilvl w:val="0"/>
          <w:numId w:val="200"/>
        </w:numPr>
        <w:tabs>
          <w:tab w:val="left" w:pos="720"/>
        </w:tabs>
        <w:autoSpaceDE w:val="0"/>
        <w:autoSpaceDN w:val="0"/>
        <w:spacing w:before="120" w:line="276" w:lineRule="auto"/>
        <w:ind w:right="40"/>
        <w:contextualSpacing w:val="0"/>
        <w:rPr>
          <w:rFonts w:cs="Times New Roman"/>
          <w:szCs w:val="24"/>
          <w:lang w:bidi="tr-TR"/>
        </w:rPr>
      </w:pPr>
      <w:r w:rsidRPr="005B2F92">
        <w:rPr>
          <w:rFonts w:cs="Times New Roman"/>
          <w:szCs w:val="24"/>
          <w:lang w:bidi="tr-TR"/>
        </w:rPr>
        <w:t>Çinko oksit</w:t>
      </w:r>
    </w:p>
    <w:p w14:paraId="57509EAF" w14:textId="77777777" w:rsidR="00C11EF2" w:rsidRPr="00F50C10" w:rsidRDefault="00C11EF2" w:rsidP="000B206D">
      <w:pPr>
        <w:pStyle w:val="ListeParagraf"/>
        <w:widowControl w:val="0"/>
        <w:tabs>
          <w:tab w:val="left" w:pos="2087"/>
          <w:tab w:val="left" w:pos="2089"/>
        </w:tabs>
        <w:autoSpaceDE w:val="0"/>
        <w:autoSpaceDN w:val="0"/>
        <w:spacing w:before="1" w:after="120" w:line="276" w:lineRule="auto"/>
        <w:ind w:left="0"/>
        <w:contextualSpacing w:val="0"/>
        <w:rPr>
          <w:rFonts w:cs="Times New Roman"/>
          <w:szCs w:val="24"/>
        </w:rPr>
      </w:pPr>
    </w:p>
    <w:p w14:paraId="74332043" w14:textId="77777777" w:rsidR="00BD3806" w:rsidRPr="00931B85" w:rsidRDefault="00BD3806" w:rsidP="000B206D">
      <w:pPr>
        <w:pStyle w:val="GvdeMetni"/>
        <w:spacing w:after="120" w:line="276" w:lineRule="auto"/>
        <w:jc w:val="both"/>
        <w:rPr>
          <w:b/>
          <w:sz w:val="24"/>
          <w:szCs w:val="24"/>
        </w:rPr>
      </w:pPr>
      <w:r w:rsidRPr="00931B85">
        <w:rPr>
          <w:b/>
          <w:sz w:val="24"/>
          <w:szCs w:val="24"/>
        </w:rPr>
        <w:t>Özel İnorganik Kimyasallar için MET</w:t>
      </w:r>
    </w:p>
    <w:p w14:paraId="300CB279" w14:textId="7300600F" w:rsidR="00B759D5" w:rsidRDefault="00BD3806" w:rsidP="000B206D">
      <w:pPr>
        <w:pStyle w:val="GvdeMetni"/>
        <w:spacing w:after="120" w:line="276" w:lineRule="auto"/>
        <w:jc w:val="both"/>
        <w:rPr>
          <w:sz w:val="24"/>
          <w:szCs w:val="24"/>
          <w:lang w:bidi="tr-TR"/>
        </w:rPr>
      </w:pPr>
      <w:r w:rsidRPr="00931B85">
        <w:rPr>
          <w:b/>
          <w:sz w:val="24"/>
          <w:szCs w:val="24"/>
        </w:rPr>
        <w:t>MADDE 1</w:t>
      </w:r>
      <w:r w:rsidR="00B020E7">
        <w:rPr>
          <w:b/>
          <w:sz w:val="24"/>
          <w:szCs w:val="24"/>
        </w:rPr>
        <w:t>7</w:t>
      </w:r>
      <w:r w:rsidRPr="00931B85">
        <w:rPr>
          <w:b/>
          <w:sz w:val="24"/>
          <w:szCs w:val="24"/>
        </w:rPr>
        <w:t xml:space="preserve"> </w:t>
      </w:r>
      <w:r w:rsidRPr="00931B85">
        <w:rPr>
          <w:sz w:val="24"/>
          <w:szCs w:val="24"/>
        </w:rPr>
        <w:t xml:space="preserve">(1) </w:t>
      </w:r>
      <w:r w:rsidRPr="00C11EF2">
        <w:rPr>
          <w:sz w:val="24"/>
          <w:szCs w:val="24"/>
          <w:lang w:bidi="tr-TR"/>
        </w:rPr>
        <w:t>Yönetmelik</w:t>
      </w:r>
      <w:r w:rsidRPr="00931B85">
        <w:rPr>
          <w:sz w:val="24"/>
          <w:szCs w:val="24"/>
          <w:lang w:bidi="tr-TR"/>
        </w:rPr>
        <w:t xml:space="preserve"> Ek I</w:t>
      </w:r>
      <w:r w:rsidR="00C11EF2">
        <w:rPr>
          <w:sz w:val="24"/>
          <w:szCs w:val="24"/>
          <w:lang w:bidi="tr-TR"/>
        </w:rPr>
        <w:t>,</w:t>
      </w:r>
      <w:r w:rsidRPr="00931B85">
        <w:rPr>
          <w:sz w:val="24"/>
          <w:szCs w:val="24"/>
          <w:lang w:bidi="tr-TR"/>
        </w:rPr>
        <w:t xml:space="preserve"> </w:t>
      </w:r>
      <w:r w:rsidR="00B759D5">
        <w:rPr>
          <w:sz w:val="24"/>
          <w:szCs w:val="24"/>
          <w:lang w:bidi="tr-TR"/>
        </w:rPr>
        <w:t xml:space="preserve">4.2. </w:t>
      </w:r>
      <w:r w:rsidR="00B759D5" w:rsidRPr="008273E8">
        <w:rPr>
          <w:sz w:val="24"/>
          <w:szCs w:val="24"/>
        </w:rPr>
        <w:t>İnorganik kimyasalların üretimi, örneğin</w:t>
      </w:r>
    </w:p>
    <w:p w14:paraId="7C9517C3" w14:textId="0DE616FA" w:rsidR="00B759D5" w:rsidRDefault="00B759D5" w:rsidP="000B206D">
      <w:pPr>
        <w:pStyle w:val="GvdeMetni"/>
        <w:spacing w:after="120" w:line="276" w:lineRule="auto"/>
        <w:jc w:val="both"/>
        <w:rPr>
          <w:sz w:val="24"/>
          <w:szCs w:val="24"/>
          <w:lang w:bidi="tr-TR"/>
        </w:rPr>
      </w:pPr>
      <w:r>
        <w:rPr>
          <w:sz w:val="24"/>
          <w:szCs w:val="24"/>
          <w:lang w:bidi="tr-TR"/>
        </w:rPr>
        <w:t xml:space="preserve">a) </w:t>
      </w:r>
      <w:r w:rsidR="00BD3806" w:rsidRPr="00C11EF2">
        <w:rPr>
          <w:sz w:val="24"/>
          <w:szCs w:val="24"/>
          <w:lang w:bidi="tr-TR"/>
        </w:rPr>
        <w:t>4.2.ç</w:t>
      </w:r>
      <w:r w:rsidR="004E7134">
        <w:rPr>
          <w:sz w:val="24"/>
          <w:szCs w:val="24"/>
          <w:lang w:bidi="tr-TR"/>
        </w:rPr>
        <w:t>.</w:t>
      </w:r>
      <w:r w:rsidR="00BD3806" w:rsidRPr="00C11EF2">
        <w:rPr>
          <w:sz w:val="24"/>
          <w:szCs w:val="24"/>
          <w:lang w:bidi="tr-TR"/>
        </w:rPr>
        <w:t xml:space="preserve"> </w:t>
      </w:r>
      <w:r w:rsidR="004E7134" w:rsidRPr="004E7134">
        <w:rPr>
          <w:sz w:val="24"/>
          <w:szCs w:val="24"/>
          <w:lang w:bidi="tr-TR"/>
        </w:rPr>
        <w:t>Amonyum klorür, potasyum klorat, potasyum karbonat, sodyum karbonat, perborat, gümüş nitrat gibi tuzlar,</w:t>
      </w:r>
    </w:p>
    <w:p w14:paraId="4B74C9D7" w14:textId="2603CBCC" w:rsidR="00B759D5" w:rsidRDefault="00B759D5" w:rsidP="000B206D">
      <w:pPr>
        <w:pStyle w:val="GvdeMetni"/>
        <w:spacing w:after="120" w:line="276" w:lineRule="auto"/>
        <w:jc w:val="both"/>
        <w:rPr>
          <w:sz w:val="24"/>
          <w:szCs w:val="24"/>
          <w:lang w:bidi="tr-TR"/>
        </w:rPr>
      </w:pPr>
      <w:r>
        <w:rPr>
          <w:sz w:val="24"/>
          <w:szCs w:val="24"/>
          <w:lang w:bidi="tr-TR"/>
        </w:rPr>
        <w:t>b)</w:t>
      </w:r>
      <w:r w:rsidR="004E7134">
        <w:rPr>
          <w:sz w:val="24"/>
          <w:szCs w:val="24"/>
          <w:lang w:bidi="tr-TR"/>
        </w:rPr>
        <w:t xml:space="preserve"> </w:t>
      </w:r>
      <w:r w:rsidR="00BD3806" w:rsidRPr="00C11EF2">
        <w:rPr>
          <w:sz w:val="24"/>
          <w:szCs w:val="24"/>
          <w:lang w:bidi="tr-TR"/>
        </w:rPr>
        <w:t>4.2.d</w:t>
      </w:r>
      <w:r w:rsidR="004E7134">
        <w:rPr>
          <w:sz w:val="24"/>
          <w:szCs w:val="24"/>
          <w:lang w:bidi="tr-TR"/>
        </w:rPr>
        <w:t xml:space="preserve">. </w:t>
      </w:r>
      <w:r w:rsidR="004E7134" w:rsidRPr="004E7134">
        <w:rPr>
          <w:sz w:val="24"/>
          <w:szCs w:val="24"/>
          <w:lang w:bidi="tr-TR"/>
        </w:rPr>
        <w:t>Ağır metaller, metal oksitler ve kalsiyum karpit silikon, silikon karpit gibi, diğer inorganik bileşikler</w:t>
      </w:r>
    </w:p>
    <w:p w14:paraId="6315D3EE" w14:textId="11D6C960" w:rsidR="00B759D5" w:rsidRDefault="00B759D5" w:rsidP="000B206D">
      <w:pPr>
        <w:pStyle w:val="GvdeMetni"/>
        <w:spacing w:after="120" w:line="276" w:lineRule="auto"/>
        <w:jc w:val="both"/>
        <w:rPr>
          <w:sz w:val="24"/>
          <w:szCs w:val="24"/>
          <w:lang w:bidi="tr-TR"/>
        </w:rPr>
      </w:pPr>
      <w:r>
        <w:rPr>
          <w:sz w:val="24"/>
          <w:szCs w:val="24"/>
          <w:lang w:bidi="tr-TR"/>
        </w:rPr>
        <w:t xml:space="preserve">c) </w:t>
      </w:r>
      <w:r w:rsidR="00BD3806" w:rsidRPr="00C11EF2">
        <w:rPr>
          <w:sz w:val="24"/>
          <w:szCs w:val="24"/>
          <w:lang w:bidi="tr-TR"/>
        </w:rPr>
        <w:t>4.6</w:t>
      </w:r>
      <w:r>
        <w:rPr>
          <w:sz w:val="24"/>
          <w:szCs w:val="24"/>
          <w:lang w:bidi="tr-TR"/>
        </w:rPr>
        <w:t>.</w:t>
      </w:r>
      <w:r w:rsidR="004E7134" w:rsidRPr="004E7134">
        <w:t xml:space="preserve"> </w:t>
      </w:r>
      <w:r w:rsidR="004E7134" w:rsidRPr="004E7134">
        <w:rPr>
          <w:sz w:val="24"/>
          <w:szCs w:val="24"/>
          <w:lang w:bidi="tr-TR"/>
        </w:rPr>
        <w:t>Patlayıcı üretimi</w:t>
      </w:r>
      <w:r w:rsidR="00BD3806" w:rsidRPr="00C11EF2">
        <w:rPr>
          <w:sz w:val="24"/>
          <w:szCs w:val="24"/>
          <w:lang w:bidi="tr-TR"/>
        </w:rPr>
        <w:t xml:space="preserve"> </w:t>
      </w:r>
    </w:p>
    <w:p w14:paraId="24F41608" w14:textId="77777777" w:rsidR="004E7134" w:rsidRPr="004E7134" w:rsidRDefault="004E7134" w:rsidP="004E7134">
      <w:pPr>
        <w:pStyle w:val="GvdeMetni"/>
        <w:spacing w:after="120" w:line="276" w:lineRule="auto"/>
        <w:jc w:val="both"/>
        <w:rPr>
          <w:sz w:val="24"/>
          <w:szCs w:val="24"/>
          <w:lang w:bidi="tr-TR"/>
        </w:rPr>
      </w:pPr>
      <w:r w:rsidRPr="00C11EF2">
        <w:rPr>
          <w:sz w:val="24"/>
          <w:szCs w:val="24"/>
          <w:lang w:bidi="tr-TR"/>
        </w:rPr>
        <w:t xml:space="preserve">bu Tebliğ Ek </w:t>
      </w:r>
      <w:r>
        <w:rPr>
          <w:sz w:val="24"/>
          <w:szCs w:val="24"/>
          <w:lang w:bidi="tr-TR"/>
        </w:rPr>
        <w:t>7</w:t>
      </w:r>
      <w:r w:rsidRPr="00C11EF2">
        <w:rPr>
          <w:sz w:val="24"/>
          <w:szCs w:val="24"/>
          <w:lang w:bidi="tr-TR"/>
        </w:rPr>
        <w:t>’da yer alan hususlara göre değerlendirilir.</w:t>
      </w:r>
      <w:r w:rsidRPr="004E7134">
        <w:rPr>
          <w:sz w:val="24"/>
          <w:szCs w:val="24"/>
          <w:lang w:bidi="tr-TR"/>
        </w:rPr>
        <w:t xml:space="preserve"> </w:t>
      </w:r>
    </w:p>
    <w:p w14:paraId="39545610" w14:textId="3C724573" w:rsidR="004E7134" w:rsidRPr="004E7134" w:rsidRDefault="00B759D5" w:rsidP="004E7134">
      <w:pPr>
        <w:pStyle w:val="GvdeMetni"/>
        <w:spacing w:after="120" w:line="276" w:lineRule="auto"/>
        <w:jc w:val="both"/>
        <w:rPr>
          <w:sz w:val="24"/>
          <w:szCs w:val="24"/>
          <w:lang w:bidi="tr-TR"/>
        </w:rPr>
      </w:pPr>
      <w:r>
        <w:rPr>
          <w:sz w:val="24"/>
          <w:szCs w:val="24"/>
          <w:lang w:bidi="tr-TR"/>
        </w:rPr>
        <w:t>(</w:t>
      </w:r>
      <w:r w:rsidR="004E7134">
        <w:rPr>
          <w:sz w:val="24"/>
          <w:szCs w:val="24"/>
          <w:lang w:bidi="tr-TR"/>
        </w:rPr>
        <w:t>2</w:t>
      </w:r>
      <w:r>
        <w:rPr>
          <w:sz w:val="24"/>
          <w:szCs w:val="24"/>
          <w:lang w:bidi="tr-TR"/>
        </w:rPr>
        <w:t xml:space="preserve">) </w:t>
      </w:r>
      <w:r w:rsidR="004E7134">
        <w:rPr>
          <w:sz w:val="24"/>
          <w:szCs w:val="24"/>
          <w:lang w:bidi="tr-TR"/>
        </w:rPr>
        <w:t>Ö</w:t>
      </w:r>
      <w:r w:rsidR="00BD3806" w:rsidRPr="00C11EF2">
        <w:rPr>
          <w:sz w:val="24"/>
          <w:szCs w:val="24"/>
          <w:lang w:bidi="tr-TR"/>
        </w:rPr>
        <w:t xml:space="preserve">zel inorganik pigmentler, fosfor bileşikleri, silikonlar, özel inorganik kimyasal patlayıcılar ve siyanürlerin üretimi bu Tebliğ Ek </w:t>
      </w:r>
      <w:r w:rsidR="00C11EF2">
        <w:rPr>
          <w:sz w:val="24"/>
          <w:szCs w:val="24"/>
          <w:lang w:bidi="tr-TR"/>
        </w:rPr>
        <w:t>7</w:t>
      </w:r>
      <w:r w:rsidR="00BD3806" w:rsidRPr="00C11EF2">
        <w:rPr>
          <w:sz w:val="24"/>
          <w:szCs w:val="24"/>
          <w:lang w:bidi="tr-TR"/>
        </w:rPr>
        <w:t xml:space="preserve">’da </w:t>
      </w:r>
      <w:r w:rsidR="004E7134">
        <w:rPr>
          <w:sz w:val="24"/>
          <w:szCs w:val="24"/>
          <w:lang w:bidi="tr-TR"/>
        </w:rPr>
        <w:t>kapsamında</w:t>
      </w:r>
      <w:r w:rsidR="00BD3806" w:rsidRPr="00C11EF2">
        <w:rPr>
          <w:sz w:val="24"/>
          <w:szCs w:val="24"/>
          <w:lang w:bidi="tr-TR"/>
        </w:rPr>
        <w:t xml:space="preserve"> değerlendirilir.</w:t>
      </w:r>
      <w:r w:rsidR="00BD3806" w:rsidRPr="004E7134">
        <w:rPr>
          <w:sz w:val="24"/>
          <w:szCs w:val="24"/>
          <w:lang w:bidi="tr-TR"/>
        </w:rPr>
        <w:t xml:space="preserve"> </w:t>
      </w:r>
    </w:p>
    <w:p w14:paraId="372B1A8E" w14:textId="65537CB0" w:rsidR="00BD3806" w:rsidRPr="004E7134" w:rsidRDefault="004E7134" w:rsidP="004E7134">
      <w:pPr>
        <w:pStyle w:val="GvdeMetni"/>
        <w:spacing w:after="120" w:line="276" w:lineRule="auto"/>
        <w:jc w:val="both"/>
        <w:rPr>
          <w:sz w:val="24"/>
          <w:szCs w:val="24"/>
          <w:lang w:bidi="tr-TR"/>
        </w:rPr>
      </w:pPr>
      <w:r w:rsidRPr="004E7134">
        <w:rPr>
          <w:sz w:val="24"/>
          <w:szCs w:val="24"/>
          <w:lang w:bidi="tr-TR"/>
        </w:rPr>
        <w:t xml:space="preserve">(3) Bu Tebliğ </w:t>
      </w:r>
      <w:r w:rsidR="00BD3806" w:rsidRPr="004E7134">
        <w:rPr>
          <w:sz w:val="24"/>
          <w:szCs w:val="24"/>
          <w:lang w:bidi="tr-TR"/>
        </w:rPr>
        <w:t xml:space="preserve">Ek </w:t>
      </w:r>
      <w:r w:rsidR="00C11EF2" w:rsidRPr="004E7134">
        <w:rPr>
          <w:sz w:val="24"/>
          <w:szCs w:val="24"/>
          <w:lang w:bidi="tr-TR"/>
        </w:rPr>
        <w:t>7</w:t>
      </w:r>
      <w:r w:rsidR="00BD3806" w:rsidRPr="004E7134">
        <w:rPr>
          <w:sz w:val="24"/>
          <w:szCs w:val="24"/>
          <w:lang w:bidi="tr-TR"/>
        </w:rPr>
        <w:t xml:space="preserve"> özellikle aşağıdaki prosesleri ve faaliyetleri kapsar: </w:t>
      </w:r>
    </w:p>
    <w:p w14:paraId="0BA6802C" w14:textId="77777777" w:rsidR="00BD3806" w:rsidRPr="002C753D" w:rsidRDefault="00BD3806" w:rsidP="00A654AE">
      <w:pPr>
        <w:pStyle w:val="ListeParagraf"/>
        <w:widowControl w:val="0"/>
        <w:numPr>
          <w:ilvl w:val="1"/>
          <w:numId w:val="175"/>
        </w:numPr>
        <w:tabs>
          <w:tab w:val="left" w:pos="1685"/>
          <w:tab w:val="left" w:pos="1686"/>
        </w:tabs>
        <w:autoSpaceDE w:val="0"/>
        <w:autoSpaceDN w:val="0"/>
        <w:spacing w:line="276" w:lineRule="auto"/>
        <w:contextualSpacing w:val="0"/>
        <w:jc w:val="left"/>
        <w:rPr>
          <w:lang w:val="tr-TR"/>
        </w:rPr>
      </w:pPr>
      <w:r w:rsidRPr="002C753D">
        <w:rPr>
          <w:lang w:val="tr-TR"/>
        </w:rPr>
        <w:t>inorganik ihtisas pigmentleri</w:t>
      </w:r>
    </w:p>
    <w:p w14:paraId="0D8FCF82" w14:textId="77777777" w:rsidR="00BD3806" w:rsidRPr="002C753D" w:rsidRDefault="00BD3806" w:rsidP="00A654AE">
      <w:pPr>
        <w:pStyle w:val="ListeParagraf"/>
        <w:widowControl w:val="0"/>
        <w:numPr>
          <w:ilvl w:val="1"/>
          <w:numId w:val="175"/>
        </w:numPr>
        <w:tabs>
          <w:tab w:val="left" w:pos="1685"/>
          <w:tab w:val="left" w:pos="1686"/>
        </w:tabs>
        <w:autoSpaceDE w:val="0"/>
        <w:autoSpaceDN w:val="0"/>
        <w:spacing w:line="276" w:lineRule="auto"/>
        <w:contextualSpacing w:val="0"/>
        <w:jc w:val="left"/>
        <w:rPr>
          <w:lang w:val="tr-TR"/>
        </w:rPr>
      </w:pPr>
      <w:r w:rsidRPr="002C753D">
        <w:rPr>
          <w:lang w:val="tr-TR"/>
        </w:rPr>
        <w:t>silikonlar</w:t>
      </w:r>
    </w:p>
    <w:p w14:paraId="6118788E" w14:textId="77777777" w:rsidR="00BD3806" w:rsidRPr="002C753D" w:rsidRDefault="00BD3806" w:rsidP="00A654AE">
      <w:pPr>
        <w:pStyle w:val="ListeParagraf"/>
        <w:widowControl w:val="0"/>
        <w:numPr>
          <w:ilvl w:val="1"/>
          <w:numId w:val="175"/>
        </w:numPr>
        <w:tabs>
          <w:tab w:val="left" w:pos="1685"/>
          <w:tab w:val="left" w:pos="1686"/>
        </w:tabs>
        <w:autoSpaceDE w:val="0"/>
        <w:autoSpaceDN w:val="0"/>
        <w:spacing w:line="276" w:lineRule="auto"/>
        <w:contextualSpacing w:val="0"/>
        <w:jc w:val="left"/>
        <w:rPr>
          <w:lang w:val="tr-TR"/>
        </w:rPr>
      </w:pPr>
      <w:r w:rsidRPr="002C753D">
        <w:rPr>
          <w:lang w:val="tr-TR"/>
        </w:rPr>
        <w:t>fosfor bileşikleri (PCl</w:t>
      </w:r>
      <w:r w:rsidRPr="002C753D">
        <w:rPr>
          <w:vertAlign w:val="subscript"/>
          <w:lang w:val="tr-TR"/>
        </w:rPr>
        <w:t>3</w:t>
      </w:r>
      <w:r w:rsidRPr="002C753D">
        <w:rPr>
          <w:lang w:val="tr-TR"/>
        </w:rPr>
        <w:t>, POCl</w:t>
      </w:r>
      <w:r w:rsidRPr="002C753D">
        <w:rPr>
          <w:vertAlign w:val="subscript"/>
          <w:lang w:val="tr-TR"/>
        </w:rPr>
        <w:t>3</w:t>
      </w:r>
      <w:r w:rsidRPr="002C753D">
        <w:rPr>
          <w:lang w:val="tr-TR"/>
        </w:rPr>
        <w:t>, PCl</w:t>
      </w:r>
      <w:r w:rsidRPr="002C753D">
        <w:rPr>
          <w:vertAlign w:val="subscript"/>
          <w:lang w:val="tr-TR"/>
        </w:rPr>
        <w:t>5</w:t>
      </w:r>
      <w:r w:rsidRPr="002C753D">
        <w:rPr>
          <w:lang w:val="tr-TR"/>
        </w:rPr>
        <w:t>)</w:t>
      </w:r>
    </w:p>
    <w:p w14:paraId="02D5C09F" w14:textId="77777777" w:rsidR="00BD3806" w:rsidRPr="002C753D" w:rsidRDefault="00BD3806" w:rsidP="00A654AE">
      <w:pPr>
        <w:pStyle w:val="ListeParagraf"/>
        <w:widowControl w:val="0"/>
        <w:numPr>
          <w:ilvl w:val="1"/>
          <w:numId w:val="175"/>
        </w:numPr>
        <w:tabs>
          <w:tab w:val="left" w:pos="1685"/>
          <w:tab w:val="left" w:pos="1686"/>
        </w:tabs>
        <w:autoSpaceDE w:val="0"/>
        <w:autoSpaceDN w:val="0"/>
        <w:spacing w:line="276" w:lineRule="auto"/>
        <w:contextualSpacing w:val="0"/>
        <w:jc w:val="left"/>
        <w:rPr>
          <w:lang w:val="tr-TR"/>
        </w:rPr>
      </w:pPr>
      <w:r w:rsidRPr="002C753D">
        <w:rPr>
          <w:lang w:val="tr-TR"/>
        </w:rPr>
        <w:t>inorganik patlayıcılar</w:t>
      </w:r>
    </w:p>
    <w:p w14:paraId="5D4B4FDA" w14:textId="77777777" w:rsidR="00BD3806" w:rsidRPr="002C753D" w:rsidRDefault="00BD3806" w:rsidP="00A654AE">
      <w:pPr>
        <w:pStyle w:val="ListeParagraf"/>
        <w:widowControl w:val="0"/>
        <w:numPr>
          <w:ilvl w:val="1"/>
          <w:numId w:val="175"/>
        </w:numPr>
        <w:tabs>
          <w:tab w:val="left" w:pos="1685"/>
          <w:tab w:val="left" w:pos="1686"/>
        </w:tabs>
        <w:autoSpaceDE w:val="0"/>
        <w:autoSpaceDN w:val="0"/>
        <w:spacing w:line="276" w:lineRule="auto"/>
        <w:contextualSpacing w:val="0"/>
        <w:jc w:val="left"/>
        <w:rPr>
          <w:lang w:val="tr-TR"/>
        </w:rPr>
      </w:pPr>
      <w:r w:rsidRPr="002C753D">
        <w:rPr>
          <w:lang w:val="tr-TR"/>
        </w:rPr>
        <w:t>siyanürler (NaCN, KCN)</w:t>
      </w:r>
    </w:p>
    <w:p w14:paraId="2D4351F7" w14:textId="77777777" w:rsidR="00BD3806" w:rsidRPr="002C753D" w:rsidRDefault="00BD3806" w:rsidP="00A654AE">
      <w:pPr>
        <w:pStyle w:val="ListeParagraf"/>
        <w:widowControl w:val="0"/>
        <w:numPr>
          <w:ilvl w:val="1"/>
          <w:numId w:val="175"/>
        </w:numPr>
        <w:tabs>
          <w:tab w:val="left" w:pos="1685"/>
          <w:tab w:val="left" w:pos="1686"/>
        </w:tabs>
        <w:autoSpaceDE w:val="0"/>
        <w:autoSpaceDN w:val="0"/>
        <w:spacing w:line="276" w:lineRule="auto"/>
        <w:contextualSpacing w:val="0"/>
        <w:jc w:val="left"/>
        <w:rPr>
          <w:lang w:val="tr-TR"/>
        </w:rPr>
      </w:pPr>
      <w:r w:rsidRPr="002C753D">
        <w:rPr>
          <w:lang w:val="tr-TR"/>
        </w:rPr>
        <w:t>çözünebilir inorganik nikel tuzları (NiSO</w:t>
      </w:r>
      <w:r w:rsidRPr="002C753D">
        <w:rPr>
          <w:vertAlign w:val="subscript"/>
          <w:lang w:val="tr-TR"/>
        </w:rPr>
        <w:t>4</w:t>
      </w:r>
      <w:r w:rsidRPr="002C753D">
        <w:rPr>
          <w:lang w:val="tr-TR"/>
        </w:rPr>
        <w:t>, NiCl</w:t>
      </w:r>
      <w:r w:rsidRPr="002C753D">
        <w:rPr>
          <w:vertAlign w:val="subscript"/>
          <w:lang w:val="tr-TR"/>
        </w:rPr>
        <w:t>2</w:t>
      </w:r>
      <w:r w:rsidRPr="002C753D">
        <w:rPr>
          <w:lang w:val="tr-TR"/>
        </w:rPr>
        <w:t>, NiCO</w:t>
      </w:r>
      <w:r w:rsidRPr="002C753D">
        <w:rPr>
          <w:vertAlign w:val="subscript"/>
          <w:lang w:val="tr-TR"/>
        </w:rPr>
        <w:t>3</w:t>
      </w:r>
      <w:r w:rsidRPr="002C753D">
        <w:rPr>
          <w:lang w:val="tr-TR"/>
        </w:rPr>
        <w:t>, Ni(NO</w:t>
      </w:r>
      <w:r w:rsidRPr="002C753D">
        <w:rPr>
          <w:vertAlign w:val="subscript"/>
          <w:lang w:val="tr-TR"/>
        </w:rPr>
        <w:t>3</w:t>
      </w:r>
      <w:r w:rsidRPr="002C753D">
        <w:rPr>
          <w:lang w:val="tr-TR"/>
        </w:rPr>
        <w:t>)</w:t>
      </w:r>
      <w:r w:rsidRPr="002C753D">
        <w:rPr>
          <w:vertAlign w:val="subscript"/>
          <w:lang w:val="tr-TR"/>
        </w:rPr>
        <w:t>2</w:t>
      </w:r>
      <w:r w:rsidRPr="002C753D">
        <w:rPr>
          <w:lang w:val="tr-TR"/>
        </w:rPr>
        <w:t>).</w:t>
      </w:r>
    </w:p>
    <w:p w14:paraId="0AAC2D34" w14:textId="77777777" w:rsidR="00BD3806" w:rsidRPr="009A6E16" w:rsidRDefault="00BD3806" w:rsidP="000B206D">
      <w:pPr>
        <w:spacing w:before="15" w:line="276" w:lineRule="auto"/>
        <w:rPr>
          <w:szCs w:val="24"/>
        </w:rPr>
      </w:pPr>
    </w:p>
    <w:p w14:paraId="0A4EC769" w14:textId="77777777" w:rsidR="00BD3806" w:rsidRPr="00931B85" w:rsidRDefault="00BD3806" w:rsidP="000B206D">
      <w:pPr>
        <w:pStyle w:val="Balk1"/>
        <w:numPr>
          <w:ilvl w:val="0"/>
          <w:numId w:val="0"/>
        </w:numPr>
        <w:spacing w:line="276" w:lineRule="auto"/>
        <w:ind w:left="432" w:hanging="432"/>
        <w:rPr>
          <w:b w:val="0"/>
          <w:szCs w:val="24"/>
        </w:rPr>
      </w:pPr>
      <w:r w:rsidRPr="00931B85">
        <w:rPr>
          <w:szCs w:val="24"/>
        </w:rPr>
        <w:t>Özel İnorganik Kimyasallar ile İlişkili Diğer Tebliğler ve Dokümanlar</w:t>
      </w:r>
    </w:p>
    <w:p w14:paraId="0B44BE5F" w14:textId="074B7344" w:rsidR="00BD3806" w:rsidRPr="00931B85" w:rsidRDefault="00BD3806" w:rsidP="000B206D">
      <w:pPr>
        <w:pStyle w:val="GvdeMetni"/>
        <w:spacing w:after="120" w:line="276" w:lineRule="auto"/>
        <w:rPr>
          <w:b/>
          <w:sz w:val="24"/>
          <w:szCs w:val="24"/>
        </w:rPr>
      </w:pPr>
      <w:r w:rsidRPr="00931B85">
        <w:rPr>
          <w:b/>
          <w:sz w:val="24"/>
          <w:szCs w:val="24"/>
        </w:rPr>
        <w:t>MADDE- 1</w:t>
      </w:r>
      <w:r w:rsidR="00B020E7">
        <w:rPr>
          <w:b/>
          <w:sz w:val="24"/>
          <w:szCs w:val="24"/>
        </w:rPr>
        <w:t>8</w:t>
      </w:r>
      <w:r w:rsidRPr="00931B85">
        <w:rPr>
          <w:b/>
          <w:sz w:val="24"/>
          <w:szCs w:val="24"/>
        </w:rPr>
        <w:t xml:space="preserve"> (1) </w:t>
      </w:r>
      <w:r>
        <w:rPr>
          <w:sz w:val="24"/>
          <w:szCs w:val="24"/>
        </w:rPr>
        <w:t xml:space="preserve">Bu Tebliğ Ek </w:t>
      </w:r>
      <w:r w:rsidR="00AA5D20">
        <w:rPr>
          <w:sz w:val="24"/>
          <w:szCs w:val="24"/>
        </w:rPr>
        <w:t>7</w:t>
      </w:r>
      <w:r>
        <w:rPr>
          <w:sz w:val="24"/>
          <w:szCs w:val="24"/>
        </w:rPr>
        <w:t xml:space="preserve"> </w:t>
      </w:r>
      <w:r w:rsidRPr="00931B85">
        <w:rPr>
          <w:sz w:val="24"/>
          <w:szCs w:val="24"/>
        </w:rPr>
        <w:t>kapsamına giren tesislerin Sanayide Yeşil Dönüşüm Belgelendirme sürecinde aşağıdaki tebliğlerin ilgili hükümlerinin de sağlanması esastır.</w:t>
      </w:r>
    </w:p>
    <w:p w14:paraId="6747F0F7" w14:textId="77777777" w:rsidR="00BD3806" w:rsidRPr="00931B85" w:rsidRDefault="00BD3806" w:rsidP="00A654AE">
      <w:pPr>
        <w:pStyle w:val="GvdeMetni"/>
        <w:numPr>
          <w:ilvl w:val="0"/>
          <w:numId w:val="195"/>
        </w:numPr>
        <w:spacing w:after="120" w:line="276" w:lineRule="auto"/>
        <w:rPr>
          <w:szCs w:val="24"/>
        </w:rPr>
      </w:pPr>
      <w:r w:rsidRPr="00931B85">
        <w:rPr>
          <w:sz w:val="24"/>
          <w:szCs w:val="24"/>
        </w:rPr>
        <w:t>Kimyasal Sektöründe Ortak Atık Su/Atık Gaz Arıtma/Yönetim Sistemleri (CWW);</w:t>
      </w:r>
    </w:p>
    <w:p w14:paraId="4DF4253F" w14:textId="77777777" w:rsidR="00BD3806" w:rsidRDefault="00BD3806" w:rsidP="00A654AE">
      <w:pPr>
        <w:pStyle w:val="GvdeMetni"/>
        <w:numPr>
          <w:ilvl w:val="0"/>
          <w:numId w:val="195"/>
        </w:numPr>
        <w:spacing w:after="120" w:line="276" w:lineRule="auto"/>
        <w:rPr>
          <w:sz w:val="24"/>
          <w:szCs w:val="24"/>
        </w:rPr>
      </w:pPr>
      <w:r w:rsidRPr="00931B85">
        <w:rPr>
          <w:sz w:val="24"/>
          <w:szCs w:val="24"/>
        </w:rPr>
        <w:t>Kimya Sektöründe Ortak Atık Gaz Arıtma (WGC).</w:t>
      </w:r>
    </w:p>
    <w:p w14:paraId="2A45C2D8" w14:textId="77777777" w:rsidR="00BD3806" w:rsidRDefault="00BD3806" w:rsidP="00A654AE">
      <w:pPr>
        <w:pStyle w:val="GvdeMetni"/>
        <w:numPr>
          <w:ilvl w:val="0"/>
          <w:numId w:val="195"/>
        </w:numPr>
        <w:spacing w:after="120" w:line="276" w:lineRule="auto"/>
        <w:rPr>
          <w:sz w:val="24"/>
          <w:szCs w:val="24"/>
        </w:rPr>
      </w:pPr>
      <w:r w:rsidRPr="004662B0">
        <w:rPr>
          <w:sz w:val="24"/>
          <w:szCs w:val="24"/>
        </w:rPr>
        <w:t>Depolama Emisyonları</w:t>
      </w:r>
    </w:p>
    <w:p w14:paraId="5150B3F5" w14:textId="77777777" w:rsidR="00BD3806" w:rsidRPr="00931B85" w:rsidRDefault="00BD3806" w:rsidP="00A654AE">
      <w:pPr>
        <w:pStyle w:val="GvdeMetni"/>
        <w:numPr>
          <w:ilvl w:val="0"/>
          <w:numId w:val="195"/>
        </w:numPr>
        <w:spacing w:after="120" w:line="276" w:lineRule="auto"/>
        <w:rPr>
          <w:sz w:val="24"/>
          <w:szCs w:val="24"/>
        </w:rPr>
      </w:pPr>
      <w:r w:rsidRPr="004662B0">
        <w:rPr>
          <w:sz w:val="24"/>
          <w:szCs w:val="24"/>
        </w:rPr>
        <w:t>Büyük Yakma Tesisleri</w:t>
      </w:r>
    </w:p>
    <w:p w14:paraId="20148F87" w14:textId="6C780516" w:rsidR="00BD3806" w:rsidRPr="00931B85" w:rsidRDefault="00BD3806" w:rsidP="00A654AE">
      <w:pPr>
        <w:pStyle w:val="GvdeMetni"/>
        <w:numPr>
          <w:ilvl w:val="0"/>
          <w:numId w:val="185"/>
        </w:numPr>
        <w:spacing w:after="120" w:line="276" w:lineRule="auto"/>
        <w:jc w:val="both"/>
        <w:rPr>
          <w:sz w:val="24"/>
          <w:szCs w:val="24"/>
        </w:rPr>
      </w:pPr>
      <w:r>
        <w:rPr>
          <w:sz w:val="24"/>
          <w:szCs w:val="24"/>
        </w:rPr>
        <w:t>Bu Te</w:t>
      </w:r>
      <w:r w:rsidRPr="00931B85">
        <w:rPr>
          <w:sz w:val="24"/>
          <w:szCs w:val="24"/>
        </w:rPr>
        <w:t xml:space="preserve">bliğ </w:t>
      </w:r>
      <w:r>
        <w:rPr>
          <w:sz w:val="24"/>
          <w:szCs w:val="24"/>
        </w:rPr>
        <w:t xml:space="preserve">EK </w:t>
      </w:r>
      <w:r w:rsidR="00AA5D20">
        <w:rPr>
          <w:sz w:val="24"/>
          <w:szCs w:val="24"/>
        </w:rPr>
        <w:t>7</w:t>
      </w:r>
      <w:r w:rsidRPr="00931B85">
        <w:rPr>
          <w:sz w:val="24"/>
          <w:szCs w:val="24"/>
        </w:rPr>
        <w:t xml:space="preserve"> kapsamına giren tesislerin Sanayide Yeşil Dönüşüm Belgelendirme sürecinde ilave değerlendirme gerekmesi halinde aşağıdaki rehber dokümanlardan da yararlanılabilir.  </w:t>
      </w:r>
    </w:p>
    <w:p w14:paraId="4FD2F97F" w14:textId="77777777" w:rsidR="00BD3806" w:rsidRPr="004662B0" w:rsidRDefault="00BD3806" w:rsidP="00A654AE">
      <w:pPr>
        <w:pStyle w:val="GvdeMetni"/>
        <w:numPr>
          <w:ilvl w:val="0"/>
          <w:numId w:val="196"/>
        </w:numPr>
        <w:spacing w:after="120" w:line="276" w:lineRule="auto"/>
        <w:rPr>
          <w:sz w:val="24"/>
          <w:szCs w:val="24"/>
        </w:rPr>
      </w:pPr>
      <w:r w:rsidRPr="004662B0">
        <w:rPr>
          <w:sz w:val="24"/>
          <w:szCs w:val="24"/>
        </w:rPr>
        <w:t xml:space="preserve">Kimya Sektöründeki Ortak Atık Su ve Atık Gaz Arıtma/Yönetim Sistemleri </w:t>
      </w:r>
    </w:p>
    <w:p w14:paraId="6BBA539A" w14:textId="77777777" w:rsidR="00BD3806" w:rsidRPr="004662B0" w:rsidRDefault="00BD3806" w:rsidP="00A654AE">
      <w:pPr>
        <w:pStyle w:val="GvdeMetni"/>
        <w:numPr>
          <w:ilvl w:val="0"/>
          <w:numId w:val="196"/>
        </w:numPr>
        <w:spacing w:after="120" w:line="276" w:lineRule="auto"/>
        <w:rPr>
          <w:sz w:val="24"/>
          <w:szCs w:val="24"/>
        </w:rPr>
      </w:pPr>
      <w:r w:rsidRPr="004662B0">
        <w:rPr>
          <w:sz w:val="24"/>
          <w:szCs w:val="24"/>
        </w:rPr>
        <w:t xml:space="preserve">Endüstriyel Soğutma Sistemleri </w:t>
      </w:r>
    </w:p>
    <w:p w14:paraId="66262C4F" w14:textId="77777777" w:rsidR="00BD3806" w:rsidRPr="004662B0" w:rsidRDefault="00BD3806" w:rsidP="00A654AE">
      <w:pPr>
        <w:pStyle w:val="GvdeMetni"/>
        <w:numPr>
          <w:ilvl w:val="0"/>
          <w:numId w:val="196"/>
        </w:numPr>
        <w:spacing w:after="120" w:line="276" w:lineRule="auto"/>
        <w:rPr>
          <w:sz w:val="24"/>
          <w:szCs w:val="24"/>
        </w:rPr>
      </w:pPr>
      <w:r w:rsidRPr="004662B0">
        <w:rPr>
          <w:sz w:val="24"/>
          <w:szCs w:val="24"/>
        </w:rPr>
        <w:t xml:space="preserve">Emisyonların İzlenmesi </w:t>
      </w:r>
    </w:p>
    <w:p w14:paraId="617ECC28" w14:textId="77777777" w:rsidR="00BD3806" w:rsidRPr="004662B0" w:rsidRDefault="00BD3806" w:rsidP="00A654AE">
      <w:pPr>
        <w:pStyle w:val="GvdeMetni"/>
        <w:numPr>
          <w:ilvl w:val="0"/>
          <w:numId w:val="196"/>
        </w:numPr>
        <w:spacing w:after="120" w:line="276" w:lineRule="auto"/>
        <w:rPr>
          <w:sz w:val="24"/>
          <w:szCs w:val="24"/>
        </w:rPr>
      </w:pPr>
      <w:r w:rsidRPr="004662B0">
        <w:rPr>
          <w:sz w:val="24"/>
          <w:szCs w:val="24"/>
        </w:rPr>
        <w:t xml:space="preserve">Ekonomi ve Çapraz-Medya Etkileri </w:t>
      </w:r>
    </w:p>
    <w:p w14:paraId="586B053A" w14:textId="77777777" w:rsidR="00BD3806" w:rsidRPr="004662B0" w:rsidRDefault="00BD3806" w:rsidP="00A654AE">
      <w:pPr>
        <w:pStyle w:val="GvdeMetni"/>
        <w:numPr>
          <w:ilvl w:val="0"/>
          <w:numId w:val="196"/>
        </w:numPr>
        <w:spacing w:after="120" w:line="276" w:lineRule="auto"/>
        <w:rPr>
          <w:sz w:val="24"/>
          <w:szCs w:val="24"/>
        </w:rPr>
      </w:pPr>
      <w:r w:rsidRPr="004662B0">
        <w:rPr>
          <w:sz w:val="24"/>
          <w:szCs w:val="24"/>
        </w:rPr>
        <w:t xml:space="preserve">Atık Yakma </w:t>
      </w:r>
    </w:p>
    <w:p w14:paraId="1CB47516" w14:textId="77777777" w:rsidR="00BD3806" w:rsidRPr="004662B0" w:rsidRDefault="00BD3806" w:rsidP="00A654AE">
      <w:pPr>
        <w:pStyle w:val="GvdeMetni"/>
        <w:numPr>
          <w:ilvl w:val="0"/>
          <w:numId w:val="196"/>
        </w:numPr>
        <w:spacing w:after="120" w:line="276" w:lineRule="auto"/>
        <w:rPr>
          <w:sz w:val="24"/>
          <w:szCs w:val="24"/>
        </w:rPr>
      </w:pPr>
      <w:r w:rsidRPr="004662B0">
        <w:rPr>
          <w:sz w:val="24"/>
          <w:szCs w:val="24"/>
        </w:rPr>
        <w:t xml:space="preserve">Atık </w:t>
      </w:r>
      <w:r>
        <w:rPr>
          <w:sz w:val="24"/>
          <w:szCs w:val="24"/>
        </w:rPr>
        <w:t>İşleme</w:t>
      </w:r>
    </w:p>
    <w:p w14:paraId="7FBB5E8F" w14:textId="1C5251A9" w:rsidR="00A52778" w:rsidRPr="00A52778" w:rsidRDefault="00A52778" w:rsidP="00A52778">
      <w:pPr>
        <w:spacing w:line="276" w:lineRule="auto"/>
        <w:rPr>
          <w:rFonts w:cs="Times New Roman"/>
          <w:b/>
          <w:szCs w:val="24"/>
        </w:rPr>
      </w:pPr>
      <w:r w:rsidRPr="00A52778">
        <w:rPr>
          <w:rFonts w:cs="Times New Roman"/>
          <w:b/>
          <w:szCs w:val="24"/>
        </w:rPr>
        <w:t>Kimya Sektöründe Yaygin Atik Gaz Yönetimi Ve Aritma Sistemleri İçin Mevcut En İyi Teknikler</w:t>
      </w:r>
    </w:p>
    <w:p w14:paraId="1E52E043" w14:textId="6ED43D28" w:rsidR="007B1B69" w:rsidRDefault="00A52778" w:rsidP="00A52778">
      <w:pPr>
        <w:spacing w:line="276" w:lineRule="auto"/>
        <w:rPr>
          <w:rFonts w:cs="Times New Roman"/>
          <w:szCs w:val="24"/>
        </w:rPr>
      </w:pPr>
      <w:r w:rsidRPr="00A52778">
        <w:rPr>
          <w:rFonts w:cs="Times New Roman"/>
          <w:b/>
          <w:szCs w:val="24"/>
        </w:rPr>
        <w:t>MADDE- 19</w:t>
      </w:r>
      <w:r w:rsidRPr="00A52778">
        <w:rPr>
          <w:rFonts w:cs="Times New Roman"/>
          <w:szCs w:val="24"/>
        </w:rPr>
        <w:t xml:space="preserve"> (1) </w:t>
      </w:r>
      <w:r>
        <w:rPr>
          <w:rFonts w:cs="Times New Roman"/>
          <w:szCs w:val="24"/>
        </w:rPr>
        <w:t xml:space="preserve">Yönetmelik Ek 1 4. Kimya Sektörü için ortak mevcut en iyi teknikler bu Tebliğ Ek 8’de </w:t>
      </w:r>
      <w:r w:rsidRPr="00A52778">
        <w:rPr>
          <w:rFonts w:cs="Times New Roman"/>
          <w:szCs w:val="24"/>
        </w:rPr>
        <w:t xml:space="preserve">Kimya Sektöründe </w:t>
      </w:r>
      <w:r>
        <w:rPr>
          <w:rFonts w:cs="Times New Roman"/>
          <w:szCs w:val="24"/>
        </w:rPr>
        <w:t>Ortak</w:t>
      </w:r>
      <w:r w:rsidRPr="00A52778">
        <w:rPr>
          <w:rFonts w:cs="Times New Roman"/>
          <w:szCs w:val="24"/>
        </w:rPr>
        <w:t xml:space="preserve"> At</w:t>
      </w:r>
      <w:r>
        <w:rPr>
          <w:rFonts w:cs="Times New Roman"/>
          <w:szCs w:val="24"/>
        </w:rPr>
        <w:t>ı</w:t>
      </w:r>
      <w:r w:rsidRPr="00A52778">
        <w:rPr>
          <w:rFonts w:cs="Times New Roman"/>
          <w:szCs w:val="24"/>
        </w:rPr>
        <w:t>k Gaz Yönetimi Ve Ar</w:t>
      </w:r>
      <w:r>
        <w:rPr>
          <w:rFonts w:cs="Times New Roman"/>
          <w:szCs w:val="24"/>
        </w:rPr>
        <w:t>ı</w:t>
      </w:r>
      <w:r w:rsidRPr="00A52778">
        <w:rPr>
          <w:rFonts w:cs="Times New Roman"/>
          <w:szCs w:val="24"/>
        </w:rPr>
        <w:t>tma Sistemleri</w:t>
      </w:r>
      <w:r>
        <w:rPr>
          <w:rFonts w:cs="Times New Roman"/>
          <w:szCs w:val="24"/>
        </w:rPr>
        <w:t xml:space="preserve"> İçin Mevcut En İyi Teknikler olarak yer almaktadır. </w:t>
      </w:r>
    </w:p>
    <w:p w14:paraId="020F25A4" w14:textId="77777777" w:rsidR="00A52778" w:rsidRPr="00F50C10" w:rsidRDefault="00A52778" w:rsidP="00A52778">
      <w:pPr>
        <w:spacing w:line="276" w:lineRule="auto"/>
        <w:rPr>
          <w:rFonts w:cs="Times New Roman"/>
          <w:szCs w:val="24"/>
        </w:rPr>
      </w:pPr>
    </w:p>
    <w:p w14:paraId="6C722AC7" w14:textId="77777777" w:rsidR="007B1B69" w:rsidRPr="00F50C10" w:rsidRDefault="007B1B69" w:rsidP="000B206D">
      <w:pPr>
        <w:pStyle w:val="ResimYazs"/>
        <w:spacing w:after="120" w:line="276" w:lineRule="auto"/>
        <w:jc w:val="center"/>
        <w:rPr>
          <w:rFonts w:cs="Times New Roman"/>
          <w:szCs w:val="24"/>
        </w:rPr>
      </w:pPr>
      <w:r w:rsidRPr="00F50C10">
        <w:rPr>
          <w:rFonts w:cs="Times New Roman"/>
          <w:szCs w:val="24"/>
        </w:rPr>
        <w:t>DÖRDÜNCÜ</w:t>
      </w:r>
      <w:r w:rsidRPr="00F50C10">
        <w:rPr>
          <w:rFonts w:cs="Times New Roman"/>
          <w:spacing w:val="-4"/>
          <w:szCs w:val="24"/>
        </w:rPr>
        <w:t xml:space="preserve"> </w:t>
      </w:r>
      <w:r w:rsidRPr="00F50C10">
        <w:rPr>
          <w:rFonts w:cs="Times New Roman"/>
          <w:szCs w:val="24"/>
        </w:rPr>
        <w:t>BÖLÜM</w:t>
      </w:r>
    </w:p>
    <w:p w14:paraId="72DFF639" w14:textId="545247C6" w:rsidR="007B1B69" w:rsidRPr="00F50C10" w:rsidRDefault="007B1B69" w:rsidP="000B206D">
      <w:pPr>
        <w:pStyle w:val="Balk1"/>
        <w:numPr>
          <w:ilvl w:val="0"/>
          <w:numId w:val="0"/>
        </w:numPr>
        <w:spacing w:after="120" w:line="276" w:lineRule="auto"/>
        <w:jc w:val="center"/>
        <w:rPr>
          <w:rFonts w:cs="Times New Roman"/>
          <w:szCs w:val="24"/>
        </w:rPr>
      </w:pPr>
      <w:r w:rsidRPr="00F50C10">
        <w:rPr>
          <w:rFonts w:cs="Times New Roman"/>
          <w:szCs w:val="24"/>
        </w:rPr>
        <w:t>Çeşitli</w:t>
      </w:r>
      <w:r w:rsidRPr="00F50C10">
        <w:rPr>
          <w:rFonts w:cs="Times New Roman"/>
          <w:spacing w:val="-3"/>
          <w:szCs w:val="24"/>
        </w:rPr>
        <w:t xml:space="preserve"> </w:t>
      </w:r>
      <w:r w:rsidRPr="00F50C10">
        <w:rPr>
          <w:rFonts w:cs="Times New Roman"/>
          <w:szCs w:val="24"/>
        </w:rPr>
        <w:t>ve</w:t>
      </w:r>
      <w:r w:rsidRPr="00F50C10">
        <w:rPr>
          <w:rFonts w:cs="Times New Roman"/>
          <w:spacing w:val="-1"/>
          <w:szCs w:val="24"/>
        </w:rPr>
        <w:t xml:space="preserve"> </w:t>
      </w:r>
      <w:r w:rsidRPr="00F50C10">
        <w:rPr>
          <w:rFonts w:cs="Times New Roman"/>
          <w:szCs w:val="24"/>
        </w:rPr>
        <w:t>Son</w:t>
      </w:r>
      <w:r w:rsidRPr="00F50C10">
        <w:rPr>
          <w:rFonts w:cs="Times New Roman"/>
          <w:spacing w:val="-3"/>
          <w:szCs w:val="24"/>
        </w:rPr>
        <w:t xml:space="preserve"> </w:t>
      </w:r>
      <w:r w:rsidRPr="00F50C10">
        <w:rPr>
          <w:rFonts w:cs="Times New Roman"/>
          <w:szCs w:val="24"/>
        </w:rPr>
        <w:t>Hükümler</w:t>
      </w:r>
    </w:p>
    <w:p w14:paraId="05A75193" w14:textId="77777777" w:rsidR="006E1E93" w:rsidRPr="00F50C10" w:rsidRDefault="006E1E93" w:rsidP="000B206D">
      <w:pPr>
        <w:spacing w:line="276" w:lineRule="auto"/>
        <w:rPr>
          <w:rFonts w:cs="Times New Roman"/>
          <w:b/>
          <w:szCs w:val="24"/>
        </w:rPr>
      </w:pPr>
      <w:r w:rsidRPr="00F50C10">
        <w:rPr>
          <w:rFonts w:cs="Times New Roman"/>
          <w:b/>
          <w:szCs w:val="24"/>
        </w:rPr>
        <w:t xml:space="preserve">İdari yaptırımlar </w:t>
      </w:r>
    </w:p>
    <w:p w14:paraId="6D6F3886" w14:textId="173AC182" w:rsidR="000F2ABD" w:rsidRPr="00F50C10" w:rsidRDefault="00FA74EB" w:rsidP="000B206D">
      <w:pPr>
        <w:spacing w:line="276" w:lineRule="auto"/>
        <w:rPr>
          <w:rFonts w:cs="Times New Roman"/>
          <w:szCs w:val="24"/>
        </w:rPr>
      </w:pPr>
      <w:r w:rsidRPr="00F50C10">
        <w:rPr>
          <w:rFonts w:cs="Times New Roman"/>
          <w:b/>
          <w:szCs w:val="24"/>
        </w:rPr>
        <w:t xml:space="preserve">MADDE </w:t>
      </w:r>
      <w:r w:rsidR="00A52778">
        <w:rPr>
          <w:rFonts w:cs="Times New Roman"/>
          <w:b/>
          <w:szCs w:val="24"/>
        </w:rPr>
        <w:t>20</w:t>
      </w:r>
      <w:r w:rsidR="006E1E93" w:rsidRPr="00F50C10">
        <w:rPr>
          <w:rFonts w:cs="Times New Roman"/>
          <w:b/>
          <w:szCs w:val="24"/>
        </w:rPr>
        <w:t>-</w:t>
      </w:r>
      <w:r w:rsidR="006E1E93" w:rsidRPr="00F50C10">
        <w:rPr>
          <w:rFonts w:cs="Times New Roman"/>
          <w:szCs w:val="24"/>
        </w:rPr>
        <w:t xml:space="preserve"> (1) Bu </w:t>
      </w:r>
      <w:r w:rsidR="000F2ABD" w:rsidRPr="00F50C10">
        <w:rPr>
          <w:rFonts w:cs="Times New Roman"/>
          <w:szCs w:val="24"/>
        </w:rPr>
        <w:t>Tebliğ</w:t>
      </w:r>
      <w:r w:rsidR="006E1E93" w:rsidRPr="00F50C10">
        <w:rPr>
          <w:rFonts w:cs="Times New Roman"/>
          <w:szCs w:val="24"/>
        </w:rPr>
        <w:t xml:space="preserve"> hükümlerine aykırı hareket eden işletmeler hakkında 2872 sayılı Kanunun 20 nci maddesinde yer alan idari yaptırımlar uygulanır. </w:t>
      </w:r>
    </w:p>
    <w:p w14:paraId="03F59B87" w14:textId="732BABEB" w:rsidR="006E1E93" w:rsidRPr="00F50C10" w:rsidRDefault="006E1E93" w:rsidP="000B206D">
      <w:pPr>
        <w:spacing w:line="276" w:lineRule="auto"/>
        <w:rPr>
          <w:rFonts w:cs="Times New Roman"/>
          <w:b/>
          <w:szCs w:val="24"/>
        </w:rPr>
      </w:pPr>
      <w:r w:rsidRPr="00F50C10">
        <w:rPr>
          <w:rFonts w:cs="Times New Roman"/>
          <w:b/>
          <w:szCs w:val="24"/>
        </w:rPr>
        <w:t>Tereddütlerin giderilmesi</w:t>
      </w:r>
    </w:p>
    <w:p w14:paraId="2644B7CD" w14:textId="591D0C21" w:rsidR="006E1E93" w:rsidRPr="00F50C10" w:rsidRDefault="006E1E93" w:rsidP="000B206D">
      <w:pPr>
        <w:spacing w:line="276" w:lineRule="auto"/>
        <w:rPr>
          <w:rFonts w:cs="Times New Roman"/>
          <w:szCs w:val="24"/>
        </w:rPr>
      </w:pPr>
      <w:r w:rsidRPr="00F50C10">
        <w:rPr>
          <w:rFonts w:cs="Times New Roman"/>
          <w:b/>
          <w:szCs w:val="24"/>
        </w:rPr>
        <w:t xml:space="preserve">MADDE </w:t>
      </w:r>
      <w:r w:rsidR="00B020E7">
        <w:rPr>
          <w:rFonts w:cs="Times New Roman"/>
          <w:b/>
          <w:szCs w:val="24"/>
        </w:rPr>
        <w:t>2</w:t>
      </w:r>
      <w:r w:rsidR="00A52778">
        <w:rPr>
          <w:rFonts w:cs="Times New Roman"/>
          <w:b/>
          <w:szCs w:val="24"/>
        </w:rPr>
        <w:t>1</w:t>
      </w:r>
      <w:r w:rsidRPr="00F50C10">
        <w:rPr>
          <w:rFonts w:cs="Times New Roman"/>
          <w:b/>
          <w:szCs w:val="24"/>
        </w:rPr>
        <w:t>-</w:t>
      </w:r>
      <w:r w:rsidRPr="00F50C10">
        <w:rPr>
          <w:rFonts w:cs="Times New Roman"/>
          <w:szCs w:val="24"/>
        </w:rPr>
        <w:t xml:space="preserve"> (1) Bakanlık; bu </w:t>
      </w:r>
      <w:r w:rsidR="000F2ABD" w:rsidRPr="00F50C10">
        <w:rPr>
          <w:rFonts w:cs="Times New Roman"/>
          <w:szCs w:val="24"/>
        </w:rPr>
        <w:t>Tebliğin</w:t>
      </w:r>
      <w:r w:rsidRPr="00F50C10">
        <w:rPr>
          <w:rFonts w:cs="Times New Roman"/>
          <w:szCs w:val="24"/>
        </w:rPr>
        <w:t xml:space="preserve"> uygulanması ile ilgili tereddütleri gidermeye, uygulamayı düzenlemeye ve bu </w:t>
      </w:r>
      <w:r w:rsidR="000F2ABD" w:rsidRPr="00F50C10">
        <w:rPr>
          <w:rFonts w:cs="Times New Roman"/>
          <w:szCs w:val="24"/>
        </w:rPr>
        <w:t>Tebliğin</w:t>
      </w:r>
      <w:r w:rsidRPr="00F50C10">
        <w:rPr>
          <w:rFonts w:cs="Times New Roman"/>
          <w:szCs w:val="24"/>
        </w:rPr>
        <w:t xml:space="preserve"> uygulanmasını sağlamak üzere kılavuzlar, rehberler ve alt düzenleyici işlemler yapmaya yetkilidir. </w:t>
      </w:r>
    </w:p>
    <w:p w14:paraId="3A28E83C" w14:textId="4E62257B" w:rsidR="006E1E93" w:rsidRPr="00F50C10" w:rsidRDefault="006E1E93" w:rsidP="000B206D">
      <w:pPr>
        <w:spacing w:line="276" w:lineRule="auto"/>
        <w:rPr>
          <w:rFonts w:cs="Times New Roman"/>
          <w:b/>
          <w:szCs w:val="24"/>
        </w:rPr>
      </w:pPr>
      <w:r w:rsidRPr="00F50C10">
        <w:rPr>
          <w:rFonts w:cs="Times New Roman"/>
          <w:b/>
          <w:szCs w:val="24"/>
        </w:rPr>
        <w:t xml:space="preserve">Avrupa Birliği mevzuatına uyum </w:t>
      </w:r>
    </w:p>
    <w:p w14:paraId="0D1F3459" w14:textId="768052DE" w:rsidR="006E1E93" w:rsidRPr="00F50C10" w:rsidRDefault="006E1E93" w:rsidP="000B206D">
      <w:pPr>
        <w:spacing w:line="276" w:lineRule="auto"/>
        <w:rPr>
          <w:rFonts w:cs="Times New Roman"/>
          <w:szCs w:val="24"/>
        </w:rPr>
      </w:pPr>
      <w:r w:rsidRPr="00F50C10">
        <w:rPr>
          <w:rFonts w:cs="Times New Roman"/>
          <w:b/>
          <w:szCs w:val="24"/>
        </w:rPr>
        <w:t xml:space="preserve">MADDE </w:t>
      </w:r>
      <w:r w:rsidR="00B020E7">
        <w:rPr>
          <w:rFonts w:cs="Times New Roman"/>
          <w:b/>
          <w:szCs w:val="24"/>
        </w:rPr>
        <w:t>2</w:t>
      </w:r>
      <w:r w:rsidR="00A52778">
        <w:rPr>
          <w:rFonts w:cs="Times New Roman"/>
          <w:b/>
          <w:szCs w:val="24"/>
        </w:rPr>
        <w:t>2</w:t>
      </w:r>
      <w:r w:rsidRPr="00F50C10">
        <w:rPr>
          <w:rFonts w:cs="Times New Roman"/>
          <w:szCs w:val="24"/>
        </w:rPr>
        <w:t xml:space="preserve"> (1) Bu Tebliğ, Endüstriyel ve Hayvancılık Emisyonlarına İlişkin 15/7/2024 tarihli ve 2024/1785 sayılı Avrupa Parlamentosu ve Konsey Direktifi ile değiştirilen Endüstriyel Emisyonlara İlişkin 24 /11/2010 tarihli ve 2010/75/AB sayılı Avrupa Parlamentosu ve Konsey Direktifi dikkate alınarak Avrupa Komisyonu</w:t>
      </w:r>
      <w:r w:rsidR="00265B77" w:rsidRPr="00F50C10">
        <w:rPr>
          <w:rFonts w:cs="Times New Roman"/>
          <w:szCs w:val="24"/>
        </w:rPr>
        <w:t xml:space="preserve"> Ortak Araştırmalar Merkezi (JRC) tarafından yayımlanan Mevcut En İyi Teknikler Referans Dokümanları ve Sonuç Dokümanları </w:t>
      </w:r>
      <w:r w:rsidRPr="00F50C10">
        <w:rPr>
          <w:rFonts w:cs="Times New Roman"/>
          <w:szCs w:val="24"/>
        </w:rPr>
        <w:t>uyum</w:t>
      </w:r>
      <w:r w:rsidR="00265B77" w:rsidRPr="00F50C10">
        <w:rPr>
          <w:rFonts w:cs="Times New Roman"/>
          <w:szCs w:val="24"/>
        </w:rPr>
        <w:t>u</w:t>
      </w:r>
      <w:r w:rsidRPr="00F50C10">
        <w:rPr>
          <w:rFonts w:cs="Times New Roman"/>
          <w:szCs w:val="24"/>
        </w:rPr>
        <w:t xml:space="preserve"> çerçevesinde hazırlanmıştır.</w:t>
      </w:r>
    </w:p>
    <w:p w14:paraId="44A2FC67" w14:textId="77777777" w:rsidR="007B1B69" w:rsidRPr="00F50C10" w:rsidRDefault="007B1B69" w:rsidP="000B206D">
      <w:pPr>
        <w:pStyle w:val="Balk1"/>
        <w:numPr>
          <w:ilvl w:val="0"/>
          <w:numId w:val="0"/>
        </w:numPr>
        <w:spacing w:after="120" w:line="276" w:lineRule="auto"/>
        <w:ind w:left="432" w:hanging="432"/>
        <w:rPr>
          <w:rFonts w:cs="Times New Roman"/>
          <w:szCs w:val="24"/>
        </w:rPr>
      </w:pPr>
      <w:r w:rsidRPr="00F50C10">
        <w:rPr>
          <w:rFonts w:cs="Times New Roman"/>
          <w:szCs w:val="24"/>
        </w:rPr>
        <w:t>Yürürlük</w:t>
      </w:r>
    </w:p>
    <w:p w14:paraId="3BB9C3F3" w14:textId="4EF40C37" w:rsidR="007B1B69" w:rsidRPr="00F50C10" w:rsidRDefault="007B1B69" w:rsidP="000B206D">
      <w:pPr>
        <w:spacing w:after="120" w:line="276" w:lineRule="auto"/>
        <w:rPr>
          <w:rFonts w:cs="Times New Roman"/>
          <w:szCs w:val="24"/>
        </w:rPr>
      </w:pPr>
      <w:r w:rsidRPr="00F50C10">
        <w:rPr>
          <w:rFonts w:cs="Times New Roman"/>
          <w:b/>
          <w:szCs w:val="24"/>
        </w:rPr>
        <w:t>MADDE</w:t>
      </w:r>
      <w:r w:rsidR="00FA74EB" w:rsidRPr="00F50C10">
        <w:rPr>
          <w:rFonts w:cs="Times New Roman"/>
          <w:b/>
          <w:spacing w:val="-2"/>
          <w:szCs w:val="24"/>
        </w:rPr>
        <w:t xml:space="preserve"> </w:t>
      </w:r>
      <w:r w:rsidR="00B020E7">
        <w:rPr>
          <w:rFonts w:cs="Times New Roman"/>
          <w:b/>
          <w:spacing w:val="-2"/>
          <w:szCs w:val="24"/>
        </w:rPr>
        <w:t>2</w:t>
      </w:r>
      <w:r w:rsidR="00A52778">
        <w:rPr>
          <w:rFonts w:cs="Times New Roman"/>
          <w:b/>
          <w:spacing w:val="-2"/>
          <w:szCs w:val="24"/>
        </w:rPr>
        <w:t>3</w:t>
      </w:r>
      <w:r w:rsidRPr="00F50C10">
        <w:rPr>
          <w:rFonts w:cs="Times New Roman"/>
          <w:b/>
          <w:spacing w:val="-4"/>
          <w:szCs w:val="24"/>
        </w:rPr>
        <w:t xml:space="preserve">- </w:t>
      </w:r>
      <w:r w:rsidRPr="00F50C10">
        <w:rPr>
          <w:rFonts w:cs="Times New Roman"/>
          <w:spacing w:val="-4"/>
          <w:szCs w:val="24"/>
        </w:rPr>
        <w:t>(1)</w:t>
      </w:r>
      <w:r w:rsidRPr="00F50C10">
        <w:rPr>
          <w:rFonts w:cs="Times New Roman"/>
          <w:b/>
          <w:spacing w:val="-1"/>
          <w:szCs w:val="24"/>
        </w:rPr>
        <w:t xml:space="preserve"> </w:t>
      </w:r>
      <w:r w:rsidRPr="00F50C10">
        <w:rPr>
          <w:rFonts w:cs="Times New Roman"/>
          <w:szCs w:val="24"/>
        </w:rPr>
        <w:t>Bu</w:t>
      </w:r>
      <w:r w:rsidRPr="00F50C10">
        <w:rPr>
          <w:rFonts w:cs="Times New Roman"/>
          <w:spacing w:val="-2"/>
          <w:szCs w:val="24"/>
        </w:rPr>
        <w:t xml:space="preserve"> </w:t>
      </w:r>
      <w:r w:rsidR="00FA74EB" w:rsidRPr="00F50C10">
        <w:rPr>
          <w:rFonts w:cs="Times New Roman"/>
          <w:szCs w:val="24"/>
        </w:rPr>
        <w:t>Te</w:t>
      </w:r>
      <w:r w:rsidRPr="00F50C10">
        <w:rPr>
          <w:rFonts w:cs="Times New Roman"/>
          <w:szCs w:val="24"/>
        </w:rPr>
        <w:t>bliğ</w:t>
      </w:r>
      <w:r w:rsidRPr="00F50C10">
        <w:rPr>
          <w:rFonts w:cs="Times New Roman"/>
          <w:spacing w:val="-1"/>
          <w:szCs w:val="24"/>
        </w:rPr>
        <w:t xml:space="preserve"> </w:t>
      </w:r>
      <w:r w:rsidR="00FA74EB" w:rsidRPr="00F50C10">
        <w:rPr>
          <w:rFonts w:cs="Times New Roman"/>
          <w:spacing w:val="-1"/>
          <w:szCs w:val="24"/>
        </w:rPr>
        <w:t>1/12/2025</w:t>
      </w:r>
      <w:r w:rsidRPr="00F50C10">
        <w:rPr>
          <w:rFonts w:cs="Times New Roman"/>
          <w:spacing w:val="-1"/>
          <w:szCs w:val="24"/>
        </w:rPr>
        <w:t xml:space="preserve"> </w:t>
      </w:r>
      <w:r w:rsidRPr="00F50C10">
        <w:rPr>
          <w:rFonts w:cs="Times New Roman"/>
          <w:szCs w:val="24"/>
        </w:rPr>
        <w:t>tarihinde</w:t>
      </w:r>
      <w:r w:rsidRPr="00F50C10">
        <w:rPr>
          <w:rFonts w:cs="Times New Roman"/>
          <w:spacing w:val="-1"/>
          <w:szCs w:val="24"/>
        </w:rPr>
        <w:t xml:space="preserve"> </w:t>
      </w:r>
      <w:r w:rsidRPr="00F50C10">
        <w:rPr>
          <w:rFonts w:cs="Times New Roman"/>
          <w:szCs w:val="24"/>
        </w:rPr>
        <w:t>yürürlüğe</w:t>
      </w:r>
      <w:r w:rsidRPr="00F50C10">
        <w:rPr>
          <w:rFonts w:cs="Times New Roman"/>
          <w:spacing w:val="-1"/>
          <w:szCs w:val="24"/>
        </w:rPr>
        <w:t xml:space="preserve"> </w:t>
      </w:r>
      <w:r w:rsidRPr="00F50C10">
        <w:rPr>
          <w:rFonts w:cs="Times New Roman"/>
          <w:szCs w:val="24"/>
        </w:rPr>
        <w:t>girer.</w:t>
      </w:r>
    </w:p>
    <w:p w14:paraId="51E32AF3" w14:textId="77777777" w:rsidR="007B1B69" w:rsidRPr="00F50C10" w:rsidRDefault="007B1B69" w:rsidP="000B206D">
      <w:pPr>
        <w:pStyle w:val="Balk1"/>
        <w:numPr>
          <w:ilvl w:val="0"/>
          <w:numId w:val="0"/>
        </w:numPr>
        <w:spacing w:after="120" w:line="276" w:lineRule="auto"/>
        <w:rPr>
          <w:rFonts w:cs="Times New Roman"/>
          <w:szCs w:val="24"/>
        </w:rPr>
      </w:pPr>
      <w:r w:rsidRPr="00F50C10">
        <w:rPr>
          <w:rFonts w:cs="Times New Roman"/>
          <w:szCs w:val="24"/>
        </w:rPr>
        <w:t>Yürütme</w:t>
      </w:r>
    </w:p>
    <w:p w14:paraId="12F3970E" w14:textId="35148A4B" w:rsidR="007B1B69" w:rsidRPr="00F50C10" w:rsidRDefault="007B1B69" w:rsidP="000B206D">
      <w:pPr>
        <w:pStyle w:val="GvdeMetni"/>
        <w:spacing w:after="120" w:line="276" w:lineRule="auto"/>
        <w:jc w:val="both"/>
        <w:rPr>
          <w:sz w:val="24"/>
          <w:szCs w:val="24"/>
        </w:rPr>
      </w:pPr>
      <w:r w:rsidRPr="00F50C10">
        <w:rPr>
          <w:b/>
          <w:sz w:val="24"/>
          <w:szCs w:val="24"/>
        </w:rPr>
        <w:t>MADDE</w:t>
      </w:r>
      <w:r w:rsidRPr="00F50C10">
        <w:rPr>
          <w:b/>
          <w:spacing w:val="-2"/>
          <w:sz w:val="24"/>
          <w:szCs w:val="24"/>
        </w:rPr>
        <w:t xml:space="preserve"> </w:t>
      </w:r>
      <w:r w:rsidR="00B020E7">
        <w:rPr>
          <w:b/>
          <w:sz w:val="24"/>
          <w:szCs w:val="24"/>
        </w:rPr>
        <w:t>2</w:t>
      </w:r>
      <w:r w:rsidR="00A52778">
        <w:rPr>
          <w:b/>
          <w:sz w:val="24"/>
          <w:szCs w:val="24"/>
        </w:rPr>
        <w:t>4</w:t>
      </w:r>
      <w:r w:rsidRPr="00F50C10">
        <w:rPr>
          <w:b/>
          <w:sz w:val="24"/>
          <w:szCs w:val="24"/>
        </w:rPr>
        <w:t xml:space="preserve"> </w:t>
      </w:r>
      <w:r w:rsidRPr="00F50C10">
        <w:rPr>
          <w:sz w:val="24"/>
          <w:szCs w:val="24"/>
        </w:rPr>
        <w:t>(1)</w:t>
      </w:r>
      <w:r w:rsidRPr="00F50C10">
        <w:rPr>
          <w:b/>
          <w:spacing w:val="-2"/>
          <w:sz w:val="24"/>
          <w:szCs w:val="24"/>
        </w:rPr>
        <w:t xml:space="preserve"> </w:t>
      </w:r>
      <w:r w:rsidRPr="00F50C10">
        <w:rPr>
          <w:sz w:val="24"/>
          <w:szCs w:val="24"/>
        </w:rPr>
        <w:t>Bu</w:t>
      </w:r>
      <w:r w:rsidRPr="00F50C10">
        <w:rPr>
          <w:spacing w:val="-1"/>
          <w:sz w:val="24"/>
          <w:szCs w:val="24"/>
        </w:rPr>
        <w:t xml:space="preserve"> </w:t>
      </w:r>
      <w:r w:rsidR="000F2ABD" w:rsidRPr="00F50C10">
        <w:rPr>
          <w:sz w:val="24"/>
          <w:szCs w:val="24"/>
        </w:rPr>
        <w:t>T</w:t>
      </w:r>
      <w:r w:rsidRPr="00F50C10">
        <w:rPr>
          <w:sz w:val="24"/>
          <w:szCs w:val="24"/>
        </w:rPr>
        <w:t>ebliğ</w:t>
      </w:r>
      <w:r w:rsidRPr="00F50C10">
        <w:rPr>
          <w:spacing w:val="-1"/>
          <w:sz w:val="24"/>
          <w:szCs w:val="24"/>
        </w:rPr>
        <w:t xml:space="preserve"> </w:t>
      </w:r>
      <w:r w:rsidRPr="00F50C10">
        <w:rPr>
          <w:sz w:val="24"/>
          <w:szCs w:val="24"/>
        </w:rPr>
        <w:t>hükümlerini</w:t>
      </w:r>
      <w:r w:rsidRPr="00F50C10">
        <w:rPr>
          <w:spacing w:val="-1"/>
          <w:sz w:val="24"/>
          <w:szCs w:val="24"/>
        </w:rPr>
        <w:t xml:space="preserve"> </w:t>
      </w:r>
      <w:r w:rsidRPr="00F50C10">
        <w:rPr>
          <w:sz w:val="24"/>
          <w:szCs w:val="24"/>
        </w:rPr>
        <w:t>Çevre</w:t>
      </w:r>
      <w:r w:rsidRPr="00F50C10">
        <w:rPr>
          <w:spacing w:val="-1"/>
          <w:sz w:val="24"/>
          <w:szCs w:val="24"/>
        </w:rPr>
        <w:t xml:space="preserve"> </w:t>
      </w:r>
      <w:r w:rsidRPr="00F50C10">
        <w:rPr>
          <w:sz w:val="24"/>
          <w:szCs w:val="24"/>
        </w:rPr>
        <w:t>Şehircilik</w:t>
      </w:r>
      <w:r w:rsidRPr="00F50C10">
        <w:rPr>
          <w:spacing w:val="-1"/>
          <w:sz w:val="24"/>
          <w:szCs w:val="24"/>
        </w:rPr>
        <w:t xml:space="preserve"> ve İklim Değişikliği Bakan</w:t>
      </w:r>
      <w:r w:rsidR="00F860D8" w:rsidRPr="00F50C10">
        <w:rPr>
          <w:spacing w:val="-1"/>
          <w:sz w:val="24"/>
          <w:szCs w:val="24"/>
        </w:rPr>
        <w:t>ı</w:t>
      </w:r>
      <w:r w:rsidRPr="00F50C10">
        <w:rPr>
          <w:spacing w:val="-1"/>
          <w:sz w:val="24"/>
          <w:szCs w:val="24"/>
        </w:rPr>
        <w:t xml:space="preserve"> </w:t>
      </w:r>
      <w:r w:rsidRPr="00F50C10">
        <w:rPr>
          <w:sz w:val="24"/>
          <w:szCs w:val="24"/>
        </w:rPr>
        <w:t>yürütür.</w:t>
      </w:r>
    </w:p>
    <w:p w14:paraId="25F6A158" w14:textId="77777777" w:rsidR="007B1B69" w:rsidRPr="00F50C10" w:rsidRDefault="007B1B69" w:rsidP="000B206D">
      <w:pPr>
        <w:pStyle w:val="GvdeMetni"/>
        <w:spacing w:after="120" w:line="276" w:lineRule="auto"/>
        <w:ind w:firstLine="709"/>
        <w:jc w:val="both"/>
        <w:rPr>
          <w:sz w:val="24"/>
          <w:szCs w:val="24"/>
        </w:rPr>
      </w:pPr>
    </w:p>
    <w:p w14:paraId="01987BB9" w14:textId="700A3410" w:rsidR="00A52778" w:rsidRDefault="00A52778">
      <w:pPr>
        <w:spacing w:after="160" w:line="259" w:lineRule="auto"/>
        <w:jc w:val="left"/>
        <w:rPr>
          <w:rFonts w:eastAsia="Times New Roman" w:cs="Times New Roman"/>
          <w:szCs w:val="24"/>
          <w:lang w:val="tr-TR"/>
        </w:rPr>
      </w:pPr>
      <w:r>
        <w:rPr>
          <w:szCs w:val="24"/>
        </w:rPr>
        <w:br w:type="page"/>
      </w:r>
    </w:p>
    <w:p w14:paraId="173961C3" w14:textId="77777777" w:rsidR="007B1B69" w:rsidRPr="00F50C10" w:rsidRDefault="007B1B69" w:rsidP="000B206D">
      <w:pPr>
        <w:pStyle w:val="GvdeMetni"/>
        <w:spacing w:before="8" w:line="276" w:lineRule="auto"/>
        <w:jc w:val="right"/>
        <w:rPr>
          <w:b/>
          <w:sz w:val="24"/>
          <w:szCs w:val="24"/>
        </w:rPr>
      </w:pPr>
      <w:r w:rsidRPr="00F50C10">
        <w:rPr>
          <w:b/>
          <w:sz w:val="24"/>
          <w:szCs w:val="24"/>
        </w:rPr>
        <w:t>EK-1</w:t>
      </w:r>
    </w:p>
    <w:p w14:paraId="3A6E0545" w14:textId="356517C4" w:rsidR="007C2D79" w:rsidRPr="00F50C10" w:rsidRDefault="007C2D79" w:rsidP="000B206D">
      <w:pPr>
        <w:pStyle w:val="Balk1"/>
        <w:numPr>
          <w:ilvl w:val="0"/>
          <w:numId w:val="0"/>
        </w:numPr>
        <w:spacing w:before="240" w:line="276" w:lineRule="auto"/>
        <w:ind w:right="103"/>
        <w:jc w:val="center"/>
        <w:rPr>
          <w:rFonts w:cs="Times New Roman"/>
          <w:szCs w:val="24"/>
        </w:rPr>
      </w:pPr>
      <w:r w:rsidRPr="00F50C10">
        <w:rPr>
          <w:rFonts w:cs="Times New Roman"/>
          <w:szCs w:val="24"/>
        </w:rPr>
        <w:t>Büyük Hacimli Organik Kimyasallar</w:t>
      </w:r>
      <w:r w:rsidR="00EF71A8" w:rsidRPr="00F50C10">
        <w:rPr>
          <w:rFonts w:cs="Times New Roman"/>
          <w:szCs w:val="24"/>
        </w:rPr>
        <w:t>ın</w:t>
      </w:r>
      <w:r w:rsidRPr="00F50C10">
        <w:rPr>
          <w:rFonts w:cs="Times New Roman"/>
          <w:szCs w:val="24"/>
        </w:rPr>
        <w:t xml:space="preserve"> Üretimi Sektöründe Mevcut En İyi Teknikler (4.1</w:t>
      </w:r>
      <w:r w:rsidR="007A3E9D" w:rsidRPr="00F50C10">
        <w:rPr>
          <w:rFonts w:cs="Times New Roman"/>
          <w:szCs w:val="24"/>
        </w:rPr>
        <w:t>.</w:t>
      </w:r>
      <w:r w:rsidRPr="00F50C10">
        <w:rPr>
          <w:rFonts w:cs="Times New Roman"/>
          <w:szCs w:val="24"/>
        </w:rPr>
        <w:t>a,</w:t>
      </w:r>
      <w:r w:rsidR="007A3E9D" w:rsidRPr="00F50C10">
        <w:rPr>
          <w:rFonts w:cs="Times New Roman"/>
          <w:szCs w:val="24"/>
        </w:rPr>
        <w:t xml:space="preserve"> 4.1.</w:t>
      </w:r>
      <w:r w:rsidRPr="00F50C10">
        <w:rPr>
          <w:rFonts w:cs="Times New Roman"/>
          <w:szCs w:val="24"/>
        </w:rPr>
        <w:t>b,</w:t>
      </w:r>
      <w:r w:rsidR="007A3E9D" w:rsidRPr="00F50C10">
        <w:rPr>
          <w:rFonts w:cs="Times New Roman"/>
          <w:szCs w:val="24"/>
        </w:rPr>
        <w:t xml:space="preserve"> 4.1.</w:t>
      </w:r>
      <w:r w:rsidRPr="00F50C10">
        <w:rPr>
          <w:rFonts w:cs="Times New Roman"/>
          <w:szCs w:val="24"/>
        </w:rPr>
        <w:t>c,</w:t>
      </w:r>
      <w:r w:rsidR="007A3E9D" w:rsidRPr="00F50C10">
        <w:rPr>
          <w:rFonts w:cs="Times New Roman"/>
          <w:szCs w:val="24"/>
        </w:rPr>
        <w:t xml:space="preserve"> 4.1.</w:t>
      </w:r>
      <w:r w:rsidRPr="00F50C10">
        <w:rPr>
          <w:rFonts w:cs="Times New Roman"/>
          <w:szCs w:val="24"/>
        </w:rPr>
        <w:t>ç,</w:t>
      </w:r>
      <w:r w:rsidR="007A3E9D" w:rsidRPr="00F50C10">
        <w:rPr>
          <w:rFonts w:cs="Times New Roman"/>
          <w:szCs w:val="24"/>
        </w:rPr>
        <w:t xml:space="preserve"> 4.1.</w:t>
      </w:r>
      <w:r w:rsidRPr="00F50C10">
        <w:rPr>
          <w:rFonts w:cs="Times New Roman"/>
          <w:szCs w:val="24"/>
        </w:rPr>
        <w:t>d,</w:t>
      </w:r>
      <w:r w:rsidR="007A3E9D" w:rsidRPr="00F50C10">
        <w:rPr>
          <w:rFonts w:cs="Times New Roman"/>
          <w:szCs w:val="24"/>
        </w:rPr>
        <w:t xml:space="preserve"> 4.1.</w:t>
      </w:r>
      <w:r w:rsidRPr="00F50C10">
        <w:rPr>
          <w:rFonts w:cs="Times New Roman"/>
          <w:szCs w:val="24"/>
        </w:rPr>
        <w:t>e,</w:t>
      </w:r>
      <w:r w:rsidR="007A3E9D" w:rsidRPr="00F50C10">
        <w:rPr>
          <w:rFonts w:cs="Times New Roman"/>
          <w:szCs w:val="24"/>
        </w:rPr>
        <w:t xml:space="preserve"> 4.1.</w:t>
      </w:r>
      <w:r w:rsidRPr="00F50C10">
        <w:rPr>
          <w:rFonts w:cs="Times New Roman"/>
          <w:szCs w:val="24"/>
        </w:rPr>
        <w:t>f,</w:t>
      </w:r>
      <w:r w:rsidR="007A3E9D" w:rsidRPr="00F50C10">
        <w:rPr>
          <w:rFonts w:cs="Times New Roman"/>
          <w:szCs w:val="24"/>
        </w:rPr>
        <w:t xml:space="preserve"> 4.1.</w:t>
      </w:r>
      <w:r w:rsidRPr="00F50C10">
        <w:rPr>
          <w:rFonts w:cs="Times New Roman"/>
          <w:szCs w:val="24"/>
        </w:rPr>
        <w:t>h)</w:t>
      </w:r>
      <w:r w:rsidR="00500C75" w:rsidRPr="00F50C10">
        <w:rPr>
          <w:rFonts w:cs="Times New Roman"/>
          <w:szCs w:val="24"/>
        </w:rPr>
        <w:t xml:space="preserve"> ve 4.2.d(hidrojen peroksit üretimi)</w:t>
      </w:r>
      <w:r w:rsidRPr="00F50C10">
        <w:rPr>
          <w:rFonts w:cs="Times New Roman"/>
          <w:szCs w:val="24"/>
        </w:rPr>
        <w:t>)</w:t>
      </w:r>
    </w:p>
    <w:p w14:paraId="0F683AA1" w14:textId="77777777" w:rsidR="007B1B69" w:rsidRPr="00F50C10" w:rsidRDefault="007B1B69" w:rsidP="000B206D">
      <w:pPr>
        <w:pStyle w:val="GvdeMetni"/>
        <w:spacing w:before="8" w:line="276" w:lineRule="auto"/>
        <w:jc w:val="center"/>
        <w:rPr>
          <w:b/>
          <w:sz w:val="24"/>
          <w:szCs w:val="24"/>
        </w:rPr>
      </w:pPr>
    </w:p>
    <w:p w14:paraId="2C9DDC3A" w14:textId="77777777" w:rsidR="007B1B69" w:rsidRPr="00F50C10" w:rsidRDefault="007B1B69" w:rsidP="000B206D">
      <w:pPr>
        <w:pStyle w:val="Balk1"/>
        <w:numPr>
          <w:ilvl w:val="0"/>
          <w:numId w:val="0"/>
        </w:numPr>
        <w:spacing w:before="240" w:line="276" w:lineRule="auto"/>
        <w:jc w:val="center"/>
        <w:rPr>
          <w:rFonts w:cs="Times New Roman"/>
          <w:szCs w:val="24"/>
        </w:rPr>
      </w:pPr>
      <w:r w:rsidRPr="00F50C10">
        <w:rPr>
          <w:rFonts w:cs="Times New Roman"/>
          <w:szCs w:val="24"/>
        </w:rPr>
        <w:t>BÖLÜM 1</w:t>
      </w:r>
    </w:p>
    <w:p w14:paraId="25FEFEB9" w14:textId="2F0088E9" w:rsidR="00D747D7" w:rsidRPr="00F50C10" w:rsidRDefault="007B1B69" w:rsidP="000B206D">
      <w:pPr>
        <w:pStyle w:val="Balk1"/>
        <w:numPr>
          <w:ilvl w:val="0"/>
          <w:numId w:val="0"/>
        </w:numPr>
        <w:spacing w:before="240" w:line="276" w:lineRule="auto"/>
        <w:jc w:val="center"/>
        <w:rPr>
          <w:rFonts w:cs="Times New Roman"/>
          <w:szCs w:val="24"/>
        </w:rPr>
      </w:pPr>
      <w:r w:rsidRPr="00F50C10">
        <w:rPr>
          <w:rFonts w:cs="Times New Roman"/>
          <w:szCs w:val="24"/>
        </w:rPr>
        <w:t>GENEL HUSUSLAR</w:t>
      </w:r>
    </w:p>
    <w:p w14:paraId="571CB105" w14:textId="75139B49" w:rsidR="007B1B69" w:rsidRPr="00F50C10" w:rsidRDefault="007B1B69" w:rsidP="00A654AE">
      <w:pPr>
        <w:pStyle w:val="Balk1"/>
        <w:numPr>
          <w:ilvl w:val="1"/>
          <w:numId w:val="168"/>
        </w:numPr>
        <w:spacing w:after="120" w:line="276" w:lineRule="auto"/>
        <w:jc w:val="left"/>
        <w:rPr>
          <w:rFonts w:cs="Times New Roman"/>
          <w:szCs w:val="24"/>
        </w:rPr>
      </w:pPr>
      <w:r w:rsidRPr="00F50C10">
        <w:rPr>
          <w:rFonts w:cs="Times New Roman"/>
          <w:szCs w:val="24"/>
        </w:rPr>
        <w:t>Havaya Emisyonlar için Ortalama Alma Süreleri ve Referans Koşullar</w:t>
      </w:r>
    </w:p>
    <w:p w14:paraId="3BAC76C5" w14:textId="132B2085" w:rsidR="007C2D79" w:rsidRPr="00F50C10" w:rsidRDefault="00423959" w:rsidP="000B206D">
      <w:pPr>
        <w:spacing w:line="276" w:lineRule="auto"/>
        <w:rPr>
          <w:rFonts w:cs="Times New Roman"/>
          <w:szCs w:val="24"/>
        </w:rPr>
      </w:pPr>
      <w:r w:rsidRPr="00F50C10">
        <w:rPr>
          <w:rFonts w:cs="Times New Roman"/>
          <w:szCs w:val="24"/>
        </w:rPr>
        <w:t xml:space="preserve">Aksi belirtilmediği sürece, bu </w:t>
      </w:r>
      <w:r w:rsidR="00F50C10" w:rsidRPr="00F50C10">
        <w:rPr>
          <w:rFonts w:cs="Times New Roman"/>
          <w:szCs w:val="24"/>
        </w:rPr>
        <w:t>Tebliğde</w:t>
      </w:r>
      <w:r w:rsidRPr="00F50C10">
        <w:rPr>
          <w:rFonts w:cs="Times New Roman"/>
          <w:szCs w:val="24"/>
        </w:rPr>
        <w:t xml:space="preserve"> </w:t>
      </w:r>
      <w:r w:rsidR="00F50C10" w:rsidRPr="00F50C10">
        <w:rPr>
          <w:rFonts w:cs="Times New Roman"/>
          <w:szCs w:val="24"/>
        </w:rPr>
        <w:t>bahsedilen</w:t>
      </w:r>
      <w:r w:rsidRPr="00F50C10">
        <w:rPr>
          <w:rFonts w:cs="Times New Roman"/>
          <w:szCs w:val="24"/>
        </w:rPr>
        <w:t xml:space="preserve"> havaya emisyonlar için MET-İES’ler standart koşullar altında (273,15 K sıcaklıkta ve 101,3 kPa basınçta kuru gaz) atık gaz hacmi başına yayılan madde kütlesi olarak ifade edilen ve mg/Nm</w:t>
      </w:r>
      <w:r w:rsidRPr="00F50C10">
        <w:rPr>
          <w:rFonts w:cs="Times New Roman"/>
          <w:szCs w:val="24"/>
          <w:vertAlign w:val="superscript"/>
        </w:rPr>
        <w:t>3</w:t>
      </w:r>
      <w:r w:rsidRPr="00F50C10">
        <w:rPr>
          <w:rFonts w:cs="Times New Roman"/>
          <w:szCs w:val="24"/>
        </w:rPr>
        <w:t xml:space="preserve"> biriminde ifade edilen konsantrasyon değerlerine atıfta bulunur. Ayrı bir tanımlama belirtilmediği sürece, havaya emisyonlar için MET-İES’lerle ilişkili ortalama periyotları aşağıdaki gibi tanımlanır.</w:t>
      </w:r>
    </w:p>
    <w:p w14:paraId="625546D8" w14:textId="14AE6A8E" w:rsidR="007C2D79" w:rsidRPr="00F50C10" w:rsidRDefault="007C2D79" w:rsidP="000B206D">
      <w:pPr>
        <w:spacing w:line="276" w:lineRule="auto"/>
        <w:rPr>
          <w:rFonts w:cs="Times New Roman"/>
          <w:szCs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1911"/>
        <w:gridCol w:w="4336"/>
      </w:tblGrid>
      <w:tr w:rsidR="007C2D79" w:rsidRPr="00F50C10" w14:paraId="17F63F29" w14:textId="77777777" w:rsidTr="002A26C9">
        <w:trPr>
          <w:trHeight w:val="230"/>
          <w:jc w:val="center"/>
        </w:trPr>
        <w:tc>
          <w:tcPr>
            <w:tcW w:w="2278" w:type="dxa"/>
          </w:tcPr>
          <w:p w14:paraId="0965C3D4" w14:textId="77777777" w:rsidR="007C2D79" w:rsidRPr="00F50C10" w:rsidRDefault="007C2D79" w:rsidP="000B206D">
            <w:pPr>
              <w:pStyle w:val="TableParagraph"/>
              <w:spacing w:line="276" w:lineRule="auto"/>
              <w:ind w:left="211"/>
              <w:jc w:val="center"/>
              <w:rPr>
                <w:b/>
                <w:szCs w:val="24"/>
              </w:rPr>
            </w:pPr>
            <w:r w:rsidRPr="00F50C10">
              <w:rPr>
                <w:b/>
                <w:szCs w:val="24"/>
                <w:lang w:bidi="tr-TR"/>
              </w:rPr>
              <w:t>Ölçüm türü</w:t>
            </w:r>
          </w:p>
        </w:tc>
        <w:tc>
          <w:tcPr>
            <w:tcW w:w="1911" w:type="dxa"/>
          </w:tcPr>
          <w:p w14:paraId="20164707" w14:textId="77777777" w:rsidR="007C2D79" w:rsidRPr="00F50C10" w:rsidRDefault="007C2D79" w:rsidP="000B206D">
            <w:pPr>
              <w:pStyle w:val="TableParagraph"/>
              <w:spacing w:line="276" w:lineRule="auto"/>
              <w:ind w:left="185" w:right="180"/>
              <w:jc w:val="center"/>
              <w:rPr>
                <w:b/>
                <w:szCs w:val="24"/>
              </w:rPr>
            </w:pPr>
            <w:r w:rsidRPr="00F50C10">
              <w:rPr>
                <w:b/>
                <w:szCs w:val="24"/>
                <w:lang w:bidi="tr-TR"/>
              </w:rPr>
              <w:t>Ortalama alma süresi</w:t>
            </w:r>
          </w:p>
        </w:tc>
        <w:tc>
          <w:tcPr>
            <w:tcW w:w="4336" w:type="dxa"/>
          </w:tcPr>
          <w:p w14:paraId="11AF9510" w14:textId="77777777" w:rsidR="007C2D79" w:rsidRPr="00F50C10" w:rsidRDefault="007C2D79" w:rsidP="000B206D">
            <w:pPr>
              <w:pStyle w:val="TableParagraph"/>
              <w:spacing w:line="276" w:lineRule="auto"/>
              <w:ind w:left="1716" w:right="1713"/>
              <w:jc w:val="center"/>
              <w:rPr>
                <w:b/>
                <w:szCs w:val="24"/>
              </w:rPr>
            </w:pPr>
            <w:r w:rsidRPr="00F50C10">
              <w:rPr>
                <w:b/>
                <w:szCs w:val="24"/>
                <w:lang w:bidi="tr-TR"/>
              </w:rPr>
              <w:t>Tanım</w:t>
            </w:r>
          </w:p>
        </w:tc>
      </w:tr>
      <w:tr w:rsidR="007C2D79" w:rsidRPr="00F50C10" w14:paraId="4EE45A19" w14:textId="77777777" w:rsidTr="002A26C9">
        <w:trPr>
          <w:trHeight w:val="460"/>
          <w:jc w:val="center"/>
        </w:trPr>
        <w:tc>
          <w:tcPr>
            <w:tcW w:w="2278" w:type="dxa"/>
          </w:tcPr>
          <w:p w14:paraId="5CE1D226" w14:textId="77777777" w:rsidR="007C2D79" w:rsidRPr="00F50C10" w:rsidRDefault="007C2D79" w:rsidP="000B206D">
            <w:pPr>
              <w:pStyle w:val="TableParagraph"/>
              <w:spacing w:before="108" w:line="276" w:lineRule="auto"/>
              <w:ind w:left="107"/>
              <w:rPr>
                <w:szCs w:val="24"/>
              </w:rPr>
            </w:pPr>
            <w:r w:rsidRPr="00F50C10">
              <w:rPr>
                <w:szCs w:val="24"/>
                <w:lang w:bidi="tr-TR"/>
              </w:rPr>
              <w:t>Sürekli</w:t>
            </w:r>
          </w:p>
        </w:tc>
        <w:tc>
          <w:tcPr>
            <w:tcW w:w="1911" w:type="dxa"/>
          </w:tcPr>
          <w:p w14:paraId="5E47D5DE" w14:textId="77777777" w:rsidR="007C2D79" w:rsidRPr="00F50C10" w:rsidRDefault="007C2D79" w:rsidP="000B206D">
            <w:pPr>
              <w:pStyle w:val="TableParagraph"/>
              <w:spacing w:before="108" w:line="276" w:lineRule="auto"/>
              <w:ind w:left="183" w:right="180"/>
              <w:jc w:val="center"/>
              <w:rPr>
                <w:szCs w:val="24"/>
              </w:rPr>
            </w:pPr>
            <w:r w:rsidRPr="00F50C10">
              <w:rPr>
                <w:szCs w:val="24"/>
                <w:lang w:bidi="tr-TR"/>
              </w:rPr>
              <w:t>Günlük ortalama</w:t>
            </w:r>
          </w:p>
        </w:tc>
        <w:tc>
          <w:tcPr>
            <w:tcW w:w="4336" w:type="dxa"/>
          </w:tcPr>
          <w:p w14:paraId="04E48C3B" w14:textId="77777777" w:rsidR="007C2D79" w:rsidRPr="00F50C10" w:rsidRDefault="007C2D79" w:rsidP="000B206D">
            <w:pPr>
              <w:pStyle w:val="TableParagraph"/>
              <w:spacing w:line="276" w:lineRule="auto"/>
              <w:ind w:left="107"/>
              <w:rPr>
                <w:szCs w:val="24"/>
              </w:rPr>
            </w:pPr>
            <w:r w:rsidRPr="00F50C10">
              <w:rPr>
                <w:szCs w:val="24"/>
                <w:lang w:bidi="tr-TR"/>
              </w:rPr>
              <w:t>Geçerli olana göre bir günlük bir süre boyunca ortalama saatlik veya yarım saatlik ortalamalar</w:t>
            </w:r>
          </w:p>
        </w:tc>
      </w:tr>
      <w:tr w:rsidR="007C2D79" w:rsidRPr="00F50C10" w14:paraId="6171A5B5" w14:textId="77777777" w:rsidTr="002A26C9">
        <w:trPr>
          <w:trHeight w:val="457"/>
          <w:jc w:val="center"/>
        </w:trPr>
        <w:tc>
          <w:tcPr>
            <w:tcW w:w="2278" w:type="dxa"/>
          </w:tcPr>
          <w:p w14:paraId="2961406F" w14:textId="77777777" w:rsidR="007C2D79" w:rsidRPr="00F50C10" w:rsidRDefault="007C2D79" w:rsidP="000B206D">
            <w:pPr>
              <w:pStyle w:val="TableParagraph"/>
              <w:spacing w:before="108" w:line="276" w:lineRule="auto"/>
              <w:ind w:left="107"/>
              <w:rPr>
                <w:szCs w:val="24"/>
              </w:rPr>
            </w:pPr>
            <w:r w:rsidRPr="00F50C10">
              <w:rPr>
                <w:szCs w:val="24"/>
                <w:lang w:bidi="tr-TR"/>
              </w:rPr>
              <w:t>Periyodik</w:t>
            </w:r>
          </w:p>
        </w:tc>
        <w:tc>
          <w:tcPr>
            <w:tcW w:w="1911" w:type="dxa"/>
          </w:tcPr>
          <w:p w14:paraId="12F1A384" w14:textId="77777777" w:rsidR="007C2D79" w:rsidRPr="00F50C10" w:rsidRDefault="007C2D79" w:rsidP="000B206D">
            <w:pPr>
              <w:pStyle w:val="TableParagraph"/>
              <w:spacing w:line="276" w:lineRule="auto"/>
              <w:ind w:left="266"/>
              <w:rPr>
                <w:szCs w:val="24"/>
              </w:rPr>
            </w:pPr>
            <w:r w:rsidRPr="00F50C10">
              <w:rPr>
                <w:szCs w:val="24"/>
                <w:lang w:bidi="tr-TR"/>
              </w:rPr>
              <w:t>Ortalama numune alma periyodu</w:t>
            </w:r>
          </w:p>
        </w:tc>
        <w:tc>
          <w:tcPr>
            <w:tcW w:w="4336" w:type="dxa"/>
          </w:tcPr>
          <w:p w14:paraId="5B1AB37A" w14:textId="77777777" w:rsidR="007C2D79" w:rsidRPr="00F50C10" w:rsidRDefault="007C2D79" w:rsidP="000B206D">
            <w:pPr>
              <w:pStyle w:val="TableParagraph"/>
              <w:spacing w:line="276" w:lineRule="auto"/>
              <w:ind w:left="107"/>
              <w:rPr>
                <w:szCs w:val="24"/>
              </w:rPr>
            </w:pPr>
            <w:r w:rsidRPr="00F50C10">
              <w:rPr>
                <w:szCs w:val="24"/>
                <w:lang w:bidi="tr-TR"/>
              </w:rPr>
              <w:t>Üç ardışık ölçümün ortalaması</w:t>
            </w:r>
          </w:p>
          <w:p w14:paraId="2A6435D3" w14:textId="77777777" w:rsidR="007C2D79" w:rsidRPr="00F50C10" w:rsidRDefault="007C2D79" w:rsidP="000B206D">
            <w:pPr>
              <w:pStyle w:val="TableParagraph"/>
              <w:spacing w:line="276" w:lineRule="auto"/>
              <w:ind w:left="107"/>
              <w:rPr>
                <w:szCs w:val="24"/>
              </w:rPr>
            </w:pPr>
            <w:r w:rsidRPr="00F50C10">
              <w:rPr>
                <w:szCs w:val="24"/>
                <w:lang w:bidi="tr-TR"/>
              </w:rPr>
              <w:t>her biri en az 30 dakika (1) (2)</w:t>
            </w:r>
          </w:p>
        </w:tc>
      </w:tr>
      <w:tr w:rsidR="007C2D79" w:rsidRPr="00F50C10" w14:paraId="7A779587" w14:textId="77777777" w:rsidTr="002A26C9">
        <w:trPr>
          <w:trHeight w:val="621"/>
          <w:jc w:val="center"/>
        </w:trPr>
        <w:tc>
          <w:tcPr>
            <w:tcW w:w="8525" w:type="dxa"/>
            <w:gridSpan w:val="3"/>
          </w:tcPr>
          <w:p w14:paraId="5FEF0A96" w14:textId="77777777" w:rsidR="007C2D79" w:rsidRPr="00F50C10" w:rsidRDefault="007C2D79" w:rsidP="00A654AE">
            <w:pPr>
              <w:pStyle w:val="TableParagraph"/>
              <w:numPr>
                <w:ilvl w:val="0"/>
                <w:numId w:val="170"/>
              </w:numPr>
              <w:tabs>
                <w:tab w:val="left" w:pos="360"/>
              </w:tabs>
              <w:spacing w:line="276" w:lineRule="auto"/>
              <w:ind w:right="96" w:firstLine="0"/>
              <w:rPr>
                <w:szCs w:val="24"/>
              </w:rPr>
            </w:pPr>
            <w:r w:rsidRPr="00F50C10">
              <w:rPr>
                <w:szCs w:val="24"/>
                <w:lang w:bidi="tr-TR"/>
              </w:rPr>
              <w:t>Örnekleme veya analitik sınırlamalar nedeniyle 30 dakikalık örneklemenin uygun olmadığı herhangi bir parametre için uygun bir örnekleme süresi kullanılır.</w:t>
            </w:r>
          </w:p>
          <w:p w14:paraId="707603AA" w14:textId="77777777" w:rsidR="007C2D79" w:rsidRPr="00F50C10" w:rsidRDefault="007C2D79" w:rsidP="00A654AE">
            <w:pPr>
              <w:pStyle w:val="TableParagraph"/>
              <w:numPr>
                <w:ilvl w:val="0"/>
                <w:numId w:val="170"/>
              </w:numPr>
              <w:tabs>
                <w:tab w:val="left" w:pos="334"/>
              </w:tabs>
              <w:spacing w:line="276" w:lineRule="auto"/>
              <w:ind w:left="333" w:hanging="227"/>
              <w:rPr>
                <w:szCs w:val="24"/>
              </w:rPr>
            </w:pPr>
            <w:r w:rsidRPr="00F50C10">
              <w:rPr>
                <w:szCs w:val="24"/>
                <w:lang w:bidi="tr-TR"/>
              </w:rPr>
              <w:t>PCDD/F için 6 ila 8 saatlik bir örnekleme periyodu uygulanır.</w:t>
            </w:r>
          </w:p>
        </w:tc>
      </w:tr>
    </w:tbl>
    <w:p w14:paraId="3A763CC7" w14:textId="5498205A" w:rsidR="00D747D7" w:rsidRPr="00F50C10" w:rsidRDefault="00D747D7" w:rsidP="000B206D">
      <w:pPr>
        <w:pStyle w:val="Balk1"/>
        <w:numPr>
          <w:ilvl w:val="0"/>
          <w:numId w:val="0"/>
        </w:numPr>
        <w:spacing w:before="240" w:line="276" w:lineRule="auto"/>
        <w:rPr>
          <w:rFonts w:cs="Times New Roman"/>
          <w:b w:val="0"/>
          <w:szCs w:val="24"/>
        </w:rPr>
      </w:pPr>
      <w:r w:rsidRPr="00F50C10">
        <w:rPr>
          <w:rFonts w:cs="Times New Roman"/>
          <w:b w:val="0"/>
          <w:szCs w:val="24"/>
        </w:rPr>
        <w:t>MET-İES’ler belirli bir üretim çıktısı başına salınan madde yükü olarak ifade edilen </w:t>
      </w:r>
      <w:r w:rsidRPr="00F50C10">
        <w:rPr>
          <w:rFonts w:cs="Times New Roman"/>
          <w:b w:val="0"/>
          <w:bCs/>
          <w:szCs w:val="24"/>
        </w:rPr>
        <w:t>özgül emisyon yüklerini</w:t>
      </w:r>
      <w:r w:rsidRPr="00F50C10">
        <w:rPr>
          <w:rFonts w:cs="Times New Roman"/>
          <w:b w:val="0"/>
          <w:szCs w:val="24"/>
        </w:rPr>
        <w:t> ifade ettiğinde, ortalama özgül emisyon yükleri (</w:t>
      </w:r>
      <w:r w:rsidRPr="00F50C10">
        <w:rPr>
          <w:rFonts w:cs="Times New Roman"/>
          <w:b w:val="0"/>
          <w:i/>
          <w:iCs/>
          <w:szCs w:val="24"/>
        </w:rPr>
        <w:t>l</w:t>
      </w:r>
      <w:r w:rsidRPr="00F50C10">
        <w:rPr>
          <w:rFonts w:cs="Times New Roman"/>
          <w:b w:val="0"/>
          <w:i/>
          <w:iCs/>
          <w:szCs w:val="24"/>
          <w:vertAlign w:val="subscript"/>
        </w:rPr>
        <w:t>s</w:t>
      </w:r>
      <w:r w:rsidRPr="00F50C10">
        <w:rPr>
          <w:rFonts w:cs="Times New Roman"/>
          <w:b w:val="0"/>
          <w:szCs w:val="24"/>
        </w:rPr>
        <w:t>), </w:t>
      </w:r>
      <w:r w:rsidR="008E4BF1" w:rsidRPr="00F50C10">
        <w:rPr>
          <w:rFonts w:cs="Times New Roman"/>
          <w:b w:val="0"/>
          <w:bCs/>
          <w:szCs w:val="24"/>
        </w:rPr>
        <w:t xml:space="preserve">aşağıdaki denklem </w:t>
      </w:r>
      <w:r w:rsidR="003A3CEB" w:rsidRPr="00F50C10">
        <w:rPr>
          <w:rFonts w:cs="Times New Roman"/>
          <w:b w:val="0"/>
          <w:bCs/>
          <w:szCs w:val="24"/>
        </w:rPr>
        <w:t xml:space="preserve">1 </w:t>
      </w:r>
      <w:r w:rsidRPr="00F50C10">
        <w:rPr>
          <w:rFonts w:cs="Times New Roman"/>
          <w:b w:val="0"/>
          <w:szCs w:val="24"/>
        </w:rPr>
        <w:t>kullanılarak hesaplanır:</w:t>
      </w:r>
    </w:p>
    <w:tbl>
      <w:tblPr>
        <w:tblStyle w:val="TableNormal1"/>
        <w:tblW w:w="0" w:type="auto"/>
        <w:tblInd w:w="1870" w:type="dxa"/>
        <w:tblLayout w:type="fixed"/>
        <w:tblLook w:val="01E0" w:firstRow="1" w:lastRow="1" w:firstColumn="1" w:lastColumn="1" w:noHBand="0" w:noVBand="0"/>
      </w:tblPr>
      <w:tblGrid>
        <w:gridCol w:w="1986"/>
        <w:gridCol w:w="2333"/>
      </w:tblGrid>
      <w:tr w:rsidR="003A3CEB" w:rsidRPr="00F50C10" w14:paraId="39A43FCC" w14:textId="77777777" w:rsidTr="00B2620A">
        <w:trPr>
          <w:trHeight w:val="876"/>
        </w:trPr>
        <w:tc>
          <w:tcPr>
            <w:tcW w:w="1986" w:type="dxa"/>
          </w:tcPr>
          <w:p w14:paraId="2883BB4B" w14:textId="77777777" w:rsidR="003A3CEB" w:rsidRPr="00F50C10" w:rsidRDefault="003A3CEB" w:rsidP="000B206D">
            <w:pPr>
              <w:pStyle w:val="TableParagraph"/>
              <w:spacing w:before="2" w:line="276" w:lineRule="auto"/>
              <w:rPr>
                <w:szCs w:val="24"/>
              </w:rPr>
            </w:pPr>
          </w:p>
          <w:p w14:paraId="60B4FC31" w14:textId="77777777" w:rsidR="003A3CEB" w:rsidRPr="00F50C10" w:rsidRDefault="003A3CEB" w:rsidP="000B206D">
            <w:pPr>
              <w:pStyle w:val="TableParagraph"/>
              <w:spacing w:before="1" w:line="276" w:lineRule="auto"/>
              <w:ind w:left="200"/>
              <w:rPr>
                <w:szCs w:val="24"/>
              </w:rPr>
            </w:pPr>
            <w:r w:rsidRPr="00F50C10">
              <w:rPr>
                <w:szCs w:val="24"/>
                <w:lang w:bidi="tr-TR"/>
              </w:rPr>
              <w:t>Denklem 1:</w:t>
            </w:r>
          </w:p>
        </w:tc>
        <w:tc>
          <w:tcPr>
            <w:tcW w:w="2333" w:type="dxa"/>
          </w:tcPr>
          <w:p w14:paraId="1A3BDCBD" w14:textId="77777777" w:rsidR="003A3CEB" w:rsidRPr="00F50C10" w:rsidRDefault="003A3CEB" w:rsidP="000B206D">
            <w:pPr>
              <w:pStyle w:val="TableParagraph"/>
              <w:spacing w:before="4" w:line="276" w:lineRule="auto"/>
              <w:ind w:left="1521"/>
              <w:rPr>
                <w:rFonts w:eastAsia="Trebuchet MS"/>
                <w:szCs w:val="24"/>
              </w:rPr>
            </w:pPr>
            <w:r w:rsidRPr="00F50C10">
              <w:rPr>
                <w:rFonts w:ascii="Cambria Math" w:hAnsi="Cambria Math" w:cs="Cambria Math"/>
                <w:w w:val="115"/>
                <w:szCs w:val="24"/>
                <w:lang w:bidi="tr-TR"/>
              </w:rPr>
              <w:t>𝑛</w:t>
            </w:r>
          </w:p>
          <w:p w14:paraId="058FF895" w14:textId="77777777" w:rsidR="003A3CEB" w:rsidRPr="00F50C10" w:rsidRDefault="003A3CEB" w:rsidP="000B206D">
            <w:pPr>
              <w:pStyle w:val="TableParagraph"/>
              <w:spacing w:line="276" w:lineRule="auto"/>
              <w:ind w:left="766"/>
              <w:rPr>
                <w:rFonts w:eastAsia="Trebuchet MS"/>
                <w:szCs w:val="24"/>
              </w:rPr>
            </w:pPr>
            <w:r w:rsidRPr="00F50C10">
              <w:rPr>
                <w:rFonts w:ascii="Cambria Math" w:hAnsi="Cambria Math" w:cs="Cambria Math"/>
                <w:w w:val="95"/>
                <w:position w:val="-18"/>
                <w:szCs w:val="24"/>
                <w:lang w:bidi="tr-TR"/>
              </w:rPr>
              <w:t>𝑙</w:t>
            </w:r>
            <w:r w:rsidRPr="00F50C10">
              <w:rPr>
                <w:w w:val="95"/>
                <w:position w:val="-18"/>
                <w:szCs w:val="24"/>
                <w:lang w:bidi="tr-TR"/>
              </w:rPr>
              <w:t xml:space="preserve"> = </w:t>
            </w:r>
            <w:r w:rsidRPr="00F50C10">
              <w:rPr>
                <w:w w:val="125"/>
                <w:szCs w:val="24"/>
                <w:lang w:bidi="tr-TR"/>
              </w:rPr>
              <w:t xml:space="preserve">1 </w:t>
            </w:r>
            <w:r w:rsidRPr="00F50C10">
              <w:rPr>
                <w:w w:val="220"/>
                <w:position w:val="-18"/>
                <w:szCs w:val="24"/>
                <w:lang w:bidi="tr-TR"/>
              </w:rPr>
              <w:t xml:space="preserve">Σ </w:t>
            </w:r>
            <w:r w:rsidRPr="00F50C10">
              <w:rPr>
                <w:rFonts w:ascii="Cambria Math" w:hAnsi="Cambria Math" w:cs="Cambria Math"/>
                <w:spacing w:val="2"/>
                <w:w w:val="95"/>
                <w:szCs w:val="24"/>
                <w:lang w:bidi="tr-TR"/>
              </w:rPr>
              <w:t>𝑐</w:t>
            </w:r>
            <w:r w:rsidRPr="00F50C10">
              <w:rPr>
                <w:rFonts w:ascii="Cambria Math" w:hAnsi="Cambria Math" w:cs="Cambria Math"/>
                <w:spacing w:val="2"/>
                <w:w w:val="95"/>
                <w:szCs w:val="24"/>
                <w:vertAlign w:val="subscript"/>
                <w:lang w:bidi="tr-TR"/>
              </w:rPr>
              <w:t>𝑖</w:t>
            </w:r>
            <w:r w:rsidRPr="00F50C10">
              <w:rPr>
                <w:rFonts w:ascii="Cambria Math" w:hAnsi="Cambria Math" w:cs="Cambria Math"/>
                <w:spacing w:val="2"/>
                <w:w w:val="95"/>
                <w:szCs w:val="24"/>
                <w:lang w:bidi="tr-TR"/>
              </w:rPr>
              <w:t>𝑞</w:t>
            </w:r>
            <w:r w:rsidRPr="00F50C10">
              <w:rPr>
                <w:rFonts w:ascii="Cambria Math" w:hAnsi="Cambria Math" w:cs="Cambria Math"/>
                <w:spacing w:val="2"/>
                <w:w w:val="95"/>
                <w:szCs w:val="24"/>
                <w:vertAlign w:val="subscript"/>
                <w:lang w:bidi="tr-TR"/>
              </w:rPr>
              <w:t>𝑖</w:t>
            </w:r>
          </w:p>
          <w:p w14:paraId="7F402F43" w14:textId="77777777" w:rsidR="003A3CEB" w:rsidRPr="00F50C10" w:rsidRDefault="003A3CEB" w:rsidP="000B206D">
            <w:pPr>
              <w:pStyle w:val="TableParagraph"/>
              <w:tabs>
                <w:tab w:val="left" w:pos="1241"/>
                <w:tab w:val="left" w:pos="1858"/>
              </w:tabs>
              <w:spacing w:line="276" w:lineRule="auto"/>
              <w:ind w:left="841"/>
              <w:rPr>
                <w:rFonts w:eastAsia="Trebuchet MS"/>
                <w:szCs w:val="24"/>
              </w:rPr>
            </w:pPr>
            <w:r w:rsidRPr="00F50C10">
              <w:rPr>
                <w:rFonts w:ascii="Cambria Math" w:hAnsi="Cambria Math" w:cs="Cambria Math"/>
                <w:szCs w:val="24"/>
                <w:vertAlign w:val="superscript"/>
                <w:lang w:bidi="tr-TR"/>
              </w:rPr>
              <w:t>𝑠</w:t>
            </w:r>
            <w:r w:rsidRPr="00F50C10">
              <w:rPr>
                <w:szCs w:val="24"/>
                <w:lang w:bidi="tr-TR"/>
              </w:rPr>
              <w:tab/>
            </w:r>
            <w:r w:rsidRPr="00F50C10">
              <w:rPr>
                <w:rFonts w:ascii="Cambria Math" w:hAnsi="Cambria Math" w:cs="Cambria Math"/>
                <w:szCs w:val="24"/>
                <w:lang w:bidi="tr-TR"/>
              </w:rPr>
              <w:t>𝑛</w:t>
            </w:r>
            <w:r w:rsidRPr="00F50C10">
              <w:rPr>
                <w:szCs w:val="24"/>
                <w:lang w:bidi="tr-TR"/>
              </w:rPr>
              <w:tab/>
            </w:r>
            <w:r w:rsidRPr="00F50C10">
              <w:rPr>
                <w:rFonts w:ascii="Cambria Math" w:hAnsi="Cambria Math" w:cs="Cambria Math"/>
                <w:szCs w:val="24"/>
                <w:lang w:bidi="tr-TR"/>
              </w:rPr>
              <w:t>𝑝</w:t>
            </w:r>
            <w:r w:rsidRPr="00F50C10">
              <w:rPr>
                <w:rFonts w:ascii="Cambria Math" w:hAnsi="Cambria Math" w:cs="Cambria Math"/>
                <w:spacing w:val="-4"/>
                <w:szCs w:val="24"/>
                <w:vertAlign w:val="subscript"/>
                <w:lang w:bidi="tr-TR"/>
              </w:rPr>
              <w:t>𝑖</w:t>
            </w:r>
          </w:p>
          <w:p w14:paraId="5C6213F3" w14:textId="77777777" w:rsidR="003A3CEB" w:rsidRPr="00F50C10" w:rsidRDefault="003A3CEB" w:rsidP="000B206D">
            <w:pPr>
              <w:pStyle w:val="TableParagraph"/>
              <w:spacing w:line="276" w:lineRule="auto"/>
              <w:ind w:left="1435"/>
              <w:rPr>
                <w:rFonts w:eastAsia="Trebuchet MS"/>
                <w:szCs w:val="24"/>
              </w:rPr>
            </w:pPr>
            <w:r w:rsidRPr="00F50C10">
              <w:rPr>
                <w:rFonts w:ascii="Cambria Math" w:hAnsi="Cambria Math" w:cs="Cambria Math"/>
                <w:spacing w:val="10"/>
                <w:w w:val="62"/>
                <w:szCs w:val="24"/>
                <w:lang w:bidi="tr-TR"/>
              </w:rPr>
              <w:t>𝑖</w:t>
            </w:r>
            <w:r w:rsidRPr="00F50C10">
              <w:rPr>
                <w:spacing w:val="10"/>
                <w:w w:val="62"/>
                <w:szCs w:val="24"/>
                <w:lang w:bidi="tr-TR"/>
              </w:rPr>
              <w:t>=1</w:t>
            </w:r>
          </w:p>
        </w:tc>
      </w:tr>
    </w:tbl>
    <w:p w14:paraId="6B1DF0C3" w14:textId="77777777" w:rsidR="003A3CEB" w:rsidRPr="00F50C10" w:rsidRDefault="003A3CEB" w:rsidP="000B206D">
      <w:pPr>
        <w:spacing w:line="276" w:lineRule="auto"/>
        <w:rPr>
          <w:rFonts w:cs="Times New Roman"/>
          <w:szCs w:val="24"/>
        </w:rPr>
      </w:pPr>
    </w:p>
    <w:p w14:paraId="6D532401" w14:textId="016BCB90" w:rsidR="008E4BF1" w:rsidRPr="00F50C10" w:rsidRDefault="008E4BF1" w:rsidP="000B206D">
      <w:pPr>
        <w:spacing w:line="276" w:lineRule="auto"/>
        <w:jc w:val="left"/>
        <w:rPr>
          <w:rFonts w:eastAsiaTheme="minorEastAsia" w:cs="Times New Roman"/>
          <w:szCs w:val="24"/>
        </w:rPr>
      </w:pPr>
      <w:r w:rsidRPr="00F50C10">
        <w:rPr>
          <w:rFonts w:eastAsiaTheme="minorEastAsia" w:cs="Times New Roman"/>
          <w:szCs w:val="24"/>
        </w:rPr>
        <w:t>Burada:</w:t>
      </w:r>
    </w:p>
    <w:p w14:paraId="7CC19565" w14:textId="3F68B5BF" w:rsidR="008E4BF1" w:rsidRPr="00F50C10" w:rsidRDefault="008E4BF1" w:rsidP="00A654AE">
      <w:pPr>
        <w:numPr>
          <w:ilvl w:val="0"/>
          <w:numId w:val="169"/>
        </w:numPr>
        <w:spacing w:line="276" w:lineRule="auto"/>
        <w:jc w:val="left"/>
        <w:rPr>
          <w:rFonts w:cs="Times New Roman"/>
          <w:szCs w:val="24"/>
          <w:lang w:val="tr-TR"/>
        </w:rPr>
      </w:pPr>
      <w:r w:rsidRPr="00F50C10">
        <w:rPr>
          <w:rFonts w:cs="Times New Roman"/>
          <w:i/>
          <w:iCs/>
          <w:szCs w:val="24"/>
          <w:lang w:val="tr-TR"/>
        </w:rPr>
        <w:t>n</w:t>
      </w:r>
      <w:r w:rsidRPr="00F50C10">
        <w:rPr>
          <w:rFonts w:cs="Times New Roman"/>
          <w:szCs w:val="24"/>
          <w:lang w:val="tr-TR"/>
        </w:rPr>
        <w:t xml:space="preserve">: </w:t>
      </w:r>
      <w:r w:rsidR="00F45DE8" w:rsidRPr="00F50C10">
        <w:rPr>
          <w:rFonts w:cs="Times New Roman"/>
          <w:szCs w:val="24"/>
          <w:lang w:val="tr-TR"/>
        </w:rPr>
        <w:t>ö</w:t>
      </w:r>
      <w:r w:rsidRPr="00F50C10">
        <w:rPr>
          <w:rFonts w:cs="Times New Roman"/>
          <w:szCs w:val="24"/>
          <w:lang w:val="tr-TR"/>
        </w:rPr>
        <w:t>lçüm periyotlarının sayısı,</w:t>
      </w:r>
    </w:p>
    <w:p w14:paraId="298D3223" w14:textId="5ED8528C" w:rsidR="008E4BF1" w:rsidRPr="00F50C10" w:rsidRDefault="002A1746" w:rsidP="00A654AE">
      <w:pPr>
        <w:numPr>
          <w:ilvl w:val="0"/>
          <w:numId w:val="169"/>
        </w:numPr>
        <w:spacing w:line="276" w:lineRule="auto"/>
        <w:jc w:val="left"/>
        <w:rPr>
          <w:rFonts w:cs="Times New Roman"/>
          <w:szCs w:val="24"/>
          <w:lang w:val="tr-TR"/>
        </w:rPr>
      </w:pP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i</m:t>
            </m:r>
          </m:sub>
        </m:sSub>
      </m:oMath>
      <w:r w:rsidR="008E4BF1" w:rsidRPr="00F50C10">
        <w:rPr>
          <w:rFonts w:cs="Times New Roman"/>
          <w:szCs w:val="24"/>
          <w:lang w:val="tr-TR"/>
        </w:rPr>
        <w:t>​: </w:t>
      </w:r>
      <w:r w:rsidR="008E4BF1" w:rsidRPr="00F50C10">
        <w:rPr>
          <w:rFonts w:cs="Times New Roman"/>
          <w:i/>
          <w:iCs/>
          <w:szCs w:val="24"/>
          <w:lang w:val="tr-TR"/>
        </w:rPr>
        <w:t>i</w:t>
      </w:r>
      <w:r w:rsidR="008E4BF1" w:rsidRPr="00F50C10">
        <w:rPr>
          <w:rFonts w:cs="Times New Roman"/>
          <w:szCs w:val="24"/>
          <w:lang w:val="tr-TR"/>
        </w:rPr>
        <w:t>. ölçüm periyodundaki maddenin ortalama konsantrasyonu,</w:t>
      </w:r>
    </w:p>
    <w:p w14:paraId="28C93884" w14:textId="53D422BA" w:rsidR="008E4BF1" w:rsidRPr="00F50C10" w:rsidRDefault="002A1746" w:rsidP="00A654AE">
      <w:pPr>
        <w:numPr>
          <w:ilvl w:val="0"/>
          <w:numId w:val="169"/>
        </w:numPr>
        <w:spacing w:line="276" w:lineRule="auto"/>
        <w:jc w:val="left"/>
        <w:rPr>
          <w:rFonts w:cs="Times New Roman"/>
          <w:szCs w:val="24"/>
          <w:lang w:val="tr-TR"/>
        </w:rPr>
      </w:pPr>
      <m:oMath>
        <m:sSub>
          <m:sSubPr>
            <m:ctrlPr>
              <w:rPr>
                <w:rFonts w:ascii="Cambria Math" w:hAnsi="Cambria Math" w:cs="Times New Roman"/>
                <w:i/>
                <w:szCs w:val="24"/>
              </w:rPr>
            </m:ctrlPr>
          </m:sSubPr>
          <m:e>
            <m:r>
              <w:rPr>
                <w:rFonts w:ascii="Cambria Math" w:hAnsi="Cambria Math" w:cs="Times New Roman"/>
                <w:szCs w:val="24"/>
              </w:rPr>
              <m:t>q</m:t>
            </m:r>
          </m:e>
          <m:sub>
            <m:r>
              <w:rPr>
                <w:rFonts w:ascii="Cambria Math" w:hAnsi="Cambria Math" w:cs="Times New Roman"/>
                <w:szCs w:val="24"/>
              </w:rPr>
              <m:t>i</m:t>
            </m:r>
          </m:sub>
        </m:sSub>
      </m:oMath>
      <w:r w:rsidR="008E4BF1" w:rsidRPr="00F50C10">
        <w:rPr>
          <w:rFonts w:cs="Times New Roman"/>
          <w:szCs w:val="24"/>
          <w:lang w:val="tr-TR"/>
        </w:rPr>
        <w:t>​: </w:t>
      </w:r>
      <w:r w:rsidR="008E4BF1" w:rsidRPr="00F50C10">
        <w:rPr>
          <w:rFonts w:cs="Times New Roman"/>
          <w:i/>
          <w:iCs/>
          <w:szCs w:val="24"/>
          <w:lang w:val="tr-TR"/>
        </w:rPr>
        <w:t>i</w:t>
      </w:r>
      <w:r w:rsidR="008E4BF1" w:rsidRPr="00F50C10">
        <w:rPr>
          <w:rFonts w:cs="Times New Roman"/>
          <w:szCs w:val="24"/>
          <w:lang w:val="tr-TR"/>
        </w:rPr>
        <w:t>. ölçüm periyodundaki ortalama debi (atık gaz akış hızı),</w:t>
      </w:r>
    </w:p>
    <w:p w14:paraId="5CE1F0FF" w14:textId="6168324B" w:rsidR="008E4BF1" w:rsidRPr="00F50C10" w:rsidRDefault="002A1746" w:rsidP="00A654AE">
      <w:pPr>
        <w:numPr>
          <w:ilvl w:val="0"/>
          <w:numId w:val="169"/>
        </w:numPr>
        <w:spacing w:line="276" w:lineRule="auto"/>
        <w:jc w:val="left"/>
        <w:rPr>
          <w:rFonts w:cs="Times New Roman"/>
          <w:szCs w:val="24"/>
          <w:lang w:val="tr-TR"/>
        </w:rPr>
      </w:pPr>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i</m:t>
            </m:r>
          </m:sub>
        </m:sSub>
      </m:oMath>
      <w:r w:rsidR="008E4BF1" w:rsidRPr="00F50C10">
        <w:rPr>
          <w:rFonts w:cs="Times New Roman"/>
          <w:szCs w:val="24"/>
          <w:lang w:val="tr-TR"/>
        </w:rPr>
        <w:t>​: </w:t>
      </w:r>
      <w:r w:rsidR="008E4BF1" w:rsidRPr="00F50C10">
        <w:rPr>
          <w:rFonts w:cs="Times New Roman"/>
          <w:i/>
          <w:iCs/>
          <w:szCs w:val="24"/>
          <w:lang w:val="tr-TR"/>
        </w:rPr>
        <w:t>i</w:t>
      </w:r>
      <w:r w:rsidR="008E4BF1" w:rsidRPr="00F50C10">
        <w:rPr>
          <w:rFonts w:cs="Times New Roman"/>
          <w:szCs w:val="24"/>
          <w:lang w:val="tr-TR"/>
        </w:rPr>
        <w:t>. ölçüm periyodundaki üretim çıktısı.</w:t>
      </w:r>
    </w:p>
    <w:p w14:paraId="0627619E" w14:textId="4A62E72C" w:rsidR="00D747D7" w:rsidRPr="00F50C10" w:rsidRDefault="00D747D7" w:rsidP="000B206D">
      <w:pPr>
        <w:spacing w:before="100" w:beforeAutospacing="1" w:after="100" w:afterAutospacing="1" w:line="276" w:lineRule="auto"/>
        <w:outlineLvl w:val="3"/>
        <w:rPr>
          <w:rFonts w:eastAsia="Times New Roman" w:cs="Times New Roman"/>
          <w:b/>
          <w:bCs/>
          <w:color w:val="000000"/>
          <w:szCs w:val="24"/>
          <w:lang w:val="tr-TR" w:eastAsia="tr-TR"/>
        </w:rPr>
      </w:pPr>
      <w:r w:rsidRPr="00F50C10">
        <w:rPr>
          <w:rFonts w:eastAsia="Times New Roman" w:cs="Times New Roman"/>
          <w:b/>
          <w:bCs/>
          <w:color w:val="000000"/>
          <w:szCs w:val="24"/>
          <w:lang w:val="tr-TR" w:eastAsia="tr-TR"/>
        </w:rPr>
        <w:t xml:space="preserve">1.2 </w:t>
      </w:r>
      <w:r w:rsidR="008E4BF1" w:rsidRPr="00F50C10">
        <w:rPr>
          <w:rFonts w:eastAsia="Times New Roman" w:cs="Times New Roman"/>
          <w:b/>
          <w:bCs/>
          <w:color w:val="000000"/>
          <w:szCs w:val="24"/>
          <w:lang w:val="tr-TR" w:eastAsia="tr-TR"/>
        </w:rPr>
        <w:t>R</w:t>
      </w:r>
      <w:r w:rsidRPr="00F50C10">
        <w:rPr>
          <w:rFonts w:eastAsia="Times New Roman" w:cs="Times New Roman"/>
          <w:b/>
          <w:bCs/>
          <w:color w:val="000000"/>
          <w:szCs w:val="24"/>
          <w:lang w:val="tr-TR" w:eastAsia="tr-TR"/>
        </w:rPr>
        <w:t>eferans Oksijen Seviyesi</w:t>
      </w:r>
    </w:p>
    <w:p w14:paraId="19360BAB" w14:textId="2D9743D1" w:rsidR="00D747D7" w:rsidRPr="00F50C10" w:rsidRDefault="00D747D7" w:rsidP="000B206D">
      <w:pPr>
        <w:spacing w:before="100" w:beforeAutospacing="1" w:after="100" w:afterAutospacing="1" w:line="276" w:lineRule="auto"/>
        <w:rPr>
          <w:rFonts w:eastAsia="Times New Roman" w:cs="Times New Roman"/>
          <w:color w:val="000000"/>
          <w:szCs w:val="24"/>
          <w:lang w:val="tr-TR" w:eastAsia="tr-TR"/>
        </w:rPr>
      </w:pPr>
      <w:r w:rsidRPr="00F50C10">
        <w:rPr>
          <w:rFonts w:eastAsia="Times New Roman" w:cs="Times New Roman"/>
          <w:color w:val="000000"/>
          <w:szCs w:val="24"/>
          <w:lang w:val="tr-TR" w:eastAsia="tr-TR"/>
        </w:rPr>
        <w:t>Proses fırınları/ısıtıcıları için atık gazların referans oksijen seviyesi hacimce (</w:t>
      </w:r>
      <m:oMath>
        <m:sSub>
          <m:sSubPr>
            <m:ctrlPr>
              <w:rPr>
                <w:rFonts w:ascii="Cambria Math" w:hAnsi="Cambria Math" w:cs="Times New Roman"/>
                <w:i/>
                <w:szCs w:val="24"/>
              </w:rPr>
            </m:ctrlPr>
          </m:sSubPr>
          <m:e>
            <m:r>
              <w:rPr>
                <w:rFonts w:ascii="Cambria Math" w:hAnsi="Cambria Math" w:cs="Times New Roman"/>
                <w:szCs w:val="24"/>
              </w:rPr>
              <m:t>O</m:t>
            </m:r>
          </m:e>
          <m:sub>
            <m:r>
              <w:rPr>
                <w:rFonts w:ascii="Cambria Math" w:hAnsi="Cambria Math" w:cs="Times New Roman"/>
                <w:szCs w:val="24"/>
              </w:rPr>
              <m:t>R</m:t>
            </m:r>
          </m:sub>
        </m:sSub>
      </m:oMath>
      <w:r w:rsidRPr="00F50C10">
        <w:rPr>
          <w:rFonts w:eastAsia="Times New Roman" w:cs="Times New Roman"/>
          <w:color w:val="000000"/>
          <w:szCs w:val="24"/>
          <w:lang w:val="tr-TR" w:eastAsia="tr-TR"/>
        </w:rPr>
        <w:t>​) </w:t>
      </w:r>
      <w:r w:rsidRPr="00F50C10">
        <w:rPr>
          <w:rFonts w:eastAsia="Times New Roman" w:cs="Times New Roman"/>
          <w:b/>
          <w:bCs/>
          <w:color w:val="000000"/>
          <w:szCs w:val="24"/>
          <w:lang w:val="tr-TR" w:eastAsia="tr-TR"/>
        </w:rPr>
        <w:t xml:space="preserve">%3 </w:t>
      </w:r>
      <w:r w:rsidRPr="00F50C10">
        <w:rPr>
          <w:rFonts w:eastAsia="Times New Roman" w:cs="Times New Roman"/>
          <w:color w:val="000000"/>
          <w:szCs w:val="24"/>
          <w:lang w:val="tr-TR" w:eastAsia="tr-TR"/>
        </w:rPr>
        <w:t>olarak kabul edilir.</w:t>
      </w:r>
    </w:p>
    <w:p w14:paraId="7DC4EAF4" w14:textId="7C1A9EA9" w:rsidR="007B1B69" w:rsidRPr="00F50C10" w:rsidRDefault="00326F19" w:rsidP="000B206D">
      <w:pPr>
        <w:pStyle w:val="Balk1"/>
        <w:numPr>
          <w:ilvl w:val="0"/>
          <w:numId w:val="0"/>
        </w:numPr>
        <w:spacing w:before="240" w:line="276" w:lineRule="auto"/>
        <w:jc w:val="left"/>
        <w:rPr>
          <w:rFonts w:cs="Times New Roman"/>
          <w:bCs/>
          <w:szCs w:val="24"/>
        </w:rPr>
      </w:pPr>
      <w:r w:rsidRPr="00F50C10">
        <w:rPr>
          <w:rFonts w:cs="Times New Roman"/>
          <w:szCs w:val="24"/>
        </w:rPr>
        <w:t>1.3</w:t>
      </w:r>
      <w:r w:rsidR="007B1B69" w:rsidRPr="00F50C10">
        <w:rPr>
          <w:rFonts w:cs="Times New Roman"/>
          <w:szCs w:val="24"/>
        </w:rPr>
        <w:t xml:space="preserve"> Referans Oksi</w:t>
      </w:r>
      <w:r w:rsidR="00D747D7" w:rsidRPr="00F50C10">
        <w:rPr>
          <w:rFonts w:cs="Times New Roman"/>
          <w:szCs w:val="24"/>
        </w:rPr>
        <w:t>j</w:t>
      </w:r>
      <w:r w:rsidR="007B1B69" w:rsidRPr="00F50C10">
        <w:rPr>
          <w:rFonts w:cs="Times New Roman"/>
          <w:szCs w:val="24"/>
        </w:rPr>
        <w:t>en Konsantrasyonuna Dönüştürme</w:t>
      </w:r>
    </w:p>
    <w:p w14:paraId="57F7E411" w14:textId="6ABA896E" w:rsidR="003A3CEB" w:rsidRPr="00F50C10" w:rsidRDefault="003A3CEB" w:rsidP="000B206D">
      <w:pPr>
        <w:spacing w:line="276" w:lineRule="auto"/>
        <w:rPr>
          <w:rFonts w:cs="Times New Roman"/>
          <w:szCs w:val="24"/>
        </w:rPr>
      </w:pPr>
      <w:r w:rsidRPr="00F50C10">
        <w:rPr>
          <w:rFonts w:cs="Times New Roman"/>
          <w:szCs w:val="24"/>
        </w:rPr>
        <w:t>Referans oksijen seviyesindeki emisyon konsantrasyonu Denklem 2 kullanılarak hesaplanır</w:t>
      </w:r>
      <w:r w:rsidRPr="00F50C10" w:rsidDel="003A3CEB">
        <w:rPr>
          <w:rFonts w:cs="Times New Roman"/>
          <w:szCs w:val="24"/>
          <w:lang w:bidi="tr-TR"/>
        </w:rPr>
        <w:t xml:space="preserve"> </w:t>
      </w:r>
      <w:r w:rsidRPr="00F50C10">
        <w:rPr>
          <w:rFonts w:cs="Times New Roman"/>
          <w:szCs w:val="24"/>
          <w:lang w:bidi="tr-TR"/>
        </w:rPr>
        <w:t>:</w:t>
      </w:r>
    </w:p>
    <w:tbl>
      <w:tblPr>
        <w:tblStyle w:val="TableNormal1"/>
        <w:tblW w:w="0" w:type="auto"/>
        <w:tblInd w:w="1870" w:type="dxa"/>
        <w:tblLayout w:type="fixed"/>
        <w:tblLook w:val="01E0" w:firstRow="1" w:lastRow="1" w:firstColumn="1" w:lastColumn="1" w:noHBand="0" w:noVBand="0"/>
      </w:tblPr>
      <w:tblGrid>
        <w:gridCol w:w="1217"/>
        <w:gridCol w:w="2668"/>
      </w:tblGrid>
      <w:tr w:rsidR="003A3CEB" w:rsidRPr="00F50C10" w14:paraId="78AC1A02" w14:textId="77777777" w:rsidTr="00B2620A">
        <w:trPr>
          <w:trHeight w:val="675"/>
        </w:trPr>
        <w:tc>
          <w:tcPr>
            <w:tcW w:w="1217" w:type="dxa"/>
            <w:vAlign w:val="center"/>
          </w:tcPr>
          <w:p w14:paraId="5BF532BF" w14:textId="77777777" w:rsidR="003A3CEB" w:rsidRPr="00F50C10" w:rsidRDefault="003A3CEB" w:rsidP="000B206D">
            <w:pPr>
              <w:pStyle w:val="TableParagraph"/>
              <w:spacing w:line="276" w:lineRule="auto"/>
              <w:ind w:left="200"/>
              <w:jc w:val="center"/>
              <w:rPr>
                <w:szCs w:val="24"/>
              </w:rPr>
            </w:pPr>
            <w:r w:rsidRPr="00F50C10">
              <w:rPr>
                <w:szCs w:val="24"/>
                <w:lang w:bidi="tr-TR"/>
              </w:rPr>
              <w:t>Denklem 2:</w:t>
            </w:r>
          </w:p>
        </w:tc>
        <w:tc>
          <w:tcPr>
            <w:tcW w:w="2668" w:type="dxa"/>
            <w:vAlign w:val="center"/>
          </w:tcPr>
          <w:p w14:paraId="68A8A9AB" w14:textId="77777777" w:rsidR="003A3CEB" w:rsidRPr="00F50C10" w:rsidRDefault="003A3CEB" w:rsidP="000B206D">
            <w:pPr>
              <w:pStyle w:val="TableParagraph"/>
              <w:spacing w:before="21" w:line="276" w:lineRule="auto"/>
              <w:ind w:left="632"/>
              <w:jc w:val="center"/>
              <w:rPr>
                <w:rFonts w:eastAsia="Trebuchet MS"/>
                <w:szCs w:val="24"/>
              </w:rPr>
            </w:pPr>
            <w:r w:rsidRPr="00F50C10">
              <w:rPr>
                <w:rFonts w:ascii="Cambria Math" w:hAnsi="Cambria Math" w:cs="Cambria Math"/>
                <w:w w:val="125"/>
                <w:position w:val="-18"/>
                <w:szCs w:val="24"/>
                <w:lang w:bidi="tr-TR"/>
              </w:rPr>
              <w:t>𝐸</w:t>
            </w:r>
            <w:r w:rsidRPr="00F50C10">
              <w:rPr>
                <w:w w:val="125"/>
                <w:position w:val="-18"/>
                <w:szCs w:val="24"/>
                <w:lang w:bidi="tr-TR"/>
              </w:rPr>
              <w:t xml:space="preserve"> = </w:t>
            </w:r>
            <w:r w:rsidRPr="00F50C10">
              <w:rPr>
                <w:w w:val="125"/>
                <w:szCs w:val="24"/>
                <w:lang w:bidi="tr-TR"/>
              </w:rPr>
              <w:t xml:space="preserve">21 − </w:t>
            </w:r>
            <w:r w:rsidRPr="00F50C10">
              <w:rPr>
                <w:rFonts w:ascii="Cambria Math" w:hAnsi="Cambria Math" w:cs="Cambria Math"/>
                <w:w w:val="125"/>
                <w:szCs w:val="24"/>
                <w:lang w:bidi="tr-TR"/>
              </w:rPr>
              <w:t>𝑂</w:t>
            </w:r>
            <w:r w:rsidRPr="00F50C10">
              <w:rPr>
                <w:rFonts w:ascii="Cambria Math" w:hAnsi="Cambria Math" w:cs="Cambria Math"/>
                <w:w w:val="125"/>
                <w:szCs w:val="24"/>
                <w:vertAlign w:val="subscript"/>
                <w:lang w:bidi="tr-TR"/>
              </w:rPr>
              <w:t>𝑅</w:t>
            </w:r>
            <w:r w:rsidRPr="00F50C10">
              <w:rPr>
                <w:w w:val="125"/>
                <w:position w:val="-18"/>
                <w:szCs w:val="24"/>
                <w:lang w:bidi="tr-TR"/>
              </w:rPr>
              <w:t xml:space="preserve"> × </w:t>
            </w:r>
            <w:r w:rsidRPr="00F50C10">
              <w:rPr>
                <w:rFonts w:ascii="Cambria Math" w:hAnsi="Cambria Math" w:cs="Cambria Math"/>
                <w:w w:val="125"/>
                <w:position w:val="-18"/>
                <w:szCs w:val="24"/>
                <w:lang w:bidi="tr-TR"/>
              </w:rPr>
              <w:t>𝐸</w:t>
            </w:r>
          </w:p>
          <w:p w14:paraId="2981EE9F" w14:textId="77777777" w:rsidR="003A3CEB" w:rsidRPr="00F50C10" w:rsidRDefault="003A3CEB" w:rsidP="000B206D">
            <w:pPr>
              <w:pStyle w:val="TableParagraph"/>
              <w:tabs>
                <w:tab w:val="left" w:pos="1200"/>
                <w:tab w:val="left" w:pos="2458"/>
              </w:tabs>
              <w:spacing w:line="276" w:lineRule="auto"/>
              <w:ind w:left="766"/>
              <w:jc w:val="center"/>
              <w:rPr>
                <w:rFonts w:eastAsia="Trebuchet MS"/>
                <w:szCs w:val="24"/>
              </w:rPr>
            </w:pPr>
            <w:r w:rsidRPr="00F50C10">
              <w:rPr>
                <w:rFonts w:ascii="Cambria Math" w:hAnsi="Cambria Math" w:cs="Cambria Math"/>
                <w:w w:val="145"/>
                <w:position w:val="12"/>
                <w:szCs w:val="24"/>
                <w:lang w:bidi="tr-TR"/>
              </w:rPr>
              <w:t>𝑅</w:t>
            </w:r>
            <w:r w:rsidRPr="00F50C10">
              <w:rPr>
                <w:w w:val="145"/>
                <w:position w:val="12"/>
                <w:szCs w:val="24"/>
                <w:lang w:bidi="tr-TR"/>
              </w:rPr>
              <w:tab/>
            </w:r>
            <w:r w:rsidRPr="00F50C10">
              <w:rPr>
                <w:w w:val="125"/>
                <w:szCs w:val="24"/>
                <w:lang w:bidi="tr-TR"/>
              </w:rPr>
              <w:t xml:space="preserve">21 − </w:t>
            </w:r>
            <w:r w:rsidRPr="00F50C10">
              <w:rPr>
                <w:rFonts w:ascii="Cambria Math" w:hAnsi="Cambria Math" w:cs="Cambria Math"/>
                <w:w w:val="125"/>
                <w:szCs w:val="24"/>
                <w:lang w:bidi="tr-TR"/>
              </w:rPr>
              <w:t>𝑂</w:t>
            </w:r>
            <w:r w:rsidRPr="00F50C10">
              <w:rPr>
                <w:rFonts w:ascii="Cambria Math" w:hAnsi="Cambria Math" w:cs="Cambria Math"/>
                <w:spacing w:val="-5"/>
                <w:w w:val="145"/>
                <w:position w:val="-4"/>
                <w:szCs w:val="24"/>
                <w:lang w:bidi="tr-TR"/>
              </w:rPr>
              <w:t>𝑀</w:t>
            </w:r>
            <w:r w:rsidRPr="00F50C10">
              <w:rPr>
                <w:spacing w:val="-5"/>
                <w:w w:val="145"/>
                <w:position w:val="-4"/>
                <w:szCs w:val="24"/>
                <w:lang w:bidi="tr-TR"/>
              </w:rPr>
              <w:tab/>
            </w:r>
            <w:r w:rsidRPr="00F50C10">
              <w:rPr>
                <w:rFonts w:ascii="Cambria Math" w:hAnsi="Cambria Math" w:cs="Cambria Math"/>
                <w:w w:val="145"/>
                <w:position w:val="12"/>
                <w:szCs w:val="24"/>
                <w:lang w:bidi="tr-TR"/>
              </w:rPr>
              <w:t>𝑀</w:t>
            </w:r>
          </w:p>
        </w:tc>
      </w:tr>
    </w:tbl>
    <w:p w14:paraId="7D9AC0A5" w14:textId="77777777" w:rsidR="007B1B69" w:rsidRPr="00F50C10" w:rsidRDefault="007B1B69" w:rsidP="000B206D">
      <w:pPr>
        <w:pStyle w:val="GvdeMetni"/>
        <w:spacing w:before="92" w:line="276" w:lineRule="auto"/>
        <w:rPr>
          <w:sz w:val="24"/>
          <w:szCs w:val="24"/>
        </w:rPr>
      </w:pPr>
      <w:r w:rsidRPr="00F50C10">
        <w:rPr>
          <w:sz w:val="24"/>
          <w:szCs w:val="24"/>
          <w:lang w:bidi="tr-TR"/>
        </w:rPr>
        <w:t>Burada:</w:t>
      </w:r>
    </w:p>
    <w:p w14:paraId="34DD744D" w14:textId="24B59EBA" w:rsidR="007B1B69" w:rsidRPr="00F50C10" w:rsidRDefault="007B1B69" w:rsidP="000B206D">
      <w:pPr>
        <w:pStyle w:val="GvdeMetni"/>
        <w:spacing w:before="240" w:line="276" w:lineRule="auto"/>
        <w:ind w:left="332" w:right="2951"/>
        <w:rPr>
          <w:sz w:val="24"/>
          <w:szCs w:val="24"/>
          <w:lang w:bidi="tr-TR"/>
        </w:rPr>
      </w:pPr>
      <w:r w:rsidRPr="00F50C10">
        <w:rPr>
          <w:sz w:val="24"/>
          <w:szCs w:val="24"/>
          <w:lang w:bidi="tr-TR"/>
        </w:rPr>
        <w:t>E</w:t>
      </w:r>
      <w:r w:rsidRPr="00F50C10">
        <w:rPr>
          <w:sz w:val="24"/>
          <w:szCs w:val="24"/>
          <w:vertAlign w:val="subscript"/>
          <w:lang w:bidi="tr-TR"/>
        </w:rPr>
        <w:t>R</w:t>
      </w:r>
      <w:r w:rsidRPr="00F50C10">
        <w:rPr>
          <w:sz w:val="24"/>
          <w:szCs w:val="24"/>
          <w:lang w:bidi="tr-TR"/>
        </w:rPr>
        <w:t xml:space="preserve"> (mg/Nm</w:t>
      </w:r>
      <w:r w:rsidRPr="00F50C10">
        <w:rPr>
          <w:sz w:val="24"/>
          <w:szCs w:val="24"/>
          <w:vertAlign w:val="superscript"/>
          <w:lang w:bidi="tr-TR"/>
        </w:rPr>
        <w:t>3</w:t>
      </w:r>
      <w:r w:rsidRPr="00F50C10">
        <w:rPr>
          <w:sz w:val="24"/>
          <w:szCs w:val="24"/>
          <w:lang w:bidi="tr-TR"/>
        </w:rPr>
        <w:t>): referans oksijen seviyesindeki emisyon</w:t>
      </w:r>
      <w:r w:rsidR="00D747D7" w:rsidRPr="00F50C10">
        <w:rPr>
          <w:sz w:val="24"/>
          <w:szCs w:val="24"/>
          <w:lang w:bidi="tr-TR"/>
        </w:rPr>
        <w:t xml:space="preserve"> </w:t>
      </w:r>
      <w:r w:rsidRPr="00F50C10">
        <w:rPr>
          <w:sz w:val="24"/>
          <w:szCs w:val="24"/>
          <w:lang w:bidi="tr-TR"/>
        </w:rPr>
        <w:t xml:space="preserve">konsantrasyonu </w:t>
      </w:r>
    </w:p>
    <w:p w14:paraId="2EC37947" w14:textId="77777777" w:rsidR="007B1B69" w:rsidRPr="00F50C10" w:rsidRDefault="007B1B69" w:rsidP="000B206D">
      <w:pPr>
        <w:pStyle w:val="GvdeMetni"/>
        <w:spacing w:line="276" w:lineRule="auto"/>
        <w:ind w:left="332" w:right="2951"/>
        <w:rPr>
          <w:sz w:val="24"/>
          <w:szCs w:val="24"/>
        </w:rPr>
      </w:pPr>
      <w:r w:rsidRPr="00F50C10">
        <w:rPr>
          <w:sz w:val="24"/>
          <w:szCs w:val="24"/>
          <w:lang w:bidi="tr-TR"/>
        </w:rPr>
        <w:t>O</w:t>
      </w:r>
      <w:r w:rsidRPr="00F50C10">
        <w:rPr>
          <w:sz w:val="24"/>
          <w:szCs w:val="24"/>
          <w:vertAlign w:val="subscript"/>
          <w:lang w:bidi="tr-TR"/>
        </w:rPr>
        <w:t>R</w:t>
      </w:r>
      <w:r w:rsidRPr="00F50C10">
        <w:rPr>
          <w:sz w:val="24"/>
          <w:szCs w:val="24"/>
          <w:lang w:bidi="tr-TR"/>
        </w:rPr>
        <w:t xml:space="preserve"> (hacimce %): referans oksijen seviyesi</w:t>
      </w:r>
    </w:p>
    <w:p w14:paraId="1C106153" w14:textId="028C022E" w:rsidR="007B1B69" w:rsidRPr="00F50C10" w:rsidRDefault="007B1B69" w:rsidP="000B206D">
      <w:pPr>
        <w:pStyle w:val="GvdeMetni"/>
        <w:spacing w:line="276" w:lineRule="auto"/>
        <w:ind w:left="332" w:hanging="1"/>
        <w:rPr>
          <w:sz w:val="24"/>
          <w:szCs w:val="24"/>
          <w:lang w:bidi="tr-TR"/>
        </w:rPr>
      </w:pPr>
      <w:r w:rsidRPr="00F50C10">
        <w:rPr>
          <w:sz w:val="24"/>
          <w:szCs w:val="24"/>
          <w:lang w:bidi="tr-TR"/>
        </w:rPr>
        <w:t>E</w:t>
      </w:r>
      <w:r w:rsidRPr="00F50C10">
        <w:rPr>
          <w:sz w:val="24"/>
          <w:szCs w:val="24"/>
          <w:vertAlign w:val="subscript"/>
          <w:lang w:bidi="tr-TR"/>
        </w:rPr>
        <w:t>M</w:t>
      </w:r>
      <w:r w:rsidRPr="00F50C10">
        <w:rPr>
          <w:sz w:val="24"/>
          <w:szCs w:val="24"/>
          <w:lang w:bidi="tr-TR"/>
        </w:rPr>
        <w:t xml:space="preserve"> (mg/Nm</w:t>
      </w:r>
      <w:r w:rsidRPr="00F50C10">
        <w:rPr>
          <w:sz w:val="24"/>
          <w:szCs w:val="24"/>
          <w:vertAlign w:val="superscript"/>
          <w:lang w:bidi="tr-TR"/>
        </w:rPr>
        <w:t>3</w:t>
      </w:r>
      <w:r w:rsidRPr="00F50C10">
        <w:rPr>
          <w:sz w:val="24"/>
          <w:szCs w:val="24"/>
          <w:lang w:bidi="tr-TR"/>
        </w:rPr>
        <w:t>): ölçülen oksijen seviyesindeki emisyon</w:t>
      </w:r>
      <w:r w:rsidR="003A3CEB" w:rsidRPr="00F50C10">
        <w:rPr>
          <w:sz w:val="24"/>
          <w:szCs w:val="24"/>
          <w:lang w:bidi="tr-TR"/>
        </w:rPr>
        <w:t xml:space="preserve"> k</w:t>
      </w:r>
      <w:r w:rsidRPr="00F50C10">
        <w:rPr>
          <w:sz w:val="24"/>
          <w:szCs w:val="24"/>
          <w:lang w:bidi="tr-TR"/>
        </w:rPr>
        <w:t xml:space="preserve">onsantrasyonu </w:t>
      </w:r>
    </w:p>
    <w:p w14:paraId="32B49B54" w14:textId="1BE60840" w:rsidR="007B1B69" w:rsidRPr="00F50C10" w:rsidRDefault="007B1B69" w:rsidP="000B206D">
      <w:pPr>
        <w:pStyle w:val="GvdeMetni"/>
        <w:spacing w:line="276" w:lineRule="auto"/>
        <w:ind w:left="332" w:right="2865" w:hanging="1"/>
        <w:rPr>
          <w:sz w:val="24"/>
          <w:szCs w:val="24"/>
          <w:lang w:bidi="tr-TR"/>
        </w:rPr>
      </w:pPr>
      <w:r w:rsidRPr="00F50C10">
        <w:rPr>
          <w:sz w:val="24"/>
          <w:szCs w:val="24"/>
          <w:lang w:bidi="tr-TR"/>
        </w:rPr>
        <w:t>O</w:t>
      </w:r>
      <w:r w:rsidRPr="00F50C10">
        <w:rPr>
          <w:sz w:val="24"/>
          <w:szCs w:val="24"/>
          <w:vertAlign w:val="subscript"/>
          <w:lang w:bidi="tr-TR"/>
        </w:rPr>
        <w:t>M</w:t>
      </w:r>
      <w:r w:rsidRPr="00F50C10">
        <w:rPr>
          <w:sz w:val="24"/>
          <w:szCs w:val="24"/>
          <w:lang w:bidi="tr-TR"/>
        </w:rPr>
        <w:t xml:space="preserve"> (hacimce %): ölçülen oksijen seviyesi</w:t>
      </w:r>
      <w:r w:rsidRPr="00F50C10">
        <w:rPr>
          <w:sz w:val="24"/>
          <w:szCs w:val="24"/>
        </w:rPr>
        <w:t xml:space="preserve"> </w:t>
      </w:r>
    </w:p>
    <w:p w14:paraId="70C50A56" w14:textId="77777777" w:rsidR="007C2D79" w:rsidRPr="00F50C10" w:rsidRDefault="007C2D79" w:rsidP="000B206D">
      <w:pPr>
        <w:spacing w:line="276" w:lineRule="auto"/>
        <w:rPr>
          <w:rFonts w:cs="Times New Roman"/>
          <w:b/>
          <w:bCs/>
          <w:szCs w:val="24"/>
        </w:rPr>
      </w:pPr>
      <w:r w:rsidRPr="00F50C10">
        <w:rPr>
          <w:rFonts w:cs="Times New Roman"/>
          <w:b/>
          <w:bCs/>
          <w:szCs w:val="24"/>
        </w:rPr>
        <w:t>Suya deşarjlar için ortalama alma süreleri</w:t>
      </w:r>
    </w:p>
    <w:p w14:paraId="522A6B4B" w14:textId="77777777" w:rsidR="007C2D79" w:rsidRPr="00F50C10" w:rsidRDefault="007C2D79" w:rsidP="000B206D">
      <w:pPr>
        <w:spacing w:line="276" w:lineRule="auto"/>
        <w:rPr>
          <w:rFonts w:cs="Times New Roman"/>
          <w:b/>
          <w:bCs/>
          <w:szCs w:val="24"/>
        </w:rPr>
      </w:pPr>
    </w:p>
    <w:p w14:paraId="4063055F" w14:textId="77777777" w:rsidR="007C2D79" w:rsidRPr="00F50C10" w:rsidRDefault="007C2D79" w:rsidP="000B206D">
      <w:pPr>
        <w:spacing w:line="276" w:lineRule="auto"/>
        <w:rPr>
          <w:rFonts w:cs="Times New Roman"/>
          <w:szCs w:val="24"/>
        </w:rPr>
      </w:pPr>
      <w:r w:rsidRPr="00F50C10">
        <w:rPr>
          <w:rFonts w:cs="Times New Roman"/>
          <w:szCs w:val="24"/>
        </w:rPr>
        <w:t>Aksi belirtilmedikçe, konsantrasyon cinsinden ifade edilen Suya deşarjlar için, mevcut en iyi tekniklerle ilişkili çevresel performans seviyelerine ait (MET-İÇPS'ler) ortalama alma süreleri aşağıdaki gibi tanımlanmıştır.</w:t>
      </w:r>
    </w:p>
    <w:p w14:paraId="5BBC63D7" w14:textId="77777777" w:rsidR="007C2D79" w:rsidRPr="00F50C10" w:rsidRDefault="007C2D79" w:rsidP="000B206D">
      <w:pPr>
        <w:spacing w:line="276" w:lineRule="auto"/>
        <w:rPr>
          <w:rFonts w:cs="Times New Roman"/>
          <w:szCs w:val="24"/>
        </w:rPr>
      </w:pPr>
    </w:p>
    <w:tbl>
      <w:tblPr>
        <w:tblStyle w:val="TableNormal1"/>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6722"/>
      </w:tblGrid>
      <w:tr w:rsidR="007C2D79" w:rsidRPr="00F50C10" w14:paraId="30234049" w14:textId="77777777" w:rsidTr="002A26C9">
        <w:trPr>
          <w:trHeight w:val="230"/>
        </w:trPr>
        <w:tc>
          <w:tcPr>
            <w:tcW w:w="2000" w:type="dxa"/>
          </w:tcPr>
          <w:p w14:paraId="654F2364" w14:textId="77777777" w:rsidR="007C2D79" w:rsidRPr="00F50C10" w:rsidRDefault="007C2D79" w:rsidP="000B206D">
            <w:pPr>
              <w:pStyle w:val="TableParagraph"/>
              <w:spacing w:line="276" w:lineRule="auto"/>
              <w:ind w:left="252"/>
              <w:rPr>
                <w:b/>
                <w:szCs w:val="24"/>
              </w:rPr>
            </w:pPr>
            <w:r w:rsidRPr="00F50C10">
              <w:rPr>
                <w:b/>
                <w:szCs w:val="24"/>
                <w:lang w:bidi="tr-TR"/>
              </w:rPr>
              <w:t>Ortalama alma süresi</w:t>
            </w:r>
          </w:p>
        </w:tc>
        <w:tc>
          <w:tcPr>
            <w:tcW w:w="6722" w:type="dxa"/>
          </w:tcPr>
          <w:p w14:paraId="280DAFF0" w14:textId="77777777" w:rsidR="007C2D79" w:rsidRPr="00F50C10" w:rsidRDefault="007C2D79" w:rsidP="000B206D">
            <w:pPr>
              <w:pStyle w:val="TableParagraph"/>
              <w:spacing w:line="276" w:lineRule="auto"/>
              <w:ind w:left="2909" w:right="2906"/>
              <w:jc w:val="center"/>
              <w:rPr>
                <w:b/>
                <w:szCs w:val="24"/>
              </w:rPr>
            </w:pPr>
            <w:r w:rsidRPr="00F50C10">
              <w:rPr>
                <w:b/>
                <w:szCs w:val="24"/>
                <w:lang w:bidi="tr-TR"/>
              </w:rPr>
              <w:t>Tanım</w:t>
            </w:r>
          </w:p>
        </w:tc>
      </w:tr>
      <w:tr w:rsidR="007C2D79" w:rsidRPr="00F50C10" w14:paraId="0D973705" w14:textId="77777777" w:rsidTr="002A26C9">
        <w:trPr>
          <w:trHeight w:val="1380"/>
        </w:trPr>
        <w:tc>
          <w:tcPr>
            <w:tcW w:w="2000" w:type="dxa"/>
          </w:tcPr>
          <w:p w14:paraId="53660FE7" w14:textId="77777777" w:rsidR="007C2D79" w:rsidRPr="00F50C10" w:rsidRDefault="007C2D79" w:rsidP="000B206D">
            <w:pPr>
              <w:pStyle w:val="TableParagraph"/>
              <w:tabs>
                <w:tab w:val="left" w:pos="995"/>
                <w:tab w:val="left" w:pos="1379"/>
              </w:tabs>
              <w:spacing w:line="276" w:lineRule="auto"/>
              <w:ind w:left="108" w:right="99"/>
              <w:rPr>
                <w:szCs w:val="24"/>
              </w:rPr>
            </w:pPr>
            <w:r w:rsidRPr="00F50C10">
              <w:rPr>
                <w:szCs w:val="24"/>
                <w:lang w:bidi="tr-TR"/>
              </w:rPr>
              <w:t>Bir ay boyunca elde edilen değerlerin ortalaması</w:t>
            </w:r>
          </w:p>
        </w:tc>
        <w:tc>
          <w:tcPr>
            <w:tcW w:w="6722" w:type="dxa"/>
          </w:tcPr>
          <w:p w14:paraId="0D7CF387" w14:textId="77777777" w:rsidR="007C2D79" w:rsidRPr="00F50C10" w:rsidRDefault="007C2D79" w:rsidP="000B206D">
            <w:pPr>
              <w:pStyle w:val="TableParagraph"/>
              <w:spacing w:line="276" w:lineRule="auto"/>
              <w:ind w:left="107" w:right="129"/>
              <w:rPr>
                <w:szCs w:val="24"/>
              </w:rPr>
            </w:pPr>
            <w:r w:rsidRPr="00F50C10">
              <w:rPr>
                <w:szCs w:val="24"/>
                <w:lang w:bidi="tr-TR"/>
              </w:rPr>
              <w:t>Normal çalışma koşullarında bir ay boyunca 24 saatlik akış orantılı kompozit numunelerden elde edilen akış ağırlıklı ortalama değer (1)</w:t>
            </w:r>
          </w:p>
        </w:tc>
      </w:tr>
      <w:tr w:rsidR="007C2D79" w:rsidRPr="00F50C10" w14:paraId="7F033687" w14:textId="77777777" w:rsidTr="002A26C9">
        <w:trPr>
          <w:trHeight w:val="688"/>
        </w:trPr>
        <w:tc>
          <w:tcPr>
            <w:tcW w:w="2000" w:type="dxa"/>
          </w:tcPr>
          <w:p w14:paraId="7D267E66" w14:textId="77777777" w:rsidR="007C2D79" w:rsidRPr="00F50C10" w:rsidRDefault="007C2D79" w:rsidP="000B206D">
            <w:pPr>
              <w:pStyle w:val="TableParagraph"/>
              <w:tabs>
                <w:tab w:val="left" w:pos="995"/>
                <w:tab w:val="left" w:pos="1379"/>
              </w:tabs>
              <w:spacing w:line="276" w:lineRule="auto"/>
              <w:ind w:left="108" w:right="99"/>
              <w:rPr>
                <w:szCs w:val="24"/>
                <w:lang w:bidi="tr-TR"/>
              </w:rPr>
            </w:pPr>
            <w:r w:rsidRPr="00F50C10">
              <w:rPr>
                <w:szCs w:val="24"/>
                <w:lang w:bidi="tr-TR"/>
              </w:rPr>
              <w:t>Bir yıl boyunca elde edilen değerlerin ortalaması</w:t>
            </w:r>
          </w:p>
          <w:p w14:paraId="48CC091D" w14:textId="77777777" w:rsidR="007C2D79" w:rsidRPr="00F50C10" w:rsidRDefault="007C2D79" w:rsidP="000B206D">
            <w:pPr>
              <w:pStyle w:val="TableParagraph"/>
              <w:spacing w:before="4" w:line="276" w:lineRule="auto"/>
              <w:ind w:left="108"/>
              <w:rPr>
                <w:szCs w:val="24"/>
              </w:rPr>
            </w:pPr>
          </w:p>
        </w:tc>
        <w:tc>
          <w:tcPr>
            <w:tcW w:w="6722" w:type="dxa"/>
          </w:tcPr>
          <w:p w14:paraId="56867354" w14:textId="77777777" w:rsidR="007C2D79" w:rsidRPr="00F50C10" w:rsidRDefault="007C2D79" w:rsidP="000B206D">
            <w:pPr>
              <w:pStyle w:val="TableParagraph"/>
              <w:spacing w:line="276" w:lineRule="auto"/>
              <w:ind w:left="107" w:right="129"/>
              <w:rPr>
                <w:szCs w:val="24"/>
              </w:rPr>
            </w:pPr>
            <w:r w:rsidRPr="00F50C10">
              <w:rPr>
                <w:szCs w:val="24"/>
                <w:lang w:bidi="tr-TR"/>
              </w:rPr>
              <w:t>Normal çalışma koşullarında bir yıl boyunca 24 saatlik akış orantılı kompozit numunelerden elde edilen akış ağırlıklı ortalama değer (1)</w:t>
            </w:r>
          </w:p>
        </w:tc>
      </w:tr>
      <w:tr w:rsidR="007C2D79" w:rsidRPr="00F50C10" w14:paraId="4617A59A" w14:textId="77777777" w:rsidTr="00F50C10">
        <w:trPr>
          <w:trHeight w:val="539"/>
        </w:trPr>
        <w:tc>
          <w:tcPr>
            <w:tcW w:w="8722" w:type="dxa"/>
            <w:gridSpan w:val="2"/>
          </w:tcPr>
          <w:p w14:paraId="394FD127" w14:textId="77777777" w:rsidR="007C2D79" w:rsidRPr="00F50C10" w:rsidRDefault="007C2D79" w:rsidP="000B206D">
            <w:pPr>
              <w:pStyle w:val="TableParagraph"/>
              <w:spacing w:line="276" w:lineRule="auto"/>
              <w:ind w:left="108"/>
              <w:rPr>
                <w:szCs w:val="24"/>
              </w:rPr>
            </w:pPr>
            <w:r w:rsidRPr="00F50C10">
              <w:rPr>
                <w:szCs w:val="24"/>
                <w:lang w:bidi="tr-TR"/>
              </w:rPr>
              <w:t>(</w:t>
            </w:r>
            <w:r w:rsidRPr="00F50C10">
              <w:rPr>
                <w:position w:val="8"/>
                <w:szCs w:val="24"/>
                <w:lang w:bidi="tr-TR"/>
              </w:rPr>
              <w:t>1</w:t>
            </w:r>
            <w:r w:rsidRPr="00F50C10">
              <w:rPr>
                <w:szCs w:val="24"/>
                <w:lang w:bidi="tr-TR"/>
              </w:rPr>
              <w:t>) Akış kararlılığının yeterliliğinin gösterilebilmesi koşuluyla, zaman orantılı kompozit numuneler kullanılabilir.</w:t>
            </w:r>
          </w:p>
        </w:tc>
      </w:tr>
    </w:tbl>
    <w:p w14:paraId="637745D2" w14:textId="77777777" w:rsidR="007C2D79" w:rsidRPr="00F50C10" w:rsidRDefault="007C2D79" w:rsidP="000B206D">
      <w:pPr>
        <w:spacing w:line="276" w:lineRule="auto"/>
        <w:rPr>
          <w:rFonts w:cs="Times New Roman"/>
          <w:szCs w:val="24"/>
        </w:rPr>
      </w:pPr>
    </w:p>
    <w:p w14:paraId="71BE787B" w14:textId="77777777" w:rsidR="007C2D79" w:rsidRPr="00F50C10" w:rsidRDefault="007C2D79" w:rsidP="000B206D">
      <w:pPr>
        <w:spacing w:line="276" w:lineRule="auto"/>
        <w:rPr>
          <w:rFonts w:cs="Times New Roman"/>
          <w:szCs w:val="24"/>
        </w:rPr>
      </w:pPr>
      <w:r w:rsidRPr="00F50C10">
        <w:rPr>
          <w:rFonts w:cs="Times New Roman"/>
          <w:szCs w:val="24"/>
        </w:rPr>
        <w:t>(c</w:t>
      </w:r>
      <w:r w:rsidRPr="00F50C10">
        <w:rPr>
          <w:rFonts w:cs="Times New Roman"/>
          <w:szCs w:val="24"/>
          <w:vertAlign w:val="subscript"/>
        </w:rPr>
        <w:t>w</w:t>
      </w:r>
      <w:r w:rsidRPr="00F50C10">
        <w:rPr>
          <w:rFonts w:cs="Times New Roman"/>
          <w:szCs w:val="24"/>
        </w:rPr>
        <w:t>) parametresinin akış ağırlıklı ortalama konsantrasyonları Denklem 3 kullanılarak hesaplanır:</w:t>
      </w:r>
    </w:p>
    <w:p w14:paraId="3320F5CE" w14:textId="77777777" w:rsidR="007C2D79" w:rsidRPr="00F50C10" w:rsidRDefault="007C2D79" w:rsidP="000B206D">
      <w:pPr>
        <w:spacing w:line="276" w:lineRule="auto"/>
        <w:rPr>
          <w:rFonts w:cs="Times New Roman"/>
          <w:szCs w:val="24"/>
        </w:rPr>
      </w:pPr>
    </w:p>
    <w:tbl>
      <w:tblPr>
        <w:tblStyle w:val="TableNormal1"/>
        <w:tblW w:w="0" w:type="auto"/>
        <w:tblInd w:w="737" w:type="dxa"/>
        <w:tblLayout w:type="fixed"/>
        <w:tblLook w:val="01E0" w:firstRow="1" w:lastRow="1" w:firstColumn="1" w:lastColumn="1" w:noHBand="0" w:noVBand="0"/>
      </w:tblPr>
      <w:tblGrid>
        <w:gridCol w:w="1964"/>
        <w:gridCol w:w="3006"/>
      </w:tblGrid>
      <w:tr w:rsidR="007C2D79" w:rsidRPr="00F50C10" w14:paraId="217F441B" w14:textId="77777777" w:rsidTr="002A26C9">
        <w:trPr>
          <w:trHeight w:val="876"/>
        </w:trPr>
        <w:tc>
          <w:tcPr>
            <w:tcW w:w="1964" w:type="dxa"/>
          </w:tcPr>
          <w:p w14:paraId="1282A1B3" w14:textId="77777777" w:rsidR="007C2D79" w:rsidRPr="00F50C10" w:rsidRDefault="007C2D79" w:rsidP="000B206D">
            <w:pPr>
              <w:pStyle w:val="TableParagraph"/>
              <w:spacing w:before="10" w:line="276" w:lineRule="auto"/>
              <w:rPr>
                <w:szCs w:val="24"/>
              </w:rPr>
            </w:pPr>
          </w:p>
          <w:p w14:paraId="38821CE8" w14:textId="77777777" w:rsidR="007C2D79" w:rsidRPr="00F50C10" w:rsidRDefault="007C2D79" w:rsidP="000B206D">
            <w:pPr>
              <w:pStyle w:val="TableParagraph"/>
              <w:spacing w:line="276" w:lineRule="auto"/>
              <w:ind w:left="200"/>
              <w:rPr>
                <w:szCs w:val="24"/>
              </w:rPr>
            </w:pPr>
            <w:r w:rsidRPr="00F50C10">
              <w:rPr>
                <w:szCs w:val="24"/>
                <w:lang w:bidi="tr-TR"/>
              </w:rPr>
              <w:t>Denklem 3:</w:t>
            </w:r>
          </w:p>
        </w:tc>
        <w:tc>
          <w:tcPr>
            <w:tcW w:w="3006" w:type="dxa"/>
          </w:tcPr>
          <w:p w14:paraId="729BB1B1" w14:textId="77777777" w:rsidR="007C2D79" w:rsidRPr="00F50C10" w:rsidRDefault="007C2D79" w:rsidP="000B206D">
            <w:pPr>
              <w:pStyle w:val="TableParagraph"/>
              <w:tabs>
                <w:tab w:val="left" w:pos="2383"/>
              </w:tabs>
              <w:spacing w:before="4" w:line="276" w:lineRule="auto"/>
              <w:ind w:left="1408"/>
              <w:rPr>
                <w:rFonts w:eastAsia="Trebuchet MS"/>
                <w:szCs w:val="24"/>
              </w:rPr>
            </w:pPr>
            <w:r w:rsidRPr="00F50C10">
              <w:rPr>
                <w:rFonts w:ascii="Cambria Math" w:hAnsi="Cambria Math" w:cs="Cambria Math"/>
                <w:w w:val="115"/>
                <w:szCs w:val="24"/>
                <w:lang w:bidi="tr-TR"/>
              </w:rPr>
              <w:t>𝑛</w:t>
            </w:r>
            <w:r w:rsidRPr="00F50C10">
              <w:rPr>
                <w:w w:val="115"/>
                <w:szCs w:val="24"/>
                <w:lang w:bidi="tr-TR"/>
              </w:rPr>
              <w:tab/>
            </w:r>
            <w:r w:rsidRPr="00F50C10">
              <w:rPr>
                <w:rFonts w:ascii="Cambria Math" w:hAnsi="Cambria Math" w:cs="Cambria Math"/>
                <w:w w:val="115"/>
                <w:szCs w:val="24"/>
                <w:lang w:bidi="tr-TR"/>
              </w:rPr>
              <w:t>𝑛</w:t>
            </w:r>
          </w:p>
          <w:p w14:paraId="59FCC318" w14:textId="77777777" w:rsidR="007C2D79" w:rsidRPr="00F50C10" w:rsidRDefault="007C2D79" w:rsidP="000B206D">
            <w:pPr>
              <w:pStyle w:val="TableParagraph"/>
              <w:spacing w:before="99" w:line="276" w:lineRule="auto"/>
              <w:ind w:left="746"/>
              <w:rPr>
                <w:rFonts w:eastAsia="Trebuchet MS"/>
                <w:szCs w:val="24"/>
              </w:rPr>
            </w:pPr>
            <w:r w:rsidRPr="00F50C10">
              <w:rPr>
                <w:rFonts w:ascii="Cambria Math" w:hAnsi="Cambria Math" w:cs="Cambria Math"/>
                <w:spacing w:val="-6"/>
                <w:w w:val="90"/>
                <w:szCs w:val="24"/>
                <w:lang w:bidi="tr-TR"/>
              </w:rPr>
              <w:t>𝑐</w:t>
            </w:r>
            <w:r w:rsidRPr="00F50C10">
              <w:rPr>
                <w:rFonts w:ascii="Cambria Math" w:hAnsi="Cambria Math" w:cs="Cambria Math"/>
                <w:w w:val="131"/>
                <w:szCs w:val="24"/>
                <w:vertAlign w:val="subscript"/>
                <w:lang w:bidi="tr-TR"/>
              </w:rPr>
              <w:t>𝑤</w:t>
            </w:r>
            <w:r w:rsidRPr="00F50C10">
              <w:rPr>
                <w:w w:val="140"/>
                <w:szCs w:val="24"/>
                <w:lang w:bidi="tr-TR"/>
              </w:rPr>
              <w:t xml:space="preserve"> = Σ </w:t>
            </w:r>
            <w:r w:rsidRPr="00F50C10">
              <w:rPr>
                <w:rFonts w:ascii="Cambria Math" w:hAnsi="Cambria Math" w:cs="Cambria Math"/>
                <w:w w:val="140"/>
                <w:szCs w:val="24"/>
                <w:lang w:bidi="tr-TR"/>
              </w:rPr>
              <w:t>𝑐</w:t>
            </w:r>
            <w:r w:rsidRPr="00F50C10">
              <w:rPr>
                <w:rFonts w:ascii="Cambria Math" w:hAnsi="Cambria Math" w:cs="Cambria Math"/>
                <w:spacing w:val="20"/>
                <w:w w:val="56"/>
                <w:szCs w:val="24"/>
                <w:vertAlign w:val="subscript"/>
                <w:lang w:bidi="tr-TR"/>
              </w:rPr>
              <w:t>𝑖</w:t>
            </w:r>
            <w:r w:rsidRPr="00F50C10">
              <w:rPr>
                <w:rFonts w:ascii="Cambria Math" w:hAnsi="Cambria Math" w:cs="Cambria Math"/>
                <w:spacing w:val="-5"/>
                <w:w w:val="106"/>
                <w:szCs w:val="24"/>
                <w:lang w:bidi="tr-TR"/>
              </w:rPr>
              <w:t>𝑞</w:t>
            </w:r>
            <w:r w:rsidRPr="00F50C10">
              <w:rPr>
                <w:rFonts w:ascii="Cambria Math" w:hAnsi="Cambria Math" w:cs="Cambria Math"/>
                <w:w w:val="56"/>
                <w:szCs w:val="24"/>
                <w:vertAlign w:val="subscript"/>
                <w:lang w:bidi="tr-TR"/>
              </w:rPr>
              <w:t>𝑖</w:t>
            </w:r>
            <w:r w:rsidRPr="00F50C10">
              <w:rPr>
                <w:spacing w:val="35"/>
                <w:w w:val="240"/>
                <w:szCs w:val="24"/>
                <w:lang w:bidi="tr-TR"/>
              </w:rPr>
              <w:t xml:space="preserve">  Σ</w:t>
            </w:r>
            <w:r w:rsidRPr="00F50C10">
              <w:rPr>
                <w:rFonts w:ascii="Cambria Math" w:hAnsi="Cambria Math" w:cs="Cambria Math"/>
                <w:spacing w:val="-5"/>
                <w:w w:val="106"/>
                <w:szCs w:val="24"/>
                <w:lang w:bidi="tr-TR"/>
              </w:rPr>
              <w:t>𝑞</w:t>
            </w:r>
            <w:r w:rsidRPr="00F50C10">
              <w:rPr>
                <w:rFonts w:ascii="Cambria Math" w:hAnsi="Cambria Math" w:cs="Cambria Math"/>
                <w:w w:val="56"/>
                <w:szCs w:val="24"/>
                <w:vertAlign w:val="subscript"/>
                <w:lang w:bidi="tr-TR"/>
              </w:rPr>
              <w:t>𝑖</w:t>
            </w:r>
          </w:p>
          <w:p w14:paraId="50D549DB" w14:textId="77777777" w:rsidR="007C2D79" w:rsidRPr="00F50C10" w:rsidRDefault="007C2D79" w:rsidP="000B206D">
            <w:pPr>
              <w:pStyle w:val="TableParagraph"/>
              <w:tabs>
                <w:tab w:val="left" w:pos="2296"/>
              </w:tabs>
              <w:spacing w:before="99" w:line="276" w:lineRule="auto"/>
              <w:ind w:left="1321"/>
              <w:rPr>
                <w:rFonts w:eastAsia="Trebuchet MS"/>
                <w:szCs w:val="24"/>
              </w:rPr>
            </w:pPr>
            <w:r w:rsidRPr="00F50C10">
              <w:rPr>
                <w:rFonts w:ascii="Cambria Math" w:hAnsi="Cambria Math" w:cs="Cambria Math"/>
                <w:spacing w:val="10"/>
                <w:w w:val="62"/>
                <w:szCs w:val="24"/>
                <w:lang w:bidi="tr-TR"/>
              </w:rPr>
              <w:t>𝑖</w:t>
            </w:r>
            <w:r w:rsidRPr="00F50C10">
              <w:rPr>
                <w:spacing w:val="10"/>
                <w:w w:val="62"/>
                <w:szCs w:val="24"/>
                <w:lang w:bidi="tr-TR"/>
              </w:rPr>
              <w:t>=1</w:t>
            </w:r>
            <w:r w:rsidRPr="00F50C10">
              <w:rPr>
                <w:spacing w:val="10"/>
                <w:w w:val="62"/>
                <w:szCs w:val="24"/>
                <w:lang w:bidi="tr-TR"/>
              </w:rPr>
              <w:tab/>
            </w:r>
            <w:r w:rsidRPr="00F50C10">
              <w:rPr>
                <w:rFonts w:ascii="Cambria Math" w:hAnsi="Cambria Math" w:cs="Cambria Math"/>
                <w:spacing w:val="10"/>
                <w:w w:val="62"/>
                <w:szCs w:val="24"/>
                <w:lang w:bidi="tr-TR"/>
              </w:rPr>
              <w:t>𝑖</w:t>
            </w:r>
            <w:r w:rsidRPr="00F50C10">
              <w:rPr>
                <w:spacing w:val="10"/>
                <w:w w:val="62"/>
                <w:szCs w:val="24"/>
                <w:lang w:bidi="tr-TR"/>
              </w:rPr>
              <w:t>=1</w:t>
            </w:r>
          </w:p>
        </w:tc>
      </w:tr>
    </w:tbl>
    <w:p w14:paraId="2A6488B7" w14:textId="77777777" w:rsidR="007C2D79" w:rsidRPr="00F50C10" w:rsidRDefault="007C2D79" w:rsidP="000B206D">
      <w:pPr>
        <w:pStyle w:val="GvdeMetni"/>
        <w:spacing w:before="4" w:line="276" w:lineRule="auto"/>
        <w:rPr>
          <w:sz w:val="24"/>
          <w:szCs w:val="24"/>
        </w:rPr>
      </w:pPr>
    </w:p>
    <w:p w14:paraId="6DDDA434" w14:textId="77777777" w:rsidR="007C2D79" w:rsidRPr="00F50C10" w:rsidRDefault="007C2D79" w:rsidP="000B206D">
      <w:pPr>
        <w:spacing w:line="276" w:lineRule="auto"/>
        <w:rPr>
          <w:rFonts w:cs="Times New Roman"/>
          <w:szCs w:val="24"/>
        </w:rPr>
      </w:pPr>
      <w:r w:rsidRPr="00F50C10">
        <w:rPr>
          <w:rFonts w:cs="Times New Roman"/>
          <w:szCs w:val="24"/>
        </w:rPr>
        <w:t>Burada:</w:t>
      </w:r>
    </w:p>
    <w:p w14:paraId="6AF142EB" w14:textId="77777777" w:rsidR="007C2D79" w:rsidRPr="00F50C10" w:rsidRDefault="007C2D79" w:rsidP="000B206D">
      <w:pPr>
        <w:spacing w:line="276" w:lineRule="auto"/>
        <w:rPr>
          <w:rFonts w:cs="Times New Roman"/>
          <w:szCs w:val="24"/>
        </w:rPr>
      </w:pPr>
    </w:p>
    <w:p w14:paraId="44A11E18" w14:textId="77777777" w:rsidR="007C2D79" w:rsidRPr="00F50C10" w:rsidRDefault="007C2D79" w:rsidP="000B206D">
      <w:pPr>
        <w:spacing w:line="276" w:lineRule="auto"/>
        <w:ind w:left="708"/>
        <w:rPr>
          <w:rFonts w:cs="Times New Roman"/>
          <w:szCs w:val="24"/>
        </w:rPr>
      </w:pPr>
      <w:r w:rsidRPr="00F50C10">
        <w:rPr>
          <w:rFonts w:cs="Times New Roman"/>
          <w:szCs w:val="24"/>
        </w:rPr>
        <w:t>n = ölçüm periyotlarının sayısı;</w:t>
      </w:r>
    </w:p>
    <w:p w14:paraId="740C47C5" w14:textId="77777777" w:rsidR="007C2D79" w:rsidRPr="00F50C10" w:rsidRDefault="007C2D79" w:rsidP="000B206D">
      <w:pPr>
        <w:spacing w:line="276" w:lineRule="auto"/>
        <w:ind w:left="708"/>
        <w:rPr>
          <w:rFonts w:cs="Times New Roman"/>
          <w:szCs w:val="24"/>
        </w:rPr>
      </w:pPr>
      <w:r w:rsidRPr="00F50C10">
        <w:rPr>
          <w:rFonts w:cs="Times New Roman"/>
          <w:szCs w:val="24"/>
        </w:rPr>
        <w:t>c</w:t>
      </w:r>
      <w:r w:rsidRPr="00F50C10">
        <w:rPr>
          <w:rFonts w:cs="Times New Roman"/>
          <w:szCs w:val="24"/>
          <w:vertAlign w:val="subscript"/>
        </w:rPr>
        <w:t>i</w:t>
      </w:r>
      <w:r w:rsidRPr="00F50C10">
        <w:rPr>
          <w:rFonts w:cs="Times New Roman"/>
          <w:szCs w:val="24"/>
        </w:rPr>
        <w:t xml:space="preserve"> = parametrenin i sayılı ölçüm periyodu boyunca ortalama konsantrasyonu</w:t>
      </w:r>
    </w:p>
    <w:p w14:paraId="162A5498" w14:textId="77777777" w:rsidR="007C2D79" w:rsidRPr="00F50C10" w:rsidRDefault="007C2D79" w:rsidP="000B206D">
      <w:pPr>
        <w:spacing w:line="276" w:lineRule="auto"/>
        <w:ind w:left="708"/>
        <w:rPr>
          <w:rFonts w:cs="Times New Roman"/>
          <w:szCs w:val="24"/>
        </w:rPr>
      </w:pPr>
      <w:r w:rsidRPr="00F50C10">
        <w:rPr>
          <w:rFonts w:cs="Times New Roman"/>
          <w:szCs w:val="24"/>
        </w:rPr>
        <w:t>q</w:t>
      </w:r>
      <w:r w:rsidRPr="00F50C10">
        <w:rPr>
          <w:rFonts w:cs="Times New Roman"/>
          <w:szCs w:val="24"/>
          <w:vertAlign w:val="subscript"/>
        </w:rPr>
        <w:t>i</w:t>
      </w:r>
      <w:r w:rsidRPr="00F50C10">
        <w:rPr>
          <w:rFonts w:cs="Times New Roman"/>
          <w:szCs w:val="24"/>
        </w:rPr>
        <w:t xml:space="preserve"> = i sayılı ölçüm periyodu boyunca ortalama akış hızı.</w:t>
      </w:r>
    </w:p>
    <w:p w14:paraId="70FC00CA" w14:textId="77777777" w:rsidR="007C2D79" w:rsidRPr="00F50C10" w:rsidRDefault="007C2D79" w:rsidP="000B206D">
      <w:pPr>
        <w:spacing w:line="276" w:lineRule="auto"/>
        <w:rPr>
          <w:rFonts w:cs="Times New Roman"/>
          <w:szCs w:val="24"/>
        </w:rPr>
      </w:pPr>
    </w:p>
    <w:p w14:paraId="0EB740B8" w14:textId="77777777" w:rsidR="007C2D79" w:rsidRPr="00F50C10" w:rsidRDefault="007C2D79" w:rsidP="000B206D">
      <w:pPr>
        <w:spacing w:line="276" w:lineRule="auto"/>
        <w:rPr>
          <w:rFonts w:cs="Times New Roman"/>
          <w:szCs w:val="24"/>
        </w:rPr>
      </w:pPr>
      <w:r w:rsidRPr="00F50C10">
        <w:rPr>
          <w:rFonts w:cs="Times New Roman"/>
          <w:szCs w:val="24"/>
        </w:rPr>
        <w:t>MET-İÇPS'lerin, üretim birimi başına salınan madde yükü olarak ifade edilen belirli emisyon yüklerine atıfta bulunduğu durumlarda, ortalama spesifik emisyon yükleri Denklem 1 kullanılarak hesaplanır.</w:t>
      </w:r>
    </w:p>
    <w:p w14:paraId="273A85B9" w14:textId="77777777" w:rsidR="007C2D79" w:rsidRPr="00F50C10" w:rsidRDefault="007C2D79" w:rsidP="000B206D">
      <w:pPr>
        <w:spacing w:line="276" w:lineRule="auto"/>
        <w:rPr>
          <w:rFonts w:cs="Times New Roman"/>
          <w:szCs w:val="24"/>
        </w:rPr>
      </w:pPr>
    </w:p>
    <w:p w14:paraId="45A0E164" w14:textId="42147EEC" w:rsidR="009D150F" w:rsidRPr="00F50C10" w:rsidRDefault="009D150F" w:rsidP="00A654AE">
      <w:pPr>
        <w:pStyle w:val="ListeParagraf"/>
        <w:widowControl w:val="0"/>
        <w:numPr>
          <w:ilvl w:val="0"/>
          <w:numId w:val="168"/>
        </w:numPr>
        <w:autoSpaceDE w:val="0"/>
        <w:autoSpaceDN w:val="0"/>
        <w:spacing w:before="240" w:line="276" w:lineRule="auto"/>
        <w:jc w:val="left"/>
        <w:outlineLvl w:val="0"/>
        <w:rPr>
          <w:rFonts w:eastAsia="Times New Roman" w:cs="Times New Roman"/>
          <w:b/>
          <w:bCs/>
          <w:szCs w:val="24"/>
          <w:lang w:val="tr-TR"/>
        </w:rPr>
      </w:pPr>
      <w:r w:rsidRPr="00F50C10">
        <w:rPr>
          <w:rFonts w:eastAsia="Times New Roman" w:cs="Times New Roman"/>
          <w:b/>
          <w:bCs/>
          <w:szCs w:val="24"/>
          <w:lang w:val="tr-TR"/>
        </w:rPr>
        <w:t>Tanımlar</w:t>
      </w:r>
    </w:p>
    <w:p w14:paraId="523DEA8A" w14:textId="75C74698" w:rsidR="009D150F" w:rsidRPr="00F50C10" w:rsidRDefault="006525C9" w:rsidP="00A654AE">
      <w:pPr>
        <w:pStyle w:val="ListeParagraf"/>
        <w:widowControl w:val="0"/>
        <w:numPr>
          <w:ilvl w:val="1"/>
          <w:numId w:val="168"/>
        </w:numPr>
        <w:autoSpaceDE w:val="0"/>
        <w:autoSpaceDN w:val="0"/>
        <w:spacing w:before="240" w:line="276" w:lineRule="auto"/>
        <w:jc w:val="left"/>
        <w:outlineLvl w:val="0"/>
        <w:rPr>
          <w:rFonts w:eastAsia="Times New Roman" w:cs="Times New Roman"/>
          <w:b/>
          <w:bCs/>
          <w:szCs w:val="24"/>
          <w:lang w:val="tr-TR"/>
        </w:rPr>
      </w:pPr>
      <w:r w:rsidRPr="00F50C10">
        <w:rPr>
          <w:rFonts w:eastAsia="Times New Roman" w:cs="Times New Roman"/>
          <w:b/>
          <w:bCs/>
          <w:szCs w:val="24"/>
          <w:lang w:val="tr-TR"/>
        </w:rPr>
        <w:t xml:space="preserve">Büyük Hacimli Organik Kimyasalların Üretimi  </w:t>
      </w:r>
      <w:r w:rsidR="005323EF" w:rsidRPr="00F50C10">
        <w:rPr>
          <w:rFonts w:eastAsia="Times New Roman" w:cs="Times New Roman"/>
          <w:b/>
          <w:bCs/>
          <w:szCs w:val="24"/>
          <w:lang w:val="tr-TR"/>
        </w:rPr>
        <w:t>Sektörüne Yönelik Tanımlar</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5814"/>
      </w:tblGrid>
      <w:tr w:rsidR="007C2D79" w:rsidRPr="00F50C10" w14:paraId="07B64C9D" w14:textId="77777777" w:rsidTr="002A26C9">
        <w:trPr>
          <w:trHeight w:val="230"/>
        </w:trPr>
        <w:tc>
          <w:tcPr>
            <w:tcW w:w="2660" w:type="dxa"/>
          </w:tcPr>
          <w:p w14:paraId="2553221D" w14:textId="77777777" w:rsidR="007C2D79" w:rsidRPr="00F50C10" w:rsidRDefault="007C2D79" w:rsidP="000B206D">
            <w:pPr>
              <w:pStyle w:val="TableParagraph"/>
              <w:spacing w:line="276" w:lineRule="auto"/>
              <w:ind w:left="871"/>
              <w:rPr>
                <w:b/>
                <w:szCs w:val="24"/>
              </w:rPr>
            </w:pPr>
            <w:r w:rsidRPr="00F50C10">
              <w:rPr>
                <w:b/>
                <w:szCs w:val="24"/>
                <w:lang w:bidi="tr-TR"/>
              </w:rPr>
              <w:t>Kullanılan terim</w:t>
            </w:r>
          </w:p>
        </w:tc>
        <w:tc>
          <w:tcPr>
            <w:tcW w:w="5814" w:type="dxa"/>
          </w:tcPr>
          <w:p w14:paraId="01507C1E" w14:textId="77777777" w:rsidR="007C2D79" w:rsidRPr="00F50C10" w:rsidRDefault="007C2D79" w:rsidP="000B206D">
            <w:pPr>
              <w:pStyle w:val="TableParagraph"/>
              <w:spacing w:line="276" w:lineRule="auto"/>
              <w:ind w:left="2452" w:right="2449"/>
              <w:jc w:val="center"/>
              <w:rPr>
                <w:b/>
                <w:szCs w:val="24"/>
              </w:rPr>
            </w:pPr>
            <w:r w:rsidRPr="00F50C10">
              <w:rPr>
                <w:b/>
                <w:szCs w:val="24"/>
                <w:lang w:bidi="tr-TR"/>
              </w:rPr>
              <w:t>Tanım</w:t>
            </w:r>
          </w:p>
        </w:tc>
      </w:tr>
      <w:tr w:rsidR="007C2D79" w:rsidRPr="00F50C10" w14:paraId="7207A3DC" w14:textId="77777777" w:rsidTr="002A26C9">
        <w:trPr>
          <w:trHeight w:val="460"/>
        </w:trPr>
        <w:tc>
          <w:tcPr>
            <w:tcW w:w="2660" w:type="dxa"/>
          </w:tcPr>
          <w:p w14:paraId="37B39211" w14:textId="77777777" w:rsidR="007C2D79" w:rsidRPr="00F50C10" w:rsidRDefault="007C2D79" w:rsidP="000B206D">
            <w:pPr>
              <w:pStyle w:val="TableParagraph"/>
              <w:spacing w:before="108" w:line="276" w:lineRule="auto"/>
              <w:ind w:left="107"/>
              <w:rPr>
                <w:szCs w:val="24"/>
              </w:rPr>
            </w:pPr>
            <w:r w:rsidRPr="00F50C10">
              <w:rPr>
                <w:szCs w:val="24"/>
                <w:lang w:bidi="tr-TR"/>
              </w:rPr>
              <w:t>BTX</w:t>
            </w:r>
          </w:p>
        </w:tc>
        <w:tc>
          <w:tcPr>
            <w:tcW w:w="5814" w:type="dxa"/>
          </w:tcPr>
          <w:p w14:paraId="7EF75869" w14:textId="77777777" w:rsidR="007C2D79" w:rsidRPr="00F50C10" w:rsidRDefault="007C2D79" w:rsidP="000B206D">
            <w:pPr>
              <w:pStyle w:val="TableParagraph"/>
              <w:spacing w:line="276" w:lineRule="auto"/>
              <w:ind w:left="107"/>
              <w:rPr>
                <w:szCs w:val="24"/>
              </w:rPr>
            </w:pPr>
            <w:r w:rsidRPr="00F50C10">
              <w:rPr>
                <w:szCs w:val="24"/>
                <w:lang w:bidi="tr-TR"/>
              </w:rPr>
              <w:t>Benzen, toluen ve orto- / meta- / para-ksilen için toplu terim veya bunların karışımları</w:t>
            </w:r>
          </w:p>
        </w:tc>
      </w:tr>
      <w:tr w:rsidR="007C2D79" w:rsidRPr="00F50C10" w14:paraId="7F48A67D" w14:textId="77777777" w:rsidTr="002A26C9">
        <w:trPr>
          <w:trHeight w:val="230"/>
        </w:trPr>
        <w:tc>
          <w:tcPr>
            <w:tcW w:w="2660" w:type="dxa"/>
          </w:tcPr>
          <w:p w14:paraId="2A262888" w14:textId="77777777" w:rsidR="007C2D79" w:rsidRPr="00F50C10" w:rsidRDefault="007C2D79" w:rsidP="000B206D">
            <w:pPr>
              <w:pStyle w:val="TableParagraph"/>
              <w:spacing w:line="276" w:lineRule="auto"/>
              <w:ind w:left="107"/>
              <w:rPr>
                <w:szCs w:val="24"/>
              </w:rPr>
            </w:pPr>
            <w:r w:rsidRPr="00F50C10">
              <w:rPr>
                <w:szCs w:val="24"/>
                <w:lang w:bidi="tr-TR"/>
              </w:rPr>
              <w:t>CO</w:t>
            </w:r>
          </w:p>
        </w:tc>
        <w:tc>
          <w:tcPr>
            <w:tcW w:w="5814" w:type="dxa"/>
          </w:tcPr>
          <w:p w14:paraId="14EDBBC1" w14:textId="77777777" w:rsidR="007C2D79" w:rsidRPr="00F50C10" w:rsidRDefault="007C2D79" w:rsidP="000B206D">
            <w:pPr>
              <w:pStyle w:val="TableParagraph"/>
              <w:spacing w:line="276" w:lineRule="auto"/>
              <w:ind w:left="107"/>
              <w:rPr>
                <w:szCs w:val="24"/>
              </w:rPr>
            </w:pPr>
            <w:r w:rsidRPr="00F50C10">
              <w:rPr>
                <w:szCs w:val="24"/>
                <w:lang w:bidi="tr-TR"/>
              </w:rPr>
              <w:t>Karbonmonoksit</w:t>
            </w:r>
          </w:p>
        </w:tc>
      </w:tr>
      <w:tr w:rsidR="007C2D79" w:rsidRPr="00F50C10" w14:paraId="388DCD1A" w14:textId="77777777" w:rsidTr="002A26C9">
        <w:trPr>
          <w:trHeight w:val="1149"/>
        </w:trPr>
        <w:tc>
          <w:tcPr>
            <w:tcW w:w="2660" w:type="dxa"/>
          </w:tcPr>
          <w:p w14:paraId="2127FF46" w14:textId="77777777" w:rsidR="007C2D79" w:rsidRPr="00F50C10" w:rsidRDefault="007C2D79" w:rsidP="000B206D">
            <w:pPr>
              <w:pStyle w:val="TableParagraph"/>
              <w:spacing w:line="276" w:lineRule="auto"/>
              <w:ind w:left="107"/>
              <w:rPr>
                <w:szCs w:val="24"/>
              </w:rPr>
            </w:pPr>
            <w:r w:rsidRPr="00F50C10">
              <w:rPr>
                <w:szCs w:val="24"/>
                <w:lang w:bidi="tr-TR"/>
              </w:rPr>
              <w:t>Yakma ünitesi</w:t>
            </w:r>
          </w:p>
        </w:tc>
        <w:tc>
          <w:tcPr>
            <w:tcW w:w="5814" w:type="dxa"/>
          </w:tcPr>
          <w:p w14:paraId="1678EFA2" w14:textId="77777777" w:rsidR="007C2D79" w:rsidRPr="00F50C10" w:rsidRDefault="007C2D79" w:rsidP="000B206D">
            <w:pPr>
              <w:pStyle w:val="TableParagraph"/>
              <w:spacing w:line="276" w:lineRule="auto"/>
              <w:ind w:left="107" w:right="102"/>
              <w:jc w:val="both"/>
              <w:rPr>
                <w:szCs w:val="24"/>
              </w:rPr>
            </w:pPr>
            <w:r w:rsidRPr="00F50C10">
              <w:rPr>
                <w:szCs w:val="24"/>
                <w:lang w:bidi="tr-TR"/>
              </w:rPr>
              <w:t>Yakıtları oksitleyerek ısı üretmek için kullanılan herhangi bir teknik ekipman. Yakma üniteleri, kazanları, motorları, türbinleri ve proses fırınlarını / ısıtıcılarını içerir, ancak atık gaz işleme ünitelerini (örneğin, organik bileşiklerin azaltılması)</w:t>
            </w:r>
          </w:p>
        </w:tc>
      </w:tr>
      <w:tr w:rsidR="007C2D79" w:rsidRPr="00F50C10" w14:paraId="27803481" w14:textId="77777777" w:rsidTr="002A26C9">
        <w:trPr>
          <w:trHeight w:val="460"/>
        </w:trPr>
        <w:tc>
          <w:tcPr>
            <w:tcW w:w="2660" w:type="dxa"/>
          </w:tcPr>
          <w:p w14:paraId="7035EC3A" w14:textId="77777777" w:rsidR="007C2D79" w:rsidRPr="00F50C10" w:rsidRDefault="007C2D79" w:rsidP="000B206D">
            <w:pPr>
              <w:pStyle w:val="TableParagraph"/>
              <w:spacing w:before="108" w:line="276" w:lineRule="auto"/>
              <w:ind w:left="107"/>
              <w:rPr>
                <w:szCs w:val="24"/>
              </w:rPr>
            </w:pPr>
            <w:r w:rsidRPr="00F50C10">
              <w:rPr>
                <w:szCs w:val="24"/>
                <w:lang w:bidi="tr-TR"/>
              </w:rPr>
              <w:t>Bakır</w:t>
            </w:r>
          </w:p>
        </w:tc>
        <w:tc>
          <w:tcPr>
            <w:tcW w:w="5814" w:type="dxa"/>
          </w:tcPr>
          <w:p w14:paraId="5FB46B2B" w14:textId="77777777" w:rsidR="007C2D79" w:rsidRPr="00F50C10" w:rsidRDefault="007C2D79" w:rsidP="000B206D">
            <w:pPr>
              <w:pStyle w:val="TableParagraph"/>
              <w:spacing w:line="276" w:lineRule="auto"/>
              <w:ind w:left="107"/>
              <w:rPr>
                <w:szCs w:val="24"/>
              </w:rPr>
            </w:pPr>
            <w:r w:rsidRPr="00F50C10">
              <w:rPr>
                <w:szCs w:val="24"/>
                <w:lang w:bidi="tr-TR"/>
              </w:rPr>
              <w:t>Cu olarak ifade edilen çözünmüş veya partikül halindeki bakır ve bileşiklerinin toplamı</w:t>
            </w:r>
          </w:p>
        </w:tc>
      </w:tr>
      <w:tr w:rsidR="007C2D79" w:rsidRPr="00F50C10" w14:paraId="7E0E3B26" w14:textId="77777777" w:rsidTr="002A26C9">
        <w:trPr>
          <w:trHeight w:val="230"/>
        </w:trPr>
        <w:tc>
          <w:tcPr>
            <w:tcW w:w="2660" w:type="dxa"/>
          </w:tcPr>
          <w:p w14:paraId="7C6AF135" w14:textId="77777777" w:rsidR="007C2D79" w:rsidRPr="00F50C10" w:rsidRDefault="007C2D79" w:rsidP="000B206D">
            <w:pPr>
              <w:pStyle w:val="TableParagraph"/>
              <w:spacing w:line="276" w:lineRule="auto"/>
              <w:ind w:left="107"/>
              <w:rPr>
                <w:szCs w:val="24"/>
              </w:rPr>
            </w:pPr>
            <w:r w:rsidRPr="00F50C10">
              <w:rPr>
                <w:szCs w:val="24"/>
                <w:lang w:bidi="tr-TR"/>
              </w:rPr>
              <w:t>DNT</w:t>
            </w:r>
          </w:p>
        </w:tc>
        <w:tc>
          <w:tcPr>
            <w:tcW w:w="5814" w:type="dxa"/>
          </w:tcPr>
          <w:p w14:paraId="2DB46EDF" w14:textId="77777777" w:rsidR="007C2D79" w:rsidRPr="00F50C10" w:rsidRDefault="007C2D79" w:rsidP="000B206D">
            <w:pPr>
              <w:pStyle w:val="TableParagraph"/>
              <w:spacing w:line="276" w:lineRule="auto"/>
              <w:ind w:left="107"/>
              <w:rPr>
                <w:szCs w:val="24"/>
              </w:rPr>
            </w:pPr>
            <w:r w:rsidRPr="00F50C10">
              <w:rPr>
                <w:szCs w:val="24"/>
                <w:lang w:bidi="tr-TR"/>
              </w:rPr>
              <w:t>Dinitrotoluen</w:t>
            </w:r>
          </w:p>
        </w:tc>
      </w:tr>
      <w:tr w:rsidR="007C2D79" w:rsidRPr="00F50C10" w14:paraId="3153B26A" w14:textId="77777777" w:rsidTr="002A26C9">
        <w:trPr>
          <w:trHeight w:val="230"/>
        </w:trPr>
        <w:tc>
          <w:tcPr>
            <w:tcW w:w="2660" w:type="dxa"/>
          </w:tcPr>
          <w:p w14:paraId="03000E5B" w14:textId="77777777" w:rsidR="007C2D79" w:rsidRPr="00F50C10" w:rsidRDefault="007C2D79" w:rsidP="000B206D">
            <w:pPr>
              <w:pStyle w:val="TableParagraph"/>
              <w:spacing w:line="276" w:lineRule="auto"/>
              <w:ind w:left="107"/>
              <w:rPr>
                <w:szCs w:val="24"/>
              </w:rPr>
            </w:pPr>
            <w:r w:rsidRPr="00F50C10">
              <w:rPr>
                <w:szCs w:val="24"/>
                <w:lang w:bidi="tr-TR"/>
              </w:rPr>
              <w:t>EB</w:t>
            </w:r>
          </w:p>
        </w:tc>
        <w:tc>
          <w:tcPr>
            <w:tcW w:w="5814" w:type="dxa"/>
          </w:tcPr>
          <w:p w14:paraId="34335BC0" w14:textId="77777777" w:rsidR="007C2D79" w:rsidRPr="00F50C10" w:rsidRDefault="007C2D79" w:rsidP="000B206D">
            <w:pPr>
              <w:pStyle w:val="TableParagraph"/>
              <w:spacing w:line="276" w:lineRule="auto"/>
              <w:ind w:left="107"/>
              <w:rPr>
                <w:szCs w:val="24"/>
              </w:rPr>
            </w:pPr>
            <w:r w:rsidRPr="00F50C10">
              <w:rPr>
                <w:szCs w:val="24"/>
                <w:lang w:bidi="tr-TR"/>
              </w:rPr>
              <w:t>Etilbenzen</w:t>
            </w:r>
          </w:p>
        </w:tc>
      </w:tr>
      <w:tr w:rsidR="007C2D79" w:rsidRPr="00F50C10" w14:paraId="0E4F9367" w14:textId="77777777" w:rsidTr="002A26C9">
        <w:trPr>
          <w:trHeight w:val="230"/>
        </w:trPr>
        <w:tc>
          <w:tcPr>
            <w:tcW w:w="2660" w:type="dxa"/>
          </w:tcPr>
          <w:p w14:paraId="72F058EF" w14:textId="77777777" w:rsidR="007C2D79" w:rsidRPr="00F50C10" w:rsidRDefault="007C2D79" w:rsidP="000B206D">
            <w:pPr>
              <w:pStyle w:val="TableParagraph"/>
              <w:spacing w:line="276" w:lineRule="auto"/>
              <w:ind w:left="107"/>
              <w:rPr>
                <w:szCs w:val="24"/>
              </w:rPr>
            </w:pPr>
            <w:r w:rsidRPr="00F50C10">
              <w:rPr>
                <w:szCs w:val="24"/>
                <w:lang w:bidi="tr-TR"/>
              </w:rPr>
              <w:t>EDC</w:t>
            </w:r>
          </w:p>
        </w:tc>
        <w:tc>
          <w:tcPr>
            <w:tcW w:w="5814" w:type="dxa"/>
          </w:tcPr>
          <w:p w14:paraId="0990AD28" w14:textId="77777777" w:rsidR="007C2D79" w:rsidRPr="00F50C10" w:rsidRDefault="007C2D79" w:rsidP="000B206D">
            <w:pPr>
              <w:pStyle w:val="TableParagraph"/>
              <w:spacing w:line="276" w:lineRule="auto"/>
              <w:ind w:left="107"/>
              <w:rPr>
                <w:szCs w:val="24"/>
              </w:rPr>
            </w:pPr>
            <w:r w:rsidRPr="00F50C10">
              <w:rPr>
                <w:szCs w:val="24"/>
                <w:lang w:bidi="tr-TR"/>
              </w:rPr>
              <w:t>Etilen diklorür</w:t>
            </w:r>
          </w:p>
        </w:tc>
      </w:tr>
      <w:tr w:rsidR="007C2D79" w:rsidRPr="00F50C10" w14:paraId="5E5D9959" w14:textId="77777777" w:rsidTr="002A26C9">
        <w:trPr>
          <w:trHeight w:val="230"/>
        </w:trPr>
        <w:tc>
          <w:tcPr>
            <w:tcW w:w="2660" w:type="dxa"/>
          </w:tcPr>
          <w:p w14:paraId="1DD68EEB" w14:textId="77777777" w:rsidR="007C2D79" w:rsidRPr="00F50C10" w:rsidRDefault="007C2D79" w:rsidP="000B206D">
            <w:pPr>
              <w:pStyle w:val="TableParagraph"/>
              <w:spacing w:line="276" w:lineRule="auto"/>
              <w:ind w:left="107"/>
              <w:rPr>
                <w:szCs w:val="24"/>
              </w:rPr>
            </w:pPr>
            <w:r w:rsidRPr="00F50C10">
              <w:rPr>
                <w:szCs w:val="24"/>
                <w:lang w:bidi="tr-TR"/>
              </w:rPr>
              <w:t>EG</w:t>
            </w:r>
          </w:p>
        </w:tc>
        <w:tc>
          <w:tcPr>
            <w:tcW w:w="5814" w:type="dxa"/>
          </w:tcPr>
          <w:p w14:paraId="4B357F33" w14:textId="77777777" w:rsidR="007C2D79" w:rsidRPr="00F50C10" w:rsidRDefault="007C2D79" w:rsidP="000B206D">
            <w:pPr>
              <w:pStyle w:val="TableParagraph"/>
              <w:spacing w:line="276" w:lineRule="auto"/>
              <w:ind w:left="107"/>
              <w:rPr>
                <w:szCs w:val="24"/>
              </w:rPr>
            </w:pPr>
            <w:r w:rsidRPr="00F50C10">
              <w:rPr>
                <w:szCs w:val="24"/>
                <w:lang w:bidi="tr-TR"/>
              </w:rPr>
              <w:t>Etilen glikoller</w:t>
            </w:r>
          </w:p>
        </w:tc>
      </w:tr>
      <w:tr w:rsidR="007C2D79" w:rsidRPr="00F50C10" w14:paraId="5BA74CBD" w14:textId="77777777" w:rsidTr="002A26C9">
        <w:trPr>
          <w:trHeight w:val="230"/>
        </w:trPr>
        <w:tc>
          <w:tcPr>
            <w:tcW w:w="2660" w:type="dxa"/>
          </w:tcPr>
          <w:p w14:paraId="47D0D2A8" w14:textId="77777777" w:rsidR="007C2D79" w:rsidRPr="00F50C10" w:rsidRDefault="007C2D79" w:rsidP="000B206D">
            <w:pPr>
              <w:pStyle w:val="TableParagraph"/>
              <w:spacing w:line="276" w:lineRule="auto"/>
              <w:ind w:left="107"/>
              <w:rPr>
                <w:szCs w:val="24"/>
              </w:rPr>
            </w:pPr>
            <w:r w:rsidRPr="00F50C10">
              <w:rPr>
                <w:szCs w:val="24"/>
                <w:lang w:bidi="tr-TR"/>
              </w:rPr>
              <w:t>EO</w:t>
            </w:r>
          </w:p>
        </w:tc>
        <w:tc>
          <w:tcPr>
            <w:tcW w:w="5814" w:type="dxa"/>
          </w:tcPr>
          <w:p w14:paraId="312E6361" w14:textId="77777777" w:rsidR="007C2D79" w:rsidRPr="00F50C10" w:rsidRDefault="007C2D79" w:rsidP="000B206D">
            <w:pPr>
              <w:pStyle w:val="TableParagraph"/>
              <w:spacing w:line="276" w:lineRule="auto"/>
              <w:ind w:left="107"/>
              <w:rPr>
                <w:szCs w:val="24"/>
              </w:rPr>
            </w:pPr>
            <w:r w:rsidRPr="00F50C10">
              <w:rPr>
                <w:szCs w:val="24"/>
                <w:lang w:bidi="tr-TR"/>
              </w:rPr>
              <w:t>Etilen oksit</w:t>
            </w:r>
          </w:p>
        </w:tc>
      </w:tr>
      <w:tr w:rsidR="007C2D79" w:rsidRPr="00F50C10" w14:paraId="423DD9E6" w14:textId="77777777" w:rsidTr="002A26C9">
        <w:trPr>
          <w:trHeight w:val="460"/>
        </w:trPr>
        <w:tc>
          <w:tcPr>
            <w:tcW w:w="2660" w:type="dxa"/>
          </w:tcPr>
          <w:p w14:paraId="3C37D9F5" w14:textId="77777777" w:rsidR="007C2D79" w:rsidRPr="00F50C10" w:rsidRDefault="007C2D79" w:rsidP="000B206D">
            <w:pPr>
              <w:pStyle w:val="TableParagraph"/>
              <w:spacing w:before="108" w:line="276" w:lineRule="auto"/>
              <w:ind w:left="107"/>
              <w:rPr>
                <w:szCs w:val="24"/>
              </w:rPr>
            </w:pPr>
            <w:r w:rsidRPr="00F50C10">
              <w:rPr>
                <w:szCs w:val="24"/>
                <w:lang w:bidi="tr-TR"/>
              </w:rPr>
              <w:t>Etanolaminler</w:t>
            </w:r>
          </w:p>
        </w:tc>
        <w:tc>
          <w:tcPr>
            <w:tcW w:w="5814" w:type="dxa"/>
          </w:tcPr>
          <w:p w14:paraId="45B16A0A" w14:textId="77777777" w:rsidR="007C2D79" w:rsidRPr="00F50C10" w:rsidRDefault="007C2D79" w:rsidP="000B206D">
            <w:pPr>
              <w:pStyle w:val="TableParagraph"/>
              <w:tabs>
                <w:tab w:val="left" w:pos="1141"/>
                <w:tab w:val="left" w:pos="1721"/>
                <w:tab w:val="left" w:pos="2169"/>
                <w:tab w:val="left" w:pos="3963"/>
                <w:tab w:val="left" w:pos="5408"/>
              </w:tabs>
              <w:spacing w:line="276" w:lineRule="auto"/>
              <w:ind w:left="107"/>
              <w:rPr>
                <w:szCs w:val="24"/>
              </w:rPr>
            </w:pPr>
            <w:r w:rsidRPr="00F50C10">
              <w:rPr>
                <w:szCs w:val="24"/>
                <w:lang w:bidi="tr-TR"/>
              </w:rPr>
              <w:t>Monoetanolamin, dietanolamin ve trietanolamin veya bunların karışımları için kullanılan ortak terim</w:t>
            </w:r>
          </w:p>
        </w:tc>
      </w:tr>
      <w:tr w:rsidR="007C2D79" w:rsidRPr="00F50C10" w14:paraId="405178B5" w14:textId="77777777" w:rsidTr="002A26C9">
        <w:trPr>
          <w:trHeight w:val="460"/>
        </w:trPr>
        <w:tc>
          <w:tcPr>
            <w:tcW w:w="2660" w:type="dxa"/>
          </w:tcPr>
          <w:p w14:paraId="59DD2558" w14:textId="77777777" w:rsidR="007C2D79" w:rsidRPr="00F50C10" w:rsidRDefault="007C2D79" w:rsidP="000B206D">
            <w:pPr>
              <w:pStyle w:val="TableParagraph"/>
              <w:spacing w:before="108" w:line="276" w:lineRule="auto"/>
              <w:ind w:left="107"/>
              <w:rPr>
                <w:szCs w:val="24"/>
              </w:rPr>
            </w:pPr>
            <w:r w:rsidRPr="00F50C10">
              <w:rPr>
                <w:szCs w:val="24"/>
                <w:lang w:bidi="tr-TR"/>
              </w:rPr>
              <w:t>Etilen glikoller</w:t>
            </w:r>
          </w:p>
        </w:tc>
        <w:tc>
          <w:tcPr>
            <w:tcW w:w="5814" w:type="dxa"/>
          </w:tcPr>
          <w:p w14:paraId="13EE842D" w14:textId="77777777" w:rsidR="007C2D79" w:rsidRPr="00F50C10" w:rsidRDefault="007C2D79" w:rsidP="000B206D">
            <w:pPr>
              <w:pStyle w:val="TableParagraph"/>
              <w:spacing w:line="276" w:lineRule="auto"/>
              <w:ind w:left="107"/>
              <w:rPr>
                <w:szCs w:val="24"/>
              </w:rPr>
            </w:pPr>
            <w:r w:rsidRPr="00F50C10">
              <w:rPr>
                <w:szCs w:val="24"/>
                <w:lang w:bidi="tr-TR"/>
              </w:rPr>
              <w:t>Monoetilen glikol, dietilen glikol ve trietilen glikol veya bunların karışımları için kullanılan ortak terim</w:t>
            </w:r>
          </w:p>
        </w:tc>
      </w:tr>
      <w:tr w:rsidR="007C2D79" w:rsidRPr="00F50C10" w14:paraId="70009C81" w14:textId="77777777" w:rsidTr="002A26C9">
        <w:trPr>
          <w:trHeight w:val="230"/>
        </w:trPr>
        <w:tc>
          <w:tcPr>
            <w:tcW w:w="2660" w:type="dxa"/>
          </w:tcPr>
          <w:p w14:paraId="56F7DD56" w14:textId="77777777" w:rsidR="007C2D79" w:rsidRPr="00F50C10" w:rsidRDefault="007C2D79" w:rsidP="000B206D">
            <w:pPr>
              <w:pStyle w:val="TableParagraph"/>
              <w:spacing w:line="276" w:lineRule="auto"/>
              <w:ind w:left="107"/>
              <w:rPr>
                <w:szCs w:val="24"/>
              </w:rPr>
            </w:pPr>
            <w:r w:rsidRPr="00F50C10">
              <w:rPr>
                <w:szCs w:val="24"/>
                <w:lang w:bidi="tr-TR"/>
              </w:rPr>
              <w:t>Baca gazı</w:t>
            </w:r>
          </w:p>
        </w:tc>
        <w:tc>
          <w:tcPr>
            <w:tcW w:w="5814" w:type="dxa"/>
          </w:tcPr>
          <w:p w14:paraId="7DF30B2C" w14:textId="77777777" w:rsidR="007C2D79" w:rsidRPr="00F50C10" w:rsidRDefault="007C2D79" w:rsidP="000B206D">
            <w:pPr>
              <w:pStyle w:val="TableParagraph"/>
              <w:spacing w:line="276" w:lineRule="auto"/>
              <w:ind w:left="107"/>
              <w:rPr>
                <w:szCs w:val="24"/>
              </w:rPr>
            </w:pPr>
            <w:r w:rsidRPr="00F50C10">
              <w:rPr>
                <w:szCs w:val="24"/>
                <w:lang w:bidi="tr-TR"/>
              </w:rPr>
              <w:t>Bir yakma ünitesinden çıkan egzoz gazı</w:t>
            </w:r>
          </w:p>
        </w:tc>
      </w:tr>
      <w:tr w:rsidR="007C2D79" w:rsidRPr="00F50C10" w14:paraId="171ED262" w14:textId="77777777" w:rsidTr="002A26C9">
        <w:trPr>
          <w:trHeight w:val="688"/>
        </w:trPr>
        <w:tc>
          <w:tcPr>
            <w:tcW w:w="2660" w:type="dxa"/>
          </w:tcPr>
          <w:p w14:paraId="6280F513" w14:textId="77777777" w:rsidR="007C2D79" w:rsidRPr="00F50C10" w:rsidRDefault="007C2D79" w:rsidP="000B206D">
            <w:pPr>
              <w:pStyle w:val="TableParagraph"/>
              <w:spacing w:line="276" w:lineRule="auto"/>
              <w:ind w:left="107"/>
              <w:rPr>
                <w:szCs w:val="24"/>
              </w:rPr>
            </w:pPr>
            <w:r w:rsidRPr="00F50C10">
              <w:rPr>
                <w:szCs w:val="24"/>
                <w:lang w:bidi="tr-TR"/>
              </w:rPr>
              <w:t>I-TEQ</w:t>
            </w:r>
          </w:p>
        </w:tc>
        <w:tc>
          <w:tcPr>
            <w:tcW w:w="5814" w:type="dxa"/>
          </w:tcPr>
          <w:p w14:paraId="1F97A197" w14:textId="78EC2BD4" w:rsidR="007C2D79" w:rsidRPr="00F50C10" w:rsidRDefault="008447CA" w:rsidP="000B206D">
            <w:pPr>
              <w:pStyle w:val="TableParagraph"/>
              <w:spacing w:line="276" w:lineRule="auto"/>
              <w:ind w:left="107" w:right="110"/>
              <w:rPr>
                <w:szCs w:val="24"/>
              </w:rPr>
            </w:pPr>
            <w:r w:rsidRPr="00F50C10">
              <w:rPr>
                <w:szCs w:val="24"/>
                <w:lang w:bidi="tr-TR"/>
              </w:rPr>
              <w:t>06.10.2010 tarihli ve 27721 sayılı Resmi Gazete’de yayımlanarak yürürlüğe giren Atıkların Yakılmasına İlişkin Yönetmelik Ek-1’de</w:t>
            </w:r>
            <w:r w:rsidR="007C2D79" w:rsidRPr="00F50C10">
              <w:rPr>
                <w:szCs w:val="24"/>
                <w:lang w:bidi="tr-TR"/>
              </w:rPr>
              <w:t xml:space="preserve"> tanımlanan uluslararası toksik eşdeğerlik faktörleri kullanılarak elde edilir</w:t>
            </w:r>
            <w:r w:rsidRPr="00F50C10">
              <w:rPr>
                <w:szCs w:val="24"/>
                <w:lang w:bidi="tr-TR"/>
              </w:rPr>
              <w:t>.</w:t>
            </w:r>
          </w:p>
        </w:tc>
      </w:tr>
      <w:tr w:rsidR="007C2D79" w:rsidRPr="00F50C10" w14:paraId="108D1D1A" w14:textId="77777777" w:rsidTr="002A26C9">
        <w:trPr>
          <w:trHeight w:val="460"/>
        </w:trPr>
        <w:tc>
          <w:tcPr>
            <w:tcW w:w="2660" w:type="dxa"/>
          </w:tcPr>
          <w:p w14:paraId="1479B9BE" w14:textId="77777777" w:rsidR="007C2D79" w:rsidRPr="00F50C10" w:rsidRDefault="007C2D79" w:rsidP="000B206D">
            <w:pPr>
              <w:pStyle w:val="TableParagraph"/>
              <w:spacing w:before="108" w:line="276" w:lineRule="auto"/>
              <w:ind w:left="107"/>
              <w:rPr>
                <w:szCs w:val="24"/>
              </w:rPr>
            </w:pPr>
            <w:r w:rsidRPr="00F50C10">
              <w:rPr>
                <w:szCs w:val="24"/>
                <w:lang w:bidi="tr-TR"/>
              </w:rPr>
              <w:t>Düşük olefinler</w:t>
            </w:r>
          </w:p>
        </w:tc>
        <w:tc>
          <w:tcPr>
            <w:tcW w:w="5814" w:type="dxa"/>
          </w:tcPr>
          <w:p w14:paraId="1CD77415" w14:textId="77777777" w:rsidR="007C2D79" w:rsidRPr="00F50C10" w:rsidRDefault="007C2D79" w:rsidP="000B206D">
            <w:pPr>
              <w:pStyle w:val="TableParagraph"/>
              <w:spacing w:line="276" w:lineRule="auto"/>
              <w:ind w:left="107"/>
              <w:rPr>
                <w:szCs w:val="24"/>
              </w:rPr>
            </w:pPr>
            <w:r w:rsidRPr="00F50C10">
              <w:rPr>
                <w:szCs w:val="24"/>
                <w:lang w:bidi="tr-TR"/>
              </w:rPr>
              <w:t>Etilen, propilen, bütilen ve bütadien veya bunların karışımları için kullanılan ortak terim</w:t>
            </w:r>
          </w:p>
        </w:tc>
      </w:tr>
      <w:tr w:rsidR="007C2D79" w:rsidRPr="00F50C10" w14:paraId="25E131D6" w14:textId="77777777" w:rsidTr="002A26C9">
        <w:trPr>
          <w:trHeight w:val="230"/>
        </w:trPr>
        <w:tc>
          <w:tcPr>
            <w:tcW w:w="2660" w:type="dxa"/>
          </w:tcPr>
          <w:p w14:paraId="246C094E" w14:textId="77777777" w:rsidR="007C2D79" w:rsidRPr="00F50C10" w:rsidRDefault="007C2D79" w:rsidP="000B206D">
            <w:pPr>
              <w:pStyle w:val="TableParagraph"/>
              <w:spacing w:line="276" w:lineRule="auto"/>
              <w:ind w:left="107"/>
              <w:rPr>
                <w:szCs w:val="24"/>
              </w:rPr>
            </w:pPr>
            <w:r w:rsidRPr="00F50C10">
              <w:rPr>
                <w:szCs w:val="24"/>
                <w:lang w:bidi="tr-TR"/>
              </w:rPr>
              <w:t>MDA</w:t>
            </w:r>
          </w:p>
        </w:tc>
        <w:tc>
          <w:tcPr>
            <w:tcW w:w="5814" w:type="dxa"/>
          </w:tcPr>
          <w:p w14:paraId="5FADB40D" w14:textId="77777777" w:rsidR="007C2D79" w:rsidRPr="00F50C10" w:rsidRDefault="007C2D79" w:rsidP="000B206D">
            <w:pPr>
              <w:pStyle w:val="TableParagraph"/>
              <w:spacing w:line="276" w:lineRule="auto"/>
              <w:ind w:left="107"/>
              <w:rPr>
                <w:szCs w:val="24"/>
              </w:rPr>
            </w:pPr>
            <w:r w:rsidRPr="00F50C10">
              <w:rPr>
                <w:szCs w:val="24"/>
                <w:lang w:bidi="tr-TR"/>
              </w:rPr>
              <w:t>Metilen difenil diamin</w:t>
            </w:r>
          </w:p>
        </w:tc>
      </w:tr>
      <w:tr w:rsidR="007C2D79" w:rsidRPr="00F50C10" w14:paraId="004501DD" w14:textId="77777777" w:rsidTr="002A26C9">
        <w:trPr>
          <w:trHeight w:val="230"/>
        </w:trPr>
        <w:tc>
          <w:tcPr>
            <w:tcW w:w="2660" w:type="dxa"/>
          </w:tcPr>
          <w:p w14:paraId="4B41B3C9" w14:textId="77777777" w:rsidR="007C2D79" w:rsidRPr="00F50C10" w:rsidRDefault="007C2D79" w:rsidP="000B206D">
            <w:pPr>
              <w:pStyle w:val="TableParagraph"/>
              <w:spacing w:line="276" w:lineRule="auto"/>
              <w:ind w:left="107"/>
              <w:rPr>
                <w:szCs w:val="24"/>
              </w:rPr>
            </w:pPr>
            <w:r w:rsidRPr="00F50C10">
              <w:rPr>
                <w:szCs w:val="24"/>
                <w:lang w:bidi="tr-TR"/>
              </w:rPr>
              <w:t>MDI</w:t>
            </w:r>
          </w:p>
        </w:tc>
        <w:tc>
          <w:tcPr>
            <w:tcW w:w="5814" w:type="dxa"/>
          </w:tcPr>
          <w:p w14:paraId="329B0614" w14:textId="77777777" w:rsidR="007C2D79" w:rsidRPr="00F50C10" w:rsidRDefault="007C2D79" w:rsidP="000B206D">
            <w:pPr>
              <w:pStyle w:val="TableParagraph"/>
              <w:spacing w:line="276" w:lineRule="auto"/>
              <w:ind w:left="107"/>
              <w:rPr>
                <w:szCs w:val="24"/>
              </w:rPr>
            </w:pPr>
            <w:r w:rsidRPr="00F50C10">
              <w:rPr>
                <w:szCs w:val="24"/>
                <w:lang w:bidi="tr-TR"/>
              </w:rPr>
              <w:t>Metilen difenil diizosiyanat</w:t>
            </w:r>
          </w:p>
        </w:tc>
      </w:tr>
      <w:tr w:rsidR="007C2D79" w:rsidRPr="00F50C10" w14:paraId="7D769764" w14:textId="77777777" w:rsidTr="002A26C9">
        <w:trPr>
          <w:trHeight w:val="230"/>
        </w:trPr>
        <w:tc>
          <w:tcPr>
            <w:tcW w:w="2660" w:type="dxa"/>
          </w:tcPr>
          <w:p w14:paraId="72653188" w14:textId="77777777" w:rsidR="007C2D79" w:rsidRPr="00F50C10" w:rsidRDefault="007C2D79" w:rsidP="000B206D">
            <w:pPr>
              <w:pStyle w:val="TableParagraph"/>
              <w:spacing w:line="276" w:lineRule="auto"/>
              <w:ind w:left="107"/>
              <w:rPr>
                <w:szCs w:val="24"/>
              </w:rPr>
            </w:pPr>
            <w:r w:rsidRPr="00F50C10">
              <w:rPr>
                <w:szCs w:val="24"/>
                <w:lang w:bidi="tr-TR"/>
              </w:rPr>
              <w:t>MDI tesisi</w:t>
            </w:r>
          </w:p>
        </w:tc>
        <w:tc>
          <w:tcPr>
            <w:tcW w:w="5814" w:type="dxa"/>
          </w:tcPr>
          <w:p w14:paraId="2F2A1BBB" w14:textId="77777777" w:rsidR="007C2D79" w:rsidRPr="00F50C10" w:rsidRDefault="007C2D79" w:rsidP="000B206D">
            <w:pPr>
              <w:pStyle w:val="TableParagraph"/>
              <w:spacing w:line="276" w:lineRule="auto"/>
              <w:ind w:left="107"/>
              <w:rPr>
                <w:szCs w:val="24"/>
              </w:rPr>
            </w:pPr>
            <w:r w:rsidRPr="00F50C10">
              <w:rPr>
                <w:szCs w:val="24"/>
                <w:lang w:bidi="tr-TR"/>
              </w:rPr>
              <w:t>Fosgenleme yoluyla MDA'dan MDI üreten tesis</w:t>
            </w:r>
          </w:p>
        </w:tc>
      </w:tr>
      <w:tr w:rsidR="007C2D79" w:rsidRPr="00F50C10" w14:paraId="781D20B0" w14:textId="77777777" w:rsidTr="002A26C9">
        <w:trPr>
          <w:trHeight w:val="921"/>
        </w:trPr>
        <w:tc>
          <w:tcPr>
            <w:tcW w:w="2660" w:type="dxa"/>
          </w:tcPr>
          <w:p w14:paraId="734D6373" w14:textId="77777777" w:rsidR="007C2D79" w:rsidRPr="00F50C10" w:rsidRDefault="007C2D79" w:rsidP="000B206D">
            <w:pPr>
              <w:pStyle w:val="TableParagraph"/>
              <w:spacing w:line="276" w:lineRule="auto"/>
              <w:ind w:left="107"/>
              <w:rPr>
                <w:szCs w:val="24"/>
              </w:rPr>
            </w:pPr>
            <w:r w:rsidRPr="00F50C10">
              <w:rPr>
                <w:szCs w:val="24"/>
                <w:lang w:bidi="tr-TR"/>
              </w:rPr>
              <w:t>NO</w:t>
            </w:r>
            <w:r w:rsidRPr="00F50C10">
              <w:rPr>
                <w:szCs w:val="24"/>
                <w:vertAlign w:val="subscript"/>
                <w:lang w:bidi="tr-TR"/>
              </w:rPr>
              <w:t>X</w:t>
            </w:r>
            <w:r w:rsidRPr="00F50C10">
              <w:rPr>
                <w:szCs w:val="24"/>
                <w:lang w:bidi="tr-TR"/>
              </w:rPr>
              <w:t xml:space="preserve"> öncülleri</w:t>
            </w:r>
          </w:p>
        </w:tc>
        <w:tc>
          <w:tcPr>
            <w:tcW w:w="5814" w:type="dxa"/>
          </w:tcPr>
          <w:p w14:paraId="7AED2E7B" w14:textId="77777777" w:rsidR="007C2D79" w:rsidRPr="00F50C10" w:rsidRDefault="007C2D79" w:rsidP="000B206D">
            <w:pPr>
              <w:pStyle w:val="TableParagraph"/>
              <w:spacing w:line="276" w:lineRule="auto"/>
              <w:ind w:left="107" w:right="102"/>
              <w:rPr>
                <w:szCs w:val="24"/>
              </w:rPr>
            </w:pPr>
            <w:r w:rsidRPr="00F50C10">
              <w:rPr>
                <w:szCs w:val="24"/>
                <w:lang w:bidi="tr-TR"/>
              </w:rPr>
              <w:t>Termal arıtma girdisinde bulunan, NO</w:t>
            </w:r>
            <w:r w:rsidRPr="00F50C10">
              <w:rPr>
                <w:szCs w:val="24"/>
                <w:vertAlign w:val="subscript"/>
                <w:lang w:bidi="tr-TR"/>
              </w:rPr>
              <w:t>X</w:t>
            </w:r>
            <w:r w:rsidRPr="00F50C10">
              <w:rPr>
                <w:szCs w:val="24"/>
                <w:lang w:bidi="tr-TR"/>
              </w:rPr>
              <w:t xml:space="preserve"> emisyonlarına yol açan azot içeren bileşikler (örneğin amonyak, azotlu gazlar, azot içeren organik bileşikler). Element halindeki azot dahil değildir.</w:t>
            </w:r>
          </w:p>
        </w:tc>
      </w:tr>
      <w:tr w:rsidR="007C2D79" w:rsidRPr="00F50C10" w14:paraId="34410A71" w14:textId="77777777" w:rsidTr="002A26C9">
        <w:trPr>
          <w:trHeight w:val="230"/>
        </w:trPr>
        <w:tc>
          <w:tcPr>
            <w:tcW w:w="2660" w:type="dxa"/>
          </w:tcPr>
          <w:p w14:paraId="107BF175" w14:textId="77777777" w:rsidR="007C2D79" w:rsidRPr="00F50C10" w:rsidRDefault="007C2D79" w:rsidP="000B206D">
            <w:pPr>
              <w:pStyle w:val="TableParagraph"/>
              <w:spacing w:line="276" w:lineRule="auto"/>
              <w:ind w:left="107"/>
              <w:rPr>
                <w:szCs w:val="24"/>
              </w:rPr>
            </w:pPr>
            <w:r w:rsidRPr="00F50C10">
              <w:rPr>
                <w:szCs w:val="24"/>
                <w:lang w:bidi="tr-TR"/>
              </w:rPr>
              <w:t>PCDD/F</w:t>
            </w:r>
          </w:p>
        </w:tc>
        <w:tc>
          <w:tcPr>
            <w:tcW w:w="5814" w:type="dxa"/>
          </w:tcPr>
          <w:p w14:paraId="7DEAD02B" w14:textId="77777777" w:rsidR="007C2D79" w:rsidRPr="00F50C10" w:rsidRDefault="007C2D79" w:rsidP="000B206D">
            <w:pPr>
              <w:pStyle w:val="TableParagraph"/>
              <w:spacing w:line="276" w:lineRule="auto"/>
              <w:ind w:left="107"/>
              <w:rPr>
                <w:szCs w:val="24"/>
              </w:rPr>
            </w:pPr>
            <w:r w:rsidRPr="00F50C10">
              <w:rPr>
                <w:szCs w:val="24"/>
                <w:lang w:bidi="tr-TR"/>
              </w:rPr>
              <w:t>Poliklorlu dibenzo-dioksinler ve -furanlar</w:t>
            </w:r>
          </w:p>
        </w:tc>
      </w:tr>
    </w:tbl>
    <w:tbl>
      <w:tblPr>
        <w:tblStyle w:val="TableNormal11"/>
        <w:tblpPr w:leftFromText="141" w:rightFromText="141" w:vertAnchor="text" w:horzAnchor="margin" w:tblpY="-15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5814"/>
      </w:tblGrid>
      <w:tr w:rsidR="007C2D79" w:rsidRPr="00F50C10" w14:paraId="3E6D5446" w14:textId="77777777" w:rsidTr="007C2D79">
        <w:trPr>
          <w:trHeight w:val="230"/>
        </w:trPr>
        <w:tc>
          <w:tcPr>
            <w:tcW w:w="2660" w:type="dxa"/>
          </w:tcPr>
          <w:p w14:paraId="1AE484CD" w14:textId="77777777" w:rsidR="007C2D79" w:rsidRPr="00F50C10" w:rsidRDefault="007C2D79" w:rsidP="000B206D">
            <w:pPr>
              <w:pStyle w:val="TableParagraph"/>
              <w:spacing w:line="276" w:lineRule="auto"/>
              <w:ind w:left="871"/>
              <w:rPr>
                <w:b/>
                <w:szCs w:val="24"/>
              </w:rPr>
            </w:pPr>
            <w:bookmarkStart w:id="2" w:name="_Hlk72757275"/>
            <w:r w:rsidRPr="00F50C10">
              <w:rPr>
                <w:b/>
                <w:szCs w:val="24"/>
                <w:lang w:bidi="tr-TR"/>
              </w:rPr>
              <w:t>Kullanılan terim</w:t>
            </w:r>
          </w:p>
        </w:tc>
        <w:tc>
          <w:tcPr>
            <w:tcW w:w="5814" w:type="dxa"/>
          </w:tcPr>
          <w:p w14:paraId="4BC778AD" w14:textId="77777777" w:rsidR="007C2D79" w:rsidRPr="00F50C10" w:rsidRDefault="007C2D79" w:rsidP="000B206D">
            <w:pPr>
              <w:pStyle w:val="TableParagraph"/>
              <w:spacing w:line="276" w:lineRule="auto"/>
              <w:ind w:left="2455" w:right="2446"/>
              <w:jc w:val="center"/>
              <w:rPr>
                <w:b/>
                <w:szCs w:val="24"/>
              </w:rPr>
            </w:pPr>
            <w:r w:rsidRPr="00F50C10">
              <w:rPr>
                <w:b/>
                <w:szCs w:val="24"/>
                <w:lang w:bidi="tr-TR"/>
              </w:rPr>
              <w:t>Tanım</w:t>
            </w:r>
          </w:p>
        </w:tc>
      </w:tr>
      <w:tr w:rsidR="007C2D79" w:rsidRPr="00F50C10" w14:paraId="50DA99BF" w14:textId="77777777" w:rsidTr="007C2D79">
        <w:trPr>
          <w:trHeight w:val="3249"/>
        </w:trPr>
        <w:tc>
          <w:tcPr>
            <w:tcW w:w="2660" w:type="dxa"/>
          </w:tcPr>
          <w:p w14:paraId="0346C997" w14:textId="77777777" w:rsidR="007C2D79" w:rsidRPr="00F50C10" w:rsidRDefault="007C2D79" w:rsidP="000B206D">
            <w:pPr>
              <w:pStyle w:val="TableParagraph"/>
              <w:spacing w:line="276" w:lineRule="auto"/>
              <w:rPr>
                <w:szCs w:val="24"/>
              </w:rPr>
            </w:pPr>
          </w:p>
          <w:p w14:paraId="4DB05642" w14:textId="77777777" w:rsidR="007C2D79" w:rsidRPr="00F50C10" w:rsidRDefault="007C2D79" w:rsidP="000B206D">
            <w:pPr>
              <w:pStyle w:val="TableParagraph"/>
              <w:spacing w:line="276" w:lineRule="auto"/>
              <w:rPr>
                <w:szCs w:val="24"/>
              </w:rPr>
            </w:pPr>
          </w:p>
          <w:p w14:paraId="00EA08DC" w14:textId="77777777" w:rsidR="007C2D79" w:rsidRPr="00F50C10" w:rsidRDefault="007C2D79" w:rsidP="000B206D">
            <w:pPr>
              <w:pStyle w:val="TableParagraph"/>
              <w:spacing w:line="276" w:lineRule="auto"/>
              <w:rPr>
                <w:szCs w:val="24"/>
              </w:rPr>
            </w:pPr>
          </w:p>
          <w:p w14:paraId="2D629319" w14:textId="77777777" w:rsidR="007C2D79" w:rsidRPr="00F50C10" w:rsidRDefault="007C2D79" w:rsidP="000B206D">
            <w:pPr>
              <w:pStyle w:val="TableParagraph"/>
              <w:spacing w:line="276" w:lineRule="auto"/>
              <w:rPr>
                <w:szCs w:val="24"/>
              </w:rPr>
            </w:pPr>
          </w:p>
          <w:p w14:paraId="39B2023F" w14:textId="77777777" w:rsidR="007C2D79" w:rsidRPr="00F50C10" w:rsidRDefault="007C2D79" w:rsidP="000B206D">
            <w:pPr>
              <w:pStyle w:val="TableParagraph"/>
              <w:spacing w:line="276" w:lineRule="auto"/>
              <w:rPr>
                <w:szCs w:val="24"/>
              </w:rPr>
            </w:pPr>
          </w:p>
          <w:p w14:paraId="7D0CF9E5" w14:textId="77777777" w:rsidR="007C2D79" w:rsidRPr="00F50C10" w:rsidRDefault="007C2D79" w:rsidP="000B206D">
            <w:pPr>
              <w:pStyle w:val="TableParagraph"/>
              <w:spacing w:before="10" w:line="276" w:lineRule="auto"/>
              <w:rPr>
                <w:szCs w:val="24"/>
              </w:rPr>
            </w:pPr>
          </w:p>
          <w:p w14:paraId="75DBC7F7" w14:textId="77777777" w:rsidR="007C2D79" w:rsidRPr="00F50C10" w:rsidRDefault="007C2D79" w:rsidP="000B206D">
            <w:pPr>
              <w:pStyle w:val="TableParagraph"/>
              <w:spacing w:line="276" w:lineRule="auto"/>
              <w:ind w:left="108"/>
              <w:rPr>
                <w:szCs w:val="24"/>
              </w:rPr>
            </w:pPr>
            <w:r w:rsidRPr="00F50C10">
              <w:rPr>
                <w:szCs w:val="24"/>
                <w:lang w:bidi="tr-TR"/>
              </w:rPr>
              <w:t>Proses fırını/ısıtıcısı</w:t>
            </w:r>
          </w:p>
        </w:tc>
        <w:tc>
          <w:tcPr>
            <w:tcW w:w="5814" w:type="dxa"/>
          </w:tcPr>
          <w:p w14:paraId="0B933FA7" w14:textId="77777777" w:rsidR="007C2D79" w:rsidRPr="00F50C10" w:rsidRDefault="007C2D79" w:rsidP="000B206D">
            <w:pPr>
              <w:pStyle w:val="TableParagraph"/>
              <w:spacing w:line="276" w:lineRule="auto"/>
              <w:ind w:left="110"/>
              <w:jc w:val="both"/>
              <w:rPr>
                <w:szCs w:val="24"/>
              </w:rPr>
            </w:pPr>
            <w:r w:rsidRPr="00F50C10">
              <w:rPr>
                <w:szCs w:val="24"/>
                <w:lang w:bidi="tr-TR"/>
              </w:rPr>
              <w:t>Proses fırınları veya ısıtıcıları:</w:t>
            </w:r>
          </w:p>
          <w:p w14:paraId="2AFD92F4" w14:textId="77777777" w:rsidR="007C2D79" w:rsidRPr="00F50C10" w:rsidRDefault="007C2D79" w:rsidP="00A654AE">
            <w:pPr>
              <w:pStyle w:val="TableParagraph"/>
              <w:numPr>
                <w:ilvl w:val="0"/>
                <w:numId w:val="171"/>
              </w:numPr>
              <w:tabs>
                <w:tab w:val="left" w:pos="471"/>
              </w:tabs>
              <w:spacing w:line="276" w:lineRule="auto"/>
              <w:ind w:right="99"/>
              <w:jc w:val="both"/>
              <w:rPr>
                <w:szCs w:val="24"/>
              </w:rPr>
            </w:pPr>
            <w:r w:rsidRPr="00F50C10">
              <w:rPr>
                <w:szCs w:val="24"/>
                <w:lang w:bidi="tr-TR"/>
              </w:rPr>
              <w:t>Baca gazları doğrudan temas ile nesnelerin veya besleme malzemesinin termal olarak işlenmesinde, örneğin kurutma prosesleri veya kimyasal reaktörlerde kullanılan yakma üniteleri; veya</w:t>
            </w:r>
          </w:p>
          <w:p w14:paraId="27A456C7" w14:textId="175A528A" w:rsidR="008470F4" w:rsidRPr="00F50C10" w:rsidRDefault="007C2D79" w:rsidP="00A654AE">
            <w:pPr>
              <w:pStyle w:val="TableParagraph"/>
              <w:numPr>
                <w:ilvl w:val="0"/>
                <w:numId w:val="171"/>
              </w:numPr>
              <w:tabs>
                <w:tab w:val="left" w:pos="471"/>
              </w:tabs>
              <w:spacing w:line="276" w:lineRule="auto"/>
              <w:ind w:right="95"/>
              <w:jc w:val="both"/>
              <w:rPr>
                <w:szCs w:val="24"/>
              </w:rPr>
            </w:pPr>
            <w:r w:rsidRPr="00F50C10">
              <w:rPr>
                <w:szCs w:val="24"/>
                <w:lang w:bidi="tr-TR"/>
              </w:rPr>
              <w:t>Işıma ve/veya iletimli ısısı, ara ısı aktarım sıvısı kullanılmaksızın tek parça bir duvar içinden nesnelere veya besleme malzemesine aktarılan yakma üniteleri (örneğin buharlı parçalayıcı fırınlar gibi kimya/petrokimya endüstrisinde kullanılan, proses akışını ısıtan fırınlar veya reaktörler) olabilir.</w:t>
            </w:r>
          </w:p>
          <w:p w14:paraId="362BFECC" w14:textId="77777777" w:rsidR="007C2D79" w:rsidRPr="00F50C10" w:rsidRDefault="007C2D79" w:rsidP="00A654AE">
            <w:pPr>
              <w:pStyle w:val="TableParagraph"/>
              <w:numPr>
                <w:ilvl w:val="0"/>
                <w:numId w:val="171"/>
              </w:numPr>
              <w:tabs>
                <w:tab w:val="left" w:pos="471"/>
              </w:tabs>
              <w:spacing w:line="276" w:lineRule="auto"/>
              <w:ind w:right="95"/>
              <w:jc w:val="both"/>
              <w:rPr>
                <w:szCs w:val="24"/>
              </w:rPr>
            </w:pPr>
            <w:r w:rsidRPr="00F50C10">
              <w:rPr>
                <w:szCs w:val="24"/>
                <w:lang w:bidi="tr-TR"/>
              </w:rPr>
              <w:t>İyi enerji geri kazanım uygulamalarının bir sonucu olarak, bazı proses fırınlarının / ısıtıcılarının ilişkili bir buhar / elektrik üretim sistemine sahip olabileceği unutulmamalıdır. Bu tek başına düşünülemeyecek, proses fırını / ısıtıcısının ayrılmaz bir tasarım özelliği olarak kabul edilir.</w:t>
            </w:r>
          </w:p>
        </w:tc>
      </w:tr>
      <w:tr w:rsidR="007C2D79" w:rsidRPr="00F50C10" w14:paraId="2B785C01" w14:textId="77777777" w:rsidTr="007C2D79">
        <w:trPr>
          <w:trHeight w:val="460"/>
        </w:trPr>
        <w:tc>
          <w:tcPr>
            <w:tcW w:w="2660" w:type="dxa"/>
          </w:tcPr>
          <w:p w14:paraId="6D4912B8" w14:textId="77777777" w:rsidR="007C2D79" w:rsidRPr="00F50C10" w:rsidRDefault="007C2D79" w:rsidP="000B206D">
            <w:pPr>
              <w:pStyle w:val="TableParagraph"/>
              <w:spacing w:before="108" w:line="276" w:lineRule="auto"/>
              <w:ind w:left="108"/>
              <w:rPr>
                <w:szCs w:val="24"/>
              </w:rPr>
            </w:pPr>
            <w:r w:rsidRPr="00F50C10">
              <w:rPr>
                <w:szCs w:val="24"/>
                <w:lang w:bidi="tr-TR"/>
              </w:rPr>
              <w:t>Proses çıkış gazı</w:t>
            </w:r>
          </w:p>
        </w:tc>
        <w:tc>
          <w:tcPr>
            <w:tcW w:w="5814" w:type="dxa"/>
          </w:tcPr>
          <w:p w14:paraId="276010FC" w14:textId="77777777" w:rsidR="007C2D79" w:rsidRPr="00F50C10" w:rsidRDefault="007C2D79" w:rsidP="000B206D">
            <w:pPr>
              <w:pStyle w:val="TableParagraph"/>
              <w:spacing w:line="276" w:lineRule="auto"/>
              <w:ind w:left="110"/>
              <w:rPr>
                <w:szCs w:val="24"/>
              </w:rPr>
            </w:pPr>
            <w:r w:rsidRPr="00F50C10">
              <w:rPr>
                <w:szCs w:val="24"/>
                <w:lang w:bidi="tr-TR"/>
              </w:rPr>
              <w:t>Geri kazanım ve / veya geri kazanım için daha fazla muamele edilen bir prosesi terk eden gaz azaltma</w:t>
            </w:r>
          </w:p>
        </w:tc>
      </w:tr>
      <w:tr w:rsidR="007C2D79" w:rsidRPr="00F50C10" w14:paraId="146D077F" w14:textId="77777777" w:rsidTr="007C2D79">
        <w:trPr>
          <w:trHeight w:val="460"/>
        </w:trPr>
        <w:tc>
          <w:tcPr>
            <w:tcW w:w="2660" w:type="dxa"/>
          </w:tcPr>
          <w:p w14:paraId="436E5EA4" w14:textId="77777777" w:rsidR="007C2D79" w:rsidRPr="00F50C10" w:rsidRDefault="007C2D79" w:rsidP="000B206D">
            <w:pPr>
              <w:pStyle w:val="TableParagraph"/>
              <w:spacing w:before="108" w:line="276" w:lineRule="auto"/>
              <w:ind w:left="108"/>
              <w:rPr>
                <w:szCs w:val="24"/>
              </w:rPr>
            </w:pPr>
            <w:r w:rsidRPr="00F50C10">
              <w:rPr>
                <w:szCs w:val="24"/>
                <w:lang w:bidi="tr-TR"/>
              </w:rPr>
              <w:t>NO</w:t>
            </w:r>
            <w:r w:rsidRPr="00F50C10">
              <w:rPr>
                <w:szCs w:val="24"/>
                <w:vertAlign w:val="subscript"/>
                <w:lang w:bidi="tr-TR"/>
              </w:rPr>
              <w:t>X</w:t>
            </w:r>
          </w:p>
        </w:tc>
        <w:tc>
          <w:tcPr>
            <w:tcW w:w="5814" w:type="dxa"/>
          </w:tcPr>
          <w:p w14:paraId="7C318FF8" w14:textId="77777777" w:rsidR="007C2D79" w:rsidRPr="00F50C10" w:rsidRDefault="007C2D79" w:rsidP="000B206D">
            <w:pPr>
              <w:pStyle w:val="TableParagraph"/>
              <w:spacing w:line="276" w:lineRule="auto"/>
              <w:ind w:left="110"/>
              <w:rPr>
                <w:szCs w:val="24"/>
              </w:rPr>
            </w:pPr>
            <w:r w:rsidRPr="00F50C10">
              <w:rPr>
                <w:szCs w:val="24"/>
                <w:lang w:bidi="tr-TR"/>
              </w:rPr>
              <w:t>Azot monoksit (NO) ve azot dioksit (NO</w:t>
            </w:r>
            <w:r w:rsidRPr="00F50C10">
              <w:rPr>
                <w:szCs w:val="24"/>
                <w:vertAlign w:val="subscript"/>
                <w:lang w:bidi="tr-TR"/>
              </w:rPr>
              <w:t>2</w:t>
            </w:r>
            <w:r w:rsidRPr="00F50C10">
              <w:rPr>
                <w:szCs w:val="24"/>
                <w:lang w:bidi="tr-TR"/>
              </w:rPr>
              <w:t>) toplamı, NO</w:t>
            </w:r>
            <w:r w:rsidRPr="00F50C10">
              <w:rPr>
                <w:szCs w:val="24"/>
                <w:vertAlign w:val="subscript"/>
                <w:lang w:bidi="tr-TR"/>
              </w:rPr>
              <w:t>2</w:t>
            </w:r>
            <w:r w:rsidRPr="00F50C10">
              <w:rPr>
                <w:szCs w:val="24"/>
                <w:lang w:bidi="tr-TR"/>
              </w:rPr>
              <w:t xml:space="preserve"> olarak ifade edilir.</w:t>
            </w:r>
          </w:p>
        </w:tc>
      </w:tr>
      <w:tr w:rsidR="007C2D79" w:rsidRPr="00F50C10" w14:paraId="71170314" w14:textId="77777777" w:rsidTr="007C2D79">
        <w:trPr>
          <w:trHeight w:val="460"/>
        </w:trPr>
        <w:tc>
          <w:tcPr>
            <w:tcW w:w="2660" w:type="dxa"/>
          </w:tcPr>
          <w:p w14:paraId="35C543EA" w14:textId="77777777" w:rsidR="007C2D79" w:rsidRPr="00F50C10" w:rsidRDefault="007C2D79" w:rsidP="000B206D">
            <w:pPr>
              <w:pStyle w:val="TableParagraph"/>
              <w:spacing w:before="109" w:line="276" w:lineRule="auto"/>
              <w:ind w:left="108"/>
              <w:rPr>
                <w:szCs w:val="24"/>
              </w:rPr>
            </w:pPr>
            <w:r w:rsidRPr="00F50C10">
              <w:rPr>
                <w:szCs w:val="24"/>
                <w:lang w:bidi="tr-TR"/>
              </w:rPr>
              <w:t>Kalıntılar</w:t>
            </w:r>
          </w:p>
        </w:tc>
        <w:tc>
          <w:tcPr>
            <w:tcW w:w="5814" w:type="dxa"/>
          </w:tcPr>
          <w:p w14:paraId="6BCB4B5C" w14:textId="77777777" w:rsidR="007C2D79" w:rsidRPr="00F50C10" w:rsidRDefault="007C2D79" w:rsidP="000B206D">
            <w:pPr>
              <w:pStyle w:val="TableParagraph"/>
              <w:spacing w:line="276" w:lineRule="auto"/>
              <w:ind w:left="110"/>
              <w:rPr>
                <w:szCs w:val="24"/>
              </w:rPr>
            </w:pPr>
            <w:r w:rsidRPr="00F50C10">
              <w:rPr>
                <w:szCs w:val="24"/>
                <w:lang w:bidi="tr-TR"/>
              </w:rPr>
              <w:t>Atık veya yan ürün olarak bu belge kapsamındaki faaliyetler tarafından üretilen maddeler veya nesneler</w:t>
            </w:r>
          </w:p>
        </w:tc>
      </w:tr>
      <w:tr w:rsidR="007C2D79" w:rsidRPr="00F50C10" w14:paraId="2077817C" w14:textId="77777777" w:rsidTr="007C2D79">
        <w:trPr>
          <w:trHeight w:val="230"/>
        </w:trPr>
        <w:tc>
          <w:tcPr>
            <w:tcW w:w="2660" w:type="dxa"/>
          </w:tcPr>
          <w:p w14:paraId="1ADDFD72" w14:textId="77777777" w:rsidR="007C2D79" w:rsidRPr="00F50C10" w:rsidRDefault="007C2D79" w:rsidP="000B206D">
            <w:pPr>
              <w:pStyle w:val="TableParagraph"/>
              <w:spacing w:line="276" w:lineRule="auto"/>
              <w:ind w:left="108"/>
              <w:rPr>
                <w:szCs w:val="24"/>
              </w:rPr>
            </w:pPr>
            <w:r w:rsidRPr="00F50C10">
              <w:rPr>
                <w:szCs w:val="24"/>
                <w:lang w:bidi="tr-TR"/>
              </w:rPr>
              <w:t>RTO</w:t>
            </w:r>
          </w:p>
        </w:tc>
        <w:tc>
          <w:tcPr>
            <w:tcW w:w="5814" w:type="dxa"/>
          </w:tcPr>
          <w:p w14:paraId="5150B689" w14:textId="77777777" w:rsidR="007C2D79" w:rsidRPr="00F50C10" w:rsidRDefault="007C2D79" w:rsidP="000B206D">
            <w:pPr>
              <w:pStyle w:val="TableParagraph"/>
              <w:spacing w:line="276" w:lineRule="auto"/>
              <w:ind w:left="110"/>
              <w:rPr>
                <w:szCs w:val="24"/>
              </w:rPr>
            </w:pPr>
            <w:r w:rsidRPr="00F50C10">
              <w:rPr>
                <w:szCs w:val="24"/>
                <w:lang w:bidi="tr-TR"/>
              </w:rPr>
              <w:t>Rejeneratif termal oksitleyici</w:t>
            </w:r>
          </w:p>
        </w:tc>
      </w:tr>
      <w:tr w:rsidR="007C2D79" w:rsidRPr="00F50C10" w14:paraId="243C6EB8" w14:textId="77777777" w:rsidTr="007C2D79">
        <w:trPr>
          <w:trHeight w:val="230"/>
        </w:trPr>
        <w:tc>
          <w:tcPr>
            <w:tcW w:w="2660" w:type="dxa"/>
          </w:tcPr>
          <w:p w14:paraId="23AF321D" w14:textId="77777777" w:rsidR="007C2D79" w:rsidRPr="00F50C10" w:rsidRDefault="007C2D79" w:rsidP="000B206D">
            <w:pPr>
              <w:pStyle w:val="TableParagraph"/>
              <w:spacing w:line="276" w:lineRule="auto"/>
              <w:ind w:left="108"/>
              <w:rPr>
                <w:szCs w:val="24"/>
              </w:rPr>
            </w:pPr>
            <w:r w:rsidRPr="00F50C10">
              <w:rPr>
                <w:szCs w:val="24"/>
                <w:lang w:bidi="tr-TR"/>
              </w:rPr>
              <w:t>SCR</w:t>
            </w:r>
          </w:p>
        </w:tc>
        <w:tc>
          <w:tcPr>
            <w:tcW w:w="5814" w:type="dxa"/>
          </w:tcPr>
          <w:p w14:paraId="132241A1" w14:textId="77777777" w:rsidR="007C2D79" w:rsidRPr="00F50C10" w:rsidRDefault="007C2D79" w:rsidP="000B206D">
            <w:pPr>
              <w:pStyle w:val="TableParagraph"/>
              <w:spacing w:line="276" w:lineRule="auto"/>
              <w:ind w:left="110"/>
              <w:rPr>
                <w:szCs w:val="24"/>
              </w:rPr>
            </w:pPr>
            <w:r w:rsidRPr="00F50C10">
              <w:rPr>
                <w:szCs w:val="24"/>
                <w:lang w:bidi="tr-TR"/>
              </w:rPr>
              <w:t>Seçici katalitik indirgeme</w:t>
            </w:r>
          </w:p>
        </w:tc>
      </w:tr>
      <w:tr w:rsidR="007C2D79" w:rsidRPr="00F50C10" w14:paraId="10400258" w14:textId="77777777" w:rsidTr="007C2D79">
        <w:trPr>
          <w:trHeight w:val="230"/>
        </w:trPr>
        <w:tc>
          <w:tcPr>
            <w:tcW w:w="2660" w:type="dxa"/>
          </w:tcPr>
          <w:p w14:paraId="3D704948" w14:textId="77777777" w:rsidR="007C2D79" w:rsidRPr="00F50C10" w:rsidRDefault="007C2D79" w:rsidP="000B206D">
            <w:pPr>
              <w:pStyle w:val="TableParagraph"/>
              <w:spacing w:line="276" w:lineRule="auto"/>
              <w:ind w:left="108"/>
              <w:rPr>
                <w:szCs w:val="24"/>
              </w:rPr>
            </w:pPr>
            <w:r w:rsidRPr="00F50C10">
              <w:rPr>
                <w:szCs w:val="24"/>
                <w:lang w:bidi="tr-TR"/>
              </w:rPr>
              <w:t>SMPO</w:t>
            </w:r>
          </w:p>
        </w:tc>
        <w:tc>
          <w:tcPr>
            <w:tcW w:w="5814" w:type="dxa"/>
          </w:tcPr>
          <w:p w14:paraId="17B83117" w14:textId="77777777" w:rsidR="007C2D79" w:rsidRPr="00F50C10" w:rsidRDefault="007C2D79" w:rsidP="000B206D">
            <w:pPr>
              <w:pStyle w:val="TableParagraph"/>
              <w:spacing w:line="276" w:lineRule="auto"/>
              <w:ind w:left="110"/>
              <w:rPr>
                <w:szCs w:val="24"/>
              </w:rPr>
            </w:pPr>
            <w:r w:rsidRPr="00F50C10">
              <w:rPr>
                <w:szCs w:val="24"/>
                <w:lang w:bidi="tr-TR"/>
              </w:rPr>
              <w:t>Stiren monomer ve propilen oksit</w:t>
            </w:r>
          </w:p>
        </w:tc>
      </w:tr>
      <w:tr w:rsidR="007C2D79" w:rsidRPr="00F50C10" w14:paraId="69673BBC" w14:textId="77777777" w:rsidTr="007C2D79">
        <w:trPr>
          <w:trHeight w:val="230"/>
        </w:trPr>
        <w:tc>
          <w:tcPr>
            <w:tcW w:w="2660" w:type="dxa"/>
          </w:tcPr>
          <w:p w14:paraId="02A6AC49" w14:textId="77777777" w:rsidR="007C2D79" w:rsidRPr="00F50C10" w:rsidRDefault="007C2D79" w:rsidP="000B206D">
            <w:pPr>
              <w:pStyle w:val="TableParagraph"/>
              <w:spacing w:line="276" w:lineRule="auto"/>
              <w:ind w:left="108"/>
              <w:rPr>
                <w:szCs w:val="24"/>
              </w:rPr>
            </w:pPr>
            <w:r w:rsidRPr="00F50C10">
              <w:rPr>
                <w:szCs w:val="24"/>
                <w:lang w:bidi="tr-TR"/>
              </w:rPr>
              <w:t>SNCR</w:t>
            </w:r>
          </w:p>
        </w:tc>
        <w:tc>
          <w:tcPr>
            <w:tcW w:w="5814" w:type="dxa"/>
          </w:tcPr>
          <w:p w14:paraId="4F2C167B" w14:textId="77777777" w:rsidR="007C2D79" w:rsidRPr="00F50C10" w:rsidRDefault="007C2D79" w:rsidP="000B206D">
            <w:pPr>
              <w:pStyle w:val="TableParagraph"/>
              <w:spacing w:line="276" w:lineRule="auto"/>
              <w:ind w:left="110"/>
              <w:rPr>
                <w:szCs w:val="24"/>
              </w:rPr>
            </w:pPr>
            <w:r w:rsidRPr="00F50C10">
              <w:rPr>
                <w:szCs w:val="24"/>
                <w:lang w:bidi="tr-TR"/>
              </w:rPr>
              <w:t>Seçici katalitik olmayan indirgeme</w:t>
            </w:r>
          </w:p>
        </w:tc>
      </w:tr>
      <w:tr w:rsidR="007C2D79" w:rsidRPr="00F50C10" w14:paraId="60402B73" w14:textId="77777777" w:rsidTr="007C2D79">
        <w:trPr>
          <w:trHeight w:val="230"/>
        </w:trPr>
        <w:tc>
          <w:tcPr>
            <w:tcW w:w="2660" w:type="dxa"/>
          </w:tcPr>
          <w:p w14:paraId="386B7DFA" w14:textId="77777777" w:rsidR="007C2D79" w:rsidRPr="00F50C10" w:rsidRDefault="007C2D79" w:rsidP="000B206D">
            <w:pPr>
              <w:pStyle w:val="TableParagraph"/>
              <w:spacing w:line="276" w:lineRule="auto"/>
              <w:ind w:left="108"/>
              <w:rPr>
                <w:szCs w:val="24"/>
              </w:rPr>
            </w:pPr>
            <w:r w:rsidRPr="00F50C10">
              <w:rPr>
                <w:szCs w:val="24"/>
                <w:lang w:bidi="tr-TR"/>
              </w:rPr>
              <w:t>SRU</w:t>
            </w:r>
          </w:p>
        </w:tc>
        <w:tc>
          <w:tcPr>
            <w:tcW w:w="5814" w:type="dxa"/>
          </w:tcPr>
          <w:p w14:paraId="0ECCC221" w14:textId="77777777" w:rsidR="007C2D79" w:rsidRPr="00F50C10" w:rsidRDefault="007C2D79" w:rsidP="000B206D">
            <w:pPr>
              <w:pStyle w:val="TableParagraph"/>
              <w:spacing w:line="276" w:lineRule="auto"/>
              <w:ind w:left="110"/>
              <w:rPr>
                <w:szCs w:val="24"/>
              </w:rPr>
            </w:pPr>
            <w:r w:rsidRPr="00F50C10">
              <w:rPr>
                <w:szCs w:val="24"/>
                <w:lang w:bidi="tr-TR"/>
              </w:rPr>
              <w:t>Kükürt geri kazanım ünitesi</w:t>
            </w:r>
          </w:p>
        </w:tc>
      </w:tr>
      <w:tr w:rsidR="007C2D79" w:rsidRPr="00F50C10" w14:paraId="62C9F15D" w14:textId="77777777" w:rsidTr="007C2D79">
        <w:trPr>
          <w:trHeight w:val="230"/>
        </w:trPr>
        <w:tc>
          <w:tcPr>
            <w:tcW w:w="2660" w:type="dxa"/>
          </w:tcPr>
          <w:p w14:paraId="18CFD536" w14:textId="77777777" w:rsidR="007C2D79" w:rsidRPr="00F50C10" w:rsidRDefault="007C2D79" w:rsidP="000B206D">
            <w:pPr>
              <w:pStyle w:val="TableParagraph"/>
              <w:spacing w:line="276" w:lineRule="auto"/>
              <w:ind w:left="108"/>
              <w:rPr>
                <w:szCs w:val="24"/>
              </w:rPr>
            </w:pPr>
            <w:r w:rsidRPr="00F50C10">
              <w:rPr>
                <w:szCs w:val="24"/>
                <w:lang w:bidi="tr-TR"/>
              </w:rPr>
              <w:t>TDA</w:t>
            </w:r>
          </w:p>
        </w:tc>
        <w:tc>
          <w:tcPr>
            <w:tcW w:w="5814" w:type="dxa"/>
          </w:tcPr>
          <w:p w14:paraId="78334ACF" w14:textId="77777777" w:rsidR="007C2D79" w:rsidRPr="00F50C10" w:rsidRDefault="007C2D79" w:rsidP="000B206D">
            <w:pPr>
              <w:pStyle w:val="TableParagraph"/>
              <w:spacing w:line="276" w:lineRule="auto"/>
              <w:ind w:left="110"/>
              <w:rPr>
                <w:szCs w:val="24"/>
              </w:rPr>
            </w:pPr>
            <w:r w:rsidRPr="00F50C10">
              <w:rPr>
                <w:szCs w:val="24"/>
                <w:lang w:bidi="tr-TR"/>
              </w:rPr>
              <w:t>Toluen diamin</w:t>
            </w:r>
          </w:p>
        </w:tc>
      </w:tr>
      <w:tr w:rsidR="007C2D79" w:rsidRPr="00F50C10" w14:paraId="4571E3BB" w14:textId="77777777" w:rsidTr="007C2D79">
        <w:trPr>
          <w:trHeight w:val="230"/>
        </w:trPr>
        <w:tc>
          <w:tcPr>
            <w:tcW w:w="2660" w:type="dxa"/>
          </w:tcPr>
          <w:p w14:paraId="783D7AE3" w14:textId="77777777" w:rsidR="007C2D79" w:rsidRPr="00F50C10" w:rsidRDefault="007C2D79" w:rsidP="000B206D">
            <w:pPr>
              <w:pStyle w:val="TableParagraph"/>
              <w:spacing w:line="276" w:lineRule="auto"/>
              <w:ind w:left="108"/>
              <w:rPr>
                <w:szCs w:val="24"/>
              </w:rPr>
            </w:pPr>
            <w:r w:rsidRPr="00F50C10">
              <w:rPr>
                <w:szCs w:val="24"/>
                <w:lang w:bidi="tr-TR"/>
              </w:rPr>
              <w:t>TDI</w:t>
            </w:r>
          </w:p>
        </w:tc>
        <w:tc>
          <w:tcPr>
            <w:tcW w:w="5814" w:type="dxa"/>
          </w:tcPr>
          <w:p w14:paraId="69A04B33" w14:textId="77777777" w:rsidR="007C2D79" w:rsidRPr="00F50C10" w:rsidRDefault="007C2D79" w:rsidP="000B206D">
            <w:pPr>
              <w:pStyle w:val="TableParagraph"/>
              <w:spacing w:line="276" w:lineRule="auto"/>
              <w:ind w:left="110"/>
              <w:rPr>
                <w:szCs w:val="24"/>
              </w:rPr>
            </w:pPr>
            <w:r w:rsidRPr="00F50C10">
              <w:rPr>
                <w:szCs w:val="24"/>
                <w:lang w:bidi="tr-TR"/>
              </w:rPr>
              <w:t>Toluen diizosiyanat</w:t>
            </w:r>
          </w:p>
        </w:tc>
      </w:tr>
      <w:tr w:rsidR="007C2D79" w:rsidRPr="00F50C10" w14:paraId="2271C641" w14:textId="77777777" w:rsidTr="007C2D79">
        <w:trPr>
          <w:trHeight w:val="230"/>
        </w:trPr>
        <w:tc>
          <w:tcPr>
            <w:tcW w:w="2660" w:type="dxa"/>
          </w:tcPr>
          <w:p w14:paraId="3D3A4E9B" w14:textId="77777777" w:rsidR="007C2D79" w:rsidRPr="00F50C10" w:rsidRDefault="007C2D79" w:rsidP="000B206D">
            <w:pPr>
              <w:pStyle w:val="TableParagraph"/>
              <w:spacing w:line="276" w:lineRule="auto"/>
              <w:ind w:left="108"/>
              <w:rPr>
                <w:szCs w:val="24"/>
              </w:rPr>
            </w:pPr>
            <w:r w:rsidRPr="00F50C10">
              <w:rPr>
                <w:szCs w:val="24"/>
                <w:lang w:bidi="tr-TR"/>
              </w:rPr>
              <w:t>TDI tesisi</w:t>
            </w:r>
          </w:p>
        </w:tc>
        <w:tc>
          <w:tcPr>
            <w:tcW w:w="5814" w:type="dxa"/>
          </w:tcPr>
          <w:p w14:paraId="00E669B4" w14:textId="77777777" w:rsidR="007C2D79" w:rsidRPr="00F50C10" w:rsidRDefault="007C2D79" w:rsidP="000B206D">
            <w:pPr>
              <w:pStyle w:val="TableParagraph"/>
              <w:spacing w:line="276" w:lineRule="auto"/>
              <w:ind w:left="110"/>
              <w:rPr>
                <w:szCs w:val="24"/>
              </w:rPr>
            </w:pPr>
            <w:r w:rsidRPr="00F50C10">
              <w:rPr>
                <w:szCs w:val="24"/>
                <w:lang w:bidi="tr-TR"/>
              </w:rPr>
              <w:t>Fosgenleme yoluyla TDA'dan TDI üreten tesis</w:t>
            </w:r>
          </w:p>
        </w:tc>
      </w:tr>
      <w:tr w:rsidR="007C2D79" w:rsidRPr="00F50C10" w14:paraId="214725F8" w14:textId="77777777" w:rsidTr="007C2D79">
        <w:trPr>
          <w:trHeight w:val="458"/>
        </w:trPr>
        <w:tc>
          <w:tcPr>
            <w:tcW w:w="2660" w:type="dxa"/>
          </w:tcPr>
          <w:p w14:paraId="01CF775F" w14:textId="77777777" w:rsidR="007C2D79" w:rsidRPr="00F50C10" w:rsidRDefault="007C2D79" w:rsidP="000B206D">
            <w:pPr>
              <w:pStyle w:val="TableParagraph"/>
              <w:spacing w:before="108" w:line="276" w:lineRule="auto"/>
              <w:ind w:left="108"/>
              <w:rPr>
                <w:szCs w:val="24"/>
              </w:rPr>
            </w:pPr>
            <w:r w:rsidRPr="00F50C10">
              <w:rPr>
                <w:szCs w:val="24"/>
                <w:lang w:bidi="tr-TR"/>
              </w:rPr>
              <w:t>TOK</w:t>
            </w:r>
          </w:p>
        </w:tc>
        <w:tc>
          <w:tcPr>
            <w:tcW w:w="5814" w:type="dxa"/>
          </w:tcPr>
          <w:p w14:paraId="0F2328A1" w14:textId="7F1D289C" w:rsidR="007C2D79" w:rsidRPr="00F50C10" w:rsidRDefault="008447CA" w:rsidP="000B206D">
            <w:pPr>
              <w:pStyle w:val="TableParagraph"/>
              <w:spacing w:line="276" w:lineRule="auto"/>
              <w:ind w:left="110"/>
              <w:rPr>
                <w:szCs w:val="24"/>
              </w:rPr>
            </w:pPr>
            <w:r w:rsidRPr="00F50C10">
              <w:rPr>
                <w:szCs w:val="24"/>
                <w:lang w:bidi="tr-TR"/>
              </w:rPr>
              <w:t>K</w:t>
            </w:r>
            <w:r w:rsidR="007C2D79" w:rsidRPr="00F50C10">
              <w:rPr>
                <w:szCs w:val="24"/>
                <w:lang w:bidi="tr-TR"/>
              </w:rPr>
              <w:t xml:space="preserve"> olarak ifade edilen toplam organik karbon; tüm organikleri içerir</w:t>
            </w:r>
          </w:p>
          <w:p w14:paraId="52DA71A8" w14:textId="77777777" w:rsidR="007C2D79" w:rsidRPr="00F50C10" w:rsidRDefault="007C2D79" w:rsidP="000B206D">
            <w:pPr>
              <w:pStyle w:val="TableParagraph"/>
              <w:spacing w:line="276" w:lineRule="auto"/>
              <w:ind w:left="110"/>
              <w:rPr>
                <w:szCs w:val="24"/>
              </w:rPr>
            </w:pPr>
            <w:r w:rsidRPr="00F50C10">
              <w:rPr>
                <w:szCs w:val="24"/>
                <w:lang w:bidi="tr-TR"/>
              </w:rPr>
              <w:t>bileşikler (su içinde)</w:t>
            </w:r>
          </w:p>
        </w:tc>
      </w:tr>
      <w:tr w:rsidR="007C2D79" w:rsidRPr="00F50C10" w14:paraId="6C84B4DE" w14:textId="77777777" w:rsidTr="007C2D79">
        <w:trPr>
          <w:trHeight w:val="460"/>
        </w:trPr>
        <w:tc>
          <w:tcPr>
            <w:tcW w:w="2660" w:type="dxa"/>
          </w:tcPr>
          <w:p w14:paraId="4188547D" w14:textId="77777777" w:rsidR="007C2D79" w:rsidRPr="00F50C10" w:rsidRDefault="007C2D79" w:rsidP="000B206D">
            <w:pPr>
              <w:pStyle w:val="TableParagraph"/>
              <w:spacing w:before="108" w:line="276" w:lineRule="auto"/>
              <w:ind w:left="108"/>
              <w:rPr>
                <w:szCs w:val="24"/>
              </w:rPr>
            </w:pPr>
            <w:r w:rsidRPr="00F50C10">
              <w:rPr>
                <w:szCs w:val="24"/>
                <w:lang w:bidi="tr-TR"/>
              </w:rPr>
              <w:t>Toplam askıda katı madde (TAKM)</w:t>
            </w:r>
          </w:p>
        </w:tc>
        <w:tc>
          <w:tcPr>
            <w:tcW w:w="5814" w:type="dxa"/>
          </w:tcPr>
          <w:p w14:paraId="261E1E7F" w14:textId="77777777" w:rsidR="007C2D79" w:rsidRPr="00F50C10" w:rsidRDefault="007C2D79" w:rsidP="000B206D">
            <w:pPr>
              <w:pStyle w:val="TableParagraph"/>
              <w:spacing w:line="276" w:lineRule="auto"/>
              <w:ind w:left="110"/>
              <w:rPr>
                <w:szCs w:val="24"/>
              </w:rPr>
            </w:pPr>
            <w:r w:rsidRPr="00F50C10">
              <w:rPr>
                <w:szCs w:val="24"/>
                <w:lang w:bidi="tr-TR"/>
              </w:rPr>
              <w:t>Cam elyaflı filtreler kullanılarak filtreleme ve ağırlık ölçüm ile ölçülen, tüm askıda katı maddelerin kütle konsantrasyonu</w:t>
            </w:r>
          </w:p>
        </w:tc>
      </w:tr>
      <w:tr w:rsidR="007C2D79" w:rsidRPr="00F50C10" w14:paraId="22805A96" w14:textId="77777777" w:rsidTr="007C2D79">
        <w:trPr>
          <w:trHeight w:val="691"/>
        </w:trPr>
        <w:tc>
          <w:tcPr>
            <w:tcW w:w="2660" w:type="dxa"/>
          </w:tcPr>
          <w:p w14:paraId="3A1B9479" w14:textId="77777777" w:rsidR="007C2D79" w:rsidRPr="00F50C10" w:rsidRDefault="007C2D79" w:rsidP="000B206D">
            <w:pPr>
              <w:pStyle w:val="TableParagraph"/>
              <w:spacing w:before="5" w:line="276" w:lineRule="auto"/>
              <w:rPr>
                <w:szCs w:val="24"/>
              </w:rPr>
            </w:pPr>
          </w:p>
          <w:p w14:paraId="4F1BA81E" w14:textId="77777777" w:rsidR="007C2D79" w:rsidRPr="00F50C10" w:rsidRDefault="007C2D79" w:rsidP="000B206D">
            <w:pPr>
              <w:pStyle w:val="TableParagraph"/>
              <w:spacing w:line="276" w:lineRule="auto"/>
              <w:ind w:left="108"/>
              <w:rPr>
                <w:szCs w:val="24"/>
              </w:rPr>
            </w:pPr>
            <w:r w:rsidRPr="00F50C10">
              <w:rPr>
                <w:szCs w:val="24"/>
                <w:lang w:bidi="tr-TR"/>
              </w:rPr>
              <w:t>TUOK</w:t>
            </w:r>
          </w:p>
        </w:tc>
        <w:tc>
          <w:tcPr>
            <w:tcW w:w="5814" w:type="dxa"/>
          </w:tcPr>
          <w:p w14:paraId="730D6FA5" w14:textId="77777777" w:rsidR="007C2D79" w:rsidRPr="00F50C10" w:rsidRDefault="007C2D79" w:rsidP="000B206D">
            <w:pPr>
              <w:pStyle w:val="TableParagraph"/>
              <w:spacing w:line="276" w:lineRule="auto"/>
              <w:ind w:left="110" w:right="86"/>
              <w:rPr>
                <w:szCs w:val="24"/>
              </w:rPr>
            </w:pPr>
            <w:r w:rsidRPr="00F50C10">
              <w:rPr>
                <w:szCs w:val="24"/>
                <w:lang w:bidi="tr-TR"/>
              </w:rPr>
              <w:t>Toplam uçucu organik karbon; alev iyonizasyon detektörü (FID) ile ölçülen ve şu şekilde ifade edilen toplam uçucu organik bileşikler</w:t>
            </w:r>
          </w:p>
          <w:p w14:paraId="65810A98" w14:textId="77777777" w:rsidR="007C2D79" w:rsidRPr="00F50C10" w:rsidRDefault="007C2D79" w:rsidP="000B206D">
            <w:pPr>
              <w:pStyle w:val="TableParagraph"/>
              <w:spacing w:line="276" w:lineRule="auto"/>
              <w:ind w:left="110"/>
              <w:rPr>
                <w:szCs w:val="24"/>
              </w:rPr>
            </w:pPr>
            <w:r w:rsidRPr="00F50C10">
              <w:rPr>
                <w:szCs w:val="24"/>
                <w:lang w:bidi="tr-TR"/>
              </w:rPr>
              <w:t>toplam karbon</w:t>
            </w:r>
          </w:p>
        </w:tc>
      </w:tr>
      <w:tr w:rsidR="007C2D79" w:rsidRPr="00F50C10" w14:paraId="3D70EB93" w14:textId="77777777" w:rsidTr="007C2D79">
        <w:trPr>
          <w:trHeight w:val="230"/>
        </w:trPr>
        <w:tc>
          <w:tcPr>
            <w:tcW w:w="2660" w:type="dxa"/>
          </w:tcPr>
          <w:p w14:paraId="2E0DDF49" w14:textId="77777777" w:rsidR="007C2D79" w:rsidRPr="00F50C10" w:rsidRDefault="007C2D79" w:rsidP="000B206D">
            <w:pPr>
              <w:pStyle w:val="TableParagraph"/>
              <w:spacing w:line="276" w:lineRule="auto"/>
              <w:ind w:left="108"/>
              <w:rPr>
                <w:szCs w:val="24"/>
              </w:rPr>
            </w:pPr>
            <w:r w:rsidRPr="00F50C10">
              <w:rPr>
                <w:szCs w:val="24"/>
                <w:lang w:bidi="tr-TR"/>
              </w:rPr>
              <w:t>VCM</w:t>
            </w:r>
          </w:p>
        </w:tc>
        <w:tc>
          <w:tcPr>
            <w:tcW w:w="5814" w:type="dxa"/>
          </w:tcPr>
          <w:p w14:paraId="653BAD36" w14:textId="77777777" w:rsidR="007C2D79" w:rsidRPr="00F50C10" w:rsidRDefault="007C2D79" w:rsidP="000B206D">
            <w:pPr>
              <w:pStyle w:val="TableParagraph"/>
              <w:spacing w:line="276" w:lineRule="auto"/>
              <w:ind w:left="110"/>
              <w:rPr>
                <w:szCs w:val="24"/>
              </w:rPr>
            </w:pPr>
            <w:r w:rsidRPr="00F50C10">
              <w:rPr>
                <w:szCs w:val="24"/>
                <w:lang w:bidi="tr-TR"/>
              </w:rPr>
              <w:t>Vinil klorür monomeri</w:t>
            </w:r>
          </w:p>
        </w:tc>
      </w:tr>
      <w:tr w:rsidR="007C2D79" w:rsidRPr="00F50C10" w14:paraId="1DB28451" w14:textId="77777777" w:rsidTr="007C2D79">
        <w:trPr>
          <w:trHeight w:val="460"/>
        </w:trPr>
        <w:tc>
          <w:tcPr>
            <w:tcW w:w="2660" w:type="dxa"/>
          </w:tcPr>
          <w:p w14:paraId="300A4304" w14:textId="77777777" w:rsidR="007C2D79" w:rsidRPr="00F50C10" w:rsidRDefault="007C2D79" w:rsidP="000B206D">
            <w:pPr>
              <w:pStyle w:val="TableParagraph"/>
              <w:spacing w:before="108" w:line="276" w:lineRule="auto"/>
              <w:ind w:left="108"/>
              <w:rPr>
                <w:szCs w:val="24"/>
              </w:rPr>
            </w:pPr>
            <w:r w:rsidRPr="00F50C10">
              <w:rPr>
                <w:szCs w:val="24"/>
                <w:lang w:bidi="tr-TR"/>
              </w:rPr>
              <w:t>UOB'ler</w:t>
            </w:r>
          </w:p>
        </w:tc>
        <w:tc>
          <w:tcPr>
            <w:tcW w:w="5814" w:type="dxa"/>
          </w:tcPr>
          <w:p w14:paraId="33BE1182" w14:textId="597E2D47" w:rsidR="007C2D79" w:rsidRPr="00F50C10" w:rsidRDefault="00BA4EFB" w:rsidP="000B206D">
            <w:pPr>
              <w:pStyle w:val="TableParagraph"/>
              <w:spacing w:line="276" w:lineRule="auto"/>
              <w:ind w:left="110"/>
              <w:rPr>
                <w:szCs w:val="24"/>
              </w:rPr>
            </w:pPr>
            <w:r w:rsidRPr="00F50C10">
              <w:rPr>
                <w:szCs w:val="24"/>
                <w:lang w:bidi="tr-TR"/>
              </w:rPr>
              <w:t>293,15 K değerde 0,01 kPa  veya daha fazla buhar basıncına ya da belirli kullanım Ģartlarında m</w:t>
            </w:r>
            <w:r w:rsidR="008470F4" w:rsidRPr="00F50C10">
              <w:rPr>
                <w:szCs w:val="24"/>
                <w:lang w:bidi="tr-TR"/>
              </w:rPr>
              <w:t>ütekabil uçuculuğa sahip organik</w:t>
            </w:r>
            <w:r w:rsidRPr="00F50C10">
              <w:rPr>
                <w:szCs w:val="24"/>
                <w:lang w:bidi="tr-TR"/>
              </w:rPr>
              <w:t xml:space="preserve"> bile</w:t>
            </w:r>
            <w:r w:rsidR="008470F4" w:rsidRPr="00F50C10">
              <w:rPr>
                <w:szCs w:val="24"/>
                <w:lang w:bidi="tr-TR"/>
              </w:rPr>
              <w:t>ş</w:t>
            </w:r>
            <w:r w:rsidRPr="00F50C10">
              <w:rPr>
                <w:szCs w:val="24"/>
                <w:lang w:bidi="tr-TR"/>
              </w:rPr>
              <w:t>ikler ve kreozot kesitleri anlamındadır.</w:t>
            </w:r>
          </w:p>
        </w:tc>
      </w:tr>
    </w:tbl>
    <w:p w14:paraId="722948B8" w14:textId="77777777" w:rsidR="005468C4" w:rsidRPr="00F50C10" w:rsidRDefault="005468C4" w:rsidP="000B206D">
      <w:pPr>
        <w:spacing w:after="160" w:line="276" w:lineRule="auto"/>
        <w:jc w:val="right"/>
        <w:rPr>
          <w:rFonts w:eastAsia="Times New Roman" w:cs="Times New Roman"/>
          <w:szCs w:val="24"/>
          <w:lang w:val="tr-TR"/>
        </w:rPr>
      </w:pPr>
      <w:bookmarkStart w:id="3" w:name="Madde_4-_Genel_MET_ve_emisyon_seviyeleri"/>
      <w:bookmarkEnd w:id="2"/>
      <w:bookmarkEnd w:id="3"/>
      <w:r w:rsidRPr="00F50C10">
        <w:rPr>
          <w:rFonts w:cs="Times New Roman"/>
          <w:szCs w:val="24"/>
        </w:rPr>
        <w:br w:type="page"/>
      </w:r>
    </w:p>
    <w:p w14:paraId="44460B3B" w14:textId="74E79A59" w:rsidR="007C2D79" w:rsidRPr="00F50C10" w:rsidRDefault="007C2D79" w:rsidP="000B206D">
      <w:pPr>
        <w:spacing w:line="276" w:lineRule="auto"/>
        <w:jc w:val="center"/>
        <w:rPr>
          <w:rFonts w:cs="Times New Roman"/>
          <w:bCs/>
          <w:szCs w:val="24"/>
        </w:rPr>
      </w:pPr>
      <w:r w:rsidRPr="00F50C10">
        <w:rPr>
          <w:rFonts w:cs="Times New Roman"/>
          <w:b/>
          <w:bCs/>
          <w:szCs w:val="24"/>
        </w:rPr>
        <w:t>BÖLÜM 2</w:t>
      </w:r>
    </w:p>
    <w:p w14:paraId="5D579836" w14:textId="48F016E5" w:rsidR="00BB704F" w:rsidRPr="00F50C10" w:rsidRDefault="00BB704F" w:rsidP="000B206D">
      <w:pPr>
        <w:pStyle w:val="ListeParagraf"/>
        <w:keepNext/>
        <w:keepLines/>
        <w:widowControl w:val="0"/>
        <w:autoSpaceDE w:val="0"/>
        <w:autoSpaceDN w:val="0"/>
        <w:spacing w:before="240" w:line="276" w:lineRule="auto"/>
        <w:ind w:left="360"/>
        <w:jc w:val="left"/>
        <w:outlineLvl w:val="0"/>
        <w:rPr>
          <w:rFonts w:eastAsia="Times New Roman" w:cs="Times New Roman"/>
          <w:b/>
          <w:szCs w:val="24"/>
          <w:lang w:val="tr-TR"/>
        </w:rPr>
      </w:pPr>
      <w:bookmarkStart w:id="4" w:name="_Toc136613693"/>
      <w:r w:rsidRPr="00F50C10">
        <w:rPr>
          <w:rFonts w:eastAsia="Times New Roman" w:cs="Times New Roman"/>
          <w:b/>
          <w:szCs w:val="24"/>
          <w:lang w:val="tr-TR"/>
        </w:rPr>
        <w:t>GENEL MET</w:t>
      </w:r>
      <w:bookmarkEnd w:id="4"/>
    </w:p>
    <w:p w14:paraId="25163B65" w14:textId="299FAF21" w:rsidR="0074072C" w:rsidRPr="00F50C10" w:rsidRDefault="0074072C" w:rsidP="000B206D">
      <w:pPr>
        <w:keepNext/>
        <w:keepLines/>
        <w:widowControl w:val="0"/>
        <w:autoSpaceDE w:val="0"/>
        <w:autoSpaceDN w:val="0"/>
        <w:spacing w:before="240" w:line="276" w:lineRule="auto"/>
        <w:jc w:val="left"/>
        <w:outlineLvl w:val="0"/>
        <w:rPr>
          <w:rFonts w:eastAsia="Times New Roman" w:cs="Times New Roman"/>
          <w:bCs/>
          <w:szCs w:val="24"/>
          <w:lang w:val="tr-TR"/>
        </w:rPr>
      </w:pPr>
      <w:r w:rsidRPr="00F50C10">
        <w:rPr>
          <w:rFonts w:eastAsia="Times New Roman" w:cs="Times New Roman"/>
          <w:bCs/>
          <w:szCs w:val="24"/>
          <w:lang w:val="tr-TR"/>
        </w:rPr>
        <w:t>Tam bir sektörel değerlendirme için, bu kısımda tanımlanan Genel MET,  Kısım 2 ila 11'de yer alan Sektörel MET ile birlikte ele alınmalıdır.</w:t>
      </w:r>
    </w:p>
    <w:p w14:paraId="0477336D" w14:textId="77777777" w:rsidR="00BB704F" w:rsidRPr="00F50C10" w:rsidRDefault="00BB704F" w:rsidP="000B206D">
      <w:pPr>
        <w:keepNext/>
        <w:keepLines/>
        <w:widowControl w:val="0"/>
        <w:numPr>
          <w:ilvl w:val="1"/>
          <w:numId w:val="18"/>
        </w:numPr>
        <w:autoSpaceDE w:val="0"/>
        <w:autoSpaceDN w:val="0"/>
        <w:spacing w:before="240" w:after="60" w:line="276" w:lineRule="auto"/>
        <w:jc w:val="left"/>
        <w:outlineLvl w:val="1"/>
        <w:rPr>
          <w:rFonts w:eastAsia="Times New Roman" w:cs="Times New Roman"/>
          <w:b/>
          <w:szCs w:val="24"/>
          <w:lang w:val="tr-TR"/>
        </w:rPr>
      </w:pPr>
      <w:bookmarkStart w:id="5" w:name="_Toc136613694"/>
      <w:r w:rsidRPr="00F50C10">
        <w:rPr>
          <w:rFonts w:eastAsia="Times New Roman" w:cs="Times New Roman"/>
          <w:b/>
          <w:szCs w:val="24"/>
          <w:lang w:val="tr-TR"/>
        </w:rPr>
        <w:t>Hava Emisyonlarının İzlenmesi</w:t>
      </w:r>
      <w:bookmarkEnd w:id="5"/>
    </w:p>
    <w:p w14:paraId="1737856C" w14:textId="3E27CE23" w:rsidR="008645E3" w:rsidRPr="00F50C10" w:rsidRDefault="00BB704F" w:rsidP="000B206D">
      <w:pPr>
        <w:widowControl w:val="0"/>
        <w:autoSpaceDE w:val="0"/>
        <w:autoSpaceDN w:val="0"/>
        <w:spacing w:after="120" w:line="276" w:lineRule="auto"/>
        <w:rPr>
          <w:rFonts w:eastAsia="Times New Roman" w:cs="Times New Roman"/>
          <w:b/>
          <w:szCs w:val="24"/>
          <w:lang w:val="tr-TR"/>
        </w:rPr>
      </w:pPr>
      <w:r w:rsidRPr="00F50C10">
        <w:rPr>
          <w:rFonts w:eastAsia="Times New Roman" w:cs="Times New Roman"/>
          <w:b/>
          <w:bCs/>
          <w:szCs w:val="24"/>
          <w:lang w:val="tr-TR"/>
        </w:rPr>
        <w:t xml:space="preserve">MET 1: </w:t>
      </w:r>
      <w:r w:rsidR="008645E3" w:rsidRPr="00F50C10">
        <w:rPr>
          <w:rFonts w:cs="Times New Roman"/>
          <w:bCs/>
          <w:szCs w:val="24"/>
        </w:rPr>
        <w:t>Proses fırınlarından/ısıtıcılarından havaya salınan kanalize edilmiş emisyonlar, EN standartlarına uygun ve asgari olarak aşağıdaki tabloda verilen minimum sıklık ile izlenir. EN standartları mevcut değilse, eşdeğer bilimsel nitelikteki verilerin sunulmasını sağlayan ISO standartları, ulusal veya diğer uluslararası standartlar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9"/>
        <w:gridCol w:w="1898"/>
        <w:gridCol w:w="1688"/>
        <w:gridCol w:w="1829"/>
        <w:gridCol w:w="1353"/>
      </w:tblGrid>
      <w:tr w:rsidR="00BB704F" w:rsidRPr="00F50C10" w14:paraId="01683485" w14:textId="77777777" w:rsidTr="00BB704F">
        <w:trPr>
          <w:trHeight w:val="691"/>
          <w:tblHeader/>
          <w:jc w:val="center"/>
        </w:trPr>
        <w:tc>
          <w:tcPr>
            <w:tcW w:w="1018" w:type="pct"/>
            <w:vAlign w:val="center"/>
          </w:tcPr>
          <w:p w14:paraId="52DF7E32" w14:textId="77777777" w:rsidR="00BB704F" w:rsidRPr="00F50C10" w:rsidRDefault="00BB704F" w:rsidP="000B206D">
            <w:pPr>
              <w:spacing w:line="276" w:lineRule="auto"/>
              <w:ind w:left="108" w:right="108"/>
              <w:jc w:val="center"/>
              <w:rPr>
                <w:rFonts w:eastAsia="Times New Roman" w:cs="Times New Roman"/>
                <w:b/>
                <w:bCs/>
                <w:szCs w:val="24"/>
                <w:lang w:val="tr-TR"/>
              </w:rPr>
            </w:pPr>
            <w:r w:rsidRPr="00F50C10">
              <w:rPr>
                <w:rFonts w:eastAsia="Times New Roman" w:cs="Times New Roman"/>
                <w:b/>
                <w:bCs/>
                <w:w w:val="95"/>
                <w:szCs w:val="24"/>
                <w:lang w:val="tr-TR" w:bidi="tr-TR"/>
              </w:rPr>
              <w:t>Madde / Parametre</w:t>
            </w:r>
          </w:p>
        </w:tc>
        <w:tc>
          <w:tcPr>
            <w:tcW w:w="1117" w:type="pct"/>
            <w:vAlign w:val="center"/>
          </w:tcPr>
          <w:p w14:paraId="62F91E00"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b/>
                <w:szCs w:val="24"/>
                <w:lang w:val="tr-TR" w:bidi="tr-TR"/>
              </w:rPr>
              <w:t xml:space="preserve">Standart(lar) </w:t>
            </w:r>
            <w:r w:rsidRPr="00F50C10">
              <w:rPr>
                <w:rFonts w:eastAsia="Times New Roman" w:cs="Times New Roman"/>
                <w:szCs w:val="24"/>
                <w:lang w:val="tr-TR" w:bidi="tr-TR"/>
              </w:rPr>
              <w:t>(</w:t>
            </w:r>
            <w:r w:rsidRPr="00F50C10">
              <w:rPr>
                <w:rFonts w:eastAsia="Times New Roman" w:cs="Times New Roman"/>
                <w:szCs w:val="24"/>
                <w:vertAlign w:val="superscript"/>
                <w:lang w:val="tr-TR" w:bidi="tr-TR"/>
              </w:rPr>
              <w:t>1</w:t>
            </w:r>
            <w:r w:rsidRPr="00F50C10">
              <w:rPr>
                <w:rFonts w:eastAsia="Times New Roman" w:cs="Times New Roman"/>
                <w:szCs w:val="24"/>
                <w:lang w:val="tr-TR" w:bidi="tr-TR"/>
              </w:rPr>
              <w:t>)</w:t>
            </w:r>
          </w:p>
        </w:tc>
        <w:tc>
          <w:tcPr>
            <w:tcW w:w="993" w:type="pct"/>
            <w:vAlign w:val="center"/>
          </w:tcPr>
          <w:p w14:paraId="0A00DE0A"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b/>
                <w:szCs w:val="24"/>
                <w:lang w:val="tr-TR" w:bidi="tr-TR"/>
              </w:rPr>
              <w:t>Toplam nominal termal girdi (MW</w:t>
            </w:r>
            <w:r w:rsidRPr="00F50C10">
              <w:rPr>
                <w:rFonts w:eastAsia="Times New Roman" w:cs="Times New Roman"/>
                <w:b/>
                <w:szCs w:val="24"/>
                <w:vertAlign w:val="subscript"/>
                <w:lang w:val="tr-TR" w:bidi="tr-TR"/>
              </w:rPr>
              <w:t>t</w:t>
            </w:r>
            <w:r w:rsidRPr="00F50C10">
              <w:rPr>
                <w:rFonts w:eastAsia="Times New Roman" w:cs="Times New Roman"/>
                <w:b/>
                <w:szCs w:val="24"/>
                <w:lang w:val="tr-TR" w:bidi="tr-TR"/>
              </w:rPr>
              <w:t xml:space="preserve">) </w:t>
            </w:r>
            <w:r w:rsidRPr="00F50C10">
              <w:rPr>
                <w:rFonts w:eastAsia="Times New Roman" w:cs="Times New Roman"/>
                <w:szCs w:val="24"/>
                <w:lang w:val="tr-TR" w:bidi="tr-TR"/>
              </w:rPr>
              <w:t>(</w:t>
            </w:r>
            <w:r w:rsidRPr="00F50C10">
              <w:rPr>
                <w:rFonts w:eastAsia="Times New Roman" w:cs="Times New Roman"/>
                <w:szCs w:val="24"/>
                <w:vertAlign w:val="superscript"/>
                <w:lang w:val="tr-TR" w:bidi="tr-TR"/>
              </w:rPr>
              <w:t>2</w:t>
            </w:r>
            <w:r w:rsidRPr="00F50C10">
              <w:rPr>
                <w:rFonts w:eastAsia="Times New Roman" w:cs="Times New Roman"/>
                <w:szCs w:val="24"/>
                <w:lang w:val="tr-TR" w:bidi="tr-TR"/>
              </w:rPr>
              <w:t>)</w:t>
            </w:r>
          </w:p>
        </w:tc>
        <w:tc>
          <w:tcPr>
            <w:tcW w:w="1076" w:type="pct"/>
            <w:vAlign w:val="center"/>
          </w:tcPr>
          <w:p w14:paraId="5E52D8A8"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b/>
                <w:szCs w:val="24"/>
                <w:lang w:val="tr-TR" w:bidi="tr-TR"/>
              </w:rPr>
              <w:t xml:space="preserve">Minimum izleme sıklığı </w:t>
            </w:r>
            <w:r w:rsidRPr="00F50C10">
              <w:rPr>
                <w:rFonts w:eastAsia="Times New Roman" w:cs="Times New Roman"/>
                <w:szCs w:val="24"/>
                <w:lang w:val="tr-TR" w:bidi="tr-TR"/>
              </w:rPr>
              <w:t>(</w:t>
            </w:r>
            <w:r w:rsidRPr="00F50C10">
              <w:rPr>
                <w:rFonts w:eastAsia="Times New Roman" w:cs="Times New Roman"/>
                <w:szCs w:val="24"/>
                <w:vertAlign w:val="superscript"/>
                <w:lang w:val="tr-TR" w:bidi="tr-TR"/>
              </w:rPr>
              <w:t>3</w:t>
            </w:r>
            <w:r w:rsidRPr="00F50C10">
              <w:rPr>
                <w:rFonts w:eastAsia="Times New Roman" w:cs="Times New Roman"/>
                <w:szCs w:val="24"/>
                <w:lang w:val="tr-TR" w:bidi="tr-TR"/>
              </w:rPr>
              <w:t>)</w:t>
            </w:r>
          </w:p>
        </w:tc>
        <w:tc>
          <w:tcPr>
            <w:tcW w:w="796" w:type="pct"/>
            <w:vAlign w:val="center"/>
          </w:tcPr>
          <w:p w14:paraId="2B4E999F"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İlgili Madde Uyarınca İzleme</w:t>
            </w:r>
          </w:p>
        </w:tc>
      </w:tr>
      <w:tr w:rsidR="00E075EF" w:rsidRPr="00F50C10" w14:paraId="787017BC" w14:textId="77777777" w:rsidTr="00EA21EC">
        <w:trPr>
          <w:trHeight w:val="457"/>
          <w:jc w:val="center"/>
        </w:trPr>
        <w:tc>
          <w:tcPr>
            <w:tcW w:w="1018" w:type="pct"/>
            <w:vMerge w:val="restart"/>
            <w:vAlign w:val="center"/>
          </w:tcPr>
          <w:p w14:paraId="15B377EF" w14:textId="77777777" w:rsidR="00E075EF" w:rsidRPr="00F50C10" w:rsidRDefault="00E075E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CO</w:t>
            </w:r>
          </w:p>
        </w:tc>
        <w:tc>
          <w:tcPr>
            <w:tcW w:w="1117" w:type="pct"/>
          </w:tcPr>
          <w:p w14:paraId="210CC659" w14:textId="52A31CA7" w:rsidR="00E075EF" w:rsidRPr="00F50C10" w:rsidRDefault="00E075EF" w:rsidP="000B206D">
            <w:pPr>
              <w:spacing w:line="276" w:lineRule="auto"/>
              <w:ind w:left="108" w:right="108"/>
              <w:rPr>
                <w:rFonts w:eastAsia="Times New Roman" w:cs="Times New Roman"/>
                <w:szCs w:val="24"/>
                <w:lang w:val="tr-TR"/>
              </w:rPr>
            </w:pPr>
            <w:r w:rsidRPr="00F50C10">
              <w:rPr>
                <w:rFonts w:cs="Times New Roman"/>
                <w:szCs w:val="24"/>
              </w:rPr>
              <w:t>Genel EN standartları</w:t>
            </w:r>
          </w:p>
        </w:tc>
        <w:tc>
          <w:tcPr>
            <w:tcW w:w="993" w:type="pct"/>
            <w:vAlign w:val="center"/>
          </w:tcPr>
          <w:p w14:paraId="0221FDFE" w14:textId="77777777"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 50</w:t>
            </w:r>
          </w:p>
        </w:tc>
        <w:tc>
          <w:tcPr>
            <w:tcW w:w="1076" w:type="pct"/>
            <w:vAlign w:val="center"/>
          </w:tcPr>
          <w:p w14:paraId="6D19B733" w14:textId="77777777"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Sürekli</w:t>
            </w:r>
          </w:p>
        </w:tc>
        <w:tc>
          <w:tcPr>
            <w:tcW w:w="796" w:type="pct"/>
            <w:vMerge w:val="restart"/>
          </w:tcPr>
          <w:p w14:paraId="73362A15" w14:textId="22B2C955" w:rsidR="00E075EF" w:rsidRPr="00F50C10" w:rsidRDefault="00E075EF" w:rsidP="000B206D">
            <w:pPr>
              <w:spacing w:line="276" w:lineRule="auto"/>
              <w:ind w:left="108" w:right="108"/>
              <w:jc w:val="center"/>
              <w:rPr>
                <w:rFonts w:eastAsia="Times New Roman" w:cs="Times New Roman"/>
                <w:szCs w:val="24"/>
                <w:lang w:val="tr-TR" w:bidi="tr-TR"/>
              </w:rPr>
            </w:pPr>
            <w:r w:rsidRPr="00F50C10">
              <w:rPr>
                <w:rFonts w:cs="Times New Roman"/>
                <w:szCs w:val="24"/>
              </w:rPr>
              <w:t>Tablo 2.1,</w:t>
            </w:r>
          </w:p>
          <w:p w14:paraId="2E25BA7D" w14:textId="5743E963" w:rsidR="00E075EF" w:rsidRPr="00F50C10" w:rsidRDefault="00E075EF" w:rsidP="000B206D">
            <w:pPr>
              <w:spacing w:line="276" w:lineRule="auto"/>
              <w:ind w:left="108" w:right="108"/>
              <w:jc w:val="center"/>
              <w:rPr>
                <w:rFonts w:eastAsia="Times New Roman" w:cs="Times New Roman"/>
                <w:szCs w:val="24"/>
                <w:lang w:val="tr-TR" w:bidi="tr-TR"/>
              </w:rPr>
            </w:pPr>
            <w:r w:rsidRPr="00F50C10">
              <w:rPr>
                <w:rFonts w:cs="Times New Roman"/>
                <w:szCs w:val="24"/>
              </w:rPr>
              <w:t>Tablo 10.1</w:t>
            </w:r>
          </w:p>
        </w:tc>
      </w:tr>
      <w:tr w:rsidR="00E075EF" w:rsidRPr="00F50C10" w14:paraId="771664D5" w14:textId="77777777" w:rsidTr="00EA21EC">
        <w:trPr>
          <w:trHeight w:val="460"/>
          <w:jc w:val="center"/>
        </w:trPr>
        <w:tc>
          <w:tcPr>
            <w:tcW w:w="1018" w:type="pct"/>
            <w:vMerge/>
            <w:vAlign w:val="center"/>
          </w:tcPr>
          <w:p w14:paraId="7F4B8EB0" w14:textId="77777777" w:rsidR="00E075EF" w:rsidRPr="00F50C10" w:rsidRDefault="00E075EF" w:rsidP="000B206D">
            <w:pPr>
              <w:spacing w:line="276" w:lineRule="auto"/>
              <w:ind w:left="108" w:right="108"/>
              <w:jc w:val="center"/>
              <w:rPr>
                <w:rFonts w:eastAsia="Times New Roman" w:cs="Times New Roman"/>
                <w:szCs w:val="24"/>
                <w:lang w:val="tr-TR"/>
              </w:rPr>
            </w:pPr>
          </w:p>
        </w:tc>
        <w:tc>
          <w:tcPr>
            <w:tcW w:w="1117" w:type="pct"/>
          </w:tcPr>
          <w:p w14:paraId="10ADFED6" w14:textId="052BE054" w:rsidR="00E075EF" w:rsidRPr="00F50C10" w:rsidRDefault="00E075EF" w:rsidP="000B206D">
            <w:pPr>
              <w:spacing w:line="276" w:lineRule="auto"/>
              <w:ind w:left="108" w:right="108"/>
              <w:rPr>
                <w:rFonts w:eastAsia="Times New Roman" w:cs="Times New Roman"/>
                <w:szCs w:val="24"/>
                <w:lang w:val="tr-TR"/>
              </w:rPr>
            </w:pPr>
            <w:r w:rsidRPr="00F50C10">
              <w:rPr>
                <w:rFonts w:cs="Times New Roman"/>
                <w:szCs w:val="24"/>
              </w:rPr>
              <w:t>EN 15058</w:t>
            </w:r>
          </w:p>
        </w:tc>
        <w:tc>
          <w:tcPr>
            <w:tcW w:w="993" w:type="pct"/>
            <w:vAlign w:val="center"/>
          </w:tcPr>
          <w:p w14:paraId="7E1605D2" w14:textId="77777777"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10 ila &lt; 50</w:t>
            </w:r>
          </w:p>
        </w:tc>
        <w:tc>
          <w:tcPr>
            <w:tcW w:w="1076" w:type="pct"/>
            <w:vAlign w:val="center"/>
          </w:tcPr>
          <w:p w14:paraId="2DEA3E54" w14:textId="77777777"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Üç Ayda Bir (</w:t>
            </w:r>
            <w:r w:rsidRPr="00F50C10">
              <w:rPr>
                <w:rFonts w:eastAsia="Times New Roman" w:cs="Times New Roman"/>
                <w:szCs w:val="24"/>
                <w:vertAlign w:val="superscript"/>
                <w:lang w:val="tr-TR" w:bidi="tr-TR"/>
              </w:rPr>
              <w:t>4</w:t>
            </w:r>
            <w:r w:rsidRPr="00F50C10">
              <w:rPr>
                <w:rFonts w:eastAsia="Times New Roman" w:cs="Times New Roman"/>
                <w:szCs w:val="24"/>
                <w:lang w:val="tr-TR" w:bidi="tr-TR"/>
              </w:rPr>
              <w:t>)</w:t>
            </w:r>
          </w:p>
        </w:tc>
        <w:tc>
          <w:tcPr>
            <w:tcW w:w="796" w:type="pct"/>
            <w:vMerge/>
          </w:tcPr>
          <w:p w14:paraId="0E65EBDE" w14:textId="77777777" w:rsidR="00E075EF" w:rsidRPr="00F50C10" w:rsidRDefault="00E075EF" w:rsidP="000B206D">
            <w:pPr>
              <w:spacing w:line="276" w:lineRule="auto"/>
              <w:ind w:left="108" w:right="108"/>
              <w:jc w:val="center"/>
              <w:rPr>
                <w:rFonts w:eastAsia="Times New Roman" w:cs="Times New Roman"/>
                <w:szCs w:val="24"/>
                <w:lang w:val="tr-TR"/>
              </w:rPr>
            </w:pPr>
          </w:p>
        </w:tc>
      </w:tr>
      <w:tr w:rsidR="00E075EF" w:rsidRPr="00F50C10" w14:paraId="2448D29C" w14:textId="77777777" w:rsidTr="00EA21EC">
        <w:trPr>
          <w:trHeight w:val="690"/>
          <w:jc w:val="center"/>
        </w:trPr>
        <w:tc>
          <w:tcPr>
            <w:tcW w:w="1018" w:type="pct"/>
            <w:vMerge w:val="restart"/>
            <w:vAlign w:val="center"/>
          </w:tcPr>
          <w:p w14:paraId="312740A2" w14:textId="77777777" w:rsidR="00E075EF" w:rsidRPr="00F50C10" w:rsidRDefault="00E075E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Toz (</w:t>
            </w:r>
            <w:r w:rsidRPr="00F50C10">
              <w:rPr>
                <w:rFonts w:eastAsia="Times New Roman" w:cs="Times New Roman"/>
                <w:szCs w:val="24"/>
                <w:vertAlign w:val="superscript"/>
                <w:lang w:val="tr-TR" w:bidi="tr-TR"/>
              </w:rPr>
              <w:t>5</w:t>
            </w:r>
            <w:r w:rsidRPr="00F50C10">
              <w:rPr>
                <w:rFonts w:eastAsia="Times New Roman" w:cs="Times New Roman"/>
                <w:szCs w:val="24"/>
                <w:lang w:val="tr-TR" w:bidi="tr-TR"/>
              </w:rPr>
              <w:t>)</w:t>
            </w:r>
          </w:p>
        </w:tc>
        <w:tc>
          <w:tcPr>
            <w:tcW w:w="1117" w:type="pct"/>
          </w:tcPr>
          <w:p w14:paraId="7907BEB7" w14:textId="77777777" w:rsidR="00E075EF" w:rsidRPr="00F50C10" w:rsidRDefault="00E075EF" w:rsidP="000B206D">
            <w:pPr>
              <w:spacing w:line="276" w:lineRule="auto"/>
              <w:ind w:left="108" w:right="108"/>
              <w:rPr>
                <w:rFonts w:cs="Times New Roman"/>
                <w:szCs w:val="24"/>
              </w:rPr>
            </w:pPr>
            <w:r w:rsidRPr="00F50C10">
              <w:rPr>
                <w:rFonts w:cs="Times New Roman"/>
                <w:szCs w:val="24"/>
              </w:rPr>
              <w:t>Genel EN standartları ve</w:t>
            </w:r>
          </w:p>
          <w:p w14:paraId="489E2434" w14:textId="229D6A44" w:rsidR="00E075EF" w:rsidRPr="00F50C10" w:rsidRDefault="00E075EF" w:rsidP="000B206D">
            <w:pPr>
              <w:spacing w:line="276" w:lineRule="auto"/>
              <w:ind w:left="108" w:right="108"/>
              <w:rPr>
                <w:rFonts w:eastAsia="Times New Roman" w:cs="Times New Roman"/>
                <w:szCs w:val="24"/>
                <w:lang w:val="tr-TR"/>
              </w:rPr>
            </w:pPr>
            <w:r w:rsidRPr="00F50C10">
              <w:rPr>
                <w:rFonts w:cs="Times New Roman"/>
                <w:szCs w:val="24"/>
              </w:rPr>
              <w:t>EN 13284-2</w:t>
            </w:r>
          </w:p>
        </w:tc>
        <w:tc>
          <w:tcPr>
            <w:tcW w:w="993" w:type="pct"/>
            <w:vAlign w:val="center"/>
          </w:tcPr>
          <w:p w14:paraId="75DFAE3D" w14:textId="77777777"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 50</w:t>
            </w:r>
          </w:p>
        </w:tc>
        <w:tc>
          <w:tcPr>
            <w:tcW w:w="1076" w:type="pct"/>
            <w:vAlign w:val="center"/>
          </w:tcPr>
          <w:p w14:paraId="212C41B7" w14:textId="77777777"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Sürekli</w:t>
            </w:r>
          </w:p>
        </w:tc>
        <w:tc>
          <w:tcPr>
            <w:tcW w:w="796" w:type="pct"/>
            <w:vMerge w:val="restart"/>
          </w:tcPr>
          <w:p w14:paraId="48BBE778" w14:textId="0C027B16" w:rsidR="00E075EF" w:rsidRPr="00F50C10" w:rsidRDefault="00E075EF" w:rsidP="000B206D">
            <w:pPr>
              <w:spacing w:line="276" w:lineRule="auto"/>
              <w:ind w:left="108" w:right="108"/>
              <w:jc w:val="center"/>
              <w:rPr>
                <w:rFonts w:eastAsia="Times New Roman" w:cs="Times New Roman"/>
                <w:szCs w:val="24"/>
                <w:lang w:val="tr-TR"/>
              </w:rPr>
            </w:pPr>
          </w:p>
          <w:p w14:paraId="39E1BE28" w14:textId="7862C2B0" w:rsidR="00E075EF" w:rsidRPr="00F50C10" w:rsidRDefault="00E075EF" w:rsidP="000B206D">
            <w:pPr>
              <w:spacing w:line="276" w:lineRule="auto"/>
              <w:ind w:left="108" w:right="108"/>
              <w:jc w:val="center"/>
              <w:rPr>
                <w:rFonts w:eastAsia="Times New Roman" w:cs="Times New Roman"/>
                <w:szCs w:val="24"/>
                <w:lang w:val="tr-TR"/>
              </w:rPr>
            </w:pPr>
            <w:r w:rsidRPr="00F50C10">
              <w:rPr>
                <w:rFonts w:cs="Times New Roman"/>
                <w:szCs w:val="24"/>
              </w:rPr>
              <w:t>MET 5</w:t>
            </w:r>
          </w:p>
        </w:tc>
      </w:tr>
      <w:tr w:rsidR="00E075EF" w:rsidRPr="00F50C10" w14:paraId="2B3F1746" w14:textId="77777777" w:rsidTr="00EA21EC">
        <w:trPr>
          <w:trHeight w:val="460"/>
          <w:jc w:val="center"/>
        </w:trPr>
        <w:tc>
          <w:tcPr>
            <w:tcW w:w="1018" w:type="pct"/>
            <w:vMerge/>
            <w:vAlign w:val="center"/>
          </w:tcPr>
          <w:p w14:paraId="18C4687E" w14:textId="77777777" w:rsidR="00E075EF" w:rsidRPr="00F50C10" w:rsidRDefault="00E075EF" w:rsidP="000B206D">
            <w:pPr>
              <w:spacing w:line="276" w:lineRule="auto"/>
              <w:ind w:left="108" w:right="108"/>
              <w:jc w:val="center"/>
              <w:rPr>
                <w:rFonts w:eastAsia="Times New Roman" w:cs="Times New Roman"/>
                <w:szCs w:val="24"/>
                <w:lang w:val="tr-TR"/>
              </w:rPr>
            </w:pPr>
          </w:p>
        </w:tc>
        <w:tc>
          <w:tcPr>
            <w:tcW w:w="1117" w:type="pct"/>
            <w:vAlign w:val="center"/>
          </w:tcPr>
          <w:p w14:paraId="41E957A1" w14:textId="6A229311" w:rsidR="00E075EF" w:rsidRPr="00F50C10" w:rsidRDefault="00E075EF" w:rsidP="000B206D">
            <w:pPr>
              <w:spacing w:line="276" w:lineRule="auto"/>
              <w:ind w:left="108" w:right="108"/>
              <w:rPr>
                <w:rFonts w:eastAsia="Times New Roman" w:cs="Times New Roman"/>
                <w:szCs w:val="24"/>
                <w:lang w:val="tr-TR"/>
              </w:rPr>
            </w:pPr>
            <w:r w:rsidRPr="00F50C10">
              <w:rPr>
                <w:rFonts w:cs="Times New Roman"/>
                <w:szCs w:val="24"/>
              </w:rPr>
              <w:t>EN 13284-1</w:t>
            </w:r>
          </w:p>
        </w:tc>
        <w:tc>
          <w:tcPr>
            <w:tcW w:w="993" w:type="pct"/>
            <w:vAlign w:val="center"/>
          </w:tcPr>
          <w:p w14:paraId="2FD39B9F" w14:textId="77777777"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10 ila &lt; 50</w:t>
            </w:r>
          </w:p>
        </w:tc>
        <w:tc>
          <w:tcPr>
            <w:tcW w:w="1076" w:type="pct"/>
            <w:vAlign w:val="center"/>
          </w:tcPr>
          <w:p w14:paraId="6405FE52" w14:textId="77777777"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Üç Ayda Bir (</w:t>
            </w:r>
            <w:r w:rsidRPr="00F50C10">
              <w:rPr>
                <w:rFonts w:eastAsia="Times New Roman" w:cs="Times New Roman"/>
                <w:szCs w:val="24"/>
                <w:vertAlign w:val="superscript"/>
                <w:lang w:val="tr-TR" w:bidi="tr-TR"/>
              </w:rPr>
              <w:t>4</w:t>
            </w:r>
            <w:r w:rsidRPr="00F50C10">
              <w:rPr>
                <w:rFonts w:eastAsia="Times New Roman" w:cs="Times New Roman"/>
                <w:szCs w:val="24"/>
                <w:lang w:val="tr-TR" w:bidi="tr-TR"/>
              </w:rPr>
              <w:t>)</w:t>
            </w:r>
          </w:p>
        </w:tc>
        <w:tc>
          <w:tcPr>
            <w:tcW w:w="796" w:type="pct"/>
            <w:vMerge/>
          </w:tcPr>
          <w:p w14:paraId="54FA8EA4" w14:textId="77777777" w:rsidR="00E075EF" w:rsidRPr="00F50C10" w:rsidRDefault="00E075EF" w:rsidP="000B206D">
            <w:pPr>
              <w:spacing w:line="276" w:lineRule="auto"/>
              <w:ind w:left="108" w:right="108"/>
              <w:jc w:val="center"/>
              <w:rPr>
                <w:rFonts w:eastAsia="Times New Roman" w:cs="Times New Roman"/>
                <w:szCs w:val="24"/>
                <w:lang w:val="tr-TR"/>
              </w:rPr>
            </w:pPr>
          </w:p>
        </w:tc>
      </w:tr>
      <w:tr w:rsidR="00E075EF" w:rsidRPr="00F50C10" w14:paraId="63E37ACE" w14:textId="77777777" w:rsidTr="00EA21EC">
        <w:trPr>
          <w:trHeight w:val="457"/>
          <w:jc w:val="center"/>
        </w:trPr>
        <w:tc>
          <w:tcPr>
            <w:tcW w:w="1018" w:type="pct"/>
            <w:vMerge w:val="restart"/>
            <w:vAlign w:val="center"/>
          </w:tcPr>
          <w:p w14:paraId="2E6CAF46" w14:textId="77777777" w:rsidR="00E075EF" w:rsidRPr="00F50C10" w:rsidRDefault="00E075E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NH</w:t>
            </w:r>
            <w:r w:rsidRPr="00F50C10">
              <w:rPr>
                <w:rFonts w:eastAsia="Times New Roman" w:cs="Times New Roman"/>
                <w:szCs w:val="24"/>
                <w:vertAlign w:val="subscript"/>
                <w:lang w:val="tr-TR" w:bidi="tr-TR"/>
              </w:rPr>
              <w:t>3</w:t>
            </w:r>
            <w:r w:rsidRPr="00F50C10">
              <w:rPr>
                <w:rFonts w:eastAsia="Times New Roman" w:cs="Times New Roman"/>
                <w:szCs w:val="24"/>
                <w:lang w:val="tr-TR" w:bidi="tr-TR"/>
              </w:rPr>
              <w:t xml:space="preserve"> (</w:t>
            </w:r>
            <w:r w:rsidRPr="00F50C10">
              <w:rPr>
                <w:rFonts w:eastAsia="Times New Roman" w:cs="Times New Roman"/>
                <w:szCs w:val="24"/>
                <w:vertAlign w:val="superscript"/>
                <w:lang w:val="tr-TR" w:bidi="tr-TR"/>
              </w:rPr>
              <w:t>6</w:t>
            </w:r>
            <w:r w:rsidRPr="00F50C10">
              <w:rPr>
                <w:rFonts w:eastAsia="Times New Roman" w:cs="Times New Roman"/>
                <w:szCs w:val="24"/>
                <w:lang w:val="tr-TR" w:bidi="tr-TR"/>
              </w:rPr>
              <w:t>)</w:t>
            </w:r>
          </w:p>
        </w:tc>
        <w:tc>
          <w:tcPr>
            <w:tcW w:w="1117" w:type="pct"/>
          </w:tcPr>
          <w:p w14:paraId="1A8CD7EA" w14:textId="2C97CDD5" w:rsidR="00E075EF" w:rsidRPr="00F50C10" w:rsidRDefault="00E075EF" w:rsidP="000B206D">
            <w:pPr>
              <w:spacing w:line="276" w:lineRule="auto"/>
              <w:ind w:left="108" w:right="108"/>
              <w:rPr>
                <w:rFonts w:eastAsia="Times New Roman" w:cs="Times New Roman"/>
                <w:szCs w:val="24"/>
                <w:lang w:val="tr-TR"/>
              </w:rPr>
            </w:pPr>
            <w:r w:rsidRPr="00F50C10">
              <w:rPr>
                <w:rFonts w:cs="Times New Roman"/>
                <w:szCs w:val="24"/>
              </w:rPr>
              <w:t>Genel EN standartları</w:t>
            </w:r>
          </w:p>
        </w:tc>
        <w:tc>
          <w:tcPr>
            <w:tcW w:w="993" w:type="pct"/>
            <w:vAlign w:val="center"/>
          </w:tcPr>
          <w:p w14:paraId="2843EA6D" w14:textId="77777777"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 50</w:t>
            </w:r>
          </w:p>
        </w:tc>
        <w:tc>
          <w:tcPr>
            <w:tcW w:w="1076" w:type="pct"/>
            <w:vAlign w:val="center"/>
          </w:tcPr>
          <w:p w14:paraId="508516D6" w14:textId="77777777"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Sürekli</w:t>
            </w:r>
          </w:p>
        </w:tc>
        <w:tc>
          <w:tcPr>
            <w:tcW w:w="796" w:type="pct"/>
            <w:vMerge w:val="restart"/>
          </w:tcPr>
          <w:p w14:paraId="0CF6A425" w14:textId="50FB61C7" w:rsidR="00E075EF" w:rsidRPr="00F50C10" w:rsidRDefault="00E075EF" w:rsidP="000B206D">
            <w:pPr>
              <w:spacing w:line="276" w:lineRule="auto"/>
              <w:ind w:left="108" w:right="108"/>
              <w:jc w:val="center"/>
              <w:rPr>
                <w:rFonts w:eastAsia="Times New Roman" w:cs="Times New Roman"/>
                <w:szCs w:val="24"/>
                <w:lang w:val="tr-TR"/>
              </w:rPr>
            </w:pPr>
          </w:p>
          <w:p w14:paraId="0AD336A1" w14:textId="5B9E4FD8" w:rsidR="00E075EF" w:rsidRPr="00F50C10" w:rsidRDefault="00E075EF" w:rsidP="000B206D">
            <w:pPr>
              <w:spacing w:line="276" w:lineRule="auto"/>
              <w:ind w:left="108" w:right="108"/>
              <w:jc w:val="center"/>
              <w:rPr>
                <w:rFonts w:eastAsia="Times New Roman" w:cs="Times New Roman"/>
                <w:szCs w:val="24"/>
                <w:lang w:val="tr-TR"/>
              </w:rPr>
            </w:pPr>
            <w:r w:rsidRPr="00F50C10">
              <w:rPr>
                <w:rFonts w:cs="Times New Roman"/>
                <w:szCs w:val="24"/>
              </w:rPr>
              <w:t>MET 7, Tablo 2.1</w:t>
            </w:r>
          </w:p>
        </w:tc>
      </w:tr>
      <w:tr w:rsidR="00E075EF" w:rsidRPr="00F50C10" w14:paraId="7E858298" w14:textId="77777777" w:rsidTr="00EA21EC">
        <w:trPr>
          <w:trHeight w:val="674"/>
          <w:jc w:val="center"/>
        </w:trPr>
        <w:tc>
          <w:tcPr>
            <w:tcW w:w="1018" w:type="pct"/>
            <w:vMerge/>
            <w:vAlign w:val="center"/>
          </w:tcPr>
          <w:p w14:paraId="28EB1325" w14:textId="77777777" w:rsidR="00E075EF" w:rsidRPr="00F50C10" w:rsidRDefault="00E075EF" w:rsidP="000B206D">
            <w:pPr>
              <w:spacing w:line="276" w:lineRule="auto"/>
              <w:ind w:left="108" w:right="108"/>
              <w:jc w:val="center"/>
              <w:rPr>
                <w:rFonts w:eastAsia="Times New Roman" w:cs="Times New Roman"/>
                <w:szCs w:val="24"/>
                <w:lang w:val="tr-TR"/>
              </w:rPr>
            </w:pPr>
          </w:p>
        </w:tc>
        <w:tc>
          <w:tcPr>
            <w:tcW w:w="1117" w:type="pct"/>
          </w:tcPr>
          <w:p w14:paraId="5D4A31E7" w14:textId="15248C35" w:rsidR="00E075EF" w:rsidRPr="00F50C10" w:rsidRDefault="00E075EF" w:rsidP="000B206D">
            <w:pPr>
              <w:spacing w:line="276" w:lineRule="auto"/>
              <w:ind w:left="108" w:right="108"/>
              <w:rPr>
                <w:rFonts w:eastAsia="Times New Roman" w:cs="Times New Roman"/>
                <w:szCs w:val="24"/>
                <w:lang w:val="tr-TR"/>
              </w:rPr>
            </w:pPr>
            <w:r w:rsidRPr="00F50C10">
              <w:rPr>
                <w:rFonts w:cs="Times New Roman"/>
                <w:szCs w:val="24"/>
              </w:rPr>
              <w:t>Mevcut EN standardı yok</w:t>
            </w:r>
          </w:p>
        </w:tc>
        <w:tc>
          <w:tcPr>
            <w:tcW w:w="993" w:type="pct"/>
            <w:vAlign w:val="center"/>
          </w:tcPr>
          <w:p w14:paraId="0269655B" w14:textId="77777777"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10 ila &lt; 50</w:t>
            </w:r>
          </w:p>
        </w:tc>
        <w:tc>
          <w:tcPr>
            <w:tcW w:w="1076" w:type="pct"/>
            <w:vAlign w:val="center"/>
          </w:tcPr>
          <w:p w14:paraId="2061FFE5" w14:textId="77777777"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rPr>
              <w:t>Üç Ayda Bir (</w:t>
            </w:r>
            <w:r w:rsidRPr="00F50C10">
              <w:rPr>
                <w:rFonts w:eastAsia="Times New Roman" w:cs="Times New Roman"/>
                <w:szCs w:val="24"/>
                <w:vertAlign w:val="superscript"/>
                <w:lang w:val="tr-TR"/>
              </w:rPr>
              <w:t>4</w:t>
            </w:r>
            <w:r w:rsidRPr="00F50C10">
              <w:rPr>
                <w:rFonts w:eastAsia="Times New Roman" w:cs="Times New Roman"/>
                <w:szCs w:val="24"/>
                <w:lang w:val="tr-TR"/>
              </w:rPr>
              <w:t>)</w:t>
            </w:r>
          </w:p>
        </w:tc>
        <w:tc>
          <w:tcPr>
            <w:tcW w:w="796" w:type="pct"/>
            <w:vMerge/>
          </w:tcPr>
          <w:p w14:paraId="6AA2B1A2" w14:textId="77777777" w:rsidR="00E075EF" w:rsidRPr="00F50C10" w:rsidRDefault="00E075EF" w:rsidP="000B206D">
            <w:pPr>
              <w:spacing w:line="276" w:lineRule="auto"/>
              <w:ind w:left="108" w:right="108"/>
              <w:jc w:val="center"/>
              <w:rPr>
                <w:rFonts w:eastAsia="Times New Roman" w:cs="Times New Roman"/>
                <w:szCs w:val="24"/>
                <w:lang w:val="tr-TR"/>
              </w:rPr>
            </w:pPr>
          </w:p>
        </w:tc>
      </w:tr>
      <w:tr w:rsidR="00E075EF" w:rsidRPr="00F50C10" w14:paraId="2E5E4A7E" w14:textId="77777777" w:rsidTr="00EA21EC">
        <w:trPr>
          <w:trHeight w:val="460"/>
          <w:jc w:val="center"/>
        </w:trPr>
        <w:tc>
          <w:tcPr>
            <w:tcW w:w="1018" w:type="pct"/>
            <w:vMerge w:val="restart"/>
            <w:vAlign w:val="center"/>
          </w:tcPr>
          <w:p w14:paraId="62EFECE4" w14:textId="77777777" w:rsidR="00E075EF" w:rsidRPr="00F50C10" w:rsidRDefault="00E075E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NO</w:t>
            </w:r>
            <w:r w:rsidRPr="00F50C10">
              <w:rPr>
                <w:rFonts w:eastAsia="Times New Roman" w:cs="Times New Roman"/>
                <w:szCs w:val="24"/>
                <w:vertAlign w:val="subscript"/>
                <w:lang w:val="tr-TR" w:bidi="tr-TR"/>
              </w:rPr>
              <w:t>X</w:t>
            </w:r>
          </w:p>
        </w:tc>
        <w:tc>
          <w:tcPr>
            <w:tcW w:w="1117" w:type="pct"/>
          </w:tcPr>
          <w:p w14:paraId="295FC16B" w14:textId="169F61DD" w:rsidR="00E075EF" w:rsidRPr="00F50C10" w:rsidRDefault="00E075EF" w:rsidP="000B206D">
            <w:pPr>
              <w:spacing w:line="276" w:lineRule="auto"/>
              <w:ind w:left="108" w:right="108"/>
              <w:rPr>
                <w:rFonts w:eastAsia="Times New Roman" w:cs="Times New Roman"/>
                <w:szCs w:val="24"/>
                <w:lang w:val="tr-TR"/>
              </w:rPr>
            </w:pPr>
            <w:r w:rsidRPr="00F50C10">
              <w:rPr>
                <w:rFonts w:cs="Times New Roman"/>
                <w:szCs w:val="24"/>
              </w:rPr>
              <w:t>Genel EN standartları</w:t>
            </w:r>
          </w:p>
        </w:tc>
        <w:tc>
          <w:tcPr>
            <w:tcW w:w="993" w:type="pct"/>
            <w:vAlign w:val="center"/>
          </w:tcPr>
          <w:p w14:paraId="598BF080" w14:textId="77777777"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 50</w:t>
            </w:r>
          </w:p>
        </w:tc>
        <w:tc>
          <w:tcPr>
            <w:tcW w:w="1076" w:type="pct"/>
            <w:vAlign w:val="center"/>
          </w:tcPr>
          <w:p w14:paraId="6896350A" w14:textId="77777777"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Sürekli</w:t>
            </w:r>
          </w:p>
        </w:tc>
        <w:tc>
          <w:tcPr>
            <w:tcW w:w="796" w:type="pct"/>
            <w:vMerge w:val="restart"/>
          </w:tcPr>
          <w:p w14:paraId="1995E30E" w14:textId="77777777" w:rsidR="00E075EF" w:rsidRPr="00F50C10" w:rsidRDefault="00E075EF" w:rsidP="000B206D">
            <w:pPr>
              <w:spacing w:line="276" w:lineRule="auto"/>
              <w:ind w:left="108" w:right="108"/>
              <w:jc w:val="center"/>
              <w:rPr>
                <w:rFonts w:cs="Times New Roman"/>
                <w:szCs w:val="24"/>
              </w:rPr>
            </w:pPr>
            <w:r w:rsidRPr="00F50C10">
              <w:rPr>
                <w:rFonts w:cs="Times New Roman"/>
                <w:szCs w:val="24"/>
              </w:rPr>
              <w:t>MET 4,</w:t>
            </w:r>
            <w:r w:rsidRPr="00F50C10">
              <w:rPr>
                <w:rFonts w:cs="Times New Roman"/>
                <w:szCs w:val="24"/>
              </w:rPr>
              <w:cr/>
              <w:t>Tablo 2.1,</w:t>
            </w:r>
          </w:p>
          <w:p w14:paraId="0B671935" w14:textId="002E0F1A" w:rsidR="00E075EF" w:rsidRPr="00F50C10" w:rsidRDefault="00E075EF" w:rsidP="000B206D">
            <w:pPr>
              <w:spacing w:line="276" w:lineRule="auto"/>
              <w:ind w:left="108" w:right="108"/>
              <w:jc w:val="center"/>
              <w:rPr>
                <w:rFonts w:eastAsia="Times New Roman" w:cs="Times New Roman"/>
                <w:szCs w:val="24"/>
                <w:lang w:val="tr-TR"/>
              </w:rPr>
            </w:pPr>
            <w:r w:rsidRPr="00F50C10">
              <w:rPr>
                <w:rFonts w:cs="Times New Roman"/>
                <w:szCs w:val="24"/>
              </w:rPr>
              <w:t>Tablo 10.1</w:t>
            </w:r>
          </w:p>
          <w:p w14:paraId="2FB78461" w14:textId="5347FAA3" w:rsidR="00E075EF" w:rsidRPr="00F50C10" w:rsidRDefault="00E075EF" w:rsidP="000B206D">
            <w:pPr>
              <w:spacing w:line="276" w:lineRule="auto"/>
              <w:ind w:left="108" w:right="108"/>
              <w:jc w:val="center"/>
              <w:rPr>
                <w:rFonts w:eastAsia="Times New Roman" w:cs="Times New Roman"/>
                <w:szCs w:val="24"/>
                <w:lang w:val="tr-TR"/>
              </w:rPr>
            </w:pPr>
          </w:p>
        </w:tc>
      </w:tr>
      <w:tr w:rsidR="00E075EF" w:rsidRPr="00F50C10" w14:paraId="44DBFF74" w14:textId="77777777" w:rsidTr="00EA21EC">
        <w:trPr>
          <w:trHeight w:val="460"/>
          <w:jc w:val="center"/>
        </w:trPr>
        <w:tc>
          <w:tcPr>
            <w:tcW w:w="1018" w:type="pct"/>
            <w:vMerge/>
            <w:vAlign w:val="center"/>
          </w:tcPr>
          <w:p w14:paraId="725C81A9" w14:textId="77777777" w:rsidR="00E075EF" w:rsidRPr="00F50C10" w:rsidRDefault="00E075EF" w:rsidP="000B206D">
            <w:pPr>
              <w:spacing w:line="276" w:lineRule="auto"/>
              <w:ind w:left="108" w:right="108"/>
              <w:jc w:val="center"/>
              <w:rPr>
                <w:rFonts w:eastAsia="Times New Roman" w:cs="Times New Roman"/>
                <w:szCs w:val="24"/>
                <w:lang w:val="tr-TR"/>
              </w:rPr>
            </w:pPr>
          </w:p>
        </w:tc>
        <w:tc>
          <w:tcPr>
            <w:tcW w:w="1117" w:type="pct"/>
          </w:tcPr>
          <w:p w14:paraId="61E731F2" w14:textId="1982D8C5" w:rsidR="00E075EF" w:rsidRPr="00F50C10" w:rsidRDefault="00E075EF" w:rsidP="000B206D">
            <w:pPr>
              <w:spacing w:line="276" w:lineRule="auto"/>
              <w:ind w:left="108" w:right="108"/>
              <w:rPr>
                <w:rFonts w:eastAsia="Times New Roman" w:cs="Times New Roman"/>
                <w:szCs w:val="24"/>
                <w:lang w:val="tr-TR"/>
              </w:rPr>
            </w:pPr>
            <w:r w:rsidRPr="00F50C10">
              <w:rPr>
                <w:rFonts w:cs="Times New Roman"/>
                <w:szCs w:val="24"/>
              </w:rPr>
              <w:t>EN 14792</w:t>
            </w:r>
          </w:p>
        </w:tc>
        <w:tc>
          <w:tcPr>
            <w:tcW w:w="993" w:type="pct"/>
            <w:vAlign w:val="center"/>
          </w:tcPr>
          <w:p w14:paraId="7D73ECFF" w14:textId="77777777"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10 ila &lt; 50</w:t>
            </w:r>
          </w:p>
        </w:tc>
        <w:tc>
          <w:tcPr>
            <w:tcW w:w="1076" w:type="pct"/>
            <w:vAlign w:val="center"/>
          </w:tcPr>
          <w:p w14:paraId="6357FBE7" w14:textId="77777777"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rPr>
              <w:t>Üç Ayda Bir (</w:t>
            </w:r>
            <w:r w:rsidRPr="00F50C10">
              <w:rPr>
                <w:rFonts w:eastAsia="Times New Roman" w:cs="Times New Roman"/>
                <w:szCs w:val="24"/>
                <w:vertAlign w:val="superscript"/>
                <w:lang w:val="tr-TR"/>
              </w:rPr>
              <w:t>4</w:t>
            </w:r>
            <w:r w:rsidRPr="00F50C10">
              <w:rPr>
                <w:rFonts w:eastAsia="Times New Roman" w:cs="Times New Roman"/>
                <w:szCs w:val="24"/>
                <w:lang w:val="tr-TR"/>
              </w:rPr>
              <w:t>)</w:t>
            </w:r>
          </w:p>
        </w:tc>
        <w:tc>
          <w:tcPr>
            <w:tcW w:w="796" w:type="pct"/>
            <w:vMerge/>
          </w:tcPr>
          <w:p w14:paraId="4167C421" w14:textId="77777777" w:rsidR="00E075EF" w:rsidRPr="00F50C10" w:rsidRDefault="00E075EF" w:rsidP="000B206D">
            <w:pPr>
              <w:spacing w:line="276" w:lineRule="auto"/>
              <w:ind w:left="108" w:right="108"/>
              <w:jc w:val="center"/>
              <w:rPr>
                <w:rFonts w:eastAsia="Times New Roman" w:cs="Times New Roman"/>
                <w:szCs w:val="24"/>
                <w:lang w:val="tr-TR"/>
              </w:rPr>
            </w:pPr>
          </w:p>
        </w:tc>
      </w:tr>
      <w:tr w:rsidR="00E075EF" w:rsidRPr="00F50C10" w14:paraId="16E78341" w14:textId="77777777" w:rsidTr="00EA21EC">
        <w:trPr>
          <w:trHeight w:val="460"/>
          <w:jc w:val="center"/>
        </w:trPr>
        <w:tc>
          <w:tcPr>
            <w:tcW w:w="1018" w:type="pct"/>
            <w:vMerge w:val="restart"/>
            <w:vAlign w:val="center"/>
          </w:tcPr>
          <w:p w14:paraId="46E3DA56" w14:textId="77777777" w:rsidR="00E075EF" w:rsidRPr="00F50C10" w:rsidRDefault="00E075E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SO</w:t>
            </w:r>
            <w:r w:rsidRPr="00F50C10">
              <w:rPr>
                <w:rFonts w:eastAsia="Times New Roman" w:cs="Times New Roman"/>
                <w:szCs w:val="24"/>
                <w:vertAlign w:val="subscript"/>
                <w:lang w:val="tr-TR" w:bidi="tr-TR"/>
              </w:rPr>
              <w:t>2</w:t>
            </w:r>
            <w:r w:rsidRPr="00F50C10">
              <w:rPr>
                <w:rFonts w:eastAsia="Times New Roman" w:cs="Times New Roman"/>
                <w:szCs w:val="24"/>
                <w:lang w:val="tr-TR" w:bidi="tr-TR"/>
              </w:rPr>
              <w:t xml:space="preserve"> (</w:t>
            </w:r>
            <w:r w:rsidRPr="00F50C10">
              <w:rPr>
                <w:rFonts w:eastAsia="Times New Roman" w:cs="Times New Roman"/>
                <w:szCs w:val="24"/>
                <w:vertAlign w:val="superscript"/>
                <w:lang w:val="tr-TR" w:bidi="tr-TR"/>
              </w:rPr>
              <w:t>7</w:t>
            </w:r>
            <w:r w:rsidRPr="00F50C10">
              <w:rPr>
                <w:rFonts w:eastAsia="Times New Roman" w:cs="Times New Roman"/>
                <w:szCs w:val="24"/>
                <w:lang w:val="tr-TR" w:bidi="tr-TR"/>
              </w:rPr>
              <w:t>)</w:t>
            </w:r>
          </w:p>
        </w:tc>
        <w:tc>
          <w:tcPr>
            <w:tcW w:w="1117" w:type="pct"/>
          </w:tcPr>
          <w:p w14:paraId="2E3BDCE0" w14:textId="7DE9BB73" w:rsidR="00E075EF" w:rsidRPr="00F50C10" w:rsidRDefault="00E075EF" w:rsidP="000B206D">
            <w:pPr>
              <w:spacing w:line="276" w:lineRule="auto"/>
              <w:ind w:left="108" w:right="108"/>
              <w:rPr>
                <w:rFonts w:eastAsia="Times New Roman" w:cs="Times New Roman"/>
                <w:szCs w:val="24"/>
                <w:lang w:val="tr-TR"/>
              </w:rPr>
            </w:pPr>
            <w:r w:rsidRPr="00F50C10">
              <w:rPr>
                <w:rFonts w:cs="Times New Roman"/>
                <w:szCs w:val="24"/>
              </w:rPr>
              <w:t>Genel EN standartları</w:t>
            </w:r>
          </w:p>
        </w:tc>
        <w:tc>
          <w:tcPr>
            <w:tcW w:w="993" w:type="pct"/>
            <w:vAlign w:val="center"/>
          </w:tcPr>
          <w:p w14:paraId="499549BA" w14:textId="77777777"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 50</w:t>
            </w:r>
          </w:p>
        </w:tc>
        <w:tc>
          <w:tcPr>
            <w:tcW w:w="1076" w:type="pct"/>
            <w:vAlign w:val="center"/>
          </w:tcPr>
          <w:p w14:paraId="7F3A41ED" w14:textId="77777777"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Sürekli</w:t>
            </w:r>
          </w:p>
        </w:tc>
        <w:tc>
          <w:tcPr>
            <w:tcW w:w="796" w:type="pct"/>
            <w:vMerge w:val="restart"/>
          </w:tcPr>
          <w:p w14:paraId="79002DBC" w14:textId="0AC91B79"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rPr>
              <w:t>MET 6</w:t>
            </w:r>
          </w:p>
        </w:tc>
      </w:tr>
      <w:tr w:rsidR="00E075EF" w:rsidRPr="00F50C10" w14:paraId="2AA539E9" w14:textId="77777777" w:rsidTr="00EA21EC">
        <w:trPr>
          <w:trHeight w:val="457"/>
          <w:jc w:val="center"/>
        </w:trPr>
        <w:tc>
          <w:tcPr>
            <w:tcW w:w="1018" w:type="pct"/>
            <w:vMerge/>
            <w:vAlign w:val="center"/>
          </w:tcPr>
          <w:p w14:paraId="4AA31520" w14:textId="77777777" w:rsidR="00E075EF" w:rsidRPr="00F50C10" w:rsidRDefault="00E075EF" w:rsidP="000B206D">
            <w:pPr>
              <w:spacing w:line="276" w:lineRule="auto"/>
              <w:ind w:left="108" w:right="108"/>
              <w:jc w:val="center"/>
              <w:rPr>
                <w:rFonts w:eastAsia="Times New Roman" w:cs="Times New Roman"/>
                <w:szCs w:val="24"/>
                <w:lang w:val="tr-TR"/>
              </w:rPr>
            </w:pPr>
          </w:p>
        </w:tc>
        <w:tc>
          <w:tcPr>
            <w:tcW w:w="1117" w:type="pct"/>
          </w:tcPr>
          <w:p w14:paraId="6D6E5586" w14:textId="3BDB5088" w:rsidR="00E075EF" w:rsidRPr="00F50C10" w:rsidRDefault="00E075EF" w:rsidP="000B206D">
            <w:pPr>
              <w:spacing w:before="108" w:line="276" w:lineRule="auto"/>
              <w:ind w:left="108" w:right="108"/>
              <w:rPr>
                <w:rFonts w:eastAsia="Times New Roman" w:cs="Times New Roman"/>
                <w:szCs w:val="24"/>
                <w:lang w:val="tr-TR"/>
              </w:rPr>
            </w:pPr>
            <w:r w:rsidRPr="00F50C10">
              <w:rPr>
                <w:rFonts w:cs="Times New Roman"/>
                <w:szCs w:val="24"/>
              </w:rPr>
              <w:t>EN 14791</w:t>
            </w:r>
          </w:p>
        </w:tc>
        <w:tc>
          <w:tcPr>
            <w:tcW w:w="993" w:type="pct"/>
            <w:vAlign w:val="center"/>
          </w:tcPr>
          <w:p w14:paraId="3CD3DAE9" w14:textId="77777777" w:rsidR="00E075EF" w:rsidRPr="00F50C10" w:rsidRDefault="00E075EF" w:rsidP="000B206D">
            <w:pPr>
              <w:spacing w:before="108"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10 ila &lt; 50</w:t>
            </w:r>
          </w:p>
        </w:tc>
        <w:tc>
          <w:tcPr>
            <w:tcW w:w="1076" w:type="pct"/>
            <w:vAlign w:val="center"/>
          </w:tcPr>
          <w:p w14:paraId="2681DF68" w14:textId="77777777" w:rsidR="00E075EF" w:rsidRPr="00F50C10" w:rsidRDefault="00E075E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rPr>
              <w:t>Üç Ayda Bir (</w:t>
            </w:r>
            <w:r w:rsidRPr="00F50C10">
              <w:rPr>
                <w:rFonts w:eastAsia="Times New Roman" w:cs="Times New Roman"/>
                <w:szCs w:val="24"/>
                <w:vertAlign w:val="superscript"/>
                <w:lang w:val="tr-TR"/>
              </w:rPr>
              <w:t>4</w:t>
            </w:r>
            <w:r w:rsidRPr="00F50C10">
              <w:rPr>
                <w:rFonts w:eastAsia="Times New Roman" w:cs="Times New Roman"/>
                <w:szCs w:val="24"/>
                <w:lang w:val="tr-TR"/>
              </w:rPr>
              <w:t>)</w:t>
            </w:r>
          </w:p>
        </w:tc>
        <w:tc>
          <w:tcPr>
            <w:tcW w:w="796" w:type="pct"/>
            <w:vMerge/>
            <w:vAlign w:val="center"/>
          </w:tcPr>
          <w:p w14:paraId="5F646C8D" w14:textId="77777777" w:rsidR="00E075EF" w:rsidRPr="00F50C10" w:rsidRDefault="00E075EF" w:rsidP="000B206D">
            <w:pPr>
              <w:spacing w:line="276" w:lineRule="auto"/>
              <w:ind w:left="108" w:right="108"/>
              <w:jc w:val="center"/>
              <w:rPr>
                <w:rFonts w:eastAsia="Times New Roman" w:cs="Times New Roman"/>
                <w:szCs w:val="24"/>
                <w:lang w:val="tr-TR"/>
              </w:rPr>
            </w:pPr>
          </w:p>
        </w:tc>
      </w:tr>
      <w:tr w:rsidR="00BB704F" w:rsidRPr="00F50C10" w14:paraId="58C201CE" w14:textId="77777777" w:rsidTr="00F860D8">
        <w:trPr>
          <w:trHeight w:val="386"/>
          <w:jc w:val="center"/>
        </w:trPr>
        <w:tc>
          <w:tcPr>
            <w:tcW w:w="5000" w:type="pct"/>
            <w:gridSpan w:val="5"/>
            <w:vAlign w:val="center"/>
          </w:tcPr>
          <w:p w14:paraId="3E1A4F62" w14:textId="77777777" w:rsidR="00E075EF" w:rsidRPr="00F50C10" w:rsidRDefault="00E075EF" w:rsidP="000B206D">
            <w:pPr>
              <w:pStyle w:val="TableParagraph"/>
              <w:numPr>
                <w:ilvl w:val="0"/>
                <w:numId w:val="9"/>
              </w:numPr>
              <w:tabs>
                <w:tab w:val="left" w:pos="334"/>
              </w:tabs>
              <w:spacing w:line="276" w:lineRule="auto"/>
              <w:ind w:left="108" w:right="108" w:firstLine="0"/>
              <w:jc w:val="both"/>
              <w:rPr>
                <w:szCs w:val="24"/>
              </w:rPr>
            </w:pPr>
            <w:r w:rsidRPr="00F50C10">
              <w:rPr>
                <w:szCs w:val="24"/>
                <w:lang w:bidi="tr-TR"/>
              </w:rPr>
              <w:t>Sürekli ölçümler için genel EN standartları EN 15267-1, -2 ve -3 ve EN 14181'dir. Tabloda, periyodik ölçümler için EN standartları verilmiştir.</w:t>
            </w:r>
          </w:p>
          <w:p w14:paraId="12644B0E" w14:textId="77777777" w:rsidR="00E075EF" w:rsidRPr="00F50C10" w:rsidRDefault="00E075EF" w:rsidP="000B206D">
            <w:pPr>
              <w:pStyle w:val="TableParagraph"/>
              <w:numPr>
                <w:ilvl w:val="0"/>
                <w:numId w:val="9"/>
              </w:numPr>
              <w:tabs>
                <w:tab w:val="left" w:pos="355"/>
              </w:tabs>
              <w:spacing w:line="276" w:lineRule="auto"/>
              <w:ind w:left="108" w:right="108" w:firstLine="0"/>
              <w:jc w:val="both"/>
              <w:rPr>
                <w:szCs w:val="24"/>
              </w:rPr>
            </w:pPr>
            <w:r w:rsidRPr="00F50C10">
              <w:rPr>
                <w:szCs w:val="24"/>
                <w:lang w:bidi="tr-TR"/>
              </w:rPr>
              <w:t>Emisyonların deşarj edildiği bacaya bağlı tüm proses fırınlarının / ısıtıcılarının toplam nominal termal girdisini ifade eder.</w:t>
            </w:r>
          </w:p>
          <w:p w14:paraId="2CA01381" w14:textId="77777777" w:rsidR="00E075EF" w:rsidRPr="00F50C10" w:rsidRDefault="00E075EF" w:rsidP="000B206D">
            <w:pPr>
              <w:pStyle w:val="TableParagraph"/>
              <w:numPr>
                <w:ilvl w:val="0"/>
                <w:numId w:val="9"/>
              </w:numPr>
              <w:tabs>
                <w:tab w:val="left" w:pos="334"/>
              </w:tabs>
              <w:spacing w:line="276" w:lineRule="auto"/>
              <w:ind w:left="108" w:right="108" w:firstLine="0"/>
              <w:jc w:val="both"/>
              <w:rPr>
                <w:szCs w:val="24"/>
              </w:rPr>
            </w:pPr>
            <w:r w:rsidRPr="00F50C10">
              <w:rPr>
                <w:szCs w:val="24"/>
                <w:lang w:bidi="tr-TR"/>
              </w:rPr>
              <w:t>Yılda 500 saatten daha az çalıştırılan ve toplam nominal termal girdisi 100 MW</w:t>
            </w:r>
            <w:r w:rsidRPr="00F50C10">
              <w:rPr>
                <w:szCs w:val="24"/>
                <w:vertAlign w:val="subscript"/>
                <w:lang w:bidi="tr-TR"/>
              </w:rPr>
              <w:t>t</w:t>
            </w:r>
            <w:r w:rsidRPr="00F50C10">
              <w:rPr>
                <w:szCs w:val="24"/>
                <w:lang w:bidi="tr-TR"/>
              </w:rPr>
              <w:t>'den az olan proses fırınları/ısıtıcıları söz konusu olduğunda, izleme sıklığı yılda en az bir kez olacak şekilde azaltılabilir.</w:t>
            </w:r>
          </w:p>
          <w:p w14:paraId="14191747" w14:textId="77777777" w:rsidR="00E075EF" w:rsidRPr="00F50C10" w:rsidRDefault="00E075EF" w:rsidP="000B206D">
            <w:pPr>
              <w:pStyle w:val="TableParagraph"/>
              <w:numPr>
                <w:ilvl w:val="0"/>
                <w:numId w:val="9"/>
              </w:numPr>
              <w:tabs>
                <w:tab w:val="left" w:pos="334"/>
              </w:tabs>
              <w:spacing w:line="276" w:lineRule="auto"/>
              <w:ind w:left="108" w:right="108" w:firstLine="0"/>
              <w:jc w:val="both"/>
              <w:rPr>
                <w:szCs w:val="24"/>
              </w:rPr>
            </w:pPr>
            <w:r w:rsidRPr="00F50C10">
              <w:rPr>
                <w:szCs w:val="24"/>
                <w:lang w:bidi="tr-TR"/>
              </w:rPr>
              <w:t>Emisyon seviyelerinin yeterince istikrarlı olduğu kanıtlanırsa, periyodik ölçümler için minimum izleme sıklığı altı ayda bire düşürülebilir.</w:t>
            </w:r>
          </w:p>
          <w:p w14:paraId="219EC959" w14:textId="77777777" w:rsidR="00E075EF" w:rsidRPr="00F50C10" w:rsidRDefault="00E075EF" w:rsidP="000B206D">
            <w:pPr>
              <w:pStyle w:val="TableParagraph"/>
              <w:numPr>
                <w:ilvl w:val="0"/>
                <w:numId w:val="9"/>
              </w:numPr>
              <w:tabs>
                <w:tab w:val="left" w:pos="334"/>
              </w:tabs>
              <w:spacing w:line="276" w:lineRule="auto"/>
              <w:ind w:left="108" w:right="108" w:hanging="17"/>
              <w:jc w:val="both"/>
              <w:rPr>
                <w:szCs w:val="24"/>
                <w:lang w:bidi="tr-TR"/>
              </w:rPr>
            </w:pPr>
            <w:r w:rsidRPr="00F50C10">
              <w:rPr>
                <w:szCs w:val="24"/>
                <w:lang w:bidi="tr-TR"/>
              </w:rPr>
              <w:t>Yalnızca gaz halindeki yakıtlar yakılıyorsa, toz izleme uygulanmaz.</w:t>
            </w:r>
          </w:p>
          <w:p w14:paraId="639F2AE7" w14:textId="77777777" w:rsidR="00E075EF" w:rsidRPr="00F50C10" w:rsidRDefault="00E075EF" w:rsidP="000B206D">
            <w:pPr>
              <w:pStyle w:val="TableParagraph"/>
              <w:numPr>
                <w:ilvl w:val="0"/>
                <w:numId w:val="9"/>
              </w:numPr>
              <w:tabs>
                <w:tab w:val="left" w:pos="334"/>
              </w:tabs>
              <w:spacing w:line="276" w:lineRule="auto"/>
              <w:ind w:left="108" w:right="108" w:hanging="18"/>
              <w:jc w:val="both"/>
              <w:rPr>
                <w:szCs w:val="24"/>
              </w:rPr>
            </w:pPr>
            <w:r w:rsidRPr="00F50C10">
              <w:rPr>
                <w:szCs w:val="24"/>
                <w:lang w:bidi="tr-TR"/>
              </w:rPr>
              <w:t>NH</w:t>
            </w:r>
            <w:r w:rsidRPr="00F50C10">
              <w:rPr>
                <w:szCs w:val="24"/>
                <w:vertAlign w:val="subscript"/>
                <w:lang w:bidi="tr-TR"/>
              </w:rPr>
              <w:t>3</w:t>
            </w:r>
            <w:r w:rsidRPr="00F50C10">
              <w:rPr>
                <w:szCs w:val="24"/>
                <w:lang w:bidi="tr-TR"/>
              </w:rPr>
              <w:t>'ün izlenmesi yalnızca SCR veya SNCR kullanıldığında geçerlidir.</w:t>
            </w:r>
          </w:p>
          <w:p w14:paraId="11CF4CCD" w14:textId="2AF8F576" w:rsidR="00BB704F" w:rsidRPr="00F50C10" w:rsidRDefault="00E075EF" w:rsidP="000B206D">
            <w:pPr>
              <w:numPr>
                <w:ilvl w:val="0"/>
                <w:numId w:val="9"/>
              </w:numPr>
              <w:tabs>
                <w:tab w:val="left" w:pos="334"/>
              </w:tabs>
              <w:spacing w:line="276" w:lineRule="auto"/>
              <w:ind w:left="108" w:right="108" w:hanging="18"/>
              <w:jc w:val="left"/>
              <w:rPr>
                <w:rFonts w:eastAsia="Times New Roman" w:cs="Times New Roman"/>
                <w:i/>
                <w:iCs/>
                <w:szCs w:val="24"/>
                <w:lang w:val="tr-TR"/>
              </w:rPr>
            </w:pPr>
            <w:r w:rsidRPr="00F50C10">
              <w:rPr>
                <w:rFonts w:cs="Times New Roman"/>
                <w:szCs w:val="24"/>
                <w:lang w:bidi="tr-TR"/>
              </w:rPr>
              <w:t>Gazlı yakıtları ve / veya bilinen kükürt içeriğine sahip akaryakıtları yakan ve baca gazı kükürt gidermenin yapılmadığı proses fırınları / ısıtıcıları söz konusu olduğunda, sürekli izleme, en az üç ayda bir sıklıkta periyodik izleme veya eşdeğer bilimsel kalitede verilerin sağlanmasını sağlayan hesaplama ile değiştirilebilir.</w:t>
            </w:r>
          </w:p>
        </w:tc>
      </w:tr>
    </w:tbl>
    <w:p w14:paraId="48975B42" w14:textId="77777777" w:rsidR="00B2620A" w:rsidRPr="00F50C10" w:rsidRDefault="00BB704F" w:rsidP="000B206D">
      <w:pPr>
        <w:widowControl w:val="0"/>
        <w:autoSpaceDE w:val="0"/>
        <w:autoSpaceDN w:val="0"/>
        <w:spacing w:before="240" w:line="276" w:lineRule="auto"/>
        <w:rPr>
          <w:rFonts w:cs="Times New Roman"/>
          <w:bCs/>
          <w:szCs w:val="24"/>
        </w:rPr>
      </w:pPr>
      <w:r w:rsidRPr="00F50C10">
        <w:rPr>
          <w:rFonts w:eastAsia="Times New Roman" w:cs="Times New Roman"/>
          <w:b/>
          <w:bCs/>
          <w:szCs w:val="24"/>
          <w:lang w:val="tr-TR"/>
        </w:rPr>
        <w:t xml:space="preserve">MET 2: </w:t>
      </w:r>
      <w:r w:rsidR="00FA16CF" w:rsidRPr="00F50C10">
        <w:rPr>
          <w:rFonts w:cs="Times New Roman"/>
          <w:bCs/>
          <w:szCs w:val="24"/>
        </w:rPr>
        <w:t>Proses fırınları/ısıtıcıları haricindeki kaynaklardan havaya salınan kanalize edilmiş emisyonları EN standartlarına uygun ve asgari olarak aşağıdaki tabloda verilen minimum sıklık ile izlenir. EN standartları mevcut değilse, eşdeğer bilimsel nitelikteki verilerin sunulmasını sağlayan ISO standartları, ulusal veya diğer uluslararası standartlar kullanılır.</w:t>
      </w:r>
    </w:p>
    <w:tbl>
      <w:tblPr>
        <w:tblStyle w:val="TableNormal1"/>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44"/>
        <w:gridCol w:w="2338"/>
        <w:gridCol w:w="1586"/>
        <w:gridCol w:w="1656"/>
        <w:gridCol w:w="1173"/>
      </w:tblGrid>
      <w:tr w:rsidR="00B2620A" w:rsidRPr="00F50C10" w14:paraId="58066CA2" w14:textId="77777777" w:rsidTr="00B2620A">
        <w:trPr>
          <w:trHeight w:val="690"/>
          <w:tblHeader/>
          <w:jc w:val="center"/>
        </w:trPr>
        <w:tc>
          <w:tcPr>
            <w:tcW w:w="1070" w:type="pct"/>
            <w:vAlign w:val="center"/>
          </w:tcPr>
          <w:p w14:paraId="705A1805" w14:textId="77777777" w:rsidR="00B2620A" w:rsidRPr="00F50C10" w:rsidRDefault="00B2620A" w:rsidP="000B206D">
            <w:pPr>
              <w:pStyle w:val="TableParagraph"/>
              <w:spacing w:line="276" w:lineRule="auto"/>
              <w:ind w:left="108" w:right="108"/>
              <w:jc w:val="center"/>
              <w:rPr>
                <w:b/>
                <w:bCs/>
                <w:szCs w:val="24"/>
              </w:rPr>
            </w:pPr>
            <w:r w:rsidRPr="00F50C10">
              <w:rPr>
                <w:b/>
                <w:bCs/>
                <w:w w:val="95"/>
                <w:szCs w:val="24"/>
                <w:lang w:bidi="tr-TR"/>
              </w:rPr>
              <w:t>Madde / Parametre</w:t>
            </w:r>
          </w:p>
        </w:tc>
        <w:tc>
          <w:tcPr>
            <w:tcW w:w="1429" w:type="pct"/>
            <w:vAlign w:val="center"/>
          </w:tcPr>
          <w:p w14:paraId="4B586CC7" w14:textId="77777777" w:rsidR="00B2620A" w:rsidRPr="00F50C10" w:rsidRDefault="00B2620A" w:rsidP="000B206D">
            <w:pPr>
              <w:pStyle w:val="TableParagraph"/>
              <w:spacing w:line="276" w:lineRule="auto"/>
              <w:ind w:left="108" w:right="108"/>
              <w:jc w:val="center"/>
              <w:rPr>
                <w:b/>
                <w:bCs/>
                <w:szCs w:val="24"/>
              </w:rPr>
            </w:pPr>
            <w:r w:rsidRPr="00F50C10">
              <w:rPr>
                <w:b/>
                <w:bCs/>
                <w:szCs w:val="24"/>
                <w:lang w:bidi="tr-TR"/>
              </w:rPr>
              <w:t>Prosesler / Kaynaklar</w:t>
            </w:r>
          </w:p>
        </w:tc>
        <w:tc>
          <w:tcPr>
            <w:tcW w:w="854" w:type="pct"/>
            <w:vAlign w:val="center"/>
          </w:tcPr>
          <w:p w14:paraId="1A51FCF7" w14:textId="77777777" w:rsidR="00B2620A" w:rsidRPr="00F50C10" w:rsidRDefault="00B2620A" w:rsidP="000B206D">
            <w:pPr>
              <w:pStyle w:val="TableParagraph"/>
              <w:spacing w:line="276" w:lineRule="auto"/>
              <w:ind w:left="108" w:right="108"/>
              <w:jc w:val="center"/>
              <w:rPr>
                <w:b/>
                <w:szCs w:val="24"/>
              </w:rPr>
            </w:pPr>
            <w:r w:rsidRPr="00F50C10">
              <w:rPr>
                <w:b/>
                <w:szCs w:val="24"/>
                <w:lang w:bidi="tr-TR"/>
              </w:rPr>
              <w:t>Standart(lar)</w:t>
            </w:r>
          </w:p>
        </w:tc>
        <w:tc>
          <w:tcPr>
            <w:tcW w:w="1022" w:type="pct"/>
            <w:vAlign w:val="center"/>
          </w:tcPr>
          <w:p w14:paraId="56624E12" w14:textId="77777777" w:rsidR="00B2620A" w:rsidRPr="00F50C10" w:rsidRDefault="00B2620A" w:rsidP="000B206D">
            <w:pPr>
              <w:pStyle w:val="TableParagraph"/>
              <w:spacing w:line="276" w:lineRule="auto"/>
              <w:ind w:left="108" w:right="108"/>
              <w:jc w:val="center"/>
              <w:rPr>
                <w:b/>
                <w:szCs w:val="24"/>
              </w:rPr>
            </w:pPr>
            <w:r w:rsidRPr="00F50C10">
              <w:rPr>
                <w:b/>
                <w:szCs w:val="24"/>
                <w:lang w:bidi="tr-TR"/>
              </w:rPr>
              <w:t>Minimum izleme sıklığı</w:t>
            </w:r>
          </w:p>
        </w:tc>
        <w:tc>
          <w:tcPr>
            <w:tcW w:w="624" w:type="pct"/>
            <w:vAlign w:val="center"/>
          </w:tcPr>
          <w:p w14:paraId="1459E72D" w14:textId="77777777" w:rsidR="00B2620A" w:rsidRPr="00F50C10" w:rsidRDefault="00B2620A" w:rsidP="000B206D">
            <w:pPr>
              <w:pStyle w:val="TableParagraph"/>
              <w:spacing w:line="276" w:lineRule="auto"/>
              <w:ind w:left="108" w:right="108"/>
              <w:jc w:val="center"/>
              <w:rPr>
                <w:b/>
                <w:szCs w:val="24"/>
              </w:rPr>
            </w:pPr>
            <w:r w:rsidRPr="00F50C10">
              <w:rPr>
                <w:b/>
                <w:szCs w:val="24"/>
                <w:lang w:bidi="tr-TR"/>
              </w:rPr>
              <w:t>İlgili Madde Uyarınca İzleme</w:t>
            </w:r>
          </w:p>
        </w:tc>
      </w:tr>
      <w:tr w:rsidR="00B2620A" w:rsidRPr="00F50C10" w14:paraId="1B866E7E" w14:textId="77777777" w:rsidTr="00B2620A">
        <w:trPr>
          <w:trHeight w:val="690"/>
          <w:jc w:val="center"/>
        </w:trPr>
        <w:tc>
          <w:tcPr>
            <w:tcW w:w="1070" w:type="pct"/>
            <w:vMerge w:val="restart"/>
            <w:vAlign w:val="center"/>
          </w:tcPr>
          <w:p w14:paraId="0982610A" w14:textId="77777777" w:rsidR="00B2620A" w:rsidRPr="00F50C10" w:rsidRDefault="00B2620A" w:rsidP="000B206D">
            <w:pPr>
              <w:pStyle w:val="TableParagraph"/>
              <w:spacing w:before="148" w:line="276" w:lineRule="auto"/>
              <w:ind w:left="108" w:right="108"/>
              <w:jc w:val="both"/>
              <w:rPr>
                <w:szCs w:val="24"/>
              </w:rPr>
            </w:pPr>
            <w:r w:rsidRPr="00F50C10">
              <w:rPr>
                <w:szCs w:val="24"/>
                <w:lang w:bidi="tr-TR"/>
              </w:rPr>
              <w:t>Benzen</w:t>
            </w:r>
          </w:p>
        </w:tc>
        <w:tc>
          <w:tcPr>
            <w:tcW w:w="1429" w:type="pct"/>
            <w:vAlign w:val="center"/>
          </w:tcPr>
          <w:p w14:paraId="69D17C78" w14:textId="557340E6" w:rsidR="00B2620A" w:rsidRPr="00F50C10" w:rsidRDefault="00B2620A" w:rsidP="000B206D">
            <w:pPr>
              <w:pStyle w:val="TableParagraph"/>
              <w:spacing w:line="276" w:lineRule="auto"/>
              <w:ind w:left="108" w:right="108"/>
              <w:jc w:val="both"/>
              <w:rPr>
                <w:szCs w:val="24"/>
              </w:rPr>
            </w:pPr>
            <w:r w:rsidRPr="00F50C10">
              <w:rPr>
                <w:szCs w:val="24"/>
                <w:lang w:bidi="tr-TR"/>
              </w:rPr>
              <w:t>Fenol üretiminde kümen oksidasyon ü</w:t>
            </w:r>
            <w:r w:rsidR="0019341B" w:rsidRPr="00F50C10">
              <w:rPr>
                <w:szCs w:val="24"/>
                <w:lang w:bidi="tr-TR"/>
              </w:rPr>
              <w:t>nitesinden çıkan atık gaz</w:t>
            </w:r>
            <w:r w:rsidRPr="00F50C10">
              <w:rPr>
                <w:szCs w:val="24"/>
                <w:lang w:bidi="tr-TR"/>
              </w:rPr>
              <w:t xml:space="preserve"> (</w:t>
            </w:r>
            <w:r w:rsidRPr="00F50C10">
              <w:rPr>
                <w:szCs w:val="24"/>
                <w:vertAlign w:val="superscript"/>
                <w:lang w:bidi="tr-TR"/>
              </w:rPr>
              <w:t>1</w:t>
            </w:r>
            <w:r w:rsidRPr="00F50C10">
              <w:rPr>
                <w:szCs w:val="24"/>
                <w:lang w:bidi="tr-TR"/>
              </w:rPr>
              <w:t>)</w:t>
            </w:r>
          </w:p>
        </w:tc>
        <w:tc>
          <w:tcPr>
            <w:tcW w:w="854" w:type="pct"/>
            <w:vMerge w:val="restart"/>
            <w:vAlign w:val="center"/>
          </w:tcPr>
          <w:p w14:paraId="24A0FE82" w14:textId="77777777" w:rsidR="00B2620A" w:rsidRPr="00F50C10" w:rsidRDefault="00B2620A" w:rsidP="000B206D">
            <w:pPr>
              <w:pStyle w:val="TableParagraph"/>
              <w:spacing w:line="276" w:lineRule="auto"/>
              <w:ind w:left="108" w:right="108"/>
              <w:jc w:val="both"/>
              <w:rPr>
                <w:szCs w:val="24"/>
              </w:rPr>
            </w:pPr>
            <w:r w:rsidRPr="00F50C10">
              <w:rPr>
                <w:szCs w:val="24"/>
                <w:lang w:bidi="tr-TR"/>
              </w:rPr>
              <w:t>EN standardı yok</w:t>
            </w:r>
          </w:p>
        </w:tc>
        <w:tc>
          <w:tcPr>
            <w:tcW w:w="1022" w:type="pct"/>
            <w:vMerge w:val="restart"/>
            <w:vAlign w:val="center"/>
          </w:tcPr>
          <w:p w14:paraId="4F507ED1" w14:textId="77777777" w:rsidR="00B2620A" w:rsidRPr="00F50C10" w:rsidRDefault="00B2620A" w:rsidP="000B206D">
            <w:pPr>
              <w:pStyle w:val="TableParagraph"/>
              <w:spacing w:line="276" w:lineRule="auto"/>
              <w:ind w:left="747" w:right="108" w:hanging="639"/>
              <w:jc w:val="both"/>
              <w:rPr>
                <w:szCs w:val="24"/>
              </w:rPr>
            </w:pPr>
            <w:r w:rsidRPr="00F50C10">
              <w:rPr>
                <w:szCs w:val="24"/>
                <w:lang w:bidi="tr-TR"/>
              </w:rPr>
              <w:t>Ayda bir (</w:t>
            </w:r>
            <w:r w:rsidRPr="00F50C10">
              <w:rPr>
                <w:b/>
                <w:szCs w:val="24"/>
                <w:vertAlign w:val="superscript"/>
                <w:lang w:bidi="tr-TR"/>
              </w:rPr>
              <w:t>2</w:t>
            </w:r>
            <w:r w:rsidRPr="00F50C10">
              <w:rPr>
                <w:szCs w:val="24"/>
                <w:lang w:bidi="tr-TR"/>
              </w:rPr>
              <w:t>)</w:t>
            </w:r>
          </w:p>
        </w:tc>
        <w:tc>
          <w:tcPr>
            <w:tcW w:w="624" w:type="pct"/>
            <w:vAlign w:val="center"/>
          </w:tcPr>
          <w:p w14:paraId="5E1DFD9A" w14:textId="77777777" w:rsidR="00B2620A" w:rsidRPr="00F50C10" w:rsidRDefault="00B2620A" w:rsidP="000B206D">
            <w:pPr>
              <w:pStyle w:val="TableParagraph"/>
              <w:spacing w:line="276" w:lineRule="auto"/>
              <w:ind w:left="108" w:right="108"/>
              <w:jc w:val="both"/>
              <w:rPr>
                <w:b/>
                <w:szCs w:val="24"/>
              </w:rPr>
            </w:pPr>
          </w:p>
          <w:p w14:paraId="3F96E971" w14:textId="77777777" w:rsidR="00B2620A" w:rsidRPr="00F50C10" w:rsidRDefault="00B2620A" w:rsidP="000B206D">
            <w:pPr>
              <w:pStyle w:val="TableParagraph"/>
              <w:spacing w:line="276" w:lineRule="auto"/>
              <w:ind w:left="108" w:right="108"/>
              <w:jc w:val="both"/>
              <w:rPr>
                <w:szCs w:val="24"/>
              </w:rPr>
            </w:pPr>
            <w:r w:rsidRPr="00F50C10">
              <w:rPr>
                <w:szCs w:val="24"/>
              </w:rPr>
              <w:t>MET 57</w:t>
            </w:r>
          </w:p>
        </w:tc>
      </w:tr>
      <w:tr w:rsidR="00B2620A" w:rsidRPr="00F50C10" w14:paraId="355704E6" w14:textId="77777777" w:rsidTr="00B2620A">
        <w:trPr>
          <w:trHeight w:val="342"/>
          <w:jc w:val="center"/>
        </w:trPr>
        <w:tc>
          <w:tcPr>
            <w:tcW w:w="1070" w:type="pct"/>
            <w:vMerge/>
            <w:vAlign w:val="center"/>
          </w:tcPr>
          <w:p w14:paraId="0F499478" w14:textId="77777777" w:rsidR="00B2620A" w:rsidRPr="00F50C10" w:rsidRDefault="00B2620A" w:rsidP="000B206D">
            <w:pPr>
              <w:spacing w:line="276" w:lineRule="auto"/>
              <w:ind w:left="108" w:right="108"/>
              <w:rPr>
                <w:rFonts w:cs="Times New Roman"/>
                <w:szCs w:val="24"/>
              </w:rPr>
            </w:pPr>
          </w:p>
        </w:tc>
        <w:tc>
          <w:tcPr>
            <w:tcW w:w="1429" w:type="pct"/>
            <w:vAlign w:val="center"/>
          </w:tcPr>
          <w:p w14:paraId="14D17805" w14:textId="77777777" w:rsidR="00B2620A" w:rsidRPr="00F50C10" w:rsidRDefault="00B2620A" w:rsidP="000B206D">
            <w:pPr>
              <w:pStyle w:val="TableParagraph"/>
              <w:spacing w:before="50" w:line="276" w:lineRule="auto"/>
              <w:ind w:left="108" w:right="108"/>
              <w:jc w:val="both"/>
              <w:rPr>
                <w:szCs w:val="24"/>
              </w:rPr>
            </w:pPr>
            <w:r w:rsidRPr="00F50C10">
              <w:rPr>
                <w:szCs w:val="24"/>
                <w:lang w:bidi="tr-TR"/>
              </w:rPr>
              <w:t>Diğer tüm prosesler/kaynaklar (</w:t>
            </w:r>
            <w:r w:rsidRPr="00F50C10">
              <w:rPr>
                <w:szCs w:val="24"/>
                <w:vertAlign w:val="superscript"/>
                <w:lang w:bidi="tr-TR"/>
              </w:rPr>
              <w:t>3</w:t>
            </w:r>
            <w:r w:rsidRPr="00F50C10">
              <w:rPr>
                <w:szCs w:val="24"/>
                <w:lang w:bidi="tr-TR"/>
              </w:rPr>
              <w:t>)</w:t>
            </w:r>
          </w:p>
        </w:tc>
        <w:tc>
          <w:tcPr>
            <w:tcW w:w="854" w:type="pct"/>
            <w:vMerge/>
            <w:vAlign w:val="center"/>
          </w:tcPr>
          <w:p w14:paraId="42F602AD" w14:textId="77777777" w:rsidR="00B2620A" w:rsidRPr="00F50C10" w:rsidRDefault="00B2620A" w:rsidP="000B206D">
            <w:pPr>
              <w:spacing w:line="276" w:lineRule="auto"/>
              <w:ind w:left="108" w:right="108"/>
              <w:rPr>
                <w:rFonts w:cs="Times New Roman"/>
                <w:szCs w:val="24"/>
              </w:rPr>
            </w:pPr>
          </w:p>
        </w:tc>
        <w:tc>
          <w:tcPr>
            <w:tcW w:w="1022" w:type="pct"/>
            <w:vMerge/>
            <w:vAlign w:val="center"/>
          </w:tcPr>
          <w:p w14:paraId="72D17CCA" w14:textId="77777777" w:rsidR="00B2620A" w:rsidRPr="00F50C10" w:rsidRDefault="00B2620A" w:rsidP="000B206D">
            <w:pPr>
              <w:spacing w:line="276" w:lineRule="auto"/>
              <w:ind w:left="108" w:right="108"/>
              <w:rPr>
                <w:rFonts w:cs="Times New Roman"/>
                <w:szCs w:val="24"/>
              </w:rPr>
            </w:pPr>
          </w:p>
        </w:tc>
        <w:tc>
          <w:tcPr>
            <w:tcW w:w="624" w:type="pct"/>
            <w:vAlign w:val="center"/>
          </w:tcPr>
          <w:p w14:paraId="69AD3855" w14:textId="77777777" w:rsidR="00B2620A" w:rsidRPr="00F50C10" w:rsidRDefault="00B2620A" w:rsidP="000B206D">
            <w:pPr>
              <w:pStyle w:val="TableParagraph"/>
              <w:spacing w:line="276" w:lineRule="auto"/>
              <w:ind w:left="108" w:right="108"/>
              <w:jc w:val="both"/>
              <w:rPr>
                <w:szCs w:val="24"/>
              </w:rPr>
            </w:pPr>
            <w:r w:rsidRPr="00F50C10">
              <w:rPr>
                <w:szCs w:val="24"/>
              </w:rPr>
              <w:t>MET 10</w:t>
            </w:r>
          </w:p>
        </w:tc>
      </w:tr>
      <w:tr w:rsidR="00B2620A" w:rsidRPr="00F50C10" w14:paraId="78DEE5CD" w14:textId="77777777" w:rsidTr="00B2620A">
        <w:trPr>
          <w:trHeight w:val="230"/>
          <w:jc w:val="center"/>
        </w:trPr>
        <w:tc>
          <w:tcPr>
            <w:tcW w:w="1070" w:type="pct"/>
            <w:vMerge w:val="restart"/>
            <w:vAlign w:val="center"/>
          </w:tcPr>
          <w:p w14:paraId="6663B43C" w14:textId="77777777" w:rsidR="00B2620A" w:rsidRPr="00F50C10" w:rsidRDefault="00B2620A" w:rsidP="000B206D">
            <w:pPr>
              <w:pStyle w:val="TableParagraph"/>
              <w:spacing w:line="276" w:lineRule="auto"/>
              <w:ind w:left="108" w:right="108"/>
              <w:jc w:val="both"/>
              <w:rPr>
                <w:szCs w:val="24"/>
              </w:rPr>
            </w:pPr>
            <w:r w:rsidRPr="00F50C10">
              <w:rPr>
                <w:szCs w:val="24"/>
                <w:lang w:bidi="tr-TR"/>
              </w:rPr>
              <w:t>Cl</w:t>
            </w:r>
            <w:r w:rsidRPr="00F50C10">
              <w:rPr>
                <w:szCs w:val="24"/>
                <w:vertAlign w:val="subscript"/>
                <w:lang w:bidi="tr-TR"/>
              </w:rPr>
              <w:t>2</w:t>
            </w:r>
          </w:p>
        </w:tc>
        <w:tc>
          <w:tcPr>
            <w:tcW w:w="1429" w:type="pct"/>
            <w:vAlign w:val="center"/>
          </w:tcPr>
          <w:p w14:paraId="1A0642FB" w14:textId="77777777" w:rsidR="00B2620A" w:rsidRPr="00F50C10" w:rsidRDefault="00B2620A" w:rsidP="000B206D">
            <w:pPr>
              <w:pStyle w:val="TableParagraph"/>
              <w:spacing w:line="276" w:lineRule="auto"/>
              <w:ind w:left="108" w:right="108"/>
              <w:jc w:val="both"/>
              <w:rPr>
                <w:szCs w:val="24"/>
              </w:rPr>
            </w:pPr>
            <w:r w:rsidRPr="00F50C10">
              <w:rPr>
                <w:szCs w:val="24"/>
                <w:lang w:bidi="tr-TR"/>
              </w:rPr>
              <w:t>TDI/MDI (</w:t>
            </w:r>
            <w:r w:rsidRPr="00F50C10">
              <w:rPr>
                <w:szCs w:val="24"/>
                <w:vertAlign w:val="superscript"/>
                <w:lang w:bidi="tr-TR"/>
              </w:rPr>
              <w:t>1</w:t>
            </w:r>
            <w:r w:rsidRPr="00F50C10">
              <w:rPr>
                <w:szCs w:val="24"/>
                <w:lang w:bidi="tr-TR"/>
              </w:rPr>
              <w:t>)</w:t>
            </w:r>
          </w:p>
        </w:tc>
        <w:tc>
          <w:tcPr>
            <w:tcW w:w="854" w:type="pct"/>
            <w:vMerge w:val="restart"/>
            <w:vAlign w:val="center"/>
          </w:tcPr>
          <w:p w14:paraId="7D446136" w14:textId="77777777" w:rsidR="00B2620A" w:rsidRPr="00F50C10" w:rsidRDefault="00B2620A" w:rsidP="000B206D">
            <w:pPr>
              <w:pStyle w:val="TableParagraph"/>
              <w:spacing w:line="276" w:lineRule="auto"/>
              <w:ind w:left="108" w:right="108"/>
              <w:jc w:val="both"/>
              <w:rPr>
                <w:szCs w:val="24"/>
              </w:rPr>
            </w:pPr>
            <w:r w:rsidRPr="00F50C10">
              <w:rPr>
                <w:szCs w:val="24"/>
                <w:lang w:bidi="tr-TR"/>
              </w:rPr>
              <w:t>EN standardı yok</w:t>
            </w:r>
          </w:p>
        </w:tc>
        <w:tc>
          <w:tcPr>
            <w:tcW w:w="1022" w:type="pct"/>
            <w:vMerge w:val="restart"/>
            <w:vAlign w:val="center"/>
          </w:tcPr>
          <w:p w14:paraId="43524024" w14:textId="77777777" w:rsidR="00B2620A" w:rsidRPr="00F50C10" w:rsidRDefault="00B2620A" w:rsidP="000B206D">
            <w:pPr>
              <w:pStyle w:val="TableParagraph"/>
              <w:spacing w:line="276" w:lineRule="auto"/>
              <w:ind w:left="747" w:right="108" w:hanging="639"/>
              <w:jc w:val="both"/>
              <w:rPr>
                <w:szCs w:val="24"/>
              </w:rPr>
            </w:pPr>
            <w:r w:rsidRPr="00F50C10">
              <w:rPr>
                <w:szCs w:val="24"/>
                <w:lang w:bidi="tr-TR"/>
              </w:rPr>
              <w:t>Ayda bir (</w:t>
            </w:r>
            <w:r w:rsidRPr="00F50C10">
              <w:rPr>
                <w:b/>
                <w:szCs w:val="24"/>
                <w:vertAlign w:val="superscript"/>
                <w:lang w:bidi="tr-TR"/>
              </w:rPr>
              <w:t>2</w:t>
            </w:r>
            <w:r w:rsidRPr="00F50C10">
              <w:rPr>
                <w:szCs w:val="24"/>
                <w:lang w:bidi="tr-TR"/>
              </w:rPr>
              <w:t>)</w:t>
            </w:r>
          </w:p>
        </w:tc>
        <w:tc>
          <w:tcPr>
            <w:tcW w:w="624" w:type="pct"/>
            <w:vAlign w:val="center"/>
          </w:tcPr>
          <w:p w14:paraId="457371BB" w14:textId="77777777" w:rsidR="00B2620A" w:rsidRPr="00F50C10" w:rsidRDefault="00B2620A" w:rsidP="000B206D">
            <w:pPr>
              <w:pStyle w:val="TableParagraph"/>
              <w:spacing w:line="276" w:lineRule="auto"/>
              <w:ind w:left="108" w:right="108"/>
              <w:jc w:val="both"/>
              <w:rPr>
                <w:szCs w:val="24"/>
              </w:rPr>
            </w:pPr>
            <w:r w:rsidRPr="00F50C10">
              <w:rPr>
                <w:szCs w:val="24"/>
              </w:rPr>
              <w:t>MET 66</w:t>
            </w:r>
          </w:p>
        </w:tc>
      </w:tr>
      <w:tr w:rsidR="00B2620A" w:rsidRPr="00F50C10" w14:paraId="34EE1096" w14:textId="77777777" w:rsidTr="00B2620A">
        <w:trPr>
          <w:trHeight w:val="450"/>
          <w:jc w:val="center"/>
        </w:trPr>
        <w:tc>
          <w:tcPr>
            <w:tcW w:w="1070" w:type="pct"/>
            <w:vMerge/>
            <w:vAlign w:val="center"/>
          </w:tcPr>
          <w:p w14:paraId="1A22E5A2" w14:textId="77777777" w:rsidR="00B2620A" w:rsidRPr="00F50C10" w:rsidRDefault="00B2620A" w:rsidP="000B206D">
            <w:pPr>
              <w:spacing w:line="276" w:lineRule="auto"/>
              <w:ind w:left="108" w:right="108"/>
              <w:rPr>
                <w:rFonts w:cs="Times New Roman"/>
                <w:szCs w:val="24"/>
              </w:rPr>
            </w:pPr>
          </w:p>
        </w:tc>
        <w:tc>
          <w:tcPr>
            <w:tcW w:w="1429" w:type="pct"/>
            <w:vAlign w:val="center"/>
          </w:tcPr>
          <w:p w14:paraId="47D02A94" w14:textId="77777777" w:rsidR="00B2620A" w:rsidRPr="00F50C10" w:rsidRDefault="00B2620A" w:rsidP="000B206D">
            <w:pPr>
              <w:pStyle w:val="TableParagraph"/>
              <w:spacing w:line="276" w:lineRule="auto"/>
              <w:ind w:left="108" w:right="108"/>
              <w:jc w:val="both"/>
              <w:rPr>
                <w:szCs w:val="24"/>
              </w:rPr>
            </w:pPr>
            <w:r w:rsidRPr="00F50C10">
              <w:rPr>
                <w:szCs w:val="24"/>
                <w:lang w:bidi="tr-TR"/>
              </w:rPr>
              <w:t>EDC/VCM</w:t>
            </w:r>
          </w:p>
        </w:tc>
        <w:tc>
          <w:tcPr>
            <w:tcW w:w="854" w:type="pct"/>
            <w:vMerge/>
            <w:vAlign w:val="center"/>
          </w:tcPr>
          <w:p w14:paraId="17FE487C" w14:textId="77777777" w:rsidR="00B2620A" w:rsidRPr="00F50C10" w:rsidRDefault="00B2620A" w:rsidP="000B206D">
            <w:pPr>
              <w:spacing w:line="276" w:lineRule="auto"/>
              <w:ind w:left="108" w:right="108"/>
              <w:rPr>
                <w:rFonts w:cs="Times New Roman"/>
                <w:szCs w:val="24"/>
              </w:rPr>
            </w:pPr>
          </w:p>
        </w:tc>
        <w:tc>
          <w:tcPr>
            <w:tcW w:w="1022" w:type="pct"/>
            <w:vMerge/>
            <w:vAlign w:val="center"/>
          </w:tcPr>
          <w:p w14:paraId="112F72EC" w14:textId="77777777" w:rsidR="00B2620A" w:rsidRPr="00F50C10" w:rsidRDefault="00B2620A" w:rsidP="000B206D">
            <w:pPr>
              <w:spacing w:line="276" w:lineRule="auto"/>
              <w:ind w:left="108" w:right="108"/>
              <w:rPr>
                <w:rFonts w:cs="Times New Roman"/>
                <w:szCs w:val="24"/>
              </w:rPr>
            </w:pPr>
          </w:p>
        </w:tc>
        <w:tc>
          <w:tcPr>
            <w:tcW w:w="624" w:type="pct"/>
            <w:vAlign w:val="center"/>
          </w:tcPr>
          <w:p w14:paraId="64589236" w14:textId="77777777" w:rsidR="00B2620A" w:rsidRPr="00F50C10" w:rsidRDefault="00B2620A" w:rsidP="000B206D">
            <w:pPr>
              <w:pStyle w:val="TableParagraph"/>
              <w:spacing w:line="276" w:lineRule="auto"/>
              <w:ind w:left="108" w:right="108"/>
              <w:jc w:val="both"/>
              <w:rPr>
                <w:szCs w:val="24"/>
              </w:rPr>
            </w:pPr>
            <w:r w:rsidRPr="00F50C10">
              <w:rPr>
                <w:szCs w:val="24"/>
              </w:rPr>
              <w:t>MET 76</w:t>
            </w:r>
          </w:p>
        </w:tc>
      </w:tr>
      <w:tr w:rsidR="00B2620A" w:rsidRPr="00F50C10" w14:paraId="04912603" w14:textId="77777777" w:rsidTr="00B2620A">
        <w:trPr>
          <w:trHeight w:val="460"/>
          <w:jc w:val="center"/>
        </w:trPr>
        <w:tc>
          <w:tcPr>
            <w:tcW w:w="1070" w:type="pct"/>
            <w:vMerge w:val="restart"/>
            <w:vAlign w:val="center"/>
          </w:tcPr>
          <w:p w14:paraId="2BFF24B5" w14:textId="77777777" w:rsidR="00B2620A" w:rsidRPr="00F50C10" w:rsidRDefault="00B2620A" w:rsidP="000B206D">
            <w:pPr>
              <w:pStyle w:val="TableParagraph"/>
              <w:spacing w:line="276" w:lineRule="auto"/>
              <w:ind w:left="108" w:right="108"/>
              <w:jc w:val="both"/>
              <w:rPr>
                <w:szCs w:val="24"/>
              </w:rPr>
            </w:pPr>
            <w:r w:rsidRPr="00F50C10">
              <w:rPr>
                <w:szCs w:val="24"/>
                <w:lang w:bidi="tr-TR"/>
              </w:rPr>
              <w:t>CO</w:t>
            </w:r>
          </w:p>
        </w:tc>
        <w:tc>
          <w:tcPr>
            <w:tcW w:w="1429" w:type="pct"/>
            <w:vAlign w:val="center"/>
          </w:tcPr>
          <w:p w14:paraId="763001E7" w14:textId="77777777" w:rsidR="00B2620A" w:rsidRPr="00F50C10" w:rsidRDefault="00B2620A" w:rsidP="000B206D">
            <w:pPr>
              <w:pStyle w:val="TableParagraph"/>
              <w:spacing w:before="109" w:line="276" w:lineRule="auto"/>
              <w:ind w:left="108" w:right="108"/>
              <w:jc w:val="both"/>
              <w:rPr>
                <w:szCs w:val="24"/>
              </w:rPr>
            </w:pPr>
            <w:r w:rsidRPr="00F50C10">
              <w:rPr>
                <w:szCs w:val="24"/>
                <w:lang w:bidi="tr-TR"/>
              </w:rPr>
              <w:t>Termal oksitleyici</w:t>
            </w:r>
          </w:p>
        </w:tc>
        <w:tc>
          <w:tcPr>
            <w:tcW w:w="854" w:type="pct"/>
            <w:vAlign w:val="center"/>
          </w:tcPr>
          <w:p w14:paraId="2AC5E611" w14:textId="77777777" w:rsidR="00B2620A" w:rsidRPr="00F50C10" w:rsidRDefault="00B2620A" w:rsidP="000B206D">
            <w:pPr>
              <w:pStyle w:val="TableParagraph"/>
              <w:spacing w:line="276" w:lineRule="auto"/>
              <w:ind w:left="108" w:right="108"/>
              <w:jc w:val="both"/>
              <w:rPr>
                <w:szCs w:val="24"/>
              </w:rPr>
            </w:pPr>
            <w:r w:rsidRPr="00F50C10">
              <w:rPr>
                <w:szCs w:val="24"/>
                <w:lang w:bidi="tr-TR"/>
              </w:rPr>
              <w:t>EN 15058</w:t>
            </w:r>
          </w:p>
        </w:tc>
        <w:tc>
          <w:tcPr>
            <w:tcW w:w="1022" w:type="pct"/>
            <w:vAlign w:val="center"/>
          </w:tcPr>
          <w:p w14:paraId="0517EA6E" w14:textId="77777777" w:rsidR="00B2620A" w:rsidRPr="00F50C10" w:rsidRDefault="00B2620A" w:rsidP="000B206D">
            <w:pPr>
              <w:pStyle w:val="TableParagraph"/>
              <w:spacing w:line="276" w:lineRule="auto"/>
              <w:ind w:left="108" w:right="108"/>
              <w:jc w:val="both"/>
              <w:rPr>
                <w:szCs w:val="24"/>
              </w:rPr>
            </w:pPr>
            <w:r w:rsidRPr="00F50C10">
              <w:rPr>
                <w:szCs w:val="24"/>
                <w:lang w:bidi="tr-TR"/>
              </w:rPr>
              <w:t>Ayda bir (</w:t>
            </w:r>
            <w:r w:rsidRPr="00F50C10">
              <w:rPr>
                <w:b/>
                <w:szCs w:val="24"/>
                <w:vertAlign w:val="superscript"/>
                <w:lang w:bidi="tr-TR"/>
              </w:rPr>
              <w:t>2</w:t>
            </w:r>
            <w:r w:rsidRPr="00F50C10">
              <w:rPr>
                <w:szCs w:val="24"/>
                <w:lang w:bidi="tr-TR"/>
              </w:rPr>
              <w:t>)</w:t>
            </w:r>
          </w:p>
        </w:tc>
        <w:tc>
          <w:tcPr>
            <w:tcW w:w="624" w:type="pct"/>
            <w:vAlign w:val="center"/>
          </w:tcPr>
          <w:p w14:paraId="01891FAF" w14:textId="77777777" w:rsidR="00B2620A" w:rsidRPr="00F50C10" w:rsidRDefault="00B2620A" w:rsidP="000B206D">
            <w:pPr>
              <w:pStyle w:val="TableParagraph"/>
              <w:spacing w:line="276" w:lineRule="auto"/>
              <w:ind w:left="108" w:right="108"/>
              <w:jc w:val="both"/>
              <w:rPr>
                <w:szCs w:val="24"/>
              </w:rPr>
            </w:pPr>
            <w:r w:rsidRPr="00F50C10">
              <w:rPr>
                <w:szCs w:val="24"/>
              </w:rPr>
              <w:t>MET 13</w:t>
            </w:r>
          </w:p>
        </w:tc>
      </w:tr>
      <w:tr w:rsidR="00B2620A" w:rsidRPr="00F50C10" w14:paraId="5FD59B09" w14:textId="77777777" w:rsidTr="00B2620A">
        <w:trPr>
          <w:trHeight w:val="230"/>
          <w:jc w:val="center"/>
        </w:trPr>
        <w:tc>
          <w:tcPr>
            <w:tcW w:w="1070" w:type="pct"/>
            <w:vMerge/>
            <w:vAlign w:val="center"/>
          </w:tcPr>
          <w:p w14:paraId="4F6C05BA" w14:textId="77777777" w:rsidR="00B2620A" w:rsidRPr="00F50C10" w:rsidRDefault="00B2620A" w:rsidP="000B206D">
            <w:pPr>
              <w:spacing w:line="276" w:lineRule="auto"/>
              <w:ind w:left="108" w:right="108"/>
              <w:rPr>
                <w:rFonts w:cs="Times New Roman"/>
                <w:szCs w:val="24"/>
              </w:rPr>
            </w:pPr>
          </w:p>
        </w:tc>
        <w:tc>
          <w:tcPr>
            <w:tcW w:w="1429" w:type="pct"/>
            <w:vAlign w:val="center"/>
          </w:tcPr>
          <w:p w14:paraId="7E247E3A" w14:textId="44AF47F3" w:rsidR="00B2620A" w:rsidRPr="00F50C10" w:rsidRDefault="00B2620A" w:rsidP="000B206D">
            <w:pPr>
              <w:pStyle w:val="TableParagraph"/>
              <w:spacing w:line="276" w:lineRule="auto"/>
              <w:ind w:left="108" w:right="108"/>
              <w:jc w:val="both"/>
              <w:rPr>
                <w:szCs w:val="24"/>
              </w:rPr>
            </w:pPr>
            <w:r w:rsidRPr="00F50C10">
              <w:rPr>
                <w:szCs w:val="24"/>
                <w:lang w:bidi="tr-TR"/>
              </w:rPr>
              <w:t>Düşük olefinler (kok giderme</w:t>
            </w:r>
            <w:r w:rsidR="0051669D" w:rsidRPr="00F50C10">
              <w:rPr>
                <w:szCs w:val="24"/>
                <w:lang w:bidi="tr-TR"/>
              </w:rPr>
              <w:t>- karbonsuzlaştırma</w:t>
            </w:r>
            <w:r w:rsidRPr="00F50C10">
              <w:rPr>
                <w:szCs w:val="24"/>
                <w:lang w:bidi="tr-TR"/>
              </w:rPr>
              <w:t>)</w:t>
            </w:r>
          </w:p>
        </w:tc>
        <w:tc>
          <w:tcPr>
            <w:tcW w:w="854" w:type="pct"/>
            <w:vMerge w:val="restart"/>
            <w:vAlign w:val="center"/>
          </w:tcPr>
          <w:p w14:paraId="590B66DD" w14:textId="77777777" w:rsidR="00B2620A" w:rsidRPr="00F50C10" w:rsidRDefault="00B2620A" w:rsidP="000B206D">
            <w:pPr>
              <w:pStyle w:val="TableParagraph"/>
              <w:spacing w:line="276" w:lineRule="auto"/>
              <w:ind w:left="108" w:right="108"/>
              <w:jc w:val="both"/>
              <w:rPr>
                <w:szCs w:val="24"/>
              </w:rPr>
            </w:pPr>
            <w:r w:rsidRPr="00F50C10">
              <w:rPr>
                <w:szCs w:val="24"/>
                <w:lang w:bidi="tr-TR"/>
              </w:rPr>
              <w:t>EN standardı yok (</w:t>
            </w:r>
            <w:r w:rsidRPr="00F50C10">
              <w:rPr>
                <w:szCs w:val="24"/>
                <w:vertAlign w:val="superscript"/>
                <w:lang w:bidi="tr-TR"/>
              </w:rPr>
              <w:t>4</w:t>
            </w:r>
            <w:r w:rsidRPr="00F50C10">
              <w:rPr>
                <w:szCs w:val="24"/>
                <w:lang w:bidi="tr-TR"/>
              </w:rPr>
              <w:t>)</w:t>
            </w:r>
          </w:p>
        </w:tc>
        <w:tc>
          <w:tcPr>
            <w:tcW w:w="1022" w:type="pct"/>
            <w:vMerge w:val="restart"/>
            <w:vAlign w:val="center"/>
          </w:tcPr>
          <w:p w14:paraId="2576066D" w14:textId="5E4B14E3" w:rsidR="00B2620A" w:rsidRPr="00F50C10" w:rsidRDefault="00B2620A" w:rsidP="000B206D">
            <w:pPr>
              <w:pStyle w:val="TableParagraph"/>
              <w:spacing w:line="276" w:lineRule="auto"/>
              <w:ind w:left="108" w:right="108"/>
              <w:jc w:val="both"/>
              <w:rPr>
                <w:szCs w:val="24"/>
              </w:rPr>
            </w:pPr>
            <w:r w:rsidRPr="00F50C10">
              <w:rPr>
                <w:szCs w:val="24"/>
                <w:lang w:bidi="tr-TR"/>
              </w:rPr>
              <w:t xml:space="preserve">Yılda bir veya </w:t>
            </w:r>
            <w:r w:rsidR="0051669D" w:rsidRPr="00F50C10">
              <w:rPr>
                <w:szCs w:val="24"/>
                <w:lang w:bidi="tr-TR"/>
              </w:rPr>
              <w:t>kok giderme</w:t>
            </w:r>
            <w:r w:rsidRPr="00F50C10">
              <w:rPr>
                <w:szCs w:val="24"/>
                <w:lang w:bidi="tr-TR"/>
              </w:rPr>
              <w:t xml:space="preserve"> sırasında bir kez, eğer</w:t>
            </w:r>
          </w:p>
          <w:p w14:paraId="3BE14AC8" w14:textId="541DAB3A" w:rsidR="00B2620A" w:rsidRPr="00F50C10" w:rsidRDefault="0051669D" w:rsidP="000B206D">
            <w:pPr>
              <w:pStyle w:val="TableParagraph"/>
              <w:spacing w:line="276" w:lineRule="auto"/>
              <w:ind w:left="108" w:right="108"/>
              <w:jc w:val="both"/>
              <w:rPr>
                <w:szCs w:val="24"/>
              </w:rPr>
            </w:pPr>
            <w:r w:rsidRPr="00F50C10">
              <w:rPr>
                <w:szCs w:val="24"/>
                <w:lang w:bidi="tr-TR"/>
              </w:rPr>
              <w:t xml:space="preserve">kok giderme </w:t>
            </w:r>
            <w:r w:rsidR="00B2620A" w:rsidRPr="00F50C10">
              <w:rPr>
                <w:szCs w:val="24"/>
                <w:lang w:bidi="tr-TR"/>
              </w:rPr>
              <w:t>daha az sıklıkta ise</w:t>
            </w:r>
          </w:p>
        </w:tc>
        <w:tc>
          <w:tcPr>
            <w:tcW w:w="624" w:type="pct"/>
            <w:vAlign w:val="center"/>
          </w:tcPr>
          <w:p w14:paraId="4CFEA390" w14:textId="77777777" w:rsidR="00B2620A" w:rsidRPr="00F50C10" w:rsidRDefault="002A1746" w:rsidP="000B206D">
            <w:pPr>
              <w:pStyle w:val="TableParagraph"/>
              <w:spacing w:line="276" w:lineRule="auto"/>
              <w:ind w:left="108" w:right="108"/>
              <w:jc w:val="both"/>
              <w:rPr>
                <w:szCs w:val="24"/>
              </w:rPr>
            </w:pPr>
            <w:hyperlink w:anchor="_bookmark773" w:history="1">
              <w:r w:rsidR="00B2620A" w:rsidRPr="00F50C10">
                <w:rPr>
                  <w:szCs w:val="24"/>
                  <w:lang w:bidi="tr-TR"/>
                </w:rPr>
                <w:t>MET</w:t>
              </w:r>
            </w:hyperlink>
            <w:r w:rsidR="00B2620A" w:rsidRPr="00F50C10">
              <w:rPr>
                <w:szCs w:val="24"/>
                <w:lang w:bidi="tr-TR"/>
              </w:rPr>
              <w:t xml:space="preserve"> 20</w:t>
            </w:r>
          </w:p>
        </w:tc>
      </w:tr>
      <w:tr w:rsidR="00B2620A" w:rsidRPr="00F50C10" w14:paraId="41581AFD" w14:textId="77777777" w:rsidTr="00B2620A">
        <w:trPr>
          <w:trHeight w:val="909"/>
          <w:jc w:val="center"/>
        </w:trPr>
        <w:tc>
          <w:tcPr>
            <w:tcW w:w="1070" w:type="pct"/>
            <w:vMerge/>
            <w:vAlign w:val="center"/>
          </w:tcPr>
          <w:p w14:paraId="20A98C4D" w14:textId="77777777" w:rsidR="00B2620A" w:rsidRPr="00F50C10" w:rsidRDefault="00B2620A" w:rsidP="000B206D">
            <w:pPr>
              <w:spacing w:line="276" w:lineRule="auto"/>
              <w:ind w:left="108" w:right="108"/>
              <w:rPr>
                <w:rFonts w:cs="Times New Roman"/>
                <w:szCs w:val="24"/>
              </w:rPr>
            </w:pPr>
          </w:p>
        </w:tc>
        <w:tc>
          <w:tcPr>
            <w:tcW w:w="1429" w:type="pct"/>
            <w:vAlign w:val="center"/>
          </w:tcPr>
          <w:p w14:paraId="23782C42" w14:textId="77777777" w:rsidR="00B2620A" w:rsidRPr="00F50C10" w:rsidRDefault="00B2620A" w:rsidP="000B206D">
            <w:pPr>
              <w:pStyle w:val="TableParagraph"/>
              <w:spacing w:line="276" w:lineRule="auto"/>
              <w:ind w:left="108" w:right="108"/>
              <w:jc w:val="both"/>
              <w:rPr>
                <w:b/>
                <w:szCs w:val="24"/>
              </w:rPr>
            </w:pPr>
          </w:p>
          <w:p w14:paraId="5446A1FD" w14:textId="070AAD8B" w:rsidR="00B2620A" w:rsidRPr="00F50C10" w:rsidRDefault="00B2620A" w:rsidP="000B206D">
            <w:pPr>
              <w:pStyle w:val="TableParagraph"/>
              <w:spacing w:line="276" w:lineRule="auto"/>
              <w:ind w:left="108" w:right="108"/>
              <w:jc w:val="both"/>
              <w:rPr>
                <w:szCs w:val="24"/>
              </w:rPr>
            </w:pPr>
            <w:r w:rsidRPr="00F50C10">
              <w:rPr>
                <w:szCs w:val="24"/>
                <w:lang w:bidi="tr-TR"/>
              </w:rPr>
              <w:t>EDC/VCM (kok giderme</w:t>
            </w:r>
            <w:r w:rsidR="0051669D" w:rsidRPr="00F50C10">
              <w:rPr>
                <w:szCs w:val="24"/>
                <w:lang w:bidi="tr-TR"/>
              </w:rPr>
              <w:t>- karbonsuzlaştırma</w:t>
            </w:r>
            <w:r w:rsidRPr="00F50C10">
              <w:rPr>
                <w:szCs w:val="24"/>
                <w:lang w:bidi="tr-TR"/>
              </w:rPr>
              <w:t>)</w:t>
            </w:r>
          </w:p>
        </w:tc>
        <w:tc>
          <w:tcPr>
            <w:tcW w:w="854" w:type="pct"/>
            <w:vMerge/>
            <w:vAlign w:val="center"/>
          </w:tcPr>
          <w:p w14:paraId="34C141B9" w14:textId="77777777" w:rsidR="00B2620A" w:rsidRPr="00F50C10" w:rsidRDefault="00B2620A" w:rsidP="000B206D">
            <w:pPr>
              <w:spacing w:line="276" w:lineRule="auto"/>
              <w:ind w:left="108" w:right="108"/>
              <w:rPr>
                <w:rFonts w:cs="Times New Roman"/>
                <w:szCs w:val="24"/>
              </w:rPr>
            </w:pPr>
          </w:p>
        </w:tc>
        <w:tc>
          <w:tcPr>
            <w:tcW w:w="1022" w:type="pct"/>
            <w:vMerge/>
            <w:vAlign w:val="center"/>
          </w:tcPr>
          <w:p w14:paraId="750335BD" w14:textId="77777777" w:rsidR="00B2620A" w:rsidRPr="00F50C10" w:rsidRDefault="00B2620A" w:rsidP="000B206D">
            <w:pPr>
              <w:spacing w:line="276" w:lineRule="auto"/>
              <w:ind w:left="108" w:right="108"/>
              <w:rPr>
                <w:rFonts w:cs="Times New Roman"/>
                <w:szCs w:val="24"/>
              </w:rPr>
            </w:pPr>
          </w:p>
        </w:tc>
        <w:tc>
          <w:tcPr>
            <w:tcW w:w="624" w:type="pct"/>
            <w:vAlign w:val="center"/>
          </w:tcPr>
          <w:p w14:paraId="17318435" w14:textId="77777777" w:rsidR="00B2620A" w:rsidRPr="00F50C10" w:rsidRDefault="00B2620A" w:rsidP="000B206D">
            <w:pPr>
              <w:pStyle w:val="TableParagraph"/>
              <w:spacing w:line="276" w:lineRule="auto"/>
              <w:ind w:left="108" w:right="108"/>
              <w:jc w:val="both"/>
              <w:rPr>
                <w:b/>
                <w:szCs w:val="24"/>
              </w:rPr>
            </w:pPr>
          </w:p>
          <w:p w14:paraId="61A99222" w14:textId="77777777" w:rsidR="00B2620A" w:rsidRPr="00F50C10" w:rsidRDefault="00B2620A" w:rsidP="000B206D">
            <w:pPr>
              <w:pStyle w:val="TableParagraph"/>
              <w:spacing w:line="276" w:lineRule="auto"/>
              <w:ind w:left="108" w:right="108"/>
              <w:jc w:val="both"/>
              <w:rPr>
                <w:szCs w:val="24"/>
              </w:rPr>
            </w:pPr>
            <w:r w:rsidRPr="00F50C10">
              <w:rPr>
                <w:szCs w:val="24"/>
              </w:rPr>
              <w:t>MET 78</w:t>
            </w:r>
          </w:p>
        </w:tc>
      </w:tr>
      <w:tr w:rsidR="00B2620A" w:rsidRPr="00F50C10" w14:paraId="3617F883" w14:textId="77777777" w:rsidTr="00B2620A">
        <w:trPr>
          <w:trHeight w:val="230"/>
          <w:jc w:val="center"/>
        </w:trPr>
        <w:tc>
          <w:tcPr>
            <w:tcW w:w="1070" w:type="pct"/>
            <w:vMerge w:val="restart"/>
            <w:vAlign w:val="center"/>
          </w:tcPr>
          <w:p w14:paraId="6C102051" w14:textId="77777777" w:rsidR="00B2620A" w:rsidRPr="00F50C10" w:rsidRDefault="00B2620A" w:rsidP="000B206D">
            <w:pPr>
              <w:pStyle w:val="TableParagraph"/>
              <w:spacing w:line="276" w:lineRule="auto"/>
              <w:ind w:left="108" w:right="108"/>
              <w:jc w:val="both"/>
              <w:rPr>
                <w:szCs w:val="24"/>
              </w:rPr>
            </w:pPr>
            <w:r w:rsidRPr="00F50C10">
              <w:rPr>
                <w:szCs w:val="24"/>
                <w:lang w:bidi="tr-TR"/>
              </w:rPr>
              <w:t>Toz</w:t>
            </w:r>
          </w:p>
        </w:tc>
        <w:tc>
          <w:tcPr>
            <w:tcW w:w="1429" w:type="pct"/>
            <w:vAlign w:val="center"/>
          </w:tcPr>
          <w:p w14:paraId="41B4BD69" w14:textId="03111A37" w:rsidR="00B2620A" w:rsidRPr="00F50C10" w:rsidRDefault="00B2620A" w:rsidP="000B206D">
            <w:pPr>
              <w:pStyle w:val="TableParagraph"/>
              <w:spacing w:line="276" w:lineRule="auto"/>
              <w:ind w:left="108" w:right="108"/>
              <w:jc w:val="both"/>
              <w:rPr>
                <w:szCs w:val="24"/>
              </w:rPr>
            </w:pPr>
            <w:r w:rsidRPr="00F50C10">
              <w:rPr>
                <w:szCs w:val="24"/>
                <w:lang w:bidi="tr-TR"/>
              </w:rPr>
              <w:t>Düşük olefinler (kok giderme</w:t>
            </w:r>
            <w:r w:rsidR="0051669D" w:rsidRPr="00F50C10">
              <w:rPr>
                <w:szCs w:val="24"/>
                <w:lang w:bidi="tr-TR"/>
              </w:rPr>
              <w:t>- karbonsuzlaştırma</w:t>
            </w:r>
            <w:r w:rsidRPr="00F50C10">
              <w:rPr>
                <w:szCs w:val="24"/>
                <w:lang w:bidi="tr-TR"/>
              </w:rPr>
              <w:t>)</w:t>
            </w:r>
          </w:p>
        </w:tc>
        <w:tc>
          <w:tcPr>
            <w:tcW w:w="854" w:type="pct"/>
            <w:vMerge w:val="restart"/>
            <w:vAlign w:val="center"/>
          </w:tcPr>
          <w:p w14:paraId="4DD333E5" w14:textId="77777777" w:rsidR="00B2620A" w:rsidRPr="00F50C10" w:rsidRDefault="00B2620A" w:rsidP="000B206D">
            <w:pPr>
              <w:pStyle w:val="TableParagraph"/>
              <w:spacing w:line="276" w:lineRule="auto"/>
              <w:ind w:left="108" w:right="108"/>
              <w:jc w:val="both"/>
              <w:rPr>
                <w:szCs w:val="24"/>
              </w:rPr>
            </w:pPr>
            <w:r w:rsidRPr="00F50C10">
              <w:rPr>
                <w:szCs w:val="24"/>
                <w:lang w:bidi="tr-TR"/>
              </w:rPr>
              <w:t>EN standardı yok (</w:t>
            </w:r>
            <w:r w:rsidRPr="00F50C10">
              <w:rPr>
                <w:szCs w:val="24"/>
                <w:vertAlign w:val="superscript"/>
                <w:lang w:bidi="tr-TR"/>
              </w:rPr>
              <w:t>5</w:t>
            </w:r>
            <w:r w:rsidRPr="00F50C10">
              <w:rPr>
                <w:szCs w:val="24"/>
                <w:lang w:bidi="tr-TR"/>
              </w:rPr>
              <w:t>)</w:t>
            </w:r>
          </w:p>
        </w:tc>
        <w:tc>
          <w:tcPr>
            <w:tcW w:w="1022" w:type="pct"/>
            <w:vMerge w:val="restart"/>
            <w:vAlign w:val="center"/>
          </w:tcPr>
          <w:p w14:paraId="1733378D" w14:textId="77777777" w:rsidR="0051669D" w:rsidRPr="00F50C10" w:rsidRDefault="0051669D" w:rsidP="000B206D">
            <w:pPr>
              <w:pStyle w:val="TableParagraph"/>
              <w:spacing w:line="276" w:lineRule="auto"/>
              <w:ind w:left="108" w:right="108"/>
              <w:jc w:val="both"/>
              <w:rPr>
                <w:szCs w:val="24"/>
              </w:rPr>
            </w:pPr>
            <w:r w:rsidRPr="00F50C10">
              <w:rPr>
                <w:szCs w:val="24"/>
                <w:lang w:bidi="tr-TR"/>
              </w:rPr>
              <w:t>Yılda bir veya kok giderme sırasında bir kez, eğer</w:t>
            </w:r>
          </w:p>
          <w:p w14:paraId="3A7AAE5C" w14:textId="22E6E308" w:rsidR="00B2620A" w:rsidRPr="00F50C10" w:rsidRDefault="0051669D" w:rsidP="000B206D">
            <w:pPr>
              <w:pStyle w:val="TableParagraph"/>
              <w:spacing w:line="276" w:lineRule="auto"/>
              <w:ind w:left="108" w:right="108"/>
              <w:jc w:val="both"/>
              <w:rPr>
                <w:szCs w:val="24"/>
              </w:rPr>
            </w:pPr>
            <w:r w:rsidRPr="00F50C10">
              <w:rPr>
                <w:szCs w:val="24"/>
                <w:lang w:bidi="tr-TR"/>
              </w:rPr>
              <w:t>kok giderme daha az sıklıkta ise</w:t>
            </w:r>
          </w:p>
        </w:tc>
        <w:tc>
          <w:tcPr>
            <w:tcW w:w="624" w:type="pct"/>
            <w:vAlign w:val="center"/>
          </w:tcPr>
          <w:p w14:paraId="0F7FD4EB" w14:textId="77777777" w:rsidR="00B2620A" w:rsidRPr="00F50C10" w:rsidRDefault="00B2620A" w:rsidP="000B206D">
            <w:pPr>
              <w:pStyle w:val="TableParagraph"/>
              <w:spacing w:line="276" w:lineRule="auto"/>
              <w:ind w:left="108" w:right="108"/>
              <w:jc w:val="both"/>
              <w:rPr>
                <w:szCs w:val="24"/>
              </w:rPr>
            </w:pPr>
            <w:r w:rsidRPr="00F50C10">
              <w:rPr>
                <w:szCs w:val="24"/>
              </w:rPr>
              <w:t>MET 20</w:t>
            </w:r>
          </w:p>
        </w:tc>
      </w:tr>
      <w:tr w:rsidR="00B2620A" w:rsidRPr="00F50C10" w14:paraId="4283960F" w14:textId="77777777" w:rsidTr="00B2620A">
        <w:trPr>
          <w:trHeight w:val="911"/>
          <w:jc w:val="center"/>
        </w:trPr>
        <w:tc>
          <w:tcPr>
            <w:tcW w:w="1070" w:type="pct"/>
            <w:vMerge/>
            <w:vAlign w:val="center"/>
          </w:tcPr>
          <w:p w14:paraId="50A59BD2" w14:textId="77777777" w:rsidR="00B2620A" w:rsidRPr="00F50C10" w:rsidRDefault="00B2620A" w:rsidP="000B206D">
            <w:pPr>
              <w:spacing w:line="276" w:lineRule="auto"/>
              <w:ind w:left="108" w:right="108"/>
              <w:rPr>
                <w:rFonts w:cs="Times New Roman"/>
                <w:szCs w:val="24"/>
              </w:rPr>
            </w:pPr>
          </w:p>
        </w:tc>
        <w:tc>
          <w:tcPr>
            <w:tcW w:w="1429" w:type="pct"/>
            <w:vAlign w:val="center"/>
          </w:tcPr>
          <w:p w14:paraId="7C57A625" w14:textId="77777777" w:rsidR="00B2620A" w:rsidRPr="00F50C10" w:rsidRDefault="00B2620A" w:rsidP="000B206D">
            <w:pPr>
              <w:pStyle w:val="TableParagraph"/>
              <w:spacing w:line="276" w:lineRule="auto"/>
              <w:ind w:left="108" w:right="108"/>
              <w:jc w:val="both"/>
              <w:rPr>
                <w:b/>
                <w:szCs w:val="24"/>
              </w:rPr>
            </w:pPr>
          </w:p>
          <w:p w14:paraId="498DD7FF" w14:textId="6C5CEE61" w:rsidR="00B2620A" w:rsidRPr="00F50C10" w:rsidRDefault="00B2620A" w:rsidP="000B206D">
            <w:pPr>
              <w:pStyle w:val="TableParagraph"/>
              <w:spacing w:line="276" w:lineRule="auto"/>
              <w:ind w:left="108" w:right="108"/>
              <w:jc w:val="both"/>
              <w:rPr>
                <w:szCs w:val="24"/>
              </w:rPr>
            </w:pPr>
            <w:r w:rsidRPr="00F50C10">
              <w:rPr>
                <w:szCs w:val="24"/>
                <w:lang w:bidi="tr-TR"/>
              </w:rPr>
              <w:t>EDC/VCM (kok giderme</w:t>
            </w:r>
            <w:r w:rsidR="0051669D" w:rsidRPr="00F50C10">
              <w:rPr>
                <w:szCs w:val="24"/>
                <w:lang w:bidi="tr-TR"/>
              </w:rPr>
              <w:t>-karbonsuzlaştırma</w:t>
            </w:r>
            <w:r w:rsidRPr="00F50C10">
              <w:rPr>
                <w:szCs w:val="24"/>
                <w:lang w:bidi="tr-TR"/>
              </w:rPr>
              <w:t>)</w:t>
            </w:r>
          </w:p>
        </w:tc>
        <w:tc>
          <w:tcPr>
            <w:tcW w:w="854" w:type="pct"/>
            <w:vMerge/>
            <w:vAlign w:val="center"/>
          </w:tcPr>
          <w:p w14:paraId="61A42388" w14:textId="77777777" w:rsidR="00B2620A" w:rsidRPr="00F50C10" w:rsidRDefault="00B2620A" w:rsidP="000B206D">
            <w:pPr>
              <w:spacing w:line="276" w:lineRule="auto"/>
              <w:ind w:left="108" w:right="108"/>
              <w:rPr>
                <w:rFonts w:cs="Times New Roman"/>
                <w:szCs w:val="24"/>
              </w:rPr>
            </w:pPr>
          </w:p>
        </w:tc>
        <w:tc>
          <w:tcPr>
            <w:tcW w:w="1022" w:type="pct"/>
            <w:vMerge/>
            <w:vAlign w:val="center"/>
          </w:tcPr>
          <w:p w14:paraId="70F406B3" w14:textId="77777777" w:rsidR="00B2620A" w:rsidRPr="00F50C10" w:rsidRDefault="00B2620A" w:rsidP="000B206D">
            <w:pPr>
              <w:spacing w:line="276" w:lineRule="auto"/>
              <w:ind w:left="108" w:right="108"/>
              <w:rPr>
                <w:rFonts w:cs="Times New Roman"/>
                <w:szCs w:val="24"/>
              </w:rPr>
            </w:pPr>
          </w:p>
        </w:tc>
        <w:tc>
          <w:tcPr>
            <w:tcW w:w="624" w:type="pct"/>
            <w:vAlign w:val="center"/>
          </w:tcPr>
          <w:p w14:paraId="5CB1E940" w14:textId="77777777" w:rsidR="00B2620A" w:rsidRPr="00F50C10" w:rsidRDefault="00B2620A" w:rsidP="000B206D">
            <w:pPr>
              <w:pStyle w:val="TableParagraph"/>
              <w:spacing w:line="276" w:lineRule="auto"/>
              <w:ind w:left="108" w:right="108"/>
              <w:jc w:val="both"/>
              <w:rPr>
                <w:b/>
                <w:szCs w:val="24"/>
              </w:rPr>
            </w:pPr>
          </w:p>
          <w:p w14:paraId="304E2F91" w14:textId="77777777" w:rsidR="00B2620A" w:rsidRPr="00F50C10" w:rsidRDefault="00B2620A" w:rsidP="000B206D">
            <w:pPr>
              <w:pStyle w:val="TableParagraph"/>
              <w:spacing w:line="276" w:lineRule="auto"/>
              <w:ind w:left="108" w:right="108"/>
              <w:jc w:val="both"/>
              <w:rPr>
                <w:szCs w:val="24"/>
              </w:rPr>
            </w:pPr>
            <w:r w:rsidRPr="00F50C10">
              <w:rPr>
                <w:szCs w:val="24"/>
              </w:rPr>
              <w:t>MET 78</w:t>
            </w:r>
          </w:p>
        </w:tc>
      </w:tr>
      <w:tr w:rsidR="00B2620A" w:rsidRPr="00F50C10" w14:paraId="42C12A30" w14:textId="77777777" w:rsidTr="00B2620A">
        <w:trPr>
          <w:trHeight w:val="458"/>
          <w:jc w:val="center"/>
        </w:trPr>
        <w:tc>
          <w:tcPr>
            <w:tcW w:w="1070" w:type="pct"/>
            <w:vMerge/>
            <w:vAlign w:val="center"/>
          </w:tcPr>
          <w:p w14:paraId="4D2082C2" w14:textId="77777777" w:rsidR="00B2620A" w:rsidRPr="00F50C10" w:rsidRDefault="00B2620A" w:rsidP="000B206D">
            <w:pPr>
              <w:spacing w:line="276" w:lineRule="auto"/>
              <w:ind w:left="108" w:right="108"/>
              <w:rPr>
                <w:rFonts w:cs="Times New Roman"/>
                <w:szCs w:val="24"/>
              </w:rPr>
            </w:pPr>
          </w:p>
        </w:tc>
        <w:tc>
          <w:tcPr>
            <w:tcW w:w="1429" w:type="pct"/>
            <w:vAlign w:val="center"/>
          </w:tcPr>
          <w:p w14:paraId="734526FD" w14:textId="77777777" w:rsidR="00B2620A" w:rsidRPr="00F50C10" w:rsidRDefault="00B2620A" w:rsidP="000B206D">
            <w:pPr>
              <w:pStyle w:val="TableParagraph"/>
              <w:spacing w:line="276" w:lineRule="auto"/>
              <w:ind w:left="108" w:right="108"/>
              <w:jc w:val="both"/>
              <w:rPr>
                <w:szCs w:val="24"/>
              </w:rPr>
            </w:pPr>
            <w:r w:rsidRPr="00F50C10">
              <w:rPr>
                <w:szCs w:val="24"/>
                <w:lang w:bidi="tr-TR"/>
              </w:rPr>
              <w:t>Diğer tüm prosesler/kaynaklar (</w:t>
            </w:r>
            <w:r w:rsidRPr="00F50C10">
              <w:rPr>
                <w:szCs w:val="24"/>
                <w:vertAlign w:val="superscript"/>
                <w:lang w:bidi="tr-TR"/>
              </w:rPr>
              <w:t>3</w:t>
            </w:r>
            <w:r w:rsidRPr="00F50C10">
              <w:rPr>
                <w:szCs w:val="24"/>
                <w:lang w:bidi="tr-TR"/>
              </w:rPr>
              <w:t>)</w:t>
            </w:r>
          </w:p>
        </w:tc>
        <w:tc>
          <w:tcPr>
            <w:tcW w:w="854" w:type="pct"/>
            <w:vAlign w:val="center"/>
          </w:tcPr>
          <w:p w14:paraId="3EF5A1EF" w14:textId="77777777" w:rsidR="00B2620A" w:rsidRPr="00F50C10" w:rsidRDefault="00B2620A" w:rsidP="000B206D">
            <w:pPr>
              <w:pStyle w:val="TableParagraph"/>
              <w:spacing w:line="276" w:lineRule="auto"/>
              <w:ind w:left="108" w:right="108"/>
              <w:jc w:val="both"/>
              <w:rPr>
                <w:szCs w:val="24"/>
              </w:rPr>
            </w:pPr>
            <w:r w:rsidRPr="00F50C10">
              <w:rPr>
                <w:szCs w:val="24"/>
                <w:lang w:bidi="tr-TR"/>
              </w:rPr>
              <w:t>EN 13284 -1</w:t>
            </w:r>
          </w:p>
        </w:tc>
        <w:tc>
          <w:tcPr>
            <w:tcW w:w="1022" w:type="pct"/>
            <w:vAlign w:val="center"/>
          </w:tcPr>
          <w:p w14:paraId="7052288F" w14:textId="77777777" w:rsidR="00B2620A" w:rsidRPr="00F50C10" w:rsidRDefault="00B2620A" w:rsidP="000B206D">
            <w:pPr>
              <w:pStyle w:val="TableParagraph"/>
              <w:spacing w:line="276" w:lineRule="auto"/>
              <w:ind w:left="108" w:right="108"/>
              <w:jc w:val="both"/>
              <w:rPr>
                <w:szCs w:val="24"/>
              </w:rPr>
            </w:pPr>
            <w:r w:rsidRPr="00F50C10">
              <w:rPr>
                <w:szCs w:val="24"/>
                <w:lang w:bidi="tr-TR"/>
              </w:rPr>
              <w:t>Ayda bir (</w:t>
            </w:r>
            <w:r w:rsidRPr="00F50C10">
              <w:rPr>
                <w:b/>
                <w:bCs/>
                <w:szCs w:val="24"/>
                <w:vertAlign w:val="superscript"/>
                <w:lang w:bidi="tr-TR"/>
              </w:rPr>
              <w:t>2</w:t>
            </w:r>
            <w:r w:rsidRPr="00F50C10">
              <w:rPr>
                <w:szCs w:val="24"/>
                <w:lang w:bidi="tr-TR"/>
              </w:rPr>
              <w:t>)</w:t>
            </w:r>
          </w:p>
        </w:tc>
        <w:tc>
          <w:tcPr>
            <w:tcW w:w="624" w:type="pct"/>
            <w:vAlign w:val="center"/>
          </w:tcPr>
          <w:p w14:paraId="1AEAF4E1" w14:textId="77777777" w:rsidR="00B2620A" w:rsidRPr="00F50C10" w:rsidRDefault="00B2620A" w:rsidP="000B206D">
            <w:pPr>
              <w:pStyle w:val="TableParagraph"/>
              <w:spacing w:line="276" w:lineRule="auto"/>
              <w:ind w:left="108" w:right="108"/>
              <w:jc w:val="both"/>
              <w:rPr>
                <w:szCs w:val="24"/>
              </w:rPr>
            </w:pPr>
            <w:r w:rsidRPr="00F50C10">
              <w:rPr>
                <w:szCs w:val="24"/>
              </w:rPr>
              <w:t>MET 11</w:t>
            </w:r>
          </w:p>
        </w:tc>
      </w:tr>
      <w:tr w:rsidR="00B2620A" w:rsidRPr="00F50C10" w14:paraId="6003923C" w14:textId="77777777" w:rsidTr="00B2620A">
        <w:trPr>
          <w:trHeight w:val="690"/>
          <w:jc w:val="center"/>
        </w:trPr>
        <w:tc>
          <w:tcPr>
            <w:tcW w:w="1070" w:type="pct"/>
            <w:vAlign w:val="center"/>
          </w:tcPr>
          <w:p w14:paraId="077C5419" w14:textId="77777777" w:rsidR="00B2620A" w:rsidRPr="00F50C10" w:rsidRDefault="00B2620A" w:rsidP="000B206D">
            <w:pPr>
              <w:pStyle w:val="TableParagraph"/>
              <w:spacing w:line="276" w:lineRule="auto"/>
              <w:ind w:left="108" w:right="108"/>
              <w:jc w:val="both"/>
              <w:rPr>
                <w:szCs w:val="24"/>
              </w:rPr>
            </w:pPr>
            <w:r w:rsidRPr="00F50C10">
              <w:rPr>
                <w:szCs w:val="24"/>
                <w:lang w:bidi="tr-TR"/>
              </w:rPr>
              <w:t>EDC</w:t>
            </w:r>
          </w:p>
        </w:tc>
        <w:tc>
          <w:tcPr>
            <w:tcW w:w="1429" w:type="pct"/>
            <w:vAlign w:val="center"/>
          </w:tcPr>
          <w:p w14:paraId="47B302B2" w14:textId="77777777" w:rsidR="00B2620A" w:rsidRPr="00F50C10" w:rsidRDefault="00B2620A" w:rsidP="000B206D">
            <w:pPr>
              <w:pStyle w:val="TableParagraph"/>
              <w:spacing w:line="276" w:lineRule="auto"/>
              <w:ind w:left="108" w:right="108"/>
              <w:jc w:val="both"/>
              <w:rPr>
                <w:szCs w:val="24"/>
              </w:rPr>
            </w:pPr>
            <w:r w:rsidRPr="00F50C10">
              <w:rPr>
                <w:szCs w:val="24"/>
                <w:lang w:bidi="tr-TR"/>
              </w:rPr>
              <w:t>EDC/VCM</w:t>
            </w:r>
          </w:p>
        </w:tc>
        <w:tc>
          <w:tcPr>
            <w:tcW w:w="854" w:type="pct"/>
            <w:vAlign w:val="center"/>
          </w:tcPr>
          <w:p w14:paraId="397B48AC" w14:textId="77777777" w:rsidR="00B2620A" w:rsidRPr="00F50C10" w:rsidRDefault="00B2620A" w:rsidP="000B206D">
            <w:pPr>
              <w:pStyle w:val="TableParagraph"/>
              <w:spacing w:line="276" w:lineRule="auto"/>
              <w:ind w:left="108" w:right="108"/>
              <w:jc w:val="both"/>
              <w:rPr>
                <w:szCs w:val="24"/>
              </w:rPr>
            </w:pPr>
            <w:r w:rsidRPr="00F50C10">
              <w:rPr>
                <w:szCs w:val="24"/>
                <w:lang w:bidi="tr-TR"/>
              </w:rPr>
              <w:t>EN standardı yok</w:t>
            </w:r>
          </w:p>
        </w:tc>
        <w:tc>
          <w:tcPr>
            <w:tcW w:w="1022" w:type="pct"/>
            <w:vAlign w:val="center"/>
          </w:tcPr>
          <w:p w14:paraId="499FB870" w14:textId="77777777" w:rsidR="00B2620A" w:rsidRPr="00F50C10" w:rsidRDefault="00B2620A" w:rsidP="000B206D">
            <w:pPr>
              <w:pStyle w:val="TableParagraph"/>
              <w:spacing w:line="276" w:lineRule="auto"/>
              <w:ind w:left="747" w:right="108" w:hanging="639"/>
              <w:jc w:val="both"/>
              <w:rPr>
                <w:szCs w:val="24"/>
              </w:rPr>
            </w:pPr>
            <w:r w:rsidRPr="00F50C10">
              <w:rPr>
                <w:szCs w:val="24"/>
                <w:lang w:bidi="tr-TR"/>
              </w:rPr>
              <w:t>Ayda bir (</w:t>
            </w:r>
            <w:r w:rsidRPr="00F50C10">
              <w:rPr>
                <w:b/>
                <w:szCs w:val="24"/>
                <w:vertAlign w:val="superscript"/>
                <w:lang w:bidi="tr-TR"/>
              </w:rPr>
              <w:t>2</w:t>
            </w:r>
            <w:r w:rsidRPr="00F50C10">
              <w:rPr>
                <w:szCs w:val="24"/>
                <w:lang w:bidi="tr-TR"/>
              </w:rPr>
              <w:t>)</w:t>
            </w:r>
          </w:p>
        </w:tc>
        <w:tc>
          <w:tcPr>
            <w:tcW w:w="624" w:type="pct"/>
            <w:vAlign w:val="center"/>
          </w:tcPr>
          <w:p w14:paraId="0F73853F" w14:textId="77777777" w:rsidR="00B2620A" w:rsidRPr="00F50C10" w:rsidRDefault="00B2620A" w:rsidP="000B206D">
            <w:pPr>
              <w:pStyle w:val="TableParagraph"/>
              <w:spacing w:line="276" w:lineRule="auto"/>
              <w:ind w:left="108" w:right="108"/>
              <w:jc w:val="both"/>
              <w:rPr>
                <w:b/>
                <w:szCs w:val="24"/>
              </w:rPr>
            </w:pPr>
          </w:p>
          <w:p w14:paraId="5DCB6C38" w14:textId="77777777" w:rsidR="00B2620A" w:rsidRPr="00F50C10" w:rsidRDefault="00B2620A" w:rsidP="000B206D">
            <w:pPr>
              <w:pStyle w:val="TableParagraph"/>
              <w:spacing w:line="276" w:lineRule="auto"/>
              <w:ind w:left="108" w:right="108"/>
              <w:jc w:val="both"/>
              <w:rPr>
                <w:szCs w:val="24"/>
              </w:rPr>
            </w:pPr>
            <w:r w:rsidRPr="00F50C10">
              <w:rPr>
                <w:szCs w:val="24"/>
              </w:rPr>
              <w:t>MET 76</w:t>
            </w:r>
          </w:p>
        </w:tc>
      </w:tr>
      <w:tr w:rsidR="00B2620A" w:rsidRPr="00F50C10" w14:paraId="0A186874" w14:textId="77777777" w:rsidTr="00B2620A">
        <w:trPr>
          <w:trHeight w:val="691"/>
          <w:jc w:val="center"/>
        </w:trPr>
        <w:tc>
          <w:tcPr>
            <w:tcW w:w="1070" w:type="pct"/>
            <w:vAlign w:val="center"/>
          </w:tcPr>
          <w:p w14:paraId="040DE53D" w14:textId="77777777" w:rsidR="00B2620A" w:rsidRPr="00F50C10" w:rsidRDefault="00B2620A" w:rsidP="000B206D">
            <w:pPr>
              <w:pStyle w:val="TableParagraph"/>
              <w:spacing w:line="276" w:lineRule="auto"/>
              <w:ind w:left="108" w:right="108"/>
              <w:jc w:val="both"/>
              <w:rPr>
                <w:szCs w:val="24"/>
              </w:rPr>
            </w:pPr>
            <w:r w:rsidRPr="00F50C10">
              <w:rPr>
                <w:szCs w:val="24"/>
                <w:lang w:bidi="tr-TR"/>
              </w:rPr>
              <w:t>Etilen oksit</w:t>
            </w:r>
          </w:p>
        </w:tc>
        <w:tc>
          <w:tcPr>
            <w:tcW w:w="1429" w:type="pct"/>
            <w:vAlign w:val="center"/>
          </w:tcPr>
          <w:p w14:paraId="241FF5AE" w14:textId="77777777" w:rsidR="00B2620A" w:rsidRPr="00F50C10" w:rsidRDefault="00B2620A" w:rsidP="000B206D">
            <w:pPr>
              <w:pStyle w:val="TableParagraph"/>
              <w:spacing w:line="276" w:lineRule="auto"/>
              <w:ind w:left="108" w:right="108"/>
              <w:jc w:val="both"/>
              <w:rPr>
                <w:szCs w:val="24"/>
              </w:rPr>
            </w:pPr>
            <w:r w:rsidRPr="00F50C10">
              <w:rPr>
                <w:szCs w:val="24"/>
                <w:lang w:bidi="tr-TR"/>
              </w:rPr>
              <w:t>Etilen oksit ve etilen glikoller</w:t>
            </w:r>
          </w:p>
        </w:tc>
        <w:tc>
          <w:tcPr>
            <w:tcW w:w="854" w:type="pct"/>
            <w:vAlign w:val="center"/>
          </w:tcPr>
          <w:p w14:paraId="7920E79A" w14:textId="77777777" w:rsidR="00B2620A" w:rsidRPr="00F50C10" w:rsidRDefault="00B2620A" w:rsidP="000B206D">
            <w:pPr>
              <w:pStyle w:val="TableParagraph"/>
              <w:spacing w:line="276" w:lineRule="auto"/>
              <w:ind w:left="108" w:right="108"/>
              <w:jc w:val="both"/>
              <w:rPr>
                <w:szCs w:val="24"/>
              </w:rPr>
            </w:pPr>
            <w:r w:rsidRPr="00F50C10">
              <w:rPr>
                <w:szCs w:val="24"/>
                <w:lang w:bidi="tr-TR"/>
              </w:rPr>
              <w:t>EN standardı yok</w:t>
            </w:r>
          </w:p>
        </w:tc>
        <w:tc>
          <w:tcPr>
            <w:tcW w:w="1022" w:type="pct"/>
            <w:vAlign w:val="center"/>
          </w:tcPr>
          <w:p w14:paraId="7E620583" w14:textId="77777777" w:rsidR="00B2620A" w:rsidRPr="00F50C10" w:rsidRDefault="00B2620A" w:rsidP="000B206D">
            <w:pPr>
              <w:pStyle w:val="TableParagraph"/>
              <w:spacing w:line="276" w:lineRule="auto"/>
              <w:ind w:left="747" w:right="108" w:hanging="639"/>
              <w:jc w:val="both"/>
              <w:rPr>
                <w:szCs w:val="24"/>
              </w:rPr>
            </w:pPr>
            <w:r w:rsidRPr="00F50C10">
              <w:rPr>
                <w:szCs w:val="24"/>
                <w:lang w:bidi="tr-TR"/>
              </w:rPr>
              <w:t>Ayda bir (</w:t>
            </w:r>
            <w:r w:rsidRPr="00F50C10">
              <w:rPr>
                <w:b/>
                <w:szCs w:val="24"/>
                <w:vertAlign w:val="superscript"/>
                <w:lang w:bidi="tr-TR"/>
              </w:rPr>
              <w:t>2</w:t>
            </w:r>
            <w:r w:rsidRPr="00F50C10">
              <w:rPr>
                <w:szCs w:val="24"/>
                <w:lang w:bidi="tr-TR"/>
              </w:rPr>
              <w:t>)</w:t>
            </w:r>
          </w:p>
        </w:tc>
        <w:tc>
          <w:tcPr>
            <w:tcW w:w="624" w:type="pct"/>
            <w:vAlign w:val="center"/>
          </w:tcPr>
          <w:p w14:paraId="117A7B7D" w14:textId="77777777" w:rsidR="00B2620A" w:rsidRPr="00F50C10" w:rsidRDefault="00B2620A" w:rsidP="000B206D">
            <w:pPr>
              <w:pStyle w:val="TableParagraph"/>
              <w:spacing w:line="276" w:lineRule="auto"/>
              <w:ind w:left="108" w:right="108"/>
              <w:jc w:val="both"/>
              <w:rPr>
                <w:b/>
                <w:szCs w:val="24"/>
              </w:rPr>
            </w:pPr>
          </w:p>
          <w:p w14:paraId="22E0187E" w14:textId="77777777" w:rsidR="00B2620A" w:rsidRPr="00F50C10" w:rsidRDefault="00B2620A" w:rsidP="000B206D">
            <w:pPr>
              <w:pStyle w:val="TableParagraph"/>
              <w:spacing w:line="276" w:lineRule="auto"/>
              <w:ind w:left="108" w:right="108"/>
              <w:jc w:val="both"/>
              <w:rPr>
                <w:szCs w:val="24"/>
              </w:rPr>
            </w:pPr>
            <w:r w:rsidRPr="00F50C10">
              <w:rPr>
                <w:szCs w:val="24"/>
              </w:rPr>
              <w:t>MET 52</w:t>
            </w:r>
          </w:p>
        </w:tc>
      </w:tr>
      <w:tr w:rsidR="00B2620A" w:rsidRPr="00F50C10" w14:paraId="004BC706" w14:textId="77777777" w:rsidTr="00B2620A">
        <w:trPr>
          <w:trHeight w:val="688"/>
          <w:jc w:val="center"/>
        </w:trPr>
        <w:tc>
          <w:tcPr>
            <w:tcW w:w="1070" w:type="pct"/>
            <w:vAlign w:val="center"/>
          </w:tcPr>
          <w:p w14:paraId="656BD2F9" w14:textId="77777777" w:rsidR="00B2620A" w:rsidRPr="00F50C10" w:rsidRDefault="00B2620A" w:rsidP="000B206D">
            <w:pPr>
              <w:pStyle w:val="TableParagraph"/>
              <w:spacing w:line="276" w:lineRule="auto"/>
              <w:ind w:left="108" w:right="108"/>
              <w:jc w:val="both"/>
              <w:rPr>
                <w:szCs w:val="24"/>
              </w:rPr>
            </w:pPr>
            <w:r w:rsidRPr="00F50C10">
              <w:rPr>
                <w:szCs w:val="24"/>
                <w:lang w:bidi="tr-TR"/>
              </w:rPr>
              <w:t>Formaldehit</w:t>
            </w:r>
          </w:p>
        </w:tc>
        <w:tc>
          <w:tcPr>
            <w:tcW w:w="1429" w:type="pct"/>
            <w:vAlign w:val="center"/>
          </w:tcPr>
          <w:p w14:paraId="74899A6F" w14:textId="77777777" w:rsidR="00B2620A" w:rsidRPr="00F50C10" w:rsidRDefault="00B2620A" w:rsidP="000B206D">
            <w:pPr>
              <w:pStyle w:val="TableParagraph"/>
              <w:spacing w:line="276" w:lineRule="auto"/>
              <w:ind w:left="108" w:right="108"/>
              <w:jc w:val="both"/>
              <w:rPr>
                <w:szCs w:val="24"/>
              </w:rPr>
            </w:pPr>
            <w:r w:rsidRPr="00F50C10">
              <w:rPr>
                <w:szCs w:val="24"/>
                <w:lang w:bidi="tr-TR"/>
              </w:rPr>
              <w:t>Formaldehit</w:t>
            </w:r>
          </w:p>
        </w:tc>
        <w:tc>
          <w:tcPr>
            <w:tcW w:w="854" w:type="pct"/>
            <w:vAlign w:val="center"/>
          </w:tcPr>
          <w:p w14:paraId="5DF67774" w14:textId="77777777" w:rsidR="00B2620A" w:rsidRPr="00F50C10" w:rsidRDefault="00B2620A" w:rsidP="000B206D">
            <w:pPr>
              <w:pStyle w:val="TableParagraph"/>
              <w:spacing w:line="276" w:lineRule="auto"/>
              <w:ind w:left="108" w:right="108"/>
              <w:jc w:val="both"/>
              <w:rPr>
                <w:szCs w:val="24"/>
              </w:rPr>
            </w:pPr>
            <w:r w:rsidRPr="00F50C10">
              <w:rPr>
                <w:szCs w:val="24"/>
                <w:lang w:bidi="tr-TR"/>
              </w:rPr>
              <w:t>EN standardı yok</w:t>
            </w:r>
          </w:p>
        </w:tc>
        <w:tc>
          <w:tcPr>
            <w:tcW w:w="1022" w:type="pct"/>
            <w:vAlign w:val="center"/>
          </w:tcPr>
          <w:p w14:paraId="535182F8" w14:textId="77777777" w:rsidR="00B2620A" w:rsidRPr="00F50C10" w:rsidRDefault="00B2620A" w:rsidP="000B206D">
            <w:pPr>
              <w:pStyle w:val="TableParagraph"/>
              <w:spacing w:line="276" w:lineRule="auto"/>
              <w:ind w:left="747" w:right="108" w:hanging="639"/>
              <w:jc w:val="both"/>
              <w:rPr>
                <w:szCs w:val="24"/>
              </w:rPr>
            </w:pPr>
            <w:r w:rsidRPr="00F50C10">
              <w:rPr>
                <w:szCs w:val="24"/>
                <w:lang w:bidi="tr-TR"/>
              </w:rPr>
              <w:t>Ayda bir (</w:t>
            </w:r>
            <w:r w:rsidRPr="00F50C10">
              <w:rPr>
                <w:b/>
                <w:szCs w:val="24"/>
                <w:vertAlign w:val="superscript"/>
                <w:lang w:bidi="tr-TR"/>
              </w:rPr>
              <w:t>2</w:t>
            </w:r>
            <w:r w:rsidRPr="00F50C10">
              <w:rPr>
                <w:szCs w:val="24"/>
                <w:lang w:bidi="tr-TR"/>
              </w:rPr>
              <w:t>)</w:t>
            </w:r>
          </w:p>
        </w:tc>
        <w:tc>
          <w:tcPr>
            <w:tcW w:w="624" w:type="pct"/>
            <w:vAlign w:val="center"/>
          </w:tcPr>
          <w:p w14:paraId="791A3829" w14:textId="77777777" w:rsidR="00B2620A" w:rsidRPr="00F50C10" w:rsidRDefault="00B2620A" w:rsidP="000B206D">
            <w:pPr>
              <w:pStyle w:val="TableParagraph"/>
              <w:spacing w:line="276" w:lineRule="auto"/>
              <w:ind w:left="108" w:right="108"/>
              <w:jc w:val="both"/>
              <w:rPr>
                <w:b/>
                <w:szCs w:val="24"/>
              </w:rPr>
            </w:pPr>
          </w:p>
          <w:p w14:paraId="7DE97573" w14:textId="77777777" w:rsidR="00B2620A" w:rsidRPr="00F50C10" w:rsidRDefault="00B2620A" w:rsidP="000B206D">
            <w:pPr>
              <w:pStyle w:val="TableParagraph"/>
              <w:spacing w:line="276" w:lineRule="auto"/>
              <w:ind w:left="108" w:right="108"/>
              <w:jc w:val="both"/>
              <w:rPr>
                <w:szCs w:val="24"/>
              </w:rPr>
            </w:pPr>
            <w:r w:rsidRPr="00F50C10">
              <w:rPr>
                <w:szCs w:val="24"/>
              </w:rPr>
              <w:t>MET 45</w:t>
            </w:r>
          </w:p>
        </w:tc>
      </w:tr>
      <w:tr w:rsidR="00B2620A" w:rsidRPr="00F50C10" w14:paraId="2DE5CD91" w14:textId="77777777" w:rsidTr="00B2620A">
        <w:trPr>
          <w:trHeight w:val="230"/>
          <w:jc w:val="center"/>
        </w:trPr>
        <w:tc>
          <w:tcPr>
            <w:tcW w:w="1070" w:type="pct"/>
            <w:vMerge w:val="restart"/>
            <w:vAlign w:val="center"/>
          </w:tcPr>
          <w:p w14:paraId="761EE999" w14:textId="77777777" w:rsidR="00B2620A" w:rsidRPr="00F50C10" w:rsidRDefault="00B2620A" w:rsidP="000B206D">
            <w:pPr>
              <w:pStyle w:val="TableParagraph"/>
              <w:spacing w:before="5" w:line="276" w:lineRule="auto"/>
              <w:ind w:left="108" w:right="108"/>
              <w:jc w:val="both"/>
              <w:rPr>
                <w:szCs w:val="24"/>
              </w:rPr>
            </w:pPr>
            <w:r w:rsidRPr="00F50C10">
              <w:rPr>
                <w:szCs w:val="24"/>
                <w:lang w:bidi="tr-TR"/>
              </w:rPr>
              <w:t>Gaz halindeki klorürler,</w:t>
            </w:r>
          </w:p>
          <w:p w14:paraId="1AF48A2C" w14:textId="77777777" w:rsidR="00B2620A" w:rsidRPr="00F50C10" w:rsidRDefault="00B2620A" w:rsidP="000B206D">
            <w:pPr>
              <w:pStyle w:val="TableParagraph"/>
              <w:spacing w:line="276" w:lineRule="auto"/>
              <w:ind w:left="108" w:right="108"/>
              <w:jc w:val="both"/>
              <w:rPr>
                <w:szCs w:val="24"/>
              </w:rPr>
            </w:pPr>
            <w:r w:rsidRPr="00F50C10">
              <w:rPr>
                <w:szCs w:val="24"/>
                <w:lang w:bidi="tr-TR"/>
              </w:rPr>
              <w:t>HCI olarak ifade edilir</w:t>
            </w:r>
          </w:p>
        </w:tc>
        <w:tc>
          <w:tcPr>
            <w:tcW w:w="1429" w:type="pct"/>
            <w:vAlign w:val="center"/>
          </w:tcPr>
          <w:p w14:paraId="326577F4" w14:textId="77777777" w:rsidR="00B2620A" w:rsidRPr="00F50C10" w:rsidRDefault="00B2620A" w:rsidP="000B206D">
            <w:pPr>
              <w:pStyle w:val="TableParagraph"/>
              <w:spacing w:line="276" w:lineRule="auto"/>
              <w:ind w:left="108" w:right="108"/>
              <w:jc w:val="both"/>
              <w:rPr>
                <w:szCs w:val="24"/>
              </w:rPr>
            </w:pPr>
            <w:r w:rsidRPr="00F50C10">
              <w:rPr>
                <w:szCs w:val="24"/>
                <w:lang w:bidi="tr-TR"/>
              </w:rPr>
              <w:t>TDI/MDI (</w:t>
            </w:r>
            <w:r w:rsidRPr="00F50C10">
              <w:rPr>
                <w:szCs w:val="24"/>
                <w:vertAlign w:val="superscript"/>
                <w:lang w:bidi="tr-TR"/>
              </w:rPr>
              <w:t>1</w:t>
            </w:r>
            <w:r w:rsidRPr="00F50C10">
              <w:rPr>
                <w:szCs w:val="24"/>
                <w:lang w:bidi="tr-TR"/>
              </w:rPr>
              <w:t>)</w:t>
            </w:r>
          </w:p>
        </w:tc>
        <w:tc>
          <w:tcPr>
            <w:tcW w:w="854" w:type="pct"/>
            <w:vMerge w:val="restart"/>
            <w:vAlign w:val="center"/>
          </w:tcPr>
          <w:p w14:paraId="79B7876E" w14:textId="77777777" w:rsidR="00B2620A" w:rsidRPr="00F50C10" w:rsidRDefault="00B2620A" w:rsidP="000B206D">
            <w:pPr>
              <w:pStyle w:val="TableParagraph"/>
              <w:spacing w:line="276" w:lineRule="auto"/>
              <w:ind w:left="108" w:right="108"/>
              <w:jc w:val="both"/>
              <w:rPr>
                <w:szCs w:val="24"/>
              </w:rPr>
            </w:pPr>
            <w:r w:rsidRPr="00F50C10">
              <w:rPr>
                <w:szCs w:val="24"/>
                <w:lang w:bidi="tr-TR"/>
              </w:rPr>
              <w:t>EN 1911</w:t>
            </w:r>
          </w:p>
        </w:tc>
        <w:tc>
          <w:tcPr>
            <w:tcW w:w="1022" w:type="pct"/>
            <w:vMerge w:val="restart"/>
            <w:vAlign w:val="center"/>
          </w:tcPr>
          <w:p w14:paraId="10D38538" w14:textId="77777777" w:rsidR="00B2620A" w:rsidRPr="00F50C10" w:rsidRDefault="00B2620A" w:rsidP="000B206D">
            <w:pPr>
              <w:pStyle w:val="TableParagraph"/>
              <w:spacing w:line="276" w:lineRule="auto"/>
              <w:ind w:left="747" w:right="108" w:hanging="639"/>
              <w:jc w:val="both"/>
              <w:rPr>
                <w:szCs w:val="24"/>
              </w:rPr>
            </w:pPr>
            <w:r w:rsidRPr="00F50C10">
              <w:rPr>
                <w:szCs w:val="24"/>
                <w:lang w:bidi="tr-TR"/>
              </w:rPr>
              <w:t>Ayda bir (</w:t>
            </w:r>
            <w:r w:rsidRPr="00F50C10">
              <w:rPr>
                <w:b/>
                <w:szCs w:val="24"/>
                <w:vertAlign w:val="superscript"/>
                <w:lang w:bidi="tr-TR"/>
              </w:rPr>
              <w:t>2</w:t>
            </w:r>
            <w:r w:rsidRPr="00F50C10">
              <w:rPr>
                <w:szCs w:val="24"/>
                <w:lang w:bidi="tr-TR"/>
              </w:rPr>
              <w:t>)</w:t>
            </w:r>
          </w:p>
        </w:tc>
        <w:tc>
          <w:tcPr>
            <w:tcW w:w="624" w:type="pct"/>
            <w:vAlign w:val="center"/>
          </w:tcPr>
          <w:p w14:paraId="1DAA6B5F" w14:textId="77777777" w:rsidR="00B2620A" w:rsidRPr="00F50C10" w:rsidRDefault="00B2620A" w:rsidP="000B206D">
            <w:pPr>
              <w:pStyle w:val="TableParagraph"/>
              <w:spacing w:line="276" w:lineRule="auto"/>
              <w:ind w:left="108" w:right="108"/>
              <w:jc w:val="both"/>
              <w:rPr>
                <w:szCs w:val="24"/>
              </w:rPr>
            </w:pPr>
            <w:r w:rsidRPr="00F50C10">
              <w:rPr>
                <w:szCs w:val="24"/>
              </w:rPr>
              <w:t>MET 66</w:t>
            </w:r>
          </w:p>
        </w:tc>
      </w:tr>
      <w:tr w:rsidR="00B2620A" w:rsidRPr="00F50C10" w14:paraId="62588C04" w14:textId="77777777" w:rsidTr="00B2620A">
        <w:trPr>
          <w:trHeight w:val="230"/>
          <w:jc w:val="center"/>
        </w:trPr>
        <w:tc>
          <w:tcPr>
            <w:tcW w:w="1070" w:type="pct"/>
            <w:vMerge/>
            <w:vAlign w:val="center"/>
          </w:tcPr>
          <w:p w14:paraId="640BF40A" w14:textId="77777777" w:rsidR="00B2620A" w:rsidRPr="00F50C10" w:rsidRDefault="00B2620A" w:rsidP="000B206D">
            <w:pPr>
              <w:spacing w:line="276" w:lineRule="auto"/>
              <w:ind w:left="108" w:right="108"/>
              <w:rPr>
                <w:rFonts w:cs="Times New Roman"/>
                <w:szCs w:val="24"/>
              </w:rPr>
            </w:pPr>
          </w:p>
        </w:tc>
        <w:tc>
          <w:tcPr>
            <w:tcW w:w="1429" w:type="pct"/>
            <w:vAlign w:val="center"/>
          </w:tcPr>
          <w:p w14:paraId="399DFE99" w14:textId="77777777" w:rsidR="00B2620A" w:rsidRPr="00F50C10" w:rsidRDefault="00B2620A" w:rsidP="000B206D">
            <w:pPr>
              <w:pStyle w:val="TableParagraph"/>
              <w:spacing w:line="276" w:lineRule="auto"/>
              <w:ind w:left="108" w:right="108"/>
              <w:jc w:val="both"/>
              <w:rPr>
                <w:szCs w:val="24"/>
              </w:rPr>
            </w:pPr>
            <w:r w:rsidRPr="00F50C10">
              <w:rPr>
                <w:szCs w:val="24"/>
                <w:lang w:bidi="tr-TR"/>
              </w:rPr>
              <w:t>EDC/VCM</w:t>
            </w:r>
          </w:p>
        </w:tc>
        <w:tc>
          <w:tcPr>
            <w:tcW w:w="854" w:type="pct"/>
            <w:vMerge/>
            <w:vAlign w:val="center"/>
          </w:tcPr>
          <w:p w14:paraId="7D3CFAB0" w14:textId="77777777" w:rsidR="00B2620A" w:rsidRPr="00F50C10" w:rsidRDefault="00B2620A" w:rsidP="000B206D">
            <w:pPr>
              <w:spacing w:line="276" w:lineRule="auto"/>
              <w:ind w:left="108" w:right="108"/>
              <w:rPr>
                <w:rFonts w:cs="Times New Roman"/>
                <w:szCs w:val="24"/>
              </w:rPr>
            </w:pPr>
          </w:p>
        </w:tc>
        <w:tc>
          <w:tcPr>
            <w:tcW w:w="1022" w:type="pct"/>
            <w:vMerge/>
            <w:vAlign w:val="center"/>
          </w:tcPr>
          <w:p w14:paraId="276A1A3D" w14:textId="77777777" w:rsidR="00B2620A" w:rsidRPr="00F50C10" w:rsidRDefault="00B2620A" w:rsidP="000B206D">
            <w:pPr>
              <w:spacing w:line="276" w:lineRule="auto"/>
              <w:ind w:left="108" w:right="108"/>
              <w:rPr>
                <w:rFonts w:cs="Times New Roman"/>
                <w:szCs w:val="24"/>
              </w:rPr>
            </w:pPr>
          </w:p>
        </w:tc>
        <w:tc>
          <w:tcPr>
            <w:tcW w:w="624" w:type="pct"/>
            <w:vAlign w:val="center"/>
          </w:tcPr>
          <w:p w14:paraId="2C7D6A02" w14:textId="77777777" w:rsidR="00B2620A" w:rsidRPr="00F50C10" w:rsidRDefault="00B2620A" w:rsidP="000B206D">
            <w:pPr>
              <w:pStyle w:val="TableParagraph"/>
              <w:spacing w:line="276" w:lineRule="auto"/>
              <w:ind w:left="108" w:right="108"/>
              <w:jc w:val="both"/>
              <w:rPr>
                <w:szCs w:val="24"/>
              </w:rPr>
            </w:pPr>
            <w:r w:rsidRPr="00F50C10">
              <w:rPr>
                <w:szCs w:val="24"/>
              </w:rPr>
              <w:t>MET 76</w:t>
            </w:r>
          </w:p>
        </w:tc>
      </w:tr>
      <w:tr w:rsidR="00B2620A" w:rsidRPr="00F50C10" w14:paraId="2F2ABD73" w14:textId="77777777" w:rsidTr="00B2620A">
        <w:trPr>
          <w:trHeight w:val="230"/>
          <w:jc w:val="center"/>
        </w:trPr>
        <w:tc>
          <w:tcPr>
            <w:tcW w:w="1070" w:type="pct"/>
            <w:vMerge/>
            <w:vAlign w:val="center"/>
          </w:tcPr>
          <w:p w14:paraId="7A00659E" w14:textId="77777777" w:rsidR="00B2620A" w:rsidRPr="00F50C10" w:rsidRDefault="00B2620A" w:rsidP="000B206D">
            <w:pPr>
              <w:spacing w:line="276" w:lineRule="auto"/>
              <w:ind w:left="108" w:right="108"/>
              <w:rPr>
                <w:rFonts w:cs="Times New Roman"/>
                <w:szCs w:val="24"/>
              </w:rPr>
            </w:pPr>
          </w:p>
        </w:tc>
        <w:tc>
          <w:tcPr>
            <w:tcW w:w="1429" w:type="pct"/>
            <w:vAlign w:val="center"/>
          </w:tcPr>
          <w:p w14:paraId="7C475B60" w14:textId="77777777" w:rsidR="00B2620A" w:rsidRPr="00F50C10" w:rsidRDefault="00B2620A" w:rsidP="000B206D">
            <w:pPr>
              <w:pStyle w:val="TableParagraph"/>
              <w:spacing w:line="276" w:lineRule="auto"/>
              <w:ind w:left="108" w:right="108"/>
              <w:jc w:val="both"/>
              <w:rPr>
                <w:szCs w:val="24"/>
              </w:rPr>
            </w:pPr>
            <w:r w:rsidRPr="00F50C10">
              <w:rPr>
                <w:szCs w:val="24"/>
                <w:lang w:bidi="tr-TR"/>
              </w:rPr>
              <w:t>Diğer tüm prosesler/kaynaklar (</w:t>
            </w:r>
            <w:r w:rsidRPr="00F50C10">
              <w:rPr>
                <w:szCs w:val="24"/>
                <w:vertAlign w:val="superscript"/>
                <w:lang w:bidi="tr-TR"/>
              </w:rPr>
              <w:t>3</w:t>
            </w:r>
            <w:r w:rsidRPr="00F50C10">
              <w:rPr>
                <w:szCs w:val="24"/>
                <w:lang w:bidi="tr-TR"/>
              </w:rPr>
              <w:t>)</w:t>
            </w:r>
          </w:p>
        </w:tc>
        <w:tc>
          <w:tcPr>
            <w:tcW w:w="854" w:type="pct"/>
            <w:vMerge/>
            <w:vAlign w:val="center"/>
          </w:tcPr>
          <w:p w14:paraId="5889712D" w14:textId="77777777" w:rsidR="00B2620A" w:rsidRPr="00F50C10" w:rsidRDefault="00B2620A" w:rsidP="000B206D">
            <w:pPr>
              <w:spacing w:line="276" w:lineRule="auto"/>
              <w:ind w:left="108" w:right="108"/>
              <w:rPr>
                <w:rFonts w:cs="Times New Roman"/>
                <w:szCs w:val="24"/>
              </w:rPr>
            </w:pPr>
          </w:p>
        </w:tc>
        <w:tc>
          <w:tcPr>
            <w:tcW w:w="1022" w:type="pct"/>
            <w:vMerge/>
            <w:vAlign w:val="center"/>
          </w:tcPr>
          <w:p w14:paraId="2BC7BC91" w14:textId="77777777" w:rsidR="00B2620A" w:rsidRPr="00F50C10" w:rsidRDefault="00B2620A" w:rsidP="000B206D">
            <w:pPr>
              <w:spacing w:line="276" w:lineRule="auto"/>
              <w:ind w:left="108" w:right="108"/>
              <w:rPr>
                <w:rFonts w:cs="Times New Roman"/>
                <w:szCs w:val="24"/>
              </w:rPr>
            </w:pPr>
          </w:p>
        </w:tc>
        <w:tc>
          <w:tcPr>
            <w:tcW w:w="624" w:type="pct"/>
            <w:vAlign w:val="center"/>
          </w:tcPr>
          <w:p w14:paraId="2899CBC3" w14:textId="77777777" w:rsidR="00B2620A" w:rsidRPr="00F50C10" w:rsidRDefault="00B2620A" w:rsidP="000B206D">
            <w:pPr>
              <w:pStyle w:val="TableParagraph"/>
              <w:spacing w:line="276" w:lineRule="auto"/>
              <w:ind w:left="108" w:right="108"/>
              <w:jc w:val="both"/>
              <w:rPr>
                <w:szCs w:val="24"/>
              </w:rPr>
            </w:pPr>
            <w:r w:rsidRPr="00F50C10">
              <w:rPr>
                <w:szCs w:val="24"/>
              </w:rPr>
              <w:t>MET 12</w:t>
            </w:r>
          </w:p>
        </w:tc>
      </w:tr>
      <w:tr w:rsidR="00B2620A" w:rsidRPr="00F50C10" w14:paraId="58E23888" w14:textId="77777777" w:rsidTr="00B2620A">
        <w:trPr>
          <w:trHeight w:val="584"/>
          <w:jc w:val="center"/>
        </w:trPr>
        <w:tc>
          <w:tcPr>
            <w:tcW w:w="1070" w:type="pct"/>
            <w:vAlign w:val="center"/>
          </w:tcPr>
          <w:p w14:paraId="15B2B4CE" w14:textId="77777777" w:rsidR="00B2620A" w:rsidRPr="00F50C10" w:rsidRDefault="00B2620A" w:rsidP="000B206D">
            <w:pPr>
              <w:pStyle w:val="TableParagraph"/>
              <w:spacing w:line="276" w:lineRule="auto"/>
              <w:ind w:left="108" w:right="108"/>
              <w:jc w:val="both"/>
              <w:rPr>
                <w:szCs w:val="24"/>
              </w:rPr>
            </w:pPr>
            <w:r w:rsidRPr="00F50C10">
              <w:rPr>
                <w:szCs w:val="24"/>
                <w:lang w:bidi="tr-TR"/>
              </w:rPr>
              <w:t>NH</w:t>
            </w:r>
            <w:r w:rsidRPr="00F50C10">
              <w:rPr>
                <w:szCs w:val="24"/>
                <w:vertAlign w:val="subscript"/>
                <w:lang w:bidi="tr-TR"/>
              </w:rPr>
              <w:t>3</w:t>
            </w:r>
          </w:p>
        </w:tc>
        <w:tc>
          <w:tcPr>
            <w:tcW w:w="1429" w:type="pct"/>
            <w:vAlign w:val="center"/>
          </w:tcPr>
          <w:p w14:paraId="03CEF604" w14:textId="77777777" w:rsidR="00B2620A" w:rsidRPr="00F50C10" w:rsidRDefault="00B2620A" w:rsidP="000B206D">
            <w:pPr>
              <w:pStyle w:val="TableParagraph"/>
              <w:spacing w:line="276" w:lineRule="auto"/>
              <w:ind w:left="108" w:right="108"/>
              <w:jc w:val="both"/>
              <w:rPr>
                <w:szCs w:val="24"/>
              </w:rPr>
            </w:pPr>
            <w:r w:rsidRPr="00F50C10">
              <w:rPr>
                <w:szCs w:val="24"/>
                <w:lang w:bidi="tr-TR"/>
              </w:rPr>
              <w:t>SCR veya SNCR kullanımı</w:t>
            </w:r>
          </w:p>
        </w:tc>
        <w:tc>
          <w:tcPr>
            <w:tcW w:w="854" w:type="pct"/>
            <w:vAlign w:val="center"/>
          </w:tcPr>
          <w:p w14:paraId="35C0AD41" w14:textId="77777777" w:rsidR="00B2620A" w:rsidRPr="00F50C10" w:rsidRDefault="00B2620A" w:rsidP="000B206D">
            <w:pPr>
              <w:pStyle w:val="TableParagraph"/>
              <w:spacing w:line="276" w:lineRule="auto"/>
              <w:ind w:left="108" w:right="108"/>
              <w:jc w:val="both"/>
              <w:rPr>
                <w:szCs w:val="24"/>
                <w:lang w:bidi="tr-TR"/>
              </w:rPr>
            </w:pPr>
            <w:r w:rsidRPr="00F50C10">
              <w:rPr>
                <w:szCs w:val="24"/>
                <w:lang w:bidi="tr-TR"/>
              </w:rPr>
              <w:t>EN standartı yok</w:t>
            </w:r>
          </w:p>
        </w:tc>
        <w:tc>
          <w:tcPr>
            <w:tcW w:w="1022" w:type="pct"/>
            <w:vAlign w:val="center"/>
          </w:tcPr>
          <w:p w14:paraId="3BC35A20" w14:textId="77777777" w:rsidR="00B2620A" w:rsidRPr="00F50C10" w:rsidRDefault="00B2620A" w:rsidP="000B206D">
            <w:pPr>
              <w:pStyle w:val="TableParagraph"/>
              <w:spacing w:line="276" w:lineRule="auto"/>
              <w:ind w:left="747" w:right="108" w:hanging="639"/>
              <w:jc w:val="both"/>
              <w:rPr>
                <w:szCs w:val="24"/>
              </w:rPr>
            </w:pPr>
            <w:r w:rsidRPr="00F50C10">
              <w:rPr>
                <w:szCs w:val="24"/>
                <w:lang w:bidi="tr-TR"/>
              </w:rPr>
              <w:t>Ayda bir (</w:t>
            </w:r>
            <w:r w:rsidRPr="00F50C10">
              <w:rPr>
                <w:b/>
                <w:szCs w:val="24"/>
                <w:vertAlign w:val="superscript"/>
                <w:lang w:bidi="tr-TR"/>
              </w:rPr>
              <w:t>2</w:t>
            </w:r>
            <w:r w:rsidRPr="00F50C10">
              <w:rPr>
                <w:szCs w:val="24"/>
                <w:lang w:bidi="tr-TR"/>
              </w:rPr>
              <w:t>)</w:t>
            </w:r>
          </w:p>
        </w:tc>
        <w:tc>
          <w:tcPr>
            <w:tcW w:w="624" w:type="pct"/>
            <w:vAlign w:val="center"/>
          </w:tcPr>
          <w:p w14:paraId="50654A5A" w14:textId="77777777" w:rsidR="00B2620A" w:rsidRPr="00F50C10" w:rsidRDefault="00B2620A" w:rsidP="000B206D">
            <w:pPr>
              <w:pStyle w:val="TableParagraph"/>
              <w:spacing w:line="276" w:lineRule="auto"/>
              <w:ind w:left="108" w:right="108"/>
              <w:jc w:val="both"/>
              <w:rPr>
                <w:szCs w:val="24"/>
              </w:rPr>
            </w:pPr>
            <w:r w:rsidRPr="00F50C10">
              <w:rPr>
                <w:szCs w:val="24"/>
              </w:rPr>
              <w:t>MET 7</w:t>
            </w:r>
          </w:p>
        </w:tc>
      </w:tr>
      <w:tr w:rsidR="00B2620A" w:rsidRPr="00F50C10" w14:paraId="249997B8" w14:textId="77777777" w:rsidTr="00B2620A">
        <w:trPr>
          <w:trHeight w:val="280"/>
          <w:jc w:val="center"/>
        </w:trPr>
        <w:tc>
          <w:tcPr>
            <w:tcW w:w="1070" w:type="pct"/>
            <w:vAlign w:val="center"/>
          </w:tcPr>
          <w:p w14:paraId="799FB170" w14:textId="77777777" w:rsidR="00B2620A" w:rsidRPr="00F50C10" w:rsidRDefault="00B2620A" w:rsidP="000B206D">
            <w:pPr>
              <w:pStyle w:val="TableParagraph"/>
              <w:spacing w:line="276" w:lineRule="auto"/>
              <w:ind w:left="108" w:right="108"/>
              <w:jc w:val="both"/>
              <w:rPr>
                <w:szCs w:val="24"/>
              </w:rPr>
            </w:pPr>
            <w:r w:rsidRPr="00F50C10">
              <w:rPr>
                <w:szCs w:val="24"/>
                <w:lang w:bidi="tr-TR"/>
              </w:rPr>
              <w:t>NO</w:t>
            </w:r>
            <w:r w:rsidRPr="00F50C10">
              <w:rPr>
                <w:szCs w:val="24"/>
                <w:vertAlign w:val="subscript"/>
                <w:lang w:bidi="tr-TR"/>
              </w:rPr>
              <w:t>X</w:t>
            </w:r>
          </w:p>
        </w:tc>
        <w:tc>
          <w:tcPr>
            <w:tcW w:w="1429" w:type="pct"/>
            <w:vAlign w:val="center"/>
          </w:tcPr>
          <w:p w14:paraId="7E671570" w14:textId="77777777" w:rsidR="00B2620A" w:rsidRPr="00F50C10" w:rsidRDefault="00B2620A" w:rsidP="000B206D">
            <w:pPr>
              <w:pStyle w:val="TableParagraph"/>
              <w:spacing w:line="276" w:lineRule="auto"/>
              <w:ind w:left="108" w:right="108"/>
              <w:jc w:val="both"/>
              <w:rPr>
                <w:szCs w:val="24"/>
              </w:rPr>
            </w:pPr>
            <w:r w:rsidRPr="00F50C10">
              <w:rPr>
                <w:szCs w:val="24"/>
                <w:lang w:bidi="tr-TR"/>
              </w:rPr>
              <w:t>Termal oksitleyici</w:t>
            </w:r>
          </w:p>
        </w:tc>
        <w:tc>
          <w:tcPr>
            <w:tcW w:w="854" w:type="pct"/>
            <w:vAlign w:val="center"/>
          </w:tcPr>
          <w:p w14:paraId="53AE5E5A" w14:textId="77777777" w:rsidR="00B2620A" w:rsidRPr="00F50C10" w:rsidRDefault="00B2620A" w:rsidP="000B206D">
            <w:pPr>
              <w:pStyle w:val="TableParagraph"/>
              <w:spacing w:line="276" w:lineRule="auto"/>
              <w:ind w:left="108" w:right="108"/>
              <w:jc w:val="both"/>
              <w:rPr>
                <w:szCs w:val="24"/>
              </w:rPr>
            </w:pPr>
            <w:r w:rsidRPr="00F50C10">
              <w:rPr>
                <w:szCs w:val="24"/>
                <w:lang w:bidi="tr-TR"/>
              </w:rPr>
              <w:t>EN 14792</w:t>
            </w:r>
          </w:p>
        </w:tc>
        <w:tc>
          <w:tcPr>
            <w:tcW w:w="1022" w:type="pct"/>
            <w:vAlign w:val="center"/>
          </w:tcPr>
          <w:p w14:paraId="6366757D" w14:textId="77777777" w:rsidR="00B2620A" w:rsidRPr="00F50C10" w:rsidRDefault="00B2620A" w:rsidP="000B206D">
            <w:pPr>
              <w:pStyle w:val="TableParagraph"/>
              <w:spacing w:line="276" w:lineRule="auto"/>
              <w:ind w:left="108" w:right="108"/>
              <w:jc w:val="both"/>
              <w:rPr>
                <w:szCs w:val="24"/>
              </w:rPr>
            </w:pPr>
            <w:r w:rsidRPr="00F50C10">
              <w:rPr>
                <w:szCs w:val="24"/>
                <w:lang w:bidi="tr-TR"/>
              </w:rPr>
              <w:t>Ayda bir (</w:t>
            </w:r>
            <w:r w:rsidRPr="00F50C10">
              <w:rPr>
                <w:b/>
                <w:szCs w:val="24"/>
                <w:vertAlign w:val="superscript"/>
                <w:lang w:bidi="tr-TR"/>
              </w:rPr>
              <w:t>2</w:t>
            </w:r>
            <w:r w:rsidRPr="00F50C10">
              <w:rPr>
                <w:szCs w:val="24"/>
                <w:lang w:bidi="tr-TR"/>
              </w:rPr>
              <w:t>)</w:t>
            </w:r>
          </w:p>
        </w:tc>
        <w:tc>
          <w:tcPr>
            <w:tcW w:w="624" w:type="pct"/>
            <w:vAlign w:val="center"/>
          </w:tcPr>
          <w:p w14:paraId="6CB63198" w14:textId="77777777" w:rsidR="00B2620A" w:rsidRPr="00F50C10" w:rsidRDefault="00B2620A" w:rsidP="000B206D">
            <w:pPr>
              <w:pStyle w:val="TableParagraph"/>
              <w:spacing w:line="276" w:lineRule="auto"/>
              <w:ind w:left="108" w:right="108"/>
              <w:jc w:val="both"/>
              <w:rPr>
                <w:szCs w:val="24"/>
              </w:rPr>
            </w:pPr>
            <w:r w:rsidRPr="00F50C10">
              <w:rPr>
                <w:szCs w:val="24"/>
              </w:rPr>
              <w:t>MET 13</w:t>
            </w:r>
          </w:p>
        </w:tc>
      </w:tr>
      <w:tr w:rsidR="00B2620A" w:rsidRPr="00F50C10" w14:paraId="237D907F" w14:textId="77777777" w:rsidTr="00B2620A">
        <w:trPr>
          <w:trHeight w:val="230"/>
          <w:jc w:val="center"/>
        </w:trPr>
        <w:tc>
          <w:tcPr>
            <w:tcW w:w="1070" w:type="pct"/>
            <w:vAlign w:val="center"/>
          </w:tcPr>
          <w:p w14:paraId="335E3F4B" w14:textId="77777777" w:rsidR="00B2620A" w:rsidRPr="00F50C10" w:rsidRDefault="00B2620A" w:rsidP="000B206D">
            <w:pPr>
              <w:pStyle w:val="TableParagraph"/>
              <w:spacing w:line="276" w:lineRule="auto"/>
              <w:ind w:left="108" w:right="108"/>
              <w:jc w:val="both"/>
              <w:rPr>
                <w:szCs w:val="24"/>
              </w:rPr>
            </w:pPr>
            <w:r w:rsidRPr="00F50C10">
              <w:rPr>
                <w:szCs w:val="24"/>
                <w:lang w:bidi="tr-TR"/>
              </w:rPr>
              <w:t>PCDD/F</w:t>
            </w:r>
          </w:p>
        </w:tc>
        <w:tc>
          <w:tcPr>
            <w:tcW w:w="1429" w:type="pct"/>
            <w:vAlign w:val="center"/>
          </w:tcPr>
          <w:p w14:paraId="41AEE4BB" w14:textId="77777777" w:rsidR="00B2620A" w:rsidRPr="00F50C10" w:rsidRDefault="00B2620A" w:rsidP="000B206D">
            <w:pPr>
              <w:pStyle w:val="TableParagraph"/>
              <w:spacing w:line="276" w:lineRule="auto"/>
              <w:ind w:left="108" w:right="108"/>
              <w:jc w:val="both"/>
              <w:rPr>
                <w:szCs w:val="24"/>
              </w:rPr>
            </w:pPr>
            <w:r w:rsidRPr="00F50C10">
              <w:rPr>
                <w:szCs w:val="24"/>
                <w:lang w:bidi="tr-TR"/>
              </w:rPr>
              <w:t>TDI/MDI (</w:t>
            </w:r>
            <w:r w:rsidRPr="00F50C10">
              <w:rPr>
                <w:szCs w:val="24"/>
                <w:vertAlign w:val="superscript"/>
                <w:lang w:bidi="tr-TR"/>
              </w:rPr>
              <w:t>6</w:t>
            </w:r>
            <w:r w:rsidRPr="00F50C10">
              <w:rPr>
                <w:szCs w:val="24"/>
                <w:lang w:bidi="tr-TR"/>
              </w:rPr>
              <w:t>)</w:t>
            </w:r>
          </w:p>
        </w:tc>
        <w:tc>
          <w:tcPr>
            <w:tcW w:w="854" w:type="pct"/>
            <w:vMerge w:val="restart"/>
            <w:vAlign w:val="center"/>
          </w:tcPr>
          <w:p w14:paraId="6D89B485" w14:textId="77777777" w:rsidR="00B2620A" w:rsidRPr="00F50C10" w:rsidRDefault="00B2620A" w:rsidP="000B206D">
            <w:pPr>
              <w:pStyle w:val="TableParagraph"/>
              <w:spacing w:line="276" w:lineRule="auto"/>
              <w:ind w:left="108" w:right="108"/>
              <w:jc w:val="both"/>
              <w:rPr>
                <w:szCs w:val="24"/>
              </w:rPr>
            </w:pPr>
            <w:r w:rsidRPr="00F50C10">
              <w:rPr>
                <w:szCs w:val="24"/>
                <w:lang w:bidi="tr-TR"/>
              </w:rPr>
              <w:t>EN 1948-1, -2, ve -3</w:t>
            </w:r>
          </w:p>
        </w:tc>
        <w:tc>
          <w:tcPr>
            <w:tcW w:w="1022" w:type="pct"/>
            <w:vMerge w:val="restart"/>
            <w:vAlign w:val="center"/>
          </w:tcPr>
          <w:p w14:paraId="56DF434F" w14:textId="77777777" w:rsidR="00B2620A" w:rsidRPr="00F50C10" w:rsidRDefault="00B2620A" w:rsidP="000B206D">
            <w:pPr>
              <w:pStyle w:val="TableParagraph"/>
              <w:spacing w:line="276" w:lineRule="auto"/>
              <w:ind w:left="288" w:right="108" w:hanging="180"/>
              <w:jc w:val="both"/>
              <w:rPr>
                <w:szCs w:val="24"/>
              </w:rPr>
            </w:pPr>
            <w:r w:rsidRPr="00F50C10">
              <w:rPr>
                <w:szCs w:val="24"/>
                <w:lang w:bidi="tr-TR"/>
              </w:rPr>
              <w:t>Altı ayda bir (</w:t>
            </w:r>
            <w:r w:rsidRPr="00F50C10">
              <w:rPr>
                <w:b/>
                <w:szCs w:val="24"/>
                <w:vertAlign w:val="superscript"/>
                <w:lang w:bidi="tr-TR"/>
              </w:rPr>
              <w:t>2</w:t>
            </w:r>
            <w:r w:rsidRPr="00F50C10">
              <w:rPr>
                <w:szCs w:val="24"/>
                <w:lang w:bidi="tr-TR"/>
              </w:rPr>
              <w:t>)</w:t>
            </w:r>
          </w:p>
        </w:tc>
        <w:tc>
          <w:tcPr>
            <w:tcW w:w="624" w:type="pct"/>
            <w:vAlign w:val="center"/>
          </w:tcPr>
          <w:p w14:paraId="4E26043E" w14:textId="77777777" w:rsidR="00B2620A" w:rsidRPr="00F50C10" w:rsidRDefault="00B2620A" w:rsidP="000B206D">
            <w:pPr>
              <w:pStyle w:val="TableParagraph"/>
              <w:spacing w:line="276" w:lineRule="auto"/>
              <w:ind w:left="108" w:right="108"/>
              <w:jc w:val="both"/>
              <w:rPr>
                <w:szCs w:val="24"/>
              </w:rPr>
            </w:pPr>
            <w:r w:rsidRPr="00F50C10">
              <w:rPr>
                <w:szCs w:val="24"/>
              </w:rPr>
              <w:t>MET 67</w:t>
            </w:r>
          </w:p>
        </w:tc>
      </w:tr>
      <w:tr w:rsidR="00B2620A" w:rsidRPr="00F50C10" w14:paraId="77B0A91B" w14:textId="77777777" w:rsidTr="00B2620A">
        <w:trPr>
          <w:trHeight w:val="449"/>
          <w:jc w:val="center"/>
        </w:trPr>
        <w:tc>
          <w:tcPr>
            <w:tcW w:w="1070" w:type="pct"/>
            <w:vAlign w:val="center"/>
          </w:tcPr>
          <w:p w14:paraId="231D270A" w14:textId="77777777" w:rsidR="00B2620A" w:rsidRPr="00F50C10" w:rsidRDefault="00B2620A" w:rsidP="000B206D">
            <w:pPr>
              <w:pStyle w:val="TableParagraph"/>
              <w:spacing w:before="104" w:line="276" w:lineRule="auto"/>
              <w:ind w:left="108" w:right="108"/>
              <w:jc w:val="both"/>
              <w:rPr>
                <w:szCs w:val="24"/>
              </w:rPr>
            </w:pPr>
            <w:r w:rsidRPr="00F50C10">
              <w:rPr>
                <w:szCs w:val="24"/>
                <w:lang w:bidi="tr-TR"/>
              </w:rPr>
              <w:t>PCDD/F</w:t>
            </w:r>
          </w:p>
        </w:tc>
        <w:tc>
          <w:tcPr>
            <w:tcW w:w="1429" w:type="pct"/>
            <w:vAlign w:val="center"/>
          </w:tcPr>
          <w:p w14:paraId="306F6860" w14:textId="77777777" w:rsidR="00B2620A" w:rsidRPr="00F50C10" w:rsidRDefault="00B2620A" w:rsidP="000B206D">
            <w:pPr>
              <w:pStyle w:val="TableParagraph"/>
              <w:spacing w:line="276" w:lineRule="auto"/>
              <w:ind w:left="108" w:right="108"/>
              <w:jc w:val="both"/>
              <w:rPr>
                <w:szCs w:val="24"/>
              </w:rPr>
            </w:pPr>
            <w:r w:rsidRPr="00F50C10">
              <w:rPr>
                <w:szCs w:val="24"/>
                <w:lang w:bidi="tr-TR"/>
              </w:rPr>
              <w:t>EDC/VCM</w:t>
            </w:r>
          </w:p>
        </w:tc>
        <w:tc>
          <w:tcPr>
            <w:tcW w:w="854" w:type="pct"/>
            <w:vMerge/>
            <w:vAlign w:val="center"/>
          </w:tcPr>
          <w:p w14:paraId="3D03F820" w14:textId="77777777" w:rsidR="00B2620A" w:rsidRPr="00F50C10" w:rsidRDefault="00B2620A" w:rsidP="000B206D">
            <w:pPr>
              <w:spacing w:line="276" w:lineRule="auto"/>
              <w:ind w:left="108" w:right="108"/>
              <w:rPr>
                <w:rFonts w:cs="Times New Roman"/>
                <w:szCs w:val="24"/>
              </w:rPr>
            </w:pPr>
          </w:p>
        </w:tc>
        <w:tc>
          <w:tcPr>
            <w:tcW w:w="1022" w:type="pct"/>
            <w:vMerge/>
            <w:vAlign w:val="center"/>
          </w:tcPr>
          <w:p w14:paraId="5C52C7E1" w14:textId="77777777" w:rsidR="00B2620A" w:rsidRPr="00F50C10" w:rsidRDefault="00B2620A" w:rsidP="000B206D">
            <w:pPr>
              <w:spacing w:line="276" w:lineRule="auto"/>
              <w:ind w:left="108" w:right="108"/>
              <w:rPr>
                <w:rFonts w:cs="Times New Roman"/>
                <w:szCs w:val="24"/>
              </w:rPr>
            </w:pPr>
          </w:p>
        </w:tc>
        <w:tc>
          <w:tcPr>
            <w:tcW w:w="624" w:type="pct"/>
            <w:vAlign w:val="center"/>
          </w:tcPr>
          <w:p w14:paraId="6ECADDEC" w14:textId="77777777" w:rsidR="00B2620A" w:rsidRPr="00F50C10" w:rsidRDefault="00B2620A" w:rsidP="000B206D">
            <w:pPr>
              <w:pStyle w:val="TableParagraph"/>
              <w:spacing w:line="276" w:lineRule="auto"/>
              <w:ind w:left="108" w:right="108"/>
              <w:jc w:val="both"/>
              <w:rPr>
                <w:szCs w:val="24"/>
              </w:rPr>
            </w:pPr>
            <w:r w:rsidRPr="00F50C10">
              <w:rPr>
                <w:szCs w:val="24"/>
              </w:rPr>
              <w:t>MET 77</w:t>
            </w:r>
          </w:p>
        </w:tc>
      </w:tr>
      <w:tr w:rsidR="00B2620A" w:rsidRPr="00F50C10" w14:paraId="32EDC577" w14:textId="77777777" w:rsidTr="00B2620A">
        <w:trPr>
          <w:trHeight w:val="460"/>
          <w:jc w:val="center"/>
        </w:trPr>
        <w:tc>
          <w:tcPr>
            <w:tcW w:w="1070" w:type="pct"/>
            <w:vAlign w:val="center"/>
          </w:tcPr>
          <w:p w14:paraId="4F54731C" w14:textId="77777777" w:rsidR="00B2620A" w:rsidRPr="00F50C10" w:rsidRDefault="00B2620A" w:rsidP="000B206D">
            <w:pPr>
              <w:pStyle w:val="TableParagraph"/>
              <w:spacing w:line="276" w:lineRule="auto"/>
              <w:ind w:left="108" w:right="108"/>
              <w:jc w:val="both"/>
              <w:rPr>
                <w:szCs w:val="24"/>
              </w:rPr>
            </w:pPr>
            <w:r w:rsidRPr="00F50C10">
              <w:rPr>
                <w:szCs w:val="24"/>
                <w:lang w:bidi="tr-TR"/>
              </w:rPr>
              <w:t>SO</w:t>
            </w:r>
            <w:r w:rsidRPr="00F50C10">
              <w:rPr>
                <w:szCs w:val="24"/>
                <w:vertAlign w:val="subscript"/>
                <w:lang w:bidi="tr-TR"/>
              </w:rPr>
              <w:t>2</w:t>
            </w:r>
          </w:p>
        </w:tc>
        <w:tc>
          <w:tcPr>
            <w:tcW w:w="1429" w:type="pct"/>
            <w:vAlign w:val="center"/>
          </w:tcPr>
          <w:p w14:paraId="75D0CE36" w14:textId="77777777" w:rsidR="00B2620A" w:rsidRPr="00F50C10" w:rsidRDefault="00B2620A" w:rsidP="000B206D">
            <w:pPr>
              <w:pStyle w:val="TableParagraph"/>
              <w:spacing w:line="276" w:lineRule="auto"/>
              <w:ind w:left="108" w:right="108"/>
              <w:jc w:val="both"/>
              <w:rPr>
                <w:szCs w:val="24"/>
              </w:rPr>
            </w:pPr>
            <w:r w:rsidRPr="00F50C10">
              <w:rPr>
                <w:szCs w:val="24"/>
                <w:lang w:bidi="tr-TR"/>
              </w:rPr>
              <w:t>Tüm prosesler/kaynaklar (</w:t>
            </w:r>
            <w:r w:rsidRPr="00F50C10">
              <w:rPr>
                <w:szCs w:val="24"/>
                <w:vertAlign w:val="superscript"/>
                <w:lang w:bidi="tr-TR"/>
              </w:rPr>
              <w:t>3</w:t>
            </w:r>
            <w:r w:rsidRPr="00F50C10">
              <w:rPr>
                <w:szCs w:val="24"/>
                <w:lang w:bidi="tr-TR"/>
              </w:rPr>
              <w:t>)</w:t>
            </w:r>
          </w:p>
        </w:tc>
        <w:tc>
          <w:tcPr>
            <w:tcW w:w="854" w:type="pct"/>
            <w:vAlign w:val="center"/>
          </w:tcPr>
          <w:p w14:paraId="6683F409" w14:textId="77777777" w:rsidR="00B2620A" w:rsidRPr="00F50C10" w:rsidRDefault="00B2620A" w:rsidP="000B206D">
            <w:pPr>
              <w:pStyle w:val="TableParagraph"/>
              <w:spacing w:line="276" w:lineRule="auto"/>
              <w:ind w:left="108" w:right="108"/>
              <w:jc w:val="both"/>
              <w:rPr>
                <w:szCs w:val="24"/>
              </w:rPr>
            </w:pPr>
            <w:r w:rsidRPr="00F50C10">
              <w:rPr>
                <w:szCs w:val="24"/>
                <w:lang w:bidi="tr-TR"/>
              </w:rPr>
              <w:t>EN 14791</w:t>
            </w:r>
          </w:p>
        </w:tc>
        <w:tc>
          <w:tcPr>
            <w:tcW w:w="1022" w:type="pct"/>
            <w:vAlign w:val="center"/>
          </w:tcPr>
          <w:p w14:paraId="6F35F860" w14:textId="77777777" w:rsidR="00B2620A" w:rsidRPr="00F50C10" w:rsidRDefault="00B2620A" w:rsidP="000B206D">
            <w:pPr>
              <w:pStyle w:val="TableParagraph"/>
              <w:spacing w:line="276" w:lineRule="auto"/>
              <w:ind w:left="747" w:right="108" w:hanging="639"/>
              <w:jc w:val="both"/>
              <w:rPr>
                <w:szCs w:val="24"/>
              </w:rPr>
            </w:pPr>
            <w:r w:rsidRPr="00F50C10">
              <w:rPr>
                <w:szCs w:val="24"/>
                <w:lang w:bidi="tr-TR"/>
              </w:rPr>
              <w:t>Ayda bir (</w:t>
            </w:r>
            <w:r w:rsidRPr="00F50C10">
              <w:rPr>
                <w:b/>
                <w:szCs w:val="24"/>
                <w:vertAlign w:val="superscript"/>
                <w:lang w:bidi="tr-TR"/>
              </w:rPr>
              <w:t>2</w:t>
            </w:r>
            <w:r w:rsidRPr="00F50C10">
              <w:rPr>
                <w:szCs w:val="24"/>
                <w:lang w:bidi="tr-TR"/>
              </w:rPr>
              <w:t>)</w:t>
            </w:r>
          </w:p>
        </w:tc>
        <w:tc>
          <w:tcPr>
            <w:tcW w:w="624" w:type="pct"/>
            <w:vAlign w:val="center"/>
          </w:tcPr>
          <w:p w14:paraId="0486656D" w14:textId="77777777" w:rsidR="00B2620A" w:rsidRPr="00F50C10" w:rsidRDefault="00B2620A" w:rsidP="000B206D">
            <w:pPr>
              <w:pStyle w:val="TableParagraph"/>
              <w:spacing w:line="276" w:lineRule="auto"/>
              <w:ind w:left="108" w:right="108"/>
              <w:jc w:val="both"/>
              <w:rPr>
                <w:szCs w:val="24"/>
              </w:rPr>
            </w:pPr>
            <w:r w:rsidRPr="00F50C10">
              <w:rPr>
                <w:szCs w:val="24"/>
              </w:rPr>
              <w:t>MET 12</w:t>
            </w:r>
          </w:p>
        </w:tc>
      </w:tr>
      <w:tr w:rsidR="00B2620A" w:rsidRPr="00F50C10" w14:paraId="33DD33E0" w14:textId="77777777" w:rsidTr="00B2620A">
        <w:trPr>
          <w:trHeight w:val="690"/>
          <w:jc w:val="center"/>
        </w:trPr>
        <w:tc>
          <w:tcPr>
            <w:tcW w:w="1070" w:type="pct"/>
            <w:vAlign w:val="center"/>
          </w:tcPr>
          <w:p w14:paraId="66BD28EA" w14:textId="77777777" w:rsidR="00B2620A" w:rsidRPr="00F50C10" w:rsidRDefault="00B2620A" w:rsidP="000B206D">
            <w:pPr>
              <w:pStyle w:val="TableParagraph"/>
              <w:spacing w:line="276" w:lineRule="auto"/>
              <w:ind w:left="108" w:right="108"/>
              <w:jc w:val="both"/>
              <w:rPr>
                <w:szCs w:val="24"/>
              </w:rPr>
            </w:pPr>
            <w:r w:rsidRPr="00F50C10">
              <w:rPr>
                <w:w w:val="95"/>
                <w:szCs w:val="24"/>
                <w:lang w:bidi="tr-TR"/>
              </w:rPr>
              <w:t>Tetraklorometan</w:t>
            </w:r>
          </w:p>
        </w:tc>
        <w:tc>
          <w:tcPr>
            <w:tcW w:w="1429" w:type="pct"/>
            <w:vAlign w:val="center"/>
          </w:tcPr>
          <w:p w14:paraId="01D78C2D" w14:textId="77777777" w:rsidR="00B2620A" w:rsidRPr="00F50C10" w:rsidRDefault="00B2620A" w:rsidP="000B206D">
            <w:pPr>
              <w:pStyle w:val="TableParagraph"/>
              <w:spacing w:line="276" w:lineRule="auto"/>
              <w:ind w:left="108" w:right="108"/>
              <w:jc w:val="both"/>
              <w:rPr>
                <w:szCs w:val="24"/>
              </w:rPr>
            </w:pPr>
            <w:r w:rsidRPr="00F50C10">
              <w:rPr>
                <w:szCs w:val="24"/>
                <w:lang w:bidi="tr-TR"/>
              </w:rPr>
              <w:t>TDI/MDI (</w:t>
            </w:r>
            <w:r w:rsidRPr="00F50C10">
              <w:rPr>
                <w:szCs w:val="24"/>
                <w:vertAlign w:val="superscript"/>
                <w:lang w:bidi="tr-TR"/>
              </w:rPr>
              <w:t>1</w:t>
            </w:r>
            <w:r w:rsidRPr="00F50C10">
              <w:rPr>
                <w:szCs w:val="24"/>
                <w:lang w:bidi="tr-TR"/>
              </w:rPr>
              <w:t>)</w:t>
            </w:r>
          </w:p>
        </w:tc>
        <w:tc>
          <w:tcPr>
            <w:tcW w:w="854" w:type="pct"/>
            <w:vAlign w:val="center"/>
          </w:tcPr>
          <w:p w14:paraId="452954CB" w14:textId="77777777" w:rsidR="00B2620A" w:rsidRPr="00F50C10" w:rsidRDefault="00B2620A" w:rsidP="000B206D">
            <w:pPr>
              <w:pStyle w:val="TableParagraph"/>
              <w:spacing w:line="276" w:lineRule="auto"/>
              <w:ind w:left="108" w:right="108"/>
              <w:jc w:val="both"/>
              <w:rPr>
                <w:szCs w:val="24"/>
              </w:rPr>
            </w:pPr>
            <w:r w:rsidRPr="00F50C10">
              <w:rPr>
                <w:szCs w:val="24"/>
                <w:lang w:bidi="tr-TR"/>
              </w:rPr>
              <w:t>EN standardı yok</w:t>
            </w:r>
          </w:p>
        </w:tc>
        <w:tc>
          <w:tcPr>
            <w:tcW w:w="1022" w:type="pct"/>
            <w:vAlign w:val="center"/>
          </w:tcPr>
          <w:p w14:paraId="5DA6BD4C" w14:textId="77777777" w:rsidR="00B2620A" w:rsidRPr="00F50C10" w:rsidRDefault="00B2620A" w:rsidP="000B206D">
            <w:pPr>
              <w:pStyle w:val="TableParagraph"/>
              <w:spacing w:line="276" w:lineRule="auto"/>
              <w:ind w:left="747" w:right="108" w:hanging="639"/>
              <w:jc w:val="both"/>
              <w:rPr>
                <w:szCs w:val="24"/>
              </w:rPr>
            </w:pPr>
            <w:r w:rsidRPr="00F50C10">
              <w:rPr>
                <w:szCs w:val="24"/>
                <w:lang w:bidi="tr-TR"/>
              </w:rPr>
              <w:t>Ayda bir (</w:t>
            </w:r>
            <w:r w:rsidRPr="00F50C10">
              <w:rPr>
                <w:b/>
                <w:szCs w:val="24"/>
                <w:vertAlign w:val="superscript"/>
                <w:lang w:bidi="tr-TR"/>
              </w:rPr>
              <w:t>2</w:t>
            </w:r>
            <w:r w:rsidRPr="00F50C10">
              <w:rPr>
                <w:szCs w:val="24"/>
                <w:lang w:bidi="tr-TR"/>
              </w:rPr>
              <w:t>)</w:t>
            </w:r>
          </w:p>
        </w:tc>
        <w:tc>
          <w:tcPr>
            <w:tcW w:w="624" w:type="pct"/>
            <w:vAlign w:val="center"/>
          </w:tcPr>
          <w:p w14:paraId="60B8FD60" w14:textId="77777777" w:rsidR="00B2620A" w:rsidRPr="00F50C10" w:rsidRDefault="00B2620A" w:rsidP="000B206D">
            <w:pPr>
              <w:pStyle w:val="TableParagraph"/>
              <w:spacing w:line="276" w:lineRule="auto"/>
              <w:ind w:left="108" w:right="108"/>
              <w:jc w:val="both"/>
              <w:rPr>
                <w:szCs w:val="24"/>
              </w:rPr>
            </w:pPr>
            <w:r w:rsidRPr="00F50C10">
              <w:rPr>
                <w:szCs w:val="24"/>
              </w:rPr>
              <w:t>MET 66</w:t>
            </w:r>
          </w:p>
        </w:tc>
      </w:tr>
      <w:tr w:rsidR="00B2620A" w:rsidRPr="00F50C10" w14:paraId="23BBAE34" w14:textId="77777777" w:rsidTr="00B2620A">
        <w:trPr>
          <w:trHeight w:val="460"/>
          <w:jc w:val="center"/>
        </w:trPr>
        <w:tc>
          <w:tcPr>
            <w:tcW w:w="1070" w:type="pct"/>
            <w:vMerge w:val="restart"/>
            <w:vAlign w:val="center"/>
          </w:tcPr>
          <w:p w14:paraId="481BF6B6" w14:textId="77777777" w:rsidR="00B2620A" w:rsidRPr="00F50C10" w:rsidRDefault="00B2620A" w:rsidP="000B206D">
            <w:pPr>
              <w:pStyle w:val="TableParagraph"/>
              <w:spacing w:before="9" w:line="276" w:lineRule="auto"/>
              <w:ind w:left="108" w:right="108"/>
              <w:jc w:val="both"/>
              <w:rPr>
                <w:b/>
                <w:bCs/>
                <w:szCs w:val="24"/>
              </w:rPr>
            </w:pPr>
            <w:r w:rsidRPr="00F50C10">
              <w:rPr>
                <w:szCs w:val="24"/>
                <w:lang w:bidi="tr-TR"/>
              </w:rPr>
              <w:t>TUOB</w:t>
            </w:r>
          </w:p>
        </w:tc>
        <w:tc>
          <w:tcPr>
            <w:tcW w:w="1429" w:type="pct"/>
            <w:vAlign w:val="center"/>
          </w:tcPr>
          <w:p w14:paraId="73D471E4" w14:textId="77777777" w:rsidR="00B2620A" w:rsidRPr="00F50C10" w:rsidRDefault="00B2620A" w:rsidP="000B206D">
            <w:pPr>
              <w:pStyle w:val="TableParagraph"/>
              <w:spacing w:line="276" w:lineRule="auto"/>
              <w:ind w:left="108" w:right="108"/>
              <w:jc w:val="both"/>
              <w:rPr>
                <w:szCs w:val="24"/>
              </w:rPr>
            </w:pPr>
            <w:r w:rsidRPr="00F50C10">
              <w:rPr>
                <w:szCs w:val="24"/>
                <w:lang w:bidi="tr-TR"/>
              </w:rPr>
              <w:t>TDI/MDI</w:t>
            </w:r>
          </w:p>
        </w:tc>
        <w:tc>
          <w:tcPr>
            <w:tcW w:w="854" w:type="pct"/>
            <w:vMerge w:val="restart"/>
            <w:vAlign w:val="center"/>
          </w:tcPr>
          <w:p w14:paraId="3822267F" w14:textId="77777777" w:rsidR="00B2620A" w:rsidRPr="00F50C10" w:rsidRDefault="00B2620A" w:rsidP="000B206D">
            <w:pPr>
              <w:pStyle w:val="TableParagraph"/>
              <w:spacing w:line="276" w:lineRule="auto"/>
              <w:ind w:left="108" w:right="108"/>
              <w:jc w:val="both"/>
              <w:rPr>
                <w:b/>
                <w:bCs/>
                <w:szCs w:val="24"/>
              </w:rPr>
            </w:pPr>
            <w:r w:rsidRPr="00F50C10">
              <w:rPr>
                <w:szCs w:val="24"/>
                <w:lang w:bidi="tr-TR"/>
              </w:rPr>
              <w:t>EN 12619</w:t>
            </w:r>
          </w:p>
        </w:tc>
        <w:tc>
          <w:tcPr>
            <w:tcW w:w="1022" w:type="pct"/>
            <w:vAlign w:val="center"/>
          </w:tcPr>
          <w:p w14:paraId="112BBAEB" w14:textId="77777777" w:rsidR="00B2620A" w:rsidRPr="00F50C10" w:rsidRDefault="00B2620A" w:rsidP="000B206D">
            <w:pPr>
              <w:pStyle w:val="TableParagraph"/>
              <w:spacing w:line="276" w:lineRule="auto"/>
              <w:ind w:left="108" w:right="108"/>
              <w:jc w:val="both"/>
              <w:rPr>
                <w:szCs w:val="24"/>
              </w:rPr>
            </w:pPr>
            <w:r w:rsidRPr="00F50C10">
              <w:rPr>
                <w:szCs w:val="24"/>
                <w:lang w:bidi="tr-TR"/>
              </w:rPr>
              <w:t>Ayda bir (</w:t>
            </w:r>
            <w:r w:rsidRPr="00F50C10">
              <w:rPr>
                <w:b/>
                <w:szCs w:val="24"/>
                <w:vertAlign w:val="superscript"/>
                <w:lang w:bidi="tr-TR"/>
              </w:rPr>
              <w:t>2</w:t>
            </w:r>
            <w:r w:rsidRPr="00F50C10">
              <w:rPr>
                <w:szCs w:val="24"/>
                <w:lang w:bidi="tr-TR"/>
              </w:rPr>
              <w:t>)</w:t>
            </w:r>
          </w:p>
        </w:tc>
        <w:tc>
          <w:tcPr>
            <w:tcW w:w="624" w:type="pct"/>
            <w:vAlign w:val="center"/>
          </w:tcPr>
          <w:p w14:paraId="55AE889C" w14:textId="77777777" w:rsidR="00B2620A" w:rsidRPr="00F50C10" w:rsidRDefault="00B2620A" w:rsidP="000B206D">
            <w:pPr>
              <w:pStyle w:val="TableParagraph"/>
              <w:spacing w:line="276" w:lineRule="auto"/>
              <w:ind w:left="108" w:right="108"/>
              <w:jc w:val="both"/>
              <w:rPr>
                <w:szCs w:val="24"/>
              </w:rPr>
            </w:pPr>
            <w:r w:rsidRPr="00F50C10">
              <w:rPr>
                <w:szCs w:val="24"/>
              </w:rPr>
              <w:t>MET 66</w:t>
            </w:r>
          </w:p>
        </w:tc>
      </w:tr>
      <w:tr w:rsidR="00B2620A" w:rsidRPr="00F50C10" w14:paraId="3C58BA8D" w14:textId="77777777" w:rsidTr="00B2620A">
        <w:trPr>
          <w:trHeight w:val="460"/>
          <w:jc w:val="center"/>
        </w:trPr>
        <w:tc>
          <w:tcPr>
            <w:tcW w:w="1070" w:type="pct"/>
            <w:vMerge/>
            <w:vAlign w:val="center"/>
          </w:tcPr>
          <w:p w14:paraId="7216B916" w14:textId="77777777" w:rsidR="00B2620A" w:rsidRPr="00F50C10" w:rsidRDefault="00B2620A" w:rsidP="000B206D">
            <w:pPr>
              <w:spacing w:line="276" w:lineRule="auto"/>
              <w:ind w:left="108" w:right="108"/>
              <w:rPr>
                <w:rFonts w:cs="Times New Roman"/>
                <w:szCs w:val="24"/>
              </w:rPr>
            </w:pPr>
          </w:p>
        </w:tc>
        <w:tc>
          <w:tcPr>
            <w:tcW w:w="1429" w:type="pct"/>
            <w:vAlign w:val="center"/>
          </w:tcPr>
          <w:p w14:paraId="6CC763AC" w14:textId="77777777" w:rsidR="00B2620A" w:rsidRPr="00F50C10" w:rsidRDefault="00B2620A" w:rsidP="000B206D">
            <w:pPr>
              <w:pStyle w:val="TableParagraph"/>
              <w:spacing w:line="276" w:lineRule="auto"/>
              <w:ind w:left="108" w:right="108"/>
              <w:jc w:val="both"/>
              <w:rPr>
                <w:szCs w:val="24"/>
              </w:rPr>
            </w:pPr>
            <w:r w:rsidRPr="00F50C10">
              <w:rPr>
                <w:szCs w:val="24"/>
                <w:lang w:bidi="tr-TR"/>
              </w:rPr>
              <w:t>EO (CO</w:t>
            </w:r>
            <w:r w:rsidRPr="00F50C10">
              <w:rPr>
                <w:szCs w:val="24"/>
                <w:vertAlign w:val="subscript"/>
                <w:lang w:bidi="tr-TR"/>
              </w:rPr>
              <w:t>2</w:t>
            </w:r>
            <w:r w:rsidRPr="00F50C10">
              <w:rPr>
                <w:szCs w:val="24"/>
                <w:lang w:bidi="tr-TR"/>
              </w:rPr>
              <w:t>'nin</w:t>
            </w:r>
          </w:p>
          <w:p w14:paraId="38479FDE" w14:textId="686C6B4E" w:rsidR="00B2620A" w:rsidRPr="00F50C10" w:rsidRDefault="00B2620A" w:rsidP="000B206D">
            <w:pPr>
              <w:pStyle w:val="TableParagraph"/>
              <w:spacing w:line="276" w:lineRule="auto"/>
              <w:ind w:left="108" w:right="108"/>
              <w:jc w:val="both"/>
              <w:rPr>
                <w:szCs w:val="24"/>
              </w:rPr>
            </w:pPr>
            <w:r w:rsidRPr="00F50C10">
              <w:rPr>
                <w:szCs w:val="24"/>
                <w:lang w:bidi="tr-TR"/>
              </w:rPr>
              <w:t>yıkama ortamı</w:t>
            </w:r>
            <w:r w:rsidR="0051669D" w:rsidRPr="00F50C10">
              <w:rPr>
                <w:szCs w:val="24"/>
                <w:lang w:bidi="tr-TR"/>
              </w:rPr>
              <w:t>ndan desorpsiyonu</w:t>
            </w:r>
            <w:r w:rsidRPr="00F50C10">
              <w:rPr>
                <w:szCs w:val="24"/>
                <w:lang w:bidi="tr-TR"/>
              </w:rPr>
              <w:t>)</w:t>
            </w:r>
          </w:p>
        </w:tc>
        <w:tc>
          <w:tcPr>
            <w:tcW w:w="854" w:type="pct"/>
            <w:vMerge/>
            <w:vAlign w:val="center"/>
          </w:tcPr>
          <w:p w14:paraId="2ECCCE28" w14:textId="77777777" w:rsidR="00B2620A" w:rsidRPr="00F50C10" w:rsidRDefault="00B2620A" w:rsidP="000B206D">
            <w:pPr>
              <w:spacing w:line="276" w:lineRule="auto"/>
              <w:ind w:left="108" w:right="108"/>
              <w:rPr>
                <w:rFonts w:cs="Times New Roman"/>
                <w:szCs w:val="24"/>
              </w:rPr>
            </w:pPr>
          </w:p>
        </w:tc>
        <w:tc>
          <w:tcPr>
            <w:tcW w:w="1022" w:type="pct"/>
            <w:vAlign w:val="center"/>
          </w:tcPr>
          <w:p w14:paraId="020DAB74" w14:textId="77777777" w:rsidR="00B2620A" w:rsidRPr="00F50C10" w:rsidRDefault="00B2620A" w:rsidP="000B206D">
            <w:pPr>
              <w:pStyle w:val="TableParagraph"/>
              <w:spacing w:line="276" w:lineRule="auto"/>
              <w:ind w:left="108" w:right="108"/>
              <w:jc w:val="both"/>
              <w:rPr>
                <w:szCs w:val="24"/>
              </w:rPr>
            </w:pPr>
            <w:r w:rsidRPr="00F50C10">
              <w:rPr>
                <w:szCs w:val="24"/>
                <w:lang w:bidi="tr-TR"/>
              </w:rPr>
              <w:t>Her altı ayda bir (</w:t>
            </w:r>
            <w:r w:rsidRPr="00F50C10">
              <w:rPr>
                <w:szCs w:val="24"/>
                <w:vertAlign w:val="superscript"/>
                <w:lang w:bidi="tr-TR"/>
              </w:rPr>
              <w:t>2</w:t>
            </w:r>
            <w:r w:rsidRPr="00F50C10">
              <w:rPr>
                <w:szCs w:val="24"/>
                <w:lang w:bidi="tr-TR"/>
              </w:rPr>
              <w:t>)</w:t>
            </w:r>
          </w:p>
          <w:p w14:paraId="6177293A" w14:textId="77777777" w:rsidR="00B2620A" w:rsidRPr="00F50C10" w:rsidRDefault="00B2620A" w:rsidP="000B206D">
            <w:pPr>
              <w:pStyle w:val="TableParagraph"/>
              <w:spacing w:line="276" w:lineRule="auto"/>
              <w:ind w:left="108" w:right="108"/>
              <w:jc w:val="both"/>
              <w:rPr>
                <w:szCs w:val="24"/>
              </w:rPr>
            </w:pPr>
          </w:p>
        </w:tc>
        <w:tc>
          <w:tcPr>
            <w:tcW w:w="624" w:type="pct"/>
            <w:vAlign w:val="center"/>
          </w:tcPr>
          <w:p w14:paraId="337576BB" w14:textId="77777777" w:rsidR="00B2620A" w:rsidRPr="00F50C10" w:rsidRDefault="00B2620A" w:rsidP="000B206D">
            <w:pPr>
              <w:pStyle w:val="TableParagraph"/>
              <w:spacing w:line="276" w:lineRule="auto"/>
              <w:ind w:left="108" w:right="108"/>
              <w:jc w:val="both"/>
              <w:rPr>
                <w:szCs w:val="24"/>
              </w:rPr>
            </w:pPr>
            <w:r w:rsidRPr="00F50C10">
              <w:rPr>
                <w:szCs w:val="24"/>
              </w:rPr>
              <w:t>MET 51</w:t>
            </w:r>
          </w:p>
        </w:tc>
      </w:tr>
      <w:tr w:rsidR="00B2620A" w:rsidRPr="00F50C10" w14:paraId="5E1029F0" w14:textId="77777777" w:rsidTr="00B2620A">
        <w:trPr>
          <w:trHeight w:val="460"/>
          <w:jc w:val="center"/>
        </w:trPr>
        <w:tc>
          <w:tcPr>
            <w:tcW w:w="1070" w:type="pct"/>
            <w:vMerge/>
            <w:vAlign w:val="center"/>
          </w:tcPr>
          <w:p w14:paraId="32F98C2A" w14:textId="77777777" w:rsidR="00B2620A" w:rsidRPr="00F50C10" w:rsidRDefault="00B2620A" w:rsidP="000B206D">
            <w:pPr>
              <w:pStyle w:val="TableParagraph"/>
              <w:spacing w:line="276" w:lineRule="auto"/>
              <w:ind w:left="108" w:right="108"/>
              <w:jc w:val="both"/>
              <w:rPr>
                <w:szCs w:val="24"/>
              </w:rPr>
            </w:pPr>
          </w:p>
        </w:tc>
        <w:tc>
          <w:tcPr>
            <w:tcW w:w="1429" w:type="pct"/>
            <w:vAlign w:val="center"/>
          </w:tcPr>
          <w:p w14:paraId="2A82F20A" w14:textId="77777777" w:rsidR="00B2620A" w:rsidRPr="00F50C10" w:rsidRDefault="00B2620A" w:rsidP="000B206D">
            <w:pPr>
              <w:pStyle w:val="TableParagraph"/>
              <w:spacing w:line="276" w:lineRule="auto"/>
              <w:ind w:left="108" w:right="108"/>
              <w:jc w:val="both"/>
              <w:rPr>
                <w:szCs w:val="24"/>
              </w:rPr>
            </w:pPr>
            <w:r w:rsidRPr="00F50C10">
              <w:rPr>
                <w:szCs w:val="24"/>
                <w:lang w:bidi="tr-TR"/>
              </w:rPr>
              <w:t>Formaldehit</w:t>
            </w:r>
          </w:p>
        </w:tc>
        <w:tc>
          <w:tcPr>
            <w:tcW w:w="854" w:type="pct"/>
            <w:vMerge/>
            <w:vAlign w:val="center"/>
          </w:tcPr>
          <w:p w14:paraId="7C8C27BF" w14:textId="77777777" w:rsidR="00B2620A" w:rsidRPr="00F50C10" w:rsidRDefault="00B2620A" w:rsidP="000B206D">
            <w:pPr>
              <w:pStyle w:val="TableParagraph"/>
              <w:spacing w:line="276" w:lineRule="auto"/>
              <w:ind w:left="108" w:right="108"/>
              <w:jc w:val="both"/>
              <w:rPr>
                <w:szCs w:val="24"/>
              </w:rPr>
            </w:pPr>
          </w:p>
        </w:tc>
        <w:tc>
          <w:tcPr>
            <w:tcW w:w="1022" w:type="pct"/>
            <w:tcBorders>
              <w:left w:val="single" w:sz="6" w:space="0" w:color="000000" w:themeColor="text1"/>
            </w:tcBorders>
            <w:vAlign w:val="center"/>
          </w:tcPr>
          <w:p w14:paraId="27DDBA7B" w14:textId="77777777" w:rsidR="00B2620A" w:rsidRPr="00F50C10" w:rsidRDefault="00B2620A" w:rsidP="000B206D">
            <w:pPr>
              <w:pStyle w:val="TableParagraph"/>
              <w:spacing w:line="276" w:lineRule="auto"/>
              <w:ind w:left="747" w:right="108" w:hanging="639"/>
              <w:jc w:val="both"/>
              <w:rPr>
                <w:szCs w:val="24"/>
              </w:rPr>
            </w:pPr>
            <w:r w:rsidRPr="00F50C10">
              <w:rPr>
                <w:szCs w:val="24"/>
                <w:lang w:bidi="tr-TR"/>
              </w:rPr>
              <w:t>Ayda bir (</w:t>
            </w:r>
            <w:r w:rsidRPr="00F50C10">
              <w:rPr>
                <w:b/>
                <w:szCs w:val="24"/>
                <w:vertAlign w:val="superscript"/>
                <w:lang w:bidi="tr-TR"/>
              </w:rPr>
              <w:t>2</w:t>
            </w:r>
            <w:r w:rsidRPr="00F50C10">
              <w:rPr>
                <w:szCs w:val="24"/>
                <w:lang w:bidi="tr-TR"/>
              </w:rPr>
              <w:t>)</w:t>
            </w:r>
          </w:p>
        </w:tc>
        <w:tc>
          <w:tcPr>
            <w:tcW w:w="624" w:type="pct"/>
            <w:vAlign w:val="center"/>
          </w:tcPr>
          <w:p w14:paraId="0047D056" w14:textId="77777777" w:rsidR="00B2620A" w:rsidRPr="00F50C10" w:rsidRDefault="002A1746" w:rsidP="000B206D">
            <w:pPr>
              <w:pStyle w:val="TableParagraph"/>
              <w:spacing w:line="276" w:lineRule="auto"/>
              <w:ind w:left="108" w:right="108"/>
              <w:jc w:val="both"/>
              <w:rPr>
                <w:szCs w:val="24"/>
              </w:rPr>
            </w:pPr>
            <w:hyperlink w:anchor="_bookmark776" w:history="1">
              <w:r w:rsidR="00B2620A" w:rsidRPr="00F50C10">
                <w:rPr>
                  <w:szCs w:val="24"/>
                  <w:lang w:bidi="tr-TR"/>
                </w:rPr>
                <w:t>MET</w:t>
              </w:r>
            </w:hyperlink>
            <w:r w:rsidR="00B2620A" w:rsidRPr="00F50C10">
              <w:rPr>
                <w:szCs w:val="24"/>
                <w:lang w:bidi="tr-TR"/>
              </w:rPr>
              <w:t xml:space="preserve"> 45</w:t>
            </w:r>
          </w:p>
        </w:tc>
      </w:tr>
      <w:tr w:rsidR="00B2620A" w:rsidRPr="00F50C10" w14:paraId="498A5C3B" w14:textId="77777777" w:rsidTr="00B2620A">
        <w:trPr>
          <w:trHeight w:val="691"/>
          <w:jc w:val="center"/>
        </w:trPr>
        <w:tc>
          <w:tcPr>
            <w:tcW w:w="1070" w:type="pct"/>
            <w:vMerge/>
            <w:vAlign w:val="center"/>
          </w:tcPr>
          <w:p w14:paraId="2D25CCF5" w14:textId="77777777" w:rsidR="00B2620A" w:rsidRPr="00F50C10" w:rsidRDefault="00B2620A" w:rsidP="000B206D">
            <w:pPr>
              <w:spacing w:line="276" w:lineRule="auto"/>
              <w:ind w:left="108" w:right="108"/>
              <w:rPr>
                <w:rFonts w:cs="Times New Roman"/>
                <w:szCs w:val="24"/>
              </w:rPr>
            </w:pPr>
          </w:p>
        </w:tc>
        <w:tc>
          <w:tcPr>
            <w:tcW w:w="1429" w:type="pct"/>
            <w:vAlign w:val="center"/>
          </w:tcPr>
          <w:p w14:paraId="645F1D15" w14:textId="1AC1C2A9" w:rsidR="00B2620A" w:rsidRPr="00F50C10" w:rsidRDefault="0019341B" w:rsidP="000B206D">
            <w:pPr>
              <w:pStyle w:val="TableParagraph"/>
              <w:spacing w:line="276" w:lineRule="auto"/>
              <w:ind w:left="108" w:right="108"/>
              <w:jc w:val="both"/>
              <w:rPr>
                <w:szCs w:val="24"/>
              </w:rPr>
            </w:pPr>
            <w:r w:rsidRPr="00F50C10">
              <w:rPr>
                <w:szCs w:val="24"/>
                <w:lang w:bidi="tr-TR"/>
              </w:rPr>
              <w:t>Fenol üretiminde kümen oksidasyon ünitesinden çıkan atık gaz</w:t>
            </w:r>
          </w:p>
        </w:tc>
        <w:tc>
          <w:tcPr>
            <w:tcW w:w="854" w:type="pct"/>
            <w:vMerge w:val="restart"/>
            <w:tcBorders>
              <w:right w:val="single" w:sz="6" w:space="0" w:color="000000" w:themeColor="text1"/>
            </w:tcBorders>
            <w:vAlign w:val="center"/>
          </w:tcPr>
          <w:p w14:paraId="2FEB8ACB" w14:textId="77777777" w:rsidR="00B2620A" w:rsidRPr="00F50C10" w:rsidRDefault="00B2620A" w:rsidP="000B206D">
            <w:pPr>
              <w:pStyle w:val="TableParagraph"/>
              <w:spacing w:line="276" w:lineRule="auto"/>
              <w:ind w:left="108" w:right="108"/>
              <w:jc w:val="both"/>
              <w:rPr>
                <w:b/>
                <w:bCs/>
                <w:szCs w:val="24"/>
              </w:rPr>
            </w:pPr>
            <w:r w:rsidRPr="00F50C10">
              <w:rPr>
                <w:szCs w:val="24"/>
                <w:lang w:bidi="tr-TR"/>
              </w:rPr>
              <w:t>EN 12619</w:t>
            </w:r>
          </w:p>
        </w:tc>
        <w:tc>
          <w:tcPr>
            <w:tcW w:w="1022" w:type="pct"/>
            <w:tcBorders>
              <w:left w:val="single" w:sz="6" w:space="0" w:color="000000" w:themeColor="text1"/>
            </w:tcBorders>
            <w:vAlign w:val="center"/>
          </w:tcPr>
          <w:p w14:paraId="7A385141" w14:textId="77777777" w:rsidR="00B2620A" w:rsidRPr="00F50C10" w:rsidRDefault="00B2620A" w:rsidP="000B206D">
            <w:pPr>
              <w:pStyle w:val="TableParagraph"/>
              <w:spacing w:line="276" w:lineRule="auto"/>
              <w:ind w:left="747" w:right="108" w:hanging="639"/>
              <w:jc w:val="both"/>
              <w:rPr>
                <w:szCs w:val="24"/>
              </w:rPr>
            </w:pPr>
            <w:r w:rsidRPr="00F50C10">
              <w:rPr>
                <w:szCs w:val="24"/>
                <w:lang w:bidi="tr-TR"/>
              </w:rPr>
              <w:t>Ayda bir (</w:t>
            </w:r>
            <w:r w:rsidRPr="00F50C10">
              <w:rPr>
                <w:b/>
                <w:szCs w:val="24"/>
                <w:vertAlign w:val="superscript"/>
                <w:lang w:bidi="tr-TR"/>
              </w:rPr>
              <w:t>2</w:t>
            </w:r>
            <w:r w:rsidRPr="00F50C10">
              <w:rPr>
                <w:szCs w:val="24"/>
                <w:lang w:bidi="tr-TR"/>
              </w:rPr>
              <w:t>)</w:t>
            </w:r>
          </w:p>
        </w:tc>
        <w:tc>
          <w:tcPr>
            <w:tcW w:w="624" w:type="pct"/>
            <w:vMerge w:val="restart"/>
            <w:vAlign w:val="center"/>
          </w:tcPr>
          <w:p w14:paraId="5D921DB4" w14:textId="77777777" w:rsidR="00B2620A" w:rsidRPr="00F50C10" w:rsidRDefault="00B2620A" w:rsidP="000B206D">
            <w:pPr>
              <w:pStyle w:val="TableParagraph"/>
              <w:spacing w:line="276" w:lineRule="auto"/>
              <w:ind w:left="108" w:right="108"/>
              <w:jc w:val="both"/>
              <w:rPr>
                <w:szCs w:val="24"/>
              </w:rPr>
            </w:pPr>
            <w:r w:rsidRPr="00F50C10">
              <w:rPr>
                <w:szCs w:val="24"/>
              </w:rPr>
              <w:t>MET 57</w:t>
            </w:r>
          </w:p>
        </w:tc>
      </w:tr>
      <w:tr w:rsidR="00B2620A" w:rsidRPr="00F50C10" w14:paraId="25400A40" w14:textId="77777777" w:rsidTr="00B2620A">
        <w:trPr>
          <w:trHeight w:val="918"/>
          <w:jc w:val="center"/>
        </w:trPr>
        <w:tc>
          <w:tcPr>
            <w:tcW w:w="1070" w:type="pct"/>
            <w:vMerge/>
            <w:vAlign w:val="center"/>
          </w:tcPr>
          <w:p w14:paraId="5C01151B" w14:textId="77777777" w:rsidR="00B2620A" w:rsidRPr="00F50C10" w:rsidRDefault="00B2620A" w:rsidP="000B206D">
            <w:pPr>
              <w:spacing w:line="276" w:lineRule="auto"/>
              <w:ind w:left="108" w:right="108"/>
              <w:rPr>
                <w:rFonts w:cs="Times New Roman"/>
                <w:szCs w:val="24"/>
              </w:rPr>
            </w:pPr>
          </w:p>
        </w:tc>
        <w:tc>
          <w:tcPr>
            <w:tcW w:w="1429" w:type="pct"/>
            <w:vAlign w:val="center"/>
          </w:tcPr>
          <w:p w14:paraId="269020C1" w14:textId="4AE70214" w:rsidR="00B2620A" w:rsidRPr="00F50C10" w:rsidRDefault="0019341B" w:rsidP="000B206D">
            <w:pPr>
              <w:pStyle w:val="TableParagraph"/>
              <w:spacing w:line="276" w:lineRule="auto"/>
              <w:ind w:left="108" w:right="108"/>
              <w:jc w:val="both"/>
              <w:rPr>
                <w:szCs w:val="24"/>
              </w:rPr>
            </w:pPr>
            <w:r w:rsidRPr="00F50C10">
              <w:rPr>
                <w:szCs w:val="24"/>
                <w:lang w:bidi="tr-TR"/>
              </w:rPr>
              <w:t>Fenol üretiminde diğer atık gaz akışlarıyla birleştirilmediğinde diğer kaynaklardan gelen atık gaz</w:t>
            </w:r>
            <w:r w:rsidRPr="00F50C10">
              <w:rPr>
                <w:szCs w:val="24"/>
              </w:rPr>
              <w:t xml:space="preserve"> </w:t>
            </w:r>
          </w:p>
        </w:tc>
        <w:tc>
          <w:tcPr>
            <w:tcW w:w="854" w:type="pct"/>
            <w:vMerge/>
            <w:vAlign w:val="center"/>
          </w:tcPr>
          <w:p w14:paraId="024557DF" w14:textId="77777777" w:rsidR="00B2620A" w:rsidRPr="00F50C10" w:rsidRDefault="00B2620A" w:rsidP="000B206D">
            <w:pPr>
              <w:spacing w:line="276" w:lineRule="auto"/>
              <w:ind w:left="108" w:right="108"/>
              <w:rPr>
                <w:rFonts w:cs="Times New Roman"/>
                <w:szCs w:val="24"/>
              </w:rPr>
            </w:pPr>
          </w:p>
        </w:tc>
        <w:tc>
          <w:tcPr>
            <w:tcW w:w="1022" w:type="pct"/>
            <w:tcBorders>
              <w:left w:val="single" w:sz="6" w:space="0" w:color="000000" w:themeColor="text1"/>
            </w:tcBorders>
            <w:vAlign w:val="center"/>
          </w:tcPr>
          <w:p w14:paraId="3948ABA0" w14:textId="77777777" w:rsidR="00B2620A" w:rsidRPr="00F50C10" w:rsidRDefault="00B2620A" w:rsidP="000B206D">
            <w:pPr>
              <w:pStyle w:val="TableParagraph"/>
              <w:spacing w:line="276" w:lineRule="auto"/>
              <w:ind w:left="663" w:right="108" w:hanging="555"/>
              <w:jc w:val="both"/>
              <w:rPr>
                <w:szCs w:val="24"/>
              </w:rPr>
            </w:pPr>
            <w:r w:rsidRPr="00F50C10">
              <w:rPr>
                <w:szCs w:val="24"/>
                <w:lang w:bidi="tr-TR"/>
              </w:rPr>
              <w:t>Yılda bir (</w:t>
            </w:r>
            <w:r w:rsidRPr="00F50C10">
              <w:rPr>
                <w:szCs w:val="24"/>
                <w:vertAlign w:val="superscript"/>
                <w:lang w:bidi="tr-TR"/>
              </w:rPr>
              <w:t>2</w:t>
            </w:r>
            <w:r w:rsidRPr="00F50C10">
              <w:rPr>
                <w:szCs w:val="24"/>
                <w:lang w:bidi="tr-TR"/>
              </w:rPr>
              <w:t>)</w:t>
            </w:r>
          </w:p>
        </w:tc>
        <w:tc>
          <w:tcPr>
            <w:tcW w:w="624" w:type="pct"/>
            <w:vMerge/>
            <w:vAlign w:val="center"/>
          </w:tcPr>
          <w:p w14:paraId="33ECFA03" w14:textId="77777777" w:rsidR="00B2620A" w:rsidRPr="00F50C10" w:rsidRDefault="00B2620A" w:rsidP="000B206D">
            <w:pPr>
              <w:spacing w:line="276" w:lineRule="auto"/>
              <w:ind w:left="108" w:right="108"/>
              <w:rPr>
                <w:rFonts w:cs="Times New Roman"/>
                <w:szCs w:val="24"/>
              </w:rPr>
            </w:pPr>
          </w:p>
        </w:tc>
      </w:tr>
      <w:tr w:rsidR="00B2620A" w:rsidRPr="00F50C10" w14:paraId="6F7E42DB" w14:textId="77777777" w:rsidTr="00B2620A">
        <w:trPr>
          <w:trHeight w:val="460"/>
          <w:jc w:val="center"/>
        </w:trPr>
        <w:tc>
          <w:tcPr>
            <w:tcW w:w="1070" w:type="pct"/>
            <w:vMerge/>
            <w:vAlign w:val="center"/>
          </w:tcPr>
          <w:p w14:paraId="24D605D4" w14:textId="77777777" w:rsidR="00B2620A" w:rsidRPr="00F50C10" w:rsidRDefault="00B2620A" w:rsidP="000B206D">
            <w:pPr>
              <w:spacing w:line="276" w:lineRule="auto"/>
              <w:ind w:left="108" w:right="108"/>
              <w:rPr>
                <w:rFonts w:cs="Times New Roman"/>
                <w:szCs w:val="24"/>
              </w:rPr>
            </w:pPr>
          </w:p>
        </w:tc>
        <w:tc>
          <w:tcPr>
            <w:tcW w:w="1429" w:type="pct"/>
            <w:vAlign w:val="center"/>
          </w:tcPr>
          <w:p w14:paraId="41AA61EB" w14:textId="6BA89FE6" w:rsidR="0019341B" w:rsidRPr="00F50C10" w:rsidRDefault="0019341B" w:rsidP="000B206D">
            <w:pPr>
              <w:pStyle w:val="TableParagraph"/>
              <w:spacing w:line="276" w:lineRule="auto"/>
              <w:ind w:left="108" w:right="108"/>
              <w:jc w:val="both"/>
              <w:rPr>
                <w:szCs w:val="24"/>
              </w:rPr>
            </w:pPr>
            <w:r w:rsidRPr="00F50C10">
              <w:rPr>
                <w:szCs w:val="24"/>
              </w:rPr>
              <w:t>Hidrojen peroksit üretiminde oksidasyon ünitesinden çıkan atık gaz</w:t>
            </w:r>
          </w:p>
        </w:tc>
        <w:tc>
          <w:tcPr>
            <w:tcW w:w="854" w:type="pct"/>
            <w:vMerge/>
            <w:vAlign w:val="center"/>
          </w:tcPr>
          <w:p w14:paraId="407B4E49" w14:textId="77777777" w:rsidR="00B2620A" w:rsidRPr="00F50C10" w:rsidRDefault="00B2620A" w:rsidP="000B206D">
            <w:pPr>
              <w:spacing w:line="276" w:lineRule="auto"/>
              <w:ind w:left="108" w:right="108"/>
              <w:rPr>
                <w:rFonts w:cs="Times New Roman"/>
                <w:szCs w:val="24"/>
              </w:rPr>
            </w:pPr>
          </w:p>
        </w:tc>
        <w:tc>
          <w:tcPr>
            <w:tcW w:w="1022" w:type="pct"/>
            <w:tcBorders>
              <w:left w:val="single" w:sz="6" w:space="0" w:color="000000" w:themeColor="text1"/>
            </w:tcBorders>
            <w:vAlign w:val="center"/>
          </w:tcPr>
          <w:p w14:paraId="55771F29" w14:textId="77777777" w:rsidR="00B2620A" w:rsidRPr="00F50C10" w:rsidRDefault="00B2620A" w:rsidP="000B206D">
            <w:pPr>
              <w:pStyle w:val="TableParagraph"/>
              <w:spacing w:line="276" w:lineRule="auto"/>
              <w:ind w:left="747" w:right="108" w:hanging="639"/>
              <w:jc w:val="both"/>
              <w:rPr>
                <w:szCs w:val="24"/>
              </w:rPr>
            </w:pPr>
            <w:r w:rsidRPr="00F50C10">
              <w:rPr>
                <w:szCs w:val="24"/>
                <w:lang w:bidi="tr-TR"/>
              </w:rPr>
              <w:t>Ayda bir (</w:t>
            </w:r>
            <w:r w:rsidRPr="00F50C10">
              <w:rPr>
                <w:b/>
                <w:szCs w:val="24"/>
                <w:vertAlign w:val="superscript"/>
                <w:lang w:bidi="tr-TR"/>
              </w:rPr>
              <w:t>2</w:t>
            </w:r>
            <w:r w:rsidRPr="00F50C10">
              <w:rPr>
                <w:szCs w:val="24"/>
                <w:lang w:bidi="tr-TR"/>
              </w:rPr>
              <w:t>)</w:t>
            </w:r>
          </w:p>
        </w:tc>
        <w:tc>
          <w:tcPr>
            <w:tcW w:w="624" w:type="pct"/>
            <w:vAlign w:val="center"/>
          </w:tcPr>
          <w:p w14:paraId="55F33D29" w14:textId="77777777" w:rsidR="00B2620A" w:rsidRPr="00F50C10" w:rsidRDefault="002A1746" w:rsidP="000B206D">
            <w:pPr>
              <w:pStyle w:val="TableParagraph"/>
              <w:spacing w:line="276" w:lineRule="auto"/>
              <w:ind w:left="108" w:right="108"/>
              <w:jc w:val="both"/>
              <w:rPr>
                <w:szCs w:val="24"/>
              </w:rPr>
            </w:pPr>
            <w:hyperlink w:anchor="_bookmark799" w:history="1">
              <w:r w:rsidR="00B2620A" w:rsidRPr="00F50C10">
                <w:rPr>
                  <w:szCs w:val="24"/>
                  <w:lang w:bidi="tr-TR"/>
                </w:rPr>
                <w:t>MET</w:t>
              </w:r>
            </w:hyperlink>
            <w:r w:rsidR="00B2620A" w:rsidRPr="00F50C10">
              <w:rPr>
                <w:szCs w:val="24"/>
                <w:lang w:bidi="tr-TR"/>
              </w:rPr>
              <w:t xml:space="preserve"> 86</w:t>
            </w:r>
          </w:p>
        </w:tc>
      </w:tr>
      <w:tr w:rsidR="00B2620A" w:rsidRPr="00F50C10" w14:paraId="0F716186" w14:textId="77777777" w:rsidTr="00B2620A">
        <w:trPr>
          <w:trHeight w:val="460"/>
          <w:jc w:val="center"/>
        </w:trPr>
        <w:tc>
          <w:tcPr>
            <w:tcW w:w="1070" w:type="pct"/>
            <w:vMerge/>
            <w:vAlign w:val="center"/>
          </w:tcPr>
          <w:p w14:paraId="59D7BA27" w14:textId="77777777" w:rsidR="00B2620A" w:rsidRPr="00F50C10" w:rsidRDefault="00B2620A" w:rsidP="000B206D">
            <w:pPr>
              <w:spacing w:line="276" w:lineRule="auto"/>
              <w:ind w:left="108" w:right="108"/>
              <w:rPr>
                <w:rFonts w:cs="Times New Roman"/>
                <w:szCs w:val="24"/>
              </w:rPr>
            </w:pPr>
          </w:p>
        </w:tc>
        <w:tc>
          <w:tcPr>
            <w:tcW w:w="1429" w:type="pct"/>
            <w:vAlign w:val="center"/>
          </w:tcPr>
          <w:p w14:paraId="440D47E7" w14:textId="77777777" w:rsidR="00B2620A" w:rsidRPr="00F50C10" w:rsidRDefault="00B2620A" w:rsidP="000B206D">
            <w:pPr>
              <w:pStyle w:val="TableParagraph"/>
              <w:spacing w:before="108" w:line="276" w:lineRule="auto"/>
              <w:ind w:left="108" w:right="108"/>
              <w:jc w:val="both"/>
              <w:rPr>
                <w:szCs w:val="24"/>
              </w:rPr>
            </w:pPr>
            <w:r w:rsidRPr="00F50C10">
              <w:rPr>
                <w:szCs w:val="24"/>
                <w:lang w:bidi="tr-TR"/>
              </w:rPr>
              <w:t>EDC/VCM</w:t>
            </w:r>
          </w:p>
        </w:tc>
        <w:tc>
          <w:tcPr>
            <w:tcW w:w="854" w:type="pct"/>
            <w:vMerge/>
            <w:vAlign w:val="center"/>
          </w:tcPr>
          <w:p w14:paraId="4C8C4BAC" w14:textId="77777777" w:rsidR="00B2620A" w:rsidRPr="00F50C10" w:rsidRDefault="00B2620A" w:rsidP="000B206D">
            <w:pPr>
              <w:spacing w:line="276" w:lineRule="auto"/>
              <w:ind w:left="108" w:right="108"/>
              <w:rPr>
                <w:rFonts w:cs="Times New Roman"/>
                <w:szCs w:val="24"/>
              </w:rPr>
            </w:pPr>
          </w:p>
        </w:tc>
        <w:tc>
          <w:tcPr>
            <w:tcW w:w="1022" w:type="pct"/>
            <w:tcBorders>
              <w:left w:val="single" w:sz="6" w:space="0" w:color="000000" w:themeColor="text1"/>
            </w:tcBorders>
            <w:vAlign w:val="center"/>
          </w:tcPr>
          <w:p w14:paraId="3D3FEEC2" w14:textId="77777777" w:rsidR="00B2620A" w:rsidRPr="00F50C10" w:rsidRDefault="00B2620A" w:rsidP="000B206D">
            <w:pPr>
              <w:pStyle w:val="TableParagraph"/>
              <w:spacing w:line="276" w:lineRule="auto"/>
              <w:ind w:left="108" w:right="108"/>
              <w:jc w:val="both"/>
              <w:rPr>
                <w:szCs w:val="24"/>
              </w:rPr>
            </w:pPr>
            <w:r w:rsidRPr="00F50C10">
              <w:rPr>
                <w:szCs w:val="24"/>
                <w:lang w:bidi="tr-TR"/>
              </w:rPr>
              <w:t>Ayda bir (</w:t>
            </w:r>
            <w:r w:rsidRPr="00F50C10">
              <w:rPr>
                <w:b/>
                <w:bCs/>
                <w:szCs w:val="24"/>
                <w:vertAlign w:val="superscript"/>
                <w:lang w:bidi="tr-TR"/>
              </w:rPr>
              <w:t>2</w:t>
            </w:r>
            <w:r w:rsidRPr="00F50C10">
              <w:rPr>
                <w:szCs w:val="24"/>
                <w:lang w:bidi="tr-TR"/>
              </w:rPr>
              <w:t>)</w:t>
            </w:r>
          </w:p>
        </w:tc>
        <w:tc>
          <w:tcPr>
            <w:tcW w:w="624" w:type="pct"/>
            <w:vAlign w:val="center"/>
          </w:tcPr>
          <w:p w14:paraId="58B76A2F" w14:textId="77777777" w:rsidR="00B2620A" w:rsidRPr="00F50C10" w:rsidRDefault="002A1746" w:rsidP="000B206D">
            <w:pPr>
              <w:pStyle w:val="TableParagraph"/>
              <w:spacing w:line="276" w:lineRule="auto"/>
              <w:ind w:left="108" w:right="108"/>
              <w:jc w:val="both"/>
              <w:rPr>
                <w:szCs w:val="24"/>
              </w:rPr>
            </w:pPr>
            <w:hyperlink w:anchor="_bookmark788" w:history="1">
              <w:r w:rsidR="00B2620A" w:rsidRPr="00F50C10">
                <w:rPr>
                  <w:szCs w:val="24"/>
                  <w:lang w:bidi="tr-TR"/>
                </w:rPr>
                <w:t>MET</w:t>
              </w:r>
            </w:hyperlink>
            <w:r w:rsidR="00B2620A" w:rsidRPr="00F50C10">
              <w:rPr>
                <w:szCs w:val="24"/>
                <w:lang w:bidi="tr-TR"/>
              </w:rPr>
              <w:t xml:space="preserve"> 76</w:t>
            </w:r>
          </w:p>
        </w:tc>
      </w:tr>
      <w:tr w:rsidR="00B2620A" w:rsidRPr="00F50C10" w14:paraId="234029FA" w14:textId="77777777" w:rsidTr="00B2620A">
        <w:trPr>
          <w:trHeight w:val="460"/>
          <w:jc w:val="center"/>
        </w:trPr>
        <w:tc>
          <w:tcPr>
            <w:tcW w:w="1070" w:type="pct"/>
            <w:vMerge/>
            <w:vAlign w:val="center"/>
          </w:tcPr>
          <w:p w14:paraId="0BB6F9FF" w14:textId="77777777" w:rsidR="00B2620A" w:rsidRPr="00F50C10" w:rsidRDefault="00B2620A" w:rsidP="000B206D">
            <w:pPr>
              <w:spacing w:line="276" w:lineRule="auto"/>
              <w:ind w:left="108" w:right="108"/>
              <w:rPr>
                <w:rFonts w:cs="Times New Roman"/>
                <w:szCs w:val="24"/>
              </w:rPr>
            </w:pPr>
          </w:p>
        </w:tc>
        <w:tc>
          <w:tcPr>
            <w:tcW w:w="1429" w:type="pct"/>
            <w:vAlign w:val="center"/>
          </w:tcPr>
          <w:p w14:paraId="05A1547A" w14:textId="77777777" w:rsidR="00B2620A" w:rsidRPr="00F50C10" w:rsidRDefault="00B2620A" w:rsidP="000B206D">
            <w:pPr>
              <w:pStyle w:val="TableParagraph"/>
              <w:spacing w:line="276" w:lineRule="auto"/>
              <w:ind w:left="108" w:right="108"/>
              <w:jc w:val="both"/>
              <w:rPr>
                <w:szCs w:val="24"/>
              </w:rPr>
            </w:pPr>
            <w:r w:rsidRPr="00F50C10">
              <w:rPr>
                <w:szCs w:val="24"/>
                <w:lang w:bidi="tr-TR"/>
              </w:rPr>
              <w:t>Diğer tüm prosesler/kaynaklar (</w:t>
            </w:r>
            <w:r w:rsidRPr="00F50C10">
              <w:rPr>
                <w:szCs w:val="24"/>
                <w:vertAlign w:val="superscript"/>
                <w:lang w:bidi="tr-TR"/>
              </w:rPr>
              <w:t>3</w:t>
            </w:r>
            <w:r w:rsidRPr="00F50C10">
              <w:rPr>
                <w:szCs w:val="24"/>
                <w:lang w:bidi="tr-TR"/>
              </w:rPr>
              <w:t>)</w:t>
            </w:r>
          </w:p>
        </w:tc>
        <w:tc>
          <w:tcPr>
            <w:tcW w:w="854" w:type="pct"/>
            <w:vMerge/>
            <w:vAlign w:val="center"/>
          </w:tcPr>
          <w:p w14:paraId="19327F93" w14:textId="77777777" w:rsidR="00B2620A" w:rsidRPr="00F50C10" w:rsidRDefault="00B2620A" w:rsidP="000B206D">
            <w:pPr>
              <w:spacing w:line="276" w:lineRule="auto"/>
              <w:ind w:left="108" w:right="108"/>
              <w:rPr>
                <w:rFonts w:cs="Times New Roman"/>
                <w:szCs w:val="24"/>
              </w:rPr>
            </w:pPr>
          </w:p>
        </w:tc>
        <w:tc>
          <w:tcPr>
            <w:tcW w:w="1022" w:type="pct"/>
            <w:tcBorders>
              <w:left w:val="single" w:sz="6" w:space="0" w:color="000000" w:themeColor="text1"/>
            </w:tcBorders>
            <w:vAlign w:val="center"/>
          </w:tcPr>
          <w:p w14:paraId="4154E72B" w14:textId="77777777" w:rsidR="00B2620A" w:rsidRPr="00F50C10" w:rsidRDefault="00B2620A" w:rsidP="000B206D">
            <w:pPr>
              <w:pStyle w:val="TableParagraph"/>
              <w:spacing w:line="276" w:lineRule="auto"/>
              <w:ind w:left="108" w:right="108"/>
              <w:jc w:val="both"/>
              <w:rPr>
                <w:szCs w:val="24"/>
              </w:rPr>
            </w:pPr>
            <w:r w:rsidRPr="00F50C10">
              <w:rPr>
                <w:szCs w:val="24"/>
                <w:lang w:bidi="tr-TR"/>
              </w:rPr>
              <w:t>Ayda bir (</w:t>
            </w:r>
            <w:r w:rsidRPr="00F50C10">
              <w:rPr>
                <w:b/>
                <w:bCs/>
                <w:szCs w:val="24"/>
                <w:vertAlign w:val="superscript"/>
                <w:lang w:bidi="tr-TR"/>
              </w:rPr>
              <w:t>2</w:t>
            </w:r>
            <w:r w:rsidRPr="00F50C10">
              <w:rPr>
                <w:szCs w:val="24"/>
                <w:lang w:bidi="tr-TR"/>
              </w:rPr>
              <w:t>)</w:t>
            </w:r>
          </w:p>
        </w:tc>
        <w:tc>
          <w:tcPr>
            <w:tcW w:w="624" w:type="pct"/>
            <w:vAlign w:val="center"/>
          </w:tcPr>
          <w:p w14:paraId="7135425F" w14:textId="77777777" w:rsidR="00B2620A" w:rsidRPr="00F50C10" w:rsidRDefault="002A1746" w:rsidP="000B206D">
            <w:pPr>
              <w:pStyle w:val="TableParagraph"/>
              <w:spacing w:before="108" w:line="276" w:lineRule="auto"/>
              <w:ind w:left="108" w:right="108"/>
              <w:jc w:val="both"/>
              <w:rPr>
                <w:szCs w:val="24"/>
              </w:rPr>
            </w:pPr>
            <w:hyperlink w:anchor="_bookmark765" w:history="1">
              <w:r w:rsidR="00B2620A" w:rsidRPr="00F50C10">
                <w:rPr>
                  <w:szCs w:val="24"/>
                  <w:lang w:bidi="tr-TR"/>
                </w:rPr>
                <w:t>MET</w:t>
              </w:r>
            </w:hyperlink>
            <w:r w:rsidR="00B2620A" w:rsidRPr="00F50C10">
              <w:rPr>
                <w:szCs w:val="24"/>
                <w:lang w:bidi="tr-TR"/>
              </w:rPr>
              <w:t xml:space="preserve"> 10</w:t>
            </w:r>
          </w:p>
        </w:tc>
      </w:tr>
      <w:tr w:rsidR="00B2620A" w:rsidRPr="00F50C10" w14:paraId="173EB8C5" w14:textId="77777777" w:rsidTr="00B2620A">
        <w:trPr>
          <w:trHeight w:val="690"/>
          <w:jc w:val="center"/>
        </w:trPr>
        <w:tc>
          <w:tcPr>
            <w:tcW w:w="1070" w:type="pct"/>
            <w:vAlign w:val="center"/>
          </w:tcPr>
          <w:p w14:paraId="6F973236" w14:textId="77777777" w:rsidR="00B2620A" w:rsidRPr="00F50C10" w:rsidRDefault="00B2620A" w:rsidP="000B206D">
            <w:pPr>
              <w:pStyle w:val="TableParagraph"/>
              <w:spacing w:line="276" w:lineRule="auto"/>
              <w:ind w:left="108" w:right="108"/>
              <w:jc w:val="both"/>
              <w:rPr>
                <w:szCs w:val="24"/>
              </w:rPr>
            </w:pPr>
            <w:r w:rsidRPr="00F50C10">
              <w:rPr>
                <w:szCs w:val="24"/>
                <w:lang w:bidi="tr-TR"/>
              </w:rPr>
              <w:t>VCM</w:t>
            </w:r>
          </w:p>
        </w:tc>
        <w:tc>
          <w:tcPr>
            <w:tcW w:w="1429" w:type="pct"/>
            <w:vAlign w:val="center"/>
          </w:tcPr>
          <w:p w14:paraId="166E2C05" w14:textId="77777777" w:rsidR="00B2620A" w:rsidRPr="00F50C10" w:rsidRDefault="00B2620A" w:rsidP="000B206D">
            <w:pPr>
              <w:pStyle w:val="TableParagraph"/>
              <w:spacing w:line="276" w:lineRule="auto"/>
              <w:ind w:left="108" w:right="108"/>
              <w:jc w:val="both"/>
              <w:rPr>
                <w:szCs w:val="24"/>
              </w:rPr>
            </w:pPr>
            <w:r w:rsidRPr="00F50C10">
              <w:rPr>
                <w:szCs w:val="24"/>
                <w:lang w:bidi="tr-TR"/>
              </w:rPr>
              <w:t>EDC/VCM</w:t>
            </w:r>
          </w:p>
        </w:tc>
        <w:tc>
          <w:tcPr>
            <w:tcW w:w="854" w:type="pct"/>
            <w:tcBorders>
              <w:right w:val="single" w:sz="6" w:space="0" w:color="000000" w:themeColor="text1"/>
            </w:tcBorders>
            <w:vAlign w:val="center"/>
          </w:tcPr>
          <w:p w14:paraId="1B9B6C99" w14:textId="77777777" w:rsidR="00B2620A" w:rsidRPr="00F50C10" w:rsidRDefault="00B2620A" w:rsidP="000B206D">
            <w:pPr>
              <w:pStyle w:val="TableParagraph"/>
              <w:spacing w:line="276" w:lineRule="auto"/>
              <w:ind w:left="108" w:right="108"/>
              <w:jc w:val="both"/>
              <w:rPr>
                <w:szCs w:val="24"/>
                <w:lang w:bidi="tr-TR"/>
              </w:rPr>
            </w:pPr>
            <w:r w:rsidRPr="00F50C10">
              <w:rPr>
                <w:szCs w:val="24"/>
                <w:lang w:bidi="tr-TR"/>
              </w:rPr>
              <w:t>EN standartı yok</w:t>
            </w:r>
          </w:p>
        </w:tc>
        <w:tc>
          <w:tcPr>
            <w:tcW w:w="1022" w:type="pct"/>
            <w:tcBorders>
              <w:left w:val="single" w:sz="6" w:space="0" w:color="000000" w:themeColor="text1"/>
            </w:tcBorders>
            <w:vAlign w:val="center"/>
          </w:tcPr>
          <w:p w14:paraId="34A1E693" w14:textId="77777777" w:rsidR="00B2620A" w:rsidRPr="00F50C10" w:rsidRDefault="00B2620A" w:rsidP="000B206D">
            <w:pPr>
              <w:pStyle w:val="TableParagraph"/>
              <w:spacing w:line="276" w:lineRule="auto"/>
              <w:ind w:left="747" w:right="108" w:hanging="639"/>
              <w:jc w:val="both"/>
              <w:rPr>
                <w:szCs w:val="24"/>
              </w:rPr>
            </w:pPr>
            <w:r w:rsidRPr="00F50C10">
              <w:rPr>
                <w:szCs w:val="24"/>
                <w:lang w:bidi="tr-TR"/>
              </w:rPr>
              <w:t>Ayda bir (</w:t>
            </w:r>
            <w:r w:rsidRPr="00F50C10">
              <w:rPr>
                <w:b/>
                <w:szCs w:val="24"/>
                <w:vertAlign w:val="superscript"/>
                <w:lang w:bidi="tr-TR"/>
              </w:rPr>
              <w:t>2</w:t>
            </w:r>
            <w:r w:rsidRPr="00F50C10">
              <w:rPr>
                <w:szCs w:val="24"/>
                <w:lang w:bidi="tr-TR"/>
              </w:rPr>
              <w:t>)</w:t>
            </w:r>
          </w:p>
        </w:tc>
        <w:tc>
          <w:tcPr>
            <w:tcW w:w="624" w:type="pct"/>
            <w:vAlign w:val="center"/>
          </w:tcPr>
          <w:p w14:paraId="421769B2" w14:textId="77777777" w:rsidR="00B2620A" w:rsidRPr="00F50C10" w:rsidRDefault="002A1746" w:rsidP="000B206D">
            <w:pPr>
              <w:pStyle w:val="TableParagraph"/>
              <w:spacing w:line="276" w:lineRule="auto"/>
              <w:ind w:left="108" w:right="108"/>
              <w:jc w:val="both"/>
              <w:rPr>
                <w:szCs w:val="24"/>
              </w:rPr>
            </w:pPr>
            <w:hyperlink w:anchor="_bookmark788" w:history="1">
              <w:r w:rsidR="00B2620A" w:rsidRPr="00F50C10">
                <w:rPr>
                  <w:szCs w:val="24"/>
                  <w:lang w:bidi="tr-TR"/>
                </w:rPr>
                <w:t>MET</w:t>
              </w:r>
            </w:hyperlink>
            <w:r w:rsidR="00B2620A" w:rsidRPr="00F50C10">
              <w:rPr>
                <w:szCs w:val="24"/>
                <w:lang w:bidi="tr-TR"/>
              </w:rPr>
              <w:t xml:space="preserve"> 76</w:t>
            </w:r>
          </w:p>
        </w:tc>
      </w:tr>
      <w:tr w:rsidR="00B2620A" w:rsidRPr="00F50C10" w14:paraId="68579D60" w14:textId="77777777" w:rsidTr="00B2620A">
        <w:trPr>
          <w:trHeight w:val="3421"/>
          <w:jc w:val="center"/>
        </w:trPr>
        <w:tc>
          <w:tcPr>
            <w:tcW w:w="5000" w:type="pct"/>
            <w:gridSpan w:val="5"/>
          </w:tcPr>
          <w:p w14:paraId="5C430EA5" w14:textId="24E2417A" w:rsidR="00B2620A" w:rsidRPr="00F50C10" w:rsidRDefault="00B2620A" w:rsidP="000B206D">
            <w:pPr>
              <w:pStyle w:val="TableParagraph"/>
              <w:numPr>
                <w:ilvl w:val="0"/>
                <w:numId w:val="10"/>
              </w:numPr>
              <w:tabs>
                <w:tab w:val="left" w:pos="334"/>
              </w:tabs>
              <w:spacing w:line="276" w:lineRule="auto"/>
              <w:ind w:right="108"/>
              <w:jc w:val="both"/>
              <w:rPr>
                <w:szCs w:val="24"/>
              </w:rPr>
            </w:pPr>
            <w:r w:rsidRPr="00F50C10">
              <w:rPr>
                <w:szCs w:val="24"/>
                <w:lang w:bidi="tr-TR"/>
              </w:rPr>
              <w:t xml:space="preserve">İzleme, atık gaz akışlarının envanterine dayalı olarak atık gazda kirletici mevcut olduğunda geçerlidir. </w:t>
            </w:r>
            <w:r w:rsidR="00F35E77" w:rsidRPr="00F50C10">
              <w:rPr>
                <w:bCs/>
                <w:szCs w:val="24"/>
              </w:rPr>
              <w:t xml:space="preserve">Diğer Üretim Faaliyetlerinde Mevcut En İyi Teknikler Tebliği - Ortak ve Bağımsız Atıksu Arıtma Tesisleri </w:t>
            </w:r>
            <w:r w:rsidRPr="00F50C10">
              <w:rPr>
                <w:szCs w:val="24"/>
                <w:lang w:bidi="tr-TR"/>
              </w:rPr>
              <w:t>belirtilmiştir.</w:t>
            </w:r>
          </w:p>
          <w:p w14:paraId="1395A8CF" w14:textId="77777777" w:rsidR="00B2620A" w:rsidRPr="00F50C10" w:rsidRDefault="00B2620A" w:rsidP="000B206D">
            <w:pPr>
              <w:pStyle w:val="TableParagraph"/>
              <w:numPr>
                <w:ilvl w:val="0"/>
                <w:numId w:val="10"/>
              </w:numPr>
              <w:tabs>
                <w:tab w:val="left" w:pos="334"/>
              </w:tabs>
              <w:spacing w:before="15" w:line="276" w:lineRule="auto"/>
              <w:ind w:left="107" w:right="108" w:firstLine="0"/>
              <w:jc w:val="both"/>
              <w:rPr>
                <w:szCs w:val="24"/>
              </w:rPr>
            </w:pPr>
            <w:r w:rsidRPr="00F50C10">
              <w:rPr>
                <w:szCs w:val="24"/>
                <w:lang w:bidi="tr-TR"/>
              </w:rPr>
              <w:t>Emisyon seviyelerinin yeterince istikrarlı olduğu kanıtlanırsa, periyodik ölçümlerle minimum izleme sıklığı yılda bire düşürülebilir.</w:t>
            </w:r>
          </w:p>
          <w:p w14:paraId="6F79D102" w14:textId="1AAE4B23" w:rsidR="00B2620A" w:rsidRPr="00F50C10" w:rsidRDefault="00B2620A" w:rsidP="000B206D">
            <w:pPr>
              <w:pStyle w:val="TableParagraph"/>
              <w:numPr>
                <w:ilvl w:val="0"/>
                <w:numId w:val="10"/>
              </w:numPr>
              <w:tabs>
                <w:tab w:val="left" w:pos="334"/>
              </w:tabs>
              <w:spacing w:before="3" w:line="276" w:lineRule="auto"/>
              <w:ind w:left="107" w:right="108" w:firstLine="0"/>
              <w:jc w:val="both"/>
              <w:rPr>
                <w:szCs w:val="24"/>
              </w:rPr>
            </w:pPr>
            <w:r w:rsidRPr="00F50C10">
              <w:rPr>
                <w:szCs w:val="24"/>
                <w:lang w:bidi="tr-TR"/>
              </w:rPr>
              <w:t xml:space="preserve">Atık gazda kirleticinin mevcut olduğu tüm (diğer) işlemler/kaynaklar, Kimya Sektöründe </w:t>
            </w:r>
            <w:r w:rsidR="00F35E77" w:rsidRPr="00F50C10">
              <w:rPr>
                <w:szCs w:val="24"/>
                <w:lang w:bidi="tr-TR"/>
              </w:rPr>
              <w:t>Ortak</w:t>
            </w:r>
            <w:r w:rsidRPr="00F50C10">
              <w:rPr>
                <w:szCs w:val="24"/>
                <w:lang w:bidi="tr-TR"/>
              </w:rPr>
              <w:t xml:space="preserve"> Atık Su ve Atık Gaz Arıtma/Yönetim Sistemleri için Mevcut En İyi Teknikler Tebliğinde</w:t>
            </w:r>
            <w:r w:rsidR="00F35E77" w:rsidRPr="00F50C10">
              <w:rPr>
                <w:bCs/>
                <w:szCs w:val="24"/>
              </w:rPr>
              <w:t xml:space="preserve"> Diğer Üretim Faaliyetlerinde Mevcut En İyi Teknikler Tebliği - Ortak ve Bağımsız Atıksu Arıtma Tesisleri</w:t>
            </w:r>
            <w:r w:rsidRPr="00F50C10">
              <w:rPr>
                <w:szCs w:val="24"/>
                <w:lang w:bidi="tr-TR"/>
              </w:rPr>
              <w:t xml:space="preserve"> belirtilen atık gaz akımları envanterine dayanır.</w:t>
            </w:r>
          </w:p>
          <w:p w14:paraId="2F542254" w14:textId="77777777" w:rsidR="00B2620A" w:rsidRPr="00F50C10" w:rsidRDefault="00B2620A" w:rsidP="000B206D">
            <w:pPr>
              <w:pStyle w:val="TableParagraph"/>
              <w:numPr>
                <w:ilvl w:val="0"/>
                <w:numId w:val="10"/>
              </w:numPr>
              <w:tabs>
                <w:tab w:val="left" w:pos="379"/>
              </w:tabs>
              <w:spacing w:before="1" w:line="276" w:lineRule="auto"/>
              <w:ind w:left="107" w:right="108" w:firstLine="45"/>
              <w:jc w:val="both"/>
              <w:rPr>
                <w:szCs w:val="24"/>
              </w:rPr>
            </w:pPr>
            <w:r w:rsidRPr="00F50C10">
              <w:rPr>
                <w:szCs w:val="24"/>
                <w:lang w:bidi="tr-TR"/>
              </w:rPr>
              <w:t>Ölçülen değerlerin tüm kok giderme döngüsünü temsil etmesi için EN 15058 ve örnekleme döneminin uyarlanması gerekir.</w:t>
            </w:r>
          </w:p>
          <w:p w14:paraId="49B5B9DF" w14:textId="77777777" w:rsidR="00B2620A" w:rsidRPr="00F50C10" w:rsidRDefault="00B2620A" w:rsidP="000B206D">
            <w:pPr>
              <w:pStyle w:val="TableParagraph"/>
              <w:numPr>
                <w:ilvl w:val="0"/>
                <w:numId w:val="10"/>
              </w:numPr>
              <w:tabs>
                <w:tab w:val="left" w:pos="334"/>
              </w:tabs>
              <w:spacing w:before="3" w:line="276" w:lineRule="auto"/>
              <w:ind w:left="107" w:right="108" w:firstLine="0"/>
              <w:jc w:val="both"/>
              <w:rPr>
                <w:szCs w:val="24"/>
              </w:rPr>
            </w:pPr>
            <w:r w:rsidRPr="00F50C10">
              <w:rPr>
                <w:szCs w:val="24"/>
                <w:lang w:bidi="tr-TR"/>
              </w:rPr>
              <w:t>Ölçülen değerlerin tüm kok giderme döngüsünü temsil etmesi için EN 13284-1 ve örnekleme döneminin uyarlanması gerekir.</w:t>
            </w:r>
          </w:p>
          <w:p w14:paraId="5BA8732E" w14:textId="77777777" w:rsidR="00B2620A" w:rsidRPr="00F50C10" w:rsidRDefault="00B2620A" w:rsidP="000B206D">
            <w:pPr>
              <w:pStyle w:val="TableParagraph"/>
              <w:numPr>
                <w:ilvl w:val="0"/>
                <w:numId w:val="10"/>
              </w:numPr>
              <w:tabs>
                <w:tab w:val="left" w:pos="379"/>
              </w:tabs>
              <w:spacing w:before="1" w:line="276" w:lineRule="auto"/>
              <w:ind w:left="107" w:right="108" w:firstLine="45"/>
              <w:jc w:val="both"/>
              <w:rPr>
                <w:szCs w:val="24"/>
              </w:rPr>
            </w:pPr>
            <w:r w:rsidRPr="00F50C10">
              <w:rPr>
                <w:szCs w:val="24"/>
                <w:lang w:bidi="tr-TR"/>
              </w:rPr>
              <w:t>İzleme, atık gazda klor ve/veya klorlu bileşiklerin bulunduğu ve termal arıtmanın uygulandığı yerlerde geçerlidir.</w:t>
            </w:r>
          </w:p>
        </w:tc>
      </w:tr>
    </w:tbl>
    <w:p w14:paraId="147D1B65" w14:textId="77777777" w:rsidR="00BB704F" w:rsidRPr="00F50C10" w:rsidRDefault="00BB704F" w:rsidP="000B206D">
      <w:pPr>
        <w:keepNext/>
        <w:keepLines/>
        <w:widowControl w:val="0"/>
        <w:numPr>
          <w:ilvl w:val="1"/>
          <w:numId w:val="18"/>
        </w:numPr>
        <w:autoSpaceDE w:val="0"/>
        <w:autoSpaceDN w:val="0"/>
        <w:spacing w:before="240" w:after="60" w:line="276" w:lineRule="auto"/>
        <w:jc w:val="left"/>
        <w:outlineLvl w:val="1"/>
        <w:rPr>
          <w:rFonts w:eastAsia="Times New Roman" w:cs="Times New Roman"/>
          <w:b/>
          <w:szCs w:val="24"/>
          <w:lang w:val="tr-TR"/>
        </w:rPr>
      </w:pPr>
      <w:bookmarkStart w:id="6" w:name="_Toc136613695"/>
      <w:r w:rsidRPr="00F50C10">
        <w:rPr>
          <w:rFonts w:eastAsia="Times New Roman" w:cs="Times New Roman"/>
          <w:b/>
          <w:szCs w:val="24"/>
          <w:lang w:val="tr-TR"/>
        </w:rPr>
        <w:t>Hava Emisyonları</w:t>
      </w:r>
      <w:bookmarkStart w:id="7" w:name="_Toc136613696"/>
      <w:bookmarkEnd w:id="6"/>
    </w:p>
    <w:p w14:paraId="1E909BF4" w14:textId="1E7D4D39" w:rsidR="00BB704F" w:rsidRPr="00F50C10" w:rsidRDefault="00BB704F" w:rsidP="000B206D">
      <w:pPr>
        <w:keepNext/>
        <w:keepLines/>
        <w:widowControl w:val="0"/>
        <w:numPr>
          <w:ilvl w:val="2"/>
          <w:numId w:val="18"/>
        </w:numPr>
        <w:autoSpaceDE w:val="0"/>
        <w:autoSpaceDN w:val="0"/>
        <w:spacing w:before="240" w:after="120" w:line="276" w:lineRule="auto"/>
        <w:jc w:val="left"/>
        <w:outlineLvl w:val="2"/>
        <w:rPr>
          <w:rFonts w:eastAsia="Times New Roman" w:cs="Times New Roman"/>
          <w:b/>
          <w:szCs w:val="24"/>
          <w:lang w:val="tr-TR"/>
        </w:rPr>
      </w:pPr>
      <w:r w:rsidRPr="00F50C10">
        <w:rPr>
          <w:rFonts w:eastAsia="Times New Roman" w:cs="Times New Roman"/>
          <w:b/>
          <w:szCs w:val="24"/>
          <w:lang w:val="tr-TR"/>
        </w:rPr>
        <w:t>Proses fırınlarından/ısıtıcılarından</w:t>
      </w:r>
      <w:r w:rsidR="00DC062C" w:rsidRPr="00F50C10">
        <w:rPr>
          <w:rFonts w:eastAsia="Times New Roman" w:cs="Times New Roman"/>
          <w:b/>
          <w:szCs w:val="24"/>
          <w:lang w:val="tr-TR"/>
        </w:rPr>
        <w:t xml:space="preserve"> kaynaklanan</w:t>
      </w:r>
      <w:r w:rsidRPr="00F50C10">
        <w:rPr>
          <w:rFonts w:eastAsia="Times New Roman" w:cs="Times New Roman"/>
          <w:b/>
          <w:szCs w:val="24"/>
          <w:lang w:val="tr-TR"/>
        </w:rPr>
        <w:t xml:space="preserve"> hava emisyonları</w:t>
      </w:r>
      <w:bookmarkEnd w:id="7"/>
    </w:p>
    <w:p w14:paraId="2CBBA434" w14:textId="2A97C5A3" w:rsidR="00BB704F" w:rsidRPr="00F50C10" w:rsidRDefault="00BB704F" w:rsidP="000B206D">
      <w:pPr>
        <w:widowControl w:val="0"/>
        <w:autoSpaceDE w:val="0"/>
        <w:autoSpaceDN w:val="0"/>
        <w:spacing w:before="240" w:line="276" w:lineRule="auto"/>
        <w:rPr>
          <w:rFonts w:eastAsia="Times New Roman" w:cs="Times New Roman"/>
          <w:bCs/>
          <w:szCs w:val="24"/>
          <w:lang w:val="tr-TR"/>
        </w:rPr>
      </w:pPr>
      <w:r w:rsidRPr="00F50C10">
        <w:rPr>
          <w:rFonts w:eastAsia="Times New Roman" w:cs="Times New Roman"/>
          <w:b/>
          <w:bCs/>
          <w:szCs w:val="24"/>
          <w:lang w:val="tr-TR"/>
        </w:rPr>
        <w:t xml:space="preserve">MET 3: </w:t>
      </w:r>
      <w:r w:rsidRPr="00F50C10">
        <w:rPr>
          <w:rFonts w:eastAsia="Times New Roman" w:cs="Times New Roman"/>
          <w:bCs/>
          <w:szCs w:val="24"/>
          <w:lang w:val="tr-TR"/>
        </w:rPr>
        <w:t xml:space="preserve">Proses fırınlarından/ısıtıcılarından çıkan CO ve yanmamış maddelerin hava emisyonlarını azaltmak için </w:t>
      </w:r>
      <w:r w:rsidR="00BE4072" w:rsidRPr="00F50C10">
        <w:rPr>
          <w:rFonts w:eastAsia="Times New Roman" w:cs="Times New Roman"/>
          <w:bCs/>
          <w:szCs w:val="24"/>
          <w:lang w:val="tr-TR"/>
        </w:rPr>
        <w:t>optimize bir yakma sağlanır</w:t>
      </w:r>
      <w:r w:rsidRPr="00F50C10">
        <w:rPr>
          <w:rFonts w:eastAsia="Times New Roman" w:cs="Times New Roman"/>
          <w:bCs/>
          <w:szCs w:val="24"/>
          <w:lang w:val="tr-TR"/>
        </w:rPr>
        <w:t>.</w:t>
      </w:r>
    </w:p>
    <w:p w14:paraId="25CA9A25" w14:textId="2DABD1FF" w:rsidR="00EE64BD"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szCs w:val="24"/>
          <w:lang w:val="tr-TR"/>
        </w:rPr>
        <w:t>Optimize edilmiş yakma; yakma bölgesinde sıcaklık ve kalış süresinin optimizasyonunu, yakıtın ve yakma havasının verimli bir şekilde karıştırılmasını ve yakma kontrolünü içeren ekipmanın iyi tasarımı ve çalışması ile elde edilir. Yakma kontrolü, uygun yakma parametrelerinin (örn. O</w:t>
      </w:r>
      <w:r w:rsidRPr="00F50C10">
        <w:rPr>
          <w:rFonts w:eastAsia="Times New Roman" w:cs="Times New Roman"/>
          <w:szCs w:val="24"/>
          <w:vertAlign w:val="subscript"/>
          <w:lang w:val="tr-TR"/>
        </w:rPr>
        <w:t>2</w:t>
      </w:r>
      <w:r w:rsidRPr="00F50C10">
        <w:rPr>
          <w:rFonts w:eastAsia="Times New Roman" w:cs="Times New Roman"/>
          <w:szCs w:val="24"/>
          <w:lang w:val="tr-TR"/>
        </w:rPr>
        <w:t>, CO, yakıt/hava oranı ve yanmamış maddeler) sürekli izlenmesine ve otomatik kontrolüne dayanır.</w:t>
      </w:r>
    </w:p>
    <w:p w14:paraId="00D08481" w14:textId="390F0C90" w:rsidR="00BB704F" w:rsidRPr="00F50C10" w:rsidRDefault="00BB704F" w:rsidP="000B206D">
      <w:pPr>
        <w:widowControl w:val="0"/>
        <w:autoSpaceDE w:val="0"/>
        <w:autoSpaceDN w:val="0"/>
        <w:spacing w:before="240" w:line="276" w:lineRule="auto"/>
        <w:rPr>
          <w:rFonts w:eastAsia="Times New Roman" w:cs="Times New Roman"/>
          <w:bCs/>
          <w:szCs w:val="24"/>
          <w:lang w:val="tr-TR"/>
        </w:rPr>
      </w:pPr>
      <w:r w:rsidRPr="00F50C10">
        <w:rPr>
          <w:rFonts w:eastAsia="Times New Roman" w:cs="Times New Roman"/>
          <w:b/>
          <w:bCs/>
          <w:szCs w:val="24"/>
          <w:lang w:val="tr-TR"/>
        </w:rPr>
        <w:t xml:space="preserve">MET 4: </w:t>
      </w:r>
      <w:r w:rsidRPr="00F50C10">
        <w:rPr>
          <w:rFonts w:eastAsia="Times New Roman" w:cs="Times New Roman"/>
          <w:bCs/>
          <w:szCs w:val="24"/>
          <w:lang w:val="tr-TR"/>
        </w:rPr>
        <w:t>Proses fırınlarından/ısıtıcılarından havaya NO</w:t>
      </w:r>
      <w:r w:rsidRPr="00F50C10">
        <w:rPr>
          <w:rFonts w:eastAsia="Times New Roman" w:cs="Times New Roman"/>
          <w:bCs/>
          <w:szCs w:val="24"/>
          <w:vertAlign w:val="subscript"/>
          <w:lang w:val="tr-TR"/>
        </w:rPr>
        <w:t>X</w:t>
      </w:r>
      <w:r w:rsidRPr="00F50C10">
        <w:rPr>
          <w:rFonts w:eastAsia="Times New Roman" w:cs="Times New Roman"/>
          <w:bCs/>
          <w:szCs w:val="24"/>
          <w:lang w:val="tr-TR"/>
        </w:rPr>
        <w:t xml:space="preserve"> emisyonlarını azaltmak için aşağıda verilen tekniklerden biri veya birkaçı kullan</w:t>
      </w:r>
      <w:r w:rsidR="00026A9F" w:rsidRPr="00F50C10">
        <w:rPr>
          <w:rFonts w:eastAsia="Times New Roman" w:cs="Times New Roman"/>
          <w:bCs/>
          <w:szCs w:val="24"/>
          <w:lang w:val="tr-TR"/>
        </w:rPr>
        <w:t>ılır</w:t>
      </w:r>
      <w:r w:rsidR="00527A7B" w:rsidRPr="00F50C10">
        <w:rPr>
          <w:rFonts w:eastAsia="Times New Roman" w:cs="Times New Roman"/>
          <w:bCs/>
          <w:szCs w:val="24"/>
          <w:lang w:val="tr-TR"/>
        </w:rPr>
        <w: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
        <w:gridCol w:w="1633"/>
        <w:gridCol w:w="3345"/>
        <w:gridCol w:w="3168"/>
      </w:tblGrid>
      <w:tr w:rsidR="00BB704F" w:rsidRPr="00F50C10" w14:paraId="06C4CC9C" w14:textId="77777777" w:rsidTr="00BB704F">
        <w:trPr>
          <w:trHeight w:val="230"/>
          <w:tblHeader/>
        </w:trPr>
        <w:tc>
          <w:tcPr>
            <w:tcW w:w="141" w:type="pct"/>
            <w:tcBorders>
              <w:top w:val="single" w:sz="4" w:space="0" w:color="auto"/>
              <w:right w:val="single" w:sz="4" w:space="0" w:color="auto"/>
            </w:tcBorders>
          </w:tcPr>
          <w:p w14:paraId="5A77F96A" w14:textId="77777777" w:rsidR="00BB704F" w:rsidRPr="00F50C10" w:rsidRDefault="00BB704F" w:rsidP="000B206D">
            <w:pPr>
              <w:spacing w:line="276" w:lineRule="auto"/>
              <w:ind w:left="113" w:right="108"/>
              <w:jc w:val="center"/>
              <w:rPr>
                <w:rFonts w:eastAsia="Times New Roman" w:cs="Times New Roman"/>
                <w:b/>
                <w:szCs w:val="24"/>
                <w:lang w:val="tr-TR"/>
              </w:rPr>
            </w:pPr>
          </w:p>
        </w:tc>
        <w:tc>
          <w:tcPr>
            <w:tcW w:w="983" w:type="pct"/>
            <w:tcBorders>
              <w:top w:val="single" w:sz="4" w:space="0" w:color="auto"/>
              <w:right w:val="single" w:sz="4" w:space="0" w:color="auto"/>
            </w:tcBorders>
          </w:tcPr>
          <w:p w14:paraId="47A84C52" w14:textId="77777777" w:rsidR="00BB704F" w:rsidRPr="00F50C10" w:rsidRDefault="00BB704F" w:rsidP="000B206D">
            <w:pPr>
              <w:spacing w:line="276" w:lineRule="auto"/>
              <w:ind w:left="113"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1990" w:type="pct"/>
            <w:tcBorders>
              <w:left w:val="single" w:sz="4" w:space="0" w:color="auto"/>
            </w:tcBorders>
          </w:tcPr>
          <w:p w14:paraId="1E84D1EA" w14:textId="77777777" w:rsidR="00BB704F" w:rsidRPr="00F50C10" w:rsidRDefault="00BB704F" w:rsidP="000B206D">
            <w:pPr>
              <w:spacing w:line="276" w:lineRule="auto"/>
              <w:ind w:left="113"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886" w:type="pct"/>
          </w:tcPr>
          <w:p w14:paraId="6875B59A" w14:textId="77777777" w:rsidR="00BB704F" w:rsidRPr="00F50C10" w:rsidRDefault="00BB704F" w:rsidP="000B206D">
            <w:pPr>
              <w:spacing w:line="276" w:lineRule="auto"/>
              <w:ind w:left="113"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766765D9" w14:textId="77777777" w:rsidTr="00BB704F">
        <w:trPr>
          <w:trHeight w:val="1149"/>
        </w:trPr>
        <w:tc>
          <w:tcPr>
            <w:tcW w:w="141" w:type="pct"/>
            <w:tcBorders>
              <w:right w:val="single" w:sz="4" w:space="0" w:color="auto"/>
            </w:tcBorders>
            <w:vAlign w:val="center"/>
          </w:tcPr>
          <w:p w14:paraId="46EA3338" w14:textId="77777777"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w w:val="99"/>
                <w:szCs w:val="24"/>
                <w:lang w:val="tr-TR" w:bidi="tr-TR"/>
              </w:rPr>
              <w:t>a</w:t>
            </w:r>
          </w:p>
        </w:tc>
        <w:tc>
          <w:tcPr>
            <w:tcW w:w="983" w:type="pct"/>
            <w:tcBorders>
              <w:left w:val="single" w:sz="4" w:space="0" w:color="auto"/>
            </w:tcBorders>
            <w:vAlign w:val="center"/>
          </w:tcPr>
          <w:p w14:paraId="21BBCE2D" w14:textId="77777777"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szCs w:val="24"/>
                <w:lang w:val="tr-TR" w:bidi="tr-TR"/>
              </w:rPr>
              <w:t>Yakıt seçimi</w:t>
            </w:r>
          </w:p>
        </w:tc>
        <w:tc>
          <w:tcPr>
            <w:tcW w:w="1990" w:type="pct"/>
            <w:vAlign w:val="center"/>
          </w:tcPr>
          <w:p w14:paraId="3CE15E3A" w14:textId="43F5D7B7" w:rsidR="00BB704F" w:rsidRPr="00F50C10" w:rsidRDefault="00BB704F" w:rsidP="000B206D">
            <w:pPr>
              <w:spacing w:line="276" w:lineRule="auto"/>
              <w:ind w:left="113" w:right="108"/>
              <w:rPr>
                <w:rFonts w:eastAsia="Times New Roman" w:cs="Times New Roman"/>
                <w:szCs w:val="24"/>
                <w:lang w:val="tr-TR" w:bidi="tr-TR"/>
              </w:rPr>
            </w:pPr>
            <w:r w:rsidRPr="00F50C10">
              <w:rPr>
                <w:rFonts w:eastAsia="Times New Roman" w:cs="Times New Roman"/>
                <w:szCs w:val="24"/>
                <w:lang w:val="tr-TR" w:bidi="tr-TR"/>
              </w:rPr>
              <w:t>Bu bölüm genel hidrokarbon dengesini hesaba katarak sıvıdan gazlı yakıtlara geçişi içerir.</w:t>
            </w:r>
            <w:bookmarkStart w:id="8" w:name="_Hlk127106090"/>
            <w:r w:rsidR="00D958BA" w:rsidRPr="00F50C10">
              <w:rPr>
                <w:rFonts w:eastAsia="Times New Roman" w:cs="Times New Roman"/>
                <w:szCs w:val="24"/>
                <w:lang w:val="tr-TR"/>
              </w:rPr>
              <w:t xml:space="preserve"> </w:t>
            </w:r>
            <w:r w:rsidR="00D958BA" w:rsidRPr="00F50C10">
              <w:rPr>
                <w:rFonts w:eastAsia="Times New Roman" w:cs="Times New Roman"/>
                <w:i/>
                <w:szCs w:val="24"/>
                <w:lang w:val="tr-TR"/>
              </w:rPr>
              <w:t xml:space="preserve">Detaylı bilgi için </w:t>
            </w:r>
            <w:hyperlink w:anchor="_bookmark802" w:history="1">
              <w:r w:rsidR="00D958BA" w:rsidRPr="00F50C10">
                <w:rPr>
                  <w:rFonts w:eastAsia="Times New Roman" w:cs="Times New Roman"/>
                  <w:i/>
                  <w:szCs w:val="24"/>
                  <w:lang w:val="tr-TR" w:bidi="tr-TR"/>
                </w:rPr>
                <w:t>12.3.</w:t>
              </w:r>
            </w:hyperlink>
            <w:r w:rsidR="00D958BA" w:rsidRPr="00F50C10">
              <w:rPr>
                <w:rFonts w:eastAsia="Times New Roman" w:cs="Times New Roman"/>
                <w:i/>
                <w:szCs w:val="24"/>
                <w:lang w:val="tr-TR" w:bidi="tr-TR"/>
              </w:rPr>
              <w:t xml:space="preserve"> kısmına bakınız</w:t>
            </w:r>
            <w:bookmarkEnd w:id="8"/>
            <w:r w:rsidR="00D958BA" w:rsidRPr="00F50C10">
              <w:rPr>
                <w:rFonts w:eastAsia="Times New Roman" w:cs="Times New Roman"/>
                <w:i/>
                <w:szCs w:val="24"/>
                <w:lang w:val="tr-TR" w:bidi="tr-TR"/>
              </w:rPr>
              <w:t>.</w:t>
            </w:r>
          </w:p>
        </w:tc>
        <w:tc>
          <w:tcPr>
            <w:tcW w:w="1886" w:type="pct"/>
            <w:vAlign w:val="center"/>
          </w:tcPr>
          <w:p w14:paraId="2CE8B4A8" w14:textId="77777777"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szCs w:val="24"/>
                <w:lang w:val="tr-TR" w:bidi="tr-TR"/>
              </w:rPr>
              <w:t>Sıvı yakıtlardan gaz yakıtlara geçiş, mevcut tesislerde brülörlerin tasarımı nedeniyle kısıtlı olabilir.</w:t>
            </w:r>
          </w:p>
        </w:tc>
      </w:tr>
      <w:tr w:rsidR="00BB704F" w:rsidRPr="00F50C10" w14:paraId="4AD39B20" w14:textId="77777777" w:rsidTr="00BB704F">
        <w:trPr>
          <w:trHeight w:val="2760"/>
        </w:trPr>
        <w:tc>
          <w:tcPr>
            <w:tcW w:w="141" w:type="pct"/>
            <w:vAlign w:val="center"/>
          </w:tcPr>
          <w:p w14:paraId="77BB2758" w14:textId="77777777"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w w:val="99"/>
                <w:szCs w:val="24"/>
                <w:lang w:val="tr-TR" w:bidi="tr-TR"/>
              </w:rPr>
              <w:t>b</w:t>
            </w:r>
          </w:p>
        </w:tc>
        <w:tc>
          <w:tcPr>
            <w:tcW w:w="983" w:type="pct"/>
            <w:vAlign w:val="center"/>
          </w:tcPr>
          <w:p w14:paraId="61E1625D" w14:textId="77777777"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szCs w:val="24"/>
                <w:lang w:val="tr-TR" w:bidi="tr-TR"/>
              </w:rPr>
              <w:t>Kademeli yakma</w:t>
            </w:r>
          </w:p>
        </w:tc>
        <w:tc>
          <w:tcPr>
            <w:tcW w:w="1990" w:type="pct"/>
            <w:vAlign w:val="center"/>
          </w:tcPr>
          <w:p w14:paraId="1E876C51" w14:textId="0D748D63"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szCs w:val="24"/>
                <w:lang w:val="tr-TR" w:bidi="tr-TR"/>
              </w:rPr>
              <w:t>Kademeli yakma brülörleri, brülörün yakınında hava veya yakıt enjeksiyonunu kademelendirerek daha düşük NO</w:t>
            </w:r>
            <w:r w:rsidR="00DC062C" w:rsidRPr="00F50C10">
              <w:rPr>
                <w:rFonts w:eastAsia="Times New Roman" w:cs="Times New Roman"/>
                <w:szCs w:val="24"/>
                <w:vertAlign w:val="subscript"/>
                <w:lang w:val="tr-TR" w:bidi="tr-TR"/>
              </w:rPr>
              <w:t>X</w:t>
            </w:r>
            <w:r w:rsidRPr="00F50C10">
              <w:rPr>
                <w:rFonts w:eastAsia="Times New Roman" w:cs="Times New Roman"/>
                <w:szCs w:val="24"/>
                <w:lang w:val="tr-TR" w:bidi="tr-TR"/>
              </w:rPr>
              <w:t xml:space="preserve"> emisyonları elde eder. Yakıt veya hava bölünmesi ve böylece pik alev sıcaklığının düşürülmesi ve termal NO</w:t>
            </w:r>
            <w:r w:rsidRPr="00F50C10">
              <w:rPr>
                <w:rFonts w:eastAsia="Times New Roman" w:cs="Times New Roman"/>
                <w:szCs w:val="24"/>
                <w:vertAlign w:val="subscript"/>
                <w:lang w:val="tr-TR" w:bidi="tr-TR"/>
              </w:rPr>
              <w:t>X</w:t>
            </w:r>
            <w:r w:rsidRPr="00F50C10">
              <w:rPr>
                <w:rFonts w:eastAsia="Times New Roman" w:cs="Times New Roman"/>
                <w:szCs w:val="24"/>
                <w:lang w:val="tr-TR" w:bidi="tr-TR"/>
              </w:rPr>
              <w:t xml:space="preserve"> oluşumunun azaltılması, birinci brülör yanma bölgesindeki oksijen yoğunluğunu azaltır.</w:t>
            </w:r>
          </w:p>
        </w:tc>
        <w:tc>
          <w:tcPr>
            <w:tcW w:w="1886" w:type="pct"/>
            <w:vAlign w:val="center"/>
          </w:tcPr>
          <w:p w14:paraId="2EF6E0D1" w14:textId="55A07590" w:rsidR="00BB704F" w:rsidRPr="00F50C10" w:rsidRDefault="00BB704F" w:rsidP="000B206D">
            <w:pPr>
              <w:tabs>
                <w:tab w:val="left" w:pos="1858"/>
              </w:tabs>
              <w:spacing w:line="276" w:lineRule="auto"/>
              <w:ind w:left="113" w:right="108"/>
              <w:rPr>
                <w:rFonts w:eastAsia="Times New Roman" w:cs="Times New Roman"/>
                <w:szCs w:val="24"/>
                <w:lang w:val="tr-TR"/>
              </w:rPr>
            </w:pPr>
            <w:r w:rsidRPr="00F50C10">
              <w:rPr>
                <w:rFonts w:eastAsia="Times New Roman" w:cs="Times New Roman"/>
                <w:szCs w:val="24"/>
                <w:lang w:val="tr-TR" w:bidi="tr-TR"/>
              </w:rPr>
              <w:t>Uygulanabilirlik, küçük proses fırınlarının yükseltildiği durumlarda mevcut alan nedeniyle kısıtlı olabilir, bu da kapasiteyi düşürmeden yakıt/hava kademelendirme</w:t>
            </w:r>
            <w:r w:rsidR="00DC062C" w:rsidRPr="00F50C10">
              <w:rPr>
                <w:rFonts w:eastAsia="Times New Roman" w:cs="Times New Roman"/>
                <w:szCs w:val="24"/>
                <w:lang w:val="tr-TR" w:bidi="tr-TR"/>
              </w:rPr>
              <w:t>si</w:t>
            </w:r>
            <w:r w:rsidRPr="00F50C10">
              <w:rPr>
                <w:rFonts w:eastAsia="Times New Roman" w:cs="Times New Roman"/>
                <w:szCs w:val="24"/>
                <w:lang w:val="tr-TR" w:bidi="tr-TR"/>
              </w:rPr>
              <w:t>nin iyileştirilebilirliğini sınırlar.</w:t>
            </w:r>
          </w:p>
          <w:p w14:paraId="501B853F" w14:textId="20D84FD5"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szCs w:val="24"/>
                <w:lang w:val="tr-TR" w:bidi="tr-TR"/>
              </w:rPr>
              <w:t>Mevcut EDC parçalayıcılarının özellikleri bakımından uygulanabilirlik, proses fırınının tasarımı ile sınırl</w:t>
            </w:r>
            <w:r w:rsidR="00EB6161" w:rsidRPr="00F50C10">
              <w:rPr>
                <w:rFonts w:eastAsia="Times New Roman" w:cs="Times New Roman"/>
                <w:szCs w:val="24"/>
                <w:lang w:val="tr-TR" w:bidi="tr-TR"/>
              </w:rPr>
              <w:t>andırılabilir.</w:t>
            </w:r>
          </w:p>
        </w:tc>
      </w:tr>
      <w:tr w:rsidR="00BB704F" w:rsidRPr="00F50C10" w14:paraId="18DCF248" w14:textId="77777777" w:rsidTr="00BB704F">
        <w:trPr>
          <w:trHeight w:val="1610"/>
        </w:trPr>
        <w:tc>
          <w:tcPr>
            <w:tcW w:w="141" w:type="pct"/>
            <w:vAlign w:val="center"/>
          </w:tcPr>
          <w:p w14:paraId="32F30147" w14:textId="77777777" w:rsidR="00BB704F" w:rsidRPr="00F50C10" w:rsidRDefault="00BB704F" w:rsidP="000B206D">
            <w:pPr>
              <w:spacing w:line="276" w:lineRule="auto"/>
              <w:ind w:left="113" w:right="108"/>
              <w:jc w:val="center"/>
              <w:rPr>
                <w:rFonts w:eastAsia="Times New Roman" w:cs="Times New Roman"/>
                <w:szCs w:val="24"/>
                <w:lang w:val="tr-TR"/>
              </w:rPr>
            </w:pPr>
            <w:r w:rsidRPr="00F50C10">
              <w:rPr>
                <w:rFonts w:eastAsia="Times New Roman" w:cs="Times New Roman"/>
                <w:w w:val="99"/>
                <w:szCs w:val="24"/>
                <w:lang w:val="tr-TR" w:bidi="tr-TR"/>
              </w:rPr>
              <w:t>c</w:t>
            </w:r>
          </w:p>
        </w:tc>
        <w:tc>
          <w:tcPr>
            <w:tcW w:w="983" w:type="pct"/>
            <w:vAlign w:val="center"/>
          </w:tcPr>
          <w:p w14:paraId="2F84D4CA" w14:textId="77777777"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szCs w:val="24"/>
                <w:lang w:val="tr-TR" w:bidi="tr-TR"/>
              </w:rPr>
              <w:t>Baca gazının devridaimi (harici)</w:t>
            </w:r>
          </w:p>
        </w:tc>
        <w:tc>
          <w:tcPr>
            <w:tcW w:w="1990" w:type="pct"/>
          </w:tcPr>
          <w:p w14:paraId="15E4149D" w14:textId="77777777"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szCs w:val="24"/>
                <w:lang w:val="tr-TR" w:bidi="tr-TR"/>
              </w:rPr>
              <w:t>Oksijen içeriğini azaltma ve dolayısıyla alevin sıcaklığını soğutma etkisi nedeniyle, baca gazının bir kısmının taze yakma havasının bir kısmını değiştirmek için yakma odasına devridaimi.</w:t>
            </w:r>
          </w:p>
        </w:tc>
        <w:tc>
          <w:tcPr>
            <w:tcW w:w="1886" w:type="pct"/>
            <w:vAlign w:val="center"/>
          </w:tcPr>
          <w:p w14:paraId="73E1EFB2" w14:textId="3DB57B99" w:rsidR="0033479D" w:rsidRPr="00F50C10" w:rsidRDefault="00BB704F" w:rsidP="000B206D">
            <w:pPr>
              <w:tabs>
                <w:tab w:val="left" w:pos="2045"/>
              </w:tabs>
              <w:spacing w:line="276" w:lineRule="auto"/>
              <w:ind w:left="113" w:right="108"/>
              <w:rPr>
                <w:rFonts w:eastAsia="Times New Roman" w:cs="Times New Roman"/>
                <w:szCs w:val="24"/>
                <w:lang w:val="tr-TR"/>
              </w:rPr>
            </w:pPr>
            <w:r w:rsidRPr="00F50C10">
              <w:rPr>
                <w:rFonts w:eastAsia="Times New Roman" w:cs="Times New Roman"/>
                <w:szCs w:val="24"/>
                <w:lang w:val="tr-TR" w:bidi="tr-TR"/>
              </w:rPr>
              <w:t>Mevcut proses fırınları/ısıtıcılarının tasarımı nedeniyle,  uygulanabilirlik kısıtlı olabilir.</w:t>
            </w:r>
          </w:p>
          <w:p w14:paraId="30005C2D" w14:textId="6BF90EAA"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szCs w:val="24"/>
                <w:lang w:val="tr-TR" w:bidi="tr-TR"/>
              </w:rPr>
              <w:t xml:space="preserve">Mevcut EDC parçalayıcıları için </w:t>
            </w:r>
            <w:r w:rsidR="00B16387" w:rsidRPr="00F50C10">
              <w:rPr>
                <w:rFonts w:eastAsia="Times New Roman" w:cs="Times New Roman"/>
                <w:szCs w:val="24"/>
                <w:lang w:val="tr-TR" w:bidi="tr-TR"/>
              </w:rPr>
              <w:t>uygulanabilir</w:t>
            </w:r>
            <w:r w:rsidRPr="00F50C10">
              <w:rPr>
                <w:rFonts w:eastAsia="Times New Roman" w:cs="Times New Roman"/>
                <w:szCs w:val="24"/>
                <w:lang w:val="tr-TR" w:bidi="tr-TR"/>
              </w:rPr>
              <w:t xml:space="preserve"> değildir.</w:t>
            </w:r>
          </w:p>
        </w:tc>
      </w:tr>
      <w:tr w:rsidR="00BB704F" w:rsidRPr="00F50C10" w14:paraId="7EC07295" w14:textId="77777777" w:rsidTr="00BB704F">
        <w:trPr>
          <w:trHeight w:val="1379"/>
        </w:trPr>
        <w:tc>
          <w:tcPr>
            <w:tcW w:w="141" w:type="pct"/>
            <w:vAlign w:val="center"/>
          </w:tcPr>
          <w:p w14:paraId="6F477604" w14:textId="25330ED9" w:rsidR="00BB704F" w:rsidRPr="00F50C10" w:rsidRDefault="00F50C10" w:rsidP="000B206D">
            <w:pPr>
              <w:spacing w:line="276" w:lineRule="auto"/>
              <w:ind w:left="113" w:right="108"/>
              <w:jc w:val="center"/>
              <w:rPr>
                <w:rFonts w:eastAsia="Times New Roman" w:cs="Times New Roman"/>
                <w:szCs w:val="24"/>
                <w:lang w:val="tr-TR"/>
              </w:rPr>
            </w:pPr>
            <w:r w:rsidRPr="00F50C10">
              <w:rPr>
                <w:rFonts w:eastAsia="Times New Roman" w:cs="Times New Roman"/>
                <w:w w:val="99"/>
                <w:szCs w:val="24"/>
                <w:lang w:val="tr-TR" w:bidi="tr-TR"/>
              </w:rPr>
              <w:t>d</w:t>
            </w:r>
          </w:p>
        </w:tc>
        <w:tc>
          <w:tcPr>
            <w:tcW w:w="983" w:type="pct"/>
            <w:vAlign w:val="center"/>
          </w:tcPr>
          <w:p w14:paraId="23876AB2" w14:textId="77777777"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szCs w:val="24"/>
                <w:lang w:val="tr-TR" w:bidi="tr-TR"/>
              </w:rPr>
              <w:t>Baca gazının devridaimi (dahili)</w:t>
            </w:r>
          </w:p>
        </w:tc>
        <w:tc>
          <w:tcPr>
            <w:tcW w:w="1990" w:type="pct"/>
          </w:tcPr>
          <w:p w14:paraId="1D14F03B" w14:textId="77777777"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szCs w:val="24"/>
                <w:lang w:val="tr-TR" w:bidi="tr-TR"/>
              </w:rPr>
              <w:t>Oksijen içeriğini azaltma ve dolayısıyla alevin sıcaklığını düşürme etkisi nedeniyle, baca gazının bir kısmının taze yakma havasının bir kısmını değiştirmek için yakma odası içerisinde devridaimi.</w:t>
            </w:r>
          </w:p>
        </w:tc>
        <w:tc>
          <w:tcPr>
            <w:tcW w:w="1886" w:type="pct"/>
            <w:vAlign w:val="center"/>
          </w:tcPr>
          <w:p w14:paraId="4750B870" w14:textId="77777777" w:rsidR="00BB704F" w:rsidRPr="00F50C10" w:rsidRDefault="00BB704F" w:rsidP="000B206D">
            <w:pPr>
              <w:tabs>
                <w:tab w:val="left" w:pos="2045"/>
              </w:tabs>
              <w:spacing w:line="276" w:lineRule="auto"/>
              <w:ind w:left="113" w:right="108"/>
              <w:rPr>
                <w:rFonts w:eastAsia="Times New Roman" w:cs="Times New Roman"/>
                <w:szCs w:val="24"/>
                <w:lang w:val="tr-TR"/>
              </w:rPr>
            </w:pPr>
            <w:r w:rsidRPr="00F50C10">
              <w:rPr>
                <w:rFonts w:eastAsia="Times New Roman" w:cs="Times New Roman"/>
                <w:szCs w:val="24"/>
                <w:lang w:val="tr-TR" w:bidi="tr-TR"/>
              </w:rPr>
              <w:t>Mevcut proses fırınları/ısıtıcıları için uygulanabilirlik, tasarımları nedeniyle kısıtlanabilir.</w:t>
            </w:r>
          </w:p>
        </w:tc>
      </w:tr>
      <w:tr w:rsidR="00BB704F" w:rsidRPr="00F50C10" w14:paraId="23F2D3E8" w14:textId="77777777" w:rsidTr="00BB704F">
        <w:trPr>
          <w:trHeight w:val="921"/>
        </w:trPr>
        <w:tc>
          <w:tcPr>
            <w:tcW w:w="141" w:type="pct"/>
            <w:vAlign w:val="center"/>
          </w:tcPr>
          <w:p w14:paraId="37F8AC6D" w14:textId="0BA642D4" w:rsidR="00BB704F" w:rsidRPr="00F50C10" w:rsidRDefault="00F50C10" w:rsidP="000B206D">
            <w:pPr>
              <w:spacing w:line="276" w:lineRule="auto"/>
              <w:ind w:left="113" w:right="108"/>
              <w:jc w:val="center"/>
              <w:rPr>
                <w:rFonts w:eastAsia="Times New Roman" w:cs="Times New Roman"/>
                <w:szCs w:val="24"/>
                <w:lang w:val="tr-TR"/>
              </w:rPr>
            </w:pPr>
            <w:r w:rsidRPr="00F50C10">
              <w:rPr>
                <w:rFonts w:eastAsia="Times New Roman" w:cs="Times New Roman"/>
                <w:w w:val="99"/>
                <w:szCs w:val="24"/>
                <w:lang w:val="tr-TR" w:bidi="tr-TR"/>
              </w:rPr>
              <w:t>e</w:t>
            </w:r>
          </w:p>
        </w:tc>
        <w:tc>
          <w:tcPr>
            <w:tcW w:w="983" w:type="pct"/>
            <w:vAlign w:val="center"/>
          </w:tcPr>
          <w:p w14:paraId="59FB9375" w14:textId="77777777"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szCs w:val="24"/>
                <w:lang w:val="tr-TR" w:bidi="tr-TR"/>
              </w:rPr>
              <w:t>Düşük NO</w:t>
            </w:r>
            <w:r w:rsidRPr="00F50C10">
              <w:rPr>
                <w:rFonts w:eastAsia="Times New Roman" w:cs="Times New Roman"/>
                <w:szCs w:val="24"/>
                <w:vertAlign w:val="subscript"/>
                <w:lang w:val="tr-TR" w:bidi="tr-TR"/>
              </w:rPr>
              <w:t>X</w:t>
            </w:r>
            <w:r w:rsidRPr="00F50C10">
              <w:rPr>
                <w:rFonts w:eastAsia="Times New Roman" w:cs="Times New Roman"/>
                <w:szCs w:val="24"/>
                <w:lang w:val="tr-TR" w:bidi="tr-TR"/>
              </w:rPr>
              <w:t xml:space="preserve"> brülörü (LNB) veya ultra düşük NO</w:t>
            </w:r>
            <w:r w:rsidRPr="00F50C10">
              <w:rPr>
                <w:rFonts w:eastAsia="Times New Roman" w:cs="Times New Roman"/>
                <w:szCs w:val="24"/>
                <w:vertAlign w:val="subscript"/>
                <w:lang w:val="tr-TR" w:bidi="tr-TR"/>
              </w:rPr>
              <w:t>X</w:t>
            </w:r>
            <w:r w:rsidRPr="00F50C10">
              <w:rPr>
                <w:rFonts w:eastAsia="Times New Roman" w:cs="Times New Roman"/>
                <w:szCs w:val="24"/>
                <w:lang w:val="tr-TR" w:bidi="tr-TR"/>
              </w:rPr>
              <w:t xml:space="preserve"> brülörü (ULNB)</w:t>
            </w:r>
          </w:p>
        </w:tc>
        <w:tc>
          <w:tcPr>
            <w:tcW w:w="1990" w:type="pct"/>
            <w:vAlign w:val="center"/>
          </w:tcPr>
          <w:p w14:paraId="2354E2BF" w14:textId="5DDC2509" w:rsidR="00BB704F" w:rsidRPr="00F50C10" w:rsidRDefault="00105577" w:rsidP="000B206D">
            <w:pPr>
              <w:spacing w:line="276" w:lineRule="auto"/>
              <w:ind w:left="113" w:right="108"/>
              <w:rPr>
                <w:rFonts w:eastAsia="Times New Roman" w:cs="Times New Roman"/>
                <w:szCs w:val="24"/>
                <w:lang w:val="tr-TR"/>
              </w:rPr>
            </w:pPr>
            <w:r w:rsidRPr="00F50C10">
              <w:rPr>
                <w:rFonts w:eastAsia="Times New Roman" w:cs="Times New Roman"/>
                <w:i/>
                <w:szCs w:val="24"/>
                <w:lang w:val="tr-TR"/>
              </w:rPr>
              <w:t xml:space="preserve">Detaylı bilgi için </w:t>
            </w:r>
            <w:hyperlink w:anchor="_bookmark802" w:history="1">
              <w:r w:rsidRPr="00F50C10">
                <w:rPr>
                  <w:rFonts w:eastAsia="Times New Roman" w:cs="Times New Roman"/>
                  <w:i/>
                  <w:szCs w:val="24"/>
                  <w:lang w:val="tr-TR" w:bidi="tr-TR"/>
                </w:rPr>
                <w:t>12.3.</w:t>
              </w:r>
            </w:hyperlink>
            <w:r w:rsidRPr="00F50C10">
              <w:rPr>
                <w:rFonts w:eastAsia="Times New Roman" w:cs="Times New Roman"/>
                <w:i/>
                <w:szCs w:val="24"/>
                <w:lang w:val="tr-TR" w:bidi="tr-TR"/>
              </w:rPr>
              <w:t xml:space="preserve"> kısmına bakınız.</w:t>
            </w:r>
          </w:p>
        </w:tc>
        <w:tc>
          <w:tcPr>
            <w:tcW w:w="1886" w:type="pct"/>
            <w:vAlign w:val="center"/>
          </w:tcPr>
          <w:p w14:paraId="0A8B7ACD" w14:textId="77777777" w:rsidR="00BB704F" w:rsidRPr="00F50C10" w:rsidRDefault="00BB704F" w:rsidP="000B206D">
            <w:pPr>
              <w:tabs>
                <w:tab w:val="left" w:pos="723"/>
                <w:tab w:val="left" w:pos="1690"/>
                <w:tab w:val="left" w:pos="2045"/>
              </w:tabs>
              <w:spacing w:line="276" w:lineRule="auto"/>
              <w:ind w:left="113" w:right="108"/>
              <w:rPr>
                <w:rFonts w:eastAsia="Times New Roman" w:cs="Times New Roman"/>
                <w:szCs w:val="24"/>
                <w:lang w:val="tr-TR"/>
              </w:rPr>
            </w:pPr>
            <w:r w:rsidRPr="00F50C10">
              <w:rPr>
                <w:rFonts w:eastAsia="Times New Roman" w:cs="Times New Roman"/>
                <w:szCs w:val="24"/>
                <w:lang w:val="tr-TR" w:bidi="tr-TR"/>
              </w:rPr>
              <w:t>Mevcut proses fırınları/ısıtıcılarının tasarımı nedeniyle, uygulanabilirlik kısıtlı olabilir.</w:t>
            </w:r>
          </w:p>
        </w:tc>
      </w:tr>
      <w:tr w:rsidR="00BB704F" w:rsidRPr="00F50C10" w14:paraId="13CBB66E" w14:textId="77777777" w:rsidTr="00BB704F">
        <w:trPr>
          <w:trHeight w:val="1610"/>
        </w:trPr>
        <w:tc>
          <w:tcPr>
            <w:tcW w:w="141" w:type="pct"/>
            <w:vAlign w:val="center"/>
          </w:tcPr>
          <w:p w14:paraId="35B81F0F" w14:textId="36F93655" w:rsidR="00BB704F" w:rsidRPr="00F50C10" w:rsidRDefault="00F50C10" w:rsidP="000B206D">
            <w:pPr>
              <w:spacing w:line="276" w:lineRule="auto"/>
              <w:ind w:left="113" w:right="108"/>
              <w:jc w:val="center"/>
              <w:rPr>
                <w:rFonts w:eastAsia="Times New Roman" w:cs="Times New Roman"/>
                <w:szCs w:val="24"/>
                <w:lang w:val="tr-TR"/>
              </w:rPr>
            </w:pPr>
            <w:r w:rsidRPr="00F50C10">
              <w:rPr>
                <w:rFonts w:eastAsia="Times New Roman" w:cs="Times New Roman"/>
                <w:w w:val="99"/>
                <w:szCs w:val="24"/>
                <w:lang w:val="tr-TR" w:bidi="tr-TR"/>
              </w:rPr>
              <w:t>f</w:t>
            </w:r>
          </w:p>
        </w:tc>
        <w:tc>
          <w:tcPr>
            <w:tcW w:w="983" w:type="pct"/>
            <w:vAlign w:val="center"/>
          </w:tcPr>
          <w:p w14:paraId="738C49A1" w14:textId="77777777"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szCs w:val="24"/>
                <w:lang w:val="tr-TR" w:bidi="tr-TR"/>
              </w:rPr>
              <w:t>İnert seyrelticilerin kullanımı</w:t>
            </w:r>
          </w:p>
        </w:tc>
        <w:tc>
          <w:tcPr>
            <w:tcW w:w="1990" w:type="pct"/>
          </w:tcPr>
          <w:p w14:paraId="67F194C1" w14:textId="20077544"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szCs w:val="24"/>
                <w:lang w:val="tr-TR" w:bidi="tr-TR"/>
              </w:rPr>
              <w:t xml:space="preserve">Alevin sıcaklığını düşürmek için buhar, su, nitrojen gibi </w:t>
            </w:r>
            <w:r w:rsidR="00B16387" w:rsidRPr="00F50C10">
              <w:rPr>
                <w:rFonts w:eastAsia="Times New Roman" w:cs="Times New Roman"/>
                <w:szCs w:val="24"/>
                <w:lang w:val="tr-TR" w:bidi="tr-TR"/>
              </w:rPr>
              <w:t>‘</w:t>
            </w:r>
            <w:r w:rsidRPr="00F50C10">
              <w:rPr>
                <w:rFonts w:eastAsia="Times New Roman" w:cs="Times New Roman"/>
                <w:szCs w:val="24"/>
                <w:lang w:val="tr-TR" w:bidi="tr-TR"/>
              </w:rPr>
              <w:t>inert</w:t>
            </w:r>
            <w:r w:rsidR="00B16387" w:rsidRPr="00F50C10">
              <w:rPr>
                <w:rFonts w:eastAsia="Times New Roman" w:cs="Times New Roman"/>
                <w:szCs w:val="24"/>
                <w:lang w:val="tr-TR" w:bidi="tr-TR"/>
              </w:rPr>
              <w:t>’</w:t>
            </w:r>
            <w:r w:rsidRPr="00F50C10">
              <w:rPr>
                <w:rFonts w:eastAsia="Times New Roman" w:cs="Times New Roman"/>
                <w:szCs w:val="24"/>
                <w:lang w:val="tr-TR" w:bidi="tr-TR"/>
              </w:rPr>
              <w:t xml:space="preserve"> seyrelticiler kullanılır (yakmadan önce yakıtla önceden karıştırılarak veya doğrudan yakma odasına enjekte edilerek). Buhar enjeksiyonu CO emisyonlarını artırabilir.</w:t>
            </w:r>
          </w:p>
        </w:tc>
        <w:tc>
          <w:tcPr>
            <w:tcW w:w="1886" w:type="pct"/>
            <w:vAlign w:val="center"/>
          </w:tcPr>
          <w:p w14:paraId="39E4A647" w14:textId="77777777"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5BA27B75" w14:textId="77777777" w:rsidTr="00BB704F">
        <w:trPr>
          <w:trHeight w:val="918"/>
        </w:trPr>
        <w:tc>
          <w:tcPr>
            <w:tcW w:w="141" w:type="pct"/>
            <w:vAlign w:val="center"/>
          </w:tcPr>
          <w:p w14:paraId="09225C20" w14:textId="30B72337" w:rsidR="00BB704F" w:rsidRPr="00F50C10" w:rsidRDefault="00F50C10" w:rsidP="000B206D">
            <w:pPr>
              <w:spacing w:line="276" w:lineRule="auto"/>
              <w:ind w:left="113" w:right="108"/>
              <w:jc w:val="center"/>
              <w:rPr>
                <w:rFonts w:eastAsia="Times New Roman" w:cs="Times New Roman"/>
                <w:szCs w:val="24"/>
                <w:lang w:val="tr-TR"/>
              </w:rPr>
            </w:pPr>
            <w:r w:rsidRPr="00F50C10">
              <w:rPr>
                <w:rFonts w:eastAsia="Times New Roman" w:cs="Times New Roman"/>
                <w:w w:val="99"/>
                <w:szCs w:val="24"/>
                <w:lang w:val="tr-TR" w:bidi="tr-TR"/>
              </w:rPr>
              <w:t>g</w:t>
            </w:r>
          </w:p>
        </w:tc>
        <w:tc>
          <w:tcPr>
            <w:tcW w:w="983" w:type="pct"/>
            <w:vAlign w:val="center"/>
          </w:tcPr>
          <w:p w14:paraId="0634FA04" w14:textId="77777777"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szCs w:val="24"/>
                <w:lang w:val="tr-TR" w:bidi="tr-TR"/>
              </w:rPr>
              <w:t>Seçici katalitik indirgeme (SCR)</w:t>
            </w:r>
          </w:p>
        </w:tc>
        <w:tc>
          <w:tcPr>
            <w:tcW w:w="1990" w:type="pct"/>
            <w:vAlign w:val="center"/>
          </w:tcPr>
          <w:p w14:paraId="39681C62" w14:textId="04320221" w:rsidR="00BB704F" w:rsidRPr="00F50C10" w:rsidRDefault="00105577" w:rsidP="000B206D">
            <w:pPr>
              <w:spacing w:line="276" w:lineRule="auto"/>
              <w:ind w:left="113" w:right="108"/>
              <w:rPr>
                <w:rFonts w:eastAsia="Times New Roman" w:cs="Times New Roman"/>
                <w:szCs w:val="24"/>
                <w:lang w:val="tr-TR"/>
              </w:rPr>
            </w:pPr>
            <w:r w:rsidRPr="00F50C10">
              <w:rPr>
                <w:rFonts w:eastAsia="Times New Roman" w:cs="Times New Roman"/>
                <w:i/>
                <w:szCs w:val="24"/>
                <w:lang w:val="tr-TR"/>
              </w:rPr>
              <w:t xml:space="preserve">Detaylı bilgi için </w:t>
            </w:r>
            <w:hyperlink w:anchor="_bookmark802" w:history="1">
              <w:r w:rsidRPr="00F50C10">
                <w:rPr>
                  <w:rFonts w:eastAsia="Times New Roman" w:cs="Times New Roman"/>
                  <w:i/>
                  <w:szCs w:val="24"/>
                  <w:lang w:val="tr-TR" w:bidi="tr-TR"/>
                </w:rPr>
                <w:t>12.1.</w:t>
              </w:r>
            </w:hyperlink>
            <w:r w:rsidRPr="00F50C10">
              <w:rPr>
                <w:rFonts w:eastAsia="Times New Roman" w:cs="Times New Roman"/>
                <w:i/>
                <w:szCs w:val="24"/>
                <w:lang w:val="tr-TR" w:bidi="tr-TR"/>
              </w:rPr>
              <w:t xml:space="preserve"> kısmına bakınız.</w:t>
            </w:r>
          </w:p>
        </w:tc>
        <w:tc>
          <w:tcPr>
            <w:tcW w:w="1886" w:type="pct"/>
            <w:vAlign w:val="center"/>
          </w:tcPr>
          <w:p w14:paraId="6A15A687" w14:textId="3582F1C8"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szCs w:val="24"/>
                <w:lang w:val="tr-TR" w:bidi="tr-TR"/>
              </w:rPr>
              <w:t>Mevcut proses fırınlarında/ısıtıcılarında uygulanabilirlik, kullanılabilir alan ile sınırl</w:t>
            </w:r>
            <w:r w:rsidR="00B16387" w:rsidRPr="00F50C10">
              <w:rPr>
                <w:rFonts w:eastAsia="Times New Roman" w:cs="Times New Roman"/>
                <w:szCs w:val="24"/>
                <w:lang w:val="tr-TR" w:bidi="tr-TR"/>
              </w:rPr>
              <w:t>andırılabilir.</w:t>
            </w:r>
          </w:p>
        </w:tc>
      </w:tr>
      <w:tr w:rsidR="00BB704F" w:rsidRPr="00F50C10" w14:paraId="4DF1318B" w14:textId="77777777" w:rsidTr="00BB704F">
        <w:trPr>
          <w:trHeight w:val="2301"/>
        </w:trPr>
        <w:tc>
          <w:tcPr>
            <w:tcW w:w="141" w:type="pct"/>
            <w:vAlign w:val="center"/>
          </w:tcPr>
          <w:p w14:paraId="03671F5C" w14:textId="227CDB82" w:rsidR="00BB704F" w:rsidRPr="00F50C10" w:rsidRDefault="00F50C10" w:rsidP="000B206D">
            <w:pPr>
              <w:spacing w:line="276" w:lineRule="auto"/>
              <w:ind w:left="113" w:right="108"/>
              <w:jc w:val="center"/>
              <w:rPr>
                <w:rFonts w:eastAsia="Times New Roman" w:cs="Times New Roman"/>
                <w:szCs w:val="24"/>
                <w:lang w:val="tr-TR"/>
              </w:rPr>
            </w:pPr>
            <w:r>
              <w:rPr>
                <w:rFonts w:eastAsia="Times New Roman" w:cs="Times New Roman"/>
                <w:szCs w:val="24"/>
                <w:lang w:val="tr-TR"/>
              </w:rPr>
              <w:t>h</w:t>
            </w:r>
          </w:p>
        </w:tc>
        <w:tc>
          <w:tcPr>
            <w:tcW w:w="983" w:type="pct"/>
            <w:vAlign w:val="center"/>
          </w:tcPr>
          <w:p w14:paraId="262AB675" w14:textId="77777777"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szCs w:val="24"/>
                <w:lang w:val="tr-TR" w:bidi="tr-TR"/>
              </w:rPr>
              <w:t>Seçici katalitik olmayan indirgeme (SNCR)</w:t>
            </w:r>
          </w:p>
        </w:tc>
        <w:tc>
          <w:tcPr>
            <w:tcW w:w="1990" w:type="pct"/>
            <w:vAlign w:val="center"/>
          </w:tcPr>
          <w:p w14:paraId="4FA67C85" w14:textId="0E976AFF" w:rsidR="00BB704F" w:rsidRPr="00F50C10" w:rsidRDefault="00105577" w:rsidP="000B206D">
            <w:pPr>
              <w:spacing w:line="276" w:lineRule="auto"/>
              <w:ind w:left="113" w:right="108"/>
              <w:rPr>
                <w:rFonts w:eastAsia="Times New Roman" w:cs="Times New Roman"/>
                <w:szCs w:val="24"/>
                <w:lang w:val="tr-TR"/>
              </w:rPr>
            </w:pPr>
            <w:r w:rsidRPr="00F50C10">
              <w:rPr>
                <w:rFonts w:eastAsia="Times New Roman" w:cs="Times New Roman"/>
                <w:i/>
                <w:szCs w:val="24"/>
                <w:lang w:val="tr-TR"/>
              </w:rPr>
              <w:t xml:space="preserve">Detaylı bilgi için </w:t>
            </w:r>
            <w:hyperlink w:anchor="_bookmark802" w:history="1">
              <w:r w:rsidRPr="00F50C10">
                <w:rPr>
                  <w:rFonts w:eastAsia="Times New Roman" w:cs="Times New Roman"/>
                  <w:i/>
                  <w:szCs w:val="24"/>
                  <w:lang w:val="tr-TR" w:bidi="tr-TR"/>
                </w:rPr>
                <w:t>12.1.</w:t>
              </w:r>
            </w:hyperlink>
            <w:r w:rsidRPr="00F50C10">
              <w:rPr>
                <w:rFonts w:eastAsia="Times New Roman" w:cs="Times New Roman"/>
                <w:i/>
                <w:szCs w:val="24"/>
                <w:lang w:val="tr-TR" w:bidi="tr-TR"/>
              </w:rPr>
              <w:t xml:space="preserve"> kısmına bakınız.</w:t>
            </w:r>
          </w:p>
        </w:tc>
        <w:tc>
          <w:tcPr>
            <w:tcW w:w="1886" w:type="pct"/>
            <w:vAlign w:val="center"/>
          </w:tcPr>
          <w:p w14:paraId="44B6311E" w14:textId="77777777" w:rsidR="00B16387" w:rsidRPr="00F50C10" w:rsidRDefault="00BB704F" w:rsidP="000B206D">
            <w:pPr>
              <w:spacing w:line="276" w:lineRule="auto"/>
              <w:ind w:left="113" w:right="108"/>
              <w:rPr>
                <w:rFonts w:eastAsia="Times New Roman" w:cs="Times New Roman"/>
                <w:szCs w:val="24"/>
                <w:lang w:val="tr-TR" w:bidi="tr-TR"/>
              </w:rPr>
            </w:pPr>
            <w:r w:rsidRPr="00F50C10">
              <w:rPr>
                <w:rFonts w:eastAsia="Times New Roman" w:cs="Times New Roman"/>
                <w:szCs w:val="24"/>
                <w:lang w:val="tr-TR" w:bidi="tr-TR"/>
              </w:rPr>
              <w:t xml:space="preserve">Mevcut proses ısıtıcılarına/fırınlarına uygulanabilirlik, sıcaklık aralığı (900-1050°C) ve reaksiyon için gereken kalma süresi nedeniyle sınırlı olabilir. </w:t>
            </w:r>
          </w:p>
          <w:p w14:paraId="4103E83D" w14:textId="1B72D3AF" w:rsidR="00BB704F" w:rsidRPr="00F50C10" w:rsidRDefault="00BB704F" w:rsidP="000B206D">
            <w:pPr>
              <w:spacing w:line="276" w:lineRule="auto"/>
              <w:ind w:left="113" w:right="108"/>
              <w:rPr>
                <w:rFonts w:eastAsia="Times New Roman" w:cs="Times New Roman"/>
                <w:szCs w:val="24"/>
                <w:lang w:val="tr-TR"/>
              </w:rPr>
            </w:pPr>
            <w:r w:rsidRPr="00F50C10">
              <w:rPr>
                <w:rFonts w:eastAsia="Times New Roman" w:cs="Times New Roman"/>
                <w:szCs w:val="24"/>
                <w:lang w:val="tr-TR" w:bidi="tr-TR"/>
              </w:rPr>
              <w:t xml:space="preserve">EDC parçalayıcıları için </w:t>
            </w:r>
            <w:r w:rsidR="00B16387" w:rsidRPr="00F50C10">
              <w:rPr>
                <w:rFonts w:eastAsia="Times New Roman" w:cs="Times New Roman"/>
                <w:szCs w:val="24"/>
                <w:lang w:val="tr-TR" w:bidi="tr-TR"/>
              </w:rPr>
              <w:t>uygulanabilir</w:t>
            </w:r>
            <w:r w:rsidRPr="00F50C10">
              <w:rPr>
                <w:rFonts w:eastAsia="Times New Roman" w:cs="Times New Roman"/>
                <w:szCs w:val="24"/>
                <w:lang w:val="tr-TR" w:bidi="tr-TR"/>
              </w:rPr>
              <w:t xml:space="preserve"> değildir.</w:t>
            </w:r>
          </w:p>
        </w:tc>
      </w:tr>
    </w:tbl>
    <w:p w14:paraId="49DB96B9" w14:textId="1B8373FC" w:rsidR="00BB704F" w:rsidRPr="00F50C10" w:rsidRDefault="00BB704F" w:rsidP="000B206D">
      <w:pPr>
        <w:widowControl w:val="0"/>
        <w:autoSpaceDE w:val="0"/>
        <w:autoSpaceDN w:val="0"/>
        <w:spacing w:before="240" w:line="276" w:lineRule="auto"/>
        <w:jc w:val="left"/>
        <w:rPr>
          <w:rFonts w:eastAsia="Times New Roman" w:cs="Times New Roman"/>
          <w:szCs w:val="24"/>
          <w:lang w:val="tr-TR" w:bidi="tr-TR"/>
        </w:rPr>
      </w:pPr>
      <w:r w:rsidRPr="00F50C10">
        <w:rPr>
          <w:rFonts w:eastAsia="Times New Roman" w:cs="Times New Roman"/>
          <w:szCs w:val="24"/>
          <w:lang w:val="tr-TR" w:bidi="tr-TR"/>
        </w:rPr>
        <w:t xml:space="preserve">MET ile ilişkili emisyon seviyeleri (MET-İES'ler) </w:t>
      </w:r>
      <w:bookmarkStart w:id="9" w:name="_Hlk127104372"/>
      <w:r w:rsidRPr="00F50C10">
        <w:rPr>
          <w:rFonts w:eastAsia="Times New Roman" w:cs="Times New Roman"/>
          <w:szCs w:val="24"/>
          <w:lang w:val="tr-TR" w:bidi="tr-TR"/>
        </w:rPr>
        <w:t>için</w:t>
      </w:r>
      <w:r w:rsidRPr="00F50C10">
        <w:rPr>
          <w:rFonts w:eastAsia="Times New Roman" w:cs="Times New Roman"/>
          <w:szCs w:val="24"/>
          <w:lang w:val="tr-TR"/>
        </w:rPr>
        <w:t xml:space="preserve"> </w:t>
      </w:r>
      <w:r w:rsidRPr="00F50C10">
        <w:rPr>
          <w:rFonts w:eastAsia="Times New Roman" w:cs="Times New Roman"/>
          <w:szCs w:val="24"/>
          <w:lang w:val="tr-TR"/>
        </w:rPr>
        <w:fldChar w:fldCharType="begin"/>
      </w:r>
      <w:r w:rsidRPr="00F50C10">
        <w:rPr>
          <w:rFonts w:eastAsia="Times New Roman" w:cs="Times New Roman"/>
          <w:szCs w:val="24"/>
          <w:lang w:val="tr-TR"/>
        </w:rPr>
        <w:instrText xml:space="preserve"> REF _Ref132805797 \h  \* MERGEFORMAT </w:instrText>
      </w:r>
      <w:r w:rsidRPr="00F50C10">
        <w:rPr>
          <w:rFonts w:eastAsia="Times New Roman" w:cs="Times New Roman"/>
          <w:szCs w:val="24"/>
          <w:lang w:val="tr-TR"/>
        </w:rPr>
      </w:r>
      <w:r w:rsidRPr="00F50C10">
        <w:rPr>
          <w:rFonts w:eastAsia="Times New Roman" w:cs="Times New Roman"/>
          <w:szCs w:val="24"/>
          <w:lang w:val="tr-TR"/>
        </w:rPr>
        <w:fldChar w:fldCharType="separate"/>
      </w:r>
      <w:r w:rsidRPr="00F50C10">
        <w:rPr>
          <w:rFonts w:eastAsia="Times New Roman" w:cs="Times New Roman"/>
          <w:szCs w:val="24"/>
          <w:lang w:val="tr-TR"/>
        </w:rPr>
        <w:t xml:space="preserve">Tablo </w:t>
      </w:r>
      <w:r w:rsidR="00615133" w:rsidRPr="00F50C10">
        <w:rPr>
          <w:rFonts w:eastAsia="Times New Roman" w:cs="Times New Roman"/>
          <w:szCs w:val="24"/>
          <w:lang w:val="tr-TR"/>
        </w:rPr>
        <w:t>2.</w:t>
      </w:r>
      <w:r w:rsidRPr="00F50C10">
        <w:rPr>
          <w:rFonts w:eastAsia="Times New Roman" w:cs="Times New Roman"/>
          <w:noProof/>
          <w:szCs w:val="24"/>
          <w:lang w:val="tr-TR"/>
        </w:rPr>
        <w:t>1</w:t>
      </w:r>
      <w:r w:rsidRPr="00F50C10">
        <w:rPr>
          <w:rFonts w:eastAsia="Times New Roman" w:cs="Times New Roman"/>
          <w:szCs w:val="24"/>
          <w:lang w:val="tr-TR"/>
        </w:rPr>
        <w:fldChar w:fldCharType="end"/>
      </w:r>
      <w:r w:rsidRPr="00F50C10">
        <w:rPr>
          <w:rFonts w:eastAsia="Times New Roman" w:cs="Times New Roman"/>
          <w:szCs w:val="24"/>
          <w:lang w:val="tr-TR"/>
        </w:rPr>
        <w:t xml:space="preserve"> </w:t>
      </w:r>
      <w:r w:rsidRPr="00F50C10">
        <w:rPr>
          <w:rFonts w:eastAsia="Times New Roman" w:cs="Times New Roman"/>
          <w:szCs w:val="24"/>
          <w:lang w:val="tr-TR" w:bidi="tr-TR"/>
        </w:rPr>
        <w:t>ve</w:t>
      </w:r>
      <w:bookmarkEnd w:id="9"/>
      <w:r w:rsidRPr="00F50C10">
        <w:rPr>
          <w:rFonts w:eastAsia="Times New Roman" w:cs="Times New Roman"/>
          <w:szCs w:val="24"/>
          <w:lang w:val="tr-TR"/>
        </w:rPr>
        <w:t xml:space="preserve"> </w:t>
      </w:r>
      <w:r w:rsidRPr="00F50C10">
        <w:rPr>
          <w:rFonts w:eastAsia="Times New Roman" w:cs="Times New Roman"/>
          <w:szCs w:val="24"/>
          <w:lang w:val="tr-TR"/>
        </w:rPr>
        <w:fldChar w:fldCharType="begin"/>
      </w:r>
      <w:r w:rsidRPr="00F50C10">
        <w:rPr>
          <w:rFonts w:eastAsia="Times New Roman" w:cs="Times New Roman"/>
          <w:szCs w:val="24"/>
          <w:lang w:val="tr-TR"/>
        </w:rPr>
        <w:instrText xml:space="preserve"> REF _Ref132816037 \h  \* MERGEFORMAT </w:instrText>
      </w:r>
      <w:r w:rsidRPr="00F50C10">
        <w:rPr>
          <w:rFonts w:eastAsia="Times New Roman" w:cs="Times New Roman"/>
          <w:szCs w:val="24"/>
          <w:lang w:val="tr-TR"/>
        </w:rPr>
      </w:r>
      <w:r w:rsidRPr="00F50C10">
        <w:rPr>
          <w:rFonts w:eastAsia="Times New Roman" w:cs="Times New Roman"/>
          <w:szCs w:val="24"/>
          <w:lang w:val="tr-TR"/>
        </w:rPr>
        <w:fldChar w:fldCharType="separate"/>
      </w:r>
      <w:r w:rsidRPr="00F50C10">
        <w:rPr>
          <w:rFonts w:eastAsia="Times New Roman" w:cs="Times New Roman"/>
          <w:szCs w:val="24"/>
          <w:lang w:val="tr-TR"/>
        </w:rPr>
        <w:t xml:space="preserve">Tablo </w:t>
      </w:r>
      <w:r w:rsidRPr="00F50C10">
        <w:rPr>
          <w:rFonts w:eastAsia="Times New Roman" w:cs="Times New Roman"/>
          <w:noProof/>
          <w:szCs w:val="24"/>
          <w:lang w:val="tr-TR"/>
        </w:rPr>
        <w:t>10</w:t>
      </w:r>
      <w:r w:rsidRPr="00F50C10">
        <w:rPr>
          <w:rFonts w:eastAsia="Times New Roman" w:cs="Times New Roman"/>
          <w:szCs w:val="24"/>
          <w:lang w:val="tr-TR"/>
        </w:rPr>
        <w:fldChar w:fldCharType="end"/>
      </w:r>
      <w:r w:rsidR="00615133" w:rsidRPr="00F50C10">
        <w:rPr>
          <w:rFonts w:eastAsia="Times New Roman" w:cs="Times New Roman"/>
          <w:szCs w:val="24"/>
          <w:lang w:val="tr-TR"/>
        </w:rPr>
        <w:t>.1</w:t>
      </w:r>
      <w:r w:rsidRPr="00F50C10">
        <w:rPr>
          <w:rFonts w:eastAsia="Times New Roman" w:cs="Times New Roman"/>
          <w:szCs w:val="24"/>
          <w:lang w:val="tr-TR"/>
        </w:rPr>
        <w:t xml:space="preserve">’a </w:t>
      </w:r>
      <w:r w:rsidRPr="00F50C10">
        <w:rPr>
          <w:rFonts w:eastAsia="Times New Roman" w:cs="Times New Roman"/>
          <w:szCs w:val="24"/>
          <w:lang w:val="tr-TR" w:bidi="tr-TR"/>
        </w:rPr>
        <w:t>bakınız.</w:t>
      </w:r>
    </w:p>
    <w:p w14:paraId="08321240" w14:textId="7BC08D26"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5: </w:t>
      </w:r>
      <w:r w:rsidRPr="00F50C10">
        <w:rPr>
          <w:rFonts w:eastAsia="Times New Roman" w:cs="Times New Roman"/>
          <w:bCs/>
          <w:szCs w:val="24"/>
          <w:lang w:val="tr-TR"/>
        </w:rPr>
        <w:t>Proses fırınlarından/ısıtıcılarından havaya toz emisyonlarını önlemek veya azaltmak için aşa</w:t>
      </w:r>
      <w:r w:rsidR="00026A9F" w:rsidRPr="00F50C10">
        <w:rPr>
          <w:rFonts w:eastAsia="Times New Roman" w:cs="Times New Roman"/>
          <w:bCs/>
          <w:szCs w:val="24"/>
          <w:lang w:val="tr-TR"/>
        </w:rPr>
        <w:t>ğıda verilen tekniklerden biri</w:t>
      </w:r>
      <w:r w:rsidRPr="00F50C10">
        <w:rPr>
          <w:rFonts w:eastAsia="Times New Roman" w:cs="Times New Roman"/>
          <w:bCs/>
          <w:szCs w:val="24"/>
          <w:lang w:val="tr-TR"/>
        </w:rPr>
        <w:t xml:space="preserve"> veya birkaçı kullan</w:t>
      </w:r>
      <w:r w:rsidR="00026A9F" w:rsidRPr="00F50C10">
        <w:rPr>
          <w:rFonts w:eastAsia="Times New Roman" w:cs="Times New Roman"/>
          <w:bCs/>
          <w:szCs w:val="24"/>
          <w:lang w:val="tr-TR"/>
        </w:rPr>
        <w:t>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585"/>
        <w:gridCol w:w="3481"/>
        <w:gridCol w:w="2086"/>
      </w:tblGrid>
      <w:tr w:rsidR="00BB704F" w:rsidRPr="00F50C10" w14:paraId="60C6BBB1" w14:textId="77777777" w:rsidTr="00BB704F">
        <w:trPr>
          <w:trHeight w:val="230"/>
          <w:tblHeader/>
        </w:trPr>
        <w:tc>
          <w:tcPr>
            <w:tcW w:w="177" w:type="pct"/>
            <w:tcBorders>
              <w:top w:val="single" w:sz="4" w:space="0" w:color="auto"/>
              <w:right w:val="single" w:sz="4" w:space="0" w:color="auto"/>
            </w:tcBorders>
          </w:tcPr>
          <w:p w14:paraId="03F2C8F7"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530" w:type="pct"/>
            <w:tcBorders>
              <w:top w:val="single" w:sz="4" w:space="0" w:color="auto"/>
              <w:left w:val="single" w:sz="4" w:space="0" w:color="auto"/>
            </w:tcBorders>
          </w:tcPr>
          <w:p w14:paraId="1414698D" w14:textId="77777777" w:rsidR="00BB704F" w:rsidRPr="00F50C10" w:rsidRDefault="00BB704F" w:rsidP="000B206D">
            <w:pPr>
              <w:spacing w:line="276" w:lineRule="auto"/>
              <w:ind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2057" w:type="pct"/>
          </w:tcPr>
          <w:p w14:paraId="6E21F414"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36" w:type="pct"/>
          </w:tcPr>
          <w:p w14:paraId="279D8367" w14:textId="77777777" w:rsidR="00BB704F" w:rsidRPr="00F50C10" w:rsidRDefault="00BB704F" w:rsidP="000B206D">
            <w:pPr>
              <w:spacing w:line="276" w:lineRule="auto"/>
              <w:ind w:left="108" w:right="108"/>
              <w:jc w:val="left"/>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2E167FC4" w14:textId="77777777" w:rsidTr="00BB704F">
        <w:trPr>
          <w:trHeight w:val="1151"/>
        </w:trPr>
        <w:tc>
          <w:tcPr>
            <w:tcW w:w="177" w:type="pct"/>
            <w:vAlign w:val="center"/>
          </w:tcPr>
          <w:p w14:paraId="431B54C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530" w:type="pct"/>
            <w:vAlign w:val="center"/>
          </w:tcPr>
          <w:p w14:paraId="0A8F800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Yakıt seçimi</w:t>
            </w:r>
          </w:p>
        </w:tc>
        <w:tc>
          <w:tcPr>
            <w:tcW w:w="2057" w:type="pct"/>
            <w:vAlign w:val="center"/>
          </w:tcPr>
          <w:p w14:paraId="3E3049F1" w14:textId="7DC36ABC" w:rsidR="00BB704F" w:rsidRPr="00F50C10" w:rsidRDefault="00BB704F" w:rsidP="000B206D">
            <w:pPr>
              <w:spacing w:before="108" w:line="276" w:lineRule="auto"/>
              <w:ind w:left="108" w:right="108"/>
              <w:rPr>
                <w:rFonts w:eastAsia="Times New Roman" w:cs="Times New Roman"/>
                <w:szCs w:val="24"/>
                <w:lang w:val="tr-TR"/>
              </w:rPr>
            </w:pPr>
            <w:r w:rsidRPr="00F50C10">
              <w:rPr>
                <w:rFonts w:eastAsia="Times New Roman" w:cs="Times New Roman"/>
                <w:szCs w:val="24"/>
                <w:lang w:val="tr-TR" w:bidi="tr-TR"/>
              </w:rPr>
              <w:t>Bu, genel hidrokarbon dengesini hesaba katarak sıvı yakıtlardan gaz yakıtlara geçişi içerir.</w:t>
            </w:r>
            <w:r w:rsidR="00105577" w:rsidRPr="00F50C10">
              <w:rPr>
                <w:rFonts w:eastAsia="Times New Roman" w:cs="Times New Roman"/>
                <w:szCs w:val="24"/>
                <w:lang w:val="tr-TR" w:bidi="tr-TR"/>
              </w:rPr>
              <w:t xml:space="preserve"> </w:t>
            </w:r>
            <w:r w:rsidR="00105577" w:rsidRPr="00F50C10">
              <w:rPr>
                <w:rFonts w:eastAsia="Times New Roman" w:cs="Times New Roman"/>
                <w:i/>
                <w:szCs w:val="24"/>
                <w:lang w:val="tr-TR"/>
              </w:rPr>
              <w:t xml:space="preserve">Detaylı bilgi için </w:t>
            </w:r>
            <w:hyperlink w:anchor="_bookmark802" w:history="1">
              <w:r w:rsidR="00105577" w:rsidRPr="00F50C10">
                <w:rPr>
                  <w:rFonts w:eastAsia="Times New Roman" w:cs="Times New Roman"/>
                  <w:i/>
                  <w:szCs w:val="24"/>
                  <w:lang w:val="tr-TR" w:bidi="tr-TR"/>
                </w:rPr>
                <w:t>12.3.</w:t>
              </w:r>
            </w:hyperlink>
            <w:r w:rsidR="00105577" w:rsidRPr="00F50C10">
              <w:rPr>
                <w:rFonts w:eastAsia="Times New Roman" w:cs="Times New Roman"/>
                <w:i/>
                <w:szCs w:val="24"/>
                <w:lang w:val="tr-TR" w:bidi="tr-TR"/>
              </w:rPr>
              <w:t xml:space="preserve"> kısmına bakınız.</w:t>
            </w:r>
          </w:p>
        </w:tc>
        <w:tc>
          <w:tcPr>
            <w:tcW w:w="1236" w:type="pct"/>
            <w:vAlign w:val="center"/>
          </w:tcPr>
          <w:p w14:paraId="5D91668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Sıvı yakıtlardan gaz yakıtlara geçiş, mevcut tesislerde brülörlerin tasarımı ile kısıtlı olabilir.</w:t>
            </w:r>
          </w:p>
        </w:tc>
      </w:tr>
      <w:tr w:rsidR="00BB704F" w:rsidRPr="00F50C10" w14:paraId="706240E8" w14:textId="77777777" w:rsidTr="00BB704F">
        <w:trPr>
          <w:trHeight w:val="918"/>
        </w:trPr>
        <w:tc>
          <w:tcPr>
            <w:tcW w:w="177" w:type="pct"/>
            <w:vAlign w:val="center"/>
          </w:tcPr>
          <w:p w14:paraId="3030435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530" w:type="pct"/>
            <w:vAlign w:val="center"/>
          </w:tcPr>
          <w:p w14:paraId="46934E58" w14:textId="77777777" w:rsidR="00BB704F" w:rsidRPr="00F50C10" w:rsidRDefault="00BB704F" w:rsidP="000B206D">
            <w:pPr>
              <w:spacing w:before="1" w:line="276" w:lineRule="auto"/>
              <w:ind w:left="108" w:right="108"/>
              <w:rPr>
                <w:rFonts w:eastAsia="Times New Roman" w:cs="Times New Roman"/>
                <w:szCs w:val="24"/>
                <w:lang w:val="tr-TR"/>
              </w:rPr>
            </w:pPr>
            <w:r w:rsidRPr="00F50C10">
              <w:rPr>
                <w:rFonts w:eastAsia="Times New Roman" w:cs="Times New Roman"/>
                <w:szCs w:val="24"/>
                <w:lang w:val="tr-TR" w:bidi="tr-TR"/>
              </w:rPr>
              <w:t>Sıvı yakıtların atomizasyonu</w:t>
            </w:r>
          </w:p>
        </w:tc>
        <w:tc>
          <w:tcPr>
            <w:tcW w:w="2057" w:type="pct"/>
            <w:vAlign w:val="center"/>
          </w:tcPr>
          <w:p w14:paraId="1C31709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Sıvı yakıtta damlacık boyutunun azaltılmasında yüksek basınç kullanılması. Mevcut optimal brülör tasarımı, genellikle buhar atomizasyonunu içerir.</w:t>
            </w:r>
          </w:p>
        </w:tc>
        <w:tc>
          <w:tcPr>
            <w:tcW w:w="1236" w:type="pct"/>
            <w:vAlign w:val="center"/>
          </w:tcPr>
          <w:p w14:paraId="2FB93CE7" w14:textId="77777777" w:rsidR="00BB704F" w:rsidRPr="00F50C10" w:rsidRDefault="00BB704F" w:rsidP="000B206D">
            <w:pPr>
              <w:spacing w:before="1"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22C5392A" w14:textId="77777777" w:rsidTr="00BB704F">
        <w:trPr>
          <w:trHeight w:val="690"/>
        </w:trPr>
        <w:tc>
          <w:tcPr>
            <w:tcW w:w="177" w:type="pct"/>
            <w:vAlign w:val="center"/>
          </w:tcPr>
          <w:p w14:paraId="0461001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530" w:type="pct"/>
            <w:vAlign w:val="center"/>
          </w:tcPr>
          <w:p w14:paraId="184C425A" w14:textId="2B591E0F" w:rsidR="00BB704F" w:rsidRPr="00F50C10" w:rsidRDefault="009A2327"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Bez</w:t>
            </w:r>
            <w:r w:rsidR="00BB704F" w:rsidRPr="00F50C10">
              <w:rPr>
                <w:rFonts w:eastAsia="Times New Roman" w:cs="Times New Roman"/>
                <w:szCs w:val="24"/>
                <w:lang w:val="tr-TR" w:bidi="tr-TR"/>
              </w:rPr>
              <w:t>, seramik veya metal filtreler</w:t>
            </w:r>
          </w:p>
        </w:tc>
        <w:tc>
          <w:tcPr>
            <w:tcW w:w="2057" w:type="pct"/>
            <w:vAlign w:val="center"/>
          </w:tcPr>
          <w:p w14:paraId="409A36AF" w14:textId="0AF10A23" w:rsidR="00BB704F" w:rsidRPr="00F50C10" w:rsidRDefault="00105577" w:rsidP="000B206D">
            <w:pPr>
              <w:spacing w:line="276" w:lineRule="auto"/>
              <w:ind w:left="108" w:right="108"/>
              <w:rPr>
                <w:rFonts w:eastAsia="Times New Roman" w:cs="Times New Roman"/>
                <w:szCs w:val="24"/>
                <w:lang w:val="tr-TR"/>
              </w:rPr>
            </w:pPr>
            <w:r w:rsidRPr="00F50C10">
              <w:rPr>
                <w:rFonts w:eastAsia="Times New Roman" w:cs="Times New Roman"/>
                <w:i/>
                <w:szCs w:val="24"/>
                <w:lang w:val="tr-TR"/>
              </w:rPr>
              <w:t xml:space="preserve">Detaylı bilgi için </w:t>
            </w:r>
            <w:hyperlink w:anchor="_bookmark802" w:history="1">
              <w:r w:rsidRPr="00F50C10">
                <w:rPr>
                  <w:rFonts w:eastAsia="Times New Roman" w:cs="Times New Roman"/>
                  <w:i/>
                  <w:szCs w:val="24"/>
                  <w:lang w:val="tr-TR" w:bidi="tr-TR"/>
                </w:rPr>
                <w:t>12.1.</w:t>
              </w:r>
            </w:hyperlink>
            <w:r w:rsidRPr="00F50C10">
              <w:rPr>
                <w:rFonts w:eastAsia="Times New Roman" w:cs="Times New Roman"/>
                <w:i/>
                <w:szCs w:val="24"/>
                <w:lang w:val="tr-TR" w:bidi="tr-TR"/>
              </w:rPr>
              <w:t xml:space="preserve"> kısmına bakınız.</w:t>
            </w:r>
          </w:p>
        </w:tc>
        <w:tc>
          <w:tcPr>
            <w:tcW w:w="1236" w:type="pct"/>
            <w:vAlign w:val="center"/>
          </w:tcPr>
          <w:p w14:paraId="7730B60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gaz halindeki yakıtları yakarken geçerli değildir.</w:t>
            </w:r>
          </w:p>
        </w:tc>
      </w:tr>
    </w:tbl>
    <w:p w14:paraId="3394EF3E" w14:textId="19434FE0"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6: </w:t>
      </w:r>
      <w:r w:rsidRPr="00F50C10">
        <w:rPr>
          <w:rFonts w:eastAsia="Times New Roman" w:cs="Times New Roman"/>
          <w:bCs/>
          <w:szCs w:val="24"/>
          <w:lang w:val="tr-TR"/>
        </w:rPr>
        <w:t>Proses fırınlarından/ısıtıcılarından havaya SO</w:t>
      </w:r>
      <w:r w:rsidRPr="00F50C10">
        <w:rPr>
          <w:rFonts w:eastAsia="Times New Roman" w:cs="Times New Roman"/>
          <w:bCs/>
          <w:szCs w:val="24"/>
          <w:vertAlign w:val="subscript"/>
          <w:lang w:val="tr-TR"/>
        </w:rPr>
        <w:t>2</w:t>
      </w:r>
      <w:r w:rsidRPr="00F50C10">
        <w:rPr>
          <w:rFonts w:eastAsia="Times New Roman" w:cs="Times New Roman"/>
          <w:bCs/>
          <w:szCs w:val="24"/>
          <w:lang w:val="tr-TR"/>
        </w:rPr>
        <w:t xml:space="preserve"> emisyonlarını önlemek veya azaltmak için aşa</w:t>
      </w:r>
      <w:r w:rsidR="0058752F" w:rsidRPr="00F50C10">
        <w:rPr>
          <w:rFonts w:eastAsia="Times New Roman" w:cs="Times New Roman"/>
          <w:bCs/>
          <w:szCs w:val="24"/>
          <w:lang w:val="tr-TR"/>
        </w:rPr>
        <w:t>ğıda verilen tekniklerden biri veya her ikisi</w:t>
      </w:r>
      <w:r w:rsidRPr="00F50C10">
        <w:rPr>
          <w:rFonts w:eastAsia="Times New Roman" w:cs="Times New Roman"/>
          <w:bCs/>
          <w:szCs w:val="24"/>
          <w:lang w:val="tr-TR"/>
        </w:rPr>
        <w:t xml:space="preserve"> kullan</w:t>
      </w:r>
      <w:r w:rsidR="0058752F" w:rsidRPr="00F50C10">
        <w:rPr>
          <w:rFonts w:eastAsia="Times New Roman" w:cs="Times New Roman"/>
          <w:bCs/>
          <w:szCs w:val="24"/>
          <w:lang w:val="tr-TR"/>
        </w:rPr>
        <w:t>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788"/>
        <w:gridCol w:w="3131"/>
        <w:gridCol w:w="2233"/>
      </w:tblGrid>
      <w:tr w:rsidR="00BB704F" w:rsidRPr="00F50C10" w14:paraId="46801328" w14:textId="77777777" w:rsidTr="00BB704F">
        <w:trPr>
          <w:trHeight w:val="230"/>
        </w:trPr>
        <w:tc>
          <w:tcPr>
            <w:tcW w:w="166" w:type="pct"/>
            <w:tcBorders>
              <w:right w:val="single" w:sz="4" w:space="0" w:color="auto"/>
            </w:tcBorders>
          </w:tcPr>
          <w:p w14:paraId="73AAF51D"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653" w:type="pct"/>
            <w:tcBorders>
              <w:left w:val="single" w:sz="4" w:space="0" w:color="auto"/>
            </w:tcBorders>
          </w:tcPr>
          <w:p w14:paraId="008A5758" w14:textId="77777777" w:rsidR="00BB704F" w:rsidRPr="00F50C10" w:rsidRDefault="00BB704F" w:rsidP="000B206D">
            <w:pPr>
              <w:spacing w:line="276" w:lineRule="auto"/>
              <w:ind w:left="835" w:right="1114"/>
              <w:jc w:val="center"/>
              <w:rPr>
                <w:rFonts w:eastAsia="Times New Roman" w:cs="Times New Roman"/>
                <w:b/>
                <w:szCs w:val="24"/>
                <w:lang w:val="tr-TR"/>
              </w:rPr>
            </w:pPr>
            <w:r w:rsidRPr="00F50C10">
              <w:rPr>
                <w:rFonts w:eastAsia="Times New Roman" w:cs="Times New Roman"/>
                <w:b/>
                <w:szCs w:val="24"/>
                <w:lang w:val="tr-TR" w:bidi="tr-TR"/>
              </w:rPr>
              <w:t>Teknik</w:t>
            </w:r>
          </w:p>
        </w:tc>
        <w:tc>
          <w:tcPr>
            <w:tcW w:w="1855" w:type="pct"/>
          </w:tcPr>
          <w:p w14:paraId="56457D8B" w14:textId="77777777" w:rsidR="00BB704F" w:rsidRPr="00F50C10" w:rsidRDefault="00BB704F" w:rsidP="000B206D">
            <w:pPr>
              <w:spacing w:line="276" w:lineRule="auto"/>
              <w:ind w:right="79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326" w:type="pct"/>
          </w:tcPr>
          <w:p w14:paraId="42EE2EA4"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1B0A9C5E" w14:textId="77777777" w:rsidTr="00BB704F">
        <w:trPr>
          <w:trHeight w:val="1149"/>
        </w:trPr>
        <w:tc>
          <w:tcPr>
            <w:tcW w:w="166" w:type="pct"/>
            <w:tcBorders>
              <w:right w:val="single" w:sz="4" w:space="0" w:color="auto"/>
            </w:tcBorders>
            <w:vAlign w:val="center"/>
          </w:tcPr>
          <w:p w14:paraId="3A6BCD9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653" w:type="pct"/>
            <w:tcBorders>
              <w:left w:val="single" w:sz="4" w:space="0" w:color="auto"/>
            </w:tcBorders>
            <w:vAlign w:val="center"/>
          </w:tcPr>
          <w:p w14:paraId="54BB989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Yakıt seçimi</w:t>
            </w:r>
          </w:p>
        </w:tc>
        <w:tc>
          <w:tcPr>
            <w:tcW w:w="1855" w:type="pct"/>
            <w:vAlign w:val="center"/>
          </w:tcPr>
          <w:p w14:paraId="3BDA88B1" w14:textId="38F5752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Bu, genel hidrokarbon dengesini hesaba katarak sıvı yakıtlardan gaz yakıtlara geçişi içerir.</w:t>
            </w:r>
            <w:r w:rsidR="00105577" w:rsidRPr="00F50C10">
              <w:rPr>
                <w:rFonts w:eastAsia="Times New Roman" w:cs="Times New Roman"/>
                <w:i/>
                <w:szCs w:val="24"/>
                <w:lang w:val="tr-TR"/>
              </w:rPr>
              <w:t xml:space="preserve"> Detaylı bilgi için </w:t>
            </w:r>
            <w:hyperlink w:anchor="_bookmark802" w:history="1">
              <w:r w:rsidR="00105577" w:rsidRPr="00F50C10">
                <w:rPr>
                  <w:rFonts w:eastAsia="Times New Roman" w:cs="Times New Roman"/>
                  <w:i/>
                  <w:szCs w:val="24"/>
                  <w:lang w:val="tr-TR" w:bidi="tr-TR"/>
                </w:rPr>
                <w:t>12.3.</w:t>
              </w:r>
            </w:hyperlink>
            <w:r w:rsidR="00105577" w:rsidRPr="00F50C10">
              <w:rPr>
                <w:rFonts w:eastAsia="Times New Roman" w:cs="Times New Roman"/>
                <w:i/>
                <w:szCs w:val="24"/>
                <w:lang w:val="tr-TR" w:bidi="tr-TR"/>
              </w:rPr>
              <w:t xml:space="preserve"> kısmına bakınız.</w:t>
            </w:r>
          </w:p>
        </w:tc>
        <w:tc>
          <w:tcPr>
            <w:tcW w:w="1326" w:type="pct"/>
            <w:vAlign w:val="center"/>
          </w:tcPr>
          <w:p w14:paraId="49BAB6F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Sıvı yakıtlardan gaz yakıtlara geçiş, mevcut tesislerde brülörlerin tasarımı nedeniyle kısıtlı olabilir.</w:t>
            </w:r>
          </w:p>
        </w:tc>
      </w:tr>
      <w:tr w:rsidR="00BB704F" w:rsidRPr="00F50C10" w14:paraId="3489BC9B" w14:textId="77777777" w:rsidTr="00BB704F">
        <w:trPr>
          <w:trHeight w:val="939"/>
        </w:trPr>
        <w:tc>
          <w:tcPr>
            <w:tcW w:w="166" w:type="pct"/>
            <w:vAlign w:val="center"/>
          </w:tcPr>
          <w:p w14:paraId="011D8C2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653" w:type="pct"/>
            <w:vAlign w:val="center"/>
          </w:tcPr>
          <w:p w14:paraId="659785D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Kostik yıkama</w:t>
            </w:r>
          </w:p>
        </w:tc>
        <w:tc>
          <w:tcPr>
            <w:tcW w:w="1855" w:type="pct"/>
            <w:vAlign w:val="center"/>
          </w:tcPr>
          <w:p w14:paraId="00F78898" w14:textId="23F86AAE" w:rsidR="00BB704F" w:rsidRPr="00F50C10" w:rsidRDefault="00105577" w:rsidP="000B206D">
            <w:pPr>
              <w:spacing w:line="276" w:lineRule="auto"/>
              <w:ind w:left="108" w:right="108"/>
              <w:rPr>
                <w:rFonts w:eastAsia="Times New Roman" w:cs="Times New Roman"/>
                <w:szCs w:val="24"/>
                <w:lang w:val="tr-TR"/>
              </w:rPr>
            </w:pPr>
            <w:r w:rsidRPr="00F50C10">
              <w:rPr>
                <w:rFonts w:eastAsia="Times New Roman" w:cs="Times New Roman"/>
                <w:i/>
                <w:szCs w:val="24"/>
                <w:lang w:val="tr-TR"/>
              </w:rPr>
              <w:t xml:space="preserve">Detaylı bilgi için </w:t>
            </w:r>
            <w:hyperlink w:anchor="_bookmark802" w:history="1">
              <w:r w:rsidRPr="00F50C10">
                <w:rPr>
                  <w:rFonts w:eastAsia="Times New Roman" w:cs="Times New Roman"/>
                  <w:i/>
                  <w:szCs w:val="24"/>
                  <w:lang w:val="tr-TR" w:bidi="tr-TR"/>
                </w:rPr>
                <w:t>12.</w:t>
              </w:r>
              <w:r w:rsidR="003F5D73" w:rsidRPr="00F50C10">
                <w:rPr>
                  <w:rFonts w:eastAsia="Times New Roman" w:cs="Times New Roman"/>
                  <w:i/>
                  <w:szCs w:val="24"/>
                  <w:lang w:val="tr-TR" w:bidi="tr-TR"/>
                </w:rPr>
                <w:t>1</w:t>
              </w:r>
              <w:r w:rsidRPr="00F50C10">
                <w:rPr>
                  <w:rFonts w:eastAsia="Times New Roman" w:cs="Times New Roman"/>
                  <w:i/>
                  <w:szCs w:val="24"/>
                  <w:lang w:val="tr-TR" w:bidi="tr-TR"/>
                </w:rPr>
                <w:t>.</w:t>
              </w:r>
            </w:hyperlink>
            <w:r w:rsidRPr="00F50C10">
              <w:rPr>
                <w:rFonts w:eastAsia="Times New Roman" w:cs="Times New Roman"/>
                <w:i/>
                <w:szCs w:val="24"/>
                <w:lang w:val="tr-TR" w:bidi="tr-TR"/>
              </w:rPr>
              <w:t xml:space="preserve"> kısmına bakınız.</w:t>
            </w:r>
          </w:p>
        </w:tc>
        <w:tc>
          <w:tcPr>
            <w:tcW w:w="1326" w:type="pct"/>
            <w:vAlign w:val="center"/>
          </w:tcPr>
          <w:p w14:paraId="333FE039" w14:textId="77777777" w:rsidR="00BB704F" w:rsidRPr="00F50C10" w:rsidRDefault="00BB704F" w:rsidP="000B206D">
            <w:pPr>
              <w:spacing w:before="1" w:line="276" w:lineRule="auto"/>
              <w:ind w:left="108" w:right="108"/>
              <w:rPr>
                <w:rFonts w:eastAsia="Times New Roman" w:cs="Times New Roman"/>
                <w:szCs w:val="24"/>
                <w:lang w:val="tr-TR"/>
              </w:rPr>
            </w:pPr>
            <w:r w:rsidRPr="00F50C10">
              <w:rPr>
                <w:rFonts w:eastAsia="Times New Roman" w:cs="Times New Roman"/>
                <w:szCs w:val="24"/>
                <w:lang w:val="tr-TR" w:bidi="tr-TR"/>
              </w:rPr>
              <w:t>Uygulanabilirlik, alan kullanılabilirliği ile sınırlı olabilir.</w:t>
            </w:r>
          </w:p>
        </w:tc>
      </w:tr>
    </w:tbl>
    <w:p w14:paraId="05209E8A" w14:textId="29CEE810" w:rsidR="00BB704F" w:rsidRPr="00F50C10" w:rsidRDefault="00897F66" w:rsidP="000B206D">
      <w:pPr>
        <w:keepNext/>
        <w:keepLines/>
        <w:widowControl w:val="0"/>
        <w:numPr>
          <w:ilvl w:val="2"/>
          <w:numId w:val="18"/>
        </w:numPr>
        <w:autoSpaceDE w:val="0"/>
        <w:autoSpaceDN w:val="0"/>
        <w:spacing w:before="240" w:after="120" w:line="276" w:lineRule="auto"/>
        <w:jc w:val="left"/>
        <w:outlineLvl w:val="2"/>
        <w:rPr>
          <w:rFonts w:eastAsia="Times New Roman" w:cs="Times New Roman"/>
          <w:b/>
          <w:szCs w:val="24"/>
          <w:lang w:val="tr-TR"/>
        </w:rPr>
      </w:pPr>
      <w:bookmarkStart w:id="10" w:name="_Ref133314480"/>
      <w:bookmarkStart w:id="11" w:name="_Ref133314679"/>
      <w:bookmarkStart w:id="12" w:name="_Ref133314967"/>
      <w:bookmarkStart w:id="13" w:name="_Ref133315400"/>
      <w:bookmarkStart w:id="14" w:name="_Ref133315490"/>
      <w:bookmarkStart w:id="15" w:name="_Toc136613697"/>
      <w:r w:rsidRPr="00F50C10">
        <w:rPr>
          <w:rFonts w:eastAsia="Times New Roman" w:cs="Times New Roman"/>
          <w:b/>
          <w:bCs/>
          <w:szCs w:val="24"/>
          <w:lang w:val="tr-TR"/>
        </w:rPr>
        <w:t xml:space="preserve"> </w:t>
      </w:r>
      <w:r w:rsidR="00BB704F" w:rsidRPr="00F50C10">
        <w:rPr>
          <w:rFonts w:eastAsia="Times New Roman" w:cs="Times New Roman"/>
          <w:b/>
          <w:szCs w:val="24"/>
          <w:lang w:val="tr-TR"/>
        </w:rPr>
        <w:t>SCR veya SNCR kullanımından havaya salınan emisyonlar</w:t>
      </w:r>
      <w:bookmarkEnd w:id="10"/>
      <w:bookmarkEnd w:id="11"/>
      <w:bookmarkEnd w:id="12"/>
      <w:bookmarkEnd w:id="13"/>
      <w:bookmarkEnd w:id="14"/>
      <w:bookmarkEnd w:id="15"/>
    </w:p>
    <w:p w14:paraId="4F6EBB0F" w14:textId="7D17D45C" w:rsidR="00BB704F" w:rsidRPr="00F50C10" w:rsidRDefault="00BB704F" w:rsidP="000B206D">
      <w:pPr>
        <w:widowControl w:val="0"/>
        <w:autoSpaceDE w:val="0"/>
        <w:autoSpaceDN w:val="0"/>
        <w:spacing w:before="240" w:line="276" w:lineRule="auto"/>
        <w:rPr>
          <w:rFonts w:eastAsia="Times New Roman" w:cs="Times New Roman"/>
          <w:bCs/>
          <w:szCs w:val="24"/>
          <w:lang w:val="tr-TR"/>
        </w:rPr>
      </w:pPr>
      <w:r w:rsidRPr="00F50C10">
        <w:rPr>
          <w:rFonts w:eastAsia="Times New Roman" w:cs="Times New Roman"/>
          <w:b/>
          <w:bCs/>
          <w:szCs w:val="24"/>
          <w:lang w:val="tr-TR"/>
        </w:rPr>
        <w:t xml:space="preserve">MET 7: </w:t>
      </w:r>
      <w:r w:rsidRPr="00F50C10">
        <w:rPr>
          <w:rFonts w:eastAsia="Times New Roman" w:cs="Times New Roman"/>
          <w:bCs/>
          <w:szCs w:val="24"/>
          <w:lang w:val="tr-TR"/>
        </w:rPr>
        <w:t>Seçici katalitik indirgeme (SCR) veya seçici katalitik olmayan indirgemede (SNCR) kullanılan amonyağın hava emisyonlarını azaltmak ve NO</w:t>
      </w:r>
      <w:r w:rsidRPr="00F50C10">
        <w:rPr>
          <w:rFonts w:eastAsia="Times New Roman" w:cs="Times New Roman"/>
          <w:bCs/>
          <w:szCs w:val="24"/>
          <w:vertAlign w:val="subscript"/>
          <w:lang w:val="tr-TR"/>
        </w:rPr>
        <w:t>X</w:t>
      </w:r>
      <w:r w:rsidRPr="00F50C10">
        <w:rPr>
          <w:rFonts w:eastAsia="Times New Roman" w:cs="Times New Roman"/>
          <w:bCs/>
          <w:szCs w:val="24"/>
          <w:lang w:val="tr-TR"/>
        </w:rPr>
        <w:t xml:space="preserve"> emisyonlarını azaltmak için </w:t>
      </w:r>
      <w:r w:rsidR="0058752F" w:rsidRPr="00F50C10">
        <w:rPr>
          <w:rFonts w:eastAsia="Times New Roman" w:cs="Times New Roman"/>
          <w:bCs/>
          <w:szCs w:val="24"/>
          <w:lang w:val="tr-TR"/>
        </w:rPr>
        <w:t>SCR ve SNCR’nin tasarımı</w:t>
      </w:r>
      <w:r w:rsidRPr="00F50C10">
        <w:rPr>
          <w:rFonts w:eastAsia="Times New Roman" w:cs="Times New Roman"/>
          <w:bCs/>
          <w:szCs w:val="24"/>
          <w:lang w:val="tr-TR"/>
        </w:rPr>
        <w:t xml:space="preserve"> ve </w:t>
      </w:r>
      <w:r w:rsidR="0058752F" w:rsidRPr="00F50C10">
        <w:rPr>
          <w:rFonts w:eastAsia="Times New Roman" w:cs="Times New Roman"/>
          <w:bCs/>
          <w:szCs w:val="24"/>
          <w:lang w:val="tr-TR"/>
        </w:rPr>
        <w:t xml:space="preserve">işletimi </w:t>
      </w:r>
      <w:r w:rsidR="0077229E" w:rsidRPr="00F50C10">
        <w:rPr>
          <w:rFonts w:eastAsia="Times New Roman" w:cs="Times New Roman"/>
          <w:bCs/>
          <w:szCs w:val="24"/>
          <w:lang w:val="tr-TR"/>
        </w:rPr>
        <w:t>(örneğin optimize NO</w:t>
      </w:r>
      <w:r w:rsidR="0077229E" w:rsidRPr="00F50C10">
        <w:rPr>
          <w:rFonts w:eastAsia="Times New Roman" w:cs="Times New Roman"/>
          <w:bCs/>
          <w:szCs w:val="24"/>
          <w:vertAlign w:val="subscript"/>
          <w:lang w:val="tr-TR"/>
        </w:rPr>
        <w:t>X</w:t>
      </w:r>
      <w:r w:rsidR="0077229E" w:rsidRPr="00F50C10">
        <w:rPr>
          <w:rFonts w:eastAsia="Times New Roman" w:cs="Times New Roman"/>
          <w:bCs/>
          <w:szCs w:val="24"/>
          <w:lang w:val="tr-TR"/>
        </w:rPr>
        <w:t xml:space="preserve">-reaktif oranı, reaktifin homojen dağıtımı ve reaktif damlacıklarının optimize boyutu) </w:t>
      </w:r>
      <w:r w:rsidR="0058752F" w:rsidRPr="00F50C10">
        <w:rPr>
          <w:rFonts w:eastAsia="Times New Roman" w:cs="Times New Roman"/>
          <w:bCs/>
          <w:szCs w:val="24"/>
          <w:lang w:val="tr-TR"/>
        </w:rPr>
        <w:t>optimize edilir</w:t>
      </w:r>
      <w:r w:rsidR="0077229E" w:rsidRPr="00F50C10">
        <w:rPr>
          <w:rFonts w:eastAsia="Times New Roman" w:cs="Times New Roman"/>
          <w:bCs/>
          <w:szCs w:val="24"/>
          <w:lang w:val="tr-TR"/>
        </w:rPr>
        <w:t>.</w:t>
      </w:r>
    </w:p>
    <w:p w14:paraId="660B0301" w14:textId="4940E14F" w:rsidR="00BB704F" w:rsidRPr="00F50C10" w:rsidRDefault="00BB704F" w:rsidP="000B206D">
      <w:pPr>
        <w:widowControl w:val="0"/>
        <w:autoSpaceDE w:val="0"/>
        <w:autoSpaceDN w:val="0"/>
        <w:spacing w:before="240" w:line="276" w:lineRule="auto"/>
        <w:rPr>
          <w:rFonts w:eastAsia="Times New Roman" w:cs="Times New Roman"/>
          <w:szCs w:val="24"/>
          <w:lang w:val="tr-TR" w:bidi="tr-TR"/>
        </w:rPr>
      </w:pPr>
      <w:r w:rsidRPr="00F50C10">
        <w:rPr>
          <w:rFonts w:eastAsia="Times New Roman" w:cs="Times New Roman"/>
          <w:szCs w:val="24"/>
          <w:lang w:val="tr-TR" w:bidi="tr-TR"/>
        </w:rPr>
        <w:t>SCR veya SNCR kullanılan düşük olefin parçalama fırınından kaynaklanan emisyonlar için</w:t>
      </w:r>
      <w:r w:rsidR="00F9497A" w:rsidRPr="00F50C10">
        <w:rPr>
          <w:rFonts w:eastAsia="Times New Roman" w:cs="Times New Roman"/>
          <w:szCs w:val="24"/>
          <w:lang w:val="tr-TR" w:bidi="tr-TR"/>
        </w:rPr>
        <w:t xml:space="preserve"> </w:t>
      </w:r>
      <w:r w:rsidR="001A6C7A" w:rsidRPr="00F50C10">
        <w:rPr>
          <w:rFonts w:eastAsia="Times New Roman" w:cs="Times New Roman"/>
          <w:szCs w:val="24"/>
          <w:lang w:val="tr-TR" w:bidi="tr-TR"/>
        </w:rPr>
        <w:t>Tablo 2.1</w:t>
      </w:r>
      <w:r w:rsidR="00F9497A" w:rsidRPr="00F50C10">
        <w:rPr>
          <w:rFonts w:eastAsia="Times New Roman" w:cs="Times New Roman"/>
          <w:szCs w:val="24"/>
          <w:lang w:val="tr-TR" w:bidi="tr-TR"/>
        </w:rPr>
        <w:t>’e bakınız.</w:t>
      </w:r>
    </w:p>
    <w:p w14:paraId="4F7F29B5" w14:textId="77777777" w:rsidR="00BB704F" w:rsidRPr="00F50C10" w:rsidRDefault="00BB704F" w:rsidP="000B206D">
      <w:pPr>
        <w:keepNext/>
        <w:keepLines/>
        <w:widowControl w:val="0"/>
        <w:numPr>
          <w:ilvl w:val="2"/>
          <w:numId w:val="18"/>
        </w:numPr>
        <w:autoSpaceDE w:val="0"/>
        <w:autoSpaceDN w:val="0"/>
        <w:spacing w:before="240" w:line="276" w:lineRule="auto"/>
        <w:jc w:val="left"/>
        <w:outlineLvl w:val="2"/>
        <w:rPr>
          <w:rFonts w:eastAsia="Times New Roman" w:cs="Times New Roman"/>
          <w:b/>
          <w:szCs w:val="24"/>
          <w:lang w:val="tr-TR"/>
        </w:rPr>
      </w:pPr>
      <w:bookmarkStart w:id="16" w:name="_Toc136613698"/>
      <w:r w:rsidRPr="00F50C10">
        <w:rPr>
          <w:rFonts w:eastAsia="Times New Roman" w:cs="Times New Roman"/>
          <w:b/>
          <w:szCs w:val="24"/>
          <w:lang w:val="tr-TR"/>
        </w:rPr>
        <w:t xml:space="preserve"> Diğer proseslerden/kaynaklardan havaya salınan emisyonlar</w:t>
      </w:r>
      <w:bookmarkEnd w:id="16"/>
    </w:p>
    <w:p w14:paraId="5C6FF79E" w14:textId="77777777" w:rsidR="00BB704F" w:rsidRPr="00F50C10" w:rsidRDefault="00BB704F" w:rsidP="000B206D">
      <w:pPr>
        <w:keepNext/>
        <w:widowControl w:val="0"/>
        <w:numPr>
          <w:ilvl w:val="3"/>
          <w:numId w:val="18"/>
        </w:numPr>
        <w:autoSpaceDE w:val="0"/>
        <w:autoSpaceDN w:val="0"/>
        <w:spacing w:before="240" w:after="120" w:line="276" w:lineRule="auto"/>
        <w:ind w:left="864" w:hanging="864"/>
        <w:jc w:val="left"/>
        <w:outlineLvl w:val="3"/>
        <w:rPr>
          <w:rFonts w:eastAsia="Times New Roman" w:cs="Times New Roman"/>
          <w:b/>
          <w:szCs w:val="24"/>
          <w:lang w:val="tr-TR"/>
        </w:rPr>
      </w:pPr>
      <w:r w:rsidRPr="00F50C10">
        <w:rPr>
          <w:rFonts w:eastAsia="Calibri" w:cs="Times New Roman"/>
          <w:bCs/>
          <w:szCs w:val="24"/>
        </w:rPr>
        <w:t xml:space="preserve"> </w:t>
      </w:r>
      <w:r w:rsidRPr="00F50C10">
        <w:rPr>
          <w:rFonts w:eastAsia="Times New Roman" w:cs="Times New Roman"/>
          <w:b/>
          <w:szCs w:val="24"/>
          <w:lang w:val="tr-TR"/>
        </w:rPr>
        <w:t>Diğer</w:t>
      </w:r>
      <w:r w:rsidRPr="00F50C10">
        <w:rPr>
          <w:rFonts w:eastAsia="Calibri" w:cs="Times New Roman"/>
          <w:bCs/>
          <w:szCs w:val="24"/>
          <w:lang w:val="tr-TR"/>
        </w:rPr>
        <w:t xml:space="preserve"> </w:t>
      </w:r>
      <w:r w:rsidRPr="00F50C10">
        <w:rPr>
          <w:rFonts w:eastAsia="Times New Roman" w:cs="Times New Roman"/>
          <w:b/>
          <w:szCs w:val="24"/>
          <w:lang w:val="tr-TR"/>
        </w:rPr>
        <w:t>proseslerden/kaynaklardan emisyonları azaltma teknikleri</w:t>
      </w:r>
    </w:p>
    <w:p w14:paraId="4E7B53B2" w14:textId="263B87C1" w:rsidR="00BB704F" w:rsidRPr="00F50C10" w:rsidRDefault="00BB704F" w:rsidP="000B206D">
      <w:pPr>
        <w:widowControl w:val="0"/>
        <w:autoSpaceDE w:val="0"/>
        <w:autoSpaceDN w:val="0"/>
        <w:spacing w:before="240" w:line="276" w:lineRule="auto"/>
        <w:rPr>
          <w:rFonts w:eastAsia="Times New Roman" w:cs="Times New Roman"/>
          <w:bCs/>
          <w:szCs w:val="24"/>
          <w:lang w:val="tr-TR"/>
        </w:rPr>
      </w:pPr>
      <w:r w:rsidRPr="00F50C10">
        <w:rPr>
          <w:rFonts w:eastAsia="Times New Roman" w:cs="Times New Roman"/>
          <w:b/>
          <w:bCs/>
          <w:szCs w:val="24"/>
          <w:lang w:val="tr-TR"/>
        </w:rPr>
        <w:t xml:space="preserve">MET 8: </w:t>
      </w:r>
      <w:r w:rsidRPr="00F50C10">
        <w:rPr>
          <w:rFonts w:eastAsia="Times New Roman" w:cs="Times New Roman"/>
          <w:bCs/>
          <w:szCs w:val="24"/>
          <w:lang w:val="tr-TR"/>
        </w:rPr>
        <w:t>Nihai atık gaz arıtmasına gönderilen kirletici yükünü azaltmak ve kaynak verimliliğini artırmak için proses çıkış gazı akışları için aşağıda verilen tekniklerin uygun bir kombinasyonunu kullan</w:t>
      </w:r>
      <w:r w:rsidR="004379F7" w:rsidRPr="00F50C10">
        <w:rPr>
          <w:rFonts w:eastAsia="Times New Roman" w:cs="Times New Roman"/>
          <w:bCs/>
          <w:szCs w:val="24"/>
          <w:lang w:val="tr-TR"/>
        </w:rPr>
        <w:t>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1"/>
        <w:gridCol w:w="2502"/>
        <w:gridCol w:w="3535"/>
        <w:gridCol w:w="2099"/>
      </w:tblGrid>
      <w:tr w:rsidR="00BB704F" w:rsidRPr="00F50C10" w14:paraId="4E35AC54" w14:textId="77777777" w:rsidTr="00BB704F">
        <w:trPr>
          <w:trHeight w:val="230"/>
          <w:tblHeader/>
        </w:trPr>
        <w:tc>
          <w:tcPr>
            <w:tcW w:w="213" w:type="pct"/>
            <w:tcBorders>
              <w:top w:val="single" w:sz="4" w:space="0" w:color="auto"/>
              <w:right w:val="single" w:sz="4" w:space="0" w:color="auto"/>
            </w:tcBorders>
          </w:tcPr>
          <w:p w14:paraId="6C46B1B2"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472" w:type="pct"/>
            <w:tcBorders>
              <w:top w:val="single" w:sz="4" w:space="0" w:color="auto"/>
              <w:right w:val="single" w:sz="4" w:space="0" w:color="auto"/>
            </w:tcBorders>
          </w:tcPr>
          <w:p w14:paraId="6F1BF84A"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2080" w:type="pct"/>
            <w:tcBorders>
              <w:left w:val="single" w:sz="4" w:space="0" w:color="auto"/>
            </w:tcBorders>
          </w:tcPr>
          <w:p w14:paraId="1F112E30"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35" w:type="pct"/>
          </w:tcPr>
          <w:p w14:paraId="7125B24A"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2507FBCF" w14:textId="77777777" w:rsidTr="00BB704F">
        <w:trPr>
          <w:trHeight w:val="1840"/>
        </w:trPr>
        <w:tc>
          <w:tcPr>
            <w:tcW w:w="213" w:type="pct"/>
            <w:tcBorders>
              <w:right w:val="single" w:sz="4" w:space="0" w:color="auto"/>
            </w:tcBorders>
            <w:vAlign w:val="center"/>
          </w:tcPr>
          <w:p w14:paraId="7C20FEA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472" w:type="pct"/>
            <w:tcBorders>
              <w:left w:val="single" w:sz="4" w:space="0" w:color="auto"/>
            </w:tcBorders>
            <w:vAlign w:val="center"/>
          </w:tcPr>
          <w:p w14:paraId="18D5912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Fazlalık veya ortaya çıkan hidrojenin geri kazanımı ve kullanımı</w:t>
            </w:r>
          </w:p>
        </w:tc>
        <w:tc>
          <w:tcPr>
            <w:tcW w:w="2080" w:type="pct"/>
            <w:vAlign w:val="center"/>
          </w:tcPr>
          <w:p w14:paraId="542F3CC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Fazlalık hidrojenin veya kimyasal reaksiyonlardan üretilen hidrojenin geri kazanılması ve kullanılması (örn. hidrojenleme reaksiyonları için). Hidrojen içeriğini artırmak için basınç salınımlı adsorpsiyon veya membranla ayırma gibi geri kazanım teknikleri kullanılabilir.</w:t>
            </w:r>
          </w:p>
        </w:tc>
        <w:tc>
          <w:tcPr>
            <w:tcW w:w="1235" w:type="pct"/>
            <w:vAlign w:val="center"/>
          </w:tcPr>
          <w:p w14:paraId="333C229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Uygulanabilirlik, hidrojen içeriğinin düşük olması veya hidrojen talebi olmaması nedeniyle geri kazanım için enerji talebinin çok fazla olduğu durumlarda kısıtlanabilir.</w:t>
            </w:r>
          </w:p>
        </w:tc>
      </w:tr>
      <w:tr w:rsidR="00BB704F" w:rsidRPr="00F50C10" w14:paraId="494F02F5" w14:textId="77777777" w:rsidTr="00BB704F">
        <w:trPr>
          <w:trHeight w:val="1610"/>
        </w:trPr>
        <w:tc>
          <w:tcPr>
            <w:tcW w:w="213" w:type="pct"/>
            <w:vAlign w:val="center"/>
          </w:tcPr>
          <w:p w14:paraId="3E53FED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472" w:type="pct"/>
            <w:vAlign w:val="center"/>
          </w:tcPr>
          <w:p w14:paraId="3763E18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Organik çözücülerin ve tepkimeye girmemiş organik hammaddelerin geri kazanımı ve kullanımı</w:t>
            </w:r>
          </w:p>
        </w:tc>
        <w:tc>
          <w:tcPr>
            <w:tcW w:w="2080" w:type="pct"/>
            <w:vAlign w:val="center"/>
          </w:tcPr>
          <w:p w14:paraId="0DD0FCED" w14:textId="422DDC59"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Sıkıştırma, </w:t>
            </w:r>
            <w:r w:rsidR="00B160B5" w:rsidRPr="00F50C10">
              <w:rPr>
                <w:rFonts w:eastAsia="Times New Roman" w:cs="Times New Roman"/>
                <w:szCs w:val="24"/>
                <w:lang w:val="tr-TR" w:bidi="tr-TR"/>
              </w:rPr>
              <w:t>yoğuşturma</w:t>
            </w:r>
            <w:r w:rsidRPr="00F50C10">
              <w:rPr>
                <w:rFonts w:eastAsia="Times New Roman" w:cs="Times New Roman"/>
                <w:szCs w:val="24"/>
                <w:lang w:val="tr-TR" w:bidi="tr-TR"/>
              </w:rPr>
              <w:t xml:space="preserve">, kriyojenik </w:t>
            </w:r>
            <w:r w:rsidR="00B160B5" w:rsidRPr="00F50C10">
              <w:rPr>
                <w:rFonts w:eastAsia="Times New Roman" w:cs="Times New Roman"/>
                <w:szCs w:val="24"/>
                <w:lang w:val="tr-TR" w:bidi="tr-TR"/>
              </w:rPr>
              <w:t>yoğuşturma</w:t>
            </w:r>
            <w:r w:rsidRPr="00F50C10">
              <w:rPr>
                <w:rFonts w:eastAsia="Times New Roman" w:cs="Times New Roman"/>
                <w:szCs w:val="24"/>
                <w:lang w:val="tr-TR" w:bidi="tr-TR"/>
              </w:rPr>
              <w:t>, membranla ayırma ve adsorpsiyon gibi geri kazanım teknikleri kullanılabilir. Tekniğin seçimi, diğer maddelerin veya kirletici maddelerin varlığı gibi güvenliğe dair hususlardan etkilenebilir.</w:t>
            </w:r>
          </w:p>
        </w:tc>
        <w:tc>
          <w:tcPr>
            <w:tcW w:w="1235" w:type="pct"/>
            <w:vAlign w:val="center"/>
          </w:tcPr>
          <w:p w14:paraId="2583B8A3" w14:textId="77777777" w:rsidR="00BB704F" w:rsidRPr="00F50C10" w:rsidRDefault="00BB704F" w:rsidP="000B206D">
            <w:pPr>
              <w:spacing w:before="108" w:line="276" w:lineRule="auto"/>
              <w:ind w:left="108" w:right="108"/>
              <w:rPr>
                <w:rFonts w:eastAsia="Times New Roman" w:cs="Times New Roman"/>
                <w:szCs w:val="24"/>
                <w:lang w:val="tr-TR"/>
              </w:rPr>
            </w:pPr>
            <w:r w:rsidRPr="00F50C10">
              <w:rPr>
                <w:rFonts w:eastAsia="Times New Roman" w:cs="Times New Roman"/>
                <w:szCs w:val="24"/>
                <w:lang w:val="tr-TR" w:bidi="tr-TR"/>
              </w:rPr>
              <w:t>Uygulanabilirlik, organik içeriğin düşük olması nedeniyle geri kazanım için enerji talebinin çok fazla olduğu durumlarda kısıtlanabilir.</w:t>
            </w:r>
          </w:p>
        </w:tc>
      </w:tr>
      <w:tr w:rsidR="00BB704F" w:rsidRPr="00F50C10" w14:paraId="4EAECED5" w14:textId="77777777" w:rsidTr="00BB704F">
        <w:trPr>
          <w:trHeight w:val="1380"/>
        </w:trPr>
        <w:tc>
          <w:tcPr>
            <w:tcW w:w="213" w:type="pct"/>
            <w:vAlign w:val="center"/>
          </w:tcPr>
          <w:p w14:paraId="77313E4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472" w:type="pct"/>
            <w:vAlign w:val="center"/>
          </w:tcPr>
          <w:p w14:paraId="372E27D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Harcanmış havanın kullanımı</w:t>
            </w:r>
          </w:p>
        </w:tc>
        <w:tc>
          <w:tcPr>
            <w:tcW w:w="2080" w:type="pct"/>
            <w:vAlign w:val="center"/>
          </w:tcPr>
          <w:p w14:paraId="00BC4AF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Oksitleme reaksiyonlarından çıkan büyük hacimli harcanmış hava arıtılır ve düşük saflıkta azot olarak kullanılır.</w:t>
            </w:r>
          </w:p>
        </w:tc>
        <w:tc>
          <w:tcPr>
            <w:tcW w:w="1235" w:type="pct"/>
            <w:vAlign w:val="center"/>
          </w:tcPr>
          <w:p w14:paraId="52958F7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düşük saflıktaki azotun proses güvenliğinden ödün verilmeksizin kullanılabileceği durumlarda uygulanabilir.</w:t>
            </w:r>
          </w:p>
        </w:tc>
      </w:tr>
      <w:tr w:rsidR="00BB704F" w:rsidRPr="00F50C10" w14:paraId="1E4B64AF" w14:textId="77777777" w:rsidTr="00BB704F">
        <w:trPr>
          <w:trHeight w:val="1610"/>
        </w:trPr>
        <w:tc>
          <w:tcPr>
            <w:tcW w:w="213" w:type="pct"/>
            <w:vAlign w:val="center"/>
          </w:tcPr>
          <w:p w14:paraId="2341A290" w14:textId="77777777" w:rsidR="00BB704F" w:rsidRPr="00F50C10" w:rsidRDefault="00BB704F" w:rsidP="000B206D">
            <w:pPr>
              <w:spacing w:line="276" w:lineRule="auto"/>
              <w:ind w:left="108" w:right="108"/>
              <w:jc w:val="left"/>
              <w:rPr>
                <w:rFonts w:eastAsia="Times New Roman" w:cs="Times New Roman"/>
                <w:szCs w:val="24"/>
                <w:lang w:val="tr-TR"/>
              </w:rPr>
            </w:pPr>
            <w:r w:rsidRPr="00F50C10">
              <w:rPr>
                <w:rFonts w:eastAsia="Times New Roman" w:cs="Times New Roman"/>
                <w:w w:val="99"/>
                <w:szCs w:val="24"/>
                <w:lang w:val="tr-TR" w:bidi="tr-TR"/>
              </w:rPr>
              <w:t>g</w:t>
            </w:r>
          </w:p>
        </w:tc>
        <w:tc>
          <w:tcPr>
            <w:tcW w:w="1472" w:type="pct"/>
            <w:vAlign w:val="center"/>
          </w:tcPr>
          <w:p w14:paraId="28063858" w14:textId="77777777" w:rsidR="00BB704F" w:rsidRPr="00F50C10" w:rsidRDefault="00BB704F" w:rsidP="000B206D">
            <w:pPr>
              <w:spacing w:line="276" w:lineRule="auto"/>
              <w:ind w:left="108" w:right="108"/>
              <w:jc w:val="left"/>
              <w:rPr>
                <w:rFonts w:eastAsia="Times New Roman" w:cs="Times New Roman"/>
                <w:szCs w:val="24"/>
                <w:lang w:val="tr-TR"/>
              </w:rPr>
            </w:pPr>
            <w:r w:rsidRPr="00F50C10">
              <w:rPr>
                <w:rFonts w:eastAsia="Times New Roman" w:cs="Times New Roman"/>
                <w:szCs w:val="24"/>
                <w:lang w:val="tr-TR" w:bidi="tr-TR"/>
              </w:rPr>
              <w:t>Sonraki işlemlerde kullanılmak üzere ıslak yıkama ile HCl'nin geri kazanımı</w:t>
            </w:r>
          </w:p>
        </w:tc>
        <w:tc>
          <w:tcPr>
            <w:tcW w:w="2080" w:type="pct"/>
            <w:vAlign w:val="center"/>
          </w:tcPr>
          <w:p w14:paraId="1A17B791" w14:textId="39A8A3C2"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Gaz halindeki HCl, yaş yıkayıcı kullanılarak suya emilir, ardından saflaştırma (örn. adsorpsiyon ile) ve/veya </w:t>
            </w:r>
            <w:r w:rsidR="00B160B5" w:rsidRPr="00F50C10">
              <w:rPr>
                <w:rFonts w:eastAsia="Times New Roman" w:cs="Times New Roman"/>
                <w:szCs w:val="24"/>
                <w:lang w:val="tr-TR" w:bidi="tr-TR"/>
              </w:rPr>
              <w:t>yoğuşturma</w:t>
            </w:r>
            <w:r w:rsidR="00285723" w:rsidRPr="00F50C10">
              <w:rPr>
                <w:rFonts w:eastAsia="Times New Roman" w:cs="Times New Roman"/>
                <w:szCs w:val="24"/>
                <w:lang w:val="tr-TR" w:bidi="tr-TR"/>
              </w:rPr>
              <w:t xml:space="preserve"> (örn. damıtma ile) yapılabilir. </w:t>
            </w:r>
            <w:r w:rsidRPr="00F50C10">
              <w:rPr>
                <w:rFonts w:eastAsia="Times New Roman" w:cs="Times New Roman"/>
                <w:szCs w:val="24"/>
                <w:lang w:val="tr-TR" w:bidi="tr-TR"/>
              </w:rPr>
              <w:t>Bunun sonucunda geri kazanılan HCl kullanılır (örn. asit olarak veya klor üretmek için).</w:t>
            </w:r>
            <w:r w:rsidR="00285723" w:rsidRPr="00F50C10">
              <w:rPr>
                <w:rFonts w:eastAsia="Times New Roman" w:cs="Times New Roman"/>
                <w:szCs w:val="24"/>
                <w:lang w:val="tr-TR" w:bidi="tr-TR"/>
              </w:rPr>
              <w:t xml:space="preserve"> </w:t>
            </w:r>
            <w:r w:rsidR="00285723" w:rsidRPr="00F50C10">
              <w:rPr>
                <w:rFonts w:eastAsia="Times New Roman" w:cs="Times New Roman"/>
                <w:i/>
                <w:szCs w:val="24"/>
                <w:lang w:val="tr-TR"/>
              </w:rPr>
              <w:t xml:space="preserve">Detaylı bilgi için </w:t>
            </w:r>
            <w:hyperlink w:anchor="_bookmark802" w:history="1">
              <w:r w:rsidR="00285723" w:rsidRPr="00F50C10">
                <w:rPr>
                  <w:rFonts w:eastAsia="Times New Roman" w:cs="Times New Roman"/>
                  <w:i/>
                  <w:szCs w:val="24"/>
                  <w:lang w:val="tr-TR" w:bidi="tr-TR"/>
                </w:rPr>
                <w:t>12.1.</w:t>
              </w:r>
            </w:hyperlink>
            <w:r w:rsidR="00285723" w:rsidRPr="00F50C10">
              <w:rPr>
                <w:rFonts w:eastAsia="Times New Roman" w:cs="Times New Roman"/>
                <w:i/>
                <w:szCs w:val="24"/>
                <w:lang w:val="tr-TR" w:bidi="tr-TR"/>
              </w:rPr>
              <w:t xml:space="preserve"> kısmına bakınız.</w:t>
            </w:r>
          </w:p>
        </w:tc>
        <w:tc>
          <w:tcPr>
            <w:tcW w:w="1235" w:type="pct"/>
            <w:vAlign w:val="center"/>
          </w:tcPr>
          <w:p w14:paraId="1AEA0195" w14:textId="77777777" w:rsidR="00BB704F" w:rsidRPr="00F50C10" w:rsidRDefault="00BB704F" w:rsidP="000B206D">
            <w:pPr>
              <w:spacing w:line="276" w:lineRule="auto"/>
              <w:ind w:left="108" w:right="108"/>
              <w:jc w:val="left"/>
              <w:rPr>
                <w:rFonts w:eastAsia="Times New Roman" w:cs="Times New Roman"/>
                <w:szCs w:val="24"/>
                <w:lang w:val="tr-TR"/>
              </w:rPr>
            </w:pPr>
            <w:r w:rsidRPr="00F50C10">
              <w:rPr>
                <w:rFonts w:eastAsia="Times New Roman" w:cs="Times New Roman"/>
                <w:szCs w:val="24"/>
                <w:lang w:val="tr-TR" w:bidi="tr-TR"/>
              </w:rPr>
              <w:t>Uygulanabilirlik, HCl yüklerinin düşük olması ile sınırlı olabilir.</w:t>
            </w:r>
          </w:p>
        </w:tc>
      </w:tr>
      <w:tr w:rsidR="00BB704F" w:rsidRPr="00F50C10" w14:paraId="4BCA2F68" w14:textId="77777777" w:rsidTr="00BB704F">
        <w:trPr>
          <w:trHeight w:val="1610"/>
        </w:trPr>
        <w:tc>
          <w:tcPr>
            <w:tcW w:w="213" w:type="pct"/>
            <w:vAlign w:val="center"/>
          </w:tcPr>
          <w:p w14:paraId="4D623FD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e</w:t>
            </w:r>
          </w:p>
        </w:tc>
        <w:tc>
          <w:tcPr>
            <w:tcW w:w="1472" w:type="pct"/>
            <w:vAlign w:val="center"/>
          </w:tcPr>
          <w:p w14:paraId="4D38637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Sonraki işlemlerde kullanılmak üzere rejeneratif amin yıkama ile H</w:t>
            </w:r>
            <w:r w:rsidRPr="00F50C10">
              <w:rPr>
                <w:rFonts w:eastAsia="Times New Roman" w:cs="Times New Roman"/>
                <w:szCs w:val="24"/>
                <w:vertAlign w:val="subscript"/>
                <w:lang w:val="tr-TR" w:bidi="tr-TR"/>
              </w:rPr>
              <w:t>2</w:t>
            </w:r>
            <w:r w:rsidRPr="00F50C10">
              <w:rPr>
                <w:rFonts w:eastAsia="Times New Roman" w:cs="Times New Roman"/>
                <w:szCs w:val="24"/>
                <w:lang w:val="tr-TR" w:bidi="tr-TR"/>
              </w:rPr>
              <w:t>S'in geri kazanımı</w:t>
            </w:r>
          </w:p>
        </w:tc>
        <w:tc>
          <w:tcPr>
            <w:tcW w:w="2080" w:type="pct"/>
            <w:vAlign w:val="center"/>
          </w:tcPr>
          <w:p w14:paraId="074C9AD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Rejeneratif amin yıkama, proses çıkış gazı akışlarından ve asitli su sıyırma ünitelerinin asidik çıkış gazlarından H</w:t>
            </w:r>
            <w:r w:rsidRPr="00F50C10">
              <w:rPr>
                <w:rFonts w:eastAsia="Times New Roman" w:cs="Times New Roman"/>
                <w:szCs w:val="24"/>
                <w:vertAlign w:val="subscript"/>
                <w:lang w:val="tr-TR" w:bidi="tr-TR"/>
              </w:rPr>
              <w:t>2</w:t>
            </w:r>
            <w:r w:rsidRPr="00F50C10">
              <w:rPr>
                <w:rFonts w:eastAsia="Times New Roman" w:cs="Times New Roman"/>
                <w:szCs w:val="24"/>
                <w:lang w:val="tr-TR" w:bidi="tr-TR"/>
              </w:rPr>
              <w:t>S’in geri kazanımı için uygulanır. H</w:t>
            </w:r>
            <w:r w:rsidRPr="00F50C10">
              <w:rPr>
                <w:rFonts w:eastAsia="Times New Roman" w:cs="Times New Roman"/>
                <w:szCs w:val="24"/>
                <w:vertAlign w:val="subscript"/>
                <w:lang w:val="tr-TR" w:bidi="tr-TR"/>
              </w:rPr>
              <w:t>2</w:t>
            </w:r>
            <w:r w:rsidRPr="00F50C10">
              <w:rPr>
                <w:rFonts w:eastAsia="Times New Roman" w:cs="Times New Roman"/>
                <w:szCs w:val="24"/>
                <w:lang w:val="tr-TR" w:bidi="tr-TR"/>
              </w:rPr>
              <w:t>S daha sonra, tipik olarak bir rafineride bulunan kükürt geri kazanım ünitesinde element halindeki kükürte dönüştürülür (Claus prosesi).</w:t>
            </w:r>
          </w:p>
        </w:tc>
        <w:tc>
          <w:tcPr>
            <w:tcW w:w="1235" w:type="pct"/>
            <w:vAlign w:val="center"/>
          </w:tcPr>
          <w:p w14:paraId="20DCA59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yakınlarda rafineri varsa uygulanabilir.</w:t>
            </w:r>
          </w:p>
        </w:tc>
      </w:tr>
      <w:tr w:rsidR="00BB704F" w:rsidRPr="00F50C10" w14:paraId="0A4A087F" w14:textId="77777777" w:rsidTr="00BB704F">
        <w:trPr>
          <w:trHeight w:val="460"/>
        </w:trPr>
        <w:tc>
          <w:tcPr>
            <w:tcW w:w="213" w:type="pct"/>
          </w:tcPr>
          <w:p w14:paraId="26898B8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f</w:t>
            </w:r>
          </w:p>
        </w:tc>
        <w:tc>
          <w:tcPr>
            <w:tcW w:w="1472" w:type="pct"/>
          </w:tcPr>
          <w:p w14:paraId="05BAF00C"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Katı ve / veya sıvı karışmasını azaltma teknikleri</w:t>
            </w:r>
          </w:p>
        </w:tc>
        <w:tc>
          <w:tcPr>
            <w:tcW w:w="2080" w:type="pct"/>
            <w:vAlign w:val="center"/>
          </w:tcPr>
          <w:p w14:paraId="6F97B7B3" w14:textId="0C214BFD" w:rsidR="00BB704F" w:rsidRPr="00F50C10" w:rsidRDefault="00285723" w:rsidP="000B206D">
            <w:pPr>
              <w:spacing w:before="108" w:line="276" w:lineRule="auto"/>
              <w:ind w:left="108" w:right="108"/>
              <w:rPr>
                <w:rFonts w:eastAsia="Times New Roman" w:cs="Times New Roman"/>
                <w:szCs w:val="24"/>
                <w:lang w:val="tr-TR"/>
              </w:rPr>
            </w:pPr>
            <w:r w:rsidRPr="00F50C10">
              <w:rPr>
                <w:rFonts w:eastAsia="Times New Roman" w:cs="Times New Roman"/>
                <w:i/>
                <w:szCs w:val="24"/>
                <w:lang w:val="tr-TR"/>
              </w:rPr>
              <w:t xml:space="preserve">Detaylı bilgi için </w:t>
            </w:r>
            <w:hyperlink w:anchor="_bookmark802" w:history="1">
              <w:r w:rsidRPr="00F50C10">
                <w:rPr>
                  <w:rFonts w:eastAsia="Times New Roman" w:cs="Times New Roman"/>
                  <w:i/>
                  <w:szCs w:val="24"/>
                  <w:lang w:val="tr-TR" w:bidi="tr-TR"/>
                </w:rPr>
                <w:t>12.</w:t>
              </w:r>
              <w:r w:rsidR="003F5D73" w:rsidRPr="00F50C10">
                <w:rPr>
                  <w:rFonts w:eastAsia="Times New Roman" w:cs="Times New Roman"/>
                  <w:i/>
                  <w:szCs w:val="24"/>
                  <w:lang w:val="tr-TR" w:bidi="tr-TR"/>
                </w:rPr>
                <w:t>1</w:t>
              </w:r>
              <w:r w:rsidRPr="00F50C10">
                <w:rPr>
                  <w:rFonts w:eastAsia="Times New Roman" w:cs="Times New Roman"/>
                  <w:i/>
                  <w:szCs w:val="24"/>
                  <w:lang w:val="tr-TR" w:bidi="tr-TR"/>
                </w:rPr>
                <w:t>.</w:t>
              </w:r>
            </w:hyperlink>
            <w:r w:rsidRPr="00F50C10">
              <w:rPr>
                <w:rFonts w:eastAsia="Times New Roman" w:cs="Times New Roman"/>
                <w:i/>
                <w:szCs w:val="24"/>
                <w:lang w:val="tr-TR" w:bidi="tr-TR"/>
              </w:rPr>
              <w:t xml:space="preserve"> kısmına bakınız.</w:t>
            </w:r>
          </w:p>
        </w:tc>
        <w:tc>
          <w:tcPr>
            <w:tcW w:w="1235" w:type="pct"/>
          </w:tcPr>
          <w:p w14:paraId="2A6F48D6" w14:textId="77777777" w:rsidR="00BB704F" w:rsidRPr="00F50C10" w:rsidRDefault="00BB704F" w:rsidP="000B206D">
            <w:pPr>
              <w:spacing w:before="108"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5EE8B60B" w14:textId="56CBE485" w:rsidR="00BB704F" w:rsidRPr="00F50C10" w:rsidRDefault="00BB704F" w:rsidP="000B206D">
      <w:pPr>
        <w:widowControl w:val="0"/>
        <w:autoSpaceDE w:val="0"/>
        <w:autoSpaceDN w:val="0"/>
        <w:spacing w:before="240" w:line="276" w:lineRule="auto"/>
        <w:rPr>
          <w:rFonts w:eastAsia="Times New Roman" w:cs="Times New Roman"/>
          <w:bCs/>
          <w:szCs w:val="24"/>
          <w:lang w:val="tr-TR"/>
        </w:rPr>
      </w:pPr>
      <w:r w:rsidRPr="00F50C10">
        <w:rPr>
          <w:rFonts w:eastAsia="Times New Roman" w:cs="Times New Roman"/>
          <w:b/>
          <w:bCs/>
          <w:szCs w:val="24"/>
          <w:lang w:val="tr-TR"/>
        </w:rPr>
        <w:t xml:space="preserve">MET 9: </w:t>
      </w:r>
      <w:r w:rsidRPr="00F50C10">
        <w:rPr>
          <w:rFonts w:eastAsia="Times New Roman" w:cs="Times New Roman"/>
          <w:bCs/>
          <w:szCs w:val="24"/>
          <w:lang w:val="tr-TR"/>
        </w:rPr>
        <w:t>Nihai atık gaz arıtmasına gönderilen kirletici yükünü azaltmak ve enerji verimliliğini artırmak için yeterli kalorifik değere sahip proses çıkış gazı akımlarını bir yakma ünitesine gönder</w:t>
      </w:r>
      <w:r w:rsidR="00285723" w:rsidRPr="00F50C10">
        <w:rPr>
          <w:rFonts w:eastAsia="Times New Roman" w:cs="Times New Roman"/>
          <w:bCs/>
          <w:szCs w:val="24"/>
          <w:lang w:val="tr-TR"/>
        </w:rPr>
        <w:t xml:space="preserve">ilir. </w:t>
      </w:r>
      <w:r w:rsidRPr="00F50C10">
        <w:rPr>
          <w:rFonts w:eastAsia="Times New Roman" w:cs="Times New Roman"/>
          <w:bCs/>
          <w:szCs w:val="24"/>
          <w:lang w:val="tr-TR"/>
        </w:rPr>
        <w:t>MET 8a. ve MET 8b. proses çıkış gazı akışlarının yakma ünitesine gönderilmesine kıyasla önceliklidir.</w:t>
      </w:r>
    </w:p>
    <w:p w14:paraId="479055F0" w14:textId="77777777" w:rsidR="003F5D73" w:rsidRPr="00F50C10" w:rsidRDefault="003F5D73" w:rsidP="000B206D">
      <w:pPr>
        <w:spacing w:line="276" w:lineRule="auto"/>
        <w:rPr>
          <w:rFonts w:cs="Times New Roman"/>
          <w:i/>
          <w:szCs w:val="24"/>
          <w:u w:val="single"/>
        </w:rPr>
      </w:pPr>
      <w:r w:rsidRPr="00F50C10">
        <w:rPr>
          <w:rFonts w:cs="Times New Roman"/>
          <w:i/>
          <w:szCs w:val="24"/>
          <w:u w:val="single"/>
          <w:lang w:bidi="tr-TR"/>
        </w:rPr>
        <w:t>Uygulanabilirlik</w:t>
      </w:r>
    </w:p>
    <w:p w14:paraId="073DA3DE" w14:textId="77777777" w:rsidR="003F5D73" w:rsidRPr="00F50C10" w:rsidRDefault="003F5D73" w:rsidP="000B206D">
      <w:pPr>
        <w:spacing w:line="276" w:lineRule="auto"/>
        <w:rPr>
          <w:rFonts w:cs="Times New Roman"/>
          <w:szCs w:val="24"/>
        </w:rPr>
      </w:pPr>
      <w:r w:rsidRPr="00F50C10">
        <w:rPr>
          <w:rFonts w:cs="Times New Roman"/>
          <w:szCs w:val="24"/>
          <w:lang w:bidi="tr-TR"/>
        </w:rPr>
        <w:t>Proses çıkış gazlarının bir yakma ünitesine gönderilmesi, kirletici maddelerin varlığı veya güvenlik nedeniyle kısıtlı olabilir.</w:t>
      </w:r>
    </w:p>
    <w:p w14:paraId="209CA781" w14:textId="2479F170"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10: </w:t>
      </w:r>
      <w:r w:rsidRPr="00F50C10">
        <w:rPr>
          <w:rFonts w:eastAsia="Times New Roman" w:cs="Times New Roman"/>
          <w:bCs/>
          <w:szCs w:val="24"/>
          <w:lang w:val="tr-TR"/>
        </w:rPr>
        <w:t xml:space="preserve">Organik bileşiklerin </w:t>
      </w:r>
      <w:r w:rsidR="006975BE" w:rsidRPr="00F50C10">
        <w:rPr>
          <w:rFonts w:eastAsia="Times New Roman" w:cs="Times New Roman"/>
          <w:bCs/>
          <w:szCs w:val="24"/>
          <w:lang w:val="tr-TR"/>
        </w:rPr>
        <w:t xml:space="preserve">baca gazı emisyonlarını azaltmak için </w:t>
      </w:r>
      <w:r w:rsidRPr="00F50C10">
        <w:rPr>
          <w:rFonts w:eastAsia="Times New Roman" w:cs="Times New Roman"/>
          <w:bCs/>
          <w:szCs w:val="24"/>
          <w:lang w:val="tr-TR"/>
        </w:rPr>
        <w:t>aşa</w:t>
      </w:r>
      <w:r w:rsidR="006975BE" w:rsidRPr="00F50C10">
        <w:rPr>
          <w:rFonts w:eastAsia="Times New Roman" w:cs="Times New Roman"/>
          <w:bCs/>
          <w:szCs w:val="24"/>
          <w:lang w:val="tr-TR"/>
        </w:rPr>
        <w:t xml:space="preserve">ğıda verilen tekniklerden biri veya birkaçı </w:t>
      </w:r>
      <w:r w:rsidRPr="00F50C10">
        <w:rPr>
          <w:rFonts w:eastAsia="Times New Roman" w:cs="Times New Roman"/>
          <w:bCs/>
          <w:szCs w:val="24"/>
          <w:lang w:val="tr-TR"/>
        </w:rPr>
        <w:t>birlikte kullan</w:t>
      </w:r>
      <w:r w:rsidR="006975BE" w:rsidRPr="00F50C10">
        <w:rPr>
          <w:rFonts w:eastAsia="Times New Roman" w:cs="Times New Roman"/>
          <w:bCs/>
          <w:szCs w:val="24"/>
          <w:lang w:val="tr-TR"/>
        </w:rPr>
        <w:t>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620"/>
        <w:gridCol w:w="3034"/>
        <w:gridCol w:w="2498"/>
      </w:tblGrid>
      <w:tr w:rsidR="00BB704F" w:rsidRPr="00F50C10" w14:paraId="2B3EF30E" w14:textId="77777777" w:rsidTr="00BB704F">
        <w:trPr>
          <w:trHeight w:val="230"/>
          <w:tblHeader/>
        </w:trPr>
        <w:tc>
          <w:tcPr>
            <w:tcW w:w="184" w:type="pct"/>
            <w:tcBorders>
              <w:right w:val="single" w:sz="4" w:space="0" w:color="auto"/>
            </w:tcBorders>
          </w:tcPr>
          <w:p w14:paraId="34D2BBBB"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548" w:type="pct"/>
            <w:tcBorders>
              <w:left w:val="single" w:sz="4" w:space="0" w:color="auto"/>
            </w:tcBorders>
          </w:tcPr>
          <w:p w14:paraId="1378D3CC"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1792" w:type="pct"/>
          </w:tcPr>
          <w:p w14:paraId="1D61EAF0"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476" w:type="pct"/>
          </w:tcPr>
          <w:p w14:paraId="507ECB02"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58A20367" w14:textId="77777777" w:rsidTr="00BB704F">
        <w:trPr>
          <w:trHeight w:val="691"/>
        </w:trPr>
        <w:tc>
          <w:tcPr>
            <w:tcW w:w="184" w:type="pct"/>
            <w:vAlign w:val="center"/>
          </w:tcPr>
          <w:p w14:paraId="28FF261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548" w:type="pct"/>
            <w:vAlign w:val="center"/>
          </w:tcPr>
          <w:p w14:paraId="5F644D0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Yoğunlaştırma</w:t>
            </w:r>
          </w:p>
        </w:tc>
        <w:tc>
          <w:tcPr>
            <w:tcW w:w="1792" w:type="pct"/>
            <w:vAlign w:val="center"/>
          </w:tcPr>
          <w:p w14:paraId="25EC63EF" w14:textId="44FC8BFA" w:rsidR="00BB704F" w:rsidRPr="00F50C10" w:rsidRDefault="002A1746" w:rsidP="000B206D">
            <w:pPr>
              <w:spacing w:line="276" w:lineRule="auto"/>
              <w:ind w:left="108" w:right="108"/>
              <w:rPr>
                <w:rFonts w:eastAsia="Times New Roman" w:cs="Times New Roman"/>
                <w:szCs w:val="24"/>
                <w:lang w:val="tr-TR"/>
              </w:rPr>
            </w:pPr>
            <w:hyperlink w:anchor="_bookmark800">
              <w:r w:rsidR="00BB704F" w:rsidRPr="00F50C10">
                <w:rPr>
                  <w:rFonts w:eastAsia="Times New Roman" w:cs="Times New Roman"/>
                  <w:szCs w:val="24"/>
                  <w:lang w:val="tr-TR" w:bidi="tr-TR"/>
                </w:rPr>
                <w:t xml:space="preserve"> </w:t>
              </w:r>
            </w:hyperlink>
            <w:r w:rsidR="00BB704F" w:rsidRPr="00F50C10">
              <w:rPr>
                <w:rFonts w:eastAsia="Times New Roman" w:cs="Times New Roman"/>
                <w:szCs w:val="24"/>
                <w:lang w:val="tr-TR" w:bidi="tr-TR"/>
              </w:rPr>
              <w:t>Teknik genellikle</w:t>
            </w:r>
            <w:r w:rsidR="00BB704F" w:rsidRPr="00F50C10">
              <w:rPr>
                <w:rFonts w:eastAsia="Times New Roman" w:cs="Times New Roman"/>
                <w:szCs w:val="24"/>
                <w:lang w:val="tr-TR"/>
              </w:rPr>
              <w:t xml:space="preserve"> </w:t>
            </w:r>
            <w:r w:rsidR="00BB704F" w:rsidRPr="00F50C10">
              <w:rPr>
                <w:rFonts w:eastAsia="Times New Roman" w:cs="Times New Roman"/>
                <w:szCs w:val="24"/>
                <w:lang w:val="tr-TR" w:bidi="tr-TR"/>
              </w:rPr>
              <w:t>daha fazla azaltma teknikleri ile kombinasyon halinde kullanılır.</w:t>
            </w:r>
            <w:r w:rsidR="00E01A32" w:rsidRPr="00F50C10">
              <w:rPr>
                <w:rFonts w:eastAsia="Times New Roman" w:cs="Times New Roman"/>
                <w:szCs w:val="24"/>
                <w:lang w:val="tr-TR" w:bidi="tr-TR"/>
              </w:rPr>
              <w:t xml:space="preserve"> </w:t>
            </w:r>
            <w:r w:rsidR="00E01A32" w:rsidRPr="00F50C10">
              <w:rPr>
                <w:rFonts w:eastAsia="Times New Roman" w:cs="Times New Roman"/>
                <w:i/>
                <w:szCs w:val="24"/>
                <w:lang w:val="tr-TR"/>
              </w:rPr>
              <w:t xml:space="preserve">Detaylı bilgi için </w:t>
            </w:r>
            <w:hyperlink w:anchor="_bookmark802" w:history="1">
              <w:r w:rsidR="00E01A32" w:rsidRPr="00F50C10">
                <w:rPr>
                  <w:rFonts w:eastAsia="Times New Roman" w:cs="Times New Roman"/>
                  <w:i/>
                  <w:szCs w:val="24"/>
                  <w:lang w:val="tr-TR" w:bidi="tr-TR"/>
                </w:rPr>
                <w:t>12.1.</w:t>
              </w:r>
            </w:hyperlink>
            <w:r w:rsidR="00E01A32" w:rsidRPr="00F50C10">
              <w:rPr>
                <w:rFonts w:eastAsia="Times New Roman" w:cs="Times New Roman"/>
                <w:i/>
                <w:szCs w:val="24"/>
                <w:lang w:val="tr-TR" w:bidi="tr-TR"/>
              </w:rPr>
              <w:t xml:space="preserve"> kısmına bakınız.</w:t>
            </w:r>
          </w:p>
        </w:tc>
        <w:tc>
          <w:tcPr>
            <w:tcW w:w="1476" w:type="pct"/>
            <w:vAlign w:val="center"/>
          </w:tcPr>
          <w:p w14:paraId="78C27F7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5FCC5A27" w14:textId="77777777" w:rsidTr="00BB704F">
        <w:trPr>
          <w:trHeight w:val="230"/>
        </w:trPr>
        <w:tc>
          <w:tcPr>
            <w:tcW w:w="184" w:type="pct"/>
            <w:vAlign w:val="center"/>
          </w:tcPr>
          <w:p w14:paraId="5A695F5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548" w:type="pct"/>
            <w:vAlign w:val="center"/>
          </w:tcPr>
          <w:p w14:paraId="177C173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Adsorpsiyon</w:t>
            </w:r>
          </w:p>
        </w:tc>
        <w:tc>
          <w:tcPr>
            <w:tcW w:w="1792" w:type="pct"/>
            <w:vAlign w:val="center"/>
          </w:tcPr>
          <w:p w14:paraId="0E92E402" w14:textId="4094E33E" w:rsidR="00BB704F" w:rsidRPr="00F50C10" w:rsidRDefault="00E01A32" w:rsidP="000B206D">
            <w:pPr>
              <w:spacing w:line="276" w:lineRule="auto"/>
              <w:ind w:left="108" w:right="108"/>
              <w:rPr>
                <w:rFonts w:eastAsia="Times New Roman" w:cs="Times New Roman"/>
                <w:szCs w:val="24"/>
                <w:lang w:val="tr-TR"/>
              </w:rPr>
            </w:pPr>
            <w:r w:rsidRPr="00F50C10">
              <w:rPr>
                <w:rFonts w:eastAsia="Times New Roman" w:cs="Times New Roman"/>
                <w:i/>
                <w:szCs w:val="24"/>
                <w:lang w:val="tr-TR"/>
              </w:rPr>
              <w:t xml:space="preserve">Detaylı bilgi için </w:t>
            </w:r>
            <w:hyperlink w:anchor="_bookmark802" w:history="1">
              <w:r w:rsidRPr="00F50C10">
                <w:rPr>
                  <w:rFonts w:eastAsia="Times New Roman" w:cs="Times New Roman"/>
                  <w:i/>
                  <w:szCs w:val="24"/>
                  <w:lang w:val="tr-TR" w:bidi="tr-TR"/>
                </w:rPr>
                <w:t>12.1.</w:t>
              </w:r>
            </w:hyperlink>
            <w:r w:rsidRPr="00F50C10">
              <w:rPr>
                <w:rFonts w:eastAsia="Times New Roman" w:cs="Times New Roman"/>
                <w:i/>
                <w:szCs w:val="24"/>
                <w:lang w:val="tr-TR" w:bidi="tr-TR"/>
              </w:rPr>
              <w:t xml:space="preserve"> kısmına bakınız.</w:t>
            </w:r>
          </w:p>
        </w:tc>
        <w:tc>
          <w:tcPr>
            <w:tcW w:w="1476" w:type="pct"/>
            <w:vAlign w:val="center"/>
          </w:tcPr>
          <w:p w14:paraId="3441EA7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3CC1EF46" w14:textId="77777777" w:rsidTr="00BB704F">
        <w:trPr>
          <w:trHeight w:val="690"/>
        </w:trPr>
        <w:tc>
          <w:tcPr>
            <w:tcW w:w="184" w:type="pct"/>
            <w:vAlign w:val="center"/>
          </w:tcPr>
          <w:p w14:paraId="3DAB673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548" w:type="pct"/>
            <w:vAlign w:val="center"/>
          </w:tcPr>
          <w:p w14:paraId="73A40CD6" w14:textId="024F05DE" w:rsidR="00BB704F" w:rsidRPr="00F50C10" w:rsidRDefault="00B16387"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Islak yıkama</w:t>
            </w:r>
          </w:p>
        </w:tc>
        <w:tc>
          <w:tcPr>
            <w:tcW w:w="1792" w:type="pct"/>
            <w:vAlign w:val="center"/>
          </w:tcPr>
          <w:p w14:paraId="778D55BD" w14:textId="443D886F" w:rsidR="00BB704F" w:rsidRPr="00F50C10" w:rsidRDefault="00E01A32" w:rsidP="000B206D">
            <w:pPr>
              <w:spacing w:line="276" w:lineRule="auto"/>
              <w:ind w:left="108" w:right="108"/>
              <w:rPr>
                <w:rFonts w:eastAsia="Times New Roman" w:cs="Times New Roman"/>
                <w:szCs w:val="24"/>
                <w:lang w:val="tr-TR"/>
              </w:rPr>
            </w:pPr>
            <w:r w:rsidRPr="00F50C10">
              <w:rPr>
                <w:rFonts w:eastAsia="Times New Roman" w:cs="Times New Roman"/>
                <w:i/>
                <w:szCs w:val="24"/>
                <w:lang w:val="tr-TR"/>
              </w:rPr>
              <w:t xml:space="preserve">Detaylı bilgi için </w:t>
            </w:r>
            <w:hyperlink w:anchor="_bookmark802" w:history="1">
              <w:r w:rsidRPr="00F50C10">
                <w:rPr>
                  <w:rFonts w:eastAsia="Times New Roman" w:cs="Times New Roman"/>
                  <w:i/>
                  <w:szCs w:val="24"/>
                  <w:lang w:val="tr-TR" w:bidi="tr-TR"/>
                </w:rPr>
                <w:t>12.1.</w:t>
              </w:r>
            </w:hyperlink>
            <w:r w:rsidRPr="00F50C10">
              <w:rPr>
                <w:rFonts w:eastAsia="Times New Roman" w:cs="Times New Roman"/>
                <w:i/>
                <w:szCs w:val="24"/>
                <w:lang w:val="tr-TR" w:bidi="tr-TR"/>
              </w:rPr>
              <w:t xml:space="preserve"> kısmına bakınız.</w:t>
            </w:r>
          </w:p>
        </w:tc>
        <w:tc>
          <w:tcPr>
            <w:tcW w:w="1476" w:type="pct"/>
            <w:vAlign w:val="center"/>
          </w:tcPr>
          <w:p w14:paraId="041F385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w:t>
            </w:r>
            <w:r w:rsidRPr="00F50C10">
              <w:rPr>
                <w:rFonts w:eastAsia="Times New Roman" w:cs="Times New Roman"/>
                <w:szCs w:val="24"/>
                <w:lang w:val="tr-TR"/>
              </w:rPr>
              <w:t xml:space="preserve"> </w:t>
            </w:r>
            <w:r w:rsidRPr="00F50C10">
              <w:rPr>
                <w:rFonts w:eastAsia="Times New Roman" w:cs="Times New Roman"/>
                <w:szCs w:val="24"/>
                <w:lang w:val="tr-TR" w:bidi="tr-TR"/>
              </w:rPr>
              <w:t>sulu çözeltilerde absorbe edilebilen UOB'ler için geçerlidir.</w:t>
            </w:r>
          </w:p>
        </w:tc>
      </w:tr>
      <w:tr w:rsidR="00BB704F" w:rsidRPr="00F50C10" w14:paraId="0A5D5EE5" w14:textId="77777777" w:rsidTr="00BB704F">
        <w:trPr>
          <w:trHeight w:val="688"/>
        </w:trPr>
        <w:tc>
          <w:tcPr>
            <w:tcW w:w="184" w:type="pct"/>
            <w:vAlign w:val="center"/>
          </w:tcPr>
          <w:p w14:paraId="77051FB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d</w:t>
            </w:r>
          </w:p>
        </w:tc>
        <w:tc>
          <w:tcPr>
            <w:tcW w:w="1548" w:type="pct"/>
            <w:vAlign w:val="center"/>
          </w:tcPr>
          <w:p w14:paraId="1A9E1CF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Katalitik oksitleyici</w:t>
            </w:r>
          </w:p>
        </w:tc>
        <w:tc>
          <w:tcPr>
            <w:tcW w:w="1792" w:type="pct"/>
            <w:vAlign w:val="center"/>
          </w:tcPr>
          <w:p w14:paraId="3ECA5B8B" w14:textId="241DF3E0" w:rsidR="00BB704F" w:rsidRPr="00F50C10" w:rsidRDefault="00E01A32" w:rsidP="000B206D">
            <w:pPr>
              <w:spacing w:line="276" w:lineRule="auto"/>
              <w:ind w:left="108" w:right="108"/>
              <w:rPr>
                <w:rFonts w:eastAsia="Times New Roman" w:cs="Times New Roman"/>
                <w:szCs w:val="24"/>
                <w:lang w:val="tr-TR"/>
              </w:rPr>
            </w:pPr>
            <w:r w:rsidRPr="00F50C10">
              <w:rPr>
                <w:rFonts w:eastAsia="Times New Roman" w:cs="Times New Roman"/>
                <w:i/>
                <w:szCs w:val="24"/>
                <w:lang w:val="tr-TR"/>
              </w:rPr>
              <w:t xml:space="preserve">Detaylı bilgi için </w:t>
            </w:r>
            <w:hyperlink w:anchor="_bookmark802" w:history="1">
              <w:r w:rsidRPr="00F50C10">
                <w:rPr>
                  <w:rFonts w:eastAsia="Times New Roman" w:cs="Times New Roman"/>
                  <w:i/>
                  <w:szCs w:val="24"/>
                  <w:lang w:val="tr-TR" w:bidi="tr-TR"/>
                </w:rPr>
                <w:t>12.1.</w:t>
              </w:r>
            </w:hyperlink>
            <w:r w:rsidRPr="00F50C10">
              <w:rPr>
                <w:rFonts w:eastAsia="Times New Roman" w:cs="Times New Roman"/>
                <w:i/>
                <w:szCs w:val="24"/>
                <w:lang w:val="tr-TR" w:bidi="tr-TR"/>
              </w:rPr>
              <w:t xml:space="preserve"> kısmına bakınız.</w:t>
            </w:r>
          </w:p>
        </w:tc>
        <w:tc>
          <w:tcPr>
            <w:tcW w:w="1476" w:type="pct"/>
            <w:vAlign w:val="center"/>
          </w:tcPr>
          <w:p w14:paraId="7426AA3A" w14:textId="77777777" w:rsidR="00BB704F" w:rsidRPr="00F50C10" w:rsidRDefault="00BB704F" w:rsidP="000B206D">
            <w:pPr>
              <w:tabs>
                <w:tab w:val="left" w:pos="1532"/>
                <w:tab w:val="left" w:pos="2242"/>
              </w:tabs>
              <w:spacing w:line="276" w:lineRule="auto"/>
              <w:ind w:left="108" w:right="108"/>
              <w:rPr>
                <w:rFonts w:eastAsia="Times New Roman" w:cs="Times New Roman"/>
                <w:szCs w:val="24"/>
                <w:lang w:val="tr-TR"/>
              </w:rPr>
            </w:pPr>
            <w:r w:rsidRPr="00F50C10">
              <w:rPr>
                <w:rFonts w:eastAsia="Times New Roman" w:cs="Times New Roman"/>
                <w:szCs w:val="24"/>
                <w:lang w:val="tr-TR" w:bidi="tr-TR"/>
              </w:rPr>
              <w:t>Katalizör zehirlerinin varlığı uygulanabilirliği kısıtlayabilir.</w:t>
            </w:r>
          </w:p>
        </w:tc>
      </w:tr>
      <w:tr w:rsidR="00BB704F" w:rsidRPr="00F50C10" w14:paraId="5014D5A0" w14:textId="77777777" w:rsidTr="00BB704F">
        <w:trPr>
          <w:trHeight w:val="921"/>
        </w:trPr>
        <w:tc>
          <w:tcPr>
            <w:tcW w:w="184" w:type="pct"/>
            <w:vAlign w:val="center"/>
          </w:tcPr>
          <w:p w14:paraId="3B0E395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e</w:t>
            </w:r>
          </w:p>
        </w:tc>
        <w:tc>
          <w:tcPr>
            <w:tcW w:w="1548" w:type="pct"/>
            <w:vAlign w:val="center"/>
          </w:tcPr>
          <w:p w14:paraId="2BBB1A7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Termal oksitleyici</w:t>
            </w:r>
          </w:p>
        </w:tc>
        <w:tc>
          <w:tcPr>
            <w:tcW w:w="1792" w:type="pct"/>
            <w:vAlign w:val="center"/>
          </w:tcPr>
          <w:p w14:paraId="43F25EB5" w14:textId="2C01C925"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Termal oksitleyici yerine, atık sıvı ve atık gazın birleşik arıtımı için bir yakma fırını kullanılabilir.</w:t>
            </w:r>
            <w:r w:rsidR="00E01A32" w:rsidRPr="00F50C10">
              <w:rPr>
                <w:rFonts w:eastAsia="Times New Roman" w:cs="Times New Roman"/>
                <w:szCs w:val="24"/>
                <w:lang w:val="tr-TR" w:bidi="tr-TR"/>
              </w:rPr>
              <w:t xml:space="preserve"> </w:t>
            </w:r>
            <w:r w:rsidR="00E01A32" w:rsidRPr="00F50C10">
              <w:rPr>
                <w:rFonts w:eastAsia="Times New Roman" w:cs="Times New Roman"/>
                <w:i/>
                <w:szCs w:val="24"/>
                <w:lang w:val="tr-TR"/>
              </w:rPr>
              <w:t xml:space="preserve">Detaylı bilgi için </w:t>
            </w:r>
            <w:hyperlink w:anchor="_bookmark802" w:history="1">
              <w:r w:rsidR="00E01A32" w:rsidRPr="00F50C10">
                <w:rPr>
                  <w:rFonts w:eastAsia="Times New Roman" w:cs="Times New Roman"/>
                  <w:i/>
                  <w:szCs w:val="24"/>
                  <w:lang w:val="tr-TR" w:bidi="tr-TR"/>
                </w:rPr>
                <w:t>12.1.</w:t>
              </w:r>
            </w:hyperlink>
            <w:r w:rsidR="00E01A32" w:rsidRPr="00F50C10">
              <w:rPr>
                <w:rFonts w:eastAsia="Times New Roman" w:cs="Times New Roman"/>
                <w:i/>
                <w:szCs w:val="24"/>
                <w:lang w:val="tr-TR" w:bidi="tr-TR"/>
              </w:rPr>
              <w:t xml:space="preserve"> kısmına bakınız.</w:t>
            </w:r>
          </w:p>
        </w:tc>
        <w:tc>
          <w:tcPr>
            <w:tcW w:w="1476" w:type="pct"/>
            <w:vAlign w:val="center"/>
          </w:tcPr>
          <w:p w14:paraId="442810A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1D9A4139" w14:textId="02C2DEEC"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11: </w:t>
      </w:r>
      <w:r w:rsidR="00E01A32" w:rsidRPr="00F50C10">
        <w:rPr>
          <w:rFonts w:eastAsia="Times New Roman" w:cs="Times New Roman"/>
          <w:bCs/>
          <w:szCs w:val="24"/>
          <w:lang w:val="tr-TR"/>
        </w:rPr>
        <w:t>Baca gazı</w:t>
      </w:r>
      <w:r w:rsidRPr="00F50C10">
        <w:rPr>
          <w:rFonts w:eastAsia="Times New Roman" w:cs="Times New Roman"/>
          <w:bCs/>
          <w:szCs w:val="24"/>
          <w:lang w:val="tr-TR"/>
        </w:rPr>
        <w:t xml:space="preserve"> toz emisyonlarını azaltmak için aşa</w:t>
      </w:r>
      <w:r w:rsidR="00E01A32" w:rsidRPr="00F50C10">
        <w:rPr>
          <w:rFonts w:eastAsia="Times New Roman" w:cs="Times New Roman"/>
          <w:bCs/>
          <w:szCs w:val="24"/>
          <w:lang w:val="tr-TR"/>
        </w:rPr>
        <w:t>ğıda verilen tekniklerden biri veya birkaçı</w:t>
      </w:r>
      <w:r w:rsidRPr="00F50C10">
        <w:rPr>
          <w:rFonts w:eastAsia="Times New Roman" w:cs="Times New Roman"/>
          <w:bCs/>
          <w:szCs w:val="24"/>
          <w:lang w:val="tr-TR"/>
        </w:rPr>
        <w:t xml:space="preserve"> kullan</w:t>
      </w:r>
      <w:r w:rsidR="00E01A32" w:rsidRPr="00F50C10">
        <w:rPr>
          <w:rFonts w:eastAsia="Times New Roman" w:cs="Times New Roman"/>
          <w:bCs/>
          <w:szCs w:val="24"/>
          <w:lang w:val="tr-TR"/>
        </w:rPr>
        <w:t>ılır</w:t>
      </w:r>
      <w:r w:rsidRPr="00F50C10">
        <w:rPr>
          <w:rFonts w:eastAsia="Times New Roman" w:cs="Times New Roman"/>
          <w:bCs/>
          <w:szCs w:val="24"/>
          <w:lang w:val="tr-TR"/>
        </w:rPr>
        <w: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375"/>
        <w:gridCol w:w="2730"/>
        <w:gridCol w:w="3047"/>
      </w:tblGrid>
      <w:tr w:rsidR="00BB704F" w:rsidRPr="00F50C10" w14:paraId="19904141" w14:textId="77777777" w:rsidTr="003F5D73">
        <w:trPr>
          <w:trHeight w:val="230"/>
        </w:trPr>
        <w:tc>
          <w:tcPr>
            <w:tcW w:w="196" w:type="pct"/>
            <w:tcBorders>
              <w:right w:val="single" w:sz="4" w:space="0" w:color="auto"/>
            </w:tcBorders>
          </w:tcPr>
          <w:p w14:paraId="41C4D75D"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400" w:type="pct"/>
            <w:tcBorders>
              <w:left w:val="single" w:sz="4" w:space="0" w:color="auto"/>
              <w:bottom w:val="single" w:sz="4" w:space="0" w:color="auto"/>
            </w:tcBorders>
          </w:tcPr>
          <w:p w14:paraId="3786D258"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1609" w:type="pct"/>
            <w:tcBorders>
              <w:bottom w:val="single" w:sz="4" w:space="0" w:color="auto"/>
            </w:tcBorders>
          </w:tcPr>
          <w:p w14:paraId="4A403F5A"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795" w:type="pct"/>
          </w:tcPr>
          <w:p w14:paraId="1DCB412E"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0618F9" w:rsidRPr="00F50C10" w14:paraId="201C12E1" w14:textId="77777777" w:rsidTr="003F5D73">
        <w:trPr>
          <w:trHeight w:val="921"/>
        </w:trPr>
        <w:tc>
          <w:tcPr>
            <w:tcW w:w="196" w:type="pct"/>
            <w:tcBorders>
              <w:right w:val="single" w:sz="4" w:space="0" w:color="auto"/>
            </w:tcBorders>
            <w:vAlign w:val="center"/>
          </w:tcPr>
          <w:p w14:paraId="4E240F4A" w14:textId="77777777" w:rsidR="000618F9" w:rsidRPr="00F50C10" w:rsidRDefault="000618F9"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400" w:type="pct"/>
            <w:tcBorders>
              <w:left w:val="single" w:sz="4" w:space="0" w:color="auto"/>
            </w:tcBorders>
            <w:vAlign w:val="center"/>
          </w:tcPr>
          <w:p w14:paraId="586B57F5" w14:textId="77777777" w:rsidR="000618F9" w:rsidRPr="00F50C10" w:rsidRDefault="000618F9"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Siklon</w:t>
            </w:r>
          </w:p>
        </w:tc>
        <w:tc>
          <w:tcPr>
            <w:tcW w:w="1609" w:type="pct"/>
            <w:tcBorders>
              <w:bottom w:val="single" w:sz="4" w:space="0" w:color="auto"/>
            </w:tcBorders>
            <w:vAlign w:val="center"/>
          </w:tcPr>
          <w:p w14:paraId="5D0D51C5" w14:textId="77777777" w:rsidR="000618F9" w:rsidRPr="00F50C10" w:rsidRDefault="000618F9" w:rsidP="000B206D">
            <w:pPr>
              <w:tabs>
                <w:tab w:val="left" w:pos="629"/>
                <w:tab w:val="left" w:pos="1255"/>
                <w:tab w:val="left" w:pos="1465"/>
                <w:tab w:val="left" w:pos="1763"/>
                <w:tab w:val="left" w:pos="2350"/>
                <w:tab w:val="left" w:pos="2505"/>
              </w:tabs>
              <w:spacing w:line="276" w:lineRule="auto"/>
              <w:ind w:left="108" w:right="108"/>
              <w:rPr>
                <w:rFonts w:eastAsia="Times New Roman" w:cs="Times New Roman"/>
                <w:szCs w:val="24"/>
                <w:lang w:val="tr-TR"/>
              </w:rPr>
            </w:pPr>
            <w:r w:rsidRPr="00F50C10">
              <w:rPr>
                <w:rFonts w:eastAsia="Times New Roman" w:cs="Times New Roman"/>
                <w:szCs w:val="24"/>
                <w:lang w:val="tr-TR" w:bidi="tr-TR"/>
              </w:rPr>
              <w:t>Teknik, diğer azaltma teknikleriyle birlikte kullanılır.</w:t>
            </w:r>
          </w:p>
          <w:p w14:paraId="396E4B35" w14:textId="77777777" w:rsidR="000618F9" w:rsidRPr="00F50C10" w:rsidRDefault="000618F9" w:rsidP="000B206D">
            <w:pPr>
              <w:spacing w:line="276" w:lineRule="auto"/>
              <w:ind w:left="108" w:right="108"/>
              <w:rPr>
                <w:rFonts w:eastAsia="Times New Roman" w:cs="Times New Roman"/>
                <w:szCs w:val="24"/>
                <w:lang w:val="tr-TR" w:bidi="tr-TR"/>
              </w:rPr>
            </w:pPr>
          </w:p>
          <w:p w14:paraId="6D9D7D4B" w14:textId="0B3C6C60" w:rsidR="000618F9" w:rsidRPr="00F50C10" w:rsidRDefault="000618F9" w:rsidP="000B206D">
            <w:pPr>
              <w:spacing w:line="276" w:lineRule="auto"/>
              <w:ind w:left="108" w:right="108"/>
              <w:rPr>
                <w:rFonts w:eastAsia="Times New Roman" w:cs="Times New Roman"/>
                <w:szCs w:val="24"/>
                <w:lang w:val="tr-TR"/>
              </w:rPr>
            </w:pPr>
            <w:r w:rsidRPr="00F50C10">
              <w:rPr>
                <w:rFonts w:eastAsia="Times New Roman" w:cs="Times New Roman"/>
                <w:i/>
                <w:szCs w:val="24"/>
                <w:lang w:val="tr-TR"/>
              </w:rPr>
              <w:t xml:space="preserve">Detaylı bilgi için </w:t>
            </w:r>
            <w:hyperlink w:anchor="_bookmark802" w:history="1">
              <w:r w:rsidRPr="00F50C10">
                <w:rPr>
                  <w:rFonts w:eastAsia="Times New Roman" w:cs="Times New Roman"/>
                  <w:i/>
                  <w:szCs w:val="24"/>
                  <w:lang w:val="tr-TR" w:bidi="tr-TR"/>
                </w:rPr>
                <w:t>12.1.</w:t>
              </w:r>
            </w:hyperlink>
            <w:r w:rsidRPr="00F50C10">
              <w:rPr>
                <w:rFonts w:eastAsia="Times New Roman" w:cs="Times New Roman"/>
                <w:i/>
                <w:szCs w:val="24"/>
                <w:lang w:val="tr-TR" w:bidi="tr-TR"/>
              </w:rPr>
              <w:t xml:space="preserve"> kısmına </w:t>
            </w:r>
            <w:r w:rsidR="003F5D73" w:rsidRPr="00F50C10">
              <w:rPr>
                <w:rFonts w:eastAsia="Times New Roman" w:cs="Times New Roman"/>
                <w:i/>
                <w:szCs w:val="24"/>
                <w:lang w:val="tr-TR" w:bidi="tr-TR"/>
              </w:rPr>
              <w:t>bakınız.</w:t>
            </w:r>
          </w:p>
        </w:tc>
        <w:tc>
          <w:tcPr>
            <w:tcW w:w="1795" w:type="pct"/>
            <w:vAlign w:val="center"/>
          </w:tcPr>
          <w:p w14:paraId="4DDC8661" w14:textId="77777777" w:rsidR="000618F9" w:rsidRPr="00F50C10" w:rsidRDefault="000618F9"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0618F9" w:rsidRPr="00F50C10" w14:paraId="7913471B" w14:textId="77777777" w:rsidTr="003F5D73">
        <w:trPr>
          <w:trHeight w:val="688"/>
        </w:trPr>
        <w:tc>
          <w:tcPr>
            <w:tcW w:w="196" w:type="pct"/>
            <w:vAlign w:val="center"/>
          </w:tcPr>
          <w:p w14:paraId="700CFAD5" w14:textId="77777777" w:rsidR="000618F9" w:rsidRPr="00F50C10" w:rsidRDefault="000618F9"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400" w:type="pct"/>
            <w:vAlign w:val="center"/>
          </w:tcPr>
          <w:p w14:paraId="3CFFA6F4" w14:textId="2708A8A0" w:rsidR="000618F9" w:rsidRPr="00F50C10" w:rsidRDefault="000618F9"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Elektrostatik </w:t>
            </w:r>
            <w:r w:rsidR="00F46576" w:rsidRPr="00F50C10">
              <w:rPr>
                <w:rFonts w:eastAsia="Times New Roman" w:cs="Times New Roman"/>
                <w:szCs w:val="24"/>
                <w:lang w:val="tr-TR" w:bidi="tr-TR"/>
              </w:rPr>
              <w:t>filtre</w:t>
            </w:r>
          </w:p>
        </w:tc>
        <w:tc>
          <w:tcPr>
            <w:tcW w:w="1609" w:type="pct"/>
            <w:tcBorders>
              <w:top w:val="single" w:sz="4" w:space="0" w:color="auto"/>
              <w:bottom w:val="single" w:sz="4" w:space="0" w:color="auto"/>
            </w:tcBorders>
            <w:vAlign w:val="center"/>
          </w:tcPr>
          <w:p w14:paraId="36B4B5EF" w14:textId="746CD3EB" w:rsidR="000618F9" w:rsidRPr="00F50C10" w:rsidRDefault="003F5D73" w:rsidP="000B206D">
            <w:pPr>
              <w:spacing w:line="276" w:lineRule="auto"/>
              <w:ind w:left="108" w:right="108"/>
              <w:rPr>
                <w:rFonts w:eastAsia="Times New Roman" w:cs="Times New Roman"/>
                <w:szCs w:val="24"/>
                <w:lang w:val="tr-TR"/>
              </w:rPr>
            </w:pPr>
            <w:r w:rsidRPr="00F50C10">
              <w:rPr>
                <w:rFonts w:eastAsia="Times New Roman" w:cs="Times New Roman"/>
                <w:i/>
                <w:szCs w:val="24"/>
                <w:lang w:val="tr-TR"/>
              </w:rPr>
              <w:t xml:space="preserve">Detaylı bilgi için </w:t>
            </w:r>
            <w:hyperlink w:anchor="_bookmark802" w:history="1">
              <w:r w:rsidRPr="00F50C10">
                <w:rPr>
                  <w:rFonts w:eastAsia="Times New Roman" w:cs="Times New Roman"/>
                  <w:i/>
                  <w:szCs w:val="24"/>
                  <w:lang w:val="tr-TR" w:bidi="tr-TR"/>
                </w:rPr>
                <w:t>12.1.</w:t>
              </w:r>
            </w:hyperlink>
            <w:r w:rsidRPr="00F50C10">
              <w:rPr>
                <w:rFonts w:eastAsia="Times New Roman" w:cs="Times New Roman"/>
                <w:i/>
                <w:szCs w:val="24"/>
                <w:lang w:val="tr-TR" w:bidi="tr-TR"/>
              </w:rPr>
              <w:t xml:space="preserve"> kısmına bakınız.</w:t>
            </w:r>
          </w:p>
        </w:tc>
        <w:tc>
          <w:tcPr>
            <w:tcW w:w="1795" w:type="pct"/>
            <w:vAlign w:val="center"/>
          </w:tcPr>
          <w:p w14:paraId="4DB45CC1" w14:textId="77777777" w:rsidR="000618F9" w:rsidRPr="00F50C10" w:rsidRDefault="000618F9" w:rsidP="000B206D">
            <w:pPr>
              <w:tabs>
                <w:tab w:val="left" w:pos="687"/>
                <w:tab w:val="left" w:pos="1114"/>
                <w:tab w:val="left" w:pos="2097"/>
                <w:tab w:val="left" w:pos="2536"/>
              </w:tabs>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Mevcut birimler için uygulanabilirlik</w:t>
            </w:r>
          </w:p>
          <w:p w14:paraId="1B57242B" w14:textId="77777777" w:rsidR="000618F9" w:rsidRPr="00F50C10" w:rsidRDefault="000618F9" w:rsidP="000B206D">
            <w:pPr>
              <w:tabs>
                <w:tab w:val="left" w:pos="687"/>
                <w:tab w:val="left" w:pos="1114"/>
                <w:tab w:val="left" w:pos="2097"/>
                <w:tab w:val="left" w:pos="2536"/>
              </w:tabs>
              <w:spacing w:line="276" w:lineRule="auto"/>
              <w:ind w:left="108" w:right="108"/>
              <w:rPr>
                <w:rFonts w:eastAsia="Times New Roman" w:cs="Times New Roman"/>
                <w:szCs w:val="24"/>
                <w:lang w:val="tr-TR"/>
              </w:rPr>
            </w:pPr>
            <w:r w:rsidRPr="00F50C10">
              <w:rPr>
                <w:rFonts w:eastAsia="Times New Roman" w:cs="Times New Roman"/>
                <w:szCs w:val="24"/>
                <w:lang w:val="tr-TR" w:bidi="tr-TR"/>
              </w:rPr>
              <w:t>alan kullanılabilirliği veya güvenlik hususları ile kısıtlanabilir</w:t>
            </w:r>
          </w:p>
        </w:tc>
      </w:tr>
      <w:tr w:rsidR="000618F9" w:rsidRPr="00F50C10" w14:paraId="0E59C6C0" w14:textId="77777777" w:rsidTr="003F5D73">
        <w:trPr>
          <w:trHeight w:val="230"/>
        </w:trPr>
        <w:tc>
          <w:tcPr>
            <w:tcW w:w="196" w:type="pct"/>
            <w:vAlign w:val="center"/>
          </w:tcPr>
          <w:p w14:paraId="739BCD91" w14:textId="77777777" w:rsidR="000618F9" w:rsidRPr="00F50C10" w:rsidRDefault="000618F9"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400" w:type="pct"/>
            <w:vAlign w:val="center"/>
          </w:tcPr>
          <w:p w14:paraId="3B2A3022" w14:textId="5EEABF49" w:rsidR="000618F9" w:rsidRPr="00F50C10" w:rsidRDefault="009A2327"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Bez</w:t>
            </w:r>
            <w:r w:rsidR="000618F9" w:rsidRPr="00F50C10">
              <w:rPr>
                <w:rFonts w:eastAsia="Times New Roman" w:cs="Times New Roman"/>
                <w:szCs w:val="24"/>
                <w:lang w:val="tr-TR" w:bidi="tr-TR"/>
              </w:rPr>
              <w:t xml:space="preserve"> filtre</w:t>
            </w:r>
          </w:p>
        </w:tc>
        <w:tc>
          <w:tcPr>
            <w:tcW w:w="1609" w:type="pct"/>
            <w:vMerge w:val="restart"/>
            <w:tcBorders>
              <w:top w:val="single" w:sz="4" w:space="0" w:color="auto"/>
            </w:tcBorders>
            <w:vAlign w:val="center"/>
          </w:tcPr>
          <w:p w14:paraId="5C8556F3" w14:textId="3FD4384E" w:rsidR="000618F9" w:rsidRPr="00F50C10" w:rsidRDefault="003F5D73" w:rsidP="000B206D">
            <w:pPr>
              <w:spacing w:line="276" w:lineRule="auto"/>
              <w:ind w:left="108" w:right="108"/>
              <w:rPr>
                <w:rFonts w:eastAsia="Times New Roman" w:cs="Times New Roman"/>
                <w:szCs w:val="24"/>
                <w:lang w:val="tr-TR"/>
              </w:rPr>
            </w:pPr>
            <w:r w:rsidRPr="00F50C10">
              <w:rPr>
                <w:rFonts w:eastAsia="Times New Roman" w:cs="Times New Roman"/>
                <w:i/>
                <w:szCs w:val="24"/>
                <w:lang w:val="tr-TR"/>
              </w:rPr>
              <w:t xml:space="preserve">Detaylı bilgi için </w:t>
            </w:r>
            <w:hyperlink w:anchor="_bookmark802" w:history="1">
              <w:r w:rsidRPr="00F50C10">
                <w:rPr>
                  <w:rFonts w:eastAsia="Times New Roman" w:cs="Times New Roman"/>
                  <w:i/>
                  <w:szCs w:val="24"/>
                  <w:lang w:val="tr-TR" w:bidi="tr-TR"/>
                </w:rPr>
                <w:t>12.1.</w:t>
              </w:r>
            </w:hyperlink>
            <w:r w:rsidRPr="00F50C10">
              <w:rPr>
                <w:rFonts w:eastAsia="Times New Roman" w:cs="Times New Roman"/>
                <w:i/>
                <w:szCs w:val="24"/>
                <w:lang w:val="tr-TR" w:bidi="tr-TR"/>
              </w:rPr>
              <w:t xml:space="preserve"> kısmına bakınız.</w:t>
            </w:r>
          </w:p>
        </w:tc>
        <w:tc>
          <w:tcPr>
            <w:tcW w:w="1795" w:type="pct"/>
            <w:vMerge w:val="restart"/>
            <w:vAlign w:val="center"/>
          </w:tcPr>
          <w:p w14:paraId="026596E0" w14:textId="77777777" w:rsidR="000618F9" w:rsidRPr="00F50C10" w:rsidRDefault="000618F9"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0618F9" w:rsidRPr="00F50C10" w14:paraId="05033637" w14:textId="77777777" w:rsidTr="00BB704F">
        <w:trPr>
          <w:trHeight w:val="230"/>
        </w:trPr>
        <w:tc>
          <w:tcPr>
            <w:tcW w:w="196" w:type="pct"/>
          </w:tcPr>
          <w:p w14:paraId="252A7026" w14:textId="77777777" w:rsidR="000618F9" w:rsidRPr="00F50C10" w:rsidRDefault="000618F9"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d</w:t>
            </w:r>
          </w:p>
        </w:tc>
        <w:tc>
          <w:tcPr>
            <w:tcW w:w="1400" w:type="pct"/>
          </w:tcPr>
          <w:p w14:paraId="681D155A" w14:textId="77777777" w:rsidR="000618F9" w:rsidRPr="00F50C10" w:rsidRDefault="000618F9"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İki aşamalı toz filtresi</w:t>
            </w:r>
          </w:p>
        </w:tc>
        <w:tc>
          <w:tcPr>
            <w:tcW w:w="1609" w:type="pct"/>
            <w:vMerge/>
            <w:vAlign w:val="center"/>
          </w:tcPr>
          <w:p w14:paraId="3EC91CB3" w14:textId="0B55376A" w:rsidR="000618F9" w:rsidRPr="00F50C10" w:rsidRDefault="000618F9" w:rsidP="000B206D">
            <w:pPr>
              <w:spacing w:line="276" w:lineRule="auto"/>
              <w:ind w:left="108" w:right="108"/>
              <w:rPr>
                <w:rFonts w:eastAsia="Times New Roman" w:cs="Times New Roman"/>
                <w:szCs w:val="24"/>
                <w:lang w:val="tr-TR"/>
              </w:rPr>
            </w:pPr>
          </w:p>
        </w:tc>
        <w:tc>
          <w:tcPr>
            <w:tcW w:w="1795" w:type="pct"/>
            <w:vMerge/>
            <w:tcBorders>
              <w:top w:val="nil"/>
            </w:tcBorders>
          </w:tcPr>
          <w:p w14:paraId="445ED44C" w14:textId="77777777" w:rsidR="000618F9" w:rsidRPr="00F50C10" w:rsidRDefault="000618F9" w:rsidP="000B206D">
            <w:pPr>
              <w:spacing w:line="276" w:lineRule="auto"/>
              <w:jc w:val="left"/>
              <w:rPr>
                <w:rFonts w:eastAsia="Times New Roman" w:cs="Times New Roman"/>
                <w:szCs w:val="24"/>
                <w:lang w:val="tr-TR"/>
              </w:rPr>
            </w:pPr>
          </w:p>
        </w:tc>
      </w:tr>
      <w:tr w:rsidR="000618F9" w:rsidRPr="00F50C10" w14:paraId="28AECC81" w14:textId="77777777" w:rsidTr="00BB704F">
        <w:trPr>
          <w:trHeight w:val="230"/>
        </w:trPr>
        <w:tc>
          <w:tcPr>
            <w:tcW w:w="196" w:type="pct"/>
          </w:tcPr>
          <w:p w14:paraId="67437DD9" w14:textId="77777777" w:rsidR="000618F9" w:rsidRPr="00F50C10" w:rsidRDefault="000618F9"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e</w:t>
            </w:r>
          </w:p>
        </w:tc>
        <w:tc>
          <w:tcPr>
            <w:tcW w:w="1400" w:type="pct"/>
          </w:tcPr>
          <w:p w14:paraId="233FCB92" w14:textId="77777777" w:rsidR="000618F9" w:rsidRPr="00F50C10" w:rsidRDefault="000618F9"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Seramik/metal filtre</w:t>
            </w:r>
          </w:p>
        </w:tc>
        <w:tc>
          <w:tcPr>
            <w:tcW w:w="1609" w:type="pct"/>
            <w:vMerge/>
          </w:tcPr>
          <w:p w14:paraId="61715C6E" w14:textId="56F48CAC" w:rsidR="000618F9" w:rsidRPr="00F50C10" w:rsidRDefault="000618F9" w:rsidP="000B206D">
            <w:pPr>
              <w:spacing w:line="276" w:lineRule="auto"/>
              <w:ind w:left="108" w:right="108"/>
              <w:rPr>
                <w:rFonts w:eastAsia="Times New Roman" w:cs="Times New Roman"/>
                <w:szCs w:val="24"/>
                <w:lang w:val="tr-TR"/>
              </w:rPr>
            </w:pPr>
          </w:p>
        </w:tc>
        <w:tc>
          <w:tcPr>
            <w:tcW w:w="1795" w:type="pct"/>
            <w:vMerge/>
            <w:tcBorders>
              <w:top w:val="nil"/>
            </w:tcBorders>
          </w:tcPr>
          <w:p w14:paraId="54F3D13C" w14:textId="77777777" w:rsidR="000618F9" w:rsidRPr="00F50C10" w:rsidRDefault="000618F9" w:rsidP="000B206D">
            <w:pPr>
              <w:spacing w:line="276" w:lineRule="auto"/>
              <w:jc w:val="left"/>
              <w:rPr>
                <w:rFonts w:eastAsia="Times New Roman" w:cs="Times New Roman"/>
                <w:szCs w:val="24"/>
                <w:lang w:val="tr-TR"/>
              </w:rPr>
            </w:pPr>
          </w:p>
        </w:tc>
      </w:tr>
      <w:tr w:rsidR="000618F9" w:rsidRPr="00F50C10" w14:paraId="1B4E04F5" w14:textId="77777777" w:rsidTr="00BB704F">
        <w:trPr>
          <w:trHeight w:val="230"/>
        </w:trPr>
        <w:tc>
          <w:tcPr>
            <w:tcW w:w="196" w:type="pct"/>
          </w:tcPr>
          <w:p w14:paraId="54E8454E" w14:textId="77777777" w:rsidR="000618F9" w:rsidRPr="00F50C10" w:rsidRDefault="000618F9"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f</w:t>
            </w:r>
          </w:p>
        </w:tc>
        <w:tc>
          <w:tcPr>
            <w:tcW w:w="1400" w:type="pct"/>
          </w:tcPr>
          <w:p w14:paraId="6DB7B65F" w14:textId="77777777" w:rsidR="000618F9" w:rsidRPr="00F50C10" w:rsidRDefault="000618F9"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Islak toz yıkama</w:t>
            </w:r>
          </w:p>
        </w:tc>
        <w:tc>
          <w:tcPr>
            <w:tcW w:w="1609" w:type="pct"/>
            <w:vMerge/>
          </w:tcPr>
          <w:p w14:paraId="3BDC5013" w14:textId="4BD392C6" w:rsidR="000618F9" w:rsidRPr="00F50C10" w:rsidRDefault="000618F9" w:rsidP="000B206D">
            <w:pPr>
              <w:spacing w:line="276" w:lineRule="auto"/>
              <w:ind w:left="108" w:right="108"/>
              <w:rPr>
                <w:rFonts w:eastAsia="Times New Roman" w:cs="Times New Roman"/>
                <w:szCs w:val="24"/>
                <w:lang w:val="tr-TR"/>
              </w:rPr>
            </w:pPr>
          </w:p>
        </w:tc>
        <w:tc>
          <w:tcPr>
            <w:tcW w:w="1795" w:type="pct"/>
            <w:vMerge/>
            <w:tcBorders>
              <w:top w:val="nil"/>
            </w:tcBorders>
          </w:tcPr>
          <w:p w14:paraId="0DF8C298" w14:textId="77777777" w:rsidR="000618F9" w:rsidRPr="00F50C10" w:rsidRDefault="000618F9" w:rsidP="000B206D">
            <w:pPr>
              <w:spacing w:line="276" w:lineRule="auto"/>
              <w:jc w:val="left"/>
              <w:rPr>
                <w:rFonts w:eastAsia="Times New Roman" w:cs="Times New Roman"/>
                <w:szCs w:val="24"/>
                <w:lang w:val="tr-TR"/>
              </w:rPr>
            </w:pPr>
          </w:p>
        </w:tc>
      </w:tr>
    </w:tbl>
    <w:p w14:paraId="207FA525" w14:textId="77777777" w:rsidR="00F35E77" w:rsidRPr="00F50C10" w:rsidRDefault="00BB704F" w:rsidP="000B206D">
      <w:pPr>
        <w:widowControl w:val="0"/>
        <w:autoSpaceDE w:val="0"/>
        <w:autoSpaceDN w:val="0"/>
        <w:spacing w:before="240" w:line="276" w:lineRule="auto"/>
        <w:rPr>
          <w:rFonts w:cs="Times New Roman"/>
          <w:szCs w:val="24"/>
        </w:rPr>
      </w:pPr>
      <w:r w:rsidRPr="00F50C10">
        <w:rPr>
          <w:rFonts w:eastAsia="Times New Roman" w:cs="Times New Roman"/>
          <w:b/>
          <w:bCs/>
          <w:szCs w:val="24"/>
          <w:lang w:val="tr-TR"/>
        </w:rPr>
        <w:t xml:space="preserve">MET 12: </w:t>
      </w:r>
      <w:r w:rsidRPr="00F50C10">
        <w:rPr>
          <w:rFonts w:eastAsia="Times New Roman" w:cs="Times New Roman"/>
          <w:bCs/>
          <w:szCs w:val="24"/>
          <w:lang w:val="tr-TR" w:bidi="tr-TR"/>
        </w:rPr>
        <w:t>Kükürt dioksit ve diğer asit gazlarının (örneğin HCl) hava</w:t>
      </w:r>
      <w:r w:rsidR="0085060A" w:rsidRPr="00F50C10">
        <w:rPr>
          <w:rFonts w:eastAsia="Times New Roman" w:cs="Times New Roman"/>
          <w:bCs/>
          <w:szCs w:val="24"/>
          <w:lang w:val="tr-TR" w:bidi="tr-TR"/>
        </w:rPr>
        <w:t>ya</w:t>
      </w:r>
      <w:r w:rsidRPr="00F50C10">
        <w:rPr>
          <w:rFonts w:eastAsia="Times New Roman" w:cs="Times New Roman"/>
          <w:bCs/>
          <w:szCs w:val="24"/>
          <w:lang w:val="tr-TR" w:bidi="tr-TR"/>
        </w:rPr>
        <w:t xml:space="preserve"> emisyonlarını azaltmak için </w:t>
      </w:r>
      <w:r w:rsidR="00B16387" w:rsidRPr="00F50C10">
        <w:rPr>
          <w:rFonts w:eastAsia="Times New Roman" w:cs="Times New Roman"/>
          <w:bCs/>
          <w:szCs w:val="24"/>
          <w:lang w:val="tr-TR" w:bidi="tr-TR"/>
        </w:rPr>
        <w:t>ıslak</w:t>
      </w:r>
      <w:r w:rsidRPr="00F50C10">
        <w:rPr>
          <w:rFonts w:eastAsia="Times New Roman" w:cs="Times New Roman"/>
          <w:bCs/>
          <w:szCs w:val="24"/>
          <w:lang w:val="tr-TR" w:bidi="tr-TR"/>
        </w:rPr>
        <w:t xml:space="preserve"> yıkama</w:t>
      </w:r>
      <w:r w:rsidR="0085060A" w:rsidRPr="00F50C10">
        <w:rPr>
          <w:rFonts w:eastAsia="Times New Roman" w:cs="Times New Roman"/>
          <w:bCs/>
          <w:szCs w:val="24"/>
          <w:lang w:val="tr-TR" w:bidi="tr-TR"/>
        </w:rPr>
        <w:t xml:space="preserve"> kullanılır.</w:t>
      </w:r>
      <w:r w:rsidR="00F35E77" w:rsidRPr="00F50C10">
        <w:rPr>
          <w:rFonts w:cs="Times New Roman"/>
          <w:szCs w:val="24"/>
        </w:rPr>
        <w:t xml:space="preserve"> </w:t>
      </w:r>
    </w:p>
    <w:p w14:paraId="582ED8E8" w14:textId="0724CFA6" w:rsidR="00BB704F" w:rsidRPr="00F50C10" w:rsidRDefault="00C31A6F" w:rsidP="000B206D">
      <w:pPr>
        <w:widowControl w:val="0"/>
        <w:autoSpaceDE w:val="0"/>
        <w:autoSpaceDN w:val="0"/>
        <w:spacing w:before="240" w:line="276" w:lineRule="auto"/>
        <w:rPr>
          <w:rFonts w:eastAsia="Times New Roman" w:cs="Times New Roman"/>
          <w:b/>
          <w:bCs/>
          <w:szCs w:val="24"/>
          <w:lang w:val="tr-TR"/>
        </w:rPr>
      </w:pPr>
      <w:r w:rsidRPr="00F50C10">
        <w:rPr>
          <w:rFonts w:cs="Times New Roman"/>
          <w:szCs w:val="24"/>
        </w:rPr>
        <w:t xml:space="preserve">Islak </w:t>
      </w:r>
      <w:r w:rsidR="00F35E77" w:rsidRPr="00F50C10">
        <w:rPr>
          <w:rFonts w:cs="Times New Roman"/>
          <w:szCs w:val="24"/>
        </w:rPr>
        <w:t xml:space="preserve">yıkamaya ilişkin detaylı bilgi için </w:t>
      </w:r>
      <w:r w:rsidR="00F35E77" w:rsidRPr="00F50C10">
        <w:rPr>
          <w:rFonts w:cs="Times New Roman"/>
          <w:szCs w:val="24"/>
        </w:rPr>
        <w:fldChar w:fldCharType="begin"/>
      </w:r>
      <w:r w:rsidR="00F35E77" w:rsidRPr="00F50C10">
        <w:rPr>
          <w:rFonts w:cs="Times New Roman"/>
          <w:szCs w:val="24"/>
        </w:rPr>
        <w:instrText xml:space="preserve"> REF _Ref133314250 \n \h  \* MERGEFORMAT </w:instrText>
      </w:r>
      <w:r w:rsidR="00F35E77" w:rsidRPr="00F50C10">
        <w:rPr>
          <w:rFonts w:cs="Times New Roman"/>
          <w:szCs w:val="24"/>
        </w:rPr>
      </w:r>
      <w:r w:rsidR="00F35E77" w:rsidRPr="00F50C10">
        <w:rPr>
          <w:rFonts w:cs="Times New Roman"/>
          <w:szCs w:val="24"/>
        </w:rPr>
        <w:fldChar w:fldCharType="separate"/>
      </w:r>
      <w:r w:rsidR="00F35E77" w:rsidRPr="00F50C10">
        <w:rPr>
          <w:rFonts w:cs="Times New Roman"/>
          <w:szCs w:val="24"/>
        </w:rPr>
        <w:t>12.1</w:t>
      </w:r>
      <w:r w:rsidR="00F35E77" w:rsidRPr="00F50C10">
        <w:rPr>
          <w:rFonts w:cs="Times New Roman"/>
          <w:szCs w:val="24"/>
        </w:rPr>
        <w:fldChar w:fldCharType="end"/>
      </w:r>
      <w:r w:rsidR="00F35E77" w:rsidRPr="00F50C10">
        <w:rPr>
          <w:rFonts w:cs="Times New Roman"/>
          <w:szCs w:val="24"/>
        </w:rPr>
        <w:t xml:space="preserve"> kısmına bakınız.</w:t>
      </w:r>
    </w:p>
    <w:p w14:paraId="45E4EC7E" w14:textId="77777777" w:rsidR="00BB704F" w:rsidRPr="00F50C10" w:rsidRDefault="00BB704F" w:rsidP="000B206D">
      <w:pPr>
        <w:keepNext/>
        <w:widowControl w:val="0"/>
        <w:numPr>
          <w:ilvl w:val="3"/>
          <w:numId w:val="18"/>
        </w:numPr>
        <w:autoSpaceDE w:val="0"/>
        <w:autoSpaceDN w:val="0"/>
        <w:spacing w:before="240" w:after="120" w:line="276" w:lineRule="auto"/>
        <w:jc w:val="left"/>
        <w:outlineLvl w:val="3"/>
        <w:rPr>
          <w:rFonts w:eastAsia="Calibri" w:cs="Times New Roman"/>
          <w:b/>
          <w:bCs/>
          <w:szCs w:val="24"/>
        </w:rPr>
      </w:pPr>
      <w:r w:rsidRPr="00F50C10">
        <w:rPr>
          <w:rFonts w:eastAsia="Calibri" w:cs="Times New Roman"/>
          <w:b/>
          <w:bCs/>
          <w:szCs w:val="24"/>
        </w:rPr>
        <w:t>Termal oksitleyiciden kaynaklanan emisyonları azaltma teknikleri</w:t>
      </w:r>
    </w:p>
    <w:p w14:paraId="7A516F24" w14:textId="0E0AC241"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MET 13:</w:t>
      </w:r>
      <w:r w:rsidRPr="00F50C10">
        <w:rPr>
          <w:rFonts w:eastAsia="Times New Roman" w:cs="Times New Roman"/>
          <w:szCs w:val="24"/>
          <w:lang w:val="tr-TR"/>
        </w:rPr>
        <w:t xml:space="preserve"> </w:t>
      </w:r>
      <w:r w:rsidRPr="00F50C10">
        <w:rPr>
          <w:rFonts w:eastAsia="Times New Roman" w:cs="Times New Roman"/>
          <w:bCs/>
          <w:szCs w:val="24"/>
          <w:lang w:val="tr-TR"/>
        </w:rPr>
        <w:t>Bir termal oksitleyiciden havaya NO</w:t>
      </w:r>
      <w:r w:rsidRPr="00F50C10">
        <w:rPr>
          <w:rFonts w:eastAsia="Times New Roman" w:cs="Times New Roman"/>
          <w:bCs/>
          <w:szCs w:val="24"/>
          <w:vertAlign w:val="subscript"/>
          <w:lang w:val="tr-TR"/>
        </w:rPr>
        <w:t>X</w:t>
      </w:r>
      <w:r w:rsidRPr="00F50C10">
        <w:rPr>
          <w:rFonts w:eastAsia="Times New Roman" w:cs="Times New Roman"/>
          <w:bCs/>
          <w:szCs w:val="24"/>
          <w:lang w:val="tr-TR"/>
        </w:rPr>
        <w:t>, CO ve SO</w:t>
      </w:r>
      <w:r w:rsidRPr="00F50C10">
        <w:rPr>
          <w:rFonts w:eastAsia="Times New Roman" w:cs="Times New Roman"/>
          <w:bCs/>
          <w:szCs w:val="24"/>
          <w:vertAlign w:val="subscript"/>
          <w:lang w:val="tr-TR"/>
        </w:rPr>
        <w:t>2</w:t>
      </w:r>
      <w:r w:rsidRPr="00F50C10">
        <w:rPr>
          <w:rFonts w:eastAsia="Times New Roman" w:cs="Times New Roman"/>
          <w:bCs/>
          <w:szCs w:val="24"/>
          <w:lang w:val="tr-TR"/>
        </w:rPr>
        <w:t xml:space="preserve"> emisyonlarını azaltmak için aşağıda verilen tekniklerin uygun bir kombinasyonu kullan</w:t>
      </w:r>
      <w:r w:rsidR="0085060A" w:rsidRPr="00F50C10">
        <w:rPr>
          <w:rFonts w:eastAsia="Times New Roman" w:cs="Times New Roman"/>
          <w:bCs/>
          <w:szCs w:val="24"/>
          <w:lang w:val="tr-TR"/>
        </w:rPr>
        <w:t>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188"/>
        <w:gridCol w:w="2356"/>
        <w:gridCol w:w="1688"/>
        <w:gridCol w:w="1920"/>
      </w:tblGrid>
      <w:tr w:rsidR="00BB704F" w:rsidRPr="00F50C10" w14:paraId="42004C7E" w14:textId="77777777" w:rsidTr="00BB704F">
        <w:trPr>
          <w:trHeight w:val="700"/>
          <w:tblHeader/>
        </w:trPr>
        <w:tc>
          <w:tcPr>
            <w:tcW w:w="125" w:type="pct"/>
            <w:tcBorders>
              <w:right w:val="single" w:sz="4" w:space="0" w:color="auto"/>
            </w:tcBorders>
            <w:vAlign w:val="center"/>
          </w:tcPr>
          <w:p w14:paraId="2121C253"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327" w:type="pct"/>
            <w:tcBorders>
              <w:left w:val="single" w:sz="4" w:space="0" w:color="auto"/>
            </w:tcBorders>
            <w:vAlign w:val="center"/>
          </w:tcPr>
          <w:p w14:paraId="2728A293"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1426" w:type="pct"/>
            <w:vAlign w:val="center"/>
          </w:tcPr>
          <w:p w14:paraId="5CF1B2A0"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033" w:type="pct"/>
            <w:vAlign w:val="center"/>
          </w:tcPr>
          <w:p w14:paraId="3F5E7A11"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Hedeflenen temel kirletici</w:t>
            </w:r>
          </w:p>
        </w:tc>
        <w:tc>
          <w:tcPr>
            <w:tcW w:w="1089" w:type="pct"/>
            <w:vAlign w:val="center"/>
          </w:tcPr>
          <w:p w14:paraId="267DC521"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204D8B10" w14:textId="77777777" w:rsidTr="00BB704F">
        <w:trPr>
          <w:trHeight w:val="1152"/>
        </w:trPr>
        <w:tc>
          <w:tcPr>
            <w:tcW w:w="125" w:type="pct"/>
            <w:vAlign w:val="center"/>
          </w:tcPr>
          <w:p w14:paraId="20835EE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327" w:type="pct"/>
            <w:vAlign w:val="center"/>
          </w:tcPr>
          <w:p w14:paraId="6ADBC72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Yüksek seviyelerdeki NO</w:t>
            </w:r>
            <w:r w:rsidRPr="00F50C10">
              <w:rPr>
                <w:rFonts w:eastAsia="Times New Roman" w:cs="Times New Roman"/>
                <w:szCs w:val="24"/>
                <w:vertAlign w:val="subscript"/>
                <w:lang w:val="tr-TR" w:bidi="tr-TR"/>
              </w:rPr>
              <w:t>X</w:t>
            </w:r>
            <w:r w:rsidRPr="00F50C10">
              <w:rPr>
                <w:rFonts w:eastAsia="Times New Roman" w:cs="Times New Roman"/>
                <w:szCs w:val="24"/>
                <w:lang w:val="tr-TR" w:bidi="tr-TR"/>
              </w:rPr>
              <w:t xml:space="preserve"> öncüllerinin proses çıkış gazı akışlarından uzaklaştırılması.</w:t>
            </w:r>
          </w:p>
        </w:tc>
        <w:tc>
          <w:tcPr>
            <w:tcW w:w="1426" w:type="pct"/>
            <w:vAlign w:val="center"/>
          </w:tcPr>
          <w:p w14:paraId="0C745F8B" w14:textId="017ECACD"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Termal işlemden önce, örneğin fırçalama, yoğuşt</w:t>
            </w:r>
            <w:r w:rsidR="00D37CC6" w:rsidRPr="00F50C10">
              <w:rPr>
                <w:rFonts w:eastAsia="Times New Roman" w:cs="Times New Roman"/>
                <w:szCs w:val="24"/>
                <w:lang w:val="tr-TR" w:bidi="tr-TR"/>
              </w:rPr>
              <w:t>u</w:t>
            </w:r>
            <w:r w:rsidRPr="00F50C10">
              <w:rPr>
                <w:rFonts w:eastAsia="Times New Roman" w:cs="Times New Roman"/>
                <w:szCs w:val="24"/>
                <w:lang w:val="tr-TR" w:bidi="tr-TR"/>
              </w:rPr>
              <w:t>rma veya adsorpsiyon yoluyla yüksek seviyelerde NO</w:t>
            </w:r>
            <w:r w:rsidRPr="00F50C10">
              <w:rPr>
                <w:rFonts w:eastAsia="Times New Roman" w:cs="Times New Roman"/>
                <w:szCs w:val="24"/>
                <w:vertAlign w:val="subscript"/>
                <w:lang w:val="tr-TR" w:bidi="tr-TR"/>
              </w:rPr>
              <w:t>X</w:t>
            </w:r>
            <w:r w:rsidRPr="00F50C10">
              <w:rPr>
                <w:rFonts w:eastAsia="Times New Roman" w:cs="Times New Roman"/>
                <w:szCs w:val="24"/>
                <w:lang w:val="tr-TR" w:bidi="tr-TR"/>
              </w:rPr>
              <w:t xml:space="preserve"> öncülleri çıkarı</w:t>
            </w:r>
            <w:r w:rsidR="00F45DE8" w:rsidRPr="00F50C10">
              <w:rPr>
                <w:rFonts w:eastAsia="Times New Roman" w:cs="Times New Roman"/>
                <w:szCs w:val="24"/>
                <w:lang w:val="tr-TR" w:bidi="tr-TR"/>
              </w:rPr>
              <w:t>lır</w:t>
            </w:r>
            <w:r w:rsidRPr="00F50C10">
              <w:rPr>
                <w:rFonts w:eastAsia="Times New Roman" w:cs="Times New Roman"/>
                <w:szCs w:val="24"/>
                <w:lang w:val="tr-TR" w:bidi="tr-TR"/>
              </w:rPr>
              <w:t xml:space="preserve"> (mümkünse yeniden kullanmak için).</w:t>
            </w:r>
          </w:p>
        </w:tc>
        <w:tc>
          <w:tcPr>
            <w:tcW w:w="1033" w:type="pct"/>
            <w:vAlign w:val="center"/>
          </w:tcPr>
          <w:p w14:paraId="6781FD7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NO</w:t>
            </w:r>
            <w:r w:rsidRPr="00F50C10">
              <w:rPr>
                <w:rFonts w:eastAsia="Times New Roman" w:cs="Times New Roman"/>
                <w:szCs w:val="24"/>
                <w:vertAlign w:val="subscript"/>
                <w:lang w:val="tr-TR" w:bidi="tr-TR"/>
              </w:rPr>
              <w:t>X</w:t>
            </w:r>
          </w:p>
        </w:tc>
        <w:tc>
          <w:tcPr>
            <w:tcW w:w="1089" w:type="pct"/>
            <w:vAlign w:val="center"/>
          </w:tcPr>
          <w:p w14:paraId="00E65B69" w14:textId="77777777" w:rsidR="00BB704F" w:rsidRPr="00F50C10" w:rsidRDefault="00BB704F" w:rsidP="000B206D">
            <w:pPr>
              <w:spacing w:before="1" w:line="276" w:lineRule="auto"/>
              <w:ind w:left="108" w:right="108"/>
              <w:rPr>
                <w:rFonts w:eastAsia="Times New Roman" w:cs="Times New Roman"/>
                <w:b/>
                <w:bCs/>
                <w:szCs w:val="24"/>
                <w:lang w:val="tr-TR"/>
              </w:rPr>
            </w:pPr>
            <w:r w:rsidRPr="00F50C10">
              <w:rPr>
                <w:rFonts w:eastAsia="Times New Roman" w:cs="Times New Roman"/>
                <w:szCs w:val="24"/>
                <w:lang w:val="tr-TR" w:bidi="tr-TR"/>
              </w:rPr>
              <w:t>Genel olarak uygulanabilir</w:t>
            </w:r>
          </w:p>
        </w:tc>
      </w:tr>
      <w:tr w:rsidR="00BB704F" w:rsidRPr="00F50C10" w14:paraId="2DFC2E4F" w14:textId="77777777" w:rsidTr="00BB704F">
        <w:trPr>
          <w:trHeight w:val="230"/>
        </w:trPr>
        <w:tc>
          <w:tcPr>
            <w:tcW w:w="125" w:type="pct"/>
            <w:vAlign w:val="center"/>
          </w:tcPr>
          <w:p w14:paraId="59DC95F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327" w:type="pct"/>
            <w:vAlign w:val="center"/>
          </w:tcPr>
          <w:p w14:paraId="7E72101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Takviye yakıtı seçimi</w:t>
            </w:r>
          </w:p>
        </w:tc>
        <w:tc>
          <w:tcPr>
            <w:tcW w:w="1426" w:type="pct"/>
            <w:vAlign w:val="center"/>
          </w:tcPr>
          <w:p w14:paraId="78DF2A8C" w14:textId="4DCAF009" w:rsidR="00BB704F" w:rsidRPr="00F50C10" w:rsidRDefault="0085060A" w:rsidP="000B206D">
            <w:pPr>
              <w:spacing w:line="276" w:lineRule="auto"/>
              <w:ind w:left="108" w:right="108"/>
              <w:rPr>
                <w:rFonts w:eastAsia="Times New Roman" w:cs="Times New Roman"/>
                <w:b/>
                <w:bCs/>
                <w:szCs w:val="24"/>
                <w:lang w:val="tr-TR"/>
              </w:rPr>
            </w:pPr>
            <w:r w:rsidRPr="00F50C10">
              <w:rPr>
                <w:rFonts w:eastAsia="Times New Roman" w:cs="Times New Roman"/>
                <w:i/>
                <w:szCs w:val="24"/>
                <w:lang w:val="tr-TR"/>
              </w:rPr>
              <w:t xml:space="preserve">Detaylı bilgi için </w:t>
            </w:r>
            <w:hyperlink w:anchor="_bookmark802" w:history="1">
              <w:r w:rsidRPr="00F50C10">
                <w:rPr>
                  <w:rFonts w:eastAsia="Times New Roman" w:cs="Times New Roman"/>
                  <w:i/>
                  <w:szCs w:val="24"/>
                  <w:lang w:val="tr-TR" w:bidi="tr-TR"/>
                </w:rPr>
                <w:t>12.</w:t>
              </w:r>
              <w:r w:rsidR="00F35E77" w:rsidRPr="00F50C10">
                <w:rPr>
                  <w:rFonts w:eastAsia="Times New Roman" w:cs="Times New Roman"/>
                  <w:i/>
                  <w:szCs w:val="24"/>
                  <w:lang w:val="tr-TR" w:bidi="tr-TR"/>
                </w:rPr>
                <w:t>3</w:t>
              </w:r>
              <w:r w:rsidRPr="00F50C10">
                <w:rPr>
                  <w:rFonts w:eastAsia="Times New Roman" w:cs="Times New Roman"/>
                  <w:i/>
                  <w:szCs w:val="24"/>
                  <w:lang w:val="tr-TR" w:bidi="tr-TR"/>
                </w:rPr>
                <w:t>.</w:t>
              </w:r>
            </w:hyperlink>
            <w:r w:rsidRPr="00F50C10">
              <w:rPr>
                <w:rFonts w:eastAsia="Times New Roman" w:cs="Times New Roman"/>
                <w:i/>
                <w:szCs w:val="24"/>
                <w:lang w:val="tr-TR" w:bidi="tr-TR"/>
              </w:rPr>
              <w:t xml:space="preserve"> kısmına bakınız.</w:t>
            </w:r>
          </w:p>
        </w:tc>
        <w:tc>
          <w:tcPr>
            <w:tcW w:w="1033" w:type="pct"/>
            <w:vAlign w:val="center"/>
          </w:tcPr>
          <w:p w14:paraId="24703D1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NO</w:t>
            </w:r>
            <w:r w:rsidRPr="00F50C10">
              <w:rPr>
                <w:rFonts w:eastAsia="Times New Roman" w:cs="Times New Roman"/>
                <w:szCs w:val="24"/>
                <w:vertAlign w:val="subscript"/>
                <w:lang w:val="tr-TR" w:bidi="tr-TR"/>
              </w:rPr>
              <w:t>X</w:t>
            </w:r>
            <w:r w:rsidRPr="00F50C10">
              <w:rPr>
                <w:rFonts w:eastAsia="Times New Roman" w:cs="Times New Roman"/>
                <w:szCs w:val="24"/>
                <w:lang w:val="tr-TR" w:bidi="tr-TR"/>
              </w:rPr>
              <w:t>, SO</w:t>
            </w:r>
            <w:r w:rsidRPr="00F50C10">
              <w:rPr>
                <w:rFonts w:eastAsia="Times New Roman" w:cs="Times New Roman"/>
                <w:szCs w:val="24"/>
                <w:vertAlign w:val="subscript"/>
                <w:lang w:val="tr-TR" w:bidi="tr-TR"/>
              </w:rPr>
              <w:t>2</w:t>
            </w:r>
          </w:p>
        </w:tc>
        <w:tc>
          <w:tcPr>
            <w:tcW w:w="1089" w:type="pct"/>
            <w:vAlign w:val="center"/>
          </w:tcPr>
          <w:p w14:paraId="00E3609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39915373" w14:textId="77777777" w:rsidTr="00BB704F">
        <w:trPr>
          <w:trHeight w:val="1149"/>
        </w:trPr>
        <w:tc>
          <w:tcPr>
            <w:tcW w:w="125" w:type="pct"/>
            <w:vAlign w:val="center"/>
          </w:tcPr>
          <w:p w14:paraId="3E8956C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327" w:type="pct"/>
            <w:vAlign w:val="center"/>
          </w:tcPr>
          <w:p w14:paraId="35D3F47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Düşük NO</w:t>
            </w:r>
            <w:r w:rsidRPr="00F50C10">
              <w:rPr>
                <w:rFonts w:eastAsia="Times New Roman" w:cs="Times New Roman"/>
                <w:szCs w:val="24"/>
                <w:vertAlign w:val="subscript"/>
                <w:lang w:val="tr-TR" w:bidi="tr-TR"/>
              </w:rPr>
              <w:t>x</w:t>
            </w:r>
            <w:r w:rsidRPr="00F50C10">
              <w:rPr>
                <w:rFonts w:eastAsia="Times New Roman" w:cs="Times New Roman"/>
                <w:szCs w:val="24"/>
                <w:lang w:val="tr-TR" w:bidi="tr-TR"/>
              </w:rPr>
              <w:t>’li brülörler (LNB)</w:t>
            </w:r>
          </w:p>
        </w:tc>
        <w:tc>
          <w:tcPr>
            <w:tcW w:w="1426" w:type="pct"/>
            <w:vAlign w:val="center"/>
          </w:tcPr>
          <w:p w14:paraId="1F56504D" w14:textId="7D675A7D" w:rsidR="00BB704F" w:rsidRPr="00F50C10" w:rsidRDefault="0085060A" w:rsidP="000B206D">
            <w:pPr>
              <w:spacing w:line="276" w:lineRule="auto"/>
              <w:ind w:left="108" w:right="108"/>
              <w:rPr>
                <w:rFonts w:eastAsia="Times New Roman" w:cs="Times New Roman"/>
                <w:b/>
                <w:bCs/>
                <w:szCs w:val="24"/>
                <w:lang w:val="tr-TR"/>
              </w:rPr>
            </w:pPr>
            <w:r w:rsidRPr="00F50C10">
              <w:rPr>
                <w:rFonts w:eastAsia="Times New Roman" w:cs="Times New Roman"/>
                <w:i/>
                <w:szCs w:val="24"/>
                <w:lang w:val="tr-TR"/>
              </w:rPr>
              <w:t xml:space="preserve">Detaylı bilgi için </w:t>
            </w:r>
            <w:hyperlink w:anchor="_bookmark802" w:history="1">
              <w:r w:rsidRPr="00F50C10">
                <w:rPr>
                  <w:rFonts w:eastAsia="Times New Roman" w:cs="Times New Roman"/>
                  <w:i/>
                  <w:szCs w:val="24"/>
                  <w:lang w:val="tr-TR" w:bidi="tr-TR"/>
                </w:rPr>
                <w:t>12.</w:t>
              </w:r>
              <w:r w:rsidR="00F35E77" w:rsidRPr="00F50C10">
                <w:rPr>
                  <w:rFonts w:eastAsia="Times New Roman" w:cs="Times New Roman"/>
                  <w:i/>
                  <w:szCs w:val="24"/>
                  <w:lang w:val="tr-TR" w:bidi="tr-TR"/>
                </w:rPr>
                <w:t>1</w:t>
              </w:r>
              <w:r w:rsidRPr="00F50C10">
                <w:rPr>
                  <w:rFonts w:eastAsia="Times New Roman" w:cs="Times New Roman"/>
                  <w:i/>
                  <w:szCs w:val="24"/>
                  <w:lang w:val="tr-TR" w:bidi="tr-TR"/>
                </w:rPr>
                <w:t>.</w:t>
              </w:r>
            </w:hyperlink>
            <w:r w:rsidRPr="00F50C10">
              <w:rPr>
                <w:rFonts w:eastAsia="Times New Roman" w:cs="Times New Roman"/>
                <w:i/>
                <w:szCs w:val="24"/>
                <w:lang w:val="tr-TR" w:bidi="tr-TR"/>
              </w:rPr>
              <w:t xml:space="preserve"> kısmına bakınız.</w:t>
            </w:r>
          </w:p>
        </w:tc>
        <w:tc>
          <w:tcPr>
            <w:tcW w:w="1033" w:type="pct"/>
            <w:vAlign w:val="center"/>
          </w:tcPr>
          <w:p w14:paraId="4D534FF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NO</w:t>
            </w:r>
            <w:r w:rsidRPr="00F50C10">
              <w:rPr>
                <w:rFonts w:eastAsia="Times New Roman" w:cs="Times New Roman"/>
                <w:szCs w:val="24"/>
                <w:vertAlign w:val="subscript"/>
                <w:lang w:val="tr-TR" w:bidi="tr-TR"/>
              </w:rPr>
              <w:t>X</w:t>
            </w:r>
          </w:p>
        </w:tc>
        <w:tc>
          <w:tcPr>
            <w:tcW w:w="1089" w:type="pct"/>
            <w:vAlign w:val="center"/>
          </w:tcPr>
          <w:p w14:paraId="1030C20E" w14:textId="77777777" w:rsidR="00BB704F" w:rsidRPr="00F50C10" w:rsidRDefault="00BB704F" w:rsidP="000B206D">
            <w:pPr>
              <w:tabs>
                <w:tab w:val="left" w:pos="1720"/>
              </w:tabs>
              <w:spacing w:line="276" w:lineRule="auto"/>
              <w:ind w:left="108" w:right="108"/>
              <w:rPr>
                <w:rFonts w:eastAsia="Times New Roman" w:cs="Times New Roman"/>
                <w:szCs w:val="24"/>
                <w:lang w:val="tr-TR"/>
              </w:rPr>
            </w:pPr>
            <w:r w:rsidRPr="00F50C10">
              <w:rPr>
                <w:rFonts w:eastAsia="Times New Roman" w:cs="Times New Roman"/>
                <w:szCs w:val="24"/>
                <w:lang w:val="tr-TR" w:bidi="tr-TR"/>
              </w:rPr>
              <w:t>Mevcut birimlere uygulanabilirlik, tasarım ve/veya işletimsel kısıtlamalarla sınırlı olabilir.</w:t>
            </w:r>
          </w:p>
        </w:tc>
      </w:tr>
      <w:tr w:rsidR="00BB704F" w:rsidRPr="00F50C10" w14:paraId="6F1906DF" w14:textId="77777777" w:rsidTr="00BB704F">
        <w:trPr>
          <w:trHeight w:val="1149"/>
        </w:trPr>
        <w:tc>
          <w:tcPr>
            <w:tcW w:w="125" w:type="pct"/>
            <w:vAlign w:val="center"/>
          </w:tcPr>
          <w:p w14:paraId="173B3DBE" w14:textId="010769B8" w:rsidR="00BB704F" w:rsidRPr="00F50C10" w:rsidRDefault="00F35E77"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d</w:t>
            </w:r>
          </w:p>
        </w:tc>
        <w:tc>
          <w:tcPr>
            <w:tcW w:w="1327" w:type="pct"/>
            <w:vAlign w:val="center"/>
          </w:tcPr>
          <w:p w14:paraId="56BC692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Rejeneratif termal oksitleyici (RTO)</w:t>
            </w:r>
          </w:p>
        </w:tc>
        <w:tc>
          <w:tcPr>
            <w:tcW w:w="1426" w:type="pct"/>
            <w:vAlign w:val="center"/>
          </w:tcPr>
          <w:p w14:paraId="1519FF4B" w14:textId="216F4666" w:rsidR="00BB704F" w:rsidRPr="00F50C10" w:rsidRDefault="0085060A" w:rsidP="000B206D">
            <w:pPr>
              <w:spacing w:line="276" w:lineRule="auto"/>
              <w:ind w:left="108" w:right="108"/>
              <w:rPr>
                <w:rFonts w:eastAsia="Times New Roman" w:cs="Times New Roman"/>
                <w:b/>
                <w:bCs/>
                <w:szCs w:val="24"/>
                <w:lang w:val="tr-TR"/>
              </w:rPr>
            </w:pPr>
            <w:r w:rsidRPr="00F50C10">
              <w:rPr>
                <w:rFonts w:eastAsia="Times New Roman" w:cs="Times New Roman"/>
                <w:i/>
                <w:szCs w:val="24"/>
                <w:lang w:val="tr-TR"/>
              </w:rPr>
              <w:t xml:space="preserve">Detaylı bilgi için </w:t>
            </w:r>
            <w:hyperlink w:anchor="_bookmark802" w:history="1">
              <w:r w:rsidRPr="00F50C10">
                <w:rPr>
                  <w:rFonts w:eastAsia="Times New Roman" w:cs="Times New Roman"/>
                  <w:i/>
                  <w:szCs w:val="24"/>
                  <w:lang w:val="tr-TR" w:bidi="tr-TR"/>
                </w:rPr>
                <w:t>12.1.</w:t>
              </w:r>
            </w:hyperlink>
            <w:r w:rsidRPr="00F50C10">
              <w:rPr>
                <w:rFonts w:eastAsia="Times New Roman" w:cs="Times New Roman"/>
                <w:i/>
                <w:szCs w:val="24"/>
                <w:lang w:val="tr-TR" w:bidi="tr-TR"/>
              </w:rPr>
              <w:t xml:space="preserve"> kısmına bakınız.</w:t>
            </w:r>
          </w:p>
        </w:tc>
        <w:tc>
          <w:tcPr>
            <w:tcW w:w="1033" w:type="pct"/>
            <w:vAlign w:val="center"/>
          </w:tcPr>
          <w:p w14:paraId="21638DB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NO</w:t>
            </w:r>
            <w:r w:rsidRPr="00F50C10">
              <w:rPr>
                <w:rFonts w:eastAsia="Times New Roman" w:cs="Times New Roman"/>
                <w:szCs w:val="24"/>
                <w:vertAlign w:val="subscript"/>
                <w:lang w:val="tr-TR" w:bidi="tr-TR"/>
              </w:rPr>
              <w:t>X</w:t>
            </w:r>
          </w:p>
        </w:tc>
        <w:tc>
          <w:tcPr>
            <w:tcW w:w="1089" w:type="pct"/>
            <w:vAlign w:val="center"/>
          </w:tcPr>
          <w:p w14:paraId="0340FC3B" w14:textId="77777777" w:rsidR="00BB704F" w:rsidRPr="00F50C10" w:rsidRDefault="00BB704F" w:rsidP="000B206D">
            <w:pPr>
              <w:tabs>
                <w:tab w:val="left" w:pos="1720"/>
              </w:tabs>
              <w:spacing w:line="276" w:lineRule="auto"/>
              <w:ind w:left="108" w:right="108"/>
              <w:rPr>
                <w:rFonts w:eastAsia="Times New Roman" w:cs="Times New Roman"/>
                <w:szCs w:val="24"/>
                <w:lang w:val="tr-TR"/>
              </w:rPr>
            </w:pPr>
            <w:r w:rsidRPr="00F50C10">
              <w:rPr>
                <w:rFonts w:eastAsia="Times New Roman" w:cs="Times New Roman"/>
                <w:szCs w:val="24"/>
                <w:lang w:val="tr-TR" w:bidi="tr-TR"/>
              </w:rPr>
              <w:t>Mevcut birimlere uygulanabilirlik, tasarım ve/veya operasyonel kısıtlamalar nedeniyle kısıtlanabilir.</w:t>
            </w:r>
          </w:p>
        </w:tc>
      </w:tr>
      <w:tr w:rsidR="00BB704F" w:rsidRPr="00F50C10" w14:paraId="111B1199" w14:textId="77777777" w:rsidTr="00BB704F">
        <w:trPr>
          <w:trHeight w:val="2301"/>
        </w:trPr>
        <w:tc>
          <w:tcPr>
            <w:tcW w:w="125" w:type="pct"/>
            <w:vAlign w:val="center"/>
          </w:tcPr>
          <w:p w14:paraId="2E2995F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e</w:t>
            </w:r>
          </w:p>
        </w:tc>
        <w:tc>
          <w:tcPr>
            <w:tcW w:w="1327" w:type="pct"/>
            <w:vAlign w:val="center"/>
          </w:tcPr>
          <w:p w14:paraId="0C6C214B" w14:textId="77777777" w:rsidR="00BB704F" w:rsidRPr="00F50C10" w:rsidRDefault="00BB704F" w:rsidP="000B206D">
            <w:pPr>
              <w:spacing w:before="156" w:line="276" w:lineRule="auto"/>
              <w:ind w:left="108" w:right="108"/>
              <w:rPr>
                <w:rFonts w:eastAsia="Times New Roman" w:cs="Times New Roman"/>
                <w:szCs w:val="24"/>
                <w:lang w:val="tr-TR"/>
              </w:rPr>
            </w:pPr>
            <w:r w:rsidRPr="00F50C10">
              <w:rPr>
                <w:rFonts w:eastAsia="Times New Roman" w:cs="Times New Roman"/>
                <w:szCs w:val="24"/>
                <w:lang w:val="tr-TR" w:bidi="tr-TR"/>
              </w:rPr>
              <w:t>Yakma optimizasyonu</w:t>
            </w:r>
          </w:p>
        </w:tc>
        <w:tc>
          <w:tcPr>
            <w:tcW w:w="1426" w:type="pct"/>
            <w:vAlign w:val="center"/>
          </w:tcPr>
          <w:p w14:paraId="2B4602EE" w14:textId="77777777" w:rsidR="00BB704F" w:rsidRPr="00F50C10" w:rsidRDefault="00BB704F" w:rsidP="000B206D">
            <w:pPr>
              <w:tabs>
                <w:tab w:val="left" w:pos="1540"/>
                <w:tab w:val="left" w:pos="2029"/>
              </w:tabs>
              <w:spacing w:line="276" w:lineRule="auto"/>
              <w:ind w:left="108" w:right="108"/>
              <w:rPr>
                <w:rFonts w:eastAsia="Times New Roman" w:cs="Times New Roman"/>
                <w:szCs w:val="24"/>
                <w:lang w:val="tr-TR"/>
              </w:rPr>
            </w:pPr>
            <w:r w:rsidRPr="00F50C10">
              <w:rPr>
                <w:rFonts w:eastAsia="Times New Roman" w:cs="Times New Roman"/>
                <w:szCs w:val="24"/>
                <w:lang w:val="tr-TR" w:bidi="tr-TR"/>
              </w:rPr>
              <w:t>CO ve NO</w:t>
            </w:r>
            <w:r w:rsidRPr="00F50C10">
              <w:rPr>
                <w:rFonts w:eastAsia="Times New Roman" w:cs="Times New Roman"/>
                <w:szCs w:val="24"/>
                <w:vertAlign w:val="subscript"/>
                <w:lang w:val="tr-TR" w:bidi="tr-TR"/>
              </w:rPr>
              <w:t>X</w:t>
            </w:r>
            <w:r w:rsidRPr="00F50C10">
              <w:rPr>
                <w:rFonts w:eastAsia="Times New Roman" w:cs="Times New Roman"/>
                <w:szCs w:val="24"/>
                <w:lang w:val="tr-TR" w:bidi="tr-TR"/>
              </w:rPr>
              <w:t>'in havaya emisyonlarını en aza indirirken organik bileşiklerin uzaklaştırılmasını en üst düzeye çıkarmak için kullanılan tasarım ve işletim teknikleri (örneğin, sıcaklık ve kalma süresi gibi yanma parametrelerini kontrol ederek)</w:t>
            </w:r>
          </w:p>
        </w:tc>
        <w:tc>
          <w:tcPr>
            <w:tcW w:w="1033" w:type="pct"/>
            <w:vAlign w:val="center"/>
          </w:tcPr>
          <w:p w14:paraId="37EB1F4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CO, NO</w:t>
            </w:r>
            <w:r w:rsidRPr="00F50C10">
              <w:rPr>
                <w:rFonts w:eastAsia="Times New Roman" w:cs="Times New Roman"/>
                <w:szCs w:val="24"/>
                <w:vertAlign w:val="subscript"/>
                <w:lang w:val="tr-TR" w:bidi="tr-TR"/>
              </w:rPr>
              <w:t>X</w:t>
            </w:r>
          </w:p>
        </w:tc>
        <w:tc>
          <w:tcPr>
            <w:tcW w:w="1089" w:type="pct"/>
            <w:vAlign w:val="center"/>
          </w:tcPr>
          <w:p w14:paraId="521BD72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2B174AB3" w14:textId="77777777" w:rsidTr="00BB704F">
        <w:trPr>
          <w:trHeight w:val="918"/>
        </w:trPr>
        <w:tc>
          <w:tcPr>
            <w:tcW w:w="125" w:type="pct"/>
            <w:vAlign w:val="center"/>
          </w:tcPr>
          <w:p w14:paraId="567EE72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f</w:t>
            </w:r>
          </w:p>
        </w:tc>
        <w:tc>
          <w:tcPr>
            <w:tcW w:w="1327" w:type="pct"/>
            <w:vAlign w:val="center"/>
          </w:tcPr>
          <w:p w14:paraId="5D76DBC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Seçici katalitik indirgeme (SCR)</w:t>
            </w:r>
          </w:p>
        </w:tc>
        <w:tc>
          <w:tcPr>
            <w:tcW w:w="1426" w:type="pct"/>
            <w:vAlign w:val="center"/>
          </w:tcPr>
          <w:p w14:paraId="33DAFB06" w14:textId="039BF322" w:rsidR="00BB704F" w:rsidRPr="00F50C10" w:rsidRDefault="0085060A" w:rsidP="000B206D">
            <w:pPr>
              <w:spacing w:line="276" w:lineRule="auto"/>
              <w:ind w:left="108" w:right="108"/>
              <w:rPr>
                <w:rFonts w:eastAsia="Times New Roman" w:cs="Times New Roman"/>
                <w:szCs w:val="24"/>
                <w:lang w:val="tr-TR"/>
              </w:rPr>
            </w:pPr>
            <w:r w:rsidRPr="00F50C10">
              <w:rPr>
                <w:rFonts w:eastAsia="Times New Roman" w:cs="Times New Roman"/>
                <w:i/>
                <w:szCs w:val="24"/>
                <w:lang w:val="tr-TR"/>
              </w:rPr>
              <w:t xml:space="preserve">Detaylı bilgi için </w:t>
            </w:r>
            <w:hyperlink w:anchor="_bookmark802" w:history="1">
              <w:r w:rsidRPr="00F50C10">
                <w:rPr>
                  <w:rFonts w:eastAsia="Times New Roman" w:cs="Times New Roman"/>
                  <w:i/>
                  <w:szCs w:val="24"/>
                  <w:lang w:val="tr-TR" w:bidi="tr-TR"/>
                </w:rPr>
                <w:t>12.1.</w:t>
              </w:r>
            </w:hyperlink>
            <w:r w:rsidRPr="00F50C10">
              <w:rPr>
                <w:rFonts w:eastAsia="Times New Roman" w:cs="Times New Roman"/>
                <w:i/>
                <w:szCs w:val="24"/>
                <w:lang w:val="tr-TR" w:bidi="tr-TR"/>
              </w:rPr>
              <w:t xml:space="preserve"> kısmına bakınız.</w:t>
            </w:r>
          </w:p>
        </w:tc>
        <w:tc>
          <w:tcPr>
            <w:tcW w:w="1033" w:type="pct"/>
            <w:vAlign w:val="center"/>
          </w:tcPr>
          <w:p w14:paraId="72DCEDD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NO</w:t>
            </w:r>
            <w:r w:rsidRPr="00F50C10">
              <w:rPr>
                <w:rFonts w:eastAsia="Times New Roman" w:cs="Times New Roman"/>
                <w:szCs w:val="24"/>
                <w:vertAlign w:val="subscript"/>
                <w:lang w:val="tr-TR" w:bidi="tr-TR"/>
              </w:rPr>
              <w:t>X</w:t>
            </w:r>
          </w:p>
        </w:tc>
        <w:tc>
          <w:tcPr>
            <w:tcW w:w="1089" w:type="pct"/>
            <w:vAlign w:val="center"/>
          </w:tcPr>
          <w:p w14:paraId="209C668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Mevcut birimlere uygulanabilirlik, alan kullanılabilirliği ile kısıtlanabilir</w:t>
            </w:r>
          </w:p>
        </w:tc>
      </w:tr>
      <w:tr w:rsidR="00BB704F" w:rsidRPr="00F50C10" w14:paraId="38C17243" w14:textId="77777777" w:rsidTr="00BB704F">
        <w:trPr>
          <w:trHeight w:val="1379"/>
        </w:trPr>
        <w:tc>
          <w:tcPr>
            <w:tcW w:w="125" w:type="pct"/>
            <w:vAlign w:val="center"/>
          </w:tcPr>
          <w:p w14:paraId="37998B3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g</w:t>
            </w:r>
          </w:p>
        </w:tc>
        <w:tc>
          <w:tcPr>
            <w:tcW w:w="1327" w:type="pct"/>
            <w:vAlign w:val="center"/>
          </w:tcPr>
          <w:p w14:paraId="187DD2A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Seçici katalitik olmayan indirgeme (SNCR)</w:t>
            </w:r>
          </w:p>
        </w:tc>
        <w:tc>
          <w:tcPr>
            <w:tcW w:w="1426" w:type="pct"/>
            <w:vAlign w:val="center"/>
          </w:tcPr>
          <w:p w14:paraId="2E075A8A" w14:textId="3940C37B" w:rsidR="00BB704F" w:rsidRPr="00F50C10" w:rsidRDefault="0085060A" w:rsidP="000B206D">
            <w:pPr>
              <w:spacing w:before="1" w:line="276" w:lineRule="auto"/>
              <w:ind w:left="108" w:right="108"/>
              <w:rPr>
                <w:rFonts w:eastAsia="Times New Roman" w:cs="Times New Roman"/>
                <w:szCs w:val="24"/>
                <w:lang w:val="tr-TR"/>
              </w:rPr>
            </w:pPr>
            <w:r w:rsidRPr="00F50C10">
              <w:rPr>
                <w:rFonts w:eastAsia="Times New Roman" w:cs="Times New Roman"/>
                <w:i/>
                <w:szCs w:val="24"/>
                <w:lang w:val="tr-TR"/>
              </w:rPr>
              <w:t xml:space="preserve">Detaylı bilgi için </w:t>
            </w:r>
            <w:hyperlink w:anchor="_bookmark802" w:history="1">
              <w:r w:rsidRPr="00F50C10">
                <w:rPr>
                  <w:rFonts w:eastAsia="Times New Roman" w:cs="Times New Roman"/>
                  <w:i/>
                  <w:szCs w:val="24"/>
                  <w:lang w:val="tr-TR" w:bidi="tr-TR"/>
                </w:rPr>
                <w:t>12.1.</w:t>
              </w:r>
            </w:hyperlink>
            <w:r w:rsidRPr="00F50C10">
              <w:rPr>
                <w:rFonts w:eastAsia="Times New Roman" w:cs="Times New Roman"/>
                <w:i/>
                <w:szCs w:val="24"/>
                <w:lang w:val="tr-TR" w:bidi="tr-TR"/>
              </w:rPr>
              <w:t xml:space="preserve"> kısmına bakınız.</w:t>
            </w:r>
          </w:p>
        </w:tc>
        <w:tc>
          <w:tcPr>
            <w:tcW w:w="1033" w:type="pct"/>
            <w:vAlign w:val="center"/>
          </w:tcPr>
          <w:p w14:paraId="6B291C00" w14:textId="77777777" w:rsidR="00BB704F" w:rsidRPr="00F50C10" w:rsidRDefault="00BB704F" w:rsidP="000B206D">
            <w:pPr>
              <w:spacing w:before="1" w:line="276" w:lineRule="auto"/>
              <w:ind w:left="108" w:right="108"/>
              <w:rPr>
                <w:rFonts w:eastAsia="Times New Roman" w:cs="Times New Roman"/>
                <w:szCs w:val="24"/>
                <w:lang w:val="tr-TR"/>
              </w:rPr>
            </w:pPr>
            <w:r w:rsidRPr="00F50C10">
              <w:rPr>
                <w:rFonts w:eastAsia="Times New Roman" w:cs="Times New Roman"/>
                <w:szCs w:val="24"/>
                <w:lang w:val="tr-TR" w:bidi="tr-TR"/>
              </w:rPr>
              <w:t>NO</w:t>
            </w:r>
            <w:r w:rsidRPr="00F50C10">
              <w:rPr>
                <w:rFonts w:eastAsia="Times New Roman" w:cs="Times New Roman"/>
                <w:szCs w:val="24"/>
                <w:vertAlign w:val="subscript"/>
                <w:lang w:val="tr-TR" w:bidi="tr-TR"/>
              </w:rPr>
              <w:t>X</w:t>
            </w:r>
          </w:p>
        </w:tc>
        <w:tc>
          <w:tcPr>
            <w:tcW w:w="1089" w:type="pct"/>
            <w:vAlign w:val="center"/>
          </w:tcPr>
          <w:p w14:paraId="23240ADC" w14:textId="77777777" w:rsidR="00BB704F" w:rsidRPr="00F50C10" w:rsidRDefault="00BB704F" w:rsidP="000B206D">
            <w:pPr>
              <w:tabs>
                <w:tab w:val="left" w:pos="1521"/>
                <w:tab w:val="left" w:pos="1720"/>
              </w:tabs>
              <w:spacing w:line="276" w:lineRule="auto"/>
              <w:ind w:left="108" w:right="108"/>
              <w:rPr>
                <w:rFonts w:eastAsia="Times New Roman" w:cs="Times New Roman"/>
                <w:szCs w:val="24"/>
                <w:lang w:val="tr-TR"/>
              </w:rPr>
            </w:pPr>
            <w:r w:rsidRPr="00F50C10">
              <w:rPr>
                <w:rFonts w:eastAsia="Times New Roman" w:cs="Times New Roman"/>
                <w:szCs w:val="24"/>
                <w:lang w:val="tr-TR" w:bidi="tr-TR"/>
              </w:rPr>
              <w:t>Mevcut birimlere uygulanabilirlik, reaksiyon için gereken kalma süresi ile kısıtlanabilir.</w:t>
            </w:r>
          </w:p>
        </w:tc>
      </w:tr>
    </w:tbl>
    <w:p w14:paraId="482C222A" w14:textId="77777777" w:rsidR="00BB704F" w:rsidRPr="00F50C10" w:rsidRDefault="00BB704F" w:rsidP="000B206D">
      <w:pPr>
        <w:keepNext/>
        <w:keepLines/>
        <w:widowControl w:val="0"/>
        <w:numPr>
          <w:ilvl w:val="1"/>
          <w:numId w:val="18"/>
        </w:numPr>
        <w:autoSpaceDE w:val="0"/>
        <w:autoSpaceDN w:val="0"/>
        <w:spacing w:before="240" w:after="60" w:line="276" w:lineRule="auto"/>
        <w:jc w:val="left"/>
        <w:outlineLvl w:val="1"/>
        <w:rPr>
          <w:rFonts w:eastAsia="Times New Roman" w:cs="Times New Roman"/>
          <w:b/>
          <w:bCs/>
          <w:szCs w:val="24"/>
          <w:lang w:val="tr-TR" w:bidi="tr-TR"/>
        </w:rPr>
      </w:pPr>
      <w:bookmarkStart w:id="17" w:name="_Toc136613699"/>
      <w:r w:rsidRPr="00F50C10">
        <w:rPr>
          <w:rFonts w:eastAsia="Times New Roman" w:cs="Times New Roman"/>
          <w:b/>
          <w:bCs/>
          <w:szCs w:val="24"/>
          <w:lang w:val="tr-TR" w:bidi="tr-TR"/>
        </w:rPr>
        <w:t>Suya Deşarjlar</w:t>
      </w:r>
      <w:bookmarkEnd w:id="17"/>
    </w:p>
    <w:p w14:paraId="6027926D" w14:textId="136EE3B4" w:rsidR="00BB704F" w:rsidRPr="00F50C10" w:rsidRDefault="00BB704F" w:rsidP="000B206D">
      <w:pPr>
        <w:widowControl w:val="0"/>
        <w:autoSpaceDE w:val="0"/>
        <w:autoSpaceDN w:val="0"/>
        <w:spacing w:before="240" w:line="276" w:lineRule="auto"/>
        <w:ind w:right="72"/>
        <w:rPr>
          <w:rFonts w:eastAsia="Times New Roman" w:cs="Times New Roman"/>
          <w:bCs/>
          <w:szCs w:val="24"/>
          <w:lang w:val="tr-TR"/>
        </w:rPr>
      </w:pPr>
      <w:r w:rsidRPr="00F50C10">
        <w:rPr>
          <w:rFonts w:eastAsia="Times New Roman" w:cs="Times New Roman"/>
          <w:b/>
          <w:bCs/>
          <w:szCs w:val="24"/>
          <w:lang w:val="tr-TR"/>
        </w:rPr>
        <w:t xml:space="preserve">MET 14: </w:t>
      </w:r>
      <w:r w:rsidRPr="00F50C10">
        <w:rPr>
          <w:rFonts w:eastAsia="Times New Roman" w:cs="Times New Roman"/>
          <w:bCs/>
          <w:szCs w:val="24"/>
          <w:lang w:val="tr-TR"/>
        </w:rPr>
        <w:t xml:space="preserve">Atık su hacmini, uygun bir son arıtmaya (tipik olarak biyolojik arıtma) boşaltılan kirletici yüklerini ve suya deşarjları azaltmak için prosese entegre tekniklerin, kirleticilerin kaynağında azaltılmasına yönelik tekniklerin ve </w:t>
      </w:r>
      <w:r w:rsidR="0085060A" w:rsidRPr="00F50C10">
        <w:rPr>
          <w:rFonts w:eastAsia="Times New Roman" w:cs="Times New Roman"/>
          <w:bCs/>
          <w:szCs w:val="24"/>
          <w:lang w:val="tr-TR"/>
        </w:rPr>
        <w:t>Diğer Üretim Faaliyetlerinde Mevcut En İyi Teknikler Tebliği</w:t>
      </w:r>
      <w:r w:rsidR="0077229E" w:rsidRPr="00F50C10">
        <w:rPr>
          <w:rFonts w:eastAsia="Times New Roman" w:cs="Times New Roman"/>
          <w:bCs/>
          <w:szCs w:val="24"/>
          <w:lang w:val="tr-TR"/>
        </w:rPr>
        <w:t xml:space="preserve"> </w:t>
      </w:r>
      <w:r w:rsidR="0085060A" w:rsidRPr="00F50C10">
        <w:rPr>
          <w:rFonts w:eastAsia="Times New Roman" w:cs="Times New Roman"/>
          <w:bCs/>
          <w:szCs w:val="24"/>
          <w:lang w:val="tr-TR"/>
        </w:rPr>
        <w:t>- Ortak</w:t>
      </w:r>
      <w:r w:rsidR="00615133" w:rsidRPr="00F50C10">
        <w:rPr>
          <w:rFonts w:eastAsia="Times New Roman" w:cs="Times New Roman"/>
          <w:bCs/>
          <w:szCs w:val="24"/>
          <w:lang w:val="tr-TR"/>
        </w:rPr>
        <w:t xml:space="preserve"> ve </w:t>
      </w:r>
      <w:r w:rsidR="0085060A" w:rsidRPr="00F50C10">
        <w:rPr>
          <w:rFonts w:eastAsia="Times New Roman" w:cs="Times New Roman"/>
          <w:bCs/>
          <w:szCs w:val="24"/>
          <w:lang w:val="tr-TR"/>
        </w:rPr>
        <w:t>Bağımsız Atık</w:t>
      </w:r>
      <w:r w:rsidR="00615133" w:rsidRPr="00F50C10">
        <w:rPr>
          <w:rFonts w:eastAsia="Times New Roman" w:cs="Times New Roman"/>
          <w:bCs/>
          <w:szCs w:val="24"/>
          <w:lang w:val="tr-TR"/>
        </w:rPr>
        <w:t>s</w:t>
      </w:r>
      <w:r w:rsidR="0085060A" w:rsidRPr="00F50C10">
        <w:rPr>
          <w:rFonts w:eastAsia="Times New Roman" w:cs="Times New Roman"/>
          <w:bCs/>
          <w:szCs w:val="24"/>
          <w:lang w:val="tr-TR"/>
        </w:rPr>
        <w:t xml:space="preserve">u Arıtma Tesisleri </w:t>
      </w:r>
      <w:r w:rsidR="0077229E" w:rsidRPr="00F50C10">
        <w:rPr>
          <w:rFonts w:eastAsia="Times New Roman" w:cs="Times New Roman"/>
          <w:bCs/>
          <w:szCs w:val="24"/>
          <w:lang w:val="tr-TR"/>
        </w:rPr>
        <w:t xml:space="preserve">belgesinde </w:t>
      </w:r>
      <w:r w:rsidRPr="00F50C10">
        <w:rPr>
          <w:rFonts w:eastAsia="Times New Roman" w:cs="Times New Roman"/>
          <w:bCs/>
          <w:szCs w:val="24"/>
          <w:lang w:val="tr-TR"/>
        </w:rPr>
        <w:t xml:space="preserve">belirtilen atık su envanteri ile sağlanan bilgileri temel alan ön arıtma tekniklerinin uygun bir kombinasyonundan oluşan, entegre bir atık su </w:t>
      </w:r>
      <w:r w:rsidR="0085060A" w:rsidRPr="00F50C10">
        <w:rPr>
          <w:rFonts w:eastAsia="Times New Roman" w:cs="Times New Roman"/>
          <w:bCs/>
          <w:szCs w:val="24"/>
          <w:lang w:val="tr-TR"/>
        </w:rPr>
        <w:t>yönetimi ve arıtma stratejisi</w:t>
      </w:r>
      <w:r w:rsidRPr="00F50C10">
        <w:rPr>
          <w:rFonts w:eastAsia="Times New Roman" w:cs="Times New Roman"/>
          <w:bCs/>
          <w:szCs w:val="24"/>
          <w:lang w:val="tr-TR"/>
        </w:rPr>
        <w:t xml:space="preserve"> </w:t>
      </w:r>
      <w:r w:rsidR="00F35E77" w:rsidRPr="00F50C10">
        <w:rPr>
          <w:rFonts w:eastAsia="Times New Roman" w:cs="Times New Roman"/>
          <w:bCs/>
          <w:szCs w:val="24"/>
          <w:lang w:val="tr-TR"/>
        </w:rPr>
        <w:t>uygulanır</w:t>
      </w:r>
      <w:r w:rsidRPr="00F50C10">
        <w:rPr>
          <w:rFonts w:eastAsia="Times New Roman" w:cs="Times New Roman"/>
          <w:bCs/>
          <w:szCs w:val="24"/>
          <w:lang w:val="tr-TR"/>
        </w:rPr>
        <w:t>.</w:t>
      </w:r>
    </w:p>
    <w:p w14:paraId="69295263" w14:textId="77777777" w:rsidR="00BB704F" w:rsidRPr="00F50C10" w:rsidRDefault="00BB704F" w:rsidP="000B206D">
      <w:pPr>
        <w:keepNext/>
        <w:keepLines/>
        <w:widowControl w:val="0"/>
        <w:numPr>
          <w:ilvl w:val="1"/>
          <w:numId w:val="18"/>
        </w:numPr>
        <w:autoSpaceDE w:val="0"/>
        <w:autoSpaceDN w:val="0"/>
        <w:spacing w:before="240" w:after="60" w:line="276" w:lineRule="auto"/>
        <w:jc w:val="left"/>
        <w:outlineLvl w:val="1"/>
        <w:rPr>
          <w:rFonts w:eastAsia="Calibri" w:cs="Times New Roman"/>
          <w:b/>
          <w:bCs/>
          <w:szCs w:val="24"/>
        </w:rPr>
      </w:pPr>
      <w:bookmarkStart w:id="18" w:name="_Toc136613700"/>
      <w:r w:rsidRPr="00F50C10">
        <w:rPr>
          <w:rFonts w:eastAsia="Times New Roman" w:cs="Times New Roman"/>
          <w:b/>
          <w:bCs/>
          <w:szCs w:val="24"/>
          <w:lang w:val="tr-TR" w:bidi="tr-TR"/>
        </w:rPr>
        <w:t>Kaynak Verimliği</w:t>
      </w:r>
      <w:bookmarkEnd w:id="18"/>
    </w:p>
    <w:p w14:paraId="714A844B" w14:textId="7BBB6129"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15: </w:t>
      </w:r>
      <w:r w:rsidRPr="00F50C10">
        <w:rPr>
          <w:rFonts w:eastAsia="Times New Roman" w:cs="Times New Roman"/>
          <w:bCs/>
          <w:szCs w:val="24"/>
          <w:lang w:val="tr-TR"/>
        </w:rPr>
        <w:t>Katalizör kullanırken kaynak verimliliğini artırmak için aşağıda verilen tekniklerin bir kombinasyonunu kullan</w:t>
      </w:r>
      <w:r w:rsidR="0085060A" w:rsidRPr="00F50C10">
        <w:rPr>
          <w:rFonts w:eastAsia="Times New Roman" w:cs="Times New Roman"/>
          <w:bCs/>
          <w:szCs w:val="24"/>
          <w:lang w:val="tr-TR"/>
        </w:rPr>
        <w:t>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1"/>
        <w:gridCol w:w="2758"/>
        <w:gridCol w:w="5368"/>
      </w:tblGrid>
      <w:tr w:rsidR="00BB704F" w:rsidRPr="00F50C10" w14:paraId="02663D79" w14:textId="77777777" w:rsidTr="00BB704F">
        <w:trPr>
          <w:trHeight w:val="230"/>
          <w:tblHeader/>
        </w:trPr>
        <w:tc>
          <w:tcPr>
            <w:tcW w:w="218" w:type="pct"/>
            <w:tcBorders>
              <w:top w:val="single" w:sz="4" w:space="0" w:color="auto"/>
              <w:right w:val="single" w:sz="4" w:space="0" w:color="auto"/>
            </w:tcBorders>
          </w:tcPr>
          <w:p w14:paraId="52C21367" w14:textId="77777777" w:rsidR="00BB704F" w:rsidRPr="00F50C10" w:rsidRDefault="00BB704F" w:rsidP="000B206D">
            <w:pPr>
              <w:spacing w:line="276" w:lineRule="auto"/>
              <w:ind w:right="1107"/>
              <w:jc w:val="center"/>
              <w:rPr>
                <w:rFonts w:eastAsia="Times New Roman" w:cs="Times New Roman"/>
                <w:b/>
                <w:szCs w:val="24"/>
                <w:lang w:val="tr-TR"/>
              </w:rPr>
            </w:pPr>
          </w:p>
        </w:tc>
        <w:tc>
          <w:tcPr>
            <w:tcW w:w="1623" w:type="pct"/>
            <w:tcBorders>
              <w:top w:val="single" w:sz="4" w:space="0" w:color="auto"/>
              <w:left w:val="single" w:sz="4" w:space="0" w:color="auto"/>
            </w:tcBorders>
          </w:tcPr>
          <w:p w14:paraId="7A6F2E75"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3158" w:type="pct"/>
          </w:tcPr>
          <w:p w14:paraId="165628C1"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r>
      <w:tr w:rsidR="00BB704F" w:rsidRPr="00F50C10" w14:paraId="4AC86BA2" w14:textId="77777777" w:rsidTr="00BB704F">
        <w:trPr>
          <w:trHeight w:val="1379"/>
        </w:trPr>
        <w:tc>
          <w:tcPr>
            <w:tcW w:w="218" w:type="pct"/>
            <w:tcBorders>
              <w:right w:val="single" w:sz="4" w:space="0" w:color="auto"/>
            </w:tcBorders>
            <w:vAlign w:val="center"/>
          </w:tcPr>
          <w:p w14:paraId="2750F7C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623" w:type="pct"/>
            <w:tcBorders>
              <w:left w:val="single" w:sz="4" w:space="0" w:color="auto"/>
            </w:tcBorders>
            <w:vAlign w:val="center"/>
          </w:tcPr>
          <w:p w14:paraId="683DE58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Katalizör seçimi</w:t>
            </w:r>
          </w:p>
        </w:tc>
        <w:tc>
          <w:tcPr>
            <w:tcW w:w="3158" w:type="pct"/>
            <w:vAlign w:val="center"/>
          </w:tcPr>
          <w:p w14:paraId="299A8BC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Katalizör seçiminin aşağıdaki faktörler arasında optimum dengeyi sağlayacak şekilde gerçekleştirilmesi:</w:t>
            </w:r>
          </w:p>
          <w:p w14:paraId="28F08205" w14:textId="77777777" w:rsidR="00BB704F" w:rsidRPr="00F50C10" w:rsidRDefault="00BB704F" w:rsidP="000B206D">
            <w:pPr>
              <w:numPr>
                <w:ilvl w:val="0"/>
                <w:numId w:val="11"/>
              </w:numPr>
              <w:tabs>
                <w:tab w:val="left" w:pos="223"/>
              </w:tabs>
              <w:spacing w:line="276" w:lineRule="auto"/>
              <w:ind w:left="224" w:right="108"/>
              <w:jc w:val="left"/>
              <w:rPr>
                <w:rFonts w:eastAsia="Times New Roman" w:cs="Times New Roman"/>
                <w:szCs w:val="24"/>
                <w:lang w:val="tr-TR"/>
              </w:rPr>
            </w:pPr>
            <w:r w:rsidRPr="00F50C10">
              <w:rPr>
                <w:rFonts w:eastAsia="Times New Roman" w:cs="Times New Roman"/>
                <w:szCs w:val="24"/>
                <w:lang w:val="tr-TR" w:bidi="tr-TR"/>
              </w:rPr>
              <w:t>katalizör aktivitesi;</w:t>
            </w:r>
          </w:p>
          <w:p w14:paraId="2DB8CCEA" w14:textId="77777777" w:rsidR="00BB704F" w:rsidRPr="00F50C10" w:rsidRDefault="00BB704F" w:rsidP="000B206D">
            <w:pPr>
              <w:numPr>
                <w:ilvl w:val="0"/>
                <w:numId w:val="11"/>
              </w:numPr>
              <w:tabs>
                <w:tab w:val="left" w:pos="223"/>
              </w:tabs>
              <w:spacing w:line="276" w:lineRule="auto"/>
              <w:ind w:left="224" w:right="108"/>
              <w:jc w:val="left"/>
              <w:rPr>
                <w:rFonts w:eastAsia="Times New Roman" w:cs="Times New Roman"/>
                <w:szCs w:val="24"/>
                <w:lang w:val="tr-TR"/>
              </w:rPr>
            </w:pPr>
            <w:r w:rsidRPr="00F50C10">
              <w:rPr>
                <w:rFonts w:eastAsia="Times New Roman" w:cs="Times New Roman"/>
                <w:szCs w:val="24"/>
                <w:lang w:val="tr-TR" w:bidi="tr-TR"/>
              </w:rPr>
              <w:t>katalizör seçiciliği;</w:t>
            </w:r>
          </w:p>
          <w:p w14:paraId="2599F158" w14:textId="77777777" w:rsidR="00BB704F" w:rsidRPr="00F50C10" w:rsidRDefault="00BB704F" w:rsidP="000B206D">
            <w:pPr>
              <w:numPr>
                <w:ilvl w:val="0"/>
                <w:numId w:val="11"/>
              </w:numPr>
              <w:tabs>
                <w:tab w:val="left" w:pos="223"/>
              </w:tabs>
              <w:spacing w:line="276" w:lineRule="auto"/>
              <w:ind w:left="224" w:right="108"/>
              <w:jc w:val="left"/>
              <w:rPr>
                <w:rFonts w:eastAsia="Times New Roman" w:cs="Times New Roman"/>
                <w:szCs w:val="24"/>
                <w:lang w:val="tr-TR"/>
              </w:rPr>
            </w:pPr>
            <w:r w:rsidRPr="00F50C10">
              <w:rPr>
                <w:rFonts w:eastAsia="Times New Roman" w:cs="Times New Roman"/>
                <w:szCs w:val="24"/>
                <w:lang w:val="tr-TR" w:bidi="tr-TR"/>
              </w:rPr>
              <w:t>katalizör ömrü (örn. katalizör zehirlerine karşı savunmasızlık);</w:t>
            </w:r>
          </w:p>
          <w:p w14:paraId="1DCC899F" w14:textId="77777777" w:rsidR="00BB704F" w:rsidRPr="00F50C10" w:rsidRDefault="00BB704F" w:rsidP="000B206D">
            <w:pPr>
              <w:numPr>
                <w:ilvl w:val="0"/>
                <w:numId w:val="11"/>
              </w:numPr>
              <w:tabs>
                <w:tab w:val="left" w:pos="223"/>
              </w:tabs>
              <w:spacing w:line="276" w:lineRule="auto"/>
              <w:ind w:left="224" w:right="108"/>
              <w:jc w:val="left"/>
              <w:rPr>
                <w:rFonts w:eastAsia="Times New Roman" w:cs="Times New Roman"/>
                <w:szCs w:val="24"/>
                <w:lang w:val="tr-TR"/>
              </w:rPr>
            </w:pPr>
            <w:r w:rsidRPr="00F50C10">
              <w:rPr>
                <w:rFonts w:eastAsia="Times New Roman" w:cs="Times New Roman"/>
                <w:szCs w:val="24"/>
                <w:lang w:val="tr-TR" w:bidi="tr-TR"/>
              </w:rPr>
              <w:t>daha az toksik metal kullanımı.</w:t>
            </w:r>
          </w:p>
        </w:tc>
      </w:tr>
      <w:tr w:rsidR="00BB704F" w:rsidRPr="00F50C10" w14:paraId="7BE7972E" w14:textId="77777777" w:rsidTr="00BB704F">
        <w:trPr>
          <w:trHeight w:val="460"/>
        </w:trPr>
        <w:tc>
          <w:tcPr>
            <w:tcW w:w="218" w:type="pct"/>
            <w:vAlign w:val="center"/>
          </w:tcPr>
          <w:p w14:paraId="05D5FBA6" w14:textId="77777777" w:rsidR="00BB704F" w:rsidRPr="00F50C10" w:rsidRDefault="00BB704F" w:rsidP="000B206D">
            <w:pPr>
              <w:spacing w:before="108"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623" w:type="pct"/>
            <w:vAlign w:val="center"/>
          </w:tcPr>
          <w:p w14:paraId="7D23C1F4" w14:textId="77777777" w:rsidR="00BB704F" w:rsidRPr="00F50C10" w:rsidRDefault="00BB704F" w:rsidP="000B206D">
            <w:pPr>
              <w:spacing w:before="108" w:line="276" w:lineRule="auto"/>
              <w:ind w:left="108" w:right="108"/>
              <w:rPr>
                <w:rFonts w:eastAsia="Times New Roman" w:cs="Times New Roman"/>
                <w:szCs w:val="24"/>
                <w:lang w:val="tr-TR"/>
              </w:rPr>
            </w:pPr>
            <w:r w:rsidRPr="00F50C10">
              <w:rPr>
                <w:rFonts w:eastAsia="Times New Roman" w:cs="Times New Roman"/>
                <w:szCs w:val="24"/>
                <w:lang w:val="tr-TR" w:bidi="tr-TR"/>
              </w:rPr>
              <w:t>Katalizör koruması</w:t>
            </w:r>
          </w:p>
        </w:tc>
        <w:tc>
          <w:tcPr>
            <w:tcW w:w="3158" w:type="pct"/>
            <w:vAlign w:val="center"/>
          </w:tcPr>
          <w:p w14:paraId="5FD4A5C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Katalizörün yukarısında onu zehirlerden korumak için kullanılan teknikler (örneğin ham madde ön arıtması)</w:t>
            </w:r>
          </w:p>
        </w:tc>
      </w:tr>
      <w:tr w:rsidR="00BB704F" w:rsidRPr="00F50C10" w14:paraId="1DC7D71A" w14:textId="77777777" w:rsidTr="00BB704F">
        <w:trPr>
          <w:trHeight w:val="688"/>
        </w:trPr>
        <w:tc>
          <w:tcPr>
            <w:tcW w:w="218" w:type="pct"/>
            <w:vAlign w:val="center"/>
          </w:tcPr>
          <w:p w14:paraId="7E9FB72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623" w:type="pct"/>
            <w:vAlign w:val="center"/>
          </w:tcPr>
          <w:p w14:paraId="5041F4F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Proses optimizasyonu</w:t>
            </w:r>
          </w:p>
        </w:tc>
        <w:tc>
          <w:tcPr>
            <w:tcW w:w="3158" w:type="pct"/>
            <w:vAlign w:val="center"/>
          </w:tcPr>
          <w:p w14:paraId="0D5F583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Dönüşüm verimliliği ve katalizör ömrü arasında optimum dengeyi sağlamak için reaktör koşullarının (örn. sıcaklık, basınç) kontrolü</w:t>
            </w:r>
          </w:p>
        </w:tc>
      </w:tr>
      <w:tr w:rsidR="00BB704F" w:rsidRPr="00F50C10" w14:paraId="68A9DCD0" w14:textId="77777777" w:rsidTr="00BB704F">
        <w:trPr>
          <w:trHeight w:val="691"/>
        </w:trPr>
        <w:tc>
          <w:tcPr>
            <w:tcW w:w="218" w:type="pct"/>
            <w:vAlign w:val="center"/>
          </w:tcPr>
          <w:p w14:paraId="1693BED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d</w:t>
            </w:r>
          </w:p>
        </w:tc>
        <w:tc>
          <w:tcPr>
            <w:tcW w:w="1623" w:type="pct"/>
            <w:vAlign w:val="center"/>
          </w:tcPr>
          <w:p w14:paraId="3D0DE386" w14:textId="77777777" w:rsidR="00BB704F" w:rsidRPr="00F50C10" w:rsidRDefault="00BB704F" w:rsidP="000B206D">
            <w:pPr>
              <w:spacing w:before="109" w:line="276" w:lineRule="auto"/>
              <w:ind w:left="108" w:right="108"/>
              <w:rPr>
                <w:rFonts w:eastAsia="Times New Roman" w:cs="Times New Roman"/>
                <w:szCs w:val="24"/>
                <w:lang w:val="tr-TR"/>
              </w:rPr>
            </w:pPr>
            <w:r w:rsidRPr="00F50C10">
              <w:rPr>
                <w:rFonts w:eastAsia="Times New Roman" w:cs="Times New Roman"/>
                <w:szCs w:val="24"/>
                <w:lang w:val="tr-TR" w:bidi="tr-TR"/>
              </w:rPr>
              <w:t>Katalizör performansının izlenmesi</w:t>
            </w:r>
          </w:p>
        </w:tc>
        <w:tc>
          <w:tcPr>
            <w:tcW w:w="3158" w:type="pct"/>
            <w:vAlign w:val="center"/>
          </w:tcPr>
          <w:p w14:paraId="58DE713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Uygun parametreler (örneğin, kısmi oksidasyon reaksiyonları durumunda reaksiyon ısısı ve CO</w:t>
            </w:r>
            <w:r w:rsidRPr="00F50C10">
              <w:rPr>
                <w:rFonts w:eastAsia="Times New Roman" w:cs="Times New Roman"/>
                <w:szCs w:val="24"/>
                <w:vertAlign w:val="subscript"/>
                <w:lang w:val="tr-TR"/>
              </w:rPr>
              <w:t>2</w:t>
            </w:r>
            <w:r w:rsidRPr="00F50C10">
              <w:rPr>
                <w:rFonts w:eastAsia="Times New Roman" w:cs="Times New Roman"/>
                <w:szCs w:val="24"/>
                <w:lang w:val="tr-TR"/>
              </w:rPr>
              <w:t xml:space="preserve"> oluşumu) kullanılarak katalizör bozunmasının başlangıcını tespit etmek için dönüşüm verimliliğinin izlenmesi</w:t>
            </w:r>
          </w:p>
        </w:tc>
      </w:tr>
    </w:tbl>
    <w:p w14:paraId="3CF4FED4" w14:textId="42725865"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MET 16:</w:t>
      </w:r>
      <w:r w:rsidRPr="00F50C10">
        <w:rPr>
          <w:rFonts w:eastAsia="Times New Roman" w:cs="Times New Roman"/>
          <w:szCs w:val="24"/>
          <w:lang w:val="tr-TR"/>
        </w:rPr>
        <w:t xml:space="preserve"> </w:t>
      </w:r>
      <w:r w:rsidRPr="00F50C10">
        <w:rPr>
          <w:rFonts w:eastAsia="Times New Roman" w:cs="Times New Roman"/>
          <w:bCs/>
          <w:szCs w:val="24"/>
          <w:lang w:val="tr-TR"/>
        </w:rPr>
        <w:t>Kaynak verimliliğini artırmak için o</w:t>
      </w:r>
      <w:r w:rsidR="001A6C7A" w:rsidRPr="00F50C10">
        <w:rPr>
          <w:rFonts w:eastAsia="Times New Roman" w:cs="Times New Roman"/>
          <w:bCs/>
          <w:szCs w:val="24"/>
          <w:lang w:val="tr-TR"/>
        </w:rPr>
        <w:t>rganik çözücüler</w:t>
      </w:r>
      <w:r w:rsidR="00615133" w:rsidRPr="00F50C10">
        <w:rPr>
          <w:rFonts w:eastAsia="Times New Roman" w:cs="Times New Roman"/>
          <w:bCs/>
          <w:szCs w:val="24"/>
          <w:lang w:val="tr-TR"/>
        </w:rPr>
        <w:t xml:space="preserve"> geri kazanılır</w:t>
      </w:r>
      <w:r w:rsidRPr="00F50C10">
        <w:rPr>
          <w:rFonts w:eastAsia="Times New Roman" w:cs="Times New Roman"/>
          <w:bCs/>
          <w:szCs w:val="24"/>
          <w:lang w:val="tr-TR"/>
        </w:rPr>
        <w:t xml:space="preserve"> ve yeniden kullanıl</w:t>
      </w:r>
      <w:r w:rsidR="00615133" w:rsidRPr="00F50C10">
        <w:rPr>
          <w:rFonts w:eastAsia="Times New Roman" w:cs="Times New Roman"/>
          <w:bCs/>
          <w:szCs w:val="24"/>
          <w:lang w:val="tr-TR"/>
        </w:rPr>
        <w:t>ır.</w:t>
      </w:r>
    </w:p>
    <w:p w14:paraId="59846289" w14:textId="2BF74907"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szCs w:val="24"/>
          <w:lang w:val="tr-TR"/>
        </w:rPr>
        <w:t>Proseslerde (örn</w:t>
      </w:r>
      <w:r w:rsidR="00F9497A" w:rsidRPr="00F50C10">
        <w:rPr>
          <w:rFonts w:eastAsia="Times New Roman" w:cs="Times New Roman"/>
          <w:szCs w:val="24"/>
          <w:lang w:val="tr-TR"/>
        </w:rPr>
        <w:t>eğin</w:t>
      </w:r>
      <w:r w:rsidRPr="00F50C10">
        <w:rPr>
          <w:rFonts w:eastAsia="Times New Roman" w:cs="Times New Roman"/>
          <w:szCs w:val="24"/>
          <w:lang w:val="tr-TR"/>
        </w:rPr>
        <w:t xml:space="preserve"> kimyasal reaksiyonlar) veya işlemlerde (örn</w:t>
      </w:r>
      <w:r w:rsidR="00F9497A" w:rsidRPr="00F50C10">
        <w:rPr>
          <w:rFonts w:eastAsia="Times New Roman" w:cs="Times New Roman"/>
          <w:szCs w:val="24"/>
          <w:lang w:val="tr-TR"/>
        </w:rPr>
        <w:t>eğin</w:t>
      </w:r>
      <w:r w:rsidRPr="00F50C10">
        <w:rPr>
          <w:rFonts w:eastAsia="Times New Roman" w:cs="Times New Roman"/>
          <w:szCs w:val="24"/>
          <w:lang w:val="tr-TR"/>
        </w:rPr>
        <w:t xml:space="preserve"> ekstraksiyon) kullanılan organik çözücüler, uygun teknikler kullanılarak (ör</w:t>
      </w:r>
      <w:r w:rsidR="00F9497A" w:rsidRPr="00F50C10">
        <w:rPr>
          <w:rFonts w:eastAsia="Times New Roman" w:cs="Times New Roman"/>
          <w:szCs w:val="24"/>
          <w:lang w:val="tr-TR"/>
        </w:rPr>
        <w:t>neğin</w:t>
      </w:r>
      <w:r w:rsidRPr="00F50C10">
        <w:rPr>
          <w:rFonts w:eastAsia="Times New Roman" w:cs="Times New Roman"/>
          <w:szCs w:val="24"/>
          <w:lang w:val="tr-TR"/>
        </w:rPr>
        <w:t xml:space="preserve"> damıtma veya sıvı faz ayırma) geri kazanılır, gerekirse saflaştırılır (örn</w:t>
      </w:r>
      <w:r w:rsidR="00F9497A" w:rsidRPr="00F50C10">
        <w:rPr>
          <w:rFonts w:eastAsia="Times New Roman" w:cs="Times New Roman"/>
          <w:szCs w:val="24"/>
          <w:lang w:val="tr-TR"/>
        </w:rPr>
        <w:t>eğin</w:t>
      </w:r>
      <w:r w:rsidRPr="00F50C10">
        <w:rPr>
          <w:rFonts w:eastAsia="Times New Roman" w:cs="Times New Roman"/>
          <w:szCs w:val="24"/>
          <w:lang w:val="tr-TR"/>
        </w:rPr>
        <w:t xml:space="preserve"> damıtma, adsorpsiyon, sıyırma veya filtreleme kullanılarak) ve prosese veya işleme geri döndürülür. Geri kazanılan ve yeniden kullanılan miktar işleme özeldir.</w:t>
      </w:r>
    </w:p>
    <w:p w14:paraId="46C51A54" w14:textId="20223284" w:rsidR="00BB704F" w:rsidRPr="00F50C10" w:rsidRDefault="00CD3F4F" w:rsidP="000B206D">
      <w:pPr>
        <w:keepNext/>
        <w:keepLines/>
        <w:widowControl w:val="0"/>
        <w:numPr>
          <w:ilvl w:val="1"/>
          <w:numId w:val="18"/>
        </w:numPr>
        <w:autoSpaceDE w:val="0"/>
        <w:autoSpaceDN w:val="0"/>
        <w:spacing w:before="240" w:after="60" w:line="276" w:lineRule="auto"/>
        <w:outlineLvl w:val="1"/>
        <w:rPr>
          <w:rFonts w:eastAsia="Times New Roman" w:cs="Times New Roman"/>
          <w:b/>
          <w:bCs/>
          <w:szCs w:val="24"/>
          <w:lang w:val="tr-TR" w:bidi="tr-TR"/>
        </w:rPr>
      </w:pPr>
      <w:r w:rsidRPr="00F50C10">
        <w:rPr>
          <w:rFonts w:eastAsia="Times New Roman" w:cs="Times New Roman"/>
          <w:b/>
          <w:bCs/>
          <w:szCs w:val="24"/>
          <w:lang w:val="tr-TR" w:bidi="tr-TR"/>
        </w:rPr>
        <w:t>Kalıntılar</w:t>
      </w:r>
    </w:p>
    <w:p w14:paraId="128FEC53" w14:textId="58986A89"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MET 17:</w:t>
      </w:r>
      <w:r w:rsidRPr="00F50C10">
        <w:rPr>
          <w:rFonts w:eastAsia="Times New Roman" w:cs="Times New Roman"/>
          <w:szCs w:val="24"/>
          <w:lang w:val="tr-TR"/>
        </w:rPr>
        <w:t xml:space="preserve"> </w:t>
      </w:r>
      <w:r w:rsidRPr="00F50C10">
        <w:rPr>
          <w:rFonts w:eastAsia="Times New Roman" w:cs="Times New Roman"/>
          <w:bCs/>
          <w:szCs w:val="24"/>
          <w:lang w:val="tr-TR"/>
        </w:rPr>
        <w:t>Bertaraf için gönderilen atık miktarını önlemek veya mümkün olmadığı durumlarda azaltmak için aşağıda verilen tekniklerin uygun bir kombinasyonunu kullan</w:t>
      </w:r>
      <w:r w:rsidR="00615133" w:rsidRPr="00F50C10">
        <w:rPr>
          <w:rFonts w:eastAsia="Times New Roman" w:cs="Times New Roman"/>
          <w:bCs/>
          <w:szCs w:val="24"/>
          <w:lang w:val="tr-TR"/>
        </w:rPr>
        <w:t>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940"/>
        <w:gridCol w:w="3173"/>
        <w:gridCol w:w="2039"/>
      </w:tblGrid>
      <w:tr w:rsidR="00BB704F" w:rsidRPr="00F50C10" w14:paraId="48C619CF" w14:textId="77777777" w:rsidTr="00BB704F">
        <w:trPr>
          <w:trHeight w:val="230"/>
          <w:tblHeader/>
        </w:trPr>
        <w:tc>
          <w:tcPr>
            <w:tcW w:w="194" w:type="pct"/>
            <w:tcBorders>
              <w:top w:val="single" w:sz="4" w:space="0" w:color="auto"/>
              <w:right w:val="single" w:sz="4" w:space="0" w:color="auto"/>
            </w:tcBorders>
          </w:tcPr>
          <w:p w14:paraId="3669DD88"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733" w:type="pct"/>
            <w:tcBorders>
              <w:top w:val="single" w:sz="4" w:space="0" w:color="auto"/>
              <w:left w:val="single" w:sz="4" w:space="0" w:color="auto"/>
            </w:tcBorders>
          </w:tcPr>
          <w:p w14:paraId="166478C9" w14:textId="77777777" w:rsidR="00BB704F" w:rsidRPr="00F50C10" w:rsidRDefault="00BB704F" w:rsidP="000B206D">
            <w:pPr>
              <w:spacing w:line="276" w:lineRule="auto"/>
              <w:ind w:left="762" w:right="1186"/>
              <w:jc w:val="center"/>
              <w:rPr>
                <w:rFonts w:eastAsia="Times New Roman" w:cs="Times New Roman"/>
                <w:b/>
                <w:szCs w:val="24"/>
                <w:lang w:val="tr-TR"/>
              </w:rPr>
            </w:pPr>
            <w:r w:rsidRPr="00F50C10">
              <w:rPr>
                <w:rFonts w:eastAsia="Times New Roman" w:cs="Times New Roman"/>
                <w:b/>
                <w:szCs w:val="24"/>
                <w:lang w:val="tr-TR" w:bidi="tr-TR"/>
              </w:rPr>
              <w:t>Teknik</w:t>
            </w:r>
          </w:p>
        </w:tc>
        <w:tc>
          <w:tcPr>
            <w:tcW w:w="1870" w:type="pct"/>
          </w:tcPr>
          <w:p w14:paraId="277A6A59" w14:textId="77777777" w:rsidR="00BB704F" w:rsidRPr="00F50C10" w:rsidRDefault="00BB704F" w:rsidP="000B206D">
            <w:pPr>
              <w:tabs>
                <w:tab w:val="center" w:pos="1694"/>
              </w:tabs>
              <w:spacing w:line="276" w:lineRule="auto"/>
              <w:ind w:right="1089"/>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03" w:type="pct"/>
          </w:tcPr>
          <w:p w14:paraId="1E4E9C12"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063CAAA6" w14:textId="77777777" w:rsidTr="00BB704F">
        <w:trPr>
          <w:trHeight w:val="230"/>
        </w:trPr>
        <w:tc>
          <w:tcPr>
            <w:tcW w:w="5000" w:type="pct"/>
            <w:gridSpan w:val="4"/>
          </w:tcPr>
          <w:p w14:paraId="72D8E7AC" w14:textId="77777777" w:rsidR="00BB704F" w:rsidRPr="00F50C10" w:rsidRDefault="00BB704F" w:rsidP="000B206D">
            <w:pPr>
              <w:spacing w:line="276" w:lineRule="auto"/>
              <w:ind w:left="108" w:right="108"/>
              <w:rPr>
                <w:rFonts w:eastAsia="Times New Roman" w:cs="Times New Roman"/>
                <w:b/>
                <w:i/>
                <w:szCs w:val="24"/>
                <w:lang w:val="tr-TR"/>
              </w:rPr>
            </w:pPr>
            <w:r w:rsidRPr="00F50C10">
              <w:rPr>
                <w:rFonts w:eastAsia="Times New Roman" w:cs="Times New Roman"/>
                <w:b/>
                <w:i/>
                <w:szCs w:val="24"/>
                <w:lang w:val="tr-TR" w:bidi="tr-TR"/>
              </w:rPr>
              <w:t>Atık oluşumunu önleme veya azaltmaya yönelik teknikler</w:t>
            </w:r>
          </w:p>
        </w:tc>
      </w:tr>
      <w:tr w:rsidR="00BB704F" w:rsidRPr="00F50C10" w14:paraId="3F5716D2" w14:textId="77777777" w:rsidTr="00BB704F">
        <w:trPr>
          <w:trHeight w:val="850"/>
        </w:trPr>
        <w:tc>
          <w:tcPr>
            <w:tcW w:w="194" w:type="pct"/>
            <w:vAlign w:val="center"/>
          </w:tcPr>
          <w:p w14:paraId="606B4AD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733" w:type="pct"/>
            <w:vAlign w:val="center"/>
          </w:tcPr>
          <w:p w14:paraId="0F22FE3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Damıtma sistemlerine inhibitörlerin eklenmesi.</w:t>
            </w:r>
          </w:p>
        </w:tc>
        <w:tc>
          <w:tcPr>
            <w:tcW w:w="1870" w:type="pct"/>
            <w:vAlign w:val="center"/>
          </w:tcPr>
          <w:p w14:paraId="4C7F2ADE" w14:textId="148579CE" w:rsidR="00BB704F" w:rsidRPr="00F50C10" w:rsidRDefault="00CD3F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 xml:space="preserve">Kalıntıların </w:t>
            </w:r>
            <w:r w:rsidR="00BB704F" w:rsidRPr="00F50C10">
              <w:rPr>
                <w:rFonts w:eastAsia="Times New Roman" w:cs="Times New Roman"/>
                <w:szCs w:val="24"/>
                <w:lang w:val="tr-TR" w:bidi="tr-TR"/>
              </w:rPr>
              <w:t>(örneğin, zamklar veya katranlar) oluşumunu önleyen veya azaltan polimerizasyon inhibitörlerinin seçimi (ve dozaj optimizasyonu).</w:t>
            </w:r>
          </w:p>
          <w:p w14:paraId="459C6AE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Dozaj optimizasyonunda, kalıntılarda daha yüksek bir azot ve/veya kükürt içeriğinin ortaya çıkabileceğinin ve dolayısıyla yakıt olarak kullanımının kısıtlanabileceğinin göz önüne alınması gerekebilir.</w:t>
            </w:r>
          </w:p>
        </w:tc>
        <w:tc>
          <w:tcPr>
            <w:tcW w:w="1203" w:type="pct"/>
            <w:vAlign w:val="center"/>
          </w:tcPr>
          <w:p w14:paraId="1CBDFB1C" w14:textId="77777777" w:rsidR="00BB704F" w:rsidRPr="00F50C10" w:rsidRDefault="00BB704F" w:rsidP="000B206D">
            <w:pPr>
              <w:spacing w:before="153"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56906ED7" w14:textId="77777777" w:rsidTr="00BB704F">
        <w:trPr>
          <w:trHeight w:val="1610"/>
        </w:trPr>
        <w:tc>
          <w:tcPr>
            <w:tcW w:w="194" w:type="pct"/>
            <w:vAlign w:val="center"/>
          </w:tcPr>
          <w:p w14:paraId="0B13523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733" w:type="pct"/>
            <w:vAlign w:val="center"/>
          </w:tcPr>
          <w:p w14:paraId="7F46500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Damıtma sistemlerinde yüksek kaynama noktalı kalıntı oluşumunun en aza indirilmesi.</w:t>
            </w:r>
          </w:p>
        </w:tc>
        <w:tc>
          <w:tcPr>
            <w:tcW w:w="1870" w:type="pct"/>
            <w:vAlign w:val="center"/>
          </w:tcPr>
          <w:p w14:paraId="477968B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Sıcaklıkları ve bekleme sürelerini azaltan teknikler (örneğin, basınç düşüşünü ve dolayısıyla sıcaklığı azaltmak için tepsiler yerine paketleme; sıcaklığı düşürmek için atmosferik basınç yerine vakum)</w:t>
            </w:r>
          </w:p>
        </w:tc>
        <w:tc>
          <w:tcPr>
            <w:tcW w:w="1203" w:type="pct"/>
            <w:vAlign w:val="center"/>
          </w:tcPr>
          <w:p w14:paraId="17B35A00" w14:textId="77777777" w:rsidR="00BB704F" w:rsidRPr="00F50C10" w:rsidRDefault="00BB704F" w:rsidP="000B206D">
            <w:pPr>
              <w:spacing w:before="1" w:line="276" w:lineRule="auto"/>
              <w:ind w:left="108" w:right="108"/>
              <w:rPr>
                <w:rFonts w:eastAsia="Times New Roman" w:cs="Times New Roman"/>
                <w:szCs w:val="24"/>
                <w:lang w:val="tr-TR"/>
              </w:rPr>
            </w:pPr>
            <w:r w:rsidRPr="00F50C10">
              <w:rPr>
                <w:rFonts w:eastAsia="Times New Roman" w:cs="Times New Roman"/>
                <w:szCs w:val="24"/>
                <w:lang w:val="tr-TR" w:bidi="tr-TR"/>
              </w:rPr>
              <w:t>Yalnızca yeni damıtma üniteleri veya büyük ölçekli tesis yenilemeleri için geçerlidir.</w:t>
            </w:r>
          </w:p>
        </w:tc>
      </w:tr>
      <w:tr w:rsidR="00BB704F" w:rsidRPr="00F50C10" w14:paraId="5886FFFF" w14:textId="77777777" w:rsidTr="00BB704F">
        <w:trPr>
          <w:trHeight w:val="230"/>
        </w:trPr>
        <w:tc>
          <w:tcPr>
            <w:tcW w:w="5000" w:type="pct"/>
            <w:gridSpan w:val="4"/>
            <w:vAlign w:val="center"/>
          </w:tcPr>
          <w:p w14:paraId="7DF91AD3" w14:textId="77777777" w:rsidR="00BB704F" w:rsidRPr="00F50C10" w:rsidRDefault="00BB704F" w:rsidP="000B206D">
            <w:pPr>
              <w:spacing w:line="276" w:lineRule="auto"/>
              <w:ind w:left="108" w:right="108"/>
              <w:rPr>
                <w:rFonts w:eastAsia="Times New Roman" w:cs="Times New Roman"/>
                <w:b/>
                <w:i/>
                <w:szCs w:val="24"/>
                <w:lang w:val="tr-TR"/>
              </w:rPr>
            </w:pPr>
            <w:r w:rsidRPr="00F50C10">
              <w:rPr>
                <w:rFonts w:eastAsia="Times New Roman" w:cs="Times New Roman"/>
                <w:b/>
                <w:i/>
                <w:szCs w:val="24"/>
                <w:lang w:val="tr-TR" w:bidi="tr-TR"/>
              </w:rPr>
              <w:t>Malzemeyi yeniden kullanım veya geri dönüşüm ile geri kazanma teknikleri</w:t>
            </w:r>
          </w:p>
        </w:tc>
      </w:tr>
      <w:tr w:rsidR="00BB704F" w:rsidRPr="00F50C10" w14:paraId="7E052468" w14:textId="77777777" w:rsidTr="00BB704F">
        <w:trPr>
          <w:trHeight w:val="1379"/>
        </w:trPr>
        <w:tc>
          <w:tcPr>
            <w:tcW w:w="194" w:type="pct"/>
            <w:vAlign w:val="center"/>
          </w:tcPr>
          <w:p w14:paraId="4E17B07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733" w:type="pct"/>
            <w:vAlign w:val="center"/>
          </w:tcPr>
          <w:p w14:paraId="7DDA262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Malzemenin geri kazanımı (örn. damıtma, parçalama yoluyla)</w:t>
            </w:r>
          </w:p>
        </w:tc>
        <w:tc>
          <w:tcPr>
            <w:tcW w:w="1870" w:type="pct"/>
            <w:vAlign w:val="center"/>
          </w:tcPr>
          <w:p w14:paraId="34F6FE0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Malzemeler (yani hammaddeler, ürünler ve yan ürünler), izolasyon (örneğin damıtma) veya dönüştürme (örneğin termal/katalitik parçalama, gazlaştırma, hidrojenasyon) yoluyla kalıntılardan geri kazanılır.</w:t>
            </w:r>
          </w:p>
        </w:tc>
        <w:tc>
          <w:tcPr>
            <w:tcW w:w="1203" w:type="pct"/>
            <w:vAlign w:val="center"/>
          </w:tcPr>
          <w:p w14:paraId="027C84F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bu geri kazanılan malzemeler için mevcut kullanımların olduğu durumlarda geçerlidir.</w:t>
            </w:r>
          </w:p>
        </w:tc>
      </w:tr>
      <w:tr w:rsidR="00BB704F" w:rsidRPr="00F50C10" w14:paraId="334062A2" w14:textId="77777777" w:rsidTr="00BB704F">
        <w:trPr>
          <w:trHeight w:val="1149"/>
        </w:trPr>
        <w:tc>
          <w:tcPr>
            <w:tcW w:w="194" w:type="pct"/>
            <w:vAlign w:val="center"/>
          </w:tcPr>
          <w:p w14:paraId="2652AA9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d</w:t>
            </w:r>
          </w:p>
        </w:tc>
        <w:tc>
          <w:tcPr>
            <w:tcW w:w="1733" w:type="pct"/>
            <w:vAlign w:val="center"/>
          </w:tcPr>
          <w:p w14:paraId="4C67103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Katalizör ve adsorban rejenerasyonu</w:t>
            </w:r>
          </w:p>
        </w:tc>
        <w:tc>
          <w:tcPr>
            <w:tcW w:w="1870" w:type="pct"/>
            <w:vAlign w:val="center"/>
          </w:tcPr>
          <w:p w14:paraId="28E4D72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Katalizörlerin ve adsorbanların, örneğin termal veya kimyasal arıtma kullanarak yenilenmesi.</w:t>
            </w:r>
          </w:p>
        </w:tc>
        <w:tc>
          <w:tcPr>
            <w:tcW w:w="1203" w:type="pct"/>
            <w:vAlign w:val="center"/>
          </w:tcPr>
          <w:p w14:paraId="6E1EEB9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Yenilemenin önemli çapraz medya etkileriyle sonuçlandığı durumlarda uygulanabilirlik kısıtlanabilir.</w:t>
            </w:r>
          </w:p>
        </w:tc>
      </w:tr>
      <w:tr w:rsidR="00BB704F" w:rsidRPr="00F50C10" w14:paraId="5F3C5F1C" w14:textId="77777777" w:rsidTr="00BB704F">
        <w:trPr>
          <w:trHeight w:val="230"/>
        </w:trPr>
        <w:tc>
          <w:tcPr>
            <w:tcW w:w="5000" w:type="pct"/>
            <w:gridSpan w:val="4"/>
            <w:vAlign w:val="center"/>
          </w:tcPr>
          <w:p w14:paraId="4814C0FC" w14:textId="77777777" w:rsidR="00BB704F" w:rsidRPr="00F50C10" w:rsidRDefault="00BB704F" w:rsidP="000B206D">
            <w:pPr>
              <w:spacing w:line="276" w:lineRule="auto"/>
              <w:ind w:left="108" w:right="108"/>
              <w:rPr>
                <w:rFonts w:eastAsia="Times New Roman" w:cs="Times New Roman"/>
                <w:b/>
                <w:bCs/>
                <w:i/>
                <w:iCs/>
                <w:szCs w:val="24"/>
                <w:lang w:val="tr-TR"/>
              </w:rPr>
            </w:pPr>
            <w:r w:rsidRPr="00F50C10">
              <w:rPr>
                <w:rFonts w:eastAsia="Times New Roman" w:cs="Times New Roman"/>
                <w:b/>
                <w:bCs/>
                <w:i/>
                <w:iCs/>
                <w:szCs w:val="24"/>
                <w:lang w:val="tr-TR" w:bidi="tr-TR"/>
              </w:rPr>
              <w:t>Enerji geri kazanma teknikleri</w:t>
            </w:r>
          </w:p>
        </w:tc>
      </w:tr>
      <w:tr w:rsidR="00BB704F" w:rsidRPr="00F50C10" w14:paraId="7A4D2080" w14:textId="77777777" w:rsidTr="00BB704F">
        <w:trPr>
          <w:trHeight w:val="2438"/>
        </w:trPr>
        <w:tc>
          <w:tcPr>
            <w:tcW w:w="194" w:type="pct"/>
            <w:vAlign w:val="center"/>
          </w:tcPr>
          <w:p w14:paraId="2A198DA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e</w:t>
            </w:r>
          </w:p>
        </w:tc>
        <w:tc>
          <w:tcPr>
            <w:tcW w:w="1733" w:type="pct"/>
            <w:vAlign w:val="center"/>
          </w:tcPr>
          <w:p w14:paraId="315C7A17" w14:textId="6F924318" w:rsidR="00BB704F" w:rsidRPr="00F50C10" w:rsidRDefault="001A6C7A"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Artıkların</w:t>
            </w:r>
            <w:r w:rsidR="00BB704F" w:rsidRPr="00F50C10">
              <w:rPr>
                <w:rFonts w:eastAsia="Times New Roman" w:cs="Times New Roman"/>
                <w:szCs w:val="24"/>
                <w:lang w:val="tr-TR" w:bidi="tr-TR"/>
              </w:rPr>
              <w:t xml:space="preserve"> yakıt olarak kullanılması</w:t>
            </w:r>
          </w:p>
        </w:tc>
        <w:tc>
          <w:tcPr>
            <w:tcW w:w="1870" w:type="pct"/>
            <w:vAlign w:val="center"/>
          </w:tcPr>
          <w:p w14:paraId="43C49B33" w14:textId="7B4CA3E4" w:rsidR="00BB704F" w:rsidRPr="00F50C10" w:rsidRDefault="00BB704F" w:rsidP="000B206D">
            <w:pPr>
              <w:spacing w:before="178"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Bazı organik </w:t>
            </w:r>
            <w:r w:rsidR="001A6C7A" w:rsidRPr="00F50C10">
              <w:rPr>
                <w:rFonts w:eastAsia="Times New Roman" w:cs="Times New Roman"/>
                <w:szCs w:val="24"/>
                <w:lang w:val="tr-TR" w:bidi="tr-TR"/>
              </w:rPr>
              <w:t>artıklar</w:t>
            </w:r>
            <w:r w:rsidRPr="00F50C10">
              <w:rPr>
                <w:rFonts w:eastAsia="Times New Roman" w:cs="Times New Roman"/>
                <w:szCs w:val="24"/>
                <w:lang w:val="tr-TR" w:bidi="tr-TR"/>
              </w:rPr>
              <w:t>, örneğin katran, bir yakma ünitesinde yakıt olarak kullanılabilir.</w:t>
            </w:r>
          </w:p>
        </w:tc>
        <w:tc>
          <w:tcPr>
            <w:tcW w:w="1203" w:type="pct"/>
            <w:vAlign w:val="center"/>
          </w:tcPr>
          <w:p w14:paraId="6882BB02" w14:textId="645E8A72"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Uygulanabilirlik, </w:t>
            </w:r>
            <w:r w:rsidR="001A6C7A" w:rsidRPr="00F50C10">
              <w:rPr>
                <w:rFonts w:eastAsia="Times New Roman" w:cs="Times New Roman"/>
                <w:szCs w:val="24"/>
                <w:lang w:val="tr-TR" w:bidi="tr-TR"/>
              </w:rPr>
              <w:t>artıklarda</w:t>
            </w:r>
            <w:r w:rsidRPr="00F50C10">
              <w:rPr>
                <w:rFonts w:eastAsia="Times New Roman" w:cs="Times New Roman"/>
                <w:szCs w:val="24"/>
                <w:lang w:val="tr-TR" w:bidi="tr-TR"/>
              </w:rPr>
              <w:t xml:space="preserve"> belirli maddelerin mevcudiyeti ile kısıtlanabilir, bu da onları bir yakma ünitesinde kullanım için uygunsuz hale getirir ve bertaraf edilmesini gerektirir.</w:t>
            </w:r>
          </w:p>
        </w:tc>
      </w:tr>
    </w:tbl>
    <w:p w14:paraId="159DECC3" w14:textId="77777777" w:rsidR="00BB704F" w:rsidRPr="00F50C10" w:rsidRDefault="00BB704F" w:rsidP="000B206D">
      <w:pPr>
        <w:keepNext/>
        <w:keepLines/>
        <w:widowControl w:val="0"/>
        <w:numPr>
          <w:ilvl w:val="1"/>
          <w:numId w:val="18"/>
        </w:numPr>
        <w:autoSpaceDE w:val="0"/>
        <w:autoSpaceDN w:val="0"/>
        <w:spacing w:before="240" w:after="60" w:line="276" w:lineRule="auto"/>
        <w:jc w:val="left"/>
        <w:outlineLvl w:val="1"/>
        <w:rPr>
          <w:rFonts w:eastAsia="Times New Roman" w:cs="Times New Roman"/>
          <w:b/>
          <w:bCs/>
          <w:szCs w:val="24"/>
          <w:lang w:val="tr-TR" w:bidi="tr-TR"/>
        </w:rPr>
      </w:pPr>
      <w:bookmarkStart w:id="19" w:name="_Toc136613702"/>
      <w:r w:rsidRPr="00F50C10">
        <w:rPr>
          <w:rFonts w:eastAsia="Times New Roman" w:cs="Times New Roman"/>
          <w:b/>
          <w:bCs/>
          <w:szCs w:val="24"/>
          <w:lang w:val="tr-TR" w:bidi="tr-TR"/>
        </w:rPr>
        <w:t>Normalden farklı çalışma koşulları</w:t>
      </w:r>
      <w:bookmarkEnd w:id="19"/>
    </w:p>
    <w:p w14:paraId="6690AD1C" w14:textId="155EDF35" w:rsidR="00BB704F" w:rsidRPr="00F50C10" w:rsidRDefault="00BB704F" w:rsidP="000B206D">
      <w:pPr>
        <w:widowControl w:val="0"/>
        <w:autoSpaceDE w:val="0"/>
        <w:autoSpaceDN w:val="0"/>
        <w:spacing w:before="240" w:line="276" w:lineRule="auto"/>
        <w:rPr>
          <w:rFonts w:eastAsia="Times New Roman" w:cs="Times New Roman"/>
          <w:bCs/>
          <w:szCs w:val="24"/>
          <w:lang w:val="tr-TR"/>
        </w:rPr>
      </w:pPr>
      <w:r w:rsidRPr="00F50C10">
        <w:rPr>
          <w:rFonts w:eastAsia="Times New Roman" w:cs="Times New Roman"/>
          <w:b/>
          <w:bCs/>
          <w:szCs w:val="24"/>
          <w:lang w:val="tr-TR"/>
        </w:rPr>
        <w:t>MET 18:</w:t>
      </w:r>
      <w:r w:rsidRPr="00F50C10">
        <w:rPr>
          <w:rFonts w:eastAsia="Times New Roman" w:cs="Times New Roman"/>
          <w:szCs w:val="24"/>
          <w:lang w:val="tr-TR"/>
        </w:rPr>
        <w:t xml:space="preserve"> </w:t>
      </w:r>
      <w:r w:rsidRPr="00F50C10">
        <w:rPr>
          <w:rFonts w:eastAsia="Times New Roman" w:cs="Times New Roman"/>
          <w:bCs/>
          <w:szCs w:val="24"/>
          <w:lang w:val="tr-TR"/>
        </w:rPr>
        <w:t>Ekipman arızalarından kaynaklanan emisyonları önlemek veya azaltmak için aşağıda verilen tüm teknikler kullanıl</w:t>
      </w:r>
      <w:r w:rsidR="00615133" w:rsidRPr="00F50C10">
        <w:rPr>
          <w:rFonts w:eastAsia="Times New Roman" w:cs="Times New Roman"/>
          <w:bCs/>
          <w:szCs w:val="24"/>
          <w:lang w:val="tr-TR"/>
        </w:rPr>
        <w:t>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662"/>
        <w:gridCol w:w="3397"/>
        <w:gridCol w:w="2093"/>
      </w:tblGrid>
      <w:tr w:rsidR="00BB704F" w:rsidRPr="00F50C10" w14:paraId="1E81FE02" w14:textId="77777777" w:rsidTr="00BB704F">
        <w:trPr>
          <w:trHeight w:val="230"/>
          <w:tblHeader/>
        </w:trPr>
        <w:tc>
          <w:tcPr>
            <w:tcW w:w="198" w:type="pct"/>
            <w:tcBorders>
              <w:right w:val="single" w:sz="4" w:space="0" w:color="auto"/>
            </w:tcBorders>
          </w:tcPr>
          <w:p w14:paraId="574DF4D2"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576" w:type="pct"/>
            <w:tcBorders>
              <w:left w:val="single" w:sz="4" w:space="0" w:color="auto"/>
            </w:tcBorders>
          </w:tcPr>
          <w:p w14:paraId="64B5FA79" w14:textId="77777777" w:rsidR="00BB704F" w:rsidRPr="00F50C10" w:rsidRDefault="00BB704F" w:rsidP="000B206D">
            <w:pPr>
              <w:spacing w:line="276" w:lineRule="auto"/>
              <w:ind w:left="695" w:right="1053"/>
              <w:jc w:val="center"/>
              <w:rPr>
                <w:rFonts w:eastAsia="Times New Roman" w:cs="Times New Roman"/>
                <w:b/>
                <w:szCs w:val="24"/>
                <w:lang w:val="tr-TR"/>
              </w:rPr>
            </w:pPr>
            <w:r w:rsidRPr="00F50C10">
              <w:rPr>
                <w:rFonts w:eastAsia="Times New Roman" w:cs="Times New Roman"/>
                <w:b/>
                <w:szCs w:val="24"/>
                <w:lang w:val="tr-TR" w:bidi="tr-TR"/>
              </w:rPr>
              <w:t>Teknik</w:t>
            </w:r>
          </w:p>
        </w:tc>
        <w:tc>
          <w:tcPr>
            <w:tcW w:w="2008" w:type="pct"/>
          </w:tcPr>
          <w:p w14:paraId="3456DA29" w14:textId="77777777" w:rsidR="00BB704F" w:rsidRPr="00F50C10" w:rsidRDefault="00BB704F" w:rsidP="000B206D">
            <w:pPr>
              <w:spacing w:line="276" w:lineRule="auto"/>
              <w:ind w:right="1209"/>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18" w:type="pct"/>
          </w:tcPr>
          <w:p w14:paraId="02FC2772"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44760FBE" w14:textId="77777777" w:rsidTr="00BB704F">
        <w:trPr>
          <w:trHeight w:val="283"/>
        </w:trPr>
        <w:tc>
          <w:tcPr>
            <w:tcW w:w="198" w:type="pct"/>
            <w:vAlign w:val="center"/>
          </w:tcPr>
          <w:p w14:paraId="7BFA520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576" w:type="pct"/>
            <w:vAlign w:val="center"/>
          </w:tcPr>
          <w:p w14:paraId="4D2A4D2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Kritik ekipmanın belirlenmesi</w:t>
            </w:r>
          </w:p>
        </w:tc>
        <w:tc>
          <w:tcPr>
            <w:tcW w:w="2008" w:type="pct"/>
            <w:vAlign w:val="center"/>
          </w:tcPr>
          <w:p w14:paraId="6ADDE2C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Çevrenin korunması için kritik olan ekipman ('kritik ekipman') bir risk değerlendirmesine dayalı olarak tanımlanır (ör. Arıza Modu ve Etki Analizi kullanılarak)</w:t>
            </w:r>
          </w:p>
        </w:tc>
        <w:tc>
          <w:tcPr>
            <w:tcW w:w="1218" w:type="pct"/>
            <w:vAlign w:val="center"/>
          </w:tcPr>
          <w:p w14:paraId="5D5296F5" w14:textId="77777777" w:rsidR="00BB704F" w:rsidRPr="00F50C10" w:rsidRDefault="00BB704F" w:rsidP="000B206D">
            <w:pPr>
              <w:spacing w:line="276" w:lineRule="auto"/>
              <w:ind w:left="108" w:right="108"/>
              <w:rPr>
                <w:rFonts w:eastAsia="Times New Roman" w:cs="Times New Roman"/>
                <w:b/>
                <w:bCs/>
                <w:szCs w:val="24"/>
                <w:lang w:val="tr-TR"/>
              </w:rPr>
            </w:pPr>
            <w:r w:rsidRPr="00F50C10">
              <w:rPr>
                <w:rFonts w:eastAsia="Times New Roman" w:cs="Times New Roman"/>
                <w:szCs w:val="24"/>
                <w:lang w:val="tr-TR" w:bidi="tr-TR"/>
              </w:rPr>
              <w:t>Genel olarak uygulanabilir</w:t>
            </w:r>
          </w:p>
        </w:tc>
      </w:tr>
      <w:tr w:rsidR="00BB704F" w:rsidRPr="00F50C10" w14:paraId="47515D18" w14:textId="77777777" w:rsidTr="00BB704F">
        <w:trPr>
          <w:trHeight w:val="1610"/>
        </w:trPr>
        <w:tc>
          <w:tcPr>
            <w:tcW w:w="198" w:type="pct"/>
            <w:vAlign w:val="center"/>
          </w:tcPr>
          <w:p w14:paraId="0046C49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576" w:type="pct"/>
            <w:vAlign w:val="center"/>
          </w:tcPr>
          <w:p w14:paraId="35F0A32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Kritik ekipman için varlık güvenilirliği programı</w:t>
            </w:r>
          </w:p>
        </w:tc>
        <w:tc>
          <w:tcPr>
            <w:tcW w:w="2008" w:type="pct"/>
            <w:vAlign w:val="center"/>
          </w:tcPr>
          <w:p w14:paraId="6BB0084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Ekipman kullanılabilirliğini ve performansını en üst düzeye çıkarmak için standart çalışma prosedürlerini, önleyici bakımı (örn. korozyona karşı), izlemeyi, olayların kaydedilmesini ve sürekli iyileştirmeleri içeren yapılandırılmış bir program</w:t>
            </w:r>
          </w:p>
        </w:tc>
        <w:tc>
          <w:tcPr>
            <w:tcW w:w="1218" w:type="pct"/>
            <w:vAlign w:val="center"/>
          </w:tcPr>
          <w:p w14:paraId="5B397BDB" w14:textId="77777777" w:rsidR="00BB704F" w:rsidRPr="00F50C10" w:rsidRDefault="00BB704F" w:rsidP="000B206D">
            <w:pPr>
              <w:spacing w:before="176" w:line="276" w:lineRule="auto"/>
              <w:ind w:left="108" w:right="108"/>
              <w:rPr>
                <w:rFonts w:eastAsia="Times New Roman" w:cs="Times New Roman"/>
                <w:b/>
                <w:bCs/>
                <w:szCs w:val="24"/>
                <w:lang w:val="tr-TR"/>
              </w:rPr>
            </w:pPr>
            <w:r w:rsidRPr="00F50C10">
              <w:rPr>
                <w:rFonts w:eastAsia="Times New Roman" w:cs="Times New Roman"/>
                <w:szCs w:val="24"/>
                <w:lang w:val="tr-TR" w:bidi="tr-TR"/>
              </w:rPr>
              <w:t>Genel olarak uygulanabilir</w:t>
            </w:r>
          </w:p>
        </w:tc>
      </w:tr>
      <w:tr w:rsidR="00BB704F" w:rsidRPr="00F50C10" w14:paraId="27C4F611" w14:textId="77777777" w:rsidTr="00BB704F">
        <w:trPr>
          <w:trHeight w:val="1149"/>
        </w:trPr>
        <w:tc>
          <w:tcPr>
            <w:tcW w:w="198" w:type="pct"/>
            <w:vAlign w:val="center"/>
          </w:tcPr>
          <w:p w14:paraId="176D481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576" w:type="pct"/>
            <w:vAlign w:val="center"/>
          </w:tcPr>
          <w:p w14:paraId="5672B90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Kritik ekipman için yedek sistemler</w:t>
            </w:r>
          </w:p>
        </w:tc>
        <w:tc>
          <w:tcPr>
            <w:tcW w:w="2008" w:type="pct"/>
            <w:vAlign w:val="center"/>
          </w:tcPr>
          <w:p w14:paraId="0A30F6E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Havalandırma gazı sistemleri, azaltma üniteleri gibi Yedekleme sistemleri oluşturulması ve bakımının yapılması</w:t>
            </w:r>
          </w:p>
        </w:tc>
        <w:tc>
          <w:tcPr>
            <w:tcW w:w="1218" w:type="pct"/>
            <w:vAlign w:val="center"/>
          </w:tcPr>
          <w:p w14:paraId="137C6F4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Ekipman kullanılabilirliğinin teknik-b kullanılarak gösterilebiliyor olması halinde geçerli değildir.</w:t>
            </w:r>
          </w:p>
        </w:tc>
      </w:tr>
    </w:tbl>
    <w:p w14:paraId="65B66301" w14:textId="6BB70350"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MET 19:</w:t>
      </w:r>
      <w:r w:rsidRPr="00F50C10">
        <w:rPr>
          <w:rFonts w:eastAsia="Times New Roman" w:cs="Times New Roman"/>
          <w:szCs w:val="24"/>
          <w:lang w:val="tr-TR"/>
        </w:rPr>
        <w:t xml:space="preserve"> </w:t>
      </w:r>
      <w:r w:rsidRPr="00F50C10">
        <w:rPr>
          <w:rFonts w:eastAsia="Times New Roman" w:cs="Times New Roman"/>
          <w:bCs/>
          <w:szCs w:val="24"/>
          <w:lang w:val="tr-TR"/>
        </w:rPr>
        <w:t xml:space="preserve">Normal çalışma koşulları dışında meydana gelen havaya ve suya deşarjları önlemek veya azaltmak için potansiyel kirletici salınımları ile orantılı </w:t>
      </w:r>
      <w:r w:rsidR="001A6C7A" w:rsidRPr="00F50C10">
        <w:rPr>
          <w:rFonts w:eastAsia="Times New Roman" w:cs="Times New Roman"/>
          <w:bCs/>
          <w:szCs w:val="24"/>
          <w:lang w:val="tr-TR"/>
        </w:rPr>
        <w:t>tedbirler</w:t>
      </w:r>
      <w:r w:rsidRPr="00F50C10">
        <w:rPr>
          <w:rFonts w:eastAsia="Times New Roman" w:cs="Times New Roman"/>
          <w:bCs/>
          <w:szCs w:val="24"/>
          <w:lang w:val="tr-TR"/>
        </w:rPr>
        <w:t xml:space="preserve"> uygulan</w:t>
      </w:r>
      <w:r w:rsidR="001A6C7A" w:rsidRPr="00F50C10">
        <w:rPr>
          <w:rFonts w:eastAsia="Times New Roman" w:cs="Times New Roman"/>
          <w:bCs/>
          <w:szCs w:val="24"/>
          <w:lang w:val="tr-TR"/>
        </w:rPr>
        <w:t>ır.</w:t>
      </w:r>
      <w:r w:rsidR="00294BF7" w:rsidRPr="00F50C10">
        <w:rPr>
          <w:rFonts w:eastAsia="Times New Roman" w:cs="Times New Roman"/>
          <w:bCs/>
          <w:szCs w:val="24"/>
          <w:lang w:val="tr-TR"/>
        </w:rPr>
        <w:t xml:space="preserve"> Normal çalışma koşulları dışındaki koşullar aşağıdaki gibidir:</w:t>
      </w:r>
    </w:p>
    <w:p w14:paraId="2100FF4C" w14:textId="77777777" w:rsidR="00BB704F" w:rsidRPr="00F50C10" w:rsidRDefault="00BB704F" w:rsidP="000B206D">
      <w:pPr>
        <w:widowControl w:val="0"/>
        <w:numPr>
          <w:ilvl w:val="0"/>
          <w:numId w:val="12"/>
        </w:numPr>
        <w:autoSpaceDE w:val="0"/>
        <w:autoSpaceDN w:val="0"/>
        <w:spacing w:before="240" w:line="276" w:lineRule="auto"/>
        <w:contextualSpacing/>
        <w:jc w:val="left"/>
        <w:rPr>
          <w:rFonts w:eastAsia="Times New Roman" w:cs="Times New Roman"/>
          <w:szCs w:val="24"/>
          <w:lang w:val="tr-TR"/>
        </w:rPr>
      </w:pPr>
      <w:r w:rsidRPr="00F50C10">
        <w:rPr>
          <w:rFonts w:eastAsia="Times New Roman" w:cs="Times New Roman"/>
          <w:szCs w:val="24"/>
          <w:lang w:val="tr-TR"/>
        </w:rPr>
        <w:t>devreye alma ve devreden çıkarma işlemleri;</w:t>
      </w:r>
    </w:p>
    <w:p w14:paraId="3E4EC998" w14:textId="77777777" w:rsidR="00BB704F" w:rsidRPr="00F50C10" w:rsidRDefault="00BB704F" w:rsidP="000B206D">
      <w:pPr>
        <w:widowControl w:val="0"/>
        <w:numPr>
          <w:ilvl w:val="0"/>
          <w:numId w:val="12"/>
        </w:numPr>
        <w:autoSpaceDE w:val="0"/>
        <w:autoSpaceDN w:val="0"/>
        <w:spacing w:before="240" w:line="276" w:lineRule="auto"/>
        <w:contextualSpacing/>
        <w:jc w:val="left"/>
        <w:rPr>
          <w:rFonts w:eastAsia="Times New Roman" w:cs="Times New Roman"/>
          <w:szCs w:val="24"/>
          <w:lang w:val="tr-TR"/>
        </w:rPr>
      </w:pPr>
      <w:r w:rsidRPr="00F50C10">
        <w:rPr>
          <w:rFonts w:eastAsia="Times New Roman" w:cs="Times New Roman"/>
          <w:szCs w:val="24"/>
          <w:lang w:val="tr-TR"/>
        </w:rPr>
        <w:t>tesisin düzgün işleyişini etkileyebilecek olanlar da dahil olmak üzere diğer koşullar (örneğin, ünitelerin ve/veya atık gaz arıtma sisteminin düzenli ve olağandışı bakım çalışmaları ve temizlik işlemleri).</w:t>
      </w:r>
    </w:p>
    <w:p w14:paraId="4D2E882C" w14:textId="5BC51DB7" w:rsidR="00CD3F4F" w:rsidRPr="00F50C10" w:rsidRDefault="00CD3F4F" w:rsidP="000B206D">
      <w:pPr>
        <w:widowControl w:val="0"/>
        <w:autoSpaceDE w:val="0"/>
        <w:autoSpaceDN w:val="0"/>
        <w:spacing w:before="240" w:line="276" w:lineRule="auto"/>
        <w:jc w:val="left"/>
        <w:outlineLvl w:val="0"/>
        <w:rPr>
          <w:rFonts w:eastAsia="Times New Roman" w:cs="Times New Roman"/>
          <w:b/>
          <w:bCs/>
          <w:szCs w:val="24"/>
          <w:lang w:val="tr-TR"/>
        </w:rPr>
      </w:pPr>
      <w:bookmarkStart w:id="20" w:name="_Toc136613703"/>
      <w:r w:rsidRPr="00F50C10">
        <w:rPr>
          <w:rFonts w:eastAsia="Times New Roman" w:cs="Times New Roman"/>
          <w:b/>
          <w:bCs/>
          <w:szCs w:val="24"/>
          <w:lang w:val="tr-TR"/>
        </w:rPr>
        <w:t>SEKTÖREL MET</w:t>
      </w:r>
    </w:p>
    <w:p w14:paraId="6F98B4E4" w14:textId="70493771" w:rsidR="00BB704F" w:rsidRPr="00F50C10" w:rsidRDefault="00037B84" w:rsidP="000B206D">
      <w:pPr>
        <w:widowControl w:val="0"/>
        <w:autoSpaceDE w:val="0"/>
        <w:autoSpaceDN w:val="0"/>
        <w:spacing w:before="240" w:line="276" w:lineRule="auto"/>
        <w:jc w:val="left"/>
        <w:outlineLvl w:val="0"/>
        <w:rPr>
          <w:rFonts w:eastAsia="Times New Roman" w:cs="Times New Roman"/>
          <w:b/>
          <w:bCs/>
          <w:szCs w:val="24"/>
          <w:lang w:val="tr-TR"/>
        </w:rPr>
      </w:pPr>
      <w:r w:rsidRPr="00F50C10">
        <w:rPr>
          <w:rFonts w:eastAsia="Times New Roman" w:cs="Times New Roman"/>
          <w:b/>
          <w:bCs/>
          <w:szCs w:val="24"/>
          <w:lang w:val="tr-TR"/>
        </w:rPr>
        <w:t xml:space="preserve">2. </w:t>
      </w:r>
      <w:r w:rsidR="00BB704F" w:rsidRPr="00F50C10">
        <w:rPr>
          <w:rFonts w:eastAsia="Times New Roman" w:cs="Times New Roman"/>
          <w:b/>
          <w:bCs/>
          <w:szCs w:val="24"/>
          <w:lang w:val="tr-TR"/>
        </w:rPr>
        <w:t xml:space="preserve">DÜŞÜK OLEFİNLERİN ÜRETİMİNE İLİŞKİN MET </w:t>
      </w:r>
      <w:bookmarkEnd w:id="20"/>
    </w:p>
    <w:p w14:paraId="50608584" w14:textId="27B07888"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szCs w:val="24"/>
          <w:lang w:val="tr-TR" w:bidi="tr-TR"/>
        </w:rPr>
        <w:t>Bu kısımda</w:t>
      </w:r>
      <w:r w:rsidR="00CD3F4F" w:rsidRPr="00F50C10">
        <w:rPr>
          <w:rFonts w:eastAsia="Times New Roman" w:cs="Times New Roman"/>
          <w:szCs w:val="24"/>
          <w:lang w:val="tr-TR" w:bidi="tr-TR"/>
        </w:rPr>
        <w:t xml:space="preserve"> yer alan Sektörel</w:t>
      </w:r>
      <w:r w:rsidRPr="00F50C10">
        <w:rPr>
          <w:rFonts w:eastAsia="Times New Roman" w:cs="Times New Roman"/>
          <w:szCs w:val="24"/>
          <w:lang w:val="tr-TR" w:bidi="tr-TR"/>
        </w:rPr>
        <w:t xml:space="preserve"> MET, düşük olefinlerin buharla parçalama işlemi kullanılarak üretimi için ve</w:t>
      </w:r>
      <w:r w:rsidR="00CD3F4F" w:rsidRPr="00F50C10">
        <w:rPr>
          <w:rFonts w:eastAsia="Times New Roman" w:cs="Times New Roman"/>
          <w:szCs w:val="24"/>
          <w:lang w:val="tr-TR" w:bidi="tr-TR"/>
        </w:rPr>
        <w:t xml:space="preserve"> </w:t>
      </w:r>
      <w:r w:rsidR="00CD3F4F" w:rsidRPr="00F50C10">
        <w:rPr>
          <w:rFonts w:cs="Times New Roman"/>
          <w:szCs w:val="24"/>
        </w:rPr>
        <w:t>1. Kısımda yer alan</w:t>
      </w:r>
      <w:r w:rsidRPr="00F50C10">
        <w:rPr>
          <w:rFonts w:eastAsia="Times New Roman" w:cs="Times New Roman"/>
          <w:szCs w:val="24"/>
          <w:lang w:val="tr-TR" w:bidi="tr-TR"/>
        </w:rPr>
        <w:t xml:space="preserve"> </w:t>
      </w:r>
      <w:r w:rsidR="009775D1">
        <w:rPr>
          <w:rFonts w:eastAsia="Times New Roman" w:cs="Times New Roman"/>
          <w:szCs w:val="24"/>
          <w:lang w:val="tr-TR" w:bidi="tr-TR"/>
        </w:rPr>
        <w:t>G</w:t>
      </w:r>
      <w:r w:rsidRPr="00F50C10">
        <w:rPr>
          <w:rFonts w:eastAsia="Times New Roman" w:cs="Times New Roman"/>
          <w:szCs w:val="24"/>
          <w:lang w:val="tr-TR" w:bidi="tr-TR"/>
        </w:rPr>
        <w:t>enel MET</w:t>
      </w:r>
      <w:r w:rsidR="00CD3F4F" w:rsidRPr="00F50C10">
        <w:rPr>
          <w:rFonts w:eastAsia="Times New Roman" w:cs="Times New Roman"/>
          <w:szCs w:val="24"/>
          <w:lang w:val="tr-TR" w:bidi="tr-TR"/>
        </w:rPr>
        <w:t>’e</w:t>
      </w:r>
      <w:r w:rsidRPr="00F50C10">
        <w:rPr>
          <w:rFonts w:eastAsia="Times New Roman" w:cs="Times New Roman"/>
          <w:szCs w:val="24"/>
          <w:lang w:val="tr-TR" w:bidi="tr-TR"/>
        </w:rPr>
        <w:t xml:space="preserve"> ek olarak geçerlidir.</w:t>
      </w:r>
    </w:p>
    <w:p w14:paraId="21EEE801" w14:textId="73DAB0C5" w:rsidR="00BB704F" w:rsidRPr="00F50C10" w:rsidRDefault="00BB704F" w:rsidP="00A654AE">
      <w:pPr>
        <w:pStyle w:val="ListeParagraf"/>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21" w:name="_Toc136613704"/>
      <w:r w:rsidRPr="00F50C10">
        <w:rPr>
          <w:rFonts w:eastAsia="Times New Roman" w:cs="Times New Roman"/>
          <w:b/>
          <w:szCs w:val="24"/>
          <w:lang w:val="tr-TR"/>
        </w:rPr>
        <w:t>Hava Emisyonları</w:t>
      </w:r>
      <w:bookmarkEnd w:id="21"/>
    </w:p>
    <w:p w14:paraId="65473A0A" w14:textId="194E8E2A" w:rsidR="00BB704F" w:rsidRPr="009775D1" w:rsidRDefault="00BB704F" w:rsidP="00A654AE">
      <w:pPr>
        <w:pStyle w:val="ListeParagraf"/>
        <w:keepNext/>
        <w:keepLines/>
        <w:widowControl w:val="0"/>
        <w:numPr>
          <w:ilvl w:val="2"/>
          <w:numId w:val="179"/>
        </w:numPr>
        <w:autoSpaceDE w:val="0"/>
        <w:autoSpaceDN w:val="0"/>
        <w:spacing w:before="240" w:after="120" w:line="276" w:lineRule="auto"/>
        <w:jc w:val="left"/>
        <w:outlineLvl w:val="2"/>
        <w:rPr>
          <w:rFonts w:eastAsia="Times New Roman" w:cs="Times New Roman"/>
          <w:bCs/>
          <w:color w:val="243F60"/>
          <w:szCs w:val="24"/>
          <w:lang w:val="tr-TR"/>
        </w:rPr>
      </w:pPr>
      <w:bookmarkStart w:id="22" w:name="_Toc136613705"/>
      <w:r w:rsidRPr="009775D1">
        <w:rPr>
          <w:rFonts w:eastAsia="Times New Roman" w:cs="Times New Roman"/>
          <w:bCs/>
          <w:szCs w:val="24"/>
          <w:lang w:val="tr-TR"/>
        </w:rPr>
        <w:t>Düşük olefin parçalama fırınından hava emisyonları için MET-İES'ler</w:t>
      </w:r>
      <w:bookmarkEnd w:id="22"/>
    </w:p>
    <w:p w14:paraId="788A7D00" w14:textId="405E7F26" w:rsidR="00BB704F" w:rsidRPr="009775D1" w:rsidRDefault="00615133" w:rsidP="000B206D">
      <w:pPr>
        <w:spacing w:before="240" w:line="276" w:lineRule="auto"/>
        <w:rPr>
          <w:rFonts w:eastAsia="Calibri" w:cs="Times New Roman"/>
          <w:bCs/>
          <w:iCs/>
          <w:color w:val="000000"/>
          <w:szCs w:val="24"/>
        </w:rPr>
      </w:pPr>
      <w:r w:rsidRPr="009775D1">
        <w:rPr>
          <w:rFonts w:eastAsia="Calibri" w:cs="Times New Roman"/>
          <w:bCs/>
          <w:iCs/>
          <w:color w:val="000000"/>
          <w:szCs w:val="24"/>
        </w:rPr>
        <w:t xml:space="preserve">Tablo 2.1 </w:t>
      </w:r>
      <w:r w:rsidR="00BB704F" w:rsidRPr="009775D1">
        <w:rPr>
          <w:rFonts w:eastAsia="Calibri" w:cs="Times New Roman"/>
          <w:bCs/>
          <w:iCs/>
          <w:color w:val="000000"/>
          <w:szCs w:val="24"/>
        </w:rPr>
        <w:t>Bir alt olefin parçalama fırınından havaya NO</w:t>
      </w:r>
      <w:r w:rsidR="00BB704F" w:rsidRPr="009775D1">
        <w:rPr>
          <w:rFonts w:eastAsia="Calibri" w:cs="Times New Roman"/>
          <w:bCs/>
          <w:iCs/>
          <w:color w:val="000000"/>
          <w:szCs w:val="24"/>
          <w:vertAlign w:val="subscript"/>
        </w:rPr>
        <w:t>X</w:t>
      </w:r>
      <w:r w:rsidR="00BB704F" w:rsidRPr="009775D1">
        <w:rPr>
          <w:rFonts w:eastAsia="Calibri" w:cs="Times New Roman"/>
          <w:bCs/>
          <w:iCs/>
          <w:color w:val="000000"/>
          <w:szCs w:val="24"/>
        </w:rPr>
        <w:t xml:space="preserve"> ve NH</w:t>
      </w:r>
      <w:r w:rsidR="00BB704F" w:rsidRPr="009775D1">
        <w:rPr>
          <w:rFonts w:eastAsia="Calibri" w:cs="Times New Roman"/>
          <w:bCs/>
          <w:iCs/>
          <w:color w:val="000000"/>
          <w:szCs w:val="24"/>
          <w:vertAlign w:val="subscript"/>
        </w:rPr>
        <w:t>3</w:t>
      </w:r>
      <w:r w:rsidR="00BB704F" w:rsidRPr="009775D1">
        <w:rPr>
          <w:rFonts w:eastAsia="Calibri" w:cs="Times New Roman"/>
          <w:bCs/>
          <w:iCs/>
          <w:color w:val="000000"/>
          <w:szCs w:val="24"/>
        </w:rPr>
        <w:t xml:space="preserve"> emisyonları için MET-İES’ler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6"/>
        <w:gridCol w:w="3219"/>
        <w:gridCol w:w="3832"/>
      </w:tblGrid>
      <w:tr w:rsidR="00BB704F" w:rsidRPr="00F50C10" w14:paraId="4D3B77B3" w14:textId="77777777" w:rsidTr="00BB704F">
        <w:trPr>
          <w:trHeight w:val="690"/>
        </w:trPr>
        <w:tc>
          <w:tcPr>
            <w:tcW w:w="851" w:type="pct"/>
            <w:vMerge w:val="restart"/>
          </w:tcPr>
          <w:p w14:paraId="73EA745D"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Parametre</w:t>
            </w:r>
          </w:p>
        </w:tc>
        <w:tc>
          <w:tcPr>
            <w:tcW w:w="4149" w:type="pct"/>
            <w:gridSpan w:val="2"/>
          </w:tcPr>
          <w:p w14:paraId="047F0E4C" w14:textId="77777777" w:rsidR="00BB704F" w:rsidRPr="00F50C10" w:rsidRDefault="00BB704F" w:rsidP="000B206D">
            <w:pPr>
              <w:spacing w:line="276" w:lineRule="auto"/>
              <w:ind w:left="1394" w:right="1386"/>
              <w:jc w:val="center"/>
              <w:rPr>
                <w:rFonts w:eastAsia="Times New Roman" w:cs="Times New Roman"/>
                <w:b/>
                <w:szCs w:val="24"/>
                <w:lang w:val="tr-TR"/>
              </w:rPr>
            </w:pPr>
            <w:r w:rsidRPr="00F50C10">
              <w:rPr>
                <w:rFonts w:eastAsia="Times New Roman" w:cs="Times New Roman"/>
                <w:b/>
                <w:szCs w:val="24"/>
                <w:lang w:val="tr-TR" w:bidi="tr-TR"/>
              </w:rPr>
              <w:t>MET-İES’ler (</w:t>
            </w:r>
            <w:r w:rsidRPr="00F50C10">
              <w:rPr>
                <w:rFonts w:eastAsia="Times New Roman" w:cs="Times New Roman"/>
                <w:b/>
                <w:szCs w:val="24"/>
                <w:vertAlign w:val="superscript"/>
                <w:lang w:val="tr-TR" w:bidi="tr-TR"/>
              </w:rPr>
              <w:t>1</w:t>
            </w:r>
            <w:r w:rsidRPr="00F50C10">
              <w:rPr>
                <w:rFonts w:eastAsia="Times New Roman" w:cs="Times New Roman"/>
                <w:b/>
                <w:szCs w:val="24"/>
                <w:lang w:val="tr-TR" w:bidi="tr-TR"/>
              </w:rPr>
              <w:t>) (</w:t>
            </w:r>
            <w:r w:rsidRPr="00F50C10">
              <w:rPr>
                <w:rFonts w:eastAsia="Times New Roman" w:cs="Times New Roman"/>
                <w:b/>
                <w:szCs w:val="24"/>
                <w:vertAlign w:val="superscript"/>
                <w:lang w:val="tr-TR" w:bidi="tr-TR"/>
              </w:rPr>
              <w:t>2</w:t>
            </w:r>
            <w:r w:rsidRPr="00F50C10">
              <w:rPr>
                <w:rFonts w:eastAsia="Times New Roman" w:cs="Times New Roman"/>
                <w:b/>
                <w:szCs w:val="24"/>
                <w:lang w:val="tr-TR" w:bidi="tr-TR"/>
              </w:rPr>
              <w:t>) (</w:t>
            </w:r>
            <w:r w:rsidRPr="00F50C10">
              <w:rPr>
                <w:rFonts w:eastAsia="Times New Roman" w:cs="Times New Roman"/>
                <w:b/>
                <w:szCs w:val="24"/>
                <w:vertAlign w:val="superscript"/>
                <w:lang w:val="tr-TR" w:bidi="tr-TR"/>
              </w:rPr>
              <w:t>3</w:t>
            </w:r>
            <w:r w:rsidRPr="00F50C10">
              <w:rPr>
                <w:rFonts w:eastAsia="Times New Roman" w:cs="Times New Roman"/>
                <w:b/>
                <w:szCs w:val="24"/>
                <w:lang w:val="tr-TR" w:bidi="tr-TR"/>
              </w:rPr>
              <w:t>)</w:t>
            </w:r>
          </w:p>
          <w:p w14:paraId="19542C7D" w14:textId="77777777" w:rsidR="00BB704F" w:rsidRPr="00F50C10" w:rsidRDefault="00BB704F" w:rsidP="000B206D">
            <w:pPr>
              <w:spacing w:line="276" w:lineRule="auto"/>
              <w:ind w:left="1394" w:right="1392"/>
              <w:jc w:val="center"/>
              <w:rPr>
                <w:rFonts w:eastAsia="Times New Roman" w:cs="Times New Roman"/>
                <w:b/>
                <w:szCs w:val="24"/>
                <w:lang w:val="tr-TR"/>
              </w:rPr>
            </w:pPr>
            <w:r w:rsidRPr="00F50C10">
              <w:rPr>
                <w:rFonts w:eastAsia="Times New Roman" w:cs="Times New Roman"/>
                <w:b/>
                <w:szCs w:val="24"/>
                <w:lang w:val="tr-TR" w:bidi="tr-TR"/>
              </w:rPr>
              <w:t>(günlük ortalama veya örnekleme periyodu boyunca ortalama) (mg/Nm</w:t>
            </w:r>
            <w:r w:rsidRPr="00F50C10">
              <w:rPr>
                <w:rFonts w:eastAsia="Times New Roman" w:cs="Times New Roman"/>
                <w:b/>
                <w:szCs w:val="24"/>
                <w:vertAlign w:val="superscript"/>
                <w:lang w:val="tr-TR" w:bidi="tr-TR"/>
              </w:rPr>
              <w:t>3</w:t>
            </w:r>
            <w:r w:rsidRPr="00F50C10">
              <w:rPr>
                <w:rFonts w:eastAsia="Times New Roman" w:cs="Times New Roman"/>
                <w:b/>
                <w:szCs w:val="24"/>
                <w:lang w:val="tr-TR" w:bidi="tr-TR"/>
              </w:rPr>
              <w:t>, hacmen % 3 O</w:t>
            </w:r>
            <w:r w:rsidRPr="00F50C10">
              <w:rPr>
                <w:rFonts w:eastAsia="Times New Roman" w:cs="Times New Roman"/>
                <w:b/>
                <w:szCs w:val="24"/>
                <w:vertAlign w:val="subscript"/>
                <w:lang w:val="tr-TR" w:bidi="tr-TR"/>
              </w:rPr>
              <w:t>2</w:t>
            </w:r>
            <w:r w:rsidRPr="00F50C10">
              <w:rPr>
                <w:rFonts w:eastAsia="Times New Roman" w:cs="Times New Roman"/>
                <w:b/>
                <w:szCs w:val="24"/>
                <w:lang w:val="tr-TR" w:bidi="tr-TR"/>
              </w:rPr>
              <w:t>'de)</w:t>
            </w:r>
          </w:p>
        </w:tc>
      </w:tr>
      <w:tr w:rsidR="00BB704F" w:rsidRPr="00F50C10" w14:paraId="1927C31F" w14:textId="77777777" w:rsidTr="00BB704F">
        <w:trPr>
          <w:trHeight w:val="230"/>
        </w:trPr>
        <w:tc>
          <w:tcPr>
            <w:tcW w:w="851" w:type="pct"/>
            <w:vMerge/>
          </w:tcPr>
          <w:p w14:paraId="7D6BE205" w14:textId="77777777" w:rsidR="00BB704F" w:rsidRPr="00F50C10" w:rsidRDefault="00BB704F" w:rsidP="000B206D">
            <w:pPr>
              <w:spacing w:line="276" w:lineRule="auto"/>
              <w:jc w:val="left"/>
              <w:rPr>
                <w:rFonts w:eastAsia="Times New Roman" w:cs="Times New Roman"/>
                <w:szCs w:val="24"/>
                <w:lang w:val="tr-TR"/>
              </w:rPr>
            </w:pPr>
          </w:p>
        </w:tc>
        <w:tc>
          <w:tcPr>
            <w:tcW w:w="1894" w:type="pct"/>
          </w:tcPr>
          <w:p w14:paraId="2ECACB69" w14:textId="77777777" w:rsidR="00BB704F" w:rsidRPr="00F50C10" w:rsidRDefault="00BB704F" w:rsidP="000B206D">
            <w:pPr>
              <w:spacing w:line="276" w:lineRule="auto"/>
              <w:ind w:left="1115" w:right="1111"/>
              <w:jc w:val="center"/>
              <w:rPr>
                <w:rFonts w:eastAsia="Times New Roman" w:cs="Times New Roman"/>
                <w:szCs w:val="24"/>
                <w:lang w:val="tr-TR"/>
              </w:rPr>
            </w:pPr>
            <w:r w:rsidRPr="00F50C10">
              <w:rPr>
                <w:rFonts w:eastAsia="Times New Roman" w:cs="Times New Roman"/>
                <w:szCs w:val="24"/>
                <w:lang w:val="tr-TR" w:bidi="tr-TR"/>
              </w:rPr>
              <w:t>Yeni fırın</w:t>
            </w:r>
          </w:p>
        </w:tc>
        <w:tc>
          <w:tcPr>
            <w:tcW w:w="2255" w:type="pct"/>
          </w:tcPr>
          <w:p w14:paraId="34EA3CB5" w14:textId="77777777" w:rsidR="00BB704F" w:rsidRPr="00F50C10" w:rsidRDefault="00BB704F" w:rsidP="000B206D">
            <w:pPr>
              <w:spacing w:line="276" w:lineRule="auto"/>
              <w:ind w:left="1286" w:right="1282"/>
              <w:jc w:val="center"/>
              <w:rPr>
                <w:rFonts w:eastAsia="Times New Roman" w:cs="Times New Roman"/>
                <w:szCs w:val="24"/>
                <w:lang w:val="tr-TR"/>
              </w:rPr>
            </w:pPr>
            <w:r w:rsidRPr="00F50C10">
              <w:rPr>
                <w:rFonts w:eastAsia="Times New Roman" w:cs="Times New Roman"/>
                <w:szCs w:val="24"/>
                <w:lang w:val="tr-TR" w:bidi="tr-TR"/>
              </w:rPr>
              <w:t>Mevcut fırın</w:t>
            </w:r>
          </w:p>
        </w:tc>
      </w:tr>
      <w:tr w:rsidR="00BB704F" w:rsidRPr="00F50C10" w14:paraId="0E91049E" w14:textId="77777777" w:rsidTr="00BB704F">
        <w:trPr>
          <w:trHeight w:val="230"/>
        </w:trPr>
        <w:tc>
          <w:tcPr>
            <w:tcW w:w="851" w:type="pct"/>
          </w:tcPr>
          <w:p w14:paraId="25754E29" w14:textId="77777777" w:rsidR="00BB704F" w:rsidRPr="00F50C10" w:rsidRDefault="00BB704F" w:rsidP="000B206D">
            <w:pPr>
              <w:spacing w:line="276" w:lineRule="auto"/>
              <w:ind w:left="263" w:right="256"/>
              <w:jc w:val="center"/>
              <w:rPr>
                <w:rFonts w:eastAsia="Times New Roman" w:cs="Times New Roman"/>
                <w:szCs w:val="24"/>
                <w:lang w:val="tr-TR"/>
              </w:rPr>
            </w:pPr>
            <w:r w:rsidRPr="00F50C10">
              <w:rPr>
                <w:rFonts w:eastAsia="Times New Roman" w:cs="Times New Roman"/>
                <w:szCs w:val="24"/>
                <w:lang w:val="tr-TR" w:bidi="tr-TR"/>
              </w:rPr>
              <w:t>NO</w:t>
            </w:r>
            <w:r w:rsidRPr="00F50C10">
              <w:rPr>
                <w:rFonts w:eastAsia="Times New Roman" w:cs="Times New Roman"/>
                <w:szCs w:val="24"/>
                <w:vertAlign w:val="subscript"/>
                <w:lang w:val="tr-TR" w:bidi="tr-TR"/>
              </w:rPr>
              <w:t>X</w:t>
            </w:r>
          </w:p>
        </w:tc>
        <w:tc>
          <w:tcPr>
            <w:tcW w:w="1894" w:type="pct"/>
          </w:tcPr>
          <w:p w14:paraId="204442D4" w14:textId="77777777" w:rsidR="00BB704F" w:rsidRPr="00F50C10" w:rsidRDefault="00BB704F" w:rsidP="000B206D">
            <w:pPr>
              <w:spacing w:line="276" w:lineRule="auto"/>
              <w:ind w:left="1115" w:right="1106"/>
              <w:jc w:val="center"/>
              <w:rPr>
                <w:rFonts w:eastAsia="Times New Roman" w:cs="Times New Roman"/>
                <w:szCs w:val="24"/>
                <w:lang w:val="tr-TR"/>
              </w:rPr>
            </w:pPr>
            <w:r w:rsidRPr="00F50C10">
              <w:rPr>
                <w:rFonts w:eastAsia="Times New Roman" w:cs="Times New Roman"/>
                <w:szCs w:val="24"/>
                <w:lang w:val="tr-TR" w:bidi="tr-TR"/>
              </w:rPr>
              <w:t>60–100</w:t>
            </w:r>
          </w:p>
        </w:tc>
        <w:tc>
          <w:tcPr>
            <w:tcW w:w="2255" w:type="pct"/>
          </w:tcPr>
          <w:p w14:paraId="75C480E0" w14:textId="77777777" w:rsidR="00BB704F" w:rsidRPr="00F50C10" w:rsidRDefault="00BB704F" w:rsidP="000B206D">
            <w:pPr>
              <w:spacing w:line="276" w:lineRule="auto"/>
              <w:ind w:left="1286" w:right="1277"/>
              <w:jc w:val="center"/>
              <w:rPr>
                <w:rFonts w:eastAsia="Times New Roman" w:cs="Times New Roman"/>
                <w:szCs w:val="24"/>
                <w:lang w:val="tr-TR"/>
              </w:rPr>
            </w:pPr>
            <w:r w:rsidRPr="00F50C10">
              <w:rPr>
                <w:rFonts w:eastAsia="Times New Roman" w:cs="Times New Roman"/>
                <w:szCs w:val="24"/>
                <w:lang w:val="tr-TR" w:bidi="tr-TR"/>
              </w:rPr>
              <w:t>70–200</w:t>
            </w:r>
          </w:p>
        </w:tc>
      </w:tr>
      <w:tr w:rsidR="00BB704F" w:rsidRPr="00F50C10" w14:paraId="03B4D459" w14:textId="77777777" w:rsidTr="00BB704F">
        <w:trPr>
          <w:trHeight w:val="251"/>
        </w:trPr>
        <w:tc>
          <w:tcPr>
            <w:tcW w:w="851" w:type="pct"/>
          </w:tcPr>
          <w:p w14:paraId="6C6AE2F5" w14:textId="77777777" w:rsidR="00BB704F" w:rsidRPr="00F50C10" w:rsidRDefault="00BB704F" w:rsidP="000B206D">
            <w:pPr>
              <w:spacing w:line="276" w:lineRule="auto"/>
              <w:ind w:left="263" w:right="256"/>
              <w:jc w:val="center"/>
              <w:rPr>
                <w:rFonts w:eastAsia="Times New Roman" w:cs="Times New Roman"/>
                <w:szCs w:val="24"/>
                <w:lang w:val="tr-TR"/>
              </w:rPr>
            </w:pPr>
            <w:r w:rsidRPr="00F50C10">
              <w:rPr>
                <w:rFonts w:eastAsia="Times New Roman" w:cs="Times New Roman"/>
                <w:szCs w:val="24"/>
                <w:lang w:val="tr-TR" w:bidi="tr-TR"/>
              </w:rPr>
              <w:t>NH</w:t>
            </w:r>
            <w:r w:rsidRPr="00F50C10">
              <w:rPr>
                <w:rFonts w:eastAsia="Times New Roman" w:cs="Times New Roman"/>
                <w:szCs w:val="24"/>
                <w:vertAlign w:val="subscript"/>
                <w:lang w:val="tr-TR" w:bidi="tr-TR"/>
              </w:rPr>
              <w:t>3</w:t>
            </w:r>
          </w:p>
        </w:tc>
        <w:tc>
          <w:tcPr>
            <w:tcW w:w="4149" w:type="pct"/>
            <w:gridSpan w:val="2"/>
          </w:tcPr>
          <w:p w14:paraId="5B91CEBB" w14:textId="77777777" w:rsidR="00BB704F" w:rsidRPr="00F50C10" w:rsidRDefault="00BB704F" w:rsidP="000B206D">
            <w:pPr>
              <w:spacing w:before="5" w:line="276" w:lineRule="auto"/>
              <w:ind w:left="1394" w:right="1387"/>
              <w:jc w:val="center"/>
              <w:rPr>
                <w:rFonts w:eastAsia="Times New Roman" w:cs="Times New Roman"/>
                <w:szCs w:val="24"/>
                <w:lang w:val="tr-TR"/>
              </w:rPr>
            </w:pPr>
            <w:r w:rsidRPr="00F50C10">
              <w:rPr>
                <w:rFonts w:eastAsia="Times New Roman" w:cs="Times New Roman"/>
                <w:szCs w:val="24"/>
                <w:lang w:val="tr-TR" w:bidi="tr-TR"/>
              </w:rPr>
              <w:t>&lt; 5–15 (</w:t>
            </w:r>
            <w:r w:rsidRPr="00F50C10">
              <w:rPr>
                <w:rFonts w:eastAsia="Times New Roman" w:cs="Times New Roman"/>
                <w:szCs w:val="24"/>
                <w:vertAlign w:val="superscript"/>
                <w:lang w:val="tr-TR" w:bidi="tr-TR"/>
              </w:rPr>
              <w:t>4</w:t>
            </w:r>
            <w:r w:rsidRPr="00F50C10">
              <w:rPr>
                <w:rFonts w:eastAsia="Times New Roman" w:cs="Times New Roman"/>
                <w:szCs w:val="24"/>
                <w:lang w:val="tr-TR" w:bidi="tr-TR"/>
              </w:rPr>
              <w:t>)</w:t>
            </w:r>
          </w:p>
        </w:tc>
      </w:tr>
      <w:tr w:rsidR="00BB704F" w:rsidRPr="00F50C10" w14:paraId="36B44737" w14:textId="77777777" w:rsidTr="00BB704F">
        <w:trPr>
          <w:trHeight w:val="1243"/>
        </w:trPr>
        <w:tc>
          <w:tcPr>
            <w:tcW w:w="5000" w:type="pct"/>
            <w:gridSpan w:val="3"/>
          </w:tcPr>
          <w:p w14:paraId="4B4309D6" w14:textId="77777777" w:rsidR="00BB704F" w:rsidRPr="00F50C10" w:rsidRDefault="00BB704F" w:rsidP="000B206D">
            <w:pPr>
              <w:numPr>
                <w:ilvl w:val="0"/>
                <w:numId w:val="13"/>
              </w:numPr>
              <w:tabs>
                <w:tab w:val="left" w:pos="346"/>
              </w:tabs>
              <w:spacing w:before="1" w:line="276" w:lineRule="auto"/>
              <w:ind w:right="97" w:firstLine="0"/>
              <w:jc w:val="left"/>
              <w:rPr>
                <w:rFonts w:eastAsia="Times New Roman" w:cs="Times New Roman"/>
                <w:i/>
                <w:iCs/>
                <w:szCs w:val="24"/>
                <w:lang w:val="tr-TR"/>
              </w:rPr>
            </w:pPr>
            <w:r w:rsidRPr="00F50C10">
              <w:rPr>
                <w:rFonts w:eastAsia="Times New Roman" w:cs="Times New Roman"/>
                <w:i/>
                <w:iCs/>
                <w:szCs w:val="24"/>
                <w:lang w:val="tr-TR" w:bidi="tr-TR"/>
              </w:rPr>
              <w:t>İki veya daha fazla fırının baca gazlarının ortak bir bacadan boşaltıldığı durumlarda, MET-İES bacadan yapılan birleşik deşarj için geçerlidir.</w:t>
            </w:r>
          </w:p>
          <w:p w14:paraId="65DD36B9" w14:textId="77777777" w:rsidR="00BB704F" w:rsidRPr="00F50C10" w:rsidRDefault="00BB704F" w:rsidP="000B206D">
            <w:pPr>
              <w:numPr>
                <w:ilvl w:val="0"/>
                <w:numId w:val="13"/>
              </w:numPr>
              <w:tabs>
                <w:tab w:val="left" w:pos="334"/>
              </w:tabs>
              <w:spacing w:line="276" w:lineRule="auto"/>
              <w:ind w:left="333" w:hanging="226"/>
              <w:jc w:val="left"/>
              <w:rPr>
                <w:rFonts w:eastAsia="Times New Roman" w:cs="Times New Roman"/>
                <w:i/>
                <w:iCs/>
                <w:szCs w:val="24"/>
                <w:lang w:val="tr-TR"/>
              </w:rPr>
            </w:pPr>
            <w:r w:rsidRPr="00F50C10">
              <w:rPr>
                <w:rFonts w:eastAsia="Times New Roman" w:cs="Times New Roman"/>
                <w:i/>
                <w:iCs/>
                <w:szCs w:val="24"/>
                <w:lang w:val="tr-TR" w:bidi="tr-TR"/>
              </w:rPr>
              <w:t>MET-İES'ler, kok giderme işlemleri için geçerli değildir.</w:t>
            </w:r>
          </w:p>
          <w:p w14:paraId="72894B31" w14:textId="77777777" w:rsidR="00BB704F" w:rsidRPr="00F50C10" w:rsidRDefault="00BB704F" w:rsidP="000B206D">
            <w:pPr>
              <w:numPr>
                <w:ilvl w:val="0"/>
                <w:numId w:val="13"/>
              </w:numPr>
              <w:tabs>
                <w:tab w:val="left" w:pos="334"/>
              </w:tabs>
              <w:spacing w:before="13" w:line="276" w:lineRule="auto"/>
              <w:ind w:right="101" w:firstLine="0"/>
              <w:jc w:val="left"/>
              <w:rPr>
                <w:rFonts w:eastAsia="Times New Roman" w:cs="Times New Roman"/>
                <w:i/>
                <w:iCs/>
                <w:szCs w:val="24"/>
                <w:lang w:val="tr-TR"/>
              </w:rPr>
            </w:pPr>
            <w:r w:rsidRPr="00F50C10">
              <w:rPr>
                <w:rFonts w:eastAsia="Times New Roman" w:cs="Times New Roman"/>
                <w:i/>
                <w:iCs/>
                <w:szCs w:val="24"/>
                <w:lang w:val="tr-TR" w:bidi="tr-TR"/>
              </w:rPr>
              <w:t>CO için geçerli herhangi bir MET-İES yoktur. Gösterge olarak, CO emisyon seviyesi genellikle günlük ortalama veya örnekleme süresi boyunca ortalama olarak ifade edilen 10–50 mg/Nm</w:t>
            </w:r>
            <w:r w:rsidRPr="00F50C10">
              <w:rPr>
                <w:rFonts w:eastAsia="Times New Roman" w:cs="Times New Roman"/>
                <w:i/>
                <w:iCs/>
                <w:szCs w:val="24"/>
                <w:vertAlign w:val="superscript"/>
                <w:lang w:val="tr-TR" w:bidi="tr-TR"/>
              </w:rPr>
              <w:t>3</w:t>
            </w:r>
            <w:r w:rsidRPr="00F50C10">
              <w:rPr>
                <w:rFonts w:eastAsia="Times New Roman" w:cs="Times New Roman"/>
                <w:i/>
                <w:iCs/>
                <w:szCs w:val="24"/>
                <w:lang w:val="tr-TR" w:bidi="tr-TR"/>
              </w:rPr>
              <w:t xml:space="preserve"> değerinde olacaktır.</w:t>
            </w:r>
          </w:p>
          <w:p w14:paraId="18169DE6" w14:textId="77777777" w:rsidR="00BB704F" w:rsidRPr="00F50C10" w:rsidRDefault="00BB704F" w:rsidP="000B206D">
            <w:pPr>
              <w:numPr>
                <w:ilvl w:val="0"/>
                <w:numId w:val="13"/>
              </w:numPr>
              <w:tabs>
                <w:tab w:val="left" w:pos="334"/>
              </w:tabs>
              <w:spacing w:line="276" w:lineRule="auto"/>
              <w:ind w:left="333" w:hanging="226"/>
              <w:jc w:val="left"/>
              <w:rPr>
                <w:rFonts w:eastAsia="Times New Roman" w:cs="Times New Roman"/>
                <w:szCs w:val="24"/>
                <w:lang w:val="tr-TR"/>
              </w:rPr>
            </w:pPr>
            <w:r w:rsidRPr="00F50C10">
              <w:rPr>
                <w:rFonts w:eastAsia="Times New Roman" w:cs="Times New Roman"/>
                <w:i/>
                <w:iCs/>
                <w:szCs w:val="24"/>
                <w:lang w:val="tr-TR" w:bidi="tr-TR"/>
              </w:rPr>
              <w:t>MET-İES yalnızca SCR veya SNCR kullanıldığı durumlarda geçerlidir.</w:t>
            </w:r>
          </w:p>
        </w:tc>
      </w:tr>
    </w:tbl>
    <w:p w14:paraId="3D1CC779" w14:textId="77777777" w:rsidR="00BB704F" w:rsidRPr="00F50C10" w:rsidRDefault="00BB704F" w:rsidP="000B206D">
      <w:pPr>
        <w:widowControl w:val="0"/>
        <w:autoSpaceDE w:val="0"/>
        <w:autoSpaceDN w:val="0"/>
        <w:spacing w:line="276" w:lineRule="auto"/>
        <w:jc w:val="left"/>
        <w:rPr>
          <w:rFonts w:eastAsia="Times New Roman" w:cs="Times New Roman"/>
          <w:szCs w:val="24"/>
        </w:rPr>
      </w:pPr>
    </w:p>
    <w:p w14:paraId="3F40B3AA" w14:textId="21F4BAE8" w:rsidR="00BB704F" w:rsidRPr="00F50C10" w:rsidRDefault="00BB704F" w:rsidP="000B206D">
      <w:pPr>
        <w:widowControl w:val="0"/>
        <w:autoSpaceDE w:val="0"/>
        <w:autoSpaceDN w:val="0"/>
        <w:spacing w:before="240" w:line="276" w:lineRule="auto"/>
        <w:jc w:val="left"/>
        <w:rPr>
          <w:rFonts w:eastAsia="Times New Roman" w:cs="Times New Roman"/>
          <w:szCs w:val="24"/>
          <w:lang w:val="tr-TR" w:bidi="tr-TR"/>
        </w:rPr>
      </w:pPr>
      <w:r w:rsidRPr="00F50C10">
        <w:rPr>
          <w:rFonts w:eastAsia="Times New Roman" w:cs="Times New Roman"/>
          <w:szCs w:val="24"/>
          <w:lang w:val="tr-TR" w:bidi="tr-TR"/>
        </w:rPr>
        <w:t xml:space="preserve">İlgili izleme </w:t>
      </w:r>
      <w:hyperlink w:anchor="_bookmark757" w:history="1">
        <w:r w:rsidRPr="00F50C10">
          <w:rPr>
            <w:rFonts w:eastAsia="Times New Roman" w:cs="Times New Roman"/>
            <w:szCs w:val="24"/>
            <w:lang w:val="tr-TR" w:bidi="tr-TR"/>
          </w:rPr>
          <w:t>MET 1</w:t>
        </w:r>
      </w:hyperlink>
      <w:r w:rsidR="001A6C7A" w:rsidRPr="00F50C10">
        <w:rPr>
          <w:rFonts w:eastAsia="Times New Roman" w:cs="Times New Roman"/>
          <w:szCs w:val="24"/>
          <w:lang w:val="tr-TR" w:bidi="tr-TR"/>
        </w:rPr>
        <w:t xml:space="preserve"> kapsamındadır.</w:t>
      </w:r>
    </w:p>
    <w:p w14:paraId="30395FB1" w14:textId="01B5C9A3" w:rsidR="00BB704F" w:rsidRPr="00F50C10" w:rsidRDefault="0077229E" w:rsidP="00A654AE">
      <w:pPr>
        <w:keepNext/>
        <w:keepLines/>
        <w:widowControl w:val="0"/>
        <w:numPr>
          <w:ilvl w:val="2"/>
          <w:numId w:val="179"/>
        </w:numPr>
        <w:autoSpaceDE w:val="0"/>
        <w:autoSpaceDN w:val="0"/>
        <w:spacing w:before="240" w:line="276" w:lineRule="auto"/>
        <w:jc w:val="left"/>
        <w:outlineLvl w:val="2"/>
        <w:rPr>
          <w:rFonts w:eastAsia="Times New Roman" w:cs="Times New Roman"/>
          <w:b/>
          <w:szCs w:val="24"/>
          <w:lang w:val="tr-TR"/>
        </w:rPr>
      </w:pPr>
      <w:bookmarkStart w:id="23" w:name="_Toc136613706"/>
      <w:r w:rsidRPr="00F50C10">
        <w:rPr>
          <w:rFonts w:eastAsia="Times New Roman" w:cs="Times New Roman"/>
          <w:b/>
          <w:szCs w:val="24"/>
          <w:lang w:val="tr-TR"/>
        </w:rPr>
        <w:t xml:space="preserve"> </w:t>
      </w:r>
      <w:r w:rsidR="00BB704F" w:rsidRPr="00F50C10">
        <w:rPr>
          <w:rFonts w:eastAsia="Times New Roman" w:cs="Times New Roman"/>
          <w:b/>
          <w:szCs w:val="24"/>
          <w:lang w:val="tr-TR"/>
        </w:rPr>
        <w:t>Kok giderme işleminden kaynaklanan emisyonları azaltmaya yönelik teknikler</w:t>
      </w:r>
      <w:bookmarkEnd w:id="23"/>
    </w:p>
    <w:p w14:paraId="2418E876" w14:textId="0038CC51"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MET 20:</w:t>
      </w:r>
      <w:r w:rsidRPr="00F50C10">
        <w:rPr>
          <w:rFonts w:eastAsia="Times New Roman" w:cs="Times New Roman"/>
          <w:szCs w:val="24"/>
          <w:lang w:val="tr-TR"/>
        </w:rPr>
        <w:t xml:space="preserve"> </w:t>
      </w:r>
      <w:r w:rsidR="000F1401" w:rsidRPr="00F50C10">
        <w:rPr>
          <w:rFonts w:eastAsia="Times New Roman" w:cs="Times New Roman"/>
          <w:szCs w:val="24"/>
          <w:lang w:val="tr-TR"/>
        </w:rPr>
        <w:t xml:space="preserve">Parçalama </w:t>
      </w:r>
      <w:r w:rsidRPr="00F50C10">
        <w:rPr>
          <w:rFonts w:eastAsia="Times New Roman" w:cs="Times New Roman"/>
          <w:bCs/>
          <w:szCs w:val="24"/>
          <w:lang w:val="tr-TR"/>
        </w:rPr>
        <w:t>borularının</w:t>
      </w:r>
      <w:r w:rsidR="0077229E" w:rsidRPr="00F50C10">
        <w:rPr>
          <w:rFonts w:eastAsia="Times New Roman" w:cs="Times New Roman"/>
          <w:bCs/>
          <w:szCs w:val="24"/>
          <w:lang w:val="tr-TR"/>
        </w:rPr>
        <w:t xml:space="preserve"> </w:t>
      </w:r>
      <w:r w:rsidR="000F1401" w:rsidRPr="00F50C10">
        <w:rPr>
          <w:rFonts w:eastAsia="Times New Roman" w:cs="Times New Roman"/>
          <w:szCs w:val="24"/>
          <w:lang w:val="tr-TR"/>
        </w:rPr>
        <w:t>(</w:t>
      </w:r>
      <w:r w:rsidR="000F1401" w:rsidRPr="00F50C10">
        <w:rPr>
          <w:rFonts w:eastAsia="Times New Roman" w:cs="Times New Roman"/>
          <w:bCs/>
          <w:szCs w:val="24"/>
          <w:lang w:val="tr-TR"/>
        </w:rPr>
        <w:t xml:space="preserve">Cracker tubes) </w:t>
      </w:r>
      <w:r w:rsidRPr="00F50C10">
        <w:rPr>
          <w:rFonts w:eastAsia="Times New Roman" w:cs="Times New Roman"/>
          <w:bCs/>
          <w:szCs w:val="24"/>
          <w:lang w:val="tr-TR"/>
        </w:rPr>
        <w:t xml:space="preserve">koksuzlaştırılmasından kaynaklanan toz ve CO emisyonlarını azaltmak için aşağıda verilen koksuzlaştırma sıklığını azaltmaya yönelik </w:t>
      </w:r>
      <w:r w:rsidR="001A6C7A" w:rsidRPr="00F50C10">
        <w:rPr>
          <w:rFonts w:eastAsia="Times New Roman" w:cs="Times New Roman"/>
          <w:bCs/>
          <w:szCs w:val="24"/>
          <w:lang w:val="tr-TR"/>
        </w:rPr>
        <w:t>tekniklerden biri veya birkaçı</w:t>
      </w:r>
      <w:r w:rsidRPr="00F50C10">
        <w:rPr>
          <w:rFonts w:eastAsia="Times New Roman" w:cs="Times New Roman"/>
          <w:bCs/>
          <w:szCs w:val="24"/>
          <w:lang w:val="tr-TR"/>
        </w:rPr>
        <w:t xml:space="preserve"> kullan</w:t>
      </w:r>
      <w:r w:rsidR="001A6C7A" w:rsidRPr="00F50C10">
        <w:rPr>
          <w:rFonts w:eastAsia="Times New Roman" w:cs="Times New Roman"/>
          <w:bCs/>
          <w:szCs w:val="24"/>
          <w:lang w:val="tr-TR"/>
        </w:rPr>
        <w:t>ılır.</w:t>
      </w:r>
    </w:p>
    <w:tbl>
      <w:tblPr>
        <w:tblStyle w:val="TableNormal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3800"/>
        <w:gridCol w:w="2955"/>
        <w:gridCol w:w="1962"/>
      </w:tblGrid>
      <w:tr w:rsidR="00BB704F" w:rsidRPr="00F50C10" w14:paraId="2A093BB1" w14:textId="77777777" w:rsidTr="00BB704F">
        <w:trPr>
          <w:trHeight w:val="230"/>
        </w:trPr>
        <w:tc>
          <w:tcPr>
            <w:tcW w:w="243" w:type="dxa"/>
            <w:tcBorders>
              <w:top w:val="single" w:sz="4" w:space="0" w:color="auto"/>
              <w:right w:val="single" w:sz="4" w:space="0" w:color="auto"/>
            </w:tcBorders>
          </w:tcPr>
          <w:p w14:paraId="6A9AC491"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3870" w:type="dxa"/>
            <w:tcBorders>
              <w:top w:val="single" w:sz="4" w:space="0" w:color="auto"/>
              <w:left w:val="single" w:sz="4" w:space="0" w:color="auto"/>
            </w:tcBorders>
          </w:tcPr>
          <w:p w14:paraId="4E73D660"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Teknik</w:t>
            </w:r>
          </w:p>
        </w:tc>
        <w:tc>
          <w:tcPr>
            <w:tcW w:w="2985" w:type="dxa"/>
          </w:tcPr>
          <w:p w14:paraId="4CF409B3"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964" w:type="dxa"/>
          </w:tcPr>
          <w:p w14:paraId="4924F649"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256BE0E7" w14:textId="77777777" w:rsidTr="00BB704F">
        <w:trPr>
          <w:trHeight w:val="230"/>
        </w:trPr>
        <w:tc>
          <w:tcPr>
            <w:tcW w:w="9062" w:type="dxa"/>
            <w:gridSpan w:val="4"/>
            <w:tcBorders>
              <w:top w:val="single" w:sz="4" w:space="0" w:color="auto"/>
            </w:tcBorders>
          </w:tcPr>
          <w:p w14:paraId="3F43C1BA" w14:textId="77777777" w:rsidR="00BB704F" w:rsidRPr="00F50C10" w:rsidRDefault="00BB704F" w:rsidP="000B206D">
            <w:pPr>
              <w:spacing w:line="276" w:lineRule="auto"/>
              <w:ind w:left="108" w:right="108"/>
              <w:rPr>
                <w:rFonts w:eastAsia="Times New Roman" w:cs="Times New Roman"/>
                <w:b/>
                <w:szCs w:val="24"/>
                <w:lang w:val="tr-TR" w:bidi="tr-TR"/>
              </w:rPr>
            </w:pPr>
            <w:r w:rsidRPr="00F50C10">
              <w:rPr>
                <w:rFonts w:eastAsia="Times New Roman" w:cs="Times New Roman"/>
                <w:b/>
                <w:i/>
                <w:szCs w:val="24"/>
                <w:lang w:val="tr-TR" w:bidi="tr-TR"/>
              </w:rPr>
              <w:t>Kok giderme sıklığını azaltmaya yönelik teknikler</w:t>
            </w:r>
          </w:p>
        </w:tc>
      </w:tr>
      <w:tr w:rsidR="00BB704F" w:rsidRPr="00F50C10" w14:paraId="2FF1271D" w14:textId="77777777" w:rsidTr="00BB704F">
        <w:trPr>
          <w:trHeight w:val="1504"/>
        </w:trPr>
        <w:tc>
          <w:tcPr>
            <w:tcW w:w="243" w:type="dxa"/>
            <w:vAlign w:val="center"/>
          </w:tcPr>
          <w:p w14:paraId="369FB9B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3870" w:type="dxa"/>
            <w:vAlign w:val="center"/>
          </w:tcPr>
          <w:p w14:paraId="28A45303"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Kok oluşumunu geciktiren boru malzemeleri</w:t>
            </w:r>
          </w:p>
        </w:tc>
        <w:tc>
          <w:tcPr>
            <w:tcW w:w="2985" w:type="dxa"/>
            <w:vAlign w:val="center"/>
          </w:tcPr>
          <w:p w14:paraId="4311500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Boruların yüzeyinde bulunan nikel, kok oluşumunu katalize eder. Dolayısıyla daha düşük nikel seviyelerine sahip malzemeler kullanmak veya borunun iç yüzeyini inert bir malzeme ile kaplamak, kok oluşum hızını geciktirebilir.</w:t>
            </w:r>
          </w:p>
        </w:tc>
        <w:tc>
          <w:tcPr>
            <w:tcW w:w="1964" w:type="dxa"/>
            <w:vAlign w:val="center"/>
          </w:tcPr>
          <w:p w14:paraId="0A38611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yeni üniteler veya geniş çaplı tesis yenilemeleri için geçerlidir.</w:t>
            </w:r>
          </w:p>
        </w:tc>
      </w:tr>
      <w:tr w:rsidR="00BB704F" w:rsidRPr="00F50C10" w14:paraId="5FD093C3" w14:textId="77777777" w:rsidTr="00BB704F">
        <w:trPr>
          <w:trHeight w:val="1379"/>
        </w:trPr>
        <w:tc>
          <w:tcPr>
            <w:tcW w:w="243" w:type="dxa"/>
            <w:vAlign w:val="center"/>
          </w:tcPr>
          <w:p w14:paraId="51765E1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3870" w:type="dxa"/>
            <w:vAlign w:val="center"/>
          </w:tcPr>
          <w:p w14:paraId="4505BC4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Hammadde beslemesinin kükürt bileşikleri ile katkılanması</w:t>
            </w:r>
          </w:p>
        </w:tc>
        <w:tc>
          <w:tcPr>
            <w:tcW w:w="2985" w:type="dxa"/>
            <w:vAlign w:val="center"/>
          </w:tcPr>
          <w:p w14:paraId="0813E02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Nikel sülfürler kok oluşumunu katalize etmediğinden, halihazırda istenen seviyede bulunmadıklarında kükürt bileşikleri ile beslemeye katkı yapmak, boru yüzeyinin pasifleşmesini teşvik edeceğinden, kok oluşumunu geciktirmeye de yardımcı olabilir.</w:t>
            </w:r>
          </w:p>
        </w:tc>
        <w:tc>
          <w:tcPr>
            <w:tcW w:w="1964" w:type="dxa"/>
            <w:vAlign w:val="center"/>
          </w:tcPr>
          <w:p w14:paraId="7D8B308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14B1C0D4" w14:textId="77777777" w:rsidTr="00BB704F">
        <w:trPr>
          <w:trHeight w:val="691"/>
        </w:trPr>
        <w:tc>
          <w:tcPr>
            <w:tcW w:w="243" w:type="dxa"/>
            <w:vAlign w:val="center"/>
          </w:tcPr>
          <w:p w14:paraId="5FC1840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3870" w:type="dxa"/>
            <w:vAlign w:val="center"/>
          </w:tcPr>
          <w:p w14:paraId="1DF2880A" w14:textId="77777777" w:rsidR="00BB704F" w:rsidRPr="00F50C10" w:rsidRDefault="00BB704F" w:rsidP="000B206D">
            <w:pPr>
              <w:spacing w:before="108" w:line="276" w:lineRule="auto"/>
              <w:ind w:left="108" w:right="108"/>
              <w:rPr>
                <w:rFonts w:eastAsia="Times New Roman" w:cs="Times New Roman"/>
                <w:szCs w:val="24"/>
                <w:lang w:val="tr-TR"/>
              </w:rPr>
            </w:pPr>
            <w:r w:rsidRPr="00F50C10">
              <w:rPr>
                <w:rFonts w:eastAsia="Times New Roman" w:cs="Times New Roman"/>
                <w:szCs w:val="24"/>
                <w:lang w:val="tr-TR" w:bidi="tr-TR"/>
              </w:rPr>
              <w:t>Termal koksuzlaştırma işleminin optimizasyonu</w:t>
            </w:r>
          </w:p>
        </w:tc>
        <w:tc>
          <w:tcPr>
            <w:tcW w:w="2985" w:type="dxa"/>
            <w:vAlign w:val="center"/>
          </w:tcPr>
          <w:p w14:paraId="7C59A16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Kok giderme işlemini en üst düzeye çıkarmak için kok çözme döngüsü boyunca hava akışı, sıcaklık ve buhar içeriği gibi çalışma koşullarının optimizasyonu</w:t>
            </w:r>
          </w:p>
        </w:tc>
        <w:tc>
          <w:tcPr>
            <w:tcW w:w="1964" w:type="dxa"/>
            <w:vAlign w:val="center"/>
          </w:tcPr>
          <w:p w14:paraId="1591C7F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4DB7B355" w14:textId="77777777" w:rsidTr="00BB704F">
        <w:trPr>
          <w:trHeight w:val="230"/>
        </w:trPr>
        <w:tc>
          <w:tcPr>
            <w:tcW w:w="9062" w:type="dxa"/>
            <w:gridSpan w:val="4"/>
            <w:vAlign w:val="center"/>
          </w:tcPr>
          <w:p w14:paraId="023F33ED" w14:textId="77777777" w:rsidR="00BB704F" w:rsidRPr="00F50C10" w:rsidRDefault="00BB704F" w:rsidP="000B206D">
            <w:pPr>
              <w:spacing w:line="276" w:lineRule="auto"/>
              <w:ind w:left="108" w:right="108"/>
              <w:rPr>
                <w:rFonts w:eastAsia="Times New Roman" w:cs="Times New Roman"/>
                <w:b/>
                <w:i/>
                <w:szCs w:val="24"/>
                <w:lang w:val="tr-TR"/>
              </w:rPr>
            </w:pPr>
            <w:r w:rsidRPr="00F50C10">
              <w:rPr>
                <w:rFonts w:eastAsia="Times New Roman" w:cs="Times New Roman"/>
                <w:b/>
                <w:i/>
                <w:szCs w:val="24"/>
                <w:lang w:val="tr-TR" w:bidi="tr-TR"/>
              </w:rPr>
              <w:t>Azaltma teknikleri</w:t>
            </w:r>
          </w:p>
        </w:tc>
      </w:tr>
      <w:tr w:rsidR="00BB704F" w:rsidRPr="00F50C10" w14:paraId="23F13153" w14:textId="77777777" w:rsidTr="00BB704F">
        <w:trPr>
          <w:trHeight w:val="230"/>
        </w:trPr>
        <w:tc>
          <w:tcPr>
            <w:tcW w:w="243" w:type="dxa"/>
            <w:vAlign w:val="center"/>
          </w:tcPr>
          <w:p w14:paraId="1B67B27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d</w:t>
            </w:r>
          </w:p>
        </w:tc>
        <w:tc>
          <w:tcPr>
            <w:tcW w:w="3870" w:type="dxa"/>
            <w:vAlign w:val="center"/>
          </w:tcPr>
          <w:p w14:paraId="7436C0B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Islak toz yıkama</w:t>
            </w:r>
          </w:p>
        </w:tc>
        <w:tc>
          <w:tcPr>
            <w:tcW w:w="2985" w:type="dxa"/>
            <w:vAlign w:val="center"/>
          </w:tcPr>
          <w:p w14:paraId="738B465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 Bölüm </w:t>
            </w:r>
            <w:r w:rsidRPr="00F50C10">
              <w:rPr>
                <w:rFonts w:eastAsia="Times New Roman" w:cs="Times New Roman"/>
                <w:szCs w:val="24"/>
                <w:lang w:val="tr-TR"/>
              </w:rPr>
              <w:fldChar w:fldCharType="begin"/>
            </w:r>
            <w:r w:rsidRPr="00F50C10">
              <w:rPr>
                <w:rFonts w:eastAsia="Times New Roman" w:cs="Times New Roman"/>
                <w:szCs w:val="24"/>
                <w:lang w:val="tr-TR" w:bidi="tr-TR"/>
              </w:rPr>
              <w:instrText xml:space="preserve"> REF _Ref136595878 \n \h </w:instrText>
            </w:r>
            <w:r w:rsidRPr="00F50C10">
              <w:rPr>
                <w:rFonts w:eastAsia="Times New Roman" w:cs="Times New Roman"/>
                <w:szCs w:val="24"/>
                <w:lang w:val="tr-TR"/>
              </w:rPr>
              <w:instrText xml:space="preserve"> \* MERGEFORMAT </w:instrText>
            </w:r>
            <w:r w:rsidRPr="00F50C10">
              <w:rPr>
                <w:rFonts w:eastAsia="Times New Roman" w:cs="Times New Roman"/>
                <w:szCs w:val="24"/>
                <w:lang w:val="tr-TR"/>
              </w:rPr>
            </w:r>
            <w:r w:rsidRPr="00F50C10">
              <w:rPr>
                <w:rFonts w:eastAsia="Times New Roman" w:cs="Times New Roman"/>
                <w:szCs w:val="24"/>
                <w:lang w:val="tr-TR"/>
              </w:rPr>
              <w:fldChar w:fldCharType="separate"/>
            </w:r>
            <w:r w:rsidRPr="00F50C10">
              <w:rPr>
                <w:rFonts w:eastAsia="Times New Roman" w:cs="Times New Roman"/>
                <w:szCs w:val="24"/>
                <w:lang w:val="tr-TR" w:bidi="tr-TR"/>
              </w:rPr>
              <w:t>12.1</w:t>
            </w:r>
            <w:r w:rsidRPr="00F50C10">
              <w:rPr>
                <w:rFonts w:eastAsia="Times New Roman" w:cs="Times New Roman"/>
                <w:szCs w:val="24"/>
                <w:lang w:val="tr-TR"/>
              </w:rPr>
              <w:fldChar w:fldCharType="end"/>
            </w:r>
          </w:p>
        </w:tc>
        <w:tc>
          <w:tcPr>
            <w:tcW w:w="1964" w:type="dxa"/>
            <w:vAlign w:val="center"/>
          </w:tcPr>
          <w:p w14:paraId="4116D4D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5440D818" w14:textId="77777777" w:rsidTr="00BB704F">
        <w:trPr>
          <w:trHeight w:val="230"/>
        </w:trPr>
        <w:tc>
          <w:tcPr>
            <w:tcW w:w="243" w:type="dxa"/>
            <w:vAlign w:val="center"/>
          </w:tcPr>
          <w:p w14:paraId="76FE0D7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e</w:t>
            </w:r>
          </w:p>
        </w:tc>
        <w:tc>
          <w:tcPr>
            <w:tcW w:w="3870" w:type="dxa"/>
            <w:vAlign w:val="center"/>
          </w:tcPr>
          <w:p w14:paraId="0B57D06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Kuru siklon</w:t>
            </w:r>
          </w:p>
        </w:tc>
        <w:tc>
          <w:tcPr>
            <w:tcW w:w="2985" w:type="dxa"/>
            <w:vAlign w:val="center"/>
          </w:tcPr>
          <w:p w14:paraId="42E19844"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Bkz. Bölüm 12.1</w:t>
            </w:r>
          </w:p>
        </w:tc>
        <w:tc>
          <w:tcPr>
            <w:tcW w:w="1964" w:type="dxa"/>
            <w:vAlign w:val="center"/>
          </w:tcPr>
          <w:p w14:paraId="639B34A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70459B3E" w14:textId="77777777" w:rsidTr="00BB704F">
        <w:trPr>
          <w:trHeight w:val="1379"/>
        </w:trPr>
        <w:tc>
          <w:tcPr>
            <w:tcW w:w="243" w:type="dxa"/>
            <w:vAlign w:val="center"/>
          </w:tcPr>
          <w:p w14:paraId="56AEE53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f</w:t>
            </w:r>
          </w:p>
        </w:tc>
        <w:tc>
          <w:tcPr>
            <w:tcW w:w="3870" w:type="dxa"/>
            <w:vAlign w:val="center"/>
          </w:tcPr>
          <w:p w14:paraId="0E9D2ACE" w14:textId="77777777" w:rsidR="00BB704F" w:rsidRPr="00F50C10" w:rsidRDefault="00BB704F" w:rsidP="000B206D">
            <w:pPr>
              <w:spacing w:before="1" w:line="276" w:lineRule="auto"/>
              <w:ind w:left="108" w:right="108"/>
              <w:rPr>
                <w:rFonts w:eastAsia="Times New Roman" w:cs="Times New Roman"/>
                <w:szCs w:val="24"/>
                <w:lang w:val="tr-TR"/>
              </w:rPr>
            </w:pPr>
            <w:r w:rsidRPr="00F50C10">
              <w:rPr>
                <w:rFonts w:eastAsia="Times New Roman" w:cs="Times New Roman"/>
                <w:szCs w:val="24"/>
                <w:lang w:val="tr-TR" w:bidi="tr-TR"/>
              </w:rPr>
              <w:t>Kok giderme gazının proses fırınında /ısıtıcısında yakılması</w:t>
            </w:r>
          </w:p>
        </w:tc>
        <w:tc>
          <w:tcPr>
            <w:tcW w:w="2985" w:type="dxa"/>
            <w:vAlign w:val="center"/>
          </w:tcPr>
          <w:p w14:paraId="3E7FEBEA" w14:textId="77777777" w:rsidR="00BB704F" w:rsidRPr="00F50C10" w:rsidRDefault="00BB704F" w:rsidP="000B206D">
            <w:pPr>
              <w:spacing w:before="5" w:line="276" w:lineRule="auto"/>
              <w:ind w:left="108" w:right="108"/>
              <w:rPr>
                <w:rFonts w:eastAsia="Times New Roman" w:cs="Times New Roman"/>
                <w:b/>
                <w:bCs/>
                <w:szCs w:val="24"/>
                <w:lang w:val="tr-TR"/>
              </w:rPr>
            </w:pPr>
            <w:r w:rsidRPr="00F50C10">
              <w:rPr>
                <w:rFonts w:eastAsia="Times New Roman" w:cs="Times New Roman"/>
                <w:szCs w:val="24"/>
                <w:lang w:val="tr-TR" w:bidi="tr-TR"/>
              </w:rPr>
              <w:t>Dekarbonizasyon atık gaz akışı, kok partiküllerinin (ve CO) daha fazla yakıldığı dekarbonizasyon sırasında proses fırınından / ısıtıcısından geçirilir.</w:t>
            </w:r>
          </w:p>
        </w:tc>
        <w:tc>
          <w:tcPr>
            <w:tcW w:w="1964" w:type="dxa"/>
            <w:vAlign w:val="center"/>
          </w:tcPr>
          <w:p w14:paraId="4C8A49FF" w14:textId="77777777" w:rsidR="00BB704F" w:rsidRPr="00F50C10" w:rsidRDefault="00BB704F" w:rsidP="000B206D">
            <w:pPr>
              <w:tabs>
                <w:tab w:val="left" w:pos="1686"/>
              </w:tabs>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Mevcut tesisler için uygulanabilirlik, boru tesisatı sistemlerinin tasarımı veya yangına dayanıklı kısıtlamalar ile sınırlandırılabilir.</w:t>
            </w:r>
          </w:p>
        </w:tc>
      </w:tr>
    </w:tbl>
    <w:p w14:paraId="6F05D551"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24" w:name="_Toc136613707"/>
      <w:r w:rsidRPr="00F50C10">
        <w:rPr>
          <w:rFonts w:eastAsia="Times New Roman" w:cs="Times New Roman"/>
          <w:b/>
          <w:szCs w:val="24"/>
          <w:lang w:val="tr-TR"/>
        </w:rPr>
        <w:t>Suya Deşarjlar</w:t>
      </w:r>
      <w:bookmarkEnd w:id="24"/>
    </w:p>
    <w:p w14:paraId="112E9EC1" w14:textId="611642BB" w:rsidR="00BB704F" w:rsidRPr="00F50C10" w:rsidRDefault="00BB704F" w:rsidP="000B206D">
      <w:pPr>
        <w:widowControl w:val="0"/>
        <w:autoSpaceDE w:val="0"/>
        <w:autoSpaceDN w:val="0"/>
        <w:spacing w:before="240" w:line="276" w:lineRule="auto"/>
        <w:rPr>
          <w:rFonts w:eastAsia="Times New Roman" w:cs="Times New Roman"/>
          <w:bCs/>
          <w:szCs w:val="24"/>
          <w:lang w:val="tr-TR"/>
        </w:rPr>
      </w:pPr>
      <w:r w:rsidRPr="00F50C10">
        <w:rPr>
          <w:rFonts w:eastAsia="Times New Roman" w:cs="Times New Roman"/>
          <w:b/>
          <w:bCs/>
          <w:szCs w:val="24"/>
          <w:lang w:val="tr-TR"/>
        </w:rPr>
        <w:t xml:space="preserve">MET 21: </w:t>
      </w:r>
      <w:r w:rsidR="000F1401" w:rsidRPr="00F50C10">
        <w:rPr>
          <w:rFonts w:eastAsia="Times New Roman" w:cs="Times New Roman"/>
          <w:bCs/>
          <w:szCs w:val="24"/>
          <w:lang w:val="tr-TR"/>
        </w:rPr>
        <w:t>Atık su arıtıma tesisine</w:t>
      </w:r>
      <w:r w:rsidRPr="00F50C10">
        <w:rPr>
          <w:rFonts w:eastAsia="Times New Roman" w:cs="Times New Roman"/>
          <w:bCs/>
          <w:szCs w:val="24"/>
          <w:lang w:val="tr-TR"/>
        </w:rPr>
        <w:t xml:space="preserve"> </w:t>
      </w:r>
      <w:r w:rsidR="000F1401" w:rsidRPr="00F50C10">
        <w:rPr>
          <w:rFonts w:eastAsia="Times New Roman" w:cs="Times New Roman"/>
          <w:bCs/>
          <w:szCs w:val="24"/>
          <w:lang w:val="tr-TR"/>
        </w:rPr>
        <w:t xml:space="preserve">deşarj edilen organik bileşiklerin miktarını </w:t>
      </w:r>
      <w:r w:rsidRPr="00F50C10">
        <w:rPr>
          <w:rFonts w:eastAsia="Times New Roman" w:cs="Times New Roman"/>
          <w:bCs/>
          <w:szCs w:val="24"/>
          <w:lang w:val="tr-TR"/>
        </w:rPr>
        <w:t xml:space="preserve">önlemek </w:t>
      </w:r>
      <w:r w:rsidR="000F1401" w:rsidRPr="00F50C10">
        <w:rPr>
          <w:rFonts w:eastAsia="Times New Roman" w:cs="Times New Roman"/>
          <w:bCs/>
          <w:szCs w:val="24"/>
          <w:lang w:val="tr-TR"/>
        </w:rPr>
        <w:t xml:space="preserve">veya </w:t>
      </w:r>
      <w:r w:rsidRPr="00F50C10">
        <w:rPr>
          <w:rFonts w:eastAsia="Times New Roman" w:cs="Times New Roman"/>
          <w:bCs/>
          <w:szCs w:val="24"/>
          <w:lang w:val="tr-TR"/>
        </w:rPr>
        <w:t>azaltmak için</w:t>
      </w:r>
      <w:r w:rsidR="000F1401" w:rsidRPr="00F50C10">
        <w:rPr>
          <w:rFonts w:eastAsia="Times New Roman" w:cs="Times New Roman"/>
          <w:bCs/>
          <w:szCs w:val="24"/>
          <w:lang w:val="tr-TR"/>
        </w:rPr>
        <w:t>;</w:t>
      </w:r>
      <w:r w:rsidRPr="00F50C10">
        <w:rPr>
          <w:rFonts w:eastAsia="Times New Roman" w:cs="Times New Roman"/>
          <w:bCs/>
          <w:szCs w:val="24"/>
          <w:lang w:val="tr-TR"/>
        </w:rPr>
        <w:t xml:space="preserve"> birincil ayrımlama aşamasının söndürme suyundan </w:t>
      </w:r>
      <w:r w:rsidR="00161003" w:rsidRPr="00F50C10">
        <w:rPr>
          <w:rFonts w:eastAsia="Times New Roman" w:cs="Times New Roman"/>
          <w:bCs/>
          <w:szCs w:val="24"/>
          <w:lang w:val="tr-TR"/>
        </w:rPr>
        <w:t xml:space="preserve">hidrokarbonların </w:t>
      </w:r>
      <w:r w:rsidRPr="00F50C10">
        <w:rPr>
          <w:rFonts w:eastAsia="Times New Roman" w:cs="Times New Roman"/>
          <w:bCs/>
          <w:szCs w:val="24"/>
          <w:lang w:val="tr-TR"/>
        </w:rPr>
        <w:t>geri kazanımı en üst düzeye çıkar</w:t>
      </w:r>
      <w:r w:rsidR="0077229E" w:rsidRPr="00F50C10">
        <w:rPr>
          <w:rFonts w:eastAsia="Times New Roman" w:cs="Times New Roman"/>
          <w:bCs/>
          <w:szCs w:val="24"/>
          <w:lang w:val="tr-TR"/>
        </w:rPr>
        <w:t>ılır</w:t>
      </w:r>
      <w:r w:rsidRPr="00F50C10">
        <w:rPr>
          <w:rFonts w:eastAsia="Times New Roman" w:cs="Times New Roman"/>
          <w:bCs/>
          <w:szCs w:val="24"/>
          <w:lang w:val="tr-TR"/>
        </w:rPr>
        <w:t xml:space="preserve"> ve </w:t>
      </w:r>
      <w:r w:rsidR="00161003" w:rsidRPr="00F50C10">
        <w:rPr>
          <w:rFonts w:eastAsia="Times New Roman" w:cs="Times New Roman"/>
          <w:bCs/>
          <w:szCs w:val="24"/>
          <w:lang w:val="tr-TR"/>
        </w:rPr>
        <w:t>söndürme suyu seyrel</w:t>
      </w:r>
      <w:r w:rsidRPr="00F50C10">
        <w:rPr>
          <w:rFonts w:eastAsia="Times New Roman" w:cs="Times New Roman"/>
          <w:bCs/>
          <w:szCs w:val="24"/>
          <w:lang w:val="tr-TR"/>
        </w:rPr>
        <w:t>me buharı üretim sisteminde yeniden kullan</w:t>
      </w:r>
      <w:r w:rsidR="0077229E" w:rsidRPr="00F50C10">
        <w:rPr>
          <w:rFonts w:eastAsia="Times New Roman" w:cs="Times New Roman"/>
          <w:bCs/>
          <w:szCs w:val="24"/>
          <w:lang w:val="tr-TR"/>
        </w:rPr>
        <w:t>ılı</w:t>
      </w:r>
      <w:r w:rsidRPr="00F50C10">
        <w:rPr>
          <w:rFonts w:eastAsia="Times New Roman" w:cs="Times New Roman"/>
          <w:bCs/>
          <w:szCs w:val="24"/>
          <w:lang w:val="tr-TR"/>
        </w:rPr>
        <w:t>r.</w:t>
      </w:r>
    </w:p>
    <w:p w14:paraId="448D1EB1" w14:textId="77777777"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szCs w:val="24"/>
          <w:lang w:val="tr-TR"/>
        </w:rPr>
        <w:t>Teknik, organik ve sulu fazların etkili bir şekilde ayrılmasını sağlamaktan oluşur. Geri kazanılan hidrokarbonlar parçalayıcıya geri döndürülür veya diğer kimyasal işlemlerde hammadde olarak kullanılır. Organik geri kazanımı, örneğin buhar veya gazla sıyırma veya direkt temaslı kondenser (reboiler) kullanımıyla geliştirilebilir. Arıtılmış söndürme suyu, seyreltme buhar üretim sistemi içinde yeniden kullanılır. Sistemde tuz birikmesini önlemek için son atık su arıtmasına bir söndürme suyu tahliye akışı boşaltılır.</w:t>
      </w:r>
    </w:p>
    <w:p w14:paraId="74DF3833" w14:textId="3F4368A8" w:rsidR="00BB704F" w:rsidRPr="00F50C10" w:rsidRDefault="00BB704F" w:rsidP="000B206D">
      <w:pPr>
        <w:widowControl w:val="0"/>
        <w:autoSpaceDE w:val="0"/>
        <w:autoSpaceDN w:val="0"/>
        <w:spacing w:before="240" w:line="276" w:lineRule="auto"/>
        <w:rPr>
          <w:rFonts w:eastAsia="Times New Roman" w:cs="Times New Roman"/>
          <w:bCs/>
          <w:szCs w:val="24"/>
          <w:lang w:val="tr-TR"/>
        </w:rPr>
      </w:pPr>
      <w:r w:rsidRPr="00F50C10">
        <w:rPr>
          <w:rFonts w:eastAsia="Times New Roman" w:cs="Times New Roman"/>
          <w:b/>
          <w:bCs/>
          <w:szCs w:val="24"/>
          <w:lang w:val="tr-TR"/>
        </w:rPr>
        <w:t>MET 22:</w:t>
      </w:r>
      <w:r w:rsidRPr="00F50C10">
        <w:rPr>
          <w:rFonts w:eastAsia="Times New Roman" w:cs="Times New Roman"/>
          <w:szCs w:val="24"/>
          <w:lang w:val="tr-TR"/>
        </w:rPr>
        <w:t xml:space="preserve"> </w:t>
      </w:r>
      <w:r w:rsidRPr="00F50C10">
        <w:rPr>
          <w:rFonts w:eastAsia="Times New Roman" w:cs="Times New Roman"/>
          <w:bCs/>
          <w:szCs w:val="24"/>
          <w:lang w:val="tr-TR"/>
        </w:rPr>
        <w:t>H</w:t>
      </w:r>
      <w:r w:rsidRPr="00F50C10">
        <w:rPr>
          <w:rFonts w:eastAsia="Times New Roman" w:cs="Times New Roman"/>
          <w:bCs/>
          <w:szCs w:val="24"/>
          <w:vertAlign w:val="subscript"/>
          <w:lang w:val="tr-TR"/>
        </w:rPr>
        <w:t>2</w:t>
      </w:r>
      <w:r w:rsidRPr="00F50C10">
        <w:rPr>
          <w:rFonts w:eastAsia="Times New Roman" w:cs="Times New Roman"/>
          <w:bCs/>
          <w:szCs w:val="24"/>
          <w:lang w:val="tr-TR"/>
        </w:rPr>
        <w:t xml:space="preserve">S'nin parçalanmış </w:t>
      </w:r>
      <w:r w:rsidR="00161003" w:rsidRPr="00F50C10">
        <w:rPr>
          <w:rFonts w:eastAsia="Times New Roman" w:cs="Times New Roman"/>
          <w:bCs/>
          <w:szCs w:val="24"/>
          <w:lang w:val="tr-TR"/>
        </w:rPr>
        <w:t xml:space="preserve">(cracked) </w:t>
      </w:r>
      <w:r w:rsidRPr="00F50C10">
        <w:rPr>
          <w:rFonts w:eastAsia="Times New Roman" w:cs="Times New Roman"/>
          <w:bCs/>
          <w:szCs w:val="24"/>
          <w:lang w:val="tr-TR"/>
        </w:rPr>
        <w:t>gazlardan uzaklaştırılmasından kaynaklanan kullanılmış kostik y</w:t>
      </w:r>
      <w:r w:rsidR="00161003" w:rsidRPr="00F50C10">
        <w:rPr>
          <w:rFonts w:eastAsia="Times New Roman" w:cs="Times New Roman"/>
          <w:bCs/>
          <w:szCs w:val="24"/>
          <w:lang w:val="tr-TR"/>
        </w:rPr>
        <w:t>ıkama sıvısından atık su arıtma sistemine deşarj edilen</w:t>
      </w:r>
      <w:r w:rsidRPr="00F50C10">
        <w:rPr>
          <w:rFonts w:eastAsia="Times New Roman" w:cs="Times New Roman"/>
          <w:bCs/>
          <w:szCs w:val="24"/>
          <w:lang w:val="tr-TR"/>
        </w:rPr>
        <w:t xml:space="preserve"> organik yükü azaltmak için sıyırma yöntemi</w:t>
      </w:r>
      <w:r w:rsidR="000F1401" w:rsidRPr="00F50C10">
        <w:rPr>
          <w:rFonts w:eastAsia="Times New Roman" w:cs="Times New Roman"/>
          <w:bCs/>
          <w:szCs w:val="24"/>
          <w:lang w:val="tr-TR"/>
        </w:rPr>
        <w:t xml:space="preserve"> </w:t>
      </w:r>
      <w:r w:rsidR="00161003" w:rsidRPr="00F50C10">
        <w:rPr>
          <w:rFonts w:eastAsia="Times New Roman" w:cs="Times New Roman"/>
          <w:bCs/>
          <w:szCs w:val="24"/>
          <w:lang w:val="tr-TR"/>
        </w:rPr>
        <w:t xml:space="preserve">(stripping) </w:t>
      </w:r>
      <w:r w:rsidRPr="00F50C10">
        <w:rPr>
          <w:rFonts w:eastAsia="Times New Roman" w:cs="Times New Roman"/>
          <w:bCs/>
          <w:szCs w:val="24"/>
          <w:lang w:val="tr-TR"/>
        </w:rPr>
        <w:t>kullan</w:t>
      </w:r>
      <w:r w:rsidR="000F1401" w:rsidRPr="00F50C10">
        <w:rPr>
          <w:rFonts w:eastAsia="Times New Roman" w:cs="Times New Roman"/>
          <w:bCs/>
          <w:szCs w:val="24"/>
          <w:lang w:val="tr-TR"/>
        </w:rPr>
        <w:t>ılır.</w:t>
      </w:r>
    </w:p>
    <w:p w14:paraId="599E437A" w14:textId="2E0AE384"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szCs w:val="24"/>
          <w:lang w:val="tr-TR"/>
        </w:rPr>
        <w:t>Yıkayıcı sıvılarının sıyrılması, daha sonra yakılan (örneğin parçalayıcı fırınında) gaz halindeki bir akım kullanılarak gerçekleştirilir.</w:t>
      </w:r>
    </w:p>
    <w:p w14:paraId="278F7497" w14:textId="352D5C16" w:rsidR="00BB704F" w:rsidRPr="00F50C10" w:rsidRDefault="00BB704F" w:rsidP="000B206D">
      <w:pPr>
        <w:widowControl w:val="0"/>
        <w:autoSpaceDE w:val="0"/>
        <w:autoSpaceDN w:val="0"/>
        <w:spacing w:before="240" w:line="276" w:lineRule="auto"/>
        <w:rPr>
          <w:rFonts w:eastAsia="Times New Roman" w:cs="Times New Roman"/>
          <w:bCs/>
          <w:szCs w:val="24"/>
          <w:lang w:val="tr-TR"/>
        </w:rPr>
      </w:pPr>
      <w:r w:rsidRPr="00F50C10">
        <w:rPr>
          <w:rFonts w:eastAsia="Times New Roman" w:cs="Times New Roman"/>
          <w:b/>
          <w:bCs/>
          <w:szCs w:val="24"/>
          <w:lang w:val="tr-TR"/>
        </w:rPr>
        <w:t>MET 23:</w:t>
      </w:r>
      <w:r w:rsidRPr="00F50C10">
        <w:rPr>
          <w:rFonts w:eastAsia="Times New Roman" w:cs="Times New Roman"/>
          <w:szCs w:val="24"/>
          <w:lang w:val="tr-TR"/>
        </w:rPr>
        <w:t xml:space="preserve"> </w:t>
      </w:r>
      <w:r w:rsidRPr="00F50C10">
        <w:rPr>
          <w:rFonts w:eastAsia="Times New Roman" w:cs="Times New Roman"/>
          <w:bCs/>
          <w:szCs w:val="24"/>
          <w:lang w:val="tr-TR"/>
        </w:rPr>
        <w:t>Parçalanmış gazlardan asit gazlarının uzaklaştırılmasından kaynaklanan kullanılmış kostik yıkama sıvısından kaynaklı atık su arıtımına boşaltılan sülfit miktarını önlemek veya azaltmak için aşa</w:t>
      </w:r>
      <w:r w:rsidR="003C319B" w:rsidRPr="00F50C10">
        <w:rPr>
          <w:rFonts w:eastAsia="Times New Roman" w:cs="Times New Roman"/>
          <w:bCs/>
          <w:szCs w:val="24"/>
          <w:lang w:val="tr-TR"/>
        </w:rPr>
        <w:t>ğıda verilen tekniklerden biri</w:t>
      </w:r>
      <w:r w:rsidRPr="00F50C10">
        <w:rPr>
          <w:rFonts w:eastAsia="Times New Roman" w:cs="Times New Roman"/>
          <w:bCs/>
          <w:szCs w:val="24"/>
          <w:lang w:val="tr-TR"/>
        </w:rPr>
        <w:t xml:space="preserve"> veya birkaçını kullan</w:t>
      </w:r>
      <w:r w:rsidR="003C319B" w:rsidRPr="00F50C10">
        <w:rPr>
          <w:rFonts w:eastAsia="Times New Roman" w:cs="Times New Roman"/>
          <w:bCs/>
          <w:szCs w:val="24"/>
          <w:lang w:val="tr-TR"/>
        </w:rPr>
        <w:t>ılır.</w:t>
      </w:r>
    </w:p>
    <w:tbl>
      <w:tblPr>
        <w:tblStyle w:val="TableNormal1"/>
        <w:tblW w:w="47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653"/>
        <w:gridCol w:w="2533"/>
        <w:gridCol w:w="2602"/>
      </w:tblGrid>
      <w:tr w:rsidR="00BB704F" w:rsidRPr="00F50C10" w14:paraId="5CA94AAB" w14:textId="77777777" w:rsidTr="003C319B">
        <w:trPr>
          <w:trHeight w:val="230"/>
          <w:tblHeader/>
          <w:jc w:val="center"/>
        </w:trPr>
        <w:tc>
          <w:tcPr>
            <w:tcW w:w="210" w:type="pct"/>
            <w:tcBorders>
              <w:right w:val="single" w:sz="4" w:space="0" w:color="auto"/>
            </w:tcBorders>
            <w:vAlign w:val="center"/>
          </w:tcPr>
          <w:p w14:paraId="45789375"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632" w:type="pct"/>
            <w:tcBorders>
              <w:left w:val="single" w:sz="4" w:space="0" w:color="auto"/>
            </w:tcBorders>
            <w:vAlign w:val="center"/>
          </w:tcPr>
          <w:p w14:paraId="3DBDB7BC" w14:textId="77777777" w:rsidR="00BB704F" w:rsidRPr="00F50C10" w:rsidRDefault="00BB704F" w:rsidP="000B206D">
            <w:pPr>
              <w:spacing w:line="276" w:lineRule="auto"/>
              <w:ind w:right="1119"/>
              <w:jc w:val="center"/>
              <w:rPr>
                <w:rFonts w:eastAsia="Times New Roman" w:cs="Times New Roman"/>
                <w:b/>
                <w:szCs w:val="24"/>
                <w:lang w:val="tr-TR"/>
              </w:rPr>
            </w:pPr>
            <w:r w:rsidRPr="00F50C10">
              <w:rPr>
                <w:rFonts w:eastAsia="Times New Roman" w:cs="Times New Roman"/>
                <w:b/>
                <w:szCs w:val="24"/>
                <w:lang w:val="tr-TR" w:bidi="tr-TR"/>
              </w:rPr>
              <w:t>Teknik</w:t>
            </w:r>
          </w:p>
        </w:tc>
        <w:tc>
          <w:tcPr>
            <w:tcW w:w="1558" w:type="pct"/>
            <w:vAlign w:val="center"/>
          </w:tcPr>
          <w:p w14:paraId="323E8509"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600" w:type="pct"/>
            <w:vAlign w:val="center"/>
          </w:tcPr>
          <w:p w14:paraId="238266AA" w14:textId="77777777" w:rsidR="00BB704F" w:rsidRPr="00F50C10" w:rsidRDefault="00BB704F" w:rsidP="000B206D">
            <w:pPr>
              <w:spacing w:line="276" w:lineRule="auto"/>
              <w:ind w:right="52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2E99B248" w14:textId="77777777" w:rsidTr="003C319B">
        <w:trPr>
          <w:trHeight w:val="921"/>
          <w:jc w:val="center"/>
        </w:trPr>
        <w:tc>
          <w:tcPr>
            <w:tcW w:w="210" w:type="pct"/>
            <w:vAlign w:val="center"/>
          </w:tcPr>
          <w:p w14:paraId="65A263D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632" w:type="pct"/>
            <w:vAlign w:val="center"/>
          </w:tcPr>
          <w:p w14:paraId="21DC907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Parçalayıcı beslemesinde düşük kükürtlü hammadde kullanımı.</w:t>
            </w:r>
          </w:p>
        </w:tc>
        <w:tc>
          <w:tcPr>
            <w:tcW w:w="1558" w:type="pct"/>
            <w:vAlign w:val="center"/>
          </w:tcPr>
          <w:p w14:paraId="259ECD8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Düşük kükürt içeriğine sahip veya kükürtten arındırılmış hammaddelerin kullanılması.</w:t>
            </w:r>
          </w:p>
        </w:tc>
        <w:tc>
          <w:tcPr>
            <w:tcW w:w="1600" w:type="pct"/>
            <w:vAlign w:val="center"/>
          </w:tcPr>
          <w:p w14:paraId="58401CB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Uygulanabilirlik, kok birikimini azaltmak için kükürt katkılama gereksinimi nedeniyle sınırlı olabilir.</w:t>
            </w:r>
          </w:p>
        </w:tc>
      </w:tr>
      <w:tr w:rsidR="00BB704F" w:rsidRPr="00F50C10" w14:paraId="1C3829B7" w14:textId="77777777" w:rsidTr="003C319B">
        <w:trPr>
          <w:trHeight w:val="1379"/>
          <w:jc w:val="center"/>
        </w:trPr>
        <w:tc>
          <w:tcPr>
            <w:tcW w:w="210" w:type="pct"/>
            <w:vAlign w:val="center"/>
          </w:tcPr>
          <w:p w14:paraId="595930E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632" w:type="pct"/>
            <w:vAlign w:val="center"/>
          </w:tcPr>
          <w:p w14:paraId="4DB6B37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Asit gazlarının giderilmesi için amin yıkama kullanımının en üst düzeye çıkarılması.</w:t>
            </w:r>
          </w:p>
        </w:tc>
        <w:tc>
          <w:tcPr>
            <w:tcW w:w="1558" w:type="pct"/>
            <w:vAlign w:val="center"/>
          </w:tcPr>
          <w:p w14:paraId="75108F82"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Parçalanmış gazların rejeneratif (amin) bir çözücü ile yıkanması, asidik gazların, özellikle de H2S'nin, üzerindeki yükü azaltmak için ardıl kostik yıkayıcı.</w:t>
            </w:r>
          </w:p>
        </w:tc>
        <w:tc>
          <w:tcPr>
            <w:tcW w:w="1600" w:type="pct"/>
            <w:vAlign w:val="center"/>
          </w:tcPr>
          <w:p w14:paraId="175E6AE9" w14:textId="35AF028D"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Düşük olefin parçalayıcı, kükürt geri kazanım ünitesinden</w:t>
            </w:r>
            <w:r w:rsidR="00037B84" w:rsidRPr="00F50C10">
              <w:rPr>
                <w:rFonts w:eastAsia="Times New Roman" w:cs="Times New Roman"/>
                <w:szCs w:val="24"/>
                <w:lang w:val="tr-TR" w:bidi="tr-TR"/>
              </w:rPr>
              <w:t xml:space="preserve"> (SRU)</w:t>
            </w:r>
            <w:r w:rsidRPr="00F50C10">
              <w:rPr>
                <w:rFonts w:eastAsia="Times New Roman" w:cs="Times New Roman"/>
                <w:szCs w:val="24"/>
                <w:lang w:val="tr-TR" w:bidi="tr-TR"/>
              </w:rPr>
              <w:t xml:space="preserve"> uzakta bulunuyorsa uygulanamaz. Mevcut tesisler için uygulanabilirlik, kükürt geri kazanım ünitesinin </w:t>
            </w:r>
            <w:r w:rsidR="00037B84" w:rsidRPr="00F50C10">
              <w:rPr>
                <w:rFonts w:eastAsia="Times New Roman" w:cs="Times New Roman"/>
                <w:szCs w:val="24"/>
                <w:lang w:val="tr-TR" w:bidi="tr-TR"/>
              </w:rPr>
              <w:t xml:space="preserve">(SRU) </w:t>
            </w:r>
            <w:r w:rsidRPr="00F50C10">
              <w:rPr>
                <w:rFonts w:eastAsia="Times New Roman" w:cs="Times New Roman"/>
                <w:szCs w:val="24"/>
                <w:lang w:val="tr-TR" w:bidi="tr-TR"/>
              </w:rPr>
              <w:t>kapasitesi ile sınırlı olabilir.</w:t>
            </w:r>
          </w:p>
        </w:tc>
      </w:tr>
      <w:tr w:rsidR="00BB704F" w:rsidRPr="00F50C10" w14:paraId="1C1BE9BB" w14:textId="77777777" w:rsidTr="003C319B">
        <w:trPr>
          <w:trHeight w:val="1841"/>
          <w:jc w:val="center"/>
        </w:trPr>
        <w:tc>
          <w:tcPr>
            <w:tcW w:w="210" w:type="pct"/>
            <w:vAlign w:val="center"/>
          </w:tcPr>
          <w:p w14:paraId="31A5066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632" w:type="pct"/>
            <w:vAlign w:val="center"/>
          </w:tcPr>
          <w:p w14:paraId="22F29A3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Oksidasyon</w:t>
            </w:r>
          </w:p>
        </w:tc>
        <w:tc>
          <w:tcPr>
            <w:tcW w:w="1558" w:type="pct"/>
            <w:vAlign w:val="center"/>
          </w:tcPr>
          <w:p w14:paraId="50132E29"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Kullanılmış yıkama sıvısında bulunan sülfitlerin, örneğin yüksek basınç ve sıcaklıktaki hava (ıslak hava oksidasyonu) veya hidrojen peroksit gibi bir oksitleyici ajan kullanılarak sülfatlara oksidasyonu.</w:t>
            </w:r>
          </w:p>
        </w:tc>
        <w:tc>
          <w:tcPr>
            <w:tcW w:w="1600" w:type="pct"/>
            <w:vAlign w:val="center"/>
          </w:tcPr>
          <w:p w14:paraId="0ADEB03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0ACAD71C" w14:textId="1F7C9A55" w:rsidR="00BB704F" w:rsidRPr="00F50C10" w:rsidRDefault="00BB704F" w:rsidP="00A654AE">
      <w:pPr>
        <w:widowControl w:val="0"/>
        <w:numPr>
          <w:ilvl w:val="0"/>
          <w:numId w:val="179"/>
        </w:numPr>
        <w:autoSpaceDE w:val="0"/>
        <w:autoSpaceDN w:val="0"/>
        <w:spacing w:before="240" w:line="276" w:lineRule="auto"/>
        <w:jc w:val="left"/>
        <w:outlineLvl w:val="0"/>
        <w:rPr>
          <w:rFonts w:eastAsia="Times New Roman" w:cs="Times New Roman"/>
          <w:b/>
          <w:bCs/>
          <w:szCs w:val="24"/>
          <w:lang w:val="tr-TR"/>
        </w:rPr>
      </w:pPr>
      <w:bookmarkStart w:id="25" w:name="_Toc136613708"/>
      <w:r w:rsidRPr="00F50C10">
        <w:rPr>
          <w:rFonts w:eastAsia="Times New Roman" w:cs="Times New Roman"/>
          <w:b/>
          <w:bCs/>
          <w:szCs w:val="24"/>
          <w:lang w:val="tr-TR"/>
        </w:rPr>
        <w:t xml:space="preserve">AROMATİKLERİN ÜRETİMİNE İLİŞKİN MET </w:t>
      </w:r>
      <w:bookmarkEnd w:id="25"/>
    </w:p>
    <w:p w14:paraId="22AB060B" w14:textId="68FADE44" w:rsidR="00BB704F" w:rsidRPr="00F50C10" w:rsidRDefault="00377EE5"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szCs w:val="24"/>
          <w:lang w:val="tr-TR"/>
        </w:rPr>
        <w:t>Bu kısımdaki MET</w:t>
      </w:r>
      <w:r w:rsidR="00BB704F" w:rsidRPr="00F50C10">
        <w:rPr>
          <w:rFonts w:eastAsia="Times New Roman" w:cs="Times New Roman"/>
          <w:szCs w:val="24"/>
          <w:lang w:val="tr-TR"/>
        </w:rPr>
        <w:t xml:space="preserve">, benzen, toluen, orto-, meta- ve para-ksilen (yaygın olarak BTX aromatikleri olarak bilinir) üretimi ve buharlı parçalayıcıların piroliz benzini yan ürününden ve katalitik reformatörlerde üretilen reformat/naftadan kaynaklanan sikloheksan için geçerlidir ve </w:t>
      </w:r>
      <w:r w:rsidR="00037B84" w:rsidRPr="00F50C10">
        <w:rPr>
          <w:rFonts w:eastAsia="Times New Roman" w:cs="Times New Roman"/>
          <w:szCs w:val="24"/>
          <w:lang w:val="tr-TR"/>
        </w:rPr>
        <w:t>G</w:t>
      </w:r>
      <w:r w:rsidR="00BB704F" w:rsidRPr="00F50C10">
        <w:rPr>
          <w:rFonts w:eastAsia="Times New Roman" w:cs="Times New Roman"/>
          <w:szCs w:val="24"/>
          <w:lang w:val="tr-TR"/>
        </w:rPr>
        <w:t>enel MET</w:t>
      </w:r>
      <w:r w:rsidR="00037B84" w:rsidRPr="00F50C10">
        <w:rPr>
          <w:rFonts w:eastAsia="Times New Roman" w:cs="Times New Roman"/>
          <w:szCs w:val="24"/>
          <w:lang w:val="tr-TR"/>
        </w:rPr>
        <w:t xml:space="preserve">’e </w:t>
      </w:r>
      <w:r w:rsidR="00BB704F" w:rsidRPr="00F50C10">
        <w:rPr>
          <w:rFonts w:eastAsia="Times New Roman" w:cs="Times New Roman"/>
          <w:szCs w:val="24"/>
          <w:lang w:val="tr-TR"/>
        </w:rPr>
        <w:t>ek olarak uygulanır.</w:t>
      </w:r>
    </w:p>
    <w:p w14:paraId="1613A8AB"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26" w:name="_Toc136613709"/>
      <w:r w:rsidRPr="00F50C10">
        <w:rPr>
          <w:rFonts w:eastAsia="Times New Roman" w:cs="Times New Roman"/>
          <w:b/>
          <w:szCs w:val="24"/>
          <w:lang w:val="tr-TR"/>
        </w:rPr>
        <w:t>Hava Emisyonları</w:t>
      </w:r>
      <w:bookmarkEnd w:id="26"/>
    </w:p>
    <w:p w14:paraId="0B3A6557" w14:textId="47619E09" w:rsidR="00BB704F" w:rsidRPr="00F50C10" w:rsidRDefault="00BB704F" w:rsidP="000B206D">
      <w:pPr>
        <w:widowControl w:val="0"/>
        <w:autoSpaceDE w:val="0"/>
        <w:autoSpaceDN w:val="0"/>
        <w:spacing w:before="240" w:line="276" w:lineRule="auto"/>
        <w:rPr>
          <w:rFonts w:eastAsia="Times New Roman" w:cs="Times New Roman"/>
          <w:bCs/>
          <w:szCs w:val="24"/>
          <w:lang w:val="tr-TR"/>
        </w:rPr>
      </w:pPr>
      <w:r w:rsidRPr="00F50C10">
        <w:rPr>
          <w:rFonts w:eastAsia="Times New Roman" w:cs="Times New Roman"/>
          <w:b/>
          <w:bCs/>
          <w:szCs w:val="24"/>
          <w:lang w:val="tr-TR"/>
        </w:rPr>
        <w:t xml:space="preserve">MET 24: </w:t>
      </w:r>
      <w:r w:rsidRPr="00F50C10">
        <w:rPr>
          <w:rFonts w:eastAsia="Times New Roman" w:cs="Times New Roman"/>
          <w:bCs/>
          <w:szCs w:val="24"/>
          <w:lang w:val="tr-TR"/>
        </w:rPr>
        <w:t>Nihai atık gaz arıtımına gönderilen proses çıkış gazlarından kaynaklanan organik yükü azaltmak ve kaynak verimliliğini artırmak için MET 8b’nin uygulanması ile organik materyaller geri kazanı</w:t>
      </w:r>
      <w:r w:rsidR="0077229E" w:rsidRPr="00F50C10">
        <w:rPr>
          <w:rFonts w:eastAsia="Times New Roman" w:cs="Times New Roman"/>
          <w:bCs/>
          <w:szCs w:val="24"/>
          <w:lang w:val="tr-TR"/>
        </w:rPr>
        <w:t>l</w:t>
      </w:r>
      <w:r w:rsidRPr="00F50C10">
        <w:rPr>
          <w:rFonts w:eastAsia="Times New Roman" w:cs="Times New Roman"/>
          <w:bCs/>
          <w:szCs w:val="24"/>
          <w:lang w:val="tr-TR"/>
        </w:rPr>
        <w:t>ı</w:t>
      </w:r>
      <w:r w:rsidR="0077229E" w:rsidRPr="00F50C10">
        <w:rPr>
          <w:rFonts w:eastAsia="Times New Roman" w:cs="Times New Roman"/>
          <w:bCs/>
          <w:szCs w:val="24"/>
          <w:lang w:val="tr-TR"/>
        </w:rPr>
        <w:t>r</w:t>
      </w:r>
      <w:r w:rsidRPr="00F50C10">
        <w:rPr>
          <w:rFonts w:eastAsia="Times New Roman" w:cs="Times New Roman"/>
          <w:bCs/>
          <w:szCs w:val="24"/>
          <w:lang w:val="tr-TR"/>
        </w:rPr>
        <w:t>; veya bunun uygulanabilir olmadığı durumlarda, bu proses atık gazlarından enerji geri kazanı</w:t>
      </w:r>
      <w:r w:rsidR="0077229E" w:rsidRPr="00F50C10">
        <w:rPr>
          <w:rFonts w:eastAsia="Times New Roman" w:cs="Times New Roman"/>
          <w:bCs/>
          <w:szCs w:val="24"/>
          <w:lang w:val="tr-TR"/>
        </w:rPr>
        <w:t>l</w:t>
      </w:r>
      <w:r w:rsidR="00377EE5" w:rsidRPr="00F50C10">
        <w:rPr>
          <w:rFonts w:eastAsia="Times New Roman" w:cs="Times New Roman"/>
          <w:bCs/>
          <w:szCs w:val="24"/>
          <w:lang w:val="tr-TR"/>
        </w:rPr>
        <w:t>ır</w:t>
      </w:r>
      <w:r w:rsidR="004479F4" w:rsidRPr="00F50C10">
        <w:rPr>
          <w:rFonts w:eastAsia="Times New Roman" w:cs="Times New Roman"/>
          <w:bCs/>
          <w:szCs w:val="24"/>
          <w:lang w:val="tr-TR"/>
        </w:rPr>
        <w:t xml:space="preserve"> </w:t>
      </w:r>
      <w:r w:rsidRPr="00F50C10">
        <w:rPr>
          <w:rFonts w:eastAsia="Times New Roman" w:cs="Times New Roman"/>
          <w:bCs/>
          <w:szCs w:val="24"/>
          <w:lang w:val="tr-TR"/>
        </w:rPr>
        <w:t>(ayrıca bkz. MET 9).</w:t>
      </w:r>
    </w:p>
    <w:p w14:paraId="5A4E7D71" w14:textId="2813809A"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25: </w:t>
      </w:r>
      <w:r w:rsidRPr="00F50C10">
        <w:rPr>
          <w:rFonts w:eastAsia="Times New Roman" w:cs="Times New Roman"/>
          <w:bCs/>
          <w:szCs w:val="24"/>
          <w:lang w:val="tr-TR"/>
        </w:rPr>
        <w:t>Hidrojenleme katalizörü rejenerasyonundan kaynaklanan toz ve organik bileşiklerin hava emisyonlarını azaltmak için katalizör rejenerasyonu proses çıkış gazını uygun bir arıtma sistemine gönder</w:t>
      </w:r>
      <w:r w:rsidR="00D70EC4" w:rsidRPr="00F50C10">
        <w:rPr>
          <w:rFonts w:eastAsia="Times New Roman" w:cs="Times New Roman"/>
          <w:bCs/>
          <w:szCs w:val="24"/>
          <w:lang w:val="tr-TR"/>
        </w:rPr>
        <w:t>ilir</w:t>
      </w:r>
      <w:r w:rsidRPr="00F50C10">
        <w:rPr>
          <w:rFonts w:eastAsia="Times New Roman" w:cs="Times New Roman"/>
          <w:bCs/>
          <w:szCs w:val="24"/>
          <w:lang w:val="tr-TR"/>
        </w:rPr>
        <w:t>.</w:t>
      </w:r>
    </w:p>
    <w:p w14:paraId="7DBC47F2" w14:textId="77777777"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szCs w:val="24"/>
          <w:lang w:val="tr-TR"/>
        </w:rPr>
        <w:t>Proses çıkış gazı, tozu gidermek üzere yaş veya kuru toz azaltma cihazlarına ve ardından havaya doğrudan emisyonları veya alevlenmeyi önlemek üzere organik bileşikleri çıkarmak için bir yakma ünitesine veya bir termal oksitleyiciye gönderilir. Tek başına kok giderme tamburlarının kullanılması yeterli değildir.</w:t>
      </w:r>
    </w:p>
    <w:p w14:paraId="3B210394"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color w:val="365F91"/>
          <w:szCs w:val="24"/>
          <w:lang w:val="tr-TR"/>
        </w:rPr>
      </w:pPr>
      <w:bookmarkStart w:id="27" w:name="_Toc136613710"/>
      <w:r w:rsidRPr="00F50C10">
        <w:rPr>
          <w:rFonts w:eastAsia="Times New Roman" w:cs="Times New Roman"/>
          <w:b/>
          <w:szCs w:val="24"/>
          <w:lang w:val="tr-TR"/>
        </w:rPr>
        <w:t>Suya Deşarjlar</w:t>
      </w:r>
      <w:bookmarkEnd w:id="27"/>
    </w:p>
    <w:p w14:paraId="7C93178F" w14:textId="2E47B478"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b/>
          <w:bCs/>
          <w:szCs w:val="24"/>
          <w:lang w:val="tr-TR"/>
        </w:rPr>
        <w:t xml:space="preserve">MET 26: </w:t>
      </w:r>
      <w:r w:rsidRPr="00F50C10">
        <w:rPr>
          <w:rFonts w:eastAsia="Times New Roman" w:cs="Times New Roman"/>
          <w:bCs/>
          <w:szCs w:val="24"/>
          <w:lang w:val="tr-TR"/>
        </w:rPr>
        <w:t>Aromatik ekstraksi</w:t>
      </w:r>
      <w:r w:rsidR="009E2F9E" w:rsidRPr="00F50C10">
        <w:rPr>
          <w:rFonts w:eastAsia="Times New Roman" w:cs="Times New Roman"/>
          <w:bCs/>
          <w:szCs w:val="24"/>
          <w:lang w:val="tr-TR"/>
        </w:rPr>
        <w:t xml:space="preserve">yon ünitelerinden atık su arıtma sistemine deşarj edilen </w:t>
      </w:r>
      <w:r w:rsidRPr="00F50C10">
        <w:rPr>
          <w:rFonts w:eastAsia="Times New Roman" w:cs="Times New Roman"/>
          <w:bCs/>
          <w:szCs w:val="24"/>
          <w:lang w:val="tr-TR"/>
        </w:rPr>
        <w:t xml:space="preserve">organik bileşik ve atık su miktarını azaltmak için </w:t>
      </w:r>
      <w:r w:rsidR="009E2F9E" w:rsidRPr="00F50C10">
        <w:rPr>
          <w:rFonts w:eastAsia="Times New Roman" w:cs="Times New Roman"/>
          <w:bCs/>
          <w:szCs w:val="24"/>
          <w:lang w:val="tr-TR"/>
        </w:rPr>
        <w:t>kuru çözücüler kullanılır</w:t>
      </w:r>
      <w:r w:rsidRPr="00F50C10">
        <w:rPr>
          <w:rFonts w:eastAsia="Times New Roman" w:cs="Times New Roman"/>
          <w:bCs/>
          <w:szCs w:val="24"/>
          <w:lang w:val="tr-TR"/>
        </w:rPr>
        <w:t xml:space="preserve"> veya yaş çözücülerin kullanıldığı durumlarda suyun geri kazanımı ve yeniden kullanımına y</w:t>
      </w:r>
      <w:r w:rsidR="009E2F9E" w:rsidRPr="00F50C10">
        <w:rPr>
          <w:rFonts w:eastAsia="Times New Roman" w:cs="Times New Roman"/>
          <w:bCs/>
          <w:szCs w:val="24"/>
          <w:lang w:val="tr-TR"/>
        </w:rPr>
        <w:t>önelik kapalı bir sistem kullanılır.</w:t>
      </w:r>
    </w:p>
    <w:p w14:paraId="31FBBE23" w14:textId="1F182530" w:rsidR="00BB704F" w:rsidRPr="00F50C10" w:rsidRDefault="00BB704F" w:rsidP="000B206D">
      <w:pPr>
        <w:widowControl w:val="0"/>
        <w:autoSpaceDE w:val="0"/>
        <w:autoSpaceDN w:val="0"/>
        <w:spacing w:before="240" w:line="276" w:lineRule="auto"/>
        <w:rPr>
          <w:rFonts w:eastAsia="Times New Roman" w:cs="Times New Roman"/>
          <w:bCs/>
          <w:szCs w:val="24"/>
          <w:lang w:val="tr-TR"/>
        </w:rPr>
      </w:pPr>
      <w:r w:rsidRPr="00F50C10">
        <w:rPr>
          <w:rFonts w:eastAsia="Times New Roman" w:cs="Times New Roman"/>
          <w:b/>
          <w:bCs/>
          <w:szCs w:val="24"/>
          <w:lang w:val="tr-TR"/>
        </w:rPr>
        <w:t xml:space="preserve">MET 27: </w:t>
      </w:r>
      <w:r w:rsidRPr="00F50C10">
        <w:rPr>
          <w:rFonts w:eastAsia="Times New Roman" w:cs="Times New Roman"/>
          <w:bCs/>
          <w:szCs w:val="24"/>
          <w:lang w:val="tr-TR"/>
        </w:rPr>
        <w:t>Atık</w:t>
      </w:r>
      <w:r w:rsidR="009E2F9E" w:rsidRPr="00F50C10">
        <w:rPr>
          <w:rFonts w:eastAsia="Times New Roman" w:cs="Times New Roman"/>
          <w:bCs/>
          <w:szCs w:val="24"/>
          <w:lang w:val="tr-TR"/>
        </w:rPr>
        <w:t xml:space="preserve"> su hacmini ve atık su arıtıma sistemine deşarj edilen</w:t>
      </w:r>
      <w:r w:rsidRPr="00F50C10">
        <w:rPr>
          <w:rFonts w:eastAsia="Times New Roman" w:cs="Times New Roman"/>
          <w:bCs/>
          <w:szCs w:val="24"/>
          <w:lang w:val="tr-TR"/>
        </w:rPr>
        <w:t xml:space="preserve"> organik yükü azaltmak için aşağıda verilen tekniklerin uygun bir kombinasyonunu kullan</w:t>
      </w:r>
      <w:r w:rsidR="009E2F9E" w:rsidRPr="00F50C10">
        <w:rPr>
          <w:rFonts w:eastAsia="Times New Roman" w:cs="Times New Roman"/>
          <w:bCs/>
          <w:szCs w:val="24"/>
          <w:lang w:val="tr-TR"/>
        </w:rPr>
        <w:t>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881"/>
        <w:gridCol w:w="3178"/>
        <w:gridCol w:w="2093"/>
      </w:tblGrid>
      <w:tr w:rsidR="00BB704F" w:rsidRPr="00F50C10" w14:paraId="17FA46BD" w14:textId="77777777" w:rsidTr="00BB704F">
        <w:trPr>
          <w:trHeight w:val="230"/>
          <w:tblHeader/>
        </w:trPr>
        <w:tc>
          <w:tcPr>
            <w:tcW w:w="184" w:type="pct"/>
            <w:tcBorders>
              <w:right w:val="single" w:sz="4" w:space="0" w:color="auto"/>
            </w:tcBorders>
          </w:tcPr>
          <w:p w14:paraId="21BA21DA"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730" w:type="pct"/>
            <w:tcBorders>
              <w:left w:val="single" w:sz="4" w:space="0" w:color="auto"/>
            </w:tcBorders>
          </w:tcPr>
          <w:p w14:paraId="7CB17990" w14:textId="77777777" w:rsidR="00BB704F" w:rsidRPr="00F50C10" w:rsidRDefault="00BB704F" w:rsidP="000B206D">
            <w:pPr>
              <w:spacing w:line="276" w:lineRule="auto"/>
              <w:ind w:right="1172"/>
              <w:jc w:val="right"/>
              <w:rPr>
                <w:rFonts w:eastAsia="Times New Roman" w:cs="Times New Roman"/>
                <w:b/>
                <w:szCs w:val="24"/>
                <w:lang w:val="tr-TR"/>
              </w:rPr>
            </w:pPr>
            <w:r w:rsidRPr="00F50C10">
              <w:rPr>
                <w:rFonts w:eastAsia="Times New Roman" w:cs="Times New Roman"/>
                <w:b/>
                <w:szCs w:val="24"/>
                <w:lang w:val="tr-TR" w:bidi="tr-TR"/>
              </w:rPr>
              <w:t xml:space="preserve">       Teknik</w:t>
            </w:r>
          </w:p>
        </w:tc>
        <w:tc>
          <w:tcPr>
            <w:tcW w:w="1904" w:type="pct"/>
          </w:tcPr>
          <w:p w14:paraId="3F91938E"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182" w:type="pct"/>
          </w:tcPr>
          <w:p w14:paraId="4ED68D5F"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02264905" w14:textId="77777777" w:rsidTr="00BB704F">
        <w:trPr>
          <w:trHeight w:val="58"/>
        </w:trPr>
        <w:tc>
          <w:tcPr>
            <w:tcW w:w="184" w:type="pct"/>
            <w:vAlign w:val="center"/>
          </w:tcPr>
          <w:p w14:paraId="7778703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730" w:type="pct"/>
            <w:vAlign w:val="center"/>
          </w:tcPr>
          <w:p w14:paraId="6276BB1C" w14:textId="77777777" w:rsidR="00BB704F" w:rsidRPr="00F50C10" w:rsidRDefault="00BB704F" w:rsidP="000B206D">
            <w:pPr>
              <w:spacing w:before="1" w:line="276" w:lineRule="auto"/>
              <w:ind w:left="108" w:right="108"/>
              <w:rPr>
                <w:rFonts w:eastAsia="Times New Roman" w:cs="Times New Roman"/>
                <w:szCs w:val="24"/>
                <w:lang w:val="tr-TR"/>
              </w:rPr>
            </w:pPr>
            <w:r w:rsidRPr="00F50C10">
              <w:rPr>
                <w:rFonts w:eastAsia="Times New Roman" w:cs="Times New Roman"/>
                <w:szCs w:val="24"/>
                <w:lang w:val="tr-TR" w:bidi="tr-TR"/>
              </w:rPr>
              <w:t>Susuz vakum oluşturma</w:t>
            </w:r>
          </w:p>
        </w:tc>
        <w:tc>
          <w:tcPr>
            <w:tcW w:w="1904" w:type="pct"/>
            <w:vAlign w:val="center"/>
          </w:tcPr>
          <w:p w14:paraId="7FF5113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Kapalı devre prosedüründe, blöf olarak sadece az miktarda suyun boşaltıldığı mekanik pompalama sistemlerinin kullanılması veya kuru çalışan pompaların kullanılması. Bazı durumlarda, atık su içermeyen vakum üretimi, ürünün mekanik bir vakum pompasında bariyer sıvısı olarak kullanılmasıyla veya üretim sürecinden gelen bir gaz akımının kullanılmasıyla sağlanabilir.</w:t>
            </w:r>
          </w:p>
        </w:tc>
        <w:tc>
          <w:tcPr>
            <w:tcW w:w="1182" w:type="pct"/>
            <w:vAlign w:val="center"/>
          </w:tcPr>
          <w:p w14:paraId="77A14D7A" w14:textId="77777777" w:rsidR="00BB704F" w:rsidRPr="00F50C10" w:rsidRDefault="00BB704F" w:rsidP="000B206D">
            <w:pPr>
              <w:spacing w:before="1"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0EFCFC82" w14:textId="77777777" w:rsidTr="00BB704F">
        <w:trPr>
          <w:trHeight w:val="1149"/>
        </w:trPr>
        <w:tc>
          <w:tcPr>
            <w:tcW w:w="184" w:type="pct"/>
            <w:vAlign w:val="center"/>
          </w:tcPr>
          <w:p w14:paraId="11CBF67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730" w:type="pct"/>
            <w:vAlign w:val="center"/>
          </w:tcPr>
          <w:p w14:paraId="58BC2A0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Sulu atıkların kaynak ayrımı</w:t>
            </w:r>
          </w:p>
        </w:tc>
        <w:tc>
          <w:tcPr>
            <w:tcW w:w="1904" w:type="pct"/>
            <w:vAlign w:val="center"/>
          </w:tcPr>
          <w:p w14:paraId="45A5086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Aromatiklerin işlendiği tesislerden çıkan atık su, hammaddelerin veya ürünlerin geri kazanılmasını kolaylaştırmak için diğer atık su kaynaklarından ayrılır.</w:t>
            </w:r>
          </w:p>
        </w:tc>
        <w:tc>
          <w:tcPr>
            <w:tcW w:w="1182" w:type="pct"/>
            <w:vAlign w:val="center"/>
          </w:tcPr>
          <w:p w14:paraId="673FA07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Mevcut tesisler için uygulanabilirlik, sahaya özgü drenaj sistemi ile kısıtlı olabilir.</w:t>
            </w:r>
          </w:p>
        </w:tc>
      </w:tr>
      <w:tr w:rsidR="00BB704F" w:rsidRPr="00F50C10" w14:paraId="37CD4D48" w14:textId="77777777" w:rsidTr="00BB704F">
        <w:trPr>
          <w:trHeight w:val="1380"/>
        </w:trPr>
        <w:tc>
          <w:tcPr>
            <w:tcW w:w="184" w:type="pct"/>
            <w:vAlign w:val="center"/>
          </w:tcPr>
          <w:p w14:paraId="1A6FCEF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730" w:type="pct"/>
            <w:vAlign w:val="center"/>
          </w:tcPr>
          <w:p w14:paraId="4E627A2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Hidrokarbonların geri kazanılmasıyla birlikte sıvı faz ayrımı</w:t>
            </w:r>
          </w:p>
        </w:tc>
        <w:tc>
          <w:tcPr>
            <w:tcW w:w="1904" w:type="pct"/>
            <w:vAlign w:val="center"/>
          </w:tcPr>
          <w:p w14:paraId="32F4B6AF"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Çözünmemiş organik materyalin karışmasını önlemek için uygun tasarım ve çalışma (örn. Yeterli bekleme süresi, faz sınırı tespiti ve kontrolü) ile organik ve sulu fazların ayrılması</w:t>
            </w:r>
          </w:p>
        </w:tc>
        <w:tc>
          <w:tcPr>
            <w:tcW w:w="1182" w:type="pct"/>
            <w:vAlign w:val="center"/>
          </w:tcPr>
          <w:p w14:paraId="711117D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66B5DE4B" w14:textId="77777777" w:rsidTr="00BB704F">
        <w:trPr>
          <w:trHeight w:val="921"/>
        </w:trPr>
        <w:tc>
          <w:tcPr>
            <w:tcW w:w="184" w:type="pct"/>
            <w:vAlign w:val="center"/>
          </w:tcPr>
          <w:p w14:paraId="5A1A8E7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d</w:t>
            </w:r>
          </w:p>
        </w:tc>
        <w:tc>
          <w:tcPr>
            <w:tcW w:w="1730" w:type="pct"/>
            <w:vAlign w:val="center"/>
          </w:tcPr>
          <w:p w14:paraId="47D80D6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Hidrokarbonların geri kazanılmasıyla sıyırma</w:t>
            </w:r>
          </w:p>
        </w:tc>
        <w:tc>
          <w:tcPr>
            <w:tcW w:w="1904" w:type="pct"/>
            <w:vAlign w:val="center"/>
          </w:tcPr>
          <w:p w14:paraId="4686D54D" w14:textId="77777777" w:rsidR="00BB704F" w:rsidRPr="00F50C10" w:rsidRDefault="002A1746" w:rsidP="000B206D">
            <w:pPr>
              <w:spacing w:before="108" w:line="276" w:lineRule="auto"/>
              <w:ind w:left="108" w:right="108"/>
              <w:rPr>
                <w:rFonts w:eastAsia="Times New Roman" w:cs="Times New Roman"/>
                <w:szCs w:val="24"/>
                <w:lang w:val="tr-TR"/>
              </w:rPr>
            </w:pPr>
            <w:hyperlink w:anchor="_bookmark801" w:history="1">
              <w:r w:rsidR="00BB704F" w:rsidRPr="00F50C10">
                <w:rPr>
                  <w:rFonts w:eastAsia="Times New Roman" w:cs="Times New Roman"/>
                  <w:szCs w:val="24"/>
                  <w:lang w:val="tr-TR" w:bidi="tr-TR"/>
                </w:rPr>
                <w:fldChar w:fldCharType="begin"/>
              </w:r>
              <w:r w:rsidR="00BB704F" w:rsidRPr="00F50C10">
                <w:rPr>
                  <w:rFonts w:eastAsia="Times New Roman" w:cs="Times New Roman"/>
                  <w:szCs w:val="24"/>
                  <w:lang w:val="tr-TR"/>
                </w:rPr>
                <w:instrText xml:space="preserve"> REF _Ref133314411 \n \h </w:instrText>
              </w:r>
              <w:r w:rsidR="00BB704F" w:rsidRPr="00F50C10">
                <w:rPr>
                  <w:rFonts w:eastAsia="Times New Roman" w:cs="Times New Roman"/>
                  <w:szCs w:val="24"/>
                  <w:lang w:val="tr-TR" w:bidi="tr-TR"/>
                </w:rPr>
                <w:instrText xml:space="preserve"> \* MERGEFORMAT </w:instrText>
              </w:r>
              <w:r w:rsidR="00BB704F" w:rsidRPr="00F50C10">
                <w:rPr>
                  <w:rFonts w:eastAsia="Times New Roman" w:cs="Times New Roman"/>
                  <w:szCs w:val="24"/>
                  <w:lang w:val="tr-TR" w:bidi="tr-TR"/>
                </w:rPr>
              </w:r>
              <w:r w:rsidR="00BB704F" w:rsidRPr="00F50C10">
                <w:rPr>
                  <w:rFonts w:eastAsia="Times New Roman" w:cs="Times New Roman"/>
                  <w:szCs w:val="24"/>
                  <w:lang w:val="tr-TR" w:bidi="tr-TR"/>
                </w:rPr>
                <w:fldChar w:fldCharType="separate"/>
              </w:r>
              <w:r w:rsidR="00BB704F" w:rsidRPr="00F50C10">
                <w:rPr>
                  <w:rFonts w:eastAsia="Times New Roman" w:cs="Times New Roman"/>
                  <w:szCs w:val="24"/>
                  <w:lang w:val="tr-TR"/>
                </w:rPr>
                <w:t>12.2</w:t>
              </w:r>
              <w:r w:rsidR="00BB704F" w:rsidRPr="00F50C10">
                <w:rPr>
                  <w:rFonts w:eastAsia="Times New Roman" w:cs="Times New Roman"/>
                  <w:szCs w:val="24"/>
                  <w:lang w:val="tr-TR" w:bidi="tr-TR"/>
                </w:rPr>
                <w:fldChar w:fldCharType="end"/>
              </w:r>
            </w:hyperlink>
            <w:r w:rsidR="00BB704F" w:rsidRPr="00F50C10">
              <w:rPr>
                <w:rFonts w:eastAsia="Times New Roman" w:cs="Times New Roman"/>
                <w:szCs w:val="24"/>
                <w:lang w:val="tr-TR" w:bidi="tr-TR"/>
              </w:rPr>
              <w:t xml:space="preserve"> kısmına bakınız.</w:t>
            </w:r>
            <w:hyperlink w:anchor="_bookmark801" w:history="1">
              <w:r w:rsidR="00BB704F" w:rsidRPr="00F50C10">
                <w:rPr>
                  <w:rFonts w:eastAsia="Times New Roman" w:cs="Times New Roman"/>
                  <w:szCs w:val="24"/>
                  <w:lang w:val="tr-TR" w:bidi="tr-TR"/>
                </w:rPr>
                <w:t xml:space="preserve"> </w:t>
              </w:r>
            </w:hyperlink>
            <w:r w:rsidR="00BB704F" w:rsidRPr="00F50C10">
              <w:rPr>
                <w:rFonts w:eastAsia="Times New Roman" w:cs="Times New Roman"/>
                <w:szCs w:val="24"/>
                <w:lang w:val="tr-TR" w:bidi="tr-TR"/>
              </w:rPr>
              <w:t>Sıyırma, ayrı veya birleştirilmiş akışlarda kullanılabilir.</w:t>
            </w:r>
          </w:p>
        </w:tc>
        <w:tc>
          <w:tcPr>
            <w:tcW w:w="1182" w:type="pct"/>
            <w:vAlign w:val="center"/>
          </w:tcPr>
          <w:p w14:paraId="3DB1BD3F" w14:textId="77777777" w:rsidR="00BB704F" w:rsidRPr="00F50C10" w:rsidRDefault="00BB704F" w:rsidP="000B206D">
            <w:pPr>
              <w:tabs>
                <w:tab w:val="left" w:pos="1758"/>
              </w:tabs>
              <w:spacing w:line="276" w:lineRule="auto"/>
              <w:ind w:left="108" w:right="108"/>
              <w:rPr>
                <w:rFonts w:eastAsia="Times New Roman" w:cs="Times New Roman"/>
                <w:szCs w:val="24"/>
                <w:lang w:val="tr-TR"/>
              </w:rPr>
            </w:pPr>
            <w:r w:rsidRPr="00F50C10">
              <w:rPr>
                <w:rFonts w:eastAsia="Times New Roman" w:cs="Times New Roman"/>
                <w:szCs w:val="24"/>
                <w:lang w:val="tr-TR" w:bidi="tr-TR"/>
              </w:rPr>
              <w:t>Hidrokarbon konsantrasyonunun düşük olduğu durumlarda uygulanabilirlik sınırlı olabilir.</w:t>
            </w:r>
          </w:p>
        </w:tc>
      </w:tr>
      <w:tr w:rsidR="00BB704F" w:rsidRPr="00F50C10" w14:paraId="12F870F6" w14:textId="77777777" w:rsidTr="00BB704F">
        <w:trPr>
          <w:trHeight w:val="1149"/>
        </w:trPr>
        <w:tc>
          <w:tcPr>
            <w:tcW w:w="184" w:type="pct"/>
            <w:vAlign w:val="center"/>
          </w:tcPr>
          <w:p w14:paraId="6A1DDD3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e</w:t>
            </w:r>
          </w:p>
        </w:tc>
        <w:tc>
          <w:tcPr>
            <w:tcW w:w="1730" w:type="pct"/>
            <w:vAlign w:val="center"/>
          </w:tcPr>
          <w:p w14:paraId="16BCEF3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Suyun yeniden kullanımı</w:t>
            </w:r>
          </w:p>
        </w:tc>
        <w:tc>
          <w:tcPr>
            <w:tcW w:w="1904" w:type="pct"/>
            <w:vAlign w:val="center"/>
          </w:tcPr>
          <w:p w14:paraId="6930B43D"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Bazı atık su akımlarının daha fazla arıtılmasıyla, sıyırma suyu, diğer su kaynaklarının yerini alarak proses suyu veya kazan besleme suyu olarak kullanılabilir.</w:t>
            </w:r>
          </w:p>
        </w:tc>
        <w:tc>
          <w:tcPr>
            <w:tcW w:w="1182" w:type="pct"/>
            <w:vAlign w:val="center"/>
          </w:tcPr>
          <w:p w14:paraId="0C7F840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389061A8"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color w:val="365F91"/>
          <w:szCs w:val="24"/>
          <w:lang w:val="tr-TR"/>
        </w:rPr>
      </w:pPr>
      <w:bookmarkStart w:id="28" w:name="_Toc136613711"/>
      <w:r w:rsidRPr="00F50C10">
        <w:rPr>
          <w:rFonts w:eastAsia="Times New Roman" w:cs="Times New Roman"/>
          <w:b/>
          <w:szCs w:val="24"/>
          <w:lang w:val="tr-TR"/>
        </w:rPr>
        <w:t>Kaynak Verimliliği</w:t>
      </w:r>
      <w:bookmarkEnd w:id="28"/>
    </w:p>
    <w:p w14:paraId="15FF423A" w14:textId="3D230368" w:rsidR="00BB704F" w:rsidRPr="00F50C10" w:rsidRDefault="00BB704F" w:rsidP="000B206D">
      <w:pPr>
        <w:widowControl w:val="0"/>
        <w:autoSpaceDE w:val="0"/>
        <w:autoSpaceDN w:val="0"/>
        <w:spacing w:before="240" w:line="276" w:lineRule="auto"/>
        <w:rPr>
          <w:rFonts w:eastAsia="Times New Roman" w:cs="Times New Roman"/>
          <w:bCs/>
          <w:szCs w:val="24"/>
          <w:lang w:val="tr-TR"/>
        </w:rPr>
      </w:pPr>
      <w:r w:rsidRPr="00F50C10">
        <w:rPr>
          <w:rFonts w:eastAsia="Times New Roman" w:cs="Times New Roman"/>
          <w:b/>
          <w:bCs/>
          <w:szCs w:val="24"/>
          <w:lang w:val="tr-TR"/>
        </w:rPr>
        <w:t xml:space="preserve">MET 28: </w:t>
      </w:r>
      <w:r w:rsidRPr="00F50C10">
        <w:rPr>
          <w:rFonts w:eastAsia="Times New Roman" w:cs="Times New Roman"/>
          <w:bCs/>
          <w:szCs w:val="24"/>
          <w:lang w:val="tr-TR"/>
        </w:rPr>
        <w:t>Kaynakların verimli kullanımına yönelik MET8a.’yı uygulayarak dealkilasyon gibi reaksiyonlarda ortak ürün olarak üretilen hidrojenin, kimyasal reaktif veya yakıt olarak kullanımının en üst düzeye çıkarıl</w:t>
      </w:r>
      <w:r w:rsidR="00835087" w:rsidRPr="00F50C10">
        <w:rPr>
          <w:rFonts w:eastAsia="Times New Roman" w:cs="Times New Roman"/>
          <w:bCs/>
          <w:szCs w:val="24"/>
          <w:lang w:val="tr-TR"/>
        </w:rPr>
        <w:t>ır</w:t>
      </w:r>
      <w:r w:rsidRPr="00F50C10">
        <w:rPr>
          <w:rFonts w:eastAsia="Times New Roman" w:cs="Times New Roman"/>
          <w:bCs/>
          <w:szCs w:val="24"/>
          <w:lang w:val="tr-TR"/>
        </w:rPr>
        <w:t xml:space="preserve"> veya bunun mümkün olmadığı durumlarda ilgili prose</w:t>
      </w:r>
      <w:r w:rsidR="00835087" w:rsidRPr="00F50C10">
        <w:rPr>
          <w:rFonts w:eastAsia="Times New Roman" w:cs="Times New Roman"/>
          <w:bCs/>
          <w:szCs w:val="24"/>
          <w:lang w:val="tr-TR"/>
        </w:rPr>
        <w:t>s havalandırmalarından enerji</w:t>
      </w:r>
      <w:r w:rsidRPr="00F50C10">
        <w:rPr>
          <w:rFonts w:eastAsia="Times New Roman" w:cs="Times New Roman"/>
          <w:bCs/>
          <w:szCs w:val="24"/>
          <w:lang w:val="tr-TR"/>
        </w:rPr>
        <w:t xml:space="preserve"> geri kazanı</w:t>
      </w:r>
      <w:r w:rsidR="00835087" w:rsidRPr="00F50C10">
        <w:rPr>
          <w:rFonts w:eastAsia="Times New Roman" w:cs="Times New Roman"/>
          <w:bCs/>
          <w:szCs w:val="24"/>
          <w:lang w:val="tr-TR"/>
        </w:rPr>
        <w:t>lır</w:t>
      </w:r>
      <w:r w:rsidRPr="00F50C10">
        <w:rPr>
          <w:rFonts w:eastAsia="Times New Roman" w:cs="Times New Roman"/>
          <w:bCs/>
          <w:szCs w:val="24"/>
          <w:lang w:val="tr-TR"/>
        </w:rPr>
        <w:t xml:space="preserve"> (bkz. MET 9).</w:t>
      </w:r>
    </w:p>
    <w:p w14:paraId="7C9C5686"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color w:val="365F91"/>
          <w:szCs w:val="24"/>
          <w:lang w:val="tr-TR"/>
        </w:rPr>
      </w:pPr>
      <w:bookmarkStart w:id="29" w:name="_Toc136613712"/>
      <w:r w:rsidRPr="00F50C10">
        <w:rPr>
          <w:rFonts w:eastAsia="Times New Roman" w:cs="Times New Roman"/>
          <w:b/>
          <w:szCs w:val="24"/>
          <w:lang w:val="tr-TR"/>
        </w:rPr>
        <w:t>Enerji Verimliliği</w:t>
      </w:r>
      <w:bookmarkEnd w:id="29"/>
    </w:p>
    <w:p w14:paraId="14B0605F" w14:textId="4FBF6369"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29: </w:t>
      </w:r>
      <w:r w:rsidRPr="00F50C10">
        <w:rPr>
          <w:rFonts w:eastAsia="Times New Roman" w:cs="Times New Roman"/>
          <w:bCs/>
          <w:szCs w:val="24"/>
          <w:lang w:val="tr-TR"/>
        </w:rPr>
        <w:t>Damıtma kullanılırken enerjiyi verimli kullanmak için aşağ</w:t>
      </w:r>
      <w:r w:rsidR="002423E0" w:rsidRPr="00F50C10">
        <w:rPr>
          <w:rFonts w:eastAsia="Times New Roman" w:cs="Times New Roman"/>
          <w:bCs/>
          <w:szCs w:val="24"/>
          <w:lang w:val="tr-TR"/>
        </w:rPr>
        <w:t>ıda verilen tekniklerden biri veya birkaçı</w:t>
      </w:r>
      <w:r w:rsidRPr="00F50C10">
        <w:rPr>
          <w:rFonts w:eastAsia="Times New Roman" w:cs="Times New Roman"/>
          <w:bCs/>
          <w:szCs w:val="24"/>
          <w:lang w:val="tr-TR"/>
        </w:rPr>
        <w:t xml:space="preserve"> </w:t>
      </w:r>
      <w:r w:rsidR="006C31C5" w:rsidRPr="00F50C10">
        <w:rPr>
          <w:rFonts w:eastAsia="Times New Roman" w:cs="Times New Roman"/>
          <w:bCs/>
          <w:szCs w:val="24"/>
          <w:lang w:val="tr-TR"/>
        </w:rPr>
        <w:t>uygulanır</w:t>
      </w:r>
      <w:r w:rsidR="002423E0" w:rsidRPr="00F50C10">
        <w:rPr>
          <w:rFonts w:eastAsia="Times New Roman" w:cs="Times New Roman"/>
          <w:bCs/>
          <w:szCs w:val="24"/>
          <w:lang w:val="tr-TR"/>
        </w:rPr>
        <w: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452"/>
        <w:gridCol w:w="3374"/>
        <w:gridCol w:w="2326"/>
      </w:tblGrid>
      <w:tr w:rsidR="00BB704F" w:rsidRPr="00F50C10" w14:paraId="279A8AC3" w14:textId="77777777" w:rsidTr="00BB704F">
        <w:trPr>
          <w:trHeight w:val="230"/>
          <w:tblHeader/>
        </w:trPr>
        <w:tc>
          <w:tcPr>
            <w:tcW w:w="185" w:type="pct"/>
            <w:tcBorders>
              <w:right w:val="single" w:sz="4" w:space="0" w:color="auto"/>
            </w:tcBorders>
          </w:tcPr>
          <w:p w14:paraId="4D6DE292"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498" w:type="pct"/>
            <w:tcBorders>
              <w:left w:val="single" w:sz="4" w:space="0" w:color="auto"/>
            </w:tcBorders>
          </w:tcPr>
          <w:p w14:paraId="0B99CE83"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Teknik</w:t>
            </w:r>
          </w:p>
        </w:tc>
        <w:tc>
          <w:tcPr>
            <w:tcW w:w="2041" w:type="pct"/>
          </w:tcPr>
          <w:p w14:paraId="26943868"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76" w:type="pct"/>
          </w:tcPr>
          <w:p w14:paraId="1F44A5D4"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1E0E9B01" w14:textId="77777777" w:rsidTr="00BB704F">
        <w:trPr>
          <w:trHeight w:val="921"/>
        </w:trPr>
        <w:tc>
          <w:tcPr>
            <w:tcW w:w="185" w:type="pct"/>
            <w:vAlign w:val="center"/>
          </w:tcPr>
          <w:p w14:paraId="6ECA1F0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498" w:type="pct"/>
            <w:vAlign w:val="center"/>
          </w:tcPr>
          <w:p w14:paraId="5B150E4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Damıtma optimizasyonu</w:t>
            </w:r>
          </w:p>
        </w:tc>
        <w:tc>
          <w:tcPr>
            <w:tcW w:w="2041" w:type="pct"/>
            <w:vAlign w:val="center"/>
          </w:tcPr>
          <w:p w14:paraId="51D0D52A" w14:textId="15666DC8"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Her damıtma kolonu için tepsi sayısı, geri akış oranı, besleme konumu ve ekstraktif damıtma için çözücülerin besleme oranı optimize edilmiştir</w:t>
            </w:r>
            <w:r w:rsidR="006C31C5" w:rsidRPr="00F50C10">
              <w:rPr>
                <w:rFonts w:eastAsia="Times New Roman" w:cs="Times New Roman"/>
                <w:szCs w:val="24"/>
                <w:lang w:val="tr-TR" w:bidi="tr-TR"/>
              </w:rPr>
              <w:t>.</w:t>
            </w:r>
          </w:p>
        </w:tc>
        <w:tc>
          <w:tcPr>
            <w:tcW w:w="1276" w:type="pct"/>
            <w:vMerge w:val="restart"/>
            <w:vAlign w:val="center"/>
          </w:tcPr>
          <w:p w14:paraId="538E8845" w14:textId="77777777" w:rsidR="00BB704F" w:rsidRPr="00F50C10" w:rsidRDefault="00BB704F" w:rsidP="000B206D">
            <w:pPr>
              <w:spacing w:before="1" w:line="276" w:lineRule="auto"/>
              <w:ind w:left="108" w:right="108"/>
              <w:rPr>
                <w:rFonts w:eastAsia="Times New Roman" w:cs="Times New Roman"/>
                <w:szCs w:val="24"/>
                <w:lang w:val="tr-TR"/>
              </w:rPr>
            </w:pPr>
            <w:r w:rsidRPr="00F50C10">
              <w:rPr>
                <w:rFonts w:eastAsia="Times New Roman" w:cs="Times New Roman"/>
                <w:szCs w:val="24"/>
                <w:lang w:val="tr-TR" w:bidi="tr-TR"/>
              </w:rPr>
              <w:t>Mevcut ünitelere uygulanabilirliği tasarım, kullanılabilir alan ve/veya işletime dair kısıtlamalar ile sınırlı olabilir.</w:t>
            </w:r>
          </w:p>
        </w:tc>
      </w:tr>
      <w:tr w:rsidR="00BB704F" w:rsidRPr="00F50C10" w14:paraId="2A09352B" w14:textId="77777777" w:rsidTr="00BB704F">
        <w:trPr>
          <w:trHeight w:val="918"/>
        </w:trPr>
        <w:tc>
          <w:tcPr>
            <w:tcW w:w="185" w:type="pct"/>
            <w:vAlign w:val="center"/>
          </w:tcPr>
          <w:p w14:paraId="315D4A5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498" w:type="pct"/>
            <w:vAlign w:val="center"/>
          </w:tcPr>
          <w:p w14:paraId="62F977F8" w14:textId="77777777" w:rsidR="00BB704F" w:rsidRPr="00F50C10" w:rsidRDefault="00BB704F" w:rsidP="000B206D">
            <w:pPr>
              <w:spacing w:before="108" w:line="276" w:lineRule="auto"/>
              <w:ind w:left="108" w:right="108"/>
              <w:rPr>
                <w:rFonts w:eastAsia="Times New Roman" w:cs="Times New Roman"/>
                <w:szCs w:val="24"/>
                <w:lang w:val="tr-TR"/>
              </w:rPr>
            </w:pPr>
            <w:r w:rsidRPr="00F50C10">
              <w:rPr>
                <w:rFonts w:eastAsia="Times New Roman" w:cs="Times New Roman"/>
                <w:szCs w:val="24"/>
                <w:lang w:val="tr-TR" w:bidi="tr-TR"/>
              </w:rPr>
              <w:t>Kolon tepe gaz akımından ısının geri kazanımı</w:t>
            </w:r>
          </w:p>
        </w:tc>
        <w:tc>
          <w:tcPr>
            <w:tcW w:w="2041" w:type="pct"/>
            <w:vAlign w:val="center"/>
          </w:tcPr>
          <w:p w14:paraId="177C3DD0" w14:textId="40EE6A0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Toluenden ve ksilen damıtma sütunundan gelen yoğuşma ısısı tesisin başka yerlerine ısı sağlamak için yeniden kullanıl</w:t>
            </w:r>
            <w:r w:rsidR="006C31C5" w:rsidRPr="00F50C10">
              <w:rPr>
                <w:rFonts w:eastAsia="Times New Roman" w:cs="Times New Roman"/>
                <w:szCs w:val="24"/>
                <w:lang w:val="tr-TR" w:bidi="tr-TR"/>
              </w:rPr>
              <w:t>ır.</w:t>
            </w:r>
          </w:p>
        </w:tc>
        <w:tc>
          <w:tcPr>
            <w:tcW w:w="1276" w:type="pct"/>
            <w:vMerge/>
            <w:vAlign w:val="center"/>
          </w:tcPr>
          <w:p w14:paraId="145C0A70" w14:textId="77777777" w:rsidR="00BB704F" w:rsidRPr="00F50C10" w:rsidRDefault="00BB704F" w:rsidP="000B206D">
            <w:pPr>
              <w:spacing w:line="276" w:lineRule="auto"/>
              <w:ind w:left="108" w:right="108"/>
              <w:jc w:val="left"/>
              <w:rPr>
                <w:rFonts w:eastAsia="Times New Roman" w:cs="Times New Roman"/>
                <w:szCs w:val="24"/>
                <w:lang w:val="tr-TR"/>
              </w:rPr>
            </w:pPr>
          </w:p>
        </w:tc>
      </w:tr>
      <w:tr w:rsidR="00BB704F" w:rsidRPr="00F50C10" w14:paraId="6FCAFC3E" w14:textId="77777777" w:rsidTr="00BB704F">
        <w:trPr>
          <w:trHeight w:val="2071"/>
        </w:trPr>
        <w:tc>
          <w:tcPr>
            <w:tcW w:w="185" w:type="pct"/>
            <w:vAlign w:val="center"/>
          </w:tcPr>
          <w:p w14:paraId="3E497B3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498" w:type="pct"/>
            <w:vAlign w:val="center"/>
          </w:tcPr>
          <w:p w14:paraId="24093A4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Tekli ekstraktif damıtma kolonu</w:t>
            </w:r>
          </w:p>
        </w:tc>
        <w:tc>
          <w:tcPr>
            <w:tcW w:w="2041" w:type="pct"/>
            <w:vAlign w:val="center"/>
          </w:tcPr>
          <w:p w14:paraId="110DD0A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Geleneksel bir ekstraksiyonlu damıtma sisteminde, ayırma, iki ayırma adımından oluşan bir sıra gerektirecektir (yani, yan kolonlu veya sıyırıcılı ana damıtma kolonu). Tek bir ekstraktif damıtma kolonunda, solventin ayrılması, birinci kolonun kolon kabuğuna dahil edilen daha küçük bir damıtma kolonunda gerçekleştirilir.</w:t>
            </w:r>
          </w:p>
        </w:tc>
        <w:tc>
          <w:tcPr>
            <w:tcW w:w="1276" w:type="pct"/>
            <w:vMerge w:val="restart"/>
            <w:vAlign w:val="center"/>
          </w:tcPr>
          <w:p w14:paraId="5A0B1B44" w14:textId="77777777" w:rsidR="00BB704F" w:rsidRPr="00F50C10" w:rsidRDefault="00BB704F" w:rsidP="000B206D">
            <w:pPr>
              <w:spacing w:line="276" w:lineRule="auto"/>
              <w:ind w:left="108" w:right="108"/>
              <w:rPr>
                <w:rFonts w:eastAsia="Times New Roman" w:cs="Times New Roman"/>
                <w:b/>
                <w:szCs w:val="24"/>
                <w:lang w:val="tr-TR"/>
              </w:rPr>
            </w:pPr>
          </w:p>
          <w:p w14:paraId="7721F629" w14:textId="77777777" w:rsidR="00BB704F" w:rsidRPr="00F50C10" w:rsidRDefault="00BB704F" w:rsidP="000B206D">
            <w:pPr>
              <w:spacing w:line="276" w:lineRule="auto"/>
              <w:ind w:left="108" w:right="108"/>
              <w:rPr>
                <w:rFonts w:eastAsia="Times New Roman" w:cs="Times New Roman"/>
                <w:b/>
                <w:szCs w:val="24"/>
                <w:lang w:val="tr-TR"/>
              </w:rPr>
            </w:pPr>
          </w:p>
          <w:p w14:paraId="6CED89C3" w14:textId="77777777" w:rsidR="00BB704F" w:rsidRPr="00F50C10" w:rsidRDefault="00BB704F" w:rsidP="000B206D">
            <w:pPr>
              <w:tabs>
                <w:tab w:val="left" w:pos="1824"/>
              </w:tabs>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yeni tesisler veya büyük tesis yükseltmeleri için geçerlidir. Uygulanabilirlik, birkaç işlemin tek bir ekipmanda birleştirilmesiyle çalıştırılabilirlik kısıtlanabileceğinden, daha küçük kapasiteli birimler için sınırlandırılabilir.</w:t>
            </w:r>
          </w:p>
        </w:tc>
      </w:tr>
      <w:tr w:rsidR="00BB704F" w:rsidRPr="00F50C10" w14:paraId="25AA1B02" w14:textId="77777777" w:rsidTr="00BB704F">
        <w:trPr>
          <w:trHeight w:val="1840"/>
        </w:trPr>
        <w:tc>
          <w:tcPr>
            <w:tcW w:w="185" w:type="pct"/>
            <w:vAlign w:val="center"/>
          </w:tcPr>
          <w:p w14:paraId="593BC0D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d</w:t>
            </w:r>
          </w:p>
        </w:tc>
        <w:tc>
          <w:tcPr>
            <w:tcW w:w="1498" w:type="pct"/>
            <w:vAlign w:val="center"/>
          </w:tcPr>
          <w:p w14:paraId="64621514" w14:textId="77777777" w:rsidR="00BB704F" w:rsidRPr="00F50C10" w:rsidRDefault="00BB704F" w:rsidP="000B206D">
            <w:pPr>
              <w:spacing w:before="176" w:line="276" w:lineRule="auto"/>
              <w:ind w:left="108" w:right="108"/>
              <w:rPr>
                <w:rFonts w:eastAsia="Times New Roman" w:cs="Times New Roman"/>
                <w:szCs w:val="24"/>
                <w:lang w:val="tr-TR"/>
              </w:rPr>
            </w:pPr>
            <w:r w:rsidRPr="00F50C10">
              <w:rPr>
                <w:rFonts w:eastAsia="Times New Roman" w:cs="Times New Roman"/>
                <w:szCs w:val="24"/>
                <w:lang w:val="tr-TR" w:bidi="tr-TR"/>
              </w:rPr>
              <w:t>Bölme duvarlı damıtma kolonu</w:t>
            </w:r>
          </w:p>
        </w:tc>
        <w:tc>
          <w:tcPr>
            <w:tcW w:w="2041" w:type="pct"/>
            <w:vAlign w:val="center"/>
          </w:tcPr>
          <w:p w14:paraId="21CF8EB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Geleneksel bir damıtma sisteminde, üç bileşenli bir karışımın saf fraksiyonlarına ayrılması, en az iki damıtma sütununun (veya yan sütunlu ana sütunların) doğrudan sıralanmasını gerektirir. Bölme duvar kolonu ile tek parça aparatta ayırma işlemi yapılabilmektedir.</w:t>
            </w:r>
          </w:p>
        </w:tc>
        <w:tc>
          <w:tcPr>
            <w:tcW w:w="1276" w:type="pct"/>
            <w:vMerge/>
            <w:vAlign w:val="center"/>
          </w:tcPr>
          <w:p w14:paraId="32A2ABEB" w14:textId="77777777" w:rsidR="00BB704F" w:rsidRPr="00F50C10" w:rsidRDefault="00BB704F" w:rsidP="000B206D">
            <w:pPr>
              <w:spacing w:line="276" w:lineRule="auto"/>
              <w:ind w:left="108" w:right="108"/>
              <w:jc w:val="left"/>
              <w:rPr>
                <w:rFonts w:eastAsia="Times New Roman" w:cs="Times New Roman"/>
                <w:szCs w:val="24"/>
                <w:lang w:val="tr-TR"/>
              </w:rPr>
            </w:pPr>
          </w:p>
        </w:tc>
      </w:tr>
      <w:tr w:rsidR="00BB704F" w:rsidRPr="00F50C10" w14:paraId="28FA487A" w14:textId="77777777" w:rsidTr="00BB704F">
        <w:trPr>
          <w:trHeight w:val="1840"/>
        </w:trPr>
        <w:tc>
          <w:tcPr>
            <w:tcW w:w="185" w:type="pct"/>
            <w:vAlign w:val="center"/>
          </w:tcPr>
          <w:p w14:paraId="09DADDE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e</w:t>
            </w:r>
          </w:p>
        </w:tc>
        <w:tc>
          <w:tcPr>
            <w:tcW w:w="1498" w:type="pct"/>
            <w:vAlign w:val="center"/>
          </w:tcPr>
          <w:p w14:paraId="2C7F363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Termal olarak birleştirilmiş damıtma</w:t>
            </w:r>
          </w:p>
        </w:tc>
        <w:tc>
          <w:tcPr>
            <w:tcW w:w="2041" w:type="pct"/>
            <w:vAlign w:val="center"/>
          </w:tcPr>
          <w:p w14:paraId="274FB346" w14:textId="77A4B76C"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Damıtma iki kolonda gerçekleştiriliyorsa, her iki kolondaki enerji akışları birleştirilebilir. Birinci kolonun tepesinden çıkan buhar, ikinci kolonun tabanındaki bir ısı eşanjörüne beslenir</w:t>
            </w:r>
            <w:r w:rsidR="006C31C5" w:rsidRPr="00F50C10">
              <w:rPr>
                <w:rFonts w:eastAsia="Times New Roman" w:cs="Times New Roman"/>
                <w:szCs w:val="24"/>
                <w:lang w:val="tr-TR" w:bidi="tr-TR"/>
              </w:rPr>
              <w:t>.</w:t>
            </w:r>
          </w:p>
        </w:tc>
        <w:tc>
          <w:tcPr>
            <w:tcW w:w="1276" w:type="pct"/>
            <w:vAlign w:val="center"/>
          </w:tcPr>
          <w:p w14:paraId="379D4F5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yeni tesisler veya büyük tesis yükseltmeleri için geçerlidir. Uygulanabilirlik, damıtma kolonlarının kurulumuna ve işlem koşullarına, örneğin çalışma basıncına bağlıdır.</w:t>
            </w:r>
          </w:p>
        </w:tc>
      </w:tr>
    </w:tbl>
    <w:p w14:paraId="3C72A299" w14:textId="36818ECC" w:rsidR="00BB704F" w:rsidRPr="00F50C10" w:rsidRDefault="00401698"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r w:rsidRPr="00F50C10">
        <w:rPr>
          <w:rFonts w:eastAsia="Times New Roman" w:cs="Times New Roman"/>
          <w:b/>
          <w:szCs w:val="24"/>
          <w:lang w:val="tr-TR"/>
        </w:rPr>
        <w:t xml:space="preserve"> Kalıntılar</w:t>
      </w:r>
    </w:p>
    <w:p w14:paraId="14D49D9A" w14:textId="4389F572"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30: </w:t>
      </w:r>
      <w:r w:rsidRPr="00F50C10">
        <w:rPr>
          <w:rFonts w:eastAsia="Times New Roman" w:cs="Times New Roman"/>
          <w:bCs/>
          <w:szCs w:val="24"/>
          <w:lang w:val="tr-TR"/>
        </w:rPr>
        <w:t>Bertaraf için gönderilen kullanılmış kil miktarını önlemek veya azaltmak için aşa</w:t>
      </w:r>
      <w:r w:rsidR="002423E0" w:rsidRPr="00F50C10">
        <w:rPr>
          <w:rFonts w:eastAsia="Times New Roman" w:cs="Times New Roman"/>
          <w:bCs/>
          <w:szCs w:val="24"/>
          <w:lang w:val="tr-TR"/>
        </w:rPr>
        <w:t>ğıda verilen tekniklerden biri</w:t>
      </w:r>
      <w:r w:rsidRPr="00F50C10">
        <w:rPr>
          <w:rFonts w:eastAsia="Times New Roman" w:cs="Times New Roman"/>
          <w:bCs/>
          <w:szCs w:val="24"/>
          <w:lang w:val="tr-TR"/>
        </w:rPr>
        <w:t xml:space="preserve"> veya her ikisini kullan</w:t>
      </w:r>
      <w:r w:rsidR="002423E0" w:rsidRPr="00F50C10">
        <w:rPr>
          <w:rFonts w:eastAsia="Times New Roman" w:cs="Times New Roman"/>
          <w:bCs/>
          <w:szCs w:val="24"/>
          <w:lang w:val="tr-TR"/>
        </w:rPr>
        <w:t>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682"/>
        <w:gridCol w:w="3273"/>
        <w:gridCol w:w="2197"/>
      </w:tblGrid>
      <w:tr w:rsidR="00BB704F" w:rsidRPr="00F50C10" w14:paraId="03C961C4" w14:textId="77777777" w:rsidTr="00BB704F">
        <w:trPr>
          <w:trHeight w:val="217"/>
          <w:tblHeader/>
        </w:trPr>
        <w:tc>
          <w:tcPr>
            <w:tcW w:w="183" w:type="pct"/>
            <w:tcBorders>
              <w:right w:val="single" w:sz="4" w:space="0" w:color="auto"/>
            </w:tcBorders>
            <w:vAlign w:val="center"/>
          </w:tcPr>
          <w:p w14:paraId="3BAEE481"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585" w:type="pct"/>
            <w:tcBorders>
              <w:left w:val="single" w:sz="4" w:space="0" w:color="auto"/>
            </w:tcBorders>
            <w:vAlign w:val="center"/>
          </w:tcPr>
          <w:p w14:paraId="3F80EE3F"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Teknik</w:t>
            </w:r>
          </w:p>
        </w:tc>
        <w:tc>
          <w:tcPr>
            <w:tcW w:w="1933" w:type="pct"/>
            <w:vAlign w:val="center"/>
          </w:tcPr>
          <w:p w14:paraId="5040C85E"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99" w:type="pct"/>
            <w:vAlign w:val="center"/>
          </w:tcPr>
          <w:p w14:paraId="6053A40D"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w w:val="95"/>
                <w:szCs w:val="24"/>
                <w:lang w:val="tr-TR" w:bidi="tr-TR"/>
              </w:rPr>
              <w:t>Uygulanabilirlik</w:t>
            </w:r>
          </w:p>
        </w:tc>
      </w:tr>
      <w:tr w:rsidR="00BB704F" w:rsidRPr="00F50C10" w14:paraId="79F848D1" w14:textId="77777777" w:rsidTr="00BB704F">
        <w:trPr>
          <w:trHeight w:val="873"/>
        </w:trPr>
        <w:tc>
          <w:tcPr>
            <w:tcW w:w="183" w:type="pct"/>
            <w:vAlign w:val="center"/>
          </w:tcPr>
          <w:p w14:paraId="5FB843E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585" w:type="pct"/>
            <w:vAlign w:val="center"/>
          </w:tcPr>
          <w:p w14:paraId="3B124C30" w14:textId="57CD5AB8"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Reformat veya piroliz </w:t>
            </w:r>
            <w:r w:rsidR="006C31C5" w:rsidRPr="00F50C10">
              <w:rPr>
                <w:rFonts w:eastAsia="Times New Roman" w:cs="Times New Roman"/>
                <w:szCs w:val="24"/>
                <w:lang w:val="tr-TR" w:bidi="tr-TR"/>
              </w:rPr>
              <w:t>yağının</w:t>
            </w:r>
            <w:r w:rsidRPr="00F50C10">
              <w:rPr>
                <w:rFonts w:eastAsia="Times New Roman" w:cs="Times New Roman"/>
                <w:szCs w:val="24"/>
                <w:lang w:val="tr-TR" w:bidi="tr-TR"/>
              </w:rPr>
              <w:t xml:space="preserve"> seçici hidrojenlemesi</w:t>
            </w:r>
          </w:p>
        </w:tc>
        <w:tc>
          <w:tcPr>
            <w:tcW w:w="1933" w:type="pct"/>
            <w:vAlign w:val="center"/>
          </w:tcPr>
          <w:p w14:paraId="4801A1A8" w14:textId="6D296F16"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Hidrojenasyon yoluyla reformat veya pigazın olefin içeriğin</w:t>
            </w:r>
            <w:r w:rsidR="006C31C5" w:rsidRPr="00F50C10">
              <w:rPr>
                <w:rFonts w:eastAsia="Times New Roman" w:cs="Times New Roman"/>
                <w:szCs w:val="24"/>
                <w:lang w:val="tr-TR" w:bidi="tr-TR"/>
              </w:rPr>
              <w:t xml:space="preserve"> </w:t>
            </w:r>
            <w:r w:rsidRPr="00F50C10">
              <w:rPr>
                <w:rFonts w:eastAsia="Times New Roman" w:cs="Times New Roman"/>
                <w:szCs w:val="24"/>
                <w:lang w:val="tr-TR" w:bidi="tr-TR"/>
              </w:rPr>
              <w:t>azaltı</w:t>
            </w:r>
            <w:r w:rsidR="006C31C5" w:rsidRPr="00F50C10">
              <w:rPr>
                <w:rFonts w:eastAsia="Times New Roman" w:cs="Times New Roman"/>
                <w:szCs w:val="24"/>
                <w:lang w:val="tr-TR" w:bidi="tr-TR"/>
              </w:rPr>
              <w:t xml:space="preserve">lır. </w:t>
            </w:r>
            <w:r w:rsidRPr="00F50C10">
              <w:rPr>
                <w:rFonts w:eastAsia="Times New Roman" w:cs="Times New Roman"/>
                <w:szCs w:val="24"/>
                <w:lang w:val="tr-TR" w:bidi="tr-TR"/>
              </w:rPr>
              <w:t>Tamamen hidrojenlenmiş ham maddelerle kil işleyiciler daha uzun çalışma döngülerine sahiptir.</w:t>
            </w:r>
          </w:p>
        </w:tc>
        <w:tc>
          <w:tcPr>
            <w:tcW w:w="1299" w:type="pct"/>
            <w:vAlign w:val="center"/>
          </w:tcPr>
          <w:p w14:paraId="01A38A2B" w14:textId="77777777" w:rsidR="00BB704F" w:rsidRPr="00F50C10" w:rsidRDefault="00BB704F" w:rsidP="000B206D">
            <w:pPr>
              <w:spacing w:before="103" w:line="276" w:lineRule="auto"/>
              <w:ind w:left="108" w:right="108"/>
              <w:rPr>
                <w:rFonts w:eastAsia="Times New Roman" w:cs="Times New Roman"/>
                <w:szCs w:val="24"/>
                <w:lang w:val="tr-TR"/>
              </w:rPr>
            </w:pPr>
            <w:r w:rsidRPr="00F50C10">
              <w:rPr>
                <w:rFonts w:eastAsia="Times New Roman" w:cs="Times New Roman"/>
                <w:szCs w:val="24"/>
                <w:lang w:val="tr-TR" w:bidi="tr-TR"/>
              </w:rPr>
              <w:t>Yalnızca yüksek olefin içeriğine sahip hammaddelerin kullanıldığı tesisler için geçerlidir</w:t>
            </w:r>
          </w:p>
        </w:tc>
      </w:tr>
      <w:tr w:rsidR="00BB704F" w:rsidRPr="00F50C10" w14:paraId="48CEB56D" w14:textId="77777777" w:rsidTr="00BB704F">
        <w:trPr>
          <w:trHeight w:val="1530"/>
        </w:trPr>
        <w:tc>
          <w:tcPr>
            <w:tcW w:w="183" w:type="pct"/>
            <w:vAlign w:val="center"/>
          </w:tcPr>
          <w:p w14:paraId="450E78C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585" w:type="pct"/>
            <w:vAlign w:val="center"/>
          </w:tcPr>
          <w:p w14:paraId="573C639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Kil malzeme seçimi</w:t>
            </w:r>
          </w:p>
        </w:tc>
        <w:tc>
          <w:tcPr>
            <w:tcW w:w="1933" w:type="pct"/>
            <w:vAlign w:val="center"/>
          </w:tcPr>
          <w:p w14:paraId="42C5E7B5" w14:textId="33F5CC20"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Belirli koşullar için mümkün olduğu kadar uzun süre dayanan bir kil kullanın (yani, çalışma döngüsü uzunluğunu artıran yüzey/yapısal özelliklere sahip olan) veya kil ile aynı işleve sahip ancak yeniden üretilebilen sentetik bir malzeme kullan</w:t>
            </w:r>
            <w:r w:rsidR="006C31C5" w:rsidRPr="00F50C10">
              <w:rPr>
                <w:rFonts w:eastAsia="Times New Roman" w:cs="Times New Roman"/>
                <w:szCs w:val="24"/>
                <w:lang w:val="tr-TR" w:bidi="tr-TR"/>
              </w:rPr>
              <w:t>ılır.</w:t>
            </w:r>
          </w:p>
        </w:tc>
        <w:tc>
          <w:tcPr>
            <w:tcW w:w="1299" w:type="pct"/>
            <w:vAlign w:val="center"/>
          </w:tcPr>
          <w:p w14:paraId="3D56DFA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1B11C530" w14:textId="235000AD" w:rsidR="00BB704F" w:rsidRPr="00F50C10" w:rsidRDefault="00BB704F" w:rsidP="00A654AE">
      <w:pPr>
        <w:widowControl w:val="0"/>
        <w:numPr>
          <w:ilvl w:val="0"/>
          <w:numId w:val="179"/>
        </w:numPr>
        <w:autoSpaceDE w:val="0"/>
        <w:autoSpaceDN w:val="0"/>
        <w:spacing w:before="240" w:line="276" w:lineRule="auto"/>
        <w:jc w:val="left"/>
        <w:outlineLvl w:val="0"/>
        <w:rPr>
          <w:rFonts w:eastAsia="Times New Roman" w:cs="Times New Roman"/>
          <w:b/>
          <w:bCs/>
          <w:szCs w:val="24"/>
          <w:lang w:val="tr-TR"/>
        </w:rPr>
      </w:pPr>
      <w:bookmarkStart w:id="30" w:name="_Toc136613714"/>
      <w:r w:rsidRPr="00F50C10">
        <w:rPr>
          <w:rFonts w:eastAsia="Times New Roman" w:cs="Times New Roman"/>
          <w:b/>
          <w:bCs/>
          <w:szCs w:val="24"/>
          <w:lang w:val="tr-TR"/>
        </w:rPr>
        <w:t xml:space="preserve">ETİLENBENZEN VE STİREN MONOMER ÜRETİMİNE İLİŞKİN MET </w:t>
      </w:r>
      <w:bookmarkEnd w:id="30"/>
    </w:p>
    <w:p w14:paraId="13C69071" w14:textId="4F36BB26"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szCs w:val="24"/>
          <w:lang w:val="tr-TR"/>
        </w:rPr>
        <w:t>Bu kısımdaki MET, zeolit veya AlCl</w:t>
      </w:r>
      <w:r w:rsidRPr="00F50C10">
        <w:rPr>
          <w:rFonts w:eastAsia="Times New Roman" w:cs="Times New Roman"/>
          <w:szCs w:val="24"/>
          <w:vertAlign w:val="subscript"/>
          <w:lang w:val="tr-TR"/>
        </w:rPr>
        <w:t>3</w:t>
      </w:r>
      <w:r w:rsidRPr="00F50C10">
        <w:rPr>
          <w:rFonts w:eastAsia="Times New Roman" w:cs="Times New Roman"/>
          <w:szCs w:val="24"/>
          <w:lang w:val="tr-TR"/>
        </w:rPr>
        <w:t xml:space="preserve"> katalizli alkilleme işlemi kullanılarak etilbenzen üretimi için ve etilbenzen dehidrojenasyonuyla veya propilen oksit ile ortak üretim yoluyla stiren monomer için geçerlidir ve genel MET</w:t>
      </w:r>
      <w:r w:rsidR="00564F2D" w:rsidRPr="00F50C10">
        <w:rPr>
          <w:rFonts w:eastAsia="Times New Roman" w:cs="Times New Roman"/>
          <w:szCs w:val="24"/>
          <w:lang w:val="tr-TR"/>
        </w:rPr>
        <w:t xml:space="preserve">’e </w:t>
      </w:r>
      <w:r w:rsidRPr="00F50C10">
        <w:rPr>
          <w:rFonts w:eastAsia="Times New Roman" w:cs="Times New Roman"/>
          <w:szCs w:val="24"/>
          <w:lang w:val="tr-TR"/>
        </w:rPr>
        <w:t>ek olarak uygulanır.</w:t>
      </w:r>
    </w:p>
    <w:p w14:paraId="439FF5E6"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31" w:name="_Toc136613715"/>
      <w:r w:rsidRPr="00F50C10">
        <w:rPr>
          <w:rFonts w:eastAsia="Times New Roman" w:cs="Times New Roman"/>
          <w:b/>
          <w:szCs w:val="24"/>
          <w:lang w:val="tr-TR"/>
        </w:rPr>
        <w:t>Proses Seçimi</w:t>
      </w:r>
      <w:bookmarkEnd w:id="31"/>
    </w:p>
    <w:p w14:paraId="6AA950E5" w14:textId="01B67388" w:rsidR="00BB704F" w:rsidRPr="00F50C10" w:rsidRDefault="00BB704F" w:rsidP="000B206D">
      <w:pPr>
        <w:widowControl w:val="0"/>
        <w:autoSpaceDE w:val="0"/>
        <w:autoSpaceDN w:val="0"/>
        <w:spacing w:before="240" w:line="276" w:lineRule="auto"/>
        <w:rPr>
          <w:rFonts w:eastAsia="Times New Roman" w:cs="Times New Roman"/>
          <w:bCs/>
          <w:szCs w:val="24"/>
          <w:lang w:val="tr-TR"/>
        </w:rPr>
      </w:pPr>
      <w:r w:rsidRPr="00F50C10">
        <w:rPr>
          <w:rFonts w:eastAsia="Times New Roman" w:cs="Times New Roman"/>
          <w:b/>
          <w:bCs/>
          <w:szCs w:val="24"/>
          <w:lang w:val="tr-TR"/>
        </w:rPr>
        <w:t xml:space="preserve">MET 31: </w:t>
      </w:r>
      <w:r w:rsidRPr="00F50C10">
        <w:rPr>
          <w:rFonts w:eastAsia="Times New Roman" w:cs="Times New Roman"/>
          <w:bCs/>
          <w:szCs w:val="24"/>
          <w:lang w:val="tr-TR"/>
        </w:rPr>
        <w:t>Organik bileşiklerin ve asit gazların hava emisyonlarını, benzenin etilen ile alkillenmesi sonucu atık su oluşumunu ve bertaraf için gönderilen atıkları önlemede veya miktarlarını azaltmada; yeni tesisler ve geniş çaplı iyileştirmeler için, zeolit</w:t>
      </w:r>
      <w:r w:rsidR="00544FF2" w:rsidRPr="00F50C10">
        <w:rPr>
          <w:rFonts w:eastAsia="Times New Roman" w:cs="Times New Roman"/>
          <w:bCs/>
          <w:szCs w:val="24"/>
          <w:lang w:val="tr-TR"/>
        </w:rPr>
        <w:t xml:space="preserve"> katalizörlü işlemi kullanılır</w:t>
      </w:r>
      <w:r w:rsidRPr="00F50C10">
        <w:rPr>
          <w:rFonts w:eastAsia="Times New Roman" w:cs="Times New Roman"/>
          <w:bCs/>
          <w:szCs w:val="24"/>
          <w:lang w:val="tr-TR"/>
        </w:rPr>
        <w:t>.</w:t>
      </w:r>
    </w:p>
    <w:p w14:paraId="7C9140F2"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32" w:name="_Toc136613716"/>
      <w:r w:rsidRPr="00F50C10">
        <w:rPr>
          <w:rFonts w:eastAsia="Times New Roman" w:cs="Times New Roman"/>
          <w:b/>
          <w:szCs w:val="24"/>
          <w:lang w:val="tr-TR"/>
        </w:rPr>
        <w:t>Hava Emisyonları</w:t>
      </w:r>
      <w:bookmarkEnd w:id="32"/>
    </w:p>
    <w:p w14:paraId="6B75895C" w14:textId="7067CACE" w:rsidR="00BB704F" w:rsidRPr="00F50C10" w:rsidRDefault="00BB704F" w:rsidP="000B206D">
      <w:pPr>
        <w:widowControl w:val="0"/>
        <w:autoSpaceDE w:val="0"/>
        <w:autoSpaceDN w:val="0"/>
        <w:spacing w:before="240" w:line="276" w:lineRule="auto"/>
        <w:rPr>
          <w:rFonts w:eastAsia="Times New Roman" w:cs="Times New Roman"/>
          <w:bCs/>
          <w:szCs w:val="24"/>
          <w:lang w:val="tr-TR"/>
        </w:rPr>
      </w:pPr>
      <w:r w:rsidRPr="00F50C10">
        <w:rPr>
          <w:rFonts w:eastAsia="Times New Roman" w:cs="Times New Roman"/>
          <w:b/>
          <w:bCs/>
          <w:szCs w:val="24"/>
          <w:lang w:val="tr-TR"/>
        </w:rPr>
        <w:t xml:space="preserve">MET 32: </w:t>
      </w:r>
      <w:r w:rsidRPr="00F50C10">
        <w:rPr>
          <w:rFonts w:eastAsia="Times New Roman" w:cs="Times New Roman"/>
          <w:bCs/>
          <w:szCs w:val="24"/>
          <w:lang w:val="tr-TR"/>
        </w:rPr>
        <w:t>AlCl</w:t>
      </w:r>
      <w:r w:rsidRPr="00F50C10">
        <w:rPr>
          <w:rFonts w:eastAsia="Times New Roman" w:cs="Times New Roman"/>
          <w:bCs/>
          <w:szCs w:val="24"/>
          <w:vertAlign w:val="subscript"/>
          <w:lang w:val="tr-TR"/>
        </w:rPr>
        <w:t>3</w:t>
      </w:r>
      <w:r w:rsidRPr="00F50C10">
        <w:rPr>
          <w:rFonts w:eastAsia="Times New Roman" w:cs="Times New Roman"/>
          <w:bCs/>
          <w:szCs w:val="24"/>
          <w:lang w:val="tr-TR"/>
        </w:rPr>
        <w:t xml:space="preserve"> katalizli etilbenzen üretim sürecinde alkilleme ünitesinden nihai atık gaz arıtmasına gönderi</w:t>
      </w:r>
      <w:r w:rsidR="00544FF2" w:rsidRPr="00F50C10">
        <w:rPr>
          <w:rFonts w:eastAsia="Times New Roman" w:cs="Times New Roman"/>
          <w:bCs/>
          <w:szCs w:val="24"/>
          <w:lang w:val="tr-TR"/>
        </w:rPr>
        <w:t>len HCl yükünü azaltmak için</w:t>
      </w:r>
      <w:r w:rsidRPr="00F50C10">
        <w:rPr>
          <w:rFonts w:eastAsia="Times New Roman" w:cs="Times New Roman"/>
          <w:bCs/>
          <w:szCs w:val="24"/>
          <w:lang w:val="tr-TR"/>
        </w:rPr>
        <w:t xml:space="preserve">, kostik yıkama </w:t>
      </w:r>
      <w:r w:rsidR="00544FF2" w:rsidRPr="00F50C10">
        <w:rPr>
          <w:rFonts w:eastAsia="Times New Roman" w:cs="Times New Roman"/>
          <w:bCs/>
          <w:szCs w:val="24"/>
          <w:lang w:val="tr-TR"/>
        </w:rPr>
        <w:t>kullanılır.</w:t>
      </w:r>
    </w:p>
    <w:p w14:paraId="68D22F50" w14:textId="349562B4" w:rsidR="00D846AD" w:rsidRPr="00F50C10" w:rsidRDefault="00D846AD" w:rsidP="000B206D">
      <w:pPr>
        <w:spacing w:line="276" w:lineRule="auto"/>
        <w:rPr>
          <w:rFonts w:cs="Times New Roman"/>
          <w:szCs w:val="24"/>
          <w:lang w:bidi="tr-TR"/>
        </w:rPr>
      </w:pPr>
      <w:r w:rsidRPr="00F50C10">
        <w:rPr>
          <w:rFonts w:cs="Times New Roman"/>
          <w:szCs w:val="24"/>
          <w:lang w:bidi="tr-TR"/>
        </w:rPr>
        <w:t xml:space="preserve">Kostik yıkamaya ilişkind detaylı bilgi için </w:t>
      </w:r>
      <w:hyperlink w:anchor="_bookmark800" w:history="1">
        <w:r w:rsidRPr="00F50C10">
          <w:rPr>
            <w:rFonts w:cs="Times New Roman"/>
            <w:szCs w:val="24"/>
            <w:lang w:bidi="tr-TR"/>
          </w:rPr>
          <w:t>12.1</w:t>
        </w:r>
      </w:hyperlink>
      <w:r w:rsidRPr="00F50C10">
        <w:rPr>
          <w:rFonts w:cs="Times New Roman"/>
          <w:szCs w:val="24"/>
          <w:lang w:bidi="tr-TR"/>
        </w:rPr>
        <w:t xml:space="preserve"> kısmına bakınız.</w:t>
      </w:r>
    </w:p>
    <w:p w14:paraId="055A1E69" w14:textId="77777777" w:rsidR="00D846AD" w:rsidRPr="00F50C10" w:rsidRDefault="00D846AD" w:rsidP="000B206D">
      <w:pPr>
        <w:spacing w:line="276" w:lineRule="auto"/>
        <w:rPr>
          <w:rFonts w:cs="Times New Roman"/>
          <w:i/>
          <w:szCs w:val="24"/>
          <w:u w:val="single"/>
        </w:rPr>
      </w:pPr>
      <w:r w:rsidRPr="00F50C10">
        <w:rPr>
          <w:rFonts w:cs="Times New Roman"/>
          <w:i/>
          <w:szCs w:val="24"/>
          <w:u w:val="single"/>
          <w:lang w:bidi="tr-TR"/>
        </w:rPr>
        <w:t>Uygulanabilirlik</w:t>
      </w:r>
    </w:p>
    <w:p w14:paraId="6D4D5E03" w14:textId="77777777" w:rsidR="00D846AD" w:rsidRPr="00F50C10" w:rsidRDefault="00D846AD" w:rsidP="000B206D">
      <w:pPr>
        <w:spacing w:line="276" w:lineRule="auto"/>
        <w:rPr>
          <w:rFonts w:cs="Times New Roman"/>
          <w:szCs w:val="24"/>
        </w:rPr>
      </w:pPr>
      <w:r w:rsidRPr="00F50C10">
        <w:rPr>
          <w:rFonts w:cs="Times New Roman"/>
          <w:szCs w:val="24"/>
          <w:lang w:bidi="tr-TR"/>
        </w:rPr>
        <w:t>Yalnızca AlCl</w:t>
      </w:r>
      <w:r w:rsidRPr="00F50C10">
        <w:rPr>
          <w:rFonts w:cs="Times New Roman"/>
          <w:szCs w:val="24"/>
          <w:vertAlign w:val="subscript"/>
          <w:lang w:bidi="tr-TR"/>
        </w:rPr>
        <w:t>3</w:t>
      </w:r>
      <w:r w:rsidRPr="00F50C10">
        <w:rPr>
          <w:rFonts w:cs="Times New Roman"/>
          <w:szCs w:val="24"/>
          <w:lang w:bidi="tr-TR"/>
        </w:rPr>
        <w:t xml:space="preserve"> katalizli etilbenzen üretim prosesini kullanan mevcut tesislere uygulanabilir.</w:t>
      </w:r>
    </w:p>
    <w:p w14:paraId="60917824" w14:textId="048EE7BC" w:rsidR="00BB704F" w:rsidRPr="00F50C10" w:rsidRDefault="00BB704F" w:rsidP="000B206D">
      <w:pPr>
        <w:widowControl w:val="0"/>
        <w:autoSpaceDE w:val="0"/>
        <w:autoSpaceDN w:val="0"/>
        <w:spacing w:before="240" w:line="276" w:lineRule="auto"/>
        <w:rPr>
          <w:rFonts w:eastAsia="Times New Roman" w:cs="Times New Roman"/>
          <w:bCs/>
          <w:szCs w:val="24"/>
          <w:lang w:val="nl-NL"/>
        </w:rPr>
      </w:pPr>
      <w:r w:rsidRPr="00F50C10">
        <w:rPr>
          <w:rFonts w:eastAsia="Times New Roman" w:cs="Times New Roman"/>
          <w:b/>
          <w:bCs/>
          <w:szCs w:val="24"/>
          <w:lang w:val="nl-NL"/>
        </w:rPr>
        <w:t xml:space="preserve">MET 33: </w:t>
      </w:r>
      <w:r w:rsidRPr="00F50C10">
        <w:rPr>
          <w:rFonts w:eastAsia="Times New Roman" w:cs="Times New Roman"/>
          <w:bCs/>
          <w:szCs w:val="24"/>
          <w:lang w:val="nl-NL"/>
        </w:rPr>
        <w:t>AlCl</w:t>
      </w:r>
      <w:r w:rsidRPr="00F50C10">
        <w:rPr>
          <w:rFonts w:eastAsia="Times New Roman" w:cs="Times New Roman"/>
          <w:bCs/>
          <w:szCs w:val="24"/>
          <w:vertAlign w:val="subscript"/>
          <w:lang w:val="nl-NL"/>
        </w:rPr>
        <w:t>3</w:t>
      </w:r>
      <w:r w:rsidRPr="00F50C10">
        <w:rPr>
          <w:rFonts w:eastAsia="Times New Roman" w:cs="Times New Roman"/>
          <w:bCs/>
          <w:szCs w:val="24"/>
          <w:lang w:val="nl-NL"/>
        </w:rPr>
        <w:t xml:space="preserve"> ile katalize edilmiş etilbenzen üretim prosesinde katalizör değiştirme işlemlerinden nihai atık gaz arıtımına gönderilen toz</w:t>
      </w:r>
      <w:r w:rsidR="00544FF2" w:rsidRPr="00F50C10">
        <w:rPr>
          <w:rFonts w:eastAsia="Times New Roman" w:cs="Times New Roman"/>
          <w:bCs/>
          <w:szCs w:val="24"/>
          <w:lang w:val="nl-NL"/>
        </w:rPr>
        <w:t xml:space="preserve"> ve HCl yükünü azaltmak için</w:t>
      </w:r>
      <w:r w:rsidRPr="00F50C10">
        <w:rPr>
          <w:rFonts w:eastAsia="Times New Roman" w:cs="Times New Roman"/>
          <w:bCs/>
          <w:szCs w:val="24"/>
          <w:lang w:val="nl-NL"/>
        </w:rPr>
        <w:t xml:space="preserve">, </w:t>
      </w:r>
      <w:r w:rsidR="00B16387" w:rsidRPr="00F50C10">
        <w:rPr>
          <w:rFonts w:eastAsia="Times New Roman" w:cs="Times New Roman"/>
          <w:bCs/>
          <w:szCs w:val="24"/>
          <w:lang w:val="nl-NL"/>
        </w:rPr>
        <w:t>ıslak yıkama</w:t>
      </w:r>
      <w:r w:rsidRPr="00F50C10">
        <w:rPr>
          <w:rFonts w:eastAsia="Times New Roman" w:cs="Times New Roman"/>
          <w:bCs/>
          <w:szCs w:val="24"/>
          <w:lang w:val="nl-NL"/>
        </w:rPr>
        <w:t>nın uygulanması ve ardından harcanan yıkama sıvısının alkilleme reaktörü sonrasında yı</w:t>
      </w:r>
      <w:r w:rsidR="00544FF2" w:rsidRPr="00F50C10">
        <w:rPr>
          <w:rFonts w:eastAsia="Times New Roman" w:cs="Times New Roman"/>
          <w:bCs/>
          <w:szCs w:val="24"/>
          <w:lang w:val="nl-NL"/>
        </w:rPr>
        <w:t>kama suyu olarak kullanılır</w:t>
      </w:r>
      <w:r w:rsidRPr="00F50C10">
        <w:rPr>
          <w:rFonts w:eastAsia="Times New Roman" w:cs="Times New Roman"/>
          <w:bCs/>
          <w:szCs w:val="24"/>
          <w:lang w:val="nl-NL"/>
        </w:rPr>
        <w:t>.</w:t>
      </w:r>
    </w:p>
    <w:p w14:paraId="4E4AF49B" w14:textId="6534ED7E" w:rsidR="00AF428D" w:rsidRPr="00F50C10" w:rsidRDefault="00AF428D" w:rsidP="000B206D">
      <w:pPr>
        <w:spacing w:line="276" w:lineRule="auto"/>
        <w:rPr>
          <w:rFonts w:cs="Times New Roman"/>
          <w:szCs w:val="24"/>
        </w:rPr>
      </w:pPr>
      <w:r w:rsidRPr="00F50C10">
        <w:rPr>
          <w:rFonts w:cs="Times New Roman"/>
          <w:szCs w:val="24"/>
          <w:lang w:bidi="tr-TR"/>
        </w:rPr>
        <w:t xml:space="preserve">Islak yıkamaya ilişkin detaylı bilgi için </w:t>
      </w:r>
      <w:hyperlink w:anchor="_bookmark800" w:history="1">
        <w:r w:rsidRPr="00F50C10">
          <w:rPr>
            <w:rFonts w:cs="Times New Roman"/>
            <w:szCs w:val="24"/>
            <w:lang w:bidi="tr-TR"/>
          </w:rPr>
          <w:t>12.1</w:t>
        </w:r>
      </w:hyperlink>
      <w:r w:rsidRPr="00F50C10">
        <w:rPr>
          <w:rFonts w:cs="Times New Roman"/>
          <w:szCs w:val="24"/>
          <w:lang w:bidi="tr-TR"/>
        </w:rPr>
        <w:t xml:space="preserve"> kısmına bakınız.</w:t>
      </w:r>
    </w:p>
    <w:p w14:paraId="27EEF444" w14:textId="0BFEB522" w:rsidR="00BB704F" w:rsidRPr="00F50C10" w:rsidRDefault="00BB704F" w:rsidP="000B206D">
      <w:pPr>
        <w:widowControl w:val="0"/>
        <w:autoSpaceDE w:val="0"/>
        <w:autoSpaceDN w:val="0"/>
        <w:spacing w:before="240" w:line="276" w:lineRule="auto"/>
        <w:rPr>
          <w:rFonts w:eastAsia="Times New Roman" w:cs="Times New Roman"/>
          <w:b/>
          <w:bCs/>
          <w:szCs w:val="24"/>
          <w:lang w:val="nl-NL"/>
        </w:rPr>
      </w:pPr>
      <w:r w:rsidRPr="00F50C10">
        <w:rPr>
          <w:rFonts w:eastAsia="Times New Roman" w:cs="Times New Roman"/>
          <w:b/>
          <w:bCs/>
          <w:szCs w:val="24"/>
          <w:lang w:val="nl-NL"/>
        </w:rPr>
        <w:t xml:space="preserve">MET 34:  </w:t>
      </w:r>
      <w:r w:rsidRPr="00F50C10">
        <w:rPr>
          <w:rFonts w:eastAsia="Times New Roman" w:cs="Times New Roman"/>
          <w:bCs/>
          <w:szCs w:val="24"/>
          <w:lang w:val="nl-NL"/>
        </w:rPr>
        <w:t>SMPO üretim prosesindeki oksidasyon ünitesinden nihai atık gaz arıtımına gönderilen</w:t>
      </w:r>
      <w:r w:rsidR="00AB52E4" w:rsidRPr="00F50C10">
        <w:rPr>
          <w:rFonts w:eastAsia="Times New Roman" w:cs="Times New Roman"/>
          <w:bCs/>
          <w:szCs w:val="24"/>
          <w:lang w:val="nl-NL"/>
        </w:rPr>
        <w:t xml:space="preserve"> organik yükü azaltmak için,</w:t>
      </w:r>
      <w:r w:rsidRPr="00F50C10">
        <w:rPr>
          <w:rFonts w:eastAsia="Times New Roman" w:cs="Times New Roman"/>
          <w:bCs/>
          <w:szCs w:val="24"/>
          <w:lang w:val="nl-NL"/>
        </w:rPr>
        <w:t xml:space="preserve"> aşağıda verilen tekniklerden bir</w:t>
      </w:r>
      <w:r w:rsidR="00AB52E4" w:rsidRPr="00F50C10">
        <w:rPr>
          <w:rFonts w:eastAsia="Times New Roman" w:cs="Times New Roman"/>
          <w:bCs/>
          <w:szCs w:val="24"/>
          <w:lang w:val="nl-NL"/>
        </w:rPr>
        <w:t>i veya birkaçı kullanılır.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4"/>
        <w:gridCol w:w="2848"/>
        <w:gridCol w:w="2850"/>
        <w:gridCol w:w="2405"/>
      </w:tblGrid>
      <w:tr w:rsidR="00BB704F" w:rsidRPr="00F50C10" w14:paraId="68842760" w14:textId="77777777" w:rsidTr="00BB704F">
        <w:trPr>
          <w:trHeight w:val="230"/>
          <w:tblHeader/>
        </w:trPr>
        <w:tc>
          <w:tcPr>
            <w:tcW w:w="232" w:type="pct"/>
            <w:tcBorders>
              <w:top w:val="single" w:sz="4" w:space="0" w:color="auto"/>
              <w:right w:val="single" w:sz="4" w:space="0" w:color="auto"/>
            </w:tcBorders>
          </w:tcPr>
          <w:p w14:paraId="151D918C"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676" w:type="pct"/>
            <w:tcBorders>
              <w:top w:val="single" w:sz="4" w:space="0" w:color="auto"/>
              <w:left w:val="single" w:sz="4" w:space="0" w:color="auto"/>
            </w:tcBorders>
          </w:tcPr>
          <w:p w14:paraId="2A656E38"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Teknik</w:t>
            </w:r>
          </w:p>
        </w:tc>
        <w:tc>
          <w:tcPr>
            <w:tcW w:w="1677" w:type="pct"/>
          </w:tcPr>
          <w:p w14:paraId="10422354"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415" w:type="pct"/>
          </w:tcPr>
          <w:p w14:paraId="5451FDD8"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4331FA90" w14:textId="77777777" w:rsidTr="00BB704F">
        <w:trPr>
          <w:trHeight w:val="460"/>
        </w:trPr>
        <w:tc>
          <w:tcPr>
            <w:tcW w:w="232" w:type="pct"/>
            <w:vAlign w:val="center"/>
          </w:tcPr>
          <w:p w14:paraId="30E77AE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676" w:type="pct"/>
            <w:vAlign w:val="center"/>
          </w:tcPr>
          <w:p w14:paraId="3B62880C" w14:textId="77777777" w:rsidR="00BB704F" w:rsidRPr="00F50C10" w:rsidRDefault="00BB704F" w:rsidP="000B206D">
            <w:pPr>
              <w:spacing w:before="1" w:line="276" w:lineRule="auto"/>
              <w:ind w:left="108" w:right="108"/>
              <w:rPr>
                <w:rFonts w:eastAsia="Times New Roman" w:cs="Times New Roman"/>
                <w:szCs w:val="24"/>
                <w:lang w:val="tr-TR"/>
              </w:rPr>
            </w:pPr>
            <w:r w:rsidRPr="00F50C10">
              <w:rPr>
                <w:rFonts w:eastAsia="Times New Roman" w:cs="Times New Roman"/>
                <w:szCs w:val="24"/>
                <w:lang w:val="tr-TR" w:bidi="tr-TR"/>
              </w:rPr>
              <w:t>Sıvı karışmasını azaltma teknikleri</w:t>
            </w:r>
          </w:p>
        </w:tc>
        <w:tc>
          <w:tcPr>
            <w:tcW w:w="1677" w:type="pct"/>
            <w:vAlign w:val="center"/>
          </w:tcPr>
          <w:p w14:paraId="4E09FA91" w14:textId="77777777" w:rsidR="00BB704F" w:rsidRPr="00F50C10" w:rsidRDefault="00BB704F" w:rsidP="000B206D">
            <w:pPr>
              <w:spacing w:before="108"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r w:rsidRPr="00F50C10">
              <w:rPr>
                <w:rFonts w:eastAsia="Times New Roman" w:cs="Times New Roman"/>
                <w:szCs w:val="24"/>
                <w:lang w:val="tr-TR"/>
              </w:rPr>
              <w:fldChar w:fldCharType="begin"/>
            </w:r>
            <w:r w:rsidRPr="00F50C10">
              <w:rPr>
                <w:rFonts w:eastAsia="Times New Roman" w:cs="Times New Roman"/>
                <w:szCs w:val="24"/>
                <w:lang w:val="tr-TR" w:bidi="tr-TR"/>
              </w:rPr>
              <w:instrText xml:space="preserve"> REF _Ref136595878 \n \h </w:instrText>
            </w:r>
            <w:r w:rsidRPr="00F50C10">
              <w:rPr>
                <w:rFonts w:eastAsia="Times New Roman" w:cs="Times New Roman"/>
                <w:szCs w:val="24"/>
                <w:lang w:val="tr-TR"/>
              </w:rPr>
              <w:instrText xml:space="preserve"> \* MERGEFORMAT </w:instrText>
            </w:r>
            <w:r w:rsidRPr="00F50C10">
              <w:rPr>
                <w:rFonts w:eastAsia="Times New Roman" w:cs="Times New Roman"/>
                <w:szCs w:val="24"/>
                <w:lang w:val="tr-TR"/>
              </w:rPr>
            </w:r>
            <w:r w:rsidRPr="00F50C10">
              <w:rPr>
                <w:rFonts w:eastAsia="Times New Roman" w:cs="Times New Roman"/>
                <w:szCs w:val="24"/>
                <w:lang w:val="tr-TR"/>
              </w:rPr>
              <w:fldChar w:fldCharType="separate"/>
            </w:r>
            <w:r w:rsidRPr="00F50C10">
              <w:rPr>
                <w:rFonts w:eastAsia="Times New Roman" w:cs="Times New Roman"/>
                <w:szCs w:val="24"/>
                <w:lang w:val="tr-TR" w:bidi="tr-TR"/>
              </w:rPr>
              <w:t>12.1</w:t>
            </w:r>
            <w:r w:rsidRPr="00F50C10">
              <w:rPr>
                <w:rFonts w:eastAsia="Times New Roman" w:cs="Times New Roman"/>
                <w:szCs w:val="24"/>
                <w:lang w:val="tr-TR"/>
              </w:rPr>
              <w:fldChar w:fldCharType="end"/>
            </w:r>
          </w:p>
        </w:tc>
        <w:tc>
          <w:tcPr>
            <w:tcW w:w="1415" w:type="pct"/>
            <w:vAlign w:val="center"/>
          </w:tcPr>
          <w:p w14:paraId="6FDE6E14" w14:textId="77777777" w:rsidR="00BB704F" w:rsidRPr="00F50C10" w:rsidRDefault="00BB704F" w:rsidP="000B206D">
            <w:pPr>
              <w:spacing w:before="108"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30C7C60A" w14:textId="77777777" w:rsidTr="00BB704F">
        <w:trPr>
          <w:trHeight w:val="230"/>
        </w:trPr>
        <w:tc>
          <w:tcPr>
            <w:tcW w:w="232" w:type="pct"/>
            <w:vAlign w:val="center"/>
          </w:tcPr>
          <w:p w14:paraId="6F66458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676" w:type="pct"/>
            <w:vAlign w:val="center"/>
          </w:tcPr>
          <w:p w14:paraId="4186E08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Yoğunlaştırma</w:t>
            </w:r>
          </w:p>
        </w:tc>
        <w:tc>
          <w:tcPr>
            <w:tcW w:w="1677" w:type="pct"/>
            <w:vAlign w:val="center"/>
          </w:tcPr>
          <w:p w14:paraId="6E607EC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r w:rsidRPr="00F50C10">
              <w:rPr>
                <w:rFonts w:eastAsia="Times New Roman" w:cs="Times New Roman"/>
                <w:szCs w:val="24"/>
                <w:lang w:val="tr-TR"/>
              </w:rPr>
              <w:fldChar w:fldCharType="begin"/>
            </w:r>
            <w:r w:rsidRPr="00F50C10">
              <w:rPr>
                <w:rFonts w:eastAsia="Times New Roman" w:cs="Times New Roman"/>
                <w:szCs w:val="24"/>
                <w:lang w:val="tr-TR" w:bidi="tr-TR"/>
              </w:rPr>
              <w:instrText xml:space="preserve"> REF _Ref136595878 \n \h </w:instrText>
            </w:r>
            <w:r w:rsidRPr="00F50C10">
              <w:rPr>
                <w:rFonts w:eastAsia="Times New Roman" w:cs="Times New Roman"/>
                <w:szCs w:val="24"/>
                <w:lang w:val="tr-TR"/>
              </w:rPr>
              <w:instrText xml:space="preserve"> \* MERGEFORMAT </w:instrText>
            </w:r>
            <w:r w:rsidRPr="00F50C10">
              <w:rPr>
                <w:rFonts w:eastAsia="Times New Roman" w:cs="Times New Roman"/>
                <w:szCs w:val="24"/>
                <w:lang w:val="tr-TR"/>
              </w:rPr>
            </w:r>
            <w:r w:rsidRPr="00F50C10">
              <w:rPr>
                <w:rFonts w:eastAsia="Times New Roman" w:cs="Times New Roman"/>
                <w:szCs w:val="24"/>
                <w:lang w:val="tr-TR"/>
              </w:rPr>
              <w:fldChar w:fldCharType="separate"/>
            </w:r>
            <w:r w:rsidRPr="00F50C10">
              <w:rPr>
                <w:rFonts w:eastAsia="Times New Roman" w:cs="Times New Roman"/>
                <w:szCs w:val="24"/>
                <w:lang w:val="tr-TR" w:bidi="tr-TR"/>
              </w:rPr>
              <w:t>12.1</w:t>
            </w:r>
            <w:r w:rsidRPr="00F50C10">
              <w:rPr>
                <w:rFonts w:eastAsia="Times New Roman" w:cs="Times New Roman"/>
                <w:szCs w:val="24"/>
                <w:lang w:val="tr-TR"/>
              </w:rPr>
              <w:fldChar w:fldCharType="end"/>
            </w:r>
          </w:p>
        </w:tc>
        <w:tc>
          <w:tcPr>
            <w:tcW w:w="1415" w:type="pct"/>
            <w:vAlign w:val="center"/>
          </w:tcPr>
          <w:p w14:paraId="06EC42B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02139B81" w14:textId="77777777" w:rsidTr="00BB704F">
        <w:trPr>
          <w:trHeight w:val="230"/>
        </w:trPr>
        <w:tc>
          <w:tcPr>
            <w:tcW w:w="232" w:type="pct"/>
            <w:vAlign w:val="center"/>
          </w:tcPr>
          <w:p w14:paraId="7B052E8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676" w:type="pct"/>
            <w:vAlign w:val="center"/>
          </w:tcPr>
          <w:p w14:paraId="10D689B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Adsorpsiyon</w:t>
            </w:r>
          </w:p>
        </w:tc>
        <w:tc>
          <w:tcPr>
            <w:tcW w:w="1677" w:type="pct"/>
            <w:vAlign w:val="center"/>
          </w:tcPr>
          <w:p w14:paraId="116D425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r w:rsidRPr="00F50C10">
              <w:rPr>
                <w:rFonts w:eastAsia="Times New Roman" w:cs="Times New Roman"/>
                <w:szCs w:val="24"/>
                <w:lang w:val="tr-TR"/>
              </w:rPr>
              <w:fldChar w:fldCharType="begin"/>
            </w:r>
            <w:r w:rsidRPr="00F50C10">
              <w:rPr>
                <w:rFonts w:eastAsia="Times New Roman" w:cs="Times New Roman"/>
                <w:szCs w:val="24"/>
                <w:lang w:val="tr-TR" w:bidi="tr-TR"/>
              </w:rPr>
              <w:instrText xml:space="preserve"> REF _Ref136595878 \n \h </w:instrText>
            </w:r>
            <w:r w:rsidRPr="00F50C10">
              <w:rPr>
                <w:rFonts w:eastAsia="Times New Roman" w:cs="Times New Roman"/>
                <w:szCs w:val="24"/>
                <w:lang w:val="tr-TR"/>
              </w:rPr>
              <w:instrText xml:space="preserve"> \* MERGEFORMAT </w:instrText>
            </w:r>
            <w:r w:rsidRPr="00F50C10">
              <w:rPr>
                <w:rFonts w:eastAsia="Times New Roman" w:cs="Times New Roman"/>
                <w:szCs w:val="24"/>
                <w:lang w:val="tr-TR"/>
              </w:rPr>
            </w:r>
            <w:r w:rsidRPr="00F50C10">
              <w:rPr>
                <w:rFonts w:eastAsia="Times New Roman" w:cs="Times New Roman"/>
                <w:szCs w:val="24"/>
                <w:lang w:val="tr-TR"/>
              </w:rPr>
              <w:fldChar w:fldCharType="separate"/>
            </w:r>
            <w:r w:rsidRPr="00F50C10">
              <w:rPr>
                <w:rFonts w:eastAsia="Times New Roman" w:cs="Times New Roman"/>
                <w:szCs w:val="24"/>
                <w:lang w:val="tr-TR" w:bidi="tr-TR"/>
              </w:rPr>
              <w:t>12.1</w:t>
            </w:r>
            <w:r w:rsidRPr="00F50C10">
              <w:rPr>
                <w:rFonts w:eastAsia="Times New Roman" w:cs="Times New Roman"/>
                <w:szCs w:val="24"/>
                <w:lang w:val="tr-TR"/>
              </w:rPr>
              <w:fldChar w:fldCharType="end"/>
            </w:r>
          </w:p>
        </w:tc>
        <w:tc>
          <w:tcPr>
            <w:tcW w:w="1415" w:type="pct"/>
            <w:vAlign w:val="center"/>
          </w:tcPr>
          <w:p w14:paraId="2797B55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64AFA1AC" w14:textId="77777777" w:rsidTr="00BB704F">
        <w:trPr>
          <w:trHeight w:val="1379"/>
        </w:trPr>
        <w:tc>
          <w:tcPr>
            <w:tcW w:w="232" w:type="pct"/>
            <w:vAlign w:val="center"/>
          </w:tcPr>
          <w:p w14:paraId="4541446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d</w:t>
            </w:r>
          </w:p>
        </w:tc>
        <w:tc>
          <w:tcPr>
            <w:tcW w:w="1676" w:type="pct"/>
            <w:vAlign w:val="center"/>
          </w:tcPr>
          <w:p w14:paraId="73E936F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Yıkama</w:t>
            </w:r>
          </w:p>
        </w:tc>
        <w:tc>
          <w:tcPr>
            <w:tcW w:w="1677" w:type="pct"/>
            <w:vAlign w:val="center"/>
          </w:tcPr>
          <w:p w14:paraId="54EFCBD9" w14:textId="073BDC91" w:rsidR="00BB704F" w:rsidRPr="00F50C10" w:rsidRDefault="00400D5D"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r w:rsidRPr="00F50C10">
              <w:rPr>
                <w:rFonts w:eastAsia="Times New Roman" w:cs="Times New Roman"/>
                <w:szCs w:val="24"/>
                <w:lang w:val="tr-TR"/>
              </w:rPr>
              <w:fldChar w:fldCharType="begin"/>
            </w:r>
            <w:r w:rsidRPr="00F50C10">
              <w:rPr>
                <w:rFonts w:eastAsia="Times New Roman" w:cs="Times New Roman"/>
                <w:szCs w:val="24"/>
                <w:lang w:val="tr-TR" w:bidi="tr-TR"/>
              </w:rPr>
              <w:instrText xml:space="preserve"> REF _Ref136595878 \n \h </w:instrText>
            </w:r>
            <w:r w:rsidRPr="00F50C10">
              <w:rPr>
                <w:rFonts w:eastAsia="Times New Roman" w:cs="Times New Roman"/>
                <w:szCs w:val="24"/>
                <w:lang w:val="tr-TR"/>
              </w:rPr>
              <w:instrText xml:space="preserve"> \* MERGEFORMAT </w:instrText>
            </w:r>
            <w:r w:rsidRPr="00F50C10">
              <w:rPr>
                <w:rFonts w:eastAsia="Times New Roman" w:cs="Times New Roman"/>
                <w:szCs w:val="24"/>
                <w:lang w:val="tr-TR"/>
              </w:rPr>
            </w:r>
            <w:r w:rsidRPr="00F50C10">
              <w:rPr>
                <w:rFonts w:eastAsia="Times New Roman" w:cs="Times New Roman"/>
                <w:szCs w:val="24"/>
                <w:lang w:val="tr-TR"/>
              </w:rPr>
              <w:fldChar w:fldCharType="separate"/>
            </w:r>
            <w:r w:rsidRPr="00F50C10">
              <w:rPr>
                <w:rFonts w:eastAsia="Times New Roman" w:cs="Times New Roman"/>
                <w:szCs w:val="24"/>
                <w:lang w:val="tr-TR" w:bidi="tr-TR"/>
              </w:rPr>
              <w:t>12.1</w:t>
            </w:r>
            <w:r w:rsidRPr="00F50C10">
              <w:rPr>
                <w:rFonts w:eastAsia="Times New Roman" w:cs="Times New Roman"/>
                <w:szCs w:val="24"/>
                <w:lang w:val="tr-TR"/>
              </w:rPr>
              <w:fldChar w:fldCharType="end"/>
            </w:r>
            <w:r w:rsidR="00BB704F" w:rsidRPr="00F50C10">
              <w:rPr>
                <w:rFonts w:eastAsia="Times New Roman" w:cs="Times New Roman"/>
                <w:szCs w:val="24"/>
                <w:lang w:val="tr-TR"/>
              </w:rPr>
              <w:t>. Yıkama, reaktöre geri döndürülen etilbenzeni emmek için uygun bir çözücü (örn. soğuk, devridaim edilmiş etilbenzen) ile gerçekleştirilir.</w:t>
            </w:r>
          </w:p>
        </w:tc>
        <w:tc>
          <w:tcPr>
            <w:tcW w:w="1415" w:type="pct"/>
            <w:vAlign w:val="center"/>
          </w:tcPr>
          <w:p w14:paraId="0E6C1D60" w14:textId="77777777" w:rsidR="00BB704F" w:rsidRPr="00F50C10" w:rsidRDefault="00BB704F" w:rsidP="000B206D">
            <w:pPr>
              <w:spacing w:before="108" w:line="276" w:lineRule="auto"/>
              <w:ind w:left="108" w:right="108"/>
              <w:rPr>
                <w:rFonts w:eastAsia="Times New Roman" w:cs="Times New Roman"/>
                <w:szCs w:val="24"/>
                <w:lang w:val="tr-TR"/>
              </w:rPr>
            </w:pPr>
            <w:r w:rsidRPr="00F50C10">
              <w:rPr>
                <w:rFonts w:eastAsia="Times New Roman" w:cs="Times New Roman"/>
                <w:szCs w:val="24"/>
                <w:lang w:val="tr-TR" w:bidi="tr-TR"/>
              </w:rPr>
              <w:t>Mevcut tesisler için, yeniden sirküle edilen etilbenzen akışının kullanımı tesis tasarımı ile sınırlandırılabilir.</w:t>
            </w:r>
          </w:p>
        </w:tc>
      </w:tr>
    </w:tbl>
    <w:p w14:paraId="0D0AEF27" w14:textId="14416DBA" w:rsidR="00BB704F" w:rsidRPr="00F50C10" w:rsidRDefault="00BB704F" w:rsidP="000B206D">
      <w:pPr>
        <w:widowControl w:val="0"/>
        <w:autoSpaceDE w:val="0"/>
        <w:autoSpaceDN w:val="0"/>
        <w:spacing w:before="240" w:line="276" w:lineRule="auto"/>
        <w:rPr>
          <w:rFonts w:eastAsia="Times New Roman" w:cs="Times New Roman"/>
          <w:bCs/>
          <w:szCs w:val="24"/>
          <w:lang w:val="nl-NL"/>
        </w:rPr>
      </w:pPr>
      <w:r w:rsidRPr="00F50C10">
        <w:rPr>
          <w:rFonts w:eastAsia="Times New Roman" w:cs="Times New Roman"/>
          <w:b/>
          <w:bCs/>
          <w:szCs w:val="24"/>
          <w:lang w:val="nl-NL"/>
        </w:rPr>
        <w:t>MET 35</w:t>
      </w:r>
      <w:r w:rsidRPr="00F50C10">
        <w:rPr>
          <w:rFonts w:eastAsia="Times New Roman" w:cs="Times New Roman"/>
          <w:bCs/>
          <w:szCs w:val="24"/>
          <w:lang w:val="nl-NL"/>
        </w:rPr>
        <w:t xml:space="preserve">: SMPO üretim sürecinde, normal çalışma koşulları dışında (başlatma olayları gibi) asetofenon hidrojenleme ünitesinden havaya organik bileşik </w:t>
      </w:r>
      <w:r w:rsidR="00AB52E4" w:rsidRPr="00F50C10">
        <w:rPr>
          <w:rFonts w:eastAsia="Times New Roman" w:cs="Times New Roman"/>
          <w:bCs/>
          <w:szCs w:val="24"/>
          <w:lang w:val="nl-NL"/>
        </w:rPr>
        <w:t>emisyonlarını azaltmak için,</w:t>
      </w:r>
      <w:r w:rsidRPr="00F50C10">
        <w:rPr>
          <w:rFonts w:eastAsia="Times New Roman" w:cs="Times New Roman"/>
          <w:bCs/>
          <w:szCs w:val="24"/>
          <w:lang w:val="nl-NL"/>
        </w:rPr>
        <w:t xml:space="preserve"> proses çıkış gazını uygun bir arıtma sistemine </w:t>
      </w:r>
      <w:r w:rsidR="00AB52E4" w:rsidRPr="00F50C10">
        <w:rPr>
          <w:rFonts w:eastAsia="Times New Roman" w:cs="Times New Roman"/>
          <w:bCs/>
          <w:szCs w:val="24"/>
          <w:lang w:val="nl-NL"/>
        </w:rPr>
        <w:t>gönderilir.</w:t>
      </w:r>
    </w:p>
    <w:p w14:paraId="77855EA4"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33" w:name="_Toc136613717"/>
      <w:r w:rsidRPr="00F50C10">
        <w:rPr>
          <w:rFonts w:eastAsia="Times New Roman" w:cs="Times New Roman"/>
          <w:b/>
          <w:szCs w:val="24"/>
          <w:lang w:val="tr-TR"/>
        </w:rPr>
        <w:t>Suya Deşarjlar</w:t>
      </w:r>
      <w:bookmarkEnd w:id="33"/>
    </w:p>
    <w:p w14:paraId="528CB19D" w14:textId="513CCECE"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36: </w:t>
      </w:r>
      <w:r w:rsidRPr="00F50C10">
        <w:rPr>
          <w:rFonts w:eastAsia="Times New Roman" w:cs="Times New Roman"/>
          <w:bCs/>
          <w:szCs w:val="24"/>
          <w:lang w:val="tr-TR"/>
        </w:rPr>
        <w:t>Etilbenzen dehidrojenasyonundan kaynaklanan atık su oluşumunu azaltmak ve organik bileşiklerin geri kazanımını</w:t>
      </w:r>
      <w:r w:rsidR="00AB52E4" w:rsidRPr="00F50C10">
        <w:rPr>
          <w:rFonts w:eastAsia="Times New Roman" w:cs="Times New Roman"/>
          <w:bCs/>
          <w:szCs w:val="24"/>
          <w:lang w:val="tr-TR"/>
        </w:rPr>
        <w:t xml:space="preserve"> en üst düzeye çıkarmak için</w:t>
      </w:r>
      <w:r w:rsidRPr="00F50C10">
        <w:rPr>
          <w:rFonts w:eastAsia="Times New Roman" w:cs="Times New Roman"/>
          <w:bCs/>
          <w:szCs w:val="24"/>
          <w:lang w:val="tr-TR"/>
        </w:rPr>
        <w:t>, aşağıda verilen tekniklerin uygu</w:t>
      </w:r>
      <w:r w:rsidR="00AB52E4" w:rsidRPr="00F50C10">
        <w:rPr>
          <w:rFonts w:eastAsia="Times New Roman" w:cs="Times New Roman"/>
          <w:bCs/>
          <w:szCs w:val="24"/>
          <w:lang w:val="tr-TR"/>
        </w:rPr>
        <w:t>n bir kombinasyonunu kullanılı</w:t>
      </w:r>
      <w:r w:rsidRPr="00F50C10">
        <w:rPr>
          <w:rFonts w:eastAsia="Times New Roman" w:cs="Times New Roman"/>
          <w:bCs/>
          <w:szCs w:val="24"/>
          <w:lang w:val="tr-TR"/>
        </w:rPr>
        <w:t>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860"/>
        <w:gridCol w:w="3265"/>
        <w:gridCol w:w="2027"/>
      </w:tblGrid>
      <w:tr w:rsidR="00BB704F" w:rsidRPr="00F50C10" w14:paraId="4646D8E1" w14:textId="77777777" w:rsidTr="00BB704F">
        <w:trPr>
          <w:trHeight w:val="230"/>
          <w:tblHeader/>
        </w:trPr>
        <w:tc>
          <w:tcPr>
            <w:tcW w:w="143" w:type="pct"/>
            <w:tcBorders>
              <w:right w:val="single" w:sz="4" w:space="0" w:color="auto"/>
            </w:tcBorders>
          </w:tcPr>
          <w:p w14:paraId="7A86AD92"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703" w:type="pct"/>
            <w:tcBorders>
              <w:left w:val="single" w:sz="4" w:space="0" w:color="auto"/>
            </w:tcBorders>
          </w:tcPr>
          <w:p w14:paraId="1BBDBC91"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Teknik</w:t>
            </w:r>
          </w:p>
        </w:tc>
        <w:tc>
          <w:tcPr>
            <w:tcW w:w="1941" w:type="pct"/>
          </w:tcPr>
          <w:p w14:paraId="58F7CA56"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12" w:type="pct"/>
          </w:tcPr>
          <w:p w14:paraId="351A1FE8"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406E62FF" w14:textId="77777777" w:rsidTr="00BB704F">
        <w:trPr>
          <w:trHeight w:val="1380"/>
        </w:trPr>
        <w:tc>
          <w:tcPr>
            <w:tcW w:w="143" w:type="pct"/>
            <w:vAlign w:val="center"/>
          </w:tcPr>
          <w:p w14:paraId="26FB022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a</w:t>
            </w:r>
          </w:p>
        </w:tc>
        <w:tc>
          <w:tcPr>
            <w:tcW w:w="1703" w:type="pct"/>
            <w:vAlign w:val="center"/>
          </w:tcPr>
          <w:p w14:paraId="068EB13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Optimize edilmiş sıvı faz ayrımı</w:t>
            </w:r>
          </w:p>
        </w:tc>
        <w:tc>
          <w:tcPr>
            <w:tcW w:w="1941" w:type="pct"/>
            <w:vAlign w:val="center"/>
          </w:tcPr>
          <w:p w14:paraId="2B3262E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Çözünmemiş organik materyalin herhangi bir şekilde karışmasını önlemek için uygun tasarım ve operasyonla (örneğin, yeterli kalma süresi, faz sınırı tespiti ve kontrol) organik ve sulu fazların ayrılması</w:t>
            </w:r>
          </w:p>
        </w:tc>
        <w:tc>
          <w:tcPr>
            <w:tcW w:w="1212" w:type="pct"/>
            <w:vAlign w:val="center"/>
          </w:tcPr>
          <w:p w14:paraId="4709076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72BDCEDF" w14:textId="77777777" w:rsidTr="00BB704F">
        <w:trPr>
          <w:trHeight w:val="230"/>
        </w:trPr>
        <w:tc>
          <w:tcPr>
            <w:tcW w:w="143" w:type="pct"/>
            <w:vAlign w:val="center"/>
          </w:tcPr>
          <w:p w14:paraId="65D8A34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703" w:type="pct"/>
            <w:vAlign w:val="center"/>
          </w:tcPr>
          <w:p w14:paraId="42FCE86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Buharla sıyırma</w:t>
            </w:r>
          </w:p>
        </w:tc>
        <w:tc>
          <w:tcPr>
            <w:tcW w:w="1941" w:type="pct"/>
            <w:vAlign w:val="center"/>
          </w:tcPr>
          <w:p w14:paraId="7B6CC328" w14:textId="77777777" w:rsidR="00BB704F" w:rsidRPr="00F50C10" w:rsidRDefault="002A1746" w:rsidP="000B206D">
            <w:pPr>
              <w:spacing w:line="276" w:lineRule="auto"/>
              <w:ind w:left="108" w:right="108"/>
              <w:rPr>
                <w:rFonts w:eastAsia="Times New Roman" w:cs="Times New Roman"/>
                <w:szCs w:val="24"/>
                <w:lang w:val="tr-TR"/>
              </w:rPr>
            </w:pPr>
            <w:hyperlink w:anchor="_bookmark801" w:history="1">
              <w:r w:rsidR="00BB704F" w:rsidRPr="00F50C10">
                <w:rPr>
                  <w:rFonts w:eastAsia="Times New Roman" w:cs="Times New Roman"/>
                  <w:color w:val="0000FF"/>
                  <w:szCs w:val="24"/>
                  <w:u w:val="single"/>
                  <w:lang w:val="tr-TR" w:bidi="tr-TR"/>
                </w:rPr>
                <w:fldChar w:fldCharType="begin"/>
              </w:r>
              <w:r w:rsidR="00BB704F" w:rsidRPr="00F50C10">
                <w:rPr>
                  <w:rFonts w:eastAsia="Times New Roman" w:cs="Times New Roman"/>
                  <w:szCs w:val="24"/>
                  <w:lang w:val="tr-TR"/>
                </w:rPr>
                <w:instrText xml:space="preserve"> REF _Ref136597189 \n \h </w:instrText>
              </w:r>
              <w:r w:rsidR="00BB704F" w:rsidRPr="00F50C10">
                <w:rPr>
                  <w:rFonts w:eastAsia="Times New Roman" w:cs="Times New Roman"/>
                  <w:color w:val="0000FF"/>
                  <w:szCs w:val="24"/>
                  <w:u w:val="single"/>
                  <w:lang w:val="tr-TR" w:bidi="tr-TR"/>
                </w:rPr>
                <w:instrText xml:space="preserve"> \* MERGEFORMAT </w:instrText>
              </w:r>
              <w:r w:rsidR="00BB704F" w:rsidRPr="00F50C10">
                <w:rPr>
                  <w:rFonts w:eastAsia="Times New Roman" w:cs="Times New Roman"/>
                  <w:color w:val="0000FF"/>
                  <w:szCs w:val="24"/>
                  <w:u w:val="single"/>
                  <w:lang w:val="tr-TR" w:bidi="tr-TR"/>
                </w:rPr>
              </w:r>
              <w:r w:rsidR="00BB704F" w:rsidRPr="00F50C10">
                <w:rPr>
                  <w:rFonts w:eastAsia="Times New Roman" w:cs="Times New Roman"/>
                  <w:color w:val="0000FF"/>
                  <w:szCs w:val="24"/>
                  <w:u w:val="single"/>
                  <w:lang w:val="tr-TR" w:bidi="tr-TR"/>
                </w:rPr>
                <w:fldChar w:fldCharType="separate"/>
              </w:r>
              <w:r w:rsidR="00BB704F" w:rsidRPr="00F50C10">
                <w:rPr>
                  <w:rFonts w:eastAsia="Times New Roman" w:cs="Times New Roman"/>
                  <w:szCs w:val="24"/>
                  <w:lang w:val="tr-TR"/>
                </w:rPr>
                <w:t>12.2</w:t>
              </w:r>
              <w:r w:rsidR="00BB704F" w:rsidRPr="00F50C10">
                <w:rPr>
                  <w:rFonts w:eastAsia="Times New Roman" w:cs="Times New Roman"/>
                  <w:color w:val="0000FF"/>
                  <w:szCs w:val="24"/>
                  <w:u w:val="single"/>
                  <w:lang w:val="tr-TR" w:bidi="tr-TR"/>
                </w:rPr>
                <w:fldChar w:fldCharType="end"/>
              </w:r>
            </w:hyperlink>
            <w:r w:rsidR="00BB704F" w:rsidRPr="00F50C10">
              <w:rPr>
                <w:rFonts w:eastAsia="Times New Roman" w:cs="Times New Roman"/>
                <w:szCs w:val="24"/>
                <w:lang w:val="tr-TR" w:bidi="tr-TR"/>
              </w:rPr>
              <w:t xml:space="preserve"> kısmına bakınız.</w:t>
            </w:r>
          </w:p>
        </w:tc>
        <w:tc>
          <w:tcPr>
            <w:tcW w:w="1212" w:type="pct"/>
            <w:vAlign w:val="center"/>
          </w:tcPr>
          <w:p w14:paraId="1687CC8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69525EE7" w14:textId="77777777" w:rsidTr="00BB704F">
        <w:trPr>
          <w:trHeight w:val="230"/>
        </w:trPr>
        <w:tc>
          <w:tcPr>
            <w:tcW w:w="143" w:type="pct"/>
            <w:vAlign w:val="center"/>
          </w:tcPr>
          <w:p w14:paraId="76B648E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703" w:type="pct"/>
            <w:vAlign w:val="center"/>
          </w:tcPr>
          <w:p w14:paraId="4A18BF7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Adsorpsiyon</w:t>
            </w:r>
          </w:p>
        </w:tc>
        <w:tc>
          <w:tcPr>
            <w:tcW w:w="1941" w:type="pct"/>
            <w:vAlign w:val="center"/>
          </w:tcPr>
          <w:p w14:paraId="3276B69D" w14:textId="77777777" w:rsidR="00BB704F" w:rsidRPr="00F50C10" w:rsidRDefault="002A1746" w:rsidP="000B206D">
            <w:pPr>
              <w:spacing w:line="276" w:lineRule="auto"/>
              <w:ind w:left="108" w:right="108"/>
              <w:rPr>
                <w:rFonts w:eastAsia="Times New Roman" w:cs="Times New Roman"/>
                <w:szCs w:val="24"/>
                <w:lang w:val="tr-TR"/>
              </w:rPr>
            </w:pPr>
            <w:hyperlink w:anchor="_bookmark801" w:history="1">
              <w:r w:rsidR="00BB704F" w:rsidRPr="00F50C10">
                <w:rPr>
                  <w:rFonts w:eastAsia="Times New Roman" w:cs="Times New Roman"/>
                  <w:color w:val="0000FF"/>
                  <w:szCs w:val="24"/>
                  <w:u w:val="single"/>
                  <w:lang w:val="tr-TR" w:bidi="tr-TR"/>
                </w:rPr>
                <w:fldChar w:fldCharType="begin"/>
              </w:r>
              <w:r w:rsidR="00BB704F" w:rsidRPr="00F50C10">
                <w:rPr>
                  <w:rFonts w:eastAsia="Times New Roman" w:cs="Times New Roman"/>
                  <w:szCs w:val="24"/>
                  <w:lang w:val="tr-TR"/>
                </w:rPr>
                <w:instrText xml:space="preserve"> REF _Ref136597189 \n \h </w:instrText>
              </w:r>
              <w:r w:rsidR="00BB704F" w:rsidRPr="00F50C10">
                <w:rPr>
                  <w:rFonts w:eastAsia="Times New Roman" w:cs="Times New Roman"/>
                  <w:color w:val="0000FF"/>
                  <w:szCs w:val="24"/>
                  <w:u w:val="single"/>
                  <w:lang w:val="tr-TR" w:bidi="tr-TR"/>
                </w:rPr>
                <w:instrText xml:space="preserve"> \* MERGEFORMAT </w:instrText>
              </w:r>
              <w:r w:rsidR="00BB704F" w:rsidRPr="00F50C10">
                <w:rPr>
                  <w:rFonts w:eastAsia="Times New Roman" w:cs="Times New Roman"/>
                  <w:color w:val="0000FF"/>
                  <w:szCs w:val="24"/>
                  <w:u w:val="single"/>
                  <w:lang w:val="tr-TR" w:bidi="tr-TR"/>
                </w:rPr>
              </w:r>
              <w:r w:rsidR="00BB704F" w:rsidRPr="00F50C10">
                <w:rPr>
                  <w:rFonts w:eastAsia="Times New Roman" w:cs="Times New Roman"/>
                  <w:color w:val="0000FF"/>
                  <w:szCs w:val="24"/>
                  <w:u w:val="single"/>
                  <w:lang w:val="tr-TR" w:bidi="tr-TR"/>
                </w:rPr>
                <w:fldChar w:fldCharType="separate"/>
              </w:r>
              <w:r w:rsidR="00BB704F" w:rsidRPr="00F50C10">
                <w:rPr>
                  <w:rFonts w:eastAsia="Times New Roman" w:cs="Times New Roman"/>
                  <w:szCs w:val="24"/>
                  <w:lang w:val="tr-TR"/>
                </w:rPr>
                <w:t>12.2</w:t>
              </w:r>
              <w:r w:rsidR="00BB704F" w:rsidRPr="00F50C10">
                <w:rPr>
                  <w:rFonts w:eastAsia="Times New Roman" w:cs="Times New Roman"/>
                  <w:color w:val="0000FF"/>
                  <w:szCs w:val="24"/>
                  <w:u w:val="single"/>
                  <w:lang w:val="tr-TR" w:bidi="tr-TR"/>
                </w:rPr>
                <w:fldChar w:fldCharType="end"/>
              </w:r>
            </w:hyperlink>
            <w:r w:rsidR="00BB704F" w:rsidRPr="00F50C10">
              <w:rPr>
                <w:rFonts w:eastAsia="Times New Roman" w:cs="Times New Roman"/>
                <w:szCs w:val="24"/>
                <w:lang w:val="tr-TR" w:bidi="tr-TR"/>
              </w:rPr>
              <w:t xml:space="preserve"> kısmına bakınız.</w:t>
            </w:r>
          </w:p>
        </w:tc>
        <w:tc>
          <w:tcPr>
            <w:tcW w:w="1212" w:type="pct"/>
            <w:vAlign w:val="center"/>
          </w:tcPr>
          <w:p w14:paraId="0F48723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3AAA9205" w14:textId="77777777" w:rsidTr="00BB704F">
        <w:trPr>
          <w:trHeight w:val="921"/>
        </w:trPr>
        <w:tc>
          <w:tcPr>
            <w:tcW w:w="143" w:type="pct"/>
            <w:vAlign w:val="center"/>
          </w:tcPr>
          <w:p w14:paraId="180FA33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d</w:t>
            </w:r>
          </w:p>
        </w:tc>
        <w:tc>
          <w:tcPr>
            <w:tcW w:w="1703" w:type="pct"/>
            <w:vAlign w:val="center"/>
          </w:tcPr>
          <w:p w14:paraId="2AF5C3B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Suyun yeniden kullanımı</w:t>
            </w:r>
          </w:p>
        </w:tc>
        <w:tc>
          <w:tcPr>
            <w:tcW w:w="1941" w:type="pct"/>
            <w:vAlign w:val="center"/>
          </w:tcPr>
          <w:p w14:paraId="3161D63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Reaksiyondan gelen kondensatlar, buharla sıyırma (bkz. teknik b.) ve adsorpsiyon (bkz. teknik c.) sonrasında proses suyu veya kazan beslemesi olarak kullanılabilir.</w:t>
            </w:r>
          </w:p>
        </w:tc>
        <w:tc>
          <w:tcPr>
            <w:tcW w:w="1212" w:type="pct"/>
            <w:vAlign w:val="center"/>
          </w:tcPr>
          <w:p w14:paraId="1163BF3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5C3BDB77" w14:textId="49AC40AB" w:rsidR="00BB704F" w:rsidRPr="00F50C10" w:rsidRDefault="00BB704F" w:rsidP="000B206D">
      <w:pPr>
        <w:spacing w:before="240" w:line="276" w:lineRule="auto"/>
        <w:rPr>
          <w:rFonts w:eastAsia="Calibri" w:cs="Times New Roman"/>
          <w:bCs/>
          <w:iCs/>
          <w:szCs w:val="24"/>
          <w:lang w:eastAsia="de-DE"/>
        </w:rPr>
      </w:pPr>
      <w:r w:rsidRPr="00F50C10">
        <w:rPr>
          <w:rFonts w:eastAsia="Calibri" w:cs="Times New Roman"/>
          <w:b/>
          <w:bCs/>
          <w:iCs/>
          <w:szCs w:val="24"/>
          <w:lang w:eastAsia="de-DE"/>
        </w:rPr>
        <w:t xml:space="preserve">MET 37: </w:t>
      </w:r>
      <w:r w:rsidRPr="00F50C10">
        <w:rPr>
          <w:rFonts w:eastAsia="Calibri" w:cs="Times New Roman"/>
          <w:bCs/>
          <w:iCs/>
          <w:szCs w:val="24"/>
          <w:lang w:eastAsia="de-DE"/>
        </w:rPr>
        <w:t>SMPO üretim sürecinde oksidasyon ünitesinden suya organik peroksitlerin emisyonlarını azaltmak ve aşağı akış yönündeki biyolojik atık su arıtma tesisini korumak için, organik peroksitler içeren atık suyun diğer atık su akışlarıyla birleştirilmesinden ve nihai biyolojik arıtmaya boşaltımından önce hidroliz yoluyla</w:t>
      </w:r>
      <w:r w:rsidR="002639D0" w:rsidRPr="00F50C10">
        <w:rPr>
          <w:rFonts w:eastAsia="Calibri" w:cs="Times New Roman"/>
          <w:bCs/>
          <w:iCs/>
          <w:szCs w:val="24"/>
          <w:lang w:eastAsia="de-DE"/>
        </w:rPr>
        <w:t xml:space="preserve"> ön arıtması gerçekleştirili</w:t>
      </w:r>
      <w:r w:rsidRPr="00F50C10">
        <w:rPr>
          <w:rFonts w:eastAsia="Calibri" w:cs="Times New Roman"/>
          <w:bCs/>
          <w:iCs/>
          <w:szCs w:val="24"/>
          <w:lang w:eastAsia="de-DE"/>
        </w:rPr>
        <w:t>r.</w:t>
      </w:r>
    </w:p>
    <w:p w14:paraId="7039AC8C" w14:textId="15BA7FB5" w:rsidR="00A65067" w:rsidRPr="00F50C10" w:rsidRDefault="00A65067" w:rsidP="000B206D">
      <w:pPr>
        <w:spacing w:before="240" w:line="276" w:lineRule="auto"/>
        <w:rPr>
          <w:rFonts w:eastAsia="Calibri" w:cs="Times New Roman"/>
          <w:bCs/>
          <w:iCs/>
          <w:szCs w:val="24"/>
          <w:lang w:eastAsia="de-DE"/>
        </w:rPr>
      </w:pPr>
      <w:r w:rsidRPr="00F50C10">
        <w:rPr>
          <w:rFonts w:eastAsia="Calibri" w:cs="Times New Roman"/>
          <w:bCs/>
          <w:iCs/>
          <w:szCs w:val="24"/>
          <w:lang w:eastAsia="de-DE"/>
        </w:rPr>
        <w:t>Hidrolize yönelik açıklamalar için Bölüm 12.2'ye bakınız.</w:t>
      </w:r>
    </w:p>
    <w:p w14:paraId="37ECDB1C" w14:textId="08917CE0" w:rsidR="00BB704F" w:rsidRPr="00F50C10" w:rsidRDefault="00136BCA" w:rsidP="00A654AE">
      <w:pPr>
        <w:pStyle w:val="ListeParagraf"/>
        <w:widowControl w:val="0"/>
        <w:numPr>
          <w:ilvl w:val="1"/>
          <w:numId w:val="179"/>
        </w:numPr>
        <w:autoSpaceDE w:val="0"/>
        <w:autoSpaceDN w:val="0"/>
        <w:spacing w:before="240" w:line="276" w:lineRule="auto"/>
        <w:jc w:val="left"/>
        <w:rPr>
          <w:rFonts w:eastAsia="Times New Roman" w:cs="Times New Roman"/>
          <w:b/>
          <w:szCs w:val="24"/>
          <w:lang w:val="tr-TR"/>
        </w:rPr>
      </w:pPr>
      <w:bookmarkStart w:id="34" w:name="_Toc136613718"/>
      <w:r w:rsidRPr="00F50C10">
        <w:rPr>
          <w:rFonts w:eastAsia="Times New Roman" w:cs="Times New Roman"/>
          <w:b/>
          <w:szCs w:val="24"/>
          <w:lang w:val="tr-TR"/>
        </w:rPr>
        <w:t xml:space="preserve"> </w:t>
      </w:r>
      <w:r w:rsidR="00BB704F" w:rsidRPr="00F50C10">
        <w:rPr>
          <w:rFonts w:eastAsia="Times New Roman" w:cs="Times New Roman"/>
          <w:b/>
          <w:szCs w:val="24"/>
          <w:lang w:val="tr-TR"/>
        </w:rPr>
        <w:t>Kaynak Verimliliği</w:t>
      </w:r>
      <w:bookmarkEnd w:id="34"/>
    </w:p>
    <w:p w14:paraId="149E86DC" w14:textId="470F8C0E"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38: </w:t>
      </w:r>
      <w:r w:rsidRPr="00F50C10">
        <w:rPr>
          <w:rFonts w:eastAsia="Times New Roman" w:cs="Times New Roman"/>
          <w:bCs/>
          <w:szCs w:val="24"/>
          <w:lang w:val="tr-TR"/>
        </w:rPr>
        <w:t>Organik bileşikleri, hidrojenin geri kazanılmasından önce etilbenzen dehidrojenasyonundan geri kazanmak için (bkz. MET 39) MET aşağıda verilen tekniklerden birini veya her ikisini kullan</w:t>
      </w:r>
      <w:r w:rsidR="002639D0" w:rsidRPr="00F50C10">
        <w:rPr>
          <w:rFonts w:eastAsia="Times New Roman" w:cs="Times New Roman"/>
          <w:bCs/>
          <w:szCs w:val="24"/>
          <w:lang w:val="tr-TR"/>
        </w:rPr>
        <w:t>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281"/>
        <w:gridCol w:w="3508"/>
        <w:gridCol w:w="2363"/>
      </w:tblGrid>
      <w:tr w:rsidR="00BB704F" w:rsidRPr="00F50C10" w14:paraId="79A03CD1" w14:textId="77777777" w:rsidTr="00BB704F">
        <w:trPr>
          <w:trHeight w:val="230"/>
          <w:tblHeader/>
        </w:trPr>
        <w:tc>
          <w:tcPr>
            <w:tcW w:w="141" w:type="pct"/>
            <w:tcBorders>
              <w:right w:val="single" w:sz="4" w:space="0" w:color="auto"/>
            </w:tcBorders>
            <w:vAlign w:val="center"/>
          </w:tcPr>
          <w:p w14:paraId="20A8568D" w14:textId="77777777" w:rsidR="00BB704F" w:rsidRPr="00F50C10" w:rsidRDefault="00BB704F" w:rsidP="000B206D">
            <w:pPr>
              <w:tabs>
                <w:tab w:val="center" w:pos="1358"/>
              </w:tabs>
              <w:spacing w:line="276" w:lineRule="auto"/>
              <w:ind w:left="108" w:right="108"/>
              <w:jc w:val="center"/>
              <w:rPr>
                <w:rFonts w:eastAsia="Times New Roman" w:cs="Times New Roman"/>
                <w:b/>
                <w:szCs w:val="24"/>
                <w:lang w:val="tr-TR"/>
              </w:rPr>
            </w:pPr>
          </w:p>
        </w:tc>
        <w:tc>
          <w:tcPr>
            <w:tcW w:w="1363" w:type="pct"/>
            <w:tcBorders>
              <w:left w:val="single" w:sz="4" w:space="0" w:color="auto"/>
            </w:tcBorders>
            <w:vAlign w:val="center"/>
          </w:tcPr>
          <w:p w14:paraId="750D34A3" w14:textId="77777777" w:rsidR="00BB704F" w:rsidRPr="00F50C10" w:rsidRDefault="00BB704F" w:rsidP="000B206D">
            <w:pPr>
              <w:tabs>
                <w:tab w:val="center" w:pos="1358"/>
              </w:tabs>
              <w:spacing w:line="276" w:lineRule="auto"/>
              <w:jc w:val="center"/>
              <w:rPr>
                <w:rFonts w:eastAsia="Times New Roman" w:cs="Times New Roman"/>
                <w:b/>
                <w:szCs w:val="24"/>
                <w:lang w:val="tr-TR"/>
              </w:rPr>
            </w:pPr>
            <w:r w:rsidRPr="00F50C10">
              <w:rPr>
                <w:rFonts w:eastAsia="Times New Roman" w:cs="Times New Roman"/>
                <w:b/>
                <w:szCs w:val="24"/>
                <w:lang w:val="tr-TR" w:bidi="tr-TR"/>
              </w:rPr>
              <w:t>Teknik</w:t>
            </w:r>
          </w:p>
        </w:tc>
        <w:tc>
          <w:tcPr>
            <w:tcW w:w="2085" w:type="pct"/>
          </w:tcPr>
          <w:p w14:paraId="16A9541E"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411" w:type="pct"/>
            <w:vAlign w:val="center"/>
          </w:tcPr>
          <w:p w14:paraId="790CC2F5"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684AF082" w14:textId="77777777" w:rsidTr="00BB704F">
        <w:trPr>
          <w:trHeight w:val="513"/>
        </w:trPr>
        <w:tc>
          <w:tcPr>
            <w:tcW w:w="141" w:type="pct"/>
            <w:vAlign w:val="center"/>
          </w:tcPr>
          <w:p w14:paraId="134A1C0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363" w:type="pct"/>
            <w:vAlign w:val="center"/>
          </w:tcPr>
          <w:p w14:paraId="1D222D5C" w14:textId="77777777" w:rsidR="00BB704F" w:rsidRPr="00F50C10" w:rsidRDefault="00BB704F" w:rsidP="000B206D">
            <w:pPr>
              <w:spacing w:before="134" w:line="276" w:lineRule="auto"/>
              <w:ind w:left="108" w:right="108"/>
              <w:rPr>
                <w:rFonts w:eastAsia="Times New Roman" w:cs="Times New Roman"/>
                <w:szCs w:val="24"/>
                <w:lang w:val="tr-TR"/>
              </w:rPr>
            </w:pPr>
            <w:r w:rsidRPr="00F50C10">
              <w:rPr>
                <w:rFonts w:eastAsia="Times New Roman" w:cs="Times New Roman"/>
                <w:szCs w:val="24"/>
                <w:lang w:val="tr-TR" w:bidi="tr-TR"/>
              </w:rPr>
              <w:t>Yoğunlaştırma</w:t>
            </w:r>
          </w:p>
        </w:tc>
        <w:tc>
          <w:tcPr>
            <w:tcW w:w="2085" w:type="pct"/>
            <w:vAlign w:val="center"/>
          </w:tcPr>
          <w:p w14:paraId="4332DCB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r w:rsidRPr="00F50C10">
              <w:rPr>
                <w:rFonts w:eastAsia="Times New Roman" w:cs="Times New Roman"/>
                <w:szCs w:val="24"/>
                <w:lang w:val="tr-TR" w:bidi="tr-TR"/>
              </w:rPr>
              <w:fldChar w:fldCharType="begin"/>
            </w:r>
            <w:r w:rsidRPr="00F50C10">
              <w:rPr>
                <w:rFonts w:eastAsia="Times New Roman" w:cs="Times New Roman"/>
                <w:szCs w:val="24"/>
                <w:lang w:val="tr-TR" w:bidi="tr-TR"/>
              </w:rPr>
              <w:instrText xml:space="preserve"> REF _Ref136597231 \n \h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bidi="tr-TR"/>
              </w:rPr>
              <w:t>12.1</w:t>
            </w:r>
            <w:r w:rsidRPr="00F50C10">
              <w:rPr>
                <w:rFonts w:eastAsia="Times New Roman" w:cs="Times New Roman"/>
                <w:szCs w:val="24"/>
                <w:lang w:val="tr-TR" w:bidi="tr-TR"/>
              </w:rPr>
              <w:fldChar w:fldCharType="end"/>
            </w:r>
          </w:p>
        </w:tc>
        <w:tc>
          <w:tcPr>
            <w:tcW w:w="1411" w:type="pct"/>
            <w:vMerge w:val="restart"/>
            <w:vAlign w:val="center"/>
          </w:tcPr>
          <w:p w14:paraId="114A3E7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04B02B48" w14:textId="77777777" w:rsidTr="00BB704F">
        <w:trPr>
          <w:trHeight w:val="1149"/>
        </w:trPr>
        <w:tc>
          <w:tcPr>
            <w:tcW w:w="141" w:type="pct"/>
            <w:vAlign w:val="center"/>
          </w:tcPr>
          <w:p w14:paraId="1DF99B8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363" w:type="pct"/>
            <w:vAlign w:val="center"/>
          </w:tcPr>
          <w:p w14:paraId="0BD1080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Yıkama</w:t>
            </w:r>
          </w:p>
        </w:tc>
        <w:tc>
          <w:tcPr>
            <w:tcW w:w="2085" w:type="pct"/>
          </w:tcPr>
          <w:p w14:paraId="6D2EAB6B" w14:textId="283322FE" w:rsidR="00BB704F" w:rsidRPr="00F50C10" w:rsidRDefault="00136BCA"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r w:rsidRPr="00F50C10">
              <w:rPr>
                <w:rFonts w:eastAsia="Times New Roman" w:cs="Times New Roman"/>
                <w:szCs w:val="24"/>
                <w:lang w:val="tr-TR" w:bidi="tr-TR"/>
              </w:rPr>
              <w:fldChar w:fldCharType="begin"/>
            </w:r>
            <w:r w:rsidRPr="00F50C10">
              <w:rPr>
                <w:rFonts w:eastAsia="Times New Roman" w:cs="Times New Roman"/>
                <w:szCs w:val="24"/>
                <w:lang w:val="tr-TR" w:bidi="tr-TR"/>
              </w:rPr>
              <w:instrText xml:space="preserve"> REF _Ref136597231 \n \h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bidi="tr-TR"/>
              </w:rPr>
              <w:t>12.1</w:t>
            </w:r>
            <w:r w:rsidRPr="00F50C10">
              <w:rPr>
                <w:rFonts w:eastAsia="Times New Roman" w:cs="Times New Roman"/>
                <w:szCs w:val="24"/>
                <w:lang w:val="tr-TR" w:bidi="tr-TR"/>
              </w:rPr>
              <w:fldChar w:fldCharType="end"/>
            </w:r>
            <w:r w:rsidR="00BB704F" w:rsidRPr="00F50C10">
              <w:rPr>
                <w:rFonts w:eastAsia="Times New Roman" w:cs="Times New Roman"/>
                <w:szCs w:val="24"/>
                <w:lang w:val="tr-TR"/>
              </w:rPr>
              <w:t>. Emici, ticari organik çözücülerden (veya etilbenzen bitkilerinden katran) oluşur (bkz. BAT 42b.). UOBs'ler, yıkayıcı likörden sıyrılarak geri kazanılır</w:t>
            </w:r>
          </w:p>
        </w:tc>
        <w:tc>
          <w:tcPr>
            <w:tcW w:w="1411" w:type="pct"/>
            <w:vMerge/>
          </w:tcPr>
          <w:p w14:paraId="327319C3" w14:textId="77777777" w:rsidR="00BB704F" w:rsidRPr="00F50C10" w:rsidRDefault="00BB704F" w:rsidP="000B206D">
            <w:pPr>
              <w:spacing w:line="276" w:lineRule="auto"/>
              <w:ind w:left="108" w:right="108"/>
              <w:jc w:val="left"/>
              <w:rPr>
                <w:rFonts w:eastAsia="Times New Roman" w:cs="Times New Roman"/>
                <w:szCs w:val="24"/>
                <w:lang w:val="tr-TR"/>
              </w:rPr>
            </w:pPr>
          </w:p>
        </w:tc>
      </w:tr>
    </w:tbl>
    <w:p w14:paraId="3F75053E" w14:textId="4CD23AD2"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39: </w:t>
      </w:r>
      <w:r w:rsidRPr="00F50C10">
        <w:rPr>
          <w:rFonts w:eastAsia="Times New Roman" w:cs="Times New Roman"/>
          <w:bCs/>
          <w:szCs w:val="24"/>
          <w:lang w:val="tr-TR"/>
        </w:rPr>
        <w:t>Kaynak</w:t>
      </w:r>
      <w:r w:rsidR="00077D09" w:rsidRPr="00F50C10">
        <w:rPr>
          <w:rFonts w:eastAsia="Times New Roman" w:cs="Times New Roman"/>
          <w:bCs/>
          <w:szCs w:val="24"/>
          <w:lang w:val="tr-TR"/>
        </w:rPr>
        <w:t xml:space="preserve"> verimliliğini artırmak için</w:t>
      </w:r>
      <w:r w:rsidRPr="00F50C10">
        <w:rPr>
          <w:rFonts w:eastAsia="Times New Roman" w:cs="Times New Roman"/>
          <w:bCs/>
          <w:szCs w:val="24"/>
          <w:lang w:val="tr-TR"/>
        </w:rPr>
        <w:t>, ortak üretilen hidrojenin etilbenzen dehidrojenasyonundan geri kazanımı ve kimyasal bir reaktif olarak kullanılması veya dehidrojenasyon çıkış gazının yakıt olarak yakıl</w:t>
      </w:r>
      <w:r w:rsidR="00077D09" w:rsidRPr="00F50C10">
        <w:rPr>
          <w:rFonts w:eastAsia="Times New Roman" w:cs="Times New Roman"/>
          <w:bCs/>
          <w:szCs w:val="24"/>
          <w:lang w:val="tr-TR"/>
        </w:rPr>
        <w:t>ır.</w:t>
      </w:r>
      <w:r w:rsidRPr="00F50C10">
        <w:rPr>
          <w:rFonts w:eastAsia="Times New Roman" w:cs="Times New Roman"/>
          <w:bCs/>
          <w:szCs w:val="24"/>
          <w:lang w:val="tr-TR"/>
        </w:rPr>
        <w:t xml:space="preserve"> (örneğin buhar kızdırıcıda)</w:t>
      </w:r>
      <w:r w:rsidR="00136BCA" w:rsidRPr="00F50C10">
        <w:rPr>
          <w:rFonts w:eastAsia="Times New Roman" w:cs="Times New Roman"/>
          <w:bCs/>
          <w:szCs w:val="24"/>
          <w:lang w:val="tr-TR"/>
        </w:rPr>
        <w:t>.</w:t>
      </w:r>
    </w:p>
    <w:p w14:paraId="0756FBCF" w14:textId="4E04533F"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40: </w:t>
      </w:r>
      <w:r w:rsidRPr="00F50C10">
        <w:rPr>
          <w:rFonts w:eastAsia="Times New Roman" w:cs="Times New Roman"/>
          <w:bCs/>
          <w:szCs w:val="24"/>
          <w:lang w:val="tr-TR"/>
        </w:rPr>
        <w:t>SMPO üretim sürecinde asetofenon hidrojenleme ünitesinin kaynak verimliliğini artırmak için MET, hidrojen fazlalığının en aza indirilmesi veya MET 8a’nın uygulanmasıyla hidrojenin geri dönüştürülmesidir. MET 8a’nı</w:t>
      </w:r>
      <w:r w:rsidR="00077D09" w:rsidRPr="00F50C10">
        <w:rPr>
          <w:rFonts w:eastAsia="Times New Roman" w:cs="Times New Roman"/>
          <w:bCs/>
          <w:szCs w:val="24"/>
          <w:lang w:val="tr-TR"/>
        </w:rPr>
        <w:t>n uygulanması mümkün değilse</w:t>
      </w:r>
      <w:r w:rsidRPr="00F50C10">
        <w:rPr>
          <w:rFonts w:eastAsia="Times New Roman" w:cs="Times New Roman"/>
          <w:bCs/>
          <w:szCs w:val="24"/>
          <w:lang w:val="tr-TR"/>
        </w:rPr>
        <w:t>, enerji geri ka</w:t>
      </w:r>
      <w:r w:rsidR="00077D09" w:rsidRPr="00F50C10">
        <w:rPr>
          <w:rFonts w:eastAsia="Times New Roman" w:cs="Times New Roman"/>
          <w:bCs/>
          <w:szCs w:val="24"/>
          <w:lang w:val="tr-TR"/>
        </w:rPr>
        <w:t>zanılır</w:t>
      </w:r>
      <w:r w:rsidR="00F95FB8" w:rsidRPr="00F50C10">
        <w:rPr>
          <w:rFonts w:eastAsia="Times New Roman" w:cs="Times New Roman"/>
          <w:bCs/>
          <w:szCs w:val="24"/>
          <w:lang w:val="tr-TR"/>
        </w:rPr>
        <w:t xml:space="preserve"> </w:t>
      </w:r>
      <w:r w:rsidRPr="00F50C10">
        <w:rPr>
          <w:rFonts w:eastAsia="Times New Roman" w:cs="Times New Roman"/>
          <w:bCs/>
          <w:szCs w:val="24"/>
          <w:lang w:val="tr-TR"/>
        </w:rPr>
        <w:t>(bkz.MET 9).</w:t>
      </w:r>
    </w:p>
    <w:p w14:paraId="2F06F756" w14:textId="38276E3F" w:rsidR="00BB704F" w:rsidRPr="00F50C10" w:rsidRDefault="00136BCA"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r w:rsidRPr="00F50C10">
        <w:rPr>
          <w:rFonts w:eastAsia="Times New Roman" w:cs="Times New Roman"/>
          <w:b/>
          <w:szCs w:val="24"/>
          <w:lang w:val="tr-TR"/>
        </w:rPr>
        <w:t xml:space="preserve"> Kalıntılar</w:t>
      </w:r>
    </w:p>
    <w:p w14:paraId="394B6E7E" w14:textId="66073416" w:rsidR="00BB704F" w:rsidRPr="00F50C10" w:rsidRDefault="00BB704F" w:rsidP="000B206D">
      <w:pPr>
        <w:widowControl w:val="0"/>
        <w:autoSpaceDE w:val="0"/>
        <w:autoSpaceDN w:val="0"/>
        <w:spacing w:before="240" w:line="276" w:lineRule="auto"/>
        <w:rPr>
          <w:rFonts w:eastAsia="Times New Roman" w:cs="Times New Roman"/>
          <w:b/>
          <w:bCs/>
          <w:szCs w:val="24"/>
          <w:lang w:val="tr-TR" w:bidi="tr-TR"/>
        </w:rPr>
      </w:pPr>
      <w:r w:rsidRPr="00F50C10">
        <w:rPr>
          <w:rFonts w:eastAsia="Times New Roman" w:cs="Times New Roman"/>
          <w:b/>
          <w:bCs/>
          <w:szCs w:val="24"/>
          <w:lang w:val="tr-TR" w:bidi="tr-TR"/>
        </w:rPr>
        <w:t xml:space="preserve">MET 41: </w:t>
      </w:r>
      <w:r w:rsidRPr="00F50C10">
        <w:rPr>
          <w:rFonts w:eastAsia="Times New Roman" w:cs="Times New Roman"/>
          <w:bCs/>
          <w:szCs w:val="24"/>
          <w:lang w:val="tr-TR" w:bidi="tr-TR"/>
        </w:rPr>
        <w:t>AlCl</w:t>
      </w:r>
      <w:r w:rsidRPr="00F50C10">
        <w:rPr>
          <w:rFonts w:eastAsia="Times New Roman" w:cs="Times New Roman"/>
          <w:bCs/>
          <w:szCs w:val="24"/>
          <w:vertAlign w:val="subscript"/>
          <w:lang w:val="tr-TR" w:bidi="tr-TR"/>
        </w:rPr>
        <w:t>3</w:t>
      </w:r>
      <w:r w:rsidRPr="00F50C10">
        <w:rPr>
          <w:rFonts w:eastAsia="Times New Roman" w:cs="Times New Roman"/>
          <w:bCs/>
          <w:szCs w:val="24"/>
          <w:lang w:val="tr-TR" w:bidi="tr-TR"/>
        </w:rPr>
        <w:t xml:space="preserve"> ile katalize edilmiş etilbenzen üretim sürecinde, kullanılmış katalizör nötralizasyonundan bertaraf edilmek üzere gönderilen atık miktarını azaltmak için, sıyırma yoluyla artık organik bileşikler geri kazanıl</w:t>
      </w:r>
      <w:r w:rsidR="00F95FB8" w:rsidRPr="00F50C10">
        <w:rPr>
          <w:rFonts w:eastAsia="Times New Roman" w:cs="Times New Roman"/>
          <w:bCs/>
          <w:szCs w:val="24"/>
          <w:lang w:val="tr-TR" w:bidi="tr-TR"/>
        </w:rPr>
        <w:t>ır</w:t>
      </w:r>
      <w:r w:rsidRPr="00F50C10">
        <w:rPr>
          <w:rFonts w:eastAsia="Times New Roman" w:cs="Times New Roman"/>
          <w:bCs/>
          <w:szCs w:val="24"/>
          <w:lang w:val="tr-TR" w:bidi="tr-TR"/>
        </w:rPr>
        <w:t xml:space="preserve"> ve ardından sulu fazı konsantre ederek kullanışlı bir AlCl</w:t>
      </w:r>
      <w:r w:rsidRPr="00F50C10">
        <w:rPr>
          <w:rFonts w:eastAsia="Times New Roman" w:cs="Times New Roman"/>
          <w:bCs/>
          <w:szCs w:val="24"/>
          <w:vertAlign w:val="subscript"/>
          <w:lang w:val="tr-TR" w:bidi="tr-TR"/>
        </w:rPr>
        <w:t>3</w:t>
      </w:r>
      <w:r w:rsidRPr="00F50C10">
        <w:rPr>
          <w:rFonts w:eastAsia="Times New Roman" w:cs="Times New Roman"/>
          <w:bCs/>
          <w:szCs w:val="24"/>
          <w:lang w:val="tr-TR" w:bidi="tr-TR"/>
        </w:rPr>
        <w:t xml:space="preserve"> yan ürünü elde </w:t>
      </w:r>
      <w:r w:rsidR="00077D09" w:rsidRPr="00F50C10">
        <w:rPr>
          <w:rFonts w:eastAsia="Times New Roman" w:cs="Times New Roman"/>
          <w:bCs/>
          <w:szCs w:val="24"/>
          <w:lang w:val="tr-TR" w:bidi="tr-TR"/>
        </w:rPr>
        <w:t>edilir.</w:t>
      </w:r>
    </w:p>
    <w:p w14:paraId="6733645B" w14:textId="77777777"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szCs w:val="24"/>
          <w:lang w:val="tr-TR"/>
        </w:rPr>
        <w:t>Buharla sıyırma öncelikle UOB'leri çıkarmak için kullanılır, ardından harcanan katalizör çözeltisi kullanışlı bir AlCl</w:t>
      </w:r>
      <w:r w:rsidRPr="00F50C10">
        <w:rPr>
          <w:rFonts w:eastAsia="Times New Roman" w:cs="Times New Roman"/>
          <w:szCs w:val="24"/>
          <w:vertAlign w:val="subscript"/>
          <w:lang w:val="tr-TR"/>
        </w:rPr>
        <w:t>3</w:t>
      </w:r>
      <w:r w:rsidRPr="00F50C10">
        <w:rPr>
          <w:rFonts w:eastAsia="Times New Roman" w:cs="Times New Roman"/>
          <w:szCs w:val="24"/>
          <w:lang w:val="tr-TR"/>
        </w:rPr>
        <w:t xml:space="preserve"> yan ürünü verecek şekilde buharlaştırma yoluyla konsantre edilir. Buhar fazı, prosese geri dönüştürülen bir HCl çözeltisi elde etmek için yoğunlaştırılır.</w:t>
      </w:r>
    </w:p>
    <w:p w14:paraId="399DE20F" w14:textId="3D661825"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42: </w:t>
      </w:r>
      <w:r w:rsidRPr="00F50C10">
        <w:rPr>
          <w:rFonts w:eastAsia="Times New Roman" w:cs="Times New Roman"/>
          <w:bCs/>
          <w:szCs w:val="24"/>
          <w:lang w:val="tr-TR"/>
        </w:rPr>
        <w:t>Etilbenzen üretiminde yer alan damıtma ünitesinden atılmak üzere gönderilen atık katran miktarını önlemek veya azaltmak için, aşağıda verilen tekniklerden bir</w:t>
      </w:r>
      <w:r w:rsidR="00077D09" w:rsidRPr="00F50C10">
        <w:rPr>
          <w:rFonts w:eastAsia="Times New Roman" w:cs="Times New Roman"/>
          <w:bCs/>
          <w:szCs w:val="24"/>
          <w:lang w:val="tr-TR"/>
        </w:rPr>
        <w:t>i veya birkaçı kullanılır.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525"/>
        <w:gridCol w:w="3281"/>
        <w:gridCol w:w="2346"/>
      </w:tblGrid>
      <w:tr w:rsidR="00BB704F" w:rsidRPr="00F50C10" w14:paraId="1C39EF4B" w14:textId="77777777" w:rsidTr="00BB704F">
        <w:trPr>
          <w:trHeight w:val="230"/>
          <w:tblHeader/>
        </w:trPr>
        <w:tc>
          <w:tcPr>
            <w:tcW w:w="145" w:type="pct"/>
            <w:tcBorders>
              <w:right w:val="single" w:sz="4" w:space="0" w:color="auto"/>
            </w:tcBorders>
          </w:tcPr>
          <w:p w14:paraId="78F61B9C"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505" w:type="pct"/>
            <w:tcBorders>
              <w:left w:val="single" w:sz="4" w:space="0" w:color="auto"/>
            </w:tcBorders>
          </w:tcPr>
          <w:p w14:paraId="148E186D"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Teknik</w:t>
            </w:r>
          </w:p>
        </w:tc>
        <w:tc>
          <w:tcPr>
            <w:tcW w:w="1950" w:type="pct"/>
          </w:tcPr>
          <w:p w14:paraId="2A4BBEAD"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400" w:type="pct"/>
          </w:tcPr>
          <w:p w14:paraId="36DECBB7"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56E1D00B" w14:textId="77777777" w:rsidTr="00BB704F">
        <w:trPr>
          <w:trHeight w:val="691"/>
        </w:trPr>
        <w:tc>
          <w:tcPr>
            <w:tcW w:w="145" w:type="pct"/>
            <w:vAlign w:val="center"/>
          </w:tcPr>
          <w:p w14:paraId="759DD27B" w14:textId="77777777" w:rsidR="00BB704F" w:rsidRPr="00F50C10" w:rsidRDefault="00BB704F" w:rsidP="000B206D">
            <w:pPr>
              <w:spacing w:line="276" w:lineRule="auto"/>
              <w:ind w:left="108" w:right="108"/>
              <w:rPr>
                <w:rFonts w:eastAsia="Times New Roman" w:cs="Times New Roman"/>
                <w:b/>
                <w:szCs w:val="24"/>
                <w:lang w:val="tr-TR"/>
              </w:rPr>
            </w:pPr>
          </w:p>
          <w:p w14:paraId="42A0A86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505" w:type="pct"/>
            <w:vAlign w:val="center"/>
          </w:tcPr>
          <w:p w14:paraId="28694AA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Malzemenin geri kazanımı (örn. damıtma, parçalama yoluyla)</w:t>
            </w:r>
          </w:p>
        </w:tc>
        <w:tc>
          <w:tcPr>
            <w:tcW w:w="1950" w:type="pct"/>
            <w:vAlign w:val="center"/>
          </w:tcPr>
          <w:p w14:paraId="6A622E0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Bkz. MET 17c.</w:t>
            </w:r>
          </w:p>
        </w:tc>
        <w:tc>
          <w:tcPr>
            <w:tcW w:w="1400" w:type="pct"/>
            <w:vAlign w:val="center"/>
          </w:tcPr>
          <w:p w14:paraId="538CAD5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bu geri kazanılmış malzemeler için mevcut kullanımların olduğu yerlerde geçerlidir.</w:t>
            </w:r>
          </w:p>
        </w:tc>
      </w:tr>
      <w:tr w:rsidR="00BB704F" w:rsidRPr="00F50C10" w14:paraId="3F91E811" w14:textId="77777777" w:rsidTr="00BB704F">
        <w:trPr>
          <w:trHeight w:val="1837"/>
        </w:trPr>
        <w:tc>
          <w:tcPr>
            <w:tcW w:w="145" w:type="pct"/>
            <w:vAlign w:val="center"/>
          </w:tcPr>
          <w:p w14:paraId="2FF72B1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505" w:type="pct"/>
            <w:vAlign w:val="center"/>
          </w:tcPr>
          <w:p w14:paraId="383DA75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Katranın yıkamada adsorban olarak kullanımı</w:t>
            </w:r>
          </w:p>
        </w:tc>
        <w:tc>
          <w:tcPr>
            <w:tcW w:w="1950" w:type="pct"/>
            <w:vAlign w:val="center"/>
          </w:tcPr>
          <w:p w14:paraId="30498A1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 </w:t>
            </w:r>
            <w:hyperlink w:anchor="_bookmark800"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_Ref136600393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12.1</w:t>
              </w:r>
              <w:r w:rsidRPr="00F50C10">
                <w:rPr>
                  <w:rFonts w:eastAsia="Times New Roman" w:cs="Times New Roman"/>
                  <w:szCs w:val="24"/>
                  <w:lang w:val="tr-TR" w:bidi="tr-TR"/>
                </w:rPr>
                <w:fldChar w:fldCharType="end"/>
              </w:r>
            </w:hyperlink>
            <w:r w:rsidRPr="00F50C10">
              <w:rPr>
                <w:rFonts w:eastAsia="Times New Roman" w:cs="Times New Roman"/>
                <w:szCs w:val="24"/>
                <w:lang w:val="tr-TR" w:bidi="tr-TR"/>
              </w:rPr>
              <w:t>. Katranı, ticari organik çözücüler yerine, etilbenzen dehidrojenasyonuyla stiren monomer üretiminde kullanılan temizleyicilerde emici olarak kullanın (bkz. MET 38b.). Katranın derecesi</w:t>
            </w:r>
          </w:p>
          <w:p w14:paraId="1043C49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yıkayıcı kapasitesine göre kullanılabilir</w:t>
            </w:r>
          </w:p>
        </w:tc>
        <w:tc>
          <w:tcPr>
            <w:tcW w:w="1400" w:type="pct"/>
            <w:vAlign w:val="center"/>
          </w:tcPr>
          <w:p w14:paraId="12D990B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2B1659B8" w14:textId="77777777" w:rsidTr="00BB704F">
        <w:trPr>
          <w:trHeight w:val="230"/>
        </w:trPr>
        <w:tc>
          <w:tcPr>
            <w:tcW w:w="145" w:type="pct"/>
            <w:vAlign w:val="center"/>
          </w:tcPr>
          <w:p w14:paraId="5B80AC5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505" w:type="pct"/>
            <w:vAlign w:val="center"/>
          </w:tcPr>
          <w:p w14:paraId="726163F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Katranın yakıt olarak kullanılması</w:t>
            </w:r>
          </w:p>
        </w:tc>
        <w:tc>
          <w:tcPr>
            <w:tcW w:w="1950" w:type="pct"/>
            <w:vAlign w:val="center"/>
          </w:tcPr>
          <w:p w14:paraId="1D45086C"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Bkz. MET 17e.</w:t>
            </w:r>
          </w:p>
        </w:tc>
        <w:tc>
          <w:tcPr>
            <w:tcW w:w="1400" w:type="pct"/>
            <w:vAlign w:val="center"/>
          </w:tcPr>
          <w:p w14:paraId="7C60DD4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3064D32F" w14:textId="4D58AB7D" w:rsidR="00BB704F" w:rsidRPr="00F50C10" w:rsidRDefault="00BB704F" w:rsidP="000B206D">
      <w:pPr>
        <w:widowControl w:val="0"/>
        <w:autoSpaceDE w:val="0"/>
        <w:autoSpaceDN w:val="0"/>
        <w:spacing w:before="240" w:line="276" w:lineRule="auto"/>
        <w:rPr>
          <w:rFonts w:eastAsia="Times New Roman" w:cs="Times New Roman"/>
          <w:bCs/>
          <w:szCs w:val="24"/>
          <w:lang w:val="tr-TR"/>
        </w:rPr>
      </w:pPr>
      <w:r w:rsidRPr="00F50C10">
        <w:rPr>
          <w:rFonts w:eastAsia="Times New Roman" w:cs="Times New Roman"/>
          <w:b/>
          <w:bCs/>
          <w:szCs w:val="24"/>
          <w:lang w:val="tr-TR"/>
        </w:rPr>
        <w:t xml:space="preserve">MET 43: </w:t>
      </w:r>
      <w:r w:rsidRPr="00F50C10">
        <w:rPr>
          <w:rFonts w:eastAsia="Times New Roman" w:cs="Times New Roman"/>
          <w:bCs/>
          <w:szCs w:val="24"/>
          <w:lang w:val="tr-TR"/>
        </w:rPr>
        <w:t>Etilbenzen dehidrojenasyonu yoluyla stiren üreten birimlerde kok (hem katalizör zehri hem de atıktır) oluşumunu azaltmak için, güvenli ve uygulanabilir olan en düşük basınçta çalışılır.</w:t>
      </w:r>
    </w:p>
    <w:p w14:paraId="27067E94" w14:textId="05EC5F2E"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44: </w:t>
      </w:r>
      <w:r w:rsidRPr="00F50C10">
        <w:rPr>
          <w:rFonts w:eastAsia="Times New Roman" w:cs="Times New Roman"/>
          <w:bCs/>
          <w:szCs w:val="24"/>
          <w:lang w:val="tr-TR"/>
        </w:rPr>
        <w:t>Propilen oksit ile ortak üretimi de dahil olmak üzere stiren monomer üretiminden bertaraf edilmek üzere gönderilen organik kalıntıların miktarını azaltmak için, aşağıda verilen tekniklerden biri</w:t>
      </w:r>
      <w:r w:rsidR="00F95FB8" w:rsidRPr="00F50C10">
        <w:rPr>
          <w:rFonts w:eastAsia="Times New Roman" w:cs="Times New Roman"/>
          <w:bCs/>
          <w:szCs w:val="24"/>
          <w:lang w:val="tr-TR"/>
        </w:rPr>
        <w:t xml:space="preserve"> </w:t>
      </w:r>
      <w:r w:rsidRPr="00F50C10">
        <w:rPr>
          <w:rFonts w:eastAsia="Times New Roman" w:cs="Times New Roman"/>
          <w:bCs/>
          <w:szCs w:val="24"/>
          <w:lang w:val="tr-TR"/>
        </w:rPr>
        <w:t xml:space="preserve">veya birkaçı </w:t>
      </w:r>
      <w:r w:rsidR="00F95FB8" w:rsidRPr="00F50C10">
        <w:rPr>
          <w:rFonts w:eastAsia="Times New Roman" w:cs="Times New Roman"/>
          <w:bCs/>
          <w:szCs w:val="24"/>
          <w:lang w:val="tr-TR"/>
        </w:rPr>
        <w:t>kullanılır</w:t>
      </w:r>
      <w:r w:rsidRPr="00F50C10">
        <w:rPr>
          <w:rFonts w:eastAsia="Times New Roman" w:cs="Times New Roman"/>
          <w:bCs/>
          <w:szCs w:val="24"/>
          <w:lang w:val="tr-TR"/>
        </w:rPr>
        <w: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978"/>
        <w:gridCol w:w="3288"/>
        <w:gridCol w:w="1886"/>
      </w:tblGrid>
      <w:tr w:rsidR="00BB704F" w:rsidRPr="00F50C10" w14:paraId="791CCF4A" w14:textId="77777777" w:rsidTr="00BB704F">
        <w:trPr>
          <w:trHeight w:val="230"/>
          <w:tblHeader/>
        </w:trPr>
        <w:tc>
          <w:tcPr>
            <w:tcW w:w="154" w:type="pct"/>
            <w:tcBorders>
              <w:top w:val="single" w:sz="4" w:space="0" w:color="auto"/>
              <w:right w:val="single" w:sz="4" w:space="0" w:color="auto"/>
            </w:tcBorders>
            <w:vAlign w:val="center"/>
          </w:tcPr>
          <w:p w14:paraId="3F32B8B3"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769" w:type="pct"/>
            <w:tcBorders>
              <w:top w:val="single" w:sz="4" w:space="0" w:color="auto"/>
              <w:left w:val="single" w:sz="4" w:space="0" w:color="auto"/>
            </w:tcBorders>
            <w:vAlign w:val="center"/>
          </w:tcPr>
          <w:p w14:paraId="17E48911"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Teknik</w:t>
            </w:r>
          </w:p>
        </w:tc>
        <w:tc>
          <w:tcPr>
            <w:tcW w:w="1951" w:type="pct"/>
            <w:vAlign w:val="center"/>
          </w:tcPr>
          <w:p w14:paraId="356B0314"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126" w:type="pct"/>
            <w:vAlign w:val="center"/>
          </w:tcPr>
          <w:p w14:paraId="6561EF0E"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30569711" w14:textId="77777777" w:rsidTr="00BB704F">
        <w:trPr>
          <w:trHeight w:val="457"/>
        </w:trPr>
        <w:tc>
          <w:tcPr>
            <w:tcW w:w="154" w:type="pct"/>
            <w:vAlign w:val="center"/>
          </w:tcPr>
          <w:p w14:paraId="6149369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769" w:type="pct"/>
            <w:vAlign w:val="center"/>
          </w:tcPr>
          <w:p w14:paraId="50C0A15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İnhibitörlerin eklenmesi.</w:t>
            </w:r>
          </w:p>
          <w:p w14:paraId="08FB4A7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damıtma sistemleri</w:t>
            </w:r>
          </w:p>
        </w:tc>
        <w:tc>
          <w:tcPr>
            <w:tcW w:w="1951" w:type="pct"/>
            <w:vAlign w:val="center"/>
          </w:tcPr>
          <w:p w14:paraId="2B63D334" w14:textId="77777777" w:rsidR="00BB704F" w:rsidRPr="00F50C10" w:rsidRDefault="00BB704F" w:rsidP="000B206D">
            <w:pPr>
              <w:spacing w:before="108" w:line="276" w:lineRule="auto"/>
              <w:ind w:left="108" w:right="108"/>
              <w:rPr>
                <w:rFonts w:eastAsia="Times New Roman" w:cs="Times New Roman"/>
                <w:szCs w:val="24"/>
                <w:lang w:val="tr-TR"/>
              </w:rPr>
            </w:pPr>
            <w:r w:rsidRPr="00F50C10">
              <w:rPr>
                <w:rFonts w:eastAsia="Times New Roman" w:cs="Times New Roman"/>
                <w:szCs w:val="24"/>
                <w:lang w:val="tr-TR" w:bidi="tr-TR"/>
              </w:rPr>
              <w:t>Bkz. MET 17a.</w:t>
            </w:r>
          </w:p>
        </w:tc>
        <w:tc>
          <w:tcPr>
            <w:tcW w:w="1126" w:type="pct"/>
            <w:vAlign w:val="center"/>
          </w:tcPr>
          <w:p w14:paraId="2FAA38ED" w14:textId="77777777" w:rsidR="00BB704F" w:rsidRPr="00F50C10" w:rsidRDefault="00BB704F" w:rsidP="000B206D">
            <w:pPr>
              <w:spacing w:before="108"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086B6CEC" w14:textId="77777777" w:rsidTr="00BB704F">
        <w:trPr>
          <w:trHeight w:val="921"/>
        </w:trPr>
        <w:tc>
          <w:tcPr>
            <w:tcW w:w="154" w:type="pct"/>
            <w:vAlign w:val="center"/>
          </w:tcPr>
          <w:p w14:paraId="04EE3F2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769" w:type="pct"/>
            <w:vAlign w:val="center"/>
          </w:tcPr>
          <w:p w14:paraId="42F92B5C" w14:textId="77777777" w:rsidR="00BB704F" w:rsidRPr="00F50C10" w:rsidRDefault="00BB704F" w:rsidP="000B206D">
            <w:pPr>
              <w:spacing w:before="110" w:line="276" w:lineRule="auto"/>
              <w:ind w:left="108" w:right="108"/>
              <w:rPr>
                <w:rFonts w:eastAsia="Times New Roman" w:cs="Times New Roman"/>
                <w:szCs w:val="24"/>
                <w:lang w:val="tr-TR"/>
              </w:rPr>
            </w:pPr>
            <w:r w:rsidRPr="00F50C10">
              <w:rPr>
                <w:rFonts w:eastAsia="Times New Roman" w:cs="Times New Roman"/>
                <w:szCs w:val="24"/>
                <w:lang w:val="tr-TR" w:bidi="tr-TR"/>
              </w:rPr>
              <w:t>Damıtma sistemlerinde yüksek kaynama noktalı kalıntı oluşumunun en aza indirilmesi</w:t>
            </w:r>
          </w:p>
        </w:tc>
        <w:tc>
          <w:tcPr>
            <w:tcW w:w="1951" w:type="pct"/>
            <w:vAlign w:val="center"/>
          </w:tcPr>
          <w:p w14:paraId="6C0135B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 </w:t>
            </w:r>
            <w:hyperlink w:anchor="_bookmark770" w:history="1">
              <w:r w:rsidRPr="00F50C10">
                <w:rPr>
                  <w:rFonts w:eastAsia="Times New Roman" w:cs="Times New Roman"/>
                  <w:szCs w:val="24"/>
                  <w:lang w:val="tr-TR" w:bidi="tr-TR"/>
                </w:rPr>
                <w:t xml:space="preserve">MET 17 </w:t>
              </w:r>
            </w:hyperlink>
            <w:r w:rsidRPr="00F50C10">
              <w:rPr>
                <w:rFonts w:eastAsia="Times New Roman" w:cs="Times New Roman"/>
                <w:szCs w:val="24"/>
                <w:lang w:val="tr-TR" w:bidi="tr-TR"/>
              </w:rPr>
              <w:t>b.</w:t>
            </w:r>
          </w:p>
        </w:tc>
        <w:tc>
          <w:tcPr>
            <w:tcW w:w="1126" w:type="pct"/>
            <w:vAlign w:val="center"/>
          </w:tcPr>
          <w:p w14:paraId="0577CB9D" w14:textId="77777777" w:rsidR="00BB704F" w:rsidRPr="00F50C10" w:rsidRDefault="00BB704F" w:rsidP="000B206D">
            <w:pPr>
              <w:spacing w:line="276" w:lineRule="auto"/>
              <w:ind w:left="108" w:right="108" w:hanging="2"/>
              <w:rPr>
                <w:rFonts w:eastAsia="Times New Roman" w:cs="Times New Roman"/>
                <w:szCs w:val="24"/>
                <w:lang w:val="tr-TR"/>
              </w:rPr>
            </w:pPr>
            <w:r w:rsidRPr="00F50C10">
              <w:rPr>
                <w:rFonts w:eastAsia="Times New Roman" w:cs="Times New Roman"/>
                <w:szCs w:val="24"/>
                <w:lang w:val="tr-TR" w:bidi="tr-TR"/>
              </w:rPr>
              <w:t>Yalnızca yeni damıtma üniteleri veya büyük ölçekli tesis yenilemeleri için</w:t>
            </w:r>
          </w:p>
          <w:p w14:paraId="5FCAF6D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geçerlidir.</w:t>
            </w:r>
          </w:p>
        </w:tc>
      </w:tr>
      <w:tr w:rsidR="00BB704F" w:rsidRPr="00F50C10" w14:paraId="2783D07B" w14:textId="77777777" w:rsidTr="00BB704F">
        <w:trPr>
          <w:trHeight w:val="230"/>
        </w:trPr>
        <w:tc>
          <w:tcPr>
            <w:tcW w:w="154" w:type="pct"/>
            <w:vAlign w:val="center"/>
          </w:tcPr>
          <w:p w14:paraId="1C3E47A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769" w:type="pct"/>
            <w:vAlign w:val="center"/>
          </w:tcPr>
          <w:p w14:paraId="1C502BD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Kalıntıların yakıt olarak kullanılması</w:t>
            </w:r>
          </w:p>
        </w:tc>
        <w:tc>
          <w:tcPr>
            <w:tcW w:w="1951" w:type="pct"/>
            <w:vAlign w:val="center"/>
          </w:tcPr>
          <w:p w14:paraId="4AAF6E5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 </w:t>
            </w:r>
            <w:hyperlink w:anchor="_bookmark770" w:history="1">
              <w:r w:rsidRPr="00F50C10">
                <w:rPr>
                  <w:rFonts w:eastAsia="Times New Roman" w:cs="Times New Roman"/>
                  <w:szCs w:val="24"/>
                  <w:lang w:val="tr-TR" w:bidi="tr-TR"/>
                </w:rPr>
                <w:t>MET 17</w:t>
              </w:r>
            </w:hyperlink>
            <w:r w:rsidRPr="00F50C10">
              <w:rPr>
                <w:rFonts w:eastAsia="Times New Roman" w:cs="Times New Roman"/>
                <w:szCs w:val="24"/>
                <w:lang w:val="tr-TR" w:bidi="tr-TR"/>
              </w:rPr>
              <w:t>e.</w:t>
            </w:r>
          </w:p>
        </w:tc>
        <w:tc>
          <w:tcPr>
            <w:tcW w:w="1126" w:type="pct"/>
            <w:vAlign w:val="center"/>
          </w:tcPr>
          <w:p w14:paraId="4729BEA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1DB2E717" w14:textId="026F5F07" w:rsidR="00BB704F" w:rsidRPr="00F50C10" w:rsidRDefault="00BB704F" w:rsidP="00A654AE">
      <w:pPr>
        <w:widowControl w:val="0"/>
        <w:numPr>
          <w:ilvl w:val="0"/>
          <w:numId w:val="179"/>
        </w:numPr>
        <w:autoSpaceDE w:val="0"/>
        <w:autoSpaceDN w:val="0"/>
        <w:spacing w:before="240" w:line="276" w:lineRule="auto"/>
        <w:jc w:val="left"/>
        <w:outlineLvl w:val="0"/>
        <w:rPr>
          <w:rFonts w:eastAsia="Times New Roman" w:cs="Times New Roman"/>
          <w:b/>
          <w:bCs/>
          <w:szCs w:val="24"/>
          <w:lang w:val="tr-TR"/>
        </w:rPr>
      </w:pPr>
      <w:bookmarkStart w:id="35" w:name="_Toc136613720"/>
      <w:r w:rsidRPr="00F50C10">
        <w:rPr>
          <w:rFonts w:eastAsia="Times New Roman" w:cs="Times New Roman"/>
          <w:b/>
          <w:bCs/>
          <w:szCs w:val="24"/>
          <w:lang w:val="tr-TR"/>
        </w:rPr>
        <w:t xml:space="preserve">FORMALDEHİT ÜRETİMİNE İLİŞKİN MET </w:t>
      </w:r>
      <w:bookmarkEnd w:id="35"/>
    </w:p>
    <w:p w14:paraId="73583086" w14:textId="64B742EB"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szCs w:val="24"/>
          <w:lang w:val="tr-TR"/>
        </w:rPr>
        <w:t xml:space="preserve">Bu bölümdeki </w:t>
      </w:r>
      <w:r w:rsidR="006C546A" w:rsidRPr="00F50C10">
        <w:rPr>
          <w:rFonts w:eastAsia="Times New Roman" w:cs="Times New Roman"/>
          <w:szCs w:val="24"/>
          <w:lang w:val="tr-TR"/>
        </w:rPr>
        <w:t xml:space="preserve">sektörel </w:t>
      </w:r>
      <w:r w:rsidRPr="00F50C10">
        <w:rPr>
          <w:rFonts w:eastAsia="Times New Roman" w:cs="Times New Roman"/>
          <w:szCs w:val="24"/>
          <w:lang w:val="tr-TR"/>
        </w:rPr>
        <w:t>MET</w:t>
      </w:r>
      <w:r w:rsidR="006C546A" w:rsidRPr="00F50C10">
        <w:rPr>
          <w:rFonts w:eastAsia="Times New Roman" w:cs="Times New Roman"/>
          <w:szCs w:val="24"/>
          <w:lang w:val="tr-TR"/>
        </w:rPr>
        <w:t>,</w:t>
      </w:r>
      <w:r w:rsidRPr="00F50C10">
        <w:rPr>
          <w:rFonts w:eastAsia="Times New Roman" w:cs="Times New Roman"/>
          <w:szCs w:val="24"/>
          <w:lang w:val="tr-TR"/>
        </w:rPr>
        <w:t xml:space="preserve"> 1. bölümde verilen </w:t>
      </w:r>
      <w:r w:rsidR="006C546A" w:rsidRPr="00F50C10">
        <w:rPr>
          <w:rFonts w:eastAsia="Times New Roman" w:cs="Times New Roman"/>
          <w:szCs w:val="24"/>
          <w:lang w:val="tr-TR"/>
        </w:rPr>
        <w:t>G</w:t>
      </w:r>
      <w:r w:rsidRPr="00F50C10">
        <w:rPr>
          <w:rFonts w:eastAsia="Times New Roman" w:cs="Times New Roman"/>
          <w:szCs w:val="24"/>
          <w:lang w:val="tr-TR"/>
        </w:rPr>
        <w:t>enel MET</w:t>
      </w:r>
      <w:r w:rsidR="006C546A" w:rsidRPr="00F50C10">
        <w:rPr>
          <w:rFonts w:eastAsia="Times New Roman" w:cs="Times New Roman"/>
          <w:szCs w:val="24"/>
          <w:lang w:val="tr-TR"/>
        </w:rPr>
        <w:t xml:space="preserve">’e </w:t>
      </w:r>
      <w:r w:rsidRPr="00F50C10">
        <w:rPr>
          <w:rFonts w:eastAsia="Times New Roman" w:cs="Times New Roman"/>
          <w:szCs w:val="24"/>
          <w:lang w:val="tr-TR"/>
        </w:rPr>
        <w:t>ek olarak geçerlidir.</w:t>
      </w:r>
    </w:p>
    <w:p w14:paraId="194A7659"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36" w:name="_Toc136613721"/>
      <w:r w:rsidRPr="00F50C10">
        <w:rPr>
          <w:rFonts w:eastAsia="Times New Roman" w:cs="Times New Roman"/>
          <w:b/>
          <w:szCs w:val="24"/>
          <w:lang w:val="tr-TR"/>
        </w:rPr>
        <w:t>Hava Emisyonları</w:t>
      </w:r>
      <w:bookmarkEnd w:id="36"/>
    </w:p>
    <w:p w14:paraId="58AAFCF0" w14:textId="3C829EB8" w:rsidR="00BB704F" w:rsidRPr="00F50C10" w:rsidRDefault="00BB704F" w:rsidP="000B206D">
      <w:pPr>
        <w:widowControl w:val="0"/>
        <w:autoSpaceDE w:val="0"/>
        <w:autoSpaceDN w:val="0"/>
        <w:spacing w:before="240" w:line="276" w:lineRule="auto"/>
        <w:jc w:val="left"/>
        <w:rPr>
          <w:rFonts w:eastAsia="Times New Roman" w:cs="Times New Roman"/>
          <w:b/>
          <w:bCs/>
          <w:szCs w:val="24"/>
          <w:lang w:val="tr-TR"/>
        </w:rPr>
      </w:pPr>
      <w:r w:rsidRPr="00F50C10">
        <w:rPr>
          <w:rFonts w:eastAsia="Times New Roman" w:cs="Times New Roman"/>
          <w:b/>
          <w:bCs/>
          <w:szCs w:val="24"/>
          <w:lang w:val="tr-TR"/>
        </w:rPr>
        <w:t>MET 45: Formaldehit üretiminden havaya organik bileşik emisyonlarını azaltmak ve enerjiyi verimli kullanmak için, aşağıda verilen tekniklerden biri</w:t>
      </w:r>
      <w:r w:rsidR="002954D7" w:rsidRPr="00F50C10">
        <w:rPr>
          <w:rFonts w:eastAsia="Times New Roman" w:cs="Times New Roman"/>
          <w:b/>
          <w:bCs/>
          <w:szCs w:val="24"/>
          <w:lang w:val="tr-TR"/>
        </w:rPr>
        <w:t xml:space="preserve"> kullanılır.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
        <w:gridCol w:w="2539"/>
        <w:gridCol w:w="3577"/>
        <w:gridCol w:w="2133"/>
      </w:tblGrid>
      <w:tr w:rsidR="00BB704F" w:rsidRPr="00F50C10" w14:paraId="54284755" w14:textId="77777777" w:rsidTr="00BB704F">
        <w:trPr>
          <w:trHeight w:val="230"/>
          <w:tblHeader/>
        </w:trPr>
        <w:tc>
          <w:tcPr>
            <w:tcW w:w="146" w:type="pct"/>
            <w:tcBorders>
              <w:top w:val="single" w:sz="4" w:space="0" w:color="auto"/>
              <w:right w:val="single" w:sz="4" w:space="0" w:color="auto"/>
            </w:tcBorders>
          </w:tcPr>
          <w:p w14:paraId="32B65D67"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494" w:type="pct"/>
            <w:tcBorders>
              <w:top w:val="single" w:sz="4" w:space="0" w:color="auto"/>
              <w:left w:val="single" w:sz="4" w:space="0" w:color="auto"/>
            </w:tcBorders>
          </w:tcPr>
          <w:p w14:paraId="192A0692"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Teknik</w:t>
            </w:r>
          </w:p>
        </w:tc>
        <w:tc>
          <w:tcPr>
            <w:tcW w:w="2105" w:type="pct"/>
          </w:tcPr>
          <w:p w14:paraId="7C4AD3D2"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55" w:type="pct"/>
          </w:tcPr>
          <w:p w14:paraId="5DAD15C0"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0B2EDDE0" w14:textId="77777777" w:rsidTr="00BB704F">
        <w:trPr>
          <w:trHeight w:val="460"/>
        </w:trPr>
        <w:tc>
          <w:tcPr>
            <w:tcW w:w="146" w:type="pct"/>
            <w:vAlign w:val="center"/>
          </w:tcPr>
          <w:p w14:paraId="284566E4" w14:textId="77777777" w:rsidR="00BB704F" w:rsidRPr="00F50C10" w:rsidRDefault="00BB704F" w:rsidP="000B206D">
            <w:pPr>
              <w:spacing w:line="276" w:lineRule="auto"/>
              <w:ind w:left="72" w:right="72"/>
              <w:rPr>
                <w:rFonts w:eastAsia="Times New Roman" w:cs="Times New Roman"/>
                <w:szCs w:val="24"/>
                <w:lang w:val="tr-TR"/>
              </w:rPr>
            </w:pPr>
            <w:r w:rsidRPr="00F50C10">
              <w:rPr>
                <w:rFonts w:eastAsia="Times New Roman" w:cs="Times New Roman"/>
                <w:w w:val="99"/>
                <w:szCs w:val="24"/>
                <w:lang w:val="tr-TR" w:bidi="tr-TR"/>
              </w:rPr>
              <w:t>a</w:t>
            </w:r>
          </w:p>
        </w:tc>
        <w:tc>
          <w:tcPr>
            <w:tcW w:w="1494" w:type="pct"/>
            <w:vAlign w:val="center"/>
          </w:tcPr>
          <w:p w14:paraId="0988F89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Atık gaz akışını bir</w:t>
            </w:r>
          </w:p>
          <w:p w14:paraId="66B5A8C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yakma ünitesi</w:t>
            </w:r>
          </w:p>
        </w:tc>
        <w:tc>
          <w:tcPr>
            <w:tcW w:w="2105" w:type="pct"/>
            <w:vAlign w:val="center"/>
          </w:tcPr>
          <w:p w14:paraId="6219822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 </w:t>
            </w:r>
            <w:hyperlink w:anchor="_bookmark764">
              <w:r w:rsidRPr="00F50C10">
                <w:rPr>
                  <w:rFonts w:eastAsia="Times New Roman" w:cs="Times New Roman"/>
                  <w:szCs w:val="24"/>
                  <w:lang w:val="tr-TR" w:bidi="tr-TR"/>
                </w:rPr>
                <w:t>MET 9</w:t>
              </w:r>
            </w:hyperlink>
          </w:p>
        </w:tc>
        <w:tc>
          <w:tcPr>
            <w:tcW w:w="1255" w:type="pct"/>
            <w:vAlign w:val="center"/>
          </w:tcPr>
          <w:p w14:paraId="07A42A6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aşağıdakiler için geçerlidir:</w:t>
            </w:r>
          </w:p>
          <w:p w14:paraId="3FFA94E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gümüş prosesi</w:t>
            </w:r>
          </w:p>
        </w:tc>
      </w:tr>
      <w:tr w:rsidR="00BB704F" w:rsidRPr="00F50C10" w14:paraId="678791AB" w14:textId="77777777" w:rsidTr="00BB704F">
        <w:trPr>
          <w:trHeight w:val="1380"/>
        </w:trPr>
        <w:tc>
          <w:tcPr>
            <w:tcW w:w="146" w:type="pct"/>
            <w:vAlign w:val="center"/>
          </w:tcPr>
          <w:p w14:paraId="20029532" w14:textId="77777777" w:rsidR="00BB704F" w:rsidRPr="00F50C10" w:rsidRDefault="00BB704F" w:rsidP="000B206D">
            <w:pPr>
              <w:spacing w:line="276" w:lineRule="auto"/>
              <w:ind w:left="72" w:right="72"/>
              <w:rPr>
                <w:rFonts w:eastAsia="Times New Roman" w:cs="Times New Roman"/>
                <w:szCs w:val="24"/>
                <w:lang w:val="tr-TR"/>
              </w:rPr>
            </w:pPr>
            <w:r w:rsidRPr="00F50C10">
              <w:rPr>
                <w:rFonts w:eastAsia="Times New Roman" w:cs="Times New Roman"/>
                <w:w w:val="99"/>
                <w:szCs w:val="24"/>
                <w:lang w:val="tr-TR" w:bidi="tr-TR"/>
              </w:rPr>
              <w:t>b</w:t>
            </w:r>
          </w:p>
        </w:tc>
        <w:tc>
          <w:tcPr>
            <w:tcW w:w="1494" w:type="pct"/>
            <w:vAlign w:val="center"/>
          </w:tcPr>
          <w:p w14:paraId="1E22693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Enerji geri kazanımlı katalitik oksitleyici</w:t>
            </w:r>
          </w:p>
        </w:tc>
        <w:tc>
          <w:tcPr>
            <w:tcW w:w="2105" w:type="pct"/>
            <w:vAlign w:val="center"/>
          </w:tcPr>
          <w:p w14:paraId="292A6853" w14:textId="77777777" w:rsidR="00BB704F" w:rsidRPr="00F50C10" w:rsidRDefault="002A1746" w:rsidP="000B206D">
            <w:pPr>
              <w:spacing w:line="276" w:lineRule="auto"/>
              <w:ind w:left="108" w:right="108"/>
              <w:rPr>
                <w:rFonts w:eastAsia="Times New Roman" w:cs="Times New Roman"/>
                <w:szCs w:val="24"/>
                <w:lang w:val="tr-TR"/>
              </w:rPr>
            </w:pPr>
            <w:hyperlink w:anchor="_bookmark800" w:history="1">
              <w:r w:rsidR="00BB704F" w:rsidRPr="00F50C10">
                <w:rPr>
                  <w:rFonts w:eastAsia="Times New Roman" w:cs="Times New Roman"/>
                  <w:szCs w:val="24"/>
                  <w:lang w:val="tr-TR" w:bidi="tr-TR"/>
                </w:rPr>
                <w:fldChar w:fldCharType="begin"/>
              </w:r>
              <w:r w:rsidR="00BB704F" w:rsidRPr="00F50C10">
                <w:rPr>
                  <w:rFonts w:eastAsia="Times New Roman" w:cs="Times New Roman"/>
                  <w:szCs w:val="24"/>
                  <w:lang w:val="tr-TR"/>
                </w:rPr>
                <w:instrText xml:space="preserve"> REF _Ref136600409 \n \h </w:instrText>
              </w:r>
              <w:r w:rsidR="00BB704F" w:rsidRPr="00F50C10">
                <w:rPr>
                  <w:rFonts w:eastAsia="Times New Roman" w:cs="Times New Roman"/>
                  <w:szCs w:val="24"/>
                  <w:lang w:val="tr-TR" w:bidi="tr-TR"/>
                </w:rPr>
                <w:instrText xml:space="preserve"> \* MERGEFORMAT </w:instrText>
              </w:r>
              <w:r w:rsidR="00BB704F" w:rsidRPr="00F50C10">
                <w:rPr>
                  <w:rFonts w:eastAsia="Times New Roman" w:cs="Times New Roman"/>
                  <w:szCs w:val="24"/>
                  <w:lang w:val="tr-TR" w:bidi="tr-TR"/>
                </w:rPr>
              </w:r>
              <w:r w:rsidR="00BB704F" w:rsidRPr="00F50C10">
                <w:rPr>
                  <w:rFonts w:eastAsia="Times New Roman" w:cs="Times New Roman"/>
                  <w:szCs w:val="24"/>
                  <w:lang w:val="tr-TR" w:bidi="tr-TR"/>
                </w:rPr>
                <w:fldChar w:fldCharType="separate"/>
              </w:r>
              <w:r w:rsidR="00BB704F" w:rsidRPr="00F50C10">
                <w:rPr>
                  <w:rFonts w:eastAsia="Times New Roman" w:cs="Times New Roman"/>
                  <w:szCs w:val="24"/>
                  <w:lang w:val="tr-TR"/>
                </w:rPr>
                <w:t>12.1</w:t>
              </w:r>
              <w:r w:rsidR="00BB704F" w:rsidRPr="00F50C10">
                <w:rPr>
                  <w:rFonts w:eastAsia="Times New Roman" w:cs="Times New Roman"/>
                  <w:szCs w:val="24"/>
                  <w:lang w:val="tr-TR" w:bidi="tr-TR"/>
                </w:rPr>
                <w:fldChar w:fldCharType="end"/>
              </w:r>
            </w:hyperlink>
            <w:r w:rsidR="00BB704F" w:rsidRPr="00F50C10">
              <w:rPr>
                <w:rFonts w:eastAsia="Times New Roman" w:cs="Times New Roman"/>
                <w:szCs w:val="24"/>
                <w:lang w:val="tr-TR" w:bidi="tr-TR"/>
              </w:rPr>
              <w:t xml:space="preserve"> kısmına bakınız.</w:t>
            </w:r>
          </w:p>
          <w:p w14:paraId="5AF104BA" w14:textId="77777777" w:rsidR="00BB704F" w:rsidRPr="00F50C10" w:rsidRDefault="00BB704F" w:rsidP="000B206D">
            <w:pPr>
              <w:spacing w:before="1" w:line="276" w:lineRule="auto"/>
              <w:ind w:left="108" w:right="108"/>
              <w:rPr>
                <w:rFonts w:eastAsia="Times New Roman" w:cs="Times New Roman"/>
                <w:szCs w:val="24"/>
                <w:lang w:val="tr-TR"/>
              </w:rPr>
            </w:pPr>
            <w:r w:rsidRPr="00F50C10">
              <w:rPr>
                <w:rFonts w:eastAsia="Times New Roman" w:cs="Times New Roman"/>
                <w:szCs w:val="24"/>
                <w:lang w:val="tr-TR" w:bidi="tr-TR"/>
              </w:rPr>
              <w:t>Enerji buhar olarak geri kazanılır</w:t>
            </w:r>
          </w:p>
        </w:tc>
        <w:tc>
          <w:tcPr>
            <w:tcW w:w="1255" w:type="pct"/>
            <w:vAlign w:val="center"/>
          </w:tcPr>
          <w:p w14:paraId="6B4F45D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metal oksit işlemi için geçerlidir. Küçük bağımsız tesislerde enerjinin geri kazanılabilirliği</w:t>
            </w:r>
          </w:p>
          <w:p w14:paraId="5B36FCA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kısıtlı olabilir.</w:t>
            </w:r>
          </w:p>
        </w:tc>
      </w:tr>
      <w:tr w:rsidR="00BB704F" w:rsidRPr="00F50C10" w14:paraId="3FF48DB4" w14:textId="77777777" w:rsidTr="00BB704F">
        <w:trPr>
          <w:trHeight w:val="941"/>
        </w:trPr>
        <w:tc>
          <w:tcPr>
            <w:tcW w:w="146" w:type="pct"/>
            <w:vAlign w:val="center"/>
          </w:tcPr>
          <w:p w14:paraId="56EC48C0" w14:textId="77777777" w:rsidR="00BB704F" w:rsidRPr="00F50C10" w:rsidRDefault="00BB704F" w:rsidP="000B206D">
            <w:pPr>
              <w:spacing w:line="276" w:lineRule="auto"/>
              <w:ind w:left="72" w:right="72"/>
              <w:rPr>
                <w:rFonts w:eastAsia="Times New Roman" w:cs="Times New Roman"/>
                <w:szCs w:val="24"/>
                <w:lang w:val="tr-TR"/>
              </w:rPr>
            </w:pPr>
            <w:r w:rsidRPr="00F50C10">
              <w:rPr>
                <w:rFonts w:eastAsia="Times New Roman" w:cs="Times New Roman"/>
                <w:w w:val="99"/>
                <w:szCs w:val="24"/>
                <w:lang w:val="tr-TR" w:bidi="tr-TR"/>
              </w:rPr>
              <w:t>c</w:t>
            </w:r>
          </w:p>
        </w:tc>
        <w:tc>
          <w:tcPr>
            <w:tcW w:w="1494" w:type="pct"/>
            <w:vAlign w:val="center"/>
          </w:tcPr>
          <w:p w14:paraId="41AFE2B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Enerji geri kazanımlı termal oksitleyici</w:t>
            </w:r>
          </w:p>
        </w:tc>
        <w:tc>
          <w:tcPr>
            <w:tcW w:w="2105" w:type="pct"/>
            <w:vAlign w:val="center"/>
          </w:tcPr>
          <w:p w14:paraId="13994EB7" w14:textId="77777777" w:rsidR="00BB704F" w:rsidRPr="00F50C10" w:rsidRDefault="002A1746" w:rsidP="000B206D">
            <w:pPr>
              <w:spacing w:line="276" w:lineRule="auto"/>
              <w:ind w:left="108" w:right="108"/>
              <w:rPr>
                <w:rFonts w:eastAsia="Times New Roman" w:cs="Times New Roman"/>
                <w:szCs w:val="24"/>
                <w:lang w:val="tr-TR"/>
              </w:rPr>
            </w:pPr>
            <w:hyperlink w:anchor="_bookmark800" w:history="1">
              <w:r w:rsidR="00BB704F" w:rsidRPr="00F50C10">
                <w:rPr>
                  <w:rFonts w:eastAsia="Times New Roman" w:cs="Times New Roman"/>
                  <w:szCs w:val="24"/>
                  <w:lang w:val="tr-TR" w:bidi="tr-TR"/>
                </w:rPr>
                <w:fldChar w:fldCharType="begin"/>
              </w:r>
              <w:r w:rsidR="00BB704F" w:rsidRPr="00F50C10">
                <w:rPr>
                  <w:rFonts w:eastAsia="Times New Roman" w:cs="Times New Roman"/>
                  <w:szCs w:val="24"/>
                  <w:lang w:val="tr-TR"/>
                </w:rPr>
                <w:instrText xml:space="preserve"> REF _Ref136600417 \n \h </w:instrText>
              </w:r>
              <w:r w:rsidR="00BB704F" w:rsidRPr="00F50C10">
                <w:rPr>
                  <w:rFonts w:eastAsia="Times New Roman" w:cs="Times New Roman"/>
                  <w:szCs w:val="24"/>
                  <w:lang w:val="tr-TR" w:bidi="tr-TR"/>
                </w:rPr>
                <w:instrText xml:space="preserve"> \* MERGEFORMAT </w:instrText>
              </w:r>
              <w:r w:rsidR="00BB704F" w:rsidRPr="00F50C10">
                <w:rPr>
                  <w:rFonts w:eastAsia="Times New Roman" w:cs="Times New Roman"/>
                  <w:szCs w:val="24"/>
                  <w:lang w:val="tr-TR" w:bidi="tr-TR"/>
                </w:rPr>
              </w:r>
              <w:r w:rsidR="00BB704F" w:rsidRPr="00F50C10">
                <w:rPr>
                  <w:rFonts w:eastAsia="Times New Roman" w:cs="Times New Roman"/>
                  <w:szCs w:val="24"/>
                  <w:lang w:val="tr-TR" w:bidi="tr-TR"/>
                </w:rPr>
                <w:fldChar w:fldCharType="separate"/>
              </w:r>
              <w:r w:rsidR="00BB704F" w:rsidRPr="00F50C10">
                <w:rPr>
                  <w:rFonts w:eastAsia="Times New Roman" w:cs="Times New Roman"/>
                  <w:szCs w:val="24"/>
                  <w:lang w:val="tr-TR"/>
                </w:rPr>
                <w:t>12.1</w:t>
              </w:r>
              <w:r w:rsidR="00BB704F" w:rsidRPr="00F50C10">
                <w:rPr>
                  <w:rFonts w:eastAsia="Times New Roman" w:cs="Times New Roman"/>
                  <w:szCs w:val="24"/>
                  <w:lang w:val="tr-TR" w:bidi="tr-TR"/>
                </w:rPr>
                <w:fldChar w:fldCharType="end"/>
              </w:r>
            </w:hyperlink>
            <w:r w:rsidR="00BB704F" w:rsidRPr="00F50C10">
              <w:rPr>
                <w:rFonts w:eastAsia="Times New Roman" w:cs="Times New Roman"/>
                <w:szCs w:val="24"/>
                <w:lang w:val="tr-TR" w:bidi="tr-TR"/>
              </w:rPr>
              <w:t xml:space="preserve"> kısmına bakınız.</w:t>
            </w:r>
          </w:p>
          <w:p w14:paraId="7B6D79D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Enerji buhar olarak geri kazanılır</w:t>
            </w:r>
          </w:p>
        </w:tc>
        <w:tc>
          <w:tcPr>
            <w:tcW w:w="1255" w:type="pct"/>
            <w:vAlign w:val="center"/>
          </w:tcPr>
          <w:p w14:paraId="31E882F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gümüş prosesine uygulanabilir</w:t>
            </w:r>
          </w:p>
        </w:tc>
      </w:tr>
    </w:tbl>
    <w:p w14:paraId="557FC1AF" w14:textId="17A95C7A" w:rsidR="00BB704F" w:rsidRPr="00F50C10" w:rsidRDefault="00D63365" w:rsidP="000B206D">
      <w:pPr>
        <w:spacing w:before="240" w:line="276" w:lineRule="auto"/>
        <w:rPr>
          <w:rFonts w:eastAsia="Calibri" w:cs="Times New Roman"/>
          <w:b/>
          <w:iCs/>
          <w:color w:val="000000"/>
          <w:szCs w:val="24"/>
        </w:rPr>
      </w:pPr>
      <w:r w:rsidRPr="00F50C10">
        <w:rPr>
          <w:rFonts w:eastAsia="Calibri" w:cs="Times New Roman"/>
          <w:b/>
          <w:iCs/>
          <w:color w:val="000000"/>
          <w:szCs w:val="24"/>
        </w:rPr>
        <w:t xml:space="preserve">Tablo 5.1. </w:t>
      </w:r>
      <w:r w:rsidR="00BB704F" w:rsidRPr="00F50C10">
        <w:rPr>
          <w:rFonts w:eastAsia="Calibri" w:cs="Times New Roman"/>
          <w:b/>
          <w:iCs/>
          <w:color w:val="000000"/>
          <w:szCs w:val="24"/>
        </w:rPr>
        <w:t>Formaldehit üretiminden havaya TUOB ve formaldehit emisyonları için MET-İES'ler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20"/>
        <w:gridCol w:w="4277"/>
      </w:tblGrid>
      <w:tr w:rsidR="00BB704F" w:rsidRPr="00F50C10" w14:paraId="65A647DF" w14:textId="77777777" w:rsidTr="00BB704F">
        <w:trPr>
          <w:trHeight w:val="688"/>
        </w:trPr>
        <w:tc>
          <w:tcPr>
            <w:tcW w:w="2338" w:type="pct"/>
          </w:tcPr>
          <w:p w14:paraId="21364C5D" w14:textId="77777777" w:rsidR="00BB704F" w:rsidRPr="00F50C10" w:rsidRDefault="00BB704F" w:rsidP="000B206D">
            <w:pPr>
              <w:spacing w:before="9" w:line="276" w:lineRule="auto"/>
              <w:jc w:val="left"/>
              <w:rPr>
                <w:rFonts w:eastAsia="Times New Roman" w:cs="Times New Roman"/>
                <w:b/>
                <w:szCs w:val="24"/>
                <w:lang w:val="tr-TR"/>
              </w:rPr>
            </w:pPr>
          </w:p>
          <w:p w14:paraId="3B1C53F1" w14:textId="77777777" w:rsidR="00BB704F" w:rsidRPr="00F50C10" w:rsidRDefault="00BB704F" w:rsidP="000B206D">
            <w:pPr>
              <w:spacing w:line="276" w:lineRule="auto"/>
              <w:ind w:left="1562" w:right="1555"/>
              <w:jc w:val="center"/>
              <w:rPr>
                <w:rFonts w:eastAsia="Times New Roman" w:cs="Times New Roman"/>
                <w:b/>
                <w:szCs w:val="24"/>
                <w:lang w:val="tr-TR"/>
              </w:rPr>
            </w:pPr>
            <w:r w:rsidRPr="00F50C10">
              <w:rPr>
                <w:rFonts w:eastAsia="Times New Roman" w:cs="Times New Roman"/>
                <w:b/>
                <w:szCs w:val="24"/>
                <w:lang w:val="tr-TR" w:bidi="tr-TR"/>
              </w:rPr>
              <w:t>Parametre</w:t>
            </w:r>
          </w:p>
        </w:tc>
        <w:tc>
          <w:tcPr>
            <w:tcW w:w="2662" w:type="pct"/>
          </w:tcPr>
          <w:p w14:paraId="48CD1B51" w14:textId="77777777" w:rsidR="00BB704F" w:rsidRPr="00F50C10" w:rsidRDefault="00BB704F" w:rsidP="000B206D">
            <w:pPr>
              <w:spacing w:line="276" w:lineRule="auto"/>
              <w:ind w:left="97" w:right="90"/>
              <w:jc w:val="center"/>
              <w:rPr>
                <w:rFonts w:eastAsia="Times New Roman" w:cs="Times New Roman"/>
                <w:b/>
                <w:szCs w:val="24"/>
                <w:lang w:val="tr-TR"/>
              </w:rPr>
            </w:pPr>
            <w:r w:rsidRPr="00F50C10">
              <w:rPr>
                <w:rFonts w:eastAsia="Times New Roman" w:cs="Times New Roman"/>
                <w:b/>
                <w:szCs w:val="24"/>
                <w:lang w:val="tr-TR" w:bidi="tr-TR"/>
              </w:rPr>
              <w:t>MET-İES</w:t>
            </w:r>
          </w:p>
          <w:p w14:paraId="7F9DD94C" w14:textId="77777777" w:rsidR="00BB704F" w:rsidRPr="00F50C10" w:rsidRDefault="00BB704F" w:rsidP="000B206D">
            <w:pPr>
              <w:spacing w:line="276" w:lineRule="auto"/>
              <w:ind w:left="97" w:right="93"/>
              <w:jc w:val="center"/>
              <w:rPr>
                <w:rFonts w:eastAsia="Times New Roman" w:cs="Times New Roman"/>
                <w:b/>
                <w:szCs w:val="24"/>
                <w:lang w:val="tr-TR"/>
              </w:rPr>
            </w:pPr>
            <w:r w:rsidRPr="00F50C10">
              <w:rPr>
                <w:rFonts w:eastAsia="Times New Roman" w:cs="Times New Roman"/>
                <w:b/>
                <w:szCs w:val="24"/>
                <w:lang w:val="tr-TR" w:bidi="tr-TR"/>
              </w:rPr>
              <w:t>(günlük ortalama veya numune alma süresi boyunca ortalama) (mg/Nm</w:t>
            </w:r>
            <w:r w:rsidRPr="00F50C10">
              <w:rPr>
                <w:rFonts w:eastAsia="Times New Roman" w:cs="Times New Roman"/>
                <w:b/>
                <w:szCs w:val="24"/>
                <w:vertAlign w:val="superscript"/>
                <w:lang w:val="tr-TR" w:bidi="tr-TR"/>
              </w:rPr>
              <w:t>3</w:t>
            </w:r>
            <w:r w:rsidRPr="00F50C10">
              <w:rPr>
                <w:rFonts w:eastAsia="Times New Roman" w:cs="Times New Roman"/>
                <w:b/>
                <w:szCs w:val="24"/>
                <w:lang w:val="tr-TR" w:bidi="tr-TR"/>
              </w:rPr>
              <w:t>, oksijen içeriği için düzeltme olmaksızın)</w:t>
            </w:r>
          </w:p>
        </w:tc>
      </w:tr>
      <w:tr w:rsidR="00BB704F" w:rsidRPr="00F50C10" w14:paraId="5929D06B" w14:textId="77777777" w:rsidTr="00BB704F">
        <w:trPr>
          <w:trHeight w:val="230"/>
        </w:trPr>
        <w:tc>
          <w:tcPr>
            <w:tcW w:w="2338" w:type="pct"/>
          </w:tcPr>
          <w:p w14:paraId="37201B3E" w14:textId="77777777" w:rsidR="00BB704F" w:rsidRPr="00F50C10" w:rsidRDefault="00BB704F" w:rsidP="000B206D">
            <w:pPr>
              <w:spacing w:line="276" w:lineRule="auto"/>
              <w:ind w:left="107"/>
              <w:jc w:val="left"/>
              <w:rPr>
                <w:rFonts w:eastAsia="Times New Roman" w:cs="Times New Roman"/>
                <w:szCs w:val="24"/>
                <w:lang w:val="tr-TR"/>
              </w:rPr>
            </w:pPr>
            <w:r w:rsidRPr="00F50C10">
              <w:rPr>
                <w:rFonts w:eastAsia="Times New Roman" w:cs="Times New Roman"/>
                <w:szCs w:val="24"/>
                <w:lang w:val="tr-TR" w:bidi="tr-TR"/>
              </w:rPr>
              <w:t>TUOB</w:t>
            </w:r>
          </w:p>
        </w:tc>
        <w:tc>
          <w:tcPr>
            <w:tcW w:w="2662" w:type="pct"/>
          </w:tcPr>
          <w:p w14:paraId="65C1DC35" w14:textId="77777777" w:rsidR="00BB704F" w:rsidRPr="00F50C10" w:rsidRDefault="00BB704F" w:rsidP="000B206D">
            <w:pPr>
              <w:spacing w:line="276" w:lineRule="auto"/>
              <w:ind w:left="97" w:right="87"/>
              <w:jc w:val="center"/>
              <w:rPr>
                <w:rFonts w:eastAsia="Times New Roman" w:cs="Times New Roman"/>
                <w:szCs w:val="24"/>
                <w:lang w:val="tr-TR"/>
              </w:rPr>
            </w:pPr>
            <w:r w:rsidRPr="00F50C10">
              <w:rPr>
                <w:rFonts w:eastAsia="Times New Roman" w:cs="Times New Roman"/>
                <w:szCs w:val="24"/>
                <w:lang w:val="tr-TR" w:bidi="tr-TR"/>
              </w:rPr>
              <w:t>&lt; 5–30 (</w:t>
            </w:r>
            <w:r w:rsidRPr="00F50C10">
              <w:rPr>
                <w:rFonts w:eastAsia="Times New Roman" w:cs="Times New Roman"/>
                <w:szCs w:val="24"/>
                <w:vertAlign w:val="superscript"/>
                <w:lang w:val="tr-TR" w:bidi="tr-TR"/>
              </w:rPr>
              <w:t>1</w:t>
            </w:r>
            <w:r w:rsidRPr="00F50C10">
              <w:rPr>
                <w:rFonts w:eastAsia="Times New Roman" w:cs="Times New Roman"/>
                <w:szCs w:val="24"/>
                <w:lang w:val="tr-TR" w:bidi="tr-TR"/>
              </w:rPr>
              <w:t>)</w:t>
            </w:r>
          </w:p>
        </w:tc>
      </w:tr>
      <w:tr w:rsidR="00BB704F" w:rsidRPr="00F50C10" w14:paraId="0E92739B" w14:textId="77777777" w:rsidTr="00BB704F">
        <w:trPr>
          <w:trHeight w:val="230"/>
        </w:trPr>
        <w:tc>
          <w:tcPr>
            <w:tcW w:w="2338" w:type="pct"/>
          </w:tcPr>
          <w:p w14:paraId="342D79AE" w14:textId="77777777" w:rsidR="00BB704F" w:rsidRPr="00F50C10" w:rsidRDefault="00BB704F" w:rsidP="000B206D">
            <w:pPr>
              <w:spacing w:line="276" w:lineRule="auto"/>
              <w:ind w:left="107"/>
              <w:jc w:val="left"/>
              <w:rPr>
                <w:rFonts w:eastAsia="Times New Roman" w:cs="Times New Roman"/>
                <w:szCs w:val="24"/>
                <w:lang w:val="tr-TR"/>
              </w:rPr>
            </w:pPr>
            <w:r w:rsidRPr="00F50C10">
              <w:rPr>
                <w:rFonts w:eastAsia="Times New Roman" w:cs="Times New Roman"/>
                <w:szCs w:val="24"/>
                <w:lang w:val="tr-TR" w:bidi="tr-TR"/>
              </w:rPr>
              <w:t>Formaldehit</w:t>
            </w:r>
          </w:p>
        </w:tc>
        <w:tc>
          <w:tcPr>
            <w:tcW w:w="2662" w:type="pct"/>
          </w:tcPr>
          <w:p w14:paraId="4FA1D5C3" w14:textId="77777777" w:rsidR="00BB704F" w:rsidRPr="00F50C10" w:rsidRDefault="00BB704F" w:rsidP="000B206D">
            <w:pPr>
              <w:spacing w:line="276" w:lineRule="auto"/>
              <w:ind w:left="97" w:right="85"/>
              <w:jc w:val="center"/>
              <w:rPr>
                <w:rFonts w:eastAsia="Times New Roman" w:cs="Times New Roman"/>
                <w:szCs w:val="24"/>
                <w:lang w:val="tr-TR"/>
              </w:rPr>
            </w:pPr>
            <w:r w:rsidRPr="00F50C10">
              <w:rPr>
                <w:rFonts w:eastAsia="Times New Roman" w:cs="Times New Roman"/>
                <w:szCs w:val="24"/>
                <w:lang w:val="tr-TR" w:bidi="tr-TR"/>
              </w:rPr>
              <w:t>2–5</w:t>
            </w:r>
          </w:p>
        </w:tc>
      </w:tr>
      <w:tr w:rsidR="00BB704F" w:rsidRPr="00F50C10" w14:paraId="2CC46C9A" w14:textId="77777777" w:rsidTr="00BB704F">
        <w:trPr>
          <w:trHeight w:val="208"/>
        </w:trPr>
        <w:tc>
          <w:tcPr>
            <w:tcW w:w="5000" w:type="pct"/>
            <w:gridSpan w:val="2"/>
          </w:tcPr>
          <w:p w14:paraId="2369CC04" w14:textId="77777777" w:rsidR="00BB704F" w:rsidRPr="00F50C10" w:rsidRDefault="00BB704F" w:rsidP="000B206D">
            <w:pPr>
              <w:spacing w:line="276" w:lineRule="auto"/>
              <w:ind w:left="107"/>
              <w:jc w:val="left"/>
              <w:rPr>
                <w:rFonts w:eastAsia="Times New Roman" w:cs="Times New Roman"/>
                <w:i/>
                <w:iCs/>
                <w:szCs w:val="24"/>
                <w:lang w:val="tr-TR"/>
              </w:rPr>
            </w:pPr>
            <w:r w:rsidRPr="00F50C10">
              <w:rPr>
                <w:rFonts w:eastAsia="Times New Roman" w:cs="Times New Roman"/>
                <w:i/>
                <w:iCs/>
                <w:szCs w:val="24"/>
                <w:lang w:val="tr-TR" w:bidi="tr-TR"/>
              </w:rPr>
              <w:t>(</w:t>
            </w:r>
            <w:r w:rsidRPr="00F50C10">
              <w:rPr>
                <w:rFonts w:eastAsia="Times New Roman" w:cs="Times New Roman"/>
                <w:i/>
                <w:iCs/>
                <w:szCs w:val="24"/>
                <w:vertAlign w:val="superscript"/>
                <w:lang w:val="tr-TR" w:bidi="tr-TR"/>
              </w:rPr>
              <w:t>1</w:t>
            </w:r>
            <w:r w:rsidRPr="00F50C10">
              <w:rPr>
                <w:rFonts w:eastAsia="Times New Roman" w:cs="Times New Roman"/>
                <w:i/>
                <w:iCs/>
                <w:szCs w:val="24"/>
                <w:lang w:val="tr-TR" w:bidi="tr-TR"/>
              </w:rPr>
              <w:t>)Aralığın alt sınırına, gümüş prosesinde termal oksitleyici kullanılması halinde ulaşılmaktadır.</w:t>
            </w:r>
          </w:p>
        </w:tc>
      </w:tr>
    </w:tbl>
    <w:p w14:paraId="088EEA63" w14:textId="77777777" w:rsidR="00BB704F" w:rsidRPr="00F50C10" w:rsidRDefault="00BB704F" w:rsidP="000B206D">
      <w:pPr>
        <w:widowControl w:val="0"/>
        <w:autoSpaceDE w:val="0"/>
        <w:autoSpaceDN w:val="0"/>
        <w:spacing w:before="240" w:line="276" w:lineRule="auto"/>
        <w:jc w:val="left"/>
        <w:rPr>
          <w:rFonts w:eastAsia="Times New Roman" w:cs="Times New Roman"/>
          <w:szCs w:val="24"/>
          <w:lang w:val="tr-TR"/>
        </w:rPr>
      </w:pPr>
      <w:r w:rsidRPr="00F50C10">
        <w:rPr>
          <w:rFonts w:eastAsia="Times New Roman" w:cs="Times New Roman"/>
          <w:szCs w:val="24"/>
          <w:lang w:val="tr-TR"/>
        </w:rPr>
        <w:t>İlgili izleme MET 2 kapsamındadır.</w:t>
      </w:r>
    </w:p>
    <w:p w14:paraId="6DC2922F"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37" w:name="_Toc136613722"/>
      <w:r w:rsidRPr="00F50C10">
        <w:rPr>
          <w:rFonts w:eastAsia="Times New Roman" w:cs="Times New Roman"/>
          <w:b/>
          <w:szCs w:val="24"/>
          <w:lang w:val="tr-TR"/>
        </w:rPr>
        <w:t>Suya Deşarjlar</w:t>
      </w:r>
      <w:bookmarkEnd w:id="37"/>
    </w:p>
    <w:p w14:paraId="63C77AC0" w14:textId="4D425F8D" w:rsidR="00F95FB8"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46: Atık su oluşumunu (örneğin temizlik, dökülmeler ve yoğuşmalardan kaynaklanan) ve daha sonraki atık su arıtımına boşaltılan organik yükü önlemek veya azaltmak için, aşağıda verilen tekniklerden biri veya </w:t>
      </w:r>
      <w:r w:rsidR="00C33B33" w:rsidRPr="00F50C10">
        <w:rPr>
          <w:rFonts w:eastAsia="Times New Roman" w:cs="Times New Roman"/>
          <w:b/>
          <w:bCs/>
          <w:szCs w:val="24"/>
          <w:lang w:val="tr-TR"/>
        </w:rPr>
        <w:t>her ikisi birden</w:t>
      </w:r>
      <w:r w:rsidRPr="00F50C10">
        <w:rPr>
          <w:rFonts w:eastAsia="Times New Roman" w:cs="Times New Roman"/>
          <w:b/>
          <w:bCs/>
          <w:szCs w:val="24"/>
          <w:lang w:val="tr-TR"/>
        </w:rPr>
        <w:t xml:space="preserve"> kullan</w:t>
      </w:r>
      <w:r w:rsidR="00C33B33" w:rsidRPr="00F50C10">
        <w:rPr>
          <w:rFonts w:eastAsia="Times New Roman" w:cs="Times New Roman"/>
          <w:b/>
          <w:bCs/>
          <w:szCs w:val="24"/>
          <w:lang w:val="tr-TR"/>
        </w:rPr>
        <w:t>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1944"/>
        <w:gridCol w:w="3729"/>
        <w:gridCol w:w="2479"/>
      </w:tblGrid>
      <w:tr w:rsidR="00C33B33" w:rsidRPr="00F50C10" w14:paraId="198D8735" w14:textId="77777777" w:rsidTr="00EA21EC">
        <w:trPr>
          <w:trHeight w:val="230"/>
          <w:tblHeader/>
        </w:trPr>
        <w:tc>
          <w:tcPr>
            <w:tcW w:w="185" w:type="pct"/>
            <w:tcBorders>
              <w:right w:val="single" w:sz="4" w:space="0" w:color="auto"/>
            </w:tcBorders>
            <w:vAlign w:val="center"/>
          </w:tcPr>
          <w:p w14:paraId="511C5EC8" w14:textId="77777777" w:rsidR="00C33B33" w:rsidRPr="00F50C10" w:rsidRDefault="00C33B33" w:rsidP="000B206D">
            <w:pPr>
              <w:spacing w:line="276" w:lineRule="auto"/>
              <w:ind w:left="108" w:right="108"/>
              <w:jc w:val="center"/>
              <w:rPr>
                <w:rFonts w:eastAsia="Times New Roman" w:cs="Times New Roman"/>
                <w:b/>
                <w:szCs w:val="24"/>
                <w:lang w:val="tr-TR"/>
              </w:rPr>
            </w:pPr>
          </w:p>
        </w:tc>
        <w:tc>
          <w:tcPr>
            <w:tcW w:w="1150" w:type="pct"/>
            <w:tcBorders>
              <w:left w:val="single" w:sz="4" w:space="0" w:color="auto"/>
            </w:tcBorders>
            <w:vAlign w:val="center"/>
          </w:tcPr>
          <w:p w14:paraId="486D0A2E" w14:textId="77777777" w:rsidR="00C33B33" w:rsidRPr="00F50C10" w:rsidRDefault="00C33B33" w:rsidP="000B206D">
            <w:pPr>
              <w:spacing w:line="276" w:lineRule="auto"/>
              <w:ind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2200" w:type="pct"/>
            <w:vAlign w:val="center"/>
          </w:tcPr>
          <w:p w14:paraId="1A2C5EC1" w14:textId="77777777" w:rsidR="00C33B33" w:rsidRPr="00F50C10" w:rsidRDefault="00C33B33"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464" w:type="pct"/>
            <w:vAlign w:val="center"/>
          </w:tcPr>
          <w:p w14:paraId="333BD600" w14:textId="77777777" w:rsidR="00C33B33" w:rsidRPr="00F50C10" w:rsidRDefault="00C33B33"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C33B33" w:rsidRPr="00F50C10" w14:paraId="30B9E9F4" w14:textId="77777777" w:rsidTr="00EA21EC">
        <w:trPr>
          <w:trHeight w:val="690"/>
        </w:trPr>
        <w:tc>
          <w:tcPr>
            <w:tcW w:w="185" w:type="pct"/>
            <w:tcBorders>
              <w:right w:val="single" w:sz="4" w:space="0" w:color="auto"/>
            </w:tcBorders>
            <w:vAlign w:val="center"/>
          </w:tcPr>
          <w:p w14:paraId="6588C17C" w14:textId="77777777" w:rsidR="00C33B33" w:rsidRPr="00F50C10" w:rsidRDefault="00C33B33"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150" w:type="pct"/>
            <w:tcBorders>
              <w:left w:val="single" w:sz="4" w:space="0" w:color="auto"/>
            </w:tcBorders>
            <w:vAlign w:val="center"/>
          </w:tcPr>
          <w:p w14:paraId="52989DC9" w14:textId="53442F00" w:rsidR="00C33B33" w:rsidRPr="00F50C10" w:rsidRDefault="00C33B33"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Suyun yeniden kullanımı</w:t>
            </w:r>
          </w:p>
        </w:tc>
        <w:tc>
          <w:tcPr>
            <w:tcW w:w="2200" w:type="pct"/>
            <w:vAlign w:val="center"/>
          </w:tcPr>
          <w:p w14:paraId="43EA024F" w14:textId="27A61F1B" w:rsidR="00C33B33" w:rsidRPr="00F50C10" w:rsidRDefault="00C33B33"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Sulu akışlar (örneğin temizlik, dökülmeler ve yoğuşmalardan) esas olarak formaldehit ürün konsantrasyonunu ayarlamak için prosese yeniden sirküle edilir. Suyun ne ölçüde yeniden kullanılabileceği istenen formaldehit konsantrasyonuna bağlıdır</w:t>
            </w:r>
          </w:p>
        </w:tc>
        <w:tc>
          <w:tcPr>
            <w:tcW w:w="1464" w:type="pct"/>
            <w:vAlign w:val="center"/>
          </w:tcPr>
          <w:p w14:paraId="036765D2" w14:textId="77777777" w:rsidR="00C33B33" w:rsidRPr="00F50C10" w:rsidRDefault="00C33B33"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Genel olarak uygulanabilir.</w:t>
            </w:r>
          </w:p>
        </w:tc>
      </w:tr>
      <w:tr w:rsidR="00C33B33" w:rsidRPr="00F50C10" w14:paraId="0F1345FF" w14:textId="77777777" w:rsidTr="00EA21EC">
        <w:trPr>
          <w:trHeight w:val="1149"/>
        </w:trPr>
        <w:tc>
          <w:tcPr>
            <w:tcW w:w="185" w:type="pct"/>
            <w:vAlign w:val="center"/>
          </w:tcPr>
          <w:p w14:paraId="6751061D" w14:textId="77777777" w:rsidR="00C33B33" w:rsidRPr="00F50C10" w:rsidRDefault="00C33B33"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150" w:type="pct"/>
            <w:vAlign w:val="center"/>
          </w:tcPr>
          <w:p w14:paraId="2A646386" w14:textId="189D1ADD" w:rsidR="00C33B33" w:rsidRPr="00F50C10" w:rsidRDefault="00C33B33"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Kimyasal ön arıtma</w:t>
            </w:r>
          </w:p>
        </w:tc>
        <w:tc>
          <w:tcPr>
            <w:tcW w:w="2200" w:type="pct"/>
            <w:vAlign w:val="center"/>
          </w:tcPr>
          <w:p w14:paraId="684ACF1D" w14:textId="19B5C8BB" w:rsidR="00C33B33" w:rsidRPr="00F50C10" w:rsidRDefault="00C33B33"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Formaldehidin, daha az toksik olan diğer maddelere dönüştürülmesi, örneğin sodyum sülfat eklenerek veya oksidasyon yoluyla.</w:t>
            </w:r>
          </w:p>
        </w:tc>
        <w:tc>
          <w:tcPr>
            <w:tcW w:w="1464" w:type="pct"/>
            <w:vAlign w:val="center"/>
          </w:tcPr>
          <w:p w14:paraId="18F877A9" w14:textId="1A9E6093" w:rsidR="00C33B33" w:rsidRPr="00F50C10" w:rsidRDefault="00C33B33"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Sadece, formaldehit içeriği nedeniyle, aşağı akıştaki biyolojik atıksu arıtma üzerinde olumsuz bir etki yapabilecek atık sular için uygulanabilir.</w:t>
            </w:r>
          </w:p>
        </w:tc>
      </w:tr>
    </w:tbl>
    <w:p w14:paraId="5C6EF415" w14:textId="16D0B987" w:rsidR="00BB704F" w:rsidRPr="00F50C10" w:rsidRDefault="00F95FB8" w:rsidP="00A654AE">
      <w:pPr>
        <w:pStyle w:val="ListeParagraf"/>
        <w:widowControl w:val="0"/>
        <w:numPr>
          <w:ilvl w:val="1"/>
          <w:numId w:val="179"/>
        </w:numPr>
        <w:autoSpaceDE w:val="0"/>
        <w:autoSpaceDN w:val="0"/>
        <w:spacing w:before="240" w:line="276" w:lineRule="auto"/>
        <w:jc w:val="left"/>
        <w:rPr>
          <w:rFonts w:eastAsia="Times New Roman" w:cs="Times New Roman"/>
          <w:b/>
          <w:bCs/>
          <w:szCs w:val="24"/>
          <w:lang w:val="tr-TR"/>
        </w:rPr>
      </w:pPr>
      <w:r w:rsidRPr="00F50C10">
        <w:rPr>
          <w:rFonts w:eastAsia="Times New Roman" w:cs="Times New Roman"/>
          <w:b/>
          <w:bCs/>
          <w:szCs w:val="24"/>
          <w:lang w:val="tr-TR"/>
        </w:rPr>
        <w:t>Artıklar</w:t>
      </w:r>
    </w:p>
    <w:p w14:paraId="2796AFC2" w14:textId="42ECE597" w:rsidR="00BB704F" w:rsidRPr="00F50C10" w:rsidRDefault="00BB704F" w:rsidP="000B206D">
      <w:pPr>
        <w:widowControl w:val="0"/>
        <w:autoSpaceDE w:val="0"/>
        <w:autoSpaceDN w:val="0"/>
        <w:spacing w:before="240" w:line="276" w:lineRule="auto"/>
        <w:jc w:val="left"/>
        <w:rPr>
          <w:rFonts w:eastAsia="Times New Roman" w:cs="Times New Roman"/>
          <w:b/>
          <w:bCs/>
          <w:szCs w:val="24"/>
          <w:lang w:val="tr-TR"/>
        </w:rPr>
      </w:pPr>
      <w:r w:rsidRPr="00F50C10">
        <w:rPr>
          <w:rFonts w:eastAsia="Times New Roman" w:cs="Times New Roman"/>
          <w:b/>
          <w:bCs/>
          <w:szCs w:val="24"/>
          <w:lang w:val="tr-TR"/>
        </w:rPr>
        <w:t xml:space="preserve">MET 47: </w:t>
      </w:r>
      <w:r w:rsidRPr="00F50C10">
        <w:rPr>
          <w:rFonts w:eastAsia="Times New Roman" w:cs="Times New Roman"/>
          <w:szCs w:val="24"/>
          <w:lang w:val="tr-TR"/>
        </w:rPr>
        <w:t>Bertaraf için gönderilen paraformaldehit içeren atık miktarını azaltmak için, aşağıda verilen tekniklerden biri veya birkaçı kullan</w:t>
      </w:r>
      <w:r w:rsidR="00F95FB8" w:rsidRPr="00F50C10">
        <w:rPr>
          <w:rFonts w:eastAsia="Times New Roman" w:cs="Times New Roman"/>
          <w:szCs w:val="24"/>
          <w:lang w:val="tr-TR"/>
        </w:rPr>
        <w:t>ıl</w:t>
      </w:r>
      <w:r w:rsidRPr="00F50C10">
        <w:rPr>
          <w:rFonts w:eastAsia="Times New Roman" w:cs="Times New Roman"/>
          <w:szCs w:val="24"/>
          <w:lang w:val="tr-TR"/>
        </w:rPr>
        <w:t>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1946"/>
        <w:gridCol w:w="3728"/>
        <w:gridCol w:w="2478"/>
      </w:tblGrid>
      <w:tr w:rsidR="00BB704F" w:rsidRPr="00F50C10" w14:paraId="18F047C2" w14:textId="77777777" w:rsidTr="00BB704F">
        <w:trPr>
          <w:trHeight w:val="230"/>
          <w:tblHeader/>
        </w:trPr>
        <w:tc>
          <w:tcPr>
            <w:tcW w:w="143" w:type="pct"/>
            <w:tcBorders>
              <w:right w:val="single" w:sz="4" w:space="0" w:color="auto"/>
            </w:tcBorders>
            <w:vAlign w:val="center"/>
          </w:tcPr>
          <w:p w14:paraId="5AE16F0E"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165" w:type="pct"/>
            <w:tcBorders>
              <w:left w:val="single" w:sz="4" w:space="0" w:color="auto"/>
            </w:tcBorders>
            <w:vAlign w:val="center"/>
          </w:tcPr>
          <w:p w14:paraId="156E542A" w14:textId="77777777" w:rsidR="00BB704F" w:rsidRPr="00F50C10" w:rsidRDefault="00BB704F" w:rsidP="000B206D">
            <w:pPr>
              <w:spacing w:line="276" w:lineRule="auto"/>
              <w:ind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2214" w:type="pct"/>
            <w:vAlign w:val="center"/>
          </w:tcPr>
          <w:p w14:paraId="449F8E33"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478" w:type="pct"/>
            <w:vAlign w:val="center"/>
          </w:tcPr>
          <w:p w14:paraId="381F042F"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738BF3B9" w14:textId="77777777" w:rsidTr="00BB704F">
        <w:trPr>
          <w:trHeight w:val="690"/>
        </w:trPr>
        <w:tc>
          <w:tcPr>
            <w:tcW w:w="143" w:type="pct"/>
            <w:tcBorders>
              <w:right w:val="single" w:sz="4" w:space="0" w:color="auto"/>
            </w:tcBorders>
            <w:vAlign w:val="center"/>
          </w:tcPr>
          <w:p w14:paraId="54FD984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165" w:type="pct"/>
            <w:tcBorders>
              <w:left w:val="single" w:sz="4" w:space="0" w:color="auto"/>
            </w:tcBorders>
            <w:vAlign w:val="center"/>
          </w:tcPr>
          <w:p w14:paraId="1FC865A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Minimizasyonu</w:t>
            </w:r>
          </w:p>
          <w:p w14:paraId="65F009B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5"/>
                <w:szCs w:val="24"/>
                <w:lang w:val="tr-TR" w:bidi="tr-TR"/>
              </w:rPr>
              <w:t>paraformaldehit üretimi</w:t>
            </w:r>
          </w:p>
        </w:tc>
        <w:tc>
          <w:tcPr>
            <w:tcW w:w="2214" w:type="pct"/>
            <w:vAlign w:val="center"/>
          </w:tcPr>
          <w:p w14:paraId="44B2643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İyileştirilmiş ısıtma, yalıtım ve akış sirkülasyonu ile paraformaldehit oluşumu en aza indirilir.</w:t>
            </w:r>
          </w:p>
        </w:tc>
        <w:tc>
          <w:tcPr>
            <w:tcW w:w="1478" w:type="pct"/>
            <w:vAlign w:val="center"/>
          </w:tcPr>
          <w:p w14:paraId="0ABC4411" w14:textId="77777777" w:rsidR="00BB704F" w:rsidRPr="00F50C10" w:rsidRDefault="00BB704F" w:rsidP="000B206D">
            <w:pPr>
              <w:spacing w:line="276" w:lineRule="auto"/>
              <w:ind w:left="108" w:right="108"/>
              <w:rPr>
                <w:rFonts w:eastAsia="Times New Roman" w:cs="Times New Roman"/>
                <w:b/>
                <w:bCs/>
                <w:szCs w:val="24"/>
                <w:lang w:val="tr-TR"/>
              </w:rPr>
            </w:pPr>
            <w:r w:rsidRPr="00F50C10">
              <w:rPr>
                <w:rFonts w:eastAsia="Times New Roman" w:cs="Times New Roman"/>
                <w:szCs w:val="24"/>
                <w:lang w:val="tr-TR" w:bidi="tr-TR"/>
              </w:rPr>
              <w:t>Genel olarak uygulanabilir.</w:t>
            </w:r>
          </w:p>
        </w:tc>
      </w:tr>
      <w:tr w:rsidR="00BB704F" w:rsidRPr="00F50C10" w14:paraId="6B0FBDB8" w14:textId="77777777" w:rsidTr="00BB704F">
        <w:trPr>
          <w:trHeight w:val="1149"/>
        </w:trPr>
        <w:tc>
          <w:tcPr>
            <w:tcW w:w="143" w:type="pct"/>
            <w:vAlign w:val="center"/>
          </w:tcPr>
          <w:p w14:paraId="5B11FF3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165" w:type="pct"/>
            <w:vAlign w:val="center"/>
          </w:tcPr>
          <w:p w14:paraId="5C788FF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Malzeme geri kazanımı</w:t>
            </w:r>
          </w:p>
        </w:tc>
        <w:tc>
          <w:tcPr>
            <w:tcW w:w="2214" w:type="pct"/>
            <w:vAlign w:val="center"/>
          </w:tcPr>
          <w:p w14:paraId="1837A5F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Paraformaldehit, bir formaldehit çözeltisi vermek üzere hidroliz ve depolimerizasyona uğradığı sıcak suda çözülerek geri kazanılır veya doğrudan diğer işlemlerde yeniden kullanılır.</w:t>
            </w:r>
          </w:p>
        </w:tc>
        <w:tc>
          <w:tcPr>
            <w:tcW w:w="1478" w:type="pct"/>
            <w:vAlign w:val="center"/>
          </w:tcPr>
          <w:p w14:paraId="29E5AC4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Geri kazanılan paraformaldehitin kontamine olması nedeniyle kullanılamadığı durumlar için geçerli değildir.</w:t>
            </w:r>
          </w:p>
        </w:tc>
      </w:tr>
      <w:tr w:rsidR="00BB704F" w:rsidRPr="00F50C10" w14:paraId="68564E56" w14:textId="77777777" w:rsidTr="00BB704F">
        <w:trPr>
          <w:trHeight w:val="690"/>
        </w:trPr>
        <w:tc>
          <w:tcPr>
            <w:tcW w:w="143" w:type="pct"/>
            <w:vAlign w:val="center"/>
          </w:tcPr>
          <w:p w14:paraId="55EE1B1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165" w:type="pct"/>
            <w:vAlign w:val="center"/>
          </w:tcPr>
          <w:p w14:paraId="2A91A303" w14:textId="77777777" w:rsidR="00BB704F" w:rsidRPr="00F50C10" w:rsidRDefault="00BB704F" w:rsidP="000B206D">
            <w:pPr>
              <w:spacing w:before="108" w:line="276" w:lineRule="auto"/>
              <w:ind w:left="108" w:right="108"/>
              <w:rPr>
                <w:rFonts w:eastAsia="Times New Roman" w:cs="Times New Roman"/>
                <w:szCs w:val="24"/>
                <w:lang w:val="tr-TR"/>
              </w:rPr>
            </w:pPr>
            <w:r w:rsidRPr="00F50C10">
              <w:rPr>
                <w:rFonts w:eastAsia="Times New Roman" w:cs="Times New Roman"/>
                <w:szCs w:val="24"/>
                <w:lang w:val="tr-TR" w:bidi="tr-TR"/>
              </w:rPr>
              <w:t>Kalıntıların yakıt olarak kullanılması</w:t>
            </w:r>
          </w:p>
        </w:tc>
        <w:tc>
          <w:tcPr>
            <w:tcW w:w="2214" w:type="pct"/>
            <w:vAlign w:val="center"/>
          </w:tcPr>
          <w:p w14:paraId="30276E4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Paraformaldehit geri kazanılır ve yakıt olarak kullanılır.</w:t>
            </w:r>
          </w:p>
        </w:tc>
        <w:tc>
          <w:tcPr>
            <w:tcW w:w="1478" w:type="pct"/>
            <w:vAlign w:val="center"/>
          </w:tcPr>
          <w:p w14:paraId="73BE5881" w14:textId="77777777" w:rsidR="00BB704F" w:rsidRPr="00F50C10" w:rsidRDefault="00BB704F" w:rsidP="000B206D">
            <w:pPr>
              <w:tabs>
                <w:tab w:val="left" w:pos="1114"/>
                <w:tab w:val="left" w:pos="1497"/>
                <w:tab w:val="left" w:pos="2265"/>
              </w:tabs>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Sadece teknik b uygulanamadığında uygulanabilir.</w:t>
            </w:r>
          </w:p>
        </w:tc>
      </w:tr>
    </w:tbl>
    <w:p w14:paraId="4CF09222" w14:textId="2A3B55F5" w:rsidR="00577B82" w:rsidRPr="00F50C10" w:rsidRDefault="00BB704F" w:rsidP="00A654AE">
      <w:pPr>
        <w:pStyle w:val="Balk1"/>
        <w:numPr>
          <w:ilvl w:val="0"/>
          <w:numId w:val="179"/>
        </w:numPr>
        <w:spacing w:line="276" w:lineRule="auto"/>
        <w:rPr>
          <w:rFonts w:eastAsia="Times New Roman" w:cs="Times New Roman"/>
          <w:szCs w:val="24"/>
          <w:lang w:val="tr-TR"/>
        </w:rPr>
      </w:pPr>
      <w:bookmarkStart w:id="38" w:name="_Toc136613723"/>
      <w:r w:rsidRPr="00F50C10">
        <w:rPr>
          <w:rStyle w:val="GlBavuru"/>
          <w:rFonts w:cs="Times New Roman"/>
          <w:b/>
          <w:color w:val="auto"/>
          <w:szCs w:val="24"/>
        </w:rPr>
        <w:t xml:space="preserve">ETİLEN OKSİT VE ETİLEN GLİKOLLER ÜRETİMİNE İLİŞKİN MET </w:t>
      </w:r>
      <w:bookmarkEnd w:id="38"/>
    </w:p>
    <w:p w14:paraId="55265861" w14:textId="2A8FCCC9"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szCs w:val="24"/>
          <w:lang w:val="tr-TR"/>
        </w:rPr>
        <w:t xml:space="preserve">Bu bölümdeki MET, </w:t>
      </w:r>
      <w:r w:rsidR="00577B82" w:rsidRPr="00F50C10">
        <w:rPr>
          <w:rFonts w:eastAsia="Times New Roman" w:cs="Times New Roman"/>
          <w:szCs w:val="24"/>
          <w:lang w:val="tr-TR"/>
        </w:rPr>
        <w:t xml:space="preserve">Genel </w:t>
      </w:r>
      <w:r w:rsidRPr="00F50C10">
        <w:rPr>
          <w:rFonts w:eastAsia="Times New Roman" w:cs="Times New Roman"/>
          <w:szCs w:val="24"/>
          <w:lang w:val="tr-TR"/>
        </w:rPr>
        <w:t>MET</w:t>
      </w:r>
      <w:r w:rsidR="00577B82" w:rsidRPr="00F50C10">
        <w:rPr>
          <w:rFonts w:eastAsia="Times New Roman" w:cs="Times New Roman"/>
          <w:szCs w:val="24"/>
          <w:lang w:val="tr-TR"/>
        </w:rPr>
        <w:t>’e</w:t>
      </w:r>
      <w:r w:rsidRPr="00F50C10">
        <w:rPr>
          <w:rFonts w:eastAsia="Times New Roman" w:cs="Times New Roman"/>
          <w:szCs w:val="24"/>
          <w:lang w:val="tr-TR"/>
        </w:rPr>
        <w:t xml:space="preserve"> ek olarak geçerlidir.</w:t>
      </w:r>
    </w:p>
    <w:p w14:paraId="3B195DDA"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39" w:name="_Toc136613724"/>
      <w:r w:rsidRPr="00F50C10">
        <w:rPr>
          <w:rFonts w:eastAsia="Times New Roman" w:cs="Times New Roman"/>
          <w:b/>
          <w:szCs w:val="24"/>
          <w:lang w:val="tr-TR"/>
        </w:rPr>
        <w:t>Proses Seçimi</w:t>
      </w:r>
      <w:bookmarkEnd w:id="39"/>
    </w:p>
    <w:p w14:paraId="57323B27" w14:textId="60BFACA5"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48: </w:t>
      </w:r>
      <w:r w:rsidRPr="00F50C10">
        <w:rPr>
          <w:rFonts w:eastAsia="Times New Roman" w:cs="Times New Roman"/>
          <w:szCs w:val="24"/>
          <w:lang w:val="tr-TR"/>
        </w:rPr>
        <w:t>Etilen tüketimini ve havaya organik bileşik ve CO</w:t>
      </w:r>
      <w:r w:rsidRPr="00F50C10">
        <w:rPr>
          <w:rFonts w:eastAsia="Times New Roman" w:cs="Times New Roman"/>
          <w:szCs w:val="24"/>
          <w:vertAlign w:val="subscript"/>
          <w:lang w:val="tr-TR"/>
        </w:rPr>
        <w:t>2</w:t>
      </w:r>
      <w:r w:rsidRPr="00F50C10">
        <w:rPr>
          <w:rFonts w:eastAsia="Times New Roman" w:cs="Times New Roman"/>
          <w:szCs w:val="24"/>
          <w:lang w:val="tr-TR"/>
        </w:rPr>
        <w:t xml:space="preserve"> emisyonlarını azaltmada yeni tesisler ve büyük çaplı tesis iyileştirmeleri için, etilenin doğrudan etilen okside oksitlenmesi</w:t>
      </w:r>
      <w:r w:rsidR="00F95FB8" w:rsidRPr="00F50C10">
        <w:rPr>
          <w:rFonts w:eastAsia="Times New Roman" w:cs="Times New Roman"/>
          <w:szCs w:val="24"/>
          <w:lang w:val="tr-TR"/>
        </w:rPr>
        <w:t xml:space="preserve">nde </w:t>
      </w:r>
      <w:r w:rsidRPr="00F50C10">
        <w:rPr>
          <w:rFonts w:eastAsia="Times New Roman" w:cs="Times New Roman"/>
          <w:szCs w:val="24"/>
          <w:lang w:val="tr-TR"/>
        </w:rPr>
        <w:t>hava yerine oksijen kullanıl</w:t>
      </w:r>
      <w:r w:rsidR="00DB2331" w:rsidRPr="00F50C10">
        <w:rPr>
          <w:rFonts w:eastAsia="Times New Roman" w:cs="Times New Roman"/>
          <w:szCs w:val="24"/>
          <w:lang w:val="tr-TR"/>
        </w:rPr>
        <w:t>ır.</w:t>
      </w:r>
    </w:p>
    <w:p w14:paraId="3D142188"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40" w:name="_Toc136613725"/>
      <w:r w:rsidRPr="00F50C10">
        <w:rPr>
          <w:rFonts w:eastAsia="Times New Roman" w:cs="Times New Roman"/>
          <w:b/>
          <w:szCs w:val="24"/>
          <w:lang w:val="tr-TR"/>
        </w:rPr>
        <w:t>Hava Emisyonları</w:t>
      </w:r>
      <w:bookmarkEnd w:id="40"/>
    </w:p>
    <w:p w14:paraId="48573A7E" w14:textId="6375A596" w:rsidR="00BB704F" w:rsidRPr="00F50C10" w:rsidRDefault="00BB704F" w:rsidP="000B206D">
      <w:pPr>
        <w:widowControl w:val="0"/>
        <w:autoSpaceDE w:val="0"/>
        <w:autoSpaceDN w:val="0"/>
        <w:spacing w:before="240" w:line="276" w:lineRule="auto"/>
        <w:jc w:val="left"/>
        <w:rPr>
          <w:rFonts w:eastAsia="Times New Roman" w:cs="Times New Roman"/>
          <w:szCs w:val="24"/>
          <w:lang w:val="tr-TR"/>
        </w:rPr>
      </w:pPr>
      <w:r w:rsidRPr="00F50C10">
        <w:rPr>
          <w:rFonts w:eastAsia="Times New Roman" w:cs="Times New Roman"/>
          <w:b/>
          <w:bCs/>
          <w:szCs w:val="24"/>
          <w:lang w:val="tr-TR"/>
        </w:rPr>
        <w:t xml:space="preserve">MET 49: </w:t>
      </w:r>
      <w:r w:rsidRPr="00F50C10">
        <w:rPr>
          <w:rFonts w:eastAsia="Times New Roman" w:cs="Times New Roman"/>
          <w:szCs w:val="24"/>
          <w:lang w:val="tr-TR"/>
        </w:rPr>
        <w:t xml:space="preserve">Etileni ve enerjiyi geri kazanmak ve organik bileşiklerin EO tesisinden hava emisyonlarını azaltmak için, aşağıda verilen </w:t>
      </w:r>
      <w:r w:rsidR="00294BF7" w:rsidRPr="00F50C10">
        <w:rPr>
          <w:rFonts w:eastAsia="Times New Roman" w:cs="Times New Roman"/>
          <w:szCs w:val="24"/>
          <w:lang w:val="tr-TR"/>
        </w:rPr>
        <w:t xml:space="preserve">tekniklerin </w:t>
      </w:r>
      <w:r w:rsidRPr="00F50C10">
        <w:rPr>
          <w:rFonts w:eastAsia="Times New Roman" w:cs="Times New Roman"/>
          <w:szCs w:val="24"/>
          <w:lang w:val="tr-TR"/>
        </w:rPr>
        <w:t>her iki</w:t>
      </w:r>
      <w:r w:rsidR="00294BF7" w:rsidRPr="00F50C10">
        <w:rPr>
          <w:rFonts w:eastAsia="Times New Roman" w:cs="Times New Roman"/>
          <w:szCs w:val="24"/>
          <w:lang w:val="tr-TR"/>
        </w:rPr>
        <w:t>si de kullanılır</w:t>
      </w:r>
      <w:r w:rsidRPr="00F50C10">
        <w:rPr>
          <w:rFonts w:eastAsia="Times New Roman" w:cs="Times New Roman"/>
          <w:szCs w:val="24"/>
          <w:lang w:val="tr-TR"/>
        </w:rPr>
        <w: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827"/>
        <w:gridCol w:w="3269"/>
        <w:gridCol w:w="2056"/>
      </w:tblGrid>
      <w:tr w:rsidR="00BB704F" w:rsidRPr="00F50C10" w14:paraId="19372286" w14:textId="77777777" w:rsidTr="00BB704F">
        <w:trPr>
          <w:trHeight w:val="230"/>
          <w:tblHeader/>
        </w:trPr>
        <w:tc>
          <w:tcPr>
            <w:tcW w:w="154" w:type="pct"/>
            <w:vAlign w:val="center"/>
          </w:tcPr>
          <w:p w14:paraId="556BD6AE"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680" w:type="pct"/>
            <w:vAlign w:val="center"/>
          </w:tcPr>
          <w:p w14:paraId="2517A20F"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1940" w:type="pct"/>
            <w:vAlign w:val="center"/>
          </w:tcPr>
          <w:p w14:paraId="16B0F2EB"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26" w:type="pct"/>
            <w:vAlign w:val="center"/>
          </w:tcPr>
          <w:p w14:paraId="1D63D034"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35C97F45" w14:textId="77777777" w:rsidTr="00BB704F">
        <w:trPr>
          <w:trHeight w:val="230"/>
        </w:trPr>
        <w:tc>
          <w:tcPr>
            <w:tcW w:w="5000" w:type="pct"/>
            <w:gridSpan w:val="4"/>
            <w:vAlign w:val="center"/>
          </w:tcPr>
          <w:p w14:paraId="73343B07" w14:textId="77777777" w:rsidR="00BB704F" w:rsidRPr="00F50C10" w:rsidRDefault="00BB704F" w:rsidP="000B206D">
            <w:pPr>
              <w:spacing w:line="276" w:lineRule="auto"/>
              <w:ind w:left="108" w:right="108"/>
              <w:rPr>
                <w:rFonts w:eastAsia="Times New Roman" w:cs="Times New Roman"/>
                <w:b/>
                <w:i/>
                <w:szCs w:val="24"/>
                <w:lang w:val="tr-TR"/>
              </w:rPr>
            </w:pPr>
            <w:r w:rsidRPr="00F50C10">
              <w:rPr>
                <w:rFonts w:eastAsia="Times New Roman" w:cs="Times New Roman"/>
                <w:b/>
                <w:i/>
                <w:szCs w:val="24"/>
                <w:lang w:val="tr-TR" w:bidi="tr-TR"/>
              </w:rPr>
              <w:t>Organik malzemeyi yeniden kullanım veya geri dönüşüm için geri kazanma teknikleri</w:t>
            </w:r>
          </w:p>
        </w:tc>
      </w:tr>
      <w:tr w:rsidR="00BB704F" w:rsidRPr="00F50C10" w14:paraId="253184C5" w14:textId="77777777" w:rsidTr="00BB704F">
        <w:trPr>
          <w:trHeight w:val="2301"/>
        </w:trPr>
        <w:tc>
          <w:tcPr>
            <w:tcW w:w="154" w:type="pct"/>
            <w:vAlign w:val="center"/>
          </w:tcPr>
          <w:p w14:paraId="0E243A2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680" w:type="pct"/>
            <w:vAlign w:val="center"/>
          </w:tcPr>
          <w:p w14:paraId="1ED6E97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Etilenin inert tasfiyesinden geri kazanılması için basınç salınımlı adsorpsiyon veya membranlı ayırma kullanımı</w:t>
            </w:r>
          </w:p>
        </w:tc>
        <w:tc>
          <w:tcPr>
            <w:tcW w:w="1940" w:type="pct"/>
            <w:vAlign w:val="center"/>
          </w:tcPr>
          <w:p w14:paraId="35C66BA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Basınç salınımlı adsorpsiyon tekniğiyle, hedef gaz (bu durumda etilen) molekülleri yüksek basınçta bir katı (örneğin moleküler elek) üzerine adsorbe edilir ve ardından yeniden kullanılmak veya geri dönüştürülmek üzere daha düşük basınçta ve daha konsantre formda desorbe edilir.</w:t>
            </w:r>
          </w:p>
          <w:p w14:paraId="181C5962" w14:textId="77777777" w:rsidR="00BB704F" w:rsidRPr="00F50C10" w:rsidRDefault="00BB704F" w:rsidP="000B206D">
            <w:pPr>
              <w:spacing w:before="5" w:line="276" w:lineRule="auto"/>
              <w:ind w:left="108" w:right="108"/>
              <w:rPr>
                <w:rFonts w:eastAsia="Times New Roman" w:cs="Times New Roman"/>
                <w:b/>
                <w:szCs w:val="24"/>
                <w:lang w:val="tr-TR"/>
              </w:rPr>
            </w:pPr>
          </w:p>
          <w:p w14:paraId="129DC02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Membranlu ayırma için </w:t>
            </w:r>
            <w:hyperlink w:anchor="_bookmark800"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_Ref136600432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12.1</w:t>
              </w:r>
              <w:r w:rsidRPr="00F50C10">
                <w:rPr>
                  <w:rFonts w:eastAsia="Times New Roman" w:cs="Times New Roman"/>
                  <w:szCs w:val="24"/>
                  <w:lang w:val="tr-TR" w:bidi="tr-TR"/>
                </w:rPr>
                <w:fldChar w:fldCharType="end"/>
              </w:r>
            </w:hyperlink>
            <w:r w:rsidRPr="00F50C10">
              <w:rPr>
                <w:rFonts w:eastAsia="Times New Roman" w:cs="Times New Roman"/>
                <w:szCs w:val="24"/>
                <w:lang w:val="tr-TR" w:bidi="tr-TR"/>
              </w:rPr>
              <w:t xml:space="preserve"> kısmına bakınız.</w:t>
            </w:r>
          </w:p>
        </w:tc>
        <w:tc>
          <w:tcPr>
            <w:tcW w:w="1226" w:type="pct"/>
            <w:vAlign w:val="center"/>
          </w:tcPr>
          <w:p w14:paraId="48E21AF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Düşük etilen kütle akışı nedeniyle enerji talebinin çok yüksek olması halinde uygulanabilirlik kısıtlı olabilir</w:t>
            </w:r>
          </w:p>
        </w:tc>
      </w:tr>
      <w:tr w:rsidR="00BB704F" w:rsidRPr="00F50C10" w14:paraId="00827EE2" w14:textId="77777777" w:rsidTr="00BB704F">
        <w:trPr>
          <w:trHeight w:val="230"/>
        </w:trPr>
        <w:tc>
          <w:tcPr>
            <w:tcW w:w="5000" w:type="pct"/>
            <w:gridSpan w:val="4"/>
            <w:vAlign w:val="center"/>
          </w:tcPr>
          <w:p w14:paraId="77BF49E3" w14:textId="77777777" w:rsidR="00BB704F" w:rsidRPr="00F50C10" w:rsidRDefault="00BB704F" w:rsidP="000B206D">
            <w:pPr>
              <w:spacing w:line="276" w:lineRule="auto"/>
              <w:ind w:left="108" w:right="108"/>
              <w:rPr>
                <w:rFonts w:eastAsia="Times New Roman" w:cs="Times New Roman"/>
                <w:b/>
                <w:i/>
                <w:szCs w:val="24"/>
                <w:lang w:val="tr-TR"/>
              </w:rPr>
            </w:pPr>
            <w:r w:rsidRPr="00F50C10">
              <w:rPr>
                <w:rFonts w:eastAsia="Times New Roman" w:cs="Times New Roman"/>
                <w:b/>
                <w:i/>
                <w:szCs w:val="24"/>
                <w:lang w:val="tr-TR" w:bidi="tr-TR"/>
              </w:rPr>
              <w:t>Geri kazanım teknikleri</w:t>
            </w:r>
          </w:p>
        </w:tc>
      </w:tr>
      <w:tr w:rsidR="00BB704F" w:rsidRPr="00F50C10" w14:paraId="1CDCAF56" w14:textId="77777777" w:rsidTr="00BB704F">
        <w:trPr>
          <w:trHeight w:val="460"/>
        </w:trPr>
        <w:tc>
          <w:tcPr>
            <w:tcW w:w="154" w:type="pct"/>
            <w:vAlign w:val="center"/>
          </w:tcPr>
          <w:p w14:paraId="294A497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680" w:type="pct"/>
            <w:vAlign w:val="center"/>
          </w:tcPr>
          <w:p w14:paraId="21F232C1"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İnert tasfiye akışının yakma ünitesine gönderilmesi</w:t>
            </w:r>
          </w:p>
        </w:tc>
        <w:tc>
          <w:tcPr>
            <w:tcW w:w="1940" w:type="pct"/>
            <w:vAlign w:val="center"/>
          </w:tcPr>
          <w:p w14:paraId="6391DC22" w14:textId="77777777" w:rsidR="00BB704F" w:rsidRPr="00F50C10" w:rsidRDefault="00BB704F" w:rsidP="000B206D">
            <w:pPr>
              <w:spacing w:before="108" w:line="276" w:lineRule="auto"/>
              <w:ind w:left="108" w:right="108"/>
              <w:rPr>
                <w:rFonts w:eastAsia="Times New Roman" w:cs="Times New Roman"/>
                <w:szCs w:val="24"/>
                <w:lang w:val="tr-TR" w:bidi="tr-TR"/>
              </w:rPr>
            </w:pPr>
            <w:r w:rsidRPr="00F50C10">
              <w:rPr>
                <w:rFonts w:eastAsia="Times New Roman" w:cs="Times New Roman"/>
                <w:szCs w:val="24"/>
                <w:lang w:val="tr-TR" w:bidi="tr-TR"/>
              </w:rPr>
              <w:t>Bkz. MET 9</w:t>
            </w:r>
          </w:p>
        </w:tc>
        <w:tc>
          <w:tcPr>
            <w:tcW w:w="1226" w:type="pct"/>
            <w:vAlign w:val="center"/>
          </w:tcPr>
          <w:p w14:paraId="6DB6E78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6A32A6DB" w14:textId="03039517"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50: </w:t>
      </w:r>
      <w:r w:rsidRPr="00F50C10">
        <w:rPr>
          <w:rFonts w:eastAsia="Times New Roman" w:cs="Times New Roman"/>
          <w:szCs w:val="24"/>
          <w:lang w:val="tr-TR"/>
        </w:rPr>
        <w:t>Etilen ve oksijen tüketimini azaltmak ve EO ünitesinden havaya CO</w:t>
      </w:r>
      <w:r w:rsidRPr="00F50C10">
        <w:rPr>
          <w:rFonts w:eastAsia="Times New Roman" w:cs="Times New Roman"/>
          <w:szCs w:val="24"/>
          <w:vertAlign w:val="subscript"/>
          <w:lang w:val="tr-TR"/>
        </w:rPr>
        <w:t>2</w:t>
      </w:r>
      <w:r w:rsidRPr="00F50C10">
        <w:rPr>
          <w:rFonts w:eastAsia="Times New Roman" w:cs="Times New Roman"/>
          <w:szCs w:val="24"/>
          <w:lang w:val="tr-TR"/>
        </w:rPr>
        <w:t xml:space="preserve"> emisyonlarını azaltmak için, MET 15'teki tekniklerin bir kombinasyonu ve inhibitörler </w:t>
      </w:r>
      <w:r w:rsidR="00294BF7" w:rsidRPr="00F50C10">
        <w:rPr>
          <w:rFonts w:eastAsia="Times New Roman" w:cs="Times New Roman"/>
          <w:szCs w:val="24"/>
          <w:lang w:val="tr-TR"/>
        </w:rPr>
        <w:t>kullanılır</w:t>
      </w:r>
      <w:r w:rsidRPr="00F50C10">
        <w:rPr>
          <w:rFonts w:eastAsia="Times New Roman" w:cs="Times New Roman"/>
          <w:szCs w:val="24"/>
          <w:lang w:val="tr-TR"/>
        </w:rPr>
        <w:t>.</w:t>
      </w:r>
    </w:p>
    <w:p w14:paraId="638CC289" w14:textId="793BBB07"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szCs w:val="24"/>
          <w:lang w:val="tr-TR"/>
        </w:rPr>
        <w:t xml:space="preserve">Tamamen karbondioksite oksitlenen etilen oranını azaltmak için reaktör beslemesine az miktarlarda organoklor inhibitör (etilklorür veya dikloroetan gibi) </w:t>
      </w:r>
      <w:r w:rsidR="00802086" w:rsidRPr="00F50C10">
        <w:rPr>
          <w:rFonts w:eastAsia="Times New Roman" w:cs="Times New Roman"/>
          <w:szCs w:val="24"/>
          <w:lang w:val="tr-TR"/>
        </w:rPr>
        <w:t>eklenir</w:t>
      </w:r>
      <w:r w:rsidRPr="00F50C10">
        <w:rPr>
          <w:rFonts w:eastAsia="Times New Roman" w:cs="Times New Roman"/>
          <w:szCs w:val="24"/>
          <w:lang w:val="tr-TR"/>
        </w:rPr>
        <w:t>. Katalizör performansının izlenmesi için uygun parametreler arasında reaksiyon ısısı ve her bir ton etilen beslemesi başına CO</w:t>
      </w:r>
      <w:r w:rsidRPr="00F50C10">
        <w:rPr>
          <w:rFonts w:eastAsia="Times New Roman" w:cs="Times New Roman"/>
          <w:szCs w:val="24"/>
          <w:vertAlign w:val="subscript"/>
          <w:lang w:val="tr-TR"/>
        </w:rPr>
        <w:t>2</w:t>
      </w:r>
      <w:r w:rsidRPr="00F50C10">
        <w:rPr>
          <w:rFonts w:eastAsia="Times New Roman" w:cs="Times New Roman"/>
          <w:szCs w:val="24"/>
          <w:lang w:val="tr-TR"/>
        </w:rPr>
        <w:t xml:space="preserve"> oluşumu yer alır.</w:t>
      </w:r>
    </w:p>
    <w:p w14:paraId="2A0FDCCF" w14:textId="32058323"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51: </w:t>
      </w:r>
      <w:r w:rsidRPr="00F50C10">
        <w:rPr>
          <w:rFonts w:eastAsia="Times New Roman" w:cs="Times New Roman"/>
          <w:szCs w:val="24"/>
          <w:lang w:val="tr-TR"/>
        </w:rPr>
        <w:t>EO tesisinde kullanılan yıkama ortamından CO</w:t>
      </w:r>
      <w:r w:rsidRPr="00F50C10">
        <w:rPr>
          <w:rFonts w:eastAsia="Times New Roman" w:cs="Times New Roman"/>
          <w:szCs w:val="24"/>
          <w:vertAlign w:val="subscript"/>
          <w:lang w:val="tr-TR"/>
        </w:rPr>
        <w:t>2</w:t>
      </w:r>
      <w:r w:rsidRPr="00F50C10">
        <w:rPr>
          <w:rFonts w:eastAsia="Times New Roman" w:cs="Times New Roman"/>
          <w:szCs w:val="24"/>
          <w:lang w:val="tr-TR"/>
        </w:rPr>
        <w:t xml:space="preserve"> desorpsiyonundan havaya organik bileşik emisyonlarını azaltmak için, aşağıda verilen tekniklerin bir kombinasyonu kullan</w:t>
      </w:r>
      <w:r w:rsidR="00294BF7" w:rsidRPr="00F50C10">
        <w:rPr>
          <w:rFonts w:eastAsia="Times New Roman" w:cs="Times New Roman"/>
          <w:szCs w:val="24"/>
          <w:lang w:val="tr-TR"/>
        </w:rPr>
        <w:t>ıl</w:t>
      </w:r>
      <w:r w:rsidRPr="00F50C10">
        <w:rPr>
          <w:rFonts w:eastAsia="Times New Roman" w:cs="Times New Roman"/>
          <w:szCs w:val="24"/>
          <w:lang w:val="tr-TR"/>
        </w:rPr>
        <w:t>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886"/>
        <w:gridCol w:w="3253"/>
        <w:gridCol w:w="2013"/>
      </w:tblGrid>
      <w:tr w:rsidR="00BB704F" w:rsidRPr="00F50C10" w14:paraId="59BD02EE" w14:textId="77777777" w:rsidTr="00BB704F">
        <w:trPr>
          <w:trHeight w:val="230"/>
          <w:tblHeader/>
        </w:trPr>
        <w:tc>
          <w:tcPr>
            <w:tcW w:w="144" w:type="pct"/>
          </w:tcPr>
          <w:p w14:paraId="3D96BF46" w14:textId="77777777" w:rsidR="00BB704F" w:rsidRPr="00F50C10" w:rsidRDefault="00BB704F" w:rsidP="000B206D">
            <w:pPr>
              <w:spacing w:line="276" w:lineRule="auto"/>
              <w:ind w:left="108" w:right="108"/>
              <w:rPr>
                <w:rFonts w:eastAsia="Times New Roman" w:cs="Times New Roman"/>
                <w:szCs w:val="24"/>
                <w:lang w:val="tr-TR"/>
              </w:rPr>
            </w:pPr>
          </w:p>
        </w:tc>
        <w:tc>
          <w:tcPr>
            <w:tcW w:w="1718" w:type="pct"/>
          </w:tcPr>
          <w:p w14:paraId="5B34C49C"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1934" w:type="pct"/>
          </w:tcPr>
          <w:p w14:paraId="126768E5"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04" w:type="pct"/>
          </w:tcPr>
          <w:p w14:paraId="242FD2F7"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2CFD23F9" w14:textId="77777777" w:rsidTr="00BB704F">
        <w:trPr>
          <w:trHeight w:val="230"/>
        </w:trPr>
        <w:tc>
          <w:tcPr>
            <w:tcW w:w="5000" w:type="pct"/>
            <w:gridSpan w:val="4"/>
          </w:tcPr>
          <w:p w14:paraId="43263CF4" w14:textId="77777777" w:rsidR="00BB704F" w:rsidRPr="00F50C10" w:rsidRDefault="00BB704F" w:rsidP="000B206D">
            <w:pPr>
              <w:spacing w:line="276" w:lineRule="auto"/>
              <w:ind w:left="108" w:right="108"/>
              <w:rPr>
                <w:rFonts w:eastAsia="Times New Roman" w:cs="Times New Roman"/>
                <w:b/>
                <w:i/>
                <w:szCs w:val="24"/>
                <w:lang w:val="tr-TR"/>
              </w:rPr>
            </w:pPr>
            <w:r w:rsidRPr="00F50C10">
              <w:rPr>
                <w:rFonts w:eastAsia="Times New Roman" w:cs="Times New Roman"/>
                <w:b/>
                <w:i/>
                <w:szCs w:val="24"/>
                <w:lang w:val="tr-TR" w:bidi="tr-TR"/>
              </w:rPr>
              <w:t>Prosese entegre teknikler</w:t>
            </w:r>
          </w:p>
        </w:tc>
      </w:tr>
      <w:tr w:rsidR="00BB704F" w:rsidRPr="00F50C10" w14:paraId="5FB92AFC" w14:textId="77777777" w:rsidTr="00BB704F">
        <w:trPr>
          <w:trHeight w:val="2071"/>
        </w:trPr>
        <w:tc>
          <w:tcPr>
            <w:tcW w:w="144" w:type="pct"/>
            <w:vAlign w:val="center"/>
          </w:tcPr>
          <w:p w14:paraId="0659DE4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718" w:type="pct"/>
            <w:vAlign w:val="center"/>
          </w:tcPr>
          <w:p w14:paraId="40B1F77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Kademeli CO</w:t>
            </w:r>
            <w:r w:rsidRPr="00F50C10">
              <w:rPr>
                <w:rFonts w:eastAsia="Times New Roman" w:cs="Times New Roman"/>
                <w:szCs w:val="24"/>
                <w:vertAlign w:val="subscript"/>
                <w:lang w:val="tr-TR" w:bidi="tr-TR"/>
              </w:rPr>
              <w:t>2</w:t>
            </w:r>
            <w:r w:rsidRPr="00F50C10">
              <w:rPr>
                <w:rFonts w:eastAsia="Times New Roman" w:cs="Times New Roman"/>
                <w:szCs w:val="24"/>
                <w:lang w:val="tr-TR" w:bidi="tr-TR"/>
              </w:rPr>
              <w:t xml:space="preserve"> desorpsiyonu</w:t>
            </w:r>
          </w:p>
        </w:tc>
        <w:tc>
          <w:tcPr>
            <w:tcW w:w="1934" w:type="pct"/>
            <w:vAlign w:val="center"/>
          </w:tcPr>
          <w:p w14:paraId="066F01EC"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Teknik, karbon dioksiti absorpsiyon ortamından serbest bırakmak için gerekli basınçsızlaştırmanın bir yerine iki adımda yürütülmesinden oluşur. Bu, hidrokarbon açısından zengin bir ilk akışın potansiyel yeniden sirkülasyon için izole edilmesine izin vererek, daha ileri arıtma için nispeten temiz bir karbon dioksit akışı bırakır.</w:t>
            </w:r>
          </w:p>
        </w:tc>
        <w:tc>
          <w:tcPr>
            <w:tcW w:w="1204" w:type="pct"/>
            <w:vAlign w:val="center"/>
          </w:tcPr>
          <w:p w14:paraId="6BA979F9" w14:textId="77777777" w:rsidR="00BB704F" w:rsidRPr="00F50C10" w:rsidRDefault="00BB704F" w:rsidP="000B206D">
            <w:pPr>
              <w:spacing w:before="178" w:line="276" w:lineRule="auto"/>
              <w:ind w:left="108" w:right="108"/>
              <w:rPr>
                <w:rFonts w:eastAsia="Times New Roman" w:cs="Times New Roman"/>
                <w:szCs w:val="24"/>
                <w:lang w:val="tr-TR"/>
              </w:rPr>
            </w:pPr>
            <w:r w:rsidRPr="00F50C10">
              <w:rPr>
                <w:rFonts w:eastAsia="Times New Roman" w:cs="Times New Roman"/>
                <w:szCs w:val="24"/>
                <w:lang w:val="tr-TR" w:bidi="tr-TR"/>
              </w:rPr>
              <w:t>Yalnızca yeni tesisler veya büyük tesis yükseltmeleri için geçerlidir</w:t>
            </w:r>
          </w:p>
        </w:tc>
      </w:tr>
      <w:tr w:rsidR="00BB704F" w:rsidRPr="00F50C10" w14:paraId="32E8A25C" w14:textId="77777777" w:rsidTr="00BB704F">
        <w:trPr>
          <w:trHeight w:val="230"/>
        </w:trPr>
        <w:tc>
          <w:tcPr>
            <w:tcW w:w="5000" w:type="pct"/>
            <w:gridSpan w:val="4"/>
            <w:vAlign w:val="center"/>
          </w:tcPr>
          <w:p w14:paraId="5DB2E42E" w14:textId="77777777" w:rsidR="00BB704F" w:rsidRPr="00F50C10" w:rsidRDefault="00BB704F" w:rsidP="000B206D">
            <w:pPr>
              <w:spacing w:line="276" w:lineRule="auto"/>
              <w:ind w:left="108" w:right="108"/>
              <w:rPr>
                <w:rFonts w:eastAsia="Times New Roman" w:cs="Times New Roman"/>
                <w:b/>
                <w:i/>
                <w:szCs w:val="24"/>
                <w:lang w:val="tr-TR"/>
              </w:rPr>
            </w:pPr>
            <w:r w:rsidRPr="00F50C10">
              <w:rPr>
                <w:rFonts w:eastAsia="Times New Roman" w:cs="Times New Roman"/>
                <w:b/>
                <w:i/>
                <w:szCs w:val="24"/>
                <w:lang w:val="tr-TR" w:bidi="tr-TR"/>
              </w:rPr>
              <w:t>Azaltma teknikleri</w:t>
            </w:r>
          </w:p>
        </w:tc>
      </w:tr>
      <w:tr w:rsidR="00BB704F" w:rsidRPr="00F50C10" w14:paraId="5F6D32AB" w14:textId="77777777" w:rsidTr="00BB704F">
        <w:trPr>
          <w:trHeight w:val="230"/>
        </w:trPr>
        <w:tc>
          <w:tcPr>
            <w:tcW w:w="144" w:type="pct"/>
            <w:vAlign w:val="center"/>
          </w:tcPr>
          <w:p w14:paraId="21A9819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718" w:type="pct"/>
            <w:vAlign w:val="center"/>
          </w:tcPr>
          <w:p w14:paraId="7EDDFD8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Katalitik oksitleyici</w:t>
            </w:r>
          </w:p>
        </w:tc>
        <w:tc>
          <w:tcPr>
            <w:tcW w:w="1934" w:type="pct"/>
            <w:vAlign w:val="center"/>
          </w:tcPr>
          <w:p w14:paraId="25535B2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 Bölüm </w:t>
            </w:r>
            <w:hyperlink w:anchor="_bookmark800"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_Ref136600432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12.1</w:t>
              </w:r>
              <w:r w:rsidRPr="00F50C10">
                <w:rPr>
                  <w:rFonts w:eastAsia="Times New Roman" w:cs="Times New Roman"/>
                  <w:szCs w:val="24"/>
                  <w:lang w:val="tr-TR" w:bidi="tr-TR"/>
                </w:rPr>
                <w:fldChar w:fldCharType="end"/>
              </w:r>
            </w:hyperlink>
          </w:p>
        </w:tc>
        <w:tc>
          <w:tcPr>
            <w:tcW w:w="1204" w:type="pct"/>
            <w:vAlign w:val="center"/>
          </w:tcPr>
          <w:p w14:paraId="09DC31B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1A425A1F" w14:textId="77777777" w:rsidTr="00BB704F">
        <w:trPr>
          <w:trHeight w:val="230"/>
        </w:trPr>
        <w:tc>
          <w:tcPr>
            <w:tcW w:w="144" w:type="pct"/>
            <w:vAlign w:val="center"/>
          </w:tcPr>
          <w:p w14:paraId="7B3DB27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718" w:type="pct"/>
            <w:vAlign w:val="center"/>
          </w:tcPr>
          <w:p w14:paraId="08F58CF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Termal oksitleyici</w:t>
            </w:r>
          </w:p>
        </w:tc>
        <w:tc>
          <w:tcPr>
            <w:tcW w:w="1934" w:type="pct"/>
            <w:vAlign w:val="center"/>
          </w:tcPr>
          <w:p w14:paraId="4F2D25C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 Bölüm </w:t>
            </w:r>
            <w:hyperlink w:anchor="_bookmark800"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_Ref136600432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12.1</w:t>
              </w:r>
              <w:r w:rsidRPr="00F50C10">
                <w:rPr>
                  <w:rFonts w:eastAsia="Times New Roman" w:cs="Times New Roman"/>
                  <w:szCs w:val="24"/>
                  <w:lang w:val="tr-TR" w:bidi="tr-TR"/>
                </w:rPr>
                <w:fldChar w:fldCharType="end"/>
              </w:r>
            </w:hyperlink>
          </w:p>
        </w:tc>
        <w:tc>
          <w:tcPr>
            <w:tcW w:w="1204" w:type="pct"/>
            <w:vAlign w:val="center"/>
          </w:tcPr>
          <w:p w14:paraId="121066B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7E881B98" w14:textId="2B8C36A1" w:rsidR="00BB704F" w:rsidRPr="00F50C10" w:rsidRDefault="00F23183" w:rsidP="000B206D">
      <w:pPr>
        <w:spacing w:before="240" w:line="276" w:lineRule="auto"/>
        <w:rPr>
          <w:rFonts w:eastAsia="Calibri" w:cs="Times New Roman"/>
          <w:b/>
          <w:iCs/>
          <w:color w:val="000000"/>
          <w:szCs w:val="24"/>
        </w:rPr>
      </w:pPr>
      <w:r w:rsidRPr="00F50C10">
        <w:rPr>
          <w:rFonts w:eastAsia="Calibri" w:cs="Times New Roman"/>
          <w:b/>
          <w:iCs/>
          <w:color w:val="000000"/>
          <w:szCs w:val="24"/>
        </w:rPr>
        <w:t xml:space="preserve">Tablo 6.1. </w:t>
      </w:r>
      <w:r w:rsidR="00BB704F" w:rsidRPr="00F50C10">
        <w:rPr>
          <w:rFonts w:eastAsia="Calibri" w:cs="Times New Roman"/>
          <w:b/>
          <w:iCs/>
          <w:color w:val="000000"/>
          <w:szCs w:val="24"/>
        </w:rPr>
        <w:t>EO tesisinde kullanılan yıkama ortamındaki CO</w:t>
      </w:r>
      <w:r w:rsidR="00BB704F" w:rsidRPr="00F50C10">
        <w:rPr>
          <w:rFonts w:eastAsia="Calibri" w:cs="Times New Roman"/>
          <w:b/>
          <w:iCs/>
          <w:color w:val="000000"/>
          <w:szCs w:val="24"/>
          <w:vertAlign w:val="subscript"/>
        </w:rPr>
        <w:t>2</w:t>
      </w:r>
      <w:r w:rsidR="00BB704F" w:rsidRPr="00F50C10">
        <w:rPr>
          <w:rFonts w:eastAsia="Calibri" w:cs="Times New Roman"/>
          <w:b/>
          <w:iCs/>
          <w:color w:val="000000"/>
          <w:szCs w:val="24"/>
        </w:rPr>
        <w:t>’nin desorpsiyonundan kaynaklanan havaya organik bileşik emisyonları için MET-İES</w:t>
      </w:r>
    </w:p>
    <w:tbl>
      <w:tblPr>
        <w:tblStyle w:val="TableNormal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437"/>
        <w:gridCol w:w="6050"/>
      </w:tblGrid>
      <w:tr w:rsidR="00BB704F" w:rsidRPr="00F50C10" w14:paraId="57D3D021" w14:textId="77777777" w:rsidTr="00BB704F">
        <w:trPr>
          <w:trHeight w:val="693"/>
        </w:trPr>
        <w:tc>
          <w:tcPr>
            <w:tcW w:w="1436" w:type="pct"/>
          </w:tcPr>
          <w:p w14:paraId="4697893C" w14:textId="77777777" w:rsidR="00BB704F" w:rsidRPr="00F50C10" w:rsidRDefault="00BB704F" w:rsidP="000B206D">
            <w:pPr>
              <w:spacing w:before="8" w:line="276" w:lineRule="auto"/>
              <w:jc w:val="left"/>
              <w:rPr>
                <w:rFonts w:eastAsia="Times New Roman" w:cs="Times New Roman"/>
                <w:b/>
                <w:szCs w:val="24"/>
                <w:lang w:val="tr-TR"/>
              </w:rPr>
            </w:pPr>
          </w:p>
          <w:p w14:paraId="3E7895BE" w14:textId="77777777" w:rsidR="00BB704F" w:rsidRPr="00F50C10" w:rsidRDefault="00BB704F" w:rsidP="000B206D">
            <w:pPr>
              <w:spacing w:line="276" w:lineRule="auto"/>
              <w:ind w:left="108"/>
              <w:jc w:val="center"/>
              <w:rPr>
                <w:rFonts w:eastAsia="Times New Roman" w:cs="Times New Roman"/>
                <w:b/>
                <w:szCs w:val="24"/>
                <w:lang w:val="tr-TR"/>
              </w:rPr>
            </w:pPr>
            <w:r w:rsidRPr="00F50C10">
              <w:rPr>
                <w:rFonts w:eastAsia="Times New Roman" w:cs="Times New Roman"/>
                <w:b/>
                <w:szCs w:val="24"/>
                <w:lang w:val="tr-TR" w:bidi="tr-TR"/>
              </w:rPr>
              <w:t>Parametre</w:t>
            </w:r>
          </w:p>
        </w:tc>
        <w:tc>
          <w:tcPr>
            <w:tcW w:w="3564" w:type="pct"/>
          </w:tcPr>
          <w:p w14:paraId="331576C9" w14:textId="77777777" w:rsidR="00BB704F" w:rsidRPr="00F50C10" w:rsidRDefault="00BB704F" w:rsidP="000B206D">
            <w:pPr>
              <w:spacing w:before="8" w:line="276" w:lineRule="auto"/>
              <w:jc w:val="left"/>
              <w:rPr>
                <w:rFonts w:eastAsia="Times New Roman" w:cs="Times New Roman"/>
                <w:b/>
                <w:szCs w:val="24"/>
                <w:lang w:val="tr-TR"/>
              </w:rPr>
            </w:pPr>
          </w:p>
          <w:p w14:paraId="597AD1E9" w14:textId="77777777" w:rsidR="00BB704F" w:rsidRPr="00F50C10" w:rsidRDefault="00BB704F" w:rsidP="000B206D">
            <w:pPr>
              <w:spacing w:line="276" w:lineRule="auto"/>
              <w:ind w:left="1722" w:right="1700"/>
              <w:jc w:val="center"/>
              <w:rPr>
                <w:rFonts w:eastAsia="Times New Roman" w:cs="Times New Roman"/>
                <w:b/>
                <w:szCs w:val="24"/>
                <w:lang w:val="tr-TR"/>
              </w:rPr>
            </w:pPr>
            <w:r w:rsidRPr="00F50C10">
              <w:rPr>
                <w:rFonts w:eastAsia="Times New Roman" w:cs="Times New Roman"/>
                <w:b/>
                <w:szCs w:val="24"/>
                <w:lang w:val="tr-TR" w:bidi="tr-TR"/>
              </w:rPr>
              <w:t>MET-İES</w:t>
            </w:r>
          </w:p>
        </w:tc>
      </w:tr>
      <w:tr w:rsidR="00BB704F" w:rsidRPr="00F50C10" w14:paraId="4E18B61A" w14:textId="77777777" w:rsidTr="00BB704F">
        <w:trPr>
          <w:trHeight w:val="246"/>
        </w:trPr>
        <w:tc>
          <w:tcPr>
            <w:tcW w:w="1436" w:type="pct"/>
          </w:tcPr>
          <w:p w14:paraId="73E45ED2" w14:textId="77777777" w:rsidR="00BB704F" w:rsidRPr="00F50C10" w:rsidRDefault="00BB704F" w:rsidP="000B206D">
            <w:pPr>
              <w:spacing w:before="9" w:line="276" w:lineRule="auto"/>
              <w:ind w:left="108"/>
              <w:jc w:val="left"/>
              <w:rPr>
                <w:rFonts w:eastAsia="Times New Roman" w:cs="Times New Roman"/>
                <w:szCs w:val="24"/>
                <w:lang w:val="tr-TR"/>
              </w:rPr>
            </w:pPr>
            <w:r w:rsidRPr="00F50C10">
              <w:rPr>
                <w:rFonts w:eastAsia="Times New Roman" w:cs="Times New Roman"/>
                <w:szCs w:val="24"/>
                <w:lang w:val="tr-TR" w:bidi="tr-TR"/>
              </w:rPr>
              <w:t>TUOB</w:t>
            </w:r>
          </w:p>
        </w:tc>
        <w:tc>
          <w:tcPr>
            <w:tcW w:w="3564" w:type="pct"/>
          </w:tcPr>
          <w:p w14:paraId="1B16A084" w14:textId="77777777" w:rsidR="00BB704F" w:rsidRPr="00F50C10" w:rsidRDefault="00BB704F" w:rsidP="000B206D">
            <w:pPr>
              <w:spacing w:before="9" w:line="276" w:lineRule="auto"/>
              <w:ind w:left="1723" w:right="1700"/>
              <w:jc w:val="center"/>
              <w:rPr>
                <w:rFonts w:eastAsia="Times New Roman" w:cs="Times New Roman"/>
                <w:szCs w:val="24"/>
                <w:lang w:val="tr-TR"/>
              </w:rPr>
            </w:pPr>
            <w:r w:rsidRPr="00F50C10">
              <w:rPr>
                <w:rFonts w:eastAsia="Times New Roman" w:cs="Times New Roman"/>
                <w:szCs w:val="24"/>
                <w:lang w:val="tr-TR" w:bidi="tr-TR"/>
              </w:rPr>
              <w:t>1–10 g/t EO üretimi (</w:t>
            </w:r>
            <w:r w:rsidRPr="00F50C10">
              <w:rPr>
                <w:rFonts w:eastAsia="Times New Roman" w:cs="Times New Roman"/>
                <w:szCs w:val="24"/>
                <w:vertAlign w:val="superscript"/>
                <w:lang w:val="tr-TR" w:bidi="tr-TR"/>
              </w:rPr>
              <w:t>1</w:t>
            </w:r>
            <w:r w:rsidRPr="00F50C10">
              <w:rPr>
                <w:rFonts w:eastAsia="Times New Roman" w:cs="Times New Roman"/>
                <w:szCs w:val="24"/>
                <w:lang w:val="tr-TR" w:bidi="tr-TR"/>
              </w:rPr>
              <w:t>) (</w:t>
            </w:r>
            <w:r w:rsidRPr="00F50C10">
              <w:rPr>
                <w:rFonts w:eastAsia="Times New Roman" w:cs="Times New Roman"/>
                <w:szCs w:val="24"/>
                <w:vertAlign w:val="superscript"/>
                <w:lang w:val="tr-TR" w:bidi="tr-TR"/>
              </w:rPr>
              <w:t>2</w:t>
            </w:r>
            <w:r w:rsidRPr="00F50C10">
              <w:rPr>
                <w:rFonts w:eastAsia="Times New Roman" w:cs="Times New Roman"/>
                <w:szCs w:val="24"/>
                <w:lang w:val="tr-TR" w:bidi="tr-TR"/>
              </w:rPr>
              <w:t>) (</w:t>
            </w:r>
            <w:r w:rsidRPr="00F50C10">
              <w:rPr>
                <w:rFonts w:eastAsia="Times New Roman" w:cs="Times New Roman"/>
                <w:szCs w:val="24"/>
                <w:vertAlign w:val="superscript"/>
                <w:lang w:val="tr-TR" w:bidi="tr-TR"/>
              </w:rPr>
              <w:t>3</w:t>
            </w:r>
            <w:r w:rsidRPr="00F50C10">
              <w:rPr>
                <w:rFonts w:eastAsia="Times New Roman" w:cs="Times New Roman"/>
                <w:szCs w:val="24"/>
                <w:lang w:val="tr-TR" w:bidi="tr-TR"/>
              </w:rPr>
              <w:t>)</w:t>
            </w:r>
          </w:p>
        </w:tc>
      </w:tr>
      <w:tr w:rsidR="00BB704F" w:rsidRPr="00F50C10" w14:paraId="755FF4DD" w14:textId="77777777" w:rsidTr="00BB704F">
        <w:trPr>
          <w:trHeight w:val="843"/>
        </w:trPr>
        <w:tc>
          <w:tcPr>
            <w:tcW w:w="5000" w:type="pct"/>
            <w:gridSpan w:val="2"/>
          </w:tcPr>
          <w:p w14:paraId="250EEE98" w14:textId="77777777" w:rsidR="00BB704F" w:rsidRPr="00F50C10" w:rsidRDefault="00BB704F" w:rsidP="000B206D">
            <w:pPr>
              <w:numPr>
                <w:ilvl w:val="0"/>
                <w:numId w:val="14"/>
              </w:numPr>
              <w:tabs>
                <w:tab w:val="left" w:pos="334"/>
              </w:tabs>
              <w:spacing w:line="276" w:lineRule="auto"/>
              <w:jc w:val="left"/>
              <w:rPr>
                <w:rFonts w:eastAsia="Times New Roman" w:cs="Times New Roman"/>
                <w:i/>
                <w:iCs/>
                <w:szCs w:val="24"/>
                <w:lang w:val="tr-TR"/>
              </w:rPr>
            </w:pPr>
            <w:r w:rsidRPr="00F50C10">
              <w:rPr>
                <w:rFonts w:eastAsia="Times New Roman" w:cs="Times New Roman"/>
                <w:i/>
                <w:iCs/>
                <w:szCs w:val="24"/>
                <w:lang w:val="tr-TR" w:bidi="tr-TR"/>
              </w:rPr>
              <w:t>MET-İES, bir yıl boyunca elde edilen değerlerin ortalaması olarak ifade edilir.</w:t>
            </w:r>
          </w:p>
          <w:p w14:paraId="48E40D51" w14:textId="57C42156" w:rsidR="00BB704F" w:rsidRPr="00F50C10" w:rsidRDefault="00BB704F" w:rsidP="000B206D">
            <w:pPr>
              <w:numPr>
                <w:ilvl w:val="0"/>
                <w:numId w:val="14"/>
              </w:numPr>
              <w:tabs>
                <w:tab w:val="left" w:pos="341"/>
              </w:tabs>
              <w:spacing w:line="276" w:lineRule="auto"/>
              <w:ind w:left="108" w:right="88" w:firstLine="0"/>
              <w:jc w:val="left"/>
              <w:rPr>
                <w:rFonts w:eastAsia="Times New Roman" w:cs="Times New Roman"/>
                <w:i/>
                <w:iCs/>
                <w:szCs w:val="24"/>
                <w:lang w:val="tr-TR"/>
              </w:rPr>
            </w:pPr>
            <w:r w:rsidRPr="00F50C10">
              <w:rPr>
                <w:rFonts w:eastAsia="Times New Roman" w:cs="Times New Roman"/>
                <w:i/>
                <w:iCs/>
                <w:szCs w:val="24"/>
                <w:lang w:val="tr-TR" w:bidi="tr-TR"/>
              </w:rPr>
              <w:t>Emisyonda önemli miktarda metan içeriği olması durumunda</w:t>
            </w:r>
            <w:r w:rsidR="00802086" w:rsidRPr="00F50C10">
              <w:rPr>
                <w:rFonts w:eastAsia="Times New Roman" w:cs="Times New Roman"/>
                <w:i/>
                <w:iCs/>
                <w:szCs w:val="24"/>
                <w:lang w:val="tr-TR" w:bidi="tr-TR"/>
              </w:rPr>
              <w:t xml:space="preserve"> </w:t>
            </w:r>
            <w:r w:rsidRPr="00F50C10">
              <w:rPr>
                <w:rFonts w:eastAsia="Times New Roman" w:cs="Times New Roman"/>
                <w:i/>
                <w:iCs/>
                <w:szCs w:val="24"/>
                <w:lang w:val="tr-TR" w:bidi="tr-TR"/>
              </w:rPr>
              <w:t xml:space="preserve"> EN ISO 25140 veya EN ISO 25139'a göre izlenen metan, sonuçtan çıkarılır.</w:t>
            </w:r>
          </w:p>
          <w:p w14:paraId="6FDFBCEE" w14:textId="77777777" w:rsidR="00BB704F" w:rsidRPr="00F50C10" w:rsidRDefault="00BB704F" w:rsidP="000B206D">
            <w:pPr>
              <w:numPr>
                <w:ilvl w:val="0"/>
                <w:numId w:val="14"/>
              </w:numPr>
              <w:tabs>
                <w:tab w:val="left" w:pos="334"/>
              </w:tabs>
              <w:spacing w:line="276" w:lineRule="auto"/>
              <w:jc w:val="left"/>
              <w:rPr>
                <w:rFonts w:eastAsia="Times New Roman" w:cs="Times New Roman"/>
                <w:i/>
                <w:iCs/>
                <w:szCs w:val="24"/>
                <w:lang w:val="tr-TR"/>
              </w:rPr>
            </w:pPr>
            <w:r w:rsidRPr="00F50C10">
              <w:rPr>
                <w:rFonts w:eastAsia="Times New Roman" w:cs="Times New Roman"/>
                <w:i/>
                <w:iCs/>
                <w:szCs w:val="24"/>
                <w:lang w:val="tr-TR" w:bidi="tr-TR"/>
              </w:rPr>
              <w:t>Üretilen EO, satış için ve ara ürün olarak üretilen EO'nun toplamı olarak tanımlanır.</w:t>
            </w:r>
          </w:p>
        </w:tc>
      </w:tr>
    </w:tbl>
    <w:p w14:paraId="5B87ACEB" w14:textId="77777777"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szCs w:val="24"/>
          <w:lang w:val="tr-TR"/>
        </w:rPr>
        <w:t>İlgili izleme MET 2 kapsamındadır.</w:t>
      </w:r>
    </w:p>
    <w:p w14:paraId="7F01A1E3" w14:textId="167A5E16"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b/>
          <w:bCs/>
          <w:szCs w:val="24"/>
          <w:lang w:val="tr-TR"/>
        </w:rPr>
        <w:t xml:space="preserve">MET 52: </w:t>
      </w:r>
      <w:r w:rsidRPr="00F50C10">
        <w:rPr>
          <w:rFonts w:eastAsia="Times New Roman" w:cs="Times New Roman"/>
          <w:szCs w:val="24"/>
          <w:lang w:val="tr-TR"/>
        </w:rPr>
        <w:t xml:space="preserve">EO emisyonlarını azaltmak için, EO içeren atık gaz akışlarında </w:t>
      </w:r>
      <w:r w:rsidR="00B16387" w:rsidRPr="00F50C10">
        <w:rPr>
          <w:rFonts w:eastAsia="Times New Roman" w:cs="Times New Roman"/>
          <w:szCs w:val="24"/>
          <w:lang w:val="tr-TR"/>
        </w:rPr>
        <w:t>ıslak yıkama</w:t>
      </w:r>
      <w:r w:rsidRPr="00F50C10">
        <w:rPr>
          <w:rFonts w:eastAsia="Times New Roman" w:cs="Times New Roman"/>
          <w:szCs w:val="24"/>
          <w:lang w:val="tr-TR"/>
        </w:rPr>
        <w:t xml:space="preserve"> kulla</w:t>
      </w:r>
      <w:r w:rsidR="005323EF" w:rsidRPr="00F50C10">
        <w:rPr>
          <w:rFonts w:eastAsia="Times New Roman" w:cs="Times New Roman"/>
          <w:szCs w:val="24"/>
          <w:lang w:val="tr-TR"/>
        </w:rPr>
        <w:t>nıl</w:t>
      </w:r>
      <w:r w:rsidRPr="00F50C10">
        <w:rPr>
          <w:rFonts w:eastAsia="Times New Roman" w:cs="Times New Roman"/>
          <w:szCs w:val="24"/>
          <w:lang w:val="tr-TR"/>
        </w:rPr>
        <w:t>ır.</w:t>
      </w:r>
    </w:p>
    <w:p w14:paraId="2E00A17D" w14:textId="7390F9B3" w:rsidR="0005344C" w:rsidRPr="00F50C10" w:rsidRDefault="0005344C" w:rsidP="000B206D">
      <w:pPr>
        <w:spacing w:line="276" w:lineRule="auto"/>
        <w:rPr>
          <w:rFonts w:cs="Times New Roman"/>
          <w:szCs w:val="24"/>
          <w:lang w:bidi="tr-TR"/>
        </w:rPr>
      </w:pPr>
      <w:r w:rsidRPr="00F50C10">
        <w:rPr>
          <w:rFonts w:cs="Times New Roman"/>
          <w:szCs w:val="24"/>
          <w:lang w:bidi="tr-TR"/>
        </w:rPr>
        <w:t>Islak yıkamanın açıklaması için “</w:t>
      </w:r>
      <w:r w:rsidRPr="00F50C10">
        <w:rPr>
          <w:rFonts w:cs="Times New Roman"/>
          <w:szCs w:val="24"/>
        </w:rPr>
        <w:t>12.1:</w:t>
      </w:r>
      <w:hyperlink w:anchor="_bookmark800" w:history="1">
        <w:r w:rsidRPr="00F50C10">
          <w:rPr>
            <w:rFonts w:cs="Times New Roman"/>
            <w:szCs w:val="24"/>
            <w:lang w:bidi="tr-TR"/>
          </w:rPr>
          <w:t xml:space="preserve"> </w:t>
        </w:r>
      </w:hyperlink>
      <w:r w:rsidRPr="00F50C10">
        <w:rPr>
          <w:rFonts w:cs="Times New Roman"/>
          <w:szCs w:val="24"/>
          <w:lang w:bidi="tr-TR"/>
        </w:rPr>
        <w:t>EO'nun organik bileşiklerin doğrudan salınımından veya daha fazla azaltılmasından önce atık gaz akışlarından uzaklaştırılması için su ile yıkama” kısmına bakınız.</w:t>
      </w:r>
    </w:p>
    <w:p w14:paraId="01556570" w14:textId="73BF948A" w:rsidR="00BB704F" w:rsidRPr="00F50C10" w:rsidRDefault="00BB704F" w:rsidP="000B206D">
      <w:pPr>
        <w:widowControl w:val="0"/>
        <w:autoSpaceDE w:val="0"/>
        <w:autoSpaceDN w:val="0"/>
        <w:spacing w:before="240" w:line="276" w:lineRule="auto"/>
        <w:rPr>
          <w:rFonts w:eastAsia="Times New Roman" w:cs="Times New Roman"/>
          <w:b/>
          <w:bCs/>
          <w:szCs w:val="24"/>
          <w:lang w:val="nl-NL" w:bidi="tr-TR"/>
        </w:rPr>
      </w:pPr>
      <w:r w:rsidRPr="00F50C10">
        <w:rPr>
          <w:rFonts w:eastAsia="Times New Roman" w:cs="Times New Roman"/>
          <w:b/>
          <w:bCs/>
          <w:szCs w:val="24"/>
          <w:lang w:val="nl-NL" w:bidi="tr-TR"/>
        </w:rPr>
        <w:t>MET 53: EO geri kazanım ünitesindeki EO absorbanının soğutulmasından havaya organik bileşik emisyonlarını önlemek veya azaltmak için</w:t>
      </w:r>
      <w:r w:rsidR="0005344C" w:rsidRPr="00F50C10">
        <w:rPr>
          <w:rFonts w:eastAsia="Times New Roman" w:cs="Times New Roman"/>
          <w:b/>
          <w:bCs/>
          <w:szCs w:val="24"/>
          <w:lang w:val="nl-NL" w:bidi="tr-TR"/>
        </w:rPr>
        <w:t xml:space="preserve">, </w:t>
      </w:r>
      <w:r w:rsidRPr="00F50C10">
        <w:rPr>
          <w:rFonts w:eastAsia="Times New Roman" w:cs="Times New Roman"/>
          <w:b/>
          <w:bCs/>
          <w:szCs w:val="24"/>
          <w:lang w:val="nl-NL" w:bidi="tr-TR"/>
        </w:rPr>
        <w:t xml:space="preserve">aşağıda verilen tekniklerden biri </w:t>
      </w:r>
      <w:r w:rsidR="0005344C" w:rsidRPr="00F50C10">
        <w:rPr>
          <w:rFonts w:eastAsia="Times New Roman" w:cs="Times New Roman"/>
          <w:b/>
          <w:bCs/>
          <w:szCs w:val="24"/>
          <w:lang w:val="nl-NL" w:bidi="tr-TR"/>
        </w:rPr>
        <w:t>kullanılır.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733"/>
        <w:gridCol w:w="3300"/>
        <w:gridCol w:w="2119"/>
      </w:tblGrid>
      <w:tr w:rsidR="00BB704F" w:rsidRPr="00F50C10" w14:paraId="749BF66F" w14:textId="77777777" w:rsidTr="00BB704F">
        <w:trPr>
          <w:trHeight w:val="321"/>
          <w:tblHeader/>
        </w:trPr>
        <w:tc>
          <w:tcPr>
            <w:tcW w:w="187" w:type="pct"/>
            <w:vAlign w:val="center"/>
          </w:tcPr>
          <w:p w14:paraId="44213748" w14:textId="77777777" w:rsidR="00BB704F" w:rsidRPr="00F50C10" w:rsidRDefault="00BB704F" w:rsidP="000B206D">
            <w:pPr>
              <w:spacing w:line="276" w:lineRule="auto"/>
              <w:ind w:left="108" w:right="108"/>
              <w:jc w:val="center"/>
              <w:rPr>
                <w:rFonts w:eastAsia="Times New Roman" w:cs="Times New Roman"/>
                <w:szCs w:val="24"/>
                <w:lang w:val="tr-TR"/>
              </w:rPr>
            </w:pPr>
          </w:p>
        </w:tc>
        <w:tc>
          <w:tcPr>
            <w:tcW w:w="1628" w:type="pct"/>
            <w:vAlign w:val="center"/>
          </w:tcPr>
          <w:p w14:paraId="49528FF8" w14:textId="77777777" w:rsidR="00BB704F" w:rsidRPr="00F50C10" w:rsidRDefault="00BB704F" w:rsidP="000B206D">
            <w:pPr>
              <w:spacing w:before="43"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1961" w:type="pct"/>
            <w:vAlign w:val="center"/>
          </w:tcPr>
          <w:p w14:paraId="7F6A0145" w14:textId="77777777" w:rsidR="00BB704F" w:rsidRPr="00F50C10" w:rsidRDefault="00BB704F" w:rsidP="000B206D">
            <w:pPr>
              <w:spacing w:before="43"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24" w:type="pct"/>
            <w:vAlign w:val="center"/>
          </w:tcPr>
          <w:p w14:paraId="20BFAEA7" w14:textId="77777777" w:rsidR="00BB704F" w:rsidRPr="00F50C10" w:rsidRDefault="00BB704F" w:rsidP="000B206D">
            <w:pPr>
              <w:spacing w:before="43"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3C6107CE" w14:textId="77777777" w:rsidTr="00BB704F">
        <w:trPr>
          <w:trHeight w:val="690"/>
        </w:trPr>
        <w:tc>
          <w:tcPr>
            <w:tcW w:w="187" w:type="pct"/>
            <w:vAlign w:val="center"/>
          </w:tcPr>
          <w:p w14:paraId="1E4A024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628" w:type="pct"/>
            <w:vAlign w:val="center"/>
          </w:tcPr>
          <w:p w14:paraId="184529E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Dolaylı soğutma</w:t>
            </w:r>
          </w:p>
        </w:tc>
        <w:tc>
          <w:tcPr>
            <w:tcW w:w="1961" w:type="pct"/>
            <w:vAlign w:val="center"/>
          </w:tcPr>
          <w:p w14:paraId="3064E519"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Açık soğutma sistemleri yerine dolaylı soğutma sistemlerini (ısı eşanjörlü) kullanın</w:t>
            </w:r>
          </w:p>
        </w:tc>
        <w:tc>
          <w:tcPr>
            <w:tcW w:w="1224" w:type="pct"/>
            <w:vAlign w:val="center"/>
          </w:tcPr>
          <w:p w14:paraId="29B5BEAF" w14:textId="77777777" w:rsidR="00BB704F" w:rsidRPr="00F50C10" w:rsidRDefault="00BB704F" w:rsidP="000B206D">
            <w:pPr>
              <w:tabs>
                <w:tab w:val="left" w:pos="734"/>
                <w:tab w:val="left" w:pos="1784"/>
              </w:tabs>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Yalnızca yeni tesisler veya büyük tesis yükseltmeleri için geçerlidir.</w:t>
            </w:r>
          </w:p>
        </w:tc>
      </w:tr>
      <w:tr w:rsidR="00BB704F" w:rsidRPr="00F50C10" w14:paraId="2C92DFB5" w14:textId="77777777" w:rsidTr="00BB704F">
        <w:trPr>
          <w:trHeight w:val="1610"/>
        </w:trPr>
        <w:tc>
          <w:tcPr>
            <w:tcW w:w="187" w:type="pct"/>
            <w:vAlign w:val="center"/>
          </w:tcPr>
          <w:p w14:paraId="7175479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628" w:type="pct"/>
            <w:vAlign w:val="center"/>
          </w:tcPr>
          <w:p w14:paraId="3B478EC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EO'nun sıyırma yoluyla tamamen giderilmesi</w:t>
            </w:r>
          </w:p>
        </w:tc>
        <w:tc>
          <w:tcPr>
            <w:tcW w:w="1961" w:type="pct"/>
            <w:vAlign w:val="center"/>
          </w:tcPr>
          <w:p w14:paraId="433DEB2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Tüm EO'nun sıyrıldığından emin olmak için uygun çalışma koşullarını koruyun ve EO sıyırma işleminin çevrimiçi izlemesini kullanın; ve yeterli koruma sistemleri sağlayın normal çalışma koşulları dışında EO emisyonlarından kaçınmak için</w:t>
            </w:r>
          </w:p>
          <w:p w14:paraId="3973C044"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Uygun çalışma koşullarını sürdürün ve tüm EO'nun çıkarıldığından emin olmak için EO sıyırıcı çalışmasının çevrimiçi izlenmesini kullanın; ve normal çalışma koşulları dışındaki durumlarda EO emisyonlarını önlemek için yeterli koruma sistemi sağlayın</w:t>
            </w:r>
          </w:p>
        </w:tc>
        <w:tc>
          <w:tcPr>
            <w:tcW w:w="1224" w:type="pct"/>
            <w:vAlign w:val="center"/>
          </w:tcPr>
          <w:p w14:paraId="28A3BCE8" w14:textId="77777777" w:rsidR="00BB704F" w:rsidRPr="00F50C10" w:rsidRDefault="00BB704F" w:rsidP="000B206D">
            <w:pPr>
              <w:spacing w:line="276" w:lineRule="auto"/>
              <w:ind w:left="108" w:right="108"/>
              <w:rPr>
                <w:rFonts w:eastAsia="Times New Roman" w:cs="Times New Roman"/>
                <w:b/>
                <w:bCs/>
                <w:szCs w:val="24"/>
                <w:lang w:val="tr-TR"/>
              </w:rPr>
            </w:pPr>
            <w:r w:rsidRPr="00F50C10">
              <w:rPr>
                <w:rFonts w:eastAsia="Times New Roman" w:cs="Times New Roman"/>
                <w:szCs w:val="24"/>
                <w:lang w:val="tr-TR" w:bidi="tr-TR"/>
              </w:rPr>
              <w:t>Yalnızca teknik a uygulanamadığında uygulanabilir.</w:t>
            </w:r>
          </w:p>
        </w:tc>
      </w:tr>
    </w:tbl>
    <w:p w14:paraId="33ECC36A"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41" w:name="_Toc136613726"/>
      <w:r w:rsidRPr="00F50C10">
        <w:rPr>
          <w:rFonts w:eastAsia="Times New Roman" w:cs="Times New Roman"/>
          <w:b/>
          <w:szCs w:val="24"/>
          <w:lang w:val="tr-TR"/>
        </w:rPr>
        <w:t>Suya Deşarjlar</w:t>
      </w:r>
      <w:bookmarkEnd w:id="41"/>
    </w:p>
    <w:p w14:paraId="1D117A06" w14:textId="0C3749CE" w:rsidR="00BB704F" w:rsidRPr="00F50C10" w:rsidRDefault="00BB704F" w:rsidP="000B206D">
      <w:pPr>
        <w:widowControl w:val="0"/>
        <w:autoSpaceDE w:val="0"/>
        <w:autoSpaceDN w:val="0"/>
        <w:spacing w:before="240" w:line="276" w:lineRule="auto"/>
        <w:rPr>
          <w:rFonts w:eastAsia="Times New Roman" w:cs="Times New Roman"/>
          <w:szCs w:val="24"/>
          <w:lang w:val="nl-NL" w:bidi="tr-TR"/>
        </w:rPr>
      </w:pPr>
      <w:r w:rsidRPr="00F50C10">
        <w:rPr>
          <w:rFonts w:eastAsia="Times New Roman" w:cs="Times New Roman"/>
          <w:b/>
          <w:bCs/>
          <w:szCs w:val="24"/>
          <w:lang w:val="nl-NL" w:bidi="tr-TR"/>
        </w:rPr>
        <w:t xml:space="preserve">MET 54: </w:t>
      </w:r>
      <w:r w:rsidRPr="00F50C10">
        <w:rPr>
          <w:rFonts w:eastAsia="Times New Roman" w:cs="Times New Roman"/>
          <w:szCs w:val="24"/>
          <w:lang w:val="nl-NL" w:bidi="tr-TR"/>
        </w:rPr>
        <w:t>Atık su hacmini azaltmak ve ürün saflaştırmadan nihai atık su arıtımına boşaltılan organik yükü azaltmak için, aşağıda verilen tekniklerden biri veya her ikisi kullanı</w:t>
      </w:r>
      <w:r w:rsidR="00802086" w:rsidRPr="00F50C10">
        <w:rPr>
          <w:rFonts w:eastAsia="Times New Roman" w:cs="Times New Roman"/>
          <w:szCs w:val="24"/>
          <w:lang w:val="nl-NL" w:bidi="tr-TR"/>
        </w:rPr>
        <w:t>lı</w:t>
      </w:r>
      <w:r w:rsidRPr="00F50C10">
        <w:rPr>
          <w:rFonts w:eastAsia="Times New Roman" w:cs="Times New Roman"/>
          <w:szCs w:val="24"/>
          <w:lang w:val="nl-NL" w:bidi="tr-TR"/>
        </w:rPr>
        <w:t>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077"/>
        <w:gridCol w:w="3972"/>
        <w:gridCol w:w="2103"/>
      </w:tblGrid>
      <w:tr w:rsidR="00BB704F" w:rsidRPr="00F50C10" w14:paraId="57506405" w14:textId="77777777" w:rsidTr="00BB704F">
        <w:trPr>
          <w:trHeight w:val="251"/>
          <w:tblHeader/>
        </w:trPr>
        <w:tc>
          <w:tcPr>
            <w:tcW w:w="144" w:type="pct"/>
          </w:tcPr>
          <w:p w14:paraId="4282FAB7" w14:textId="77777777" w:rsidR="00BB704F" w:rsidRPr="00F50C10" w:rsidRDefault="00BB704F" w:rsidP="000B206D">
            <w:pPr>
              <w:spacing w:line="276" w:lineRule="auto"/>
              <w:ind w:left="108" w:right="108"/>
              <w:jc w:val="left"/>
              <w:rPr>
                <w:rFonts w:eastAsia="Times New Roman" w:cs="Times New Roman"/>
                <w:szCs w:val="24"/>
                <w:lang w:val="tr-TR"/>
              </w:rPr>
            </w:pPr>
          </w:p>
        </w:tc>
        <w:tc>
          <w:tcPr>
            <w:tcW w:w="1242" w:type="pct"/>
          </w:tcPr>
          <w:p w14:paraId="35D923B6"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2357" w:type="pct"/>
          </w:tcPr>
          <w:p w14:paraId="663BBFCD"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57" w:type="pct"/>
          </w:tcPr>
          <w:p w14:paraId="1D3A0EA4"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51C59122" w14:textId="77777777" w:rsidTr="00BB704F">
        <w:trPr>
          <w:trHeight w:val="1379"/>
        </w:trPr>
        <w:tc>
          <w:tcPr>
            <w:tcW w:w="144" w:type="pct"/>
            <w:vAlign w:val="center"/>
          </w:tcPr>
          <w:p w14:paraId="421A07B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242" w:type="pct"/>
            <w:vAlign w:val="center"/>
          </w:tcPr>
          <w:p w14:paraId="7BA76AB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EO tesisinden çıkan tasfiyenin EG tesisinde kullanılması</w:t>
            </w:r>
          </w:p>
        </w:tc>
        <w:tc>
          <w:tcPr>
            <w:tcW w:w="2357" w:type="pct"/>
            <w:vAlign w:val="center"/>
          </w:tcPr>
          <w:p w14:paraId="60B51FB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EO tesisinden gelen temizleme akışları EG işlemine gönderilir ve atık su olarak deşarj edilmez. Tasfiyenin EG işleminde ne ölçüde yeniden kullanılabileceği, EG ürün kalitesi değerlendirmelerine bağlıdır.</w:t>
            </w:r>
          </w:p>
        </w:tc>
        <w:tc>
          <w:tcPr>
            <w:tcW w:w="1257" w:type="pct"/>
            <w:vAlign w:val="center"/>
          </w:tcPr>
          <w:p w14:paraId="1F8F2685" w14:textId="77777777" w:rsidR="00BB704F" w:rsidRPr="00F50C10" w:rsidRDefault="00BB704F" w:rsidP="000B206D">
            <w:pPr>
              <w:spacing w:line="276" w:lineRule="auto"/>
              <w:ind w:left="108" w:right="108"/>
              <w:rPr>
                <w:rFonts w:eastAsia="Times New Roman" w:cs="Times New Roman"/>
                <w:b/>
                <w:bCs/>
                <w:szCs w:val="24"/>
                <w:lang w:val="tr-TR"/>
              </w:rPr>
            </w:pPr>
            <w:r w:rsidRPr="00F50C10">
              <w:rPr>
                <w:rFonts w:eastAsia="Times New Roman" w:cs="Times New Roman"/>
                <w:szCs w:val="24"/>
                <w:lang w:val="tr-TR" w:bidi="tr-TR"/>
              </w:rPr>
              <w:t>Genel olarak uygulanabilir.</w:t>
            </w:r>
          </w:p>
        </w:tc>
      </w:tr>
      <w:tr w:rsidR="00BB704F" w:rsidRPr="00F50C10" w14:paraId="6FF9D54D" w14:textId="77777777" w:rsidTr="00BB704F">
        <w:trPr>
          <w:trHeight w:val="2301"/>
        </w:trPr>
        <w:tc>
          <w:tcPr>
            <w:tcW w:w="144" w:type="pct"/>
            <w:vAlign w:val="center"/>
          </w:tcPr>
          <w:p w14:paraId="235DB6D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242" w:type="pct"/>
            <w:vAlign w:val="center"/>
          </w:tcPr>
          <w:p w14:paraId="5D3D439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Damıtma</w:t>
            </w:r>
          </w:p>
        </w:tc>
        <w:tc>
          <w:tcPr>
            <w:tcW w:w="2357" w:type="pct"/>
            <w:vAlign w:val="center"/>
          </w:tcPr>
          <w:p w14:paraId="12576CCD" w14:textId="1151F7AF"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 xml:space="preserve">Damıtma, farklı kaynama noktalarına sahip bileşikleri kısmi buharlaştırma ve yeniden </w:t>
            </w:r>
            <w:r w:rsidR="00B160B5" w:rsidRPr="00F50C10">
              <w:rPr>
                <w:rFonts w:eastAsia="Times New Roman" w:cs="Times New Roman"/>
                <w:szCs w:val="24"/>
                <w:lang w:val="tr-TR"/>
              </w:rPr>
              <w:t>yoğuşturma</w:t>
            </w:r>
            <w:r w:rsidRPr="00F50C10">
              <w:rPr>
                <w:rFonts w:eastAsia="Times New Roman" w:cs="Times New Roman"/>
                <w:szCs w:val="24"/>
                <w:lang w:val="tr-TR"/>
              </w:rPr>
              <w:t xml:space="preserve"> yoluyla ayırmak için kullanılan bir tekniktir. Teknik, EO ve EG tesislerinde, glikolleri geri kazanmak veya bunların bertarafını sağlamak (örneğin, atık su olarak deşarjları yerine yakma yoluyla) ve suyun kısmi yeniden kullanımını/geri dönüşümünü sağlamak için sulu akımları konsantre etmek için kullanılır.</w:t>
            </w:r>
          </w:p>
        </w:tc>
        <w:tc>
          <w:tcPr>
            <w:tcW w:w="1257" w:type="pct"/>
            <w:vAlign w:val="center"/>
          </w:tcPr>
          <w:p w14:paraId="3EF59FA2" w14:textId="77777777" w:rsidR="00BB704F" w:rsidRPr="00F50C10" w:rsidRDefault="00BB704F" w:rsidP="000B206D">
            <w:pPr>
              <w:spacing w:line="276" w:lineRule="auto"/>
              <w:ind w:left="108" w:right="108"/>
              <w:rPr>
                <w:rFonts w:eastAsia="Times New Roman" w:cs="Times New Roman"/>
                <w:b/>
                <w:bCs/>
                <w:szCs w:val="24"/>
                <w:lang w:val="tr-TR"/>
              </w:rPr>
            </w:pPr>
            <w:r w:rsidRPr="00F50C10">
              <w:rPr>
                <w:rFonts w:eastAsia="Times New Roman" w:cs="Times New Roman"/>
                <w:szCs w:val="24"/>
                <w:lang w:val="tr-TR" w:bidi="tr-TR"/>
              </w:rPr>
              <w:t>Yalnızca yeni tesisler veya geniş çaplı tesis yenilemeleri için geçerlidir.</w:t>
            </w:r>
          </w:p>
        </w:tc>
      </w:tr>
    </w:tbl>
    <w:p w14:paraId="5F6194FD"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42" w:name="_Toc136613727"/>
      <w:r w:rsidRPr="00F50C10">
        <w:rPr>
          <w:rFonts w:eastAsia="Times New Roman" w:cs="Times New Roman"/>
          <w:b/>
          <w:szCs w:val="24"/>
          <w:lang w:val="tr-TR"/>
        </w:rPr>
        <w:t>Kalıntılar</w:t>
      </w:r>
      <w:bookmarkEnd w:id="42"/>
    </w:p>
    <w:p w14:paraId="3D9D8EDE" w14:textId="3BAF5B04" w:rsidR="00BB704F" w:rsidRPr="00F50C10" w:rsidRDefault="00BB704F" w:rsidP="000B206D">
      <w:pPr>
        <w:widowControl w:val="0"/>
        <w:autoSpaceDE w:val="0"/>
        <w:autoSpaceDN w:val="0"/>
        <w:spacing w:before="240" w:line="276" w:lineRule="auto"/>
        <w:rPr>
          <w:rFonts w:eastAsia="Times New Roman" w:cs="Times New Roman"/>
          <w:szCs w:val="24"/>
          <w:lang w:val="nl-NL" w:bidi="tr-TR"/>
        </w:rPr>
      </w:pPr>
      <w:r w:rsidRPr="00F50C10">
        <w:rPr>
          <w:rFonts w:eastAsia="Times New Roman" w:cs="Times New Roman"/>
          <w:b/>
          <w:bCs/>
          <w:szCs w:val="24"/>
          <w:lang w:val="nl-NL" w:bidi="tr-TR"/>
        </w:rPr>
        <w:t xml:space="preserve">MET 55: </w:t>
      </w:r>
      <w:r w:rsidRPr="00F50C10">
        <w:rPr>
          <w:rFonts w:eastAsia="Times New Roman" w:cs="Times New Roman"/>
          <w:szCs w:val="24"/>
          <w:lang w:val="nl-NL" w:bidi="tr-TR"/>
        </w:rPr>
        <w:t>EO ve EG fabrikasından bertaraf edilmek üzere gönderilen organik atık miktarını azaltmak için, aşağıda verilen tekniklerin bir kombinasyon</w:t>
      </w:r>
      <w:r w:rsidR="00802086" w:rsidRPr="00F50C10">
        <w:rPr>
          <w:rFonts w:eastAsia="Times New Roman" w:cs="Times New Roman"/>
          <w:szCs w:val="24"/>
          <w:lang w:val="nl-NL" w:bidi="tr-TR"/>
        </w:rPr>
        <w:t>u</w:t>
      </w:r>
      <w:r w:rsidRPr="00F50C10">
        <w:rPr>
          <w:rFonts w:eastAsia="Times New Roman" w:cs="Times New Roman"/>
          <w:szCs w:val="24"/>
          <w:lang w:val="nl-NL" w:bidi="tr-TR"/>
        </w:rPr>
        <w:t xml:space="preserve"> kullan</w:t>
      </w:r>
      <w:r w:rsidR="00802086" w:rsidRPr="00F50C10">
        <w:rPr>
          <w:rFonts w:eastAsia="Times New Roman" w:cs="Times New Roman"/>
          <w:szCs w:val="24"/>
          <w:lang w:val="nl-NL" w:bidi="tr-TR"/>
        </w:rPr>
        <w:t>ılı</w:t>
      </w:r>
      <w:r w:rsidRPr="00F50C10">
        <w:rPr>
          <w:rFonts w:eastAsia="Times New Roman" w:cs="Times New Roman"/>
          <w:szCs w:val="24"/>
          <w:lang w:val="nl-NL" w:bidi="tr-TR"/>
        </w:rPr>
        <w:t>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580"/>
        <w:gridCol w:w="3470"/>
        <w:gridCol w:w="2102"/>
      </w:tblGrid>
      <w:tr w:rsidR="00BB704F" w:rsidRPr="00F50C10" w14:paraId="7A5955BC" w14:textId="77777777" w:rsidTr="00BB704F">
        <w:trPr>
          <w:trHeight w:val="230"/>
          <w:tblHeader/>
        </w:trPr>
        <w:tc>
          <w:tcPr>
            <w:tcW w:w="151" w:type="pct"/>
            <w:tcBorders>
              <w:top w:val="single" w:sz="4" w:space="0" w:color="auto"/>
            </w:tcBorders>
            <w:vAlign w:val="center"/>
          </w:tcPr>
          <w:p w14:paraId="607EB622" w14:textId="77777777" w:rsidR="00BB704F" w:rsidRPr="00F50C10" w:rsidRDefault="00BB704F" w:rsidP="000B206D">
            <w:pPr>
              <w:spacing w:line="276" w:lineRule="auto"/>
              <w:ind w:right="108"/>
              <w:jc w:val="center"/>
              <w:rPr>
                <w:rFonts w:eastAsia="Times New Roman" w:cs="Times New Roman"/>
                <w:b/>
                <w:szCs w:val="24"/>
                <w:lang w:val="tr-TR"/>
              </w:rPr>
            </w:pPr>
          </w:p>
        </w:tc>
        <w:tc>
          <w:tcPr>
            <w:tcW w:w="1536" w:type="pct"/>
            <w:tcBorders>
              <w:top w:val="single" w:sz="4" w:space="0" w:color="auto"/>
            </w:tcBorders>
            <w:vAlign w:val="center"/>
          </w:tcPr>
          <w:p w14:paraId="781E2E3C" w14:textId="77777777" w:rsidR="00BB704F" w:rsidRPr="00F50C10" w:rsidRDefault="00BB704F" w:rsidP="000B206D">
            <w:pPr>
              <w:spacing w:line="276" w:lineRule="auto"/>
              <w:ind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2059" w:type="pct"/>
            <w:vAlign w:val="center"/>
          </w:tcPr>
          <w:p w14:paraId="38E0A59D"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54" w:type="pct"/>
            <w:vAlign w:val="center"/>
          </w:tcPr>
          <w:p w14:paraId="1D3E4E94"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0E8A6789" w14:textId="77777777" w:rsidTr="00BB704F">
        <w:trPr>
          <w:trHeight w:val="1610"/>
        </w:trPr>
        <w:tc>
          <w:tcPr>
            <w:tcW w:w="151" w:type="pct"/>
            <w:vAlign w:val="center"/>
          </w:tcPr>
          <w:p w14:paraId="503B028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536" w:type="pct"/>
            <w:vAlign w:val="center"/>
          </w:tcPr>
          <w:p w14:paraId="02DE0C2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Hidroliz reaksiyonunun optimizasyonu</w:t>
            </w:r>
          </w:p>
        </w:tc>
        <w:tc>
          <w:tcPr>
            <w:tcW w:w="2059" w:type="pct"/>
            <w:vAlign w:val="center"/>
          </w:tcPr>
          <w:p w14:paraId="1B84223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Daha ağır glikollerin daha düşük ortak üretimine ulaşmak ve glikollerin susuzlaştırılması için aşırı enerji talebinden kaçınmak için suyun EO oranının optimizasyonu. Optimum oran, di- ve trietilen glikollerin hedef çıktısına bağlıdır.</w:t>
            </w:r>
          </w:p>
        </w:tc>
        <w:tc>
          <w:tcPr>
            <w:tcW w:w="1254" w:type="pct"/>
            <w:vAlign w:val="center"/>
          </w:tcPr>
          <w:p w14:paraId="37212B6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3C6E1D89" w14:textId="77777777" w:rsidTr="00BB704F">
        <w:trPr>
          <w:trHeight w:val="1149"/>
        </w:trPr>
        <w:tc>
          <w:tcPr>
            <w:tcW w:w="151" w:type="pct"/>
            <w:vAlign w:val="center"/>
          </w:tcPr>
          <w:p w14:paraId="6EB29BD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536" w:type="pct"/>
            <w:vAlign w:val="center"/>
          </w:tcPr>
          <w:p w14:paraId="55110289" w14:textId="77777777" w:rsidR="00BB704F" w:rsidRPr="00F50C10" w:rsidRDefault="00BB704F" w:rsidP="000B206D">
            <w:pPr>
              <w:spacing w:before="5" w:line="276" w:lineRule="auto"/>
              <w:ind w:left="108" w:right="108"/>
              <w:rPr>
                <w:rFonts w:eastAsia="Times New Roman" w:cs="Times New Roman"/>
                <w:b/>
                <w:szCs w:val="24"/>
                <w:lang w:val="tr-TR"/>
              </w:rPr>
            </w:pPr>
          </w:p>
          <w:p w14:paraId="089B189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EO tesislerindeki yan ürünlerin kullanılmak üzere ayrılması</w:t>
            </w:r>
          </w:p>
        </w:tc>
        <w:tc>
          <w:tcPr>
            <w:tcW w:w="2059" w:type="pct"/>
            <w:vAlign w:val="center"/>
          </w:tcPr>
          <w:p w14:paraId="410C068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EO tesisleri için, EO geri kazanımından sıvı çıkış suyunun susuzlaştırılmasından sonra elde edilen konsantre organik fraksiyon, değerli kısa zincirli glikoller ve daha ağır bir tortu verecek şekilde damıtılır.</w:t>
            </w:r>
          </w:p>
        </w:tc>
        <w:tc>
          <w:tcPr>
            <w:tcW w:w="1254" w:type="pct"/>
            <w:vAlign w:val="center"/>
          </w:tcPr>
          <w:p w14:paraId="0562DAB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yeni tesisler veya geniş çaplı tesis yenilemeleri için geçerlidir.</w:t>
            </w:r>
          </w:p>
        </w:tc>
      </w:tr>
      <w:tr w:rsidR="00BB704F" w:rsidRPr="00F50C10" w14:paraId="009B7CE9" w14:textId="77777777" w:rsidTr="00BB704F">
        <w:trPr>
          <w:trHeight w:val="921"/>
        </w:trPr>
        <w:tc>
          <w:tcPr>
            <w:tcW w:w="151" w:type="pct"/>
            <w:vAlign w:val="center"/>
          </w:tcPr>
          <w:p w14:paraId="676FF64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536" w:type="pct"/>
            <w:vAlign w:val="center"/>
          </w:tcPr>
          <w:p w14:paraId="4D48A02B" w14:textId="77777777" w:rsidR="00BB704F" w:rsidRPr="00F50C10" w:rsidRDefault="00BB704F" w:rsidP="000B206D">
            <w:pPr>
              <w:spacing w:before="5" w:line="276" w:lineRule="auto"/>
              <w:ind w:left="108" w:right="108"/>
              <w:rPr>
                <w:rFonts w:eastAsia="Times New Roman" w:cs="Times New Roman"/>
                <w:b/>
                <w:szCs w:val="24"/>
                <w:lang w:val="tr-TR"/>
              </w:rPr>
            </w:pPr>
          </w:p>
          <w:p w14:paraId="7635744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EG tesislerindeki yan ürünlerin kullanılmak üzere ayrılması</w:t>
            </w:r>
          </w:p>
        </w:tc>
        <w:tc>
          <w:tcPr>
            <w:tcW w:w="2059" w:type="pct"/>
            <w:vAlign w:val="center"/>
          </w:tcPr>
          <w:p w14:paraId="7BBB904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EG bitkileri için, daha uzun zincirli glikol fraksiyonu ya olduğu gibi kullanılabilir ya da değerli glikoller elde etmek için daha fazla fraksiyonlanabilir.</w:t>
            </w:r>
          </w:p>
        </w:tc>
        <w:tc>
          <w:tcPr>
            <w:tcW w:w="1254" w:type="pct"/>
            <w:vAlign w:val="center"/>
          </w:tcPr>
          <w:p w14:paraId="659AD99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55585A19" w14:textId="17B25710" w:rsidR="00BB704F" w:rsidRPr="00F50C10" w:rsidRDefault="00BB704F" w:rsidP="00A654AE">
      <w:pPr>
        <w:widowControl w:val="0"/>
        <w:numPr>
          <w:ilvl w:val="0"/>
          <w:numId w:val="179"/>
        </w:numPr>
        <w:autoSpaceDE w:val="0"/>
        <w:autoSpaceDN w:val="0"/>
        <w:spacing w:before="240" w:line="276" w:lineRule="auto"/>
        <w:jc w:val="left"/>
        <w:outlineLvl w:val="0"/>
        <w:rPr>
          <w:rFonts w:eastAsia="Times New Roman" w:cs="Times New Roman"/>
          <w:b/>
          <w:bCs/>
          <w:szCs w:val="24"/>
          <w:lang w:val="tr-TR"/>
        </w:rPr>
      </w:pPr>
      <w:bookmarkStart w:id="43" w:name="_Toc136613728"/>
      <w:r w:rsidRPr="00F50C10">
        <w:rPr>
          <w:rFonts w:eastAsia="Times New Roman" w:cs="Times New Roman"/>
          <w:b/>
          <w:bCs/>
          <w:szCs w:val="24"/>
          <w:lang w:val="tr-TR"/>
        </w:rPr>
        <w:t xml:space="preserve">FENOL ÜRETİMİNE İLİŞKİN MET </w:t>
      </w:r>
      <w:bookmarkEnd w:id="43"/>
    </w:p>
    <w:p w14:paraId="398554AA" w14:textId="38A3075D" w:rsidR="00BB704F" w:rsidRPr="00F50C10" w:rsidRDefault="00BB704F" w:rsidP="000B206D">
      <w:pPr>
        <w:widowControl w:val="0"/>
        <w:autoSpaceDE w:val="0"/>
        <w:autoSpaceDN w:val="0"/>
        <w:spacing w:before="240" w:line="276" w:lineRule="auto"/>
        <w:rPr>
          <w:rFonts w:eastAsia="Times New Roman" w:cs="Times New Roman"/>
          <w:szCs w:val="24"/>
          <w:lang w:val="nl-NL" w:bidi="tr-TR"/>
        </w:rPr>
      </w:pPr>
      <w:r w:rsidRPr="00F50C10">
        <w:rPr>
          <w:rFonts w:eastAsia="Times New Roman" w:cs="Times New Roman"/>
          <w:szCs w:val="24"/>
          <w:lang w:val="nl-NL" w:bidi="tr-TR"/>
        </w:rPr>
        <w:t xml:space="preserve">Bu kısımdaki MET, kümenden fenol üretimi için ve </w:t>
      </w:r>
      <w:r w:rsidR="00492200" w:rsidRPr="00F50C10">
        <w:rPr>
          <w:rFonts w:eastAsia="Times New Roman" w:cs="Times New Roman"/>
          <w:szCs w:val="24"/>
          <w:lang w:val="nl-NL" w:bidi="tr-TR"/>
        </w:rPr>
        <w:t xml:space="preserve">Genel </w:t>
      </w:r>
      <w:r w:rsidRPr="00F50C10">
        <w:rPr>
          <w:rFonts w:eastAsia="Times New Roman" w:cs="Times New Roman"/>
          <w:szCs w:val="24"/>
          <w:lang w:val="nl-NL" w:bidi="tr-TR"/>
        </w:rPr>
        <w:t>MET</w:t>
      </w:r>
      <w:r w:rsidR="00492200" w:rsidRPr="00F50C10">
        <w:rPr>
          <w:rFonts w:eastAsia="Times New Roman" w:cs="Times New Roman"/>
          <w:szCs w:val="24"/>
          <w:lang w:val="nl-NL" w:bidi="tr-TR"/>
        </w:rPr>
        <w:t xml:space="preserve">’e </w:t>
      </w:r>
      <w:r w:rsidRPr="00F50C10">
        <w:rPr>
          <w:rFonts w:eastAsia="Times New Roman" w:cs="Times New Roman"/>
          <w:szCs w:val="24"/>
          <w:lang w:val="nl-NL" w:bidi="tr-TR"/>
        </w:rPr>
        <w:t>ek olarak geçerlidir.</w:t>
      </w:r>
    </w:p>
    <w:p w14:paraId="4B0DC098"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44" w:name="_Toc136613729"/>
      <w:r w:rsidRPr="00F50C10">
        <w:rPr>
          <w:rFonts w:eastAsia="Times New Roman" w:cs="Times New Roman"/>
          <w:b/>
          <w:szCs w:val="24"/>
          <w:lang w:val="tr-TR"/>
        </w:rPr>
        <w:t>Hava Emisyonları</w:t>
      </w:r>
      <w:bookmarkEnd w:id="44"/>
    </w:p>
    <w:p w14:paraId="69A261F4" w14:textId="471D4EC6" w:rsidR="00BB704F" w:rsidRPr="00F50C10" w:rsidRDefault="00BB704F" w:rsidP="000B206D">
      <w:pPr>
        <w:widowControl w:val="0"/>
        <w:autoSpaceDE w:val="0"/>
        <w:autoSpaceDN w:val="0"/>
        <w:spacing w:before="240" w:line="276" w:lineRule="auto"/>
        <w:rPr>
          <w:rFonts w:eastAsia="Times New Roman" w:cs="Times New Roman"/>
          <w:szCs w:val="24"/>
          <w:lang w:val="nl-NL" w:bidi="tr-TR"/>
        </w:rPr>
      </w:pPr>
      <w:r w:rsidRPr="00F50C10">
        <w:rPr>
          <w:rFonts w:eastAsia="Times New Roman" w:cs="Times New Roman"/>
          <w:b/>
          <w:bCs/>
          <w:szCs w:val="24"/>
          <w:lang w:val="nl-NL" w:bidi="tr-TR"/>
        </w:rPr>
        <w:t xml:space="preserve">MET 56: </w:t>
      </w:r>
      <w:r w:rsidRPr="00F50C10">
        <w:rPr>
          <w:rFonts w:eastAsia="Times New Roman" w:cs="Times New Roman"/>
          <w:szCs w:val="24"/>
          <w:lang w:val="nl-NL" w:bidi="tr-TR"/>
        </w:rPr>
        <w:t>Hammaddelerin geri kazanılması ve kümen oksitleme ünitesinden nihai atık gaz arıtmasına gönderilen organik yükü azaltmak için, aşağıda verilen tekniklerin bir kombinasyon</w:t>
      </w:r>
      <w:r w:rsidR="00802086" w:rsidRPr="00F50C10">
        <w:rPr>
          <w:rFonts w:eastAsia="Times New Roman" w:cs="Times New Roman"/>
          <w:szCs w:val="24"/>
          <w:lang w:val="nl-NL" w:bidi="tr-TR"/>
        </w:rPr>
        <w:t>u</w:t>
      </w:r>
      <w:r w:rsidRPr="00F50C10">
        <w:rPr>
          <w:rFonts w:eastAsia="Times New Roman" w:cs="Times New Roman"/>
          <w:szCs w:val="24"/>
          <w:lang w:val="nl-NL" w:bidi="tr-TR"/>
        </w:rPr>
        <w:t xml:space="preserve"> kullan</w:t>
      </w:r>
      <w:r w:rsidR="00802086" w:rsidRPr="00F50C10">
        <w:rPr>
          <w:rFonts w:eastAsia="Times New Roman" w:cs="Times New Roman"/>
          <w:szCs w:val="24"/>
          <w:lang w:val="nl-NL" w:bidi="tr-TR"/>
        </w:rPr>
        <w:t>ılı</w:t>
      </w:r>
      <w:r w:rsidRPr="00F50C10">
        <w:rPr>
          <w:rFonts w:eastAsia="Times New Roman" w:cs="Times New Roman"/>
          <w:szCs w:val="24"/>
          <w:lang w:val="nl-NL" w:bidi="tr-TR"/>
        </w:rPr>
        <w:t>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574"/>
        <w:gridCol w:w="3471"/>
        <w:gridCol w:w="2107"/>
      </w:tblGrid>
      <w:tr w:rsidR="00BB704F" w:rsidRPr="00F50C10" w14:paraId="13F3F6C6" w14:textId="77777777" w:rsidTr="00BB704F">
        <w:trPr>
          <w:trHeight w:val="230"/>
          <w:tblHeader/>
        </w:trPr>
        <w:tc>
          <w:tcPr>
            <w:tcW w:w="148" w:type="pct"/>
          </w:tcPr>
          <w:p w14:paraId="1594CC92" w14:textId="77777777" w:rsidR="00BB704F" w:rsidRPr="00F50C10" w:rsidRDefault="00BB704F" w:rsidP="000B206D">
            <w:pPr>
              <w:spacing w:line="276" w:lineRule="auto"/>
              <w:ind w:left="108" w:right="108"/>
              <w:jc w:val="center"/>
              <w:rPr>
                <w:rFonts w:eastAsia="Times New Roman" w:cs="Times New Roman"/>
                <w:szCs w:val="24"/>
                <w:lang w:val="tr-TR"/>
              </w:rPr>
            </w:pPr>
          </w:p>
        </w:tc>
        <w:tc>
          <w:tcPr>
            <w:tcW w:w="1533" w:type="pct"/>
          </w:tcPr>
          <w:p w14:paraId="0878CB58"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2061" w:type="pct"/>
          </w:tcPr>
          <w:p w14:paraId="1D1D9B54"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58" w:type="pct"/>
          </w:tcPr>
          <w:p w14:paraId="13DCAD60"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1371DFB7" w14:textId="77777777" w:rsidTr="00BB704F">
        <w:trPr>
          <w:trHeight w:val="230"/>
        </w:trPr>
        <w:tc>
          <w:tcPr>
            <w:tcW w:w="5000" w:type="pct"/>
            <w:gridSpan w:val="4"/>
          </w:tcPr>
          <w:p w14:paraId="114EB491" w14:textId="77777777" w:rsidR="00BB704F" w:rsidRPr="00F50C10" w:rsidRDefault="00BB704F" w:rsidP="000B206D">
            <w:pPr>
              <w:spacing w:line="276" w:lineRule="auto"/>
              <w:ind w:left="108" w:right="108"/>
              <w:rPr>
                <w:rFonts w:eastAsia="Times New Roman" w:cs="Times New Roman"/>
                <w:b/>
                <w:i/>
                <w:szCs w:val="24"/>
                <w:lang w:val="tr-TR"/>
              </w:rPr>
            </w:pPr>
            <w:r w:rsidRPr="00F50C10">
              <w:rPr>
                <w:rFonts w:eastAsia="Times New Roman" w:cs="Times New Roman"/>
                <w:b/>
                <w:i/>
                <w:szCs w:val="24"/>
                <w:lang w:val="tr-TR" w:bidi="tr-TR"/>
              </w:rPr>
              <w:t>Prosese entegre teknikler</w:t>
            </w:r>
          </w:p>
        </w:tc>
      </w:tr>
      <w:tr w:rsidR="00BB704F" w:rsidRPr="00F50C10" w14:paraId="549F3103" w14:textId="77777777" w:rsidTr="00BB704F">
        <w:trPr>
          <w:trHeight w:val="460"/>
        </w:trPr>
        <w:tc>
          <w:tcPr>
            <w:tcW w:w="148" w:type="pct"/>
            <w:vAlign w:val="center"/>
          </w:tcPr>
          <w:p w14:paraId="12A03C6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533" w:type="pct"/>
            <w:vAlign w:val="center"/>
          </w:tcPr>
          <w:p w14:paraId="283B36B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Sıvıları azaltmaya yönelik teknikler</w:t>
            </w:r>
          </w:p>
          <w:p w14:paraId="02AE831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sürüklenme</w:t>
            </w:r>
          </w:p>
        </w:tc>
        <w:tc>
          <w:tcPr>
            <w:tcW w:w="2061" w:type="pct"/>
            <w:vAlign w:val="center"/>
          </w:tcPr>
          <w:p w14:paraId="7BE6D753" w14:textId="77777777" w:rsidR="00BB704F" w:rsidRPr="00F50C10" w:rsidRDefault="00BB704F" w:rsidP="000B206D">
            <w:pPr>
              <w:spacing w:before="108"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hyperlink w:anchor="_bookmark800"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_Ref136600432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12.1</w:t>
              </w:r>
              <w:r w:rsidRPr="00F50C10">
                <w:rPr>
                  <w:rFonts w:eastAsia="Times New Roman" w:cs="Times New Roman"/>
                  <w:szCs w:val="24"/>
                  <w:lang w:val="tr-TR" w:bidi="tr-TR"/>
                </w:rPr>
                <w:fldChar w:fldCharType="end"/>
              </w:r>
            </w:hyperlink>
          </w:p>
        </w:tc>
        <w:tc>
          <w:tcPr>
            <w:tcW w:w="1258" w:type="pct"/>
            <w:vAlign w:val="center"/>
          </w:tcPr>
          <w:p w14:paraId="61DF752D" w14:textId="77777777" w:rsidR="00BB704F" w:rsidRPr="00F50C10" w:rsidRDefault="00BB704F" w:rsidP="000B206D">
            <w:pPr>
              <w:spacing w:before="108"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729F4CCA" w14:textId="77777777" w:rsidTr="00BB704F">
        <w:trPr>
          <w:trHeight w:val="230"/>
        </w:trPr>
        <w:tc>
          <w:tcPr>
            <w:tcW w:w="5000" w:type="pct"/>
            <w:gridSpan w:val="4"/>
            <w:vAlign w:val="center"/>
          </w:tcPr>
          <w:p w14:paraId="7A282EFB" w14:textId="77777777" w:rsidR="00BB704F" w:rsidRPr="00F50C10" w:rsidRDefault="00BB704F" w:rsidP="000B206D">
            <w:pPr>
              <w:spacing w:line="276" w:lineRule="auto"/>
              <w:ind w:left="108" w:right="108"/>
              <w:rPr>
                <w:rFonts w:eastAsia="Times New Roman" w:cs="Times New Roman"/>
                <w:b/>
                <w:i/>
                <w:szCs w:val="24"/>
                <w:lang w:val="tr-TR"/>
              </w:rPr>
            </w:pPr>
            <w:r w:rsidRPr="00F50C10">
              <w:rPr>
                <w:rFonts w:eastAsia="Times New Roman" w:cs="Times New Roman"/>
                <w:b/>
                <w:i/>
                <w:szCs w:val="24"/>
                <w:lang w:val="tr-TR" w:bidi="tr-TR"/>
              </w:rPr>
              <w:t>Organik malzemeyi yeniden kullanım için geri kazanma teknikleri</w:t>
            </w:r>
          </w:p>
        </w:tc>
      </w:tr>
      <w:tr w:rsidR="00BB704F" w:rsidRPr="00F50C10" w14:paraId="73290376" w14:textId="77777777" w:rsidTr="00BB704F">
        <w:trPr>
          <w:trHeight w:val="230"/>
        </w:trPr>
        <w:tc>
          <w:tcPr>
            <w:tcW w:w="148" w:type="pct"/>
            <w:vAlign w:val="center"/>
          </w:tcPr>
          <w:p w14:paraId="6451DA1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533" w:type="pct"/>
            <w:vAlign w:val="center"/>
          </w:tcPr>
          <w:p w14:paraId="3328962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Yoğunlaştırma</w:t>
            </w:r>
          </w:p>
        </w:tc>
        <w:tc>
          <w:tcPr>
            <w:tcW w:w="2061" w:type="pct"/>
            <w:vAlign w:val="center"/>
          </w:tcPr>
          <w:p w14:paraId="3715EC7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hyperlink w:anchor="_bookmark800"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_Ref136600432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12.1</w:t>
              </w:r>
              <w:r w:rsidRPr="00F50C10">
                <w:rPr>
                  <w:rFonts w:eastAsia="Times New Roman" w:cs="Times New Roman"/>
                  <w:szCs w:val="24"/>
                  <w:lang w:val="tr-TR" w:bidi="tr-TR"/>
                </w:rPr>
                <w:fldChar w:fldCharType="end"/>
              </w:r>
            </w:hyperlink>
          </w:p>
        </w:tc>
        <w:tc>
          <w:tcPr>
            <w:tcW w:w="1258" w:type="pct"/>
            <w:vAlign w:val="center"/>
          </w:tcPr>
          <w:p w14:paraId="5F1CE92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29CFA11F" w14:textId="77777777" w:rsidTr="00BB704F">
        <w:trPr>
          <w:trHeight w:val="230"/>
        </w:trPr>
        <w:tc>
          <w:tcPr>
            <w:tcW w:w="148" w:type="pct"/>
            <w:vAlign w:val="center"/>
          </w:tcPr>
          <w:p w14:paraId="0776A99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533" w:type="pct"/>
            <w:vAlign w:val="center"/>
          </w:tcPr>
          <w:p w14:paraId="6E55236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Adsorpsiyon (rejeneratif)</w:t>
            </w:r>
          </w:p>
        </w:tc>
        <w:tc>
          <w:tcPr>
            <w:tcW w:w="2061" w:type="pct"/>
            <w:vAlign w:val="center"/>
          </w:tcPr>
          <w:p w14:paraId="533D0C6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hyperlink w:anchor="_bookmark800"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_Ref136600432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12.1</w:t>
              </w:r>
              <w:r w:rsidRPr="00F50C10">
                <w:rPr>
                  <w:rFonts w:eastAsia="Times New Roman" w:cs="Times New Roman"/>
                  <w:szCs w:val="24"/>
                  <w:lang w:val="tr-TR" w:bidi="tr-TR"/>
                </w:rPr>
                <w:fldChar w:fldCharType="end"/>
              </w:r>
            </w:hyperlink>
          </w:p>
        </w:tc>
        <w:tc>
          <w:tcPr>
            <w:tcW w:w="1258" w:type="pct"/>
            <w:vAlign w:val="center"/>
          </w:tcPr>
          <w:p w14:paraId="681286F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42E6A89F" w14:textId="272A7E9E" w:rsidR="00BB704F" w:rsidRPr="00F50C10" w:rsidRDefault="00BB704F" w:rsidP="000B206D">
      <w:pPr>
        <w:widowControl w:val="0"/>
        <w:autoSpaceDE w:val="0"/>
        <w:autoSpaceDN w:val="0"/>
        <w:spacing w:before="240" w:line="276" w:lineRule="auto"/>
        <w:rPr>
          <w:rFonts w:eastAsia="Times New Roman" w:cs="Times New Roman"/>
          <w:szCs w:val="24"/>
          <w:lang w:val="nl-NL" w:bidi="tr-TR"/>
        </w:rPr>
      </w:pPr>
      <w:r w:rsidRPr="00F50C10">
        <w:rPr>
          <w:rFonts w:eastAsia="Times New Roman" w:cs="Times New Roman"/>
          <w:b/>
          <w:bCs/>
          <w:szCs w:val="24"/>
          <w:lang w:val="nl-NL" w:bidi="tr-TR"/>
        </w:rPr>
        <w:t xml:space="preserve">MET 57: </w:t>
      </w:r>
      <w:r w:rsidRPr="00F50C10">
        <w:rPr>
          <w:rFonts w:eastAsia="Times New Roman" w:cs="Times New Roman"/>
          <w:szCs w:val="24"/>
          <w:lang w:val="nl-NL" w:bidi="tr-TR"/>
        </w:rPr>
        <w:t xml:space="preserve">Organik bileşiklerin hava emisyonlarını azaltmak için, kümen oksitleme ünitesinden çıkan atık gaz için aşağıda verilen teknik </w:t>
      </w:r>
      <w:r w:rsidR="00802086" w:rsidRPr="00F50C10">
        <w:rPr>
          <w:rFonts w:eastAsia="Times New Roman" w:cs="Times New Roman"/>
          <w:szCs w:val="24"/>
          <w:lang w:val="nl-NL" w:bidi="tr-TR"/>
        </w:rPr>
        <w:t>d</w:t>
      </w:r>
      <w:r w:rsidRPr="00F50C10">
        <w:rPr>
          <w:rFonts w:eastAsia="Times New Roman" w:cs="Times New Roman"/>
          <w:szCs w:val="24"/>
          <w:lang w:val="nl-NL" w:bidi="tr-TR"/>
        </w:rPr>
        <w:t xml:space="preserve"> uygula</w:t>
      </w:r>
      <w:r w:rsidR="00802086" w:rsidRPr="00F50C10">
        <w:rPr>
          <w:rFonts w:eastAsia="Times New Roman" w:cs="Times New Roman"/>
          <w:szCs w:val="24"/>
          <w:lang w:val="nl-NL" w:bidi="tr-TR"/>
        </w:rPr>
        <w:t>n</w:t>
      </w:r>
      <w:r w:rsidRPr="00F50C10">
        <w:rPr>
          <w:rFonts w:eastAsia="Times New Roman" w:cs="Times New Roman"/>
          <w:szCs w:val="24"/>
          <w:lang w:val="nl-NL" w:bidi="tr-TR"/>
        </w:rPr>
        <w:t xml:space="preserve">ır. Herhangi diğer ayrı veya birleşik atık gaz akımları için, aşağıda verilen tekniklerden biri veya birkaçı </w:t>
      </w:r>
      <w:r w:rsidR="00802086" w:rsidRPr="00F50C10">
        <w:rPr>
          <w:rFonts w:eastAsia="Times New Roman" w:cs="Times New Roman"/>
          <w:szCs w:val="24"/>
          <w:lang w:val="nl-NL" w:bidi="tr-TR"/>
        </w:rPr>
        <w:t>kullanılır</w:t>
      </w:r>
      <w:r w:rsidRPr="00F50C10">
        <w:rPr>
          <w:rFonts w:eastAsia="Times New Roman" w:cs="Times New Roman"/>
          <w:szCs w:val="24"/>
          <w:lang w:val="nl-NL" w:bidi="tr-TR"/>
        </w:rPr>
        <w: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903"/>
        <w:gridCol w:w="3175"/>
        <w:gridCol w:w="2074"/>
      </w:tblGrid>
      <w:tr w:rsidR="00BB704F" w:rsidRPr="00F50C10" w14:paraId="5B8519FE" w14:textId="77777777" w:rsidTr="00BB704F">
        <w:trPr>
          <w:trHeight w:val="230"/>
          <w:tblHeader/>
        </w:trPr>
        <w:tc>
          <w:tcPr>
            <w:tcW w:w="144" w:type="pct"/>
          </w:tcPr>
          <w:p w14:paraId="25DFBAFF" w14:textId="77777777" w:rsidR="00BB704F" w:rsidRPr="00F50C10" w:rsidRDefault="00BB704F" w:rsidP="000B206D">
            <w:pPr>
              <w:spacing w:line="276" w:lineRule="auto"/>
              <w:ind w:left="108" w:right="108"/>
              <w:jc w:val="left"/>
              <w:rPr>
                <w:rFonts w:eastAsia="Times New Roman" w:cs="Times New Roman"/>
                <w:szCs w:val="24"/>
                <w:lang w:val="tr-TR"/>
              </w:rPr>
            </w:pPr>
          </w:p>
        </w:tc>
        <w:tc>
          <w:tcPr>
            <w:tcW w:w="1728" w:type="pct"/>
          </w:tcPr>
          <w:p w14:paraId="13159D4F"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1888" w:type="pct"/>
          </w:tcPr>
          <w:p w14:paraId="3F409CEA"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40" w:type="pct"/>
          </w:tcPr>
          <w:p w14:paraId="2CD0A635" w14:textId="77777777" w:rsidR="00BB704F" w:rsidRPr="00F50C10" w:rsidRDefault="00BB704F" w:rsidP="000B206D">
            <w:pPr>
              <w:spacing w:line="276" w:lineRule="auto"/>
              <w:ind w:left="108" w:right="108"/>
              <w:jc w:val="left"/>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611CF319" w14:textId="77777777" w:rsidTr="00BB704F">
        <w:trPr>
          <w:trHeight w:val="918"/>
        </w:trPr>
        <w:tc>
          <w:tcPr>
            <w:tcW w:w="144" w:type="pct"/>
            <w:vAlign w:val="center"/>
          </w:tcPr>
          <w:p w14:paraId="1C42FDD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728" w:type="pct"/>
            <w:vAlign w:val="center"/>
          </w:tcPr>
          <w:p w14:paraId="5110EF6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Atık gaz akışının bir yakma ünitesine gönderilmesi</w:t>
            </w:r>
          </w:p>
        </w:tc>
        <w:tc>
          <w:tcPr>
            <w:tcW w:w="1888" w:type="pct"/>
            <w:vAlign w:val="center"/>
          </w:tcPr>
          <w:p w14:paraId="11BD3B81" w14:textId="77777777" w:rsidR="00BB704F" w:rsidRPr="00F50C10" w:rsidRDefault="00BB704F" w:rsidP="000B206D">
            <w:pPr>
              <w:spacing w:before="1" w:line="276" w:lineRule="auto"/>
              <w:ind w:left="108" w:right="108"/>
              <w:rPr>
                <w:rFonts w:eastAsia="Times New Roman" w:cs="Times New Roman"/>
                <w:szCs w:val="24"/>
                <w:lang w:val="tr-TR" w:bidi="tr-TR"/>
              </w:rPr>
            </w:pPr>
            <w:r w:rsidRPr="00F50C10">
              <w:rPr>
                <w:rFonts w:eastAsia="Times New Roman" w:cs="Times New Roman"/>
                <w:szCs w:val="24"/>
                <w:lang w:val="tr-TR" w:bidi="tr-TR"/>
              </w:rPr>
              <w:t>Bkz. MET 9</w:t>
            </w:r>
          </w:p>
        </w:tc>
        <w:tc>
          <w:tcPr>
            <w:tcW w:w="1240" w:type="pct"/>
            <w:vAlign w:val="center"/>
          </w:tcPr>
          <w:p w14:paraId="23A08BB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atık gazın gaz halindeki yakıt olarak kullanılabildiği yerlerde geçerlidir.</w:t>
            </w:r>
          </w:p>
        </w:tc>
      </w:tr>
      <w:tr w:rsidR="00BB704F" w:rsidRPr="00F50C10" w14:paraId="21B489C2" w14:textId="77777777" w:rsidTr="00BB704F">
        <w:trPr>
          <w:trHeight w:val="229"/>
        </w:trPr>
        <w:tc>
          <w:tcPr>
            <w:tcW w:w="144" w:type="pct"/>
            <w:vAlign w:val="center"/>
          </w:tcPr>
          <w:p w14:paraId="2EA6FD7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728" w:type="pct"/>
            <w:vAlign w:val="center"/>
          </w:tcPr>
          <w:p w14:paraId="5755BF7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Adsorpsiyon</w:t>
            </w:r>
          </w:p>
        </w:tc>
        <w:tc>
          <w:tcPr>
            <w:tcW w:w="1888" w:type="pct"/>
            <w:vAlign w:val="center"/>
          </w:tcPr>
          <w:p w14:paraId="0F9E921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hyperlink w:anchor="_bookmark800"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_Ref136600432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12.1</w:t>
              </w:r>
              <w:r w:rsidRPr="00F50C10">
                <w:rPr>
                  <w:rFonts w:eastAsia="Times New Roman" w:cs="Times New Roman"/>
                  <w:szCs w:val="24"/>
                  <w:lang w:val="tr-TR" w:bidi="tr-TR"/>
                </w:rPr>
                <w:fldChar w:fldCharType="end"/>
              </w:r>
            </w:hyperlink>
          </w:p>
        </w:tc>
        <w:tc>
          <w:tcPr>
            <w:tcW w:w="1240" w:type="pct"/>
            <w:vAlign w:val="center"/>
          </w:tcPr>
          <w:p w14:paraId="51576B1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56FA7E4C" w14:textId="77777777" w:rsidTr="00BB704F">
        <w:trPr>
          <w:trHeight w:val="230"/>
        </w:trPr>
        <w:tc>
          <w:tcPr>
            <w:tcW w:w="144" w:type="pct"/>
            <w:vAlign w:val="center"/>
          </w:tcPr>
          <w:p w14:paraId="26158BA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728" w:type="pct"/>
            <w:vAlign w:val="center"/>
          </w:tcPr>
          <w:p w14:paraId="239A632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Termal oksitleyici</w:t>
            </w:r>
          </w:p>
        </w:tc>
        <w:tc>
          <w:tcPr>
            <w:tcW w:w="1888" w:type="pct"/>
            <w:vAlign w:val="center"/>
          </w:tcPr>
          <w:p w14:paraId="74DA837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hyperlink w:anchor="_bookmark800"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_Ref136600432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12.1</w:t>
              </w:r>
              <w:r w:rsidRPr="00F50C10">
                <w:rPr>
                  <w:rFonts w:eastAsia="Times New Roman" w:cs="Times New Roman"/>
                  <w:szCs w:val="24"/>
                  <w:lang w:val="tr-TR" w:bidi="tr-TR"/>
                </w:rPr>
                <w:fldChar w:fldCharType="end"/>
              </w:r>
            </w:hyperlink>
          </w:p>
        </w:tc>
        <w:tc>
          <w:tcPr>
            <w:tcW w:w="1240" w:type="pct"/>
            <w:vAlign w:val="center"/>
          </w:tcPr>
          <w:p w14:paraId="7DF2643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2661585F" w14:textId="77777777" w:rsidTr="00BB704F">
        <w:trPr>
          <w:trHeight w:val="460"/>
        </w:trPr>
        <w:tc>
          <w:tcPr>
            <w:tcW w:w="144" w:type="pct"/>
            <w:vAlign w:val="center"/>
          </w:tcPr>
          <w:p w14:paraId="62CC02F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d</w:t>
            </w:r>
          </w:p>
        </w:tc>
        <w:tc>
          <w:tcPr>
            <w:tcW w:w="1728" w:type="pct"/>
            <w:vAlign w:val="center"/>
          </w:tcPr>
          <w:p w14:paraId="479BE53A" w14:textId="77777777" w:rsidR="00BB704F" w:rsidRPr="00F50C10" w:rsidRDefault="00BB704F" w:rsidP="000B206D">
            <w:pPr>
              <w:tabs>
                <w:tab w:val="left" w:pos="1391"/>
              </w:tabs>
              <w:spacing w:before="2" w:line="276" w:lineRule="auto"/>
              <w:ind w:left="108" w:right="108"/>
              <w:rPr>
                <w:rFonts w:eastAsia="Times New Roman" w:cs="Times New Roman"/>
                <w:szCs w:val="24"/>
                <w:lang w:val="tr-TR"/>
              </w:rPr>
            </w:pPr>
            <w:r w:rsidRPr="00F50C10">
              <w:rPr>
                <w:rFonts w:eastAsia="Times New Roman" w:cs="Times New Roman"/>
                <w:szCs w:val="24"/>
                <w:lang w:val="tr-TR" w:bidi="tr-TR"/>
              </w:rPr>
              <w:t>Rejeneratif</w:t>
            </w:r>
            <w:r w:rsidRPr="00F50C10">
              <w:rPr>
                <w:rFonts w:eastAsia="Times New Roman" w:cs="Times New Roman"/>
                <w:szCs w:val="24"/>
                <w:lang w:val="tr-TR" w:bidi="tr-TR"/>
              </w:rPr>
              <w:tab/>
              <w:t>termal oksitleyici (RTO)</w:t>
            </w:r>
          </w:p>
        </w:tc>
        <w:tc>
          <w:tcPr>
            <w:tcW w:w="1888" w:type="pct"/>
            <w:vAlign w:val="center"/>
          </w:tcPr>
          <w:p w14:paraId="42B5ADD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hyperlink w:anchor="_bookmark800"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_Ref136600432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12.1</w:t>
              </w:r>
              <w:r w:rsidRPr="00F50C10">
                <w:rPr>
                  <w:rFonts w:eastAsia="Times New Roman" w:cs="Times New Roman"/>
                  <w:szCs w:val="24"/>
                  <w:lang w:val="tr-TR" w:bidi="tr-TR"/>
                </w:rPr>
                <w:fldChar w:fldCharType="end"/>
              </w:r>
            </w:hyperlink>
          </w:p>
        </w:tc>
        <w:tc>
          <w:tcPr>
            <w:tcW w:w="1240" w:type="pct"/>
            <w:vAlign w:val="center"/>
          </w:tcPr>
          <w:p w14:paraId="4EDA43A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7F880907" w14:textId="7D38CDC6" w:rsidR="00BB704F" w:rsidRPr="00F50C10" w:rsidRDefault="00325F2C" w:rsidP="000B206D">
      <w:pPr>
        <w:spacing w:before="240" w:line="276" w:lineRule="auto"/>
        <w:rPr>
          <w:rFonts w:eastAsia="Calibri" w:cs="Times New Roman"/>
          <w:b/>
          <w:iCs/>
          <w:color w:val="000000"/>
          <w:szCs w:val="24"/>
        </w:rPr>
      </w:pPr>
      <w:r w:rsidRPr="00F50C10">
        <w:rPr>
          <w:rFonts w:eastAsia="Calibri" w:cs="Times New Roman"/>
          <w:b/>
          <w:iCs/>
          <w:color w:val="000000"/>
          <w:szCs w:val="24"/>
        </w:rPr>
        <w:t xml:space="preserve">Tablo 7.1. </w:t>
      </w:r>
      <w:r w:rsidR="00BB704F" w:rsidRPr="00F50C10">
        <w:rPr>
          <w:rFonts w:eastAsia="Calibri" w:cs="Times New Roman"/>
          <w:b/>
          <w:iCs/>
          <w:color w:val="000000"/>
          <w:szCs w:val="24"/>
        </w:rPr>
        <w:t>Fenol üretiminden havaya TUOB ve benzen emisyonları için MET-İES'ler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12"/>
        <w:gridCol w:w="1417"/>
        <w:gridCol w:w="2979"/>
        <w:gridCol w:w="2889"/>
      </w:tblGrid>
      <w:tr w:rsidR="00BB704F" w:rsidRPr="00F50C10" w14:paraId="3C671B70" w14:textId="77777777" w:rsidTr="00BB704F">
        <w:trPr>
          <w:trHeight w:val="1151"/>
        </w:trPr>
        <w:tc>
          <w:tcPr>
            <w:tcW w:w="713" w:type="pct"/>
            <w:vAlign w:val="center"/>
          </w:tcPr>
          <w:p w14:paraId="20CF4D8D"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Parametre</w:t>
            </w:r>
          </w:p>
        </w:tc>
        <w:tc>
          <w:tcPr>
            <w:tcW w:w="834" w:type="pct"/>
            <w:vAlign w:val="center"/>
          </w:tcPr>
          <w:p w14:paraId="4BDEE560"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Kaynak</w:t>
            </w:r>
          </w:p>
        </w:tc>
        <w:tc>
          <w:tcPr>
            <w:tcW w:w="1753" w:type="pct"/>
            <w:vAlign w:val="center"/>
          </w:tcPr>
          <w:p w14:paraId="411274D5" w14:textId="77777777" w:rsidR="00BB704F" w:rsidRPr="00F50C10" w:rsidRDefault="00BB704F" w:rsidP="000B206D">
            <w:pPr>
              <w:spacing w:line="276" w:lineRule="auto"/>
              <w:ind w:left="1062" w:right="1056"/>
              <w:jc w:val="center"/>
              <w:rPr>
                <w:rFonts w:eastAsia="Times New Roman" w:cs="Times New Roman"/>
                <w:b/>
                <w:szCs w:val="24"/>
                <w:lang w:val="tr-TR"/>
              </w:rPr>
            </w:pPr>
            <w:r w:rsidRPr="00F50C10">
              <w:rPr>
                <w:rFonts w:eastAsia="Times New Roman" w:cs="Times New Roman"/>
                <w:b/>
                <w:szCs w:val="24"/>
                <w:lang w:val="tr-TR" w:bidi="tr-TR"/>
              </w:rPr>
              <w:t>MET-İES</w:t>
            </w:r>
          </w:p>
          <w:p w14:paraId="7C18EADD" w14:textId="77777777" w:rsidR="00BB704F" w:rsidRPr="00F50C10" w:rsidRDefault="00BB704F" w:rsidP="000B206D">
            <w:pPr>
              <w:spacing w:before="2" w:line="276" w:lineRule="auto"/>
              <w:jc w:val="center"/>
              <w:rPr>
                <w:rFonts w:eastAsia="Times New Roman" w:cs="Times New Roman"/>
                <w:b/>
                <w:szCs w:val="24"/>
                <w:lang w:val="tr-TR"/>
              </w:rPr>
            </w:pPr>
            <w:r w:rsidRPr="00F50C10">
              <w:rPr>
                <w:rFonts w:eastAsia="Times New Roman" w:cs="Times New Roman"/>
                <w:b/>
                <w:szCs w:val="24"/>
                <w:lang w:val="tr-TR" w:bidi="tr-TR"/>
              </w:rPr>
              <w:t>(günlük ortalama veya numune alma süresi boyunca ortalama) (mg/Nm</w:t>
            </w:r>
            <w:r w:rsidRPr="00F50C10">
              <w:rPr>
                <w:rFonts w:eastAsia="Times New Roman" w:cs="Times New Roman"/>
                <w:b/>
                <w:szCs w:val="24"/>
                <w:vertAlign w:val="superscript"/>
                <w:lang w:val="tr-TR" w:bidi="tr-TR"/>
              </w:rPr>
              <w:t>3</w:t>
            </w:r>
            <w:r w:rsidRPr="00F50C10">
              <w:rPr>
                <w:rFonts w:eastAsia="Times New Roman" w:cs="Times New Roman"/>
                <w:b/>
                <w:szCs w:val="24"/>
                <w:lang w:val="tr-TR" w:bidi="tr-TR"/>
              </w:rPr>
              <w:t>, oksijen içeriği için düzeltme olmaksızın)</w:t>
            </w:r>
          </w:p>
        </w:tc>
        <w:tc>
          <w:tcPr>
            <w:tcW w:w="1700" w:type="pct"/>
            <w:vAlign w:val="center"/>
          </w:tcPr>
          <w:p w14:paraId="62F7182B"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Koşullar</w:t>
            </w:r>
          </w:p>
        </w:tc>
      </w:tr>
      <w:tr w:rsidR="00BB704F" w:rsidRPr="00F50C10" w14:paraId="3F4C734F" w14:textId="77777777" w:rsidTr="00BB704F">
        <w:trPr>
          <w:trHeight w:val="460"/>
        </w:trPr>
        <w:tc>
          <w:tcPr>
            <w:tcW w:w="713" w:type="pct"/>
            <w:vAlign w:val="center"/>
          </w:tcPr>
          <w:p w14:paraId="5A946E27" w14:textId="77777777" w:rsidR="00BB704F" w:rsidRPr="00F50C10" w:rsidRDefault="00BB704F" w:rsidP="000B206D">
            <w:pPr>
              <w:spacing w:before="108" w:line="276" w:lineRule="auto"/>
              <w:ind w:left="108"/>
              <w:rPr>
                <w:rFonts w:eastAsia="Times New Roman" w:cs="Times New Roman"/>
                <w:szCs w:val="24"/>
                <w:lang w:val="tr-TR"/>
              </w:rPr>
            </w:pPr>
            <w:r w:rsidRPr="00F50C10">
              <w:rPr>
                <w:rFonts w:eastAsia="Times New Roman" w:cs="Times New Roman"/>
                <w:szCs w:val="24"/>
                <w:lang w:val="tr-TR" w:bidi="tr-TR"/>
              </w:rPr>
              <w:t>Benzen</w:t>
            </w:r>
          </w:p>
        </w:tc>
        <w:tc>
          <w:tcPr>
            <w:tcW w:w="834" w:type="pct"/>
            <w:vMerge w:val="restart"/>
            <w:vAlign w:val="center"/>
          </w:tcPr>
          <w:p w14:paraId="0B52BF8A"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Kümen oksitleme ünitesi</w:t>
            </w:r>
          </w:p>
        </w:tc>
        <w:tc>
          <w:tcPr>
            <w:tcW w:w="1753" w:type="pct"/>
            <w:vAlign w:val="center"/>
          </w:tcPr>
          <w:p w14:paraId="008ABDCB" w14:textId="77777777" w:rsidR="00BB704F" w:rsidRPr="00F50C10" w:rsidRDefault="00BB704F" w:rsidP="000B206D">
            <w:pPr>
              <w:spacing w:before="108" w:line="276" w:lineRule="auto"/>
              <w:ind w:left="1062" w:right="1055"/>
              <w:jc w:val="center"/>
              <w:rPr>
                <w:rFonts w:eastAsia="Times New Roman" w:cs="Times New Roman"/>
                <w:szCs w:val="24"/>
                <w:lang w:val="tr-TR"/>
              </w:rPr>
            </w:pPr>
            <w:r w:rsidRPr="00F50C10">
              <w:rPr>
                <w:rFonts w:eastAsia="Times New Roman" w:cs="Times New Roman"/>
                <w:szCs w:val="24"/>
                <w:lang w:val="tr-TR" w:bidi="tr-TR"/>
              </w:rPr>
              <w:t>&lt; 1</w:t>
            </w:r>
          </w:p>
        </w:tc>
        <w:tc>
          <w:tcPr>
            <w:tcW w:w="1700" w:type="pct"/>
            <w:vAlign w:val="center"/>
          </w:tcPr>
          <w:p w14:paraId="659FD21C" w14:textId="615E56CC" w:rsidR="00BB704F" w:rsidRPr="00F50C10" w:rsidRDefault="00BB704F" w:rsidP="000B206D">
            <w:pPr>
              <w:spacing w:line="276" w:lineRule="auto"/>
              <w:ind w:left="310" w:right="304"/>
              <w:jc w:val="center"/>
              <w:rPr>
                <w:rFonts w:eastAsia="Times New Roman" w:cs="Times New Roman"/>
                <w:szCs w:val="24"/>
                <w:lang w:val="tr-TR"/>
              </w:rPr>
            </w:pPr>
            <w:r w:rsidRPr="00F50C10">
              <w:rPr>
                <w:rFonts w:eastAsia="Times New Roman" w:cs="Times New Roman"/>
                <w:szCs w:val="24"/>
                <w:lang w:val="tr-TR" w:bidi="tr-TR"/>
              </w:rPr>
              <w:t>MET-</w:t>
            </w:r>
            <w:r w:rsidR="00325F2C" w:rsidRPr="00F50C10">
              <w:rPr>
                <w:rFonts w:eastAsia="Times New Roman" w:cs="Times New Roman"/>
                <w:szCs w:val="24"/>
                <w:lang w:val="tr-TR" w:bidi="tr-TR"/>
              </w:rPr>
              <w:t>İES</w:t>
            </w:r>
            <w:r w:rsidRPr="00F50C10">
              <w:rPr>
                <w:rFonts w:eastAsia="Times New Roman" w:cs="Times New Roman"/>
                <w:szCs w:val="24"/>
                <w:lang w:val="tr-TR" w:bidi="tr-TR"/>
              </w:rPr>
              <w:t>, emisyonun 1 g/saat'i aşması durumunda geçerlidir.</w:t>
            </w:r>
          </w:p>
        </w:tc>
      </w:tr>
      <w:tr w:rsidR="00BB704F" w:rsidRPr="00F50C10" w14:paraId="37D31B8C" w14:textId="77777777" w:rsidTr="00BB704F">
        <w:trPr>
          <w:trHeight w:val="234"/>
        </w:trPr>
        <w:tc>
          <w:tcPr>
            <w:tcW w:w="713" w:type="pct"/>
            <w:vAlign w:val="center"/>
          </w:tcPr>
          <w:p w14:paraId="72F07BA8" w14:textId="77777777" w:rsidR="00BB704F" w:rsidRPr="00F50C10" w:rsidRDefault="00BB704F" w:rsidP="000B206D">
            <w:pPr>
              <w:spacing w:line="276" w:lineRule="auto"/>
              <w:ind w:left="108"/>
              <w:rPr>
                <w:rFonts w:eastAsia="Times New Roman" w:cs="Times New Roman"/>
                <w:szCs w:val="24"/>
                <w:lang w:val="tr-TR"/>
              </w:rPr>
            </w:pPr>
            <w:r w:rsidRPr="00F50C10">
              <w:rPr>
                <w:rFonts w:eastAsia="Times New Roman" w:cs="Times New Roman"/>
                <w:szCs w:val="24"/>
                <w:lang w:val="tr-TR" w:bidi="tr-TR"/>
              </w:rPr>
              <w:t>TUOK</w:t>
            </w:r>
          </w:p>
        </w:tc>
        <w:tc>
          <w:tcPr>
            <w:tcW w:w="834" w:type="pct"/>
            <w:vMerge/>
            <w:vAlign w:val="center"/>
          </w:tcPr>
          <w:p w14:paraId="0EC4D3B2" w14:textId="77777777" w:rsidR="00BB704F" w:rsidRPr="00F50C10" w:rsidRDefault="00BB704F" w:rsidP="000B206D">
            <w:pPr>
              <w:spacing w:line="276" w:lineRule="auto"/>
              <w:jc w:val="center"/>
              <w:rPr>
                <w:rFonts w:eastAsia="Times New Roman" w:cs="Times New Roman"/>
                <w:szCs w:val="24"/>
                <w:lang w:val="tr-TR"/>
              </w:rPr>
            </w:pPr>
          </w:p>
        </w:tc>
        <w:tc>
          <w:tcPr>
            <w:tcW w:w="1753" w:type="pct"/>
            <w:vAlign w:val="center"/>
          </w:tcPr>
          <w:p w14:paraId="2FFA0A4A" w14:textId="77777777" w:rsidR="00BB704F" w:rsidRPr="00F50C10" w:rsidRDefault="00BB704F" w:rsidP="000B206D">
            <w:pPr>
              <w:spacing w:line="276" w:lineRule="auto"/>
              <w:ind w:left="1062" w:right="1049"/>
              <w:jc w:val="center"/>
              <w:rPr>
                <w:rFonts w:eastAsia="Times New Roman" w:cs="Times New Roman"/>
                <w:szCs w:val="24"/>
                <w:lang w:val="tr-TR"/>
              </w:rPr>
            </w:pPr>
            <w:r w:rsidRPr="00F50C10">
              <w:rPr>
                <w:rFonts w:eastAsia="Times New Roman" w:cs="Times New Roman"/>
                <w:szCs w:val="24"/>
                <w:lang w:val="tr-TR" w:bidi="tr-TR"/>
              </w:rPr>
              <w:t>5–30</w:t>
            </w:r>
          </w:p>
        </w:tc>
        <w:tc>
          <w:tcPr>
            <w:tcW w:w="1700" w:type="pct"/>
            <w:vAlign w:val="center"/>
          </w:tcPr>
          <w:p w14:paraId="26697C52" w14:textId="77777777" w:rsidR="00BB704F" w:rsidRPr="00F50C10" w:rsidRDefault="00BB704F" w:rsidP="000B206D">
            <w:pPr>
              <w:spacing w:line="276" w:lineRule="auto"/>
              <w:ind w:left="10"/>
              <w:jc w:val="center"/>
              <w:rPr>
                <w:rFonts w:eastAsia="Times New Roman" w:cs="Times New Roman"/>
                <w:szCs w:val="24"/>
                <w:lang w:val="tr-TR"/>
              </w:rPr>
            </w:pPr>
            <w:r w:rsidRPr="00F50C10">
              <w:rPr>
                <w:rFonts w:eastAsia="Times New Roman" w:cs="Times New Roman"/>
                <w:w w:val="136"/>
                <w:szCs w:val="24"/>
                <w:lang w:val="tr-TR" w:bidi="tr-TR"/>
              </w:rPr>
              <w:t>–</w:t>
            </w:r>
          </w:p>
        </w:tc>
      </w:tr>
    </w:tbl>
    <w:p w14:paraId="5136F496" w14:textId="77777777" w:rsidR="00BB704F" w:rsidRPr="00F50C10" w:rsidRDefault="00BB704F" w:rsidP="000B206D">
      <w:pPr>
        <w:widowControl w:val="0"/>
        <w:autoSpaceDE w:val="0"/>
        <w:autoSpaceDN w:val="0"/>
        <w:spacing w:before="240" w:line="276" w:lineRule="auto"/>
        <w:jc w:val="left"/>
        <w:rPr>
          <w:rFonts w:eastAsia="Times New Roman" w:cs="Times New Roman"/>
          <w:szCs w:val="24"/>
          <w:lang w:val="nl-NL" w:bidi="tr-TR"/>
        </w:rPr>
      </w:pPr>
      <w:r w:rsidRPr="00F50C10">
        <w:rPr>
          <w:rFonts w:eastAsia="Times New Roman" w:cs="Times New Roman"/>
          <w:szCs w:val="24"/>
          <w:lang w:val="nl-NL" w:bidi="tr-TR"/>
        </w:rPr>
        <w:t>İlgili izleme MET 2 kapsamındadır.</w:t>
      </w:r>
    </w:p>
    <w:p w14:paraId="4451FB67"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45" w:name="_Toc136613730"/>
      <w:r w:rsidRPr="00F50C10">
        <w:rPr>
          <w:rFonts w:eastAsia="Times New Roman" w:cs="Times New Roman"/>
          <w:b/>
          <w:szCs w:val="24"/>
          <w:lang w:val="tr-TR"/>
        </w:rPr>
        <w:t>Suya Deşarjlar</w:t>
      </w:r>
      <w:bookmarkEnd w:id="45"/>
    </w:p>
    <w:p w14:paraId="18268140" w14:textId="64986D06" w:rsidR="00BB704F" w:rsidRPr="00F50C10" w:rsidRDefault="00BB704F" w:rsidP="000B206D">
      <w:pPr>
        <w:widowControl w:val="0"/>
        <w:autoSpaceDE w:val="0"/>
        <w:autoSpaceDN w:val="0"/>
        <w:spacing w:before="240" w:line="276" w:lineRule="auto"/>
        <w:rPr>
          <w:rFonts w:eastAsia="Times New Roman" w:cs="Times New Roman"/>
          <w:b/>
          <w:bCs/>
          <w:szCs w:val="24"/>
          <w:lang w:val="nl-NL" w:bidi="tr-TR"/>
        </w:rPr>
      </w:pPr>
      <w:r w:rsidRPr="00F50C10">
        <w:rPr>
          <w:rFonts w:eastAsia="Times New Roman" w:cs="Times New Roman"/>
          <w:b/>
          <w:bCs/>
          <w:szCs w:val="24"/>
          <w:lang w:val="nl-NL" w:bidi="tr-TR"/>
        </w:rPr>
        <w:t xml:space="preserve">MET 58: </w:t>
      </w:r>
      <w:r w:rsidRPr="00F50C10">
        <w:rPr>
          <w:rFonts w:eastAsia="Times New Roman" w:cs="Times New Roman"/>
          <w:szCs w:val="24"/>
          <w:lang w:val="nl-NL" w:bidi="tr-TR"/>
        </w:rPr>
        <w:t>Oksitleme ünitesinden organik peroksitlerin suya deşarjlarını azaltmak ve gerekirse aşağı akış yönündeki biyolojik atık su arıtma tesisini korumak için, organik peroksit içeren atık sular diğer atık su akışlarıyla birleştirilmeden ve nihai biyolojik arıtmaya boşaltılmadan önce hidroliz kullanılarak ön arıtması gerçekleştiril</w:t>
      </w:r>
      <w:r w:rsidR="00F9497A" w:rsidRPr="00F50C10">
        <w:rPr>
          <w:rFonts w:eastAsia="Times New Roman" w:cs="Times New Roman"/>
          <w:szCs w:val="24"/>
          <w:lang w:val="nl-NL" w:bidi="tr-TR"/>
        </w:rPr>
        <w:t>ir</w:t>
      </w:r>
      <w:r w:rsidRPr="00F50C10">
        <w:rPr>
          <w:rFonts w:eastAsia="Times New Roman" w:cs="Times New Roman"/>
          <w:szCs w:val="24"/>
          <w:lang w:val="nl-NL" w:bidi="tr-TR"/>
        </w:rPr>
        <w:t>.</w:t>
      </w:r>
    </w:p>
    <w:p w14:paraId="67115592" w14:textId="60B228D5"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szCs w:val="24"/>
          <w:lang w:val="tr-TR" w:bidi="tr-TR"/>
        </w:rPr>
        <w:t>Atık su (faz ayırmadan sonra esas olarak yoğunlaştırıcılardan ve adsorber rejenerasyonundan) organik peroksitleri ekotoksik olmayan ve daha kolay biyolojik olarak parçalanabilen bileşiklere ayrıştırmak için termal (100 °C'nin üzerindeki sıcaklıklarda ve yüksek pH'ta) veya katalitik olarak arıtılır.</w:t>
      </w:r>
    </w:p>
    <w:p w14:paraId="1F0CBD39" w14:textId="4F7E82C9" w:rsidR="00BB704F" w:rsidRPr="00F50C10" w:rsidRDefault="0016039B" w:rsidP="000B206D">
      <w:pPr>
        <w:spacing w:before="240" w:line="276" w:lineRule="auto"/>
        <w:rPr>
          <w:rFonts w:eastAsia="Calibri" w:cs="Times New Roman"/>
          <w:b/>
          <w:iCs/>
          <w:color w:val="000000"/>
          <w:szCs w:val="24"/>
        </w:rPr>
      </w:pPr>
      <w:r w:rsidRPr="00F50C10">
        <w:rPr>
          <w:rFonts w:eastAsia="Calibri" w:cs="Times New Roman"/>
          <w:b/>
          <w:iCs/>
          <w:color w:val="000000"/>
          <w:szCs w:val="24"/>
        </w:rPr>
        <w:t xml:space="preserve">Tablo 7.2. </w:t>
      </w:r>
      <w:r w:rsidR="00BB704F" w:rsidRPr="00F50C10">
        <w:rPr>
          <w:rFonts w:eastAsia="Calibri" w:cs="Times New Roman"/>
          <w:b/>
          <w:iCs/>
          <w:color w:val="000000"/>
          <w:szCs w:val="24"/>
        </w:rPr>
        <w:t>Peroksit ayrıştırma ünitesinin çıkışında organik peroksitler için MET-İÇPS</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0"/>
        <w:gridCol w:w="2208"/>
        <w:gridCol w:w="4109"/>
      </w:tblGrid>
      <w:tr w:rsidR="00BB704F" w:rsidRPr="00F50C10" w14:paraId="2DAC15F4" w14:textId="77777777" w:rsidTr="00BB704F">
        <w:trPr>
          <w:trHeight w:val="1149"/>
        </w:trPr>
        <w:tc>
          <w:tcPr>
            <w:tcW w:w="1283" w:type="pct"/>
            <w:vAlign w:val="center"/>
          </w:tcPr>
          <w:p w14:paraId="46C3FEDC"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Parametre</w:t>
            </w:r>
          </w:p>
        </w:tc>
        <w:tc>
          <w:tcPr>
            <w:tcW w:w="1299" w:type="pct"/>
            <w:vAlign w:val="center"/>
          </w:tcPr>
          <w:p w14:paraId="68151EE1"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MET-İÇPS</w:t>
            </w:r>
          </w:p>
          <w:p w14:paraId="0D4E793B" w14:textId="77777777" w:rsidR="00BB704F" w:rsidRPr="00F50C10" w:rsidRDefault="00BB704F" w:rsidP="000B206D">
            <w:pPr>
              <w:spacing w:line="276" w:lineRule="auto"/>
              <w:ind w:left="108" w:right="108" w:firstLine="43"/>
              <w:jc w:val="center"/>
              <w:rPr>
                <w:rFonts w:eastAsia="Times New Roman" w:cs="Times New Roman"/>
                <w:b/>
                <w:szCs w:val="24"/>
                <w:lang w:val="tr-TR"/>
              </w:rPr>
            </w:pPr>
            <w:r w:rsidRPr="00F50C10">
              <w:rPr>
                <w:rFonts w:eastAsia="Times New Roman" w:cs="Times New Roman"/>
                <w:b/>
                <w:szCs w:val="24"/>
                <w:lang w:val="tr-TR" w:bidi="tr-TR"/>
              </w:rPr>
              <w:t>(aralıklarla alınan en az üç spot numuneden ortalama değer</w:t>
            </w:r>
          </w:p>
          <w:p w14:paraId="168D7798"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en az yarım saat)</w:t>
            </w:r>
          </w:p>
        </w:tc>
        <w:tc>
          <w:tcPr>
            <w:tcW w:w="2418" w:type="pct"/>
            <w:vAlign w:val="center"/>
          </w:tcPr>
          <w:p w14:paraId="4C31CDAC"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İlişkili izleme</w:t>
            </w:r>
          </w:p>
        </w:tc>
      </w:tr>
      <w:tr w:rsidR="00BB704F" w:rsidRPr="00F50C10" w14:paraId="199F84DB" w14:textId="77777777" w:rsidTr="00BB704F">
        <w:trPr>
          <w:trHeight w:val="1379"/>
        </w:trPr>
        <w:tc>
          <w:tcPr>
            <w:tcW w:w="1283" w:type="pct"/>
            <w:vAlign w:val="center"/>
          </w:tcPr>
          <w:p w14:paraId="3DD2FCA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Kümen hidroperoksit olarak ifade edilen toplam organik peroksitler</w:t>
            </w:r>
          </w:p>
        </w:tc>
        <w:tc>
          <w:tcPr>
            <w:tcW w:w="1299" w:type="pct"/>
            <w:vAlign w:val="center"/>
          </w:tcPr>
          <w:p w14:paraId="623318F6"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&lt; 100 mg/l</w:t>
            </w:r>
          </w:p>
        </w:tc>
        <w:tc>
          <w:tcPr>
            <w:tcW w:w="2418" w:type="pct"/>
            <w:vAlign w:val="center"/>
          </w:tcPr>
          <w:p w14:paraId="5D517918" w14:textId="7B34AC0B"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EN standardı mevcut değildir. Minimum izleme sıklığı günde bir kezdir ve proses parametrelerinin (örneğin, pH, sıcaklık ve bekleme süresi) kontrol edilmesiyle yeterli hidroliz performansının gösterilmesi halinde yılda dört defaya düşürülebilir.</w:t>
            </w:r>
          </w:p>
        </w:tc>
      </w:tr>
    </w:tbl>
    <w:p w14:paraId="1FAE2A67" w14:textId="146A3C5D" w:rsidR="00BB704F" w:rsidRPr="00F50C10" w:rsidRDefault="00BB704F" w:rsidP="000B206D">
      <w:pPr>
        <w:widowControl w:val="0"/>
        <w:autoSpaceDE w:val="0"/>
        <w:autoSpaceDN w:val="0"/>
        <w:spacing w:before="240" w:line="276" w:lineRule="auto"/>
        <w:jc w:val="left"/>
        <w:rPr>
          <w:rFonts w:eastAsia="Times New Roman" w:cs="Times New Roman"/>
          <w:b/>
          <w:bCs/>
          <w:szCs w:val="24"/>
          <w:lang w:val="nl-NL" w:bidi="tr-TR"/>
        </w:rPr>
      </w:pPr>
      <w:r w:rsidRPr="00F50C10">
        <w:rPr>
          <w:rFonts w:eastAsia="Times New Roman" w:cs="Times New Roman"/>
          <w:b/>
          <w:bCs/>
          <w:szCs w:val="24"/>
          <w:lang w:val="nl-NL" w:bidi="tr-TR"/>
        </w:rPr>
        <w:t>MET 59: Yarılma ünitesinden ve damıtma ünitesinden boşaltılan organik yükü ileri atık su arıtımına göndermeden önce azaltmak için, ekstraksiyon ve ardından sıyırma yoluyla fenol ve diğer organik bileşikler</w:t>
      </w:r>
      <w:r w:rsidR="007D646B" w:rsidRPr="00F50C10">
        <w:rPr>
          <w:rFonts w:eastAsia="Times New Roman" w:cs="Times New Roman"/>
          <w:b/>
          <w:bCs/>
          <w:szCs w:val="24"/>
          <w:lang w:val="nl-NL" w:bidi="tr-TR"/>
        </w:rPr>
        <w:t xml:space="preserve"> </w:t>
      </w:r>
      <w:r w:rsidRPr="00F50C10">
        <w:rPr>
          <w:rFonts w:eastAsia="Times New Roman" w:cs="Times New Roman"/>
          <w:b/>
          <w:bCs/>
          <w:szCs w:val="24"/>
          <w:lang w:val="nl-NL" w:bidi="tr-TR"/>
        </w:rPr>
        <w:t>(örneğin aseton) geri kazan</w:t>
      </w:r>
      <w:r w:rsidR="007D646B" w:rsidRPr="00F50C10">
        <w:rPr>
          <w:rFonts w:eastAsia="Times New Roman" w:cs="Times New Roman"/>
          <w:b/>
          <w:bCs/>
          <w:szCs w:val="24"/>
          <w:lang w:val="nl-NL" w:bidi="tr-TR"/>
        </w:rPr>
        <w:t>ıl</w:t>
      </w:r>
      <w:r w:rsidRPr="00F50C10">
        <w:rPr>
          <w:rFonts w:eastAsia="Times New Roman" w:cs="Times New Roman"/>
          <w:b/>
          <w:bCs/>
          <w:szCs w:val="24"/>
          <w:lang w:val="nl-NL" w:bidi="tr-TR"/>
        </w:rPr>
        <w:t>ır.</w:t>
      </w:r>
    </w:p>
    <w:p w14:paraId="6F2B54B8" w14:textId="7B0B8401" w:rsidR="00BB704F" w:rsidRPr="00F50C10" w:rsidRDefault="00BB704F" w:rsidP="000B206D">
      <w:pPr>
        <w:widowControl w:val="0"/>
        <w:autoSpaceDE w:val="0"/>
        <w:autoSpaceDN w:val="0"/>
        <w:spacing w:before="240" w:line="276" w:lineRule="auto"/>
        <w:rPr>
          <w:rFonts w:eastAsia="Times New Roman" w:cs="Times New Roman"/>
          <w:szCs w:val="24"/>
          <w:lang w:val="nl-NL" w:bidi="tr-TR"/>
        </w:rPr>
      </w:pPr>
      <w:r w:rsidRPr="00F50C10">
        <w:rPr>
          <w:rFonts w:eastAsia="Times New Roman" w:cs="Times New Roman"/>
          <w:szCs w:val="24"/>
          <w:lang w:val="nl-NL" w:bidi="tr-TR"/>
        </w:rPr>
        <w:t>Fenol içeren atık su akışlarından pH'ın &lt;7'ye ayarlanması, ardından uygun bir çözücü ile ekstraksiyon ve artık çözücüyü ve diğer düşük kaynama noktalı bileşikleri (örneğin aseton) çıkarmak için atık suyun sıyrılmasıyla fenol geri kaza</w:t>
      </w:r>
      <w:r w:rsidR="007D646B" w:rsidRPr="00F50C10">
        <w:rPr>
          <w:rFonts w:eastAsia="Times New Roman" w:cs="Times New Roman"/>
          <w:szCs w:val="24"/>
          <w:lang w:val="nl-NL" w:bidi="tr-TR"/>
        </w:rPr>
        <w:t>nılır</w:t>
      </w:r>
      <w:r w:rsidRPr="00F50C10">
        <w:rPr>
          <w:rFonts w:eastAsia="Times New Roman" w:cs="Times New Roman"/>
          <w:szCs w:val="24"/>
          <w:lang w:val="nl-NL" w:bidi="tr-TR"/>
        </w:rPr>
        <w:t>. Arıtma tekniklerinin açıklaması için 12.2 kısmına bakınız.</w:t>
      </w:r>
    </w:p>
    <w:p w14:paraId="6C5E08F5"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46" w:name="_Toc136613731"/>
      <w:r w:rsidRPr="00F50C10">
        <w:rPr>
          <w:rFonts w:eastAsia="Times New Roman" w:cs="Times New Roman"/>
          <w:b/>
          <w:szCs w:val="24"/>
          <w:lang w:val="tr-TR"/>
        </w:rPr>
        <w:t>Kalıntılar</w:t>
      </w:r>
      <w:bookmarkEnd w:id="46"/>
    </w:p>
    <w:p w14:paraId="6E8A916B" w14:textId="015179D6" w:rsidR="00BB704F" w:rsidRPr="00F50C10" w:rsidRDefault="00BB704F" w:rsidP="000B206D">
      <w:pPr>
        <w:widowControl w:val="0"/>
        <w:autoSpaceDE w:val="0"/>
        <w:autoSpaceDN w:val="0"/>
        <w:spacing w:before="240" w:line="276" w:lineRule="auto"/>
        <w:jc w:val="left"/>
        <w:rPr>
          <w:rFonts w:eastAsia="Times New Roman" w:cs="Times New Roman"/>
          <w:b/>
          <w:bCs/>
          <w:szCs w:val="24"/>
          <w:lang w:val="nl-NL" w:bidi="tr-TR"/>
        </w:rPr>
      </w:pPr>
      <w:r w:rsidRPr="00F50C10">
        <w:rPr>
          <w:rFonts w:eastAsia="Times New Roman" w:cs="Times New Roman"/>
          <w:b/>
          <w:bCs/>
          <w:szCs w:val="24"/>
          <w:lang w:val="nl-NL" w:bidi="tr-TR"/>
        </w:rPr>
        <w:t>MET 60: Fenol saflaştırmadan bertaraf edilmek üzere gönderilen katranı önlemek veya azaltmak için, aşağıda verilen tekniklerden biri</w:t>
      </w:r>
      <w:r w:rsidR="007D646B" w:rsidRPr="00F50C10">
        <w:rPr>
          <w:rFonts w:eastAsia="Times New Roman" w:cs="Times New Roman"/>
          <w:b/>
          <w:bCs/>
          <w:szCs w:val="24"/>
          <w:lang w:val="nl-NL" w:bidi="tr-TR"/>
        </w:rPr>
        <w:t xml:space="preserve"> </w:t>
      </w:r>
      <w:r w:rsidRPr="00F50C10">
        <w:rPr>
          <w:rFonts w:eastAsia="Times New Roman" w:cs="Times New Roman"/>
          <w:b/>
          <w:bCs/>
          <w:szCs w:val="24"/>
          <w:lang w:val="nl-NL" w:bidi="tr-TR"/>
        </w:rPr>
        <w:t>veya her ikisi</w:t>
      </w:r>
      <w:r w:rsidR="007D646B" w:rsidRPr="00F50C10">
        <w:rPr>
          <w:rFonts w:eastAsia="Times New Roman" w:cs="Times New Roman"/>
          <w:b/>
          <w:bCs/>
          <w:szCs w:val="24"/>
          <w:lang w:val="nl-NL" w:bidi="tr-TR"/>
        </w:rPr>
        <w:t xml:space="preserve"> </w:t>
      </w:r>
      <w:r w:rsidRPr="00F50C10">
        <w:rPr>
          <w:rFonts w:eastAsia="Times New Roman" w:cs="Times New Roman"/>
          <w:b/>
          <w:bCs/>
          <w:szCs w:val="24"/>
          <w:lang w:val="nl-NL" w:bidi="tr-TR"/>
        </w:rPr>
        <w:t>kulla</w:t>
      </w:r>
      <w:r w:rsidR="007D646B" w:rsidRPr="00F50C10">
        <w:rPr>
          <w:rFonts w:eastAsia="Times New Roman" w:cs="Times New Roman"/>
          <w:b/>
          <w:bCs/>
          <w:szCs w:val="24"/>
          <w:lang w:val="nl-NL" w:bidi="tr-TR"/>
        </w:rPr>
        <w:t>nıl</w:t>
      </w:r>
      <w:r w:rsidRPr="00F50C10">
        <w:rPr>
          <w:rFonts w:eastAsia="Times New Roman" w:cs="Times New Roman"/>
          <w:b/>
          <w:bCs/>
          <w:szCs w:val="24"/>
          <w:lang w:val="nl-NL" w:bidi="tr-TR"/>
        </w:rPr>
        <w:t>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282"/>
        <w:gridCol w:w="3154"/>
        <w:gridCol w:w="2716"/>
      </w:tblGrid>
      <w:tr w:rsidR="00BB704F" w:rsidRPr="00F50C10" w14:paraId="2C0F55DC" w14:textId="77777777" w:rsidTr="00BB704F">
        <w:trPr>
          <w:trHeight w:val="230"/>
        </w:trPr>
        <w:tc>
          <w:tcPr>
            <w:tcW w:w="143" w:type="pct"/>
            <w:tcBorders>
              <w:right w:val="single" w:sz="4" w:space="0" w:color="auto"/>
            </w:tcBorders>
          </w:tcPr>
          <w:p w14:paraId="54F99DCC"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363" w:type="pct"/>
            <w:tcBorders>
              <w:left w:val="single" w:sz="4" w:space="0" w:color="auto"/>
            </w:tcBorders>
          </w:tcPr>
          <w:p w14:paraId="0727728E"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1876" w:type="pct"/>
          </w:tcPr>
          <w:p w14:paraId="0F626417"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618" w:type="pct"/>
          </w:tcPr>
          <w:p w14:paraId="4CA68A2A"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42669FB8" w14:textId="77777777" w:rsidTr="00BB704F">
        <w:trPr>
          <w:trHeight w:val="691"/>
        </w:trPr>
        <w:tc>
          <w:tcPr>
            <w:tcW w:w="143" w:type="pct"/>
            <w:vAlign w:val="center"/>
          </w:tcPr>
          <w:p w14:paraId="635DA24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363" w:type="pct"/>
            <w:vAlign w:val="center"/>
          </w:tcPr>
          <w:p w14:paraId="1A2750F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Malzemenin geri kazanımı (örn.  damıtma, parçalama yoluyla)</w:t>
            </w:r>
          </w:p>
        </w:tc>
        <w:tc>
          <w:tcPr>
            <w:tcW w:w="1876" w:type="pct"/>
            <w:vAlign w:val="center"/>
          </w:tcPr>
          <w:p w14:paraId="7159DF08" w14:textId="77777777" w:rsidR="00BB704F" w:rsidRPr="00F50C10" w:rsidRDefault="00BB704F" w:rsidP="000B206D">
            <w:pPr>
              <w:tabs>
                <w:tab w:val="left" w:pos="952"/>
                <w:tab w:val="left" w:pos="1870"/>
              </w:tabs>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Bkz. MET 17c. Kümen, a-metilstiren fenol vb. geri kazanmak için damıtma kullanın.</w:t>
            </w:r>
          </w:p>
        </w:tc>
        <w:tc>
          <w:tcPr>
            <w:tcW w:w="1618" w:type="pct"/>
            <w:vAlign w:val="center"/>
          </w:tcPr>
          <w:p w14:paraId="1FCE24C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1E08F710" w14:textId="77777777" w:rsidTr="00BB704F">
        <w:trPr>
          <w:trHeight w:val="230"/>
        </w:trPr>
        <w:tc>
          <w:tcPr>
            <w:tcW w:w="143" w:type="pct"/>
            <w:vAlign w:val="center"/>
          </w:tcPr>
          <w:p w14:paraId="760A281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363" w:type="pct"/>
            <w:vAlign w:val="center"/>
          </w:tcPr>
          <w:p w14:paraId="7EB1CB4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Katranın yakıt olarak kullanılması</w:t>
            </w:r>
          </w:p>
        </w:tc>
        <w:tc>
          <w:tcPr>
            <w:tcW w:w="1876" w:type="pct"/>
            <w:vAlign w:val="center"/>
          </w:tcPr>
          <w:p w14:paraId="05D1696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 </w:t>
            </w:r>
            <w:hyperlink w:anchor="_bookmark770" w:history="1">
              <w:r w:rsidRPr="00F50C10">
                <w:rPr>
                  <w:rFonts w:eastAsia="Times New Roman" w:cs="Times New Roman"/>
                  <w:szCs w:val="24"/>
                  <w:lang w:val="tr-TR" w:bidi="tr-TR"/>
                </w:rPr>
                <w:t>MET 17</w:t>
              </w:r>
            </w:hyperlink>
            <w:r w:rsidRPr="00F50C10">
              <w:rPr>
                <w:rFonts w:eastAsia="Times New Roman" w:cs="Times New Roman"/>
                <w:szCs w:val="24"/>
                <w:lang w:val="tr-TR" w:bidi="tr-TR"/>
              </w:rPr>
              <w:t>e.</w:t>
            </w:r>
          </w:p>
        </w:tc>
        <w:tc>
          <w:tcPr>
            <w:tcW w:w="1618" w:type="pct"/>
            <w:vAlign w:val="center"/>
          </w:tcPr>
          <w:p w14:paraId="4DC51D7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2E59C2F7" w14:textId="2EB91D54" w:rsidR="00BB704F" w:rsidRPr="00F50C10" w:rsidRDefault="00BB704F" w:rsidP="00A654AE">
      <w:pPr>
        <w:widowControl w:val="0"/>
        <w:numPr>
          <w:ilvl w:val="0"/>
          <w:numId w:val="179"/>
        </w:numPr>
        <w:autoSpaceDE w:val="0"/>
        <w:autoSpaceDN w:val="0"/>
        <w:spacing w:before="240" w:line="276" w:lineRule="auto"/>
        <w:jc w:val="left"/>
        <w:outlineLvl w:val="0"/>
        <w:rPr>
          <w:rFonts w:eastAsia="Times New Roman" w:cs="Times New Roman"/>
          <w:b/>
          <w:bCs/>
          <w:szCs w:val="24"/>
          <w:lang w:val="tr-TR"/>
        </w:rPr>
      </w:pPr>
      <w:bookmarkStart w:id="47" w:name="_Toc136613732"/>
      <w:r w:rsidRPr="00F50C10">
        <w:rPr>
          <w:rFonts w:eastAsia="Times New Roman" w:cs="Times New Roman"/>
          <w:b/>
          <w:bCs/>
          <w:szCs w:val="24"/>
          <w:lang w:val="tr-TR"/>
        </w:rPr>
        <w:t xml:space="preserve">ETANOLAMİN ÜRETİMİNE İLİŞKİN MET </w:t>
      </w:r>
      <w:bookmarkEnd w:id="47"/>
    </w:p>
    <w:p w14:paraId="44994630" w14:textId="7CB83532" w:rsidR="00BB704F" w:rsidRPr="00F50C10" w:rsidRDefault="00BB704F" w:rsidP="000B206D">
      <w:pPr>
        <w:widowControl w:val="0"/>
        <w:autoSpaceDE w:val="0"/>
        <w:autoSpaceDN w:val="0"/>
        <w:spacing w:before="240" w:line="276" w:lineRule="auto"/>
        <w:jc w:val="left"/>
        <w:rPr>
          <w:rFonts w:eastAsia="Times New Roman" w:cs="Times New Roman"/>
          <w:szCs w:val="24"/>
          <w:lang w:val="tr-TR"/>
        </w:rPr>
      </w:pPr>
      <w:r w:rsidRPr="00F50C10">
        <w:rPr>
          <w:rFonts w:eastAsia="Times New Roman" w:cs="Times New Roman"/>
          <w:szCs w:val="24"/>
          <w:lang w:val="tr-TR"/>
        </w:rPr>
        <w:t>Bu bölümdeki MET, genel ME</w:t>
      </w:r>
      <w:r w:rsidR="0016039B" w:rsidRPr="00F50C10">
        <w:rPr>
          <w:rFonts w:eastAsia="Times New Roman" w:cs="Times New Roman"/>
          <w:szCs w:val="24"/>
          <w:lang w:val="tr-TR"/>
        </w:rPr>
        <w:t>T’e</w:t>
      </w:r>
      <w:r w:rsidRPr="00F50C10">
        <w:rPr>
          <w:rFonts w:eastAsia="Times New Roman" w:cs="Times New Roman"/>
          <w:szCs w:val="24"/>
          <w:lang w:val="tr-TR"/>
        </w:rPr>
        <w:t xml:space="preserve"> ek olarak geçerlidir.</w:t>
      </w:r>
    </w:p>
    <w:p w14:paraId="47266BB7"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color w:val="365F91"/>
          <w:szCs w:val="24"/>
          <w:lang w:val="tr-TR"/>
        </w:rPr>
      </w:pPr>
      <w:bookmarkStart w:id="48" w:name="_Toc136613733"/>
      <w:r w:rsidRPr="00F50C10">
        <w:rPr>
          <w:rFonts w:eastAsia="Times New Roman" w:cs="Times New Roman"/>
          <w:b/>
          <w:szCs w:val="24"/>
          <w:lang w:val="tr-TR"/>
        </w:rPr>
        <w:t>Hava Emisyonları</w:t>
      </w:r>
      <w:bookmarkEnd w:id="48"/>
    </w:p>
    <w:p w14:paraId="27FF21E0" w14:textId="613FCDE4"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b/>
          <w:bCs/>
          <w:szCs w:val="24"/>
          <w:lang w:val="tr-TR"/>
        </w:rPr>
        <w:t xml:space="preserve">MET 61: </w:t>
      </w:r>
      <w:r w:rsidRPr="00F50C10">
        <w:rPr>
          <w:rFonts w:eastAsia="Times New Roman" w:cs="Times New Roman"/>
          <w:szCs w:val="24"/>
          <w:lang w:val="tr-TR"/>
        </w:rPr>
        <w:t xml:space="preserve">Havaya amonyak emisyonlarını azaltmak ve sulu etanolamin üretim sürecinden kaynaklanan amonyak tüketimini azaltmak için, çok aşamalı bir </w:t>
      </w:r>
      <w:r w:rsidR="00B16387" w:rsidRPr="00F50C10">
        <w:rPr>
          <w:rFonts w:eastAsia="Times New Roman" w:cs="Times New Roman"/>
          <w:szCs w:val="24"/>
          <w:lang w:val="tr-TR"/>
        </w:rPr>
        <w:t>ıslak yıkama</w:t>
      </w:r>
      <w:r w:rsidRPr="00F50C10">
        <w:rPr>
          <w:rFonts w:eastAsia="Times New Roman" w:cs="Times New Roman"/>
          <w:szCs w:val="24"/>
          <w:lang w:val="tr-TR"/>
        </w:rPr>
        <w:t xml:space="preserve"> sistemi kullan</w:t>
      </w:r>
      <w:r w:rsidR="007D646B" w:rsidRPr="00F50C10">
        <w:rPr>
          <w:rFonts w:eastAsia="Times New Roman" w:cs="Times New Roman"/>
          <w:szCs w:val="24"/>
          <w:lang w:val="tr-TR"/>
        </w:rPr>
        <w:t>ıl</w:t>
      </w:r>
      <w:r w:rsidRPr="00F50C10">
        <w:rPr>
          <w:rFonts w:eastAsia="Times New Roman" w:cs="Times New Roman"/>
          <w:szCs w:val="24"/>
          <w:lang w:val="tr-TR"/>
        </w:rPr>
        <w:t>ır.</w:t>
      </w:r>
    </w:p>
    <w:p w14:paraId="3D3D5D49" w14:textId="67CA7CEA"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szCs w:val="24"/>
          <w:lang w:val="tr-TR"/>
        </w:rPr>
        <w:t xml:space="preserve">Reaksiyona girmemiş amonyak, amonyak sıyırıcının çıkış gazından ve ayrıca buharlaştırma ünitesinden </w:t>
      </w:r>
      <w:r w:rsidR="00B16387" w:rsidRPr="00F50C10">
        <w:rPr>
          <w:rFonts w:eastAsia="Times New Roman" w:cs="Times New Roman"/>
          <w:szCs w:val="24"/>
          <w:lang w:val="tr-TR"/>
        </w:rPr>
        <w:t>ıslak yıkama</w:t>
      </w:r>
      <w:r w:rsidRPr="00F50C10">
        <w:rPr>
          <w:rFonts w:eastAsia="Times New Roman" w:cs="Times New Roman"/>
          <w:szCs w:val="24"/>
          <w:lang w:val="tr-TR"/>
        </w:rPr>
        <w:t xml:space="preserve"> ve ardından amonyak geri dönüşümü ile en az iki aşamada geri kazanılır. </w:t>
      </w:r>
    </w:p>
    <w:p w14:paraId="76309CE0"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49" w:name="_Toc136613734"/>
      <w:r w:rsidRPr="00F50C10">
        <w:rPr>
          <w:rFonts w:eastAsia="Times New Roman" w:cs="Times New Roman"/>
          <w:b/>
          <w:szCs w:val="24"/>
          <w:lang w:val="tr-TR"/>
        </w:rPr>
        <w:t>Suya Deşarjlar</w:t>
      </w:r>
      <w:bookmarkEnd w:id="49"/>
    </w:p>
    <w:p w14:paraId="41FF28AC" w14:textId="6C12E150"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b/>
          <w:bCs/>
          <w:szCs w:val="24"/>
          <w:lang w:val="tr-TR"/>
        </w:rPr>
        <w:t xml:space="preserve">MET 62: </w:t>
      </w:r>
      <w:r w:rsidRPr="00F50C10">
        <w:rPr>
          <w:rFonts w:eastAsia="Times New Roman" w:cs="Times New Roman"/>
          <w:szCs w:val="24"/>
          <w:lang w:val="tr-TR"/>
        </w:rPr>
        <w:t>Organik bileşiklerin hava emisyonlarını ve organik maddelerin vakum sistemlerinden suya deşarjlarını önlemek veya azaltmak için, aşağıda verilen tekniklerden biri</w:t>
      </w:r>
      <w:r w:rsidR="007D646B" w:rsidRPr="00F50C10">
        <w:rPr>
          <w:rFonts w:eastAsia="Times New Roman" w:cs="Times New Roman"/>
          <w:szCs w:val="24"/>
          <w:lang w:val="tr-TR"/>
        </w:rPr>
        <w:t xml:space="preserve"> </w:t>
      </w:r>
      <w:r w:rsidRPr="00F50C10">
        <w:rPr>
          <w:rFonts w:eastAsia="Times New Roman" w:cs="Times New Roman"/>
          <w:szCs w:val="24"/>
          <w:lang w:val="tr-TR"/>
        </w:rPr>
        <w:t>veya birkaçı kullan</w:t>
      </w:r>
      <w:r w:rsidR="007D646B" w:rsidRPr="00F50C10">
        <w:rPr>
          <w:rFonts w:eastAsia="Times New Roman" w:cs="Times New Roman"/>
          <w:szCs w:val="24"/>
          <w:lang w:val="tr-TR"/>
        </w:rPr>
        <w:t>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584"/>
        <w:gridCol w:w="3449"/>
        <w:gridCol w:w="2119"/>
      </w:tblGrid>
      <w:tr w:rsidR="00BB704F" w:rsidRPr="00F50C10" w14:paraId="4B928FE7" w14:textId="77777777" w:rsidTr="00BB704F">
        <w:trPr>
          <w:trHeight w:val="230"/>
          <w:tblHeader/>
        </w:trPr>
        <w:tc>
          <w:tcPr>
            <w:tcW w:w="160" w:type="pct"/>
            <w:tcBorders>
              <w:top w:val="single" w:sz="4" w:space="0" w:color="auto"/>
              <w:right w:val="single" w:sz="4" w:space="0" w:color="auto"/>
            </w:tcBorders>
          </w:tcPr>
          <w:p w14:paraId="74C82C84"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547" w:type="pct"/>
            <w:tcBorders>
              <w:top w:val="single" w:sz="4" w:space="0" w:color="auto"/>
              <w:left w:val="single" w:sz="4" w:space="0" w:color="auto"/>
            </w:tcBorders>
            <w:vAlign w:val="center"/>
          </w:tcPr>
          <w:p w14:paraId="3E60C295" w14:textId="77777777" w:rsidR="00BB704F" w:rsidRPr="00F50C10" w:rsidRDefault="00BB704F" w:rsidP="000B206D">
            <w:pPr>
              <w:spacing w:line="276" w:lineRule="auto"/>
              <w:ind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2056" w:type="pct"/>
            <w:vAlign w:val="center"/>
          </w:tcPr>
          <w:p w14:paraId="2115A712"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37" w:type="pct"/>
            <w:vAlign w:val="center"/>
          </w:tcPr>
          <w:p w14:paraId="56B72851"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6ED061AB" w14:textId="77777777" w:rsidTr="00BB704F">
        <w:trPr>
          <w:trHeight w:val="1151"/>
        </w:trPr>
        <w:tc>
          <w:tcPr>
            <w:tcW w:w="160" w:type="pct"/>
            <w:vAlign w:val="center"/>
          </w:tcPr>
          <w:p w14:paraId="50A7810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547" w:type="pct"/>
            <w:vAlign w:val="center"/>
          </w:tcPr>
          <w:p w14:paraId="450D1FB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Susuz vakum oluşturma</w:t>
            </w:r>
          </w:p>
        </w:tc>
        <w:tc>
          <w:tcPr>
            <w:tcW w:w="2056" w:type="pct"/>
            <w:vAlign w:val="center"/>
          </w:tcPr>
          <w:p w14:paraId="238772B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Kuru çalışan pompaların, örneğin karşıt hareketli pompaların kullanılması</w:t>
            </w:r>
          </w:p>
        </w:tc>
        <w:tc>
          <w:tcPr>
            <w:tcW w:w="1237" w:type="pct"/>
            <w:vAlign w:val="center"/>
          </w:tcPr>
          <w:p w14:paraId="1E48ED9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Mevcut tesislere uygulanabilirlik, tasarım ve/veya işletim kısıtlamaları nedeniyle kısıtlanabilir.</w:t>
            </w:r>
          </w:p>
        </w:tc>
      </w:tr>
      <w:tr w:rsidR="00BB704F" w:rsidRPr="00F50C10" w14:paraId="4A942862" w14:textId="77777777" w:rsidTr="00BB704F">
        <w:trPr>
          <w:trHeight w:val="1380"/>
        </w:trPr>
        <w:tc>
          <w:tcPr>
            <w:tcW w:w="160" w:type="pct"/>
            <w:vAlign w:val="center"/>
          </w:tcPr>
          <w:p w14:paraId="4B3FE1D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547" w:type="pct"/>
            <w:vAlign w:val="center"/>
          </w:tcPr>
          <w:p w14:paraId="6CC7032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Çember suyunun yeniden sirküle edildiği su çemberli pompaların kullanılması</w:t>
            </w:r>
          </w:p>
        </w:tc>
        <w:tc>
          <w:tcPr>
            <w:tcW w:w="2056" w:type="pct"/>
            <w:vAlign w:val="center"/>
          </w:tcPr>
          <w:p w14:paraId="29D04B5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Pompanın sızdırmazlık sıvısı olarak kullanılan su, yalnızca küçük tasfiyelerle kapalı bir döngü aracılığıyla pompa gövdesine yeniden sirküle edilir, böylece atık su oluşumu en aza indirilir</w:t>
            </w:r>
          </w:p>
        </w:tc>
        <w:tc>
          <w:tcPr>
            <w:tcW w:w="1237" w:type="pct"/>
            <w:vAlign w:val="center"/>
          </w:tcPr>
          <w:p w14:paraId="36E79C6E"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Yalnızca teknik-a uygulanamadığında geçerlidir.</w:t>
            </w:r>
          </w:p>
          <w:p w14:paraId="6E68EE8A" w14:textId="77777777" w:rsidR="00BB704F" w:rsidRPr="00F50C10" w:rsidRDefault="00BB704F" w:rsidP="000B206D">
            <w:pPr>
              <w:tabs>
                <w:tab w:val="left" w:pos="690"/>
                <w:tab w:val="left" w:pos="1794"/>
              </w:tabs>
              <w:spacing w:line="276" w:lineRule="auto"/>
              <w:ind w:left="108" w:right="108"/>
              <w:rPr>
                <w:rFonts w:eastAsia="Times New Roman" w:cs="Times New Roman"/>
                <w:szCs w:val="24"/>
                <w:lang w:val="tr-TR"/>
              </w:rPr>
            </w:pPr>
            <w:r w:rsidRPr="00F50C10">
              <w:rPr>
                <w:rFonts w:eastAsia="Times New Roman" w:cs="Times New Roman"/>
                <w:szCs w:val="24"/>
                <w:lang w:val="tr-TR" w:bidi="tr-TR"/>
              </w:rPr>
              <w:t>Trietanolamin damıtma için geçerli değildir.</w:t>
            </w:r>
          </w:p>
        </w:tc>
      </w:tr>
      <w:tr w:rsidR="00BB704F" w:rsidRPr="00F50C10" w14:paraId="07D7B4F1" w14:textId="77777777" w:rsidTr="00BB704F">
        <w:trPr>
          <w:trHeight w:val="141"/>
        </w:trPr>
        <w:tc>
          <w:tcPr>
            <w:tcW w:w="160" w:type="pct"/>
            <w:vAlign w:val="center"/>
          </w:tcPr>
          <w:p w14:paraId="30DE020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547" w:type="pct"/>
            <w:vAlign w:val="center"/>
          </w:tcPr>
          <w:p w14:paraId="4FFFC85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Vakum sistemlerinin sulu akışlarının proseste yeniden kullanılması</w:t>
            </w:r>
          </w:p>
        </w:tc>
        <w:tc>
          <w:tcPr>
            <w:tcW w:w="2056" w:type="pct"/>
            <w:vAlign w:val="center"/>
          </w:tcPr>
          <w:p w14:paraId="22B6761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Su halkalı pompalardan veya buhar ejektörlerinden gelen sulu akımları, organik materyalin geri kazanılması ve suyun yeniden kullanılması için prosese geri verin. Proseste suyun ne ölçüde yeniden kullanılabileceği, prosesin su talebi ile sınırlıdır.</w:t>
            </w:r>
          </w:p>
        </w:tc>
        <w:tc>
          <w:tcPr>
            <w:tcW w:w="1237" w:type="pct"/>
            <w:vAlign w:val="center"/>
          </w:tcPr>
          <w:p w14:paraId="4CDE5109" w14:textId="77777777" w:rsidR="00BB704F" w:rsidRPr="00F50C10" w:rsidRDefault="00BB704F" w:rsidP="000B206D">
            <w:pPr>
              <w:spacing w:line="276" w:lineRule="auto"/>
              <w:ind w:left="108" w:right="108" w:firstLine="4"/>
              <w:rPr>
                <w:rFonts w:eastAsia="Times New Roman" w:cs="Times New Roman"/>
                <w:szCs w:val="24"/>
                <w:lang w:val="tr-TR"/>
              </w:rPr>
            </w:pPr>
            <w:r w:rsidRPr="00F50C10">
              <w:rPr>
                <w:rFonts w:eastAsia="Times New Roman" w:cs="Times New Roman"/>
                <w:szCs w:val="24"/>
                <w:lang w:val="tr-TR" w:bidi="tr-TR"/>
              </w:rPr>
              <w:t>Yalnızca teknik-a uygulanamadığında uygulanabilir.</w:t>
            </w:r>
          </w:p>
        </w:tc>
      </w:tr>
      <w:tr w:rsidR="00BB704F" w:rsidRPr="00F50C10" w14:paraId="75EDB0AD" w14:textId="77777777" w:rsidTr="00BB704F">
        <w:trPr>
          <w:trHeight w:val="690"/>
        </w:trPr>
        <w:tc>
          <w:tcPr>
            <w:tcW w:w="160" w:type="pct"/>
            <w:vAlign w:val="center"/>
          </w:tcPr>
          <w:p w14:paraId="79453FE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d</w:t>
            </w:r>
          </w:p>
        </w:tc>
        <w:tc>
          <w:tcPr>
            <w:tcW w:w="1547" w:type="pct"/>
            <w:vAlign w:val="center"/>
          </w:tcPr>
          <w:p w14:paraId="70B0EC7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Organik bileşiklerin (aminler) vakum sistemlerinin yukarı akışında yoğunlaşması</w:t>
            </w:r>
          </w:p>
        </w:tc>
        <w:tc>
          <w:tcPr>
            <w:tcW w:w="2056" w:type="pct"/>
            <w:vAlign w:val="center"/>
          </w:tcPr>
          <w:p w14:paraId="4E6C549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hyperlink w:anchor="_bookmark800"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_Ref136600432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12.1</w:t>
              </w:r>
              <w:r w:rsidRPr="00F50C10">
                <w:rPr>
                  <w:rFonts w:eastAsia="Times New Roman" w:cs="Times New Roman"/>
                  <w:szCs w:val="24"/>
                  <w:lang w:val="tr-TR" w:bidi="tr-TR"/>
                </w:rPr>
                <w:fldChar w:fldCharType="end"/>
              </w:r>
            </w:hyperlink>
          </w:p>
        </w:tc>
        <w:tc>
          <w:tcPr>
            <w:tcW w:w="1237" w:type="pct"/>
            <w:vAlign w:val="center"/>
          </w:tcPr>
          <w:p w14:paraId="2CF60A1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1FFBE3F9"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50" w:name="_Toc136613735"/>
      <w:r w:rsidRPr="00F50C10">
        <w:rPr>
          <w:rFonts w:eastAsia="Times New Roman" w:cs="Times New Roman"/>
          <w:b/>
          <w:szCs w:val="24"/>
          <w:lang w:val="tr-TR"/>
        </w:rPr>
        <w:t>Hammadde Tüketimi</w:t>
      </w:r>
      <w:bookmarkEnd w:id="50"/>
    </w:p>
    <w:p w14:paraId="1D659BFB" w14:textId="06E9A10C"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b/>
          <w:bCs/>
          <w:szCs w:val="24"/>
          <w:lang w:val="tr-TR"/>
        </w:rPr>
        <w:t xml:space="preserve">MET 63: </w:t>
      </w:r>
      <w:r w:rsidRPr="00F50C10">
        <w:rPr>
          <w:rFonts w:eastAsia="Times New Roman" w:cs="Times New Roman"/>
          <w:szCs w:val="24"/>
          <w:lang w:val="tr-TR"/>
        </w:rPr>
        <w:t>Etilen oksidi verimli bir şekilde kullanmak için, aşağıda verilen tekniklerin bir kombinasyonu kullan</w:t>
      </w:r>
      <w:r w:rsidR="007D646B" w:rsidRPr="00F50C10">
        <w:rPr>
          <w:rFonts w:eastAsia="Times New Roman" w:cs="Times New Roman"/>
          <w:szCs w:val="24"/>
          <w:lang w:val="tr-TR"/>
        </w:rPr>
        <w:t>ıl</w:t>
      </w:r>
      <w:r w:rsidRPr="00F50C10">
        <w:rPr>
          <w:rFonts w:eastAsia="Times New Roman" w:cs="Times New Roman"/>
          <w:szCs w:val="24"/>
          <w:lang w:val="tr-TR"/>
        </w:rPr>
        <w:t>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623"/>
        <w:gridCol w:w="3462"/>
        <w:gridCol w:w="2067"/>
      </w:tblGrid>
      <w:tr w:rsidR="00BB704F" w:rsidRPr="00F50C10" w14:paraId="10318A03" w14:textId="77777777" w:rsidTr="00BB704F">
        <w:trPr>
          <w:trHeight w:val="230"/>
          <w:tblHeader/>
        </w:trPr>
        <w:tc>
          <w:tcPr>
            <w:tcW w:w="146" w:type="pct"/>
            <w:tcBorders>
              <w:right w:val="single" w:sz="4" w:space="0" w:color="auto"/>
            </w:tcBorders>
          </w:tcPr>
          <w:p w14:paraId="5E1D9B76"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563" w:type="pct"/>
            <w:tcBorders>
              <w:left w:val="single" w:sz="4" w:space="0" w:color="auto"/>
            </w:tcBorders>
            <w:vAlign w:val="center"/>
          </w:tcPr>
          <w:p w14:paraId="30E1EF4F" w14:textId="77777777" w:rsidR="00BB704F" w:rsidRPr="00F50C10" w:rsidRDefault="00BB704F" w:rsidP="000B206D">
            <w:pPr>
              <w:spacing w:line="276" w:lineRule="auto"/>
              <w:ind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2056" w:type="pct"/>
            <w:vAlign w:val="center"/>
          </w:tcPr>
          <w:p w14:paraId="66A683B0"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35" w:type="pct"/>
            <w:vAlign w:val="center"/>
          </w:tcPr>
          <w:p w14:paraId="1D16D68C"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1D4FE793" w14:textId="77777777" w:rsidTr="00BB704F">
        <w:trPr>
          <w:trHeight w:val="921"/>
        </w:trPr>
        <w:tc>
          <w:tcPr>
            <w:tcW w:w="146" w:type="pct"/>
            <w:vAlign w:val="center"/>
          </w:tcPr>
          <w:p w14:paraId="57883DB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563" w:type="pct"/>
            <w:vAlign w:val="center"/>
          </w:tcPr>
          <w:p w14:paraId="20B3E71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Fazlalık amonyağın kullanımı</w:t>
            </w:r>
          </w:p>
        </w:tc>
        <w:tc>
          <w:tcPr>
            <w:tcW w:w="2056" w:type="pct"/>
            <w:vAlign w:val="center"/>
          </w:tcPr>
          <w:p w14:paraId="30B5999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Reaksiyon karışımında yüksek seviyede amonyak tutulması, tüm etilen oksidin ürünlere dönüştürülmesini etkili bir şekilde sağlar.</w:t>
            </w:r>
          </w:p>
        </w:tc>
        <w:tc>
          <w:tcPr>
            <w:tcW w:w="1235" w:type="pct"/>
            <w:vAlign w:val="center"/>
          </w:tcPr>
          <w:p w14:paraId="41D1810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5B3EEA69" w14:textId="77777777" w:rsidTr="00BB704F">
        <w:trPr>
          <w:trHeight w:val="918"/>
        </w:trPr>
        <w:tc>
          <w:tcPr>
            <w:tcW w:w="146" w:type="pct"/>
            <w:vAlign w:val="center"/>
          </w:tcPr>
          <w:p w14:paraId="1D73B9D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563" w:type="pct"/>
            <w:vAlign w:val="center"/>
          </w:tcPr>
          <w:p w14:paraId="7BAC180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Reaksiyondaki su içeriğinin optimizasyonu</w:t>
            </w:r>
          </w:p>
        </w:tc>
        <w:tc>
          <w:tcPr>
            <w:tcW w:w="2056" w:type="pct"/>
            <w:vAlign w:val="center"/>
          </w:tcPr>
          <w:p w14:paraId="1421EE7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Su, ürün dağılımını değiştirmeden ve etilen oksitten glikollere önemli yan reaksiyonlar olmadan ana reaksiyonları hızlandırır.</w:t>
            </w:r>
          </w:p>
        </w:tc>
        <w:tc>
          <w:tcPr>
            <w:tcW w:w="1235" w:type="pct"/>
            <w:vAlign w:val="center"/>
          </w:tcPr>
          <w:p w14:paraId="74C5970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sulu işlem için geçerlidir.</w:t>
            </w:r>
          </w:p>
        </w:tc>
      </w:tr>
      <w:tr w:rsidR="00BB704F" w:rsidRPr="00F50C10" w14:paraId="2737D0E4" w14:textId="77777777" w:rsidTr="00BB704F">
        <w:trPr>
          <w:trHeight w:val="1380"/>
        </w:trPr>
        <w:tc>
          <w:tcPr>
            <w:tcW w:w="146" w:type="pct"/>
            <w:vAlign w:val="center"/>
          </w:tcPr>
          <w:p w14:paraId="17B3B17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563" w:type="pct"/>
            <w:vAlign w:val="center"/>
          </w:tcPr>
          <w:p w14:paraId="63ABC43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Proses işletim koşullarının optimizasyonu</w:t>
            </w:r>
          </w:p>
        </w:tc>
        <w:tc>
          <w:tcPr>
            <w:tcW w:w="2056" w:type="pct"/>
            <w:vAlign w:val="center"/>
          </w:tcPr>
          <w:p w14:paraId="4F94908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Etilen oksidin istenen mono-, di-, trietanolamin karışımına dönüşümünü en üst düzeye çıkarmak için optimum çalışma koşullarını (örneğin sıcaklık, basınç, kalma süresi) belirleyin ve koruyun.</w:t>
            </w:r>
          </w:p>
        </w:tc>
        <w:tc>
          <w:tcPr>
            <w:tcW w:w="1235" w:type="pct"/>
            <w:vAlign w:val="center"/>
          </w:tcPr>
          <w:p w14:paraId="117A987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2554D45F" w14:textId="41DDB0C1" w:rsidR="00BB704F" w:rsidRPr="00F50C10" w:rsidRDefault="00BB704F" w:rsidP="00A654AE">
      <w:pPr>
        <w:widowControl w:val="0"/>
        <w:numPr>
          <w:ilvl w:val="0"/>
          <w:numId w:val="179"/>
        </w:numPr>
        <w:autoSpaceDE w:val="0"/>
        <w:autoSpaceDN w:val="0"/>
        <w:spacing w:before="240" w:line="276" w:lineRule="auto"/>
        <w:jc w:val="left"/>
        <w:outlineLvl w:val="0"/>
        <w:rPr>
          <w:rFonts w:eastAsia="Times New Roman" w:cs="Times New Roman"/>
          <w:b/>
          <w:bCs/>
          <w:szCs w:val="24"/>
          <w:lang w:val="tr-TR"/>
        </w:rPr>
      </w:pPr>
      <w:bookmarkStart w:id="51" w:name="_Toc136613736"/>
      <w:r w:rsidRPr="00F50C10">
        <w:rPr>
          <w:rFonts w:eastAsia="Times New Roman" w:cs="Times New Roman"/>
          <w:b/>
          <w:bCs/>
          <w:szCs w:val="24"/>
          <w:lang w:val="tr-TR"/>
        </w:rPr>
        <w:t xml:space="preserve">TOLUEN DİİZOSİYANAT (TDI) VE METİLEN DİFENİL DİİZOSİYANAT (MDI) ÜRETİMİNE İLİŞKİN MET </w:t>
      </w:r>
      <w:bookmarkEnd w:id="51"/>
    </w:p>
    <w:p w14:paraId="426412EF" w14:textId="77777777" w:rsidR="00BB704F" w:rsidRPr="00F50C10" w:rsidRDefault="00BB704F" w:rsidP="000B206D">
      <w:pPr>
        <w:widowControl w:val="0"/>
        <w:autoSpaceDE w:val="0"/>
        <w:autoSpaceDN w:val="0"/>
        <w:spacing w:before="240" w:line="276" w:lineRule="auto"/>
        <w:jc w:val="left"/>
        <w:rPr>
          <w:rFonts w:eastAsia="Times New Roman" w:cs="Times New Roman"/>
          <w:szCs w:val="24"/>
          <w:lang w:val="tr-TR"/>
        </w:rPr>
      </w:pPr>
      <w:r w:rsidRPr="00F50C10">
        <w:rPr>
          <w:rFonts w:eastAsia="Times New Roman" w:cs="Times New Roman"/>
          <w:szCs w:val="24"/>
          <w:lang w:val="tr-TR"/>
        </w:rPr>
        <w:t>Bu kısımdaki MET sonuçları aşağıdakilerin üretimini kapsamaktadır:</w:t>
      </w:r>
    </w:p>
    <w:p w14:paraId="14372D2C" w14:textId="77777777" w:rsidR="00BB704F" w:rsidRPr="00F50C10" w:rsidRDefault="00BB704F" w:rsidP="000B206D">
      <w:pPr>
        <w:widowControl w:val="0"/>
        <w:numPr>
          <w:ilvl w:val="0"/>
          <w:numId w:val="11"/>
        </w:numPr>
        <w:autoSpaceDE w:val="0"/>
        <w:autoSpaceDN w:val="0"/>
        <w:spacing w:before="240" w:line="276" w:lineRule="auto"/>
        <w:contextualSpacing/>
        <w:jc w:val="left"/>
        <w:rPr>
          <w:rFonts w:eastAsia="Times New Roman" w:cs="Times New Roman"/>
          <w:szCs w:val="24"/>
          <w:lang w:val="tr-TR"/>
        </w:rPr>
      </w:pPr>
      <w:r w:rsidRPr="00F50C10">
        <w:rPr>
          <w:rFonts w:eastAsia="Times New Roman" w:cs="Times New Roman"/>
          <w:szCs w:val="24"/>
          <w:lang w:val="tr-TR"/>
        </w:rPr>
        <w:t>toluenden dinitrotoluen (DNT);</w:t>
      </w:r>
    </w:p>
    <w:p w14:paraId="23CCBC5D" w14:textId="77777777" w:rsidR="00BB704F" w:rsidRPr="00F50C10" w:rsidRDefault="00BB704F" w:rsidP="000B206D">
      <w:pPr>
        <w:widowControl w:val="0"/>
        <w:numPr>
          <w:ilvl w:val="0"/>
          <w:numId w:val="11"/>
        </w:numPr>
        <w:autoSpaceDE w:val="0"/>
        <w:autoSpaceDN w:val="0"/>
        <w:spacing w:before="240" w:line="276" w:lineRule="auto"/>
        <w:contextualSpacing/>
        <w:jc w:val="left"/>
        <w:rPr>
          <w:rFonts w:eastAsia="Times New Roman" w:cs="Times New Roman"/>
          <w:szCs w:val="24"/>
          <w:lang w:val="tr-TR"/>
        </w:rPr>
      </w:pPr>
      <w:r w:rsidRPr="00F50C10">
        <w:rPr>
          <w:rFonts w:eastAsia="Times New Roman" w:cs="Times New Roman"/>
          <w:szCs w:val="24"/>
          <w:lang w:val="tr-TR"/>
        </w:rPr>
        <w:t>DNT'den toluen diamin (TDA);</w:t>
      </w:r>
    </w:p>
    <w:p w14:paraId="00630B4A" w14:textId="77777777" w:rsidR="00BB704F" w:rsidRPr="00F50C10" w:rsidRDefault="00BB704F" w:rsidP="000B206D">
      <w:pPr>
        <w:widowControl w:val="0"/>
        <w:numPr>
          <w:ilvl w:val="0"/>
          <w:numId w:val="11"/>
        </w:numPr>
        <w:autoSpaceDE w:val="0"/>
        <w:autoSpaceDN w:val="0"/>
        <w:spacing w:before="240" w:line="276" w:lineRule="auto"/>
        <w:contextualSpacing/>
        <w:jc w:val="left"/>
        <w:rPr>
          <w:rFonts w:eastAsia="Times New Roman" w:cs="Times New Roman"/>
          <w:szCs w:val="24"/>
          <w:lang w:val="tr-TR"/>
        </w:rPr>
      </w:pPr>
      <w:r w:rsidRPr="00F50C10">
        <w:rPr>
          <w:rFonts w:eastAsia="Times New Roman" w:cs="Times New Roman"/>
          <w:szCs w:val="24"/>
          <w:lang w:val="tr-TR"/>
        </w:rPr>
        <w:t>TDA’dan TDI;</w:t>
      </w:r>
    </w:p>
    <w:p w14:paraId="72B4BEA4" w14:textId="77777777" w:rsidR="00BB704F" w:rsidRPr="00F50C10" w:rsidRDefault="00BB704F" w:rsidP="000B206D">
      <w:pPr>
        <w:widowControl w:val="0"/>
        <w:numPr>
          <w:ilvl w:val="0"/>
          <w:numId w:val="11"/>
        </w:numPr>
        <w:autoSpaceDE w:val="0"/>
        <w:autoSpaceDN w:val="0"/>
        <w:spacing w:before="240" w:line="276" w:lineRule="auto"/>
        <w:contextualSpacing/>
        <w:jc w:val="left"/>
        <w:rPr>
          <w:rFonts w:eastAsia="Times New Roman" w:cs="Times New Roman"/>
          <w:szCs w:val="24"/>
          <w:lang w:val="tr-TR"/>
        </w:rPr>
      </w:pPr>
      <w:r w:rsidRPr="00F50C10">
        <w:rPr>
          <w:rFonts w:eastAsia="Times New Roman" w:cs="Times New Roman"/>
          <w:szCs w:val="24"/>
          <w:lang w:val="tr-TR"/>
        </w:rPr>
        <w:t>anilinden metilen difenil diamin (MDA);</w:t>
      </w:r>
    </w:p>
    <w:p w14:paraId="1B029297" w14:textId="77777777" w:rsidR="00BB704F" w:rsidRPr="00F50C10" w:rsidRDefault="00BB704F" w:rsidP="000B206D">
      <w:pPr>
        <w:widowControl w:val="0"/>
        <w:numPr>
          <w:ilvl w:val="0"/>
          <w:numId w:val="11"/>
        </w:numPr>
        <w:autoSpaceDE w:val="0"/>
        <w:autoSpaceDN w:val="0"/>
        <w:spacing w:before="240" w:line="276" w:lineRule="auto"/>
        <w:contextualSpacing/>
        <w:jc w:val="left"/>
        <w:rPr>
          <w:rFonts w:eastAsia="Times New Roman" w:cs="Times New Roman"/>
          <w:szCs w:val="24"/>
          <w:lang w:val="tr-TR"/>
        </w:rPr>
      </w:pPr>
      <w:r w:rsidRPr="00F50C10">
        <w:rPr>
          <w:rFonts w:eastAsia="Times New Roman" w:cs="Times New Roman"/>
          <w:szCs w:val="24"/>
          <w:lang w:val="tr-TR"/>
        </w:rPr>
        <w:t>MDA'dan MDI;</w:t>
      </w:r>
    </w:p>
    <w:p w14:paraId="4CBE7A34" w14:textId="70D2C409" w:rsidR="00BB704F" w:rsidRPr="00F50C10" w:rsidRDefault="00BB704F" w:rsidP="000B206D">
      <w:pPr>
        <w:widowControl w:val="0"/>
        <w:autoSpaceDE w:val="0"/>
        <w:autoSpaceDN w:val="0"/>
        <w:spacing w:before="240" w:line="276" w:lineRule="auto"/>
        <w:jc w:val="left"/>
        <w:rPr>
          <w:rFonts w:eastAsia="Times New Roman" w:cs="Times New Roman"/>
          <w:szCs w:val="24"/>
          <w:lang w:val="tr-TR"/>
        </w:rPr>
      </w:pPr>
      <w:r w:rsidRPr="00F50C10">
        <w:rPr>
          <w:rFonts w:eastAsia="Times New Roman" w:cs="Times New Roman"/>
          <w:szCs w:val="24"/>
          <w:lang w:val="tr-TR"/>
        </w:rPr>
        <w:t>ve genel MET</w:t>
      </w:r>
      <w:r w:rsidR="008963EF" w:rsidRPr="00F50C10">
        <w:rPr>
          <w:rFonts w:eastAsia="Times New Roman" w:cs="Times New Roman"/>
          <w:szCs w:val="24"/>
          <w:lang w:val="tr-TR"/>
        </w:rPr>
        <w:t>’e</w:t>
      </w:r>
      <w:r w:rsidRPr="00F50C10">
        <w:rPr>
          <w:rFonts w:eastAsia="Times New Roman" w:cs="Times New Roman"/>
          <w:szCs w:val="24"/>
          <w:lang w:val="tr-TR"/>
        </w:rPr>
        <w:t xml:space="preserve"> ek olarak geçerlidirler.</w:t>
      </w:r>
    </w:p>
    <w:p w14:paraId="42630471"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52" w:name="_Toc136613737"/>
      <w:r w:rsidRPr="00F50C10">
        <w:rPr>
          <w:rFonts w:eastAsia="Times New Roman" w:cs="Times New Roman"/>
          <w:b/>
          <w:szCs w:val="24"/>
          <w:lang w:val="tr-TR"/>
        </w:rPr>
        <w:t>Hava Emisyonları</w:t>
      </w:r>
      <w:bookmarkEnd w:id="52"/>
    </w:p>
    <w:p w14:paraId="6BAE3DF0" w14:textId="7BC4FA56"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b/>
          <w:bCs/>
          <w:szCs w:val="24"/>
          <w:lang w:val="tr-TR"/>
        </w:rPr>
        <w:t>MET 64:</w:t>
      </w:r>
      <w:r w:rsidRPr="00F50C10">
        <w:rPr>
          <w:rFonts w:eastAsia="Times New Roman" w:cs="Times New Roman"/>
          <w:szCs w:val="24"/>
          <w:lang w:val="tr-TR"/>
        </w:rPr>
        <w:t xml:space="preserve"> DNT, TDA ve MDA tesislerinden nihai gaz arıtmaya gönderilen organik bileşik, NO</w:t>
      </w:r>
      <w:r w:rsidRPr="00F50C10">
        <w:rPr>
          <w:rFonts w:eastAsia="Times New Roman" w:cs="Times New Roman"/>
          <w:szCs w:val="24"/>
          <w:vertAlign w:val="subscript"/>
          <w:lang w:val="tr-TR"/>
        </w:rPr>
        <w:t>X</w:t>
      </w:r>
      <w:r w:rsidRPr="00F50C10">
        <w:rPr>
          <w:rFonts w:eastAsia="Times New Roman" w:cs="Times New Roman"/>
          <w:szCs w:val="24"/>
          <w:lang w:val="tr-TR"/>
        </w:rPr>
        <w:t>, NO</w:t>
      </w:r>
      <w:r w:rsidRPr="00F50C10">
        <w:rPr>
          <w:rFonts w:eastAsia="Times New Roman" w:cs="Times New Roman"/>
          <w:szCs w:val="24"/>
          <w:vertAlign w:val="subscript"/>
          <w:lang w:val="tr-TR"/>
        </w:rPr>
        <w:t>X</w:t>
      </w:r>
      <w:r w:rsidRPr="00F50C10">
        <w:rPr>
          <w:rFonts w:eastAsia="Times New Roman" w:cs="Times New Roman"/>
          <w:szCs w:val="24"/>
          <w:lang w:val="tr-TR"/>
        </w:rPr>
        <w:t xml:space="preserve"> öncüleri ve SO</w:t>
      </w:r>
      <w:r w:rsidRPr="00F50C10">
        <w:rPr>
          <w:rFonts w:eastAsia="Times New Roman" w:cs="Times New Roman"/>
          <w:szCs w:val="24"/>
          <w:vertAlign w:val="subscript"/>
          <w:lang w:val="tr-TR"/>
        </w:rPr>
        <w:t>X</w:t>
      </w:r>
      <w:r w:rsidRPr="00F50C10">
        <w:rPr>
          <w:rFonts w:eastAsia="Times New Roman" w:cs="Times New Roman"/>
          <w:szCs w:val="24"/>
          <w:lang w:val="tr-TR"/>
        </w:rPr>
        <w:t xml:space="preserve"> yükünü azaltmak için (bkz. MET 66), aşağıda verilen tekniklerin bir kombinasyonu kullan</w:t>
      </w:r>
      <w:r w:rsidR="007D646B" w:rsidRPr="00F50C10">
        <w:rPr>
          <w:rFonts w:eastAsia="Times New Roman" w:cs="Times New Roman"/>
          <w:szCs w:val="24"/>
          <w:lang w:val="tr-TR"/>
        </w:rPr>
        <w:t>ıl</w:t>
      </w:r>
      <w:r w:rsidRPr="00F50C10">
        <w:rPr>
          <w:rFonts w:eastAsia="Times New Roman" w:cs="Times New Roman"/>
          <w:szCs w:val="24"/>
          <w:lang w:val="tr-TR"/>
        </w:rPr>
        <w:t>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623"/>
        <w:gridCol w:w="3464"/>
        <w:gridCol w:w="2065"/>
      </w:tblGrid>
      <w:tr w:rsidR="00BB704F" w:rsidRPr="00F50C10" w14:paraId="3EF72C84" w14:textId="77777777" w:rsidTr="00BB704F">
        <w:trPr>
          <w:trHeight w:val="230"/>
          <w:tblHeader/>
        </w:trPr>
        <w:tc>
          <w:tcPr>
            <w:tcW w:w="146" w:type="pct"/>
            <w:tcBorders>
              <w:right w:val="single" w:sz="4" w:space="0" w:color="auto"/>
            </w:tcBorders>
          </w:tcPr>
          <w:p w14:paraId="168B06B1"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563" w:type="pct"/>
            <w:tcBorders>
              <w:left w:val="single" w:sz="4" w:space="0" w:color="auto"/>
            </w:tcBorders>
          </w:tcPr>
          <w:p w14:paraId="6E8C7A5B" w14:textId="77777777" w:rsidR="00BB704F" w:rsidRPr="00F50C10" w:rsidRDefault="00BB704F" w:rsidP="000B206D">
            <w:pPr>
              <w:spacing w:line="276" w:lineRule="auto"/>
              <w:ind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2057" w:type="pct"/>
          </w:tcPr>
          <w:p w14:paraId="1E3EEEE5"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34" w:type="pct"/>
          </w:tcPr>
          <w:p w14:paraId="6F5F8827"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3680BD7C" w14:textId="77777777" w:rsidTr="00BB704F">
        <w:trPr>
          <w:trHeight w:val="230"/>
        </w:trPr>
        <w:tc>
          <w:tcPr>
            <w:tcW w:w="146" w:type="pct"/>
            <w:vAlign w:val="center"/>
          </w:tcPr>
          <w:p w14:paraId="2B73909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563" w:type="pct"/>
            <w:vAlign w:val="center"/>
          </w:tcPr>
          <w:p w14:paraId="0B7F5D2F" w14:textId="0A3D964B"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Yoğu</w:t>
            </w:r>
            <w:r w:rsidR="007D646B" w:rsidRPr="00F50C10">
              <w:rPr>
                <w:rFonts w:eastAsia="Times New Roman" w:cs="Times New Roman"/>
                <w:szCs w:val="24"/>
                <w:lang w:val="tr-TR" w:bidi="tr-TR"/>
              </w:rPr>
              <w:t>şturma</w:t>
            </w:r>
          </w:p>
        </w:tc>
        <w:tc>
          <w:tcPr>
            <w:tcW w:w="2057" w:type="pct"/>
            <w:vAlign w:val="center"/>
          </w:tcPr>
          <w:p w14:paraId="3026838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hyperlink w:anchor="_bookmark800"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_Ref136600432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12.1</w:t>
              </w:r>
              <w:r w:rsidRPr="00F50C10">
                <w:rPr>
                  <w:rFonts w:eastAsia="Times New Roman" w:cs="Times New Roman"/>
                  <w:szCs w:val="24"/>
                  <w:lang w:val="tr-TR" w:bidi="tr-TR"/>
                </w:rPr>
                <w:fldChar w:fldCharType="end"/>
              </w:r>
            </w:hyperlink>
          </w:p>
        </w:tc>
        <w:tc>
          <w:tcPr>
            <w:tcW w:w="1234" w:type="pct"/>
            <w:vMerge w:val="restart"/>
            <w:vAlign w:val="center"/>
          </w:tcPr>
          <w:p w14:paraId="508FC4E1" w14:textId="77777777" w:rsidR="00BB704F" w:rsidRPr="00F50C10" w:rsidRDefault="00BB704F" w:rsidP="000B206D">
            <w:pPr>
              <w:spacing w:before="158"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371F5520" w14:textId="77777777" w:rsidTr="00BB704F">
        <w:trPr>
          <w:trHeight w:val="1837"/>
        </w:trPr>
        <w:tc>
          <w:tcPr>
            <w:tcW w:w="146" w:type="pct"/>
            <w:vAlign w:val="center"/>
          </w:tcPr>
          <w:p w14:paraId="03F21E6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563" w:type="pct"/>
            <w:vAlign w:val="center"/>
          </w:tcPr>
          <w:p w14:paraId="7A8545E2" w14:textId="7C4AB938" w:rsidR="00BB704F" w:rsidRPr="00F50C10" w:rsidRDefault="00B16387"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Islak yıkama</w:t>
            </w:r>
          </w:p>
        </w:tc>
        <w:tc>
          <w:tcPr>
            <w:tcW w:w="2057" w:type="pct"/>
            <w:vAlign w:val="center"/>
          </w:tcPr>
          <w:p w14:paraId="65D6E197" w14:textId="60B78AFF"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 xml:space="preserve">Bkz Bölüm </w:t>
            </w:r>
            <w:hyperlink w:anchor="_bookmark800"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_Ref133314513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w:t>
              </w:r>
              <w:r w:rsidRPr="00F50C10">
                <w:rPr>
                  <w:rFonts w:eastAsia="Times New Roman" w:cs="Times New Roman"/>
                  <w:szCs w:val="24"/>
                  <w:lang w:val="tr-TR" w:bidi="tr-TR"/>
                </w:rPr>
                <w:fldChar w:fldCharType="end"/>
              </w:r>
            </w:hyperlink>
            <w:r w:rsidR="008963EF" w:rsidRPr="00F50C10">
              <w:rPr>
                <w:rFonts w:eastAsia="Times New Roman" w:cs="Times New Roman"/>
                <w:szCs w:val="24"/>
                <w:lang w:val="tr-TR" w:bidi="tr-TR"/>
              </w:rPr>
              <w:t>1</w:t>
            </w:r>
            <w:r w:rsidRPr="00F50C10">
              <w:rPr>
                <w:rFonts w:eastAsia="Times New Roman" w:cs="Times New Roman"/>
                <w:szCs w:val="24"/>
                <w:lang w:val="tr-TR"/>
              </w:rPr>
              <w:t>. Çoğu durumda, temizleme verimliliği, absorbe edilen kirleticinin kimyasal reaksiyonu ile arttırılır (nitrik asidin geri kazanılması ile NO</w:t>
            </w:r>
            <w:r w:rsidRPr="00F50C10">
              <w:rPr>
                <w:rFonts w:eastAsia="Times New Roman" w:cs="Times New Roman"/>
                <w:szCs w:val="24"/>
                <w:vertAlign w:val="subscript"/>
                <w:lang w:val="tr-TR"/>
              </w:rPr>
              <w:t>X</w:t>
            </w:r>
            <w:r w:rsidRPr="00F50C10">
              <w:rPr>
                <w:rFonts w:eastAsia="Times New Roman" w:cs="Times New Roman"/>
                <w:szCs w:val="24"/>
                <w:lang w:val="tr-TR"/>
              </w:rPr>
              <w:t>'in kısmi oksidasyonu, asitlerin kostik solüsyonla uzaklaştırılması, asidik solüsyonlarla aminlerin uzaklaştırılması, kostik solüsyonda anilinin formaldehit ile reaksiyonu).</w:t>
            </w:r>
          </w:p>
        </w:tc>
        <w:tc>
          <w:tcPr>
            <w:tcW w:w="1234" w:type="pct"/>
            <w:vMerge/>
            <w:vAlign w:val="center"/>
          </w:tcPr>
          <w:p w14:paraId="7F994CAC" w14:textId="77777777" w:rsidR="00BB704F" w:rsidRPr="00F50C10" w:rsidRDefault="00BB704F" w:rsidP="000B206D">
            <w:pPr>
              <w:spacing w:line="276" w:lineRule="auto"/>
              <w:ind w:left="108" w:right="108"/>
              <w:jc w:val="left"/>
              <w:rPr>
                <w:rFonts w:eastAsia="Times New Roman" w:cs="Times New Roman"/>
                <w:szCs w:val="24"/>
                <w:lang w:val="tr-TR"/>
              </w:rPr>
            </w:pPr>
          </w:p>
        </w:tc>
      </w:tr>
      <w:tr w:rsidR="00BB704F" w:rsidRPr="00F50C10" w14:paraId="1277F29E" w14:textId="77777777" w:rsidTr="00BB704F">
        <w:trPr>
          <w:trHeight w:val="230"/>
        </w:trPr>
        <w:tc>
          <w:tcPr>
            <w:tcW w:w="146" w:type="pct"/>
            <w:vAlign w:val="center"/>
          </w:tcPr>
          <w:p w14:paraId="4811832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563" w:type="pct"/>
            <w:vAlign w:val="center"/>
          </w:tcPr>
          <w:p w14:paraId="62E1DA9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Termal indirgeme</w:t>
            </w:r>
          </w:p>
        </w:tc>
        <w:tc>
          <w:tcPr>
            <w:tcW w:w="2057" w:type="pct"/>
            <w:vAlign w:val="center"/>
          </w:tcPr>
          <w:p w14:paraId="0D8BC81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hyperlink w:anchor="_bookmark800"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_Ref136600432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12.1</w:t>
              </w:r>
              <w:r w:rsidRPr="00F50C10">
                <w:rPr>
                  <w:rFonts w:eastAsia="Times New Roman" w:cs="Times New Roman"/>
                  <w:szCs w:val="24"/>
                  <w:lang w:val="tr-TR" w:bidi="tr-TR"/>
                </w:rPr>
                <w:fldChar w:fldCharType="end"/>
              </w:r>
            </w:hyperlink>
          </w:p>
        </w:tc>
        <w:tc>
          <w:tcPr>
            <w:tcW w:w="1234" w:type="pct"/>
            <w:vMerge w:val="restart"/>
            <w:vAlign w:val="center"/>
          </w:tcPr>
          <w:p w14:paraId="46890B0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Mevcut birimlere uygulanabilirlik, alan kullanılabilirliği ile kısıtlanabilir.</w:t>
            </w:r>
          </w:p>
        </w:tc>
      </w:tr>
      <w:tr w:rsidR="00BB704F" w:rsidRPr="00F50C10" w14:paraId="3C197FDD" w14:textId="77777777" w:rsidTr="00BB704F">
        <w:trPr>
          <w:trHeight w:val="681"/>
        </w:trPr>
        <w:tc>
          <w:tcPr>
            <w:tcW w:w="146" w:type="pct"/>
            <w:vAlign w:val="center"/>
          </w:tcPr>
          <w:p w14:paraId="1EA3554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d</w:t>
            </w:r>
          </w:p>
        </w:tc>
        <w:tc>
          <w:tcPr>
            <w:tcW w:w="1563" w:type="pct"/>
            <w:vAlign w:val="center"/>
          </w:tcPr>
          <w:p w14:paraId="7B0BD31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Katalitik indirgeme</w:t>
            </w:r>
          </w:p>
        </w:tc>
        <w:tc>
          <w:tcPr>
            <w:tcW w:w="2057" w:type="pct"/>
            <w:vAlign w:val="center"/>
          </w:tcPr>
          <w:p w14:paraId="0FAD358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hyperlink w:anchor="_bookmark800"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_Ref136600432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12.1</w:t>
              </w:r>
              <w:r w:rsidRPr="00F50C10">
                <w:rPr>
                  <w:rFonts w:eastAsia="Times New Roman" w:cs="Times New Roman"/>
                  <w:szCs w:val="24"/>
                  <w:lang w:val="tr-TR" w:bidi="tr-TR"/>
                </w:rPr>
                <w:fldChar w:fldCharType="end"/>
              </w:r>
            </w:hyperlink>
          </w:p>
        </w:tc>
        <w:tc>
          <w:tcPr>
            <w:tcW w:w="1234" w:type="pct"/>
            <w:vMerge/>
          </w:tcPr>
          <w:p w14:paraId="02EC3E2A" w14:textId="77777777" w:rsidR="00BB704F" w:rsidRPr="00F50C10" w:rsidRDefault="00BB704F" w:rsidP="000B206D">
            <w:pPr>
              <w:spacing w:line="276" w:lineRule="auto"/>
              <w:ind w:left="108" w:right="108"/>
              <w:jc w:val="left"/>
              <w:rPr>
                <w:rFonts w:eastAsia="Times New Roman" w:cs="Times New Roman"/>
                <w:szCs w:val="24"/>
                <w:lang w:val="tr-TR"/>
              </w:rPr>
            </w:pPr>
          </w:p>
        </w:tc>
      </w:tr>
    </w:tbl>
    <w:p w14:paraId="113FC499" w14:textId="4D0330FB"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MET 65:</w:t>
      </w:r>
      <w:r w:rsidRPr="00F50C10">
        <w:rPr>
          <w:rFonts w:eastAsia="Times New Roman" w:cs="Times New Roman"/>
          <w:szCs w:val="24"/>
          <w:lang w:val="tr-TR"/>
        </w:rPr>
        <w:t xml:space="preserve"> Nihai atık gaz arıtmasına gönderilen HCl ve fosgen yükünü azaltmak ve kaynak verimliliğini artırmak için, TDI ve/veya MDI tesislerinin proses çıkış gaz akışlarından HCl ve fosgen aşağıda verilen tekniklerin uygun bir kombinasyonu kullanılarak geri </w:t>
      </w:r>
      <w:r w:rsidR="007D646B" w:rsidRPr="00F50C10">
        <w:rPr>
          <w:rFonts w:eastAsia="Times New Roman" w:cs="Times New Roman"/>
          <w:szCs w:val="24"/>
          <w:lang w:val="tr-TR"/>
        </w:rPr>
        <w:t>kazanılır</w:t>
      </w:r>
      <w:r w:rsidRPr="00F50C10">
        <w:rPr>
          <w:rFonts w:eastAsia="Times New Roman" w:cs="Times New Roman"/>
          <w:szCs w:val="24"/>
          <w:lang w:val="tr-TR"/>
        </w:rPr>
        <w: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606"/>
        <w:gridCol w:w="3489"/>
        <w:gridCol w:w="2057"/>
      </w:tblGrid>
      <w:tr w:rsidR="00BB704F" w:rsidRPr="00F50C10" w14:paraId="65A5691A" w14:textId="77777777" w:rsidTr="00BB704F">
        <w:trPr>
          <w:trHeight w:val="230"/>
          <w:tblHeader/>
        </w:trPr>
        <w:tc>
          <w:tcPr>
            <w:tcW w:w="137" w:type="pct"/>
            <w:tcBorders>
              <w:right w:val="single" w:sz="4" w:space="0" w:color="auto"/>
            </w:tcBorders>
          </w:tcPr>
          <w:p w14:paraId="5665CE63"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556" w:type="pct"/>
            <w:tcBorders>
              <w:left w:val="single" w:sz="4" w:space="0" w:color="auto"/>
            </w:tcBorders>
            <w:vAlign w:val="center"/>
          </w:tcPr>
          <w:p w14:paraId="1AAB9DA2" w14:textId="77777777" w:rsidR="00BB704F" w:rsidRPr="00F50C10" w:rsidRDefault="00BB704F" w:rsidP="000B206D">
            <w:pPr>
              <w:spacing w:line="276" w:lineRule="auto"/>
              <w:ind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2075" w:type="pct"/>
            <w:vAlign w:val="center"/>
          </w:tcPr>
          <w:p w14:paraId="44CB1862"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32" w:type="pct"/>
            <w:vAlign w:val="center"/>
          </w:tcPr>
          <w:p w14:paraId="3E733AD9"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0EB2F972" w14:textId="77777777" w:rsidTr="00BB704F">
        <w:trPr>
          <w:trHeight w:val="460"/>
        </w:trPr>
        <w:tc>
          <w:tcPr>
            <w:tcW w:w="137" w:type="pct"/>
            <w:tcBorders>
              <w:right w:val="single" w:sz="4" w:space="0" w:color="auto"/>
            </w:tcBorders>
            <w:vAlign w:val="center"/>
          </w:tcPr>
          <w:p w14:paraId="15BDF53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556" w:type="pct"/>
            <w:tcBorders>
              <w:left w:val="single" w:sz="4" w:space="0" w:color="auto"/>
            </w:tcBorders>
            <w:vAlign w:val="center"/>
          </w:tcPr>
          <w:p w14:paraId="337538F7" w14:textId="3D947B48"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HCl'nin </w:t>
            </w:r>
            <w:r w:rsidR="00B16387" w:rsidRPr="00F50C10">
              <w:rPr>
                <w:rFonts w:eastAsia="Times New Roman" w:cs="Times New Roman"/>
                <w:szCs w:val="24"/>
                <w:lang w:val="tr-TR" w:bidi="tr-TR"/>
              </w:rPr>
              <w:t>ıslak yıkama</w:t>
            </w:r>
            <w:r w:rsidRPr="00F50C10">
              <w:rPr>
                <w:rFonts w:eastAsia="Times New Roman" w:cs="Times New Roman"/>
                <w:szCs w:val="24"/>
                <w:lang w:val="tr-TR" w:bidi="tr-TR"/>
              </w:rPr>
              <w:t xml:space="preserve"> ile</w:t>
            </w:r>
          </w:p>
          <w:p w14:paraId="33172A7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absorpsiyonu</w:t>
            </w:r>
          </w:p>
        </w:tc>
        <w:tc>
          <w:tcPr>
            <w:tcW w:w="2075" w:type="pct"/>
            <w:vAlign w:val="center"/>
          </w:tcPr>
          <w:p w14:paraId="1AC586D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 </w:t>
            </w:r>
            <w:hyperlink w:anchor="_bookmark763" w:history="1">
              <w:r w:rsidRPr="00F50C10">
                <w:rPr>
                  <w:rFonts w:eastAsia="Times New Roman" w:cs="Times New Roman"/>
                  <w:szCs w:val="24"/>
                  <w:lang w:val="tr-TR" w:bidi="tr-TR"/>
                </w:rPr>
                <w:t>MET 8</w:t>
              </w:r>
            </w:hyperlink>
            <w:r w:rsidRPr="00F50C10">
              <w:rPr>
                <w:rFonts w:eastAsia="Times New Roman" w:cs="Times New Roman"/>
                <w:szCs w:val="24"/>
                <w:lang w:val="tr-TR" w:bidi="tr-TR"/>
              </w:rPr>
              <w:t>d.</w:t>
            </w:r>
          </w:p>
        </w:tc>
        <w:tc>
          <w:tcPr>
            <w:tcW w:w="1232" w:type="pct"/>
            <w:vAlign w:val="center"/>
          </w:tcPr>
          <w:p w14:paraId="26D32EB1" w14:textId="77777777" w:rsidR="00BB704F" w:rsidRPr="00F50C10" w:rsidRDefault="00BB704F" w:rsidP="000B206D">
            <w:pPr>
              <w:spacing w:before="108"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6866F32F" w14:textId="77777777" w:rsidTr="00BB704F">
        <w:trPr>
          <w:trHeight w:val="688"/>
        </w:trPr>
        <w:tc>
          <w:tcPr>
            <w:tcW w:w="137" w:type="pct"/>
            <w:vAlign w:val="center"/>
          </w:tcPr>
          <w:p w14:paraId="03184649" w14:textId="77777777" w:rsidR="00BB704F" w:rsidRPr="00F50C10" w:rsidRDefault="00BB704F" w:rsidP="000B206D">
            <w:pPr>
              <w:spacing w:line="276" w:lineRule="auto"/>
              <w:ind w:left="108" w:right="108"/>
              <w:rPr>
                <w:rFonts w:eastAsia="Times New Roman" w:cs="Times New Roman"/>
                <w:b/>
                <w:szCs w:val="24"/>
                <w:lang w:val="tr-TR"/>
              </w:rPr>
            </w:pPr>
          </w:p>
          <w:p w14:paraId="554D170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556" w:type="pct"/>
            <w:vAlign w:val="center"/>
          </w:tcPr>
          <w:p w14:paraId="0978CCA6" w14:textId="77777777" w:rsidR="00BB704F" w:rsidRPr="00F50C10" w:rsidRDefault="00BB704F" w:rsidP="000B206D">
            <w:pPr>
              <w:spacing w:before="108" w:line="276" w:lineRule="auto"/>
              <w:ind w:left="108" w:right="108"/>
              <w:rPr>
                <w:rFonts w:eastAsia="Times New Roman" w:cs="Times New Roman"/>
                <w:szCs w:val="24"/>
                <w:lang w:val="tr-TR"/>
              </w:rPr>
            </w:pPr>
            <w:r w:rsidRPr="00F50C10">
              <w:rPr>
                <w:rFonts w:eastAsia="Times New Roman" w:cs="Times New Roman"/>
                <w:szCs w:val="24"/>
                <w:lang w:val="tr-TR" w:bidi="tr-TR"/>
              </w:rPr>
              <w:t>Fosgenin yıkama yoluyla absorpsiyonu</w:t>
            </w:r>
          </w:p>
        </w:tc>
        <w:tc>
          <w:tcPr>
            <w:tcW w:w="2075" w:type="pct"/>
            <w:vAlign w:val="center"/>
          </w:tcPr>
          <w:p w14:paraId="7A4FBEC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Bkz. Bölüm 12.1. Fazla fosgen, organik bir çözücü kullanılarak emilir ve işleme geri döndürülür.</w:t>
            </w:r>
          </w:p>
        </w:tc>
        <w:tc>
          <w:tcPr>
            <w:tcW w:w="1232" w:type="pct"/>
            <w:vAlign w:val="center"/>
          </w:tcPr>
          <w:p w14:paraId="60564376" w14:textId="77777777" w:rsidR="00BB704F" w:rsidRPr="00F50C10" w:rsidRDefault="00BB704F" w:rsidP="000B206D">
            <w:pPr>
              <w:spacing w:before="108"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1AC3EF53" w14:textId="77777777" w:rsidTr="00BB704F">
        <w:trPr>
          <w:trHeight w:val="545"/>
        </w:trPr>
        <w:tc>
          <w:tcPr>
            <w:tcW w:w="137" w:type="pct"/>
            <w:vAlign w:val="center"/>
          </w:tcPr>
          <w:p w14:paraId="508C52C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556" w:type="pct"/>
            <w:vAlign w:val="center"/>
          </w:tcPr>
          <w:p w14:paraId="32515E9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HCl/fosgen yoğunlaştırma</w:t>
            </w:r>
          </w:p>
        </w:tc>
        <w:tc>
          <w:tcPr>
            <w:tcW w:w="2075" w:type="pct"/>
            <w:vAlign w:val="center"/>
          </w:tcPr>
          <w:p w14:paraId="76A576D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hyperlink w:anchor="_bookmark800"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_Ref136600432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12.1</w:t>
              </w:r>
              <w:r w:rsidRPr="00F50C10">
                <w:rPr>
                  <w:rFonts w:eastAsia="Times New Roman" w:cs="Times New Roman"/>
                  <w:szCs w:val="24"/>
                  <w:lang w:val="tr-TR" w:bidi="tr-TR"/>
                </w:rPr>
                <w:fldChar w:fldCharType="end"/>
              </w:r>
            </w:hyperlink>
          </w:p>
        </w:tc>
        <w:tc>
          <w:tcPr>
            <w:tcW w:w="1232" w:type="pct"/>
            <w:vAlign w:val="center"/>
          </w:tcPr>
          <w:p w14:paraId="44CD806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5610E0E5" w14:textId="74A7A22F" w:rsidR="00BB704F" w:rsidRPr="00F50C10" w:rsidRDefault="00BB704F" w:rsidP="000B206D">
      <w:pPr>
        <w:widowControl w:val="0"/>
        <w:autoSpaceDE w:val="0"/>
        <w:autoSpaceDN w:val="0"/>
        <w:spacing w:before="240" w:line="276" w:lineRule="auto"/>
        <w:jc w:val="left"/>
        <w:rPr>
          <w:rFonts w:eastAsia="Times New Roman" w:cs="Times New Roman"/>
          <w:b/>
          <w:bCs/>
          <w:szCs w:val="24"/>
          <w:lang w:val="tr-TR"/>
        </w:rPr>
      </w:pPr>
      <w:r w:rsidRPr="00F50C10">
        <w:rPr>
          <w:rFonts w:eastAsia="Times New Roman" w:cs="Times New Roman"/>
          <w:b/>
          <w:bCs/>
          <w:szCs w:val="24"/>
          <w:lang w:val="tr-TR"/>
        </w:rPr>
        <w:t xml:space="preserve">MET 66: </w:t>
      </w:r>
      <w:r w:rsidRPr="00F50C10">
        <w:rPr>
          <w:rFonts w:eastAsia="Times New Roman" w:cs="Times New Roman"/>
          <w:szCs w:val="24"/>
          <w:lang w:val="tr-TR"/>
        </w:rPr>
        <w:t>Organik bileşiklerin (klorlu hidrokarbonlar dahil), HCl'nin ve klorun hava emisyonlarını azaltmak için, termal oksitleyici ve ardından kostik yıkama kullan</w:t>
      </w:r>
      <w:r w:rsidR="00E0750F" w:rsidRPr="00F50C10">
        <w:rPr>
          <w:rFonts w:eastAsia="Times New Roman" w:cs="Times New Roman"/>
          <w:szCs w:val="24"/>
          <w:lang w:val="tr-TR"/>
        </w:rPr>
        <w:t>ıl</w:t>
      </w:r>
      <w:r w:rsidRPr="00F50C10">
        <w:rPr>
          <w:rFonts w:eastAsia="Times New Roman" w:cs="Times New Roman"/>
          <w:szCs w:val="24"/>
          <w:lang w:val="tr-TR"/>
        </w:rPr>
        <w:t>arak birleşik atık gaz akışları arıtılır.</w:t>
      </w:r>
    </w:p>
    <w:p w14:paraId="60908B07" w14:textId="7C5C510B" w:rsidR="00BB704F" w:rsidRPr="00F50C10" w:rsidRDefault="00BB704F" w:rsidP="000B206D">
      <w:pPr>
        <w:widowControl w:val="0"/>
        <w:autoSpaceDE w:val="0"/>
        <w:autoSpaceDN w:val="0"/>
        <w:spacing w:before="240" w:line="276" w:lineRule="auto"/>
        <w:jc w:val="left"/>
        <w:rPr>
          <w:rFonts w:eastAsia="Times New Roman" w:cs="Times New Roman"/>
          <w:szCs w:val="24"/>
          <w:lang w:val="tr-TR"/>
        </w:rPr>
      </w:pPr>
      <w:r w:rsidRPr="00F50C10">
        <w:rPr>
          <w:rFonts w:eastAsia="Times New Roman" w:cs="Times New Roman"/>
          <w:szCs w:val="24"/>
          <w:lang w:val="tr-TR"/>
        </w:rPr>
        <w:t>DNT, TDA, TDI, MDA ve MDI tesislerinden çıkan ayrı atık gaz akışları, arıtma için bir veya birkaç atık gaz akışı halinde birleştirilir. (Termal oksitleyici ve yıkama açıklamaları için 12.</w:t>
      </w:r>
      <w:r w:rsidR="008963EF" w:rsidRPr="00F50C10">
        <w:rPr>
          <w:rFonts w:eastAsia="Times New Roman" w:cs="Times New Roman"/>
          <w:szCs w:val="24"/>
          <w:lang w:val="tr-TR"/>
        </w:rPr>
        <w:t>1</w:t>
      </w:r>
      <w:r w:rsidRPr="00F50C10">
        <w:rPr>
          <w:rFonts w:eastAsia="Times New Roman" w:cs="Times New Roman"/>
          <w:szCs w:val="24"/>
          <w:lang w:val="tr-TR"/>
        </w:rPr>
        <w:t>.kısmına bakınız.) Sıvı atık ve atık gazın birlikte arıtılması için, termal oksitleyici yerine bir yakma fırını kullanılabilir. Kostik yıkama, HCl ve klor gider</w:t>
      </w:r>
      <w:r w:rsidR="0045637A" w:rsidRPr="00F50C10">
        <w:rPr>
          <w:rFonts w:eastAsia="Times New Roman" w:cs="Times New Roman"/>
          <w:szCs w:val="24"/>
          <w:lang w:val="tr-TR"/>
        </w:rPr>
        <w:t>im</w:t>
      </w:r>
      <w:r w:rsidRPr="00F50C10">
        <w:rPr>
          <w:rFonts w:eastAsia="Times New Roman" w:cs="Times New Roman"/>
          <w:szCs w:val="24"/>
          <w:lang w:val="tr-TR"/>
        </w:rPr>
        <w:t xml:space="preserve"> verimliliğini artırmak için kostik eklenmiş </w:t>
      </w:r>
      <w:r w:rsidR="00B16387" w:rsidRPr="00F50C10">
        <w:rPr>
          <w:rFonts w:eastAsia="Times New Roman" w:cs="Times New Roman"/>
          <w:szCs w:val="24"/>
          <w:lang w:val="tr-TR"/>
        </w:rPr>
        <w:t>ıslak yıkama</w:t>
      </w:r>
      <w:r w:rsidRPr="00F50C10">
        <w:rPr>
          <w:rFonts w:eastAsia="Times New Roman" w:cs="Times New Roman"/>
          <w:szCs w:val="24"/>
          <w:lang w:val="tr-TR"/>
        </w:rPr>
        <w:t>dır.</w:t>
      </w:r>
    </w:p>
    <w:p w14:paraId="24328395" w14:textId="0A0FD47D" w:rsidR="00BB704F" w:rsidRPr="00F50C10" w:rsidRDefault="008963EF" w:rsidP="000B206D">
      <w:pPr>
        <w:spacing w:before="240" w:line="276" w:lineRule="auto"/>
        <w:rPr>
          <w:rFonts w:eastAsia="Calibri" w:cs="Times New Roman"/>
          <w:b/>
          <w:iCs/>
          <w:color w:val="000000"/>
          <w:szCs w:val="24"/>
        </w:rPr>
      </w:pPr>
      <w:r w:rsidRPr="00F50C10">
        <w:rPr>
          <w:rFonts w:eastAsia="Calibri" w:cs="Times New Roman"/>
          <w:b/>
          <w:iCs/>
          <w:color w:val="000000"/>
          <w:szCs w:val="24"/>
        </w:rPr>
        <w:t xml:space="preserve">Tablo 9.1. </w:t>
      </w:r>
      <w:r w:rsidR="00BB704F" w:rsidRPr="00F50C10">
        <w:rPr>
          <w:rFonts w:eastAsia="Calibri" w:cs="Times New Roman"/>
          <w:b/>
          <w:iCs/>
          <w:color w:val="000000"/>
          <w:szCs w:val="24"/>
        </w:rPr>
        <w:t>TDI/MDI prosesinden havaya salınan TUOB, tetraklorometan, Cl</w:t>
      </w:r>
      <w:r w:rsidR="00BB704F" w:rsidRPr="00F50C10">
        <w:rPr>
          <w:rFonts w:eastAsia="Calibri" w:cs="Times New Roman"/>
          <w:b/>
          <w:iCs/>
          <w:color w:val="000000"/>
          <w:szCs w:val="24"/>
          <w:vertAlign w:val="subscript"/>
        </w:rPr>
        <w:t>2</w:t>
      </w:r>
      <w:r w:rsidR="00BB704F" w:rsidRPr="00F50C10">
        <w:rPr>
          <w:rFonts w:eastAsia="Calibri" w:cs="Times New Roman"/>
          <w:b/>
          <w:iCs/>
          <w:color w:val="000000"/>
          <w:szCs w:val="24"/>
        </w:rPr>
        <w:t>, HCl ve PCDD/F emisyonlarına ilişkin MET-İES'ler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7"/>
        <w:gridCol w:w="5690"/>
      </w:tblGrid>
      <w:tr w:rsidR="00BB704F" w:rsidRPr="00F50C10" w14:paraId="70B68B69" w14:textId="77777777" w:rsidTr="00BB704F">
        <w:trPr>
          <w:trHeight w:val="460"/>
        </w:trPr>
        <w:tc>
          <w:tcPr>
            <w:tcW w:w="1652" w:type="pct"/>
          </w:tcPr>
          <w:p w14:paraId="40EE9E28" w14:textId="77777777" w:rsidR="00BB704F" w:rsidRPr="00F50C10" w:rsidRDefault="00BB704F" w:rsidP="000B206D">
            <w:pPr>
              <w:spacing w:line="276" w:lineRule="auto"/>
              <w:ind w:left="107" w:right="108"/>
              <w:jc w:val="center"/>
              <w:rPr>
                <w:rFonts w:eastAsia="Times New Roman" w:cs="Times New Roman"/>
                <w:b/>
                <w:szCs w:val="24"/>
                <w:lang w:val="tr-TR"/>
              </w:rPr>
            </w:pPr>
            <w:r w:rsidRPr="00F50C10">
              <w:rPr>
                <w:rFonts w:eastAsia="Times New Roman" w:cs="Times New Roman"/>
                <w:b/>
                <w:szCs w:val="24"/>
                <w:lang w:val="tr-TR" w:bidi="tr-TR"/>
              </w:rPr>
              <w:t>Parametre</w:t>
            </w:r>
          </w:p>
        </w:tc>
        <w:tc>
          <w:tcPr>
            <w:tcW w:w="3348" w:type="pct"/>
          </w:tcPr>
          <w:p w14:paraId="1D3632C2" w14:textId="77777777" w:rsidR="00BB704F" w:rsidRPr="00F50C10" w:rsidRDefault="00BB704F" w:rsidP="000B206D">
            <w:pPr>
              <w:spacing w:line="276" w:lineRule="auto"/>
              <w:ind w:left="925" w:right="919"/>
              <w:jc w:val="center"/>
              <w:rPr>
                <w:rFonts w:eastAsia="Times New Roman" w:cs="Times New Roman"/>
                <w:b/>
                <w:szCs w:val="24"/>
                <w:lang w:val="tr-TR"/>
              </w:rPr>
            </w:pPr>
            <w:r w:rsidRPr="00F50C10">
              <w:rPr>
                <w:rFonts w:eastAsia="Times New Roman" w:cs="Times New Roman"/>
                <w:b/>
                <w:szCs w:val="24"/>
                <w:lang w:val="tr-TR" w:bidi="tr-TR"/>
              </w:rPr>
              <w:t>MET-İES</w:t>
            </w:r>
          </w:p>
          <w:p w14:paraId="4346083B" w14:textId="77777777" w:rsidR="00BB704F" w:rsidRPr="00F50C10" w:rsidRDefault="00BB704F" w:rsidP="000B206D">
            <w:pPr>
              <w:spacing w:line="276" w:lineRule="auto"/>
              <w:ind w:left="926" w:right="919"/>
              <w:jc w:val="center"/>
              <w:rPr>
                <w:rFonts w:eastAsia="Times New Roman" w:cs="Times New Roman"/>
                <w:b/>
                <w:szCs w:val="24"/>
                <w:lang w:val="tr-TR"/>
              </w:rPr>
            </w:pPr>
            <w:r w:rsidRPr="00F50C10">
              <w:rPr>
                <w:rFonts w:eastAsia="Times New Roman" w:cs="Times New Roman"/>
                <w:b/>
                <w:szCs w:val="24"/>
                <w:lang w:val="tr-TR" w:bidi="tr-TR"/>
              </w:rPr>
              <w:t>(mg/Nm</w:t>
            </w:r>
            <w:r w:rsidRPr="00F50C10">
              <w:rPr>
                <w:rFonts w:eastAsia="Times New Roman" w:cs="Times New Roman"/>
                <w:b/>
                <w:szCs w:val="24"/>
                <w:vertAlign w:val="superscript"/>
                <w:lang w:val="tr-TR" w:bidi="tr-TR"/>
              </w:rPr>
              <w:t>3</w:t>
            </w:r>
            <w:r w:rsidRPr="00F50C10">
              <w:rPr>
                <w:rFonts w:eastAsia="Times New Roman" w:cs="Times New Roman"/>
                <w:b/>
                <w:szCs w:val="24"/>
                <w:lang w:val="tr-TR" w:bidi="tr-TR"/>
              </w:rPr>
              <w:t>, oksijen içeriği için düzeltme yok)</w:t>
            </w:r>
          </w:p>
        </w:tc>
      </w:tr>
      <w:tr w:rsidR="00BB704F" w:rsidRPr="00F50C10" w14:paraId="6C0BD453" w14:textId="77777777" w:rsidTr="00BB704F">
        <w:trPr>
          <w:trHeight w:val="230"/>
        </w:trPr>
        <w:tc>
          <w:tcPr>
            <w:tcW w:w="1652" w:type="pct"/>
          </w:tcPr>
          <w:p w14:paraId="260F1C07" w14:textId="77777777" w:rsidR="00BB704F" w:rsidRPr="00F50C10" w:rsidRDefault="00BB704F" w:rsidP="000B206D">
            <w:pPr>
              <w:spacing w:line="276" w:lineRule="auto"/>
              <w:ind w:left="107"/>
              <w:rPr>
                <w:rFonts w:eastAsia="Times New Roman" w:cs="Times New Roman"/>
                <w:szCs w:val="24"/>
                <w:lang w:val="tr-TR"/>
              </w:rPr>
            </w:pPr>
            <w:r w:rsidRPr="00F50C10">
              <w:rPr>
                <w:rFonts w:eastAsia="Times New Roman" w:cs="Times New Roman"/>
                <w:szCs w:val="24"/>
                <w:lang w:val="tr-TR" w:bidi="tr-TR"/>
              </w:rPr>
              <w:t>TUOB</w:t>
            </w:r>
          </w:p>
        </w:tc>
        <w:tc>
          <w:tcPr>
            <w:tcW w:w="3348" w:type="pct"/>
          </w:tcPr>
          <w:p w14:paraId="2CB30D23" w14:textId="77777777" w:rsidR="00BB704F" w:rsidRPr="00F50C10" w:rsidRDefault="00BB704F" w:rsidP="000B206D">
            <w:pPr>
              <w:spacing w:line="276" w:lineRule="auto"/>
              <w:ind w:left="926" w:right="917"/>
              <w:jc w:val="center"/>
              <w:rPr>
                <w:rFonts w:eastAsia="Times New Roman" w:cs="Times New Roman"/>
                <w:szCs w:val="24"/>
                <w:lang w:val="tr-TR"/>
              </w:rPr>
            </w:pPr>
            <w:r w:rsidRPr="00F50C10">
              <w:rPr>
                <w:rFonts w:eastAsia="Times New Roman" w:cs="Times New Roman"/>
                <w:szCs w:val="24"/>
                <w:lang w:val="tr-TR" w:bidi="tr-TR"/>
              </w:rPr>
              <w:t>1–5 (</w:t>
            </w:r>
            <w:r w:rsidRPr="00F50C10">
              <w:rPr>
                <w:rFonts w:eastAsia="Times New Roman" w:cs="Times New Roman"/>
                <w:szCs w:val="24"/>
                <w:vertAlign w:val="superscript"/>
                <w:lang w:val="tr-TR" w:bidi="tr-TR"/>
              </w:rPr>
              <w:t>1</w:t>
            </w:r>
            <w:r w:rsidRPr="00F50C10">
              <w:rPr>
                <w:rFonts w:eastAsia="Times New Roman" w:cs="Times New Roman"/>
                <w:szCs w:val="24"/>
                <w:lang w:val="tr-TR" w:bidi="tr-TR"/>
              </w:rPr>
              <w:t>) (</w:t>
            </w:r>
            <w:r w:rsidRPr="00F50C10">
              <w:rPr>
                <w:rFonts w:eastAsia="Times New Roman" w:cs="Times New Roman"/>
                <w:szCs w:val="24"/>
                <w:vertAlign w:val="superscript"/>
                <w:lang w:val="tr-TR" w:bidi="tr-TR"/>
              </w:rPr>
              <w:t>2</w:t>
            </w:r>
            <w:r w:rsidRPr="00F50C10">
              <w:rPr>
                <w:rFonts w:eastAsia="Times New Roman" w:cs="Times New Roman"/>
                <w:szCs w:val="24"/>
                <w:lang w:val="tr-TR" w:bidi="tr-TR"/>
              </w:rPr>
              <w:t>)</w:t>
            </w:r>
          </w:p>
        </w:tc>
      </w:tr>
      <w:tr w:rsidR="00BB704F" w:rsidRPr="00F50C10" w14:paraId="43901052" w14:textId="77777777" w:rsidTr="00BB704F">
        <w:trPr>
          <w:trHeight w:val="457"/>
        </w:trPr>
        <w:tc>
          <w:tcPr>
            <w:tcW w:w="1652" w:type="pct"/>
          </w:tcPr>
          <w:p w14:paraId="1CDD617A" w14:textId="77777777" w:rsidR="00BB704F" w:rsidRPr="00F50C10" w:rsidRDefault="00BB704F" w:rsidP="000B206D">
            <w:pPr>
              <w:spacing w:before="108" w:line="276" w:lineRule="auto"/>
              <w:ind w:left="107"/>
              <w:rPr>
                <w:rFonts w:eastAsia="Times New Roman" w:cs="Times New Roman"/>
                <w:szCs w:val="24"/>
                <w:lang w:val="tr-TR"/>
              </w:rPr>
            </w:pPr>
            <w:r w:rsidRPr="00F50C10">
              <w:rPr>
                <w:rFonts w:eastAsia="Times New Roman" w:cs="Times New Roman"/>
                <w:szCs w:val="24"/>
                <w:lang w:val="tr-TR" w:bidi="tr-TR"/>
              </w:rPr>
              <w:t>Tetraklorometan</w:t>
            </w:r>
          </w:p>
        </w:tc>
        <w:tc>
          <w:tcPr>
            <w:tcW w:w="3348" w:type="pct"/>
          </w:tcPr>
          <w:p w14:paraId="73F13965"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 0,5 g/t MDI üretimi (</w:t>
            </w:r>
            <w:r w:rsidRPr="00F50C10">
              <w:rPr>
                <w:rFonts w:eastAsia="Times New Roman" w:cs="Times New Roman"/>
                <w:szCs w:val="24"/>
                <w:vertAlign w:val="superscript"/>
                <w:lang w:val="tr-TR" w:bidi="tr-TR"/>
              </w:rPr>
              <w:t>3</w:t>
            </w:r>
            <w:r w:rsidRPr="00F50C10">
              <w:rPr>
                <w:rFonts w:eastAsia="Times New Roman" w:cs="Times New Roman"/>
                <w:szCs w:val="24"/>
                <w:lang w:val="tr-TR" w:bidi="tr-TR"/>
              </w:rPr>
              <w:t>)</w:t>
            </w:r>
          </w:p>
          <w:p w14:paraId="0833BAC0"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 0,7 g/t TDI üretimi (</w:t>
            </w:r>
            <w:r w:rsidRPr="00F50C10">
              <w:rPr>
                <w:rFonts w:eastAsia="Times New Roman" w:cs="Times New Roman"/>
                <w:szCs w:val="24"/>
                <w:vertAlign w:val="superscript"/>
                <w:lang w:val="tr-TR" w:bidi="tr-TR"/>
              </w:rPr>
              <w:t>3</w:t>
            </w:r>
            <w:r w:rsidRPr="00F50C10">
              <w:rPr>
                <w:rFonts w:eastAsia="Times New Roman" w:cs="Times New Roman"/>
                <w:szCs w:val="24"/>
                <w:lang w:val="tr-TR" w:bidi="tr-TR"/>
              </w:rPr>
              <w:t>)</w:t>
            </w:r>
          </w:p>
        </w:tc>
      </w:tr>
      <w:tr w:rsidR="00BB704F" w:rsidRPr="00F50C10" w14:paraId="09D61186" w14:textId="77777777" w:rsidTr="00BB704F">
        <w:trPr>
          <w:trHeight w:val="230"/>
        </w:trPr>
        <w:tc>
          <w:tcPr>
            <w:tcW w:w="1652" w:type="pct"/>
          </w:tcPr>
          <w:p w14:paraId="08CEF8F4" w14:textId="77777777" w:rsidR="00BB704F" w:rsidRPr="00F50C10" w:rsidRDefault="00BB704F" w:rsidP="000B206D">
            <w:pPr>
              <w:spacing w:line="276" w:lineRule="auto"/>
              <w:ind w:left="107"/>
              <w:rPr>
                <w:rFonts w:eastAsia="Times New Roman" w:cs="Times New Roman"/>
                <w:szCs w:val="24"/>
                <w:lang w:val="tr-TR"/>
              </w:rPr>
            </w:pPr>
            <w:r w:rsidRPr="00F50C10">
              <w:rPr>
                <w:rFonts w:eastAsia="Times New Roman" w:cs="Times New Roman"/>
                <w:szCs w:val="24"/>
                <w:lang w:val="tr-TR" w:bidi="tr-TR"/>
              </w:rPr>
              <w:t>Cl</w:t>
            </w:r>
            <w:r w:rsidRPr="00F50C10">
              <w:rPr>
                <w:rFonts w:eastAsia="Times New Roman" w:cs="Times New Roman"/>
                <w:szCs w:val="24"/>
                <w:vertAlign w:val="subscript"/>
                <w:lang w:val="tr-TR" w:bidi="tr-TR"/>
              </w:rPr>
              <w:t>2</w:t>
            </w:r>
          </w:p>
        </w:tc>
        <w:tc>
          <w:tcPr>
            <w:tcW w:w="3348" w:type="pct"/>
          </w:tcPr>
          <w:p w14:paraId="07314FFB" w14:textId="77777777" w:rsidR="00BB704F" w:rsidRPr="00F50C10" w:rsidRDefault="00BB704F" w:rsidP="000B206D">
            <w:pPr>
              <w:spacing w:line="276" w:lineRule="auto"/>
              <w:ind w:left="926" w:right="917"/>
              <w:jc w:val="center"/>
              <w:rPr>
                <w:rFonts w:eastAsia="Times New Roman" w:cs="Times New Roman"/>
                <w:szCs w:val="24"/>
                <w:lang w:val="tr-TR"/>
              </w:rPr>
            </w:pPr>
            <w:r w:rsidRPr="00F50C10">
              <w:rPr>
                <w:rFonts w:eastAsia="Times New Roman" w:cs="Times New Roman"/>
                <w:szCs w:val="24"/>
                <w:lang w:val="tr-TR" w:bidi="tr-TR"/>
              </w:rPr>
              <w:t>&lt; 1 (</w:t>
            </w:r>
            <w:r w:rsidRPr="00F50C10">
              <w:rPr>
                <w:rFonts w:eastAsia="Times New Roman" w:cs="Times New Roman"/>
                <w:szCs w:val="24"/>
                <w:vertAlign w:val="superscript"/>
                <w:lang w:val="tr-TR" w:bidi="tr-TR"/>
              </w:rPr>
              <w:t>2</w:t>
            </w:r>
            <w:r w:rsidRPr="00F50C10">
              <w:rPr>
                <w:rFonts w:eastAsia="Times New Roman" w:cs="Times New Roman"/>
                <w:szCs w:val="24"/>
                <w:lang w:val="tr-TR" w:bidi="tr-TR"/>
              </w:rPr>
              <w:t>) (</w:t>
            </w:r>
            <w:r w:rsidRPr="00F50C10">
              <w:rPr>
                <w:rFonts w:eastAsia="Times New Roman" w:cs="Times New Roman"/>
                <w:szCs w:val="24"/>
                <w:vertAlign w:val="superscript"/>
                <w:lang w:val="tr-TR" w:bidi="tr-TR"/>
              </w:rPr>
              <w:t>4</w:t>
            </w:r>
            <w:r w:rsidRPr="00F50C10">
              <w:rPr>
                <w:rFonts w:eastAsia="Times New Roman" w:cs="Times New Roman"/>
                <w:szCs w:val="24"/>
                <w:lang w:val="tr-TR" w:bidi="tr-TR"/>
              </w:rPr>
              <w:t>)</w:t>
            </w:r>
          </w:p>
        </w:tc>
      </w:tr>
      <w:tr w:rsidR="00BB704F" w:rsidRPr="00F50C10" w14:paraId="0CA84B91" w14:textId="77777777" w:rsidTr="00BB704F">
        <w:trPr>
          <w:trHeight w:val="230"/>
        </w:trPr>
        <w:tc>
          <w:tcPr>
            <w:tcW w:w="1652" w:type="pct"/>
          </w:tcPr>
          <w:p w14:paraId="746B0423" w14:textId="77777777" w:rsidR="00BB704F" w:rsidRPr="00F50C10" w:rsidRDefault="00BB704F" w:rsidP="000B206D">
            <w:pPr>
              <w:spacing w:line="276" w:lineRule="auto"/>
              <w:ind w:left="107"/>
              <w:rPr>
                <w:rFonts w:eastAsia="Times New Roman" w:cs="Times New Roman"/>
                <w:szCs w:val="24"/>
                <w:lang w:val="tr-TR"/>
              </w:rPr>
            </w:pPr>
            <w:r w:rsidRPr="00F50C10">
              <w:rPr>
                <w:rFonts w:eastAsia="Times New Roman" w:cs="Times New Roman"/>
                <w:szCs w:val="24"/>
                <w:lang w:val="tr-TR" w:bidi="tr-TR"/>
              </w:rPr>
              <w:t>HCl</w:t>
            </w:r>
          </w:p>
        </w:tc>
        <w:tc>
          <w:tcPr>
            <w:tcW w:w="3348" w:type="pct"/>
          </w:tcPr>
          <w:p w14:paraId="488AB756" w14:textId="77777777" w:rsidR="00BB704F" w:rsidRPr="00F50C10" w:rsidRDefault="00BB704F" w:rsidP="000B206D">
            <w:pPr>
              <w:spacing w:line="276" w:lineRule="auto"/>
              <w:ind w:left="926" w:right="917"/>
              <w:jc w:val="center"/>
              <w:rPr>
                <w:rFonts w:eastAsia="Times New Roman" w:cs="Times New Roman"/>
                <w:szCs w:val="24"/>
                <w:lang w:val="tr-TR"/>
              </w:rPr>
            </w:pPr>
            <w:r w:rsidRPr="00F50C10">
              <w:rPr>
                <w:rFonts w:eastAsia="Times New Roman" w:cs="Times New Roman"/>
                <w:szCs w:val="24"/>
                <w:lang w:val="tr-TR" w:bidi="tr-TR"/>
              </w:rPr>
              <w:t>2–10 (</w:t>
            </w:r>
            <w:r w:rsidRPr="00F50C10">
              <w:rPr>
                <w:rFonts w:eastAsia="Times New Roman" w:cs="Times New Roman"/>
                <w:szCs w:val="24"/>
                <w:vertAlign w:val="superscript"/>
                <w:lang w:val="tr-TR" w:bidi="tr-TR"/>
              </w:rPr>
              <w:t>2</w:t>
            </w:r>
            <w:r w:rsidRPr="00F50C10">
              <w:rPr>
                <w:rFonts w:eastAsia="Times New Roman" w:cs="Times New Roman"/>
                <w:szCs w:val="24"/>
                <w:lang w:val="tr-TR" w:bidi="tr-TR"/>
              </w:rPr>
              <w:t>)</w:t>
            </w:r>
          </w:p>
        </w:tc>
      </w:tr>
      <w:tr w:rsidR="00BB704F" w:rsidRPr="00F50C10" w14:paraId="101730BC" w14:textId="77777777" w:rsidTr="00BB704F">
        <w:trPr>
          <w:trHeight w:val="230"/>
        </w:trPr>
        <w:tc>
          <w:tcPr>
            <w:tcW w:w="1652" w:type="pct"/>
          </w:tcPr>
          <w:p w14:paraId="2F67ADAD" w14:textId="77777777" w:rsidR="00BB704F" w:rsidRPr="00F50C10" w:rsidRDefault="00BB704F" w:rsidP="000B206D">
            <w:pPr>
              <w:spacing w:line="276" w:lineRule="auto"/>
              <w:ind w:left="107"/>
              <w:rPr>
                <w:rFonts w:eastAsia="Times New Roman" w:cs="Times New Roman"/>
                <w:szCs w:val="24"/>
                <w:lang w:val="tr-TR"/>
              </w:rPr>
            </w:pPr>
            <w:r w:rsidRPr="00F50C10">
              <w:rPr>
                <w:rFonts w:eastAsia="Times New Roman" w:cs="Times New Roman"/>
                <w:szCs w:val="24"/>
                <w:lang w:val="tr-TR" w:bidi="tr-TR"/>
              </w:rPr>
              <w:t>PCDD/F</w:t>
            </w:r>
          </w:p>
        </w:tc>
        <w:tc>
          <w:tcPr>
            <w:tcW w:w="3348" w:type="pct"/>
          </w:tcPr>
          <w:p w14:paraId="377EA1EF" w14:textId="77777777" w:rsidR="00BB704F" w:rsidRPr="00F50C10" w:rsidRDefault="00BB704F" w:rsidP="000B206D">
            <w:pPr>
              <w:spacing w:line="276" w:lineRule="auto"/>
              <w:ind w:left="926" w:right="919"/>
              <w:jc w:val="center"/>
              <w:rPr>
                <w:rFonts w:eastAsia="Times New Roman" w:cs="Times New Roman"/>
                <w:szCs w:val="24"/>
                <w:lang w:val="tr-TR"/>
              </w:rPr>
            </w:pPr>
            <w:r w:rsidRPr="00F50C10">
              <w:rPr>
                <w:rFonts w:eastAsia="Times New Roman" w:cs="Times New Roman"/>
                <w:szCs w:val="24"/>
                <w:lang w:val="tr-TR" w:bidi="tr-TR"/>
              </w:rPr>
              <w:t>0,025–0,08 ng I-TEQ/Nm</w:t>
            </w:r>
            <w:r w:rsidRPr="00F50C10">
              <w:rPr>
                <w:rFonts w:eastAsia="Times New Roman" w:cs="Times New Roman"/>
                <w:szCs w:val="24"/>
                <w:vertAlign w:val="superscript"/>
                <w:lang w:val="tr-TR" w:bidi="tr-TR"/>
              </w:rPr>
              <w:t>3</w:t>
            </w:r>
            <w:r w:rsidRPr="00F50C10">
              <w:rPr>
                <w:rFonts w:eastAsia="Times New Roman" w:cs="Times New Roman"/>
                <w:szCs w:val="24"/>
                <w:lang w:val="tr-TR" w:bidi="tr-TR"/>
              </w:rPr>
              <w:t xml:space="preserve"> (</w:t>
            </w:r>
            <w:r w:rsidRPr="00F50C10">
              <w:rPr>
                <w:rFonts w:eastAsia="Times New Roman" w:cs="Times New Roman"/>
                <w:szCs w:val="24"/>
                <w:vertAlign w:val="superscript"/>
                <w:lang w:val="tr-TR" w:bidi="tr-TR"/>
              </w:rPr>
              <w:t>2</w:t>
            </w:r>
            <w:r w:rsidRPr="00F50C10">
              <w:rPr>
                <w:rFonts w:eastAsia="Times New Roman" w:cs="Times New Roman"/>
                <w:szCs w:val="24"/>
                <w:lang w:val="tr-TR" w:bidi="tr-TR"/>
              </w:rPr>
              <w:t>)</w:t>
            </w:r>
          </w:p>
        </w:tc>
      </w:tr>
      <w:tr w:rsidR="00BB704F" w:rsidRPr="00F50C10" w14:paraId="1BCE2512" w14:textId="77777777" w:rsidTr="00BB704F">
        <w:trPr>
          <w:trHeight w:val="1243"/>
        </w:trPr>
        <w:tc>
          <w:tcPr>
            <w:tcW w:w="5000" w:type="pct"/>
            <w:gridSpan w:val="2"/>
          </w:tcPr>
          <w:p w14:paraId="64B546C8" w14:textId="77777777" w:rsidR="00BB704F" w:rsidRPr="00F50C10" w:rsidRDefault="00BB704F" w:rsidP="000B206D">
            <w:pPr>
              <w:numPr>
                <w:ilvl w:val="0"/>
                <w:numId w:val="15"/>
              </w:numPr>
              <w:tabs>
                <w:tab w:val="left" w:pos="334"/>
              </w:tabs>
              <w:spacing w:line="276" w:lineRule="auto"/>
              <w:ind w:hanging="227"/>
              <w:jc w:val="left"/>
              <w:rPr>
                <w:rFonts w:eastAsia="Times New Roman" w:cs="Times New Roman"/>
                <w:i/>
                <w:iCs/>
                <w:szCs w:val="24"/>
                <w:lang w:val="tr-TR"/>
              </w:rPr>
            </w:pPr>
            <w:r w:rsidRPr="00F50C10">
              <w:rPr>
                <w:rFonts w:eastAsia="Times New Roman" w:cs="Times New Roman"/>
                <w:i/>
                <w:iCs/>
                <w:szCs w:val="24"/>
                <w:lang w:val="tr-TR" w:bidi="tr-TR"/>
              </w:rPr>
              <w:t>MET-İES yalnızca akış hızı &gt; 1.000 Nm</w:t>
            </w:r>
            <w:r w:rsidRPr="00F50C10">
              <w:rPr>
                <w:rFonts w:eastAsia="Times New Roman" w:cs="Times New Roman"/>
                <w:i/>
                <w:iCs/>
                <w:szCs w:val="24"/>
                <w:vertAlign w:val="superscript"/>
                <w:lang w:val="tr-TR" w:bidi="tr-TR"/>
              </w:rPr>
              <w:t>3</w:t>
            </w:r>
            <w:r w:rsidRPr="00F50C10">
              <w:rPr>
                <w:rFonts w:eastAsia="Times New Roman" w:cs="Times New Roman"/>
                <w:i/>
                <w:iCs/>
                <w:szCs w:val="24"/>
                <w:lang w:val="tr-TR" w:bidi="tr-TR"/>
              </w:rPr>
              <w:t>/s olan kombine atık gaz akışları için geçerlidir.</w:t>
            </w:r>
          </w:p>
          <w:p w14:paraId="19694020" w14:textId="77777777" w:rsidR="00BB704F" w:rsidRPr="00F50C10" w:rsidRDefault="00BB704F" w:rsidP="000B206D">
            <w:pPr>
              <w:numPr>
                <w:ilvl w:val="0"/>
                <w:numId w:val="15"/>
              </w:numPr>
              <w:tabs>
                <w:tab w:val="left" w:pos="334"/>
              </w:tabs>
              <w:spacing w:line="276" w:lineRule="auto"/>
              <w:ind w:hanging="227"/>
              <w:jc w:val="left"/>
              <w:rPr>
                <w:rFonts w:eastAsia="Times New Roman" w:cs="Times New Roman"/>
                <w:i/>
                <w:iCs/>
                <w:szCs w:val="24"/>
                <w:lang w:val="tr-TR"/>
              </w:rPr>
            </w:pPr>
            <w:r w:rsidRPr="00F50C10">
              <w:rPr>
                <w:rFonts w:eastAsia="Times New Roman" w:cs="Times New Roman"/>
                <w:i/>
                <w:iCs/>
                <w:szCs w:val="24"/>
                <w:lang w:val="tr-TR" w:bidi="tr-TR"/>
              </w:rPr>
              <w:t>MET-İES, günlük ortalama veya örnekleme süresi boyunca ortalama olarak ifade edilir.</w:t>
            </w:r>
          </w:p>
          <w:p w14:paraId="75CDBA74" w14:textId="77777777" w:rsidR="00BB704F" w:rsidRPr="00F50C10" w:rsidRDefault="00BB704F" w:rsidP="000B206D">
            <w:pPr>
              <w:numPr>
                <w:ilvl w:val="0"/>
                <w:numId w:val="15"/>
              </w:numPr>
              <w:tabs>
                <w:tab w:val="left" w:pos="353"/>
              </w:tabs>
              <w:spacing w:before="15" w:line="276" w:lineRule="auto"/>
              <w:ind w:left="107" w:right="102" w:firstLine="0"/>
              <w:jc w:val="left"/>
              <w:rPr>
                <w:rFonts w:eastAsia="Times New Roman" w:cs="Times New Roman"/>
                <w:i/>
                <w:iCs/>
                <w:szCs w:val="24"/>
                <w:lang w:val="tr-TR"/>
              </w:rPr>
            </w:pPr>
            <w:r w:rsidRPr="00F50C10">
              <w:rPr>
                <w:rFonts w:eastAsia="Times New Roman" w:cs="Times New Roman"/>
                <w:i/>
                <w:iCs/>
                <w:szCs w:val="24"/>
                <w:lang w:val="tr-TR" w:bidi="tr-TR"/>
              </w:rPr>
              <w:t>MET-İES, bir yıl boyunca elde edilen değerlerin ortalaması olarak ifade edilir. Üretilen TDI ve/veya MDI, tesisin kapasitesini tanımlamak için kullanılan anlamıyla, kalıntı içermeyen ürünü ifade eder.</w:t>
            </w:r>
          </w:p>
          <w:p w14:paraId="7076E222" w14:textId="77777777" w:rsidR="00BB704F" w:rsidRPr="00F50C10" w:rsidRDefault="00BB704F" w:rsidP="000B206D">
            <w:pPr>
              <w:numPr>
                <w:ilvl w:val="0"/>
                <w:numId w:val="15"/>
              </w:numPr>
              <w:tabs>
                <w:tab w:val="left" w:pos="360"/>
              </w:tabs>
              <w:spacing w:before="3" w:line="276" w:lineRule="auto"/>
              <w:ind w:left="107" w:right="97" w:firstLine="0"/>
              <w:jc w:val="left"/>
              <w:rPr>
                <w:rFonts w:eastAsia="Times New Roman" w:cs="Times New Roman"/>
                <w:i/>
                <w:iCs/>
                <w:szCs w:val="24"/>
                <w:lang w:val="tr-TR"/>
              </w:rPr>
            </w:pPr>
            <w:r w:rsidRPr="00F50C10">
              <w:rPr>
                <w:rFonts w:eastAsia="Times New Roman" w:cs="Times New Roman"/>
                <w:i/>
                <w:iCs/>
                <w:szCs w:val="24"/>
                <w:lang w:val="tr-TR" w:bidi="tr-TR"/>
              </w:rPr>
              <w:t>Numunede 100 mg/Nm</w:t>
            </w:r>
            <w:r w:rsidRPr="00F50C10">
              <w:rPr>
                <w:rFonts w:eastAsia="Times New Roman" w:cs="Times New Roman"/>
                <w:i/>
                <w:iCs/>
                <w:szCs w:val="24"/>
                <w:vertAlign w:val="superscript"/>
                <w:lang w:val="tr-TR" w:bidi="tr-TR"/>
              </w:rPr>
              <w:t>3</w:t>
            </w:r>
            <w:r w:rsidRPr="00F50C10">
              <w:rPr>
                <w:rFonts w:eastAsia="Times New Roman" w:cs="Times New Roman"/>
                <w:i/>
                <w:iCs/>
                <w:szCs w:val="24"/>
                <w:lang w:val="tr-TR" w:bidi="tr-TR"/>
              </w:rPr>
              <w:t>'ün üzerindeki NO</w:t>
            </w:r>
            <w:r w:rsidRPr="00F50C10">
              <w:rPr>
                <w:rFonts w:eastAsia="Times New Roman" w:cs="Times New Roman"/>
                <w:i/>
                <w:iCs/>
                <w:szCs w:val="24"/>
                <w:vertAlign w:val="subscript"/>
                <w:lang w:val="tr-TR" w:bidi="tr-TR"/>
              </w:rPr>
              <w:t>X</w:t>
            </w:r>
            <w:r w:rsidRPr="00F50C10">
              <w:rPr>
                <w:rFonts w:eastAsia="Times New Roman" w:cs="Times New Roman"/>
                <w:i/>
                <w:iCs/>
                <w:szCs w:val="24"/>
                <w:lang w:val="tr-TR" w:bidi="tr-TR"/>
              </w:rPr>
              <w:t xml:space="preserve"> değerlerinin olması durumunda, MET-İES analitik müdahaleler nedeniyle daha yüksek olabilir ve 3 mg/Nm</w:t>
            </w:r>
            <w:r w:rsidRPr="00F50C10">
              <w:rPr>
                <w:rFonts w:eastAsia="Times New Roman" w:cs="Times New Roman"/>
                <w:i/>
                <w:iCs/>
                <w:szCs w:val="24"/>
                <w:vertAlign w:val="superscript"/>
                <w:lang w:val="tr-TR" w:bidi="tr-TR"/>
              </w:rPr>
              <w:t>3</w:t>
            </w:r>
            <w:r w:rsidRPr="00F50C10">
              <w:rPr>
                <w:rFonts w:eastAsia="Times New Roman" w:cs="Times New Roman"/>
                <w:i/>
                <w:iCs/>
                <w:szCs w:val="24"/>
                <w:lang w:val="tr-TR" w:bidi="tr-TR"/>
              </w:rPr>
              <w:t>'e kadar çıkabilir.</w:t>
            </w:r>
          </w:p>
        </w:tc>
      </w:tr>
    </w:tbl>
    <w:p w14:paraId="5A7F7FEB" w14:textId="77777777" w:rsidR="00BB704F" w:rsidRPr="00F50C10" w:rsidRDefault="00BB704F" w:rsidP="000B206D">
      <w:pPr>
        <w:widowControl w:val="0"/>
        <w:autoSpaceDE w:val="0"/>
        <w:autoSpaceDN w:val="0"/>
        <w:spacing w:before="240" w:line="276" w:lineRule="auto"/>
        <w:jc w:val="left"/>
        <w:rPr>
          <w:rFonts w:eastAsia="Times New Roman" w:cs="Times New Roman"/>
          <w:szCs w:val="24"/>
          <w:lang w:val="tr-TR"/>
        </w:rPr>
      </w:pPr>
      <w:r w:rsidRPr="00F50C10">
        <w:rPr>
          <w:rFonts w:eastAsia="Times New Roman" w:cs="Times New Roman"/>
          <w:szCs w:val="24"/>
          <w:lang w:val="tr-TR"/>
        </w:rPr>
        <w:t>İlgili izleme MET 2 kapsamındadır.</w:t>
      </w:r>
    </w:p>
    <w:p w14:paraId="685B2DC4" w14:textId="7C9E0F39" w:rsidR="00BB704F" w:rsidRPr="00F50C10" w:rsidRDefault="00BB704F" w:rsidP="000B206D">
      <w:pPr>
        <w:widowControl w:val="0"/>
        <w:autoSpaceDE w:val="0"/>
        <w:autoSpaceDN w:val="0"/>
        <w:spacing w:before="240" w:line="276" w:lineRule="auto"/>
        <w:jc w:val="left"/>
        <w:rPr>
          <w:rFonts w:eastAsia="Times New Roman" w:cs="Times New Roman"/>
          <w:b/>
          <w:bCs/>
          <w:szCs w:val="24"/>
          <w:lang w:val="tr-TR"/>
        </w:rPr>
      </w:pPr>
      <w:r w:rsidRPr="00F50C10">
        <w:rPr>
          <w:rFonts w:eastAsia="Times New Roman" w:cs="Times New Roman"/>
          <w:b/>
          <w:bCs/>
          <w:szCs w:val="24"/>
          <w:lang w:val="tr-TR"/>
        </w:rPr>
        <w:t xml:space="preserve">MET 67: </w:t>
      </w:r>
      <w:r w:rsidRPr="00F50C10">
        <w:rPr>
          <w:rFonts w:eastAsia="Times New Roman" w:cs="Times New Roman"/>
          <w:szCs w:val="24"/>
          <w:lang w:val="tr-TR"/>
        </w:rPr>
        <w:t xml:space="preserve">Bir termal oksitleyiciden (Bkz. </w:t>
      </w:r>
      <w:hyperlink w:anchor="_bookmark800"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_Ref133314513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w:t>
        </w:r>
        <w:r w:rsidRPr="00F50C10">
          <w:rPr>
            <w:rFonts w:eastAsia="Times New Roman" w:cs="Times New Roman"/>
            <w:szCs w:val="24"/>
            <w:lang w:val="tr-TR" w:bidi="tr-TR"/>
          </w:rPr>
          <w:fldChar w:fldCharType="end"/>
        </w:r>
      </w:hyperlink>
      <w:r w:rsidR="008963EF" w:rsidRPr="00F50C10">
        <w:rPr>
          <w:rFonts w:eastAsia="Times New Roman" w:cs="Times New Roman"/>
          <w:szCs w:val="24"/>
          <w:lang w:val="tr-TR" w:bidi="tr-TR"/>
        </w:rPr>
        <w:t>1</w:t>
      </w:r>
      <w:r w:rsidRPr="00F50C10">
        <w:rPr>
          <w:rFonts w:eastAsia="Times New Roman" w:cs="Times New Roman"/>
          <w:szCs w:val="24"/>
          <w:lang w:val="tr-TR"/>
        </w:rPr>
        <w:t xml:space="preserve">) havaya PCDD/F emisyonlarını azaltmak için, klor ve/veya klorlu bileşikler içeren proses </w:t>
      </w:r>
      <w:r w:rsidR="00C620EA" w:rsidRPr="00F50C10">
        <w:rPr>
          <w:rFonts w:eastAsia="Times New Roman" w:cs="Times New Roman"/>
          <w:szCs w:val="24"/>
          <w:lang w:val="tr-TR"/>
        </w:rPr>
        <w:t>çıkış gazı</w:t>
      </w:r>
      <w:r w:rsidRPr="00F50C10">
        <w:rPr>
          <w:rFonts w:eastAsia="Times New Roman" w:cs="Times New Roman"/>
          <w:szCs w:val="24"/>
          <w:lang w:val="tr-TR"/>
        </w:rPr>
        <w:t xml:space="preserve"> akımlarını arıtmada, aşağıda verilen teknik a ve gerekli olması halinde ardından teknik b </w:t>
      </w:r>
      <w:r w:rsidR="00C620EA" w:rsidRPr="00F50C10">
        <w:rPr>
          <w:rFonts w:eastAsia="Times New Roman" w:cs="Times New Roman"/>
          <w:szCs w:val="24"/>
          <w:lang w:val="tr-TR"/>
        </w:rPr>
        <w:t>uygulanır</w:t>
      </w:r>
      <w:r w:rsidRPr="00F50C10">
        <w:rPr>
          <w:rFonts w:eastAsia="Times New Roman" w:cs="Times New Roman"/>
          <w:szCs w:val="24"/>
          <w:lang w:val="tr-TR"/>
        </w:rPr>
        <w: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7"/>
        <w:gridCol w:w="2556"/>
        <w:gridCol w:w="3265"/>
        <w:gridCol w:w="2309"/>
      </w:tblGrid>
      <w:tr w:rsidR="00BB704F" w:rsidRPr="00F50C10" w14:paraId="547C790B" w14:textId="77777777" w:rsidTr="00BB704F">
        <w:trPr>
          <w:trHeight w:val="230"/>
          <w:tblHeader/>
        </w:trPr>
        <w:tc>
          <w:tcPr>
            <w:tcW w:w="216" w:type="pct"/>
            <w:tcBorders>
              <w:top w:val="single" w:sz="4" w:space="0" w:color="auto"/>
              <w:right w:val="single" w:sz="4" w:space="0" w:color="auto"/>
            </w:tcBorders>
          </w:tcPr>
          <w:p w14:paraId="0CF7986A" w14:textId="77777777" w:rsidR="00BB704F" w:rsidRPr="00F50C10" w:rsidRDefault="00BB704F" w:rsidP="000B206D">
            <w:pPr>
              <w:spacing w:line="276" w:lineRule="auto"/>
              <w:ind w:right="108"/>
              <w:jc w:val="center"/>
              <w:rPr>
                <w:rFonts w:eastAsia="Times New Roman" w:cs="Times New Roman"/>
                <w:b/>
                <w:szCs w:val="24"/>
                <w:lang w:val="tr-TR"/>
              </w:rPr>
            </w:pPr>
          </w:p>
        </w:tc>
        <w:tc>
          <w:tcPr>
            <w:tcW w:w="1504" w:type="pct"/>
            <w:tcBorders>
              <w:top w:val="single" w:sz="4" w:space="0" w:color="auto"/>
              <w:left w:val="single" w:sz="4" w:space="0" w:color="auto"/>
            </w:tcBorders>
          </w:tcPr>
          <w:p w14:paraId="119ED6AE" w14:textId="77777777" w:rsidR="00BB704F" w:rsidRPr="00F50C10" w:rsidRDefault="00BB704F" w:rsidP="000B206D">
            <w:pPr>
              <w:spacing w:line="276" w:lineRule="auto"/>
              <w:ind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1921" w:type="pct"/>
          </w:tcPr>
          <w:p w14:paraId="159E7F38"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359" w:type="pct"/>
          </w:tcPr>
          <w:p w14:paraId="7C834F0C" w14:textId="77777777" w:rsidR="00BB704F" w:rsidRPr="00F50C10" w:rsidRDefault="00BB704F" w:rsidP="000B206D">
            <w:pPr>
              <w:spacing w:line="276" w:lineRule="auto"/>
              <w:ind w:left="108" w:right="108"/>
              <w:jc w:val="left"/>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2B6B1075" w14:textId="77777777" w:rsidTr="00BB704F">
        <w:trPr>
          <w:trHeight w:val="707"/>
        </w:trPr>
        <w:tc>
          <w:tcPr>
            <w:tcW w:w="216" w:type="pct"/>
            <w:vAlign w:val="center"/>
          </w:tcPr>
          <w:p w14:paraId="463C743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504" w:type="pct"/>
            <w:vAlign w:val="center"/>
          </w:tcPr>
          <w:p w14:paraId="1844087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Hızlı söndürme</w:t>
            </w:r>
          </w:p>
        </w:tc>
        <w:tc>
          <w:tcPr>
            <w:tcW w:w="1921" w:type="pct"/>
            <w:vAlign w:val="center"/>
          </w:tcPr>
          <w:p w14:paraId="0504F7C7" w14:textId="3E7935AC" w:rsidR="00BB704F" w:rsidRPr="00F50C10" w:rsidRDefault="00BB704F" w:rsidP="000B206D">
            <w:pPr>
              <w:spacing w:before="2"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PCDD/F'nin </w:t>
            </w:r>
            <w:r w:rsidRPr="00F50C10">
              <w:rPr>
                <w:rFonts w:eastAsia="Times New Roman" w:cs="Times New Roman"/>
                <w:i/>
                <w:szCs w:val="24"/>
                <w:lang w:val="tr-TR" w:bidi="tr-TR"/>
              </w:rPr>
              <w:t>de novo</w:t>
            </w:r>
            <w:r w:rsidRPr="00F50C10">
              <w:rPr>
                <w:rFonts w:eastAsia="Times New Roman" w:cs="Times New Roman"/>
                <w:szCs w:val="24"/>
                <w:lang w:val="tr-TR" w:bidi="tr-TR"/>
              </w:rPr>
              <w:t xml:space="preserve"> sentezini önlemek için </w:t>
            </w:r>
            <w:r w:rsidR="00C620EA" w:rsidRPr="00F50C10">
              <w:rPr>
                <w:rFonts w:eastAsia="Times New Roman" w:cs="Times New Roman"/>
                <w:szCs w:val="24"/>
                <w:lang w:val="tr-TR" w:bidi="tr-TR"/>
              </w:rPr>
              <w:t>çıkış</w:t>
            </w:r>
            <w:r w:rsidRPr="00F50C10">
              <w:rPr>
                <w:rFonts w:eastAsia="Times New Roman" w:cs="Times New Roman"/>
                <w:szCs w:val="24"/>
                <w:lang w:val="tr-TR" w:bidi="tr-TR"/>
              </w:rPr>
              <w:t xml:space="preserve"> gazlarının hızla soğutulması</w:t>
            </w:r>
          </w:p>
        </w:tc>
        <w:tc>
          <w:tcPr>
            <w:tcW w:w="1359" w:type="pct"/>
            <w:vMerge w:val="restart"/>
            <w:vAlign w:val="center"/>
          </w:tcPr>
          <w:p w14:paraId="2AA23229" w14:textId="77777777" w:rsidR="00BB704F" w:rsidRPr="00F50C10" w:rsidRDefault="00BB704F" w:rsidP="000B206D">
            <w:pPr>
              <w:spacing w:before="1"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0BD60D5E" w14:textId="77777777" w:rsidTr="00BB704F">
        <w:trPr>
          <w:trHeight w:val="957"/>
        </w:trPr>
        <w:tc>
          <w:tcPr>
            <w:tcW w:w="216" w:type="pct"/>
            <w:vAlign w:val="center"/>
          </w:tcPr>
          <w:p w14:paraId="45632FD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504" w:type="pct"/>
            <w:vAlign w:val="center"/>
          </w:tcPr>
          <w:p w14:paraId="09304FE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Aktif karbon enjeksiyonu</w:t>
            </w:r>
          </w:p>
        </w:tc>
        <w:tc>
          <w:tcPr>
            <w:tcW w:w="1921" w:type="pct"/>
            <w:vAlign w:val="center"/>
          </w:tcPr>
          <w:p w14:paraId="1D766594" w14:textId="77777777" w:rsidR="00BB704F" w:rsidRPr="00F50C10" w:rsidRDefault="00BB704F" w:rsidP="000B206D">
            <w:pPr>
              <w:spacing w:before="12" w:line="276" w:lineRule="auto"/>
              <w:ind w:left="108" w:right="108"/>
              <w:rPr>
                <w:rFonts w:eastAsia="Times New Roman" w:cs="Times New Roman"/>
                <w:szCs w:val="24"/>
                <w:lang w:val="tr-TR"/>
              </w:rPr>
            </w:pPr>
            <w:r w:rsidRPr="00F50C10">
              <w:rPr>
                <w:rFonts w:eastAsia="Times New Roman" w:cs="Times New Roman"/>
                <w:szCs w:val="24"/>
                <w:lang w:val="tr-TR" w:bidi="tr-TR"/>
              </w:rPr>
              <w:t>PCDD/F'nin egzoz gazına enjekte edilen aktif karbon üzerine adsorpsiyonla giderilmesi ve ardından toz azaltma</w:t>
            </w:r>
          </w:p>
        </w:tc>
        <w:tc>
          <w:tcPr>
            <w:tcW w:w="1359" w:type="pct"/>
            <w:vMerge/>
            <w:vAlign w:val="center"/>
          </w:tcPr>
          <w:p w14:paraId="6223A0A0" w14:textId="77777777" w:rsidR="00BB704F" w:rsidRPr="00F50C10" w:rsidRDefault="00BB704F" w:rsidP="000B206D">
            <w:pPr>
              <w:spacing w:line="276" w:lineRule="auto"/>
              <w:ind w:left="108" w:right="108"/>
              <w:jc w:val="left"/>
              <w:rPr>
                <w:rFonts w:eastAsia="Times New Roman" w:cs="Times New Roman"/>
                <w:szCs w:val="24"/>
                <w:lang w:val="tr-TR"/>
              </w:rPr>
            </w:pPr>
          </w:p>
        </w:tc>
      </w:tr>
    </w:tbl>
    <w:p w14:paraId="7575ADBD" w14:textId="5F9D1A87" w:rsidR="00BB704F" w:rsidRPr="00F50C10" w:rsidRDefault="00BB704F" w:rsidP="000B206D">
      <w:pPr>
        <w:keepNext/>
        <w:keepLines/>
        <w:widowControl w:val="0"/>
        <w:autoSpaceDE w:val="0"/>
        <w:autoSpaceDN w:val="0"/>
        <w:spacing w:before="240" w:after="60" w:line="276" w:lineRule="auto"/>
        <w:jc w:val="left"/>
        <w:outlineLvl w:val="1"/>
        <w:rPr>
          <w:rFonts w:eastAsia="Times New Roman" w:cs="Times New Roman"/>
          <w:bCs/>
          <w:szCs w:val="24"/>
          <w:lang w:val="tr-TR"/>
        </w:rPr>
      </w:pPr>
      <w:r w:rsidRPr="00F50C10">
        <w:rPr>
          <w:rFonts w:eastAsia="Times New Roman" w:cs="Times New Roman"/>
          <w:bCs/>
          <w:szCs w:val="24"/>
          <w:lang w:val="tr-TR"/>
        </w:rPr>
        <w:t xml:space="preserve">MET ile ilişkili emisyon seviyeleri (MET-İES'ler) </w:t>
      </w:r>
      <w:r w:rsidR="008963EF" w:rsidRPr="00F50C10">
        <w:rPr>
          <w:rFonts w:eastAsia="Times New Roman" w:cs="Times New Roman"/>
          <w:bCs/>
          <w:szCs w:val="24"/>
          <w:lang w:val="tr-TR"/>
        </w:rPr>
        <w:t>Tablo 9.1’e</w:t>
      </w:r>
      <w:r w:rsidRPr="00F50C10">
        <w:rPr>
          <w:rFonts w:eastAsia="Times New Roman" w:cs="Times New Roman"/>
          <w:bCs/>
          <w:szCs w:val="24"/>
          <w:lang w:val="tr-TR"/>
        </w:rPr>
        <w:t xml:space="preserve"> bakınız.</w:t>
      </w:r>
    </w:p>
    <w:p w14:paraId="3E972C2A"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53" w:name="_Toc136613738"/>
      <w:r w:rsidRPr="00F50C10">
        <w:rPr>
          <w:rFonts w:eastAsia="Times New Roman" w:cs="Times New Roman"/>
          <w:b/>
          <w:szCs w:val="24"/>
          <w:lang w:val="tr-TR"/>
        </w:rPr>
        <w:t>Suya Deşarjlar</w:t>
      </w:r>
      <w:bookmarkEnd w:id="53"/>
    </w:p>
    <w:p w14:paraId="48860E84" w14:textId="64D9541E"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68: </w:t>
      </w:r>
      <w:r w:rsidR="00C620EA" w:rsidRPr="00F50C10">
        <w:rPr>
          <w:rFonts w:eastAsia="Times New Roman" w:cs="Times New Roman"/>
          <w:szCs w:val="24"/>
          <w:lang w:val="tr-TR"/>
        </w:rPr>
        <w:t>S</w:t>
      </w:r>
      <w:r w:rsidRPr="00F50C10">
        <w:rPr>
          <w:rFonts w:eastAsia="Times New Roman" w:cs="Times New Roman"/>
          <w:szCs w:val="24"/>
          <w:lang w:val="tr-TR"/>
        </w:rPr>
        <w:t>uya deşarjlar asgari olarak aşağıda verilen sıklıkta ve</w:t>
      </w:r>
      <w:r w:rsidR="00C620EA" w:rsidRPr="00F50C10">
        <w:rPr>
          <w:rFonts w:eastAsia="Times New Roman" w:cs="Times New Roman"/>
          <w:szCs w:val="24"/>
          <w:lang w:val="tr-TR"/>
        </w:rPr>
        <w:t xml:space="preserve"> </w:t>
      </w:r>
      <w:r w:rsidRPr="00F50C10">
        <w:rPr>
          <w:rFonts w:eastAsia="Times New Roman" w:cs="Times New Roman"/>
          <w:szCs w:val="24"/>
          <w:lang w:val="tr-TR"/>
        </w:rPr>
        <w:t>EN standartlarına uygun olarak izle</w:t>
      </w:r>
      <w:r w:rsidR="00C620EA" w:rsidRPr="00F50C10">
        <w:rPr>
          <w:rFonts w:eastAsia="Times New Roman" w:cs="Times New Roman"/>
          <w:szCs w:val="24"/>
          <w:lang w:val="tr-TR"/>
        </w:rPr>
        <w:t>n</w:t>
      </w:r>
      <w:r w:rsidRPr="00F50C10">
        <w:rPr>
          <w:rFonts w:eastAsia="Times New Roman" w:cs="Times New Roman"/>
          <w:szCs w:val="24"/>
          <w:lang w:val="tr-TR"/>
        </w:rPr>
        <w:t xml:space="preserve">ir. Uygulanabilir EN standartları mevcut değilse, eş değer bilimsel nitelikteki verilerin sunulmasını sağlayan ISO standartları veya ulusal ya da diğer uluslararası standartlar </w:t>
      </w:r>
      <w:r w:rsidR="00C620EA" w:rsidRPr="00F50C10">
        <w:rPr>
          <w:rFonts w:eastAsia="Times New Roman" w:cs="Times New Roman"/>
          <w:szCs w:val="24"/>
          <w:lang w:val="tr-TR"/>
        </w:rPr>
        <w:t>kullanılır.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1"/>
        <w:gridCol w:w="1778"/>
        <w:gridCol w:w="1412"/>
        <w:gridCol w:w="1650"/>
        <w:gridCol w:w="1140"/>
        <w:gridCol w:w="926"/>
      </w:tblGrid>
      <w:tr w:rsidR="00BB704F" w:rsidRPr="00F50C10" w14:paraId="07781688" w14:textId="77777777" w:rsidTr="00BB704F">
        <w:trPr>
          <w:trHeight w:val="690"/>
        </w:trPr>
        <w:tc>
          <w:tcPr>
            <w:tcW w:w="936" w:type="pct"/>
            <w:vAlign w:val="center"/>
          </w:tcPr>
          <w:p w14:paraId="59E7ADD3" w14:textId="77777777" w:rsidR="00BB704F" w:rsidRPr="00F50C10" w:rsidRDefault="00BB704F" w:rsidP="000B206D">
            <w:pPr>
              <w:spacing w:before="113" w:line="276" w:lineRule="auto"/>
              <w:ind w:left="108" w:right="108" w:hanging="5"/>
              <w:jc w:val="center"/>
              <w:rPr>
                <w:rFonts w:eastAsia="Times New Roman" w:cs="Times New Roman"/>
                <w:b/>
                <w:szCs w:val="24"/>
                <w:lang w:val="tr-TR"/>
              </w:rPr>
            </w:pPr>
            <w:r w:rsidRPr="00F50C10">
              <w:rPr>
                <w:rFonts w:eastAsia="Times New Roman" w:cs="Times New Roman"/>
                <w:b/>
                <w:w w:val="95"/>
                <w:szCs w:val="24"/>
                <w:lang w:val="tr-TR" w:bidi="tr-TR"/>
              </w:rPr>
              <w:t>Madde/ Parametre</w:t>
            </w:r>
          </w:p>
        </w:tc>
        <w:tc>
          <w:tcPr>
            <w:tcW w:w="1046" w:type="pct"/>
            <w:vAlign w:val="center"/>
          </w:tcPr>
          <w:p w14:paraId="2804699F"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Tesis</w:t>
            </w:r>
          </w:p>
        </w:tc>
        <w:tc>
          <w:tcPr>
            <w:tcW w:w="831" w:type="pct"/>
            <w:vAlign w:val="center"/>
          </w:tcPr>
          <w:p w14:paraId="4C54B6CD" w14:textId="77777777" w:rsidR="00BB704F" w:rsidRPr="00F50C10" w:rsidRDefault="00BB704F" w:rsidP="000B206D">
            <w:pPr>
              <w:spacing w:line="276" w:lineRule="auto"/>
              <w:ind w:left="291" w:right="108" w:hanging="183"/>
              <w:jc w:val="center"/>
              <w:rPr>
                <w:rFonts w:eastAsia="Times New Roman" w:cs="Times New Roman"/>
                <w:b/>
                <w:szCs w:val="24"/>
                <w:lang w:val="tr-TR"/>
              </w:rPr>
            </w:pPr>
            <w:r w:rsidRPr="00F50C10">
              <w:rPr>
                <w:rFonts w:eastAsia="Times New Roman" w:cs="Times New Roman"/>
                <w:b/>
                <w:w w:val="95"/>
                <w:szCs w:val="24"/>
                <w:lang w:val="tr-TR" w:bidi="tr-TR"/>
              </w:rPr>
              <w:t>Örnekleme noktası</w:t>
            </w:r>
          </w:p>
        </w:tc>
        <w:tc>
          <w:tcPr>
            <w:tcW w:w="971" w:type="pct"/>
            <w:vAlign w:val="center"/>
          </w:tcPr>
          <w:p w14:paraId="68F5BF98" w14:textId="77777777" w:rsidR="00BB704F" w:rsidRPr="00F50C10" w:rsidRDefault="00BB704F" w:rsidP="000B206D">
            <w:pPr>
              <w:spacing w:before="1"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Standart(lar)</w:t>
            </w:r>
          </w:p>
        </w:tc>
        <w:tc>
          <w:tcPr>
            <w:tcW w:w="671" w:type="pct"/>
            <w:vAlign w:val="center"/>
          </w:tcPr>
          <w:p w14:paraId="36C4245A" w14:textId="77777777" w:rsidR="00BB704F" w:rsidRPr="00F50C10" w:rsidRDefault="00BB704F" w:rsidP="000B206D">
            <w:pPr>
              <w:spacing w:line="276" w:lineRule="auto"/>
              <w:ind w:left="108" w:right="108" w:firstLine="52"/>
              <w:jc w:val="center"/>
              <w:rPr>
                <w:rFonts w:eastAsia="Times New Roman" w:cs="Times New Roman"/>
                <w:b/>
                <w:szCs w:val="24"/>
                <w:lang w:val="tr-TR"/>
              </w:rPr>
            </w:pPr>
            <w:r w:rsidRPr="00F50C10">
              <w:rPr>
                <w:rFonts w:eastAsia="Times New Roman" w:cs="Times New Roman"/>
                <w:b/>
                <w:szCs w:val="24"/>
                <w:lang w:val="tr-TR" w:bidi="tr-TR"/>
              </w:rPr>
              <w:t>Minimum izleme frekansı</w:t>
            </w:r>
          </w:p>
        </w:tc>
        <w:tc>
          <w:tcPr>
            <w:tcW w:w="545" w:type="pct"/>
            <w:vAlign w:val="center"/>
          </w:tcPr>
          <w:p w14:paraId="1DB36D62"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w w:val="95"/>
                <w:szCs w:val="24"/>
                <w:lang w:val="tr-TR" w:bidi="tr-TR"/>
              </w:rPr>
              <w:t>İlişkili izleme</w:t>
            </w:r>
          </w:p>
        </w:tc>
      </w:tr>
      <w:tr w:rsidR="00BB704F" w:rsidRPr="00F50C10" w14:paraId="043E0BA4" w14:textId="77777777" w:rsidTr="00BB704F">
        <w:trPr>
          <w:trHeight w:val="849"/>
        </w:trPr>
        <w:tc>
          <w:tcPr>
            <w:tcW w:w="936" w:type="pct"/>
            <w:vMerge w:val="restart"/>
            <w:vAlign w:val="center"/>
          </w:tcPr>
          <w:p w14:paraId="25050F4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TOB</w:t>
            </w:r>
          </w:p>
        </w:tc>
        <w:tc>
          <w:tcPr>
            <w:tcW w:w="1046" w:type="pct"/>
            <w:vAlign w:val="center"/>
          </w:tcPr>
          <w:p w14:paraId="4E283FF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DNT tesisi</w:t>
            </w:r>
          </w:p>
        </w:tc>
        <w:tc>
          <w:tcPr>
            <w:tcW w:w="831" w:type="pct"/>
            <w:vAlign w:val="center"/>
          </w:tcPr>
          <w:p w14:paraId="792B5F90" w14:textId="77777777" w:rsidR="00BB704F" w:rsidRPr="00F50C10" w:rsidRDefault="00BB704F" w:rsidP="000B206D">
            <w:pPr>
              <w:spacing w:before="72" w:line="276" w:lineRule="auto"/>
              <w:ind w:left="108" w:right="108"/>
              <w:rPr>
                <w:rFonts w:eastAsia="Times New Roman" w:cs="Times New Roman"/>
                <w:szCs w:val="24"/>
                <w:lang w:val="tr-TR"/>
              </w:rPr>
            </w:pPr>
            <w:r w:rsidRPr="00F50C10">
              <w:rPr>
                <w:rFonts w:eastAsia="Times New Roman" w:cs="Times New Roman"/>
                <w:szCs w:val="24"/>
                <w:lang w:val="tr-TR" w:bidi="tr-TR"/>
              </w:rPr>
              <w:t>Ön arıtma ünitesinin çıkışı</w:t>
            </w:r>
          </w:p>
        </w:tc>
        <w:tc>
          <w:tcPr>
            <w:tcW w:w="971" w:type="pct"/>
            <w:vMerge w:val="restart"/>
            <w:vAlign w:val="center"/>
          </w:tcPr>
          <w:p w14:paraId="0FFE2049" w14:textId="007CED3A"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EN 1484</w:t>
            </w:r>
          </w:p>
        </w:tc>
        <w:tc>
          <w:tcPr>
            <w:tcW w:w="671" w:type="pct"/>
            <w:vAlign w:val="center"/>
          </w:tcPr>
          <w:p w14:paraId="2329457F" w14:textId="77777777" w:rsidR="00BB704F" w:rsidRPr="00F50C10" w:rsidRDefault="00BB704F" w:rsidP="000B206D">
            <w:pPr>
              <w:spacing w:before="187" w:line="276" w:lineRule="auto"/>
              <w:ind w:left="231" w:right="108" w:hanging="123"/>
              <w:rPr>
                <w:rFonts w:eastAsia="Times New Roman" w:cs="Times New Roman"/>
                <w:szCs w:val="24"/>
                <w:lang w:val="tr-TR"/>
              </w:rPr>
            </w:pPr>
            <w:r w:rsidRPr="00F50C10">
              <w:rPr>
                <w:rFonts w:eastAsia="Times New Roman" w:cs="Times New Roman"/>
                <w:szCs w:val="24"/>
                <w:lang w:val="tr-TR" w:bidi="tr-TR"/>
              </w:rPr>
              <w:t>Haftada bir (</w:t>
            </w:r>
            <w:r w:rsidRPr="00F50C10">
              <w:rPr>
                <w:rFonts w:eastAsia="Times New Roman" w:cs="Times New Roman"/>
                <w:szCs w:val="24"/>
                <w:vertAlign w:val="superscript"/>
                <w:lang w:val="tr-TR" w:bidi="tr-TR"/>
              </w:rPr>
              <w:t>1</w:t>
            </w:r>
            <w:r w:rsidRPr="00F50C10">
              <w:rPr>
                <w:rFonts w:eastAsia="Times New Roman" w:cs="Times New Roman"/>
                <w:szCs w:val="24"/>
                <w:lang w:val="tr-TR" w:bidi="tr-TR"/>
              </w:rPr>
              <w:t>)</w:t>
            </w:r>
          </w:p>
        </w:tc>
        <w:tc>
          <w:tcPr>
            <w:tcW w:w="545" w:type="pct"/>
            <w:vAlign w:val="center"/>
          </w:tcPr>
          <w:p w14:paraId="015BDCBA" w14:textId="77777777" w:rsidR="00BB704F" w:rsidRPr="00F50C10" w:rsidRDefault="00BB704F" w:rsidP="000B206D">
            <w:pPr>
              <w:spacing w:before="3" w:line="276" w:lineRule="auto"/>
              <w:ind w:left="108" w:right="108"/>
              <w:rPr>
                <w:rFonts w:eastAsia="Times New Roman" w:cs="Times New Roman"/>
                <w:b/>
                <w:szCs w:val="24"/>
                <w:lang w:val="tr-TR"/>
              </w:rPr>
            </w:pPr>
          </w:p>
          <w:p w14:paraId="3C2F78E7" w14:textId="77777777" w:rsidR="00BB704F" w:rsidRPr="00F50C10" w:rsidRDefault="002A1746" w:rsidP="000B206D">
            <w:pPr>
              <w:spacing w:line="276" w:lineRule="auto"/>
              <w:ind w:left="108" w:right="108"/>
              <w:rPr>
                <w:rFonts w:eastAsia="Times New Roman" w:cs="Times New Roman"/>
                <w:szCs w:val="24"/>
                <w:lang w:val="tr-TR"/>
              </w:rPr>
            </w:pPr>
            <w:hyperlink w:anchor="_bookmark784" w:history="1">
              <w:r w:rsidR="00BB704F" w:rsidRPr="00F50C10">
                <w:rPr>
                  <w:rFonts w:eastAsia="Times New Roman" w:cs="Times New Roman"/>
                  <w:szCs w:val="24"/>
                  <w:lang w:val="tr-TR" w:bidi="tr-TR"/>
                </w:rPr>
                <w:t>MET 70</w:t>
              </w:r>
            </w:hyperlink>
          </w:p>
        </w:tc>
      </w:tr>
      <w:tr w:rsidR="00BB704F" w:rsidRPr="00F50C10" w14:paraId="3BED072F" w14:textId="77777777" w:rsidTr="00BB704F">
        <w:trPr>
          <w:trHeight w:val="551"/>
        </w:trPr>
        <w:tc>
          <w:tcPr>
            <w:tcW w:w="936" w:type="pct"/>
            <w:vMerge/>
            <w:vAlign w:val="center"/>
          </w:tcPr>
          <w:p w14:paraId="5B5149B9" w14:textId="77777777" w:rsidR="00BB704F" w:rsidRPr="00F50C10" w:rsidRDefault="00BB704F" w:rsidP="000B206D">
            <w:pPr>
              <w:spacing w:line="276" w:lineRule="auto"/>
              <w:ind w:left="108" w:right="108"/>
              <w:jc w:val="left"/>
              <w:rPr>
                <w:rFonts w:eastAsia="Times New Roman" w:cs="Times New Roman"/>
                <w:szCs w:val="24"/>
                <w:lang w:val="tr-TR"/>
              </w:rPr>
            </w:pPr>
          </w:p>
        </w:tc>
        <w:tc>
          <w:tcPr>
            <w:tcW w:w="1046" w:type="pct"/>
            <w:vAlign w:val="center"/>
          </w:tcPr>
          <w:p w14:paraId="5886326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MDI ve/veya TDI tesisi</w:t>
            </w:r>
          </w:p>
        </w:tc>
        <w:tc>
          <w:tcPr>
            <w:tcW w:w="831" w:type="pct"/>
            <w:vAlign w:val="center"/>
          </w:tcPr>
          <w:p w14:paraId="2F492883" w14:textId="77777777" w:rsidR="00BB704F" w:rsidRPr="00F50C10" w:rsidRDefault="00BB704F" w:rsidP="000B206D">
            <w:pPr>
              <w:spacing w:before="38" w:line="276" w:lineRule="auto"/>
              <w:ind w:left="413" w:right="108" w:hanging="305"/>
              <w:rPr>
                <w:rFonts w:eastAsia="Times New Roman" w:cs="Times New Roman"/>
                <w:szCs w:val="24"/>
                <w:lang w:val="tr-TR"/>
              </w:rPr>
            </w:pPr>
            <w:r w:rsidRPr="00F50C10">
              <w:rPr>
                <w:rFonts w:eastAsia="Times New Roman" w:cs="Times New Roman"/>
                <w:szCs w:val="24"/>
                <w:lang w:val="tr-TR" w:bidi="tr-TR"/>
              </w:rPr>
              <w:t>Tesisin çıkışı</w:t>
            </w:r>
          </w:p>
        </w:tc>
        <w:tc>
          <w:tcPr>
            <w:tcW w:w="971" w:type="pct"/>
            <w:vMerge/>
            <w:vAlign w:val="center"/>
          </w:tcPr>
          <w:p w14:paraId="24A3E3D0" w14:textId="77777777" w:rsidR="00BB704F" w:rsidRPr="00F50C10" w:rsidRDefault="00BB704F" w:rsidP="000B206D">
            <w:pPr>
              <w:spacing w:line="276" w:lineRule="auto"/>
              <w:ind w:left="108" w:right="108"/>
              <w:jc w:val="left"/>
              <w:rPr>
                <w:rFonts w:eastAsia="Times New Roman" w:cs="Times New Roman"/>
                <w:szCs w:val="24"/>
                <w:lang w:val="tr-TR"/>
              </w:rPr>
            </w:pPr>
          </w:p>
        </w:tc>
        <w:tc>
          <w:tcPr>
            <w:tcW w:w="671" w:type="pct"/>
            <w:vAlign w:val="center"/>
          </w:tcPr>
          <w:p w14:paraId="3E675B35" w14:textId="77777777" w:rsidR="00BB704F" w:rsidRPr="00F50C10" w:rsidRDefault="00BB704F" w:rsidP="000B206D">
            <w:pPr>
              <w:spacing w:before="38" w:line="276" w:lineRule="auto"/>
              <w:ind w:left="310" w:right="108" w:hanging="202"/>
              <w:rPr>
                <w:rFonts w:eastAsia="Times New Roman" w:cs="Times New Roman"/>
                <w:szCs w:val="24"/>
                <w:lang w:val="tr-TR"/>
              </w:rPr>
            </w:pPr>
            <w:r w:rsidRPr="00F50C10">
              <w:rPr>
                <w:rFonts w:eastAsia="Times New Roman" w:cs="Times New Roman"/>
                <w:szCs w:val="24"/>
                <w:lang w:val="tr-TR" w:bidi="tr-TR"/>
              </w:rPr>
              <w:t>Ayda bir</w:t>
            </w:r>
          </w:p>
        </w:tc>
        <w:tc>
          <w:tcPr>
            <w:tcW w:w="545" w:type="pct"/>
            <w:vAlign w:val="center"/>
          </w:tcPr>
          <w:p w14:paraId="1E22E662" w14:textId="77777777" w:rsidR="00BB704F" w:rsidRPr="00F50C10" w:rsidRDefault="002A1746" w:rsidP="000B206D">
            <w:pPr>
              <w:spacing w:before="154" w:line="276" w:lineRule="auto"/>
              <w:ind w:left="108" w:right="108"/>
              <w:rPr>
                <w:rFonts w:eastAsia="Times New Roman" w:cs="Times New Roman"/>
                <w:szCs w:val="24"/>
                <w:lang w:val="tr-TR"/>
              </w:rPr>
            </w:pPr>
            <w:hyperlink w:anchor="_bookmark786" w:history="1">
              <w:r w:rsidR="00BB704F" w:rsidRPr="00F50C10">
                <w:rPr>
                  <w:rFonts w:eastAsia="Times New Roman" w:cs="Times New Roman"/>
                  <w:szCs w:val="24"/>
                  <w:lang w:val="tr-TR" w:bidi="tr-TR"/>
                </w:rPr>
                <w:t>MET 72</w:t>
              </w:r>
            </w:hyperlink>
          </w:p>
        </w:tc>
      </w:tr>
      <w:tr w:rsidR="00BB704F" w:rsidRPr="00F50C10" w14:paraId="5878105C" w14:textId="77777777" w:rsidTr="00BB704F">
        <w:trPr>
          <w:trHeight w:val="559"/>
        </w:trPr>
        <w:tc>
          <w:tcPr>
            <w:tcW w:w="936" w:type="pct"/>
            <w:vAlign w:val="center"/>
          </w:tcPr>
          <w:p w14:paraId="0F3957C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Anilin</w:t>
            </w:r>
          </w:p>
        </w:tc>
        <w:tc>
          <w:tcPr>
            <w:tcW w:w="1046" w:type="pct"/>
            <w:vAlign w:val="center"/>
          </w:tcPr>
          <w:p w14:paraId="25E99F5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MDA tesisi</w:t>
            </w:r>
          </w:p>
        </w:tc>
        <w:tc>
          <w:tcPr>
            <w:tcW w:w="831" w:type="pct"/>
            <w:vMerge w:val="restart"/>
            <w:vAlign w:val="center"/>
          </w:tcPr>
          <w:p w14:paraId="0E91FCCF" w14:textId="77777777" w:rsidR="00BB704F" w:rsidRPr="00F50C10" w:rsidRDefault="00BB704F" w:rsidP="000B206D">
            <w:pPr>
              <w:spacing w:before="161" w:line="276" w:lineRule="auto"/>
              <w:ind w:left="108" w:right="108"/>
              <w:rPr>
                <w:rFonts w:eastAsia="Times New Roman" w:cs="Times New Roman"/>
                <w:szCs w:val="24"/>
                <w:lang w:val="tr-TR"/>
              </w:rPr>
            </w:pPr>
            <w:r w:rsidRPr="00F50C10">
              <w:rPr>
                <w:rFonts w:eastAsia="Times New Roman" w:cs="Times New Roman"/>
                <w:szCs w:val="24"/>
                <w:lang w:val="tr-TR" w:bidi="tr-TR"/>
              </w:rPr>
              <w:t>Nihai atık su arıtma çıkışı</w:t>
            </w:r>
          </w:p>
        </w:tc>
        <w:tc>
          <w:tcPr>
            <w:tcW w:w="971" w:type="pct"/>
            <w:vAlign w:val="center"/>
          </w:tcPr>
          <w:p w14:paraId="119C59E2" w14:textId="53A573E1" w:rsidR="00BB704F" w:rsidRPr="00F50C10" w:rsidRDefault="00BB704F" w:rsidP="000B206D">
            <w:pPr>
              <w:spacing w:before="41"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Uygulanabilir </w:t>
            </w:r>
            <w:r w:rsidR="00C620EA" w:rsidRPr="00F50C10">
              <w:rPr>
                <w:rFonts w:eastAsia="Times New Roman" w:cs="Times New Roman"/>
                <w:szCs w:val="24"/>
                <w:lang w:val="tr-TR" w:bidi="tr-TR"/>
              </w:rPr>
              <w:t xml:space="preserve"> </w:t>
            </w:r>
            <w:r w:rsidRPr="00F50C10">
              <w:rPr>
                <w:rFonts w:eastAsia="Times New Roman" w:cs="Times New Roman"/>
                <w:szCs w:val="24"/>
                <w:lang w:val="tr-TR" w:bidi="tr-TR"/>
              </w:rPr>
              <w:t>EN standardı yok</w:t>
            </w:r>
          </w:p>
        </w:tc>
        <w:tc>
          <w:tcPr>
            <w:tcW w:w="671" w:type="pct"/>
            <w:vMerge w:val="restart"/>
            <w:vAlign w:val="center"/>
          </w:tcPr>
          <w:p w14:paraId="3630EDEC" w14:textId="77777777" w:rsidR="00BB704F" w:rsidRPr="00F50C10" w:rsidRDefault="00BB704F" w:rsidP="000B206D">
            <w:pPr>
              <w:spacing w:line="276" w:lineRule="auto"/>
              <w:ind w:left="108" w:right="108"/>
              <w:rPr>
                <w:rFonts w:eastAsia="Times New Roman" w:cs="Times New Roman"/>
                <w:b/>
                <w:szCs w:val="24"/>
                <w:lang w:val="tr-TR"/>
              </w:rPr>
            </w:pPr>
          </w:p>
          <w:p w14:paraId="0E2440C4" w14:textId="77777777" w:rsidR="00BB704F" w:rsidRPr="00F50C10" w:rsidRDefault="00BB704F" w:rsidP="000B206D">
            <w:pPr>
              <w:spacing w:before="139" w:line="276" w:lineRule="auto"/>
              <w:ind w:left="310" w:right="108" w:hanging="202"/>
              <w:rPr>
                <w:rFonts w:eastAsia="Times New Roman" w:cs="Times New Roman"/>
                <w:szCs w:val="24"/>
                <w:lang w:val="tr-TR"/>
              </w:rPr>
            </w:pPr>
            <w:r w:rsidRPr="00F50C10">
              <w:rPr>
                <w:rFonts w:eastAsia="Times New Roman" w:cs="Times New Roman"/>
                <w:szCs w:val="24"/>
                <w:lang w:val="tr-TR" w:bidi="tr-TR"/>
              </w:rPr>
              <w:t>Ayda bir</w:t>
            </w:r>
          </w:p>
        </w:tc>
        <w:tc>
          <w:tcPr>
            <w:tcW w:w="545" w:type="pct"/>
            <w:vAlign w:val="center"/>
          </w:tcPr>
          <w:p w14:paraId="1FD5645D" w14:textId="77777777" w:rsidR="00BB704F" w:rsidRPr="00F50C10" w:rsidRDefault="002A1746" w:rsidP="000B206D">
            <w:pPr>
              <w:spacing w:before="156" w:line="276" w:lineRule="auto"/>
              <w:ind w:left="108" w:right="108"/>
              <w:rPr>
                <w:rFonts w:eastAsia="Times New Roman" w:cs="Times New Roman"/>
                <w:szCs w:val="24"/>
                <w:lang w:val="tr-TR"/>
              </w:rPr>
            </w:pPr>
            <w:hyperlink w:anchor="_bookmark769" w:history="1">
              <w:r w:rsidR="00BB704F" w:rsidRPr="00F50C10">
                <w:rPr>
                  <w:rFonts w:eastAsia="Times New Roman" w:cs="Times New Roman"/>
                  <w:szCs w:val="24"/>
                  <w:lang w:val="tr-TR" w:bidi="tr-TR"/>
                </w:rPr>
                <w:t>MET 14</w:t>
              </w:r>
            </w:hyperlink>
          </w:p>
        </w:tc>
      </w:tr>
      <w:tr w:rsidR="00BB704F" w:rsidRPr="00F50C10" w14:paraId="3A64BC58" w14:textId="77777777" w:rsidTr="00BB704F">
        <w:trPr>
          <w:trHeight w:val="688"/>
        </w:trPr>
        <w:tc>
          <w:tcPr>
            <w:tcW w:w="936" w:type="pct"/>
            <w:vAlign w:val="center"/>
          </w:tcPr>
          <w:p w14:paraId="11188BB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Klorlu çözücüler</w:t>
            </w:r>
          </w:p>
        </w:tc>
        <w:tc>
          <w:tcPr>
            <w:tcW w:w="1046" w:type="pct"/>
            <w:vAlign w:val="center"/>
          </w:tcPr>
          <w:p w14:paraId="75B3B8D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MDI ve/veya TDI tesisi</w:t>
            </w:r>
          </w:p>
        </w:tc>
        <w:tc>
          <w:tcPr>
            <w:tcW w:w="831" w:type="pct"/>
            <w:vMerge/>
            <w:vAlign w:val="center"/>
          </w:tcPr>
          <w:p w14:paraId="0AC75BD7" w14:textId="77777777" w:rsidR="00BB704F" w:rsidRPr="00F50C10" w:rsidRDefault="00BB704F" w:rsidP="000B206D">
            <w:pPr>
              <w:spacing w:line="276" w:lineRule="auto"/>
              <w:ind w:left="108" w:right="108"/>
              <w:jc w:val="left"/>
              <w:rPr>
                <w:rFonts w:eastAsia="Times New Roman" w:cs="Times New Roman"/>
                <w:szCs w:val="24"/>
                <w:lang w:val="fi-FI"/>
              </w:rPr>
            </w:pPr>
          </w:p>
        </w:tc>
        <w:tc>
          <w:tcPr>
            <w:tcW w:w="971" w:type="pct"/>
            <w:vAlign w:val="center"/>
          </w:tcPr>
          <w:p w14:paraId="1D1AF617" w14:textId="066D2B5E" w:rsidR="00BB704F" w:rsidRPr="00F50C10" w:rsidRDefault="00BB704F" w:rsidP="000B206D">
            <w:pPr>
              <w:spacing w:line="276" w:lineRule="auto"/>
              <w:ind w:left="108" w:right="108" w:firstLine="3"/>
              <w:rPr>
                <w:rFonts w:eastAsia="Times New Roman" w:cs="Times New Roman"/>
                <w:szCs w:val="24"/>
                <w:lang w:val="tr-TR"/>
              </w:rPr>
            </w:pPr>
            <w:r w:rsidRPr="00F50C10">
              <w:rPr>
                <w:rFonts w:eastAsia="Times New Roman" w:cs="Times New Roman"/>
                <w:szCs w:val="24"/>
                <w:lang w:val="tr-TR" w:bidi="tr-TR"/>
              </w:rPr>
              <w:t xml:space="preserve">Çeşitli EN standartları mevcuttur (ör. </w:t>
            </w:r>
            <w:r w:rsidR="00C620EA" w:rsidRPr="00F50C10">
              <w:rPr>
                <w:rFonts w:eastAsia="Times New Roman" w:cs="Times New Roman"/>
                <w:szCs w:val="24"/>
                <w:lang w:val="tr-TR" w:bidi="tr-TR"/>
              </w:rPr>
              <w:t xml:space="preserve"> </w:t>
            </w:r>
            <w:r w:rsidRPr="00F50C10">
              <w:rPr>
                <w:rFonts w:eastAsia="Times New Roman" w:cs="Times New Roman"/>
                <w:szCs w:val="24"/>
                <w:lang w:val="tr-TR" w:bidi="tr-TR"/>
              </w:rPr>
              <w:t>EN ISO 15680)</w:t>
            </w:r>
          </w:p>
        </w:tc>
        <w:tc>
          <w:tcPr>
            <w:tcW w:w="671" w:type="pct"/>
            <w:vMerge/>
            <w:vAlign w:val="center"/>
          </w:tcPr>
          <w:p w14:paraId="2E5F7F90" w14:textId="77777777" w:rsidR="00BB704F" w:rsidRPr="00F50C10" w:rsidRDefault="00BB704F" w:rsidP="000B206D">
            <w:pPr>
              <w:spacing w:line="276" w:lineRule="auto"/>
              <w:ind w:left="108" w:right="108"/>
              <w:jc w:val="left"/>
              <w:rPr>
                <w:rFonts w:eastAsia="Times New Roman" w:cs="Times New Roman"/>
                <w:szCs w:val="24"/>
                <w:lang w:val="tr-TR"/>
              </w:rPr>
            </w:pPr>
          </w:p>
        </w:tc>
        <w:tc>
          <w:tcPr>
            <w:tcW w:w="545" w:type="pct"/>
            <w:vAlign w:val="center"/>
          </w:tcPr>
          <w:p w14:paraId="20AD7B6D" w14:textId="77777777" w:rsidR="00BB704F" w:rsidRPr="00F50C10" w:rsidRDefault="002A1746" w:rsidP="000B206D">
            <w:pPr>
              <w:spacing w:line="276" w:lineRule="auto"/>
              <w:ind w:left="108" w:right="108"/>
              <w:rPr>
                <w:rFonts w:eastAsia="Times New Roman" w:cs="Times New Roman"/>
                <w:szCs w:val="24"/>
                <w:lang w:val="tr-TR"/>
              </w:rPr>
            </w:pPr>
            <w:hyperlink w:anchor="_bookmark769" w:history="1">
              <w:r w:rsidR="00BB704F" w:rsidRPr="00F50C10">
                <w:rPr>
                  <w:rFonts w:eastAsia="Times New Roman" w:cs="Times New Roman"/>
                  <w:szCs w:val="24"/>
                  <w:lang w:val="tr-TR" w:bidi="tr-TR"/>
                </w:rPr>
                <w:t>MET 14</w:t>
              </w:r>
            </w:hyperlink>
          </w:p>
        </w:tc>
      </w:tr>
      <w:tr w:rsidR="00BB704F" w:rsidRPr="00F50C10" w14:paraId="4DA9AE8F" w14:textId="77777777" w:rsidTr="00BB704F">
        <w:trPr>
          <w:trHeight w:val="208"/>
        </w:trPr>
        <w:tc>
          <w:tcPr>
            <w:tcW w:w="5000" w:type="pct"/>
            <w:gridSpan w:val="6"/>
          </w:tcPr>
          <w:p w14:paraId="459A5B34" w14:textId="77777777" w:rsidR="00BB704F" w:rsidRPr="00F50C10" w:rsidRDefault="00BB704F" w:rsidP="000B206D">
            <w:pPr>
              <w:spacing w:line="276" w:lineRule="auto"/>
              <w:ind w:left="108"/>
              <w:jc w:val="left"/>
              <w:rPr>
                <w:rFonts w:eastAsia="Times New Roman" w:cs="Times New Roman"/>
                <w:i/>
                <w:iCs/>
                <w:szCs w:val="24"/>
                <w:lang w:val="tr-TR"/>
              </w:rPr>
            </w:pPr>
            <w:r w:rsidRPr="00F50C10">
              <w:rPr>
                <w:rFonts w:eastAsia="Times New Roman" w:cs="Times New Roman"/>
                <w:i/>
                <w:iCs/>
                <w:szCs w:val="24"/>
                <w:vertAlign w:val="superscript"/>
                <w:lang w:val="tr-TR" w:bidi="tr-TR"/>
              </w:rPr>
              <w:t>(1)</w:t>
            </w:r>
            <w:r w:rsidRPr="00F50C10">
              <w:rPr>
                <w:rFonts w:eastAsia="Times New Roman" w:cs="Times New Roman"/>
                <w:i/>
                <w:iCs/>
                <w:szCs w:val="24"/>
                <w:lang w:val="tr-TR" w:bidi="tr-TR"/>
              </w:rPr>
              <w:t xml:space="preserve"> Kesintili atık su deşarjlarında, minimum izleme sıklığı deşarj başına bir defadır.</w:t>
            </w:r>
          </w:p>
        </w:tc>
      </w:tr>
    </w:tbl>
    <w:p w14:paraId="204E2F3F" w14:textId="4E0BDA59"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b/>
          <w:bCs/>
          <w:szCs w:val="24"/>
          <w:lang w:val="tr-TR"/>
        </w:rPr>
        <w:t xml:space="preserve">MET 69: </w:t>
      </w:r>
      <w:r w:rsidRPr="00F50C10">
        <w:rPr>
          <w:rFonts w:eastAsia="Times New Roman" w:cs="Times New Roman"/>
          <w:szCs w:val="24"/>
          <w:lang w:val="tr-TR"/>
        </w:rPr>
        <w:t>DNT tesisinden atık su arıtımına boşaltılan nitrit, nitrat ve organik bileşiklerin yükünü azaltmak için, aşağıda verilen tekniklerin uygun bir kombinasyonu kullanılarak hammaddeler</w:t>
      </w:r>
      <w:r w:rsidR="00C620EA" w:rsidRPr="00F50C10">
        <w:rPr>
          <w:rFonts w:eastAsia="Times New Roman" w:cs="Times New Roman"/>
          <w:szCs w:val="24"/>
          <w:lang w:val="tr-TR"/>
        </w:rPr>
        <w:t xml:space="preserve"> </w:t>
      </w:r>
      <w:r w:rsidRPr="00F50C10">
        <w:rPr>
          <w:rFonts w:eastAsia="Times New Roman" w:cs="Times New Roman"/>
          <w:szCs w:val="24"/>
          <w:lang w:val="tr-TR"/>
        </w:rPr>
        <w:t>geri kazanıl</w:t>
      </w:r>
      <w:r w:rsidR="00C620EA" w:rsidRPr="00F50C10">
        <w:rPr>
          <w:rFonts w:eastAsia="Times New Roman" w:cs="Times New Roman"/>
          <w:szCs w:val="24"/>
          <w:lang w:val="tr-TR"/>
        </w:rPr>
        <w:t>ır</w:t>
      </w:r>
      <w:r w:rsidRPr="00F50C10">
        <w:rPr>
          <w:rFonts w:eastAsia="Times New Roman" w:cs="Times New Roman"/>
          <w:szCs w:val="24"/>
          <w:lang w:val="tr-TR"/>
        </w:rPr>
        <w:t>, atık su hacmi azaltılı</w:t>
      </w:r>
      <w:r w:rsidR="00C620EA" w:rsidRPr="00F50C10">
        <w:rPr>
          <w:rFonts w:eastAsia="Times New Roman" w:cs="Times New Roman"/>
          <w:szCs w:val="24"/>
          <w:lang w:val="tr-TR"/>
        </w:rPr>
        <w:t>r</w:t>
      </w:r>
      <w:r w:rsidRPr="00F50C10">
        <w:rPr>
          <w:rFonts w:eastAsia="Times New Roman" w:cs="Times New Roman"/>
          <w:szCs w:val="24"/>
          <w:lang w:val="tr-TR"/>
        </w:rPr>
        <w:t xml:space="preserve"> ve su yeniden kullanılır.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166"/>
        <w:gridCol w:w="3268"/>
        <w:gridCol w:w="2718"/>
      </w:tblGrid>
      <w:tr w:rsidR="00BB704F" w:rsidRPr="00F50C10" w14:paraId="1DFE5120" w14:textId="77777777" w:rsidTr="002D356E">
        <w:trPr>
          <w:trHeight w:val="230"/>
          <w:tblHeader/>
        </w:trPr>
        <w:tc>
          <w:tcPr>
            <w:tcW w:w="185" w:type="pct"/>
            <w:tcBorders>
              <w:top w:val="single" w:sz="4" w:space="0" w:color="auto"/>
              <w:right w:val="single" w:sz="4" w:space="0" w:color="auto"/>
            </w:tcBorders>
          </w:tcPr>
          <w:p w14:paraId="72773843" w14:textId="77777777" w:rsidR="00BB704F" w:rsidRPr="00F50C10" w:rsidRDefault="00BB704F" w:rsidP="000B206D">
            <w:pPr>
              <w:spacing w:line="276" w:lineRule="auto"/>
              <w:ind w:right="108"/>
              <w:jc w:val="center"/>
              <w:rPr>
                <w:rFonts w:eastAsia="Times New Roman" w:cs="Times New Roman"/>
                <w:b/>
                <w:szCs w:val="24"/>
                <w:lang w:val="tr-TR"/>
              </w:rPr>
            </w:pPr>
          </w:p>
        </w:tc>
        <w:tc>
          <w:tcPr>
            <w:tcW w:w="1281" w:type="pct"/>
            <w:tcBorders>
              <w:top w:val="single" w:sz="4" w:space="0" w:color="auto"/>
              <w:left w:val="single" w:sz="4" w:space="0" w:color="auto"/>
            </w:tcBorders>
          </w:tcPr>
          <w:p w14:paraId="62B64668" w14:textId="77777777" w:rsidR="00BB704F" w:rsidRPr="00F50C10" w:rsidRDefault="00BB704F" w:rsidP="000B206D">
            <w:pPr>
              <w:spacing w:line="276" w:lineRule="auto"/>
              <w:ind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1929" w:type="pct"/>
          </w:tcPr>
          <w:p w14:paraId="05B7E0C5"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605" w:type="pct"/>
          </w:tcPr>
          <w:p w14:paraId="7A36A900"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2D1CA297" w14:textId="77777777" w:rsidTr="002D356E">
        <w:trPr>
          <w:trHeight w:val="919"/>
        </w:trPr>
        <w:tc>
          <w:tcPr>
            <w:tcW w:w="185" w:type="pct"/>
            <w:vAlign w:val="center"/>
          </w:tcPr>
          <w:p w14:paraId="407AF04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281" w:type="pct"/>
            <w:vAlign w:val="center"/>
          </w:tcPr>
          <w:p w14:paraId="47616BE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Yüksek konsantrasyonlu nitrik asit kullanımı</w:t>
            </w:r>
          </w:p>
        </w:tc>
        <w:tc>
          <w:tcPr>
            <w:tcW w:w="1929" w:type="pct"/>
            <w:vAlign w:val="center"/>
          </w:tcPr>
          <w:p w14:paraId="7F74492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Proses verimliliğini artırmak ve atık su hacmini ve kirletici yükünü azaltmak için yüksek konsantrasyonlu HNO</w:t>
            </w:r>
            <w:r w:rsidRPr="00F50C10">
              <w:rPr>
                <w:rFonts w:eastAsia="Times New Roman" w:cs="Times New Roman"/>
                <w:szCs w:val="24"/>
                <w:vertAlign w:val="subscript"/>
                <w:lang w:val="tr-TR" w:bidi="tr-TR"/>
              </w:rPr>
              <w:t>3</w:t>
            </w:r>
            <w:r w:rsidRPr="00F50C10">
              <w:rPr>
                <w:rFonts w:eastAsia="Times New Roman" w:cs="Times New Roman"/>
                <w:szCs w:val="24"/>
                <w:lang w:val="tr-TR" w:bidi="tr-TR"/>
              </w:rPr>
              <w:t xml:space="preserve"> (örneğin yaklaşık % 99’luk) kullanılması</w:t>
            </w:r>
          </w:p>
        </w:tc>
        <w:tc>
          <w:tcPr>
            <w:tcW w:w="1605" w:type="pct"/>
            <w:vAlign w:val="center"/>
          </w:tcPr>
          <w:p w14:paraId="2B27B37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Mevcut birimlere uygulanabilirlik, tasarım ve / veya operasyonel kısıtlamalarla kısıtlanabilir</w:t>
            </w:r>
          </w:p>
        </w:tc>
      </w:tr>
      <w:tr w:rsidR="00BB704F" w:rsidRPr="00F50C10" w14:paraId="0105C800" w14:textId="77777777" w:rsidTr="002D356E">
        <w:trPr>
          <w:trHeight w:val="1610"/>
        </w:trPr>
        <w:tc>
          <w:tcPr>
            <w:tcW w:w="185" w:type="pct"/>
            <w:vAlign w:val="center"/>
          </w:tcPr>
          <w:p w14:paraId="3E9643D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281" w:type="pct"/>
            <w:vAlign w:val="center"/>
          </w:tcPr>
          <w:p w14:paraId="25B53F7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Kullanılmış asidin optimize edilmiş rejenerasyonu ve geri kazanımı</w:t>
            </w:r>
          </w:p>
        </w:tc>
        <w:tc>
          <w:tcPr>
            <w:tcW w:w="1929" w:type="pct"/>
            <w:vAlign w:val="center"/>
          </w:tcPr>
          <w:p w14:paraId="354F653C" w14:textId="262D9FDA"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Nitrolama reaksiyonunda harcanan asidin rejenerasyonunun, buharlaştırma/damıtma, sıyırma ve </w:t>
            </w:r>
            <w:r w:rsidR="00B160B5" w:rsidRPr="00F50C10">
              <w:rPr>
                <w:rFonts w:eastAsia="Times New Roman" w:cs="Times New Roman"/>
                <w:szCs w:val="24"/>
                <w:lang w:val="tr-TR" w:bidi="tr-TR"/>
              </w:rPr>
              <w:t>yoğuşturma</w:t>
            </w:r>
            <w:r w:rsidRPr="00F50C10">
              <w:rPr>
                <w:rFonts w:eastAsia="Times New Roman" w:cs="Times New Roman"/>
                <w:szCs w:val="24"/>
                <w:lang w:val="tr-TR" w:bidi="tr-TR"/>
              </w:rPr>
              <w:t>nın uygun bir kombinasyonunu kullanarak, su ve organik içeriğin de yeniden kullanım için geri kazanılmasını sağlayacak şekilde gerçekleştirilmesi.</w:t>
            </w:r>
          </w:p>
        </w:tc>
        <w:tc>
          <w:tcPr>
            <w:tcW w:w="1605" w:type="pct"/>
            <w:vAlign w:val="center"/>
          </w:tcPr>
          <w:p w14:paraId="41EB7574" w14:textId="287BE4AB"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Mevcut birimlere uygulanabilirlik, tasarım ve / veya</w:t>
            </w:r>
            <w:r w:rsidR="002D356E" w:rsidRPr="00F50C10">
              <w:rPr>
                <w:rFonts w:eastAsia="Times New Roman" w:cs="Times New Roman"/>
                <w:szCs w:val="24"/>
                <w:lang w:val="tr-TR" w:bidi="tr-TR"/>
              </w:rPr>
              <w:t xml:space="preserve"> </w:t>
            </w:r>
            <w:r w:rsidRPr="00F50C10">
              <w:rPr>
                <w:rFonts w:eastAsia="Times New Roman" w:cs="Times New Roman"/>
                <w:szCs w:val="24"/>
                <w:lang w:val="tr-TR" w:bidi="tr-TR"/>
              </w:rPr>
              <w:t>operasyonel</w:t>
            </w:r>
            <w:r w:rsidR="002D356E" w:rsidRPr="00F50C10">
              <w:rPr>
                <w:rFonts w:eastAsia="Times New Roman" w:cs="Times New Roman"/>
                <w:szCs w:val="24"/>
                <w:lang w:val="tr-TR" w:bidi="tr-TR"/>
              </w:rPr>
              <w:t xml:space="preserve"> </w:t>
            </w:r>
            <w:r w:rsidRPr="00F50C10">
              <w:rPr>
                <w:rFonts w:eastAsia="Times New Roman" w:cs="Times New Roman"/>
                <w:szCs w:val="24"/>
                <w:lang w:val="tr-TR" w:bidi="tr-TR"/>
              </w:rPr>
              <w:t>kısıtlamalarla kısıtlanabilir</w:t>
            </w:r>
          </w:p>
        </w:tc>
      </w:tr>
      <w:tr w:rsidR="00BB704F" w:rsidRPr="00F50C10" w14:paraId="755B2625" w14:textId="77777777" w:rsidTr="002D356E">
        <w:trPr>
          <w:trHeight w:val="690"/>
        </w:trPr>
        <w:tc>
          <w:tcPr>
            <w:tcW w:w="185" w:type="pct"/>
            <w:vAlign w:val="center"/>
          </w:tcPr>
          <w:p w14:paraId="55D647D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281" w:type="pct"/>
            <w:vAlign w:val="center"/>
          </w:tcPr>
          <w:p w14:paraId="188F0AE1" w14:textId="77777777" w:rsidR="00BB704F" w:rsidRPr="00F50C10" w:rsidRDefault="00BB704F" w:rsidP="000B206D">
            <w:pPr>
              <w:spacing w:before="108" w:line="276" w:lineRule="auto"/>
              <w:ind w:left="108" w:right="108"/>
              <w:rPr>
                <w:rFonts w:eastAsia="Times New Roman" w:cs="Times New Roman"/>
                <w:szCs w:val="24"/>
                <w:lang w:val="tr-TR"/>
              </w:rPr>
            </w:pPr>
            <w:r w:rsidRPr="00F50C10">
              <w:rPr>
                <w:rFonts w:eastAsia="Times New Roman" w:cs="Times New Roman"/>
                <w:szCs w:val="24"/>
                <w:lang w:val="tr-TR" w:bidi="tr-TR"/>
              </w:rPr>
              <w:t>DNT'yi yıkamak için proses suyunun yeniden kullanılması</w:t>
            </w:r>
          </w:p>
        </w:tc>
        <w:tc>
          <w:tcPr>
            <w:tcW w:w="1929" w:type="pct"/>
            <w:vAlign w:val="center"/>
          </w:tcPr>
          <w:p w14:paraId="3A000C12" w14:textId="340037B5"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Kullanılmış asit geri kazanım ünitesinden ve nitrolama ünitesinden gelen proses suyunun</w:t>
            </w:r>
            <w:r w:rsidR="002D356E" w:rsidRPr="00F50C10">
              <w:rPr>
                <w:rFonts w:eastAsia="Times New Roman" w:cs="Times New Roman"/>
                <w:szCs w:val="24"/>
                <w:lang w:val="tr-TR" w:bidi="tr-TR"/>
              </w:rPr>
              <w:t xml:space="preserve"> </w:t>
            </w:r>
            <w:r w:rsidRPr="00F50C10">
              <w:rPr>
                <w:rFonts w:eastAsia="Times New Roman" w:cs="Times New Roman"/>
                <w:szCs w:val="24"/>
                <w:lang w:val="tr-TR" w:bidi="tr-TR"/>
              </w:rPr>
              <w:t>DNT'yi yıkamak için yeniden kullanımı</w:t>
            </w:r>
          </w:p>
        </w:tc>
        <w:tc>
          <w:tcPr>
            <w:tcW w:w="1605" w:type="pct"/>
            <w:vAlign w:val="center"/>
          </w:tcPr>
          <w:p w14:paraId="2EDBF1E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Mevcut birimlere uygulanabilirlik,</w:t>
            </w:r>
          </w:p>
          <w:p w14:paraId="46DBB27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tasarım ve/veya işletimsel kısıtlamalarla sınırlı olabilir.</w:t>
            </w:r>
          </w:p>
        </w:tc>
      </w:tr>
      <w:tr w:rsidR="00BB704F" w:rsidRPr="00F50C10" w14:paraId="74666D0D" w14:textId="77777777" w:rsidTr="002D356E">
        <w:trPr>
          <w:trHeight w:val="1147"/>
        </w:trPr>
        <w:tc>
          <w:tcPr>
            <w:tcW w:w="185" w:type="pct"/>
            <w:tcBorders>
              <w:bottom w:val="single" w:sz="6" w:space="0" w:color="000000"/>
            </w:tcBorders>
            <w:vAlign w:val="center"/>
          </w:tcPr>
          <w:p w14:paraId="44D3573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g</w:t>
            </w:r>
          </w:p>
        </w:tc>
        <w:tc>
          <w:tcPr>
            <w:tcW w:w="1281" w:type="pct"/>
            <w:tcBorders>
              <w:bottom w:val="single" w:sz="6" w:space="0" w:color="000000"/>
            </w:tcBorders>
            <w:vAlign w:val="center"/>
          </w:tcPr>
          <w:p w14:paraId="7AC6E4D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Prosesteki ilk yıkama adımından çıkan suyun yeniden kullanılması</w:t>
            </w:r>
          </w:p>
        </w:tc>
        <w:tc>
          <w:tcPr>
            <w:tcW w:w="1929" w:type="pct"/>
            <w:tcBorders>
              <w:bottom w:val="single" w:sz="6" w:space="0" w:color="000000"/>
            </w:tcBorders>
            <w:vAlign w:val="center"/>
          </w:tcPr>
          <w:p w14:paraId="7012475F" w14:textId="0765EE74"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Su kullanılarak organik fazdan nitrik ve sülfürik asit çıkarılır. Asitlenmiş su,</w:t>
            </w:r>
            <w:r w:rsidR="002D356E" w:rsidRPr="00F50C10">
              <w:rPr>
                <w:rFonts w:eastAsia="Times New Roman" w:cs="Times New Roman"/>
                <w:szCs w:val="24"/>
                <w:lang w:val="tr-TR" w:bidi="tr-TR"/>
              </w:rPr>
              <w:t xml:space="preserve"> </w:t>
            </w:r>
            <w:r w:rsidRPr="00F50C10">
              <w:rPr>
                <w:rFonts w:eastAsia="Times New Roman" w:cs="Times New Roman"/>
                <w:szCs w:val="24"/>
                <w:lang w:val="tr-TR" w:bidi="tr-TR"/>
              </w:rPr>
              <w:t>malzemeleri geri kazanmak için doğrudan yeniden kullanım veya daha fazla işleme için proses</w:t>
            </w:r>
          </w:p>
        </w:tc>
        <w:tc>
          <w:tcPr>
            <w:tcW w:w="1605" w:type="pct"/>
            <w:tcBorders>
              <w:bottom w:val="single" w:sz="6" w:space="0" w:color="000000"/>
            </w:tcBorders>
            <w:vAlign w:val="center"/>
          </w:tcPr>
          <w:p w14:paraId="0849058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1B00B47A" w14:textId="77777777" w:rsidTr="002D356E">
        <w:trPr>
          <w:trHeight w:val="918"/>
        </w:trPr>
        <w:tc>
          <w:tcPr>
            <w:tcW w:w="185" w:type="pct"/>
            <w:tcBorders>
              <w:top w:val="single" w:sz="6" w:space="0" w:color="000000"/>
            </w:tcBorders>
            <w:vAlign w:val="center"/>
          </w:tcPr>
          <w:p w14:paraId="1872777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e</w:t>
            </w:r>
          </w:p>
        </w:tc>
        <w:tc>
          <w:tcPr>
            <w:tcW w:w="1281" w:type="pct"/>
            <w:tcBorders>
              <w:top w:val="single" w:sz="6" w:space="0" w:color="000000"/>
            </w:tcBorders>
            <w:vAlign w:val="center"/>
          </w:tcPr>
          <w:p w14:paraId="7A5E183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Suyun çoklu kullanımı ve devridaimi</w:t>
            </w:r>
          </w:p>
        </w:tc>
        <w:tc>
          <w:tcPr>
            <w:tcW w:w="1929" w:type="pct"/>
            <w:tcBorders>
              <w:top w:val="single" w:sz="6" w:space="0" w:color="000000"/>
            </w:tcBorders>
            <w:vAlign w:val="center"/>
          </w:tcPr>
          <w:p w14:paraId="06D4368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Yıkama, durulama ve ekipman temizliğinden gelen suyun, örneğin</w:t>
            </w:r>
          </w:p>
          <w:p w14:paraId="163D6BC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organik fazın karşı akımlı çok aşamalı yıkanmasında yeniden kullanılması</w:t>
            </w:r>
          </w:p>
        </w:tc>
        <w:tc>
          <w:tcPr>
            <w:tcW w:w="1605" w:type="pct"/>
            <w:tcBorders>
              <w:top w:val="single" w:sz="6" w:space="0" w:color="000000"/>
            </w:tcBorders>
            <w:vAlign w:val="center"/>
          </w:tcPr>
          <w:p w14:paraId="4D5D9A99" w14:textId="77777777" w:rsidR="00BB704F" w:rsidRPr="00F50C10" w:rsidRDefault="00BB704F" w:rsidP="000B206D">
            <w:pPr>
              <w:spacing w:before="1"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74A7651D" w14:textId="4B975432" w:rsidR="002D356E" w:rsidRPr="00F50C10" w:rsidRDefault="002D356E"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MET ile ilişkili atık su hacmi için Bkz. Tablo 9.2.</w:t>
      </w:r>
    </w:p>
    <w:p w14:paraId="17B791E4" w14:textId="24A8A3FA"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MET 70: DNT tesisinden ileri atık su arıtmaya boşaltılan biyolojik bozunurluğu zayıf organik bileşiklerin yükünü azaltmak için, aşağıda verilen tekniklerden biri veya her ikisi kullan</w:t>
      </w:r>
      <w:r w:rsidR="00C620EA" w:rsidRPr="00F50C10">
        <w:rPr>
          <w:rFonts w:eastAsia="Times New Roman" w:cs="Times New Roman"/>
          <w:b/>
          <w:bCs/>
          <w:szCs w:val="24"/>
          <w:lang w:val="tr-TR"/>
        </w:rPr>
        <w:t>ıl</w:t>
      </w:r>
      <w:r w:rsidRPr="00F50C10">
        <w:rPr>
          <w:rFonts w:eastAsia="Times New Roman" w:cs="Times New Roman"/>
          <w:b/>
          <w:bCs/>
          <w:szCs w:val="24"/>
          <w:lang w:val="tr-TR"/>
        </w:rPr>
        <w:t xml:space="preserve">arak atık su ön arıtması </w:t>
      </w:r>
      <w:r w:rsidR="00C620EA" w:rsidRPr="00F50C10">
        <w:rPr>
          <w:rFonts w:eastAsia="Times New Roman" w:cs="Times New Roman"/>
          <w:b/>
          <w:bCs/>
          <w:szCs w:val="24"/>
          <w:lang w:val="tr-TR"/>
        </w:rPr>
        <w:t>yapılır</w:t>
      </w:r>
      <w:r w:rsidRPr="00F50C10">
        <w:rPr>
          <w:rFonts w:eastAsia="Times New Roman" w:cs="Times New Roman"/>
          <w:b/>
          <w:bCs/>
          <w:szCs w:val="24"/>
          <w:lang w:val="tr-TR"/>
        </w:rPr>
        <w: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4"/>
        <w:gridCol w:w="2663"/>
        <w:gridCol w:w="3375"/>
        <w:gridCol w:w="2065"/>
      </w:tblGrid>
      <w:tr w:rsidR="00BB704F" w:rsidRPr="00F50C10" w14:paraId="60738C3B" w14:textId="77777777" w:rsidTr="00BB704F">
        <w:trPr>
          <w:trHeight w:val="256"/>
        </w:trPr>
        <w:tc>
          <w:tcPr>
            <w:tcW w:w="232" w:type="pct"/>
            <w:tcBorders>
              <w:top w:val="single" w:sz="4" w:space="0" w:color="auto"/>
              <w:right w:val="single" w:sz="4" w:space="0" w:color="auto"/>
            </w:tcBorders>
          </w:tcPr>
          <w:p w14:paraId="78648D53" w14:textId="77777777" w:rsidR="00BB704F" w:rsidRPr="00F50C10" w:rsidRDefault="00BB704F" w:rsidP="000B206D">
            <w:pPr>
              <w:spacing w:before="10" w:line="276" w:lineRule="auto"/>
              <w:ind w:right="108"/>
              <w:jc w:val="center"/>
              <w:rPr>
                <w:rFonts w:eastAsia="Times New Roman" w:cs="Times New Roman"/>
                <w:b/>
                <w:szCs w:val="24"/>
                <w:lang w:val="tr-TR"/>
              </w:rPr>
            </w:pPr>
          </w:p>
        </w:tc>
        <w:tc>
          <w:tcPr>
            <w:tcW w:w="1567" w:type="pct"/>
            <w:tcBorders>
              <w:top w:val="single" w:sz="4" w:space="0" w:color="auto"/>
              <w:left w:val="single" w:sz="4" w:space="0" w:color="auto"/>
            </w:tcBorders>
          </w:tcPr>
          <w:p w14:paraId="448E9D84" w14:textId="77777777" w:rsidR="00BB704F" w:rsidRPr="00F50C10" w:rsidRDefault="00BB704F" w:rsidP="000B206D">
            <w:pPr>
              <w:spacing w:before="10" w:line="276" w:lineRule="auto"/>
              <w:ind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1986" w:type="pct"/>
          </w:tcPr>
          <w:p w14:paraId="2E3DAE3E" w14:textId="77777777" w:rsidR="00BB704F" w:rsidRPr="00F50C10" w:rsidRDefault="00BB704F" w:rsidP="000B206D">
            <w:pPr>
              <w:spacing w:before="10"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15" w:type="pct"/>
          </w:tcPr>
          <w:p w14:paraId="0F523979" w14:textId="77777777" w:rsidR="00BB704F" w:rsidRPr="00F50C10" w:rsidRDefault="00BB704F" w:rsidP="000B206D">
            <w:pPr>
              <w:spacing w:before="10"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1204E786" w14:textId="77777777" w:rsidTr="00BB704F">
        <w:trPr>
          <w:trHeight w:val="239"/>
        </w:trPr>
        <w:tc>
          <w:tcPr>
            <w:tcW w:w="232" w:type="pct"/>
          </w:tcPr>
          <w:p w14:paraId="4BD792E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a</w:t>
            </w:r>
          </w:p>
        </w:tc>
        <w:tc>
          <w:tcPr>
            <w:tcW w:w="1567" w:type="pct"/>
          </w:tcPr>
          <w:p w14:paraId="282B1E6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Ekstraksiyon</w:t>
            </w:r>
          </w:p>
        </w:tc>
        <w:tc>
          <w:tcPr>
            <w:tcW w:w="1986" w:type="pct"/>
          </w:tcPr>
          <w:p w14:paraId="193A2CA3" w14:textId="77777777" w:rsidR="00BB704F" w:rsidRPr="00F50C10" w:rsidRDefault="002A1746" w:rsidP="000B206D">
            <w:pPr>
              <w:spacing w:line="276" w:lineRule="auto"/>
              <w:ind w:left="108" w:right="108"/>
              <w:rPr>
                <w:rFonts w:eastAsia="Times New Roman" w:cs="Times New Roman"/>
                <w:szCs w:val="24"/>
                <w:lang w:val="tr-TR"/>
              </w:rPr>
            </w:pPr>
            <w:hyperlink w:anchor="_bookmark801" w:history="1">
              <w:r w:rsidR="00BB704F" w:rsidRPr="00F50C10">
                <w:rPr>
                  <w:rFonts w:eastAsia="Times New Roman" w:cs="Times New Roman"/>
                  <w:szCs w:val="24"/>
                  <w:lang w:val="tr-TR" w:bidi="tr-TR"/>
                </w:rPr>
                <w:fldChar w:fldCharType="begin"/>
              </w:r>
              <w:r w:rsidR="00BB704F" w:rsidRPr="00F50C10">
                <w:rPr>
                  <w:rFonts w:eastAsia="Times New Roman" w:cs="Times New Roman"/>
                  <w:szCs w:val="24"/>
                  <w:lang w:val="tr-TR"/>
                </w:rPr>
                <w:instrText xml:space="preserve"> REF _Ref136600542 \n \h </w:instrText>
              </w:r>
              <w:r w:rsidR="00BB704F" w:rsidRPr="00F50C10">
                <w:rPr>
                  <w:rFonts w:eastAsia="Times New Roman" w:cs="Times New Roman"/>
                  <w:szCs w:val="24"/>
                  <w:lang w:val="tr-TR" w:bidi="tr-TR"/>
                </w:rPr>
                <w:instrText xml:space="preserve"> \* MERGEFORMAT </w:instrText>
              </w:r>
              <w:r w:rsidR="00BB704F" w:rsidRPr="00F50C10">
                <w:rPr>
                  <w:rFonts w:eastAsia="Times New Roman" w:cs="Times New Roman"/>
                  <w:szCs w:val="24"/>
                  <w:lang w:val="tr-TR" w:bidi="tr-TR"/>
                </w:rPr>
              </w:r>
              <w:r w:rsidR="00BB704F" w:rsidRPr="00F50C10">
                <w:rPr>
                  <w:rFonts w:eastAsia="Times New Roman" w:cs="Times New Roman"/>
                  <w:szCs w:val="24"/>
                  <w:lang w:val="tr-TR" w:bidi="tr-TR"/>
                </w:rPr>
                <w:fldChar w:fldCharType="separate"/>
              </w:r>
              <w:r w:rsidR="00BB704F" w:rsidRPr="00F50C10">
                <w:rPr>
                  <w:rFonts w:eastAsia="Times New Roman" w:cs="Times New Roman"/>
                  <w:szCs w:val="24"/>
                  <w:lang w:val="tr-TR"/>
                </w:rPr>
                <w:t>12.2</w:t>
              </w:r>
              <w:r w:rsidR="00BB704F" w:rsidRPr="00F50C10">
                <w:rPr>
                  <w:rFonts w:eastAsia="Times New Roman" w:cs="Times New Roman"/>
                  <w:szCs w:val="24"/>
                  <w:lang w:val="tr-TR" w:bidi="tr-TR"/>
                </w:rPr>
                <w:fldChar w:fldCharType="end"/>
              </w:r>
            </w:hyperlink>
            <w:r w:rsidR="00BB704F" w:rsidRPr="00F50C10">
              <w:rPr>
                <w:rFonts w:eastAsia="Times New Roman" w:cs="Times New Roman"/>
                <w:szCs w:val="24"/>
                <w:lang w:val="tr-TR" w:bidi="tr-TR"/>
              </w:rPr>
              <w:t xml:space="preserve"> kısmına bakınız.</w:t>
            </w:r>
          </w:p>
        </w:tc>
        <w:tc>
          <w:tcPr>
            <w:tcW w:w="1215" w:type="pct"/>
            <w:vMerge w:val="restart"/>
          </w:tcPr>
          <w:p w14:paraId="67CF2D2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5029A775" w14:textId="77777777" w:rsidTr="00BB704F">
        <w:trPr>
          <w:trHeight w:val="273"/>
        </w:trPr>
        <w:tc>
          <w:tcPr>
            <w:tcW w:w="232" w:type="pct"/>
          </w:tcPr>
          <w:p w14:paraId="6132C0CA" w14:textId="77777777" w:rsidR="00BB704F" w:rsidRPr="00F50C10" w:rsidRDefault="00BB704F" w:rsidP="000B206D">
            <w:pPr>
              <w:spacing w:before="14" w:line="276" w:lineRule="auto"/>
              <w:ind w:left="108" w:right="108"/>
              <w:rPr>
                <w:rFonts w:eastAsia="Times New Roman" w:cs="Times New Roman"/>
                <w:szCs w:val="24"/>
                <w:lang w:val="tr-TR"/>
              </w:rPr>
            </w:pPr>
            <w:r w:rsidRPr="00F50C10">
              <w:rPr>
                <w:rFonts w:eastAsia="Times New Roman" w:cs="Times New Roman"/>
                <w:szCs w:val="24"/>
                <w:lang w:val="tr-TR"/>
              </w:rPr>
              <w:t>b</w:t>
            </w:r>
          </w:p>
        </w:tc>
        <w:tc>
          <w:tcPr>
            <w:tcW w:w="1567" w:type="pct"/>
          </w:tcPr>
          <w:p w14:paraId="731AFFAA" w14:textId="77777777" w:rsidR="00BB704F" w:rsidRPr="00F50C10" w:rsidRDefault="00BB704F" w:rsidP="000B206D">
            <w:pPr>
              <w:spacing w:before="14" w:line="276" w:lineRule="auto"/>
              <w:ind w:left="108" w:right="108"/>
              <w:rPr>
                <w:rFonts w:eastAsia="Times New Roman" w:cs="Times New Roman"/>
                <w:szCs w:val="24"/>
                <w:lang w:val="tr-TR"/>
              </w:rPr>
            </w:pPr>
            <w:r w:rsidRPr="00F50C10">
              <w:rPr>
                <w:rFonts w:eastAsia="Times New Roman" w:cs="Times New Roman"/>
                <w:szCs w:val="24"/>
                <w:lang w:val="tr-TR" w:bidi="tr-TR"/>
              </w:rPr>
              <w:t>Kimyasal oksitleme</w:t>
            </w:r>
          </w:p>
        </w:tc>
        <w:tc>
          <w:tcPr>
            <w:tcW w:w="1986" w:type="pct"/>
          </w:tcPr>
          <w:p w14:paraId="6DCF0761" w14:textId="77777777" w:rsidR="00BB704F" w:rsidRPr="00F50C10" w:rsidRDefault="002A1746" w:rsidP="000B206D">
            <w:pPr>
              <w:spacing w:before="14" w:line="276" w:lineRule="auto"/>
              <w:ind w:left="108" w:right="108"/>
              <w:rPr>
                <w:rFonts w:eastAsia="Times New Roman" w:cs="Times New Roman"/>
                <w:szCs w:val="24"/>
                <w:lang w:val="tr-TR"/>
              </w:rPr>
            </w:pPr>
            <w:hyperlink w:anchor="_bookmark801" w:history="1">
              <w:r w:rsidR="00BB704F" w:rsidRPr="00F50C10">
                <w:rPr>
                  <w:rFonts w:eastAsia="Times New Roman" w:cs="Times New Roman"/>
                  <w:szCs w:val="24"/>
                  <w:lang w:val="tr-TR" w:bidi="tr-TR"/>
                </w:rPr>
                <w:fldChar w:fldCharType="begin"/>
              </w:r>
              <w:r w:rsidR="00BB704F" w:rsidRPr="00F50C10">
                <w:rPr>
                  <w:rFonts w:eastAsia="Times New Roman" w:cs="Times New Roman"/>
                  <w:szCs w:val="24"/>
                  <w:lang w:val="tr-TR"/>
                </w:rPr>
                <w:instrText xml:space="preserve"> REF _Ref136600549 \n \h </w:instrText>
              </w:r>
              <w:r w:rsidR="00BB704F" w:rsidRPr="00F50C10">
                <w:rPr>
                  <w:rFonts w:eastAsia="Times New Roman" w:cs="Times New Roman"/>
                  <w:szCs w:val="24"/>
                  <w:lang w:val="tr-TR" w:bidi="tr-TR"/>
                </w:rPr>
                <w:instrText xml:space="preserve"> \* MERGEFORMAT </w:instrText>
              </w:r>
              <w:r w:rsidR="00BB704F" w:rsidRPr="00F50C10">
                <w:rPr>
                  <w:rFonts w:eastAsia="Times New Roman" w:cs="Times New Roman"/>
                  <w:szCs w:val="24"/>
                  <w:lang w:val="tr-TR" w:bidi="tr-TR"/>
                </w:rPr>
              </w:r>
              <w:r w:rsidR="00BB704F" w:rsidRPr="00F50C10">
                <w:rPr>
                  <w:rFonts w:eastAsia="Times New Roman" w:cs="Times New Roman"/>
                  <w:szCs w:val="24"/>
                  <w:lang w:val="tr-TR" w:bidi="tr-TR"/>
                </w:rPr>
                <w:fldChar w:fldCharType="separate"/>
              </w:r>
              <w:r w:rsidR="00BB704F" w:rsidRPr="00F50C10">
                <w:rPr>
                  <w:rFonts w:eastAsia="Times New Roman" w:cs="Times New Roman"/>
                  <w:szCs w:val="24"/>
                  <w:lang w:val="tr-TR"/>
                </w:rPr>
                <w:t>12.2</w:t>
              </w:r>
              <w:r w:rsidR="00BB704F" w:rsidRPr="00F50C10">
                <w:rPr>
                  <w:rFonts w:eastAsia="Times New Roman" w:cs="Times New Roman"/>
                  <w:szCs w:val="24"/>
                  <w:lang w:val="tr-TR" w:bidi="tr-TR"/>
                </w:rPr>
                <w:fldChar w:fldCharType="end"/>
              </w:r>
            </w:hyperlink>
            <w:r w:rsidR="00BB704F" w:rsidRPr="00F50C10">
              <w:rPr>
                <w:rFonts w:eastAsia="Times New Roman" w:cs="Times New Roman"/>
                <w:szCs w:val="24"/>
                <w:lang w:val="tr-TR" w:bidi="tr-TR"/>
              </w:rPr>
              <w:t xml:space="preserve"> kısmına bakınız.</w:t>
            </w:r>
          </w:p>
        </w:tc>
        <w:tc>
          <w:tcPr>
            <w:tcW w:w="1215" w:type="pct"/>
            <w:vMerge/>
          </w:tcPr>
          <w:p w14:paraId="3A5B005C" w14:textId="77777777" w:rsidR="00BB704F" w:rsidRPr="00F50C10" w:rsidRDefault="00BB704F" w:rsidP="000B206D">
            <w:pPr>
              <w:spacing w:line="276" w:lineRule="auto"/>
              <w:ind w:left="108" w:right="108"/>
              <w:jc w:val="left"/>
              <w:rPr>
                <w:rFonts w:eastAsia="Times New Roman" w:cs="Times New Roman"/>
                <w:szCs w:val="24"/>
                <w:lang w:val="tr-TR"/>
              </w:rPr>
            </w:pPr>
          </w:p>
        </w:tc>
      </w:tr>
    </w:tbl>
    <w:p w14:paraId="5B744F43" w14:textId="6C79877E" w:rsidR="00BB704F" w:rsidRPr="00F50C10" w:rsidRDefault="00BB704F" w:rsidP="000B206D">
      <w:pPr>
        <w:spacing w:before="240" w:line="276" w:lineRule="auto"/>
        <w:rPr>
          <w:rFonts w:eastAsia="Calibri" w:cs="Times New Roman"/>
          <w:b/>
          <w:iCs/>
          <w:color w:val="000000"/>
          <w:szCs w:val="24"/>
        </w:rPr>
      </w:pPr>
      <w:bookmarkStart w:id="54" w:name="_Ref132815144"/>
      <w:r w:rsidRPr="00F50C10">
        <w:rPr>
          <w:rFonts w:eastAsia="Calibri" w:cs="Times New Roman"/>
          <w:b/>
          <w:iCs/>
          <w:color w:val="000000"/>
          <w:szCs w:val="24"/>
        </w:rPr>
        <w:t xml:space="preserve">Tablo </w:t>
      </w:r>
      <w:r w:rsidR="002D356E" w:rsidRPr="00F50C10">
        <w:rPr>
          <w:rFonts w:eastAsia="Calibri" w:cs="Times New Roman"/>
          <w:b/>
          <w:iCs/>
          <w:color w:val="000000"/>
          <w:szCs w:val="24"/>
        </w:rPr>
        <w:t>9.2.</w:t>
      </w:r>
      <w:bookmarkEnd w:id="54"/>
      <w:r w:rsidRPr="00F50C10">
        <w:rPr>
          <w:rFonts w:eastAsia="Calibri" w:cs="Times New Roman"/>
          <w:b/>
          <w:iCs/>
          <w:color w:val="000000"/>
          <w:szCs w:val="24"/>
        </w:rPr>
        <w:t>. Ön arıtma ünitesinin çıkışındaki DNT tesisinden ileri atık su arıtımına boşaltımlar için MET-İÇPS'ler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7"/>
        <w:gridCol w:w="5270"/>
      </w:tblGrid>
      <w:tr w:rsidR="00BB704F" w:rsidRPr="00F50C10" w14:paraId="0EAA12AD" w14:textId="77777777" w:rsidTr="00BB704F">
        <w:trPr>
          <w:trHeight w:val="580"/>
        </w:trPr>
        <w:tc>
          <w:tcPr>
            <w:tcW w:w="1824" w:type="pct"/>
          </w:tcPr>
          <w:p w14:paraId="1811AA10" w14:textId="77777777" w:rsidR="00BB704F" w:rsidRPr="00F50C10" w:rsidRDefault="00BB704F" w:rsidP="000B206D">
            <w:pPr>
              <w:spacing w:before="113" w:line="276" w:lineRule="auto"/>
              <w:ind w:left="1066" w:right="1058"/>
              <w:jc w:val="center"/>
              <w:rPr>
                <w:rFonts w:eastAsia="Times New Roman" w:cs="Times New Roman"/>
                <w:b/>
                <w:szCs w:val="24"/>
                <w:lang w:val="tr-TR"/>
              </w:rPr>
            </w:pPr>
            <w:r w:rsidRPr="00F50C10">
              <w:rPr>
                <w:rFonts w:eastAsia="Times New Roman" w:cs="Times New Roman"/>
                <w:b/>
                <w:szCs w:val="24"/>
                <w:lang w:val="tr-TR" w:bidi="tr-TR"/>
              </w:rPr>
              <w:t>Parametre</w:t>
            </w:r>
          </w:p>
        </w:tc>
        <w:tc>
          <w:tcPr>
            <w:tcW w:w="3176" w:type="pct"/>
          </w:tcPr>
          <w:p w14:paraId="78B5F0CA" w14:textId="77777777" w:rsidR="00BB704F" w:rsidRPr="00F50C10" w:rsidRDefault="00BB704F" w:rsidP="000B206D">
            <w:pPr>
              <w:spacing w:line="276" w:lineRule="auto"/>
              <w:ind w:left="672" w:right="668"/>
              <w:jc w:val="center"/>
              <w:rPr>
                <w:rFonts w:eastAsia="Times New Roman" w:cs="Times New Roman"/>
                <w:b/>
                <w:szCs w:val="24"/>
                <w:lang w:val="tr-TR"/>
              </w:rPr>
            </w:pPr>
            <w:r w:rsidRPr="00F50C10">
              <w:rPr>
                <w:rFonts w:eastAsia="Times New Roman" w:cs="Times New Roman"/>
                <w:b/>
                <w:szCs w:val="24"/>
                <w:lang w:val="tr-TR" w:bidi="tr-TR"/>
              </w:rPr>
              <w:t>MET-İÇPS</w:t>
            </w:r>
          </w:p>
          <w:p w14:paraId="76E3726F" w14:textId="77777777" w:rsidR="00BB704F" w:rsidRPr="00F50C10" w:rsidRDefault="00BB704F" w:rsidP="000B206D">
            <w:pPr>
              <w:spacing w:line="276" w:lineRule="auto"/>
              <w:ind w:left="672" w:right="672"/>
              <w:jc w:val="center"/>
              <w:rPr>
                <w:rFonts w:eastAsia="Times New Roman" w:cs="Times New Roman"/>
                <w:b/>
                <w:szCs w:val="24"/>
                <w:lang w:val="tr-TR"/>
              </w:rPr>
            </w:pPr>
            <w:r w:rsidRPr="00F50C10">
              <w:rPr>
                <w:rFonts w:eastAsia="Times New Roman" w:cs="Times New Roman"/>
                <w:b/>
                <w:szCs w:val="24"/>
                <w:lang w:val="tr-TR" w:bidi="tr-TR"/>
              </w:rPr>
              <w:t>(bir ay boyunca elde edilen değerlerin ortalaması)</w:t>
            </w:r>
          </w:p>
        </w:tc>
      </w:tr>
      <w:tr w:rsidR="00BB704F" w:rsidRPr="00F50C10" w14:paraId="1D460CC2" w14:textId="77777777" w:rsidTr="00BB704F">
        <w:trPr>
          <w:trHeight w:val="350"/>
        </w:trPr>
        <w:tc>
          <w:tcPr>
            <w:tcW w:w="1824" w:type="pct"/>
          </w:tcPr>
          <w:p w14:paraId="2D9B1E30" w14:textId="0B63998D" w:rsidR="00BB704F" w:rsidRPr="00F50C10" w:rsidRDefault="00BB704F" w:rsidP="000B206D">
            <w:pPr>
              <w:spacing w:line="276" w:lineRule="auto"/>
              <w:ind w:left="107"/>
              <w:jc w:val="left"/>
              <w:rPr>
                <w:rFonts w:eastAsia="Times New Roman" w:cs="Times New Roman"/>
                <w:szCs w:val="24"/>
                <w:lang w:val="tr-TR"/>
              </w:rPr>
            </w:pPr>
            <w:r w:rsidRPr="00F50C10">
              <w:rPr>
                <w:rFonts w:eastAsia="Times New Roman" w:cs="Times New Roman"/>
                <w:szCs w:val="24"/>
                <w:lang w:val="tr-TR" w:bidi="tr-TR"/>
              </w:rPr>
              <w:t>TO</w:t>
            </w:r>
            <w:r w:rsidR="002D356E" w:rsidRPr="00F50C10">
              <w:rPr>
                <w:rFonts w:eastAsia="Times New Roman" w:cs="Times New Roman"/>
                <w:szCs w:val="24"/>
                <w:lang w:val="tr-TR" w:bidi="tr-TR"/>
              </w:rPr>
              <w:t>K</w:t>
            </w:r>
          </w:p>
        </w:tc>
        <w:tc>
          <w:tcPr>
            <w:tcW w:w="3176" w:type="pct"/>
          </w:tcPr>
          <w:p w14:paraId="32E1D8C7" w14:textId="77777777" w:rsidR="00BB704F" w:rsidRPr="00F50C10" w:rsidRDefault="00BB704F" w:rsidP="000B206D">
            <w:pPr>
              <w:spacing w:line="276" w:lineRule="auto"/>
              <w:ind w:right="1737"/>
              <w:jc w:val="right"/>
              <w:rPr>
                <w:rFonts w:eastAsia="Times New Roman" w:cs="Times New Roman"/>
                <w:szCs w:val="24"/>
                <w:lang w:val="tr-TR"/>
              </w:rPr>
            </w:pPr>
            <w:r w:rsidRPr="00F50C10">
              <w:rPr>
                <w:rFonts w:eastAsia="Times New Roman" w:cs="Times New Roman"/>
                <w:szCs w:val="24"/>
                <w:lang w:val="tr-TR" w:bidi="tr-TR"/>
              </w:rPr>
              <w:t>&lt;1 kg/t DNT üretimi</w:t>
            </w:r>
          </w:p>
        </w:tc>
      </w:tr>
      <w:tr w:rsidR="00BB704F" w:rsidRPr="00F50C10" w14:paraId="0FCAC101" w14:textId="77777777" w:rsidTr="00BB704F">
        <w:trPr>
          <w:trHeight w:val="350"/>
        </w:trPr>
        <w:tc>
          <w:tcPr>
            <w:tcW w:w="1824" w:type="pct"/>
          </w:tcPr>
          <w:p w14:paraId="23642660" w14:textId="77777777" w:rsidR="00BB704F" w:rsidRPr="00F50C10" w:rsidRDefault="00BB704F" w:rsidP="000B206D">
            <w:pPr>
              <w:spacing w:line="276" w:lineRule="auto"/>
              <w:ind w:left="107"/>
              <w:jc w:val="left"/>
              <w:rPr>
                <w:rFonts w:eastAsia="Times New Roman" w:cs="Times New Roman"/>
                <w:szCs w:val="24"/>
                <w:lang w:val="tr-TR"/>
              </w:rPr>
            </w:pPr>
            <w:r w:rsidRPr="00F50C10">
              <w:rPr>
                <w:rFonts w:eastAsia="Times New Roman" w:cs="Times New Roman"/>
                <w:szCs w:val="24"/>
                <w:lang w:val="tr-TR" w:bidi="tr-TR"/>
              </w:rPr>
              <w:t>Spesifik atık su hacmi</w:t>
            </w:r>
          </w:p>
        </w:tc>
        <w:tc>
          <w:tcPr>
            <w:tcW w:w="3176" w:type="pct"/>
          </w:tcPr>
          <w:p w14:paraId="5420F7AE" w14:textId="77777777" w:rsidR="00BB704F" w:rsidRPr="00F50C10" w:rsidRDefault="00BB704F" w:rsidP="000B206D">
            <w:pPr>
              <w:spacing w:line="276" w:lineRule="auto"/>
              <w:ind w:right="1730"/>
              <w:jc w:val="right"/>
              <w:rPr>
                <w:rFonts w:eastAsia="Times New Roman" w:cs="Times New Roman"/>
                <w:szCs w:val="24"/>
                <w:lang w:val="tr-TR"/>
              </w:rPr>
            </w:pPr>
            <w:r w:rsidRPr="00F50C10">
              <w:rPr>
                <w:rFonts w:eastAsia="Times New Roman" w:cs="Times New Roman"/>
                <w:szCs w:val="24"/>
                <w:lang w:val="tr-TR" w:bidi="tr-TR"/>
              </w:rPr>
              <w:t>&lt; 1 m</w:t>
            </w:r>
            <w:r w:rsidRPr="00F50C10">
              <w:rPr>
                <w:rFonts w:eastAsia="Times New Roman" w:cs="Times New Roman"/>
                <w:szCs w:val="24"/>
                <w:vertAlign w:val="superscript"/>
                <w:lang w:val="tr-TR" w:bidi="tr-TR"/>
              </w:rPr>
              <w:t>3</w:t>
            </w:r>
            <w:r w:rsidRPr="00F50C10">
              <w:rPr>
                <w:rFonts w:eastAsia="Times New Roman" w:cs="Times New Roman"/>
                <w:szCs w:val="24"/>
                <w:lang w:val="tr-TR" w:bidi="tr-TR"/>
              </w:rPr>
              <w:t>/t DNT üretimi</w:t>
            </w:r>
          </w:p>
        </w:tc>
      </w:tr>
    </w:tbl>
    <w:p w14:paraId="6E4ED5AB" w14:textId="07067F82" w:rsidR="00BB704F" w:rsidRPr="00F50C10" w:rsidRDefault="00BB704F" w:rsidP="000B206D">
      <w:pPr>
        <w:widowControl w:val="0"/>
        <w:autoSpaceDE w:val="0"/>
        <w:autoSpaceDN w:val="0"/>
        <w:spacing w:before="240" w:line="276" w:lineRule="auto"/>
        <w:jc w:val="left"/>
        <w:rPr>
          <w:rFonts w:eastAsia="Times New Roman" w:cs="Times New Roman"/>
          <w:szCs w:val="24"/>
          <w:lang w:val="tr-TR"/>
        </w:rPr>
      </w:pPr>
      <w:r w:rsidRPr="00F50C10">
        <w:rPr>
          <w:rFonts w:eastAsia="Times New Roman" w:cs="Times New Roman"/>
          <w:szCs w:val="24"/>
          <w:lang w:val="tr-TR"/>
        </w:rPr>
        <w:t>TO</w:t>
      </w:r>
      <w:r w:rsidR="002D356E" w:rsidRPr="00F50C10">
        <w:rPr>
          <w:rFonts w:eastAsia="Times New Roman" w:cs="Times New Roman"/>
          <w:szCs w:val="24"/>
          <w:lang w:val="tr-TR"/>
        </w:rPr>
        <w:t>K</w:t>
      </w:r>
      <w:r w:rsidRPr="00F50C10">
        <w:rPr>
          <w:rFonts w:eastAsia="Times New Roman" w:cs="Times New Roman"/>
          <w:szCs w:val="24"/>
          <w:lang w:val="tr-TR"/>
        </w:rPr>
        <w:t xml:space="preserve"> ile ilişkili izleme faaliyetleri MET 68 kapsamındadır.</w:t>
      </w:r>
    </w:p>
    <w:p w14:paraId="6167FF86" w14:textId="6A3834BB"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 xml:space="preserve">MET 71: </w:t>
      </w:r>
      <w:r w:rsidRPr="00F50C10">
        <w:rPr>
          <w:rFonts w:eastAsia="Times New Roman" w:cs="Times New Roman"/>
          <w:szCs w:val="24"/>
          <w:lang w:val="tr-TR"/>
        </w:rPr>
        <w:t>TDA tesisindeki atık su oluşumunu azaltmak ve atık su arıtımına gönderilen organik yükü azaltmak için, aşağıda verilen teknik a., b. ve c.’nin bir kombinasyonu ve ardından teknik d</w:t>
      </w:r>
      <w:r w:rsidR="00C620EA" w:rsidRPr="00F50C10">
        <w:rPr>
          <w:rFonts w:eastAsia="Times New Roman" w:cs="Times New Roman"/>
          <w:szCs w:val="24"/>
          <w:lang w:val="tr-TR"/>
        </w:rPr>
        <w:t xml:space="preserve"> </w:t>
      </w:r>
      <w:r w:rsidRPr="00F50C10">
        <w:rPr>
          <w:rFonts w:eastAsia="Times New Roman" w:cs="Times New Roman"/>
          <w:szCs w:val="24"/>
          <w:lang w:val="tr-TR"/>
        </w:rPr>
        <w:t>kullan</w:t>
      </w:r>
      <w:r w:rsidR="00C620EA" w:rsidRPr="00F50C10">
        <w:rPr>
          <w:rFonts w:eastAsia="Times New Roman" w:cs="Times New Roman"/>
          <w:szCs w:val="24"/>
          <w:lang w:val="tr-TR"/>
        </w:rPr>
        <w:t>ılı</w:t>
      </w:r>
      <w:r w:rsidRPr="00F50C10">
        <w:rPr>
          <w:rFonts w:eastAsia="Times New Roman" w:cs="Times New Roman"/>
          <w:szCs w:val="24"/>
          <w:lang w:val="tr-TR"/>
        </w:rPr>
        <w:t>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532"/>
        <w:gridCol w:w="3493"/>
        <w:gridCol w:w="2127"/>
      </w:tblGrid>
      <w:tr w:rsidR="00BB704F" w:rsidRPr="00F50C10" w14:paraId="7E9F883D" w14:textId="77777777" w:rsidTr="00BB704F">
        <w:trPr>
          <w:trHeight w:val="230"/>
          <w:tblHeader/>
        </w:trPr>
        <w:tc>
          <w:tcPr>
            <w:tcW w:w="186" w:type="pct"/>
            <w:tcBorders>
              <w:top w:val="single" w:sz="4" w:space="0" w:color="auto"/>
              <w:right w:val="single" w:sz="4" w:space="0" w:color="auto"/>
            </w:tcBorders>
          </w:tcPr>
          <w:p w14:paraId="6DC2A200"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496" w:type="pct"/>
            <w:tcBorders>
              <w:top w:val="single" w:sz="4" w:space="0" w:color="auto"/>
              <w:left w:val="single" w:sz="4" w:space="0" w:color="auto"/>
            </w:tcBorders>
          </w:tcPr>
          <w:p w14:paraId="5ECDD089" w14:textId="77777777" w:rsidR="00BB704F" w:rsidRPr="00F50C10" w:rsidRDefault="00BB704F" w:rsidP="000B206D">
            <w:pPr>
              <w:spacing w:line="276" w:lineRule="auto"/>
              <w:ind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2061" w:type="pct"/>
          </w:tcPr>
          <w:p w14:paraId="18C5FF66"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57" w:type="pct"/>
          </w:tcPr>
          <w:p w14:paraId="7EE3A78B"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3EED94B3" w14:textId="77777777" w:rsidTr="00BB704F">
        <w:trPr>
          <w:trHeight w:val="230"/>
        </w:trPr>
        <w:tc>
          <w:tcPr>
            <w:tcW w:w="186" w:type="pct"/>
            <w:tcBorders>
              <w:right w:val="single" w:sz="4" w:space="0" w:color="auto"/>
            </w:tcBorders>
          </w:tcPr>
          <w:p w14:paraId="493A790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496" w:type="pct"/>
            <w:tcBorders>
              <w:left w:val="single" w:sz="4" w:space="0" w:color="auto"/>
            </w:tcBorders>
          </w:tcPr>
          <w:p w14:paraId="6341FEE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Buharlaştırma</w:t>
            </w:r>
          </w:p>
        </w:tc>
        <w:tc>
          <w:tcPr>
            <w:tcW w:w="2061" w:type="pct"/>
            <w:vAlign w:val="center"/>
          </w:tcPr>
          <w:p w14:paraId="75DC92F8" w14:textId="77777777" w:rsidR="00BB704F" w:rsidRPr="00F50C10" w:rsidRDefault="002A1746" w:rsidP="000B206D">
            <w:pPr>
              <w:spacing w:line="276" w:lineRule="auto"/>
              <w:ind w:left="108" w:right="108"/>
              <w:rPr>
                <w:rFonts w:eastAsia="Times New Roman" w:cs="Times New Roman"/>
                <w:szCs w:val="24"/>
                <w:lang w:val="tr-TR"/>
              </w:rPr>
            </w:pPr>
            <w:hyperlink w:anchor="_bookmark801" w:history="1">
              <w:r w:rsidR="00BB704F" w:rsidRPr="00F50C10">
                <w:rPr>
                  <w:rFonts w:eastAsia="Times New Roman" w:cs="Times New Roman"/>
                  <w:szCs w:val="24"/>
                  <w:lang w:val="tr-TR" w:bidi="tr-TR"/>
                </w:rPr>
                <w:fldChar w:fldCharType="begin"/>
              </w:r>
              <w:r w:rsidR="00BB704F" w:rsidRPr="00F50C10">
                <w:rPr>
                  <w:rFonts w:eastAsia="Times New Roman" w:cs="Times New Roman"/>
                  <w:szCs w:val="24"/>
                  <w:lang w:val="tr-TR"/>
                </w:rPr>
                <w:instrText xml:space="preserve"> REF _Ref136600549 \n \h </w:instrText>
              </w:r>
              <w:r w:rsidR="00BB704F" w:rsidRPr="00F50C10">
                <w:rPr>
                  <w:rFonts w:eastAsia="Times New Roman" w:cs="Times New Roman"/>
                  <w:szCs w:val="24"/>
                  <w:lang w:val="tr-TR" w:bidi="tr-TR"/>
                </w:rPr>
                <w:instrText xml:space="preserve"> \* MERGEFORMAT </w:instrText>
              </w:r>
              <w:r w:rsidR="00BB704F" w:rsidRPr="00F50C10">
                <w:rPr>
                  <w:rFonts w:eastAsia="Times New Roman" w:cs="Times New Roman"/>
                  <w:szCs w:val="24"/>
                  <w:lang w:val="tr-TR" w:bidi="tr-TR"/>
                </w:rPr>
              </w:r>
              <w:r w:rsidR="00BB704F" w:rsidRPr="00F50C10">
                <w:rPr>
                  <w:rFonts w:eastAsia="Times New Roman" w:cs="Times New Roman"/>
                  <w:szCs w:val="24"/>
                  <w:lang w:val="tr-TR" w:bidi="tr-TR"/>
                </w:rPr>
                <w:fldChar w:fldCharType="separate"/>
              </w:r>
              <w:r w:rsidR="00BB704F" w:rsidRPr="00F50C10">
                <w:rPr>
                  <w:rFonts w:eastAsia="Times New Roman" w:cs="Times New Roman"/>
                  <w:szCs w:val="24"/>
                  <w:lang w:val="tr-TR"/>
                </w:rPr>
                <w:t>12.2</w:t>
              </w:r>
              <w:r w:rsidR="00BB704F" w:rsidRPr="00F50C10">
                <w:rPr>
                  <w:rFonts w:eastAsia="Times New Roman" w:cs="Times New Roman"/>
                  <w:szCs w:val="24"/>
                  <w:lang w:val="tr-TR" w:bidi="tr-TR"/>
                </w:rPr>
                <w:fldChar w:fldCharType="end"/>
              </w:r>
            </w:hyperlink>
            <w:r w:rsidR="00BB704F" w:rsidRPr="00F50C10">
              <w:rPr>
                <w:rFonts w:eastAsia="Times New Roman" w:cs="Times New Roman"/>
                <w:szCs w:val="24"/>
                <w:lang w:val="tr-TR" w:bidi="tr-TR"/>
              </w:rPr>
              <w:t xml:space="preserve"> kısmına bakınız.</w:t>
            </w:r>
          </w:p>
        </w:tc>
        <w:tc>
          <w:tcPr>
            <w:tcW w:w="1257" w:type="pct"/>
            <w:vMerge w:val="restart"/>
          </w:tcPr>
          <w:p w14:paraId="29FF36F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730A2C22" w14:textId="77777777" w:rsidTr="00BB704F">
        <w:trPr>
          <w:trHeight w:val="227"/>
        </w:trPr>
        <w:tc>
          <w:tcPr>
            <w:tcW w:w="186" w:type="pct"/>
          </w:tcPr>
          <w:p w14:paraId="3B6E7C7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496" w:type="pct"/>
          </w:tcPr>
          <w:p w14:paraId="18AA524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Sıyırma</w:t>
            </w:r>
          </w:p>
        </w:tc>
        <w:tc>
          <w:tcPr>
            <w:tcW w:w="2061" w:type="pct"/>
          </w:tcPr>
          <w:p w14:paraId="59232E3B" w14:textId="77777777" w:rsidR="00BB704F" w:rsidRPr="00F50C10" w:rsidRDefault="002A1746" w:rsidP="000B206D">
            <w:pPr>
              <w:spacing w:line="276" w:lineRule="auto"/>
              <w:ind w:left="108" w:right="108"/>
              <w:rPr>
                <w:rFonts w:eastAsia="Times New Roman" w:cs="Times New Roman"/>
                <w:szCs w:val="24"/>
                <w:lang w:val="tr-TR"/>
              </w:rPr>
            </w:pPr>
            <w:hyperlink w:anchor="_bookmark801" w:history="1">
              <w:r w:rsidR="00BB704F" w:rsidRPr="00F50C10">
                <w:rPr>
                  <w:rFonts w:eastAsia="Times New Roman" w:cs="Times New Roman"/>
                  <w:szCs w:val="24"/>
                  <w:lang w:val="tr-TR" w:bidi="tr-TR"/>
                </w:rPr>
                <w:fldChar w:fldCharType="begin"/>
              </w:r>
              <w:r w:rsidR="00BB704F" w:rsidRPr="00F50C10">
                <w:rPr>
                  <w:rFonts w:eastAsia="Times New Roman" w:cs="Times New Roman"/>
                  <w:szCs w:val="24"/>
                  <w:lang w:val="tr-TR"/>
                </w:rPr>
                <w:instrText xml:space="preserve"> REF _Ref136600549 \n \h </w:instrText>
              </w:r>
              <w:r w:rsidR="00BB704F" w:rsidRPr="00F50C10">
                <w:rPr>
                  <w:rFonts w:eastAsia="Times New Roman" w:cs="Times New Roman"/>
                  <w:szCs w:val="24"/>
                  <w:lang w:val="tr-TR" w:bidi="tr-TR"/>
                </w:rPr>
                <w:instrText xml:space="preserve"> \* MERGEFORMAT </w:instrText>
              </w:r>
              <w:r w:rsidR="00BB704F" w:rsidRPr="00F50C10">
                <w:rPr>
                  <w:rFonts w:eastAsia="Times New Roman" w:cs="Times New Roman"/>
                  <w:szCs w:val="24"/>
                  <w:lang w:val="tr-TR" w:bidi="tr-TR"/>
                </w:rPr>
              </w:r>
              <w:r w:rsidR="00BB704F" w:rsidRPr="00F50C10">
                <w:rPr>
                  <w:rFonts w:eastAsia="Times New Roman" w:cs="Times New Roman"/>
                  <w:szCs w:val="24"/>
                  <w:lang w:val="tr-TR" w:bidi="tr-TR"/>
                </w:rPr>
                <w:fldChar w:fldCharType="separate"/>
              </w:r>
              <w:r w:rsidR="00BB704F" w:rsidRPr="00F50C10">
                <w:rPr>
                  <w:rFonts w:eastAsia="Times New Roman" w:cs="Times New Roman"/>
                  <w:szCs w:val="24"/>
                  <w:lang w:val="tr-TR"/>
                </w:rPr>
                <w:t>12.2</w:t>
              </w:r>
              <w:r w:rsidR="00BB704F" w:rsidRPr="00F50C10">
                <w:rPr>
                  <w:rFonts w:eastAsia="Times New Roman" w:cs="Times New Roman"/>
                  <w:szCs w:val="24"/>
                  <w:lang w:val="tr-TR" w:bidi="tr-TR"/>
                </w:rPr>
                <w:fldChar w:fldCharType="end"/>
              </w:r>
            </w:hyperlink>
            <w:r w:rsidR="00BB704F" w:rsidRPr="00F50C10">
              <w:rPr>
                <w:rFonts w:eastAsia="Times New Roman" w:cs="Times New Roman"/>
                <w:szCs w:val="24"/>
                <w:lang w:val="tr-TR" w:bidi="tr-TR"/>
              </w:rPr>
              <w:t xml:space="preserve"> kısmına bakınız.</w:t>
            </w:r>
          </w:p>
        </w:tc>
        <w:tc>
          <w:tcPr>
            <w:tcW w:w="1257" w:type="pct"/>
            <w:vMerge/>
          </w:tcPr>
          <w:p w14:paraId="35B16F5E" w14:textId="77777777" w:rsidR="00BB704F" w:rsidRPr="00F50C10" w:rsidRDefault="00BB704F" w:rsidP="000B206D">
            <w:pPr>
              <w:spacing w:line="276" w:lineRule="auto"/>
              <w:ind w:left="108" w:right="108"/>
              <w:jc w:val="left"/>
              <w:rPr>
                <w:rFonts w:eastAsia="Times New Roman" w:cs="Times New Roman"/>
                <w:szCs w:val="24"/>
                <w:lang w:val="tr-TR"/>
              </w:rPr>
            </w:pPr>
          </w:p>
        </w:tc>
      </w:tr>
      <w:tr w:rsidR="00BB704F" w:rsidRPr="00F50C10" w14:paraId="6D7A5EF7" w14:textId="77777777" w:rsidTr="00BB704F">
        <w:trPr>
          <w:trHeight w:val="230"/>
        </w:trPr>
        <w:tc>
          <w:tcPr>
            <w:tcW w:w="186" w:type="pct"/>
          </w:tcPr>
          <w:p w14:paraId="684BFD0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496" w:type="pct"/>
          </w:tcPr>
          <w:p w14:paraId="4636C5F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Ekstraksiyon</w:t>
            </w:r>
          </w:p>
        </w:tc>
        <w:tc>
          <w:tcPr>
            <w:tcW w:w="2061" w:type="pct"/>
          </w:tcPr>
          <w:p w14:paraId="3E548492" w14:textId="77777777" w:rsidR="00BB704F" w:rsidRPr="00F50C10" w:rsidRDefault="002A1746" w:rsidP="000B206D">
            <w:pPr>
              <w:spacing w:line="276" w:lineRule="auto"/>
              <w:ind w:left="108" w:right="108"/>
              <w:rPr>
                <w:rFonts w:eastAsia="Times New Roman" w:cs="Times New Roman"/>
                <w:szCs w:val="24"/>
                <w:lang w:val="tr-TR"/>
              </w:rPr>
            </w:pPr>
            <w:hyperlink w:anchor="_bookmark801" w:history="1">
              <w:r w:rsidR="00BB704F" w:rsidRPr="00F50C10">
                <w:rPr>
                  <w:rFonts w:eastAsia="Times New Roman" w:cs="Times New Roman"/>
                  <w:szCs w:val="24"/>
                  <w:lang w:val="tr-TR" w:bidi="tr-TR"/>
                </w:rPr>
                <w:fldChar w:fldCharType="begin"/>
              </w:r>
              <w:r w:rsidR="00BB704F" w:rsidRPr="00F50C10">
                <w:rPr>
                  <w:rFonts w:eastAsia="Times New Roman" w:cs="Times New Roman"/>
                  <w:szCs w:val="24"/>
                  <w:lang w:val="tr-TR"/>
                </w:rPr>
                <w:instrText xml:space="preserve"> REF _Ref136600549 \n \h </w:instrText>
              </w:r>
              <w:r w:rsidR="00BB704F" w:rsidRPr="00F50C10">
                <w:rPr>
                  <w:rFonts w:eastAsia="Times New Roman" w:cs="Times New Roman"/>
                  <w:szCs w:val="24"/>
                  <w:lang w:val="tr-TR" w:bidi="tr-TR"/>
                </w:rPr>
                <w:instrText xml:space="preserve"> \* MERGEFORMAT </w:instrText>
              </w:r>
              <w:r w:rsidR="00BB704F" w:rsidRPr="00F50C10">
                <w:rPr>
                  <w:rFonts w:eastAsia="Times New Roman" w:cs="Times New Roman"/>
                  <w:szCs w:val="24"/>
                  <w:lang w:val="tr-TR" w:bidi="tr-TR"/>
                </w:rPr>
              </w:r>
              <w:r w:rsidR="00BB704F" w:rsidRPr="00F50C10">
                <w:rPr>
                  <w:rFonts w:eastAsia="Times New Roman" w:cs="Times New Roman"/>
                  <w:szCs w:val="24"/>
                  <w:lang w:val="tr-TR" w:bidi="tr-TR"/>
                </w:rPr>
                <w:fldChar w:fldCharType="separate"/>
              </w:r>
              <w:r w:rsidR="00BB704F" w:rsidRPr="00F50C10">
                <w:rPr>
                  <w:rFonts w:eastAsia="Times New Roman" w:cs="Times New Roman"/>
                  <w:szCs w:val="24"/>
                  <w:lang w:val="tr-TR"/>
                </w:rPr>
                <w:t>12.2</w:t>
              </w:r>
              <w:r w:rsidR="00BB704F" w:rsidRPr="00F50C10">
                <w:rPr>
                  <w:rFonts w:eastAsia="Times New Roman" w:cs="Times New Roman"/>
                  <w:szCs w:val="24"/>
                  <w:lang w:val="tr-TR" w:bidi="tr-TR"/>
                </w:rPr>
                <w:fldChar w:fldCharType="end"/>
              </w:r>
            </w:hyperlink>
            <w:r w:rsidR="00BB704F" w:rsidRPr="00F50C10">
              <w:rPr>
                <w:rFonts w:eastAsia="Times New Roman" w:cs="Times New Roman"/>
                <w:szCs w:val="24"/>
                <w:lang w:val="tr-TR" w:bidi="tr-TR"/>
              </w:rPr>
              <w:t xml:space="preserve"> kısmına bakınız.</w:t>
            </w:r>
          </w:p>
        </w:tc>
        <w:tc>
          <w:tcPr>
            <w:tcW w:w="1257" w:type="pct"/>
            <w:vMerge/>
          </w:tcPr>
          <w:p w14:paraId="4B6E9C98" w14:textId="77777777" w:rsidR="00BB704F" w:rsidRPr="00F50C10" w:rsidRDefault="00BB704F" w:rsidP="000B206D">
            <w:pPr>
              <w:spacing w:line="276" w:lineRule="auto"/>
              <w:ind w:left="108" w:right="108"/>
              <w:jc w:val="left"/>
              <w:rPr>
                <w:rFonts w:eastAsia="Times New Roman" w:cs="Times New Roman"/>
                <w:szCs w:val="24"/>
                <w:lang w:val="tr-TR"/>
              </w:rPr>
            </w:pPr>
          </w:p>
        </w:tc>
      </w:tr>
      <w:tr w:rsidR="00BB704F" w:rsidRPr="00F50C10" w14:paraId="272BFAFF" w14:textId="77777777" w:rsidTr="00BB704F">
        <w:trPr>
          <w:trHeight w:val="1382"/>
        </w:trPr>
        <w:tc>
          <w:tcPr>
            <w:tcW w:w="186" w:type="pct"/>
            <w:vAlign w:val="center"/>
          </w:tcPr>
          <w:p w14:paraId="0A9A0B3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d</w:t>
            </w:r>
          </w:p>
        </w:tc>
        <w:tc>
          <w:tcPr>
            <w:tcW w:w="1496" w:type="pct"/>
            <w:vAlign w:val="center"/>
          </w:tcPr>
          <w:p w14:paraId="52ACFC9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Suyun yeniden kullanımı</w:t>
            </w:r>
          </w:p>
        </w:tc>
        <w:tc>
          <w:tcPr>
            <w:tcW w:w="2061" w:type="pct"/>
            <w:vAlign w:val="center"/>
          </w:tcPr>
          <w:p w14:paraId="5163353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Suyun (örn. kondensatlardan veya yıkamadan gelen) aynı proseste veya farklı proseslerde (örn. DNT tesisinde) yeniden kullanılması. Suyun mevcut tesislerde yeniden kullanılma derecesi aşağıdakilerle kısıtlanabilir:</w:t>
            </w:r>
          </w:p>
          <w:p w14:paraId="65FDBC0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teknik kısıtlamalar</w:t>
            </w:r>
          </w:p>
        </w:tc>
        <w:tc>
          <w:tcPr>
            <w:tcW w:w="1257" w:type="pct"/>
            <w:vAlign w:val="center"/>
          </w:tcPr>
          <w:p w14:paraId="522316B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5D48D42A" w14:textId="64603E63" w:rsidR="00BB704F" w:rsidRPr="00F50C10" w:rsidRDefault="002D356E" w:rsidP="000B206D">
      <w:pPr>
        <w:spacing w:before="240" w:line="276" w:lineRule="auto"/>
        <w:rPr>
          <w:rFonts w:eastAsia="Calibri" w:cs="Times New Roman"/>
          <w:b/>
          <w:iCs/>
          <w:color w:val="000000"/>
          <w:szCs w:val="24"/>
        </w:rPr>
      </w:pPr>
      <w:r w:rsidRPr="00F50C10">
        <w:rPr>
          <w:rFonts w:eastAsia="Calibri" w:cs="Times New Roman"/>
          <w:b/>
          <w:iCs/>
          <w:color w:val="000000"/>
          <w:szCs w:val="24"/>
        </w:rPr>
        <w:t xml:space="preserve">Tablo 9.3. </w:t>
      </w:r>
      <w:r w:rsidR="00BB704F" w:rsidRPr="00F50C10">
        <w:rPr>
          <w:rFonts w:eastAsia="Calibri" w:cs="Times New Roman"/>
          <w:b/>
          <w:iCs/>
          <w:color w:val="000000"/>
          <w:szCs w:val="24"/>
        </w:rPr>
        <w:t>TDA tesisinden atık su arıtımına boşalımlar için MET-İÇPS’ler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71"/>
        <w:gridCol w:w="4726"/>
      </w:tblGrid>
      <w:tr w:rsidR="00BB704F" w:rsidRPr="00F50C10" w14:paraId="26339AE6" w14:textId="77777777" w:rsidTr="00BB704F">
        <w:trPr>
          <w:trHeight w:val="460"/>
        </w:trPr>
        <w:tc>
          <w:tcPr>
            <w:tcW w:w="2219" w:type="pct"/>
          </w:tcPr>
          <w:p w14:paraId="4E002CB1" w14:textId="77777777" w:rsidR="00BB704F" w:rsidRPr="00F50C10" w:rsidRDefault="00BB704F" w:rsidP="000B206D">
            <w:pPr>
              <w:spacing w:before="113" w:line="276" w:lineRule="auto"/>
              <w:jc w:val="center"/>
              <w:rPr>
                <w:rFonts w:eastAsia="Times New Roman" w:cs="Times New Roman"/>
                <w:b/>
                <w:szCs w:val="24"/>
                <w:lang w:val="tr-TR"/>
              </w:rPr>
            </w:pPr>
            <w:r w:rsidRPr="00F50C10">
              <w:rPr>
                <w:rFonts w:eastAsia="Times New Roman" w:cs="Times New Roman"/>
                <w:b/>
                <w:szCs w:val="24"/>
                <w:lang w:val="tr-TR" w:bidi="tr-TR"/>
              </w:rPr>
              <w:t>Parametre</w:t>
            </w:r>
          </w:p>
        </w:tc>
        <w:tc>
          <w:tcPr>
            <w:tcW w:w="2781" w:type="pct"/>
          </w:tcPr>
          <w:p w14:paraId="77BF6F8B"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MET-İÇPS</w:t>
            </w:r>
          </w:p>
          <w:p w14:paraId="06272142"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(bir ay boyunca elde edilen değerlerin ortalaması)</w:t>
            </w:r>
          </w:p>
        </w:tc>
      </w:tr>
      <w:tr w:rsidR="00BB704F" w:rsidRPr="00F50C10" w14:paraId="4868B34E" w14:textId="77777777" w:rsidTr="00BB704F">
        <w:trPr>
          <w:trHeight w:val="230"/>
        </w:trPr>
        <w:tc>
          <w:tcPr>
            <w:tcW w:w="2219" w:type="pct"/>
          </w:tcPr>
          <w:p w14:paraId="24CA2CB1" w14:textId="77777777" w:rsidR="00BB704F" w:rsidRPr="00F50C10" w:rsidRDefault="00BB704F" w:rsidP="000B206D">
            <w:pPr>
              <w:spacing w:line="276" w:lineRule="auto"/>
              <w:jc w:val="center"/>
              <w:rPr>
                <w:rFonts w:eastAsia="Times New Roman" w:cs="Times New Roman"/>
                <w:szCs w:val="24"/>
                <w:lang w:val="tr-TR"/>
              </w:rPr>
            </w:pPr>
            <w:r w:rsidRPr="00F50C10">
              <w:rPr>
                <w:rFonts w:eastAsia="Times New Roman" w:cs="Times New Roman"/>
                <w:szCs w:val="24"/>
                <w:lang w:val="tr-TR" w:bidi="tr-TR"/>
              </w:rPr>
              <w:t>Spesifik atık su hacmi</w:t>
            </w:r>
          </w:p>
        </w:tc>
        <w:tc>
          <w:tcPr>
            <w:tcW w:w="2781" w:type="pct"/>
          </w:tcPr>
          <w:p w14:paraId="7B21528C" w14:textId="77777777" w:rsidR="00BB704F" w:rsidRPr="00F50C10" w:rsidRDefault="00BB704F" w:rsidP="000B206D">
            <w:pPr>
              <w:spacing w:line="276" w:lineRule="auto"/>
              <w:jc w:val="center"/>
              <w:rPr>
                <w:rFonts w:eastAsia="Times New Roman" w:cs="Times New Roman"/>
                <w:szCs w:val="24"/>
                <w:lang w:val="tr-TR"/>
              </w:rPr>
            </w:pPr>
            <w:r w:rsidRPr="00F50C10">
              <w:rPr>
                <w:rFonts w:eastAsia="Times New Roman" w:cs="Times New Roman"/>
                <w:szCs w:val="24"/>
                <w:lang w:val="tr-TR" w:bidi="tr-TR"/>
              </w:rPr>
              <w:t>&lt; 1 m</w:t>
            </w:r>
            <w:r w:rsidRPr="00F50C10">
              <w:rPr>
                <w:rFonts w:eastAsia="Times New Roman" w:cs="Times New Roman"/>
                <w:szCs w:val="24"/>
                <w:vertAlign w:val="superscript"/>
                <w:lang w:val="tr-TR" w:bidi="tr-TR"/>
              </w:rPr>
              <w:t>3</w:t>
            </w:r>
            <w:r w:rsidRPr="00F50C10">
              <w:rPr>
                <w:rFonts w:eastAsia="Times New Roman" w:cs="Times New Roman"/>
                <w:szCs w:val="24"/>
                <w:lang w:val="tr-TR" w:bidi="tr-TR"/>
              </w:rPr>
              <w:t>/t TDA üretimi</w:t>
            </w:r>
          </w:p>
        </w:tc>
      </w:tr>
    </w:tbl>
    <w:p w14:paraId="73B38748" w14:textId="77777777" w:rsidR="00BB704F" w:rsidRPr="00F50C10" w:rsidRDefault="00BB704F" w:rsidP="000B206D">
      <w:pPr>
        <w:widowControl w:val="0"/>
        <w:autoSpaceDE w:val="0"/>
        <w:autoSpaceDN w:val="0"/>
        <w:spacing w:line="276" w:lineRule="auto"/>
        <w:jc w:val="left"/>
        <w:rPr>
          <w:rFonts w:eastAsia="Times New Roman" w:cs="Times New Roman"/>
          <w:szCs w:val="24"/>
        </w:rPr>
      </w:pPr>
    </w:p>
    <w:p w14:paraId="4959CE17" w14:textId="6B853B74" w:rsidR="00BB704F" w:rsidRPr="00F50C10" w:rsidRDefault="00BB704F" w:rsidP="000B206D">
      <w:pPr>
        <w:widowControl w:val="0"/>
        <w:autoSpaceDE w:val="0"/>
        <w:autoSpaceDN w:val="0"/>
        <w:spacing w:before="240" w:line="276" w:lineRule="auto"/>
        <w:jc w:val="left"/>
        <w:rPr>
          <w:rFonts w:eastAsia="Times New Roman" w:cs="Times New Roman"/>
          <w:b/>
          <w:bCs/>
          <w:szCs w:val="24"/>
          <w:lang w:val="tr-TR"/>
        </w:rPr>
      </w:pPr>
      <w:r w:rsidRPr="00F50C10">
        <w:rPr>
          <w:rFonts w:eastAsia="Times New Roman" w:cs="Times New Roman"/>
          <w:b/>
          <w:bCs/>
          <w:szCs w:val="24"/>
          <w:lang w:val="tr-TR"/>
        </w:rPr>
        <w:t xml:space="preserve">MET 72:  </w:t>
      </w:r>
      <w:r w:rsidRPr="00F50C10">
        <w:rPr>
          <w:rFonts w:eastAsia="Times New Roman" w:cs="Times New Roman"/>
          <w:szCs w:val="24"/>
          <w:lang w:val="tr-TR"/>
        </w:rPr>
        <w:t>MDI ve/veya TDI tesislerinden nihai atık su arıtımına boşaltılan organik yükü önlemek veya azaltmak için, tesisin tasarımını ve işletimini optimize ederek çözücüler geri kazan</w:t>
      </w:r>
      <w:r w:rsidR="00C620EA" w:rsidRPr="00F50C10">
        <w:rPr>
          <w:rFonts w:eastAsia="Times New Roman" w:cs="Times New Roman"/>
          <w:szCs w:val="24"/>
          <w:lang w:val="tr-TR"/>
        </w:rPr>
        <w:t>ılır</w:t>
      </w:r>
      <w:r w:rsidRPr="00F50C10">
        <w:rPr>
          <w:rFonts w:eastAsia="Times New Roman" w:cs="Times New Roman"/>
          <w:szCs w:val="24"/>
          <w:lang w:val="tr-TR"/>
        </w:rPr>
        <w:t xml:space="preserve"> ve su</w:t>
      </w:r>
      <w:r w:rsidR="00C620EA" w:rsidRPr="00F50C10">
        <w:rPr>
          <w:rFonts w:eastAsia="Times New Roman" w:cs="Times New Roman"/>
          <w:szCs w:val="24"/>
          <w:lang w:val="tr-TR"/>
        </w:rPr>
        <w:t xml:space="preserve"> </w:t>
      </w:r>
      <w:r w:rsidRPr="00F50C10">
        <w:rPr>
          <w:rFonts w:eastAsia="Times New Roman" w:cs="Times New Roman"/>
          <w:szCs w:val="24"/>
          <w:lang w:val="tr-TR"/>
        </w:rPr>
        <w:t>yeniden kullan</w:t>
      </w:r>
      <w:r w:rsidR="00C620EA" w:rsidRPr="00F50C10">
        <w:rPr>
          <w:rFonts w:eastAsia="Times New Roman" w:cs="Times New Roman"/>
          <w:szCs w:val="24"/>
          <w:lang w:val="tr-TR"/>
        </w:rPr>
        <w:t>ılı</w:t>
      </w:r>
      <w:r w:rsidRPr="00F50C10">
        <w:rPr>
          <w:rFonts w:eastAsia="Times New Roman" w:cs="Times New Roman"/>
          <w:szCs w:val="24"/>
          <w:lang w:val="tr-TR"/>
        </w:rPr>
        <w:t>r.</w:t>
      </w:r>
    </w:p>
    <w:p w14:paraId="154428CB" w14:textId="3340DE15" w:rsidR="00BB704F" w:rsidRPr="00F50C10" w:rsidRDefault="00C868CD" w:rsidP="000B206D">
      <w:pPr>
        <w:spacing w:before="240" w:line="276" w:lineRule="auto"/>
        <w:rPr>
          <w:rFonts w:eastAsia="Calibri" w:cs="Times New Roman"/>
          <w:b/>
          <w:iCs/>
          <w:color w:val="000000"/>
          <w:szCs w:val="24"/>
        </w:rPr>
      </w:pPr>
      <w:r w:rsidRPr="00F50C10">
        <w:rPr>
          <w:rFonts w:eastAsia="Calibri" w:cs="Times New Roman"/>
          <w:b/>
          <w:iCs/>
          <w:color w:val="000000"/>
          <w:szCs w:val="24"/>
        </w:rPr>
        <w:t xml:space="preserve">Tablo 9.4. </w:t>
      </w:r>
      <w:r w:rsidR="00BB704F" w:rsidRPr="00F50C10">
        <w:rPr>
          <w:rFonts w:eastAsia="Calibri" w:cs="Times New Roman"/>
          <w:b/>
          <w:iCs/>
          <w:color w:val="000000"/>
          <w:szCs w:val="24"/>
        </w:rPr>
        <w:t>TDI veya MDI tesisinden atık su arıtımına boşalımlar için MET-İÇPS’ler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8"/>
        <w:gridCol w:w="5559"/>
      </w:tblGrid>
      <w:tr w:rsidR="00BB704F" w:rsidRPr="00F50C10" w14:paraId="3D433FDC" w14:textId="77777777" w:rsidTr="00BB704F">
        <w:trPr>
          <w:trHeight w:val="457"/>
        </w:trPr>
        <w:tc>
          <w:tcPr>
            <w:tcW w:w="1729" w:type="pct"/>
          </w:tcPr>
          <w:p w14:paraId="72DD9E74" w14:textId="77777777" w:rsidR="00BB704F" w:rsidRPr="00F50C10" w:rsidRDefault="00BB704F" w:rsidP="000B206D">
            <w:pPr>
              <w:spacing w:before="113"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Parametre</w:t>
            </w:r>
          </w:p>
        </w:tc>
        <w:tc>
          <w:tcPr>
            <w:tcW w:w="3271" w:type="pct"/>
          </w:tcPr>
          <w:p w14:paraId="3B14B683"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MET-İÇPS</w:t>
            </w:r>
          </w:p>
          <w:p w14:paraId="24AA887F"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(bir yıl boyunca elde edilen değerlerin ortalaması)</w:t>
            </w:r>
          </w:p>
        </w:tc>
      </w:tr>
      <w:tr w:rsidR="00BB704F" w:rsidRPr="00F50C10" w14:paraId="0E18B21D" w14:textId="77777777" w:rsidTr="00BB704F">
        <w:trPr>
          <w:trHeight w:val="230"/>
        </w:trPr>
        <w:tc>
          <w:tcPr>
            <w:tcW w:w="1729" w:type="pct"/>
          </w:tcPr>
          <w:p w14:paraId="57F5BEF3" w14:textId="1F564411"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TO</w:t>
            </w:r>
            <w:r w:rsidR="00C868CD" w:rsidRPr="00F50C10">
              <w:rPr>
                <w:rFonts w:eastAsia="Times New Roman" w:cs="Times New Roman"/>
                <w:szCs w:val="24"/>
                <w:lang w:val="tr-TR" w:bidi="tr-TR"/>
              </w:rPr>
              <w:t>K</w:t>
            </w:r>
          </w:p>
        </w:tc>
        <w:tc>
          <w:tcPr>
            <w:tcW w:w="3271" w:type="pct"/>
          </w:tcPr>
          <w:p w14:paraId="09AB5CED"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&lt; 0,5 kg/t ürün (TDI veya MDI) (</w:t>
            </w:r>
            <w:r w:rsidRPr="00F50C10">
              <w:rPr>
                <w:rFonts w:eastAsia="Times New Roman" w:cs="Times New Roman"/>
                <w:szCs w:val="24"/>
                <w:vertAlign w:val="superscript"/>
                <w:lang w:val="tr-TR" w:bidi="tr-TR"/>
              </w:rPr>
              <w:t>1</w:t>
            </w:r>
            <w:r w:rsidRPr="00F50C10">
              <w:rPr>
                <w:rFonts w:eastAsia="Times New Roman" w:cs="Times New Roman"/>
                <w:szCs w:val="24"/>
                <w:lang w:val="tr-TR" w:bidi="tr-TR"/>
              </w:rPr>
              <w:t>)</w:t>
            </w:r>
          </w:p>
        </w:tc>
      </w:tr>
      <w:tr w:rsidR="00BB704F" w:rsidRPr="00F50C10" w14:paraId="12F9C115" w14:textId="77777777" w:rsidTr="00BB704F">
        <w:trPr>
          <w:trHeight w:val="208"/>
        </w:trPr>
        <w:tc>
          <w:tcPr>
            <w:tcW w:w="5000" w:type="pct"/>
            <w:gridSpan w:val="2"/>
          </w:tcPr>
          <w:p w14:paraId="6475B6FC" w14:textId="77777777" w:rsidR="00BB704F" w:rsidRPr="00F50C10" w:rsidRDefault="00BB704F" w:rsidP="000B206D">
            <w:pPr>
              <w:spacing w:line="276" w:lineRule="auto"/>
              <w:ind w:left="108" w:right="108"/>
              <w:rPr>
                <w:rFonts w:eastAsia="Times New Roman" w:cs="Times New Roman"/>
                <w:i/>
                <w:iCs/>
                <w:szCs w:val="24"/>
                <w:lang w:val="tr-TR"/>
              </w:rPr>
            </w:pPr>
            <w:r w:rsidRPr="00F50C10">
              <w:rPr>
                <w:rFonts w:eastAsia="Times New Roman" w:cs="Times New Roman"/>
                <w:i/>
                <w:iCs/>
                <w:szCs w:val="24"/>
                <w:vertAlign w:val="superscript"/>
                <w:lang w:val="tr-TR" w:bidi="tr-TR"/>
              </w:rPr>
              <w:t>(1)</w:t>
            </w:r>
            <w:r w:rsidRPr="00F50C10">
              <w:rPr>
                <w:rFonts w:eastAsia="Times New Roman" w:cs="Times New Roman"/>
                <w:i/>
                <w:iCs/>
                <w:szCs w:val="24"/>
                <w:lang w:val="tr-TR" w:bidi="tr-TR"/>
              </w:rPr>
              <w:t xml:space="preserve"> MET-İÇPS, tesisin kapasitesini tanımlamak için kullanıldığı anlamda, kalıntı içermeyen ürünü ifade eder.</w:t>
            </w:r>
          </w:p>
        </w:tc>
      </w:tr>
    </w:tbl>
    <w:p w14:paraId="1605344C" w14:textId="77777777" w:rsidR="00BB704F" w:rsidRPr="00F50C10" w:rsidRDefault="00BB704F" w:rsidP="000B206D">
      <w:pPr>
        <w:widowControl w:val="0"/>
        <w:autoSpaceDE w:val="0"/>
        <w:autoSpaceDN w:val="0"/>
        <w:spacing w:before="240" w:line="276" w:lineRule="auto"/>
        <w:jc w:val="left"/>
        <w:rPr>
          <w:rFonts w:eastAsia="Times New Roman" w:cs="Times New Roman"/>
          <w:szCs w:val="24"/>
          <w:lang w:val="tr-TR"/>
        </w:rPr>
      </w:pPr>
      <w:r w:rsidRPr="00F50C10">
        <w:rPr>
          <w:rFonts w:eastAsia="Times New Roman" w:cs="Times New Roman"/>
          <w:szCs w:val="24"/>
          <w:lang w:val="tr-TR"/>
        </w:rPr>
        <w:t>İlgili izleme MET 68 kapsamındadır.</w:t>
      </w:r>
    </w:p>
    <w:p w14:paraId="60B40BF1" w14:textId="2E8F3D1A" w:rsidR="00BB704F" w:rsidRPr="00F50C10" w:rsidRDefault="00BB704F" w:rsidP="000B206D">
      <w:pPr>
        <w:widowControl w:val="0"/>
        <w:autoSpaceDE w:val="0"/>
        <w:autoSpaceDN w:val="0"/>
        <w:spacing w:before="240" w:line="276" w:lineRule="auto"/>
        <w:rPr>
          <w:rFonts w:eastAsia="Times New Roman" w:cs="Times New Roman"/>
          <w:b/>
          <w:bCs/>
          <w:szCs w:val="24"/>
          <w:lang w:val="tr-TR"/>
        </w:rPr>
      </w:pPr>
      <w:r w:rsidRPr="00F50C10">
        <w:rPr>
          <w:rFonts w:eastAsia="Times New Roman" w:cs="Times New Roman"/>
          <w:b/>
          <w:bCs/>
          <w:szCs w:val="24"/>
          <w:lang w:val="tr-TR"/>
        </w:rPr>
        <w:t>MET 73:</w:t>
      </w:r>
      <w:r w:rsidRPr="00F50C10">
        <w:rPr>
          <w:rFonts w:eastAsia="Times New Roman" w:cs="Times New Roman"/>
          <w:szCs w:val="24"/>
          <w:lang w:val="tr-TR"/>
        </w:rPr>
        <w:t xml:space="preserve"> MDA tesisinden ileri arıtmaya boşaltılan organik yükü azaltmak için, aşağıda verilen tekniklerden biri</w:t>
      </w:r>
      <w:r w:rsidR="00C620EA" w:rsidRPr="00F50C10">
        <w:rPr>
          <w:rFonts w:eastAsia="Times New Roman" w:cs="Times New Roman"/>
          <w:szCs w:val="24"/>
          <w:lang w:val="tr-TR"/>
        </w:rPr>
        <w:t xml:space="preserve"> </w:t>
      </w:r>
      <w:r w:rsidRPr="00F50C10">
        <w:rPr>
          <w:rFonts w:eastAsia="Times New Roman" w:cs="Times New Roman"/>
          <w:szCs w:val="24"/>
          <w:lang w:val="tr-TR"/>
        </w:rPr>
        <w:t>veya birkaçı kullan</w:t>
      </w:r>
      <w:r w:rsidR="00C620EA" w:rsidRPr="00F50C10">
        <w:rPr>
          <w:rFonts w:eastAsia="Times New Roman" w:cs="Times New Roman"/>
          <w:szCs w:val="24"/>
          <w:lang w:val="tr-TR"/>
        </w:rPr>
        <w:t>ıl</w:t>
      </w:r>
      <w:r w:rsidRPr="00F50C10">
        <w:rPr>
          <w:rFonts w:eastAsia="Times New Roman" w:cs="Times New Roman"/>
          <w:szCs w:val="24"/>
          <w:lang w:val="tr-TR"/>
        </w:rPr>
        <w:t>arak organik materyal geri kazanılır.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771"/>
        <w:gridCol w:w="2688"/>
        <w:gridCol w:w="2693"/>
      </w:tblGrid>
      <w:tr w:rsidR="00BB704F" w:rsidRPr="00F50C10" w14:paraId="4DC1321A" w14:textId="77777777" w:rsidTr="00BB704F">
        <w:trPr>
          <w:trHeight w:val="230"/>
          <w:tblHeader/>
        </w:trPr>
        <w:tc>
          <w:tcPr>
            <w:tcW w:w="154" w:type="pct"/>
            <w:tcBorders>
              <w:right w:val="single" w:sz="4" w:space="0" w:color="auto"/>
            </w:tcBorders>
          </w:tcPr>
          <w:p w14:paraId="763B0F90"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647" w:type="pct"/>
            <w:tcBorders>
              <w:left w:val="single" w:sz="4" w:space="0" w:color="auto"/>
            </w:tcBorders>
          </w:tcPr>
          <w:p w14:paraId="52D1008C" w14:textId="77777777" w:rsidR="00BB704F" w:rsidRPr="00F50C10" w:rsidRDefault="00BB704F" w:rsidP="000B206D">
            <w:pPr>
              <w:spacing w:line="276" w:lineRule="auto"/>
              <w:ind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1598" w:type="pct"/>
          </w:tcPr>
          <w:p w14:paraId="370ED0CE"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601" w:type="pct"/>
          </w:tcPr>
          <w:p w14:paraId="4E6D2F6C"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371BBD17" w14:textId="77777777" w:rsidTr="00BB704F">
        <w:trPr>
          <w:trHeight w:val="690"/>
        </w:trPr>
        <w:tc>
          <w:tcPr>
            <w:tcW w:w="154" w:type="pct"/>
            <w:vAlign w:val="center"/>
          </w:tcPr>
          <w:p w14:paraId="07ABF08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647" w:type="pct"/>
            <w:vAlign w:val="center"/>
          </w:tcPr>
          <w:p w14:paraId="6A383AA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Buharlaştırma</w:t>
            </w:r>
          </w:p>
        </w:tc>
        <w:tc>
          <w:tcPr>
            <w:tcW w:w="1598" w:type="pct"/>
            <w:vAlign w:val="center"/>
          </w:tcPr>
          <w:p w14:paraId="0A2EBB97" w14:textId="77777777" w:rsidR="00BB704F" w:rsidRPr="00F50C10" w:rsidRDefault="00BB704F" w:rsidP="000B206D">
            <w:pPr>
              <w:tabs>
                <w:tab w:val="left" w:pos="1173"/>
                <w:tab w:val="left" w:pos="2338"/>
              </w:tabs>
              <w:spacing w:line="276" w:lineRule="auto"/>
              <w:ind w:left="108" w:right="108"/>
              <w:rPr>
                <w:rFonts w:eastAsia="Times New Roman" w:cs="Times New Roman"/>
                <w:szCs w:val="24"/>
                <w:lang w:val="tr-TR"/>
              </w:rPr>
            </w:pPr>
            <w:r w:rsidRPr="00F50C10">
              <w:rPr>
                <w:rFonts w:eastAsia="Times New Roman" w:cs="Times New Roman"/>
                <w:szCs w:val="24"/>
                <w:lang w:val="tr-TR"/>
              </w:rPr>
              <w:t xml:space="preserve">Bölüm </w:t>
            </w:r>
            <w:hyperlink w:anchor="_bookmark801"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_Ref136600549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12.2</w:t>
              </w:r>
              <w:r w:rsidRPr="00F50C10">
                <w:rPr>
                  <w:rFonts w:eastAsia="Times New Roman" w:cs="Times New Roman"/>
                  <w:szCs w:val="24"/>
                  <w:lang w:val="tr-TR" w:bidi="tr-TR"/>
                </w:rPr>
                <w:fldChar w:fldCharType="end"/>
              </w:r>
            </w:hyperlink>
            <w:r w:rsidRPr="00F50C10">
              <w:rPr>
                <w:rFonts w:eastAsia="Times New Roman" w:cs="Times New Roman"/>
                <w:szCs w:val="24"/>
                <w:lang w:val="tr-TR" w:bidi="tr-TR"/>
              </w:rPr>
              <w:t xml:space="preserve">’ye </w:t>
            </w:r>
            <w:r w:rsidRPr="00F50C10">
              <w:rPr>
                <w:rFonts w:eastAsia="Times New Roman" w:cs="Times New Roman"/>
                <w:szCs w:val="24"/>
                <w:lang w:val="tr-TR"/>
              </w:rPr>
              <w:t>bakın. Ekstraksiyonu kolaylaştırmak için kullanılır (bkz. teknik b.)</w:t>
            </w:r>
          </w:p>
        </w:tc>
        <w:tc>
          <w:tcPr>
            <w:tcW w:w="1601" w:type="pct"/>
            <w:vAlign w:val="center"/>
          </w:tcPr>
          <w:p w14:paraId="3DDF35B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53BE0F6F" w14:textId="77777777" w:rsidTr="00BB704F">
        <w:trPr>
          <w:trHeight w:val="460"/>
        </w:trPr>
        <w:tc>
          <w:tcPr>
            <w:tcW w:w="154" w:type="pct"/>
            <w:vAlign w:val="center"/>
          </w:tcPr>
          <w:p w14:paraId="3E31E38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647" w:type="pct"/>
            <w:vAlign w:val="center"/>
          </w:tcPr>
          <w:p w14:paraId="1AF1EF5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Ekstraksiyon</w:t>
            </w:r>
          </w:p>
        </w:tc>
        <w:tc>
          <w:tcPr>
            <w:tcW w:w="1598" w:type="pct"/>
            <w:vAlign w:val="center"/>
          </w:tcPr>
          <w:p w14:paraId="4E785CE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 xml:space="preserve">Bölüm </w:t>
            </w:r>
            <w:hyperlink w:anchor="_bookmark801"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_Ref136600549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12.2</w:t>
              </w:r>
              <w:r w:rsidRPr="00F50C10">
                <w:rPr>
                  <w:rFonts w:eastAsia="Times New Roman" w:cs="Times New Roman"/>
                  <w:szCs w:val="24"/>
                  <w:lang w:val="tr-TR" w:bidi="tr-TR"/>
                </w:rPr>
                <w:fldChar w:fldCharType="end"/>
              </w:r>
            </w:hyperlink>
            <w:r w:rsidRPr="00F50C10">
              <w:rPr>
                <w:rFonts w:eastAsia="Times New Roman" w:cs="Times New Roman"/>
                <w:szCs w:val="24"/>
                <w:lang w:val="tr-TR" w:bidi="tr-TR"/>
              </w:rPr>
              <w:t xml:space="preserve">’ye </w:t>
            </w:r>
            <w:r w:rsidRPr="00F50C10">
              <w:rPr>
                <w:rFonts w:eastAsia="Times New Roman" w:cs="Times New Roman"/>
                <w:szCs w:val="24"/>
                <w:lang w:val="tr-TR"/>
              </w:rPr>
              <w:t>bakın. MDA'yı kurtarmak/kaldırmak için kullanılır</w:t>
            </w:r>
          </w:p>
        </w:tc>
        <w:tc>
          <w:tcPr>
            <w:tcW w:w="1601" w:type="pct"/>
            <w:vAlign w:val="center"/>
          </w:tcPr>
          <w:p w14:paraId="7A9225B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3EBF1543" w14:textId="77777777" w:rsidTr="00BB704F">
        <w:trPr>
          <w:trHeight w:val="688"/>
        </w:trPr>
        <w:tc>
          <w:tcPr>
            <w:tcW w:w="154" w:type="pct"/>
            <w:vAlign w:val="center"/>
          </w:tcPr>
          <w:p w14:paraId="3D62FE7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647" w:type="pct"/>
            <w:vAlign w:val="center"/>
          </w:tcPr>
          <w:p w14:paraId="19C8558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Buharla sıyırma</w:t>
            </w:r>
          </w:p>
        </w:tc>
        <w:tc>
          <w:tcPr>
            <w:tcW w:w="1598" w:type="pct"/>
            <w:vAlign w:val="center"/>
          </w:tcPr>
          <w:p w14:paraId="3586B88C" w14:textId="77777777" w:rsidR="00BB704F" w:rsidRPr="00F50C10" w:rsidRDefault="00BB704F" w:rsidP="000B206D">
            <w:pPr>
              <w:tabs>
                <w:tab w:val="left" w:pos="1594"/>
                <w:tab w:val="left" w:pos="2372"/>
              </w:tabs>
              <w:spacing w:before="4" w:line="276" w:lineRule="auto"/>
              <w:ind w:left="108" w:right="108"/>
              <w:rPr>
                <w:rFonts w:eastAsia="Times New Roman" w:cs="Times New Roman"/>
                <w:szCs w:val="24"/>
                <w:lang w:val="tr-TR"/>
              </w:rPr>
            </w:pPr>
            <w:r w:rsidRPr="00F50C10">
              <w:rPr>
                <w:rFonts w:eastAsia="Times New Roman" w:cs="Times New Roman"/>
                <w:szCs w:val="24"/>
                <w:lang w:val="tr-TR"/>
              </w:rPr>
              <w:t xml:space="preserve">Bölüm </w:t>
            </w:r>
            <w:hyperlink w:anchor="_bookmark801"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_Ref136600549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12.2</w:t>
              </w:r>
              <w:r w:rsidRPr="00F50C10">
                <w:rPr>
                  <w:rFonts w:eastAsia="Times New Roman" w:cs="Times New Roman"/>
                  <w:szCs w:val="24"/>
                  <w:lang w:val="tr-TR" w:bidi="tr-TR"/>
                </w:rPr>
                <w:fldChar w:fldCharType="end"/>
              </w:r>
            </w:hyperlink>
            <w:r w:rsidRPr="00F50C10">
              <w:rPr>
                <w:rFonts w:eastAsia="Times New Roman" w:cs="Times New Roman"/>
                <w:szCs w:val="24"/>
                <w:lang w:val="tr-TR" w:bidi="tr-TR"/>
              </w:rPr>
              <w:t xml:space="preserve">’ye </w:t>
            </w:r>
            <w:r w:rsidRPr="00F50C10">
              <w:rPr>
                <w:rFonts w:eastAsia="Times New Roman" w:cs="Times New Roman"/>
                <w:szCs w:val="24"/>
                <w:lang w:val="tr-TR"/>
              </w:rPr>
              <w:t>bakın. Anilin ve metanol geri kazanmak/çıkarmak için kullanılır</w:t>
            </w:r>
          </w:p>
        </w:tc>
        <w:tc>
          <w:tcPr>
            <w:tcW w:w="1601" w:type="pct"/>
            <w:vMerge w:val="restart"/>
            <w:vAlign w:val="center"/>
          </w:tcPr>
          <w:p w14:paraId="0C62A0C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Metanol için uygulanabilirlik, atık su yönetimi ve arıtma stratejisinin bir parçası olarak alternatif seçeneklerin değerlendirilmesine bağlıdır.</w:t>
            </w:r>
          </w:p>
        </w:tc>
      </w:tr>
      <w:tr w:rsidR="00BB704F" w:rsidRPr="00F50C10" w14:paraId="78E2FD2A" w14:textId="77777777" w:rsidTr="00BB704F">
        <w:trPr>
          <w:trHeight w:val="690"/>
        </w:trPr>
        <w:tc>
          <w:tcPr>
            <w:tcW w:w="154" w:type="pct"/>
          </w:tcPr>
          <w:p w14:paraId="439F87C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d</w:t>
            </w:r>
          </w:p>
        </w:tc>
        <w:tc>
          <w:tcPr>
            <w:tcW w:w="1647" w:type="pct"/>
          </w:tcPr>
          <w:p w14:paraId="5A29A2D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Damıtma</w:t>
            </w:r>
          </w:p>
        </w:tc>
        <w:tc>
          <w:tcPr>
            <w:tcW w:w="1598" w:type="pct"/>
            <w:vAlign w:val="center"/>
          </w:tcPr>
          <w:p w14:paraId="0A598E2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 xml:space="preserve">Bölüm </w:t>
            </w:r>
            <w:hyperlink w:anchor="_bookmark801"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_Ref136600549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12.2</w:t>
              </w:r>
              <w:r w:rsidRPr="00F50C10">
                <w:rPr>
                  <w:rFonts w:eastAsia="Times New Roman" w:cs="Times New Roman"/>
                  <w:szCs w:val="24"/>
                  <w:lang w:val="tr-TR" w:bidi="tr-TR"/>
                </w:rPr>
                <w:fldChar w:fldCharType="end"/>
              </w:r>
            </w:hyperlink>
            <w:r w:rsidRPr="00F50C10">
              <w:rPr>
                <w:rFonts w:eastAsia="Times New Roman" w:cs="Times New Roman"/>
                <w:szCs w:val="24"/>
                <w:lang w:val="tr-TR" w:bidi="tr-TR"/>
              </w:rPr>
              <w:t xml:space="preserve">’ye </w:t>
            </w:r>
            <w:r w:rsidRPr="00F50C10">
              <w:rPr>
                <w:rFonts w:eastAsia="Times New Roman" w:cs="Times New Roman"/>
                <w:szCs w:val="24"/>
                <w:lang w:val="tr-TR"/>
              </w:rPr>
              <w:t>bakın. Anilin ve metanol geri kazanmak/çıkarmak için kullanılır</w:t>
            </w:r>
          </w:p>
        </w:tc>
        <w:tc>
          <w:tcPr>
            <w:tcW w:w="1601" w:type="pct"/>
            <w:vMerge/>
          </w:tcPr>
          <w:p w14:paraId="28AFBC99" w14:textId="77777777" w:rsidR="00BB704F" w:rsidRPr="00F50C10" w:rsidRDefault="00BB704F" w:rsidP="000B206D">
            <w:pPr>
              <w:spacing w:line="276" w:lineRule="auto"/>
              <w:ind w:left="108" w:right="108"/>
              <w:jc w:val="left"/>
              <w:rPr>
                <w:rFonts w:eastAsia="Times New Roman" w:cs="Times New Roman"/>
                <w:szCs w:val="24"/>
                <w:lang w:val="tr-TR"/>
              </w:rPr>
            </w:pPr>
          </w:p>
        </w:tc>
      </w:tr>
    </w:tbl>
    <w:p w14:paraId="0F58AF39"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55" w:name="_Toc136613739"/>
      <w:r w:rsidRPr="00F50C10">
        <w:rPr>
          <w:rFonts w:eastAsia="Times New Roman" w:cs="Times New Roman"/>
          <w:b/>
          <w:szCs w:val="24"/>
          <w:lang w:val="tr-TR"/>
        </w:rPr>
        <w:t>Kalıntılar</w:t>
      </w:r>
      <w:bookmarkEnd w:id="55"/>
    </w:p>
    <w:p w14:paraId="5846D05B" w14:textId="12B7C9BD" w:rsidR="00BB704F" w:rsidRPr="00F50C10" w:rsidRDefault="00BB704F" w:rsidP="000B206D">
      <w:pPr>
        <w:widowControl w:val="0"/>
        <w:autoSpaceDE w:val="0"/>
        <w:autoSpaceDN w:val="0"/>
        <w:spacing w:before="240" w:line="276" w:lineRule="auto"/>
        <w:rPr>
          <w:rFonts w:eastAsia="Times New Roman" w:cs="Times New Roman"/>
          <w:szCs w:val="24"/>
          <w:lang w:val="tr-TR"/>
        </w:rPr>
      </w:pPr>
      <w:r w:rsidRPr="00F50C10">
        <w:rPr>
          <w:rFonts w:eastAsia="Times New Roman" w:cs="Times New Roman"/>
          <w:b/>
          <w:bCs/>
          <w:szCs w:val="24"/>
          <w:lang w:val="tr-TR"/>
        </w:rPr>
        <w:t xml:space="preserve">MET 74: </w:t>
      </w:r>
      <w:r w:rsidRPr="00F50C10">
        <w:rPr>
          <w:rFonts w:eastAsia="Times New Roman" w:cs="Times New Roman"/>
          <w:szCs w:val="24"/>
          <w:lang w:val="tr-TR"/>
        </w:rPr>
        <w:t>TDI tesisinden bertaraf edilmek üzere gönderilen organik kalıntı miktarını azaltmak için, aşağıda verilen tekniklerin bir kombinasyonu kullan</w:t>
      </w:r>
      <w:r w:rsidR="00C620EA" w:rsidRPr="00F50C10">
        <w:rPr>
          <w:rFonts w:eastAsia="Times New Roman" w:cs="Times New Roman"/>
          <w:szCs w:val="24"/>
          <w:lang w:val="tr-TR"/>
        </w:rPr>
        <w:t>ıl</w:t>
      </w:r>
      <w:r w:rsidRPr="00F50C10">
        <w:rPr>
          <w:rFonts w:eastAsia="Times New Roman" w:cs="Times New Roman"/>
          <w:szCs w:val="24"/>
          <w:lang w:val="tr-TR"/>
        </w:rPr>
        <w:t>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679"/>
        <w:gridCol w:w="3410"/>
        <w:gridCol w:w="2063"/>
      </w:tblGrid>
      <w:tr w:rsidR="00BB704F" w:rsidRPr="00F50C10" w14:paraId="1917418C" w14:textId="77777777" w:rsidTr="00BB704F">
        <w:trPr>
          <w:trHeight w:val="230"/>
        </w:trPr>
        <w:tc>
          <w:tcPr>
            <w:tcW w:w="184" w:type="pct"/>
            <w:tcBorders>
              <w:top w:val="single" w:sz="4" w:space="0" w:color="auto"/>
              <w:right w:val="single" w:sz="4" w:space="0" w:color="auto"/>
            </w:tcBorders>
          </w:tcPr>
          <w:p w14:paraId="2FB42B2C"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583" w:type="pct"/>
            <w:tcBorders>
              <w:top w:val="single" w:sz="4" w:space="0" w:color="auto"/>
              <w:left w:val="single" w:sz="4" w:space="0" w:color="auto"/>
            </w:tcBorders>
          </w:tcPr>
          <w:p w14:paraId="2DE8F0FB" w14:textId="77777777" w:rsidR="00BB704F" w:rsidRPr="00F50C10" w:rsidRDefault="00BB704F" w:rsidP="000B206D">
            <w:pPr>
              <w:spacing w:line="276" w:lineRule="auto"/>
              <w:ind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2013" w:type="pct"/>
          </w:tcPr>
          <w:p w14:paraId="5C719749"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20" w:type="pct"/>
          </w:tcPr>
          <w:p w14:paraId="0CC5BE03"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5720691B" w14:textId="77777777" w:rsidTr="00BB704F">
        <w:trPr>
          <w:trHeight w:val="230"/>
        </w:trPr>
        <w:tc>
          <w:tcPr>
            <w:tcW w:w="5000" w:type="pct"/>
            <w:gridSpan w:val="4"/>
            <w:vAlign w:val="center"/>
          </w:tcPr>
          <w:p w14:paraId="2C3A6423" w14:textId="77777777" w:rsidR="00BB704F" w:rsidRPr="00F50C10" w:rsidRDefault="00BB704F" w:rsidP="000B206D">
            <w:pPr>
              <w:spacing w:line="276" w:lineRule="auto"/>
              <w:ind w:left="108" w:right="108"/>
              <w:rPr>
                <w:rFonts w:eastAsia="Times New Roman" w:cs="Times New Roman"/>
                <w:b/>
                <w:i/>
                <w:szCs w:val="24"/>
                <w:lang w:val="tr-TR"/>
              </w:rPr>
            </w:pPr>
            <w:r w:rsidRPr="00F50C10">
              <w:rPr>
                <w:rFonts w:eastAsia="Times New Roman" w:cs="Times New Roman"/>
                <w:b/>
                <w:i/>
                <w:szCs w:val="24"/>
                <w:lang w:val="tr-TR" w:bidi="tr-TR"/>
              </w:rPr>
              <w:t>Atık oluşumunu önleme veya azaltmaya yönelik teknikler</w:t>
            </w:r>
          </w:p>
        </w:tc>
      </w:tr>
      <w:tr w:rsidR="00BB704F" w:rsidRPr="00F50C10" w14:paraId="763C7B01" w14:textId="77777777" w:rsidTr="00BB704F">
        <w:trPr>
          <w:trHeight w:val="688"/>
        </w:trPr>
        <w:tc>
          <w:tcPr>
            <w:tcW w:w="184" w:type="pct"/>
            <w:vAlign w:val="center"/>
          </w:tcPr>
          <w:p w14:paraId="116D1B3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583" w:type="pct"/>
            <w:vAlign w:val="center"/>
          </w:tcPr>
          <w:p w14:paraId="21B9976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Damıtma sistemlerinde</w:t>
            </w:r>
          </w:p>
          <w:p w14:paraId="67F1E10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yüksek kaynama noktalı kalıntı oluşumunun en aza indirilmesi</w:t>
            </w:r>
          </w:p>
        </w:tc>
        <w:tc>
          <w:tcPr>
            <w:tcW w:w="2013" w:type="pct"/>
            <w:vAlign w:val="center"/>
          </w:tcPr>
          <w:p w14:paraId="45535DA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 </w:t>
            </w:r>
            <w:hyperlink w:anchor="_bookmark770">
              <w:r w:rsidRPr="00F50C10">
                <w:rPr>
                  <w:rFonts w:eastAsia="Times New Roman" w:cs="Times New Roman"/>
                  <w:szCs w:val="24"/>
                  <w:lang w:val="tr-TR" w:bidi="tr-TR"/>
                </w:rPr>
                <w:t>MET 17</w:t>
              </w:r>
            </w:hyperlink>
            <w:r w:rsidRPr="00F50C10">
              <w:rPr>
                <w:rFonts w:eastAsia="Times New Roman" w:cs="Times New Roman"/>
                <w:szCs w:val="24"/>
                <w:lang w:val="tr-TR" w:bidi="tr-TR"/>
              </w:rPr>
              <w:t>b.</w:t>
            </w:r>
          </w:p>
        </w:tc>
        <w:tc>
          <w:tcPr>
            <w:tcW w:w="1220" w:type="pct"/>
            <w:vAlign w:val="center"/>
          </w:tcPr>
          <w:p w14:paraId="2A3CB6C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yeni damıtma üniteleri veya büyük ölçekli tesis yenilemeleri için geçerlidir.</w:t>
            </w:r>
          </w:p>
        </w:tc>
      </w:tr>
      <w:tr w:rsidR="00BB704F" w:rsidRPr="00F50C10" w14:paraId="23B38F2E" w14:textId="77777777" w:rsidTr="00BB704F">
        <w:trPr>
          <w:trHeight w:val="230"/>
        </w:trPr>
        <w:tc>
          <w:tcPr>
            <w:tcW w:w="5000" w:type="pct"/>
            <w:gridSpan w:val="4"/>
            <w:vAlign w:val="center"/>
          </w:tcPr>
          <w:p w14:paraId="0947D498" w14:textId="77777777" w:rsidR="00BB704F" w:rsidRPr="00F50C10" w:rsidRDefault="00BB704F" w:rsidP="000B206D">
            <w:pPr>
              <w:spacing w:line="276" w:lineRule="auto"/>
              <w:ind w:left="108" w:right="108"/>
              <w:rPr>
                <w:rFonts w:eastAsia="Times New Roman" w:cs="Times New Roman"/>
                <w:b/>
                <w:i/>
                <w:szCs w:val="24"/>
                <w:lang w:val="tr-TR"/>
              </w:rPr>
            </w:pPr>
            <w:r w:rsidRPr="00F50C10">
              <w:rPr>
                <w:rFonts w:eastAsia="Times New Roman" w:cs="Times New Roman"/>
                <w:b/>
                <w:i/>
                <w:szCs w:val="24"/>
                <w:lang w:val="tr-TR" w:bidi="tr-TR"/>
              </w:rPr>
              <w:t>Organik malzemeyi yeniden kullanım veya geri dönüşüm için geri kazanma teknikleri</w:t>
            </w:r>
          </w:p>
        </w:tc>
      </w:tr>
      <w:tr w:rsidR="00BB704F" w:rsidRPr="00F50C10" w14:paraId="42707736" w14:textId="77777777" w:rsidTr="00BB704F">
        <w:trPr>
          <w:trHeight w:val="1380"/>
        </w:trPr>
        <w:tc>
          <w:tcPr>
            <w:tcW w:w="184" w:type="pct"/>
            <w:vAlign w:val="center"/>
          </w:tcPr>
          <w:p w14:paraId="3A88A7E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583" w:type="pct"/>
            <w:vAlign w:val="center"/>
          </w:tcPr>
          <w:p w14:paraId="279D709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Buharlaşma veya ileri damıtma yoluyla TDI geri kazanımının artırılması</w:t>
            </w:r>
          </w:p>
        </w:tc>
        <w:tc>
          <w:tcPr>
            <w:tcW w:w="2013" w:type="pct"/>
            <w:vAlign w:val="center"/>
          </w:tcPr>
          <w:p w14:paraId="5DF4B1A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Damıtmadan kalan artıklar ayrıca, içinde bulunan maksimum TDI miktarını geri kazanmak için, örneğin bir ince film buharlaştırıcı veya diğer kısa yollu damıtma birimleri ve ardından bir kurutucu kullanılarak işlenir.</w:t>
            </w:r>
          </w:p>
        </w:tc>
        <w:tc>
          <w:tcPr>
            <w:tcW w:w="1220" w:type="pct"/>
            <w:vAlign w:val="center"/>
          </w:tcPr>
          <w:p w14:paraId="0F51713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yeni damıtma üniteleri veya büyük ölçekli tesis yenilemeleri için geçerlidir.</w:t>
            </w:r>
          </w:p>
        </w:tc>
      </w:tr>
      <w:tr w:rsidR="00BB704F" w:rsidRPr="00F50C10" w14:paraId="0A55B533" w14:textId="77777777" w:rsidTr="00BB704F">
        <w:trPr>
          <w:trHeight w:val="690"/>
        </w:trPr>
        <w:tc>
          <w:tcPr>
            <w:tcW w:w="184" w:type="pct"/>
            <w:vAlign w:val="center"/>
          </w:tcPr>
          <w:p w14:paraId="6F9A299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583" w:type="pct"/>
            <w:vAlign w:val="center"/>
          </w:tcPr>
          <w:p w14:paraId="083B1B1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TDA'nın kimyasal reaksiyonla geri kazanımı</w:t>
            </w:r>
          </w:p>
        </w:tc>
        <w:tc>
          <w:tcPr>
            <w:tcW w:w="2013" w:type="pct"/>
            <w:vAlign w:val="center"/>
          </w:tcPr>
          <w:p w14:paraId="5E8B1DE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Katranlar, TDA’yı  kimyasal reaksiyonla (örn. hidroliz) geri kazanmak üzere işlenir.</w:t>
            </w:r>
          </w:p>
        </w:tc>
        <w:tc>
          <w:tcPr>
            <w:tcW w:w="1220" w:type="pct"/>
            <w:vAlign w:val="center"/>
          </w:tcPr>
          <w:p w14:paraId="1A069A2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yeni tesisler veya büyük tesis yükseltmeleri için geçerlidir.</w:t>
            </w:r>
          </w:p>
        </w:tc>
      </w:tr>
    </w:tbl>
    <w:p w14:paraId="65B4E9CD" w14:textId="4B7E0F99" w:rsidR="00BB704F" w:rsidRPr="00F50C10" w:rsidRDefault="00BB704F" w:rsidP="00A654AE">
      <w:pPr>
        <w:widowControl w:val="0"/>
        <w:numPr>
          <w:ilvl w:val="0"/>
          <w:numId w:val="179"/>
        </w:numPr>
        <w:autoSpaceDE w:val="0"/>
        <w:autoSpaceDN w:val="0"/>
        <w:spacing w:before="240" w:line="276" w:lineRule="auto"/>
        <w:jc w:val="left"/>
        <w:outlineLvl w:val="0"/>
        <w:rPr>
          <w:rFonts w:eastAsia="Times New Roman" w:cs="Times New Roman"/>
          <w:b/>
          <w:bCs/>
          <w:szCs w:val="24"/>
          <w:lang w:val="tr-TR"/>
        </w:rPr>
      </w:pPr>
      <w:bookmarkStart w:id="56" w:name="_Toc136613740"/>
      <w:r w:rsidRPr="00F50C10">
        <w:rPr>
          <w:rFonts w:eastAsia="Times New Roman" w:cs="Times New Roman"/>
          <w:b/>
          <w:bCs/>
          <w:szCs w:val="24"/>
          <w:lang w:val="tr-TR"/>
        </w:rPr>
        <w:t xml:space="preserve">ETİLEN DİKLORÜR VE VİNİL KLORÜR MONOMER ÜRETİMİNE İLİŞKİN MET </w:t>
      </w:r>
      <w:bookmarkEnd w:id="56"/>
    </w:p>
    <w:p w14:paraId="687A42EC" w14:textId="51CC6F36" w:rsidR="00BB704F" w:rsidRPr="00F50C10" w:rsidRDefault="00BB704F" w:rsidP="000B206D">
      <w:pPr>
        <w:widowControl w:val="0"/>
        <w:autoSpaceDE w:val="0"/>
        <w:autoSpaceDN w:val="0"/>
        <w:spacing w:before="240" w:line="276" w:lineRule="auto"/>
        <w:jc w:val="left"/>
        <w:rPr>
          <w:rFonts w:eastAsia="Times New Roman" w:cs="Times New Roman"/>
          <w:szCs w:val="24"/>
          <w:lang w:val="tr-TR"/>
        </w:rPr>
      </w:pPr>
      <w:r w:rsidRPr="00F50C10">
        <w:rPr>
          <w:rFonts w:eastAsia="Times New Roman" w:cs="Times New Roman"/>
          <w:szCs w:val="24"/>
          <w:lang w:val="tr-TR"/>
        </w:rPr>
        <w:t xml:space="preserve">Bu bölümdeki </w:t>
      </w:r>
      <w:r w:rsidR="00866987" w:rsidRPr="00F50C10">
        <w:rPr>
          <w:rFonts w:eastAsia="Times New Roman" w:cs="Times New Roman"/>
          <w:szCs w:val="24"/>
          <w:lang w:val="tr-TR"/>
        </w:rPr>
        <w:t xml:space="preserve">sektörel </w:t>
      </w:r>
      <w:r w:rsidRPr="00F50C10">
        <w:rPr>
          <w:rFonts w:eastAsia="Times New Roman" w:cs="Times New Roman"/>
          <w:szCs w:val="24"/>
          <w:lang w:val="tr-TR"/>
        </w:rPr>
        <w:t>MET, genel MET</w:t>
      </w:r>
      <w:r w:rsidR="00866987" w:rsidRPr="00F50C10">
        <w:rPr>
          <w:rFonts w:eastAsia="Times New Roman" w:cs="Times New Roman"/>
          <w:szCs w:val="24"/>
          <w:lang w:val="tr-TR"/>
        </w:rPr>
        <w:t xml:space="preserve">’e </w:t>
      </w:r>
      <w:r w:rsidRPr="00F50C10">
        <w:rPr>
          <w:rFonts w:eastAsia="Times New Roman" w:cs="Times New Roman"/>
          <w:szCs w:val="24"/>
          <w:lang w:val="tr-TR"/>
        </w:rPr>
        <w:t>ek olarak geçerlidir.</w:t>
      </w:r>
    </w:p>
    <w:p w14:paraId="356655B1"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57" w:name="_Toc136613741"/>
      <w:r w:rsidRPr="00F50C10">
        <w:rPr>
          <w:rFonts w:eastAsia="Times New Roman" w:cs="Times New Roman"/>
          <w:b/>
          <w:szCs w:val="24"/>
          <w:lang w:val="tr-TR"/>
        </w:rPr>
        <w:t xml:space="preserve"> Hava Emisyonları</w:t>
      </w:r>
      <w:bookmarkEnd w:id="57"/>
    </w:p>
    <w:p w14:paraId="31F227BE" w14:textId="77777777" w:rsidR="00BB704F" w:rsidRPr="00F50C10" w:rsidRDefault="00BB704F" w:rsidP="00A654AE">
      <w:pPr>
        <w:keepNext/>
        <w:keepLines/>
        <w:widowControl w:val="0"/>
        <w:numPr>
          <w:ilvl w:val="2"/>
          <w:numId w:val="179"/>
        </w:numPr>
        <w:autoSpaceDE w:val="0"/>
        <w:autoSpaceDN w:val="0"/>
        <w:spacing w:before="240" w:after="120" w:line="276" w:lineRule="auto"/>
        <w:jc w:val="left"/>
        <w:outlineLvl w:val="2"/>
        <w:rPr>
          <w:rFonts w:eastAsia="Times New Roman" w:cs="Times New Roman"/>
          <w:b/>
          <w:szCs w:val="24"/>
          <w:lang w:val="tr-TR"/>
        </w:rPr>
      </w:pPr>
      <w:bookmarkStart w:id="58" w:name="_Toc136613742"/>
      <w:r w:rsidRPr="00F50C10">
        <w:rPr>
          <w:rFonts w:eastAsia="Times New Roman" w:cs="Times New Roman"/>
          <w:b/>
          <w:szCs w:val="24"/>
          <w:lang w:val="tr-TR"/>
        </w:rPr>
        <w:t>EDC parçalama fırınından hava emisyonlarına ilişkin MET-İES</w:t>
      </w:r>
      <w:bookmarkEnd w:id="58"/>
    </w:p>
    <w:p w14:paraId="31EB5F98" w14:textId="278E2E2A" w:rsidR="00BB704F" w:rsidRPr="00F50C10" w:rsidRDefault="00634117" w:rsidP="000B206D">
      <w:pPr>
        <w:spacing w:before="240" w:line="276" w:lineRule="auto"/>
        <w:rPr>
          <w:rFonts w:eastAsia="Calibri" w:cs="Times New Roman"/>
          <w:b/>
          <w:iCs/>
          <w:color w:val="000000"/>
          <w:szCs w:val="24"/>
        </w:rPr>
      </w:pPr>
      <w:r w:rsidRPr="00F50C10">
        <w:rPr>
          <w:rFonts w:eastAsia="Calibri" w:cs="Times New Roman"/>
          <w:b/>
          <w:iCs/>
          <w:color w:val="000000"/>
          <w:szCs w:val="24"/>
        </w:rPr>
        <w:t xml:space="preserve">Tablo 10.1. </w:t>
      </w:r>
      <w:r w:rsidR="00BB704F" w:rsidRPr="00F50C10">
        <w:rPr>
          <w:rFonts w:eastAsia="Calibri" w:cs="Times New Roman"/>
          <w:b/>
          <w:iCs/>
          <w:color w:val="000000"/>
          <w:szCs w:val="24"/>
        </w:rPr>
        <w:t>Bir EDC parçalama fırınından havaya NO</w:t>
      </w:r>
      <w:r w:rsidR="00BB704F" w:rsidRPr="00F50C10">
        <w:rPr>
          <w:rFonts w:eastAsia="Calibri" w:cs="Times New Roman"/>
          <w:b/>
          <w:iCs/>
          <w:color w:val="000000"/>
          <w:szCs w:val="24"/>
          <w:vertAlign w:val="subscript"/>
        </w:rPr>
        <w:t>X</w:t>
      </w:r>
      <w:r w:rsidR="00BB704F" w:rsidRPr="00F50C10">
        <w:rPr>
          <w:rFonts w:eastAsia="Calibri" w:cs="Times New Roman"/>
          <w:b/>
          <w:iCs/>
          <w:color w:val="000000"/>
          <w:szCs w:val="24"/>
        </w:rPr>
        <w:t xml:space="preserve"> emisyonları için MET İES’ler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6"/>
        <w:gridCol w:w="7051"/>
      </w:tblGrid>
      <w:tr w:rsidR="00BB704F" w:rsidRPr="00F50C10" w14:paraId="6CA23066" w14:textId="77777777" w:rsidTr="00BB704F">
        <w:trPr>
          <w:trHeight w:val="688"/>
        </w:trPr>
        <w:tc>
          <w:tcPr>
            <w:tcW w:w="851" w:type="pct"/>
          </w:tcPr>
          <w:p w14:paraId="2DBF0D35" w14:textId="77777777" w:rsidR="00BB704F" w:rsidRPr="00F50C10" w:rsidRDefault="00BB704F" w:rsidP="000B206D">
            <w:pPr>
              <w:spacing w:before="9" w:line="276" w:lineRule="auto"/>
              <w:ind w:left="108" w:right="108"/>
              <w:jc w:val="center"/>
              <w:rPr>
                <w:rFonts w:eastAsia="Times New Roman" w:cs="Times New Roman"/>
                <w:b/>
                <w:szCs w:val="24"/>
                <w:lang w:val="tr-TR"/>
              </w:rPr>
            </w:pPr>
          </w:p>
          <w:p w14:paraId="156A6C92"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Parametre</w:t>
            </w:r>
          </w:p>
        </w:tc>
        <w:tc>
          <w:tcPr>
            <w:tcW w:w="4149" w:type="pct"/>
          </w:tcPr>
          <w:p w14:paraId="2ED3C700"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MET-İES’ler (</w:t>
            </w:r>
            <w:r w:rsidRPr="00F50C10">
              <w:rPr>
                <w:rFonts w:eastAsia="Times New Roman" w:cs="Times New Roman"/>
                <w:b/>
                <w:szCs w:val="24"/>
                <w:vertAlign w:val="superscript"/>
                <w:lang w:val="tr-TR" w:bidi="tr-TR"/>
              </w:rPr>
              <w:t>1</w:t>
            </w:r>
            <w:r w:rsidRPr="00F50C10">
              <w:rPr>
                <w:rFonts w:eastAsia="Times New Roman" w:cs="Times New Roman"/>
                <w:b/>
                <w:szCs w:val="24"/>
                <w:lang w:val="tr-TR" w:bidi="tr-TR"/>
              </w:rPr>
              <w:t>) (</w:t>
            </w:r>
            <w:r w:rsidRPr="00F50C10">
              <w:rPr>
                <w:rFonts w:eastAsia="Times New Roman" w:cs="Times New Roman"/>
                <w:b/>
                <w:szCs w:val="24"/>
                <w:vertAlign w:val="superscript"/>
                <w:lang w:val="tr-TR" w:bidi="tr-TR"/>
              </w:rPr>
              <w:t>2</w:t>
            </w:r>
            <w:r w:rsidRPr="00F50C10">
              <w:rPr>
                <w:rFonts w:eastAsia="Times New Roman" w:cs="Times New Roman"/>
                <w:b/>
                <w:szCs w:val="24"/>
                <w:lang w:val="tr-TR" w:bidi="tr-TR"/>
              </w:rPr>
              <w:t>) (</w:t>
            </w:r>
            <w:r w:rsidRPr="00F50C10">
              <w:rPr>
                <w:rFonts w:eastAsia="Times New Roman" w:cs="Times New Roman"/>
                <w:b/>
                <w:szCs w:val="24"/>
                <w:vertAlign w:val="superscript"/>
                <w:lang w:val="tr-TR" w:bidi="tr-TR"/>
              </w:rPr>
              <w:t>3</w:t>
            </w:r>
            <w:r w:rsidRPr="00F50C10">
              <w:rPr>
                <w:rFonts w:eastAsia="Times New Roman" w:cs="Times New Roman"/>
                <w:b/>
                <w:szCs w:val="24"/>
                <w:lang w:val="tr-TR" w:bidi="tr-TR"/>
              </w:rPr>
              <w:t>)</w:t>
            </w:r>
          </w:p>
          <w:p w14:paraId="0D861A0E" w14:textId="77777777" w:rsidR="00BB704F" w:rsidRPr="00F50C10" w:rsidRDefault="00BB704F" w:rsidP="000B206D">
            <w:pPr>
              <w:spacing w:before="4"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(günlük ortalama veya örnekleme periyodu boyunca ortalama) (mg/Nm</w:t>
            </w:r>
            <w:r w:rsidRPr="00F50C10">
              <w:rPr>
                <w:rFonts w:eastAsia="Times New Roman" w:cs="Times New Roman"/>
                <w:b/>
                <w:szCs w:val="24"/>
                <w:vertAlign w:val="superscript"/>
                <w:lang w:val="tr-TR" w:bidi="tr-TR"/>
              </w:rPr>
              <w:t>3</w:t>
            </w:r>
            <w:r w:rsidRPr="00F50C10">
              <w:rPr>
                <w:rFonts w:eastAsia="Times New Roman" w:cs="Times New Roman"/>
                <w:b/>
                <w:szCs w:val="24"/>
                <w:lang w:val="tr-TR" w:bidi="tr-TR"/>
              </w:rPr>
              <w:t>, hacmen % 3 O</w:t>
            </w:r>
            <w:r w:rsidRPr="00F50C10">
              <w:rPr>
                <w:rFonts w:eastAsia="Times New Roman" w:cs="Times New Roman"/>
                <w:b/>
                <w:szCs w:val="24"/>
                <w:vertAlign w:val="subscript"/>
                <w:lang w:val="tr-TR" w:bidi="tr-TR"/>
              </w:rPr>
              <w:t>2</w:t>
            </w:r>
            <w:r w:rsidRPr="00F50C10">
              <w:rPr>
                <w:rFonts w:eastAsia="Times New Roman" w:cs="Times New Roman"/>
                <w:b/>
                <w:szCs w:val="24"/>
                <w:lang w:val="tr-TR" w:bidi="tr-TR"/>
              </w:rPr>
              <w:t>'de )</w:t>
            </w:r>
          </w:p>
        </w:tc>
      </w:tr>
      <w:tr w:rsidR="00BB704F" w:rsidRPr="00F50C10" w14:paraId="17949DF7" w14:textId="77777777" w:rsidTr="00BB704F">
        <w:trPr>
          <w:trHeight w:val="230"/>
        </w:trPr>
        <w:tc>
          <w:tcPr>
            <w:tcW w:w="851" w:type="pct"/>
          </w:tcPr>
          <w:p w14:paraId="2527A46E"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NOx</w:t>
            </w:r>
          </w:p>
        </w:tc>
        <w:tc>
          <w:tcPr>
            <w:tcW w:w="4149" w:type="pct"/>
          </w:tcPr>
          <w:p w14:paraId="7CDBCEAC"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50–100</w:t>
            </w:r>
          </w:p>
        </w:tc>
      </w:tr>
      <w:tr w:rsidR="00BB704F" w:rsidRPr="00F50C10" w14:paraId="536CB55A" w14:textId="77777777" w:rsidTr="00BB704F">
        <w:trPr>
          <w:trHeight w:val="1037"/>
        </w:trPr>
        <w:tc>
          <w:tcPr>
            <w:tcW w:w="5000" w:type="pct"/>
            <w:gridSpan w:val="2"/>
          </w:tcPr>
          <w:p w14:paraId="6160A74C" w14:textId="0B8C6EA1" w:rsidR="00634117" w:rsidRPr="00F50C10" w:rsidRDefault="00634117" w:rsidP="000B206D">
            <w:pPr>
              <w:numPr>
                <w:ilvl w:val="0"/>
                <w:numId w:val="16"/>
              </w:numPr>
              <w:tabs>
                <w:tab w:val="left" w:pos="346"/>
              </w:tabs>
              <w:spacing w:line="276" w:lineRule="auto"/>
              <w:jc w:val="left"/>
              <w:rPr>
                <w:rFonts w:eastAsia="Times New Roman" w:cs="Times New Roman"/>
                <w:i/>
                <w:iCs/>
                <w:szCs w:val="24"/>
                <w:lang w:val="tr-TR"/>
              </w:rPr>
            </w:pPr>
            <w:r w:rsidRPr="00F50C10">
              <w:rPr>
                <w:rFonts w:eastAsia="Times New Roman" w:cs="Times New Roman"/>
                <w:i/>
                <w:iCs/>
                <w:szCs w:val="24"/>
                <w:lang w:val="tr-TR"/>
              </w:rPr>
              <w:t>İki veya daha fazla fırının baca gazlarının ortak bir bacadan tahliye edildiği durumlarda, MET-İES bacadan gelen birleşik tahliye için geçerlidir.</w:t>
            </w:r>
          </w:p>
          <w:p w14:paraId="039F1E7D" w14:textId="77777777" w:rsidR="00BB704F" w:rsidRPr="00F50C10" w:rsidRDefault="00BB704F" w:rsidP="000B206D">
            <w:pPr>
              <w:numPr>
                <w:ilvl w:val="0"/>
                <w:numId w:val="16"/>
              </w:numPr>
              <w:tabs>
                <w:tab w:val="left" w:pos="334"/>
              </w:tabs>
              <w:spacing w:line="276" w:lineRule="auto"/>
              <w:ind w:left="333" w:hanging="227"/>
              <w:jc w:val="left"/>
              <w:rPr>
                <w:rFonts w:eastAsia="Times New Roman" w:cs="Times New Roman"/>
                <w:i/>
                <w:iCs/>
                <w:szCs w:val="24"/>
                <w:lang w:val="tr-TR"/>
              </w:rPr>
            </w:pPr>
            <w:r w:rsidRPr="00F50C10">
              <w:rPr>
                <w:rFonts w:eastAsia="Times New Roman" w:cs="Times New Roman"/>
                <w:i/>
                <w:iCs/>
                <w:szCs w:val="24"/>
                <w:lang w:val="tr-TR" w:bidi="tr-TR"/>
              </w:rPr>
              <w:t>MET-İES'ler, kok giderme işlemleri için geçerli değildir.</w:t>
            </w:r>
          </w:p>
          <w:p w14:paraId="0A6157A9" w14:textId="77777777" w:rsidR="00BB704F" w:rsidRPr="00F50C10" w:rsidRDefault="00BB704F" w:rsidP="000B206D">
            <w:pPr>
              <w:numPr>
                <w:ilvl w:val="0"/>
                <w:numId w:val="16"/>
              </w:numPr>
              <w:tabs>
                <w:tab w:val="left" w:pos="341"/>
              </w:tabs>
              <w:spacing w:before="14" w:line="276" w:lineRule="auto"/>
              <w:ind w:left="107" w:right="99" w:firstLine="0"/>
              <w:jc w:val="left"/>
              <w:rPr>
                <w:rFonts w:eastAsia="Times New Roman" w:cs="Times New Roman"/>
                <w:szCs w:val="24"/>
                <w:lang w:val="tr-TR"/>
              </w:rPr>
            </w:pPr>
            <w:r w:rsidRPr="00F50C10">
              <w:rPr>
                <w:rFonts w:eastAsia="Times New Roman" w:cs="Times New Roman"/>
                <w:i/>
                <w:iCs/>
                <w:szCs w:val="24"/>
                <w:lang w:val="tr-TR" w:bidi="tr-TR"/>
              </w:rPr>
              <w:t>CO için geçerli herhangi bir MET-İES yoktur. Gösterge olarak, genellikle günlük ortalama veya örnekleme süresi boyunca ortalama olarak ifade edilen CO emisyon seviyesi 5–35 mg/Nm</w:t>
            </w:r>
            <w:r w:rsidRPr="00F50C10">
              <w:rPr>
                <w:rFonts w:eastAsia="Times New Roman" w:cs="Times New Roman"/>
                <w:i/>
                <w:iCs/>
                <w:szCs w:val="24"/>
                <w:vertAlign w:val="superscript"/>
                <w:lang w:val="tr-TR" w:bidi="tr-TR"/>
              </w:rPr>
              <w:t>3</w:t>
            </w:r>
            <w:r w:rsidRPr="00F50C10">
              <w:rPr>
                <w:rFonts w:eastAsia="Times New Roman" w:cs="Times New Roman"/>
                <w:i/>
                <w:iCs/>
                <w:szCs w:val="24"/>
                <w:lang w:val="tr-TR" w:bidi="tr-TR"/>
              </w:rPr>
              <w:t xml:space="preserve"> olacaktır.</w:t>
            </w:r>
          </w:p>
        </w:tc>
      </w:tr>
    </w:tbl>
    <w:p w14:paraId="2985D38A" w14:textId="77777777" w:rsidR="00BB704F" w:rsidRPr="00F50C10" w:rsidRDefault="00BB704F" w:rsidP="000B206D">
      <w:pPr>
        <w:widowControl w:val="0"/>
        <w:autoSpaceDE w:val="0"/>
        <w:autoSpaceDN w:val="0"/>
        <w:spacing w:before="240" w:line="276" w:lineRule="auto"/>
        <w:jc w:val="left"/>
        <w:rPr>
          <w:rFonts w:eastAsia="Times New Roman" w:cs="Times New Roman"/>
          <w:szCs w:val="24"/>
          <w:lang w:val="tr-TR"/>
        </w:rPr>
      </w:pPr>
      <w:r w:rsidRPr="00F50C10">
        <w:rPr>
          <w:rFonts w:eastAsia="Times New Roman" w:cs="Times New Roman"/>
          <w:szCs w:val="24"/>
          <w:lang w:val="tr-TR"/>
        </w:rPr>
        <w:t>İlgili izleme MET 1 kapsamındadır.</w:t>
      </w:r>
    </w:p>
    <w:p w14:paraId="0E1111AE" w14:textId="1258234E" w:rsidR="00BB704F" w:rsidRPr="00F50C10" w:rsidRDefault="00BB704F" w:rsidP="00A654AE">
      <w:pPr>
        <w:keepNext/>
        <w:keepLines/>
        <w:widowControl w:val="0"/>
        <w:numPr>
          <w:ilvl w:val="2"/>
          <w:numId w:val="179"/>
        </w:numPr>
        <w:autoSpaceDE w:val="0"/>
        <w:autoSpaceDN w:val="0"/>
        <w:spacing w:before="240" w:after="120" w:line="276" w:lineRule="auto"/>
        <w:jc w:val="left"/>
        <w:outlineLvl w:val="2"/>
        <w:rPr>
          <w:rFonts w:eastAsia="Times New Roman" w:cs="Times New Roman"/>
          <w:b/>
          <w:szCs w:val="24"/>
          <w:lang w:val="tr-TR"/>
        </w:rPr>
      </w:pPr>
      <w:bookmarkStart w:id="59" w:name="_Toc136613743"/>
      <w:r w:rsidRPr="00F50C10">
        <w:rPr>
          <w:rFonts w:eastAsia="Times New Roman" w:cs="Times New Roman"/>
          <w:b/>
          <w:szCs w:val="24"/>
          <w:lang w:val="tr-TR"/>
        </w:rPr>
        <w:t>Diğer Kaynaklardan Havaya</w:t>
      </w:r>
      <w:bookmarkEnd w:id="59"/>
      <w:r w:rsidR="00634117" w:rsidRPr="00F50C10">
        <w:rPr>
          <w:rFonts w:cs="Times New Roman"/>
          <w:szCs w:val="24"/>
        </w:rPr>
        <w:t xml:space="preserve"> </w:t>
      </w:r>
      <w:r w:rsidR="00634117" w:rsidRPr="00F50C10">
        <w:rPr>
          <w:rFonts w:eastAsia="Times New Roman" w:cs="Times New Roman"/>
          <w:b/>
          <w:szCs w:val="24"/>
          <w:lang w:val="tr-TR"/>
        </w:rPr>
        <w:t>salınan emisyonlar için teknikler ve MET-İES</w:t>
      </w:r>
    </w:p>
    <w:p w14:paraId="3FDFEAB2" w14:textId="06158929" w:rsidR="00BB704F" w:rsidRPr="00F50C10" w:rsidRDefault="00BB704F" w:rsidP="000B206D">
      <w:pPr>
        <w:widowControl w:val="0"/>
        <w:autoSpaceDE w:val="0"/>
        <w:autoSpaceDN w:val="0"/>
        <w:spacing w:before="240" w:line="276" w:lineRule="auto"/>
        <w:jc w:val="left"/>
        <w:rPr>
          <w:rFonts w:eastAsia="Times New Roman" w:cs="Times New Roman"/>
          <w:b/>
          <w:bCs/>
          <w:szCs w:val="24"/>
          <w:lang w:val="tr-TR"/>
        </w:rPr>
      </w:pPr>
      <w:r w:rsidRPr="00F50C10">
        <w:rPr>
          <w:rFonts w:eastAsia="Times New Roman" w:cs="Times New Roman"/>
          <w:b/>
          <w:bCs/>
          <w:szCs w:val="24"/>
          <w:lang w:val="tr-TR"/>
        </w:rPr>
        <w:t xml:space="preserve">MET 75: </w:t>
      </w:r>
      <w:r w:rsidRPr="00F50C10">
        <w:rPr>
          <w:rFonts w:eastAsia="Times New Roman" w:cs="Times New Roman"/>
          <w:szCs w:val="24"/>
          <w:lang w:val="tr-TR"/>
        </w:rPr>
        <w:t>Nihai atık gaz arıtımına gönderilen organik yükü azaltmak ve hammadde tüketimini azaltmak için, aşağıda verilen tüm teknikler</w:t>
      </w:r>
      <w:r w:rsidR="00C620EA" w:rsidRPr="00F50C10">
        <w:rPr>
          <w:rFonts w:eastAsia="Times New Roman" w:cs="Times New Roman"/>
          <w:szCs w:val="24"/>
          <w:lang w:val="tr-TR"/>
        </w:rPr>
        <w:t xml:space="preserve"> kullanılır</w:t>
      </w:r>
      <w:r w:rsidRPr="00F50C10">
        <w:rPr>
          <w:rFonts w:eastAsia="Times New Roman" w:cs="Times New Roman"/>
          <w:szCs w:val="24"/>
          <w:lang w:val="tr-TR"/>
        </w:rPr>
        <w: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560"/>
        <w:gridCol w:w="3478"/>
        <w:gridCol w:w="2114"/>
      </w:tblGrid>
      <w:tr w:rsidR="00BB704F" w:rsidRPr="00F50C10" w14:paraId="5856722B" w14:textId="77777777" w:rsidTr="00BB704F">
        <w:trPr>
          <w:trHeight w:val="230"/>
          <w:tblHeader/>
        </w:trPr>
        <w:tc>
          <w:tcPr>
            <w:tcW w:w="190" w:type="pct"/>
            <w:tcBorders>
              <w:right w:val="single" w:sz="4" w:space="0" w:color="auto"/>
            </w:tcBorders>
          </w:tcPr>
          <w:p w14:paraId="0C3B8822"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511" w:type="pct"/>
            <w:tcBorders>
              <w:left w:val="single" w:sz="4" w:space="0" w:color="auto"/>
            </w:tcBorders>
          </w:tcPr>
          <w:p w14:paraId="62E22F2E" w14:textId="77777777" w:rsidR="00BB704F" w:rsidRPr="00F50C10" w:rsidRDefault="00BB704F" w:rsidP="000B206D">
            <w:pPr>
              <w:spacing w:line="276" w:lineRule="auto"/>
              <w:ind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2051" w:type="pct"/>
          </w:tcPr>
          <w:p w14:paraId="1A38E5B5"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48" w:type="pct"/>
          </w:tcPr>
          <w:p w14:paraId="13D11D1C" w14:textId="77777777" w:rsidR="00BB704F" w:rsidRPr="00F50C10" w:rsidRDefault="00BB704F" w:rsidP="000B206D">
            <w:pPr>
              <w:spacing w:line="276" w:lineRule="auto"/>
              <w:ind w:left="108" w:right="108"/>
              <w:jc w:val="left"/>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0C296C13" w14:textId="77777777" w:rsidTr="00BB704F">
        <w:trPr>
          <w:trHeight w:val="230"/>
        </w:trPr>
        <w:tc>
          <w:tcPr>
            <w:tcW w:w="5000" w:type="pct"/>
            <w:gridSpan w:val="4"/>
          </w:tcPr>
          <w:p w14:paraId="0766C1E7" w14:textId="77777777" w:rsidR="00BB704F" w:rsidRPr="00F50C10" w:rsidRDefault="00BB704F" w:rsidP="000B206D">
            <w:pPr>
              <w:spacing w:line="276" w:lineRule="auto"/>
              <w:ind w:left="108" w:right="108"/>
              <w:rPr>
                <w:rFonts w:eastAsia="Times New Roman" w:cs="Times New Roman"/>
                <w:b/>
                <w:i/>
                <w:szCs w:val="24"/>
                <w:lang w:val="tr-TR"/>
              </w:rPr>
            </w:pPr>
            <w:r w:rsidRPr="00F50C10">
              <w:rPr>
                <w:rFonts w:eastAsia="Times New Roman" w:cs="Times New Roman"/>
                <w:b/>
                <w:i/>
                <w:szCs w:val="24"/>
                <w:lang w:val="tr-TR" w:bidi="tr-TR"/>
              </w:rPr>
              <w:t>Prosese entegre teknikler</w:t>
            </w:r>
          </w:p>
        </w:tc>
      </w:tr>
      <w:tr w:rsidR="00BB704F" w:rsidRPr="00F50C10" w14:paraId="76101A47" w14:textId="77777777" w:rsidTr="00BB704F">
        <w:trPr>
          <w:trHeight w:val="1152"/>
        </w:trPr>
        <w:tc>
          <w:tcPr>
            <w:tcW w:w="190" w:type="pct"/>
            <w:vAlign w:val="center"/>
          </w:tcPr>
          <w:p w14:paraId="2C23CE6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511" w:type="pct"/>
            <w:vAlign w:val="center"/>
          </w:tcPr>
          <w:p w14:paraId="74B0F89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Besleme kalitesinin kontrolü</w:t>
            </w:r>
          </w:p>
        </w:tc>
        <w:tc>
          <w:tcPr>
            <w:tcW w:w="2051" w:type="pct"/>
            <w:vAlign w:val="center"/>
          </w:tcPr>
          <w:p w14:paraId="443C954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Kalıntı oluşumunu en aza indirmek için beslemenin kalitesini kontrol edin (örn. etilen; klorun brom içeriği; hidrojen klorürün asetilen içeriği)</w:t>
            </w:r>
          </w:p>
        </w:tc>
        <w:tc>
          <w:tcPr>
            <w:tcW w:w="1248" w:type="pct"/>
            <w:vAlign w:val="center"/>
          </w:tcPr>
          <w:p w14:paraId="6337FDC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2B927A2C" w14:textId="77777777" w:rsidTr="00BB704F">
        <w:trPr>
          <w:trHeight w:val="1149"/>
        </w:trPr>
        <w:tc>
          <w:tcPr>
            <w:tcW w:w="190" w:type="pct"/>
            <w:vAlign w:val="center"/>
          </w:tcPr>
          <w:p w14:paraId="62CD053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3562" w:type="pct"/>
            <w:gridSpan w:val="2"/>
            <w:vAlign w:val="center"/>
          </w:tcPr>
          <w:p w14:paraId="6E4DC65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Oksiklorlama için hava yerine oksijen kullanımı</w:t>
            </w:r>
          </w:p>
        </w:tc>
        <w:tc>
          <w:tcPr>
            <w:tcW w:w="1248" w:type="pct"/>
            <w:vAlign w:val="center"/>
          </w:tcPr>
          <w:p w14:paraId="38BF4D74" w14:textId="77777777" w:rsidR="00BB704F" w:rsidRPr="00F50C10" w:rsidRDefault="00BB704F" w:rsidP="000B206D">
            <w:pPr>
              <w:tabs>
                <w:tab w:val="left" w:pos="1607"/>
              </w:tabs>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yeni oksiklorinasyon tesislerinde veya majör oksiklorinasyon tesisi iyileştirmeleri</w:t>
            </w:r>
          </w:p>
          <w:p w14:paraId="1E0B1E34" w14:textId="77777777" w:rsidR="00BB704F" w:rsidRPr="00F50C10" w:rsidRDefault="00BB704F" w:rsidP="000B206D">
            <w:pPr>
              <w:tabs>
                <w:tab w:val="left" w:pos="1607"/>
              </w:tabs>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için geçerlidir</w:t>
            </w:r>
          </w:p>
        </w:tc>
      </w:tr>
      <w:tr w:rsidR="00BB704F" w:rsidRPr="00F50C10" w14:paraId="320B1EDD" w14:textId="77777777" w:rsidTr="00BB704F">
        <w:trPr>
          <w:trHeight w:val="229"/>
        </w:trPr>
        <w:tc>
          <w:tcPr>
            <w:tcW w:w="5000" w:type="pct"/>
            <w:gridSpan w:val="4"/>
            <w:vAlign w:val="center"/>
          </w:tcPr>
          <w:p w14:paraId="2D65B630" w14:textId="77777777" w:rsidR="00BB704F" w:rsidRPr="00F50C10" w:rsidRDefault="00BB704F" w:rsidP="000B206D">
            <w:pPr>
              <w:spacing w:line="276" w:lineRule="auto"/>
              <w:ind w:left="108" w:right="108"/>
              <w:rPr>
                <w:rFonts w:eastAsia="Times New Roman" w:cs="Times New Roman"/>
                <w:b/>
                <w:i/>
                <w:szCs w:val="24"/>
                <w:lang w:val="tr-TR"/>
              </w:rPr>
            </w:pPr>
            <w:r w:rsidRPr="00F50C10">
              <w:rPr>
                <w:rFonts w:eastAsia="Times New Roman" w:cs="Times New Roman"/>
                <w:b/>
                <w:i/>
                <w:szCs w:val="24"/>
                <w:lang w:val="tr-TR" w:bidi="tr-TR"/>
              </w:rPr>
              <w:t>Organik materyali geri kazanma teknikleri</w:t>
            </w:r>
          </w:p>
        </w:tc>
      </w:tr>
      <w:tr w:rsidR="00BB704F" w:rsidRPr="00F50C10" w14:paraId="0649CF86" w14:textId="77777777" w:rsidTr="00BB704F">
        <w:trPr>
          <w:trHeight w:val="1559"/>
        </w:trPr>
        <w:tc>
          <w:tcPr>
            <w:tcW w:w="190" w:type="pct"/>
            <w:vAlign w:val="center"/>
          </w:tcPr>
          <w:p w14:paraId="6FABCC7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511" w:type="pct"/>
            <w:vAlign w:val="center"/>
          </w:tcPr>
          <w:p w14:paraId="2CCEE1D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Soğutulmuş su veya soğutucu akışkanlar kullanarak yoğuşturma</w:t>
            </w:r>
          </w:p>
        </w:tc>
        <w:tc>
          <w:tcPr>
            <w:tcW w:w="2051" w:type="pct"/>
            <w:vAlign w:val="center"/>
          </w:tcPr>
          <w:p w14:paraId="17B9F5F4" w14:textId="030F0F8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Nihai arıtmaya göndermeden önce ayrı havalandırma gazı akışlarından organik bileşikleri geri kazanmak için soğutulmuş su veya amonyak veya propilen gibi soğutucularla </w:t>
            </w:r>
            <w:r w:rsidR="00B160B5" w:rsidRPr="00F50C10">
              <w:rPr>
                <w:rFonts w:eastAsia="Times New Roman" w:cs="Times New Roman"/>
                <w:szCs w:val="24"/>
                <w:lang w:val="tr-TR" w:bidi="tr-TR"/>
              </w:rPr>
              <w:t>yoğuşturma</w:t>
            </w:r>
            <w:r w:rsidRPr="00F50C10">
              <w:rPr>
                <w:rFonts w:eastAsia="Times New Roman" w:cs="Times New Roman"/>
                <w:szCs w:val="24"/>
                <w:lang w:val="tr-TR" w:bidi="tr-TR"/>
              </w:rPr>
              <w:t xml:space="preserve"> (bkz. </w:t>
            </w:r>
            <w:hyperlink w:anchor="_bookmark800">
              <w:r w:rsidRPr="00F50C10">
                <w:rPr>
                  <w:rFonts w:eastAsia="Times New Roman" w:cs="Times New Roman"/>
                  <w:szCs w:val="24"/>
                  <w:lang w:val="tr-TR" w:bidi="tr-TR"/>
                </w:rPr>
                <w:t>12.1.</w:t>
              </w:r>
            </w:hyperlink>
            <w:r w:rsidRPr="00F50C10">
              <w:rPr>
                <w:rFonts w:eastAsia="Times New Roman" w:cs="Times New Roman"/>
                <w:szCs w:val="24"/>
                <w:lang w:val="tr-TR" w:bidi="tr-TR"/>
              </w:rPr>
              <w:t>) kullanımı</w:t>
            </w:r>
          </w:p>
        </w:tc>
        <w:tc>
          <w:tcPr>
            <w:tcW w:w="1248" w:type="pct"/>
            <w:vAlign w:val="center"/>
          </w:tcPr>
          <w:p w14:paraId="541D621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34D643A8" w14:textId="2A148787" w:rsidR="00BB704F" w:rsidRPr="00F50C10" w:rsidRDefault="00BB704F" w:rsidP="000B206D">
      <w:pPr>
        <w:widowControl w:val="0"/>
        <w:autoSpaceDE w:val="0"/>
        <w:autoSpaceDN w:val="0"/>
        <w:spacing w:before="240" w:line="276" w:lineRule="auto"/>
        <w:rPr>
          <w:rFonts w:eastAsia="Times New Roman" w:cs="Times New Roman"/>
          <w:szCs w:val="24"/>
          <w:lang w:val="tr-TR" w:bidi="tr-TR"/>
        </w:rPr>
      </w:pPr>
      <w:r w:rsidRPr="00F50C10">
        <w:rPr>
          <w:rFonts w:eastAsia="Times New Roman" w:cs="Times New Roman"/>
          <w:b/>
          <w:bCs/>
          <w:szCs w:val="24"/>
          <w:lang w:val="tr-TR" w:bidi="tr-TR"/>
        </w:rPr>
        <w:t xml:space="preserve">MET 76: </w:t>
      </w:r>
      <w:r w:rsidRPr="00F50C10">
        <w:rPr>
          <w:rFonts w:eastAsia="Times New Roman" w:cs="Times New Roman"/>
          <w:szCs w:val="24"/>
          <w:lang w:val="tr-TR" w:bidi="tr-TR"/>
        </w:rPr>
        <w:t>Organik bileşiklerin (halojenli bileşikler dahil), HCl’nin ve Cl</w:t>
      </w:r>
      <w:r w:rsidRPr="00F50C10">
        <w:rPr>
          <w:rFonts w:eastAsia="Times New Roman" w:cs="Times New Roman"/>
          <w:szCs w:val="24"/>
          <w:vertAlign w:val="subscript"/>
          <w:lang w:val="tr-TR" w:bidi="tr-TR"/>
        </w:rPr>
        <w:t>2</w:t>
      </w:r>
      <w:r w:rsidRPr="00F50C10">
        <w:rPr>
          <w:rFonts w:eastAsia="Times New Roman" w:cs="Times New Roman"/>
          <w:szCs w:val="24"/>
          <w:lang w:val="tr-TR" w:bidi="tr-TR"/>
        </w:rPr>
        <w:t xml:space="preserve">'nin hava emisyonlarını azaltmak için, EDC ve/veya VCM üretiminden kaynaklanan kombine atık gaz akışları bir termal oksitleyici ve ardından iki aşamalı </w:t>
      </w:r>
      <w:r w:rsidR="00B16387" w:rsidRPr="00F50C10">
        <w:rPr>
          <w:rFonts w:eastAsia="Times New Roman" w:cs="Times New Roman"/>
          <w:szCs w:val="24"/>
          <w:lang w:val="tr-TR" w:bidi="tr-TR"/>
        </w:rPr>
        <w:t>ıslak yıkama</w:t>
      </w:r>
      <w:r w:rsidRPr="00F50C10">
        <w:rPr>
          <w:rFonts w:eastAsia="Times New Roman" w:cs="Times New Roman"/>
          <w:szCs w:val="24"/>
          <w:lang w:val="tr-TR" w:bidi="tr-TR"/>
        </w:rPr>
        <w:t xml:space="preserve"> kullanarak arıt</w:t>
      </w:r>
      <w:r w:rsidR="00C620EA" w:rsidRPr="00F50C10">
        <w:rPr>
          <w:rFonts w:eastAsia="Times New Roman" w:cs="Times New Roman"/>
          <w:szCs w:val="24"/>
          <w:lang w:val="tr-TR" w:bidi="tr-TR"/>
        </w:rPr>
        <w:t>ıl</w:t>
      </w:r>
      <w:r w:rsidRPr="00F50C10">
        <w:rPr>
          <w:rFonts w:eastAsia="Times New Roman" w:cs="Times New Roman"/>
          <w:szCs w:val="24"/>
          <w:lang w:val="tr-TR" w:bidi="tr-TR"/>
        </w:rPr>
        <w:t>ır.</w:t>
      </w:r>
    </w:p>
    <w:p w14:paraId="46321E92" w14:textId="1172058D" w:rsidR="00BB704F" w:rsidRPr="00F50C10" w:rsidRDefault="00BB704F" w:rsidP="000B206D">
      <w:pPr>
        <w:widowControl w:val="0"/>
        <w:autoSpaceDE w:val="0"/>
        <w:autoSpaceDN w:val="0"/>
        <w:spacing w:before="240" w:line="276" w:lineRule="auto"/>
        <w:rPr>
          <w:rFonts w:eastAsia="Times New Roman" w:cs="Times New Roman"/>
          <w:szCs w:val="24"/>
          <w:lang w:val="tr-TR" w:bidi="tr-TR"/>
        </w:rPr>
      </w:pPr>
      <w:r w:rsidRPr="00F50C10">
        <w:rPr>
          <w:rFonts w:eastAsia="Times New Roman" w:cs="Times New Roman"/>
          <w:szCs w:val="24"/>
          <w:lang w:val="tr-TR" w:bidi="tr-TR"/>
        </w:rPr>
        <w:t>Termal oksitleme, sıvı atık yakma tesisinde gerçekleştirilebilir. Bu durumda, oksidasyon sıcaklığı, PCDD/F'nin de novo sentezini önlemek için egzoz gazlarının daha sonra hızlı bir şekilde soğutulmasıyla birlikte, minimum iki saniyelik bir kalış süresi ile 1100 °C'yi aşar.</w:t>
      </w:r>
    </w:p>
    <w:p w14:paraId="0BCBA3F4" w14:textId="5F0B5376" w:rsidR="00BB704F" w:rsidRPr="00F50C10" w:rsidRDefault="00BB704F" w:rsidP="000B206D">
      <w:pPr>
        <w:widowControl w:val="0"/>
        <w:autoSpaceDE w:val="0"/>
        <w:autoSpaceDN w:val="0"/>
        <w:spacing w:before="240" w:line="276" w:lineRule="auto"/>
        <w:rPr>
          <w:rFonts w:eastAsia="Times New Roman" w:cs="Times New Roman"/>
          <w:szCs w:val="24"/>
          <w:lang w:val="tr-TR" w:bidi="tr-TR"/>
        </w:rPr>
      </w:pPr>
      <w:r w:rsidRPr="00F50C10">
        <w:rPr>
          <w:rFonts w:eastAsia="Times New Roman" w:cs="Times New Roman"/>
          <w:szCs w:val="24"/>
          <w:lang w:val="tr-TR" w:bidi="tr-TR"/>
        </w:rPr>
        <w:t xml:space="preserve">Yıkama işlemi iki aşamada gerçekleştirilir: Su ile </w:t>
      </w:r>
      <w:r w:rsidR="00B16387" w:rsidRPr="00F50C10">
        <w:rPr>
          <w:rFonts w:eastAsia="Times New Roman" w:cs="Times New Roman"/>
          <w:szCs w:val="24"/>
          <w:lang w:val="tr-TR" w:bidi="tr-TR"/>
        </w:rPr>
        <w:t>ıslak yıkama</w:t>
      </w:r>
      <w:r w:rsidRPr="00F50C10">
        <w:rPr>
          <w:rFonts w:eastAsia="Times New Roman" w:cs="Times New Roman"/>
          <w:szCs w:val="24"/>
          <w:lang w:val="tr-TR" w:bidi="tr-TR"/>
        </w:rPr>
        <w:t xml:space="preserve"> ve tipik olarak hidroklorik asidin geri kazanımı, ardından kostik ile </w:t>
      </w:r>
      <w:r w:rsidR="00B16387" w:rsidRPr="00F50C10">
        <w:rPr>
          <w:rFonts w:eastAsia="Times New Roman" w:cs="Times New Roman"/>
          <w:szCs w:val="24"/>
          <w:lang w:val="tr-TR" w:bidi="tr-TR"/>
        </w:rPr>
        <w:t>ıslak yıkama</w:t>
      </w:r>
      <w:r w:rsidRPr="00F50C10">
        <w:rPr>
          <w:rFonts w:eastAsia="Times New Roman" w:cs="Times New Roman"/>
          <w:szCs w:val="24"/>
          <w:lang w:val="tr-TR" w:bidi="tr-TR"/>
        </w:rPr>
        <w:t>.</w:t>
      </w:r>
    </w:p>
    <w:p w14:paraId="1E5D841C" w14:textId="18F43C73" w:rsidR="00BB704F" w:rsidRPr="00F50C10" w:rsidRDefault="007F4982" w:rsidP="000B206D">
      <w:pPr>
        <w:spacing w:before="240" w:line="276" w:lineRule="auto"/>
        <w:rPr>
          <w:rFonts w:eastAsia="Calibri" w:cs="Times New Roman"/>
          <w:b/>
          <w:iCs/>
          <w:color w:val="000000"/>
          <w:szCs w:val="24"/>
        </w:rPr>
      </w:pPr>
      <w:r w:rsidRPr="00F50C10">
        <w:rPr>
          <w:rFonts w:eastAsia="Calibri" w:cs="Times New Roman"/>
          <w:b/>
          <w:iCs/>
          <w:color w:val="000000"/>
          <w:szCs w:val="24"/>
        </w:rPr>
        <w:t xml:space="preserve">Tablo 10.2. </w:t>
      </w:r>
      <w:r w:rsidR="00BB704F" w:rsidRPr="00F50C10">
        <w:rPr>
          <w:rFonts w:eastAsia="Calibri" w:cs="Times New Roman"/>
          <w:b/>
          <w:iCs/>
          <w:color w:val="000000"/>
          <w:szCs w:val="24"/>
        </w:rPr>
        <w:t>EDC/VCM üretiminden havaya salınan TUOB’ler, EDC ve VCM toplamı, Cl2, HCl ve PCDD/F emisyonlarına ilişkin MEİT-İES'ler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2"/>
        <w:gridCol w:w="4775"/>
      </w:tblGrid>
      <w:tr w:rsidR="00BB704F" w:rsidRPr="00F50C10" w14:paraId="5CA4548D" w14:textId="77777777" w:rsidTr="00BB704F">
        <w:trPr>
          <w:trHeight w:val="691"/>
        </w:trPr>
        <w:tc>
          <w:tcPr>
            <w:tcW w:w="2190" w:type="pct"/>
          </w:tcPr>
          <w:p w14:paraId="04A1F00E" w14:textId="77777777" w:rsidR="00BB704F" w:rsidRPr="00F50C10" w:rsidRDefault="00BB704F" w:rsidP="000B206D">
            <w:pPr>
              <w:spacing w:before="10" w:line="276" w:lineRule="auto"/>
              <w:jc w:val="left"/>
              <w:rPr>
                <w:rFonts w:eastAsia="Times New Roman" w:cs="Times New Roman"/>
                <w:b/>
                <w:szCs w:val="24"/>
                <w:lang w:val="tr-TR"/>
              </w:rPr>
            </w:pPr>
          </w:p>
          <w:p w14:paraId="5383004F"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Parametre</w:t>
            </w:r>
          </w:p>
        </w:tc>
        <w:tc>
          <w:tcPr>
            <w:tcW w:w="2810" w:type="pct"/>
          </w:tcPr>
          <w:p w14:paraId="63AFAB84"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MET-İES</w:t>
            </w:r>
          </w:p>
          <w:p w14:paraId="6553D878" w14:textId="77777777" w:rsidR="00BB704F" w:rsidRPr="00F50C10" w:rsidRDefault="00BB704F" w:rsidP="000B206D">
            <w:pPr>
              <w:spacing w:line="276" w:lineRule="auto"/>
              <w:jc w:val="center"/>
              <w:rPr>
                <w:rFonts w:eastAsia="Times New Roman" w:cs="Times New Roman"/>
                <w:b/>
                <w:szCs w:val="24"/>
                <w:lang w:val="tr-TR"/>
              </w:rPr>
            </w:pPr>
            <w:r w:rsidRPr="00F50C10">
              <w:rPr>
                <w:rFonts w:eastAsia="Times New Roman" w:cs="Times New Roman"/>
                <w:b/>
                <w:szCs w:val="24"/>
                <w:lang w:val="tr-TR" w:bidi="tr-TR"/>
              </w:rPr>
              <w:t>(günlük ortalama veya örnekleme periyodu boyunca ortalama) (mg/Nm</w:t>
            </w:r>
            <w:r w:rsidRPr="00F50C10">
              <w:rPr>
                <w:rFonts w:eastAsia="Times New Roman" w:cs="Times New Roman"/>
                <w:b/>
                <w:szCs w:val="24"/>
                <w:vertAlign w:val="superscript"/>
                <w:lang w:val="tr-TR" w:bidi="tr-TR"/>
              </w:rPr>
              <w:t>3</w:t>
            </w:r>
            <w:r w:rsidRPr="00F50C10">
              <w:rPr>
                <w:rFonts w:eastAsia="Times New Roman" w:cs="Times New Roman"/>
                <w:b/>
                <w:szCs w:val="24"/>
                <w:lang w:val="tr-TR" w:bidi="tr-TR"/>
              </w:rPr>
              <w:t>, hacmen %11 O</w:t>
            </w:r>
            <w:r w:rsidRPr="00F50C10">
              <w:rPr>
                <w:rFonts w:eastAsia="Times New Roman" w:cs="Times New Roman"/>
                <w:b/>
                <w:szCs w:val="24"/>
                <w:vertAlign w:val="subscript"/>
                <w:lang w:val="tr-TR" w:bidi="tr-TR"/>
              </w:rPr>
              <w:t>2</w:t>
            </w:r>
            <w:r w:rsidRPr="00F50C10">
              <w:rPr>
                <w:rFonts w:eastAsia="Times New Roman" w:cs="Times New Roman"/>
                <w:b/>
                <w:szCs w:val="24"/>
                <w:lang w:val="tr-TR" w:bidi="tr-TR"/>
              </w:rPr>
              <w:t>'de)</w:t>
            </w:r>
          </w:p>
        </w:tc>
      </w:tr>
      <w:tr w:rsidR="00BB704F" w:rsidRPr="00F50C10" w14:paraId="41B03A08" w14:textId="77777777" w:rsidTr="00BB704F">
        <w:trPr>
          <w:trHeight w:val="230"/>
        </w:trPr>
        <w:tc>
          <w:tcPr>
            <w:tcW w:w="2190" w:type="pct"/>
          </w:tcPr>
          <w:p w14:paraId="274C80B6" w14:textId="77777777" w:rsidR="00BB704F" w:rsidRPr="00F50C10" w:rsidRDefault="00BB704F" w:rsidP="000B206D">
            <w:pPr>
              <w:spacing w:line="276" w:lineRule="auto"/>
              <w:ind w:left="108"/>
              <w:jc w:val="left"/>
              <w:rPr>
                <w:rFonts w:eastAsia="Times New Roman" w:cs="Times New Roman"/>
                <w:szCs w:val="24"/>
                <w:lang w:val="tr-TR"/>
              </w:rPr>
            </w:pPr>
            <w:r w:rsidRPr="00F50C10">
              <w:rPr>
                <w:rFonts w:eastAsia="Times New Roman" w:cs="Times New Roman"/>
                <w:szCs w:val="24"/>
                <w:lang w:val="tr-TR" w:bidi="tr-TR"/>
              </w:rPr>
              <w:t>TUOB</w:t>
            </w:r>
          </w:p>
        </w:tc>
        <w:tc>
          <w:tcPr>
            <w:tcW w:w="2810" w:type="pct"/>
          </w:tcPr>
          <w:p w14:paraId="3CF297A4" w14:textId="77777777" w:rsidR="00BB704F" w:rsidRPr="00F50C10" w:rsidRDefault="00BB704F" w:rsidP="000B206D">
            <w:pPr>
              <w:spacing w:line="276" w:lineRule="auto"/>
              <w:jc w:val="center"/>
              <w:rPr>
                <w:rFonts w:eastAsia="Times New Roman" w:cs="Times New Roman"/>
                <w:szCs w:val="24"/>
                <w:lang w:val="tr-TR"/>
              </w:rPr>
            </w:pPr>
            <w:r w:rsidRPr="00F50C10">
              <w:rPr>
                <w:rFonts w:eastAsia="Times New Roman" w:cs="Times New Roman"/>
                <w:szCs w:val="24"/>
                <w:lang w:val="tr-TR" w:bidi="tr-TR"/>
              </w:rPr>
              <w:t>0,5–5</w:t>
            </w:r>
          </w:p>
        </w:tc>
      </w:tr>
      <w:tr w:rsidR="00BB704F" w:rsidRPr="00F50C10" w14:paraId="122716C3" w14:textId="77777777" w:rsidTr="00BB704F">
        <w:trPr>
          <w:trHeight w:val="230"/>
        </w:trPr>
        <w:tc>
          <w:tcPr>
            <w:tcW w:w="2190" w:type="pct"/>
          </w:tcPr>
          <w:p w14:paraId="20AF1B60" w14:textId="77777777" w:rsidR="00BB704F" w:rsidRPr="00F50C10" w:rsidRDefault="00BB704F" w:rsidP="000B206D">
            <w:pPr>
              <w:spacing w:line="276" w:lineRule="auto"/>
              <w:ind w:left="108"/>
              <w:jc w:val="left"/>
              <w:rPr>
                <w:rFonts w:eastAsia="Times New Roman" w:cs="Times New Roman"/>
                <w:szCs w:val="24"/>
                <w:lang w:val="tr-TR"/>
              </w:rPr>
            </w:pPr>
            <w:r w:rsidRPr="00F50C10">
              <w:rPr>
                <w:rFonts w:eastAsia="Times New Roman" w:cs="Times New Roman"/>
                <w:szCs w:val="24"/>
                <w:lang w:val="tr-TR" w:bidi="tr-TR"/>
              </w:rPr>
              <w:t>EDC ve VCM'nin toplamı</w:t>
            </w:r>
          </w:p>
        </w:tc>
        <w:tc>
          <w:tcPr>
            <w:tcW w:w="2810" w:type="pct"/>
          </w:tcPr>
          <w:p w14:paraId="78B9FCE0" w14:textId="77777777" w:rsidR="00BB704F" w:rsidRPr="00F50C10" w:rsidRDefault="00BB704F" w:rsidP="000B206D">
            <w:pPr>
              <w:spacing w:line="276" w:lineRule="auto"/>
              <w:jc w:val="center"/>
              <w:rPr>
                <w:rFonts w:eastAsia="Times New Roman" w:cs="Times New Roman"/>
                <w:szCs w:val="24"/>
                <w:lang w:val="tr-TR"/>
              </w:rPr>
            </w:pPr>
            <w:r w:rsidRPr="00F50C10">
              <w:rPr>
                <w:rFonts w:eastAsia="Times New Roman" w:cs="Times New Roman"/>
                <w:szCs w:val="24"/>
                <w:lang w:val="tr-TR" w:bidi="tr-TR"/>
              </w:rPr>
              <w:t>&lt; 1</w:t>
            </w:r>
          </w:p>
        </w:tc>
      </w:tr>
      <w:tr w:rsidR="00BB704F" w:rsidRPr="00F50C10" w14:paraId="64E7ED0A" w14:textId="77777777" w:rsidTr="00BB704F">
        <w:trPr>
          <w:trHeight w:val="230"/>
        </w:trPr>
        <w:tc>
          <w:tcPr>
            <w:tcW w:w="2190" w:type="pct"/>
          </w:tcPr>
          <w:p w14:paraId="00A0F436" w14:textId="77777777" w:rsidR="00BB704F" w:rsidRPr="00F50C10" w:rsidRDefault="00BB704F" w:rsidP="000B206D">
            <w:pPr>
              <w:spacing w:line="276" w:lineRule="auto"/>
              <w:ind w:left="108"/>
              <w:jc w:val="left"/>
              <w:rPr>
                <w:rFonts w:eastAsia="Times New Roman" w:cs="Times New Roman"/>
                <w:szCs w:val="24"/>
                <w:lang w:val="tr-TR"/>
              </w:rPr>
            </w:pPr>
            <w:r w:rsidRPr="00F50C10">
              <w:rPr>
                <w:rFonts w:eastAsia="Times New Roman" w:cs="Times New Roman"/>
                <w:szCs w:val="24"/>
                <w:lang w:val="tr-TR" w:bidi="tr-TR"/>
              </w:rPr>
              <w:t>Cl</w:t>
            </w:r>
            <w:r w:rsidRPr="00F50C10">
              <w:rPr>
                <w:rFonts w:eastAsia="Times New Roman" w:cs="Times New Roman"/>
                <w:szCs w:val="24"/>
                <w:vertAlign w:val="subscript"/>
                <w:lang w:val="tr-TR" w:bidi="tr-TR"/>
              </w:rPr>
              <w:t>2</w:t>
            </w:r>
          </w:p>
        </w:tc>
        <w:tc>
          <w:tcPr>
            <w:tcW w:w="2810" w:type="pct"/>
          </w:tcPr>
          <w:p w14:paraId="39C56607" w14:textId="77777777" w:rsidR="00BB704F" w:rsidRPr="00F50C10" w:rsidRDefault="00BB704F" w:rsidP="000B206D">
            <w:pPr>
              <w:spacing w:line="276" w:lineRule="auto"/>
              <w:jc w:val="center"/>
              <w:rPr>
                <w:rFonts w:eastAsia="Times New Roman" w:cs="Times New Roman"/>
                <w:szCs w:val="24"/>
                <w:lang w:val="tr-TR"/>
              </w:rPr>
            </w:pPr>
            <w:r w:rsidRPr="00F50C10">
              <w:rPr>
                <w:rFonts w:eastAsia="Times New Roman" w:cs="Times New Roman"/>
                <w:szCs w:val="24"/>
                <w:lang w:val="tr-TR" w:bidi="tr-TR"/>
              </w:rPr>
              <w:t>&lt; 1–4</w:t>
            </w:r>
          </w:p>
        </w:tc>
      </w:tr>
      <w:tr w:rsidR="00BB704F" w:rsidRPr="00F50C10" w14:paraId="2F4626EA" w14:textId="77777777" w:rsidTr="00BB704F">
        <w:trPr>
          <w:trHeight w:val="230"/>
        </w:trPr>
        <w:tc>
          <w:tcPr>
            <w:tcW w:w="2190" w:type="pct"/>
          </w:tcPr>
          <w:p w14:paraId="307D7D6A" w14:textId="77777777" w:rsidR="00BB704F" w:rsidRPr="00F50C10" w:rsidRDefault="00BB704F" w:rsidP="000B206D">
            <w:pPr>
              <w:spacing w:line="276" w:lineRule="auto"/>
              <w:ind w:left="108"/>
              <w:jc w:val="left"/>
              <w:rPr>
                <w:rFonts w:eastAsia="Times New Roman" w:cs="Times New Roman"/>
                <w:szCs w:val="24"/>
                <w:lang w:val="tr-TR"/>
              </w:rPr>
            </w:pPr>
            <w:r w:rsidRPr="00F50C10">
              <w:rPr>
                <w:rFonts w:eastAsia="Times New Roman" w:cs="Times New Roman"/>
                <w:szCs w:val="24"/>
                <w:lang w:val="tr-TR" w:bidi="tr-TR"/>
              </w:rPr>
              <w:t>HCl</w:t>
            </w:r>
          </w:p>
        </w:tc>
        <w:tc>
          <w:tcPr>
            <w:tcW w:w="2810" w:type="pct"/>
          </w:tcPr>
          <w:p w14:paraId="59410ABF" w14:textId="77777777" w:rsidR="00BB704F" w:rsidRPr="00F50C10" w:rsidRDefault="00BB704F" w:rsidP="000B206D">
            <w:pPr>
              <w:spacing w:line="276" w:lineRule="auto"/>
              <w:jc w:val="center"/>
              <w:rPr>
                <w:rFonts w:eastAsia="Times New Roman" w:cs="Times New Roman"/>
                <w:szCs w:val="24"/>
                <w:lang w:val="tr-TR"/>
              </w:rPr>
            </w:pPr>
            <w:r w:rsidRPr="00F50C10">
              <w:rPr>
                <w:rFonts w:eastAsia="Times New Roman" w:cs="Times New Roman"/>
                <w:szCs w:val="24"/>
                <w:lang w:val="tr-TR" w:bidi="tr-TR"/>
              </w:rPr>
              <w:t>2-10</w:t>
            </w:r>
          </w:p>
        </w:tc>
      </w:tr>
      <w:tr w:rsidR="00BB704F" w:rsidRPr="00F50C10" w14:paraId="331FF35E" w14:textId="77777777" w:rsidTr="00BB704F">
        <w:trPr>
          <w:trHeight w:val="230"/>
        </w:trPr>
        <w:tc>
          <w:tcPr>
            <w:tcW w:w="2190" w:type="pct"/>
          </w:tcPr>
          <w:p w14:paraId="314FBD92" w14:textId="77777777" w:rsidR="00BB704F" w:rsidRPr="00F50C10" w:rsidRDefault="00BB704F" w:rsidP="000B206D">
            <w:pPr>
              <w:spacing w:line="276" w:lineRule="auto"/>
              <w:ind w:left="108"/>
              <w:jc w:val="left"/>
              <w:rPr>
                <w:rFonts w:eastAsia="Times New Roman" w:cs="Times New Roman"/>
                <w:szCs w:val="24"/>
                <w:lang w:val="tr-TR"/>
              </w:rPr>
            </w:pPr>
            <w:r w:rsidRPr="00F50C10">
              <w:rPr>
                <w:rFonts w:eastAsia="Times New Roman" w:cs="Times New Roman"/>
                <w:szCs w:val="24"/>
                <w:lang w:val="tr-TR" w:bidi="tr-TR"/>
              </w:rPr>
              <w:t>PCDD/F</w:t>
            </w:r>
          </w:p>
        </w:tc>
        <w:tc>
          <w:tcPr>
            <w:tcW w:w="2810" w:type="pct"/>
          </w:tcPr>
          <w:p w14:paraId="5B28465B" w14:textId="77777777" w:rsidR="00BB704F" w:rsidRPr="00F50C10" w:rsidRDefault="00BB704F" w:rsidP="000B206D">
            <w:pPr>
              <w:spacing w:line="276" w:lineRule="auto"/>
              <w:jc w:val="center"/>
              <w:rPr>
                <w:rFonts w:eastAsia="Times New Roman" w:cs="Times New Roman"/>
                <w:szCs w:val="24"/>
                <w:lang w:val="tr-TR"/>
              </w:rPr>
            </w:pPr>
            <w:r w:rsidRPr="00F50C10">
              <w:rPr>
                <w:rFonts w:eastAsia="Times New Roman" w:cs="Times New Roman"/>
                <w:szCs w:val="24"/>
                <w:lang w:val="tr-TR" w:bidi="tr-TR"/>
              </w:rPr>
              <w:t>0,025–0,08 ng I-TEQ/Nm</w:t>
            </w:r>
            <w:r w:rsidRPr="00F50C10">
              <w:rPr>
                <w:rFonts w:eastAsia="Times New Roman" w:cs="Times New Roman"/>
                <w:szCs w:val="24"/>
                <w:vertAlign w:val="superscript"/>
                <w:lang w:val="tr-TR" w:bidi="tr-TR"/>
              </w:rPr>
              <w:t>3</w:t>
            </w:r>
          </w:p>
        </w:tc>
      </w:tr>
    </w:tbl>
    <w:p w14:paraId="6BC81C9C" w14:textId="77777777" w:rsidR="00BB704F" w:rsidRPr="00F50C10" w:rsidRDefault="00BB704F" w:rsidP="000B206D">
      <w:pPr>
        <w:widowControl w:val="0"/>
        <w:autoSpaceDE w:val="0"/>
        <w:autoSpaceDN w:val="0"/>
        <w:spacing w:line="276" w:lineRule="auto"/>
        <w:jc w:val="left"/>
        <w:rPr>
          <w:rFonts w:eastAsia="Times New Roman" w:cs="Times New Roman"/>
          <w:szCs w:val="24"/>
        </w:rPr>
      </w:pPr>
    </w:p>
    <w:p w14:paraId="76FE871A" w14:textId="77777777" w:rsidR="00BB704F" w:rsidRPr="00F50C10" w:rsidRDefault="00BB704F" w:rsidP="000B206D">
      <w:pPr>
        <w:widowControl w:val="0"/>
        <w:autoSpaceDE w:val="0"/>
        <w:autoSpaceDN w:val="0"/>
        <w:spacing w:before="240" w:line="276" w:lineRule="auto"/>
        <w:jc w:val="left"/>
        <w:rPr>
          <w:rFonts w:eastAsia="Times New Roman" w:cs="Times New Roman"/>
          <w:szCs w:val="24"/>
          <w:lang w:val="tr-TR" w:bidi="tr-TR"/>
        </w:rPr>
      </w:pPr>
      <w:r w:rsidRPr="00F50C10">
        <w:rPr>
          <w:rFonts w:eastAsia="Times New Roman" w:cs="Times New Roman"/>
          <w:szCs w:val="24"/>
          <w:lang w:val="tr-TR" w:bidi="tr-TR"/>
        </w:rPr>
        <w:t>İlgili izleme MET 2 kapsamındadır.</w:t>
      </w:r>
    </w:p>
    <w:p w14:paraId="1D91E928" w14:textId="54DF3145" w:rsidR="00BB704F" w:rsidRPr="00F50C10" w:rsidRDefault="00BB704F" w:rsidP="000B206D">
      <w:pPr>
        <w:widowControl w:val="0"/>
        <w:autoSpaceDE w:val="0"/>
        <w:autoSpaceDN w:val="0"/>
        <w:spacing w:before="240" w:line="276" w:lineRule="auto"/>
        <w:rPr>
          <w:rFonts w:eastAsia="Times New Roman" w:cs="Times New Roman"/>
          <w:b/>
          <w:bCs/>
          <w:szCs w:val="24"/>
          <w:lang w:val="tr-TR" w:bidi="tr-TR"/>
        </w:rPr>
      </w:pPr>
      <w:r w:rsidRPr="00F50C10">
        <w:rPr>
          <w:rFonts w:eastAsia="Times New Roman" w:cs="Times New Roman"/>
          <w:b/>
          <w:bCs/>
          <w:szCs w:val="24"/>
          <w:lang w:val="tr-TR" w:bidi="tr-TR"/>
        </w:rPr>
        <w:t xml:space="preserve">MET 77: </w:t>
      </w:r>
      <w:r w:rsidRPr="00F50C10">
        <w:rPr>
          <w:rFonts w:eastAsia="Times New Roman" w:cs="Times New Roman"/>
          <w:szCs w:val="24"/>
          <w:lang w:val="tr-TR" w:bidi="tr-TR"/>
        </w:rPr>
        <w:t xml:space="preserve">Klor ve/veya klorlu bileşikler içeren proses çıkış gazı akımlarını arıtan termal oksitleyiciden (Bkz. </w:t>
      </w:r>
      <w:r w:rsidRPr="00F50C10">
        <w:rPr>
          <w:rFonts w:eastAsia="Times New Roman" w:cs="Times New Roman"/>
          <w:szCs w:val="24"/>
          <w:lang w:val="tr-TR" w:bidi="tr-TR"/>
        </w:rPr>
        <w:fldChar w:fldCharType="begin"/>
      </w:r>
      <w:r w:rsidRPr="00F50C10">
        <w:rPr>
          <w:rFonts w:eastAsia="Times New Roman" w:cs="Times New Roman"/>
          <w:szCs w:val="24"/>
          <w:lang w:val="tr-TR" w:bidi="tr-TR"/>
        </w:rPr>
        <w:instrText xml:space="preserve"> REF _Ref133315061 \n \h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bidi="tr-TR"/>
        </w:rPr>
        <w:t>12.3</w:t>
      </w:r>
      <w:r w:rsidRPr="00F50C10">
        <w:rPr>
          <w:rFonts w:eastAsia="Times New Roman" w:cs="Times New Roman"/>
          <w:szCs w:val="24"/>
          <w:lang w:val="tr-TR" w:bidi="tr-TR"/>
        </w:rPr>
        <w:fldChar w:fldCharType="end"/>
      </w:r>
      <w:r w:rsidRPr="00F50C10">
        <w:rPr>
          <w:rFonts w:eastAsia="Times New Roman" w:cs="Times New Roman"/>
          <w:szCs w:val="24"/>
          <w:lang w:val="tr-TR" w:bidi="tr-TR"/>
        </w:rPr>
        <w:t xml:space="preserve">) havaya PCDD/F emisyonlarını azaltmak için, aşağıda verilen teknik a ve gerekli olması halinde ardından teknik b </w:t>
      </w:r>
      <w:r w:rsidR="00C620EA" w:rsidRPr="00F50C10">
        <w:rPr>
          <w:rFonts w:eastAsia="Times New Roman" w:cs="Times New Roman"/>
          <w:szCs w:val="24"/>
          <w:lang w:val="tr-TR" w:bidi="tr-TR"/>
        </w:rPr>
        <w:t>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602"/>
        <w:gridCol w:w="3215"/>
        <w:gridCol w:w="2335"/>
      </w:tblGrid>
      <w:tr w:rsidR="00BB704F" w:rsidRPr="00F50C10" w14:paraId="6326A5B3" w14:textId="77777777" w:rsidTr="00BB704F">
        <w:trPr>
          <w:trHeight w:val="230"/>
          <w:jc w:val="center"/>
        </w:trPr>
        <w:tc>
          <w:tcPr>
            <w:tcW w:w="190" w:type="pct"/>
            <w:tcBorders>
              <w:right w:val="single" w:sz="4" w:space="0" w:color="auto"/>
            </w:tcBorders>
          </w:tcPr>
          <w:p w14:paraId="01AA6EFD" w14:textId="77777777" w:rsidR="00BB704F" w:rsidRPr="00F50C10" w:rsidRDefault="00BB704F" w:rsidP="000B206D">
            <w:pPr>
              <w:spacing w:line="276" w:lineRule="auto"/>
              <w:ind w:right="108"/>
              <w:jc w:val="center"/>
              <w:rPr>
                <w:rFonts w:eastAsia="Times New Roman" w:cs="Times New Roman"/>
                <w:b/>
                <w:szCs w:val="24"/>
                <w:lang w:val="tr-TR"/>
              </w:rPr>
            </w:pPr>
          </w:p>
        </w:tc>
        <w:tc>
          <w:tcPr>
            <w:tcW w:w="1536" w:type="pct"/>
            <w:tcBorders>
              <w:left w:val="single" w:sz="4" w:space="0" w:color="auto"/>
            </w:tcBorders>
          </w:tcPr>
          <w:p w14:paraId="02709005" w14:textId="77777777" w:rsidR="00BB704F" w:rsidRPr="00F50C10" w:rsidRDefault="00BB704F" w:rsidP="000B206D">
            <w:pPr>
              <w:spacing w:line="276" w:lineRule="auto"/>
              <w:ind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1896" w:type="pct"/>
          </w:tcPr>
          <w:p w14:paraId="3351B476"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378" w:type="pct"/>
          </w:tcPr>
          <w:p w14:paraId="6084D685" w14:textId="77777777" w:rsidR="00BB704F" w:rsidRPr="00F50C10" w:rsidRDefault="00BB704F" w:rsidP="000B206D">
            <w:pPr>
              <w:spacing w:line="276" w:lineRule="auto"/>
              <w:ind w:left="108" w:right="108"/>
              <w:jc w:val="left"/>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59E78FA5" w14:textId="77777777" w:rsidTr="00BB704F">
        <w:trPr>
          <w:trHeight w:val="688"/>
          <w:jc w:val="center"/>
        </w:trPr>
        <w:tc>
          <w:tcPr>
            <w:tcW w:w="190" w:type="pct"/>
            <w:vAlign w:val="center"/>
          </w:tcPr>
          <w:p w14:paraId="5CAFA7C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536" w:type="pct"/>
            <w:vAlign w:val="center"/>
          </w:tcPr>
          <w:p w14:paraId="59C38E3F" w14:textId="77777777" w:rsidR="00BB704F" w:rsidRPr="00F50C10" w:rsidRDefault="00BB704F" w:rsidP="000B206D">
            <w:pPr>
              <w:spacing w:line="276" w:lineRule="auto"/>
              <w:ind w:left="108"/>
              <w:rPr>
                <w:rFonts w:eastAsia="Times New Roman" w:cs="Times New Roman"/>
                <w:szCs w:val="24"/>
                <w:lang w:val="tr-TR"/>
              </w:rPr>
            </w:pPr>
            <w:r w:rsidRPr="00F50C10">
              <w:rPr>
                <w:rFonts w:eastAsia="Times New Roman" w:cs="Times New Roman"/>
                <w:szCs w:val="24"/>
                <w:lang w:val="tr-TR" w:bidi="tr-TR"/>
              </w:rPr>
              <w:t>Hızlı söndürme</w:t>
            </w:r>
          </w:p>
        </w:tc>
        <w:tc>
          <w:tcPr>
            <w:tcW w:w="1896" w:type="pct"/>
            <w:vAlign w:val="center"/>
          </w:tcPr>
          <w:p w14:paraId="3E34FFBF"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 xml:space="preserve">PCDD/F'nin </w:t>
            </w:r>
            <w:r w:rsidRPr="00F50C10">
              <w:rPr>
                <w:rFonts w:eastAsia="Times New Roman" w:cs="Times New Roman"/>
                <w:i/>
                <w:iCs/>
                <w:szCs w:val="24"/>
                <w:lang w:val="tr-TR" w:bidi="tr-TR"/>
              </w:rPr>
              <w:t>de novo</w:t>
            </w:r>
            <w:r w:rsidRPr="00F50C10">
              <w:rPr>
                <w:rFonts w:eastAsia="Times New Roman" w:cs="Times New Roman"/>
                <w:szCs w:val="24"/>
                <w:lang w:val="tr-TR" w:bidi="tr-TR"/>
              </w:rPr>
              <w:t xml:space="preserve"> sentezini önlemek için egzoz gazlarının hızlı soğutulması</w:t>
            </w:r>
          </w:p>
        </w:tc>
        <w:tc>
          <w:tcPr>
            <w:tcW w:w="1378" w:type="pct"/>
            <w:vMerge w:val="restart"/>
            <w:vAlign w:val="center"/>
          </w:tcPr>
          <w:p w14:paraId="12441BB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4FF9A8D4" w14:textId="77777777" w:rsidTr="00BB704F">
        <w:trPr>
          <w:trHeight w:val="921"/>
          <w:jc w:val="center"/>
        </w:trPr>
        <w:tc>
          <w:tcPr>
            <w:tcW w:w="190" w:type="pct"/>
            <w:vAlign w:val="center"/>
          </w:tcPr>
          <w:p w14:paraId="237EA32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536" w:type="pct"/>
            <w:vAlign w:val="center"/>
          </w:tcPr>
          <w:p w14:paraId="4C46E750" w14:textId="77777777" w:rsidR="00BB704F" w:rsidRPr="00F50C10" w:rsidRDefault="00BB704F" w:rsidP="000B206D">
            <w:pPr>
              <w:spacing w:line="276" w:lineRule="auto"/>
              <w:ind w:left="108"/>
              <w:rPr>
                <w:rFonts w:eastAsia="Times New Roman" w:cs="Times New Roman"/>
                <w:szCs w:val="24"/>
                <w:lang w:val="tr-TR"/>
              </w:rPr>
            </w:pPr>
            <w:r w:rsidRPr="00F50C10">
              <w:rPr>
                <w:rFonts w:eastAsia="Times New Roman" w:cs="Times New Roman"/>
                <w:szCs w:val="24"/>
                <w:lang w:val="tr-TR" w:bidi="tr-TR"/>
              </w:rPr>
              <w:t>Aktif karbon enjeksiyonu</w:t>
            </w:r>
          </w:p>
        </w:tc>
        <w:tc>
          <w:tcPr>
            <w:tcW w:w="1896" w:type="pct"/>
            <w:vAlign w:val="center"/>
          </w:tcPr>
          <w:p w14:paraId="5724CC77"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Egzoz gazına enjekte edilen aktif karbon üzerine adsorpsiyon yoluyla PCDD/F'nin giderilmesi ve ardından tozun azaltılması</w:t>
            </w:r>
          </w:p>
        </w:tc>
        <w:tc>
          <w:tcPr>
            <w:tcW w:w="1378" w:type="pct"/>
            <w:vMerge/>
            <w:vAlign w:val="center"/>
          </w:tcPr>
          <w:p w14:paraId="39C4DA5B" w14:textId="77777777" w:rsidR="00BB704F" w:rsidRPr="00F50C10" w:rsidRDefault="00BB704F" w:rsidP="000B206D">
            <w:pPr>
              <w:spacing w:line="276" w:lineRule="auto"/>
              <w:ind w:left="108" w:right="108"/>
              <w:jc w:val="left"/>
              <w:rPr>
                <w:rFonts w:eastAsia="Times New Roman" w:cs="Times New Roman"/>
                <w:szCs w:val="24"/>
                <w:lang w:val="tr-TR"/>
              </w:rPr>
            </w:pPr>
          </w:p>
        </w:tc>
      </w:tr>
    </w:tbl>
    <w:p w14:paraId="37CEA9B4" w14:textId="065C7CE0" w:rsidR="00BB704F" w:rsidRPr="00F50C10" w:rsidRDefault="00BB704F" w:rsidP="000B206D">
      <w:pPr>
        <w:widowControl w:val="0"/>
        <w:autoSpaceDE w:val="0"/>
        <w:autoSpaceDN w:val="0"/>
        <w:spacing w:before="240" w:line="276" w:lineRule="auto"/>
        <w:jc w:val="left"/>
        <w:rPr>
          <w:rFonts w:eastAsia="Times New Roman" w:cs="Times New Roman"/>
          <w:szCs w:val="24"/>
          <w:lang w:val="tr-TR"/>
        </w:rPr>
      </w:pPr>
      <w:r w:rsidRPr="00F50C10">
        <w:rPr>
          <w:rFonts w:eastAsia="Times New Roman" w:cs="Times New Roman"/>
          <w:szCs w:val="24"/>
          <w:lang w:val="tr-TR" w:bidi="tr-TR"/>
        </w:rPr>
        <w:t>MET ile ilişkili emisyon seviyeleri (MET-İES'ler) Bkz.</w:t>
      </w:r>
      <w:r w:rsidR="007F4982" w:rsidRPr="00F50C10">
        <w:rPr>
          <w:rFonts w:eastAsia="Times New Roman" w:cs="Times New Roman"/>
          <w:szCs w:val="24"/>
          <w:lang w:val="tr-TR"/>
        </w:rPr>
        <w:t>Tablo 10.2</w:t>
      </w:r>
    </w:p>
    <w:p w14:paraId="0E512C52" w14:textId="19F6AF5E" w:rsidR="00BB704F" w:rsidRPr="00F50C10" w:rsidRDefault="00BB704F" w:rsidP="000B206D">
      <w:pPr>
        <w:widowControl w:val="0"/>
        <w:autoSpaceDE w:val="0"/>
        <w:autoSpaceDN w:val="0"/>
        <w:spacing w:before="240" w:line="276" w:lineRule="auto"/>
        <w:rPr>
          <w:rFonts w:eastAsia="Times New Roman" w:cs="Times New Roman"/>
          <w:szCs w:val="24"/>
          <w:lang w:val="tr-TR" w:bidi="tr-TR"/>
        </w:rPr>
      </w:pPr>
      <w:r w:rsidRPr="00F50C10">
        <w:rPr>
          <w:rFonts w:eastAsia="Times New Roman" w:cs="Times New Roman"/>
          <w:b/>
          <w:bCs/>
          <w:szCs w:val="24"/>
          <w:lang w:val="tr-TR" w:bidi="tr-TR"/>
        </w:rPr>
        <w:t xml:space="preserve">MET 78: </w:t>
      </w:r>
      <w:r w:rsidRPr="00F50C10">
        <w:rPr>
          <w:rFonts w:eastAsia="Times New Roman" w:cs="Times New Roman"/>
          <w:szCs w:val="24"/>
          <w:lang w:val="tr-TR" w:bidi="tr-TR"/>
        </w:rPr>
        <w:t>Parçalama borularının koksuzlaştırılmasından kaynaklanan toz ve CO emisyonlarını azaltmak için, aşağıda verilen kok giderme sıklığını azaltma tekniklerinden biri ve yine aşağıda verilen azaltma tekniklerinden bi</w:t>
      </w:r>
      <w:r w:rsidR="00C620EA" w:rsidRPr="00F50C10">
        <w:rPr>
          <w:rFonts w:eastAsia="Times New Roman" w:cs="Times New Roman"/>
          <w:szCs w:val="24"/>
          <w:lang w:val="tr-TR" w:bidi="tr-TR"/>
        </w:rPr>
        <w:t>r</w:t>
      </w:r>
      <w:r w:rsidRPr="00F50C10">
        <w:rPr>
          <w:rFonts w:eastAsia="Times New Roman" w:cs="Times New Roman"/>
          <w:szCs w:val="24"/>
          <w:lang w:val="tr-TR" w:bidi="tr-TR"/>
        </w:rPr>
        <w:t xml:space="preserve">i veya birkaçı </w:t>
      </w:r>
      <w:r w:rsidR="00C620EA" w:rsidRPr="00F50C10">
        <w:rPr>
          <w:rFonts w:eastAsia="Times New Roman" w:cs="Times New Roman"/>
          <w:szCs w:val="24"/>
          <w:lang w:val="tr-TR" w:bidi="tr-TR"/>
        </w:rPr>
        <w:t>kullanılır</w:t>
      </w:r>
      <w:r w:rsidRPr="00F50C10">
        <w:rPr>
          <w:rFonts w:eastAsia="Times New Roman" w:cs="Times New Roman"/>
          <w:szCs w:val="24"/>
          <w:lang w:val="tr-TR" w:bidi="tr-TR"/>
        </w:rPr>
        <w: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595"/>
        <w:gridCol w:w="3028"/>
        <w:gridCol w:w="2529"/>
      </w:tblGrid>
      <w:tr w:rsidR="00BB704F" w:rsidRPr="00F50C10" w14:paraId="7F6EC980" w14:textId="77777777" w:rsidTr="00BB704F">
        <w:trPr>
          <w:trHeight w:val="230"/>
          <w:tblHeader/>
        </w:trPr>
        <w:tc>
          <w:tcPr>
            <w:tcW w:w="190" w:type="pct"/>
            <w:tcBorders>
              <w:right w:val="single" w:sz="4" w:space="0" w:color="auto"/>
            </w:tcBorders>
          </w:tcPr>
          <w:p w14:paraId="5B1DF5AB" w14:textId="77777777" w:rsidR="00BB704F" w:rsidRPr="00F50C10" w:rsidRDefault="00BB704F" w:rsidP="000B206D">
            <w:pPr>
              <w:spacing w:line="276" w:lineRule="auto"/>
              <w:ind w:right="108"/>
              <w:jc w:val="center"/>
              <w:rPr>
                <w:rFonts w:eastAsia="Times New Roman" w:cs="Times New Roman"/>
                <w:b/>
                <w:szCs w:val="24"/>
                <w:lang w:val="tr-TR"/>
              </w:rPr>
            </w:pPr>
          </w:p>
        </w:tc>
        <w:tc>
          <w:tcPr>
            <w:tcW w:w="1532" w:type="pct"/>
            <w:tcBorders>
              <w:left w:val="single" w:sz="4" w:space="0" w:color="auto"/>
            </w:tcBorders>
          </w:tcPr>
          <w:p w14:paraId="27667D96" w14:textId="77777777" w:rsidR="00BB704F" w:rsidRPr="00F50C10" w:rsidRDefault="00BB704F" w:rsidP="000B206D">
            <w:pPr>
              <w:spacing w:line="276" w:lineRule="auto"/>
              <w:ind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1786" w:type="pct"/>
          </w:tcPr>
          <w:p w14:paraId="21EC9C84"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492" w:type="pct"/>
          </w:tcPr>
          <w:p w14:paraId="0D3D3033"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08B798A0" w14:textId="77777777" w:rsidTr="00BB704F">
        <w:trPr>
          <w:trHeight w:val="230"/>
        </w:trPr>
        <w:tc>
          <w:tcPr>
            <w:tcW w:w="5000" w:type="pct"/>
            <w:gridSpan w:val="4"/>
          </w:tcPr>
          <w:p w14:paraId="58351D73" w14:textId="77777777" w:rsidR="00BB704F" w:rsidRPr="00F50C10" w:rsidRDefault="00BB704F" w:rsidP="000B206D">
            <w:pPr>
              <w:spacing w:line="276" w:lineRule="auto"/>
              <w:ind w:left="108" w:right="108"/>
              <w:jc w:val="center"/>
              <w:rPr>
                <w:rFonts w:eastAsia="Times New Roman" w:cs="Times New Roman"/>
                <w:b/>
                <w:i/>
                <w:szCs w:val="24"/>
                <w:lang w:val="tr-TR"/>
              </w:rPr>
            </w:pPr>
            <w:r w:rsidRPr="00F50C10">
              <w:rPr>
                <w:rFonts w:eastAsia="Times New Roman" w:cs="Times New Roman"/>
                <w:b/>
                <w:i/>
                <w:szCs w:val="24"/>
                <w:lang w:val="tr-TR" w:bidi="tr-TR"/>
              </w:rPr>
              <w:t>Kok giderme sıklığını azaltmaya yönelik teknikler</w:t>
            </w:r>
          </w:p>
        </w:tc>
      </w:tr>
      <w:tr w:rsidR="00BB704F" w:rsidRPr="00F50C10" w14:paraId="103BD979" w14:textId="77777777" w:rsidTr="00BB704F">
        <w:trPr>
          <w:trHeight w:val="1151"/>
        </w:trPr>
        <w:tc>
          <w:tcPr>
            <w:tcW w:w="190" w:type="pct"/>
            <w:vAlign w:val="center"/>
          </w:tcPr>
          <w:p w14:paraId="0666EF6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532" w:type="pct"/>
            <w:vAlign w:val="center"/>
          </w:tcPr>
          <w:p w14:paraId="35FBA5AD" w14:textId="23320D63"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Termal </w:t>
            </w:r>
            <w:r w:rsidR="001C29CA" w:rsidRPr="00F50C10">
              <w:rPr>
                <w:rFonts w:eastAsia="Times New Roman" w:cs="Times New Roman"/>
                <w:szCs w:val="24"/>
                <w:lang w:val="tr-TR" w:bidi="tr-TR"/>
              </w:rPr>
              <w:t xml:space="preserve">kok gidermenin </w:t>
            </w:r>
            <w:r w:rsidRPr="00F50C10">
              <w:rPr>
                <w:rFonts w:eastAsia="Times New Roman" w:cs="Times New Roman"/>
                <w:szCs w:val="24"/>
                <w:lang w:val="tr-TR" w:bidi="tr-TR"/>
              </w:rPr>
              <w:t xml:space="preserve"> optimizasyonu</w:t>
            </w:r>
          </w:p>
        </w:tc>
        <w:tc>
          <w:tcPr>
            <w:tcW w:w="1786" w:type="pct"/>
            <w:vAlign w:val="center"/>
          </w:tcPr>
          <w:p w14:paraId="120FB47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Kok gidermeyi en üst düzeye çıkarmak için koksuzlaştırma</w:t>
            </w:r>
          </w:p>
          <w:p w14:paraId="7F8B122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döngüsü boyunca çalışma koşullarının, yani hava akışı, sıcaklık ve buhar içeriğinin optimizasyonu.</w:t>
            </w:r>
          </w:p>
        </w:tc>
        <w:tc>
          <w:tcPr>
            <w:tcW w:w="1492" w:type="pct"/>
            <w:vAlign w:val="center"/>
          </w:tcPr>
          <w:p w14:paraId="1544ECC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324BB69F" w14:textId="77777777" w:rsidTr="00BB704F">
        <w:trPr>
          <w:trHeight w:val="688"/>
        </w:trPr>
        <w:tc>
          <w:tcPr>
            <w:tcW w:w="190" w:type="pct"/>
            <w:vAlign w:val="center"/>
          </w:tcPr>
          <w:p w14:paraId="6312A84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532" w:type="pct"/>
            <w:vAlign w:val="center"/>
          </w:tcPr>
          <w:p w14:paraId="5DCDD9B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Mekanik kok gidermenin optimizasyonu</w:t>
            </w:r>
          </w:p>
        </w:tc>
        <w:tc>
          <w:tcPr>
            <w:tcW w:w="1786" w:type="pct"/>
            <w:vAlign w:val="center"/>
          </w:tcPr>
          <w:p w14:paraId="3D275233"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Kokun toz olarak çıkarılmasını en üst düzeye çıkarmak için mekanik koku gidermeyi (örn. kum püskürtme) optimize edin</w:t>
            </w:r>
          </w:p>
        </w:tc>
        <w:tc>
          <w:tcPr>
            <w:tcW w:w="1492" w:type="pct"/>
            <w:vAlign w:val="center"/>
          </w:tcPr>
          <w:p w14:paraId="288931E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1171189C" w14:textId="77777777" w:rsidTr="00BB704F">
        <w:trPr>
          <w:trHeight w:val="230"/>
        </w:trPr>
        <w:tc>
          <w:tcPr>
            <w:tcW w:w="5000" w:type="pct"/>
            <w:gridSpan w:val="4"/>
            <w:vAlign w:val="center"/>
          </w:tcPr>
          <w:p w14:paraId="1DA9AD7B" w14:textId="77777777" w:rsidR="00BB704F" w:rsidRPr="00F50C10" w:rsidRDefault="00BB704F" w:rsidP="000B206D">
            <w:pPr>
              <w:spacing w:line="276" w:lineRule="auto"/>
              <w:ind w:left="108" w:right="108"/>
              <w:rPr>
                <w:rFonts w:eastAsia="Times New Roman" w:cs="Times New Roman"/>
                <w:b/>
                <w:i/>
                <w:szCs w:val="24"/>
                <w:lang w:val="tr-TR"/>
              </w:rPr>
            </w:pPr>
            <w:r w:rsidRPr="00F50C10">
              <w:rPr>
                <w:rFonts w:eastAsia="Times New Roman" w:cs="Times New Roman"/>
                <w:b/>
                <w:i/>
                <w:szCs w:val="24"/>
                <w:lang w:val="tr-TR" w:bidi="tr-TR"/>
              </w:rPr>
              <w:t>Azaltma teknikleri</w:t>
            </w:r>
          </w:p>
        </w:tc>
      </w:tr>
      <w:tr w:rsidR="00BB704F" w:rsidRPr="00F50C10" w14:paraId="3F442C24" w14:textId="77777777" w:rsidTr="00BB704F">
        <w:trPr>
          <w:trHeight w:val="460"/>
        </w:trPr>
        <w:tc>
          <w:tcPr>
            <w:tcW w:w="190" w:type="pct"/>
            <w:vAlign w:val="center"/>
          </w:tcPr>
          <w:p w14:paraId="3AC9D2B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532" w:type="pct"/>
            <w:vAlign w:val="center"/>
          </w:tcPr>
          <w:p w14:paraId="6BA6941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Islak toz yıkama</w:t>
            </w:r>
          </w:p>
        </w:tc>
        <w:tc>
          <w:tcPr>
            <w:tcW w:w="1786" w:type="pct"/>
            <w:vAlign w:val="center"/>
          </w:tcPr>
          <w:p w14:paraId="708C4B1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hyperlink w:anchor="_bookmark801"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_Ref136600627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12.1</w:t>
              </w:r>
              <w:r w:rsidRPr="00F50C10">
                <w:rPr>
                  <w:rFonts w:eastAsia="Times New Roman" w:cs="Times New Roman"/>
                  <w:szCs w:val="24"/>
                  <w:lang w:val="tr-TR" w:bidi="tr-TR"/>
                </w:rPr>
                <w:fldChar w:fldCharType="end"/>
              </w:r>
            </w:hyperlink>
          </w:p>
        </w:tc>
        <w:tc>
          <w:tcPr>
            <w:tcW w:w="1492" w:type="pct"/>
            <w:vAlign w:val="center"/>
          </w:tcPr>
          <w:p w14:paraId="51297A4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termal kok giderme için geçerlidir</w:t>
            </w:r>
          </w:p>
        </w:tc>
      </w:tr>
      <w:tr w:rsidR="00BB704F" w:rsidRPr="00F50C10" w14:paraId="230E9FF2" w14:textId="77777777" w:rsidTr="00BB704F">
        <w:trPr>
          <w:trHeight w:val="230"/>
        </w:trPr>
        <w:tc>
          <w:tcPr>
            <w:tcW w:w="190" w:type="pct"/>
            <w:vAlign w:val="center"/>
          </w:tcPr>
          <w:p w14:paraId="355E25B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d</w:t>
            </w:r>
          </w:p>
        </w:tc>
        <w:tc>
          <w:tcPr>
            <w:tcW w:w="1532" w:type="pct"/>
            <w:vAlign w:val="center"/>
          </w:tcPr>
          <w:p w14:paraId="77D99FA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Siklon</w:t>
            </w:r>
          </w:p>
        </w:tc>
        <w:tc>
          <w:tcPr>
            <w:tcW w:w="1786" w:type="pct"/>
            <w:vAlign w:val="center"/>
          </w:tcPr>
          <w:p w14:paraId="72CE3F5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hyperlink w:anchor="_bookmark801"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_Ref136600627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12.1</w:t>
              </w:r>
              <w:r w:rsidRPr="00F50C10">
                <w:rPr>
                  <w:rFonts w:eastAsia="Times New Roman" w:cs="Times New Roman"/>
                  <w:szCs w:val="24"/>
                  <w:lang w:val="tr-TR" w:bidi="tr-TR"/>
                </w:rPr>
                <w:fldChar w:fldCharType="end"/>
              </w:r>
            </w:hyperlink>
          </w:p>
        </w:tc>
        <w:tc>
          <w:tcPr>
            <w:tcW w:w="1492" w:type="pct"/>
            <w:vAlign w:val="center"/>
          </w:tcPr>
          <w:p w14:paraId="6D6050F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601DA9D6" w14:textId="77777777" w:rsidTr="00BB704F">
        <w:trPr>
          <w:trHeight w:val="230"/>
        </w:trPr>
        <w:tc>
          <w:tcPr>
            <w:tcW w:w="190" w:type="pct"/>
            <w:vAlign w:val="center"/>
          </w:tcPr>
          <w:p w14:paraId="031AD1C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e</w:t>
            </w:r>
          </w:p>
        </w:tc>
        <w:tc>
          <w:tcPr>
            <w:tcW w:w="1532" w:type="pct"/>
            <w:vAlign w:val="center"/>
          </w:tcPr>
          <w:p w14:paraId="36EE37A7" w14:textId="50CEB6F0" w:rsidR="00BB704F" w:rsidRPr="00F50C10" w:rsidRDefault="009A2327"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Bez</w:t>
            </w:r>
            <w:r w:rsidR="00BB704F" w:rsidRPr="00F50C10">
              <w:rPr>
                <w:rFonts w:eastAsia="Times New Roman" w:cs="Times New Roman"/>
                <w:szCs w:val="24"/>
                <w:lang w:val="tr-TR" w:bidi="tr-TR"/>
              </w:rPr>
              <w:t xml:space="preserve"> filtre</w:t>
            </w:r>
          </w:p>
        </w:tc>
        <w:tc>
          <w:tcPr>
            <w:tcW w:w="1786" w:type="pct"/>
            <w:vAlign w:val="center"/>
          </w:tcPr>
          <w:p w14:paraId="6BD9C74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hyperlink w:anchor="_bookmark801" w:history="1">
              <w:r w:rsidRPr="00F50C10">
                <w:rPr>
                  <w:rFonts w:eastAsia="Times New Roman" w:cs="Times New Roman"/>
                  <w:szCs w:val="24"/>
                  <w:lang w:val="tr-TR" w:bidi="tr-TR"/>
                </w:rPr>
                <w:fldChar w:fldCharType="begin"/>
              </w:r>
              <w:r w:rsidRPr="00F50C10">
                <w:rPr>
                  <w:rFonts w:eastAsia="Times New Roman" w:cs="Times New Roman"/>
                  <w:szCs w:val="24"/>
                  <w:lang w:val="tr-TR"/>
                </w:rPr>
                <w:instrText xml:space="preserve"> REF _Ref136600627 \n \h </w:instrText>
              </w:r>
              <w:r w:rsidRPr="00F50C10">
                <w:rPr>
                  <w:rFonts w:eastAsia="Times New Roman" w:cs="Times New Roman"/>
                  <w:szCs w:val="24"/>
                  <w:lang w:val="tr-TR" w:bidi="tr-TR"/>
                </w:rPr>
                <w:instrText xml:space="preserve">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rPr>
                <w:t>12.1</w:t>
              </w:r>
              <w:r w:rsidRPr="00F50C10">
                <w:rPr>
                  <w:rFonts w:eastAsia="Times New Roman" w:cs="Times New Roman"/>
                  <w:szCs w:val="24"/>
                  <w:lang w:val="tr-TR" w:bidi="tr-TR"/>
                </w:rPr>
                <w:fldChar w:fldCharType="end"/>
              </w:r>
            </w:hyperlink>
          </w:p>
        </w:tc>
        <w:tc>
          <w:tcPr>
            <w:tcW w:w="1492" w:type="pct"/>
            <w:vAlign w:val="center"/>
          </w:tcPr>
          <w:p w14:paraId="1CBED5D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1AE94458" w14:textId="11E32961" w:rsidR="00BB704F" w:rsidRPr="00F50C10" w:rsidRDefault="00C620EA"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60" w:name="_Toc136613744"/>
      <w:r w:rsidRPr="00F50C10">
        <w:rPr>
          <w:rFonts w:eastAsia="Times New Roman" w:cs="Times New Roman"/>
          <w:b/>
          <w:szCs w:val="24"/>
          <w:lang w:val="tr-TR"/>
        </w:rPr>
        <w:t xml:space="preserve"> </w:t>
      </w:r>
      <w:r w:rsidR="00BB704F" w:rsidRPr="00F50C10">
        <w:rPr>
          <w:rFonts w:eastAsia="Times New Roman" w:cs="Times New Roman"/>
          <w:b/>
          <w:szCs w:val="24"/>
          <w:lang w:val="tr-TR"/>
        </w:rPr>
        <w:t>Suya Deşarjlar</w:t>
      </w:r>
      <w:bookmarkEnd w:id="60"/>
    </w:p>
    <w:p w14:paraId="01EFAA2E" w14:textId="361CDB33" w:rsidR="00BB704F" w:rsidRPr="00F50C10" w:rsidRDefault="00BB704F" w:rsidP="000B206D">
      <w:pPr>
        <w:widowControl w:val="0"/>
        <w:autoSpaceDE w:val="0"/>
        <w:autoSpaceDN w:val="0"/>
        <w:spacing w:before="240" w:line="276" w:lineRule="auto"/>
        <w:rPr>
          <w:rFonts w:eastAsia="Times New Roman" w:cs="Times New Roman"/>
          <w:szCs w:val="24"/>
          <w:lang w:val="tr-TR" w:bidi="tr-TR"/>
        </w:rPr>
      </w:pPr>
      <w:r w:rsidRPr="00F50C10">
        <w:rPr>
          <w:rFonts w:eastAsia="Times New Roman" w:cs="Times New Roman"/>
          <w:b/>
          <w:bCs/>
          <w:szCs w:val="24"/>
          <w:lang w:val="tr-TR" w:bidi="tr-TR"/>
        </w:rPr>
        <w:t xml:space="preserve">MET 79:  </w:t>
      </w:r>
      <w:r w:rsidR="00C620EA" w:rsidRPr="00F50C10">
        <w:rPr>
          <w:rFonts w:eastAsia="Times New Roman" w:cs="Times New Roman"/>
          <w:szCs w:val="24"/>
          <w:lang w:val="tr-TR" w:bidi="tr-TR"/>
        </w:rPr>
        <w:t>S</w:t>
      </w:r>
      <w:r w:rsidRPr="00F50C10">
        <w:rPr>
          <w:rFonts w:eastAsia="Times New Roman" w:cs="Times New Roman"/>
          <w:szCs w:val="24"/>
          <w:lang w:val="tr-TR" w:bidi="tr-TR"/>
        </w:rPr>
        <w:t>uya deşarjlar</w:t>
      </w:r>
      <w:r w:rsidR="00C620EA" w:rsidRPr="00F50C10">
        <w:rPr>
          <w:rFonts w:eastAsia="Times New Roman" w:cs="Times New Roman"/>
          <w:szCs w:val="24"/>
          <w:lang w:val="tr-TR" w:bidi="tr-TR"/>
        </w:rPr>
        <w:t xml:space="preserve"> </w:t>
      </w:r>
      <w:r w:rsidRPr="00F50C10">
        <w:rPr>
          <w:rFonts w:eastAsia="Times New Roman" w:cs="Times New Roman"/>
          <w:szCs w:val="24"/>
          <w:lang w:val="tr-TR" w:bidi="tr-TR"/>
        </w:rPr>
        <w:t xml:space="preserve">asgari olarak aşağıda verilen sıklıkta ve </w:t>
      </w:r>
      <w:r w:rsidR="000E3767" w:rsidRPr="00F50C10">
        <w:rPr>
          <w:rFonts w:eastAsia="Times New Roman" w:cs="Times New Roman"/>
          <w:szCs w:val="24"/>
          <w:lang w:val="tr-TR" w:bidi="tr-TR"/>
        </w:rPr>
        <w:t>E</w:t>
      </w:r>
      <w:r w:rsidRPr="00F50C10">
        <w:rPr>
          <w:rFonts w:eastAsia="Times New Roman" w:cs="Times New Roman"/>
          <w:szCs w:val="24"/>
          <w:lang w:val="tr-TR" w:bidi="tr-TR"/>
        </w:rPr>
        <w:t xml:space="preserve">N standartlarına uygun olarak </w:t>
      </w:r>
      <w:r w:rsidR="00C620EA" w:rsidRPr="00F50C10">
        <w:rPr>
          <w:rFonts w:eastAsia="Times New Roman" w:cs="Times New Roman"/>
          <w:szCs w:val="24"/>
          <w:lang w:val="tr-TR" w:bidi="tr-TR"/>
        </w:rPr>
        <w:t>izlenir</w:t>
      </w:r>
      <w:r w:rsidRPr="00F50C10">
        <w:rPr>
          <w:rFonts w:eastAsia="Times New Roman" w:cs="Times New Roman"/>
          <w:szCs w:val="24"/>
          <w:lang w:val="tr-TR" w:bidi="tr-TR"/>
        </w:rPr>
        <w:t>. Uygulanabilir</w:t>
      </w:r>
      <w:r w:rsidR="00C620EA" w:rsidRPr="00F50C10">
        <w:rPr>
          <w:rFonts w:eastAsia="Times New Roman" w:cs="Times New Roman"/>
          <w:szCs w:val="24"/>
          <w:lang w:val="tr-TR" w:bidi="tr-TR"/>
        </w:rPr>
        <w:t xml:space="preserve"> </w:t>
      </w:r>
      <w:r w:rsidRPr="00F50C10">
        <w:rPr>
          <w:rFonts w:eastAsia="Times New Roman" w:cs="Times New Roman"/>
          <w:szCs w:val="24"/>
          <w:lang w:val="tr-TR" w:bidi="tr-TR"/>
        </w:rPr>
        <w:t>EN standartları mevcut değilse, eş değer bilimsel nitelikteki verilerin sunulmasını sağlayan ISO standartlar veya ulusal ya da diğer uluslararası standartlar kulla</w:t>
      </w:r>
      <w:r w:rsidR="00C620EA" w:rsidRPr="00F50C10">
        <w:rPr>
          <w:rFonts w:eastAsia="Times New Roman" w:cs="Times New Roman"/>
          <w:szCs w:val="24"/>
          <w:lang w:val="tr-TR" w:bidi="tr-TR"/>
        </w:rPr>
        <w:t>nıl</w:t>
      </w:r>
      <w:r w:rsidRPr="00F50C10">
        <w:rPr>
          <w:rFonts w:eastAsia="Times New Roman" w:cs="Times New Roman"/>
          <w:szCs w:val="24"/>
          <w:lang w:val="tr-TR" w:bidi="tr-TR"/>
        </w:rPr>
        <w:t>ır.</w:t>
      </w:r>
    </w:p>
    <w:tbl>
      <w:tblPr>
        <w:tblStyle w:val="TableNormal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1425"/>
        <w:gridCol w:w="1800"/>
        <w:gridCol w:w="1620"/>
        <w:gridCol w:w="1385"/>
        <w:gridCol w:w="1122"/>
      </w:tblGrid>
      <w:tr w:rsidR="00BB704F" w:rsidRPr="00F50C10" w14:paraId="4DC7229D" w14:textId="77777777" w:rsidTr="00BB704F">
        <w:trPr>
          <w:trHeight w:val="688"/>
        </w:trPr>
        <w:tc>
          <w:tcPr>
            <w:tcW w:w="1710" w:type="dxa"/>
            <w:vAlign w:val="center"/>
          </w:tcPr>
          <w:p w14:paraId="626061C1" w14:textId="77777777" w:rsidR="00BB704F" w:rsidRPr="00F50C10" w:rsidRDefault="00BB704F" w:rsidP="000B206D">
            <w:pPr>
              <w:spacing w:line="276" w:lineRule="auto"/>
              <w:ind w:left="113" w:right="108" w:hanging="5"/>
              <w:jc w:val="center"/>
              <w:rPr>
                <w:rFonts w:eastAsia="Times New Roman" w:cs="Times New Roman"/>
                <w:b/>
                <w:bCs/>
                <w:szCs w:val="24"/>
                <w:lang w:val="tr-TR"/>
              </w:rPr>
            </w:pPr>
            <w:r w:rsidRPr="00F50C10">
              <w:rPr>
                <w:rFonts w:eastAsia="Times New Roman" w:cs="Times New Roman"/>
                <w:b/>
                <w:bCs/>
                <w:w w:val="95"/>
                <w:szCs w:val="24"/>
                <w:lang w:val="tr-TR" w:bidi="tr-TR"/>
              </w:rPr>
              <w:t>Madde / Parametre</w:t>
            </w:r>
          </w:p>
        </w:tc>
        <w:tc>
          <w:tcPr>
            <w:tcW w:w="1425" w:type="dxa"/>
            <w:vAlign w:val="center"/>
          </w:tcPr>
          <w:p w14:paraId="2693080D"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Tesis</w:t>
            </w:r>
          </w:p>
        </w:tc>
        <w:tc>
          <w:tcPr>
            <w:tcW w:w="1800" w:type="dxa"/>
            <w:vAlign w:val="center"/>
          </w:tcPr>
          <w:p w14:paraId="71A8AA85" w14:textId="77777777" w:rsidR="00BB704F" w:rsidRPr="00F50C10" w:rsidRDefault="00BB704F" w:rsidP="000B206D">
            <w:pPr>
              <w:spacing w:line="276" w:lineRule="auto"/>
              <w:ind w:left="291" w:right="108" w:hanging="183"/>
              <w:jc w:val="center"/>
              <w:rPr>
                <w:rFonts w:eastAsia="Times New Roman" w:cs="Times New Roman"/>
                <w:b/>
                <w:szCs w:val="24"/>
                <w:lang w:val="tr-TR"/>
              </w:rPr>
            </w:pPr>
            <w:r w:rsidRPr="00F50C10">
              <w:rPr>
                <w:rFonts w:eastAsia="Times New Roman" w:cs="Times New Roman"/>
                <w:b/>
                <w:w w:val="95"/>
                <w:szCs w:val="24"/>
                <w:lang w:val="tr-TR" w:bidi="tr-TR"/>
              </w:rPr>
              <w:t>Örnekleme noktası</w:t>
            </w:r>
          </w:p>
        </w:tc>
        <w:tc>
          <w:tcPr>
            <w:tcW w:w="1620" w:type="dxa"/>
            <w:vAlign w:val="center"/>
          </w:tcPr>
          <w:p w14:paraId="6EA29B50"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Standart(lar)</w:t>
            </w:r>
          </w:p>
        </w:tc>
        <w:tc>
          <w:tcPr>
            <w:tcW w:w="1385" w:type="dxa"/>
            <w:vAlign w:val="center"/>
          </w:tcPr>
          <w:p w14:paraId="6F2D3496" w14:textId="77777777" w:rsidR="00BB704F" w:rsidRPr="00F50C10" w:rsidRDefault="00BB704F" w:rsidP="000B206D">
            <w:pPr>
              <w:spacing w:line="276" w:lineRule="auto"/>
              <w:ind w:left="108" w:right="108" w:firstLine="52"/>
              <w:jc w:val="center"/>
              <w:rPr>
                <w:rFonts w:eastAsia="Times New Roman" w:cs="Times New Roman"/>
                <w:b/>
                <w:szCs w:val="24"/>
                <w:lang w:val="tr-TR"/>
              </w:rPr>
            </w:pPr>
            <w:r w:rsidRPr="00F50C10">
              <w:rPr>
                <w:rFonts w:eastAsia="Times New Roman" w:cs="Times New Roman"/>
                <w:b/>
                <w:szCs w:val="24"/>
                <w:lang w:val="tr-TR" w:bidi="tr-TR"/>
              </w:rPr>
              <w:t>Minimum</w:t>
            </w:r>
          </w:p>
          <w:p w14:paraId="34474751" w14:textId="77777777" w:rsidR="00BB704F" w:rsidRPr="00F50C10" w:rsidRDefault="00BB704F" w:rsidP="000B206D">
            <w:pPr>
              <w:spacing w:line="276" w:lineRule="auto"/>
              <w:ind w:left="159" w:right="108" w:hanging="51"/>
              <w:jc w:val="center"/>
              <w:rPr>
                <w:rFonts w:eastAsia="Times New Roman" w:cs="Times New Roman"/>
                <w:b/>
                <w:szCs w:val="24"/>
                <w:lang w:val="tr-TR"/>
              </w:rPr>
            </w:pPr>
            <w:r w:rsidRPr="00F50C10">
              <w:rPr>
                <w:rFonts w:eastAsia="Times New Roman" w:cs="Times New Roman"/>
                <w:b/>
                <w:w w:val="95"/>
                <w:szCs w:val="24"/>
                <w:lang w:val="tr-TR" w:bidi="tr-TR"/>
              </w:rPr>
              <w:t>izleme sıklığı</w:t>
            </w:r>
          </w:p>
        </w:tc>
        <w:tc>
          <w:tcPr>
            <w:tcW w:w="1122" w:type="dxa"/>
            <w:vAlign w:val="center"/>
          </w:tcPr>
          <w:p w14:paraId="2D87CCC3"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İzleme İle ilişkili</w:t>
            </w:r>
          </w:p>
        </w:tc>
      </w:tr>
      <w:tr w:rsidR="00BB704F" w:rsidRPr="00F50C10" w14:paraId="61C36A67" w14:textId="77777777" w:rsidTr="00BB704F">
        <w:trPr>
          <w:trHeight w:val="340"/>
        </w:trPr>
        <w:tc>
          <w:tcPr>
            <w:tcW w:w="1710" w:type="dxa"/>
            <w:vAlign w:val="center"/>
          </w:tcPr>
          <w:p w14:paraId="6B87CFB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EDC</w:t>
            </w:r>
          </w:p>
        </w:tc>
        <w:tc>
          <w:tcPr>
            <w:tcW w:w="1425" w:type="dxa"/>
            <w:vMerge w:val="restart"/>
            <w:vAlign w:val="center"/>
          </w:tcPr>
          <w:p w14:paraId="5438111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Tüm tesisler</w:t>
            </w:r>
          </w:p>
        </w:tc>
        <w:tc>
          <w:tcPr>
            <w:tcW w:w="1800" w:type="dxa"/>
            <w:vMerge w:val="restart"/>
            <w:vAlign w:val="center"/>
          </w:tcPr>
          <w:p w14:paraId="05F4A45B" w14:textId="77777777" w:rsidR="00BB704F" w:rsidRPr="00F50C10" w:rsidRDefault="00BB704F" w:rsidP="000B206D">
            <w:pPr>
              <w:spacing w:line="276" w:lineRule="auto"/>
              <w:ind w:left="90" w:right="108" w:firstLine="18"/>
              <w:rPr>
                <w:rFonts w:eastAsia="Times New Roman" w:cs="Times New Roman"/>
                <w:szCs w:val="24"/>
                <w:lang w:val="tr-TR"/>
              </w:rPr>
            </w:pPr>
            <w:r w:rsidRPr="00F50C10">
              <w:rPr>
                <w:rFonts w:eastAsia="Times New Roman" w:cs="Times New Roman"/>
                <w:szCs w:val="24"/>
                <w:lang w:val="tr-TR" w:bidi="tr-TR"/>
              </w:rPr>
              <w:t>Atık su sıyırıcısının çıkışı</w:t>
            </w:r>
          </w:p>
        </w:tc>
        <w:tc>
          <w:tcPr>
            <w:tcW w:w="1620" w:type="dxa"/>
            <w:vMerge w:val="restart"/>
            <w:vAlign w:val="center"/>
          </w:tcPr>
          <w:p w14:paraId="1551FA59" w14:textId="0C120CEC"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EN ISO 10301</w:t>
            </w:r>
          </w:p>
        </w:tc>
        <w:tc>
          <w:tcPr>
            <w:tcW w:w="1385" w:type="dxa"/>
            <w:vMerge w:val="restart"/>
            <w:vAlign w:val="center"/>
          </w:tcPr>
          <w:p w14:paraId="04FDE028" w14:textId="77777777" w:rsidR="00BB704F" w:rsidRPr="00F50C10" w:rsidRDefault="00BB704F" w:rsidP="000B206D">
            <w:pPr>
              <w:spacing w:line="276" w:lineRule="auto"/>
              <w:ind w:left="420" w:right="108" w:hanging="312"/>
              <w:rPr>
                <w:rFonts w:eastAsia="Times New Roman" w:cs="Times New Roman"/>
                <w:szCs w:val="24"/>
                <w:lang w:val="tr-TR"/>
              </w:rPr>
            </w:pPr>
            <w:r w:rsidRPr="00F50C10">
              <w:rPr>
                <w:rFonts w:eastAsia="Times New Roman" w:cs="Times New Roman"/>
                <w:szCs w:val="24"/>
                <w:lang w:val="tr-TR" w:bidi="tr-TR"/>
              </w:rPr>
              <w:t>Günde bir</w:t>
            </w:r>
          </w:p>
        </w:tc>
        <w:tc>
          <w:tcPr>
            <w:tcW w:w="1122" w:type="dxa"/>
            <w:vMerge w:val="restart"/>
            <w:vAlign w:val="center"/>
          </w:tcPr>
          <w:p w14:paraId="1A8D1E5F" w14:textId="77777777" w:rsidR="00BB704F" w:rsidRPr="00F50C10" w:rsidRDefault="00BB704F" w:rsidP="000B206D">
            <w:pPr>
              <w:spacing w:line="276" w:lineRule="auto"/>
              <w:ind w:left="108" w:right="108"/>
              <w:rPr>
                <w:rFonts w:eastAsia="Times New Roman" w:cs="Times New Roman"/>
                <w:b/>
                <w:szCs w:val="24"/>
                <w:lang w:val="tr-TR"/>
              </w:rPr>
            </w:pPr>
          </w:p>
          <w:p w14:paraId="32D2F31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MET 80</w:t>
            </w:r>
          </w:p>
        </w:tc>
      </w:tr>
      <w:tr w:rsidR="00BB704F" w:rsidRPr="00F50C10" w14:paraId="1A7EEDE1" w14:textId="77777777" w:rsidTr="00BB704F">
        <w:trPr>
          <w:trHeight w:val="340"/>
        </w:trPr>
        <w:tc>
          <w:tcPr>
            <w:tcW w:w="1710" w:type="dxa"/>
            <w:vAlign w:val="center"/>
          </w:tcPr>
          <w:p w14:paraId="20D5D71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VCM</w:t>
            </w:r>
          </w:p>
        </w:tc>
        <w:tc>
          <w:tcPr>
            <w:tcW w:w="1425" w:type="dxa"/>
            <w:vMerge/>
            <w:vAlign w:val="center"/>
          </w:tcPr>
          <w:p w14:paraId="46A9A037" w14:textId="77777777" w:rsidR="00BB704F" w:rsidRPr="00F50C10" w:rsidRDefault="00BB704F" w:rsidP="000B206D">
            <w:pPr>
              <w:spacing w:line="276" w:lineRule="auto"/>
              <w:ind w:left="108" w:right="108"/>
              <w:jc w:val="left"/>
              <w:rPr>
                <w:rFonts w:eastAsia="Times New Roman" w:cs="Times New Roman"/>
                <w:szCs w:val="24"/>
                <w:lang w:val="tr-TR"/>
              </w:rPr>
            </w:pPr>
          </w:p>
        </w:tc>
        <w:tc>
          <w:tcPr>
            <w:tcW w:w="1800" w:type="dxa"/>
            <w:vMerge/>
            <w:vAlign w:val="center"/>
          </w:tcPr>
          <w:p w14:paraId="7474386B" w14:textId="77777777" w:rsidR="00BB704F" w:rsidRPr="00F50C10" w:rsidRDefault="00BB704F" w:rsidP="000B206D">
            <w:pPr>
              <w:spacing w:line="276" w:lineRule="auto"/>
              <w:ind w:left="108" w:right="108"/>
              <w:jc w:val="left"/>
              <w:rPr>
                <w:rFonts w:eastAsia="Times New Roman" w:cs="Times New Roman"/>
                <w:szCs w:val="24"/>
                <w:lang w:val="tr-TR"/>
              </w:rPr>
            </w:pPr>
          </w:p>
        </w:tc>
        <w:tc>
          <w:tcPr>
            <w:tcW w:w="1620" w:type="dxa"/>
            <w:vMerge/>
            <w:vAlign w:val="center"/>
          </w:tcPr>
          <w:p w14:paraId="29A543EE" w14:textId="77777777" w:rsidR="00BB704F" w:rsidRPr="00F50C10" w:rsidRDefault="00BB704F" w:rsidP="000B206D">
            <w:pPr>
              <w:spacing w:line="276" w:lineRule="auto"/>
              <w:ind w:left="108" w:right="108"/>
              <w:jc w:val="left"/>
              <w:rPr>
                <w:rFonts w:eastAsia="Times New Roman" w:cs="Times New Roman"/>
                <w:szCs w:val="24"/>
                <w:lang w:val="tr-TR"/>
              </w:rPr>
            </w:pPr>
          </w:p>
        </w:tc>
        <w:tc>
          <w:tcPr>
            <w:tcW w:w="1385" w:type="dxa"/>
            <w:vMerge/>
            <w:vAlign w:val="center"/>
          </w:tcPr>
          <w:p w14:paraId="442BBA08" w14:textId="77777777" w:rsidR="00BB704F" w:rsidRPr="00F50C10" w:rsidRDefault="00BB704F" w:rsidP="000B206D">
            <w:pPr>
              <w:spacing w:line="276" w:lineRule="auto"/>
              <w:ind w:left="108" w:right="108"/>
              <w:jc w:val="left"/>
              <w:rPr>
                <w:rFonts w:eastAsia="Times New Roman" w:cs="Times New Roman"/>
                <w:szCs w:val="24"/>
                <w:lang w:val="tr-TR"/>
              </w:rPr>
            </w:pPr>
          </w:p>
        </w:tc>
        <w:tc>
          <w:tcPr>
            <w:tcW w:w="1122" w:type="dxa"/>
            <w:vMerge/>
            <w:vAlign w:val="center"/>
          </w:tcPr>
          <w:p w14:paraId="5C8CA410" w14:textId="77777777" w:rsidR="00BB704F" w:rsidRPr="00F50C10" w:rsidRDefault="00BB704F" w:rsidP="000B206D">
            <w:pPr>
              <w:spacing w:line="276" w:lineRule="auto"/>
              <w:ind w:left="108" w:right="108"/>
              <w:jc w:val="left"/>
              <w:rPr>
                <w:rFonts w:eastAsia="Times New Roman" w:cs="Times New Roman"/>
                <w:szCs w:val="24"/>
                <w:lang w:val="tr-TR"/>
              </w:rPr>
            </w:pPr>
          </w:p>
        </w:tc>
      </w:tr>
      <w:tr w:rsidR="00BB704F" w:rsidRPr="00F50C10" w14:paraId="5B967E31" w14:textId="77777777" w:rsidTr="00BB704F">
        <w:trPr>
          <w:trHeight w:val="1161"/>
        </w:trPr>
        <w:tc>
          <w:tcPr>
            <w:tcW w:w="1710" w:type="dxa"/>
            <w:vAlign w:val="center"/>
          </w:tcPr>
          <w:p w14:paraId="1278921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Bakır</w:t>
            </w:r>
          </w:p>
        </w:tc>
        <w:tc>
          <w:tcPr>
            <w:tcW w:w="1425" w:type="dxa"/>
            <w:vMerge w:val="restart"/>
            <w:vAlign w:val="center"/>
          </w:tcPr>
          <w:p w14:paraId="3688CBBA" w14:textId="77777777" w:rsidR="00BB704F" w:rsidRPr="00F50C10" w:rsidRDefault="00BB704F" w:rsidP="000B206D">
            <w:pPr>
              <w:spacing w:line="276" w:lineRule="auto"/>
              <w:ind w:left="108" w:right="108" w:hanging="2"/>
              <w:rPr>
                <w:rFonts w:eastAsia="Times New Roman" w:cs="Times New Roman"/>
                <w:szCs w:val="24"/>
                <w:lang w:val="tr-TR"/>
              </w:rPr>
            </w:pPr>
            <w:r w:rsidRPr="00F50C10">
              <w:rPr>
                <w:rFonts w:eastAsia="Times New Roman" w:cs="Times New Roman"/>
                <w:szCs w:val="24"/>
                <w:lang w:val="tr-TR" w:bidi="tr-TR"/>
              </w:rPr>
              <w:t>Akışkan yatak tasarımı kullanan oksijen klorlama tesisi</w:t>
            </w:r>
          </w:p>
        </w:tc>
        <w:tc>
          <w:tcPr>
            <w:tcW w:w="1800" w:type="dxa"/>
            <w:vMerge w:val="restart"/>
            <w:vAlign w:val="center"/>
          </w:tcPr>
          <w:p w14:paraId="38FC7CD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Katıların uzaklaştırılmasına yönelik ön arıtmanın çıkışı</w:t>
            </w:r>
          </w:p>
        </w:tc>
        <w:tc>
          <w:tcPr>
            <w:tcW w:w="1620" w:type="dxa"/>
            <w:vAlign w:val="center"/>
          </w:tcPr>
          <w:p w14:paraId="494DBE30" w14:textId="05A90D39"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Çeşitli </w:t>
            </w:r>
            <w:r w:rsidR="00867955" w:rsidRPr="00F50C10">
              <w:rPr>
                <w:rFonts w:eastAsia="Times New Roman" w:cs="Times New Roman"/>
                <w:szCs w:val="24"/>
                <w:lang w:val="tr-TR" w:bidi="tr-TR"/>
              </w:rPr>
              <w:t>sta</w:t>
            </w:r>
            <w:r w:rsidRPr="00F50C10">
              <w:rPr>
                <w:rFonts w:eastAsia="Times New Roman" w:cs="Times New Roman"/>
                <w:szCs w:val="24"/>
                <w:lang w:val="tr-TR" w:bidi="tr-TR"/>
              </w:rPr>
              <w:t>ndartları mevcuttur; örn. EN ISO 11885, EN ISO 15586, EN ISO 17294-2</w:t>
            </w:r>
          </w:p>
        </w:tc>
        <w:tc>
          <w:tcPr>
            <w:tcW w:w="1385" w:type="dxa"/>
            <w:vAlign w:val="center"/>
          </w:tcPr>
          <w:p w14:paraId="468603DD" w14:textId="77777777" w:rsidR="00BB704F" w:rsidRPr="00F50C10" w:rsidRDefault="00BB704F" w:rsidP="000B206D">
            <w:pPr>
              <w:spacing w:line="276" w:lineRule="auto"/>
              <w:ind w:left="296" w:right="108" w:hanging="188"/>
              <w:rPr>
                <w:rFonts w:eastAsia="Times New Roman" w:cs="Times New Roman"/>
                <w:szCs w:val="24"/>
                <w:lang w:val="tr-TR"/>
              </w:rPr>
            </w:pPr>
            <w:r w:rsidRPr="00F50C10">
              <w:rPr>
                <w:rFonts w:eastAsia="Times New Roman" w:cs="Times New Roman"/>
                <w:szCs w:val="24"/>
                <w:lang w:val="tr-TR" w:bidi="tr-TR"/>
              </w:rPr>
              <w:t>Günde bir (</w:t>
            </w:r>
            <w:r w:rsidRPr="00F50C10">
              <w:rPr>
                <w:rFonts w:eastAsia="Times New Roman" w:cs="Times New Roman"/>
                <w:szCs w:val="24"/>
                <w:vertAlign w:val="superscript"/>
                <w:lang w:val="tr-TR" w:bidi="tr-TR"/>
              </w:rPr>
              <w:t>1</w:t>
            </w:r>
            <w:r w:rsidRPr="00F50C10">
              <w:rPr>
                <w:rFonts w:eastAsia="Times New Roman" w:cs="Times New Roman"/>
                <w:szCs w:val="24"/>
                <w:lang w:val="tr-TR" w:bidi="tr-TR"/>
              </w:rPr>
              <w:t>)</w:t>
            </w:r>
          </w:p>
        </w:tc>
        <w:tc>
          <w:tcPr>
            <w:tcW w:w="1122" w:type="dxa"/>
            <w:vMerge w:val="restart"/>
            <w:vAlign w:val="center"/>
          </w:tcPr>
          <w:p w14:paraId="1E4F199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MET 81</w:t>
            </w:r>
          </w:p>
        </w:tc>
      </w:tr>
      <w:tr w:rsidR="00BB704F" w:rsidRPr="00F50C10" w14:paraId="09753503" w14:textId="77777777" w:rsidTr="00BB704F">
        <w:trPr>
          <w:trHeight w:val="460"/>
        </w:trPr>
        <w:tc>
          <w:tcPr>
            <w:tcW w:w="1710" w:type="dxa"/>
            <w:vAlign w:val="center"/>
          </w:tcPr>
          <w:p w14:paraId="3773F5B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PCDD/F</w:t>
            </w:r>
          </w:p>
        </w:tc>
        <w:tc>
          <w:tcPr>
            <w:tcW w:w="1425" w:type="dxa"/>
            <w:vMerge/>
            <w:vAlign w:val="center"/>
          </w:tcPr>
          <w:p w14:paraId="76A5639C" w14:textId="77777777" w:rsidR="00BB704F" w:rsidRPr="00F50C10" w:rsidRDefault="00BB704F" w:rsidP="000B206D">
            <w:pPr>
              <w:spacing w:line="276" w:lineRule="auto"/>
              <w:ind w:left="108" w:right="108"/>
              <w:jc w:val="left"/>
              <w:rPr>
                <w:rFonts w:eastAsia="Times New Roman" w:cs="Times New Roman"/>
                <w:szCs w:val="24"/>
                <w:lang w:val="tr-TR"/>
              </w:rPr>
            </w:pPr>
          </w:p>
        </w:tc>
        <w:tc>
          <w:tcPr>
            <w:tcW w:w="1800" w:type="dxa"/>
            <w:vMerge/>
            <w:vAlign w:val="center"/>
          </w:tcPr>
          <w:p w14:paraId="41EB4F7C" w14:textId="77777777" w:rsidR="00BB704F" w:rsidRPr="00F50C10" w:rsidRDefault="00BB704F" w:rsidP="000B206D">
            <w:pPr>
              <w:spacing w:line="276" w:lineRule="auto"/>
              <w:ind w:left="108" w:right="108"/>
              <w:jc w:val="left"/>
              <w:rPr>
                <w:rFonts w:eastAsia="Times New Roman" w:cs="Times New Roman"/>
                <w:szCs w:val="24"/>
                <w:lang w:val="tr-TR"/>
              </w:rPr>
            </w:pPr>
          </w:p>
        </w:tc>
        <w:tc>
          <w:tcPr>
            <w:tcW w:w="1620" w:type="dxa"/>
            <w:vAlign w:val="center"/>
          </w:tcPr>
          <w:p w14:paraId="7B550C9A" w14:textId="416CFE3A"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EN standardı yoktur.</w:t>
            </w:r>
          </w:p>
        </w:tc>
        <w:tc>
          <w:tcPr>
            <w:tcW w:w="1385" w:type="dxa"/>
            <w:vAlign w:val="center"/>
          </w:tcPr>
          <w:p w14:paraId="08D177D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Üç ayda</w:t>
            </w:r>
          </w:p>
          <w:p w14:paraId="66F0464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bir</w:t>
            </w:r>
          </w:p>
        </w:tc>
        <w:tc>
          <w:tcPr>
            <w:tcW w:w="1122" w:type="dxa"/>
            <w:vMerge/>
            <w:vAlign w:val="center"/>
          </w:tcPr>
          <w:p w14:paraId="2AC60331" w14:textId="77777777" w:rsidR="00BB704F" w:rsidRPr="00F50C10" w:rsidRDefault="00BB704F" w:rsidP="000B206D">
            <w:pPr>
              <w:spacing w:line="276" w:lineRule="auto"/>
              <w:ind w:left="108" w:right="108"/>
              <w:jc w:val="left"/>
              <w:rPr>
                <w:rFonts w:eastAsia="Times New Roman" w:cs="Times New Roman"/>
                <w:szCs w:val="24"/>
                <w:lang w:val="tr-TR"/>
              </w:rPr>
            </w:pPr>
          </w:p>
        </w:tc>
      </w:tr>
      <w:tr w:rsidR="00BB704F" w:rsidRPr="00F50C10" w14:paraId="4C6EE771" w14:textId="77777777" w:rsidTr="00BB704F">
        <w:trPr>
          <w:trHeight w:val="688"/>
        </w:trPr>
        <w:tc>
          <w:tcPr>
            <w:tcW w:w="1710" w:type="dxa"/>
            <w:vAlign w:val="center"/>
          </w:tcPr>
          <w:p w14:paraId="707F6F2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Toplam</w:t>
            </w:r>
          </w:p>
          <w:p w14:paraId="63D74A4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askıda katı maddeler (TAKM)</w:t>
            </w:r>
          </w:p>
        </w:tc>
        <w:tc>
          <w:tcPr>
            <w:tcW w:w="1425" w:type="dxa"/>
            <w:vMerge/>
            <w:vAlign w:val="center"/>
          </w:tcPr>
          <w:p w14:paraId="5549B1C1" w14:textId="77777777" w:rsidR="00BB704F" w:rsidRPr="00F50C10" w:rsidRDefault="00BB704F" w:rsidP="000B206D">
            <w:pPr>
              <w:spacing w:line="276" w:lineRule="auto"/>
              <w:ind w:left="108" w:right="108"/>
              <w:jc w:val="left"/>
              <w:rPr>
                <w:rFonts w:eastAsia="Times New Roman" w:cs="Times New Roman"/>
                <w:szCs w:val="24"/>
                <w:lang w:val="tr-TR"/>
              </w:rPr>
            </w:pPr>
          </w:p>
        </w:tc>
        <w:tc>
          <w:tcPr>
            <w:tcW w:w="1800" w:type="dxa"/>
            <w:vMerge/>
            <w:vAlign w:val="center"/>
          </w:tcPr>
          <w:p w14:paraId="07350DC9" w14:textId="77777777" w:rsidR="00BB704F" w:rsidRPr="00F50C10" w:rsidRDefault="00BB704F" w:rsidP="000B206D">
            <w:pPr>
              <w:spacing w:line="276" w:lineRule="auto"/>
              <w:ind w:left="108" w:right="108"/>
              <w:jc w:val="left"/>
              <w:rPr>
                <w:rFonts w:eastAsia="Times New Roman" w:cs="Times New Roman"/>
                <w:szCs w:val="24"/>
                <w:lang w:val="tr-TR"/>
              </w:rPr>
            </w:pPr>
          </w:p>
        </w:tc>
        <w:tc>
          <w:tcPr>
            <w:tcW w:w="1620" w:type="dxa"/>
            <w:vAlign w:val="center"/>
          </w:tcPr>
          <w:p w14:paraId="195E953D" w14:textId="0D61CB98"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EN 872</w:t>
            </w:r>
          </w:p>
        </w:tc>
        <w:tc>
          <w:tcPr>
            <w:tcW w:w="1385" w:type="dxa"/>
            <w:vAlign w:val="center"/>
          </w:tcPr>
          <w:p w14:paraId="5C9007FF" w14:textId="77777777" w:rsidR="00BB704F" w:rsidRPr="00F50C10" w:rsidRDefault="00BB704F" w:rsidP="000B206D">
            <w:pPr>
              <w:spacing w:line="276" w:lineRule="auto"/>
              <w:ind w:left="296" w:right="108" w:hanging="188"/>
              <w:rPr>
                <w:rFonts w:eastAsia="Times New Roman" w:cs="Times New Roman"/>
                <w:szCs w:val="24"/>
                <w:lang w:val="tr-TR"/>
              </w:rPr>
            </w:pPr>
            <w:r w:rsidRPr="00F50C10">
              <w:rPr>
                <w:rFonts w:eastAsia="Times New Roman" w:cs="Times New Roman"/>
                <w:szCs w:val="24"/>
                <w:lang w:val="tr-TR" w:bidi="tr-TR"/>
              </w:rPr>
              <w:t>Günde bir (</w:t>
            </w:r>
            <w:r w:rsidRPr="00F50C10">
              <w:rPr>
                <w:rFonts w:eastAsia="Times New Roman" w:cs="Times New Roman"/>
                <w:szCs w:val="24"/>
                <w:vertAlign w:val="superscript"/>
                <w:lang w:val="tr-TR" w:bidi="tr-TR"/>
              </w:rPr>
              <w:t>1</w:t>
            </w:r>
            <w:r w:rsidRPr="00F50C10">
              <w:rPr>
                <w:rFonts w:eastAsia="Times New Roman" w:cs="Times New Roman"/>
                <w:szCs w:val="24"/>
                <w:lang w:val="tr-TR" w:bidi="tr-TR"/>
              </w:rPr>
              <w:t>)</w:t>
            </w:r>
          </w:p>
        </w:tc>
        <w:tc>
          <w:tcPr>
            <w:tcW w:w="1122" w:type="dxa"/>
            <w:vMerge/>
            <w:vAlign w:val="center"/>
          </w:tcPr>
          <w:p w14:paraId="1C8F9C61" w14:textId="77777777" w:rsidR="00BB704F" w:rsidRPr="00F50C10" w:rsidRDefault="00BB704F" w:rsidP="000B206D">
            <w:pPr>
              <w:spacing w:line="276" w:lineRule="auto"/>
              <w:ind w:left="108" w:right="108"/>
              <w:jc w:val="left"/>
              <w:rPr>
                <w:rFonts w:eastAsia="Times New Roman" w:cs="Times New Roman"/>
                <w:szCs w:val="24"/>
                <w:lang w:val="tr-TR"/>
              </w:rPr>
            </w:pPr>
          </w:p>
        </w:tc>
      </w:tr>
      <w:tr w:rsidR="00BB704F" w:rsidRPr="00F50C10" w14:paraId="069944F4" w14:textId="77777777" w:rsidTr="00BB704F">
        <w:trPr>
          <w:trHeight w:val="1151"/>
        </w:trPr>
        <w:tc>
          <w:tcPr>
            <w:tcW w:w="1710" w:type="dxa"/>
            <w:vAlign w:val="center"/>
          </w:tcPr>
          <w:p w14:paraId="55B1A85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Bakır</w:t>
            </w:r>
          </w:p>
        </w:tc>
        <w:tc>
          <w:tcPr>
            <w:tcW w:w="1425" w:type="dxa"/>
            <w:vAlign w:val="center"/>
          </w:tcPr>
          <w:p w14:paraId="1B94576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Akışkan yatak tasarımı kullanan oksijen klorlama tesisi</w:t>
            </w:r>
          </w:p>
        </w:tc>
        <w:tc>
          <w:tcPr>
            <w:tcW w:w="1800" w:type="dxa"/>
            <w:vMerge w:val="restart"/>
            <w:vAlign w:val="center"/>
          </w:tcPr>
          <w:p w14:paraId="24EA6BB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Nihai atık su arıtma çıkışı</w:t>
            </w:r>
          </w:p>
        </w:tc>
        <w:tc>
          <w:tcPr>
            <w:tcW w:w="1620" w:type="dxa"/>
            <w:vAlign w:val="center"/>
          </w:tcPr>
          <w:p w14:paraId="50339FD4" w14:textId="7BCC357F"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Çeşitli EN standartları mevcuttur;</w:t>
            </w:r>
          </w:p>
          <w:p w14:paraId="67875903" w14:textId="0D021484"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örn.EN ISO 11885, EN ISO 15586,</w:t>
            </w:r>
            <w:r w:rsidR="00867955" w:rsidRPr="00F50C10">
              <w:rPr>
                <w:rFonts w:eastAsia="Times New Roman" w:cs="Times New Roman"/>
                <w:szCs w:val="24"/>
                <w:lang w:val="tr-TR" w:bidi="tr-TR"/>
              </w:rPr>
              <w:t xml:space="preserve"> </w:t>
            </w:r>
            <w:r w:rsidRPr="00F50C10">
              <w:rPr>
                <w:rFonts w:eastAsia="Times New Roman" w:cs="Times New Roman"/>
                <w:szCs w:val="24"/>
                <w:lang w:val="tr-TR" w:bidi="tr-TR"/>
              </w:rPr>
              <w:t>EN ISO 17294-2</w:t>
            </w:r>
          </w:p>
        </w:tc>
        <w:tc>
          <w:tcPr>
            <w:tcW w:w="1385" w:type="dxa"/>
            <w:vAlign w:val="center"/>
          </w:tcPr>
          <w:p w14:paraId="4E6EAF7E" w14:textId="77777777" w:rsidR="00BB704F" w:rsidRPr="00F50C10" w:rsidRDefault="00BB704F" w:rsidP="000B206D">
            <w:pPr>
              <w:spacing w:line="276" w:lineRule="auto"/>
              <w:ind w:left="310" w:right="108" w:hanging="202"/>
              <w:rPr>
                <w:rFonts w:eastAsia="Times New Roman" w:cs="Times New Roman"/>
                <w:szCs w:val="24"/>
                <w:lang w:val="tr-TR"/>
              </w:rPr>
            </w:pPr>
            <w:r w:rsidRPr="00F50C10">
              <w:rPr>
                <w:rFonts w:eastAsia="Times New Roman" w:cs="Times New Roman"/>
                <w:szCs w:val="24"/>
                <w:lang w:val="tr-TR" w:bidi="tr-TR"/>
              </w:rPr>
              <w:t>Ayda bir</w:t>
            </w:r>
          </w:p>
        </w:tc>
        <w:tc>
          <w:tcPr>
            <w:tcW w:w="1122" w:type="dxa"/>
            <w:vAlign w:val="center"/>
          </w:tcPr>
          <w:p w14:paraId="074F41B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MET 14 ve MET 81</w:t>
            </w:r>
          </w:p>
        </w:tc>
      </w:tr>
      <w:tr w:rsidR="00BB704F" w:rsidRPr="00F50C10" w14:paraId="6A6A47EF" w14:textId="77777777" w:rsidTr="00BB704F">
        <w:trPr>
          <w:trHeight w:val="683"/>
        </w:trPr>
        <w:tc>
          <w:tcPr>
            <w:tcW w:w="1710" w:type="dxa"/>
            <w:vAlign w:val="center"/>
          </w:tcPr>
          <w:p w14:paraId="40F709F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EDC</w:t>
            </w:r>
          </w:p>
        </w:tc>
        <w:tc>
          <w:tcPr>
            <w:tcW w:w="1425" w:type="dxa"/>
            <w:vMerge w:val="restart"/>
            <w:vAlign w:val="center"/>
          </w:tcPr>
          <w:p w14:paraId="604589C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Tüm tesisler</w:t>
            </w:r>
          </w:p>
        </w:tc>
        <w:tc>
          <w:tcPr>
            <w:tcW w:w="1800" w:type="dxa"/>
            <w:vMerge/>
            <w:vAlign w:val="center"/>
          </w:tcPr>
          <w:p w14:paraId="66C3F468" w14:textId="77777777" w:rsidR="00BB704F" w:rsidRPr="00F50C10" w:rsidRDefault="00BB704F" w:rsidP="000B206D">
            <w:pPr>
              <w:spacing w:line="276" w:lineRule="auto"/>
              <w:ind w:left="108" w:right="108"/>
              <w:jc w:val="left"/>
              <w:rPr>
                <w:rFonts w:eastAsia="Times New Roman" w:cs="Times New Roman"/>
                <w:szCs w:val="24"/>
                <w:lang w:val="tr-TR"/>
              </w:rPr>
            </w:pPr>
          </w:p>
        </w:tc>
        <w:tc>
          <w:tcPr>
            <w:tcW w:w="1620" w:type="dxa"/>
            <w:vAlign w:val="center"/>
          </w:tcPr>
          <w:p w14:paraId="06841473" w14:textId="23D9D09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EN ISO 10301</w:t>
            </w:r>
          </w:p>
        </w:tc>
        <w:tc>
          <w:tcPr>
            <w:tcW w:w="1385" w:type="dxa"/>
            <w:vAlign w:val="center"/>
          </w:tcPr>
          <w:p w14:paraId="14112B04" w14:textId="77777777" w:rsidR="00BB704F" w:rsidRPr="00F50C10" w:rsidRDefault="00BB704F" w:rsidP="000B206D">
            <w:pPr>
              <w:spacing w:line="276" w:lineRule="auto"/>
              <w:ind w:left="310" w:right="108" w:hanging="202"/>
              <w:rPr>
                <w:rFonts w:eastAsia="Times New Roman" w:cs="Times New Roman"/>
                <w:szCs w:val="24"/>
                <w:lang w:val="tr-TR"/>
              </w:rPr>
            </w:pPr>
            <w:r w:rsidRPr="00F50C10">
              <w:rPr>
                <w:rFonts w:eastAsia="Times New Roman" w:cs="Times New Roman"/>
                <w:szCs w:val="24"/>
                <w:lang w:val="tr-TR" w:bidi="tr-TR"/>
              </w:rPr>
              <w:t>Ayda bir</w:t>
            </w:r>
          </w:p>
        </w:tc>
        <w:tc>
          <w:tcPr>
            <w:tcW w:w="1122" w:type="dxa"/>
            <w:vAlign w:val="center"/>
          </w:tcPr>
          <w:p w14:paraId="71ABE482" w14:textId="7623F304"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MET 14 ve MET 8</w:t>
            </w:r>
            <w:r w:rsidR="006740ED" w:rsidRPr="00F50C10">
              <w:rPr>
                <w:rFonts w:eastAsia="Times New Roman" w:cs="Times New Roman"/>
                <w:szCs w:val="24"/>
                <w:lang w:val="tr-TR"/>
              </w:rPr>
              <w:t>0</w:t>
            </w:r>
          </w:p>
        </w:tc>
      </w:tr>
      <w:tr w:rsidR="00BB704F" w:rsidRPr="00F50C10" w14:paraId="6120D746" w14:textId="77777777" w:rsidTr="00BB704F">
        <w:trPr>
          <w:trHeight w:val="655"/>
        </w:trPr>
        <w:tc>
          <w:tcPr>
            <w:tcW w:w="1710" w:type="dxa"/>
            <w:vAlign w:val="center"/>
          </w:tcPr>
          <w:p w14:paraId="0A568DA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PCDD/F</w:t>
            </w:r>
          </w:p>
        </w:tc>
        <w:tc>
          <w:tcPr>
            <w:tcW w:w="1425" w:type="dxa"/>
            <w:vMerge/>
            <w:vAlign w:val="center"/>
          </w:tcPr>
          <w:p w14:paraId="3584A30C" w14:textId="77777777" w:rsidR="00BB704F" w:rsidRPr="00F50C10" w:rsidRDefault="00BB704F" w:rsidP="000B206D">
            <w:pPr>
              <w:spacing w:line="276" w:lineRule="auto"/>
              <w:ind w:left="108" w:right="108"/>
              <w:jc w:val="left"/>
              <w:rPr>
                <w:rFonts w:eastAsia="Times New Roman" w:cs="Times New Roman"/>
                <w:szCs w:val="24"/>
                <w:lang w:val="tr-TR"/>
              </w:rPr>
            </w:pPr>
          </w:p>
        </w:tc>
        <w:tc>
          <w:tcPr>
            <w:tcW w:w="1800" w:type="dxa"/>
            <w:vMerge/>
            <w:vAlign w:val="center"/>
          </w:tcPr>
          <w:p w14:paraId="3C6FCE5D" w14:textId="77777777" w:rsidR="00BB704F" w:rsidRPr="00F50C10" w:rsidRDefault="00BB704F" w:rsidP="000B206D">
            <w:pPr>
              <w:spacing w:line="276" w:lineRule="auto"/>
              <w:ind w:left="108" w:right="108"/>
              <w:jc w:val="left"/>
              <w:rPr>
                <w:rFonts w:eastAsia="Times New Roman" w:cs="Times New Roman"/>
                <w:szCs w:val="24"/>
                <w:lang w:val="tr-TR"/>
              </w:rPr>
            </w:pPr>
          </w:p>
        </w:tc>
        <w:tc>
          <w:tcPr>
            <w:tcW w:w="1620" w:type="dxa"/>
            <w:vAlign w:val="center"/>
          </w:tcPr>
          <w:p w14:paraId="284C98CF" w14:textId="5C2EC934"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EN standardı yoktur.</w:t>
            </w:r>
          </w:p>
        </w:tc>
        <w:tc>
          <w:tcPr>
            <w:tcW w:w="1385" w:type="dxa"/>
            <w:vAlign w:val="center"/>
          </w:tcPr>
          <w:p w14:paraId="1D8EFA9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Üç ayda bir</w:t>
            </w:r>
          </w:p>
        </w:tc>
        <w:tc>
          <w:tcPr>
            <w:tcW w:w="1122" w:type="dxa"/>
            <w:vAlign w:val="center"/>
          </w:tcPr>
          <w:p w14:paraId="112F5D7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MET 14 ve MET 81</w:t>
            </w:r>
          </w:p>
        </w:tc>
      </w:tr>
      <w:tr w:rsidR="00BB704F" w:rsidRPr="00F50C10" w14:paraId="0AC050D2" w14:textId="77777777" w:rsidTr="00BB704F">
        <w:trPr>
          <w:trHeight w:val="626"/>
        </w:trPr>
        <w:tc>
          <w:tcPr>
            <w:tcW w:w="9062" w:type="dxa"/>
            <w:gridSpan w:val="6"/>
            <w:vAlign w:val="center"/>
          </w:tcPr>
          <w:p w14:paraId="53EB73A5" w14:textId="2151A333" w:rsidR="006740ED"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i/>
                <w:iCs/>
                <w:szCs w:val="24"/>
                <w:lang w:val="tr-TR" w:bidi="tr-TR"/>
              </w:rPr>
              <w:t xml:space="preserve">(1) </w:t>
            </w:r>
            <w:r w:rsidR="006740ED" w:rsidRPr="00F50C10">
              <w:rPr>
                <w:rFonts w:eastAsia="Times New Roman" w:cs="Times New Roman"/>
                <w:szCs w:val="24"/>
                <w:lang w:val="tr-TR"/>
              </w:rPr>
              <w:t>Katı madde ve bakır gideriminin yeterli performansı diğer parametrelerin sık sık izlenmesi ile kontrol ediliyorsa (örneğin sürekli bulanıklık ölçümü ile) minimum izleme sıklığı ayda bire düşürülebilir.</w:t>
            </w:r>
          </w:p>
        </w:tc>
      </w:tr>
    </w:tbl>
    <w:p w14:paraId="22847873" w14:textId="40223319" w:rsidR="00BB704F" w:rsidRPr="00F50C10" w:rsidRDefault="00BB704F" w:rsidP="000B206D">
      <w:pPr>
        <w:widowControl w:val="0"/>
        <w:autoSpaceDE w:val="0"/>
        <w:autoSpaceDN w:val="0"/>
        <w:spacing w:before="240" w:line="276" w:lineRule="auto"/>
        <w:rPr>
          <w:rFonts w:eastAsia="Times New Roman" w:cs="Times New Roman"/>
          <w:b/>
          <w:bCs/>
          <w:szCs w:val="24"/>
          <w:lang w:val="tr-TR" w:bidi="tr-TR"/>
        </w:rPr>
      </w:pPr>
      <w:r w:rsidRPr="00F50C10">
        <w:rPr>
          <w:rFonts w:eastAsia="Times New Roman" w:cs="Times New Roman"/>
          <w:b/>
          <w:bCs/>
          <w:szCs w:val="24"/>
          <w:lang w:val="tr-TR" w:bidi="tr-TR"/>
        </w:rPr>
        <w:t xml:space="preserve">MET 80: </w:t>
      </w:r>
      <w:r w:rsidRPr="00F50C10">
        <w:rPr>
          <w:rFonts w:eastAsia="Times New Roman" w:cs="Times New Roman"/>
          <w:szCs w:val="24"/>
          <w:lang w:val="tr-TR" w:bidi="tr-TR"/>
        </w:rPr>
        <w:t>İleri atık su arıtımına boşaltılan klorlu bileşik yükünü azaltmak ve atık su toplama ve arıtma sisteminden hava emisyonlarını azaltmak için, kaynağa mümkün olduğunca yakın hidroliz ve sıyırma kullan</w:t>
      </w:r>
      <w:r w:rsidR="00C620EA" w:rsidRPr="00F50C10">
        <w:rPr>
          <w:rFonts w:eastAsia="Times New Roman" w:cs="Times New Roman"/>
          <w:szCs w:val="24"/>
          <w:lang w:val="tr-TR" w:bidi="tr-TR"/>
        </w:rPr>
        <w:t>ıl</w:t>
      </w:r>
      <w:r w:rsidRPr="00F50C10">
        <w:rPr>
          <w:rFonts w:eastAsia="Times New Roman" w:cs="Times New Roman"/>
          <w:szCs w:val="24"/>
          <w:lang w:val="tr-TR" w:bidi="tr-TR"/>
        </w:rPr>
        <w:t>ır.</w:t>
      </w:r>
    </w:p>
    <w:p w14:paraId="5754FFE7" w14:textId="77777777" w:rsidR="00BB704F" w:rsidRPr="00F50C10" w:rsidRDefault="00BB704F" w:rsidP="000B206D">
      <w:pPr>
        <w:widowControl w:val="0"/>
        <w:autoSpaceDE w:val="0"/>
        <w:autoSpaceDN w:val="0"/>
        <w:spacing w:before="240" w:line="276" w:lineRule="auto"/>
        <w:rPr>
          <w:rFonts w:eastAsia="Times New Roman" w:cs="Times New Roman"/>
          <w:szCs w:val="24"/>
          <w:lang w:val="tr-TR" w:bidi="tr-TR"/>
        </w:rPr>
      </w:pPr>
      <w:r w:rsidRPr="00F50C10">
        <w:rPr>
          <w:rFonts w:eastAsia="Times New Roman" w:cs="Times New Roman"/>
          <w:szCs w:val="24"/>
          <w:lang w:val="tr-TR" w:bidi="tr-TR"/>
        </w:rPr>
        <w:t>Hidroliz ve sıyırma açıklaması için</w:t>
      </w:r>
      <w:hyperlink w:anchor="_bookmark801" w:history="1">
        <w:r w:rsidRPr="00F50C10">
          <w:rPr>
            <w:rFonts w:eastAsia="Times New Roman" w:cs="Times New Roman"/>
            <w:szCs w:val="24"/>
            <w:lang w:val="tr-TR" w:bidi="tr-TR"/>
          </w:rPr>
          <w:t xml:space="preserve"> </w:t>
        </w:r>
        <w:r w:rsidRPr="00F50C10">
          <w:rPr>
            <w:rFonts w:eastAsia="Times New Roman" w:cs="Times New Roman"/>
            <w:szCs w:val="24"/>
            <w:lang w:val="tr-TR" w:bidi="tr-TR"/>
          </w:rPr>
          <w:fldChar w:fldCharType="begin"/>
        </w:r>
        <w:r w:rsidRPr="00F50C10">
          <w:rPr>
            <w:rFonts w:eastAsia="Times New Roman" w:cs="Times New Roman"/>
            <w:szCs w:val="24"/>
            <w:lang w:val="tr-TR" w:bidi="tr-TR"/>
          </w:rPr>
          <w:instrText xml:space="preserve"> REF _Ref133315375 \n \h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bidi="tr-TR"/>
          </w:rPr>
          <w:t>12.2</w:t>
        </w:r>
        <w:r w:rsidRPr="00F50C10">
          <w:rPr>
            <w:rFonts w:eastAsia="Times New Roman" w:cs="Times New Roman"/>
            <w:szCs w:val="24"/>
            <w:lang w:val="tr-TR" w:bidi="tr-TR"/>
          </w:rPr>
          <w:fldChar w:fldCharType="end"/>
        </w:r>
      </w:hyperlink>
      <w:r w:rsidRPr="00F50C10">
        <w:rPr>
          <w:rFonts w:eastAsia="Times New Roman" w:cs="Times New Roman"/>
          <w:szCs w:val="24"/>
          <w:lang w:val="tr-TR" w:bidi="tr-TR"/>
        </w:rPr>
        <w:t>. Bölüme bakınız. Hidroliz, oksiklorlama işleminden çıkan kloral hidratı ayrıştırmak için alkali pH'ta gerçekleştirilir. Bu, daha sonra EDC ve VCM ile birlikte sıyırma yoluyla uzaklaştırılan kloroformun oluşmasıyla sonuçlanır.</w:t>
      </w:r>
    </w:p>
    <w:p w14:paraId="72EA1D9A" w14:textId="4D1B8690" w:rsidR="00BB704F" w:rsidRPr="00F50C10" w:rsidRDefault="00BB704F" w:rsidP="000B206D">
      <w:pPr>
        <w:widowControl w:val="0"/>
        <w:autoSpaceDE w:val="0"/>
        <w:autoSpaceDN w:val="0"/>
        <w:spacing w:before="240" w:line="276" w:lineRule="auto"/>
        <w:rPr>
          <w:rFonts w:eastAsia="Times New Roman" w:cs="Times New Roman"/>
          <w:szCs w:val="24"/>
          <w:lang w:val="tr-TR" w:bidi="tr-TR"/>
        </w:rPr>
      </w:pPr>
      <w:r w:rsidRPr="00F50C10">
        <w:rPr>
          <w:rFonts w:eastAsia="Times New Roman" w:cs="Times New Roman"/>
          <w:szCs w:val="24"/>
          <w:lang w:val="tr-TR" w:bidi="tr-TR"/>
        </w:rPr>
        <w:t>MET ile ilişkili çevresel performans seviyeleri (MET-İÇPS'ler)</w:t>
      </w:r>
      <w:r w:rsidR="00F34985" w:rsidRPr="00F50C10">
        <w:rPr>
          <w:rFonts w:eastAsia="Times New Roman" w:cs="Times New Roman"/>
          <w:szCs w:val="24"/>
          <w:lang w:val="tr-TR" w:bidi="tr-TR"/>
        </w:rPr>
        <w:t xml:space="preserve"> için</w:t>
      </w:r>
      <w:r w:rsidRPr="00F50C10">
        <w:rPr>
          <w:rFonts w:eastAsia="Times New Roman" w:cs="Times New Roman"/>
          <w:szCs w:val="24"/>
          <w:lang w:val="tr-TR" w:bidi="tr-TR"/>
        </w:rPr>
        <w:t xml:space="preserve">. Tablo </w:t>
      </w:r>
      <w:r w:rsidR="00F34985" w:rsidRPr="00F50C10">
        <w:rPr>
          <w:rFonts w:eastAsia="Times New Roman" w:cs="Times New Roman"/>
          <w:szCs w:val="24"/>
          <w:lang w:val="tr-TR" w:bidi="tr-TR"/>
        </w:rPr>
        <w:t>10.3’e bakınız.</w:t>
      </w:r>
    </w:p>
    <w:p w14:paraId="0496810B" w14:textId="6F1317A9" w:rsidR="00BB704F" w:rsidRPr="00F50C10" w:rsidRDefault="00BB704F" w:rsidP="000B206D">
      <w:pPr>
        <w:widowControl w:val="0"/>
        <w:autoSpaceDE w:val="0"/>
        <w:autoSpaceDN w:val="0"/>
        <w:spacing w:before="240" w:line="276" w:lineRule="auto"/>
        <w:rPr>
          <w:rFonts w:eastAsia="Times New Roman" w:cs="Times New Roman"/>
          <w:szCs w:val="24"/>
          <w:lang w:val="tr-TR" w:bidi="tr-TR"/>
        </w:rPr>
      </w:pPr>
      <w:r w:rsidRPr="00F50C10">
        <w:rPr>
          <w:rFonts w:eastAsia="Times New Roman" w:cs="Times New Roman"/>
          <w:szCs w:val="24"/>
          <w:lang w:val="tr-TR" w:bidi="tr-TR"/>
        </w:rPr>
        <w:t>Nihai arıtmanın çıkışından alıcı su kütlesine doğrudan emisyonlar için MET ile ilişkili emisyon seviyeleri (MET-İES'ler)</w:t>
      </w:r>
      <w:r w:rsidR="00F34985" w:rsidRPr="00F50C10">
        <w:rPr>
          <w:rFonts w:eastAsia="Times New Roman" w:cs="Times New Roman"/>
          <w:szCs w:val="24"/>
          <w:lang w:val="tr-TR" w:bidi="tr-TR"/>
        </w:rPr>
        <w:t xml:space="preserve"> için </w:t>
      </w:r>
      <w:r w:rsidRPr="00F50C10">
        <w:rPr>
          <w:rFonts w:eastAsia="Times New Roman" w:cs="Times New Roman"/>
          <w:szCs w:val="24"/>
          <w:lang w:val="tr-TR" w:bidi="tr-TR"/>
        </w:rPr>
        <w:t xml:space="preserve"> Tablo 1</w:t>
      </w:r>
      <w:r w:rsidR="00F34985" w:rsidRPr="00F50C10">
        <w:rPr>
          <w:rFonts w:eastAsia="Times New Roman" w:cs="Times New Roman"/>
          <w:szCs w:val="24"/>
          <w:lang w:val="tr-TR" w:bidi="tr-TR"/>
        </w:rPr>
        <w:t>0.5’e bakınız.</w:t>
      </w:r>
    </w:p>
    <w:p w14:paraId="1CE13919" w14:textId="7EA52152" w:rsidR="00BB704F" w:rsidRPr="00F50C10" w:rsidRDefault="00F34985" w:rsidP="000B206D">
      <w:pPr>
        <w:spacing w:before="240" w:line="276" w:lineRule="auto"/>
        <w:rPr>
          <w:rFonts w:eastAsia="Calibri" w:cs="Times New Roman"/>
          <w:b/>
          <w:iCs/>
          <w:color w:val="000000"/>
          <w:szCs w:val="24"/>
        </w:rPr>
      </w:pPr>
      <w:r w:rsidRPr="00F50C10">
        <w:rPr>
          <w:rFonts w:eastAsia="Calibri" w:cs="Times New Roman"/>
          <w:b/>
          <w:iCs/>
          <w:color w:val="000000"/>
          <w:szCs w:val="24"/>
        </w:rPr>
        <w:t>Tablo 10.3.</w:t>
      </w:r>
      <w:r w:rsidR="00BB704F" w:rsidRPr="00F50C10">
        <w:rPr>
          <w:rFonts w:eastAsia="Calibri" w:cs="Times New Roman"/>
          <w:b/>
          <w:iCs/>
          <w:color w:val="000000"/>
          <w:szCs w:val="24"/>
        </w:rPr>
        <w:t xml:space="preserve">Atık su sıyırıcının çıkışındaki atık sudaki klorlu hidrokarbonlar için MET-İÇPS’ler </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6"/>
        <w:gridCol w:w="6361"/>
      </w:tblGrid>
      <w:tr w:rsidR="00BB704F" w:rsidRPr="00F50C10" w14:paraId="1CB9E866" w14:textId="77777777" w:rsidTr="00BB704F">
        <w:trPr>
          <w:trHeight w:val="460"/>
        </w:trPr>
        <w:tc>
          <w:tcPr>
            <w:tcW w:w="1257" w:type="pct"/>
          </w:tcPr>
          <w:p w14:paraId="07582D1B" w14:textId="77777777" w:rsidR="00BB704F" w:rsidRPr="00F50C10" w:rsidRDefault="00BB704F" w:rsidP="000B206D">
            <w:pPr>
              <w:spacing w:line="276" w:lineRule="auto"/>
              <w:ind w:left="108"/>
              <w:jc w:val="center"/>
              <w:rPr>
                <w:rFonts w:eastAsia="Times New Roman" w:cs="Times New Roman"/>
                <w:b/>
                <w:szCs w:val="24"/>
                <w:lang w:val="tr-TR"/>
              </w:rPr>
            </w:pPr>
            <w:r w:rsidRPr="00F50C10">
              <w:rPr>
                <w:rFonts w:eastAsia="Times New Roman" w:cs="Times New Roman"/>
                <w:b/>
                <w:szCs w:val="24"/>
                <w:lang w:val="tr-TR" w:bidi="tr-TR"/>
              </w:rPr>
              <w:t>Parametre</w:t>
            </w:r>
          </w:p>
        </w:tc>
        <w:tc>
          <w:tcPr>
            <w:tcW w:w="3743" w:type="pct"/>
          </w:tcPr>
          <w:p w14:paraId="5CC7210D"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MET-İÇPS</w:t>
            </w:r>
          </w:p>
          <w:p w14:paraId="5E4BCB0F"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b/>
                <w:szCs w:val="24"/>
                <w:lang w:val="tr-TR" w:bidi="tr-TR"/>
              </w:rPr>
              <w:t>(bir ay boyunca elde edilen değerlerin ortalaması)</w:t>
            </w:r>
            <w:r w:rsidRPr="00F50C10">
              <w:rPr>
                <w:rFonts w:eastAsia="Times New Roman" w:cs="Times New Roman"/>
                <w:szCs w:val="24"/>
                <w:lang w:val="tr-TR" w:bidi="tr-TR"/>
              </w:rPr>
              <w:t>(</w:t>
            </w:r>
            <w:r w:rsidRPr="00F50C10">
              <w:rPr>
                <w:rFonts w:eastAsia="Times New Roman" w:cs="Times New Roman"/>
                <w:szCs w:val="24"/>
                <w:vertAlign w:val="superscript"/>
                <w:lang w:val="tr-TR" w:bidi="tr-TR"/>
              </w:rPr>
              <w:t>1</w:t>
            </w:r>
            <w:r w:rsidRPr="00F50C10">
              <w:rPr>
                <w:rFonts w:eastAsia="Times New Roman" w:cs="Times New Roman"/>
                <w:szCs w:val="24"/>
                <w:lang w:val="tr-TR" w:bidi="tr-TR"/>
              </w:rPr>
              <w:t>)</w:t>
            </w:r>
          </w:p>
        </w:tc>
      </w:tr>
      <w:tr w:rsidR="00BB704F" w:rsidRPr="00F50C10" w14:paraId="18DDA0A5" w14:textId="77777777" w:rsidTr="00BB704F">
        <w:trPr>
          <w:trHeight w:val="230"/>
        </w:trPr>
        <w:tc>
          <w:tcPr>
            <w:tcW w:w="1257" w:type="pct"/>
          </w:tcPr>
          <w:p w14:paraId="231564C0" w14:textId="77777777" w:rsidR="00BB704F" w:rsidRPr="00F50C10" w:rsidRDefault="00BB704F" w:rsidP="000B206D">
            <w:pPr>
              <w:spacing w:line="276" w:lineRule="auto"/>
              <w:ind w:left="108"/>
              <w:rPr>
                <w:rFonts w:eastAsia="Times New Roman" w:cs="Times New Roman"/>
                <w:szCs w:val="24"/>
                <w:lang w:val="tr-TR"/>
              </w:rPr>
            </w:pPr>
            <w:r w:rsidRPr="00F50C10">
              <w:rPr>
                <w:rFonts w:eastAsia="Times New Roman" w:cs="Times New Roman"/>
                <w:szCs w:val="24"/>
                <w:lang w:val="tr-TR" w:bidi="tr-TR"/>
              </w:rPr>
              <w:t>EDC</w:t>
            </w:r>
          </w:p>
        </w:tc>
        <w:tc>
          <w:tcPr>
            <w:tcW w:w="3743" w:type="pct"/>
          </w:tcPr>
          <w:p w14:paraId="06C6EF79"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0,1–0,4 mg/l</w:t>
            </w:r>
          </w:p>
        </w:tc>
      </w:tr>
      <w:tr w:rsidR="00BB704F" w:rsidRPr="00F50C10" w14:paraId="2E94A8AF" w14:textId="77777777" w:rsidTr="00BB704F">
        <w:trPr>
          <w:trHeight w:val="230"/>
        </w:trPr>
        <w:tc>
          <w:tcPr>
            <w:tcW w:w="1257" w:type="pct"/>
          </w:tcPr>
          <w:p w14:paraId="09688973" w14:textId="77777777" w:rsidR="00BB704F" w:rsidRPr="00F50C10" w:rsidRDefault="00BB704F" w:rsidP="000B206D">
            <w:pPr>
              <w:spacing w:line="276" w:lineRule="auto"/>
              <w:ind w:left="108"/>
              <w:rPr>
                <w:rFonts w:eastAsia="Times New Roman" w:cs="Times New Roman"/>
                <w:szCs w:val="24"/>
                <w:lang w:val="tr-TR"/>
              </w:rPr>
            </w:pPr>
            <w:r w:rsidRPr="00F50C10">
              <w:rPr>
                <w:rFonts w:eastAsia="Times New Roman" w:cs="Times New Roman"/>
                <w:szCs w:val="24"/>
                <w:lang w:val="tr-TR" w:bidi="tr-TR"/>
              </w:rPr>
              <w:t>VCM</w:t>
            </w:r>
          </w:p>
        </w:tc>
        <w:tc>
          <w:tcPr>
            <w:tcW w:w="3743" w:type="pct"/>
          </w:tcPr>
          <w:p w14:paraId="0A6DBA67"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&lt; 0,05 mg/l</w:t>
            </w:r>
          </w:p>
        </w:tc>
      </w:tr>
      <w:tr w:rsidR="00BB704F" w:rsidRPr="00F50C10" w14:paraId="278F9B06" w14:textId="77777777" w:rsidTr="00BB704F">
        <w:trPr>
          <w:trHeight w:val="414"/>
        </w:trPr>
        <w:tc>
          <w:tcPr>
            <w:tcW w:w="5000" w:type="pct"/>
            <w:gridSpan w:val="2"/>
          </w:tcPr>
          <w:p w14:paraId="1817FBF2" w14:textId="77777777" w:rsidR="00BB704F" w:rsidRPr="00F50C10" w:rsidRDefault="00BB704F" w:rsidP="000B206D">
            <w:pPr>
              <w:numPr>
                <w:ilvl w:val="0"/>
                <w:numId w:val="17"/>
              </w:numPr>
              <w:spacing w:line="276" w:lineRule="auto"/>
              <w:jc w:val="left"/>
              <w:rPr>
                <w:rFonts w:eastAsia="Times New Roman" w:cs="Times New Roman"/>
                <w:i/>
                <w:iCs/>
                <w:szCs w:val="24"/>
                <w:lang w:val="tr-TR" w:bidi="tr-TR"/>
              </w:rPr>
            </w:pPr>
            <w:r w:rsidRPr="00F50C10">
              <w:rPr>
                <w:rFonts w:eastAsia="Times New Roman" w:cs="Times New Roman"/>
                <w:i/>
                <w:iCs/>
                <w:szCs w:val="24"/>
                <w:lang w:val="tr-TR" w:bidi="tr-TR"/>
              </w:rPr>
              <w:t>Bir ayda elde edilen değerlerin ortalaması, her bir ayda elde edilen değerlerin ortalamalarından hesaplanır.</w:t>
            </w:r>
          </w:p>
          <w:p w14:paraId="6B29397F" w14:textId="7D18285D" w:rsidR="00BB704F" w:rsidRPr="00F50C10" w:rsidRDefault="00C620EA" w:rsidP="000B206D">
            <w:pPr>
              <w:spacing w:line="276" w:lineRule="auto"/>
              <w:ind w:left="108"/>
              <w:jc w:val="left"/>
              <w:rPr>
                <w:rFonts w:eastAsia="Times New Roman" w:cs="Times New Roman"/>
                <w:szCs w:val="24"/>
                <w:lang w:val="tr-TR" w:bidi="tr-TR"/>
              </w:rPr>
            </w:pPr>
            <w:r w:rsidRPr="00F50C10">
              <w:rPr>
                <w:rFonts w:eastAsia="Times New Roman" w:cs="Times New Roman"/>
                <w:i/>
                <w:iCs/>
                <w:szCs w:val="24"/>
                <w:lang w:val="tr-TR" w:bidi="tr-TR"/>
              </w:rPr>
              <w:t xml:space="preserve">(her gün </w:t>
            </w:r>
            <w:r w:rsidR="00BB704F" w:rsidRPr="00F50C10">
              <w:rPr>
                <w:rFonts w:eastAsia="Times New Roman" w:cs="Times New Roman"/>
                <w:i/>
                <w:iCs/>
                <w:szCs w:val="24"/>
                <w:lang w:val="tr-TR" w:bidi="tr-TR"/>
              </w:rPr>
              <w:t>en az yarım saatlik aralıklarla en az üç spot numune alınır).</w:t>
            </w:r>
          </w:p>
        </w:tc>
      </w:tr>
    </w:tbl>
    <w:p w14:paraId="4B3AFF95" w14:textId="77777777" w:rsidR="00BB704F" w:rsidRPr="00F50C10" w:rsidRDefault="00BB704F" w:rsidP="000B206D">
      <w:pPr>
        <w:widowControl w:val="0"/>
        <w:autoSpaceDE w:val="0"/>
        <w:autoSpaceDN w:val="0"/>
        <w:spacing w:line="276" w:lineRule="auto"/>
        <w:jc w:val="left"/>
        <w:rPr>
          <w:rFonts w:eastAsia="Times New Roman" w:cs="Times New Roman"/>
          <w:szCs w:val="24"/>
        </w:rPr>
      </w:pPr>
    </w:p>
    <w:p w14:paraId="316BDF21" w14:textId="77777777" w:rsidR="00BB704F" w:rsidRPr="00F50C10" w:rsidRDefault="00BB704F" w:rsidP="000B206D">
      <w:pPr>
        <w:widowControl w:val="0"/>
        <w:autoSpaceDE w:val="0"/>
        <w:autoSpaceDN w:val="0"/>
        <w:spacing w:before="240" w:line="276" w:lineRule="auto"/>
        <w:jc w:val="left"/>
        <w:rPr>
          <w:rFonts w:eastAsia="Times New Roman" w:cs="Times New Roman"/>
          <w:szCs w:val="24"/>
          <w:lang w:val="nl-NL" w:bidi="tr-TR"/>
        </w:rPr>
      </w:pPr>
      <w:r w:rsidRPr="00F50C10">
        <w:rPr>
          <w:rFonts w:eastAsia="Times New Roman" w:cs="Times New Roman"/>
          <w:szCs w:val="24"/>
          <w:lang w:val="nl-NL" w:bidi="tr-TR"/>
        </w:rPr>
        <w:t>İlgili izleme MET 79 kapsamındadır.</w:t>
      </w:r>
    </w:p>
    <w:p w14:paraId="4906B682" w14:textId="1C35198B" w:rsidR="00F34985" w:rsidRPr="00F50C10" w:rsidRDefault="00BB704F" w:rsidP="000B206D">
      <w:pPr>
        <w:widowControl w:val="0"/>
        <w:autoSpaceDE w:val="0"/>
        <w:autoSpaceDN w:val="0"/>
        <w:spacing w:before="240" w:line="276" w:lineRule="auto"/>
        <w:rPr>
          <w:rFonts w:eastAsia="Times New Roman" w:cs="Times New Roman"/>
          <w:szCs w:val="24"/>
          <w:lang w:val="nl-NL" w:bidi="tr-TR"/>
        </w:rPr>
      </w:pPr>
      <w:r w:rsidRPr="00F50C10">
        <w:rPr>
          <w:rFonts w:eastAsia="Times New Roman" w:cs="Times New Roman"/>
          <w:b/>
          <w:bCs/>
          <w:szCs w:val="24"/>
          <w:lang w:val="nl-NL" w:bidi="tr-TR"/>
        </w:rPr>
        <w:t xml:space="preserve">MET 81: </w:t>
      </w:r>
      <w:r w:rsidRPr="00F50C10">
        <w:rPr>
          <w:rFonts w:eastAsia="Times New Roman" w:cs="Times New Roman"/>
          <w:szCs w:val="24"/>
          <w:lang w:val="nl-NL" w:bidi="tr-TR"/>
        </w:rPr>
        <w:t xml:space="preserve">Oksiklorlama işleminden PCDD/F ve bakırın suya deşarjlar ını azaltmak için, aşağıda verilen teknik a veya alternatif olarak teknik </w:t>
      </w:r>
      <w:r w:rsidR="00F34985" w:rsidRPr="00F50C10">
        <w:rPr>
          <w:rFonts w:eastAsia="Times New Roman" w:cs="Times New Roman"/>
          <w:szCs w:val="24"/>
          <w:lang w:val="nl-NL" w:bidi="tr-TR"/>
        </w:rPr>
        <w:t>b’yi teknik c</w:t>
      </w:r>
      <w:r w:rsidRPr="00F50C10">
        <w:rPr>
          <w:rFonts w:eastAsia="Times New Roman" w:cs="Times New Roman"/>
          <w:szCs w:val="24"/>
          <w:lang w:val="nl-NL" w:bidi="tr-TR"/>
        </w:rPr>
        <w:t>, d ve e’nin uygun bir kombinasyonu ile birlikte kullanı</w:t>
      </w:r>
      <w:r w:rsidR="007D646B" w:rsidRPr="00F50C10">
        <w:rPr>
          <w:rFonts w:eastAsia="Times New Roman" w:cs="Times New Roman"/>
          <w:szCs w:val="24"/>
          <w:lang w:val="nl-NL" w:bidi="tr-TR"/>
        </w:rPr>
        <w:t>l</w:t>
      </w:r>
      <w:r w:rsidRPr="00F50C10">
        <w:rPr>
          <w:rFonts w:eastAsia="Times New Roman" w:cs="Times New Roman"/>
          <w:szCs w:val="24"/>
          <w:lang w:val="nl-NL" w:bidi="tr-TR"/>
        </w:rPr>
        <w:t>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
        <w:gridCol w:w="65"/>
        <w:gridCol w:w="2103"/>
        <w:gridCol w:w="3240"/>
        <w:gridCol w:w="2809"/>
      </w:tblGrid>
      <w:tr w:rsidR="00BB704F" w:rsidRPr="00F50C10" w14:paraId="284DCDA9" w14:textId="77777777" w:rsidTr="00BB704F">
        <w:trPr>
          <w:trHeight w:val="230"/>
          <w:tblHeader/>
        </w:trPr>
        <w:tc>
          <w:tcPr>
            <w:tcW w:w="154" w:type="pct"/>
          </w:tcPr>
          <w:p w14:paraId="67C6E4ED" w14:textId="77777777" w:rsidR="00BB704F" w:rsidRPr="00F50C10" w:rsidRDefault="00BB704F" w:rsidP="000B206D">
            <w:pPr>
              <w:spacing w:line="276" w:lineRule="auto"/>
              <w:ind w:right="108"/>
              <w:jc w:val="left"/>
              <w:rPr>
                <w:rFonts w:eastAsia="Times New Roman" w:cs="Times New Roman"/>
                <w:b/>
                <w:szCs w:val="24"/>
                <w:lang w:val="tr-TR"/>
              </w:rPr>
            </w:pPr>
          </w:p>
        </w:tc>
        <w:tc>
          <w:tcPr>
            <w:tcW w:w="1278" w:type="pct"/>
            <w:gridSpan w:val="2"/>
          </w:tcPr>
          <w:p w14:paraId="544946C4"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1911" w:type="pct"/>
          </w:tcPr>
          <w:p w14:paraId="1A2CB1E9"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657" w:type="pct"/>
          </w:tcPr>
          <w:p w14:paraId="3FB1EFEB"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25F8182F" w14:textId="77777777" w:rsidTr="00BB704F">
        <w:trPr>
          <w:trHeight w:val="230"/>
        </w:trPr>
        <w:tc>
          <w:tcPr>
            <w:tcW w:w="5000" w:type="pct"/>
            <w:gridSpan w:val="5"/>
          </w:tcPr>
          <w:p w14:paraId="4BD78437" w14:textId="77777777" w:rsidR="00BB704F" w:rsidRPr="00F50C10" w:rsidRDefault="00BB704F" w:rsidP="000B206D">
            <w:pPr>
              <w:spacing w:line="276" w:lineRule="auto"/>
              <w:ind w:left="108" w:right="108"/>
              <w:jc w:val="center"/>
              <w:rPr>
                <w:rFonts w:eastAsia="Times New Roman" w:cs="Times New Roman"/>
                <w:b/>
                <w:i/>
                <w:szCs w:val="24"/>
                <w:lang w:val="tr-TR"/>
              </w:rPr>
            </w:pPr>
            <w:r w:rsidRPr="00F50C10">
              <w:rPr>
                <w:rFonts w:eastAsia="Times New Roman" w:cs="Times New Roman"/>
                <w:b/>
                <w:i/>
                <w:szCs w:val="24"/>
                <w:lang w:val="tr-TR" w:bidi="tr-TR"/>
              </w:rPr>
              <w:t>Prosese entegre teknikler</w:t>
            </w:r>
          </w:p>
        </w:tc>
      </w:tr>
      <w:tr w:rsidR="00BB704F" w:rsidRPr="00F50C10" w14:paraId="31523DFC" w14:textId="77777777" w:rsidTr="00BB704F">
        <w:trPr>
          <w:trHeight w:val="919"/>
        </w:trPr>
        <w:tc>
          <w:tcPr>
            <w:tcW w:w="190" w:type="pct"/>
            <w:gridSpan w:val="2"/>
          </w:tcPr>
          <w:p w14:paraId="39C4939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242" w:type="pct"/>
          </w:tcPr>
          <w:p w14:paraId="45601EB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Oksiklorlama için sabit yataklı tasarım</w:t>
            </w:r>
          </w:p>
        </w:tc>
        <w:tc>
          <w:tcPr>
            <w:tcW w:w="1911" w:type="pct"/>
          </w:tcPr>
          <w:p w14:paraId="1387382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Oksiklorlama reaksiyon tasarımı: sabit yataklı reaktörde, üstten gelen gazlı akımda bulunan katalizör partikülleri azaltılır.</w:t>
            </w:r>
          </w:p>
        </w:tc>
        <w:tc>
          <w:tcPr>
            <w:tcW w:w="1657" w:type="pct"/>
          </w:tcPr>
          <w:p w14:paraId="4582430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Akışkan yatak tasarımını kullanan mevcut tesisler için geçerli değildir</w:t>
            </w:r>
          </w:p>
        </w:tc>
      </w:tr>
      <w:tr w:rsidR="00BB704F" w:rsidRPr="00F50C10" w14:paraId="4960D7FC" w14:textId="77777777" w:rsidTr="00BB704F">
        <w:trPr>
          <w:trHeight w:val="920"/>
        </w:trPr>
        <w:tc>
          <w:tcPr>
            <w:tcW w:w="190" w:type="pct"/>
            <w:gridSpan w:val="2"/>
          </w:tcPr>
          <w:p w14:paraId="3B20A93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242" w:type="pct"/>
          </w:tcPr>
          <w:p w14:paraId="6F0967F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Siklon veya kuru katalizör filtreleme sistemi</w:t>
            </w:r>
          </w:p>
        </w:tc>
        <w:tc>
          <w:tcPr>
            <w:tcW w:w="1911" w:type="pct"/>
          </w:tcPr>
          <w:p w14:paraId="56E5802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Bir siklon veya kuru katalizör filtrasyon sistemi, reaktörden katalizör kayıplarını ve bunların atık suya transferini azaltır.</w:t>
            </w:r>
          </w:p>
        </w:tc>
        <w:tc>
          <w:tcPr>
            <w:tcW w:w="1657" w:type="pct"/>
          </w:tcPr>
          <w:p w14:paraId="3D7194A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akışkan yatak tasarımını kullanan tesislere uygulanabilir</w:t>
            </w:r>
          </w:p>
        </w:tc>
      </w:tr>
      <w:tr w:rsidR="00BB704F" w:rsidRPr="00F50C10" w14:paraId="021DDBD5" w14:textId="77777777" w:rsidTr="00BB704F">
        <w:trPr>
          <w:trHeight w:val="230"/>
        </w:trPr>
        <w:tc>
          <w:tcPr>
            <w:tcW w:w="5000" w:type="pct"/>
            <w:gridSpan w:val="5"/>
          </w:tcPr>
          <w:p w14:paraId="234AA80E" w14:textId="77777777" w:rsidR="00BB704F" w:rsidRPr="00F50C10" w:rsidRDefault="00BB704F" w:rsidP="000B206D">
            <w:pPr>
              <w:spacing w:line="276" w:lineRule="auto"/>
              <w:ind w:left="108" w:right="108"/>
              <w:rPr>
                <w:rFonts w:eastAsia="Times New Roman" w:cs="Times New Roman"/>
                <w:b/>
                <w:i/>
                <w:szCs w:val="24"/>
                <w:lang w:val="tr-TR"/>
              </w:rPr>
            </w:pPr>
            <w:r w:rsidRPr="00F50C10">
              <w:rPr>
                <w:rFonts w:eastAsia="Times New Roman" w:cs="Times New Roman"/>
                <w:b/>
                <w:i/>
                <w:szCs w:val="24"/>
                <w:lang w:val="tr-TR" w:bidi="tr-TR"/>
              </w:rPr>
              <w:t>Atık su ön arıtma</w:t>
            </w:r>
          </w:p>
        </w:tc>
      </w:tr>
      <w:tr w:rsidR="00BB704F" w:rsidRPr="00F50C10" w14:paraId="63A2C78A" w14:textId="77777777" w:rsidTr="00BB704F">
        <w:trPr>
          <w:trHeight w:val="688"/>
        </w:trPr>
        <w:tc>
          <w:tcPr>
            <w:tcW w:w="190" w:type="pct"/>
            <w:gridSpan w:val="2"/>
          </w:tcPr>
          <w:p w14:paraId="4E873D7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242" w:type="pct"/>
          </w:tcPr>
          <w:p w14:paraId="354CE15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Kimyasal çökeltme</w:t>
            </w:r>
          </w:p>
        </w:tc>
        <w:tc>
          <w:tcPr>
            <w:tcW w:w="1911" w:type="pct"/>
            <w:vAlign w:val="center"/>
          </w:tcPr>
          <w:p w14:paraId="616D5D15" w14:textId="77777777" w:rsidR="00BB704F" w:rsidRPr="00F50C10" w:rsidRDefault="002A1746" w:rsidP="000B206D">
            <w:pPr>
              <w:spacing w:line="276" w:lineRule="auto"/>
              <w:ind w:left="108" w:right="108" w:firstLine="2"/>
              <w:rPr>
                <w:rFonts w:eastAsia="Times New Roman" w:cs="Times New Roman"/>
                <w:szCs w:val="24"/>
                <w:lang w:val="tr-TR"/>
              </w:rPr>
            </w:pPr>
            <w:hyperlink w:anchor="_bookmark801" w:history="1">
              <w:r w:rsidR="00BB704F" w:rsidRPr="00F50C10">
                <w:rPr>
                  <w:rFonts w:eastAsia="Times New Roman" w:cs="Times New Roman"/>
                  <w:szCs w:val="24"/>
                  <w:lang w:val="tr-TR" w:bidi="tr-TR"/>
                </w:rPr>
                <w:fldChar w:fldCharType="begin"/>
              </w:r>
              <w:r w:rsidR="00BB704F" w:rsidRPr="00F50C10">
                <w:rPr>
                  <w:rFonts w:eastAsia="Times New Roman" w:cs="Times New Roman"/>
                  <w:szCs w:val="24"/>
                  <w:lang w:val="tr-TR"/>
                </w:rPr>
                <w:instrText xml:space="preserve"> REF _Ref136600651 \n \h </w:instrText>
              </w:r>
              <w:r w:rsidR="00BB704F" w:rsidRPr="00F50C10">
                <w:rPr>
                  <w:rFonts w:eastAsia="Times New Roman" w:cs="Times New Roman"/>
                  <w:szCs w:val="24"/>
                  <w:lang w:val="tr-TR" w:bidi="tr-TR"/>
                </w:rPr>
                <w:instrText xml:space="preserve"> \* MERGEFORMAT </w:instrText>
              </w:r>
              <w:r w:rsidR="00BB704F" w:rsidRPr="00F50C10">
                <w:rPr>
                  <w:rFonts w:eastAsia="Times New Roman" w:cs="Times New Roman"/>
                  <w:szCs w:val="24"/>
                  <w:lang w:val="tr-TR" w:bidi="tr-TR"/>
                </w:rPr>
              </w:r>
              <w:r w:rsidR="00BB704F" w:rsidRPr="00F50C10">
                <w:rPr>
                  <w:rFonts w:eastAsia="Times New Roman" w:cs="Times New Roman"/>
                  <w:szCs w:val="24"/>
                  <w:lang w:val="tr-TR" w:bidi="tr-TR"/>
                </w:rPr>
                <w:fldChar w:fldCharType="separate"/>
              </w:r>
              <w:r w:rsidR="00BB704F" w:rsidRPr="00F50C10">
                <w:rPr>
                  <w:rFonts w:eastAsia="Times New Roman" w:cs="Times New Roman"/>
                  <w:szCs w:val="24"/>
                  <w:lang w:val="tr-TR"/>
                </w:rPr>
                <w:t>12.2</w:t>
              </w:r>
              <w:r w:rsidR="00BB704F" w:rsidRPr="00F50C10">
                <w:rPr>
                  <w:rFonts w:eastAsia="Times New Roman" w:cs="Times New Roman"/>
                  <w:szCs w:val="24"/>
                  <w:lang w:val="tr-TR" w:bidi="tr-TR"/>
                </w:rPr>
                <w:fldChar w:fldCharType="end"/>
              </w:r>
            </w:hyperlink>
            <w:r w:rsidR="00BB704F" w:rsidRPr="00F50C10">
              <w:rPr>
                <w:rFonts w:eastAsia="Times New Roman" w:cs="Times New Roman"/>
                <w:szCs w:val="24"/>
                <w:lang w:val="tr-TR" w:bidi="tr-TR"/>
              </w:rPr>
              <w:t xml:space="preserve"> kısmına bakınız.</w:t>
            </w:r>
            <w:hyperlink w:anchor="_bookmark801" w:history="1">
              <w:r w:rsidR="00BB704F" w:rsidRPr="00F50C10">
                <w:rPr>
                  <w:rFonts w:eastAsia="Times New Roman" w:cs="Times New Roman"/>
                  <w:szCs w:val="24"/>
                  <w:lang w:val="tr-TR" w:bidi="tr-TR"/>
                </w:rPr>
                <w:t xml:space="preserve"> </w:t>
              </w:r>
            </w:hyperlink>
            <w:r w:rsidR="00BB704F" w:rsidRPr="00F50C10">
              <w:rPr>
                <w:rFonts w:eastAsia="Times New Roman" w:cs="Times New Roman"/>
                <w:szCs w:val="24"/>
                <w:lang w:val="tr-TR" w:bidi="tr-TR"/>
              </w:rPr>
              <w:t>Kimyasal çökelti çıkarmak için kullanılır</w:t>
            </w:r>
          </w:p>
          <w:p w14:paraId="3B98DB5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çözünmüş bakır</w:t>
            </w:r>
          </w:p>
        </w:tc>
        <w:tc>
          <w:tcPr>
            <w:tcW w:w="1657" w:type="pct"/>
          </w:tcPr>
          <w:p w14:paraId="7223D4A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akışkan yatak tasarımını kullanan tesislere uygulanabilir</w:t>
            </w:r>
          </w:p>
        </w:tc>
      </w:tr>
      <w:tr w:rsidR="00BB704F" w:rsidRPr="00F50C10" w14:paraId="4164B73E" w14:textId="77777777" w:rsidTr="00BB704F">
        <w:trPr>
          <w:trHeight w:val="460"/>
        </w:trPr>
        <w:tc>
          <w:tcPr>
            <w:tcW w:w="190" w:type="pct"/>
            <w:gridSpan w:val="2"/>
          </w:tcPr>
          <w:p w14:paraId="76CDD91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d</w:t>
            </w:r>
          </w:p>
        </w:tc>
        <w:tc>
          <w:tcPr>
            <w:tcW w:w="1242" w:type="pct"/>
          </w:tcPr>
          <w:p w14:paraId="520F218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Koagülasyon ve flokülasyon</w:t>
            </w:r>
          </w:p>
        </w:tc>
        <w:tc>
          <w:tcPr>
            <w:tcW w:w="1911" w:type="pct"/>
          </w:tcPr>
          <w:p w14:paraId="2985F26A" w14:textId="77777777" w:rsidR="00BB704F" w:rsidRPr="00F50C10" w:rsidRDefault="002A1746" w:rsidP="000B206D">
            <w:pPr>
              <w:spacing w:line="276" w:lineRule="auto"/>
              <w:ind w:left="108" w:right="108"/>
              <w:rPr>
                <w:rFonts w:eastAsia="Times New Roman" w:cs="Times New Roman"/>
                <w:szCs w:val="24"/>
                <w:lang w:val="tr-TR"/>
              </w:rPr>
            </w:pPr>
            <w:hyperlink w:anchor="_bookmark801" w:history="1">
              <w:r w:rsidR="00BB704F" w:rsidRPr="00F50C10">
                <w:rPr>
                  <w:rFonts w:eastAsia="Times New Roman" w:cs="Times New Roman"/>
                  <w:szCs w:val="24"/>
                  <w:lang w:val="tr-TR" w:bidi="tr-TR"/>
                </w:rPr>
                <w:fldChar w:fldCharType="begin"/>
              </w:r>
              <w:r w:rsidR="00BB704F" w:rsidRPr="00F50C10">
                <w:rPr>
                  <w:rFonts w:eastAsia="Times New Roman" w:cs="Times New Roman"/>
                  <w:szCs w:val="24"/>
                  <w:lang w:val="tr-TR"/>
                </w:rPr>
                <w:instrText xml:space="preserve"> REF _Ref136600651 \n \h </w:instrText>
              </w:r>
              <w:r w:rsidR="00BB704F" w:rsidRPr="00F50C10">
                <w:rPr>
                  <w:rFonts w:eastAsia="Times New Roman" w:cs="Times New Roman"/>
                  <w:szCs w:val="24"/>
                  <w:lang w:val="tr-TR" w:bidi="tr-TR"/>
                </w:rPr>
                <w:instrText xml:space="preserve"> \* MERGEFORMAT </w:instrText>
              </w:r>
              <w:r w:rsidR="00BB704F" w:rsidRPr="00F50C10">
                <w:rPr>
                  <w:rFonts w:eastAsia="Times New Roman" w:cs="Times New Roman"/>
                  <w:szCs w:val="24"/>
                  <w:lang w:val="tr-TR" w:bidi="tr-TR"/>
                </w:rPr>
              </w:r>
              <w:r w:rsidR="00BB704F" w:rsidRPr="00F50C10">
                <w:rPr>
                  <w:rFonts w:eastAsia="Times New Roman" w:cs="Times New Roman"/>
                  <w:szCs w:val="24"/>
                  <w:lang w:val="tr-TR" w:bidi="tr-TR"/>
                </w:rPr>
                <w:fldChar w:fldCharType="separate"/>
              </w:r>
              <w:r w:rsidR="00BB704F" w:rsidRPr="00F50C10">
                <w:rPr>
                  <w:rFonts w:eastAsia="Times New Roman" w:cs="Times New Roman"/>
                  <w:szCs w:val="24"/>
                  <w:lang w:val="tr-TR"/>
                </w:rPr>
                <w:t>12.2</w:t>
              </w:r>
              <w:r w:rsidR="00BB704F" w:rsidRPr="00F50C10">
                <w:rPr>
                  <w:rFonts w:eastAsia="Times New Roman" w:cs="Times New Roman"/>
                  <w:szCs w:val="24"/>
                  <w:lang w:val="tr-TR" w:bidi="tr-TR"/>
                </w:rPr>
                <w:fldChar w:fldCharType="end"/>
              </w:r>
            </w:hyperlink>
            <w:r w:rsidR="00BB704F" w:rsidRPr="00F50C10">
              <w:rPr>
                <w:rFonts w:eastAsia="Times New Roman" w:cs="Times New Roman"/>
                <w:szCs w:val="24"/>
                <w:lang w:val="tr-TR" w:bidi="tr-TR"/>
              </w:rPr>
              <w:t xml:space="preserve"> kısmına bakınız.</w:t>
            </w:r>
          </w:p>
        </w:tc>
        <w:tc>
          <w:tcPr>
            <w:tcW w:w="1657" w:type="pct"/>
          </w:tcPr>
          <w:p w14:paraId="12B1931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akışkan yatak tasarımını kullanan tesislere uygulanabilir</w:t>
            </w:r>
          </w:p>
        </w:tc>
      </w:tr>
      <w:tr w:rsidR="00BB704F" w:rsidRPr="00F50C10" w14:paraId="416668C3" w14:textId="77777777" w:rsidTr="00BB704F">
        <w:trPr>
          <w:trHeight w:val="690"/>
        </w:trPr>
        <w:tc>
          <w:tcPr>
            <w:tcW w:w="190" w:type="pct"/>
            <w:gridSpan w:val="2"/>
          </w:tcPr>
          <w:p w14:paraId="4FD68FDA" w14:textId="77777777" w:rsidR="00BB704F" w:rsidRPr="00F50C10" w:rsidRDefault="00BB704F" w:rsidP="000B206D">
            <w:pPr>
              <w:spacing w:line="276" w:lineRule="auto"/>
              <w:ind w:left="108" w:right="108"/>
              <w:rPr>
                <w:rFonts w:eastAsia="Times New Roman" w:cs="Times New Roman"/>
                <w:b/>
                <w:szCs w:val="24"/>
                <w:lang w:val="tr-TR"/>
              </w:rPr>
            </w:pPr>
          </w:p>
          <w:p w14:paraId="75597F3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e</w:t>
            </w:r>
          </w:p>
        </w:tc>
        <w:tc>
          <w:tcPr>
            <w:tcW w:w="1242" w:type="pct"/>
          </w:tcPr>
          <w:p w14:paraId="0572B68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Membran filtrasyonu (mikro veya</w:t>
            </w:r>
          </w:p>
          <w:p w14:paraId="1CD1269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ultrafiltrasyon)</w:t>
            </w:r>
          </w:p>
        </w:tc>
        <w:tc>
          <w:tcPr>
            <w:tcW w:w="1911" w:type="pct"/>
          </w:tcPr>
          <w:p w14:paraId="1EC26EFC" w14:textId="77777777" w:rsidR="00BB704F" w:rsidRPr="00F50C10" w:rsidRDefault="002A1746" w:rsidP="000B206D">
            <w:pPr>
              <w:spacing w:line="276" w:lineRule="auto"/>
              <w:ind w:left="108" w:right="108"/>
              <w:rPr>
                <w:rFonts w:eastAsia="Times New Roman" w:cs="Times New Roman"/>
                <w:szCs w:val="24"/>
                <w:lang w:val="tr-TR"/>
              </w:rPr>
            </w:pPr>
            <w:hyperlink w:anchor="_bookmark801" w:history="1">
              <w:r w:rsidR="00BB704F" w:rsidRPr="00F50C10">
                <w:rPr>
                  <w:rFonts w:eastAsia="Times New Roman" w:cs="Times New Roman"/>
                  <w:szCs w:val="24"/>
                  <w:lang w:val="tr-TR" w:bidi="tr-TR"/>
                </w:rPr>
                <w:fldChar w:fldCharType="begin"/>
              </w:r>
              <w:r w:rsidR="00BB704F" w:rsidRPr="00F50C10">
                <w:rPr>
                  <w:rFonts w:eastAsia="Times New Roman" w:cs="Times New Roman"/>
                  <w:szCs w:val="24"/>
                  <w:lang w:val="tr-TR"/>
                </w:rPr>
                <w:instrText xml:space="preserve"> REF _Ref136600651 \n \h </w:instrText>
              </w:r>
              <w:r w:rsidR="00BB704F" w:rsidRPr="00F50C10">
                <w:rPr>
                  <w:rFonts w:eastAsia="Times New Roman" w:cs="Times New Roman"/>
                  <w:szCs w:val="24"/>
                  <w:lang w:val="tr-TR" w:bidi="tr-TR"/>
                </w:rPr>
                <w:instrText xml:space="preserve"> \* MERGEFORMAT </w:instrText>
              </w:r>
              <w:r w:rsidR="00BB704F" w:rsidRPr="00F50C10">
                <w:rPr>
                  <w:rFonts w:eastAsia="Times New Roman" w:cs="Times New Roman"/>
                  <w:szCs w:val="24"/>
                  <w:lang w:val="tr-TR" w:bidi="tr-TR"/>
                </w:rPr>
              </w:r>
              <w:r w:rsidR="00BB704F" w:rsidRPr="00F50C10">
                <w:rPr>
                  <w:rFonts w:eastAsia="Times New Roman" w:cs="Times New Roman"/>
                  <w:szCs w:val="24"/>
                  <w:lang w:val="tr-TR" w:bidi="tr-TR"/>
                </w:rPr>
                <w:fldChar w:fldCharType="separate"/>
              </w:r>
              <w:r w:rsidR="00BB704F" w:rsidRPr="00F50C10">
                <w:rPr>
                  <w:rFonts w:eastAsia="Times New Roman" w:cs="Times New Roman"/>
                  <w:szCs w:val="24"/>
                  <w:lang w:val="tr-TR"/>
                </w:rPr>
                <w:t>12.2</w:t>
              </w:r>
              <w:r w:rsidR="00BB704F" w:rsidRPr="00F50C10">
                <w:rPr>
                  <w:rFonts w:eastAsia="Times New Roman" w:cs="Times New Roman"/>
                  <w:szCs w:val="24"/>
                  <w:lang w:val="tr-TR" w:bidi="tr-TR"/>
                </w:rPr>
                <w:fldChar w:fldCharType="end"/>
              </w:r>
            </w:hyperlink>
            <w:r w:rsidR="00BB704F" w:rsidRPr="00F50C10">
              <w:rPr>
                <w:rFonts w:eastAsia="Times New Roman" w:cs="Times New Roman"/>
                <w:szCs w:val="24"/>
                <w:lang w:val="tr-TR" w:bidi="tr-TR"/>
              </w:rPr>
              <w:t xml:space="preserve"> kısmına bakınız.</w:t>
            </w:r>
          </w:p>
        </w:tc>
        <w:tc>
          <w:tcPr>
            <w:tcW w:w="1657" w:type="pct"/>
          </w:tcPr>
          <w:p w14:paraId="2428844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akışkan yatak tasarımını kullanan tesislere uygulanabilir</w:t>
            </w:r>
          </w:p>
        </w:tc>
      </w:tr>
    </w:tbl>
    <w:p w14:paraId="427F2B93" w14:textId="19C26C69" w:rsidR="00BB704F" w:rsidRPr="00F50C10" w:rsidRDefault="00F34985" w:rsidP="000B206D">
      <w:pPr>
        <w:spacing w:before="240" w:line="276" w:lineRule="auto"/>
        <w:rPr>
          <w:rFonts w:eastAsia="Calibri" w:cs="Times New Roman"/>
          <w:b/>
          <w:iCs/>
          <w:color w:val="000000"/>
          <w:szCs w:val="24"/>
        </w:rPr>
      </w:pPr>
      <w:r w:rsidRPr="00F50C10">
        <w:rPr>
          <w:rFonts w:eastAsia="Calibri" w:cs="Times New Roman"/>
          <w:b/>
          <w:iCs/>
          <w:color w:val="000000"/>
          <w:szCs w:val="24"/>
        </w:rPr>
        <w:t xml:space="preserve">Tablo 10.4. </w:t>
      </w:r>
      <w:r w:rsidR="00BB704F" w:rsidRPr="00F50C10">
        <w:rPr>
          <w:rFonts w:eastAsia="Calibri" w:cs="Times New Roman"/>
          <w:b/>
          <w:iCs/>
          <w:color w:val="000000"/>
          <w:szCs w:val="24"/>
        </w:rPr>
        <w:t>Akışkan yatak tasarımını kullanan tesislerde katıların uzaklaştırılması için ön arıtmanın çıkışında oksiklorlama yoluyla EDC üretiminden Suya deşarjlar için MET-İÇPS'ler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03"/>
        <w:gridCol w:w="4694"/>
      </w:tblGrid>
      <w:tr w:rsidR="00BB704F" w:rsidRPr="00F50C10" w14:paraId="28E15F10" w14:textId="77777777" w:rsidTr="00BB704F">
        <w:trPr>
          <w:trHeight w:val="460"/>
        </w:trPr>
        <w:tc>
          <w:tcPr>
            <w:tcW w:w="2238" w:type="pct"/>
          </w:tcPr>
          <w:p w14:paraId="23B786FD"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Parametre</w:t>
            </w:r>
          </w:p>
        </w:tc>
        <w:tc>
          <w:tcPr>
            <w:tcW w:w="2762" w:type="pct"/>
          </w:tcPr>
          <w:p w14:paraId="52C2508E"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MET-İÇPS</w:t>
            </w:r>
          </w:p>
          <w:p w14:paraId="03993DB8"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(bir yıl boyunca elde edilen değerlerin ortalaması)</w:t>
            </w:r>
          </w:p>
        </w:tc>
      </w:tr>
      <w:tr w:rsidR="00BB704F" w:rsidRPr="00F50C10" w14:paraId="0E727C34" w14:textId="77777777" w:rsidTr="00BB704F">
        <w:trPr>
          <w:trHeight w:val="261"/>
        </w:trPr>
        <w:tc>
          <w:tcPr>
            <w:tcW w:w="2238" w:type="pct"/>
          </w:tcPr>
          <w:p w14:paraId="6908AA8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Bakır</w:t>
            </w:r>
          </w:p>
        </w:tc>
        <w:tc>
          <w:tcPr>
            <w:tcW w:w="2762" w:type="pct"/>
          </w:tcPr>
          <w:p w14:paraId="0C82BBFC"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0,4–0,6 mg/l</w:t>
            </w:r>
          </w:p>
        </w:tc>
      </w:tr>
      <w:tr w:rsidR="00BB704F" w:rsidRPr="00F50C10" w14:paraId="2D4CA5BD" w14:textId="77777777" w:rsidTr="00BB704F">
        <w:trPr>
          <w:trHeight w:val="261"/>
        </w:trPr>
        <w:tc>
          <w:tcPr>
            <w:tcW w:w="2238" w:type="pct"/>
          </w:tcPr>
          <w:p w14:paraId="59139F9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PCDD/F</w:t>
            </w:r>
          </w:p>
        </w:tc>
        <w:tc>
          <w:tcPr>
            <w:tcW w:w="2762" w:type="pct"/>
          </w:tcPr>
          <w:p w14:paraId="60DD8538"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&lt; 0,8 ng I-TEQ/l</w:t>
            </w:r>
          </w:p>
        </w:tc>
      </w:tr>
      <w:tr w:rsidR="00BB704F" w:rsidRPr="00F50C10" w14:paraId="21000CB4" w14:textId="77777777" w:rsidTr="00BB704F">
        <w:trPr>
          <w:trHeight w:val="263"/>
        </w:trPr>
        <w:tc>
          <w:tcPr>
            <w:tcW w:w="2238" w:type="pct"/>
          </w:tcPr>
          <w:p w14:paraId="707F08D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Toplam askıda katı madde (TAKM)</w:t>
            </w:r>
          </w:p>
        </w:tc>
        <w:tc>
          <w:tcPr>
            <w:tcW w:w="2762" w:type="pct"/>
          </w:tcPr>
          <w:p w14:paraId="54822CDD"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10–30 mg/l</w:t>
            </w:r>
          </w:p>
        </w:tc>
      </w:tr>
    </w:tbl>
    <w:p w14:paraId="19F416E1" w14:textId="77777777" w:rsidR="00BB704F" w:rsidRPr="00F50C10" w:rsidRDefault="00BB704F" w:rsidP="000B206D">
      <w:pPr>
        <w:widowControl w:val="0"/>
        <w:autoSpaceDE w:val="0"/>
        <w:autoSpaceDN w:val="0"/>
        <w:spacing w:before="240" w:line="276" w:lineRule="auto"/>
        <w:jc w:val="left"/>
        <w:rPr>
          <w:rFonts w:eastAsia="Times New Roman" w:cs="Times New Roman"/>
          <w:szCs w:val="24"/>
          <w:lang w:val="tr-TR" w:bidi="tr-TR"/>
        </w:rPr>
      </w:pPr>
      <w:r w:rsidRPr="00F50C10">
        <w:rPr>
          <w:rFonts w:eastAsia="Times New Roman" w:cs="Times New Roman"/>
          <w:szCs w:val="24"/>
          <w:lang w:val="tr-TR" w:bidi="tr-TR"/>
        </w:rPr>
        <w:t xml:space="preserve">İlgili izleme </w:t>
      </w:r>
      <w:hyperlink w:anchor="_bookmark792" w:history="1">
        <w:r w:rsidRPr="00F50C10">
          <w:rPr>
            <w:rFonts w:eastAsia="Times New Roman" w:cs="Times New Roman"/>
            <w:szCs w:val="24"/>
            <w:lang w:val="tr-TR" w:bidi="tr-TR"/>
          </w:rPr>
          <w:t>MET 79</w:t>
        </w:r>
      </w:hyperlink>
      <w:r w:rsidRPr="00F50C10">
        <w:rPr>
          <w:rFonts w:eastAsia="Times New Roman" w:cs="Times New Roman"/>
          <w:szCs w:val="24"/>
          <w:lang w:val="tr-TR" w:bidi="tr-TR"/>
        </w:rPr>
        <w:t xml:space="preserve"> kapsamındadır.</w:t>
      </w:r>
    </w:p>
    <w:p w14:paraId="441E8623" w14:textId="4E540B20" w:rsidR="00BB704F" w:rsidRPr="00F50C10" w:rsidRDefault="00F34985" w:rsidP="000B206D">
      <w:pPr>
        <w:spacing w:before="240" w:line="276" w:lineRule="auto"/>
        <w:rPr>
          <w:rFonts w:eastAsia="Calibri" w:cs="Times New Roman"/>
          <w:b/>
          <w:iCs/>
          <w:color w:val="000000"/>
          <w:szCs w:val="24"/>
        </w:rPr>
      </w:pPr>
      <w:r w:rsidRPr="00F50C10">
        <w:rPr>
          <w:rFonts w:eastAsia="Calibri" w:cs="Times New Roman"/>
          <w:b/>
          <w:iCs/>
          <w:color w:val="000000"/>
          <w:szCs w:val="24"/>
        </w:rPr>
        <w:t xml:space="preserve">Tablo 10.5. </w:t>
      </w:r>
      <w:r w:rsidR="00BB704F" w:rsidRPr="00F50C10">
        <w:rPr>
          <w:rFonts w:eastAsia="Calibri" w:cs="Times New Roman"/>
          <w:b/>
          <w:iCs/>
          <w:color w:val="000000"/>
          <w:szCs w:val="24"/>
        </w:rPr>
        <w:t>EDC üretiminden alıcı su kütlesine bakır, EDC ve PCDD/F’nin doğrudan emisyonları için MET-İES'ler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26"/>
        <w:gridCol w:w="6871"/>
      </w:tblGrid>
      <w:tr w:rsidR="00BB704F" w:rsidRPr="00F50C10" w14:paraId="62621208" w14:textId="77777777" w:rsidTr="00BB704F">
        <w:trPr>
          <w:trHeight w:val="460"/>
        </w:trPr>
        <w:tc>
          <w:tcPr>
            <w:tcW w:w="957" w:type="pct"/>
          </w:tcPr>
          <w:p w14:paraId="620CC2BB" w14:textId="77777777" w:rsidR="00BB704F" w:rsidRPr="00F50C10" w:rsidRDefault="00BB704F" w:rsidP="000B206D">
            <w:pPr>
              <w:spacing w:line="276" w:lineRule="auto"/>
              <w:ind w:left="108" w:right="108"/>
              <w:jc w:val="left"/>
              <w:rPr>
                <w:rFonts w:eastAsia="Times New Roman" w:cs="Times New Roman"/>
                <w:b/>
                <w:szCs w:val="24"/>
                <w:lang w:val="tr-TR"/>
              </w:rPr>
            </w:pPr>
            <w:r w:rsidRPr="00F50C10">
              <w:rPr>
                <w:rFonts w:eastAsia="Times New Roman" w:cs="Times New Roman"/>
                <w:b/>
                <w:szCs w:val="24"/>
                <w:lang w:val="tr-TR" w:bidi="tr-TR"/>
              </w:rPr>
              <w:t>Parametre</w:t>
            </w:r>
          </w:p>
        </w:tc>
        <w:tc>
          <w:tcPr>
            <w:tcW w:w="4043" w:type="pct"/>
          </w:tcPr>
          <w:p w14:paraId="1E976DDB"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MET-İES</w:t>
            </w:r>
          </w:p>
          <w:p w14:paraId="325E2FF1"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(bir yıl boyunca elde edilen değerlerin ortalaması)</w:t>
            </w:r>
          </w:p>
        </w:tc>
      </w:tr>
      <w:tr w:rsidR="00BB704F" w:rsidRPr="00F50C10" w14:paraId="6B09843C" w14:textId="77777777" w:rsidTr="00BB704F">
        <w:trPr>
          <w:trHeight w:val="261"/>
        </w:trPr>
        <w:tc>
          <w:tcPr>
            <w:tcW w:w="957" w:type="pct"/>
          </w:tcPr>
          <w:p w14:paraId="675AA2CF" w14:textId="77777777" w:rsidR="00BB704F" w:rsidRPr="00F50C10" w:rsidRDefault="00BB704F" w:rsidP="000B206D">
            <w:pPr>
              <w:spacing w:line="276" w:lineRule="auto"/>
              <w:ind w:left="108" w:right="108"/>
              <w:jc w:val="left"/>
              <w:rPr>
                <w:rFonts w:eastAsia="Times New Roman" w:cs="Times New Roman"/>
                <w:szCs w:val="24"/>
                <w:lang w:val="tr-TR"/>
              </w:rPr>
            </w:pPr>
            <w:r w:rsidRPr="00F50C10">
              <w:rPr>
                <w:rFonts w:eastAsia="Times New Roman" w:cs="Times New Roman"/>
                <w:szCs w:val="24"/>
                <w:lang w:val="tr-TR" w:bidi="tr-TR"/>
              </w:rPr>
              <w:t>Bakır</w:t>
            </w:r>
          </w:p>
        </w:tc>
        <w:tc>
          <w:tcPr>
            <w:tcW w:w="4043" w:type="pct"/>
          </w:tcPr>
          <w:p w14:paraId="1B24BA3D"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0,04–0,2 g/t oksiklorlama ile üretilen EDC (</w:t>
            </w:r>
            <w:r w:rsidRPr="00F50C10">
              <w:rPr>
                <w:rFonts w:eastAsia="Times New Roman" w:cs="Times New Roman"/>
                <w:szCs w:val="24"/>
                <w:vertAlign w:val="superscript"/>
                <w:lang w:val="tr-TR" w:bidi="tr-TR"/>
              </w:rPr>
              <w:t>1</w:t>
            </w:r>
            <w:r w:rsidRPr="00F50C10">
              <w:rPr>
                <w:rFonts w:eastAsia="Times New Roman" w:cs="Times New Roman"/>
                <w:szCs w:val="24"/>
                <w:lang w:val="tr-TR" w:bidi="tr-TR"/>
              </w:rPr>
              <w:t>)</w:t>
            </w:r>
          </w:p>
        </w:tc>
      </w:tr>
      <w:tr w:rsidR="00BB704F" w:rsidRPr="00F50C10" w14:paraId="1012BBA4" w14:textId="77777777" w:rsidTr="00BB704F">
        <w:trPr>
          <w:trHeight w:val="261"/>
        </w:trPr>
        <w:tc>
          <w:tcPr>
            <w:tcW w:w="957" w:type="pct"/>
          </w:tcPr>
          <w:p w14:paraId="6722D5F9" w14:textId="77777777" w:rsidR="00BB704F" w:rsidRPr="00F50C10" w:rsidRDefault="00BB704F" w:rsidP="000B206D">
            <w:pPr>
              <w:spacing w:line="276" w:lineRule="auto"/>
              <w:ind w:left="108" w:right="108"/>
              <w:jc w:val="left"/>
              <w:rPr>
                <w:rFonts w:eastAsia="Times New Roman" w:cs="Times New Roman"/>
                <w:szCs w:val="24"/>
                <w:lang w:val="tr-TR"/>
              </w:rPr>
            </w:pPr>
            <w:r w:rsidRPr="00F50C10">
              <w:rPr>
                <w:rFonts w:eastAsia="Times New Roman" w:cs="Times New Roman"/>
                <w:szCs w:val="24"/>
                <w:lang w:val="tr-TR" w:bidi="tr-TR"/>
              </w:rPr>
              <w:t>EDC</w:t>
            </w:r>
          </w:p>
        </w:tc>
        <w:tc>
          <w:tcPr>
            <w:tcW w:w="4043" w:type="pct"/>
          </w:tcPr>
          <w:p w14:paraId="3E77AC1D"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0,01–0,05 g / t saflaştırılan EDC (</w:t>
            </w:r>
            <w:r w:rsidRPr="00F50C10">
              <w:rPr>
                <w:rFonts w:eastAsia="Times New Roman" w:cs="Times New Roman"/>
                <w:szCs w:val="24"/>
                <w:vertAlign w:val="superscript"/>
                <w:lang w:val="tr-TR" w:bidi="tr-TR"/>
              </w:rPr>
              <w:t>2</w:t>
            </w:r>
            <w:r w:rsidRPr="00F50C10">
              <w:rPr>
                <w:rFonts w:eastAsia="Times New Roman" w:cs="Times New Roman"/>
                <w:szCs w:val="24"/>
                <w:lang w:val="tr-TR" w:bidi="tr-TR"/>
              </w:rPr>
              <w:t>) (</w:t>
            </w:r>
            <w:r w:rsidRPr="00F50C10">
              <w:rPr>
                <w:rFonts w:eastAsia="Times New Roman" w:cs="Times New Roman"/>
                <w:szCs w:val="24"/>
                <w:vertAlign w:val="superscript"/>
                <w:lang w:val="tr-TR" w:bidi="tr-TR"/>
              </w:rPr>
              <w:t>3</w:t>
            </w:r>
            <w:r w:rsidRPr="00F50C10">
              <w:rPr>
                <w:rFonts w:eastAsia="Times New Roman" w:cs="Times New Roman"/>
                <w:szCs w:val="24"/>
                <w:lang w:val="tr-TR" w:bidi="tr-TR"/>
              </w:rPr>
              <w:t>)</w:t>
            </w:r>
          </w:p>
        </w:tc>
      </w:tr>
      <w:tr w:rsidR="00BB704F" w:rsidRPr="00F50C10" w14:paraId="3FA9175D" w14:textId="77777777" w:rsidTr="00BB704F">
        <w:trPr>
          <w:trHeight w:val="263"/>
        </w:trPr>
        <w:tc>
          <w:tcPr>
            <w:tcW w:w="957" w:type="pct"/>
          </w:tcPr>
          <w:p w14:paraId="39B533A8" w14:textId="77777777" w:rsidR="00BB704F" w:rsidRPr="00F50C10" w:rsidRDefault="00BB704F" w:rsidP="000B206D">
            <w:pPr>
              <w:spacing w:line="276" w:lineRule="auto"/>
              <w:ind w:left="108" w:right="108"/>
              <w:jc w:val="left"/>
              <w:rPr>
                <w:rFonts w:eastAsia="Times New Roman" w:cs="Times New Roman"/>
                <w:szCs w:val="24"/>
                <w:lang w:val="tr-TR"/>
              </w:rPr>
            </w:pPr>
            <w:r w:rsidRPr="00F50C10">
              <w:rPr>
                <w:rFonts w:eastAsia="Times New Roman" w:cs="Times New Roman"/>
                <w:szCs w:val="24"/>
                <w:lang w:val="tr-TR" w:bidi="tr-TR"/>
              </w:rPr>
              <w:t>PCDD/F</w:t>
            </w:r>
          </w:p>
        </w:tc>
        <w:tc>
          <w:tcPr>
            <w:tcW w:w="4043" w:type="pct"/>
          </w:tcPr>
          <w:p w14:paraId="778B8CE5"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 xml:space="preserve">0,1– 0,3 µg I-TEQ/t oksiklorlama ile üretilen EDC </w:t>
            </w:r>
          </w:p>
        </w:tc>
      </w:tr>
      <w:tr w:rsidR="00BB704F" w:rsidRPr="00F50C10" w14:paraId="6B272862" w14:textId="77777777" w:rsidTr="00BB704F">
        <w:trPr>
          <w:trHeight w:val="1034"/>
        </w:trPr>
        <w:tc>
          <w:tcPr>
            <w:tcW w:w="5000" w:type="pct"/>
            <w:gridSpan w:val="2"/>
          </w:tcPr>
          <w:p w14:paraId="54F23376" w14:textId="77777777" w:rsidR="00BB704F" w:rsidRPr="00F50C10" w:rsidRDefault="00BB704F" w:rsidP="000B206D">
            <w:pPr>
              <w:tabs>
                <w:tab w:val="left" w:pos="334"/>
              </w:tabs>
              <w:spacing w:line="276" w:lineRule="auto"/>
              <w:ind w:left="107" w:right="108"/>
              <w:jc w:val="left"/>
              <w:rPr>
                <w:rFonts w:eastAsia="Times New Roman" w:cs="Times New Roman"/>
                <w:i/>
                <w:iCs/>
                <w:szCs w:val="24"/>
                <w:lang w:val="tr-TR"/>
              </w:rPr>
            </w:pPr>
            <w:r w:rsidRPr="00F50C10">
              <w:rPr>
                <w:rFonts w:eastAsia="Times New Roman" w:cs="Times New Roman"/>
                <w:i/>
                <w:iCs/>
                <w:szCs w:val="24"/>
                <w:lang w:val="tr-TR" w:bidi="tr-TR"/>
              </w:rPr>
              <w:t>(</w:t>
            </w:r>
            <w:r w:rsidRPr="00F50C10">
              <w:rPr>
                <w:rFonts w:eastAsia="Times New Roman" w:cs="Times New Roman"/>
                <w:i/>
                <w:iCs/>
                <w:szCs w:val="24"/>
                <w:vertAlign w:val="superscript"/>
                <w:lang w:val="tr-TR" w:bidi="tr-TR"/>
              </w:rPr>
              <w:t>1</w:t>
            </w:r>
            <w:r w:rsidRPr="00F50C10">
              <w:rPr>
                <w:rFonts w:eastAsia="Times New Roman" w:cs="Times New Roman"/>
                <w:i/>
                <w:iCs/>
                <w:szCs w:val="24"/>
                <w:lang w:val="tr-TR" w:bidi="tr-TR"/>
              </w:rPr>
              <w:t>)Aralığın alt sınırı tipik olarak sabit yataklı tasarım kullanıldığında elde edilir.</w:t>
            </w:r>
          </w:p>
          <w:p w14:paraId="6AAD0630" w14:textId="77777777" w:rsidR="00BB704F" w:rsidRPr="00F50C10" w:rsidRDefault="00BB704F" w:rsidP="000B206D">
            <w:pPr>
              <w:tabs>
                <w:tab w:val="left" w:pos="334"/>
              </w:tabs>
              <w:spacing w:line="276" w:lineRule="auto"/>
              <w:ind w:left="108" w:right="108"/>
              <w:jc w:val="left"/>
              <w:rPr>
                <w:rFonts w:eastAsia="Times New Roman" w:cs="Times New Roman"/>
                <w:i/>
                <w:iCs/>
                <w:szCs w:val="24"/>
                <w:lang w:val="tr-TR"/>
              </w:rPr>
            </w:pPr>
            <w:r w:rsidRPr="00F50C10">
              <w:rPr>
                <w:rFonts w:eastAsia="Times New Roman" w:cs="Times New Roman"/>
                <w:i/>
                <w:iCs/>
                <w:szCs w:val="24"/>
                <w:lang w:val="tr-TR" w:bidi="tr-TR"/>
              </w:rPr>
              <w:t>(</w:t>
            </w:r>
            <w:r w:rsidRPr="00F50C10">
              <w:rPr>
                <w:rFonts w:eastAsia="Times New Roman" w:cs="Times New Roman"/>
                <w:i/>
                <w:iCs/>
                <w:szCs w:val="24"/>
                <w:vertAlign w:val="superscript"/>
                <w:lang w:val="tr-TR" w:bidi="tr-TR"/>
              </w:rPr>
              <w:t>2</w:t>
            </w:r>
            <w:r w:rsidRPr="00F50C10">
              <w:rPr>
                <w:rFonts w:eastAsia="Times New Roman" w:cs="Times New Roman"/>
                <w:i/>
                <w:iCs/>
                <w:szCs w:val="24"/>
                <w:lang w:val="tr-TR" w:bidi="tr-TR"/>
              </w:rPr>
              <w:t>)Bir yıl boyunca elde edilen değerlerin ortalaması, her gün elde edilen değerlerin (en az (</w:t>
            </w:r>
            <w:r w:rsidRPr="00F50C10">
              <w:rPr>
                <w:rFonts w:eastAsia="Times New Roman" w:cs="Times New Roman"/>
                <w:i/>
                <w:iCs/>
                <w:szCs w:val="24"/>
                <w:vertAlign w:val="superscript"/>
                <w:lang w:val="tr-TR" w:bidi="tr-TR"/>
              </w:rPr>
              <w:t>3</w:t>
            </w:r>
            <w:r w:rsidRPr="00F50C10">
              <w:rPr>
                <w:rFonts w:eastAsia="Times New Roman" w:cs="Times New Roman"/>
                <w:i/>
                <w:iCs/>
                <w:szCs w:val="24"/>
                <w:lang w:val="tr-TR" w:bidi="tr-TR"/>
              </w:rPr>
              <w:t>)yarım saatlik aralıklarla alınan en az üç spot numune) ortalamalarından hesaplanır.</w:t>
            </w:r>
          </w:p>
          <w:p w14:paraId="686AFADF" w14:textId="0CD2297F" w:rsidR="00BB704F" w:rsidRPr="00F50C10" w:rsidRDefault="00F34985" w:rsidP="000B206D">
            <w:pPr>
              <w:spacing w:line="276" w:lineRule="auto"/>
              <w:ind w:left="108" w:right="108"/>
              <w:jc w:val="left"/>
              <w:rPr>
                <w:rFonts w:eastAsia="Times New Roman" w:cs="Times New Roman"/>
                <w:i/>
                <w:iCs/>
                <w:szCs w:val="24"/>
                <w:lang w:val="tr-TR"/>
              </w:rPr>
            </w:pPr>
            <w:r w:rsidRPr="00F50C10">
              <w:rPr>
                <w:rFonts w:eastAsia="Times New Roman" w:cs="Times New Roman"/>
                <w:i/>
                <w:iCs/>
                <w:szCs w:val="24"/>
                <w:lang w:val="tr-TR" w:bidi="tr-TR"/>
              </w:rPr>
              <w:t xml:space="preserve">(3)Saflaştırılmış EDC, oksiklorinasyon ve/veya doğrudan klorinasyon yoluyla üretilen EDC ile VCM üretiminden saflaştırmaya geri dönen EDC'nin toplamıdır.  </w:t>
            </w:r>
            <w:r w:rsidR="00BB704F" w:rsidRPr="00F50C10">
              <w:rPr>
                <w:rFonts w:eastAsia="Times New Roman" w:cs="Times New Roman"/>
                <w:i/>
                <w:iCs/>
                <w:szCs w:val="24"/>
                <w:lang w:val="tr-TR" w:bidi="tr-TR"/>
              </w:rPr>
              <w:t>.</w:t>
            </w:r>
          </w:p>
        </w:tc>
      </w:tr>
    </w:tbl>
    <w:p w14:paraId="58451C9B" w14:textId="77777777" w:rsidR="00BB704F" w:rsidRPr="00F50C10" w:rsidRDefault="00BB704F" w:rsidP="000B206D">
      <w:pPr>
        <w:widowControl w:val="0"/>
        <w:autoSpaceDE w:val="0"/>
        <w:autoSpaceDN w:val="0"/>
        <w:spacing w:before="240" w:line="276" w:lineRule="auto"/>
        <w:jc w:val="left"/>
        <w:rPr>
          <w:rFonts w:eastAsia="Times New Roman" w:cs="Times New Roman"/>
          <w:szCs w:val="24"/>
          <w:lang w:val="tr-TR" w:bidi="tr-TR"/>
        </w:rPr>
      </w:pPr>
      <w:r w:rsidRPr="00F50C10">
        <w:rPr>
          <w:rFonts w:eastAsia="Times New Roman" w:cs="Times New Roman"/>
          <w:szCs w:val="24"/>
          <w:lang w:val="tr-TR" w:bidi="tr-TR"/>
        </w:rPr>
        <w:t xml:space="preserve">İlgili izleme </w:t>
      </w:r>
      <w:hyperlink w:anchor="_bookmark792" w:history="1">
        <w:r w:rsidRPr="00F50C10">
          <w:rPr>
            <w:rFonts w:eastAsia="Times New Roman" w:cs="Times New Roman"/>
            <w:szCs w:val="24"/>
            <w:lang w:val="tr-TR" w:bidi="tr-TR"/>
          </w:rPr>
          <w:t>MET 79</w:t>
        </w:r>
      </w:hyperlink>
      <w:r w:rsidRPr="00F50C10">
        <w:rPr>
          <w:rFonts w:eastAsia="Times New Roman" w:cs="Times New Roman"/>
          <w:szCs w:val="24"/>
          <w:lang w:val="tr-TR" w:bidi="tr-TR"/>
        </w:rPr>
        <w:t xml:space="preserve"> kapsamındadır.</w:t>
      </w:r>
    </w:p>
    <w:p w14:paraId="6E673A73" w14:textId="77777777" w:rsidR="00BB704F" w:rsidRPr="00F50C10" w:rsidRDefault="00BB704F" w:rsidP="00A654AE">
      <w:pPr>
        <w:keepNext/>
        <w:keepLines/>
        <w:widowControl w:val="0"/>
        <w:numPr>
          <w:ilvl w:val="1"/>
          <w:numId w:val="179"/>
        </w:numPr>
        <w:autoSpaceDE w:val="0"/>
        <w:autoSpaceDN w:val="0"/>
        <w:spacing w:before="240" w:after="60" w:line="276" w:lineRule="auto"/>
        <w:outlineLvl w:val="1"/>
        <w:rPr>
          <w:rFonts w:eastAsia="Times New Roman" w:cs="Times New Roman"/>
          <w:b/>
          <w:szCs w:val="24"/>
          <w:lang w:val="tr-TR"/>
        </w:rPr>
      </w:pPr>
      <w:bookmarkStart w:id="61" w:name="_Toc136613745"/>
      <w:r w:rsidRPr="00F50C10">
        <w:rPr>
          <w:rFonts w:eastAsia="Times New Roman" w:cs="Times New Roman"/>
          <w:b/>
          <w:szCs w:val="24"/>
          <w:lang w:val="tr-TR"/>
        </w:rPr>
        <w:t xml:space="preserve"> Enerji Verimliliği</w:t>
      </w:r>
      <w:bookmarkEnd w:id="61"/>
    </w:p>
    <w:p w14:paraId="1CB4892C" w14:textId="475C4B67" w:rsidR="00BB704F" w:rsidRPr="00F50C10" w:rsidRDefault="00BB704F" w:rsidP="000B206D">
      <w:pPr>
        <w:widowControl w:val="0"/>
        <w:autoSpaceDE w:val="0"/>
        <w:autoSpaceDN w:val="0"/>
        <w:spacing w:before="240" w:line="276" w:lineRule="auto"/>
        <w:rPr>
          <w:rFonts w:eastAsia="Times New Roman" w:cs="Times New Roman"/>
          <w:b/>
          <w:bCs/>
          <w:szCs w:val="24"/>
          <w:lang w:val="tr-TR" w:bidi="tr-TR"/>
        </w:rPr>
      </w:pPr>
      <w:r w:rsidRPr="00F50C10">
        <w:rPr>
          <w:rFonts w:eastAsia="Times New Roman" w:cs="Times New Roman"/>
          <w:b/>
          <w:bCs/>
          <w:szCs w:val="24"/>
          <w:lang w:val="tr-TR" w:bidi="tr-TR"/>
        </w:rPr>
        <w:t xml:space="preserve">MET 82: </w:t>
      </w:r>
      <w:r w:rsidRPr="00F50C10">
        <w:rPr>
          <w:rFonts w:eastAsia="Times New Roman" w:cs="Times New Roman"/>
          <w:szCs w:val="24"/>
          <w:lang w:val="tr-TR" w:bidi="tr-TR"/>
        </w:rPr>
        <w:t xml:space="preserve">Enerjiyi verimli kullanmak için, etilenin doğrudan klorlandığı bir kaynatma reaktörü </w:t>
      </w:r>
      <w:r w:rsidR="007D646B" w:rsidRPr="00F50C10">
        <w:rPr>
          <w:rFonts w:eastAsia="Times New Roman" w:cs="Times New Roman"/>
          <w:szCs w:val="24"/>
          <w:lang w:val="tr-TR" w:bidi="tr-TR"/>
        </w:rPr>
        <w:t>kullanılır</w:t>
      </w:r>
      <w:r w:rsidRPr="00F50C10">
        <w:rPr>
          <w:rFonts w:eastAsia="Times New Roman" w:cs="Times New Roman"/>
          <w:szCs w:val="24"/>
          <w:lang w:val="tr-TR" w:bidi="tr-TR"/>
        </w:rPr>
        <w:t>.</w:t>
      </w:r>
    </w:p>
    <w:p w14:paraId="54FF1CAC" w14:textId="4688E796" w:rsidR="00BB704F" w:rsidRPr="00F50C10" w:rsidRDefault="00BB704F" w:rsidP="000B206D">
      <w:pPr>
        <w:widowControl w:val="0"/>
        <w:autoSpaceDE w:val="0"/>
        <w:autoSpaceDN w:val="0"/>
        <w:spacing w:before="240" w:line="276" w:lineRule="auto"/>
        <w:rPr>
          <w:rFonts w:eastAsia="Times New Roman" w:cs="Times New Roman"/>
          <w:szCs w:val="24"/>
          <w:lang w:val="tr-TR" w:bidi="tr-TR"/>
        </w:rPr>
      </w:pPr>
      <w:r w:rsidRPr="00F50C10">
        <w:rPr>
          <w:rFonts w:eastAsia="Times New Roman" w:cs="Times New Roman"/>
          <w:szCs w:val="24"/>
          <w:lang w:val="tr-TR" w:bidi="tr-TR"/>
        </w:rPr>
        <w:t>Etilenin doğrudan klorlanması için kaynatma reaktörü sistemindeki reaksiyon tipik olarak 85°C ile 200°C arasındaki bir sıcaklıkta gerçekleştirilir. Düşük sıcaklıklı işlemin aksine, reaksiyon ısısının etkili bir şekilde geri kazanılmasına ve yeniden kullanılmasına izin verir (örneğin EDC'nin damıtılması için).</w:t>
      </w:r>
    </w:p>
    <w:p w14:paraId="2D24AD0D" w14:textId="77777777" w:rsidR="00FB79E0" w:rsidRPr="00F50C10" w:rsidRDefault="00FB79E0" w:rsidP="000B206D">
      <w:pPr>
        <w:widowControl w:val="0"/>
        <w:autoSpaceDE w:val="0"/>
        <w:autoSpaceDN w:val="0"/>
        <w:spacing w:before="240" w:line="276" w:lineRule="auto"/>
        <w:rPr>
          <w:rFonts w:eastAsia="Times New Roman" w:cs="Times New Roman"/>
          <w:i/>
          <w:szCs w:val="24"/>
          <w:u w:val="single"/>
          <w:lang w:val="tr-TR" w:bidi="tr-TR"/>
        </w:rPr>
      </w:pPr>
      <w:r w:rsidRPr="00F50C10">
        <w:rPr>
          <w:rFonts w:eastAsia="Times New Roman" w:cs="Times New Roman"/>
          <w:i/>
          <w:szCs w:val="24"/>
          <w:u w:val="single"/>
          <w:lang w:val="tr-TR" w:bidi="tr-TR"/>
        </w:rPr>
        <w:t>Uygulanabilirlik:</w:t>
      </w:r>
    </w:p>
    <w:p w14:paraId="0D292FC0" w14:textId="3C629616" w:rsidR="00FB79E0" w:rsidRPr="00F50C10" w:rsidRDefault="00FB79E0" w:rsidP="000B206D">
      <w:pPr>
        <w:widowControl w:val="0"/>
        <w:autoSpaceDE w:val="0"/>
        <w:autoSpaceDN w:val="0"/>
        <w:spacing w:line="276" w:lineRule="auto"/>
        <w:rPr>
          <w:rFonts w:eastAsia="Times New Roman" w:cs="Times New Roman"/>
          <w:szCs w:val="24"/>
          <w:lang w:val="tr-TR" w:bidi="tr-TR"/>
        </w:rPr>
      </w:pPr>
      <w:r w:rsidRPr="00F50C10">
        <w:rPr>
          <w:rFonts w:eastAsia="Times New Roman" w:cs="Times New Roman"/>
          <w:szCs w:val="24"/>
          <w:lang w:val="tr-TR" w:bidi="tr-TR"/>
        </w:rPr>
        <w:t xml:space="preserve"> Sadece yeni doğrudan klorlama tesisleri için geçerlidir.</w:t>
      </w:r>
    </w:p>
    <w:p w14:paraId="59FBDB75" w14:textId="2D749C41" w:rsidR="00BB704F" w:rsidRPr="00F50C10" w:rsidRDefault="00BB704F" w:rsidP="000B206D">
      <w:pPr>
        <w:widowControl w:val="0"/>
        <w:autoSpaceDE w:val="0"/>
        <w:autoSpaceDN w:val="0"/>
        <w:spacing w:before="240" w:line="276" w:lineRule="auto"/>
        <w:rPr>
          <w:rFonts w:eastAsia="Times New Roman" w:cs="Times New Roman"/>
          <w:b/>
          <w:bCs/>
          <w:szCs w:val="24"/>
          <w:lang w:val="tr-TR" w:bidi="tr-TR"/>
        </w:rPr>
      </w:pPr>
      <w:r w:rsidRPr="00F50C10">
        <w:rPr>
          <w:rFonts w:eastAsia="Times New Roman" w:cs="Times New Roman"/>
          <w:b/>
          <w:bCs/>
          <w:szCs w:val="24"/>
          <w:lang w:val="tr-TR" w:bidi="tr-TR"/>
        </w:rPr>
        <w:t xml:space="preserve">MET 83:   </w:t>
      </w:r>
      <w:r w:rsidRPr="00F50C10">
        <w:rPr>
          <w:rFonts w:eastAsia="Times New Roman" w:cs="Times New Roman"/>
          <w:szCs w:val="24"/>
          <w:lang w:val="tr-TR" w:bidi="tr-TR"/>
        </w:rPr>
        <w:t>EDC parçalayıcı fırınlarının enerji tüketimini azaltmak için, kimyasal dönüşümde ilerleticile</w:t>
      </w:r>
      <w:r w:rsidR="007D646B" w:rsidRPr="00F50C10">
        <w:rPr>
          <w:rFonts w:eastAsia="Times New Roman" w:cs="Times New Roman"/>
          <w:szCs w:val="24"/>
          <w:lang w:val="tr-TR" w:bidi="tr-TR"/>
        </w:rPr>
        <w:t>r</w:t>
      </w:r>
      <w:r w:rsidRPr="00F50C10">
        <w:rPr>
          <w:rFonts w:eastAsia="Times New Roman" w:cs="Times New Roman"/>
          <w:szCs w:val="24"/>
          <w:lang w:val="tr-TR" w:bidi="tr-TR"/>
        </w:rPr>
        <w:t xml:space="preserve"> kullanıl</w:t>
      </w:r>
      <w:r w:rsidR="007D646B" w:rsidRPr="00F50C10">
        <w:rPr>
          <w:rFonts w:eastAsia="Times New Roman" w:cs="Times New Roman"/>
          <w:szCs w:val="24"/>
          <w:lang w:val="tr-TR" w:bidi="tr-TR"/>
        </w:rPr>
        <w:t>ı</w:t>
      </w:r>
      <w:r w:rsidRPr="00F50C10">
        <w:rPr>
          <w:rFonts w:eastAsia="Times New Roman" w:cs="Times New Roman"/>
          <w:szCs w:val="24"/>
          <w:lang w:val="tr-TR" w:bidi="tr-TR"/>
        </w:rPr>
        <w:t>r.</w:t>
      </w:r>
    </w:p>
    <w:p w14:paraId="76DDCEF4" w14:textId="77777777" w:rsidR="00BB704F" w:rsidRPr="00F50C10" w:rsidRDefault="00BB704F" w:rsidP="000B206D">
      <w:pPr>
        <w:widowControl w:val="0"/>
        <w:autoSpaceDE w:val="0"/>
        <w:autoSpaceDN w:val="0"/>
        <w:spacing w:before="240" w:line="276" w:lineRule="auto"/>
        <w:rPr>
          <w:rFonts w:eastAsia="Times New Roman" w:cs="Times New Roman"/>
          <w:szCs w:val="24"/>
          <w:lang w:val="tr-TR" w:bidi="tr-TR"/>
        </w:rPr>
      </w:pPr>
      <w:r w:rsidRPr="00F50C10">
        <w:rPr>
          <w:rFonts w:eastAsia="Times New Roman" w:cs="Times New Roman"/>
          <w:szCs w:val="24"/>
          <w:lang w:val="tr-TR" w:bidi="tr-TR"/>
        </w:rPr>
        <w:t>Klor veya diğer radikal üreten türler gibi ilerleticiler, çatlama reaksiyonunu güçlendirmek ve reaksiyon sıcaklığını ve dolayısıyla gerekli ısı girdisini azaltmak için kullanılır. İlerleticiler, prosesin kendisi tarafından oluşturulabilir veya eklenebilir.</w:t>
      </w:r>
    </w:p>
    <w:p w14:paraId="36595A2E" w14:textId="758E9E36" w:rsidR="00BB704F" w:rsidRPr="00F50C10" w:rsidRDefault="00BB704F" w:rsidP="00A654AE">
      <w:pPr>
        <w:keepNext/>
        <w:keepLines/>
        <w:widowControl w:val="0"/>
        <w:numPr>
          <w:ilvl w:val="1"/>
          <w:numId w:val="179"/>
        </w:numPr>
        <w:autoSpaceDE w:val="0"/>
        <w:autoSpaceDN w:val="0"/>
        <w:spacing w:before="240" w:after="60" w:line="276" w:lineRule="auto"/>
        <w:outlineLvl w:val="1"/>
        <w:rPr>
          <w:rFonts w:eastAsia="Times New Roman" w:cs="Times New Roman"/>
          <w:b/>
          <w:szCs w:val="24"/>
          <w:lang w:val="tr-TR"/>
        </w:rPr>
      </w:pPr>
      <w:bookmarkStart w:id="62" w:name="_Toc136613746"/>
      <w:r w:rsidRPr="00F50C10">
        <w:rPr>
          <w:rFonts w:eastAsia="Times New Roman" w:cs="Times New Roman"/>
          <w:b/>
          <w:szCs w:val="24"/>
          <w:lang w:val="tr-TR"/>
        </w:rPr>
        <w:t xml:space="preserve"> </w:t>
      </w:r>
      <w:bookmarkEnd w:id="62"/>
      <w:r w:rsidR="00FB79E0" w:rsidRPr="00F50C10">
        <w:rPr>
          <w:rFonts w:eastAsia="Times New Roman" w:cs="Times New Roman"/>
          <w:b/>
          <w:szCs w:val="24"/>
          <w:lang w:val="tr-TR"/>
        </w:rPr>
        <w:t>Kalıntılar</w:t>
      </w:r>
    </w:p>
    <w:p w14:paraId="1CE57426" w14:textId="4FADA8CF" w:rsidR="00BB704F" w:rsidRPr="00F50C10" w:rsidRDefault="00BB704F" w:rsidP="000B206D">
      <w:pPr>
        <w:widowControl w:val="0"/>
        <w:autoSpaceDE w:val="0"/>
        <w:autoSpaceDN w:val="0"/>
        <w:spacing w:before="240" w:line="276" w:lineRule="auto"/>
        <w:jc w:val="left"/>
        <w:rPr>
          <w:rFonts w:eastAsia="Times New Roman" w:cs="Times New Roman"/>
          <w:szCs w:val="24"/>
          <w:lang w:val="tr-TR" w:bidi="tr-TR"/>
        </w:rPr>
      </w:pPr>
      <w:r w:rsidRPr="00F50C10">
        <w:rPr>
          <w:rFonts w:eastAsia="Times New Roman" w:cs="Times New Roman"/>
          <w:b/>
          <w:bCs/>
          <w:szCs w:val="24"/>
          <w:lang w:val="tr-TR" w:bidi="tr-TR"/>
        </w:rPr>
        <w:t xml:space="preserve">MET 84: </w:t>
      </w:r>
      <w:r w:rsidRPr="00F50C10">
        <w:rPr>
          <w:rFonts w:eastAsia="Times New Roman" w:cs="Times New Roman"/>
          <w:szCs w:val="24"/>
          <w:lang w:val="tr-TR" w:bidi="tr-TR"/>
        </w:rPr>
        <w:t>VCM tesislerinden bertaraf edilmek üzere gönderilen kok miktarını azaltmak için, aşağıda verilen tekniklerin bir kombinasyonu kullan</w:t>
      </w:r>
      <w:r w:rsidR="00802086" w:rsidRPr="00F50C10">
        <w:rPr>
          <w:rFonts w:eastAsia="Times New Roman" w:cs="Times New Roman"/>
          <w:szCs w:val="24"/>
          <w:lang w:val="tr-TR" w:bidi="tr-TR"/>
        </w:rPr>
        <w:t>ıl</w:t>
      </w:r>
      <w:r w:rsidRPr="00F50C10">
        <w:rPr>
          <w:rFonts w:eastAsia="Times New Roman" w:cs="Times New Roman"/>
          <w:szCs w:val="24"/>
          <w:lang w:val="tr-TR" w:bidi="tr-TR"/>
        </w:rPr>
        <w:t>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579"/>
        <w:gridCol w:w="3468"/>
        <w:gridCol w:w="2105"/>
      </w:tblGrid>
      <w:tr w:rsidR="00BB704F" w:rsidRPr="00F50C10" w14:paraId="7C6F3F0C" w14:textId="77777777" w:rsidTr="00BB704F">
        <w:trPr>
          <w:trHeight w:val="230"/>
          <w:tblHeader/>
        </w:trPr>
        <w:tc>
          <w:tcPr>
            <w:tcW w:w="190" w:type="pct"/>
            <w:tcBorders>
              <w:top w:val="single" w:sz="4" w:space="0" w:color="auto"/>
              <w:right w:val="single" w:sz="4" w:space="0" w:color="auto"/>
            </w:tcBorders>
          </w:tcPr>
          <w:p w14:paraId="29A59CB0"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522" w:type="pct"/>
            <w:tcBorders>
              <w:top w:val="single" w:sz="4" w:space="0" w:color="auto"/>
              <w:left w:val="single" w:sz="4" w:space="0" w:color="auto"/>
            </w:tcBorders>
          </w:tcPr>
          <w:p w14:paraId="5178DF55" w14:textId="77777777" w:rsidR="00BB704F" w:rsidRPr="00F50C10" w:rsidRDefault="00BB704F" w:rsidP="000B206D">
            <w:pPr>
              <w:spacing w:line="276" w:lineRule="auto"/>
              <w:ind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2045" w:type="pct"/>
          </w:tcPr>
          <w:p w14:paraId="251CA017"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43" w:type="pct"/>
          </w:tcPr>
          <w:p w14:paraId="56364E86"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7C394C3D" w14:textId="77777777" w:rsidTr="00BB704F">
        <w:trPr>
          <w:trHeight w:val="230"/>
        </w:trPr>
        <w:tc>
          <w:tcPr>
            <w:tcW w:w="190" w:type="pct"/>
            <w:vAlign w:val="center"/>
          </w:tcPr>
          <w:p w14:paraId="52D29D6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522" w:type="pct"/>
            <w:vAlign w:val="center"/>
          </w:tcPr>
          <w:p w14:paraId="74EE585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Parçalama işleminde ilerletici kullanımı</w:t>
            </w:r>
          </w:p>
        </w:tc>
        <w:tc>
          <w:tcPr>
            <w:tcW w:w="2045" w:type="pct"/>
            <w:vAlign w:val="center"/>
          </w:tcPr>
          <w:p w14:paraId="76C07B4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 </w:t>
            </w:r>
            <w:hyperlink w:anchor="_bookmark797" w:history="1">
              <w:r w:rsidRPr="00F50C10">
                <w:rPr>
                  <w:rFonts w:eastAsia="Times New Roman" w:cs="Times New Roman"/>
                  <w:szCs w:val="24"/>
                  <w:lang w:val="tr-TR" w:bidi="tr-TR"/>
                </w:rPr>
                <w:t>MET 83</w:t>
              </w:r>
            </w:hyperlink>
          </w:p>
        </w:tc>
        <w:tc>
          <w:tcPr>
            <w:tcW w:w="1243" w:type="pct"/>
            <w:vAlign w:val="center"/>
          </w:tcPr>
          <w:p w14:paraId="5145C23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00000C0E" w14:textId="77777777" w:rsidTr="00BB704F">
        <w:trPr>
          <w:trHeight w:val="1379"/>
        </w:trPr>
        <w:tc>
          <w:tcPr>
            <w:tcW w:w="190" w:type="pct"/>
            <w:vAlign w:val="center"/>
          </w:tcPr>
          <w:p w14:paraId="3D2EB53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522" w:type="pct"/>
            <w:vAlign w:val="center"/>
          </w:tcPr>
          <w:p w14:paraId="43EA34E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EDC parçalamadan gelen gazlı akımın hızla söndürülmesi</w:t>
            </w:r>
          </w:p>
        </w:tc>
        <w:tc>
          <w:tcPr>
            <w:tcW w:w="2045" w:type="pct"/>
            <w:vAlign w:val="center"/>
          </w:tcPr>
          <w:p w14:paraId="0AFB5CE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EDC parçalamadan gelen gazlı akım, kok oluşumunu azaltmak için bir kulede soğuk EDC ile doğrudan temas yoluyla söndürülür. Bazı durumlarda akım, söndürmeden önce soğuk sıvı EDC beslemesi ile ısı değişimi ile soğutulur.</w:t>
            </w:r>
          </w:p>
        </w:tc>
        <w:tc>
          <w:tcPr>
            <w:tcW w:w="1243" w:type="pct"/>
            <w:vAlign w:val="center"/>
          </w:tcPr>
          <w:p w14:paraId="6828CAF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23505EBB" w14:textId="77777777" w:rsidTr="00BB704F">
        <w:trPr>
          <w:trHeight w:val="690"/>
        </w:trPr>
        <w:tc>
          <w:tcPr>
            <w:tcW w:w="190" w:type="pct"/>
            <w:vAlign w:val="center"/>
          </w:tcPr>
          <w:p w14:paraId="1CDB14C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522" w:type="pct"/>
            <w:vAlign w:val="center"/>
          </w:tcPr>
          <w:p w14:paraId="1BB9102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EDC beslemesinin ön buharlaştırılması</w:t>
            </w:r>
          </w:p>
        </w:tc>
        <w:tc>
          <w:tcPr>
            <w:tcW w:w="2045" w:type="pct"/>
            <w:vAlign w:val="center"/>
          </w:tcPr>
          <w:p w14:paraId="25AC909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Yüksek kaynama noktalı kok öncülerini uzaklaştırmak için reaktörün yukarı akışındaki EDC buharlaştırılarak kok oluşumu azaltılır.</w:t>
            </w:r>
          </w:p>
        </w:tc>
        <w:tc>
          <w:tcPr>
            <w:tcW w:w="1243" w:type="pct"/>
            <w:vAlign w:val="center"/>
          </w:tcPr>
          <w:p w14:paraId="6833B91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yeni tesisler veya geniş çaplı tesis yenilemeleri için geçerlidir.</w:t>
            </w:r>
          </w:p>
        </w:tc>
      </w:tr>
      <w:tr w:rsidR="00BB704F" w:rsidRPr="00F50C10" w14:paraId="18000F55" w14:textId="77777777" w:rsidTr="00BB704F">
        <w:trPr>
          <w:trHeight w:val="691"/>
        </w:trPr>
        <w:tc>
          <w:tcPr>
            <w:tcW w:w="190" w:type="pct"/>
            <w:vAlign w:val="center"/>
          </w:tcPr>
          <w:p w14:paraId="5D4EE85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g</w:t>
            </w:r>
          </w:p>
        </w:tc>
        <w:tc>
          <w:tcPr>
            <w:tcW w:w="1522" w:type="pct"/>
            <w:vAlign w:val="center"/>
          </w:tcPr>
          <w:p w14:paraId="3733A16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Düz alevli brülörler</w:t>
            </w:r>
          </w:p>
        </w:tc>
        <w:tc>
          <w:tcPr>
            <w:tcW w:w="2045" w:type="pct"/>
            <w:vAlign w:val="center"/>
          </w:tcPr>
          <w:p w14:paraId="52C4B44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Fırında, kraker tüplerinin duvarlarındaki sıcak noktaları azaltan bir tür brülör.</w:t>
            </w:r>
          </w:p>
        </w:tc>
        <w:tc>
          <w:tcPr>
            <w:tcW w:w="1243" w:type="pct"/>
            <w:vAlign w:val="center"/>
          </w:tcPr>
          <w:p w14:paraId="5F45E8C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yeni tesisler veya geniş çaplı tesis yenilemeleri için geçerlidir.</w:t>
            </w:r>
          </w:p>
        </w:tc>
      </w:tr>
    </w:tbl>
    <w:p w14:paraId="5558FF14" w14:textId="11DFE2E8" w:rsidR="00BB704F" w:rsidRPr="00F50C10" w:rsidRDefault="00BB704F" w:rsidP="000B206D">
      <w:pPr>
        <w:widowControl w:val="0"/>
        <w:autoSpaceDE w:val="0"/>
        <w:autoSpaceDN w:val="0"/>
        <w:spacing w:before="240" w:line="276" w:lineRule="auto"/>
        <w:rPr>
          <w:rFonts w:eastAsia="Times New Roman" w:cs="Times New Roman"/>
          <w:szCs w:val="24"/>
          <w:lang w:val="tr-TR" w:bidi="tr-TR"/>
        </w:rPr>
      </w:pPr>
      <w:r w:rsidRPr="00F50C10">
        <w:rPr>
          <w:rFonts w:eastAsia="Times New Roman" w:cs="Times New Roman"/>
          <w:b/>
          <w:bCs/>
          <w:szCs w:val="24"/>
          <w:lang w:val="tr-TR" w:bidi="tr-TR"/>
        </w:rPr>
        <w:t xml:space="preserve">MET 85: </w:t>
      </w:r>
      <w:r w:rsidRPr="00F50C10">
        <w:rPr>
          <w:rFonts w:eastAsia="Times New Roman" w:cs="Times New Roman"/>
          <w:szCs w:val="24"/>
          <w:lang w:val="tr-TR" w:bidi="tr-TR"/>
        </w:rPr>
        <w:t>Bertaraf için gönderilen tehlikeli atık miktarını azaltmak ve kaynak verimliliğini artırmak için, aşağıda verilen tüm teknikler</w:t>
      </w:r>
      <w:r w:rsidR="00802086" w:rsidRPr="00F50C10">
        <w:rPr>
          <w:rFonts w:eastAsia="Times New Roman" w:cs="Times New Roman"/>
          <w:szCs w:val="24"/>
          <w:lang w:val="tr-TR" w:bidi="tr-TR"/>
        </w:rPr>
        <w:t xml:space="preserve"> </w:t>
      </w:r>
      <w:r w:rsidRPr="00F50C10">
        <w:rPr>
          <w:rFonts w:eastAsia="Times New Roman" w:cs="Times New Roman"/>
          <w:szCs w:val="24"/>
          <w:lang w:val="tr-TR" w:bidi="tr-TR"/>
        </w:rPr>
        <w:t>kullan</w:t>
      </w:r>
      <w:r w:rsidR="00802086" w:rsidRPr="00F50C10">
        <w:rPr>
          <w:rFonts w:eastAsia="Times New Roman" w:cs="Times New Roman"/>
          <w:szCs w:val="24"/>
          <w:lang w:val="tr-TR" w:bidi="tr-TR"/>
        </w:rPr>
        <w:t>ılır</w:t>
      </w:r>
      <w:r w:rsidRPr="00F50C10">
        <w:rPr>
          <w:rFonts w:eastAsia="Times New Roman" w:cs="Times New Roman"/>
          <w:szCs w:val="24"/>
          <w:lang w:val="tr-TR" w:bidi="tr-TR"/>
        </w:rPr>
        <w: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455"/>
        <w:gridCol w:w="3422"/>
        <w:gridCol w:w="2275"/>
      </w:tblGrid>
      <w:tr w:rsidR="00BB704F" w:rsidRPr="00F50C10" w14:paraId="6E43F7A2" w14:textId="77777777" w:rsidTr="00BB704F">
        <w:trPr>
          <w:trHeight w:val="230"/>
          <w:tblHeader/>
        </w:trPr>
        <w:tc>
          <w:tcPr>
            <w:tcW w:w="190" w:type="pct"/>
            <w:tcBorders>
              <w:top w:val="single" w:sz="4" w:space="0" w:color="auto"/>
              <w:right w:val="single" w:sz="4" w:space="0" w:color="auto"/>
            </w:tcBorders>
          </w:tcPr>
          <w:p w14:paraId="523E7BE1" w14:textId="77777777" w:rsidR="00BB704F" w:rsidRPr="00F50C10" w:rsidRDefault="00BB704F" w:rsidP="000B206D">
            <w:pPr>
              <w:spacing w:line="276" w:lineRule="auto"/>
              <w:ind w:left="108" w:right="108"/>
              <w:jc w:val="center"/>
              <w:rPr>
                <w:rFonts w:eastAsia="Times New Roman" w:cs="Times New Roman"/>
                <w:b/>
                <w:szCs w:val="24"/>
                <w:lang w:val="tr-TR"/>
              </w:rPr>
            </w:pPr>
          </w:p>
        </w:tc>
        <w:tc>
          <w:tcPr>
            <w:tcW w:w="1449" w:type="pct"/>
            <w:tcBorders>
              <w:top w:val="single" w:sz="4" w:space="0" w:color="auto"/>
              <w:left w:val="single" w:sz="4" w:space="0" w:color="auto"/>
            </w:tcBorders>
          </w:tcPr>
          <w:p w14:paraId="422349DE" w14:textId="77777777" w:rsidR="00BB704F" w:rsidRPr="00F50C10" w:rsidRDefault="00BB704F" w:rsidP="000B206D">
            <w:pPr>
              <w:spacing w:line="276" w:lineRule="auto"/>
              <w:ind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2018" w:type="pct"/>
          </w:tcPr>
          <w:p w14:paraId="5ED5AF66"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343" w:type="pct"/>
          </w:tcPr>
          <w:p w14:paraId="46B6CF85" w14:textId="77777777" w:rsidR="00BB704F" w:rsidRPr="00F50C10" w:rsidRDefault="00BB704F" w:rsidP="000B206D">
            <w:pPr>
              <w:spacing w:line="276" w:lineRule="auto"/>
              <w:ind w:left="108" w:right="108"/>
              <w:jc w:val="left"/>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7472E0A2" w14:textId="77777777" w:rsidTr="00BB704F">
        <w:trPr>
          <w:trHeight w:val="2071"/>
        </w:trPr>
        <w:tc>
          <w:tcPr>
            <w:tcW w:w="190" w:type="pct"/>
            <w:vAlign w:val="center"/>
          </w:tcPr>
          <w:p w14:paraId="407FE54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449" w:type="pct"/>
            <w:vAlign w:val="center"/>
          </w:tcPr>
          <w:p w14:paraId="058BD67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Asetilenin hidrojenlenmesi</w:t>
            </w:r>
          </w:p>
        </w:tc>
        <w:tc>
          <w:tcPr>
            <w:tcW w:w="2018" w:type="pct"/>
            <w:vAlign w:val="center"/>
          </w:tcPr>
          <w:p w14:paraId="60B089B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EDC parçalama reaksiyonunda HC1 üretilir ve damıtma yoluyla geri kazanılır. Bu HC1 akımında bulunan asetilenin hidrojenasyonu, oksiklorinasyon sırasında istenmeyen bileşiklerin oluşumunu azaltmak için gerçekleştirilir. Hidrojenasyon ünitesinin çıkışında 50 ppmv'nin altındaki asetilen değerleri tavsiye edilir.</w:t>
            </w:r>
          </w:p>
        </w:tc>
        <w:tc>
          <w:tcPr>
            <w:tcW w:w="1343" w:type="pct"/>
            <w:vAlign w:val="center"/>
          </w:tcPr>
          <w:p w14:paraId="6FA051E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yeni tesisler veya geniş çaplı tesis yenilemeleri için geçerlidir.</w:t>
            </w:r>
          </w:p>
        </w:tc>
      </w:tr>
      <w:tr w:rsidR="00BB704F" w:rsidRPr="00F50C10" w14:paraId="2D2E8ED9" w14:textId="77777777" w:rsidTr="00BB704F">
        <w:trPr>
          <w:trHeight w:val="918"/>
        </w:trPr>
        <w:tc>
          <w:tcPr>
            <w:tcW w:w="190" w:type="pct"/>
            <w:vAlign w:val="center"/>
          </w:tcPr>
          <w:p w14:paraId="76209F4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449" w:type="pct"/>
            <w:vAlign w:val="center"/>
          </w:tcPr>
          <w:p w14:paraId="5C8AA34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Sıvı atıkların yakılmasından HCl'nin geri kazanılması ve yeniden kullanılması</w:t>
            </w:r>
          </w:p>
        </w:tc>
        <w:tc>
          <w:tcPr>
            <w:tcW w:w="2018" w:type="pct"/>
            <w:vAlign w:val="center"/>
          </w:tcPr>
          <w:p w14:paraId="4DA6E82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 xml:space="preserve">HCl, su veya seyreltilmiş HCl (bkz. Bölüm </w:t>
            </w:r>
            <w:r w:rsidRPr="00F50C10">
              <w:rPr>
                <w:rFonts w:eastAsia="Times New Roman" w:cs="Times New Roman"/>
                <w:szCs w:val="24"/>
                <w:lang w:val="tr-TR"/>
              </w:rPr>
              <w:fldChar w:fldCharType="begin"/>
            </w:r>
            <w:r w:rsidRPr="00F50C10">
              <w:rPr>
                <w:rFonts w:eastAsia="Times New Roman" w:cs="Times New Roman"/>
                <w:szCs w:val="24"/>
                <w:lang w:val="tr-TR"/>
              </w:rPr>
              <w:instrText xml:space="preserve"> REF _Ref133315440 \n \h  \* MERGEFORMAT </w:instrText>
            </w:r>
            <w:r w:rsidRPr="00F50C10">
              <w:rPr>
                <w:rFonts w:eastAsia="Times New Roman" w:cs="Times New Roman"/>
                <w:szCs w:val="24"/>
                <w:lang w:val="tr-TR"/>
              </w:rPr>
            </w:r>
            <w:r w:rsidRPr="00F50C10">
              <w:rPr>
                <w:rFonts w:eastAsia="Times New Roman" w:cs="Times New Roman"/>
                <w:szCs w:val="24"/>
                <w:lang w:val="tr-TR"/>
              </w:rPr>
              <w:fldChar w:fldCharType="separate"/>
            </w:r>
            <w:r w:rsidRPr="00F50C10">
              <w:rPr>
                <w:rFonts w:eastAsia="Times New Roman" w:cs="Times New Roman"/>
                <w:szCs w:val="24"/>
                <w:lang w:val="tr-TR"/>
              </w:rPr>
              <w:t>12.1</w:t>
            </w:r>
            <w:r w:rsidRPr="00F50C10">
              <w:rPr>
                <w:rFonts w:eastAsia="Times New Roman" w:cs="Times New Roman"/>
                <w:szCs w:val="24"/>
                <w:lang w:val="tr-TR"/>
              </w:rPr>
              <w:fldChar w:fldCharType="end"/>
            </w:r>
            <w:r w:rsidRPr="00F50C10">
              <w:rPr>
                <w:rFonts w:eastAsia="Times New Roman" w:cs="Times New Roman"/>
                <w:szCs w:val="24"/>
                <w:lang w:val="tr-TR"/>
              </w:rPr>
              <w:t>) ile ıslak yıkama ile yakma fırını çıkış gazından geri kazanılır ve yeniden kullanılır (örn., oksiklorinasyon tesisinde).</w:t>
            </w:r>
          </w:p>
        </w:tc>
        <w:tc>
          <w:tcPr>
            <w:tcW w:w="1343" w:type="pct"/>
            <w:vAlign w:val="center"/>
          </w:tcPr>
          <w:p w14:paraId="1726238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4AE3262C" w14:textId="77777777" w:rsidTr="00BB704F">
        <w:trPr>
          <w:trHeight w:val="1840"/>
        </w:trPr>
        <w:tc>
          <w:tcPr>
            <w:tcW w:w="190" w:type="pct"/>
            <w:vAlign w:val="center"/>
          </w:tcPr>
          <w:p w14:paraId="6E2ADE4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449" w:type="pct"/>
            <w:vAlign w:val="center"/>
          </w:tcPr>
          <w:p w14:paraId="7D9DC2D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Klorlu bileşiklerin kullanılmak üzere izolasyonu</w:t>
            </w:r>
          </w:p>
        </w:tc>
        <w:tc>
          <w:tcPr>
            <w:tcW w:w="2018" w:type="pct"/>
            <w:vAlign w:val="center"/>
          </w:tcPr>
          <w:p w14:paraId="2847F6B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Yan ürünlerin kullanılmak üzere ayrılması ve gerekli olması halinde saflaştırılması (örn. monokloroetan ve/veya 1,1-dikloroetilen üretimi için kullanılacak 1,1,2-trikloroetan)</w:t>
            </w:r>
          </w:p>
        </w:tc>
        <w:tc>
          <w:tcPr>
            <w:tcW w:w="1343" w:type="pct"/>
            <w:vAlign w:val="center"/>
          </w:tcPr>
          <w:p w14:paraId="6BCF964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Yalnızca yeni damıtma üniteleri veya büyük ölçekli tesis yenilemeleri için geçerlidir.</w:t>
            </w:r>
          </w:p>
          <w:p w14:paraId="15C5018E" w14:textId="77777777" w:rsidR="00BB704F" w:rsidRPr="00F50C10" w:rsidRDefault="00BB704F" w:rsidP="000B206D">
            <w:pPr>
              <w:spacing w:line="276" w:lineRule="auto"/>
              <w:ind w:left="108" w:right="108"/>
              <w:rPr>
                <w:rFonts w:eastAsia="Times New Roman" w:cs="Times New Roman"/>
                <w:b/>
                <w:szCs w:val="24"/>
                <w:lang w:val="tr-TR"/>
              </w:rPr>
            </w:pPr>
          </w:p>
          <w:p w14:paraId="41D95D7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Uygulanabilirlik, bu bileşikler için mevcut kullanımların olmaması nedeniyle kısıtlanabilir.</w:t>
            </w:r>
          </w:p>
        </w:tc>
      </w:tr>
    </w:tbl>
    <w:p w14:paraId="4DB7BB80" w14:textId="5F891D0C" w:rsidR="006C31C5" w:rsidRPr="00F50C10" w:rsidRDefault="00BB704F" w:rsidP="00A654AE">
      <w:pPr>
        <w:widowControl w:val="0"/>
        <w:numPr>
          <w:ilvl w:val="0"/>
          <w:numId w:val="179"/>
        </w:numPr>
        <w:autoSpaceDE w:val="0"/>
        <w:autoSpaceDN w:val="0"/>
        <w:spacing w:before="240" w:line="276" w:lineRule="auto"/>
        <w:jc w:val="left"/>
        <w:outlineLvl w:val="0"/>
        <w:rPr>
          <w:rFonts w:eastAsia="Times New Roman" w:cs="Times New Roman"/>
          <w:b/>
          <w:bCs/>
          <w:szCs w:val="24"/>
          <w:lang w:val="tr-TR"/>
        </w:rPr>
      </w:pPr>
      <w:bookmarkStart w:id="63" w:name="_Toc136613747"/>
      <w:r w:rsidRPr="00F50C10">
        <w:rPr>
          <w:rFonts w:eastAsia="Times New Roman" w:cs="Times New Roman"/>
          <w:b/>
          <w:bCs/>
          <w:szCs w:val="24"/>
          <w:lang w:val="tr-TR"/>
        </w:rPr>
        <w:t xml:space="preserve">HİDROJEN PEROKSİT ÜRETİMİNE İLİŞKİN MET </w:t>
      </w:r>
      <w:bookmarkEnd w:id="63"/>
    </w:p>
    <w:p w14:paraId="3C703654"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color w:val="365F91"/>
          <w:szCs w:val="24"/>
          <w:lang w:val="tr-TR"/>
        </w:rPr>
      </w:pPr>
      <w:bookmarkStart w:id="64" w:name="_Toc136613748"/>
      <w:r w:rsidRPr="00F50C10">
        <w:rPr>
          <w:rFonts w:eastAsia="Times New Roman" w:cs="Times New Roman"/>
          <w:b/>
          <w:szCs w:val="24"/>
          <w:lang w:val="tr-TR"/>
        </w:rPr>
        <w:t xml:space="preserve"> Hava Emisyonları</w:t>
      </w:r>
      <w:bookmarkEnd w:id="64"/>
    </w:p>
    <w:p w14:paraId="37E10D15" w14:textId="6AD5A609" w:rsidR="00BB704F" w:rsidRPr="00F50C10" w:rsidRDefault="00BB704F" w:rsidP="000B206D">
      <w:pPr>
        <w:widowControl w:val="0"/>
        <w:autoSpaceDE w:val="0"/>
        <w:autoSpaceDN w:val="0"/>
        <w:spacing w:before="240" w:line="276" w:lineRule="auto"/>
        <w:rPr>
          <w:rFonts w:eastAsia="Times New Roman" w:cs="Times New Roman"/>
          <w:b/>
          <w:bCs/>
          <w:szCs w:val="24"/>
          <w:lang w:val="fi-FI" w:bidi="tr-TR"/>
        </w:rPr>
      </w:pPr>
      <w:r w:rsidRPr="00F50C10">
        <w:rPr>
          <w:rFonts w:eastAsia="Times New Roman" w:cs="Times New Roman"/>
          <w:b/>
          <w:bCs/>
          <w:szCs w:val="24"/>
          <w:lang w:val="fi-FI" w:bidi="tr-TR"/>
        </w:rPr>
        <w:t xml:space="preserve">MET 86: </w:t>
      </w:r>
      <w:r w:rsidRPr="00F50C10">
        <w:rPr>
          <w:rFonts w:eastAsia="Times New Roman" w:cs="Times New Roman"/>
          <w:szCs w:val="24"/>
          <w:lang w:val="fi-FI" w:bidi="tr-TR"/>
        </w:rPr>
        <w:t>Çözücüleri geri kazanmak ve hidrojenleme ünitesi dışındaki tüm birimlerden havaya organik bileşik emisyonlarını azaltmak için, aşağıda verilen tekniklerin uygun bir kombinasyon</w:t>
      </w:r>
      <w:r w:rsidR="006C31C5" w:rsidRPr="00F50C10">
        <w:rPr>
          <w:rFonts w:eastAsia="Times New Roman" w:cs="Times New Roman"/>
          <w:szCs w:val="24"/>
          <w:lang w:val="fi-FI" w:bidi="tr-TR"/>
        </w:rPr>
        <w:t>u kullanılır</w:t>
      </w:r>
      <w:r w:rsidRPr="00F50C10">
        <w:rPr>
          <w:rFonts w:eastAsia="Times New Roman" w:cs="Times New Roman"/>
          <w:szCs w:val="24"/>
          <w:lang w:val="fi-FI" w:bidi="tr-TR"/>
        </w:rPr>
        <w:t xml:space="preserve">. Oksitleme ünitesinde hava kullanılması durumunda bu, asgari olarak teknik </w:t>
      </w:r>
      <w:r w:rsidR="006C31C5" w:rsidRPr="00F50C10">
        <w:rPr>
          <w:rFonts w:eastAsia="Times New Roman" w:cs="Times New Roman"/>
          <w:szCs w:val="24"/>
          <w:lang w:val="fi-FI" w:bidi="tr-TR"/>
        </w:rPr>
        <w:t>86.</w:t>
      </w:r>
      <w:r w:rsidRPr="00F50C10">
        <w:rPr>
          <w:rFonts w:eastAsia="Times New Roman" w:cs="Times New Roman"/>
          <w:szCs w:val="24"/>
          <w:lang w:val="fi-FI" w:bidi="tr-TR"/>
        </w:rPr>
        <w:t xml:space="preserve">d’nin kullanılmasını içerir. Oksitleme ünitesinde saf oksijen kullanılması durumunda ise, asgari olarak soğutulmuş su ile teknik </w:t>
      </w:r>
      <w:r w:rsidR="006C31C5" w:rsidRPr="00F50C10">
        <w:rPr>
          <w:rFonts w:eastAsia="Times New Roman" w:cs="Times New Roman"/>
          <w:szCs w:val="24"/>
          <w:lang w:val="fi-FI" w:bidi="tr-TR"/>
        </w:rPr>
        <w:t>86.</w:t>
      </w:r>
      <w:r w:rsidRPr="00F50C10">
        <w:rPr>
          <w:rFonts w:eastAsia="Times New Roman" w:cs="Times New Roman"/>
          <w:szCs w:val="24"/>
          <w:lang w:val="fi-FI" w:bidi="tr-TR"/>
        </w:rPr>
        <w:t>b’nin</w:t>
      </w:r>
      <w:r w:rsidR="006C31C5" w:rsidRPr="00F50C10">
        <w:rPr>
          <w:rFonts w:eastAsia="Times New Roman" w:cs="Times New Roman"/>
          <w:szCs w:val="24"/>
          <w:lang w:val="fi-FI" w:bidi="tr-TR"/>
        </w:rPr>
        <w:t xml:space="preserve"> </w:t>
      </w:r>
      <w:r w:rsidRPr="00F50C10">
        <w:rPr>
          <w:rFonts w:eastAsia="Times New Roman" w:cs="Times New Roman"/>
          <w:szCs w:val="24"/>
          <w:lang w:val="fi-FI" w:bidi="tr-TR"/>
        </w:rPr>
        <w:t>kullanılmasını içerir.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580"/>
        <w:gridCol w:w="3467"/>
        <w:gridCol w:w="2105"/>
      </w:tblGrid>
      <w:tr w:rsidR="00BB704F" w:rsidRPr="00F50C10" w14:paraId="6D50A1D7" w14:textId="77777777" w:rsidTr="00BB704F">
        <w:trPr>
          <w:trHeight w:val="230"/>
          <w:tblHeader/>
        </w:trPr>
        <w:tc>
          <w:tcPr>
            <w:tcW w:w="190" w:type="pct"/>
          </w:tcPr>
          <w:p w14:paraId="4FBFACEE" w14:textId="77777777" w:rsidR="00BB704F" w:rsidRPr="00F50C10" w:rsidRDefault="00BB704F" w:rsidP="000B206D">
            <w:pPr>
              <w:spacing w:line="276" w:lineRule="auto"/>
              <w:ind w:left="108" w:right="108"/>
              <w:jc w:val="left"/>
              <w:rPr>
                <w:rFonts w:eastAsia="Times New Roman" w:cs="Times New Roman"/>
                <w:szCs w:val="24"/>
                <w:lang w:val="tr-TR"/>
              </w:rPr>
            </w:pPr>
          </w:p>
        </w:tc>
        <w:tc>
          <w:tcPr>
            <w:tcW w:w="1523" w:type="pct"/>
            <w:vAlign w:val="center"/>
          </w:tcPr>
          <w:p w14:paraId="0759F930"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2044" w:type="pct"/>
            <w:vAlign w:val="center"/>
          </w:tcPr>
          <w:p w14:paraId="21B947EF"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42" w:type="pct"/>
            <w:vAlign w:val="center"/>
          </w:tcPr>
          <w:p w14:paraId="5C0956B7"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2749F42E" w14:textId="77777777" w:rsidTr="00BB704F">
        <w:trPr>
          <w:trHeight w:val="230"/>
        </w:trPr>
        <w:tc>
          <w:tcPr>
            <w:tcW w:w="5000" w:type="pct"/>
            <w:gridSpan w:val="4"/>
            <w:vAlign w:val="center"/>
          </w:tcPr>
          <w:p w14:paraId="495D9C82" w14:textId="77777777" w:rsidR="00BB704F" w:rsidRPr="00F50C10" w:rsidRDefault="00BB704F" w:rsidP="000B206D">
            <w:pPr>
              <w:spacing w:line="276" w:lineRule="auto"/>
              <w:ind w:left="108" w:right="108"/>
              <w:rPr>
                <w:rFonts w:eastAsia="Times New Roman" w:cs="Times New Roman"/>
                <w:b/>
                <w:i/>
                <w:szCs w:val="24"/>
                <w:lang w:val="tr-TR"/>
              </w:rPr>
            </w:pPr>
            <w:r w:rsidRPr="00F50C10">
              <w:rPr>
                <w:rFonts w:eastAsia="Times New Roman" w:cs="Times New Roman"/>
                <w:b/>
                <w:i/>
                <w:szCs w:val="24"/>
                <w:lang w:val="tr-TR" w:bidi="tr-TR"/>
              </w:rPr>
              <w:t>Prosese entegre teknikler</w:t>
            </w:r>
          </w:p>
        </w:tc>
      </w:tr>
      <w:tr w:rsidR="00BB704F" w:rsidRPr="00F50C10" w14:paraId="0ACED858" w14:textId="77777777" w:rsidTr="00BB704F">
        <w:trPr>
          <w:trHeight w:val="1152"/>
        </w:trPr>
        <w:tc>
          <w:tcPr>
            <w:tcW w:w="190" w:type="pct"/>
            <w:vAlign w:val="center"/>
          </w:tcPr>
          <w:p w14:paraId="5B29511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523" w:type="pct"/>
            <w:vAlign w:val="center"/>
          </w:tcPr>
          <w:p w14:paraId="5B18CB0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Oksitleme prosesinin optimizasyonu</w:t>
            </w:r>
          </w:p>
        </w:tc>
        <w:tc>
          <w:tcPr>
            <w:tcW w:w="2044" w:type="pct"/>
            <w:vAlign w:val="center"/>
          </w:tcPr>
          <w:p w14:paraId="6131A60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Proses optimizasyonu, solventi azaltmak için yükseltilmiş oksidasyon basıncını ve azaltılmış oksidasyon sıcaklığını içerir</w:t>
            </w:r>
          </w:p>
          <w:p w14:paraId="48BC511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proses çıkış gazındaki buhar konsantrasyonu</w:t>
            </w:r>
          </w:p>
        </w:tc>
        <w:tc>
          <w:tcPr>
            <w:tcW w:w="1242" w:type="pct"/>
            <w:vAlign w:val="center"/>
          </w:tcPr>
          <w:p w14:paraId="7B8079D5" w14:textId="77777777" w:rsidR="00BB704F" w:rsidRPr="00F50C10" w:rsidRDefault="00BB704F" w:rsidP="000B206D">
            <w:pPr>
              <w:spacing w:line="276" w:lineRule="auto"/>
              <w:ind w:left="108" w:right="108"/>
              <w:rPr>
                <w:rFonts w:eastAsia="Times New Roman" w:cs="Times New Roman"/>
                <w:b/>
                <w:bCs/>
                <w:szCs w:val="24"/>
                <w:lang w:val="tr-TR"/>
              </w:rPr>
            </w:pPr>
            <w:r w:rsidRPr="00F50C10">
              <w:rPr>
                <w:rFonts w:eastAsia="Times New Roman" w:cs="Times New Roman"/>
                <w:szCs w:val="24"/>
                <w:lang w:val="tr-TR" w:bidi="tr-TR"/>
              </w:rPr>
              <w:t>Yalnızca yeni oksitleme üniteleri veya büyük ölçekli tesis yenilemeleri için geçerlidir</w:t>
            </w:r>
          </w:p>
        </w:tc>
      </w:tr>
      <w:tr w:rsidR="00BB704F" w:rsidRPr="00F50C10" w14:paraId="30C5629C" w14:textId="77777777" w:rsidTr="00BB704F">
        <w:trPr>
          <w:trHeight w:val="457"/>
        </w:trPr>
        <w:tc>
          <w:tcPr>
            <w:tcW w:w="190" w:type="pct"/>
            <w:vAlign w:val="center"/>
          </w:tcPr>
          <w:p w14:paraId="3C4E541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tc>
        <w:tc>
          <w:tcPr>
            <w:tcW w:w="1523" w:type="pct"/>
            <w:vAlign w:val="center"/>
          </w:tcPr>
          <w:p w14:paraId="23FD42C3" w14:textId="03F04BB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Katıları azaltmaya yönelik teknikler ve/veya sıvıların sürüklenmesi</w:t>
            </w:r>
          </w:p>
        </w:tc>
        <w:tc>
          <w:tcPr>
            <w:tcW w:w="2044" w:type="pct"/>
            <w:vAlign w:val="center"/>
          </w:tcPr>
          <w:p w14:paraId="45F6FA1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r w:rsidRPr="00F50C10">
              <w:rPr>
                <w:rFonts w:eastAsia="Times New Roman" w:cs="Times New Roman"/>
                <w:szCs w:val="24"/>
                <w:lang w:val="tr-TR" w:bidi="tr-TR"/>
              </w:rPr>
              <w:fldChar w:fldCharType="begin"/>
            </w:r>
            <w:r w:rsidRPr="00F50C10">
              <w:rPr>
                <w:rFonts w:eastAsia="Times New Roman" w:cs="Times New Roman"/>
                <w:szCs w:val="24"/>
                <w:lang w:val="tr-TR" w:bidi="tr-TR"/>
              </w:rPr>
              <w:instrText xml:space="preserve"> REF _Ref136600673 \n \h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bidi="tr-TR"/>
              </w:rPr>
              <w:t>12.1</w:t>
            </w:r>
            <w:r w:rsidRPr="00F50C10">
              <w:rPr>
                <w:rFonts w:eastAsia="Times New Roman" w:cs="Times New Roman"/>
                <w:szCs w:val="24"/>
                <w:lang w:val="tr-TR" w:bidi="tr-TR"/>
              </w:rPr>
              <w:fldChar w:fldCharType="end"/>
            </w:r>
          </w:p>
        </w:tc>
        <w:tc>
          <w:tcPr>
            <w:tcW w:w="1242" w:type="pct"/>
            <w:vAlign w:val="center"/>
          </w:tcPr>
          <w:p w14:paraId="2EE560F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760F073D" w14:textId="77777777" w:rsidTr="00BB704F">
        <w:trPr>
          <w:trHeight w:val="230"/>
        </w:trPr>
        <w:tc>
          <w:tcPr>
            <w:tcW w:w="5000" w:type="pct"/>
            <w:gridSpan w:val="4"/>
            <w:vAlign w:val="center"/>
          </w:tcPr>
          <w:p w14:paraId="1F64B8B7" w14:textId="77777777" w:rsidR="00BB704F" w:rsidRPr="00F50C10" w:rsidRDefault="00BB704F" w:rsidP="000B206D">
            <w:pPr>
              <w:spacing w:line="276" w:lineRule="auto"/>
              <w:ind w:left="108" w:right="108"/>
              <w:rPr>
                <w:rFonts w:eastAsia="Times New Roman" w:cs="Times New Roman"/>
                <w:b/>
                <w:i/>
                <w:szCs w:val="24"/>
                <w:lang w:val="tr-TR"/>
              </w:rPr>
            </w:pPr>
            <w:r w:rsidRPr="00F50C10">
              <w:rPr>
                <w:rFonts w:eastAsia="Times New Roman" w:cs="Times New Roman"/>
                <w:b/>
                <w:i/>
                <w:szCs w:val="24"/>
                <w:lang w:val="tr-TR" w:bidi="tr-TR"/>
              </w:rPr>
              <w:t>Çözücüyü yeniden kullanım için geri kazanma teknikleri</w:t>
            </w:r>
          </w:p>
        </w:tc>
      </w:tr>
      <w:tr w:rsidR="00BB704F" w:rsidRPr="00F50C10" w14:paraId="1CEB6025" w14:textId="77777777" w:rsidTr="00BB704F">
        <w:trPr>
          <w:trHeight w:val="230"/>
        </w:trPr>
        <w:tc>
          <w:tcPr>
            <w:tcW w:w="190" w:type="pct"/>
            <w:vAlign w:val="center"/>
          </w:tcPr>
          <w:p w14:paraId="3995A94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c</w:t>
            </w:r>
          </w:p>
        </w:tc>
        <w:tc>
          <w:tcPr>
            <w:tcW w:w="1523" w:type="pct"/>
            <w:vAlign w:val="center"/>
          </w:tcPr>
          <w:p w14:paraId="3D8C7F15" w14:textId="54F8E31D"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Yoğu</w:t>
            </w:r>
            <w:r w:rsidR="006C31C5" w:rsidRPr="00F50C10">
              <w:rPr>
                <w:rFonts w:eastAsia="Times New Roman" w:cs="Times New Roman"/>
                <w:szCs w:val="24"/>
                <w:lang w:val="tr-TR" w:bidi="tr-TR"/>
              </w:rPr>
              <w:t>şturma</w:t>
            </w:r>
          </w:p>
        </w:tc>
        <w:tc>
          <w:tcPr>
            <w:tcW w:w="2044" w:type="pct"/>
            <w:vAlign w:val="center"/>
          </w:tcPr>
          <w:p w14:paraId="51F4247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r w:rsidRPr="00F50C10">
              <w:rPr>
                <w:rFonts w:eastAsia="Times New Roman" w:cs="Times New Roman"/>
                <w:szCs w:val="24"/>
                <w:lang w:val="tr-TR" w:bidi="tr-TR"/>
              </w:rPr>
              <w:fldChar w:fldCharType="begin"/>
            </w:r>
            <w:r w:rsidRPr="00F50C10">
              <w:rPr>
                <w:rFonts w:eastAsia="Times New Roman" w:cs="Times New Roman"/>
                <w:szCs w:val="24"/>
                <w:lang w:val="tr-TR" w:bidi="tr-TR"/>
              </w:rPr>
              <w:instrText xml:space="preserve"> REF _Ref136600673 \n \h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bidi="tr-TR"/>
              </w:rPr>
              <w:t>12.1</w:t>
            </w:r>
            <w:r w:rsidRPr="00F50C10">
              <w:rPr>
                <w:rFonts w:eastAsia="Times New Roman" w:cs="Times New Roman"/>
                <w:szCs w:val="24"/>
                <w:lang w:val="tr-TR" w:bidi="tr-TR"/>
              </w:rPr>
              <w:fldChar w:fldCharType="end"/>
            </w:r>
          </w:p>
        </w:tc>
        <w:tc>
          <w:tcPr>
            <w:tcW w:w="1242" w:type="pct"/>
            <w:vAlign w:val="center"/>
          </w:tcPr>
          <w:p w14:paraId="1E28C3C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4841462C" w14:textId="77777777" w:rsidTr="00BB704F">
        <w:trPr>
          <w:trHeight w:val="921"/>
        </w:trPr>
        <w:tc>
          <w:tcPr>
            <w:tcW w:w="190" w:type="pct"/>
            <w:vAlign w:val="center"/>
          </w:tcPr>
          <w:p w14:paraId="0CD41D6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d</w:t>
            </w:r>
          </w:p>
        </w:tc>
        <w:tc>
          <w:tcPr>
            <w:tcW w:w="1523" w:type="pct"/>
            <w:vAlign w:val="center"/>
          </w:tcPr>
          <w:p w14:paraId="407971A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Adsorpsiyon (rejeneratif)</w:t>
            </w:r>
          </w:p>
        </w:tc>
        <w:tc>
          <w:tcPr>
            <w:tcW w:w="2044" w:type="pct"/>
            <w:vAlign w:val="center"/>
          </w:tcPr>
          <w:p w14:paraId="0E090C9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 xml:space="preserve">Bkz.Bölüm </w:t>
            </w:r>
            <w:r w:rsidRPr="00F50C10">
              <w:rPr>
                <w:rFonts w:eastAsia="Times New Roman" w:cs="Times New Roman"/>
                <w:szCs w:val="24"/>
                <w:lang w:val="tr-TR" w:bidi="tr-TR"/>
              </w:rPr>
              <w:fldChar w:fldCharType="begin"/>
            </w:r>
            <w:r w:rsidRPr="00F50C10">
              <w:rPr>
                <w:rFonts w:eastAsia="Times New Roman" w:cs="Times New Roman"/>
                <w:szCs w:val="24"/>
                <w:lang w:val="tr-TR" w:bidi="tr-TR"/>
              </w:rPr>
              <w:instrText xml:space="preserve"> REF _Ref136600673 \n \h  \* MERGEFORMAT </w:instrText>
            </w:r>
            <w:r w:rsidRPr="00F50C10">
              <w:rPr>
                <w:rFonts w:eastAsia="Times New Roman" w:cs="Times New Roman"/>
                <w:szCs w:val="24"/>
                <w:lang w:val="tr-TR" w:bidi="tr-TR"/>
              </w:rPr>
            </w:r>
            <w:r w:rsidRPr="00F50C10">
              <w:rPr>
                <w:rFonts w:eastAsia="Times New Roman" w:cs="Times New Roman"/>
                <w:szCs w:val="24"/>
                <w:lang w:val="tr-TR" w:bidi="tr-TR"/>
              </w:rPr>
              <w:fldChar w:fldCharType="separate"/>
            </w:r>
            <w:r w:rsidRPr="00F50C10">
              <w:rPr>
                <w:rFonts w:eastAsia="Times New Roman" w:cs="Times New Roman"/>
                <w:szCs w:val="24"/>
                <w:lang w:val="tr-TR" w:bidi="tr-TR"/>
              </w:rPr>
              <w:t>12.1</w:t>
            </w:r>
            <w:r w:rsidRPr="00F50C10">
              <w:rPr>
                <w:rFonts w:eastAsia="Times New Roman" w:cs="Times New Roman"/>
                <w:szCs w:val="24"/>
                <w:lang w:val="tr-TR" w:bidi="tr-TR"/>
              </w:rPr>
              <w:fldChar w:fldCharType="end"/>
            </w:r>
          </w:p>
        </w:tc>
        <w:tc>
          <w:tcPr>
            <w:tcW w:w="1242" w:type="pct"/>
            <w:vAlign w:val="center"/>
          </w:tcPr>
          <w:p w14:paraId="0C342A23"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Saf oksijen ile oksidasyondan çıkan çıkış gazını işlemek için geçerli değildir</w:t>
            </w:r>
          </w:p>
        </w:tc>
      </w:tr>
    </w:tbl>
    <w:p w14:paraId="0B2DEE70" w14:textId="41E6F2C8" w:rsidR="00BB704F" w:rsidRPr="00F50C10" w:rsidRDefault="00436815" w:rsidP="000B206D">
      <w:pPr>
        <w:spacing w:before="240" w:line="276" w:lineRule="auto"/>
        <w:rPr>
          <w:rFonts w:eastAsia="Calibri" w:cs="Times New Roman"/>
          <w:b/>
          <w:iCs/>
          <w:color w:val="000000"/>
          <w:szCs w:val="24"/>
        </w:rPr>
      </w:pPr>
      <w:r w:rsidRPr="00F50C10">
        <w:rPr>
          <w:rFonts w:eastAsia="Calibri" w:cs="Times New Roman"/>
          <w:b/>
          <w:iCs/>
          <w:color w:val="000000"/>
          <w:szCs w:val="24"/>
        </w:rPr>
        <w:t xml:space="preserve">Tablo 11.1. </w:t>
      </w:r>
      <w:r w:rsidR="00BB704F" w:rsidRPr="00F50C10">
        <w:rPr>
          <w:rFonts w:eastAsia="Calibri" w:cs="Times New Roman"/>
          <w:b/>
          <w:iCs/>
          <w:color w:val="000000"/>
          <w:szCs w:val="24"/>
        </w:rPr>
        <w:t>Oksitleme ünitesinden havaya TUOB emisyonları için MET-İES'ler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1"/>
        <w:gridCol w:w="6436"/>
      </w:tblGrid>
      <w:tr w:rsidR="00BB704F" w:rsidRPr="00F50C10" w14:paraId="3696B20C" w14:textId="77777777" w:rsidTr="00BB704F">
        <w:trPr>
          <w:trHeight w:val="688"/>
        </w:trPr>
        <w:tc>
          <w:tcPr>
            <w:tcW w:w="1213" w:type="pct"/>
          </w:tcPr>
          <w:p w14:paraId="7C20FA1A" w14:textId="77777777" w:rsidR="00BB704F" w:rsidRPr="00F50C10" w:rsidRDefault="00BB704F" w:rsidP="000B206D">
            <w:pPr>
              <w:spacing w:line="276" w:lineRule="auto"/>
              <w:ind w:left="108" w:right="108"/>
              <w:jc w:val="left"/>
              <w:rPr>
                <w:rFonts w:eastAsia="Times New Roman" w:cs="Times New Roman"/>
                <w:b/>
                <w:szCs w:val="24"/>
                <w:lang w:val="tr-TR"/>
              </w:rPr>
            </w:pPr>
          </w:p>
          <w:p w14:paraId="1827B939" w14:textId="77777777" w:rsidR="00BB704F" w:rsidRPr="00F50C10" w:rsidRDefault="00BB704F" w:rsidP="000B206D">
            <w:pPr>
              <w:spacing w:line="276" w:lineRule="auto"/>
              <w:ind w:left="108" w:right="108"/>
              <w:jc w:val="left"/>
              <w:rPr>
                <w:rFonts w:eastAsia="Times New Roman" w:cs="Times New Roman"/>
                <w:b/>
                <w:szCs w:val="24"/>
                <w:lang w:val="tr-TR"/>
              </w:rPr>
            </w:pPr>
            <w:r w:rsidRPr="00F50C10">
              <w:rPr>
                <w:rFonts w:eastAsia="Times New Roman" w:cs="Times New Roman"/>
                <w:b/>
                <w:szCs w:val="24"/>
                <w:lang w:val="tr-TR" w:bidi="tr-TR"/>
              </w:rPr>
              <w:t>Parametre</w:t>
            </w:r>
          </w:p>
        </w:tc>
        <w:tc>
          <w:tcPr>
            <w:tcW w:w="3787" w:type="pct"/>
          </w:tcPr>
          <w:p w14:paraId="46F98A43"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b/>
                <w:szCs w:val="24"/>
                <w:lang w:val="tr-TR" w:bidi="tr-TR"/>
              </w:rPr>
              <w:t>MET-İES</w:t>
            </w:r>
            <w:r w:rsidRPr="00F50C10">
              <w:rPr>
                <w:rFonts w:eastAsia="Times New Roman" w:cs="Times New Roman"/>
                <w:szCs w:val="24"/>
                <w:lang w:val="tr-TR" w:bidi="tr-TR"/>
              </w:rPr>
              <w:t xml:space="preserve"> </w:t>
            </w:r>
            <w:r w:rsidRPr="00F50C10">
              <w:rPr>
                <w:rFonts w:eastAsia="Times New Roman" w:cs="Times New Roman"/>
                <w:b/>
                <w:bCs/>
                <w:szCs w:val="24"/>
                <w:lang w:val="tr-TR" w:bidi="tr-TR"/>
              </w:rPr>
              <w:t>(</w:t>
            </w:r>
            <w:r w:rsidRPr="00F50C10">
              <w:rPr>
                <w:rFonts w:eastAsia="Times New Roman" w:cs="Times New Roman"/>
                <w:b/>
                <w:bCs/>
                <w:szCs w:val="24"/>
                <w:vertAlign w:val="superscript"/>
                <w:lang w:val="tr-TR" w:bidi="tr-TR"/>
              </w:rPr>
              <w:t>1</w:t>
            </w:r>
            <w:r w:rsidRPr="00F50C10">
              <w:rPr>
                <w:rFonts w:eastAsia="Times New Roman" w:cs="Times New Roman"/>
                <w:b/>
                <w:bCs/>
                <w:szCs w:val="24"/>
                <w:lang w:val="tr-TR" w:bidi="tr-TR"/>
              </w:rPr>
              <w:t>)</w:t>
            </w:r>
          </w:p>
          <w:p w14:paraId="6E39FBE9"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b/>
                <w:szCs w:val="24"/>
                <w:lang w:val="tr-TR" w:bidi="tr-TR"/>
              </w:rPr>
              <w:t>(günlük ortalama veya örnekleme süresi boyunca ortalama) (</w:t>
            </w:r>
            <w:r w:rsidRPr="00F50C10">
              <w:rPr>
                <w:rFonts w:eastAsia="Times New Roman" w:cs="Times New Roman"/>
                <w:b/>
                <w:szCs w:val="24"/>
                <w:vertAlign w:val="superscript"/>
                <w:lang w:val="tr-TR" w:bidi="tr-TR"/>
              </w:rPr>
              <w:t>2</w:t>
            </w:r>
            <w:r w:rsidRPr="00F50C10">
              <w:rPr>
                <w:rFonts w:eastAsia="Times New Roman" w:cs="Times New Roman"/>
                <w:b/>
                <w:szCs w:val="24"/>
                <w:lang w:val="tr-TR" w:bidi="tr-TR"/>
              </w:rPr>
              <w:t>)</w:t>
            </w:r>
          </w:p>
          <w:p w14:paraId="4182161A"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(oksijen içeriği için düzeltme yok)</w:t>
            </w:r>
          </w:p>
        </w:tc>
      </w:tr>
      <w:tr w:rsidR="00BB704F" w:rsidRPr="00F50C10" w14:paraId="2B73F79D" w14:textId="77777777" w:rsidTr="00BB704F">
        <w:trPr>
          <w:trHeight w:val="230"/>
        </w:trPr>
        <w:tc>
          <w:tcPr>
            <w:tcW w:w="1213" w:type="pct"/>
          </w:tcPr>
          <w:p w14:paraId="4E393E97" w14:textId="77777777" w:rsidR="00BB704F" w:rsidRPr="00F50C10" w:rsidRDefault="00BB704F" w:rsidP="000B206D">
            <w:pPr>
              <w:spacing w:line="276" w:lineRule="auto"/>
              <w:ind w:left="108" w:right="108"/>
              <w:jc w:val="left"/>
              <w:rPr>
                <w:rFonts w:eastAsia="Times New Roman" w:cs="Times New Roman"/>
                <w:szCs w:val="24"/>
                <w:lang w:val="tr-TR"/>
              </w:rPr>
            </w:pPr>
            <w:r w:rsidRPr="00F50C10">
              <w:rPr>
                <w:rFonts w:eastAsia="Times New Roman" w:cs="Times New Roman"/>
                <w:szCs w:val="24"/>
                <w:lang w:val="tr-TR" w:bidi="tr-TR"/>
              </w:rPr>
              <w:t>TUOB</w:t>
            </w:r>
          </w:p>
        </w:tc>
        <w:tc>
          <w:tcPr>
            <w:tcW w:w="3787" w:type="pct"/>
          </w:tcPr>
          <w:p w14:paraId="05230498" w14:textId="77777777" w:rsidR="00BB704F" w:rsidRPr="00F50C10" w:rsidRDefault="00BB704F" w:rsidP="000B206D">
            <w:pPr>
              <w:spacing w:line="276" w:lineRule="auto"/>
              <w:ind w:left="108" w:right="108"/>
              <w:jc w:val="center"/>
              <w:rPr>
                <w:rFonts w:eastAsia="Times New Roman" w:cs="Times New Roman"/>
                <w:szCs w:val="24"/>
                <w:lang w:val="tr-TR"/>
              </w:rPr>
            </w:pPr>
            <w:r w:rsidRPr="00F50C10">
              <w:rPr>
                <w:rFonts w:eastAsia="Times New Roman" w:cs="Times New Roman"/>
                <w:szCs w:val="24"/>
                <w:lang w:val="tr-TR" w:bidi="tr-TR"/>
              </w:rPr>
              <w:t>5–25 mg/Nm</w:t>
            </w:r>
            <w:r w:rsidRPr="00F50C10">
              <w:rPr>
                <w:rFonts w:eastAsia="Times New Roman" w:cs="Times New Roman"/>
                <w:szCs w:val="24"/>
                <w:vertAlign w:val="superscript"/>
                <w:lang w:val="tr-TR" w:bidi="tr-TR"/>
              </w:rPr>
              <w:t>3</w:t>
            </w:r>
            <w:r w:rsidRPr="00F50C10">
              <w:rPr>
                <w:rFonts w:eastAsia="Times New Roman" w:cs="Times New Roman"/>
                <w:szCs w:val="24"/>
                <w:lang w:val="tr-TR" w:bidi="tr-TR"/>
              </w:rPr>
              <w:t xml:space="preserve"> (</w:t>
            </w:r>
            <w:r w:rsidRPr="00F50C10">
              <w:rPr>
                <w:rFonts w:eastAsia="Times New Roman" w:cs="Times New Roman"/>
                <w:szCs w:val="24"/>
                <w:vertAlign w:val="superscript"/>
                <w:lang w:val="tr-TR" w:bidi="tr-TR"/>
              </w:rPr>
              <w:t>3</w:t>
            </w:r>
            <w:r w:rsidRPr="00F50C10">
              <w:rPr>
                <w:rFonts w:eastAsia="Times New Roman" w:cs="Times New Roman"/>
                <w:szCs w:val="24"/>
                <w:lang w:val="tr-TR" w:bidi="tr-TR"/>
              </w:rPr>
              <w:t>)</w:t>
            </w:r>
          </w:p>
        </w:tc>
      </w:tr>
      <w:tr w:rsidR="00BB704F" w:rsidRPr="00F50C10" w14:paraId="3307E8EE" w14:textId="77777777" w:rsidTr="00BB704F">
        <w:trPr>
          <w:trHeight w:val="830"/>
        </w:trPr>
        <w:tc>
          <w:tcPr>
            <w:tcW w:w="5000" w:type="pct"/>
            <w:gridSpan w:val="2"/>
          </w:tcPr>
          <w:p w14:paraId="1AEF04F3" w14:textId="77777777" w:rsidR="00BB704F" w:rsidRPr="00F50C10" w:rsidRDefault="00BB704F" w:rsidP="000B206D">
            <w:pPr>
              <w:tabs>
                <w:tab w:val="left" w:pos="334"/>
              </w:tabs>
              <w:spacing w:line="276" w:lineRule="auto"/>
              <w:ind w:left="108" w:right="108"/>
              <w:jc w:val="left"/>
              <w:rPr>
                <w:rFonts w:eastAsia="Times New Roman" w:cs="Times New Roman"/>
                <w:i/>
                <w:iCs/>
                <w:szCs w:val="24"/>
                <w:lang w:val="tr-TR" w:bidi="tr-TR"/>
              </w:rPr>
            </w:pPr>
            <w:r w:rsidRPr="00F50C10">
              <w:rPr>
                <w:rFonts w:eastAsia="Times New Roman" w:cs="Times New Roman"/>
                <w:i/>
                <w:iCs/>
                <w:szCs w:val="24"/>
                <w:lang w:val="tr-TR" w:bidi="tr-TR"/>
              </w:rPr>
              <w:t>(</w:t>
            </w:r>
            <w:r w:rsidRPr="00F50C10">
              <w:rPr>
                <w:rFonts w:eastAsia="Times New Roman" w:cs="Times New Roman"/>
                <w:i/>
                <w:iCs/>
                <w:szCs w:val="24"/>
                <w:vertAlign w:val="superscript"/>
                <w:lang w:val="tr-TR" w:bidi="tr-TR"/>
              </w:rPr>
              <w:t>1</w:t>
            </w:r>
            <w:r w:rsidRPr="00F50C10">
              <w:rPr>
                <w:rFonts w:eastAsia="Times New Roman" w:cs="Times New Roman"/>
                <w:i/>
                <w:iCs/>
                <w:szCs w:val="24"/>
                <w:lang w:val="tr-TR" w:bidi="tr-TR"/>
              </w:rPr>
              <w:t>)MET-İES, emisyonların 150 g/s değerinin altında olduğu durumlarda geçerli değildir.</w:t>
            </w:r>
          </w:p>
          <w:p w14:paraId="5E9D999E" w14:textId="77777777" w:rsidR="00BB704F" w:rsidRPr="00F50C10" w:rsidRDefault="00BB704F" w:rsidP="000B206D">
            <w:pPr>
              <w:tabs>
                <w:tab w:val="left" w:pos="334"/>
              </w:tabs>
              <w:spacing w:line="276" w:lineRule="auto"/>
              <w:ind w:left="108" w:right="108"/>
              <w:jc w:val="left"/>
              <w:rPr>
                <w:rFonts w:eastAsia="Times New Roman" w:cs="Times New Roman"/>
                <w:i/>
                <w:iCs/>
                <w:szCs w:val="24"/>
                <w:lang w:val="tr-TR" w:bidi="tr-TR"/>
              </w:rPr>
            </w:pPr>
            <w:r w:rsidRPr="00F50C10">
              <w:rPr>
                <w:rFonts w:eastAsia="Times New Roman" w:cs="Times New Roman"/>
                <w:i/>
                <w:iCs/>
                <w:szCs w:val="24"/>
                <w:lang w:val="tr-TR" w:bidi="tr-TR"/>
              </w:rPr>
              <w:t>(</w:t>
            </w:r>
            <w:r w:rsidRPr="00F50C10">
              <w:rPr>
                <w:rFonts w:eastAsia="Times New Roman" w:cs="Times New Roman"/>
                <w:i/>
                <w:iCs/>
                <w:szCs w:val="24"/>
                <w:vertAlign w:val="superscript"/>
                <w:lang w:val="tr-TR" w:bidi="tr-TR"/>
              </w:rPr>
              <w:t>2</w:t>
            </w:r>
            <w:r w:rsidRPr="00F50C10">
              <w:rPr>
                <w:rFonts w:eastAsia="Times New Roman" w:cs="Times New Roman"/>
                <w:i/>
                <w:iCs/>
                <w:szCs w:val="24"/>
                <w:lang w:val="tr-TR" w:bidi="tr-TR"/>
              </w:rPr>
              <w:t>)Adsorpsiyon kullanıldığında, örnekleme periyodu tam bir adsorpsiyon döngüsünü temsil eder.</w:t>
            </w:r>
          </w:p>
          <w:p w14:paraId="5F1B3D34" w14:textId="77777777" w:rsidR="00BB704F" w:rsidRPr="00F50C10" w:rsidRDefault="00BB704F" w:rsidP="000B206D">
            <w:pPr>
              <w:tabs>
                <w:tab w:val="left" w:pos="334"/>
              </w:tabs>
              <w:spacing w:line="276" w:lineRule="auto"/>
              <w:ind w:left="108" w:right="108"/>
              <w:jc w:val="left"/>
              <w:rPr>
                <w:rFonts w:eastAsia="Times New Roman" w:cs="Times New Roman"/>
                <w:szCs w:val="24"/>
                <w:lang w:val="tr-TR"/>
              </w:rPr>
            </w:pPr>
            <w:r w:rsidRPr="00F50C10">
              <w:rPr>
                <w:rFonts w:eastAsia="Times New Roman" w:cs="Times New Roman"/>
                <w:i/>
                <w:iCs/>
                <w:szCs w:val="24"/>
                <w:lang w:val="tr-TR" w:bidi="tr-TR"/>
              </w:rPr>
              <w:t>(</w:t>
            </w:r>
            <w:r w:rsidRPr="00F50C10">
              <w:rPr>
                <w:rFonts w:eastAsia="Times New Roman" w:cs="Times New Roman"/>
                <w:i/>
                <w:iCs/>
                <w:szCs w:val="24"/>
                <w:vertAlign w:val="superscript"/>
                <w:lang w:val="tr-TR" w:bidi="tr-TR"/>
              </w:rPr>
              <w:t>3</w:t>
            </w:r>
            <w:r w:rsidRPr="00F50C10">
              <w:rPr>
                <w:rFonts w:eastAsia="Times New Roman" w:cs="Times New Roman"/>
                <w:i/>
                <w:iCs/>
                <w:szCs w:val="24"/>
                <w:lang w:val="tr-TR" w:bidi="tr-TR"/>
              </w:rPr>
              <w:t>)Emisyonda önemli miktarda metan içeriği olması durumunda, EN ISO 25140 veya EN ISO 25139'a göre izlenen metan, sonuçtan çıkarılır.</w:t>
            </w:r>
          </w:p>
        </w:tc>
      </w:tr>
    </w:tbl>
    <w:p w14:paraId="517FC1A9" w14:textId="77777777" w:rsidR="00BB704F" w:rsidRPr="00F50C10" w:rsidRDefault="00BB704F" w:rsidP="000B206D">
      <w:pPr>
        <w:widowControl w:val="0"/>
        <w:autoSpaceDE w:val="0"/>
        <w:autoSpaceDN w:val="0"/>
        <w:spacing w:line="276" w:lineRule="auto"/>
        <w:jc w:val="left"/>
        <w:rPr>
          <w:rFonts w:eastAsia="Times New Roman" w:cs="Times New Roman"/>
          <w:szCs w:val="24"/>
        </w:rPr>
      </w:pPr>
    </w:p>
    <w:p w14:paraId="2DF1F2EE" w14:textId="77777777" w:rsidR="00436815" w:rsidRPr="00F50C10" w:rsidRDefault="00436815" w:rsidP="000B206D">
      <w:pPr>
        <w:spacing w:line="276" w:lineRule="auto"/>
        <w:rPr>
          <w:rFonts w:cs="Times New Roman"/>
          <w:szCs w:val="24"/>
          <w:lang w:bidi="tr-TR"/>
        </w:rPr>
      </w:pPr>
      <w:r w:rsidRPr="00F50C10">
        <w:rPr>
          <w:rFonts w:cs="Times New Roman"/>
          <w:szCs w:val="24"/>
          <w:lang w:bidi="tr-TR"/>
        </w:rPr>
        <w:t xml:space="preserve">İlgili izleme </w:t>
      </w:r>
      <w:hyperlink w:anchor="_bookmark758" w:history="1">
        <w:r w:rsidRPr="00F50C10">
          <w:rPr>
            <w:rFonts w:cs="Times New Roman"/>
            <w:szCs w:val="24"/>
            <w:lang w:bidi="tr-TR"/>
          </w:rPr>
          <w:t>MET 2 kapsamındadır</w:t>
        </w:r>
      </w:hyperlink>
      <w:r w:rsidRPr="00F50C10">
        <w:rPr>
          <w:rFonts w:cs="Times New Roman"/>
          <w:szCs w:val="24"/>
          <w:lang w:bidi="tr-TR"/>
        </w:rPr>
        <w:t>.</w:t>
      </w:r>
    </w:p>
    <w:p w14:paraId="2D354A03" w14:textId="2AB0B1A1" w:rsidR="00BB704F" w:rsidRPr="00F50C10" w:rsidRDefault="00BB704F" w:rsidP="000B206D">
      <w:pPr>
        <w:widowControl w:val="0"/>
        <w:autoSpaceDE w:val="0"/>
        <w:autoSpaceDN w:val="0"/>
        <w:spacing w:before="240" w:line="276" w:lineRule="auto"/>
        <w:jc w:val="left"/>
        <w:rPr>
          <w:rFonts w:eastAsia="Times New Roman" w:cs="Times New Roman"/>
          <w:szCs w:val="24"/>
          <w:lang w:val="nl-NL" w:bidi="tr-TR"/>
        </w:rPr>
      </w:pPr>
      <w:r w:rsidRPr="00F50C10">
        <w:rPr>
          <w:rFonts w:eastAsia="Times New Roman" w:cs="Times New Roman"/>
          <w:b/>
          <w:bCs/>
          <w:szCs w:val="24"/>
          <w:lang w:val="nl-NL" w:bidi="tr-TR"/>
        </w:rPr>
        <w:t xml:space="preserve">MET 87: </w:t>
      </w:r>
      <w:r w:rsidRPr="00F50C10">
        <w:rPr>
          <w:rFonts w:eastAsia="Times New Roman" w:cs="Times New Roman"/>
          <w:szCs w:val="24"/>
          <w:lang w:val="nl-NL" w:bidi="tr-TR"/>
        </w:rPr>
        <w:t xml:space="preserve">Devreye alma işlemleri sırasında hidrojenleme ünitesinden havaya salınan organik bileşik emisyonlarını azaltmak için, </w:t>
      </w:r>
      <w:r w:rsidR="00B160B5" w:rsidRPr="00F50C10">
        <w:rPr>
          <w:rFonts w:eastAsia="Times New Roman" w:cs="Times New Roman"/>
          <w:szCs w:val="24"/>
          <w:lang w:val="nl-NL" w:bidi="tr-TR"/>
        </w:rPr>
        <w:t>yoğuşturma</w:t>
      </w:r>
      <w:r w:rsidRPr="00F50C10">
        <w:rPr>
          <w:rFonts w:eastAsia="Times New Roman" w:cs="Times New Roman"/>
          <w:szCs w:val="24"/>
          <w:lang w:val="nl-NL" w:bidi="tr-TR"/>
        </w:rPr>
        <w:t xml:space="preserve"> ve/veya adsorpsiyon </w:t>
      </w:r>
      <w:r w:rsidR="00F96A76" w:rsidRPr="00F50C10">
        <w:rPr>
          <w:rFonts w:eastAsia="Times New Roman" w:cs="Times New Roman"/>
          <w:szCs w:val="24"/>
          <w:lang w:val="nl-NL" w:bidi="tr-TR"/>
        </w:rPr>
        <w:t>kullanılır</w:t>
      </w:r>
      <w:r w:rsidRPr="00F50C10">
        <w:rPr>
          <w:rFonts w:eastAsia="Times New Roman" w:cs="Times New Roman"/>
          <w:szCs w:val="24"/>
          <w:lang w:val="nl-NL" w:bidi="tr-TR"/>
        </w:rPr>
        <w:t>.</w:t>
      </w:r>
    </w:p>
    <w:p w14:paraId="762BBF8D" w14:textId="053A2304" w:rsidR="00436815" w:rsidRPr="00F50C10" w:rsidRDefault="00436815" w:rsidP="000B206D">
      <w:pPr>
        <w:spacing w:line="276" w:lineRule="auto"/>
        <w:rPr>
          <w:rFonts w:cs="Times New Roman"/>
          <w:szCs w:val="24"/>
          <w:lang w:bidi="tr-TR"/>
        </w:rPr>
      </w:pPr>
      <w:r w:rsidRPr="00F50C10">
        <w:rPr>
          <w:rFonts w:cs="Times New Roman"/>
          <w:szCs w:val="24"/>
          <w:lang w:bidi="tr-TR"/>
        </w:rPr>
        <w:t xml:space="preserve">Yoğunlaştırma ve adsorpsiyona ilişkin detaylı bilgi için </w:t>
      </w:r>
      <w:hyperlink w:anchor="_bookmark800" w:history="1">
        <w:r w:rsidRPr="00F50C10">
          <w:rPr>
            <w:rFonts w:cs="Times New Roman"/>
            <w:szCs w:val="24"/>
            <w:lang w:bidi="tr-TR"/>
          </w:rPr>
          <w:t>12.1</w:t>
        </w:r>
      </w:hyperlink>
      <w:r w:rsidRPr="00F50C10">
        <w:rPr>
          <w:rFonts w:cs="Times New Roman"/>
          <w:szCs w:val="24"/>
          <w:lang w:bidi="tr-TR"/>
        </w:rPr>
        <w:t xml:space="preserve"> kısmına bakınız.</w:t>
      </w:r>
    </w:p>
    <w:p w14:paraId="4FC59E50" w14:textId="7F909634" w:rsidR="00BB704F" w:rsidRPr="00F50C10" w:rsidRDefault="00BB704F" w:rsidP="000B206D">
      <w:pPr>
        <w:widowControl w:val="0"/>
        <w:autoSpaceDE w:val="0"/>
        <w:autoSpaceDN w:val="0"/>
        <w:spacing w:before="240" w:line="276" w:lineRule="auto"/>
        <w:jc w:val="left"/>
        <w:rPr>
          <w:rFonts w:eastAsia="Times New Roman" w:cs="Times New Roman"/>
          <w:szCs w:val="24"/>
          <w:lang w:val="nl-NL" w:bidi="tr-TR"/>
        </w:rPr>
      </w:pPr>
      <w:r w:rsidRPr="00F50C10">
        <w:rPr>
          <w:rFonts w:eastAsia="Times New Roman" w:cs="Times New Roman"/>
          <w:b/>
          <w:bCs/>
          <w:szCs w:val="24"/>
          <w:lang w:val="nl-NL" w:bidi="tr-TR"/>
        </w:rPr>
        <w:t xml:space="preserve">MET 88: </w:t>
      </w:r>
      <w:r w:rsidRPr="00F50C10">
        <w:rPr>
          <w:rFonts w:eastAsia="Times New Roman" w:cs="Times New Roman"/>
          <w:szCs w:val="24"/>
          <w:lang w:val="nl-NL" w:bidi="tr-TR"/>
        </w:rPr>
        <w:t>Havaya ve suya benzen emisyonlarını önlemek için, çalışma çözeltisinde benzen kullan</w:t>
      </w:r>
      <w:r w:rsidR="00F96A76" w:rsidRPr="00F50C10">
        <w:rPr>
          <w:rFonts w:eastAsia="Times New Roman" w:cs="Times New Roman"/>
          <w:szCs w:val="24"/>
          <w:lang w:val="nl-NL" w:bidi="tr-TR"/>
        </w:rPr>
        <w:t>ılmaz</w:t>
      </w:r>
      <w:r w:rsidRPr="00F50C10">
        <w:rPr>
          <w:rFonts w:eastAsia="Times New Roman" w:cs="Times New Roman"/>
          <w:szCs w:val="24"/>
          <w:lang w:val="nl-NL" w:bidi="tr-TR"/>
        </w:rPr>
        <w:t>.</w:t>
      </w:r>
    </w:p>
    <w:p w14:paraId="6B574764"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color w:val="365F91"/>
          <w:szCs w:val="24"/>
          <w:lang w:val="nl-NL" w:bidi="tr-TR"/>
        </w:rPr>
      </w:pPr>
      <w:bookmarkStart w:id="65" w:name="_Toc136613749"/>
      <w:r w:rsidRPr="00F50C10">
        <w:rPr>
          <w:rFonts w:eastAsia="Times New Roman" w:cs="Times New Roman"/>
          <w:b/>
          <w:szCs w:val="24"/>
          <w:lang w:val="tr-TR"/>
        </w:rPr>
        <w:t xml:space="preserve"> Suya Deşarjlar</w:t>
      </w:r>
      <w:bookmarkEnd w:id="65"/>
    </w:p>
    <w:p w14:paraId="0E5AA97D" w14:textId="1328FD1E" w:rsidR="00BB704F" w:rsidRPr="00F50C10" w:rsidRDefault="00BB704F" w:rsidP="000B206D">
      <w:pPr>
        <w:widowControl w:val="0"/>
        <w:autoSpaceDE w:val="0"/>
        <w:autoSpaceDN w:val="0"/>
        <w:spacing w:before="240" w:line="276" w:lineRule="auto"/>
        <w:jc w:val="left"/>
        <w:rPr>
          <w:rFonts w:eastAsia="Times New Roman" w:cs="Times New Roman"/>
          <w:szCs w:val="24"/>
          <w:lang w:val="nl-NL" w:bidi="tr-TR"/>
        </w:rPr>
      </w:pPr>
      <w:r w:rsidRPr="009775D1">
        <w:rPr>
          <w:rFonts w:eastAsia="Times New Roman" w:cs="Times New Roman"/>
          <w:b/>
          <w:bCs/>
          <w:i/>
          <w:iCs/>
          <w:szCs w:val="24"/>
          <w:lang w:val="nl-NL" w:bidi="tr-TR"/>
        </w:rPr>
        <w:t>MET 89</w:t>
      </w:r>
      <w:r w:rsidRPr="00F50C10">
        <w:rPr>
          <w:rFonts w:eastAsia="Times New Roman" w:cs="Times New Roman"/>
          <w:b/>
          <w:bCs/>
          <w:szCs w:val="24"/>
          <w:lang w:val="nl-NL" w:bidi="tr-TR"/>
        </w:rPr>
        <w:t xml:space="preserve">: </w:t>
      </w:r>
      <w:r w:rsidRPr="00F50C10">
        <w:rPr>
          <w:rFonts w:eastAsia="Times New Roman" w:cs="Times New Roman"/>
          <w:szCs w:val="24"/>
          <w:lang w:val="nl-NL" w:bidi="tr-TR"/>
        </w:rPr>
        <w:t xml:space="preserve">Atık su hacmini ve atık su arıtımına boşaltılan organik yükü azaltmak için, aşağıda verilen tekniklerin her ikisi de </w:t>
      </w:r>
      <w:r w:rsidR="00F96A76" w:rsidRPr="00F50C10">
        <w:rPr>
          <w:rFonts w:eastAsia="Times New Roman" w:cs="Times New Roman"/>
          <w:szCs w:val="24"/>
          <w:lang w:val="nl-NL" w:bidi="tr-TR"/>
        </w:rPr>
        <w:t>kullanılır</w:t>
      </w:r>
      <w:r w:rsidRPr="00F50C10">
        <w:rPr>
          <w:rFonts w:eastAsia="Times New Roman" w:cs="Times New Roman"/>
          <w:szCs w:val="24"/>
          <w:lang w:val="nl-NL" w:bidi="tr-TR"/>
        </w:rPr>
        <w: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
        <w:gridCol w:w="2579"/>
        <w:gridCol w:w="3468"/>
        <w:gridCol w:w="2105"/>
      </w:tblGrid>
      <w:tr w:rsidR="00BB704F" w:rsidRPr="00F50C10" w14:paraId="1D716F2B" w14:textId="77777777" w:rsidTr="00BB704F">
        <w:trPr>
          <w:trHeight w:val="254"/>
          <w:tblHeader/>
        </w:trPr>
        <w:tc>
          <w:tcPr>
            <w:tcW w:w="190" w:type="pct"/>
          </w:tcPr>
          <w:p w14:paraId="4724D216" w14:textId="77777777" w:rsidR="00BB704F" w:rsidRPr="00F50C10" w:rsidRDefault="00BB704F" w:rsidP="000B206D">
            <w:pPr>
              <w:spacing w:line="276" w:lineRule="auto"/>
              <w:ind w:left="108" w:right="108"/>
              <w:jc w:val="left"/>
              <w:rPr>
                <w:rFonts w:eastAsia="Times New Roman" w:cs="Times New Roman"/>
                <w:szCs w:val="24"/>
                <w:lang w:val="tr-TR"/>
              </w:rPr>
            </w:pPr>
          </w:p>
        </w:tc>
        <w:tc>
          <w:tcPr>
            <w:tcW w:w="1522" w:type="pct"/>
          </w:tcPr>
          <w:p w14:paraId="6A9C803D"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2045" w:type="pct"/>
          </w:tcPr>
          <w:p w14:paraId="10F093BB"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c>
          <w:tcPr>
            <w:tcW w:w="1243" w:type="pct"/>
          </w:tcPr>
          <w:p w14:paraId="7860322A"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Uygulanabilirlik</w:t>
            </w:r>
          </w:p>
        </w:tc>
      </w:tr>
      <w:tr w:rsidR="00BB704F" w:rsidRPr="00F50C10" w14:paraId="1D830098" w14:textId="77777777" w:rsidTr="00BB704F">
        <w:trPr>
          <w:trHeight w:val="1379"/>
        </w:trPr>
        <w:tc>
          <w:tcPr>
            <w:tcW w:w="190" w:type="pct"/>
            <w:vAlign w:val="center"/>
          </w:tcPr>
          <w:p w14:paraId="23C28C7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a</w:t>
            </w:r>
          </w:p>
        </w:tc>
        <w:tc>
          <w:tcPr>
            <w:tcW w:w="1522" w:type="pct"/>
            <w:vAlign w:val="center"/>
          </w:tcPr>
          <w:p w14:paraId="7994059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Optimize edilmiş sıvı faz ayrımı</w:t>
            </w:r>
          </w:p>
        </w:tc>
        <w:tc>
          <w:tcPr>
            <w:tcW w:w="2045" w:type="pct"/>
            <w:vAlign w:val="center"/>
          </w:tcPr>
          <w:p w14:paraId="207D5351" w14:textId="69D87BB2"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Çözülmemiş organik materyalin herhangi bir şekilde karışmasını önlemek için organik ve sulu fazlar uygun tasarım ve işletim</w:t>
            </w:r>
            <w:r w:rsidR="006C31C5" w:rsidRPr="00F50C10">
              <w:rPr>
                <w:rFonts w:eastAsia="Times New Roman" w:cs="Times New Roman"/>
                <w:szCs w:val="24"/>
                <w:lang w:val="tr-TR" w:bidi="tr-TR"/>
              </w:rPr>
              <w:t xml:space="preserve">le </w:t>
            </w:r>
            <w:r w:rsidRPr="00F50C10">
              <w:rPr>
                <w:rFonts w:eastAsia="Times New Roman" w:cs="Times New Roman"/>
                <w:szCs w:val="24"/>
                <w:lang w:val="tr-TR" w:bidi="tr-TR"/>
              </w:rPr>
              <w:t>(örneğin yeterli kalma süresi, faz sınırı tespiti ve kontrolü) ayrıl</w:t>
            </w:r>
            <w:r w:rsidR="006C31C5" w:rsidRPr="00F50C10">
              <w:rPr>
                <w:rFonts w:eastAsia="Times New Roman" w:cs="Times New Roman"/>
                <w:szCs w:val="24"/>
                <w:lang w:val="tr-TR" w:bidi="tr-TR"/>
              </w:rPr>
              <w:t>ır.</w:t>
            </w:r>
          </w:p>
        </w:tc>
        <w:tc>
          <w:tcPr>
            <w:tcW w:w="1243" w:type="pct"/>
            <w:vAlign w:val="center"/>
          </w:tcPr>
          <w:p w14:paraId="02F21E5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r w:rsidR="00BB704F" w:rsidRPr="00F50C10" w14:paraId="200FCC16" w14:textId="77777777" w:rsidTr="00BB704F">
        <w:trPr>
          <w:trHeight w:val="1149"/>
        </w:trPr>
        <w:tc>
          <w:tcPr>
            <w:tcW w:w="190" w:type="pct"/>
            <w:vAlign w:val="center"/>
          </w:tcPr>
          <w:p w14:paraId="45BA8CE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b</w:t>
            </w:r>
          </w:p>
          <w:p w14:paraId="20BC67E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9"/>
                <w:szCs w:val="24"/>
                <w:lang w:val="tr-TR" w:bidi="tr-TR"/>
              </w:rPr>
              <w:t>.</w:t>
            </w:r>
          </w:p>
        </w:tc>
        <w:tc>
          <w:tcPr>
            <w:tcW w:w="1522" w:type="pct"/>
            <w:vAlign w:val="center"/>
          </w:tcPr>
          <w:p w14:paraId="76EB485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Suyun yeniden kullanımı</w:t>
            </w:r>
          </w:p>
        </w:tc>
        <w:tc>
          <w:tcPr>
            <w:tcW w:w="2045" w:type="pct"/>
            <w:vAlign w:val="center"/>
          </w:tcPr>
          <w:p w14:paraId="3B43CEC8" w14:textId="45E2BF25"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Su yeniden kulla</w:t>
            </w:r>
            <w:r w:rsidR="006C31C5" w:rsidRPr="00F50C10">
              <w:rPr>
                <w:rFonts w:eastAsia="Times New Roman" w:cs="Times New Roman"/>
                <w:szCs w:val="24"/>
                <w:lang w:val="tr-TR" w:bidi="tr-TR"/>
              </w:rPr>
              <w:t>nılır</w:t>
            </w:r>
            <w:r w:rsidRPr="00F50C10">
              <w:rPr>
                <w:rFonts w:eastAsia="Times New Roman" w:cs="Times New Roman"/>
                <w:szCs w:val="24"/>
                <w:lang w:val="tr-TR" w:bidi="tr-TR"/>
              </w:rPr>
              <w:t>, örneğin temizlik veya sıvı faz ayrılması. Suyun proseste yeniden kullanılma derecesi, ürün kalitesiyle ilgili hususlara bağlıdır.</w:t>
            </w:r>
          </w:p>
        </w:tc>
        <w:tc>
          <w:tcPr>
            <w:tcW w:w="1243" w:type="pct"/>
            <w:vAlign w:val="center"/>
          </w:tcPr>
          <w:p w14:paraId="3360B51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Genel olarak uygulanabilir.</w:t>
            </w:r>
          </w:p>
        </w:tc>
      </w:tr>
    </w:tbl>
    <w:p w14:paraId="11733AAF" w14:textId="2D8D2C79" w:rsidR="006C31C5" w:rsidRPr="00F50C10" w:rsidRDefault="00BB704F" w:rsidP="000B206D">
      <w:pPr>
        <w:widowControl w:val="0"/>
        <w:autoSpaceDE w:val="0"/>
        <w:autoSpaceDN w:val="0"/>
        <w:spacing w:before="240" w:line="276" w:lineRule="auto"/>
        <w:jc w:val="left"/>
        <w:rPr>
          <w:rFonts w:eastAsia="Times New Roman" w:cs="Times New Roman"/>
          <w:szCs w:val="24"/>
          <w:lang w:val="tr-TR" w:bidi="tr-TR"/>
        </w:rPr>
      </w:pPr>
      <w:r w:rsidRPr="00F50C10">
        <w:rPr>
          <w:rFonts w:eastAsia="Times New Roman" w:cs="Times New Roman"/>
          <w:b/>
          <w:bCs/>
          <w:szCs w:val="24"/>
          <w:lang w:val="tr-TR" w:bidi="tr-TR"/>
        </w:rPr>
        <w:t xml:space="preserve">MET 90: </w:t>
      </w:r>
      <w:r w:rsidRPr="00F50C10">
        <w:rPr>
          <w:rFonts w:eastAsia="Times New Roman" w:cs="Times New Roman"/>
          <w:szCs w:val="24"/>
          <w:lang w:val="tr-TR" w:bidi="tr-TR"/>
        </w:rPr>
        <w:t>Biyolojik olarak elimine edilemeyen organik bileşiklerin suya deşarjlarını önlemek veya azaltmak için, aşağıda verilen tekniklerden biri</w:t>
      </w:r>
      <w:r w:rsidR="00F96A76" w:rsidRPr="00F50C10">
        <w:rPr>
          <w:rFonts w:eastAsia="Times New Roman" w:cs="Times New Roman"/>
          <w:szCs w:val="24"/>
          <w:lang w:val="tr-TR" w:bidi="tr-TR"/>
        </w:rPr>
        <w:t xml:space="preserve"> </w:t>
      </w:r>
      <w:r w:rsidRPr="00F50C10">
        <w:rPr>
          <w:rFonts w:eastAsia="Times New Roman" w:cs="Times New Roman"/>
          <w:szCs w:val="24"/>
          <w:lang w:val="tr-TR" w:bidi="tr-TR"/>
        </w:rPr>
        <w:t>kullan</w:t>
      </w:r>
      <w:r w:rsidR="00F96A76" w:rsidRPr="00F50C10">
        <w:rPr>
          <w:rFonts w:eastAsia="Times New Roman" w:cs="Times New Roman"/>
          <w:szCs w:val="24"/>
          <w:lang w:val="tr-TR" w:bidi="tr-TR"/>
        </w:rPr>
        <w:t>ılır</w:t>
      </w:r>
      <w:r w:rsidR="006C31C5" w:rsidRPr="00F50C10">
        <w:rPr>
          <w:rFonts w:eastAsia="Times New Roman" w:cs="Times New Roman"/>
          <w:szCs w:val="24"/>
          <w:lang w:val="tr-TR" w:bidi="tr-TR"/>
        </w:rPr>
        <w:t>:</w:t>
      </w:r>
    </w:p>
    <w:tbl>
      <w:tblPr>
        <w:tblStyle w:val="TableNormal1"/>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3118"/>
        <w:gridCol w:w="5209"/>
      </w:tblGrid>
      <w:tr w:rsidR="0078621E" w:rsidRPr="00F50C10" w14:paraId="571C7E13" w14:textId="77777777" w:rsidTr="006E1E93">
        <w:trPr>
          <w:trHeight w:val="230"/>
        </w:trPr>
        <w:tc>
          <w:tcPr>
            <w:tcW w:w="3512" w:type="dxa"/>
            <w:gridSpan w:val="2"/>
          </w:tcPr>
          <w:p w14:paraId="3CED4E22" w14:textId="77777777" w:rsidR="0078621E" w:rsidRPr="00F50C10" w:rsidRDefault="0078621E" w:rsidP="000B206D">
            <w:pPr>
              <w:pStyle w:val="TableParagraph"/>
              <w:spacing w:line="276" w:lineRule="auto"/>
              <w:ind w:left="1283" w:right="1277"/>
              <w:jc w:val="center"/>
              <w:rPr>
                <w:b/>
                <w:szCs w:val="24"/>
              </w:rPr>
            </w:pPr>
            <w:r w:rsidRPr="00F50C10">
              <w:rPr>
                <w:b/>
                <w:szCs w:val="24"/>
                <w:lang w:bidi="tr-TR"/>
              </w:rPr>
              <w:t>Teknik</w:t>
            </w:r>
          </w:p>
        </w:tc>
        <w:tc>
          <w:tcPr>
            <w:tcW w:w="5209" w:type="dxa"/>
          </w:tcPr>
          <w:p w14:paraId="76DB536D" w14:textId="77777777" w:rsidR="0078621E" w:rsidRPr="00F50C10" w:rsidRDefault="0078621E" w:rsidP="000B206D">
            <w:pPr>
              <w:pStyle w:val="TableParagraph"/>
              <w:spacing w:line="276" w:lineRule="auto"/>
              <w:ind w:left="1787" w:right="1780"/>
              <w:jc w:val="center"/>
              <w:rPr>
                <w:b/>
                <w:szCs w:val="24"/>
              </w:rPr>
            </w:pPr>
            <w:r w:rsidRPr="00F50C10">
              <w:rPr>
                <w:b/>
                <w:szCs w:val="24"/>
                <w:lang w:bidi="tr-TR"/>
              </w:rPr>
              <w:t>Açıklama</w:t>
            </w:r>
          </w:p>
        </w:tc>
      </w:tr>
      <w:tr w:rsidR="0078621E" w:rsidRPr="00F50C10" w14:paraId="5DA0BA13" w14:textId="77777777" w:rsidTr="006E1E93">
        <w:trPr>
          <w:trHeight w:val="458"/>
        </w:trPr>
        <w:tc>
          <w:tcPr>
            <w:tcW w:w="394" w:type="dxa"/>
          </w:tcPr>
          <w:p w14:paraId="7B1D73F1" w14:textId="77777777" w:rsidR="0078621E" w:rsidRPr="00F50C10" w:rsidRDefault="0078621E" w:rsidP="000B206D">
            <w:pPr>
              <w:pStyle w:val="TableParagraph"/>
              <w:spacing w:before="108" w:line="276" w:lineRule="auto"/>
              <w:ind w:left="108"/>
              <w:rPr>
                <w:szCs w:val="24"/>
              </w:rPr>
            </w:pPr>
            <w:r w:rsidRPr="00F50C10">
              <w:rPr>
                <w:w w:val="99"/>
                <w:szCs w:val="24"/>
                <w:lang w:bidi="tr-TR"/>
              </w:rPr>
              <w:t>a</w:t>
            </w:r>
          </w:p>
        </w:tc>
        <w:tc>
          <w:tcPr>
            <w:tcW w:w="3118" w:type="dxa"/>
          </w:tcPr>
          <w:p w14:paraId="33F5EAF9" w14:textId="77777777" w:rsidR="0078621E" w:rsidRPr="00F50C10" w:rsidRDefault="0078621E" w:rsidP="000B206D">
            <w:pPr>
              <w:pStyle w:val="TableParagraph"/>
              <w:spacing w:before="108" w:line="276" w:lineRule="auto"/>
              <w:ind w:left="107"/>
              <w:rPr>
                <w:szCs w:val="24"/>
              </w:rPr>
            </w:pPr>
            <w:r w:rsidRPr="00F50C10">
              <w:rPr>
                <w:szCs w:val="24"/>
                <w:lang w:bidi="tr-TR"/>
              </w:rPr>
              <w:t>Adsorpsiyon</w:t>
            </w:r>
          </w:p>
        </w:tc>
        <w:tc>
          <w:tcPr>
            <w:tcW w:w="5209" w:type="dxa"/>
          </w:tcPr>
          <w:p w14:paraId="7C442733" w14:textId="77777777" w:rsidR="0078621E" w:rsidRPr="00F50C10" w:rsidRDefault="002A1746" w:rsidP="000B206D">
            <w:pPr>
              <w:pStyle w:val="TableParagraph"/>
              <w:spacing w:line="276" w:lineRule="auto"/>
              <w:ind w:left="107"/>
              <w:rPr>
                <w:szCs w:val="24"/>
              </w:rPr>
            </w:pPr>
            <w:hyperlink w:anchor="_bookmark801" w:history="1">
              <w:r w:rsidR="0078621E" w:rsidRPr="00F50C10">
                <w:rPr>
                  <w:szCs w:val="24"/>
                  <w:lang w:bidi="tr-TR"/>
                </w:rPr>
                <w:t>12.2'ye</w:t>
              </w:r>
            </w:hyperlink>
            <w:r w:rsidR="0078621E" w:rsidRPr="00F50C10">
              <w:rPr>
                <w:szCs w:val="24"/>
                <w:lang w:bidi="tr-TR"/>
              </w:rPr>
              <w:t xml:space="preserve"> bakınız </w:t>
            </w:r>
            <w:hyperlink w:anchor="_bookmark801" w:history="1">
              <w:r w:rsidR="0078621E" w:rsidRPr="00F50C10">
                <w:rPr>
                  <w:szCs w:val="24"/>
                  <w:lang w:bidi="tr-TR"/>
                </w:rPr>
                <w:t>.</w:t>
              </w:r>
            </w:hyperlink>
            <w:r w:rsidR="0078621E" w:rsidRPr="00F50C10">
              <w:rPr>
                <w:szCs w:val="24"/>
                <w:lang w:bidi="tr-TR"/>
              </w:rPr>
              <w:t xml:space="preserve"> Adsorpsiyon, atık su akışlarını nihai biyolojik arıtmaya göndermeden önce gerçekleştirilir.</w:t>
            </w:r>
          </w:p>
        </w:tc>
      </w:tr>
      <w:tr w:rsidR="0078621E" w:rsidRPr="00F50C10" w14:paraId="2C1D61E0" w14:textId="77777777" w:rsidTr="006E1E93">
        <w:trPr>
          <w:trHeight w:val="232"/>
        </w:trPr>
        <w:tc>
          <w:tcPr>
            <w:tcW w:w="394" w:type="dxa"/>
          </w:tcPr>
          <w:p w14:paraId="7A0F5021" w14:textId="77777777" w:rsidR="0078621E" w:rsidRPr="00F50C10" w:rsidRDefault="0078621E" w:rsidP="000B206D">
            <w:pPr>
              <w:pStyle w:val="TableParagraph"/>
              <w:spacing w:line="276" w:lineRule="auto"/>
              <w:ind w:left="108"/>
              <w:rPr>
                <w:szCs w:val="24"/>
              </w:rPr>
            </w:pPr>
            <w:r w:rsidRPr="00F50C10">
              <w:rPr>
                <w:w w:val="99"/>
                <w:szCs w:val="24"/>
                <w:lang w:bidi="tr-TR"/>
              </w:rPr>
              <w:t>b</w:t>
            </w:r>
          </w:p>
        </w:tc>
        <w:tc>
          <w:tcPr>
            <w:tcW w:w="3118" w:type="dxa"/>
          </w:tcPr>
          <w:p w14:paraId="3881EB0A" w14:textId="77777777" w:rsidR="0078621E" w:rsidRPr="00F50C10" w:rsidRDefault="0078621E" w:rsidP="000B206D">
            <w:pPr>
              <w:pStyle w:val="TableParagraph"/>
              <w:spacing w:line="276" w:lineRule="auto"/>
              <w:ind w:left="107"/>
              <w:rPr>
                <w:szCs w:val="24"/>
              </w:rPr>
            </w:pPr>
            <w:r w:rsidRPr="00F50C10">
              <w:rPr>
                <w:szCs w:val="24"/>
                <w:lang w:bidi="tr-TR"/>
              </w:rPr>
              <w:t>Atık su yakma</w:t>
            </w:r>
          </w:p>
        </w:tc>
        <w:tc>
          <w:tcPr>
            <w:tcW w:w="5209" w:type="dxa"/>
          </w:tcPr>
          <w:p w14:paraId="6B22AB95" w14:textId="77777777" w:rsidR="0078621E" w:rsidRPr="00F50C10" w:rsidRDefault="002A1746" w:rsidP="000B206D">
            <w:pPr>
              <w:pStyle w:val="TableParagraph"/>
              <w:spacing w:line="276" w:lineRule="auto"/>
              <w:ind w:left="1789" w:right="918"/>
              <w:jc w:val="center"/>
              <w:rPr>
                <w:szCs w:val="24"/>
              </w:rPr>
            </w:pPr>
            <w:hyperlink w:anchor="_bookmark801" w:history="1">
              <w:r w:rsidR="0078621E" w:rsidRPr="00F50C10">
                <w:rPr>
                  <w:szCs w:val="24"/>
                  <w:lang w:bidi="tr-TR"/>
                </w:rPr>
                <w:t>12.2</w:t>
              </w:r>
            </w:hyperlink>
            <w:r w:rsidR="0078621E" w:rsidRPr="00F50C10">
              <w:rPr>
                <w:szCs w:val="24"/>
                <w:lang w:bidi="tr-TR"/>
              </w:rPr>
              <w:t xml:space="preserve"> kısmına bakınız.</w:t>
            </w:r>
          </w:p>
        </w:tc>
      </w:tr>
    </w:tbl>
    <w:p w14:paraId="11B6D45C" w14:textId="77777777" w:rsidR="0078621E" w:rsidRPr="00F50C10" w:rsidRDefault="0078621E" w:rsidP="000B206D">
      <w:pPr>
        <w:spacing w:line="276" w:lineRule="auto"/>
        <w:rPr>
          <w:rFonts w:cs="Times New Roman"/>
          <w:i/>
          <w:szCs w:val="24"/>
          <w:u w:val="single"/>
          <w:lang w:bidi="tr-TR"/>
        </w:rPr>
      </w:pPr>
      <w:r w:rsidRPr="00F50C10">
        <w:rPr>
          <w:rFonts w:cs="Times New Roman"/>
          <w:i/>
          <w:szCs w:val="24"/>
          <w:u w:val="single"/>
          <w:lang w:bidi="tr-TR"/>
        </w:rPr>
        <w:t>Uygulanabilirlik</w:t>
      </w:r>
    </w:p>
    <w:p w14:paraId="2DFD7FDA" w14:textId="77777777" w:rsidR="0078621E" w:rsidRPr="00F50C10" w:rsidRDefault="0078621E" w:rsidP="000B206D">
      <w:pPr>
        <w:spacing w:line="276" w:lineRule="auto"/>
        <w:rPr>
          <w:rFonts w:cs="Times New Roman"/>
          <w:szCs w:val="24"/>
          <w:lang w:bidi="tr-TR"/>
        </w:rPr>
      </w:pPr>
      <w:r w:rsidRPr="00F50C10">
        <w:rPr>
          <w:rFonts w:cs="Times New Roman"/>
          <w:szCs w:val="24"/>
          <w:lang w:bidi="tr-TR"/>
        </w:rPr>
        <w:t>Yalnızca hidrojen peroksit tesisinden çıkan ana organik yükü taşıyan atık su akışlarına ve hidrojen peroksit tesisinden çıkan TOK yükünün biyolojik arıtma yoluyla azaltılmasının %90'ın altında olduğu durumlarda geçerlidir.</w:t>
      </w:r>
    </w:p>
    <w:p w14:paraId="5DE0106D" w14:textId="288635A4" w:rsidR="00BB704F" w:rsidRPr="00F50C10" w:rsidRDefault="00EF71A8" w:rsidP="00A654AE">
      <w:pPr>
        <w:widowControl w:val="0"/>
        <w:numPr>
          <w:ilvl w:val="0"/>
          <w:numId w:val="179"/>
        </w:numPr>
        <w:autoSpaceDE w:val="0"/>
        <w:autoSpaceDN w:val="0"/>
        <w:spacing w:before="240" w:line="276" w:lineRule="auto"/>
        <w:jc w:val="left"/>
        <w:outlineLvl w:val="0"/>
        <w:rPr>
          <w:rFonts w:eastAsia="Times New Roman" w:cs="Times New Roman"/>
          <w:b/>
          <w:bCs/>
          <w:szCs w:val="24"/>
          <w:lang w:val="tr-TR"/>
        </w:rPr>
      </w:pPr>
      <w:bookmarkStart w:id="66" w:name="_Toc136613750"/>
      <w:r w:rsidRPr="00F50C10">
        <w:rPr>
          <w:rFonts w:cs="Times New Roman"/>
          <w:szCs w:val="24"/>
        </w:rPr>
        <w:t xml:space="preserve">BÜYÜK HACİMLİ ORGANİK KİMYASALLARIN ÜRETİMİ </w:t>
      </w:r>
      <w:r w:rsidR="00BB704F" w:rsidRPr="00F50C10">
        <w:rPr>
          <w:rFonts w:eastAsia="Times New Roman" w:cs="Times New Roman"/>
          <w:b/>
          <w:bCs/>
          <w:szCs w:val="24"/>
          <w:lang w:val="tr-TR"/>
        </w:rPr>
        <w:t>SEKTÖRÜNE YÖNELİK TEKNİKLERİN AÇIKLAMALARI</w:t>
      </w:r>
      <w:bookmarkEnd w:id="66"/>
    </w:p>
    <w:p w14:paraId="77E31889"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67" w:name="_Ref133313989"/>
      <w:bookmarkStart w:id="68" w:name="_Ref133314250"/>
      <w:bookmarkStart w:id="69" w:name="_Ref133314435"/>
      <w:bookmarkStart w:id="70" w:name="_Ref133315440"/>
      <w:bookmarkStart w:id="71" w:name="_Ref136595842"/>
      <w:bookmarkStart w:id="72" w:name="_Ref136595878"/>
      <w:bookmarkStart w:id="73" w:name="_Ref136597231"/>
      <w:bookmarkStart w:id="74" w:name="_Ref136597240"/>
      <w:bookmarkStart w:id="75" w:name="_Ref136600393"/>
      <w:bookmarkStart w:id="76" w:name="_Ref136600409"/>
      <w:bookmarkStart w:id="77" w:name="_Ref136600417"/>
      <w:bookmarkStart w:id="78" w:name="_Ref136600432"/>
      <w:bookmarkStart w:id="79" w:name="_Ref136600597"/>
      <w:bookmarkStart w:id="80" w:name="_Ref136600612"/>
      <w:bookmarkStart w:id="81" w:name="_Ref136600627"/>
      <w:bookmarkStart w:id="82" w:name="_Ref136600673"/>
      <w:bookmarkStart w:id="83" w:name="_Toc136613751"/>
      <w:r w:rsidRPr="00F50C10">
        <w:rPr>
          <w:rFonts w:eastAsia="Times New Roman" w:cs="Times New Roman"/>
          <w:b/>
          <w:szCs w:val="24"/>
          <w:lang w:val="tr-TR"/>
        </w:rPr>
        <w:t xml:space="preserve"> Proses Çıkış Gazı ve Atık Gaz Arıtma Teknikleri</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82"/>
        <w:gridCol w:w="6215"/>
      </w:tblGrid>
      <w:tr w:rsidR="00BB704F" w:rsidRPr="00F50C10" w14:paraId="1F5B8C96" w14:textId="77777777" w:rsidTr="00BB704F">
        <w:trPr>
          <w:trHeight w:val="230"/>
          <w:tblHeader/>
        </w:trPr>
        <w:tc>
          <w:tcPr>
            <w:tcW w:w="1343" w:type="pct"/>
          </w:tcPr>
          <w:p w14:paraId="5E313209"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3657" w:type="pct"/>
          </w:tcPr>
          <w:p w14:paraId="20595D43"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r>
      <w:tr w:rsidR="00BB704F" w:rsidRPr="00F50C10" w14:paraId="5C81454B" w14:textId="77777777" w:rsidTr="00BB704F">
        <w:trPr>
          <w:trHeight w:val="690"/>
        </w:trPr>
        <w:tc>
          <w:tcPr>
            <w:tcW w:w="1343" w:type="pct"/>
            <w:vAlign w:val="center"/>
          </w:tcPr>
          <w:p w14:paraId="162D27A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Adsorpsiyon</w:t>
            </w:r>
          </w:p>
        </w:tc>
        <w:tc>
          <w:tcPr>
            <w:tcW w:w="3657" w:type="pct"/>
            <w:vAlign w:val="center"/>
          </w:tcPr>
          <w:p w14:paraId="5D568D8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Katı bir yüzey (tipik olarak aktif karbon) üzerinde tutularak bir proses çıkış gazından veya atık gaz akışından bileşiklerin çıkarılması için bir teknik. Adsorpsiyon rejeneratif veya rejeneratif olmayabilir (aşağıya bakınız).</w:t>
            </w:r>
          </w:p>
        </w:tc>
      </w:tr>
      <w:tr w:rsidR="00BB704F" w:rsidRPr="00F50C10" w14:paraId="2043BEA2" w14:textId="77777777" w:rsidTr="00BB704F">
        <w:trPr>
          <w:trHeight w:val="460"/>
        </w:trPr>
        <w:tc>
          <w:tcPr>
            <w:tcW w:w="1343" w:type="pct"/>
            <w:vAlign w:val="center"/>
          </w:tcPr>
          <w:p w14:paraId="664C3DB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Adsorpsiyon</w:t>
            </w:r>
          </w:p>
          <w:p w14:paraId="15E9604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(rejeneratif olmayan)</w:t>
            </w:r>
          </w:p>
        </w:tc>
        <w:tc>
          <w:tcPr>
            <w:tcW w:w="3657" w:type="pct"/>
            <w:vAlign w:val="center"/>
          </w:tcPr>
          <w:p w14:paraId="351FCE8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Rejeneratif olmayan adsorpsiyonda, harcanan adsorban rejenere edilmez, atılır.</w:t>
            </w:r>
          </w:p>
        </w:tc>
      </w:tr>
      <w:tr w:rsidR="00BB704F" w:rsidRPr="00F50C10" w14:paraId="0C4077FE" w14:textId="77777777" w:rsidTr="00BB704F">
        <w:trPr>
          <w:trHeight w:val="460"/>
        </w:trPr>
        <w:tc>
          <w:tcPr>
            <w:tcW w:w="1343" w:type="pct"/>
            <w:vAlign w:val="center"/>
          </w:tcPr>
          <w:p w14:paraId="61F5044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Adsorpsiyon</w:t>
            </w:r>
          </w:p>
          <w:p w14:paraId="0FB2C15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(rejeneratif )</w:t>
            </w:r>
          </w:p>
        </w:tc>
        <w:tc>
          <w:tcPr>
            <w:tcW w:w="3657" w:type="pct"/>
            <w:vAlign w:val="center"/>
          </w:tcPr>
          <w:p w14:paraId="57AFBF0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Adsorbatın daha sonra desorbe edildiği adsorpsiyon, örn. yeniden kullanım veya bertaraf için buharla (genellikle yerinde), ve adsorban yeniden kullanılır. Sürekli çalışma için, tipik olarak biri desorpsiyon modunda olmak üzere ikiden fazla adsorban paralel olarak çalıştırılır.</w:t>
            </w:r>
          </w:p>
        </w:tc>
      </w:tr>
      <w:tr w:rsidR="00BB704F" w:rsidRPr="00F50C10" w14:paraId="2661ED39" w14:textId="77777777" w:rsidTr="00BB704F">
        <w:trPr>
          <w:trHeight w:val="918"/>
        </w:trPr>
        <w:tc>
          <w:tcPr>
            <w:tcW w:w="1343" w:type="pct"/>
            <w:vAlign w:val="center"/>
          </w:tcPr>
          <w:p w14:paraId="2047F5D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Katalitik oksitleyici</w:t>
            </w:r>
          </w:p>
          <w:p w14:paraId="03AECCD1" w14:textId="77777777" w:rsidR="00BB704F" w:rsidRPr="00F50C10" w:rsidRDefault="00BB704F" w:rsidP="000B206D">
            <w:pPr>
              <w:spacing w:line="276" w:lineRule="auto"/>
              <w:rPr>
                <w:rFonts w:eastAsia="Times New Roman" w:cs="Times New Roman"/>
                <w:b/>
                <w:bCs/>
                <w:szCs w:val="24"/>
                <w:lang w:val="tr-TR"/>
              </w:rPr>
            </w:pPr>
          </w:p>
        </w:tc>
        <w:tc>
          <w:tcPr>
            <w:tcW w:w="3657" w:type="pct"/>
            <w:vAlign w:val="center"/>
          </w:tcPr>
          <w:p w14:paraId="63F418A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Bir katalizör yatağında hava veya oksijen ile bir proses çıkış gazı veya atık gaz akışındaki yanıcı bileşikleri oksitleyen azaltma ekipmanı. Katalizör, termal oksitleyiciye kıyasla daha düşük sıcaklıklarda ve daha küçük ekipmanlarda oksidasyonu mümkün kılar.</w:t>
            </w:r>
          </w:p>
        </w:tc>
      </w:tr>
      <w:tr w:rsidR="00BB704F" w:rsidRPr="00F50C10" w14:paraId="732BF14E" w14:textId="77777777" w:rsidTr="00BB704F">
        <w:trPr>
          <w:trHeight w:val="920"/>
        </w:trPr>
        <w:tc>
          <w:tcPr>
            <w:tcW w:w="1343" w:type="pct"/>
            <w:vAlign w:val="center"/>
          </w:tcPr>
          <w:p w14:paraId="15D66C8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Katalitik indirgeme</w:t>
            </w:r>
          </w:p>
          <w:p w14:paraId="5E0EB2E3" w14:textId="77777777" w:rsidR="00BB704F" w:rsidRPr="00F50C10" w:rsidRDefault="00BB704F" w:rsidP="000B206D">
            <w:pPr>
              <w:spacing w:line="276" w:lineRule="auto"/>
              <w:ind w:left="108" w:right="108"/>
              <w:rPr>
                <w:rFonts w:eastAsia="Times New Roman" w:cs="Times New Roman"/>
                <w:b/>
                <w:bCs/>
                <w:szCs w:val="24"/>
                <w:lang w:val="tr-TR"/>
              </w:rPr>
            </w:pPr>
          </w:p>
        </w:tc>
        <w:tc>
          <w:tcPr>
            <w:tcW w:w="3657" w:type="pct"/>
            <w:vAlign w:val="center"/>
          </w:tcPr>
          <w:p w14:paraId="74F1969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NOx, bir katalizör ve bir indirgeyici gaz varlığında indirgenir. SCR'nin aksine, amonyak ve/veya üre eklenmez.</w:t>
            </w:r>
          </w:p>
        </w:tc>
      </w:tr>
      <w:tr w:rsidR="00BB704F" w:rsidRPr="00F50C10" w14:paraId="2865F1B2" w14:textId="77777777" w:rsidTr="00BB704F">
        <w:trPr>
          <w:trHeight w:val="920"/>
        </w:trPr>
        <w:tc>
          <w:tcPr>
            <w:tcW w:w="1343" w:type="pct"/>
            <w:vAlign w:val="center"/>
          </w:tcPr>
          <w:p w14:paraId="77D5294E"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Kostik temizleme</w:t>
            </w:r>
          </w:p>
        </w:tc>
        <w:tc>
          <w:tcPr>
            <w:tcW w:w="3657" w:type="pct"/>
            <w:vAlign w:val="center"/>
          </w:tcPr>
          <w:p w14:paraId="479E8BC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Asitli kirleticilerin bir gaz akımından alkalin bir çözelti kullanılarak yıkama yoluyla uzaklaştırılması.</w:t>
            </w:r>
          </w:p>
        </w:tc>
      </w:tr>
      <w:tr w:rsidR="00BB704F" w:rsidRPr="00F50C10" w14:paraId="117C9B4C" w14:textId="77777777" w:rsidTr="00BB704F">
        <w:trPr>
          <w:trHeight w:val="457"/>
        </w:trPr>
        <w:tc>
          <w:tcPr>
            <w:tcW w:w="1343" w:type="pct"/>
            <w:vAlign w:val="center"/>
          </w:tcPr>
          <w:p w14:paraId="69F5F24F"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Seramik / metal filtre</w:t>
            </w:r>
          </w:p>
          <w:p w14:paraId="1B5DA6D4" w14:textId="77777777" w:rsidR="00BB704F" w:rsidRPr="00F50C10" w:rsidRDefault="00BB704F" w:rsidP="000B206D">
            <w:pPr>
              <w:spacing w:line="276" w:lineRule="auto"/>
              <w:ind w:left="108" w:right="108"/>
              <w:rPr>
                <w:rFonts w:eastAsia="Times New Roman" w:cs="Times New Roman"/>
                <w:szCs w:val="24"/>
                <w:lang w:val="tr-TR" w:bidi="tr-TR"/>
              </w:rPr>
            </w:pPr>
          </w:p>
        </w:tc>
        <w:tc>
          <w:tcPr>
            <w:tcW w:w="3657" w:type="pct"/>
            <w:vAlign w:val="center"/>
          </w:tcPr>
          <w:p w14:paraId="72D5DC9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Seramik filtre malzemesi. HCl, NOX, SO</w:t>
            </w:r>
            <w:r w:rsidRPr="00F50C10">
              <w:rPr>
                <w:rFonts w:eastAsia="Times New Roman" w:cs="Times New Roman"/>
                <w:szCs w:val="24"/>
                <w:vertAlign w:val="subscript"/>
                <w:lang w:val="tr-TR"/>
              </w:rPr>
              <w:t>X</w:t>
            </w:r>
            <w:r w:rsidRPr="00F50C10">
              <w:rPr>
                <w:rFonts w:eastAsia="Times New Roman" w:cs="Times New Roman"/>
                <w:szCs w:val="24"/>
                <w:lang w:val="tr-TR"/>
              </w:rPr>
              <w:t xml:space="preserve"> ve dioksinler gibi asidik bileşiklerin çıkarılacağı durumlarda, filtre malzemesi katalizörlerle donatılır ve reaktiflerin enjeksiyonu gerekli olabilir. Metal filtrelerde yüzey filtrasyonu sinterlenmiş gözenekli metal filtre elemanları ile gerçekleştirilir.</w:t>
            </w:r>
          </w:p>
        </w:tc>
      </w:tr>
      <w:tr w:rsidR="00BB704F" w:rsidRPr="00F50C10" w14:paraId="7230DEF6" w14:textId="77777777" w:rsidTr="00BB704F">
        <w:trPr>
          <w:trHeight w:val="1151"/>
        </w:trPr>
        <w:tc>
          <w:tcPr>
            <w:tcW w:w="1343" w:type="pct"/>
            <w:vAlign w:val="center"/>
          </w:tcPr>
          <w:p w14:paraId="745E719F" w14:textId="060EC364" w:rsidR="00BB704F" w:rsidRPr="00F50C10" w:rsidRDefault="00B160B5"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Yoğuşturma</w:t>
            </w:r>
          </w:p>
          <w:p w14:paraId="6639D7BF" w14:textId="77777777" w:rsidR="00BB704F" w:rsidRPr="00F50C10" w:rsidRDefault="00BB704F" w:rsidP="000B206D">
            <w:pPr>
              <w:spacing w:line="276" w:lineRule="auto"/>
              <w:ind w:left="108" w:right="108"/>
              <w:rPr>
                <w:rFonts w:eastAsia="Times New Roman" w:cs="Times New Roman"/>
                <w:b/>
                <w:bCs/>
                <w:szCs w:val="24"/>
                <w:lang w:val="tr-TR"/>
              </w:rPr>
            </w:pPr>
          </w:p>
          <w:p w14:paraId="5416A54F" w14:textId="77777777" w:rsidR="00BB704F" w:rsidRPr="00F50C10" w:rsidRDefault="00BB704F" w:rsidP="000B206D">
            <w:pPr>
              <w:spacing w:line="276" w:lineRule="auto"/>
              <w:ind w:left="108" w:right="108"/>
              <w:rPr>
                <w:rFonts w:eastAsia="Times New Roman" w:cs="Times New Roman"/>
                <w:b/>
                <w:szCs w:val="24"/>
                <w:lang w:val="tr-TR"/>
              </w:rPr>
            </w:pPr>
          </w:p>
          <w:p w14:paraId="03D0A943" w14:textId="77777777" w:rsidR="00BB704F" w:rsidRPr="00F50C10" w:rsidRDefault="00BB704F" w:rsidP="000B206D">
            <w:pPr>
              <w:spacing w:line="276" w:lineRule="auto"/>
              <w:ind w:left="108" w:right="108"/>
              <w:rPr>
                <w:rFonts w:eastAsia="Times New Roman" w:cs="Times New Roman"/>
                <w:szCs w:val="24"/>
                <w:lang w:val="tr-TR" w:bidi="tr-TR"/>
              </w:rPr>
            </w:pPr>
          </w:p>
        </w:tc>
        <w:tc>
          <w:tcPr>
            <w:tcW w:w="3657" w:type="pct"/>
            <w:vAlign w:val="center"/>
          </w:tcPr>
          <w:p w14:paraId="76FA0F7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Organik ve inorganik bileşiklerin buharlarını, buharların sıvılaşması için sıcaklığını çiğ noktasının altına düşürerek bir proses çıkış gazı veya atık gaz akımından uzaklaştırmak için bir teknik. Gereken çalışma sıcaklığı aralığına bağlı olarak, soğutma suyu, soğutulmuş su (sıcaklık tipik olarak 5 °C civarında) veya amonyak veya propan gibi soğutucular gibi farklı yoğuşma yöntemleri vardır.</w:t>
            </w:r>
          </w:p>
        </w:tc>
      </w:tr>
      <w:tr w:rsidR="00BB704F" w:rsidRPr="00F50C10" w14:paraId="2181E703" w14:textId="77777777" w:rsidTr="00BB704F">
        <w:trPr>
          <w:trHeight w:val="1379"/>
        </w:trPr>
        <w:tc>
          <w:tcPr>
            <w:tcW w:w="1343" w:type="pct"/>
            <w:vAlign w:val="center"/>
          </w:tcPr>
          <w:p w14:paraId="57E6782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Siklon (kuru veya yaş)</w:t>
            </w:r>
          </w:p>
          <w:p w14:paraId="3F9D5D72" w14:textId="77777777" w:rsidR="00BB704F" w:rsidRPr="00F50C10" w:rsidRDefault="00BB704F" w:rsidP="000B206D">
            <w:pPr>
              <w:spacing w:line="276" w:lineRule="auto"/>
              <w:ind w:left="108" w:right="108"/>
              <w:rPr>
                <w:rFonts w:eastAsia="Times New Roman" w:cs="Times New Roman"/>
                <w:b/>
                <w:bCs/>
                <w:szCs w:val="24"/>
                <w:lang w:val="tr-TR"/>
              </w:rPr>
            </w:pPr>
          </w:p>
          <w:p w14:paraId="1316A500" w14:textId="77777777" w:rsidR="00BB704F" w:rsidRPr="00F50C10" w:rsidRDefault="00BB704F" w:rsidP="000B206D">
            <w:pPr>
              <w:spacing w:line="276" w:lineRule="auto"/>
              <w:ind w:left="108" w:right="108"/>
              <w:rPr>
                <w:rFonts w:eastAsia="Times New Roman" w:cs="Times New Roman"/>
                <w:b/>
                <w:bCs/>
                <w:szCs w:val="24"/>
                <w:lang w:val="tr-TR"/>
              </w:rPr>
            </w:pPr>
          </w:p>
        </w:tc>
        <w:tc>
          <w:tcPr>
            <w:tcW w:w="3657" w:type="pct"/>
            <w:vAlign w:val="center"/>
          </w:tcPr>
          <w:p w14:paraId="66C4A88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Genellikle konik bir oda içinde, merkezkaç kuvvetlerinin verilmesine dayalı olarak bir proses çıkış gazından veya atık gaz akışından tozu çıkarmak için ekipman.</w:t>
            </w:r>
          </w:p>
        </w:tc>
      </w:tr>
      <w:tr w:rsidR="00BB704F" w:rsidRPr="00F50C10" w14:paraId="74AFEEF8" w14:textId="77777777" w:rsidTr="00BB704F">
        <w:trPr>
          <w:trHeight w:val="460"/>
        </w:trPr>
        <w:tc>
          <w:tcPr>
            <w:tcW w:w="1343" w:type="pct"/>
            <w:vAlign w:val="center"/>
          </w:tcPr>
          <w:p w14:paraId="0F8818C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Elektrostatik ayırıcı (kuru ya da yaş)</w:t>
            </w:r>
          </w:p>
          <w:p w14:paraId="732AACEE" w14:textId="77777777" w:rsidR="00BB704F" w:rsidRPr="00F50C10" w:rsidRDefault="00BB704F" w:rsidP="000B206D">
            <w:pPr>
              <w:spacing w:line="276" w:lineRule="auto"/>
              <w:ind w:left="108" w:right="108"/>
              <w:rPr>
                <w:rFonts w:eastAsia="Times New Roman" w:cs="Times New Roman"/>
                <w:szCs w:val="24"/>
                <w:lang w:val="tr-TR" w:bidi="tr-TR"/>
              </w:rPr>
            </w:pPr>
          </w:p>
        </w:tc>
        <w:tc>
          <w:tcPr>
            <w:tcW w:w="3657" w:type="pct"/>
            <w:vAlign w:val="center"/>
          </w:tcPr>
          <w:p w14:paraId="47391A3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Bir partikül kontrol cihazı, bir proses çıkış gazı veya atık gaz akımı içinde sürüklenen partikülleri toplayıcı plakalar üzerine taşımak için elektrik kuvvetlerini kullanır. Sürüklenen parçacıklara, gaz halindeki iyonların aktığı bir koronadan geçtiklerinde bir elektrik yükü verilir. Akış şeridinin ortasındaki elektrotlar yüksek voltajda tutulur ve parçacıkları toplayıcı duvarlara zorlayan elektrik alanı oluşturur.</w:t>
            </w:r>
          </w:p>
        </w:tc>
      </w:tr>
      <w:tr w:rsidR="00BB704F" w:rsidRPr="00F50C10" w14:paraId="1715A39E" w14:textId="77777777" w:rsidTr="00BB704F">
        <w:trPr>
          <w:trHeight w:val="1379"/>
        </w:trPr>
        <w:tc>
          <w:tcPr>
            <w:tcW w:w="1343" w:type="pct"/>
            <w:vAlign w:val="center"/>
          </w:tcPr>
          <w:p w14:paraId="1C6FA060" w14:textId="158019F0" w:rsidR="00BB704F" w:rsidRPr="00F50C10" w:rsidRDefault="009A2327" w:rsidP="000B206D">
            <w:pPr>
              <w:spacing w:line="276" w:lineRule="auto"/>
              <w:ind w:left="108" w:right="108"/>
              <w:rPr>
                <w:rFonts w:eastAsia="Times New Roman" w:cs="Times New Roman"/>
                <w:b/>
                <w:bCs/>
                <w:szCs w:val="24"/>
                <w:lang w:val="tr-TR"/>
              </w:rPr>
            </w:pPr>
            <w:r w:rsidRPr="00F50C10">
              <w:rPr>
                <w:rFonts w:eastAsia="Times New Roman" w:cs="Times New Roman"/>
                <w:szCs w:val="24"/>
                <w:lang w:val="tr-TR" w:bidi="tr-TR"/>
              </w:rPr>
              <w:t>Bez</w:t>
            </w:r>
            <w:r w:rsidR="00BB704F" w:rsidRPr="00F50C10">
              <w:rPr>
                <w:rFonts w:eastAsia="Times New Roman" w:cs="Times New Roman"/>
                <w:szCs w:val="24"/>
                <w:lang w:val="tr-TR" w:bidi="tr-TR"/>
              </w:rPr>
              <w:t xml:space="preserve"> filtre</w:t>
            </w:r>
          </w:p>
          <w:p w14:paraId="01683528" w14:textId="77777777" w:rsidR="00BB704F" w:rsidRPr="00F50C10" w:rsidRDefault="00BB704F" w:rsidP="000B206D">
            <w:pPr>
              <w:spacing w:line="276" w:lineRule="auto"/>
              <w:ind w:right="108"/>
              <w:rPr>
                <w:rFonts w:eastAsia="Times New Roman" w:cs="Times New Roman"/>
                <w:b/>
                <w:bCs/>
                <w:szCs w:val="24"/>
                <w:lang w:val="tr-TR"/>
              </w:rPr>
            </w:pPr>
          </w:p>
          <w:p w14:paraId="15CBEE70" w14:textId="77777777" w:rsidR="00BB704F" w:rsidRPr="00F50C10" w:rsidRDefault="00BB704F" w:rsidP="000B206D">
            <w:pPr>
              <w:spacing w:line="276" w:lineRule="auto"/>
              <w:ind w:left="108" w:right="108"/>
              <w:rPr>
                <w:rFonts w:eastAsia="Times New Roman" w:cs="Times New Roman"/>
                <w:b/>
                <w:bCs/>
                <w:szCs w:val="24"/>
                <w:lang w:val="tr-TR"/>
              </w:rPr>
            </w:pPr>
          </w:p>
        </w:tc>
        <w:tc>
          <w:tcPr>
            <w:tcW w:w="3657" w:type="pct"/>
            <w:vAlign w:val="center"/>
          </w:tcPr>
          <w:p w14:paraId="4B870D4A" w14:textId="10888824"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 xml:space="preserve">Gazların bir elek veya başka mekanizmalar kullanarak partikülleri uzaklaştırmak için aktığı gözenekli dokuma veya keçeli </w:t>
            </w:r>
            <w:r w:rsidR="009A2327" w:rsidRPr="00F50C10">
              <w:rPr>
                <w:rFonts w:eastAsia="Times New Roman" w:cs="Times New Roman"/>
                <w:szCs w:val="24"/>
                <w:lang w:val="tr-TR"/>
              </w:rPr>
              <w:t>bez</w:t>
            </w:r>
            <w:r w:rsidRPr="00F50C10">
              <w:rPr>
                <w:rFonts w:eastAsia="Times New Roman" w:cs="Times New Roman"/>
                <w:szCs w:val="24"/>
                <w:lang w:val="tr-TR"/>
              </w:rPr>
              <w:t xml:space="preserve">. </w:t>
            </w:r>
            <w:r w:rsidR="009A2327" w:rsidRPr="00F50C10">
              <w:rPr>
                <w:rFonts w:eastAsia="Times New Roman" w:cs="Times New Roman"/>
                <w:szCs w:val="24"/>
                <w:lang w:val="tr-TR"/>
              </w:rPr>
              <w:t>Bez</w:t>
            </w:r>
            <w:r w:rsidRPr="00F50C10">
              <w:rPr>
                <w:rFonts w:eastAsia="Times New Roman" w:cs="Times New Roman"/>
                <w:szCs w:val="24"/>
                <w:lang w:val="tr-TR"/>
              </w:rPr>
              <w:t xml:space="preserve"> filtreler, bir grup halinde bir araya yerleştirilmiş birkaç ayrı </w:t>
            </w:r>
            <w:r w:rsidR="009A2327" w:rsidRPr="00F50C10">
              <w:rPr>
                <w:rFonts w:eastAsia="Times New Roman" w:cs="Times New Roman"/>
                <w:szCs w:val="24"/>
                <w:lang w:val="tr-TR"/>
              </w:rPr>
              <w:t>bez</w:t>
            </w:r>
            <w:r w:rsidRPr="00F50C10">
              <w:rPr>
                <w:rFonts w:eastAsia="Times New Roman" w:cs="Times New Roman"/>
                <w:szCs w:val="24"/>
                <w:lang w:val="tr-TR"/>
              </w:rPr>
              <w:t xml:space="preserve"> filtre ünitesi ile tabakalar, kartuşlar veya torbalar halinde olabilir.</w:t>
            </w:r>
          </w:p>
        </w:tc>
      </w:tr>
      <w:tr w:rsidR="00BB704F" w:rsidRPr="00F50C10" w14:paraId="3E12950F" w14:textId="77777777" w:rsidTr="00BB704F">
        <w:trPr>
          <w:trHeight w:val="918"/>
        </w:trPr>
        <w:tc>
          <w:tcPr>
            <w:tcW w:w="1343" w:type="pct"/>
            <w:vAlign w:val="center"/>
          </w:tcPr>
          <w:p w14:paraId="3432AA6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Membranla ayırma</w:t>
            </w:r>
          </w:p>
          <w:p w14:paraId="16BF3E1B" w14:textId="77777777" w:rsidR="00BB704F" w:rsidRPr="00F50C10" w:rsidRDefault="00BB704F" w:rsidP="000B206D">
            <w:pPr>
              <w:spacing w:line="276" w:lineRule="auto"/>
              <w:ind w:left="108" w:right="108"/>
              <w:rPr>
                <w:rFonts w:eastAsia="Times New Roman" w:cs="Times New Roman"/>
                <w:szCs w:val="24"/>
                <w:lang w:val="tr-TR" w:bidi="tr-TR"/>
              </w:rPr>
            </w:pPr>
          </w:p>
        </w:tc>
        <w:tc>
          <w:tcPr>
            <w:tcW w:w="3657" w:type="pct"/>
            <w:vAlign w:val="center"/>
          </w:tcPr>
          <w:p w14:paraId="41BE56BE" w14:textId="35FE9048"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 xml:space="preserve">Atık gaz sıkıştırılır ve organik buharların seçici geçirgenliğine dayanan bir zardan geçirilir. Zenginleştirilmiş permeat, </w:t>
            </w:r>
            <w:r w:rsidR="00B160B5" w:rsidRPr="00F50C10">
              <w:rPr>
                <w:rFonts w:eastAsia="Times New Roman" w:cs="Times New Roman"/>
                <w:szCs w:val="24"/>
                <w:lang w:val="tr-TR"/>
              </w:rPr>
              <w:t>yoğuşturma</w:t>
            </w:r>
            <w:r w:rsidRPr="00F50C10">
              <w:rPr>
                <w:rFonts w:eastAsia="Times New Roman" w:cs="Times New Roman"/>
                <w:szCs w:val="24"/>
                <w:lang w:val="tr-TR"/>
              </w:rPr>
              <w:t xml:space="preserve"> veya adsorpsiyon gibi yöntemlerle geri kazanılabilir veya örneğin katalitik oksidasyon ile azaltılabilir. İşlem, daha yüksek buhar konsantrasyonları için en uygundur. Çoğu durumda, deşarja yetecek kadar düşük konsantrasyon seviyelerine ulaşmak için ek işleme ihtiyaç duyulur.</w:t>
            </w:r>
          </w:p>
        </w:tc>
      </w:tr>
      <w:tr w:rsidR="00BB704F" w:rsidRPr="00F50C10" w14:paraId="6083005C" w14:textId="77777777" w:rsidTr="00BB704F">
        <w:trPr>
          <w:trHeight w:val="1379"/>
        </w:trPr>
        <w:tc>
          <w:tcPr>
            <w:tcW w:w="1343" w:type="pct"/>
            <w:vAlign w:val="center"/>
          </w:tcPr>
          <w:p w14:paraId="69ED38B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Buğu filtresi</w:t>
            </w:r>
          </w:p>
          <w:p w14:paraId="4CA59D45" w14:textId="77777777" w:rsidR="00BB704F" w:rsidRPr="00F50C10" w:rsidRDefault="00BB704F" w:rsidP="000B206D">
            <w:pPr>
              <w:spacing w:line="276" w:lineRule="auto"/>
              <w:ind w:left="108" w:right="108"/>
              <w:rPr>
                <w:rFonts w:eastAsia="Times New Roman" w:cs="Times New Roman"/>
                <w:b/>
                <w:bCs/>
                <w:szCs w:val="24"/>
                <w:lang w:val="tr-TR"/>
              </w:rPr>
            </w:pPr>
          </w:p>
          <w:p w14:paraId="088F4346" w14:textId="77777777" w:rsidR="00BB704F" w:rsidRPr="00F50C10" w:rsidRDefault="00BB704F" w:rsidP="000B206D">
            <w:pPr>
              <w:spacing w:line="276" w:lineRule="auto"/>
              <w:ind w:left="108" w:right="108"/>
              <w:rPr>
                <w:rFonts w:eastAsia="Times New Roman" w:cs="Times New Roman"/>
                <w:b/>
                <w:bCs/>
                <w:szCs w:val="24"/>
                <w:lang w:val="tr-TR"/>
              </w:rPr>
            </w:pPr>
          </w:p>
        </w:tc>
        <w:tc>
          <w:tcPr>
            <w:tcW w:w="3657" w:type="pct"/>
            <w:vAlign w:val="center"/>
          </w:tcPr>
          <w:p w14:paraId="7B149AC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Yaygın olarak ağ ped filtreleri (örneğin, buğu gidericiler, buğu gidericiler) genellikle rastgele veya belirli bir konfigürasyonda dokunmuş veya örülmüş metalik veya sentetik monofilament malzemeden oluşur. Bir sis filtresi, filtrenin tüm derinliği boyunca gerçekleşen derin yataklı filtreleme olarak çalıştırılır. Katı toz partikülleri doyana kadar filtrede kalır ve yıkama ile temizlenmesi gerekir. Sis filtresi damlacıkları ve/veya aerosolleri topladığı zaman, sıvı olarak dışarı akarken filtreyi temizlerler. Mekanik çarpma ile çalışır ve hıza bağlıdır. Bölme açısı ayırıcılar da yaygın olarak sis filtreleri olarak kullanılır.</w:t>
            </w:r>
          </w:p>
        </w:tc>
      </w:tr>
      <w:tr w:rsidR="00BB704F" w:rsidRPr="00F50C10" w14:paraId="72A66FDF" w14:textId="77777777" w:rsidTr="00BB704F">
        <w:trPr>
          <w:trHeight w:val="619"/>
        </w:trPr>
        <w:tc>
          <w:tcPr>
            <w:tcW w:w="1343" w:type="pct"/>
            <w:vAlign w:val="center"/>
          </w:tcPr>
          <w:p w14:paraId="1CB1C6A1" w14:textId="77777777" w:rsidR="00BB704F" w:rsidRPr="00F50C10" w:rsidRDefault="00BB704F" w:rsidP="000B206D">
            <w:pPr>
              <w:spacing w:line="276" w:lineRule="auto"/>
              <w:ind w:left="90" w:right="108"/>
              <w:rPr>
                <w:rFonts w:eastAsia="Times New Roman" w:cs="Times New Roman"/>
                <w:szCs w:val="24"/>
                <w:lang w:val="tr-TR"/>
              </w:rPr>
            </w:pPr>
            <w:r w:rsidRPr="00F50C10">
              <w:rPr>
                <w:rFonts w:eastAsia="Times New Roman" w:cs="Times New Roman"/>
                <w:szCs w:val="24"/>
                <w:lang w:val="tr-TR"/>
              </w:rPr>
              <w:t>Rejeneratif termal oksitleyici (RTO)</w:t>
            </w:r>
          </w:p>
        </w:tc>
        <w:tc>
          <w:tcPr>
            <w:tcW w:w="3657" w:type="pct"/>
            <w:vAlign w:val="center"/>
          </w:tcPr>
          <w:p w14:paraId="6B1DD5F8"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Gelen atık gaz akışının yanma odasına girmeden önce içinden geçerek seramik dolgulu bir yatak tarafından ısıtıldığı özel tipte termal oksitleyici (aşağıya bakın). Arıtılan sıcak gazlar, bir (veya daha fazla) seramik dolgulu yataktan (yataklardan) geçerek bu odadan çıkar (daha önceki bir yanma döngüsünde gelen bir atık gaz akışıyla soğutulur). Bu yeniden ısıtılmış dolgulu yatak daha sonra gelen yeni bir atık gaz akımını önceden ısıtarak yeni bir yanma döngüsü başlatır. Tipik yanma sıcaklığı 800–1 000 °C'dir.</w:t>
            </w:r>
          </w:p>
        </w:tc>
      </w:tr>
      <w:tr w:rsidR="00BB704F" w:rsidRPr="00F50C10" w14:paraId="4713F3B5" w14:textId="77777777" w:rsidTr="00BB704F">
        <w:trPr>
          <w:trHeight w:val="619"/>
        </w:trPr>
        <w:tc>
          <w:tcPr>
            <w:tcW w:w="1343" w:type="pct"/>
            <w:vAlign w:val="center"/>
          </w:tcPr>
          <w:p w14:paraId="761EA3B0" w14:textId="77777777" w:rsidR="00BB704F" w:rsidRPr="00F50C10" w:rsidRDefault="00BB704F" w:rsidP="000B206D">
            <w:pPr>
              <w:spacing w:line="276" w:lineRule="auto"/>
              <w:ind w:left="90"/>
              <w:rPr>
                <w:rFonts w:eastAsia="Times New Roman" w:cs="Times New Roman"/>
                <w:szCs w:val="24"/>
                <w:lang w:val="tr-TR"/>
              </w:rPr>
            </w:pPr>
            <w:r w:rsidRPr="00F50C10">
              <w:rPr>
                <w:rFonts w:eastAsia="Times New Roman" w:cs="Times New Roman"/>
                <w:szCs w:val="24"/>
                <w:lang w:val="tr-TR"/>
              </w:rPr>
              <w:t>Temizleme</w:t>
            </w:r>
          </w:p>
        </w:tc>
        <w:tc>
          <w:tcPr>
            <w:tcW w:w="3657" w:type="pct"/>
            <w:vAlign w:val="center"/>
          </w:tcPr>
          <w:p w14:paraId="107A8383" w14:textId="77777777" w:rsidR="00BB704F" w:rsidRPr="00F50C10" w:rsidRDefault="00BB704F" w:rsidP="000B206D">
            <w:pPr>
              <w:spacing w:line="276" w:lineRule="auto"/>
              <w:ind w:left="90"/>
              <w:rPr>
                <w:rFonts w:eastAsia="Times New Roman" w:cs="Times New Roman"/>
                <w:szCs w:val="24"/>
                <w:lang w:val="tr-TR"/>
              </w:rPr>
            </w:pPr>
            <w:r w:rsidRPr="00F50C10">
              <w:rPr>
                <w:rFonts w:eastAsia="Times New Roman" w:cs="Times New Roman"/>
                <w:szCs w:val="24"/>
                <w:lang w:val="tr-TR"/>
              </w:rPr>
              <w:t>Ovalama veya absorpsiyon, kirleticilerin bir sıvı solvent, genellikle su ile temas ettirilerek bir gaz akışından uzaklaştırılmasıdır (bkz. "Islak temizleme"). Bir kimyasal reaksiyon içerebilir (bkz. "Kostik temizleme"). Bazı durumlarda, bileşikler çözücüden geri kazanılabilir.</w:t>
            </w:r>
          </w:p>
        </w:tc>
      </w:tr>
      <w:tr w:rsidR="00BB704F" w:rsidRPr="00F50C10" w14:paraId="7248AF36" w14:textId="77777777" w:rsidTr="00BB704F">
        <w:trPr>
          <w:trHeight w:val="619"/>
        </w:trPr>
        <w:tc>
          <w:tcPr>
            <w:tcW w:w="1343" w:type="pct"/>
            <w:vAlign w:val="center"/>
          </w:tcPr>
          <w:p w14:paraId="63794CA8" w14:textId="77777777" w:rsidR="00BB704F" w:rsidRPr="00F50C10" w:rsidRDefault="00BB704F" w:rsidP="000B206D">
            <w:pPr>
              <w:spacing w:line="276" w:lineRule="auto"/>
              <w:ind w:left="90"/>
              <w:rPr>
                <w:rFonts w:eastAsia="Times New Roman" w:cs="Times New Roman"/>
                <w:szCs w:val="24"/>
                <w:lang w:val="tr-TR"/>
              </w:rPr>
            </w:pPr>
            <w:r w:rsidRPr="00F50C10">
              <w:rPr>
                <w:rFonts w:eastAsia="Times New Roman" w:cs="Times New Roman"/>
                <w:szCs w:val="24"/>
                <w:lang w:val="tr-TR"/>
              </w:rPr>
              <w:t>Seçici katalitik indirgeme (SCR)</w:t>
            </w:r>
          </w:p>
          <w:p w14:paraId="3F7EA412" w14:textId="77777777" w:rsidR="00BB704F" w:rsidRPr="00F50C10" w:rsidRDefault="00BB704F" w:rsidP="000B206D">
            <w:pPr>
              <w:spacing w:line="276" w:lineRule="auto"/>
              <w:ind w:left="90"/>
              <w:rPr>
                <w:rFonts w:eastAsia="Times New Roman" w:cs="Times New Roman"/>
                <w:b/>
                <w:bCs/>
                <w:szCs w:val="24"/>
                <w:lang w:val="tr-TR"/>
              </w:rPr>
            </w:pPr>
          </w:p>
        </w:tc>
        <w:tc>
          <w:tcPr>
            <w:tcW w:w="3657" w:type="pct"/>
            <w:vAlign w:val="center"/>
          </w:tcPr>
          <w:p w14:paraId="7869149C" w14:textId="77777777" w:rsidR="00BB704F" w:rsidRPr="00F50C10" w:rsidRDefault="00BB704F" w:rsidP="000B206D">
            <w:pPr>
              <w:spacing w:line="276" w:lineRule="auto"/>
              <w:ind w:left="90"/>
              <w:rPr>
                <w:rFonts w:eastAsia="Times New Roman" w:cs="Times New Roman"/>
                <w:szCs w:val="24"/>
                <w:lang w:val="tr-TR"/>
              </w:rPr>
            </w:pPr>
            <w:r w:rsidRPr="00F50C10">
              <w:rPr>
                <w:rFonts w:eastAsia="Times New Roman" w:cs="Times New Roman"/>
                <w:szCs w:val="24"/>
                <w:lang w:val="tr-TR"/>
              </w:rPr>
              <w:t>Yaklaşık 300–450 °C'lik optimum çalışma sıcaklığında amonyak (genellikle sulu bir çözelti olarak sağlanır) ile reaksiyona girerek NO</w:t>
            </w:r>
            <w:r w:rsidRPr="00F50C10">
              <w:rPr>
                <w:rFonts w:eastAsia="Times New Roman" w:cs="Times New Roman"/>
                <w:szCs w:val="24"/>
                <w:vertAlign w:val="subscript"/>
                <w:lang w:val="tr-TR"/>
              </w:rPr>
              <w:t>X</w:t>
            </w:r>
            <w:r w:rsidRPr="00F50C10">
              <w:rPr>
                <w:rFonts w:eastAsia="Times New Roman" w:cs="Times New Roman"/>
                <w:szCs w:val="24"/>
                <w:lang w:val="tr-TR"/>
              </w:rPr>
              <w:t>'ın katalitik bir yatakta nitrojene indirgenmesi. Bir veya daha fazla katalizör tabakası uygulanabilir.</w:t>
            </w:r>
          </w:p>
        </w:tc>
      </w:tr>
      <w:tr w:rsidR="00BB704F" w:rsidRPr="00F50C10" w14:paraId="383FDC97" w14:textId="77777777" w:rsidTr="00BB704F">
        <w:trPr>
          <w:trHeight w:val="619"/>
        </w:trPr>
        <w:tc>
          <w:tcPr>
            <w:tcW w:w="1343" w:type="pct"/>
            <w:vAlign w:val="center"/>
          </w:tcPr>
          <w:p w14:paraId="6976A54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Seçici katalitik olmayan indirgeme (SNCR)</w:t>
            </w:r>
          </w:p>
          <w:p w14:paraId="07AF559C" w14:textId="77777777" w:rsidR="00BB704F" w:rsidRPr="00F50C10" w:rsidRDefault="00BB704F" w:rsidP="000B206D">
            <w:pPr>
              <w:spacing w:line="276" w:lineRule="auto"/>
              <w:ind w:left="90"/>
              <w:rPr>
                <w:rFonts w:eastAsia="Times New Roman" w:cs="Times New Roman"/>
                <w:b/>
                <w:bCs/>
                <w:szCs w:val="24"/>
                <w:lang w:val="tr-TR"/>
              </w:rPr>
            </w:pPr>
          </w:p>
        </w:tc>
        <w:tc>
          <w:tcPr>
            <w:tcW w:w="3657" w:type="pct"/>
            <w:vAlign w:val="center"/>
          </w:tcPr>
          <w:p w14:paraId="6C73F9B7" w14:textId="77777777" w:rsidR="00BB704F" w:rsidRPr="00F50C10" w:rsidRDefault="00BB704F" w:rsidP="000B206D">
            <w:pPr>
              <w:spacing w:line="276" w:lineRule="auto"/>
              <w:ind w:left="90"/>
              <w:rPr>
                <w:rFonts w:eastAsia="Times New Roman" w:cs="Times New Roman"/>
                <w:szCs w:val="24"/>
                <w:lang w:val="tr-TR"/>
              </w:rPr>
            </w:pPr>
            <w:r w:rsidRPr="00F50C10">
              <w:rPr>
                <w:rFonts w:eastAsia="Times New Roman" w:cs="Times New Roman"/>
                <w:szCs w:val="24"/>
                <w:lang w:val="tr-TR"/>
              </w:rPr>
              <w:t>Yüksek sıcaklıkta amonyak veya üre ile reaksiyona girerek NO</w:t>
            </w:r>
            <w:r w:rsidRPr="00F50C10">
              <w:rPr>
                <w:rFonts w:eastAsia="Times New Roman" w:cs="Times New Roman"/>
                <w:szCs w:val="24"/>
                <w:vertAlign w:val="subscript"/>
                <w:lang w:val="tr-TR"/>
              </w:rPr>
              <w:t>X</w:t>
            </w:r>
            <w:r w:rsidRPr="00F50C10">
              <w:rPr>
                <w:rFonts w:eastAsia="Times New Roman" w:cs="Times New Roman"/>
                <w:szCs w:val="24"/>
                <w:lang w:val="tr-TR"/>
              </w:rPr>
              <w:t>'ın nitrojene indirgenmesi. Çalışma sıcaklığı penceresi 900 °C ile 1050 °C arasında tutulmalıdır.</w:t>
            </w:r>
          </w:p>
        </w:tc>
      </w:tr>
      <w:tr w:rsidR="00BB704F" w:rsidRPr="00F50C10" w14:paraId="1CFB7820" w14:textId="77777777" w:rsidTr="00BB704F">
        <w:trPr>
          <w:trHeight w:val="619"/>
        </w:trPr>
        <w:tc>
          <w:tcPr>
            <w:tcW w:w="1343" w:type="pct"/>
            <w:vAlign w:val="center"/>
          </w:tcPr>
          <w:p w14:paraId="04FE511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Katı ve/veya sıvı karışmasını azaltma teknikleri</w:t>
            </w:r>
          </w:p>
        </w:tc>
        <w:tc>
          <w:tcPr>
            <w:tcW w:w="3657" w:type="pct"/>
            <w:vAlign w:val="center"/>
          </w:tcPr>
          <w:p w14:paraId="2B7AB195" w14:textId="77777777" w:rsidR="00BB704F" w:rsidRPr="00F50C10" w:rsidRDefault="00BB704F" w:rsidP="000B206D">
            <w:pPr>
              <w:spacing w:line="276" w:lineRule="auto"/>
              <w:ind w:left="90"/>
              <w:rPr>
                <w:rFonts w:eastAsia="Times New Roman" w:cs="Times New Roman"/>
                <w:szCs w:val="24"/>
                <w:lang w:val="tr-TR"/>
              </w:rPr>
            </w:pPr>
            <w:r w:rsidRPr="00F50C10">
              <w:rPr>
                <w:rFonts w:eastAsia="Times New Roman" w:cs="Times New Roman"/>
                <w:szCs w:val="24"/>
                <w:lang w:val="tr-TR"/>
              </w:rPr>
              <w:t>Çökeltme odaları, buğu filtreleri, siklonlar ve nakavt tamburları gibi mekanik cihazlar tarafından gaz halindeki akışlarda (örneğin kimyasal proseslerden, kondansatörlerden, damıtma kolonlarından) damlacıkların veya partiküllerin taşınmasını azaltan teknikler.</w:t>
            </w:r>
          </w:p>
        </w:tc>
      </w:tr>
      <w:tr w:rsidR="00BB704F" w:rsidRPr="00F50C10" w14:paraId="5C3C7AD0" w14:textId="77777777" w:rsidTr="00BB704F">
        <w:trPr>
          <w:trHeight w:val="619"/>
        </w:trPr>
        <w:tc>
          <w:tcPr>
            <w:tcW w:w="1343" w:type="pct"/>
            <w:vAlign w:val="center"/>
          </w:tcPr>
          <w:p w14:paraId="763C12AD" w14:textId="77777777" w:rsidR="00BB704F" w:rsidRPr="00F50C10" w:rsidRDefault="00BB704F" w:rsidP="000B206D">
            <w:pPr>
              <w:spacing w:line="276" w:lineRule="auto"/>
              <w:ind w:left="90"/>
              <w:rPr>
                <w:rFonts w:eastAsia="Times New Roman" w:cs="Times New Roman"/>
                <w:szCs w:val="24"/>
                <w:lang w:val="tr-TR"/>
              </w:rPr>
            </w:pPr>
            <w:r w:rsidRPr="00F50C10">
              <w:rPr>
                <w:rFonts w:eastAsia="Times New Roman" w:cs="Times New Roman"/>
                <w:szCs w:val="24"/>
                <w:lang w:val="tr-TR"/>
              </w:rPr>
              <w:t>Termal oksitleyici</w:t>
            </w:r>
          </w:p>
        </w:tc>
        <w:tc>
          <w:tcPr>
            <w:tcW w:w="3657" w:type="pct"/>
            <w:vAlign w:val="center"/>
          </w:tcPr>
          <w:p w14:paraId="79A579BF" w14:textId="77777777" w:rsidR="00BB704F" w:rsidRPr="00F50C10" w:rsidRDefault="00BB704F" w:rsidP="000B206D">
            <w:pPr>
              <w:spacing w:line="276" w:lineRule="auto"/>
              <w:ind w:left="90"/>
              <w:rPr>
                <w:rFonts w:eastAsia="Times New Roman" w:cs="Times New Roman"/>
                <w:szCs w:val="24"/>
                <w:lang w:val="tr-TR"/>
              </w:rPr>
            </w:pPr>
            <w:r w:rsidRPr="00F50C10">
              <w:rPr>
                <w:rFonts w:eastAsia="Times New Roman" w:cs="Times New Roman"/>
                <w:szCs w:val="24"/>
                <w:lang w:val="tr-TR"/>
              </w:rPr>
              <w:t>Bir proses çıkış gazı veya atık gaz akışındaki yanıcı bileşikleri, bir yanma odasındaki kendi kendine tutuşma noktasının üzerine kadar hava veya oksijenle ısıtarak ve karbondioksit ve suya yanmasını tamamlamak için yeterince uzun süre yüksek bir sıcaklıkta tutarak oksitleyen azaltma ekipmanı.</w:t>
            </w:r>
          </w:p>
        </w:tc>
      </w:tr>
      <w:tr w:rsidR="00BB704F" w:rsidRPr="00F50C10" w14:paraId="03A1BEB1" w14:textId="77777777" w:rsidTr="00BB704F">
        <w:trPr>
          <w:trHeight w:val="260"/>
        </w:trPr>
        <w:tc>
          <w:tcPr>
            <w:tcW w:w="1343" w:type="pct"/>
            <w:vAlign w:val="center"/>
          </w:tcPr>
          <w:p w14:paraId="17406318" w14:textId="77777777" w:rsidR="00BB704F" w:rsidRPr="00F50C10" w:rsidRDefault="00BB704F" w:rsidP="000B206D">
            <w:pPr>
              <w:spacing w:line="276" w:lineRule="auto"/>
              <w:ind w:left="90"/>
              <w:rPr>
                <w:rFonts w:eastAsia="Times New Roman" w:cs="Times New Roman"/>
                <w:szCs w:val="24"/>
                <w:lang w:val="tr-TR"/>
              </w:rPr>
            </w:pPr>
            <w:r w:rsidRPr="00F50C10">
              <w:rPr>
                <w:rFonts w:eastAsia="Times New Roman" w:cs="Times New Roman"/>
                <w:szCs w:val="24"/>
                <w:lang w:val="tr-TR"/>
              </w:rPr>
              <w:t>Termal indirgeme</w:t>
            </w:r>
          </w:p>
        </w:tc>
        <w:tc>
          <w:tcPr>
            <w:tcW w:w="3657" w:type="pct"/>
            <w:vAlign w:val="center"/>
          </w:tcPr>
          <w:p w14:paraId="1C2647EB" w14:textId="77777777" w:rsidR="00BB704F" w:rsidRPr="00F50C10" w:rsidRDefault="00BB704F" w:rsidP="000B206D">
            <w:pPr>
              <w:spacing w:line="276" w:lineRule="auto"/>
              <w:ind w:left="90"/>
              <w:rPr>
                <w:rFonts w:eastAsia="Times New Roman" w:cs="Times New Roman"/>
                <w:szCs w:val="24"/>
                <w:lang w:val="tr-TR"/>
              </w:rPr>
            </w:pPr>
            <w:r w:rsidRPr="00F50C10">
              <w:rPr>
                <w:rFonts w:eastAsia="Times New Roman" w:cs="Times New Roman"/>
                <w:szCs w:val="24"/>
                <w:lang w:val="tr-TR"/>
              </w:rPr>
              <w:t>NO</w:t>
            </w:r>
            <w:r w:rsidRPr="00F50C10">
              <w:rPr>
                <w:rFonts w:eastAsia="Times New Roman" w:cs="Times New Roman"/>
                <w:szCs w:val="24"/>
                <w:vertAlign w:val="subscript"/>
                <w:lang w:val="tr-TR"/>
              </w:rPr>
              <w:t>X</w:t>
            </w:r>
            <w:r w:rsidRPr="00F50C10">
              <w:rPr>
                <w:rFonts w:eastAsia="Times New Roman" w:cs="Times New Roman"/>
                <w:szCs w:val="24"/>
                <w:lang w:val="tr-TR"/>
              </w:rPr>
              <w:t>, düşük oksijen koşulları/oksijen eksikliği altında bir oksidasyon sürecinin gerçekleştiği ek bir yanma odasında indirgeyici bir gazın varlığında yüksek sıcaklıklarda indirgenir. SNCR'nin aksine amonyak ve/veya üre eklenmez.</w:t>
            </w:r>
          </w:p>
        </w:tc>
      </w:tr>
      <w:tr w:rsidR="00BB704F" w:rsidRPr="00F50C10" w14:paraId="516F48D7" w14:textId="77777777" w:rsidTr="00BB704F">
        <w:trPr>
          <w:trHeight w:val="619"/>
        </w:trPr>
        <w:tc>
          <w:tcPr>
            <w:tcW w:w="1343" w:type="pct"/>
            <w:vAlign w:val="center"/>
          </w:tcPr>
          <w:p w14:paraId="6F1D483E" w14:textId="77777777" w:rsidR="00BB704F" w:rsidRPr="00F50C10" w:rsidRDefault="00BB704F" w:rsidP="000B206D">
            <w:pPr>
              <w:spacing w:line="276" w:lineRule="auto"/>
              <w:ind w:left="90"/>
              <w:rPr>
                <w:rFonts w:eastAsia="Times New Roman" w:cs="Times New Roman"/>
                <w:szCs w:val="24"/>
                <w:lang w:val="tr-TR"/>
              </w:rPr>
            </w:pPr>
            <w:r w:rsidRPr="00F50C10">
              <w:rPr>
                <w:rFonts w:eastAsia="Times New Roman" w:cs="Times New Roman"/>
                <w:szCs w:val="24"/>
                <w:lang w:val="tr-TR"/>
              </w:rPr>
              <w:t>İki aşamalı toz filtresi</w:t>
            </w:r>
          </w:p>
        </w:tc>
        <w:tc>
          <w:tcPr>
            <w:tcW w:w="3657" w:type="pct"/>
            <w:vAlign w:val="center"/>
          </w:tcPr>
          <w:p w14:paraId="5169585A" w14:textId="77777777" w:rsidR="00BB704F" w:rsidRPr="00F50C10" w:rsidRDefault="00BB704F" w:rsidP="000B206D">
            <w:pPr>
              <w:spacing w:line="276" w:lineRule="auto"/>
              <w:ind w:left="90"/>
              <w:rPr>
                <w:rFonts w:eastAsia="Times New Roman" w:cs="Times New Roman"/>
                <w:szCs w:val="24"/>
                <w:lang w:val="tr-TR"/>
              </w:rPr>
            </w:pPr>
            <w:r w:rsidRPr="00F50C10">
              <w:rPr>
                <w:rFonts w:eastAsia="Times New Roman" w:cs="Times New Roman"/>
                <w:szCs w:val="24"/>
                <w:lang w:val="tr-TR"/>
              </w:rPr>
              <w:t>Metal bir gazlı bez üzerinde filtrelemek için bir cihaz. Birinci filtrasyon aşamasında bir filtre keki oluşur ve asıl filtrasyon ikinci aşamada gerçekleşir. Filtredeki basınç düşüşüne bağlı olarak, sistem iki aşama arasında geçiş yapar. Filtrelenen tozun uzaklaştırılması için bir mekanizma sisteme entegre edilmiştir.</w:t>
            </w:r>
          </w:p>
        </w:tc>
      </w:tr>
      <w:tr w:rsidR="00BB704F" w:rsidRPr="00F50C10" w14:paraId="0EF7FCDE" w14:textId="77777777" w:rsidTr="00BB704F">
        <w:trPr>
          <w:trHeight w:val="619"/>
        </w:trPr>
        <w:tc>
          <w:tcPr>
            <w:tcW w:w="1343" w:type="pct"/>
            <w:vAlign w:val="center"/>
          </w:tcPr>
          <w:p w14:paraId="354A3945" w14:textId="77777777" w:rsidR="00BB704F" w:rsidRPr="00F50C10" w:rsidRDefault="00BB704F" w:rsidP="000B206D">
            <w:pPr>
              <w:spacing w:line="276" w:lineRule="auto"/>
              <w:ind w:left="90"/>
              <w:rPr>
                <w:rFonts w:eastAsia="Times New Roman" w:cs="Times New Roman"/>
                <w:szCs w:val="24"/>
                <w:lang w:val="tr-TR"/>
              </w:rPr>
            </w:pPr>
            <w:r w:rsidRPr="00F50C10">
              <w:rPr>
                <w:rFonts w:eastAsia="Times New Roman" w:cs="Times New Roman"/>
                <w:szCs w:val="24"/>
                <w:lang w:val="tr-TR"/>
              </w:rPr>
              <w:t>Islak Temizleme</w:t>
            </w:r>
          </w:p>
        </w:tc>
        <w:tc>
          <w:tcPr>
            <w:tcW w:w="3657" w:type="pct"/>
            <w:vAlign w:val="center"/>
          </w:tcPr>
          <w:p w14:paraId="7B83EBBF" w14:textId="77777777" w:rsidR="00BB704F" w:rsidRPr="00F50C10" w:rsidRDefault="00BB704F" w:rsidP="000B206D">
            <w:pPr>
              <w:spacing w:line="276" w:lineRule="auto"/>
              <w:ind w:left="90"/>
              <w:rPr>
                <w:rFonts w:eastAsia="Times New Roman" w:cs="Times New Roman"/>
                <w:szCs w:val="24"/>
                <w:lang w:val="tr-TR"/>
              </w:rPr>
            </w:pPr>
            <w:r w:rsidRPr="00F50C10">
              <w:rPr>
                <w:rFonts w:eastAsia="Times New Roman" w:cs="Times New Roman"/>
                <w:szCs w:val="24"/>
                <w:lang w:val="tr-TR"/>
              </w:rPr>
              <w:t>Yukarıdaki 'Temizleme'ye bakın. Kullanılan çözücünün su veya sulu bir çözelti olduğu yerlerde temizleme, örn. HCl'yi azaltmak için kostik temizleme. Ayrıca bkz. "Islak toz temizleme".</w:t>
            </w:r>
          </w:p>
        </w:tc>
      </w:tr>
      <w:tr w:rsidR="00BB704F" w:rsidRPr="00F50C10" w14:paraId="7E84F7E2" w14:textId="77777777" w:rsidTr="00BB704F">
        <w:trPr>
          <w:trHeight w:val="619"/>
        </w:trPr>
        <w:tc>
          <w:tcPr>
            <w:tcW w:w="1343" w:type="pct"/>
            <w:vAlign w:val="center"/>
          </w:tcPr>
          <w:p w14:paraId="5AAC9B80" w14:textId="77777777" w:rsidR="00BB704F" w:rsidRPr="00F50C10" w:rsidRDefault="00BB704F" w:rsidP="000B206D">
            <w:pPr>
              <w:spacing w:line="276" w:lineRule="auto"/>
              <w:ind w:left="90"/>
              <w:rPr>
                <w:rFonts w:eastAsia="Times New Roman" w:cs="Times New Roman"/>
                <w:szCs w:val="24"/>
                <w:lang w:val="tr-TR"/>
              </w:rPr>
            </w:pPr>
            <w:r w:rsidRPr="00F50C10">
              <w:rPr>
                <w:rFonts w:eastAsia="Times New Roman" w:cs="Times New Roman"/>
                <w:szCs w:val="24"/>
                <w:lang w:val="tr-TR"/>
              </w:rPr>
              <w:t>Islak toz temizleme</w:t>
            </w:r>
          </w:p>
        </w:tc>
        <w:tc>
          <w:tcPr>
            <w:tcW w:w="3657" w:type="pct"/>
            <w:vAlign w:val="center"/>
          </w:tcPr>
          <w:p w14:paraId="2AD668F3" w14:textId="77777777" w:rsidR="00BB704F" w:rsidRPr="00F50C10" w:rsidRDefault="00BB704F" w:rsidP="000B206D">
            <w:pPr>
              <w:spacing w:line="276" w:lineRule="auto"/>
              <w:ind w:left="90"/>
              <w:rPr>
                <w:rFonts w:eastAsia="Times New Roman" w:cs="Times New Roman"/>
                <w:szCs w:val="24"/>
                <w:lang w:val="tr-TR"/>
              </w:rPr>
            </w:pPr>
            <w:r w:rsidRPr="00F50C10">
              <w:rPr>
                <w:rFonts w:eastAsia="Times New Roman" w:cs="Times New Roman"/>
                <w:szCs w:val="24"/>
                <w:lang w:val="tr-TR"/>
              </w:rPr>
              <w:t>Yukarıdaki 'Islak fırçalama'ya bakın. Islak toz temizleme, çoğunlukla kaba parçacıkların merkezkaç kuvveti kullanılarak uzaklaştırılmasıyla birlikte, gelen gazı suyla yoğun bir şekilde karıştırarak tozun ayrılmasını gerektirir. Bunu sağlamak için gaz teğet olarak içeriye salınır. Uzaklaştırılan katı toz, toz yıkayıcının alt kısmında toplanır.</w:t>
            </w:r>
          </w:p>
        </w:tc>
      </w:tr>
    </w:tbl>
    <w:p w14:paraId="4E268F7D" w14:textId="77777777" w:rsidR="00BB704F" w:rsidRPr="00F50C10" w:rsidRDefault="00BB704F" w:rsidP="000B206D">
      <w:pPr>
        <w:widowControl w:val="0"/>
        <w:autoSpaceDE w:val="0"/>
        <w:autoSpaceDN w:val="0"/>
        <w:spacing w:line="276" w:lineRule="auto"/>
        <w:jc w:val="left"/>
        <w:rPr>
          <w:rFonts w:eastAsia="Times New Roman" w:cs="Times New Roman"/>
          <w:szCs w:val="24"/>
          <w:lang w:val="tr-TR"/>
        </w:rPr>
      </w:pPr>
    </w:p>
    <w:p w14:paraId="385B87F3" w14:textId="77777777" w:rsidR="00BB704F" w:rsidRPr="00F50C10" w:rsidRDefault="00BB704F" w:rsidP="00A654AE">
      <w:pPr>
        <w:keepNext/>
        <w:keepLines/>
        <w:widowControl w:val="0"/>
        <w:numPr>
          <w:ilvl w:val="1"/>
          <w:numId w:val="179"/>
        </w:numPr>
        <w:autoSpaceDE w:val="0"/>
        <w:autoSpaceDN w:val="0"/>
        <w:spacing w:before="240" w:after="60" w:line="276" w:lineRule="auto"/>
        <w:outlineLvl w:val="1"/>
        <w:rPr>
          <w:rFonts w:eastAsia="Times New Roman" w:cs="Times New Roman"/>
          <w:b/>
          <w:szCs w:val="24"/>
          <w:lang w:val="tr-TR"/>
        </w:rPr>
      </w:pPr>
      <w:bookmarkStart w:id="84" w:name="_Ref133314373"/>
      <w:bookmarkStart w:id="85" w:name="_Ref133314411"/>
      <w:bookmarkStart w:id="86" w:name="_Ref133315375"/>
      <w:bookmarkStart w:id="87" w:name="_Ref136597189"/>
      <w:bookmarkStart w:id="88" w:name="_Ref136600498"/>
      <w:bookmarkStart w:id="89" w:name="_Ref136600542"/>
      <w:bookmarkStart w:id="90" w:name="_Ref136600549"/>
      <w:bookmarkStart w:id="91" w:name="_Ref136600651"/>
      <w:bookmarkStart w:id="92" w:name="_Ref136600696"/>
      <w:bookmarkStart w:id="93" w:name="_Toc136613752"/>
      <w:r w:rsidRPr="00F50C10">
        <w:rPr>
          <w:rFonts w:eastAsia="Times New Roman" w:cs="Times New Roman"/>
          <w:b/>
          <w:szCs w:val="24"/>
          <w:lang w:val="tr-TR"/>
        </w:rPr>
        <w:t xml:space="preserve"> Atıksu Arıtma Teknikleri</w:t>
      </w:r>
      <w:bookmarkEnd w:id="84"/>
      <w:bookmarkEnd w:id="85"/>
      <w:bookmarkEnd w:id="86"/>
      <w:bookmarkEnd w:id="87"/>
      <w:bookmarkEnd w:id="88"/>
      <w:bookmarkEnd w:id="89"/>
      <w:bookmarkEnd w:id="90"/>
      <w:bookmarkEnd w:id="91"/>
      <w:bookmarkEnd w:id="92"/>
      <w:bookmarkEnd w:id="93"/>
    </w:p>
    <w:p w14:paraId="2A7B5171" w14:textId="77777777" w:rsidR="00BB704F" w:rsidRPr="00F50C10" w:rsidRDefault="00BB704F" w:rsidP="000B206D">
      <w:pPr>
        <w:widowControl w:val="0"/>
        <w:autoSpaceDE w:val="0"/>
        <w:autoSpaceDN w:val="0"/>
        <w:spacing w:before="240" w:line="276" w:lineRule="auto"/>
        <w:rPr>
          <w:rFonts w:eastAsia="Times New Roman" w:cs="Times New Roman"/>
          <w:szCs w:val="24"/>
          <w:lang w:val="tr-TR" w:bidi="tr-TR"/>
        </w:rPr>
      </w:pPr>
      <w:r w:rsidRPr="00F50C10">
        <w:rPr>
          <w:rFonts w:eastAsia="Times New Roman" w:cs="Times New Roman"/>
          <w:szCs w:val="24"/>
          <w:lang w:val="tr-TR" w:bidi="tr-TR"/>
        </w:rPr>
        <w:t>Aşağıda listelenen tekniklerin tümü, suyun yeniden kullanımını/geri dönüşümünü sağlamak için su akışlarını saflaştırmak için de kullanılabilir. Bunların çoğu, organik bileşikleri proses suyu akışlarından geri kazanmak için de kullanılır.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3"/>
        <w:gridCol w:w="6804"/>
      </w:tblGrid>
      <w:tr w:rsidR="00BB704F" w:rsidRPr="00F50C10" w14:paraId="045CED7A" w14:textId="77777777" w:rsidTr="00BB704F">
        <w:trPr>
          <w:trHeight w:val="265"/>
          <w:tblHeader/>
        </w:trPr>
        <w:tc>
          <w:tcPr>
            <w:tcW w:w="910" w:type="pct"/>
            <w:vAlign w:val="center"/>
          </w:tcPr>
          <w:p w14:paraId="57F01F8F"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4090" w:type="pct"/>
            <w:vAlign w:val="center"/>
          </w:tcPr>
          <w:p w14:paraId="31F7A40A"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r>
      <w:tr w:rsidR="00BB704F" w:rsidRPr="00F50C10" w14:paraId="6C3F6709" w14:textId="77777777" w:rsidTr="00BB704F">
        <w:trPr>
          <w:trHeight w:val="460"/>
        </w:trPr>
        <w:tc>
          <w:tcPr>
            <w:tcW w:w="910" w:type="pct"/>
            <w:vAlign w:val="center"/>
          </w:tcPr>
          <w:p w14:paraId="7C0F0CA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Adsorpsiyon</w:t>
            </w:r>
          </w:p>
        </w:tc>
        <w:tc>
          <w:tcPr>
            <w:tcW w:w="4090" w:type="pct"/>
            <w:vAlign w:val="center"/>
          </w:tcPr>
          <w:p w14:paraId="686455E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Bir sıvı (yani atık su) içindeki bileşiklerin (yani kirleticilerin) katı bir yüzey (tipik olarak aktif karbon) üzerinde tutulduğu ayırma yöntemi.</w:t>
            </w:r>
          </w:p>
        </w:tc>
      </w:tr>
      <w:tr w:rsidR="00BB704F" w:rsidRPr="00F50C10" w14:paraId="6901D943" w14:textId="77777777" w:rsidTr="00BB704F">
        <w:trPr>
          <w:trHeight w:val="688"/>
        </w:trPr>
        <w:tc>
          <w:tcPr>
            <w:tcW w:w="910" w:type="pct"/>
            <w:vAlign w:val="center"/>
          </w:tcPr>
          <w:p w14:paraId="5760BD5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w w:val="95"/>
                <w:szCs w:val="24"/>
                <w:lang w:val="tr-TR" w:bidi="tr-TR"/>
              </w:rPr>
              <w:t>Kimyasal oksitleme</w:t>
            </w:r>
          </w:p>
        </w:tc>
        <w:tc>
          <w:tcPr>
            <w:tcW w:w="4090" w:type="pct"/>
            <w:vAlign w:val="center"/>
          </w:tcPr>
          <w:p w14:paraId="354D13E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Organik bileşikler, daha az zararlı ve daha kolay biyolojik olarak parçalanabilen bileşiklere dönüştürmek için isteğe bağlı olarak katalizörler veya UV radyasyonu ile desteklenen ozon veya hidrojen peroksit ile oksitlenir.</w:t>
            </w:r>
          </w:p>
        </w:tc>
      </w:tr>
      <w:tr w:rsidR="00BB704F" w:rsidRPr="00F50C10" w14:paraId="3785E0EA" w14:textId="77777777" w:rsidTr="00BB704F">
        <w:trPr>
          <w:trHeight w:val="1149"/>
        </w:trPr>
        <w:tc>
          <w:tcPr>
            <w:tcW w:w="910" w:type="pct"/>
            <w:vAlign w:val="center"/>
          </w:tcPr>
          <w:p w14:paraId="06F8D6B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Koagülasyon ve flokülasyon</w:t>
            </w:r>
          </w:p>
        </w:tc>
        <w:tc>
          <w:tcPr>
            <w:tcW w:w="4090" w:type="pct"/>
            <w:vAlign w:val="center"/>
          </w:tcPr>
          <w:p w14:paraId="1351786E"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Pıhtılaşma ve flokülasyon, askıda katı maddeleri atık sudan ayırır ve genellikle ardışık adımlarla gerçekleştirilir. Pıhtılaşma, askıda katı maddelere zıt yüklere sahip pıhtılaştırıcılar eklenerek gerçekleştirilir. Flokülasyon, polimerler eklenerek gerçekleştirilir, böylece mikroflok partiküllerinin çarpışması, daha büyük topaklar üretmek üzere bağlanmalarına neden olur.</w:t>
            </w:r>
          </w:p>
        </w:tc>
      </w:tr>
      <w:tr w:rsidR="00BB704F" w:rsidRPr="00F50C10" w14:paraId="724425BA" w14:textId="77777777" w:rsidTr="00BB704F">
        <w:trPr>
          <w:trHeight w:val="1152"/>
        </w:trPr>
        <w:tc>
          <w:tcPr>
            <w:tcW w:w="910" w:type="pct"/>
            <w:vAlign w:val="center"/>
          </w:tcPr>
          <w:p w14:paraId="26123964"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Damıtma</w:t>
            </w:r>
          </w:p>
        </w:tc>
        <w:tc>
          <w:tcPr>
            <w:tcW w:w="4090" w:type="pct"/>
            <w:vAlign w:val="center"/>
          </w:tcPr>
          <w:p w14:paraId="243076A4" w14:textId="3B2743EE"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 xml:space="preserve">Damıtma, farklı kaynama noktalarına sahip bileşikleri kısmi buharlaştırma ve yeniden </w:t>
            </w:r>
            <w:r w:rsidR="00B160B5" w:rsidRPr="00F50C10">
              <w:rPr>
                <w:rFonts w:eastAsia="Times New Roman" w:cs="Times New Roman"/>
                <w:szCs w:val="24"/>
                <w:lang w:val="tr-TR"/>
              </w:rPr>
              <w:t>yoğuşturma</w:t>
            </w:r>
            <w:r w:rsidRPr="00F50C10">
              <w:rPr>
                <w:rFonts w:eastAsia="Times New Roman" w:cs="Times New Roman"/>
                <w:szCs w:val="24"/>
                <w:lang w:val="tr-TR"/>
              </w:rPr>
              <w:t xml:space="preserve"> yoluyla ayırma tekniğidir. Atık su damıtma, düşük kaynama noktalı kirleticilerin atık sudan buhar fazına aktarılarak uzaklaştırılmasıdır. Damıtma, plakalar veya paketleme malzemeleri ve bir aşağı akış kondansatörü ile donatılmış kolonlarda gerçekleştirilir.</w:t>
            </w:r>
          </w:p>
        </w:tc>
      </w:tr>
      <w:tr w:rsidR="00BB704F" w:rsidRPr="00F50C10" w14:paraId="1EB09692" w14:textId="77777777" w:rsidTr="00BB704F">
        <w:trPr>
          <w:trHeight w:val="425"/>
        </w:trPr>
        <w:tc>
          <w:tcPr>
            <w:tcW w:w="910" w:type="pct"/>
            <w:vAlign w:val="center"/>
          </w:tcPr>
          <w:p w14:paraId="3B683A98" w14:textId="77777777" w:rsidR="00BB704F" w:rsidRPr="00F50C10" w:rsidRDefault="00BB704F" w:rsidP="000B206D">
            <w:pPr>
              <w:spacing w:line="276" w:lineRule="auto"/>
              <w:ind w:left="108" w:right="108"/>
              <w:rPr>
                <w:rFonts w:eastAsia="Times New Roman" w:cs="Times New Roman"/>
                <w:szCs w:val="24"/>
                <w:lang w:val="tr-TR" w:bidi="tr-TR"/>
              </w:rPr>
            </w:pPr>
            <w:r w:rsidRPr="00F50C10">
              <w:rPr>
                <w:rFonts w:eastAsia="Times New Roman" w:cs="Times New Roman"/>
                <w:szCs w:val="24"/>
                <w:lang w:val="tr-TR" w:bidi="tr-TR"/>
              </w:rPr>
              <w:t>Ekstraksiyon</w:t>
            </w:r>
          </w:p>
        </w:tc>
        <w:tc>
          <w:tcPr>
            <w:tcW w:w="4090" w:type="pct"/>
            <w:vAlign w:val="center"/>
          </w:tcPr>
          <w:p w14:paraId="289CB3F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Çözünmüş kirleticiler atık su fazından organik bir çözücüye, örneğin karşı akım kolonlarında veya karıştırıcı-çökeltici sistemlerinde transfer edilir. Faz ayrılmasından sonra çözücü, örneğin damıtma yoluyla saflaştırılır ve ekstraksiyona geri döndürülür. Kirleticileri içeren ekstrakt bertaraf edilir veya prosese geri döndürülür. Çözücünün atık sudaki kayıpları, uygun ilave arıtma (örn. sıyırma) ile akış aşağısında kontrol edilir.</w:t>
            </w:r>
          </w:p>
        </w:tc>
      </w:tr>
      <w:tr w:rsidR="00BB704F" w:rsidRPr="00F50C10" w14:paraId="75379F5E" w14:textId="77777777" w:rsidTr="00BB704F">
        <w:trPr>
          <w:trHeight w:val="1149"/>
        </w:trPr>
        <w:tc>
          <w:tcPr>
            <w:tcW w:w="910" w:type="pct"/>
            <w:vAlign w:val="center"/>
          </w:tcPr>
          <w:p w14:paraId="778D2D5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Buharlaşma</w:t>
            </w:r>
          </w:p>
        </w:tc>
        <w:tc>
          <w:tcPr>
            <w:tcW w:w="4090" w:type="pct"/>
            <w:vAlign w:val="center"/>
          </w:tcPr>
          <w:p w14:paraId="7E11355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Suyu buhar fazına aktararak daha fazla kullanım, işleme veya bertaraf (örneğin atık su yakma) için yüksek kaynama noktalı maddelerin sulu çözeltilerini konsantre etmek için damıtma kullanımı (yukarıya bakın). Tipik olarak, enerji talebini azaltmak için artan vakumlu çok kademeli ünitelerde gerçekleştirilir. Su buharları yeniden kullanılmak veya atık su olarak deşarj edilmek üzere yoğunlaştırılır.</w:t>
            </w:r>
          </w:p>
        </w:tc>
      </w:tr>
      <w:tr w:rsidR="00BB704F" w:rsidRPr="00F50C10" w14:paraId="6B91E38C" w14:textId="77777777" w:rsidTr="00BB704F">
        <w:trPr>
          <w:trHeight w:val="691"/>
        </w:trPr>
        <w:tc>
          <w:tcPr>
            <w:tcW w:w="910" w:type="pct"/>
            <w:vAlign w:val="center"/>
          </w:tcPr>
          <w:p w14:paraId="71E9E0D7"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Filtrasyon</w:t>
            </w:r>
          </w:p>
        </w:tc>
        <w:tc>
          <w:tcPr>
            <w:tcW w:w="4090" w:type="pct"/>
            <w:vAlign w:val="center"/>
          </w:tcPr>
          <w:p w14:paraId="34639683"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Katıların bir atık su taşıyıcısından gözenekli bir ortamdan geçirilerek ayrılması. Kum filtrasyonu, mikro filtrasyon ve ultrafiltrasyon gibi farklı teknik türlerini içerir.</w:t>
            </w:r>
          </w:p>
        </w:tc>
      </w:tr>
      <w:tr w:rsidR="00BB704F" w:rsidRPr="00F50C10" w14:paraId="75894F47" w14:textId="77777777" w:rsidTr="00BB704F">
        <w:trPr>
          <w:trHeight w:val="688"/>
        </w:trPr>
        <w:tc>
          <w:tcPr>
            <w:tcW w:w="910" w:type="pct"/>
            <w:vAlign w:val="center"/>
          </w:tcPr>
          <w:p w14:paraId="56D3686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Yüzdürme</w:t>
            </w:r>
          </w:p>
        </w:tc>
        <w:tc>
          <w:tcPr>
            <w:tcW w:w="4090" w:type="pct"/>
            <w:vAlign w:val="center"/>
          </w:tcPr>
          <w:p w14:paraId="0758D25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Katı veya sıvı parçacıkların, genellikle hava olmak üzere ince gaz kabarcıklarına bağlanarak atık su fazından ayrıldığı bir işlem. Yüzer parçacıklar su yüzeyinde birikir ve skimerler ile toplanır.</w:t>
            </w:r>
          </w:p>
        </w:tc>
      </w:tr>
      <w:tr w:rsidR="00BB704F" w:rsidRPr="00F50C10" w14:paraId="2F7D257F" w14:textId="77777777" w:rsidTr="00BB704F">
        <w:trPr>
          <w:trHeight w:val="1151"/>
        </w:trPr>
        <w:tc>
          <w:tcPr>
            <w:tcW w:w="910" w:type="pct"/>
            <w:vAlign w:val="center"/>
          </w:tcPr>
          <w:p w14:paraId="2FB35F8A"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Hidroliz</w:t>
            </w:r>
          </w:p>
        </w:tc>
        <w:tc>
          <w:tcPr>
            <w:tcW w:w="4090" w:type="pct"/>
            <w:vAlign w:val="center"/>
          </w:tcPr>
          <w:p w14:paraId="0F64F7A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Organik veya inorganik bileşiklerin su ile reaksiyona girdiği, tipik olarak biyolojik olarak parçalanamayanları biyolojik olarak parçalanabilen veya toksik olmayanları toksik olmayan bileşiklere dönüştürmek için kimyasal bir reaksiyon. Reaksiyonu etkinleştirmek veya güçlendirmek için hidroliz, yükseltilmiş bir sıcaklıkta ve muhtemelen basınçta (termoliz) veya güçlü alkaliler veya asitlerin eklenmesiyle veya bir katalizör kullanılarak gerçekleştirilir.</w:t>
            </w:r>
          </w:p>
        </w:tc>
      </w:tr>
      <w:tr w:rsidR="00BB704F" w:rsidRPr="00F50C10" w14:paraId="5EC365EE" w14:textId="77777777" w:rsidTr="00BB704F">
        <w:trPr>
          <w:trHeight w:val="688"/>
        </w:trPr>
        <w:tc>
          <w:tcPr>
            <w:tcW w:w="910" w:type="pct"/>
            <w:vAlign w:val="center"/>
          </w:tcPr>
          <w:p w14:paraId="6F14479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Yağış</w:t>
            </w:r>
          </w:p>
        </w:tc>
        <w:tc>
          <w:tcPr>
            <w:tcW w:w="4090" w:type="pct"/>
            <w:vAlign w:val="center"/>
          </w:tcPr>
          <w:p w14:paraId="780B2626"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Çözünmüş kirleticilerin (örneğin metal iyonları) eklenen çökelticilerle reaksiyon yoluyla çözünmeyen bileşiklere dönüştürülmesi. Oluşan katı çökeltiler daha sonra çökeltme, yüzdürme veya süzme yoluyla ayrılır.</w:t>
            </w:r>
          </w:p>
        </w:tc>
      </w:tr>
      <w:tr w:rsidR="00BB704F" w:rsidRPr="00F50C10" w14:paraId="782FAEF7" w14:textId="77777777" w:rsidTr="00BB704F">
        <w:trPr>
          <w:trHeight w:val="230"/>
        </w:trPr>
        <w:tc>
          <w:tcPr>
            <w:tcW w:w="910" w:type="pct"/>
            <w:vAlign w:val="center"/>
          </w:tcPr>
          <w:p w14:paraId="092A4B7B"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Sedimantasyon</w:t>
            </w:r>
          </w:p>
        </w:tc>
        <w:tc>
          <w:tcPr>
            <w:tcW w:w="4090" w:type="pct"/>
            <w:vAlign w:val="center"/>
          </w:tcPr>
          <w:p w14:paraId="369E765D"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Yerçekimi çökeltme ile asılı parçacıkların ve asılı malzemelerin ayrılması.</w:t>
            </w:r>
          </w:p>
        </w:tc>
      </w:tr>
      <w:tr w:rsidR="00BB704F" w:rsidRPr="00F50C10" w14:paraId="56273598" w14:textId="77777777" w:rsidTr="00BB704F">
        <w:trPr>
          <w:trHeight w:val="921"/>
        </w:trPr>
        <w:tc>
          <w:tcPr>
            <w:tcW w:w="910" w:type="pct"/>
            <w:vAlign w:val="center"/>
          </w:tcPr>
          <w:p w14:paraId="58582A1F"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Sıyırma</w:t>
            </w:r>
          </w:p>
        </w:tc>
        <w:tc>
          <w:tcPr>
            <w:tcW w:w="4090" w:type="pct"/>
            <w:vAlign w:val="center"/>
          </w:tcPr>
          <w:p w14:paraId="4954D2C9"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Uçucu bileşikler, sıvının içinden geçirilen gaz halindeki bir faz (örneğin buhar, nitrojen veya hava) ile sulu fazdan çıkarılır ve daha sonra kullanım veya bertaraf için daha sonra geri kazanılır (örneğin yoğuşma yoluyla). Sıcaklığı artırmak veya basıncı azaltmak, çıkarma verimliliğini artırabilir.</w:t>
            </w:r>
          </w:p>
        </w:tc>
      </w:tr>
      <w:tr w:rsidR="00BB704F" w:rsidRPr="00F50C10" w14:paraId="54BDF602" w14:textId="77777777" w:rsidTr="00BB704F">
        <w:trPr>
          <w:trHeight w:val="918"/>
        </w:trPr>
        <w:tc>
          <w:tcPr>
            <w:tcW w:w="910" w:type="pct"/>
            <w:vAlign w:val="center"/>
          </w:tcPr>
          <w:p w14:paraId="393FFA7C"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Atık su yakma</w:t>
            </w:r>
          </w:p>
        </w:tc>
        <w:tc>
          <w:tcPr>
            <w:tcW w:w="4090" w:type="pct"/>
            <w:vAlign w:val="center"/>
          </w:tcPr>
          <w:p w14:paraId="667940F5"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Normal basınç ve 730 °C ile 1200 °C arasındaki sıcaklıklarda hava ve eşzamanlı su buharlaşması ile organik ve inorganik kirleticilerin oksidasyonu. Atık su yakma, 50 g/l'den fazla KOİ seviyelerinde tipik olarak kendi kendini idame ettirir. Düşük organik yükler durumunda, bir destek/yardımcı yakıt gereklidir.</w:t>
            </w:r>
          </w:p>
        </w:tc>
      </w:tr>
    </w:tbl>
    <w:p w14:paraId="16937FFF" w14:textId="77777777" w:rsidR="00BB704F" w:rsidRPr="00F50C10" w:rsidRDefault="00BB704F" w:rsidP="000B206D">
      <w:pPr>
        <w:widowControl w:val="0"/>
        <w:autoSpaceDE w:val="0"/>
        <w:autoSpaceDN w:val="0"/>
        <w:spacing w:before="240" w:line="276" w:lineRule="auto"/>
        <w:jc w:val="left"/>
        <w:rPr>
          <w:rFonts w:eastAsia="Times New Roman" w:cs="Times New Roman"/>
          <w:szCs w:val="24"/>
          <w:lang w:val="tr-TR" w:bidi="tr-TR"/>
        </w:rPr>
      </w:pPr>
    </w:p>
    <w:p w14:paraId="33A2283D" w14:textId="77777777" w:rsidR="00BB704F" w:rsidRPr="00F50C10" w:rsidRDefault="00BB704F" w:rsidP="00A654AE">
      <w:pPr>
        <w:keepNext/>
        <w:keepLines/>
        <w:widowControl w:val="0"/>
        <w:numPr>
          <w:ilvl w:val="1"/>
          <w:numId w:val="179"/>
        </w:numPr>
        <w:autoSpaceDE w:val="0"/>
        <w:autoSpaceDN w:val="0"/>
        <w:spacing w:before="240" w:after="60" w:line="276" w:lineRule="auto"/>
        <w:jc w:val="left"/>
        <w:outlineLvl w:val="1"/>
        <w:rPr>
          <w:rFonts w:eastAsia="Times New Roman" w:cs="Times New Roman"/>
          <w:b/>
          <w:szCs w:val="24"/>
          <w:lang w:val="tr-TR"/>
        </w:rPr>
      </w:pPr>
      <w:bookmarkStart w:id="94" w:name="_TOC_250008"/>
      <w:bookmarkStart w:id="95" w:name="_Ref133313930"/>
      <w:bookmarkStart w:id="96" w:name="_Ref133314125"/>
      <w:bookmarkStart w:id="97" w:name="_Ref133314454"/>
      <w:bookmarkStart w:id="98" w:name="_Ref133314513"/>
      <w:bookmarkStart w:id="99" w:name="_Ref133315061"/>
      <w:bookmarkStart w:id="100" w:name="_Ref133315454"/>
      <w:bookmarkStart w:id="101" w:name="_Toc136613753"/>
      <w:r w:rsidRPr="00F50C10">
        <w:rPr>
          <w:rFonts w:eastAsia="Times New Roman" w:cs="Times New Roman"/>
          <w:b/>
          <w:szCs w:val="24"/>
          <w:lang w:val="tr-TR"/>
        </w:rPr>
        <w:t xml:space="preserve"> Yanmadan Havaya Salınan Emisyonları Azaltmaya</w:t>
      </w:r>
      <w:bookmarkEnd w:id="94"/>
      <w:r w:rsidRPr="00F50C10">
        <w:rPr>
          <w:rFonts w:eastAsia="Times New Roman" w:cs="Times New Roman"/>
          <w:b/>
          <w:szCs w:val="24"/>
          <w:lang w:val="tr-TR"/>
        </w:rPr>
        <w:t xml:space="preserve"> Yönelik Teknikler</w:t>
      </w:r>
      <w:bookmarkEnd w:id="95"/>
      <w:bookmarkEnd w:id="96"/>
      <w:bookmarkEnd w:id="97"/>
      <w:bookmarkEnd w:id="98"/>
      <w:bookmarkEnd w:id="99"/>
      <w:bookmarkEnd w:id="100"/>
      <w:bookmarkEnd w:id="101"/>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94"/>
        <w:gridCol w:w="6303"/>
      </w:tblGrid>
      <w:tr w:rsidR="00BB704F" w:rsidRPr="00F50C10" w14:paraId="47668EA5" w14:textId="77777777" w:rsidTr="00BB704F">
        <w:trPr>
          <w:trHeight w:val="230"/>
        </w:trPr>
        <w:tc>
          <w:tcPr>
            <w:tcW w:w="1291" w:type="pct"/>
          </w:tcPr>
          <w:p w14:paraId="6EEE7463"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Teknik</w:t>
            </w:r>
          </w:p>
        </w:tc>
        <w:tc>
          <w:tcPr>
            <w:tcW w:w="3709" w:type="pct"/>
          </w:tcPr>
          <w:p w14:paraId="4CF3FE10" w14:textId="77777777" w:rsidR="00BB704F" w:rsidRPr="00F50C10" w:rsidRDefault="00BB704F" w:rsidP="000B206D">
            <w:pPr>
              <w:spacing w:line="276" w:lineRule="auto"/>
              <w:ind w:left="108" w:right="108"/>
              <w:jc w:val="center"/>
              <w:rPr>
                <w:rFonts w:eastAsia="Times New Roman" w:cs="Times New Roman"/>
                <w:b/>
                <w:szCs w:val="24"/>
                <w:lang w:val="tr-TR"/>
              </w:rPr>
            </w:pPr>
            <w:r w:rsidRPr="00F50C10">
              <w:rPr>
                <w:rFonts w:eastAsia="Times New Roman" w:cs="Times New Roman"/>
                <w:b/>
                <w:szCs w:val="24"/>
                <w:lang w:val="tr-TR" w:bidi="tr-TR"/>
              </w:rPr>
              <w:t>Açıklama</w:t>
            </w:r>
          </w:p>
        </w:tc>
      </w:tr>
      <w:tr w:rsidR="00BB704F" w:rsidRPr="00F50C10" w14:paraId="5C02E831" w14:textId="77777777" w:rsidTr="00BB704F">
        <w:trPr>
          <w:trHeight w:val="690"/>
        </w:trPr>
        <w:tc>
          <w:tcPr>
            <w:tcW w:w="1291" w:type="pct"/>
            <w:vAlign w:val="center"/>
          </w:tcPr>
          <w:p w14:paraId="447B19D2"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Takviye yakıtı seçimi</w:t>
            </w:r>
          </w:p>
        </w:tc>
        <w:tc>
          <w:tcPr>
            <w:tcW w:w="3709" w:type="pct"/>
            <w:vAlign w:val="center"/>
          </w:tcPr>
          <w:p w14:paraId="419A6AE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Düşük potansiyel kirlilik oluşturan bileşikler (örneğin, yakıtta daha düşük kükürt, kül, azot, cıva, flor veya klor içeriği) içeren yakıt kullanımı (destek/yardımcı yakıt dahil).</w:t>
            </w:r>
          </w:p>
        </w:tc>
      </w:tr>
      <w:tr w:rsidR="00BB704F" w:rsidRPr="00F50C10" w14:paraId="26EAD83E" w14:textId="77777777" w:rsidTr="00BB704F">
        <w:trPr>
          <w:trHeight w:val="1149"/>
        </w:trPr>
        <w:tc>
          <w:tcPr>
            <w:tcW w:w="1291" w:type="pct"/>
            <w:vAlign w:val="center"/>
          </w:tcPr>
          <w:p w14:paraId="76929150"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bidi="tr-TR"/>
              </w:rPr>
              <w:t>Düşük NO</w:t>
            </w:r>
            <w:r w:rsidRPr="00F50C10">
              <w:rPr>
                <w:rFonts w:eastAsia="Times New Roman" w:cs="Times New Roman"/>
                <w:szCs w:val="24"/>
                <w:vertAlign w:val="subscript"/>
                <w:lang w:val="tr-TR" w:bidi="tr-TR"/>
              </w:rPr>
              <w:t>X</w:t>
            </w:r>
            <w:r w:rsidRPr="00F50C10">
              <w:rPr>
                <w:rFonts w:eastAsia="Times New Roman" w:cs="Times New Roman"/>
                <w:szCs w:val="24"/>
                <w:lang w:val="tr-TR" w:bidi="tr-TR"/>
              </w:rPr>
              <w:t xml:space="preserve"> brülörü (LNB) ve ultra düşük NO</w:t>
            </w:r>
            <w:r w:rsidRPr="00F50C10">
              <w:rPr>
                <w:rFonts w:eastAsia="Times New Roman" w:cs="Times New Roman"/>
                <w:szCs w:val="24"/>
                <w:vertAlign w:val="subscript"/>
                <w:lang w:val="tr-TR" w:bidi="tr-TR"/>
              </w:rPr>
              <w:t>X</w:t>
            </w:r>
            <w:r w:rsidRPr="00F50C10">
              <w:rPr>
                <w:rFonts w:eastAsia="Times New Roman" w:cs="Times New Roman"/>
                <w:szCs w:val="24"/>
                <w:lang w:val="tr-TR" w:bidi="tr-TR"/>
              </w:rPr>
              <w:t xml:space="preserve"> brülörü (ULNB)</w:t>
            </w:r>
          </w:p>
        </w:tc>
        <w:tc>
          <w:tcPr>
            <w:tcW w:w="3709" w:type="pct"/>
            <w:vAlign w:val="center"/>
          </w:tcPr>
          <w:p w14:paraId="6FDDB161" w14:textId="77777777" w:rsidR="00BB704F" w:rsidRPr="00F50C10" w:rsidRDefault="00BB704F" w:rsidP="000B206D">
            <w:pPr>
              <w:spacing w:line="276" w:lineRule="auto"/>
              <w:ind w:left="108" w:right="108"/>
              <w:rPr>
                <w:rFonts w:eastAsia="Times New Roman" w:cs="Times New Roman"/>
                <w:szCs w:val="24"/>
                <w:lang w:val="tr-TR"/>
              </w:rPr>
            </w:pPr>
            <w:r w:rsidRPr="00F50C10">
              <w:rPr>
                <w:rFonts w:eastAsia="Times New Roman" w:cs="Times New Roman"/>
                <w:szCs w:val="24"/>
                <w:lang w:val="tr-TR"/>
              </w:rPr>
              <w:t>Teknik, pik alev sıcaklıklarını düşürme, yanmayı geciktirip tamamlama ve ısı transferini artırma (alevin artan emisyonu) ilkelerine dayanmaktadır. Fırın yanma odasının değiştirilmiş bir tasarımı ile ilişkilendirilebilir. Ultra düşük NO</w:t>
            </w:r>
            <w:r w:rsidRPr="00F50C10">
              <w:rPr>
                <w:rFonts w:eastAsia="Times New Roman" w:cs="Times New Roman"/>
                <w:szCs w:val="24"/>
                <w:vertAlign w:val="subscript"/>
                <w:lang w:val="tr-TR"/>
              </w:rPr>
              <w:t>X</w:t>
            </w:r>
            <w:r w:rsidRPr="00F50C10">
              <w:rPr>
                <w:rFonts w:eastAsia="Times New Roman" w:cs="Times New Roman"/>
                <w:szCs w:val="24"/>
                <w:lang w:val="tr-TR"/>
              </w:rPr>
              <w:t xml:space="preserve"> brülörleri (ULNB) tasarımı, (hava/)yakıt kademelendirmesini ve egzoz/baca gazı devridaimini içerir.</w:t>
            </w:r>
          </w:p>
        </w:tc>
      </w:tr>
    </w:tbl>
    <w:p w14:paraId="1A767BB2" w14:textId="77777777" w:rsidR="00BB704F" w:rsidRPr="00F50C10" w:rsidRDefault="00BB704F" w:rsidP="000B206D">
      <w:pPr>
        <w:widowControl w:val="0"/>
        <w:autoSpaceDE w:val="0"/>
        <w:autoSpaceDN w:val="0"/>
        <w:spacing w:before="240" w:line="276" w:lineRule="auto"/>
        <w:rPr>
          <w:rFonts w:eastAsia="Times New Roman" w:cs="Times New Roman"/>
          <w:szCs w:val="24"/>
          <w:lang w:val="tr-TR"/>
        </w:rPr>
      </w:pPr>
    </w:p>
    <w:p w14:paraId="5F10479C" w14:textId="01DC9AEF" w:rsidR="00BB704F" w:rsidRPr="00F50C10" w:rsidRDefault="00F57BD1" w:rsidP="000B206D">
      <w:pPr>
        <w:spacing w:after="160" w:line="276" w:lineRule="auto"/>
        <w:jc w:val="left"/>
        <w:rPr>
          <w:rFonts w:cs="Times New Roman"/>
          <w:szCs w:val="24"/>
        </w:rPr>
      </w:pPr>
      <w:r w:rsidRPr="00F50C10">
        <w:rPr>
          <w:rFonts w:cs="Times New Roman"/>
          <w:szCs w:val="24"/>
        </w:rPr>
        <w:br w:type="page"/>
      </w:r>
    </w:p>
    <w:p w14:paraId="5C9CAD63" w14:textId="015263F6" w:rsidR="00D11FAD" w:rsidRPr="00F50C10" w:rsidRDefault="00172694" w:rsidP="000B206D">
      <w:pPr>
        <w:pStyle w:val="Balk1"/>
        <w:numPr>
          <w:ilvl w:val="0"/>
          <w:numId w:val="0"/>
        </w:numPr>
        <w:spacing w:before="78" w:line="276" w:lineRule="auto"/>
        <w:ind w:left="8220" w:right="103"/>
        <w:rPr>
          <w:rFonts w:cs="Times New Roman"/>
          <w:szCs w:val="24"/>
        </w:rPr>
      </w:pPr>
      <w:bookmarkStart w:id="102" w:name="_Toc133322004"/>
      <w:r w:rsidRPr="00F50C10">
        <w:rPr>
          <w:rFonts w:cs="Times New Roman"/>
          <w:szCs w:val="24"/>
        </w:rPr>
        <w:t>EK-</w:t>
      </w:r>
      <w:r w:rsidR="00500C75" w:rsidRPr="00F50C10">
        <w:rPr>
          <w:rFonts w:cs="Times New Roman"/>
          <w:szCs w:val="24"/>
        </w:rPr>
        <w:t>2</w:t>
      </w:r>
      <w:r w:rsidRPr="00F50C10">
        <w:rPr>
          <w:rFonts w:cs="Times New Roman"/>
          <w:szCs w:val="24"/>
        </w:rPr>
        <w:t xml:space="preserve"> </w:t>
      </w:r>
    </w:p>
    <w:p w14:paraId="6BBB65AB" w14:textId="50D17F27" w:rsidR="00172694" w:rsidRPr="00F50C10" w:rsidRDefault="00172694" w:rsidP="000B206D">
      <w:pPr>
        <w:pStyle w:val="Balk1"/>
        <w:numPr>
          <w:ilvl w:val="0"/>
          <w:numId w:val="0"/>
        </w:numPr>
        <w:spacing w:before="78" w:line="276" w:lineRule="auto"/>
        <w:ind w:left="102" w:right="103"/>
        <w:jc w:val="center"/>
        <w:rPr>
          <w:rFonts w:cs="Times New Roman"/>
          <w:szCs w:val="24"/>
        </w:rPr>
      </w:pPr>
      <w:r w:rsidRPr="00F50C10">
        <w:rPr>
          <w:rFonts w:cs="Times New Roman"/>
          <w:szCs w:val="24"/>
        </w:rPr>
        <w:t>Polimer Üretimi</w:t>
      </w:r>
      <w:r w:rsidR="00594F88" w:rsidRPr="00F50C10">
        <w:rPr>
          <w:rFonts w:cs="Times New Roman"/>
          <w:szCs w:val="24"/>
        </w:rPr>
        <w:t xml:space="preserve">nde </w:t>
      </w:r>
      <w:r w:rsidRPr="00F50C10">
        <w:rPr>
          <w:rFonts w:cs="Times New Roman"/>
          <w:szCs w:val="24"/>
        </w:rPr>
        <w:t>Mevcut En İyi Teknikler</w:t>
      </w:r>
      <w:r w:rsidR="00D11FAD" w:rsidRPr="00F50C10">
        <w:rPr>
          <w:rFonts w:cs="Times New Roman"/>
          <w:szCs w:val="24"/>
        </w:rPr>
        <w:t xml:space="preserve"> (4.1.</w:t>
      </w:r>
      <w:r w:rsidR="00500C75" w:rsidRPr="00F50C10">
        <w:rPr>
          <w:rFonts w:cs="Times New Roman"/>
          <w:szCs w:val="24"/>
        </w:rPr>
        <w:t xml:space="preserve">b, </w:t>
      </w:r>
      <w:r w:rsidR="00D11FAD" w:rsidRPr="00F50C10">
        <w:rPr>
          <w:rFonts w:cs="Times New Roman"/>
          <w:szCs w:val="24"/>
        </w:rPr>
        <w:t>g ve</w:t>
      </w:r>
      <w:r w:rsidR="00500C75" w:rsidRPr="00F50C10">
        <w:rPr>
          <w:rFonts w:cs="Times New Roman"/>
          <w:szCs w:val="24"/>
        </w:rPr>
        <w:t xml:space="preserve"> </w:t>
      </w:r>
      <w:r w:rsidR="00D11FAD" w:rsidRPr="00F50C10">
        <w:rPr>
          <w:rFonts w:cs="Times New Roman"/>
          <w:szCs w:val="24"/>
        </w:rPr>
        <w:t>ğ)</w:t>
      </w:r>
    </w:p>
    <w:p w14:paraId="037AE456" w14:textId="77777777" w:rsidR="006525C9" w:rsidRPr="00F50C10" w:rsidRDefault="006525C9" w:rsidP="000B206D">
      <w:pPr>
        <w:pStyle w:val="Balk1"/>
        <w:numPr>
          <w:ilvl w:val="0"/>
          <w:numId w:val="0"/>
        </w:numPr>
        <w:spacing w:before="240" w:line="276" w:lineRule="auto"/>
        <w:jc w:val="center"/>
        <w:rPr>
          <w:rFonts w:cs="Times New Roman"/>
          <w:szCs w:val="24"/>
        </w:rPr>
      </w:pPr>
      <w:r w:rsidRPr="00F50C10">
        <w:rPr>
          <w:rFonts w:cs="Times New Roman"/>
          <w:szCs w:val="24"/>
        </w:rPr>
        <w:t>BÖLÜM 1</w:t>
      </w:r>
    </w:p>
    <w:p w14:paraId="1C9662EE" w14:textId="4CB20BE7" w:rsidR="006525C9" w:rsidRPr="00F50C10" w:rsidRDefault="006525C9" w:rsidP="000B206D">
      <w:pPr>
        <w:pStyle w:val="Balk1"/>
        <w:numPr>
          <w:ilvl w:val="0"/>
          <w:numId w:val="0"/>
        </w:numPr>
        <w:spacing w:before="240" w:line="276" w:lineRule="auto"/>
        <w:jc w:val="center"/>
        <w:rPr>
          <w:rFonts w:cs="Times New Roman"/>
          <w:szCs w:val="24"/>
        </w:rPr>
      </w:pPr>
      <w:r w:rsidRPr="00F50C10">
        <w:rPr>
          <w:rFonts w:cs="Times New Roman"/>
          <w:szCs w:val="24"/>
        </w:rPr>
        <w:t>GENEL HUSUSLAR</w:t>
      </w:r>
    </w:p>
    <w:p w14:paraId="6615A0FC" w14:textId="77777777" w:rsidR="004704B5" w:rsidRPr="00F50C10" w:rsidRDefault="004704B5" w:rsidP="000B206D">
      <w:pPr>
        <w:spacing w:before="470" w:line="276" w:lineRule="auto"/>
        <w:rPr>
          <w:rFonts w:cs="Times New Roman"/>
          <w:szCs w:val="24"/>
          <w:lang w:val="nl-NL"/>
        </w:rPr>
      </w:pPr>
      <w:r w:rsidRPr="00F50C10">
        <w:rPr>
          <w:rFonts w:cs="Times New Roman"/>
          <w:b/>
          <w:szCs w:val="24"/>
          <w:lang w:bidi="tr-TR"/>
        </w:rPr>
        <w:t>CWW'de MET-Ref ile arayüz [31, UBA, 2004]</w:t>
      </w:r>
    </w:p>
    <w:p w14:paraId="66CDBE35" w14:textId="77777777" w:rsidR="004704B5" w:rsidRPr="00F50C10" w:rsidRDefault="004704B5" w:rsidP="000B206D">
      <w:pPr>
        <w:spacing w:before="211" w:line="276" w:lineRule="auto"/>
        <w:rPr>
          <w:rFonts w:cs="Times New Roman"/>
          <w:szCs w:val="24"/>
        </w:rPr>
      </w:pPr>
      <w:r w:rsidRPr="00F50C10">
        <w:rPr>
          <w:rFonts w:cs="Times New Roman"/>
          <w:szCs w:val="24"/>
          <w:lang w:bidi="tr-TR"/>
        </w:rPr>
        <w:t>“Kimya sektöründe yaygın atık gaz ve atık su arıtma/yönetim sistemleri” konulu MET-Ref, kimyasal sanayinin genelinde yaygın olarak uygulanabilen teknikleri açıklamaktadır. Geri kazanım veya azaltma tekniklerinin ayrıntılı açıklamaları, CWW MET-Ref'te bulunabilir.</w:t>
      </w:r>
    </w:p>
    <w:p w14:paraId="7E06EF36" w14:textId="77777777" w:rsidR="004704B5" w:rsidRPr="00F50C10" w:rsidRDefault="004704B5" w:rsidP="000B206D">
      <w:pPr>
        <w:spacing w:before="221" w:line="276" w:lineRule="auto"/>
        <w:rPr>
          <w:rFonts w:cs="Times New Roman"/>
          <w:szCs w:val="24"/>
        </w:rPr>
      </w:pPr>
      <w:r w:rsidRPr="00F50C10">
        <w:rPr>
          <w:rFonts w:cs="Times New Roman"/>
          <w:szCs w:val="24"/>
          <w:lang w:bidi="tr-TR"/>
        </w:rPr>
        <w:t>CWW MET-Ref'te açıklanan boru çıkışı tekniklerinin MET ile ilişkili emisyon seviyelerinin, bu tekniklerin polimer sektöründe uygulandığı her yerde MET olarak değerlendirilmesi gerekir.</w:t>
      </w:r>
    </w:p>
    <w:p w14:paraId="6B13E366" w14:textId="77777777" w:rsidR="004704B5" w:rsidRPr="00F50C10" w:rsidRDefault="004704B5" w:rsidP="000B206D">
      <w:pPr>
        <w:spacing w:before="475" w:line="276" w:lineRule="auto"/>
        <w:rPr>
          <w:rFonts w:cs="Times New Roman"/>
          <w:szCs w:val="24"/>
        </w:rPr>
      </w:pPr>
      <w:r w:rsidRPr="00F50C10">
        <w:rPr>
          <w:rFonts w:cs="Times New Roman"/>
          <w:b/>
          <w:szCs w:val="24"/>
          <w:lang w:bidi="tr-TR"/>
        </w:rPr>
        <w:t>Kütle akışı ve derişim seviyeleri</w:t>
      </w:r>
    </w:p>
    <w:p w14:paraId="7507B8C3" w14:textId="77777777" w:rsidR="004704B5" w:rsidRPr="00F50C10" w:rsidRDefault="004704B5" w:rsidP="000B206D">
      <w:pPr>
        <w:spacing w:before="211" w:line="276" w:lineRule="auto"/>
        <w:rPr>
          <w:rFonts w:cs="Times New Roman"/>
          <w:szCs w:val="24"/>
        </w:rPr>
      </w:pPr>
      <w:r w:rsidRPr="00F50C10">
        <w:rPr>
          <w:rFonts w:cs="Times New Roman"/>
          <w:szCs w:val="24"/>
          <w:lang w:bidi="tr-TR"/>
        </w:rPr>
        <w:t>Genel MET ile ilişkili emisyon seviyelerinin hem derişim hem de kütle akışı cinsinden verildiği bu bölümde, belirli durumlarda bunlardan daha büyük olanının MET referansı teşkil etmesi öngörülmektedir. MET ile ilişkili tüm emisyon seviyeleri, hem nokta kaynaklar hem de kaçak emisyonlar dahil olmak üzere toplam emisyonlarla ilgilidir.</w:t>
      </w:r>
    </w:p>
    <w:p w14:paraId="444802A8" w14:textId="77777777" w:rsidR="004704B5" w:rsidRPr="00F50C10" w:rsidRDefault="004704B5" w:rsidP="000B206D">
      <w:pPr>
        <w:spacing w:before="470" w:line="276" w:lineRule="auto"/>
        <w:rPr>
          <w:rFonts w:cs="Times New Roman"/>
          <w:szCs w:val="24"/>
        </w:rPr>
      </w:pPr>
      <w:r w:rsidRPr="00F50C10">
        <w:rPr>
          <w:rFonts w:cs="Times New Roman"/>
          <w:b/>
          <w:szCs w:val="24"/>
          <w:lang w:bidi="tr-TR"/>
        </w:rPr>
        <w:t>Bu bölümde açıklanan MET’in uygulamasının anlaşılması</w:t>
      </w:r>
    </w:p>
    <w:p w14:paraId="199ABD93" w14:textId="77777777" w:rsidR="004704B5" w:rsidRPr="00F50C10" w:rsidRDefault="004704B5" w:rsidP="000B206D">
      <w:pPr>
        <w:spacing w:before="216" w:line="276" w:lineRule="auto"/>
        <w:rPr>
          <w:rFonts w:cs="Times New Roman"/>
          <w:szCs w:val="24"/>
        </w:rPr>
      </w:pPr>
      <w:r w:rsidRPr="00F50C10">
        <w:rPr>
          <w:rFonts w:cs="Times New Roman"/>
          <w:szCs w:val="24"/>
          <w:lang w:bidi="tr-TR"/>
        </w:rPr>
        <w:t xml:space="preserve">Bu doküman, farklı polimer türlerini (örn. polietilen, polyester) ele alır. Bu bölümde listelenen MET, doküman kapsamındaki farklı polimerler için genel MET'i (bkz. </w:t>
      </w:r>
      <w:hyperlink w:anchor="bookmark396" w:history="1">
        <w:r w:rsidRPr="00F50C10">
          <w:rPr>
            <w:rFonts w:cs="Times New Roman"/>
            <w:szCs w:val="24"/>
            <w:lang w:bidi="tr-TR"/>
          </w:rPr>
          <w:t>Bölüm 13.1</w:t>
        </w:r>
      </w:hyperlink>
      <w:r w:rsidRPr="00F50C10">
        <w:rPr>
          <w:rFonts w:cs="Times New Roman"/>
          <w:szCs w:val="24"/>
          <w:lang w:bidi="tr-TR"/>
        </w:rPr>
        <w:t xml:space="preserve">) ve özel MET'i (bkz. Bölüm </w:t>
      </w:r>
      <w:hyperlink w:anchor="bookmark415" w:history="1">
        <w:r w:rsidRPr="00F50C10">
          <w:rPr>
            <w:rFonts w:cs="Times New Roman"/>
            <w:szCs w:val="24"/>
            <w:lang w:bidi="tr-TR"/>
          </w:rPr>
          <w:t>13.2</w:t>
        </w:r>
      </w:hyperlink>
      <w:r w:rsidRPr="00F50C10">
        <w:rPr>
          <w:rFonts w:cs="Times New Roman"/>
          <w:szCs w:val="24"/>
          <w:lang w:bidi="tr-TR"/>
        </w:rPr>
        <w:t xml:space="preserve"> ila </w:t>
      </w:r>
      <w:hyperlink w:anchor="bookmark395" w:history="1">
        <w:r w:rsidRPr="00F50C10">
          <w:rPr>
            <w:rFonts w:cs="Times New Roman"/>
            <w:szCs w:val="24"/>
            <w:lang w:bidi="tr-TR"/>
          </w:rPr>
          <w:t>13.10</w:t>
        </w:r>
      </w:hyperlink>
      <w:r w:rsidRPr="00F50C10">
        <w:rPr>
          <w:rFonts w:cs="Times New Roman"/>
          <w:szCs w:val="24"/>
          <w:lang w:bidi="tr-TR"/>
        </w:rPr>
        <w:t xml:space="preserve">) içerir. Bir polimer için MET belirleme şeması </w:t>
      </w:r>
      <w:hyperlink w:anchor="bookmark394" w:history="1">
        <w:r w:rsidRPr="00F50C10">
          <w:rPr>
            <w:rFonts w:cs="Times New Roman"/>
            <w:szCs w:val="24"/>
            <w:lang w:bidi="tr-TR"/>
          </w:rPr>
          <w:t>Tablo 13.1</w:t>
        </w:r>
      </w:hyperlink>
      <w:r w:rsidRPr="00F50C10">
        <w:rPr>
          <w:rFonts w:cs="Times New Roman"/>
          <w:szCs w:val="24"/>
          <w:lang w:bidi="tr-TR"/>
        </w:rPr>
        <w:t>'de verilmiştir.</w:t>
      </w:r>
      <w:hyperlink w:anchor="bookmark394" w:history="1">
        <w:r w:rsidRPr="00F50C10">
          <w:rPr>
            <w:rFonts w:cs="Times New Roman"/>
            <w:szCs w:val="24"/>
            <w:lang w:bidi="tr-TR"/>
          </w:rPr>
          <w:t xml:space="preserve"> </w:t>
        </w:r>
      </w:hyperlink>
      <w:r w:rsidRPr="00F50C10">
        <w:rPr>
          <w:rFonts w:cs="Times New Roman"/>
          <w:szCs w:val="24"/>
          <w:lang w:bidi="tr-TR"/>
        </w:rPr>
        <w:t>Genel MET, genel olarak tüm polimer tesis türlerine uygulanabilir olduğu düşünülenlerdir. Polimere özgü MET, esas olarak veya münhasıran belirli polimer türleriyle ilgili tesisler özelinde MET olarak kabul edilenlerdir.</w:t>
      </w:r>
    </w:p>
    <w:p w14:paraId="6067825F" w14:textId="77777777" w:rsidR="004704B5" w:rsidRPr="00F50C10" w:rsidRDefault="004704B5" w:rsidP="000B206D">
      <w:pPr>
        <w:spacing w:before="216" w:line="276" w:lineRule="auto"/>
        <w:rPr>
          <w:rFonts w:cs="Times New Roman"/>
          <w:szCs w:val="24"/>
        </w:rPr>
        <w:sectPr w:rsidR="004704B5" w:rsidRPr="00F50C10" w:rsidSect="005E5461">
          <w:type w:val="continuous"/>
          <w:pgSz w:w="11909" w:h="16834" w:code="9"/>
          <w:pgMar w:top="1134" w:right="1134" w:bottom="1134" w:left="2268" w:header="709" w:footer="709" w:gutter="0"/>
          <w:paperSrc w:first="15" w:other="15"/>
          <w:cols w:space="60"/>
          <w:noEndnote/>
        </w:sectPr>
      </w:pPr>
    </w:p>
    <w:p w14:paraId="7E016BC5" w14:textId="4DBF3925" w:rsidR="004704B5" w:rsidRPr="00F50C10" w:rsidRDefault="004704B5" w:rsidP="000B206D">
      <w:pPr>
        <w:spacing w:line="276" w:lineRule="auto"/>
        <w:rPr>
          <w:rFonts w:cs="Times New Roman"/>
          <w:szCs w:val="24"/>
          <w:lang w:val="en-GB"/>
        </w:rPr>
      </w:pPr>
      <w:r w:rsidRPr="00F50C10">
        <w:rPr>
          <w:rFonts w:cs="Times New Roman"/>
          <w:szCs w:val="24"/>
          <w:lang w:bidi="tr-TR"/>
        </w:rPr>
        <w:t xml:space="preserve">Bu nedenle, MET'ın belirlenmesinde, spesifik teknikler kadar genel teknikler de dikkate alınmalıdır (bkz. </w:t>
      </w:r>
      <w:hyperlink w:anchor="bookmark394" w:history="1">
        <w:r w:rsidRPr="00F50C10">
          <w:rPr>
            <w:rFonts w:cs="Times New Roman"/>
            <w:szCs w:val="24"/>
            <w:lang w:bidi="tr-TR"/>
          </w:rPr>
          <w:t>Tablo 1</w:t>
        </w:r>
      </w:hyperlink>
      <w:r w:rsidRPr="00F50C10">
        <w:rPr>
          <w:rFonts w:cs="Times New Roman"/>
          <w:szCs w:val="24"/>
          <w:lang w:bidi="tr-TR"/>
        </w:rPr>
        <w:t>).</w:t>
      </w:r>
    </w:p>
    <w:p w14:paraId="17906F09" w14:textId="77777777" w:rsidR="004704B5" w:rsidRPr="00F50C10" w:rsidRDefault="004704B5" w:rsidP="000B206D">
      <w:pPr>
        <w:spacing w:after="250" w:line="276" w:lineRule="auto"/>
        <w:rPr>
          <w:rFonts w:cs="Times New Roman"/>
          <w:szCs w:val="24"/>
          <w:lang w:val="en-GB"/>
        </w:rPr>
      </w:pPr>
    </w:p>
    <w:tbl>
      <w:tblPr>
        <w:tblW w:w="0" w:type="auto"/>
        <w:jc w:val="center"/>
        <w:tblLayout w:type="fixed"/>
        <w:tblCellMar>
          <w:top w:w="28" w:type="dxa"/>
          <w:left w:w="57" w:type="dxa"/>
          <w:bottom w:w="28" w:type="dxa"/>
          <w:right w:w="57" w:type="dxa"/>
        </w:tblCellMar>
        <w:tblLook w:val="0000" w:firstRow="0" w:lastRow="0" w:firstColumn="0" w:lastColumn="0" w:noHBand="0" w:noVBand="0"/>
      </w:tblPr>
      <w:tblGrid>
        <w:gridCol w:w="1406"/>
        <w:gridCol w:w="499"/>
        <w:gridCol w:w="5510"/>
      </w:tblGrid>
      <w:tr w:rsidR="004704B5" w:rsidRPr="00F50C10" w14:paraId="79AC996F" w14:textId="77777777" w:rsidTr="006E1E93">
        <w:trPr>
          <w:jc w:val="center"/>
        </w:trPr>
        <w:tc>
          <w:tcPr>
            <w:tcW w:w="1406" w:type="dxa"/>
            <w:tcBorders>
              <w:top w:val="single" w:sz="6" w:space="0" w:color="auto"/>
              <w:left w:val="single" w:sz="6" w:space="0" w:color="auto"/>
              <w:bottom w:val="nil"/>
              <w:right w:val="single" w:sz="6" w:space="0" w:color="auto"/>
            </w:tcBorders>
            <w:shd w:val="clear" w:color="auto" w:fill="auto"/>
            <w:vAlign w:val="center"/>
          </w:tcPr>
          <w:p w14:paraId="1B007986" w14:textId="77777777" w:rsidR="004704B5" w:rsidRPr="00F50C10" w:rsidRDefault="004704B5" w:rsidP="000B206D">
            <w:pPr>
              <w:spacing w:line="276" w:lineRule="auto"/>
              <w:jc w:val="center"/>
              <w:rPr>
                <w:rFonts w:cs="Times New Roman"/>
                <w:szCs w:val="24"/>
                <w:lang w:val="nl-NL"/>
              </w:rPr>
            </w:pPr>
            <w:r w:rsidRPr="00F50C10">
              <w:rPr>
                <w:rFonts w:cs="Times New Roman"/>
                <w:b/>
                <w:szCs w:val="24"/>
                <w:lang w:bidi="tr-TR"/>
              </w:rPr>
              <w:t>Genel MET</w:t>
            </w:r>
          </w:p>
          <w:p w14:paraId="7C42C791" w14:textId="77777777" w:rsidR="004704B5" w:rsidRPr="00F50C10" w:rsidRDefault="002A1746" w:rsidP="000B206D">
            <w:pPr>
              <w:spacing w:line="276" w:lineRule="auto"/>
              <w:jc w:val="center"/>
              <w:rPr>
                <w:rFonts w:cs="Times New Roman"/>
                <w:szCs w:val="24"/>
                <w:lang w:val="nl-NL"/>
              </w:rPr>
            </w:pPr>
            <w:hyperlink w:anchor="bookmark395" w:history="1">
              <w:r w:rsidR="004704B5" w:rsidRPr="00F50C10">
                <w:rPr>
                  <w:rFonts w:cs="Times New Roman"/>
                  <w:szCs w:val="24"/>
                  <w:lang w:bidi="tr-TR"/>
                </w:rPr>
                <w:t>Bölüm 13.1</w:t>
              </w:r>
            </w:hyperlink>
            <w:r w:rsidR="004704B5" w:rsidRPr="00F50C10">
              <w:rPr>
                <w:rFonts w:cs="Times New Roman"/>
                <w:szCs w:val="24"/>
                <w:lang w:bidi="tr-TR"/>
              </w:rPr>
              <w:t>'de açıklandığı gibi</w:t>
            </w:r>
          </w:p>
        </w:tc>
        <w:tc>
          <w:tcPr>
            <w:tcW w:w="499" w:type="dxa"/>
            <w:tcBorders>
              <w:top w:val="single" w:sz="6" w:space="0" w:color="auto"/>
              <w:left w:val="single" w:sz="6" w:space="0" w:color="auto"/>
              <w:bottom w:val="nil"/>
              <w:right w:val="single" w:sz="6" w:space="0" w:color="auto"/>
            </w:tcBorders>
            <w:shd w:val="clear" w:color="auto" w:fill="auto"/>
            <w:vAlign w:val="center"/>
          </w:tcPr>
          <w:p w14:paraId="28EF073B" w14:textId="77777777" w:rsidR="004704B5" w:rsidRPr="00F50C10" w:rsidRDefault="004704B5" w:rsidP="000B206D">
            <w:pPr>
              <w:spacing w:line="276" w:lineRule="auto"/>
              <w:rPr>
                <w:rFonts w:cs="Times New Roman"/>
                <w:szCs w:val="24"/>
                <w:lang w:val="en-GB"/>
              </w:rPr>
            </w:pPr>
            <w:r w:rsidRPr="00F50C10">
              <w:rPr>
                <w:rFonts w:cs="Times New Roman"/>
                <w:b/>
                <w:szCs w:val="24"/>
                <w:lang w:bidi="tr-TR"/>
              </w:rPr>
              <w:t>artı</w:t>
            </w:r>
          </w:p>
        </w:tc>
        <w:tc>
          <w:tcPr>
            <w:tcW w:w="5510" w:type="dxa"/>
            <w:tcBorders>
              <w:top w:val="single" w:sz="6" w:space="0" w:color="auto"/>
              <w:left w:val="single" w:sz="6" w:space="0" w:color="auto"/>
              <w:bottom w:val="single" w:sz="6" w:space="0" w:color="auto"/>
              <w:right w:val="single" w:sz="6" w:space="0" w:color="auto"/>
            </w:tcBorders>
            <w:shd w:val="clear" w:color="auto" w:fill="auto"/>
            <w:vAlign w:val="center"/>
          </w:tcPr>
          <w:p w14:paraId="74F51827" w14:textId="77777777" w:rsidR="004704B5" w:rsidRPr="00F50C10" w:rsidRDefault="004704B5" w:rsidP="000B206D">
            <w:pPr>
              <w:spacing w:line="276" w:lineRule="auto"/>
              <w:jc w:val="center"/>
              <w:rPr>
                <w:rFonts w:cs="Times New Roman"/>
                <w:szCs w:val="24"/>
                <w:lang w:val="en-GB"/>
              </w:rPr>
            </w:pPr>
            <w:r w:rsidRPr="00F50C10">
              <w:rPr>
                <w:rFonts w:cs="Times New Roman"/>
                <w:b/>
                <w:szCs w:val="24"/>
                <w:lang w:bidi="tr-TR"/>
              </w:rPr>
              <w:t>Polimer için özel MET</w:t>
            </w:r>
          </w:p>
        </w:tc>
      </w:tr>
      <w:tr w:rsidR="004704B5" w:rsidRPr="00F50C10" w14:paraId="1D57B5AD" w14:textId="77777777" w:rsidTr="006E1E93">
        <w:trPr>
          <w:jc w:val="center"/>
        </w:trPr>
        <w:tc>
          <w:tcPr>
            <w:tcW w:w="1406" w:type="dxa"/>
            <w:tcBorders>
              <w:top w:val="nil"/>
              <w:left w:val="single" w:sz="6" w:space="0" w:color="auto"/>
              <w:bottom w:val="nil"/>
              <w:right w:val="single" w:sz="6" w:space="0" w:color="auto"/>
            </w:tcBorders>
            <w:shd w:val="clear" w:color="auto" w:fill="auto"/>
            <w:vAlign w:val="center"/>
          </w:tcPr>
          <w:p w14:paraId="6D872E88" w14:textId="77777777" w:rsidR="004704B5" w:rsidRPr="00F50C10" w:rsidRDefault="004704B5" w:rsidP="000B206D">
            <w:pPr>
              <w:spacing w:line="276" w:lineRule="auto"/>
              <w:rPr>
                <w:rFonts w:cs="Times New Roman"/>
                <w:szCs w:val="24"/>
                <w:lang w:val="en-GB"/>
              </w:rPr>
            </w:pPr>
          </w:p>
          <w:p w14:paraId="7611174E" w14:textId="77777777" w:rsidR="004704B5" w:rsidRPr="00F50C10" w:rsidRDefault="004704B5" w:rsidP="000B206D">
            <w:pPr>
              <w:spacing w:line="276" w:lineRule="auto"/>
              <w:rPr>
                <w:rFonts w:cs="Times New Roman"/>
                <w:szCs w:val="24"/>
                <w:lang w:val="en-GB"/>
              </w:rPr>
            </w:pPr>
          </w:p>
        </w:tc>
        <w:tc>
          <w:tcPr>
            <w:tcW w:w="499" w:type="dxa"/>
            <w:tcBorders>
              <w:top w:val="nil"/>
              <w:left w:val="single" w:sz="6" w:space="0" w:color="auto"/>
              <w:bottom w:val="nil"/>
              <w:right w:val="single" w:sz="6" w:space="0" w:color="auto"/>
            </w:tcBorders>
            <w:shd w:val="clear" w:color="auto" w:fill="auto"/>
            <w:vAlign w:val="center"/>
          </w:tcPr>
          <w:p w14:paraId="08B80DF1" w14:textId="77777777" w:rsidR="004704B5" w:rsidRPr="00F50C10" w:rsidRDefault="004704B5" w:rsidP="000B206D">
            <w:pPr>
              <w:spacing w:line="276" w:lineRule="auto"/>
              <w:rPr>
                <w:rFonts w:cs="Times New Roman"/>
                <w:szCs w:val="24"/>
                <w:lang w:val="en-GB"/>
              </w:rPr>
            </w:pPr>
          </w:p>
          <w:p w14:paraId="17FB7ABE" w14:textId="77777777" w:rsidR="004704B5" w:rsidRPr="00F50C10" w:rsidRDefault="004704B5" w:rsidP="000B206D">
            <w:pPr>
              <w:spacing w:line="276" w:lineRule="auto"/>
              <w:rPr>
                <w:rFonts w:cs="Times New Roman"/>
                <w:szCs w:val="24"/>
                <w:lang w:val="en-GB"/>
              </w:rPr>
            </w:pPr>
          </w:p>
        </w:tc>
        <w:tc>
          <w:tcPr>
            <w:tcW w:w="5510" w:type="dxa"/>
            <w:tcBorders>
              <w:top w:val="single" w:sz="6" w:space="0" w:color="auto"/>
              <w:left w:val="single" w:sz="6" w:space="0" w:color="auto"/>
              <w:bottom w:val="single" w:sz="6" w:space="0" w:color="auto"/>
              <w:right w:val="single" w:sz="6" w:space="0" w:color="auto"/>
            </w:tcBorders>
            <w:shd w:val="clear" w:color="auto" w:fill="auto"/>
            <w:vAlign w:val="center"/>
          </w:tcPr>
          <w:p w14:paraId="25A09A99" w14:textId="77777777" w:rsidR="004704B5" w:rsidRPr="00F50C10" w:rsidRDefault="004704B5" w:rsidP="000B206D">
            <w:pPr>
              <w:spacing w:line="276" w:lineRule="auto"/>
              <w:rPr>
                <w:rFonts w:cs="Times New Roman"/>
                <w:szCs w:val="24"/>
                <w:lang w:val="en-GB"/>
              </w:rPr>
            </w:pPr>
            <w:r w:rsidRPr="00F50C10">
              <w:rPr>
                <w:rFonts w:cs="Times New Roman"/>
                <w:szCs w:val="24"/>
                <w:lang w:bidi="tr-TR"/>
              </w:rPr>
              <w:t xml:space="preserve">Poliolefinler – </w:t>
            </w:r>
            <w:hyperlink w:anchor="bookmark396" w:history="1">
              <w:r w:rsidRPr="00F50C10">
                <w:rPr>
                  <w:rFonts w:cs="Times New Roman"/>
                  <w:szCs w:val="24"/>
                  <w:lang w:bidi="tr-TR"/>
                </w:rPr>
                <w:t>Bölüm 13.2</w:t>
              </w:r>
            </w:hyperlink>
          </w:p>
        </w:tc>
      </w:tr>
      <w:tr w:rsidR="004704B5" w:rsidRPr="00F50C10" w14:paraId="2B1A5C12" w14:textId="77777777" w:rsidTr="006E1E93">
        <w:trPr>
          <w:jc w:val="center"/>
        </w:trPr>
        <w:tc>
          <w:tcPr>
            <w:tcW w:w="1406" w:type="dxa"/>
            <w:tcBorders>
              <w:top w:val="nil"/>
              <w:left w:val="single" w:sz="6" w:space="0" w:color="auto"/>
              <w:bottom w:val="nil"/>
              <w:right w:val="single" w:sz="6" w:space="0" w:color="auto"/>
            </w:tcBorders>
            <w:shd w:val="clear" w:color="auto" w:fill="auto"/>
            <w:vAlign w:val="center"/>
          </w:tcPr>
          <w:p w14:paraId="48E17C5F" w14:textId="77777777" w:rsidR="004704B5" w:rsidRPr="00F50C10" w:rsidRDefault="004704B5" w:rsidP="000B206D">
            <w:pPr>
              <w:spacing w:line="276" w:lineRule="auto"/>
              <w:rPr>
                <w:rFonts w:cs="Times New Roman"/>
                <w:szCs w:val="24"/>
                <w:lang w:val="en-GB"/>
              </w:rPr>
            </w:pPr>
          </w:p>
          <w:p w14:paraId="0D6D3024" w14:textId="77777777" w:rsidR="004704B5" w:rsidRPr="00F50C10" w:rsidRDefault="004704B5" w:rsidP="000B206D">
            <w:pPr>
              <w:spacing w:line="276" w:lineRule="auto"/>
              <w:rPr>
                <w:rFonts w:cs="Times New Roman"/>
                <w:szCs w:val="24"/>
                <w:lang w:val="en-GB"/>
              </w:rPr>
            </w:pPr>
          </w:p>
        </w:tc>
        <w:tc>
          <w:tcPr>
            <w:tcW w:w="499" w:type="dxa"/>
            <w:tcBorders>
              <w:top w:val="nil"/>
              <w:left w:val="single" w:sz="6" w:space="0" w:color="auto"/>
              <w:bottom w:val="nil"/>
              <w:right w:val="single" w:sz="6" w:space="0" w:color="auto"/>
            </w:tcBorders>
            <w:shd w:val="clear" w:color="auto" w:fill="auto"/>
            <w:vAlign w:val="center"/>
          </w:tcPr>
          <w:p w14:paraId="30DC9093" w14:textId="77777777" w:rsidR="004704B5" w:rsidRPr="00F50C10" w:rsidRDefault="004704B5" w:rsidP="000B206D">
            <w:pPr>
              <w:spacing w:line="276" w:lineRule="auto"/>
              <w:rPr>
                <w:rFonts w:cs="Times New Roman"/>
                <w:szCs w:val="24"/>
                <w:lang w:val="en-GB"/>
              </w:rPr>
            </w:pPr>
          </w:p>
          <w:p w14:paraId="18A3136C" w14:textId="77777777" w:rsidR="004704B5" w:rsidRPr="00F50C10" w:rsidRDefault="004704B5" w:rsidP="000B206D">
            <w:pPr>
              <w:spacing w:line="276" w:lineRule="auto"/>
              <w:rPr>
                <w:rFonts w:cs="Times New Roman"/>
                <w:szCs w:val="24"/>
                <w:lang w:val="en-GB"/>
              </w:rPr>
            </w:pPr>
          </w:p>
        </w:tc>
        <w:tc>
          <w:tcPr>
            <w:tcW w:w="5510" w:type="dxa"/>
            <w:tcBorders>
              <w:top w:val="single" w:sz="6" w:space="0" w:color="auto"/>
              <w:left w:val="single" w:sz="6" w:space="0" w:color="auto"/>
              <w:bottom w:val="single" w:sz="6" w:space="0" w:color="auto"/>
              <w:right w:val="single" w:sz="6" w:space="0" w:color="auto"/>
            </w:tcBorders>
            <w:shd w:val="clear" w:color="auto" w:fill="auto"/>
            <w:vAlign w:val="center"/>
          </w:tcPr>
          <w:p w14:paraId="432CDCAB" w14:textId="77777777" w:rsidR="004704B5" w:rsidRPr="00F50C10" w:rsidRDefault="004704B5" w:rsidP="000B206D">
            <w:pPr>
              <w:spacing w:line="276" w:lineRule="auto"/>
              <w:rPr>
                <w:rFonts w:cs="Times New Roman"/>
                <w:szCs w:val="24"/>
                <w:lang w:val="en-GB"/>
              </w:rPr>
            </w:pPr>
            <w:r w:rsidRPr="00F50C10">
              <w:rPr>
                <w:rFonts w:cs="Times New Roman"/>
                <w:szCs w:val="24"/>
                <w:lang w:bidi="tr-TR"/>
              </w:rPr>
              <w:t xml:space="preserve">Polistiren – </w:t>
            </w:r>
            <w:hyperlink w:anchor="bookmark401" w:history="1">
              <w:r w:rsidRPr="00F50C10">
                <w:rPr>
                  <w:rFonts w:cs="Times New Roman"/>
                  <w:szCs w:val="24"/>
                  <w:lang w:bidi="tr-TR"/>
                </w:rPr>
                <w:t>Bölüm 13.3</w:t>
              </w:r>
            </w:hyperlink>
          </w:p>
        </w:tc>
      </w:tr>
      <w:tr w:rsidR="004704B5" w:rsidRPr="00F50C10" w14:paraId="5E59C8E1" w14:textId="77777777" w:rsidTr="006E1E93">
        <w:trPr>
          <w:jc w:val="center"/>
        </w:trPr>
        <w:tc>
          <w:tcPr>
            <w:tcW w:w="1406" w:type="dxa"/>
            <w:tcBorders>
              <w:top w:val="nil"/>
              <w:left w:val="single" w:sz="6" w:space="0" w:color="auto"/>
              <w:bottom w:val="nil"/>
              <w:right w:val="single" w:sz="6" w:space="0" w:color="auto"/>
            </w:tcBorders>
            <w:shd w:val="clear" w:color="auto" w:fill="auto"/>
            <w:vAlign w:val="center"/>
          </w:tcPr>
          <w:p w14:paraId="2D4AF11D" w14:textId="77777777" w:rsidR="004704B5" w:rsidRPr="00F50C10" w:rsidRDefault="004704B5" w:rsidP="000B206D">
            <w:pPr>
              <w:spacing w:line="276" w:lineRule="auto"/>
              <w:rPr>
                <w:rFonts w:cs="Times New Roman"/>
                <w:szCs w:val="24"/>
                <w:lang w:val="en-GB"/>
              </w:rPr>
            </w:pPr>
          </w:p>
          <w:p w14:paraId="2F109F75" w14:textId="77777777" w:rsidR="004704B5" w:rsidRPr="00F50C10" w:rsidRDefault="004704B5" w:rsidP="000B206D">
            <w:pPr>
              <w:spacing w:line="276" w:lineRule="auto"/>
              <w:rPr>
                <w:rFonts w:cs="Times New Roman"/>
                <w:szCs w:val="24"/>
                <w:lang w:val="en-GB"/>
              </w:rPr>
            </w:pPr>
          </w:p>
        </w:tc>
        <w:tc>
          <w:tcPr>
            <w:tcW w:w="499" w:type="dxa"/>
            <w:tcBorders>
              <w:top w:val="nil"/>
              <w:left w:val="single" w:sz="6" w:space="0" w:color="auto"/>
              <w:bottom w:val="nil"/>
              <w:right w:val="single" w:sz="6" w:space="0" w:color="auto"/>
            </w:tcBorders>
            <w:shd w:val="clear" w:color="auto" w:fill="auto"/>
            <w:vAlign w:val="center"/>
          </w:tcPr>
          <w:p w14:paraId="2BC20EA4" w14:textId="77777777" w:rsidR="004704B5" w:rsidRPr="00F50C10" w:rsidRDefault="004704B5" w:rsidP="000B206D">
            <w:pPr>
              <w:spacing w:line="276" w:lineRule="auto"/>
              <w:rPr>
                <w:rFonts w:cs="Times New Roman"/>
                <w:szCs w:val="24"/>
                <w:lang w:val="en-GB"/>
              </w:rPr>
            </w:pPr>
          </w:p>
          <w:p w14:paraId="4EB879D3" w14:textId="77777777" w:rsidR="004704B5" w:rsidRPr="00F50C10" w:rsidRDefault="004704B5" w:rsidP="000B206D">
            <w:pPr>
              <w:spacing w:line="276" w:lineRule="auto"/>
              <w:rPr>
                <w:rFonts w:cs="Times New Roman"/>
                <w:szCs w:val="24"/>
                <w:lang w:val="en-GB"/>
              </w:rPr>
            </w:pPr>
          </w:p>
        </w:tc>
        <w:tc>
          <w:tcPr>
            <w:tcW w:w="5510" w:type="dxa"/>
            <w:tcBorders>
              <w:top w:val="single" w:sz="6" w:space="0" w:color="auto"/>
              <w:left w:val="single" w:sz="6" w:space="0" w:color="auto"/>
              <w:bottom w:val="single" w:sz="6" w:space="0" w:color="auto"/>
              <w:right w:val="single" w:sz="6" w:space="0" w:color="auto"/>
            </w:tcBorders>
            <w:shd w:val="clear" w:color="auto" w:fill="auto"/>
            <w:vAlign w:val="center"/>
          </w:tcPr>
          <w:p w14:paraId="16268219" w14:textId="77777777" w:rsidR="004704B5" w:rsidRPr="00F50C10" w:rsidRDefault="004704B5" w:rsidP="000B206D">
            <w:pPr>
              <w:spacing w:line="276" w:lineRule="auto"/>
              <w:rPr>
                <w:rFonts w:cs="Times New Roman"/>
                <w:szCs w:val="24"/>
                <w:lang w:val="en-GB"/>
              </w:rPr>
            </w:pPr>
            <w:r w:rsidRPr="00F50C10">
              <w:rPr>
                <w:rFonts w:cs="Times New Roman"/>
                <w:szCs w:val="24"/>
                <w:lang w:bidi="tr-TR"/>
              </w:rPr>
              <w:t xml:space="preserve">PVC – </w:t>
            </w:r>
            <w:hyperlink w:anchor="bookmark405" w:history="1">
              <w:r w:rsidRPr="00F50C10">
                <w:rPr>
                  <w:rFonts w:cs="Times New Roman"/>
                  <w:szCs w:val="24"/>
                  <w:lang w:bidi="tr-TR"/>
                </w:rPr>
                <w:t>Bölüm 13.4</w:t>
              </w:r>
            </w:hyperlink>
          </w:p>
        </w:tc>
      </w:tr>
      <w:tr w:rsidR="004704B5" w:rsidRPr="00F50C10" w14:paraId="7244A060" w14:textId="77777777" w:rsidTr="006E1E93">
        <w:trPr>
          <w:jc w:val="center"/>
        </w:trPr>
        <w:tc>
          <w:tcPr>
            <w:tcW w:w="1406" w:type="dxa"/>
            <w:tcBorders>
              <w:top w:val="nil"/>
              <w:left w:val="single" w:sz="6" w:space="0" w:color="auto"/>
              <w:bottom w:val="nil"/>
              <w:right w:val="single" w:sz="6" w:space="0" w:color="auto"/>
            </w:tcBorders>
            <w:shd w:val="clear" w:color="auto" w:fill="auto"/>
            <w:vAlign w:val="center"/>
          </w:tcPr>
          <w:p w14:paraId="357C4ABD" w14:textId="77777777" w:rsidR="004704B5" w:rsidRPr="00F50C10" w:rsidRDefault="004704B5" w:rsidP="000B206D">
            <w:pPr>
              <w:spacing w:line="276" w:lineRule="auto"/>
              <w:rPr>
                <w:rFonts w:cs="Times New Roman"/>
                <w:szCs w:val="24"/>
                <w:lang w:val="en-GB"/>
              </w:rPr>
            </w:pPr>
          </w:p>
          <w:p w14:paraId="7C4BF6D2" w14:textId="77777777" w:rsidR="004704B5" w:rsidRPr="00F50C10" w:rsidRDefault="004704B5" w:rsidP="000B206D">
            <w:pPr>
              <w:spacing w:line="276" w:lineRule="auto"/>
              <w:rPr>
                <w:rFonts w:cs="Times New Roman"/>
                <w:szCs w:val="24"/>
                <w:lang w:val="en-GB"/>
              </w:rPr>
            </w:pPr>
          </w:p>
        </w:tc>
        <w:tc>
          <w:tcPr>
            <w:tcW w:w="499" w:type="dxa"/>
            <w:tcBorders>
              <w:top w:val="nil"/>
              <w:left w:val="single" w:sz="6" w:space="0" w:color="auto"/>
              <w:bottom w:val="nil"/>
              <w:right w:val="single" w:sz="6" w:space="0" w:color="auto"/>
            </w:tcBorders>
            <w:shd w:val="clear" w:color="auto" w:fill="auto"/>
            <w:vAlign w:val="center"/>
          </w:tcPr>
          <w:p w14:paraId="0948BF0B" w14:textId="77777777" w:rsidR="004704B5" w:rsidRPr="00F50C10" w:rsidRDefault="004704B5" w:rsidP="000B206D">
            <w:pPr>
              <w:spacing w:line="276" w:lineRule="auto"/>
              <w:rPr>
                <w:rFonts w:cs="Times New Roman"/>
                <w:szCs w:val="24"/>
                <w:lang w:val="en-GB"/>
              </w:rPr>
            </w:pPr>
          </w:p>
          <w:p w14:paraId="46D5BA13" w14:textId="77777777" w:rsidR="004704B5" w:rsidRPr="00F50C10" w:rsidRDefault="004704B5" w:rsidP="000B206D">
            <w:pPr>
              <w:spacing w:line="276" w:lineRule="auto"/>
              <w:rPr>
                <w:rFonts w:cs="Times New Roman"/>
                <w:szCs w:val="24"/>
                <w:lang w:val="en-GB"/>
              </w:rPr>
            </w:pPr>
          </w:p>
        </w:tc>
        <w:tc>
          <w:tcPr>
            <w:tcW w:w="5510" w:type="dxa"/>
            <w:tcBorders>
              <w:top w:val="single" w:sz="6" w:space="0" w:color="auto"/>
              <w:left w:val="single" w:sz="6" w:space="0" w:color="auto"/>
              <w:bottom w:val="single" w:sz="6" w:space="0" w:color="auto"/>
              <w:right w:val="single" w:sz="6" w:space="0" w:color="auto"/>
            </w:tcBorders>
            <w:shd w:val="clear" w:color="auto" w:fill="auto"/>
            <w:vAlign w:val="center"/>
          </w:tcPr>
          <w:p w14:paraId="105043C5" w14:textId="77777777" w:rsidR="004704B5" w:rsidRPr="00F50C10" w:rsidRDefault="004704B5" w:rsidP="000B206D">
            <w:pPr>
              <w:spacing w:line="276" w:lineRule="auto"/>
              <w:rPr>
                <w:rFonts w:cs="Times New Roman"/>
                <w:szCs w:val="24"/>
                <w:lang w:val="en-GB"/>
              </w:rPr>
            </w:pPr>
            <w:r w:rsidRPr="00F50C10">
              <w:rPr>
                <w:rFonts w:cs="Times New Roman"/>
                <w:szCs w:val="24"/>
                <w:lang w:bidi="tr-TR"/>
              </w:rPr>
              <w:t xml:space="preserve">Doymamış Polyester - </w:t>
            </w:r>
            <w:hyperlink w:anchor="bookmark408" w:history="1">
              <w:r w:rsidRPr="00F50C10">
                <w:rPr>
                  <w:rFonts w:cs="Times New Roman"/>
                  <w:szCs w:val="24"/>
                  <w:lang w:bidi="tr-TR"/>
                </w:rPr>
                <w:t>Bölüm 13.5</w:t>
              </w:r>
            </w:hyperlink>
          </w:p>
        </w:tc>
      </w:tr>
      <w:tr w:rsidR="004704B5" w:rsidRPr="00F50C10" w14:paraId="72F0AAFD" w14:textId="77777777" w:rsidTr="006E1E93">
        <w:trPr>
          <w:jc w:val="center"/>
        </w:trPr>
        <w:tc>
          <w:tcPr>
            <w:tcW w:w="1406" w:type="dxa"/>
            <w:tcBorders>
              <w:top w:val="nil"/>
              <w:left w:val="single" w:sz="6" w:space="0" w:color="auto"/>
              <w:bottom w:val="nil"/>
              <w:right w:val="single" w:sz="6" w:space="0" w:color="auto"/>
            </w:tcBorders>
            <w:shd w:val="clear" w:color="auto" w:fill="auto"/>
            <w:vAlign w:val="center"/>
          </w:tcPr>
          <w:p w14:paraId="4DC96B79" w14:textId="77777777" w:rsidR="004704B5" w:rsidRPr="00F50C10" w:rsidRDefault="004704B5" w:rsidP="000B206D">
            <w:pPr>
              <w:spacing w:line="276" w:lineRule="auto"/>
              <w:rPr>
                <w:rFonts w:cs="Times New Roman"/>
                <w:szCs w:val="24"/>
                <w:lang w:val="en-GB"/>
              </w:rPr>
            </w:pPr>
          </w:p>
          <w:p w14:paraId="432CF0AD" w14:textId="77777777" w:rsidR="004704B5" w:rsidRPr="00F50C10" w:rsidRDefault="004704B5" w:rsidP="000B206D">
            <w:pPr>
              <w:spacing w:line="276" w:lineRule="auto"/>
              <w:rPr>
                <w:rFonts w:cs="Times New Roman"/>
                <w:szCs w:val="24"/>
                <w:lang w:val="en-GB"/>
              </w:rPr>
            </w:pPr>
          </w:p>
        </w:tc>
        <w:tc>
          <w:tcPr>
            <w:tcW w:w="499" w:type="dxa"/>
            <w:tcBorders>
              <w:top w:val="nil"/>
              <w:left w:val="single" w:sz="6" w:space="0" w:color="auto"/>
              <w:bottom w:val="nil"/>
              <w:right w:val="single" w:sz="6" w:space="0" w:color="auto"/>
            </w:tcBorders>
            <w:shd w:val="clear" w:color="auto" w:fill="auto"/>
            <w:vAlign w:val="center"/>
          </w:tcPr>
          <w:p w14:paraId="2E19F005" w14:textId="77777777" w:rsidR="004704B5" w:rsidRPr="00F50C10" w:rsidRDefault="004704B5" w:rsidP="000B206D">
            <w:pPr>
              <w:spacing w:line="276" w:lineRule="auto"/>
              <w:rPr>
                <w:rFonts w:cs="Times New Roman"/>
                <w:szCs w:val="24"/>
                <w:lang w:val="en-GB"/>
              </w:rPr>
            </w:pPr>
          </w:p>
          <w:p w14:paraId="3419BB1F" w14:textId="77777777" w:rsidR="004704B5" w:rsidRPr="00F50C10" w:rsidRDefault="004704B5" w:rsidP="000B206D">
            <w:pPr>
              <w:spacing w:line="276" w:lineRule="auto"/>
              <w:rPr>
                <w:rFonts w:cs="Times New Roman"/>
                <w:szCs w:val="24"/>
                <w:lang w:val="en-GB"/>
              </w:rPr>
            </w:pPr>
          </w:p>
        </w:tc>
        <w:tc>
          <w:tcPr>
            <w:tcW w:w="5510" w:type="dxa"/>
            <w:tcBorders>
              <w:top w:val="single" w:sz="6" w:space="0" w:color="auto"/>
              <w:left w:val="single" w:sz="6" w:space="0" w:color="auto"/>
              <w:bottom w:val="single" w:sz="6" w:space="0" w:color="auto"/>
              <w:right w:val="single" w:sz="6" w:space="0" w:color="auto"/>
            </w:tcBorders>
            <w:shd w:val="clear" w:color="auto" w:fill="auto"/>
            <w:vAlign w:val="center"/>
          </w:tcPr>
          <w:p w14:paraId="5A2C5CCB" w14:textId="77777777" w:rsidR="004704B5" w:rsidRPr="00F50C10" w:rsidRDefault="004704B5" w:rsidP="000B206D">
            <w:pPr>
              <w:spacing w:line="276" w:lineRule="auto"/>
              <w:rPr>
                <w:rFonts w:cs="Times New Roman"/>
                <w:szCs w:val="24"/>
                <w:lang w:val="en-GB"/>
              </w:rPr>
            </w:pPr>
            <w:r w:rsidRPr="00F50C10">
              <w:rPr>
                <w:rFonts w:cs="Times New Roman"/>
                <w:szCs w:val="24"/>
                <w:lang w:bidi="tr-TR"/>
              </w:rPr>
              <w:t xml:space="preserve">ESBR – </w:t>
            </w:r>
            <w:hyperlink w:anchor="bookmark410" w:history="1">
              <w:r w:rsidRPr="00F50C10">
                <w:rPr>
                  <w:rFonts w:cs="Times New Roman"/>
                  <w:szCs w:val="24"/>
                  <w:lang w:bidi="tr-TR"/>
                </w:rPr>
                <w:t>Bölüm 13.6</w:t>
              </w:r>
            </w:hyperlink>
          </w:p>
        </w:tc>
      </w:tr>
      <w:tr w:rsidR="004704B5" w:rsidRPr="00F50C10" w14:paraId="7EABE109" w14:textId="77777777" w:rsidTr="006E1E93">
        <w:trPr>
          <w:jc w:val="center"/>
        </w:trPr>
        <w:tc>
          <w:tcPr>
            <w:tcW w:w="1406" w:type="dxa"/>
            <w:tcBorders>
              <w:top w:val="nil"/>
              <w:left w:val="single" w:sz="6" w:space="0" w:color="auto"/>
              <w:bottom w:val="nil"/>
              <w:right w:val="single" w:sz="6" w:space="0" w:color="auto"/>
            </w:tcBorders>
            <w:shd w:val="clear" w:color="auto" w:fill="auto"/>
            <w:vAlign w:val="center"/>
          </w:tcPr>
          <w:p w14:paraId="15DCA48C" w14:textId="77777777" w:rsidR="004704B5" w:rsidRPr="00F50C10" w:rsidRDefault="004704B5" w:rsidP="000B206D">
            <w:pPr>
              <w:spacing w:line="276" w:lineRule="auto"/>
              <w:rPr>
                <w:rFonts w:cs="Times New Roman"/>
                <w:szCs w:val="24"/>
                <w:lang w:val="en-GB"/>
              </w:rPr>
            </w:pPr>
          </w:p>
          <w:p w14:paraId="4CA1536B" w14:textId="77777777" w:rsidR="004704B5" w:rsidRPr="00F50C10" w:rsidRDefault="004704B5" w:rsidP="000B206D">
            <w:pPr>
              <w:spacing w:line="276" w:lineRule="auto"/>
              <w:rPr>
                <w:rFonts w:cs="Times New Roman"/>
                <w:szCs w:val="24"/>
                <w:lang w:val="en-GB"/>
              </w:rPr>
            </w:pPr>
          </w:p>
        </w:tc>
        <w:tc>
          <w:tcPr>
            <w:tcW w:w="499" w:type="dxa"/>
            <w:tcBorders>
              <w:top w:val="nil"/>
              <w:left w:val="single" w:sz="6" w:space="0" w:color="auto"/>
              <w:bottom w:val="nil"/>
              <w:right w:val="single" w:sz="6" w:space="0" w:color="auto"/>
            </w:tcBorders>
            <w:shd w:val="clear" w:color="auto" w:fill="auto"/>
            <w:vAlign w:val="center"/>
          </w:tcPr>
          <w:p w14:paraId="640A116D" w14:textId="77777777" w:rsidR="004704B5" w:rsidRPr="00F50C10" w:rsidRDefault="004704B5" w:rsidP="000B206D">
            <w:pPr>
              <w:spacing w:line="276" w:lineRule="auto"/>
              <w:rPr>
                <w:rFonts w:cs="Times New Roman"/>
                <w:szCs w:val="24"/>
                <w:lang w:val="en-GB"/>
              </w:rPr>
            </w:pPr>
          </w:p>
          <w:p w14:paraId="714B6F77" w14:textId="77777777" w:rsidR="004704B5" w:rsidRPr="00F50C10" w:rsidRDefault="004704B5" w:rsidP="000B206D">
            <w:pPr>
              <w:spacing w:line="276" w:lineRule="auto"/>
              <w:rPr>
                <w:rFonts w:cs="Times New Roman"/>
                <w:szCs w:val="24"/>
                <w:lang w:val="en-GB"/>
              </w:rPr>
            </w:pPr>
          </w:p>
        </w:tc>
        <w:tc>
          <w:tcPr>
            <w:tcW w:w="5510" w:type="dxa"/>
            <w:tcBorders>
              <w:top w:val="single" w:sz="6" w:space="0" w:color="auto"/>
              <w:left w:val="single" w:sz="6" w:space="0" w:color="auto"/>
              <w:bottom w:val="single" w:sz="6" w:space="0" w:color="auto"/>
              <w:right w:val="single" w:sz="6" w:space="0" w:color="auto"/>
            </w:tcBorders>
            <w:shd w:val="clear" w:color="auto" w:fill="auto"/>
            <w:vAlign w:val="center"/>
          </w:tcPr>
          <w:p w14:paraId="76002582" w14:textId="77777777" w:rsidR="004704B5" w:rsidRPr="00F50C10" w:rsidRDefault="004704B5" w:rsidP="000B206D">
            <w:pPr>
              <w:spacing w:line="276" w:lineRule="auto"/>
              <w:rPr>
                <w:rFonts w:cs="Times New Roman"/>
                <w:szCs w:val="24"/>
                <w:lang w:val="en-GB"/>
              </w:rPr>
            </w:pPr>
            <w:r w:rsidRPr="00F50C10">
              <w:rPr>
                <w:rFonts w:cs="Times New Roman"/>
                <w:szCs w:val="24"/>
                <w:lang w:bidi="tr-TR"/>
              </w:rPr>
              <w:t xml:space="preserve">Bütadien içeren çözeltiyle polimerize edilmiş kauçuklar - </w:t>
            </w:r>
            <w:hyperlink w:anchor="bookmark412" w:history="1">
              <w:r w:rsidRPr="00F50C10">
                <w:rPr>
                  <w:rFonts w:cs="Times New Roman"/>
                  <w:szCs w:val="24"/>
                  <w:lang w:bidi="tr-TR"/>
                </w:rPr>
                <w:t>Bölüm 13.7</w:t>
              </w:r>
            </w:hyperlink>
          </w:p>
        </w:tc>
      </w:tr>
      <w:tr w:rsidR="004704B5" w:rsidRPr="00F50C10" w14:paraId="729181C8" w14:textId="77777777" w:rsidTr="006E1E93">
        <w:trPr>
          <w:jc w:val="center"/>
        </w:trPr>
        <w:tc>
          <w:tcPr>
            <w:tcW w:w="1406" w:type="dxa"/>
            <w:tcBorders>
              <w:top w:val="nil"/>
              <w:left w:val="single" w:sz="6" w:space="0" w:color="auto"/>
              <w:bottom w:val="nil"/>
              <w:right w:val="single" w:sz="6" w:space="0" w:color="auto"/>
            </w:tcBorders>
            <w:shd w:val="clear" w:color="auto" w:fill="auto"/>
            <w:vAlign w:val="center"/>
          </w:tcPr>
          <w:p w14:paraId="22E51D5E" w14:textId="77777777" w:rsidR="004704B5" w:rsidRPr="00F50C10" w:rsidRDefault="004704B5" w:rsidP="000B206D">
            <w:pPr>
              <w:spacing w:line="276" w:lineRule="auto"/>
              <w:rPr>
                <w:rFonts w:cs="Times New Roman"/>
                <w:szCs w:val="24"/>
                <w:lang w:val="en-GB"/>
              </w:rPr>
            </w:pPr>
          </w:p>
          <w:p w14:paraId="4AA465CE" w14:textId="77777777" w:rsidR="004704B5" w:rsidRPr="00F50C10" w:rsidRDefault="004704B5" w:rsidP="000B206D">
            <w:pPr>
              <w:spacing w:line="276" w:lineRule="auto"/>
              <w:rPr>
                <w:rFonts w:cs="Times New Roman"/>
                <w:szCs w:val="24"/>
                <w:lang w:val="en-GB"/>
              </w:rPr>
            </w:pPr>
          </w:p>
        </w:tc>
        <w:tc>
          <w:tcPr>
            <w:tcW w:w="499" w:type="dxa"/>
            <w:tcBorders>
              <w:top w:val="nil"/>
              <w:left w:val="single" w:sz="6" w:space="0" w:color="auto"/>
              <w:bottom w:val="nil"/>
              <w:right w:val="single" w:sz="6" w:space="0" w:color="auto"/>
            </w:tcBorders>
            <w:shd w:val="clear" w:color="auto" w:fill="auto"/>
            <w:vAlign w:val="center"/>
          </w:tcPr>
          <w:p w14:paraId="1FE274B1" w14:textId="77777777" w:rsidR="004704B5" w:rsidRPr="00F50C10" w:rsidRDefault="004704B5" w:rsidP="000B206D">
            <w:pPr>
              <w:spacing w:line="276" w:lineRule="auto"/>
              <w:rPr>
                <w:rFonts w:cs="Times New Roman"/>
                <w:szCs w:val="24"/>
                <w:lang w:val="en-GB"/>
              </w:rPr>
            </w:pPr>
          </w:p>
          <w:p w14:paraId="4DA37082" w14:textId="77777777" w:rsidR="004704B5" w:rsidRPr="00F50C10" w:rsidRDefault="004704B5" w:rsidP="000B206D">
            <w:pPr>
              <w:spacing w:line="276" w:lineRule="auto"/>
              <w:rPr>
                <w:rFonts w:cs="Times New Roman"/>
                <w:szCs w:val="24"/>
                <w:lang w:val="en-GB"/>
              </w:rPr>
            </w:pPr>
          </w:p>
        </w:tc>
        <w:tc>
          <w:tcPr>
            <w:tcW w:w="5510" w:type="dxa"/>
            <w:tcBorders>
              <w:top w:val="single" w:sz="6" w:space="0" w:color="auto"/>
              <w:left w:val="single" w:sz="6" w:space="0" w:color="auto"/>
              <w:bottom w:val="single" w:sz="6" w:space="0" w:color="auto"/>
              <w:right w:val="single" w:sz="6" w:space="0" w:color="auto"/>
            </w:tcBorders>
            <w:shd w:val="clear" w:color="auto" w:fill="auto"/>
            <w:vAlign w:val="center"/>
          </w:tcPr>
          <w:p w14:paraId="12200CA3" w14:textId="77777777" w:rsidR="004704B5" w:rsidRPr="00F50C10" w:rsidRDefault="004704B5" w:rsidP="000B206D">
            <w:pPr>
              <w:spacing w:line="276" w:lineRule="auto"/>
              <w:rPr>
                <w:rFonts w:cs="Times New Roman"/>
                <w:szCs w:val="24"/>
                <w:lang w:val="en-GB"/>
              </w:rPr>
            </w:pPr>
            <w:r w:rsidRPr="00F50C10">
              <w:rPr>
                <w:rFonts w:cs="Times New Roman"/>
                <w:szCs w:val="24"/>
                <w:lang w:bidi="tr-TR"/>
              </w:rPr>
              <w:t xml:space="preserve">Poliamidler – </w:t>
            </w:r>
            <w:hyperlink w:anchor="bookmark413" w:history="1">
              <w:r w:rsidRPr="00F50C10">
                <w:rPr>
                  <w:rFonts w:cs="Times New Roman"/>
                  <w:szCs w:val="24"/>
                  <w:lang w:bidi="tr-TR"/>
                </w:rPr>
                <w:t>Bölüm 13.8</w:t>
              </w:r>
            </w:hyperlink>
          </w:p>
        </w:tc>
      </w:tr>
      <w:tr w:rsidR="004704B5" w:rsidRPr="00F50C10" w14:paraId="009E928F" w14:textId="77777777" w:rsidTr="006E1E93">
        <w:trPr>
          <w:jc w:val="center"/>
        </w:trPr>
        <w:tc>
          <w:tcPr>
            <w:tcW w:w="1406" w:type="dxa"/>
            <w:tcBorders>
              <w:top w:val="nil"/>
              <w:left w:val="single" w:sz="6" w:space="0" w:color="auto"/>
              <w:bottom w:val="nil"/>
              <w:right w:val="single" w:sz="6" w:space="0" w:color="auto"/>
            </w:tcBorders>
            <w:shd w:val="clear" w:color="auto" w:fill="auto"/>
            <w:vAlign w:val="center"/>
          </w:tcPr>
          <w:p w14:paraId="532CDB2D" w14:textId="77777777" w:rsidR="004704B5" w:rsidRPr="00F50C10" w:rsidRDefault="004704B5" w:rsidP="000B206D">
            <w:pPr>
              <w:spacing w:line="276" w:lineRule="auto"/>
              <w:rPr>
                <w:rFonts w:cs="Times New Roman"/>
                <w:szCs w:val="24"/>
                <w:lang w:val="en-GB"/>
              </w:rPr>
            </w:pPr>
          </w:p>
          <w:p w14:paraId="7AE1418F" w14:textId="77777777" w:rsidR="004704B5" w:rsidRPr="00F50C10" w:rsidRDefault="004704B5" w:rsidP="000B206D">
            <w:pPr>
              <w:spacing w:line="276" w:lineRule="auto"/>
              <w:rPr>
                <w:rFonts w:cs="Times New Roman"/>
                <w:szCs w:val="24"/>
                <w:lang w:val="en-GB"/>
              </w:rPr>
            </w:pPr>
          </w:p>
        </w:tc>
        <w:tc>
          <w:tcPr>
            <w:tcW w:w="499" w:type="dxa"/>
            <w:tcBorders>
              <w:top w:val="nil"/>
              <w:left w:val="single" w:sz="6" w:space="0" w:color="auto"/>
              <w:bottom w:val="nil"/>
              <w:right w:val="single" w:sz="6" w:space="0" w:color="auto"/>
            </w:tcBorders>
            <w:shd w:val="clear" w:color="auto" w:fill="auto"/>
            <w:vAlign w:val="center"/>
          </w:tcPr>
          <w:p w14:paraId="2E9D0097" w14:textId="77777777" w:rsidR="004704B5" w:rsidRPr="00F50C10" w:rsidRDefault="004704B5" w:rsidP="000B206D">
            <w:pPr>
              <w:spacing w:line="276" w:lineRule="auto"/>
              <w:rPr>
                <w:rFonts w:cs="Times New Roman"/>
                <w:szCs w:val="24"/>
                <w:lang w:val="en-GB"/>
              </w:rPr>
            </w:pPr>
          </w:p>
          <w:p w14:paraId="582C5B39" w14:textId="77777777" w:rsidR="004704B5" w:rsidRPr="00F50C10" w:rsidRDefault="004704B5" w:rsidP="000B206D">
            <w:pPr>
              <w:spacing w:line="276" w:lineRule="auto"/>
              <w:rPr>
                <w:rFonts w:cs="Times New Roman"/>
                <w:szCs w:val="24"/>
                <w:lang w:val="en-GB"/>
              </w:rPr>
            </w:pPr>
          </w:p>
        </w:tc>
        <w:tc>
          <w:tcPr>
            <w:tcW w:w="5510" w:type="dxa"/>
            <w:tcBorders>
              <w:top w:val="single" w:sz="6" w:space="0" w:color="auto"/>
              <w:left w:val="single" w:sz="6" w:space="0" w:color="auto"/>
              <w:bottom w:val="single" w:sz="6" w:space="0" w:color="auto"/>
              <w:right w:val="single" w:sz="6" w:space="0" w:color="auto"/>
            </w:tcBorders>
            <w:shd w:val="clear" w:color="auto" w:fill="auto"/>
            <w:vAlign w:val="center"/>
          </w:tcPr>
          <w:p w14:paraId="38B486A7" w14:textId="77777777" w:rsidR="004704B5" w:rsidRPr="00F50C10" w:rsidRDefault="004704B5" w:rsidP="000B206D">
            <w:pPr>
              <w:spacing w:line="276" w:lineRule="auto"/>
              <w:rPr>
                <w:rFonts w:cs="Times New Roman"/>
                <w:szCs w:val="24"/>
                <w:lang w:val="en-GB"/>
              </w:rPr>
            </w:pPr>
            <w:r w:rsidRPr="00F50C10">
              <w:rPr>
                <w:rFonts w:cs="Times New Roman"/>
                <w:szCs w:val="24"/>
                <w:lang w:bidi="tr-TR"/>
              </w:rPr>
              <w:t xml:space="preserve">Polietilen tereftalat lifleri – </w:t>
            </w:r>
            <w:hyperlink w:anchor="bookmark414" w:history="1">
              <w:r w:rsidRPr="00F50C10">
                <w:rPr>
                  <w:rFonts w:cs="Times New Roman"/>
                  <w:szCs w:val="24"/>
                  <w:lang w:bidi="tr-TR"/>
                </w:rPr>
                <w:t>Bölüm 13.9</w:t>
              </w:r>
            </w:hyperlink>
          </w:p>
        </w:tc>
      </w:tr>
      <w:tr w:rsidR="004704B5" w:rsidRPr="00F50C10" w14:paraId="2159B664" w14:textId="77777777" w:rsidTr="006E1E93">
        <w:trPr>
          <w:jc w:val="center"/>
        </w:trPr>
        <w:tc>
          <w:tcPr>
            <w:tcW w:w="1406" w:type="dxa"/>
            <w:tcBorders>
              <w:top w:val="nil"/>
              <w:left w:val="single" w:sz="6" w:space="0" w:color="auto"/>
              <w:bottom w:val="single" w:sz="6" w:space="0" w:color="auto"/>
              <w:right w:val="single" w:sz="6" w:space="0" w:color="auto"/>
            </w:tcBorders>
            <w:shd w:val="clear" w:color="auto" w:fill="auto"/>
            <w:vAlign w:val="center"/>
          </w:tcPr>
          <w:p w14:paraId="5E691BEA" w14:textId="77777777" w:rsidR="004704B5" w:rsidRPr="00F50C10" w:rsidRDefault="004704B5" w:rsidP="000B206D">
            <w:pPr>
              <w:spacing w:line="276" w:lineRule="auto"/>
              <w:rPr>
                <w:rFonts w:cs="Times New Roman"/>
                <w:szCs w:val="24"/>
                <w:lang w:val="en-GB"/>
              </w:rPr>
            </w:pPr>
          </w:p>
          <w:p w14:paraId="0160C10C" w14:textId="77777777" w:rsidR="004704B5" w:rsidRPr="00F50C10" w:rsidRDefault="004704B5" w:rsidP="000B206D">
            <w:pPr>
              <w:spacing w:line="276" w:lineRule="auto"/>
              <w:rPr>
                <w:rFonts w:cs="Times New Roman"/>
                <w:szCs w:val="24"/>
                <w:lang w:val="en-GB"/>
              </w:rPr>
            </w:pPr>
          </w:p>
        </w:tc>
        <w:tc>
          <w:tcPr>
            <w:tcW w:w="499" w:type="dxa"/>
            <w:tcBorders>
              <w:top w:val="nil"/>
              <w:left w:val="single" w:sz="6" w:space="0" w:color="auto"/>
              <w:bottom w:val="single" w:sz="6" w:space="0" w:color="auto"/>
              <w:right w:val="single" w:sz="6" w:space="0" w:color="auto"/>
            </w:tcBorders>
            <w:shd w:val="clear" w:color="auto" w:fill="auto"/>
            <w:vAlign w:val="center"/>
          </w:tcPr>
          <w:p w14:paraId="77DA8A8D" w14:textId="77777777" w:rsidR="004704B5" w:rsidRPr="00F50C10" w:rsidRDefault="004704B5" w:rsidP="000B206D">
            <w:pPr>
              <w:spacing w:line="276" w:lineRule="auto"/>
              <w:rPr>
                <w:rFonts w:cs="Times New Roman"/>
                <w:szCs w:val="24"/>
                <w:lang w:val="en-GB"/>
              </w:rPr>
            </w:pPr>
          </w:p>
          <w:p w14:paraId="16022EF9" w14:textId="77777777" w:rsidR="004704B5" w:rsidRPr="00F50C10" w:rsidRDefault="004704B5" w:rsidP="000B206D">
            <w:pPr>
              <w:spacing w:line="276" w:lineRule="auto"/>
              <w:rPr>
                <w:rFonts w:cs="Times New Roman"/>
                <w:szCs w:val="24"/>
                <w:lang w:val="en-GB"/>
              </w:rPr>
            </w:pPr>
          </w:p>
        </w:tc>
        <w:tc>
          <w:tcPr>
            <w:tcW w:w="5510" w:type="dxa"/>
            <w:tcBorders>
              <w:top w:val="single" w:sz="6" w:space="0" w:color="auto"/>
              <w:left w:val="single" w:sz="6" w:space="0" w:color="auto"/>
              <w:bottom w:val="single" w:sz="6" w:space="0" w:color="auto"/>
              <w:right w:val="single" w:sz="6" w:space="0" w:color="auto"/>
            </w:tcBorders>
            <w:shd w:val="clear" w:color="auto" w:fill="auto"/>
            <w:vAlign w:val="center"/>
          </w:tcPr>
          <w:p w14:paraId="6CD0CD1D" w14:textId="77777777" w:rsidR="004704B5" w:rsidRPr="00F50C10" w:rsidRDefault="004704B5" w:rsidP="000B206D">
            <w:pPr>
              <w:spacing w:line="276" w:lineRule="auto"/>
              <w:rPr>
                <w:rFonts w:cs="Times New Roman"/>
                <w:szCs w:val="24"/>
                <w:lang w:val="en-GB"/>
              </w:rPr>
            </w:pPr>
            <w:r w:rsidRPr="00F50C10">
              <w:rPr>
                <w:rFonts w:cs="Times New Roman"/>
                <w:szCs w:val="24"/>
                <w:lang w:bidi="tr-TR"/>
              </w:rPr>
              <w:t xml:space="preserve">Viskon lifleri – </w:t>
            </w:r>
            <w:hyperlink w:anchor="bookmark415" w:history="1">
              <w:r w:rsidRPr="00F50C10">
                <w:rPr>
                  <w:rFonts w:cs="Times New Roman"/>
                  <w:szCs w:val="24"/>
                  <w:lang w:bidi="tr-TR"/>
                </w:rPr>
                <w:t>Bölüm 13.10</w:t>
              </w:r>
            </w:hyperlink>
          </w:p>
        </w:tc>
      </w:tr>
    </w:tbl>
    <w:p w14:paraId="09B6E0B0" w14:textId="4EA7F40E" w:rsidR="004704B5" w:rsidRPr="00F50C10" w:rsidRDefault="004704B5" w:rsidP="000B206D">
      <w:pPr>
        <w:spacing w:before="101" w:line="276" w:lineRule="auto"/>
        <w:rPr>
          <w:rFonts w:cs="Times New Roman"/>
          <w:szCs w:val="24"/>
        </w:rPr>
      </w:pPr>
      <w:bookmarkStart w:id="103" w:name="bookmark394"/>
      <w:r w:rsidRPr="00F50C10">
        <w:rPr>
          <w:rFonts w:cs="Times New Roman"/>
          <w:b/>
          <w:szCs w:val="24"/>
          <w:lang w:bidi="tr-TR"/>
        </w:rPr>
        <w:t>T</w:t>
      </w:r>
      <w:bookmarkEnd w:id="103"/>
      <w:r w:rsidRPr="00F50C10">
        <w:rPr>
          <w:rFonts w:cs="Times New Roman"/>
          <w:b/>
          <w:szCs w:val="24"/>
          <w:lang w:bidi="tr-TR"/>
        </w:rPr>
        <w:t>ablo 1: Farklı polimerler için bu bölümde açıklanan MET’lerin nasıl birlikte kullanılacağı</w:t>
      </w:r>
    </w:p>
    <w:p w14:paraId="47D688EB" w14:textId="77777777" w:rsidR="004704B5" w:rsidRPr="00F50C10" w:rsidRDefault="004704B5" w:rsidP="000B206D">
      <w:pPr>
        <w:spacing w:before="466" w:line="276" w:lineRule="auto"/>
        <w:rPr>
          <w:rFonts w:cs="Times New Roman"/>
          <w:szCs w:val="24"/>
        </w:rPr>
      </w:pPr>
      <w:r w:rsidRPr="00F50C10">
        <w:rPr>
          <w:rFonts w:cs="Times New Roman"/>
          <w:szCs w:val="24"/>
          <w:lang w:bidi="tr-TR"/>
        </w:rPr>
        <w:t>Poliamidler ve PET lifleri için gerçekleştirilen bilgi alışverişinde belirli MET ve MET seviyeleri hakkında sonuçlara varılamadığını, bu nedenle bu polimerler söz konusu olduğunda genel MET’in geçerli MET olarak kabul edildiğini ve MET seviyelerinin CWW dokümanında yer alanlar olarak kabul edildiğini unutmayın.</w:t>
      </w:r>
    </w:p>
    <w:p w14:paraId="0C4F7611" w14:textId="77777777" w:rsidR="004704B5" w:rsidRPr="00F50C10" w:rsidRDefault="004704B5" w:rsidP="000B206D">
      <w:pPr>
        <w:spacing w:before="216" w:line="276" w:lineRule="auto"/>
        <w:rPr>
          <w:rFonts w:cs="Times New Roman"/>
          <w:szCs w:val="24"/>
        </w:rPr>
      </w:pPr>
      <w:r w:rsidRPr="00F50C10">
        <w:rPr>
          <w:rFonts w:cs="Times New Roman"/>
          <w:szCs w:val="24"/>
          <w:lang w:bidi="tr-TR"/>
        </w:rPr>
        <w:t>Tüm teknikleri kapsamak mümkün olmadığından ve endüstrinin dinamik doğasının yanı sıra bu dokümanın zamanlılığından dolayı, bu dokümanda açıklanmamakla birlikte bu bölümde yer alan MET seviyelerini sağlayan veya geçen başka tekniklerin olması mümkündür.</w:t>
      </w:r>
    </w:p>
    <w:p w14:paraId="657F776E" w14:textId="77777777" w:rsidR="004704B5" w:rsidRPr="00F50C10" w:rsidRDefault="004704B5" w:rsidP="000B206D">
      <w:pPr>
        <w:spacing w:line="276" w:lineRule="auto"/>
        <w:rPr>
          <w:rFonts w:cs="Times New Roman"/>
          <w:szCs w:val="24"/>
        </w:rPr>
      </w:pPr>
    </w:p>
    <w:p w14:paraId="48FE2D8D" w14:textId="77777777" w:rsidR="006525C9" w:rsidRPr="00F50C10" w:rsidRDefault="006525C9" w:rsidP="00A654AE">
      <w:pPr>
        <w:pStyle w:val="ListeParagraf"/>
        <w:widowControl w:val="0"/>
        <w:numPr>
          <w:ilvl w:val="0"/>
          <w:numId w:val="180"/>
        </w:numPr>
        <w:autoSpaceDE w:val="0"/>
        <w:autoSpaceDN w:val="0"/>
        <w:spacing w:before="240" w:line="276" w:lineRule="auto"/>
        <w:jc w:val="left"/>
        <w:outlineLvl w:val="0"/>
        <w:rPr>
          <w:rFonts w:eastAsia="Times New Roman" w:cs="Times New Roman"/>
          <w:b/>
          <w:bCs/>
          <w:szCs w:val="24"/>
          <w:lang w:val="tr-TR"/>
        </w:rPr>
      </w:pPr>
      <w:r w:rsidRPr="00F50C10">
        <w:rPr>
          <w:rFonts w:eastAsia="Times New Roman" w:cs="Times New Roman"/>
          <w:b/>
          <w:bCs/>
          <w:szCs w:val="24"/>
          <w:lang w:val="tr-TR"/>
        </w:rPr>
        <w:t>Tanımlar</w:t>
      </w:r>
    </w:p>
    <w:p w14:paraId="7294000B" w14:textId="33CF3B18" w:rsidR="006525C9" w:rsidRPr="00F50C10" w:rsidRDefault="006525C9" w:rsidP="00A654AE">
      <w:pPr>
        <w:pStyle w:val="ListeParagraf"/>
        <w:widowControl w:val="0"/>
        <w:numPr>
          <w:ilvl w:val="1"/>
          <w:numId w:val="180"/>
        </w:numPr>
        <w:autoSpaceDE w:val="0"/>
        <w:autoSpaceDN w:val="0"/>
        <w:spacing w:before="240" w:line="276" w:lineRule="auto"/>
        <w:jc w:val="left"/>
        <w:outlineLvl w:val="0"/>
        <w:rPr>
          <w:rFonts w:eastAsia="Times New Roman" w:cs="Times New Roman"/>
          <w:b/>
          <w:bCs/>
          <w:szCs w:val="24"/>
          <w:lang w:val="tr-TR"/>
        </w:rPr>
      </w:pPr>
      <w:r w:rsidRPr="00F50C10">
        <w:rPr>
          <w:rFonts w:eastAsia="Times New Roman" w:cs="Times New Roman"/>
          <w:b/>
          <w:bCs/>
          <w:szCs w:val="24"/>
          <w:lang w:val="tr-TR"/>
        </w:rPr>
        <w:t>Polimer Sektörüne Yönelik Tanımlar</w:t>
      </w:r>
    </w:p>
    <w:tbl>
      <w:tblPr>
        <w:tblW w:w="5000" w:type="pct"/>
        <w:jc w:val="center"/>
        <w:tblCellMar>
          <w:left w:w="57" w:type="dxa"/>
          <w:right w:w="57" w:type="dxa"/>
        </w:tblCellMar>
        <w:tblLook w:val="0000" w:firstRow="0" w:lastRow="0" w:firstColumn="0" w:lastColumn="0" w:noHBand="0" w:noVBand="0"/>
      </w:tblPr>
      <w:tblGrid>
        <w:gridCol w:w="1874"/>
        <w:gridCol w:w="7182"/>
      </w:tblGrid>
      <w:tr w:rsidR="006525C9" w:rsidRPr="00F50C10" w14:paraId="3A284F24" w14:textId="77777777" w:rsidTr="006E1E93">
        <w:trPr>
          <w:tblHeader/>
          <w:jc w:val="center"/>
        </w:trPr>
        <w:tc>
          <w:tcPr>
            <w:tcW w:w="987" w:type="pct"/>
            <w:tcBorders>
              <w:top w:val="single" w:sz="6" w:space="0" w:color="auto"/>
              <w:left w:val="single" w:sz="6" w:space="0" w:color="auto"/>
              <w:bottom w:val="single" w:sz="6" w:space="0" w:color="auto"/>
              <w:right w:val="single" w:sz="6" w:space="0" w:color="auto"/>
            </w:tcBorders>
            <w:shd w:val="clear" w:color="auto" w:fill="auto"/>
            <w:vAlign w:val="center"/>
          </w:tcPr>
          <w:p w14:paraId="3A952256" w14:textId="77777777" w:rsidR="006525C9" w:rsidRPr="00F50C10" w:rsidRDefault="006525C9" w:rsidP="000B206D">
            <w:pPr>
              <w:spacing w:line="276" w:lineRule="auto"/>
              <w:rPr>
                <w:rFonts w:cs="Times New Roman"/>
                <w:b/>
                <w:szCs w:val="24"/>
              </w:rPr>
            </w:pPr>
            <w:r w:rsidRPr="00F50C10">
              <w:rPr>
                <w:rFonts w:cs="Times New Roman"/>
                <w:b/>
                <w:szCs w:val="24"/>
              </w:rPr>
              <w:t>Kullanılan terim</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6530660" w14:textId="77777777" w:rsidR="006525C9" w:rsidRPr="00F50C10" w:rsidRDefault="006525C9" w:rsidP="000B206D">
            <w:pPr>
              <w:spacing w:line="276" w:lineRule="auto"/>
              <w:rPr>
                <w:rFonts w:cs="Times New Roman"/>
                <w:b/>
                <w:szCs w:val="24"/>
              </w:rPr>
            </w:pPr>
            <w:r w:rsidRPr="00F50C10">
              <w:rPr>
                <w:rFonts w:cs="Times New Roman"/>
                <w:b/>
                <w:szCs w:val="24"/>
              </w:rPr>
              <w:t>Tanım</w:t>
            </w:r>
          </w:p>
        </w:tc>
      </w:tr>
      <w:tr w:rsidR="006525C9" w:rsidRPr="00F50C10" w14:paraId="5777FE8E"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770EFBF" w14:textId="77777777" w:rsidR="006525C9" w:rsidRPr="00F50C10" w:rsidRDefault="006525C9" w:rsidP="000B206D">
            <w:pPr>
              <w:spacing w:line="276" w:lineRule="auto"/>
              <w:rPr>
                <w:rFonts w:cs="Times New Roman"/>
                <w:szCs w:val="24"/>
                <w:lang w:bidi="tr-TR"/>
              </w:rPr>
            </w:pPr>
            <w:r w:rsidRPr="00F50C10">
              <w:rPr>
                <w:rFonts w:cs="Times New Roman"/>
                <w:szCs w:val="24"/>
              </w:rPr>
              <w:t>ABS</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2AA39CC" w14:textId="77777777" w:rsidR="006525C9" w:rsidRPr="00F50C10" w:rsidRDefault="006525C9" w:rsidP="000B206D">
            <w:pPr>
              <w:spacing w:line="276" w:lineRule="auto"/>
              <w:rPr>
                <w:rFonts w:cs="Times New Roman"/>
                <w:szCs w:val="24"/>
                <w:lang w:bidi="tr-TR"/>
              </w:rPr>
            </w:pPr>
            <w:r w:rsidRPr="00F50C10">
              <w:rPr>
                <w:rFonts w:cs="Times New Roman"/>
                <w:szCs w:val="24"/>
              </w:rPr>
              <w:t>poliakrilonitril-bütadien-stiren</w:t>
            </w:r>
          </w:p>
        </w:tc>
      </w:tr>
      <w:tr w:rsidR="006525C9" w:rsidRPr="00F50C10" w14:paraId="0B2B6394"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16D7750" w14:textId="77777777" w:rsidR="006525C9" w:rsidRPr="00F50C10" w:rsidRDefault="006525C9" w:rsidP="000B206D">
            <w:pPr>
              <w:spacing w:line="276" w:lineRule="auto"/>
              <w:rPr>
                <w:rFonts w:cs="Times New Roman"/>
                <w:szCs w:val="24"/>
              </w:rPr>
            </w:pPr>
            <w:r w:rsidRPr="00F50C10">
              <w:rPr>
                <w:rFonts w:cs="Times New Roman"/>
                <w:szCs w:val="24"/>
              </w:rPr>
              <w:t>AC</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F870DDB" w14:textId="77777777" w:rsidR="006525C9" w:rsidRPr="00F50C10" w:rsidRDefault="006525C9" w:rsidP="000B206D">
            <w:pPr>
              <w:spacing w:line="276" w:lineRule="auto"/>
              <w:rPr>
                <w:rFonts w:cs="Times New Roman"/>
                <w:szCs w:val="24"/>
              </w:rPr>
            </w:pPr>
            <w:r w:rsidRPr="00F50C10">
              <w:rPr>
                <w:rFonts w:cs="Times New Roman"/>
                <w:szCs w:val="24"/>
              </w:rPr>
              <w:t>alkali selüloz</w:t>
            </w:r>
          </w:p>
        </w:tc>
      </w:tr>
      <w:tr w:rsidR="006525C9" w:rsidRPr="00F50C10" w14:paraId="58406F5C"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A97D027" w14:textId="77777777" w:rsidR="006525C9" w:rsidRPr="00F50C10" w:rsidRDefault="006525C9" w:rsidP="000B206D">
            <w:pPr>
              <w:spacing w:line="276" w:lineRule="auto"/>
              <w:rPr>
                <w:rFonts w:cs="Times New Roman"/>
                <w:szCs w:val="24"/>
              </w:rPr>
            </w:pPr>
            <w:r w:rsidRPr="00F50C10">
              <w:rPr>
                <w:rFonts w:cs="Times New Roman"/>
                <w:szCs w:val="24"/>
              </w:rPr>
              <w:t>AH tuzu</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D192229" w14:textId="77777777" w:rsidR="006525C9" w:rsidRPr="00F50C10" w:rsidRDefault="006525C9" w:rsidP="000B206D">
            <w:pPr>
              <w:spacing w:line="276" w:lineRule="auto"/>
              <w:rPr>
                <w:rFonts w:cs="Times New Roman"/>
                <w:szCs w:val="24"/>
              </w:rPr>
            </w:pPr>
            <w:r w:rsidRPr="00F50C10">
              <w:rPr>
                <w:rFonts w:cs="Times New Roman"/>
                <w:szCs w:val="24"/>
              </w:rPr>
              <w:t>1.6 heksametilendiamin ve 1.6 heksandikarboksilik asidin reaksiyonuyla elde edilen organik tuz</w:t>
            </w:r>
          </w:p>
        </w:tc>
      </w:tr>
      <w:tr w:rsidR="006525C9" w:rsidRPr="00F50C10" w14:paraId="2BBC7482"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AFD0EEA" w14:textId="77777777" w:rsidR="006525C9" w:rsidRPr="00F50C10" w:rsidRDefault="006525C9" w:rsidP="000B206D">
            <w:pPr>
              <w:spacing w:line="276" w:lineRule="auto"/>
              <w:rPr>
                <w:rFonts w:cs="Times New Roman"/>
                <w:szCs w:val="24"/>
              </w:rPr>
            </w:pPr>
            <w:r w:rsidRPr="00F50C10">
              <w:rPr>
                <w:rFonts w:cs="Times New Roman"/>
                <w:szCs w:val="24"/>
              </w:rPr>
              <w:t>AK</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931EF77" w14:textId="77777777" w:rsidR="006525C9" w:rsidRPr="00F50C10" w:rsidRDefault="006525C9" w:rsidP="000B206D">
            <w:pPr>
              <w:spacing w:line="276" w:lineRule="auto"/>
              <w:rPr>
                <w:rFonts w:cs="Times New Roman"/>
                <w:szCs w:val="24"/>
              </w:rPr>
            </w:pPr>
            <w:r w:rsidRPr="00F50C10">
              <w:rPr>
                <w:rFonts w:cs="Times New Roman"/>
                <w:szCs w:val="24"/>
              </w:rPr>
              <w:t>askıda katılar (içerik) (suda) (ayrıca bkz. TAKM)</w:t>
            </w:r>
          </w:p>
        </w:tc>
      </w:tr>
      <w:tr w:rsidR="006525C9" w:rsidRPr="00F50C10" w14:paraId="2E5B2141"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7CE759E" w14:textId="77777777" w:rsidR="006525C9" w:rsidRPr="00F50C10" w:rsidRDefault="006525C9" w:rsidP="000B206D">
            <w:pPr>
              <w:spacing w:line="276" w:lineRule="auto"/>
              <w:rPr>
                <w:rFonts w:cs="Times New Roman"/>
                <w:szCs w:val="24"/>
              </w:rPr>
            </w:pPr>
            <w:r w:rsidRPr="00F50C10">
              <w:rPr>
                <w:rFonts w:cs="Times New Roman"/>
                <w:szCs w:val="24"/>
              </w:rPr>
              <w:t>Akifer</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68318CC" w14:textId="77777777" w:rsidR="006525C9" w:rsidRPr="00F50C10" w:rsidRDefault="006525C9" w:rsidP="000B206D">
            <w:pPr>
              <w:spacing w:line="276" w:lineRule="auto"/>
              <w:rPr>
                <w:rFonts w:cs="Times New Roman"/>
                <w:szCs w:val="24"/>
              </w:rPr>
            </w:pPr>
            <w:r w:rsidRPr="00F50C10">
              <w:rPr>
                <w:rFonts w:cs="Times New Roman"/>
                <w:szCs w:val="24"/>
              </w:rPr>
              <w:t>bir kuyuya veya kaynağa kullanılabilir miktarda su verebilen bir su taşıyıcı kaya tabakası (çakıl ve kum dahil)</w:t>
            </w:r>
          </w:p>
        </w:tc>
      </w:tr>
      <w:tr w:rsidR="006525C9" w:rsidRPr="00F50C10" w14:paraId="00988020"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917779A" w14:textId="77777777" w:rsidR="006525C9" w:rsidRPr="00F50C10" w:rsidRDefault="006525C9" w:rsidP="000B206D">
            <w:pPr>
              <w:spacing w:line="276" w:lineRule="auto"/>
              <w:rPr>
                <w:rFonts w:cs="Times New Roman"/>
                <w:szCs w:val="24"/>
              </w:rPr>
            </w:pPr>
            <w:r w:rsidRPr="00F50C10">
              <w:rPr>
                <w:rFonts w:cs="Times New Roman"/>
                <w:szCs w:val="24"/>
              </w:rPr>
              <w:t>AOCl</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454499B" w14:textId="77777777" w:rsidR="006525C9" w:rsidRPr="00F50C10" w:rsidRDefault="006525C9" w:rsidP="000B206D">
            <w:pPr>
              <w:spacing w:line="276" w:lineRule="auto"/>
              <w:rPr>
                <w:rFonts w:cs="Times New Roman"/>
                <w:szCs w:val="24"/>
              </w:rPr>
            </w:pPr>
            <w:r w:rsidRPr="00F50C10">
              <w:rPr>
                <w:rFonts w:cs="Times New Roman"/>
                <w:szCs w:val="24"/>
              </w:rPr>
              <w:t>adsorplanabilir organik klor bileşikleri</w:t>
            </w:r>
          </w:p>
        </w:tc>
      </w:tr>
      <w:tr w:rsidR="006525C9" w:rsidRPr="00F50C10" w14:paraId="458F513B"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57803AB" w14:textId="77777777" w:rsidR="006525C9" w:rsidRPr="00F50C10" w:rsidRDefault="006525C9" w:rsidP="000B206D">
            <w:pPr>
              <w:spacing w:line="276" w:lineRule="auto"/>
              <w:rPr>
                <w:rFonts w:cs="Times New Roman"/>
                <w:szCs w:val="24"/>
              </w:rPr>
            </w:pPr>
            <w:r w:rsidRPr="00F50C10">
              <w:rPr>
                <w:rFonts w:cs="Times New Roman"/>
                <w:szCs w:val="24"/>
              </w:rPr>
              <w:t>AOX</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831B23B" w14:textId="77777777" w:rsidR="006525C9" w:rsidRPr="00F50C10" w:rsidRDefault="006525C9" w:rsidP="000B206D">
            <w:pPr>
              <w:spacing w:line="276" w:lineRule="auto"/>
              <w:rPr>
                <w:rFonts w:cs="Times New Roman"/>
                <w:szCs w:val="24"/>
              </w:rPr>
            </w:pPr>
            <w:r w:rsidRPr="00F50C10">
              <w:rPr>
                <w:rFonts w:cs="Times New Roman"/>
                <w:szCs w:val="24"/>
              </w:rPr>
              <w:t>adsorplanabilir organik halojen bileşikleri. Bir su numunesinde mevcut olan, aktifleştirilmiş karbon tarafından soğurulabilen tüm halojen bileşiklerinin (flor hariç), klor olarak ifade edilen, bir litredeki miligram cinsinden derişimi.</w:t>
            </w:r>
          </w:p>
        </w:tc>
      </w:tr>
      <w:tr w:rsidR="006525C9" w:rsidRPr="00F50C10" w14:paraId="7A08B8CB"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262C2F6F" w14:textId="77777777" w:rsidR="006525C9" w:rsidRPr="00F50C10" w:rsidRDefault="006525C9" w:rsidP="000B206D">
            <w:pPr>
              <w:spacing w:line="276" w:lineRule="auto"/>
              <w:rPr>
                <w:rFonts w:cs="Times New Roman"/>
                <w:szCs w:val="24"/>
              </w:rPr>
            </w:pPr>
            <w:r w:rsidRPr="00F50C10">
              <w:rPr>
                <w:rFonts w:cs="Times New Roman"/>
                <w:szCs w:val="24"/>
              </w:rPr>
              <w:t>APE</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824777D" w14:textId="77777777" w:rsidR="006525C9" w:rsidRPr="00F50C10" w:rsidRDefault="006525C9" w:rsidP="000B206D">
            <w:pPr>
              <w:spacing w:line="276" w:lineRule="auto"/>
              <w:rPr>
                <w:rFonts w:cs="Times New Roman"/>
                <w:szCs w:val="24"/>
              </w:rPr>
            </w:pPr>
            <w:r w:rsidRPr="00F50C10">
              <w:rPr>
                <w:rFonts w:cs="Times New Roman"/>
                <w:szCs w:val="24"/>
              </w:rPr>
              <w:t>alkil fenol etoksilatlar</w:t>
            </w:r>
          </w:p>
        </w:tc>
      </w:tr>
      <w:tr w:rsidR="006525C9" w:rsidRPr="00F50C10" w14:paraId="37801D41"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BA64167" w14:textId="77777777" w:rsidR="006525C9" w:rsidRPr="00F50C10" w:rsidRDefault="006525C9" w:rsidP="000B206D">
            <w:pPr>
              <w:spacing w:line="276" w:lineRule="auto"/>
              <w:rPr>
                <w:rFonts w:cs="Times New Roman"/>
                <w:szCs w:val="24"/>
              </w:rPr>
            </w:pPr>
            <w:r w:rsidRPr="00F50C10">
              <w:rPr>
                <w:rFonts w:cs="Times New Roman"/>
                <w:szCs w:val="24"/>
              </w:rPr>
              <w:t>API ayırıcı</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7427D76B" w14:textId="77777777" w:rsidR="006525C9" w:rsidRPr="00F50C10" w:rsidRDefault="006525C9" w:rsidP="000B206D">
            <w:pPr>
              <w:spacing w:line="276" w:lineRule="auto"/>
              <w:rPr>
                <w:rFonts w:cs="Times New Roman"/>
                <w:szCs w:val="24"/>
              </w:rPr>
            </w:pPr>
            <w:r w:rsidRPr="00F50C10">
              <w:rPr>
                <w:rFonts w:cs="Times New Roman"/>
                <w:szCs w:val="24"/>
              </w:rPr>
              <w:t>petrol/su/çamur ayırıcı (Amerikan Petrol Enstitüsü tarafından geliştirilmiştir)</w:t>
            </w:r>
          </w:p>
        </w:tc>
      </w:tr>
      <w:tr w:rsidR="006525C9" w:rsidRPr="00F50C10" w14:paraId="7B654584"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48EF2A58" w14:textId="77777777" w:rsidR="006525C9" w:rsidRPr="00F50C10" w:rsidRDefault="006525C9" w:rsidP="000B206D">
            <w:pPr>
              <w:spacing w:line="276" w:lineRule="auto"/>
              <w:rPr>
                <w:rFonts w:cs="Times New Roman"/>
                <w:szCs w:val="24"/>
              </w:rPr>
            </w:pPr>
            <w:r w:rsidRPr="00F50C10">
              <w:rPr>
                <w:rFonts w:cs="Times New Roman"/>
                <w:szCs w:val="24"/>
              </w:rPr>
              <w:t>ASA</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A3842BE" w14:textId="77777777" w:rsidR="006525C9" w:rsidRPr="00F50C10" w:rsidRDefault="006525C9" w:rsidP="000B206D">
            <w:pPr>
              <w:spacing w:line="276" w:lineRule="auto"/>
              <w:rPr>
                <w:rFonts w:cs="Times New Roman"/>
                <w:szCs w:val="24"/>
              </w:rPr>
            </w:pPr>
            <w:r w:rsidRPr="00F50C10">
              <w:rPr>
                <w:rFonts w:cs="Times New Roman"/>
                <w:szCs w:val="24"/>
              </w:rPr>
              <w:t>akrilonitril stiren akrilat</w:t>
            </w:r>
          </w:p>
        </w:tc>
      </w:tr>
      <w:tr w:rsidR="006525C9" w:rsidRPr="00F50C10" w14:paraId="5624B01F"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728D8A1" w14:textId="77777777" w:rsidR="006525C9" w:rsidRPr="00F50C10" w:rsidRDefault="006525C9" w:rsidP="000B206D">
            <w:pPr>
              <w:spacing w:line="276" w:lineRule="auto"/>
              <w:rPr>
                <w:rFonts w:cs="Times New Roman"/>
                <w:szCs w:val="24"/>
              </w:rPr>
            </w:pPr>
            <w:r w:rsidRPr="00F50C10">
              <w:rPr>
                <w:rFonts w:cs="Times New Roman"/>
                <w:szCs w:val="24"/>
              </w:rPr>
              <w:t>Bakteri kıran</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750B861B" w14:textId="77777777" w:rsidR="006525C9" w:rsidRPr="00F50C10" w:rsidRDefault="006525C9" w:rsidP="000B206D">
            <w:pPr>
              <w:spacing w:line="276" w:lineRule="auto"/>
              <w:rPr>
                <w:rFonts w:cs="Times New Roman"/>
                <w:szCs w:val="24"/>
              </w:rPr>
            </w:pPr>
            <w:r w:rsidRPr="00F50C10">
              <w:rPr>
                <w:rFonts w:cs="Times New Roman"/>
                <w:szCs w:val="24"/>
              </w:rPr>
              <w:t>bakterileri kontrol etmek veya yok etmek için kullanılan bir pestisit</w:t>
            </w:r>
          </w:p>
        </w:tc>
      </w:tr>
      <w:tr w:rsidR="006525C9" w:rsidRPr="00F50C10" w14:paraId="659D44C8"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588567E8" w14:textId="77777777" w:rsidR="006525C9" w:rsidRPr="00F50C10" w:rsidRDefault="006525C9" w:rsidP="000B206D">
            <w:pPr>
              <w:spacing w:line="276" w:lineRule="auto"/>
              <w:rPr>
                <w:rFonts w:cs="Times New Roman"/>
                <w:szCs w:val="24"/>
              </w:rPr>
            </w:pPr>
            <w:r w:rsidRPr="00F50C10">
              <w:rPr>
                <w:rFonts w:cs="Times New Roman"/>
                <w:szCs w:val="24"/>
              </w:rPr>
              <w:t>BCF</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0F01689" w14:textId="77777777" w:rsidR="006525C9" w:rsidRPr="00F50C10" w:rsidRDefault="006525C9" w:rsidP="000B206D">
            <w:pPr>
              <w:spacing w:line="276" w:lineRule="auto"/>
              <w:rPr>
                <w:rFonts w:cs="Times New Roman"/>
                <w:szCs w:val="24"/>
              </w:rPr>
            </w:pPr>
            <w:r w:rsidRPr="00F50C10">
              <w:rPr>
                <w:rFonts w:cs="Times New Roman"/>
                <w:szCs w:val="24"/>
              </w:rPr>
              <w:t>kesintisiz sürekli filament</w:t>
            </w:r>
          </w:p>
        </w:tc>
      </w:tr>
      <w:tr w:rsidR="006525C9" w:rsidRPr="00F50C10" w14:paraId="45CDD10E"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5D64A3A4" w14:textId="77777777" w:rsidR="006525C9" w:rsidRPr="00F50C10" w:rsidRDefault="006525C9" w:rsidP="000B206D">
            <w:pPr>
              <w:spacing w:line="276" w:lineRule="auto"/>
              <w:rPr>
                <w:rFonts w:cs="Times New Roman"/>
                <w:szCs w:val="24"/>
              </w:rPr>
            </w:pPr>
            <w:r w:rsidRPr="00F50C10">
              <w:rPr>
                <w:rFonts w:cs="Times New Roman"/>
                <w:szCs w:val="24"/>
              </w:rPr>
              <w:t>BFO</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78E6B57F" w14:textId="77777777" w:rsidR="006525C9" w:rsidRPr="00F50C10" w:rsidRDefault="006525C9" w:rsidP="000B206D">
            <w:pPr>
              <w:spacing w:line="276" w:lineRule="auto"/>
              <w:rPr>
                <w:rFonts w:cs="Times New Roman"/>
                <w:szCs w:val="24"/>
              </w:rPr>
            </w:pPr>
            <w:r w:rsidRPr="00F50C10">
              <w:rPr>
                <w:rFonts w:cs="Times New Roman"/>
                <w:szCs w:val="24"/>
              </w:rPr>
              <w:t>bunker fuel oil</w:t>
            </w:r>
          </w:p>
        </w:tc>
      </w:tr>
      <w:tr w:rsidR="006525C9" w:rsidRPr="00F50C10" w14:paraId="2F743AF8"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03D9F31C" w14:textId="0B70986D" w:rsidR="006525C9" w:rsidRPr="00F50C10" w:rsidRDefault="006525C9" w:rsidP="000B206D">
            <w:pPr>
              <w:spacing w:line="276" w:lineRule="auto"/>
              <w:rPr>
                <w:rFonts w:cs="Times New Roman"/>
                <w:szCs w:val="24"/>
              </w:rPr>
            </w:pP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5B5037A9" w14:textId="0FE97D17" w:rsidR="006525C9" w:rsidRPr="00F50C10" w:rsidRDefault="006525C9" w:rsidP="000B206D">
            <w:pPr>
              <w:spacing w:line="276" w:lineRule="auto"/>
              <w:rPr>
                <w:rFonts w:cs="Times New Roman"/>
                <w:szCs w:val="24"/>
              </w:rPr>
            </w:pPr>
          </w:p>
        </w:tc>
      </w:tr>
      <w:tr w:rsidR="006525C9" w:rsidRPr="00F50C10" w14:paraId="34DB3777"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906F724" w14:textId="77777777" w:rsidR="006525C9" w:rsidRPr="00F50C10" w:rsidRDefault="006525C9" w:rsidP="000B206D">
            <w:pPr>
              <w:spacing w:line="276" w:lineRule="auto"/>
              <w:rPr>
                <w:rFonts w:cs="Times New Roman"/>
                <w:szCs w:val="24"/>
              </w:rPr>
            </w:pPr>
            <w:r w:rsidRPr="00F50C10">
              <w:rPr>
                <w:rFonts w:cs="Times New Roman"/>
                <w:szCs w:val="24"/>
              </w:rPr>
              <w:t>Biyobozunur</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3B43D8A6" w14:textId="77777777" w:rsidR="006525C9" w:rsidRPr="00F50C10" w:rsidRDefault="006525C9" w:rsidP="000B206D">
            <w:pPr>
              <w:spacing w:line="276" w:lineRule="auto"/>
              <w:rPr>
                <w:rFonts w:cs="Times New Roman"/>
                <w:szCs w:val="24"/>
              </w:rPr>
            </w:pPr>
            <w:r w:rsidRPr="00F50C10">
              <w:rPr>
                <w:rFonts w:cs="Times New Roman"/>
                <w:szCs w:val="24"/>
              </w:rPr>
              <w:t>mikroorganizmalar veya diğer biyolojik ortamlar tarafından fiziksel ve/veya kimyasal olarak parçalanabilen. Örneğin birçok kimyasal, gıda artıkları, pamuk, yün ve kağıt biyobozunurdur.</w:t>
            </w:r>
          </w:p>
        </w:tc>
      </w:tr>
      <w:tr w:rsidR="006525C9" w:rsidRPr="00F50C10" w14:paraId="184B5CB9"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58EB9DEE" w14:textId="77777777" w:rsidR="006525C9" w:rsidRPr="00F50C10" w:rsidRDefault="006525C9" w:rsidP="000B206D">
            <w:pPr>
              <w:spacing w:line="276" w:lineRule="auto"/>
              <w:rPr>
                <w:rFonts w:cs="Times New Roman"/>
                <w:szCs w:val="24"/>
              </w:rPr>
            </w:pPr>
            <w:r w:rsidRPr="00F50C10">
              <w:rPr>
                <w:rFonts w:cs="Times New Roman"/>
                <w:szCs w:val="24"/>
              </w:rPr>
              <w:t>Biyokimyasallar</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2169B29" w14:textId="77777777" w:rsidR="006525C9" w:rsidRPr="00F50C10" w:rsidRDefault="006525C9" w:rsidP="000B206D">
            <w:pPr>
              <w:spacing w:line="276" w:lineRule="auto"/>
              <w:rPr>
                <w:rFonts w:cs="Times New Roman"/>
                <w:szCs w:val="24"/>
              </w:rPr>
            </w:pPr>
            <w:r w:rsidRPr="00F50C10">
              <w:rPr>
                <w:rFonts w:cs="Times New Roman"/>
                <w:szCs w:val="24"/>
              </w:rPr>
              <w:t>doğal yollarla oluşan veya doğal yollarla oluşanlarla eşdeğer olan kimyasallar. Hormonlar, feromonlar ve enzimler bunlara örnektir. Biyokimyasallar; böceklerin çiftleşme modellerini bozma, büyümeyi düzenleme veya kovucu görevi görme gibi zehirsiz ve öldürücü olmayan etki şekilleriyle pestisit görevi görür</w:t>
            </w:r>
          </w:p>
        </w:tc>
      </w:tr>
      <w:tr w:rsidR="006525C9" w:rsidRPr="00F50C10" w14:paraId="19F348D4"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E30DD1B" w14:textId="77777777" w:rsidR="006525C9" w:rsidRPr="00F50C10" w:rsidRDefault="006525C9" w:rsidP="000B206D">
            <w:pPr>
              <w:spacing w:line="276" w:lineRule="auto"/>
              <w:rPr>
                <w:rFonts w:cs="Times New Roman"/>
                <w:szCs w:val="24"/>
              </w:rPr>
            </w:pPr>
            <w:r w:rsidRPr="00F50C10">
              <w:rPr>
                <w:rFonts w:cs="Times New Roman"/>
                <w:szCs w:val="24"/>
              </w:rPr>
              <w:t>BOİ</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539F1B9D" w14:textId="77777777" w:rsidR="006525C9" w:rsidRPr="00F50C10" w:rsidRDefault="006525C9" w:rsidP="000B206D">
            <w:pPr>
              <w:spacing w:line="276" w:lineRule="auto"/>
              <w:rPr>
                <w:rFonts w:cs="Times New Roman"/>
                <w:szCs w:val="24"/>
              </w:rPr>
            </w:pPr>
            <w:r w:rsidRPr="00F50C10">
              <w:rPr>
                <w:rFonts w:cs="Times New Roman"/>
                <w:szCs w:val="24"/>
              </w:rPr>
              <w:t>biyokimyasal oksijen ihtiyacı: organik maddeyi ayrıştırmak için mikroorganizmalar tarafından ihtiyaç duyulan çözülmüş oksijen miktarı. Ölçüm birimi mg O2/l’dir. Avrupa'da BOİ genellikle 3 (BOİ3), 5 (BOİ5) veya 7 (BOİ7) gün sonra ölçülür.</w:t>
            </w:r>
          </w:p>
        </w:tc>
      </w:tr>
      <w:tr w:rsidR="006525C9" w:rsidRPr="00F50C10" w14:paraId="15387E80"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253DAAFC" w14:textId="26979852" w:rsidR="006525C9" w:rsidRPr="00F50C10" w:rsidRDefault="006525C9" w:rsidP="000B206D">
            <w:pPr>
              <w:spacing w:line="276" w:lineRule="auto"/>
              <w:rPr>
                <w:rFonts w:cs="Times New Roman"/>
                <w:szCs w:val="24"/>
              </w:rPr>
            </w:pP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9D54157" w14:textId="0927B37C" w:rsidR="006525C9" w:rsidRPr="00F50C10" w:rsidRDefault="006525C9" w:rsidP="000B206D">
            <w:pPr>
              <w:spacing w:line="276" w:lineRule="auto"/>
              <w:rPr>
                <w:rFonts w:cs="Times New Roman"/>
                <w:szCs w:val="24"/>
              </w:rPr>
            </w:pPr>
          </w:p>
        </w:tc>
      </w:tr>
      <w:tr w:rsidR="006525C9" w:rsidRPr="00F50C10" w14:paraId="44D6A88E"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359AA73" w14:textId="77777777" w:rsidR="006525C9" w:rsidRPr="00F50C10" w:rsidRDefault="006525C9" w:rsidP="000B206D">
            <w:pPr>
              <w:spacing w:line="276" w:lineRule="auto"/>
              <w:rPr>
                <w:rFonts w:cs="Times New Roman"/>
                <w:szCs w:val="24"/>
              </w:rPr>
            </w:pPr>
            <w:r w:rsidRPr="00F50C10">
              <w:rPr>
                <w:rFonts w:cs="Times New Roman"/>
                <w:szCs w:val="24"/>
              </w:rPr>
              <w:t>BPU</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1ECCF3A" w14:textId="77777777" w:rsidR="006525C9" w:rsidRPr="00F50C10" w:rsidRDefault="006525C9" w:rsidP="000B206D">
            <w:pPr>
              <w:spacing w:line="276" w:lineRule="auto"/>
              <w:rPr>
                <w:rFonts w:cs="Times New Roman"/>
                <w:szCs w:val="24"/>
              </w:rPr>
            </w:pPr>
            <w:r w:rsidRPr="00F50C10">
              <w:rPr>
                <w:rFonts w:cs="Times New Roman"/>
                <w:szCs w:val="24"/>
              </w:rPr>
              <w:t>kesikli polimerizasyon ünitesi</w:t>
            </w:r>
          </w:p>
        </w:tc>
      </w:tr>
      <w:tr w:rsidR="006525C9" w:rsidRPr="00F50C10" w14:paraId="39D2AF5D"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A0D2A2C" w14:textId="77777777" w:rsidR="006525C9" w:rsidRPr="00F50C10" w:rsidRDefault="006525C9" w:rsidP="000B206D">
            <w:pPr>
              <w:spacing w:line="276" w:lineRule="auto"/>
              <w:rPr>
                <w:rFonts w:cs="Times New Roman"/>
                <w:szCs w:val="24"/>
              </w:rPr>
            </w:pPr>
            <w:r w:rsidRPr="00F50C10">
              <w:rPr>
                <w:rFonts w:cs="Times New Roman"/>
                <w:szCs w:val="24"/>
              </w:rPr>
              <w:t>BR</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617CAF9" w14:textId="77777777" w:rsidR="006525C9" w:rsidRPr="00F50C10" w:rsidRDefault="006525C9" w:rsidP="000B206D">
            <w:pPr>
              <w:spacing w:line="276" w:lineRule="auto"/>
              <w:rPr>
                <w:rFonts w:cs="Times New Roman"/>
                <w:szCs w:val="24"/>
              </w:rPr>
            </w:pPr>
            <w:r w:rsidRPr="00F50C10">
              <w:rPr>
                <w:rFonts w:cs="Times New Roman"/>
                <w:szCs w:val="24"/>
              </w:rPr>
              <w:t>Bütadien kauçuk</w:t>
            </w:r>
          </w:p>
        </w:tc>
      </w:tr>
      <w:tr w:rsidR="006525C9" w:rsidRPr="00F50C10" w14:paraId="2F0BF7FB"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629E54C1" w14:textId="77777777" w:rsidR="006525C9" w:rsidRPr="00F50C10" w:rsidRDefault="006525C9" w:rsidP="000B206D">
            <w:pPr>
              <w:spacing w:line="276" w:lineRule="auto"/>
              <w:rPr>
                <w:rFonts w:cs="Times New Roman"/>
                <w:szCs w:val="24"/>
              </w:rPr>
            </w:pPr>
            <w:r w:rsidRPr="00F50C10">
              <w:rPr>
                <w:rFonts w:cs="Times New Roman"/>
                <w:szCs w:val="24"/>
              </w:rPr>
              <w:t>BTEX</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F266560" w14:textId="77777777" w:rsidR="006525C9" w:rsidRPr="00F50C10" w:rsidRDefault="006525C9" w:rsidP="000B206D">
            <w:pPr>
              <w:spacing w:line="276" w:lineRule="auto"/>
              <w:rPr>
                <w:rFonts w:cs="Times New Roman"/>
                <w:szCs w:val="24"/>
              </w:rPr>
            </w:pPr>
            <w:r w:rsidRPr="00F50C10">
              <w:rPr>
                <w:rFonts w:cs="Times New Roman"/>
                <w:szCs w:val="24"/>
              </w:rPr>
              <w:t>benzen, toluen, etilbenzen, ksilen</w:t>
            </w:r>
          </w:p>
        </w:tc>
      </w:tr>
      <w:tr w:rsidR="006525C9" w:rsidRPr="00F50C10" w14:paraId="58CBC41A"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935256E" w14:textId="77777777" w:rsidR="006525C9" w:rsidRPr="00F50C10" w:rsidRDefault="006525C9" w:rsidP="000B206D">
            <w:pPr>
              <w:spacing w:line="276" w:lineRule="auto"/>
              <w:rPr>
                <w:rFonts w:cs="Times New Roman"/>
                <w:szCs w:val="24"/>
              </w:rPr>
            </w:pPr>
            <w:r w:rsidRPr="00F50C10">
              <w:rPr>
                <w:rFonts w:cs="Times New Roman"/>
                <w:szCs w:val="24"/>
              </w:rPr>
              <w:t>BTX</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6E9F795" w14:textId="77777777" w:rsidR="006525C9" w:rsidRPr="00F50C10" w:rsidRDefault="006525C9" w:rsidP="000B206D">
            <w:pPr>
              <w:spacing w:line="276" w:lineRule="auto"/>
              <w:rPr>
                <w:rFonts w:cs="Times New Roman"/>
                <w:szCs w:val="24"/>
              </w:rPr>
            </w:pPr>
            <w:r w:rsidRPr="00F50C10">
              <w:rPr>
                <w:rFonts w:cs="Times New Roman"/>
                <w:szCs w:val="24"/>
              </w:rPr>
              <w:t>benzen, toluen, ksilen</w:t>
            </w:r>
          </w:p>
        </w:tc>
      </w:tr>
      <w:tr w:rsidR="006525C9" w:rsidRPr="00F50C10" w14:paraId="2DE864AF"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C2F0365" w14:textId="77777777" w:rsidR="006525C9" w:rsidRPr="00F50C10" w:rsidRDefault="006525C9" w:rsidP="000B206D">
            <w:pPr>
              <w:spacing w:line="276" w:lineRule="auto"/>
              <w:rPr>
                <w:rFonts w:cs="Times New Roman"/>
                <w:szCs w:val="24"/>
              </w:rPr>
            </w:pPr>
            <w:r w:rsidRPr="00F50C10">
              <w:rPr>
                <w:rFonts w:cs="Times New Roman"/>
                <w:szCs w:val="24"/>
              </w:rPr>
              <w:t>CCR</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52A20D63" w14:textId="77777777" w:rsidR="006525C9" w:rsidRPr="00F50C10" w:rsidRDefault="006525C9" w:rsidP="000B206D">
            <w:pPr>
              <w:spacing w:line="276" w:lineRule="auto"/>
              <w:rPr>
                <w:rFonts w:cs="Times New Roman"/>
                <w:szCs w:val="24"/>
              </w:rPr>
            </w:pPr>
            <w:r w:rsidRPr="00F50C10">
              <w:rPr>
                <w:rFonts w:cs="Times New Roman"/>
                <w:szCs w:val="24"/>
              </w:rPr>
              <w:t>conradson karbon kalıntısı</w:t>
            </w:r>
          </w:p>
        </w:tc>
      </w:tr>
      <w:tr w:rsidR="006525C9" w:rsidRPr="00F50C10" w14:paraId="21FCFC79"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476B5F9F" w14:textId="77777777" w:rsidR="006525C9" w:rsidRPr="00F50C10" w:rsidRDefault="006525C9" w:rsidP="000B206D">
            <w:pPr>
              <w:spacing w:line="276" w:lineRule="auto"/>
              <w:rPr>
                <w:rFonts w:cs="Times New Roman"/>
                <w:szCs w:val="24"/>
              </w:rPr>
            </w:pPr>
            <w:r w:rsidRPr="00F50C10">
              <w:rPr>
                <w:rFonts w:cs="Times New Roman"/>
                <w:szCs w:val="24"/>
              </w:rPr>
              <w:t>CF</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7D402CA0" w14:textId="77777777" w:rsidR="006525C9" w:rsidRPr="00F50C10" w:rsidRDefault="006525C9" w:rsidP="000B206D">
            <w:pPr>
              <w:spacing w:line="276" w:lineRule="auto"/>
              <w:rPr>
                <w:rFonts w:cs="Times New Roman"/>
                <w:szCs w:val="24"/>
              </w:rPr>
            </w:pPr>
            <w:r w:rsidRPr="00F50C10">
              <w:rPr>
                <w:rFonts w:cs="Times New Roman"/>
                <w:szCs w:val="24"/>
              </w:rPr>
              <w:t>sürekli flokülasyon</w:t>
            </w:r>
          </w:p>
        </w:tc>
      </w:tr>
      <w:tr w:rsidR="006525C9" w:rsidRPr="00F50C10" w14:paraId="1483C5C3"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016E7BA9" w14:textId="77777777" w:rsidR="006525C9" w:rsidRPr="00F50C10" w:rsidRDefault="006525C9" w:rsidP="000B206D">
            <w:pPr>
              <w:spacing w:line="276" w:lineRule="auto"/>
              <w:rPr>
                <w:rFonts w:cs="Times New Roman"/>
                <w:szCs w:val="24"/>
              </w:rPr>
            </w:pPr>
            <w:r w:rsidRPr="00F50C10">
              <w:rPr>
                <w:rFonts w:cs="Times New Roman"/>
                <w:szCs w:val="24"/>
              </w:rPr>
              <w:t>CHP</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68AC3BC" w14:textId="77777777" w:rsidR="006525C9" w:rsidRPr="00F50C10" w:rsidRDefault="006525C9" w:rsidP="000B206D">
            <w:pPr>
              <w:spacing w:line="276" w:lineRule="auto"/>
              <w:rPr>
                <w:rFonts w:cs="Times New Roman"/>
                <w:szCs w:val="24"/>
              </w:rPr>
            </w:pPr>
            <w:r w:rsidRPr="00F50C10">
              <w:rPr>
                <w:rFonts w:cs="Times New Roman"/>
                <w:szCs w:val="24"/>
              </w:rPr>
              <w:t>ısı ve güç kojenerasyonu</w:t>
            </w:r>
          </w:p>
        </w:tc>
      </w:tr>
      <w:tr w:rsidR="006525C9" w:rsidRPr="00F50C10" w14:paraId="3CAF6BA1"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E468D3C" w14:textId="77777777" w:rsidR="006525C9" w:rsidRPr="00F50C10" w:rsidRDefault="006525C9" w:rsidP="000B206D">
            <w:pPr>
              <w:spacing w:line="276" w:lineRule="auto"/>
              <w:rPr>
                <w:rFonts w:cs="Times New Roman"/>
                <w:szCs w:val="24"/>
              </w:rPr>
            </w:pPr>
            <w:r w:rsidRPr="00F50C10">
              <w:rPr>
                <w:rFonts w:cs="Times New Roman"/>
                <w:szCs w:val="24"/>
              </w:rPr>
              <w:t>CSTR</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3A504A2" w14:textId="77777777" w:rsidR="006525C9" w:rsidRPr="00F50C10" w:rsidRDefault="006525C9" w:rsidP="000B206D">
            <w:pPr>
              <w:spacing w:line="276" w:lineRule="auto"/>
              <w:rPr>
                <w:rFonts w:cs="Times New Roman"/>
                <w:szCs w:val="24"/>
              </w:rPr>
            </w:pPr>
            <w:r w:rsidRPr="00F50C10">
              <w:rPr>
                <w:rFonts w:cs="Times New Roman"/>
                <w:szCs w:val="24"/>
              </w:rPr>
              <w:t>sürekli karıştırımlı tank reaktörü</w:t>
            </w:r>
          </w:p>
        </w:tc>
      </w:tr>
      <w:tr w:rsidR="006525C9" w:rsidRPr="00F50C10" w14:paraId="7C4CBBF0"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0C0E2D8" w14:textId="77777777" w:rsidR="006525C9" w:rsidRPr="00F50C10" w:rsidRDefault="006525C9" w:rsidP="000B206D">
            <w:pPr>
              <w:spacing w:line="276" w:lineRule="auto"/>
              <w:rPr>
                <w:rFonts w:cs="Times New Roman"/>
                <w:szCs w:val="24"/>
              </w:rPr>
            </w:pPr>
            <w:r w:rsidRPr="00F50C10">
              <w:rPr>
                <w:rFonts w:cs="Times New Roman"/>
                <w:szCs w:val="24"/>
              </w:rPr>
              <w:t>DAF</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72CB4CC3" w14:textId="77777777" w:rsidR="006525C9" w:rsidRPr="00F50C10" w:rsidRDefault="006525C9" w:rsidP="000B206D">
            <w:pPr>
              <w:spacing w:line="276" w:lineRule="auto"/>
              <w:rPr>
                <w:rFonts w:cs="Times New Roman"/>
                <w:szCs w:val="24"/>
              </w:rPr>
            </w:pPr>
            <w:r w:rsidRPr="00F50C10">
              <w:rPr>
                <w:rFonts w:cs="Times New Roman"/>
                <w:szCs w:val="24"/>
              </w:rPr>
              <w:t>çözünmüş havalı yüzdürme</w:t>
            </w:r>
          </w:p>
        </w:tc>
      </w:tr>
      <w:tr w:rsidR="006525C9" w:rsidRPr="00F50C10" w14:paraId="1554E8C3"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26D2E3FE" w14:textId="77777777" w:rsidR="006525C9" w:rsidRPr="00F50C10" w:rsidRDefault="006525C9" w:rsidP="000B206D">
            <w:pPr>
              <w:spacing w:line="276" w:lineRule="auto"/>
              <w:rPr>
                <w:rFonts w:cs="Times New Roman"/>
                <w:szCs w:val="24"/>
              </w:rPr>
            </w:pPr>
            <w:r w:rsidRPr="00F50C10">
              <w:rPr>
                <w:rFonts w:cs="Times New Roman"/>
                <w:szCs w:val="24"/>
              </w:rPr>
              <w:t>DCPD</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3816038" w14:textId="77777777" w:rsidR="006525C9" w:rsidRPr="00F50C10" w:rsidRDefault="006525C9" w:rsidP="000B206D">
            <w:pPr>
              <w:spacing w:line="276" w:lineRule="auto"/>
              <w:rPr>
                <w:rFonts w:cs="Times New Roman"/>
                <w:szCs w:val="24"/>
              </w:rPr>
            </w:pPr>
            <w:r w:rsidRPr="00F50C10">
              <w:rPr>
                <w:rFonts w:cs="Times New Roman"/>
                <w:szCs w:val="24"/>
              </w:rPr>
              <w:t>disiklopentadien</w:t>
            </w:r>
          </w:p>
        </w:tc>
      </w:tr>
      <w:tr w:rsidR="006525C9" w:rsidRPr="00F50C10" w14:paraId="3F48FCB5" w14:textId="77777777" w:rsidTr="006E1E93">
        <w:trPr>
          <w:trHeight w:val="1572"/>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5723EF4" w14:textId="6A8AFDC4" w:rsidR="006525C9" w:rsidRPr="00F50C10" w:rsidRDefault="006525C9" w:rsidP="000B206D">
            <w:pPr>
              <w:spacing w:line="276" w:lineRule="auto"/>
              <w:rPr>
                <w:rFonts w:cs="Times New Roman"/>
                <w:szCs w:val="24"/>
              </w:rPr>
            </w:pP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D751239" w14:textId="6989E7B5" w:rsidR="006525C9" w:rsidRPr="00F50C10" w:rsidRDefault="006525C9" w:rsidP="000B206D">
            <w:pPr>
              <w:pStyle w:val="ListeParagraf"/>
              <w:widowControl w:val="0"/>
              <w:numPr>
                <w:ilvl w:val="0"/>
                <w:numId w:val="48"/>
              </w:numPr>
              <w:autoSpaceDE w:val="0"/>
              <w:autoSpaceDN w:val="0"/>
              <w:spacing w:line="276" w:lineRule="auto"/>
              <w:ind w:right="113"/>
              <w:contextualSpacing w:val="0"/>
              <w:rPr>
                <w:rFonts w:cs="Times New Roman"/>
                <w:szCs w:val="24"/>
              </w:rPr>
            </w:pPr>
          </w:p>
        </w:tc>
      </w:tr>
      <w:tr w:rsidR="006525C9" w:rsidRPr="00F50C10" w14:paraId="29B27ACF"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6E138A16" w14:textId="49793B7B" w:rsidR="006525C9" w:rsidRPr="00F50C10" w:rsidRDefault="006525C9" w:rsidP="000B206D">
            <w:pPr>
              <w:spacing w:line="276" w:lineRule="auto"/>
              <w:rPr>
                <w:rFonts w:cs="Times New Roman"/>
                <w:szCs w:val="24"/>
              </w:rPr>
            </w:pP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7EA56221" w14:textId="7136416F" w:rsidR="006525C9" w:rsidRPr="00F50C10" w:rsidRDefault="006525C9" w:rsidP="000B206D">
            <w:pPr>
              <w:spacing w:line="276" w:lineRule="auto"/>
              <w:rPr>
                <w:rFonts w:cs="Times New Roman"/>
                <w:szCs w:val="24"/>
              </w:rPr>
            </w:pPr>
          </w:p>
        </w:tc>
      </w:tr>
      <w:tr w:rsidR="006525C9" w:rsidRPr="00F50C10" w14:paraId="6DB0FB67"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F1E238D" w14:textId="77777777" w:rsidR="006525C9" w:rsidRPr="00F50C10" w:rsidRDefault="006525C9" w:rsidP="000B206D">
            <w:pPr>
              <w:spacing w:line="276" w:lineRule="auto"/>
              <w:rPr>
                <w:rFonts w:cs="Times New Roman"/>
                <w:szCs w:val="24"/>
              </w:rPr>
            </w:pPr>
            <w:r w:rsidRPr="00F50C10">
              <w:rPr>
                <w:rFonts w:cs="Times New Roman"/>
                <w:szCs w:val="24"/>
              </w:rPr>
              <w:t>DMT</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246B596" w14:textId="77777777" w:rsidR="006525C9" w:rsidRPr="00F50C10" w:rsidRDefault="006525C9" w:rsidP="000B206D">
            <w:pPr>
              <w:spacing w:line="276" w:lineRule="auto"/>
              <w:rPr>
                <w:rFonts w:cs="Times New Roman"/>
                <w:szCs w:val="24"/>
              </w:rPr>
            </w:pPr>
            <w:r w:rsidRPr="00F50C10">
              <w:rPr>
                <w:rFonts w:cs="Times New Roman"/>
                <w:szCs w:val="24"/>
              </w:rPr>
              <w:t>dimetil tereftalat</w:t>
            </w:r>
          </w:p>
        </w:tc>
      </w:tr>
      <w:tr w:rsidR="006525C9" w:rsidRPr="00F50C10" w14:paraId="72AD0045"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9A99C4D" w14:textId="77777777" w:rsidR="006525C9" w:rsidRPr="00F50C10" w:rsidRDefault="006525C9" w:rsidP="000B206D">
            <w:pPr>
              <w:spacing w:line="276" w:lineRule="auto"/>
              <w:rPr>
                <w:rFonts w:cs="Times New Roman"/>
                <w:szCs w:val="24"/>
              </w:rPr>
            </w:pPr>
            <w:r w:rsidRPr="00F50C10">
              <w:rPr>
                <w:rFonts w:cs="Times New Roman"/>
                <w:szCs w:val="24"/>
              </w:rPr>
              <w:t>EC50</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3ADE0685" w14:textId="77777777" w:rsidR="006525C9" w:rsidRPr="00F50C10" w:rsidRDefault="006525C9" w:rsidP="000B206D">
            <w:pPr>
              <w:spacing w:line="276" w:lineRule="auto"/>
              <w:rPr>
                <w:rFonts w:cs="Times New Roman"/>
                <w:szCs w:val="24"/>
              </w:rPr>
            </w:pPr>
            <w:r w:rsidRPr="00F50C10">
              <w:rPr>
                <w:rFonts w:cs="Times New Roman"/>
                <w:szCs w:val="24"/>
              </w:rPr>
              <w:t>etki derişimi 50. Tek doz verildikten sonra test popülasyonunun %50’sinde etkilerin gözlemlendiği derişim. Etkiler arasında su piresinin hareketsizleşmesi, büyümenin, hücre bölünmesinin veya biyokütle üretiminin ya da algler tarafından klorofil üretiminin engellenmesi yer alır</w:t>
            </w:r>
          </w:p>
        </w:tc>
      </w:tr>
      <w:tr w:rsidR="006525C9" w:rsidRPr="00F50C10" w14:paraId="341675B4"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1F03CBE" w14:textId="77777777" w:rsidR="006525C9" w:rsidRPr="00F50C10" w:rsidRDefault="006525C9" w:rsidP="000B206D">
            <w:pPr>
              <w:spacing w:line="276" w:lineRule="auto"/>
              <w:rPr>
                <w:rFonts w:cs="Times New Roman"/>
                <w:szCs w:val="24"/>
              </w:rPr>
            </w:pPr>
            <w:r w:rsidRPr="00F50C10">
              <w:rPr>
                <w:rFonts w:cs="Times New Roman"/>
                <w:szCs w:val="24"/>
              </w:rPr>
              <w:t>ECVM</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8573199" w14:textId="77777777" w:rsidR="006525C9" w:rsidRPr="00F50C10" w:rsidRDefault="006525C9" w:rsidP="000B206D">
            <w:pPr>
              <w:spacing w:line="276" w:lineRule="auto"/>
              <w:rPr>
                <w:rFonts w:cs="Times New Roman"/>
                <w:szCs w:val="24"/>
              </w:rPr>
            </w:pPr>
            <w:r w:rsidRPr="00F50C10">
              <w:rPr>
                <w:rFonts w:cs="Times New Roman"/>
                <w:szCs w:val="24"/>
              </w:rPr>
              <w:t>Avrupa Vinil Üreticileri Konseyi</w:t>
            </w:r>
          </w:p>
        </w:tc>
      </w:tr>
      <w:tr w:rsidR="006525C9" w:rsidRPr="00F50C10" w14:paraId="1B5E0E94"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5CAE39EE" w14:textId="77777777" w:rsidR="006525C9" w:rsidRPr="00F50C10" w:rsidRDefault="006525C9" w:rsidP="000B206D">
            <w:pPr>
              <w:spacing w:line="276" w:lineRule="auto"/>
              <w:rPr>
                <w:rFonts w:cs="Times New Roman"/>
                <w:szCs w:val="24"/>
              </w:rPr>
            </w:pPr>
            <w:r w:rsidRPr="00F50C10">
              <w:rPr>
                <w:rFonts w:cs="Times New Roman"/>
                <w:szCs w:val="24"/>
              </w:rPr>
              <w:t>EDC</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2F13A80" w14:textId="77777777" w:rsidR="006525C9" w:rsidRPr="00F50C10" w:rsidRDefault="006525C9" w:rsidP="000B206D">
            <w:pPr>
              <w:spacing w:line="276" w:lineRule="auto"/>
              <w:rPr>
                <w:rFonts w:cs="Times New Roman"/>
                <w:szCs w:val="24"/>
              </w:rPr>
            </w:pPr>
            <w:r w:rsidRPr="00F50C10">
              <w:rPr>
                <w:rFonts w:cs="Times New Roman"/>
                <w:szCs w:val="24"/>
              </w:rPr>
              <w:t>etilen diklorür</w:t>
            </w:r>
          </w:p>
        </w:tc>
      </w:tr>
      <w:tr w:rsidR="006525C9" w:rsidRPr="00F50C10" w14:paraId="277F8778"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02620196" w14:textId="77777777" w:rsidR="006525C9" w:rsidRPr="00F50C10" w:rsidRDefault="006525C9" w:rsidP="000B206D">
            <w:pPr>
              <w:spacing w:line="276" w:lineRule="auto"/>
              <w:rPr>
                <w:rFonts w:cs="Times New Roman"/>
                <w:szCs w:val="24"/>
              </w:rPr>
            </w:pPr>
            <w:r w:rsidRPr="00F50C10">
              <w:rPr>
                <w:rFonts w:cs="Times New Roman"/>
                <w:szCs w:val="24"/>
              </w:rPr>
              <w:t>EG</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4E3855A" w14:textId="77777777" w:rsidR="006525C9" w:rsidRPr="00F50C10" w:rsidRDefault="006525C9" w:rsidP="000B206D">
            <w:pPr>
              <w:spacing w:line="276" w:lineRule="auto"/>
              <w:rPr>
                <w:rFonts w:cs="Times New Roman"/>
                <w:szCs w:val="24"/>
              </w:rPr>
            </w:pPr>
            <w:r w:rsidRPr="00F50C10">
              <w:rPr>
                <w:rFonts w:cs="Times New Roman"/>
                <w:szCs w:val="24"/>
              </w:rPr>
              <w:t>etilen glikol</w:t>
            </w:r>
          </w:p>
        </w:tc>
      </w:tr>
      <w:tr w:rsidR="006525C9" w:rsidRPr="00F50C10" w14:paraId="058BFDB7"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627CD2C9" w14:textId="77777777" w:rsidR="006525C9" w:rsidRPr="00F50C10" w:rsidRDefault="006525C9" w:rsidP="000B206D">
            <w:pPr>
              <w:spacing w:line="276" w:lineRule="auto"/>
              <w:rPr>
                <w:rFonts w:cs="Times New Roman"/>
                <w:szCs w:val="24"/>
              </w:rPr>
            </w:pPr>
            <w:r w:rsidRPr="00F50C10">
              <w:rPr>
                <w:rFonts w:cs="Times New Roman"/>
                <w:szCs w:val="24"/>
              </w:rPr>
              <w:t>EI katalizörü</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9AF4F8F" w14:textId="77777777" w:rsidR="006525C9" w:rsidRPr="00F50C10" w:rsidRDefault="006525C9" w:rsidP="000B206D">
            <w:pPr>
              <w:spacing w:line="276" w:lineRule="auto"/>
              <w:rPr>
                <w:rFonts w:cs="Times New Roman"/>
                <w:szCs w:val="24"/>
              </w:rPr>
            </w:pPr>
            <w:r w:rsidRPr="00F50C10">
              <w:rPr>
                <w:rFonts w:cs="Times New Roman"/>
                <w:szCs w:val="24"/>
              </w:rPr>
              <w:t>ester değişim katalizörü</w:t>
            </w:r>
          </w:p>
        </w:tc>
      </w:tr>
      <w:tr w:rsidR="006525C9" w:rsidRPr="00F50C10" w14:paraId="7AF52973"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66910402" w14:textId="1CB37577" w:rsidR="006525C9" w:rsidRPr="00F50C10" w:rsidRDefault="006525C9" w:rsidP="000B206D">
            <w:pPr>
              <w:spacing w:line="276" w:lineRule="auto"/>
              <w:rPr>
                <w:rFonts w:cs="Times New Roman"/>
                <w:szCs w:val="24"/>
              </w:rPr>
            </w:pP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453B936" w14:textId="5F856D00" w:rsidR="006525C9" w:rsidRPr="00F50C10" w:rsidRDefault="006525C9" w:rsidP="000B206D">
            <w:pPr>
              <w:spacing w:line="276" w:lineRule="auto"/>
              <w:rPr>
                <w:rFonts w:cs="Times New Roman"/>
                <w:szCs w:val="24"/>
              </w:rPr>
            </w:pPr>
          </w:p>
        </w:tc>
      </w:tr>
      <w:tr w:rsidR="006525C9" w:rsidRPr="00F50C10" w14:paraId="7563ABBC"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2A442301" w14:textId="77777777" w:rsidR="006525C9" w:rsidRPr="00F50C10" w:rsidRDefault="006525C9" w:rsidP="000B206D">
            <w:pPr>
              <w:spacing w:line="276" w:lineRule="auto"/>
              <w:rPr>
                <w:rFonts w:cs="Times New Roman"/>
                <w:szCs w:val="24"/>
              </w:rPr>
            </w:pPr>
            <w:r w:rsidRPr="00F50C10">
              <w:rPr>
                <w:rFonts w:cs="Times New Roman"/>
                <w:szCs w:val="24"/>
              </w:rPr>
              <w:t>Emülsiyonlaştırıcı</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2FFAB84" w14:textId="77777777" w:rsidR="006525C9" w:rsidRPr="00F50C10" w:rsidRDefault="006525C9" w:rsidP="000B206D">
            <w:pPr>
              <w:spacing w:line="276" w:lineRule="auto"/>
              <w:rPr>
                <w:rFonts w:cs="Times New Roman"/>
                <w:szCs w:val="24"/>
              </w:rPr>
            </w:pPr>
            <w:r w:rsidRPr="00F50C10">
              <w:rPr>
                <w:rFonts w:cs="Times New Roman"/>
                <w:szCs w:val="24"/>
              </w:rPr>
              <w:t>bir emülsiyonu stabilize eden madde</w:t>
            </w:r>
          </w:p>
        </w:tc>
      </w:tr>
      <w:tr w:rsidR="006525C9" w:rsidRPr="00F50C10" w14:paraId="5C4E6E75"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0BC041C3" w14:textId="77777777" w:rsidR="006525C9" w:rsidRPr="00F50C10" w:rsidRDefault="006525C9" w:rsidP="000B206D">
            <w:pPr>
              <w:spacing w:line="276" w:lineRule="auto"/>
              <w:rPr>
                <w:rFonts w:cs="Times New Roman"/>
                <w:szCs w:val="24"/>
              </w:rPr>
            </w:pPr>
            <w:r w:rsidRPr="00F50C10">
              <w:rPr>
                <w:rFonts w:cs="Times New Roman"/>
                <w:szCs w:val="24"/>
              </w:rPr>
              <w:t>EP</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9A7900F" w14:textId="77777777" w:rsidR="006525C9" w:rsidRPr="00F50C10" w:rsidRDefault="006525C9" w:rsidP="000B206D">
            <w:pPr>
              <w:spacing w:line="276" w:lineRule="auto"/>
              <w:rPr>
                <w:rFonts w:cs="Times New Roman"/>
                <w:szCs w:val="24"/>
              </w:rPr>
            </w:pPr>
            <w:r w:rsidRPr="00F50C10">
              <w:rPr>
                <w:rFonts w:cs="Times New Roman"/>
                <w:szCs w:val="24"/>
              </w:rPr>
              <w:t>elektrostatik toz tutucu</w:t>
            </w:r>
          </w:p>
        </w:tc>
      </w:tr>
      <w:tr w:rsidR="006525C9" w:rsidRPr="00F50C10" w14:paraId="0986B80A"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47F064A2" w14:textId="77777777" w:rsidR="006525C9" w:rsidRPr="00F50C10" w:rsidRDefault="006525C9" w:rsidP="000B206D">
            <w:pPr>
              <w:spacing w:line="276" w:lineRule="auto"/>
              <w:rPr>
                <w:rFonts w:cs="Times New Roman"/>
                <w:szCs w:val="24"/>
              </w:rPr>
            </w:pPr>
            <w:r w:rsidRPr="00F50C10">
              <w:rPr>
                <w:rFonts w:cs="Times New Roman"/>
                <w:szCs w:val="24"/>
              </w:rPr>
              <w:t>EPDM</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C51646E" w14:textId="77777777" w:rsidR="006525C9" w:rsidRPr="00F50C10" w:rsidRDefault="006525C9" w:rsidP="000B206D">
            <w:pPr>
              <w:spacing w:line="276" w:lineRule="auto"/>
              <w:rPr>
                <w:rFonts w:cs="Times New Roman"/>
                <w:szCs w:val="24"/>
              </w:rPr>
            </w:pPr>
            <w:r w:rsidRPr="00F50C10">
              <w:rPr>
                <w:rFonts w:cs="Times New Roman"/>
                <w:szCs w:val="24"/>
              </w:rPr>
              <w:t>etilen-propilen-dien kauçuk</w:t>
            </w:r>
          </w:p>
        </w:tc>
      </w:tr>
      <w:tr w:rsidR="006525C9" w:rsidRPr="00F50C10" w14:paraId="2B57A506"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04F16A7" w14:textId="77777777" w:rsidR="006525C9" w:rsidRPr="00F50C10" w:rsidRDefault="006525C9" w:rsidP="000B206D">
            <w:pPr>
              <w:spacing w:line="276" w:lineRule="auto"/>
              <w:rPr>
                <w:rFonts w:cs="Times New Roman"/>
                <w:szCs w:val="24"/>
              </w:rPr>
            </w:pPr>
            <w:r w:rsidRPr="00F50C10">
              <w:rPr>
                <w:rFonts w:cs="Times New Roman"/>
                <w:szCs w:val="24"/>
              </w:rPr>
              <w:t>EPS</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524AEED" w14:textId="77777777" w:rsidR="006525C9" w:rsidRPr="00F50C10" w:rsidRDefault="006525C9" w:rsidP="000B206D">
            <w:pPr>
              <w:spacing w:line="276" w:lineRule="auto"/>
              <w:rPr>
                <w:rFonts w:cs="Times New Roman"/>
                <w:szCs w:val="24"/>
              </w:rPr>
            </w:pPr>
            <w:r w:rsidRPr="00F50C10">
              <w:rPr>
                <w:rFonts w:cs="Times New Roman"/>
                <w:szCs w:val="24"/>
              </w:rPr>
              <w:t>genleşebilir polistiren</w:t>
            </w:r>
          </w:p>
        </w:tc>
      </w:tr>
      <w:tr w:rsidR="006525C9" w:rsidRPr="00F50C10" w14:paraId="393E0D85"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5C62925F" w14:textId="77777777" w:rsidR="006525C9" w:rsidRPr="00F50C10" w:rsidRDefault="006525C9" w:rsidP="000B206D">
            <w:pPr>
              <w:spacing w:line="276" w:lineRule="auto"/>
              <w:rPr>
                <w:rFonts w:cs="Times New Roman"/>
                <w:szCs w:val="24"/>
              </w:rPr>
            </w:pPr>
            <w:r w:rsidRPr="00F50C10">
              <w:rPr>
                <w:rFonts w:cs="Times New Roman"/>
                <w:szCs w:val="24"/>
              </w:rPr>
              <w:t>EPVC</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C963362" w14:textId="77777777" w:rsidR="006525C9" w:rsidRPr="00F50C10" w:rsidRDefault="006525C9" w:rsidP="000B206D">
            <w:pPr>
              <w:spacing w:line="276" w:lineRule="auto"/>
              <w:rPr>
                <w:rFonts w:cs="Times New Roman"/>
                <w:szCs w:val="24"/>
              </w:rPr>
            </w:pPr>
            <w:r w:rsidRPr="00F50C10">
              <w:rPr>
                <w:rFonts w:cs="Times New Roman"/>
                <w:szCs w:val="24"/>
              </w:rPr>
              <w:t>Emülsiyon PVC</w:t>
            </w:r>
          </w:p>
        </w:tc>
      </w:tr>
      <w:tr w:rsidR="006525C9" w:rsidRPr="00F50C10" w14:paraId="49BE9DE6"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C9975C5" w14:textId="77777777" w:rsidR="006525C9" w:rsidRPr="00F50C10" w:rsidRDefault="006525C9" w:rsidP="000B206D">
            <w:pPr>
              <w:spacing w:line="276" w:lineRule="auto"/>
              <w:rPr>
                <w:rFonts w:cs="Times New Roman"/>
                <w:szCs w:val="24"/>
              </w:rPr>
            </w:pPr>
            <w:r w:rsidRPr="00F50C10">
              <w:rPr>
                <w:rFonts w:cs="Times New Roman"/>
                <w:szCs w:val="24"/>
              </w:rPr>
              <w:t>ESBR</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647C0DC" w14:textId="77777777" w:rsidR="006525C9" w:rsidRPr="00F50C10" w:rsidRDefault="006525C9" w:rsidP="000B206D">
            <w:pPr>
              <w:spacing w:line="276" w:lineRule="auto"/>
              <w:rPr>
                <w:rFonts w:cs="Times New Roman"/>
                <w:szCs w:val="24"/>
              </w:rPr>
            </w:pPr>
            <w:r w:rsidRPr="00F50C10">
              <w:rPr>
                <w:rFonts w:cs="Times New Roman"/>
                <w:szCs w:val="24"/>
              </w:rPr>
              <w:t>emülsiyonla polimerize edilmiş stiren bütadien kauçuk</w:t>
            </w:r>
          </w:p>
        </w:tc>
      </w:tr>
      <w:tr w:rsidR="006525C9" w:rsidRPr="00F50C10" w14:paraId="06CA2D43"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0BC6290" w14:textId="77777777" w:rsidR="006525C9" w:rsidRPr="00F50C10" w:rsidRDefault="006525C9" w:rsidP="000B206D">
            <w:pPr>
              <w:spacing w:line="276" w:lineRule="auto"/>
              <w:rPr>
                <w:rFonts w:cs="Times New Roman"/>
                <w:szCs w:val="24"/>
              </w:rPr>
            </w:pPr>
            <w:r w:rsidRPr="00F50C10">
              <w:rPr>
                <w:rFonts w:cs="Times New Roman"/>
                <w:szCs w:val="24"/>
              </w:rPr>
              <w:t>EVA</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61DF844" w14:textId="77777777" w:rsidR="006525C9" w:rsidRPr="00F50C10" w:rsidRDefault="006525C9" w:rsidP="000B206D">
            <w:pPr>
              <w:spacing w:line="276" w:lineRule="auto"/>
              <w:rPr>
                <w:rFonts w:cs="Times New Roman"/>
                <w:szCs w:val="24"/>
              </w:rPr>
            </w:pPr>
            <w:r w:rsidRPr="00F50C10">
              <w:rPr>
                <w:rFonts w:cs="Times New Roman"/>
                <w:szCs w:val="24"/>
              </w:rPr>
              <w:t>etilen-vinilasetat</w:t>
            </w:r>
          </w:p>
        </w:tc>
      </w:tr>
      <w:tr w:rsidR="006525C9" w:rsidRPr="00F50C10" w14:paraId="374E4D50"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5370DAD" w14:textId="77777777" w:rsidR="006525C9" w:rsidRPr="00F50C10" w:rsidRDefault="006525C9" w:rsidP="000B206D">
            <w:pPr>
              <w:spacing w:line="276" w:lineRule="auto"/>
              <w:rPr>
                <w:rFonts w:cs="Times New Roman"/>
                <w:szCs w:val="24"/>
              </w:rPr>
            </w:pPr>
            <w:r w:rsidRPr="00F50C10">
              <w:rPr>
                <w:rFonts w:cs="Times New Roman"/>
                <w:szCs w:val="24"/>
              </w:rPr>
              <w:t>FB</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7C14715F" w14:textId="77777777" w:rsidR="006525C9" w:rsidRPr="00F50C10" w:rsidRDefault="006525C9" w:rsidP="000B206D">
            <w:pPr>
              <w:spacing w:line="276" w:lineRule="auto"/>
              <w:rPr>
                <w:rFonts w:cs="Times New Roman"/>
                <w:szCs w:val="24"/>
              </w:rPr>
            </w:pPr>
            <w:r w:rsidRPr="00F50C10">
              <w:rPr>
                <w:rFonts w:cs="Times New Roman"/>
                <w:szCs w:val="24"/>
              </w:rPr>
              <w:t>akışkan yatak</w:t>
            </w:r>
          </w:p>
        </w:tc>
      </w:tr>
      <w:tr w:rsidR="006525C9" w:rsidRPr="00F50C10" w14:paraId="76B617CB"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51F8BD05" w14:textId="77777777" w:rsidR="006525C9" w:rsidRPr="00F50C10" w:rsidRDefault="006525C9" w:rsidP="000B206D">
            <w:pPr>
              <w:spacing w:line="276" w:lineRule="auto"/>
              <w:rPr>
                <w:rFonts w:cs="Times New Roman"/>
                <w:szCs w:val="24"/>
              </w:rPr>
            </w:pPr>
            <w:r w:rsidRPr="00F50C10">
              <w:rPr>
                <w:rFonts w:cs="Times New Roman"/>
                <w:szCs w:val="24"/>
              </w:rPr>
              <w:t>FDY</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E78432E" w14:textId="77777777" w:rsidR="006525C9" w:rsidRPr="00F50C10" w:rsidRDefault="006525C9" w:rsidP="000B206D">
            <w:pPr>
              <w:spacing w:line="276" w:lineRule="auto"/>
              <w:rPr>
                <w:rFonts w:cs="Times New Roman"/>
                <w:szCs w:val="24"/>
              </w:rPr>
            </w:pPr>
            <w:r w:rsidRPr="00F50C10">
              <w:rPr>
                <w:rFonts w:cs="Times New Roman"/>
                <w:szCs w:val="24"/>
              </w:rPr>
              <w:t>Tamamen çekilmiş iplik</w:t>
            </w:r>
          </w:p>
        </w:tc>
      </w:tr>
      <w:tr w:rsidR="006525C9" w:rsidRPr="00F50C10" w14:paraId="2ABA3570"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42BBD004" w14:textId="77777777" w:rsidR="006525C9" w:rsidRPr="00F50C10" w:rsidRDefault="006525C9" w:rsidP="000B206D">
            <w:pPr>
              <w:spacing w:line="276" w:lineRule="auto"/>
              <w:rPr>
                <w:rFonts w:cs="Times New Roman"/>
                <w:szCs w:val="24"/>
              </w:rPr>
            </w:pPr>
            <w:r w:rsidRPr="00F50C10">
              <w:rPr>
                <w:rFonts w:cs="Times New Roman"/>
                <w:szCs w:val="24"/>
              </w:rPr>
              <w:t>FOY</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3A27FA4D" w14:textId="77777777" w:rsidR="006525C9" w:rsidRPr="00F50C10" w:rsidRDefault="006525C9" w:rsidP="000B206D">
            <w:pPr>
              <w:spacing w:line="276" w:lineRule="auto"/>
              <w:rPr>
                <w:rFonts w:cs="Times New Roman"/>
                <w:szCs w:val="24"/>
              </w:rPr>
            </w:pPr>
            <w:r w:rsidRPr="00F50C10">
              <w:rPr>
                <w:rFonts w:cs="Times New Roman"/>
                <w:szCs w:val="24"/>
              </w:rPr>
              <w:t>Tamamen gerilmiş iplik</w:t>
            </w:r>
          </w:p>
        </w:tc>
      </w:tr>
      <w:tr w:rsidR="006525C9" w:rsidRPr="00F50C10" w14:paraId="2FCD37A6"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44A0DEE2" w14:textId="77777777" w:rsidR="006525C9" w:rsidRPr="00F50C10" w:rsidRDefault="006525C9" w:rsidP="000B206D">
            <w:pPr>
              <w:spacing w:line="276" w:lineRule="auto"/>
              <w:rPr>
                <w:rFonts w:cs="Times New Roman"/>
                <w:szCs w:val="24"/>
              </w:rPr>
            </w:pPr>
            <w:r w:rsidRPr="00F50C10">
              <w:rPr>
                <w:rFonts w:cs="Times New Roman"/>
                <w:szCs w:val="24"/>
              </w:rPr>
              <w:t>GPPS</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A934BBB" w14:textId="77777777" w:rsidR="006525C9" w:rsidRPr="00F50C10" w:rsidRDefault="006525C9" w:rsidP="000B206D">
            <w:pPr>
              <w:spacing w:line="276" w:lineRule="auto"/>
              <w:rPr>
                <w:rFonts w:cs="Times New Roman"/>
                <w:szCs w:val="24"/>
              </w:rPr>
            </w:pPr>
            <w:r w:rsidRPr="00F50C10">
              <w:rPr>
                <w:rFonts w:cs="Times New Roman"/>
                <w:szCs w:val="24"/>
              </w:rPr>
              <w:t>genel amaçlı polistiren</w:t>
            </w:r>
          </w:p>
        </w:tc>
      </w:tr>
      <w:tr w:rsidR="006525C9" w:rsidRPr="00F50C10" w14:paraId="716388DC"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6EDCB8AA" w14:textId="77777777" w:rsidR="006525C9" w:rsidRPr="00F50C10" w:rsidRDefault="006525C9" w:rsidP="000B206D">
            <w:pPr>
              <w:spacing w:line="276" w:lineRule="auto"/>
              <w:rPr>
                <w:rFonts w:cs="Times New Roman"/>
                <w:szCs w:val="24"/>
              </w:rPr>
            </w:pPr>
            <w:r w:rsidRPr="00F50C10">
              <w:rPr>
                <w:rFonts w:cs="Times New Roman"/>
                <w:szCs w:val="24"/>
              </w:rPr>
              <w:t>GSYİH</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4A53809" w14:textId="77777777" w:rsidR="006525C9" w:rsidRPr="00F50C10" w:rsidRDefault="006525C9" w:rsidP="000B206D">
            <w:pPr>
              <w:spacing w:line="276" w:lineRule="auto"/>
              <w:rPr>
                <w:rFonts w:cs="Times New Roman"/>
                <w:szCs w:val="24"/>
              </w:rPr>
            </w:pPr>
            <w:r w:rsidRPr="00F50C10">
              <w:rPr>
                <w:rFonts w:cs="Times New Roman"/>
                <w:szCs w:val="24"/>
              </w:rPr>
              <w:t>gayrisafi yurtiçi hasıla</w:t>
            </w:r>
          </w:p>
        </w:tc>
      </w:tr>
      <w:tr w:rsidR="006525C9" w:rsidRPr="00F50C10" w14:paraId="66EF6D10"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28646BA" w14:textId="77777777" w:rsidR="006525C9" w:rsidRPr="00F50C10" w:rsidRDefault="006525C9" w:rsidP="000B206D">
            <w:pPr>
              <w:spacing w:line="276" w:lineRule="auto"/>
              <w:rPr>
                <w:rFonts w:cs="Times New Roman"/>
                <w:szCs w:val="24"/>
              </w:rPr>
            </w:pPr>
            <w:r w:rsidRPr="00F50C10">
              <w:rPr>
                <w:rFonts w:cs="Times New Roman"/>
                <w:szCs w:val="24"/>
              </w:rPr>
              <w:t>HDPE</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4540923" w14:textId="77777777" w:rsidR="006525C9" w:rsidRPr="00F50C10" w:rsidRDefault="006525C9" w:rsidP="000B206D">
            <w:pPr>
              <w:spacing w:line="276" w:lineRule="auto"/>
              <w:rPr>
                <w:rFonts w:cs="Times New Roman"/>
                <w:szCs w:val="24"/>
              </w:rPr>
            </w:pPr>
            <w:r w:rsidRPr="00F50C10">
              <w:rPr>
                <w:rFonts w:cs="Times New Roman"/>
                <w:szCs w:val="24"/>
              </w:rPr>
              <w:t>yüksek yoğunluklu polietilen</w:t>
            </w:r>
          </w:p>
        </w:tc>
      </w:tr>
      <w:tr w:rsidR="006525C9" w:rsidRPr="00F50C10" w14:paraId="48AFD959"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0A37E77E" w14:textId="77777777" w:rsidR="006525C9" w:rsidRPr="00F50C10" w:rsidRDefault="006525C9" w:rsidP="000B206D">
            <w:pPr>
              <w:spacing w:line="276" w:lineRule="auto"/>
              <w:rPr>
                <w:rFonts w:cs="Times New Roman"/>
                <w:szCs w:val="24"/>
              </w:rPr>
            </w:pPr>
            <w:r w:rsidRPr="00F50C10">
              <w:rPr>
                <w:rFonts w:cs="Times New Roman"/>
                <w:szCs w:val="24"/>
              </w:rPr>
              <w:t>HF</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DB876BC" w14:textId="77777777" w:rsidR="006525C9" w:rsidRPr="00F50C10" w:rsidRDefault="006525C9" w:rsidP="000B206D">
            <w:pPr>
              <w:spacing w:line="276" w:lineRule="auto"/>
              <w:rPr>
                <w:rFonts w:cs="Times New Roman"/>
                <w:szCs w:val="24"/>
              </w:rPr>
            </w:pPr>
            <w:r w:rsidRPr="00F50C10">
              <w:rPr>
                <w:rFonts w:cs="Times New Roman"/>
                <w:szCs w:val="24"/>
              </w:rPr>
              <w:t>kesikli flokülasyon</w:t>
            </w:r>
          </w:p>
        </w:tc>
      </w:tr>
      <w:tr w:rsidR="006525C9" w:rsidRPr="00F50C10" w14:paraId="7DC3EB15"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D31F703" w14:textId="77777777" w:rsidR="006525C9" w:rsidRPr="00F50C10" w:rsidRDefault="006525C9" w:rsidP="000B206D">
            <w:pPr>
              <w:spacing w:line="276" w:lineRule="auto"/>
              <w:rPr>
                <w:rFonts w:cs="Times New Roman"/>
                <w:szCs w:val="24"/>
              </w:rPr>
            </w:pPr>
            <w:r w:rsidRPr="00F50C10">
              <w:rPr>
                <w:rFonts w:cs="Times New Roman"/>
                <w:szCs w:val="24"/>
              </w:rPr>
              <w:t>HFO</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0DDF31A" w14:textId="77777777" w:rsidR="006525C9" w:rsidRPr="00F50C10" w:rsidRDefault="006525C9" w:rsidP="000B206D">
            <w:pPr>
              <w:spacing w:line="276" w:lineRule="auto"/>
              <w:rPr>
                <w:rFonts w:cs="Times New Roman"/>
                <w:szCs w:val="24"/>
              </w:rPr>
            </w:pPr>
            <w:r w:rsidRPr="00F50C10">
              <w:rPr>
                <w:rFonts w:cs="Times New Roman"/>
                <w:szCs w:val="24"/>
              </w:rPr>
              <w:t>ağır fuel oil</w:t>
            </w:r>
          </w:p>
        </w:tc>
      </w:tr>
      <w:tr w:rsidR="006525C9" w:rsidRPr="00F50C10" w14:paraId="5CE2894A"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601E7F23" w14:textId="77777777" w:rsidR="006525C9" w:rsidRPr="00F50C10" w:rsidRDefault="006525C9" w:rsidP="000B206D">
            <w:pPr>
              <w:spacing w:line="276" w:lineRule="auto"/>
              <w:rPr>
                <w:rFonts w:cs="Times New Roman"/>
                <w:szCs w:val="24"/>
              </w:rPr>
            </w:pPr>
            <w:r w:rsidRPr="00F50C10">
              <w:rPr>
                <w:rFonts w:cs="Times New Roman"/>
                <w:szCs w:val="24"/>
              </w:rPr>
              <w:t>HIPS</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D003AF5" w14:textId="77777777" w:rsidR="006525C9" w:rsidRPr="00F50C10" w:rsidRDefault="006525C9" w:rsidP="000B206D">
            <w:pPr>
              <w:spacing w:line="276" w:lineRule="auto"/>
              <w:rPr>
                <w:rFonts w:cs="Times New Roman"/>
                <w:szCs w:val="24"/>
              </w:rPr>
            </w:pPr>
            <w:r w:rsidRPr="00F50C10">
              <w:rPr>
                <w:rFonts w:cs="Times New Roman"/>
                <w:szCs w:val="24"/>
              </w:rPr>
              <w:t>darbeye yüksek dirençli polistiren</w:t>
            </w:r>
          </w:p>
        </w:tc>
      </w:tr>
      <w:tr w:rsidR="006525C9" w:rsidRPr="00F50C10" w14:paraId="293454AD"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9B9D63D" w14:textId="77777777" w:rsidR="006525C9" w:rsidRPr="00F50C10" w:rsidRDefault="006525C9" w:rsidP="000B206D">
            <w:pPr>
              <w:spacing w:line="276" w:lineRule="auto"/>
              <w:rPr>
                <w:rFonts w:cs="Times New Roman"/>
                <w:szCs w:val="24"/>
              </w:rPr>
            </w:pPr>
            <w:r w:rsidRPr="00F50C10">
              <w:rPr>
                <w:rFonts w:cs="Times New Roman"/>
                <w:szCs w:val="24"/>
              </w:rPr>
              <w:t>HP</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95CD3C0" w14:textId="77777777" w:rsidR="006525C9" w:rsidRPr="00F50C10" w:rsidRDefault="006525C9" w:rsidP="000B206D">
            <w:pPr>
              <w:spacing w:line="276" w:lineRule="auto"/>
              <w:rPr>
                <w:rFonts w:cs="Times New Roman"/>
                <w:szCs w:val="24"/>
              </w:rPr>
            </w:pPr>
            <w:r w:rsidRPr="00F50C10">
              <w:rPr>
                <w:rFonts w:cs="Times New Roman"/>
                <w:szCs w:val="24"/>
              </w:rPr>
              <w:t>yüksek basınç</w:t>
            </w:r>
          </w:p>
        </w:tc>
      </w:tr>
      <w:tr w:rsidR="006525C9" w:rsidRPr="00F50C10" w14:paraId="29D87AAC"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57A14837" w14:textId="77777777" w:rsidR="006525C9" w:rsidRPr="00F50C10" w:rsidRDefault="006525C9" w:rsidP="000B206D">
            <w:pPr>
              <w:spacing w:line="276" w:lineRule="auto"/>
              <w:rPr>
                <w:rFonts w:cs="Times New Roman"/>
                <w:szCs w:val="24"/>
              </w:rPr>
            </w:pPr>
            <w:r w:rsidRPr="00F50C10">
              <w:rPr>
                <w:rFonts w:cs="Times New Roman"/>
                <w:szCs w:val="24"/>
              </w:rPr>
              <w:t>HPS</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15C37E0" w14:textId="77777777" w:rsidR="006525C9" w:rsidRPr="00F50C10" w:rsidRDefault="006525C9" w:rsidP="000B206D">
            <w:pPr>
              <w:spacing w:line="276" w:lineRule="auto"/>
              <w:rPr>
                <w:rFonts w:cs="Times New Roman"/>
                <w:szCs w:val="24"/>
              </w:rPr>
            </w:pPr>
            <w:r w:rsidRPr="00F50C10">
              <w:rPr>
                <w:rFonts w:cs="Times New Roman"/>
                <w:szCs w:val="24"/>
              </w:rPr>
              <w:t>yüksek basınç ayırıcı</w:t>
            </w:r>
          </w:p>
        </w:tc>
      </w:tr>
      <w:tr w:rsidR="006525C9" w:rsidRPr="00F50C10" w14:paraId="0EF8BA2F"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0E6DA58" w14:textId="77777777" w:rsidR="006525C9" w:rsidRPr="00F50C10" w:rsidRDefault="006525C9" w:rsidP="000B206D">
            <w:pPr>
              <w:spacing w:line="276" w:lineRule="auto"/>
              <w:rPr>
                <w:rFonts w:cs="Times New Roman"/>
                <w:szCs w:val="24"/>
              </w:rPr>
            </w:pPr>
            <w:r w:rsidRPr="00F50C10">
              <w:rPr>
                <w:rFonts w:cs="Times New Roman"/>
                <w:szCs w:val="24"/>
              </w:rPr>
              <w:t>HTM</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3535535" w14:textId="77777777" w:rsidR="006525C9" w:rsidRPr="00F50C10" w:rsidRDefault="006525C9" w:rsidP="000B206D">
            <w:pPr>
              <w:spacing w:line="276" w:lineRule="auto"/>
              <w:rPr>
                <w:rFonts w:cs="Times New Roman"/>
                <w:szCs w:val="24"/>
              </w:rPr>
            </w:pPr>
            <w:r w:rsidRPr="00F50C10">
              <w:rPr>
                <w:rFonts w:cs="Times New Roman"/>
                <w:szCs w:val="24"/>
              </w:rPr>
              <w:t>ısı aktarım ortamı</w:t>
            </w:r>
          </w:p>
        </w:tc>
      </w:tr>
      <w:tr w:rsidR="006525C9" w:rsidRPr="00F50C10" w14:paraId="4B4E3E43"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70B4E13" w14:textId="77777777" w:rsidR="006525C9" w:rsidRPr="00F50C10" w:rsidRDefault="006525C9" w:rsidP="000B206D">
            <w:pPr>
              <w:spacing w:line="276" w:lineRule="auto"/>
              <w:rPr>
                <w:rFonts w:cs="Times New Roman"/>
                <w:szCs w:val="24"/>
              </w:rPr>
            </w:pPr>
            <w:r w:rsidRPr="00F50C10">
              <w:rPr>
                <w:rFonts w:cs="Times New Roman"/>
                <w:szCs w:val="24"/>
              </w:rPr>
              <w:t>HVAC</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7BF272B" w14:textId="77777777" w:rsidR="006525C9" w:rsidRPr="00F50C10" w:rsidRDefault="006525C9" w:rsidP="000B206D">
            <w:pPr>
              <w:spacing w:line="276" w:lineRule="auto"/>
              <w:rPr>
                <w:rFonts w:cs="Times New Roman"/>
                <w:szCs w:val="24"/>
              </w:rPr>
            </w:pPr>
            <w:r w:rsidRPr="00F50C10">
              <w:rPr>
                <w:rFonts w:cs="Times New Roman"/>
                <w:szCs w:val="24"/>
              </w:rPr>
              <w:t>ısı/havalandırma/klima</w:t>
            </w:r>
          </w:p>
        </w:tc>
      </w:tr>
      <w:tr w:rsidR="006525C9" w:rsidRPr="00F50C10" w14:paraId="1CF0C3D5"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3B77F89" w14:textId="77777777" w:rsidR="006525C9" w:rsidRPr="00F50C10" w:rsidRDefault="006525C9" w:rsidP="000B206D">
            <w:pPr>
              <w:spacing w:line="276" w:lineRule="auto"/>
              <w:rPr>
                <w:rFonts w:cs="Times New Roman"/>
                <w:szCs w:val="24"/>
              </w:rPr>
            </w:pPr>
            <w:r w:rsidRPr="00F50C10">
              <w:rPr>
                <w:rFonts w:cs="Times New Roman"/>
                <w:szCs w:val="24"/>
              </w:rPr>
              <w:t>HVU</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1A47387" w14:textId="77777777" w:rsidR="006525C9" w:rsidRPr="00F50C10" w:rsidRDefault="006525C9" w:rsidP="000B206D">
            <w:pPr>
              <w:spacing w:line="276" w:lineRule="auto"/>
              <w:rPr>
                <w:rFonts w:cs="Times New Roman"/>
                <w:szCs w:val="24"/>
              </w:rPr>
            </w:pPr>
            <w:r w:rsidRPr="00F50C10">
              <w:rPr>
                <w:rFonts w:cs="Times New Roman"/>
                <w:szCs w:val="24"/>
              </w:rPr>
              <w:t>yüksek vakum ünitesi. Yüksek vakum altında çalışan üretim ünitesi (üretim hattındaki adım)</w:t>
            </w:r>
          </w:p>
        </w:tc>
      </w:tr>
      <w:tr w:rsidR="006525C9" w:rsidRPr="00F50C10" w14:paraId="44F8C20A"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5B958849" w14:textId="77777777" w:rsidR="006525C9" w:rsidRPr="00F50C10" w:rsidRDefault="006525C9" w:rsidP="000B206D">
            <w:pPr>
              <w:spacing w:line="276" w:lineRule="auto"/>
              <w:rPr>
                <w:rFonts w:cs="Times New Roman"/>
                <w:szCs w:val="24"/>
              </w:rPr>
            </w:pPr>
            <w:r w:rsidRPr="00F50C10">
              <w:rPr>
                <w:rFonts w:cs="Times New Roman"/>
                <w:szCs w:val="24"/>
              </w:rPr>
              <w:t>IBC</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29A4FEC" w14:textId="77777777" w:rsidR="006525C9" w:rsidRPr="00F50C10" w:rsidRDefault="006525C9" w:rsidP="000B206D">
            <w:pPr>
              <w:spacing w:line="276" w:lineRule="auto"/>
              <w:rPr>
                <w:rFonts w:cs="Times New Roman"/>
                <w:szCs w:val="24"/>
              </w:rPr>
            </w:pPr>
            <w:r w:rsidRPr="00F50C10">
              <w:rPr>
                <w:rFonts w:cs="Times New Roman"/>
                <w:szCs w:val="24"/>
              </w:rPr>
              <w:t>ara yığın taşıyıcı</w:t>
            </w:r>
          </w:p>
        </w:tc>
      </w:tr>
      <w:tr w:rsidR="006525C9" w:rsidRPr="00F50C10" w14:paraId="69302AC6"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638C10B" w14:textId="77777777" w:rsidR="006525C9" w:rsidRPr="00F50C10" w:rsidRDefault="006525C9" w:rsidP="000B206D">
            <w:pPr>
              <w:spacing w:line="276" w:lineRule="auto"/>
              <w:rPr>
                <w:rFonts w:cs="Times New Roman"/>
                <w:szCs w:val="24"/>
              </w:rPr>
            </w:pPr>
            <w:r w:rsidRPr="00F50C10">
              <w:rPr>
                <w:rFonts w:cs="Times New Roman"/>
                <w:szCs w:val="24"/>
              </w:rPr>
              <w:t>IEF</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A527A72" w14:textId="77777777" w:rsidR="006525C9" w:rsidRPr="00F50C10" w:rsidRDefault="006525C9" w:rsidP="000B206D">
            <w:pPr>
              <w:spacing w:line="276" w:lineRule="auto"/>
              <w:rPr>
                <w:rFonts w:cs="Times New Roman"/>
                <w:szCs w:val="24"/>
              </w:rPr>
            </w:pPr>
            <w:r w:rsidRPr="00F50C10">
              <w:rPr>
                <w:rFonts w:cs="Times New Roman"/>
                <w:szCs w:val="24"/>
              </w:rPr>
              <w:t>Bilgi Alışverişi Forumu (Information Exchange Forum) (EKÖK Direktifi çerçevesindeki gayriresmi danışma kurumu).</w:t>
            </w:r>
          </w:p>
        </w:tc>
      </w:tr>
      <w:tr w:rsidR="006525C9" w:rsidRPr="00F50C10" w14:paraId="0E3E4D1E"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7E5D314" w14:textId="29B38840" w:rsidR="006525C9" w:rsidRPr="00F50C10" w:rsidRDefault="006525C9" w:rsidP="000B206D">
            <w:pPr>
              <w:spacing w:line="276" w:lineRule="auto"/>
              <w:rPr>
                <w:rFonts w:cs="Times New Roman"/>
                <w:szCs w:val="24"/>
              </w:rPr>
            </w:pP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6DFAEB6" w14:textId="505D6333" w:rsidR="006525C9" w:rsidRPr="00F50C10" w:rsidRDefault="006525C9" w:rsidP="000B206D">
            <w:pPr>
              <w:spacing w:line="276" w:lineRule="auto"/>
              <w:rPr>
                <w:rFonts w:cs="Times New Roman"/>
                <w:szCs w:val="24"/>
              </w:rPr>
            </w:pPr>
          </w:p>
        </w:tc>
      </w:tr>
      <w:tr w:rsidR="006525C9" w:rsidRPr="00F50C10" w14:paraId="204E5976"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072138F1" w14:textId="77777777" w:rsidR="006525C9" w:rsidRPr="00F50C10" w:rsidRDefault="006525C9" w:rsidP="000B206D">
            <w:pPr>
              <w:spacing w:line="276" w:lineRule="auto"/>
              <w:rPr>
                <w:rFonts w:cs="Times New Roman"/>
                <w:szCs w:val="24"/>
              </w:rPr>
            </w:pPr>
            <w:r w:rsidRPr="00F50C10">
              <w:rPr>
                <w:rFonts w:cs="Times New Roman"/>
                <w:szCs w:val="24"/>
              </w:rPr>
              <w:t>imisyon</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0921C24" w14:textId="77777777" w:rsidR="006525C9" w:rsidRPr="00F50C10" w:rsidRDefault="006525C9" w:rsidP="000B206D">
            <w:pPr>
              <w:spacing w:line="276" w:lineRule="auto"/>
              <w:rPr>
                <w:rFonts w:cs="Times New Roman"/>
                <w:szCs w:val="24"/>
              </w:rPr>
            </w:pPr>
            <w:r w:rsidRPr="00F50C10">
              <w:rPr>
                <w:rFonts w:cs="Times New Roman"/>
                <w:szCs w:val="24"/>
              </w:rPr>
              <w:t>çevredeki kirletici madde, koku veya gürültünün meydana gelmesi ve düzeyi</w:t>
            </w:r>
          </w:p>
        </w:tc>
      </w:tr>
      <w:tr w:rsidR="006525C9" w:rsidRPr="00F50C10" w14:paraId="5E78EAF2"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8CAC92C" w14:textId="77777777" w:rsidR="006525C9" w:rsidRPr="00F50C10" w:rsidRDefault="006525C9" w:rsidP="000B206D">
            <w:pPr>
              <w:spacing w:line="276" w:lineRule="auto"/>
              <w:rPr>
                <w:rFonts w:cs="Times New Roman"/>
                <w:szCs w:val="24"/>
              </w:rPr>
            </w:pPr>
            <w:r w:rsidRPr="00F50C10">
              <w:rPr>
                <w:rFonts w:cs="Times New Roman"/>
                <w:szCs w:val="24"/>
              </w:rPr>
              <w:t>IPS</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6949DDD" w14:textId="77777777" w:rsidR="006525C9" w:rsidRPr="00F50C10" w:rsidRDefault="006525C9" w:rsidP="000B206D">
            <w:pPr>
              <w:spacing w:line="276" w:lineRule="auto"/>
              <w:rPr>
                <w:rFonts w:cs="Times New Roman"/>
                <w:szCs w:val="24"/>
              </w:rPr>
            </w:pPr>
            <w:r w:rsidRPr="00F50C10">
              <w:rPr>
                <w:rFonts w:cs="Times New Roman"/>
                <w:szCs w:val="24"/>
              </w:rPr>
              <w:t>darbeye dirençli polistiren</w:t>
            </w:r>
          </w:p>
        </w:tc>
      </w:tr>
      <w:tr w:rsidR="006525C9" w:rsidRPr="00F50C10" w14:paraId="548E8535"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5FDA2093" w14:textId="77777777" w:rsidR="006525C9" w:rsidRPr="00F50C10" w:rsidRDefault="006525C9" w:rsidP="000B206D">
            <w:pPr>
              <w:spacing w:line="276" w:lineRule="auto"/>
              <w:rPr>
                <w:rFonts w:cs="Times New Roman"/>
                <w:szCs w:val="24"/>
              </w:rPr>
            </w:pPr>
            <w:r w:rsidRPr="00F50C10">
              <w:rPr>
                <w:rFonts w:cs="Times New Roman"/>
                <w:szCs w:val="24"/>
              </w:rPr>
              <w:t>IV</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E209F5D" w14:textId="77777777" w:rsidR="006525C9" w:rsidRPr="00F50C10" w:rsidRDefault="006525C9" w:rsidP="000B206D">
            <w:pPr>
              <w:spacing w:line="276" w:lineRule="auto"/>
              <w:rPr>
                <w:rFonts w:cs="Times New Roman"/>
                <w:szCs w:val="24"/>
              </w:rPr>
            </w:pPr>
            <w:r w:rsidRPr="00F50C10">
              <w:rPr>
                <w:rFonts w:cs="Times New Roman"/>
                <w:szCs w:val="24"/>
              </w:rPr>
              <w:t>içsel viskozite</w:t>
            </w:r>
          </w:p>
        </w:tc>
      </w:tr>
      <w:tr w:rsidR="006525C9" w:rsidRPr="00F50C10" w14:paraId="7C2FF6CC"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A991499" w14:textId="08087C65" w:rsidR="006525C9" w:rsidRPr="00F50C10" w:rsidRDefault="006525C9" w:rsidP="000B206D">
            <w:pPr>
              <w:spacing w:line="276" w:lineRule="auto"/>
              <w:rPr>
                <w:rFonts w:cs="Times New Roman"/>
                <w:szCs w:val="24"/>
              </w:rPr>
            </w:pP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5DB82352" w14:textId="7C87FD2C" w:rsidR="006525C9" w:rsidRPr="00F50C10" w:rsidRDefault="006525C9" w:rsidP="000B206D">
            <w:pPr>
              <w:spacing w:line="276" w:lineRule="auto"/>
              <w:rPr>
                <w:rFonts w:cs="Times New Roman"/>
                <w:szCs w:val="24"/>
              </w:rPr>
            </w:pPr>
          </w:p>
        </w:tc>
      </w:tr>
      <w:tr w:rsidR="006525C9" w:rsidRPr="00F50C10" w14:paraId="3CB8D4BA"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571BF388" w14:textId="79079E73" w:rsidR="006525C9" w:rsidRPr="00F50C10" w:rsidRDefault="006525C9" w:rsidP="000B206D">
            <w:pPr>
              <w:spacing w:line="276" w:lineRule="auto"/>
              <w:rPr>
                <w:rFonts w:cs="Times New Roman"/>
                <w:szCs w:val="24"/>
              </w:rPr>
            </w:pP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65A9952" w14:textId="2D1AD26E" w:rsidR="006525C9" w:rsidRPr="00F50C10" w:rsidRDefault="006525C9" w:rsidP="000B206D">
            <w:pPr>
              <w:spacing w:line="276" w:lineRule="auto"/>
              <w:rPr>
                <w:rFonts w:cs="Times New Roman"/>
                <w:szCs w:val="24"/>
              </w:rPr>
            </w:pPr>
          </w:p>
        </w:tc>
      </w:tr>
      <w:tr w:rsidR="006525C9" w:rsidRPr="00F50C10" w14:paraId="63831AC8"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9C5B9AA" w14:textId="77777777" w:rsidR="006525C9" w:rsidRPr="00F50C10" w:rsidRDefault="006525C9" w:rsidP="000B206D">
            <w:pPr>
              <w:spacing w:line="276" w:lineRule="auto"/>
              <w:rPr>
                <w:rFonts w:cs="Times New Roman"/>
                <w:szCs w:val="24"/>
              </w:rPr>
            </w:pPr>
            <w:r w:rsidRPr="00F50C10">
              <w:rPr>
                <w:rFonts w:cs="Times New Roman"/>
                <w:szCs w:val="24"/>
              </w:rPr>
              <w:t>KBS</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51707D48" w14:textId="77777777" w:rsidR="006525C9" w:rsidRPr="00F50C10" w:rsidRDefault="006525C9" w:rsidP="000B206D">
            <w:pPr>
              <w:spacing w:line="276" w:lineRule="auto"/>
              <w:rPr>
                <w:rFonts w:cs="Times New Roman"/>
                <w:szCs w:val="24"/>
              </w:rPr>
            </w:pPr>
            <w:r w:rsidRPr="00F50C10">
              <w:rPr>
                <w:rFonts w:cs="Times New Roman"/>
                <w:szCs w:val="24"/>
              </w:rPr>
              <w:t>buhar üretmeye yönelik kazan besleme suyu</w:t>
            </w:r>
          </w:p>
        </w:tc>
      </w:tr>
      <w:tr w:rsidR="006525C9" w:rsidRPr="00F50C10" w14:paraId="32EA59E4"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7A74C83" w14:textId="2ABFE1A0" w:rsidR="006525C9" w:rsidRPr="00F50C10" w:rsidRDefault="006525C9" w:rsidP="000B206D">
            <w:pPr>
              <w:spacing w:line="276" w:lineRule="auto"/>
              <w:rPr>
                <w:rFonts w:cs="Times New Roman"/>
                <w:szCs w:val="24"/>
              </w:rPr>
            </w:pP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82F1FF9" w14:textId="04BB913F" w:rsidR="006525C9" w:rsidRPr="00F50C10" w:rsidRDefault="006525C9" w:rsidP="000B206D">
            <w:pPr>
              <w:spacing w:line="276" w:lineRule="auto"/>
              <w:rPr>
                <w:rFonts w:cs="Times New Roman"/>
                <w:szCs w:val="24"/>
              </w:rPr>
            </w:pPr>
          </w:p>
        </w:tc>
      </w:tr>
      <w:tr w:rsidR="006525C9" w:rsidRPr="00F50C10" w14:paraId="49939991"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63874FC6" w14:textId="77777777" w:rsidR="006525C9" w:rsidRPr="00F50C10" w:rsidRDefault="006525C9" w:rsidP="000B206D">
            <w:pPr>
              <w:spacing w:line="276" w:lineRule="auto"/>
              <w:rPr>
                <w:rFonts w:cs="Times New Roman"/>
                <w:szCs w:val="24"/>
              </w:rPr>
            </w:pPr>
            <w:r w:rsidRPr="00F50C10">
              <w:rPr>
                <w:rFonts w:cs="Times New Roman"/>
                <w:szCs w:val="24"/>
              </w:rPr>
              <w:t>KK</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590C57DD" w14:textId="77777777" w:rsidR="006525C9" w:rsidRPr="00F50C10" w:rsidRDefault="006525C9" w:rsidP="000B206D">
            <w:pPr>
              <w:spacing w:line="276" w:lineRule="auto"/>
              <w:rPr>
                <w:rFonts w:cs="Times New Roman"/>
                <w:szCs w:val="24"/>
              </w:rPr>
            </w:pPr>
            <w:r w:rsidRPr="00F50C10">
              <w:rPr>
                <w:rFonts w:cs="Times New Roman"/>
                <w:szCs w:val="24"/>
              </w:rPr>
              <w:t>kuru katı (içeriği). Materyalin standart test yöntemi ile kurutulduktan sonra kalan kütlesi.</w:t>
            </w:r>
          </w:p>
        </w:tc>
      </w:tr>
      <w:tr w:rsidR="006525C9" w:rsidRPr="00F50C10" w14:paraId="70030CA9"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E77392D" w14:textId="77777777" w:rsidR="006525C9" w:rsidRPr="00F50C10" w:rsidRDefault="006525C9" w:rsidP="000B206D">
            <w:pPr>
              <w:spacing w:line="276" w:lineRule="auto"/>
              <w:rPr>
                <w:rFonts w:cs="Times New Roman"/>
                <w:szCs w:val="24"/>
              </w:rPr>
            </w:pPr>
            <w:r w:rsidRPr="00F50C10">
              <w:rPr>
                <w:rFonts w:cs="Times New Roman"/>
                <w:szCs w:val="24"/>
              </w:rPr>
              <w:t>KOBİ</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7ED94398" w14:textId="77777777" w:rsidR="006525C9" w:rsidRPr="00F50C10" w:rsidRDefault="006525C9" w:rsidP="000B206D">
            <w:pPr>
              <w:spacing w:line="276" w:lineRule="auto"/>
              <w:rPr>
                <w:rFonts w:cs="Times New Roman"/>
                <w:szCs w:val="24"/>
              </w:rPr>
            </w:pPr>
            <w:r w:rsidRPr="00F50C10">
              <w:rPr>
                <w:rFonts w:cs="Times New Roman"/>
                <w:szCs w:val="24"/>
              </w:rPr>
              <w:t>küçük ve orta büyüklükte işletme(ler)</w:t>
            </w:r>
          </w:p>
        </w:tc>
      </w:tr>
      <w:tr w:rsidR="006525C9" w:rsidRPr="00F50C10" w14:paraId="67EEA74E"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4009A5B5" w14:textId="77777777" w:rsidR="006525C9" w:rsidRPr="00F50C10" w:rsidRDefault="006525C9" w:rsidP="000B206D">
            <w:pPr>
              <w:spacing w:line="276" w:lineRule="auto"/>
              <w:rPr>
                <w:rFonts w:cs="Times New Roman"/>
                <w:szCs w:val="24"/>
              </w:rPr>
            </w:pPr>
            <w:r w:rsidRPr="00F50C10">
              <w:rPr>
                <w:rFonts w:cs="Times New Roman"/>
                <w:szCs w:val="24"/>
              </w:rPr>
              <w:t>KOİ</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D26E366" w14:textId="77777777" w:rsidR="006525C9" w:rsidRPr="00F50C10" w:rsidRDefault="006525C9" w:rsidP="000B206D">
            <w:pPr>
              <w:spacing w:line="276" w:lineRule="auto"/>
              <w:rPr>
                <w:rFonts w:cs="Times New Roman"/>
                <w:szCs w:val="24"/>
              </w:rPr>
            </w:pPr>
            <w:r w:rsidRPr="00F50C10">
              <w:rPr>
                <w:rFonts w:cs="Times New Roman"/>
                <w:szCs w:val="24"/>
              </w:rPr>
              <w:t>kimyasal oksijen ihtiyacı: atık suda bulunan maddeleri yaklaşık 150 °C’de kimyasal olarak yükseltgemek için gereken, oksijen olarak ifade edilen potasyum dikromat miktarı.</w:t>
            </w:r>
          </w:p>
        </w:tc>
      </w:tr>
      <w:tr w:rsidR="006525C9" w:rsidRPr="00F50C10" w14:paraId="282C395F"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499540B7" w14:textId="77777777" w:rsidR="006525C9" w:rsidRPr="00F50C10" w:rsidRDefault="006525C9" w:rsidP="000B206D">
            <w:pPr>
              <w:spacing w:line="276" w:lineRule="auto"/>
              <w:rPr>
                <w:rFonts w:cs="Times New Roman"/>
                <w:szCs w:val="24"/>
              </w:rPr>
            </w:pPr>
            <w:r w:rsidRPr="00F50C10">
              <w:rPr>
                <w:rFonts w:cs="Times New Roman"/>
                <w:szCs w:val="24"/>
              </w:rPr>
              <w:t>Konkarbon</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7DE07D1A" w14:textId="77777777" w:rsidR="006525C9" w:rsidRPr="00F50C10" w:rsidRDefault="006525C9" w:rsidP="000B206D">
            <w:pPr>
              <w:spacing w:line="276" w:lineRule="auto"/>
              <w:rPr>
                <w:rFonts w:cs="Times New Roman"/>
                <w:szCs w:val="24"/>
              </w:rPr>
            </w:pPr>
            <w:r w:rsidRPr="00F50C10">
              <w:rPr>
                <w:rFonts w:cs="Times New Roman"/>
                <w:szCs w:val="24"/>
              </w:rPr>
              <w:t>Conradson karbon = karbon kalıntısı miktarı</w:t>
            </w:r>
          </w:p>
        </w:tc>
      </w:tr>
      <w:tr w:rsidR="006525C9" w:rsidRPr="00F50C10" w14:paraId="1CEBE526"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43A1ACC8" w14:textId="77777777" w:rsidR="006525C9" w:rsidRPr="00F50C10" w:rsidRDefault="006525C9" w:rsidP="000B206D">
            <w:pPr>
              <w:spacing w:line="276" w:lineRule="auto"/>
              <w:rPr>
                <w:rFonts w:cs="Times New Roman"/>
                <w:szCs w:val="24"/>
              </w:rPr>
            </w:pPr>
            <w:r w:rsidRPr="00F50C10">
              <w:rPr>
                <w:rFonts w:cs="Times New Roman"/>
                <w:szCs w:val="24"/>
              </w:rPr>
              <w:t>LDAR</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C6E4222" w14:textId="77777777" w:rsidR="006525C9" w:rsidRPr="00F50C10" w:rsidRDefault="006525C9" w:rsidP="000B206D">
            <w:pPr>
              <w:spacing w:line="276" w:lineRule="auto"/>
              <w:rPr>
                <w:rFonts w:cs="Times New Roman"/>
                <w:szCs w:val="24"/>
              </w:rPr>
            </w:pPr>
            <w:r w:rsidRPr="00F50C10">
              <w:rPr>
                <w:rFonts w:cs="Times New Roman"/>
                <w:szCs w:val="24"/>
              </w:rPr>
              <w:t>sızıntı tespit ve onarım programı</w:t>
            </w:r>
          </w:p>
        </w:tc>
      </w:tr>
      <w:tr w:rsidR="006525C9" w:rsidRPr="00F50C10" w14:paraId="79ACAD7E"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20C2B1A2" w14:textId="77777777" w:rsidR="006525C9" w:rsidRPr="00F50C10" w:rsidRDefault="006525C9" w:rsidP="000B206D">
            <w:pPr>
              <w:spacing w:line="276" w:lineRule="auto"/>
              <w:rPr>
                <w:rFonts w:cs="Times New Roman"/>
                <w:szCs w:val="24"/>
              </w:rPr>
            </w:pPr>
            <w:r w:rsidRPr="00F50C10">
              <w:rPr>
                <w:rFonts w:cs="Times New Roman"/>
                <w:szCs w:val="24"/>
              </w:rPr>
              <w:t>LDPE</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8254A9F" w14:textId="77777777" w:rsidR="006525C9" w:rsidRPr="00F50C10" w:rsidRDefault="006525C9" w:rsidP="000B206D">
            <w:pPr>
              <w:spacing w:line="276" w:lineRule="auto"/>
              <w:rPr>
                <w:rFonts w:cs="Times New Roman"/>
                <w:szCs w:val="24"/>
              </w:rPr>
            </w:pPr>
            <w:r w:rsidRPr="00F50C10">
              <w:rPr>
                <w:rFonts w:cs="Times New Roman"/>
                <w:szCs w:val="24"/>
              </w:rPr>
              <w:t>alçak yoğunluklu polietilen</w:t>
            </w:r>
          </w:p>
        </w:tc>
      </w:tr>
      <w:tr w:rsidR="006525C9" w:rsidRPr="00F50C10" w14:paraId="3E9E3A75"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088C503" w14:textId="77777777" w:rsidR="006525C9" w:rsidRPr="00F50C10" w:rsidRDefault="006525C9" w:rsidP="000B206D">
            <w:pPr>
              <w:spacing w:line="276" w:lineRule="auto"/>
              <w:rPr>
                <w:rFonts w:cs="Times New Roman"/>
                <w:szCs w:val="24"/>
              </w:rPr>
            </w:pPr>
            <w:r w:rsidRPr="00F50C10">
              <w:rPr>
                <w:rFonts w:cs="Times New Roman"/>
                <w:szCs w:val="24"/>
              </w:rPr>
              <w:t>LLDPE</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9FB093D" w14:textId="77777777" w:rsidR="006525C9" w:rsidRPr="00F50C10" w:rsidRDefault="006525C9" w:rsidP="000B206D">
            <w:pPr>
              <w:spacing w:line="276" w:lineRule="auto"/>
              <w:rPr>
                <w:rFonts w:cs="Times New Roman"/>
                <w:szCs w:val="24"/>
              </w:rPr>
            </w:pPr>
            <w:r w:rsidRPr="00F50C10">
              <w:rPr>
                <w:rFonts w:cs="Times New Roman"/>
                <w:szCs w:val="24"/>
              </w:rPr>
              <w:t>lineer alçak yoğunluklu polietilen</w:t>
            </w:r>
          </w:p>
        </w:tc>
      </w:tr>
      <w:tr w:rsidR="006525C9" w:rsidRPr="00F50C10" w14:paraId="74A0D37B"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5735776A" w14:textId="77777777" w:rsidR="006525C9" w:rsidRPr="00F50C10" w:rsidRDefault="006525C9" w:rsidP="000B206D">
            <w:pPr>
              <w:spacing w:line="276" w:lineRule="auto"/>
              <w:rPr>
                <w:rFonts w:cs="Times New Roman"/>
                <w:szCs w:val="24"/>
              </w:rPr>
            </w:pPr>
            <w:r w:rsidRPr="00F50C10">
              <w:rPr>
                <w:rFonts w:cs="Times New Roman"/>
                <w:szCs w:val="24"/>
              </w:rPr>
              <w:t>LOEC</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39330057" w14:textId="77777777" w:rsidR="006525C9" w:rsidRPr="00F50C10" w:rsidRDefault="006525C9" w:rsidP="000B206D">
            <w:pPr>
              <w:spacing w:line="276" w:lineRule="auto"/>
              <w:rPr>
                <w:rFonts w:cs="Times New Roman"/>
                <w:szCs w:val="24"/>
              </w:rPr>
            </w:pPr>
            <w:r w:rsidRPr="00F50C10">
              <w:rPr>
                <w:rFonts w:cs="Times New Roman"/>
                <w:szCs w:val="24"/>
              </w:rPr>
              <w:t>gözlenen en düşük etki derişimi. Bir test maddesinin, olumsuz etkilerin gözlemlenebildiği deneysel olarak belirlenen en düşük derişimi</w:t>
            </w:r>
          </w:p>
        </w:tc>
      </w:tr>
      <w:tr w:rsidR="006525C9" w:rsidRPr="00F50C10" w14:paraId="5F7CE182"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58DE19A2" w14:textId="77777777" w:rsidR="006525C9" w:rsidRPr="00F50C10" w:rsidRDefault="006525C9" w:rsidP="000B206D">
            <w:pPr>
              <w:spacing w:line="276" w:lineRule="auto"/>
              <w:rPr>
                <w:rFonts w:cs="Times New Roman"/>
                <w:szCs w:val="24"/>
              </w:rPr>
            </w:pPr>
            <w:r w:rsidRPr="00F50C10">
              <w:rPr>
                <w:rFonts w:cs="Times New Roman"/>
                <w:szCs w:val="24"/>
              </w:rPr>
              <w:t>LP</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5B8A30BE" w14:textId="77777777" w:rsidR="006525C9" w:rsidRPr="00F50C10" w:rsidRDefault="006525C9" w:rsidP="000B206D">
            <w:pPr>
              <w:spacing w:line="276" w:lineRule="auto"/>
              <w:rPr>
                <w:rFonts w:cs="Times New Roman"/>
                <w:szCs w:val="24"/>
              </w:rPr>
            </w:pPr>
            <w:r w:rsidRPr="00F50C10">
              <w:rPr>
                <w:rFonts w:cs="Times New Roman"/>
                <w:szCs w:val="24"/>
              </w:rPr>
              <w:t>alçak basınç</w:t>
            </w:r>
          </w:p>
        </w:tc>
      </w:tr>
      <w:tr w:rsidR="006525C9" w:rsidRPr="00F50C10" w14:paraId="68ECD4D9"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54E41510" w14:textId="77777777" w:rsidR="006525C9" w:rsidRPr="00F50C10" w:rsidRDefault="006525C9" w:rsidP="000B206D">
            <w:pPr>
              <w:spacing w:line="276" w:lineRule="auto"/>
              <w:rPr>
                <w:rFonts w:cs="Times New Roman"/>
                <w:szCs w:val="24"/>
              </w:rPr>
            </w:pPr>
            <w:r w:rsidRPr="00F50C10">
              <w:rPr>
                <w:rFonts w:cs="Times New Roman"/>
                <w:szCs w:val="24"/>
              </w:rPr>
              <w:t>LPS</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D08E2AD" w14:textId="77777777" w:rsidR="006525C9" w:rsidRPr="00F50C10" w:rsidRDefault="006525C9" w:rsidP="000B206D">
            <w:pPr>
              <w:spacing w:line="276" w:lineRule="auto"/>
              <w:rPr>
                <w:rFonts w:cs="Times New Roman"/>
                <w:szCs w:val="24"/>
              </w:rPr>
            </w:pPr>
            <w:r w:rsidRPr="00F50C10">
              <w:rPr>
                <w:rFonts w:cs="Times New Roman"/>
                <w:szCs w:val="24"/>
              </w:rPr>
              <w:t>alçak basınç ayırıcı</w:t>
            </w:r>
          </w:p>
        </w:tc>
      </w:tr>
      <w:tr w:rsidR="006525C9" w:rsidRPr="00F50C10" w14:paraId="5A4D9F00"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60AE660B" w14:textId="77777777" w:rsidR="006525C9" w:rsidRPr="00F50C10" w:rsidRDefault="006525C9" w:rsidP="000B206D">
            <w:pPr>
              <w:spacing w:line="276" w:lineRule="auto"/>
              <w:rPr>
                <w:rFonts w:cs="Times New Roman"/>
                <w:szCs w:val="24"/>
              </w:rPr>
            </w:pPr>
            <w:r w:rsidRPr="00F50C10">
              <w:rPr>
                <w:rFonts w:cs="Times New Roman"/>
                <w:szCs w:val="24"/>
              </w:rPr>
              <w:t>LTD</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D8D8C57" w14:textId="77777777" w:rsidR="006525C9" w:rsidRPr="00F50C10" w:rsidRDefault="006525C9" w:rsidP="000B206D">
            <w:pPr>
              <w:spacing w:line="276" w:lineRule="auto"/>
              <w:rPr>
                <w:rFonts w:cs="Times New Roman"/>
                <w:szCs w:val="24"/>
              </w:rPr>
            </w:pPr>
            <w:r w:rsidRPr="00F50C10">
              <w:rPr>
                <w:rFonts w:cs="Times New Roman"/>
                <w:szCs w:val="24"/>
              </w:rPr>
              <w:t>düşük sıcaklıkta kurutma</w:t>
            </w:r>
          </w:p>
        </w:tc>
      </w:tr>
      <w:tr w:rsidR="006525C9" w:rsidRPr="00F50C10" w14:paraId="66256107"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6ED9A215" w14:textId="77777777" w:rsidR="006525C9" w:rsidRPr="00F50C10" w:rsidRDefault="006525C9" w:rsidP="000B206D">
            <w:pPr>
              <w:spacing w:line="276" w:lineRule="auto"/>
              <w:rPr>
                <w:rFonts w:cs="Times New Roman"/>
                <w:szCs w:val="24"/>
              </w:rPr>
            </w:pPr>
            <w:r w:rsidRPr="00F50C10">
              <w:rPr>
                <w:rFonts w:cs="Times New Roman"/>
                <w:szCs w:val="24"/>
              </w:rPr>
              <w:t>MDI</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E2BECBA" w14:textId="77777777" w:rsidR="006525C9" w:rsidRPr="00F50C10" w:rsidRDefault="006525C9" w:rsidP="000B206D">
            <w:pPr>
              <w:spacing w:line="276" w:lineRule="auto"/>
              <w:rPr>
                <w:rFonts w:cs="Times New Roman"/>
                <w:szCs w:val="24"/>
              </w:rPr>
            </w:pPr>
            <w:r w:rsidRPr="00F50C10">
              <w:rPr>
                <w:rFonts w:cs="Times New Roman"/>
                <w:szCs w:val="24"/>
              </w:rPr>
              <w:t>metilen difenil diizosiyanat</w:t>
            </w:r>
          </w:p>
        </w:tc>
      </w:tr>
      <w:tr w:rsidR="006525C9" w:rsidRPr="00F50C10" w14:paraId="49185780"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430831FE" w14:textId="77777777" w:rsidR="006525C9" w:rsidRPr="00F50C10" w:rsidRDefault="006525C9" w:rsidP="000B206D">
            <w:pPr>
              <w:spacing w:line="276" w:lineRule="auto"/>
              <w:rPr>
                <w:rFonts w:cs="Times New Roman"/>
                <w:szCs w:val="24"/>
              </w:rPr>
            </w:pPr>
            <w:r w:rsidRPr="00F50C10">
              <w:rPr>
                <w:rFonts w:cs="Times New Roman"/>
                <w:szCs w:val="24"/>
              </w:rPr>
              <w:t>MDPE</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C72BF0E" w14:textId="77777777" w:rsidR="006525C9" w:rsidRPr="00F50C10" w:rsidRDefault="006525C9" w:rsidP="000B206D">
            <w:pPr>
              <w:spacing w:line="276" w:lineRule="auto"/>
              <w:rPr>
                <w:rFonts w:cs="Times New Roman"/>
                <w:szCs w:val="24"/>
              </w:rPr>
            </w:pPr>
            <w:r w:rsidRPr="00F50C10">
              <w:rPr>
                <w:rFonts w:cs="Times New Roman"/>
                <w:szCs w:val="24"/>
              </w:rPr>
              <w:t>orta yoğunluk polietilen</w:t>
            </w:r>
          </w:p>
        </w:tc>
      </w:tr>
      <w:tr w:rsidR="006525C9" w:rsidRPr="00F50C10" w14:paraId="7A61A57C" w14:textId="77777777" w:rsidTr="006E1E93">
        <w:trPr>
          <w:jc w:val="center"/>
        </w:trPr>
        <w:tc>
          <w:tcPr>
            <w:tcW w:w="987" w:type="pct"/>
            <w:tcBorders>
              <w:top w:val="single" w:sz="6" w:space="0" w:color="auto"/>
              <w:left w:val="single" w:sz="6" w:space="0" w:color="auto"/>
              <w:right w:val="single" w:sz="6" w:space="0" w:color="auto"/>
            </w:tcBorders>
            <w:shd w:val="clear" w:color="auto" w:fill="auto"/>
          </w:tcPr>
          <w:p w14:paraId="45E1940E" w14:textId="77777777" w:rsidR="006525C9" w:rsidRPr="00F50C10" w:rsidRDefault="006525C9" w:rsidP="000B206D">
            <w:pPr>
              <w:spacing w:line="276" w:lineRule="auto"/>
              <w:rPr>
                <w:rFonts w:cs="Times New Roman"/>
                <w:szCs w:val="24"/>
              </w:rPr>
            </w:pPr>
            <w:r w:rsidRPr="00F50C10">
              <w:rPr>
                <w:rFonts w:cs="Times New Roman"/>
                <w:szCs w:val="24"/>
              </w:rPr>
              <w:t>Medyan</w:t>
            </w:r>
          </w:p>
        </w:tc>
        <w:tc>
          <w:tcPr>
            <w:tcW w:w="4013" w:type="pct"/>
            <w:tcBorders>
              <w:top w:val="single" w:sz="6" w:space="0" w:color="auto"/>
              <w:left w:val="single" w:sz="6" w:space="0" w:color="auto"/>
              <w:right w:val="single" w:sz="6" w:space="0" w:color="auto"/>
            </w:tcBorders>
            <w:shd w:val="clear" w:color="auto" w:fill="auto"/>
          </w:tcPr>
          <w:p w14:paraId="79F9ACA8" w14:textId="77777777" w:rsidR="006525C9" w:rsidRPr="00F50C10" w:rsidRDefault="006525C9" w:rsidP="000B206D">
            <w:pPr>
              <w:spacing w:line="276" w:lineRule="auto"/>
              <w:rPr>
                <w:rFonts w:cs="Times New Roman"/>
                <w:szCs w:val="24"/>
              </w:rPr>
            </w:pPr>
            <w:r w:rsidRPr="00F50C10">
              <w:rPr>
                <w:rFonts w:cs="Times New Roman"/>
                <w:szCs w:val="24"/>
              </w:rPr>
              <w:t>vakaların %50'sinin altında kaldığı değer</w:t>
            </w:r>
          </w:p>
        </w:tc>
      </w:tr>
      <w:tr w:rsidR="006525C9" w:rsidRPr="00F50C10" w14:paraId="1C220966"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0F167B03" w14:textId="77777777" w:rsidR="006525C9" w:rsidRPr="00F50C10" w:rsidRDefault="006525C9" w:rsidP="000B206D">
            <w:pPr>
              <w:spacing w:line="276" w:lineRule="auto"/>
              <w:rPr>
                <w:rFonts w:cs="Times New Roman"/>
                <w:szCs w:val="24"/>
              </w:rPr>
            </w:pPr>
            <w:r w:rsidRPr="00F50C10">
              <w:rPr>
                <w:rFonts w:cs="Times New Roman"/>
                <w:szCs w:val="24"/>
              </w:rPr>
              <w:t>MEG</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C79EA65" w14:textId="77777777" w:rsidR="006525C9" w:rsidRPr="00F50C10" w:rsidRDefault="006525C9" w:rsidP="000B206D">
            <w:pPr>
              <w:spacing w:line="276" w:lineRule="auto"/>
              <w:rPr>
                <w:rFonts w:cs="Times New Roman"/>
                <w:szCs w:val="24"/>
              </w:rPr>
            </w:pPr>
            <w:r w:rsidRPr="00F50C10">
              <w:rPr>
                <w:rFonts w:cs="Times New Roman"/>
                <w:szCs w:val="24"/>
              </w:rPr>
              <w:t>Mono etilen glikol</w:t>
            </w:r>
          </w:p>
        </w:tc>
      </w:tr>
      <w:tr w:rsidR="006525C9" w:rsidRPr="00F50C10" w14:paraId="7A02E1A8"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60CF4653" w14:textId="77777777" w:rsidR="006525C9" w:rsidRPr="00F50C10" w:rsidRDefault="006525C9" w:rsidP="000B206D">
            <w:pPr>
              <w:spacing w:line="276" w:lineRule="auto"/>
              <w:rPr>
                <w:rFonts w:cs="Times New Roman"/>
                <w:szCs w:val="24"/>
              </w:rPr>
            </w:pPr>
            <w:r w:rsidRPr="00F50C10">
              <w:rPr>
                <w:rFonts w:cs="Times New Roman"/>
                <w:szCs w:val="24"/>
              </w:rPr>
              <w:t>Mevcut tesis</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AC9C7CE" w14:textId="77777777" w:rsidR="006525C9" w:rsidRPr="00F50C10" w:rsidRDefault="006525C9" w:rsidP="000B206D">
            <w:pPr>
              <w:spacing w:line="276" w:lineRule="auto"/>
              <w:rPr>
                <w:rFonts w:cs="Times New Roman"/>
                <w:szCs w:val="24"/>
              </w:rPr>
            </w:pPr>
            <w:r w:rsidRPr="00F50C10">
              <w:rPr>
                <w:rFonts w:cs="Times New Roman"/>
                <w:szCs w:val="24"/>
              </w:rPr>
              <w:t>En İyi Tekniklerle Sanayi Emisyonlarının Yönetimi Yönetmeliği kapsamında yer alan faaliyetleri yürüten tesislerden, bu Yönetmeliğin yayımlandığı tarihten önce kurulmuş veya Çevresel Etki Değerlendirmesi Mevzuatına göre kurulması uygun bulunan tesis/ Yeni olmayan bir tesis</w:t>
            </w:r>
          </w:p>
        </w:tc>
      </w:tr>
      <w:tr w:rsidR="006525C9" w:rsidRPr="00F50C10" w14:paraId="5D5C39EC"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5B97D03B" w14:textId="77777777" w:rsidR="006525C9" w:rsidRPr="00F50C10" w:rsidRDefault="006525C9" w:rsidP="000B206D">
            <w:pPr>
              <w:spacing w:line="276" w:lineRule="auto"/>
              <w:rPr>
                <w:rFonts w:cs="Times New Roman"/>
                <w:szCs w:val="24"/>
              </w:rPr>
            </w:pPr>
            <w:r w:rsidRPr="00F50C10">
              <w:rPr>
                <w:rFonts w:cs="Times New Roman"/>
                <w:szCs w:val="24"/>
              </w:rPr>
              <w:t>MF</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A1C5E58" w14:textId="77777777" w:rsidR="006525C9" w:rsidRPr="00F50C10" w:rsidRDefault="006525C9" w:rsidP="000B206D">
            <w:pPr>
              <w:spacing w:line="276" w:lineRule="auto"/>
              <w:rPr>
                <w:rFonts w:cs="Times New Roman"/>
                <w:szCs w:val="24"/>
              </w:rPr>
            </w:pPr>
            <w:r w:rsidRPr="00F50C10">
              <w:rPr>
                <w:rFonts w:cs="Times New Roman"/>
                <w:szCs w:val="24"/>
              </w:rPr>
              <w:t>membran filtreleme</w:t>
            </w:r>
          </w:p>
        </w:tc>
      </w:tr>
      <w:tr w:rsidR="006525C9" w:rsidRPr="00F50C10" w14:paraId="072F2E05"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626F86A" w14:textId="77777777" w:rsidR="006525C9" w:rsidRPr="00F50C10" w:rsidRDefault="006525C9" w:rsidP="000B206D">
            <w:pPr>
              <w:spacing w:line="276" w:lineRule="auto"/>
              <w:rPr>
                <w:rFonts w:cs="Times New Roman"/>
                <w:szCs w:val="24"/>
              </w:rPr>
            </w:pPr>
            <w:r w:rsidRPr="00F50C10">
              <w:rPr>
                <w:rFonts w:cs="Times New Roman"/>
                <w:szCs w:val="24"/>
              </w:rPr>
              <w:t>MFI</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014C0A5" w14:textId="77777777" w:rsidR="006525C9" w:rsidRPr="00F50C10" w:rsidRDefault="006525C9" w:rsidP="000B206D">
            <w:pPr>
              <w:spacing w:line="276" w:lineRule="auto"/>
              <w:rPr>
                <w:rFonts w:cs="Times New Roman"/>
                <w:szCs w:val="24"/>
              </w:rPr>
            </w:pPr>
            <w:r w:rsidRPr="00F50C10">
              <w:rPr>
                <w:rFonts w:cs="Times New Roman"/>
                <w:szCs w:val="24"/>
              </w:rPr>
              <w:t>eriyik akış indeksi</w:t>
            </w:r>
          </w:p>
        </w:tc>
      </w:tr>
      <w:tr w:rsidR="006525C9" w:rsidRPr="00F50C10" w14:paraId="6328384F"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8053282" w14:textId="77777777" w:rsidR="006525C9" w:rsidRPr="00F50C10" w:rsidRDefault="006525C9" w:rsidP="000B206D">
            <w:pPr>
              <w:spacing w:line="276" w:lineRule="auto"/>
              <w:rPr>
                <w:rFonts w:cs="Times New Roman"/>
                <w:szCs w:val="24"/>
              </w:rPr>
            </w:pPr>
            <w:r w:rsidRPr="00F50C10">
              <w:rPr>
                <w:rFonts w:cs="Times New Roman"/>
                <w:szCs w:val="24"/>
              </w:rPr>
              <w:t>Miseller</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3A6F8403" w14:textId="77777777" w:rsidR="006525C9" w:rsidRPr="00F50C10" w:rsidRDefault="006525C9" w:rsidP="000B206D">
            <w:pPr>
              <w:spacing w:line="276" w:lineRule="auto"/>
              <w:rPr>
                <w:rFonts w:cs="Times New Roman"/>
                <w:szCs w:val="24"/>
              </w:rPr>
            </w:pPr>
            <w:r w:rsidRPr="00F50C10">
              <w:rPr>
                <w:rFonts w:cs="Times New Roman"/>
                <w:szCs w:val="24"/>
              </w:rPr>
              <w:t>sıvı bir kolloid içinde dağılmış yüzey aktif madde molekülleri kümesi</w:t>
            </w:r>
          </w:p>
        </w:tc>
      </w:tr>
      <w:tr w:rsidR="006525C9" w:rsidRPr="00F50C10" w14:paraId="699268EE"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9052B02" w14:textId="77777777" w:rsidR="006525C9" w:rsidRPr="00F50C10" w:rsidRDefault="006525C9" w:rsidP="000B206D">
            <w:pPr>
              <w:spacing w:line="276" w:lineRule="auto"/>
              <w:rPr>
                <w:rFonts w:cs="Times New Roman"/>
                <w:szCs w:val="24"/>
              </w:rPr>
            </w:pPr>
            <w:r w:rsidRPr="00F50C10">
              <w:rPr>
                <w:rFonts w:cs="Times New Roman"/>
                <w:szCs w:val="24"/>
              </w:rPr>
              <w:t>MLSS</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764FAC50" w14:textId="77777777" w:rsidR="006525C9" w:rsidRPr="00F50C10" w:rsidRDefault="006525C9" w:rsidP="000B206D">
            <w:pPr>
              <w:spacing w:line="276" w:lineRule="auto"/>
              <w:rPr>
                <w:rFonts w:cs="Times New Roman"/>
                <w:szCs w:val="24"/>
              </w:rPr>
            </w:pPr>
            <w:r w:rsidRPr="00F50C10">
              <w:rPr>
                <w:rFonts w:cs="Times New Roman"/>
                <w:szCs w:val="24"/>
              </w:rPr>
              <w:t>karışık sıvıda askıda katı maddeler. Litre başına miligram olarak ifade edilen, aktif çamur karışık sıvısındaki askıda katı madde derişimi. Aktif çamur havalandırma üniteleri ile bağlantılı olarak yaygın olarak kullanılır</w:t>
            </w:r>
          </w:p>
        </w:tc>
      </w:tr>
      <w:tr w:rsidR="006525C9" w:rsidRPr="00F50C10" w14:paraId="171CD79E"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0D053A5" w14:textId="77777777" w:rsidR="006525C9" w:rsidRPr="00F50C10" w:rsidRDefault="006525C9" w:rsidP="000B206D">
            <w:pPr>
              <w:spacing w:line="276" w:lineRule="auto"/>
              <w:rPr>
                <w:rFonts w:cs="Times New Roman"/>
                <w:szCs w:val="24"/>
              </w:rPr>
            </w:pPr>
            <w:r w:rsidRPr="00F50C10">
              <w:rPr>
                <w:rFonts w:cs="Times New Roman"/>
                <w:szCs w:val="24"/>
              </w:rPr>
              <w:t>MMD</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325AAF8" w14:textId="77777777" w:rsidR="006525C9" w:rsidRPr="00F50C10" w:rsidRDefault="006525C9" w:rsidP="000B206D">
            <w:pPr>
              <w:spacing w:line="276" w:lineRule="auto"/>
              <w:rPr>
                <w:rFonts w:cs="Times New Roman"/>
                <w:szCs w:val="24"/>
              </w:rPr>
            </w:pPr>
            <w:r w:rsidRPr="00F50C10">
              <w:rPr>
                <w:rFonts w:cs="Times New Roman"/>
                <w:szCs w:val="24"/>
              </w:rPr>
              <w:t>molar kütle dağılımı</w:t>
            </w:r>
          </w:p>
        </w:tc>
      </w:tr>
      <w:tr w:rsidR="006525C9" w:rsidRPr="00F50C10" w14:paraId="26B6C11F"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488894FA" w14:textId="77777777" w:rsidR="006525C9" w:rsidRPr="00F50C10" w:rsidRDefault="006525C9" w:rsidP="000B206D">
            <w:pPr>
              <w:spacing w:line="276" w:lineRule="auto"/>
              <w:rPr>
                <w:rFonts w:cs="Times New Roman"/>
                <w:szCs w:val="24"/>
              </w:rPr>
            </w:pPr>
            <w:r w:rsidRPr="00F50C10">
              <w:rPr>
                <w:rFonts w:cs="Times New Roman"/>
                <w:szCs w:val="24"/>
              </w:rPr>
              <w:t>MWD</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3AC806B9" w14:textId="77777777" w:rsidR="006525C9" w:rsidRPr="00F50C10" w:rsidRDefault="006525C9" w:rsidP="000B206D">
            <w:pPr>
              <w:spacing w:line="276" w:lineRule="auto"/>
              <w:rPr>
                <w:rFonts w:cs="Times New Roman"/>
                <w:szCs w:val="24"/>
              </w:rPr>
            </w:pPr>
            <w:r w:rsidRPr="00F50C10">
              <w:rPr>
                <w:rFonts w:cs="Times New Roman"/>
                <w:szCs w:val="24"/>
              </w:rPr>
              <w:t>moleküler ağırlık dağılımı</w:t>
            </w:r>
          </w:p>
        </w:tc>
      </w:tr>
      <w:tr w:rsidR="006525C9" w:rsidRPr="00F50C10" w14:paraId="0EC0B10A"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4C1B9AE7" w14:textId="77777777" w:rsidR="006525C9" w:rsidRPr="00F50C10" w:rsidRDefault="006525C9" w:rsidP="000B206D">
            <w:pPr>
              <w:spacing w:line="276" w:lineRule="auto"/>
              <w:rPr>
                <w:rFonts w:cs="Times New Roman"/>
                <w:szCs w:val="24"/>
              </w:rPr>
            </w:pPr>
            <w:r w:rsidRPr="00F50C10">
              <w:rPr>
                <w:rFonts w:cs="Times New Roman"/>
                <w:szCs w:val="24"/>
              </w:rPr>
              <w:t>Naftenler</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5A12652F" w14:textId="77777777" w:rsidR="006525C9" w:rsidRPr="00F50C10" w:rsidRDefault="006525C9" w:rsidP="000B206D">
            <w:pPr>
              <w:spacing w:line="276" w:lineRule="auto"/>
              <w:rPr>
                <w:rFonts w:cs="Times New Roman"/>
                <w:szCs w:val="24"/>
              </w:rPr>
            </w:pPr>
            <w:r w:rsidRPr="00F50C10">
              <w:rPr>
                <w:rFonts w:cs="Times New Roman"/>
                <w:szCs w:val="24"/>
              </w:rPr>
              <w:t>parafinik dalların ekli olduğu moleküllerinde 5 veya 6 karbonlu bir veya daha fazla doymuş halka bulunan hidrokarbonlar (sıfat: naftenik).</w:t>
            </w:r>
          </w:p>
        </w:tc>
      </w:tr>
      <w:tr w:rsidR="006525C9" w:rsidRPr="00F50C10" w14:paraId="46D66292"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15494DE" w14:textId="77777777" w:rsidR="006525C9" w:rsidRPr="00F50C10" w:rsidRDefault="006525C9" w:rsidP="000B206D">
            <w:pPr>
              <w:spacing w:line="276" w:lineRule="auto"/>
              <w:rPr>
                <w:rFonts w:cs="Times New Roman"/>
                <w:szCs w:val="24"/>
              </w:rPr>
            </w:pPr>
            <w:r w:rsidRPr="00F50C10">
              <w:rPr>
                <w:rFonts w:cs="Times New Roman"/>
                <w:szCs w:val="24"/>
              </w:rPr>
              <w:t>NBR</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74DFC004" w14:textId="77777777" w:rsidR="006525C9" w:rsidRPr="00F50C10" w:rsidRDefault="006525C9" w:rsidP="000B206D">
            <w:pPr>
              <w:spacing w:line="276" w:lineRule="auto"/>
              <w:rPr>
                <w:rFonts w:cs="Times New Roman"/>
                <w:szCs w:val="24"/>
              </w:rPr>
            </w:pPr>
            <w:r w:rsidRPr="00F50C10">
              <w:rPr>
                <w:rFonts w:cs="Times New Roman"/>
                <w:szCs w:val="24"/>
              </w:rPr>
              <w:t>nitril-bütadien kauçuk</w:t>
            </w:r>
          </w:p>
        </w:tc>
      </w:tr>
      <w:tr w:rsidR="006525C9" w:rsidRPr="00F50C10" w14:paraId="58E657CA"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29906477" w14:textId="77777777" w:rsidR="006525C9" w:rsidRPr="00F50C10" w:rsidRDefault="006525C9" w:rsidP="000B206D">
            <w:pPr>
              <w:spacing w:line="276" w:lineRule="auto"/>
              <w:rPr>
                <w:rFonts w:cs="Times New Roman"/>
                <w:szCs w:val="24"/>
              </w:rPr>
            </w:pPr>
            <w:r w:rsidRPr="00F50C10">
              <w:rPr>
                <w:rFonts w:cs="Times New Roman"/>
                <w:szCs w:val="24"/>
              </w:rPr>
              <w:t>N-Kj</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36AF283" w14:textId="77777777" w:rsidR="006525C9" w:rsidRPr="00F50C10" w:rsidRDefault="006525C9" w:rsidP="000B206D">
            <w:pPr>
              <w:spacing w:line="276" w:lineRule="auto"/>
              <w:rPr>
                <w:rFonts w:cs="Times New Roman"/>
                <w:szCs w:val="24"/>
              </w:rPr>
            </w:pPr>
            <w:r w:rsidRPr="00F50C10">
              <w:rPr>
                <w:rFonts w:cs="Times New Roman"/>
                <w:szCs w:val="24"/>
              </w:rPr>
              <w:t>Kjeldahl yöntemiyle analiz edilmiş azot</w:t>
            </w:r>
          </w:p>
        </w:tc>
      </w:tr>
      <w:tr w:rsidR="006525C9" w:rsidRPr="00F50C10" w14:paraId="7B5421D7"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7C2D62C" w14:textId="77777777" w:rsidR="006525C9" w:rsidRPr="00F50C10" w:rsidRDefault="006525C9" w:rsidP="000B206D">
            <w:pPr>
              <w:spacing w:line="276" w:lineRule="auto"/>
              <w:rPr>
                <w:rFonts w:cs="Times New Roman"/>
                <w:szCs w:val="24"/>
              </w:rPr>
            </w:pPr>
            <w:r w:rsidRPr="00F50C10">
              <w:rPr>
                <w:rFonts w:cs="Times New Roman"/>
                <w:szCs w:val="24"/>
              </w:rPr>
              <w:t>NMMO</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89F1E24" w14:textId="77777777" w:rsidR="006525C9" w:rsidRPr="00F50C10" w:rsidRDefault="006525C9" w:rsidP="000B206D">
            <w:pPr>
              <w:spacing w:line="276" w:lineRule="auto"/>
              <w:rPr>
                <w:rFonts w:cs="Times New Roman"/>
                <w:szCs w:val="24"/>
              </w:rPr>
            </w:pPr>
            <w:r w:rsidRPr="00F50C10">
              <w:rPr>
                <w:rFonts w:cs="Times New Roman"/>
                <w:szCs w:val="24"/>
              </w:rPr>
              <w:t>N-metil-morfolin-N-oksit</w:t>
            </w:r>
          </w:p>
        </w:tc>
      </w:tr>
      <w:tr w:rsidR="006525C9" w:rsidRPr="00F50C10" w14:paraId="662493BF"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65A34258" w14:textId="77777777" w:rsidR="006525C9" w:rsidRPr="00F50C10" w:rsidRDefault="006525C9" w:rsidP="000B206D">
            <w:pPr>
              <w:spacing w:line="276" w:lineRule="auto"/>
              <w:rPr>
                <w:rFonts w:cs="Times New Roman"/>
                <w:szCs w:val="24"/>
              </w:rPr>
            </w:pPr>
            <w:r w:rsidRPr="00F50C10">
              <w:rPr>
                <w:rFonts w:cs="Times New Roman"/>
                <w:szCs w:val="24"/>
              </w:rPr>
              <w:t>NOAC</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33512F2" w14:textId="77777777" w:rsidR="006525C9" w:rsidRPr="00F50C10" w:rsidRDefault="006525C9" w:rsidP="000B206D">
            <w:pPr>
              <w:spacing w:line="276" w:lineRule="auto"/>
              <w:rPr>
                <w:rFonts w:cs="Times New Roman"/>
                <w:szCs w:val="24"/>
              </w:rPr>
            </w:pPr>
            <w:r w:rsidRPr="00F50C10">
              <w:rPr>
                <w:rFonts w:cs="Times New Roman"/>
                <w:szCs w:val="24"/>
              </w:rPr>
              <w:t>gözlemlenen akut etki yok derişimi</w:t>
            </w:r>
          </w:p>
        </w:tc>
      </w:tr>
      <w:tr w:rsidR="006525C9" w:rsidRPr="00F50C10" w14:paraId="576EA43B"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2444EB51" w14:textId="77777777" w:rsidR="006525C9" w:rsidRPr="00F50C10" w:rsidRDefault="006525C9" w:rsidP="000B206D">
            <w:pPr>
              <w:spacing w:line="276" w:lineRule="auto"/>
              <w:rPr>
                <w:rFonts w:cs="Times New Roman"/>
                <w:szCs w:val="24"/>
              </w:rPr>
            </w:pPr>
            <w:r w:rsidRPr="00F50C10">
              <w:rPr>
                <w:rFonts w:cs="Times New Roman"/>
                <w:szCs w:val="24"/>
              </w:rPr>
              <w:t>NOEC</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3044F9B" w14:textId="77777777" w:rsidR="006525C9" w:rsidRPr="00F50C10" w:rsidRDefault="006525C9" w:rsidP="000B206D">
            <w:pPr>
              <w:spacing w:line="276" w:lineRule="auto"/>
              <w:rPr>
                <w:rFonts w:cs="Times New Roman"/>
                <w:szCs w:val="24"/>
              </w:rPr>
            </w:pPr>
            <w:r w:rsidRPr="00F50C10">
              <w:rPr>
                <w:rFonts w:cs="Times New Roman"/>
                <w:szCs w:val="24"/>
              </w:rPr>
              <w:t>gözlemlenen etki yok derişimi</w:t>
            </w:r>
          </w:p>
        </w:tc>
      </w:tr>
      <w:tr w:rsidR="006525C9" w:rsidRPr="00F50C10" w14:paraId="05C74927"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4A9F4ABF" w14:textId="77777777" w:rsidR="006525C9" w:rsidRPr="00F50C10" w:rsidRDefault="006525C9" w:rsidP="000B206D">
            <w:pPr>
              <w:spacing w:line="276" w:lineRule="auto"/>
              <w:rPr>
                <w:rFonts w:cs="Times New Roman"/>
                <w:szCs w:val="24"/>
              </w:rPr>
            </w:pPr>
            <w:r w:rsidRPr="00F50C10">
              <w:rPr>
                <w:rFonts w:cs="Times New Roman"/>
                <w:szCs w:val="24"/>
              </w:rPr>
              <w:t>Özgül emisyon</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5C034DAA" w14:textId="77777777" w:rsidR="006525C9" w:rsidRPr="00F50C10" w:rsidRDefault="006525C9" w:rsidP="000B206D">
            <w:pPr>
              <w:spacing w:line="276" w:lineRule="auto"/>
              <w:rPr>
                <w:rFonts w:cs="Times New Roman"/>
                <w:szCs w:val="24"/>
              </w:rPr>
            </w:pPr>
            <w:r w:rsidRPr="00F50C10">
              <w:rPr>
                <w:rFonts w:cs="Times New Roman"/>
                <w:szCs w:val="24"/>
              </w:rPr>
              <w:t>üretim kapasitesi veya fiili üretim gibi bir referans temeline dayanan emisyon (örn. üretilen birim veya ton başına kütle olarak).</w:t>
            </w:r>
          </w:p>
        </w:tc>
      </w:tr>
      <w:tr w:rsidR="006525C9" w:rsidRPr="00F50C10" w14:paraId="5D4DD942"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494E2134" w14:textId="77777777" w:rsidR="006525C9" w:rsidRPr="00F50C10" w:rsidRDefault="006525C9" w:rsidP="000B206D">
            <w:pPr>
              <w:spacing w:line="276" w:lineRule="auto"/>
              <w:rPr>
                <w:rFonts w:cs="Times New Roman"/>
                <w:szCs w:val="24"/>
              </w:rPr>
            </w:pPr>
            <w:r w:rsidRPr="00F50C10">
              <w:rPr>
                <w:rFonts w:cs="Times New Roman"/>
                <w:szCs w:val="24"/>
              </w:rPr>
              <w:t>Özümleme kapasitesi</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555C9F08" w14:textId="77777777" w:rsidR="006525C9" w:rsidRPr="00F50C10" w:rsidRDefault="006525C9" w:rsidP="000B206D">
            <w:pPr>
              <w:spacing w:line="276" w:lineRule="auto"/>
              <w:rPr>
                <w:rFonts w:cs="Times New Roman"/>
                <w:szCs w:val="24"/>
              </w:rPr>
            </w:pPr>
            <w:r w:rsidRPr="00F50C10">
              <w:rPr>
                <w:rFonts w:cs="Times New Roman"/>
                <w:szCs w:val="24"/>
              </w:rPr>
              <w:t>doğal bir su kütlesinin atık suları veya zehirli maddeleri zararlı etkiler olmaksızın ve su yaşamına zarar vermeden alma yeteneği</w:t>
            </w:r>
          </w:p>
        </w:tc>
      </w:tr>
      <w:tr w:rsidR="006525C9" w:rsidRPr="00F50C10" w14:paraId="44484C15"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0E94B3A3" w14:textId="77777777" w:rsidR="006525C9" w:rsidRPr="00F50C10" w:rsidRDefault="006525C9" w:rsidP="000B206D">
            <w:pPr>
              <w:spacing w:line="276" w:lineRule="auto"/>
              <w:rPr>
                <w:rFonts w:cs="Times New Roman"/>
                <w:szCs w:val="24"/>
              </w:rPr>
            </w:pPr>
            <w:r w:rsidRPr="00F50C10">
              <w:rPr>
                <w:rFonts w:cs="Times New Roman"/>
                <w:szCs w:val="24"/>
              </w:rPr>
              <w:t>PA</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79BC34F3" w14:textId="77777777" w:rsidR="006525C9" w:rsidRPr="00F50C10" w:rsidRDefault="006525C9" w:rsidP="000B206D">
            <w:pPr>
              <w:spacing w:line="276" w:lineRule="auto"/>
              <w:rPr>
                <w:rFonts w:cs="Times New Roman"/>
                <w:szCs w:val="24"/>
              </w:rPr>
            </w:pPr>
            <w:r w:rsidRPr="00F50C10">
              <w:rPr>
                <w:rFonts w:cs="Times New Roman"/>
                <w:szCs w:val="24"/>
              </w:rPr>
              <w:t>poliamid</w:t>
            </w:r>
          </w:p>
        </w:tc>
      </w:tr>
      <w:tr w:rsidR="006525C9" w:rsidRPr="00F50C10" w14:paraId="21043F68"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249B9A92" w14:textId="77777777" w:rsidR="006525C9" w:rsidRPr="00F50C10" w:rsidRDefault="006525C9" w:rsidP="000B206D">
            <w:pPr>
              <w:spacing w:line="276" w:lineRule="auto"/>
              <w:rPr>
                <w:rFonts w:cs="Times New Roman"/>
                <w:szCs w:val="24"/>
              </w:rPr>
            </w:pPr>
            <w:r w:rsidRPr="00F50C10">
              <w:rPr>
                <w:rFonts w:cs="Times New Roman"/>
                <w:szCs w:val="24"/>
              </w:rPr>
              <w:t>PBT</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0859DD2" w14:textId="77777777" w:rsidR="006525C9" w:rsidRPr="00F50C10" w:rsidRDefault="006525C9" w:rsidP="000B206D">
            <w:pPr>
              <w:spacing w:line="276" w:lineRule="auto"/>
              <w:rPr>
                <w:rFonts w:cs="Times New Roman"/>
                <w:szCs w:val="24"/>
              </w:rPr>
            </w:pPr>
            <w:r w:rsidRPr="00F50C10">
              <w:rPr>
                <w:rFonts w:cs="Times New Roman"/>
                <w:szCs w:val="24"/>
              </w:rPr>
              <w:t>polibütilen tereftalat</w:t>
            </w:r>
          </w:p>
        </w:tc>
      </w:tr>
      <w:tr w:rsidR="006525C9" w:rsidRPr="00F50C10" w14:paraId="48151C68"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B014283" w14:textId="77777777" w:rsidR="006525C9" w:rsidRPr="00F50C10" w:rsidRDefault="006525C9" w:rsidP="000B206D">
            <w:pPr>
              <w:spacing w:line="276" w:lineRule="auto"/>
              <w:rPr>
                <w:rFonts w:cs="Times New Roman"/>
                <w:szCs w:val="24"/>
              </w:rPr>
            </w:pPr>
            <w:r w:rsidRPr="00F50C10">
              <w:rPr>
                <w:rFonts w:cs="Times New Roman"/>
                <w:szCs w:val="24"/>
              </w:rPr>
              <w:t>PBu</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3A6176BE" w14:textId="77777777" w:rsidR="006525C9" w:rsidRPr="00F50C10" w:rsidRDefault="006525C9" w:rsidP="000B206D">
            <w:pPr>
              <w:spacing w:line="276" w:lineRule="auto"/>
              <w:rPr>
                <w:rFonts w:cs="Times New Roman"/>
                <w:szCs w:val="24"/>
              </w:rPr>
            </w:pPr>
            <w:r w:rsidRPr="00F50C10">
              <w:rPr>
                <w:rFonts w:cs="Times New Roman"/>
                <w:szCs w:val="24"/>
              </w:rPr>
              <w:t>polibütadien</w:t>
            </w:r>
          </w:p>
        </w:tc>
      </w:tr>
      <w:tr w:rsidR="006525C9" w:rsidRPr="00F50C10" w14:paraId="6A89508F"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6CEFA343" w14:textId="77777777" w:rsidR="006525C9" w:rsidRPr="00F50C10" w:rsidRDefault="006525C9" w:rsidP="000B206D">
            <w:pPr>
              <w:spacing w:line="276" w:lineRule="auto"/>
              <w:rPr>
                <w:rFonts w:cs="Times New Roman"/>
                <w:szCs w:val="24"/>
              </w:rPr>
            </w:pPr>
            <w:r w:rsidRPr="00F50C10">
              <w:rPr>
                <w:rFonts w:cs="Times New Roman"/>
                <w:szCs w:val="24"/>
              </w:rPr>
              <w:t>PC</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057273E" w14:textId="77777777" w:rsidR="006525C9" w:rsidRPr="00F50C10" w:rsidRDefault="006525C9" w:rsidP="000B206D">
            <w:pPr>
              <w:spacing w:line="276" w:lineRule="auto"/>
              <w:rPr>
                <w:rFonts w:cs="Times New Roman"/>
                <w:szCs w:val="24"/>
              </w:rPr>
            </w:pPr>
            <w:r w:rsidRPr="00F50C10">
              <w:rPr>
                <w:rFonts w:cs="Times New Roman"/>
                <w:szCs w:val="24"/>
              </w:rPr>
              <w:t>polikarbonat</w:t>
            </w:r>
          </w:p>
        </w:tc>
      </w:tr>
      <w:tr w:rsidR="006525C9" w:rsidRPr="00F50C10" w14:paraId="2B4873AA"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0E47264" w14:textId="77777777" w:rsidR="006525C9" w:rsidRPr="00F50C10" w:rsidRDefault="006525C9" w:rsidP="000B206D">
            <w:pPr>
              <w:spacing w:line="276" w:lineRule="auto"/>
              <w:rPr>
                <w:rFonts w:cs="Times New Roman"/>
                <w:szCs w:val="24"/>
              </w:rPr>
            </w:pPr>
            <w:r w:rsidRPr="00F50C10">
              <w:rPr>
                <w:rFonts w:cs="Times New Roman"/>
                <w:szCs w:val="24"/>
              </w:rPr>
              <w:t>PE</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7052425" w14:textId="77777777" w:rsidR="006525C9" w:rsidRPr="00F50C10" w:rsidRDefault="006525C9" w:rsidP="000B206D">
            <w:pPr>
              <w:spacing w:line="276" w:lineRule="auto"/>
              <w:rPr>
                <w:rFonts w:cs="Times New Roman"/>
                <w:szCs w:val="24"/>
              </w:rPr>
            </w:pPr>
            <w:r w:rsidRPr="00F50C10">
              <w:rPr>
                <w:rFonts w:cs="Times New Roman"/>
                <w:szCs w:val="24"/>
              </w:rPr>
              <w:t>polietilen</w:t>
            </w:r>
          </w:p>
        </w:tc>
      </w:tr>
      <w:tr w:rsidR="006525C9" w:rsidRPr="00F50C10" w14:paraId="2C545ACD"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589FA88" w14:textId="77777777" w:rsidR="006525C9" w:rsidRPr="00F50C10" w:rsidRDefault="006525C9" w:rsidP="000B206D">
            <w:pPr>
              <w:spacing w:line="276" w:lineRule="auto"/>
              <w:rPr>
                <w:rFonts w:cs="Times New Roman"/>
                <w:szCs w:val="24"/>
              </w:rPr>
            </w:pPr>
            <w:r w:rsidRPr="00F50C10">
              <w:rPr>
                <w:rFonts w:cs="Times New Roman"/>
                <w:szCs w:val="24"/>
              </w:rPr>
              <w:t>PEEK</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95CE89A" w14:textId="77777777" w:rsidR="006525C9" w:rsidRPr="00F50C10" w:rsidRDefault="006525C9" w:rsidP="000B206D">
            <w:pPr>
              <w:spacing w:line="276" w:lineRule="auto"/>
              <w:rPr>
                <w:rFonts w:cs="Times New Roman"/>
                <w:szCs w:val="24"/>
              </w:rPr>
            </w:pPr>
            <w:r w:rsidRPr="00F50C10">
              <w:rPr>
                <w:rFonts w:cs="Times New Roman"/>
                <w:szCs w:val="24"/>
              </w:rPr>
              <w:t>polietereterketon</w:t>
            </w:r>
          </w:p>
        </w:tc>
      </w:tr>
      <w:tr w:rsidR="006525C9" w:rsidRPr="00F50C10" w14:paraId="1BC514B2"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B2C31CE" w14:textId="77777777" w:rsidR="006525C9" w:rsidRPr="00F50C10" w:rsidRDefault="006525C9" w:rsidP="000B206D">
            <w:pPr>
              <w:spacing w:line="276" w:lineRule="auto"/>
              <w:rPr>
                <w:rFonts w:cs="Times New Roman"/>
                <w:szCs w:val="24"/>
              </w:rPr>
            </w:pPr>
            <w:r w:rsidRPr="00F50C10">
              <w:rPr>
                <w:rFonts w:cs="Times New Roman"/>
                <w:szCs w:val="24"/>
              </w:rPr>
              <w:t>PE-HD</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97F82AE" w14:textId="77777777" w:rsidR="006525C9" w:rsidRPr="00F50C10" w:rsidRDefault="006525C9" w:rsidP="000B206D">
            <w:pPr>
              <w:spacing w:line="276" w:lineRule="auto"/>
              <w:rPr>
                <w:rFonts w:cs="Times New Roman"/>
                <w:szCs w:val="24"/>
              </w:rPr>
            </w:pPr>
            <w:r w:rsidRPr="00F50C10">
              <w:rPr>
                <w:rFonts w:cs="Times New Roman"/>
                <w:szCs w:val="24"/>
              </w:rPr>
              <w:t>polietilen, yüksek yoğunluk</w:t>
            </w:r>
          </w:p>
        </w:tc>
      </w:tr>
      <w:tr w:rsidR="006525C9" w:rsidRPr="00F50C10" w14:paraId="0B37652E"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2B7AF14" w14:textId="77777777" w:rsidR="006525C9" w:rsidRPr="00F50C10" w:rsidRDefault="006525C9" w:rsidP="000B206D">
            <w:pPr>
              <w:spacing w:line="276" w:lineRule="auto"/>
              <w:rPr>
                <w:rFonts w:cs="Times New Roman"/>
                <w:szCs w:val="24"/>
              </w:rPr>
            </w:pPr>
            <w:r w:rsidRPr="00F50C10">
              <w:rPr>
                <w:rFonts w:cs="Times New Roman"/>
                <w:szCs w:val="24"/>
              </w:rPr>
              <w:t>PEI</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BC477DF" w14:textId="77777777" w:rsidR="006525C9" w:rsidRPr="00F50C10" w:rsidRDefault="006525C9" w:rsidP="000B206D">
            <w:pPr>
              <w:spacing w:line="276" w:lineRule="auto"/>
              <w:rPr>
                <w:rFonts w:cs="Times New Roman"/>
                <w:szCs w:val="24"/>
              </w:rPr>
            </w:pPr>
            <w:r w:rsidRPr="00F50C10">
              <w:rPr>
                <w:rFonts w:cs="Times New Roman"/>
                <w:szCs w:val="24"/>
              </w:rPr>
              <w:t>polieterimid</w:t>
            </w:r>
          </w:p>
        </w:tc>
      </w:tr>
      <w:tr w:rsidR="006525C9" w:rsidRPr="00F50C10" w14:paraId="6CB382AC"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67314DE8" w14:textId="77777777" w:rsidR="006525C9" w:rsidRPr="00F50C10" w:rsidRDefault="006525C9" w:rsidP="000B206D">
            <w:pPr>
              <w:spacing w:line="276" w:lineRule="auto"/>
              <w:rPr>
                <w:rFonts w:cs="Times New Roman"/>
                <w:szCs w:val="24"/>
              </w:rPr>
            </w:pPr>
            <w:r w:rsidRPr="00F50C10">
              <w:rPr>
                <w:rFonts w:cs="Times New Roman"/>
                <w:szCs w:val="24"/>
              </w:rPr>
              <w:t>PE-LD</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9869FF6" w14:textId="77777777" w:rsidR="006525C9" w:rsidRPr="00F50C10" w:rsidRDefault="006525C9" w:rsidP="000B206D">
            <w:pPr>
              <w:spacing w:line="276" w:lineRule="auto"/>
              <w:rPr>
                <w:rFonts w:cs="Times New Roman"/>
                <w:szCs w:val="24"/>
              </w:rPr>
            </w:pPr>
            <w:r w:rsidRPr="00F50C10">
              <w:rPr>
                <w:rFonts w:cs="Times New Roman"/>
                <w:szCs w:val="24"/>
              </w:rPr>
              <w:t>polietilen, alçak yoğunluk</w:t>
            </w:r>
          </w:p>
        </w:tc>
      </w:tr>
      <w:tr w:rsidR="006525C9" w:rsidRPr="00F50C10" w14:paraId="57894D6B"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DA8E650" w14:textId="77777777" w:rsidR="006525C9" w:rsidRPr="00F50C10" w:rsidRDefault="006525C9" w:rsidP="000B206D">
            <w:pPr>
              <w:spacing w:line="276" w:lineRule="auto"/>
              <w:rPr>
                <w:rFonts w:cs="Times New Roman"/>
                <w:szCs w:val="24"/>
              </w:rPr>
            </w:pPr>
            <w:r w:rsidRPr="00F50C10">
              <w:rPr>
                <w:rFonts w:cs="Times New Roman"/>
                <w:szCs w:val="24"/>
              </w:rPr>
              <w:t>PE-LLD</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3985F36" w14:textId="77777777" w:rsidR="006525C9" w:rsidRPr="00F50C10" w:rsidRDefault="006525C9" w:rsidP="000B206D">
            <w:pPr>
              <w:spacing w:line="276" w:lineRule="auto"/>
              <w:rPr>
                <w:rFonts w:cs="Times New Roman"/>
                <w:szCs w:val="24"/>
              </w:rPr>
            </w:pPr>
            <w:r w:rsidRPr="00F50C10">
              <w:rPr>
                <w:rFonts w:cs="Times New Roman"/>
                <w:szCs w:val="24"/>
              </w:rPr>
              <w:t>polietilen, lineer alçak yoğunluk</w:t>
            </w:r>
          </w:p>
        </w:tc>
      </w:tr>
      <w:tr w:rsidR="006525C9" w:rsidRPr="00F50C10" w14:paraId="30F7B03F"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496BE18E" w14:textId="77777777" w:rsidR="006525C9" w:rsidRPr="00F50C10" w:rsidRDefault="006525C9" w:rsidP="000B206D">
            <w:pPr>
              <w:spacing w:line="276" w:lineRule="auto"/>
              <w:rPr>
                <w:rFonts w:cs="Times New Roman"/>
                <w:szCs w:val="24"/>
              </w:rPr>
            </w:pPr>
            <w:r w:rsidRPr="00F50C10">
              <w:rPr>
                <w:rFonts w:cs="Times New Roman"/>
                <w:szCs w:val="24"/>
              </w:rPr>
              <w:t>PEN lifleri</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AB8DCB4" w14:textId="77777777" w:rsidR="006525C9" w:rsidRPr="00F50C10" w:rsidRDefault="006525C9" w:rsidP="000B206D">
            <w:pPr>
              <w:spacing w:line="276" w:lineRule="auto"/>
              <w:rPr>
                <w:rFonts w:cs="Times New Roman"/>
                <w:szCs w:val="24"/>
              </w:rPr>
            </w:pPr>
            <w:r w:rsidRPr="00F50C10">
              <w:rPr>
                <w:rFonts w:cs="Times New Roman"/>
                <w:szCs w:val="24"/>
              </w:rPr>
              <w:t>Polietilen naftalat lifleri</w:t>
            </w:r>
          </w:p>
        </w:tc>
      </w:tr>
      <w:tr w:rsidR="006525C9" w:rsidRPr="00F50C10" w14:paraId="266C6733"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293125F9" w14:textId="77777777" w:rsidR="006525C9" w:rsidRPr="00F50C10" w:rsidRDefault="006525C9" w:rsidP="000B206D">
            <w:pPr>
              <w:spacing w:line="276" w:lineRule="auto"/>
              <w:rPr>
                <w:rFonts w:cs="Times New Roman"/>
                <w:szCs w:val="24"/>
              </w:rPr>
            </w:pPr>
            <w:r w:rsidRPr="00F50C10">
              <w:rPr>
                <w:rFonts w:cs="Times New Roman"/>
                <w:szCs w:val="24"/>
              </w:rPr>
              <w:t>PES</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5D8A8710" w14:textId="77777777" w:rsidR="006525C9" w:rsidRPr="00F50C10" w:rsidRDefault="006525C9" w:rsidP="000B206D">
            <w:pPr>
              <w:spacing w:line="276" w:lineRule="auto"/>
              <w:rPr>
                <w:rFonts w:cs="Times New Roman"/>
                <w:szCs w:val="24"/>
              </w:rPr>
            </w:pPr>
            <w:r w:rsidRPr="00F50C10">
              <w:rPr>
                <w:rFonts w:cs="Times New Roman"/>
                <w:szCs w:val="24"/>
              </w:rPr>
              <w:t>polietersülfon</w:t>
            </w:r>
          </w:p>
        </w:tc>
      </w:tr>
      <w:tr w:rsidR="006525C9" w:rsidRPr="00F50C10" w14:paraId="74D5861D"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27BFE912" w14:textId="77777777" w:rsidR="006525C9" w:rsidRPr="00F50C10" w:rsidRDefault="006525C9" w:rsidP="000B206D">
            <w:pPr>
              <w:spacing w:line="276" w:lineRule="auto"/>
              <w:rPr>
                <w:rFonts w:cs="Times New Roman"/>
                <w:szCs w:val="24"/>
              </w:rPr>
            </w:pPr>
            <w:r w:rsidRPr="00F50C10">
              <w:rPr>
                <w:rFonts w:cs="Times New Roman"/>
                <w:szCs w:val="24"/>
              </w:rPr>
              <w:t>PET</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85D0D57" w14:textId="77777777" w:rsidR="006525C9" w:rsidRPr="00F50C10" w:rsidRDefault="006525C9" w:rsidP="000B206D">
            <w:pPr>
              <w:spacing w:line="276" w:lineRule="auto"/>
              <w:rPr>
                <w:rFonts w:cs="Times New Roman"/>
                <w:szCs w:val="24"/>
              </w:rPr>
            </w:pPr>
            <w:r w:rsidRPr="00F50C10">
              <w:rPr>
                <w:rFonts w:cs="Times New Roman"/>
                <w:szCs w:val="24"/>
              </w:rPr>
              <w:t>polietilen tereftalat</w:t>
            </w:r>
          </w:p>
        </w:tc>
      </w:tr>
      <w:tr w:rsidR="006525C9" w:rsidRPr="00F50C10" w14:paraId="73B2FD66"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E86F9A0" w14:textId="77777777" w:rsidR="006525C9" w:rsidRPr="00F50C10" w:rsidRDefault="006525C9" w:rsidP="000B206D">
            <w:pPr>
              <w:spacing w:line="276" w:lineRule="auto"/>
              <w:rPr>
                <w:rFonts w:cs="Times New Roman"/>
                <w:szCs w:val="24"/>
              </w:rPr>
            </w:pPr>
            <w:r w:rsidRPr="00F50C10">
              <w:rPr>
                <w:rFonts w:cs="Times New Roman"/>
                <w:szCs w:val="24"/>
              </w:rPr>
              <w:t>PFR</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5B2348F6" w14:textId="77777777" w:rsidR="006525C9" w:rsidRPr="00F50C10" w:rsidRDefault="006525C9" w:rsidP="000B206D">
            <w:pPr>
              <w:spacing w:line="276" w:lineRule="auto"/>
              <w:rPr>
                <w:rFonts w:cs="Times New Roman"/>
                <w:szCs w:val="24"/>
              </w:rPr>
            </w:pPr>
            <w:r w:rsidRPr="00F50C10">
              <w:rPr>
                <w:rFonts w:cs="Times New Roman"/>
                <w:szCs w:val="24"/>
              </w:rPr>
              <w:t>tıkaçlı akış reaktörü</w:t>
            </w:r>
          </w:p>
        </w:tc>
      </w:tr>
      <w:tr w:rsidR="006525C9" w:rsidRPr="00F50C10" w14:paraId="7CE12138"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4B031CF" w14:textId="77777777" w:rsidR="006525C9" w:rsidRPr="00F50C10" w:rsidRDefault="006525C9" w:rsidP="000B206D">
            <w:pPr>
              <w:spacing w:line="276" w:lineRule="auto"/>
              <w:rPr>
                <w:rFonts w:cs="Times New Roman"/>
                <w:szCs w:val="24"/>
              </w:rPr>
            </w:pPr>
            <w:r w:rsidRPr="00F50C10">
              <w:rPr>
                <w:rFonts w:cs="Times New Roman"/>
                <w:szCs w:val="24"/>
              </w:rPr>
              <w:t>PI</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673A07F" w14:textId="77777777" w:rsidR="006525C9" w:rsidRPr="00F50C10" w:rsidRDefault="006525C9" w:rsidP="000B206D">
            <w:pPr>
              <w:spacing w:line="276" w:lineRule="auto"/>
              <w:rPr>
                <w:rFonts w:cs="Times New Roman"/>
                <w:szCs w:val="24"/>
              </w:rPr>
            </w:pPr>
            <w:r w:rsidRPr="00F50C10">
              <w:rPr>
                <w:rFonts w:cs="Times New Roman"/>
                <w:szCs w:val="24"/>
              </w:rPr>
              <w:t>poliimid</w:t>
            </w:r>
          </w:p>
        </w:tc>
      </w:tr>
      <w:tr w:rsidR="006525C9" w:rsidRPr="00F50C10" w14:paraId="487D19E8"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63C44F90" w14:textId="77777777" w:rsidR="006525C9" w:rsidRPr="00F50C10" w:rsidRDefault="006525C9" w:rsidP="000B206D">
            <w:pPr>
              <w:spacing w:line="276" w:lineRule="auto"/>
              <w:rPr>
                <w:rFonts w:cs="Times New Roman"/>
                <w:szCs w:val="24"/>
              </w:rPr>
            </w:pPr>
            <w:r w:rsidRPr="00F50C10">
              <w:rPr>
                <w:rFonts w:cs="Times New Roman"/>
                <w:szCs w:val="24"/>
              </w:rPr>
              <w:t>PI</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7D2D28A4" w14:textId="77777777" w:rsidR="006525C9" w:rsidRPr="00F50C10" w:rsidRDefault="006525C9" w:rsidP="000B206D">
            <w:pPr>
              <w:spacing w:line="276" w:lineRule="auto"/>
              <w:rPr>
                <w:rFonts w:cs="Times New Roman"/>
                <w:szCs w:val="24"/>
              </w:rPr>
            </w:pPr>
            <w:r w:rsidRPr="00F50C10">
              <w:rPr>
                <w:rFonts w:cs="Times New Roman"/>
                <w:szCs w:val="24"/>
              </w:rPr>
              <w:t>prosese entegre</w:t>
            </w:r>
          </w:p>
        </w:tc>
      </w:tr>
      <w:tr w:rsidR="006525C9" w:rsidRPr="00F50C10" w14:paraId="4E440538"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0257BCB7" w14:textId="77777777" w:rsidR="006525C9" w:rsidRPr="00F50C10" w:rsidRDefault="006525C9" w:rsidP="000B206D">
            <w:pPr>
              <w:spacing w:line="276" w:lineRule="auto"/>
              <w:rPr>
                <w:rFonts w:cs="Times New Roman"/>
                <w:szCs w:val="24"/>
              </w:rPr>
            </w:pPr>
            <w:r w:rsidRPr="00F50C10">
              <w:rPr>
                <w:rFonts w:cs="Times New Roman"/>
                <w:szCs w:val="24"/>
              </w:rPr>
              <w:t>PLA</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7AEF6D60" w14:textId="77777777" w:rsidR="006525C9" w:rsidRPr="00F50C10" w:rsidRDefault="006525C9" w:rsidP="000B206D">
            <w:pPr>
              <w:spacing w:line="276" w:lineRule="auto"/>
              <w:rPr>
                <w:rFonts w:cs="Times New Roman"/>
                <w:szCs w:val="24"/>
              </w:rPr>
            </w:pPr>
            <w:r w:rsidRPr="00F50C10">
              <w:rPr>
                <w:rFonts w:cs="Times New Roman"/>
                <w:szCs w:val="24"/>
              </w:rPr>
              <w:t>Polilaktik asit</w:t>
            </w:r>
          </w:p>
        </w:tc>
      </w:tr>
      <w:tr w:rsidR="006525C9" w:rsidRPr="00F50C10" w14:paraId="7FBBFD29"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2289242A" w14:textId="77777777" w:rsidR="006525C9" w:rsidRPr="00F50C10" w:rsidRDefault="006525C9" w:rsidP="000B206D">
            <w:pPr>
              <w:spacing w:line="276" w:lineRule="auto"/>
              <w:rPr>
                <w:rFonts w:cs="Times New Roman"/>
                <w:szCs w:val="24"/>
              </w:rPr>
            </w:pPr>
            <w:r w:rsidRPr="00F50C10">
              <w:rPr>
                <w:rFonts w:cs="Times New Roman"/>
                <w:szCs w:val="24"/>
              </w:rPr>
              <w:t>PMMA</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23D2B8A" w14:textId="77777777" w:rsidR="006525C9" w:rsidRPr="00F50C10" w:rsidRDefault="006525C9" w:rsidP="000B206D">
            <w:pPr>
              <w:spacing w:line="276" w:lineRule="auto"/>
              <w:rPr>
                <w:rFonts w:cs="Times New Roman"/>
                <w:szCs w:val="24"/>
              </w:rPr>
            </w:pPr>
            <w:r w:rsidRPr="00F50C10">
              <w:rPr>
                <w:rFonts w:cs="Times New Roman"/>
                <w:szCs w:val="24"/>
              </w:rPr>
              <w:t>polimetil metakrilat</w:t>
            </w:r>
          </w:p>
        </w:tc>
      </w:tr>
      <w:tr w:rsidR="006525C9" w:rsidRPr="00F50C10" w14:paraId="71A60D7C"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69EBF84B" w14:textId="77777777" w:rsidR="006525C9" w:rsidRPr="00F50C10" w:rsidRDefault="006525C9" w:rsidP="000B206D">
            <w:pPr>
              <w:spacing w:line="276" w:lineRule="auto"/>
              <w:rPr>
                <w:rFonts w:cs="Times New Roman"/>
                <w:szCs w:val="24"/>
              </w:rPr>
            </w:pPr>
            <w:r w:rsidRPr="00F50C10">
              <w:rPr>
                <w:rFonts w:cs="Times New Roman"/>
                <w:szCs w:val="24"/>
              </w:rPr>
              <w:t>POM</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CA14378" w14:textId="77777777" w:rsidR="006525C9" w:rsidRPr="00F50C10" w:rsidRDefault="006525C9" w:rsidP="000B206D">
            <w:pPr>
              <w:spacing w:line="276" w:lineRule="auto"/>
              <w:rPr>
                <w:rFonts w:cs="Times New Roman"/>
                <w:szCs w:val="24"/>
              </w:rPr>
            </w:pPr>
            <w:r w:rsidRPr="00F50C10">
              <w:rPr>
                <w:rFonts w:cs="Times New Roman"/>
                <w:szCs w:val="24"/>
              </w:rPr>
              <w:t>polioksimetilen (poliasetal)</w:t>
            </w:r>
          </w:p>
        </w:tc>
      </w:tr>
      <w:tr w:rsidR="006525C9" w:rsidRPr="00F50C10" w14:paraId="62854DE5"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0A604569" w14:textId="77777777" w:rsidR="006525C9" w:rsidRPr="00F50C10" w:rsidRDefault="006525C9" w:rsidP="000B206D">
            <w:pPr>
              <w:spacing w:line="276" w:lineRule="auto"/>
              <w:rPr>
                <w:rFonts w:cs="Times New Roman"/>
                <w:szCs w:val="24"/>
              </w:rPr>
            </w:pPr>
            <w:r w:rsidRPr="00F50C10">
              <w:rPr>
                <w:rFonts w:cs="Times New Roman"/>
                <w:szCs w:val="24"/>
              </w:rPr>
              <w:t>PP</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A538E42" w14:textId="77777777" w:rsidR="006525C9" w:rsidRPr="00F50C10" w:rsidRDefault="006525C9" w:rsidP="000B206D">
            <w:pPr>
              <w:spacing w:line="276" w:lineRule="auto"/>
              <w:rPr>
                <w:rFonts w:cs="Times New Roman"/>
                <w:szCs w:val="24"/>
              </w:rPr>
            </w:pPr>
            <w:r w:rsidRPr="00F50C10">
              <w:rPr>
                <w:rFonts w:cs="Times New Roman"/>
                <w:szCs w:val="24"/>
              </w:rPr>
              <w:t>polipropilen</w:t>
            </w:r>
          </w:p>
        </w:tc>
      </w:tr>
      <w:tr w:rsidR="006525C9" w:rsidRPr="00F50C10" w14:paraId="48F966AA"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2F0A34D1" w14:textId="77777777" w:rsidR="006525C9" w:rsidRPr="00F50C10" w:rsidRDefault="006525C9" w:rsidP="000B206D">
            <w:pPr>
              <w:spacing w:line="276" w:lineRule="auto"/>
              <w:rPr>
                <w:rFonts w:cs="Times New Roman"/>
                <w:szCs w:val="24"/>
              </w:rPr>
            </w:pPr>
            <w:r w:rsidRPr="00F50C10">
              <w:rPr>
                <w:rFonts w:cs="Times New Roman"/>
                <w:szCs w:val="24"/>
              </w:rPr>
              <w:t>PPO</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3598FB9C" w14:textId="77777777" w:rsidR="006525C9" w:rsidRPr="00F50C10" w:rsidRDefault="006525C9" w:rsidP="000B206D">
            <w:pPr>
              <w:spacing w:line="276" w:lineRule="auto"/>
              <w:rPr>
                <w:rFonts w:cs="Times New Roman"/>
                <w:szCs w:val="24"/>
              </w:rPr>
            </w:pPr>
            <w:r w:rsidRPr="00F50C10">
              <w:rPr>
                <w:rFonts w:cs="Times New Roman"/>
                <w:szCs w:val="24"/>
              </w:rPr>
              <w:t>polifenilen oksit</w:t>
            </w:r>
          </w:p>
        </w:tc>
      </w:tr>
      <w:tr w:rsidR="006525C9" w:rsidRPr="00F50C10" w14:paraId="3B1FBB74"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22E45D2E" w14:textId="77777777" w:rsidR="006525C9" w:rsidRPr="00F50C10" w:rsidRDefault="006525C9" w:rsidP="000B206D">
            <w:pPr>
              <w:spacing w:line="276" w:lineRule="auto"/>
              <w:rPr>
                <w:rFonts w:cs="Times New Roman"/>
                <w:szCs w:val="24"/>
              </w:rPr>
            </w:pPr>
            <w:r w:rsidRPr="00F50C10">
              <w:rPr>
                <w:rFonts w:cs="Times New Roman"/>
                <w:szCs w:val="24"/>
              </w:rPr>
              <w:t>PPS</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DD763E3" w14:textId="77777777" w:rsidR="006525C9" w:rsidRPr="00F50C10" w:rsidRDefault="006525C9" w:rsidP="000B206D">
            <w:pPr>
              <w:spacing w:line="276" w:lineRule="auto"/>
              <w:rPr>
                <w:rFonts w:cs="Times New Roman"/>
                <w:szCs w:val="24"/>
              </w:rPr>
            </w:pPr>
            <w:r w:rsidRPr="00F50C10">
              <w:rPr>
                <w:rFonts w:cs="Times New Roman"/>
                <w:szCs w:val="24"/>
              </w:rPr>
              <w:t>polifenilen sülfür</w:t>
            </w:r>
          </w:p>
        </w:tc>
      </w:tr>
      <w:tr w:rsidR="006525C9" w:rsidRPr="00F50C10" w14:paraId="61E3402B"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4B672FA0" w14:textId="77777777" w:rsidR="006525C9" w:rsidRPr="00F50C10" w:rsidRDefault="006525C9" w:rsidP="000B206D">
            <w:pPr>
              <w:spacing w:line="276" w:lineRule="auto"/>
              <w:rPr>
                <w:rFonts w:cs="Times New Roman"/>
                <w:szCs w:val="24"/>
              </w:rPr>
            </w:pPr>
            <w:r w:rsidRPr="00F50C10">
              <w:rPr>
                <w:rFonts w:cs="Times New Roman"/>
                <w:szCs w:val="24"/>
              </w:rPr>
              <w:t>PS</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509AE8D6" w14:textId="77777777" w:rsidR="006525C9" w:rsidRPr="00F50C10" w:rsidRDefault="006525C9" w:rsidP="000B206D">
            <w:pPr>
              <w:spacing w:line="276" w:lineRule="auto"/>
              <w:rPr>
                <w:rFonts w:cs="Times New Roman"/>
                <w:szCs w:val="24"/>
              </w:rPr>
            </w:pPr>
            <w:r w:rsidRPr="00F50C10">
              <w:rPr>
                <w:rFonts w:cs="Times New Roman"/>
                <w:szCs w:val="24"/>
              </w:rPr>
              <w:t>polistiren</w:t>
            </w:r>
          </w:p>
        </w:tc>
      </w:tr>
      <w:tr w:rsidR="006525C9" w:rsidRPr="00F50C10" w14:paraId="69CD4793"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66219712" w14:textId="77777777" w:rsidR="006525C9" w:rsidRPr="00F50C10" w:rsidRDefault="006525C9" w:rsidP="000B206D">
            <w:pPr>
              <w:spacing w:line="276" w:lineRule="auto"/>
              <w:rPr>
                <w:rFonts w:cs="Times New Roman"/>
                <w:szCs w:val="24"/>
              </w:rPr>
            </w:pPr>
            <w:r w:rsidRPr="00F50C10">
              <w:rPr>
                <w:rFonts w:cs="Times New Roman"/>
                <w:szCs w:val="24"/>
              </w:rPr>
              <w:t>PTA</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31AD8B7F" w14:textId="77777777" w:rsidR="006525C9" w:rsidRPr="00F50C10" w:rsidRDefault="006525C9" w:rsidP="000B206D">
            <w:pPr>
              <w:spacing w:line="276" w:lineRule="auto"/>
              <w:rPr>
                <w:rFonts w:cs="Times New Roman"/>
                <w:szCs w:val="24"/>
              </w:rPr>
            </w:pPr>
            <w:r w:rsidRPr="00F50C10">
              <w:rPr>
                <w:rFonts w:cs="Times New Roman"/>
                <w:szCs w:val="24"/>
              </w:rPr>
              <w:t>politereftalik asit</w:t>
            </w:r>
          </w:p>
        </w:tc>
      </w:tr>
      <w:tr w:rsidR="006525C9" w:rsidRPr="00F50C10" w14:paraId="22F33BC0"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033FB456" w14:textId="77777777" w:rsidR="006525C9" w:rsidRPr="00F50C10" w:rsidRDefault="006525C9" w:rsidP="000B206D">
            <w:pPr>
              <w:spacing w:line="276" w:lineRule="auto"/>
              <w:rPr>
                <w:rFonts w:cs="Times New Roman"/>
                <w:szCs w:val="24"/>
              </w:rPr>
            </w:pPr>
            <w:r w:rsidRPr="00F50C10">
              <w:rPr>
                <w:rFonts w:cs="Times New Roman"/>
                <w:szCs w:val="24"/>
              </w:rPr>
              <w:t>PTFE</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3DF60A3B" w14:textId="77777777" w:rsidR="006525C9" w:rsidRPr="00F50C10" w:rsidRDefault="006525C9" w:rsidP="000B206D">
            <w:pPr>
              <w:spacing w:line="276" w:lineRule="auto"/>
              <w:rPr>
                <w:rFonts w:cs="Times New Roman"/>
                <w:szCs w:val="24"/>
              </w:rPr>
            </w:pPr>
            <w:r w:rsidRPr="00F50C10">
              <w:rPr>
                <w:rFonts w:cs="Times New Roman"/>
                <w:szCs w:val="24"/>
              </w:rPr>
              <w:t>politetrafloroetilen</w:t>
            </w:r>
          </w:p>
        </w:tc>
      </w:tr>
      <w:tr w:rsidR="006525C9" w:rsidRPr="00F50C10" w14:paraId="3B8528BC"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6847F5B6" w14:textId="77777777" w:rsidR="006525C9" w:rsidRPr="00F50C10" w:rsidRDefault="006525C9" w:rsidP="000B206D">
            <w:pPr>
              <w:spacing w:line="276" w:lineRule="auto"/>
              <w:rPr>
                <w:rFonts w:cs="Times New Roman"/>
                <w:szCs w:val="24"/>
              </w:rPr>
            </w:pPr>
            <w:r w:rsidRPr="00F50C10">
              <w:rPr>
                <w:rFonts w:cs="Times New Roman"/>
                <w:szCs w:val="24"/>
              </w:rPr>
              <w:t>PUR</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BAA3377" w14:textId="77777777" w:rsidR="006525C9" w:rsidRPr="00F50C10" w:rsidRDefault="006525C9" w:rsidP="000B206D">
            <w:pPr>
              <w:spacing w:line="276" w:lineRule="auto"/>
              <w:rPr>
                <w:rFonts w:cs="Times New Roman"/>
                <w:szCs w:val="24"/>
              </w:rPr>
            </w:pPr>
            <w:r w:rsidRPr="00F50C10">
              <w:rPr>
                <w:rFonts w:cs="Times New Roman"/>
                <w:szCs w:val="24"/>
              </w:rPr>
              <w:t>poliüretan</w:t>
            </w:r>
          </w:p>
        </w:tc>
      </w:tr>
      <w:tr w:rsidR="006525C9" w:rsidRPr="00F50C10" w14:paraId="2FCB95EF"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E78793A" w14:textId="77777777" w:rsidR="006525C9" w:rsidRPr="00F50C10" w:rsidRDefault="006525C9" w:rsidP="000B206D">
            <w:pPr>
              <w:spacing w:line="276" w:lineRule="auto"/>
              <w:rPr>
                <w:rFonts w:cs="Times New Roman"/>
                <w:szCs w:val="24"/>
              </w:rPr>
            </w:pPr>
            <w:r w:rsidRPr="00F50C10">
              <w:rPr>
                <w:rFonts w:cs="Times New Roman"/>
                <w:szCs w:val="24"/>
              </w:rPr>
              <w:t>PVA</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6ECFAA77" w14:textId="77777777" w:rsidR="006525C9" w:rsidRPr="00F50C10" w:rsidRDefault="006525C9" w:rsidP="000B206D">
            <w:pPr>
              <w:spacing w:line="276" w:lineRule="auto"/>
              <w:rPr>
                <w:rFonts w:cs="Times New Roman"/>
                <w:szCs w:val="24"/>
              </w:rPr>
            </w:pPr>
            <w:r w:rsidRPr="00F50C10">
              <w:rPr>
                <w:rFonts w:cs="Times New Roman"/>
                <w:szCs w:val="24"/>
              </w:rPr>
              <w:t>polivinil asetat</w:t>
            </w:r>
          </w:p>
        </w:tc>
      </w:tr>
      <w:tr w:rsidR="006525C9" w:rsidRPr="00F50C10" w14:paraId="04430E9B"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043D1A9" w14:textId="77777777" w:rsidR="006525C9" w:rsidRPr="00F50C10" w:rsidRDefault="006525C9" w:rsidP="000B206D">
            <w:pPr>
              <w:spacing w:line="276" w:lineRule="auto"/>
              <w:rPr>
                <w:rFonts w:cs="Times New Roman"/>
                <w:szCs w:val="24"/>
              </w:rPr>
            </w:pPr>
            <w:r w:rsidRPr="00F50C10">
              <w:rPr>
                <w:rFonts w:cs="Times New Roman"/>
                <w:szCs w:val="24"/>
              </w:rPr>
              <w:t>PVC</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34CF0016" w14:textId="77777777" w:rsidR="006525C9" w:rsidRPr="00F50C10" w:rsidRDefault="006525C9" w:rsidP="000B206D">
            <w:pPr>
              <w:spacing w:line="276" w:lineRule="auto"/>
              <w:rPr>
                <w:rFonts w:cs="Times New Roman"/>
                <w:szCs w:val="24"/>
              </w:rPr>
            </w:pPr>
            <w:r w:rsidRPr="00F50C10">
              <w:rPr>
                <w:rFonts w:cs="Times New Roman"/>
                <w:szCs w:val="24"/>
              </w:rPr>
              <w:t>polivinil klorür</w:t>
            </w:r>
          </w:p>
        </w:tc>
      </w:tr>
      <w:tr w:rsidR="006525C9" w:rsidRPr="00F50C10" w14:paraId="0D3141E8"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B941625" w14:textId="77777777" w:rsidR="006525C9" w:rsidRPr="00F50C10" w:rsidRDefault="006525C9" w:rsidP="000B206D">
            <w:pPr>
              <w:spacing w:line="276" w:lineRule="auto"/>
              <w:rPr>
                <w:rFonts w:cs="Times New Roman"/>
                <w:szCs w:val="24"/>
              </w:rPr>
            </w:pPr>
            <w:r w:rsidRPr="00F50C10">
              <w:rPr>
                <w:rFonts w:cs="Times New Roman"/>
                <w:szCs w:val="24"/>
              </w:rPr>
              <w:t>PVDC</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B224802" w14:textId="77777777" w:rsidR="006525C9" w:rsidRPr="00F50C10" w:rsidRDefault="006525C9" w:rsidP="000B206D">
            <w:pPr>
              <w:spacing w:line="276" w:lineRule="auto"/>
              <w:rPr>
                <w:rFonts w:cs="Times New Roman"/>
                <w:szCs w:val="24"/>
              </w:rPr>
            </w:pPr>
            <w:r w:rsidRPr="00F50C10">
              <w:rPr>
                <w:rFonts w:cs="Times New Roman"/>
                <w:szCs w:val="24"/>
              </w:rPr>
              <w:t>poliviniliden klorür</w:t>
            </w:r>
          </w:p>
        </w:tc>
      </w:tr>
      <w:tr w:rsidR="006525C9" w:rsidRPr="00F50C10" w14:paraId="7DA71A29"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5BA1834" w14:textId="77777777" w:rsidR="006525C9" w:rsidRPr="00F50C10" w:rsidRDefault="006525C9" w:rsidP="000B206D">
            <w:pPr>
              <w:spacing w:line="276" w:lineRule="auto"/>
              <w:rPr>
                <w:rFonts w:cs="Times New Roman"/>
                <w:szCs w:val="24"/>
              </w:rPr>
            </w:pPr>
            <w:r w:rsidRPr="00F50C10">
              <w:rPr>
                <w:rFonts w:cs="Times New Roman"/>
                <w:szCs w:val="24"/>
              </w:rPr>
              <w:t>PVDF</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3F3F6233" w14:textId="77777777" w:rsidR="006525C9" w:rsidRPr="00F50C10" w:rsidRDefault="006525C9" w:rsidP="000B206D">
            <w:pPr>
              <w:spacing w:line="276" w:lineRule="auto"/>
              <w:rPr>
                <w:rFonts w:cs="Times New Roman"/>
                <w:szCs w:val="24"/>
              </w:rPr>
            </w:pPr>
            <w:r w:rsidRPr="00F50C10">
              <w:rPr>
                <w:rFonts w:cs="Times New Roman"/>
                <w:szCs w:val="24"/>
              </w:rPr>
              <w:t>poliviniliden florür</w:t>
            </w:r>
          </w:p>
        </w:tc>
      </w:tr>
      <w:tr w:rsidR="006525C9" w:rsidRPr="00F50C10" w14:paraId="22216A0C"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0EA39CB8" w14:textId="77777777" w:rsidR="006525C9" w:rsidRPr="00F50C10" w:rsidRDefault="006525C9" w:rsidP="000B206D">
            <w:pPr>
              <w:spacing w:line="276" w:lineRule="auto"/>
              <w:rPr>
                <w:rFonts w:cs="Times New Roman"/>
                <w:szCs w:val="24"/>
              </w:rPr>
            </w:pPr>
            <w:r w:rsidRPr="00F50C10">
              <w:rPr>
                <w:rFonts w:cs="Times New Roman"/>
                <w:szCs w:val="24"/>
              </w:rPr>
              <w:t>SAN</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35C00235" w14:textId="77777777" w:rsidR="006525C9" w:rsidRPr="00F50C10" w:rsidRDefault="006525C9" w:rsidP="000B206D">
            <w:pPr>
              <w:spacing w:line="276" w:lineRule="auto"/>
              <w:rPr>
                <w:rFonts w:cs="Times New Roman"/>
                <w:szCs w:val="24"/>
              </w:rPr>
            </w:pPr>
            <w:r w:rsidRPr="00F50C10">
              <w:rPr>
                <w:rFonts w:cs="Times New Roman"/>
                <w:szCs w:val="24"/>
              </w:rPr>
              <w:t>polistiren-akrilonitril</w:t>
            </w:r>
          </w:p>
        </w:tc>
      </w:tr>
      <w:tr w:rsidR="006525C9" w:rsidRPr="00F50C10" w14:paraId="5CFA7BDE"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6EE0A13" w14:textId="77777777" w:rsidR="006525C9" w:rsidRPr="00F50C10" w:rsidRDefault="006525C9" w:rsidP="000B206D">
            <w:pPr>
              <w:spacing w:line="276" w:lineRule="auto"/>
              <w:rPr>
                <w:rFonts w:cs="Times New Roman"/>
                <w:szCs w:val="24"/>
              </w:rPr>
            </w:pPr>
            <w:r w:rsidRPr="00F50C10">
              <w:rPr>
                <w:rFonts w:cs="Times New Roman"/>
                <w:szCs w:val="24"/>
              </w:rPr>
              <w:t>SBC</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5057231" w14:textId="77777777" w:rsidR="006525C9" w:rsidRPr="00F50C10" w:rsidRDefault="006525C9" w:rsidP="000B206D">
            <w:pPr>
              <w:spacing w:line="276" w:lineRule="auto"/>
              <w:rPr>
                <w:rFonts w:cs="Times New Roman"/>
                <w:szCs w:val="24"/>
              </w:rPr>
            </w:pPr>
            <w:r w:rsidRPr="00F50C10">
              <w:rPr>
                <w:rFonts w:cs="Times New Roman"/>
                <w:szCs w:val="24"/>
              </w:rPr>
              <w:t>Stiren blok kopolimer</w:t>
            </w:r>
          </w:p>
        </w:tc>
      </w:tr>
      <w:tr w:rsidR="006525C9" w:rsidRPr="00F50C10" w14:paraId="72718FD4"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06EEB16" w14:textId="77777777" w:rsidR="006525C9" w:rsidRPr="00F50C10" w:rsidRDefault="006525C9" w:rsidP="000B206D">
            <w:pPr>
              <w:spacing w:line="276" w:lineRule="auto"/>
              <w:rPr>
                <w:rFonts w:cs="Times New Roman"/>
                <w:szCs w:val="24"/>
              </w:rPr>
            </w:pPr>
            <w:r w:rsidRPr="00F50C10">
              <w:rPr>
                <w:rFonts w:cs="Times New Roman"/>
                <w:szCs w:val="24"/>
              </w:rPr>
              <w:t>SBR</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A3D7300" w14:textId="77777777" w:rsidR="006525C9" w:rsidRPr="00F50C10" w:rsidRDefault="006525C9" w:rsidP="000B206D">
            <w:pPr>
              <w:spacing w:line="276" w:lineRule="auto"/>
              <w:rPr>
                <w:rFonts w:cs="Times New Roman"/>
                <w:szCs w:val="24"/>
              </w:rPr>
            </w:pPr>
            <w:r w:rsidRPr="00F50C10">
              <w:rPr>
                <w:rFonts w:cs="Times New Roman"/>
                <w:szCs w:val="24"/>
              </w:rPr>
              <w:t>stiren bütadien kauçuk</w:t>
            </w:r>
          </w:p>
        </w:tc>
      </w:tr>
      <w:tr w:rsidR="006525C9" w:rsidRPr="00F50C10" w14:paraId="109A19A5"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09A7A723" w14:textId="77777777" w:rsidR="006525C9" w:rsidRPr="00F50C10" w:rsidRDefault="006525C9" w:rsidP="000B206D">
            <w:pPr>
              <w:spacing w:line="276" w:lineRule="auto"/>
              <w:rPr>
                <w:rFonts w:cs="Times New Roman"/>
                <w:szCs w:val="24"/>
              </w:rPr>
            </w:pPr>
            <w:r w:rsidRPr="00F50C10">
              <w:rPr>
                <w:rFonts w:cs="Times New Roman"/>
                <w:szCs w:val="24"/>
              </w:rPr>
              <w:t>SBS</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7FC3AB93" w14:textId="77777777" w:rsidR="006525C9" w:rsidRPr="00F50C10" w:rsidRDefault="006525C9" w:rsidP="000B206D">
            <w:pPr>
              <w:spacing w:line="276" w:lineRule="auto"/>
              <w:rPr>
                <w:rFonts w:cs="Times New Roman"/>
                <w:szCs w:val="24"/>
              </w:rPr>
            </w:pPr>
            <w:r w:rsidRPr="00F50C10">
              <w:rPr>
                <w:rFonts w:cs="Times New Roman"/>
                <w:szCs w:val="24"/>
              </w:rPr>
              <w:t>stiren bütadien stiren</w:t>
            </w:r>
          </w:p>
        </w:tc>
      </w:tr>
      <w:tr w:rsidR="006525C9" w:rsidRPr="00F50C10" w14:paraId="4F14B555"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02D69082" w14:textId="77777777" w:rsidR="006525C9" w:rsidRPr="00F50C10" w:rsidRDefault="006525C9" w:rsidP="000B206D">
            <w:pPr>
              <w:spacing w:line="276" w:lineRule="auto"/>
              <w:rPr>
                <w:rFonts w:cs="Times New Roman"/>
                <w:szCs w:val="24"/>
              </w:rPr>
            </w:pPr>
            <w:r w:rsidRPr="00F50C10">
              <w:rPr>
                <w:rFonts w:cs="Times New Roman"/>
                <w:szCs w:val="24"/>
              </w:rPr>
              <w:t>SEBS</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7C727C3A" w14:textId="77777777" w:rsidR="006525C9" w:rsidRPr="00F50C10" w:rsidRDefault="006525C9" w:rsidP="000B206D">
            <w:pPr>
              <w:spacing w:line="276" w:lineRule="auto"/>
              <w:rPr>
                <w:rFonts w:cs="Times New Roman"/>
                <w:szCs w:val="24"/>
              </w:rPr>
            </w:pPr>
            <w:r w:rsidRPr="00F50C10">
              <w:rPr>
                <w:rFonts w:cs="Times New Roman"/>
                <w:szCs w:val="24"/>
              </w:rPr>
              <w:t>Stiren-etilen-bütilen-stiren</w:t>
            </w:r>
          </w:p>
        </w:tc>
      </w:tr>
      <w:tr w:rsidR="006525C9" w:rsidRPr="00F50C10" w14:paraId="3EFD64E8"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687D5CD0" w14:textId="77777777" w:rsidR="006525C9" w:rsidRPr="00F50C10" w:rsidRDefault="006525C9" w:rsidP="000B206D">
            <w:pPr>
              <w:spacing w:line="276" w:lineRule="auto"/>
              <w:rPr>
                <w:rFonts w:cs="Times New Roman"/>
                <w:szCs w:val="24"/>
              </w:rPr>
            </w:pPr>
            <w:r w:rsidRPr="00F50C10">
              <w:rPr>
                <w:rFonts w:cs="Times New Roman"/>
                <w:szCs w:val="24"/>
              </w:rPr>
              <w:t>SEPS</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C5E76B9" w14:textId="77777777" w:rsidR="006525C9" w:rsidRPr="00F50C10" w:rsidRDefault="006525C9" w:rsidP="000B206D">
            <w:pPr>
              <w:spacing w:line="276" w:lineRule="auto"/>
              <w:rPr>
                <w:rFonts w:cs="Times New Roman"/>
                <w:szCs w:val="24"/>
              </w:rPr>
            </w:pPr>
            <w:r w:rsidRPr="00F50C10">
              <w:rPr>
                <w:rFonts w:cs="Times New Roman"/>
                <w:szCs w:val="24"/>
              </w:rPr>
              <w:t>Stiren-etilen-propilen-stiren</w:t>
            </w:r>
          </w:p>
        </w:tc>
      </w:tr>
      <w:tr w:rsidR="006525C9" w:rsidRPr="00F50C10" w14:paraId="380B0FFD"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A14FFFC" w14:textId="77777777" w:rsidR="006525C9" w:rsidRPr="00F50C10" w:rsidRDefault="006525C9" w:rsidP="000B206D">
            <w:pPr>
              <w:spacing w:line="276" w:lineRule="auto"/>
              <w:rPr>
                <w:rFonts w:cs="Times New Roman"/>
                <w:szCs w:val="24"/>
              </w:rPr>
            </w:pPr>
            <w:r w:rsidRPr="00F50C10">
              <w:rPr>
                <w:rFonts w:cs="Times New Roman"/>
                <w:szCs w:val="24"/>
              </w:rPr>
              <w:t>SIS</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32AD2902" w14:textId="77777777" w:rsidR="006525C9" w:rsidRPr="00F50C10" w:rsidRDefault="006525C9" w:rsidP="000B206D">
            <w:pPr>
              <w:spacing w:line="276" w:lineRule="auto"/>
              <w:rPr>
                <w:rFonts w:cs="Times New Roman"/>
                <w:szCs w:val="24"/>
              </w:rPr>
            </w:pPr>
            <w:r w:rsidRPr="00F50C10">
              <w:rPr>
                <w:rFonts w:cs="Times New Roman"/>
                <w:szCs w:val="24"/>
              </w:rPr>
              <w:t>stiren izopren stiren</w:t>
            </w:r>
          </w:p>
        </w:tc>
      </w:tr>
      <w:tr w:rsidR="006525C9" w:rsidRPr="00F50C10" w14:paraId="26873966"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B7123B8" w14:textId="77777777" w:rsidR="006525C9" w:rsidRPr="00F50C10" w:rsidRDefault="006525C9" w:rsidP="000B206D">
            <w:pPr>
              <w:spacing w:line="276" w:lineRule="auto"/>
              <w:rPr>
                <w:rFonts w:cs="Times New Roman"/>
                <w:szCs w:val="24"/>
              </w:rPr>
            </w:pPr>
            <w:r w:rsidRPr="00F50C10">
              <w:rPr>
                <w:rFonts w:cs="Times New Roman"/>
                <w:szCs w:val="24"/>
              </w:rPr>
              <w:t>SM</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5E741645" w14:textId="77777777" w:rsidR="006525C9" w:rsidRPr="00F50C10" w:rsidRDefault="006525C9" w:rsidP="000B206D">
            <w:pPr>
              <w:spacing w:line="276" w:lineRule="auto"/>
              <w:rPr>
                <w:rFonts w:cs="Times New Roman"/>
                <w:szCs w:val="24"/>
              </w:rPr>
            </w:pPr>
            <w:r w:rsidRPr="00F50C10">
              <w:rPr>
                <w:rFonts w:cs="Times New Roman"/>
                <w:szCs w:val="24"/>
              </w:rPr>
              <w:t>stiren monomer</w:t>
            </w:r>
          </w:p>
        </w:tc>
      </w:tr>
      <w:tr w:rsidR="006525C9" w:rsidRPr="00F50C10" w14:paraId="0A6A4286"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2CB1B9D9" w14:textId="77777777" w:rsidR="006525C9" w:rsidRPr="00F50C10" w:rsidRDefault="006525C9" w:rsidP="000B206D">
            <w:pPr>
              <w:spacing w:line="276" w:lineRule="auto"/>
              <w:rPr>
                <w:rFonts w:cs="Times New Roman"/>
                <w:szCs w:val="24"/>
              </w:rPr>
            </w:pPr>
            <w:r w:rsidRPr="00F50C10">
              <w:rPr>
                <w:rFonts w:cs="Times New Roman"/>
                <w:szCs w:val="24"/>
              </w:rPr>
              <w:t>SMA</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393391B9" w14:textId="77777777" w:rsidR="006525C9" w:rsidRPr="00F50C10" w:rsidRDefault="006525C9" w:rsidP="000B206D">
            <w:pPr>
              <w:spacing w:line="276" w:lineRule="auto"/>
              <w:rPr>
                <w:rFonts w:cs="Times New Roman"/>
                <w:szCs w:val="24"/>
              </w:rPr>
            </w:pPr>
            <w:r w:rsidRPr="00F50C10">
              <w:rPr>
                <w:rFonts w:cs="Times New Roman"/>
                <w:szCs w:val="24"/>
              </w:rPr>
              <w:t>polistiren-maleik anhidrit</w:t>
            </w:r>
          </w:p>
        </w:tc>
      </w:tr>
      <w:tr w:rsidR="006525C9" w:rsidRPr="00F50C10" w14:paraId="53043286"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2986B9C4" w14:textId="77777777" w:rsidR="006525C9" w:rsidRPr="00F50C10" w:rsidRDefault="006525C9" w:rsidP="000B206D">
            <w:pPr>
              <w:spacing w:line="276" w:lineRule="auto"/>
              <w:rPr>
                <w:rFonts w:cs="Times New Roman"/>
                <w:szCs w:val="24"/>
              </w:rPr>
            </w:pPr>
            <w:r w:rsidRPr="00F50C10">
              <w:rPr>
                <w:rFonts w:cs="Times New Roman"/>
                <w:szCs w:val="24"/>
              </w:rPr>
              <w:t>SPVC</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309158B0" w14:textId="77777777" w:rsidR="006525C9" w:rsidRPr="00F50C10" w:rsidRDefault="006525C9" w:rsidP="000B206D">
            <w:pPr>
              <w:spacing w:line="276" w:lineRule="auto"/>
              <w:rPr>
                <w:rFonts w:cs="Times New Roman"/>
                <w:szCs w:val="24"/>
              </w:rPr>
            </w:pPr>
            <w:r w:rsidRPr="00F50C10">
              <w:rPr>
                <w:rFonts w:cs="Times New Roman"/>
                <w:szCs w:val="24"/>
              </w:rPr>
              <w:t>süspansiyon PVC</w:t>
            </w:r>
          </w:p>
        </w:tc>
      </w:tr>
      <w:tr w:rsidR="006525C9" w:rsidRPr="00F50C10" w14:paraId="3825CE84"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63132FAB" w14:textId="77777777" w:rsidR="006525C9" w:rsidRPr="00F50C10" w:rsidRDefault="006525C9" w:rsidP="000B206D">
            <w:pPr>
              <w:spacing w:line="276" w:lineRule="auto"/>
              <w:rPr>
                <w:rFonts w:cs="Times New Roman"/>
                <w:szCs w:val="24"/>
              </w:rPr>
            </w:pPr>
            <w:r w:rsidRPr="00F50C10">
              <w:rPr>
                <w:rFonts w:cs="Times New Roman"/>
                <w:szCs w:val="24"/>
              </w:rPr>
              <w:t>SSBR</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7218B006" w14:textId="77777777" w:rsidR="006525C9" w:rsidRPr="00F50C10" w:rsidRDefault="006525C9" w:rsidP="000B206D">
            <w:pPr>
              <w:spacing w:line="276" w:lineRule="auto"/>
              <w:rPr>
                <w:rFonts w:cs="Times New Roman"/>
                <w:szCs w:val="24"/>
              </w:rPr>
            </w:pPr>
            <w:r w:rsidRPr="00F50C10">
              <w:rPr>
                <w:rFonts w:cs="Times New Roman"/>
                <w:szCs w:val="24"/>
              </w:rPr>
              <w:t>çözelti stiren bütadien kauçuk</w:t>
            </w:r>
          </w:p>
        </w:tc>
      </w:tr>
      <w:tr w:rsidR="006525C9" w:rsidRPr="00F50C10" w14:paraId="4B6CEA01"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D706D01" w14:textId="77777777" w:rsidR="006525C9" w:rsidRPr="00F50C10" w:rsidRDefault="006525C9" w:rsidP="000B206D">
            <w:pPr>
              <w:spacing w:line="276" w:lineRule="auto"/>
              <w:rPr>
                <w:rFonts w:cs="Times New Roman"/>
                <w:szCs w:val="24"/>
              </w:rPr>
            </w:pPr>
            <w:r w:rsidRPr="00F50C10">
              <w:rPr>
                <w:rFonts w:cs="Times New Roman"/>
                <w:szCs w:val="24"/>
              </w:rPr>
              <w:t>STR</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7D128B0A" w14:textId="77777777" w:rsidR="006525C9" w:rsidRPr="00F50C10" w:rsidRDefault="006525C9" w:rsidP="000B206D">
            <w:pPr>
              <w:spacing w:line="276" w:lineRule="auto"/>
              <w:rPr>
                <w:rFonts w:cs="Times New Roman"/>
                <w:szCs w:val="24"/>
              </w:rPr>
            </w:pPr>
            <w:r w:rsidRPr="00F50C10">
              <w:rPr>
                <w:rFonts w:cs="Times New Roman"/>
                <w:szCs w:val="24"/>
              </w:rPr>
              <w:t>karıştırımlı tank reaktörü</w:t>
            </w:r>
          </w:p>
        </w:tc>
      </w:tr>
      <w:tr w:rsidR="006525C9" w:rsidRPr="00F50C10" w14:paraId="622EB74D"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2C5A0D71" w14:textId="77777777" w:rsidR="006525C9" w:rsidRPr="00F50C10" w:rsidRDefault="006525C9" w:rsidP="000B206D">
            <w:pPr>
              <w:spacing w:line="276" w:lineRule="auto"/>
              <w:rPr>
                <w:rFonts w:cs="Times New Roman"/>
                <w:szCs w:val="24"/>
              </w:rPr>
            </w:pPr>
            <w:r w:rsidRPr="00F50C10">
              <w:rPr>
                <w:rFonts w:cs="Times New Roman"/>
                <w:szCs w:val="24"/>
              </w:rPr>
              <w:t>SV</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5C2832B" w14:textId="77777777" w:rsidR="006525C9" w:rsidRPr="00F50C10" w:rsidRDefault="006525C9" w:rsidP="000B206D">
            <w:pPr>
              <w:spacing w:line="276" w:lineRule="auto"/>
              <w:rPr>
                <w:rFonts w:cs="Times New Roman"/>
                <w:szCs w:val="24"/>
              </w:rPr>
            </w:pPr>
            <w:r w:rsidRPr="00F50C10">
              <w:rPr>
                <w:rFonts w:cs="Times New Roman"/>
                <w:szCs w:val="24"/>
              </w:rPr>
              <w:t>çözelti viskozitesi (SV)</w:t>
            </w:r>
          </w:p>
        </w:tc>
      </w:tr>
      <w:tr w:rsidR="006525C9" w:rsidRPr="00F50C10" w14:paraId="2591631D"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53AE508" w14:textId="77777777" w:rsidR="006525C9" w:rsidRPr="00F50C10" w:rsidRDefault="006525C9" w:rsidP="000B206D">
            <w:pPr>
              <w:spacing w:line="276" w:lineRule="auto"/>
              <w:rPr>
                <w:rFonts w:cs="Times New Roman"/>
                <w:szCs w:val="24"/>
              </w:rPr>
            </w:pPr>
            <w:r w:rsidRPr="00F50C10">
              <w:rPr>
                <w:rFonts w:cs="Times New Roman"/>
                <w:szCs w:val="24"/>
              </w:rPr>
              <w:t>SWS</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F713880" w14:textId="77777777" w:rsidR="006525C9" w:rsidRPr="00F50C10" w:rsidRDefault="006525C9" w:rsidP="000B206D">
            <w:pPr>
              <w:spacing w:line="276" w:lineRule="auto"/>
              <w:rPr>
                <w:rFonts w:cs="Times New Roman"/>
                <w:szCs w:val="24"/>
              </w:rPr>
            </w:pPr>
            <w:r w:rsidRPr="00F50C10">
              <w:rPr>
                <w:rFonts w:cs="Times New Roman"/>
                <w:szCs w:val="24"/>
              </w:rPr>
              <w:t>ekşi su sıyırıcı</w:t>
            </w:r>
          </w:p>
        </w:tc>
      </w:tr>
      <w:tr w:rsidR="006525C9" w:rsidRPr="00F50C10" w14:paraId="1B04ACCE"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5594167E" w14:textId="77777777" w:rsidR="006525C9" w:rsidRPr="00F50C10" w:rsidRDefault="006525C9" w:rsidP="000B206D">
            <w:pPr>
              <w:spacing w:line="276" w:lineRule="auto"/>
              <w:rPr>
                <w:rFonts w:cs="Times New Roman"/>
                <w:szCs w:val="24"/>
              </w:rPr>
            </w:pPr>
            <w:r w:rsidRPr="00F50C10">
              <w:rPr>
                <w:rFonts w:cs="Times New Roman"/>
                <w:szCs w:val="24"/>
              </w:rPr>
              <w:t>TAKM</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D2FBA23" w14:textId="77777777" w:rsidR="006525C9" w:rsidRPr="00F50C10" w:rsidRDefault="006525C9" w:rsidP="000B206D">
            <w:pPr>
              <w:spacing w:line="276" w:lineRule="auto"/>
              <w:rPr>
                <w:rFonts w:cs="Times New Roman"/>
                <w:szCs w:val="24"/>
              </w:rPr>
            </w:pPr>
            <w:r w:rsidRPr="00F50C10">
              <w:rPr>
                <w:rFonts w:cs="Times New Roman"/>
                <w:szCs w:val="24"/>
              </w:rPr>
              <w:t>toplam askıda katı madde (içeriği) (suda) (ayrıca bkz. AK)</w:t>
            </w:r>
          </w:p>
        </w:tc>
      </w:tr>
      <w:tr w:rsidR="006525C9" w:rsidRPr="00F50C10" w14:paraId="207EE675"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D661761" w14:textId="77777777" w:rsidR="006525C9" w:rsidRPr="00F50C10" w:rsidRDefault="006525C9" w:rsidP="000B206D">
            <w:pPr>
              <w:spacing w:line="276" w:lineRule="auto"/>
              <w:rPr>
                <w:rFonts w:cs="Times New Roman"/>
                <w:szCs w:val="24"/>
              </w:rPr>
            </w:pPr>
            <w:r w:rsidRPr="00F50C10">
              <w:rPr>
                <w:rFonts w:cs="Times New Roman"/>
                <w:szCs w:val="24"/>
              </w:rPr>
              <w:t>TBC</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709BB515" w14:textId="77777777" w:rsidR="006525C9" w:rsidRPr="00F50C10" w:rsidRDefault="006525C9" w:rsidP="000B206D">
            <w:pPr>
              <w:spacing w:line="276" w:lineRule="auto"/>
              <w:rPr>
                <w:rFonts w:cs="Times New Roman"/>
                <w:szCs w:val="24"/>
              </w:rPr>
            </w:pPr>
            <w:r w:rsidRPr="00F50C10">
              <w:rPr>
                <w:rFonts w:cs="Times New Roman"/>
                <w:szCs w:val="24"/>
              </w:rPr>
              <w:t>4-tert-bütilkatekol</w:t>
            </w:r>
          </w:p>
        </w:tc>
      </w:tr>
      <w:tr w:rsidR="006525C9" w:rsidRPr="00F50C10" w14:paraId="269C6888"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F5BEBD9" w14:textId="77777777" w:rsidR="006525C9" w:rsidRPr="00F50C10" w:rsidRDefault="006525C9" w:rsidP="000B206D">
            <w:pPr>
              <w:spacing w:line="276" w:lineRule="auto"/>
              <w:rPr>
                <w:rFonts w:cs="Times New Roman"/>
                <w:szCs w:val="24"/>
              </w:rPr>
            </w:pPr>
            <w:r w:rsidRPr="00F50C10">
              <w:rPr>
                <w:rFonts w:cs="Times New Roman"/>
                <w:szCs w:val="24"/>
              </w:rPr>
              <w:t>TÇG</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473B966" w14:textId="77777777" w:rsidR="006525C9" w:rsidRPr="00F50C10" w:rsidRDefault="006525C9" w:rsidP="000B206D">
            <w:pPr>
              <w:spacing w:line="276" w:lineRule="auto"/>
              <w:rPr>
                <w:rFonts w:cs="Times New Roman"/>
                <w:szCs w:val="24"/>
              </w:rPr>
            </w:pPr>
            <w:r w:rsidRPr="00F50C10">
              <w:rPr>
                <w:rFonts w:cs="Times New Roman"/>
                <w:szCs w:val="24"/>
              </w:rPr>
              <w:t>teknik çalışma grubu</w:t>
            </w:r>
          </w:p>
        </w:tc>
      </w:tr>
      <w:tr w:rsidR="006525C9" w:rsidRPr="00F50C10" w14:paraId="45D26816"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5962E127" w14:textId="77777777" w:rsidR="006525C9" w:rsidRPr="00F50C10" w:rsidRDefault="006525C9" w:rsidP="000B206D">
            <w:pPr>
              <w:spacing w:line="276" w:lineRule="auto"/>
              <w:rPr>
                <w:rFonts w:cs="Times New Roman"/>
                <w:szCs w:val="24"/>
              </w:rPr>
            </w:pPr>
            <w:r w:rsidRPr="00F50C10">
              <w:rPr>
                <w:rFonts w:cs="Times New Roman"/>
                <w:szCs w:val="24"/>
              </w:rPr>
              <w:t>TFC</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41647467" w14:textId="77777777" w:rsidR="006525C9" w:rsidRPr="00F50C10" w:rsidRDefault="006525C9" w:rsidP="000B206D">
            <w:pPr>
              <w:spacing w:line="276" w:lineRule="auto"/>
              <w:rPr>
                <w:rFonts w:cs="Times New Roman"/>
                <w:szCs w:val="24"/>
              </w:rPr>
            </w:pPr>
            <w:r w:rsidRPr="00F50C10">
              <w:rPr>
                <w:rFonts w:cs="Times New Roman"/>
                <w:szCs w:val="24"/>
              </w:rPr>
              <w:t>klor içeriği sıfır</w:t>
            </w:r>
          </w:p>
        </w:tc>
      </w:tr>
      <w:tr w:rsidR="006525C9" w:rsidRPr="00F50C10" w14:paraId="5A794FE6"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3EFF793" w14:textId="77777777" w:rsidR="006525C9" w:rsidRPr="00F50C10" w:rsidRDefault="006525C9" w:rsidP="000B206D">
            <w:pPr>
              <w:spacing w:line="276" w:lineRule="auto"/>
              <w:rPr>
                <w:rFonts w:cs="Times New Roman"/>
                <w:szCs w:val="24"/>
              </w:rPr>
            </w:pPr>
            <w:r w:rsidRPr="00F50C10">
              <w:rPr>
                <w:rFonts w:cs="Times New Roman"/>
                <w:szCs w:val="24"/>
              </w:rPr>
              <w:t>THF</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7F9853E" w14:textId="77777777" w:rsidR="006525C9" w:rsidRPr="00F50C10" w:rsidRDefault="006525C9" w:rsidP="000B206D">
            <w:pPr>
              <w:spacing w:line="276" w:lineRule="auto"/>
              <w:rPr>
                <w:rFonts w:cs="Times New Roman"/>
                <w:szCs w:val="24"/>
              </w:rPr>
            </w:pPr>
            <w:r w:rsidRPr="00F50C10">
              <w:rPr>
                <w:rFonts w:cs="Times New Roman"/>
                <w:szCs w:val="24"/>
              </w:rPr>
              <w:t>tetrahidrofuran</w:t>
            </w:r>
          </w:p>
        </w:tc>
      </w:tr>
      <w:tr w:rsidR="006525C9" w:rsidRPr="00F50C10" w14:paraId="24D7891C"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AFB031E" w14:textId="77777777" w:rsidR="006525C9" w:rsidRPr="00F50C10" w:rsidRDefault="006525C9" w:rsidP="000B206D">
            <w:pPr>
              <w:spacing w:line="276" w:lineRule="auto"/>
              <w:rPr>
                <w:rFonts w:cs="Times New Roman"/>
                <w:szCs w:val="24"/>
              </w:rPr>
            </w:pPr>
            <w:r w:rsidRPr="00F50C10">
              <w:rPr>
                <w:rFonts w:cs="Times New Roman"/>
                <w:szCs w:val="24"/>
              </w:rPr>
              <w:t>TK</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AB38A91" w14:textId="77777777" w:rsidR="006525C9" w:rsidRPr="00F50C10" w:rsidRDefault="006525C9" w:rsidP="000B206D">
            <w:pPr>
              <w:spacing w:line="276" w:lineRule="auto"/>
              <w:rPr>
                <w:rFonts w:cs="Times New Roman"/>
                <w:szCs w:val="24"/>
              </w:rPr>
            </w:pPr>
            <w:r w:rsidRPr="00F50C10">
              <w:rPr>
                <w:rFonts w:cs="Times New Roman"/>
                <w:szCs w:val="24"/>
              </w:rPr>
              <w:t>toplam katı (içeriği). Materyalin kurutulmadan önceki katı içeriği</w:t>
            </w:r>
          </w:p>
        </w:tc>
      </w:tr>
      <w:tr w:rsidR="006525C9" w:rsidRPr="00F50C10" w14:paraId="65211160"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7BB3C5FE" w14:textId="77777777" w:rsidR="006525C9" w:rsidRPr="00F50C10" w:rsidRDefault="006525C9" w:rsidP="000B206D">
            <w:pPr>
              <w:spacing w:line="276" w:lineRule="auto"/>
              <w:rPr>
                <w:rFonts w:cs="Times New Roman"/>
                <w:szCs w:val="24"/>
              </w:rPr>
            </w:pPr>
            <w:r w:rsidRPr="00F50C10">
              <w:rPr>
                <w:rFonts w:cs="Times New Roman"/>
                <w:szCs w:val="24"/>
              </w:rPr>
              <w:t>TMEDA</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3ABFA4C6" w14:textId="77777777" w:rsidR="006525C9" w:rsidRPr="00F50C10" w:rsidRDefault="006525C9" w:rsidP="000B206D">
            <w:pPr>
              <w:spacing w:line="276" w:lineRule="auto"/>
              <w:rPr>
                <w:rFonts w:cs="Times New Roman"/>
                <w:szCs w:val="24"/>
              </w:rPr>
            </w:pPr>
            <w:r w:rsidRPr="00F50C10">
              <w:rPr>
                <w:rFonts w:cs="Times New Roman"/>
                <w:szCs w:val="24"/>
              </w:rPr>
              <w:t>tetrametil etilendiamin</w:t>
            </w:r>
          </w:p>
        </w:tc>
      </w:tr>
      <w:tr w:rsidR="006525C9" w:rsidRPr="00F50C10" w14:paraId="33F08DBD"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40A47AB9" w14:textId="77777777" w:rsidR="006525C9" w:rsidRPr="00F50C10" w:rsidRDefault="006525C9" w:rsidP="000B206D">
            <w:pPr>
              <w:spacing w:line="276" w:lineRule="auto"/>
              <w:rPr>
                <w:rFonts w:cs="Times New Roman"/>
                <w:szCs w:val="24"/>
              </w:rPr>
            </w:pPr>
            <w:r w:rsidRPr="00F50C10">
              <w:rPr>
                <w:rFonts w:cs="Times New Roman"/>
                <w:szCs w:val="24"/>
              </w:rPr>
              <w:t>TOK</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0104E5CD" w14:textId="77777777" w:rsidR="006525C9" w:rsidRPr="00F50C10" w:rsidRDefault="006525C9" w:rsidP="000B206D">
            <w:pPr>
              <w:spacing w:line="276" w:lineRule="auto"/>
              <w:rPr>
                <w:rFonts w:cs="Times New Roman"/>
                <w:szCs w:val="24"/>
              </w:rPr>
            </w:pPr>
            <w:r w:rsidRPr="00F50C10">
              <w:rPr>
                <w:rFonts w:cs="Times New Roman"/>
                <w:szCs w:val="24"/>
              </w:rPr>
              <w:t>toplam organik karbon – atık sulardaki organik bileşiklerin bir ölçütü. Tespitinde diğer indirgeyici maddeleri içermez (KOİCr'den farklı olarak). Toplam organik karbon (TOK) için Avrupa standart yöntemi: EN 1484</w:t>
            </w:r>
          </w:p>
        </w:tc>
      </w:tr>
      <w:tr w:rsidR="006525C9" w:rsidRPr="00F50C10" w14:paraId="78FCC754"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2E7A6234" w14:textId="77777777" w:rsidR="006525C9" w:rsidRPr="00F50C10" w:rsidRDefault="006525C9" w:rsidP="000B206D">
            <w:pPr>
              <w:spacing w:line="276" w:lineRule="auto"/>
              <w:rPr>
                <w:rFonts w:cs="Times New Roman"/>
                <w:szCs w:val="24"/>
              </w:rPr>
            </w:pPr>
            <w:r w:rsidRPr="00F50C10">
              <w:rPr>
                <w:rFonts w:cs="Times New Roman"/>
                <w:szCs w:val="24"/>
              </w:rPr>
              <w:t>TPA</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816425E" w14:textId="77777777" w:rsidR="006525C9" w:rsidRPr="00F50C10" w:rsidRDefault="006525C9" w:rsidP="000B206D">
            <w:pPr>
              <w:spacing w:line="276" w:lineRule="auto"/>
              <w:rPr>
                <w:rFonts w:cs="Times New Roman"/>
                <w:szCs w:val="24"/>
              </w:rPr>
            </w:pPr>
            <w:r w:rsidRPr="00F50C10">
              <w:rPr>
                <w:rFonts w:cs="Times New Roman"/>
                <w:szCs w:val="24"/>
              </w:rPr>
              <w:t>tereftalik asit</w:t>
            </w:r>
          </w:p>
        </w:tc>
      </w:tr>
      <w:tr w:rsidR="006525C9" w:rsidRPr="00F50C10" w14:paraId="4C14FFB2"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477EC66" w14:textId="77777777" w:rsidR="006525C9" w:rsidRPr="00F50C10" w:rsidRDefault="006525C9" w:rsidP="000B206D">
            <w:pPr>
              <w:spacing w:line="276" w:lineRule="auto"/>
              <w:rPr>
                <w:rFonts w:cs="Times New Roman"/>
                <w:szCs w:val="24"/>
              </w:rPr>
            </w:pPr>
            <w:r w:rsidRPr="00F50C10">
              <w:rPr>
                <w:rFonts w:cs="Times New Roman"/>
                <w:szCs w:val="24"/>
              </w:rPr>
              <w:t>UOB</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57B4BF1F" w14:textId="77777777" w:rsidR="006525C9" w:rsidRPr="00F50C10" w:rsidRDefault="006525C9" w:rsidP="000B206D">
            <w:pPr>
              <w:spacing w:line="276" w:lineRule="auto"/>
              <w:rPr>
                <w:rFonts w:cs="Times New Roman"/>
                <w:szCs w:val="24"/>
              </w:rPr>
            </w:pPr>
            <w:r w:rsidRPr="00F50C10">
              <w:rPr>
                <w:rFonts w:cs="Times New Roman"/>
                <w:szCs w:val="24"/>
              </w:rPr>
              <w:t>"uçucu organik bileşik", bu dokümanda 293,15 K'de 0,01 kPa veya daha fazla buhar basıncına sahip veya belirli kullanım koşulları altında buna karşılık gelen bir uçuculuğa sahip herhangi bir organik bileşik anlamına gelir;</w:t>
            </w:r>
          </w:p>
        </w:tc>
      </w:tr>
      <w:tr w:rsidR="006525C9" w:rsidRPr="00F50C10" w14:paraId="4D67B633"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5CA23E08" w14:textId="77777777" w:rsidR="006525C9" w:rsidRPr="00F50C10" w:rsidRDefault="006525C9" w:rsidP="000B206D">
            <w:pPr>
              <w:spacing w:line="276" w:lineRule="auto"/>
              <w:rPr>
                <w:rFonts w:cs="Times New Roman"/>
                <w:szCs w:val="24"/>
              </w:rPr>
            </w:pPr>
            <w:r w:rsidRPr="00F50C10">
              <w:rPr>
                <w:rFonts w:cs="Times New Roman"/>
                <w:szCs w:val="24"/>
              </w:rPr>
              <w:t>UP</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5732A819" w14:textId="77777777" w:rsidR="006525C9" w:rsidRPr="00F50C10" w:rsidRDefault="006525C9" w:rsidP="000B206D">
            <w:pPr>
              <w:spacing w:line="276" w:lineRule="auto"/>
              <w:rPr>
                <w:rFonts w:cs="Times New Roman"/>
                <w:szCs w:val="24"/>
              </w:rPr>
            </w:pPr>
            <w:r w:rsidRPr="00F50C10">
              <w:rPr>
                <w:rFonts w:cs="Times New Roman"/>
                <w:szCs w:val="24"/>
              </w:rPr>
              <w:t>doymamış poliester</w:t>
            </w:r>
          </w:p>
        </w:tc>
      </w:tr>
      <w:tr w:rsidR="006525C9" w:rsidRPr="00F50C10" w14:paraId="2A18B9CC"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EC5AAAE" w14:textId="77777777" w:rsidR="006525C9" w:rsidRPr="00F50C10" w:rsidRDefault="006525C9" w:rsidP="000B206D">
            <w:pPr>
              <w:spacing w:line="276" w:lineRule="auto"/>
              <w:rPr>
                <w:rFonts w:cs="Times New Roman"/>
                <w:szCs w:val="24"/>
              </w:rPr>
            </w:pPr>
            <w:r w:rsidRPr="00F50C10">
              <w:rPr>
                <w:rFonts w:cs="Times New Roman"/>
                <w:szCs w:val="24"/>
              </w:rPr>
              <w:t>UV</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20319B1F" w14:textId="77777777" w:rsidR="006525C9" w:rsidRPr="00F50C10" w:rsidRDefault="006525C9" w:rsidP="000B206D">
            <w:pPr>
              <w:spacing w:line="276" w:lineRule="auto"/>
              <w:rPr>
                <w:rFonts w:cs="Times New Roman"/>
                <w:szCs w:val="24"/>
              </w:rPr>
            </w:pPr>
            <w:r w:rsidRPr="00F50C10">
              <w:rPr>
                <w:rFonts w:cs="Times New Roman"/>
                <w:szCs w:val="24"/>
              </w:rPr>
              <w:t>morötesi</w:t>
            </w:r>
          </w:p>
        </w:tc>
      </w:tr>
      <w:tr w:rsidR="006525C9" w:rsidRPr="00F50C10" w14:paraId="2352AB29"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119C902B" w14:textId="77777777" w:rsidR="006525C9" w:rsidRPr="00F50C10" w:rsidRDefault="006525C9" w:rsidP="000B206D">
            <w:pPr>
              <w:spacing w:line="276" w:lineRule="auto"/>
              <w:rPr>
                <w:rFonts w:cs="Times New Roman"/>
                <w:szCs w:val="24"/>
              </w:rPr>
            </w:pPr>
            <w:r w:rsidRPr="00F50C10">
              <w:rPr>
                <w:rFonts w:cs="Times New Roman"/>
                <w:szCs w:val="24"/>
              </w:rPr>
              <w:t>V.I.</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3E5378EB" w14:textId="77777777" w:rsidR="006525C9" w:rsidRPr="00F50C10" w:rsidRDefault="006525C9" w:rsidP="000B206D">
            <w:pPr>
              <w:spacing w:line="276" w:lineRule="auto"/>
              <w:rPr>
                <w:rFonts w:cs="Times New Roman"/>
                <w:szCs w:val="24"/>
              </w:rPr>
            </w:pPr>
            <w:r w:rsidRPr="00F50C10">
              <w:rPr>
                <w:rFonts w:cs="Times New Roman"/>
                <w:szCs w:val="24"/>
              </w:rPr>
              <w:t>akışkanlık indeksi</w:t>
            </w:r>
          </w:p>
        </w:tc>
      </w:tr>
      <w:tr w:rsidR="006525C9" w:rsidRPr="00F50C10" w14:paraId="703EDEED"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57D0AED" w14:textId="77777777" w:rsidR="006525C9" w:rsidRPr="00F50C10" w:rsidRDefault="006525C9" w:rsidP="000B206D">
            <w:pPr>
              <w:spacing w:line="276" w:lineRule="auto"/>
              <w:rPr>
                <w:rFonts w:cs="Times New Roman"/>
                <w:szCs w:val="24"/>
              </w:rPr>
            </w:pPr>
            <w:r w:rsidRPr="00F50C10">
              <w:rPr>
                <w:rFonts w:cs="Times New Roman"/>
                <w:szCs w:val="24"/>
              </w:rPr>
              <w:t>WHB</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1919076F" w14:textId="77777777" w:rsidR="006525C9" w:rsidRPr="00F50C10" w:rsidRDefault="006525C9" w:rsidP="000B206D">
            <w:pPr>
              <w:spacing w:line="276" w:lineRule="auto"/>
              <w:rPr>
                <w:rFonts w:cs="Times New Roman"/>
                <w:szCs w:val="24"/>
              </w:rPr>
            </w:pPr>
            <w:r w:rsidRPr="00F50C10">
              <w:rPr>
                <w:rFonts w:cs="Times New Roman"/>
                <w:szCs w:val="24"/>
              </w:rPr>
              <w:t>atık ısı kazanı</w:t>
            </w:r>
          </w:p>
        </w:tc>
      </w:tr>
      <w:tr w:rsidR="006525C9" w:rsidRPr="00F50C10" w14:paraId="398DD268" w14:textId="77777777" w:rsidTr="006E1E93">
        <w:trPr>
          <w:jc w:val="center"/>
        </w:trPr>
        <w:tc>
          <w:tcPr>
            <w:tcW w:w="987" w:type="pct"/>
            <w:tcBorders>
              <w:top w:val="single" w:sz="6" w:space="0" w:color="auto"/>
              <w:left w:val="single" w:sz="6" w:space="0" w:color="auto"/>
              <w:bottom w:val="single" w:sz="6" w:space="0" w:color="auto"/>
              <w:right w:val="single" w:sz="6" w:space="0" w:color="auto"/>
            </w:tcBorders>
            <w:shd w:val="clear" w:color="auto" w:fill="auto"/>
          </w:tcPr>
          <w:p w14:paraId="36FB0D61" w14:textId="77777777" w:rsidR="006525C9" w:rsidRPr="00F50C10" w:rsidRDefault="006525C9" w:rsidP="000B206D">
            <w:pPr>
              <w:spacing w:line="276" w:lineRule="auto"/>
              <w:rPr>
                <w:rFonts w:cs="Times New Roman"/>
                <w:szCs w:val="24"/>
              </w:rPr>
            </w:pPr>
            <w:r w:rsidRPr="00F50C10">
              <w:rPr>
                <w:rFonts w:cs="Times New Roman"/>
                <w:szCs w:val="24"/>
              </w:rPr>
              <w:t>Yüzey aktif madde</w:t>
            </w:r>
          </w:p>
        </w:tc>
        <w:tc>
          <w:tcPr>
            <w:tcW w:w="4013" w:type="pct"/>
            <w:tcBorders>
              <w:top w:val="single" w:sz="6" w:space="0" w:color="auto"/>
              <w:left w:val="single" w:sz="6" w:space="0" w:color="auto"/>
              <w:bottom w:val="single" w:sz="6" w:space="0" w:color="auto"/>
              <w:right w:val="single" w:sz="6" w:space="0" w:color="auto"/>
            </w:tcBorders>
            <w:shd w:val="clear" w:color="auto" w:fill="auto"/>
          </w:tcPr>
          <w:p w14:paraId="583D0FA3" w14:textId="77777777" w:rsidR="006525C9" w:rsidRPr="00F50C10" w:rsidRDefault="006525C9" w:rsidP="000B206D">
            <w:pPr>
              <w:spacing w:line="276" w:lineRule="auto"/>
              <w:rPr>
                <w:rFonts w:cs="Times New Roman"/>
                <w:szCs w:val="24"/>
              </w:rPr>
            </w:pPr>
            <w:r w:rsidRPr="00F50C10">
              <w:rPr>
                <w:rFonts w:cs="Times New Roman"/>
                <w:szCs w:val="24"/>
              </w:rPr>
              <w:t>Deterjanlarda, ıslatma maddelerinde ve köpürtme maddelerinde kullanılan bir sıvının yüzey gerilimini azaltan madde</w:t>
            </w:r>
          </w:p>
        </w:tc>
      </w:tr>
    </w:tbl>
    <w:p w14:paraId="6AC5430A" w14:textId="77777777" w:rsidR="000103FC" w:rsidRPr="00F50C10" w:rsidRDefault="000103FC" w:rsidP="000B206D">
      <w:pPr>
        <w:keepNext/>
        <w:keepLines/>
        <w:widowControl w:val="0"/>
        <w:numPr>
          <w:ilvl w:val="0"/>
          <w:numId w:val="7"/>
        </w:numPr>
        <w:autoSpaceDE w:val="0"/>
        <w:autoSpaceDN w:val="0"/>
        <w:adjustRightInd w:val="0"/>
        <w:spacing w:before="120" w:after="60" w:line="276" w:lineRule="auto"/>
        <w:jc w:val="left"/>
        <w:outlineLvl w:val="0"/>
        <w:rPr>
          <w:rFonts w:cs="Times New Roman"/>
          <w:szCs w:val="24"/>
        </w:rPr>
        <w:sectPr w:rsidR="000103FC" w:rsidRPr="00F50C10" w:rsidSect="00306DA1">
          <w:footerReference w:type="default" r:id="rId13"/>
          <w:footerReference w:type="first" r:id="rId14"/>
          <w:pgSz w:w="11906" w:h="16838"/>
          <w:pgMar w:top="1417" w:right="1417" w:bottom="1417" w:left="1417" w:header="708" w:footer="708" w:gutter="0"/>
          <w:pgNumType w:start="1"/>
          <w:cols w:space="708"/>
          <w:titlePg/>
          <w:docGrid w:linePitch="360"/>
        </w:sectPr>
      </w:pPr>
    </w:p>
    <w:p w14:paraId="543239F8" w14:textId="77777777" w:rsidR="000103FC" w:rsidRPr="00F50C10" w:rsidRDefault="000103FC" w:rsidP="000B206D">
      <w:pPr>
        <w:spacing w:line="276" w:lineRule="auto"/>
        <w:jc w:val="center"/>
        <w:rPr>
          <w:rFonts w:cs="Times New Roman"/>
          <w:bCs/>
          <w:szCs w:val="24"/>
        </w:rPr>
      </w:pPr>
      <w:r w:rsidRPr="00F50C10">
        <w:rPr>
          <w:rFonts w:cs="Times New Roman"/>
          <w:b/>
          <w:bCs/>
          <w:szCs w:val="24"/>
        </w:rPr>
        <w:t>BÖLÜM 2</w:t>
      </w:r>
    </w:p>
    <w:p w14:paraId="49DA841A" w14:textId="77777777" w:rsidR="000103FC" w:rsidRPr="00F50C10" w:rsidRDefault="000103FC" w:rsidP="000B206D">
      <w:pPr>
        <w:spacing w:line="276" w:lineRule="auto"/>
        <w:rPr>
          <w:rFonts w:cs="Times New Roman"/>
          <w:szCs w:val="24"/>
        </w:rPr>
      </w:pPr>
    </w:p>
    <w:p w14:paraId="0E675DC6" w14:textId="20711336" w:rsidR="00172694" w:rsidRPr="00F50C10" w:rsidRDefault="00172694" w:rsidP="000B206D">
      <w:pPr>
        <w:keepNext/>
        <w:keepLines/>
        <w:widowControl w:val="0"/>
        <w:autoSpaceDE w:val="0"/>
        <w:autoSpaceDN w:val="0"/>
        <w:adjustRightInd w:val="0"/>
        <w:spacing w:before="120" w:after="60" w:line="276" w:lineRule="auto"/>
        <w:jc w:val="left"/>
        <w:outlineLvl w:val="0"/>
        <w:rPr>
          <w:rFonts w:eastAsiaTheme="majorEastAsia" w:cs="Times New Roman"/>
          <w:b/>
          <w:szCs w:val="24"/>
          <w:lang w:val="tr-TR" w:eastAsia="tr-TR"/>
        </w:rPr>
      </w:pPr>
      <w:r w:rsidRPr="00F50C10">
        <w:rPr>
          <w:rFonts w:eastAsiaTheme="majorEastAsia" w:cs="Times New Roman"/>
          <w:b/>
          <w:szCs w:val="24"/>
          <w:lang w:val="tr-TR" w:eastAsia="tr-TR"/>
        </w:rPr>
        <w:t>GENEL MET</w:t>
      </w:r>
      <w:bookmarkEnd w:id="102"/>
    </w:p>
    <w:p w14:paraId="1020BC92" w14:textId="04A268A9" w:rsidR="000103FC" w:rsidRPr="00F50C10" w:rsidRDefault="00172694" w:rsidP="000B206D">
      <w:pPr>
        <w:keepNext/>
        <w:keepLines/>
        <w:widowControl w:val="0"/>
        <w:autoSpaceDE w:val="0"/>
        <w:autoSpaceDN w:val="0"/>
        <w:spacing w:before="240" w:line="276" w:lineRule="auto"/>
        <w:jc w:val="left"/>
        <w:outlineLvl w:val="0"/>
        <w:rPr>
          <w:rFonts w:eastAsia="Times New Roman" w:cs="Times New Roman"/>
          <w:b/>
          <w:szCs w:val="24"/>
          <w:lang w:val="tr-TR"/>
        </w:rPr>
      </w:pPr>
      <w:r w:rsidRPr="00F50C10">
        <w:rPr>
          <w:rFonts w:eastAsia="Times New Roman" w:cs="Times New Roman"/>
          <w:szCs w:val="24"/>
          <w:lang w:val="tr-TR" w:eastAsia="tr-TR" w:bidi="tr-TR"/>
        </w:rPr>
        <w:t>Genel MET tüm polimer üretimi yapan tesisler için geçerlidir</w:t>
      </w:r>
      <w:r w:rsidRPr="00F50C10">
        <w:rPr>
          <w:rFonts w:eastAsia="Times New Roman" w:cs="Times New Roman"/>
          <w:szCs w:val="24"/>
          <w:lang w:val="tr-TR" w:eastAsia="tr-TR"/>
        </w:rPr>
        <w:t>.</w:t>
      </w:r>
      <w:r w:rsidR="000103FC" w:rsidRPr="00F50C10">
        <w:rPr>
          <w:rFonts w:eastAsia="Times New Roman" w:cs="Times New Roman"/>
          <w:b/>
          <w:szCs w:val="24"/>
          <w:lang w:val="tr-TR"/>
        </w:rPr>
        <w:t xml:space="preserve"> </w:t>
      </w:r>
    </w:p>
    <w:p w14:paraId="454C50E0" w14:textId="48E89C7C" w:rsidR="00172694" w:rsidRPr="00F50C10" w:rsidRDefault="00172694" w:rsidP="000B206D">
      <w:pPr>
        <w:widowControl w:val="0"/>
        <w:numPr>
          <w:ilvl w:val="1"/>
          <w:numId w:val="19"/>
        </w:numPr>
        <w:autoSpaceDE w:val="0"/>
        <w:autoSpaceDN w:val="0"/>
        <w:adjustRightInd w:val="0"/>
        <w:spacing w:before="120" w:after="60" w:line="276" w:lineRule="auto"/>
        <w:jc w:val="left"/>
        <w:outlineLvl w:val="1"/>
        <w:rPr>
          <w:rFonts w:eastAsia="Arial" w:cs="Times New Roman"/>
          <w:b/>
          <w:bCs/>
          <w:szCs w:val="24"/>
          <w:lang w:val="tr-TR" w:bidi="tr-TR"/>
        </w:rPr>
      </w:pPr>
      <w:r w:rsidRPr="00F50C10">
        <w:rPr>
          <w:rFonts w:eastAsia="Times New Roman" w:cs="Times New Roman"/>
          <w:b/>
          <w:szCs w:val="24"/>
          <w:lang w:val="tr-TR" w:eastAsia="tr-TR" w:bidi="tr-TR"/>
        </w:rPr>
        <w:tab/>
      </w:r>
      <w:r w:rsidRPr="00F50C10">
        <w:rPr>
          <w:rFonts w:eastAsia="Arial" w:cs="Times New Roman"/>
          <w:b/>
          <w:bCs/>
          <w:szCs w:val="24"/>
          <w:lang w:val="tr-TR" w:bidi="tr-TR"/>
        </w:rPr>
        <w:t>Çevre Yönetim Sistemleri (ÇYS)</w:t>
      </w:r>
    </w:p>
    <w:p w14:paraId="55D0091B" w14:textId="5A07A613" w:rsidR="00CF6B83"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bidi="tr-TR"/>
        </w:rPr>
      </w:pPr>
      <w:r w:rsidRPr="00F50C10">
        <w:rPr>
          <w:rFonts w:eastAsia="Times New Roman" w:cs="Times New Roman"/>
          <w:b/>
          <w:szCs w:val="24"/>
          <w:lang w:val="tr-TR" w:eastAsia="tr-TR" w:bidi="tr-TR"/>
        </w:rPr>
        <w:t xml:space="preserve">MET 1: </w:t>
      </w:r>
      <w:r w:rsidR="00CF6B83" w:rsidRPr="00F50C10">
        <w:rPr>
          <w:rFonts w:cs="Times New Roman"/>
          <w:szCs w:val="24"/>
        </w:rPr>
        <w:t>Aşağıdaki  özellikleri, bireysel koşullara uygun olarak, kapsayan bir Çevre Yönetim Sistemi (ÇYS) uygulanır ve bu sisteme bağlı kalınır:</w:t>
      </w:r>
    </w:p>
    <w:p w14:paraId="28FA3118" w14:textId="77777777" w:rsidR="00CF6B83" w:rsidRPr="00F50C10" w:rsidRDefault="00CF6B83" w:rsidP="000B206D">
      <w:pPr>
        <w:pStyle w:val="ListeParagraf"/>
        <w:numPr>
          <w:ilvl w:val="0"/>
          <w:numId w:val="5"/>
        </w:numPr>
        <w:spacing w:after="120" w:line="276" w:lineRule="auto"/>
        <w:rPr>
          <w:rFonts w:cs="Times New Roman"/>
          <w:szCs w:val="24"/>
          <w:lang w:val="tr-TR"/>
        </w:rPr>
      </w:pPr>
      <w:r w:rsidRPr="00F50C10">
        <w:rPr>
          <w:rFonts w:cs="Times New Roman"/>
          <w:szCs w:val="24"/>
          <w:lang w:val="tr-TR"/>
        </w:rPr>
        <w:t>üst yönetim tarafından tesis için bu çevre politikasının tanımlanması (üst yönetim tarafından verilen taahhüt, ÇYS’nin diğer özelliklerinin başarılı bir şekilde uygulanması için ön koşul olarak değerlendirilir),</w:t>
      </w:r>
    </w:p>
    <w:p w14:paraId="213A28DB" w14:textId="77777777" w:rsidR="00CF6B83" w:rsidRPr="00F50C10" w:rsidRDefault="00CF6B83" w:rsidP="000B206D">
      <w:pPr>
        <w:pStyle w:val="ListeParagraf"/>
        <w:numPr>
          <w:ilvl w:val="0"/>
          <w:numId w:val="5"/>
        </w:numPr>
        <w:spacing w:after="120" w:line="276" w:lineRule="auto"/>
        <w:rPr>
          <w:rFonts w:cs="Times New Roman"/>
          <w:szCs w:val="24"/>
          <w:lang w:val="tr-TR"/>
        </w:rPr>
      </w:pPr>
      <w:r w:rsidRPr="00F50C10">
        <w:rPr>
          <w:rFonts w:cs="Times New Roman"/>
          <w:szCs w:val="24"/>
          <w:lang w:val="tr-TR"/>
        </w:rPr>
        <w:t>gerekli prosedürlerin planlanması,</w:t>
      </w:r>
    </w:p>
    <w:p w14:paraId="4F3E29CE" w14:textId="77777777" w:rsidR="00CF6B83" w:rsidRPr="00F50C10" w:rsidRDefault="00CF6B83" w:rsidP="000B206D">
      <w:pPr>
        <w:pStyle w:val="ListeParagraf"/>
        <w:numPr>
          <w:ilvl w:val="0"/>
          <w:numId w:val="5"/>
        </w:numPr>
        <w:spacing w:after="120" w:line="276" w:lineRule="auto"/>
        <w:rPr>
          <w:rFonts w:cs="Times New Roman"/>
          <w:szCs w:val="24"/>
          <w:lang w:val="tr-TR"/>
        </w:rPr>
      </w:pPr>
      <w:r w:rsidRPr="00F50C10">
        <w:rPr>
          <w:rFonts w:cs="Times New Roman"/>
          <w:szCs w:val="24"/>
          <w:lang w:val="tr-TR"/>
        </w:rPr>
        <w:t>aşağıdakilere dikkat edilerek prosedürlerin uygulanması:</w:t>
      </w:r>
    </w:p>
    <w:p w14:paraId="1ED6B248" w14:textId="77777777" w:rsidR="00CF6B83" w:rsidRPr="00F50C10" w:rsidRDefault="00CF6B83" w:rsidP="00A654AE">
      <w:pPr>
        <w:pStyle w:val="ListeParagraf"/>
        <w:numPr>
          <w:ilvl w:val="2"/>
          <w:numId w:val="142"/>
        </w:numPr>
        <w:spacing w:after="120" w:line="276" w:lineRule="auto"/>
        <w:rPr>
          <w:rFonts w:cs="Times New Roman"/>
          <w:szCs w:val="24"/>
          <w:lang w:val="tr-TR"/>
        </w:rPr>
      </w:pPr>
      <w:r w:rsidRPr="00F50C10">
        <w:rPr>
          <w:rFonts w:cs="Times New Roman"/>
          <w:szCs w:val="24"/>
          <w:lang w:val="tr-TR"/>
        </w:rPr>
        <w:t>yapı ve sorumluluk,</w:t>
      </w:r>
    </w:p>
    <w:p w14:paraId="2D8243F5" w14:textId="77777777" w:rsidR="00CF6B83" w:rsidRPr="00F50C10" w:rsidRDefault="00CF6B83" w:rsidP="00A654AE">
      <w:pPr>
        <w:pStyle w:val="ListeParagraf"/>
        <w:numPr>
          <w:ilvl w:val="2"/>
          <w:numId w:val="142"/>
        </w:numPr>
        <w:spacing w:after="120" w:line="276" w:lineRule="auto"/>
        <w:rPr>
          <w:rFonts w:cs="Times New Roman"/>
          <w:szCs w:val="24"/>
          <w:lang w:val="tr-TR"/>
        </w:rPr>
      </w:pPr>
      <w:r w:rsidRPr="00F50C10">
        <w:rPr>
          <w:rFonts w:cs="Times New Roman"/>
          <w:szCs w:val="24"/>
          <w:lang w:val="tr-TR"/>
        </w:rPr>
        <w:t xml:space="preserve">eğitim, farkındalık ve yetkinlik, </w:t>
      </w:r>
    </w:p>
    <w:p w14:paraId="7975D2A3" w14:textId="77777777" w:rsidR="00CF6B83" w:rsidRPr="00F50C10" w:rsidRDefault="00CF6B83" w:rsidP="00A654AE">
      <w:pPr>
        <w:pStyle w:val="ListeParagraf"/>
        <w:numPr>
          <w:ilvl w:val="2"/>
          <w:numId w:val="142"/>
        </w:numPr>
        <w:spacing w:after="120" w:line="276" w:lineRule="auto"/>
        <w:rPr>
          <w:rFonts w:cs="Times New Roman"/>
          <w:szCs w:val="24"/>
          <w:lang w:val="tr-TR"/>
        </w:rPr>
      </w:pPr>
      <w:r w:rsidRPr="00F50C10">
        <w:rPr>
          <w:rFonts w:cs="Times New Roman"/>
          <w:szCs w:val="24"/>
          <w:lang w:val="tr-TR"/>
        </w:rPr>
        <w:t xml:space="preserve">iletişim, </w:t>
      </w:r>
    </w:p>
    <w:p w14:paraId="381E9FBE" w14:textId="77777777" w:rsidR="00CF6B83" w:rsidRPr="00F50C10" w:rsidRDefault="00CF6B83" w:rsidP="00A654AE">
      <w:pPr>
        <w:pStyle w:val="ListeParagraf"/>
        <w:numPr>
          <w:ilvl w:val="2"/>
          <w:numId w:val="142"/>
        </w:numPr>
        <w:spacing w:after="120" w:line="276" w:lineRule="auto"/>
        <w:rPr>
          <w:rFonts w:cs="Times New Roman"/>
          <w:szCs w:val="24"/>
          <w:lang w:val="tr-TR"/>
        </w:rPr>
      </w:pPr>
      <w:r w:rsidRPr="00F50C10">
        <w:rPr>
          <w:rFonts w:cs="Times New Roman"/>
          <w:szCs w:val="24"/>
          <w:lang w:val="tr-TR"/>
        </w:rPr>
        <w:t xml:space="preserve">çalışan katılımı, </w:t>
      </w:r>
    </w:p>
    <w:p w14:paraId="09E2FE7D" w14:textId="77777777" w:rsidR="00CF6B83" w:rsidRPr="00F50C10" w:rsidRDefault="00CF6B83" w:rsidP="00A654AE">
      <w:pPr>
        <w:pStyle w:val="ListeParagraf"/>
        <w:numPr>
          <w:ilvl w:val="2"/>
          <w:numId w:val="142"/>
        </w:numPr>
        <w:spacing w:after="120" w:line="276" w:lineRule="auto"/>
        <w:rPr>
          <w:rFonts w:cs="Times New Roman"/>
          <w:szCs w:val="24"/>
          <w:lang w:val="tr-TR"/>
        </w:rPr>
      </w:pPr>
      <w:r w:rsidRPr="00F50C10">
        <w:rPr>
          <w:rFonts w:cs="Times New Roman"/>
          <w:szCs w:val="24"/>
          <w:lang w:val="tr-TR"/>
        </w:rPr>
        <w:t xml:space="preserve">dokümantasyon, </w:t>
      </w:r>
    </w:p>
    <w:p w14:paraId="6449B94E" w14:textId="77777777" w:rsidR="00CF6B83" w:rsidRPr="00F50C10" w:rsidRDefault="00CF6B83" w:rsidP="00A654AE">
      <w:pPr>
        <w:pStyle w:val="ListeParagraf"/>
        <w:numPr>
          <w:ilvl w:val="2"/>
          <w:numId w:val="142"/>
        </w:numPr>
        <w:spacing w:after="120" w:line="276" w:lineRule="auto"/>
        <w:rPr>
          <w:rFonts w:cs="Times New Roman"/>
          <w:szCs w:val="24"/>
          <w:lang w:val="tr-TR"/>
        </w:rPr>
      </w:pPr>
      <w:r w:rsidRPr="00F50C10">
        <w:rPr>
          <w:rFonts w:cs="Times New Roman"/>
          <w:szCs w:val="24"/>
          <w:lang w:val="tr-TR"/>
        </w:rPr>
        <w:t xml:space="preserve">etkin proses kontrolü, </w:t>
      </w:r>
    </w:p>
    <w:p w14:paraId="7B56D281" w14:textId="77777777" w:rsidR="00CF6B83" w:rsidRPr="00F50C10" w:rsidRDefault="00CF6B83" w:rsidP="00A654AE">
      <w:pPr>
        <w:pStyle w:val="ListeParagraf"/>
        <w:numPr>
          <w:ilvl w:val="2"/>
          <w:numId w:val="142"/>
        </w:numPr>
        <w:spacing w:after="120" w:line="276" w:lineRule="auto"/>
        <w:rPr>
          <w:rFonts w:cs="Times New Roman"/>
          <w:szCs w:val="24"/>
          <w:lang w:val="tr-TR"/>
        </w:rPr>
      </w:pPr>
      <w:r w:rsidRPr="00F50C10">
        <w:rPr>
          <w:rFonts w:cs="Times New Roman"/>
          <w:szCs w:val="24"/>
          <w:lang w:val="tr-TR"/>
        </w:rPr>
        <w:t xml:space="preserve">bakım programı, </w:t>
      </w:r>
    </w:p>
    <w:p w14:paraId="4CD691A7" w14:textId="77777777" w:rsidR="00CF6B83" w:rsidRPr="00F50C10" w:rsidRDefault="00CF6B83" w:rsidP="00A654AE">
      <w:pPr>
        <w:pStyle w:val="ListeParagraf"/>
        <w:numPr>
          <w:ilvl w:val="2"/>
          <w:numId w:val="142"/>
        </w:numPr>
        <w:spacing w:after="120" w:line="276" w:lineRule="auto"/>
        <w:rPr>
          <w:rFonts w:cs="Times New Roman"/>
          <w:szCs w:val="24"/>
          <w:lang w:val="tr-TR"/>
        </w:rPr>
      </w:pPr>
      <w:r w:rsidRPr="00F50C10">
        <w:rPr>
          <w:rFonts w:cs="Times New Roman"/>
          <w:szCs w:val="24"/>
          <w:lang w:val="tr-TR"/>
        </w:rPr>
        <w:t xml:space="preserve">acil durum hazırlığı ve müdahalesi, </w:t>
      </w:r>
    </w:p>
    <w:p w14:paraId="5E9E97FF" w14:textId="77777777" w:rsidR="00CF6B83" w:rsidRPr="00F50C10" w:rsidRDefault="00CF6B83" w:rsidP="00A654AE">
      <w:pPr>
        <w:pStyle w:val="ListeParagraf"/>
        <w:numPr>
          <w:ilvl w:val="2"/>
          <w:numId w:val="142"/>
        </w:numPr>
        <w:spacing w:after="120" w:line="276" w:lineRule="auto"/>
        <w:rPr>
          <w:rFonts w:cs="Times New Roman"/>
          <w:szCs w:val="24"/>
          <w:lang w:val="tr-TR"/>
        </w:rPr>
      </w:pPr>
      <w:r w:rsidRPr="00F50C10">
        <w:rPr>
          <w:rFonts w:cs="Times New Roman"/>
          <w:szCs w:val="24"/>
          <w:lang w:val="tr-TR"/>
        </w:rPr>
        <w:t>çevre mevzuatına uyumun güvence altına alınması</w:t>
      </w:r>
    </w:p>
    <w:p w14:paraId="0539F3CC" w14:textId="77777777" w:rsidR="00CF6B83" w:rsidRPr="00F50C10" w:rsidRDefault="00CF6B83" w:rsidP="000B206D">
      <w:pPr>
        <w:pStyle w:val="ListeParagraf"/>
        <w:numPr>
          <w:ilvl w:val="0"/>
          <w:numId w:val="5"/>
        </w:numPr>
        <w:spacing w:after="120" w:line="276" w:lineRule="auto"/>
        <w:rPr>
          <w:rFonts w:cs="Times New Roman"/>
          <w:szCs w:val="24"/>
          <w:lang w:val="tr-TR"/>
        </w:rPr>
      </w:pPr>
      <w:r w:rsidRPr="00F50C10">
        <w:rPr>
          <w:rFonts w:cs="Times New Roman"/>
          <w:szCs w:val="24"/>
          <w:lang w:val="tr-TR"/>
        </w:rPr>
        <w:t>özellikle aşağıdakilere dikkat edilerek performans kontrolünün yapılması ve düzeltici önlemlerin alınması:</w:t>
      </w:r>
    </w:p>
    <w:p w14:paraId="1B4A8AA4" w14:textId="77777777" w:rsidR="00CF6B83" w:rsidRPr="00F50C10" w:rsidRDefault="00CF6B83" w:rsidP="00A654AE">
      <w:pPr>
        <w:pStyle w:val="ListeParagraf"/>
        <w:numPr>
          <w:ilvl w:val="0"/>
          <w:numId w:val="144"/>
        </w:numPr>
        <w:spacing w:after="120" w:line="276" w:lineRule="auto"/>
        <w:rPr>
          <w:rFonts w:cs="Times New Roman"/>
          <w:szCs w:val="24"/>
          <w:lang w:val="tr-TR"/>
        </w:rPr>
      </w:pPr>
      <w:r w:rsidRPr="00F50C10">
        <w:rPr>
          <w:rFonts w:cs="Times New Roman"/>
          <w:szCs w:val="24"/>
          <w:lang w:val="tr-TR"/>
        </w:rPr>
        <w:t>izleme ve ölçüm,</w:t>
      </w:r>
    </w:p>
    <w:p w14:paraId="15B56B88" w14:textId="77777777" w:rsidR="00CF6B83" w:rsidRPr="00F50C10" w:rsidRDefault="00CF6B83" w:rsidP="00A654AE">
      <w:pPr>
        <w:pStyle w:val="ListeParagraf"/>
        <w:numPr>
          <w:ilvl w:val="0"/>
          <w:numId w:val="144"/>
        </w:numPr>
        <w:spacing w:after="120" w:line="276" w:lineRule="auto"/>
        <w:rPr>
          <w:rFonts w:cs="Times New Roman"/>
          <w:szCs w:val="24"/>
          <w:lang w:val="tr-TR"/>
        </w:rPr>
      </w:pPr>
      <w:r w:rsidRPr="00F50C10">
        <w:rPr>
          <w:rFonts w:cs="Times New Roman"/>
          <w:szCs w:val="24"/>
          <w:lang w:val="tr-TR"/>
        </w:rPr>
        <w:t xml:space="preserve">düzenleyici ve önleyici eylemler, </w:t>
      </w:r>
    </w:p>
    <w:p w14:paraId="6BEAEB7D" w14:textId="77777777" w:rsidR="00CF6B83" w:rsidRPr="00F50C10" w:rsidRDefault="00CF6B83" w:rsidP="00A654AE">
      <w:pPr>
        <w:pStyle w:val="ListeParagraf"/>
        <w:numPr>
          <w:ilvl w:val="0"/>
          <w:numId w:val="144"/>
        </w:numPr>
        <w:spacing w:after="120" w:line="276" w:lineRule="auto"/>
        <w:rPr>
          <w:rFonts w:cs="Times New Roman"/>
          <w:szCs w:val="24"/>
          <w:lang w:val="tr-TR"/>
        </w:rPr>
      </w:pPr>
      <w:r w:rsidRPr="00F50C10">
        <w:rPr>
          <w:rFonts w:cs="Times New Roman"/>
          <w:szCs w:val="24"/>
          <w:lang w:val="tr-TR"/>
        </w:rPr>
        <w:t xml:space="preserve">kayıtlatın tutulması, </w:t>
      </w:r>
    </w:p>
    <w:p w14:paraId="2E590542" w14:textId="77777777" w:rsidR="00CF6B83" w:rsidRPr="00F50C10" w:rsidRDefault="00CF6B83" w:rsidP="00A654AE">
      <w:pPr>
        <w:pStyle w:val="ListeParagraf"/>
        <w:numPr>
          <w:ilvl w:val="0"/>
          <w:numId w:val="144"/>
        </w:numPr>
        <w:spacing w:after="120" w:line="276" w:lineRule="auto"/>
        <w:rPr>
          <w:rFonts w:cs="Times New Roman"/>
          <w:szCs w:val="24"/>
          <w:lang w:val="tr-TR"/>
        </w:rPr>
      </w:pPr>
      <w:r w:rsidRPr="00F50C10">
        <w:rPr>
          <w:rFonts w:cs="Times New Roman"/>
          <w:szCs w:val="24"/>
          <w:lang w:val="tr-TR"/>
        </w:rPr>
        <w:t>ÇYS’nin planlanan düzenlemelere uygun olup olmadığını ve doğru bir şekilde uygulanıp uygulanmadığını belirlemek için bağımsız (uygulanabilir olduğu durumlarda) bir iç denetim</w:t>
      </w:r>
    </w:p>
    <w:p w14:paraId="282B8F91" w14:textId="77777777" w:rsidR="00CF6B83" w:rsidRPr="00F50C10" w:rsidRDefault="00CF6B83" w:rsidP="000B206D">
      <w:pPr>
        <w:pStyle w:val="ListeParagraf"/>
        <w:numPr>
          <w:ilvl w:val="0"/>
          <w:numId w:val="5"/>
        </w:numPr>
        <w:spacing w:after="120" w:line="276" w:lineRule="auto"/>
        <w:rPr>
          <w:rFonts w:cs="Times New Roman"/>
          <w:szCs w:val="24"/>
          <w:lang w:val="tr-TR"/>
        </w:rPr>
      </w:pPr>
      <w:r w:rsidRPr="00F50C10">
        <w:rPr>
          <w:rFonts w:cs="Times New Roman"/>
          <w:szCs w:val="24"/>
          <w:lang w:val="tr-TR"/>
        </w:rPr>
        <w:t>üst yönetim tarafından inceleme.</w:t>
      </w:r>
    </w:p>
    <w:p w14:paraId="09824C34" w14:textId="32487141" w:rsidR="00CF6B83" w:rsidRPr="00F50C10" w:rsidRDefault="00CF6B83" w:rsidP="000B206D">
      <w:pPr>
        <w:spacing w:after="120" w:line="276" w:lineRule="auto"/>
        <w:ind w:left="360"/>
        <w:rPr>
          <w:rFonts w:cs="Times New Roman"/>
          <w:szCs w:val="24"/>
          <w:lang w:val="tr-TR"/>
        </w:rPr>
      </w:pPr>
      <w:r w:rsidRPr="00F50C10">
        <w:rPr>
          <w:rFonts w:cs="Times New Roman"/>
          <w:szCs w:val="24"/>
          <w:lang w:val="tr-TR"/>
        </w:rPr>
        <w:t>Özellikle polimer üretimi sektörü için, ÇYS’nin aşağıdaki muhtemel özelliklerinin de dikkate alınması önem teşkil eder:</w:t>
      </w:r>
    </w:p>
    <w:p w14:paraId="66B224C8" w14:textId="77777777" w:rsidR="00CF6B83" w:rsidRPr="00F50C10" w:rsidRDefault="00CF6B83" w:rsidP="000B206D">
      <w:pPr>
        <w:pStyle w:val="ListeParagraf"/>
        <w:numPr>
          <w:ilvl w:val="0"/>
          <w:numId w:val="5"/>
        </w:numPr>
        <w:spacing w:after="120" w:line="276" w:lineRule="auto"/>
        <w:rPr>
          <w:rFonts w:cs="Times New Roman"/>
          <w:szCs w:val="24"/>
        </w:rPr>
      </w:pPr>
      <w:r w:rsidRPr="00F50C10">
        <w:rPr>
          <w:rFonts w:cs="Times New Roman"/>
          <w:szCs w:val="24"/>
          <w:lang w:val="tr-TR"/>
        </w:rPr>
        <w:t>yeni bir tesisin tasarlanması aşamasında ünitenin nihai olarak hizmet dışı bırakılmasından kaynaklanabilecek çevresel etki,</w:t>
      </w:r>
    </w:p>
    <w:p w14:paraId="5B39F358" w14:textId="77777777" w:rsidR="00CF6B83" w:rsidRPr="00F50C10" w:rsidRDefault="00CF6B83" w:rsidP="000B206D">
      <w:pPr>
        <w:pStyle w:val="ListeParagraf"/>
        <w:numPr>
          <w:ilvl w:val="0"/>
          <w:numId w:val="5"/>
        </w:numPr>
        <w:spacing w:after="120" w:line="276" w:lineRule="auto"/>
        <w:rPr>
          <w:rFonts w:cs="Times New Roman"/>
          <w:szCs w:val="24"/>
          <w:lang w:val="tr-TR"/>
        </w:rPr>
      </w:pPr>
      <w:r w:rsidRPr="00F50C10">
        <w:rPr>
          <w:rFonts w:cs="Times New Roman"/>
          <w:szCs w:val="24"/>
          <w:lang w:val="tr-TR"/>
        </w:rPr>
        <w:t>daha çevreci teknolojilerin geliştirilmesi,</w:t>
      </w:r>
    </w:p>
    <w:p w14:paraId="593961AA" w14:textId="77777777" w:rsidR="00CF6B83" w:rsidRPr="00F50C10" w:rsidRDefault="00CF6B83" w:rsidP="000B206D">
      <w:pPr>
        <w:pStyle w:val="ListeParagraf"/>
        <w:numPr>
          <w:ilvl w:val="0"/>
          <w:numId w:val="5"/>
        </w:numPr>
        <w:spacing w:after="120" w:line="276" w:lineRule="auto"/>
        <w:rPr>
          <w:rFonts w:cs="Times New Roman"/>
          <w:szCs w:val="24"/>
          <w:lang w:val="tr-TR"/>
        </w:rPr>
      </w:pPr>
      <w:r w:rsidRPr="00F50C10">
        <w:rPr>
          <w:rFonts w:cs="Times New Roman"/>
          <w:szCs w:val="24"/>
          <w:lang w:val="tr-TR"/>
        </w:rPr>
        <w:t>uygulanabilir olduğu durumlarda, enerji verimliliği ve enerji tasarrufu faaliyetleri, girdi malzemelerinin seçimi, havaya emisyonlar, suya deşarjlar, su tüketimi ve atık üretimi dahil olmak üzere düzenli olarak sektörel kıyaslama uygulanması.</w:t>
      </w:r>
    </w:p>
    <w:p w14:paraId="6F9005D8" w14:textId="6DF6563C"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bidi="tr-TR"/>
        </w:rPr>
      </w:pPr>
      <w:r w:rsidRPr="00F50C10">
        <w:rPr>
          <w:rFonts w:eastAsia="Times New Roman" w:cs="Times New Roman"/>
          <w:b/>
          <w:szCs w:val="24"/>
          <w:lang w:val="tr-TR" w:eastAsia="tr-TR" w:bidi="tr-TR"/>
        </w:rPr>
        <w:t xml:space="preserve">MET 2: </w:t>
      </w:r>
      <w:r w:rsidRPr="00F50C10">
        <w:rPr>
          <w:rFonts w:eastAsia="Times New Roman" w:cs="Times New Roman"/>
          <w:bCs/>
          <w:szCs w:val="24"/>
          <w:lang w:val="tr-TR" w:eastAsia="tr-TR" w:bidi="tr-TR"/>
        </w:rPr>
        <w:t>Gelişmiş teçhizat tasarımı ile kaçak emisyonlar azaltılır.</w:t>
      </w:r>
    </w:p>
    <w:p w14:paraId="033D29FB" w14:textId="379596BB" w:rsidR="00172694" w:rsidRPr="00F50C10" w:rsidRDefault="00172694" w:rsidP="000B206D">
      <w:pPr>
        <w:widowControl w:val="0"/>
        <w:autoSpaceDE w:val="0"/>
        <w:autoSpaceDN w:val="0"/>
        <w:spacing w:before="120" w:after="60" w:line="276" w:lineRule="auto"/>
        <w:rPr>
          <w:rFonts w:eastAsia="Times New Roman" w:cs="Times New Roman"/>
          <w:szCs w:val="24"/>
          <w:lang w:val="tr-TR" w:bidi="tr-TR"/>
        </w:rPr>
      </w:pPr>
      <w:r w:rsidRPr="00F50C10">
        <w:rPr>
          <w:rFonts w:eastAsia="Times New Roman" w:cs="Times New Roman"/>
          <w:szCs w:val="24"/>
          <w:lang w:val="tr-TR" w:bidi="tr-TR"/>
        </w:rPr>
        <w:t>Hava kirleticilerinin kaçak emisyonlarını önlemek ve en aza indirmek için aşağıdaki teknik hususları içerir</w:t>
      </w:r>
      <w:r w:rsidR="001B29A9" w:rsidRPr="00F50C10">
        <w:rPr>
          <w:rFonts w:eastAsia="Times New Roman" w:cs="Times New Roman"/>
          <w:szCs w:val="24"/>
          <w:lang w:val="tr-TR" w:bidi="tr-TR"/>
        </w:rPr>
        <w:t>*</w:t>
      </w:r>
      <w:r w:rsidRPr="00F50C10">
        <w:rPr>
          <w:rFonts w:eastAsia="Times New Roman" w:cs="Times New Roman"/>
          <w:szCs w:val="24"/>
          <w:lang w:val="tr-TR" w:bidi="tr-TR"/>
        </w:rPr>
        <w:t>:</w:t>
      </w:r>
    </w:p>
    <w:p w14:paraId="5C80350F" w14:textId="77777777" w:rsidR="00172694" w:rsidRPr="00F50C10" w:rsidRDefault="00172694" w:rsidP="000B206D">
      <w:pPr>
        <w:widowControl w:val="0"/>
        <w:numPr>
          <w:ilvl w:val="0"/>
          <w:numId w:val="21"/>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bCs/>
          <w:szCs w:val="24"/>
          <w:lang w:val="tr-TR"/>
        </w:rPr>
        <w:t>körüklü veya çift salmastralı valflerin veya eşit derecede verimli ekipmanın kullanılması,</w:t>
      </w:r>
    </w:p>
    <w:p w14:paraId="3D80671B" w14:textId="77777777" w:rsidR="00172694" w:rsidRPr="00F50C10" w:rsidRDefault="00172694" w:rsidP="000B206D">
      <w:pPr>
        <w:widowControl w:val="0"/>
        <w:numPr>
          <w:ilvl w:val="0"/>
          <w:numId w:val="21"/>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bCs/>
          <w:szCs w:val="24"/>
          <w:lang w:val="tr-TR"/>
        </w:rPr>
        <w:t>manyetik tahrikli veya kutulu pompaların veya çift salmastralı ve sıvı bariyerli pompaların kullanılması,</w:t>
      </w:r>
    </w:p>
    <w:p w14:paraId="02003B72" w14:textId="77777777" w:rsidR="00172694" w:rsidRPr="00F50C10" w:rsidRDefault="00172694" w:rsidP="000B206D">
      <w:pPr>
        <w:widowControl w:val="0"/>
        <w:numPr>
          <w:ilvl w:val="0"/>
          <w:numId w:val="21"/>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 xml:space="preserve">manyetik tahrikli veya kutulu kompresörler veya </w:t>
      </w:r>
      <w:r w:rsidRPr="00F50C10">
        <w:rPr>
          <w:rFonts w:eastAsia="Times New Roman" w:cs="Times New Roman"/>
          <w:bCs/>
          <w:szCs w:val="24"/>
          <w:lang w:val="tr-TR"/>
        </w:rPr>
        <w:t>çift contalı ve sıvı bariyerli kompresörlerin kullanılması,</w:t>
      </w:r>
    </w:p>
    <w:p w14:paraId="5DF54693" w14:textId="77777777" w:rsidR="00172694" w:rsidRPr="00F50C10" w:rsidRDefault="00172694" w:rsidP="000B206D">
      <w:pPr>
        <w:widowControl w:val="0"/>
        <w:numPr>
          <w:ilvl w:val="0"/>
          <w:numId w:val="21"/>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bCs/>
          <w:szCs w:val="24"/>
          <w:lang w:val="tr-TR"/>
        </w:rPr>
        <w:t>flanş (konnektör) sayısının en aza indirilmesi,</w:t>
      </w:r>
    </w:p>
    <w:p w14:paraId="25A15E28" w14:textId="77777777" w:rsidR="00172694" w:rsidRPr="00F50C10" w:rsidRDefault="00172694" w:rsidP="000B206D">
      <w:pPr>
        <w:widowControl w:val="0"/>
        <w:numPr>
          <w:ilvl w:val="0"/>
          <w:numId w:val="21"/>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bCs/>
          <w:szCs w:val="24"/>
          <w:lang w:val="tr-TR"/>
        </w:rPr>
        <w:t>etkili conta kullanımı,</w:t>
      </w:r>
    </w:p>
    <w:p w14:paraId="3AA5EC77" w14:textId="77777777" w:rsidR="00172694" w:rsidRPr="00F50C10" w:rsidRDefault="00172694" w:rsidP="000B206D">
      <w:pPr>
        <w:widowControl w:val="0"/>
        <w:numPr>
          <w:ilvl w:val="0"/>
          <w:numId w:val="21"/>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bCs/>
          <w:szCs w:val="24"/>
          <w:lang w:val="tr-TR"/>
        </w:rPr>
        <w:t>kapalı numune alma sistemlerinin kullanımı,</w:t>
      </w:r>
    </w:p>
    <w:p w14:paraId="0A6D5319" w14:textId="77777777" w:rsidR="00172694" w:rsidRPr="00F50C10" w:rsidRDefault="00172694" w:rsidP="000B206D">
      <w:pPr>
        <w:widowControl w:val="0"/>
        <w:numPr>
          <w:ilvl w:val="0"/>
          <w:numId w:val="21"/>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bCs/>
          <w:szCs w:val="24"/>
          <w:lang w:val="tr-TR"/>
        </w:rPr>
        <w:t>kapalı sistemlerde kirli atık suların drenajı,</w:t>
      </w:r>
    </w:p>
    <w:p w14:paraId="1F198C99" w14:textId="56BE155A" w:rsidR="00172694" w:rsidRPr="00F50C10" w:rsidRDefault="00172694" w:rsidP="000B206D">
      <w:pPr>
        <w:widowControl w:val="0"/>
        <w:numPr>
          <w:ilvl w:val="0"/>
          <w:numId w:val="21"/>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bCs/>
          <w:szCs w:val="24"/>
          <w:lang w:val="tr-TR"/>
        </w:rPr>
        <w:t>menfezlerin toplanması</w:t>
      </w:r>
      <w:r w:rsidR="00CF6B83" w:rsidRPr="00F50C10">
        <w:rPr>
          <w:rFonts w:eastAsia="Times New Roman" w:cs="Times New Roman"/>
          <w:bCs/>
          <w:szCs w:val="24"/>
          <w:lang w:val="tr-TR"/>
        </w:rPr>
        <w:t>.</w:t>
      </w:r>
    </w:p>
    <w:p w14:paraId="7C49528C" w14:textId="2468123F" w:rsidR="001B29A9" w:rsidRPr="00F50C10" w:rsidRDefault="001B29A9" w:rsidP="000B206D">
      <w:pPr>
        <w:widowControl w:val="0"/>
        <w:autoSpaceDE w:val="0"/>
        <w:autoSpaceDN w:val="0"/>
        <w:adjustRightInd w:val="0"/>
        <w:spacing w:after="120" w:line="276" w:lineRule="auto"/>
        <w:rPr>
          <w:rFonts w:eastAsia="Times New Roman" w:cs="Times New Roman"/>
          <w:bCs/>
          <w:szCs w:val="24"/>
          <w:lang w:val="tr-TR" w:eastAsia="tr-TR" w:bidi="tr-TR"/>
        </w:rPr>
      </w:pPr>
      <w:r w:rsidRPr="00F50C10">
        <w:rPr>
          <w:rFonts w:eastAsia="Times New Roman" w:cs="Times New Roman"/>
          <w:bCs/>
          <w:szCs w:val="24"/>
          <w:lang w:val="tr-TR" w:eastAsia="tr-TR" w:bidi="tr-TR"/>
        </w:rPr>
        <w:t>(Detaylı bilgi için Polimer Üretimi İçin MET Referans Belgesinin 12.1.2 Kısmına bakınız.)</w:t>
      </w:r>
    </w:p>
    <w:p w14:paraId="1C51415E" w14:textId="77777777" w:rsidR="001B29A9" w:rsidRPr="00F50C10" w:rsidRDefault="001B29A9" w:rsidP="000B206D">
      <w:pPr>
        <w:widowControl w:val="0"/>
        <w:autoSpaceDE w:val="0"/>
        <w:autoSpaceDN w:val="0"/>
        <w:adjustRightInd w:val="0"/>
        <w:spacing w:after="120" w:line="276" w:lineRule="auto"/>
        <w:rPr>
          <w:rFonts w:eastAsia="Times New Roman" w:cs="Times New Roman"/>
          <w:b/>
          <w:szCs w:val="24"/>
          <w:lang w:val="tr-TR" w:eastAsia="tr-TR" w:bidi="tr-TR"/>
        </w:rPr>
      </w:pPr>
      <w:r w:rsidRPr="00F50C10">
        <w:rPr>
          <w:rFonts w:eastAsia="Times New Roman" w:cs="Times New Roman"/>
          <w:b/>
          <w:szCs w:val="24"/>
          <w:lang w:val="tr-TR" w:eastAsia="tr-TR" w:bidi="tr-TR"/>
        </w:rPr>
        <w:t>*Yeni kurulumlar için, bu teknikler tesis tasarımında dikkate alınmalıdır.</w:t>
      </w:r>
    </w:p>
    <w:p w14:paraId="4790B781" w14:textId="070F939C" w:rsidR="001B29A9" w:rsidRPr="00F50C10" w:rsidRDefault="001B29A9" w:rsidP="000B206D">
      <w:pPr>
        <w:widowControl w:val="0"/>
        <w:autoSpaceDE w:val="0"/>
        <w:autoSpaceDN w:val="0"/>
        <w:adjustRightInd w:val="0"/>
        <w:spacing w:after="120" w:line="276" w:lineRule="auto"/>
        <w:rPr>
          <w:rFonts w:eastAsia="Times New Roman" w:cs="Times New Roman"/>
          <w:b/>
          <w:szCs w:val="24"/>
          <w:lang w:val="tr-TR" w:eastAsia="tr-TR" w:bidi="tr-TR"/>
        </w:rPr>
      </w:pPr>
      <w:r w:rsidRPr="00F50C10">
        <w:rPr>
          <w:rFonts w:eastAsia="Times New Roman" w:cs="Times New Roman"/>
          <w:b/>
          <w:szCs w:val="24"/>
          <w:lang w:val="tr-TR" w:eastAsia="tr-TR" w:bidi="tr-TR"/>
        </w:rPr>
        <w:t xml:space="preserve">Mevcut üniteler için, Bölüm 12.1.3 ve Bölüm 12.1.4'te (bkz. </w:t>
      </w:r>
      <w:r w:rsidR="009F7476" w:rsidRPr="00F50C10">
        <w:rPr>
          <w:rFonts w:eastAsia="Times New Roman" w:cs="Times New Roman"/>
          <w:b/>
          <w:szCs w:val="24"/>
          <w:lang w:val="tr-TR" w:eastAsia="tr-TR" w:bidi="tr-TR"/>
        </w:rPr>
        <w:t>MET</w:t>
      </w:r>
      <w:r w:rsidRPr="00F50C10">
        <w:rPr>
          <w:rFonts w:eastAsia="Times New Roman" w:cs="Times New Roman"/>
          <w:b/>
          <w:szCs w:val="24"/>
          <w:lang w:val="tr-TR" w:eastAsia="tr-TR" w:bidi="tr-TR"/>
        </w:rPr>
        <w:t xml:space="preserve"> 3 ve 4) açıklanan tekniklerin sonuçlarına göre adım adım uygulanır.</w:t>
      </w:r>
    </w:p>
    <w:p w14:paraId="2B0ADB27" w14:textId="77777777" w:rsidR="009F7476"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bidi="tr-TR"/>
        </w:rPr>
      </w:pPr>
      <w:r w:rsidRPr="00F50C10">
        <w:rPr>
          <w:rFonts w:eastAsia="Times New Roman" w:cs="Times New Roman"/>
          <w:b/>
          <w:szCs w:val="24"/>
          <w:lang w:val="tr-TR" w:eastAsia="tr-TR" w:bidi="tr-TR"/>
        </w:rPr>
        <w:t xml:space="preserve">MET 3: </w:t>
      </w:r>
      <w:r w:rsidRPr="00F50C10">
        <w:rPr>
          <w:rFonts w:eastAsia="Times New Roman" w:cs="Times New Roman"/>
          <w:bCs/>
          <w:szCs w:val="24"/>
          <w:lang w:val="tr-TR" w:eastAsia="tr-TR" w:bidi="tr-TR"/>
        </w:rPr>
        <w:t>En yüksek kaçak kayıp potansiyeline sahip unsurları belirlemek üzere bileşenlerin tür, hizmet ve süreç koşullarına göre sınıflandırıldığı bir kaçak kayıp değerlendirmesi ve ölçümü yapılır</w:t>
      </w:r>
      <w:r w:rsidR="00CF6B83" w:rsidRPr="00F50C10">
        <w:rPr>
          <w:rFonts w:eastAsia="Times New Roman" w:cs="Times New Roman"/>
          <w:bCs/>
          <w:szCs w:val="24"/>
          <w:lang w:val="tr-TR" w:eastAsia="tr-TR" w:bidi="tr-TR"/>
        </w:rPr>
        <w:t>.</w:t>
      </w:r>
    </w:p>
    <w:p w14:paraId="32338AFF" w14:textId="30E0618B" w:rsidR="00172694" w:rsidRPr="00F50C10" w:rsidRDefault="00DF5964"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w:t>
      </w:r>
      <w:r w:rsidR="00E72FE4" w:rsidRPr="00F50C10">
        <w:rPr>
          <w:rFonts w:eastAsia="Times New Roman" w:cs="Times New Roman"/>
          <w:bCs/>
          <w:szCs w:val="24"/>
          <w:lang w:val="tr-TR" w:eastAsia="tr-TR" w:bidi="tr-TR"/>
        </w:rPr>
        <w:t xml:space="preserve">Polimer </w:t>
      </w:r>
      <w:r w:rsidRPr="00F50C10">
        <w:rPr>
          <w:rFonts w:eastAsia="Times New Roman" w:cs="Times New Roman"/>
          <w:bCs/>
          <w:szCs w:val="24"/>
          <w:lang w:val="tr-TR" w:eastAsia="tr-TR" w:bidi="tr-TR"/>
        </w:rPr>
        <w:t xml:space="preserve">Üretimi İçin </w:t>
      </w:r>
      <w:r w:rsidR="00E72FE4" w:rsidRPr="00F50C10">
        <w:rPr>
          <w:rFonts w:eastAsia="Times New Roman" w:cs="Times New Roman"/>
          <w:bCs/>
          <w:szCs w:val="24"/>
          <w:lang w:val="tr-TR" w:eastAsia="tr-TR" w:bidi="tr-TR"/>
        </w:rPr>
        <w:t xml:space="preserve">MET Referans Belgesinin </w:t>
      </w:r>
      <w:r w:rsidRPr="00F50C10">
        <w:rPr>
          <w:rFonts w:eastAsia="Times New Roman" w:cs="Times New Roman"/>
          <w:bCs/>
          <w:szCs w:val="24"/>
          <w:lang w:val="tr-TR" w:eastAsia="tr-TR" w:bidi="tr-TR"/>
        </w:rPr>
        <w:t xml:space="preserve">12.1.3 </w:t>
      </w:r>
      <w:r w:rsidR="00E72FE4" w:rsidRPr="00F50C10">
        <w:rPr>
          <w:rFonts w:eastAsia="Times New Roman" w:cs="Times New Roman"/>
          <w:bCs/>
          <w:szCs w:val="24"/>
          <w:lang w:val="tr-TR" w:eastAsia="tr-TR" w:bidi="tr-TR"/>
        </w:rPr>
        <w:t xml:space="preserve">Kısmını </w:t>
      </w:r>
      <w:r w:rsidRPr="00F50C10">
        <w:rPr>
          <w:rFonts w:eastAsia="Times New Roman" w:cs="Times New Roman"/>
          <w:bCs/>
          <w:szCs w:val="24"/>
          <w:lang w:val="tr-TR" w:eastAsia="tr-TR" w:bidi="tr-TR"/>
        </w:rPr>
        <w:t xml:space="preserve">Ve </w:t>
      </w:r>
      <w:r w:rsidR="00E72FE4" w:rsidRPr="00F50C10">
        <w:rPr>
          <w:rFonts w:eastAsia="Times New Roman" w:cs="Times New Roman"/>
          <w:bCs/>
          <w:szCs w:val="24"/>
          <w:lang w:val="tr-TR" w:eastAsia="tr-TR" w:bidi="tr-TR"/>
        </w:rPr>
        <w:t xml:space="preserve">Endüstriyel Emisyonlar Direktifi </w:t>
      </w:r>
      <w:r w:rsidRPr="00F50C10">
        <w:rPr>
          <w:rFonts w:eastAsia="Times New Roman" w:cs="Times New Roman"/>
          <w:bCs/>
          <w:szCs w:val="24"/>
          <w:lang w:val="tr-TR" w:eastAsia="tr-TR" w:bidi="tr-TR"/>
        </w:rPr>
        <w:t xml:space="preserve">Kapsamındaki Tesislerin Havaya Ve Suya Emisyonlarının İzlenmesi Hakkındaki </w:t>
      </w:r>
      <w:r w:rsidR="00E72FE4" w:rsidRPr="00F50C10">
        <w:rPr>
          <w:rFonts w:eastAsia="Times New Roman" w:cs="Times New Roman"/>
          <w:bCs/>
          <w:szCs w:val="24"/>
          <w:lang w:val="tr-TR" w:eastAsia="tr-TR" w:bidi="tr-TR"/>
        </w:rPr>
        <w:t>MET Referans Belgesini inceleyiniz</w:t>
      </w:r>
      <w:r w:rsidRPr="00F50C10">
        <w:rPr>
          <w:rFonts w:eastAsia="Times New Roman" w:cs="Times New Roman"/>
          <w:bCs/>
          <w:szCs w:val="24"/>
          <w:lang w:val="tr-TR" w:eastAsia="tr-TR" w:bidi="tr-TR"/>
        </w:rPr>
        <w:t>.)</w:t>
      </w:r>
    </w:p>
    <w:p w14:paraId="68E67903" w14:textId="77777777" w:rsidR="009F7476"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bidi="tr-TR"/>
        </w:rPr>
      </w:pPr>
      <w:r w:rsidRPr="00F50C10">
        <w:rPr>
          <w:rFonts w:eastAsia="Times New Roman" w:cs="Times New Roman"/>
          <w:b/>
          <w:szCs w:val="24"/>
          <w:lang w:val="tr-TR" w:eastAsia="tr-TR" w:bidi="tr-TR"/>
        </w:rPr>
        <w:t xml:space="preserve">MET 4: </w:t>
      </w:r>
      <w:r w:rsidRPr="00F50C10">
        <w:rPr>
          <w:rFonts w:eastAsia="Times New Roman" w:cs="Times New Roman"/>
          <w:bCs/>
          <w:szCs w:val="24"/>
          <w:lang w:val="tr-TR" w:eastAsia="tr-TR" w:bidi="tr-TR"/>
        </w:rPr>
        <w:t>Kaçak kayıp değerlendirmesi ve ölçümüne ek olarak bileşen ve hizmet veri tabanını temel alan teçhizat izleme ve bakım ve/veya kaçak tespit ve onarım programı  oluştur</w:t>
      </w:r>
      <w:r w:rsidR="00CF6B83" w:rsidRPr="00F50C10">
        <w:rPr>
          <w:rFonts w:eastAsia="Times New Roman" w:cs="Times New Roman"/>
          <w:bCs/>
          <w:szCs w:val="24"/>
          <w:lang w:val="tr-TR" w:eastAsia="tr-TR" w:bidi="tr-TR"/>
        </w:rPr>
        <w:t>ulur</w:t>
      </w:r>
      <w:r w:rsidRPr="00F50C10">
        <w:rPr>
          <w:rFonts w:eastAsia="Times New Roman" w:cs="Times New Roman"/>
          <w:bCs/>
          <w:szCs w:val="24"/>
          <w:lang w:val="tr-TR" w:eastAsia="tr-TR" w:bidi="tr-TR"/>
        </w:rPr>
        <w:t xml:space="preserve"> ve sürdür</w:t>
      </w:r>
      <w:r w:rsidR="00CF6B83" w:rsidRPr="00F50C10">
        <w:rPr>
          <w:rFonts w:eastAsia="Times New Roman" w:cs="Times New Roman"/>
          <w:bCs/>
          <w:szCs w:val="24"/>
          <w:lang w:val="tr-TR" w:eastAsia="tr-TR" w:bidi="tr-TR"/>
        </w:rPr>
        <w:t>ülür</w:t>
      </w:r>
      <w:r w:rsidRPr="00F50C10">
        <w:rPr>
          <w:rFonts w:eastAsia="Times New Roman" w:cs="Times New Roman"/>
          <w:bCs/>
          <w:szCs w:val="24"/>
          <w:lang w:val="tr-TR" w:eastAsia="tr-TR" w:bidi="tr-TR"/>
        </w:rPr>
        <w:t>.</w:t>
      </w:r>
      <w:r w:rsidR="00DF5964" w:rsidRPr="00F50C10">
        <w:rPr>
          <w:rFonts w:eastAsia="Times New Roman" w:cs="Times New Roman"/>
          <w:bCs/>
          <w:szCs w:val="24"/>
          <w:lang w:val="tr-TR" w:eastAsia="tr-TR" w:bidi="tr-TR"/>
        </w:rPr>
        <w:t xml:space="preserve"> </w:t>
      </w:r>
    </w:p>
    <w:p w14:paraId="7E682210" w14:textId="094639B9" w:rsidR="00172694" w:rsidRPr="00F50C10" w:rsidRDefault="00DF5964"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(Detaylı bilgi için Polimer Üretimi İçin MET Referans Belgesinin 12.1.3</w:t>
      </w:r>
      <w:r w:rsidR="009F7476" w:rsidRPr="00F50C10">
        <w:rPr>
          <w:rFonts w:eastAsia="Times New Roman" w:cs="Times New Roman"/>
          <w:bCs/>
          <w:szCs w:val="24"/>
          <w:lang w:val="tr-TR" w:eastAsia="tr-TR" w:bidi="tr-TR"/>
        </w:rPr>
        <w:t xml:space="preserve"> ve 12.1.4</w:t>
      </w:r>
      <w:r w:rsidRPr="00F50C10">
        <w:rPr>
          <w:rFonts w:eastAsia="Times New Roman" w:cs="Times New Roman"/>
          <w:bCs/>
          <w:szCs w:val="24"/>
          <w:lang w:val="tr-TR" w:eastAsia="tr-TR" w:bidi="tr-TR"/>
        </w:rPr>
        <w:t xml:space="preserve"> </w:t>
      </w:r>
      <w:r w:rsidR="009F7476" w:rsidRPr="00F50C10">
        <w:rPr>
          <w:rFonts w:eastAsia="Times New Roman" w:cs="Times New Roman"/>
          <w:bCs/>
          <w:szCs w:val="24"/>
          <w:lang w:val="tr-TR" w:eastAsia="tr-TR" w:bidi="tr-TR"/>
        </w:rPr>
        <w:t>kısımlarını v</w:t>
      </w:r>
      <w:r w:rsidRPr="00F50C10">
        <w:rPr>
          <w:rFonts w:eastAsia="Times New Roman" w:cs="Times New Roman"/>
          <w:bCs/>
          <w:szCs w:val="24"/>
          <w:lang w:val="tr-TR" w:eastAsia="tr-TR" w:bidi="tr-TR"/>
        </w:rPr>
        <w:t>e Endüstriyel Emisyonlar Direktifi Kapsamındaki Tesislerin Havaya Ve Suya Emisyonlarının İzlenmesi Hakkındaki MET Referans Belgesini inceleyiniz.)</w:t>
      </w:r>
    </w:p>
    <w:p w14:paraId="33E7C589" w14:textId="5C21096A"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
          <w:szCs w:val="24"/>
          <w:lang w:val="tr-TR" w:eastAsia="tr-TR" w:bidi="tr-TR"/>
        </w:rPr>
        <w:t xml:space="preserve">MET 5: </w:t>
      </w:r>
      <w:r w:rsidRPr="00F50C10">
        <w:rPr>
          <w:rFonts w:eastAsia="Times New Roman" w:cs="Times New Roman"/>
          <w:bCs/>
          <w:szCs w:val="24"/>
          <w:lang w:val="tr-TR" w:eastAsia="tr-TR" w:bidi="tr-TR"/>
        </w:rPr>
        <w:t>Aşağıdaki tekniklerin bir kombinasyonu ile toz emisyonları azalt</w:t>
      </w:r>
      <w:r w:rsidR="00626D62" w:rsidRPr="00F50C10">
        <w:rPr>
          <w:rFonts w:eastAsia="Times New Roman" w:cs="Times New Roman"/>
          <w:bCs/>
          <w:szCs w:val="24"/>
          <w:lang w:val="tr-TR" w:eastAsia="tr-TR" w:bidi="tr-TR"/>
        </w:rPr>
        <w:t>ıl</w:t>
      </w:r>
      <w:r w:rsidRPr="00F50C10">
        <w:rPr>
          <w:rFonts w:eastAsia="Times New Roman" w:cs="Times New Roman"/>
          <w:bCs/>
          <w:szCs w:val="24"/>
          <w:lang w:val="tr-TR" w:eastAsia="tr-TR" w:bidi="tr-TR"/>
        </w:rPr>
        <w:t>ır:</w:t>
      </w:r>
    </w:p>
    <w:p w14:paraId="5D91DBFB" w14:textId="19D0429B" w:rsidR="00172694" w:rsidRPr="00F50C10" w:rsidRDefault="00172694" w:rsidP="000B206D">
      <w:pPr>
        <w:widowControl w:val="0"/>
        <w:numPr>
          <w:ilvl w:val="0"/>
          <w:numId w:val="22"/>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rPr>
        <w:t>toz emisyonlarını önlenmesinde seyreltik faz taşımadan daha verimli olan yoğun faz taşıma</w:t>
      </w:r>
      <w:r w:rsidR="00626D62" w:rsidRPr="00F50C10">
        <w:rPr>
          <w:rFonts w:eastAsia="Times New Roman" w:cs="Times New Roman"/>
          <w:szCs w:val="24"/>
          <w:lang w:val="tr-TR"/>
        </w:rPr>
        <w:t xml:space="preserve"> kullanılması</w:t>
      </w:r>
      <w:r w:rsidRPr="00F50C10">
        <w:rPr>
          <w:rFonts w:eastAsia="Times New Roman" w:cs="Times New Roman"/>
          <w:szCs w:val="24"/>
          <w:lang w:val="tr-TR"/>
        </w:rPr>
        <w:t>,</w:t>
      </w:r>
    </w:p>
    <w:p w14:paraId="3FB10367" w14:textId="60F21391" w:rsidR="00172694" w:rsidRPr="00F50C10" w:rsidRDefault="00172694" w:rsidP="000B206D">
      <w:pPr>
        <w:widowControl w:val="0"/>
        <w:numPr>
          <w:ilvl w:val="0"/>
          <w:numId w:val="22"/>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rPr>
        <w:t>seyreltik faz taşıma sistemlerinde</w:t>
      </w:r>
      <w:r w:rsidR="00626D62" w:rsidRPr="00F50C10">
        <w:rPr>
          <w:rFonts w:eastAsia="Times New Roman" w:cs="Times New Roman"/>
          <w:szCs w:val="24"/>
          <w:lang w:val="tr-TR"/>
        </w:rPr>
        <w:t>ki</w:t>
      </w:r>
      <w:r w:rsidRPr="00F50C10">
        <w:rPr>
          <w:rFonts w:eastAsia="Times New Roman" w:cs="Times New Roman"/>
          <w:szCs w:val="24"/>
          <w:lang w:val="tr-TR"/>
        </w:rPr>
        <w:t xml:space="preserve"> hızların mümkün olduğu kadar </w:t>
      </w:r>
      <w:r w:rsidR="00626D62" w:rsidRPr="00F50C10">
        <w:rPr>
          <w:rFonts w:eastAsia="Times New Roman" w:cs="Times New Roman"/>
          <w:szCs w:val="24"/>
          <w:lang w:val="tr-TR"/>
        </w:rPr>
        <w:t>düşük seviyelere</w:t>
      </w:r>
      <w:r w:rsidRPr="00F50C10">
        <w:rPr>
          <w:rFonts w:eastAsia="Times New Roman" w:cs="Times New Roman"/>
          <w:szCs w:val="24"/>
          <w:lang w:val="tr-TR"/>
        </w:rPr>
        <w:t xml:space="preserve"> </w:t>
      </w:r>
      <w:r w:rsidR="00626D62" w:rsidRPr="00F50C10">
        <w:rPr>
          <w:rFonts w:eastAsia="Times New Roman" w:cs="Times New Roman"/>
          <w:szCs w:val="24"/>
          <w:lang w:val="tr-TR"/>
        </w:rPr>
        <w:t>indirilmesi</w:t>
      </w:r>
      <w:r w:rsidRPr="00F50C10">
        <w:rPr>
          <w:rFonts w:eastAsia="Times New Roman" w:cs="Times New Roman"/>
          <w:szCs w:val="24"/>
          <w:lang w:val="tr-TR"/>
        </w:rPr>
        <w:t>,</w:t>
      </w:r>
    </w:p>
    <w:p w14:paraId="04DC4A62" w14:textId="77777777" w:rsidR="00172694" w:rsidRPr="00F50C10" w:rsidRDefault="00172694" w:rsidP="000B206D">
      <w:pPr>
        <w:widowControl w:val="0"/>
        <w:numPr>
          <w:ilvl w:val="0"/>
          <w:numId w:val="22"/>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rPr>
        <w:t>taşıma hatlarında toz oluşumunun yüzey işlemleri ve boruların düzgün hizalanması yoluyla azaltılması,</w:t>
      </w:r>
    </w:p>
    <w:p w14:paraId="121E3B6A" w14:textId="77777777" w:rsidR="00172694" w:rsidRPr="00F50C10" w:rsidRDefault="00172694" w:rsidP="000B206D">
      <w:pPr>
        <w:widowControl w:val="0"/>
        <w:numPr>
          <w:ilvl w:val="0"/>
          <w:numId w:val="22"/>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rPr>
        <w:t>tozsuzlaştırma ünitelerinin hava çıkışlarında siklon ve/veya filtrelerin kullanılması,</w:t>
      </w:r>
    </w:p>
    <w:p w14:paraId="2CDA129F" w14:textId="01D9EE61" w:rsidR="00172694" w:rsidRPr="00F50C10" w:rsidRDefault="00626D62" w:rsidP="000B206D">
      <w:pPr>
        <w:widowControl w:val="0"/>
        <w:numPr>
          <w:ilvl w:val="0"/>
          <w:numId w:val="22"/>
        </w:numPr>
        <w:autoSpaceDE w:val="0"/>
        <w:autoSpaceDN w:val="0"/>
        <w:adjustRightInd w:val="0"/>
        <w:spacing w:before="120" w:after="60" w:line="276" w:lineRule="auto"/>
        <w:jc w:val="left"/>
        <w:rPr>
          <w:rFonts w:eastAsia="Times New Roman" w:cs="Times New Roman"/>
          <w:b/>
          <w:bCs/>
          <w:szCs w:val="24"/>
          <w:lang w:val="tr-TR"/>
        </w:rPr>
      </w:pPr>
      <w:r w:rsidRPr="00F50C10">
        <w:rPr>
          <w:rFonts w:eastAsia="Times New Roman" w:cs="Times New Roman"/>
          <w:szCs w:val="24"/>
          <w:lang w:val="tr-TR"/>
        </w:rPr>
        <w:t>ıslak</w:t>
      </w:r>
      <w:r w:rsidR="00172694" w:rsidRPr="00F50C10">
        <w:rPr>
          <w:rFonts w:eastAsia="Times New Roman" w:cs="Times New Roman"/>
          <w:szCs w:val="24"/>
          <w:lang w:val="tr-TR" w:bidi="tr-TR"/>
        </w:rPr>
        <w:t xml:space="preserve"> yıkayıcıların kullanımı.</w:t>
      </w:r>
    </w:p>
    <w:p w14:paraId="70B273B8" w14:textId="046CD3E9" w:rsidR="009F7476" w:rsidRPr="00F50C10" w:rsidRDefault="009F7476" w:rsidP="000B206D">
      <w:pPr>
        <w:widowControl w:val="0"/>
        <w:autoSpaceDE w:val="0"/>
        <w:autoSpaceDN w:val="0"/>
        <w:adjustRightInd w:val="0"/>
        <w:spacing w:before="120" w:after="60" w:line="276" w:lineRule="auto"/>
        <w:ind w:left="360"/>
        <w:rPr>
          <w:rFonts w:eastAsia="Times New Roman" w:cs="Times New Roman"/>
          <w:b/>
          <w:szCs w:val="24"/>
          <w:lang w:val="tr-TR" w:eastAsia="tr-TR" w:bidi="tr-TR"/>
        </w:rPr>
      </w:pPr>
      <w:r w:rsidRPr="00F50C10">
        <w:rPr>
          <w:rFonts w:eastAsia="Times New Roman" w:cs="Times New Roman"/>
          <w:bCs/>
          <w:szCs w:val="24"/>
          <w:lang w:val="tr-TR" w:eastAsia="tr-TR" w:bidi="tr-TR"/>
        </w:rPr>
        <w:t>(Detaylı bilgi için Polimer Üretimi İçin MET Referans Belgesinin 12.1.5 Kısmını Ve Endüstriyel Emisyonlar Direktifi Kapsamındaki Tesislerin Havaya Ve Suya Emisyonlarının İzlenmesi Hakkındaki MET Referans Belgesini inceleyiniz.)</w:t>
      </w:r>
    </w:p>
    <w:p w14:paraId="450931AE" w14:textId="523C3D18"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bidi="tr-TR"/>
        </w:rPr>
      </w:pPr>
      <w:r w:rsidRPr="00F50C10">
        <w:rPr>
          <w:rFonts w:eastAsia="Times New Roman" w:cs="Times New Roman"/>
          <w:b/>
          <w:szCs w:val="24"/>
          <w:lang w:val="tr-TR" w:eastAsia="tr-TR" w:bidi="tr-TR"/>
        </w:rPr>
        <w:t xml:space="preserve">MET 6: </w:t>
      </w:r>
      <w:r w:rsidRPr="00F50C10">
        <w:rPr>
          <w:rFonts w:eastAsia="Times New Roman" w:cs="Times New Roman"/>
          <w:bCs/>
          <w:szCs w:val="24"/>
          <w:lang w:val="tr-TR" w:eastAsia="tr-TR" w:bidi="tr-TR"/>
        </w:rPr>
        <w:t>Emisyon piklerinden kaçınmak ve genel tüketimi azaltmak için</w:t>
      </w:r>
      <w:r w:rsidR="00626D62" w:rsidRPr="00F50C10">
        <w:rPr>
          <w:rFonts w:eastAsia="Times New Roman" w:cs="Times New Roman"/>
          <w:bCs/>
          <w:szCs w:val="24"/>
          <w:lang w:val="tr-TR" w:eastAsia="tr-TR" w:bidi="tr-TR"/>
        </w:rPr>
        <w:t xml:space="preserve"> (örneğin, enerji, ton ürün başına monomer tüketimi)</w:t>
      </w:r>
      <w:r w:rsidRPr="00F50C10">
        <w:rPr>
          <w:rFonts w:eastAsia="Times New Roman" w:cs="Times New Roman"/>
          <w:bCs/>
          <w:szCs w:val="24"/>
          <w:lang w:val="tr-TR" w:eastAsia="tr-TR" w:bidi="tr-TR"/>
        </w:rPr>
        <w:t xml:space="preserve"> tesis </w:t>
      </w:r>
      <w:r w:rsidR="00626D62" w:rsidRPr="00F50C10">
        <w:rPr>
          <w:rFonts w:eastAsia="Times New Roman" w:cs="Times New Roman"/>
          <w:bCs/>
          <w:szCs w:val="24"/>
          <w:lang w:val="tr-TR" w:eastAsia="tr-TR" w:bidi="tr-TR"/>
        </w:rPr>
        <w:t>başlatma</w:t>
      </w:r>
      <w:r w:rsidRPr="00F50C10">
        <w:rPr>
          <w:rFonts w:eastAsia="Times New Roman" w:cs="Times New Roman"/>
          <w:bCs/>
          <w:szCs w:val="24"/>
          <w:lang w:val="tr-TR" w:eastAsia="tr-TR" w:bidi="tr-TR"/>
        </w:rPr>
        <w:t xml:space="preserve"> ve durdurma en aza indirilir</w:t>
      </w:r>
      <w:r w:rsidR="00626D62" w:rsidRPr="00F50C10">
        <w:rPr>
          <w:rFonts w:eastAsia="Times New Roman" w:cs="Times New Roman"/>
          <w:bCs/>
          <w:szCs w:val="24"/>
          <w:lang w:val="tr-TR" w:eastAsia="tr-TR" w:bidi="tr-TR"/>
        </w:rPr>
        <w:t>.</w:t>
      </w:r>
    </w:p>
    <w:p w14:paraId="0CC3CAD6" w14:textId="17980684"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rPr>
      </w:pPr>
      <w:r w:rsidRPr="00F50C10">
        <w:rPr>
          <w:rFonts w:eastAsia="Times New Roman" w:cs="Times New Roman"/>
          <w:szCs w:val="24"/>
          <w:lang w:val="tr-TR" w:eastAsia="tr-TR"/>
        </w:rPr>
        <w:t>Bilgisayarlı izleme ve kontrol sistemleri ve ekipman güvenilirliğinin yardımıyla operasyonel kararlılığı iyileştirerek fabrika durdurmaları ve başlatmaları en aza indirili</w:t>
      </w:r>
      <w:r w:rsidR="00626D62" w:rsidRPr="00F50C10">
        <w:rPr>
          <w:rFonts w:eastAsia="Times New Roman" w:cs="Times New Roman"/>
          <w:szCs w:val="24"/>
          <w:lang w:val="tr-TR" w:eastAsia="tr-TR"/>
        </w:rPr>
        <w:t>r</w:t>
      </w:r>
      <w:r w:rsidRPr="00F50C10">
        <w:rPr>
          <w:rFonts w:eastAsia="Times New Roman" w:cs="Times New Roman"/>
          <w:szCs w:val="24"/>
          <w:lang w:val="tr-TR" w:eastAsia="tr-TR"/>
        </w:rPr>
        <w:t>.</w:t>
      </w:r>
    </w:p>
    <w:p w14:paraId="4E49396D" w14:textId="662121FB" w:rsidR="00172694" w:rsidRPr="00F50C10" w:rsidRDefault="009F7476" w:rsidP="000B206D">
      <w:pPr>
        <w:widowControl w:val="0"/>
        <w:autoSpaceDE w:val="0"/>
        <w:autoSpaceDN w:val="0"/>
        <w:adjustRightInd w:val="0"/>
        <w:spacing w:before="120" w:after="60" w:line="276" w:lineRule="auto"/>
        <w:rPr>
          <w:rFonts w:eastAsia="Times New Roman" w:cs="Times New Roman"/>
          <w:bCs/>
          <w:szCs w:val="24"/>
          <w:lang w:val="tr-TR" w:eastAsia="tr-TR" w:bidi="tr-TR"/>
        </w:rPr>
      </w:pPr>
      <w:r w:rsidRPr="00F50C10">
        <w:rPr>
          <w:rFonts w:eastAsia="Times New Roman" w:cs="Times New Roman"/>
          <w:bCs/>
          <w:szCs w:val="24"/>
          <w:lang w:val="tr-TR" w:eastAsia="tr-TR" w:bidi="tr-TR"/>
        </w:rPr>
        <w:t>(Detaylı bilgi için Polimer Üretimi İçin MET Referans Belgesinin 12.1.6 Kısmını Ve Endüstriyel Emisyonlar Direktifi Kapsamındaki Tesislerin Havaya Ve Suya Emisyonlarının İzlenmesi Hakkındaki MET Referans Belgesini inceleyiniz.)</w:t>
      </w:r>
      <w:r w:rsidR="00172694" w:rsidRPr="00F50C10">
        <w:rPr>
          <w:rFonts w:eastAsia="Times New Roman" w:cs="Times New Roman"/>
          <w:b/>
          <w:szCs w:val="24"/>
          <w:lang w:val="tr-TR" w:eastAsia="tr-TR" w:bidi="tr-TR"/>
        </w:rPr>
        <w:t xml:space="preserve">MET 7: </w:t>
      </w:r>
      <w:r w:rsidR="00172694" w:rsidRPr="00F50C10">
        <w:rPr>
          <w:rFonts w:eastAsia="Times New Roman" w:cs="Times New Roman"/>
          <w:bCs/>
          <w:szCs w:val="24"/>
          <w:lang w:val="tr-TR" w:eastAsia="tr-TR" w:bidi="tr-TR"/>
        </w:rPr>
        <w:t>Acil durdurma halinde reaktör içeriği güvenceye alınır. Tesis açılışları, kapanışları ve acil durum durdurmaları sırasında reaksiyona girmemiş monomerler, solventler, polimerler vb. için bir muhafaza sistemi</w:t>
      </w:r>
      <w:r w:rsidR="00645045" w:rsidRPr="00F50C10">
        <w:rPr>
          <w:rFonts w:eastAsia="Times New Roman" w:cs="Times New Roman"/>
          <w:bCs/>
          <w:szCs w:val="24"/>
          <w:lang w:val="tr-TR" w:eastAsia="tr-TR" w:bidi="tr-TR"/>
        </w:rPr>
        <w:t xml:space="preserve"> bulundurulur</w:t>
      </w:r>
      <w:r w:rsidR="00172694" w:rsidRPr="00F50C10">
        <w:rPr>
          <w:rFonts w:eastAsia="Times New Roman" w:cs="Times New Roman"/>
          <w:bCs/>
          <w:szCs w:val="24"/>
          <w:lang w:val="tr-TR" w:eastAsia="tr-TR" w:bidi="tr-TR"/>
        </w:rPr>
        <w:t>.</w:t>
      </w:r>
    </w:p>
    <w:p w14:paraId="6A2CE196" w14:textId="77777777"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rPr>
      </w:pPr>
      <w:r w:rsidRPr="00F50C10">
        <w:rPr>
          <w:rFonts w:eastAsia="Times New Roman" w:cs="Times New Roman"/>
          <w:szCs w:val="24"/>
          <w:lang w:val="tr-TR" w:eastAsia="tr-TR" w:bidi="tr-TR"/>
        </w:rPr>
        <w:t>Tesis başlatma, kapatma ve acil durdurma sırasında oluşan emisyonları önlemek için bir muhafaza sistemine gönderilir. Reaksiyona girmemiş monomerler, çözücüler, polimerler vb. olabilen malzeme içeriği mümkünse geri dönüştürülür veya örneğin belirsiz polimer kalitesi durumunda yakıt olarak kullanılır.</w:t>
      </w:r>
    </w:p>
    <w:p w14:paraId="7DA56FF0" w14:textId="5D2FBB96" w:rsidR="009F7476" w:rsidRPr="00F50C10" w:rsidRDefault="009F7476"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(Detaylı bilgi için Polimer Üretimi İçin MET Referans Belgesinin 12.1.7 Kısmını Ve Endüstriyel Emisyonlar Direktifi Kapsamındaki Tesislerin Havaya Ve Suya Emisyonlarının İzlenmesi Hakkındaki MET Referans Belgesini inceleyiniz.)</w:t>
      </w:r>
    </w:p>
    <w:p w14:paraId="56D73346" w14:textId="202187BB" w:rsidR="00172694" w:rsidRPr="00F50C10" w:rsidRDefault="00172694" w:rsidP="000B206D">
      <w:pPr>
        <w:widowControl w:val="0"/>
        <w:autoSpaceDE w:val="0"/>
        <w:autoSpaceDN w:val="0"/>
        <w:adjustRightInd w:val="0"/>
        <w:spacing w:before="120" w:after="60" w:line="276" w:lineRule="auto"/>
        <w:rPr>
          <w:rFonts w:eastAsia="Times New Roman" w:cs="Times New Roman"/>
          <w:b/>
          <w:bCs/>
          <w:szCs w:val="24"/>
          <w:lang w:val="tr-TR" w:eastAsia="tr-TR"/>
        </w:rPr>
      </w:pPr>
      <w:r w:rsidRPr="00F50C10">
        <w:rPr>
          <w:rFonts w:eastAsia="Times New Roman" w:cs="Times New Roman"/>
          <w:b/>
          <w:szCs w:val="24"/>
          <w:lang w:val="tr-TR" w:eastAsia="tr-TR" w:bidi="tr-TR"/>
        </w:rPr>
        <w:t xml:space="preserve">MET 8: </w:t>
      </w:r>
      <w:r w:rsidRPr="00F50C10">
        <w:rPr>
          <w:rFonts w:eastAsia="Times New Roman" w:cs="Times New Roman"/>
          <w:bCs/>
          <w:szCs w:val="24"/>
          <w:lang w:val="tr-TR" w:eastAsia="tr-TR" w:bidi="tr-TR"/>
        </w:rPr>
        <w:t>Bir önceki MET’ten gelen malzeme içeriği geri dönüştür</w:t>
      </w:r>
      <w:r w:rsidR="00626D62" w:rsidRPr="00F50C10">
        <w:rPr>
          <w:rFonts w:eastAsia="Times New Roman" w:cs="Times New Roman"/>
          <w:bCs/>
          <w:szCs w:val="24"/>
          <w:lang w:val="tr-TR" w:eastAsia="tr-TR" w:bidi="tr-TR"/>
        </w:rPr>
        <w:t>ülür</w:t>
      </w:r>
      <w:r w:rsidRPr="00F50C10">
        <w:rPr>
          <w:rFonts w:eastAsia="Times New Roman" w:cs="Times New Roman"/>
          <w:bCs/>
          <w:szCs w:val="24"/>
          <w:lang w:val="tr-TR" w:eastAsia="tr-TR" w:bidi="tr-TR"/>
        </w:rPr>
        <w:t xml:space="preserve"> veya yakıt olarak kullanılır.</w:t>
      </w:r>
    </w:p>
    <w:p w14:paraId="18D6E0F8" w14:textId="48169514" w:rsidR="00172694" w:rsidRPr="00F50C10" w:rsidRDefault="00172694" w:rsidP="000B206D">
      <w:pPr>
        <w:widowControl w:val="0"/>
        <w:autoSpaceDE w:val="0"/>
        <w:autoSpaceDN w:val="0"/>
        <w:adjustRightInd w:val="0"/>
        <w:spacing w:before="120" w:after="60" w:line="276" w:lineRule="auto"/>
        <w:rPr>
          <w:rFonts w:eastAsia="Times New Roman" w:cs="Times New Roman"/>
          <w:b/>
          <w:bCs/>
          <w:szCs w:val="24"/>
          <w:lang w:val="tr-TR" w:eastAsia="tr-TR"/>
        </w:rPr>
      </w:pPr>
      <w:r w:rsidRPr="00F50C10">
        <w:rPr>
          <w:rFonts w:eastAsia="Times New Roman" w:cs="Times New Roman"/>
          <w:b/>
          <w:szCs w:val="24"/>
          <w:lang w:val="tr-TR" w:eastAsia="tr-TR" w:bidi="tr-TR"/>
        </w:rPr>
        <w:t xml:space="preserve">MET 9: </w:t>
      </w:r>
      <w:r w:rsidRPr="00F50C10">
        <w:rPr>
          <w:rFonts w:eastAsia="Times New Roman" w:cs="Times New Roman"/>
          <w:bCs/>
          <w:szCs w:val="24"/>
          <w:lang w:val="tr-TR" w:eastAsia="tr-TR" w:bidi="tr-TR"/>
        </w:rPr>
        <w:t>Uygun boru tasarımı ve malzemeleri ile su kirliliği önlen</w:t>
      </w:r>
      <w:r w:rsidR="00626D62" w:rsidRPr="00F50C10">
        <w:rPr>
          <w:rFonts w:eastAsia="Times New Roman" w:cs="Times New Roman"/>
          <w:bCs/>
          <w:szCs w:val="24"/>
          <w:lang w:val="tr-TR" w:eastAsia="tr-TR" w:bidi="tr-TR"/>
        </w:rPr>
        <w:t>ir.</w:t>
      </w:r>
    </w:p>
    <w:p w14:paraId="06814A16" w14:textId="77777777"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bidi="tr-TR"/>
        </w:rPr>
      </w:pPr>
      <w:r w:rsidRPr="00F50C10">
        <w:rPr>
          <w:rFonts w:eastAsia="Times New Roman" w:cs="Times New Roman"/>
          <w:szCs w:val="24"/>
          <w:lang w:val="tr-TR" w:eastAsia="tr-TR" w:bidi="tr-TR"/>
        </w:rPr>
        <w:t>Muayene ve onarımı kolaylaştırmaya yönelik olarak yeni tesislerde ve sonradan eklenen sistemlerde örneğin aşağıdaki atık su toplama sistemleri kurulabilir:</w:t>
      </w:r>
    </w:p>
    <w:p w14:paraId="2903E61D" w14:textId="77777777" w:rsidR="00172694" w:rsidRPr="00F50C10" w:rsidRDefault="00172694" w:rsidP="000B206D">
      <w:pPr>
        <w:widowControl w:val="0"/>
        <w:numPr>
          <w:ilvl w:val="0"/>
          <w:numId w:val="23"/>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rPr>
        <w:t>yer üstüne yerleştirilmiş borular ve pompalar,</w:t>
      </w:r>
    </w:p>
    <w:p w14:paraId="159FC240" w14:textId="77777777" w:rsidR="00172694" w:rsidRPr="00F50C10" w:rsidRDefault="00172694" w:rsidP="000B206D">
      <w:pPr>
        <w:widowControl w:val="0"/>
        <w:numPr>
          <w:ilvl w:val="0"/>
          <w:numId w:val="23"/>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rPr>
        <w:t>muayene</w:t>
      </w:r>
      <w:r w:rsidRPr="00F50C10">
        <w:rPr>
          <w:rFonts w:eastAsia="Times New Roman" w:cs="Times New Roman"/>
          <w:szCs w:val="24"/>
          <w:lang w:val="tr-TR" w:bidi="tr-TR"/>
        </w:rPr>
        <w:t xml:space="preserve"> ve onarım için erişilebilir kanallara yerleştirilmiş borular.</w:t>
      </w:r>
    </w:p>
    <w:p w14:paraId="052BBD17" w14:textId="3B91DCD4" w:rsidR="00DF5964" w:rsidRPr="00F50C10" w:rsidRDefault="00DF5964" w:rsidP="000B206D">
      <w:pPr>
        <w:widowControl w:val="0"/>
        <w:autoSpaceDE w:val="0"/>
        <w:autoSpaceDN w:val="0"/>
        <w:adjustRightInd w:val="0"/>
        <w:spacing w:before="120" w:after="60" w:line="276" w:lineRule="auto"/>
        <w:rPr>
          <w:rFonts w:eastAsia="Times New Roman" w:cs="Times New Roman"/>
          <w:bCs/>
          <w:szCs w:val="24"/>
          <w:lang w:val="tr-TR" w:eastAsia="tr-TR" w:bidi="tr-TR"/>
        </w:rPr>
      </w:pPr>
      <w:r w:rsidRPr="00F50C10">
        <w:rPr>
          <w:rFonts w:eastAsia="Times New Roman" w:cs="Times New Roman"/>
          <w:bCs/>
          <w:szCs w:val="24"/>
          <w:lang w:val="tr-TR" w:eastAsia="tr-TR" w:bidi="tr-TR"/>
        </w:rPr>
        <w:t>(Detaylı bilgi için Polimer Üretimi İçin MET Referans Belgesinin 12.1</w:t>
      </w:r>
      <w:r w:rsidR="009F7476" w:rsidRPr="00F50C10">
        <w:rPr>
          <w:rFonts w:eastAsia="Times New Roman" w:cs="Times New Roman"/>
          <w:bCs/>
          <w:szCs w:val="24"/>
          <w:lang w:val="tr-TR" w:eastAsia="tr-TR" w:bidi="tr-TR"/>
        </w:rPr>
        <w:t>.</w:t>
      </w:r>
      <w:r w:rsidRPr="00F50C10">
        <w:rPr>
          <w:rFonts w:eastAsia="Times New Roman" w:cs="Times New Roman"/>
          <w:bCs/>
          <w:szCs w:val="24"/>
          <w:lang w:val="tr-TR" w:eastAsia="tr-TR" w:bidi="tr-TR"/>
        </w:rPr>
        <w:t>8 Kısmına bakınız</w:t>
      </w:r>
      <w:r w:rsidR="009F7476" w:rsidRPr="00F50C10">
        <w:rPr>
          <w:rFonts w:eastAsia="Times New Roman" w:cs="Times New Roman"/>
          <w:bCs/>
          <w:szCs w:val="24"/>
          <w:lang w:val="tr-TR" w:eastAsia="tr-TR" w:bidi="tr-TR"/>
        </w:rPr>
        <w:t>.</w:t>
      </w:r>
      <w:r w:rsidRPr="00F50C10">
        <w:rPr>
          <w:rFonts w:eastAsia="Times New Roman" w:cs="Times New Roman"/>
          <w:bCs/>
          <w:szCs w:val="24"/>
          <w:lang w:val="tr-TR" w:eastAsia="tr-TR" w:bidi="tr-TR"/>
        </w:rPr>
        <w:t>)</w:t>
      </w:r>
    </w:p>
    <w:p w14:paraId="2CEBD151" w14:textId="05CF84F1"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
          <w:szCs w:val="24"/>
          <w:lang w:val="tr-TR" w:eastAsia="tr-TR" w:bidi="tr-TR"/>
        </w:rPr>
        <w:t xml:space="preserve">MET 10: </w:t>
      </w:r>
      <w:r w:rsidRPr="00F50C10">
        <w:rPr>
          <w:rFonts w:eastAsia="Times New Roman" w:cs="Times New Roman"/>
          <w:bCs/>
          <w:szCs w:val="24"/>
          <w:lang w:val="tr-TR" w:eastAsia="tr-TR" w:bidi="tr-TR"/>
        </w:rPr>
        <w:t>Aşağıdakiler için ayrı atık toplama sistemleri kullanılır:</w:t>
      </w:r>
    </w:p>
    <w:p w14:paraId="6DC9CF83" w14:textId="77777777" w:rsidR="00172694" w:rsidRPr="00F50C10" w:rsidRDefault="00172694" w:rsidP="000B206D">
      <w:pPr>
        <w:widowControl w:val="0"/>
        <w:numPr>
          <w:ilvl w:val="0"/>
          <w:numId w:val="24"/>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rPr>
        <w:t>kontamine proses atık suyu,</w:t>
      </w:r>
    </w:p>
    <w:p w14:paraId="722AD28B" w14:textId="7B3D56FA" w:rsidR="00172694" w:rsidRPr="00F50C10" w:rsidRDefault="00172694" w:rsidP="000B206D">
      <w:pPr>
        <w:widowControl w:val="0"/>
        <w:numPr>
          <w:ilvl w:val="0"/>
          <w:numId w:val="24"/>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rPr>
        <w:t xml:space="preserve">sızıntılar ve proses tesisi alanlarından gelen soğutma suyu ve yüzey akıntısı </w:t>
      </w:r>
      <w:r w:rsidR="00626D62" w:rsidRPr="00F50C10">
        <w:rPr>
          <w:rFonts w:eastAsia="Times New Roman" w:cs="Times New Roman"/>
          <w:szCs w:val="24"/>
          <w:lang w:val="tr-TR"/>
        </w:rPr>
        <w:t>benzeri d</w:t>
      </w:r>
      <w:r w:rsidRPr="00F50C10">
        <w:rPr>
          <w:rFonts w:eastAsia="Times New Roman" w:cs="Times New Roman"/>
          <w:szCs w:val="24"/>
          <w:lang w:val="tr-TR"/>
        </w:rPr>
        <w:t>iğer kaynaklar nedeniyle kontamine olması muhtemel su,</w:t>
      </w:r>
    </w:p>
    <w:p w14:paraId="6FDC055F" w14:textId="77777777" w:rsidR="00172694" w:rsidRPr="00F50C10" w:rsidRDefault="00172694" w:rsidP="000B206D">
      <w:pPr>
        <w:widowControl w:val="0"/>
        <w:numPr>
          <w:ilvl w:val="0"/>
          <w:numId w:val="24"/>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rPr>
        <w:t>kontamine</w:t>
      </w:r>
      <w:r w:rsidRPr="00F50C10">
        <w:rPr>
          <w:rFonts w:eastAsia="Times New Roman" w:cs="Times New Roman"/>
          <w:szCs w:val="24"/>
          <w:lang w:val="tr-TR" w:bidi="tr-TR"/>
        </w:rPr>
        <w:t xml:space="preserve"> olmamış su.</w:t>
      </w:r>
    </w:p>
    <w:p w14:paraId="04AAF63F" w14:textId="6CE2F85B" w:rsidR="001E6AF7" w:rsidRPr="00F50C10" w:rsidRDefault="001E6AF7"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(Detaylı bilgi için Polimer Üretimi İçin MET Referans Belgesinin 12.1.8 Kısmına bakınız.)</w:t>
      </w:r>
    </w:p>
    <w:p w14:paraId="66C6F67C" w14:textId="4C5F7226"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
          <w:szCs w:val="24"/>
          <w:lang w:val="tr-TR" w:eastAsia="tr-TR" w:bidi="tr-TR"/>
        </w:rPr>
        <w:t xml:space="preserve">MET 11: </w:t>
      </w:r>
      <w:r w:rsidRPr="00F50C10">
        <w:rPr>
          <w:rFonts w:eastAsia="Times New Roman" w:cs="Times New Roman"/>
          <w:bCs/>
          <w:szCs w:val="24"/>
          <w:lang w:val="tr-TR" w:eastAsia="tr-TR" w:bidi="tr-TR"/>
        </w:rPr>
        <w:t>Gaz giderme silolarından ve reaktör havalandırmasından gelen hava tahliye akışları aşağıdaki tekniklerden biri veya birkaçı ile arıtılır:</w:t>
      </w:r>
    </w:p>
    <w:p w14:paraId="79EADF51" w14:textId="77777777" w:rsidR="00172694" w:rsidRPr="00F50C10" w:rsidRDefault="00172694" w:rsidP="000B206D">
      <w:pPr>
        <w:widowControl w:val="0"/>
        <w:numPr>
          <w:ilvl w:val="0"/>
          <w:numId w:val="25"/>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geri dönüşüm,</w:t>
      </w:r>
    </w:p>
    <w:p w14:paraId="42861253" w14:textId="77777777" w:rsidR="00172694" w:rsidRPr="00F50C10" w:rsidRDefault="00172694" w:rsidP="000B206D">
      <w:pPr>
        <w:widowControl w:val="0"/>
        <w:numPr>
          <w:ilvl w:val="0"/>
          <w:numId w:val="25"/>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termal oksitleme,</w:t>
      </w:r>
    </w:p>
    <w:p w14:paraId="2C79C335" w14:textId="5DA8AF07" w:rsidR="00172694" w:rsidRPr="00F50C10" w:rsidRDefault="00172694" w:rsidP="000B206D">
      <w:pPr>
        <w:widowControl w:val="0"/>
        <w:numPr>
          <w:ilvl w:val="0"/>
          <w:numId w:val="25"/>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katalitik</w:t>
      </w:r>
      <w:r w:rsidR="00626D62" w:rsidRPr="00F50C10">
        <w:rPr>
          <w:rFonts w:eastAsia="Times New Roman" w:cs="Times New Roman"/>
          <w:szCs w:val="24"/>
          <w:lang w:val="tr-TR" w:bidi="tr-TR"/>
        </w:rPr>
        <w:t xml:space="preserve"> </w:t>
      </w:r>
      <w:r w:rsidRPr="00F50C10">
        <w:rPr>
          <w:rFonts w:eastAsia="Times New Roman" w:cs="Times New Roman"/>
          <w:szCs w:val="24"/>
          <w:lang w:val="tr-TR" w:bidi="tr-TR"/>
        </w:rPr>
        <w:t>oksitleme,</w:t>
      </w:r>
    </w:p>
    <w:p w14:paraId="5642A5EA" w14:textId="77777777" w:rsidR="00172694" w:rsidRPr="00F50C10" w:rsidRDefault="00172694" w:rsidP="000B206D">
      <w:pPr>
        <w:widowControl w:val="0"/>
        <w:numPr>
          <w:ilvl w:val="0"/>
          <w:numId w:val="25"/>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bidi="tr-TR"/>
        </w:rPr>
        <w:t>tutuşturma</w:t>
      </w:r>
      <w:r w:rsidRPr="00F50C10">
        <w:rPr>
          <w:rFonts w:eastAsia="Times New Roman" w:cs="Times New Roman"/>
          <w:szCs w:val="24"/>
          <w:lang w:val="tr-TR"/>
        </w:rPr>
        <w:t xml:space="preserve"> (yalnızca kesikli akışlar için).</w:t>
      </w:r>
    </w:p>
    <w:p w14:paraId="55E3DDCB" w14:textId="5A5EA202"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rPr>
      </w:pPr>
      <w:r w:rsidRPr="00F50C10">
        <w:rPr>
          <w:rFonts w:eastAsia="Times New Roman" w:cs="Times New Roman"/>
          <w:szCs w:val="24"/>
          <w:lang w:val="tr-TR" w:eastAsia="tr-TR"/>
        </w:rPr>
        <w:t>Bazı durumlarda, adsorpsiyon tekniklerinin kullanımı da MET olarak kabul edilebilir.</w:t>
      </w:r>
    </w:p>
    <w:p w14:paraId="7B7A16BE" w14:textId="23C60232" w:rsidR="001E6AF7" w:rsidRPr="00F50C10" w:rsidRDefault="001E6AF7" w:rsidP="000B206D">
      <w:pPr>
        <w:widowControl w:val="0"/>
        <w:autoSpaceDE w:val="0"/>
        <w:autoSpaceDN w:val="0"/>
        <w:adjustRightInd w:val="0"/>
        <w:spacing w:before="120" w:after="60" w:line="276" w:lineRule="auto"/>
        <w:rPr>
          <w:rFonts w:eastAsia="Times New Roman" w:cs="Times New Roman"/>
          <w:szCs w:val="24"/>
          <w:lang w:val="tr-TR" w:eastAsia="tr-TR"/>
        </w:rPr>
      </w:pPr>
      <w:r w:rsidRPr="00F50C10">
        <w:rPr>
          <w:rFonts w:eastAsia="Times New Roman" w:cs="Times New Roman"/>
          <w:bCs/>
          <w:szCs w:val="24"/>
          <w:lang w:val="tr-TR" w:eastAsia="tr-TR" w:bidi="tr-TR"/>
        </w:rPr>
        <w:t>(Detaylı bilgi için Polimer Üretimi İçin MET Referans Belgesinin 12.1.9 Kısmına bakınız.)</w:t>
      </w:r>
    </w:p>
    <w:p w14:paraId="35BF85B0" w14:textId="711779EB" w:rsidR="00172694" w:rsidRPr="00F50C10" w:rsidRDefault="00172694" w:rsidP="000B206D">
      <w:pPr>
        <w:widowControl w:val="0"/>
        <w:autoSpaceDE w:val="0"/>
        <w:autoSpaceDN w:val="0"/>
        <w:adjustRightInd w:val="0"/>
        <w:spacing w:after="120" w:line="276" w:lineRule="auto"/>
        <w:rPr>
          <w:rFonts w:eastAsia="Times New Roman" w:cs="Times New Roman"/>
          <w:bCs/>
          <w:szCs w:val="24"/>
          <w:lang w:val="tr-TR" w:eastAsia="tr-TR" w:bidi="tr-TR"/>
        </w:rPr>
      </w:pPr>
      <w:r w:rsidRPr="00F50C10">
        <w:rPr>
          <w:rFonts w:eastAsia="Times New Roman" w:cs="Times New Roman"/>
          <w:b/>
          <w:szCs w:val="24"/>
          <w:lang w:val="tr-TR" w:eastAsia="tr-TR" w:bidi="tr-TR"/>
        </w:rPr>
        <w:t xml:space="preserve">MET 12: </w:t>
      </w:r>
      <w:r w:rsidRPr="00F50C10">
        <w:rPr>
          <w:rFonts w:eastAsia="Times New Roman" w:cs="Times New Roman"/>
          <w:bCs/>
          <w:szCs w:val="24"/>
          <w:lang w:val="tr-TR" w:eastAsia="tr-TR" w:bidi="tr-TR"/>
        </w:rPr>
        <w:t>Reaktör sisteminden gelen kesikli emisyonları arıtmak üzere tutuşturma sistemleri kullanıl</w:t>
      </w:r>
      <w:r w:rsidR="00CC700A" w:rsidRPr="00F50C10">
        <w:rPr>
          <w:rFonts w:eastAsia="Times New Roman" w:cs="Times New Roman"/>
          <w:bCs/>
          <w:szCs w:val="24"/>
          <w:lang w:val="tr-TR" w:eastAsia="tr-TR" w:bidi="tr-TR"/>
        </w:rPr>
        <w:t xml:space="preserve">ır. </w:t>
      </w:r>
    </w:p>
    <w:p w14:paraId="79CEED99" w14:textId="77777777" w:rsidR="00C77D8A" w:rsidRPr="00F50C10" w:rsidRDefault="00C77D8A" w:rsidP="000B206D">
      <w:pPr>
        <w:widowControl w:val="0"/>
        <w:autoSpaceDE w:val="0"/>
        <w:autoSpaceDN w:val="0"/>
        <w:adjustRightInd w:val="0"/>
        <w:spacing w:after="120" w:line="276" w:lineRule="auto"/>
        <w:rPr>
          <w:rFonts w:eastAsia="Times New Roman" w:cs="Times New Roman"/>
          <w:b/>
          <w:szCs w:val="24"/>
          <w:lang w:val="tr-TR" w:eastAsia="tr-TR" w:bidi="tr-TR"/>
        </w:rPr>
      </w:pPr>
      <w:bookmarkStart w:id="104" w:name="_Hlk192673159"/>
      <w:r w:rsidRPr="00F50C10">
        <w:rPr>
          <w:rFonts w:eastAsia="Times New Roman" w:cs="Times New Roman"/>
          <w:bCs/>
          <w:szCs w:val="24"/>
          <w:lang w:val="tr-TR" w:eastAsia="tr-TR" w:bidi="tr-TR"/>
        </w:rPr>
        <w:t>(Detaylı bilgi için Polimer Üretimi İçin MET Referans Belgesinin 12.1.10 Kısmına bakınız.)</w:t>
      </w:r>
    </w:p>
    <w:bookmarkEnd w:id="104"/>
    <w:p w14:paraId="0F78902D" w14:textId="03CB049C" w:rsidR="00172694" w:rsidRPr="00F50C10" w:rsidRDefault="00C77D8A" w:rsidP="000B206D">
      <w:pPr>
        <w:widowControl w:val="0"/>
        <w:autoSpaceDE w:val="0"/>
        <w:autoSpaceDN w:val="0"/>
        <w:adjustRightInd w:val="0"/>
        <w:spacing w:after="120" w:line="276" w:lineRule="auto"/>
        <w:rPr>
          <w:rFonts w:eastAsia="Times New Roman" w:cs="Times New Roman"/>
          <w:bCs/>
          <w:szCs w:val="24"/>
          <w:lang w:val="tr-TR" w:eastAsia="tr-TR"/>
        </w:rPr>
      </w:pPr>
      <w:r w:rsidRPr="00F50C10">
        <w:rPr>
          <w:rFonts w:eastAsia="Times New Roman" w:cs="Times New Roman"/>
          <w:bCs/>
          <w:szCs w:val="24"/>
          <w:lang w:val="tr-TR" w:eastAsia="tr-TR" w:bidi="tr-TR"/>
        </w:rPr>
        <w:t>Reaktörlerden gelen kesikli emisyonların tutuşturulması, yalnızca bu emisyonların prosese geri dönüştürülmesi veya yakıt olarak kullanılmasının mümkün olmadığı durumlarda (yukarıdaki MET 7’ye göz atın) MET olarak kabul edilir.</w:t>
      </w:r>
      <w:r w:rsidR="00172694" w:rsidRPr="00F50C10">
        <w:rPr>
          <w:rFonts w:eastAsia="Times New Roman" w:cs="Times New Roman"/>
          <w:b/>
          <w:szCs w:val="24"/>
          <w:lang w:val="tr-TR" w:eastAsia="tr-TR" w:bidi="tr-TR"/>
        </w:rPr>
        <w:t xml:space="preserve">MET 13: </w:t>
      </w:r>
      <w:r w:rsidR="00172694" w:rsidRPr="00F50C10">
        <w:rPr>
          <w:rFonts w:eastAsia="Times New Roman" w:cs="Times New Roman"/>
          <w:bCs/>
          <w:szCs w:val="24"/>
          <w:lang w:val="tr-TR" w:eastAsia="tr-TR" w:bidi="tr-TR"/>
        </w:rPr>
        <w:t>Mümkün olduğu ölçüde kojenerasyon tesislerinden gelen güç ve buhar kullanılır.</w:t>
      </w:r>
    </w:p>
    <w:p w14:paraId="1F3FBCA8" w14:textId="49A97E1E" w:rsidR="00172694" w:rsidRPr="00F50C10" w:rsidRDefault="00172694" w:rsidP="000B206D">
      <w:pPr>
        <w:widowControl w:val="0"/>
        <w:autoSpaceDE w:val="0"/>
        <w:autoSpaceDN w:val="0"/>
        <w:adjustRightInd w:val="0"/>
        <w:spacing w:after="120" w:line="276" w:lineRule="auto"/>
        <w:rPr>
          <w:rFonts w:eastAsia="Times New Roman" w:cs="Times New Roman"/>
          <w:szCs w:val="24"/>
          <w:lang w:val="tr-TR" w:eastAsia="tr-TR" w:bidi="tr-TR"/>
        </w:rPr>
      </w:pPr>
      <w:r w:rsidRPr="00F50C10">
        <w:rPr>
          <w:rFonts w:eastAsia="Times New Roman" w:cs="Times New Roman"/>
          <w:szCs w:val="24"/>
          <w:lang w:val="tr-TR" w:eastAsia="tr-TR" w:bidi="tr-TR"/>
        </w:rPr>
        <w:t>Kojenerasyon normalde tesis üretilen buhar</w:t>
      </w:r>
      <w:r w:rsidR="00CC700A" w:rsidRPr="00F50C10">
        <w:rPr>
          <w:rFonts w:eastAsia="Times New Roman" w:cs="Times New Roman"/>
          <w:szCs w:val="24"/>
          <w:lang w:val="tr-TR" w:eastAsia="tr-TR" w:bidi="tr-TR"/>
        </w:rPr>
        <w:t>ı</w:t>
      </w:r>
      <w:r w:rsidRPr="00F50C10">
        <w:rPr>
          <w:rFonts w:eastAsia="Times New Roman" w:cs="Times New Roman"/>
          <w:szCs w:val="24"/>
          <w:lang w:val="tr-TR" w:eastAsia="tr-TR" w:bidi="tr-TR"/>
        </w:rPr>
        <w:t xml:space="preserve"> kullandığında veya üretilen buhar için bir çıkışın mevcut olduğu durumlarda kurulur. Üretilen elektrik tesis tarafından kullanılabilir veya ihraç edilebilir.</w:t>
      </w:r>
    </w:p>
    <w:p w14:paraId="6B35363F" w14:textId="1E7C756B" w:rsidR="00172694" w:rsidRPr="00F50C10" w:rsidRDefault="00C77D8A" w:rsidP="000B206D">
      <w:pPr>
        <w:widowControl w:val="0"/>
        <w:autoSpaceDE w:val="0"/>
        <w:autoSpaceDN w:val="0"/>
        <w:adjustRightInd w:val="0"/>
        <w:spacing w:after="120" w:line="276" w:lineRule="auto"/>
        <w:rPr>
          <w:rFonts w:eastAsia="Times New Roman" w:cs="Times New Roman"/>
          <w:bCs/>
          <w:szCs w:val="24"/>
          <w:lang w:val="tr-TR" w:eastAsia="tr-TR" w:bidi="tr-TR"/>
        </w:rPr>
      </w:pPr>
      <w:r w:rsidRPr="00F50C10">
        <w:rPr>
          <w:rFonts w:eastAsia="Times New Roman" w:cs="Times New Roman"/>
          <w:bCs/>
          <w:szCs w:val="24"/>
          <w:lang w:val="tr-TR" w:eastAsia="tr-TR" w:bidi="tr-TR"/>
        </w:rPr>
        <w:t>(Detaylı bilgi için Polimer Üretimi İçin MET Referans Belgesinin 12.1.11 Kısmına bakınız.)</w:t>
      </w:r>
      <w:r w:rsidR="00172694" w:rsidRPr="00F50C10">
        <w:rPr>
          <w:rFonts w:eastAsia="Times New Roman" w:cs="Times New Roman"/>
          <w:b/>
          <w:szCs w:val="24"/>
          <w:lang w:val="tr-TR" w:eastAsia="tr-TR" w:bidi="tr-TR"/>
        </w:rPr>
        <w:t xml:space="preserve">MET 14: </w:t>
      </w:r>
      <w:r w:rsidR="00172694" w:rsidRPr="00F50C10">
        <w:rPr>
          <w:rFonts w:eastAsia="Times New Roman" w:cs="Times New Roman"/>
          <w:bCs/>
          <w:szCs w:val="24"/>
          <w:lang w:val="tr-TR" w:eastAsia="tr-TR" w:bidi="tr-TR"/>
        </w:rPr>
        <w:t>Düşük basınçlı buharın iç veya dış tüketicilerinin mevcut olduğu tesislerde veya proseslerde reaksiyon ısısı düşük basınçlı buhar üretimiyle geri kazanıl</w:t>
      </w:r>
      <w:r w:rsidR="00CC700A" w:rsidRPr="00F50C10">
        <w:rPr>
          <w:rFonts w:eastAsia="Times New Roman" w:cs="Times New Roman"/>
          <w:bCs/>
          <w:szCs w:val="24"/>
          <w:lang w:val="tr-TR" w:eastAsia="tr-TR" w:bidi="tr-TR"/>
        </w:rPr>
        <w:t>ı</w:t>
      </w:r>
      <w:r w:rsidR="00172694" w:rsidRPr="00F50C10">
        <w:rPr>
          <w:rFonts w:eastAsia="Times New Roman" w:cs="Times New Roman"/>
          <w:bCs/>
          <w:szCs w:val="24"/>
          <w:lang w:val="tr-TR" w:eastAsia="tr-TR" w:bidi="tr-TR"/>
        </w:rPr>
        <w:t>r.</w:t>
      </w:r>
    </w:p>
    <w:p w14:paraId="54BB33C6" w14:textId="57B6180B" w:rsidR="00C77D8A" w:rsidRPr="00F50C10" w:rsidRDefault="00C77D8A" w:rsidP="000B206D">
      <w:pPr>
        <w:widowControl w:val="0"/>
        <w:autoSpaceDE w:val="0"/>
        <w:autoSpaceDN w:val="0"/>
        <w:adjustRightInd w:val="0"/>
        <w:spacing w:after="120" w:line="276" w:lineRule="auto"/>
        <w:rPr>
          <w:rFonts w:eastAsia="Times New Roman" w:cs="Times New Roman"/>
          <w:bCs/>
          <w:szCs w:val="24"/>
          <w:lang w:val="tr-TR" w:eastAsia="tr-TR" w:bidi="tr-TR"/>
        </w:rPr>
      </w:pPr>
      <w:r w:rsidRPr="00F50C10">
        <w:rPr>
          <w:rFonts w:eastAsia="Times New Roman" w:cs="Times New Roman"/>
          <w:bCs/>
          <w:szCs w:val="24"/>
          <w:lang w:val="tr-TR" w:eastAsia="tr-TR" w:bidi="tr-TR"/>
        </w:rPr>
        <w:t>(Detaylı bilgi için Polimer Üretimi İçin MET Referans Belgesinin 12.1.12 Kısmına bakınız.)</w:t>
      </w:r>
      <w:r w:rsidR="00172694" w:rsidRPr="00F50C10">
        <w:rPr>
          <w:rFonts w:eastAsia="Times New Roman" w:cs="Times New Roman"/>
          <w:b/>
          <w:szCs w:val="24"/>
          <w:lang w:val="tr-TR" w:eastAsia="tr-TR" w:bidi="tr-TR"/>
        </w:rPr>
        <w:t xml:space="preserve">MET 15: </w:t>
      </w:r>
      <w:r w:rsidR="00172694" w:rsidRPr="00F50C10">
        <w:rPr>
          <w:rFonts w:eastAsia="Times New Roman" w:cs="Times New Roman"/>
          <w:bCs/>
          <w:szCs w:val="24"/>
          <w:lang w:val="tr-TR" w:eastAsia="tr-TR" w:bidi="tr-TR"/>
        </w:rPr>
        <w:t>Polimer fabrikasından gelen potansiyel atı</w:t>
      </w:r>
      <w:r w:rsidR="00CC700A" w:rsidRPr="00F50C10">
        <w:rPr>
          <w:rFonts w:eastAsia="Times New Roman" w:cs="Times New Roman"/>
          <w:bCs/>
          <w:szCs w:val="24"/>
          <w:lang w:val="tr-TR" w:eastAsia="tr-TR" w:bidi="tr-TR"/>
        </w:rPr>
        <w:t>k</w:t>
      </w:r>
      <w:r w:rsidRPr="00F50C10">
        <w:rPr>
          <w:rFonts w:eastAsia="Times New Roman" w:cs="Times New Roman"/>
          <w:bCs/>
          <w:szCs w:val="24"/>
          <w:lang w:val="tr-TR" w:eastAsia="tr-TR" w:bidi="tr-TR"/>
        </w:rPr>
        <w:t xml:space="preserve"> </w:t>
      </w:r>
      <w:r w:rsidR="00172694" w:rsidRPr="00F50C10">
        <w:rPr>
          <w:rFonts w:eastAsia="Times New Roman" w:cs="Times New Roman"/>
          <w:bCs/>
          <w:szCs w:val="24"/>
          <w:lang w:val="tr-TR" w:eastAsia="tr-TR" w:bidi="tr-TR"/>
        </w:rPr>
        <w:t>yeniden kullanılır</w:t>
      </w:r>
      <w:r w:rsidRPr="00F50C10">
        <w:rPr>
          <w:rFonts w:eastAsia="Times New Roman" w:cs="Times New Roman"/>
          <w:bCs/>
          <w:szCs w:val="24"/>
          <w:lang w:val="tr-TR" w:eastAsia="tr-TR" w:bidi="tr-TR"/>
        </w:rPr>
        <w:t>.</w:t>
      </w:r>
    </w:p>
    <w:p w14:paraId="17033D65" w14:textId="4D746D79" w:rsidR="00172694" w:rsidRPr="00F50C10" w:rsidRDefault="00C77D8A" w:rsidP="000B206D">
      <w:pPr>
        <w:widowControl w:val="0"/>
        <w:autoSpaceDE w:val="0"/>
        <w:autoSpaceDN w:val="0"/>
        <w:adjustRightInd w:val="0"/>
        <w:spacing w:after="120" w:line="276" w:lineRule="auto"/>
        <w:rPr>
          <w:rFonts w:eastAsia="Times New Roman" w:cs="Times New Roman"/>
          <w:bCs/>
          <w:szCs w:val="24"/>
          <w:lang w:val="tr-TR" w:eastAsia="tr-TR" w:bidi="tr-TR"/>
        </w:rPr>
      </w:pPr>
      <w:r w:rsidRPr="00F50C10">
        <w:rPr>
          <w:rFonts w:eastAsia="Times New Roman" w:cs="Times New Roman"/>
          <w:bCs/>
          <w:szCs w:val="24"/>
          <w:lang w:val="tr-TR" w:eastAsia="tr-TR" w:bidi="tr-TR"/>
        </w:rPr>
        <w:t>(Detaylı bilgi için Polimer Üretimi İçin MET Referans Belgesinin 12.1.15 Kısmına bakınız.)</w:t>
      </w:r>
      <w:r w:rsidR="00172694" w:rsidRPr="00F50C10">
        <w:rPr>
          <w:rFonts w:eastAsia="Times New Roman" w:cs="Times New Roman"/>
          <w:b/>
          <w:szCs w:val="24"/>
          <w:lang w:val="tr-TR" w:eastAsia="tr-TR" w:bidi="tr-TR"/>
        </w:rPr>
        <w:t xml:space="preserve">MET 16: </w:t>
      </w:r>
      <w:r w:rsidR="00172694" w:rsidRPr="00F50C10">
        <w:rPr>
          <w:rFonts w:eastAsia="Times New Roman" w:cs="Times New Roman"/>
          <w:bCs/>
          <w:szCs w:val="24"/>
          <w:lang w:val="tr-TR" w:eastAsia="tr-TR" w:bidi="tr-TR"/>
        </w:rPr>
        <w:t>Sıvı hammadde ve ürünlere sahip çok ürünlü tesislerde pig sistemleri kullanılır.</w:t>
      </w:r>
    </w:p>
    <w:p w14:paraId="647CD1A0" w14:textId="6EB52169" w:rsidR="00C77D8A" w:rsidRPr="00F50C10" w:rsidRDefault="00C77D8A" w:rsidP="000B206D">
      <w:pPr>
        <w:widowControl w:val="0"/>
        <w:autoSpaceDE w:val="0"/>
        <w:autoSpaceDN w:val="0"/>
        <w:adjustRightInd w:val="0"/>
        <w:spacing w:after="120" w:line="276" w:lineRule="auto"/>
        <w:rPr>
          <w:rFonts w:eastAsia="Times New Roman" w:cs="Times New Roman"/>
          <w:bCs/>
          <w:szCs w:val="24"/>
          <w:lang w:val="tr-TR" w:eastAsia="tr-TR" w:bidi="tr-TR"/>
        </w:rPr>
      </w:pPr>
      <w:r w:rsidRPr="00F50C10">
        <w:rPr>
          <w:rFonts w:eastAsia="Times New Roman" w:cs="Times New Roman"/>
          <w:bCs/>
          <w:szCs w:val="24"/>
          <w:lang w:val="tr-TR" w:eastAsia="tr-TR" w:bidi="tr-TR"/>
        </w:rPr>
        <w:t>(Detaylı bilgi için Polimer Üretimi İçin MET Referans Belgesinin 12.1.16 Kısmına bakınız.)</w:t>
      </w:r>
    </w:p>
    <w:p w14:paraId="0E787C8B" w14:textId="14719564" w:rsidR="00172694" w:rsidRPr="00F50C10" w:rsidRDefault="00172694" w:rsidP="000B206D">
      <w:pPr>
        <w:widowControl w:val="0"/>
        <w:autoSpaceDE w:val="0"/>
        <w:autoSpaceDN w:val="0"/>
        <w:adjustRightInd w:val="0"/>
        <w:spacing w:after="120" w:line="276" w:lineRule="auto"/>
        <w:rPr>
          <w:rFonts w:eastAsia="Times New Roman" w:cs="Times New Roman"/>
          <w:b/>
          <w:bCs/>
          <w:szCs w:val="24"/>
          <w:lang w:val="tr-TR" w:eastAsia="tr-TR"/>
        </w:rPr>
      </w:pPr>
      <w:r w:rsidRPr="00F50C10">
        <w:rPr>
          <w:rFonts w:eastAsia="Times New Roman" w:cs="Times New Roman"/>
          <w:b/>
          <w:szCs w:val="24"/>
          <w:lang w:val="tr-TR" w:eastAsia="tr-TR" w:bidi="tr-TR"/>
        </w:rPr>
        <w:t xml:space="preserve">MET 17: </w:t>
      </w:r>
      <w:r w:rsidRPr="00F50C10">
        <w:rPr>
          <w:rFonts w:eastAsia="Times New Roman" w:cs="Times New Roman"/>
          <w:bCs/>
          <w:szCs w:val="24"/>
          <w:lang w:val="tr-TR" w:eastAsia="tr-TR" w:bidi="tr-TR"/>
        </w:rPr>
        <w:t>Atık su kalitesinde istikrarı sağlamak üzere, atık su arıtma tesisi membasında atık su için tampon kullan</w:t>
      </w:r>
      <w:r w:rsidR="004479F4" w:rsidRPr="00F50C10">
        <w:rPr>
          <w:rFonts w:eastAsia="Times New Roman" w:cs="Times New Roman"/>
          <w:bCs/>
          <w:szCs w:val="24"/>
          <w:lang w:val="tr-TR" w:eastAsia="tr-TR" w:bidi="tr-TR"/>
        </w:rPr>
        <w:t>ıl</w:t>
      </w:r>
      <w:r w:rsidRPr="00F50C10">
        <w:rPr>
          <w:rFonts w:eastAsia="Times New Roman" w:cs="Times New Roman"/>
          <w:bCs/>
          <w:szCs w:val="24"/>
          <w:lang w:val="tr-TR" w:eastAsia="tr-TR" w:bidi="tr-TR"/>
        </w:rPr>
        <w:t>ır.</w:t>
      </w:r>
      <w:r w:rsidRPr="00F50C10">
        <w:rPr>
          <w:rFonts w:eastAsia="Times New Roman" w:cs="Times New Roman"/>
          <w:b/>
          <w:szCs w:val="24"/>
          <w:lang w:val="tr-TR" w:eastAsia="tr-TR" w:bidi="tr-TR"/>
        </w:rPr>
        <w:t xml:space="preserve"> </w:t>
      </w:r>
    </w:p>
    <w:p w14:paraId="3F4E8716" w14:textId="35CFB1DB" w:rsidR="00172694" w:rsidRPr="00F50C10" w:rsidRDefault="00172694" w:rsidP="000B206D">
      <w:pPr>
        <w:widowControl w:val="0"/>
        <w:autoSpaceDE w:val="0"/>
        <w:autoSpaceDN w:val="0"/>
        <w:adjustRightInd w:val="0"/>
        <w:spacing w:after="120" w:line="276" w:lineRule="auto"/>
        <w:rPr>
          <w:rFonts w:eastAsia="Times New Roman" w:cs="Times New Roman"/>
          <w:szCs w:val="24"/>
          <w:lang w:val="tr-TR" w:eastAsia="tr-TR"/>
        </w:rPr>
      </w:pPr>
      <w:r w:rsidRPr="00F50C10">
        <w:rPr>
          <w:rFonts w:eastAsia="Times New Roman" w:cs="Times New Roman"/>
          <w:szCs w:val="24"/>
          <w:lang w:val="tr-TR" w:eastAsia="tr-TR" w:bidi="tr-TR"/>
        </w:rPr>
        <w:t>Bu, polivinil klorür (PVC) ve emülsiyonla polimerize edilmiş stiren bütadien kauçuk (ESBR) gibi tüm atık su üreten prosesler için geçerlidir.</w:t>
      </w:r>
      <w:r w:rsidRPr="00F50C10">
        <w:rPr>
          <w:rFonts w:eastAsia="Times New Roman" w:cs="Times New Roman"/>
          <w:szCs w:val="24"/>
          <w:lang w:val="tr-TR" w:eastAsia="tr-TR"/>
        </w:rPr>
        <w:t xml:space="preserve"> </w:t>
      </w:r>
    </w:p>
    <w:p w14:paraId="7BE6EA02" w14:textId="3E9B5E67" w:rsidR="00C77D8A" w:rsidRPr="00F50C10" w:rsidRDefault="00C77D8A" w:rsidP="000B206D">
      <w:pPr>
        <w:widowControl w:val="0"/>
        <w:autoSpaceDE w:val="0"/>
        <w:autoSpaceDN w:val="0"/>
        <w:adjustRightInd w:val="0"/>
        <w:spacing w:after="120" w:line="276" w:lineRule="auto"/>
        <w:rPr>
          <w:rFonts w:eastAsia="Times New Roman" w:cs="Times New Roman"/>
          <w:szCs w:val="24"/>
          <w:lang w:val="tr-TR" w:eastAsia="tr-TR"/>
        </w:rPr>
      </w:pPr>
      <w:r w:rsidRPr="00F50C10">
        <w:rPr>
          <w:rFonts w:eastAsia="Times New Roman" w:cs="Times New Roman"/>
          <w:bCs/>
          <w:szCs w:val="24"/>
          <w:lang w:val="tr-TR" w:eastAsia="tr-TR" w:bidi="tr-TR"/>
        </w:rPr>
        <w:t>(Detaylı bilgi için Polimer Üretimi İçin MET Referans Belgesinin 12.1.17 Kısmına bakınız.)</w:t>
      </w:r>
    </w:p>
    <w:p w14:paraId="42A11F60" w14:textId="6AAA24B7" w:rsidR="00172694" w:rsidRPr="00F50C10" w:rsidRDefault="00172694" w:rsidP="000B206D">
      <w:pPr>
        <w:widowControl w:val="0"/>
        <w:autoSpaceDE w:val="0"/>
        <w:autoSpaceDN w:val="0"/>
        <w:adjustRightInd w:val="0"/>
        <w:spacing w:after="120" w:line="276" w:lineRule="auto"/>
        <w:rPr>
          <w:rFonts w:eastAsia="Times New Roman" w:cs="Times New Roman"/>
          <w:b/>
          <w:szCs w:val="24"/>
          <w:lang w:val="tr-TR" w:eastAsia="tr-TR"/>
        </w:rPr>
      </w:pPr>
      <w:r w:rsidRPr="00F50C10">
        <w:rPr>
          <w:rFonts w:eastAsia="Times New Roman" w:cs="Times New Roman"/>
          <w:b/>
          <w:szCs w:val="24"/>
          <w:lang w:val="tr-TR" w:eastAsia="tr-TR" w:bidi="tr-TR"/>
        </w:rPr>
        <w:t xml:space="preserve">MET 18: </w:t>
      </w:r>
      <w:r w:rsidRPr="00F50C10">
        <w:rPr>
          <w:rFonts w:eastAsia="Times New Roman" w:cs="Times New Roman"/>
          <w:bCs/>
          <w:szCs w:val="24"/>
          <w:lang w:val="tr-TR" w:eastAsia="tr-TR" w:bidi="tr-TR"/>
        </w:rPr>
        <w:t>Atık su verimli bir şekilde arıtılır</w:t>
      </w:r>
      <w:r w:rsidR="004479F4" w:rsidRPr="00F50C10">
        <w:rPr>
          <w:rFonts w:eastAsia="Times New Roman" w:cs="Times New Roman"/>
          <w:bCs/>
          <w:szCs w:val="24"/>
          <w:lang w:val="tr-TR" w:eastAsia="tr-TR" w:bidi="tr-TR"/>
        </w:rPr>
        <w:t>.</w:t>
      </w:r>
    </w:p>
    <w:p w14:paraId="6145C496" w14:textId="698170E7" w:rsidR="00172694" w:rsidRPr="00F50C10" w:rsidRDefault="00172694" w:rsidP="000B206D">
      <w:pPr>
        <w:widowControl w:val="0"/>
        <w:autoSpaceDE w:val="0"/>
        <w:autoSpaceDN w:val="0"/>
        <w:adjustRightInd w:val="0"/>
        <w:spacing w:after="120" w:line="276" w:lineRule="auto"/>
        <w:rPr>
          <w:rFonts w:eastAsia="Times New Roman" w:cs="Times New Roman"/>
          <w:szCs w:val="24"/>
          <w:lang w:val="tr-TR" w:eastAsia="tr-TR" w:bidi="tr-TR"/>
        </w:rPr>
      </w:pPr>
      <w:r w:rsidRPr="00F50C10">
        <w:rPr>
          <w:rFonts w:eastAsia="Times New Roman" w:cs="Times New Roman"/>
          <w:szCs w:val="24"/>
          <w:lang w:val="tr-TR" w:eastAsia="tr-TR" w:bidi="tr-TR"/>
        </w:rPr>
        <w:t>Atık su arıtımı, merkezi bir tesiste veya özel bir faaliyete ayrılmış bir tesiste gerçekleştirilebilir. Atık su kalitesine göre, ek olarak özel ön arıtma gerekebilir. Atık su arıtımı, merkezi bir tesiste veya özel bir faaliyete ayrılmış bir tesiste gerçekleştirilebilir.</w:t>
      </w:r>
    </w:p>
    <w:p w14:paraId="25D545CE" w14:textId="21D633B4" w:rsidR="00C77D8A" w:rsidRPr="00F50C10" w:rsidRDefault="00C77D8A" w:rsidP="000B206D">
      <w:pPr>
        <w:widowControl w:val="0"/>
        <w:autoSpaceDE w:val="0"/>
        <w:autoSpaceDN w:val="0"/>
        <w:adjustRightInd w:val="0"/>
        <w:spacing w:after="120" w:line="276" w:lineRule="auto"/>
        <w:rPr>
          <w:rFonts w:eastAsia="Times New Roman" w:cs="Times New Roman"/>
          <w:szCs w:val="24"/>
          <w:lang w:val="tr-TR" w:eastAsia="tr-TR" w:bidi="tr-TR"/>
        </w:rPr>
      </w:pPr>
      <w:r w:rsidRPr="00F50C10">
        <w:rPr>
          <w:rFonts w:eastAsia="Times New Roman" w:cs="Times New Roman"/>
          <w:bCs/>
          <w:szCs w:val="24"/>
          <w:lang w:val="tr-TR" w:eastAsia="tr-TR" w:bidi="tr-TR"/>
        </w:rPr>
        <w:t>(Detaylı bilgi için Polimer Üretimi İçin MET Referans Belgesinin 12.1.18 Kısmına bakınız.)</w:t>
      </w:r>
    </w:p>
    <w:p w14:paraId="4C939884" w14:textId="192B3A37" w:rsidR="00172694" w:rsidRPr="00F50C10" w:rsidRDefault="00172694" w:rsidP="000B206D">
      <w:pPr>
        <w:keepNext/>
        <w:keepLines/>
        <w:widowControl w:val="0"/>
        <w:numPr>
          <w:ilvl w:val="0"/>
          <w:numId w:val="19"/>
        </w:numPr>
        <w:autoSpaceDE w:val="0"/>
        <w:autoSpaceDN w:val="0"/>
        <w:adjustRightInd w:val="0"/>
        <w:spacing w:after="120" w:line="276" w:lineRule="auto"/>
        <w:jc w:val="left"/>
        <w:outlineLvl w:val="0"/>
        <w:rPr>
          <w:rFonts w:eastAsiaTheme="majorEastAsia" w:cs="Times New Roman"/>
          <w:b/>
          <w:szCs w:val="24"/>
          <w:lang w:val="tr-TR" w:eastAsia="tr-TR"/>
        </w:rPr>
      </w:pPr>
      <w:bookmarkStart w:id="105" w:name="_Toc133322019"/>
      <w:r w:rsidRPr="00F50C10">
        <w:rPr>
          <w:rFonts w:eastAsiaTheme="majorEastAsia" w:cs="Times New Roman"/>
          <w:b/>
          <w:szCs w:val="24"/>
          <w:lang w:val="tr-TR" w:eastAsia="tr-TR"/>
        </w:rPr>
        <w:t>POLİMER ÜRETİMİ İÇİN MET</w:t>
      </w:r>
      <w:bookmarkEnd w:id="105"/>
    </w:p>
    <w:p w14:paraId="554EDA9E" w14:textId="4CF92704" w:rsidR="00172694" w:rsidRPr="00F50C10" w:rsidRDefault="00172694" w:rsidP="000B206D">
      <w:pPr>
        <w:widowControl w:val="0"/>
        <w:autoSpaceDE w:val="0"/>
        <w:autoSpaceDN w:val="0"/>
        <w:adjustRightInd w:val="0"/>
        <w:spacing w:after="120" w:line="276" w:lineRule="auto"/>
        <w:rPr>
          <w:rFonts w:eastAsia="Times New Roman" w:cs="Times New Roman"/>
          <w:szCs w:val="24"/>
          <w:lang w:val="tr-TR" w:eastAsia="tr-TR"/>
        </w:rPr>
      </w:pPr>
      <w:bookmarkStart w:id="106" w:name="_Toc127181437"/>
      <w:r w:rsidRPr="00F50C10">
        <w:rPr>
          <w:rFonts w:eastAsia="Times New Roman" w:cs="Times New Roman"/>
          <w:szCs w:val="24"/>
          <w:lang w:val="tr-TR" w:eastAsia="tr-TR"/>
        </w:rPr>
        <w:t xml:space="preserve">Aksi belirtilmedikçe, bu bölümde sunulan </w:t>
      </w:r>
      <w:r w:rsidR="00F05BC9" w:rsidRPr="00F50C10">
        <w:rPr>
          <w:rFonts w:eastAsia="Times New Roman" w:cs="Times New Roman"/>
          <w:szCs w:val="24"/>
          <w:lang w:val="tr-TR" w:eastAsia="tr-TR"/>
        </w:rPr>
        <w:t>MET</w:t>
      </w:r>
      <w:r w:rsidRPr="00F50C10">
        <w:rPr>
          <w:rFonts w:eastAsia="Times New Roman" w:cs="Times New Roman"/>
          <w:szCs w:val="24"/>
          <w:lang w:val="tr-TR" w:eastAsia="tr-TR"/>
        </w:rPr>
        <w:t xml:space="preserve"> polimer sektöründe aşağıda belirtilen ürün gruplarına uygulanabilir.</w:t>
      </w:r>
    </w:p>
    <w:p w14:paraId="4D25B0FF" w14:textId="77777777" w:rsidR="00172694" w:rsidRPr="00F50C10" w:rsidRDefault="00172694" w:rsidP="000B206D">
      <w:pPr>
        <w:widowControl w:val="0"/>
        <w:numPr>
          <w:ilvl w:val="1"/>
          <w:numId w:val="19"/>
        </w:numPr>
        <w:autoSpaceDE w:val="0"/>
        <w:autoSpaceDN w:val="0"/>
        <w:adjustRightInd w:val="0"/>
        <w:spacing w:after="120" w:line="276" w:lineRule="auto"/>
        <w:jc w:val="left"/>
        <w:outlineLvl w:val="1"/>
        <w:rPr>
          <w:rFonts w:eastAsia="Arial" w:cs="Times New Roman"/>
          <w:b/>
          <w:bCs/>
          <w:szCs w:val="24"/>
          <w:lang w:val="tr-TR" w:bidi="tr-TR"/>
        </w:rPr>
      </w:pPr>
      <w:r w:rsidRPr="00F50C10">
        <w:rPr>
          <w:rFonts w:eastAsia="Arial" w:cs="Times New Roman"/>
          <w:b/>
          <w:bCs/>
          <w:szCs w:val="24"/>
          <w:lang w:val="tr-TR" w:bidi="tr-TR"/>
        </w:rPr>
        <w:t>Poliolefinlerin üretimi için MET</w:t>
      </w:r>
      <w:bookmarkEnd w:id="106"/>
    </w:p>
    <w:p w14:paraId="3A03F90F" w14:textId="01B63009" w:rsidR="00172694" w:rsidRPr="00F50C10" w:rsidRDefault="00172694" w:rsidP="000B206D">
      <w:pPr>
        <w:widowControl w:val="0"/>
        <w:autoSpaceDE w:val="0"/>
        <w:autoSpaceDN w:val="0"/>
        <w:adjustRightInd w:val="0"/>
        <w:spacing w:after="120" w:line="276" w:lineRule="auto"/>
        <w:rPr>
          <w:rFonts w:eastAsia="Times New Roman" w:cs="Times New Roman"/>
          <w:b/>
          <w:szCs w:val="24"/>
          <w:lang w:val="tr-TR" w:eastAsia="tr-TR" w:bidi="tr-TR"/>
        </w:rPr>
      </w:pPr>
      <w:r w:rsidRPr="00F50C10">
        <w:rPr>
          <w:rFonts w:eastAsia="Times New Roman" w:cs="Times New Roman"/>
          <w:b/>
          <w:szCs w:val="24"/>
          <w:lang w:val="tr-TR" w:eastAsia="tr-TR" w:bidi="tr-TR"/>
        </w:rPr>
        <w:t xml:space="preserve">MET 1: </w:t>
      </w:r>
      <w:r w:rsidRPr="00F50C10">
        <w:rPr>
          <w:rFonts w:eastAsia="Times New Roman" w:cs="Times New Roman"/>
          <w:bCs/>
          <w:szCs w:val="24"/>
          <w:lang w:val="tr-TR" w:eastAsia="tr-TR" w:bidi="tr-TR"/>
        </w:rPr>
        <w:t>Alçak yoğunluklu polietilen (LDPE) proseslerinde pistonlu kompresörlerden monomerler aşağıdaki amaçlarla geri kazanılır:</w:t>
      </w:r>
    </w:p>
    <w:p w14:paraId="457686CC" w14:textId="73BCF106" w:rsidR="00172694" w:rsidRPr="00F50C10" w:rsidRDefault="004479F4" w:rsidP="000B206D">
      <w:pPr>
        <w:widowControl w:val="0"/>
        <w:numPr>
          <w:ilvl w:val="0"/>
          <w:numId w:val="26"/>
        </w:numPr>
        <w:autoSpaceDE w:val="0"/>
        <w:autoSpaceDN w:val="0"/>
        <w:adjustRightInd w:val="0"/>
        <w:spacing w:after="120" w:line="276" w:lineRule="auto"/>
        <w:jc w:val="left"/>
        <w:rPr>
          <w:rFonts w:eastAsia="Times New Roman" w:cs="Times New Roman"/>
          <w:szCs w:val="24"/>
          <w:lang w:val="tr-TR" w:bidi="tr-TR"/>
        </w:rPr>
      </w:pPr>
      <w:r w:rsidRPr="00F50C10">
        <w:rPr>
          <w:rFonts w:eastAsia="Times New Roman" w:cs="Times New Roman"/>
          <w:szCs w:val="24"/>
          <w:lang w:val="tr-TR" w:bidi="tr-TR"/>
        </w:rPr>
        <w:t>y</w:t>
      </w:r>
      <w:r w:rsidR="00172694" w:rsidRPr="00F50C10">
        <w:rPr>
          <w:rFonts w:eastAsia="Times New Roman" w:cs="Times New Roman"/>
          <w:szCs w:val="24"/>
          <w:lang w:val="tr-TR" w:bidi="tr-TR"/>
        </w:rPr>
        <w:t>üksek basınçlı polietilen tesislerinde kullanılan çok aşamalı kompresörlerdeki dolgu kayıpları, toplama ve düşük basınçlı emme aşamasına geri dönüşüm yoluyla kontrol altına alınır.</w:t>
      </w:r>
    </w:p>
    <w:p w14:paraId="3A8692AD" w14:textId="2A2BB44C" w:rsidR="00135D82" w:rsidRPr="00F50C10" w:rsidRDefault="004479F4" w:rsidP="000B206D">
      <w:pPr>
        <w:widowControl w:val="0"/>
        <w:numPr>
          <w:ilvl w:val="0"/>
          <w:numId w:val="26"/>
        </w:numPr>
        <w:autoSpaceDE w:val="0"/>
        <w:autoSpaceDN w:val="0"/>
        <w:adjustRightInd w:val="0"/>
        <w:spacing w:after="120" w:line="276" w:lineRule="auto"/>
        <w:jc w:val="left"/>
        <w:rPr>
          <w:rFonts w:eastAsia="Times New Roman" w:cs="Times New Roman"/>
          <w:szCs w:val="24"/>
          <w:lang w:val="tr-TR" w:bidi="tr-TR"/>
        </w:rPr>
      </w:pPr>
      <w:r w:rsidRPr="00F50C10">
        <w:rPr>
          <w:rFonts w:eastAsia="Times New Roman" w:cs="Times New Roman"/>
          <w:szCs w:val="24"/>
          <w:lang w:val="tr-TR" w:bidi="tr-TR"/>
        </w:rPr>
        <w:t>d</w:t>
      </w:r>
      <w:r w:rsidR="00172694" w:rsidRPr="00F50C10">
        <w:rPr>
          <w:rFonts w:eastAsia="Times New Roman" w:cs="Times New Roman"/>
          <w:szCs w:val="24"/>
          <w:lang w:val="tr-TR" w:bidi="tr-TR"/>
        </w:rPr>
        <w:t>üşük basınçlı</w:t>
      </w:r>
      <w:r w:rsidR="00172694" w:rsidRPr="00F50C10">
        <w:rPr>
          <w:rFonts w:eastAsia="Times New Roman" w:cs="Times New Roman"/>
          <w:szCs w:val="24"/>
          <w:lang w:val="tr-TR"/>
        </w:rPr>
        <w:t xml:space="preserve"> kompresörden salınan monomerler toplanır ve termal oksitleyiciye veya tutuşturma sistemine gönderilir.</w:t>
      </w:r>
    </w:p>
    <w:p w14:paraId="45D67ED8" w14:textId="57D0234C" w:rsidR="00172694" w:rsidRPr="00F50C10" w:rsidRDefault="00135D82" w:rsidP="000B206D">
      <w:pPr>
        <w:widowControl w:val="0"/>
        <w:autoSpaceDE w:val="0"/>
        <w:autoSpaceDN w:val="0"/>
        <w:adjustRightInd w:val="0"/>
        <w:spacing w:after="120" w:line="276" w:lineRule="auto"/>
        <w:rPr>
          <w:rFonts w:eastAsia="Times New Roman" w:cs="Times New Roman"/>
          <w:bCs/>
          <w:szCs w:val="24"/>
          <w:lang w:val="tr-TR" w:eastAsia="tr-TR" w:bidi="tr-TR"/>
        </w:rPr>
      </w:pPr>
      <w:r w:rsidRPr="00F50C10">
        <w:rPr>
          <w:rFonts w:eastAsia="Times New Roman" w:cs="Times New Roman"/>
          <w:bCs/>
          <w:szCs w:val="24"/>
          <w:lang w:val="tr-TR" w:eastAsia="tr-TR" w:bidi="tr-TR"/>
        </w:rPr>
        <w:t>(Detaylı bilgi için Polimer Üretimi İçin MET Referans Belgesinin 12.2.1 Kısmına bakınız.)</w:t>
      </w:r>
      <w:r w:rsidR="00172694" w:rsidRPr="00F50C10">
        <w:rPr>
          <w:rFonts w:eastAsia="Times New Roman" w:cs="Times New Roman"/>
          <w:b/>
          <w:szCs w:val="24"/>
          <w:lang w:val="tr-TR" w:eastAsia="tr-TR" w:bidi="tr-TR"/>
        </w:rPr>
        <w:t xml:space="preserve">MET 2: </w:t>
      </w:r>
      <w:r w:rsidR="00172694" w:rsidRPr="00F50C10">
        <w:rPr>
          <w:rFonts w:eastAsia="Times New Roman" w:cs="Times New Roman"/>
          <w:bCs/>
          <w:szCs w:val="24"/>
          <w:lang w:val="tr-TR" w:eastAsia="tr-TR" w:bidi="tr-TR"/>
        </w:rPr>
        <w:t>Ekstrüzyon cihazlarından çıkan gazlar topla</w:t>
      </w:r>
      <w:r w:rsidR="004479F4" w:rsidRPr="00F50C10">
        <w:rPr>
          <w:rFonts w:eastAsia="Times New Roman" w:cs="Times New Roman"/>
          <w:bCs/>
          <w:szCs w:val="24"/>
          <w:lang w:val="tr-TR" w:eastAsia="tr-TR" w:bidi="tr-TR"/>
        </w:rPr>
        <w:t>n</w:t>
      </w:r>
      <w:r w:rsidR="00172694" w:rsidRPr="00F50C10">
        <w:rPr>
          <w:rFonts w:eastAsia="Times New Roman" w:cs="Times New Roman"/>
          <w:bCs/>
          <w:szCs w:val="24"/>
          <w:lang w:val="tr-TR" w:eastAsia="tr-TR" w:bidi="tr-TR"/>
        </w:rPr>
        <w:t xml:space="preserve">ıp termal oksitleme ünitesinde işlenir.  </w:t>
      </w:r>
    </w:p>
    <w:p w14:paraId="127AA0A2" w14:textId="77777777" w:rsidR="00135D82" w:rsidRPr="00F50C10" w:rsidRDefault="00135D82" w:rsidP="000B206D">
      <w:pPr>
        <w:widowControl w:val="0"/>
        <w:autoSpaceDE w:val="0"/>
        <w:autoSpaceDN w:val="0"/>
        <w:adjustRightInd w:val="0"/>
        <w:spacing w:after="120" w:line="276" w:lineRule="auto"/>
        <w:rPr>
          <w:rFonts w:eastAsia="Times New Roman" w:cs="Times New Roman"/>
          <w:szCs w:val="24"/>
          <w:lang w:val="tr-TR" w:bidi="tr-TR"/>
        </w:rPr>
      </w:pPr>
      <w:r w:rsidRPr="00F50C10">
        <w:rPr>
          <w:rFonts w:eastAsia="Times New Roman" w:cs="Times New Roman"/>
          <w:szCs w:val="24"/>
          <w:lang w:val="tr-TR" w:bidi="tr-TR"/>
        </w:rPr>
        <w:t>LDPE üretiminde ekstrüzyon bölümünden (ekstrüzyon arka salmastrası) çıkan gazlar UOB açısından zengindir. Ekstrüzyon bölümünden çıkan dumanların emilmesiyle monomer emisyonu azaltılır. Çıkarma verimliliği %90’ın üstündedir.</w:t>
      </w:r>
    </w:p>
    <w:p w14:paraId="50CCFE28" w14:textId="46030887" w:rsidR="00172694" w:rsidRPr="00F50C10" w:rsidRDefault="00135D82" w:rsidP="000B206D">
      <w:pPr>
        <w:widowControl w:val="0"/>
        <w:autoSpaceDE w:val="0"/>
        <w:autoSpaceDN w:val="0"/>
        <w:adjustRightInd w:val="0"/>
        <w:spacing w:after="12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(Detaylı bilgi için Polimer Üretimi İçin MET Referans Belgesinin 12.2.2 Kısmına bakınız.)</w:t>
      </w:r>
      <w:r w:rsidR="00172694" w:rsidRPr="00F50C10">
        <w:rPr>
          <w:rFonts w:eastAsia="Times New Roman" w:cs="Times New Roman"/>
          <w:b/>
          <w:szCs w:val="24"/>
          <w:lang w:val="tr-TR" w:eastAsia="tr-TR" w:bidi="tr-TR"/>
        </w:rPr>
        <w:t xml:space="preserve">MET </w:t>
      </w:r>
      <w:r w:rsidR="00C77D8A" w:rsidRPr="00F50C10">
        <w:rPr>
          <w:rFonts w:eastAsia="Times New Roman" w:cs="Times New Roman"/>
          <w:b/>
          <w:szCs w:val="24"/>
          <w:lang w:val="tr-TR" w:eastAsia="tr-TR" w:bidi="tr-TR"/>
        </w:rPr>
        <w:t>3</w:t>
      </w:r>
      <w:r w:rsidR="00172694" w:rsidRPr="00F50C10">
        <w:rPr>
          <w:rFonts w:eastAsia="Times New Roman" w:cs="Times New Roman"/>
          <w:b/>
          <w:szCs w:val="24"/>
          <w:lang w:val="tr-TR" w:eastAsia="tr-TR" w:bidi="tr-TR"/>
        </w:rPr>
        <w:t xml:space="preserve">: </w:t>
      </w:r>
      <w:r w:rsidR="00172694" w:rsidRPr="00F50C10">
        <w:rPr>
          <w:rFonts w:eastAsia="Times New Roman" w:cs="Times New Roman"/>
          <w:bCs/>
          <w:szCs w:val="24"/>
          <w:lang w:val="tr-TR" w:eastAsia="tr-TR" w:bidi="tr-TR"/>
        </w:rPr>
        <w:t>Bitirme ve depolama bölümlerinden kaynaklanan emisyonlar azalt</w:t>
      </w:r>
      <w:r w:rsidR="004479F4" w:rsidRPr="00F50C10">
        <w:rPr>
          <w:rFonts w:eastAsia="Times New Roman" w:cs="Times New Roman"/>
          <w:bCs/>
          <w:szCs w:val="24"/>
          <w:lang w:val="tr-TR" w:eastAsia="tr-TR" w:bidi="tr-TR"/>
        </w:rPr>
        <w:t>ılı</w:t>
      </w:r>
      <w:r w:rsidR="00172694" w:rsidRPr="00F50C10">
        <w:rPr>
          <w:rFonts w:eastAsia="Times New Roman" w:cs="Times New Roman"/>
          <w:bCs/>
          <w:szCs w:val="24"/>
          <w:lang w:val="tr-TR" w:eastAsia="tr-TR" w:bidi="tr-TR"/>
        </w:rPr>
        <w:t>r.</w:t>
      </w:r>
      <w:r w:rsidR="00172694" w:rsidRPr="00F50C10">
        <w:rPr>
          <w:rFonts w:eastAsia="Times New Roman" w:cs="Times New Roman"/>
          <w:b/>
          <w:szCs w:val="24"/>
          <w:lang w:val="tr-TR" w:eastAsia="tr-TR" w:bidi="tr-TR"/>
        </w:rPr>
        <w:t xml:space="preserve"> </w:t>
      </w:r>
    </w:p>
    <w:p w14:paraId="0A184D1D" w14:textId="612FC68F" w:rsidR="00135D82" w:rsidRPr="00F50C10" w:rsidRDefault="00135D82" w:rsidP="000B206D">
      <w:pPr>
        <w:widowControl w:val="0"/>
        <w:autoSpaceDE w:val="0"/>
        <w:autoSpaceDN w:val="0"/>
        <w:adjustRightInd w:val="0"/>
        <w:spacing w:after="12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(Detaylı bilgi için Polimer Üretimi İçin MET Referans Belgesinin 12.2.3 Kısmına bakınız.)</w:t>
      </w:r>
    </w:p>
    <w:p w14:paraId="633F2EA1" w14:textId="77777777" w:rsidR="00172694" w:rsidRPr="00F50C10" w:rsidRDefault="00172694" w:rsidP="000B206D">
      <w:pPr>
        <w:widowControl w:val="0"/>
        <w:autoSpaceDE w:val="0"/>
        <w:autoSpaceDN w:val="0"/>
        <w:adjustRightInd w:val="0"/>
        <w:spacing w:after="120" w:line="276" w:lineRule="auto"/>
        <w:rPr>
          <w:rFonts w:eastAsia="Times New Roman" w:cs="Times New Roman"/>
          <w:szCs w:val="24"/>
          <w:lang w:val="tr-TR" w:eastAsia="tr-TR"/>
        </w:rPr>
      </w:pPr>
      <w:r w:rsidRPr="00F50C10">
        <w:rPr>
          <w:rFonts w:eastAsia="Times New Roman" w:cs="Times New Roman"/>
          <w:szCs w:val="24"/>
          <w:lang w:val="tr-TR" w:eastAsia="tr-TR" w:bidi="tr-TR"/>
        </w:rPr>
        <w:t>Ekstrüzyon ve peletleme bölümlerinden gelen yeni peletlenmiş malzemede hala artık monomerler, komonomerler ve/veya çözücüler bulunur. Bu nedenle peletleme, sınıflandırma ve kurutma aşamalarında ve pelet depolamanın ilk adımı olan harmanlama silolarında, bu bileşenlerin emisyonları meydana gelebilir. Peletler bu silolara nispeten yüksek bir sıcaklıkta (40 ila 60 °C) girer, bu da potansiyel hidrokarbon bileşeni emisyonunu teşvik eder. Buradan kaynaklanan potansiyel emisyonlar; ekstrüzyon/depolama bölümüne giren polimerlerdeki hidrokarbon seviyesinin en aza indirilmesi, polimer ekstrüzyonu sırasında vakumlu buharsızlaştırma ve harmanlama silolarından gelen hava tahliyelerinin arıtma sonrası işlemiyle azaltılabilir.</w:t>
      </w:r>
    </w:p>
    <w:p w14:paraId="09ECB820" w14:textId="77777777" w:rsidR="00172694" w:rsidRPr="00F50C10" w:rsidRDefault="00172694" w:rsidP="000B206D">
      <w:pPr>
        <w:widowControl w:val="0"/>
        <w:autoSpaceDE w:val="0"/>
        <w:autoSpaceDN w:val="0"/>
        <w:adjustRightInd w:val="0"/>
        <w:spacing w:after="120" w:line="276" w:lineRule="auto"/>
        <w:rPr>
          <w:rFonts w:eastAsia="Times New Roman" w:cs="Times New Roman"/>
          <w:szCs w:val="24"/>
          <w:lang w:val="tr-TR" w:eastAsia="tr-TR"/>
        </w:rPr>
      </w:pPr>
      <w:r w:rsidRPr="00F50C10">
        <w:rPr>
          <w:rFonts w:eastAsia="Times New Roman" w:cs="Times New Roman"/>
          <w:szCs w:val="24"/>
          <w:lang w:val="tr-TR" w:eastAsia="tr-TR" w:bidi="tr-TR"/>
        </w:rPr>
        <w:t>Polietilen granüllerden kaynaklanan uçucu organik bileşikler (UOB) emisyonlarını azaltmak için aşağıdaki teknikler ve faktörler dikkate alınmalıdır:</w:t>
      </w:r>
    </w:p>
    <w:p w14:paraId="59604ABD" w14:textId="2C4C5F6C" w:rsidR="00172694" w:rsidRPr="00F50C10" w:rsidRDefault="00172694" w:rsidP="000B206D">
      <w:pPr>
        <w:widowControl w:val="0"/>
        <w:autoSpaceDE w:val="0"/>
        <w:autoSpaceDN w:val="0"/>
        <w:adjustRightInd w:val="0"/>
        <w:spacing w:after="120" w:line="276" w:lineRule="auto"/>
        <w:rPr>
          <w:rFonts w:eastAsia="Times New Roman" w:cs="Times New Roman"/>
          <w:szCs w:val="24"/>
          <w:lang w:val="tr-TR" w:eastAsia="tr-TR"/>
        </w:rPr>
      </w:pPr>
      <w:r w:rsidRPr="00F50C10">
        <w:rPr>
          <w:rFonts w:eastAsia="Times New Roman" w:cs="Times New Roman"/>
          <w:szCs w:val="24"/>
          <w:lang w:val="tr-TR" w:eastAsia="tr-TR" w:bidi="tr-TR"/>
        </w:rPr>
        <w:t>Polietilen prosesine bağlı olarak, kalan hidrokarbon içeriğini düşürmek için birkaç yöntem mevcuttur:</w:t>
      </w:r>
    </w:p>
    <w:p w14:paraId="5E200774" w14:textId="77777777" w:rsidR="00172694" w:rsidRPr="00F50C10" w:rsidRDefault="00172694" w:rsidP="000B206D">
      <w:pPr>
        <w:widowControl w:val="0"/>
        <w:numPr>
          <w:ilvl w:val="0"/>
          <w:numId w:val="27"/>
        </w:numPr>
        <w:autoSpaceDE w:val="0"/>
        <w:autoSpaceDN w:val="0"/>
        <w:adjustRightInd w:val="0"/>
        <w:spacing w:after="120" w:line="276" w:lineRule="auto"/>
        <w:rPr>
          <w:rFonts w:eastAsia="Times New Roman" w:cs="Times New Roman"/>
          <w:szCs w:val="24"/>
          <w:lang w:val="tr-TR" w:bidi="tr-TR"/>
        </w:rPr>
      </w:pPr>
      <w:r w:rsidRPr="00F50C10">
        <w:rPr>
          <w:rFonts w:eastAsia="Times New Roman" w:cs="Times New Roman"/>
          <w:szCs w:val="24"/>
          <w:lang w:val="tr-TR"/>
        </w:rPr>
        <w:t xml:space="preserve">yüksek </w:t>
      </w:r>
      <w:r w:rsidRPr="00F50C10">
        <w:rPr>
          <w:rFonts w:eastAsia="Times New Roman" w:cs="Times New Roman"/>
          <w:szCs w:val="24"/>
          <w:lang w:val="tr-TR" w:bidi="tr-TR"/>
        </w:rPr>
        <w:t>basınçlı polietilen prosesleri – düşük basınçlı ayırıcı (DBA) kabı ile güçlendirici kompresörün emiş tarafı arasındaki düşük basınçlı geri dönüşüm bölümü olarak adlandırılan bölümde basınç düşüşünü azaltarak DBA asgari basınçta çalıştırılırken ekstrüzyon cihazına polimer beslemesinin stabil olarak sürdürülmesi.</w:t>
      </w:r>
    </w:p>
    <w:p w14:paraId="0DCAE255" w14:textId="77777777" w:rsidR="00172694" w:rsidRPr="00F50C10" w:rsidRDefault="00172694" w:rsidP="000B206D">
      <w:pPr>
        <w:widowControl w:val="0"/>
        <w:numPr>
          <w:ilvl w:val="0"/>
          <w:numId w:val="27"/>
        </w:numPr>
        <w:autoSpaceDE w:val="0"/>
        <w:autoSpaceDN w:val="0"/>
        <w:adjustRightInd w:val="0"/>
        <w:spacing w:after="120" w:line="276" w:lineRule="auto"/>
        <w:rPr>
          <w:rFonts w:eastAsia="Times New Roman" w:cs="Times New Roman"/>
          <w:szCs w:val="24"/>
          <w:lang w:val="tr-TR" w:bidi="tr-TR"/>
        </w:rPr>
      </w:pPr>
      <w:r w:rsidRPr="00F50C10">
        <w:rPr>
          <w:rFonts w:eastAsia="Times New Roman" w:cs="Times New Roman"/>
          <w:szCs w:val="24"/>
          <w:lang w:val="tr-TR" w:bidi="tr-TR"/>
        </w:rPr>
        <w:t>gaz fazı ve bulamaç prosesleri (yüksek yoğunluklu polietilen (HDPE) ve lineer alçak yoğunluklu polietilen (LLDPE)) – monomerleri ve/veya çözücüleri polimer partiküllerinden çıkarmak için kapalı döngü azotlu temizleme sistemlerinin kullanılması. Çıkarılan monomerler toplanabilir ve bir termal oksitleme ünitesine gönderilebilir.</w:t>
      </w:r>
    </w:p>
    <w:p w14:paraId="3B598DA7" w14:textId="77777777" w:rsidR="00172694" w:rsidRPr="00F50C10" w:rsidRDefault="00172694" w:rsidP="000B206D">
      <w:pPr>
        <w:widowControl w:val="0"/>
        <w:numPr>
          <w:ilvl w:val="0"/>
          <w:numId w:val="27"/>
        </w:numPr>
        <w:autoSpaceDE w:val="0"/>
        <w:autoSpaceDN w:val="0"/>
        <w:adjustRightInd w:val="0"/>
        <w:spacing w:before="120" w:after="60" w:line="276" w:lineRule="auto"/>
        <w:rPr>
          <w:rFonts w:eastAsia="Times New Roman" w:cs="Times New Roman"/>
          <w:szCs w:val="24"/>
          <w:lang w:val="tr-TR"/>
        </w:rPr>
      </w:pPr>
      <w:r w:rsidRPr="00F50C10">
        <w:rPr>
          <w:rFonts w:eastAsia="Times New Roman" w:cs="Times New Roman"/>
          <w:szCs w:val="24"/>
          <w:lang w:val="tr-TR" w:bidi="tr-TR"/>
        </w:rPr>
        <w:t>LLDPE çözeltisi prosesi – polimerin uçucu maddelerinin daha düşük bir basınçta ve/veya vakum seviyesinde</w:t>
      </w:r>
      <w:r w:rsidRPr="00F50C10">
        <w:rPr>
          <w:rFonts w:eastAsia="Times New Roman" w:cs="Times New Roman"/>
          <w:szCs w:val="24"/>
          <w:lang w:val="tr-TR"/>
        </w:rPr>
        <w:t xml:space="preserve"> giderilmesi.</w:t>
      </w:r>
    </w:p>
    <w:p w14:paraId="759C110A" w14:textId="77777777"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it-IT" w:eastAsia="tr-TR"/>
        </w:rPr>
      </w:pPr>
      <w:r w:rsidRPr="00F50C10">
        <w:rPr>
          <w:rFonts w:eastAsia="Times New Roman" w:cs="Times New Roman"/>
          <w:b/>
          <w:szCs w:val="24"/>
          <w:lang w:val="tr-TR" w:eastAsia="tr-TR" w:bidi="tr-TR"/>
        </w:rPr>
        <w:t xml:space="preserve">Süspansiyon proseslerinde sıyırma optimizasyonu (polipropilen (PP), HDPE): </w:t>
      </w:r>
    </w:p>
    <w:p w14:paraId="7F469082" w14:textId="3F00ACC2" w:rsidR="00172694" w:rsidRPr="00F50C10" w:rsidRDefault="00172694" w:rsidP="000B206D">
      <w:pPr>
        <w:widowControl w:val="0"/>
        <w:numPr>
          <w:ilvl w:val="0"/>
          <w:numId w:val="28"/>
        </w:numPr>
        <w:autoSpaceDE w:val="0"/>
        <w:autoSpaceDN w:val="0"/>
        <w:adjustRightInd w:val="0"/>
        <w:spacing w:before="120" w:after="60" w:line="276" w:lineRule="auto"/>
        <w:rPr>
          <w:rFonts w:eastAsia="Times New Roman" w:cs="Times New Roman"/>
          <w:szCs w:val="24"/>
          <w:lang w:val="tr-TR" w:bidi="tr-TR"/>
        </w:rPr>
      </w:pPr>
      <w:r w:rsidRPr="00F50C10">
        <w:rPr>
          <w:rFonts w:eastAsia="Times New Roman" w:cs="Times New Roman"/>
          <w:szCs w:val="24"/>
          <w:lang w:val="tr-TR"/>
        </w:rPr>
        <w:t xml:space="preserve">üründeki monomerin, dolayısıyla genel olarak monomerin azaltılması (&gt; %75 oranında </w:t>
      </w:r>
      <w:r w:rsidRPr="00F50C10">
        <w:rPr>
          <w:rFonts w:eastAsia="Times New Roman" w:cs="Times New Roman"/>
          <w:szCs w:val="24"/>
          <w:lang w:val="tr-TR" w:bidi="tr-TR"/>
        </w:rPr>
        <w:t>azaltılır)</w:t>
      </w:r>
    </w:p>
    <w:p w14:paraId="5122D060" w14:textId="77777777" w:rsidR="00172694" w:rsidRPr="00F50C10" w:rsidRDefault="00172694" w:rsidP="000B206D">
      <w:pPr>
        <w:widowControl w:val="0"/>
        <w:numPr>
          <w:ilvl w:val="0"/>
          <w:numId w:val="28"/>
        </w:numPr>
        <w:autoSpaceDE w:val="0"/>
        <w:autoSpaceDN w:val="0"/>
        <w:adjustRightInd w:val="0"/>
        <w:spacing w:before="120" w:after="60" w:line="276" w:lineRule="auto"/>
        <w:rPr>
          <w:rFonts w:eastAsia="Times New Roman" w:cs="Times New Roman"/>
          <w:szCs w:val="24"/>
          <w:lang w:val="tr-TR"/>
        </w:rPr>
      </w:pPr>
      <w:r w:rsidRPr="00F50C10">
        <w:rPr>
          <w:rFonts w:eastAsia="Times New Roman" w:cs="Times New Roman"/>
          <w:szCs w:val="24"/>
          <w:lang w:val="tr-TR" w:bidi="tr-TR"/>
        </w:rPr>
        <w:t>monomerin</w:t>
      </w:r>
      <w:r w:rsidRPr="00F50C10">
        <w:rPr>
          <w:rFonts w:eastAsia="Times New Roman" w:cs="Times New Roman"/>
          <w:szCs w:val="24"/>
          <w:lang w:val="tr-TR"/>
        </w:rPr>
        <w:t xml:space="preserve"> prosese geri dönüştürülmesi ve dolayısıyla CO</w:t>
      </w:r>
      <w:r w:rsidRPr="00F50C10">
        <w:rPr>
          <w:rFonts w:eastAsia="Times New Roman" w:cs="Times New Roman"/>
          <w:szCs w:val="24"/>
          <w:vertAlign w:val="subscript"/>
          <w:lang w:val="tr-TR"/>
        </w:rPr>
        <w:t>2</w:t>
      </w:r>
      <w:r w:rsidRPr="00F50C10">
        <w:rPr>
          <w:rFonts w:eastAsia="Times New Roman" w:cs="Times New Roman"/>
          <w:szCs w:val="24"/>
          <w:lang w:val="tr-TR"/>
        </w:rPr>
        <w:t xml:space="preserve"> emisyonlarının azaltılması.</w:t>
      </w:r>
    </w:p>
    <w:p w14:paraId="3FA0C42C" w14:textId="77777777"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it-IT" w:eastAsia="tr-TR"/>
        </w:rPr>
      </w:pPr>
      <w:r w:rsidRPr="00F50C10">
        <w:rPr>
          <w:rFonts w:eastAsia="Times New Roman" w:cs="Times New Roman"/>
          <w:b/>
          <w:szCs w:val="24"/>
          <w:lang w:val="tr-TR" w:eastAsia="tr-TR" w:bidi="tr-TR"/>
        </w:rPr>
        <w:t>Çözücünün yoğunlaştırılması</w:t>
      </w:r>
    </w:p>
    <w:p w14:paraId="1592A8E6" w14:textId="77777777"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it-IT" w:eastAsia="tr-TR"/>
        </w:rPr>
      </w:pPr>
      <w:r w:rsidRPr="00F50C10">
        <w:rPr>
          <w:rFonts w:eastAsia="Times New Roman" w:cs="Times New Roman"/>
          <w:szCs w:val="24"/>
          <w:lang w:val="tr-TR" w:eastAsia="tr-TR" w:bidi="tr-TR"/>
        </w:rPr>
        <w:t>Hidrokarbon emisyonlarının azaltılması. (HDPE bulamaç proseslerinde santrifüjden sonra akışkan yataklı kurutucudan buharlaşan çözücü yoğunlaştırılır ve prosese geri döndürülür.)</w:t>
      </w:r>
    </w:p>
    <w:p w14:paraId="36663C06" w14:textId="77777777"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it-IT" w:eastAsia="tr-TR"/>
        </w:rPr>
      </w:pPr>
      <w:r w:rsidRPr="00F50C10">
        <w:rPr>
          <w:rFonts w:eastAsia="Times New Roman" w:cs="Times New Roman"/>
          <w:b/>
          <w:szCs w:val="24"/>
          <w:lang w:val="tr-TR" w:eastAsia="tr-TR" w:bidi="tr-TR"/>
        </w:rPr>
        <w:t>Polietilen (PE) prosesleri için çözücü ve komonomer seçimi</w:t>
      </w:r>
    </w:p>
    <w:p w14:paraId="0B197C10" w14:textId="77777777"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rPr>
      </w:pPr>
      <w:r w:rsidRPr="00F50C10">
        <w:rPr>
          <w:rFonts w:eastAsia="Times New Roman" w:cs="Times New Roman"/>
          <w:szCs w:val="24"/>
          <w:lang w:val="tr-TR" w:eastAsia="tr-TR" w:bidi="tr-TR"/>
        </w:rPr>
        <w:t>Katalizör veya başlatıcı beslemeleri için taşıyıcı veya çözelti ve bulamaç süspansiyon prosesleri için reaktör seyreltici olarak bir çözücüye ihtiyaç duyulur ve son ürünün polimer yoğunluğunu kontrol etmek üzere komonomer kullanılır. Prensipte, hidrokarbon çözücü ve komonomer ne kadar uçucu olursa, polimerden ayrılmaları o kadar kolay olacaktır. Bununla birlikte, uygulamada bazı sınırlamalar vardır:</w:t>
      </w:r>
    </w:p>
    <w:p w14:paraId="6BB92908" w14:textId="77777777" w:rsidR="00172694" w:rsidRPr="00F50C10" w:rsidRDefault="00172694" w:rsidP="000B206D">
      <w:pPr>
        <w:widowControl w:val="0"/>
        <w:numPr>
          <w:ilvl w:val="0"/>
          <w:numId w:val="29"/>
        </w:numPr>
        <w:autoSpaceDE w:val="0"/>
        <w:autoSpaceDN w:val="0"/>
        <w:adjustRightInd w:val="0"/>
        <w:spacing w:before="120" w:after="60" w:line="276" w:lineRule="auto"/>
        <w:rPr>
          <w:rFonts w:eastAsia="Times New Roman" w:cs="Times New Roman"/>
          <w:szCs w:val="24"/>
          <w:lang w:val="tr-TR" w:bidi="tr-TR"/>
        </w:rPr>
      </w:pPr>
      <w:r w:rsidRPr="00F50C10">
        <w:rPr>
          <w:rFonts w:eastAsia="Times New Roman" w:cs="Times New Roman"/>
          <w:szCs w:val="24"/>
          <w:lang w:val="tr-TR" w:bidi="tr-TR"/>
        </w:rPr>
        <w:t>komonomer seçimi – komonomer seçimi, ürün tasarımına, istenen uygulama özelliklerine ve hedeflenen ürün değerine göre belirlenir.</w:t>
      </w:r>
    </w:p>
    <w:p w14:paraId="39681317" w14:textId="77777777" w:rsidR="00172694" w:rsidRPr="00F50C10" w:rsidRDefault="00172694" w:rsidP="000B206D">
      <w:pPr>
        <w:widowControl w:val="0"/>
        <w:numPr>
          <w:ilvl w:val="0"/>
          <w:numId w:val="29"/>
        </w:numPr>
        <w:autoSpaceDE w:val="0"/>
        <w:autoSpaceDN w:val="0"/>
        <w:adjustRightInd w:val="0"/>
        <w:spacing w:before="120" w:after="60" w:line="276" w:lineRule="auto"/>
        <w:rPr>
          <w:rFonts w:eastAsia="Times New Roman" w:cs="Times New Roman"/>
          <w:szCs w:val="24"/>
          <w:lang w:val="tr-TR" w:bidi="tr-TR"/>
        </w:rPr>
      </w:pPr>
      <w:r w:rsidRPr="00F50C10">
        <w:rPr>
          <w:rFonts w:eastAsia="Times New Roman" w:cs="Times New Roman"/>
          <w:szCs w:val="24"/>
          <w:lang w:val="tr-TR" w:bidi="tr-TR"/>
        </w:rPr>
        <w:t>LLDPE çözelti prosesi için çözücü seçimi – çözelti prosesi tipik olarak, heksen-1 veya okten-1’in komonomer olarak uygulanması yoluyla daha yüksek değerli LLDPE sınıfları elde etmek için kullanılır. Bu komonomerler, reaktör sisteminde kullanılan tipik olarak C6 ila C9 aralığındaki hidrokarbon çözücüleri ile uyumludur. Daha düşük kaynama noktasına sahip komonomerler ve/veya çözücüler prensipte mümkündür, ancak faz ayrılmasını önlemek ve tek faz koşullarını korumak için daha yüksek reaktör çalışma basıncı ve dolayısıyla daha fazla enerji gerektirebilir.</w:t>
      </w:r>
    </w:p>
    <w:p w14:paraId="68B12482" w14:textId="77777777" w:rsidR="00172694" w:rsidRPr="00F50C10" w:rsidRDefault="00172694" w:rsidP="000B206D">
      <w:pPr>
        <w:widowControl w:val="0"/>
        <w:numPr>
          <w:ilvl w:val="0"/>
          <w:numId w:val="29"/>
        </w:numPr>
        <w:autoSpaceDE w:val="0"/>
        <w:autoSpaceDN w:val="0"/>
        <w:adjustRightInd w:val="0"/>
        <w:spacing w:before="120" w:after="60" w:line="276" w:lineRule="auto"/>
        <w:rPr>
          <w:rFonts w:eastAsia="Times New Roman" w:cs="Times New Roman"/>
          <w:szCs w:val="24"/>
          <w:lang w:val="tr-TR" w:bidi="tr-TR"/>
        </w:rPr>
      </w:pPr>
      <w:r w:rsidRPr="00F50C10">
        <w:rPr>
          <w:rFonts w:eastAsia="Times New Roman" w:cs="Times New Roman"/>
          <w:szCs w:val="24"/>
          <w:lang w:val="tr-TR" w:bidi="tr-TR"/>
        </w:rPr>
        <w:t>LLDPE gaz fazı prosesi için çözücü ve komonomer seçimi – komonomer olarak büten-1 kullanımı, ekstrüzyon bölümüne beslenen polimerde çok düşük kalıntı hidrokarbon seviyeleri ile sonuçlanır. Komonomer olarak heksen-1 (ürün değerini iyileştirmek için) ve/veya yoğunlaştırılabilir bir çözücünün kullanılması (tesis verimini ve enerji tüketimini iyileştirmek için), kalıntı hidrokarbon içeriğini artıracaktır.</w:t>
      </w:r>
    </w:p>
    <w:p w14:paraId="6ED2702E" w14:textId="66D297F9" w:rsidR="00172694" w:rsidRPr="00F50C10" w:rsidRDefault="00172694" w:rsidP="000B206D">
      <w:pPr>
        <w:widowControl w:val="0"/>
        <w:numPr>
          <w:ilvl w:val="0"/>
          <w:numId w:val="29"/>
        </w:numPr>
        <w:autoSpaceDE w:val="0"/>
        <w:autoSpaceDN w:val="0"/>
        <w:adjustRightInd w:val="0"/>
        <w:spacing w:before="120" w:after="60" w:line="276" w:lineRule="auto"/>
        <w:rPr>
          <w:rFonts w:eastAsia="Times New Roman" w:cs="Times New Roman"/>
          <w:szCs w:val="24"/>
          <w:lang w:val="tr-TR" w:bidi="tr-TR"/>
        </w:rPr>
      </w:pPr>
      <w:r w:rsidRPr="00F50C10">
        <w:rPr>
          <w:rFonts w:eastAsia="Times New Roman" w:cs="Times New Roman"/>
          <w:szCs w:val="24"/>
          <w:lang w:val="tr-TR" w:bidi="tr-TR"/>
        </w:rPr>
        <w:t xml:space="preserve">bulamaç HDPE süspansiyon prosesi için çözücü seçimi – prensipte süspansiyon çözücü ne kadar uçucu olursa, çıkarılması o kadar kolay olur; ancak düşük kaynama noktalı çözücüler daha karmaşık bir </w:t>
      </w:r>
      <w:r w:rsidR="00BF0349" w:rsidRPr="00F50C10">
        <w:rPr>
          <w:rFonts w:eastAsia="Times New Roman" w:cs="Times New Roman"/>
          <w:szCs w:val="24"/>
          <w:lang w:val="tr-TR" w:bidi="tr-TR"/>
        </w:rPr>
        <w:t>yoğuşturma</w:t>
      </w:r>
      <w:r w:rsidRPr="00F50C10">
        <w:rPr>
          <w:rFonts w:eastAsia="Times New Roman" w:cs="Times New Roman"/>
          <w:szCs w:val="24"/>
          <w:lang w:val="tr-TR" w:bidi="tr-TR"/>
        </w:rPr>
        <w:t>/geri kazanım sistemi gerektirir. Ayrıca, tesis tasarımı (birim işlemler ve tasarım basıncı), C4 ila C6 aralığında düşük kaynama noktalı çözücülerin uygulanmasını önleyebilir.</w:t>
      </w:r>
    </w:p>
    <w:p w14:paraId="1A269690" w14:textId="3860DBE6" w:rsidR="00172694" w:rsidRPr="00F50C10" w:rsidRDefault="00172694" w:rsidP="000B206D">
      <w:pPr>
        <w:widowControl w:val="0"/>
        <w:numPr>
          <w:ilvl w:val="0"/>
          <w:numId w:val="29"/>
        </w:numPr>
        <w:autoSpaceDE w:val="0"/>
        <w:autoSpaceDN w:val="0"/>
        <w:adjustRightInd w:val="0"/>
        <w:spacing w:before="120" w:after="60" w:line="276" w:lineRule="auto"/>
        <w:rPr>
          <w:rFonts w:eastAsia="Times New Roman" w:cs="Times New Roman"/>
          <w:szCs w:val="24"/>
          <w:lang w:val="tr-TR"/>
        </w:rPr>
      </w:pPr>
      <w:r w:rsidRPr="00F50C10">
        <w:rPr>
          <w:rFonts w:eastAsia="Times New Roman" w:cs="Times New Roman"/>
          <w:szCs w:val="24"/>
          <w:lang w:val="tr-TR" w:bidi="tr-TR"/>
        </w:rPr>
        <w:t xml:space="preserve">yüksek basınçlı polietilen işlemi için çözücü seçimi - uygulanan başlatıcının stabil enjeksiyonunu kolaylaştırmak üzere çözücüler başlatıcı için bir taşıyıcı olarak kullanılır. Prensipte yüksek basınçlı polietilen işleminde iki tip çözücü kullanılabilir, bunlar C7 ila C9 aralığında düşük kaynama noktalı hidrokarbon çözücüler ve C10 ila C12 aralığında daha yüksek kaynama noktalı çözücülerdir. Kaynama noktası düşük bir çözücünün üründen giderilmesi daha kolay olmakla birlikte, etilen geri dönüşüm sistemlerinde daha yüksek birikim miktarlarına neden olacaktır. Daha yüksek kaynama noktalı bir çözücünün polimerden </w:t>
      </w:r>
      <w:r w:rsidR="00F83E48" w:rsidRPr="00F50C10">
        <w:rPr>
          <w:rFonts w:eastAsia="Times New Roman" w:cs="Times New Roman"/>
          <w:szCs w:val="24"/>
          <w:lang w:val="tr-TR" w:bidi="tr-TR"/>
        </w:rPr>
        <w:t>uzaklaş</w:t>
      </w:r>
      <w:r w:rsidR="00BF0349" w:rsidRPr="00F50C10">
        <w:rPr>
          <w:rFonts w:eastAsia="Times New Roman" w:cs="Times New Roman"/>
          <w:szCs w:val="24"/>
          <w:lang w:val="tr-TR" w:bidi="tr-TR"/>
        </w:rPr>
        <w:t>tırılması</w:t>
      </w:r>
      <w:r w:rsidRPr="00F50C10">
        <w:rPr>
          <w:rFonts w:eastAsia="Times New Roman" w:cs="Times New Roman"/>
          <w:szCs w:val="24"/>
          <w:lang w:val="tr-TR" w:bidi="tr-TR"/>
        </w:rPr>
        <w:t xml:space="preserve"> daha zor, ancak geri dönüşüm akımlarında </w:t>
      </w:r>
      <w:r w:rsidR="00BF0349" w:rsidRPr="00F50C10">
        <w:rPr>
          <w:rFonts w:eastAsia="Times New Roman" w:cs="Times New Roman"/>
          <w:szCs w:val="24"/>
          <w:lang w:val="tr-TR" w:bidi="tr-TR"/>
        </w:rPr>
        <w:t>yoğuşturulması</w:t>
      </w:r>
      <w:r w:rsidRPr="00F50C10">
        <w:rPr>
          <w:rFonts w:eastAsia="Times New Roman" w:cs="Times New Roman"/>
          <w:szCs w:val="24"/>
          <w:lang w:val="tr-TR" w:bidi="tr-TR"/>
        </w:rPr>
        <w:t xml:space="preserve"> daha kolaydır ve bu nedenle geri dönüşüm sistemlerinde birikim miktarları da daha az olur. Kalan çözücü seviyesi üzerindeki net etki nötr olabilir. Yüksek basınçlı polietilen işleminde iyi uygulama, başlatıcıların reaktör sistemine stabil enjeksiyonunu sürdürürken hidrokarbon çözücülerin kullanımını en aza indirmektir. Daha büyük ölçekli işlemler, birim çözücü tüketimini ve ayrıca polimerdeki kalıntı çözücü seviyesini</w:t>
      </w:r>
      <w:r w:rsidRPr="00F50C10">
        <w:rPr>
          <w:rFonts w:eastAsia="Times New Roman" w:cs="Times New Roman"/>
          <w:szCs w:val="24"/>
          <w:lang w:val="tr-TR"/>
        </w:rPr>
        <w:t xml:space="preserve"> azaltmaya yardımcı olur.</w:t>
      </w:r>
    </w:p>
    <w:p w14:paraId="556AE3E9" w14:textId="77777777"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
          <w:szCs w:val="24"/>
          <w:lang w:val="tr-TR" w:eastAsia="tr-TR" w:bidi="tr-TR"/>
        </w:rPr>
        <w:t>LDPE ve LLDPE prosesleri için ekstrüzyon sırasında buharsızlaştırma</w:t>
      </w:r>
    </w:p>
    <w:p w14:paraId="00B63412" w14:textId="302B2ECB"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rPr>
      </w:pPr>
      <w:r w:rsidRPr="00F50C10">
        <w:rPr>
          <w:rFonts w:eastAsia="Times New Roman" w:cs="Times New Roman"/>
          <w:szCs w:val="24"/>
          <w:lang w:val="tr-TR" w:eastAsia="tr-TR" w:bidi="tr-TR"/>
        </w:rPr>
        <w:t xml:space="preserve">Ekstrüzyon cihazı gaz gidermesi olarak da adlandırılan bu teknik, ekstrüzyonun erimiş formdan başlayarak yapıldığı proseslerde, LLDPE solüsyonu ve yüksek basınçlı LDPE gibi kalan hidrokarbon bileşenlerini uzaklaştırmak için uygulanır. Bu teknik, polimerin sıkıştırılması, vakumla gazdan arındırılması ve daha sonra son peletleme aşaması için tekrar sıkıştırılması gerektiğinden uzatılmış bir ekstrüzyon cihazı gerektirir. Vakum kubbesinden gelen hidrokarbon buharları bir vakum/yıkama sisteminde işlenir. Başta etilen olmak üzere </w:t>
      </w:r>
      <w:r w:rsidR="007718D2" w:rsidRPr="00F50C10">
        <w:rPr>
          <w:rFonts w:eastAsia="Times New Roman" w:cs="Times New Roman"/>
          <w:szCs w:val="24"/>
          <w:lang w:val="tr-TR" w:eastAsia="tr-TR" w:bidi="tr-TR"/>
        </w:rPr>
        <w:t>yoğuşmayan</w:t>
      </w:r>
      <w:r w:rsidRPr="00F50C10">
        <w:rPr>
          <w:rFonts w:eastAsia="Times New Roman" w:cs="Times New Roman"/>
          <w:szCs w:val="24"/>
          <w:lang w:val="tr-TR" w:eastAsia="tr-TR" w:bidi="tr-TR"/>
        </w:rPr>
        <w:t xml:space="preserve"> maddeler, istenmeyen oksijen bulaşımı riskinden dolayı tutuşturucuya gönderilir.</w:t>
      </w:r>
    </w:p>
    <w:p w14:paraId="68F84285" w14:textId="77777777"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rPr>
      </w:pPr>
      <w:r w:rsidRPr="00F50C10">
        <w:rPr>
          <w:rFonts w:eastAsia="Times New Roman" w:cs="Times New Roman"/>
          <w:szCs w:val="24"/>
          <w:lang w:val="tr-TR" w:eastAsia="tr-TR" w:bidi="tr-TR"/>
        </w:rPr>
        <w:t>Buharsızlaştırma ekstrüzyonu, uçucu miktarlarını düşürebilmekle birlikte, burmaç tasarımı, kontrol döngüleri ve oksijen sızıntılarının önlenmesi açısından uygun şekilde tasarlanmış bir sistem gerektirir.</w:t>
      </w:r>
    </w:p>
    <w:p w14:paraId="171CDA10" w14:textId="2D043A42"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rPr>
      </w:pPr>
      <w:r w:rsidRPr="00F50C10">
        <w:rPr>
          <w:rFonts w:eastAsia="Times New Roman" w:cs="Times New Roman"/>
          <w:szCs w:val="24"/>
          <w:lang w:val="tr-TR" w:eastAsia="tr-TR" w:bidi="tr-TR"/>
        </w:rPr>
        <w:t>Buharsızlaştırma içermeyen ekstrüzyon cihazların</w:t>
      </w:r>
      <w:r w:rsidR="007718D2" w:rsidRPr="00F50C10">
        <w:rPr>
          <w:rFonts w:eastAsia="Times New Roman" w:cs="Times New Roman"/>
          <w:szCs w:val="24"/>
          <w:lang w:val="tr-TR" w:eastAsia="tr-TR" w:bidi="tr-TR"/>
        </w:rPr>
        <w:t>d</w:t>
      </w:r>
      <w:r w:rsidRPr="00F50C10">
        <w:rPr>
          <w:rFonts w:eastAsia="Times New Roman" w:cs="Times New Roman"/>
          <w:szCs w:val="24"/>
          <w:lang w:val="tr-TR" w:eastAsia="tr-TR" w:bidi="tr-TR"/>
        </w:rPr>
        <w:t xml:space="preserve">a benzer çalışma istikrarını veya ürün kalitesini korumak için oksijen girişini </w:t>
      </w:r>
      <w:r w:rsidR="007718D2" w:rsidRPr="00F50C10">
        <w:rPr>
          <w:rFonts w:eastAsia="Times New Roman" w:cs="Times New Roman"/>
          <w:szCs w:val="24"/>
          <w:lang w:val="tr-TR" w:eastAsia="tr-TR" w:bidi="tr-TR"/>
        </w:rPr>
        <w:t xml:space="preserve">önlemeye </w:t>
      </w:r>
      <w:r w:rsidRPr="00F50C10">
        <w:rPr>
          <w:rFonts w:eastAsia="Times New Roman" w:cs="Times New Roman"/>
          <w:szCs w:val="24"/>
          <w:lang w:val="tr-TR" w:eastAsia="tr-TR" w:bidi="tr-TR"/>
        </w:rPr>
        <w:t>ve gaz giderme kubbesinin kirlenmesini önlemeye dikkat edilmelidir. Uygun ekstrüzyon cihazı yerleştirimi ve tasarımı, uçucu madde giderici ekstrüzyon cihazlarının gaz gidermesiz ekstrüzyon cihazlarına benzer şekilde işletilebilmesi için gereklidir.</w:t>
      </w:r>
    </w:p>
    <w:p w14:paraId="48E64C69" w14:textId="77777777" w:rsidR="00172694" w:rsidRPr="00F50C10" w:rsidRDefault="00172694" w:rsidP="000B206D">
      <w:pPr>
        <w:widowControl w:val="0"/>
        <w:numPr>
          <w:ilvl w:val="0"/>
          <w:numId w:val="30"/>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kurutucu ve harmanlama/depolama silolarından kaynaklanan UOB emisyonlarının azaltılması. Örneğin, %10 - 15 çözücü içeriğine sahip bir LLDPE çözeltisinin UOB içeriği, buharsızlaştırma ekstrüzyonu ile 500 ppm'ye düşürülür.</w:t>
      </w:r>
    </w:p>
    <w:p w14:paraId="460E459D" w14:textId="77777777" w:rsidR="00172694" w:rsidRPr="00F50C10" w:rsidRDefault="00172694" w:rsidP="000B206D">
      <w:pPr>
        <w:widowControl w:val="0"/>
        <w:numPr>
          <w:ilvl w:val="0"/>
          <w:numId w:val="30"/>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bidi="tr-TR"/>
        </w:rPr>
        <w:t>kaynak tüketiminin azaltılması (monomer, katalizör ve yakıtın yanı sıra elektrik).</w:t>
      </w:r>
    </w:p>
    <w:p w14:paraId="2C918056" w14:textId="77777777"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bidi="tr-TR"/>
        </w:rPr>
      </w:pPr>
      <w:r w:rsidRPr="00F50C10">
        <w:rPr>
          <w:rFonts w:eastAsia="Times New Roman" w:cs="Times New Roman"/>
          <w:szCs w:val="24"/>
          <w:lang w:val="tr-TR" w:eastAsia="tr-TR" w:bidi="tr-TR"/>
        </w:rPr>
        <w:t>Esas olarak LDPE için uygulanabilir olmakla birlikte LLDPE için de uygulanabilirdir.</w:t>
      </w:r>
    </w:p>
    <w:p w14:paraId="64F53716" w14:textId="77777777"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rPr>
      </w:pPr>
      <w:r w:rsidRPr="00F50C10">
        <w:rPr>
          <w:rFonts w:eastAsia="Times New Roman" w:cs="Times New Roman"/>
          <w:szCs w:val="24"/>
          <w:lang w:val="tr-TR" w:eastAsia="tr-TR"/>
        </w:rPr>
        <w:t>G</w:t>
      </w:r>
      <w:r w:rsidRPr="00F50C10">
        <w:rPr>
          <w:rFonts w:eastAsia="Times New Roman" w:cs="Times New Roman"/>
          <w:szCs w:val="24"/>
          <w:lang w:val="tr-TR" w:eastAsia="tr-TR" w:bidi="tr-TR"/>
        </w:rPr>
        <w:t>erekli durumlarda HDPE için de uygulanabilir olduğu bildirilmiştir.</w:t>
      </w:r>
    </w:p>
    <w:p w14:paraId="2E4F2AA6" w14:textId="77777777" w:rsidR="00172694" w:rsidRPr="00F50C10" w:rsidRDefault="00172694" w:rsidP="000B206D">
      <w:pPr>
        <w:widowControl w:val="0"/>
        <w:autoSpaceDE w:val="0"/>
        <w:autoSpaceDN w:val="0"/>
        <w:adjustRightInd w:val="0"/>
        <w:spacing w:before="120" w:after="60" w:line="276" w:lineRule="auto"/>
        <w:rPr>
          <w:rFonts w:eastAsia="Times New Roman" w:cs="Times New Roman"/>
          <w:b/>
          <w:bCs/>
          <w:szCs w:val="24"/>
          <w:lang w:val="tr-TR" w:eastAsia="tr-TR"/>
        </w:rPr>
      </w:pPr>
      <w:r w:rsidRPr="00F50C10">
        <w:rPr>
          <w:rFonts w:eastAsia="Times New Roman" w:cs="Times New Roman"/>
          <w:b/>
          <w:szCs w:val="24"/>
          <w:lang w:val="tr-TR" w:eastAsia="tr-TR" w:bidi="tr-TR"/>
        </w:rPr>
        <w:t>Ürün silolarının tahliye akışlarını arıtmaya yönelik termal oksitleme yoluyla ü</w:t>
      </w:r>
      <w:r w:rsidRPr="00F50C10">
        <w:rPr>
          <w:rFonts w:eastAsia="Times New Roman" w:cs="Times New Roman"/>
          <w:b/>
          <w:bCs/>
          <w:szCs w:val="24"/>
          <w:lang w:val="tr-TR" w:eastAsia="tr-TR" w:bidi="tr-TR"/>
        </w:rPr>
        <w:t>rün silolarından monomer emisyonunun azaltılması</w:t>
      </w:r>
    </w:p>
    <w:p w14:paraId="2E23EC1C" w14:textId="7D6AEC9E"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rPr>
      </w:pPr>
      <w:r w:rsidRPr="00F50C10">
        <w:rPr>
          <w:rFonts w:eastAsia="Times New Roman" w:cs="Times New Roman"/>
          <w:b/>
          <w:szCs w:val="24"/>
          <w:lang w:val="tr-TR" w:eastAsia="tr-TR" w:bidi="tr-TR"/>
        </w:rPr>
        <w:t xml:space="preserve">MET </w:t>
      </w:r>
      <w:r w:rsidR="00396BE9" w:rsidRPr="00F50C10">
        <w:rPr>
          <w:rFonts w:eastAsia="Times New Roman" w:cs="Times New Roman"/>
          <w:b/>
          <w:szCs w:val="24"/>
          <w:lang w:val="tr-TR" w:eastAsia="tr-TR" w:bidi="tr-TR"/>
        </w:rPr>
        <w:t>4</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Reaktör sistemindeki polimer derişimi mümkün olan en üst seviyeye çıkarılır</w:t>
      </w:r>
      <w:r w:rsidR="00645045" w:rsidRPr="00F50C10">
        <w:rPr>
          <w:rFonts w:eastAsia="Times New Roman" w:cs="Times New Roman"/>
          <w:bCs/>
          <w:szCs w:val="24"/>
          <w:lang w:val="tr-TR" w:eastAsia="tr-TR" w:bidi="tr-TR"/>
        </w:rPr>
        <w:t>.</w:t>
      </w:r>
      <w:r w:rsidR="003B5BA1" w:rsidRPr="00F50C10">
        <w:rPr>
          <w:rFonts w:eastAsia="Times New Roman" w:cs="Times New Roman"/>
          <w:bCs/>
          <w:szCs w:val="24"/>
          <w:lang w:val="tr-TR" w:eastAsia="tr-TR" w:bidi="tr-TR"/>
        </w:rPr>
        <w:t xml:space="preserve"> </w:t>
      </w:r>
      <w:bookmarkStart w:id="107" w:name="_Hlk192499988"/>
    </w:p>
    <w:bookmarkEnd w:id="107"/>
    <w:p w14:paraId="4E70C417" w14:textId="77777777" w:rsidR="00396BE9"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bidi="tr-TR"/>
        </w:rPr>
      </w:pPr>
      <w:r w:rsidRPr="00F50C10">
        <w:rPr>
          <w:rFonts w:eastAsia="Times New Roman" w:cs="Times New Roman"/>
          <w:szCs w:val="24"/>
          <w:lang w:val="tr-TR" w:eastAsia="tr-TR" w:bidi="tr-TR"/>
        </w:rPr>
        <w:t>Reaktördeki polimer derişiminin arttırılmasıyla, üretim sürecinin genel enerji verimliliği optimize edilir</w:t>
      </w:r>
      <w:r w:rsidR="00396BE9" w:rsidRPr="00F50C10">
        <w:rPr>
          <w:rFonts w:eastAsia="Times New Roman" w:cs="Times New Roman"/>
          <w:szCs w:val="24"/>
          <w:lang w:val="tr-TR" w:eastAsia="tr-TR" w:bidi="tr-TR"/>
        </w:rPr>
        <w:t>.</w:t>
      </w:r>
    </w:p>
    <w:p w14:paraId="3325C4CA" w14:textId="60003DC7" w:rsidR="00172694" w:rsidRPr="00F50C10" w:rsidRDefault="00396BE9" w:rsidP="000B206D">
      <w:pPr>
        <w:widowControl w:val="0"/>
        <w:autoSpaceDE w:val="0"/>
        <w:autoSpaceDN w:val="0"/>
        <w:adjustRightInd w:val="0"/>
        <w:spacing w:before="120" w:after="60" w:line="276" w:lineRule="auto"/>
        <w:rPr>
          <w:rFonts w:eastAsia="Times New Roman" w:cs="Times New Roman"/>
          <w:szCs w:val="24"/>
          <w:lang w:val="it-IT" w:eastAsia="tr-TR"/>
        </w:rPr>
      </w:pPr>
      <w:r w:rsidRPr="00F50C10">
        <w:rPr>
          <w:rFonts w:eastAsia="Times New Roman" w:cs="Times New Roman"/>
          <w:bCs/>
          <w:szCs w:val="24"/>
          <w:lang w:val="tr-TR" w:eastAsia="tr-TR" w:bidi="tr-TR"/>
        </w:rPr>
        <w:t>(Detaylı bilgi için Polimer Üretimi İçin MET Referans Belgesinin 12.2.4 Kısmını inceleyiniz.)</w:t>
      </w:r>
    </w:p>
    <w:p w14:paraId="021516CF" w14:textId="1EBDC2AE"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
          <w:szCs w:val="24"/>
          <w:lang w:val="tr-TR" w:eastAsia="tr-TR" w:bidi="tr-TR"/>
        </w:rPr>
        <w:t xml:space="preserve">MET </w:t>
      </w:r>
      <w:r w:rsidR="00396BE9" w:rsidRPr="00F50C10">
        <w:rPr>
          <w:rFonts w:eastAsia="Times New Roman" w:cs="Times New Roman"/>
          <w:b/>
          <w:szCs w:val="24"/>
          <w:lang w:val="tr-TR" w:eastAsia="tr-TR" w:bidi="tr-TR"/>
        </w:rPr>
        <w:t>5</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Soğutma suyu kuleleri ve pelet soğutma suyu sistemleri için kapalı döngü soğutma sistemleri kullanılı</w:t>
      </w:r>
      <w:r w:rsidR="005E7AB5" w:rsidRPr="00F50C10">
        <w:rPr>
          <w:rFonts w:eastAsia="Times New Roman" w:cs="Times New Roman"/>
          <w:bCs/>
          <w:szCs w:val="24"/>
          <w:lang w:val="tr-TR" w:eastAsia="tr-TR" w:bidi="tr-TR"/>
        </w:rPr>
        <w:t>r</w:t>
      </w:r>
      <w:r w:rsidRPr="00F50C10">
        <w:rPr>
          <w:rFonts w:eastAsia="Times New Roman" w:cs="Times New Roman"/>
          <w:bCs/>
          <w:szCs w:val="24"/>
          <w:lang w:val="tr-TR" w:eastAsia="tr-TR" w:bidi="tr-TR"/>
        </w:rPr>
        <w:t>.</w:t>
      </w:r>
    </w:p>
    <w:p w14:paraId="7E18B9E5" w14:textId="77777777"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rPr>
      </w:pPr>
      <w:r w:rsidRPr="00F50C10">
        <w:rPr>
          <w:rFonts w:eastAsia="Times New Roman" w:cs="Times New Roman"/>
          <w:bCs/>
          <w:szCs w:val="24"/>
          <w:lang w:val="tr-TR" w:eastAsia="tr-TR" w:bidi="tr-TR"/>
        </w:rPr>
        <w:t>Poliolefinlerin üretimi için MET ile ilişkili emisyon ve tüketim seviyeleri aşağıdaki tablolarda verilmektedir.</w:t>
      </w:r>
    </w:p>
    <w:p w14:paraId="15A076F7" w14:textId="70E24D32" w:rsidR="00172694" w:rsidRPr="00F50C10" w:rsidRDefault="00172694" w:rsidP="000B206D">
      <w:pPr>
        <w:spacing w:before="117" w:after="60" w:line="276" w:lineRule="auto"/>
        <w:ind w:right="-18"/>
        <w:rPr>
          <w:rFonts w:eastAsia="Times New Roman" w:cs="Times New Roman"/>
          <w:b/>
          <w:bCs/>
          <w:szCs w:val="24"/>
          <w:lang w:val="tr-TR" w:eastAsia="tr-TR"/>
        </w:rPr>
      </w:pPr>
      <w:r w:rsidRPr="00F50C10">
        <w:rPr>
          <w:rFonts w:cs="Times New Roman"/>
          <w:b/>
          <w:szCs w:val="24"/>
          <w:lang w:val="tr-TR" w:bidi="tr-TR"/>
        </w:rPr>
        <w:t>Tablo</w:t>
      </w:r>
      <w:r w:rsidRPr="00F50C10">
        <w:rPr>
          <w:rFonts w:eastAsia="Times New Roman" w:cs="Times New Roman"/>
          <w:szCs w:val="24"/>
          <w:lang w:val="tr-TR" w:eastAsia="tr-TR"/>
        </w:rPr>
        <w:t xml:space="preserve"> </w:t>
      </w:r>
      <w:r w:rsidR="00702548" w:rsidRPr="00F50C10">
        <w:rPr>
          <w:rFonts w:eastAsia="Times New Roman" w:cs="Times New Roman"/>
          <w:b/>
          <w:bCs/>
          <w:szCs w:val="24"/>
          <w:lang w:val="tr-TR" w:eastAsia="tr-TR"/>
        </w:rPr>
        <w:t>2</w:t>
      </w:r>
      <w:r w:rsidRPr="00F50C10">
        <w:rPr>
          <w:rFonts w:eastAsia="Times New Roman" w:cs="Times New Roman"/>
          <w:b/>
          <w:bCs/>
          <w:szCs w:val="24"/>
          <w:lang w:val="tr-TR" w:eastAsia="tr-TR"/>
        </w:rPr>
        <w:t xml:space="preserve">. LDPE üretimi için </w:t>
      </w:r>
      <w:r w:rsidRPr="00F50C10">
        <w:rPr>
          <w:rFonts w:eastAsia="Times New Roman" w:cs="Times New Roman"/>
          <w:b/>
          <w:bCs/>
          <w:szCs w:val="24"/>
          <w:lang w:val="tr-TR" w:eastAsia="tr-TR" w:bidi="tr-TR"/>
        </w:rPr>
        <w:t>MET ile ilişkili emisyon ve tüketim seviyeleri</w:t>
      </w:r>
    </w:p>
    <w:tbl>
      <w:tblPr>
        <w:tblW w:w="5000" w:type="pct"/>
        <w:tblCellMar>
          <w:top w:w="11" w:type="dxa"/>
          <w:left w:w="57" w:type="dxa"/>
          <w:bottom w:w="11" w:type="dxa"/>
          <w:right w:w="57" w:type="dxa"/>
        </w:tblCellMar>
        <w:tblLook w:val="0000" w:firstRow="0" w:lastRow="0" w:firstColumn="0" w:lastColumn="0" w:noHBand="0" w:noVBand="0"/>
      </w:tblPr>
      <w:tblGrid>
        <w:gridCol w:w="3110"/>
        <w:gridCol w:w="3941"/>
        <w:gridCol w:w="2253"/>
      </w:tblGrid>
      <w:tr w:rsidR="00172694" w:rsidRPr="00F50C10" w14:paraId="74AB8A63" w14:textId="77777777" w:rsidTr="00375F59">
        <w:trPr>
          <w:trHeight w:val="20"/>
          <w:tblHeader/>
        </w:trPr>
        <w:tc>
          <w:tcPr>
            <w:tcW w:w="1671" w:type="pct"/>
            <w:tcBorders>
              <w:top w:val="single" w:sz="6" w:space="0" w:color="auto"/>
              <w:left w:val="single" w:sz="6" w:space="0" w:color="auto"/>
              <w:bottom w:val="single" w:sz="6" w:space="0" w:color="auto"/>
              <w:right w:val="single" w:sz="6" w:space="0" w:color="auto"/>
            </w:tcBorders>
            <w:shd w:val="clear" w:color="auto" w:fill="auto"/>
            <w:vAlign w:val="center"/>
          </w:tcPr>
          <w:p w14:paraId="48009402"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tr-TR" w:eastAsia="tr-TR"/>
              </w:rPr>
            </w:pPr>
            <w:r w:rsidRPr="00F50C10">
              <w:rPr>
                <w:rFonts w:eastAsia="Times New Roman" w:cs="Times New Roman"/>
                <w:b/>
                <w:szCs w:val="24"/>
                <w:lang w:val="tr-TR" w:eastAsia="tr-TR" w:bidi="tr-TR"/>
              </w:rPr>
              <w:t>LDPE</w:t>
            </w:r>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tcPr>
          <w:p w14:paraId="593AE5F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Ton ürün başına birim</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tcPr>
          <w:p w14:paraId="4396363D" w14:textId="34B87C03"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 xml:space="preserve">MET </w:t>
            </w:r>
            <w:r w:rsidR="003B5BA1" w:rsidRPr="00F50C10">
              <w:rPr>
                <w:rFonts w:eastAsia="Times New Roman" w:cs="Times New Roman"/>
                <w:b/>
                <w:szCs w:val="24"/>
                <w:lang w:val="tr-TR" w:eastAsia="tr-TR" w:bidi="tr-TR"/>
              </w:rPr>
              <w:t>-İES</w:t>
            </w:r>
          </w:p>
        </w:tc>
      </w:tr>
      <w:tr w:rsidR="00172694" w:rsidRPr="00F50C10" w14:paraId="4C1AD4A4" w14:textId="77777777" w:rsidTr="00375F59">
        <w:trPr>
          <w:trHeight w:val="20"/>
          <w:tblHead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73E8FC1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Tüketim</w:t>
            </w:r>
          </w:p>
        </w:tc>
      </w:tr>
      <w:tr w:rsidR="00172694" w:rsidRPr="00F50C10" w14:paraId="19360786" w14:textId="77777777" w:rsidTr="00375F59">
        <w:trPr>
          <w:trHeight w:val="20"/>
        </w:trPr>
        <w:tc>
          <w:tcPr>
            <w:tcW w:w="1671" w:type="pct"/>
            <w:tcBorders>
              <w:top w:val="single" w:sz="6" w:space="0" w:color="auto"/>
              <w:left w:val="single" w:sz="6" w:space="0" w:color="auto"/>
              <w:bottom w:val="single" w:sz="6" w:space="0" w:color="auto"/>
              <w:right w:val="single" w:sz="6" w:space="0" w:color="auto"/>
            </w:tcBorders>
            <w:shd w:val="clear" w:color="auto" w:fill="auto"/>
            <w:vAlign w:val="center"/>
          </w:tcPr>
          <w:p w14:paraId="3C5C87E5"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Monomer Tüketimi</w:t>
            </w:r>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tcPr>
          <w:p w14:paraId="44D640B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tcPr>
          <w:p w14:paraId="6A7EB01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1006</w:t>
            </w:r>
          </w:p>
        </w:tc>
      </w:tr>
      <w:tr w:rsidR="00172694" w:rsidRPr="00F50C10" w14:paraId="22EAAE91" w14:textId="77777777" w:rsidTr="00375F59">
        <w:trPr>
          <w:trHeight w:val="20"/>
        </w:trPr>
        <w:tc>
          <w:tcPr>
            <w:tcW w:w="1671" w:type="pct"/>
            <w:tcBorders>
              <w:top w:val="single" w:sz="6" w:space="0" w:color="auto"/>
              <w:left w:val="single" w:sz="6" w:space="0" w:color="auto"/>
              <w:bottom w:val="single" w:sz="6" w:space="0" w:color="auto"/>
              <w:right w:val="single" w:sz="6" w:space="0" w:color="auto"/>
            </w:tcBorders>
            <w:shd w:val="clear" w:color="auto" w:fill="auto"/>
            <w:vAlign w:val="center"/>
          </w:tcPr>
          <w:p w14:paraId="48CB56C0"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Doğrudan enerji tüketimi</w:t>
            </w:r>
            <w:r w:rsidRPr="00F50C10">
              <w:rPr>
                <w:rFonts w:eastAsia="Times New Roman" w:cs="Times New Roman"/>
                <w:szCs w:val="24"/>
                <w:vertAlign w:val="superscript"/>
                <w:lang w:val="tr-TR" w:eastAsia="tr-TR" w:bidi="tr-TR"/>
              </w:rPr>
              <w:t>*</w:t>
            </w:r>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tcPr>
          <w:p w14:paraId="3BCBF0F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GJ</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tcPr>
          <w:p w14:paraId="19E93A09"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Tüp:</w:t>
            </w:r>
          </w:p>
          <w:p w14:paraId="2364251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2,88 – 3,24</w:t>
            </w:r>
            <w:r w:rsidRPr="00F50C10">
              <w:rPr>
                <w:rFonts w:eastAsia="Times New Roman" w:cs="Times New Roman"/>
                <w:szCs w:val="24"/>
                <w:vertAlign w:val="superscript"/>
                <w:lang w:val="tr-TR" w:eastAsia="tr-TR" w:bidi="tr-TR"/>
              </w:rPr>
              <w:t>**</w:t>
            </w:r>
          </w:p>
          <w:p w14:paraId="53F0AC1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Otoklav</w:t>
            </w:r>
          </w:p>
          <w:p w14:paraId="5305DC8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3,24 – 3,60</w:t>
            </w:r>
          </w:p>
        </w:tc>
      </w:tr>
      <w:tr w:rsidR="00172694" w:rsidRPr="00F50C10" w14:paraId="3857C1B3" w14:textId="77777777" w:rsidTr="00375F59">
        <w:trPr>
          <w:trHeight w:val="20"/>
        </w:trPr>
        <w:tc>
          <w:tcPr>
            <w:tcW w:w="1671" w:type="pct"/>
            <w:tcBorders>
              <w:top w:val="single" w:sz="6" w:space="0" w:color="auto"/>
              <w:left w:val="single" w:sz="6" w:space="0" w:color="auto"/>
              <w:bottom w:val="single" w:sz="6" w:space="0" w:color="auto"/>
              <w:right w:val="single" w:sz="6" w:space="0" w:color="auto"/>
            </w:tcBorders>
            <w:shd w:val="clear" w:color="auto" w:fill="auto"/>
            <w:vAlign w:val="center"/>
          </w:tcPr>
          <w:p w14:paraId="2037C400"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Birincil enerji tüketimi</w:t>
            </w:r>
            <w:r w:rsidRPr="00F50C10">
              <w:rPr>
                <w:rFonts w:eastAsia="Times New Roman" w:cs="Times New Roman"/>
                <w:szCs w:val="24"/>
                <w:vertAlign w:val="superscript"/>
                <w:lang w:val="tr-TR" w:eastAsia="tr-TR" w:bidi="tr-TR"/>
              </w:rPr>
              <w:t>*</w:t>
            </w:r>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tcPr>
          <w:p w14:paraId="1666E6E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GJ</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tcPr>
          <w:p w14:paraId="04B4060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Tüp:</w:t>
            </w:r>
          </w:p>
          <w:p w14:paraId="09580E8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7,2 – 8,1</w:t>
            </w:r>
            <w:r w:rsidRPr="00F50C10">
              <w:rPr>
                <w:rFonts w:eastAsia="Times New Roman" w:cs="Times New Roman"/>
                <w:szCs w:val="24"/>
                <w:vertAlign w:val="superscript"/>
                <w:lang w:val="tr-TR" w:eastAsia="tr-TR" w:bidi="tr-TR"/>
              </w:rPr>
              <w:t>**</w:t>
            </w:r>
          </w:p>
          <w:p w14:paraId="12328F5D"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Otoklav:</w:t>
            </w:r>
          </w:p>
          <w:p w14:paraId="38B2A459"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8,1 - 9,0</w:t>
            </w:r>
          </w:p>
        </w:tc>
      </w:tr>
      <w:tr w:rsidR="00172694" w:rsidRPr="00F50C10" w14:paraId="50AD6771" w14:textId="77777777" w:rsidTr="00375F59">
        <w:trPr>
          <w:trHeight w:val="20"/>
        </w:trPr>
        <w:tc>
          <w:tcPr>
            <w:tcW w:w="1671" w:type="pct"/>
            <w:tcBorders>
              <w:top w:val="single" w:sz="6" w:space="0" w:color="auto"/>
              <w:left w:val="single" w:sz="6" w:space="0" w:color="auto"/>
              <w:bottom w:val="single" w:sz="6" w:space="0" w:color="auto"/>
              <w:right w:val="single" w:sz="6" w:space="0" w:color="auto"/>
            </w:tcBorders>
            <w:shd w:val="clear" w:color="auto" w:fill="auto"/>
            <w:vAlign w:val="center"/>
          </w:tcPr>
          <w:p w14:paraId="19AEC1ED"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Su tüketimi</w:t>
            </w:r>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tcPr>
          <w:p w14:paraId="6052690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m</w:t>
            </w:r>
            <w:r w:rsidRPr="00F50C10">
              <w:rPr>
                <w:rFonts w:eastAsia="Times New Roman" w:cs="Times New Roman"/>
                <w:szCs w:val="24"/>
                <w:vertAlign w:val="superscript"/>
                <w:lang w:val="tr-TR" w:eastAsia="tr-TR" w:bidi="tr-TR"/>
              </w:rPr>
              <w:t>3</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tcPr>
          <w:p w14:paraId="549419C4"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1,7</w:t>
            </w:r>
          </w:p>
        </w:tc>
      </w:tr>
      <w:tr w:rsidR="00172694" w:rsidRPr="00F50C10" w14:paraId="18F82B73" w14:textId="77777777" w:rsidTr="00375F59">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276641D4"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Hava emisyonları</w:t>
            </w:r>
          </w:p>
        </w:tc>
      </w:tr>
      <w:tr w:rsidR="00172694" w:rsidRPr="00F50C10" w14:paraId="285A0BAF" w14:textId="77777777" w:rsidTr="00375F59">
        <w:trPr>
          <w:trHeight w:val="20"/>
        </w:trPr>
        <w:tc>
          <w:tcPr>
            <w:tcW w:w="1671" w:type="pct"/>
            <w:tcBorders>
              <w:top w:val="single" w:sz="6" w:space="0" w:color="auto"/>
              <w:left w:val="single" w:sz="6" w:space="0" w:color="auto"/>
              <w:bottom w:val="single" w:sz="6" w:space="0" w:color="auto"/>
              <w:right w:val="single" w:sz="6" w:space="0" w:color="auto"/>
            </w:tcBorders>
            <w:shd w:val="clear" w:color="auto" w:fill="auto"/>
            <w:vAlign w:val="center"/>
          </w:tcPr>
          <w:p w14:paraId="03A78E8F"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Toz emisyonu</w:t>
            </w:r>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tcPr>
          <w:p w14:paraId="4E14A4C4"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tcPr>
          <w:p w14:paraId="0901E27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17</w:t>
            </w:r>
          </w:p>
        </w:tc>
      </w:tr>
      <w:tr w:rsidR="00172694" w:rsidRPr="00F50C10" w14:paraId="72C9BA85" w14:textId="77777777" w:rsidTr="00375F59">
        <w:trPr>
          <w:trHeight w:val="20"/>
        </w:trPr>
        <w:tc>
          <w:tcPr>
            <w:tcW w:w="1671" w:type="pct"/>
            <w:tcBorders>
              <w:top w:val="single" w:sz="6" w:space="0" w:color="auto"/>
              <w:left w:val="single" w:sz="6" w:space="0" w:color="auto"/>
              <w:bottom w:val="single" w:sz="6" w:space="0" w:color="auto"/>
              <w:right w:val="single" w:sz="6" w:space="0" w:color="auto"/>
            </w:tcBorders>
            <w:shd w:val="clear" w:color="auto" w:fill="auto"/>
            <w:vAlign w:val="center"/>
          </w:tcPr>
          <w:p w14:paraId="217EF63E"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tr-TR" w:eastAsia="tr-TR"/>
              </w:rPr>
            </w:pPr>
            <w:r w:rsidRPr="00F50C10">
              <w:rPr>
                <w:rFonts w:eastAsia="Times New Roman" w:cs="Times New Roman"/>
                <w:szCs w:val="24"/>
                <w:lang w:val="tr-TR" w:eastAsia="tr-TR" w:bidi="tr-TR"/>
              </w:rPr>
              <w:t>UOB emisyonu</w:t>
            </w:r>
          </w:p>
          <w:p w14:paraId="1EB96ECF"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tr-TR" w:eastAsia="tr-TR"/>
              </w:rPr>
            </w:pPr>
            <w:r w:rsidRPr="00F50C10">
              <w:rPr>
                <w:rFonts w:eastAsia="Times New Roman" w:cs="Times New Roman"/>
                <w:szCs w:val="24"/>
                <w:lang w:val="tr-TR" w:eastAsia="tr-TR" w:bidi="tr-TR"/>
              </w:rPr>
              <w:t>Yeni tesisler</w:t>
            </w:r>
          </w:p>
          <w:p w14:paraId="4ADCBD36"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tr-TR" w:eastAsia="tr-TR"/>
              </w:rPr>
            </w:pPr>
            <w:r w:rsidRPr="00F50C10">
              <w:rPr>
                <w:rFonts w:eastAsia="Times New Roman" w:cs="Times New Roman"/>
                <w:szCs w:val="24"/>
                <w:lang w:val="tr-TR" w:eastAsia="tr-TR" w:bidi="tr-TR"/>
              </w:rPr>
              <w:t>Mevcut tesisler</w:t>
            </w:r>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tcPr>
          <w:p w14:paraId="11539B6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tcPr>
          <w:p w14:paraId="4F7EAA7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700 - 1100</w:t>
            </w:r>
          </w:p>
          <w:p w14:paraId="495F945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1100 - 2100</w:t>
            </w:r>
          </w:p>
        </w:tc>
      </w:tr>
      <w:tr w:rsidR="00172694" w:rsidRPr="00F50C10" w14:paraId="2AE7451B" w14:textId="77777777" w:rsidTr="00375F59">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40056B04"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Suya emisyonlar</w:t>
            </w:r>
          </w:p>
        </w:tc>
      </w:tr>
      <w:tr w:rsidR="00172694" w:rsidRPr="00F50C10" w14:paraId="219699FD" w14:textId="77777777" w:rsidTr="00375F59">
        <w:trPr>
          <w:trHeight w:val="20"/>
        </w:trPr>
        <w:tc>
          <w:tcPr>
            <w:tcW w:w="1671" w:type="pct"/>
            <w:tcBorders>
              <w:top w:val="single" w:sz="6" w:space="0" w:color="auto"/>
              <w:left w:val="single" w:sz="6" w:space="0" w:color="auto"/>
              <w:bottom w:val="single" w:sz="6" w:space="0" w:color="auto"/>
              <w:right w:val="single" w:sz="6" w:space="0" w:color="auto"/>
            </w:tcBorders>
            <w:shd w:val="clear" w:color="auto" w:fill="auto"/>
            <w:vAlign w:val="center"/>
          </w:tcPr>
          <w:p w14:paraId="0552EFAF"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KOİ emisyonu</w:t>
            </w:r>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tcPr>
          <w:p w14:paraId="59C1BC0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tcPr>
          <w:p w14:paraId="78564B6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19 - 30</w:t>
            </w:r>
          </w:p>
        </w:tc>
      </w:tr>
      <w:tr w:rsidR="00172694" w:rsidRPr="00F50C10" w14:paraId="35FCC642" w14:textId="77777777" w:rsidTr="00375F59">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299E38F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Atık</w:t>
            </w:r>
          </w:p>
        </w:tc>
      </w:tr>
      <w:tr w:rsidR="00172694" w:rsidRPr="00F50C10" w14:paraId="57424E6C" w14:textId="77777777" w:rsidTr="00375F59">
        <w:trPr>
          <w:trHeight w:val="20"/>
        </w:trPr>
        <w:tc>
          <w:tcPr>
            <w:tcW w:w="1671" w:type="pct"/>
            <w:tcBorders>
              <w:top w:val="single" w:sz="6" w:space="0" w:color="auto"/>
              <w:left w:val="single" w:sz="6" w:space="0" w:color="auto"/>
              <w:bottom w:val="single" w:sz="6" w:space="0" w:color="auto"/>
              <w:right w:val="single" w:sz="6" w:space="0" w:color="auto"/>
            </w:tcBorders>
            <w:shd w:val="clear" w:color="auto" w:fill="auto"/>
            <w:vAlign w:val="center"/>
          </w:tcPr>
          <w:p w14:paraId="3D4E99FC" w14:textId="3391514B" w:rsidR="00172694" w:rsidRPr="00F50C10" w:rsidRDefault="00760235"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İnert</w:t>
            </w:r>
            <w:r w:rsidR="00172694" w:rsidRPr="00F50C10">
              <w:rPr>
                <w:rFonts w:eastAsia="Times New Roman" w:cs="Times New Roman"/>
                <w:szCs w:val="24"/>
                <w:lang w:val="tr-TR" w:eastAsia="tr-TR" w:bidi="tr-TR"/>
              </w:rPr>
              <w:t xml:space="preserve"> atık</w:t>
            </w:r>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tcPr>
          <w:p w14:paraId="0B76216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tcPr>
          <w:p w14:paraId="4DEB4EF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0,5</w:t>
            </w:r>
          </w:p>
        </w:tc>
      </w:tr>
      <w:tr w:rsidR="00172694" w:rsidRPr="00F50C10" w14:paraId="415700ED" w14:textId="77777777" w:rsidTr="00375F59">
        <w:trPr>
          <w:trHeight w:val="20"/>
        </w:trPr>
        <w:tc>
          <w:tcPr>
            <w:tcW w:w="1671" w:type="pct"/>
            <w:tcBorders>
              <w:top w:val="single" w:sz="6" w:space="0" w:color="auto"/>
              <w:left w:val="single" w:sz="6" w:space="0" w:color="auto"/>
              <w:bottom w:val="single" w:sz="6" w:space="0" w:color="auto"/>
              <w:right w:val="single" w:sz="6" w:space="0" w:color="auto"/>
            </w:tcBorders>
            <w:shd w:val="clear" w:color="auto" w:fill="auto"/>
            <w:vAlign w:val="center"/>
          </w:tcPr>
          <w:p w14:paraId="25C77182"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Tehlikeli atık</w:t>
            </w:r>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tcPr>
          <w:p w14:paraId="6F5A4DC2"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tcPr>
          <w:p w14:paraId="7665FAE4"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1,8 - 3</w:t>
            </w:r>
          </w:p>
        </w:tc>
      </w:tr>
      <w:tr w:rsidR="00172694" w:rsidRPr="00F50C10" w14:paraId="66BBE3E1" w14:textId="77777777" w:rsidTr="00375F59">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41CB66EE" w14:textId="117BFE13"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1. Doğrudan enerji, enerjinin verildiği gibi tüketimine karşılık gelir</w:t>
            </w:r>
            <w:r w:rsidR="005E7AB5" w:rsidRPr="00F50C10">
              <w:rPr>
                <w:rFonts w:eastAsia="Times New Roman" w:cs="Times New Roman"/>
                <w:i/>
                <w:iCs/>
                <w:szCs w:val="24"/>
                <w:lang w:val="tr-TR" w:eastAsia="tr-TR" w:bidi="tr-TR"/>
              </w:rPr>
              <w:t>.</w:t>
            </w:r>
          </w:p>
          <w:p w14:paraId="33388257" w14:textId="64E59F9B"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2. Birincil enerji, fosil yakıt miktarına geri hesaplanan enerjidir. Birincil enerji hesaplaması için kullanılan verimler şunlardır: elektrik:</w:t>
            </w:r>
            <w:r w:rsidR="00760235" w:rsidRPr="00F50C10">
              <w:rPr>
                <w:rFonts w:eastAsia="Times New Roman" w:cs="Times New Roman"/>
                <w:i/>
                <w:iCs/>
                <w:szCs w:val="24"/>
                <w:lang w:val="tr-TR" w:eastAsia="tr-TR" w:bidi="tr-TR"/>
              </w:rPr>
              <w:t xml:space="preserve"> </w:t>
            </w:r>
            <w:r w:rsidRPr="00F50C10">
              <w:rPr>
                <w:rFonts w:eastAsia="Times New Roman" w:cs="Times New Roman"/>
                <w:i/>
                <w:iCs/>
                <w:szCs w:val="24"/>
                <w:lang w:val="tr-TR" w:eastAsia="tr-TR" w:bidi="tr-TR"/>
              </w:rPr>
              <w:t>%40 ve buhar: %90. Doğrudan enerji tüketimi ile birincil enerji tüketimi arasındaki farkın büyüklüğü, LDPE proseslerinde elektrik enerjisinin yüksek paya sahip olmasından kaynaklanmaktadır</w:t>
            </w:r>
          </w:p>
          <w:p w14:paraId="19ED2132" w14:textId="5CCED539"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3. Toz, katılımcılar tarafından bildirilen tozun tümünü içerir</w:t>
            </w:r>
            <w:r w:rsidR="005E7AB5" w:rsidRPr="00F50C10">
              <w:rPr>
                <w:rFonts w:eastAsia="Times New Roman" w:cs="Times New Roman"/>
                <w:i/>
                <w:iCs/>
                <w:szCs w:val="24"/>
                <w:lang w:val="tr-TR" w:eastAsia="tr-TR" w:bidi="tr-TR"/>
              </w:rPr>
              <w:t>.</w:t>
            </w:r>
          </w:p>
          <w:p w14:paraId="391F299F" w14:textId="05D6E000"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 xml:space="preserve">4. </w:t>
            </w:r>
            <w:r w:rsidRPr="00F50C10">
              <w:rPr>
                <w:rFonts w:eastAsia="Times New Roman" w:cs="Times New Roman"/>
                <w:i/>
                <w:iCs/>
                <w:szCs w:val="24"/>
                <w:lang w:val="tr-TR" w:eastAsia="tr-TR"/>
              </w:rPr>
              <w:t>UOB, kaçak emisyonlar dahil tüm hidrokarbon ve diğer organik bileşikleri içerir</w:t>
            </w:r>
            <w:r w:rsidR="005E7AB5" w:rsidRPr="00F50C10">
              <w:rPr>
                <w:rFonts w:eastAsia="Times New Roman" w:cs="Times New Roman"/>
                <w:i/>
                <w:iCs/>
                <w:szCs w:val="24"/>
                <w:lang w:val="tr-TR" w:eastAsia="tr-TR"/>
              </w:rPr>
              <w:t>.</w:t>
            </w:r>
          </w:p>
          <w:p w14:paraId="7B8C83E9" w14:textId="096073D2"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 xml:space="preserve">5. Ton ürün başına kilogram cinsinden </w:t>
            </w:r>
            <w:r w:rsidR="00760235" w:rsidRPr="00F50C10">
              <w:rPr>
                <w:rFonts w:eastAsia="Times New Roman" w:cs="Times New Roman"/>
                <w:i/>
                <w:iCs/>
                <w:szCs w:val="24"/>
                <w:lang w:val="tr-TR" w:eastAsia="tr-TR" w:bidi="tr-TR"/>
              </w:rPr>
              <w:t>inert</w:t>
            </w:r>
            <w:r w:rsidRPr="00F50C10">
              <w:rPr>
                <w:rFonts w:eastAsia="Times New Roman" w:cs="Times New Roman"/>
                <w:i/>
                <w:iCs/>
                <w:szCs w:val="24"/>
                <w:lang w:val="tr-TR" w:eastAsia="tr-TR" w:bidi="tr-TR"/>
              </w:rPr>
              <w:t xml:space="preserve"> atık (atık sahasına) (kg/t)</w:t>
            </w:r>
          </w:p>
          <w:p w14:paraId="58AD88F7"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6. Ton ürün başına kilogram cinsinden tehlikeli atık (arıtma veya yakmaya) (kg/t)</w:t>
            </w:r>
          </w:p>
          <w:p w14:paraId="146C475F"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vertAlign w:val="superscript"/>
                <w:lang w:val="tr-TR" w:eastAsia="tr-TR" w:bidi="tr-TR"/>
              </w:rPr>
              <w:t>*</w:t>
            </w:r>
            <w:r w:rsidRPr="00F50C10">
              <w:rPr>
                <w:rFonts w:eastAsia="Times New Roman" w:cs="Times New Roman"/>
                <w:i/>
                <w:iCs/>
                <w:szCs w:val="24"/>
                <w:lang w:val="tr-TR" w:eastAsia="tr-TR" w:bidi="tr-TR"/>
              </w:rPr>
              <w:t xml:space="preserve"> Sadece ithal enerji</w:t>
            </w:r>
          </w:p>
          <w:p w14:paraId="18FAC09C" w14:textId="1F5C0FE2"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tr-TR" w:eastAsia="tr-TR"/>
              </w:rPr>
            </w:pPr>
            <w:r w:rsidRPr="00F50C10">
              <w:rPr>
                <w:rFonts w:eastAsia="Times New Roman" w:cs="Times New Roman"/>
                <w:i/>
                <w:iCs/>
                <w:szCs w:val="24"/>
                <w:vertAlign w:val="superscript"/>
                <w:lang w:val="tr-TR" w:eastAsia="tr-TR" w:bidi="tr-TR"/>
              </w:rPr>
              <w:t>**</w:t>
            </w:r>
            <w:r w:rsidRPr="00F50C10">
              <w:rPr>
                <w:rFonts w:eastAsia="Times New Roman" w:cs="Times New Roman"/>
                <w:i/>
                <w:iCs/>
                <w:szCs w:val="24"/>
                <w:lang w:val="tr-TR" w:eastAsia="tr-TR" w:bidi="tr-TR"/>
              </w:rPr>
              <w:t xml:space="preserve"> Düşük basınçlı buhar için 0 ila 0,72 GJ/t kazanç potansiyeli hariç tutulmaktadır (düşük basınçlı buharın ihracat imkanına bağlıdır)</w:t>
            </w:r>
            <w:r w:rsidR="005E7AB5" w:rsidRPr="00F50C10">
              <w:rPr>
                <w:rFonts w:eastAsia="Times New Roman" w:cs="Times New Roman"/>
                <w:i/>
                <w:iCs/>
                <w:szCs w:val="24"/>
                <w:lang w:val="tr-TR" w:eastAsia="tr-TR" w:bidi="tr-TR"/>
              </w:rPr>
              <w:t>.</w:t>
            </w:r>
          </w:p>
        </w:tc>
      </w:tr>
    </w:tbl>
    <w:p w14:paraId="51222C51" w14:textId="77777777" w:rsidR="00172694" w:rsidRPr="00F50C10" w:rsidRDefault="00172694" w:rsidP="000B206D">
      <w:pPr>
        <w:widowControl w:val="0"/>
        <w:autoSpaceDE w:val="0"/>
        <w:autoSpaceDN w:val="0"/>
        <w:adjustRightInd w:val="0"/>
        <w:spacing w:after="120" w:line="276" w:lineRule="auto"/>
        <w:rPr>
          <w:rFonts w:eastAsia="Times New Roman" w:cs="Times New Roman"/>
          <w:szCs w:val="24"/>
          <w:lang w:val="tr-TR" w:eastAsia="tr-TR"/>
        </w:rPr>
      </w:pPr>
      <w:r w:rsidRPr="00F50C10">
        <w:rPr>
          <w:rFonts w:eastAsia="Times New Roman" w:cs="Times New Roman"/>
          <w:bCs/>
          <w:szCs w:val="24"/>
          <w:lang w:val="tr-TR" w:eastAsia="tr-TR" w:bidi="tr-TR"/>
        </w:rPr>
        <w:t>Kalan kullanım ömrü sınırlı olan mevcut tesisler için yukarıda açıklanan MET'in ekonomik uygulanabilirliği</w:t>
      </w:r>
      <w:r w:rsidRPr="00F50C10">
        <w:rPr>
          <w:rFonts w:eastAsia="Times New Roman" w:cs="Times New Roman"/>
          <w:szCs w:val="24"/>
          <w:lang w:val="tr-TR" w:eastAsia="tr-TR" w:bidi="tr-TR"/>
        </w:rPr>
        <w:t xml:space="preserve"> ile ilgili olarak, UOB emisyonları özelinde söz konusu mevcut tesisler ile yeni tesisler arasında bir ayrım yapılmıştır.</w:t>
      </w:r>
    </w:p>
    <w:p w14:paraId="270B09C0" w14:textId="75B74004" w:rsidR="00172694" w:rsidRPr="00F50C10" w:rsidRDefault="00172694" w:rsidP="000B206D">
      <w:pPr>
        <w:keepNext/>
        <w:spacing w:line="276" w:lineRule="auto"/>
        <w:rPr>
          <w:rFonts w:cs="Times New Roman"/>
          <w:b/>
          <w:iCs/>
          <w:color w:val="000000" w:themeColor="text1"/>
          <w:szCs w:val="24"/>
          <w:lang w:val="tr-TR"/>
        </w:rPr>
      </w:pPr>
      <w:r w:rsidRPr="00F50C10">
        <w:rPr>
          <w:rFonts w:cs="Times New Roman"/>
          <w:b/>
          <w:iCs/>
          <w:color w:val="000000" w:themeColor="text1"/>
          <w:szCs w:val="24"/>
          <w:lang w:val="tr-TR"/>
        </w:rPr>
        <w:t xml:space="preserve">Tablo </w:t>
      </w:r>
      <w:r w:rsidR="00702548" w:rsidRPr="00F50C10">
        <w:rPr>
          <w:rFonts w:cs="Times New Roman"/>
          <w:b/>
          <w:iCs/>
          <w:color w:val="000000" w:themeColor="text1"/>
          <w:szCs w:val="24"/>
          <w:lang w:val="tr-TR"/>
        </w:rPr>
        <w:t>3</w:t>
      </w:r>
      <w:r w:rsidRPr="00F50C10">
        <w:rPr>
          <w:rFonts w:cs="Times New Roman"/>
          <w:b/>
          <w:iCs/>
          <w:color w:val="000000" w:themeColor="text1"/>
          <w:szCs w:val="24"/>
        </w:rPr>
        <w:fldChar w:fldCharType="begin"/>
      </w:r>
      <w:r w:rsidRPr="00F50C10">
        <w:rPr>
          <w:rFonts w:cs="Times New Roman"/>
          <w:b/>
          <w:iCs/>
          <w:color w:val="000000" w:themeColor="text1"/>
          <w:szCs w:val="24"/>
          <w:lang w:val="tr-TR"/>
        </w:rPr>
        <w:instrText xml:space="preserve"> SEQ Tablo \* ARABIC </w:instrText>
      </w:r>
      <w:r w:rsidRPr="00F50C10">
        <w:rPr>
          <w:rFonts w:cs="Times New Roman"/>
          <w:b/>
          <w:iCs/>
          <w:color w:val="000000" w:themeColor="text1"/>
          <w:szCs w:val="24"/>
        </w:rPr>
        <w:fldChar w:fldCharType="separate"/>
      </w:r>
      <w:r w:rsidRPr="00F50C10">
        <w:rPr>
          <w:rFonts w:cs="Times New Roman"/>
          <w:b/>
          <w:iCs/>
          <w:noProof/>
          <w:color w:val="000000" w:themeColor="text1"/>
          <w:szCs w:val="24"/>
          <w:lang w:val="tr-TR"/>
        </w:rPr>
        <w:t>2</w:t>
      </w:r>
      <w:r w:rsidRPr="00F50C10">
        <w:rPr>
          <w:rFonts w:cs="Times New Roman"/>
          <w:b/>
          <w:iCs/>
          <w:color w:val="000000" w:themeColor="text1"/>
          <w:szCs w:val="24"/>
        </w:rPr>
        <w:fldChar w:fldCharType="end"/>
      </w:r>
      <w:r w:rsidRPr="00F50C10">
        <w:rPr>
          <w:rFonts w:cs="Times New Roman"/>
          <w:b/>
          <w:iCs/>
          <w:color w:val="000000" w:themeColor="text1"/>
          <w:szCs w:val="24"/>
          <w:lang w:val="tr-TR"/>
        </w:rPr>
        <w:t xml:space="preserve">. LDPE kopolimerlerinin üretimi için </w:t>
      </w:r>
      <w:r w:rsidRPr="00F50C10">
        <w:rPr>
          <w:rFonts w:cs="Times New Roman"/>
          <w:b/>
          <w:iCs/>
          <w:color w:val="000000" w:themeColor="text1"/>
          <w:szCs w:val="24"/>
          <w:lang w:val="tr-TR" w:bidi="tr-TR"/>
        </w:rPr>
        <w:t>MET ile ilişkili emisyon ve tüketim seviyeleri</w:t>
      </w:r>
    </w:p>
    <w:tbl>
      <w:tblPr>
        <w:tblW w:w="5000" w:type="pct"/>
        <w:tblCellMar>
          <w:top w:w="11" w:type="dxa"/>
          <w:left w:w="57" w:type="dxa"/>
          <w:bottom w:w="11" w:type="dxa"/>
          <w:right w:w="57" w:type="dxa"/>
        </w:tblCellMar>
        <w:tblLook w:val="0000" w:firstRow="0" w:lastRow="0" w:firstColumn="0" w:lastColumn="0" w:noHBand="0" w:noVBand="0"/>
      </w:tblPr>
      <w:tblGrid>
        <w:gridCol w:w="3508"/>
        <w:gridCol w:w="3653"/>
        <w:gridCol w:w="2149"/>
      </w:tblGrid>
      <w:tr w:rsidR="00172694" w:rsidRPr="00F50C10" w14:paraId="47502043" w14:textId="77777777" w:rsidTr="00375F59">
        <w:trPr>
          <w:trHeight w:val="20"/>
          <w:tblHeader/>
        </w:trPr>
        <w:tc>
          <w:tcPr>
            <w:tcW w:w="1884" w:type="pct"/>
            <w:tcBorders>
              <w:top w:val="single" w:sz="4" w:space="0" w:color="auto"/>
              <w:left w:val="single" w:sz="4" w:space="0" w:color="auto"/>
              <w:bottom w:val="single" w:sz="4" w:space="0" w:color="auto"/>
              <w:right w:val="single" w:sz="4" w:space="0" w:color="auto"/>
            </w:tcBorders>
            <w:shd w:val="clear" w:color="auto" w:fill="auto"/>
            <w:vAlign w:val="center"/>
          </w:tcPr>
          <w:p w14:paraId="6D81DAE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LDPE kopolimerleri</w:t>
            </w:r>
          </w:p>
        </w:tc>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29B8773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Ton ürün başına birim</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24C2269D"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MET ile ilişkili emisyon seviyeleri</w:t>
            </w:r>
          </w:p>
        </w:tc>
      </w:tr>
      <w:tr w:rsidR="00172694" w:rsidRPr="00F50C10" w14:paraId="5FE21211" w14:textId="77777777" w:rsidTr="00375F59">
        <w:trPr>
          <w:trHeight w:val="20"/>
          <w:tblHeader/>
        </w:trPr>
        <w:tc>
          <w:tcPr>
            <w:tcW w:w="5000" w:type="pct"/>
            <w:gridSpan w:val="3"/>
            <w:tcBorders>
              <w:top w:val="single" w:sz="4" w:space="0" w:color="auto"/>
              <w:left w:val="single" w:sz="6" w:space="0" w:color="auto"/>
              <w:bottom w:val="single" w:sz="6" w:space="0" w:color="auto"/>
              <w:right w:val="single" w:sz="6" w:space="0" w:color="auto"/>
            </w:tcBorders>
            <w:shd w:val="clear" w:color="auto" w:fill="auto"/>
          </w:tcPr>
          <w:p w14:paraId="67F2924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Tüketim</w:t>
            </w:r>
          </w:p>
        </w:tc>
      </w:tr>
      <w:tr w:rsidR="00172694" w:rsidRPr="00F50C10" w14:paraId="624F3E00" w14:textId="77777777" w:rsidTr="00375F59">
        <w:trPr>
          <w:trHeight w:val="20"/>
        </w:trPr>
        <w:tc>
          <w:tcPr>
            <w:tcW w:w="1884" w:type="pct"/>
            <w:tcBorders>
              <w:top w:val="single" w:sz="6" w:space="0" w:color="auto"/>
              <w:left w:val="single" w:sz="6" w:space="0" w:color="auto"/>
              <w:bottom w:val="single" w:sz="6" w:space="0" w:color="auto"/>
              <w:right w:val="single" w:sz="6" w:space="0" w:color="auto"/>
            </w:tcBorders>
            <w:shd w:val="clear" w:color="auto" w:fill="auto"/>
            <w:vAlign w:val="center"/>
          </w:tcPr>
          <w:p w14:paraId="7EDC0E6F"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Monomer tüketimi</w:t>
            </w:r>
          </w:p>
        </w:tc>
        <w:tc>
          <w:tcPr>
            <w:tcW w:w="1962" w:type="pct"/>
            <w:tcBorders>
              <w:top w:val="single" w:sz="6" w:space="0" w:color="auto"/>
              <w:left w:val="single" w:sz="6" w:space="0" w:color="auto"/>
              <w:bottom w:val="single" w:sz="6" w:space="0" w:color="auto"/>
              <w:right w:val="single" w:sz="6" w:space="0" w:color="auto"/>
            </w:tcBorders>
            <w:shd w:val="clear" w:color="auto" w:fill="auto"/>
            <w:vAlign w:val="center"/>
          </w:tcPr>
          <w:p w14:paraId="5B22A69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1154" w:type="pct"/>
            <w:tcBorders>
              <w:top w:val="single" w:sz="6" w:space="0" w:color="auto"/>
              <w:left w:val="single" w:sz="6" w:space="0" w:color="auto"/>
              <w:bottom w:val="single" w:sz="6" w:space="0" w:color="auto"/>
              <w:right w:val="single" w:sz="6" w:space="0" w:color="auto"/>
            </w:tcBorders>
            <w:shd w:val="clear" w:color="auto" w:fill="auto"/>
            <w:vAlign w:val="center"/>
          </w:tcPr>
          <w:p w14:paraId="5B5EE39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1020</w:t>
            </w:r>
          </w:p>
        </w:tc>
      </w:tr>
      <w:tr w:rsidR="00172694" w:rsidRPr="00F50C10" w14:paraId="51E85883" w14:textId="77777777" w:rsidTr="00375F59">
        <w:trPr>
          <w:trHeight w:val="20"/>
        </w:trPr>
        <w:tc>
          <w:tcPr>
            <w:tcW w:w="1884" w:type="pct"/>
            <w:tcBorders>
              <w:top w:val="single" w:sz="6" w:space="0" w:color="auto"/>
              <w:left w:val="single" w:sz="6" w:space="0" w:color="auto"/>
              <w:bottom w:val="single" w:sz="6" w:space="0" w:color="auto"/>
              <w:right w:val="single" w:sz="6" w:space="0" w:color="auto"/>
            </w:tcBorders>
            <w:shd w:val="clear" w:color="auto" w:fill="auto"/>
            <w:vAlign w:val="center"/>
          </w:tcPr>
          <w:p w14:paraId="150A6DC7"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Doğrudan enerji tüketimi</w:t>
            </w:r>
          </w:p>
        </w:tc>
        <w:tc>
          <w:tcPr>
            <w:tcW w:w="1962" w:type="pct"/>
            <w:tcBorders>
              <w:top w:val="single" w:sz="6" w:space="0" w:color="auto"/>
              <w:left w:val="single" w:sz="6" w:space="0" w:color="auto"/>
              <w:bottom w:val="single" w:sz="6" w:space="0" w:color="auto"/>
              <w:right w:val="single" w:sz="6" w:space="0" w:color="auto"/>
            </w:tcBorders>
            <w:shd w:val="clear" w:color="auto" w:fill="auto"/>
            <w:vAlign w:val="center"/>
          </w:tcPr>
          <w:p w14:paraId="4C2234B9"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GJ</w:t>
            </w:r>
          </w:p>
        </w:tc>
        <w:tc>
          <w:tcPr>
            <w:tcW w:w="1154" w:type="pct"/>
            <w:tcBorders>
              <w:top w:val="single" w:sz="6" w:space="0" w:color="auto"/>
              <w:left w:val="single" w:sz="6" w:space="0" w:color="auto"/>
              <w:bottom w:val="single" w:sz="6" w:space="0" w:color="auto"/>
              <w:right w:val="single" w:sz="6" w:space="0" w:color="auto"/>
            </w:tcBorders>
            <w:shd w:val="clear" w:color="auto" w:fill="auto"/>
            <w:vAlign w:val="center"/>
          </w:tcPr>
          <w:p w14:paraId="574D775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4,5</w:t>
            </w:r>
          </w:p>
        </w:tc>
      </w:tr>
      <w:tr w:rsidR="00172694" w:rsidRPr="00F50C10" w14:paraId="2B4106BE" w14:textId="77777777" w:rsidTr="00375F59">
        <w:trPr>
          <w:trHeight w:val="20"/>
        </w:trPr>
        <w:tc>
          <w:tcPr>
            <w:tcW w:w="1884" w:type="pct"/>
            <w:tcBorders>
              <w:top w:val="single" w:sz="6" w:space="0" w:color="auto"/>
              <w:left w:val="single" w:sz="6" w:space="0" w:color="auto"/>
              <w:bottom w:val="single" w:sz="6" w:space="0" w:color="auto"/>
              <w:right w:val="single" w:sz="6" w:space="0" w:color="auto"/>
            </w:tcBorders>
            <w:shd w:val="clear" w:color="auto" w:fill="auto"/>
            <w:vAlign w:val="center"/>
          </w:tcPr>
          <w:p w14:paraId="599888DB"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Birincil enerji tüketimi</w:t>
            </w:r>
          </w:p>
        </w:tc>
        <w:tc>
          <w:tcPr>
            <w:tcW w:w="1962" w:type="pct"/>
            <w:tcBorders>
              <w:top w:val="single" w:sz="6" w:space="0" w:color="auto"/>
              <w:left w:val="single" w:sz="6" w:space="0" w:color="auto"/>
              <w:bottom w:val="single" w:sz="6" w:space="0" w:color="auto"/>
              <w:right w:val="single" w:sz="6" w:space="0" w:color="auto"/>
            </w:tcBorders>
            <w:shd w:val="clear" w:color="auto" w:fill="auto"/>
            <w:vAlign w:val="center"/>
          </w:tcPr>
          <w:p w14:paraId="4BC72FA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GJ</w:t>
            </w:r>
          </w:p>
        </w:tc>
        <w:tc>
          <w:tcPr>
            <w:tcW w:w="1154" w:type="pct"/>
            <w:tcBorders>
              <w:top w:val="single" w:sz="6" w:space="0" w:color="auto"/>
              <w:left w:val="single" w:sz="6" w:space="0" w:color="auto"/>
              <w:bottom w:val="single" w:sz="6" w:space="0" w:color="auto"/>
              <w:right w:val="single" w:sz="6" w:space="0" w:color="auto"/>
            </w:tcBorders>
            <w:shd w:val="clear" w:color="auto" w:fill="auto"/>
            <w:vAlign w:val="center"/>
          </w:tcPr>
          <w:p w14:paraId="337BB0F9"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10,8*</w:t>
            </w:r>
          </w:p>
        </w:tc>
      </w:tr>
      <w:tr w:rsidR="00172694" w:rsidRPr="00F50C10" w14:paraId="6F93C76F" w14:textId="77777777" w:rsidTr="00375F59">
        <w:trPr>
          <w:trHeight w:val="20"/>
        </w:trPr>
        <w:tc>
          <w:tcPr>
            <w:tcW w:w="1884" w:type="pct"/>
            <w:tcBorders>
              <w:top w:val="single" w:sz="6" w:space="0" w:color="auto"/>
              <w:left w:val="single" w:sz="6" w:space="0" w:color="auto"/>
              <w:bottom w:val="single" w:sz="6" w:space="0" w:color="auto"/>
              <w:right w:val="single" w:sz="6" w:space="0" w:color="auto"/>
            </w:tcBorders>
            <w:shd w:val="clear" w:color="auto" w:fill="auto"/>
            <w:vAlign w:val="center"/>
          </w:tcPr>
          <w:p w14:paraId="78AC6908"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Su tüketimi</w:t>
            </w:r>
          </w:p>
        </w:tc>
        <w:tc>
          <w:tcPr>
            <w:tcW w:w="1962" w:type="pct"/>
            <w:tcBorders>
              <w:top w:val="single" w:sz="6" w:space="0" w:color="auto"/>
              <w:left w:val="single" w:sz="6" w:space="0" w:color="auto"/>
              <w:bottom w:val="single" w:sz="6" w:space="0" w:color="auto"/>
              <w:right w:val="single" w:sz="6" w:space="0" w:color="auto"/>
            </w:tcBorders>
            <w:shd w:val="clear" w:color="auto" w:fill="auto"/>
            <w:vAlign w:val="center"/>
          </w:tcPr>
          <w:p w14:paraId="0946591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m</w:t>
            </w:r>
            <w:r w:rsidRPr="00F50C10">
              <w:rPr>
                <w:rFonts w:eastAsia="Times New Roman" w:cs="Times New Roman"/>
                <w:szCs w:val="24"/>
                <w:vertAlign w:val="superscript"/>
                <w:lang w:val="tr-TR" w:eastAsia="tr-TR" w:bidi="tr-TR"/>
              </w:rPr>
              <w:t>3</w:t>
            </w:r>
          </w:p>
        </w:tc>
        <w:tc>
          <w:tcPr>
            <w:tcW w:w="1154" w:type="pct"/>
            <w:tcBorders>
              <w:top w:val="single" w:sz="6" w:space="0" w:color="auto"/>
              <w:left w:val="single" w:sz="6" w:space="0" w:color="auto"/>
              <w:bottom w:val="single" w:sz="6" w:space="0" w:color="auto"/>
              <w:right w:val="single" w:sz="6" w:space="0" w:color="auto"/>
            </w:tcBorders>
            <w:shd w:val="clear" w:color="auto" w:fill="auto"/>
            <w:vAlign w:val="center"/>
          </w:tcPr>
          <w:p w14:paraId="6AD45A29"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2,8</w:t>
            </w:r>
          </w:p>
        </w:tc>
      </w:tr>
      <w:tr w:rsidR="00172694" w:rsidRPr="00F50C10" w14:paraId="07E6312D" w14:textId="77777777" w:rsidTr="00375F59">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1356E6F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Hava emisyonları</w:t>
            </w:r>
          </w:p>
        </w:tc>
      </w:tr>
      <w:tr w:rsidR="00172694" w:rsidRPr="00F50C10" w14:paraId="7780D696" w14:textId="77777777" w:rsidTr="00375F59">
        <w:trPr>
          <w:trHeight w:val="20"/>
        </w:trPr>
        <w:tc>
          <w:tcPr>
            <w:tcW w:w="1884" w:type="pct"/>
            <w:tcBorders>
              <w:top w:val="single" w:sz="6" w:space="0" w:color="auto"/>
              <w:left w:val="single" w:sz="6" w:space="0" w:color="auto"/>
              <w:bottom w:val="single" w:sz="6" w:space="0" w:color="auto"/>
              <w:right w:val="single" w:sz="6" w:space="0" w:color="auto"/>
            </w:tcBorders>
            <w:shd w:val="clear" w:color="auto" w:fill="auto"/>
            <w:vAlign w:val="center"/>
          </w:tcPr>
          <w:p w14:paraId="24F9305D"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Toz emisyonu</w:t>
            </w:r>
          </w:p>
        </w:tc>
        <w:tc>
          <w:tcPr>
            <w:tcW w:w="1962" w:type="pct"/>
            <w:tcBorders>
              <w:top w:val="single" w:sz="6" w:space="0" w:color="auto"/>
              <w:left w:val="single" w:sz="6" w:space="0" w:color="auto"/>
              <w:bottom w:val="single" w:sz="6" w:space="0" w:color="auto"/>
              <w:right w:val="single" w:sz="6" w:space="0" w:color="auto"/>
            </w:tcBorders>
            <w:shd w:val="clear" w:color="auto" w:fill="auto"/>
          </w:tcPr>
          <w:p w14:paraId="06C12F4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154" w:type="pct"/>
            <w:tcBorders>
              <w:top w:val="single" w:sz="6" w:space="0" w:color="auto"/>
              <w:left w:val="single" w:sz="6" w:space="0" w:color="auto"/>
              <w:bottom w:val="single" w:sz="6" w:space="0" w:color="auto"/>
              <w:right w:val="single" w:sz="6" w:space="0" w:color="auto"/>
            </w:tcBorders>
            <w:shd w:val="clear" w:color="auto" w:fill="auto"/>
          </w:tcPr>
          <w:p w14:paraId="3C3FD2A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20</w:t>
            </w:r>
          </w:p>
        </w:tc>
      </w:tr>
      <w:tr w:rsidR="00172694" w:rsidRPr="00F50C10" w14:paraId="4700E756" w14:textId="77777777" w:rsidTr="00375F59">
        <w:trPr>
          <w:trHeight w:val="20"/>
        </w:trPr>
        <w:tc>
          <w:tcPr>
            <w:tcW w:w="1884" w:type="pct"/>
            <w:tcBorders>
              <w:top w:val="single" w:sz="6" w:space="0" w:color="auto"/>
              <w:left w:val="single" w:sz="6" w:space="0" w:color="auto"/>
              <w:bottom w:val="single" w:sz="6" w:space="0" w:color="auto"/>
              <w:right w:val="single" w:sz="6" w:space="0" w:color="auto"/>
            </w:tcBorders>
            <w:shd w:val="clear" w:color="auto" w:fill="auto"/>
            <w:vAlign w:val="center"/>
          </w:tcPr>
          <w:p w14:paraId="24B51FBF"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UOB emisyonu</w:t>
            </w:r>
          </w:p>
        </w:tc>
        <w:tc>
          <w:tcPr>
            <w:tcW w:w="1962" w:type="pct"/>
            <w:tcBorders>
              <w:top w:val="single" w:sz="6" w:space="0" w:color="auto"/>
              <w:left w:val="single" w:sz="6" w:space="0" w:color="auto"/>
              <w:bottom w:val="single" w:sz="6" w:space="0" w:color="auto"/>
              <w:right w:val="single" w:sz="6" w:space="0" w:color="auto"/>
            </w:tcBorders>
            <w:shd w:val="clear" w:color="auto" w:fill="auto"/>
          </w:tcPr>
          <w:p w14:paraId="538FA18D"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154" w:type="pct"/>
            <w:tcBorders>
              <w:top w:val="single" w:sz="6" w:space="0" w:color="auto"/>
              <w:left w:val="single" w:sz="6" w:space="0" w:color="auto"/>
              <w:bottom w:val="single" w:sz="6" w:space="0" w:color="auto"/>
              <w:right w:val="single" w:sz="6" w:space="0" w:color="auto"/>
            </w:tcBorders>
            <w:shd w:val="clear" w:color="auto" w:fill="auto"/>
          </w:tcPr>
          <w:p w14:paraId="48357CC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2000**</w:t>
            </w:r>
          </w:p>
        </w:tc>
      </w:tr>
      <w:tr w:rsidR="00172694" w:rsidRPr="00F50C10" w14:paraId="09FCD0B1" w14:textId="77777777" w:rsidTr="00375F59">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08B7B08D"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Atık</w:t>
            </w:r>
          </w:p>
        </w:tc>
      </w:tr>
      <w:tr w:rsidR="00172694" w:rsidRPr="00F50C10" w14:paraId="573B84DF" w14:textId="77777777" w:rsidTr="00375F59">
        <w:trPr>
          <w:trHeight w:val="20"/>
        </w:trPr>
        <w:tc>
          <w:tcPr>
            <w:tcW w:w="1884" w:type="pct"/>
            <w:tcBorders>
              <w:top w:val="single" w:sz="6" w:space="0" w:color="auto"/>
              <w:left w:val="single" w:sz="6" w:space="0" w:color="auto"/>
              <w:bottom w:val="single" w:sz="6" w:space="0" w:color="auto"/>
              <w:right w:val="single" w:sz="6" w:space="0" w:color="auto"/>
            </w:tcBorders>
            <w:shd w:val="clear" w:color="auto" w:fill="auto"/>
            <w:vAlign w:val="center"/>
          </w:tcPr>
          <w:p w14:paraId="42DEC402" w14:textId="037BCD45" w:rsidR="00172694" w:rsidRPr="00F50C10" w:rsidRDefault="00760235"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İnert</w:t>
            </w:r>
            <w:r w:rsidR="00172694" w:rsidRPr="00F50C10">
              <w:rPr>
                <w:rFonts w:eastAsia="Times New Roman" w:cs="Times New Roman"/>
                <w:szCs w:val="24"/>
                <w:lang w:val="tr-TR" w:eastAsia="tr-TR" w:bidi="tr-TR"/>
              </w:rPr>
              <w:t xml:space="preserve"> atık</w:t>
            </w:r>
          </w:p>
        </w:tc>
        <w:tc>
          <w:tcPr>
            <w:tcW w:w="1962" w:type="pct"/>
            <w:tcBorders>
              <w:top w:val="single" w:sz="6" w:space="0" w:color="auto"/>
              <w:left w:val="single" w:sz="6" w:space="0" w:color="auto"/>
              <w:bottom w:val="single" w:sz="6" w:space="0" w:color="auto"/>
              <w:right w:val="single" w:sz="6" w:space="0" w:color="auto"/>
            </w:tcBorders>
            <w:shd w:val="clear" w:color="auto" w:fill="auto"/>
            <w:vAlign w:val="center"/>
          </w:tcPr>
          <w:p w14:paraId="771252E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1154" w:type="pct"/>
            <w:tcBorders>
              <w:top w:val="single" w:sz="6" w:space="0" w:color="auto"/>
              <w:left w:val="single" w:sz="6" w:space="0" w:color="auto"/>
              <w:bottom w:val="single" w:sz="6" w:space="0" w:color="auto"/>
              <w:right w:val="single" w:sz="6" w:space="0" w:color="auto"/>
            </w:tcBorders>
            <w:shd w:val="clear" w:color="auto" w:fill="auto"/>
            <w:vAlign w:val="center"/>
          </w:tcPr>
          <w:p w14:paraId="15040B8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1,3</w:t>
            </w:r>
          </w:p>
        </w:tc>
      </w:tr>
      <w:tr w:rsidR="00172694" w:rsidRPr="00F50C10" w14:paraId="454420A7" w14:textId="77777777" w:rsidTr="00375F59">
        <w:trPr>
          <w:trHeight w:val="20"/>
        </w:trPr>
        <w:tc>
          <w:tcPr>
            <w:tcW w:w="1884" w:type="pct"/>
            <w:tcBorders>
              <w:top w:val="single" w:sz="6" w:space="0" w:color="auto"/>
              <w:left w:val="single" w:sz="6" w:space="0" w:color="auto"/>
              <w:bottom w:val="single" w:sz="6" w:space="0" w:color="auto"/>
              <w:right w:val="single" w:sz="6" w:space="0" w:color="auto"/>
            </w:tcBorders>
            <w:shd w:val="clear" w:color="auto" w:fill="auto"/>
            <w:vAlign w:val="center"/>
          </w:tcPr>
          <w:p w14:paraId="216553C1"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Tehlikeli atık</w:t>
            </w:r>
          </w:p>
        </w:tc>
        <w:tc>
          <w:tcPr>
            <w:tcW w:w="1962" w:type="pct"/>
            <w:tcBorders>
              <w:top w:val="single" w:sz="6" w:space="0" w:color="auto"/>
              <w:left w:val="single" w:sz="6" w:space="0" w:color="auto"/>
              <w:bottom w:val="single" w:sz="6" w:space="0" w:color="auto"/>
              <w:right w:val="single" w:sz="6" w:space="0" w:color="auto"/>
            </w:tcBorders>
            <w:shd w:val="clear" w:color="auto" w:fill="auto"/>
            <w:vAlign w:val="center"/>
          </w:tcPr>
          <w:p w14:paraId="474AC67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1154" w:type="pct"/>
            <w:tcBorders>
              <w:top w:val="single" w:sz="6" w:space="0" w:color="auto"/>
              <w:left w:val="single" w:sz="6" w:space="0" w:color="auto"/>
              <w:bottom w:val="single" w:sz="6" w:space="0" w:color="auto"/>
              <w:right w:val="single" w:sz="6" w:space="0" w:color="auto"/>
            </w:tcBorders>
            <w:shd w:val="clear" w:color="auto" w:fill="auto"/>
            <w:vAlign w:val="center"/>
          </w:tcPr>
          <w:p w14:paraId="1AABA0C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5</w:t>
            </w:r>
          </w:p>
        </w:tc>
      </w:tr>
      <w:tr w:rsidR="00172694" w:rsidRPr="00F50C10" w14:paraId="08422CFD" w14:textId="77777777" w:rsidTr="00375F59">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61A57424"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 Yüksek basınçlı kopolimerlerin üretimi, önemli ölçüde daha yüksek enerji tüketimine yol açacaktır.</w:t>
            </w:r>
          </w:p>
          <w:p w14:paraId="2365823D"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tr-TR" w:eastAsia="tr-TR"/>
              </w:rPr>
            </w:pPr>
            <w:r w:rsidRPr="00F50C10">
              <w:rPr>
                <w:rFonts w:eastAsia="Times New Roman" w:cs="Times New Roman"/>
                <w:i/>
                <w:iCs/>
                <w:szCs w:val="24"/>
                <w:lang w:val="tr-TR" w:eastAsia="tr-TR" w:bidi="tr-TR"/>
              </w:rPr>
              <w:t>** Yüksek EVA kopolimerinin üretimi (a/a %18), UOB emisyonlarını 1500 g/ton artırabilir.</w:t>
            </w:r>
          </w:p>
        </w:tc>
      </w:tr>
    </w:tbl>
    <w:p w14:paraId="6DC49CAE" w14:textId="121FBF49" w:rsidR="00172694" w:rsidRPr="00F50C10" w:rsidRDefault="00172694" w:rsidP="000B206D">
      <w:pPr>
        <w:keepNext/>
        <w:spacing w:before="120" w:after="60" w:line="276" w:lineRule="auto"/>
        <w:rPr>
          <w:rFonts w:cs="Times New Roman"/>
          <w:b/>
          <w:iCs/>
          <w:color w:val="000000" w:themeColor="text1"/>
          <w:szCs w:val="24"/>
          <w:lang w:val="tr-TR"/>
        </w:rPr>
      </w:pPr>
      <w:r w:rsidRPr="00F50C10">
        <w:rPr>
          <w:rFonts w:cs="Times New Roman"/>
          <w:b/>
          <w:iCs/>
          <w:color w:val="000000" w:themeColor="text1"/>
          <w:szCs w:val="24"/>
          <w:lang w:val="tr-TR"/>
        </w:rPr>
        <w:t xml:space="preserve">Tablo </w:t>
      </w:r>
      <w:r w:rsidR="00702548" w:rsidRPr="00F50C10">
        <w:rPr>
          <w:rFonts w:cs="Times New Roman"/>
          <w:b/>
          <w:iCs/>
          <w:color w:val="000000" w:themeColor="text1"/>
          <w:szCs w:val="24"/>
          <w:lang w:val="tr-TR"/>
        </w:rPr>
        <w:t>4</w:t>
      </w:r>
      <w:r w:rsidRPr="00F50C10">
        <w:rPr>
          <w:rFonts w:cs="Times New Roman"/>
          <w:b/>
          <w:iCs/>
          <w:color w:val="000000" w:themeColor="text1"/>
          <w:szCs w:val="24"/>
        </w:rPr>
        <w:fldChar w:fldCharType="begin"/>
      </w:r>
      <w:r w:rsidRPr="00F50C10">
        <w:rPr>
          <w:rFonts w:cs="Times New Roman"/>
          <w:b/>
          <w:iCs/>
          <w:color w:val="000000" w:themeColor="text1"/>
          <w:szCs w:val="24"/>
          <w:lang w:val="tr-TR"/>
        </w:rPr>
        <w:instrText xml:space="preserve"> SEQ Tablo \* ARABIC </w:instrText>
      </w:r>
      <w:r w:rsidRPr="00F50C10">
        <w:rPr>
          <w:rFonts w:cs="Times New Roman"/>
          <w:b/>
          <w:iCs/>
          <w:color w:val="000000" w:themeColor="text1"/>
          <w:szCs w:val="24"/>
        </w:rPr>
        <w:fldChar w:fldCharType="separate"/>
      </w:r>
      <w:r w:rsidRPr="00F50C10">
        <w:rPr>
          <w:rFonts w:cs="Times New Roman"/>
          <w:b/>
          <w:iCs/>
          <w:noProof/>
          <w:color w:val="000000" w:themeColor="text1"/>
          <w:szCs w:val="24"/>
          <w:lang w:val="tr-TR"/>
        </w:rPr>
        <w:t>3</w:t>
      </w:r>
      <w:r w:rsidRPr="00F50C10">
        <w:rPr>
          <w:rFonts w:cs="Times New Roman"/>
          <w:b/>
          <w:iCs/>
          <w:color w:val="000000" w:themeColor="text1"/>
          <w:szCs w:val="24"/>
        </w:rPr>
        <w:fldChar w:fldCharType="end"/>
      </w:r>
      <w:r w:rsidRPr="00F50C10">
        <w:rPr>
          <w:rFonts w:cs="Times New Roman"/>
          <w:b/>
          <w:iCs/>
          <w:color w:val="000000" w:themeColor="text1"/>
          <w:szCs w:val="24"/>
          <w:lang w:val="tr-TR"/>
        </w:rPr>
        <w:t xml:space="preserve">. HDPE üretimi için </w:t>
      </w:r>
      <w:r w:rsidRPr="00F50C10">
        <w:rPr>
          <w:rFonts w:cs="Times New Roman"/>
          <w:b/>
          <w:iCs/>
          <w:color w:val="000000" w:themeColor="text1"/>
          <w:szCs w:val="24"/>
          <w:lang w:val="tr-TR" w:bidi="tr-TR"/>
        </w:rPr>
        <w:t>MET ile ilişkili emisyon ve tüketim seviyeleri</w:t>
      </w:r>
    </w:p>
    <w:tbl>
      <w:tblPr>
        <w:tblW w:w="4981" w:type="pct"/>
        <w:tblCellMar>
          <w:top w:w="11" w:type="dxa"/>
          <w:left w:w="57" w:type="dxa"/>
          <w:bottom w:w="11" w:type="dxa"/>
          <w:right w:w="57" w:type="dxa"/>
        </w:tblCellMar>
        <w:tblLook w:val="0000" w:firstRow="0" w:lastRow="0" w:firstColumn="0" w:lastColumn="0" w:noHBand="0" w:noVBand="0"/>
      </w:tblPr>
      <w:tblGrid>
        <w:gridCol w:w="2834"/>
        <w:gridCol w:w="3708"/>
        <w:gridCol w:w="2727"/>
      </w:tblGrid>
      <w:tr w:rsidR="00172694" w:rsidRPr="00F50C10" w14:paraId="7D9E35B0" w14:textId="77777777" w:rsidTr="00375F59">
        <w:trPr>
          <w:trHeight w:val="20"/>
          <w:tblHeader/>
        </w:trPr>
        <w:tc>
          <w:tcPr>
            <w:tcW w:w="1529" w:type="pct"/>
            <w:tcBorders>
              <w:top w:val="single" w:sz="6" w:space="0" w:color="auto"/>
              <w:left w:val="single" w:sz="6" w:space="0" w:color="auto"/>
              <w:bottom w:val="single" w:sz="6" w:space="0" w:color="auto"/>
              <w:right w:val="single" w:sz="6" w:space="0" w:color="auto"/>
            </w:tcBorders>
            <w:shd w:val="clear" w:color="auto" w:fill="auto"/>
            <w:vAlign w:val="center"/>
          </w:tcPr>
          <w:p w14:paraId="2ABBB6F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HDPE</w:t>
            </w:r>
          </w:p>
        </w:tc>
        <w:tc>
          <w:tcPr>
            <w:tcW w:w="2000" w:type="pct"/>
            <w:tcBorders>
              <w:top w:val="single" w:sz="6" w:space="0" w:color="auto"/>
              <w:left w:val="single" w:sz="6" w:space="0" w:color="auto"/>
              <w:bottom w:val="single" w:sz="6" w:space="0" w:color="auto"/>
              <w:right w:val="single" w:sz="6" w:space="0" w:color="auto"/>
            </w:tcBorders>
            <w:shd w:val="clear" w:color="auto" w:fill="auto"/>
            <w:vAlign w:val="center"/>
          </w:tcPr>
          <w:p w14:paraId="7E6645F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Ton ürün başına birim</w:t>
            </w:r>
          </w:p>
        </w:tc>
        <w:tc>
          <w:tcPr>
            <w:tcW w:w="1471" w:type="pct"/>
            <w:tcBorders>
              <w:top w:val="single" w:sz="6" w:space="0" w:color="auto"/>
              <w:left w:val="single" w:sz="6" w:space="0" w:color="auto"/>
              <w:bottom w:val="single" w:sz="6" w:space="0" w:color="auto"/>
              <w:right w:val="single" w:sz="6" w:space="0" w:color="auto"/>
            </w:tcBorders>
            <w:shd w:val="clear" w:color="auto" w:fill="auto"/>
            <w:vAlign w:val="center"/>
          </w:tcPr>
          <w:p w14:paraId="34961B33" w14:textId="04FD30C6"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 xml:space="preserve">MET </w:t>
            </w:r>
            <w:r w:rsidR="00144989" w:rsidRPr="00F50C10">
              <w:rPr>
                <w:rFonts w:eastAsia="Times New Roman" w:cs="Times New Roman"/>
                <w:b/>
                <w:szCs w:val="24"/>
                <w:lang w:val="tr-TR" w:eastAsia="tr-TR" w:bidi="tr-TR"/>
              </w:rPr>
              <w:t>-İES</w:t>
            </w:r>
          </w:p>
        </w:tc>
      </w:tr>
      <w:tr w:rsidR="00172694" w:rsidRPr="00F50C10" w14:paraId="4674FC61" w14:textId="77777777" w:rsidTr="00375F59">
        <w:trPr>
          <w:trHeight w:val="20"/>
          <w:tblHead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7E89B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Tüketim</w:t>
            </w:r>
          </w:p>
        </w:tc>
      </w:tr>
      <w:tr w:rsidR="00172694" w:rsidRPr="00F50C10" w14:paraId="489F745B" w14:textId="77777777" w:rsidTr="00375F59">
        <w:trPr>
          <w:trHeight w:val="20"/>
        </w:trPr>
        <w:tc>
          <w:tcPr>
            <w:tcW w:w="1529" w:type="pct"/>
            <w:tcBorders>
              <w:top w:val="single" w:sz="6" w:space="0" w:color="auto"/>
              <w:left w:val="single" w:sz="6" w:space="0" w:color="auto"/>
              <w:bottom w:val="single" w:sz="6" w:space="0" w:color="auto"/>
              <w:right w:val="single" w:sz="6" w:space="0" w:color="auto"/>
            </w:tcBorders>
            <w:shd w:val="clear" w:color="auto" w:fill="auto"/>
            <w:vAlign w:val="center"/>
          </w:tcPr>
          <w:p w14:paraId="1102EE1B"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Monomer tüketimi</w:t>
            </w:r>
          </w:p>
        </w:tc>
        <w:tc>
          <w:tcPr>
            <w:tcW w:w="2000" w:type="pct"/>
            <w:tcBorders>
              <w:top w:val="single" w:sz="6" w:space="0" w:color="auto"/>
              <w:left w:val="single" w:sz="6" w:space="0" w:color="auto"/>
              <w:bottom w:val="single" w:sz="6" w:space="0" w:color="auto"/>
              <w:right w:val="single" w:sz="6" w:space="0" w:color="auto"/>
            </w:tcBorders>
            <w:shd w:val="clear" w:color="auto" w:fill="auto"/>
            <w:vAlign w:val="center"/>
          </w:tcPr>
          <w:p w14:paraId="3875459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1471" w:type="pct"/>
            <w:tcBorders>
              <w:top w:val="single" w:sz="6" w:space="0" w:color="auto"/>
              <w:left w:val="single" w:sz="6" w:space="0" w:color="auto"/>
              <w:bottom w:val="single" w:sz="6" w:space="0" w:color="auto"/>
              <w:right w:val="single" w:sz="6" w:space="0" w:color="auto"/>
            </w:tcBorders>
            <w:shd w:val="clear" w:color="auto" w:fill="auto"/>
            <w:vAlign w:val="center"/>
          </w:tcPr>
          <w:p w14:paraId="05FCA70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1008</w:t>
            </w:r>
          </w:p>
        </w:tc>
      </w:tr>
      <w:tr w:rsidR="00172694" w:rsidRPr="00F50C10" w14:paraId="620BD0F5" w14:textId="77777777" w:rsidTr="00375F59">
        <w:trPr>
          <w:trHeight w:val="20"/>
        </w:trPr>
        <w:tc>
          <w:tcPr>
            <w:tcW w:w="1529" w:type="pct"/>
            <w:tcBorders>
              <w:top w:val="single" w:sz="6" w:space="0" w:color="auto"/>
              <w:left w:val="single" w:sz="6" w:space="0" w:color="auto"/>
              <w:bottom w:val="single" w:sz="6" w:space="0" w:color="auto"/>
              <w:right w:val="single" w:sz="6" w:space="0" w:color="auto"/>
            </w:tcBorders>
            <w:shd w:val="clear" w:color="auto" w:fill="auto"/>
            <w:vAlign w:val="center"/>
          </w:tcPr>
          <w:p w14:paraId="283F9A3B"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Doğrudan enerji tüketimi</w:t>
            </w:r>
          </w:p>
        </w:tc>
        <w:tc>
          <w:tcPr>
            <w:tcW w:w="2000" w:type="pct"/>
            <w:tcBorders>
              <w:top w:val="single" w:sz="6" w:space="0" w:color="auto"/>
              <w:left w:val="single" w:sz="6" w:space="0" w:color="auto"/>
              <w:bottom w:val="single" w:sz="6" w:space="0" w:color="auto"/>
              <w:right w:val="single" w:sz="6" w:space="0" w:color="auto"/>
            </w:tcBorders>
            <w:shd w:val="clear" w:color="auto" w:fill="auto"/>
            <w:vAlign w:val="center"/>
          </w:tcPr>
          <w:p w14:paraId="2B0C94BD"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GJ</w:t>
            </w:r>
          </w:p>
        </w:tc>
        <w:tc>
          <w:tcPr>
            <w:tcW w:w="1471" w:type="pct"/>
            <w:tcBorders>
              <w:top w:val="single" w:sz="6" w:space="0" w:color="auto"/>
              <w:left w:val="single" w:sz="6" w:space="0" w:color="auto"/>
              <w:bottom w:val="single" w:sz="6" w:space="0" w:color="auto"/>
              <w:right w:val="single" w:sz="6" w:space="0" w:color="auto"/>
            </w:tcBorders>
            <w:shd w:val="clear" w:color="auto" w:fill="auto"/>
            <w:vAlign w:val="center"/>
          </w:tcPr>
          <w:p w14:paraId="1CB2DF3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Yeni tesisler</w:t>
            </w:r>
          </w:p>
          <w:p w14:paraId="15292E0D"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2,05</w:t>
            </w:r>
          </w:p>
          <w:p w14:paraId="67D854A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Mevcut tesisler</w:t>
            </w:r>
          </w:p>
          <w:p w14:paraId="71338F42"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2,05 – 2,52</w:t>
            </w:r>
          </w:p>
        </w:tc>
      </w:tr>
      <w:tr w:rsidR="00172694" w:rsidRPr="00F50C10" w14:paraId="15097815" w14:textId="77777777" w:rsidTr="00375F59">
        <w:trPr>
          <w:trHeight w:val="20"/>
        </w:trPr>
        <w:tc>
          <w:tcPr>
            <w:tcW w:w="1529" w:type="pct"/>
            <w:tcBorders>
              <w:top w:val="single" w:sz="6" w:space="0" w:color="auto"/>
              <w:left w:val="single" w:sz="6" w:space="0" w:color="auto"/>
              <w:bottom w:val="single" w:sz="6" w:space="0" w:color="auto"/>
              <w:right w:val="single" w:sz="6" w:space="0" w:color="auto"/>
            </w:tcBorders>
            <w:shd w:val="clear" w:color="auto" w:fill="auto"/>
            <w:vAlign w:val="center"/>
          </w:tcPr>
          <w:p w14:paraId="7A5C3C1D"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Birincil enerji tüketimi</w:t>
            </w:r>
          </w:p>
        </w:tc>
        <w:tc>
          <w:tcPr>
            <w:tcW w:w="2000" w:type="pct"/>
            <w:tcBorders>
              <w:top w:val="single" w:sz="6" w:space="0" w:color="auto"/>
              <w:left w:val="single" w:sz="6" w:space="0" w:color="auto"/>
              <w:bottom w:val="single" w:sz="6" w:space="0" w:color="auto"/>
              <w:right w:val="single" w:sz="6" w:space="0" w:color="auto"/>
            </w:tcBorders>
            <w:shd w:val="clear" w:color="auto" w:fill="auto"/>
            <w:vAlign w:val="center"/>
          </w:tcPr>
          <w:p w14:paraId="3F7B211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GJ</w:t>
            </w:r>
          </w:p>
        </w:tc>
        <w:tc>
          <w:tcPr>
            <w:tcW w:w="1471" w:type="pct"/>
            <w:tcBorders>
              <w:top w:val="single" w:sz="6" w:space="0" w:color="auto"/>
              <w:left w:val="single" w:sz="6" w:space="0" w:color="auto"/>
              <w:bottom w:val="single" w:sz="6" w:space="0" w:color="auto"/>
              <w:right w:val="single" w:sz="6" w:space="0" w:color="auto"/>
            </w:tcBorders>
            <w:shd w:val="clear" w:color="auto" w:fill="auto"/>
            <w:vAlign w:val="center"/>
          </w:tcPr>
          <w:p w14:paraId="71B05ED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Yeni tesisler</w:t>
            </w:r>
          </w:p>
          <w:p w14:paraId="1632695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4,25</w:t>
            </w:r>
          </w:p>
          <w:p w14:paraId="2701154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Mevcut tesisler</w:t>
            </w:r>
          </w:p>
          <w:p w14:paraId="6F9A7F1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4,25 - 5,36</w:t>
            </w:r>
          </w:p>
        </w:tc>
      </w:tr>
      <w:tr w:rsidR="00172694" w:rsidRPr="00F50C10" w14:paraId="4F0BF5C6" w14:textId="77777777" w:rsidTr="00375F59">
        <w:trPr>
          <w:trHeight w:val="20"/>
        </w:trPr>
        <w:tc>
          <w:tcPr>
            <w:tcW w:w="1529" w:type="pct"/>
            <w:tcBorders>
              <w:top w:val="single" w:sz="6" w:space="0" w:color="auto"/>
              <w:left w:val="single" w:sz="6" w:space="0" w:color="auto"/>
              <w:bottom w:val="single" w:sz="6" w:space="0" w:color="auto"/>
              <w:right w:val="single" w:sz="6" w:space="0" w:color="auto"/>
            </w:tcBorders>
            <w:shd w:val="clear" w:color="auto" w:fill="auto"/>
            <w:vAlign w:val="center"/>
          </w:tcPr>
          <w:p w14:paraId="27508D6E"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Su tüketimi</w:t>
            </w:r>
          </w:p>
        </w:tc>
        <w:tc>
          <w:tcPr>
            <w:tcW w:w="2000" w:type="pct"/>
            <w:tcBorders>
              <w:top w:val="single" w:sz="6" w:space="0" w:color="auto"/>
              <w:left w:val="single" w:sz="6" w:space="0" w:color="auto"/>
              <w:bottom w:val="single" w:sz="6" w:space="0" w:color="auto"/>
              <w:right w:val="single" w:sz="6" w:space="0" w:color="auto"/>
            </w:tcBorders>
            <w:shd w:val="clear" w:color="auto" w:fill="auto"/>
            <w:vAlign w:val="center"/>
          </w:tcPr>
          <w:p w14:paraId="584E799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m</w:t>
            </w:r>
            <w:r w:rsidRPr="00F50C10">
              <w:rPr>
                <w:rFonts w:eastAsia="Times New Roman" w:cs="Times New Roman"/>
                <w:szCs w:val="24"/>
                <w:vertAlign w:val="superscript"/>
                <w:lang w:val="tr-TR" w:eastAsia="tr-TR" w:bidi="tr-TR"/>
              </w:rPr>
              <w:t>3</w:t>
            </w:r>
          </w:p>
        </w:tc>
        <w:tc>
          <w:tcPr>
            <w:tcW w:w="1471" w:type="pct"/>
            <w:tcBorders>
              <w:top w:val="single" w:sz="6" w:space="0" w:color="auto"/>
              <w:left w:val="single" w:sz="6" w:space="0" w:color="auto"/>
              <w:bottom w:val="single" w:sz="6" w:space="0" w:color="auto"/>
              <w:right w:val="single" w:sz="6" w:space="0" w:color="auto"/>
            </w:tcBorders>
            <w:shd w:val="clear" w:color="auto" w:fill="auto"/>
            <w:vAlign w:val="center"/>
          </w:tcPr>
          <w:p w14:paraId="559BA4B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1,9</w:t>
            </w:r>
          </w:p>
        </w:tc>
      </w:tr>
      <w:tr w:rsidR="00172694" w:rsidRPr="00F50C10" w14:paraId="783D49A2" w14:textId="77777777" w:rsidTr="00375F59">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18E08439"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Hava emisyonları</w:t>
            </w:r>
          </w:p>
        </w:tc>
      </w:tr>
      <w:tr w:rsidR="00172694" w:rsidRPr="00F50C10" w14:paraId="37C8EC75" w14:textId="77777777" w:rsidTr="00375F59">
        <w:trPr>
          <w:trHeight w:val="20"/>
        </w:trPr>
        <w:tc>
          <w:tcPr>
            <w:tcW w:w="1529" w:type="pct"/>
            <w:tcBorders>
              <w:top w:val="single" w:sz="6" w:space="0" w:color="auto"/>
              <w:left w:val="single" w:sz="6" w:space="0" w:color="auto"/>
              <w:bottom w:val="single" w:sz="6" w:space="0" w:color="auto"/>
              <w:right w:val="single" w:sz="6" w:space="0" w:color="auto"/>
            </w:tcBorders>
            <w:shd w:val="clear" w:color="auto" w:fill="auto"/>
            <w:vAlign w:val="center"/>
          </w:tcPr>
          <w:p w14:paraId="623EBE44"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Toz emisyonu</w:t>
            </w:r>
          </w:p>
        </w:tc>
        <w:tc>
          <w:tcPr>
            <w:tcW w:w="2000" w:type="pct"/>
            <w:tcBorders>
              <w:top w:val="single" w:sz="6" w:space="0" w:color="auto"/>
              <w:left w:val="single" w:sz="6" w:space="0" w:color="auto"/>
              <w:bottom w:val="single" w:sz="6" w:space="0" w:color="auto"/>
              <w:right w:val="single" w:sz="6" w:space="0" w:color="auto"/>
            </w:tcBorders>
            <w:shd w:val="clear" w:color="auto" w:fill="auto"/>
            <w:vAlign w:val="center"/>
          </w:tcPr>
          <w:p w14:paraId="1C161EA2"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471" w:type="pct"/>
            <w:tcBorders>
              <w:top w:val="single" w:sz="6" w:space="0" w:color="auto"/>
              <w:left w:val="single" w:sz="6" w:space="0" w:color="auto"/>
              <w:bottom w:val="single" w:sz="6" w:space="0" w:color="auto"/>
              <w:right w:val="single" w:sz="6" w:space="0" w:color="auto"/>
            </w:tcBorders>
            <w:shd w:val="clear" w:color="auto" w:fill="auto"/>
            <w:vAlign w:val="center"/>
          </w:tcPr>
          <w:p w14:paraId="17A1DDD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56</w:t>
            </w:r>
          </w:p>
        </w:tc>
      </w:tr>
      <w:tr w:rsidR="00172694" w:rsidRPr="00F50C10" w14:paraId="655A19EC" w14:textId="77777777" w:rsidTr="00375F59">
        <w:trPr>
          <w:trHeight w:val="20"/>
        </w:trPr>
        <w:tc>
          <w:tcPr>
            <w:tcW w:w="1529" w:type="pct"/>
            <w:tcBorders>
              <w:top w:val="single" w:sz="6" w:space="0" w:color="auto"/>
              <w:left w:val="single" w:sz="6" w:space="0" w:color="auto"/>
              <w:bottom w:val="single" w:sz="6" w:space="0" w:color="auto"/>
              <w:right w:val="single" w:sz="6" w:space="0" w:color="auto"/>
            </w:tcBorders>
            <w:shd w:val="clear" w:color="auto" w:fill="auto"/>
            <w:vAlign w:val="center"/>
          </w:tcPr>
          <w:p w14:paraId="32240C70"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tr-TR" w:eastAsia="tr-TR"/>
              </w:rPr>
            </w:pPr>
            <w:r w:rsidRPr="00F50C10">
              <w:rPr>
                <w:rFonts w:eastAsia="Times New Roman" w:cs="Times New Roman"/>
                <w:szCs w:val="24"/>
                <w:lang w:val="tr-TR" w:eastAsia="tr-TR" w:bidi="tr-TR"/>
              </w:rPr>
              <w:t>UOB emisyonu</w:t>
            </w:r>
          </w:p>
          <w:p w14:paraId="2BFDE68D"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tr-TR" w:eastAsia="tr-TR"/>
              </w:rPr>
            </w:pPr>
            <w:r w:rsidRPr="00F50C10">
              <w:rPr>
                <w:rFonts w:eastAsia="Times New Roman" w:cs="Times New Roman"/>
                <w:szCs w:val="24"/>
                <w:lang w:val="tr-TR" w:eastAsia="tr-TR" w:bidi="tr-TR"/>
              </w:rPr>
              <w:t>Yeni tesisler</w:t>
            </w:r>
          </w:p>
          <w:p w14:paraId="46827C19"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tr-TR" w:eastAsia="tr-TR"/>
              </w:rPr>
            </w:pPr>
            <w:r w:rsidRPr="00F50C10">
              <w:rPr>
                <w:rFonts w:eastAsia="Times New Roman" w:cs="Times New Roman"/>
                <w:szCs w:val="24"/>
                <w:lang w:val="tr-TR" w:eastAsia="tr-TR" w:bidi="tr-TR"/>
              </w:rPr>
              <w:t>Mevcut tesisler</w:t>
            </w:r>
          </w:p>
        </w:tc>
        <w:tc>
          <w:tcPr>
            <w:tcW w:w="2000" w:type="pct"/>
            <w:tcBorders>
              <w:top w:val="single" w:sz="6" w:space="0" w:color="auto"/>
              <w:left w:val="single" w:sz="6" w:space="0" w:color="auto"/>
              <w:bottom w:val="single" w:sz="6" w:space="0" w:color="auto"/>
              <w:right w:val="single" w:sz="6" w:space="0" w:color="auto"/>
            </w:tcBorders>
            <w:shd w:val="clear" w:color="auto" w:fill="auto"/>
            <w:vAlign w:val="center"/>
          </w:tcPr>
          <w:p w14:paraId="16DFB2D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471" w:type="pct"/>
            <w:tcBorders>
              <w:top w:val="single" w:sz="6" w:space="0" w:color="auto"/>
              <w:left w:val="single" w:sz="6" w:space="0" w:color="auto"/>
              <w:bottom w:val="single" w:sz="6" w:space="0" w:color="auto"/>
              <w:right w:val="single" w:sz="6" w:space="0" w:color="auto"/>
            </w:tcBorders>
            <w:shd w:val="clear" w:color="auto" w:fill="auto"/>
            <w:vAlign w:val="center"/>
          </w:tcPr>
          <w:p w14:paraId="1EDD6B5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tr-TR" w:eastAsia="tr-TR" w:bidi="tr-TR"/>
              </w:rPr>
            </w:pPr>
            <w:r w:rsidRPr="00F50C10">
              <w:rPr>
                <w:rFonts w:eastAsia="Times New Roman" w:cs="Times New Roman"/>
                <w:szCs w:val="24"/>
                <w:lang w:val="tr-TR" w:eastAsia="tr-TR" w:bidi="tr-TR"/>
              </w:rPr>
              <w:t>300 - 500</w:t>
            </w:r>
          </w:p>
          <w:p w14:paraId="2F6C35D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500 - 1800</w:t>
            </w:r>
          </w:p>
        </w:tc>
      </w:tr>
      <w:tr w:rsidR="00172694" w:rsidRPr="00F50C10" w14:paraId="66399016" w14:textId="77777777" w:rsidTr="00375F59">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4CA1620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Suya emisyonlar</w:t>
            </w:r>
          </w:p>
        </w:tc>
      </w:tr>
      <w:tr w:rsidR="00172694" w:rsidRPr="00F50C10" w14:paraId="04148C57" w14:textId="77777777" w:rsidTr="00375F59">
        <w:trPr>
          <w:trHeight w:val="20"/>
        </w:trPr>
        <w:tc>
          <w:tcPr>
            <w:tcW w:w="1529" w:type="pct"/>
            <w:tcBorders>
              <w:top w:val="single" w:sz="6" w:space="0" w:color="auto"/>
              <w:left w:val="single" w:sz="6" w:space="0" w:color="auto"/>
              <w:bottom w:val="single" w:sz="6" w:space="0" w:color="auto"/>
              <w:right w:val="single" w:sz="6" w:space="0" w:color="auto"/>
            </w:tcBorders>
            <w:shd w:val="clear" w:color="auto" w:fill="auto"/>
            <w:vAlign w:val="center"/>
          </w:tcPr>
          <w:p w14:paraId="49598005"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KOİ emisyonu</w:t>
            </w:r>
          </w:p>
        </w:tc>
        <w:tc>
          <w:tcPr>
            <w:tcW w:w="2000" w:type="pct"/>
            <w:tcBorders>
              <w:top w:val="single" w:sz="6" w:space="0" w:color="auto"/>
              <w:left w:val="single" w:sz="6" w:space="0" w:color="auto"/>
              <w:bottom w:val="single" w:sz="6" w:space="0" w:color="auto"/>
              <w:right w:val="single" w:sz="6" w:space="0" w:color="auto"/>
            </w:tcBorders>
            <w:shd w:val="clear" w:color="auto" w:fill="auto"/>
            <w:vAlign w:val="center"/>
          </w:tcPr>
          <w:p w14:paraId="09912C7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471" w:type="pct"/>
            <w:tcBorders>
              <w:top w:val="single" w:sz="6" w:space="0" w:color="auto"/>
              <w:left w:val="single" w:sz="6" w:space="0" w:color="auto"/>
              <w:bottom w:val="single" w:sz="6" w:space="0" w:color="auto"/>
              <w:right w:val="single" w:sz="6" w:space="0" w:color="auto"/>
            </w:tcBorders>
            <w:shd w:val="clear" w:color="auto" w:fill="auto"/>
            <w:vAlign w:val="center"/>
          </w:tcPr>
          <w:p w14:paraId="2163933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17</w:t>
            </w:r>
          </w:p>
        </w:tc>
      </w:tr>
      <w:tr w:rsidR="00172694" w:rsidRPr="00F50C10" w14:paraId="19D0027A" w14:textId="77777777" w:rsidTr="00375F59">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23589EC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Atık</w:t>
            </w:r>
          </w:p>
        </w:tc>
      </w:tr>
      <w:tr w:rsidR="00172694" w:rsidRPr="00F50C10" w14:paraId="066EF657" w14:textId="77777777" w:rsidTr="00375F59">
        <w:trPr>
          <w:trHeight w:val="20"/>
        </w:trPr>
        <w:tc>
          <w:tcPr>
            <w:tcW w:w="1529" w:type="pct"/>
            <w:tcBorders>
              <w:top w:val="single" w:sz="6" w:space="0" w:color="auto"/>
              <w:left w:val="single" w:sz="6" w:space="0" w:color="auto"/>
              <w:bottom w:val="single" w:sz="6" w:space="0" w:color="auto"/>
              <w:right w:val="single" w:sz="6" w:space="0" w:color="auto"/>
            </w:tcBorders>
            <w:shd w:val="clear" w:color="auto" w:fill="auto"/>
            <w:vAlign w:val="center"/>
          </w:tcPr>
          <w:p w14:paraId="5BFBAF0D" w14:textId="26205CD5" w:rsidR="00172694" w:rsidRPr="00F50C10" w:rsidRDefault="00760235"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İnert</w:t>
            </w:r>
            <w:r w:rsidR="00172694" w:rsidRPr="00F50C10">
              <w:rPr>
                <w:rFonts w:eastAsia="Times New Roman" w:cs="Times New Roman"/>
                <w:szCs w:val="24"/>
                <w:lang w:val="tr-TR" w:eastAsia="tr-TR" w:bidi="tr-TR"/>
              </w:rPr>
              <w:t xml:space="preserve"> atık</w:t>
            </w:r>
          </w:p>
        </w:tc>
        <w:tc>
          <w:tcPr>
            <w:tcW w:w="2000" w:type="pct"/>
            <w:tcBorders>
              <w:top w:val="single" w:sz="6" w:space="0" w:color="auto"/>
              <w:left w:val="single" w:sz="6" w:space="0" w:color="auto"/>
              <w:bottom w:val="single" w:sz="6" w:space="0" w:color="auto"/>
              <w:right w:val="single" w:sz="6" w:space="0" w:color="auto"/>
            </w:tcBorders>
            <w:shd w:val="clear" w:color="auto" w:fill="auto"/>
            <w:vAlign w:val="center"/>
          </w:tcPr>
          <w:p w14:paraId="6177706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1471" w:type="pct"/>
            <w:tcBorders>
              <w:top w:val="single" w:sz="6" w:space="0" w:color="auto"/>
              <w:left w:val="single" w:sz="6" w:space="0" w:color="auto"/>
              <w:bottom w:val="single" w:sz="6" w:space="0" w:color="auto"/>
              <w:right w:val="single" w:sz="6" w:space="0" w:color="auto"/>
            </w:tcBorders>
            <w:shd w:val="clear" w:color="auto" w:fill="auto"/>
            <w:vAlign w:val="center"/>
          </w:tcPr>
          <w:p w14:paraId="3E20ABE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0,5</w:t>
            </w:r>
          </w:p>
        </w:tc>
      </w:tr>
      <w:tr w:rsidR="00172694" w:rsidRPr="00F50C10" w14:paraId="412D4010" w14:textId="77777777" w:rsidTr="00375F59">
        <w:trPr>
          <w:trHeight w:val="20"/>
        </w:trPr>
        <w:tc>
          <w:tcPr>
            <w:tcW w:w="1529" w:type="pct"/>
            <w:tcBorders>
              <w:top w:val="single" w:sz="6" w:space="0" w:color="auto"/>
              <w:left w:val="single" w:sz="6" w:space="0" w:color="auto"/>
              <w:bottom w:val="single" w:sz="6" w:space="0" w:color="auto"/>
              <w:right w:val="single" w:sz="6" w:space="0" w:color="auto"/>
            </w:tcBorders>
            <w:shd w:val="clear" w:color="auto" w:fill="auto"/>
            <w:vAlign w:val="center"/>
          </w:tcPr>
          <w:p w14:paraId="69ED1708"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Tehlikeli atık</w:t>
            </w:r>
          </w:p>
        </w:tc>
        <w:tc>
          <w:tcPr>
            <w:tcW w:w="2000" w:type="pct"/>
            <w:tcBorders>
              <w:top w:val="single" w:sz="6" w:space="0" w:color="auto"/>
              <w:left w:val="single" w:sz="6" w:space="0" w:color="auto"/>
              <w:bottom w:val="single" w:sz="6" w:space="0" w:color="auto"/>
              <w:right w:val="single" w:sz="6" w:space="0" w:color="auto"/>
            </w:tcBorders>
            <w:shd w:val="clear" w:color="auto" w:fill="auto"/>
            <w:vAlign w:val="center"/>
          </w:tcPr>
          <w:p w14:paraId="47998D49"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1471" w:type="pct"/>
            <w:tcBorders>
              <w:top w:val="single" w:sz="6" w:space="0" w:color="auto"/>
              <w:left w:val="single" w:sz="6" w:space="0" w:color="auto"/>
              <w:bottom w:val="single" w:sz="6" w:space="0" w:color="auto"/>
              <w:right w:val="single" w:sz="6" w:space="0" w:color="auto"/>
            </w:tcBorders>
            <w:shd w:val="clear" w:color="auto" w:fill="auto"/>
            <w:vAlign w:val="center"/>
          </w:tcPr>
          <w:p w14:paraId="68CDFB44"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3,1</w:t>
            </w:r>
          </w:p>
        </w:tc>
      </w:tr>
      <w:tr w:rsidR="00172694" w:rsidRPr="00F50C10" w14:paraId="33F35B68" w14:textId="77777777" w:rsidTr="00375F59">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FF6FEA"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1. Doğrudan enerji, enerjinin verildiği gibi tüketimine karşılık gelir.</w:t>
            </w:r>
          </w:p>
          <w:p w14:paraId="05755681" w14:textId="669356B6"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2. Birincil enerji, fosil yakıt miktarına geri hesaplanan enerjidir. Birincil enerji hesaplaması için kullanılan verimler şunlardır: elektrik: %40 ve buhar: % 90</w:t>
            </w:r>
          </w:p>
          <w:p w14:paraId="018434F6"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3. Toz, katılımcılar tarafından bildirilen tozun tümünü içerir. Toz emisyonu esas olarak ekstrüzyon öncesi kurutma tozundan kaynaklanır.</w:t>
            </w:r>
          </w:p>
          <w:p w14:paraId="47F06748"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4. UOB, kaçak emisyonlar dahil tüm hidrokarbonları ve diğer organik bileşikleri içerir.</w:t>
            </w:r>
          </w:p>
          <w:p w14:paraId="6CB70B8C" w14:textId="7A9CA5D8"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 xml:space="preserve">5. Ton ürün başına kilogram cinsinden </w:t>
            </w:r>
            <w:r w:rsidR="00760235" w:rsidRPr="00F50C10">
              <w:rPr>
                <w:rFonts w:eastAsia="Times New Roman" w:cs="Times New Roman"/>
                <w:i/>
                <w:iCs/>
                <w:szCs w:val="24"/>
                <w:lang w:val="tr-TR" w:eastAsia="tr-TR" w:bidi="tr-TR"/>
              </w:rPr>
              <w:t>inert</w:t>
            </w:r>
            <w:r w:rsidRPr="00F50C10">
              <w:rPr>
                <w:rFonts w:eastAsia="Times New Roman" w:cs="Times New Roman"/>
                <w:i/>
                <w:iCs/>
                <w:szCs w:val="24"/>
                <w:lang w:val="tr-TR" w:eastAsia="tr-TR" w:bidi="tr-TR"/>
              </w:rPr>
              <w:t xml:space="preserve"> atık (atık sahasına) (kg/t).</w:t>
            </w:r>
          </w:p>
          <w:p w14:paraId="4542EFB9"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tr-TR" w:eastAsia="tr-TR"/>
              </w:rPr>
            </w:pPr>
            <w:r w:rsidRPr="00F50C10">
              <w:rPr>
                <w:rFonts w:eastAsia="Times New Roman" w:cs="Times New Roman"/>
                <w:i/>
                <w:iCs/>
                <w:szCs w:val="24"/>
                <w:lang w:val="tr-TR" w:eastAsia="tr-TR" w:bidi="tr-TR"/>
              </w:rPr>
              <w:t>6. Ton ürün başına kilogram cinsinden tehlikeli atık (arıtma veya yakmaya) (kg/t).</w:t>
            </w:r>
          </w:p>
        </w:tc>
      </w:tr>
    </w:tbl>
    <w:p w14:paraId="1A067E66" w14:textId="66FA014C" w:rsidR="00172694" w:rsidRPr="00F50C10" w:rsidRDefault="00172694" w:rsidP="000B206D">
      <w:pPr>
        <w:keepNext/>
        <w:spacing w:before="120" w:after="60" w:line="276" w:lineRule="auto"/>
        <w:rPr>
          <w:rFonts w:cs="Times New Roman"/>
          <w:b/>
          <w:iCs/>
          <w:color w:val="000000" w:themeColor="text1"/>
          <w:szCs w:val="24"/>
          <w:lang w:val="tr-TR"/>
        </w:rPr>
      </w:pPr>
      <w:r w:rsidRPr="00F50C10">
        <w:rPr>
          <w:rFonts w:cs="Times New Roman"/>
          <w:b/>
          <w:iCs/>
          <w:color w:val="000000" w:themeColor="text1"/>
          <w:szCs w:val="24"/>
          <w:lang w:val="tr-TR"/>
        </w:rPr>
        <w:t xml:space="preserve">Tablo </w:t>
      </w:r>
      <w:r w:rsidR="00702548" w:rsidRPr="00F50C10">
        <w:rPr>
          <w:rFonts w:cs="Times New Roman"/>
          <w:b/>
          <w:iCs/>
          <w:color w:val="000000" w:themeColor="text1"/>
          <w:szCs w:val="24"/>
          <w:lang w:val="tr-TR"/>
        </w:rPr>
        <w:t>5</w:t>
      </w:r>
      <w:r w:rsidRPr="00F50C10">
        <w:rPr>
          <w:rFonts w:cs="Times New Roman"/>
          <w:b/>
          <w:iCs/>
          <w:color w:val="000000" w:themeColor="text1"/>
          <w:szCs w:val="24"/>
        </w:rPr>
        <w:fldChar w:fldCharType="begin"/>
      </w:r>
      <w:r w:rsidRPr="00F50C10">
        <w:rPr>
          <w:rFonts w:cs="Times New Roman"/>
          <w:b/>
          <w:iCs/>
          <w:color w:val="000000" w:themeColor="text1"/>
          <w:szCs w:val="24"/>
          <w:lang w:val="tr-TR"/>
        </w:rPr>
        <w:instrText xml:space="preserve"> SEQ Tablo \* ARABIC </w:instrText>
      </w:r>
      <w:r w:rsidRPr="00F50C10">
        <w:rPr>
          <w:rFonts w:cs="Times New Roman"/>
          <w:b/>
          <w:iCs/>
          <w:color w:val="000000" w:themeColor="text1"/>
          <w:szCs w:val="24"/>
        </w:rPr>
        <w:fldChar w:fldCharType="separate"/>
      </w:r>
      <w:r w:rsidRPr="00F50C10">
        <w:rPr>
          <w:rFonts w:cs="Times New Roman"/>
          <w:b/>
          <w:iCs/>
          <w:noProof/>
          <w:color w:val="000000" w:themeColor="text1"/>
          <w:szCs w:val="24"/>
          <w:lang w:val="tr-TR"/>
        </w:rPr>
        <w:t>4</w:t>
      </w:r>
      <w:r w:rsidRPr="00F50C10">
        <w:rPr>
          <w:rFonts w:cs="Times New Roman"/>
          <w:b/>
          <w:iCs/>
          <w:color w:val="000000" w:themeColor="text1"/>
          <w:szCs w:val="24"/>
        </w:rPr>
        <w:fldChar w:fldCharType="end"/>
      </w:r>
      <w:r w:rsidRPr="00F50C10">
        <w:rPr>
          <w:rFonts w:cs="Times New Roman"/>
          <w:b/>
          <w:iCs/>
          <w:color w:val="000000" w:themeColor="text1"/>
          <w:szCs w:val="24"/>
          <w:lang w:val="tr-TR"/>
        </w:rPr>
        <w:t xml:space="preserve">. LLDPE üretimi için </w:t>
      </w:r>
      <w:r w:rsidRPr="00F50C10">
        <w:rPr>
          <w:rFonts w:cs="Times New Roman"/>
          <w:b/>
          <w:iCs/>
          <w:color w:val="000000" w:themeColor="text1"/>
          <w:szCs w:val="24"/>
          <w:lang w:val="tr-TR" w:bidi="tr-TR"/>
        </w:rPr>
        <w:t>MET ile ilişkili emisyon ve tüketim seviyeleri</w:t>
      </w:r>
    </w:p>
    <w:tbl>
      <w:tblPr>
        <w:tblW w:w="5000" w:type="pct"/>
        <w:tblCellMar>
          <w:top w:w="11" w:type="dxa"/>
          <w:left w:w="57" w:type="dxa"/>
          <w:bottom w:w="11" w:type="dxa"/>
          <w:right w:w="57" w:type="dxa"/>
        </w:tblCellMar>
        <w:tblLook w:val="0000" w:firstRow="0" w:lastRow="0" w:firstColumn="0" w:lastColumn="0" w:noHBand="0" w:noVBand="0"/>
      </w:tblPr>
      <w:tblGrid>
        <w:gridCol w:w="3158"/>
        <w:gridCol w:w="3619"/>
        <w:gridCol w:w="2527"/>
      </w:tblGrid>
      <w:tr w:rsidR="00172694" w:rsidRPr="00F50C10" w14:paraId="74112166" w14:textId="77777777" w:rsidTr="00375F59">
        <w:trPr>
          <w:trHeight w:val="20"/>
          <w:tblHeader/>
        </w:trPr>
        <w:tc>
          <w:tcPr>
            <w:tcW w:w="1697" w:type="pct"/>
            <w:tcBorders>
              <w:top w:val="single" w:sz="6" w:space="0" w:color="auto"/>
              <w:left w:val="single" w:sz="6" w:space="0" w:color="auto"/>
              <w:bottom w:val="single" w:sz="6" w:space="0" w:color="auto"/>
              <w:right w:val="single" w:sz="6" w:space="0" w:color="auto"/>
            </w:tcBorders>
            <w:shd w:val="clear" w:color="auto" w:fill="auto"/>
            <w:vAlign w:val="center"/>
          </w:tcPr>
          <w:p w14:paraId="062BCBD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LLDPE</w:t>
            </w:r>
          </w:p>
        </w:tc>
        <w:tc>
          <w:tcPr>
            <w:tcW w:w="1945" w:type="pct"/>
            <w:tcBorders>
              <w:top w:val="single" w:sz="6" w:space="0" w:color="auto"/>
              <w:left w:val="single" w:sz="6" w:space="0" w:color="auto"/>
              <w:bottom w:val="single" w:sz="6" w:space="0" w:color="auto"/>
              <w:right w:val="single" w:sz="6" w:space="0" w:color="auto"/>
            </w:tcBorders>
            <w:shd w:val="clear" w:color="auto" w:fill="auto"/>
            <w:vAlign w:val="center"/>
          </w:tcPr>
          <w:p w14:paraId="59371D0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Ton ürün başına birim</w:t>
            </w:r>
          </w:p>
        </w:tc>
        <w:tc>
          <w:tcPr>
            <w:tcW w:w="1358" w:type="pct"/>
            <w:tcBorders>
              <w:top w:val="single" w:sz="6" w:space="0" w:color="auto"/>
              <w:left w:val="single" w:sz="6" w:space="0" w:color="auto"/>
              <w:bottom w:val="single" w:sz="6" w:space="0" w:color="auto"/>
              <w:right w:val="single" w:sz="6" w:space="0" w:color="auto"/>
            </w:tcBorders>
            <w:shd w:val="clear" w:color="auto" w:fill="auto"/>
            <w:vAlign w:val="center"/>
          </w:tcPr>
          <w:p w14:paraId="3261FC19" w14:textId="0044D6E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 xml:space="preserve">MET </w:t>
            </w:r>
            <w:r w:rsidR="006B371F" w:rsidRPr="00F50C10">
              <w:rPr>
                <w:rFonts w:eastAsia="Times New Roman" w:cs="Times New Roman"/>
                <w:b/>
                <w:szCs w:val="24"/>
                <w:lang w:val="tr-TR" w:eastAsia="tr-TR" w:bidi="tr-TR"/>
              </w:rPr>
              <w:t>-İES</w:t>
            </w:r>
          </w:p>
        </w:tc>
      </w:tr>
      <w:tr w:rsidR="00172694" w:rsidRPr="00F50C10" w14:paraId="08B35563" w14:textId="77777777" w:rsidTr="00375F59">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503B297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Tüketim</w:t>
            </w:r>
          </w:p>
        </w:tc>
      </w:tr>
      <w:tr w:rsidR="00172694" w:rsidRPr="00F50C10" w14:paraId="1BECF368" w14:textId="77777777" w:rsidTr="00375F59">
        <w:trPr>
          <w:trHeight w:val="20"/>
        </w:trPr>
        <w:tc>
          <w:tcPr>
            <w:tcW w:w="1697" w:type="pct"/>
            <w:tcBorders>
              <w:top w:val="single" w:sz="6" w:space="0" w:color="auto"/>
              <w:left w:val="single" w:sz="6" w:space="0" w:color="auto"/>
              <w:bottom w:val="single" w:sz="6" w:space="0" w:color="auto"/>
              <w:right w:val="single" w:sz="6" w:space="0" w:color="auto"/>
            </w:tcBorders>
            <w:shd w:val="clear" w:color="auto" w:fill="auto"/>
            <w:vAlign w:val="center"/>
          </w:tcPr>
          <w:p w14:paraId="62DF7A8C"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Monomer tüketimi</w:t>
            </w:r>
          </w:p>
        </w:tc>
        <w:tc>
          <w:tcPr>
            <w:tcW w:w="1945" w:type="pct"/>
            <w:tcBorders>
              <w:top w:val="single" w:sz="6" w:space="0" w:color="auto"/>
              <w:left w:val="single" w:sz="6" w:space="0" w:color="auto"/>
              <w:bottom w:val="single" w:sz="6" w:space="0" w:color="auto"/>
              <w:right w:val="single" w:sz="6" w:space="0" w:color="auto"/>
            </w:tcBorders>
            <w:shd w:val="clear" w:color="auto" w:fill="auto"/>
            <w:vAlign w:val="center"/>
          </w:tcPr>
          <w:p w14:paraId="326D46E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1358" w:type="pct"/>
            <w:tcBorders>
              <w:top w:val="single" w:sz="6" w:space="0" w:color="auto"/>
              <w:left w:val="single" w:sz="6" w:space="0" w:color="auto"/>
              <w:bottom w:val="single" w:sz="6" w:space="0" w:color="auto"/>
              <w:right w:val="single" w:sz="6" w:space="0" w:color="auto"/>
            </w:tcBorders>
            <w:shd w:val="clear" w:color="auto" w:fill="auto"/>
            <w:vAlign w:val="center"/>
          </w:tcPr>
          <w:p w14:paraId="25467B1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1015</w:t>
            </w:r>
          </w:p>
        </w:tc>
      </w:tr>
      <w:tr w:rsidR="00172694" w:rsidRPr="00F50C10" w14:paraId="6927CDDF" w14:textId="77777777" w:rsidTr="00375F59">
        <w:trPr>
          <w:trHeight w:val="20"/>
        </w:trPr>
        <w:tc>
          <w:tcPr>
            <w:tcW w:w="1697" w:type="pct"/>
            <w:tcBorders>
              <w:top w:val="single" w:sz="6" w:space="0" w:color="auto"/>
              <w:left w:val="single" w:sz="6" w:space="0" w:color="auto"/>
              <w:bottom w:val="single" w:sz="6" w:space="0" w:color="auto"/>
              <w:right w:val="single" w:sz="6" w:space="0" w:color="auto"/>
            </w:tcBorders>
            <w:shd w:val="clear" w:color="auto" w:fill="auto"/>
            <w:vAlign w:val="center"/>
          </w:tcPr>
          <w:p w14:paraId="6C428C49"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Doğrudan enerji tüketimi</w:t>
            </w:r>
          </w:p>
        </w:tc>
        <w:tc>
          <w:tcPr>
            <w:tcW w:w="1945" w:type="pct"/>
            <w:tcBorders>
              <w:top w:val="single" w:sz="6" w:space="0" w:color="auto"/>
              <w:left w:val="single" w:sz="6" w:space="0" w:color="auto"/>
              <w:bottom w:val="single" w:sz="6" w:space="0" w:color="auto"/>
              <w:right w:val="single" w:sz="6" w:space="0" w:color="auto"/>
            </w:tcBorders>
            <w:shd w:val="clear" w:color="auto" w:fill="auto"/>
            <w:vAlign w:val="center"/>
          </w:tcPr>
          <w:p w14:paraId="500CAC8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GJ</w:t>
            </w:r>
          </w:p>
        </w:tc>
        <w:tc>
          <w:tcPr>
            <w:tcW w:w="1358" w:type="pct"/>
            <w:tcBorders>
              <w:top w:val="single" w:sz="6" w:space="0" w:color="auto"/>
              <w:left w:val="single" w:sz="6" w:space="0" w:color="auto"/>
              <w:bottom w:val="single" w:sz="6" w:space="0" w:color="auto"/>
              <w:right w:val="single" w:sz="6" w:space="0" w:color="auto"/>
            </w:tcBorders>
            <w:shd w:val="clear" w:color="auto" w:fill="auto"/>
            <w:vAlign w:val="center"/>
          </w:tcPr>
          <w:p w14:paraId="11429E9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Yeni tesisler</w:t>
            </w:r>
          </w:p>
          <w:p w14:paraId="43C9E20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2,08</w:t>
            </w:r>
          </w:p>
          <w:p w14:paraId="32F075E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Mevcut tesisler</w:t>
            </w:r>
          </w:p>
          <w:p w14:paraId="4DE87044"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2,08 – 2,45</w:t>
            </w:r>
          </w:p>
        </w:tc>
      </w:tr>
      <w:tr w:rsidR="00172694" w:rsidRPr="00F50C10" w14:paraId="6B0FA60B" w14:textId="77777777" w:rsidTr="00375F59">
        <w:trPr>
          <w:trHeight w:val="20"/>
        </w:trPr>
        <w:tc>
          <w:tcPr>
            <w:tcW w:w="1697" w:type="pct"/>
            <w:tcBorders>
              <w:top w:val="single" w:sz="6" w:space="0" w:color="auto"/>
              <w:left w:val="single" w:sz="6" w:space="0" w:color="auto"/>
              <w:bottom w:val="single" w:sz="6" w:space="0" w:color="auto"/>
              <w:right w:val="single" w:sz="6" w:space="0" w:color="auto"/>
            </w:tcBorders>
            <w:shd w:val="clear" w:color="auto" w:fill="auto"/>
            <w:vAlign w:val="center"/>
          </w:tcPr>
          <w:p w14:paraId="3711D6CD"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Birincil enerji tüketimi</w:t>
            </w:r>
          </w:p>
        </w:tc>
        <w:tc>
          <w:tcPr>
            <w:tcW w:w="1945" w:type="pct"/>
            <w:tcBorders>
              <w:top w:val="single" w:sz="6" w:space="0" w:color="auto"/>
              <w:left w:val="single" w:sz="6" w:space="0" w:color="auto"/>
              <w:bottom w:val="single" w:sz="6" w:space="0" w:color="auto"/>
              <w:right w:val="single" w:sz="6" w:space="0" w:color="auto"/>
            </w:tcBorders>
            <w:shd w:val="clear" w:color="auto" w:fill="auto"/>
            <w:vAlign w:val="center"/>
          </w:tcPr>
          <w:p w14:paraId="426A5ACD"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GJ</w:t>
            </w:r>
          </w:p>
        </w:tc>
        <w:tc>
          <w:tcPr>
            <w:tcW w:w="1358" w:type="pct"/>
            <w:tcBorders>
              <w:top w:val="single" w:sz="6" w:space="0" w:color="auto"/>
              <w:left w:val="single" w:sz="6" w:space="0" w:color="auto"/>
              <w:bottom w:val="single" w:sz="6" w:space="0" w:color="auto"/>
              <w:right w:val="single" w:sz="6" w:space="0" w:color="auto"/>
            </w:tcBorders>
            <w:shd w:val="clear" w:color="auto" w:fill="auto"/>
            <w:vAlign w:val="center"/>
          </w:tcPr>
          <w:p w14:paraId="052A4CA2"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Yeni tesisler</w:t>
            </w:r>
          </w:p>
          <w:p w14:paraId="42CA946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2,92</w:t>
            </w:r>
          </w:p>
          <w:p w14:paraId="70AB298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Mevcut tesisler</w:t>
            </w:r>
          </w:p>
          <w:p w14:paraId="7165D7A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2,92 – 4,14</w:t>
            </w:r>
          </w:p>
        </w:tc>
      </w:tr>
      <w:tr w:rsidR="00172694" w:rsidRPr="00F50C10" w14:paraId="4F8E6FC2" w14:textId="77777777" w:rsidTr="00375F59">
        <w:trPr>
          <w:trHeight w:val="20"/>
        </w:trPr>
        <w:tc>
          <w:tcPr>
            <w:tcW w:w="1697" w:type="pct"/>
            <w:tcBorders>
              <w:top w:val="single" w:sz="6" w:space="0" w:color="auto"/>
              <w:left w:val="single" w:sz="6" w:space="0" w:color="auto"/>
              <w:bottom w:val="single" w:sz="6" w:space="0" w:color="auto"/>
              <w:right w:val="single" w:sz="6" w:space="0" w:color="auto"/>
            </w:tcBorders>
            <w:shd w:val="clear" w:color="auto" w:fill="auto"/>
            <w:vAlign w:val="center"/>
          </w:tcPr>
          <w:p w14:paraId="5261D5A0"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Su tüketimi</w:t>
            </w:r>
          </w:p>
        </w:tc>
        <w:tc>
          <w:tcPr>
            <w:tcW w:w="1945" w:type="pct"/>
            <w:tcBorders>
              <w:top w:val="single" w:sz="6" w:space="0" w:color="auto"/>
              <w:left w:val="single" w:sz="6" w:space="0" w:color="auto"/>
              <w:bottom w:val="single" w:sz="6" w:space="0" w:color="auto"/>
              <w:right w:val="single" w:sz="6" w:space="0" w:color="auto"/>
            </w:tcBorders>
            <w:shd w:val="clear" w:color="auto" w:fill="auto"/>
            <w:vAlign w:val="center"/>
          </w:tcPr>
          <w:p w14:paraId="0E4D4F0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m</w:t>
            </w:r>
            <w:r w:rsidRPr="00F50C10">
              <w:rPr>
                <w:rFonts w:eastAsia="Times New Roman" w:cs="Times New Roman"/>
                <w:szCs w:val="24"/>
                <w:vertAlign w:val="superscript"/>
                <w:lang w:val="tr-TR" w:eastAsia="tr-TR" w:bidi="tr-TR"/>
              </w:rPr>
              <w:t>3</w:t>
            </w:r>
          </w:p>
        </w:tc>
        <w:tc>
          <w:tcPr>
            <w:tcW w:w="1358" w:type="pct"/>
            <w:tcBorders>
              <w:top w:val="single" w:sz="6" w:space="0" w:color="auto"/>
              <w:left w:val="single" w:sz="6" w:space="0" w:color="auto"/>
              <w:bottom w:val="single" w:sz="6" w:space="0" w:color="auto"/>
              <w:right w:val="single" w:sz="6" w:space="0" w:color="auto"/>
            </w:tcBorders>
            <w:shd w:val="clear" w:color="auto" w:fill="auto"/>
            <w:vAlign w:val="center"/>
          </w:tcPr>
          <w:p w14:paraId="46DE0C6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1,1</w:t>
            </w:r>
          </w:p>
        </w:tc>
      </w:tr>
      <w:tr w:rsidR="00172694" w:rsidRPr="00F50C10" w14:paraId="22B0B1C3" w14:textId="77777777" w:rsidTr="00375F59">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266242FD"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Hava emisyonları</w:t>
            </w:r>
          </w:p>
        </w:tc>
      </w:tr>
      <w:tr w:rsidR="00172694" w:rsidRPr="00F50C10" w14:paraId="0273BD5C" w14:textId="77777777" w:rsidTr="00375F59">
        <w:trPr>
          <w:trHeight w:val="20"/>
        </w:trPr>
        <w:tc>
          <w:tcPr>
            <w:tcW w:w="1697" w:type="pct"/>
            <w:tcBorders>
              <w:top w:val="single" w:sz="6" w:space="0" w:color="auto"/>
              <w:left w:val="single" w:sz="6" w:space="0" w:color="auto"/>
              <w:bottom w:val="single" w:sz="6" w:space="0" w:color="auto"/>
              <w:right w:val="single" w:sz="6" w:space="0" w:color="auto"/>
            </w:tcBorders>
            <w:shd w:val="clear" w:color="auto" w:fill="auto"/>
            <w:vAlign w:val="center"/>
          </w:tcPr>
          <w:p w14:paraId="6FA0551D"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Toz emisyonu</w:t>
            </w:r>
          </w:p>
        </w:tc>
        <w:tc>
          <w:tcPr>
            <w:tcW w:w="1945" w:type="pct"/>
            <w:tcBorders>
              <w:top w:val="single" w:sz="6" w:space="0" w:color="auto"/>
              <w:left w:val="single" w:sz="6" w:space="0" w:color="auto"/>
              <w:bottom w:val="single" w:sz="6" w:space="0" w:color="auto"/>
              <w:right w:val="single" w:sz="6" w:space="0" w:color="auto"/>
            </w:tcBorders>
            <w:shd w:val="clear" w:color="auto" w:fill="auto"/>
            <w:vAlign w:val="center"/>
          </w:tcPr>
          <w:p w14:paraId="74EE1A1D"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358" w:type="pct"/>
            <w:tcBorders>
              <w:top w:val="single" w:sz="6" w:space="0" w:color="auto"/>
              <w:left w:val="single" w:sz="6" w:space="0" w:color="auto"/>
              <w:bottom w:val="single" w:sz="6" w:space="0" w:color="auto"/>
              <w:right w:val="single" w:sz="6" w:space="0" w:color="auto"/>
            </w:tcBorders>
            <w:shd w:val="clear" w:color="auto" w:fill="auto"/>
            <w:vAlign w:val="center"/>
          </w:tcPr>
          <w:p w14:paraId="6D6CCFF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11</w:t>
            </w:r>
          </w:p>
        </w:tc>
      </w:tr>
      <w:tr w:rsidR="00172694" w:rsidRPr="00F50C10" w14:paraId="39EEB063" w14:textId="77777777" w:rsidTr="00375F59">
        <w:trPr>
          <w:trHeight w:val="20"/>
        </w:trPr>
        <w:tc>
          <w:tcPr>
            <w:tcW w:w="1697" w:type="pct"/>
            <w:tcBorders>
              <w:top w:val="single" w:sz="6" w:space="0" w:color="auto"/>
              <w:left w:val="single" w:sz="6" w:space="0" w:color="auto"/>
              <w:bottom w:val="single" w:sz="6" w:space="0" w:color="auto"/>
              <w:right w:val="single" w:sz="6" w:space="0" w:color="auto"/>
            </w:tcBorders>
            <w:shd w:val="clear" w:color="auto" w:fill="auto"/>
            <w:vAlign w:val="center"/>
          </w:tcPr>
          <w:p w14:paraId="2D341890"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tr-TR" w:eastAsia="tr-TR"/>
              </w:rPr>
            </w:pPr>
            <w:r w:rsidRPr="00F50C10">
              <w:rPr>
                <w:rFonts w:eastAsia="Times New Roman" w:cs="Times New Roman"/>
                <w:szCs w:val="24"/>
                <w:lang w:val="tr-TR" w:eastAsia="tr-TR" w:bidi="tr-TR"/>
              </w:rPr>
              <w:t>UOB emisyonu</w:t>
            </w:r>
          </w:p>
          <w:p w14:paraId="429F1140"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tr-TR" w:eastAsia="tr-TR"/>
              </w:rPr>
            </w:pPr>
            <w:r w:rsidRPr="00F50C10">
              <w:rPr>
                <w:rFonts w:eastAsia="Times New Roman" w:cs="Times New Roman"/>
                <w:szCs w:val="24"/>
                <w:lang w:val="tr-TR" w:eastAsia="tr-TR" w:bidi="tr-TR"/>
              </w:rPr>
              <w:t>Yeni tesisler</w:t>
            </w:r>
          </w:p>
          <w:p w14:paraId="6B6592EC"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tr-TR" w:eastAsia="tr-TR"/>
              </w:rPr>
            </w:pPr>
            <w:r w:rsidRPr="00F50C10">
              <w:rPr>
                <w:rFonts w:eastAsia="Times New Roman" w:cs="Times New Roman"/>
                <w:szCs w:val="24"/>
                <w:lang w:val="tr-TR" w:eastAsia="tr-TR" w:bidi="tr-TR"/>
              </w:rPr>
              <w:t>Mevcut tesisler</w:t>
            </w:r>
          </w:p>
        </w:tc>
        <w:tc>
          <w:tcPr>
            <w:tcW w:w="1945" w:type="pct"/>
            <w:tcBorders>
              <w:top w:val="single" w:sz="6" w:space="0" w:color="auto"/>
              <w:left w:val="single" w:sz="6" w:space="0" w:color="auto"/>
              <w:bottom w:val="single" w:sz="6" w:space="0" w:color="auto"/>
              <w:right w:val="single" w:sz="6" w:space="0" w:color="auto"/>
            </w:tcBorders>
            <w:shd w:val="clear" w:color="auto" w:fill="auto"/>
            <w:vAlign w:val="center"/>
          </w:tcPr>
          <w:p w14:paraId="32C25D4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358" w:type="pct"/>
            <w:tcBorders>
              <w:top w:val="single" w:sz="6" w:space="0" w:color="auto"/>
              <w:left w:val="single" w:sz="6" w:space="0" w:color="auto"/>
              <w:bottom w:val="single" w:sz="6" w:space="0" w:color="auto"/>
              <w:right w:val="single" w:sz="6" w:space="0" w:color="auto"/>
            </w:tcBorders>
            <w:shd w:val="clear" w:color="auto" w:fill="auto"/>
            <w:vAlign w:val="center"/>
          </w:tcPr>
          <w:p w14:paraId="6582064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200 - 500</w:t>
            </w:r>
          </w:p>
          <w:p w14:paraId="48387BB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500 - 700</w:t>
            </w:r>
          </w:p>
        </w:tc>
      </w:tr>
      <w:tr w:rsidR="00172694" w:rsidRPr="00F50C10" w14:paraId="12B228DA" w14:textId="77777777" w:rsidTr="00375F59">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14F19372"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Suya emisyonlar</w:t>
            </w:r>
          </w:p>
        </w:tc>
      </w:tr>
      <w:tr w:rsidR="00172694" w:rsidRPr="00F50C10" w14:paraId="74830F26" w14:textId="77777777" w:rsidTr="00375F59">
        <w:trPr>
          <w:trHeight w:val="20"/>
        </w:trPr>
        <w:tc>
          <w:tcPr>
            <w:tcW w:w="1697" w:type="pct"/>
            <w:tcBorders>
              <w:top w:val="single" w:sz="6" w:space="0" w:color="auto"/>
              <w:left w:val="single" w:sz="6" w:space="0" w:color="auto"/>
              <w:bottom w:val="single" w:sz="6" w:space="0" w:color="auto"/>
              <w:right w:val="single" w:sz="6" w:space="0" w:color="auto"/>
            </w:tcBorders>
            <w:shd w:val="clear" w:color="auto" w:fill="auto"/>
            <w:vAlign w:val="center"/>
          </w:tcPr>
          <w:p w14:paraId="57D5DBA8"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KOİ emisyonu</w:t>
            </w:r>
          </w:p>
        </w:tc>
        <w:tc>
          <w:tcPr>
            <w:tcW w:w="1945" w:type="pct"/>
            <w:tcBorders>
              <w:top w:val="single" w:sz="6" w:space="0" w:color="auto"/>
              <w:left w:val="single" w:sz="6" w:space="0" w:color="auto"/>
              <w:bottom w:val="single" w:sz="6" w:space="0" w:color="auto"/>
              <w:right w:val="single" w:sz="6" w:space="0" w:color="auto"/>
            </w:tcBorders>
            <w:shd w:val="clear" w:color="auto" w:fill="auto"/>
            <w:vAlign w:val="center"/>
          </w:tcPr>
          <w:p w14:paraId="4258992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358" w:type="pct"/>
            <w:tcBorders>
              <w:top w:val="single" w:sz="6" w:space="0" w:color="auto"/>
              <w:left w:val="single" w:sz="6" w:space="0" w:color="auto"/>
              <w:bottom w:val="single" w:sz="6" w:space="0" w:color="auto"/>
              <w:right w:val="single" w:sz="6" w:space="0" w:color="auto"/>
            </w:tcBorders>
            <w:shd w:val="clear" w:color="auto" w:fill="auto"/>
            <w:vAlign w:val="center"/>
          </w:tcPr>
          <w:p w14:paraId="5BF8D7F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39</w:t>
            </w:r>
          </w:p>
        </w:tc>
      </w:tr>
      <w:tr w:rsidR="00172694" w:rsidRPr="00F50C10" w14:paraId="25F866FE" w14:textId="77777777" w:rsidTr="00375F59">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E929E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Atık</w:t>
            </w:r>
          </w:p>
        </w:tc>
      </w:tr>
      <w:tr w:rsidR="00172694" w:rsidRPr="00F50C10" w14:paraId="31B3ACC7" w14:textId="77777777" w:rsidTr="00375F59">
        <w:trPr>
          <w:trHeight w:val="20"/>
        </w:trPr>
        <w:tc>
          <w:tcPr>
            <w:tcW w:w="1697" w:type="pct"/>
            <w:tcBorders>
              <w:top w:val="single" w:sz="6" w:space="0" w:color="auto"/>
              <w:left w:val="single" w:sz="6" w:space="0" w:color="auto"/>
              <w:bottom w:val="single" w:sz="6" w:space="0" w:color="auto"/>
              <w:right w:val="single" w:sz="6" w:space="0" w:color="auto"/>
            </w:tcBorders>
            <w:shd w:val="clear" w:color="auto" w:fill="auto"/>
            <w:vAlign w:val="center"/>
          </w:tcPr>
          <w:p w14:paraId="4593F856" w14:textId="1ADB5B77" w:rsidR="00172694" w:rsidRPr="00F50C10" w:rsidRDefault="00760235"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İnert</w:t>
            </w:r>
            <w:r w:rsidR="00172694" w:rsidRPr="00F50C10">
              <w:rPr>
                <w:rFonts w:eastAsia="Times New Roman" w:cs="Times New Roman"/>
                <w:szCs w:val="24"/>
                <w:lang w:val="tr-TR" w:eastAsia="tr-TR" w:bidi="tr-TR"/>
              </w:rPr>
              <w:t xml:space="preserve"> atık</w:t>
            </w:r>
          </w:p>
        </w:tc>
        <w:tc>
          <w:tcPr>
            <w:tcW w:w="1945" w:type="pct"/>
            <w:tcBorders>
              <w:top w:val="single" w:sz="6" w:space="0" w:color="auto"/>
              <w:left w:val="single" w:sz="6" w:space="0" w:color="auto"/>
              <w:bottom w:val="single" w:sz="6" w:space="0" w:color="auto"/>
              <w:right w:val="single" w:sz="6" w:space="0" w:color="auto"/>
            </w:tcBorders>
            <w:shd w:val="clear" w:color="auto" w:fill="auto"/>
            <w:vAlign w:val="center"/>
          </w:tcPr>
          <w:p w14:paraId="58AAE1D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1358" w:type="pct"/>
            <w:tcBorders>
              <w:top w:val="single" w:sz="6" w:space="0" w:color="auto"/>
              <w:left w:val="single" w:sz="6" w:space="0" w:color="auto"/>
              <w:bottom w:val="single" w:sz="6" w:space="0" w:color="auto"/>
              <w:right w:val="single" w:sz="6" w:space="0" w:color="auto"/>
            </w:tcBorders>
            <w:shd w:val="clear" w:color="auto" w:fill="auto"/>
            <w:vAlign w:val="center"/>
          </w:tcPr>
          <w:p w14:paraId="2EA6025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1,1</w:t>
            </w:r>
          </w:p>
        </w:tc>
      </w:tr>
      <w:tr w:rsidR="00172694" w:rsidRPr="00F50C10" w14:paraId="4D53818E" w14:textId="77777777" w:rsidTr="00375F59">
        <w:trPr>
          <w:trHeight w:val="20"/>
        </w:trPr>
        <w:tc>
          <w:tcPr>
            <w:tcW w:w="1697" w:type="pct"/>
            <w:tcBorders>
              <w:top w:val="single" w:sz="6" w:space="0" w:color="auto"/>
              <w:left w:val="single" w:sz="6" w:space="0" w:color="auto"/>
              <w:bottom w:val="single" w:sz="6" w:space="0" w:color="auto"/>
              <w:right w:val="single" w:sz="6" w:space="0" w:color="auto"/>
            </w:tcBorders>
            <w:shd w:val="clear" w:color="auto" w:fill="auto"/>
            <w:vAlign w:val="center"/>
          </w:tcPr>
          <w:p w14:paraId="54F80F7B"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Tehlikeli atık</w:t>
            </w:r>
          </w:p>
        </w:tc>
        <w:tc>
          <w:tcPr>
            <w:tcW w:w="1945" w:type="pct"/>
            <w:tcBorders>
              <w:top w:val="single" w:sz="6" w:space="0" w:color="auto"/>
              <w:left w:val="single" w:sz="6" w:space="0" w:color="auto"/>
              <w:bottom w:val="single" w:sz="6" w:space="0" w:color="auto"/>
              <w:right w:val="single" w:sz="6" w:space="0" w:color="auto"/>
            </w:tcBorders>
            <w:shd w:val="clear" w:color="auto" w:fill="auto"/>
            <w:vAlign w:val="center"/>
          </w:tcPr>
          <w:p w14:paraId="4B76BC92"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1358" w:type="pct"/>
            <w:tcBorders>
              <w:top w:val="single" w:sz="6" w:space="0" w:color="auto"/>
              <w:left w:val="single" w:sz="6" w:space="0" w:color="auto"/>
              <w:bottom w:val="single" w:sz="6" w:space="0" w:color="auto"/>
              <w:right w:val="single" w:sz="6" w:space="0" w:color="auto"/>
            </w:tcBorders>
            <w:shd w:val="clear" w:color="auto" w:fill="auto"/>
            <w:vAlign w:val="center"/>
          </w:tcPr>
          <w:p w14:paraId="252D138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0,8</w:t>
            </w:r>
          </w:p>
        </w:tc>
      </w:tr>
      <w:tr w:rsidR="00172694" w:rsidRPr="00F50C10" w14:paraId="05BC6382" w14:textId="77777777" w:rsidTr="00375F59">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179DF80F"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1. Doğrudan enerji, enerjinin verildiği gibi tüketimine karşılık gelir.</w:t>
            </w:r>
          </w:p>
          <w:p w14:paraId="22421844"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2. Birincil enerji, fosil yakıt miktarına geri hesaplanan enerjidir Birincil enerji hesaplaması için kullanılan verimler şunlardır: elektrik: %40, buhar: % 90.</w:t>
            </w:r>
          </w:p>
          <w:p w14:paraId="5CA9A0C0"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3. Toz, katılımcılar tarafından bildirilen tozun tümünü içerir.</w:t>
            </w:r>
          </w:p>
          <w:p w14:paraId="7288BA7E"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4. UOB, kaçak emisyonlar dahil tüm hidrokarbonları ve diğer organik bileşikleri içerir UOB emisyonları, komonomer tipine bağlıdır (bütan-1 için 200 ppm ve oktan-1 için 500 ppm).</w:t>
            </w:r>
          </w:p>
          <w:p w14:paraId="02675E53" w14:textId="0873601A"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 xml:space="preserve">5. Ton ürün başına kilogram cinsinden </w:t>
            </w:r>
            <w:r w:rsidR="00760235" w:rsidRPr="00F50C10">
              <w:rPr>
                <w:rFonts w:eastAsia="Times New Roman" w:cs="Times New Roman"/>
                <w:i/>
                <w:iCs/>
                <w:szCs w:val="24"/>
                <w:lang w:val="tr-TR" w:eastAsia="tr-TR" w:bidi="tr-TR"/>
              </w:rPr>
              <w:t>inert</w:t>
            </w:r>
            <w:r w:rsidRPr="00F50C10">
              <w:rPr>
                <w:rFonts w:eastAsia="Times New Roman" w:cs="Times New Roman"/>
                <w:i/>
                <w:iCs/>
                <w:szCs w:val="24"/>
                <w:lang w:val="tr-TR" w:eastAsia="tr-TR" w:bidi="tr-TR"/>
              </w:rPr>
              <w:t xml:space="preserve"> atık (atık sahasına) (kg/t).</w:t>
            </w:r>
          </w:p>
          <w:p w14:paraId="529A5504"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tr-TR" w:eastAsia="tr-TR"/>
              </w:rPr>
            </w:pPr>
            <w:r w:rsidRPr="00F50C10">
              <w:rPr>
                <w:rFonts w:eastAsia="Times New Roman" w:cs="Times New Roman"/>
                <w:i/>
                <w:iCs/>
                <w:szCs w:val="24"/>
                <w:lang w:val="tr-TR" w:eastAsia="tr-TR" w:bidi="tr-TR"/>
              </w:rPr>
              <w:t>6. Ton ürün başına kilogram olarak tehlikeli atık (işleme veya yakmaya) (kg/t).</w:t>
            </w:r>
          </w:p>
        </w:tc>
      </w:tr>
    </w:tbl>
    <w:p w14:paraId="27422FAB" w14:textId="77777777" w:rsidR="00172694" w:rsidRPr="00F50C10" w:rsidRDefault="00172694" w:rsidP="000B206D">
      <w:pPr>
        <w:widowControl w:val="0"/>
        <w:numPr>
          <w:ilvl w:val="1"/>
          <w:numId w:val="19"/>
        </w:numPr>
        <w:autoSpaceDE w:val="0"/>
        <w:autoSpaceDN w:val="0"/>
        <w:adjustRightInd w:val="0"/>
        <w:spacing w:before="120" w:after="60" w:line="276" w:lineRule="auto"/>
        <w:jc w:val="left"/>
        <w:outlineLvl w:val="1"/>
        <w:rPr>
          <w:rFonts w:eastAsia="Arial" w:cs="Times New Roman"/>
          <w:b/>
          <w:bCs/>
          <w:szCs w:val="24"/>
          <w:lang w:val="tr-TR" w:bidi="tr-TR"/>
        </w:rPr>
      </w:pPr>
      <w:r w:rsidRPr="00F50C10">
        <w:rPr>
          <w:rFonts w:eastAsia="Arial" w:cs="Times New Roman"/>
          <w:b/>
          <w:bCs/>
          <w:szCs w:val="24"/>
          <w:lang w:val="tr-TR"/>
        </w:rPr>
        <w:t>Polistiren</w:t>
      </w:r>
      <w:r w:rsidRPr="00F50C10">
        <w:rPr>
          <w:rFonts w:eastAsia="Arial" w:cs="Times New Roman"/>
          <w:b/>
          <w:bCs/>
          <w:szCs w:val="24"/>
          <w:lang w:val="tr-TR" w:bidi="tr-TR"/>
        </w:rPr>
        <w:t xml:space="preserve"> üretimi için MET</w:t>
      </w:r>
    </w:p>
    <w:p w14:paraId="312B8ADD" w14:textId="6BF50D85"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bidi="tr-TR"/>
        </w:rPr>
      </w:pPr>
      <w:r w:rsidRPr="00F50C10">
        <w:rPr>
          <w:rFonts w:eastAsia="Times New Roman" w:cs="Times New Roman"/>
          <w:b/>
          <w:szCs w:val="24"/>
          <w:lang w:val="tr-TR" w:eastAsia="tr-TR" w:bidi="tr-TR"/>
        </w:rPr>
        <w:t xml:space="preserve">MET </w:t>
      </w:r>
      <w:r w:rsidR="00EA4722" w:rsidRPr="00F50C10">
        <w:rPr>
          <w:rFonts w:eastAsia="Times New Roman" w:cs="Times New Roman"/>
          <w:b/>
          <w:szCs w:val="24"/>
          <w:lang w:val="tr-TR" w:eastAsia="tr-TR" w:bidi="tr-TR"/>
        </w:rPr>
        <w:t>1</w:t>
      </w:r>
      <w:r w:rsidRPr="00F50C10">
        <w:rPr>
          <w:rFonts w:eastAsia="Times New Roman" w:cs="Times New Roman"/>
          <w:bCs/>
          <w:szCs w:val="24"/>
          <w:lang w:val="tr-TR" w:eastAsia="tr-TR" w:bidi="tr-TR"/>
        </w:rPr>
        <w:t xml:space="preserve">: </w:t>
      </w:r>
      <w:r w:rsidR="00EB213A" w:rsidRPr="00F50C10">
        <w:rPr>
          <w:rFonts w:eastAsia="Times New Roman" w:cs="Times New Roman"/>
          <w:bCs/>
          <w:szCs w:val="24"/>
          <w:lang w:val="tr-TR" w:eastAsia="tr-TR" w:bidi="tr-TR"/>
        </w:rPr>
        <w:t>Purge</w:t>
      </w:r>
      <w:r w:rsidRPr="00F50C10">
        <w:rPr>
          <w:rFonts w:eastAsia="Times New Roman" w:cs="Times New Roman"/>
          <w:bCs/>
          <w:szCs w:val="24"/>
          <w:lang w:val="tr-TR" w:eastAsia="tr-TR" w:bidi="tr-TR"/>
        </w:rPr>
        <w:t xml:space="preserve"> gazı akımlarını ve reaktör havalandırmalarından çıkan emisyonların azaltılması ve kontrol edilmesi için aşağıdaki tekniklerden bir veya daha fazlası kullanıl</w:t>
      </w:r>
      <w:r w:rsidR="00EB213A" w:rsidRPr="00F50C10">
        <w:rPr>
          <w:rFonts w:eastAsia="Times New Roman" w:cs="Times New Roman"/>
          <w:bCs/>
          <w:szCs w:val="24"/>
          <w:lang w:val="tr-TR" w:eastAsia="tr-TR" w:bidi="tr-TR"/>
        </w:rPr>
        <w:t>ır</w:t>
      </w:r>
      <w:r w:rsidR="007B5D8D" w:rsidRPr="00F50C10">
        <w:rPr>
          <w:rFonts w:eastAsia="Times New Roman" w:cs="Times New Roman"/>
          <w:bCs/>
          <w:szCs w:val="24"/>
          <w:lang w:val="tr-TR" w:eastAsia="tr-TR" w:bidi="tr-TR"/>
        </w:rPr>
        <w:t>:</w:t>
      </w:r>
    </w:p>
    <w:p w14:paraId="6E7B0EA8" w14:textId="77777777" w:rsidR="00172694" w:rsidRPr="00F50C10" w:rsidRDefault="00172694" w:rsidP="000B206D">
      <w:pPr>
        <w:widowControl w:val="0"/>
        <w:numPr>
          <w:ilvl w:val="0"/>
          <w:numId w:val="31"/>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rPr>
        <w:t xml:space="preserve">seviye </w:t>
      </w:r>
      <w:r w:rsidRPr="00F50C10">
        <w:rPr>
          <w:rFonts w:eastAsia="Times New Roman" w:cs="Times New Roman"/>
          <w:szCs w:val="24"/>
          <w:lang w:val="tr-TR" w:bidi="tr-TR"/>
        </w:rPr>
        <w:t>değişiminin en aza indirilmesi,</w:t>
      </w:r>
    </w:p>
    <w:p w14:paraId="01EE4316" w14:textId="77777777" w:rsidR="00172694" w:rsidRPr="00F50C10" w:rsidRDefault="00172694" w:rsidP="000B206D">
      <w:pPr>
        <w:widowControl w:val="0"/>
        <w:numPr>
          <w:ilvl w:val="0"/>
          <w:numId w:val="31"/>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gaz denge hatları,</w:t>
      </w:r>
    </w:p>
    <w:p w14:paraId="2C9066CE" w14:textId="77777777" w:rsidR="00172694" w:rsidRPr="00F50C10" w:rsidRDefault="00172694" w:rsidP="000B206D">
      <w:pPr>
        <w:widowControl w:val="0"/>
        <w:numPr>
          <w:ilvl w:val="0"/>
          <w:numId w:val="31"/>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yüzer tavanlar (yalnızca büyük tanklar),</w:t>
      </w:r>
    </w:p>
    <w:p w14:paraId="3AC4AF13" w14:textId="77777777" w:rsidR="00172694" w:rsidRPr="00F50C10" w:rsidRDefault="00172694" w:rsidP="000B206D">
      <w:pPr>
        <w:widowControl w:val="0"/>
        <w:numPr>
          <w:ilvl w:val="0"/>
          <w:numId w:val="31"/>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kurulu kondansatörler,</w:t>
      </w:r>
    </w:p>
    <w:p w14:paraId="267D4C43" w14:textId="77777777" w:rsidR="00172694" w:rsidRPr="00F50C10" w:rsidRDefault="00172694" w:rsidP="000B206D">
      <w:pPr>
        <w:widowControl w:val="0"/>
        <w:numPr>
          <w:ilvl w:val="0"/>
          <w:numId w:val="31"/>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bidi="tr-TR"/>
        </w:rPr>
        <w:t>havalandırmadan</w:t>
      </w:r>
      <w:r w:rsidRPr="00F50C10">
        <w:rPr>
          <w:rFonts w:eastAsia="Times New Roman" w:cs="Times New Roman"/>
          <w:szCs w:val="24"/>
          <w:lang w:val="tr-TR"/>
        </w:rPr>
        <w:t xml:space="preserve"> geri kazanımın arıtımı.</w:t>
      </w:r>
    </w:p>
    <w:p w14:paraId="4526C12C" w14:textId="33148A99" w:rsidR="006B371F" w:rsidRPr="00F50C10" w:rsidRDefault="006B371F" w:rsidP="000B206D">
      <w:pPr>
        <w:widowControl w:val="0"/>
        <w:autoSpaceDE w:val="0"/>
        <w:autoSpaceDN w:val="0"/>
        <w:adjustRightInd w:val="0"/>
        <w:spacing w:before="120" w:after="60" w:line="276" w:lineRule="auto"/>
        <w:rPr>
          <w:rFonts w:cs="Times New Roman"/>
          <w:bCs/>
          <w:szCs w:val="24"/>
          <w:lang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r w:rsidR="00EA4722" w:rsidRPr="00F50C10">
        <w:rPr>
          <w:rFonts w:cs="Times New Roman"/>
          <w:bCs/>
          <w:szCs w:val="24"/>
          <w:lang w:bidi="tr-TR"/>
        </w:rPr>
        <w:t>2</w:t>
      </w:r>
      <w:r w:rsidRPr="00F50C10">
        <w:rPr>
          <w:rFonts w:cs="Times New Roman"/>
          <w:bCs/>
          <w:szCs w:val="24"/>
          <w:lang w:bidi="tr-TR"/>
        </w:rPr>
        <w:t>.3 Kısmını inceleyiniz.)</w:t>
      </w:r>
    </w:p>
    <w:p w14:paraId="2FE37072" w14:textId="3615EB5F"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rPr>
      </w:pPr>
      <w:r w:rsidRPr="00F50C10">
        <w:rPr>
          <w:rFonts w:eastAsia="Times New Roman" w:cs="Times New Roman"/>
          <w:b/>
          <w:szCs w:val="24"/>
          <w:lang w:val="tr-TR" w:eastAsia="tr-TR" w:bidi="tr-TR"/>
        </w:rPr>
        <w:t xml:space="preserve">MET </w:t>
      </w:r>
      <w:r w:rsidR="00EA4722" w:rsidRPr="00F50C10">
        <w:rPr>
          <w:rFonts w:eastAsia="Times New Roman" w:cs="Times New Roman"/>
          <w:b/>
          <w:szCs w:val="24"/>
          <w:lang w:val="tr-TR" w:eastAsia="tr-TR" w:bidi="tr-TR"/>
        </w:rPr>
        <w:t>2</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Tüm tahliye akımları ve reaktör havalandırma gazları geri kazanılır</w:t>
      </w:r>
      <w:r w:rsidR="007B5D8D" w:rsidRPr="00F50C10">
        <w:rPr>
          <w:rFonts w:eastAsia="Times New Roman" w:cs="Times New Roman"/>
          <w:bCs/>
          <w:szCs w:val="24"/>
          <w:lang w:val="tr-TR" w:eastAsia="tr-TR" w:bidi="tr-TR"/>
        </w:rPr>
        <w:t>.</w:t>
      </w:r>
    </w:p>
    <w:p w14:paraId="435D918B" w14:textId="4C8F424F"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bidi="tr-TR"/>
        </w:rPr>
      </w:pPr>
      <w:r w:rsidRPr="00F50C10">
        <w:rPr>
          <w:rFonts w:eastAsia="Times New Roman" w:cs="Times New Roman"/>
          <w:szCs w:val="24"/>
          <w:lang w:val="tr-TR" w:eastAsia="tr-TR" w:bidi="tr-TR"/>
        </w:rPr>
        <w:t>Tahliye akımları, yakıt yağı olarak kullanılır veya ısı geri kazanımı ve buhar üretimi için kullanılabilen termal oksitleyicilerle arıtılır.</w:t>
      </w:r>
    </w:p>
    <w:p w14:paraId="2EEFB33B" w14:textId="01F3628C" w:rsidR="006B371F" w:rsidRPr="00F50C10" w:rsidRDefault="006B371F" w:rsidP="000B206D">
      <w:pPr>
        <w:widowControl w:val="0"/>
        <w:autoSpaceDE w:val="0"/>
        <w:autoSpaceDN w:val="0"/>
        <w:adjustRightInd w:val="0"/>
        <w:spacing w:before="120" w:after="60" w:line="276" w:lineRule="auto"/>
        <w:rPr>
          <w:rFonts w:eastAsia="Times New Roman" w:cs="Times New Roman"/>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00EA4722" w:rsidRPr="00F50C10">
          <w:rPr>
            <w:rFonts w:cs="Times New Roman"/>
            <w:bCs/>
            <w:szCs w:val="24"/>
            <w:lang w:bidi="tr-TR"/>
          </w:rPr>
          <w:t>2</w:t>
        </w:r>
        <w:r w:rsidRPr="00F50C10">
          <w:rPr>
            <w:rFonts w:cs="Times New Roman"/>
            <w:bCs/>
            <w:szCs w:val="24"/>
            <w:lang w:bidi="tr-TR"/>
          </w:rPr>
          <w:t>.3 Kısmını inceleyiniz.)</w:t>
        </w:r>
      </w:hyperlink>
    </w:p>
    <w:p w14:paraId="77A549F3" w14:textId="71184FD3"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rPr>
      </w:pPr>
      <w:r w:rsidRPr="00F50C10">
        <w:rPr>
          <w:rFonts w:eastAsia="Times New Roman" w:cs="Times New Roman"/>
          <w:b/>
          <w:szCs w:val="24"/>
          <w:lang w:val="tr-TR" w:eastAsia="tr-TR" w:bidi="tr-TR"/>
        </w:rPr>
        <w:t xml:space="preserve">MET </w:t>
      </w:r>
      <w:r w:rsidR="00EA4722" w:rsidRPr="00F50C10">
        <w:rPr>
          <w:rFonts w:eastAsia="Times New Roman" w:cs="Times New Roman"/>
          <w:b/>
          <w:szCs w:val="24"/>
          <w:lang w:val="tr-TR" w:eastAsia="tr-TR" w:bidi="tr-TR"/>
        </w:rPr>
        <w:t>3</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 xml:space="preserve">Peletlemeden çıkan </w:t>
      </w:r>
      <w:r w:rsidR="007B5D8D" w:rsidRPr="00F50C10">
        <w:rPr>
          <w:rFonts w:eastAsia="Times New Roman" w:cs="Times New Roman"/>
          <w:bCs/>
          <w:szCs w:val="24"/>
          <w:lang w:val="tr-TR" w:eastAsia="tr-TR" w:bidi="tr-TR"/>
        </w:rPr>
        <w:t>çıkış</w:t>
      </w:r>
      <w:r w:rsidRPr="00F50C10">
        <w:rPr>
          <w:rFonts w:eastAsia="Times New Roman" w:cs="Times New Roman"/>
          <w:bCs/>
          <w:szCs w:val="24"/>
          <w:lang w:val="tr-TR" w:eastAsia="tr-TR" w:bidi="tr-TR"/>
        </w:rPr>
        <w:t xml:space="preserve"> </w:t>
      </w:r>
      <w:r w:rsidR="007B5D8D" w:rsidRPr="00F50C10">
        <w:rPr>
          <w:rFonts w:eastAsia="Times New Roman" w:cs="Times New Roman"/>
          <w:bCs/>
          <w:szCs w:val="24"/>
          <w:lang w:val="tr-TR" w:eastAsia="tr-TR" w:bidi="tr-TR"/>
        </w:rPr>
        <w:t>gazı</w:t>
      </w:r>
      <w:r w:rsidRPr="00F50C10">
        <w:rPr>
          <w:rFonts w:eastAsia="Times New Roman" w:cs="Times New Roman"/>
          <w:bCs/>
          <w:szCs w:val="24"/>
          <w:lang w:val="tr-TR" w:eastAsia="tr-TR" w:bidi="tr-TR"/>
        </w:rPr>
        <w:t xml:space="preserve"> toplan</w:t>
      </w:r>
      <w:r w:rsidR="007B5D8D" w:rsidRPr="00F50C10">
        <w:rPr>
          <w:rFonts w:eastAsia="Times New Roman" w:cs="Times New Roman"/>
          <w:bCs/>
          <w:szCs w:val="24"/>
          <w:lang w:val="tr-TR" w:eastAsia="tr-TR" w:bidi="tr-TR"/>
        </w:rPr>
        <w:t xml:space="preserve">ır </w:t>
      </w:r>
      <w:r w:rsidRPr="00F50C10">
        <w:rPr>
          <w:rFonts w:eastAsia="Times New Roman" w:cs="Times New Roman"/>
          <w:bCs/>
          <w:szCs w:val="24"/>
          <w:lang w:val="tr-TR" w:eastAsia="tr-TR" w:bidi="tr-TR"/>
        </w:rPr>
        <w:t>ve işlen</w:t>
      </w:r>
      <w:r w:rsidR="007B5D8D" w:rsidRPr="00F50C10">
        <w:rPr>
          <w:rFonts w:eastAsia="Times New Roman" w:cs="Times New Roman"/>
          <w:bCs/>
          <w:szCs w:val="24"/>
          <w:lang w:val="tr-TR" w:eastAsia="tr-TR" w:bidi="tr-TR"/>
        </w:rPr>
        <w:t>ir.</w:t>
      </w:r>
    </w:p>
    <w:p w14:paraId="1B12E1EC" w14:textId="0469B7D2"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bidi="tr-TR"/>
        </w:rPr>
      </w:pPr>
      <w:r w:rsidRPr="00F50C10">
        <w:rPr>
          <w:rFonts w:eastAsia="Times New Roman" w:cs="Times New Roman"/>
          <w:szCs w:val="24"/>
          <w:lang w:val="tr-TR" w:eastAsia="tr-TR" w:bidi="tr-TR"/>
        </w:rPr>
        <w:t>Genellikle, peletleme bölümünden emilen hava, reaktör havalandırma gazları ve tahliye akımları ile birlikte arıtılır. Bu yalnızca GPPS ve HIPS prosesleri için uygulanabilir.</w:t>
      </w:r>
    </w:p>
    <w:p w14:paraId="66BDA62A" w14:textId="4CBB4FFC" w:rsidR="006B371F" w:rsidRPr="00F50C10" w:rsidRDefault="006B371F" w:rsidP="000B206D">
      <w:pPr>
        <w:widowControl w:val="0"/>
        <w:autoSpaceDE w:val="0"/>
        <w:autoSpaceDN w:val="0"/>
        <w:adjustRightInd w:val="0"/>
        <w:spacing w:before="120" w:after="60" w:line="276" w:lineRule="auto"/>
        <w:rPr>
          <w:rFonts w:eastAsia="Times New Roman" w:cs="Times New Roman"/>
          <w:szCs w:val="24"/>
          <w:lang w:val="tr-TR" w:eastAsia="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00EA4722" w:rsidRPr="00F50C10">
          <w:rPr>
            <w:rFonts w:cs="Times New Roman"/>
            <w:bCs/>
            <w:szCs w:val="24"/>
            <w:lang w:bidi="tr-TR"/>
          </w:rPr>
          <w:t>2</w:t>
        </w:r>
        <w:r w:rsidRPr="00F50C10">
          <w:rPr>
            <w:rFonts w:cs="Times New Roman"/>
            <w:bCs/>
            <w:szCs w:val="24"/>
            <w:lang w:bidi="tr-TR"/>
          </w:rPr>
          <w:t>.3 Kısmını inceleyiniz.)</w:t>
        </w:r>
      </w:hyperlink>
    </w:p>
    <w:p w14:paraId="3E71CAEA" w14:textId="48F84A8B"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
          <w:szCs w:val="24"/>
          <w:lang w:val="tr-TR" w:eastAsia="tr-TR" w:bidi="tr-TR"/>
        </w:rPr>
        <w:t>MET 2</w:t>
      </w:r>
      <w:r w:rsidR="00EA4722" w:rsidRPr="00F50C10">
        <w:rPr>
          <w:rFonts w:eastAsia="Times New Roman" w:cs="Times New Roman"/>
          <w:b/>
          <w:szCs w:val="24"/>
          <w:lang w:val="tr-TR" w:eastAsia="tr-TR" w:bidi="tr-TR"/>
        </w:rPr>
        <w:t xml:space="preserve">4: </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Genleşebilir polistiren (EPS) proseslerinde hazırlıktan kaynaklanan emisyonların azaltılması için  aşağıdaki tekniklerden bir veya daha fazlası ya da eşdeğer(ler)i kullanıl</w:t>
      </w:r>
      <w:r w:rsidR="007B5D8D" w:rsidRPr="00F50C10">
        <w:rPr>
          <w:rFonts w:eastAsia="Times New Roman" w:cs="Times New Roman"/>
          <w:bCs/>
          <w:szCs w:val="24"/>
          <w:lang w:val="tr-TR" w:eastAsia="tr-TR" w:bidi="tr-TR"/>
        </w:rPr>
        <w:t>ır:</w:t>
      </w:r>
    </w:p>
    <w:p w14:paraId="2E8244FB" w14:textId="77777777" w:rsidR="00172694" w:rsidRPr="00F50C10" w:rsidRDefault="00172694" w:rsidP="000B206D">
      <w:pPr>
        <w:widowControl w:val="0"/>
        <w:numPr>
          <w:ilvl w:val="0"/>
          <w:numId w:val="32"/>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rPr>
        <w:t xml:space="preserve">buhar </w:t>
      </w:r>
      <w:r w:rsidRPr="00F50C10">
        <w:rPr>
          <w:rFonts w:eastAsia="Times New Roman" w:cs="Times New Roman"/>
          <w:szCs w:val="24"/>
          <w:lang w:val="tr-TR" w:bidi="tr-TR"/>
        </w:rPr>
        <w:t>denge hatları,</w:t>
      </w:r>
    </w:p>
    <w:p w14:paraId="569D2015" w14:textId="27DD76DA" w:rsidR="00172694" w:rsidRPr="00F50C10" w:rsidRDefault="00172694" w:rsidP="000B206D">
      <w:pPr>
        <w:widowControl w:val="0"/>
        <w:numPr>
          <w:ilvl w:val="0"/>
          <w:numId w:val="32"/>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yoğ</w:t>
      </w:r>
      <w:r w:rsidR="006B015E" w:rsidRPr="00F50C10">
        <w:rPr>
          <w:rFonts w:eastAsia="Times New Roman" w:cs="Times New Roman"/>
          <w:szCs w:val="24"/>
          <w:lang w:val="tr-TR" w:bidi="tr-TR"/>
        </w:rPr>
        <w:t>uşturucu</w:t>
      </w:r>
      <w:r w:rsidRPr="00F50C10">
        <w:rPr>
          <w:rFonts w:eastAsia="Times New Roman" w:cs="Times New Roman"/>
          <w:szCs w:val="24"/>
          <w:lang w:val="tr-TR" w:bidi="tr-TR"/>
        </w:rPr>
        <w:t>lar,</w:t>
      </w:r>
    </w:p>
    <w:p w14:paraId="64E4A9BB" w14:textId="77777777" w:rsidR="00172694" w:rsidRPr="00F50C10" w:rsidRDefault="00172694" w:rsidP="000B206D">
      <w:pPr>
        <w:widowControl w:val="0"/>
        <w:numPr>
          <w:ilvl w:val="0"/>
          <w:numId w:val="32"/>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bidi="tr-TR"/>
        </w:rPr>
        <w:t>havalandırma</w:t>
      </w:r>
      <w:r w:rsidRPr="00F50C10">
        <w:rPr>
          <w:rFonts w:eastAsia="Times New Roman" w:cs="Times New Roman"/>
          <w:szCs w:val="24"/>
          <w:lang w:val="tr-TR"/>
        </w:rPr>
        <w:t xml:space="preserve"> geri kazanımının ilave arıtıma gönderilmesi.</w:t>
      </w:r>
    </w:p>
    <w:p w14:paraId="2BD9B69B" w14:textId="785081B9" w:rsidR="006B371F" w:rsidRPr="00F50C10" w:rsidRDefault="006B371F" w:rsidP="000B206D">
      <w:pPr>
        <w:widowControl w:val="0"/>
        <w:autoSpaceDE w:val="0"/>
        <w:autoSpaceDN w:val="0"/>
        <w:adjustRightInd w:val="0"/>
        <w:spacing w:before="120" w:after="60" w:line="276" w:lineRule="auto"/>
        <w:rPr>
          <w:rFonts w:eastAsia="Times New Roman" w:cs="Times New Roman"/>
          <w:szCs w:val="24"/>
          <w:lang w:val="tr-TR" w:eastAsia="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00EA4722" w:rsidRPr="00F50C10">
          <w:rPr>
            <w:rFonts w:cs="Times New Roman"/>
            <w:bCs/>
            <w:szCs w:val="24"/>
            <w:lang w:bidi="tr-TR"/>
          </w:rPr>
          <w:t>2</w:t>
        </w:r>
        <w:r w:rsidRPr="00F50C10">
          <w:rPr>
            <w:rFonts w:cs="Times New Roman"/>
            <w:bCs/>
            <w:szCs w:val="24"/>
            <w:lang w:bidi="tr-TR"/>
          </w:rPr>
          <w:t>.3 Kısmını inceleyiniz.)</w:t>
        </w:r>
      </w:hyperlink>
    </w:p>
    <w:p w14:paraId="33505E8D" w14:textId="262CB5CB"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
          <w:szCs w:val="24"/>
          <w:lang w:val="tr-TR" w:eastAsia="tr-TR" w:bidi="tr-TR"/>
        </w:rPr>
        <w:t xml:space="preserve">MET </w:t>
      </w:r>
      <w:r w:rsidR="00EA4722" w:rsidRPr="00F50C10">
        <w:rPr>
          <w:rFonts w:eastAsia="Times New Roman" w:cs="Times New Roman"/>
          <w:b/>
          <w:szCs w:val="24"/>
          <w:lang w:val="tr-TR" w:eastAsia="tr-TR" w:bidi="tr-TR"/>
        </w:rPr>
        <w:t>5:</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Darbeye yüksek dirençli polistiren (HIPS) proseslerinde çözünme sisteminden kaynaklanan emisyonların azaltılması için aşağıdaki tekniklerden bir</w:t>
      </w:r>
      <w:r w:rsidR="007B5D8D" w:rsidRPr="00F50C10">
        <w:rPr>
          <w:rFonts w:eastAsia="Times New Roman" w:cs="Times New Roman"/>
          <w:bCs/>
          <w:szCs w:val="24"/>
          <w:lang w:val="tr-TR" w:eastAsia="tr-TR" w:bidi="tr-TR"/>
        </w:rPr>
        <w:t xml:space="preserve">i </w:t>
      </w:r>
      <w:r w:rsidRPr="00F50C10">
        <w:rPr>
          <w:rFonts w:eastAsia="Times New Roman" w:cs="Times New Roman"/>
          <w:bCs/>
          <w:szCs w:val="24"/>
          <w:lang w:val="tr-TR" w:eastAsia="tr-TR" w:bidi="tr-TR"/>
        </w:rPr>
        <w:t>veya daha fazlası ya da eşdeğer(ler)i kullanıl</w:t>
      </w:r>
      <w:r w:rsidR="007B5D8D" w:rsidRPr="00F50C10">
        <w:rPr>
          <w:rFonts w:eastAsia="Times New Roman" w:cs="Times New Roman"/>
          <w:bCs/>
          <w:szCs w:val="24"/>
          <w:lang w:val="tr-TR" w:eastAsia="tr-TR" w:bidi="tr-TR"/>
        </w:rPr>
        <w:t>ılır:</w:t>
      </w:r>
      <w:r w:rsidR="007B5D8D" w:rsidRPr="00F50C10">
        <w:rPr>
          <w:rFonts w:eastAsia="Times New Roman" w:cs="Times New Roman"/>
          <w:b/>
          <w:szCs w:val="24"/>
          <w:lang w:val="tr-TR" w:eastAsia="tr-TR" w:bidi="tr-TR"/>
        </w:rPr>
        <w:t xml:space="preserve"> </w:t>
      </w:r>
    </w:p>
    <w:p w14:paraId="2D48051D" w14:textId="77777777" w:rsidR="00172694" w:rsidRPr="00F50C10" w:rsidRDefault="00172694" w:rsidP="000B206D">
      <w:pPr>
        <w:widowControl w:val="0"/>
        <w:numPr>
          <w:ilvl w:val="0"/>
          <w:numId w:val="33"/>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taşıma havasını ayırmaya yönelik siklonlar,</w:t>
      </w:r>
    </w:p>
    <w:p w14:paraId="3EF904B9" w14:textId="77777777" w:rsidR="00172694" w:rsidRPr="00F50C10" w:rsidRDefault="00172694" w:rsidP="000B206D">
      <w:pPr>
        <w:widowControl w:val="0"/>
        <w:numPr>
          <w:ilvl w:val="0"/>
          <w:numId w:val="33"/>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yüksek derişim pompalama sistemleri,</w:t>
      </w:r>
    </w:p>
    <w:p w14:paraId="72370937" w14:textId="76254835" w:rsidR="00172694" w:rsidRPr="00F50C10" w:rsidRDefault="00172694" w:rsidP="000B206D">
      <w:pPr>
        <w:widowControl w:val="0"/>
        <w:numPr>
          <w:ilvl w:val="0"/>
          <w:numId w:val="33"/>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sürekli çözme sistemleri,</w:t>
      </w:r>
    </w:p>
    <w:p w14:paraId="44698548" w14:textId="77777777" w:rsidR="00172694" w:rsidRPr="00F50C10" w:rsidRDefault="00172694" w:rsidP="000B206D">
      <w:pPr>
        <w:widowControl w:val="0"/>
        <w:numPr>
          <w:ilvl w:val="0"/>
          <w:numId w:val="33"/>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buhar denge hatları,</w:t>
      </w:r>
    </w:p>
    <w:p w14:paraId="1F2AF034" w14:textId="77777777" w:rsidR="00172694" w:rsidRPr="00F50C10" w:rsidRDefault="00172694" w:rsidP="000B206D">
      <w:pPr>
        <w:widowControl w:val="0"/>
        <w:numPr>
          <w:ilvl w:val="0"/>
          <w:numId w:val="33"/>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havalandırma geri kazanımının ilave arıtıma gönderilmesi,</w:t>
      </w:r>
    </w:p>
    <w:p w14:paraId="4D4DB496" w14:textId="74F015DF" w:rsidR="00172694" w:rsidRPr="00F50C10" w:rsidRDefault="00172694" w:rsidP="000B206D">
      <w:pPr>
        <w:widowControl w:val="0"/>
        <w:numPr>
          <w:ilvl w:val="0"/>
          <w:numId w:val="33"/>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bidi="tr-TR"/>
        </w:rPr>
        <w:t>yoğ</w:t>
      </w:r>
      <w:r w:rsidR="006B015E" w:rsidRPr="00F50C10">
        <w:rPr>
          <w:rFonts w:eastAsia="Times New Roman" w:cs="Times New Roman"/>
          <w:szCs w:val="24"/>
          <w:lang w:val="tr-TR" w:bidi="tr-TR"/>
        </w:rPr>
        <w:t>uşturucu</w:t>
      </w:r>
      <w:r w:rsidRPr="00F50C10">
        <w:rPr>
          <w:rFonts w:eastAsia="Times New Roman" w:cs="Times New Roman"/>
          <w:szCs w:val="24"/>
          <w:lang w:val="tr-TR" w:bidi="tr-TR"/>
        </w:rPr>
        <w:t>lar</w:t>
      </w:r>
      <w:r w:rsidRPr="00F50C10">
        <w:rPr>
          <w:rFonts w:eastAsia="Times New Roman" w:cs="Times New Roman"/>
          <w:szCs w:val="24"/>
          <w:lang w:val="tr-TR"/>
        </w:rPr>
        <w:t>.</w:t>
      </w:r>
    </w:p>
    <w:p w14:paraId="3915B316" w14:textId="77777777"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rPr>
      </w:pPr>
      <w:r w:rsidRPr="00F50C10">
        <w:rPr>
          <w:rFonts w:eastAsia="Times New Roman" w:cs="Times New Roman"/>
          <w:bCs/>
          <w:szCs w:val="24"/>
          <w:lang w:val="tr-TR" w:eastAsia="tr-TR" w:bidi="tr-TR"/>
        </w:rPr>
        <w:t>Polistiren üretimi için MET ile ilişkili emisyon ve tüketim seviyeleri aşağıdaki tablolarda verilmektedir.</w:t>
      </w:r>
    </w:p>
    <w:p w14:paraId="29506C82" w14:textId="1C47059D" w:rsidR="006B371F" w:rsidRPr="00F50C10" w:rsidRDefault="006B371F" w:rsidP="000B206D">
      <w:pPr>
        <w:widowControl w:val="0"/>
        <w:autoSpaceDE w:val="0"/>
        <w:autoSpaceDN w:val="0"/>
        <w:adjustRightInd w:val="0"/>
        <w:spacing w:before="120" w:after="60" w:line="276" w:lineRule="auto"/>
        <w:rPr>
          <w:rFonts w:eastAsia="Times New Roman" w:cs="Times New Roman"/>
          <w:szCs w:val="24"/>
          <w:lang w:val="tr-TR" w:eastAsia="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00EA4722" w:rsidRPr="00F50C10">
          <w:rPr>
            <w:rFonts w:cs="Times New Roman"/>
            <w:bCs/>
            <w:szCs w:val="24"/>
            <w:lang w:bidi="tr-TR"/>
          </w:rPr>
          <w:t>2</w:t>
        </w:r>
        <w:r w:rsidRPr="00F50C10">
          <w:rPr>
            <w:rFonts w:cs="Times New Roman"/>
            <w:bCs/>
            <w:szCs w:val="24"/>
            <w:lang w:bidi="tr-TR"/>
          </w:rPr>
          <w:t>.3 Kısmını inceleyiniz.)</w:t>
        </w:r>
      </w:hyperlink>
    </w:p>
    <w:p w14:paraId="10842F9B" w14:textId="6BAF1BD8" w:rsidR="00172694" w:rsidRPr="00F50C10" w:rsidRDefault="00172694" w:rsidP="000B206D">
      <w:pPr>
        <w:keepNext/>
        <w:spacing w:before="120" w:after="60" w:line="276" w:lineRule="auto"/>
        <w:rPr>
          <w:rFonts w:cs="Times New Roman"/>
          <w:b/>
          <w:iCs/>
          <w:color w:val="000000" w:themeColor="text1"/>
          <w:szCs w:val="24"/>
          <w:lang w:val="tr-TR"/>
        </w:rPr>
      </w:pPr>
      <w:r w:rsidRPr="00F50C10">
        <w:rPr>
          <w:rFonts w:cs="Times New Roman"/>
          <w:b/>
          <w:iCs/>
          <w:color w:val="000000" w:themeColor="text1"/>
          <w:szCs w:val="24"/>
          <w:lang w:val="tr-TR"/>
        </w:rPr>
        <w:t xml:space="preserve">Tablo </w:t>
      </w:r>
      <w:r w:rsidR="00702548" w:rsidRPr="00F50C10">
        <w:rPr>
          <w:rFonts w:cs="Times New Roman"/>
          <w:b/>
          <w:iCs/>
          <w:color w:val="000000" w:themeColor="text1"/>
          <w:szCs w:val="24"/>
          <w:lang w:val="tr-TR"/>
        </w:rPr>
        <w:t>6</w:t>
      </w:r>
      <w:r w:rsidRPr="00F50C10">
        <w:rPr>
          <w:rFonts w:cs="Times New Roman"/>
          <w:b/>
          <w:iCs/>
          <w:color w:val="000000" w:themeColor="text1"/>
          <w:szCs w:val="24"/>
          <w:lang w:val="tr-TR"/>
        </w:rPr>
        <w:t xml:space="preserve">. Genel amaçlı polistiren (GPPS) üretimi için </w:t>
      </w:r>
      <w:r w:rsidRPr="00F50C10">
        <w:rPr>
          <w:rFonts w:cs="Times New Roman"/>
          <w:b/>
          <w:iCs/>
          <w:color w:val="000000" w:themeColor="text1"/>
          <w:szCs w:val="24"/>
          <w:lang w:val="tr-TR" w:bidi="tr-TR"/>
        </w:rPr>
        <w:t>MET ile ilişkili emisyon ve tüketim seviyeleri</w:t>
      </w:r>
    </w:p>
    <w:tbl>
      <w:tblPr>
        <w:tblW w:w="5000" w:type="pct"/>
        <w:jc w:val="center"/>
        <w:tblCellMar>
          <w:top w:w="11" w:type="dxa"/>
          <w:left w:w="57" w:type="dxa"/>
          <w:bottom w:w="11" w:type="dxa"/>
          <w:right w:w="57" w:type="dxa"/>
        </w:tblCellMar>
        <w:tblLook w:val="0000" w:firstRow="0" w:lastRow="0" w:firstColumn="0" w:lastColumn="0" w:noHBand="0" w:noVBand="0"/>
      </w:tblPr>
      <w:tblGrid>
        <w:gridCol w:w="3680"/>
        <w:gridCol w:w="3225"/>
        <w:gridCol w:w="2399"/>
      </w:tblGrid>
      <w:tr w:rsidR="00172694" w:rsidRPr="00F50C10" w14:paraId="3CA5BC52" w14:textId="77777777" w:rsidTr="00375F59">
        <w:trPr>
          <w:trHeight w:val="20"/>
          <w:tblHeader/>
          <w:jc w:val="center"/>
        </w:trPr>
        <w:tc>
          <w:tcPr>
            <w:tcW w:w="1978" w:type="pct"/>
            <w:tcBorders>
              <w:top w:val="single" w:sz="6" w:space="0" w:color="auto"/>
              <w:left w:val="single" w:sz="6" w:space="0" w:color="auto"/>
              <w:bottom w:val="single" w:sz="6" w:space="0" w:color="auto"/>
              <w:right w:val="single" w:sz="6" w:space="0" w:color="auto"/>
            </w:tcBorders>
            <w:shd w:val="clear" w:color="auto" w:fill="auto"/>
            <w:vAlign w:val="center"/>
          </w:tcPr>
          <w:p w14:paraId="3A231444"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GPPS</w:t>
            </w:r>
          </w:p>
        </w:tc>
        <w:tc>
          <w:tcPr>
            <w:tcW w:w="1733" w:type="pct"/>
            <w:tcBorders>
              <w:top w:val="single" w:sz="6" w:space="0" w:color="auto"/>
              <w:left w:val="single" w:sz="6" w:space="0" w:color="auto"/>
              <w:bottom w:val="single" w:sz="6" w:space="0" w:color="auto"/>
              <w:right w:val="single" w:sz="6" w:space="0" w:color="auto"/>
            </w:tcBorders>
            <w:shd w:val="clear" w:color="auto" w:fill="auto"/>
            <w:vAlign w:val="center"/>
          </w:tcPr>
          <w:p w14:paraId="6ECD4F1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Ton ürün başına birim</w:t>
            </w:r>
          </w:p>
        </w:tc>
        <w:tc>
          <w:tcPr>
            <w:tcW w:w="1289" w:type="pct"/>
            <w:tcBorders>
              <w:top w:val="single" w:sz="6" w:space="0" w:color="auto"/>
              <w:left w:val="single" w:sz="6" w:space="0" w:color="auto"/>
              <w:bottom w:val="single" w:sz="6" w:space="0" w:color="auto"/>
              <w:right w:val="single" w:sz="6" w:space="0" w:color="auto"/>
            </w:tcBorders>
            <w:shd w:val="clear" w:color="auto" w:fill="auto"/>
            <w:vAlign w:val="center"/>
          </w:tcPr>
          <w:p w14:paraId="555F1B43" w14:textId="37CC1612"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MET</w:t>
            </w:r>
            <w:r w:rsidR="00702548" w:rsidRPr="00F50C10">
              <w:rPr>
                <w:rFonts w:eastAsia="Times New Roman" w:cs="Times New Roman"/>
                <w:b/>
                <w:szCs w:val="24"/>
                <w:lang w:val="tr-TR" w:eastAsia="tr-TR" w:bidi="tr-TR"/>
              </w:rPr>
              <w:t>-İES</w:t>
            </w:r>
          </w:p>
        </w:tc>
      </w:tr>
      <w:tr w:rsidR="00172694" w:rsidRPr="00F50C10" w14:paraId="6C17A8A6" w14:textId="77777777" w:rsidTr="00375F5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3D366D9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Hava emisyonları</w:t>
            </w:r>
          </w:p>
        </w:tc>
      </w:tr>
      <w:tr w:rsidR="00172694" w:rsidRPr="00F50C10" w14:paraId="7CED4E5C" w14:textId="77777777" w:rsidTr="00375F59">
        <w:trPr>
          <w:trHeight w:val="20"/>
          <w:jc w:val="center"/>
        </w:trPr>
        <w:tc>
          <w:tcPr>
            <w:tcW w:w="1978" w:type="pct"/>
            <w:tcBorders>
              <w:top w:val="single" w:sz="6" w:space="0" w:color="auto"/>
              <w:left w:val="single" w:sz="6" w:space="0" w:color="auto"/>
              <w:bottom w:val="single" w:sz="6" w:space="0" w:color="auto"/>
              <w:right w:val="single" w:sz="6" w:space="0" w:color="auto"/>
            </w:tcBorders>
            <w:shd w:val="clear" w:color="auto" w:fill="auto"/>
            <w:vAlign w:val="center"/>
          </w:tcPr>
          <w:p w14:paraId="62ADE43C"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Toz</w:t>
            </w:r>
          </w:p>
        </w:tc>
        <w:tc>
          <w:tcPr>
            <w:tcW w:w="1733" w:type="pct"/>
            <w:tcBorders>
              <w:top w:val="single" w:sz="6" w:space="0" w:color="auto"/>
              <w:left w:val="single" w:sz="6" w:space="0" w:color="auto"/>
              <w:bottom w:val="single" w:sz="6" w:space="0" w:color="auto"/>
              <w:right w:val="single" w:sz="6" w:space="0" w:color="auto"/>
            </w:tcBorders>
            <w:shd w:val="clear" w:color="auto" w:fill="auto"/>
          </w:tcPr>
          <w:p w14:paraId="4419BC6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289" w:type="pct"/>
            <w:tcBorders>
              <w:top w:val="single" w:sz="6" w:space="0" w:color="auto"/>
              <w:left w:val="single" w:sz="6" w:space="0" w:color="auto"/>
              <w:bottom w:val="single" w:sz="6" w:space="0" w:color="auto"/>
              <w:right w:val="single" w:sz="6" w:space="0" w:color="auto"/>
            </w:tcBorders>
            <w:shd w:val="clear" w:color="auto" w:fill="auto"/>
          </w:tcPr>
          <w:p w14:paraId="2A5E40E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20</w:t>
            </w:r>
          </w:p>
        </w:tc>
      </w:tr>
      <w:tr w:rsidR="00172694" w:rsidRPr="00F50C10" w14:paraId="6FA05DC2" w14:textId="77777777" w:rsidTr="00375F59">
        <w:trPr>
          <w:trHeight w:val="20"/>
          <w:jc w:val="center"/>
        </w:trPr>
        <w:tc>
          <w:tcPr>
            <w:tcW w:w="1978" w:type="pct"/>
            <w:tcBorders>
              <w:top w:val="single" w:sz="6" w:space="0" w:color="auto"/>
              <w:left w:val="single" w:sz="6" w:space="0" w:color="auto"/>
              <w:bottom w:val="single" w:sz="6" w:space="0" w:color="auto"/>
              <w:right w:val="single" w:sz="6" w:space="0" w:color="auto"/>
            </w:tcBorders>
            <w:shd w:val="clear" w:color="auto" w:fill="auto"/>
            <w:vAlign w:val="center"/>
          </w:tcPr>
          <w:p w14:paraId="36E41B34"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UOB, toplam</w:t>
            </w:r>
          </w:p>
        </w:tc>
        <w:tc>
          <w:tcPr>
            <w:tcW w:w="1733" w:type="pct"/>
            <w:tcBorders>
              <w:top w:val="single" w:sz="6" w:space="0" w:color="auto"/>
              <w:left w:val="single" w:sz="6" w:space="0" w:color="auto"/>
              <w:bottom w:val="single" w:sz="6" w:space="0" w:color="auto"/>
              <w:right w:val="single" w:sz="6" w:space="0" w:color="auto"/>
            </w:tcBorders>
            <w:shd w:val="clear" w:color="auto" w:fill="auto"/>
          </w:tcPr>
          <w:p w14:paraId="67F4766D"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289" w:type="pct"/>
            <w:tcBorders>
              <w:top w:val="single" w:sz="6" w:space="0" w:color="auto"/>
              <w:left w:val="single" w:sz="6" w:space="0" w:color="auto"/>
              <w:bottom w:val="single" w:sz="6" w:space="0" w:color="auto"/>
              <w:right w:val="single" w:sz="6" w:space="0" w:color="auto"/>
            </w:tcBorders>
            <w:shd w:val="clear" w:color="auto" w:fill="auto"/>
          </w:tcPr>
          <w:p w14:paraId="287019F4"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85</w:t>
            </w:r>
          </w:p>
        </w:tc>
      </w:tr>
      <w:tr w:rsidR="00172694" w:rsidRPr="00F50C10" w14:paraId="24F550A7" w14:textId="77777777" w:rsidTr="00375F5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7639DD8D"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Suya emisyonlar</w:t>
            </w:r>
          </w:p>
        </w:tc>
      </w:tr>
      <w:tr w:rsidR="00172694" w:rsidRPr="00F50C10" w14:paraId="61D2B5B2" w14:textId="77777777" w:rsidTr="00375F59">
        <w:trPr>
          <w:trHeight w:val="20"/>
          <w:jc w:val="center"/>
        </w:trPr>
        <w:tc>
          <w:tcPr>
            <w:tcW w:w="1978" w:type="pct"/>
            <w:tcBorders>
              <w:top w:val="single" w:sz="6" w:space="0" w:color="auto"/>
              <w:left w:val="single" w:sz="6" w:space="0" w:color="auto"/>
              <w:bottom w:val="single" w:sz="6" w:space="0" w:color="auto"/>
              <w:right w:val="single" w:sz="6" w:space="0" w:color="auto"/>
            </w:tcBorders>
            <w:shd w:val="clear" w:color="auto" w:fill="auto"/>
            <w:vAlign w:val="center"/>
          </w:tcPr>
          <w:p w14:paraId="7223D5D4"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Kimyasal oksijen ihtiyacı (KOİ)</w:t>
            </w:r>
          </w:p>
        </w:tc>
        <w:tc>
          <w:tcPr>
            <w:tcW w:w="1733" w:type="pct"/>
            <w:tcBorders>
              <w:top w:val="single" w:sz="6" w:space="0" w:color="auto"/>
              <w:left w:val="single" w:sz="6" w:space="0" w:color="auto"/>
              <w:bottom w:val="single" w:sz="6" w:space="0" w:color="auto"/>
              <w:right w:val="single" w:sz="6" w:space="0" w:color="auto"/>
            </w:tcBorders>
            <w:shd w:val="clear" w:color="auto" w:fill="auto"/>
          </w:tcPr>
          <w:p w14:paraId="63CF2AF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289" w:type="pct"/>
            <w:tcBorders>
              <w:top w:val="single" w:sz="6" w:space="0" w:color="auto"/>
              <w:left w:val="single" w:sz="6" w:space="0" w:color="auto"/>
              <w:bottom w:val="single" w:sz="6" w:space="0" w:color="auto"/>
              <w:right w:val="single" w:sz="6" w:space="0" w:color="auto"/>
            </w:tcBorders>
            <w:shd w:val="clear" w:color="auto" w:fill="auto"/>
          </w:tcPr>
          <w:p w14:paraId="1DAF1C05" w14:textId="2B7779E5" w:rsidR="00172694" w:rsidRPr="00F50C10" w:rsidRDefault="00FC400D"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30</w:t>
            </w:r>
          </w:p>
        </w:tc>
      </w:tr>
      <w:tr w:rsidR="00172694" w:rsidRPr="00F50C10" w14:paraId="101B1343" w14:textId="77777777" w:rsidTr="00375F59">
        <w:trPr>
          <w:trHeight w:val="20"/>
          <w:jc w:val="center"/>
        </w:trPr>
        <w:tc>
          <w:tcPr>
            <w:tcW w:w="1978" w:type="pct"/>
            <w:tcBorders>
              <w:top w:val="single" w:sz="6" w:space="0" w:color="auto"/>
              <w:left w:val="single" w:sz="6" w:space="0" w:color="auto"/>
              <w:bottom w:val="single" w:sz="6" w:space="0" w:color="auto"/>
              <w:right w:val="single" w:sz="6" w:space="0" w:color="auto"/>
            </w:tcBorders>
            <w:shd w:val="clear" w:color="auto" w:fill="auto"/>
            <w:vAlign w:val="center"/>
          </w:tcPr>
          <w:p w14:paraId="6B914B3F"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Askıda katı maddeler</w:t>
            </w:r>
          </w:p>
        </w:tc>
        <w:tc>
          <w:tcPr>
            <w:tcW w:w="1733" w:type="pct"/>
            <w:tcBorders>
              <w:top w:val="single" w:sz="6" w:space="0" w:color="auto"/>
              <w:left w:val="single" w:sz="6" w:space="0" w:color="auto"/>
              <w:bottom w:val="single" w:sz="6" w:space="0" w:color="auto"/>
              <w:right w:val="single" w:sz="6" w:space="0" w:color="auto"/>
            </w:tcBorders>
            <w:shd w:val="clear" w:color="auto" w:fill="auto"/>
          </w:tcPr>
          <w:p w14:paraId="4000AB12"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289" w:type="pct"/>
            <w:tcBorders>
              <w:top w:val="single" w:sz="6" w:space="0" w:color="auto"/>
              <w:left w:val="single" w:sz="6" w:space="0" w:color="auto"/>
              <w:bottom w:val="single" w:sz="6" w:space="0" w:color="auto"/>
              <w:right w:val="single" w:sz="6" w:space="0" w:color="auto"/>
            </w:tcBorders>
            <w:shd w:val="clear" w:color="auto" w:fill="auto"/>
          </w:tcPr>
          <w:p w14:paraId="74AF9CB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w:t>
            </w:r>
          </w:p>
        </w:tc>
      </w:tr>
      <w:tr w:rsidR="00172694" w:rsidRPr="00F50C10" w14:paraId="1B1A004B" w14:textId="77777777" w:rsidTr="00375F59">
        <w:trPr>
          <w:trHeight w:val="20"/>
          <w:jc w:val="center"/>
        </w:trPr>
        <w:tc>
          <w:tcPr>
            <w:tcW w:w="1978" w:type="pct"/>
            <w:tcBorders>
              <w:top w:val="single" w:sz="6" w:space="0" w:color="auto"/>
              <w:left w:val="single" w:sz="6" w:space="0" w:color="auto"/>
              <w:bottom w:val="single" w:sz="6" w:space="0" w:color="auto"/>
              <w:right w:val="single" w:sz="6" w:space="0" w:color="auto"/>
            </w:tcBorders>
            <w:shd w:val="clear" w:color="auto" w:fill="auto"/>
            <w:vAlign w:val="center"/>
          </w:tcPr>
          <w:p w14:paraId="79BEA69C"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Hidrokarbonlar toplam</w:t>
            </w:r>
          </w:p>
        </w:tc>
        <w:tc>
          <w:tcPr>
            <w:tcW w:w="1733" w:type="pct"/>
            <w:tcBorders>
              <w:top w:val="single" w:sz="6" w:space="0" w:color="auto"/>
              <w:left w:val="single" w:sz="6" w:space="0" w:color="auto"/>
              <w:bottom w:val="single" w:sz="6" w:space="0" w:color="auto"/>
              <w:right w:val="single" w:sz="6" w:space="0" w:color="auto"/>
            </w:tcBorders>
            <w:shd w:val="clear" w:color="auto" w:fill="auto"/>
          </w:tcPr>
          <w:p w14:paraId="220AB47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289" w:type="pct"/>
            <w:tcBorders>
              <w:top w:val="single" w:sz="6" w:space="0" w:color="auto"/>
              <w:left w:val="single" w:sz="6" w:space="0" w:color="auto"/>
              <w:bottom w:val="single" w:sz="6" w:space="0" w:color="auto"/>
              <w:right w:val="single" w:sz="6" w:space="0" w:color="auto"/>
            </w:tcBorders>
            <w:shd w:val="clear" w:color="auto" w:fill="auto"/>
          </w:tcPr>
          <w:p w14:paraId="0FBB2F8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1,5</w:t>
            </w:r>
          </w:p>
        </w:tc>
      </w:tr>
      <w:tr w:rsidR="00172694" w:rsidRPr="00F50C10" w14:paraId="2734ED98" w14:textId="77777777" w:rsidTr="00375F59">
        <w:trPr>
          <w:trHeight w:val="20"/>
          <w:jc w:val="center"/>
        </w:trPr>
        <w:tc>
          <w:tcPr>
            <w:tcW w:w="1978" w:type="pct"/>
            <w:tcBorders>
              <w:top w:val="single" w:sz="6" w:space="0" w:color="auto"/>
              <w:left w:val="single" w:sz="6" w:space="0" w:color="auto"/>
              <w:bottom w:val="single" w:sz="6" w:space="0" w:color="auto"/>
              <w:right w:val="single" w:sz="6" w:space="0" w:color="auto"/>
            </w:tcBorders>
            <w:shd w:val="clear" w:color="auto" w:fill="auto"/>
            <w:vAlign w:val="center"/>
          </w:tcPr>
          <w:p w14:paraId="4F89F8F7"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Atık su</w:t>
            </w:r>
          </w:p>
        </w:tc>
        <w:tc>
          <w:tcPr>
            <w:tcW w:w="1733" w:type="pct"/>
            <w:tcBorders>
              <w:top w:val="single" w:sz="6" w:space="0" w:color="auto"/>
              <w:left w:val="single" w:sz="6" w:space="0" w:color="auto"/>
              <w:bottom w:val="single" w:sz="6" w:space="0" w:color="auto"/>
              <w:right w:val="single" w:sz="6" w:space="0" w:color="auto"/>
            </w:tcBorders>
            <w:shd w:val="clear" w:color="auto" w:fill="auto"/>
          </w:tcPr>
          <w:p w14:paraId="7B20ECA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1289" w:type="pct"/>
            <w:tcBorders>
              <w:top w:val="single" w:sz="6" w:space="0" w:color="auto"/>
              <w:left w:val="single" w:sz="6" w:space="0" w:color="auto"/>
              <w:bottom w:val="single" w:sz="6" w:space="0" w:color="auto"/>
              <w:right w:val="single" w:sz="6" w:space="0" w:color="auto"/>
            </w:tcBorders>
            <w:shd w:val="clear" w:color="auto" w:fill="auto"/>
          </w:tcPr>
          <w:p w14:paraId="3923A31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0,8</w:t>
            </w:r>
          </w:p>
        </w:tc>
      </w:tr>
      <w:tr w:rsidR="00172694" w:rsidRPr="00F50C10" w14:paraId="3667287E" w14:textId="77777777" w:rsidTr="00375F59">
        <w:trPr>
          <w:trHeight w:val="20"/>
          <w:jc w:val="center"/>
        </w:trPr>
        <w:tc>
          <w:tcPr>
            <w:tcW w:w="1978" w:type="pct"/>
            <w:tcBorders>
              <w:top w:val="single" w:sz="6" w:space="0" w:color="auto"/>
              <w:left w:val="single" w:sz="6" w:space="0" w:color="auto"/>
              <w:bottom w:val="single" w:sz="6" w:space="0" w:color="auto"/>
              <w:right w:val="single" w:sz="6" w:space="0" w:color="auto"/>
            </w:tcBorders>
            <w:shd w:val="clear" w:color="auto" w:fill="auto"/>
            <w:vAlign w:val="center"/>
          </w:tcPr>
          <w:p w14:paraId="348BAF32"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Soğutma kulesi tahliye suyu</w:t>
            </w:r>
          </w:p>
        </w:tc>
        <w:tc>
          <w:tcPr>
            <w:tcW w:w="1733" w:type="pct"/>
            <w:tcBorders>
              <w:top w:val="single" w:sz="6" w:space="0" w:color="auto"/>
              <w:left w:val="single" w:sz="6" w:space="0" w:color="auto"/>
              <w:bottom w:val="single" w:sz="6" w:space="0" w:color="auto"/>
              <w:right w:val="single" w:sz="6" w:space="0" w:color="auto"/>
            </w:tcBorders>
            <w:shd w:val="clear" w:color="auto" w:fill="auto"/>
          </w:tcPr>
          <w:p w14:paraId="6DCCD5D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1289" w:type="pct"/>
            <w:tcBorders>
              <w:top w:val="single" w:sz="6" w:space="0" w:color="auto"/>
              <w:left w:val="single" w:sz="6" w:space="0" w:color="auto"/>
              <w:bottom w:val="single" w:sz="6" w:space="0" w:color="auto"/>
              <w:right w:val="single" w:sz="6" w:space="0" w:color="auto"/>
            </w:tcBorders>
            <w:shd w:val="clear" w:color="auto" w:fill="auto"/>
          </w:tcPr>
          <w:p w14:paraId="6635BB8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0,5</w:t>
            </w:r>
          </w:p>
        </w:tc>
      </w:tr>
      <w:tr w:rsidR="00172694" w:rsidRPr="00F50C10" w14:paraId="62A05375" w14:textId="77777777" w:rsidTr="00375F5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2E89417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Atık</w:t>
            </w:r>
          </w:p>
        </w:tc>
      </w:tr>
      <w:tr w:rsidR="00172694" w:rsidRPr="00F50C10" w14:paraId="5E374510" w14:textId="77777777" w:rsidTr="00375F59">
        <w:trPr>
          <w:trHeight w:val="20"/>
          <w:jc w:val="center"/>
        </w:trPr>
        <w:tc>
          <w:tcPr>
            <w:tcW w:w="1978" w:type="pct"/>
            <w:tcBorders>
              <w:top w:val="single" w:sz="6" w:space="0" w:color="auto"/>
              <w:left w:val="single" w:sz="6" w:space="0" w:color="auto"/>
              <w:bottom w:val="single" w:sz="6" w:space="0" w:color="auto"/>
              <w:right w:val="single" w:sz="6" w:space="0" w:color="auto"/>
            </w:tcBorders>
            <w:shd w:val="clear" w:color="auto" w:fill="auto"/>
            <w:vAlign w:val="center"/>
          </w:tcPr>
          <w:p w14:paraId="3BAE8D51"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Tehlikeli</w:t>
            </w:r>
          </w:p>
        </w:tc>
        <w:tc>
          <w:tcPr>
            <w:tcW w:w="1733" w:type="pct"/>
            <w:tcBorders>
              <w:top w:val="single" w:sz="6" w:space="0" w:color="auto"/>
              <w:left w:val="single" w:sz="6" w:space="0" w:color="auto"/>
              <w:bottom w:val="single" w:sz="6" w:space="0" w:color="auto"/>
              <w:right w:val="single" w:sz="6" w:space="0" w:color="auto"/>
            </w:tcBorders>
            <w:shd w:val="clear" w:color="auto" w:fill="auto"/>
          </w:tcPr>
          <w:p w14:paraId="32701FC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1289" w:type="pct"/>
            <w:tcBorders>
              <w:top w:val="single" w:sz="6" w:space="0" w:color="auto"/>
              <w:left w:val="single" w:sz="6" w:space="0" w:color="auto"/>
              <w:bottom w:val="single" w:sz="6" w:space="0" w:color="auto"/>
              <w:right w:val="single" w:sz="6" w:space="0" w:color="auto"/>
            </w:tcBorders>
            <w:shd w:val="clear" w:color="auto" w:fill="auto"/>
          </w:tcPr>
          <w:p w14:paraId="1280472D"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0,5</w:t>
            </w:r>
          </w:p>
        </w:tc>
      </w:tr>
      <w:tr w:rsidR="00172694" w:rsidRPr="00F50C10" w14:paraId="69E266B2" w14:textId="77777777" w:rsidTr="00375F59">
        <w:trPr>
          <w:trHeight w:val="20"/>
          <w:jc w:val="center"/>
        </w:trPr>
        <w:tc>
          <w:tcPr>
            <w:tcW w:w="1978" w:type="pct"/>
            <w:tcBorders>
              <w:top w:val="single" w:sz="6" w:space="0" w:color="auto"/>
              <w:left w:val="single" w:sz="6" w:space="0" w:color="auto"/>
              <w:bottom w:val="single" w:sz="6" w:space="0" w:color="auto"/>
              <w:right w:val="single" w:sz="6" w:space="0" w:color="auto"/>
            </w:tcBorders>
            <w:shd w:val="clear" w:color="auto" w:fill="auto"/>
            <w:vAlign w:val="center"/>
          </w:tcPr>
          <w:p w14:paraId="09616E1A" w14:textId="17206BAB" w:rsidR="00172694" w:rsidRPr="00F50C10" w:rsidRDefault="00333171"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Tehlikesiz</w:t>
            </w:r>
          </w:p>
        </w:tc>
        <w:tc>
          <w:tcPr>
            <w:tcW w:w="1733" w:type="pct"/>
            <w:tcBorders>
              <w:top w:val="single" w:sz="6" w:space="0" w:color="auto"/>
              <w:left w:val="single" w:sz="6" w:space="0" w:color="auto"/>
              <w:bottom w:val="single" w:sz="6" w:space="0" w:color="auto"/>
              <w:right w:val="single" w:sz="6" w:space="0" w:color="auto"/>
            </w:tcBorders>
            <w:shd w:val="clear" w:color="auto" w:fill="auto"/>
          </w:tcPr>
          <w:p w14:paraId="79C9958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1289" w:type="pct"/>
            <w:tcBorders>
              <w:top w:val="single" w:sz="6" w:space="0" w:color="auto"/>
              <w:left w:val="single" w:sz="6" w:space="0" w:color="auto"/>
              <w:bottom w:val="single" w:sz="6" w:space="0" w:color="auto"/>
              <w:right w:val="single" w:sz="6" w:space="0" w:color="auto"/>
            </w:tcBorders>
            <w:shd w:val="clear" w:color="auto" w:fill="auto"/>
          </w:tcPr>
          <w:p w14:paraId="4579BA0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w:t>
            </w:r>
          </w:p>
        </w:tc>
      </w:tr>
      <w:tr w:rsidR="00172694" w:rsidRPr="00F50C10" w14:paraId="3DB9CDA0" w14:textId="77777777" w:rsidTr="00375F5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2D8AB7C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Tüketim</w:t>
            </w:r>
          </w:p>
        </w:tc>
      </w:tr>
      <w:tr w:rsidR="00172694" w:rsidRPr="00F50C10" w14:paraId="3089455E" w14:textId="77777777" w:rsidTr="00375F59">
        <w:trPr>
          <w:trHeight w:val="20"/>
          <w:jc w:val="center"/>
        </w:trPr>
        <w:tc>
          <w:tcPr>
            <w:tcW w:w="1978" w:type="pct"/>
            <w:tcBorders>
              <w:top w:val="single" w:sz="6" w:space="0" w:color="auto"/>
              <w:left w:val="single" w:sz="6" w:space="0" w:color="auto"/>
              <w:bottom w:val="single" w:sz="6" w:space="0" w:color="auto"/>
              <w:right w:val="single" w:sz="6" w:space="0" w:color="auto"/>
            </w:tcBorders>
            <w:shd w:val="clear" w:color="auto" w:fill="auto"/>
            <w:vAlign w:val="center"/>
          </w:tcPr>
          <w:p w14:paraId="1C1235AA"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Toplam enerji</w:t>
            </w:r>
          </w:p>
        </w:tc>
        <w:tc>
          <w:tcPr>
            <w:tcW w:w="1733" w:type="pct"/>
            <w:tcBorders>
              <w:top w:val="single" w:sz="6" w:space="0" w:color="auto"/>
              <w:left w:val="single" w:sz="6" w:space="0" w:color="auto"/>
              <w:bottom w:val="single" w:sz="6" w:space="0" w:color="auto"/>
              <w:right w:val="single" w:sz="6" w:space="0" w:color="auto"/>
            </w:tcBorders>
            <w:shd w:val="clear" w:color="auto" w:fill="auto"/>
          </w:tcPr>
          <w:p w14:paraId="01A179A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GJ</w:t>
            </w:r>
          </w:p>
        </w:tc>
        <w:tc>
          <w:tcPr>
            <w:tcW w:w="1289" w:type="pct"/>
            <w:tcBorders>
              <w:top w:val="single" w:sz="6" w:space="0" w:color="auto"/>
              <w:left w:val="single" w:sz="6" w:space="0" w:color="auto"/>
              <w:bottom w:val="single" w:sz="6" w:space="0" w:color="auto"/>
              <w:right w:val="single" w:sz="6" w:space="0" w:color="auto"/>
            </w:tcBorders>
            <w:shd w:val="clear" w:color="auto" w:fill="auto"/>
          </w:tcPr>
          <w:p w14:paraId="2AC3B1D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1,08</w:t>
            </w:r>
          </w:p>
        </w:tc>
      </w:tr>
      <w:tr w:rsidR="00172694" w:rsidRPr="00F50C10" w14:paraId="61E7BAAB" w14:textId="77777777" w:rsidTr="00375F59">
        <w:trPr>
          <w:trHeight w:val="20"/>
          <w:jc w:val="center"/>
        </w:trPr>
        <w:tc>
          <w:tcPr>
            <w:tcW w:w="1978" w:type="pct"/>
            <w:tcBorders>
              <w:top w:val="single" w:sz="6" w:space="0" w:color="auto"/>
              <w:left w:val="single" w:sz="6" w:space="0" w:color="auto"/>
              <w:bottom w:val="single" w:sz="6" w:space="0" w:color="auto"/>
              <w:right w:val="single" w:sz="6" w:space="0" w:color="auto"/>
            </w:tcBorders>
            <w:shd w:val="clear" w:color="auto" w:fill="auto"/>
            <w:vAlign w:val="center"/>
          </w:tcPr>
          <w:p w14:paraId="1D36ED19"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Stiren</w:t>
            </w:r>
          </w:p>
        </w:tc>
        <w:tc>
          <w:tcPr>
            <w:tcW w:w="1733" w:type="pct"/>
            <w:tcBorders>
              <w:top w:val="single" w:sz="6" w:space="0" w:color="auto"/>
              <w:left w:val="single" w:sz="6" w:space="0" w:color="auto"/>
              <w:bottom w:val="single" w:sz="6" w:space="0" w:color="auto"/>
              <w:right w:val="single" w:sz="6" w:space="0" w:color="auto"/>
            </w:tcBorders>
            <w:shd w:val="clear" w:color="auto" w:fill="auto"/>
          </w:tcPr>
          <w:p w14:paraId="5F328DE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1289" w:type="pct"/>
            <w:tcBorders>
              <w:top w:val="single" w:sz="6" w:space="0" w:color="auto"/>
              <w:left w:val="single" w:sz="6" w:space="0" w:color="auto"/>
              <w:bottom w:val="single" w:sz="6" w:space="0" w:color="auto"/>
              <w:right w:val="single" w:sz="6" w:space="0" w:color="auto"/>
            </w:tcBorders>
            <w:shd w:val="clear" w:color="auto" w:fill="auto"/>
          </w:tcPr>
          <w:p w14:paraId="317B4A8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0,985</w:t>
            </w:r>
          </w:p>
        </w:tc>
      </w:tr>
      <w:tr w:rsidR="00172694" w:rsidRPr="00F50C10" w14:paraId="202F1265" w14:textId="77777777" w:rsidTr="00375F59">
        <w:trPr>
          <w:trHeight w:val="20"/>
          <w:jc w:val="center"/>
        </w:trPr>
        <w:tc>
          <w:tcPr>
            <w:tcW w:w="1978" w:type="pct"/>
            <w:tcBorders>
              <w:top w:val="single" w:sz="6" w:space="0" w:color="auto"/>
              <w:left w:val="single" w:sz="6" w:space="0" w:color="auto"/>
              <w:bottom w:val="single" w:sz="6" w:space="0" w:color="auto"/>
              <w:right w:val="single" w:sz="6" w:space="0" w:color="auto"/>
            </w:tcBorders>
            <w:shd w:val="clear" w:color="auto" w:fill="auto"/>
            <w:vAlign w:val="center"/>
          </w:tcPr>
          <w:p w14:paraId="11F11BD9"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Madeni yağ</w:t>
            </w:r>
          </w:p>
        </w:tc>
        <w:tc>
          <w:tcPr>
            <w:tcW w:w="1733" w:type="pct"/>
            <w:tcBorders>
              <w:top w:val="single" w:sz="6" w:space="0" w:color="auto"/>
              <w:left w:val="single" w:sz="6" w:space="0" w:color="auto"/>
              <w:bottom w:val="single" w:sz="6" w:space="0" w:color="auto"/>
              <w:right w:val="single" w:sz="6" w:space="0" w:color="auto"/>
            </w:tcBorders>
            <w:shd w:val="clear" w:color="auto" w:fill="auto"/>
          </w:tcPr>
          <w:p w14:paraId="69C6129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1289" w:type="pct"/>
            <w:tcBorders>
              <w:top w:val="single" w:sz="6" w:space="0" w:color="auto"/>
              <w:left w:val="single" w:sz="6" w:space="0" w:color="auto"/>
              <w:bottom w:val="single" w:sz="6" w:space="0" w:color="auto"/>
              <w:right w:val="single" w:sz="6" w:space="0" w:color="auto"/>
            </w:tcBorders>
            <w:shd w:val="clear" w:color="auto" w:fill="auto"/>
          </w:tcPr>
          <w:p w14:paraId="6EC53FD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0,02</w:t>
            </w:r>
          </w:p>
        </w:tc>
      </w:tr>
      <w:tr w:rsidR="00172694" w:rsidRPr="00F50C10" w14:paraId="3F624649" w14:textId="77777777" w:rsidTr="00375F59">
        <w:trPr>
          <w:trHeight w:val="20"/>
          <w:jc w:val="center"/>
        </w:trPr>
        <w:tc>
          <w:tcPr>
            <w:tcW w:w="1978" w:type="pct"/>
            <w:tcBorders>
              <w:top w:val="single" w:sz="6" w:space="0" w:color="auto"/>
              <w:left w:val="single" w:sz="6" w:space="0" w:color="auto"/>
              <w:bottom w:val="single" w:sz="6" w:space="0" w:color="auto"/>
              <w:right w:val="single" w:sz="6" w:space="0" w:color="auto"/>
            </w:tcBorders>
            <w:shd w:val="clear" w:color="auto" w:fill="auto"/>
            <w:vAlign w:val="center"/>
          </w:tcPr>
          <w:p w14:paraId="48E166C3"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Soğutma suyu (kapalı devre)</w:t>
            </w:r>
          </w:p>
        </w:tc>
        <w:tc>
          <w:tcPr>
            <w:tcW w:w="1733" w:type="pct"/>
            <w:tcBorders>
              <w:top w:val="single" w:sz="6" w:space="0" w:color="auto"/>
              <w:left w:val="single" w:sz="6" w:space="0" w:color="auto"/>
              <w:bottom w:val="single" w:sz="6" w:space="0" w:color="auto"/>
              <w:right w:val="single" w:sz="6" w:space="0" w:color="auto"/>
            </w:tcBorders>
            <w:shd w:val="clear" w:color="auto" w:fill="auto"/>
          </w:tcPr>
          <w:p w14:paraId="0A3017E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1289" w:type="pct"/>
            <w:tcBorders>
              <w:top w:val="single" w:sz="6" w:space="0" w:color="auto"/>
              <w:left w:val="single" w:sz="6" w:space="0" w:color="auto"/>
              <w:bottom w:val="single" w:sz="6" w:space="0" w:color="auto"/>
              <w:right w:val="single" w:sz="6" w:space="0" w:color="auto"/>
            </w:tcBorders>
            <w:shd w:val="clear" w:color="auto" w:fill="auto"/>
          </w:tcPr>
          <w:p w14:paraId="7212340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50</w:t>
            </w:r>
          </w:p>
        </w:tc>
      </w:tr>
      <w:tr w:rsidR="00172694" w:rsidRPr="00F50C10" w14:paraId="26FDC72B" w14:textId="77777777" w:rsidTr="00375F59">
        <w:trPr>
          <w:trHeight w:val="20"/>
          <w:jc w:val="center"/>
        </w:trPr>
        <w:tc>
          <w:tcPr>
            <w:tcW w:w="1978" w:type="pct"/>
            <w:tcBorders>
              <w:top w:val="single" w:sz="6" w:space="0" w:color="auto"/>
              <w:left w:val="single" w:sz="6" w:space="0" w:color="auto"/>
              <w:bottom w:val="single" w:sz="6" w:space="0" w:color="auto"/>
              <w:right w:val="single" w:sz="6" w:space="0" w:color="auto"/>
            </w:tcBorders>
            <w:shd w:val="clear" w:color="auto" w:fill="auto"/>
            <w:vAlign w:val="center"/>
          </w:tcPr>
          <w:p w14:paraId="382F2747"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Proses suyu</w:t>
            </w:r>
          </w:p>
        </w:tc>
        <w:tc>
          <w:tcPr>
            <w:tcW w:w="1733" w:type="pct"/>
            <w:tcBorders>
              <w:top w:val="single" w:sz="6" w:space="0" w:color="auto"/>
              <w:left w:val="single" w:sz="6" w:space="0" w:color="auto"/>
              <w:bottom w:val="single" w:sz="6" w:space="0" w:color="auto"/>
              <w:right w:val="single" w:sz="6" w:space="0" w:color="auto"/>
            </w:tcBorders>
            <w:shd w:val="clear" w:color="auto" w:fill="auto"/>
          </w:tcPr>
          <w:p w14:paraId="0402909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1289" w:type="pct"/>
            <w:tcBorders>
              <w:top w:val="single" w:sz="6" w:space="0" w:color="auto"/>
              <w:left w:val="single" w:sz="6" w:space="0" w:color="auto"/>
              <w:bottom w:val="single" w:sz="6" w:space="0" w:color="auto"/>
              <w:right w:val="single" w:sz="6" w:space="0" w:color="auto"/>
            </w:tcBorders>
            <w:shd w:val="clear" w:color="auto" w:fill="auto"/>
          </w:tcPr>
          <w:p w14:paraId="71716A09"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0,596</w:t>
            </w:r>
          </w:p>
        </w:tc>
      </w:tr>
      <w:tr w:rsidR="00172694" w:rsidRPr="00F50C10" w14:paraId="1843EE3B" w14:textId="77777777" w:rsidTr="00375F59">
        <w:trPr>
          <w:trHeight w:val="20"/>
          <w:jc w:val="center"/>
        </w:trPr>
        <w:tc>
          <w:tcPr>
            <w:tcW w:w="1978" w:type="pct"/>
            <w:tcBorders>
              <w:top w:val="single" w:sz="6" w:space="0" w:color="auto"/>
              <w:left w:val="single" w:sz="6" w:space="0" w:color="auto"/>
              <w:bottom w:val="single" w:sz="6" w:space="0" w:color="auto"/>
              <w:right w:val="single" w:sz="6" w:space="0" w:color="auto"/>
            </w:tcBorders>
            <w:shd w:val="clear" w:color="auto" w:fill="auto"/>
            <w:vAlign w:val="center"/>
          </w:tcPr>
          <w:p w14:paraId="70CE85AC"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Azot</w:t>
            </w:r>
          </w:p>
        </w:tc>
        <w:tc>
          <w:tcPr>
            <w:tcW w:w="1733" w:type="pct"/>
            <w:tcBorders>
              <w:top w:val="single" w:sz="6" w:space="0" w:color="auto"/>
              <w:left w:val="single" w:sz="6" w:space="0" w:color="auto"/>
              <w:bottom w:val="single" w:sz="6" w:space="0" w:color="auto"/>
              <w:right w:val="single" w:sz="6" w:space="0" w:color="auto"/>
            </w:tcBorders>
            <w:shd w:val="clear" w:color="auto" w:fill="auto"/>
          </w:tcPr>
          <w:p w14:paraId="3DEB1B82"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1289" w:type="pct"/>
            <w:tcBorders>
              <w:top w:val="single" w:sz="6" w:space="0" w:color="auto"/>
              <w:left w:val="single" w:sz="6" w:space="0" w:color="auto"/>
              <w:bottom w:val="single" w:sz="6" w:space="0" w:color="auto"/>
              <w:right w:val="single" w:sz="6" w:space="0" w:color="auto"/>
            </w:tcBorders>
            <w:shd w:val="clear" w:color="auto" w:fill="auto"/>
          </w:tcPr>
          <w:p w14:paraId="7F8B2629"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0,022</w:t>
            </w:r>
          </w:p>
        </w:tc>
      </w:tr>
      <w:tr w:rsidR="00172694" w:rsidRPr="00F50C10" w14:paraId="65FED1FE" w14:textId="77777777" w:rsidTr="00375F59">
        <w:trPr>
          <w:trHeight w:val="20"/>
          <w:jc w:val="center"/>
        </w:trPr>
        <w:tc>
          <w:tcPr>
            <w:tcW w:w="1978" w:type="pct"/>
            <w:tcBorders>
              <w:top w:val="single" w:sz="6" w:space="0" w:color="auto"/>
              <w:left w:val="single" w:sz="6" w:space="0" w:color="auto"/>
              <w:bottom w:val="single" w:sz="6" w:space="0" w:color="auto"/>
              <w:right w:val="single" w:sz="6" w:space="0" w:color="auto"/>
            </w:tcBorders>
            <w:shd w:val="clear" w:color="auto" w:fill="auto"/>
            <w:vAlign w:val="center"/>
          </w:tcPr>
          <w:p w14:paraId="01170050"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Seyreltici</w:t>
            </w:r>
          </w:p>
        </w:tc>
        <w:tc>
          <w:tcPr>
            <w:tcW w:w="1733" w:type="pct"/>
            <w:tcBorders>
              <w:top w:val="single" w:sz="6" w:space="0" w:color="auto"/>
              <w:left w:val="single" w:sz="6" w:space="0" w:color="auto"/>
              <w:bottom w:val="single" w:sz="6" w:space="0" w:color="auto"/>
              <w:right w:val="single" w:sz="6" w:space="0" w:color="auto"/>
            </w:tcBorders>
            <w:shd w:val="clear" w:color="auto" w:fill="auto"/>
          </w:tcPr>
          <w:p w14:paraId="6A73BD59"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1289" w:type="pct"/>
            <w:tcBorders>
              <w:top w:val="single" w:sz="6" w:space="0" w:color="auto"/>
              <w:left w:val="single" w:sz="6" w:space="0" w:color="auto"/>
              <w:bottom w:val="single" w:sz="6" w:space="0" w:color="auto"/>
              <w:right w:val="single" w:sz="6" w:space="0" w:color="auto"/>
            </w:tcBorders>
            <w:shd w:val="clear" w:color="auto" w:fill="auto"/>
          </w:tcPr>
          <w:p w14:paraId="7533F9B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0,001</w:t>
            </w:r>
          </w:p>
        </w:tc>
      </w:tr>
      <w:tr w:rsidR="00172694" w:rsidRPr="00F50C10" w14:paraId="708AC7CA" w14:textId="77777777" w:rsidTr="00375F59">
        <w:trPr>
          <w:trHeight w:val="20"/>
          <w:jc w:val="center"/>
        </w:trPr>
        <w:tc>
          <w:tcPr>
            <w:tcW w:w="1978" w:type="pct"/>
            <w:tcBorders>
              <w:top w:val="single" w:sz="6" w:space="0" w:color="auto"/>
              <w:left w:val="single" w:sz="6" w:space="0" w:color="auto"/>
              <w:bottom w:val="single" w:sz="6" w:space="0" w:color="auto"/>
              <w:right w:val="single" w:sz="6" w:space="0" w:color="auto"/>
            </w:tcBorders>
            <w:shd w:val="clear" w:color="auto" w:fill="auto"/>
            <w:vAlign w:val="center"/>
          </w:tcPr>
          <w:p w14:paraId="7BCADD41"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Katkı maddeleri</w:t>
            </w:r>
          </w:p>
        </w:tc>
        <w:tc>
          <w:tcPr>
            <w:tcW w:w="1733" w:type="pct"/>
            <w:tcBorders>
              <w:top w:val="single" w:sz="6" w:space="0" w:color="auto"/>
              <w:left w:val="single" w:sz="6" w:space="0" w:color="auto"/>
              <w:bottom w:val="single" w:sz="6" w:space="0" w:color="auto"/>
              <w:right w:val="single" w:sz="6" w:space="0" w:color="auto"/>
            </w:tcBorders>
            <w:shd w:val="clear" w:color="auto" w:fill="auto"/>
          </w:tcPr>
          <w:p w14:paraId="3096FA9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1289" w:type="pct"/>
            <w:tcBorders>
              <w:top w:val="single" w:sz="6" w:space="0" w:color="auto"/>
              <w:left w:val="single" w:sz="6" w:space="0" w:color="auto"/>
              <w:bottom w:val="single" w:sz="6" w:space="0" w:color="auto"/>
              <w:right w:val="single" w:sz="6" w:space="0" w:color="auto"/>
            </w:tcBorders>
            <w:shd w:val="clear" w:color="auto" w:fill="auto"/>
          </w:tcPr>
          <w:p w14:paraId="2B18C6A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0,005</w:t>
            </w:r>
          </w:p>
        </w:tc>
      </w:tr>
      <w:tr w:rsidR="00172694" w:rsidRPr="00F50C10" w14:paraId="0B3F714A" w14:textId="77777777" w:rsidTr="00375F5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171F94A2"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1. Sudaki emisyon değerleri arıtmadan sonra ölçülür. Atık su arıtma tesisi, tesis içinde veya merkezi bir yerde olabilir.</w:t>
            </w:r>
          </w:p>
          <w:p w14:paraId="3195D542"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2. Soğutma kulesi tahliye suyu dahil değildir.</w:t>
            </w:r>
          </w:p>
          <w:p w14:paraId="5C23069D"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3. Ton ürün başına kilogram olarak tehlikeli atık (işleme veya yakmaya) (kg/t).</w:t>
            </w:r>
          </w:p>
          <w:p w14:paraId="46C1935F" w14:textId="218C195D"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tr-TR" w:eastAsia="tr-TR"/>
              </w:rPr>
            </w:pPr>
            <w:r w:rsidRPr="00F50C10">
              <w:rPr>
                <w:rFonts w:eastAsia="Times New Roman" w:cs="Times New Roman"/>
                <w:i/>
                <w:iCs/>
                <w:szCs w:val="24"/>
                <w:lang w:val="tr-TR" w:eastAsia="tr-TR" w:bidi="tr-TR"/>
              </w:rPr>
              <w:t xml:space="preserve">4. Ton ürün başına kilogram cinsinden </w:t>
            </w:r>
            <w:r w:rsidR="002F28FC" w:rsidRPr="00F50C10">
              <w:rPr>
                <w:rFonts w:eastAsia="Times New Roman" w:cs="Times New Roman"/>
                <w:i/>
                <w:iCs/>
                <w:szCs w:val="24"/>
                <w:lang w:val="tr-TR" w:eastAsia="tr-TR" w:bidi="tr-TR"/>
              </w:rPr>
              <w:t>inert</w:t>
            </w:r>
            <w:r w:rsidRPr="00F50C10">
              <w:rPr>
                <w:rFonts w:eastAsia="Times New Roman" w:cs="Times New Roman"/>
                <w:i/>
                <w:iCs/>
                <w:szCs w:val="24"/>
                <w:lang w:val="tr-TR" w:eastAsia="tr-TR" w:bidi="tr-TR"/>
              </w:rPr>
              <w:t>z atık (atık sahasına) (kg/t).</w:t>
            </w:r>
          </w:p>
        </w:tc>
      </w:tr>
    </w:tbl>
    <w:p w14:paraId="1BE9EC31" w14:textId="16B5D017" w:rsidR="00172694" w:rsidRPr="00F50C10" w:rsidRDefault="00172694" w:rsidP="000B206D">
      <w:pPr>
        <w:keepNext/>
        <w:spacing w:before="120" w:after="60" w:line="276" w:lineRule="auto"/>
        <w:rPr>
          <w:rFonts w:cs="Times New Roman"/>
          <w:b/>
          <w:iCs/>
          <w:color w:val="000000" w:themeColor="text1"/>
          <w:szCs w:val="24"/>
          <w:lang w:val="tr-TR"/>
        </w:rPr>
      </w:pPr>
      <w:r w:rsidRPr="00F50C10">
        <w:rPr>
          <w:rFonts w:cs="Times New Roman"/>
          <w:b/>
          <w:iCs/>
          <w:color w:val="000000" w:themeColor="text1"/>
          <w:szCs w:val="24"/>
          <w:lang w:val="tr-TR"/>
        </w:rPr>
        <w:t xml:space="preserve">Tablo </w:t>
      </w:r>
      <w:r w:rsidR="00702548" w:rsidRPr="00F50C10">
        <w:rPr>
          <w:rFonts w:cs="Times New Roman"/>
          <w:b/>
          <w:iCs/>
          <w:color w:val="000000" w:themeColor="text1"/>
          <w:szCs w:val="24"/>
        </w:rPr>
        <w:t>7</w:t>
      </w:r>
      <w:r w:rsidRPr="00F50C10">
        <w:rPr>
          <w:rFonts w:cs="Times New Roman"/>
          <w:b/>
          <w:iCs/>
          <w:color w:val="000000" w:themeColor="text1"/>
          <w:szCs w:val="24"/>
          <w:lang w:val="tr-TR"/>
        </w:rPr>
        <w:t xml:space="preserve">. HIPS üretimi için </w:t>
      </w:r>
      <w:r w:rsidRPr="00F50C10">
        <w:rPr>
          <w:rFonts w:cs="Times New Roman"/>
          <w:b/>
          <w:iCs/>
          <w:color w:val="000000" w:themeColor="text1"/>
          <w:szCs w:val="24"/>
          <w:lang w:val="tr-TR" w:bidi="tr-TR"/>
        </w:rPr>
        <w:t>MET ile ilişkili emisyon ve tüketim seviyeleri</w:t>
      </w:r>
    </w:p>
    <w:tbl>
      <w:tblPr>
        <w:tblW w:w="5000" w:type="pct"/>
        <w:jc w:val="center"/>
        <w:tblCellMar>
          <w:top w:w="11" w:type="dxa"/>
          <w:left w:w="57" w:type="dxa"/>
          <w:bottom w:w="11" w:type="dxa"/>
          <w:right w:w="57" w:type="dxa"/>
        </w:tblCellMar>
        <w:tblLook w:val="0000" w:firstRow="0" w:lastRow="0" w:firstColumn="0" w:lastColumn="0" w:noHBand="0" w:noVBand="0"/>
      </w:tblPr>
      <w:tblGrid>
        <w:gridCol w:w="3991"/>
        <w:gridCol w:w="3547"/>
        <w:gridCol w:w="1766"/>
      </w:tblGrid>
      <w:tr w:rsidR="00172694" w:rsidRPr="00F50C10" w14:paraId="6C0FE542" w14:textId="77777777" w:rsidTr="00375F59">
        <w:trPr>
          <w:trHeight w:val="20"/>
          <w:tblHeader/>
          <w:jc w:val="center"/>
        </w:trPr>
        <w:tc>
          <w:tcPr>
            <w:tcW w:w="2145" w:type="pct"/>
            <w:tcBorders>
              <w:top w:val="single" w:sz="6" w:space="0" w:color="auto"/>
              <w:left w:val="single" w:sz="6" w:space="0" w:color="auto"/>
              <w:bottom w:val="single" w:sz="6" w:space="0" w:color="auto"/>
              <w:right w:val="single" w:sz="6" w:space="0" w:color="auto"/>
            </w:tcBorders>
            <w:shd w:val="clear" w:color="auto" w:fill="auto"/>
            <w:vAlign w:val="center"/>
          </w:tcPr>
          <w:p w14:paraId="7816D22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HIPS</w:t>
            </w:r>
          </w:p>
        </w:tc>
        <w:tc>
          <w:tcPr>
            <w:tcW w:w="1906" w:type="pct"/>
            <w:tcBorders>
              <w:top w:val="single" w:sz="6" w:space="0" w:color="auto"/>
              <w:left w:val="single" w:sz="6" w:space="0" w:color="auto"/>
              <w:bottom w:val="single" w:sz="6" w:space="0" w:color="auto"/>
              <w:right w:val="single" w:sz="6" w:space="0" w:color="auto"/>
            </w:tcBorders>
            <w:shd w:val="clear" w:color="auto" w:fill="auto"/>
            <w:vAlign w:val="center"/>
          </w:tcPr>
          <w:p w14:paraId="1E888DB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Ton ürün başına birim</w:t>
            </w:r>
          </w:p>
        </w:tc>
        <w:tc>
          <w:tcPr>
            <w:tcW w:w="949" w:type="pct"/>
            <w:tcBorders>
              <w:top w:val="single" w:sz="6" w:space="0" w:color="auto"/>
              <w:left w:val="single" w:sz="6" w:space="0" w:color="auto"/>
              <w:bottom w:val="single" w:sz="6" w:space="0" w:color="auto"/>
              <w:right w:val="single" w:sz="6" w:space="0" w:color="auto"/>
            </w:tcBorders>
            <w:shd w:val="clear" w:color="auto" w:fill="auto"/>
            <w:vAlign w:val="center"/>
          </w:tcPr>
          <w:p w14:paraId="77B168D7" w14:textId="180039B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 xml:space="preserve">MET </w:t>
            </w:r>
            <w:r w:rsidR="00702548" w:rsidRPr="00F50C10">
              <w:rPr>
                <w:rFonts w:eastAsia="Times New Roman" w:cs="Times New Roman"/>
                <w:b/>
                <w:szCs w:val="24"/>
                <w:lang w:val="tr-TR" w:eastAsia="tr-TR" w:bidi="tr-TR"/>
              </w:rPr>
              <w:t>-İES</w:t>
            </w:r>
          </w:p>
        </w:tc>
      </w:tr>
      <w:tr w:rsidR="00172694" w:rsidRPr="00F50C10" w14:paraId="434A8B30" w14:textId="77777777" w:rsidTr="00375F5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38DAF73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Hava emisyonları</w:t>
            </w:r>
          </w:p>
        </w:tc>
      </w:tr>
      <w:tr w:rsidR="00172694" w:rsidRPr="00F50C10" w14:paraId="5DD8A562" w14:textId="77777777" w:rsidTr="00375F59">
        <w:trPr>
          <w:trHeight w:val="20"/>
          <w:jc w:val="center"/>
        </w:trPr>
        <w:tc>
          <w:tcPr>
            <w:tcW w:w="2145" w:type="pct"/>
            <w:tcBorders>
              <w:top w:val="single" w:sz="6" w:space="0" w:color="auto"/>
              <w:left w:val="single" w:sz="6" w:space="0" w:color="auto"/>
              <w:bottom w:val="single" w:sz="6" w:space="0" w:color="auto"/>
              <w:right w:val="single" w:sz="6" w:space="0" w:color="auto"/>
            </w:tcBorders>
            <w:shd w:val="clear" w:color="auto" w:fill="auto"/>
            <w:vAlign w:val="center"/>
          </w:tcPr>
          <w:p w14:paraId="1DCA8F99"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Toz</w:t>
            </w:r>
          </w:p>
        </w:tc>
        <w:tc>
          <w:tcPr>
            <w:tcW w:w="1906" w:type="pct"/>
            <w:tcBorders>
              <w:top w:val="single" w:sz="6" w:space="0" w:color="auto"/>
              <w:left w:val="single" w:sz="6" w:space="0" w:color="auto"/>
              <w:bottom w:val="single" w:sz="6" w:space="0" w:color="auto"/>
              <w:right w:val="single" w:sz="6" w:space="0" w:color="auto"/>
            </w:tcBorders>
            <w:shd w:val="clear" w:color="auto" w:fill="auto"/>
          </w:tcPr>
          <w:p w14:paraId="7EF3AE4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949" w:type="pct"/>
            <w:tcBorders>
              <w:top w:val="single" w:sz="6" w:space="0" w:color="auto"/>
              <w:left w:val="single" w:sz="6" w:space="0" w:color="auto"/>
              <w:bottom w:val="single" w:sz="6" w:space="0" w:color="auto"/>
              <w:right w:val="single" w:sz="6" w:space="0" w:color="auto"/>
            </w:tcBorders>
            <w:shd w:val="clear" w:color="auto" w:fill="auto"/>
          </w:tcPr>
          <w:p w14:paraId="6571E7D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20</w:t>
            </w:r>
          </w:p>
        </w:tc>
      </w:tr>
      <w:tr w:rsidR="00172694" w:rsidRPr="00F50C10" w14:paraId="201263C6" w14:textId="77777777" w:rsidTr="00375F59">
        <w:trPr>
          <w:trHeight w:val="20"/>
          <w:jc w:val="center"/>
        </w:trPr>
        <w:tc>
          <w:tcPr>
            <w:tcW w:w="2145" w:type="pct"/>
            <w:tcBorders>
              <w:top w:val="single" w:sz="6" w:space="0" w:color="auto"/>
              <w:left w:val="single" w:sz="6" w:space="0" w:color="auto"/>
              <w:bottom w:val="single" w:sz="6" w:space="0" w:color="auto"/>
              <w:right w:val="single" w:sz="6" w:space="0" w:color="auto"/>
            </w:tcBorders>
            <w:shd w:val="clear" w:color="auto" w:fill="auto"/>
            <w:vAlign w:val="center"/>
          </w:tcPr>
          <w:p w14:paraId="5B4D7EDC"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UOB, toplam</w:t>
            </w:r>
          </w:p>
        </w:tc>
        <w:tc>
          <w:tcPr>
            <w:tcW w:w="1906" w:type="pct"/>
            <w:tcBorders>
              <w:top w:val="single" w:sz="6" w:space="0" w:color="auto"/>
              <w:left w:val="single" w:sz="6" w:space="0" w:color="auto"/>
              <w:bottom w:val="single" w:sz="6" w:space="0" w:color="auto"/>
              <w:right w:val="single" w:sz="6" w:space="0" w:color="auto"/>
            </w:tcBorders>
            <w:shd w:val="clear" w:color="auto" w:fill="auto"/>
          </w:tcPr>
          <w:p w14:paraId="4708AB1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949" w:type="pct"/>
            <w:tcBorders>
              <w:top w:val="single" w:sz="6" w:space="0" w:color="auto"/>
              <w:left w:val="single" w:sz="6" w:space="0" w:color="auto"/>
              <w:bottom w:val="single" w:sz="6" w:space="0" w:color="auto"/>
              <w:right w:val="single" w:sz="6" w:space="0" w:color="auto"/>
            </w:tcBorders>
            <w:shd w:val="clear" w:color="auto" w:fill="auto"/>
          </w:tcPr>
          <w:p w14:paraId="3298842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85</w:t>
            </w:r>
          </w:p>
        </w:tc>
      </w:tr>
      <w:tr w:rsidR="00172694" w:rsidRPr="00F50C10" w14:paraId="6360B719" w14:textId="77777777" w:rsidTr="00375F5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7C8A5EB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Suya emisyonlar</w:t>
            </w:r>
          </w:p>
        </w:tc>
      </w:tr>
      <w:tr w:rsidR="00172694" w:rsidRPr="00F50C10" w14:paraId="4B35A61A" w14:textId="77777777" w:rsidTr="00375F59">
        <w:trPr>
          <w:trHeight w:val="20"/>
          <w:jc w:val="center"/>
        </w:trPr>
        <w:tc>
          <w:tcPr>
            <w:tcW w:w="2145" w:type="pct"/>
            <w:tcBorders>
              <w:top w:val="single" w:sz="6" w:space="0" w:color="auto"/>
              <w:left w:val="single" w:sz="6" w:space="0" w:color="auto"/>
              <w:bottom w:val="single" w:sz="6" w:space="0" w:color="auto"/>
              <w:right w:val="single" w:sz="6" w:space="0" w:color="auto"/>
            </w:tcBorders>
            <w:shd w:val="clear" w:color="auto" w:fill="auto"/>
            <w:vAlign w:val="center"/>
          </w:tcPr>
          <w:p w14:paraId="105D1679"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Kimyasal oksijen ihtiyacı (KOİ)</w:t>
            </w:r>
          </w:p>
        </w:tc>
        <w:tc>
          <w:tcPr>
            <w:tcW w:w="1906" w:type="pct"/>
            <w:tcBorders>
              <w:top w:val="single" w:sz="6" w:space="0" w:color="auto"/>
              <w:left w:val="single" w:sz="6" w:space="0" w:color="auto"/>
              <w:bottom w:val="single" w:sz="6" w:space="0" w:color="auto"/>
              <w:right w:val="single" w:sz="6" w:space="0" w:color="auto"/>
            </w:tcBorders>
            <w:shd w:val="clear" w:color="auto" w:fill="auto"/>
          </w:tcPr>
          <w:p w14:paraId="5E33D202"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949" w:type="pct"/>
            <w:tcBorders>
              <w:top w:val="single" w:sz="6" w:space="0" w:color="auto"/>
              <w:left w:val="single" w:sz="6" w:space="0" w:color="auto"/>
              <w:bottom w:val="single" w:sz="6" w:space="0" w:color="auto"/>
              <w:right w:val="single" w:sz="6" w:space="0" w:color="auto"/>
            </w:tcBorders>
            <w:shd w:val="clear" w:color="auto" w:fill="auto"/>
          </w:tcPr>
          <w:p w14:paraId="050C7D7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30</w:t>
            </w:r>
          </w:p>
        </w:tc>
      </w:tr>
      <w:tr w:rsidR="00172694" w:rsidRPr="00F50C10" w14:paraId="24CD9B3A" w14:textId="77777777" w:rsidTr="00375F59">
        <w:trPr>
          <w:trHeight w:val="20"/>
          <w:jc w:val="center"/>
        </w:trPr>
        <w:tc>
          <w:tcPr>
            <w:tcW w:w="2145" w:type="pct"/>
            <w:tcBorders>
              <w:top w:val="single" w:sz="6" w:space="0" w:color="auto"/>
              <w:left w:val="single" w:sz="6" w:space="0" w:color="auto"/>
              <w:bottom w:val="single" w:sz="6" w:space="0" w:color="auto"/>
              <w:right w:val="single" w:sz="6" w:space="0" w:color="auto"/>
            </w:tcBorders>
            <w:shd w:val="clear" w:color="auto" w:fill="auto"/>
            <w:vAlign w:val="center"/>
          </w:tcPr>
          <w:p w14:paraId="643220EA"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Askıda katı maddeler</w:t>
            </w:r>
          </w:p>
        </w:tc>
        <w:tc>
          <w:tcPr>
            <w:tcW w:w="1906" w:type="pct"/>
            <w:tcBorders>
              <w:top w:val="single" w:sz="6" w:space="0" w:color="auto"/>
              <w:left w:val="single" w:sz="6" w:space="0" w:color="auto"/>
              <w:bottom w:val="single" w:sz="6" w:space="0" w:color="auto"/>
              <w:right w:val="single" w:sz="6" w:space="0" w:color="auto"/>
            </w:tcBorders>
            <w:shd w:val="clear" w:color="auto" w:fill="auto"/>
          </w:tcPr>
          <w:p w14:paraId="7225994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949" w:type="pct"/>
            <w:tcBorders>
              <w:top w:val="single" w:sz="6" w:space="0" w:color="auto"/>
              <w:left w:val="single" w:sz="6" w:space="0" w:color="auto"/>
              <w:bottom w:val="single" w:sz="6" w:space="0" w:color="auto"/>
              <w:right w:val="single" w:sz="6" w:space="0" w:color="auto"/>
            </w:tcBorders>
            <w:shd w:val="clear" w:color="auto" w:fill="auto"/>
          </w:tcPr>
          <w:p w14:paraId="27773F8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w:t>
            </w:r>
          </w:p>
        </w:tc>
      </w:tr>
      <w:tr w:rsidR="00172694" w:rsidRPr="00F50C10" w14:paraId="32537C90" w14:textId="77777777" w:rsidTr="00375F59">
        <w:trPr>
          <w:trHeight w:val="20"/>
          <w:jc w:val="center"/>
        </w:trPr>
        <w:tc>
          <w:tcPr>
            <w:tcW w:w="2145" w:type="pct"/>
            <w:tcBorders>
              <w:top w:val="single" w:sz="6" w:space="0" w:color="auto"/>
              <w:left w:val="single" w:sz="6" w:space="0" w:color="auto"/>
              <w:bottom w:val="single" w:sz="6" w:space="0" w:color="auto"/>
              <w:right w:val="single" w:sz="6" w:space="0" w:color="auto"/>
            </w:tcBorders>
            <w:shd w:val="clear" w:color="auto" w:fill="auto"/>
            <w:vAlign w:val="center"/>
          </w:tcPr>
          <w:p w14:paraId="7EC8D0D7"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Hidrokarbonlar toplam</w:t>
            </w:r>
          </w:p>
        </w:tc>
        <w:tc>
          <w:tcPr>
            <w:tcW w:w="1906" w:type="pct"/>
            <w:tcBorders>
              <w:top w:val="single" w:sz="6" w:space="0" w:color="auto"/>
              <w:left w:val="single" w:sz="6" w:space="0" w:color="auto"/>
              <w:bottom w:val="single" w:sz="6" w:space="0" w:color="auto"/>
              <w:right w:val="single" w:sz="6" w:space="0" w:color="auto"/>
            </w:tcBorders>
            <w:shd w:val="clear" w:color="auto" w:fill="auto"/>
          </w:tcPr>
          <w:p w14:paraId="7900C0F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949" w:type="pct"/>
            <w:tcBorders>
              <w:top w:val="single" w:sz="6" w:space="0" w:color="auto"/>
              <w:left w:val="single" w:sz="6" w:space="0" w:color="auto"/>
              <w:bottom w:val="single" w:sz="6" w:space="0" w:color="auto"/>
              <w:right w:val="single" w:sz="6" w:space="0" w:color="auto"/>
            </w:tcBorders>
            <w:shd w:val="clear" w:color="auto" w:fill="auto"/>
          </w:tcPr>
          <w:p w14:paraId="2CF79D1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1,5</w:t>
            </w:r>
          </w:p>
        </w:tc>
      </w:tr>
      <w:tr w:rsidR="00172694" w:rsidRPr="00F50C10" w14:paraId="55C75319" w14:textId="77777777" w:rsidTr="00375F59">
        <w:trPr>
          <w:trHeight w:val="20"/>
          <w:jc w:val="center"/>
        </w:trPr>
        <w:tc>
          <w:tcPr>
            <w:tcW w:w="2145" w:type="pct"/>
            <w:tcBorders>
              <w:top w:val="single" w:sz="6" w:space="0" w:color="auto"/>
              <w:left w:val="single" w:sz="6" w:space="0" w:color="auto"/>
              <w:bottom w:val="single" w:sz="6" w:space="0" w:color="auto"/>
              <w:right w:val="single" w:sz="6" w:space="0" w:color="auto"/>
            </w:tcBorders>
            <w:shd w:val="clear" w:color="auto" w:fill="auto"/>
            <w:vAlign w:val="center"/>
          </w:tcPr>
          <w:p w14:paraId="47DE7308"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Atık su</w:t>
            </w:r>
          </w:p>
        </w:tc>
        <w:tc>
          <w:tcPr>
            <w:tcW w:w="1906" w:type="pct"/>
            <w:tcBorders>
              <w:top w:val="single" w:sz="6" w:space="0" w:color="auto"/>
              <w:left w:val="single" w:sz="6" w:space="0" w:color="auto"/>
              <w:bottom w:val="single" w:sz="6" w:space="0" w:color="auto"/>
              <w:right w:val="single" w:sz="6" w:space="0" w:color="auto"/>
            </w:tcBorders>
            <w:shd w:val="clear" w:color="auto" w:fill="auto"/>
          </w:tcPr>
          <w:p w14:paraId="3BEFE82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949" w:type="pct"/>
            <w:tcBorders>
              <w:top w:val="single" w:sz="6" w:space="0" w:color="auto"/>
              <w:left w:val="single" w:sz="6" w:space="0" w:color="auto"/>
              <w:bottom w:val="single" w:sz="6" w:space="0" w:color="auto"/>
              <w:right w:val="single" w:sz="6" w:space="0" w:color="auto"/>
            </w:tcBorders>
            <w:shd w:val="clear" w:color="auto" w:fill="auto"/>
          </w:tcPr>
          <w:p w14:paraId="7DA8F4E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0,8</w:t>
            </w:r>
          </w:p>
        </w:tc>
      </w:tr>
      <w:tr w:rsidR="00172694" w:rsidRPr="00F50C10" w14:paraId="61DD601C" w14:textId="77777777" w:rsidTr="00375F59">
        <w:trPr>
          <w:trHeight w:val="20"/>
          <w:jc w:val="center"/>
        </w:trPr>
        <w:tc>
          <w:tcPr>
            <w:tcW w:w="2145" w:type="pct"/>
            <w:tcBorders>
              <w:top w:val="single" w:sz="6" w:space="0" w:color="auto"/>
              <w:left w:val="single" w:sz="6" w:space="0" w:color="auto"/>
              <w:bottom w:val="single" w:sz="6" w:space="0" w:color="auto"/>
              <w:right w:val="single" w:sz="6" w:space="0" w:color="auto"/>
            </w:tcBorders>
            <w:shd w:val="clear" w:color="auto" w:fill="auto"/>
            <w:vAlign w:val="center"/>
          </w:tcPr>
          <w:p w14:paraId="5ACBCD8F"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Soğutma kulesi tahliye suyu</w:t>
            </w:r>
          </w:p>
        </w:tc>
        <w:tc>
          <w:tcPr>
            <w:tcW w:w="1906" w:type="pct"/>
            <w:tcBorders>
              <w:top w:val="single" w:sz="6" w:space="0" w:color="auto"/>
              <w:left w:val="single" w:sz="6" w:space="0" w:color="auto"/>
              <w:bottom w:val="single" w:sz="6" w:space="0" w:color="auto"/>
              <w:right w:val="single" w:sz="6" w:space="0" w:color="auto"/>
            </w:tcBorders>
            <w:shd w:val="clear" w:color="auto" w:fill="auto"/>
          </w:tcPr>
          <w:p w14:paraId="5799BAD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949" w:type="pct"/>
            <w:tcBorders>
              <w:top w:val="single" w:sz="6" w:space="0" w:color="auto"/>
              <w:left w:val="single" w:sz="6" w:space="0" w:color="auto"/>
              <w:bottom w:val="single" w:sz="6" w:space="0" w:color="auto"/>
              <w:right w:val="single" w:sz="6" w:space="0" w:color="auto"/>
            </w:tcBorders>
            <w:shd w:val="clear" w:color="auto" w:fill="auto"/>
          </w:tcPr>
          <w:p w14:paraId="3FA2C14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0,6</w:t>
            </w:r>
          </w:p>
        </w:tc>
      </w:tr>
      <w:tr w:rsidR="00172694" w:rsidRPr="00F50C10" w14:paraId="64098376" w14:textId="77777777" w:rsidTr="00375F5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04BD0F8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Atık</w:t>
            </w:r>
          </w:p>
        </w:tc>
      </w:tr>
      <w:tr w:rsidR="00172694" w:rsidRPr="00F50C10" w14:paraId="37F68970" w14:textId="77777777" w:rsidTr="00375F59">
        <w:trPr>
          <w:trHeight w:val="20"/>
          <w:jc w:val="center"/>
        </w:trPr>
        <w:tc>
          <w:tcPr>
            <w:tcW w:w="2145" w:type="pct"/>
            <w:tcBorders>
              <w:top w:val="single" w:sz="6" w:space="0" w:color="auto"/>
              <w:left w:val="single" w:sz="6" w:space="0" w:color="auto"/>
              <w:bottom w:val="single" w:sz="6" w:space="0" w:color="auto"/>
              <w:right w:val="single" w:sz="6" w:space="0" w:color="auto"/>
            </w:tcBorders>
            <w:shd w:val="clear" w:color="auto" w:fill="auto"/>
            <w:vAlign w:val="center"/>
          </w:tcPr>
          <w:p w14:paraId="5C052267"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Tehlikeli</w:t>
            </w:r>
          </w:p>
        </w:tc>
        <w:tc>
          <w:tcPr>
            <w:tcW w:w="1906" w:type="pct"/>
            <w:tcBorders>
              <w:top w:val="single" w:sz="6" w:space="0" w:color="auto"/>
              <w:left w:val="single" w:sz="6" w:space="0" w:color="auto"/>
              <w:bottom w:val="single" w:sz="6" w:space="0" w:color="auto"/>
              <w:right w:val="single" w:sz="6" w:space="0" w:color="auto"/>
            </w:tcBorders>
            <w:shd w:val="clear" w:color="auto" w:fill="auto"/>
          </w:tcPr>
          <w:p w14:paraId="4C05AFC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949" w:type="pct"/>
            <w:tcBorders>
              <w:top w:val="single" w:sz="6" w:space="0" w:color="auto"/>
              <w:left w:val="single" w:sz="6" w:space="0" w:color="auto"/>
              <w:bottom w:val="single" w:sz="6" w:space="0" w:color="auto"/>
              <w:right w:val="single" w:sz="6" w:space="0" w:color="auto"/>
            </w:tcBorders>
            <w:shd w:val="clear" w:color="auto" w:fill="auto"/>
          </w:tcPr>
          <w:p w14:paraId="1134F70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0,5</w:t>
            </w:r>
          </w:p>
        </w:tc>
      </w:tr>
      <w:tr w:rsidR="00172694" w:rsidRPr="00F50C10" w14:paraId="60D8F37C" w14:textId="77777777" w:rsidTr="00375F59">
        <w:trPr>
          <w:trHeight w:val="20"/>
          <w:jc w:val="center"/>
        </w:trPr>
        <w:tc>
          <w:tcPr>
            <w:tcW w:w="2145" w:type="pct"/>
            <w:tcBorders>
              <w:top w:val="single" w:sz="6" w:space="0" w:color="auto"/>
              <w:left w:val="single" w:sz="6" w:space="0" w:color="auto"/>
              <w:bottom w:val="single" w:sz="6" w:space="0" w:color="auto"/>
              <w:right w:val="single" w:sz="6" w:space="0" w:color="auto"/>
            </w:tcBorders>
            <w:shd w:val="clear" w:color="auto" w:fill="auto"/>
            <w:vAlign w:val="center"/>
          </w:tcPr>
          <w:p w14:paraId="08034DC1"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Tehlikesiz</w:t>
            </w:r>
          </w:p>
        </w:tc>
        <w:tc>
          <w:tcPr>
            <w:tcW w:w="1906" w:type="pct"/>
            <w:tcBorders>
              <w:top w:val="single" w:sz="6" w:space="0" w:color="auto"/>
              <w:left w:val="single" w:sz="6" w:space="0" w:color="auto"/>
              <w:bottom w:val="single" w:sz="6" w:space="0" w:color="auto"/>
              <w:right w:val="single" w:sz="6" w:space="0" w:color="auto"/>
            </w:tcBorders>
            <w:shd w:val="clear" w:color="auto" w:fill="auto"/>
          </w:tcPr>
          <w:p w14:paraId="01CAA43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949" w:type="pct"/>
            <w:tcBorders>
              <w:top w:val="single" w:sz="6" w:space="0" w:color="auto"/>
              <w:left w:val="single" w:sz="6" w:space="0" w:color="auto"/>
              <w:bottom w:val="single" w:sz="6" w:space="0" w:color="auto"/>
              <w:right w:val="single" w:sz="6" w:space="0" w:color="auto"/>
            </w:tcBorders>
            <w:shd w:val="clear" w:color="auto" w:fill="auto"/>
          </w:tcPr>
          <w:p w14:paraId="560A367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3</w:t>
            </w:r>
          </w:p>
        </w:tc>
      </w:tr>
      <w:tr w:rsidR="00172694" w:rsidRPr="00F50C10" w14:paraId="27548178" w14:textId="77777777" w:rsidTr="00375F5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7E01D4F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Tüketim</w:t>
            </w:r>
          </w:p>
        </w:tc>
      </w:tr>
      <w:tr w:rsidR="00172694" w:rsidRPr="00F50C10" w14:paraId="6AE0D288" w14:textId="77777777" w:rsidTr="00375F59">
        <w:trPr>
          <w:trHeight w:val="20"/>
          <w:jc w:val="center"/>
        </w:trPr>
        <w:tc>
          <w:tcPr>
            <w:tcW w:w="2145" w:type="pct"/>
            <w:tcBorders>
              <w:top w:val="single" w:sz="6" w:space="0" w:color="auto"/>
              <w:left w:val="single" w:sz="6" w:space="0" w:color="auto"/>
              <w:bottom w:val="single" w:sz="6" w:space="0" w:color="auto"/>
              <w:right w:val="single" w:sz="6" w:space="0" w:color="auto"/>
            </w:tcBorders>
            <w:shd w:val="clear" w:color="auto" w:fill="auto"/>
            <w:vAlign w:val="center"/>
          </w:tcPr>
          <w:p w14:paraId="6FF79BCD"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Toplam enerji</w:t>
            </w:r>
          </w:p>
        </w:tc>
        <w:tc>
          <w:tcPr>
            <w:tcW w:w="1906" w:type="pct"/>
            <w:tcBorders>
              <w:top w:val="single" w:sz="6" w:space="0" w:color="auto"/>
              <w:left w:val="single" w:sz="6" w:space="0" w:color="auto"/>
              <w:bottom w:val="single" w:sz="6" w:space="0" w:color="auto"/>
              <w:right w:val="single" w:sz="6" w:space="0" w:color="auto"/>
            </w:tcBorders>
            <w:shd w:val="clear" w:color="auto" w:fill="auto"/>
          </w:tcPr>
          <w:p w14:paraId="0921050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GJ</w:t>
            </w:r>
          </w:p>
        </w:tc>
        <w:tc>
          <w:tcPr>
            <w:tcW w:w="949" w:type="pct"/>
            <w:tcBorders>
              <w:top w:val="single" w:sz="6" w:space="0" w:color="auto"/>
              <w:left w:val="single" w:sz="6" w:space="0" w:color="auto"/>
              <w:bottom w:val="single" w:sz="6" w:space="0" w:color="auto"/>
              <w:right w:val="single" w:sz="6" w:space="0" w:color="auto"/>
            </w:tcBorders>
            <w:shd w:val="clear" w:color="auto" w:fill="auto"/>
          </w:tcPr>
          <w:p w14:paraId="52CBAE0C" w14:textId="5BB2CD63" w:rsidR="00172694" w:rsidRPr="00F50C10" w:rsidRDefault="00FC400D"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w:t>
            </w:r>
            <w:r w:rsidR="00172694" w:rsidRPr="00F50C10">
              <w:rPr>
                <w:rFonts w:eastAsia="Times New Roman" w:cs="Times New Roman"/>
                <w:szCs w:val="24"/>
                <w:lang w:val="tr-TR" w:eastAsia="tr-TR" w:bidi="tr-TR"/>
              </w:rPr>
              <w:t>,48</w:t>
            </w:r>
          </w:p>
        </w:tc>
      </w:tr>
      <w:tr w:rsidR="00172694" w:rsidRPr="00F50C10" w14:paraId="599A7CA0" w14:textId="77777777" w:rsidTr="00375F59">
        <w:trPr>
          <w:trHeight w:val="20"/>
          <w:jc w:val="center"/>
        </w:trPr>
        <w:tc>
          <w:tcPr>
            <w:tcW w:w="2145" w:type="pct"/>
            <w:tcBorders>
              <w:top w:val="single" w:sz="6" w:space="0" w:color="auto"/>
              <w:left w:val="single" w:sz="6" w:space="0" w:color="auto"/>
              <w:bottom w:val="single" w:sz="6" w:space="0" w:color="auto"/>
              <w:right w:val="single" w:sz="6" w:space="0" w:color="auto"/>
            </w:tcBorders>
            <w:shd w:val="clear" w:color="auto" w:fill="auto"/>
            <w:vAlign w:val="center"/>
          </w:tcPr>
          <w:p w14:paraId="4DF992E2"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Stiren</w:t>
            </w:r>
          </w:p>
        </w:tc>
        <w:tc>
          <w:tcPr>
            <w:tcW w:w="1906" w:type="pct"/>
            <w:tcBorders>
              <w:top w:val="single" w:sz="6" w:space="0" w:color="auto"/>
              <w:left w:val="single" w:sz="6" w:space="0" w:color="auto"/>
              <w:bottom w:val="single" w:sz="6" w:space="0" w:color="auto"/>
              <w:right w:val="single" w:sz="6" w:space="0" w:color="auto"/>
            </w:tcBorders>
            <w:shd w:val="clear" w:color="auto" w:fill="auto"/>
          </w:tcPr>
          <w:p w14:paraId="7A84BC1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949" w:type="pct"/>
            <w:tcBorders>
              <w:top w:val="single" w:sz="6" w:space="0" w:color="auto"/>
              <w:left w:val="single" w:sz="6" w:space="0" w:color="auto"/>
              <w:bottom w:val="single" w:sz="6" w:space="0" w:color="auto"/>
              <w:right w:val="single" w:sz="6" w:space="0" w:color="auto"/>
            </w:tcBorders>
            <w:shd w:val="clear" w:color="auto" w:fill="auto"/>
          </w:tcPr>
          <w:p w14:paraId="5130D64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0,915</w:t>
            </w:r>
          </w:p>
        </w:tc>
      </w:tr>
      <w:tr w:rsidR="00172694" w:rsidRPr="00F50C10" w14:paraId="4E403CBC" w14:textId="77777777" w:rsidTr="00375F59">
        <w:trPr>
          <w:trHeight w:val="20"/>
          <w:jc w:val="center"/>
        </w:trPr>
        <w:tc>
          <w:tcPr>
            <w:tcW w:w="2145" w:type="pct"/>
            <w:tcBorders>
              <w:top w:val="single" w:sz="6" w:space="0" w:color="auto"/>
              <w:left w:val="single" w:sz="6" w:space="0" w:color="auto"/>
              <w:bottom w:val="single" w:sz="6" w:space="0" w:color="auto"/>
              <w:right w:val="single" w:sz="6" w:space="0" w:color="auto"/>
            </w:tcBorders>
            <w:shd w:val="clear" w:color="auto" w:fill="auto"/>
            <w:vAlign w:val="center"/>
          </w:tcPr>
          <w:p w14:paraId="16ABDD7F"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Madeni yağ</w:t>
            </w:r>
          </w:p>
        </w:tc>
        <w:tc>
          <w:tcPr>
            <w:tcW w:w="1906" w:type="pct"/>
            <w:tcBorders>
              <w:top w:val="single" w:sz="6" w:space="0" w:color="auto"/>
              <w:left w:val="single" w:sz="6" w:space="0" w:color="auto"/>
              <w:bottom w:val="single" w:sz="6" w:space="0" w:color="auto"/>
              <w:right w:val="single" w:sz="6" w:space="0" w:color="auto"/>
            </w:tcBorders>
            <w:shd w:val="clear" w:color="auto" w:fill="auto"/>
          </w:tcPr>
          <w:p w14:paraId="5A5CFCA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949" w:type="pct"/>
            <w:tcBorders>
              <w:top w:val="single" w:sz="6" w:space="0" w:color="auto"/>
              <w:left w:val="single" w:sz="6" w:space="0" w:color="auto"/>
              <w:bottom w:val="single" w:sz="6" w:space="0" w:color="auto"/>
              <w:right w:val="single" w:sz="6" w:space="0" w:color="auto"/>
            </w:tcBorders>
            <w:shd w:val="clear" w:color="auto" w:fill="auto"/>
          </w:tcPr>
          <w:p w14:paraId="3C561A6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0,02</w:t>
            </w:r>
          </w:p>
        </w:tc>
      </w:tr>
      <w:tr w:rsidR="00172694" w:rsidRPr="00F50C10" w14:paraId="1DA17B35" w14:textId="77777777" w:rsidTr="00375F59">
        <w:trPr>
          <w:trHeight w:val="20"/>
          <w:jc w:val="center"/>
        </w:trPr>
        <w:tc>
          <w:tcPr>
            <w:tcW w:w="2145" w:type="pct"/>
            <w:tcBorders>
              <w:top w:val="single" w:sz="6" w:space="0" w:color="auto"/>
              <w:left w:val="single" w:sz="6" w:space="0" w:color="auto"/>
              <w:bottom w:val="single" w:sz="6" w:space="0" w:color="auto"/>
              <w:right w:val="single" w:sz="6" w:space="0" w:color="auto"/>
            </w:tcBorders>
            <w:shd w:val="clear" w:color="auto" w:fill="auto"/>
            <w:vAlign w:val="center"/>
          </w:tcPr>
          <w:p w14:paraId="1166C52D"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Kauçuk</w:t>
            </w:r>
          </w:p>
        </w:tc>
        <w:tc>
          <w:tcPr>
            <w:tcW w:w="1906" w:type="pct"/>
            <w:tcBorders>
              <w:top w:val="single" w:sz="6" w:space="0" w:color="auto"/>
              <w:left w:val="single" w:sz="6" w:space="0" w:color="auto"/>
              <w:bottom w:val="single" w:sz="6" w:space="0" w:color="auto"/>
              <w:right w:val="single" w:sz="6" w:space="0" w:color="auto"/>
            </w:tcBorders>
            <w:shd w:val="clear" w:color="auto" w:fill="auto"/>
          </w:tcPr>
          <w:p w14:paraId="2EA710C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949" w:type="pct"/>
            <w:tcBorders>
              <w:top w:val="single" w:sz="6" w:space="0" w:color="auto"/>
              <w:left w:val="single" w:sz="6" w:space="0" w:color="auto"/>
              <w:bottom w:val="single" w:sz="6" w:space="0" w:color="auto"/>
              <w:right w:val="single" w:sz="6" w:space="0" w:color="auto"/>
            </w:tcBorders>
            <w:shd w:val="clear" w:color="auto" w:fill="auto"/>
          </w:tcPr>
          <w:p w14:paraId="5A3AD24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0,07</w:t>
            </w:r>
          </w:p>
        </w:tc>
      </w:tr>
      <w:tr w:rsidR="00172694" w:rsidRPr="00F50C10" w14:paraId="75205B94" w14:textId="77777777" w:rsidTr="00375F59">
        <w:trPr>
          <w:trHeight w:val="20"/>
          <w:jc w:val="center"/>
        </w:trPr>
        <w:tc>
          <w:tcPr>
            <w:tcW w:w="2145" w:type="pct"/>
            <w:tcBorders>
              <w:top w:val="single" w:sz="6" w:space="0" w:color="auto"/>
              <w:left w:val="single" w:sz="6" w:space="0" w:color="auto"/>
              <w:bottom w:val="single" w:sz="6" w:space="0" w:color="auto"/>
              <w:right w:val="single" w:sz="6" w:space="0" w:color="auto"/>
            </w:tcBorders>
            <w:shd w:val="clear" w:color="auto" w:fill="auto"/>
            <w:vAlign w:val="center"/>
          </w:tcPr>
          <w:p w14:paraId="5700676F"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Soğutma suyu (kapalı devre)</w:t>
            </w:r>
          </w:p>
        </w:tc>
        <w:tc>
          <w:tcPr>
            <w:tcW w:w="1906" w:type="pct"/>
            <w:tcBorders>
              <w:top w:val="single" w:sz="6" w:space="0" w:color="auto"/>
              <w:left w:val="single" w:sz="6" w:space="0" w:color="auto"/>
              <w:bottom w:val="single" w:sz="6" w:space="0" w:color="auto"/>
              <w:right w:val="single" w:sz="6" w:space="0" w:color="auto"/>
            </w:tcBorders>
            <w:shd w:val="clear" w:color="auto" w:fill="auto"/>
          </w:tcPr>
          <w:p w14:paraId="458CFC9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949" w:type="pct"/>
            <w:tcBorders>
              <w:top w:val="single" w:sz="6" w:space="0" w:color="auto"/>
              <w:left w:val="single" w:sz="6" w:space="0" w:color="auto"/>
              <w:bottom w:val="single" w:sz="6" w:space="0" w:color="auto"/>
              <w:right w:val="single" w:sz="6" w:space="0" w:color="auto"/>
            </w:tcBorders>
            <w:shd w:val="clear" w:color="auto" w:fill="auto"/>
          </w:tcPr>
          <w:p w14:paraId="4CC322F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50</w:t>
            </w:r>
          </w:p>
        </w:tc>
      </w:tr>
      <w:tr w:rsidR="00172694" w:rsidRPr="00F50C10" w14:paraId="60F81B3F" w14:textId="77777777" w:rsidTr="00375F59">
        <w:trPr>
          <w:trHeight w:val="20"/>
          <w:jc w:val="center"/>
        </w:trPr>
        <w:tc>
          <w:tcPr>
            <w:tcW w:w="2145" w:type="pct"/>
            <w:tcBorders>
              <w:top w:val="single" w:sz="6" w:space="0" w:color="auto"/>
              <w:left w:val="single" w:sz="6" w:space="0" w:color="auto"/>
              <w:bottom w:val="single" w:sz="6" w:space="0" w:color="auto"/>
              <w:right w:val="single" w:sz="6" w:space="0" w:color="auto"/>
            </w:tcBorders>
            <w:shd w:val="clear" w:color="auto" w:fill="auto"/>
            <w:vAlign w:val="center"/>
          </w:tcPr>
          <w:p w14:paraId="75662969"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Proses suyu</w:t>
            </w:r>
          </w:p>
        </w:tc>
        <w:tc>
          <w:tcPr>
            <w:tcW w:w="1906" w:type="pct"/>
            <w:tcBorders>
              <w:top w:val="single" w:sz="6" w:space="0" w:color="auto"/>
              <w:left w:val="single" w:sz="6" w:space="0" w:color="auto"/>
              <w:bottom w:val="single" w:sz="6" w:space="0" w:color="auto"/>
              <w:right w:val="single" w:sz="6" w:space="0" w:color="auto"/>
            </w:tcBorders>
            <w:shd w:val="clear" w:color="auto" w:fill="auto"/>
          </w:tcPr>
          <w:p w14:paraId="6B4F89A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949" w:type="pct"/>
            <w:tcBorders>
              <w:top w:val="single" w:sz="6" w:space="0" w:color="auto"/>
              <w:left w:val="single" w:sz="6" w:space="0" w:color="auto"/>
              <w:bottom w:val="single" w:sz="6" w:space="0" w:color="auto"/>
              <w:right w:val="single" w:sz="6" w:space="0" w:color="auto"/>
            </w:tcBorders>
            <w:shd w:val="clear" w:color="auto" w:fill="auto"/>
          </w:tcPr>
          <w:p w14:paraId="65614DF2"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0,519</w:t>
            </w:r>
          </w:p>
        </w:tc>
      </w:tr>
      <w:tr w:rsidR="00172694" w:rsidRPr="00F50C10" w14:paraId="7A590367" w14:textId="77777777" w:rsidTr="00375F59">
        <w:trPr>
          <w:trHeight w:val="20"/>
          <w:jc w:val="center"/>
        </w:trPr>
        <w:tc>
          <w:tcPr>
            <w:tcW w:w="2145" w:type="pct"/>
            <w:tcBorders>
              <w:top w:val="single" w:sz="6" w:space="0" w:color="auto"/>
              <w:left w:val="single" w:sz="6" w:space="0" w:color="auto"/>
              <w:bottom w:val="single" w:sz="6" w:space="0" w:color="auto"/>
              <w:right w:val="single" w:sz="6" w:space="0" w:color="auto"/>
            </w:tcBorders>
            <w:shd w:val="clear" w:color="auto" w:fill="auto"/>
            <w:vAlign w:val="center"/>
          </w:tcPr>
          <w:p w14:paraId="293A3407"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Azot</w:t>
            </w:r>
          </w:p>
        </w:tc>
        <w:tc>
          <w:tcPr>
            <w:tcW w:w="1906" w:type="pct"/>
            <w:tcBorders>
              <w:top w:val="single" w:sz="6" w:space="0" w:color="auto"/>
              <w:left w:val="single" w:sz="6" w:space="0" w:color="auto"/>
              <w:bottom w:val="single" w:sz="6" w:space="0" w:color="auto"/>
              <w:right w:val="single" w:sz="6" w:space="0" w:color="auto"/>
            </w:tcBorders>
            <w:shd w:val="clear" w:color="auto" w:fill="auto"/>
          </w:tcPr>
          <w:p w14:paraId="38EAB8D9"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949" w:type="pct"/>
            <w:tcBorders>
              <w:top w:val="single" w:sz="6" w:space="0" w:color="auto"/>
              <w:left w:val="single" w:sz="6" w:space="0" w:color="auto"/>
              <w:bottom w:val="single" w:sz="6" w:space="0" w:color="auto"/>
              <w:right w:val="single" w:sz="6" w:space="0" w:color="auto"/>
            </w:tcBorders>
            <w:shd w:val="clear" w:color="auto" w:fill="auto"/>
          </w:tcPr>
          <w:p w14:paraId="1FC2418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0,010</w:t>
            </w:r>
          </w:p>
        </w:tc>
      </w:tr>
      <w:tr w:rsidR="00172694" w:rsidRPr="00F50C10" w14:paraId="17AF9B75" w14:textId="77777777" w:rsidTr="00375F59">
        <w:trPr>
          <w:trHeight w:val="20"/>
          <w:jc w:val="center"/>
        </w:trPr>
        <w:tc>
          <w:tcPr>
            <w:tcW w:w="2145" w:type="pct"/>
            <w:tcBorders>
              <w:top w:val="single" w:sz="6" w:space="0" w:color="auto"/>
              <w:left w:val="single" w:sz="6" w:space="0" w:color="auto"/>
              <w:bottom w:val="single" w:sz="6" w:space="0" w:color="auto"/>
              <w:right w:val="single" w:sz="6" w:space="0" w:color="auto"/>
            </w:tcBorders>
            <w:shd w:val="clear" w:color="auto" w:fill="auto"/>
            <w:vAlign w:val="center"/>
          </w:tcPr>
          <w:p w14:paraId="43E47011"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Seyreltici</w:t>
            </w:r>
          </w:p>
        </w:tc>
        <w:tc>
          <w:tcPr>
            <w:tcW w:w="1906" w:type="pct"/>
            <w:tcBorders>
              <w:top w:val="single" w:sz="6" w:space="0" w:color="auto"/>
              <w:left w:val="single" w:sz="6" w:space="0" w:color="auto"/>
              <w:bottom w:val="single" w:sz="6" w:space="0" w:color="auto"/>
              <w:right w:val="single" w:sz="6" w:space="0" w:color="auto"/>
            </w:tcBorders>
            <w:shd w:val="clear" w:color="auto" w:fill="auto"/>
          </w:tcPr>
          <w:p w14:paraId="2DAC1A8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949" w:type="pct"/>
            <w:tcBorders>
              <w:top w:val="single" w:sz="6" w:space="0" w:color="auto"/>
              <w:left w:val="single" w:sz="6" w:space="0" w:color="auto"/>
              <w:bottom w:val="single" w:sz="6" w:space="0" w:color="auto"/>
              <w:right w:val="single" w:sz="6" w:space="0" w:color="auto"/>
            </w:tcBorders>
            <w:shd w:val="clear" w:color="auto" w:fill="auto"/>
          </w:tcPr>
          <w:p w14:paraId="3E81E15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0,001</w:t>
            </w:r>
          </w:p>
        </w:tc>
      </w:tr>
      <w:tr w:rsidR="00172694" w:rsidRPr="00F50C10" w14:paraId="6C7577E7" w14:textId="77777777" w:rsidTr="00375F59">
        <w:trPr>
          <w:trHeight w:val="20"/>
          <w:jc w:val="center"/>
        </w:trPr>
        <w:tc>
          <w:tcPr>
            <w:tcW w:w="2145" w:type="pct"/>
            <w:tcBorders>
              <w:top w:val="single" w:sz="6" w:space="0" w:color="auto"/>
              <w:left w:val="single" w:sz="6" w:space="0" w:color="auto"/>
              <w:bottom w:val="single" w:sz="6" w:space="0" w:color="auto"/>
              <w:right w:val="single" w:sz="6" w:space="0" w:color="auto"/>
            </w:tcBorders>
            <w:shd w:val="clear" w:color="auto" w:fill="auto"/>
            <w:vAlign w:val="center"/>
          </w:tcPr>
          <w:p w14:paraId="46EB95D8"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Katkı maddeleri</w:t>
            </w:r>
          </w:p>
        </w:tc>
        <w:tc>
          <w:tcPr>
            <w:tcW w:w="1906" w:type="pct"/>
            <w:tcBorders>
              <w:top w:val="single" w:sz="6" w:space="0" w:color="auto"/>
              <w:left w:val="single" w:sz="6" w:space="0" w:color="auto"/>
              <w:bottom w:val="single" w:sz="6" w:space="0" w:color="auto"/>
              <w:right w:val="single" w:sz="6" w:space="0" w:color="auto"/>
            </w:tcBorders>
            <w:shd w:val="clear" w:color="auto" w:fill="auto"/>
          </w:tcPr>
          <w:p w14:paraId="56E05E1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949" w:type="pct"/>
            <w:tcBorders>
              <w:top w:val="single" w:sz="6" w:space="0" w:color="auto"/>
              <w:left w:val="single" w:sz="6" w:space="0" w:color="auto"/>
              <w:bottom w:val="single" w:sz="6" w:space="0" w:color="auto"/>
              <w:right w:val="single" w:sz="6" w:space="0" w:color="auto"/>
            </w:tcBorders>
            <w:shd w:val="clear" w:color="auto" w:fill="auto"/>
          </w:tcPr>
          <w:p w14:paraId="7886F51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0,005</w:t>
            </w:r>
          </w:p>
        </w:tc>
      </w:tr>
      <w:tr w:rsidR="00172694" w:rsidRPr="00F50C10" w14:paraId="4085AE6D" w14:textId="77777777" w:rsidTr="00375F5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7185BF31"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1. Sudaki emisyon değerleri arıtmadan sonra ölçülür. Atık su arıtma tesisi, tesis içinde veya merkezi bir yerde olabilir.</w:t>
            </w:r>
          </w:p>
          <w:p w14:paraId="3304B8C2"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2. Soğutma kulesi tahliye suyu dahil değildir.</w:t>
            </w:r>
          </w:p>
          <w:p w14:paraId="5730AAFD"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3. Ton ürün başına kilogram olarak tehlikeli atık (işleme veya yakmaya) (kg/t).</w:t>
            </w:r>
          </w:p>
          <w:p w14:paraId="011C94D0" w14:textId="757E39BC"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tr-TR" w:eastAsia="tr-TR"/>
              </w:rPr>
            </w:pPr>
            <w:r w:rsidRPr="00F50C10">
              <w:rPr>
                <w:rFonts w:eastAsia="Times New Roman" w:cs="Times New Roman"/>
                <w:i/>
                <w:iCs/>
                <w:szCs w:val="24"/>
                <w:lang w:val="tr-TR" w:eastAsia="tr-TR" w:bidi="tr-TR"/>
              </w:rPr>
              <w:t xml:space="preserve">4. Ton ürün başına kilogram cinsinden </w:t>
            </w:r>
            <w:r w:rsidR="002F28FC" w:rsidRPr="00F50C10">
              <w:rPr>
                <w:rFonts w:eastAsia="Times New Roman" w:cs="Times New Roman"/>
                <w:i/>
                <w:iCs/>
                <w:szCs w:val="24"/>
                <w:lang w:val="tr-TR" w:eastAsia="tr-TR" w:bidi="tr-TR"/>
              </w:rPr>
              <w:t xml:space="preserve">inert </w:t>
            </w:r>
            <w:r w:rsidRPr="00F50C10">
              <w:rPr>
                <w:rFonts w:eastAsia="Times New Roman" w:cs="Times New Roman"/>
                <w:i/>
                <w:iCs/>
                <w:szCs w:val="24"/>
                <w:lang w:val="tr-TR" w:eastAsia="tr-TR" w:bidi="tr-TR"/>
              </w:rPr>
              <w:t>atık (atık sahasına) (kg/t).</w:t>
            </w:r>
          </w:p>
        </w:tc>
      </w:tr>
    </w:tbl>
    <w:p w14:paraId="638174A5" w14:textId="0679DB49" w:rsidR="00172694" w:rsidRPr="00F50C10" w:rsidRDefault="00172694" w:rsidP="000B206D">
      <w:pPr>
        <w:keepNext/>
        <w:spacing w:before="120" w:after="60" w:line="276" w:lineRule="auto"/>
        <w:rPr>
          <w:rFonts w:cs="Times New Roman"/>
          <w:b/>
          <w:iCs/>
          <w:color w:val="000000" w:themeColor="text1"/>
          <w:szCs w:val="24"/>
          <w:lang w:val="tr-TR"/>
        </w:rPr>
      </w:pPr>
      <w:r w:rsidRPr="00F50C10">
        <w:rPr>
          <w:rFonts w:cs="Times New Roman"/>
          <w:b/>
          <w:iCs/>
          <w:color w:val="000000" w:themeColor="text1"/>
          <w:szCs w:val="24"/>
          <w:lang w:val="tr-TR"/>
        </w:rPr>
        <w:t xml:space="preserve">Tablo </w:t>
      </w:r>
      <w:r w:rsidR="00702548" w:rsidRPr="00F50C10">
        <w:rPr>
          <w:rFonts w:cs="Times New Roman"/>
          <w:b/>
          <w:iCs/>
          <w:color w:val="000000" w:themeColor="text1"/>
          <w:szCs w:val="24"/>
        </w:rPr>
        <w:t>8</w:t>
      </w:r>
      <w:r w:rsidRPr="00F50C10">
        <w:rPr>
          <w:rFonts w:cs="Times New Roman"/>
          <w:b/>
          <w:iCs/>
          <w:color w:val="000000" w:themeColor="text1"/>
          <w:szCs w:val="24"/>
          <w:lang w:val="tr-TR"/>
        </w:rPr>
        <w:t xml:space="preserve">. EPS üretimi için </w:t>
      </w:r>
      <w:r w:rsidRPr="00F50C10">
        <w:rPr>
          <w:rFonts w:cs="Times New Roman"/>
          <w:b/>
          <w:iCs/>
          <w:color w:val="000000" w:themeColor="text1"/>
          <w:szCs w:val="24"/>
          <w:lang w:val="tr-TR" w:bidi="tr-TR"/>
        </w:rPr>
        <w:t>MET ile ilişkili emisyon ve tüketim seviyeleri</w:t>
      </w:r>
    </w:p>
    <w:tbl>
      <w:tblPr>
        <w:tblW w:w="5000" w:type="pct"/>
        <w:jc w:val="center"/>
        <w:tblCellMar>
          <w:top w:w="11" w:type="dxa"/>
          <w:left w:w="57" w:type="dxa"/>
          <w:bottom w:w="11" w:type="dxa"/>
          <w:right w:w="57" w:type="dxa"/>
        </w:tblCellMar>
        <w:tblLook w:val="0000" w:firstRow="0" w:lastRow="0" w:firstColumn="0" w:lastColumn="0" w:noHBand="0" w:noVBand="0"/>
      </w:tblPr>
      <w:tblGrid>
        <w:gridCol w:w="3831"/>
        <w:gridCol w:w="3571"/>
        <w:gridCol w:w="1902"/>
      </w:tblGrid>
      <w:tr w:rsidR="00172694" w:rsidRPr="00F50C10" w14:paraId="0CF1C5F0" w14:textId="77777777" w:rsidTr="00375F59">
        <w:trPr>
          <w:trHeight w:val="20"/>
          <w:tblHeader/>
          <w:jc w:val="center"/>
        </w:trPr>
        <w:tc>
          <w:tcPr>
            <w:tcW w:w="2059" w:type="pct"/>
            <w:tcBorders>
              <w:top w:val="single" w:sz="6" w:space="0" w:color="auto"/>
              <w:left w:val="single" w:sz="6" w:space="0" w:color="auto"/>
              <w:bottom w:val="single" w:sz="6" w:space="0" w:color="auto"/>
              <w:right w:val="single" w:sz="6" w:space="0" w:color="auto"/>
            </w:tcBorders>
            <w:shd w:val="clear" w:color="auto" w:fill="auto"/>
            <w:vAlign w:val="center"/>
          </w:tcPr>
          <w:p w14:paraId="7864DC9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EPS</w:t>
            </w:r>
          </w:p>
        </w:tc>
        <w:tc>
          <w:tcPr>
            <w:tcW w:w="1919" w:type="pct"/>
            <w:tcBorders>
              <w:top w:val="single" w:sz="6" w:space="0" w:color="auto"/>
              <w:left w:val="single" w:sz="6" w:space="0" w:color="auto"/>
              <w:bottom w:val="single" w:sz="6" w:space="0" w:color="auto"/>
              <w:right w:val="single" w:sz="6" w:space="0" w:color="auto"/>
            </w:tcBorders>
            <w:shd w:val="clear" w:color="auto" w:fill="auto"/>
            <w:vAlign w:val="center"/>
          </w:tcPr>
          <w:p w14:paraId="506EA5D4"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Ton ürün başına birim</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14:paraId="3FDC994C" w14:textId="0BDE27E9"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 xml:space="preserve">MET </w:t>
            </w:r>
            <w:r w:rsidR="00702548" w:rsidRPr="00F50C10">
              <w:rPr>
                <w:rFonts w:eastAsia="Times New Roman" w:cs="Times New Roman"/>
                <w:b/>
                <w:szCs w:val="24"/>
                <w:lang w:val="tr-TR" w:eastAsia="tr-TR" w:bidi="tr-TR"/>
              </w:rPr>
              <w:t>-İES</w:t>
            </w:r>
          </w:p>
        </w:tc>
      </w:tr>
      <w:tr w:rsidR="00172694" w:rsidRPr="00F50C10" w14:paraId="5AEF9C6D" w14:textId="77777777" w:rsidTr="00375F5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32434D0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Hava emisyonları</w:t>
            </w:r>
          </w:p>
        </w:tc>
      </w:tr>
      <w:tr w:rsidR="00172694" w:rsidRPr="00F50C10" w14:paraId="19A3ABC2" w14:textId="77777777" w:rsidTr="00375F59">
        <w:trPr>
          <w:trHeight w:val="20"/>
          <w:jc w:val="center"/>
        </w:trPr>
        <w:tc>
          <w:tcPr>
            <w:tcW w:w="2059" w:type="pct"/>
            <w:tcBorders>
              <w:top w:val="single" w:sz="6" w:space="0" w:color="auto"/>
              <w:left w:val="single" w:sz="6" w:space="0" w:color="auto"/>
              <w:bottom w:val="single" w:sz="6" w:space="0" w:color="auto"/>
              <w:right w:val="single" w:sz="6" w:space="0" w:color="auto"/>
            </w:tcBorders>
            <w:shd w:val="clear" w:color="auto" w:fill="auto"/>
            <w:vAlign w:val="center"/>
          </w:tcPr>
          <w:p w14:paraId="3550DDFC"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Toz</w:t>
            </w:r>
          </w:p>
        </w:tc>
        <w:tc>
          <w:tcPr>
            <w:tcW w:w="1919" w:type="pct"/>
            <w:tcBorders>
              <w:top w:val="single" w:sz="6" w:space="0" w:color="auto"/>
              <w:left w:val="single" w:sz="6" w:space="0" w:color="auto"/>
              <w:bottom w:val="single" w:sz="6" w:space="0" w:color="auto"/>
              <w:right w:val="single" w:sz="6" w:space="0" w:color="auto"/>
            </w:tcBorders>
            <w:shd w:val="clear" w:color="auto" w:fill="auto"/>
            <w:vAlign w:val="center"/>
          </w:tcPr>
          <w:p w14:paraId="7A60E4F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14:paraId="723C981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30</w:t>
            </w:r>
          </w:p>
        </w:tc>
      </w:tr>
      <w:tr w:rsidR="00172694" w:rsidRPr="00F50C10" w14:paraId="574BDC8D" w14:textId="77777777" w:rsidTr="00375F59">
        <w:trPr>
          <w:trHeight w:val="20"/>
          <w:jc w:val="center"/>
        </w:trPr>
        <w:tc>
          <w:tcPr>
            <w:tcW w:w="2059" w:type="pct"/>
            <w:tcBorders>
              <w:top w:val="single" w:sz="6" w:space="0" w:color="auto"/>
              <w:left w:val="single" w:sz="6" w:space="0" w:color="auto"/>
              <w:bottom w:val="single" w:sz="6" w:space="0" w:color="auto"/>
              <w:right w:val="single" w:sz="6" w:space="0" w:color="auto"/>
            </w:tcBorders>
            <w:shd w:val="clear" w:color="auto" w:fill="auto"/>
            <w:vAlign w:val="center"/>
          </w:tcPr>
          <w:p w14:paraId="3700FFA1"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tr-TR" w:eastAsia="tr-TR"/>
              </w:rPr>
            </w:pPr>
            <w:r w:rsidRPr="00F50C10">
              <w:rPr>
                <w:rFonts w:eastAsia="Times New Roman" w:cs="Times New Roman"/>
                <w:szCs w:val="24"/>
                <w:lang w:val="tr-TR" w:eastAsia="tr-TR" w:bidi="tr-TR"/>
              </w:rPr>
              <w:t>Noktasal kaynaklardan pentan dahil UOB</w:t>
            </w:r>
            <w:r w:rsidRPr="00F50C10">
              <w:rPr>
                <w:rFonts w:eastAsia="Times New Roman" w:cs="Times New Roman"/>
                <w:szCs w:val="24"/>
                <w:vertAlign w:val="superscript"/>
                <w:lang w:val="tr-TR" w:eastAsia="tr-TR" w:bidi="tr-TR"/>
              </w:rPr>
              <w:t>1</w:t>
            </w:r>
          </w:p>
        </w:tc>
        <w:tc>
          <w:tcPr>
            <w:tcW w:w="1919" w:type="pct"/>
            <w:tcBorders>
              <w:top w:val="single" w:sz="6" w:space="0" w:color="auto"/>
              <w:left w:val="single" w:sz="6" w:space="0" w:color="auto"/>
              <w:bottom w:val="single" w:sz="6" w:space="0" w:color="auto"/>
              <w:right w:val="single" w:sz="6" w:space="0" w:color="auto"/>
            </w:tcBorders>
            <w:shd w:val="clear" w:color="auto" w:fill="auto"/>
            <w:vAlign w:val="center"/>
          </w:tcPr>
          <w:p w14:paraId="3C5B884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14:paraId="1E87B58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450 - 700</w:t>
            </w:r>
          </w:p>
        </w:tc>
      </w:tr>
      <w:tr w:rsidR="00172694" w:rsidRPr="00F50C10" w14:paraId="31602597" w14:textId="77777777" w:rsidTr="00375F5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1458E544"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Suya emisyonlar</w:t>
            </w:r>
          </w:p>
        </w:tc>
      </w:tr>
      <w:tr w:rsidR="00172694" w:rsidRPr="00F50C10" w14:paraId="50A35910" w14:textId="77777777" w:rsidTr="00375F59">
        <w:trPr>
          <w:trHeight w:val="20"/>
          <w:jc w:val="center"/>
        </w:trPr>
        <w:tc>
          <w:tcPr>
            <w:tcW w:w="2059" w:type="pct"/>
            <w:tcBorders>
              <w:top w:val="single" w:sz="6" w:space="0" w:color="auto"/>
              <w:left w:val="single" w:sz="6" w:space="0" w:color="auto"/>
              <w:bottom w:val="single" w:sz="6" w:space="0" w:color="auto"/>
              <w:right w:val="single" w:sz="6" w:space="0" w:color="auto"/>
            </w:tcBorders>
            <w:shd w:val="clear" w:color="auto" w:fill="auto"/>
            <w:vAlign w:val="center"/>
          </w:tcPr>
          <w:p w14:paraId="508EDB0F"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Kimyasal oksijen ihtiyacı (KOİ)</w:t>
            </w:r>
          </w:p>
        </w:tc>
        <w:tc>
          <w:tcPr>
            <w:tcW w:w="1919" w:type="pct"/>
            <w:tcBorders>
              <w:top w:val="single" w:sz="6" w:space="0" w:color="auto"/>
              <w:left w:val="single" w:sz="6" w:space="0" w:color="auto"/>
              <w:bottom w:val="single" w:sz="6" w:space="0" w:color="auto"/>
              <w:right w:val="single" w:sz="6" w:space="0" w:color="auto"/>
            </w:tcBorders>
            <w:shd w:val="clear" w:color="auto" w:fill="auto"/>
          </w:tcPr>
          <w:p w14:paraId="1376BA0D"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022" w:type="pct"/>
            <w:tcBorders>
              <w:top w:val="single" w:sz="6" w:space="0" w:color="auto"/>
              <w:left w:val="single" w:sz="6" w:space="0" w:color="auto"/>
              <w:bottom w:val="single" w:sz="6" w:space="0" w:color="auto"/>
              <w:right w:val="single" w:sz="6" w:space="0" w:color="auto"/>
            </w:tcBorders>
            <w:shd w:val="clear" w:color="auto" w:fill="auto"/>
          </w:tcPr>
          <w:p w14:paraId="4CCC31E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p>
        </w:tc>
      </w:tr>
      <w:tr w:rsidR="00172694" w:rsidRPr="00F50C10" w14:paraId="53CD7C14" w14:textId="77777777" w:rsidTr="00375F59">
        <w:trPr>
          <w:trHeight w:val="20"/>
          <w:jc w:val="center"/>
        </w:trPr>
        <w:tc>
          <w:tcPr>
            <w:tcW w:w="2059" w:type="pct"/>
            <w:tcBorders>
              <w:top w:val="single" w:sz="6" w:space="0" w:color="auto"/>
              <w:left w:val="single" w:sz="6" w:space="0" w:color="auto"/>
              <w:bottom w:val="single" w:sz="6" w:space="0" w:color="auto"/>
              <w:right w:val="single" w:sz="6" w:space="0" w:color="auto"/>
            </w:tcBorders>
            <w:shd w:val="clear" w:color="auto" w:fill="auto"/>
            <w:vAlign w:val="center"/>
          </w:tcPr>
          <w:p w14:paraId="259C951A"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Katılar toplam</w:t>
            </w:r>
          </w:p>
        </w:tc>
        <w:tc>
          <w:tcPr>
            <w:tcW w:w="1919" w:type="pct"/>
            <w:tcBorders>
              <w:top w:val="single" w:sz="6" w:space="0" w:color="auto"/>
              <w:left w:val="single" w:sz="6" w:space="0" w:color="auto"/>
              <w:bottom w:val="single" w:sz="6" w:space="0" w:color="auto"/>
              <w:right w:val="single" w:sz="6" w:space="0" w:color="auto"/>
            </w:tcBorders>
            <w:shd w:val="clear" w:color="auto" w:fill="auto"/>
          </w:tcPr>
          <w:p w14:paraId="0310DB9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022" w:type="pct"/>
            <w:tcBorders>
              <w:top w:val="single" w:sz="6" w:space="0" w:color="auto"/>
              <w:left w:val="single" w:sz="6" w:space="0" w:color="auto"/>
              <w:bottom w:val="single" w:sz="6" w:space="0" w:color="auto"/>
              <w:right w:val="single" w:sz="6" w:space="0" w:color="auto"/>
            </w:tcBorders>
            <w:shd w:val="clear" w:color="auto" w:fill="auto"/>
          </w:tcPr>
          <w:p w14:paraId="38C40A5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p>
        </w:tc>
      </w:tr>
      <w:tr w:rsidR="00172694" w:rsidRPr="00F50C10" w14:paraId="0B0A23E6" w14:textId="77777777" w:rsidTr="00375F59">
        <w:trPr>
          <w:trHeight w:val="20"/>
          <w:jc w:val="center"/>
        </w:trPr>
        <w:tc>
          <w:tcPr>
            <w:tcW w:w="2059" w:type="pct"/>
            <w:tcBorders>
              <w:top w:val="single" w:sz="6" w:space="0" w:color="auto"/>
              <w:left w:val="single" w:sz="6" w:space="0" w:color="auto"/>
              <w:bottom w:val="single" w:sz="6" w:space="0" w:color="auto"/>
              <w:right w:val="single" w:sz="6" w:space="0" w:color="auto"/>
            </w:tcBorders>
            <w:shd w:val="clear" w:color="auto" w:fill="auto"/>
            <w:vAlign w:val="center"/>
          </w:tcPr>
          <w:p w14:paraId="0D1DFF42"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Hidrokarbonlar toplam</w:t>
            </w:r>
          </w:p>
        </w:tc>
        <w:tc>
          <w:tcPr>
            <w:tcW w:w="1919" w:type="pct"/>
            <w:tcBorders>
              <w:top w:val="single" w:sz="6" w:space="0" w:color="auto"/>
              <w:left w:val="single" w:sz="6" w:space="0" w:color="auto"/>
              <w:bottom w:val="single" w:sz="6" w:space="0" w:color="auto"/>
              <w:right w:val="single" w:sz="6" w:space="0" w:color="auto"/>
            </w:tcBorders>
            <w:shd w:val="clear" w:color="auto" w:fill="auto"/>
          </w:tcPr>
          <w:p w14:paraId="52D6415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022" w:type="pct"/>
            <w:tcBorders>
              <w:top w:val="single" w:sz="6" w:space="0" w:color="auto"/>
              <w:left w:val="single" w:sz="6" w:space="0" w:color="auto"/>
              <w:bottom w:val="single" w:sz="6" w:space="0" w:color="auto"/>
              <w:right w:val="single" w:sz="6" w:space="0" w:color="auto"/>
            </w:tcBorders>
            <w:shd w:val="clear" w:color="auto" w:fill="auto"/>
          </w:tcPr>
          <w:p w14:paraId="0095B9E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p>
        </w:tc>
      </w:tr>
      <w:tr w:rsidR="00172694" w:rsidRPr="00F50C10" w14:paraId="7B2E89F6" w14:textId="77777777" w:rsidTr="00375F59">
        <w:trPr>
          <w:trHeight w:val="20"/>
          <w:jc w:val="center"/>
        </w:trPr>
        <w:tc>
          <w:tcPr>
            <w:tcW w:w="2059" w:type="pct"/>
            <w:tcBorders>
              <w:top w:val="single" w:sz="6" w:space="0" w:color="auto"/>
              <w:left w:val="single" w:sz="6" w:space="0" w:color="auto"/>
              <w:bottom w:val="single" w:sz="6" w:space="0" w:color="auto"/>
              <w:right w:val="single" w:sz="6" w:space="0" w:color="auto"/>
            </w:tcBorders>
            <w:shd w:val="clear" w:color="auto" w:fill="auto"/>
            <w:vAlign w:val="center"/>
          </w:tcPr>
          <w:p w14:paraId="1F0FD286"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Çözünmüş katılar</w:t>
            </w:r>
          </w:p>
        </w:tc>
        <w:tc>
          <w:tcPr>
            <w:tcW w:w="1919" w:type="pct"/>
            <w:tcBorders>
              <w:top w:val="single" w:sz="6" w:space="0" w:color="auto"/>
              <w:left w:val="single" w:sz="6" w:space="0" w:color="auto"/>
              <w:bottom w:val="single" w:sz="6" w:space="0" w:color="auto"/>
              <w:right w:val="single" w:sz="6" w:space="0" w:color="auto"/>
            </w:tcBorders>
            <w:shd w:val="clear" w:color="auto" w:fill="auto"/>
          </w:tcPr>
          <w:p w14:paraId="3D0C24D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022" w:type="pct"/>
            <w:tcBorders>
              <w:top w:val="single" w:sz="6" w:space="0" w:color="auto"/>
              <w:left w:val="single" w:sz="6" w:space="0" w:color="auto"/>
              <w:bottom w:val="single" w:sz="6" w:space="0" w:color="auto"/>
              <w:right w:val="single" w:sz="6" w:space="0" w:color="auto"/>
            </w:tcBorders>
            <w:shd w:val="clear" w:color="auto" w:fill="auto"/>
          </w:tcPr>
          <w:p w14:paraId="15EE89F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0,3</w:t>
            </w:r>
          </w:p>
        </w:tc>
      </w:tr>
      <w:tr w:rsidR="00172694" w:rsidRPr="00F50C10" w14:paraId="1F3892E6" w14:textId="77777777" w:rsidTr="00375F59">
        <w:trPr>
          <w:trHeight w:val="20"/>
          <w:jc w:val="center"/>
        </w:trPr>
        <w:tc>
          <w:tcPr>
            <w:tcW w:w="2059" w:type="pct"/>
            <w:tcBorders>
              <w:top w:val="single" w:sz="6" w:space="0" w:color="auto"/>
              <w:left w:val="single" w:sz="6" w:space="0" w:color="auto"/>
              <w:bottom w:val="single" w:sz="6" w:space="0" w:color="auto"/>
              <w:right w:val="single" w:sz="6" w:space="0" w:color="auto"/>
            </w:tcBorders>
            <w:shd w:val="clear" w:color="auto" w:fill="auto"/>
            <w:vAlign w:val="center"/>
          </w:tcPr>
          <w:p w14:paraId="436F9109"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Atık su</w:t>
            </w:r>
          </w:p>
        </w:tc>
        <w:tc>
          <w:tcPr>
            <w:tcW w:w="1919" w:type="pct"/>
            <w:tcBorders>
              <w:top w:val="single" w:sz="6" w:space="0" w:color="auto"/>
              <w:left w:val="single" w:sz="6" w:space="0" w:color="auto"/>
              <w:bottom w:val="single" w:sz="6" w:space="0" w:color="auto"/>
              <w:right w:val="single" w:sz="6" w:space="0" w:color="auto"/>
            </w:tcBorders>
            <w:shd w:val="clear" w:color="auto" w:fill="auto"/>
          </w:tcPr>
          <w:p w14:paraId="2A1BEB0D"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1022" w:type="pct"/>
            <w:tcBorders>
              <w:top w:val="single" w:sz="6" w:space="0" w:color="auto"/>
              <w:left w:val="single" w:sz="6" w:space="0" w:color="auto"/>
              <w:bottom w:val="single" w:sz="6" w:space="0" w:color="auto"/>
              <w:right w:val="single" w:sz="6" w:space="0" w:color="auto"/>
            </w:tcBorders>
            <w:shd w:val="clear" w:color="auto" w:fill="auto"/>
          </w:tcPr>
          <w:p w14:paraId="0C1510F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5</w:t>
            </w:r>
          </w:p>
        </w:tc>
      </w:tr>
      <w:tr w:rsidR="00172694" w:rsidRPr="00F50C10" w14:paraId="5F044187" w14:textId="77777777" w:rsidTr="00375F59">
        <w:trPr>
          <w:trHeight w:val="20"/>
          <w:jc w:val="center"/>
        </w:trPr>
        <w:tc>
          <w:tcPr>
            <w:tcW w:w="2059" w:type="pct"/>
            <w:tcBorders>
              <w:top w:val="single" w:sz="6" w:space="0" w:color="auto"/>
              <w:left w:val="single" w:sz="6" w:space="0" w:color="auto"/>
              <w:bottom w:val="single" w:sz="6" w:space="0" w:color="auto"/>
              <w:right w:val="single" w:sz="6" w:space="0" w:color="auto"/>
            </w:tcBorders>
            <w:shd w:val="clear" w:color="auto" w:fill="auto"/>
            <w:vAlign w:val="center"/>
          </w:tcPr>
          <w:p w14:paraId="586839C0"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Soğutma kulesi tahliye suyu</w:t>
            </w:r>
          </w:p>
        </w:tc>
        <w:tc>
          <w:tcPr>
            <w:tcW w:w="1919" w:type="pct"/>
            <w:tcBorders>
              <w:top w:val="single" w:sz="6" w:space="0" w:color="auto"/>
              <w:left w:val="single" w:sz="6" w:space="0" w:color="auto"/>
              <w:bottom w:val="single" w:sz="6" w:space="0" w:color="auto"/>
              <w:right w:val="single" w:sz="6" w:space="0" w:color="auto"/>
            </w:tcBorders>
            <w:shd w:val="clear" w:color="auto" w:fill="auto"/>
          </w:tcPr>
          <w:p w14:paraId="317C5D6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1022" w:type="pct"/>
            <w:tcBorders>
              <w:top w:val="single" w:sz="6" w:space="0" w:color="auto"/>
              <w:left w:val="single" w:sz="6" w:space="0" w:color="auto"/>
              <w:bottom w:val="single" w:sz="6" w:space="0" w:color="auto"/>
              <w:right w:val="single" w:sz="6" w:space="0" w:color="auto"/>
            </w:tcBorders>
            <w:shd w:val="clear" w:color="auto" w:fill="auto"/>
          </w:tcPr>
          <w:p w14:paraId="0B19274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1,7</w:t>
            </w:r>
          </w:p>
        </w:tc>
      </w:tr>
      <w:tr w:rsidR="00172694" w:rsidRPr="00F50C10" w14:paraId="07B58D39" w14:textId="77777777" w:rsidTr="00375F59">
        <w:trPr>
          <w:trHeight w:val="20"/>
          <w:jc w:val="center"/>
        </w:trPr>
        <w:tc>
          <w:tcPr>
            <w:tcW w:w="2059" w:type="pct"/>
            <w:tcBorders>
              <w:top w:val="single" w:sz="6" w:space="0" w:color="auto"/>
              <w:left w:val="single" w:sz="6" w:space="0" w:color="auto"/>
              <w:bottom w:val="single" w:sz="6" w:space="0" w:color="auto"/>
              <w:right w:val="single" w:sz="6" w:space="0" w:color="auto"/>
            </w:tcBorders>
            <w:shd w:val="clear" w:color="auto" w:fill="auto"/>
            <w:vAlign w:val="center"/>
          </w:tcPr>
          <w:p w14:paraId="4152D27A"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P</w:t>
            </w:r>
            <w:r w:rsidRPr="00F50C10">
              <w:rPr>
                <w:rFonts w:eastAsia="Times New Roman" w:cs="Times New Roman"/>
                <w:szCs w:val="24"/>
                <w:vertAlign w:val="subscript"/>
                <w:lang w:val="tr-TR" w:eastAsia="tr-TR" w:bidi="tr-TR"/>
              </w:rPr>
              <w:t>2</w:t>
            </w:r>
            <w:r w:rsidRPr="00F50C10">
              <w:rPr>
                <w:rFonts w:eastAsia="Times New Roman" w:cs="Times New Roman"/>
                <w:szCs w:val="24"/>
                <w:lang w:val="tr-TR" w:eastAsia="tr-TR" w:bidi="tr-TR"/>
              </w:rPr>
              <w:t>O</w:t>
            </w:r>
            <w:r w:rsidRPr="00F50C10">
              <w:rPr>
                <w:rFonts w:eastAsia="Times New Roman" w:cs="Times New Roman"/>
                <w:szCs w:val="24"/>
                <w:vertAlign w:val="subscript"/>
                <w:lang w:val="tr-TR" w:eastAsia="tr-TR" w:bidi="tr-TR"/>
              </w:rPr>
              <w:t>5</w:t>
            </w:r>
            <w:r w:rsidRPr="00F50C10">
              <w:rPr>
                <w:rFonts w:eastAsia="Times New Roman" w:cs="Times New Roman"/>
                <w:szCs w:val="24"/>
                <w:lang w:val="tr-TR" w:eastAsia="tr-TR" w:bidi="tr-TR"/>
              </w:rPr>
              <w:t xml:space="preserve"> olarak fosfat</w:t>
            </w:r>
          </w:p>
        </w:tc>
        <w:tc>
          <w:tcPr>
            <w:tcW w:w="1919" w:type="pct"/>
            <w:tcBorders>
              <w:top w:val="single" w:sz="6" w:space="0" w:color="auto"/>
              <w:left w:val="single" w:sz="6" w:space="0" w:color="auto"/>
              <w:bottom w:val="single" w:sz="6" w:space="0" w:color="auto"/>
              <w:right w:val="single" w:sz="6" w:space="0" w:color="auto"/>
            </w:tcBorders>
            <w:shd w:val="clear" w:color="auto" w:fill="auto"/>
          </w:tcPr>
          <w:p w14:paraId="2161648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022" w:type="pct"/>
            <w:tcBorders>
              <w:top w:val="single" w:sz="6" w:space="0" w:color="auto"/>
              <w:left w:val="single" w:sz="6" w:space="0" w:color="auto"/>
              <w:bottom w:val="single" w:sz="6" w:space="0" w:color="auto"/>
              <w:right w:val="single" w:sz="6" w:space="0" w:color="auto"/>
            </w:tcBorders>
            <w:shd w:val="clear" w:color="auto" w:fill="auto"/>
          </w:tcPr>
          <w:p w14:paraId="3059FFC2"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p>
        </w:tc>
      </w:tr>
      <w:tr w:rsidR="00172694" w:rsidRPr="00F50C10" w14:paraId="60EC4B88" w14:textId="77777777" w:rsidTr="00375F5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5AF76BB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Atık</w:t>
            </w:r>
          </w:p>
        </w:tc>
      </w:tr>
      <w:tr w:rsidR="00172694" w:rsidRPr="00F50C10" w14:paraId="7BCFD2D4" w14:textId="77777777" w:rsidTr="00375F59">
        <w:trPr>
          <w:trHeight w:val="20"/>
          <w:jc w:val="center"/>
        </w:trPr>
        <w:tc>
          <w:tcPr>
            <w:tcW w:w="2059" w:type="pct"/>
            <w:tcBorders>
              <w:top w:val="single" w:sz="6" w:space="0" w:color="auto"/>
              <w:left w:val="single" w:sz="6" w:space="0" w:color="auto"/>
              <w:bottom w:val="single" w:sz="6" w:space="0" w:color="auto"/>
              <w:right w:val="single" w:sz="6" w:space="0" w:color="auto"/>
            </w:tcBorders>
            <w:shd w:val="clear" w:color="auto" w:fill="auto"/>
            <w:vAlign w:val="center"/>
          </w:tcPr>
          <w:p w14:paraId="641A8A81"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Tehlikeli</w:t>
            </w:r>
          </w:p>
        </w:tc>
        <w:tc>
          <w:tcPr>
            <w:tcW w:w="1919" w:type="pct"/>
            <w:tcBorders>
              <w:top w:val="single" w:sz="6" w:space="0" w:color="auto"/>
              <w:left w:val="single" w:sz="6" w:space="0" w:color="auto"/>
              <w:bottom w:val="single" w:sz="6" w:space="0" w:color="auto"/>
              <w:right w:val="single" w:sz="6" w:space="0" w:color="auto"/>
            </w:tcBorders>
            <w:shd w:val="clear" w:color="auto" w:fill="auto"/>
          </w:tcPr>
          <w:p w14:paraId="6940587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1022" w:type="pct"/>
            <w:tcBorders>
              <w:top w:val="single" w:sz="6" w:space="0" w:color="auto"/>
              <w:left w:val="single" w:sz="6" w:space="0" w:color="auto"/>
              <w:bottom w:val="single" w:sz="6" w:space="0" w:color="auto"/>
              <w:right w:val="single" w:sz="6" w:space="0" w:color="auto"/>
            </w:tcBorders>
            <w:shd w:val="clear" w:color="auto" w:fill="auto"/>
          </w:tcPr>
          <w:p w14:paraId="648FCD9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3</w:t>
            </w:r>
          </w:p>
        </w:tc>
      </w:tr>
      <w:tr w:rsidR="00172694" w:rsidRPr="00F50C10" w14:paraId="12A219D6" w14:textId="77777777" w:rsidTr="00375F59">
        <w:trPr>
          <w:trHeight w:val="20"/>
          <w:jc w:val="center"/>
        </w:trPr>
        <w:tc>
          <w:tcPr>
            <w:tcW w:w="2059" w:type="pct"/>
            <w:tcBorders>
              <w:top w:val="single" w:sz="6" w:space="0" w:color="auto"/>
              <w:left w:val="single" w:sz="6" w:space="0" w:color="auto"/>
              <w:bottom w:val="single" w:sz="6" w:space="0" w:color="auto"/>
              <w:right w:val="single" w:sz="6" w:space="0" w:color="auto"/>
            </w:tcBorders>
            <w:shd w:val="clear" w:color="auto" w:fill="auto"/>
            <w:vAlign w:val="center"/>
          </w:tcPr>
          <w:p w14:paraId="6ED80433"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Tehlikesiz</w:t>
            </w:r>
          </w:p>
        </w:tc>
        <w:tc>
          <w:tcPr>
            <w:tcW w:w="1919" w:type="pct"/>
            <w:tcBorders>
              <w:top w:val="single" w:sz="6" w:space="0" w:color="auto"/>
              <w:left w:val="single" w:sz="6" w:space="0" w:color="auto"/>
              <w:bottom w:val="single" w:sz="6" w:space="0" w:color="auto"/>
              <w:right w:val="single" w:sz="6" w:space="0" w:color="auto"/>
            </w:tcBorders>
            <w:shd w:val="clear" w:color="auto" w:fill="auto"/>
          </w:tcPr>
          <w:p w14:paraId="70261C0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1022" w:type="pct"/>
            <w:tcBorders>
              <w:top w:val="single" w:sz="6" w:space="0" w:color="auto"/>
              <w:left w:val="single" w:sz="6" w:space="0" w:color="auto"/>
              <w:bottom w:val="single" w:sz="6" w:space="0" w:color="auto"/>
              <w:right w:val="single" w:sz="6" w:space="0" w:color="auto"/>
            </w:tcBorders>
            <w:shd w:val="clear" w:color="auto" w:fill="auto"/>
          </w:tcPr>
          <w:p w14:paraId="010E09F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6</w:t>
            </w:r>
          </w:p>
        </w:tc>
      </w:tr>
      <w:tr w:rsidR="00172694" w:rsidRPr="00F50C10" w14:paraId="15798633" w14:textId="77777777" w:rsidTr="00375F5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6FC5E1E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Tüketim</w:t>
            </w:r>
          </w:p>
        </w:tc>
      </w:tr>
      <w:tr w:rsidR="00172694" w:rsidRPr="00F50C10" w14:paraId="0D60A1A9" w14:textId="77777777" w:rsidTr="00375F59">
        <w:trPr>
          <w:trHeight w:val="20"/>
          <w:jc w:val="center"/>
        </w:trPr>
        <w:tc>
          <w:tcPr>
            <w:tcW w:w="2059" w:type="pct"/>
            <w:tcBorders>
              <w:top w:val="single" w:sz="6" w:space="0" w:color="auto"/>
              <w:left w:val="single" w:sz="6" w:space="0" w:color="auto"/>
              <w:bottom w:val="single" w:sz="6" w:space="0" w:color="auto"/>
              <w:right w:val="single" w:sz="6" w:space="0" w:color="auto"/>
            </w:tcBorders>
            <w:shd w:val="clear" w:color="auto" w:fill="auto"/>
            <w:vAlign w:val="center"/>
          </w:tcPr>
          <w:p w14:paraId="721E11D7"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Toplam enerji</w:t>
            </w:r>
          </w:p>
        </w:tc>
        <w:tc>
          <w:tcPr>
            <w:tcW w:w="1919" w:type="pct"/>
            <w:tcBorders>
              <w:top w:val="single" w:sz="6" w:space="0" w:color="auto"/>
              <w:left w:val="single" w:sz="6" w:space="0" w:color="auto"/>
              <w:bottom w:val="single" w:sz="6" w:space="0" w:color="auto"/>
              <w:right w:val="single" w:sz="6" w:space="0" w:color="auto"/>
            </w:tcBorders>
            <w:shd w:val="clear" w:color="auto" w:fill="auto"/>
          </w:tcPr>
          <w:p w14:paraId="069F519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GJ</w:t>
            </w:r>
          </w:p>
        </w:tc>
        <w:tc>
          <w:tcPr>
            <w:tcW w:w="1022" w:type="pct"/>
            <w:tcBorders>
              <w:top w:val="single" w:sz="6" w:space="0" w:color="auto"/>
              <w:left w:val="single" w:sz="6" w:space="0" w:color="auto"/>
              <w:bottom w:val="single" w:sz="6" w:space="0" w:color="auto"/>
              <w:right w:val="single" w:sz="6" w:space="0" w:color="auto"/>
            </w:tcBorders>
            <w:shd w:val="clear" w:color="auto" w:fill="auto"/>
          </w:tcPr>
          <w:p w14:paraId="290A5B6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1,8</w:t>
            </w:r>
          </w:p>
        </w:tc>
      </w:tr>
      <w:tr w:rsidR="00172694" w:rsidRPr="00F50C10" w14:paraId="776DB456" w14:textId="77777777" w:rsidTr="00375F59">
        <w:trPr>
          <w:trHeight w:val="20"/>
          <w:jc w:val="center"/>
        </w:trPr>
        <w:tc>
          <w:tcPr>
            <w:tcW w:w="2059" w:type="pct"/>
            <w:tcBorders>
              <w:top w:val="single" w:sz="6" w:space="0" w:color="auto"/>
              <w:left w:val="single" w:sz="6" w:space="0" w:color="auto"/>
              <w:bottom w:val="single" w:sz="6" w:space="0" w:color="auto"/>
              <w:right w:val="single" w:sz="6" w:space="0" w:color="auto"/>
            </w:tcBorders>
            <w:shd w:val="clear" w:color="auto" w:fill="auto"/>
            <w:vAlign w:val="center"/>
          </w:tcPr>
          <w:p w14:paraId="4F2688D1"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Stiren</w:t>
            </w:r>
          </w:p>
        </w:tc>
        <w:tc>
          <w:tcPr>
            <w:tcW w:w="1919" w:type="pct"/>
            <w:tcBorders>
              <w:top w:val="single" w:sz="6" w:space="0" w:color="auto"/>
              <w:left w:val="single" w:sz="6" w:space="0" w:color="auto"/>
              <w:bottom w:val="single" w:sz="6" w:space="0" w:color="auto"/>
              <w:right w:val="single" w:sz="6" w:space="0" w:color="auto"/>
            </w:tcBorders>
            <w:shd w:val="clear" w:color="auto" w:fill="auto"/>
          </w:tcPr>
          <w:p w14:paraId="145B8B2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1022" w:type="pct"/>
            <w:tcBorders>
              <w:top w:val="single" w:sz="6" w:space="0" w:color="auto"/>
              <w:left w:val="single" w:sz="6" w:space="0" w:color="auto"/>
              <w:bottom w:val="single" w:sz="6" w:space="0" w:color="auto"/>
              <w:right w:val="single" w:sz="6" w:space="0" w:color="auto"/>
            </w:tcBorders>
            <w:shd w:val="clear" w:color="auto" w:fill="auto"/>
          </w:tcPr>
          <w:p w14:paraId="16F606C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0,939</w:t>
            </w:r>
          </w:p>
        </w:tc>
      </w:tr>
      <w:tr w:rsidR="00172694" w:rsidRPr="00F50C10" w14:paraId="299BCE84" w14:textId="77777777" w:rsidTr="00375F59">
        <w:trPr>
          <w:trHeight w:val="20"/>
          <w:jc w:val="center"/>
        </w:trPr>
        <w:tc>
          <w:tcPr>
            <w:tcW w:w="2059" w:type="pct"/>
            <w:tcBorders>
              <w:top w:val="single" w:sz="6" w:space="0" w:color="auto"/>
              <w:left w:val="single" w:sz="6" w:space="0" w:color="auto"/>
              <w:bottom w:val="single" w:sz="6" w:space="0" w:color="auto"/>
              <w:right w:val="single" w:sz="6" w:space="0" w:color="auto"/>
            </w:tcBorders>
            <w:shd w:val="clear" w:color="auto" w:fill="auto"/>
            <w:vAlign w:val="center"/>
          </w:tcPr>
          <w:p w14:paraId="46AC371C"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Pentan</w:t>
            </w:r>
          </w:p>
        </w:tc>
        <w:tc>
          <w:tcPr>
            <w:tcW w:w="1919" w:type="pct"/>
            <w:tcBorders>
              <w:top w:val="single" w:sz="6" w:space="0" w:color="auto"/>
              <w:left w:val="single" w:sz="6" w:space="0" w:color="auto"/>
              <w:bottom w:val="single" w:sz="6" w:space="0" w:color="auto"/>
              <w:right w:val="single" w:sz="6" w:space="0" w:color="auto"/>
            </w:tcBorders>
            <w:shd w:val="clear" w:color="auto" w:fill="auto"/>
          </w:tcPr>
          <w:p w14:paraId="57CB0E5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1022" w:type="pct"/>
            <w:tcBorders>
              <w:top w:val="single" w:sz="6" w:space="0" w:color="auto"/>
              <w:left w:val="single" w:sz="6" w:space="0" w:color="auto"/>
              <w:bottom w:val="single" w:sz="6" w:space="0" w:color="auto"/>
              <w:right w:val="single" w:sz="6" w:space="0" w:color="auto"/>
            </w:tcBorders>
            <w:shd w:val="clear" w:color="auto" w:fill="auto"/>
          </w:tcPr>
          <w:p w14:paraId="23F2831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0,065</w:t>
            </w:r>
          </w:p>
        </w:tc>
      </w:tr>
      <w:tr w:rsidR="00172694" w:rsidRPr="00F50C10" w14:paraId="5AD9B6AD" w14:textId="77777777" w:rsidTr="00375F59">
        <w:trPr>
          <w:trHeight w:val="20"/>
          <w:jc w:val="center"/>
        </w:trPr>
        <w:tc>
          <w:tcPr>
            <w:tcW w:w="2059" w:type="pct"/>
            <w:tcBorders>
              <w:top w:val="single" w:sz="6" w:space="0" w:color="auto"/>
              <w:left w:val="single" w:sz="6" w:space="0" w:color="auto"/>
              <w:bottom w:val="single" w:sz="6" w:space="0" w:color="auto"/>
              <w:right w:val="single" w:sz="6" w:space="0" w:color="auto"/>
            </w:tcBorders>
            <w:shd w:val="clear" w:color="auto" w:fill="auto"/>
            <w:vAlign w:val="center"/>
          </w:tcPr>
          <w:p w14:paraId="594E6A87"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Soğutma suyu (kapalı devre)</w:t>
            </w:r>
          </w:p>
        </w:tc>
        <w:tc>
          <w:tcPr>
            <w:tcW w:w="1919" w:type="pct"/>
            <w:tcBorders>
              <w:top w:val="single" w:sz="6" w:space="0" w:color="auto"/>
              <w:left w:val="single" w:sz="6" w:space="0" w:color="auto"/>
              <w:bottom w:val="single" w:sz="6" w:space="0" w:color="auto"/>
              <w:right w:val="single" w:sz="6" w:space="0" w:color="auto"/>
            </w:tcBorders>
            <w:shd w:val="clear" w:color="auto" w:fill="auto"/>
          </w:tcPr>
          <w:p w14:paraId="3059AF4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1022" w:type="pct"/>
            <w:tcBorders>
              <w:top w:val="single" w:sz="6" w:space="0" w:color="auto"/>
              <w:left w:val="single" w:sz="6" w:space="0" w:color="auto"/>
              <w:bottom w:val="single" w:sz="6" w:space="0" w:color="auto"/>
              <w:right w:val="single" w:sz="6" w:space="0" w:color="auto"/>
            </w:tcBorders>
            <w:shd w:val="clear" w:color="auto" w:fill="auto"/>
          </w:tcPr>
          <w:p w14:paraId="7BA7439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17</w:t>
            </w:r>
          </w:p>
        </w:tc>
      </w:tr>
      <w:tr w:rsidR="00172694" w:rsidRPr="00F50C10" w14:paraId="6A53269C" w14:textId="77777777" w:rsidTr="00375F59">
        <w:trPr>
          <w:trHeight w:val="20"/>
          <w:jc w:val="center"/>
        </w:trPr>
        <w:tc>
          <w:tcPr>
            <w:tcW w:w="2059" w:type="pct"/>
            <w:tcBorders>
              <w:top w:val="single" w:sz="6" w:space="0" w:color="auto"/>
              <w:left w:val="single" w:sz="6" w:space="0" w:color="auto"/>
              <w:bottom w:val="single" w:sz="6" w:space="0" w:color="auto"/>
              <w:right w:val="single" w:sz="6" w:space="0" w:color="auto"/>
            </w:tcBorders>
            <w:shd w:val="clear" w:color="auto" w:fill="auto"/>
            <w:vAlign w:val="center"/>
          </w:tcPr>
          <w:p w14:paraId="6D41E030"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Proses suyu</w:t>
            </w:r>
          </w:p>
        </w:tc>
        <w:tc>
          <w:tcPr>
            <w:tcW w:w="1919" w:type="pct"/>
            <w:tcBorders>
              <w:top w:val="single" w:sz="6" w:space="0" w:color="auto"/>
              <w:left w:val="single" w:sz="6" w:space="0" w:color="auto"/>
              <w:bottom w:val="single" w:sz="6" w:space="0" w:color="auto"/>
              <w:right w:val="single" w:sz="6" w:space="0" w:color="auto"/>
            </w:tcBorders>
            <w:shd w:val="clear" w:color="auto" w:fill="auto"/>
          </w:tcPr>
          <w:p w14:paraId="13428D5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1022" w:type="pct"/>
            <w:tcBorders>
              <w:top w:val="single" w:sz="6" w:space="0" w:color="auto"/>
              <w:left w:val="single" w:sz="6" w:space="0" w:color="auto"/>
              <w:bottom w:val="single" w:sz="6" w:space="0" w:color="auto"/>
              <w:right w:val="single" w:sz="6" w:space="0" w:color="auto"/>
            </w:tcBorders>
            <w:shd w:val="clear" w:color="auto" w:fill="auto"/>
          </w:tcPr>
          <w:p w14:paraId="7B3639C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2,1</w:t>
            </w:r>
          </w:p>
        </w:tc>
      </w:tr>
      <w:tr w:rsidR="00172694" w:rsidRPr="00F50C10" w14:paraId="2DA2DEAD" w14:textId="77777777" w:rsidTr="00375F59">
        <w:trPr>
          <w:trHeight w:val="20"/>
          <w:jc w:val="center"/>
        </w:trPr>
        <w:tc>
          <w:tcPr>
            <w:tcW w:w="2059" w:type="pct"/>
            <w:tcBorders>
              <w:top w:val="single" w:sz="6" w:space="0" w:color="auto"/>
              <w:left w:val="single" w:sz="6" w:space="0" w:color="auto"/>
              <w:bottom w:val="single" w:sz="6" w:space="0" w:color="auto"/>
              <w:right w:val="single" w:sz="6" w:space="0" w:color="auto"/>
            </w:tcBorders>
            <w:shd w:val="clear" w:color="auto" w:fill="auto"/>
            <w:vAlign w:val="center"/>
          </w:tcPr>
          <w:p w14:paraId="12FD2C2E"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Azot</w:t>
            </w:r>
          </w:p>
        </w:tc>
        <w:tc>
          <w:tcPr>
            <w:tcW w:w="1919" w:type="pct"/>
            <w:tcBorders>
              <w:top w:val="single" w:sz="6" w:space="0" w:color="auto"/>
              <w:left w:val="single" w:sz="6" w:space="0" w:color="auto"/>
              <w:bottom w:val="single" w:sz="6" w:space="0" w:color="auto"/>
              <w:right w:val="single" w:sz="6" w:space="0" w:color="auto"/>
            </w:tcBorders>
            <w:shd w:val="clear" w:color="auto" w:fill="auto"/>
          </w:tcPr>
          <w:p w14:paraId="15949DB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1022" w:type="pct"/>
            <w:tcBorders>
              <w:top w:val="single" w:sz="6" w:space="0" w:color="auto"/>
              <w:left w:val="single" w:sz="6" w:space="0" w:color="auto"/>
              <w:bottom w:val="single" w:sz="6" w:space="0" w:color="auto"/>
              <w:right w:val="single" w:sz="6" w:space="0" w:color="auto"/>
            </w:tcBorders>
            <w:shd w:val="clear" w:color="auto" w:fill="auto"/>
          </w:tcPr>
          <w:p w14:paraId="0172D6B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0,01</w:t>
            </w:r>
          </w:p>
        </w:tc>
      </w:tr>
      <w:tr w:rsidR="00172694" w:rsidRPr="00F50C10" w14:paraId="6B2EE2D4" w14:textId="77777777" w:rsidTr="00375F59">
        <w:trPr>
          <w:trHeight w:val="20"/>
          <w:jc w:val="center"/>
        </w:trPr>
        <w:tc>
          <w:tcPr>
            <w:tcW w:w="2059" w:type="pct"/>
            <w:tcBorders>
              <w:top w:val="single" w:sz="6" w:space="0" w:color="auto"/>
              <w:left w:val="single" w:sz="6" w:space="0" w:color="auto"/>
              <w:bottom w:val="single" w:sz="6" w:space="0" w:color="auto"/>
              <w:right w:val="single" w:sz="6" w:space="0" w:color="auto"/>
            </w:tcBorders>
            <w:shd w:val="clear" w:color="auto" w:fill="auto"/>
            <w:vAlign w:val="center"/>
          </w:tcPr>
          <w:p w14:paraId="5C456A4A"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Katkı maddeleri</w:t>
            </w:r>
          </w:p>
        </w:tc>
        <w:tc>
          <w:tcPr>
            <w:tcW w:w="1919" w:type="pct"/>
            <w:tcBorders>
              <w:top w:val="single" w:sz="6" w:space="0" w:color="auto"/>
              <w:left w:val="single" w:sz="6" w:space="0" w:color="auto"/>
              <w:bottom w:val="single" w:sz="6" w:space="0" w:color="auto"/>
              <w:right w:val="single" w:sz="6" w:space="0" w:color="auto"/>
            </w:tcBorders>
            <w:shd w:val="clear" w:color="auto" w:fill="auto"/>
          </w:tcPr>
          <w:p w14:paraId="6E0B7D3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1022" w:type="pct"/>
            <w:tcBorders>
              <w:top w:val="single" w:sz="6" w:space="0" w:color="auto"/>
              <w:left w:val="single" w:sz="6" w:space="0" w:color="auto"/>
              <w:bottom w:val="single" w:sz="6" w:space="0" w:color="auto"/>
              <w:right w:val="single" w:sz="6" w:space="0" w:color="auto"/>
            </w:tcBorders>
            <w:shd w:val="clear" w:color="auto" w:fill="auto"/>
          </w:tcPr>
          <w:p w14:paraId="49D0D2A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0,03</w:t>
            </w:r>
          </w:p>
        </w:tc>
      </w:tr>
      <w:tr w:rsidR="00172694" w:rsidRPr="00F50C10" w14:paraId="23A97CE4" w14:textId="77777777" w:rsidTr="00375F5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14:paraId="00C0D0C3"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1. Depolamadan kaynaklanan emisyonlar dahil değildir.</w:t>
            </w:r>
          </w:p>
          <w:p w14:paraId="00157221"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2. Sudaki emisyon değerleri arıtmadan sonra ölçülür. Atık su arıtma tesisi, tesis içinde veya merkezi bir yerde olabilir.</w:t>
            </w:r>
          </w:p>
          <w:p w14:paraId="51C812B0"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lang w:val="tr-TR" w:eastAsia="tr-TR" w:bidi="tr-TR"/>
              </w:rPr>
              <w:t>3. Ton ürün başına kilogram olarak tehlikeli atık (işleme veya yakmaya) (kg/t).</w:t>
            </w:r>
          </w:p>
          <w:p w14:paraId="0381BFD8" w14:textId="64ADC572"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tr-TR" w:eastAsia="tr-TR"/>
              </w:rPr>
            </w:pPr>
            <w:r w:rsidRPr="00F50C10">
              <w:rPr>
                <w:rFonts w:eastAsia="Times New Roman" w:cs="Times New Roman"/>
                <w:i/>
                <w:iCs/>
                <w:szCs w:val="24"/>
                <w:lang w:val="tr-TR" w:eastAsia="tr-TR" w:bidi="tr-TR"/>
              </w:rPr>
              <w:t xml:space="preserve">4. Ton ürün başına kilogram cinsinden </w:t>
            </w:r>
            <w:r w:rsidR="002F28FC" w:rsidRPr="00F50C10">
              <w:rPr>
                <w:rFonts w:eastAsia="Times New Roman" w:cs="Times New Roman"/>
                <w:i/>
                <w:iCs/>
                <w:szCs w:val="24"/>
                <w:lang w:val="tr-TR" w:eastAsia="tr-TR" w:bidi="tr-TR"/>
              </w:rPr>
              <w:t>inert</w:t>
            </w:r>
            <w:r w:rsidRPr="00F50C10">
              <w:rPr>
                <w:rFonts w:eastAsia="Times New Roman" w:cs="Times New Roman"/>
                <w:i/>
                <w:iCs/>
                <w:szCs w:val="24"/>
                <w:lang w:val="tr-TR" w:eastAsia="tr-TR" w:bidi="tr-TR"/>
              </w:rPr>
              <w:t xml:space="preserve"> atık (atık sahasına) (kg/t).</w:t>
            </w:r>
          </w:p>
        </w:tc>
      </w:tr>
    </w:tbl>
    <w:p w14:paraId="3828EBE1" w14:textId="77777777" w:rsidR="00172694" w:rsidRPr="00F50C10" w:rsidRDefault="00172694" w:rsidP="000B206D">
      <w:pPr>
        <w:widowControl w:val="0"/>
        <w:numPr>
          <w:ilvl w:val="1"/>
          <w:numId w:val="19"/>
        </w:numPr>
        <w:autoSpaceDE w:val="0"/>
        <w:autoSpaceDN w:val="0"/>
        <w:adjustRightInd w:val="0"/>
        <w:spacing w:before="120" w:after="60" w:line="276" w:lineRule="auto"/>
        <w:jc w:val="left"/>
        <w:outlineLvl w:val="1"/>
        <w:rPr>
          <w:rFonts w:eastAsia="Arial" w:cs="Times New Roman"/>
          <w:b/>
          <w:bCs/>
          <w:szCs w:val="24"/>
          <w:lang w:val="tr-TR" w:bidi="tr-TR"/>
        </w:rPr>
      </w:pPr>
      <w:r w:rsidRPr="00F50C10">
        <w:rPr>
          <w:rFonts w:eastAsia="Arial" w:cs="Times New Roman"/>
          <w:b/>
          <w:bCs/>
          <w:szCs w:val="24"/>
          <w:lang w:val="tr-TR"/>
        </w:rPr>
        <w:t>Polivinil klorür (PVC)</w:t>
      </w:r>
      <w:r w:rsidRPr="00F50C10">
        <w:rPr>
          <w:rFonts w:eastAsia="Arial" w:cs="Times New Roman"/>
          <w:b/>
          <w:bCs/>
          <w:szCs w:val="24"/>
          <w:lang w:val="tr-TR" w:bidi="tr-TR"/>
        </w:rPr>
        <w:t xml:space="preserve"> üretimi için MET</w:t>
      </w:r>
    </w:p>
    <w:p w14:paraId="14EDE14B" w14:textId="797CA244"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rPr>
      </w:pPr>
      <w:r w:rsidRPr="00F50C10">
        <w:rPr>
          <w:rFonts w:eastAsia="Times New Roman" w:cs="Times New Roman"/>
          <w:b/>
          <w:szCs w:val="24"/>
          <w:lang w:val="tr-TR" w:eastAsia="tr-TR" w:bidi="tr-TR"/>
        </w:rPr>
        <w:t xml:space="preserve">MET </w:t>
      </w:r>
      <w:r w:rsidR="00F20D65" w:rsidRPr="00F50C10">
        <w:rPr>
          <w:rFonts w:eastAsia="Times New Roman" w:cs="Times New Roman"/>
          <w:b/>
          <w:szCs w:val="24"/>
          <w:lang w:val="tr-TR" w:eastAsia="tr-TR" w:bidi="tr-TR"/>
        </w:rPr>
        <w:t>1</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Sızıntıları ve sonucunda ortaya çıkan hava, toprak ve su kirliliğini önlemek üzere tasarlanmış ve bakımı yapılmış, vinil klorür monomer (VCM) besleme sto</w:t>
      </w:r>
      <w:r w:rsidR="007B5D8D" w:rsidRPr="00F50C10">
        <w:rPr>
          <w:rFonts w:eastAsia="Times New Roman" w:cs="Times New Roman"/>
          <w:bCs/>
          <w:szCs w:val="24"/>
          <w:lang w:val="tr-TR" w:eastAsia="tr-TR" w:bidi="tr-TR"/>
        </w:rPr>
        <w:t>ğu</w:t>
      </w:r>
      <w:r w:rsidRPr="00F50C10">
        <w:rPr>
          <w:rFonts w:eastAsia="Times New Roman" w:cs="Times New Roman"/>
          <w:bCs/>
          <w:szCs w:val="24"/>
          <w:lang w:val="tr-TR" w:eastAsia="tr-TR" w:bidi="tr-TR"/>
        </w:rPr>
        <w:t xml:space="preserve"> için uygun depolama tesisleri kullanılır. VCM aşağıdakilerde depolanır:</w:t>
      </w:r>
    </w:p>
    <w:p w14:paraId="04E8C9D3" w14:textId="77777777" w:rsidR="00172694" w:rsidRPr="00F50C10" w:rsidRDefault="00172694" w:rsidP="000B206D">
      <w:pPr>
        <w:widowControl w:val="0"/>
        <w:numPr>
          <w:ilvl w:val="0"/>
          <w:numId w:val="34"/>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atmosferik basınçta soğutulan tanklarda veya</w:t>
      </w:r>
    </w:p>
    <w:p w14:paraId="71935361" w14:textId="77777777" w:rsidR="00172694" w:rsidRPr="00F50C10" w:rsidRDefault="00172694" w:rsidP="000B206D">
      <w:pPr>
        <w:widowControl w:val="0"/>
        <w:numPr>
          <w:ilvl w:val="0"/>
          <w:numId w:val="34"/>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bidi="tr-TR"/>
        </w:rPr>
        <w:t>ortam sıcaklığında basınçlı tanklarda.</w:t>
      </w:r>
    </w:p>
    <w:p w14:paraId="3BF2A521" w14:textId="7F40D33C" w:rsidR="00172694" w:rsidRPr="00F50C10" w:rsidRDefault="00172694" w:rsidP="000B206D">
      <w:pPr>
        <w:widowControl w:val="0"/>
        <w:autoSpaceDE w:val="0"/>
        <w:autoSpaceDN w:val="0"/>
        <w:adjustRightInd w:val="0"/>
        <w:spacing w:before="240" w:after="60" w:line="276" w:lineRule="auto"/>
        <w:rPr>
          <w:rFonts w:eastAsia="Times New Roman" w:cs="Times New Roman"/>
          <w:szCs w:val="24"/>
          <w:lang w:val="tr-TR" w:eastAsia="tr-TR" w:bidi="tr-TR"/>
        </w:rPr>
      </w:pPr>
      <w:r w:rsidRPr="00F50C10">
        <w:rPr>
          <w:rFonts w:eastAsia="Times New Roman" w:cs="Times New Roman"/>
          <w:szCs w:val="24"/>
          <w:lang w:val="tr-TR" w:eastAsia="tr-TR" w:bidi="tr-TR"/>
        </w:rPr>
        <w:t xml:space="preserve">Çıkış gazı, yalnızca fazlalık </w:t>
      </w:r>
      <w:r w:rsidR="00BA0AD2" w:rsidRPr="00F50C10">
        <w:rPr>
          <w:rFonts w:eastAsia="Times New Roman" w:cs="Times New Roman"/>
          <w:szCs w:val="24"/>
          <w:lang w:val="tr-TR" w:eastAsia="tr-TR" w:bidi="tr-TR"/>
        </w:rPr>
        <w:t>inert</w:t>
      </w:r>
      <w:r w:rsidRPr="00F50C10">
        <w:rPr>
          <w:rFonts w:eastAsia="Times New Roman" w:cs="Times New Roman"/>
          <w:szCs w:val="24"/>
          <w:lang w:val="tr-TR" w:eastAsia="tr-TR" w:bidi="tr-TR"/>
        </w:rPr>
        <w:t xml:space="preserve"> gaz (</w:t>
      </w:r>
      <w:r w:rsidR="00BA0AD2" w:rsidRPr="00F50C10">
        <w:rPr>
          <w:rFonts w:eastAsia="Times New Roman" w:cs="Times New Roman"/>
          <w:szCs w:val="24"/>
          <w:lang w:val="tr-TR" w:eastAsia="tr-TR" w:bidi="tr-TR"/>
        </w:rPr>
        <w:t>genellikle</w:t>
      </w:r>
      <w:r w:rsidRPr="00F50C10">
        <w:rPr>
          <w:rFonts w:eastAsia="Times New Roman" w:cs="Times New Roman"/>
          <w:szCs w:val="24"/>
          <w:lang w:val="tr-TR" w:eastAsia="tr-TR" w:bidi="tr-TR"/>
        </w:rPr>
        <w:t xml:space="preserve"> azot) uygulandığında veya yükleme işlemlerinin buhar dönüşünden kaynaklanır. Tanklara aşağıdakiler sağlanarak emisyonlar önlenir:</w:t>
      </w:r>
    </w:p>
    <w:p w14:paraId="66B5A440" w14:textId="77777777" w:rsidR="00172694" w:rsidRPr="00F50C10" w:rsidRDefault="00172694" w:rsidP="000B206D">
      <w:pPr>
        <w:widowControl w:val="0"/>
        <w:numPr>
          <w:ilvl w:val="0"/>
          <w:numId w:val="35"/>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soğutmalı geri akış yoğunlaştırıcıları ve/veya</w:t>
      </w:r>
    </w:p>
    <w:p w14:paraId="616B0D1B" w14:textId="77777777" w:rsidR="00172694" w:rsidRPr="00F50C10" w:rsidRDefault="00172694" w:rsidP="000B206D">
      <w:pPr>
        <w:widowControl w:val="0"/>
        <w:numPr>
          <w:ilvl w:val="0"/>
          <w:numId w:val="35"/>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VCM geri kazanım sistemine veya uygun havalandırma arıtma ekipmanlarına bağlantı.</w:t>
      </w:r>
    </w:p>
    <w:p w14:paraId="1F8699D7" w14:textId="46EACFBB" w:rsidR="00F20D65" w:rsidRPr="00F50C10" w:rsidRDefault="00F20D65"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2.4.1 Kısmını inceleyiniz.)</w:t>
        </w:r>
      </w:hyperlink>
    </w:p>
    <w:p w14:paraId="62E2A730" w14:textId="3D6A1492"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rPr>
      </w:pPr>
      <w:r w:rsidRPr="00F50C10">
        <w:rPr>
          <w:rFonts w:eastAsia="Times New Roman" w:cs="Times New Roman"/>
          <w:b/>
          <w:szCs w:val="24"/>
          <w:lang w:val="tr-TR" w:eastAsia="tr-TR" w:bidi="tr-TR"/>
        </w:rPr>
        <w:t xml:space="preserve">MET </w:t>
      </w:r>
      <w:r w:rsidR="00F20D65" w:rsidRPr="00F50C10">
        <w:rPr>
          <w:rFonts w:eastAsia="Times New Roman" w:cs="Times New Roman"/>
          <w:b/>
          <w:szCs w:val="24"/>
          <w:lang w:val="tr-TR" w:eastAsia="tr-TR" w:bidi="tr-TR"/>
        </w:rPr>
        <w:t>2</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VCM boşaltma için, bağlantılardan kaynaklanan emisyonlar aşağıdaki tekniklerden birini kullanarak önlenir:</w:t>
      </w:r>
    </w:p>
    <w:p w14:paraId="2C34C93C" w14:textId="77777777" w:rsidR="00172694" w:rsidRPr="00F50C10" w:rsidRDefault="00172694" w:rsidP="000B206D">
      <w:pPr>
        <w:widowControl w:val="0"/>
        <w:numPr>
          <w:ilvl w:val="0"/>
          <w:numId w:val="36"/>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buhar denge hatlarının kullanımı,</w:t>
      </w:r>
    </w:p>
    <w:p w14:paraId="0018D2C0" w14:textId="2C8F2DB6" w:rsidR="00172694" w:rsidRPr="00F50C10" w:rsidRDefault="00172694" w:rsidP="000B206D">
      <w:pPr>
        <w:widowControl w:val="0"/>
        <w:numPr>
          <w:ilvl w:val="0"/>
          <w:numId w:val="36"/>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bidi="tr-TR"/>
        </w:rPr>
        <w:t>ayırmadan önce bağlantılardan VCM tahliyesi ve arıtımı</w:t>
      </w:r>
      <w:r w:rsidR="007B5D8D" w:rsidRPr="00F50C10">
        <w:rPr>
          <w:rFonts w:eastAsia="Times New Roman" w:cs="Times New Roman"/>
          <w:szCs w:val="24"/>
          <w:lang w:val="tr-TR" w:bidi="tr-TR"/>
        </w:rPr>
        <w:t>.</w:t>
      </w:r>
    </w:p>
    <w:p w14:paraId="0202A1FD" w14:textId="48914E82" w:rsidR="00F20D65" w:rsidRPr="00F50C10" w:rsidRDefault="00F20D65"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2.4.2 Kısmını inceleyiniz.)</w:t>
        </w:r>
      </w:hyperlink>
    </w:p>
    <w:p w14:paraId="5359BBF5" w14:textId="29A40746"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rPr>
      </w:pPr>
      <w:r w:rsidRPr="00F50C10">
        <w:rPr>
          <w:rFonts w:eastAsia="Times New Roman" w:cs="Times New Roman"/>
          <w:b/>
          <w:szCs w:val="24"/>
          <w:lang w:val="tr-TR" w:eastAsia="tr-TR" w:bidi="tr-TR"/>
        </w:rPr>
        <w:t xml:space="preserve">MET </w:t>
      </w:r>
      <w:r w:rsidR="00F20D65" w:rsidRPr="00F50C10">
        <w:rPr>
          <w:rFonts w:eastAsia="Times New Roman" w:cs="Times New Roman"/>
          <w:b/>
          <w:szCs w:val="24"/>
          <w:lang w:val="tr-TR" w:eastAsia="tr-TR" w:bidi="tr-TR"/>
        </w:rPr>
        <w:t>3</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Reaktörlerden kaynaklanan artık VCM emisyonları aşağıdaki veya eşdeğer tekniklerin uygun bir kombinasyonu kullan</w:t>
      </w:r>
      <w:r w:rsidR="007B5D8D" w:rsidRPr="00F50C10">
        <w:rPr>
          <w:rFonts w:eastAsia="Times New Roman" w:cs="Times New Roman"/>
          <w:bCs/>
          <w:szCs w:val="24"/>
          <w:lang w:val="tr-TR" w:eastAsia="tr-TR" w:bidi="tr-TR"/>
        </w:rPr>
        <w:t>ıl</w:t>
      </w:r>
      <w:r w:rsidRPr="00F50C10">
        <w:rPr>
          <w:rFonts w:eastAsia="Times New Roman" w:cs="Times New Roman"/>
          <w:bCs/>
          <w:szCs w:val="24"/>
          <w:lang w:val="tr-TR" w:eastAsia="tr-TR" w:bidi="tr-TR"/>
        </w:rPr>
        <w:t>arak azaltı</w:t>
      </w:r>
      <w:r w:rsidR="007B5D8D" w:rsidRPr="00F50C10">
        <w:rPr>
          <w:rFonts w:eastAsia="Times New Roman" w:cs="Times New Roman"/>
          <w:bCs/>
          <w:szCs w:val="24"/>
          <w:lang w:val="tr-TR" w:eastAsia="tr-TR" w:bidi="tr-TR"/>
        </w:rPr>
        <w:t>lı</w:t>
      </w:r>
      <w:r w:rsidRPr="00F50C10">
        <w:rPr>
          <w:rFonts w:eastAsia="Times New Roman" w:cs="Times New Roman"/>
          <w:bCs/>
          <w:szCs w:val="24"/>
          <w:lang w:val="tr-TR" w:eastAsia="tr-TR" w:bidi="tr-TR"/>
        </w:rPr>
        <w:t xml:space="preserve">r: </w:t>
      </w:r>
    </w:p>
    <w:p w14:paraId="348C864A" w14:textId="77777777" w:rsidR="00172694" w:rsidRPr="00F50C10" w:rsidRDefault="00172694" w:rsidP="000B206D">
      <w:pPr>
        <w:widowControl w:val="0"/>
        <w:numPr>
          <w:ilvl w:val="0"/>
          <w:numId w:val="37"/>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reaktörlerin açılma sıklığının azaltılması,</w:t>
      </w:r>
    </w:p>
    <w:p w14:paraId="0E0895A9" w14:textId="77777777" w:rsidR="00172694" w:rsidRPr="00F50C10" w:rsidRDefault="00172694" w:rsidP="000B206D">
      <w:pPr>
        <w:widowControl w:val="0"/>
        <w:numPr>
          <w:ilvl w:val="0"/>
          <w:numId w:val="37"/>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havayı VCM geri kazanım birimine yönlendirerek reaktörün basıncının giderilmesi,</w:t>
      </w:r>
    </w:p>
    <w:p w14:paraId="7A622086" w14:textId="77777777" w:rsidR="00172694" w:rsidRPr="00F50C10" w:rsidRDefault="00172694" w:rsidP="000B206D">
      <w:pPr>
        <w:widowControl w:val="0"/>
        <w:numPr>
          <w:ilvl w:val="0"/>
          <w:numId w:val="37"/>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sıvı içeriğin kapalı kaplara boşaltılması,</w:t>
      </w:r>
    </w:p>
    <w:p w14:paraId="2186B45C" w14:textId="77777777" w:rsidR="00172694" w:rsidRPr="00F50C10" w:rsidRDefault="00172694" w:rsidP="000B206D">
      <w:pPr>
        <w:widowControl w:val="0"/>
        <w:numPr>
          <w:ilvl w:val="0"/>
          <w:numId w:val="37"/>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reaktörün su ile durulanması ve temizlenmesi,</w:t>
      </w:r>
    </w:p>
    <w:p w14:paraId="47C1F4AE" w14:textId="77777777" w:rsidR="00172694" w:rsidRPr="00F50C10" w:rsidRDefault="00172694" w:rsidP="000B206D">
      <w:pPr>
        <w:widowControl w:val="0"/>
        <w:numPr>
          <w:ilvl w:val="0"/>
          <w:numId w:val="37"/>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bu suyun sıyırma sistemine boşaltılması,</w:t>
      </w:r>
    </w:p>
    <w:p w14:paraId="76D48715" w14:textId="73DA9DE2" w:rsidR="00172694" w:rsidRPr="00F50C10" w:rsidRDefault="00172694" w:rsidP="000B206D">
      <w:pPr>
        <w:widowControl w:val="0"/>
        <w:numPr>
          <w:ilvl w:val="0"/>
          <w:numId w:val="37"/>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bidi="tr-TR"/>
        </w:rPr>
        <w:t xml:space="preserve">gazların VCM geri kazanım birimine aktarılmasıyla, eser miktarda kalan VCM’yi gidermek için reaktörün </w:t>
      </w:r>
      <w:r w:rsidR="000D629C" w:rsidRPr="00F50C10">
        <w:rPr>
          <w:rFonts w:eastAsia="Times New Roman" w:cs="Times New Roman"/>
          <w:szCs w:val="24"/>
          <w:lang w:val="tr-TR" w:bidi="tr-TR"/>
        </w:rPr>
        <w:t>inert</w:t>
      </w:r>
      <w:r w:rsidRPr="00F50C10">
        <w:rPr>
          <w:rFonts w:eastAsia="Times New Roman" w:cs="Times New Roman"/>
          <w:szCs w:val="24"/>
          <w:lang w:val="tr-TR" w:bidi="tr-TR"/>
        </w:rPr>
        <w:t xml:space="preserve"> gazla buharlanması ve/veya yıkanması.</w:t>
      </w:r>
    </w:p>
    <w:p w14:paraId="524F2298" w14:textId="77777777"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rPr>
      </w:pPr>
      <w:r w:rsidRPr="00F50C10">
        <w:rPr>
          <w:rFonts w:eastAsia="Times New Roman" w:cs="Times New Roman"/>
          <w:szCs w:val="24"/>
          <w:lang w:val="tr-TR" w:eastAsia="tr-TR" w:bidi="tr-TR"/>
        </w:rPr>
        <w:t>Havalandırma işlemi sırasında, köpüklenmeyi kontrol etmek ve köpüğün otoklavdan çıkmasını önlemek için özel dikkat göstermek gerekir. Bu, bilgisayar yoluyla vana açma hızının kontrolünün dikkatli bir şekilde yürütülmesiyle gerçekleştirilir. Havalandırma sırasında, kimyasal köpük gidericilerin eklenmesiyle de köpüklenme sınırlandırılır. Emülsiyon PVC (EPVC) tesislerinde, havalandırma sırasında reaktörden çıkan lateksi yakalamak ve kapalı bir kapta tutmak için sistemler mevcut olmalıdır; bu lateks ya lateks ya da atık su sıyırma sistemlerine beslenir.</w:t>
      </w:r>
    </w:p>
    <w:p w14:paraId="3620F0F3" w14:textId="5A1B945F" w:rsidR="00F20D65" w:rsidRPr="00F50C10" w:rsidRDefault="00F20D65"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2.4.3 Kısmını inceleyiniz.)</w:t>
        </w:r>
      </w:hyperlink>
    </w:p>
    <w:p w14:paraId="40EF05B3" w14:textId="14B7C0EE"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
          <w:szCs w:val="24"/>
          <w:lang w:val="tr-TR" w:eastAsia="tr-TR" w:bidi="tr-TR"/>
        </w:rPr>
        <w:t xml:space="preserve">MET </w:t>
      </w:r>
      <w:r w:rsidR="00F20D65" w:rsidRPr="00F50C10">
        <w:rPr>
          <w:rFonts w:eastAsia="Times New Roman" w:cs="Times New Roman"/>
          <w:b/>
          <w:szCs w:val="24"/>
          <w:lang w:val="tr-TR" w:eastAsia="tr-TR" w:bidi="tr-TR"/>
        </w:rPr>
        <w:t>4</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Düşük VCM içeriği elde etmek amacıyla süspansiyon veya latekse sıyırma uygulanır</w:t>
      </w:r>
      <w:r w:rsidR="004479F4" w:rsidRPr="00F50C10">
        <w:rPr>
          <w:rFonts w:eastAsia="Times New Roman" w:cs="Times New Roman"/>
          <w:b/>
          <w:szCs w:val="24"/>
          <w:lang w:val="tr-TR" w:eastAsia="tr-TR" w:bidi="tr-TR"/>
        </w:rPr>
        <w:t>.</w:t>
      </w:r>
      <w:r w:rsidRPr="00F50C10">
        <w:rPr>
          <w:rFonts w:eastAsia="Times New Roman" w:cs="Times New Roman"/>
          <w:b/>
          <w:szCs w:val="24"/>
          <w:lang w:val="tr-TR" w:eastAsia="tr-TR" w:bidi="tr-TR"/>
        </w:rPr>
        <w:t xml:space="preserve"> </w:t>
      </w:r>
    </w:p>
    <w:p w14:paraId="2CBA6DC2" w14:textId="422349AE"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rPr>
      </w:pPr>
      <w:r w:rsidRPr="00F50C10">
        <w:rPr>
          <w:rFonts w:eastAsia="Times New Roman" w:cs="Times New Roman"/>
          <w:szCs w:val="24"/>
          <w:lang w:val="tr-TR" w:eastAsia="tr-TR" w:bidi="tr-TR"/>
        </w:rPr>
        <w:t>Sıcaklık, basınç ve kalma süresinin uygun bir kombinasyonu ve serbest lateks yüzeyinin toplam lateks hacmine oranının en üst düzeye çıkarılması, yüksek verim elde edilmesinde temel unsurlardır.</w:t>
      </w:r>
    </w:p>
    <w:p w14:paraId="05B82B7A" w14:textId="4685610F" w:rsidR="00F20D65" w:rsidRPr="00F50C10" w:rsidRDefault="00F20D65"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2.4.4 Kısmını inceleyiniz.)</w:t>
        </w:r>
      </w:hyperlink>
    </w:p>
    <w:p w14:paraId="07117B21" w14:textId="68711C49"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rPr>
      </w:pPr>
      <w:r w:rsidRPr="00F50C10">
        <w:rPr>
          <w:rFonts w:eastAsia="Times New Roman" w:cs="Times New Roman"/>
          <w:b/>
          <w:szCs w:val="24"/>
          <w:lang w:val="tr-TR" w:eastAsia="tr-TR" w:bidi="tr-TR"/>
        </w:rPr>
        <w:t xml:space="preserve">MET </w:t>
      </w:r>
      <w:r w:rsidR="00F20D65" w:rsidRPr="00F50C10">
        <w:rPr>
          <w:rFonts w:eastAsia="Times New Roman" w:cs="Times New Roman"/>
          <w:b/>
          <w:szCs w:val="24"/>
          <w:lang w:val="tr-TR" w:eastAsia="tr-TR" w:bidi="tr-TR"/>
        </w:rPr>
        <w:t>5</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 xml:space="preserve">PVC üretimi için, aşağıdakilerin bir kombinasyonu kullanılır: </w:t>
      </w:r>
    </w:p>
    <w:p w14:paraId="44AD57B0" w14:textId="77777777" w:rsidR="00172694" w:rsidRPr="00F50C10" w:rsidRDefault="00172694" w:rsidP="000B206D">
      <w:pPr>
        <w:widowControl w:val="0"/>
        <w:numPr>
          <w:ilvl w:val="0"/>
          <w:numId w:val="38"/>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sıyırma,</w:t>
      </w:r>
    </w:p>
    <w:p w14:paraId="4909C557" w14:textId="77777777" w:rsidR="00172694" w:rsidRPr="00F50C10" w:rsidRDefault="00172694" w:rsidP="000B206D">
      <w:pPr>
        <w:widowControl w:val="0"/>
        <w:numPr>
          <w:ilvl w:val="0"/>
          <w:numId w:val="38"/>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flokülasyon (topaklaştırma),</w:t>
      </w:r>
    </w:p>
    <w:p w14:paraId="16E4829C" w14:textId="65E9DA8A" w:rsidR="00172694" w:rsidRPr="00F50C10" w:rsidRDefault="00172694" w:rsidP="000B206D">
      <w:pPr>
        <w:widowControl w:val="0"/>
        <w:numPr>
          <w:ilvl w:val="0"/>
          <w:numId w:val="38"/>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bidi="tr-TR"/>
        </w:rPr>
        <w:t>biyolojik atık su arıtma</w:t>
      </w:r>
      <w:r w:rsidR="00BA0AD2" w:rsidRPr="00F50C10">
        <w:rPr>
          <w:rFonts w:eastAsia="Times New Roman" w:cs="Times New Roman"/>
          <w:szCs w:val="24"/>
          <w:lang w:val="tr-TR" w:bidi="tr-TR"/>
        </w:rPr>
        <w:t>.</w:t>
      </w:r>
      <w:r w:rsidRPr="00F50C10">
        <w:rPr>
          <w:rFonts w:eastAsia="Times New Roman" w:cs="Times New Roman"/>
          <w:szCs w:val="24"/>
          <w:lang w:val="tr-TR" w:bidi="tr-TR"/>
        </w:rPr>
        <w:t xml:space="preserve"> </w:t>
      </w:r>
    </w:p>
    <w:p w14:paraId="500019E2" w14:textId="5E4CE8A0" w:rsidR="00F20D65" w:rsidRPr="00F50C10" w:rsidRDefault="00F20D65"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2.1.18 Kısmını inceleyiniz.)</w:t>
        </w:r>
      </w:hyperlink>
    </w:p>
    <w:p w14:paraId="577352A4" w14:textId="565714B4"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rPr>
      </w:pPr>
      <w:r w:rsidRPr="00F50C10">
        <w:rPr>
          <w:rFonts w:eastAsia="Times New Roman" w:cs="Times New Roman"/>
          <w:b/>
          <w:szCs w:val="24"/>
          <w:lang w:val="tr-TR" w:eastAsia="tr-TR" w:bidi="tr-TR"/>
        </w:rPr>
        <w:t xml:space="preserve">MET </w:t>
      </w:r>
      <w:r w:rsidR="00F20D65" w:rsidRPr="00F50C10">
        <w:rPr>
          <w:rFonts w:eastAsia="Times New Roman" w:cs="Times New Roman"/>
          <w:b/>
          <w:szCs w:val="24"/>
          <w:lang w:val="tr-TR" w:eastAsia="tr-TR" w:bidi="tr-TR"/>
        </w:rPr>
        <w:t>6</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Kurutma işleminden kaynaklanan toz emisyonları önlen</w:t>
      </w:r>
      <w:r w:rsidR="004479F4" w:rsidRPr="00F50C10">
        <w:rPr>
          <w:rFonts w:eastAsia="Times New Roman" w:cs="Times New Roman"/>
          <w:bCs/>
          <w:szCs w:val="24"/>
          <w:lang w:val="tr-TR" w:eastAsia="tr-TR" w:bidi="tr-TR"/>
        </w:rPr>
        <w:t>ir</w:t>
      </w:r>
      <w:r w:rsidRPr="00F50C10">
        <w:rPr>
          <w:rFonts w:eastAsia="Times New Roman" w:cs="Times New Roman"/>
          <w:bCs/>
          <w:szCs w:val="24"/>
          <w:lang w:val="tr-TR" w:eastAsia="tr-TR" w:bidi="tr-TR"/>
        </w:rPr>
        <w:t>.</w:t>
      </w:r>
      <w:r w:rsidRPr="00F50C10">
        <w:rPr>
          <w:rFonts w:eastAsia="Times New Roman" w:cs="Times New Roman"/>
          <w:b/>
          <w:szCs w:val="24"/>
          <w:lang w:val="tr-TR" w:eastAsia="tr-TR" w:bidi="tr-TR"/>
        </w:rPr>
        <w:t xml:space="preserve"> </w:t>
      </w:r>
    </w:p>
    <w:p w14:paraId="7E3651B7" w14:textId="77777777"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rPr>
      </w:pPr>
      <w:r w:rsidRPr="00F50C10">
        <w:rPr>
          <w:rFonts w:eastAsia="Times New Roman" w:cs="Times New Roman"/>
          <w:szCs w:val="24"/>
          <w:lang w:val="tr-TR" w:eastAsia="tr-TR" w:bidi="tr-TR"/>
        </w:rPr>
        <w:t>Emülsiyon ve süspansiyon PVC arasındaki partikül boyutu farkı nedeniyle, aşağıdaki gibi çeşitli teknikler MET olarak kabul edilir:</w:t>
      </w:r>
    </w:p>
    <w:p w14:paraId="04E9C827" w14:textId="6A90C6E6" w:rsidR="00172694" w:rsidRPr="00F50C10" w:rsidRDefault="007B5D8D" w:rsidP="000B206D">
      <w:pPr>
        <w:widowControl w:val="0"/>
        <w:numPr>
          <w:ilvl w:val="0"/>
          <w:numId w:val="39"/>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E</w:t>
      </w:r>
      <w:r w:rsidR="00172694" w:rsidRPr="00F50C10">
        <w:rPr>
          <w:rFonts w:eastAsia="Times New Roman" w:cs="Times New Roman"/>
          <w:szCs w:val="24"/>
          <w:lang w:val="tr-TR" w:bidi="tr-TR"/>
        </w:rPr>
        <w:t xml:space="preserve">mülsiyon PVC için birden fazla </w:t>
      </w:r>
      <w:r w:rsidR="00F46576" w:rsidRPr="00F50C10">
        <w:rPr>
          <w:rFonts w:eastAsia="Times New Roman" w:cs="Times New Roman"/>
          <w:szCs w:val="24"/>
          <w:lang w:val="tr-TR" w:bidi="tr-TR"/>
        </w:rPr>
        <w:t>bez</w:t>
      </w:r>
      <w:r w:rsidR="00172694" w:rsidRPr="00F50C10">
        <w:rPr>
          <w:rFonts w:eastAsia="Times New Roman" w:cs="Times New Roman"/>
          <w:szCs w:val="24"/>
          <w:lang w:val="tr-TR" w:bidi="tr-TR"/>
        </w:rPr>
        <w:t xml:space="preserve"> filtre kullanıl</w:t>
      </w:r>
      <w:r w:rsidRPr="00F50C10">
        <w:rPr>
          <w:rFonts w:eastAsia="Times New Roman" w:cs="Times New Roman"/>
          <w:szCs w:val="24"/>
          <w:lang w:val="tr-TR" w:bidi="tr-TR"/>
        </w:rPr>
        <w:t>ır.</w:t>
      </w:r>
    </w:p>
    <w:p w14:paraId="17B03E96" w14:textId="7B052822" w:rsidR="00172694" w:rsidRPr="00F50C10" w:rsidRDefault="007B5D8D" w:rsidP="000B206D">
      <w:pPr>
        <w:widowControl w:val="0"/>
        <w:numPr>
          <w:ilvl w:val="0"/>
          <w:numId w:val="39"/>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M</w:t>
      </w:r>
      <w:r w:rsidR="00172694" w:rsidRPr="00F50C10">
        <w:rPr>
          <w:rFonts w:eastAsia="Times New Roman" w:cs="Times New Roman"/>
          <w:szCs w:val="24"/>
          <w:lang w:val="tr-TR" w:bidi="tr-TR"/>
        </w:rPr>
        <w:t xml:space="preserve">ikrosüspansiyon PVC için </w:t>
      </w:r>
      <w:r w:rsidR="00F46576" w:rsidRPr="00F50C10">
        <w:rPr>
          <w:rFonts w:eastAsia="Times New Roman" w:cs="Times New Roman"/>
          <w:szCs w:val="24"/>
          <w:lang w:val="tr-TR" w:bidi="tr-TR"/>
        </w:rPr>
        <w:t>bez</w:t>
      </w:r>
      <w:r w:rsidR="00172694" w:rsidRPr="00F50C10">
        <w:rPr>
          <w:rFonts w:eastAsia="Times New Roman" w:cs="Times New Roman"/>
          <w:szCs w:val="24"/>
          <w:lang w:val="tr-TR" w:bidi="tr-TR"/>
        </w:rPr>
        <w:t xml:space="preserve"> filtreler kullanıl</w:t>
      </w:r>
      <w:r w:rsidRPr="00F50C10">
        <w:rPr>
          <w:rFonts w:eastAsia="Times New Roman" w:cs="Times New Roman"/>
          <w:szCs w:val="24"/>
          <w:lang w:val="tr-TR" w:bidi="tr-TR"/>
        </w:rPr>
        <w:t>ı</w:t>
      </w:r>
      <w:r w:rsidR="00172694" w:rsidRPr="00F50C10">
        <w:rPr>
          <w:rFonts w:eastAsia="Times New Roman" w:cs="Times New Roman"/>
          <w:szCs w:val="24"/>
          <w:lang w:val="tr-TR" w:bidi="tr-TR"/>
        </w:rPr>
        <w:t>r.</w:t>
      </w:r>
    </w:p>
    <w:p w14:paraId="5F5DBFBB" w14:textId="0B6E6144" w:rsidR="00172694" w:rsidRPr="00F50C10" w:rsidRDefault="007B5D8D" w:rsidP="000B206D">
      <w:pPr>
        <w:widowControl w:val="0"/>
        <w:numPr>
          <w:ilvl w:val="0"/>
          <w:numId w:val="39"/>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bidi="tr-TR"/>
        </w:rPr>
        <w:t>S</w:t>
      </w:r>
      <w:r w:rsidR="00172694" w:rsidRPr="00F50C10">
        <w:rPr>
          <w:rFonts w:eastAsia="Times New Roman" w:cs="Times New Roman"/>
          <w:szCs w:val="24"/>
          <w:lang w:val="tr-TR" w:bidi="tr-TR"/>
        </w:rPr>
        <w:t>üspansiyon PVC için siklon</w:t>
      </w:r>
      <w:r w:rsidR="00BA0AD2" w:rsidRPr="00F50C10">
        <w:rPr>
          <w:rFonts w:eastAsia="Times New Roman" w:cs="Times New Roman"/>
          <w:szCs w:val="24"/>
          <w:lang w:val="tr-TR" w:bidi="tr-TR"/>
        </w:rPr>
        <w:t>lar</w:t>
      </w:r>
      <w:r w:rsidR="00172694" w:rsidRPr="00F50C10">
        <w:rPr>
          <w:rFonts w:eastAsia="Times New Roman" w:cs="Times New Roman"/>
          <w:szCs w:val="24"/>
          <w:lang w:val="tr-TR" w:bidi="tr-TR"/>
        </w:rPr>
        <w:t xml:space="preserve"> kullanılır.</w:t>
      </w:r>
    </w:p>
    <w:p w14:paraId="5D9C2A34" w14:textId="5B5B1866" w:rsidR="00F20D65" w:rsidRPr="00F50C10" w:rsidRDefault="00F20D65"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2.4.5 Kısmını inceleyiniz.)</w:t>
        </w:r>
      </w:hyperlink>
    </w:p>
    <w:p w14:paraId="2A914E77" w14:textId="65C224B7"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rPr>
      </w:pPr>
      <w:r w:rsidRPr="00F50C10">
        <w:rPr>
          <w:rFonts w:eastAsia="Times New Roman" w:cs="Times New Roman"/>
          <w:b/>
          <w:szCs w:val="24"/>
          <w:lang w:val="tr-TR" w:eastAsia="tr-TR" w:bidi="tr-TR"/>
        </w:rPr>
        <w:t xml:space="preserve">MET </w:t>
      </w:r>
      <w:r w:rsidR="00F20D65" w:rsidRPr="00F50C10">
        <w:rPr>
          <w:rFonts w:eastAsia="Times New Roman" w:cs="Times New Roman"/>
          <w:b/>
          <w:szCs w:val="24"/>
          <w:lang w:val="tr-TR" w:eastAsia="tr-TR" w:bidi="tr-TR"/>
        </w:rPr>
        <w:t>7</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Geri kazanım sisteminden kaynaklanan VCM emisyonları aşağıdaki tekniklerden bir veya daha fazlası ya da eşdeğer(ler)i</w:t>
      </w:r>
      <w:r w:rsidR="007B5D8D" w:rsidRPr="00F50C10">
        <w:rPr>
          <w:rFonts w:eastAsia="Times New Roman" w:cs="Times New Roman"/>
          <w:bCs/>
          <w:szCs w:val="24"/>
          <w:lang w:val="tr-TR" w:eastAsia="tr-TR" w:bidi="tr-TR"/>
        </w:rPr>
        <w:t xml:space="preserve"> </w:t>
      </w:r>
      <w:r w:rsidRPr="00F50C10">
        <w:rPr>
          <w:rFonts w:eastAsia="Times New Roman" w:cs="Times New Roman"/>
          <w:bCs/>
          <w:szCs w:val="24"/>
          <w:lang w:val="tr-TR" w:eastAsia="tr-TR" w:bidi="tr-TR"/>
        </w:rPr>
        <w:t>kullan</w:t>
      </w:r>
      <w:r w:rsidR="007B5D8D" w:rsidRPr="00F50C10">
        <w:rPr>
          <w:rFonts w:eastAsia="Times New Roman" w:cs="Times New Roman"/>
          <w:bCs/>
          <w:szCs w:val="24"/>
          <w:lang w:val="tr-TR" w:eastAsia="tr-TR" w:bidi="tr-TR"/>
        </w:rPr>
        <w:t>ıl</w:t>
      </w:r>
      <w:r w:rsidRPr="00F50C10">
        <w:rPr>
          <w:rFonts w:eastAsia="Times New Roman" w:cs="Times New Roman"/>
          <w:bCs/>
          <w:szCs w:val="24"/>
          <w:lang w:val="tr-TR" w:eastAsia="tr-TR" w:bidi="tr-TR"/>
        </w:rPr>
        <w:t>arak arıtılır</w:t>
      </w:r>
      <w:r w:rsidR="00197A46" w:rsidRPr="00F50C10">
        <w:rPr>
          <w:rFonts w:eastAsia="Times New Roman" w:cs="Times New Roman"/>
          <w:bCs/>
          <w:szCs w:val="24"/>
          <w:lang w:val="tr-TR" w:eastAsia="tr-TR" w:bidi="tr-TR"/>
        </w:rPr>
        <w:t>:</w:t>
      </w:r>
    </w:p>
    <w:p w14:paraId="237BE36E" w14:textId="77777777" w:rsidR="00172694" w:rsidRPr="00F50C10" w:rsidRDefault="00172694" w:rsidP="000B206D">
      <w:pPr>
        <w:widowControl w:val="0"/>
        <w:numPr>
          <w:ilvl w:val="0"/>
          <w:numId w:val="40"/>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absorpsiyon,</w:t>
      </w:r>
    </w:p>
    <w:p w14:paraId="62D0AF47" w14:textId="77777777" w:rsidR="00172694" w:rsidRPr="00F50C10" w:rsidRDefault="00172694" w:rsidP="000B206D">
      <w:pPr>
        <w:widowControl w:val="0"/>
        <w:numPr>
          <w:ilvl w:val="0"/>
          <w:numId w:val="40"/>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adsorpsiyon,</w:t>
      </w:r>
    </w:p>
    <w:p w14:paraId="7AE11918" w14:textId="77777777" w:rsidR="00172694" w:rsidRPr="00F50C10" w:rsidRDefault="00172694" w:rsidP="000B206D">
      <w:pPr>
        <w:widowControl w:val="0"/>
        <w:numPr>
          <w:ilvl w:val="0"/>
          <w:numId w:val="40"/>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katalitik oksitleme,</w:t>
      </w:r>
    </w:p>
    <w:p w14:paraId="288CB9E9" w14:textId="77777777" w:rsidR="00172694" w:rsidRPr="00F50C10" w:rsidRDefault="00172694" w:rsidP="000B206D">
      <w:pPr>
        <w:widowControl w:val="0"/>
        <w:numPr>
          <w:ilvl w:val="0"/>
          <w:numId w:val="40"/>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yakma.</w:t>
      </w:r>
    </w:p>
    <w:p w14:paraId="045838E0" w14:textId="56F21237" w:rsidR="00F20D65" w:rsidRPr="00F50C10" w:rsidRDefault="00F20D65"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2.4.6 Kısmını inceleyiniz.)</w:t>
        </w:r>
      </w:hyperlink>
    </w:p>
    <w:p w14:paraId="39C4F3CA" w14:textId="64076CD3"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rPr>
      </w:pPr>
      <w:r w:rsidRPr="00F50C10">
        <w:rPr>
          <w:rFonts w:eastAsia="Times New Roman" w:cs="Times New Roman"/>
          <w:b/>
          <w:szCs w:val="24"/>
          <w:lang w:val="tr-TR" w:eastAsia="tr-TR" w:bidi="tr-TR"/>
        </w:rPr>
        <w:t xml:space="preserve">MET </w:t>
      </w:r>
      <w:r w:rsidR="00F20D65" w:rsidRPr="00F50C10">
        <w:rPr>
          <w:rFonts w:eastAsia="Times New Roman" w:cs="Times New Roman"/>
          <w:b/>
          <w:szCs w:val="24"/>
          <w:lang w:val="tr-TR" w:eastAsia="tr-TR" w:bidi="tr-TR"/>
        </w:rPr>
        <w:t>8</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Teçhizat bağlantıları ve salmastralardan kaynaklanan kaçak VCM emisyonları önle</w:t>
      </w:r>
      <w:r w:rsidR="007B5D8D" w:rsidRPr="00F50C10">
        <w:rPr>
          <w:rFonts w:eastAsia="Times New Roman" w:cs="Times New Roman"/>
          <w:bCs/>
          <w:szCs w:val="24"/>
          <w:lang w:val="tr-TR" w:eastAsia="tr-TR" w:bidi="tr-TR"/>
        </w:rPr>
        <w:t>nir</w:t>
      </w:r>
      <w:r w:rsidRPr="00F50C10">
        <w:rPr>
          <w:rFonts w:eastAsia="Times New Roman" w:cs="Times New Roman"/>
          <w:bCs/>
          <w:szCs w:val="24"/>
          <w:lang w:val="tr-TR" w:eastAsia="tr-TR" w:bidi="tr-TR"/>
        </w:rPr>
        <w:t xml:space="preserve"> ve kontrol edil</w:t>
      </w:r>
      <w:r w:rsidR="007B5D8D" w:rsidRPr="00F50C10">
        <w:rPr>
          <w:rFonts w:eastAsia="Times New Roman" w:cs="Times New Roman"/>
          <w:bCs/>
          <w:szCs w:val="24"/>
          <w:lang w:val="tr-TR" w:eastAsia="tr-TR" w:bidi="tr-TR"/>
        </w:rPr>
        <w:t>ir.</w:t>
      </w:r>
    </w:p>
    <w:p w14:paraId="53C9658C" w14:textId="58CBCD5A"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bidi="tr-TR"/>
        </w:rPr>
      </w:pPr>
      <w:r w:rsidRPr="00F50C10">
        <w:rPr>
          <w:rFonts w:eastAsia="Times New Roman" w:cs="Times New Roman"/>
          <w:szCs w:val="24"/>
          <w:lang w:val="tr-TR" w:eastAsia="tr-TR" w:bidi="tr-TR"/>
        </w:rPr>
        <w:t>Emisyonlar yeterli işletim, etkili 'sızıntısız' teçhizat seçimi, VCM izleme sistemlerinin kurulması ve ilgili tüm contaların bütünlüğünün kontrol edildiği rutin inceleme ile en aza indirilir. Tespit ve onarım programları, tesislerin sağlık, güvenlik ve çevre yönetim sistemlerinin bir parçasıdır. Bu eylemler aynı zamanda tesis personelinin sağlığını korumak için gereken düşük maruziyet seviyesine ulaşmak için de gereklidir.</w:t>
      </w:r>
    </w:p>
    <w:p w14:paraId="70498B8A" w14:textId="77777777"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rPr>
      </w:pPr>
      <w:r w:rsidRPr="00F50C10">
        <w:rPr>
          <w:rFonts w:eastAsia="Times New Roman" w:cs="Times New Roman"/>
          <w:szCs w:val="24"/>
          <w:lang w:val="tr-TR" w:eastAsia="tr-TR" w:bidi="tr-TR"/>
        </w:rPr>
        <w:t>ECVM aşağıdakiler için referans metodolojiler geliştirmiştir:</w:t>
      </w:r>
    </w:p>
    <w:p w14:paraId="507B2B9C" w14:textId="77777777" w:rsidR="00172694" w:rsidRPr="00F50C10" w:rsidRDefault="00172694" w:rsidP="000B206D">
      <w:pPr>
        <w:widowControl w:val="0"/>
        <w:numPr>
          <w:ilvl w:val="0"/>
          <w:numId w:val="41"/>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kaçak emisyonların ölçümü ve kontrolü,</w:t>
      </w:r>
    </w:p>
    <w:p w14:paraId="2044F0E4" w14:textId="77777777" w:rsidR="00172694" w:rsidRPr="00F50C10" w:rsidRDefault="00172694" w:rsidP="000B206D">
      <w:pPr>
        <w:widowControl w:val="0"/>
        <w:numPr>
          <w:ilvl w:val="0"/>
          <w:numId w:val="41"/>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bidi="tr-TR"/>
        </w:rPr>
        <w:t>gaz tutuculardan kaynaklanan emisyonların değerlendirilmesi.</w:t>
      </w:r>
    </w:p>
    <w:p w14:paraId="7E4333D1" w14:textId="20B44BB4" w:rsidR="00F20D65" w:rsidRPr="00F50C10" w:rsidRDefault="00F20D65"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2.4.7 Kısmını inceleyiniz.)</w:t>
        </w:r>
      </w:hyperlink>
    </w:p>
    <w:p w14:paraId="0FDA1FEA" w14:textId="0BE6CD85"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rPr>
      </w:pPr>
      <w:r w:rsidRPr="00F50C10">
        <w:rPr>
          <w:rFonts w:eastAsia="Times New Roman" w:cs="Times New Roman"/>
          <w:b/>
          <w:szCs w:val="24"/>
          <w:lang w:val="tr-TR" w:eastAsia="tr-TR" w:bidi="tr-TR"/>
        </w:rPr>
        <w:t xml:space="preserve">MET </w:t>
      </w:r>
      <w:r w:rsidR="00F20D65" w:rsidRPr="00F50C10">
        <w:rPr>
          <w:rFonts w:eastAsia="Times New Roman" w:cs="Times New Roman"/>
          <w:b/>
          <w:szCs w:val="24"/>
          <w:lang w:val="tr-TR" w:eastAsia="tr-TR" w:bidi="tr-TR"/>
        </w:rPr>
        <w:t>9</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Polimerizasyon reaktörlerinden kaynaklanan rastgele VCM emisyonları aşağıdaki tekniklerden bir veya daha fazlası ya da eşdeğer(ler)i kullan</w:t>
      </w:r>
      <w:r w:rsidR="00BA2696" w:rsidRPr="00F50C10">
        <w:rPr>
          <w:rFonts w:eastAsia="Times New Roman" w:cs="Times New Roman"/>
          <w:bCs/>
          <w:szCs w:val="24"/>
          <w:lang w:val="tr-TR" w:eastAsia="tr-TR" w:bidi="tr-TR"/>
        </w:rPr>
        <w:t>ıl</w:t>
      </w:r>
      <w:r w:rsidRPr="00F50C10">
        <w:rPr>
          <w:rFonts w:eastAsia="Times New Roman" w:cs="Times New Roman"/>
          <w:bCs/>
          <w:szCs w:val="24"/>
          <w:lang w:val="tr-TR" w:eastAsia="tr-TR" w:bidi="tr-TR"/>
        </w:rPr>
        <w:t>arak önlen</w:t>
      </w:r>
      <w:r w:rsidR="00BA2696" w:rsidRPr="00F50C10">
        <w:rPr>
          <w:rFonts w:eastAsia="Times New Roman" w:cs="Times New Roman"/>
          <w:bCs/>
          <w:szCs w:val="24"/>
          <w:lang w:val="tr-TR" w:eastAsia="tr-TR" w:bidi="tr-TR"/>
        </w:rPr>
        <w:t>ir</w:t>
      </w:r>
      <w:r w:rsidR="00197A46" w:rsidRPr="00F50C10">
        <w:rPr>
          <w:rFonts w:eastAsia="Times New Roman" w:cs="Times New Roman"/>
          <w:bCs/>
          <w:szCs w:val="24"/>
          <w:lang w:val="tr-TR" w:eastAsia="tr-TR" w:bidi="tr-TR"/>
        </w:rPr>
        <w:t>:</w:t>
      </w:r>
    </w:p>
    <w:p w14:paraId="3E07199E" w14:textId="3D30CB0B" w:rsidR="00172694" w:rsidRPr="00F50C10" w:rsidRDefault="00172694" w:rsidP="000B206D">
      <w:pPr>
        <w:widowControl w:val="0"/>
        <w:numPr>
          <w:ilvl w:val="0"/>
          <w:numId w:val="42"/>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 xml:space="preserve">reaktör beslemeleri ve çalışma koşulları için özel kontrol </w:t>
      </w:r>
      <w:r w:rsidR="00BA2696" w:rsidRPr="00F50C10">
        <w:rPr>
          <w:rFonts w:eastAsia="Times New Roman" w:cs="Times New Roman"/>
          <w:szCs w:val="24"/>
          <w:lang w:val="tr-TR" w:bidi="tr-TR"/>
        </w:rPr>
        <w:t>sistemleri</w:t>
      </w:r>
      <w:r w:rsidRPr="00F50C10">
        <w:rPr>
          <w:rFonts w:eastAsia="Times New Roman" w:cs="Times New Roman"/>
          <w:szCs w:val="24"/>
          <w:lang w:val="tr-TR" w:bidi="tr-TR"/>
        </w:rPr>
        <w:t>,</w:t>
      </w:r>
    </w:p>
    <w:p w14:paraId="316E926C" w14:textId="77777777" w:rsidR="00172694" w:rsidRPr="00F50C10" w:rsidRDefault="00172694" w:rsidP="000B206D">
      <w:pPr>
        <w:widowControl w:val="0"/>
        <w:numPr>
          <w:ilvl w:val="0"/>
          <w:numId w:val="42"/>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reaksiyonu durdurmaya yönelik kimyasal inhibitör sistemleri,</w:t>
      </w:r>
    </w:p>
    <w:p w14:paraId="79F412C5" w14:textId="77777777" w:rsidR="00172694" w:rsidRPr="00F50C10" w:rsidRDefault="00172694" w:rsidP="000B206D">
      <w:pPr>
        <w:widowControl w:val="0"/>
        <w:numPr>
          <w:ilvl w:val="0"/>
          <w:numId w:val="42"/>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acil durum reaktör soğutma kapasitesi,</w:t>
      </w:r>
    </w:p>
    <w:p w14:paraId="23811218" w14:textId="12226D80" w:rsidR="00172694" w:rsidRPr="00F50C10" w:rsidRDefault="00172694" w:rsidP="000B206D">
      <w:pPr>
        <w:widowControl w:val="0"/>
        <w:numPr>
          <w:ilvl w:val="0"/>
          <w:numId w:val="42"/>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çalkalama için acil durum güç kaynağı</w:t>
      </w:r>
      <w:r w:rsidR="00F20D65" w:rsidRPr="00F50C10">
        <w:rPr>
          <w:rFonts w:eastAsia="Times New Roman" w:cs="Times New Roman"/>
          <w:szCs w:val="24"/>
          <w:lang w:val="tr-TR" w:bidi="tr-TR"/>
        </w:rPr>
        <w:t>*</w:t>
      </w:r>
      <w:r w:rsidRPr="00F50C10">
        <w:rPr>
          <w:rFonts w:eastAsia="Times New Roman" w:cs="Times New Roman"/>
          <w:szCs w:val="24"/>
          <w:lang w:val="tr-TR" w:bidi="tr-TR"/>
        </w:rPr>
        <w:t>,</w:t>
      </w:r>
    </w:p>
    <w:p w14:paraId="299FE661" w14:textId="77777777" w:rsidR="00172694" w:rsidRPr="00F50C10" w:rsidRDefault="00172694" w:rsidP="000B206D">
      <w:pPr>
        <w:widowControl w:val="0"/>
        <w:numPr>
          <w:ilvl w:val="0"/>
          <w:numId w:val="42"/>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bidi="tr-TR"/>
        </w:rPr>
        <w:t>VCM geri</w:t>
      </w:r>
      <w:r w:rsidRPr="00F50C10">
        <w:rPr>
          <w:rFonts w:eastAsia="Times New Roman" w:cs="Times New Roman"/>
          <w:szCs w:val="24"/>
          <w:lang w:val="tr-TR"/>
        </w:rPr>
        <w:t xml:space="preserve"> kazanım sistemine kontrollü acil havalandırma kapasitesi.</w:t>
      </w:r>
    </w:p>
    <w:p w14:paraId="2D26298D" w14:textId="68EF8378" w:rsidR="00F20D65" w:rsidRPr="00F50C10" w:rsidRDefault="00F20D65" w:rsidP="000B206D">
      <w:pPr>
        <w:widowControl w:val="0"/>
        <w:autoSpaceDE w:val="0"/>
        <w:autoSpaceDN w:val="0"/>
        <w:adjustRightInd w:val="0"/>
        <w:spacing w:before="120" w:after="60" w:line="276" w:lineRule="auto"/>
        <w:rPr>
          <w:rFonts w:eastAsia="Times New Roman" w:cs="Times New Roman"/>
          <w:bCs/>
          <w:szCs w:val="24"/>
          <w:lang w:val="tr-TR" w:eastAsia="tr-TR" w:bidi="tr-TR"/>
        </w:rPr>
      </w:pPr>
      <w:r w:rsidRPr="00F50C10">
        <w:rPr>
          <w:rFonts w:eastAsia="Times New Roman" w:cs="Times New Roman"/>
          <w:bCs/>
          <w:szCs w:val="24"/>
          <w:lang w:val="tr-TR" w:eastAsia="tr-TR" w:bidi="tr-TR"/>
        </w:rPr>
        <w:t>*Katalizör sadece suda çözünüyorsa, karıştırma için acil güç gerekli değildir.</w:t>
      </w:r>
    </w:p>
    <w:p w14:paraId="7655F1E6" w14:textId="4DCF84CA"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bidi="tr-TR"/>
        </w:rPr>
      </w:pPr>
      <w:r w:rsidRPr="00F50C10">
        <w:rPr>
          <w:rFonts w:eastAsia="Times New Roman" w:cs="Times New Roman"/>
          <w:bCs/>
          <w:szCs w:val="24"/>
          <w:lang w:val="tr-TR" w:eastAsia="tr-TR" w:bidi="tr-TR"/>
        </w:rPr>
        <w:t>PVC üretimi için MET ile ilişkili emisyon ve tüketim seviyeleri aşağıdaki tabloda verilmektedir.</w:t>
      </w:r>
    </w:p>
    <w:p w14:paraId="738C6FB7" w14:textId="02164330" w:rsidR="00F20D65" w:rsidRPr="00F50C10" w:rsidRDefault="00F20D65" w:rsidP="000B206D">
      <w:pPr>
        <w:widowControl w:val="0"/>
        <w:autoSpaceDE w:val="0"/>
        <w:autoSpaceDN w:val="0"/>
        <w:adjustRightInd w:val="0"/>
        <w:spacing w:before="120" w:after="60" w:line="276" w:lineRule="auto"/>
        <w:rPr>
          <w:rFonts w:eastAsia="Times New Roman" w:cs="Times New Roman"/>
          <w:bCs/>
          <w:szCs w:val="24"/>
          <w:lang w:val="tr-TR" w:eastAsia="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2.4.8 Kısmını inceleyiniz.)</w:t>
        </w:r>
      </w:hyperlink>
    </w:p>
    <w:p w14:paraId="5A2DFC83" w14:textId="7268424A" w:rsidR="00172694" w:rsidRPr="00F50C10" w:rsidRDefault="00172694" w:rsidP="000B206D">
      <w:pPr>
        <w:keepNext/>
        <w:spacing w:before="120" w:line="276" w:lineRule="auto"/>
        <w:rPr>
          <w:rFonts w:cs="Times New Roman"/>
          <w:b/>
          <w:iCs/>
          <w:color w:val="000000" w:themeColor="text1"/>
          <w:szCs w:val="24"/>
          <w:lang w:val="tr-TR"/>
        </w:rPr>
      </w:pPr>
      <w:r w:rsidRPr="00F50C10">
        <w:rPr>
          <w:rFonts w:cs="Times New Roman"/>
          <w:b/>
          <w:iCs/>
          <w:color w:val="000000" w:themeColor="text1"/>
          <w:szCs w:val="24"/>
          <w:lang w:val="tr-TR"/>
        </w:rPr>
        <w:t>Tablo</w:t>
      </w:r>
      <w:r w:rsidR="0079075A" w:rsidRPr="00F50C10">
        <w:rPr>
          <w:rFonts w:cs="Times New Roman"/>
          <w:b/>
          <w:iCs/>
          <w:color w:val="000000" w:themeColor="text1"/>
          <w:szCs w:val="24"/>
          <w:lang w:val="tr-TR"/>
        </w:rPr>
        <w:t xml:space="preserve"> </w:t>
      </w:r>
      <w:r w:rsidR="00F20D65" w:rsidRPr="00F50C10">
        <w:rPr>
          <w:rFonts w:cs="Times New Roman"/>
          <w:b/>
          <w:iCs/>
          <w:color w:val="000000" w:themeColor="text1"/>
          <w:szCs w:val="24"/>
        </w:rPr>
        <w:t>9</w:t>
      </w:r>
      <w:r w:rsidRPr="00F50C10">
        <w:rPr>
          <w:rFonts w:cs="Times New Roman"/>
          <w:b/>
          <w:iCs/>
          <w:color w:val="000000" w:themeColor="text1"/>
          <w:szCs w:val="24"/>
          <w:lang w:val="tr-TR"/>
        </w:rPr>
        <w:t xml:space="preserve">. PVC üretimi için </w:t>
      </w:r>
      <w:r w:rsidRPr="00F50C10">
        <w:rPr>
          <w:rFonts w:cs="Times New Roman"/>
          <w:b/>
          <w:iCs/>
          <w:color w:val="000000" w:themeColor="text1"/>
          <w:szCs w:val="24"/>
          <w:lang w:val="tr-TR" w:bidi="tr-TR"/>
        </w:rPr>
        <w:t>MET ile ilişkili emisyon ve tüketim seviyeleri</w:t>
      </w:r>
    </w:p>
    <w:tbl>
      <w:tblPr>
        <w:tblW w:w="5000" w:type="pct"/>
        <w:jc w:val="center"/>
        <w:tblCellMar>
          <w:top w:w="11" w:type="dxa"/>
          <w:left w:w="57" w:type="dxa"/>
          <w:bottom w:w="11" w:type="dxa"/>
          <w:right w:w="57" w:type="dxa"/>
        </w:tblCellMar>
        <w:tblLook w:val="0000" w:firstRow="0" w:lastRow="0" w:firstColumn="0" w:lastColumn="0" w:noHBand="0" w:noVBand="0"/>
      </w:tblPr>
      <w:tblGrid>
        <w:gridCol w:w="2467"/>
        <w:gridCol w:w="2116"/>
        <w:gridCol w:w="2339"/>
        <w:gridCol w:w="2382"/>
      </w:tblGrid>
      <w:tr w:rsidR="00172694" w:rsidRPr="00F50C10" w14:paraId="0E00EC45" w14:textId="77777777" w:rsidTr="00375F59">
        <w:trPr>
          <w:trHeight w:val="20"/>
          <w:jc w:val="center"/>
        </w:trPr>
        <w:tc>
          <w:tcPr>
            <w:tcW w:w="1326" w:type="pct"/>
            <w:tcBorders>
              <w:top w:val="single" w:sz="6" w:space="0" w:color="auto"/>
              <w:left w:val="single" w:sz="6" w:space="0" w:color="auto"/>
              <w:bottom w:val="single" w:sz="6" w:space="0" w:color="auto"/>
              <w:right w:val="single" w:sz="6" w:space="0" w:color="auto"/>
            </w:tcBorders>
            <w:shd w:val="clear" w:color="auto" w:fill="auto"/>
            <w:vAlign w:val="center"/>
          </w:tcPr>
          <w:p w14:paraId="313D267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PVC</w:t>
            </w:r>
          </w:p>
        </w:tc>
        <w:tc>
          <w:tcPr>
            <w:tcW w:w="1137" w:type="pct"/>
            <w:tcBorders>
              <w:top w:val="single" w:sz="6" w:space="0" w:color="auto"/>
              <w:left w:val="single" w:sz="6" w:space="0" w:color="auto"/>
              <w:bottom w:val="single" w:sz="6" w:space="0" w:color="auto"/>
              <w:right w:val="single" w:sz="6" w:space="0" w:color="auto"/>
            </w:tcBorders>
            <w:shd w:val="clear" w:color="auto" w:fill="auto"/>
            <w:vAlign w:val="center"/>
          </w:tcPr>
          <w:p w14:paraId="11F8E31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Ton ürün başına birim</w:t>
            </w:r>
          </w:p>
        </w:tc>
        <w:tc>
          <w:tcPr>
            <w:tcW w:w="1257" w:type="pct"/>
            <w:tcBorders>
              <w:top w:val="single" w:sz="6" w:space="0" w:color="auto"/>
              <w:left w:val="single" w:sz="6" w:space="0" w:color="auto"/>
              <w:bottom w:val="single" w:sz="6" w:space="0" w:color="auto"/>
              <w:right w:val="single" w:sz="6" w:space="0" w:color="auto"/>
            </w:tcBorders>
            <w:shd w:val="clear" w:color="auto" w:fill="auto"/>
            <w:vAlign w:val="center"/>
          </w:tcPr>
          <w:p w14:paraId="142CD6FB" w14:textId="0119714A"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MET</w:t>
            </w:r>
            <w:r w:rsidR="00600112" w:rsidRPr="00F50C10">
              <w:rPr>
                <w:rFonts w:eastAsia="Times New Roman" w:cs="Times New Roman"/>
                <w:b/>
                <w:szCs w:val="24"/>
                <w:lang w:val="tr-TR" w:eastAsia="tr-TR" w:bidi="tr-TR"/>
              </w:rPr>
              <w:t>-İES</w:t>
            </w:r>
            <w:r w:rsidRPr="00F50C10">
              <w:rPr>
                <w:rFonts w:eastAsia="Times New Roman" w:cs="Times New Roman"/>
                <w:b/>
                <w:szCs w:val="24"/>
                <w:lang w:val="tr-TR" w:eastAsia="tr-TR" w:bidi="tr-TR"/>
              </w:rPr>
              <w:t xml:space="preserve"> (SPVC)</w:t>
            </w:r>
          </w:p>
        </w:tc>
        <w:tc>
          <w:tcPr>
            <w:tcW w:w="1280" w:type="pct"/>
            <w:tcBorders>
              <w:top w:val="single" w:sz="6" w:space="0" w:color="auto"/>
              <w:left w:val="single" w:sz="6" w:space="0" w:color="auto"/>
              <w:bottom w:val="single" w:sz="6" w:space="0" w:color="auto"/>
              <w:right w:val="single" w:sz="6" w:space="0" w:color="auto"/>
            </w:tcBorders>
            <w:shd w:val="clear" w:color="auto" w:fill="auto"/>
            <w:vAlign w:val="center"/>
          </w:tcPr>
          <w:p w14:paraId="174004B2" w14:textId="6EE558CF"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 xml:space="preserve">MET </w:t>
            </w:r>
            <w:r w:rsidR="00600112" w:rsidRPr="00F50C10">
              <w:rPr>
                <w:rFonts w:eastAsia="Times New Roman" w:cs="Times New Roman"/>
                <w:b/>
                <w:szCs w:val="24"/>
                <w:lang w:val="tr-TR" w:eastAsia="tr-TR" w:bidi="tr-TR"/>
              </w:rPr>
              <w:t>-İESE</w:t>
            </w:r>
            <w:r w:rsidRPr="00F50C10">
              <w:rPr>
                <w:rFonts w:eastAsia="Times New Roman" w:cs="Times New Roman"/>
                <w:b/>
                <w:szCs w:val="24"/>
                <w:lang w:val="tr-TR" w:eastAsia="tr-TR" w:bidi="tr-TR"/>
              </w:rPr>
              <w:t>PVC</w:t>
            </w:r>
          </w:p>
        </w:tc>
      </w:tr>
      <w:tr w:rsidR="00172694" w:rsidRPr="00F50C10" w14:paraId="2086E1EF" w14:textId="77777777" w:rsidTr="00375F59">
        <w:trPr>
          <w:trHeight w:val="2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5474D11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Hava emisyonları</w:t>
            </w:r>
          </w:p>
        </w:tc>
      </w:tr>
      <w:tr w:rsidR="00172694" w:rsidRPr="00F50C10" w14:paraId="6F769B7D" w14:textId="77777777" w:rsidTr="00375F59">
        <w:trPr>
          <w:trHeight w:val="20"/>
          <w:jc w:val="center"/>
        </w:trPr>
        <w:tc>
          <w:tcPr>
            <w:tcW w:w="1326" w:type="pct"/>
            <w:tcBorders>
              <w:top w:val="single" w:sz="6" w:space="0" w:color="auto"/>
              <w:left w:val="single" w:sz="6" w:space="0" w:color="auto"/>
              <w:bottom w:val="single" w:sz="6" w:space="0" w:color="auto"/>
              <w:right w:val="single" w:sz="6" w:space="0" w:color="auto"/>
            </w:tcBorders>
            <w:shd w:val="clear" w:color="auto" w:fill="auto"/>
          </w:tcPr>
          <w:p w14:paraId="71966197" w14:textId="2293EC8F"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Toplam VCM</w:t>
            </w:r>
            <w:r w:rsidR="0079075A" w:rsidRPr="00F50C10">
              <w:rPr>
                <w:rFonts w:eastAsia="Times New Roman" w:cs="Times New Roman"/>
                <w:szCs w:val="24"/>
                <w:lang w:val="tr-TR" w:eastAsia="tr-TR" w:bidi="tr-TR"/>
              </w:rPr>
              <w:t>*****</w:t>
            </w:r>
          </w:p>
        </w:tc>
        <w:tc>
          <w:tcPr>
            <w:tcW w:w="1137" w:type="pct"/>
            <w:tcBorders>
              <w:top w:val="single" w:sz="6" w:space="0" w:color="auto"/>
              <w:left w:val="single" w:sz="6" w:space="0" w:color="auto"/>
              <w:bottom w:val="single" w:sz="6" w:space="0" w:color="auto"/>
              <w:right w:val="single" w:sz="6" w:space="0" w:color="auto"/>
            </w:tcBorders>
            <w:shd w:val="clear" w:color="auto" w:fill="auto"/>
          </w:tcPr>
          <w:p w14:paraId="312AE0E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257" w:type="pct"/>
            <w:tcBorders>
              <w:top w:val="single" w:sz="6" w:space="0" w:color="auto"/>
              <w:left w:val="single" w:sz="6" w:space="0" w:color="auto"/>
              <w:bottom w:val="single" w:sz="6" w:space="0" w:color="auto"/>
              <w:right w:val="single" w:sz="6" w:space="0" w:color="auto"/>
            </w:tcBorders>
            <w:shd w:val="clear" w:color="auto" w:fill="auto"/>
          </w:tcPr>
          <w:p w14:paraId="5502F24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18 - 45</w:t>
            </w:r>
          </w:p>
        </w:tc>
        <w:tc>
          <w:tcPr>
            <w:tcW w:w="1280" w:type="pct"/>
            <w:tcBorders>
              <w:top w:val="single" w:sz="6" w:space="0" w:color="auto"/>
              <w:left w:val="single" w:sz="6" w:space="0" w:color="auto"/>
              <w:bottom w:val="single" w:sz="6" w:space="0" w:color="auto"/>
              <w:right w:val="single" w:sz="6" w:space="0" w:color="auto"/>
            </w:tcBorders>
            <w:shd w:val="clear" w:color="auto" w:fill="auto"/>
          </w:tcPr>
          <w:p w14:paraId="6D15915D"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100 - 500</w:t>
            </w:r>
          </w:p>
        </w:tc>
      </w:tr>
      <w:tr w:rsidR="00172694" w:rsidRPr="00F50C10" w14:paraId="7C5B04AB" w14:textId="77777777" w:rsidTr="00375F59">
        <w:trPr>
          <w:trHeight w:val="20"/>
          <w:jc w:val="center"/>
        </w:trPr>
        <w:tc>
          <w:tcPr>
            <w:tcW w:w="1326" w:type="pct"/>
            <w:tcBorders>
              <w:top w:val="single" w:sz="6" w:space="0" w:color="auto"/>
              <w:left w:val="single" w:sz="6" w:space="0" w:color="auto"/>
              <w:bottom w:val="single" w:sz="6" w:space="0" w:color="auto"/>
              <w:right w:val="single" w:sz="6" w:space="0" w:color="auto"/>
            </w:tcBorders>
            <w:shd w:val="clear" w:color="auto" w:fill="auto"/>
          </w:tcPr>
          <w:p w14:paraId="3437EA3F"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PVC tozu</w:t>
            </w:r>
          </w:p>
        </w:tc>
        <w:tc>
          <w:tcPr>
            <w:tcW w:w="1137" w:type="pct"/>
            <w:tcBorders>
              <w:top w:val="single" w:sz="6" w:space="0" w:color="auto"/>
              <w:left w:val="single" w:sz="6" w:space="0" w:color="auto"/>
              <w:bottom w:val="single" w:sz="6" w:space="0" w:color="auto"/>
              <w:right w:val="single" w:sz="6" w:space="0" w:color="auto"/>
            </w:tcBorders>
            <w:shd w:val="clear" w:color="auto" w:fill="auto"/>
          </w:tcPr>
          <w:p w14:paraId="602232A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257" w:type="pct"/>
            <w:tcBorders>
              <w:top w:val="single" w:sz="6" w:space="0" w:color="auto"/>
              <w:left w:val="single" w:sz="6" w:space="0" w:color="auto"/>
              <w:bottom w:val="single" w:sz="6" w:space="0" w:color="auto"/>
              <w:right w:val="single" w:sz="6" w:space="0" w:color="auto"/>
            </w:tcBorders>
            <w:shd w:val="clear" w:color="auto" w:fill="auto"/>
          </w:tcPr>
          <w:p w14:paraId="1AFDFA4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10 - 40</w:t>
            </w:r>
          </w:p>
        </w:tc>
        <w:tc>
          <w:tcPr>
            <w:tcW w:w="1280" w:type="pct"/>
            <w:tcBorders>
              <w:top w:val="single" w:sz="6" w:space="0" w:color="auto"/>
              <w:left w:val="single" w:sz="6" w:space="0" w:color="auto"/>
              <w:bottom w:val="single" w:sz="6" w:space="0" w:color="auto"/>
              <w:right w:val="single" w:sz="6" w:space="0" w:color="auto"/>
            </w:tcBorders>
            <w:shd w:val="clear" w:color="auto" w:fill="auto"/>
          </w:tcPr>
          <w:p w14:paraId="1C762AF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50 - 200</w:t>
            </w:r>
          </w:p>
        </w:tc>
      </w:tr>
      <w:tr w:rsidR="00172694" w:rsidRPr="00F50C10" w14:paraId="02DEA1D6" w14:textId="77777777" w:rsidTr="00375F59">
        <w:trPr>
          <w:trHeight w:val="2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4ACF042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Suya emisyonlar</w:t>
            </w:r>
          </w:p>
        </w:tc>
      </w:tr>
      <w:tr w:rsidR="00172694" w:rsidRPr="00F50C10" w14:paraId="1B03927B" w14:textId="77777777" w:rsidTr="00375F59">
        <w:trPr>
          <w:trHeight w:val="20"/>
          <w:jc w:val="center"/>
        </w:trPr>
        <w:tc>
          <w:tcPr>
            <w:tcW w:w="1326" w:type="pct"/>
            <w:tcBorders>
              <w:top w:val="single" w:sz="6" w:space="0" w:color="auto"/>
              <w:left w:val="single" w:sz="6" w:space="0" w:color="auto"/>
              <w:bottom w:val="single" w:sz="6" w:space="0" w:color="auto"/>
              <w:right w:val="single" w:sz="6" w:space="0" w:color="auto"/>
            </w:tcBorders>
            <w:shd w:val="clear" w:color="auto" w:fill="auto"/>
          </w:tcPr>
          <w:p w14:paraId="31F35088"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Suya VCM</w:t>
            </w:r>
            <w:r w:rsidRPr="00F50C10">
              <w:rPr>
                <w:rFonts w:eastAsia="Times New Roman" w:cs="Times New Roman"/>
                <w:szCs w:val="24"/>
                <w:vertAlign w:val="superscript"/>
                <w:lang w:val="tr-TR" w:eastAsia="tr-TR" w:bidi="tr-TR"/>
              </w:rPr>
              <w:t>*</w:t>
            </w:r>
          </w:p>
        </w:tc>
        <w:tc>
          <w:tcPr>
            <w:tcW w:w="1137" w:type="pct"/>
            <w:tcBorders>
              <w:top w:val="single" w:sz="6" w:space="0" w:color="auto"/>
              <w:left w:val="single" w:sz="6" w:space="0" w:color="auto"/>
              <w:bottom w:val="single" w:sz="6" w:space="0" w:color="auto"/>
              <w:right w:val="single" w:sz="6" w:space="0" w:color="auto"/>
            </w:tcBorders>
            <w:shd w:val="clear" w:color="auto" w:fill="auto"/>
          </w:tcPr>
          <w:p w14:paraId="5E65375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257" w:type="pct"/>
            <w:tcBorders>
              <w:top w:val="single" w:sz="6" w:space="0" w:color="auto"/>
              <w:left w:val="single" w:sz="6" w:space="0" w:color="auto"/>
              <w:bottom w:val="single" w:sz="6" w:space="0" w:color="auto"/>
              <w:right w:val="single" w:sz="6" w:space="0" w:color="auto"/>
            </w:tcBorders>
            <w:shd w:val="clear" w:color="auto" w:fill="auto"/>
          </w:tcPr>
          <w:p w14:paraId="6C07FAF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0,3 - 1,5</w:t>
            </w:r>
          </w:p>
        </w:tc>
        <w:tc>
          <w:tcPr>
            <w:tcW w:w="1280" w:type="pct"/>
            <w:tcBorders>
              <w:top w:val="single" w:sz="6" w:space="0" w:color="auto"/>
              <w:left w:val="single" w:sz="6" w:space="0" w:color="auto"/>
              <w:bottom w:val="single" w:sz="6" w:space="0" w:color="auto"/>
              <w:right w:val="single" w:sz="6" w:space="0" w:color="auto"/>
            </w:tcBorders>
            <w:shd w:val="clear" w:color="auto" w:fill="auto"/>
          </w:tcPr>
          <w:p w14:paraId="093395B9"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1 - 8</w:t>
            </w:r>
          </w:p>
        </w:tc>
      </w:tr>
      <w:tr w:rsidR="00172694" w:rsidRPr="00F50C10" w14:paraId="39D51B0E" w14:textId="77777777" w:rsidTr="00375F59">
        <w:trPr>
          <w:trHeight w:val="20"/>
          <w:jc w:val="center"/>
        </w:trPr>
        <w:tc>
          <w:tcPr>
            <w:tcW w:w="1326" w:type="pct"/>
            <w:tcBorders>
              <w:top w:val="single" w:sz="6" w:space="0" w:color="auto"/>
              <w:left w:val="single" w:sz="6" w:space="0" w:color="auto"/>
              <w:bottom w:val="single" w:sz="6" w:space="0" w:color="auto"/>
              <w:right w:val="single" w:sz="6" w:space="0" w:color="auto"/>
            </w:tcBorders>
            <w:shd w:val="clear" w:color="auto" w:fill="auto"/>
          </w:tcPr>
          <w:p w14:paraId="73173BF7"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KOİ</w:t>
            </w:r>
            <w:r w:rsidRPr="00F50C10">
              <w:rPr>
                <w:rFonts w:eastAsia="Times New Roman" w:cs="Times New Roman"/>
                <w:szCs w:val="24"/>
                <w:vertAlign w:val="superscript"/>
                <w:lang w:val="tr-TR" w:eastAsia="tr-TR" w:bidi="tr-TR"/>
              </w:rPr>
              <w:t>**</w:t>
            </w:r>
          </w:p>
        </w:tc>
        <w:tc>
          <w:tcPr>
            <w:tcW w:w="1137" w:type="pct"/>
            <w:tcBorders>
              <w:top w:val="single" w:sz="6" w:space="0" w:color="auto"/>
              <w:left w:val="single" w:sz="6" w:space="0" w:color="auto"/>
              <w:bottom w:val="single" w:sz="6" w:space="0" w:color="auto"/>
              <w:right w:val="single" w:sz="6" w:space="0" w:color="auto"/>
            </w:tcBorders>
            <w:shd w:val="clear" w:color="auto" w:fill="auto"/>
          </w:tcPr>
          <w:p w14:paraId="5D64774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2537" w:type="pct"/>
            <w:gridSpan w:val="2"/>
            <w:tcBorders>
              <w:top w:val="single" w:sz="6" w:space="0" w:color="auto"/>
              <w:left w:val="single" w:sz="6" w:space="0" w:color="auto"/>
              <w:bottom w:val="single" w:sz="6" w:space="0" w:color="auto"/>
              <w:right w:val="single" w:sz="6" w:space="0" w:color="auto"/>
            </w:tcBorders>
            <w:shd w:val="clear" w:color="auto" w:fill="auto"/>
          </w:tcPr>
          <w:p w14:paraId="7240C51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50 - 480</w:t>
            </w:r>
          </w:p>
        </w:tc>
      </w:tr>
      <w:tr w:rsidR="00172694" w:rsidRPr="00F50C10" w14:paraId="3D493D73" w14:textId="77777777" w:rsidTr="00375F59">
        <w:trPr>
          <w:trHeight w:val="20"/>
          <w:jc w:val="center"/>
        </w:trPr>
        <w:tc>
          <w:tcPr>
            <w:tcW w:w="1326" w:type="pct"/>
            <w:tcBorders>
              <w:top w:val="single" w:sz="6" w:space="0" w:color="auto"/>
              <w:left w:val="single" w:sz="6" w:space="0" w:color="auto"/>
              <w:bottom w:val="single" w:sz="6" w:space="0" w:color="auto"/>
              <w:right w:val="single" w:sz="6" w:space="0" w:color="auto"/>
            </w:tcBorders>
            <w:shd w:val="clear" w:color="auto" w:fill="auto"/>
          </w:tcPr>
          <w:p w14:paraId="3F7BC7EB"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Askıda katı maddeler</w:t>
            </w:r>
            <w:r w:rsidRPr="00F50C10">
              <w:rPr>
                <w:rFonts w:eastAsia="Times New Roman" w:cs="Times New Roman"/>
                <w:szCs w:val="24"/>
                <w:vertAlign w:val="superscript"/>
                <w:lang w:val="tr-TR" w:eastAsia="tr-TR" w:bidi="tr-TR"/>
              </w:rPr>
              <w:t>****</w:t>
            </w:r>
          </w:p>
        </w:tc>
        <w:tc>
          <w:tcPr>
            <w:tcW w:w="1137" w:type="pct"/>
            <w:tcBorders>
              <w:top w:val="single" w:sz="6" w:space="0" w:color="auto"/>
              <w:left w:val="single" w:sz="6" w:space="0" w:color="auto"/>
              <w:bottom w:val="single" w:sz="6" w:space="0" w:color="auto"/>
              <w:right w:val="single" w:sz="6" w:space="0" w:color="auto"/>
            </w:tcBorders>
            <w:shd w:val="clear" w:color="auto" w:fill="auto"/>
            <w:vAlign w:val="center"/>
          </w:tcPr>
          <w:p w14:paraId="0AB1686D"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253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FFE03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w:t>
            </w:r>
          </w:p>
        </w:tc>
      </w:tr>
      <w:tr w:rsidR="00172694" w:rsidRPr="00F50C10" w14:paraId="216371EF" w14:textId="77777777" w:rsidTr="00375F59">
        <w:trPr>
          <w:trHeight w:val="2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3DC749B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Atık</w:t>
            </w:r>
          </w:p>
        </w:tc>
      </w:tr>
      <w:tr w:rsidR="00172694" w:rsidRPr="00F50C10" w14:paraId="2F3D9C8A" w14:textId="77777777" w:rsidTr="00375F59">
        <w:trPr>
          <w:trHeight w:val="20"/>
          <w:jc w:val="center"/>
        </w:trPr>
        <w:tc>
          <w:tcPr>
            <w:tcW w:w="1326" w:type="pct"/>
            <w:tcBorders>
              <w:top w:val="single" w:sz="6" w:space="0" w:color="auto"/>
              <w:left w:val="single" w:sz="6" w:space="0" w:color="auto"/>
              <w:bottom w:val="single" w:sz="6" w:space="0" w:color="auto"/>
              <w:right w:val="single" w:sz="6" w:space="0" w:color="auto"/>
            </w:tcBorders>
            <w:shd w:val="clear" w:color="auto" w:fill="auto"/>
          </w:tcPr>
          <w:p w14:paraId="7F1694BE"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Tehlikeli atık</w:t>
            </w:r>
            <w:r w:rsidRPr="00F50C10">
              <w:rPr>
                <w:rFonts w:eastAsia="Times New Roman" w:cs="Times New Roman"/>
                <w:szCs w:val="24"/>
                <w:vertAlign w:val="superscript"/>
                <w:lang w:val="tr-TR" w:eastAsia="tr-TR" w:bidi="tr-TR"/>
              </w:rPr>
              <w:t>***</w:t>
            </w:r>
          </w:p>
        </w:tc>
        <w:tc>
          <w:tcPr>
            <w:tcW w:w="1137" w:type="pct"/>
            <w:tcBorders>
              <w:top w:val="single" w:sz="6" w:space="0" w:color="auto"/>
              <w:left w:val="single" w:sz="6" w:space="0" w:color="auto"/>
              <w:bottom w:val="single" w:sz="6" w:space="0" w:color="auto"/>
              <w:right w:val="single" w:sz="6" w:space="0" w:color="auto"/>
            </w:tcBorders>
            <w:shd w:val="clear" w:color="auto" w:fill="auto"/>
          </w:tcPr>
          <w:p w14:paraId="205542B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1257" w:type="pct"/>
            <w:tcBorders>
              <w:top w:val="single" w:sz="6" w:space="0" w:color="auto"/>
              <w:left w:val="single" w:sz="6" w:space="0" w:color="auto"/>
              <w:bottom w:val="single" w:sz="6" w:space="0" w:color="auto"/>
              <w:right w:val="single" w:sz="6" w:space="0" w:color="auto"/>
            </w:tcBorders>
            <w:shd w:val="clear" w:color="auto" w:fill="auto"/>
          </w:tcPr>
          <w:p w14:paraId="01EC824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10 - 55</w:t>
            </w:r>
          </w:p>
        </w:tc>
        <w:tc>
          <w:tcPr>
            <w:tcW w:w="1280" w:type="pct"/>
            <w:tcBorders>
              <w:top w:val="single" w:sz="6" w:space="0" w:color="auto"/>
              <w:left w:val="single" w:sz="6" w:space="0" w:color="auto"/>
              <w:bottom w:val="single" w:sz="6" w:space="0" w:color="auto"/>
              <w:right w:val="single" w:sz="6" w:space="0" w:color="auto"/>
            </w:tcBorders>
            <w:shd w:val="clear" w:color="auto" w:fill="auto"/>
          </w:tcPr>
          <w:p w14:paraId="694FA36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25 - 75</w:t>
            </w:r>
          </w:p>
        </w:tc>
      </w:tr>
      <w:tr w:rsidR="00172694" w:rsidRPr="00F50C10" w14:paraId="63D9036C" w14:textId="77777777" w:rsidTr="00375F59">
        <w:trPr>
          <w:trHeight w:val="2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69AB21FD"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i/>
                <w:iCs/>
                <w:szCs w:val="24"/>
                <w:lang w:val="tr-TR" w:eastAsia="tr-TR"/>
              </w:rPr>
            </w:pPr>
            <w:r w:rsidRPr="00F50C10">
              <w:rPr>
                <w:rFonts w:eastAsia="Times New Roman" w:cs="Times New Roman"/>
                <w:i/>
                <w:iCs/>
                <w:szCs w:val="24"/>
                <w:vertAlign w:val="superscript"/>
                <w:lang w:val="tr-TR" w:eastAsia="tr-TR" w:bidi="tr-TR"/>
              </w:rPr>
              <w:t>*</w:t>
            </w:r>
            <w:r w:rsidRPr="00F50C10">
              <w:rPr>
                <w:rFonts w:eastAsia="Times New Roman" w:cs="Times New Roman"/>
                <w:i/>
                <w:iCs/>
                <w:szCs w:val="24"/>
                <w:lang w:val="tr-TR" w:eastAsia="tr-TR" w:bidi="tr-TR"/>
              </w:rPr>
              <w:t xml:space="preserve"> Atık su arıtmadan (AAT) önce</w:t>
            </w:r>
          </w:p>
          <w:p w14:paraId="6543C82A"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i/>
                <w:iCs/>
                <w:szCs w:val="24"/>
                <w:lang w:val="tr-TR" w:eastAsia="tr-TR"/>
              </w:rPr>
            </w:pPr>
            <w:r w:rsidRPr="00F50C10">
              <w:rPr>
                <w:rFonts w:eastAsia="Times New Roman" w:cs="Times New Roman"/>
                <w:i/>
                <w:iCs/>
                <w:szCs w:val="24"/>
                <w:vertAlign w:val="superscript"/>
                <w:lang w:val="tr-TR" w:eastAsia="tr-TR" w:bidi="tr-TR"/>
              </w:rPr>
              <w:t>**</w:t>
            </w:r>
            <w:r w:rsidRPr="00F50C10">
              <w:rPr>
                <w:rFonts w:eastAsia="Times New Roman" w:cs="Times New Roman"/>
                <w:i/>
                <w:iCs/>
                <w:szCs w:val="24"/>
                <w:lang w:val="tr-TR" w:eastAsia="tr-TR" w:bidi="tr-TR"/>
              </w:rPr>
              <w:t xml:space="preserve"> Nihai atık su içinde</w:t>
            </w:r>
          </w:p>
          <w:p w14:paraId="7462EA9E"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i/>
                <w:iCs/>
                <w:szCs w:val="24"/>
                <w:lang w:val="tr-TR" w:eastAsia="tr-TR"/>
              </w:rPr>
            </w:pPr>
            <w:r w:rsidRPr="00F50C10">
              <w:rPr>
                <w:rFonts w:eastAsia="Times New Roman" w:cs="Times New Roman"/>
                <w:i/>
                <w:iCs/>
                <w:szCs w:val="24"/>
                <w:vertAlign w:val="superscript"/>
                <w:lang w:val="tr-TR" w:eastAsia="tr-TR" w:bidi="tr-TR"/>
              </w:rPr>
              <w:t>***</w:t>
            </w:r>
            <w:r w:rsidRPr="00F50C10">
              <w:rPr>
                <w:rFonts w:eastAsia="Times New Roman" w:cs="Times New Roman"/>
                <w:i/>
                <w:iCs/>
                <w:szCs w:val="24"/>
                <w:lang w:val="tr-TR" w:eastAsia="tr-TR" w:bidi="tr-TR"/>
              </w:rPr>
              <w:t xml:space="preserve"> &gt;%0,1 VCM içeren katı atık</w:t>
            </w:r>
          </w:p>
          <w:p w14:paraId="11CF96CD"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i/>
                <w:iCs/>
                <w:szCs w:val="24"/>
                <w:lang w:val="tr-TR" w:eastAsia="tr-TR"/>
              </w:rPr>
            </w:pPr>
            <w:r w:rsidRPr="00F50C10">
              <w:rPr>
                <w:rFonts w:eastAsia="Times New Roman" w:cs="Times New Roman"/>
                <w:i/>
                <w:iCs/>
                <w:szCs w:val="24"/>
                <w:vertAlign w:val="superscript"/>
                <w:lang w:val="tr-TR" w:eastAsia="tr-TR" w:bidi="tr-TR"/>
              </w:rPr>
              <w:t>****</w:t>
            </w:r>
            <w:r w:rsidRPr="00F50C10">
              <w:rPr>
                <w:rFonts w:eastAsia="Times New Roman" w:cs="Times New Roman"/>
                <w:i/>
                <w:iCs/>
                <w:szCs w:val="24"/>
                <w:lang w:val="tr-TR" w:eastAsia="tr-TR" w:bidi="tr-TR"/>
              </w:rPr>
              <w:t xml:space="preserve"> Ön arıtmadan sonra bu yöntemle, PVC üretim tesisleri veya kombine etilen diklorür (EDC), VCM ve PVC üretimi için nihai atık suda 1 - 12 g/t PVCM arasında adsorplanabilir organik halojen bileşikler (AOX) değerleri elde edilir.</w:t>
            </w:r>
          </w:p>
        </w:tc>
      </w:tr>
    </w:tbl>
    <w:p w14:paraId="25188BA8" w14:textId="77777777" w:rsidR="009F7476" w:rsidRPr="00F50C10" w:rsidRDefault="009F7476" w:rsidP="000B206D">
      <w:pPr>
        <w:spacing w:after="494" w:line="276" w:lineRule="auto"/>
        <w:rPr>
          <w:rFonts w:cs="Times New Roman"/>
          <w:szCs w:val="24"/>
          <w:lang w:val="en-GB"/>
        </w:rPr>
      </w:pPr>
    </w:p>
    <w:p w14:paraId="60F1CF72" w14:textId="0AEE9B34" w:rsidR="0079075A" w:rsidRPr="00F50C10" w:rsidRDefault="0079075A" w:rsidP="000B206D">
      <w:pPr>
        <w:spacing w:before="101" w:line="276" w:lineRule="auto"/>
        <w:rPr>
          <w:rFonts w:cs="Times New Roman"/>
          <w:b/>
          <w:szCs w:val="24"/>
          <w:u w:val="single"/>
          <w:lang w:bidi="tr-TR"/>
        </w:rPr>
      </w:pPr>
      <w:bookmarkStart w:id="108" w:name="bookmark407"/>
      <w:r w:rsidRPr="00F50C10">
        <w:rPr>
          <w:rFonts w:cs="Times New Roman"/>
          <w:b/>
          <w:szCs w:val="24"/>
          <w:u w:val="single"/>
          <w:lang w:bidi="tr-TR"/>
        </w:rPr>
        <w:t>*****Özel durum:</w:t>
      </w:r>
    </w:p>
    <w:bookmarkEnd w:id="108"/>
    <w:p w14:paraId="24DEF4E4" w14:textId="77777777" w:rsidR="0079075A" w:rsidRPr="00F50C10" w:rsidRDefault="009F7476" w:rsidP="000B206D">
      <w:pPr>
        <w:spacing w:line="276" w:lineRule="auto"/>
        <w:rPr>
          <w:rFonts w:cs="Times New Roman"/>
          <w:szCs w:val="24"/>
          <w:lang w:bidi="tr-TR"/>
        </w:rPr>
      </w:pPr>
      <w:r w:rsidRPr="00F50C10">
        <w:rPr>
          <w:rFonts w:cs="Times New Roman"/>
          <w:szCs w:val="24"/>
          <w:lang w:bidi="tr-TR"/>
        </w:rPr>
        <w:t>Aralığın üst değeri küçük üretim tesisleri için geçerlidir. MET İES'in geniş aralığı, farklı MET performansından değil, farklı ürün karışımı imalatından kaynaklanmaktadır. Bu MET İES aralığının tümü, bütün proseslerine MET uygulayan tesislerle ilişkilidir.</w:t>
      </w:r>
    </w:p>
    <w:p w14:paraId="3C79EFB1" w14:textId="6D646FB8" w:rsidR="009F7476" w:rsidRPr="00F50C10" w:rsidRDefault="0079075A" w:rsidP="000B206D">
      <w:pPr>
        <w:spacing w:line="276" w:lineRule="auto"/>
        <w:jc w:val="center"/>
        <w:rPr>
          <w:rFonts w:cs="Times New Roman"/>
          <w:szCs w:val="24"/>
        </w:rPr>
      </w:pPr>
      <w:r w:rsidRPr="00F50C10">
        <w:rPr>
          <w:rFonts w:cs="Times New Roman"/>
          <w:b/>
          <w:szCs w:val="24"/>
          <w:lang w:bidi="tr-TR"/>
        </w:rPr>
        <w:t>Tablo 10:  MET teknikleriyle ilişkili VCM emisyonları ikincil görüş</w:t>
      </w:r>
    </w:p>
    <w:tbl>
      <w:tblPr>
        <w:tblpPr w:leftFromText="141" w:rightFromText="141" w:vertAnchor="text" w:horzAnchor="page" w:tblpX="2166" w:tblpY="97"/>
        <w:tblW w:w="0" w:type="auto"/>
        <w:tblLayout w:type="fixed"/>
        <w:tblCellMar>
          <w:top w:w="11" w:type="dxa"/>
          <w:left w:w="57" w:type="dxa"/>
          <w:bottom w:w="11" w:type="dxa"/>
          <w:right w:w="57" w:type="dxa"/>
        </w:tblCellMar>
        <w:tblLook w:val="0000" w:firstRow="0" w:lastRow="0" w:firstColumn="0" w:lastColumn="0" w:noHBand="0" w:noVBand="0"/>
      </w:tblPr>
      <w:tblGrid>
        <w:gridCol w:w="1930"/>
        <w:gridCol w:w="1661"/>
        <w:gridCol w:w="1814"/>
        <w:gridCol w:w="1858"/>
      </w:tblGrid>
      <w:tr w:rsidR="0079075A" w:rsidRPr="00F50C10" w14:paraId="6881E081" w14:textId="77777777" w:rsidTr="0079075A">
        <w:tc>
          <w:tcPr>
            <w:tcW w:w="1930" w:type="dxa"/>
            <w:tcBorders>
              <w:top w:val="single" w:sz="6" w:space="0" w:color="auto"/>
              <w:left w:val="single" w:sz="6" w:space="0" w:color="auto"/>
              <w:bottom w:val="single" w:sz="6" w:space="0" w:color="auto"/>
              <w:right w:val="single" w:sz="6" w:space="0" w:color="auto"/>
            </w:tcBorders>
            <w:shd w:val="clear" w:color="auto" w:fill="auto"/>
          </w:tcPr>
          <w:p w14:paraId="752DA55F" w14:textId="77777777" w:rsidR="0079075A" w:rsidRPr="00F50C10" w:rsidRDefault="0079075A" w:rsidP="000B206D">
            <w:pPr>
              <w:spacing w:line="276" w:lineRule="auto"/>
              <w:jc w:val="center"/>
              <w:rPr>
                <w:rFonts w:cs="Times New Roman"/>
                <w:szCs w:val="24"/>
                <w:lang w:val="en-GB"/>
              </w:rPr>
            </w:pPr>
            <w:r w:rsidRPr="00F50C10">
              <w:rPr>
                <w:rFonts w:cs="Times New Roman"/>
                <w:b/>
                <w:szCs w:val="24"/>
                <w:lang w:bidi="tr-TR"/>
              </w:rPr>
              <w:t>PVC</w:t>
            </w:r>
          </w:p>
        </w:tc>
        <w:tc>
          <w:tcPr>
            <w:tcW w:w="1661" w:type="dxa"/>
            <w:tcBorders>
              <w:top w:val="single" w:sz="6" w:space="0" w:color="auto"/>
              <w:left w:val="single" w:sz="6" w:space="0" w:color="auto"/>
              <w:bottom w:val="single" w:sz="6" w:space="0" w:color="auto"/>
              <w:right w:val="single" w:sz="6" w:space="0" w:color="auto"/>
            </w:tcBorders>
            <w:shd w:val="clear" w:color="auto" w:fill="auto"/>
          </w:tcPr>
          <w:p w14:paraId="732E1F1A" w14:textId="77777777" w:rsidR="0079075A" w:rsidRPr="00F50C10" w:rsidRDefault="0079075A" w:rsidP="000B206D">
            <w:pPr>
              <w:spacing w:line="276" w:lineRule="auto"/>
              <w:ind w:left="24"/>
              <w:jc w:val="center"/>
              <w:rPr>
                <w:rFonts w:cs="Times New Roman"/>
                <w:szCs w:val="24"/>
                <w:lang w:val="en-GB"/>
              </w:rPr>
            </w:pPr>
            <w:r w:rsidRPr="00F50C10">
              <w:rPr>
                <w:rFonts w:cs="Times New Roman"/>
                <w:b/>
                <w:szCs w:val="24"/>
                <w:lang w:bidi="tr-TR"/>
              </w:rPr>
              <w:t>Ton ürün başına birim</w:t>
            </w:r>
          </w:p>
        </w:tc>
        <w:tc>
          <w:tcPr>
            <w:tcW w:w="1814" w:type="dxa"/>
            <w:tcBorders>
              <w:top w:val="single" w:sz="6" w:space="0" w:color="auto"/>
              <w:left w:val="single" w:sz="6" w:space="0" w:color="auto"/>
              <w:bottom w:val="single" w:sz="6" w:space="0" w:color="auto"/>
              <w:right w:val="single" w:sz="6" w:space="0" w:color="auto"/>
            </w:tcBorders>
            <w:shd w:val="clear" w:color="auto" w:fill="auto"/>
          </w:tcPr>
          <w:p w14:paraId="4B6C105F" w14:textId="77777777" w:rsidR="0079075A" w:rsidRPr="00F50C10" w:rsidRDefault="0079075A" w:rsidP="000B206D">
            <w:pPr>
              <w:spacing w:line="276" w:lineRule="auto"/>
              <w:ind w:left="187"/>
              <w:jc w:val="center"/>
              <w:rPr>
                <w:rFonts w:cs="Times New Roman"/>
                <w:szCs w:val="24"/>
                <w:lang w:val="en-GB"/>
              </w:rPr>
            </w:pPr>
            <w:r w:rsidRPr="00F50C10">
              <w:rPr>
                <w:rFonts w:cs="Times New Roman"/>
                <w:b/>
                <w:szCs w:val="24"/>
                <w:lang w:bidi="tr-TR"/>
              </w:rPr>
              <w:t>MET İES S-PVC</w:t>
            </w:r>
          </w:p>
        </w:tc>
        <w:tc>
          <w:tcPr>
            <w:tcW w:w="1858" w:type="dxa"/>
            <w:tcBorders>
              <w:top w:val="single" w:sz="6" w:space="0" w:color="auto"/>
              <w:left w:val="single" w:sz="6" w:space="0" w:color="auto"/>
              <w:bottom w:val="single" w:sz="6" w:space="0" w:color="auto"/>
              <w:right w:val="single" w:sz="6" w:space="0" w:color="auto"/>
            </w:tcBorders>
            <w:shd w:val="clear" w:color="auto" w:fill="auto"/>
          </w:tcPr>
          <w:p w14:paraId="0BBCE3F5" w14:textId="77777777" w:rsidR="0079075A" w:rsidRPr="00F50C10" w:rsidRDefault="0079075A" w:rsidP="000B206D">
            <w:pPr>
              <w:spacing w:line="276" w:lineRule="auto"/>
              <w:ind w:left="197"/>
              <w:jc w:val="center"/>
              <w:rPr>
                <w:rFonts w:cs="Times New Roman"/>
                <w:szCs w:val="24"/>
                <w:lang w:val="en-GB"/>
              </w:rPr>
            </w:pPr>
            <w:r w:rsidRPr="00F50C10">
              <w:rPr>
                <w:rFonts w:cs="Times New Roman"/>
                <w:b/>
                <w:szCs w:val="24"/>
                <w:lang w:bidi="tr-TR"/>
              </w:rPr>
              <w:t>MET İES E-PVC</w:t>
            </w:r>
          </w:p>
        </w:tc>
      </w:tr>
      <w:tr w:rsidR="0079075A" w:rsidRPr="00F50C10" w14:paraId="4F7804DE" w14:textId="77777777" w:rsidTr="0079075A">
        <w:tc>
          <w:tcPr>
            <w:tcW w:w="7263" w:type="dxa"/>
            <w:gridSpan w:val="4"/>
            <w:tcBorders>
              <w:top w:val="single" w:sz="6" w:space="0" w:color="auto"/>
              <w:left w:val="single" w:sz="6" w:space="0" w:color="auto"/>
              <w:bottom w:val="single" w:sz="6" w:space="0" w:color="auto"/>
              <w:right w:val="single" w:sz="6" w:space="0" w:color="auto"/>
            </w:tcBorders>
            <w:shd w:val="clear" w:color="auto" w:fill="auto"/>
          </w:tcPr>
          <w:p w14:paraId="598E9F09" w14:textId="77777777" w:rsidR="0079075A" w:rsidRPr="00F50C10" w:rsidRDefault="0079075A" w:rsidP="000B206D">
            <w:pPr>
              <w:spacing w:line="276" w:lineRule="auto"/>
              <w:jc w:val="center"/>
              <w:rPr>
                <w:rFonts w:cs="Times New Roman"/>
                <w:szCs w:val="24"/>
                <w:lang w:val="en-GB"/>
              </w:rPr>
            </w:pPr>
            <w:r w:rsidRPr="00F50C10">
              <w:rPr>
                <w:rFonts w:cs="Times New Roman"/>
                <w:b/>
                <w:szCs w:val="24"/>
                <w:lang w:bidi="tr-TR"/>
              </w:rPr>
              <w:t>Hava emisyonları</w:t>
            </w:r>
          </w:p>
        </w:tc>
      </w:tr>
      <w:tr w:rsidR="0079075A" w:rsidRPr="00F50C10" w14:paraId="21E0D97F" w14:textId="77777777" w:rsidTr="0079075A">
        <w:tc>
          <w:tcPr>
            <w:tcW w:w="1930" w:type="dxa"/>
            <w:tcBorders>
              <w:top w:val="single" w:sz="6" w:space="0" w:color="auto"/>
              <w:left w:val="single" w:sz="6" w:space="0" w:color="auto"/>
              <w:bottom w:val="single" w:sz="6" w:space="0" w:color="auto"/>
              <w:right w:val="single" w:sz="6" w:space="0" w:color="auto"/>
            </w:tcBorders>
            <w:shd w:val="clear" w:color="auto" w:fill="auto"/>
          </w:tcPr>
          <w:p w14:paraId="4A5FA85E" w14:textId="77777777" w:rsidR="0079075A" w:rsidRPr="00F50C10" w:rsidRDefault="0079075A" w:rsidP="000B206D">
            <w:pPr>
              <w:spacing w:line="276" w:lineRule="auto"/>
              <w:rPr>
                <w:rFonts w:cs="Times New Roman"/>
                <w:szCs w:val="24"/>
                <w:lang w:val="en-GB"/>
              </w:rPr>
            </w:pPr>
            <w:r w:rsidRPr="00F50C10">
              <w:rPr>
                <w:rFonts w:cs="Times New Roman"/>
                <w:szCs w:val="24"/>
                <w:lang w:bidi="tr-TR"/>
              </w:rPr>
              <w:t>Toplam VCM</w:t>
            </w:r>
          </w:p>
        </w:tc>
        <w:tc>
          <w:tcPr>
            <w:tcW w:w="1661" w:type="dxa"/>
            <w:tcBorders>
              <w:top w:val="single" w:sz="6" w:space="0" w:color="auto"/>
              <w:left w:val="single" w:sz="6" w:space="0" w:color="auto"/>
              <w:bottom w:val="single" w:sz="6" w:space="0" w:color="auto"/>
              <w:right w:val="single" w:sz="6" w:space="0" w:color="auto"/>
            </w:tcBorders>
            <w:shd w:val="clear" w:color="auto" w:fill="auto"/>
          </w:tcPr>
          <w:p w14:paraId="52CAF151" w14:textId="77777777" w:rsidR="0079075A" w:rsidRPr="00F50C10" w:rsidRDefault="0079075A" w:rsidP="000B206D">
            <w:pPr>
              <w:spacing w:line="276" w:lineRule="auto"/>
              <w:jc w:val="center"/>
              <w:rPr>
                <w:rFonts w:cs="Times New Roman"/>
                <w:szCs w:val="24"/>
                <w:lang w:val="en-GB"/>
              </w:rPr>
            </w:pPr>
            <w:r w:rsidRPr="00F50C10">
              <w:rPr>
                <w:rFonts w:cs="Times New Roman"/>
                <w:szCs w:val="24"/>
                <w:lang w:bidi="tr-TR"/>
              </w:rPr>
              <w:t>g</w:t>
            </w:r>
          </w:p>
        </w:tc>
        <w:tc>
          <w:tcPr>
            <w:tcW w:w="1814" w:type="dxa"/>
            <w:tcBorders>
              <w:top w:val="single" w:sz="6" w:space="0" w:color="auto"/>
              <w:left w:val="single" w:sz="6" w:space="0" w:color="auto"/>
              <w:bottom w:val="single" w:sz="6" w:space="0" w:color="auto"/>
              <w:right w:val="single" w:sz="6" w:space="0" w:color="auto"/>
            </w:tcBorders>
            <w:shd w:val="clear" w:color="auto" w:fill="auto"/>
          </w:tcPr>
          <w:p w14:paraId="4E98A217" w14:textId="77777777" w:rsidR="0079075A" w:rsidRPr="00F50C10" w:rsidRDefault="0079075A" w:rsidP="000B206D">
            <w:pPr>
              <w:spacing w:line="276" w:lineRule="auto"/>
              <w:jc w:val="center"/>
              <w:rPr>
                <w:rFonts w:cs="Times New Roman"/>
                <w:szCs w:val="24"/>
                <w:lang w:val="en-GB"/>
              </w:rPr>
            </w:pPr>
            <w:r w:rsidRPr="00F50C10">
              <w:rPr>
                <w:rFonts w:cs="Times New Roman"/>
                <w:szCs w:val="24"/>
                <w:lang w:bidi="tr-TR"/>
              </w:rPr>
              <w:t>18 - 72</w:t>
            </w:r>
          </w:p>
        </w:tc>
        <w:tc>
          <w:tcPr>
            <w:tcW w:w="1858" w:type="dxa"/>
            <w:tcBorders>
              <w:top w:val="single" w:sz="6" w:space="0" w:color="auto"/>
              <w:left w:val="single" w:sz="6" w:space="0" w:color="auto"/>
              <w:bottom w:val="single" w:sz="6" w:space="0" w:color="auto"/>
              <w:right w:val="single" w:sz="6" w:space="0" w:color="auto"/>
            </w:tcBorders>
            <w:shd w:val="clear" w:color="auto" w:fill="auto"/>
          </w:tcPr>
          <w:p w14:paraId="508F3B40" w14:textId="77777777" w:rsidR="0079075A" w:rsidRPr="00F50C10" w:rsidRDefault="0079075A" w:rsidP="000B206D">
            <w:pPr>
              <w:spacing w:line="276" w:lineRule="auto"/>
              <w:jc w:val="center"/>
              <w:rPr>
                <w:rFonts w:cs="Times New Roman"/>
                <w:szCs w:val="24"/>
                <w:lang w:val="en-GB"/>
              </w:rPr>
            </w:pPr>
            <w:r w:rsidRPr="00F50C10">
              <w:rPr>
                <w:rFonts w:cs="Times New Roman"/>
                <w:szCs w:val="24"/>
                <w:lang w:bidi="tr-TR"/>
              </w:rPr>
              <w:t>160 - 700</w:t>
            </w:r>
          </w:p>
        </w:tc>
      </w:tr>
    </w:tbl>
    <w:p w14:paraId="49FEBD33" w14:textId="4CAD1B01" w:rsidR="0079075A" w:rsidRPr="00F50C10" w:rsidRDefault="0079075A" w:rsidP="000B206D">
      <w:pPr>
        <w:spacing w:line="276" w:lineRule="auto"/>
        <w:rPr>
          <w:rFonts w:cs="Times New Roman"/>
          <w:szCs w:val="24"/>
          <w:lang w:bidi="tr-TR"/>
        </w:rPr>
      </w:pPr>
    </w:p>
    <w:p w14:paraId="27F1C829" w14:textId="01989BB9" w:rsidR="0079075A" w:rsidRPr="00F50C10" w:rsidRDefault="0079075A" w:rsidP="000B206D">
      <w:pPr>
        <w:spacing w:line="276" w:lineRule="auto"/>
        <w:rPr>
          <w:rFonts w:cs="Times New Roman"/>
          <w:szCs w:val="24"/>
          <w:lang w:bidi="tr-TR"/>
        </w:rPr>
      </w:pPr>
    </w:p>
    <w:p w14:paraId="569ABEFB" w14:textId="77777777" w:rsidR="0079075A" w:rsidRPr="00F50C10" w:rsidRDefault="0079075A" w:rsidP="000B206D">
      <w:pPr>
        <w:spacing w:line="276" w:lineRule="auto"/>
        <w:rPr>
          <w:rFonts w:cs="Times New Roman"/>
          <w:szCs w:val="24"/>
        </w:rPr>
      </w:pPr>
    </w:p>
    <w:p w14:paraId="176534FB" w14:textId="647E3F0C" w:rsidR="00172694" w:rsidRPr="00F50C10" w:rsidRDefault="00172694" w:rsidP="000B206D">
      <w:pPr>
        <w:widowControl w:val="0"/>
        <w:autoSpaceDE w:val="0"/>
        <w:autoSpaceDN w:val="0"/>
        <w:adjustRightInd w:val="0"/>
        <w:spacing w:before="120" w:after="60" w:line="276" w:lineRule="auto"/>
        <w:ind w:left="90"/>
        <w:jc w:val="left"/>
        <w:outlineLvl w:val="1"/>
        <w:rPr>
          <w:rFonts w:eastAsia="Arial" w:cs="Times New Roman"/>
          <w:b/>
          <w:bCs/>
          <w:szCs w:val="24"/>
          <w:lang w:val="tr-TR" w:bidi="tr-TR"/>
        </w:rPr>
      </w:pPr>
      <w:r w:rsidRPr="00F50C10">
        <w:rPr>
          <w:rFonts w:eastAsia="Arial" w:cs="Times New Roman"/>
          <w:b/>
          <w:bCs/>
          <w:szCs w:val="24"/>
          <w:lang w:val="tr-TR"/>
        </w:rPr>
        <w:t xml:space="preserve">Doymamış </w:t>
      </w:r>
      <w:r w:rsidR="0079075A" w:rsidRPr="00F50C10">
        <w:rPr>
          <w:rFonts w:eastAsia="Arial" w:cs="Times New Roman"/>
          <w:b/>
          <w:bCs/>
          <w:szCs w:val="24"/>
          <w:lang w:val="tr-TR"/>
        </w:rPr>
        <w:t>Poliesterlerin</w:t>
      </w:r>
      <w:r w:rsidR="0079075A" w:rsidRPr="00F50C10">
        <w:rPr>
          <w:rFonts w:eastAsia="Arial" w:cs="Times New Roman"/>
          <w:b/>
          <w:bCs/>
          <w:szCs w:val="24"/>
          <w:lang w:val="tr-TR" w:bidi="tr-TR"/>
        </w:rPr>
        <w:t xml:space="preserve"> Üretimi İçin </w:t>
      </w:r>
      <w:r w:rsidRPr="00F50C10">
        <w:rPr>
          <w:rFonts w:eastAsia="Arial" w:cs="Times New Roman"/>
          <w:b/>
          <w:bCs/>
          <w:szCs w:val="24"/>
          <w:lang w:val="tr-TR" w:bidi="tr-TR"/>
        </w:rPr>
        <w:t>MET</w:t>
      </w:r>
    </w:p>
    <w:p w14:paraId="20AE467F" w14:textId="3A062BAE"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rPr>
      </w:pPr>
      <w:r w:rsidRPr="00F50C10">
        <w:rPr>
          <w:rFonts w:eastAsia="Times New Roman" w:cs="Times New Roman"/>
          <w:b/>
          <w:szCs w:val="24"/>
          <w:lang w:val="tr-TR" w:eastAsia="tr-TR" w:bidi="tr-TR"/>
        </w:rPr>
        <w:t xml:space="preserve">MET </w:t>
      </w:r>
      <w:r w:rsidR="0079075A" w:rsidRPr="00F50C10">
        <w:rPr>
          <w:rFonts w:eastAsia="Times New Roman" w:cs="Times New Roman"/>
          <w:b/>
          <w:szCs w:val="24"/>
          <w:lang w:val="tr-TR" w:eastAsia="tr-TR" w:bidi="tr-TR"/>
        </w:rPr>
        <w:t>1</w:t>
      </w:r>
      <w:r w:rsidRPr="00F50C10">
        <w:rPr>
          <w:rFonts w:eastAsia="Times New Roman" w:cs="Times New Roman"/>
          <w:b/>
          <w:szCs w:val="24"/>
          <w:lang w:val="tr-TR" w:eastAsia="tr-TR" w:bidi="tr-TR"/>
        </w:rPr>
        <w:t xml:space="preserve">: </w:t>
      </w:r>
      <w:r w:rsidR="00BA2696" w:rsidRPr="00F50C10">
        <w:rPr>
          <w:rFonts w:eastAsia="Times New Roman" w:cs="Times New Roman"/>
          <w:bCs/>
          <w:szCs w:val="24"/>
          <w:lang w:val="tr-TR" w:eastAsia="tr-TR" w:bidi="tr-TR"/>
        </w:rPr>
        <w:t>Çıkış</w:t>
      </w:r>
      <w:r w:rsidRPr="00F50C10">
        <w:rPr>
          <w:rFonts w:eastAsia="Times New Roman" w:cs="Times New Roman"/>
          <w:bCs/>
          <w:szCs w:val="24"/>
          <w:lang w:val="tr-TR" w:eastAsia="tr-TR" w:bidi="tr-TR"/>
        </w:rPr>
        <w:t xml:space="preserve"> gazları aşağıdaki tekniklerden bir veya daha fazlası ya da eşdeğer(ler)i kullan</w:t>
      </w:r>
      <w:r w:rsidR="00BA2696" w:rsidRPr="00F50C10">
        <w:rPr>
          <w:rFonts w:eastAsia="Times New Roman" w:cs="Times New Roman"/>
          <w:bCs/>
          <w:szCs w:val="24"/>
          <w:lang w:val="tr-TR" w:eastAsia="tr-TR" w:bidi="tr-TR"/>
        </w:rPr>
        <w:t>ıl</w:t>
      </w:r>
      <w:r w:rsidRPr="00F50C10">
        <w:rPr>
          <w:rFonts w:eastAsia="Times New Roman" w:cs="Times New Roman"/>
          <w:bCs/>
          <w:szCs w:val="24"/>
          <w:lang w:val="tr-TR" w:eastAsia="tr-TR" w:bidi="tr-TR"/>
        </w:rPr>
        <w:t>arak arıtılır</w:t>
      </w:r>
      <w:r w:rsidR="00197A46" w:rsidRPr="00F50C10">
        <w:rPr>
          <w:rFonts w:eastAsia="Times New Roman" w:cs="Times New Roman"/>
          <w:bCs/>
          <w:szCs w:val="24"/>
          <w:lang w:val="tr-TR" w:eastAsia="tr-TR" w:bidi="tr-TR"/>
        </w:rPr>
        <w:t>:</w:t>
      </w:r>
    </w:p>
    <w:p w14:paraId="58D32A49" w14:textId="77777777" w:rsidR="00172694" w:rsidRPr="00F50C10" w:rsidRDefault="00172694" w:rsidP="000B206D">
      <w:pPr>
        <w:widowControl w:val="0"/>
        <w:numPr>
          <w:ilvl w:val="0"/>
          <w:numId w:val="43"/>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termal oksitleme,</w:t>
      </w:r>
    </w:p>
    <w:p w14:paraId="380A1C8B" w14:textId="77777777" w:rsidR="00172694" w:rsidRPr="00F50C10" w:rsidRDefault="00172694" w:rsidP="000B206D">
      <w:pPr>
        <w:widowControl w:val="0"/>
        <w:numPr>
          <w:ilvl w:val="0"/>
          <w:numId w:val="43"/>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aktif karbon,</w:t>
      </w:r>
    </w:p>
    <w:p w14:paraId="76F5DB28" w14:textId="77777777" w:rsidR="00172694" w:rsidRPr="00F50C10" w:rsidRDefault="00172694" w:rsidP="000B206D">
      <w:pPr>
        <w:widowControl w:val="0"/>
        <w:numPr>
          <w:ilvl w:val="0"/>
          <w:numId w:val="43"/>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glikol yıkayıcılar,</w:t>
      </w:r>
    </w:p>
    <w:p w14:paraId="50E5857E" w14:textId="19C68FCD" w:rsidR="00172694" w:rsidRPr="00F50C10" w:rsidRDefault="00172694" w:rsidP="000B206D">
      <w:pPr>
        <w:widowControl w:val="0"/>
        <w:numPr>
          <w:ilvl w:val="0"/>
          <w:numId w:val="43"/>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bidi="tr-TR"/>
        </w:rPr>
        <w:t>süblimasyon kutuları.</w:t>
      </w:r>
    </w:p>
    <w:p w14:paraId="77A9A62E" w14:textId="76BAB776" w:rsidR="0079075A" w:rsidRPr="00F50C10" w:rsidRDefault="0079075A"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2.5.1 Kısmını inceleyiniz.)</w:t>
        </w:r>
      </w:hyperlink>
    </w:p>
    <w:p w14:paraId="103F0546" w14:textId="207836C3"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rPr>
      </w:pPr>
      <w:r w:rsidRPr="00F50C10">
        <w:rPr>
          <w:rFonts w:eastAsia="Times New Roman" w:cs="Times New Roman"/>
          <w:b/>
          <w:szCs w:val="24"/>
          <w:lang w:val="tr-TR" w:eastAsia="tr-TR" w:bidi="tr-TR"/>
        </w:rPr>
        <w:t xml:space="preserve">MET </w:t>
      </w:r>
      <w:r w:rsidR="0079075A" w:rsidRPr="00F50C10">
        <w:rPr>
          <w:rFonts w:eastAsia="Times New Roman" w:cs="Times New Roman"/>
          <w:b/>
          <w:szCs w:val="24"/>
          <w:lang w:val="tr-TR" w:eastAsia="tr-TR" w:bidi="tr-TR"/>
        </w:rPr>
        <w:t>2</w:t>
      </w:r>
      <w:r w:rsidRPr="00F50C10">
        <w:rPr>
          <w:rFonts w:eastAsia="Times New Roman" w:cs="Times New Roman"/>
          <w:b/>
          <w:szCs w:val="24"/>
          <w:lang w:val="tr-TR" w:eastAsia="tr-TR" w:bidi="tr-TR"/>
        </w:rPr>
        <w:t xml:space="preserve">: </w:t>
      </w:r>
      <w:r w:rsidR="00BA2696" w:rsidRPr="00F50C10">
        <w:rPr>
          <w:rFonts w:eastAsia="Times New Roman" w:cs="Times New Roman"/>
          <w:bCs/>
          <w:szCs w:val="24"/>
          <w:lang w:val="tr-TR" w:eastAsia="tr-TR" w:bidi="tr-TR"/>
        </w:rPr>
        <w:t>Çoğunlu</w:t>
      </w:r>
      <w:r w:rsidR="0079075A" w:rsidRPr="00F50C10">
        <w:rPr>
          <w:rFonts w:eastAsia="Times New Roman" w:cs="Times New Roman"/>
          <w:bCs/>
          <w:szCs w:val="24"/>
          <w:lang w:val="tr-TR" w:eastAsia="tr-TR" w:bidi="tr-TR"/>
        </w:rPr>
        <w:t>ğu</w:t>
      </w:r>
      <w:r w:rsidRPr="00F50C10">
        <w:rPr>
          <w:rFonts w:eastAsia="Times New Roman" w:cs="Times New Roman"/>
          <w:bCs/>
          <w:szCs w:val="24"/>
          <w:lang w:val="tr-TR" w:eastAsia="tr-TR" w:bidi="tr-TR"/>
        </w:rPr>
        <w:t xml:space="preserve"> reaksiyondan kaynaklanan atık su termal arıtıl</w:t>
      </w:r>
      <w:r w:rsidR="00BA2696" w:rsidRPr="00F50C10">
        <w:rPr>
          <w:rFonts w:eastAsia="Times New Roman" w:cs="Times New Roman"/>
          <w:bCs/>
          <w:szCs w:val="24"/>
          <w:lang w:val="tr-TR" w:eastAsia="tr-TR" w:bidi="tr-TR"/>
        </w:rPr>
        <w:t>ı</w:t>
      </w:r>
      <w:r w:rsidRPr="00F50C10">
        <w:rPr>
          <w:rFonts w:eastAsia="Times New Roman" w:cs="Times New Roman"/>
          <w:bCs/>
          <w:szCs w:val="24"/>
          <w:lang w:val="tr-TR" w:eastAsia="tr-TR" w:bidi="tr-TR"/>
        </w:rPr>
        <w:t>r.</w:t>
      </w:r>
    </w:p>
    <w:p w14:paraId="5CBA0161" w14:textId="503EBD2F"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bidi="tr-TR"/>
        </w:rPr>
      </w:pPr>
      <w:r w:rsidRPr="00F50C10">
        <w:rPr>
          <w:rFonts w:eastAsia="Times New Roman" w:cs="Times New Roman"/>
          <w:szCs w:val="24"/>
          <w:lang w:val="tr-TR" w:eastAsia="tr-TR" w:bidi="tr-TR"/>
        </w:rPr>
        <w:t>Sıvı atık ve atık gaz yakma teçhizatının kombinasyonu, mevcut durumda en genel tekniktir.</w:t>
      </w:r>
    </w:p>
    <w:p w14:paraId="39806D87" w14:textId="057F1D8D" w:rsidR="00FD468E" w:rsidRPr="00F50C10" w:rsidRDefault="00FD468E"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2.5.2 Kısmını inceleyiniz.)</w:t>
        </w:r>
      </w:hyperlink>
    </w:p>
    <w:p w14:paraId="66D3D3DB" w14:textId="56994025" w:rsidR="00172694" w:rsidRPr="00F50C10" w:rsidRDefault="00FD468E" w:rsidP="000B206D">
      <w:pPr>
        <w:widowControl w:val="0"/>
        <w:autoSpaceDE w:val="0"/>
        <w:autoSpaceDN w:val="0"/>
        <w:adjustRightInd w:val="0"/>
        <w:spacing w:before="120" w:after="60" w:line="276" w:lineRule="auto"/>
        <w:rPr>
          <w:rFonts w:eastAsia="Times New Roman" w:cs="Times New Roman"/>
          <w:bCs/>
          <w:szCs w:val="24"/>
          <w:lang w:val="tr-TR" w:eastAsia="tr-TR"/>
        </w:rPr>
      </w:pPr>
      <w:r w:rsidRPr="00F50C10">
        <w:rPr>
          <w:rFonts w:eastAsia="Times New Roman" w:cs="Times New Roman"/>
          <w:b/>
          <w:szCs w:val="24"/>
          <w:lang w:val="tr-TR" w:eastAsia="tr-TR" w:bidi="tr-TR"/>
        </w:rPr>
        <w:t>MET 3:</w:t>
      </w:r>
      <w:r w:rsidRPr="00F50C10">
        <w:rPr>
          <w:rFonts w:eastAsia="Times New Roman" w:cs="Times New Roman"/>
          <w:bCs/>
          <w:szCs w:val="24"/>
          <w:lang w:val="tr-TR" w:eastAsia="tr-TR" w:bidi="tr-TR"/>
        </w:rPr>
        <w:t xml:space="preserve"> </w:t>
      </w:r>
      <w:r w:rsidR="00172694" w:rsidRPr="00F50C10">
        <w:rPr>
          <w:rFonts w:eastAsia="Times New Roman" w:cs="Times New Roman"/>
          <w:bCs/>
          <w:szCs w:val="24"/>
          <w:lang w:val="tr-TR" w:eastAsia="tr-TR" w:bidi="tr-TR"/>
        </w:rPr>
        <w:t>Doymamış pol</w:t>
      </w:r>
      <w:r w:rsidR="00552DDC" w:rsidRPr="00F50C10">
        <w:rPr>
          <w:rFonts w:eastAsia="Times New Roman" w:cs="Times New Roman"/>
          <w:bCs/>
          <w:szCs w:val="24"/>
          <w:lang w:val="tr-TR" w:eastAsia="tr-TR" w:bidi="tr-TR"/>
        </w:rPr>
        <w:t>y</w:t>
      </w:r>
      <w:r w:rsidR="00172694" w:rsidRPr="00F50C10">
        <w:rPr>
          <w:rFonts w:eastAsia="Times New Roman" w:cs="Times New Roman"/>
          <w:bCs/>
          <w:szCs w:val="24"/>
          <w:lang w:val="tr-TR" w:eastAsia="tr-TR" w:bidi="tr-TR"/>
        </w:rPr>
        <w:t>esterlerin üretimi için MET ile ilişkili emisyon ve tüketim seviyeleri aşağıdaki tabloda verilmektedir.</w:t>
      </w:r>
    </w:p>
    <w:p w14:paraId="67736ECB" w14:textId="55D394A3" w:rsidR="00172694" w:rsidRPr="00F50C10" w:rsidRDefault="00172694" w:rsidP="000B206D">
      <w:pPr>
        <w:keepNext/>
        <w:spacing w:before="120" w:after="60" w:line="276" w:lineRule="auto"/>
        <w:rPr>
          <w:rFonts w:cs="Times New Roman"/>
          <w:b/>
          <w:iCs/>
          <w:color w:val="000000" w:themeColor="text1"/>
          <w:szCs w:val="24"/>
          <w:lang w:val="tr-TR"/>
        </w:rPr>
      </w:pPr>
      <w:r w:rsidRPr="00F50C10">
        <w:rPr>
          <w:rFonts w:cs="Times New Roman"/>
          <w:b/>
          <w:iCs/>
          <w:color w:val="000000" w:themeColor="text1"/>
          <w:szCs w:val="24"/>
          <w:lang w:val="tr-TR"/>
        </w:rPr>
        <w:t xml:space="preserve">Tablo </w:t>
      </w:r>
      <w:r w:rsidR="00FD468E" w:rsidRPr="00F50C10">
        <w:rPr>
          <w:rFonts w:cs="Times New Roman"/>
          <w:b/>
          <w:iCs/>
          <w:color w:val="000000" w:themeColor="text1"/>
          <w:szCs w:val="24"/>
        </w:rPr>
        <w:t>11</w:t>
      </w:r>
      <w:r w:rsidRPr="00F50C10">
        <w:rPr>
          <w:rFonts w:cs="Times New Roman"/>
          <w:b/>
          <w:iCs/>
          <w:color w:val="000000" w:themeColor="text1"/>
          <w:szCs w:val="24"/>
          <w:lang w:val="tr-TR"/>
        </w:rPr>
        <w:t>. Doymamış pol</w:t>
      </w:r>
      <w:r w:rsidR="00552DDC" w:rsidRPr="00F50C10">
        <w:rPr>
          <w:rFonts w:cs="Times New Roman"/>
          <w:b/>
          <w:iCs/>
          <w:color w:val="000000" w:themeColor="text1"/>
          <w:szCs w:val="24"/>
          <w:lang w:val="tr-TR"/>
        </w:rPr>
        <w:t>y</w:t>
      </w:r>
      <w:r w:rsidRPr="00F50C10">
        <w:rPr>
          <w:rFonts w:cs="Times New Roman"/>
          <w:b/>
          <w:iCs/>
          <w:color w:val="000000" w:themeColor="text1"/>
          <w:szCs w:val="24"/>
          <w:lang w:val="tr-TR"/>
        </w:rPr>
        <w:t xml:space="preserve">ester (UP) üretimi için </w:t>
      </w:r>
      <w:r w:rsidRPr="00F50C10">
        <w:rPr>
          <w:rFonts w:cs="Times New Roman"/>
          <w:b/>
          <w:iCs/>
          <w:color w:val="000000" w:themeColor="text1"/>
          <w:szCs w:val="24"/>
          <w:lang w:val="tr-TR" w:bidi="tr-TR"/>
        </w:rPr>
        <w:t>MET ile ilişkili emisyon ve tüketim seviyeleri</w:t>
      </w:r>
    </w:p>
    <w:tbl>
      <w:tblPr>
        <w:tblW w:w="5000" w:type="pct"/>
        <w:jc w:val="center"/>
        <w:tblCellMar>
          <w:top w:w="11" w:type="dxa"/>
          <w:left w:w="57" w:type="dxa"/>
          <w:bottom w:w="11" w:type="dxa"/>
          <w:right w:w="57" w:type="dxa"/>
        </w:tblCellMar>
        <w:tblLook w:val="0000" w:firstRow="0" w:lastRow="0" w:firstColumn="0" w:lastColumn="0" w:noHBand="0" w:noVBand="0"/>
      </w:tblPr>
      <w:tblGrid>
        <w:gridCol w:w="3994"/>
        <w:gridCol w:w="1755"/>
        <w:gridCol w:w="1343"/>
        <w:gridCol w:w="2212"/>
      </w:tblGrid>
      <w:tr w:rsidR="00172694" w:rsidRPr="00F50C10" w14:paraId="5B8076E5" w14:textId="77777777" w:rsidTr="00375F59">
        <w:trPr>
          <w:trHeight w:val="20"/>
          <w:jc w:val="center"/>
        </w:trPr>
        <w:tc>
          <w:tcPr>
            <w:tcW w:w="2146" w:type="pct"/>
            <w:tcBorders>
              <w:top w:val="single" w:sz="6" w:space="0" w:color="auto"/>
              <w:left w:val="single" w:sz="6" w:space="0" w:color="auto"/>
              <w:bottom w:val="single" w:sz="6" w:space="0" w:color="auto"/>
              <w:right w:val="single" w:sz="6" w:space="0" w:color="auto"/>
            </w:tcBorders>
            <w:shd w:val="clear" w:color="auto" w:fill="auto"/>
            <w:vAlign w:val="center"/>
          </w:tcPr>
          <w:p w14:paraId="526E53B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UP</w:t>
            </w:r>
          </w:p>
        </w:tc>
        <w:tc>
          <w:tcPr>
            <w:tcW w:w="943" w:type="pct"/>
            <w:tcBorders>
              <w:top w:val="single" w:sz="6" w:space="0" w:color="auto"/>
              <w:left w:val="single" w:sz="6" w:space="0" w:color="auto"/>
              <w:bottom w:val="single" w:sz="6" w:space="0" w:color="auto"/>
              <w:right w:val="single" w:sz="6" w:space="0" w:color="auto"/>
            </w:tcBorders>
            <w:shd w:val="clear" w:color="auto" w:fill="auto"/>
            <w:vAlign w:val="center"/>
          </w:tcPr>
          <w:p w14:paraId="6D8E518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Birim</w:t>
            </w:r>
          </w:p>
        </w:tc>
        <w:tc>
          <w:tcPr>
            <w:tcW w:w="191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DA4472"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MET ile ilişkili emisyon seviyeleri</w:t>
            </w:r>
          </w:p>
        </w:tc>
      </w:tr>
      <w:tr w:rsidR="00172694" w:rsidRPr="00F50C10" w14:paraId="3605D8A3" w14:textId="77777777" w:rsidTr="00375F59">
        <w:trPr>
          <w:trHeight w:val="2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6A5E12D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Tüketim</w:t>
            </w:r>
          </w:p>
        </w:tc>
      </w:tr>
      <w:tr w:rsidR="00172694" w:rsidRPr="00F50C10" w14:paraId="031EBE44" w14:textId="77777777" w:rsidTr="00375F59">
        <w:trPr>
          <w:trHeight w:val="20"/>
          <w:jc w:val="center"/>
        </w:trPr>
        <w:tc>
          <w:tcPr>
            <w:tcW w:w="2146" w:type="pct"/>
            <w:tcBorders>
              <w:top w:val="single" w:sz="6" w:space="0" w:color="auto"/>
              <w:left w:val="single" w:sz="6" w:space="0" w:color="auto"/>
              <w:bottom w:val="single" w:sz="6" w:space="0" w:color="auto"/>
              <w:right w:val="single" w:sz="6" w:space="0" w:color="auto"/>
            </w:tcBorders>
            <w:shd w:val="clear" w:color="auto" w:fill="auto"/>
            <w:vAlign w:val="center"/>
          </w:tcPr>
          <w:p w14:paraId="1954BBD6"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Enerji</w:t>
            </w:r>
          </w:p>
        </w:tc>
        <w:tc>
          <w:tcPr>
            <w:tcW w:w="943" w:type="pct"/>
            <w:tcBorders>
              <w:top w:val="single" w:sz="6" w:space="0" w:color="auto"/>
              <w:left w:val="single" w:sz="6" w:space="0" w:color="auto"/>
              <w:bottom w:val="single" w:sz="6" w:space="0" w:color="auto"/>
              <w:right w:val="single" w:sz="6" w:space="0" w:color="auto"/>
            </w:tcBorders>
            <w:shd w:val="clear" w:color="auto" w:fill="auto"/>
            <w:vAlign w:val="center"/>
          </w:tcPr>
          <w:p w14:paraId="62B6B35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GJ/t</w:t>
            </w:r>
          </w:p>
        </w:tc>
        <w:tc>
          <w:tcPr>
            <w:tcW w:w="722" w:type="pct"/>
            <w:tcBorders>
              <w:top w:val="single" w:sz="6" w:space="0" w:color="auto"/>
              <w:left w:val="single" w:sz="6" w:space="0" w:color="auto"/>
              <w:bottom w:val="single" w:sz="6" w:space="0" w:color="auto"/>
              <w:right w:val="single" w:sz="6" w:space="0" w:color="auto"/>
            </w:tcBorders>
            <w:shd w:val="clear" w:color="auto" w:fill="auto"/>
            <w:vAlign w:val="center"/>
          </w:tcPr>
          <w:p w14:paraId="160A1B92"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w:t>
            </w:r>
          </w:p>
        </w:tc>
        <w:tc>
          <w:tcPr>
            <w:tcW w:w="1189" w:type="pct"/>
            <w:tcBorders>
              <w:top w:val="single" w:sz="6" w:space="0" w:color="auto"/>
              <w:left w:val="single" w:sz="6" w:space="0" w:color="auto"/>
              <w:bottom w:val="single" w:sz="6" w:space="0" w:color="auto"/>
              <w:right w:val="single" w:sz="6" w:space="0" w:color="auto"/>
            </w:tcBorders>
            <w:shd w:val="clear" w:color="auto" w:fill="auto"/>
            <w:vAlign w:val="center"/>
          </w:tcPr>
          <w:p w14:paraId="1CD06E2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3,5</w:t>
            </w:r>
          </w:p>
        </w:tc>
      </w:tr>
      <w:tr w:rsidR="00172694" w:rsidRPr="00F50C10" w14:paraId="348F9281" w14:textId="77777777" w:rsidTr="00375F59">
        <w:trPr>
          <w:trHeight w:val="20"/>
          <w:jc w:val="center"/>
        </w:trPr>
        <w:tc>
          <w:tcPr>
            <w:tcW w:w="2146" w:type="pct"/>
            <w:tcBorders>
              <w:top w:val="single" w:sz="6" w:space="0" w:color="auto"/>
              <w:left w:val="single" w:sz="6" w:space="0" w:color="auto"/>
              <w:bottom w:val="single" w:sz="6" w:space="0" w:color="auto"/>
              <w:right w:val="single" w:sz="6" w:space="0" w:color="auto"/>
            </w:tcBorders>
            <w:shd w:val="clear" w:color="auto" w:fill="auto"/>
            <w:vAlign w:val="center"/>
          </w:tcPr>
          <w:p w14:paraId="4D75DFFD"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Su</w:t>
            </w:r>
          </w:p>
        </w:tc>
        <w:tc>
          <w:tcPr>
            <w:tcW w:w="943" w:type="pct"/>
            <w:tcBorders>
              <w:top w:val="single" w:sz="6" w:space="0" w:color="auto"/>
              <w:left w:val="single" w:sz="6" w:space="0" w:color="auto"/>
              <w:bottom w:val="single" w:sz="6" w:space="0" w:color="auto"/>
              <w:right w:val="single" w:sz="6" w:space="0" w:color="auto"/>
            </w:tcBorders>
            <w:shd w:val="clear" w:color="auto" w:fill="auto"/>
            <w:vAlign w:val="center"/>
          </w:tcPr>
          <w:p w14:paraId="3E1EC9F9"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m</w:t>
            </w:r>
            <w:r w:rsidRPr="00F50C10">
              <w:rPr>
                <w:rFonts w:eastAsia="Times New Roman" w:cs="Times New Roman"/>
                <w:szCs w:val="24"/>
                <w:vertAlign w:val="superscript"/>
                <w:lang w:val="tr-TR" w:eastAsia="tr-TR" w:bidi="tr-TR"/>
              </w:rPr>
              <w:t>3</w:t>
            </w:r>
            <w:r w:rsidRPr="00F50C10">
              <w:rPr>
                <w:rFonts w:eastAsia="Times New Roman" w:cs="Times New Roman"/>
                <w:szCs w:val="24"/>
                <w:lang w:val="tr-TR" w:eastAsia="tr-TR" w:bidi="tr-TR"/>
              </w:rPr>
              <w:t>/t</w:t>
            </w:r>
          </w:p>
        </w:tc>
        <w:tc>
          <w:tcPr>
            <w:tcW w:w="722" w:type="pct"/>
            <w:tcBorders>
              <w:top w:val="single" w:sz="6" w:space="0" w:color="auto"/>
              <w:left w:val="single" w:sz="6" w:space="0" w:color="auto"/>
              <w:bottom w:val="single" w:sz="6" w:space="0" w:color="auto"/>
              <w:right w:val="single" w:sz="6" w:space="0" w:color="auto"/>
            </w:tcBorders>
            <w:shd w:val="clear" w:color="auto" w:fill="auto"/>
            <w:vAlign w:val="center"/>
          </w:tcPr>
          <w:p w14:paraId="3E3736DD"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w:t>
            </w:r>
          </w:p>
        </w:tc>
        <w:tc>
          <w:tcPr>
            <w:tcW w:w="1189" w:type="pct"/>
            <w:tcBorders>
              <w:top w:val="single" w:sz="6" w:space="0" w:color="auto"/>
              <w:left w:val="single" w:sz="6" w:space="0" w:color="auto"/>
              <w:bottom w:val="single" w:sz="6" w:space="0" w:color="auto"/>
              <w:right w:val="single" w:sz="6" w:space="0" w:color="auto"/>
            </w:tcBorders>
            <w:shd w:val="clear" w:color="auto" w:fill="auto"/>
            <w:vAlign w:val="center"/>
          </w:tcPr>
          <w:p w14:paraId="67409B3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5</w:t>
            </w:r>
          </w:p>
        </w:tc>
      </w:tr>
      <w:tr w:rsidR="00172694" w:rsidRPr="00F50C10" w14:paraId="6C5E7803" w14:textId="77777777" w:rsidTr="00375F59">
        <w:trPr>
          <w:trHeight w:val="2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02F42C9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Hava emisyonları</w:t>
            </w:r>
          </w:p>
        </w:tc>
      </w:tr>
      <w:tr w:rsidR="00172694" w:rsidRPr="00F50C10" w14:paraId="48EBD0F1" w14:textId="77777777" w:rsidTr="00375F59">
        <w:trPr>
          <w:trHeight w:val="20"/>
          <w:jc w:val="center"/>
        </w:trPr>
        <w:tc>
          <w:tcPr>
            <w:tcW w:w="2146" w:type="pct"/>
            <w:tcBorders>
              <w:top w:val="single" w:sz="6" w:space="0" w:color="auto"/>
              <w:left w:val="single" w:sz="6" w:space="0" w:color="auto"/>
              <w:bottom w:val="single" w:sz="6" w:space="0" w:color="auto"/>
              <w:right w:val="single" w:sz="6" w:space="0" w:color="auto"/>
            </w:tcBorders>
            <w:shd w:val="clear" w:color="auto" w:fill="auto"/>
            <w:vAlign w:val="center"/>
          </w:tcPr>
          <w:p w14:paraId="7F2EF3EA"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Havaya UOB</w:t>
            </w:r>
          </w:p>
        </w:tc>
        <w:tc>
          <w:tcPr>
            <w:tcW w:w="943" w:type="pct"/>
            <w:tcBorders>
              <w:top w:val="single" w:sz="6" w:space="0" w:color="auto"/>
              <w:left w:val="single" w:sz="6" w:space="0" w:color="auto"/>
              <w:bottom w:val="single" w:sz="6" w:space="0" w:color="auto"/>
              <w:right w:val="single" w:sz="6" w:space="0" w:color="auto"/>
            </w:tcBorders>
            <w:shd w:val="clear" w:color="auto" w:fill="auto"/>
            <w:vAlign w:val="center"/>
          </w:tcPr>
          <w:p w14:paraId="47504D4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g/t</w:t>
            </w:r>
          </w:p>
        </w:tc>
        <w:tc>
          <w:tcPr>
            <w:tcW w:w="722" w:type="pct"/>
            <w:tcBorders>
              <w:top w:val="single" w:sz="6" w:space="0" w:color="auto"/>
              <w:left w:val="single" w:sz="6" w:space="0" w:color="auto"/>
              <w:bottom w:val="single" w:sz="6" w:space="0" w:color="auto"/>
              <w:right w:val="single" w:sz="6" w:space="0" w:color="auto"/>
            </w:tcBorders>
            <w:shd w:val="clear" w:color="auto" w:fill="auto"/>
            <w:vAlign w:val="center"/>
          </w:tcPr>
          <w:p w14:paraId="6EB1343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40</w:t>
            </w:r>
          </w:p>
        </w:tc>
        <w:tc>
          <w:tcPr>
            <w:tcW w:w="1189" w:type="pct"/>
            <w:tcBorders>
              <w:top w:val="single" w:sz="6" w:space="0" w:color="auto"/>
              <w:left w:val="single" w:sz="6" w:space="0" w:color="auto"/>
              <w:bottom w:val="single" w:sz="6" w:space="0" w:color="auto"/>
              <w:right w:val="single" w:sz="6" w:space="0" w:color="auto"/>
            </w:tcBorders>
            <w:shd w:val="clear" w:color="auto" w:fill="auto"/>
            <w:vAlign w:val="center"/>
          </w:tcPr>
          <w:p w14:paraId="1F2E291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100</w:t>
            </w:r>
          </w:p>
        </w:tc>
      </w:tr>
      <w:tr w:rsidR="00172694" w:rsidRPr="00F50C10" w14:paraId="2CDA6CD4" w14:textId="77777777" w:rsidTr="00375F59">
        <w:trPr>
          <w:trHeight w:val="20"/>
          <w:jc w:val="center"/>
        </w:trPr>
        <w:tc>
          <w:tcPr>
            <w:tcW w:w="2146" w:type="pct"/>
            <w:tcBorders>
              <w:top w:val="single" w:sz="6" w:space="0" w:color="auto"/>
              <w:left w:val="single" w:sz="6" w:space="0" w:color="auto"/>
              <w:bottom w:val="single" w:sz="6" w:space="0" w:color="auto"/>
              <w:right w:val="single" w:sz="6" w:space="0" w:color="auto"/>
            </w:tcBorders>
            <w:shd w:val="clear" w:color="auto" w:fill="auto"/>
            <w:vAlign w:val="center"/>
          </w:tcPr>
          <w:p w14:paraId="19BB891E"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Havaya CO</w:t>
            </w:r>
          </w:p>
        </w:tc>
        <w:tc>
          <w:tcPr>
            <w:tcW w:w="943" w:type="pct"/>
            <w:tcBorders>
              <w:top w:val="single" w:sz="6" w:space="0" w:color="auto"/>
              <w:left w:val="single" w:sz="6" w:space="0" w:color="auto"/>
              <w:bottom w:val="single" w:sz="6" w:space="0" w:color="auto"/>
              <w:right w:val="single" w:sz="6" w:space="0" w:color="auto"/>
            </w:tcBorders>
            <w:shd w:val="clear" w:color="auto" w:fill="auto"/>
            <w:vAlign w:val="center"/>
          </w:tcPr>
          <w:p w14:paraId="4A87F60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g/t</w:t>
            </w:r>
          </w:p>
        </w:tc>
        <w:tc>
          <w:tcPr>
            <w:tcW w:w="722" w:type="pct"/>
            <w:tcBorders>
              <w:top w:val="single" w:sz="6" w:space="0" w:color="auto"/>
              <w:left w:val="single" w:sz="6" w:space="0" w:color="auto"/>
              <w:bottom w:val="single" w:sz="6" w:space="0" w:color="auto"/>
              <w:right w:val="single" w:sz="6" w:space="0" w:color="auto"/>
            </w:tcBorders>
            <w:shd w:val="clear" w:color="auto" w:fill="auto"/>
            <w:vAlign w:val="center"/>
          </w:tcPr>
          <w:p w14:paraId="5CF631E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p>
        </w:tc>
        <w:tc>
          <w:tcPr>
            <w:tcW w:w="1189" w:type="pct"/>
            <w:tcBorders>
              <w:top w:val="single" w:sz="6" w:space="0" w:color="auto"/>
              <w:left w:val="single" w:sz="6" w:space="0" w:color="auto"/>
              <w:bottom w:val="single" w:sz="6" w:space="0" w:color="auto"/>
              <w:right w:val="single" w:sz="6" w:space="0" w:color="auto"/>
            </w:tcBorders>
            <w:shd w:val="clear" w:color="auto" w:fill="auto"/>
            <w:vAlign w:val="center"/>
          </w:tcPr>
          <w:p w14:paraId="6BE4353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50</w:t>
            </w:r>
          </w:p>
        </w:tc>
      </w:tr>
      <w:tr w:rsidR="00172694" w:rsidRPr="00F50C10" w14:paraId="7D5FDE2C" w14:textId="77777777" w:rsidTr="00375F59">
        <w:trPr>
          <w:trHeight w:val="20"/>
          <w:jc w:val="center"/>
        </w:trPr>
        <w:tc>
          <w:tcPr>
            <w:tcW w:w="2146" w:type="pct"/>
            <w:tcBorders>
              <w:top w:val="single" w:sz="6" w:space="0" w:color="auto"/>
              <w:left w:val="single" w:sz="6" w:space="0" w:color="auto"/>
              <w:bottom w:val="single" w:sz="6" w:space="0" w:color="auto"/>
              <w:right w:val="single" w:sz="6" w:space="0" w:color="auto"/>
            </w:tcBorders>
            <w:shd w:val="clear" w:color="auto" w:fill="auto"/>
            <w:vAlign w:val="center"/>
          </w:tcPr>
          <w:p w14:paraId="528DBF94"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Havaya CO</w:t>
            </w:r>
            <w:r w:rsidRPr="00F50C10">
              <w:rPr>
                <w:rFonts w:eastAsia="Times New Roman" w:cs="Times New Roman"/>
                <w:szCs w:val="24"/>
                <w:vertAlign w:val="subscript"/>
                <w:lang w:val="tr-TR" w:eastAsia="tr-TR" w:bidi="tr-TR"/>
              </w:rPr>
              <w:t>2</w:t>
            </w:r>
          </w:p>
        </w:tc>
        <w:tc>
          <w:tcPr>
            <w:tcW w:w="943" w:type="pct"/>
            <w:tcBorders>
              <w:top w:val="single" w:sz="6" w:space="0" w:color="auto"/>
              <w:left w:val="single" w:sz="6" w:space="0" w:color="auto"/>
              <w:bottom w:val="single" w:sz="6" w:space="0" w:color="auto"/>
              <w:right w:val="single" w:sz="6" w:space="0" w:color="auto"/>
            </w:tcBorders>
            <w:shd w:val="clear" w:color="auto" w:fill="auto"/>
            <w:vAlign w:val="center"/>
          </w:tcPr>
          <w:p w14:paraId="22FB844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kg/t</w:t>
            </w:r>
          </w:p>
        </w:tc>
        <w:tc>
          <w:tcPr>
            <w:tcW w:w="722" w:type="pct"/>
            <w:tcBorders>
              <w:top w:val="single" w:sz="6" w:space="0" w:color="auto"/>
              <w:left w:val="single" w:sz="6" w:space="0" w:color="auto"/>
              <w:bottom w:val="single" w:sz="6" w:space="0" w:color="auto"/>
              <w:right w:val="single" w:sz="6" w:space="0" w:color="auto"/>
            </w:tcBorders>
            <w:shd w:val="clear" w:color="auto" w:fill="auto"/>
            <w:vAlign w:val="center"/>
          </w:tcPr>
          <w:p w14:paraId="260F81A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50</w:t>
            </w:r>
          </w:p>
        </w:tc>
        <w:tc>
          <w:tcPr>
            <w:tcW w:w="1189" w:type="pct"/>
            <w:tcBorders>
              <w:top w:val="single" w:sz="6" w:space="0" w:color="auto"/>
              <w:left w:val="single" w:sz="6" w:space="0" w:color="auto"/>
              <w:bottom w:val="single" w:sz="6" w:space="0" w:color="auto"/>
              <w:right w:val="single" w:sz="6" w:space="0" w:color="auto"/>
            </w:tcBorders>
            <w:shd w:val="clear" w:color="auto" w:fill="auto"/>
            <w:vAlign w:val="center"/>
          </w:tcPr>
          <w:p w14:paraId="3BEC9012"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150</w:t>
            </w:r>
          </w:p>
        </w:tc>
      </w:tr>
      <w:tr w:rsidR="00172694" w:rsidRPr="00F50C10" w14:paraId="100F1CF8" w14:textId="77777777" w:rsidTr="00375F59">
        <w:trPr>
          <w:trHeight w:val="20"/>
          <w:jc w:val="center"/>
        </w:trPr>
        <w:tc>
          <w:tcPr>
            <w:tcW w:w="2146" w:type="pct"/>
            <w:tcBorders>
              <w:top w:val="single" w:sz="6" w:space="0" w:color="auto"/>
              <w:left w:val="single" w:sz="6" w:space="0" w:color="auto"/>
              <w:bottom w:val="single" w:sz="6" w:space="0" w:color="auto"/>
              <w:right w:val="single" w:sz="6" w:space="0" w:color="auto"/>
            </w:tcBorders>
            <w:shd w:val="clear" w:color="auto" w:fill="auto"/>
            <w:vAlign w:val="center"/>
          </w:tcPr>
          <w:p w14:paraId="61DB43CE"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Havaya NO</w:t>
            </w:r>
            <w:r w:rsidRPr="00F50C10">
              <w:rPr>
                <w:rFonts w:eastAsia="Times New Roman" w:cs="Times New Roman"/>
                <w:szCs w:val="24"/>
                <w:vertAlign w:val="subscript"/>
                <w:lang w:val="tr-TR" w:eastAsia="tr-TR" w:bidi="tr-TR"/>
              </w:rPr>
              <w:t>x</w:t>
            </w:r>
          </w:p>
        </w:tc>
        <w:tc>
          <w:tcPr>
            <w:tcW w:w="943" w:type="pct"/>
            <w:tcBorders>
              <w:top w:val="single" w:sz="6" w:space="0" w:color="auto"/>
              <w:left w:val="single" w:sz="6" w:space="0" w:color="auto"/>
              <w:bottom w:val="single" w:sz="6" w:space="0" w:color="auto"/>
              <w:right w:val="single" w:sz="6" w:space="0" w:color="auto"/>
            </w:tcBorders>
            <w:shd w:val="clear" w:color="auto" w:fill="auto"/>
            <w:vAlign w:val="center"/>
          </w:tcPr>
          <w:p w14:paraId="33C51F9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g/t</w:t>
            </w:r>
          </w:p>
        </w:tc>
        <w:tc>
          <w:tcPr>
            <w:tcW w:w="722" w:type="pct"/>
            <w:tcBorders>
              <w:top w:val="single" w:sz="6" w:space="0" w:color="auto"/>
              <w:left w:val="single" w:sz="6" w:space="0" w:color="auto"/>
              <w:bottom w:val="single" w:sz="6" w:space="0" w:color="auto"/>
              <w:right w:val="single" w:sz="6" w:space="0" w:color="auto"/>
            </w:tcBorders>
            <w:shd w:val="clear" w:color="auto" w:fill="auto"/>
            <w:vAlign w:val="center"/>
          </w:tcPr>
          <w:p w14:paraId="2C58961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60</w:t>
            </w:r>
          </w:p>
        </w:tc>
        <w:tc>
          <w:tcPr>
            <w:tcW w:w="1189" w:type="pct"/>
            <w:tcBorders>
              <w:top w:val="single" w:sz="6" w:space="0" w:color="auto"/>
              <w:left w:val="single" w:sz="6" w:space="0" w:color="auto"/>
              <w:bottom w:val="single" w:sz="6" w:space="0" w:color="auto"/>
              <w:right w:val="single" w:sz="6" w:space="0" w:color="auto"/>
            </w:tcBorders>
            <w:shd w:val="clear" w:color="auto" w:fill="auto"/>
            <w:vAlign w:val="center"/>
          </w:tcPr>
          <w:p w14:paraId="5D83458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150</w:t>
            </w:r>
          </w:p>
        </w:tc>
      </w:tr>
      <w:tr w:rsidR="00172694" w:rsidRPr="00F50C10" w14:paraId="5546E55D" w14:textId="77777777" w:rsidTr="00375F59">
        <w:trPr>
          <w:trHeight w:val="20"/>
          <w:jc w:val="center"/>
        </w:trPr>
        <w:tc>
          <w:tcPr>
            <w:tcW w:w="2146" w:type="pct"/>
            <w:tcBorders>
              <w:top w:val="single" w:sz="6" w:space="0" w:color="auto"/>
              <w:left w:val="single" w:sz="6" w:space="0" w:color="auto"/>
              <w:bottom w:val="single" w:sz="6" w:space="0" w:color="auto"/>
              <w:right w:val="single" w:sz="6" w:space="0" w:color="auto"/>
            </w:tcBorders>
            <w:shd w:val="clear" w:color="auto" w:fill="auto"/>
            <w:vAlign w:val="center"/>
          </w:tcPr>
          <w:p w14:paraId="2ED7102A"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Havaya SO</w:t>
            </w:r>
            <w:r w:rsidRPr="00F50C10">
              <w:rPr>
                <w:rFonts w:eastAsia="Times New Roman" w:cs="Times New Roman"/>
                <w:szCs w:val="24"/>
                <w:vertAlign w:val="subscript"/>
                <w:lang w:val="tr-TR" w:eastAsia="tr-TR" w:bidi="tr-TR"/>
              </w:rPr>
              <w:t>2</w:t>
            </w:r>
          </w:p>
        </w:tc>
        <w:tc>
          <w:tcPr>
            <w:tcW w:w="943" w:type="pct"/>
            <w:tcBorders>
              <w:top w:val="single" w:sz="6" w:space="0" w:color="auto"/>
              <w:left w:val="single" w:sz="6" w:space="0" w:color="auto"/>
              <w:bottom w:val="single" w:sz="6" w:space="0" w:color="auto"/>
              <w:right w:val="single" w:sz="6" w:space="0" w:color="auto"/>
            </w:tcBorders>
            <w:shd w:val="clear" w:color="auto" w:fill="auto"/>
            <w:vAlign w:val="center"/>
          </w:tcPr>
          <w:p w14:paraId="0B93EC5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g/t</w:t>
            </w:r>
          </w:p>
        </w:tc>
        <w:tc>
          <w:tcPr>
            <w:tcW w:w="722" w:type="pct"/>
            <w:tcBorders>
              <w:top w:val="single" w:sz="6" w:space="0" w:color="auto"/>
              <w:left w:val="single" w:sz="6" w:space="0" w:color="auto"/>
              <w:bottom w:val="single" w:sz="6" w:space="0" w:color="auto"/>
              <w:right w:val="single" w:sz="6" w:space="0" w:color="auto"/>
            </w:tcBorders>
            <w:shd w:val="clear" w:color="auto" w:fill="auto"/>
            <w:vAlign w:val="center"/>
          </w:tcPr>
          <w:p w14:paraId="44DE40E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 0</w:t>
            </w:r>
          </w:p>
        </w:tc>
        <w:tc>
          <w:tcPr>
            <w:tcW w:w="1189" w:type="pct"/>
            <w:tcBorders>
              <w:top w:val="single" w:sz="6" w:space="0" w:color="auto"/>
              <w:left w:val="single" w:sz="6" w:space="0" w:color="auto"/>
              <w:bottom w:val="single" w:sz="6" w:space="0" w:color="auto"/>
              <w:right w:val="single" w:sz="6" w:space="0" w:color="auto"/>
            </w:tcBorders>
            <w:shd w:val="clear" w:color="auto" w:fill="auto"/>
            <w:vAlign w:val="center"/>
          </w:tcPr>
          <w:p w14:paraId="1D6C0D4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100</w:t>
            </w:r>
          </w:p>
        </w:tc>
      </w:tr>
      <w:tr w:rsidR="00172694" w:rsidRPr="00F50C10" w14:paraId="2720FACE" w14:textId="77777777" w:rsidTr="00375F59">
        <w:trPr>
          <w:trHeight w:val="20"/>
          <w:jc w:val="center"/>
        </w:trPr>
        <w:tc>
          <w:tcPr>
            <w:tcW w:w="2146" w:type="pct"/>
            <w:tcBorders>
              <w:top w:val="single" w:sz="6" w:space="0" w:color="auto"/>
              <w:left w:val="single" w:sz="6" w:space="0" w:color="auto"/>
              <w:bottom w:val="single" w:sz="6" w:space="0" w:color="auto"/>
              <w:right w:val="single" w:sz="6" w:space="0" w:color="auto"/>
            </w:tcBorders>
            <w:shd w:val="clear" w:color="auto" w:fill="auto"/>
            <w:vAlign w:val="center"/>
          </w:tcPr>
          <w:p w14:paraId="1BDA08F0"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Havaya parçacıklar</w:t>
            </w:r>
          </w:p>
        </w:tc>
        <w:tc>
          <w:tcPr>
            <w:tcW w:w="943" w:type="pct"/>
            <w:tcBorders>
              <w:top w:val="single" w:sz="6" w:space="0" w:color="auto"/>
              <w:left w:val="single" w:sz="6" w:space="0" w:color="auto"/>
              <w:bottom w:val="single" w:sz="6" w:space="0" w:color="auto"/>
              <w:right w:val="single" w:sz="6" w:space="0" w:color="auto"/>
            </w:tcBorders>
            <w:shd w:val="clear" w:color="auto" w:fill="auto"/>
            <w:vAlign w:val="center"/>
          </w:tcPr>
          <w:p w14:paraId="1695A519"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g/t</w:t>
            </w:r>
          </w:p>
        </w:tc>
        <w:tc>
          <w:tcPr>
            <w:tcW w:w="722" w:type="pct"/>
            <w:tcBorders>
              <w:top w:val="single" w:sz="6" w:space="0" w:color="auto"/>
              <w:left w:val="single" w:sz="6" w:space="0" w:color="auto"/>
              <w:bottom w:val="single" w:sz="6" w:space="0" w:color="auto"/>
              <w:right w:val="single" w:sz="6" w:space="0" w:color="auto"/>
            </w:tcBorders>
            <w:shd w:val="clear" w:color="auto" w:fill="auto"/>
            <w:vAlign w:val="center"/>
          </w:tcPr>
          <w:p w14:paraId="05EB759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5</w:t>
            </w:r>
          </w:p>
        </w:tc>
        <w:tc>
          <w:tcPr>
            <w:tcW w:w="1189" w:type="pct"/>
            <w:tcBorders>
              <w:top w:val="single" w:sz="6" w:space="0" w:color="auto"/>
              <w:left w:val="single" w:sz="6" w:space="0" w:color="auto"/>
              <w:bottom w:val="single" w:sz="6" w:space="0" w:color="auto"/>
              <w:right w:val="single" w:sz="6" w:space="0" w:color="auto"/>
            </w:tcBorders>
            <w:shd w:val="clear" w:color="auto" w:fill="auto"/>
            <w:vAlign w:val="center"/>
          </w:tcPr>
          <w:p w14:paraId="350BF774"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30</w:t>
            </w:r>
          </w:p>
        </w:tc>
      </w:tr>
      <w:tr w:rsidR="00172694" w:rsidRPr="00F50C10" w14:paraId="0959DF60" w14:textId="77777777" w:rsidTr="00375F59">
        <w:trPr>
          <w:trHeight w:val="2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3742664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Atık</w:t>
            </w:r>
          </w:p>
        </w:tc>
      </w:tr>
      <w:tr w:rsidR="00172694" w:rsidRPr="00F50C10" w14:paraId="607B5813" w14:textId="77777777" w:rsidTr="00375F59">
        <w:trPr>
          <w:trHeight w:val="20"/>
          <w:jc w:val="center"/>
        </w:trPr>
        <w:tc>
          <w:tcPr>
            <w:tcW w:w="2146" w:type="pct"/>
            <w:tcBorders>
              <w:top w:val="single" w:sz="6" w:space="0" w:color="auto"/>
              <w:left w:val="single" w:sz="6" w:space="0" w:color="auto"/>
              <w:bottom w:val="single" w:sz="6" w:space="0" w:color="auto"/>
              <w:right w:val="single" w:sz="6" w:space="0" w:color="auto"/>
            </w:tcBorders>
            <w:shd w:val="clear" w:color="auto" w:fill="auto"/>
            <w:vAlign w:val="center"/>
          </w:tcPr>
          <w:p w14:paraId="57DB20D8"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tr-TR" w:eastAsia="tr-TR"/>
              </w:rPr>
            </w:pPr>
            <w:r w:rsidRPr="00F50C10">
              <w:rPr>
                <w:rFonts w:eastAsia="Times New Roman" w:cs="Times New Roman"/>
                <w:szCs w:val="24"/>
                <w:lang w:val="tr-TR" w:eastAsia="tr-TR" w:bidi="tr-TR"/>
              </w:rPr>
              <w:t>Harici arıtmaya giden tehlikeli atık</w:t>
            </w:r>
          </w:p>
        </w:tc>
        <w:tc>
          <w:tcPr>
            <w:tcW w:w="943" w:type="pct"/>
            <w:tcBorders>
              <w:top w:val="single" w:sz="6" w:space="0" w:color="auto"/>
              <w:left w:val="single" w:sz="6" w:space="0" w:color="auto"/>
              <w:bottom w:val="single" w:sz="6" w:space="0" w:color="auto"/>
              <w:right w:val="single" w:sz="6" w:space="0" w:color="auto"/>
            </w:tcBorders>
            <w:shd w:val="clear" w:color="auto" w:fill="auto"/>
            <w:vAlign w:val="center"/>
          </w:tcPr>
          <w:p w14:paraId="0C87D67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kg/t</w:t>
            </w:r>
          </w:p>
        </w:tc>
        <w:tc>
          <w:tcPr>
            <w:tcW w:w="722" w:type="pct"/>
            <w:tcBorders>
              <w:top w:val="single" w:sz="6" w:space="0" w:color="auto"/>
              <w:left w:val="single" w:sz="6" w:space="0" w:color="auto"/>
              <w:bottom w:val="single" w:sz="6" w:space="0" w:color="auto"/>
              <w:right w:val="single" w:sz="6" w:space="0" w:color="auto"/>
            </w:tcBorders>
            <w:shd w:val="clear" w:color="auto" w:fill="auto"/>
            <w:vAlign w:val="center"/>
          </w:tcPr>
          <w:p w14:paraId="523A439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p>
        </w:tc>
        <w:tc>
          <w:tcPr>
            <w:tcW w:w="1189" w:type="pct"/>
            <w:tcBorders>
              <w:top w:val="single" w:sz="6" w:space="0" w:color="auto"/>
              <w:left w:val="single" w:sz="6" w:space="0" w:color="auto"/>
              <w:bottom w:val="single" w:sz="6" w:space="0" w:color="auto"/>
              <w:right w:val="single" w:sz="6" w:space="0" w:color="auto"/>
            </w:tcBorders>
            <w:shd w:val="clear" w:color="auto" w:fill="auto"/>
            <w:vAlign w:val="center"/>
          </w:tcPr>
          <w:p w14:paraId="20405EA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7</w:t>
            </w:r>
          </w:p>
        </w:tc>
      </w:tr>
    </w:tbl>
    <w:p w14:paraId="76EEA7F7" w14:textId="77777777" w:rsidR="00172694" w:rsidRPr="00F50C10" w:rsidRDefault="00172694" w:rsidP="000B206D">
      <w:pPr>
        <w:widowControl w:val="0"/>
        <w:numPr>
          <w:ilvl w:val="1"/>
          <w:numId w:val="19"/>
        </w:numPr>
        <w:autoSpaceDE w:val="0"/>
        <w:autoSpaceDN w:val="0"/>
        <w:adjustRightInd w:val="0"/>
        <w:spacing w:before="120" w:after="60" w:line="276" w:lineRule="auto"/>
        <w:jc w:val="left"/>
        <w:outlineLvl w:val="1"/>
        <w:rPr>
          <w:rFonts w:eastAsia="Arial" w:cs="Times New Roman"/>
          <w:b/>
          <w:bCs/>
          <w:szCs w:val="24"/>
          <w:lang w:val="tr-TR" w:bidi="tr-TR"/>
        </w:rPr>
      </w:pPr>
      <w:r w:rsidRPr="00F50C10">
        <w:rPr>
          <w:rFonts w:eastAsia="Arial" w:cs="Times New Roman"/>
          <w:b/>
          <w:bCs/>
          <w:szCs w:val="24"/>
          <w:lang w:val="tr-TR"/>
        </w:rPr>
        <w:t>ESBR</w:t>
      </w:r>
      <w:r w:rsidRPr="00F50C10">
        <w:rPr>
          <w:rFonts w:eastAsia="Arial" w:cs="Times New Roman"/>
          <w:b/>
          <w:bCs/>
          <w:szCs w:val="24"/>
          <w:lang w:val="tr-TR" w:bidi="tr-TR"/>
        </w:rPr>
        <w:t xml:space="preserve"> üretimi için MET</w:t>
      </w:r>
    </w:p>
    <w:p w14:paraId="3CAEB17B" w14:textId="3C315ECB"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bidi="tr-TR"/>
        </w:rPr>
      </w:pPr>
      <w:r w:rsidRPr="00F50C10">
        <w:rPr>
          <w:rFonts w:eastAsia="Times New Roman" w:cs="Times New Roman"/>
          <w:b/>
          <w:szCs w:val="24"/>
          <w:lang w:val="tr-TR" w:eastAsia="tr-TR" w:bidi="tr-TR"/>
        </w:rPr>
        <w:t xml:space="preserve">MET </w:t>
      </w:r>
      <w:r w:rsidR="00FD468E" w:rsidRPr="00F50C10">
        <w:rPr>
          <w:rFonts w:eastAsia="Times New Roman" w:cs="Times New Roman"/>
          <w:b/>
          <w:szCs w:val="24"/>
          <w:lang w:val="tr-TR" w:eastAsia="tr-TR" w:bidi="tr-TR"/>
        </w:rPr>
        <w:t>1</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Tesis depolama tanklarının tasarımını ve bakımını, sızıntıları ve bunun sonucunda ortaya çıkan hava, toprak ve su kirliliğini önleyecek şekilde yapı</w:t>
      </w:r>
      <w:r w:rsidR="00552DDC" w:rsidRPr="00F50C10">
        <w:rPr>
          <w:rFonts w:eastAsia="Times New Roman" w:cs="Times New Roman"/>
          <w:bCs/>
          <w:szCs w:val="24"/>
          <w:lang w:val="tr-TR" w:eastAsia="tr-TR" w:bidi="tr-TR"/>
        </w:rPr>
        <w:t>lı</w:t>
      </w:r>
      <w:r w:rsidRPr="00F50C10">
        <w:rPr>
          <w:rFonts w:eastAsia="Times New Roman" w:cs="Times New Roman"/>
          <w:bCs/>
          <w:szCs w:val="24"/>
          <w:lang w:val="tr-TR" w:eastAsia="tr-TR" w:bidi="tr-TR"/>
        </w:rPr>
        <w:t>r.</w:t>
      </w:r>
    </w:p>
    <w:p w14:paraId="3E05A25F" w14:textId="3BD57C83" w:rsidR="00FD468E" w:rsidRPr="00F50C10" w:rsidRDefault="00FD468E"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2.6.1 Kısmını inceleyiniz.)</w:t>
        </w:r>
      </w:hyperlink>
    </w:p>
    <w:p w14:paraId="14DB942D" w14:textId="330E8150" w:rsidR="00172694" w:rsidRPr="00F50C10" w:rsidRDefault="00D32A8E" w:rsidP="000B206D">
      <w:pPr>
        <w:widowControl w:val="0"/>
        <w:autoSpaceDE w:val="0"/>
        <w:autoSpaceDN w:val="0"/>
        <w:adjustRightInd w:val="0"/>
        <w:spacing w:before="120" w:after="60" w:line="276" w:lineRule="auto"/>
        <w:rPr>
          <w:rFonts w:eastAsia="Times New Roman" w:cs="Times New Roman"/>
          <w:szCs w:val="24"/>
          <w:lang w:val="tr-TR" w:eastAsia="tr-TR"/>
        </w:rPr>
      </w:pPr>
      <w:r w:rsidRPr="00F50C10">
        <w:rPr>
          <w:rFonts w:eastAsia="Times New Roman" w:cs="Times New Roman"/>
          <w:szCs w:val="24"/>
          <w:lang w:val="tr-TR" w:eastAsia="tr-TR" w:bidi="tr-TR"/>
        </w:rPr>
        <w:t>-</w:t>
      </w:r>
      <w:r w:rsidR="00BA2696" w:rsidRPr="00F50C10">
        <w:rPr>
          <w:rFonts w:eastAsia="Times New Roman" w:cs="Times New Roman"/>
          <w:szCs w:val="24"/>
          <w:lang w:val="tr-TR" w:eastAsia="tr-TR" w:bidi="tr-TR"/>
        </w:rPr>
        <w:t>Bütadien,</w:t>
      </w:r>
      <w:r w:rsidR="00172694" w:rsidRPr="00F50C10">
        <w:rPr>
          <w:rFonts w:eastAsia="Times New Roman" w:cs="Times New Roman"/>
          <w:szCs w:val="24"/>
          <w:lang w:val="tr-TR" w:eastAsia="tr-TR" w:bidi="tr-TR"/>
        </w:rPr>
        <w:t xml:space="preserve"> dışarıdaki yangından kaynaklanan riski en aza indirmek için refrakter malzeme ile kaplanmış kürelerde kendi buhar basıncı altında depolanır.</w:t>
      </w:r>
    </w:p>
    <w:p w14:paraId="46D049AE" w14:textId="4E83B7A6" w:rsidR="00172694" w:rsidRPr="00F50C10" w:rsidRDefault="00D32A8E" w:rsidP="000B206D">
      <w:pPr>
        <w:widowControl w:val="0"/>
        <w:autoSpaceDE w:val="0"/>
        <w:autoSpaceDN w:val="0"/>
        <w:adjustRightInd w:val="0"/>
        <w:spacing w:before="120" w:after="60" w:line="276" w:lineRule="auto"/>
        <w:rPr>
          <w:rFonts w:eastAsia="Times New Roman" w:cs="Times New Roman"/>
          <w:szCs w:val="24"/>
          <w:lang w:val="tr-TR" w:eastAsia="tr-TR"/>
        </w:rPr>
      </w:pPr>
      <w:r w:rsidRPr="00F50C10">
        <w:rPr>
          <w:rFonts w:eastAsia="Times New Roman" w:cs="Times New Roman"/>
          <w:szCs w:val="24"/>
          <w:lang w:val="tr-TR" w:eastAsia="tr-TR" w:bidi="tr-TR"/>
        </w:rPr>
        <w:t>-</w:t>
      </w:r>
      <w:r w:rsidR="00BA2696" w:rsidRPr="00F50C10">
        <w:rPr>
          <w:rFonts w:eastAsia="Times New Roman" w:cs="Times New Roman"/>
          <w:szCs w:val="24"/>
          <w:lang w:val="tr-TR" w:eastAsia="tr-TR" w:bidi="tr-TR"/>
        </w:rPr>
        <w:t>S</w:t>
      </w:r>
      <w:r w:rsidR="00172694" w:rsidRPr="00F50C10">
        <w:rPr>
          <w:rFonts w:eastAsia="Times New Roman" w:cs="Times New Roman"/>
          <w:szCs w:val="24"/>
          <w:lang w:val="tr-TR" w:eastAsia="tr-TR" w:bidi="tr-TR"/>
        </w:rPr>
        <w:t>tiren</w:t>
      </w:r>
      <w:r w:rsidR="00BA2696" w:rsidRPr="00F50C10">
        <w:rPr>
          <w:rFonts w:eastAsia="Times New Roman" w:cs="Times New Roman"/>
          <w:szCs w:val="24"/>
          <w:lang w:val="tr-TR" w:eastAsia="tr-TR" w:bidi="tr-TR"/>
        </w:rPr>
        <w:t>,</w:t>
      </w:r>
      <w:r w:rsidR="00172694" w:rsidRPr="00F50C10">
        <w:rPr>
          <w:rFonts w:eastAsia="Times New Roman" w:cs="Times New Roman"/>
          <w:szCs w:val="24"/>
          <w:lang w:val="tr-TR" w:eastAsia="tr-TR" w:bidi="tr-TR"/>
        </w:rPr>
        <w:t xml:space="preserve"> harici bir eşanjör aracılığıyla soğuk koşullar altında depolanır.</w:t>
      </w:r>
    </w:p>
    <w:p w14:paraId="3FA76F0E" w14:textId="2E293020" w:rsidR="00172694" w:rsidRPr="00F50C10" w:rsidRDefault="00D32A8E" w:rsidP="000B206D">
      <w:pPr>
        <w:widowControl w:val="0"/>
        <w:autoSpaceDE w:val="0"/>
        <w:autoSpaceDN w:val="0"/>
        <w:adjustRightInd w:val="0"/>
        <w:spacing w:before="120" w:after="60" w:line="276" w:lineRule="auto"/>
        <w:rPr>
          <w:rFonts w:eastAsia="Times New Roman" w:cs="Times New Roman"/>
          <w:szCs w:val="24"/>
          <w:lang w:val="tr-TR" w:eastAsia="tr-TR"/>
        </w:rPr>
      </w:pPr>
      <w:r w:rsidRPr="00F50C10">
        <w:rPr>
          <w:rFonts w:eastAsia="Times New Roman" w:cs="Times New Roman"/>
          <w:szCs w:val="24"/>
          <w:lang w:val="tr-TR" w:eastAsia="tr-TR" w:bidi="tr-TR"/>
        </w:rPr>
        <w:t>-</w:t>
      </w:r>
      <w:r w:rsidR="00BA2696" w:rsidRPr="00F50C10">
        <w:rPr>
          <w:rFonts w:eastAsia="Times New Roman" w:cs="Times New Roman"/>
          <w:szCs w:val="24"/>
          <w:lang w:val="tr-TR" w:eastAsia="tr-TR" w:bidi="tr-TR"/>
        </w:rPr>
        <w:t>A</w:t>
      </w:r>
      <w:r w:rsidR="00172694" w:rsidRPr="00F50C10">
        <w:rPr>
          <w:rFonts w:eastAsia="Times New Roman" w:cs="Times New Roman"/>
          <w:szCs w:val="24"/>
          <w:lang w:val="tr-TR" w:eastAsia="tr-TR" w:bidi="tr-TR"/>
        </w:rPr>
        <w:t>şağıdaki tekniklerden bir veya daha fazlası ya da eşdeğer(ler)i kullanıl</w:t>
      </w:r>
      <w:r w:rsidR="00BA2696" w:rsidRPr="00F50C10">
        <w:rPr>
          <w:rFonts w:eastAsia="Times New Roman" w:cs="Times New Roman"/>
          <w:szCs w:val="24"/>
          <w:lang w:val="tr-TR" w:eastAsia="tr-TR" w:bidi="tr-TR"/>
        </w:rPr>
        <w:t>ı</w:t>
      </w:r>
      <w:r w:rsidR="00172694" w:rsidRPr="00F50C10">
        <w:rPr>
          <w:rFonts w:eastAsia="Times New Roman" w:cs="Times New Roman"/>
          <w:szCs w:val="24"/>
          <w:lang w:val="tr-TR" w:eastAsia="tr-TR" w:bidi="tr-TR"/>
        </w:rPr>
        <w:t>r:</w:t>
      </w:r>
    </w:p>
    <w:p w14:paraId="155C3392" w14:textId="4E2AD871" w:rsidR="00172694" w:rsidRPr="00F50C10" w:rsidRDefault="00172694" w:rsidP="000B206D">
      <w:pPr>
        <w:widowControl w:val="0"/>
        <w:numPr>
          <w:ilvl w:val="0"/>
          <w:numId w:val="44"/>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seviye değişiminin en aza indirilmesi (yalnızca entegre tesisler</w:t>
      </w:r>
      <w:r w:rsidR="00BA2696" w:rsidRPr="00F50C10">
        <w:rPr>
          <w:rFonts w:eastAsia="Times New Roman" w:cs="Times New Roman"/>
          <w:szCs w:val="24"/>
          <w:lang w:val="tr-TR" w:bidi="tr-TR"/>
        </w:rPr>
        <w:t xml:space="preserve"> için</w:t>
      </w:r>
      <w:r w:rsidRPr="00F50C10">
        <w:rPr>
          <w:rFonts w:eastAsia="Times New Roman" w:cs="Times New Roman"/>
          <w:szCs w:val="24"/>
          <w:lang w:val="tr-TR" w:bidi="tr-TR"/>
        </w:rPr>
        <w:t>),</w:t>
      </w:r>
    </w:p>
    <w:p w14:paraId="0D332675" w14:textId="34813630" w:rsidR="00172694" w:rsidRPr="00F50C10" w:rsidRDefault="00172694" w:rsidP="000B206D">
      <w:pPr>
        <w:widowControl w:val="0"/>
        <w:numPr>
          <w:ilvl w:val="0"/>
          <w:numId w:val="44"/>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gaz denge hatları (yalnızca yakındaki tanklar</w:t>
      </w:r>
      <w:r w:rsidR="00BA2696" w:rsidRPr="00F50C10">
        <w:rPr>
          <w:rFonts w:eastAsia="Times New Roman" w:cs="Times New Roman"/>
          <w:szCs w:val="24"/>
          <w:lang w:val="tr-TR" w:bidi="tr-TR"/>
        </w:rPr>
        <w:t xml:space="preserve"> için</w:t>
      </w:r>
      <w:r w:rsidRPr="00F50C10">
        <w:rPr>
          <w:rFonts w:eastAsia="Times New Roman" w:cs="Times New Roman"/>
          <w:szCs w:val="24"/>
          <w:lang w:val="tr-TR" w:bidi="tr-TR"/>
        </w:rPr>
        <w:t>),</w:t>
      </w:r>
    </w:p>
    <w:p w14:paraId="7E5715BD" w14:textId="021805E6" w:rsidR="00172694" w:rsidRPr="00F50C10" w:rsidRDefault="00172694" w:rsidP="000B206D">
      <w:pPr>
        <w:widowControl w:val="0"/>
        <w:numPr>
          <w:ilvl w:val="0"/>
          <w:numId w:val="44"/>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yüzer tavanlar (yalnızca büyük tanklar</w:t>
      </w:r>
      <w:r w:rsidR="00BA2696" w:rsidRPr="00F50C10">
        <w:rPr>
          <w:rFonts w:eastAsia="Times New Roman" w:cs="Times New Roman"/>
          <w:szCs w:val="24"/>
          <w:lang w:val="tr-TR" w:bidi="tr-TR"/>
        </w:rPr>
        <w:t xml:space="preserve"> için</w:t>
      </w:r>
      <w:r w:rsidRPr="00F50C10">
        <w:rPr>
          <w:rFonts w:eastAsia="Times New Roman" w:cs="Times New Roman"/>
          <w:szCs w:val="24"/>
          <w:lang w:val="tr-TR" w:bidi="tr-TR"/>
        </w:rPr>
        <w:t>),</w:t>
      </w:r>
    </w:p>
    <w:p w14:paraId="6DE9FF8C" w14:textId="225165E5" w:rsidR="00172694" w:rsidRPr="00F50C10" w:rsidRDefault="00172694" w:rsidP="000B206D">
      <w:pPr>
        <w:widowControl w:val="0"/>
        <w:numPr>
          <w:ilvl w:val="0"/>
          <w:numId w:val="44"/>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 xml:space="preserve">havalandırma </w:t>
      </w:r>
      <w:r w:rsidR="00BA2696" w:rsidRPr="00F50C10">
        <w:rPr>
          <w:rFonts w:eastAsia="Times New Roman" w:cs="Times New Roman"/>
          <w:szCs w:val="24"/>
          <w:lang w:val="tr-TR" w:bidi="tr-TR"/>
        </w:rPr>
        <w:t>yoğuşturucuları</w:t>
      </w:r>
      <w:r w:rsidRPr="00F50C10">
        <w:rPr>
          <w:rFonts w:eastAsia="Times New Roman" w:cs="Times New Roman"/>
          <w:szCs w:val="24"/>
          <w:lang w:val="tr-TR" w:bidi="tr-TR"/>
        </w:rPr>
        <w:t>,</w:t>
      </w:r>
    </w:p>
    <w:p w14:paraId="44FDA2DB" w14:textId="77777777" w:rsidR="00172694" w:rsidRPr="00F50C10" w:rsidRDefault="00172694" w:rsidP="000B206D">
      <w:pPr>
        <w:widowControl w:val="0"/>
        <w:numPr>
          <w:ilvl w:val="0"/>
          <w:numId w:val="44"/>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geliştirilmiş stiren sıyırma,</w:t>
      </w:r>
    </w:p>
    <w:p w14:paraId="515D9548" w14:textId="61EBB417" w:rsidR="00172694" w:rsidRPr="00F50C10" w:rsidRDefault="00172694" w:rsidP="000B206D">
      <w:pPr>
        <w:widowControl w:val="0"/>
        <w:numPr>
          <w:ilvl w:val="0"/>
          <w:numId w:val="44"/>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bidi="tr-TR"/>
        </w:rPr>
        <w:t>havalandırma geri kazanımının harici arıtmaya yönlendirilmesi (genellikle yakma</w:t>
      </w:r>
      <w:r w:rsidR="00BA2696" w:rsidRPr="00F50C10">
        <w:rPr>
          <w:rFonts w:eastAsia="Times New Roman" w:cs="Times New Roman"/>
          <w:szCs w:val="24"/>
          <w:lang w:val="tr-TR" w:bidi="tr-TR"/>
        </w:rPr>
        <w:t xml:space="preserve"> için</w:t>
      </w:r>
      <w:r w:rsidRPr="00F50C10">
        <w:rPr>
          <w:rFonts w:eastAsia="Times New Roman" w:cs="Times New Roman"/>
          <w:szCs w:val="24"/>
          <w:lang w:val="tr-TR" w:bidi="tr-TR"/>
        </w:rPr>
        <w:t>).</w:t>
      </w:r>
    </w:p>
    <w:p w14:paraId="0E34D050" w14:textId="5F71EC31"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rPr>
      </w:pPr>
      <w:r w:rsidRPr="00F50C10">
        <w:rPr>
          <w:rFonts w:eastAsia="Times New Roman" w:cs="Times New Roman"/>
          <w:b/>
          <w:szCs w:val="24"/>
          <w:lang w:val="tr-TR" w:eastAsia="tr-TR" w:bidi="tr-TR"/>
        </w:rPr>
        <w:t xml:space="preserve">MET </w:t>
      </w:r>
      <w:r w:rsidR="00D32A8E" w:rsidRPr="00F50C10">
        <w:rPr>
          <w:rFonts w:eastAsia="Times New Roman" w:cs="Times New Roman"/>
          <w:b/>
          <w:szCs w:val="24"/>
          <w:lang w:val="tr-TR" w:eastAsia="tr-TR" w:bidi="tr-TR"/>
        </w:rPr>
        <w:t>2</w:t>
      </w:r>
      <w:r w:rsidRPr="00F50C10">
        <w:rPr>
          <w:rFonts w:eastAsia="Times New Roman" w:cs="Times New Roman"/>
          <w:b/>
          <w:szCs w:val="24"/>
          <w:lang w:val="tr-TR" w:eastAsia="tr-TR" w:bidi="tr-TR"/>
        </w:rPr>
        <w:t xml:space="preserve">: </w:t>
      </w:r>
      <w:r w:rsidR="00D32A8E" w:rsidRPr="00F50C10">
        <w:rPr>
          <w:rFonts w:eastAsia="Times New Roman" w:cs="Times New Roman"/>
          <w:bCs/>
          <w:szCs w:val="24"/>
          <w:lang w:val="tr-TR" w:eastAsia="tr-TR" w:bidi="tr-TR"/>
        </w:rPr>
        <w:t xml:space="preserve">Difüz (kaçak) </w:t>
      </w:r>
      <w:r w:rsidRPr="00F50C10">
        <w:rPr>
          <w:rFonts w:eastAsia="Times New Roman" w:cs="Times New Roman"/>
          <w:bCs/>
          <w:szCs w:val="24"/>
          <w:lang w:val="tr-TR" w:eastAsia="tr-TR" w:bidi="tr-TR"/>
        </w:rPr>
        <w:t>emisyonlar aşağıdaki veya eşdeğer teknikler kullan</w:t>
      </w:r>
      <w:r w:rsidR="00BA2696" w:rsidRPr="00F50C10">
        <w:rPr>
          <w:rFonts w:eastAsia="Times New Roman" w:cs="Times New Roman"/>
          <w:bCs/>
          <w:szCs w:val="24"/>
          <w:lang w:val="tr-TR" w:eastAsia="tr-TR" w:bidi="tr-TR"/>
        </w:rPr>
        <w:t>ıl</w:t>
      </w:r>
      <w:r w:rsidRPr="00F50C10">
        <w:rPr>
          <w:rFonts w:eastAsia="Times New Roman" w:cs="Times New Roman"/>
          <w:bCs/>
          <w:szCs w:val="24"/>
          <w:lang w:val="tr-TR" w:eastAsia="tr-TR" w:bidi="tr-TR"/>
        </w:rPr>
        <w:t>arak, kontrol edil</w:t>
      </w:r>
      <w:r w:rsidR="00EB213A" w:rsidRPr="00F50C10">
        <w:rPr>
          <w:rFonts w:eastAsia="Times New Roman" w:cs="Times New Roman"/>
          <w:bCs/>
          <w:szCs w:val="24"/>
          <w:lang w:val="tr-TR" w:eastAsia="tr-TR" w:bidi="tr-TR"/>
        </w:rPr>
        <w:t xml:space="preserve">ir </w:t>
      </w:r>
      <w:r w:rsidRPr="00F50C10">
        <w:rPr>
          <w:rFonts w:eastAsia="Times New Roman" w:cs="Times New Roman"/>
          <w:bCs/>
          <w:szCs w:val="24"/>
          <w:lang w:val="tr-TR" w:eastAsia="tr-TR" w:bidi="tr-TR"/>
        </w:rPr>
        <w:t xml:space="preserve">ve en aza </w:t>
      </w:r>
      <w:r w:rsidR="00EB213A" w:rsidRPr="00F50C10">
        <w:rPr>
          <w:rFonts w:eastAsia="Times New Roman" w:cs="Times New Roman"/>
          <w:bCs/>
          <w:szCs w:val="24"/>
          <w:lang w:val="tr-TR" w:eastAsia="tr-TR" w:bidi="tr-TR"/>
        </w:rPr>
        <w:t>indirilir</w:t>
      </w:r>
      <w:r w:rsidR="00B60395" w:rsidRPr="00F50C10">
        <w:rPr>
          <w:rFonts w:eastAsia="Times New Roman" w:cs="Times New Roman"/>
          <w:bCs/>
          <w:szCs w:val="24"/>
          <w:lang w:val="tr-TR" w:eastAsia="tr-TR" w:bidi="tr-TR"/>
        </w:rPr>
        <w:t>:</w:t>
      </w:r>
    </w:p>
    <w:p w14:paraId="1B2848C8" w14:textId="77777777" w:rsidR="00172694" w:rsidRPr="00F50C10" w:rsidRDefault="00172694" w:rsidP="000B206D">
      <w:pPr>
        <w:widowControl w:val="0"/>
        <w:numPr>
          <w:ilvl w:val="0"/>
          <w:numId w:val="45"/>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flanşların, pompaların, salmastraların vb. izlenmesi,</w:t>
      </w:r>
    </w:p>
    <w:p w14:paraId="737CF193" w14:textId="77777777" w:rsidR="00172694" w:rsidRPr="00F50C10" w:rsidRDefault="00172694" w:rsidP="000B206D">
      <w:pPr>
        <w:widowControl w:val="0"/>
        <w:numPr>
          <w:ilvl w:val="0"/>
          <w:numId w:val="45"/>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önleyici bakım,</w:t>
      </w:r>
    </w:p>
    <w:p w14:paraId="1B4C9B33" w14:textId="77777777" w:rsidR="00172694" w:rsidRPr="00F50C10" w:rsidRDefault="00172694" w:rsidP="000B206D">
      <w:pPr>
        <w:widowControl w:val="0"/>
        <w:numPr>
          <w:ilvl w:val="0"/>
          <w:numId w:val="45"/>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kapalı döngü örnekleme,</w:t>
      </w:r>
    </w:p>
    <w:p w14:paraId="64EAC4AC" w14:textId="307EEF97" w:rsidR="00172694" w:rsidRPr="00F50C10" w:rsidRDefault="00172694" w:rsidP="000B206D">
      <w:pPr>
        <w:widowControl w:val="0"/>
        <w:numPr>
          <w:ilvl w:val="0"/>
          <w:numId w:val="45"/>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 xml:space="preserve">tesis güncellemeleri: tandem mekanik salmastralar, sızdırmaz vanalar, </w:t>
      </w:r>
      <w:r w:rsidR="00B60395" w:rsidRPr="00F50C10">
        <w:rPr>
          <w:rFonts w:eastAsia="Times New Roman" w:cs="Times New Roman"/>
          <w:szCs w:val="24"/>
          <w:lang w:val="tr-TR" w:bidi="tr-TR"/>
        </w:rPr>
        <w:t>iyileştirilmiş</w:t>
      </w:r>
      <w:r w:rsidRPr="00F50C10">
        <w:rPr>
          <w:rFonts w:eastAsia="Times New Roman" w:cs="Times New Roman"/>
          <w:szCs w:val="24"/>
          <w:lang w:val="tr-TR" w:bidi="tr-TR"/>
        </w:rPr>
        <w:t xml:space="preserve"> contalar.</w:t>
      </w:r>
    </w:p>
    <w:p w14:paraId="5371F7CC" w14:textId="51A4A0D5" w:rsidR="00D32A8E" w:rsidRPr="00F50C10" w:rsidRDefault="00D32A8E"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2.6 Kısmını inceleyiniz.)</w:t>
        </w:r>
      </w:hyperlink>
    </w:p>
    <w:p w14:paraId="1D87EFD3" w14:textId="2120C925"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bidi="tr-TR"/>
        </w:rPr>
      </w:pPr>
      <w:r w:rsidRPr="00F50C10">
        <w:rPr>
          <w:rFonts w:eastAsia="Times New Roman" w:cs="Times New Roman"/>
          <w:b/>
          <w:szCs w:val="24"/>
          <w:lang w:val="tr-TR" w:eastAsia="tr-TR" w:bidi="tr-TR"/>
        </w:rPr>
        <w:t xml:space="preserve">MET </w:t>
      </w:r>
      <w:r w:rsidR="00D32A8E" w:rsidRPr="00F50C10">
        <w:rPr>
          <w:rFonts w:eastAsia="Times New Roman" w:cs="Times New Roman"/>
          <w:b/>
          <w:szCs w:val="24"/>
          <w:lang w:val="tr-TR" w:eastAsia="tr-TR" w:bidi="tr-TR"/>
        </w:rPr>
        <w:t>3</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 xml:space="preserve">Arıtma için proses </w:t>
      </w:r>
      <w:r w:rsidR="00B60395" w:rsidRPr="00F50C10">
        <w:rPr>
          <w:rFonts w:eastAsia="Times New Roman" w:cs="Times New Roman"/>
          <w:bCs/>
          <w:szCs w:val="24"/>
          <w:lang w:val="tr-TR" w:eastAsia="tr-TR" w:bidi="tr-TR"/>
        </w:rPr>
        <w:t xml:space="preserve">(genellikle tutuşturma) </w:t>
      </w:r>
      <w:r w:rsidRPr="00F50C10">
        <w:rPr>
          <w:rFonts w:eastAsia="Times New Roman" w:cs="Times New Roman"/>
          <w:bCs/>
          <w:szCs w:val="24"/>
          <w:lang w:val="tr-TR" w:eastAsia="tr-TR" w:bidi="tr-TR"/>
        </w:rPr>
        <w:t>teçhizatından havalandırma gazları toplanır.</w:t>
      </w:r>
    </w:p>
    <w:p w14:paraId="5491BB42" w14:textId="77777777" w:rsidR="00D32A8E" w:rsidRPr="00F50C10" w:rsidRDefault="00D32A8E"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2.6 Kısmını inceleyiniz.)</w:t>
        </w:r>
      </w:hyperlink>
    </w:p>
    <w:p w14:paraId="0308365E" w14:textId="4211E781"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bidi="tr-TR"/>
        </w:rPr>
      </w:pPr>
      <w:r w:rsidRPr="00F50C10">
        <w:rPr>
          <w:rFonts w:eastAsia="Times New Roman" w:cs="Times New Roman"/>
          <w:b/>
          <w:szCs w:val="24"/>
          <w:lang w:val="tr-TR" w:eastAsia="tr-TR" w:bidi="tr-TR"/>
        </w:rPr>
        <w:t xml:space="preserve">MET </w:t>
      </w:r>
      <w:r w:rsidR="00D32A8E" w:rsidRPr="00F50C10">
        <w:rPr>
          <w:rFonts w:eastAsia="Times New Roman" w:cs="Times New Roman"/>
          <w:b/>
          <w:szCs w:val="24"/>
          <w:lang w:val="tr-TR" w:eastAsia="tr-TR" w:bidi="tr-TR"/>
        </w:rPr>
        <w:t>4</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Su geri dönüştürül</w:t>
      </w:r>
      <w:r w:rsidR="00BA2696" w:rsidRPr="00F50C10">
        <w:rPr>
          <w:rFonts w:eastAsia="Times New Roman" w:cs="Times New Roman"/>
          <w:bCs/>
          <w:szCs w:val="24"/>
          <w:lang w:val="tr-TR" w:eastAsia="tr-TR" w:bidi="tr-TR"/>
        </w:rPr>
        <w:t>ür</w:t>
      </w:r>
      <w:r w:rsidRPr="00F50C10">
        <w:rPr>
          <w:rFonts w:eastAsia="Times New Roman" w:cs="Times New Roman"/>
          <w:bCs/>
          <w:szCs w:val="24"/>
          <w:lang w:val="tr-TR" w:eastAsia="tr-TR" w:bidi="tr-TR"/>
        </w:rPr>
        <w:t>.</w:t>
      </w:r>
    </w:p>
    <w:p w14:paraId="2C0C8E29" w14:textId="77777777" w:rsidR="00D32A8E" w:rsidRPr="00F50C10" w:rsidRDefault="00D32A8E"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2.6 Kısmını inceleyiniz.)</w:t>
        </w:r>
      </w:hyperlink>
    </w:p>
    <w:p w14:paraId="6D1A56EA" w14:textId="48A00381"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bidi="tr-TR"/>
        </w:rPr>
      </w:pPr>
      <w:r w:rsidRPr="00F50C10">
        <w:rPr>
          <w:rFonts w:eastAsia="Times New Roman" w:cs="Times New Roman"/>
          <w:b/>
          <w:szCs w:val="24"/>
          <w:lang w:val="tr-TR" w:eastAsia="tr-TR" w:bidi="tr-TR"/>
        </w:rPr>
        <w:t xml:space="preserve">MET </w:t>
      </w:r>
      <w:r w:rsidR="00D32A8E" w:rsidRPr="00F50C10">
        <w:rPr>
          <w:rFonts w:eastAsia="Times New Roman" w:cs="Times New Roman"/>
          <w:b/>
          <w:szCs w:val="24"/>
          <w:lang w:val="tr-TR" w:eastAsia="tr-TR" w:bidi="tr-TR"/>
        </w:rPr>
        <w:t>5</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Biyolojik arıtma veya eşdeğer tekniklerin kullanımıyla atık su arıtılır.</w:t>
      </w:r>
    </w:p>
    <w:p w14:paraId="239F63E1" w14:textId="77777777" w:rsidR="00D32A8E" w:rsidRPr="00F50C10" w:rsidRDefault="00D32A8E"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2.6 Kısmını inceleyiniz.)</w:t>
        </w:r>
      </w:hyperlink>
    </w:p>
    <w:p w14:paraId="268533A4" w14:textId="68B8F4A7"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bidi="tr-TR"/>
        </w:rPr>
      </w:pPr>
      <w:r w:rsidRPr="00F50C10">
        <w:rPr>
          <w:rFonts w:eastAsia="Times New Roman" w:cs="Times New Roman"/>
          <w:b/>
          <w:szCs w:val="24"/>
          <w:lang w:val="tr-TR" w:eastAsia="tr-TR" w:bidi="tr-TR"/>
        </w:rPr>
        <w:t xml:space="preserve">MET </w:t>
      </w:r>
      <w:r w:rsidR="00D32A8E" w:rsidRPr="00F50C10">
        <w:rPr>
          <w:rFonts w:eastAsia="Times New Roman" w:cs="Times New Roman"/>
          <w:b/>
          <w:szCs w:val="24"/>
          <w:lang w:val="tr-TR" w:eastAsia="tr-TR" w:bidi="tr-TR"/>
        </w:rPr>
        <w:t>6</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İyi ayrıştırmayla tehlikeli atık hacmi en aza indirili</w:t>
      </w:r>
      <w:r w:rsidR="00BA2696" w:rsidRPr="00F50C10">
        <w:rPr>
          <w:rFonts w:eastAsia="Times New Roman" w:cs="Times New Roman"/>
          <w:bCs/>
          <w:szCs w:val="24"/>
          <w:lang w:val="tr-TR" w:eastAsia="tr-TR" w:bidi="tr-TR"/>
        </w:rPr>
        <w:t>r</w:t>
      </w:r>
      <w:r w:rsidRPr="00F50C10">
        <w:rPr>
          <w:rFonts w:eastAsia="Times New Roman" w:cs="Times New Roman"/>
          <w:bCs/>
          <w:szCs w:val="24"/>
          <w:lang w:val="tr-TR" w:eastAsia="tr-TR" w:bidi="tr-TR"/>
        </w:rPr>
        <w:t xml:space="preserve"> ve dış arıtmaya gönderilmek üzere toplanır.</w:t>
      </w:r>
    </w:p>
    <w:p w14:paraId="69A373B4" w14:textId="77777777" w:rsidR="00D32A8E" w:rsidRPr="00F50C10" w:rsidRDefault="00D32A8E"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2.6 Kısmını inceleyiniz.)</w:t>
        </w:r>
      </w:hyperlink>
    </w:p>
    <w:p w14:paraId="5F1AE2E2" w14:textId="4B549A78"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bidi="tr-TR"/>
        </w:rPr>
      </w:pPr>
      <w:r w:rsidRPr="00F50C10">
        <w:rPr>
          <w:rFonts w:eastAsia="Times New Roman" w:cs="Times New Roman"/>
          <w:b/>
          <w:szCs w:val="24"/>
          <w:lang w:val="tr-TR" w:eastAsia="tr-TR" w:bidi="tr-TR"/>
        </w:rPr>
        <w:t xml:space="preserve">MET </w:t>
      </w:r>
      <w:r w:rsidR="00D32A8E" w:rsidRPr="00F50C10">
        <w:rPr>
          <w:rFonts w:eastAsia="Times New Roman" w:cs="Times New Roman"/>
          <w:b/>
          <w:szCs w:val="24"/>
          <w:lang w:val="tr-TR" w:eastAsia="tr-TR" w:bidi="tr-TR"/>
        </w:rPr>
        <w:t>7</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İyi yönetim ve saha dışı geri dönüşüm yoluyla tehlikesiz atık hacmi en aza indirilir.</w:t>
      </w:r>
    </w:p>
    <w:p w14:paraId="093628B3" w14:textId="77777777" w:rsidR="00D32A8E" w:rsidRPr="00F50C10" w:rsidRDefault="00D32A8E"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2.6 Kısmını inceleyiniz.)</w:t>
        </w:r>
      </w:hyperlink>
    </w:p>
    <w:p w14:paraId="257EDCCF" w14:textId="428760A7" w:rsidR="00172694" w:rsidRPr="00F50C10" w:rsidRDefault="00D32A8E" w:rsidP="000B206D">
      <w:pPr>
        <w:widowControl w:val="0"/>
        <w:autoSpaceDE w:val="0"/>
        <w:autoSpaceDN w:val="0"/>
        <w:adjustRightInd w:val="0"/>
        <w:spacing w:before="120" w:after="60" w:line="276" w:lineRule="auto"/>
        <w:rPr>
          <w:rFonts w:eastAsia="Times New Roman" w:cs="Times New Roman"/>
          <w:bCs/>
          <w:szCs w:val="24"/>
          <w:lang w:val="tr-TR" w:eastAsia="tr-TR"/>
        </w:rPr>
      </w:pPr>
      <w:r w:rsidRPr="00F50C10">
        <w:rPr>
          <w:rFonts w:eastAsia="Times New Roman" w:cs="Times New Roman"/>
          <w:b/>
          <w:szCs w:val="24"/>
          <w:lang w:val="tr-TR" w:eastAsia="tr-TR" w:bidi="tr-TR"/>
        </w:rPr>
        <w:t xml:space="preserve">MET 8: </w:t>
      </w:r>
      <w:r w:rsidR="00172694" w:rsidRPr="00F50C10">
        <w:rPr>
          <w:rFonts w:eastAsia="Times New Roman" w:cs="Times New Roman"/>
          <w:bCs/>
          <w:szCs w:val="24"/>
          <w:lang w:val="tr-TR" w:eastAsia="tr-TR" w:bidi="tr-TR"/>
        </w:rPr>
        <w:t>ESBR üretimi için MET ile ilişkili emisyon ve tüketim seviyeleri aşağıdaki tabloda verilmektedir.</w:t>
      </w:r>
    </w:p>
    <w:p w14:paraId="0EE9A979" w14:textId="379863BA" w:rsidR="00172694" w:rsidRPr="00F50C10" w:rsidRDefault="00172694" w:rsidP="000B206D">
      <w:pPr>
        <w:keepNext/>
        <w:spacing w:before="120" w:after="60" w:line="276" w:lineRule="auto"/>
        <w:rPr>
          <w:rFonts w:cs="Times New Roman"/>
          <w:b/>
          <w:iCs/>
          <w:color w:val="000000" w:themeColor="text1"/>
          <w:szCs w:val="24"/>
          <w:lang w:val="tr-TR"/>
        </w:rPr>
      </w:pPr>
      <w:r w:rsidRPr="00F50C10">
        <w:rPr>
          <w:rFonts w:cs="Times New Roman"/>
          <w:b/>
          <w:iCs/>
          <w:color w:val="000000" w:themeColor="text1"/>
          <w:szCs w:val="24"/>
          <w:lang w:val="tr-TR"/>
        </w:rPr>
        <w:t xml:space="preserve">Tablo </w:t>
      </w:r>
      <w:r w:rsidRPr="00F50C10">
        <w:rPr>
          <w:rFonts w:cs="Times New Roman"/>
          <w:b/>
          <w:iCs/>
          <w:color w:val="000000" w:themeColor="text1"/>
          <w:szCs w:val="24"/>
          <w:lang w:val="tr-TR"/>
        </w:rPr>
        <w:fldChar w:fldCharType="begin"/>
      </w:r>
      <w:r w:rsidRPr="00F50C10">
        <w:rPr>
          <w:rFonts w:cs="Times New Roman"/>
          <w:b/>
          <w:iCs/>
          <w:color w:val="000000" w:themeColor="text1"/>
          <w:szCs w:val="24"/>
          <w:lang w:val="tr-TR"/>
        </w:rPr>
        <w:instrText xml:space="preserve"> SEQ Tablo \* ARABIC </w:instrText>
      </w:r>
      <w:r w:rsidRPr="00F50C10">
        <w:rPr>
          <w:rFonts w:cs="Times New Roman"/>
          <w:b/>
          <w:iCs/>
          <w:color w:val="000000" w:themeColor="text1"/>
          <w:szCs w:val="24"/>
          <w:lang w:val="tr-TR"/>
        </w:rPr>
        <w:fldChar w:fldCharType="separate"/>
      </w:r>
      <w:r w:rsidRPr="00F50C10">
        <w:rPr>
          <w:rFonts w:cs="Times New Roman"/>
          <w:b/>
          <w:iCs/>
          <w:noProof/>
          <w:color w:val="000000" w:themeColor="text1"/>
          <w:szCs w:val="24"/>
          <w:lang w:val="tr-TR"/>
        </w:rPr>
        <w:t>1</w:t>
      </w:r>
      <w:r w:rsidR="000F64EE" w:rsidRPr="00F50C10">
        <w:rPr>
          <w:rFonts w:cs="Times New Roman"/>
          <w:b/>
          <w:iCs/>
          <w:noProof/>
          <w:color w:val="000000" w:themeColor="text1"/>
          <w:szCs w:val="24"/>
          <w:lang w:val="tr-TR"/>
        </w:rPr>
        <w:t>2</w:t>
      </w:r>
      <w:r w:rsidRPr="00F50C10">
        <w:rPr>
          <w:rFonts w:cs="Times New Roman"/>
          <w:b/>
          <w:iCs/>
          <w:color w:val="000000" w:themeColor="text1"/>
          <w:szCs w:val="24"/>
          <w:lang w:val="tr-TR"/>
        </w:rPr>
        <w:fldChar w:fldCharType="end"/>
      </w:r>
      <w:r w:rsidRPr="00F50C10">
        <w:rPr>
          <w:rFonts w:cs="Times New Roman"/>
          <w:b/>
          <w:iCs/>
          <w:color w:val="000000" w:themeColor="text1"/>
          <w:szCs w:val="24"/>
          <w:lang w:val="tr-TR"/>
        </w:rPr>
        <w:t xml:space="preserve">. Ton ürün başına ESBR üretimi için </w:t>
      </w:r>
      <w:r w:rsidRPr="00F50C10">
        <w:rPr>
          <w:rFonts w:cs="Times New Roman"/>
          <w:b/>
          <w:iCs/>
          <w:color w:val="000000" w:themeColor="text1"/>
          <w:szCs w:val="24"/>
          <w:lang w:val="tr-TR" w:bidi="tr-TR"/>
        </w:rPr>
        <w:t>MET ile ilişkili emisyon ve tüketim seviyeleri</w:t>
      </w:r>
    </w:p>
    <w:tbl>
      <w:tblPr>
        <w:tblW w:w="5000" w:type="pct"/>
        <w:jc w:val="center"/>
        <w:tblCellMar>
          <w:top w:w="11" w:type="dxa"/>
          <w:left w:w="57" w:type="dxa"/>
          <w:bottom w:w="11" w:type="dxa"/>
          <w:right w:w="57" w:type="dxa"/>
        </w:tblCellMar>
        <w:tblLook w:val="0000" w:firstRow="0" w:lastRow="0" w:firstColumn="0" w:lastColumn="0" w:noHBand="0" w:noVBand="0"/>
      </w:tblPr>
      <w:tblGrid>
        <w:gridCol w:w="4287"/>
        <w:gridCol w:w="2302"/>
        <w:gridCol w:w="2715"/>
      </w:tblGrid>
      <w:tr w:rsidR="00172694" w:rsidRPr="00F50C10" w14:paraId="1AAB328E" w14:textId="77777777" w:rsidTr="00375F59">
        <w:trPr>
          <w:trHeight w:val="20"/>
          <w:jc w:val="center"/>
        </w:trPr>
        <w:tc>
          <w:tcPr>
            <w:tcW w:w="2304" w:type="pct"/>
            <w:tcBorders>
              <w:top w:val="single" w:sz="6" w:space="0" w:color="auto"/>
              <w:left w:val="single" w:sz="6" w:space="0" w:color="auto"/>
              <w:bottom w:val="single" w:sz="6" w:space="0" w:color="auto"/>
              <w:right w:val="single" w:sz="6" w:space="0" w:color="auto"/>
            </w:tcBorders>
            <w:shd w:val="clear" w:color="auto" w:fill="auto"/>
          </w:tcPr>
          <w:p w14:paraId="35174A3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p>
        </w:tc>
        <w:tc>
          <w:tcPr>
            <w:tcW w:w="1237" w:type="pct"/>
            <w:tcBorders>
              <w:top w:val="single" w:sz="6" w:space="0" w:color="auto"/>
              <w:left w:val="single" w:sz="6" w:space="0" w:color="auto"/>
              <w:bottom w:val="single" w:sz="6" w:space="0" w:color="auto"/>
              <w:right w:val="single" w:sz="6" w:space="0" w:color="auto"/>
            </w:tcBorders>
            <w:shd w:val="clear" w:color="auto" w:fill="auto"/>
            <w:vAlign w:val="center"/>
          </w:tcPr>
          <w:p w14:paraId="59880AB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Birim</w:t>
            </w:r>
          </w:p>
        </w:tc>
        <w:tc>
          <w:tcPr>
            <w:tcW w:w="1459" w:type="pct"/>
            <w:tcBorders>
              <w:top w:val="single" w:sz="6" w:space="0" w:color="auto"/>
              <w:left w:val="single" w:sz="6" w:space="0" w:color="auto"/>
              <w:bottom w:val="single" w:sz="6" w:space="0" w:color="auto"/>
              <w:right w:val="single" w:sz="6" w:space="0" w:color="auto"/>
            </w:tcBorders>
            <w:shd w:val="clear" w:color="auto" w:fill="auto"/>
            <w:vAlign w:val="center"/>
          </w:tcPr>
          <w:p w14:paraId="530FA7F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MET ile ilişkili emisyon seviyeleri</w:t>
            </w:r>
          </w:p>
        </w:tc>
      </w:tr>
      <w:tr w:rsidR="00172694" w:rsidRPr="00F50C10" w14:paraId="2581B707" w14:textId="77777777" w:rsidTr="00375F5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34BF2F2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b/>
                <w:szCs w:val="24"/>
                <w:lang w:val="en-GB" w:eastAsia="tr-TR"/>
              </w:rPr>
            </w:pPr>
            <w:r w:rsidRPr="00F50C10">
              <w:rPr>
                <w:rFonts w:eastAsia="Times New Roman" w:cs="Times New Roman"/>
                <w:b/>
                <w:szCs w:val="24"/>
                <w:lang w:val="tr-TR" w:eastAsia="tr-TR" w:bidi="tr-TR"/>
              </w:rPr>
              <w:t>Hava emisyonları</w:t>
            </w:r>
          </w:p>
        </w:tc>
      </w:tr>
      <w:tr w:rsidR="00172694" w:rsidRPr="00F50C10" w14:paraId="00592D10" w14:textId="77777777" w:rsidTr="00375F59">
        <w:trPr>
          <w:trHeight w:val="20"/>
          <w:jc w:val="center"/>
        </w:trPr>
        <w:tc>
          <w:tcPr>
            <w:tcW w:w="2304" w:type="pct"/>
            <w:tcBorders>
              <w:top w:val="single" w:sz="6" w:space="0" w:color="auto"/>
              <w:left w:val="single" w:sz="6" w:space="0" w:color="auto"/>
              <w:bottom w:val="single" w:sz="6" w:space="0" w:color="auto"/>
              <w:right w:val="single" w:sz="6" w:space="0" w:color="auto"/>
            </w:tcBorders>
            <w:shd w:val="clear" w:color="auto" w:fill="auto"/>
          </w:tcPr>
          <w:p w14:paraId="7C574DAC"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Toplam UOB</w:t>
            </w:r>
          </w:p>
        </w:tc>
        <w:tc>
          <w:tcPr>
            <w:tcW w:w="1237" w:type="pct"/>
            <w:tcBorders>
              <w:top w:val="single" w:sz="6" w:space="0" w:color="auto"/>
              <w:left w:val="single" w:sz="6" w:space="0" w:color="auto"/>
              <w:bottom w:val="single" w:sz="6" w:space="0" w:color="auto"/>
              <w:right w:val="single" w:sz="6" w:space="0" w:color="auto"/>
            </w:tcBorders>
            <w:shd w:val="clear" w:color="auto" w:fill="auto"/>
          </w:tcPr>
          <w:p w14:paraId="3C4BC049"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g/t katı ürün</w:t>
            </w:r>
          </w:p>
        </w:tc>
        <w:tc>
          <w:tcPr>
            <w:tcW w:w="1459" w:type="pct"/>
            <w:tcBorders>
              <w:top w:val="single" w:sz="6" w:space="0" w:color="auto"/>
              <w:left w:val="single" w:sz="6" w:space="0" w:color="auto"/>
              <w:bottom w:val="single" w:sz="6" w:space="0" w:color="auto"/>
              <w:right w:val="single" w:sz="6" w:space="0" w:color="auto"/>
            </w:tcBorders>
            <w:shd w:val="clear" w:color="auto" w:fill="auto"/>
          </w:tcPr>
          <w:p w14:paraId="411C93A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170 - 370</w:t>
            </w:r>
          </w:p>
        </w:tc>
      </w:tr>
      <w:tr w:rsidR="00172694" w:rsidRPr="00F50C10" w14:paraId="5A9EA88A" w14:textId="77777777" w:rsidTr="00375F5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7822658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b/>
                <w:szCs w:val="24"/>
                <w:lang w:val="en-GB" w:eastAsia="tr-TR"/>
              </w:rPr>
            </w:pPr>
            <w:r w:rsidRPr="00F50C10">
              <w:rPr>
                <w:rFonts w:eastAsia="Times New Roman" w:cs="Times New Roman"/>
                <w:b/>
                <w:szCs w:val="24"/>
                <w:lang w:val="tr-TR" w:eastAsia="tr-TR" w:bidi="tr-TR"/>
              </w:rPr>
              <w:t>Suya emisyonlar</w:t>
            </w:r>
          </w:p>
        </w:tc>
      </w:tr>
      <w:tr w:rsidR="00172694" w:rsidRPr="00F50C10" w14:paraId="3ECDD459" w14:textId="77777777" w:rsidTr="00375F59">
        <w:trPr>
          <w:trHeight w:val="20"/>
          <w:jc w:val="center"/>
        </w:trPr>
        <w:tc>
          <w:tcPr>
            <w:tcW w:w="2304" w:type="pct"/>
            <w:tcBorders>
              <w:top w:val="single" w:sz="6" w:space="0" w:color="auto"/>
              <w:left w:val="single" w:sz="6" w:space="0" w:color="auto"/>
              <w:bottom w:val="single" w:sz="6" w:space="0" w:color="auto"/>
              <w:right w:val="single" w:sz="6" w:space="0" w:color="auto"/>
            </w:tcBorders>
            <w:shd w:val="clear" w:color="auto" w:fill="auto"/>
          </w:tcPr>
          <w:p w14:paraId="13B4A7F4" w14:textId="77777777" w:rsidR="00172694" w:rsidRPr="00F50C10" w:rsidRDefault="00172694" w:rsidP="000B206D">
            <w:pPr>
              <w:widowControl w:val="0"/>
              <w:autoSpaceDE w:val="0"/>
              <w:autoSpaceDN w:val="0"/>
              <w:adjustRightInd w:val="0"/>
              <w:spacing w:line="276" w:lineRule="auto"/>
              <w:ind w:left="72" w:right="72"/>
              <w:jc w:val="left"/>
              <w:rPr>
                <w:rFonts w:eastAsia="Times New Roman" w:cs="Times New Roman"/>
                <w:szCs w:val="24"/>
                <w:lang w:val="en-GB" w:eastAsia="tr-TR"/>
              </w:rPr>
            </w:pPr>
            <w:r w:rsidRPr="00F50C10">
              <w:rPr>
                <w:rFonts w:eastAsia="Times New Roman" w:cs="Times New Roman"/>
                <w:szCs w:val="24"/>
                <w:lang w:val="tr-TR" w:eastAsia="tr-TR" w:bidi="tr-TR"/>
              </w:rPr>
              <w:t>KOİ</w:t>
            </w:r>
          </w:p>
        </w:tc>
        <w:tc>
          <w:tcPr>
            <w:tcW w:w="1237" w:type="pct"/>
            <w:tcBorders>
              <w:top w:val="single" w:sz="6" w:space="0" w:color="auto"/>
              <w:left w:val="single" w:sz="6" w:space="0" w:color="auto"/>
              <w:bottom w:val="single" w:sz="6" w:space="0" w:color="auto"/>
              <w:right w:val="single" w:sz="6" w:space="0" w:color="auto"/>
            </w:tcBorders>
            <w:shd w:val="clear" w:color="auto" w:fill="auto"/>
          </w:tcPr>
          <w:p w14:paraId="149BEBB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g/t</w:t>
            </w:r>
          </w:p>
        </w:tc>
        <w:tc>
          <w:tcPr>
            <w:tcW w:w="1459" w:type="pct"/>
            <w:tcBorders>
              <w:top w:val="single" w:sz="6" w:space="0" w:color="auto"/>
              <w:left w:val="single" w:sz="6" w:space="0" w:color="auto"/>
              <w:bottom w:val="single" w:sz="6" w:space="0" w:color="auto"/>
              <w:right w:val="single" w:sz="6" w:space="0" w:color="auto"/>
            </w:tcBorders>
            <w:shd w:val="clear" w:color="auto" w:fill="auto"/>
          </w:tcPr>
          <w:p w14:paraId="3CAFC964"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150 - 200</w:t>
            </w:r>
          </w:p>
        </w:tc>
      </w:tr>
    </w:tbl>
    <w:p w14:paraId="79583E0F" w14:textId="77777777" w:rsidR="00172694" w:rsidRPr="00F50C10" w:rsidRDefault="00172694" w:rsidP="000B206D">
      <w:pPr>
        <w:widowControl w:val="0"/>
        <w:numPr>
          <w:ilvl w:val="1"/>
          <w:numId w:val="19"/>
        </w:numPr>
        <w:autoSpaceDE w:val="0"/>
        <w:autoSpaceDN w:val="0"/>
        <w:adjustRightInd w:val="0"/>
        <w:spacing w:before="120" w:after="60" w:line="276" w:lineRule="auto"/>
        <w:jc w:val="left"/>
        <w:outlineLvl w:val="1"/>
        <w:rPr>
          <w:rFonts w:eastAsia="Arial" w:cs="Times New Roman"/>
          <w:b/>
          <w:bCs/>
          <w:szCs w:val="24"/>
          <w:lang w:val="tr-TR" w:bidi="tr-TR"/>
        </w:rPr>
      </w:pPr>
      <w:bookmarkStart w:id="109" w:name="_Toc127181442"/>
      <w:r w:rsidRPr="00F50C10">
        <w:rPr>
          <w:rFonts w:eastAsia="Arial" w:cs="Times New Roman"/>
          <w:b/>
          <w:bCs/>
          <w:szCs w:val="24"/>
          <w:lang w:val="tr-TR"/>
        </w:rPr>
        <w:t>Bütadien içeren çözeltiye polimerize edilmiş kauçuklar</w:t>
      </w:r>
      <w:r w:rsidRPr="00F50C10">
        <w:rPr>
          <w:rFonts w:eastAsia="Arial" w:cs="Times New Roman"/>
          <w:b/>
          <w:bCs/>
          <w:szCs w:val="24"/>
          <w:lang w:val="tr-TR" w:bidi="tr-TR"/>
        </w:rPr>
        <w:t xml:space="preserve"> için MET</w:t>
      </w:r>
    </w:p>
    <w:bookmarkEnd w:id="109"/>
    <w:p w14:paraId="4951BC96" w14:textId="14570F23"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
          <w:szCs w:val="24"/>
          <w:lang w:val="tr-TR" w:eastAsia="tr-TR" w:bidi="tr-TR"/>
        </w:rPr>
        <w:t xml:space="preserve">MET </w:t>
      </w:r>
      <w:r w:rsidR="004C6CDB" w:rsidRPr="00F50C10">
        <w:rPr>
          <w:rFonts w:eastAsia="Times New Roman" w:cs="Times New Roman"/>
          <w:b/>
          <w:szCs w:val="24"/>
          <w:lang w:val="tr-TR" w:eastAsia="tr-TR" w:bidi="tr-TR"/>
        </w:rPr>
        <w:t>1</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Aşağıdakilerden biri</w:t>
      </w:r>
      <w:r w:rsidR="00BA2696" w:rsidRPr="00F50C10">
        <w:rPr>
          <w:rFonts w:eastAsia="Times New Roman" w:cs="Times New Roman"/>
          <w:bCs/>
          <w:szCs w:val="24"/>
          <w:lang w:val="tr-TR" w:eastAsia="tr-TR" w:bidi="tr-TR"/>
        </w:rPr>
        <w:t>,</w:t>
      </w:r>
      <w:r w:rsidRPr="00F50C10">
        <w:rPr>
          <w:rFonts w:eastAsia="Times New Roman" w:cs="Times New Roman"/>
          <w:bCs/>
          <w:szCs w:val="24"/>
          <w:lang w:val="tr-TR" w:eastAsia="tr-TR" w:bidi="tr-TR"/>
        </w:rPr>
        <w:t xml:space="preserve"> her ikisi</w:t>
      </w:r>
      <w:r w:rsidR="00BA2696" w:rsidRPr="00F50C10">
        <w:rPr>
          <w:rFonts w:eastAsia="Times New Roman" w:cs="Times New Roman"/>
          <w:bCs/>
          <w:szCs w:val="24"/>
          <w:lang w:val="tr-TR" w:eastAsia="tr-TR" w:bidi="tr-TR"/>
        </w:rPr>
        <w:t xml:space="preserve"> </w:t>
      </w:r>
      <w:r w:rsidRPr="00F50C10">
        <w:rPr>
          <w:rFonts w:eastAsia="Times New Roman" w:cs="Times New Roman"/>
          <w:bCs/>
          <w:szCs w:val="24"/>
          <w:lang w:val="tr-TR" w:eastAsia="tr-TR" w:bidi="tr-TR"/>
        </w:rPr>
        <w:t>veya eşdeğer bir tekni</w:t>
      </w:r>
      <w:r w:rsidR="008A7396" w:rsidRPr="00F50C10">
        <w:rPr>
          <w:rFonts w:eastAsia="Times New Roman" w:cs="Times New Roman"/>
          <w:bCs/>
          <w:szCs w:val="24"/>
          <w:lang w:val="tr-TR" w:eastAsia="tr-TR" w:bidi="tr-TR"/>
        </w:rPr>
        <w:t>k</w:t>
      </w:r>
      <w:r w:rsidRPr="00F50C10">
        <w:rPr>
          <w:rFonts w:eastAsia="Times New Roman" w:cs="Times New Roman"/>
          <w:bCs/>
          <w:szCs w:val="24"/>
          <w:lang w:val="tr-TR" w:eastAsia="tr-TR" w:bidi="tr-TR"/>
        </w:rPr>
        <w:t xml:space="preserve"> kullan</w:t>
      </w:r>
      <w:r w:rsidR="008A7396" w:rsidRPr="00F50C10">
        <w:rPr>
          <w:rFonts w:eastAsia="Times New Roman" w:cs="Times New Roman"/>
          <w:bCs/>
          <w:szCs w:val="24"/>
          <w:lang w:val="tr-TR" w:eastAsia="tr-TR" w:bidi="tr-TR"/>
        </w:rPr>
        <w:t>ıl</w:t>
      </w:r>
      <w:r w:rsidRPr="00F50C10">
        <w:rPr>
          <w:rFonts w:eastAsia="Times New Roman" w:cs="Times New Roman"/>
          <w:bCs/>
          <w:szCs w:val="24"/>
          <w:lang w:val="tr-TR" w:eastAsia="tr-TR" w:bidi="tr-TR"/>
        </w:rPr>
        <w:t>arak çözücüle</w:t>
      </w:r>
      <w:r w:rsidR="008A7396" w:rsidRPr="00F50C10">
        <w:rPr>
          <w:rFonts w:eastAsia="Times New Roman" w:cs="Times New Roman"/>
          <w:bCs/>
          <w:szCs w:val="24"/>
          <w:lang w:val="tr-TR" w:eastAsia="tr-TR" w:bidi="tr-TR"/>
        </w:rPr>
        <w:t>r</w:t>
      </w:r>
      <w:r w:rsidRPr="00F50C10">
        <w:rPr>
          <w:rFonts w:eastAsia="Times New Roman" w:cs="Times New Roman"/>
          <w:bCs/>
          <w:szCs w:val="24"/>
          <w:lang w:val="tr-TR" w:eastAsia="tr-TR" w:bidi="tr-TR"/>
        </w:rPr>
        <w:t xml:space="preserve"> uzaklaştırılır:</w:t>
      </w:r>
    </w:p>
    <w:p w14:paraId="5FBC9923" w14:textId="77777777" w:rsidR="00172694" w:rsidRPr="00F50C10" w:rsidRDefault="00172694" w:rsidP="000B206D">
      <w:pPr>
        <w:widowControl w:val="0"/>
        <w:numPr>
          <w:ilvl w:val="0"/>
          <w:numId w:val="46"/>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buharsızlaştırma ekstrüzyonu,</w:t>
      </w:r>
    </w:p>
    <w:p w14:paraId="614BBAF7" w14:textId="77777777" w:rsidR="00172694" w:rsidRPr="00F50C10" w:rsidRDefault="00172694" w:rsidP="000B206D">
      <w:pPr>
        <w:widowControl w:val="0"/>
        <w:numPr>
          <w:ilvl w:val="0"/>
          <w:numId w:val="46"/>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bidi="tr-TR"/>
        </w:rPr>
        <w:t>buharla sıyırma.</w:t>
      </w:r>
    </w:p>
    <w:p w14:paraId="31507B1C" w14:textId="77777777" w:rsidR="00172694" w:rsidRPr="00F50C10" w:rsidRDefault="00172694" w:rsidP="000B206D">
      <w:pPr>
        <w:widowControl w:val="0"/>
        <w:numPr>
          <w:ilvl w:val="1"/>
          <w:numId w:val="19"/>
        </w:numPr>
        <w:autoSpaceDE w:val="0"/>
        <w:autoSpaceDN w:val="0"/>
        <w:adjustRightInd w:val="0"/>
        <w:spacing w:before="120" w:after="60" w:line="276" w:lineRule="auto"/>
        <w:jc w:val="left"/>
        <w:outlineLvl w:val="1"/>
        <w:rPr>
          <w:rFonts w:eastAsia="Arial" w:cs="Times New Roman"/>
          <w:b/>
          <w:bCs/>
          <w:szCs w:val="24"/>
          <w:lang w:val="tr-TR" w:bidi="tr-TR"/>
        </w:rPr>
      </w:pPr>
      <w:r w:rsidRPr="00F50C10">
        <w:rPr>
          <w:rFonts w:eastAsia="Arial" w:cs="Times New Roman"/>
          <w:b/>
          <w:bCs/>
          <w:szCs w:val="24"/>
          <w:lang w:val="tr-TR"/>
        </w:rPr>
        <w:t>Poliamid üretimi</w:t>
      </w:r>
      <w:r w:rsidRPr="00F50C10">
        <w:rPr>
          <w:rFonts w:eastAsia="Arial" w:cs="Times New Roman"/>
          <w:b/>
          <w:bCs/>
          <w:szCs w:val="24"/>
          <w:lang w:val="tr-TR" w:bidi="tr-TR"/>
        </w:rPr>
        <w:t xml:space="preserve"> için MET</w:t>
      </w:r>
    </w:p>
    <w:p w14:paraId="778FB1CB" w14:textId="0977400A"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
          <w:szCs w:val="24"/>
          <w:lang w:val="tr-TR" w:eastAsia="tr-TR" w:bidi="tr-TR"/>
        </w:rPr>
        <w:t xml:space="preserve">MET </w:t>
      </w:r>
      <w:r w:rsidR="004C6CDB" w:rsidRPr="00F50C10">
        <w:rPr>
          <w:rFonts w:eastAsia="Times New Roman" w:cs="Times New Roman"/>
          <w:b/>
          <w:szCs w:val="24"/>
          <w:lang w:val="tr-TR" w:eastAsia="tr-TR" w:bidi="tr-TR"/>
        </w:rPr>
        <w:t>1</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 xml:space="preserve">Poliamid üretim proseslerinden çıkan baca gazları </w:t>
      </w:r>
      <w:r w:rsidR="00B16387" w:rsidRPr="00F50C10">
        <w:rPr>
          <w:rFonts w:eastAsia="Times New Roman" w:cs="Times New Roman"/>
          <w:bCs/>
          <w:szCs w:val="24"/>
          <w:lang w:val="tr-TR" w:eastAsia="tr-TR" w:bidi="tr-TR"/>
        </w:rPr>
        <w:t>ıslak yıkama</w:t>
      </w:r>
      <w:r w:rsidRPr="00F50C10">
        <w:rPr>
          <w:rFonts w:eastAsia="Times New Roman" w:cs="Times New Roman"/>
          <w:bCs/>
          <w:szCs w:val="24"/>
          <w:lang w:val="tr-TR" w:eastAsia="tr-TR" w:bidi="tr-TR"/>
        </w:rPr>
        <w:t>yla arıtıl</w:t>
      </w:r>
      <w:r w:rsidR="008A7396" w:rsidRPr="00F50C10">
        <w:rPr>
          <w:rFonts w:eastAsia="Times New Roman" w:cs="Times New Roman"/>
          <w:bCs/>
          <w:szCs w:val="24"/>
          <w:lang w:val="tr-TR" w:eastAsia="tr-TR" w:bidi="tr-TR"/>
        </w:rPr>
        <w:t>ı</w:t>
      </w:r>
      <w:r w:rsidRPr="00F50C10">
        <w:rPr>
          <w:rFonts w:eastAsia="Times New Roman" w:cs="Times New Roman"/>
          <w:bCs/>
          <w:szCs w:val="24"/>
          <w:lang w:val="tr-TR" w:eastAsia="tr-TR" w:bidi="tr-TR"/>
        </w:rPr>
        <w:t>r.</w:t>
      </w:r>
    </w:p>
    <w:p w14:paraId="5EA4A3AB" w14:textId="77777777" w:rsidR="00172694" w:rsidRPr="00F50C10" w:rsidRDefault="00172694" w:rsidP="000B206D">
      <w:pPr>
        <w:widowControl w:val="0"/>
        <w:numPr>
          <w:ilvl w:val="1"/>
          <w:numId w:val="19"/>
        </w:numPr>
        <w:autoSpaceDE w:val="0"/>
        <w:autoSpaceDN w:val="0"/>
        <w:adjustRightInd w:val="0"/>
        <w:spacing w:before="120" w:after="60" w:line="276" w:lineRule="auto"/>
        <w:jc w:val="left"/>
        <w:outlineLvl w:val="1"/>
        <w:rPr>
          <w:rFonts w:eastAsia="Arial" w:cs="Times New Roman"/>
          <w:b/>
          <w:bCs/>
          <w:szCs w:val="24"/>
          <w:lang w:val="tr-TR" w:bidi="tr-TR"/>
        </w:rPr>
      </w:pPr>
      <w:r w:rsidRPr="00F50C10">
        <w:rPr>
          <w:rFonts w:eastAsia="Arial" w:cs="Times New Roman"/>
          <w:b/>
          <w:bCs/>
          <w:szCs w:val="24"/>
          <w:lang w:val="tr-TR" w:bidi="tr-TR"/>
        </w:rPr>
        <w:t>Polietilen tereftalat (PET) liflerinin</w:t>
      </w:r>
      <w:r w:rsidRPr="00F50C10">
        <w:rPr>
          <w:rFonts w:eastAsia="Arial" w:cs="Times New Roman"/>
          <w:b/>
          <w:bCs/>
          <w:szCs w:val="24"/>
          <w:lang w:val="tr-TR"/>
        </w:rPr>
        <w:t xml:space="preserve"> üretimi</w:t>
      </w:r>
      <w:r w:rsidRPr="00F50C10">
        <w:rPr>
          <w:rFonts w:eastAsia="Arial" w:cs="Times New Roman"/>
          <w:b/>
          <w:bCs/>
          <w:szCs w:val="24"/>
          <w:lang w:val="tr-TR" w:bidi="tr-TR"/>
        </w:rPr>
        <w:t xml:space="preserve"> için MET</w:t>
      </w:r>
    </w:p>
    <w:p w14:paraId="6D27B8C0" w14:textId="416DE4B6"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rPr>
      </w:pPr>
      <w:r w:rsidRPr="00F50C10">
        <w:rPr>
          <w:rFonts w:eastAsia="Times New Roman" w:cs="Times New Roman"/>
          <w:b/>
          <w:szCs w:val="24"/>
          <w:lang w:val="tr-TR" w:eastAsia="tr-TR" w:bidi="tr-TR"/>
        </w:rPr>
        <w:t xml:space="preserve">MET </w:t>
      </w:r>
      <w:r w:rsidR="004C6CDB" w:rsidRPr="00F50C10">
        <w:rPr>
          <w:rFonts w:eastAsia="Times New Roman" w:cs="Times New Roman"/>
          <w:b/>
          <w:szCs w:val="24"/>
          <w:lang w:val="tr-TR" w:eastAsia="tr-TR" w:bidi="tr-TR"/>
        </w:rPr>
        <w:t>1</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PET üretim proseslerinden gelen atık su AAT’ye gönderilmeden önce aşağıdakiler gibi bir atık su ön arıtma sistemi uygulanır:</w:t>
      </w:r>
    </w:p>
    <w:p w14:paraId="27E79197" w14:textId="77777777" w:rsidR="00172694" w:rsidRPr="00F50C10" w:rsidRDefault="00172694" w:rsidP="000B206D">
      <w:pPr>
        <w:widowControl w:val="0"/>
        <w:numPr>
          <w:ilvl w:val="0"/>
          <w:numId w:val="47"/>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sıyırma,</w:t>
      </w:r>
    </w:p>
    <w:p w14:paraId="79C920CC" w14:textId="77777777" w:rsidR="00172694" w:rsidRPr="00F50C10" w:rsidRDefault="00172694" w:rsidP="000B206D">
      <w:pPr>
        <w:widowControl w:val="0"/>
        <w:numPr>
          <w:ilvl w:val="0"/>
          <w:numId w:val="47"/>
        </w:numPr>
        <w:autoSpaceDE w:val="0"/>
        <w:autoSpaceDN w:val="0"/>
        <w:adjustRightInd w:val="0"/>
        <w:spacing w:before="120" w:after="60" w:line="276" w:lineRule="auto"/>
        <w:jc w:val="left"/>
        <w:rPr>
          <w:rFonts w:eastAsia="Times New Roman" w:cs="Times New Roman"/>
          <w:szCs w:val="24"/>
          <w:lang w:val="tr-TR" w:bidi="tr-TR"/>
        </w:rPr>
      </w:pPr>
      <w:r w:rsidRPr="00F50C10">
        <w:rPr>
          <w:rFonts w:eastAsia="Times New Roman" w:cs="Times New Roman"/>
          <w:szCs w:val="24"/>
          <w:lang w:val="tr-TR" w:bidi="tr-TR"/>
        </w:rPr>
        <w:t>geri dönüşüm,</w:t>
      </w:r>
    </w:p>
    <w:p w14:paraId="33FC353C" w14:textId="4EF89441" w:rsidR="00172694" w:rsidRPr="00F50C10" w:rsidRDefault="00172694" w:rsidP="000B206D">
      <w:pPr>
        <w:widowControl w:val="0"/>
        <w:numPr>
          <w:ilvl w:val="0"/>
          <w:numId w:val="47"/>
        </w:numPr>
        <w:autoSpaceDE w:val="0"/>
        <w:autoSpaceDN w:val="0"/>
        <w:adjustRightInd w:val="0"/>
        <w:spacing w:before="120" w:after="60" w:line="276" w:lineRule="auto"/>
        <w:jc w:val="left"/>
        <w:rPr>
          <w:rFonts w:eastAsia="Times New Roman" w:cs="Times New Roman"/>
          <w:szCs w:val="24"/>
          <w:lang w:val="tr-TR"/>
        </w:rPr>
      </w:pPr>
      <w:r w:rsidRPr="00F50C10">
        <w:rPr>
          <w:rFonts w:eastAsia="Times New Roman" w:cs="Times New Roman"/>
          <w:szCs w:val="24"/>
          <w:lang w:val="tr-TR" w:bidi="tr-TR"/>
        </w:rPr>
        <w:t>veya eşdeğeri</w:t>
      </w:r>
      <w:r w:rsidR="00786722" w:rsidRPr="00F50C10">
        <w:rPr>
          <w:rFonts w:eastAsia="Times New Roman" w:cs="Times New Roman"/>
          <w:szCs w:val="24"/>
          <w:lang w:val="tr-TR" w:bidi="tr-TR"/>
        </w:rPr>
        <w:t>.</w:t>
      </w:r>
      <w:r w:rsidRPr="00F50C10">
        <w:rPr>
          <w:rFonts w:eastAsia="Times New Roman" w:cs="Times New Roman"/>
          <w:szCs w:val="24"/>
          <w:lang w:val="tr-TR" w:bidi="tr-TR"/>
        </w:rPr>
        <w:t xml:space="preserve"> </w:t>
      </w:r>
    </w:p>
    <w:p w14:paraId="6D9313D7" w14:textId="31943AA6"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
          <w:szCs w:val="24"/>
          <w:lang w:val="tr-TR" w:eastAsia="tr-TR" w:bidi="tr-TR"/>
        </w:rPr>
        <w:t xml:space="preserve">MET </w:t>
      </w:r>
      <w:r w:rsidR="00B61111" w:rsidRPr="00F50C10">
        <w:rPr>
          <w:rFonts w:eastAsia="Times New Roman" w:cs="Times New Roman"/>
          <w:b/>
          <w:szCs w:val="24"/>
          <w:lang w:val="tr-TR" w:eastAsia="tr-TR" w:bidi="tr-TR"/>
        </w:rPr>
        <w:t>2</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PET üretiminden kaynaklanan atık gaz akışlarını arıtmak üzere katalitik oksitleme veya eşdeğer teknikler</w:t>
      </w:r>
      <w:r w:rsidR="008A7396" w:rsidRPr="00F50C10">
        <w:rPr>
          <w:rFonts w:eastAsia="Times New Roman" w:cs="Times New Roman"/>
          <w:bCs/>
          <w:szCs w:val="24"/>
          <w:lang w:val="tr-TR" w:eastAsia="tr-TR" w:bidi="tr-TR"/>
        </w:rPr>
        <w:t xml:space="preserve"> </w:t>
      </w:r>
      <w:r w:rsidRPr="00F50C10">
        <w:rPr>
          <w:rFonts w:eastAsia="Times New Roman" w:cs="Times New Roman"/>
          <w:bCs/>
          <w:szCs w:val="24"/>
          <w:lang w:val="tr-TR" w:eastAsia="tr-TR" w:bidi="tr-TR"/>
        </w:rPr>
        <w:t>kullanılır.</w:t>
      </w:r>
    </w:p>
    <w:p w14:paraId="3E6CFF2A" w14:textId="77777777" w:rsidR="00172694" w:rsidRPr="00F50C10" w:rsidRDefault="00172694" w:rsidP="000B206D">
      <w:pPr>
        <w:widowControl w:val="0"/>
        <w:numPr>
          <w:ilvl w:val="1"/>
          <w:numId w:val="19"/>
        </w:numPr>
        <w:autoSpaceDE w:val="0"/>
        <w:autoSpaceDN w:val="0"/>
        <w:adjustRightInd w:val="0"/>
        <w:spacing w:before="120" w:after="60" w:line="276" w:lineRule="auto"/>
        <w:jc w:val="left"/>
        <w:outlineLvl w:val="1"/>
        <w:rPr>
          <w:rFonts w:eastAsia="Arial" w:cs="Times New Roman"/>
          <w:b/>
          <w:bCs/>
          <w:szCs w:val="24"/>
          <w:lang w:val="tr-TR" w:bidi="tr-TR"/>
        </w:rPr>
      </w:pPr>
      <w:r w:rsidRPr="00F50C10">
        <w:rPr>
          <w:rFonts w:eastAsia="Arial" w:cs="Times New Roman"/>
          <w:b/>
          <w:bCs/>
          <w:szCs w:val="24"/>
          <w:lang w:val="tr-TR" w:bidi="tr-TR"/>
        </w:rPr>
        <w:t>Viskon lif</w:t>
      </w:r>
      <w:r w:rsidRPr="00F50C10">
        <w:rPr>
          <w:rFonts w:eastAsia="Arial" w:cs="Times New Roman"/>
          <w:b/>
          <w:bCs/>
          <w:szCs w:val="24"/>
          <w:lang w:val="tr-TR"/>
        </w:rPr>
        <w:t xml:space="preserve"> üretimi</w:t>
      </w:r>
      <w:r w:rsidRPr="00F50C10">
        <w:rPr>
          <w:rFonts w:eastAsia="Arial" w:cs="Times New Roman"/>
          <w:b/>
          <w:bCs/>
          <w:szCs w:val="24"/>
          <w:lang w:val="tr-TR" w:bidi="tr-TR"/>
        </w:rPr>
        <w:t xml:space="preserve"> için MET</w:t>
      </w:r>
    </w:p>
    <w:p w14:paraId="7685C300" w14:textId="3E109B47"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bidi="tr-TR"/>
        </w:rPr>
      </w:pPr>
      <w:r w:rsidRPr="00F50C10">
        <w:rPr>
          <w:rFonts w:eastAsia="Times New Roman" w:cs="Times New Roman"/>
          <w:b/>
          <w:szCs w:val="24"/>
          <w:lang w:val="tr-TR" w:eastAsia="tr-TR" w:bidi="tr-TR"/>
        </w:rPr>
        <w:t xml:space="preserve">MET </w:t>
      </w:r>
      <w:r w:rsidR="00B61111" w:rsidRPr="00F50C10">
        <w:rPr>
          <w:rFonts w:eastAsia="Times New Roman" w:cs="Times New Roman"/>
          <w:b/>
          <w:szCs w:val="24"/>
          <w:lang w:val="tr-TR" w:eastAsia="tr-TR" w:bidi="tr-TR"/>
        </w:rPr>
        <w:t>1</w:t>
      </w:r>
      <w:r w:rsidRPr="00F50C10">
        <w:rPr>
          <w:rFonts w:eastAsia="Times New Roman" w:cs="Times New Roman"/>
          <w:b/>
          <w:szCs w:val="24"/>
          <w:lang w:val="tr-TR" w:eastAsia="tr-TR" w:bidi="tr-TR"/>
        </w:rPr>
        <w:t xml:space="preserve">: </w:t>
      </w:r>
      <w:r w:rsidRPr="00F50C10">
        <w:rPr>
          <w:rFonts w:eastAsia="Times New Roman" w:cs="Times New Roman"/>
          <w:bCs/>
          <w:szCs w:val="24"/>
          <w:lang w:val="tr-TR" w:eastAsia="tr-TR" w:bidi="tr-TR"/>
        </w:rPr>
        <w:t>Eğirme tezgahları muhafaza edilerek çalıştırılır.</w:t>
      </w:r>
    </w:p>
    <w:p w14:paraId="123B59EA" w14:textId="0DF05F0B" w:rsidR="00B61111" w:rsidRPr="00F50C10" w:rsidRDefault="00B61111"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2.7.1 Kısmını inceleyiniz.)</w:t>
        </w:r>
      </w:hyperlink>
    </w:p>
    <w:p w14:paraId="0496C18D" w14:textId="7DB3B009"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bidi="tr-TR"/>
        </w:rPr>
      </w:pPr>
      <w:r w:rsidRPr="00F50C10">
        <w:rPr>
          <w:rFonts w:eastAsia="Times New Roman" w:cs="Times New Roman"/>
          <w:b/>
          <w:szCs w:val="24"/>
          <w:lang w:val="tr-TR" w:eastAsia="tr-TR" w:bidi="tr-TR"/>
        </w:rPr>
        <w:t xml:space="preserve">MET 2: </w:t>
      </w:r>
      <w:r w:rsidRPr="00F50C10">
        <w:rPr>
          <w:rFonts w:eastAsia="Times New Roman" w:cs="Times New Roman"/>
          <w:bCs/>
          <w:szCs w:val="24"/>
          <w:lang w:val="tr-TR" w:eastAsia="tr-TR" w:bidi="tr-TR"/>
        </w:rPr>
        <w:t>CS</w:t>
      </w:r>
      <w:r w:rsidRPr="00F50C10">
        <w:rPr>
          <w:rFonts w:eastAsia="Times New Roman" w:cs="Times New Roman"/>
          <w:bCs/>
          <w:szCs w:val="24"/>
          <w:vertAlign w:val="subscript"/>
          <w:lang w:val="tr-TR" w:eastAsia="tr-TR" w:bidi="tr-TR"/>
        </w:rPr>
        <w:t>2</w:t>
      </w:r>
      <w:r w:rsidRPr="00F50C10">
        <w:rPr>
          <w:rFonts w:eastAsia="Times New Roman" w:cs="Times New Roman"/>
          <w:bCs/>
          <w:szCs w:val="24"/>
          <w:lang w:val="tr-TR" w:eastAsia="tr-TR" w:bidi="tr-TR"/>
        </w:rPr>
        <w:t xml:space="preserve"> geri kazanımı ve prosese geri dönüşümü için eğirme koridorlarından gelen </w:t>
      </w:r>
      <w:r w:rsidR="008A7396" w:rsidRPr="00F50C10">
        <w:rPr>
          <w:rFonts w:eastAsia="Times New Roman" w:cs="Times New Roman"/>
          <w:bCs/>
          <w:szCs w:val="24"/>
          <w:lang w:val="tr-TR" w:eastAsia="tr-TR" w:bidi="tr-TR"/>
        </w:rPr>
        <w:t>çıkış</w:t>
      </w:r>
      <w:r w:rsidRPr="00F50C10">
        <w:rPr>
          <w:rFonts w:eastAsia="Times New Roman" w:cs="Times New Roman"/>
          <w:bCs/>
          <w:szCs w:val="24"/>
          <w:lang w:val="tr-TR" w:eastAsia="tr-TR" w:bidi="tr-TR"/>
        </w:rPr>
        <w:t xml:space="preserve"> havası yoğu</w:t>
      </w:r>
      <w:r w:rsidR="00786722" w:rsidRPr="00F50C10">
        <w:rPr>
          <w:rFonts w:eastAsia="Times New Roman" w:cs="Times New Roman"/>
          <w:bCs/>
          <w:szCs w:val="24"/>
          <w:lang w:val="tr-TR" w:eastAsia="tr-TR" w:bidi="tr-TR"/>
        </w:rPr>
        <w:t>şturu</w:t>
      </w:r>
      <w:r w:rsidRPr="00F50C10">
        <w:rPr>
          <w:rFonts w:eastAsia="Times New Roman" w:cs="Times New Roman"/>
          <w:bCs/>
          <w:szCs w:val="24"/>
          <w:lang w:val="tr-TR" w:eastAsia="tr-TR" w:bidi="tr-TR"/>
        </w:rPr>
        <w:t>l</w:t>
      </w:r>
      <w:r w:rsidR="008A7396" w:rsidRPr="00F50C10">
        <w:rPr>
          <w:rFonts w:eastAsia="Times New Roman" w:cs="Times New Roman"/>
          <w:bCs/>
          <w:szCs w:val="24"/>
          <w:lang w:val="tr-TR" w:eastAsia="tr-TR" w:bidi="tr-TR"/>
        </w:rPr>
        <w:t>ur</w:t>
      </w:r>
      <w:r w:rsidRPr="00F50C10">
        <w:rPr>
          <w:rFonts w:eastAsia="Times New Roman" w:cs="Times New Roman"/>
          <w:bCs/>
          <w:szCs w:val="24"/>
          <w:lang w:val="tr-TR" w:eastAsia="tr-TR" w:bidi="tr-TR"/>
        </w:rPr>
        <w:t>.</w:t>
      </w:r>
    </w:p>
    <w:p w14:paraId="3CB88B75" w14:textId="63D6C054" w:rsidR="00B61111" w:rsidRPr="00F50C10" w:rsidRDefault="00B61111"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2.7.2 Kısmını inceleyiniz.)</w:t>
        </w:r>
      </w:hyperlink>
    </w:p>
    <w:p w14:paraId="268BFD17" w14:textId="5B238BB6"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rPr>
      </w:pPr>
      <w:r w:rsidRPr="00F50C10">
        <w:rPr>
          <w:rFonts w:eastAsia="Times New Roman" w:cs="Times New Roman"/>
          <w:b/>
          <w:szCs w:val="24"/>
          <w:lang w:val="tr-TR" w:eastAsia="tr-TR" w:bidi="tr-TR"/>
        </w:rPr>
        <w:t xml:space="preserve">MET 3: </w:t>
      </w:r>
      <w:r w:rsidRPr="00F50C10">
        <w:rPr>
          <w:rFonts w:eastAsia="Times New Roman" w:cs="Times New Roman"/>
          <w:bCs/>
          <w:szCs w:val="24"/>
          <w:lang w:val="tr-TR" w:eastAsia="tr-TR" w:bidi="tr-TR"/>
        </w:rPr>
        <w:t xml:space="preserve">Aktif karbon üzerinde adsorpsiyon yoluyla </w:t>
      </w:r>
      <w:r w:rsidR="008A7396" w:rsidRPr="00F50C10">
        <w:rPr>
          <w:rFonts w:eastAsia="Times New Roman" w:cs="Times New Roman"/>
          <w:bCs/>
          <w:szCs w:val="24"/>
          <w:lang w:val="tr-TR" w:eastAsia="tr-TR" w:bidi="tr-TR"/>
        </w:rPr>
        <w:t>çıkış hava</w:t>
      </w:r>
      <w:r w:rsidRPr="00F50C10">
        <w:rPr>
          <w:rFonts w:eastAsia="Times New Roman" w:cs="Times New Roman"/>
          <w:bCs/>
          <w:szCs w:val="24"/>
          <w:lang w:val="tr-TR" w:eastAsia="tr-TR" w:bidi="tr-TR"/>
        </w:rPr>
        <w:t xml:space="preserve"> akımlarından CS</w:t>
      </w:r>
      <w:r w:rsidRPr="00F50C10">
        <w:rPr>
          <w:rFonts w:eastAsia="Times New Roman" w:cs="Times New Roman"/>
          <w:bCs/>
          <w:szCs w:val="24"/>
          <w:vertAlign w:val="subscript"/>
          <w:lang w:val="tr-TR" w:eastAsia="tr-TR" w:bidi="tr-TR"/>
        </w:rPr>
        <w:t>2</w:t>
      </w:r>
      <w:r w:rsidRPr="00F50C10">
        <w:rPr>
          <w:rFonts w:eastAsia="Times New Roman" w:cs="Times New Roman"/>
          <w:bCs/>
          <w:szCs w:val="24"/>
          <w:lang w:val="tr-TR" w:eastAsia="tr-TR" w:bidi="tr-TR"/>
        </w:rPr>
        <w:t xml:space="preserve"> geri kazanı</w:t>
      </w:r>
      <w:r w:rsidR="008A7396" w:rsidRPr="00F50C10">
        <w:rPr>
          <w:rFonts w:eastAsia="Times New Roman" w:cs="Times New Roman"/>
          <w:bCs/>
          <w:szCs w:val="24"/>
          <w:lang w:val="tr-TR" w:eastAsia="tr-TR" w:bidi="tr-TR"/>
        </w:rPr>
        <w:t>lı</w:t>
      </w:r>
      <w:r w:rsidRPr="00F50C10">
        <w:rPr>
          <w:rFonts w:eastAsia="Times New Roman" w:cs="Times New Roman"/>
          <w:bCs/>
          <w:szCs w:val="24"/>
          <w:lang w:val="tr-TR" w:eastAsia="tr-TR" w:bidi="tr-TR"/>
        </w:rPr>
        <w:t xml:space="preserve">r. </w:t>
      </w:r>
    </w:p>
    <w:p w14:paraId="63791E0A" w14:textId="6999E1A0" w:rsidR="00172694" w:rsidRPr="00F50C10" w:rsidRDefault="008A7396" w:rsidP="000B206D">
      <w:pPr>
        <w:widowControl w:val="0"/>
        <w:autoSpaceDE w:val="0"/>
        <w:autoSpaceDN w:val="0"/>
        <w:adjustRightInd w:val="0"/>
        <w:spacing w:before="120" w:after="60" w:line="276" w:lineRule="auto"/>
        <w:rPr>
          <w:rFonts w:eastAsia="Times New Roman" w:cs="Times New Roman"/>
          <w:szCs w:val="24"/>
          <w:lang w:val="tr-TR" w:eastAsia="tr-TR" w:bidi="tr-TR"/>
        </w:rPr>
      </w:pPr>
      <w:r w:rsidRPr="00F50C10">
        <w:rPr>
          <w:rFonts w:eastAsia="Times New Roman" w:cs="Times New Roman"/>
          <w:szCs w:val="24"/>
          <w:lang w:val="tr-TR" w:eastAsia="tr-TR" w:bidi="tr-TR"/>
        </w:rPr>
        <w:t>Çıkış</w:t>
      </w:r>
      <w:r w:rsidR="00172694" w:rsidRPr="00F50C10">
        <w:rPr>
          <w:rFonts w:eastAsia="Times New Roman" w:cs="Times New Roman"/>
          <w:szCs w:val="24"/>
          <w:lang w:val="tr-TR" w:eastAsia="tr-TR" w:bidi="tr-TR"/>
        </w:rPr>
        <w:t xml:space="preserve"> hava</w:t>
      </w:r>
      <w:r w:rsidRPr="00F50C10">
        <w:rPr>
          <w:rFonts w:eastAsia="Times New Roman" w:cs="Times New Roman"/>
          <w:szCs w:val="24"/>
          <w:lang w:val="tr-TR" w:eastAsia="tr-TR" w:bidi="tr-TR"/>
        </w:rPr>
        <w:t xml:space="preserve"> akımındaki </w:t>
      </w:r>
      <w:r w:rsidR="00172694" w:rsidRPr="00F50C10">
        <w:rPr>
          <w:rFonts w:eastAsia="Times New Roman" w:cs="Times New Roman"/>
          <w:szCs w:val="24"/>
          <w:lang w:val="tr-TR" w:eastAsia="tr-TR" w:bidi="tr-TR"/>
        </w:rPr>
        <w:t>H</w:t>
      </w:r>
      <w:r w:rsidR="00172694" w:rsidRPr="00F50C10">
        <w:rPr>
          <w:rFonts w:eastAsia="Times New Roman" w:cs="Times New Roman"/>
          <w:szCs w:val="24"/>
          <w:vertAlign w:val="subscript"/>
          <w:lang w:val="tr-TR" w:eastAsia="tr-TR" w:bidi="tr-TR"/>
        </w:rPr>
        <w:t>2</w:t>
      </w:r>
      <w:r w:rsidR="00172694" w:rsidRPr="00F50C10">
        <w:rPr>
          <w:rFonts w:eastAsia="Times New Roman" w:cs="Times New Roman"/>
          <w:szCs w:val="24"/>
          <w:lang w:val="tr-TR" w:eastAsia="tr-TR" w:bidi="tr-TR"/>
        </w:rPr>
        <w:t>S derişimine bağlı olarak, adsorptif CS</w:t>
      </w:r>
      <w:r w:rsidR="00172694" w:rsidRPr="00F50C10">
        <w:rPr>
          <w:rFonts w:eastAsia="Times New Roman" w:cs="Times New Roman"/>
          <w:szCs w:val="24"/>
          <w:vertAlign w:val="subscript"/>
          <w:lang w:val="tr-TR" w:eastAsia="tr-TR" w:bidi="tr-TR"/>
        </w:rPr>
        <w:t>2</w:t>
      </w:r>
      <w:r w:rsidR="00172694" w:rsidRPr="00F50C10">
        <w:rPr>
          <w:rFonts w:eastAsia="Times New Roman" w:cs="Times New Roman"/>
          <w:szCs w:val="24"/>
          <w:lang w:val="tr-TR" w:eastAsia="tr-TR" w:bidi="tr-TR"/>
        </w:rPr>
        <w:t xml:space="preserve"> geri kazanımı için farklı teknolojiler mevcuttur.</w:t>
      </w:r>
    </w:p>
    <w:p w14:paraId="552ECA3E" w14:textId="60D4D301" w:rsidR="00B61111" w:rsidRPr="00F50C10" w:rsidRDefault="00B61111"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2.7.3 Kısmını inceleyiniz.)</w:t>
        </w:r>
      </w:hyperlink>
    </w:p>
    <w:p w14:paraId="388258CC" w14:textId="5FAFB4FD"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rPr>
      </w:pPr>
      <w:r w:rsidRPr="00F50C10">
        <w:rPr>
          <w:rFonts w:eastAsia="Times New Roman" w:cs="Times New Roman"/>
          <w:b/>
          <w:szCs w:val="24"/>
          <w:lang w:val="tr-TR" w:eastAsia="tr-TR" w:bidi="tr-TR"/>
        </w:rPr>
        <w:t xml:space="preserve">MET 4: </w:t>
      </w:r>
      <w:r w:rsidR="008A7396" w:rsidRPr="00F50C10">
        <w:rPr>
          <w:rFonts w:eastAsia="Times New Roman" w:cs="Times New Roman"/>
          <w:bCs/>
          <w:szCs w:val="24"/>
          <w:lang w:val="tr-TR" w:eastAsia="tr-TR" w:bidi="tr-TR"/>
        </w:rPr>
        <w:t>Çıkış havasına</w:t>
      </w:r>
      <w:r w:rsidR="00786722" w:rsidRPr="00F50C10">
        <w:rPr>
          <w:rFonts w:eastAsia="Times New Roman" w:cs="Times New Roman"/>
          <w:bCs/>
          <w:szCs w:val="24"/>
          <w:lang w:val="tr-TR" w:eastAsia="tr-TR" w:bidi="tr-TR"/>
        </w:rPr>
        <w:t>,</w:t>
      </w:r>
      <w:r w:rsidRPr="00F50C10">
        <w:rPr>
          <w:rFonts w:eastAsia="Times New Roman" w:cs="Times New Roman"/>
          <w:bCs/>
          <w:szCs w:val="24"/>
          <w:lang w:val="tr-TR" w:eastAsia="tr-TR" w:bidi="tr-TR"/>
        </w:rPr>
        <w:t xml:space="preserve"> H</w:t>
      </w:r>
      <w:r w:rsidRPr="00F50C10">
        <w:rPr>
          <w:rFonts w:eastAsia="Times New Roman" w:cs="Times New Roman"/>
          <w:bCs/>
          <w:szCs w:val="24"/>
          <w:vertAlign w:val="subscript"/>
          <w:lang w:val="tr-TR" w:eastAsia="tr-TR" w:bidi="tr-TR"/>
        </w:rPr>
        <w:t>2</w:t>
      </w:r>
      <w:r w:rsidRPr="00F50C10">
        <w:rPr>
          <w:rFonts w:eastAsia="Times New Roman" w:cs="Times New Roman"/>
          <w:bCs/>
          <w:szCs w:val="24"/>
          <w:lang w:val="tr-TR" w:eastAsia="tr-TR" w:bidi="tr-TR"/>
        </w:rPr>
        <w:t>SO</w:t>
      </w:r>
      <w:r w:rsidRPr="00F50C10">
        <w:rPr>
          <w:rFonts w:eastAsia="Times New Roman" w:cs="Times New Roman"/>
          <w:bCs/>
          <w:szCs w:val="24"/>
          <w:vertAlign w:val="subscript"/>
          <w:lang w:val="tr-TR" w:eastAsia="tr-TR" w:bidi="tr-TR"/>
        </w:rPr>
        <w:t>4</w:t>
      </w:r>
      <w:r w:rsidRPr="00F50C10">
        <w:rPr>
          <w:rFonts w:eastAsia="Times New Roman" w:cs="Times New Roman"/>
          <w:bCs/>
          <w:szCs w:val="24"/>
          <w:lang w:val="tr-TR" w:eastAsia="tr-TR" w:bidi="tr-TR"/>
        </w:rPr>
        <w:t xml:space="preserve"> </w:t>
      </w:r>
      <w:r w:rsidR="00786722" w:rsidRPr="00F50C10">
        <w:rPr>
          <w:rFonts w:eastAsia="Times New Roman" w:cs="Times New Roman"/>
          <w:bCs/>
          <w:szCs w:val="24"/>
          <w:lang w:val="tr-TR" w:eastAsia="tr-TR" w:bidi="tr-TR"/>
        </w:rPr>
        <w:t>üretimi ile</w:t>
      </w:r>
      <w:r w:rsidRPr="00F50C10">
        <w:rPr>
          <w:rFonts w:eastAsia="Times New Roman" w:cs="Times New Roman"/>
          <w:bCs/>
          <w:szCs w:val="24"/>
          <w:lang w:val="tr-TR" w:eastAsia="tr-TR" w:bidi="tr-TR"/>
        </w:rPr>
        <w:t xml:space="preserve"> katalitik oksitlemeye dayalı </w:t>
      </w:r>
      <w:r w:rsidR="008A7396" w:rsidRPr="00F50C10">
        <w:rPr>
          <w:rFonts w:eastAsia="Times New Roman" w:cs="Times New Roman"/>
          <w:bCs/>
          <w:szCs w:val="24"/>
          <w:lang w:val="tr-TR" w:eastAsia="tr-TR" w:bidi="tr-TR"/>
        </w:rPr>
        <w:t>çıkış</w:t>
      </w:r>
      <w:r w:rsidRPr="00F50C10">
        <w:rPr>
          <w:rFonts w:eastAsia="Times New Roman" w:cs="Times New Roman"/>
          <w:bCs/>
          <w:szCs w:val="24"/>
          <w:lang w:val="tr-TR" w:eastAsia="tr-TR" w:bidi="tr-TR"/>
        </w:rPr>
        <w:t xml:space="preserve"> havası kükürt giderme işlemleri uygul</w:t>
      </w:r>
      <w:r w:rsidR="008A7396" w:rsidRPr="00F50C10">
        <w:rPr>
          <w:rFonts w:eastAsia="Times New Roman" w:cs="Times New Roman"/>
          <w:bCs/>
          <w:szCs w:val="24"/>
          <w:lang w:val="tr-TR" w:eastAsia="tr-TR" w:bidi="tr-TR"/>
        </w:rPr>
        <w:t>an</w:t>
      </w:r>
      <w:r w:rsidRPr="00F50C10">
        <w:rPr>
          <w:rFonts w:eastAsia="Times New Roman" w:cs="Times New Roman"/>
          <w:bCs/>
          <w:szCs w:val="24"/>
          <w:lang w:val="tr-TR" w:eastAsia="tr-TR" w:bidi="tr-TR"/>
        </w:rPr>
        <w:t>ır.</w:t>
      </w:r>
    </w:p>
    <w:p w14:paraId="7B956AEA" w14:textId="163635AF"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bidi="tr-TR"/>
        </w:rPr>
      </w:pPr>
      <w:r w:rsidRPr="00F50C10">
        <w:rPr>
          <w:rFonts w:eastAsia="Times New Roman" w:cs="Times New Roman"/>
          <w:szCs w:val="24"/>
          <w:lang w:val="tr-TR" w:eastAsia="tr-TR" w:bidi="tr-TR"/>
        </w:rPr>
        <w:t>Kütle akışlarına ve derişimlerine bağlı olarak, kükürt içeren dışa atım gazlarını oksitlemek için bir dizi farklı işlem mevcuttur.</w:t>
      </w:r>
    </w:p>
    <w:p w14:paraId="43A0B166" w14:textId="6BEC9A21" w:rsidR="003F039F" w:rsidRPr="00F50C10" w:rsidRDefault="003F039F"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2.7.4 Kısmını inceleyiniz.)</w:t>
        </w:r>
      </w:hyperlink>
    </w:p>
    <w:p w14:paraId="2E3386EC" w14:textId="6EE1D248"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rPr>
      </w:pPr>
      <w:r w:rsidRPr="00F50C10">
        <w:rPr>
          <w:rFonts w:eastAsia="Times New Roman" w:cs="Times New Roman"/>
          <w:b/>
          <w:szCs w:val="24"/>
          <w:lang w:val="tr-TR" w:eastAsia="tr-TR" w:bidi="tr-TR"/>
        </w:rPr>
        <w:t xml:space="preserve">MET 5: </w:t>
      </w:r>
      <w:r w:rsidRPr="00F50C10">
        <w:rPr>
          <w:rFonts w:eastAsia="Times New Roman" w:cs="Times New Roman"/>
          <w:bCs/>
          <w:szCs w:val="24"/>
          <w:lang w:val="tr-TR" w:eastAsia="tr-TR" w:bidi="tr-TR"/>
        </w:rPr>
        <w:t>Eğirme banyolarından sülfat geri kazanı</w:t>
      </w:r>
      <w:r w:rsidR="008A7396" w:rsidRPr="00F50C10">
        <w:rPr>
          <w:rFonts w:eastAsia="Times New Roman" w:cs="Times New Roman"/>
          <w:bCs/>
          <w:szCs w:val="24"/>
          <w:lang w:val="tr-TR" w:eastAsia="tr-TR" w:bidi="tr-TR"/>
        </w:rPr>
        <w:t>lır.</w:t>
      </w:r>
    </w:p>
    <w:p w14:paraId="09CBE594" w14:textId="684CFC61" w:rsidR="00172694" w:rsidRPr="00F50C10" w:rsidRDefault="008A7396" w:rsidP="000B206D">
      <w:pPr>
        <w:widowControl w:val="0"/>
        <w:autoSpaceDE w:val="0"/>
        <w:autoSpaceDN w:val="0"/>
        <w:adjustRightInd w:val="0"/>
        <w:spacing w:before="120" w:after="60" w:line="276" w:lineRule="auto"/>
        <w:rPr>
          <w:rFonts w:eastAsia="Times New Roman" w:cs="Times New Roman"/>
          <w:szCs w:val="24"/>
          <w:lang w:val="tr-TR" w:eastAsia="tr-TR" w:bidi="tr-TR"/>
        </w:rPr>
      </w:pPr>
      <w:r w:rsidRPr="00F50C10">
        <w:rPr>
          <w:rFonts w:eastAsia="Times New Roman" w:cs="Times New Roman"/>
          <w:szCs w:val="24"/>
          <w:lang w:val="tr-TR" w:eastAsia="tr-TR" w:bidi="tr-TR"/>
        </w:rPr>
        <w:t>Sülfat,</w:t>
      </w:r>
      <w:r w:rsidR="00172694" w:rsidRPr="00F50C10">
        <w:rPr>
          <w:rFonts w:eastAsia="Times New Roman" w:cs="Times New Roman"/>
          <w:szCs w:val="24"/>
          <w:lang w:val="tr-TR" w:eastAsia="tr-TR" w:bidi="tr-TR"/>
        </w:rPr>
        <w:t xml:space="preserve"> Na</w:t>
      </w:r>
      <w:r w:rsidR="00172694" w:rsidRPr="00F50C10">
        <w:rPr>
          <w:rFonts w:eastAsia="Times New Roman" w:cs="Times New Roman"/>
          <w:szCs w:val="24"/>
          <w:vertAlign w:val="subscript"/>
          <w:lang w:val="tr-TR" w:eastAsia="tr-TR" w:bidi="tr-TR"/>
        </w:rPr>
        <w:t>2</w:t>
      </w:r>
      <w:r w:rsidR="00172694" w:rsidRPr="00F50C10">
        <w:rPr>
          <w:rFonts w:eastAsia="Times New Roman" w:cs="Times New Roman"/>
          <w:szCs w:val="24"/>
          <w:lang w:val="tr-TR" w:eastAsia="tr-TR" w:bidi="tr-TR"/>
        </w:rPr>
        <w:t>SO</w:t>
      </w:r>
      <w:r w:rsidR="00172694" w:rsidRPr="00F50C10">
        <w:rPr>
          <w:rFonts w:eastAsia="Times New Roman" w:cs="Times New Roman"/>
          <w:szCs w:val="24"/>
          <w:vertAlign w:val="subscript"/>
          <w:lang w:val="tr-TR" w:eastAsia="tr-TR" w:bidi="tr-TR"/>
        </w:rPr>
        <w:t>4</w:t>
      </w:r>
      <w:r w:rsidR="00172694" w:rsidRPr="00F50C10">
        <w:rPr>
          <w:rFonts w:eastAsia="Times New Roman" w:cs="Times New Roman"/>
          <w:szCs w:val="24"/>
          <w:lang w:val="tr-TR" w:eastAsia="tr-TR" w:bidi="tr-TR"/>
        </w:rPr>
        <w:t xml:space="preserve"> olarak atık sudan uzaklaştırılır. Yan ürün ekonomik olarak değerlidir ve satılabilir.</w:t>
      </w:r>
    </w:p>
    <w:p w14:paraId="4703F7F7" w14:textId="5E37CBAC" w:rsidR="003F039F" w:rsidRPr="00F50C10" w:rsidRDefault="003F039F"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2.7.5 Kısmını inceleyiniz.)</w:t>
        </w:r>
      </w:hyperlink>
    </w:p>
    <w:p w14:paraId="6E330A12" w14:textId="1D8D676B"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rPr>
      </w:pPr>
      <w:r w:rsidRPr="00F50C10">
        <w:rPr>
          <w:rFonts w:eastAsia="Times New Roman" w:cs="Times New Roman"/>
          <w:b/>
          <w:szCs w:val="24"/>
          <w:lang w:val="tr-TR" w:eastAsia="tr-TR" w:bidi="tr-TR"/>
        </w:rPr>
        <w:t xml:space="preserve">MET 6: </w:t>
      </w:r>
      <w:r w:rsidRPr="00F50C10">
        <w:rPr>
          <w:rFonts w:eastAsia="Times New Roman" w:cs="Times New Roman"/>
          <w:bCs/>
          <w:szCs w:val="24"/>
          <w:lang w:val="tr-TR" w:eastAsia="tr-TR" w:bidi="tr-TR"/>
        </w:rPr>
        <w:t xml:space="preserve">Alkali çökeltme ve ardından </w:t>
      </w:r>
      <w:r w:rsidR="00513E90" w:rsidRPr="00F50C10">
        <w:rPr>
          <w:rFonts w:eastAsia="Times New Roman" w:cs="Times New Roman"/>
          <w:bCs/>
          <w:szCs w:val="24"/>
          <w:lang w:val="tr-TR" w:eastAsia="tr-TR" w:bidi="tr-TR"/>
        </w:rPr>
        <w:t>kükürt</w:t>
      </w:r>
      <w:r w:rsidRPr="00F50C10">
        <w:rPr>
          <w:rFonts w:eastAsia="Times New Roman" w:cs="Times New Roman"/>
          <w:bCs/>
          <w:szCs w:val="24"/>
          <w:lang w:val="tr-TR" w:eastAsia="tr-TR" w:bidi="tr-TR"/>
        </w:rPr>
        <w:t xml:space="preserve"> çökeltme ile atık suda</w:t>
      </w:r>
      <w:r w:rsidR="008A7396" w:rsidRPr="00F50C10">
        <w:rPr>
          <w:rFonts w:eastAsia="Times New Roman" w:cs="Times New Roman"/>
          <w:bCs/>
          <w:szCs w:val="24"/>
          <w:lang w:val="tr-TR" w:eastAsia="tr-TR" w:bidi="tr-TR"/>
        </w:rPr>
        <w:t>ki</w:t>
      </w:r>
      <w:r w:rsidRPr="00F50C10">
        <w:rPr>
          <w:rFonts w:eastAsia="Times New Roman" w:cs="Times New Roman"/>
          <w:bCs/>
          <w:szCs w:val="24"/>
          <w:lang w:val="tr-TR" w:eastAsia="tr-TR" w:bidi="tr-TR"/>
        </w:rPr>
        <w:t xml:space="preserve"> Zn </w:t>
      </w:r>
      <w:r w:rsidR="007F7096" w:rsidRPr="00F50C10">
        <w:rPr>
          <w:rFonts w:eastAsia="Times New Roman" w:cs="Times New Roman"/>
          <w:bCs/>
          <w:szCs w:val="24"/>
          <w:lang w:val="tr-TR" w:eastAsia="tr-TR" w:bidi="tr-TR"/>
        </w:rPr>
        <w:t>azaltı</w:t>
      </w:r>
      <w:r w:rsidR="008A7396" w:rsidRPr="00F50C10">
        <w:rPr>
          <w:rFonts w:eastAsia="Times New Roman" w:cs="Times New Roman"/>
          <w:bCs/>
          <w:szCs w:val="24"/>
          <w:lang w:val="tr-TR" w:eastAsia="tr-TR" w:bidi="tr-TR"/>
        </w:rPr>
        <w:t>l</w:t>
      </w:r>
      <w:r w:rsidR="007F7096" w:rsidRPr="00F50C10">
        <w:rPr>
          <w:rFonts w:eastAsia="Times New Roman" w:cs="Times New Roman"/>
          <w:bCs/>
          <w:szCs w:val="24"/>
          <w:lang w:val="tr-TR" w:eastAsia="tr-TR" w:bidi="tr-TR"/>
        </w:rPr>
        <w:t>ır</w:t>
      </w:r>
      <w:r w:rsidR="008A7396" w:rsidRPr="00F50C10">
        <w:rPr>
          <w:rFonts w:eastAsia="Times New Roman" w:cs="Times New Roman"/>
          <w:bCs/>
          <w:szCs w:val="24"/>
          <w:lang w:val="tr-TR" w:eastAsia="tr-TR" w:bidi="tr-TR"/>
        </w:rPr>
        <w:t>.</w:t>
      </w:r>
    </w:p>
    <w:p w14:paraId="3716544B" w14:textId="02F4D809"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rPr>
      </w:pPr>
      <w:r w:rsidRPr="00F50C10">
        <w:rPr>
          <w:rFonts w:eastAsia="Times New Roman" w:cs="Times New Roman"/>
          <w:szCs w:val="24"/>
          <w:lang w:val="tr-TR" w:eastAsia="tr-TR" w:bidi="tr-TR"/>
        </w:rPr>
        <w:t>MET, 1.5 mg/l Zn derişimi elde etmek</w:t>
      </w:r>
      <w:r w:rsidR="003F039F" w:rsidRPr="00F50C10">
        <w:rPr>
          <w:rFonts w:eastAsia="Times New Roman" w:cs="Times New Roman"/>
          <w:szCs w:val="24"/>
          <w:lang w:val="tr-TR" w:eastAsia="tr-TR" w:bidi="tr-TR"/>
        </w:rPr>
        <w:t>tir.</w:t>
      </w:r>
    </w:p>
    <w:p w14:paraId="6EAC8F8B" w14:textId="06108FFD"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bidi="tr-TR"/>
        </w:rPr>
      </w:pPr>
      <w:r w:rsidRPr="00F50C10">
        <w:rPr>
          <w:rFonts w:eastAsia="Times New Roman" w:cs="Times New Roman"/>
          <w:szCs w:val="24"/>
          <w:lang w:val="tr-TR" w:eastAsia="tr-TR" w:bidi="tr-TR"/>
        </w:rPr>
        <w:t>Hassas su kütleleri için MET, 0.3 mg/l Zn derişimi elde etmektir.</w:t>
      </w:r>
    </w:p>
    <w:p w14:paraId="2D90EC6F" w14:textId="2B7ED43A" w:rsidR="003F039F" w:rsidRPr="00F50C10" w:rsidRDefault="003F039F"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2.7.6 Kısmını inceleyiniz.)</w:t>
        </w:r>
      </w:hyperlink>
    </w:p>
    <w:p w14:paraId="6D0BC094" w14:textId="498C8E29" w:rsidR="00172694" w:rsidRPr="00F50C10" w:rsidRDefault="00172694" w:rsidP="000B206D">
      <w:pPr>
        <w:widowControl w:val="0"/>
        <w:autoSpaceDE w:val="0"/>
        <w:autoSpaceDN w:val="0"/>
        <w:adjustRightInd w:val="0"/>
        <w:spacing w:before="120" w:after="60" w:line="276" w:lineRule="auto"/>
        <w:rPr>
          <w:rFonts w:eastAsia="Times New Roman" w:cs="Times New Roman"/>
          <w:bCs/>
          <w:szCs w:val="24"/>
          <w:lang w:val="tr-TR" w:eastAsia="tr-TR"/>
        </w:rPr>
      </w:pPr>
      <w:r w:rsidRPr="00F50C10">
        <w:rPr>
          <w:rFonts w:eastAsia="Times New Roman" w:cs="Times New Roman"/>
          <w:b/>
          <w:szCs w:val="24"/>
          <w:lang w:val="tr-TR" w:eastAsia="tr-TR" w:bidi="tr-TR"/>
        </w:rPr>
        <w:t xml:space="preserve">MET 7: </w:t>
      </w:r>
      <w:r w:rsidRPr="00F50C10">
        <w:rPr>
          <w:rFonts w:eastAsia="Times New Roman" w:cs="Times New Roman"/>
          <w:bCs/>
          <w:szCs w:val="24"/>
          <w:lang w:val="tr-TR" w:eastAsia="tr-TR" w:bidi="tr-TR"/>
        </w:rPr>
        <w:t>Hassas su kütleleri için anaerobik sülfat indirgeme teknikleri kullanılır.</w:t>
      </w:r>
    </w:p>
    <w:p w14:paraId="76E7DBFB" w14:textId="3036A18C" w:rsidR="00172694" w:rsidRPr="00F50C10" w:rsidRDefault="00172694" w:rsidP="000B206D">
      <w:pPr>
        <w:widowControl w:val="0"/>
        <w:autoSpaceDE w:val="0"/>
        <w:autoSpaceDN w:val="0"/>
        <w:adjustRightInd w:val="0"/>
        <w:spacing w:before="120" w:after="60" w:line="276" w:lineRule="auto"/>
        <w:rPr>
          <w:rFonts w:eastAsia="Times New Roman" w:cs="Times New Roman"/>
          <w:szCs w:val="24"/>
          <w:lang w:val="tr-TR" w:eastAsia="tr-TR" w:bidi="tr-TR"/>
        </w:rPr>
      </w:pPr>
      <w:r w:rsidRPr="00F50C10">
        <w:rPr>
          <w:rFonts w:eastAsia="Times New Roman" w:cs="Times New Roman"/>
          <w:szCs w:val="24"/>
          <w:lang w:val="tr-TR" w:eastAsia="tr-TR" w:bidi="tr-TR"/>
        </w:rPr>
        <w:t>Daha fazla sülfat giderimi gerektiğinde, H</w:t>
      </w:r>
      <w:r w:rsidRPr="00F50C10">
        <w:rPr>
          <w:rFonts w:eastAsia="Times New Roman" w:cs="Times New Roman"/>
          <w:szCs w:val="24"/>
          <w:vertAlign w:val="subscript"/>
          <w:lang w:val="tr-TR" w:eastAsia="tr-TR" w:bidi="tr-TR"/>
        </w:rPr>
        <w:t>2</w:t>
      </w:r>
      <w:r w:rsidRPr="00F50C10">
        <w:rPr>
          <w:rFonts w:eastAsia="Times New Roman" w:cs="Times New Roman"/>
          <w:szCs w:val="24"/>
          <w:lang w:val="tr-TR" w:eastAsia="tr-TR" w:bidi="tr-TR"/>
        </w:rPr>
        <w:t>S anaerobik indirgemesi yapılır.</w:t>
      </w:r>
    </w:p>
    <w:p w14:paraId="49CADBC9" w14:textId="75AB3C47" w:rsidR="000346D3" w:rsidRPr="00F50C10" w:rsidRDefault="000346D3"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2.7.7 Kısmını inceleyiniz.)</w:t>
        </w:r>
      </w:hyperlink>
    </w:p>
    <w:p w14:paraId="37EF33E1" w14:textId="73035287" w:rsidR="00172694" w:rsidRPr="00F50C10" w:rsidRDefault="00172694" w:rsidP="000B206D">
      <w:pPr>
        <w:widowControl w:val="0"/>
        <w:autoSpaceDE w:val="0"/>
        <w:autoSpaceDN w:val="0"/>
        <w:adjustRightInd w:val="0"/>
        <w:spacing w:before="120" w:after="60" w:line="276" w:lineRule="auto"/>
        <w:rPr>
          <w:rFonts w:eastAsia="Times New Roman" w:cs="Times New Roman"/>
          <w:b/>
          <w:szCs w:val="24"/>
          <w:lang w:val="tr-TR" w:eastAsia="tr-TR"/>
        </w:rPr>
      </w:pPr>
      <w:r w:rsidRPr="00F50C10">
        <w:rPr>
          <w:rFonts w:eastAsia="Times New Roman" w:cs="Times New Roman"/>
          <w:b/>
          <w:szCs w:val="24"/>
          <w:lang w:val="tr-TR" w:eastAsia="tr-TR"/>
        </w:rPr>
        <w:t xml:space="preserve">MET 8: </w:t>
      </w:r>
      <w:r w:rsidRPr="00F50C10">
        <w:rPr>
          <w:rFonts w:eastAsia="Times New Roman" w:cs="Times New Roman"/>
          <w:bCs/>
          <w:szCs w:val="24"/>
          <w:lang w:val="tr-TR" w:eastAsia="tr-TR"/>
        </w:rPr>
        <w:t xml:space="preserve">Tehlikeli olmayan atıkların buhar veya enerji üretimine yönelik ısı geri kazanımı için </w:t>
      </w:r>
      <w:r w:rsidR="001217F0" w:rsidRPr="00F50C10">
        <w:rPr>
          <w:rFonts w:eastAsia="Times New Roman" w:cs="Times New Roman"/>
          <w:bCs/>
          <w:szCs w:val="24"/>
          <w:lang w:val="tr-TR" w:eastAsia="tr-TR"/>
        </w:rPr>
        <w:t xml:space="preserve">yakılmasında </w:t>
      </w:r>
      <w:r w:rsidRPr="00F50C10">
        <w:rPr>
          <w:rFonts w:eastAsia="Times New Roman" w:cs="Times New Roman"/>
          <w:bCs/>
          <w:szCs w:val="24"/>
          <w:lang w:val="tr-TR" w:eastAsia="tr-TR"/>
        </w:rPr>
        <w:t>akışkan yataklı yakma fırınları kullanılır.</w:t>
      </w:r>
    </w:p>
    <w:p w14:paraId="45D90580" w14:textId="77777777" w:rsidR="008D41B1" w:rsidRPr="00F50C10" w:rsidRDefault="008D41B1" w:rsidP="000B206D">
      <w:pPr>
        <w:widowControl w:val="0"/>
        <w:autoSpaceDE w:val="0"/>
        <w:autoSpaceDN w:val="0"/>
        <w:adjustRightInd w:val="0"/>
        <w:spacing w:before="120" w:after="60" w:line="276" w:lineRule="auto"/>
        <w:rPr>
          <w:rFonts w:eastAsia="Times New Roman" w:cs="Times New Roman"/>
          <w:b/>
          <w:szCs w:val="24"/>
          <w:lang w:val="tr-TR" w:eastAsia="tr-TR" w:bidi="tr-TR"/>
        </w:rPr>
      </w:pPr>
      <w:r w:rsidRPr="00F50C10">
        <w:rPr>
          <w:rFonts w:eastAsia="Times New Roman" w:cs="Times New Roman"/>
          <w:bCs/>
          <w:szCs w:val="24"/>
          <w:lang w:val="tr-TR" w:eastAsia="tr-TR" w:bidi="tr-TR"/>
        </w:rPr>
        <w:t xml:space="preserve">(Detaylı bilgi için Polimer Üretimi İçin </w:t>
      </w:r>
      <w:r w:rsidRPr="00F50C10">
        <w:rPr>
          <w:rFonts w:cs="Times New Roman"/>
          <w:bCs/>
          <w:szCs w:val="24"/>
          <w:lang w:bidi="tr-TR"/>
        </w:rPr>
        <w:t>MET Referans Belgesinin 1</w:t>
      </w:r>
      <w:hyperlink w:anchor="bookmark356" w:history="1">
        <w:r w:rsidRPr="00F50C10">
          <w:rPr>
            <w:rFonts w:cs="Times New Roman"/>
            <w:bCs/>
            <w:szCs w:val="24"/>
            <w:lang w:bidi="tr-TR"/>
          </w:rPr>
          <w:t>2.7.8 Kısmını inceleyiniz.)</w:t>
        </w:r>
      </w:hyperlink>
    </w:p>
    <w:p w14:paraId="6EA616C7" w14:textId="42D005B0" w:rsidR="00172694" w:rsidRPr="00F50C10" w:rsidRDefault="008D41B1" w:rsidP="000B206D">
      <w:pPr>
        <w:widowControl w:val="0"/>
        <w:autoSpaceDE w:val="0"/>
        <w:autoSpaceDN w:val="0"/>
        <w:adjustRightInd w:val="0"/>
        <w:spacing w:before="120" w:after="60" w:line="276" w:lineRule="auto"/>
        <w:rPr>
          <w:rFonts w:eastAsia="Times New Roman" w:cs="Times New Roman"/>
          <w:bCs/>
          <w:szCs w:val="24"/>
          <w:lang w:val="tr-TR" w:eastAsia="tr-TR" w:bidi="tr-TR"/>
        </w:rPr>
      </w:pPr>
      <w:r w:rsidRPr="00F50C10">
        <w:rPr>
          <w:rFonts w:eastAsia="Times New Roman" w:cs="Times New Roman"/>
          <w:b/>
          <w:szCs w:val="24"/>
          <w:lang w:val="tr-TR" w:eastAsia="tr-TR"/>
        </w:rPr>
        <w:t xml:space="preserve">MET 9: </w:t>
      </w:r>
      <w:r w:rsidR="00172694" w:rsidRPr="00F50C10">
        <w:rPr>
          <w:rFonts w:eastAsia="Times New Roman" w:cs="Times New Roman"/>
          <w:bCs/>
          <w:szCs w:val="24"/>
          <w:lang w:val="tr-TR" w:eastAsia="tr-TR" w:bidi="tr-TR"/>
        </w:rPr>
        <w:t>Viskon kesikli lif üretimi için MET ile ilişkili emisyon ve tüketim seviyeleri aşağıdaki tabloda verilmektedir.</w:t>
      </w:r>
    </w:p>
    <w:p w14:paraId="74C4BA8A" w14:textId="51374BC4" w:rsidR="00172694" w:rsidRPr="00F50C10" w:rsidRDefault="00172694" w:rsidP="000B206D">
      <w:pPr>
        <w:keepNext/>
        <w:spacing w:before="120" w:after="60" w:line="276" w:lineRule="auto"/>
        <w:rPr>
          <w:rFonts w:cs="Times New Roman"/>
          <w:b/>
          <w:iCs/>
          <w:color w:val="000000" w:themeColor="text1"/>
          <w:szCs w:val="24"/>
          <w:lang w:val="tr-TR"/>
        </w:rPr>
      </w:pPr>
      <w:r w:rsidRPr="00F50C10">
        <w:rPr>
          <w:rFonts w:cs="Times New Roman"/>
          <w:b/>
          <w:iCs/>
          <w:color w:val="000000" w:themeColor="text1"/>
          <w:szCs w:val="24"/>
          <w:lang w:val="tr-TR"/>
        </w:rPr>
        <w:t xml:space="preserve">Tablo </w:t>
      </w:r>
      <w:r w:rsidR="00191A8C" w:rsidRPr="00F50C10">
        <w:rPr>
          <w:rFonts w:cs="Times New Roman"/>
          <w:b/>
          <w:iCs/>
          <w:color w:val="000000" w:themeColor="text1"/>
          <w:szCs w:val="24"/>
        </w:rPr>
        <w:t>13</w:t>
      </w:r>
      <w:r w:rsidRPr="00F50C10">
        <w:rPr>
          <w:rFonts w:cs="Times New Roman"/>
          <w:b/>
          <w:iCs/>
          <w:color w:val="000000" w:themeColor="text1"/>
          <w:szCs w:val="24"/>
          <w:lang w:val="tr-TR"/>
        </w:rPr>
        <w:t xml:space="preserve">. Viskon kesikli lif üretimi için </w:t>
      </w:r>
      <w:r w:rsidRPr="00F50C10">
        <w:rPr>
          <w:rFonts w:cs="Times New Roman"/>
          <w:b/>
          <w:iCs/>
          <w:color w:val="000000" w:themeColor="text1"/>
          <w:szCs w:val="24"/>
          <w:lang w:val="tr-TR" w:bidi="tr-TR"/>
        </w:rPr>
        <w:t>MET ile ilişkili emisyon ve tüketim seviyeleri</w:t>
      </w:r>
    </w:p>
    <w:tbl>
      <w:tblPr>
        <w:tblW w:w="5000" w:type="pct"/>
        <w:jc w:val="center"/>
        <w:tblCellMar>
          <w:top w:w="11" w:type="dxa"/>
          <w:left w:w="57" w:type="dxa"/>
          <w:bottom w:w="11" w:type="dxa"/>
          <w:right w:w="57" w:type="dxa"/>
        </w:tblCellMar>
        <w:tblLook w:val="0000" w:firstRow="0" w:lastRow="0" w:firstColumn="0" w:lastColumn="0" w:noHBand="0" w:noVBand="0"/>
      </w:tblPr>
      <w:tblGrid>
        <w:gridCol w:w="3093"/>
        <w:gridCol w:w="3135"/>
        <w:gridCol w:w="1500"/>
        <w:gridCol w:w="1576"/>
      </w:tblGrid>
      <w:tr w:rsidR="00172694" w:rsidRPr="00F50C10" w14:paraId="3B0E2A90" w14:textId="77777777" w:rsidTr="00375F59">
        <w:trPr>
          <w:trHeight w:val="20"/>
          <w:tblHeader/>
          <w:jc w:val="center"/>
        </w:trPr>
        <w:tc>
          <w:tcPr>
            <w:tcW w:w="1662" w:type="pct"/>
            <w:tcBorders>
              <w:top w:val="single" w:sz="6" w:space="0" w:color="auto"/>
              <w:left w:val="single" w:sz="6" w:space="0" w:color="auto"/>
              <w:bottom w:val="single" w:sz="6" w:space="0" w:color="auto"/>
              <w:right w:val="single" w:sz="6" w:space="0" w:color="auto"/>
            </w:tcBorders>
            <w:shd w:val="clear" w:color="auto" w:fill="auto"/>
            <w:vAlign w:val="center"/>
          </w:tcPr>
          <w:p w14:paraId="3A352FD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Viskon kesikli lifler</w:t>
            </w:r>
          </w:p>
        </w:tc>
        <w:tc>
          <w:tcPr>
            <w:tcW w:w="1685" w:type="pct"/>
            <w:tcBorders>
              <w:top w:val="single" w:sz="6" w:space="0" w:color="auto"/>
              <w:left w:val="single" w:sz="6" w:space="0" w:color="auto"/>
              <w:bottom w:val="single" w:sz="6" w:space="0" w:color="auto"/>
              <w:right w:val="single" w:sz="6" w:space="0" w:color="auto"/>
            </w:tcBorders>
            <w:shd w:val="clear" w:color="auto" w:fill="auto"/>
            <w:vAlign w:val="center"/>
          </w:tcPr>
          <w:p w14:paraId="2579917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Ton ürün başına birim</w:t>
            </w:r>
          </w:p>
        </w:tc>
        <w:tc>
          <w:tcPr>
            <w:tcW w:w="165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CD6E52" w14:textId="0619A721"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 xml:space="preserve">MET </w:t>
            </w:r>
            <w:r w:rsidR="00B017C9" w:rsidRPr="00F50C10">
              <w:rPr>
                <w:rFonts w:eastAsia="Times New Roman" w:cs="Times New Roman"/>
                <w:b/>
                <w:szCs w:val="24"/>
                <w:lang w:val="tr-TR" w:eastAsia="tr-TR" w:bidi="tr-TR"/>
              </w:rPr>
              <w:t>-İES</w:t>
            </w:r>
          </w:p>
        </w:tc>
      </w:tr>
      <w:tr w:rsidR="00172694" w:rsidRPr="00F50C10" w14:paraId="3B1B0493" w14:textId="77777777" w:rsidTr="00375F59">
        <w:trPr>
          <w:trHeight w:val="20"/>
          <w:tblHeader/>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2983A9E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Ton ürün başına tüketim</w:t>
            </w:r>
          </w:p>
        </w:tc>
      </w:tr>
      <w:tr w:rsidR="00172694" w:rsidRPr="00F50C10" w14:paraId="69579F3B" w14:textId="77777777" w:rsidTr="00375F59">
        <w:trPr>
          <w:trHeight w:val="20"/>
          <w:tblHeader/>
          <w:jc w:val="center"/>
        </w:trPr>
        <w:tc>
          <w:tcPr>
            <w:tcW w:w="1662" w:type="pct"/>
            <w:tcBorders>
              <w:top w:val="single" w:sz="6" w:space="0" w:color="auto"/>
              <w:left w:val="single" w:sz="6" w:space="0" w:color="auto"/>
              <w:bottom w:val="single" w:sz="6" w:space="0" w:color="auto"/>
              <w:right w:val="single" w:sz="6" w:space="0" w:color="auto"/>
            </w:tcBorders>
            <w:shd w:val="clear" w:color="auto" w:fill="auto"/>
            <w:vAlign w:val="center"/>
          </w:tcPr>
          <w:p w14:paraId="168B5193"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Enerji</w:t>
            </w:r>
          </w:p>
        </w:tc>
        <w:tc>
          <w:tcPr>
            <w:tcW w:w="1685" w:type="pct"/>
            <w:tcBorders>
              <w:top w:val="single" w:sz="6" w:space="0" w:color="auto"/>
              <w:left w:val="single" w:sz="6" w:space="0" w:color="auto"/>
              <w:bottom w:val="single" w:sz="6" w:space="0" w:color="auto"/>
              <w:right w:val="single" w:sz="6" w:space="0" w:color="auto"/>
            </w:tcBorders>
            <w:shd w:val="clear" w:color="auto" w:fill="auto"/>
            <w:vAlign w:val="center"/>
          </w:tcPr>
          <w:p w14:paraId="79C5238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GJ</w:t>
            </w:r>
          </w:p>
        </w:tc>
        <w:tc>
          <w:tcPr>
            <w:tcW w:w="806" w:type="pct"/>
            <w:tcBorders>
              <w:top w:val="single" w:sz="6" w:space="0" w:color="auto"/>
              <w:left w:val="single" w:sz="6" w:space="0" w:color="auto"/>
              <w:bottom w:val="single" w:sz="6" w:space="0" w:color="auto"/>
              <w:right w:val="single" w:sz="6" w:space="0" w:color="auto"/>
            </w:tcBorders>
            <w:shd w:val="clear" w:color="auto" w:fill="auto"/>
            <w:vAlign w:val="center"/>
          </w:tcPr>
          <w:p w14:paraId="1AF0FBE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20</w:t>
            </w:r>
          </w:p>
        </w:tc>
        <w:tc>
          <w:tcPr>
            <w:tcW w:w="847" w:type="pct"/>
            <w:tcBorders>
              <w:top w:val="single" w:sz="6" w:space="0" w:color="auto"/>
              <w:left w:val="single" w:sz="6" w:space="0" w:color="auto"/>
              <w:bottom w:val="single" w:sz="6" w:space="0" w:color="auto"/>
              <w:right w:val="single" w:sz="6" w:space="0" w:color="auto"/>
            </w:tcBorders>
            <w:shd w:val="clear" w:color="auto" w:fill="auto"/>
            <w:vAlign w:val="center"/>
          </w:tcPr>
          <w:p w14:paraId="29FCFBE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30</w:t>
            </w:r>
          </w:p>
        </w:tc>
      </w:tr>
      <w:tr w:rsidR="00172694" w:rsidRPr="00F50C10" w14:paraId="73DBA0A7" w14:textId="77777777" w:rsidTr="00375F59">
        <w:trPr>
          <w:trHeight w:val="20"/>
          <w:tblHeader/>
          <w:jc w:val="center"/>
        </w:trPr>
        <w:tc>
          <w:tcPr>
            <w:tcW w:w="1662" w:type="pct"/>
            <w:tcBorders>
              <w:top w:val="single" w:sz="6" w:space="0" w:color="auto"/>
              <w:left w:val="single" w:sz="6" w:space="0" w:color="auto"/>
              <w:bottom w:val="single" w:sz="6" w:space="0" w:color="auto"/>
              <w:right w:val="single" w:sz="6" w:space="0" w:color="auto"/>
            </w:tcBorders>
            <w:shd w:val="clear" w:color="auto" w:fill="auto"/>
            <w:vAlign w:val="center"/>
          </w:tcPr>
          <w:p w14:paraId="618498FC"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Proses suyu</w:t>
            </w:r>
          </w:p>
        </w:tc>
        <w:tc>
          <w:tcPr>
            <w:tcW w:w="1685" w:type="pct"/>
            <w:tcBorders>
              <w:top w:val="single" w:sz="6" w:space="0" w:color="auto"/>
              <w:left w:val="single" w:sz="6" w:space="0" w:color="auto"/>
              <w:bottom w:val="single" w:sz="6" w:space="0" w:color="auto"/>
              <w:right w:val="single" w:sz="6" w:space="0" w:color="auto"/>
            </w:tcBorders>
            <w:shd w:val="clear" w:color="auto" w:fill="auto"/>
            <w:vAlign w:val="center"/>
          </w:tcPr>
          <w:p w14:paraId="36EDF3B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m</w:t>
            </w:r>
            <w:r w:rsidRPr="00F50C10">
              <w:rPr>
                <w:rFonts w:eastAsia="Times New Roman" w:cs="Times New Roman"/>
                <w:szCs w:val="24"/>
                <w:vertAlign w:val="superscript"/>
                <w:lang w:val="tr-TR" w:eastAsia="tr-TR" w:bidi="tr-TR"/>
              </w:rPr>
              <w:t>3</w:t>
            </w:r>
          </w:p>
        </w:tc>
        <w:tc>
          <w:tcPr>
            <w:tcW w:w="806" w:type="pct"/>
            <w:tcBorders>
              <w:top w:val="single" w:sz="6" w:space="0" w:color="auto"/>
              <w:left w:val="single" w:sz="6" w:space="0" w:color="auto"/>
              <w:bottom w:val="single" w:sz="6" w:space="0" w:color="auto"/>
              <w:right w:val="single" w:sz="6" w:space="0" w:color="auto"/>
            </w:tcBorders>
            <w:shd w:val="clear" w:color="auto" w:fill="auto"/>
            <w:vAlign w:val="center"/>
          </w:tcPr>
          <w:p w14:paraId="61AC3442"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35</w:t>
            </w:r>
          </w:p>
        </w:tc>
        <w:tc>
          <w:tcPr>
            <w:tcW w:w="847" w:type="pct"/>
            <w:tcBorders>
              <w:top w:val="single" w:sz="6" w:space="0" w:color="auto"/>
              <w:left w:val="single" w:sz="6" w:space="0" w:color="auto"/>
              <w:bottom w:val="single" w:sz="6" w:space="0" w:color="auto"/>
              <w:right w:val="single" w:sz="6" w:space="0" w:color="auto"/>
            </w:tcBorders>
            <w:shd w:val="clear" w:color="auto" w:fill="auto"/>
            <w:vAlign w:val="center"/>
          </w:tcPr>
          <w:p w14:paraId="265DB45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70</w:t>
            </w:r>
          </w:p>
        </w:tc>
      </w:tr>
      <w:tr w:rsidR="00172694" w:rsidRPr="00F50C10" w14:paraId="5D0C0BCE" w14:textId="77777777" w:rsidTr="00375F59">
        <w:trPr>
          <w:trHeight w:val="20"/>
          <w:tblHeader/>
          <w:jc w:val="center"/>
        </w:trPr>
        <w:tc>
          <w:tcPr>
            <w:tcW w:w="1662" w:type="pct"/>
            <w:tcBorders>
              <w:top w:val="single" w:sz="6" w:space="0" w:color="auto"/>
              <w:left w:val="single" w:sz="6" w:space="0" w:color="auto"/>
              <w:bottom w:val="single" w:sz="6" w:space="0" w:color="auto"/>
              <w:right w:val="single" w:sz="6" w:space="0" w:color="auto"/>
            </w:tcBorders>
            <w:shd w:val="clear" w:color="auto" w:fill="auto"/>
            <w:vAlign w:val="center"/>
          </w:tcPr>
          <w:p w14:paraId="4BAF11F7"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Soğutma suyu</w:t>
            </w:r>
          </w:p>
        </w:tc>
        <w:tc>
          <w:tcPr>
            <w:tcW w:w="1685" w:type="pct"/>
            <w:tcBorders>
              <w:top w:val="single" w:sz="6" w:space="0" w:color="auto"/>
              <w:left w:val="single" w:sz="6" w:space="0" w:color="auto"/>
              <w:bottom w:val="single" w:sz="6" w:space="0" w:color="auto"/>
              <w:right w:val="single" w:sz="6" w:space="0" w:color="auto"/>
            </w:tcBorders>
            <w:shd w:val="clear" w:color="auto" w:fill="auto"/>
            <w:vAlign w:val="center"/>
          </w:tcPr>
          <w:p w14:paraId="16510EC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m</w:t>
            </w:r>
            <w:r w:rsidRPr="00F50C10">
              <w:rPr>
                <w:rFonts w:eastAsia="Times New Roman" w:cs="Times New Roman"/>
                <w:szCs w:val="24"/>
                <w:vertAlign w:val="superscript"/>
                <w:lang w:val="tr-TR" w:eastAsia="tr-TR" w:bidi="tr-TR"/>
              </w:rPr>
              <w:t>3</w:t>
            </w:r>
          </w:p>
        </w:tc>
        <w:tc>
          <w:tcPr>
            <w:tcW w:w="806" w:type="pct"/>
            <w:tcBorders>
              <w:top w:val="single" w:sz="6" w:space="0" w:color="auto"/>
              <w:left w:val="single" w:sz="6" w:space="0" w:color="auto"/>
              <w:bottom w:val="single" w:sz="6" w:space="0" w:color="auto"/>
              <w:right w:val="single" w:sz="6" w:space="0" w:color="auto"/>
            </w:tcBorders>
            <w:shd w:val="clear" w:color="auto" w:fill="auto"/>
            <w:vAlign w:val="center"/>
          </w:tcPr>
          <w:p w14:paraId="3EB04D7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189</w:t>
            </w:r>
          </w:p>
        </w:tc>
        <w:tc>
          <w:tcPr>
            <w:tcW w:w="847" w:type="pct"/>
            <w:tcBorders>
              <w:top w:val="single" w:sz="6" w:space="0" w:color="auto"/>
              <w:left w:val="single" w:sz="6" w:space="0" w:color="auto"/>
              <w:bottom w:val="single" w:sz="6" w:space="0" w:color="auto"/>
              <w:right w:val="single" w:sz="6" w:space="0" w:color="auto"/>
            </w:tcBorders>
            <w:shd w:val="clear" w:color="auto" w:fill="auto"/>
            <w:vAlign w:val="center"/>
          </w:tcPr>
          <w:p w14:paraId="0C98CD6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260</w:t>
            </w:r>
          </w:p>
        </w:tc>
      </w:tr>
      <w:tr w:rsidR="00172694" w:rsidRPr="00F50C10" w14:paraId="0701DEED" w14:textId="77777777" w:rsidTr="00375F59">
        <w:trPr>
          <w:trHeight w:val="20"/>
          <w:tblHeader/>
          <w:jc w:val="center"/>
        </w:trPr>
        <w:tc>
          <w:tcPr>
            <w:tcW w:w="1662" w:type="pct"/>
            <w:tcBorders>
              <w:top w:val="single" w:sz="6" w:space="0" w:color="auto"/>
              <w:left w:val="single" w:sz="6" w:space="0" w:color="auto"/>
              <w:bottom w:val="single" w:sz="6" w:space="0" w:color="auto"/>
              <w:right w:val="single" w:sz="6" w:space="0" w:color="auto"/>
            </w:tcBorders>
            <w:shd w:val="clear" w:color="auto" w:fill="auto"/>
            <w:vAlign w:val="center"/>
          </w:tcPr>
          <w:p w14:paraId="322DCA8F"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Hamur</w:t>
            </w:r>
          </w:p>
        </w:tc>
        <w:tc>
          <w:tcPr>
            <w:tcW w:w="1685" w:type="pct"/>
            <w:tcBorders>
              <w:top w:val="single" w:sz="6" w:space="0" w:color="auto"/>
              <w:left w:val="single" w:sz="6" w:space="0" w:color="auto"/>
              <w:bottom w:val="single" w:sz="6" w:space="0" w:color="auto"/>
              <w:right w:val="single" w:sz="6" w:space="0" w:color="auto"/>
            </w:tcBorders>
            <w:shd w:val="clear" w:color="auto" w:fill="auto"/>
            <w:vAlign w:val="center"/>
          </w:tcPr>
          <w:p w14:paraId="21C098E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806" w:type="pct"/>
            <w:tcBorders>
              <w:top w:val="single" w:sz="6" w:space="0" w:color="auto"/>
              <w:left w:val="single" w:sz="6" w:space="0" w:color="auto"/>
              <w:bottom w:val="single" w:sz="6" w:space="0" w:color="auto"/>
              <w:right w:val="single" w:sz="6" w:space="0" w:color="auto"/>
            </w:tcBorders>
            <w:shd w:val="clear" w:color="auto" w:fill="auto"/>
            <w:vAlign w:val="center"/>
          </w:tcPr>
          <w:p w14:paraId="74B7B92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1,035</w:t>
            </w:r>
          </w:p>
        </w:tc>
        <w:tc>
          <w:tcPr>
            <w:tcW w:w="847" w:type="pct"/>
            <w:tcBorders>
              <w:top w:val="single" w:sz="6" w:space="0" w:color="auto"/>
              <w:left w:val="single" w:sz="6" w:space="0" w:color="auto"/>
              <w:bottom w:val="single" w:sz="6" w:space="0" w:color="auto"/>
              <w:right w:val="single" w:sz="6" w:space="0" w:color="auto"/>
            </w:tcBorders>
            <w:shd w:val="clear" w:color="auto" w:fill="auto"/>
            <w:vAlign w:val="center"/>
          </w:tcPr>
          <w:p w14:paraId="4746ED1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1,065</w:t>
            </w:r>
          </w:p>
        </w:tc>
      </w:tr>
      <w:tr w:rsidR="00172694" w:rsidRPr="00F50C10" w14:paraId="39526DD8" w14:textId="77777777" w:rsidTr="00375F59">
        <w:trPr>
          <w:trHeight w:val="20"/>
          <w:tblHeader/>
          <w:jc w:val="center"/>
        </w:trPr>
        <w:tc>
          <w:tcPr>
            <w:tcW w:w="1662" w:type="pct"/>
            <w:tcBorders>
              <w:top w:val="single" w:sz="6" w:space="0" w:color="auto"/>
              <w:left w:val="single" w:sz="6" w:space="0" w:color="auto"/>
              <w:bottom w:val="single" w:sz="6" w:space="0" w:color="auto"/>
              <w:right w:val="single" w:sz="6" w:space="0" w:color="auto"/>
            </w:tcBorders>
            <w:shd w:val="clear" w:color="auto" w:fill="auto"/>
            <w:vAlign w:val="center"/>
          </w:tcPr>
          <w:p w14:paraId="6DD1E896"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CS</w:t>
            </w:r>
            <w:r w:rsidRPr="00F50C10">
              <w:rPr>
                <w:rFonts w:eastAsia="Times New Roman" w:cs="Times New Roman"/>
                <w:szCs w:val="24"/>
                <w:vertAlign w:val="subscript"/>
                <w:lang w:val="tr-TR" w:eastAsia="tr-TR" w:bidi="tr-TR"/>
              </w:rPr>
              <w:t>2</w:t>
            </w:r>
          </w:p>
        </w:tc>
        <w:tc>
          <w:tcPr>
            <w:tcW w:w="1685" w:type="pct"/>
            <w:tcBorders>
              <w:top w:val="single" w:sz="6" w:space="0" w:color="auto"/>
              <w:left w:val="single" w:sz="6" w:space="0" w:color="auto"/>
              <w:bottom w:val="single" w:sz="6" w:space="0" w:color="auto"/>
              <w:right w:val="single" w:sz="6" w:space="0" w:color="auto"/>
            </w:tcBorders>
            <w:shd w:val="clear" w:color="auto" w:fill="auto"/>
            <w:vAlign w:val="center"/>
          </w:tcPr>
          <w:p w14:paraId="28D4AF1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806" w:type="pct"/>
            <w:tcBorders>
              <w:top w:val="single" w:sz="6" w:space="0" w:color="auto"/>
              <w:left w:val="single" w:sz="6" w:space="0" w:color="auto"/>
              <w:bottom w:val="single" w:sz="6" w:space="0" w:color="auto"/>
              <w:right w:val="single" w:sz="6" w:space="0" w:color="auto"/>
            </w:tcBorders>
            <w:shd w:val="clear" w:color="auto" w:fill="auto"/>
            <w:vAlign w:val="center"/>
          </w:tcPr>
          <w:p w14:paraId="024CDA4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80</w:t>
            </w:r>
          </w:p>
        </w:tc>
        <w:tc>
          <w:tcPr>
            <w:tcW w:w="847" w:type="pct"/>
            <w:tcBorders>
              <w:top w:val="single" w:sz="6" w:space="0" w:color="auto"/>
              <w:left w:val="single" w:sz="6" w:space="0" w:color="auto"/>
              <w:bottom w:val="single" w:sz="6" w:space="0" w:color="auto"/>
              <w:right w:val="single" w:sz="6" w:space="0" w:color="auto"/>
            </w:tcBorders>
            <w:shd w:val="clear" w:color="auto" w:fill="auto"/>
            <w:vAlign w:val="center"/>
          </w:tcPr>
          <w:p w14:paraId="595F552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100</w:t>
            </w:r>
          </w:p>
        </w:tc>
      </w:tr>
      <w:tr w:rsidR="00172694" w:rsidRPr="00F50C10" w14:paraId="2CE02A8B" w14:textId="77777777" w:rsidTr="00375F59">
        <w:trPr>
          <w:trHeight w:val="20"/>
          <w:tblHeader/>
          <w:jc w:val="center"/>
        </w:trPr>
        <w:tc>
          <w:tcPr>
            <w:tcW w:w="1662" w:type="pct"/>
            <w:tcBorders>
              <w:top w:val="single" w:sz="6" w:space="0" w:color="auto"/>
              <w:left w:val="single" w:sz="6" w:space="0" w:color="auto"/>
              <w:bottom w:val="single" w:sz="6" w:space="0" w:color="auto"/>
              <w:right w:val="single" w:sz="6" w:space="0" w:color="auto"/>
            </w:tcBorders>
            <w:shd w:val="clear" w:color="auto" w:fill="auto"/>
            <w:vAlign w:val="center"/>
          </w:tcPr>
          <w:p w14:paraId="2A4CDC8C"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H</w:t>
            </w:r>
            <w:r w:rsidRPr="00F50C10">
              <w:rPr>
                <w:rFonts w:eastAsia="Times New Roman" w:cs="Times New Roman"/>
                <w:szCs w:val="24"/>
                <w:vertAlign w:val="subscript"/>
                <w:lang w:val="tr-TR" w:eastAsia="tr-TR" w:bidi="tr-TR"/>
              </w:rPr>
              <w:t>2</w:t>
            </w:r>
            <w:r w:rsidRPr="00F50C10">
              <w:rPr>
                <w:rFonts w:eastAsia="Times New Roman" w:cs="Times New Roman"/>
                <w:szCs w:val="24"/>
                <w:lang w:val="tr-TR" w:eastAsia="tr-TR" w:bidi="tr-TR"/>
              </w:rPr>
              <w:t>SO</w:t>
            </w:r>
            <w:r w:rsidRPr="00F50C10">
              <w:rPr>
                <w:rFonts w:eastAsia="Times New Roman" w:cs="Times New Roman"/>
                <w:szCs w:val="24"/>
                <w:vertAlign w:val="subscript"/>
                <w:lang w:val="tr-TR" w:eastAsia="tr-TR" w:bidi="tr-TR"/>
              </w:rPr>
              <w:t>4</w:t>
            </w:r>
          </w:p>
        </w:tc>
        <w:tc>
          <w:tcPr>
            <w:tcW w:w="1685" w:type="pct"/>
            <w:tcBorders>
              <w:top w:val="single" w:sz="6" w:space="0" w:color="auto"/>
              <w:left w:val="single" w:sz="6" w:space="0" w:color="auto"/>
              <w:bottom w:val="single" w:sz="6" w:space="0" w:color="auto"/>
              <w:right w:val="single" w:sz="6" w:space="0" w:color="auto"/>
            </w:tcBorders>
            <w:shd w:val="clear" w:color="auto" w:fill="auto"/>
            <w:vAlign w:val="center"/>
          </w:tcPr>
          <w:p w14:paraId="61B5C1F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806" w:type="pct"/>
            <w:tcBorders>
              <w:top w:val="single" w:sz="6" w:space="0" w:color="auto"/>
              <w:left w:val="single" w:sz="6" w:space="0" w:color="auto"/>
              <w:bottom w:val="single" w:sz="6" w:space="0" w:color="auto"/>
              <w:right w:val="single" w:sz="6" w:space="0" w:color="auto"/>
            </w:tcBorders>
            <w:shd w:val="clear" w:color="auto" w:fill="auto"/>
            <w:vAlign w:val="center"/>
          </w:tcPr>
          <w:p w14:paraId="14DF4281"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0,6</w:t>
            </w:r>
          </w:p>
        </w:tc>
        <w:tc>
          <w:tcPr>
            <w:tcW w:w="847" w:type="pct"/>
            <w:tcBorders>
              <w:top w:val="single" w:sz="6" w:space="0" w:color="auto"/>
              <w:left w:val="single" w:sz="6" w:space="0" w:color="auto"/>
              <w:bottom w:val="single" w:sz="6" w:space="0" w:color="auto"/>
              <w:right w:val="single" w:sz="6" w:space="0" w:color="auto"/>
            </w:tcBorders>
            <w:shd w:val="clear" w:color="auto" w:fill="auto"/>
            <w:vAlign w:val="center"/>
          </w:tcPr>
          <w:p w14:paraId="5407088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w:t>
            </w:r>
          </w:p>
        </w:tc>
      </w:tr>
      <w:tr w:rsidR="00172694" w:rsidRPr="00F50C10" w14:paraId="05563F91" w14:textId="77777777" w:rsidTr="00375F59">
        <w:trPr>
          <w:trHeight w:val="20"/>
          <w:tblHeader/>
          <w:jc w:val="center"/>
        </w:trPr>
        <w:tc>
          <w:tcPr>
            <w:tcW w:w="1662" w:type="pct"/>
            <w:tcBorders>
              <w:top w:val="single" w:sz="6" w:space="0" w:color="auto"/>
              <w:left w:val="single" w:sz="6" w:space="0" w:color="auto"/>
              <w:bottom w:val="single" w:sz="6" w:space="0" w:color="auto"/>
              <w:right w:val="single" w:sz="6" w:space="0" w:color="auto"/>
            </w:tcBorders>
            <w:shd w:val="clear" w:color="auto" w:fill="auto"/>
            <w:vAlign w:val="center"/>
          </w:tcPr>
          <w:p w14:paraId="2ECCF31C"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NaOH</w:t>
            </w:r>
          </w:p>
        </w:tc>
        <w:tc>
          <w:tcPr>
            <w:tcW w:w="1685" w:type="pct"/>
            <w:tcBorders>
              <w:top w:val="single" w:sz="6" w:space="0" w:color="auto"/>
              <w:left w:val="single" w:sz="6" w:space="0" w:color="auto"/>
              <w:bottom w:val="single" w:sz="6" w:space="0" w:color="auto"/>
              <w:right w:val="single" w:sz="6" w:space="0" w:color="auto"/>
            </w:tcBorders>
            <w:shd w:val="clear" w:color="auto" w:fill="auto"/>
            <w:vAlign w:val="center"/>
          </w:tcPr>
          <w:p w14:paraId="07974022"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t</w:t>
            </w:r>
          </w:p>
        </w:tc>
        <w:tc>
          <w:tcPr>
            <w:tcW w:w="806" w:type="pct"/>
            <w:tcBorders>
              <w:top w:val="single" w:sz="6" w:space="0" w:color="auto"/>
              <w:left w:val="single" w:sz="6" w:space="0" w:color="auto"/>
              <w:bottom w:val="single" w:sz="6" w:space="0" w:color="auto"/>
              <w:right w:val="single" w:sz="6" w:space="0" w:color="auto"/>
            </w:tcBorders>
            <w:shd w:val="clear" w:color="auto" w:fill="auto"/>
            <w:vAlign w:val="center"/>
          </w:tcPr>
          <w:p w14:paraId="50840C5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0,4</w:t>
            </w:r>
          </w:p>
        </w:tc>
        <w:tc>
          <w:tcPr>
            <w:tcW w:w="847" w:type="pct"/>
            <w:tcBorders>
              <w:top w:val="single" w:sz="6" w:space="0" w:color="auto"/>
              <w:left w:val="single" w:sz="6" w:space="0" w:color="auto"/>
              <w:bottom w:val="single" w:sz="6" w:space="0" w:color="auto"/>
              <w:right w:val="single" w:sz="6" w:space="0" w:color="auto"/>
            </w:tcBorders>
            <w:shd w:val="clear" w:color="auto" w:fill="auto"/>
            <w:vAlign w:val="center"/>
          </w:tcPr>
          <w:p w14:paraId="74DAB4C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0,6</w:t>
            </w:r>
          </w:p>
        </w:tc>
      </w:tr>
      <w:tr w:rsidR="00172694" w:rsidRPr="00F50C10" w14:paraId="1FDC2C22" w14:textId="77777777" w:rsidTr="00375F59">
        <w:trPr>
          <w:trHeight w:val="20"/>
          <w:tblHeader/>
          <w:jc w:val="center"/>
        </w:trPr>
        <w:tc>
          <w:tcPr>
            <w:tcW w:w="1662" w:type="pct"/>
            <w:tcBorders>
              <w:top w:val="single" w:sz="6" w:space="0" w:color="auto"/>
              <w:left w:val="single" w:sz="6" w:space="0" w:color="auto"/>
              <w:bottom w:val="single" w:sz="6" w:space="0" w:color="auto"/>
              <w:right w:val="single" w:sz="6" w:space="0" w:color="auto"/>
            </w:tcBorders>
            <w:shd w:val="clear" w:color="auto" w:fill="auto"/>
            <w:vAlign w:val="center"/>
          </w:tcPr>
          <w:p w14:paraId="58D14829"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Zn</w:t>
            </w:r>
          </w:p>
        </w:tc>
        <w:tc>
          <w:tcPr>
            <w:tcW w:w="1685" w:type="pct"/>
            <w:tcBorders>
              <w:top w:val="single" w:sz="6" w:space="0" w:color="auto"/>
              <w:left w:val="single" w:sz="6" w:space="0" w:color="auto"/>
              <w:bottom w:val="single" w:sz="6" w:space="0" w:color="auto"/>
              <w:right w:val="single" w:sz="6" w:space="0" w:color="auto"/>
            </w:tcBorders>
            <w:shd w:val="clear" w:color="auto" w:fill="auto"/>
            <w:vAlign w:val="center"/>
          </w:tcPr>
          <w:p w14:paraId="6FCA265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806" w:type="pct"/>
            <w:tcBorders>
              <w:top w:val="single" w:sz="6" w:space="0" w:color="auto"/>
              <w:left w:val="single" w:sz="6" w:space="0" w:color="auto"/>
              <w:bottom w:val="single" w:sz="6" w:space="0" w:color="auto"/>
              <w:right w:val="single" w:sz="6" w:space="0" w:color="auto"/>
            </w:tcBorders>
            <w:shd w:val="clear" w:color="auto" w:fill="auto"/>
            <w:vAlign w:val="center"/>
          </w:tcPr>
          <w:p w14:paraId="392E6C9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w:t>
            </w:r>
          </w:p>
        </w:tc>
        <w:tc>
          <w:tcPr>
            <w:tcW w:w="847" w:type="pct"/>
            <w:tcBorders>
              <w:top w:val="single" w:sz="6" w:space="0" w:color="auto"/>
              <w:left w:val="single" w:sz="6" w:space="0" w:color="auto"/>
              <w:bottom w:val="single" w:sz="6" w:space="0" w:color="auto"/>
              <w:right w:val="single" w:sz="6" w:space="0" w:color="auto"/>
            </w:tcBorders>
            <w:shd w:val="clear" w:color="auto" w:fill="auto"/>
            <w:vAlign w:val="center"/>
          </w:tcPr>
          <w:p w14:paraId="4509B11B"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w:t>
            </w:r>
          </w:p>
        </w:tc>
      </w:tr>
      <w:tr w:rsidR="00172694" w:rsidRPr="00F50C10" w14:paraId="097EE3B3" w14:textId="77777777" w:rsidTr="00375F59">
        <w:trPr>
          <w:trHeight w:val="20"/>
          <w:tblHeader/>
          <w:jc w:val="center"/>
        </w:trPr>
        <w:tc>
          <w:tcPr>
            <w:tcW w:w="1662" w:type="pct"/>
            <w:tcBorders>
              <w:top w:val="single" w:sz="6" w:space="0" w:color="auto"/>
              <w:left w:val="single" w:sz="6" w:space="0" w:color="auto"/>
              <w:bottom w:val="single" w:sz="6" w:space="0" w:color="auto"/>
              <w:right w:val="single" w:sz="6" w:space="0" w:color="auto"/>
            </w:tcBorders>
            <w:shd w:val="clear" w:color="auto" w:fill="auto"/>
            <w:vAlign w:val="center"/>
          </w:tcPr>
          <w:p w14:paraId="5C95C73A"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Eğirme bitişi</w:t>
            </w:r>
          </w:p>
        </w:tc>
        <w:tc>
          <w:tcPr>
            <w:tcW w:w="1685" w:type="pct"/>
            <w:tcBorders>
              <w:top w:val="single" w:sz="6" w:space="0" w:color="auto"/>
              <w:left w:val="single" w:sz="6" w:space="0" w:color="auto"/>
              <w:bottom w:val="single" w:sz="6" w:space="0" w:color="auto"/>
              <w:right w:val="single" w:sz="6" w:space="0" w:color="auto"/>
            </w:tcBorders>
            <w:shd w:val="clear" w:color="auto" w:fill="auto"/>
            <w:vAlign w:val="center"/>
          </w:tcPr>
          <w:p w14:paraId="7908E2B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806" w:type="pct"/>
            <w:tcBorders>
              <w:top w:val="single" w:sz="6" w:space="0" w:color="auto"/>
              <w:left w:val="single" w:sz="6" w:space="0" w:color="auto"/>
              <w:bottom w:val="single" w:sz="6" w:space="0" w:color="auto"/>
              <w:right w:val="single" w:sz="6" w:space="0" w:color="auto"/>
            </w:tcBorders>
            <w:shd w:val="clear" w:color="auto" w:fill="auto"/>
            <w:vAlign w:val="center"/>
          </w:tcPr>
          <w:p w14:paraId="64EEA733"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3</w:t>
            </w:r>
          </w:p>
        </w:tc>
        <w:tc>
          <w:tcPr>
            <w:tcW w:w="847" w:type="pct"/>
            <w:tcBorders>
              <w:top w:val="single" w:sz="6" w:space="0" w:color="auto"/>
              <w:left w:val="single" w:sz="6" w:space="0" w:color="auto"/>
              <w:bottom w:val="single" w:sz="6" w:space="0" w:color="auto"/>
              <w:right w:val="single" w:sz="6" w:space="0" w:color="auto"/>
            </w:tcBorders>
            <w:shd w:val="clear" w:color="auto" w:fill="auto"/>
            <w:vAlign w:val="center"/>
          </w:tcPr>
          <w:p w14:paraId="32914132"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5</w:t>
            </w:r>
          </w:p>
        </w:tc>
      </w:tr>
      <w:tr w:rsidR="00172694" w:rsidRPr="00F50C10" w14:paraId="5739238B" w14:textId="77777777" w:rsidTr="00375F59">
        <w:trPr>
          <w:trHeight w:val="20"/>
          <w:tblHeader/>
          <w:jc w:val="center"/>
        </w:trPr>
        <w:tc>
          <w:tcPr>
            <w:tcW w:w="1662" w:type="pct"/>
            <w:tcBorders>
              <w:top w:val="single" w:sz="6" w:space="0" w:color="auto"/>
              <w:left w:val="single" w:sz="6" w:space="0" w:color="auto"/>
              <w:bottom w:val="single" w:sz="6" w:space="0" w:color="auto"/>
              <w:right w:val="single" w:sz="6" w:space="0" w:color="auto"/>
            </w:tcBorders>
            <w:shd w:val="clear" w:color="auto" w:fill="auto"/>
            <w:vAlign w:val="center"/>
          </w:tcPr>
          <w:p w14:paraId="63F1F6E8"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NaOCl</w:t>
            </w:r>
          </w:p>
        </w:tc>
        <w:tc>
          <w:tcPr>
            <w:tcW w:w="1685" w:type="pct"/>
            <w:tcBorders>
              <w:top w:val="single" w:sz="6" w:space="0" w:color="auto"/>
              <w:left w:val="single" w:sz="6" w:space="0" w:color="auto"/>
              <w:bottom w:val="single" w:sz="6" w:space="0" w:color="auto"/>
              <w:right w:val="single" w:sz="6" w:space="0" w:color="auto"/>
            </w:tcBorders>
            <w:shd w:val="clear" w:color="auto" w:fill="auto"/>
            <w:vAlign w:val="center"/>
          </w:tcPr>
          <w:p w14:paraId="549A1AE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806" w:type="pct"/>
            <w:tcBorders>
              <w:top w:val="single" w:sz="6" w:space="0" w:color="auto"/>
              <w:left w:val="single" w:sz="6" w:space="0" w:color="auto"/>
              <w:bottom w:val="single" w:sz="6" w:space="0" w:color="auto"/>
              <w:right w:val="single" w:sz="6" w:space="0" w:color="auto"/>
            </w:tcBorders>
            <w:shd w:val="clear" w:color="auto" w:fill="auto"/>
            <w:vAlign w:val="center"/>
          </w:tcPr>
          <w:p w14:paraId="37076DC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w:t>
            </w:r>
          </w:p>
        </w:tc>
        <w:tc>
          <w:tcPr>
            <w:tcW w:w="847" w:type="pct"/>
            <w:tcBorders>
              <w:top w:val="single" w:sz="6" w:space="0" w:color="auto"/>
              <w:left w:val="single" w:sz="6" w:space="0" w:color="auto"/>
              <w:bottom w:val="single" w:sz="6" w:space="0" w:color="auto"/>
              <w:right w:val="single" w:sz="6" w:space="0" w:color="auto"/>
            </w:tcBorders>
            <w:shd w:val="clear" w:color="auto" w:fill="auto"/>
            <w:vAlign w:val="center"/>
          </w:tcPr>
          <w:p w14:paraId="330B654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50</w:t>
            </w:r>
          </w:p>
        </w:tc>
      </w:tr>
      <w:tr w:rsidR="00172694" w:rsidRPr="00F50C10" w14:paraId="3D508C40" w14:textId="77777777" w:rsidTr="00375F59">
        <w:trPr>
          <w:trHeight w:val="20"/>
          <w:tblHeader/>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461561A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Ton ürün başına emisyonlar</w:t>
            </w:r>
          </w:p>
        </w:tc>
      </w:tr>
      <w:tr w:rsidR="00172694" w:rsidRPr="00F50C10" w14:paraId="04F50614" w14:textId="77777777" w:rsidTr="00375F59">
        <w:trPr>
          <w:trHeight w:val="20"/>
          <w:tblHeader/>
          <w:jc w:val="center"/>
        </w:trPr>
        <w:tc>
          <w:tcPr>
            <w:tcW w:w="1662" w:type="pct"/>
            <w:tcBorders>
              <w:top w:val="single" w:sz="6" w:space="0" w:color="auto"/>
              <w:left w:val="single" w:sz="6" w:space="0" w:color="auto"/>
              <w:bottom w:val="single" w:sz="6" w:space="0" w:color="auto"/>
              <w:right w:val="single" w:sz="6" w:space="0" w:color="auto"/>
            </w:tcBorders>
            <w:shd w:val="clear" w:color="auto" w:fill="auto"/>
            <w:vAlign w:val="center"/>
          </w:tcPr>
          <w:p w14:paraId="562156C1"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Havaya S</w:t>
            </w:r>
          </w:p>
        </w:tc>
        <w:tc>
          <w:tcPr>
            <w:tcW w:w="1685" w:type="pct"/>
            <w:tcBorders>
              <w:top w:val="single" w:sz="6" w:space="0" w:color="auto"/>
              <w:left w:val="single" w:sz="6" w:space="0" w:color="auto"/>
              <w:bottom w:val="single" w:sz="6" w:space="0" w:color="auto"/>
              <w:right w:val="single" w:sz="6" w:space="0" w:color="auto"/>
            </w:tcBorders>
            <w:shd w:val="clear" w:color="auto" w:fill="auto"/>
            <w:vAlign w:val="center"/>
          </w:tcPr>
          <w:p w14:paraId="580A0C5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806" w:type="pct"/>
            <w:tcBorders>
              <w:top w:val="single" w:sz="6" w:space="0" w:color="auto"/>
              <w:left w:val="single" w:sz="6" w:space="0" w:color="auto"/>
              <w:bottom w:val="single" w:sz="6" w:space="0" w:color="auto"/>
              <w:right w:val="single" w:sz="6" w:space="0" w:color="auto"/>
            </w:tcBorders>
            <w:shd w:val="clear" w:color="auto" w:fill="auto"/>
            <w:vAlign w:val="center"/>
          </w:tcPr>
          <w:p w14:paraId="14886AD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12</w:t>
            </w:r>
          </w:p>
        </w:tc>
        <w:tc>
          <w:tcPr>
            <w:tcW w:w="847" w:type="pct"/>
            <w:tcBorders>
              <w:top w:val="single" w:sz="6" w:space="0" w:color="auto"/>
              <w:left w:val="single" w:sz="6" w:space="0" w:color="auto"/>
              <w:bottom w:val="single" w:sz="6" w:space="0" w:color="auto"/>
              <w:right w:val="single" w:sz="6" w:space="0" w:color="auto"/>
            </w:tcBorders>
            <w:shd w:val="clear" w:color="auto" w:fill="auto"/>
            <w:vAlign w:val="center"/>
          </w:tcPr>
          <w:p w14:paraId="50771F3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20</w:t>
            </w:r>
          </w:p>
        </w:tc>
      </w:tr>
      <w:tr w:rsidR="00172694" w:rsidRPr="00F50C10" w14:paraId="5425AA3C" w14:textId="77777777" w:rsidTr="00375F59">
        <w:trPr>
          <w:trHeight w:val="20"/>
          <w:tblHeader/>
          <w:jc w:val="center"/>
        </w:trPr>
        <w:tc>
          <w:tcPr>
            <w:tcW w:w="1662" w:type="pct"/>
            <w:tcBorders>
              <w:top w:val="single" w:sz="6" w:space="0" w:color="auto"/>
              <w:left w:val="single" w:sz="6" w:space="0" w:color="auto"/>
              <w:bottom w:val="single" w:sz="6" w:space="0" w:color="auto"/>
              <w:right w:val="single" w:sz="6" w:space="0" w:color="auto"/>
            </w:tcBorders>
            <w:shd w:val="clear" w:color="auto" w:fill="auto"/>
            <w:vAlign w:val="center"/>
          </w:tcPr>
          <w:p w14:paraId="46F6EE3A"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Suya SO</w:t>
            </w:r>
            <w:r w:rsidRPr="00F50C10">
              <w:rPr>
                <w:rFonts w:eastAsia="Times New Roman" w:cs="Times New Roman"/>
                <w:szCs w:val="24"/>
                <w:vertAlign w:val="subscript"/>
                <w:lang w:val="tr-TR" w:eastAsia="tr-TR" w:bidi="tr-TR"/>
              </w:rPr>
              <w:t>4</w:t>
            </w:r>
            <w:r w:rsidRPr="00F50C10">
              <w:rPr>
                <w:rFonts w:eastAsia="Times New Roman" w:cs="Times New Roman"/>
                <w:szCs w:val="24"/>
                <w:vertAlign w:val="superscript"/>
                <w:lang w:val="tr-TR" w:eastAsia="tr-TR" w:bidi="tr-TR"/>
              </w:rPr>
              <w:t>2-</w:t>
            </w:r>
          </w:p>
        </w:tc>
        <w:tc>
          <w:tcPr>
            <w:tcW w:w="1685" w:type="pct"/>
            <w:tcBorders>
              <w:top w:val="single" w:sz="6" w:space="0" w:color="auto"/>
              <w:left w:val="single" w:sz="6" w:space="0" w:color="auto"/>
              <w:bottom w:val="single" w:sz="6" w:space="0" w:color="auto"/>
              <w:right w:val="single" w:sz="6" w:space="0" w:color="auto"/>
            </w:tcBorders>
            <w:shd w:val="clear" w:color="auto" w:fill="auto"/>
            <w:vAlign w:val="center"/>
          </w:tcPr>
          <w:p w14:paraId="0A1E136C"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806" w:type="pct"/>
            <w:tcBorders>
              <w:top w:val="single" w:sz="6" w:space="0" w:color="auto"/>
              <w:left w:val="single" w:sz="6" w:space="0" w:color="auto"/>
              <w:bottom w:val="single" w:sz="6" w:space="0" w:color="auto"/>
              <w:right w:val="single" w:sz="6" w:space="0" w:color="auto"/>
            </w:tcBorders>
            <w:shd w:val="clear" w:color="auto" w:fill="auto"/>
            <w:vAlign w:val="center"/>
          </w:tcPr>
          <w:p w14:paraId="3EDBBC6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200</w:t>
            </w:r>
          </w:p>
        </w:tc>
        <w:tc>
          <w:tcPr>
            <w:tcW w:w="847" w:type="pct"/>
            <w:tcBorders>
              <w:top w:val="single" w:sz="6" w:space="0" w:color="auto"/>
              <w:left w:val="single" w:sz="6" w:space="0" w:color="auto"/>
              <w:bottom w:val="single" w:sz="6" w:space="0" w:color="auto"/>
              <w:right w:val="single" w:sz="6" w:space="0" w:color="auto"/>
            </w:tcBorders>
            <w:shd w:val="clear" w:color="auto" w:fill="auto"/>
            <w:vAlign w:val="center"/>
          </w:tcPr>
          <w:p w14:paraId="0ED673D0"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300</w:t>
            </w:r>
          </w:p>
        </w:tc>
      </w:tr>
      <w:tr w:rsidR="00172694" w:rsidRPr="00F50C10" w14:paraId="2550A71A" w14:textId="77777777" w:rsidTr="00375F59">
        <w:trPr>
          <w:trHeight w:val="20"/>
          <w:tblHeader/>
          <w:jc w:val="center"/>
        </w:trPr>
        <w:tc>
          <w:tcPr>
            <w:tcW w:w="1662" w:type="pct"/>
            <w:tcBorders>
              <w:top w:val="single" w:sz="6" w:space="0" w:color="auto"/>
              <w:left w:val="single" w:sz="6" w:space="0" w:color="auto"/>
              <w:bottom w:val="single" w:sz="6" w:space="0" w:color="auto"/>
              <w:right w:val="single" w:sz="6" w:space="0" w:color="auto"/>
            </w:tcBorders>
            <w:shd w:val="clear" w:color="auto" w:fill="auto"/>
            <w:vAlign w:val="center"/>
          </w:tcPr>
          <w:p w14:paraId="44009810"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Suya Zn</w:t>
            </w:r>
          </w:p>
        </w:tc>
        <w:tc>
          <w:tcPr>
            <w:tcW w:w="1685" w:type="pct"/>
            <w:tcBorders>
              <w:top w:val="single" w:sz="6" w:space="0" w:color="auto"/>
              <w:left w:val="single" w:sz="6" w:space="0" w:color="auto"/>
              <w:bottom w:val="single" w:sz="6" w:space="0" w:color="auto"/>
              <w:right w:val="single" w:sz="6" w:space="0" w:color="auto"/>
            </w:tcBorders>
            <w:shd w:val="clear" w:color="auto" w:fill="auto"/>
            <w:vAlign w:val="center"/>
          </w:tcPr>
          <w:p w14:paraId="65D6769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806" w:type="pct"/>
            <w:tcBorders>
              <w:top w:val="single" w:sz="6" w:space="0" w:color="auto"/>
              <w:left w:val="single" w:sz="6" w:space="0" w:color="auto"/>
              <w:bottom w:val="single" w:sz="6" w:space="0" w:color="auto"/>
              <w:right w:val="single" w:sz="6" w:space="0" w:color="auto"/>
            </w:tcBorders>
            <w:shd w:val="clear" w:color="auto" w:fill="auto"/>
            <w:vAlign w:val="center"/>
          </w:tcPr>
          <w:p w14:paraId="6F90D526"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10</w:t>
            </w:r>
          </w:p>
        </w:tc>
        <w:tc>
          <w:tcPr>
            <w:tcW w:w="847" w:type="pct"/>
            <w:tcBorders>
              <w:top w:val="single" w:sz="6" w:space="0" w:color="auto"/>
              <w:left w:val="single" w:sz="6" w:space="0" w:color="auto"/>
              <w:bottom w:val="single" w:sz="6" w:space="0" w:color="auto"/>
              <w:right w:val="single" w:sz="6" w:space="0" w:color="auto"/>
            </w:tcBorders>
            <w:shd w:val="clear" w:color="auto" w:fill="auto"/>
            <w:vAlign w:val="center"/>
          </w:tcPr>
          <w:p w14:paraId="224DFF8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50</w:t>
            </w:r>
          </w:p>
        </w:tc>
      </w:tr>
      <w:tr w:rsidR="00172694" w:rsidRPr="00F50C10" w14:paraId="34419E31" w14:textId="77777777" w:rsidTr="00375F59">
        <w:trPr>
          <w:trHeight w:val="20"/>
          <w:tblHeader/>
          <w:jc w:val="center"/>
        </w:trPr>
        <w:tc>
          <w:tcPr>
            <w:tcW w:w="1662" w:type="pct"/>
            <w:tcBorders>
              <w:top w:val="single" w:sz="6" w:space="0" w:color="auto"/>
              <w:left w:val="single" w:sz="6" w:space="0" w:color="auto"/>
              <w:bottom w:val="single" w:sz="6" w:space="0" w:color="auto"/>
              <w:right w:val="single" w:sz="6" w:space="0" w:color="auto"/>
            </w:tcBorders>
            <w:shd w:val="clear" w:color="auto" w:fill="auto"/>
            <w:vAlign w:val="center"/>
          </w:tcPr>
          <w:p w14:paraId="222747BF"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KOİ</w:t>
            </w:r>
          </w:p>
        </w:tc>
        <w:tc>
          <w:tcPr>
            <w:tcW w:w="1685" w:type="pct"/>
            <w:tcBorders>
              <w:top w:val="single" w:sz="6" w:space="0" w:color="auto"/>
              <w:left w:val="single" w:sz="6" w:space="0" w:color="auto"/>
              <w:bottom w:val="single" w:sz="6" w:space="0" w:color="auto"/>
              <w:right w:val="single" w:sz="6" w:space="0" w:color="auto"/>
            </w:tcBorders>
            <w:shd w:val="clear" w:color="auto" w:fill="auto"/>
            <w:vAlign w:val="center"/>
          </w:tcPr>
          <w:p w14:paraId="57F81FC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g</w:t>
            </w:r>
          </w:p>
        </w:tc>
        <w:tc>
          <w:tcPr>
            <w:tcW w:w="806" w:type="pct"/>
            <w:tcBorders>
              <w:top w:val="single" w:sz="6" w:space="0" w:color="auto"/>
              <w:left w:val="single" w:sz="6" w:space="0" w:color="auto"/>
              <w:bottom w:val="single" w:sz="6" w:space="0" w:color="auto"/>
              <w:right w:val="single" w:sz="6" w:space="0" w:color="auto"/>
            </w:tcBorders>
            <w:shd w:val="clear" w:color="auto" w:fill="auto"/>
            <w:vAlign w:val="center"/>
          </w:tcPr>
          <w:p w14:paraId="64E93598"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3000</w:t>
            </w:r>
          </w:p>
        </w:tc>
        <w:tc>
          <w:tcPr>
            <w:tcW w:w="847" w:type="pct"/>
            <w:tcBorders>
              <w:top w:val="single" w:sz="6" w:space="0" w:color="auto"/>
              <w:left w:val="single" w:sz="6" w:space="0" w:color="auto"/>
              <w:bottom w:val="single" w:sz="6" w:space="0" w:color="auto"/>
              <w:right w:val="single" w:sz="6" w:space="0" w:color="auto"/>
            </w:tcBorders>
            <w:shd w:val="clear" w:color="auto" w:fill="auto"/>
            <w:vAlign w:val="center"/>
          </w:tcPr>
          <w:p w14:paraId="61B9E98D"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5000</w:t>
            </w:r>
          </w:p>
        </w:tc>
      </w:tr>
      <w:tr w:rsidR="00172694" w:rsidRPr="00F50C10" w14:paraId="4796B22B" w14:textId="77777777" w:rsidTr="00375F59">
        <w:trPr>
          <w:trHeight w:val="20"/>
          <w:tblHeader/>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545E7AB7"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Atık</w:t>
            </w:r>
          </w:p>
        </w:tc>
      </w:tr>
      <w:tr w:rsidR="00172694" w:rsidRPr="00F50C10" w14:paraId="03BC2F6D" w14:textId="77777777" w:rsidTr="00375F59">
        <w:trPr>
          <w:trHeight w:val="20"/>
          <w:tblHeader/>
          <w:jc w:val="center"/>
        </w:trPr>
        <w:tc>
          <w:tcPr>
            <w:tcW w:w="1662" w:type="pct"/>
            <w:tcBorders>
              <w:top w:val="single" w:sz="6" w:space="0" w:color="auto"/>
              <w:left w:val="single" w:sz="6" w:space="0" w:color="auto"/>
              <w:bottom w:val="single" w:sz="6" w:space="0" w:color="auto"/>
              <w:right w:val="single" w:sz="6" w:space="0" w:color="auto"/>
            </w:tcBorders>
            <w:shd w:val="clear" w:color="auto" w:fill="auto"/>
            <w:vAlign w:val="center"/>
          </w:tcPr>
          <w:p w14:paraId="7B3E06D7"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Tehlikeli atık</w:t>
            </w:r>
          </w:p>
        </w:tc>
        <w:tc>
          <w:tcPr>
            <w:tcW w:w="1685" w:type="pct"/>
            <w:tcBorders>
              <w:top w:val="single" w:sz="6" w:space="0" w:color="auto"/>
              <w:left w:val="single" w:sz="6" w:space="0" w:color="auto"/>
              <w:bottom w:val="single" w:sz="6" w:space="0" w:color="auto"/>
              <w:right w:val="single" w:sz="6" w:space="0" w:color="auto"/>
            </w:tcBorders>
            <w:shd w:val="clear" w:color="auto" w:fill="auto"/>
            <w:vAlign w:val="center"/>
          </w:tcPr>
          <w:p w14:paraId="1599638A"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kg</w:t>
            </w:r>
          </w:p>
        </w:tc>
        <w:tc>
          <w:tcPr>
            <w:tcW w:w="806" w:type="pct"/>
            <w:tcBorders>
              <w:top w:val="single" w:sz="6" w:space="0" w:color="auto"/>
              <w:left w:val="single" w:sz="6" w:space="0" w:color="auto"/>
              <w:bottom w:val="single" w:sz="6" w:space="0" w:color="auto"/>
              <w:right w:val="single" w:sz="6" w:space="0" w:color="auto"/>
            </w:tcBorders>
            <w:shd w:val="clear" w:color="auto" w:fill="auto"/>
            <w:vAlign w:val="center"/>
          </w:tcPr>
          <w:p w14:paraId="388C5B4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0,2</w:t>
            </w:r>
          </w:p>
        </w:tc>
        <w:tc>
          <w:tcPr>
            <w:tcW w:w="847" w:type="pct"/>
            <w:tcBorders>
              <w:top w:val="single" w:sz="6" w:space="0" w:color="auto"/>
              <w:left w:val="single" w:sz="6" w:space="0" w:color="auto"/>
              <w:bottom w:val="single" w:sz="6" w:space="0" w:color="auto"/>
              <w:right w:val="single" w:sz="6" w:space="0" w:color="auto"/>
            </w:tcBorders>
            <w:shd w:val="clear" w:color="auto" w:fill="auto"/>
            <w:vAlign w:val="center"/>
          </w:tcPr>
          <w:p w14:paraId="7B97A5AF"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2</w:t>
            </w:r>
          </w:p>
        </w:tc>
      </w:tr>
      <w:tr w:rsidR="00172694" w:rsidRPr="00F50C10" w14:paraId="32B09336" w14:textId="77777777" w:rsidTr="00375F59">
        <w:trPr>
          <w:trHeight w:val="20"/>
          <w:tblHeader/>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65741E05"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b/>
                <w:szCs w:val="24"/>
                <w:lang w:val="tr-TR" w:eastAsia="tr-TR" w:bidi="tr-TR"/>
              </w:rPr>
              <w:t>Gürültü</w:t>
            </w:r>
          </w:p>
        </w:tc>
      </w:tr>
      <w:tr w:rsidR="00172694" w:rsidRPr="00F50C10" w14:paraId="24F3BA1E" w14:textId="77777777" w:rsidTr="00375F59">
        <w:trPr>
          <w:trHeight w:val="20"/>
          <w:tblHeader/>
          <w:jc w:val="center"/>
        </w:trPr>
        <w:tc>
          <w:tcPr>
            <w:tcW w:w="1662" w:type="pct"/>
            <w:tcBorders>
              <w:top w:val="single" w:sz="6" w:space="0" w:color="auto"/>
              <w:left w:val="single" w:sz="6" w:space="0" w:color="auto"/>
              <w:bottom w:val="single" w:sz="6" w:space="0" w:color="auto"/>
              <w:right w:val="single" w:sz="6" w:space="0" w:color="auto"/>
            </w:tcBorders>
            <w:shd w:val="clear" w:color="auto" w:fill="auto"/>
            <w:vAlign w:val="center"/>
          </w:tcPr>
          <w:p w14:paraId="3B0C5FF3" w14:textId="77777777" w:rsidR="00172694" w:rsidRPr="00F50C10" w:rsidRDefault="00172694" w:rsidP="000B206D">
            <w:pPr>
              <w:widowControl w:val="0"/>
              <w:autoSpaceDE w:val="0"/>
              <w:autoSpaceDN w:val="0"/>
              <w:adjustRightInd w:val="0"/>
              <w:spacing w:line="276" w:lineRule="auto"/>
              <w:ind w:left="72" w:right="72"/>
              <w:rPr>
                <w:rFonts w:eastAsia="Times New Roman" w:cs="Times New Roman"/>
                <w:szCs w:val="24"/>
                <w:lang w:val="en-GB" w:eastAsia="tr-TR"/>
              </w:rPr>
            </w:pPr>
            <w:r w:rsidRPr="00F50C10">
              <w:rPr>
                <w:rFonts w:eastAsia="Times New Roman" w:cs="Times New Roman"/>
                <w:szCs w:val="24"/>
                <w:lang w:val="tr-TR" w:eastAsia="tr-TR" w:bidi="tr-TR"/>
              </w:rPr>
              <w:t>Sınırdaki gürültü</w:t>
            </w:r>
          </w:p>
        </w:tc>
        <w:tc>
          <w:tcPr>
            <w:tcW w:w="1685" w:type="pct"/>
            <w:tcBorders>
              <w:top w:val="single" w:sz="6" w:space="0" w:color="auto"/>
              <w:left w:val="single" w:sz="6" w:space="0" w:color="auto"/>
              <w:bottom w:val="single" w:sz="6" w:space="0" w:color="auto"/>
              <w:right w:val="single" w:sz="6" w:space="0" w:color="auto"/>
            </w:tcBorders>
            <w:shd w:val="clear" w:color="auto" w:fill="auto"/>
            <w:vAlign w:val="center"/>
          </w:tcPr>
          <w:p w14:paraId="64C9C53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dB(A)</w:t>
            </w:r>
          </w:p>
        </w:tc>
        <w:tc>
          <w:tcPr>
            <w:tcW w:w="806" w:type="pct"/>
            <w:tcBorders>
              <w:top w:val="single" w:sz="6" w:space="0" w:color="auto"/>
              <w:left w:val="single" w:sz="6" w:space="0" w:color="auto"/>
              <w:bottom w:val="single" w:sz="6" w:space="0" w:color="auto"/>
              <w:right w:val="single" w:sz="6" w:space="0" w:color="auto"/>
            </w:tcBorders>
            <w:shd w:val="clear" w:color="auto" w:fill="auto"/>
            <w:vAlign w:val="center"/>
          </w:tcPr>
          <w:p w14:paraId="2BA0BECE"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55</w:t>
            </w:r>
          </w:p>
        </w:tc>
        <w:tc>
          <w:tcPr>
            <w:tcW w:w="847" w:type="pct"/>
            <w:tcBorders>
              <w:top w:val="single" w:sz="6" w:space="0" w:color="auto"/>
              <w:left w:val="single" w:sz="6" w:space="0" w:color="auto"/>
              <w:bottom w:val="single" w:sz="6" w:space="0" w:color="auto"/>
              <w:right w:val="single" w:sz="6" w:space="0" w:color="auto"/>
            </w:tcBorders>
            <w:shd w:val="clear" w:color="auto" w:fill="auto"/>
            <w:vAlign w:val="center"/>
          </w:tcPr>
          <w:p w14:paraId="50C4B229" w14:textId="77777777" w:rsidR="00172694" w:rsidRPr="00F50C10" w:rsidRDefault="00172694" w:rsidP="000B206D">
            <w:pPr>
              <w:widowControl w:val="0"/>
              <w:autoSpaceDE w:val="0"/>
              <w:autoSpaceDN w:val="0"/>
              <w:adjustRightInd w:val="0"/>
              <w:spacing w:line="276" w:lineRule="auto"/>
              <w:ind w:left="72" w:right="72"/>
              <w:jc w:val="center"/>
              <w:rPr>
                <w:rFonts w:eastAsia="Times New Roman" w:cs="Times New Roman"/>
                <w:szCs w:val="24"/>
                <w:lang w:val="en-GB" w:eastAsia="tr-TR"/>
              </w:rPr>
            </w:pPr>
            <w:r w:rsidRPr="00F50C10">
              <w:rPr>
                <w:rFonts w:eastAsia="Times New Roman" w:cs="Times New Roman"/>
                <w:szCs w:val="24"/>
                <w:lang w:val="tr-TR" w:eastAsia="tr-TR" w:bidi="tr-TR"/>
              </w:rPr>
              <w:t>70</w:t>
            </w:r>
          </w:p>
        </w:tc>
      </w:tr>
    </w:tbl>
    <w:p w14:paraId="3537E7F7" w14:textId="77777777" w:rsidR="00172694" w:rsidRPr="00F50C10" w:rsidRDefault="00172694" w:rsidP="000B206D">
      <w:pPr>
        <w:widowControl w:val="0"/>
        <w:autoSpaceDE w:val="0"/>
        <w:autoSpaceDN w:val="0"/>
        <w:adjustRightInd w:val="0"/>
        <w:spacing w:before="120" w:after="60" w:line="276" w:lineRule="auto"/>
        <w:jc w:val="left"/>
        <w:rPr>
          <w:rFonts w:eastAsia="Times New Roman" w:cs="Times New Roman"/>
          <w:szCs w:val="24"/>
          <w:lang w:val="tr-TR" w:eastAsia="tr-TR"/>
        </w:rPr>
      </w:pPr>
    </w:p>
    <w:p w14:paraId="2276F443" w14:textId="5C72D2B2" w:rsidR="00FF35D1" w:rsidRPr="00F50C10" w:rsidRDefault="00FF35D1" w:rsidP="000B206D">
      <w:pPr>
        <w:spacing w:after="160" w:line="276" w:lineRule="auto"/>
        <w:jc w:val="left"/>
        <w:rPr>
          <w:rFonts w:cs="Times New Roman"/>
          <w:szCs w:val="24"/>
        </w:rPr>
      </w:pPr>
      <w:r w:rsidRPr="00F50C10">
        <w:rPr>
          <w:rFonts w:cs="Times New Roman"/>
          <w:szCs w:val="24"/>
        </w:rPr>
        <w:br w:type="page"/>
      </w:r>
    </w:p>
    <w:p w14:paraId="0CD96F6C" w14:textId="212D43A7" w:rsidR="00496ADC" w:rsidRPr="00F50C10" w:rsidRDefault="00496ADC" w:rsidP="000B206D">
      <w:pPr>
        <w:spacing w:line="276" w:lineRule="auto"/>
        <w:jc w:val="right"/>
        <w:rPr>
          <w:rFonts w:cs="Times New Roman"/>
          <w:b/>
          <w:bCs/>
          <w:szCs w:val="24"/>
        </w:rPr>
      </w:pPr>
      <w:r w:rsidRPr="00F50C10">
        <w:rPr>
          <w:rFonts w:cs="Times New Roman"/>
          <w:b/>
          <w:bCs/>
          <w:szCs w:val="24"/>
        </w:rPr>
        <w:t>EK-</w:t>
      </w:r>
      <w:r w:rsidR="00500C75" w:rsidRPr="00F50C10">
        <w:rPr>
          <w:rFonts w:cs="Times New Roman"/>
          <w:b/>
          <w:bCs/>
          <w:szCs w:val="24"/>
        </w:rPr>
        <w:t>3</w:t>
      </w:r>
    </w:p>
    <w:p w14:paraId="7F1F20A6" w14:textId="7E661F0F" w:rsidR="00496ADC" w:rsidRPr="00F50C10" w:rsidRDefault="00496ADC" w:rsidP="000B206D">
      <w:pPr>
        <w:spacing w:line="276" w:lineRule="auto"/>
        <w:jc w:val="center"/>
        <w:rPr>
          <w:rFonts w:cs="Times New Roman"/>
          <w:b/>
          <w:bCs/>
          <w:szCs w:val="24"/>
        </w:rPr>
      </w:pPr>
      <w:r w:rsidRPr="00F50C10">
        <w:rPr>
          <w:rFonts w:cs="Times New Roman"/>
          <w:b/>
          <w:bCs/>
          <w:szCs w:val="24"/>
        </w:rPr>
        <w:t>Organik İnce Kimyasallar</w:t>
      </w:r>
      <w:r w:rsidR="00AD244D" w:rsidRPr="00F50C10">
        <w:rPr>
          <w:rFonts w:cs="Times New Roman"/>
          <w:b/>
          <w:bCs/>
          <w:szCs w:val="24"/>
        </w:rPr>
        <w:t>ın</w:t>
      </w:r>
      <w:r w:rsidRPr="00F50C10">
        <w:rPr>
          <w:rFonts w:cs="Times New Roman"/>
          <w:b/>
          <w:bCs/>
          <w:szCs w:val="24"/>
        </w:rPr>
        <w:t xml:space="preserve"> Üretiminde Mevcut En İyi Teknikler</w:t>
      </w:r>
      <w:bookmarkStart w:id="110" w:name="_Toc135050213"/>
      <w:bookmarkStart w:id="111" w:name="_Toc135141991"/>
      <w:bookmarkStart w:id="112" w:name="_Toc135142068"/>
      <w:bookmarkStart w:id="113" w:name="_Toc135229428"/>
      <w:r w:rsidR="00E62033" w:rsidRPr="00F50C10">
        <w:rPr>
          <w:rFonts w:cs="Times New Roman"/>
          <w:b/>
          <w:bCs/>
          <w:szCs w:val="24"/>
        </w:rPr>
        <w:t xml:space="preserve"> (4.1.h,4.1.ı, 4.4, 4.5, 4.6)</w:t>
      </w:r>
    </w:p>
    <w:p w14:paraId="008DF1E2" w14:textId="5968C2E7" w:rsidR="00496ADC" w:rsidRPr="00F50C10" w:rsidRDefault="00333171" w:rsidP="000B206D">
      <w:pPr>
        <w:widowControl w:val="0"/>
        <w:autoSpaceDE w:val="0"/>
        <w:autoSpaceDN w:val="0"/>
        <w:spacing w:before="120" w:after="60" w:line="276" w:lineRule="auto"/>
        <w:jc w:val="left"/>
        <w:outlineLvl w:val="1"/>
        <w:rPr>
          <w:rFonts w:eastAsia="Arial" w:cs="Times New Roman"/>
          <w:b/>
          <w:bCs/>
          <w:szCs w:val="24"/>
          <w:lang w:val="tr-TR"/>
        </w:rPr>
      </w:pPr>
      <w:r w:rsidRPr="00F50C10">
        <w:rPr>
          <w:rFonts w:eastAsia="Arial" w:cs="Times New Roman"/>
          <w:b/>
          <w:bCs/>
          <w:szCs w:val="24"/>
          <w:lang w:val="tr-TR"/>
        </w:rPr>
        <w:t xml:space="preserve">1 </w:t>
      </w:r>
      <w:r w:rsidR="00496ADC" w:rsidRPr="00F50C10">
        <w:rPr>
          <w:rFonts w:eastAsia="Arial" w:cs="Times New Roman"/>
          <w:b/>
          <w:bCs/>
          <w:szCs w:val="24"/>
          <w:lang w:val="tr-TR"/>
        </w:rPr>
        <w:t>Çevresel Etkinin Önlenmesi</w:t>
      </w:r>
      <w:bookmarkEnd w:id="110"/>
      <w:bookmarkEnd w:id="111"/>
      <w:bookmarkEnd w:id="112"/>
      <w:bookmarkEnd w:id="113"/>
    </w:p>
    <w:p w14:paraId="60850C71" w14:textId="408DA964" w:rsidR="00496ADC" w:rsidRPr="00F50C10" w:rsidRDefault="00496ADC" w:rsidP="000B206D">
      <w:pPr>
        <w:widowControl w:val="0"/>
        <w:autoSpaceDE w:val="0"/>
        <w:autoSpaceDN w:val="0"/>
        <w:spacing w:before="120" w:after="60" w:line="276" w:lineRule="auto"/>
        <w:outlineLvl w:val="2"/>
        <w:rPr>
          <w:rFonts w:eastAsia="Times New Roman" w:cs="Times New Roman"/>
          <w:b/>
          <w:bCs/>
          <w:szCs w:val="24"/>
          <w:lang w:val="tr-TR"/>
        </w:rPr>
      </w:pPr>
      <w:bookmarkStart w:id="114" w:name="_Toc135050214"/>
      <w:bookmarkStart w:id="115" w:name="_Toc135141992"/>
      <w:bookmarkStart w:id="116" w:name="_Toc135142069"/>
      <w:bookmarkStart w:id="117" w:name="_Toc135229429"/>
      <w:r w:rsidRPr="00F50C10">
        <w:rPr>
          <w:rFonts w:eastAsia="Times New Roman" w:cs="Times New Roman"/>
          <w:b/>
          <w:bCs/>
          <w:szCs w:val="24"/>
          <w:lang w:val="tr-TR"/>
        </w:rPr>
        <w:t>1.1</w:t>
      </w:r>
      <w:r w:rsidR="00333171" w:rsidRPr="00F50C10">
        <w:rPr>
          <w:rFonts w:eastAsia="Times New Roman" w:cs="Times New Roman"/>
          <w:b/>
          <w:bCs/>
          <w:szCs w:val="24"/>
          <w:lang w:val="tr-TR"/>
        </w:rPr>
        <w:t>.</w:t>
      </w:r>
      <w:r w:rsidRPr="00F50C10">
        <w:rPr>
          <w:rFonts w:eastAsia="Times New Roman" w:cs="Times New Roman"/>
          <w:b/>
          <w:bCs/>
          <w:szCs w:val="24"/>
          <w:lang w:val="tr-TR"/>
        </w:rPr>
        <w:t xml:space="preserve"> </w:t>
      </w:r>
      <w:r w:rsidRPr="0004737A">
        <w:rPr>
          <w:rFonts w:eastAsia="Times New Roman" w:cs="Times New Roman"/>
          <w:szCs w:val="24"/>
          <w:lang w:val="tr-TR"/>
        </w:rPr>
        <w:t>Çevre, sağlık ve güvenlik hususlarının proses geliştirme çalışmalarına entegre edilmesi</w:t>
      </w:r>
      <w:bookmarkEnd w:id="114"/>
      <w:bookmarkEnd w:id="115"/>
      <w:bookmarkEnd w:id="116"/>
      <w:bookmarkEnd w:id="117"/>
      <w:r w:rsidR="0004737A">
        <w:rPr>
          <w:rFonts w:eastAsia="Times New Roman" w:cs="Times New Roman"/>
          <w:b/>
          <w:bCs/>
          <w:szCs w:val="24"/>
          <w:lang w:val="tr-TR"/>
        </w:rPr>
        <w:t xml:space="preserve"> </w:t>
      </w:r>
    </w:p>
    <w:p w14:paraId="70DB5DFA" w14:textId="15A846DC" w:rsidR="0004737A" w:rsidRPr="00F50C10" w:rsidRDefault="00496ADC" w:rsidP="000B206D">
      <w:pPr>
        <w:widowControl w:val="0"/>
        <w:autoSpaceDE w:val="0"/>
        <w:autoSpaceDN w:val="0"/>
        <w:spacing w:before="120" w:after="60" w:line="276" w:lineRule="auto"/>
        <w:outlineLvl w:val="2"/>
        <w:rPr>
          <w:rFonts w:eastAsia="Times New Roman" w:cs="Times New Roman"/>
          <w:b/>
          <w:bCs/>
          <w:szCs w:val="24"/>
          <w:lang w:val="tr-TR"/>
        </w:rPr>
      </w:pPr>
      <w:r w:rsidRPr="00F50C10">
        <w:rPr>
          <w:rFonts w:cs="Times New Roman"/>
          <w:b/>
          <w:bCs/>
          <w:szCs w:val="24"/>
          <w:lang w:val="tr-TR"/>
        </w:rPr>
        <w:t xml:space="preserve">MET 1: </w:t>
      </w:r>
      <w:r w:rsidRPr="00F50C10">
        <w:rPr>
          <w:rFonts w:cs="Times New Roman"/>
          <w:szCs w:val="24"/>
          <w:lang w:val="tr-TR"/>
        </w:rPr>
        <w:t>Çevre, sağlık ve güvenlik hususlarının proses geliştirme çalışmalarına entegre edilmesine ilişkin bir denetim ağı sağla</w:t>
      </w:r>
      <w:r w:rsidR="008A7396" w:rsidRPr="00F50C10">
        <w:rPr>
          <w:rFonts w:cs="Times New Roman"/>
          <w:szCs w:val="24"/>
          <w:lang w:val="tr-TR"/>
        </w:rPr>
        <w:t>nı</w:t>
      </w:r>
      <w:r w:rsidRPr="00F50C10">
        <w:rPr>
          <w:rFonts w:cs="Times New Roman"/>
          <w:szCs w:val="24"/>
          <w:lang w:val="tr-TR"/>
        </w:rPr>
        <w:t>r.</w:t>
      </w:r>
      <w:r w:rsidR="0004737A" w:rsidRPr="0004737A">
        <w:rPr>
          <w:rFonts w:cs="Times New Roman"/>
          <w:szCs w:val="24"/>
        </w:rPr>
        <w:t xml:space="preserve"> </w:t>
      </w:r>
      <w:r w:rsidR="0004737A">
        <w:rPr>
          <w:rFonts w:cs="Times New Roman"/>
          <w:szCs w:val="24"/>
        </w:rPr>
        <w:t>(</w:t>
      </w:r>
      <w:r w:rsidR="0004737A" w:rsidRPr="00BC3A2D">
        <w:rPr>
          <w:rFonts w:cs="Times New Roman"/>
          <w:szCs w:val="24"/>
        </w:rPr>
        <w:t xml:space="preserve">Detaylı bilgi için </w:t>
      </w:r>
      <w:r w:rsidR="0004737A">
        <w:rPr>
          <w:rFonts w:cs="Times New Roman"/>
          <w:szCs w:val="24"/>
        </w:rPr>
        <w:t>Organik İnce</w:t>
      </w:r>
      <w:r w:rsidR="0004737A" w:rsidRPr="00BC3A2D">
        <w:rPr>
          <w:rFonts w:cs="Times New Roman"/>
          <w:szCs w:val="24"/>
        </w:rPr>
        <w:t xml:space="preserve"> Kimyasalların Üretimi İçin MET Referans Belgesinin </w:t>
      </w:r>
      <w:r w:rsidR="0004737A">
        <w:rPr>
          <w:rFonts w:cs="Times New Roman"/>
          <w:szCs w:val="24"/>
        </w:rPr>
        <w:t xml:space="preserve">4.1.2 </w:t>
      </w:r>
      <w:r w:rsidR="0004737A" w:rsidRPr="00BC3A2D">
        <w:rPr>
          <w:rFonts w:cs="Times New Roman"/>
          <w:szCs w:val="24"/>
        </w:rPr>
        <w:t>kıs</w:t>
      </w:r>
      <w:r w:rsidR="0004737A">
        <w:rPr>
          <w:rFonts w:cs="Times New Roman"/>
          <w:szCs w:val="24"/>
        </w:rPr>
        <w:t>mını</w:t>
      </w:r>
      <w:r w:rsidR="0004737A" w:rsidRPr="00BC3A2D">
        <w:rPr>
          <w:rFonts w:cs="Times New Roman"/>
          <w:szCs w:val="24"/>
        </w:rPr>
        <w:t xml:space="preserve"> inceleyiniz.)</w:t>
      </w:r>
    </w:p>
    <w:p w14:paraId="5BC8C500" w14:textId="528FB09D"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2: </w:t>
      </w:r>
      <w:r w:rsidRPr="00F50C10">
        <w:rPr>
          <w:rFonts w:cs="Times New Roman"/>
          <w:szCs w:val="24"/>
          <w:lang w:val="tr-TR"/>
        </w:rPr>
        <w:t xml:space="preserve">Yeni prosesler aşağıdaki gibi </w:t>
      </w:r>
      <w:r w:rsidR="008A7396" w:rsidRPr="00F50C10">
        <w:rPr>
          <w:rFonts w:cs="Times New Roman"/>
          <w:szCs w:val="24"/>
          <w:lang w:val="tr-TR"/>
        </w:rPr>
        <w:t>geliştirilir</w:t>
      </w:r>
      <w:r w:rsidR="006E73A5" w:rsidRPr="00F50C10">
        <w:rPr>
          <w:rFonts w:cs="Times New Roman"/>
          <w:szCs w:val="24"/>
          <w:lang w:val="tr-TR"/>
        </w:rPr>
        <w:t>:</w:t>
      </w:r>
      <w:r w:rsidR="0004737A" w:rsidRPr="0004737A">
        <w:rPr>
          <w:rFonts w:cs="Times New Roman"/>
          <w:szCs w:val="24"/>
        </w:rPr>
        <w:t xml:space="preserve"> </w:t>
      </w:r>
      <w:r w:rsidR="0004737A">
        <w:rPr>
          <w:rFonts w:cs="Times New Roman"/>
          <w:szCs w:val="24"/>
        </w:rPr>
        <w:t>(</w:t>
      </w:r>
      <w:r w:rsidR="0004737A" w:rsidRPr="00BC3A2D">
        <w:rPr>
          <w:rFonts w:cs="Times New Roman"/>
          <w:szCs w:val="24"/>
        </w:rPr>
        <w:t xml:space="preserve">Detaylı bilgi için </w:t>
      </w:r>
      <w:r w:rsidR="0004737A">
        <w:rPr>
          <w:rFonts w:cs="Times New Roman"/>
          <w:szCs w:val="24"/>
        </w:rPr>
        <w:t>Organik İnce</w:t>
      </w:r>
      <w:r w:rsidR="0004737A" w:rsidRPr="00BC3A2D">
        <w:rPr>
          <w:rFonts w:cs="Times New Roman"/>
          <w:szCs w:val="24"/>
        </w:rPr>
        <w:t xml:space="preserve"> Kimyasalların Üretimi İçin MET Referans Belgesinin </w:t>
      </w:r>
      <w:r w:rsidR="0004737A">
        <w:rPr>
          <w:rFonts w:cs="Times New Roman"/>
          <w:szCs w:val="24"/>
        </w:rPr>
        <w:t xml:space="preserve">4.1.1 </w:t>
      </w:r>
      <w:r w:rsidR="0004737A" w:rsidRPr="00BC3A2D">
        <w:rPr>
          <w:rFonts w:cs="Times New Roman"/>
          <w:szCs w:val="24"/>
        </w:rPr>
        <w:t>kıs</w:t>
      </w:r>
      <w:r w:rsidR="0004737A">
        <w:rPr>
          <w:rFonts w:cs="Times New Roman"/>
          <w:szCs w:val="24"/>
        </w:rPr>
        <w:t>mını</w:t>
      </w:r>
      <w:r w:rsidR="0004737A" w:rsidRPr="00BC3A2D">
        <w:rPr>
          <w:rFonts w:cs="Times New Roman"/>
          <w:szCs w:val="24"/>
        </w:rPr>
        <w:t xml:space="preserve"> inceleyiniz.)</w:t>
      </w:r>
    </w:p>
    <w:p w14:paraId="403A6FA2" w14:textId="2401A8D1" w:rsidR="00496ADC" w:rsidRPr="00F50C10" w:rsidRDefault="00496ADC" w:rsidP="000B206D">
      <w:pPr>
        <w:widowControl w:val="0"/>
        <w:numPr>
          <w:ilvl w:val="0"/>
          <w:numId w:val="49"/>
        </w:numPr>
        <w:autoSpaceDE w:val="0"/>
        <w:autoSpaceDN w:val="0"/>
        <w:spacing w:before="120" w:after="60" w:line="276" w:lineRule="auto"/>
        <w:rPr>
          <w:rFonts w:eastAsia="Times New Roman" w:cs="Times New Roman"/>
          <w:szCs w:val="24"/>
          <w:lang w:val="tr-TR"/>
        </w:rPr>
      </w:pPr>
      <w:r w:rsidRPr="00F50C10">
        <w:rPr>
          <w:rFonts w:eastAsia="Times New Roman" w:cs="Times New Roman"/>
          <w:szCs w:val="24"/>
          <w:lang w:val="tr-TR"/>
        </w:rPr>
        <w:t>Kullanılan tüm girdi malzemelerinin nihai ürüne en üst düzeyde dahil edilmesini sağlamak için proses tasarımının iyileştirilmesi</w:t>
      </w:r>
      <w:r w:rsidR="006E73A5" w:rsidRPr="00F50C10">
        <w:rPr>
          <w:rFonts w:eastAsia="Times New Roman" w:cs="Times New Roman"/>
          <w:szCs w:val="24"/>
          <w:lang w:val="tr-TR"/>
        </w:rPr>
        <w:t>,</w:t>
      </w:r>
      <w:r w:rsidR="0004737A" w:rsidRPr="0004737A">
        <w:t xml:space="preserve"> </w:t>
      </w:r>
      <w:r w:rsidR="0004737A" w:rsidRPr="0004737A">
        <w:rPr>
          <w:rFonts w:eastAsia="Times New Roman" w:cs="Times New Roman"/>
          <w:szCs w:val="24"/>
          <w:lang w:val="tr-TR"/>
        </w:rPr>
        <w:t>(Detaylı bilgi için Organik İnce Kimyasalların Üretimi İçin MET Referans Belgesinin 4.1.</w:t>
      </w:r>
      <w:r w:rsidR="0004737A">
        <w:rPr>
          <w:rFonts w:eastAsia="Times New Roman" w:cs="Times New Roman"/>
          <w:szCs w:val="24"/>
          <w:lang w:val="tr-TR"/>
        </w:rPr>
        <w:t>4.3 ve 4.1.4.8</w:t>
      </w:r>
      <w:r w:rsidR="0004737A" w:rsidRPr="0004737A">
        <w:rPr>
          <w:rFonts w:eastAsia="Times New Roman" w:cs="Times New Roman"/>
          <w:szCs w:val="24"/>
          <w:lang w:val="tr-TR"/>
        </w:rPr>
        <w:t xml:space="preserve"> kıs</w:t>
      </w:r>
      <w:r w:rsidR="0004737A">
        <w:rPr>
          <w:rFonts w:eastAsia="Times New Roman" w:cs="Times New Roman"/>
          <w:szCs w:val="24"/>
          <w:lang w:val="tr-TR"/>
        </w:rPr>
        <w:t xml:space="preserve">ımlarını </w:t>
      </w:r>
      <w:r w:rsidR="0004737A" w:rsidRPr="0004737A">
        <w:rPr>
          <w:rFonts w:eastAsia="Times New Roman" w:cs="Times New Roman"/>
          <w:szCs w:val="24"/>
          <w:lang w:val="tr-TR"/>
        </w:rPr>
        <w:t>inceleyiniz.)</w:t>
      </w:r>
    </w:p>
    <w:p w14:paraId="1CD98381" w14:textId="6BF72DE5" w:rsidR="00496ADC" w:rsidRPr="00F50C10" w:rsidRDefault="00496ADC" w:rsidP="000B206D">
      <w:pPr>
        <w:widowControl w:val="0"/>
        <w:numPr>
          <w:ilvl w:val="0"/>
          <w:numId w:val="49"/>
        </w:numPr>
        <w:autoSpaceDE w:val="0"/>
        <w:autoSpaceDN w:val="0"/>
        <w:spacing w:before="120" w:after="60" w:line="276" w:lineRule="auto"/>
        <w:rPr>
          <w:rFonts w:eastAsia="Times New Roman" w:cs="Times New Roman"/>
          <w:szCs w:val="24"/>
          <w:lang w:val="tr-TR"/>
        </w:rPr>
      </w:pPr>
      <w:r w:rsidRPr="00F50C10">
        <w:rPr>
          <w:rFonts w:eastAsia="Times New Roman" w:cs="Times New Roman"/>
          <w:szCs w:val="24"/>
          <w:lang w:val="tr-TR"/>
        </w:rPr>
        <w:t>İnsan sağlığı ve çevre için toksisitesi çok az veya hiç olmayan maddelerin kullanılması. Kaza, salım, patlama ve yangın potansiyelini en aza indirecek maddeler seçilmelidir</w:t>
      </w:r>
      <w:r w:rsidR="0004737A">
        <w:rPr>
          <w:rFonts w:eastAsia="Times New Roman" w:cs="Times New Roman"/>
          <w:szCs w:val="24"/>
          <w:lang w:val="tr-TR"/>
        </w:rPr>
        <w:t xml:space="preserve"> (örneğin solvent seçimi, </w:t>
      </w:r>
      <w:r w:rsidR="0004737A" w:rsidRPr="0004737A">
        <w:rPr>
          <w:rFonts w:eastAsia="Times New Roman" w:cs="Times New Roman"/>
          <w:szCs w:val="24"/>
          <w:lang w:val="tr-TR"/>
        </w:rPr>
        <w:t>Detaylı bilgi için Organik İnce Kimyasalların Üretimi İçin MET Referans Belgesinin 4.1</w:t>
      </w:r>
      <w:r w:rsidR="0004737A">
        <w:rPr>
          <w:rFonts w:eastAsia="Times New Roman" w:cs="Times New Roman"/>
          <w:szCs w:val="24"/>
          <w:lang w:val="tr-TR"/>
        </w:rPr>
        <w:t>.3</w:t>
      </w:r>
      <w:r w:rsidR="0004737A" w:rsidRPr="0004737A">
        <w:rPr>
          <w:rFonts w:eastAsia="Times New Roman" w:cs="Times New Roman"/>
          <w:szCs w:val="24"/>
          <w:lang w:val="tr-TR"/>
        </w:rPr>
        <w:t xml:space="preserve"> kısmını inceleyiniz.)</w:t>
      </w:r>
      <w:r w:rsidR="006E73A5" w:rsidRPr="00F50C10">
        <w:rPr>
          <w:rFonts w:eastAsia="Times New Roman" w:cs="Times New Roman"/>
          <w:szCs w:val="24"/>
          <w:lang w:val="tr-TR"/>
        </w:rPr>
        <w:t>,</w:t>
      </w:r>
    </w:p>
    <w:p w14:paraId="5F96A3AF" w14:textId="54E2DEEB" w:rsidR="00496ADC" w:rsidRPr="00F50C10" w:rsidRDefault="00496ADC" w:rsidP="000B206D">
      <w:pPr>
        <w:widowControl w:val="0"/>
        <w:numPr>
          <w:ilvl w:val="0"/>
          <w:numId w:val="49"/>
        </w:numPr>
        <w:autoSpaceDE w:val="0"/>
        <w:autoSpaceDN w:val="0"/>
        <w:spacing w:before="120" w:after="60" w:line="276" w:lineRule="auto"/>
        <w:rPr>
          <w:rFonts w:eastAsia="Times New Roman" w:cs="Times New Roman"/>
          <w:szCs w:val="24"/>
          <w:lang w:val="tr-TR"/>
        </w:rPr>
      </w:pPr>
      <w:r w:rsidRPr="00F50C10">
        <w:rPr>
          <w:rFonts w:eastAsia="Times New Roman" w:cs="Times New Roman"/>
          <w:szCs w:val="24"/>
          <w:lang w:val="tr-TR"/>
        </w:rPr>
        <w:t xml:space="preserve">Mümkün olan her yerde yardımcı maddelerin (örneğin </w:t>
      </w:r>
      <w:r w:rsidR="0004737A">
        <w:rPr>
          <w:rFonts w:eastAsia="Times New Roman" w:cs="Times New Roman"/>
          <w:szCs w:val="24"/>
          <w:lang w:val="tr-TR"/>
        </w:rPr>
        <w:t>solventler,</w:t>
      </w:r>
      <w:r w:rsidRPr="00F50C10">
        <w:rPr>
          <w:rFonts w:eastAsia="Times New Roman" w:cs="Times New Roman"/>
          <w:szCs w:val="24"/>
          <w:lang w:val="tr-TR"/>
        </w:rPr>
        <w:t xml:space="preserve"> ayırma maddeleri, vb.</w:t>
      </w:r>
      <w:r w:rsidR="0004737A" w:rsidRPr="0004737A">
        <w:t xml:space="preserve"> </w:t>
      </w:r>
      <w:r w:rsidR="0004737A" w:rsidRPr="0004737A">
        <w:rPr>
          <w:rFonts w:eastAsia="Times New Roman" w:cs="Times New Roman"/>
          <w:szCs w:val="24"/>
          <w:lang w:val="tr-TR"/>
        </w:rPr>
        <w:t>Detaylı bilgi için Organik İnce Kimyasalların Üretimi İçin MET Referans Belgesinin 4.1.</w:t>
      </w:r>
      <w:r w:rsidR="0004737A">
        <w:rPr>
          <w:rFonts w:eastAsia="Times New Roman" w:cs="Times New Roman"/>
          <w:szCs w:val="24"/>
          <w:lang w:val="tr-TR"/>
        </w:rPr>
        <w:t>4.</w:t>
      </w:r>
      <w:r w:rsidR="0004737A" w:rsidRPr="0004737A">
        <w:rPr>
          <w:rFonts w:eastAsia="Times New Roman" w:cs="Times New Roman"/>
          <w:szCs w:val="24"/>
          <w:lang w:val="tr-TR"/>
        </w:rPr>
        <w:t>2 kısmını inceleyiniz.)</w:t>
      </w:r>
      <w:r w:rsidRPr="00F50C10">
        <w:rPr>
          <w:rFonts w:eastAsia="Times New Roman" w:cs="Times New Roman"/>
          <w:szCs w:val="24"/>
          <w:lang w:val="tr-TR"/>
        </w:rPr>
        <w:t>) kullanımından kaçınılması</w:t>
      </w:r>
      <w:r w:rsidR="006E73A5" w:rsidRPr="00F50C10">
        <w:rPr>
          <w:rFonts w:eastAsia="Times New Roman" w:cs="Times New Roman"/>
          <w:szCs w:val="24"/>
          <w:lang w:val="tr-TR"/>
        </w:rPr>
        <w:t>,</w:t>
      </w:r>
    </w:p>
    <w:p w14:paraId="311256C7" w14:textId="2E26351C" w:rsidR="00496ADC" w:rsidRPr="00F50C10" w:rsidRDefault="00496ADC" w:rsidP="000B206D">
      <w:pPr>
        <w:widowControl w:val="0"/>
        <w:numPr>
          <w:ilvl w:val="0"/>
          <w:numId w:val="49"/>
        </w:numPr>
        <w:autoSpaceDE w:val="0"/>
        <w:autoSpaceDN w:val="0"/>
        <w:spacing w:before="120" w:after="60" w:line="276" w:lineRule="auto"/>
        <w:rPr>
          <w:rFonts w:eastAsia="Times New Roman" w:cs="Times New Roman"/>
          <w:szCs w:val="24"/>
          <w:lang w:val="tr-TR"/>
        </w:rPr>
      </w:pPr>
      <w:r w:rsidRPr="00F50C10">
        <w:rPr>
          <w:rFonts w:eastAsia="Times New Roman" w:cs="Times New Roman"/>
          <w:szCs w:val="24"/>
          <w:lang w:val="tr-TR"/>
        </w:rPr>
        <w:t>İlgili çevresel ve ekonomik etkileri dikkate alarak enerji gereksinimlerinin en aza indirilmesi. Ortam sıcaklıkları ve basınçlarında gerçekleştirilen reaksiyonlar tercih edilmelidir</w:t>
      </w:r>
      <w:r w:rsidR="006E73A5" w:rsidRPr="00F50C10">
        <w:rPr>
          <w:rFonts w:eastAsia="Times New Roman" w:cs="Times New Roman"/>
          <w:szCs w:val="24"/>
          <w:lang w:val="tr-TR"/>
        </w:rPr>
        <w:t>,</w:t>
      </w:r>
    </w:p>
    <w:p w14:paraId="2797E0D8" w14:textId="4FCE086E" w:rsidR="00496ADC" w:rsidRPr="00F50C10" w:rsidRDefault="00496ADC" w:rsidP="000B206D">
      <w:pPr>
        <w:widowControl w:val="0"/>
        <w:numPr>
          <w:ilvl w:val="0"/>
          <w:numId w:val="49"/>
        </w:numPr>
        <w:autoSpaceDE w:val="0"/>
        <w:autoSpaceDN w:val="0"/>
        <w:spacing w:before="120" w:after="60" w:line="276" w:lineRule="auto"/>
        <w:rPr>
          <w:rFonts w:eastAsia="Times New Roman" w:cs="Times New Roman"/>
          <w:szCs w:val="24"/>
          <w:lang w:val="tr-TR"/>
        </w:rPr>
      </w:pPr>
      <w:r w:rsidRPr="00F50C10">
        <w:rPr>
          <w:rFonts w:eastAsia="Times New Roman" w:cs="Times New Roman"/>
          <w:szCs w:val="24"/>
          <w:lang w:val="tr-TR"/>
        </w:rPr>
        <w:t>Teknik ve ekonomik olarak uygulanabilir durumlarda, tükenen ham maddeler yerine yenilenebilir olanlarının kullanılması</w:t>
      </w:r>
      <w:r w:rsidR="006E73A5" w:rsidRPr="00F50C10">
        <w:rPr>
          <w:rFonts w:eastAsia="Times New Roman" w:cs="Times New Roman"/>
          <w:szCs w:val="24"/>
          <w:lang w:val="tr-TR"/>
        </w:rPr>
        <w:t>,</w:t>
      </w:r>
    </w:p>
    <w:p w14:paraId="1BAF04DA" w14:textId="77777777" w:rsidR="00465DB2" w:rsidRDefault="00496ADC" w:rsidP="000B206D">
      <w:pPr>
        <w:widowControl w:val="0"/>
        <w:numPr>
          <w:ilvl w:val="0"/>
          <w:numId w:val="49"/>
        </w:numPr>
        <w:autoSpaceDE w:val="0"/>
        <w:autoSpaceDN w:val="0"/>
        <w:spacing w:before="120" w:after="60" w:line="276" w:lineRule="auto"/>
        <w:rPr>
          <w:rFonts w:eastAsia="Times New Roman" w:cs="Times New Roman"/>
          <w:szCs w:val="24"/>
          <w:lang w:val="tr-TR"/>
        </w:rPr>
      </w:pPr>
      <w:r w:rsidRPr="00F50C10">
        <w:rPr>
          <w:rFonts w:eastAsia="Times New Roman" w:cs="Times New Roman"/>
          <w:szCs w:val="24"/>
          <w:lang w:val="tr-TR"/>
        </w:rPr>
        <w:t>Mümkün olan her yerde gereksiz türevlendirmeden (örneğin bloklama veya koruma grupları) kaçınılması</w:t>
      </w:r>
      <w:r w:rsidR="006E73A5" w:rsidRPr="00F50C10">
        <w:rPr>
          <w:rFonts w:eastAsia="Times New Roman" w:cs="Times New Roman"/>
          <w:szCs w:val="24"/>
          <w:lang w:val="tr-TR"/>
        </w:rPr>
        <w:t>,</w:t>
      </w:r>
    </w:p>
    <w:p w14:paraId="365F66D4" w14:textId="03241E67" w:rsidR="00465DB2" w:rsidRPr="00465DB2" w:rsidRDefault="00496ADC" w:rsidP="000B206D">
      <w:pPr>
        <w:widowControl w:val="0"/>
        <w:numPr>
          <w:ilvl w:val="0"/>
          <w:numId w:val="49"/>
        </w:numPr>
        <w:autoSpaceDE w:val="0"/>
        <w:autoSpaceDN w:val="0"/>
        <w:spacing w:before="120" w:after="60" w:line="276" w:lineRule="auto"/>
        <w:rPr>
          <w:rFonts w:eastAsia="Times New Roman" w:cs="Times New Roman"/>
          <w:szCs w:val="24"/>
          <w:lang w:val="tr-TR"/>
        </w:rPr>
      </w:pPr>
      <w:r w:rsidRPr="00465DB2">
        <w:rPr>
          <w:rFonts w:eastAsia="Times New Roman" w:cs="Times New Roman"/>
          <w:szCs w:val="24"/>
          <w:lang w:val="tr-TR"/>
        </w:rPr>
        <w:t>Tipik olarak stokiyometrik reaksiyon maddelerinden daha üstün olan katalitik reaksiyon maddelerinin uygulanması.</w:t>
      </w:r>
      <w:r w:rsidR="00465DB2" w:rsidRPr="00465DB2">
        <w:rPr>
          <w:rFonts w:cs="Times New Roman"/>
          <w:szCs w:val="24"/>
        </w:rPr>
        <w:t xml:space="preserve"> (Detaylı bilgi için Organik İnce Kimyasalların Üretimi İçin MET Referans Belgesinin 4.1.4.4 ve 4.1.4.5 kısımlarını inceleyiniz.)</w:t>
      </w:r>
    </w:p>
    <w:p w14:paraId="441E851F" w14:textId="6D279D23" w:rsidR="00496ADC" w:rsidRPr="00F50C10" w:rsidRDefault="00496ADC" w:rsidP="000B206D">
      <w:pPr>
        <w:widowControl w:val="0"/>
        <w:autoSpaceDE w:val="0"/>
        <w:autoSpaceDN w:val="0"/>
        <w:spacing w:before="120" w:after="60" w:line="276" w:lineRule="auto"/>
        <w:jc w:val="left"/>
        <w:outlineLvl w:val="2"/>
        <w:rPr>
          <w:rFonts w:eastAsia="Times New Roman" w:cs="Times New Roman"/>
          <w:b/>
          <w:bCs/>
          <w:szCs w:val="24"/>
          <w:lang w:val="tr-TR"/>
        </w:rPr>
      </w:pPr>
      <w:bookmarkStart w:id="118" w:name="_Toc135050215"/>
      <w:bookmarkStart w:id="119" w:name="_Toc135141993"/>
      <w:bookmarkStart w:id="120" w:name="_Toc135142070"/>
      <w:bookmarkStart w:id="121" w:name="_Toc135229430"/>
      <w:r w:rsidRPr="00F50C10">
        <w:rPr>
          <w:rFonts w:eastAsia="Times New Roman" w:cs="Times New Roman"/>
          <w:b/>
          <w:bCs/>
          <w:szCs w:val="24"/>
          <w:lang w:val="tr-TR"/>
        </w:rPr>
        <w:t>1.2. Proses güvenliği ve kontrolsüz reaksiyonlarının önlenmesi</w:t>
      </w:r>
      <w:bookmarkEnd w:id="118"/>
      <w:bookmarkEnd w:id="119"/>
      <w:bookmarkEnd w:id="120"/>
      <w:bookmarkEnd w:id="121"/>
    </w:p>
    <w:p w14:paraId="5EAF8992" w14:textId="4A577181" w:rsidR="009E5076" w:rsidRPr="00F50C10" w:rsidRDefault="00496ADC" w:rsidP="000B206D">
      <w:pPr>
        <w:widowControl w:val="0"/>
        <w:autoSpaceDE w:val="0"/>
        <w:autoSpaceDN w:val="0"/>
        <w:spacing w:before="120" w:after="60" w:line="276" w:lineRule="auto"/>
        <w:outlineLvl w:val="2"/>
        <w:rPr>
          <w:rFonts w:eastAsia="Times New Roman" w:cs="Times New Roman"/>
          <w:b/>
          <w:bCs/>
          <w:szCs w:val="24"/>
          <w:lang w:val="tr-TR"/>
        </w:rPr>
      </w:pPr>
      <w:r w:rsidRPr="00F50C10">
        <w:rPr>
          <w:rFonts w:cs="Times New Roman"/>
          <w:b/>
          <w:bCs/>
          <w:szCs w:val="24"/>
          <w:lang w:val="tr-TR"/>
        </w:rPr>
        <w:t xml:space="preserve">MET 3: </w:t>
      </w:r>
      <w:r w:rsidRPr="00F50C10">
        <w:rPr>
          <w:rFonts w:cs="Times New Roman"/>
          <w:szCs w:val="24"/>
          <w:lang w:val="tr-TR"/>
        </w:rPr>
        <w:t>Normal işletim için yapılandırılmış bir güvenlik değerlendirmesi yap</w:t>
      </w:r>
      <w:r w:rsidR="008A7396" w:rsidRPr="00F50C10">
        <w:rPr>
          <w:rFonts w:cs="Times New Roman"/>
          <w:szCs w:val="24"/>
          <w:lang w:val="tr-TR"/>
        </w:rPr>
        <w:t>ılır</w:t>
      </w:r>
      <w:r w:rsidRPr="00F50C10">
        <w:rPr>
          <w:rFonts w:cs="Times New Roman"/>
          <w:szCs w:val="24"/>
          <w:lang w:val="tr-TR"/>
        </w:rPr>
        <w:t xml:space="preserve"> ve kimyasal proses sapmalarından ve tesisin işletimindeki sapmalardan kaynaklanan etkiler</w:t>
      </w:r>
      <w:r w:rsidR="008A7396" w:rsidRPr="00F50C10">
        <w:rPr>
          <w:rFonts w:cs="Times New Roman"/>
          <w:szCs w:val="24"/>
          <w:lang w:val="tr-TR"/>
        </w:rPr>
        <w:t xml:space="preserve"> </w:t>
      </w:r>
      <w:r w:rsidRPr="00F50C10">
        <w:rPr>
          <w:rFonts w:cs="Times New Roman"/>
          <w:szCs w:val="24"/>
          <w:lang w:val="tr-TR"/>
        </w:rPr>
        <w:t>hesaba k</w:t>
      </w:r>
      <w:r w:rsidR="008A7396" w:rsidRPr="00F50C10">
        <w:rPr>
          <w:rFonts w:cs="Times New Roman"/>
          <w:szCs w:val="24"/>
          <w:lang w:val="tr-TR"/>
        </w:rPr>
        <w:t>atılır</w:t>
      </w:r>
      <w:r w:rsidRPr="00F50C10">
        <w:rPr>
          <w:rFonts w:cs="Times New Roman"/>
          <w:szCs w:val="24"/>
          <w:lang w:val="tr-TR"/>
        </w:rPr>
        <w:t>.</w:t>
      </w:r>
      <w:r w:rsidR="009E5076" w:rsidRPr="009E5076">
        <w:rPr>
          <w:rFonts w:cs="Times New Roman"/>
          <w:szCs w:val="24"/>
        </w:rPr>
        <w:t xml:space="preserve"> </w:t>
      </w:r>
      <w:r w:rsidR="009E5076">
        <w:rPr>
          <w:rFonts w:cs="Times New Roman"/>
          <w:szCs w:val="24"/>
        </w:rPr>
        <w:t>(</w:t>
      </w:r>
      <w:r w:rsidR="009E5076" w:rsidRPr="00BC3A2D">
        <w:rPr>
          <w:rFonts w:cs="Times New Roman"/>
          <w:szCs w:val="24"/>
        </w:rPr>
        <w:t xml:space="preserve">Detaylı bilgi için </w:t>
      </w:r>
      <w:r w:rsidR="009E5076">
        <w:rPr>
          <w:rFonts w:cs="Times New Roman"/>
          <w:szCs w:val="24"/>
        </w:rPr>
        <w:t>Organik İnce</w:t>
      </w:r>
      <w:r w:rsidR="009E5076" w:rsidRPr="00BC3A2D">
        <w:rPr>
          <w:rFonts w:cs="Times New Roman"/>
          <w:szCs w:val="24"/>
        </w:rPr>
        <w:t xml:space="preserve"> Kimyasalların Üretimi İçin MET Referans Belgesinin </w:t>
      </w:r>
      <w:r w:rsidR="009E5076">
        <w:rPr>
          <w:rFonts w:cs="Times New Roman"/>
          <w:szCs w:val="24"/>
        </w:rPr>
        <w:t xml:space="preserve">4.1.6 </w:t>
      </w:r>
      <w:r w:rsidR="009E5076" w:rsidRPr="00BC3A2D">
        <w:rPr>
          <w:rFonts w:cs="Times New Roman"/>
          <w:szCs w:val="24"/>
        </w:rPr>
        <w:t>kıs</w:t>
      </w:r>
      <w:r w:rsidR="009E5076">
        <w:rPr>
          <w:rFonts w:cs="Times New Roman"/>
          <w:szCs w:val="24"/>
        </w:rPr>
        <w:t>mını</w:t>
      </w:r>
      <w:r w:rsidR="009E5076" w:rsidRPr="00BC3A2D">
        <w:rPr>
          <w:rFonts w:cs="Times New Roman"/>
          <w:szCs w:val="24"/>
        </w:rPr>
        <w:t xml:space="preserve"> inceleyiniz.)</w:t>
      </w:r>
    </w:p>
    <w:p w14:paraId="1957B57C" w14:textId="784D0D24" w:rsidR="009F130A"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4: </w:t>
      </w:r>
      <w:r w:rsidRPr="00F50C10">
        <w:rPr>
          <w:rFonts w:cs="Times New Roman"/>
          <w:szCs w:val="24"/>
          <w:lang w:val="tr-TR"/>
        </w:rPr>
        <w:t>Bir prosesin yeterince kontrol edilebilmesini sağlamak için aşağıdaki tekniklerden biri</w:t>
      </w:r>
      <w:r w:rsidR="008A7396" w:rsidRPr="00F50C10">
        <w:rPr>
          <w:rFonts w:cs="Times New Roman"/>
          <w:szCs w:val="24"/>
          <w:lang w:val="tr-TR"/>
        </w:rPr>
        <w:t xml:space="preserve"> </w:t>
      </w:r>
      <w:r w:rsidRPr="00F50C10">
        <w:rPr>
          <w:rFonts w:cs="Times New Roman"/>
          <w:szCs w:val="24"/>
          <w:lang w:val="tr-TR"/>
        </w:rPr>
        <w:t>veya birkaçı birlikte uygula</w:t>
      </w:r>
      <w:r w:rsidR="008A7396" w:rsidRPr="00F50C10">
        <w:rPr>
          <w:rFonts w:cs="Times New Roman"/>
          <w:szCs w:val="24"/>
          <w:lang w:val="tr-TR"/>
        </w:rPr>
        <w:t>n</w:t>
      </w:r>
      <w:r w:rsidRPr="00F50C10">
        <w:rPr>
          <w:rFonts w:cs="Times New Roman"/>
          <w:szCs w:val="24"/>
          <w:lang w:val="tr-TR"/>
        </w:rPr>
        <w:t>ır</w:t>
      </w:r>
      <w:r w:rsidR="009F130A" w:rsidRPr="00F50C10">
        <w:rPr>
          <w:rFonts w:cs="Times New Roman"/>
          <w:szCs w:val="24"/>
          <w:lang w:val="tr-TR"/>
        </w:rPr>
        <w:t>:</w:t>
      </w:r>
      <w:r w:rsidR="009E5076" w:rsidRPr="009E5076">
        <w:rPr>
          <w:rFonts w:cs="Times New Roman"/>
          <w:szCs w:val="24"/>
          <w:lang w:val="tr-TR"/>
        </w:rPr>
        <w:t xml:space="preserve"> (Detaylı bilgi için Organik İnce Kimyasalların Üretimi İçin MET Referans Belgesinin 4.1.</w:t>
      </w:r>
      <w:r w:rsidR="009E5076">
        <w:rPr>
          <w:rFonts w:cs="Times New Roman"/>
          <w:szCs w:val="24"/>
          <w:lang w:val="tr-TR"/>
        </w:rPr>
        <w:t>6.1</w:t>
      </w:r>
      <w:r w:rsidR="009E5076" w:rsidRPr="009E5076">
        <w:rPr>
          <w:rFonts w:cs="Times New Roman"/>
          <w:szCs w:val="24"/>
          <w:lang w:val="tr-TR"/>
        </w:rPr>
        <w:t xml:space="preserve"> kısmını inceleyiniz.)</w:t>
      </w:r>
    </w:p>
    <w:p w14:paraId="2801BBFB" w14:textId="2425464B" w:rsidR="00496ADC" w:rsidRPr="00F50C10" w:rsidRDefault="00496ADC" w:rsidP="00A654AE">
      <w:pPr>
        <w:widowControl w:val="0"/>
        <w:numPr>
          <w:ilvl w:val="0"/>
          <w:numId w:val="50"/>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 xml:space="preserve">organizasyonel </w:t>
      </w:r>
      <w:r w:rsidR="00230664" w:rsidRPr="00F50C10">
        <w:rPr>
          <w:rFonts w:eastAsia="Times New Roman" w:cs="Times New Roman"/>
          <w:szCs w:val="24"/>
          <w:lang w:val="tr-TR"/>
        </w:rPr>
        <w:t>önlemler</w:t>
      </w:r>
      <w:r w:rsidR="004F4690" w:rsidRPr="00F50C10">
        <w:rPr>
          <w:rFonts w:eastAsia="Times New Roman" w:cs="Times New Roman"/>
          <w:szCs w:val="24"/>
          <w:lang w:val="tr-TR"/>
        </w:rPr>
        <w:t>,</w:t>
      </w:r>
    </w:p>
    <w:p w14:paraId="659545CD" w14:textId="09A87A08" w:rsidR="00496ADC" w:rsidRPr="00F50C10" w:rsidRDefault="00496ADC" w:rsidP="00A654AE">
      <w:pPr>
        <w:widowControl w:val="0"/>
        <w:numPr>
          <w:ilvl w:val="0"/>
          <w:numId w:val="50"/>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 xml:space="preserve">kontrol mühendisliği tekniklerini içeren </w:t>
      </w:r>
      <w:r w:rsidR="009F130A" w:rsidRPr="00F50C10">
        <w:rPr>
          <w:rFonts w:eastAsia="Times New Roman" w:cs="Times New Roman"/>
          <w:szCs w:val="24"/>
          <w:lang w:val="tr-TR"/>
        </w:rPr>
        <w:t>yaklaşımlar</w:t>
      </w:r>
      <w:r w:rsidR="004F4690" w:rsidRPr="00F50C10">
        <w:rPr>
          <w:rFonts w:eastAsia="Times New Roman" w:cs="Times New Roman"/>
          <w:szCs w:val="24"/>
          <w:lang w:val="tr-TR"/>
        </w:rPr>
        <w:t>,</w:t>
      </w:r>
    </w:p>
    <w:p w14:paraId="2AA3BD77" w14:textId="3B481DD3" w:rsidR="00496ADC" w:rsidRPr="00F50C10" w:rsidRDefault="004F4690" w:rsidP="00A654AE">
      <w:pPr>
        <w:widowControl w:val="0"/>
        <w:numPr>
          <w:ilvl w:val="0"/>
          <w:numId w:val="50"/>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tepkime</w:t>
      </w:r>
      <w:r w:rsidR="00496ADC" w:rsidRPr="00F50C10">
        <w:rPr>
          <w:rFonts w:eastAsia="Times New Roman" w:cs="Times New Roman"/>
          <w:szCs w:val="24"/>
          <w:lang w:val="tr-TR"/>
        </w:rPr>
        <w:t xml:space="preserve"> durdurucular (örneğin nötralizasyon, söndürme)</w:t>
      </w:r>
      <w:r w:rsidRPr="00F50C10">
        <w:rPr>
          <w:rFonts w:eastAsia="Times New Roman" w:cs="Times New Roman"/>
          <w:szCs w:val="24"/>
          <w:lang w:val="tr-TR"/>
        </w:rPr>
        <w:t>,</w:t>
      </w:r>
    </w:p>
    <w:p w14:paraId="66A83899" w14:textId="7D4F71A4" w:rsidR="00496ADC" w:rsidRPr="00F50C10" w:rsidRDefault="00496ADC" w:rsidP="00A654AE">
      <w:pPr>
        <w:widowControl w:val="0"/>
        <w:numPr>
          <w:ilvl w:val="0"/>
          <w:numId w:val="50"/>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 xml:space="preserve">acil </w:t>
      </w:r>
      <w:r w:rsidR="009F130A" w:rsidRPr="00F50C10">
        <w:rPr>
          <w:rFonts w:eastAsia="Times New Roman" w:cs="Times New Roman"/>
          <w:szCs w:val="24"/>
          <w:lang w:val="tr-TR"/>
        </w:rPr>
        <w:t xml:space="preserve">durum </w:t>
      </w:r>
      <w:r w:rsidRPr="00F50C10">
        <w:rPr>
          <w:rFonts w:eastAsia="Times New Roman" w:cs="Times New Roman"/>
          <w:szCs w:val="24"/>
          <w:lang w:val="tr-TR"/>
        </w:rPr>
        <w:t>soğutma</w:t>
      </w:r>
      <w:r w:rsidR="009F130A" w:rsidRPr="00F50C10">
        <w:rPr>
          <w:rFonts w:eastAsia="Times New Roman" w:cs="Times New Roman"/>
          <w:szCs w:val="24"/>
          <w:lang w:val="tr-TR"/>
        </w:rPr>
        <w:t>sı</w:t>
      </w:r>
      <w:r w:rsidR="004F4690" w:rsidRPr="00F50C10">
        <w:rPr>
          <w:rFonts w:eastAsia="Times New Roman" w:cs="Times New Roman"/>
          <w:szCs w:val="24"/>
          <w:lang w:val="tr-TR"/>
        </w:rPr>
        <w:t>,</w:t>
      </w:r>
    </w:p>
    <w:p w14:paraId="626D617A" w14:textId="4AD78ACA" w:rsidR="004F4690" w:rsidRPr="00F50C10" w:rsidRDefault="00496ADC" w:rsidP="00A654AE">
      <w:pPr>
        <w:widowControl w:val="0"/>
        <w:numPr>
          <w:ilvl w:val="0"/>
          <w:numId w:val="50"/>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basınca dayanıklı yapı</w:t>
      </w:r>
      <w:r w:rsidR="004F4690" w:rsidRPr="00F50C10">
        <w:rPr>
          <w:rFonts w:eastAsia="Times New Roman" w:cs="Times New Roman"/>
          <w:szCs w:val="24"/>
          <w:lang w:val="tr-TR"/>
        </w:rPr>
        <w:t>,</w:t>
      </w:r>
    </w:p>
    <w:p w14:paraId="5CEF42ED" w14:textId="3183E795" w:rsidR="00496ADC" w:rsidRDefault="00496ADC" w:rsidP="00A654AE">
      <w:pPr>
        <w:widowControl w:val="0"/>
        <w:numPr>
          <w:ilvl w:val="0"/>
          <w:numId w:val="50"/>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basınç tahliyesi.</w:t>
      </w:r>
    </w:p>
    <w:p w14:paraId="2C57FE38" w14:textId="65AAD9C5" w:rsidR="009E5076" w:rsidRPr="00F50C10" w:rsidRDefault="009E5076" w:rsidP="000B206D">
      <w:pPr>
        <w:widowControl w:val="0"/>
        <w:autoSpaceDE w:val="0"/>
        <w:autoSpaceDN w:val="0"/>
        <w:spacing w:before="120" w:after="60" w:line="276" w:lineRule="auto"/>
        <w:jc w:val="left"/>
        <w:rPr>
          <w:rFonts w:eastAsia="Times New Roman" w:cs="Times New Roman"/>
          <w:szCs w:val="24"/>
          <w:lang w:val="tr-TR"/>
        </w:rPr>
      </w:pPr>
      <w:r w:rsidRPr="00F50C10">
        <w:rPr>
          <w:rFonts w:cs="Times New Roman"/>
          <w:b/>
          <w:bCs/>
          <w:szCs w:val="24"/>
          <w:lang w:val="tr-TR"/>
        </w:rPr>
        <w:t xml:space="preserve">MET </w:t>
      </w:r>
      <w:r>
        <w:rPr>
          <w:rFonts w:cs="Times New Roman"/>
          <w:b/>
          <w:bCs/>
          <w:szCs w:val="24"/>
          <w:lang w:val="tr-TR"/>
        </w:rPr>
        <w:t>5</w:t>
      </w:r>
      <w:r w:rsidRPr="00F50C10">
        <w:rPr>
          <w:rFonts w:cs="Times New Roman"/>
          <w:b/>
          <w:bCs/>
          <w:szCs w:val="24"/>
          <w:lang w:val="tr-TR"/>
        </w:rPr>
        <w:t>:</w:t>
      </w:r>
      <w:r w:rsidRPr="009E5076">
        <w:t xml:space="preserve"> </w:t>
      </w:r>
      <w:r w:rsidR="0068073E" w:rsidRPr="00F50C10">
        <w:rPr>
          <w:rFonts w:cs="Times New Roman"/>
          <w:szCs w:val="24"/>
          <w:lang w:val="tr-TR"/>
        </w:rPr>
        <w:t>Tehlikeli maddelerin taşınması ve depolanmasından kaynaklanan riskleri azaltmak için prosedürler ve teknik önlemler oluşturulur ve uygulanır.</w:t>
      </w:r>
      <w:r w:rsidRPr="009E5076">
        <w:rPr>
          <w:rFonts w:cs="Times New Roman"/>
          <w:szCs w:val="24"/>
          <w:lang w:val="tr-TR"/>
        </w:rPr>
        <w:t xml:space="preserve"> (Detaylı bilgi için Organik İnce Kimyasalların Üretimi İçin MET Referans Belgesinin 4.</w:t>
      </w:r>
      <w:r>
        <w:rPr>
          <w:rFonts w:cs="Times New Roman"/>
          <w:szCs w:val="24"/>
          <w:lang w:val="tr-TR"/>
        </w:rPr>
        <w:t>2.30</w:t>
      </w:r>
      <w:r w:rsidRPr="009E5076">
        <w:rPr>
          <w:rFonts w:cs="Times New Roman"/>
          <w:szCs w:val="24"/>
          <w:lang w:val="tr-TR"/>
        </w:rPr>
        <w:t xml:space="preserve"> kısmını inceleyiniz.</w:t>
      </w:r>
      <w:r>
        <w:rPr>
          <w:rFonts w:cs="Times New Roman"/>
          <w:szCs w:val="24"/>
          <w:lang w:val="tr-TR"/>
        </w:rPr>
        <w:t>)</w:t>
      </w:r>
    </w:p>
    <w:p w14:paraId="2CB147B8" w14:textId="070480FB" w:rsidR="005C5574" w:rsidRDefault="009E5076" w:rsidP="000B206D">
      <w:pPr>
        <w:spacing w:before="120" w:after="60" w:line="276" w:lineRule="auto"/>
        <w:rPr>
          <w:rFonts w:cs="Times New Roman"/>
          <w:b/>
          <w:bCs/>
          <w:szCs w:val="24"/>
          <w:lang w:val="tr-TR"/>
        </w:rPr>
      </w:pPr>
      <w:r w:rsidRPr="00F50C10">
        <w:rPr>
          <w:rFonts w:cs="Times New Roman"/>
          <w:b/>
          <w:bCs/>
          <w:szCs w:val="24"/>
          <w:lang w:val="tr-TR"/>
        </w:rPr>
        <w:t xml:space="preserve">MET </w:t>
      </w:r>
      <w:r>
        <w:rPr>
          <w:rFonts w:cs="Times New Roman"/>
          <w:b/>
          <w:bCs/>
          <w:szCs w:val="24"/>
          <w:lang w:val="tr-TR"/>
        </w:rPr>
        <w:t>6</w:t>
      </w:r>
      <w:r w:rsidRPr="00F50C10">
        <w:rPr>
          <w:rFonts w:cs="Times New Roman"/>
          <w:b/>
          <w:bCs/>
          <w:szCs w:val="24"/>
          <w:lang w:val="tr-TR"/>
        </w:rPr>
        <w:t xml:space="preserve">: </w:t>
      </w:r>
      <w:r w:rsidR="0068073E" w:rsidRPr="00F50C10">
        <w:rPr>
          <w:rFonts w:cs="Times New Roman"/>
          <w:szCs w:val="24"/>
          <w:lang w:val="tr-TR"/>
        </w:rPr>
        <w:t>Tehlikeli maddelerle uğraşan operatörlere yeterli eğitim verilir.</w:t>
      </w:r>
      <w:r w:rsidR="005C5574" w:rsidRPr="005C5574">
        <w:rPr>
          <w:rFonts w:cs="Times New Roman"/>
          <w:szCs w:val="24"/>
          <w:lang w:val="tr-TR"/>
        </w:rPr>
        <w:t xml:space="preserve"> (</w:t>
      </w:r>
      <w:r w:rsidR="005C5574" w:rsidRPr="009E5076">
        <w:rPr>
          <w:rFonts w:cs="Times New Roman"/>
          <w:szCs w:val="24"/>
          <w:lang w:val="tr-TR"/>
        </w:rPr>
        <w:t>Detaylı bilgi için Organik İnce Kimyasalların Üretimi İçin MET Referans Belgesinin 4.</w:t>
      </w:r>
      <w:r w:rsidR="005C5574">
        <w:rPr>
          <w:rFonts w:cs="Times New Roman"/>
          <w:szCs w:val="24"/>
          <w:lang w:val="tr-TR"/>
        </w:rPr>
        <w:t>2.29</w:t>
      </w:r>
      <w:r w:rsidR="005C5574" w:rsidRPr="009E5076">
        <w:rPr>
          <w:rFonts w:cs="Times New Roman"/>
          <w:szCs w:val="24"/>
          <w:lang w:val="tr-TR"/>
        </w:rPr>
        <w:t xml:space="preserve"> kısmını inceleyiniz</w:t>
      </w:r>
      <w:r w:rsidR="005C5574">
        <w:rPr>
          <w:rFonts w:cs="Times New Roman"/>
          <w:szCs w:val="24"/>
          <w:lang w:val="tr-TR"/>
        </w:rPr>
        <w:t>.)</w:t>
      </w:r>
    </w:p>
    <w:p w14:paraId="2E58F0F7" w14:textId="292B3496" w:rsidR="00496ADC" w:rsidRPr="00F50C10" w:rsidRDefault="00496ADC" w:rsidP="00A654AE">
      <w:pPr>
        <w:pStyle w:val="ListeParagraf"/>
        <w:widowControl w:val="0"/>
        <w:numPr>
          <w:ilvl w:val="1"/>
          <w:numId w:val="135"/>
        </w:numPr>
        <w:autoSpaceDE w:val="0"/>
        <w:autoSpaceDN w:val="0"/>
        <w:spacing w:before="120" w:after="60" w:line="276" w:lineRule="auto"/>
        <w:jc w:val="left"/>
        <w:outlineLvl w:val="1"/>
        <w:rPr>
          <w:rFonts w:eastAsia="Arial" w:cs="Times New Roman"/>
          <w:b/>
          <w:bCs/>
          <w:szCs w:val="24"/>
          <w:lang w:val="tr-TR"/>
        </w:rPr>
      </w:pPr>
      <w:bookmarkStart w:id="122" w:name="_Toc135050216"/>
      <w:bookmarkStart w:id="123" w:name="_Toc135141994"/>
      <w:bookmarkStart w:id="124" w:name="_Toc135142071"/>
      <w:bookmarkStart w:id="125" w:name="_Toc135229431"/>
      <w:r w:rsidRPr="00F50C10">
        <w:rPr>
          <w:rFonts w:eastAsia="Arial" w:cs="Times New Roman"/>
          <w:b/>
          <w:bCs/>
          <w:szCs w:val="24"/>
          <w:lang w:val="tr-TR"/>
        </w:rPr>
        <w:t>Çevresel Etkinin En Aza İndirilmesi</w:t>
      </w:r>
      <w:bookmarkEnd w:id="122"/>
      <w:bookmarkEnd w:id="123"/>
      <w:bookmarkEnd w:id="124"/>
      <w:bookmarkEnd w:id="125"/>
    </w:p>
    <w:p w14:paraId="25210122" w14:textId="77777777" w:rsidR="00496ADC" w:rsidRPr="00F50C10" w:rsidRDefault="00496ADC"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bookmarkStart w:id="126" w:name="_Toc135050217"/>
      <w:bookmarkStart w:id="127" w:name="_Toc135141995"/>
      <w:bookmarkStart w:id="128" w:name="_Toc135142072"/>
      <w:bookmarkStart w:id="129" w:name="_Toc135229432"/>
      <w:r w:rsidRPr="00F50C10">
        <w:rPr>
          <w:rFonts w:eastAsia="Times New Roman" w:cs="Times New Roman"/>
          <w:b/>
          <w:bCs/>
          <w:szCs w:val="24"/>
          <w:lang w:val="tr-TR"/>
        </w:rPr>
        <w:t>Tesis tasarımı</w:t>
      </w:r>
      <w:bookmarkEnd w:id="126"/>
      <w:bookmarkEnd w:id="127"/>
      <w:bookmarkEnd w:id="128"/>
      <w:bookmarkEnd w:id="129"/>
    </w:p>
    <w:p w14:paraId="7E35412D" w14:textId="0B981157"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7: </w:t>
      </w:r>
      <w:r w:rsidR="00230664" w:rsidRPr="00F50C10">
        <w:rPr>
          <w:rFonts w:cs="Times New Roman"/>
          <w:szCs w:val="24"/>
          <w:lang w:val="tr-TR"/>
        </w:rPr>
        <w:t>Yeni tesisler, a</w:t>
      </w:r>
      <w:r w:rsidRPr="00F50C10">
        <w:rPr>
          <w:rFonts w:cs="Times New Roman"/>
          <w:szCs w:val="24"/>
          <w:lang w:val="tr-TR"/>
        </w:rPr>
        <w:t>şağıdakileri teknikleri uygulayarak emisyonları en aza indirecek şekilde tasarla</w:t>
      </w:r>
      <w:r w:rsidR="00230664" w:rsidRPr="00F50C10">
        <w:rPr>
          <w:rFonts w:cs="Times New Roman"/>
          <w:szCs w:val="24"/>
          <w:lang w:val="tr-TR"/>
        </w:rPr>
        <w:t>n</w:t>
      </w:r>
      <w:r w:rsidRPr="00F50C10">
        <w:rPr>
          <w:rFonts w:cs="Times New Roman"/>
          <w:szCs w:val="24"/>
          <w:lang w:val="tr-TR"/>
        </w:rPr>
        <w:t>ır:</w:t>
      </w:r>
      <w:r w:rsidR="00A361B1">
        <w:rPr>
          <w:b/>
          <w:sz w:val="20"/>
          <w:lang w:bidi="tr-TR"/>
        </w:rPr>
        <w:t xml:space="preserve"> </w:t>
      </w:r>
      <w:r w:rsidR="00A361B1" w:rsidRPr="005C5574">
        <w:rPr>
          <w:rFonts w:cs="Times New Roman"/>
          <w:szCs w:val="24"/>
          <w:lang w:val="tr-TR"/>
        </w:rPr>
        <w:t>(</w:t>
      </w:r>
      <w:r w:rsidR="00A361B1" w:rsidRPr="009E5076">
        <w:rPr>
          <w:rFonts w:cs="Times New Roman"/>
          <w:szCs w:val="24"/>
          <w:lang w:val="tr-TR"/>
        </w:rPr>
        <w:t xml:space="preserve">Detaylı bilgi için Organik İnce Kimyasalların Üretimi İçin MET Referans Belgesinin </w:t>
      </w:r>
      <w:r w:rsidR="00A361B1" w:rsidRPr="00A361B1">
        <w:rPr>
          <w:rFonts w:cs="Times New Roman"/>
          <w:szCs w:val="24"/>
          <w:lang w:val="tr-TR"/>
        </w:rPr>
        <w:t xml:space="preserve">4.2.1, 4.2.3, 4.2.14, </w:t>
      </w:r>
      <w:hyperlink w:anchor="_bookmark251" w:history="1">
        <w:r w:rsidR="00A361B1" w:rsidRPr="00A361B1">
          <w:rPr>
            <w:rFonts w:cs="Times New Roman"/>
            <w:szCs w:val="24"/>
            <w:lang w:val="tr-TR"/>
          </w:rPr>
          <w:t>4.2.15</w:t>
        </w:r>
      </w:hyperlink>
      <w:r w:rsidR="00A361B1" w:rsidRPr="00A361B1">
        <w:rPr>
          <w:rFonts w:cs="Times New Roman"/>
          <w:szCs w:val="24"/>
          <w:lang w:val="tr-TR"/>
        </w:rPr>
        <w:t xml:space="preserve">, </w:t>
      </w:r>
      <w:hyperlink w:anchor="_bookmark259" w:history="1">
        <w:r w:rsidR="00A361B1" w:rsidRPr="00A361B1">
          <w:rPr>
            <w:rFonts w:cs="Times New Roman"/>
            <w:szCs w:val="24"/>
            <w:lang w:val="tr-TR"/>
          </w:rPr>
          <w:t>4.2.21</w:t>
        </w:r>
      </w:hyperlink>
      <w:r w:rsidR="00A361B1">
        <w:rPr>
          <w:rFonts w:cs="Times New Roman"/>
          <w:szCs w:val="24"/>
          <w:lang w:val="tr-TR"/>
        </w:rPr>
        <w:t xml:space="preserve"> </w:t>
      </w:r>
      <w:r w:rsidR="00A361B1" w:rsidRPr="009E5076">
        <w:rPr>
          <w:rFonts w:cs="Times New Roman"/>
          <w:szCs w:val="24"/>
          <w:lang w:val="tr-TR"/>
        </w:rPr>
        <w:t>kıs</w:t>
      </w:r>
      <w:r w:rsidR="00A361B1">
        <w:rPr>
          <w:rFonts w:cs="Times New Roman"/>
          <w:szCs w:val="24"/>
          <w:lang w:val="tr-TR"/>
        </w:rPr>
        <w:t xml:space="preserve">ımlarını </w:t>
      </w:r>
      <w:r w:rsidR="00A361B1" w:rsidRPr="009E5076">
        <w:rPr>
          <w:rFonts w:cs="Times New Roman"/>
          <w:szCs w:val="24"/>
          <w:lang w:val="tr-TR"/>
        </w:rPr>
        <w:t>inceleyiniz</w:t>
      </w:r>
      <w:r w:rsidR="00A361B1">
        <w:rPr>
          <w:rFonts w:cs="Times New Roman"/>
          <w:szCs w:val="24"/>
          <w:lang w:val="tr-TR"/>
        </w:rPr>
        <w:t>.)</w:t>
      </w:r>
      <w:r w:rsidR="00A361B1" w:rsidRPr="00F50C10">
        <w:rPr>
          <w:rFonts w:cs="Times New Roman"/>
          <w:b/>
          <w:bCs/>
          <w:szCs w:val="24"/>
          <w:lang w:val="tr-TR"/>
        </w:rPr>
        <w:t xml:space="preserve"> </w:t>
      </w:r>
    </w:p>
    <w:p w14:paraId="5C1254A8" w14:textId="77777777" w:rsidR="00496ADC" w:rsidRPr="00F50C10" w:rsidRDefault="00496ADC" w:rsidP="00A654AE">
      <w:pPr>
        <w:widowControl w:val="0"/>
        <w:numPr>
          <w:ilvl w:val="0"/>
          <w:numId w:val="51"/>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kapalı ve sızdırmaz ekipmanların kullanılması</w:t>
      </w:r>
    </w:p>
    <w:p w14:paraId="46468DDE" w14:textId="5B74A45C" w:rsidR="00496ADC" w:rsidRPr="00F50C10" w:rsidRDefault="00496ADC" w:rsidP="00A654AE">
      <w:pPr>
        <w:widowControl w:val="0"/>
        <w:numPr>
          <w:ilvl w:val="0"/>
          <w:numId w:val="51"/>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üretim binasının kapat</w:t>
      </w:r>
      <w:r w:rsidR="00594F88" w:rsidRPr="00F50C10">
        <w:rPr>
          <w:rFonts w:eastAsia="Times New Roman" w:cs="Times New Roman"/>
          <w:szCs w:val="24"/>
          <w:lang w:val="tr-TR"/>
        </w:rPr>
        <w:t>ılarak</w:t>
      </w:r>
      <w:r w:rsidRPr="00F50C10">
        <w:rPr>
          <w:rFonts w:eastAsia="Times New Roman" w:cs="Times New Roman"/>
          <w:szCs w:val="24"/>
          <w:lang w:val="tr-TR"/>
        </w:rPr>
        <w:t xml:space="preserve"> mekanik </w:t>
      </w:r>
      <w:r w:rsidR="00594F88" w:rsidRPr="00F50C10">
        <w:rPr>
          <w:rFonts w:eastAsia="Times New Roman" w:cs="Times New Roman"/>
          <w:szCs w:val="24"/>
          <w:lang w:val="tr-TR"/>
        </w:rPr>
        <w:t>bir şekilde</w:t>
      </w:r>
      <w:r w:rsidRPr="00F50C10">
        <w:rPr>
          <w:rFonts w:eastAsia="Times New Roman" w:cs="Times New Roman"/>
          <w:szCs w:val="24"/>
          <w:lang w:val="tr-TR"/>
        </w:rPr>
        <w:t xml:space="preserve"> havalandırılması</w:t>
      </w:r>
    </w:p>
    <w:p w14:paraId="1BBD5983" w14:textId="328FF521" w:rsidR="00496ADC" w:rsidRPr="00F50C10" w:rsidRDefault="00594F88" w:rsidP="00A654AE">
      <w:pPr>
        <w:widowControl w:val="0"/>
        <w:numPr>
          <w:ilvl w:val="0"/>
          <w:numId w:val="51"/>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u</w:t>
      </w:r>
      <w:r w:rsidR="00496ADC" w:rsidRPr="00F50C10">
        <w:rPr>
          <w:rFonts w:eastAsia="Times New Roman" w:cs="Times New Roman"/>
          <w:szCs w:val="24"/>
          <w:lang w:val="tr-TR"/>
        </w:rPr>
        <w:t>çucu organik bileşiklerin (UOB) kullanıldığı proses ekipmanları için inert gaz örtüsü kullanılması</w:t>
      </w:r>
    </w:p>
    <w:p w14:paraId="4A1FC497" w14:textId="5C83634C" w:rsidR="00496ADC" w:rsidRPr="00F50C10" w:rsidRDefault="00496ADC" w:rsidP="00A654AE">
      <w:pPr>
        <w:widowControl w:val="0"/>
        <w:numPr>
          <w:ilvl w:val="0"/>
          <w:numId w:val="51"/>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 xml:space="preserve">çözücü geri kazanımı için reaktörlerin bir veya daha fazla </w:t>
      </w:r>
      <w:r w:rsidR="00594F88" w:rsidRPr="00F50C10">
        <w:rPr>
          <w:rFonts w:eastAsia="Times New Roman" w:cs="Times New Roman"/>
          <w:szCs w:val="24"/>
          <w:lang w:val="tr-TR"/>
        </w:rPr>
        <w:t>yoğuşturucuya</w:t>
      </w:r>
      <w:r w:rsidRPr="00F50C10">
        <w:rPr>
          <w:rFonts w:eastAsia="Times New Roman" w:cs="Times New Roman"/>
          <w:szCs w:val="24"/>
          <w:lang w:val="tr-TR"/>
        </w:rPr>
        <w:t xml:space="preserve"> bağlanması</w:t>
      </w:r>
    </w:p>
    <w:p w14:paraId="3FC5B211" w14:textId="3A940C53" w:rsidR="00496ADC" w:rsidRPr="00F50C10" w:rsidRDefault="00594F88" w:rsidP="00A654AE">
      <w:pPr>
        <w:widowControl w:val="0"/>
        <w:numPr>
          <w:ilvl w:val="0"/>
          <w:numId w:val="51"/>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yoğuşturucuların</w:t>
      </w:r>
      <w:r w:rsidR="00496ADC" w:rsidRPr="00F50C10">
        <w:rPr>
          <w:rFonts w:eastAsia="Times New Roman" w:cs="Times New Roman"/>
          <w:szCs w:val="24"/>
          <w:lang w:val="tr-TR"/>
        </w:rPr>
        <w:t xml:space="preserve"> geri kazanım/azaltma sistemine bağlanması</w:t>
      </w:r>
    </w:p>
    <w:p w14:paraId="1E4D0E85" w14:textId="7D277733" w:rsidR="00496ADC" w:rsidRPr="00F50C10" w:rsidRDefault="00496ADC" w:rsidP="00A654AE">
      <w:pPr>
        <w:widowControl w:val="0"/>
        <w:numPr>
          <w:ilvl w:val="0"/>
          <w:numId w:val="51"/>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pompalar yerine yer çekimi akışının kullanılması (pompalar önemli bir kaçak emisyon kaynağı olabil</w:t>
      </w:r>
      <w:r w:rsidR="00594F88" w:rsidRPr="00F50C10">
        <w:rPr>
          <w:rFonts w:eastAsia="Times New Roman" w:cs="Times New Roman"/>
          <w:szCs w:val="24"/>
          <w:lang w:val="tr-TR"/>
        </w:rPr>
        <w:t>mektedir</w:t>
      </w:r>
      <w:r w:rsidRPr="00F50C10">
        <w:rPr>
          <w:rFonts w:eastAsia="Times New Roman" w:cs="Times New Roman"/>
          <w:szCs w:val="24"/>
          <w:lang w:val="tr-TR"/>
        </w:rPr>
        <w:t>)</w:t>
      </w:r>
    </w:p>
    <w:p w14:paraId="0D32BDB7" w14:textId="77777777" w:rsidR="00496ADC" w:rsidRPr="00F50C10" w:rsidRDefault="00496ADC" w:rsidP="00A654AE">
      <w:pPr>
        <w:widowControl w:val="0"/>
        <w:numPr>
          <w:ilvl w:val="0"/>
          <w:numId w:val="51"/>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atık su akışlarının ayrıştırılmasının ve seçici olarak arıtılmasının sağlanması</w:t>
      </w:r>
    </w:p>
    <w:p w14:paraId="6EA4CE33" w14:textId="77777777" w:rsidR="00496ADC" w:rsidRPr="00F50C10" w:rsidRDefault="00496ADC" w:rsidP="00A654AE">
      <w:pPr>
        <w:widowControl w:val="0"/>
        <w:numPr>
          <w:ilvl w:val="0"/>
          <w:numId w:val="51"/>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istikrarlı ve verimli bir işletim sağlamak için modern bir proses kontrol sisteminin uygulanmasıyla yüksek derecede otomasyon sağlanması.</w:t>
      </w:r>
    </w:p>
    <w:p w14:paraId="4387679F" w14:textId="77777777" w:rsidR="00496ADC" w:rsidRPr="00F50C10" w:rsidRDefault="00496ADC"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bookmarkStart w:id="130" w:name="_Toc135050218"/>
      <w:bookmarkStart w:id="131" w:name="_Toc135141996"/>
      <w:bookmarkStart w:id="132" w:name="_Toc135142073"/>
      <w:bookmarkStart w:id="133" w:name="_Toc135229433"/>
      <w:r w:rsidRPr="00F50C10">
        <w:rPr>
          <w:rFonts w:eastAsia="Times New Roman" w:cs="Times New Roman"/>
          <w:b/>
          <w:bCs/>
          <w:szCs w:val="24"/>
          <w:lang w:val="tr-TR"/>
        </w:rPr>
        <w:t>Zemin koruma ve su tutma</w:t>
      </w:r>
      <w:bookmarkEnd w:id="130"/>
      <w:bookmarkEnd w:id="131"/>
      <w:bookmarkEnd w:id="132"/>
      <w:bookmarkEnd w:id="133"/>
    </w:p>
    <w:p w14:paraId="6C3BCD66" w14:textId="5636D387" w:rsidR="007C76D4"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8: </w:t>
      </w:r>
      <w:r w:rsidRPr="00F50C10">
        <w:rPr>
          <w:rFonts w:cs="Times New Roman"/>
          <w:szCs w:val="24"/>
          <w:lang w:val="tr-TR"/>
        </w:rPr>
        <w:t xml:space="preserve">Zemin ve yer altı suları için kontaminasyon riski teşkil edebilecek maddelerin (genellikle sıvılar) kullanıldığı tesisler, </w:t>
      </w:r>
      <w:r w:rsidR="00AD244D" w:rsidRPr="00F50C10">
        <w:rPr>
          <w:rFonts w:cs="Times New Roman"/>
          <w:szCs w:val="24"/>
          <w:lang w:val="tr-TR"/>
        </w:rPr>
        <w:t>sızıntı</w:t>
      </w:r>
      <w:r w:rsidRPr="00F50C10">
        <w:rPr>
          <w:rFonts w:cs="Times New Roman"/>
          <w:szCs w:val="24"/>
          <w:lang w:val="tr-TR"/>
        </w:rPr>
        <w:t xml:space="preserve"> ihtimalini en aza indirecek şekilde tasarl</w:t>
      </w:r>
      <w:r w:rsidR="00672E8E" w:rsidRPr="00F50C10">
        <w:rPr>
          <w:rFonts w:cs="Times New Roman"/>
          <w:szCs w:val="24"/>
          <w:lang w:val="tr-TR"/>
        </w:rPr>
        <w:t>anır</w:t>
      </w:r>
      <w:r w:rsidRPr="00F50C10">
        <w:rPr>
          <w:rFonts w:cs="Times New Roman"/>
          <w:szCs w:val="24"/>
          <w:lang w:val="tr-TR"/>
        </w:rPr>
        <w:t>, inşa e</w:t>
      </w:r>
      <w:r w:rsidR="00672E8E" w:rsidRPr="00F50C10">
        <w:rPr>
          <w:rFonts w:cs="Times New Roman"/>
          <w:szCs w:val="24"/>
          <w:lang w:val="tr-TR"/>
        </w:rPr>
        <w:t>dilir</w:t>
      </w:r>
      <w:r w:rsidRPr="00F50C10">
        <w:rPr>
          <w:rFonts w:cs="Times New Roman"/>
          <w:szCs w:val="24"/>
          <w:lang w:val="tr-TR"/>
        </w:rPr>
        <w:t>, işlet</w:t>
      </w:r>
      <w:r w:rsidR="00672E8E" w:rsidRPr="00F50C10">
        <w:rPr>
          <w:rFonts w:cs="Times New Roman"/>
          <w:szCs w:val="24"/>
          <w:lang w:val="tr-TR"/>
        </w:rPr>
        <w:t>ilir</w:t>
      </w:r>
      <w:r w:rsidRPr="00F50C10">
        <w:rPr>
          <w:rFonts w:cs="Times New Roman"/>
          <w:szCs w:val="24"/>
          <w:lang w:val="tr-TR"/>
        </w:rPr>
        <w:t xml:space="preserve"> ve bakım</w:t>
      </w:r>
      <w:r w:rsidR="00672E8E" w:rsidRPr="00F50C10">
        <w:rPr>
          <w:rFonts w:cs="Times New Roman"/>
          <w:szCs w:val="24"/>
          <w:lang w:val="tr-TR"/>
        </w:rPr>
        <w:t>ı</w:t>
      </w:r>
      <w:r w:rsidRPr="00F50C10">
        <w:rPr>
          <w:rFonts w:cs="Times New Roman"/>
          <w:szCs w:val="24"/>
          <w:lang w:val="tr-TR"/>
        </w:rPr>
        <w:t xml:space="preserve"> yap</w:t>
      </w:r>
      <w:r w:rsidR="00672E8E" w:rsidRPr="00F50C10">
        <w:rPr>
          <w:rFonts w:cs="Times New Roman"/>
          <w:szCs w:val="24"/>
          <w:lang w:val="tr-TR"/>
        </w:rPr>
        <w:t>ılı</w:t>
      </w:r>
      <w:r w:rsidRPr="00F50C10">
        <w:rPr>
          <w:rFonts w:cs="Times New Roman"/>
          <w:szCs w:val="24"/>
          <w:lang w:val="tr-TR"/>
        </w:rPr>
        <w:t>r. Tesisler sızdırmaz, sağlam ve olası mekanik, termal veya kimyasal strese karşı yeterli dayanıklılığa sahip olmalıdır.</w:t>
      </w:r>
      <w:r w:rsidR="00142F0C" w:rsidRPr="00F50C10">
        <w:rPr>
          <w:rFonts w:cs="Times New Roman"/>
          <w:szCs w:val="24"/>
          <w:lang w:val="tr-TR"/>
        </w:rPr>
        <w:t xml:space="preserve"> </w:t>
      </w:r>
      <w:r w:rsidR="007C76D4" w:rsidRPr="005C5574">
        <w:rPr>
          <w:rFonts w:cs="Times New Roman"/>
          <w:szCs w:val="24"/>
          <w:lang w:val="tr-TR"/>
        </w:rPr>
        <w:t>(</w:t>
      </w:r>
      <w:r w:rsidR="007C76D4" w:rsidRPr="009E5076">
        <w:rPr>
          <w:rFonts w:cs="Times New Roman"/>
          <w:szCs w:val="24"/>
          <w:lang w:val="tr-TR"/>
        </w:rPr>
        <w:t>Detaylı bilgi için Organik İnce Kimyasalların Üretimi İçin MET Referans Belgesinin 4.</w:t>
      </w:r>
      <w:r w:rsidR="007C76D4">
        <w:rPr>
          <w:rFonts w:cs="Times New Roman"/>
          <w:szCs w:val="24"/>
          <w:lang w:val="tr-TR"/>
        </w:rPr>
        <w:t>2.27</w:t>
      </w:r>
      <w:r w:rsidR="007C76D4" w:rsidRPr="009E5076">
        <w:rPr>
          <w:rFonts w:cs="Times New Roman"/>
          <w:szCs w:val="24"/>
          <w:lang w:val="tr-TR"/>
        </w:rPr>
        <w:t xml:space="preserve"> kısmını inceleyiniz</w:t>
      </w:r>
      <w:r w:rsidR="007C76D4">
        <w:rPr>
          <w:rFonts w:cs="Times New Roman"/>
          <w:szCs w:val="24"/>
          <w:lang w:val="tr-TR"/>
        </w:rPr>
        <w:t>.)</w:t>
      </w:r>
    </w:p>
    <w:p w14:paraId="6AF17202" w14:textId="1297387B" w:rsidR="007C76D4"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9: </w:t>
      </w:r>
      <w:r w:rsidRPr="00F50C10">
        <w:rPr>
          <w:rFonts w:cs="Times New Roman"/>
          <w:szCs w:val="24"/>
          <w:lang w:val="tr-TR"/>
        </w:rPr>
        <w:t xml:space="preserve">Sızıntıların hızlı ve güvenilir bir şekilde </w:t>
      </w:r>
      <w:r w:rsidR="00661630" w:rsidRPr="00F50C10">
        <w:rPr>
          <w:rFonts w:cs="Times New Roman"/>
          <w:szCs w:val="24"/>
          <w:lang w:val="tr-TR"/>
        </w:rPr>
        <w:t>tespit</w:t>
      </w:r>
      <w:r w:rsidRPr="00F50C10">
        <w:rPr>
          <w:rFonts w:cs="Times New Roman"/>
          <w:szCs w:val="24"/>
          <w:lang w:val="tr-TR"/>
        </w:rPr>
        <w:t xml:space="preserve"> edilmesi</w:t>
      </w:r>
      <w:r w:rsidR="0064467F" w:rsidRPr="00F50C10">
        <w:rPr>
          <w:rFonts w:cs="Times New Roman"/>
          <w:szCs w:val="24"/>
          <w:lang w:val="tr-TR"/>
        </w:rPr>
        <w:t xml:space="preserve"> </w:t>
      </w:r>
      <w:r w:rsidRPr="00F50C10">
        <w:rPr>
          <w:rFonts w:cs="Times New Roman"/>
          <w:szCs w:val="24"/>
          <w:lang w:val="tr-TR"/>
        </w:rPr>
        <w:t>sağla</w:t>
      </w:r>
      <w:r w:rsidR="0064467F" w:rsidRPr="00F50C10">
        <w:rPr>
          <w:rFonts w:cs="Times New Roman"/>
          <w:szCs w:val="24"/>
          <w:lang w:val="tr-TR"/>
        </w:rPr>
        <w:t>nı</w:t>
      </w:r>
      <w:r w:rsidRPr="00F50C10">
        <w:rPr>
          <w:rFonts w:cs="Times New Roman"/>
          <w:szCs w:val="24"/>
          <w:lang w:val="tr-TR"/>
        </w:rPr>
        <w:t>r.</w:t>
      </w:r>
      <w:r w:rsidR="007C76D4" w:rsidRPr="007C76D4">
        <w:rPr>
          <w:rFonts w:cs="Times New Roman"/>
          <w:szCs w:val="24"/>
          <w:lang w:val="tr-TR"/>
        </w:rPr>
        <w:t xml:space="preserve"> </w:t>
      </w:r>
      <w:r w:rsidR="007C76D4" w:rsidRPr="005C5574">
        <w:rPr>
          <w:rFonts w:cs="Times New Roman"/>
          <w:szCs w:val="24"/>
          <w:lang w:val="tr-TR"/>
        </w:rPr>
        <w:t>(</w:t>
      </w:r>
      <w:r w:rsidR="007C76D4" w:rsidRPr="009E5076">
        <w:rPr>
          <w:rFonts w:cs="Times New Roman"/>
          <w:szCs w:val="24"/>
          <w:lang w:val="tr-TR"/>
        </w:rPr>
        <w:t>Detaylı bilgi için Organik İnce Kimyasalların Üretimi İçin MET Referans Belgesinin 4.</w:t>
      </w:r>
      <w:r w:rsidR="007C76D4">
        <w:rPr>
          <w:rFonts w:cs="Times New Roman"/>
          <w:szCs w:val="24"/>
          <w:lang w:val="tr-TR"/>
        </w:rPr>
        <w:t>2.27</w:t>
      </w:r>
      <w:r w:rsidR="007C76D4" w:rsidRPr="009E5076">
        <w:rPr>
          <w:rFonts w:cs="Times New Roman"/>
          <w:szCs w:val="24"/>
          <w:lang w:val="tr-TR"/>
        </w:rPr>
        <w:t xml:space="preserve"> kısmını inceleyiniz</w:t>
      </w:r>
      <w:r w:rsidR="007C76D4">
        <w:rPr>
          <w:rFonts w:cs="Times New Roman"/>
          <w:szCs w:val="24"/>
          <w:lang w:val="tr-TR"/>
        </w:rPr>
        <w:t>.)</w:t>
      </w:r>
    </w:p>
    <w:p w14:paraId="01F85899" w14:textId="2E5E18FD" w:rsidR="007C76D4"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10: </w:t>
      </w:r>
      <w:r w:rsidRPr="00F50C10">
        <w:rPr>
          <w:rFonts w:cs="Times New Roman"/>
          <w:szCs w:val="24"/>
          <w:lang w:val="tr-TR"/>
        </w:rPr>
        <w:t>Arıtma veya bertarafı sağlamak amacıyla dökülen ve sızan maddeleri güvenli bir şekilde tutmak için yeterli tutma hacimleri sağla</w:t>
      </w:r>
      <w:r w:rsidR="0064467F" w:rsidRPr="00F50C10">
        <w:rPr>
          <w:rFonts w:cs="Times New Roman"/>
          <w:szCs w:val="24"/>
          <w:lang w:val="tr-TR"/>
        </w:rPr>
        <w:t>nı</w:t>
      </w:r>
      <w:r w:rsidRPr="00F50C10">
        <w:rPr>
          <w:rFonts w:cs="Times New Roman"/>
          <w:szCs w:val="24"/>
          <w:lang w:val="tr-TR"/>
        </w:rPr>
        <w:t>r.</w:t>
      </w:r>
      <w:r w:rsidR="007C76D4" w:rsidRPr="007C76D4">
        <w:rPr>
          <w:rFonts w:cs="Times New Roman"/>
          <w:szCs w:val="24"/>
          <w:lang w:val="tr-TR"/>
        </w:rPr>
        <w:t xml:space="preserve"> </w:t>
      </w:r>
      <w:r w:rsidR="007C76D4" w:rsidRPr="005C5574">
        <w:rPr>
          <w:rFonts w:cs="Times New Roman"/>
          <w:szCs w:val="24"/>
          <w:lang w:val="tr-TR"/>
        </w:rPr>
        <w:t>(</w:t>
      </w:r>
      <w:r w:rsidR="007C76D4" w:rsidRPr="009E5076">
        <w:rPr>
          <w:rFonts w:cs="Times New Roman"/>
          <w:szCs w:val="24"/>
          <w:lang w:val="tr-TR"/>
        </w:rPr>
        <w:t>Detaylı bilgi için Organik İnce Kimyasalların Üretimi İçin MET Referans Belgesinin 4.</w:t>
      </w:r>
      <w:r w:rsidR="007C76D4">
        <w:rPr>
          <w:rFonts w:cs="Times New Roman"/>
          <w:szCs w:val="24"/>
          <w:lang w:val="tr-TR"/>
        </w:rPr>
        <w:t>2.27</w:t>
      </w:r>
      <w:r w:rsidR="007C76D4" w:rsidRPr="009E5076">
        <w:rPr>
          <w:rFonts w:cs="Times New Roman"/>
          <w:szCs w:val="24"/>
          <w:lang w:val="tr-TR"/>
        </w:rPr>
        <w:t xml:space="preserve"> kısmını inceleyiniz</w:t>
      </w:r>
      <w:r w:rsidR="007C76D4">
        <w:rPr>
          <w:rFonts w:cs="Times New Roman"/>
          <w:szCs w:val="24"/>
          <w:lang w:val="tr-TR"/>
        </w:rPr>
        <w:t>.)</w:t>
      </w:r>
    </w:p>
    <w:p w14:paraId="105DBFA2" w14:textId="4E5E8BEB" w:rsidR="007C76D4"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11: </w:t>
      </w:r>
      <w:r w:rsidRPr="00F50C10">
        <w:rPr>
          <w:rFonts w:cs="Times New Roman"/>
          <w:szCs w:val="24"/>
          <w:lang w:val="tr-TR"/>
        </w:rPr>
        <w:t>Yangın söndürme suyunu ve kontamine olmuş yüzey suyunu güvenli bir şekilde tutmak için yeterli tutma hacmi</w:t>
      </w:r>
      <w:r w:rsidR="0064467F" w:rsidRPr="00F50C10">
        <w:rPr>
          <w:rFonts w:cs="Times New Roman"/>
          <w:szCs w:val="24"/>
          <w:lang w:val="tr-TR"/>
        </w:rPr>
        <w:t xml:space="preserve"> </w:t>
      </w:r>
      <w:r w:rsidRPr="00F50C10">
        <w:rPr>
          <w:rFonts w:cs="Times New Roman"/>
          <w:szCs w:val="24"/>
          <w:lang w:val="tr-TR"/>
        </w:rPr>
        <w:t>sağla</w:t>
      </w:r>
      <w:r w:rsidR="0064467F" w:rsidRPr="00F50C10">
        <w:rPr>
          <w:rFonts w:cs="Times New Roman"/>
          <w:szCs w:val="24"/>
          <w:lang w:val="tr-TR"/>
        </w:rPr>
        <w:t>n</w:t>
      </w:r>
      <w:r w:rsidRPr="00F50C10">
        <w:rPr>
          <w:rFonts w:cs="Times New Roman"/>
          <w:szCs w:val="24"/>
          <w:lang w:val="tr-TR"/>
        </w:rPr>
        <w:t>ır.</w:t>
      </w:r>
      <w:r w:rsidR="007C76D4" w:rsidRPr="007C76D4">
        <w:rPr>
          <w:rFonts w:cs="Times New Roman"/>
          <w:szCs w:val="24"/>
          <w:lang w:val="tr-TR"/>
        </w:rPr>
        <w:t xml:space="preserve"> </w:t>
      </w:r>
      <w:r w:rsidR="007C76D4" w:rsidRPr="005C5574">
        <w:rPr>
          <w:rFonts w:cs="Times New Roman"/>
          <w:szCs w:val="24"/>
          <w:lang w:val="tr-TR"/>
        </w:rPr>
        <w:t>(</w:t>
      </w:r>
      <w:r w:rsidR="007C76D4" w:rsidRPr="009E5076">
        <w:rPr>
          <w:rFonts w:cs="Times New Roman"/>
          <w:szCs w:val="24"/>
          <w:lang w:val="tr-TR"/>
        </w:rPr>
        <w:t>Detaylı bilgi için Organik İnce Kimyasalların Üretimi İçin MET Referans Belgesinin 4.</w:t>
      </w:r>
      <w:r w:rsidR="007C76D4">
        <w:rPr>
          <w:rFonts w:cs="Times New Roman"/>
          <w:szCs w:val="24"/>
          <w:lang w:val="tr-TR"/>
        </w:rPr>
        <w:t xml:space="preserve">2.28 </w:t>
      </w:r>
      <w:r w:rsidR="007C76D4" w:rsidRPr="009E5076">
        <w:rPr>
          <w:rFonts w:cs="Times New Roman"/>
          <w:szCs w:val="24"/>
          <w:lang w:val="tr-TR"/>
        </w:rPr>
        <w:t>kısmını inceleyiniz</w:t>
      </w:r>
      <w:r w:rsidR="007C76D4">
        <w:rPr>
          <w:rFonts w:cs="Times New Roman"/>
          <w:szCs w:val="24"/>
          <w:lang w:val="tr-TR"/>
        </w:rPr>
        <w:t>.)</w:t>
      </w:r>
    </w:p>
    <w:p w14:paraId="235510AA" w14:textId="087A305D" w:rsidR="00CE1AB7"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12: </w:t>
      </w:r>
      <w:r w:rsidRPr="00CE1AB7">
        <w:rPr>
          <w:rFonts w:cs="Times New Roman"/>
          <w:szCs w:val="24"/>
          <w:lang w:val="tr-TR"/>
        </w:rPr>
        <w:t>Zemin ve yer altı suları için kontaminasyon riski teşkil edebilecek maddelerin (genellikle sıvılar) kullanıldığı tesislerin, dökülme potansiyelini en aza indirecek şekilde inşa edilmesi işletilmesi ve bakımının yapılması için aşağıdaki tekniklerin tümü uygula</w:t>
      </w:r>
      <w:r w:rsidR="0064467F" w:rsidRPr="00CE1AB7">
        <w:rPr>
          <w:rFonts w:cs="Times New Roman"/>
          <w:szCs w:val="24"/>
          <w:lang w:val="tr-TR"/>
        </w:rPr>
        <w:t>n</w:t>
      </w:r>
      <w:r w:rsidRPr="00CE1AB7">
        <w:rPr>
          <w:rFonts w:cs="Times New Roman"/>
          <w:szCs w:val="24"/>
          <w:lang w:val="tr-TR"/>
        </w:rPr>
        <w:t>ır:</w:t>
      </w:r>
      <w:r w:rsidRPr="00F50C10">
        <w:rPr>
          <w:rFonts w:cs="Times New Roman"/>
          <w:b/>
          <w:bCs/>
          <w:szCs w:val="24"/>
          <w:lang w:val="tr-TR"/>
        </w:rPr>
        <w:t xml:space="preserve"> </w:t>
      </w:r>
      <w:r w:rsidR="00CE1AB7" w:rsidRPr="005C5574">
        <w:rPr>
          <w:rFonts w:cs="Times New Roman"/>
          <w:szCs w:val="24"/>
          <w:lang w:val="tr-TR"/>
        </w:rPr>
        <w:t>(</w:t>
      </w:r>
      <w:r w:rsidR="00CE1AB7" w:rsidRPr="009E5076">
        <w:rPr>
          <w:rFonts w:cs="Times New Roman"/>
          <w:szCs w:val="24"/>
          <w:lang w:val="tr-TR"/>
        </w:rPr>
        <w:t>Detaylı bilgi için Organik İnce Kimyasalların Üretimi İçin MET Referans Belgesinin 4.</w:t>
      </w:r>
      <w:r w:rsidR="00CE1AB7">
        <w:rPr>
          <w:rFonts w:cs="Times New Roman"/>
          <w:szCs w:val="24"/>
          <w:lang w:val="tr-TR"/>
        </w:rPr>
        <w:t>2.27</w:t>
      </w:r>
      <w:r w:rsidR="00CE1AB7" w:rsidRPr="009E5076">
        <w:rPr>
          <w:rFonts w:cs="Times New Roman"/>
          <w:szCs w:val="24"/>
          <w:lang w:val="tr-TR"/>
        </w:rPr>
        <w:t xml:space="preserve"> kısmını inceleyiniz</w:t>
      </w:r>
      <w:r w:rsidR="00CE1AB7">
        <w:rPr>
          <w:rFonts w:cs="Times New Roman"/>
          <w:szCs w:val="24"/>
          <w:lang w:val="tr-TR"/>
        </w:rPr>
        <w:t>.)</w:t>
      </w:r>
    </w:p>
    <w:p w14:paraId="009A2F8F" w14:textId="7F37C94D" w:rsidR="00496ADC" w:rsidRPr="00F50C10" w:rsidRDefault="00496ADC" w:rsidP="00A654AE">
      <w:pPr>
        <w:pStyle w:val="ListeParagraf"/>
        <w:widowControl w:val="0"/>
        <w:numPr>
          <w:ilvl w:val="0"/>
          <w:numId w:val="52"/>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yükleme ve boşaltmanın yalnızca sızıntı akışına karşı korunan belirlenmiş alanlarda yapılması</w:t>
      </w:r>
    </w:p>
    <w:p w14:paraId="361F4177" w14:textId="77777777" w:rsidR="00496ADC" w:rsidRPr="00F50C10" w:rsidRDefault="00496ADC" w:rsidP="00A654AE">
      <w:pPr>
        <w:widowControl w:val="0"/>
        <w:numPr>
          <w:ilvl w:val="0"/>
          <w:numId w:val="52"/>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bertaraf edilecek malzemelerin sızıntı akışına karşı korunan belirlenmiş alanlarda depolanması ve toplanması</w:t>
      </w:r>
    </w:p>
    <w:p w14:paraId="681F34C4" w14:textId="77777777" w:rsidR="00496ADC" w:rsidRPr="00F50C10" w:rsidRDefault="00496ADC" w:rsidP="00A654AE">
      <w:pPr>
        <w:widowControl w:val="0"/>
        <w:numPr>
          <w:ilvl w:val="0"/>
          <w:numId w:val="52"/>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dökülmenin meydana gelebileceği tüm pompa haznelerinin veya diğer arıtma tesisi odalarının yüksek sıvı seviyesi alarmları ile donatılması veya onun yerine personel tarafından pompa haznelerinin düzenli olarak denetlenmesi</w:t>
      </w:r>
    </w:p>
    <w:p w14:paraId="103833E6" w14:textId="77777777" w:rsidR="00496ADC" w:rsidRPr="00F50C10" w:rsidRDefault="00496ADC" w:rsidP="00A654AE">
      <w:pPr>
        <w:widowControl w:val="0"/>
        <w:numPr>
          <w:ilvl w:val="0"/>
          <w:numId w:val="52"/>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flanşlar ve valfler dahil olmak üzere tankları ve boru hatlarını test etmek ve denetlemek için programlar oluşturulması</w:t>
      </w:r>
    </w:p>
    <w:p w14:paraId="572BB939" w14:textId="77777777" w:rsidR="00496ADC" w:rsidRPr="00F50C10" w:rsidRDefault="00496ADC" w:rsidP="00A654AE">
      <w:pPr>
        <w:widowControl w:val="0"/>
        <w:numPr>
          <w:ilvl w:val="0"/>
          <w:numId w:val="52"/>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sınırlama bariyerleri ve uygun emici malzeme gibi dökülme kontrol ekipmanlarının sağlanması</w:t>
      </w:r>
    </w:p>
    <w:p w14:paraId="436DA22A" w14:textId="77777777" w:rsidR="00496ADC" w:rsidRPr="00F50C10" w:rsidRDefault="00496ADC" w:rsidP="00A654AE">
      <w:pPr>
        <w:widowControl w:val="0"/>
        <w:numPr>
          <w:ilvl w:val="0"/>
          <w:numId w:val="52"/>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setlerin bütünlüğünün test edilmesi ve gösterilmesi</w:t>
      </w:r>
    </w:p>
    <w:p w14:paraId="5FF2F2A8" w14:textId="77777777" w:rsidR="00496ADC" w:rsidRPr="00F50C10" w:rsidRDefault="00496ADC" w:rsidP="00A654AE">
      <w:pPr>
        <w:widowControl w:val="0"/>
        <w:numPr>
          <w:ilvl w:val="0"/>
          <w:numId w:val="52"/>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tankların taşma önleme sistemleriyle donatılması.</w:t>
      </w:r>
    </w:p>
    <w:p w14:paraId="0654093A" w14:textId="77777777" w:rsidR="00496ADC" w:rsidRPr="00F50C10" w:rsidRDefault="00496ADC"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bookmarkStart w:id="134" w:name="_Toc135229434"/>
      <w:bookmarkStart w:id="135" w:name="_Toc135050219"/>
      <w:bookmarkStart w:id="136" w:name="_Toc135141997"/>
      <w:bookmarkStart w:id="137" w:name="_Toc135142074"/>
      <w:r w:rsidRPr="00F50C10">
        <w:rPr>
          <w:rFonts w:eastAsia="Times New Roman" w:cs="Times New Roman"/>
          <w:b/>
          <w:bCs/>
          <w:szCs w:val="24"/>
          <w:lang w:val="tr-TR"/>
        </w:rPr>
        <w:t>UOB emisyonlarının en aza indirilmesi</w:t>
      </w:r>
      <w:bookmarkEnd w:id="134"/>
      <w:r w:rsidRPr="00F50C10">
        <w:rPr>
          <w:rFonts w:eastAsia="Times New Roman" w:cs="Times New Roman"/>
          <w:b/>
          <w:bCs/>
          <w:szCs w:val="24"/>
          <w:lang w:val="tr-TR"/>
        </w:rPr>
        <w:t xml:space="preserve"> </w:t>
      </w:r>
      <w:bookmarkEnd w:id="135"/>
      <w:bookmarkEnd w:id="136"/>
      <w:bookmarkEnd w:id="137"/>
    </w:p>
    <w:p w14:paraId="54F5773C" w14:textId="0212F893" w:rsidR="00CE1AB7"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13: </w:t>
      </w:r>
      <w:r w:rsidRPr="00F50C10">
        <w:rPr>
          <w:rFonts w:cs="Times New Roman"/>
          <w:szCs w:val="24"/>
          <w:lang w:val="tr-TR"/>
        </w:rPr>
        <w:t>Kontrolsüz UOB emisyonları</w:t>
      </w:r>
      <w:r w:rsidR="00FD09E7" w:rsidRPr="00F50C10">
        <w:rPr>
          <w:rFonts w:cs="Times New Roman"/>
          <w:szCs w:val="24"/>
          <w:lang w:val="tr-TR"/>
        </w:rPr>
        <w:t>nı</w:t>
      </w:r>
      <w:r w:rsidRPr="00F50C10">
        <w:rPr>
          <w:rFonts w:cs="Times New Roman"/>
          <w:szCs w:val="24"/>
          <w:lang w:val="tr-TR"/>
        </w:rPr>
        <w:t xml:space="preserve"> en aza indirmek için kaynaklar </w:t>
      </w:r>
      <w:r w:rsidR="00FD09E7" w:rsidRPr="00F50C10">
        <w:rPr>
          <w:rFonts w:cs="Times New Roman"/>
          <w:szCs w:val="24"/>
          <w:lang w:val="tr-TR"/>
        </w:rPr>
        <w:t>kontrol altına al</w:t>
      </w:r>
      <w:r w:rsidR="0064467F" w:rsidRPr="00F50C10">
        <w:rPr>
          <w:rFonts w:cs="Times New Roman"/>
          <w:szCs w:val="24"/>
          <w:lang w:val="tr-TR"/>
        </w:rPr>
        <w:t>ınır</w:t>
      </w:r>
      <w:r w:rsidR="00FD09E7" w:rsidRPr="00F50C10">
        <w:rPr>
          <w:rFonts w:cs="Times New Roman"/>
          <w:szCs w:val="24"/>
          <w:lang w:val="tr-TR"/>
        </w:rPr>
        <w:t>, çevrele</w:t>
      </w:r>
      <w:r w:rsidR="0064467F" w:rsidRPr="00F50C10">
        <w:rPr>
          <w:rFonts w:cs="Times New Roman"/>
          <w:szCs w:val="24"/>
          <w:lang w:val="tr-TR"/>
        </w:rPr>
        <w:t>nir</w:t>
      </w:r>
      <w:r w:rsidRPr="00F50C10">
        <w:rPr>
          <w:rFonts w:cs="Times New Roman"/>
          <w:szCs w:val="24"/>
          <w:lang w:val="tr-TR"/>
        </w:rPr>
        <w:t xml:space="preserve"> ve </w:t>
      </w:r>
      <w:r w:rsidR="00FD09E7" w:rsidRPr="00F50C10">
        <w:rPr>
          <w:rFonts w:cs="Times New Roman"/>
          <w:szCs w:val="24"/>
          <w:lang w:val="tr-TR"/>
        </w:rPr>
        <w:t xml:space="preserve">tüm </w:t>
      </w:r>
      <w:r w:rsidRPr="00F50C10">
        <w:rPr>
          <w:rFonts w:cs="Times New Roman"/>
          <w:szCs w:val="24"/>
          <w:lang w:val="tr-TR"/>
        </w:rPr>
        <w:t>açıklıklar</w:t>
      </w:r>
      <w:r w:rsidR="0064467F" w:rsidRPr="00F50C10">
        <w:rPr>
          <w:rFonts w:cs="Times New Roman"/>
          <w:szCs w:val="24"/>
          <w:lang w:val="tr-TR"/>
        </w:rPr>
        <w:t xml:space="preserve"> </w:t>
      </w:r>
      <w:r w:rsidRPr="00F50C10">
        <w:rPr>
          <w:rFonts w:cs="Times New Roman"/>
          <w:szCs w:val="24"/>
          <w:lang w:val="tr-TR"/>
        </w:rPr>
        <w:t>kapat</w:t>
      </w:r>
      <w:r w:rsidR="0064467F" w:rsidRPr="00F50C10">
        <w:rPr>
          <w:rFonts w:cs="Times New Roman"/>
          <w:szCs w:val="24"/>
          <w:lang w:val="tr-TR"/>
        </w:rPr>
        <w:t>ılı</w:t>
      </w:r>
      <w:r w:rsidRPr="00F50C10">
        <w:rPr>
          <w:rFonts w:cs="Times New Roman"/>
          <w:szCs w:val="24"/>
          <w:lang w:val="tr-TR"/>
        </w:rPr>
        <w:t>r.</w:t>
      </w:r>
      <w:r w:rsidRPr="00F50C10">
        <w:rPr>
          <w:rFonts w:cs="Times New Roman"/>
          <w:b/>
          <w:bCs/>
          <w:szCs w:val="24"/>
          <w:lang w:val="tr-TR"/>
        </w:rPr>
        <w:t xml:space="preserve"> </w:t>
      </w:r>
      <w:r w:rsidR="00CE1AB7" w:rsidRPr="005C5574">
        <w:rPr>
          <w:rFonts w:cs="Times New Roman"/>
          <w:szCs w:val="24"/>
          <w:lang w:val="tr-TR"/>
        </w:rPr>
        <w:t>(</w:t>
      </w:r>
      <w:r w:rsidR="00CE1AB7" w:rsidRPr="009E5076">
        <w:rPr>
          <w:rFonts w:cs="Times New Roman"/>
          <w:szCs w:val="24"/>
          <w:lang w:val="tr-TR"/>
        </w:rPr>
        <w:t>Detaylı bilgi için Organik İnce Kimyasalların Üretimi İçin MET Referans Belgesinin 4.</w:t>
      </w:r>
      <w:r w:rsidR="00CE1AB7">
        <w:rPr>
          <w:rFonts w:cs="Times New Roman"/>
          <w:szCs w:val="24"/>
          <w:lang w:val="tr-TR"/>
        </w:rPr>
        <w:t>2.14</w:t>
      </w:r>
      <w:r w:rsidR="00CE1AB7" w:rsidRPr="009E5076">
        <w:rPr>
          <w:rFonts w:cs="Times New Roman"/>
          <w:szCs w:val="24"/>
          <w:lang w:val="tr-TR"/>
        </w:rPr>
        <w:t xml:space="preserve"> kısmını inceleyiniz</w:t>
      </w:r>
      <w:r w:rsidR="00CE1AB7">
        <w:rPr>
          <w:rFonts w:cs="Times New Roman"/>
          <w:szCs w:val="24"/>
          <w:lang w:val="tr-TR"/>
        </w:rPr>
        <w:t>.)</w:t>
      </w:r>
    </w:p>
    <w:p w14:paraId="5756BD6E" w14:textId="5F8BC7F7"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14: </w:t>
      </w:r>
      <w:r w:rsidR="00FD09E7" w:rsidRPr="00F50C10">
        <w:rPr>
          <w:rFonts w:cs="Times New Roman"/>
          <w:szCs w:val="24"/>
          <w:lang w:val="tr-TR"/>
        </w:rPr>
        <w:t>Kurutma, ç</w:t>
      </w:r>
      <w:r w:rsidRPr="00F50C10">
        <w:rPr>
          <w:rFonts w:cs="Times New Roman"/>
          <w:szCs w:val="24"/>
          <w:lang w:val="tr-TR"/>
        </w:rPr>
        <w:t xml:space="preserve">özücü geri kazanımı için </w:t>
      </w:r>
      <w:r w:rsidR="00FD09E7" w:rsidRPr="00F50C10">
        <w:rPr>
          <w:rFonts w:cs="Times New Roman"/>
          <w:szCs w:val="24"/>
          <w:lang w:val="tr-TR"/>
        </w:rPr>
        <w:t>yoğuşturucular da</w:t>
      </w:r>
      <w:r w:rsidRPr="00F50C10">
        <w:rPr>
          <w:rFonts w:cs="Times New Roman"/>
          <w:szCs w:val="24"/>
          <w:lang w:val="tr-TR"/>
        </w:rPr>
        <w:t xml:space="preserve"> dahil olmak üzere</w:t>
      </w:r>
      <w:r w:rsidR="00FD09E7" w:rsidRPr="00F50C10">
        <w:rPr>
          <w:rFonts w:cs="Times New Roman"/>
          <w:szCs w:val="24"/>
          <w:lang w:val="tr-TR"/>
        </w:rPr>
        <w:t>,</w:t>
      </w:r>
      <w:r w:rsidRPr="00F50C10">
        <w:rPr>
          <w:rFonts w:cs="Times New Roman"/>
          <w:szCs w:val="24"/>
          <w:lang w:val="tr-TR"/>
        </w:rPr>
        <w:t xml:space="preserve"> kapalı devreler kullanarak gerçekleştirilir.</w:t>
      </w:r>
      <w:r w:rsidR="00CE1AB7" w:rsidRPr="00CE1AB7">
        <w:rPr>
          <w:rFonts w:cs="Times New Roman"/>
          <w:szCs w:val="24"/>
          <w:lang w:val="tr-TR"/>
        </w:rPr>
        <w:t xml:space="preserve"> </w:t>
      </w:r>
      <w:r w:rsidR="00CE1AB7" w:rsidRPr="005C5574">
        <w:rPr>
          <w:rFonts w:cs="Times New Roman"/>
          <w:szCs w:val="24"/>
          <w:lang w:val="tr-TR"/>
        </w:rPr>
        <w:t>(</w:t>
      </w:r>
      <w:r w:rsidR="00CE1AB7" w:rsidRPr="009E5076">
        <w:rPr>
          <w:rFonts w:cs="Times New Roman"/>
          <w:szCs w:val="24"/>
          <w:lang w:val="tr-TR"/>
        </w:rPr>
        <w:t>Detaylı bilgi için Organik İnce Kimyasalların Üretimi İçin MET Referans Belgesinin 4.</w:t>
      </w:r>
      <w:r w:rsidR="00CE1AB7">
        <w:rPr>
          <w:rFonts w:cs="Times New Roman"/>
          <w:szCs w:val="24"/>
          <w:lang w:val="tr-TR"/>
        </w:rPr>
        <w:t>2.14</w:t>
      </w:r>
      <w:r w:rsidR="00CE1AB7" w:rsidRPr="009E5076">
        <w:rPr>
          <w:rFonts w:cs="Times New Roman"/>
          <w:szCs w:val="24"/>
          <w:lang w:val="tr-TR"/>
        </w:rPr>
        <w:t xml:space="preserve"> kısmını inceleyiniz</w:t>
      </w:r>
      <w:r w:rsidR="00CE1AB7">
        <w:rPr>
          <w:rFonts w:cs="Times New Roman"/>
          <w:szCs w:val="24"/>
          <w:lang w:val="tr-TR"/>
        </w:rPr>
        <w:t>.)</w:t>
      </w:r>
    </w:p>
    <w:p w14:paraId="35ADF9DB" w14:textId="12453FE3"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15: </w:t>
      </w:r>
      <w:r w:rsidRPr="00F50C10">
        <w:rPr>
          <w:rFonts w:cs="Times New Roman"/>
          <w:szCs w:val="24"/>
          <w:lang w:val="tr-TR"/>
        </w:rPr>
        <w:t xml:space="preserve">Çözücü kullanarak </w:t>
      </w:r>
      <w:r w:rsidR="0064467F" w:rsidRPr="00F50C10">
        <w:rPr>
          <w:rFonts w:cs="Times New Roman"/>
          <w:szCs w:val="24"/>
          <w:lang w:val="tr-TR"/>
        </w:rPr>
        <w:t xml:space="preserve">yapılan </w:t>
      </w:r>
      <w:r w:rsidRPr="00F50C10">
        <w:rPr>
          <w:rFonts w:cs="Times New Roman"/>
          <w:szCs w:val="24"/>
          <w:lang w:val="tr-TR"/>
        </w:rPr>
        <w:t>ekipman temizliği</w:t>
      </w:r>
      <w:r w:rsidR="00FD09E7" w:rsidRPr="00F50C10">
        <w:rPr>
          <w:rFonts w:cs="Times New Roman"/>
          <w:szCs w:val="24"/>
          <w:lang w:val="tr-TR"/>
        </w:rPr>
        <w:t xml:space="preserve"> ve </w:t>
      </w:r>
      <w:r w:rsidRPr="00F50C10">
        <w:rPr>
          <w:rFonts w:cs="Times New Roman"/>
          <w:szCs w:val="24"/>
          <w:lang w:val="tr-TR"/>
        </w:rPr>
        <w:t xml:space="preserve">durulama için ekipmanlar kapalı </w:t>
      </w:r>
      <w:r w:rsidR="0064467F" w:rsidRPr="00F50C10">
        <w:rPr>
          <w:rFonts w:cs="Times New Roman"/>
          <w:szCs w:val="24"/>
          <w:lang w:val="tr-TR"/>
        </w:rPr>
        <w:t>tutulur</w:t>
      </w:r>
      <w:r w:rsidRPr="00F50C10">
        <w:rPr>
          <w:rFonts w:cs="Times New Roman"/>
          <w:szCs w:val="24"/>
          <w:lang w:val="tr-TR"/>
        </w:rPr>
        <w:t>.</w:t>
      </w:r>
      <w:r w:rsidR="00CE1AB7" w:rsidRPr="00CE1AB7">
        <w:rPr>
          <w:rFonts w:cs="Times New Roman"/>
          <w:szCs w:val="24"/>
          <w:lang w:val="tr-TR"/>
        </w:rPr>
        <w:t xml:space="preserve"> </w:t>
      </w:r>
      <w:r w:rsidR="00CE1AB7" w:rsidRPr="005C5574">
        <w:rPr>
          <w:rFonts w:cs="Times New Roman"/>
          <w:szCs w:val="24"/>
          <w:lang w:val="tr-TR"/>
        </w:rPr>
        <w:t>(</w:t>
      </w:r>
      <w:r w:rsidR="00CE1AB7" w:rsidRPr="009E5076">
        <w:rPr>
          <w:rFonts w:cs="Times New Roman"/>
          <w:szCs w:val="24"/>
          <w:lang w:val="tr-TR"/>
        </w:rPr>
        <w:t>Detaylı bilgi için Organik İnce Kimyasalların Üretimi İçin MET Referans Belgesinin 4.</w:t>
      </w:r>
      <w:r w:rsidR="00CE1AB7">
        <w:rPr>
          <w:rFonts w:cs="Times New Roman"/>
          <w:szCs w:val="24"/>
          <w:lang w:val="tr-TR"/>
        </w:rPr>
        <w:t>2.14</w:t>
      </w:r>
      <w:r w:rsidR="00CE1AB7" w:rsidRPr="009E5076">
        <w:rPr>
          <w:rFonts w:cs="Times New Roman"/>
          <w:szCs w:val="24"/>
          <w:lang w:val="tr-TR"/>
        </w:rPr>
        <w:t xml:space="preserve"> kısmını inceleyiniz</w:t>
      </w:r>
      <w:r w:rsidR="00CE1AB7">
        <w:rPr>
          <w:rFonts w:cs="Times New Roman"/>
          <w:szCs w:val="24"/>
          <w:lang w:val="tr-TR"/>
        </w:rPr>
        <w:t>.)</w:t>
      </w:r>
    </w:p>
    <w:p w14:paraId="6E5718AD" w14:textId="64D88E57"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16: </w:t>
      </w:r>
      <w:r w:rsidRPr="00F50C10">
        <w:rPr>
          <w:rFonts w:cs="Times New Roman"/>
          <w:szCs w:val="24"/>
          <w:lang w:val="tr-TR"/>
        </w:rPr>
        <w:t xml:space="preserve">Saflık gereksinimlerinin </w:t>
      </w:r>
      <w:r w:rsidR="00FD09E7" w:rsidRPr="00F50C10">
        <w:rPr>
          <w:rFonts w:cs="Times New Roman"/>
          <w:szCs w:val="24"/>
          <w:lang w:val="tr-TR"/>
        </w:rPr>
        <w:t>müsaade ettiği</w:t>
      </w:r>
      <w:r w:rsidRPr="00F50C10">
        <w:rPr>
          <w:rFonts w:cs="Times New Roman"/>
          <w:szCs w:val="24"/>
          <w:lang w:val="tr-TR"/>
        </w:rPr>
        <w:t xml:space="preserve"> durumlarda proses buharlarının devridaimi </w:t>
      </w:r>
      <w:r w:rsidR="0064467F" w:rsidRPr="00F50C10">
        <w:rPr>
          <w:rFonts w:cs="Times New Roman"/>
          <w:szCs w:val="24"/>
          <w:lang w:val="tr-TR"/>
        </w:rPr>
        <w:t>kullanılır</w:t>
      </w:r>
      <w:r w:rsidRPr="00F50C10">
        <w:rPr>
          <w:rFonts w:cs="Times New Roman"/>
          <w:szCs w:val="24"/>
          <w:lang w:val="tr-TR"/>
        </w:rPr>
        <w:t>.</w:t>
      </w:r>
      <w:r w:rsidR="00CE1AB7" w:rsidRPr="00CE1AB7">
        <w:rPr>
          <w:rFonts w:cs="Times New Roman"/>
          <w:szCs w:val="24"/>
          <w:lang w:val="tr-TR"/>
        </w:rPr>
        <w:t xml:space="preserve"> </w:t>
      </w:r>
      <w:r w:rsidR="00CE1AB7" w:rsidRPr="005C5574">
        <w:rPr>
          <w:rFonts w:cs="Times New Roman"/>
          <w:szCs w:val="24"/>
          <w:lang w:val="tr-TR"/>
        </w:rPr>
        <w:t>(</w:t>
      </w:r>
      <w:r w:rsidR="00CE1AB7" w:rsidRPr="009E5076">
        <w:rPr>
          <w:rFonts w:cs="Times New Roman"/>
          <w:szCs w:val="24"/>
          <w:lang w:val="tr-TR"/>
        </w:rPr>
        <w:t>Detaylı bilgi için Organik İnce Kimyasalların Üretimi İçin MET Referans Belgesinin 4.</w:t>
      </w:r>
      <w:r w:rsidR="00CE1AB7">
        <w:rPr>
          <w:rFonts w:cs="Times New Roman"/>
          <w:szCs w:val="24"/>
          <w:lang w:val="tr-TR"/>
        </w:rPr>
        <w:t>2.14</w:t>
      </w:r>
      <w:r w:rsidR="00CE1AB7" w:rsidRPr="009E5076">
        <w:rPr>
          <w:rFonts w:cs="Times New Roman"/>
          <w:szCs w:val="24"/>
          <w:lang w:val="tr-TR"/>
        </w:rPr>
        <w:t xml:space="preserve"> kısmını inceleyiniz</w:t>
      </w:r>
      <w:r w:rsidR="00CE1AB7">
        <w:rPr>
          <w:rFonts w:cs="Times New Roman"/>
          <w:szCs w:val="24"/>
          <w:lang w:val="tr-TR"/>
        </w:rPr>
        <w:t>.)</w:t>
      </w:r>
    </w:p>
    <w:p w14:paraId="1E5AA80D" w14:textId="5D5AD732" w:rsidR="00496ADC" w:rsidRPr="00F50C10" w:rsidRDefault="00B406EF"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bookmarkStart w:id="138" w:name="_Toc135050220"/>
      <w:bookmarkStart w:id="139" w:name="_Toc135141998"/>
      <w:bookmarkStart w:id="140" w:name="_Toc135142075"/>
      <w:bookmarkStart w:id="141" w:name="_Toc135229435"/>
      <w:r w:rsidRPr="00F50C10">
        <w:rPr>
          <w:rFonts w:eastAsia="Times New Roman" w:cs="Times New Roman"/>
          <w:b/>
          <w:bCs/>
          <w:szCs w:val="24"/>
          <w:lang w:val="tr-TR"/>
        </w:rPr>
        <w:t>Çıkış</w:t>
      </w:r>
      <w:r w:rsidR="00496ADC" w:rsidRPr="00F50C10">
        <w:rPr>
          <w:rFonts w:eastAsia="Times New Roman" w:cs="Times New Roman"/>
          <w:b/>
          <w:bCs/>
          <w:szCs w:val="24"/>
          <w:lang w:val="tr-TR"/>
        </w:rPr>
        <w:t xml:space="preserve"> gazı hacim akışlarının ve yüklerinin en aza indirilmesi</w:t>
      </w:r>
      <w:bookmarkEnd w:id="138"/>
      <w:bookmarkEnd w:id="139"/>
      <w:bookmarkEnd w:id="140"/>
      <w:bookmarkEnd w:id="141"/>
    </w:p>
    <w:p w14:paraId="16EDB04D" w14:textId="60222EA5"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17: </w:t>
      </w:r>
      <w:r w:rsidRPr="00F50C10">
        <w:rPr>
          <w:rFonts w:cs="Times New Roman"/>
          <w:szCs w:val="24"/>
          <w:lang w:val="tr-TR"/>
        </w:rPr>
        <w:t>Proses ekipmanları</w:t>
      </w:r>
      <w:r w:rsidR="00AD4DF2" w:rsidRPr="00F50C10">
        <w:rPr>
          <w:rFonts w:cs="Times New Roman"/>
          <w:szCs w:val="24"/>
          <w:lang w:val="tr-TR"/>
        </w:rPr>
        <w:t xml:space="preserve"> vasıtası</w:t>
      </w:r>
      <w:r w:rsidRPr="00F50C10">
        <w:rPr>
          <w:rFonts w:cs="Times New Roman"/>
          <w:szCs w:val="24"/>
          <w:lang w:val="tr-TR"/>
        </w:rPr>
        <w:t>yla gaz toplama sistemine hava emilmesini önlemek için gereksiz açıklıklar kapat</w:t>
      </w:r>
      <w:r w:rsidR="0064467F" w:rsidRPr="00F50C10">
        <w:rPr>
          <w:rFonts w:cs="Times New Roman"/>
          <w:szCs w:val="24"/>
          <w:lang w:val="tr-TR"/>
        </w:rPr>
        <w:t>ılı</w:t>
      </w:r>
      <w:r w:rsidRPr="00F50C10">
        <w:rPr>
          <w:rFonts w:cs="Times New Roman"/>
          <w:szCs w:val="24"/>
          <w:lang w:val="tr-TR"/>
        </w:rPr>
        <w:t>r.</w:t>
      </w:r>
      <w:r w:rsidR="00CE1AB7" w:rsidRPr="00CE1AB7">
        <w:rPr>
          <w:rFonts w:cs="Times New Roman"/>
          <w:szCs w:val="24"/>
          <w:lang w:val="tr-TR"/>
        </w:rPr>
        <w:t xml:space="preserve"> </w:t>
      </w:r>
      <w:r w:rsidR="00CE1AB7" w:rsidRPr="005C5574">
        <w:rPr>
          <w:rFonts w:cs="Times New Roman"/>
          <w:szCs w:val="24"/>
          <w:lang w:val="tr-TR"/>
        </w:rPr>
        <w:t>(</w:t>
      </w:r>
      <w:r w:rsidR="00CE1AB7" w:rsidRPr="009E5076">
        <w:rPr>
          <w:rFonts w:cs="Times New Roman"/>
          <w:szCs w:val="24"/>
          <w:lang w:val="tr-TR"/>
        </w:rPr>
        <w:t>Detaylı bilgi için Organik İnce Kimyasalların Üretimi İçin MET Referans Belgesinin 4.</w:t>
      </w:r>
      <w:r w:rsidR="00CE1AB7">
        <w:rPr>
          <w:rFonts w:cs="Times New Roman"/>
          <w:szCs w:val="24"/>
          <w:lang w:val="tr-TR"/>
        </w:rPr>
        <w:t>2.14</w:t>
      </w:r>
      <w:r w:rsidR="00CE1AB7" w:rsidRPr="009E5076">
        <w:rPr>
          <w:rFonts w:cs="Times New Roman"/>
          <w:szCs w:val="24"/>
          <w:lang w:val="tr-TR"/>
        </w:rPr>
        <w:t xml:space="preserve"> </w:t>
      </w:r>
      <w:r w:rsidR="00CE1AB7">
        <w:rPr>
          <w:rFonts w:cs="Times New Roman"/>
          <w:szCs w:val="24"/>
          <w:lang w:val="tr-TR"/>
        </w:rPr>
        <w:t xml:space="preserve">ve 4.3.5.17 </w:t>
      </w:r>
      <w:r w:rsidR="00CE1AB7" w:rsidRPr="009E5076">
        <w:rPr>
          <w:rFonts w:cs="Times New Roman"/>
          <w:szCs w:val="24"/>
          <w:lang w:val="tr-TR"/>
        </w:rPr>
        <w:t>kıs</w:t>
      </w:r>
      <w:r w:rsidR="00CE1AB7">
        <w:rPr>
          <w:rFonts w:cs="Times New Roman"/>
          <w:szCs w:val="24"/>
          <w:lang w:val="tr-TR"/>
        </w:rPr>
        <w:t>ımlarını</w:t>
      </w:r>
      <w:r w:rsidR="00CE1AB7" w:rsidRPr="009E5076">
        <w:rPr>
          <w:rFonts w:cs="Times New Roman"/>
          <w:szCs w:val="24"/>
          <w:lang w:val="tr-TR"/>
        </w:rPr>
        <w:t xml:space="preserve"> inceleyiniz</w:t>
      </w:r>
      <w:r w:rsidR="00CE1AB7">
        <w:rPr>
          <w:rFonts w:cs="Times New Roman"/>
          <w:szCs w:val="24"/>
          <w:lang w:val="tr-TR"/>
        </w:rPr>
        <w:t>.)</w:t>
      </w:r>
    </w:p>
    <w:p w14:paraId="37912894" w14:textId="30BA90FD"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18: </w:t>
      </w:r>
      <w:r w:rsidRPr="00F50C10">
        <w:rPr>
          <w:rFonts w:cs="Times New Roman"/>
          <w:szCs w:val="24"/>
          <w:lang w:val="tr-TR"/>
        </w:rPr>
        <w:t xml:space="preserve">Başta </w:t>
      </w:r>
      <w:r w:rsidR="0064467F" w:rsidRPr="00F50C10">
        <w:rPr>
          <w:rFonts w:cs="Times New Roman"/>
          <w:szCs w:val="24"/>
          <w:lang w:val="tr-TR"/>
        </w:rPr>
        <w:t>kazanlar</w:t>
      </w:r>
      <w:r w:rsidRPr="00F50C10">
        <w:rPr>
          <w:rFonts w:cs="Times New Roman"/>
          <w:szCs w:val="24"/>
          <w:lang w:val="tr-TR"/>
        </w:rPr>
        <w:t xml:space="preserve"> olmak üzere proses ekipmanlarının hava sızdırmazlığı sağla</w:t>
      </w:r>
      <w:r w:rsidR="0064467F" w:rsidRPr="00F50C10">
        <w:rPr>
          <w:rFonts w:cs="Times New Roman"/>
          <w:szCs w:val="24"/>
          <w:lang w:val="tr-TR"/>
        </w:rPr>
        <w:t>nı</w:t>
      </w:r>
      <w:r w:rsidRPr="00F50C10">
        <w:rPr>
          <w:rFonts w:cs="Times New Roman"/>
          <w:szCs w:val="24"/>
          <w:lang w:val="tr-TR"/>
        </w:rPr>
        <w:t>r.</w:t>
      </w:r>
      <w:r w:rsidR="00CE1AB7">
        <w:rPr>
          <w:rFonts w:cs="Times New Roman"/>
          <w:szCs w:val="24"/>
          <w:lang w:val="tr-TR"/>
        </w:rPr>
        <w:t xml:space="preserve"> </w:t>
      </w:r>
      <w:r w:rsidR="00CE1AB7" w:rsidRPr="005C5574">
        <w:rPr>
          <w:rFonts w:cs="Times New Roman"/>
          <w:szCs w:val="24"/>
          <w:lang w:val="tr-TR"/>
        </w:rPr>
        <w:t>(</w:t>
      </w:r>
      <w:r w:rsidR="00CE1AB7" w:rsidRPr="009E5076">
        <w:rPr>
          <w:rFonts w:cs="Times New Roman"/>
          <w:szCs w:val="24"/>
          <w:lang w:val="tr-TR"/>
        </w:rPr>
        <w:t>Detaylı bilgi için Organik İnce Kimyasalların Üretimi İçin MET Referans Belgesinin 4.</w:t>
      </w:r>
      <w:r w:rsidR="00CE1AB7">
        <w:rPr>
          <w:rFonts w:cs="Times New Roman"/>
          <w:szCs w:val="24"/>
          <w:lang w:val="tr-TR"/>
        </w:rPr>
        <w:t>2.16</w:t>
      </w:r>
      <w:r w:rsidR="00CE1AB7" w:rsidRPr="009E5076">
        <w:rPr>
          <w:rFonts w:cs="Times New Roman"/>
          <w:szCs w:val="24"/>
          <w:lang w:val="tr-TR"/>
        </w:rPr>
        <w:t xml:space="preserve"> kısmını inceleyiniz</w:t>
      </w:r>
      <w:r w:rsidR="00CE1AB7">
        <w:rPr>
          <w:rFonts w:cs="Times New Roman"/>
          <w:szCs w:val="24"/>
          <w:lang w:val="tr-TR"/>
        </w:rPr>
        <w:t>.)</w:t>
      </w:r>
    </w:p>
    <w:p w14:paraId="56CE8EDB" w14:textId="001E3A70"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19: </w:t>
      </w:r>
      <w:r w:rsidR="00E22BD1" w:rsidRPr="00F50C10">
        <w:rPr>
          <w:rFonts w:cs="Times New Roman"/>
          <w:szCs w:val="24"/>
          <w:lang w:val="tr-TR"/>
        </w:rPr>
        <w:t xml:space="preserve">Düzenli olarak yapılan </w:t>
      </w:r>
      <w:r w:rsidRPr="00F50C10">
        <w:rPr>
          <w:rFonts w:cs="Times New Roman"/>
          <w:szCs w:val="24"/>
          <w:lang w:val="tr-TR"/>
        </w:rPr>
        <w:t>hava geçirmezlik test</w:t>
      </w:r>
      <w:r w:rsidR="00E22BD1" w:rsidRPr="00F50C10">
        <w:rPr>
          <w:rFonts w:cs="Times New Roman"/>
          <w:szCs w:val="24"/>
          <w:lang w:val="tr-TR"/>
        </w:rPr>
        <w:t xml:space="preserve">lerinde, ekipmanlara </w:t>
      </w:r>
      <w:r w:rsidRPr="00F50C10">
        <w:rPr>
          <w:rFonts w:cs="Times New Roman"/>
          <w:szCs w:val="24"/>
          <w:lang w:val="tr-TR"/>
        </w:rPr>
        <w:t>sürekli inertleştirme yerine şoklu inertleştirme uygula</w:t>
      </w:r>
      <w:r w:rsidR="00E22BD1" w:rsidRPr="00F50C10">
        <w:rPr>
          <w:rFonts w:cs="Times New Roman"/>
          <w:szCs w:val="24"/>
          <w:lang w:val="tr-TR"/>
        </w:rPr>
        <w:t>nı</w:t>
      </w:r>
      <w:r w:rsidRPr="00F50C10">
        <w:rPr>
          <w:rFonts w:cs="Times New Roman"/>
          <w:szCs w:val="24"/>
          <w:lang w:val="tr-TR"/>
        </w:rPr>
        <w:t>r.</w:t>
      </w:r>
      <w:r w:rsidR="00CE1AB7" w:rsidRPr="00CE1AB7">
        <w:rPr>
          <w:rFonts w:cs="Times New Roman"/>
          <w:szCs w:val="24"/>
          <w:lang w:val="tr-TR"/>
        </w:rPr>
        <w:t xml:space="preserve"> </w:t>
      </w:r>
      <w:r w:rsidR="00CE1AB7" w:rsidRPr="005C5574">
        <w:rPr>
          <w:rFonts w:cs="Times New Roman"/>
          <w:szCs w:val="24"/>
          <w:lang w:val="tr-TR"/>
        </w:rPr>
        <w:t>(</w:t>
      </w:r>
      <w:r w:rsidR="00CE1AB7" w:rsidRPr="009E5076">
        <w:rPr>
          <w:rFonts w:cs="Times New Roman"/>
          <w:szCs w:val="24"/>
          <w:lang w:val="tr-TR"/>
        </w:rPr>
        <w:t>Detaylı bilgi için Organik İnce Kimyasalların Üretimi İçin MET Referans Belgesinin 4.</w:t>
      </w:r>
      <w:r w:rsidR="00CE1AB7">
        <w:rPr>
          <w:rFonts w:cs="Times New Roman"/>
          <w:szCs w:val="24"/>
          <w:lang w:val="tr-TR"/>
        </w:rPr>
        <w:t>2.17</w:t>
      </w:r>
      <w:r w:rsidR="00CE1AB7" w:rsidRPr="009E5076">
        <w:rPr>
          <w:rFonts w:cs="Times New Roman"/>
          <w:szCs w:val="24"/>
          <w:lang w:val="tr-TR"/>
        </w:rPr>
        <w:t xml:space="preserve"> kısmını inceleyiniz</w:t>
      </w:r>
      <w:r w:rsidR="00CE1AB7">
        <w:rPr>
          <w:rFonts w:cs="Times New Roman"/>
          <w:szCs w:val="24"/>
          <w:lang w:val="tr-TR"/>
        </w:rPr>
        <w:t>.)</w:t>
      </w:r>
    </w:p>
    <w:p w14:paraId="4D4B4046" w14:textId="55F32433"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20: </w:t>
      </w:r>
      <w:r w:rsidRPr="00F50C10">
        <w:rPr>
          <w:rFonts w:cs="Times New Roman"/>
          <w:szCs w:val="24"/>
          <w:lang w:val="tr-TR"/>
        </w:rPr>
        <w:t>Yoğu</w:t>
      </w:r>
      <w:r w:rsidR="00AD4DF2" w:rsidRPr="00F50C10">
        <w:rPr>
          <w:rFonts w:cs="Times New Roman"/>
          <w:szCs w:val="24"/>
          <w:lang w:val="tr-TR"/>
        </w:rPr>
        <w:t>şturucu</w:t>
      </w:r>
      <w:r w:rsidRPr="00F50C10">
        <w:rPr>
          <w:rFonts w:cs="Times New Roman"/>
          <w:szCs w:val="24"/>
          <w:lang w:val="tr-TR"/>
        </w:rPr>
        <w:t xml:space="preserve"> yerleşiminin optimizasyonu ile damıtma proseslerinden çıkan </w:t>
      </w:r>
      <w:r w:rsidR="00AD4DF2" w:rsidRPr="00F50C10">
        <w:rPr>
          <w:rFonts w:cs="Times New Roman"/>
          <w:szCs w:val="24"/>
          <w:lang w:val="tr-TR"/>
        </w:rPr>
        <w:t>çıkış</w:t>
      </w:r>
      <w:r w:rsidRPr="00F50C10">
        <w:rPr>
          <w:rFonts w:cs="Times New Roman"/>
          <w:szCs w:val="24"/>
          <w:lang w:val="tr-TR"/>
        </w:rPr>
        <w:t xml:space="preserve"> gazı hacim akışları en aza indir</w:t>
      </w:r>
      <w:r w:rsidR="00E22BD1" w:rsidRPr="00F50C10">
        <w:rPr>
          <w:rFonts w:cs="Times New Roman"/>
          <w:szCs w:val="24"/>
          <w:lang w:val="tr-TR"/>
        </w:rPr>
        <w:t>il</w:t>
      </w:r>
      <w:r w:rsidRPr="00F50C10">
        <w:rPr>
          <w:rFonts w:cs="Times New Roman"/>
          <w:szCs w:val="24"/>
          <w:lang w:val="tr-TR"/>
        </w:rPr>
        <w:t>ir.</w:t>
      </w:r>
      <w:r w:rsidR="00CE1AB7" w:rsidRPr="00CE1AB7">
        <w:rPr>
          <w:rFonts w:cs="Times New Roman"/>
          <w:szCs w:val="24"/>
          <w:lang w:val="tr-TR"/>
        </w:rPr>
        <w:t xml:space="preserve"> </w:t>
      </w:r>
      <w:r w:rsidR="00CE1AB7" w:rsidRPr="005C5574">
        <w:rPr>
          <w:rFonts w:cs="Times New Roman"/>
          <w:szCs w:val="24"/>
          <w:lang w:val="tr-TR"/>
        </w:rPr>
        <w:t>(</w:t>
      </w:r>
      <w:r w:rsidR="00CE1AB7" w:rsidRPr="009E5076">
        <w:rPr>
          <w:rFonts w:cs="Times New Roman"/>
          <w:szCs w:val="24"/>
          <w:lang w:val="tr-TR"/>
        </w:rPr>
        <w:t>Detaylı bilgi için Organik İnce Kimyasalların Üretimi İçin MET Referans Belgesinin 4.</w:t>
      </w:r>
      <w:r w:rsidR="00CE1AB7">
        <w:rPr>
          <w:rFonts w:cs="Times New Roman"/>
          <w:szCs w:val="24"/>
          <w:lang w:val="tr-TR"/>
        </w:rPr>
        <w:t>2.20</w:t>
      </w:r>
      <w:r w:rsidR="00CE1AB7" w:rsidRPr="009E5076">
        <w:rPr>
          <w:rFonts w:cs="Times New Roman"/>
          <w:szCs w:val="24"/>
          <w:lang w:val="tr-TR"/>
        </w:rPr>
        <w:t xml:space="preserve"> kısmını inceleyiniz</w:t>
      </w:r>
      <w:r w:rsidR="00CE1AB7">
        <w:rPr>
          <w:rFonts w:cs="Times New Roman"/>
          <w:szCs w:val="24"/>
          <w:lang w:val="tr-TR"/>
        </w:rPr>
        <w:t>.)</w:t>
      </w:r>
    </w:p>
    <w:p w14:paraId="5AED99AA" w14:textId="77A40B68" w:rsidR="00496ADC" w:rsidRPr="00F50C10" w:rsidRDefault="00496ADC" w:rsidP="000B206D">
      <w:pPr>
        <w:spacing w:before="120" w:after="60" w:line="276" w:lineRule="auto"/>
        <w:rPr>
          <w:rFonts w:cs="Times New Roman"/>
          <w:szCs w:val="24"/>
          <w:lang w:val="tr-TR"/>
        </w:rPr>
      </w:pPr>
      <w:r w:rsidRPr="00F50C10">
        <w:rPr>
          <w:rFonts w:cs="Times New Roman"/>
          <w:b/>
          <w:bCs/>
          <w:szCs w:val="24"/>
          <w:lang w:val="tr-TR"/>
        </w:rPr>
        <w:t xml:space="preserve">MET 21: </w:t>
      </w:r>
      <w:r w:rsidRPr="00F50C10">
        <w:rPr>
          <w:rFonts w:cs="Times New Roman"/>
          <w:szCs w:val="24"/>
          <w:lang w:val="tr-TR"/>
        </w:rPr>
        <w:t xml:space="preserve">Reaksiyon kimyası ve/veya güvenlik hususlarının izin verdiği ölçüde, kaplara sıvı ilavesini alttan beslemeyle veya daldırma </w:t>
      </w:r>
      <w:r w:rsidR="00372D9C" w:rsidRPr="00F50C10">
        <w:rPr>
          <w:rFonts w:cs="Times New Roman"/>
          <w:szCs w:val="24"/>
          <w:lang w:val="tr-TR"/>
        </w:rPr>
        <w:t>borusuyla</w:t>
      </w:r>
      <w:r w:rsidRPr="00F50C10">
        <w:rPr>
          <w:rFonts w:cs="Times New Roman"/>
          <w:szCs w:val="24"/>
          <w:lang w:val="tr-TR"/>
        </w:rPr>
        <w:t xml:space="preserve"> yapmaktır. Bu gibi durumlarda, sıvının duvara yönlendirilmiş bir boru ile üstten beslemeyle eklenmesi, sıçramayı ve dolayısıyla yer değiştiren gazdaki organik yükü azaltır.</w:t>
      </w:r>
      <w:r w:rsidR="00CE1AB7" w:rsidRPr="00CE1AB7">
        <w:rPr>
          <w:rFonts w:cs="Times New Roman"/>
          <w:szCs w:val="24"/>
          <w:lang w:val="tr-TR"/>
        </w:rPr>
        <w:t xml:space="preserve"> </w:t>
      </w:r>
      <w:r w:rsidR="00CE1AB7" w:rsidRPr="005C5574">
        <w:rPr>
          <w:rFonts w:cs="Times New Roman"/>
          <w:szCs w:val="24"/>
          <w:lang w:val="tr-TR"/>
        </w:rPr>
        <w:t>(</w:t>
      </w:r>
      <w:r w:rsidR="00CE1AB7" w:rsidRPr="009E5076">
        <w:rPr>
          <w:rFonts w:cs="Times New Roman"/>
          <w:szCs w:val="24"/>
          <w:lang w:val="tr-TR"/>
        </w:rPr>
        <w:t>Detaylı bilgi için Organik İnce Kimyasalların Üretimi İçin MET Referans Belgesinin 4.</w:t>
      </w:r>
      <w:r w:rsidR="00CE1AB7">
        <w:rPr>
          <w:rFonts w:cs="Times New Roman"/>
          <w:szCs w:val="24"/>
          <w:lang w:val="tr-TR"/>
        </w:rPr>
        <w:t xml:space="preserve">2.18 </w:t>
      </w:r>
      <w:r w:rsidR="00CE1AB7" w:rsidRPr="009E5076">
        <w:rPr>
          <w:rFonts w:cs="Times New Roman"/>
          <w:szCs w:val="24"/>
          <w:lang w:val="tr-TR"/>
        </w:rPr>
        <w:t>kısmını inceleyiniz</w:t>
      </w:r>
      <w:r w:rsidR="00CE1AB7">
        <w:rPr>
          <w:rFonts w:cs="Times New Roman"/>
          <w:szCs w:val="24"/>
          <w:lang w:val="tr-TR"/>
        </w:rPr>
        <w:t>.)</w:t>
      </w:r>
    </w:p>
    <w:p w14:paraId="682CFF99" w14:textId="01C42ADE"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22: </w:t>
      </w:r>
      <w:r w:rsidRPr="00F50C10">
        <w:rPr>
          <w:rFonts w:cs="Times New Roman"/>
          <w:szCs w:val="24"/>
          <w:lang w:val="tr-TR"/>
        </w:rPr>
        <w:t>Bir kaba hem katı hem de organik bir sıvı eklenecekse, yoğunluk farkının yer değiştiren gazdaki organik yükün azalmasını sağladığı durumlarda, reaksiyon kimyası veya güvenlik hususlarının izin verdiği ölçüde katılar örtü olarak kullan</w:t>
      </w:r>
      <w:r w:rsidR="00E22BD1" w:rsidRPr="00F50C10">
        <w:rPr>
          <w:rFonts w:cs="Times New Roman"/>
          <w:szCs w:val="24"/>
          <w:lang w:val="tr-TR"/>
        </w:rPr>
        <w:t>ıl</w:t>
      </w:r>
      <w:r w:rsidRPr="00F50C10">
        <w:rPr>
          <w:rFonts w:cs="Times New Roman"/>
          <w:szCs w:val="24"/>
          <w:lang w:val="tr-TR"/>
        </w:rPr>
        <w:t>ır.</w:t>
      </w:r>
      <w:r w:rsidR="00CE1AB7" w:rsidRPr="00CE1AB7">
        <w:rPr>
          <w:rFonts w:cs="Times New Roman"/>
          <w:szCs w:val="24"/>
          <w:lang w:val="tr-TR"/>
        </w:rPr>
        <w:t xml:space="preserve"> </w:t>
      </w:r>
      <w:r w:rsidR="00CE1AB7" w:rsidRPr="005C5574">
        <w:rPr>
          <w:rFonts w:cs="Times New Roman"/>
          <w:szCs w:val="24"/>
          <w:lang w:val="tr-TR"/>
        </w:rPr>
        <w:t>(</w:t>
      </w:r>
      <w:r w:rsidR="00CE1AB7" w:rsidRPr="009E5076">
        <w:rPr>
          <w:rFonts w:cs="Times New Roman"/>
          <w:szCs w:val="24"/>
          <w:lang w:val="tr-TR"/>
        </w:rPr>
        <w:t>Detaylı bilgi için Organik İnce Kimyasalların Üretimi İçin MET Referans Belgesinin 4.</w:t>
      </w:r>
      <w:r w:rsidR="00CE1AB7">
        <w:rPr>
          <w:rFonts w:cs="Times New Roman"/>
          <w:szCs w:val="24"/>
          <w:lang w:val="tr-TR"/>
        </w:rPr>
        <w:t>2.18</w:t>
      </w:r>
      <w:r w:rsidR="00CE1AB7" w:rsidRPr="009E5076">
        <w:rPr>
          <w:rFonts w:cs="Times New Roman"/>
          <w:szCs w:val="24"/>
          <w:lang w:val="tr-TR"/>
        </w:rPr>
        <w:t xml:space="preserve"> kısmını inceleyiniz</w:t>
      </w:r>
      <w:r w:rsidR="00CE1AB7">
        <w:rPr>
          <w:rFonts w:cs="Times New Roman"/>
          <w:szCs w:val="24"/>
          <w:lang w:val="tr-TR"/>
        </w:rPr>
        <w:t>.)</w:t>
      </w:r>
    </w:p>
    <w:p w14:paraId="21567F8E" w14:textId="3323B98C"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23: </w:t>
      </w:r>
      <w:r w:rsidRPr="00F50C10">
        <w:rPr>
          <w:rFonts w:cs="Times New Roman"/>
          <w:szCs w:val="24"/>
          <w:lang w:val="tr-TR"/>
        </w:rPr>
        <w:t>Aşağıdaki yöntemlerle pik yük ve akışların birikimi ve ilgili emisyon konsantrasyon pikleri en aza indir</w:t>
      </w:r>
      <w:r w:rsidR="00E22BD1" w:rsidRPr="00F50C10">
        <w:rPr>
          <w:rFonts w:cs="Times New Roman"/>
          <w:szCs w:val="24"/>
          <w:lang w:val="tr-TR"/>
        </w:rPr>
        <w:t>il</w:t>
      </w:r>
      <w:r w:rsidRPr="00F50C10">
        <w:rPr>
          <w:rFonts w:cs="Times New Roman"/>
          <w:szCs w:val="24"/>
          <w:lang w:val="tr-TR"/>
        </w:rPr>
        <w:t>ir:</w:t>
      </w:r>
    </w:p>
    <w:p w14:paraId="0E681E71" w14:textId="1D7B3916" w:rsidR="00496ADC" w:rsidRPr="00F50C10" w:rsidRDefault="00496ADC" w:rsidP="00A654AE">
      <w:pPr>
        <w:pStyle w:val="ListeParagraf"/>
        <w:widowControl w:val="0"/>
        <w:numPr>
          <w:ilvl w:val="0"/>
          <w:numId w:val="53"/>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üretim matrisinin optimizasyonu</w:t>
      </w:r>
      <w:r w:rsidR="00CE1AB7">
        <w:rPr>
          <w:rFonts w:eastAsia="Times New Roman" w:cs="Times New Roman"/>
          <w:szCs w:val="24"/>
          <w:lang w:val="tr-TR"/>
        </w:rPr>
        <w:t xml:space="preserve"> </w:t>
      </w:r>
      <w:r w:rsidR="00CE1AB7" w:rsidRPr="005C5574">
        <w:rPr>
          <w:rFonts w:cs="Times New Roman"/>
          <w:szCs w:val="24"/>
          <w:lang w:val="tr-TR"/>
        </w:rPr>
        <w:t>(</w:t>
      </w:r>
      <w:r w:rsidR="00CE1AB7" w:rsidRPr="009E5076">
        <w:rPr>
          <w:rFonts w:cs="Times New Roman"/>
          <w:szCs w:val="24"/>
          <w:lang w:val="tr-TR"/>
        </w:rPr>
        <w:t>Detaylı bilgi için Organik İnce Kimyasalların Üretimi İçin MET Referans Belgesinin 4.</w:t>
      </w:r>
      <w:r w:rsidR="00CE1AB7">
        <w:rPr>
          <w:rFonts w:cs="Times New Roman"/>
          <w:szCs w:val="24"/>
          <w:lang w:val="tr-TR"/>
        </w:rPr>
        <w:t>3.5.17</w:t>
      </w:r>
      <w:r w:rsidR="00CE1AB7" w:rsidRPr="009E5076">
        <w:rPr>
          <w:rFonts w:cs="Times New Roman"/>
          <w:szCs w:val="24"/>
          <w:lang w:val="tr-TR"/>
        </w:rPr>
        <w:t xml:space="preserve"> kısmını inceleyiniz</w:t>
      </w:r>
      <w:r w:rsidR="00CE1AB7">
        <w:rPr>
          <w:rFonts w:cs="Times New Roman"/>
          <w:szCs w:val="24"/>
          <w:lang w:val="tr-TR"/>
        </w:rPr>
        <w:t>.)</w:t>
      </w:r>
    </w:p>
    <w:p w14:paraId="4B647CD6" w14:textId="76E30468" w:rsidR="00496ADC" w:rsidRPr="00F50C10" w:rsidRDefault="00496ADC" w:rsidP="00A654AE">
      <w:pPr>
        <w:widowControl w:val="0"/>
        <w:numPr>
          <w:ilvl w:val="0"/>
          <w:numId w:val="53"/>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yumuşatma filtrelerinin uygulanması.</w:t>
      </w:r>
      <w:r w:rsidR="00CE1AB7" w:rsidRPr="00CE1AB7">
        <w:rPr>
          <w:rFonts w:cs="Times New Roman"/>
          <w:szCs w:val="24"/>
          <w:lang w:val="tr-TR"/>
        </w:rPr>
        <w:t xml:space="preserve"> </w:t>
      </w:r>
      <w:r w:rsidR="00CE1AB7" w:rsidRPr="005C5574">
        <w:rPr>
          <w:rFonts w:cs="Times New Roman"/>
          <w:szCs w:val="24"/>
          <w:lang w:val="tr-TR"/>
        </w:rPr>
        <w:t>(</w:t>
      </w:r>
      <w:r w:rsidR="00CE1AB7" w:rsidRPr="009E5076">
        <w:rPr>
          <w:rFonts w:cs="Times New Roman"/>
          <w:szCs w:val="24"/>
          <w:lang w:val="tr-TR"/>
        </w:rPr>
        <w:t>Detaylı bilgi için Organik İnce Kimyasalların Üretimi İçin MET Referans Belgesinin 4.</w:t>
      </w:r>
      <w:r w:rsidR="00CE1AB7">
        <w:rPr>
          <w:rFonts w:cs="Times New Roman"/>
          <w:szCs w:val="24"/>
          <w:lang w:val="tr-TR"/>
        </w:rPr>
        <w:t xml:space="preserve">3.5.16 ve 4.3.5.13 </w:t>
      </w:r>
      <w:r w:rsidR="00CE1AB7" w:rsidRPr="009E5076">
        <w:rPr>
          <w:rFonts w:cs="Times New Roman"/>
          <w:szCs w:val="24"/>
          <w:lang w:val="tr-TR"/>
        </w:rPr>
        <w:t>kıs</w:t>
      </w:r>
      <w:r w:rsidR="00CE1AB7">
        <w:rPr>
          <w:rFonts w:cs="Times New Roman"/>
          <w:szCs w:val="24"/>
          <w:lang w:val="tr-TR"/>
        </w:rPr>
        <w:t>ımlarını</w:t>
      </w:r>
      <w:r w:rsidR="00CE1AB7" w:rsidRPr="009E5076">
        <w:rPr>
          <w:rFonts w:cs="Times New Roman"/>
          <w:szCs w:val="24"/>
          <w:lang w:val="tr-TR"/>
        </w:rPr>
        <w:t xml:space="preserve"> inceleyiniz</w:t>
      </w:r>
      <w:r w:rsidR="00CE1AB7">
        <w:rPr>
          <w:rFonts w:cs="Times New Roman"/>
          <w:szCs w:val="24"/>
          <w:lang w:val="tr-TR"/>
        </w:rPr>
        <w:t>.)</w:t>
      </w:r>
    </w:p>
    <w:p w14:paraId="691608E3" w14:textId="77777777" w:rsidR="00496ADC" w:rsidRPr="00F50C10" w:rsidRDefault="00496ADC"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bookmarkStart w:id="142" w:name="_Toc135050221"/>
      <w:bookmarkStart w:id="143" w:name="_Toc135141999"/>
      <w:bookmarkStart w:id="144" w:name="_Toc135142076"/>
      <w:bookmarkStart w:id="145" w:name="_Toc135229436"/>
      <w:r w:rsidRPr="00F50C10">
        <w:rPr>
          <w:rFonts w:eastAsia="Times New Roman" w:cs="Times New Roman"/>
          <w:b/>
          <w:bCs/>
          <w:szCs w:val="24"/>
          <w:lang w:val="tr-TR"/>
        </w:rPr>
        <w:t>Atık su akışlarının miktar ve yükünün en aza indirilmesi</w:t>
      </w:r>
      <w:bookmarkEnd w:id="142"/>
      <w:bookmarkEnd w:id="143"/>
      <w:bookmarkEnd w:id="144"/>
      <w:bookmarkEnd w:id="145"/>
    </w:p>
    <w:p w14:paraId="0D5FE2EE" w14:textId="197E9DAC"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 xml:space="preserve">Ürünlerin veya ara ürünlerin sulu çözeltilerinden ayrılması, sıklıkla </w:t>
      </w:r>
      <w:r w:rsidR="000A4CCC" w:rsidRPr="00F50C10">
        <w:rPr>
          <w:rFonts w:cs="Times New Roman"/>
          <w:szCs w:val="24"/>
          <w:lang w:val="tr-TR"/>
        </w:rPr>
        <w:t>yüksek</w:t>
      </w:r>
      <w:r w:rsidRPr="00F50C10">
        <w:rPr>
          <w:rFonts w:cs="Times New Roman"/>
          <w:szCs w:val="24"/>
          <w:lang w:val="tr-TR"/>
        </w:rPr>
        <w:t xml:space="preserve"> yüklü sulu ana sıvıların oluşmasına yol açar. Özellikle ürünün tuzla </w:t>
      </w:r>
      <w:r w:rsidR="000A4CCC" w:rsidRPr="00F50C10">
        <w:rPr>
          <w:rFonts w:cs="Times New Roman"/>
          <w:szCs w:val="24"/>
          <w:lang w:val="tr-TR"/>
        </w:rPr>
        <w:t>çöktürme</w:t>
      </w:r>
      <w:r w:rsidRPr="00F50C10">
        <w:rPr>
          <w:rFonts w:cs="Times New Roman"/>
          <w:szCs w:val="24"/>
          <w:lang w:val="tr-TR"/>
        </w:rPr>
        <w:t xml:space="preserve"> veya </w:t>
      </w:r>
      <w:r w:rsidR="000A4CCC" w:rsidRPr="00F50C10">
        <w:rPr>
          <w:rFonts w:cs="Times New Roman"/>
          <w:szCs w:val="24"/>
          <w:lang w:val="tr-TR"/>
        </w:rPr>
        <w:t>yığın</w:t>
      </w:r>
      <w:r w:rsidRPr="00F50C10">
        <w:rPr>
          <w:rFonts w:cs="Times New Roman"/>
          <w:szCs w:val="24"/>
          <w:lang w:val="tr-TR"/>
        </w:rPr>
        <w:t xml:space="preserve"> nötralizasyon</w:t>
      </w:r>
      <w:r w:rsidR="000A4CCC" w:rsidRPr="00F50C10">
        <w:rPr>
          <w:rFonts w:cs="Times New Roman"/>
          <w:szCs w:val="24"/>
          <w:lang w:val="tr-TR"/>
        </w:rPr>
        <w:t xml:space="preserve"> ile</w:t>
      </w:r>
      <w:r w:rsidRPr="00F50C10">
        <w:rPr>
          <w:rFonts w:cs="Times New Roman"/>
          <w:szCs w:val="24"/>
          <w:lang w:val="tr-TR"/>
        </w:rPr>
        <w:t xml:space="preserve"> elde edildiği durumlarda, bu tür ana sıvıların yüksek tuz içeriği çoğu zaman saflaştırmayı zorlaştıran bir faktördür. Ürünlerin veya ara ürünlerin alternatif </w:t>
      </w:r>
      <w:r w:rsidR="000A4CCC" w:rsidRPr="00F50C10">
        <w:rPr>
          <w:rFonts w:cs="Times New Roman"/>
          <w:szCs w:val="24"/>
          <w:lang w:val="tr-TR"/>
        </w:rPr>
        <w:t>ayrımı</w:t>
      </w:r>
      <w:r w:rsidRPr="00F50C10">
        <w:rPr>
          <w:rFonts w:cs="Times New Roman"/>
          <w:szCs w:val="24"/>
          <w:lang w:val="tr-TR"/>
        </w:rPr>
        <w:t xml:space="preserve">, verimi ve hatta ürün kalitesini arttırabilir, ancak alternatif ayırma tekniklerinin teknik uygulanabilirliği her durum özelinde ayrı değerlendirilmelidir. </w:t>
      </w:r>
    </w:p>
    <w:p w14:paraId="32917E9B" w14:textId="2CCE69F6" w:rsidR="00496ADC" w:rsidRPr="00F50C10" w:rsidRDefault="00496ADC" w:rsidP="000B206D">
      <w:pPr>
        <w:spacing w:before="120" w:after="60" w:line="276" w:lineRule="auto"/>
        <w:rPr>
          <w:rFonts w:cs="Times New Roman"/>
          <w:szCs w:val="24"/>
          <w:lang w:val="tr-TR"/>
        </w:rPr>
      </w:pPr>
      <w:r w:rsidRPr="00F50C10">
        <w:rPr>
          <w:rFonts w:cs="Times New Roman"/>
          <w:b/>
          <w:bCs/>
          <w:szCs w:val="24"/>
          <w:lang w:val="tr-TR"/>
        </w:rPr>
        <w:t xml:space="preserve">MET 24: </w:t>
      </w:r>
      <w:r w:rsidRPr="00F50C10">
        <w:rPr>
          <w:rFonts w:cs="Times New Roman"/>
          <w:szCs w:val="24"/>
          <w:lang w:val="tr-TR"/>
        </w:rPr>
        <w:t>Yüksek tuz içeriğine sahip ana sıvıların kullanımından kaçın</w:t>
      </w:r>
      <w:r w:rsidR="00E22BD1" w:rsidRPr="00F50C10">
        <w:rPr>
          <w:rFonts w:cs="Times New Roman"/>
          <w:szCs w:val="24"/>
          <w:lang w:val="tr-TR"/>
        </w:rPr>
        <w:t>ılması</w:t>
      </w:r>
      <w:r w:rsidRPr="00F50C10">
        <w:rPr>
          <w:rFonts w:cs="Times New Roman"/>
          <w:szCs w:val="24"/>
          <w:lang w:val="tr-TR"/>
        </w:rPr>
        <w:t xml:space="preserve"> veya aşağıdaki gibi alternatif ayırma tekniklerinin uygulanmasıyla ana sıvıların saflaştırılması sağla</w:t>
      </w:r>
      <w:r w:rsidR="00E22BD1" w:rsidRPr="00F50C10">
        <w:rPr>
          <w:rFonts w:cs="Times New Roman"/>
          <w:szCs w:val="24"/>
          <w:lang w:val="tr-TR"/>
        </w:rPr>
        <w:t>nır:</w:t>
      </w:r>
      <w:r w:rsidR="00E7281E" w:rsidRPr="00E7281E">
        <w:rPr>
          <w:rFonts w:cs="Times New Roman"/>
          <w:szCs w:val="24"/>
          <w:lang w:val="tr-TR"/>
        </w:rPr>
        <w:t xml:space="preserve"> </w:t>
      </w:r>
      <w:r w:rsidR="00E7281E" w:rsidRPr="005C5574">
        <w:rPr>
          <w:rFonts w:cs="Times New Roman"/>
          <w:szCs w:val="24"/>
          <w:lang w:val="tr-TR"/>
        </w:rPr>
        <w:t>(</w:t>
      </w:r>
      <w:r w:rsidR="00E7281E" w:rsidRPr="009E5076">
        <w:rPr>
          <w:rFonts w:cs="Times New Roman"/>
          <w:szCs w:val="24"/>
          <w:lang w:val="tr-TR"/>
        </w:rPr>
        <w:t>Detaylı bilgi için Organik İnce Kimyasalların Üretimi İçin MET Referans Belgesinin 4.</w:t>
      </w:r>
      <w:r w:rsidR="00E7281E">
        <w:rPr>
          <w:rFonts w:cs="Times New Roman"/>
          <w:szCs w:val="24"/>
          <w:lang w:val="tr-TR"/>
        </w:rPr>
        <w:t>2.24</w:t>
      </w:r>
      <w:r w:rsidR="00E7281E" w:rsidRPr="009E5076">
        <w:rPr>
          <w:rFonts w:cs="Times New Roman"/>
          <w:szCs w:val="24"/>
          <w:lang w:val="tr-TR"/>
        </w:rPr>
        <w:t xml:space="preserve"> kısmını inceleyiniz</w:t>
      </w:r>
      <w:r w:rsidR="00E7281E">
        <w:rPr>
          <w:rFonts w:cs="Times New Roman"/>
          <w:szCs w:val="24"/>
          <w:lang w:val="tr-TR"/>
        </w:rPr>
        <w:t>.)</w:t>
      </w:r>
    </w:p>
    <w:p w14:paraId="12B2D85A" w14:textId="53BF01FB" w:rsidR="00496ADC" w:rsidRPr="00F50C10" w:rsidRDefault="00496ADC" w:rsidP="00A654AE">
      <w:pPr>
        <w:pStyle w:val="ListeParagraf"/>
        <w:widowControl w:val="0"/>
        <w:numPr>
          <w:ilvl w:val="0"/>
          <w:numId w:val="54"/>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membran prosesleri</w:t>
      </w:r>
      <w:r w:rsidR="00E22BD1" w:rsidRPr="00F50C10">
        <w:rPr>
          <w:rFonts w:eastAsia="Times New Roman" w:cs="Times New Roman"/>
          <w:szCs w:val="24"/>
          <w:lang w:val="tr-TR"/>
        </w:rPr>
        <w:t>,</w:t>
      </w:r>
    </w:p>
    <w:p w14:paraId="7222B894" w14:textId="61BBEF25" w:rsidR="00496ADC" w:rsidRPr="00F50C10" w:rsidRDefault="00496ADC" w:rsidP="00A654AE">
      <w:pPr>
        <w:widowControl w:val="0"/>
        <w:numPr>
          <w:ilvl w:val="0"/>
          <w:numId w:val="54"/>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çözücü bazlı prosesler</w:t>
      </w:r>
      <w:r w:rsidR="00E22BD1" w:rsidRPr="00F50C10">
        <w:rPr>
          <w:rFonts w:eastAsia="Times New Roman" w:cs="Times New Roman"/>
          <w:szCs w:val="24"/>
          <w:lang w:val="tr-TR"/>
        </w:rPr>
        <w:t>,</w:t>
      </w:r>
    </w:p>
    <w:p w14:paraId="390FF556" w14:textId="01D24D0A" w:rsidR="00496ADC" w:rsidRPr="00F50C10" w:rsidRDefault="00496ADC" w:rsidP="00A654AE">
      <w:pPr>
        <w:widowControl w:val="0"/>
        <w:numPr>
          <w:ilvl w:val="0"/>
          <w:numId w:val="54"/>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reaktif özütleme</w:t>
      </w:r>
      <w:r w:rsidR="00E22BD1" w:rsidRPr="00F50C10">
        <w:rPr>
          <w:rFonts w:eastAsia="Times New Roman" w:cs="Times New Roman"/>
          <w:szCs w:val="24"/>
          <w:lang w:val="tr-TR"/>
        </w:rPr>
        <w:t>,</w:t>
      </w:r>
    </w:p>
    <w:p w14:paraId="3443A98D" w14:textId="77777777" w:rsidR="00496ADC" w:rsidRPr="00F50C10" w:rsidRDefault="00496ADC" w:rsidP="00A654AE">
      <w:pPr>
        <w:widowControl w:val="0"/>
        <w:numPr>
          <w:ilvl w:val="0"/>
          <w:numId w:val="54"/>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veya ara izolasyonu atlamak.</w:t>
      </w:r>
    </w:p>
    <w:p w14:paraId="22CC60BD" w14:textId="5887CA6E" w:rsidR="00496ADC" w:rsidRPr="00F50C10" w:rsidRDefault="00496ADC" w:rsidP="000B206D">
      <w:pPr>
        <w:spacing w:before="120" w:after="60" w:line="276" w:lineRule="auto"/>
        <w:rPr>
          <w:rFonts w:cs="Times New Roman"/>
          <w:szCs w:val="24"/>
          <w:lang w:val="tr-TR"/>
        </w:rPr>
      </w:pPr>
      <w:r w:rsidRPr="00F50C10">
        <w:rPr>
          <w:rFonts w:cs="Times New Roman"/>
          <w:b/>
          <w:bCs/>
          <w:szCs w:val="24"/>
          <w:lang w:val="tr-TR"/>
        </w:rPr>
        <w:t xml:space="preserve">MET 25: </w:t>
      </w:r>
      <w:r w:rsidRPr="00F50C10">
        <w:rPr>
          <w:rFonts w:cs="Times New Roman"/>
          <w:szCs w:val="24"/>
          <w:lang w:val="tr-TR"/>
        </w:rPr>
        <w:t>Üretim ölçeğinin imkan verdiği durumlarda, karşı akımlı ürün yıkama tekniği uygula</w:t>
      </w:r>
      <w:r w:rsidR="00E22BD1" w:rsidRPr="00F50C10">
        <w:rPr>
          <w:rFonts w:cs="Times New Roman"/>
          <w:szCs w:val="24"/>
          <w:lang w:val="tr-TR"/>
        </w:rPr>
        <w:t>n</w:t>
      </w:r>
      <w:r w:rsidRPr="00F50C10">
        <w:rPr>
          <w:rFonts w:cs="Times New Roman"/>
          <w:szCs w:val="24"/>
          <w:lang w:val="tr-TR"/>
        </w:rPr>
        <w:t>ır.</w:t>
      </w:r>
      <w:r w:rsidR="00E7281E" w:rsidRPr="00E7281E">
        <w:rPr>
          <w:rFonts w:cs="Times New Roman"/>
          <w:szCs w:val="24"/>
          <w:lang w:val="tr-TR"/>
        </w:rPr>
        <w:t xml:space="preserve"> </w:t>
      </w:r>
      <w:r w:rsidR="00E7281E" w:rsidRPr="005C5574">
        <w:rPr>
          <w:rFonts w:cs="Times New Roman"/>
          <w:szCs w:val="24"/>
          <w:lang w:val="tr-TR"/>
        </w:rPr>
        <w:t>(</w:t>
      </w:r>
      <w:r w:rsidR="00E7281E" w:rsidRPr="009E5076">
        <w:rPr>
          <w:rFonts w:cs="Times New Roman"/>
          <w:szCs w:val="24"/>
          <w:lang w:val="tr-TR"/>
        </w:rPr>
        <w:t>Detaylı bilgi için Organik İnce Kimyasalların Üretimi İçin MET Referans Belgesinin 4.</w:t>
      </w:r>
      <w:r w:rsidR="00E7281E">
        <w:rPr>
          <w:rFonts w:cs="Times New Roman"/>
          <w:szCs w:val="24"/>
          <w:lang w:val="tr-TR"/>
        </w:rPr>
        <w:t>2.22</w:t>
      </w:r>
      <w:r w:rsidR="00E7281E" w:rsidRPr="009E5076">
        <w:rPr>
          <w:rFonts w:cs="Times New Roman"/>
          <w:szCs w:val="24"/>
          <w:lang w:val="tr-TR"/>
        </w:rPr>
        <w:t xml:space="preserve"> kısmını inceleyiniz</w:t>
      </w:r>
      <w:r w:rsidR="00E7281E">
        <w:rPr>
          <w:rFonts w:cs="Times New Roman"/>
          <w:szCs w:val="24"/>
          <w:lang w:val="tr-TR"/>
        </w:rPr>
        <w:t>.)</w:t>
      </w:r>
    </w:p>
    <w:p w14:paraId="15A7F653" w14:textId="77777777"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Bir bitirme adımı olarak, organik ürünler, safsızlıkları gidermek için genellikle sulu bir faz ile yıkanır. Düşük su tüketimi (ve düşük atık su üretimi) ile yüksek verimlilikler, karşı akışlı yıkama ile elde edilebilir. Ancak yıkama işleminin optimizasyon derecesi, üretim düzeyine ve düzenliliğine bağlıdır. Küçük miktarlar, deneysel üretim çalışmaları ve nadir üretim operasyonları söz konusu olduğunda, karşı akımlı ürün yıkama uygulanamaz.</w:t>
      </w:r>
    </w:p>
    <w:p w14:paraId="67A18273" w14:textId="2F56347F"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26: </w:t>
      </w:r>
      <w:r w:rsidRPr="00F50C10">
        <w:rPr>
          <w:rFonts w:cs="Times New Roman"/>
          <w:szCs w:val="24"/>
          <w:lang w:val="tr-TR"/>
        </w:rPr>
        <w:t>Su</w:t>
      </w:r>
      <w:r w:rsidR="00E22BD1" w:rsidRPr="00F50C10">
        <w:rPr>
          <w:rFonts w:cs="Times New Roman"/>
          <w:szCs w:val="24"/>
          <w:lang w:val="tr-TR"/>
        </w:rPr>
        <w:t>suz</w:t>
      </w:r>
      <w:r w:rsidRPr="00F50C10">
        <w:rPr>
          <w:rFonts w:cs="Times New Roman"/>
          <w:szCs w:val="24"/>
          <w:lang w:val="tr-TR"/>
        </w:rPr>
        <w:t xml:space="preserve"> vakum </w:t>
      </w:r>
      <w:r w:rsidR="00811BFE" w:rsidRPr="00F50C10">
        <w:rPr>
          <w:rFonts w:cs="Times New Roman"/>
          <w:szCs w:val="24"/>
          <w:lang w:val="tr-TR"/>
        </w:rPr>
        <w:t>üretimi</w:t>
      </w:r>
      <w:r w:rsidRPr="00F50C10">
        <w:rPr>
          <w:rFonts w:cs="Times New Roman"/>
          <w:szCs w:val="24"/>
          <w:lang w:val="tr-TR"/>
        </w:rPr>
        <w:t xml:space="preserve"> uygula</w:t>
      </w:r>
      <w:r w:rsidR="00E22BD1" w:rsidRPr="00F50C10">
        <w:rPr>
          <w:rFonts w:cs="Times New Roman"/>
          <w:szCs w:val="24"/>
          <w:lang w:val="tr-TR"/>
        </w:rPr>
        <w:t>n</w:t>
      </w:r>
      <w:r w:rsidRPr="00F50C10">
        <w:rPr>
          <w:rFonts w:cs="Times New Roman"/>
          <w:szCs w:val="24"/>
          <w:lang w:val="tr-TR"/>
        </w:rPr>
        <w:t>ır.</w:t>
      </w:r>
      <w:r w:rsidR="00E7281E" w:rsidRPr="00E7281E">
        <w:rPr>
          <w:rFonts w:cs="Times New Roman"/>
          <w:szCs w:val="24"/>
          <w:lang w:val="tr-TR"/>
        </w:rPr>
        <w:t xml:space="preserve"> </w:t>
      </w:r>
      <w:r w:rsidR="00E7281E" w:rsidRPr="005C5574">
        <w:rPr>
          <w:rFonts w:cs="Times New Roman"/>
          <w:szCs w:val="24"/>
          <w:lang w:val="tr-TR"/>
        </w:rPr>
        <w:t>(</w:t>
      </w:r>
      <w:r w:rsidR="00E7281E" w:rsidRPr="009E5076">
        <w:rPr>
          <w:rFonts w:cs="Times New Roman"/>
          <w:szCs w:val="24"/>
          <w:lang w:val="tr-TR"/>
        </w:rPr>
        <w:t>Detaylı bilgi için Organik İnce Kimyasalların Üretimi İçin MET Referans Belgesinin 4.</w:t>
      </w:r>
      <w:r w:rsidR="00E7281E">
        <w:rPr>
          <w:rFonts w:cs="Times New Roman"/>
          <w:szCs w:val="24"/>
          <w:lang w:val="tr-TR"/>
        </w:rPr>
        <w:t>2.5, 4.2.6 ve 4.2.7</w:t>
      </w:r>
      <w:r w:rsidR="00E7281E" w:rsidRPr="009E5076">
        <w:rPr>
          <w:rFonts w:cs="Times New Roman"/>
          <w:szCs w:val="24"/>
          <w:lang w:val="tr-TR"/>
        </w:rPr>
        <w:t xml:space="preserve"> kıs</w:t>
      </w:r>
      <w:r w:rsidR="00E7281E">
        <w:rPr>
          <w:rFonts w:cs="Times New Roman"/>
          <w:szCs w:val="24"/>
          <w:lang w:val="tr-TR"/>
        </w:rPr>
        <w:t>ımlarını</w:t>
      </w:r>
      <w:r w:rsidR="00E7281E" w:rsidRPr="009E5076">
        <w:rPr>
          <w:rFonts w:cs="Times New Roman"/>
          <w:szCs w:val="24"/>
          <w:lang w:val="tr-TR"/>
        </w:rPr>
        <w:t xml:space="preserve"> inceleyiniz</w:t>
      </w:r>
      <w:r w:rsidR="00E7281E">
        <w:rPr>
          <w:rFonts w:cs="Times New Roman"/>
          <w:szCs w:val="24"/>
          <w:lang w:val="tr-TR"/>
        </w:rPr>
        <w:t>.)</w:t>
      </w:r>
    </w:p>
    <w:p w14:paraId="3A166DBD" w14:textId="2E18B124"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 xml:space="preserve">Susuz vakum </w:t>
      </w:r>
      <w:r w:rsidR="00811BFE" w:rsidRPr="00F50C10">
        <w:rPr>
          <w:rFonts w:cs="Times New Roman"/>
          <w:szCs w:val="24"/>
          <w:lang w:val="tr-TR"/>
        </w:rPr>
        <w:t>üretimi</w:t>
      </w:r>
      <w:r w:rsidRPr="00F50C10">
        <w:rPr>
          <w:rFonts w:cs="Times New Roman"/>
          <w:szCs w:val="24"/>
          <w:lang w:val="tr-TR"/>
        </w:rPr>
        <w:t xml:space="preserve">, kuru çalışan pompalar, halka ortamı olarak çözücü kullanan sıvı halkalı pompalar veya kapalı </w:t>
      </w:r>
      <w:r w:rsidR="00811BFE" w:rsidRPr="00F50C10">
        <w:rPr>
          <w:rFonts w:cs="Times New Roman"/>
          <w:szCs w:val="24"/>
          <w:lang w:val="tr-TR"/>
        </w:rPr>
        <w:t>döngü</w:t>
      </w:r>
      <w:r w:rsidRPr="00F50C10">
        <w:rPr>
          <w:rFonts w:cs="Times New Roman"/>
          <w:szCs w:val="24"/>
          <w:lang w:val="tr-TR"/>
        </w:rPr>
        <w:t xml:space="preserve"> sıvı halkalı pompalar kullanılarak gerçekleştirilir. Ancak, bu tekniklerin uygulanabilirliğinin kısıtlı olduğu durumlarda, buhar enjektörlerinin veya su halkalı pompaların kullanılması makuldür.</w:t>
      </w:r>
    </w:p>
    <w:p w14:paraId="097CBE16" w14:textId="6E691A63" w:rsidR="00496ADC" w:rsidRPr="00F50C10" w:rsidRDefault="00496ADC" w:rsidP="000B206D">
      <w:pPr>
        <w:spacing w:before="120" w:after="60" w:line="276" w:lineRule="auto"/>
        <w:rPr>
          <w:rFonts w:cs="Times New Roman"/>
          <w:szCs w:val="24"/>
          <w:lang w:val="tr-TR"/>
        </w:rPr>
      </w:pPr>
      <w:r w:rsidRPr="00F50C10">
        <w:rPr>
          <w:rFonts w:cs="Times New Roman"/>
          <w:b/>
          <w:bCs/>
          <w:szCs w:val="24"/>
          <w:lang w:val="tr-TR"/>
        </w:rPr>
        <w:t xml:space="preserve">MET 27: </w:t>
      </w:r>
      <w:r w:rsidRPr="00F50C10">
        <w:rPr>
          <w:rFonts w:cs="Times New Roman"/>
          <w:szCs w:val="24"/>
          <w:lang w:val="tr-TR"/>
        </w:rPr>
        <w:t>Kesikli prosesler için reaksiyonun istenen son noktasının belirlenmesi için net prosedürler oluştur</w:t>
      </w:r>
      <w:r w:rsidR="00E22BD1" w:rsidRPr="00F50C10">
        <w:rPr>
          <w:rFonts w:cs="Times New Roman"/>
          <w:szCs w:val="24"/>
          <w:lang w:val="tr-TR"/>
        </w:rPr>
        <w:t>ulu</w:t>
      </w:r>
      <w:r w:rsidRPr="00F50C10">
        <w:rPr>
          <w:rFonts w:cs="Times New Roman"/>
          <w:szCs w:val="24"/>
          <w:lang w:val="tr-TR"/>
        </w:rPr>
        <w:t>r.</w:t>
      </w:r>
      <w:r w:rsidR="006F4330" w:rsidRPr="006F4330">
        <w:rPr>
          <w:rFonts w:cs="Times New Roman"/>
          <w:szCs w:val="24"/>
          <w:lang w:val="tr-TR"/>
        </w:rPr>
        <w:t xml:space="preserve"> </w:t>
      </w:r>
      <w:r w:rsidR="006F4330" w:rsidRPr="005C5574">
        <w:rPr>
          <w:rFonts w:cs="Times New Roman"/>
          <w:szCs w:val="24"/>
          <w:lang w:val="tr-TR"/>
        </w:rPr>
        <w:t>(</w:t>
      </w:r>
      <w:r w:rsidR="006F4330" w:rsidRPr="009E5076">
        <w:rPr>
          <w:rFonts w:cs="Times New Roman"/>
          <w:szCs w:val="24"/>
          <w:lang w:val="tr-TR"/>
        </w:rPr>
        <w:t>Detaylı bilgi için Organik İnce Kimyasalların Üretimi İçin MET Referans Belgesinin 4.</w:t>
      </w:r>
      <w:r w:rsidR="006F4330">
        <w:rPr>
          <w:rFonts w:cs="Times New Roman"/>
          <w:szCs w:val="24"/>
          <w:lang w:val="tr-TR"/>
        </w:rPr>
        <w:t>2.23</w:t>
      </w:r>
      <w:r w:rsidR="006F4330" w:rsidRPr="009E5076">
        <w:rPr>
          <w:rFonts w:cs="Times New Roman"/>
          <w:szCs w:val="24"/>
          <w:lang w:val="tr-TR"/>
        </w:rPr>
        <w:t xml:space="preserve"> kısmını inceleyiniz</w:t>
      </w:r>
      <w:r w:rsidR="006F4330">
        <w:rPr>
          <w:rFonts w:cs="Times New Roman"/>
          <w:szCs w:val="24"/>
          <w:lang w:val="tr-TR"/>
        </w:rPr>
        <w:t>.)</w:t>
      </w:r>
    </w:p>
    <w:p w14:paraId="1194FDFA" w14:textId="36E5A47B"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 xml:space="preserve">Bir kimyasal prosesin </w:t>
      </w:r>
      <w:r w:rsidR="00462925" w:rsidRPr="00F50C10">
        <w:rPr>
          <w:rFonts w:cs="Times New Roman"/>
          <w:szCs w:val="24"/>
          <w:lang w:val="tr-TR"/>
        </w:rPr>
        <w:t>son noktasının</w:t>
      </w:r>
      <w:r w:rsidRPr="00F50C10">
        <w:rPr>
          <w:rFonts w:cs="Times New Roman"/>
          <w:szCs w:val="24"/>
          <w:lang w:val="tr-TR"/>
        </w:rPr>
        <w:t xml:space="preserve"> kesin olarak belirlenmesi, bir kesikli prosesin neden olduğu atık su akışlarındaki potansiyel yükü en aza indirir.</w:t>
      </w:r>
    </w:p>
    <w:p w14:paraId="1BE02B33" w14:textId="7FC906EF"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28: </w:t>
      </w:r>
      <w:r w:rsidRPr="00F50C10">
        <w:rPr>
          <w:rFonts w:cs="Times New Roman"/>
          <w:szCs w:val="24"/>
          <w:lang w:val="tr-TR"/>
        </w:rPr>
        <w:t>Dolaylı soğutma uygula</w:t>
      </w:r>
      <w:r w:rsidR="00E22BD1" w:rsidRPr="00F50C10">
        <w:rPr>
          <w:rFonts w:cs="Times New Roman"/>
          <w:szCs w:val="24"/>
          <w:lang w:val="tr-TR"/>
        </w:rPr>
        <w:t>nı</w:t>
      </w:r>
      <w:r w:rsidRPr="00F50C10">
        <w:rPr>
          <w:rFonts w:cs="Times New Roman"/>
          <w:szCs w:val="24"/>
          <w:lang w:val="tr-TR"/>
        </w:rPr>
        <w:t>r.</w:t>
      </w:r>
      <w:r w:rsidR="006F4330" w:rsidRPr="006F4330">
        <w:rPr>
          <w:rFonts w:cs="Times New Roman"/>
          <w:szCs w:val="24"/>
          <w:lang w:val="tr-TR"/>
        </w:rPr>
        <w:t xml:space="preserve"> </w:t>
      </w:r>
      <w:r w:rsidR="006F4330" w:rsidRPr="005C5574">
        <w:rPr>
          <w:rFonts w:cs="Times New Roman"/>
          <w:szCs w:val="24"/>
          <w:lang w:val="tr-TR"/>
        </w:rPr>
        <w:t>(</w:t>
      </w:r>
      <w:r w:rsidR="006F4330" w:rsidRPr="009E5076">
        <w:rPr>
          <w:rFonts w:cs="Times New Roman"/>
          <w:szCs w:val="24"/>
          <w:lang w:val="tr-TR"/>
        </w:rPr>
        <w:t>Detaylı bilgi için Organik İnce Kimyasalların Üretimi İçin MET Referans Belgesinin 4.</w:t>
      </w:r>
      <w:r w:rsidR="006F4330">
        <w:rPr>
          <w:rFonts w:cs="Times New Roman"/>
          <w:szCs w:val="24"/>
          <w:lang w:val="tr-TR"/>
        </w:rPr>
        <w:t>2.9</w:t>
      </w:r>
      <w:r w:rsidR="006F4330" w:rsidRPr="009E5076">
        <w:rPr>
          <w:rFonts w:cs="Times New Roman"/>
          <w:szCs w:val="24"/>
          <w:lang w:val="tr-TR"/>
        </w:rPr>
        <w:t xml:space="preserve"> kısmını inceleyiniz</w:t>
      </w:r>
      <w:r w:rsidR="006F4330">
        <w:rPr>
          <w:rFonts w:cs="Times New Roman"/>
          <w:szCs w:val="24"/>
          <w:lang w:val="tr-TR"/>
        </w:rPr>
        <w:t>.)</w:t>
      </w:r>
    </w:p>
    <w:p w14:paraId="01E61308" w14:textId="77777777"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Dolaylı soğutma, güvenli sıcaklık kontrolü, sıcaklık sıçramaları veya sıcaklık şoku sağlamak için su veya buz ilavesi gerektiren proseslerde uygulanamaz. Doğrudan soğutma, "kontrolün kaybedildiği" durumları kontrol etmek için veya ısı eşanjörlerinin tıkanmasıyla ilgili endişelerin olduğu durumlarda da gerekli olabilir.</w:t>
      </w:r>
    </w:p>
    <w:p w14:paraId="7274C2AA" w14:textId="75440F6D" w:rsidR="00496ADC" w:rsidRPr="00F50C10" w:rsidRDefault="00496ADC" w:rsidP="000B206D">
      <w:pPr>
        <w:spacing w:before="120" w:after="60" w:line="276" w:lineRule="auto"/>
        <w:rPr>
          <w:rFonts w:cs="Times New Roman"/>
          <w:szCs w:val="24"/>
          <w:lang w:val="tr-TR"/>
        </w:rPr>
      </w:pPr>
      <w:r w:rsidRPr="00F50C10">
        <w:rPr>
          <w:rFonts w:cs="Times New Roman"/>
          <w:b/>
          <w:bCs/>
          <w:szCs w:val="24"/>
          <w:lang w:val="tr-TR"/>
        </w:rPr>
        <w:t xml:space="preserve">MET 29: </w:t>
      </w:r>
      <w:r w:rsidRPr="00F50C10">
        <w:rPr>
          <w:rFonts w:cs="Times New Roman"/>
          <w:szCs w:val="24"/>
          <w:lang w:val="tr-TR"/>
        </w:rPr>
        <w:t>Yıkama sularındaki organik yükü en aza indirmek için ekipmanları durulamadan/temizlemeden önce bir ön durulama adımı uygula</w:t>
      </w:r>
      <w:r w:rsidR="00E22BD1" w:rsidRPr="00F50C10">
        <w:rPr>
          <w:rFonts w:cs="Times New Roman"/>
          <w:szCs w:val="24"/>
          <w:lang w:val="tr-TR"/>
        </w:rPr>
        <w:t>n</w:t>
      </w:r>
      <w:r w:rsidRPr="00F50C10">
        <w:rPr>
          <w:rFonts w:cs="Times New Roman"/>
          <w:szCs w:val="24"/>
          <w:lang w:val="tr-TR"/>
        </w:rPr>
        <w:t>ır.</w:t>
      </w:r>
      <w:r w:rsidR="006F4330" w:rsidRPr="006F4330">
        <w:rPr>
          <w:rFonts w:cs="Times New Roman"/>
          <w:szCs w:val="24"/>
          <w:lang w:val="tr-TR"/>
        </w:rPr>
        <w:t xml:space="preserve"> </w:t>
      </w:r>
      <w:r w:rsidR="006F4330" w:rsidRPr="005C5574">
        <w:rPr>
          <w:rFonts w:cs="Times New Roman"/>
          <w:szCs w:val="24"/>
          <w:lang w:val="tr-TR"/>
        </w:rPr>
        <w:t>(</w:t>
      </w:r>
      <w:r w:rsidR="006F4330" w:rsidRPr="009E5076">
        <w:rPr>
          <w:rFonts w:cs="Times New Roman"/>
          <w:szCs w:val="24"/>
          <w:lang w:val="tr-TR"/>
        </w:rPr>
        <w:t>Detaylı bilgi için Organik İnce Kimyasalların Üretimi İçin MET Referans Belgesinin 4.</w:t>
      </w:r>
      <w:r w:rsidR="006F4330">
        <w:rPr>
          <w:rFonts w:cs="Times New Roman"/>
          <w:szCs w:val="24"/>
          <w:lang w:val="tr-TR"/>
        </w:rPr>
        <w:t xml:space="preserve">2.12 </w:t>
      </w:r>
      <w:r w:rsidR="006F4330" w:rsidRPr="009E5076">
        <w:rPr>
          <w:rFonts w:cs="Times New Roman"/>
          <w:szCs w:val="24"/>
          <w:lang w:val="tr-TR"/>
        </w:rPr>
        <w:t>kısmını inceleyiniz</w:t>
      </w:r>
      <w:r w:rsidR="006F4330">
        <w:rPr>
          <w:rFonts w:cs="Times New Roman"/>
          <w:szCs w:val="24"/>
          <w:lang w:val="tr-TR"/>
        </w:rPr>
        <w:t>.)</w:t>
      </w:r>
    </w:p>
    <w:p w14:paraId="045CECC6" w14:textId="5CE0C7E9"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Üretim tesisi temizleme prosedürleri, ortaya çıkan atık su yüklerini azaltmak için optimize edilebilir. Özellikle ek bir temizleme aşamasının (ön durulama) eklenmesi, yıkama sularından büyük miktarda çözücünün ayrılmasını sağlar. Borularda farklı malzemelerin sıklıkla taşındığı durumlarda, pig</w:t>
      </w:r>
      <w:r w:rsidR="00462925" w:rsidRPr="00F50C10">
        <w:rPr>
          <w:rFonts w:cs="Times New Roman"/>
          <w:szCs w:val="24"/>
          <w:lang w:val="tr-TR"/>
        </w:rPr>
        <w:t>leme</w:t>
      </w:r>
      <w:r w:rsidRPr="00F50C10">
        <w:rPr>
          <w:rFonts w:cs="Times New Roman"/>
          <w:szCs w:val="24"/>
          <w:lang w:val="tr-TR"/>
        </w:rPr>
        <w:t xml:space="preserve"> teknolojisinin kullanımı, temizleme prosedürlerindeki ürün kayıplarını azaltmak için başka bir seçenektir.</w:t>
      </w:r>
    </w:p>
    <w:p w14:paraId="7BF41974" w14:textId="664498F3"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30: </w:t>
      </w:r>
      <w:r w:rsidRPr="00F50C10">
        <w:rPr>
          <w:rFonts w:cs="Times New Roman"/>
          <w:szCs w:val="24"/>
          <w:lang w:val="tr-TR"/>
        </w:rPr>
        <w:t>Seçenekler değerlendi</w:t>
      </w:r>
      <w:r w:rsidR="00E22BD1" w:rsidRPr="00F50C10">
        <w:rPr>
          <w:rFonts w:cs="Times New Roman"/>
          <w:szCs w:val="24"/>
          <w:lang w:val="tr-TR"/>
        </w:rPr>
        <w:t>rilir</w:t>
      </w:r>
      <w:r w:rsidRPr="00F50C10">
        <w:rPr>
          <w:rFonts w:cs="Times New Roman"/>
          <w:szCs w:val="24"/>
          <w:lang w:val="tr-TR"/>
        </w:rPr>
        <w:t xml:space="preserve"> ve enerji tüketimi optimize </w:t>
      </w:r>
      <w:r w:rsidR="00E22BD1" w:rsidRPr="00F50C10">
        <w:rPr>
          <w:rFonts w:cs="Times New Roman"/>
          <w:szCs w:val="24"/>
          <w:lang w:val="tr-TR"/>
        </w:rPr>
        <w:t>edilir</w:t>
      </w:r>
      <w:r w:rsidRPr="00F50C10">
        <w:rPr>
          <w:rFonts w:cs="Times New Roman"/>
          <w:szCs w:val="24"/>
          <w:lang w:val="tr-TR"/>
        </w:rPr>
        <w:t>.</w:t>
      </w:r>
      <w:r w:rsidR="00CA42EA" w:rsidRPr="00CA42EA">
        <w:rPr>
          <w:rFonts w:cs="Times New Roman"/>
          <w:szCs w:val="24"/>
          <w:lang w:val="tr-TR"/>
        </w:rPr>
        <w:t xml:space="preserve"> </w:t>
      </w:r>
      <w:r w:rsidR="00CA42EA" w:rsidRPr="005C5574">
        <w:rPr>
          <w:rFonts w:cs="Times New Roman"/>
          <w:szCs w:val="24"/>
          <w:lang w:val="tr-TR"/>
        </w:rPr>
        <w:t>(</w:t>
      </w:r>
      <w:r w:rsidR="00CA42EA" w:rsidRPr="009E5076">
        <w:rPr>
          <w:rFonts w:cs="Times New Roman"/>
          <w:szCs w:val="24"/>
          <w:lang w:val="tr-TR"/>
        </w:rPr>
        <w:t>Detaylı bilgi için Organik İnce Kimyasalların Üretimi İçin MET Referans Belgesinin 4.</w:t>
      </w:r>
      <w:r w:rsidR="00CA42EA">
        <w:rPr>
          <w:rFonts w:cs="Times New Roman"/>
          <w:szCs w:val="24"/>
          <w:lang w:val="tr-TR"/>
        </w:rPr>
        <w:t>2.11 ve 4.2.20</w:t>
      </w:r>
      <w:r w:rsidR="00CA42EA" w:rsidRPr="009E5076">
        <w:rPr>
          <w:rFonts w:cs="Times New Roman"/>
          <w:szCs w:val="24"/>
          <w:lang w:val="tr-TR"/>
        </w:rPr>
        <w:t xml:space="preserve"> kısmını inceleyiniz</w:t>
      </w:r>
      <w:r w:rsidR="00CA42EA">
        <w:rPr>
          <w:rFonts w:cs="Times New Roman"/>
          <w:szCs w:val="24"/>
          <w:lang w:val="tr-TR"/>
        </w:rPr>
        <w:t>.)</w:t>
      </w:r>
    </w:p>
    <w:p w14:paraId="5E8179D0" w14:textId="025DC31B"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Bir OFC sahasında, soğutma ve ısıtmayı, ısı alışverişini veya sıcaklık profillerinin kullanımını içer</w:t>
      </w:r>
      <w:r w:rsidR="00462925" w:rsidRPr="00F50C10">
        <w:rPr>
          <w:rFonts w:cs="Times New Roman"/>
          <w:szCs w:val="24"/>
          <w:lang w:val="tr-TR"/>
        </w:rPr>
        <w:t>en çok çeşitli prosesler/işlemler</w:t>
      </w:r>
      <w:r w:rsidR="009C2B57" w:rsidRPr="00F50C10">
        <w:rPr>
          <w:rFonts w:cs="Times New Roman"/>
          <w:szCs w:val="24"/>
          <w:lang w:val="tr-TR"/>
        </w:rPr>
        <w:t xml:space="preserve"> bulunmaktadır</w:t>
      </w:r>
      <w:r w:rsidRPr="00F50C10">
        <w:rPr>
          <w:rFonts w:cs="Times New Roman"/>
          <w:szCs w:val="24"/>
          <w:lang w:val="tr-TR"/>
        </w:rPr>
        <w:t>. Isı tüketimini optimize etmek için bariz bir örnek, enerji</w:t>
      </w:r>
      <w:r w:rsidR="009C2B57" w:rsidRPr="00F50C10">
        <w:rPr>
          <w:rFonts w:cs="Times New Roman"/>
          <w:szCs w:val="24"/>
          <w:lang w:val="tr-TR"/>
        </w:rPr>
        <w:t>sel</w:t>
      </w:r>
      <w:r w:rsidRPr="00F50C10">
        <w:rPr>
          <w:rFonts w:cs="Times New Roman"/>
          <w:szCs w:val="24"/>
          <w:lang w:val="tr-TR"/>
        </w:rPr>
        <w:t xml:space="preserve"> olarak </w:t>
      </w:r>
      <w:r w:rsidR="009C2B57" w:rsidRPr="00F50C10">
        <w:rPr>
          <w:rFonts w:cs="Times New Roman"/>
          <w:szCs w:val="24"/>
          <w:lang w:val="tr-TR"/>
        </w:rPr>
        <w:t>bağlaşık</w:t>
      </w:r>
      <w:r w:rsidRPr="00F50C10">
        <w:rPr>
          <w:rFonts w:cs="Times New Roman"/>
          <w:szCs w:val="24"/>
          <w:lang w:val="tr-TR"/>
        </w:rPr>
        <w:t xml:space="preserve"> damıtmalarda</w:t>
      </w:r>
      <w:r w:rsidR="009C2B57" w:rsidRPr="00F50C10">
        <w:rPr>
          <w:rFonts w:cs="Times New Roman"/>
          <w:szCs w:val="24"/>
          <w:lang w:val="tr-TR"/>
        </w:rPr>
        <w:t xml:space="preserve"> artık ısının</w:t>
      </w:r>
      <w:r w:rsidRPr="00F50C10">
        <w:rPr>
          <w:rFonts w:cs="Times New Roman"/>
          <w:szCs w:val="24"/>
          <w:lang w:val="tr-TR"/>
        </w:rPr>
        <w:t xml:space="preserve"> başka bir prosese enerji girdisi olarak kullanılmasıdır. Başka bir örnek olarak, 300'den fazla ürün üreten 30 reaktörlü ve kesikli prosesler uygulayan bir OFC sahasında başarılı bir şekilde uygulanan Pinch metodolojisi kavramından bahsedilmektedir.</w:t>
      </w:r>
    </w:p>
    <w:p w14:paraId="282B1860" w14:textId="77777777" w:rsidR="00496ADC" w:rsidRPr="00F50C10" w:rsidRDefault="00496ADC" w:rsidP="00A654AE">
      <w:pPr>
        <w:keepNext/>
        <w:keepLines/>
        <w:numPr>
          <w:ilvl w:val="0"/>
          <w:numId w:val="135"/>
        </w:numPr>
        <w:spacing w:before="120" w:after="60" w:line="276" w:lineRule="auto"/>
        <w:ind w:left="0" w:firstLine="0"/>
        <w:jc w:val="left"/>
        <w:outlineLvl w:val="0"/>
        <w:rPr>
          <w:rFonts w:eastAsiaTheme="majorEastAsia" w:cs="Times New Roman"/>
          <w:b/>
          <w:szCs w:val="24"/>
          <w:lang w:val="tr-TR"/>
        </w:rPr>
      </w:pPr>
      <w:bookmarkStart w:id="146" w:name="_Toc135050222"/>
      <w:bookmarkStart w:id="147" w:name="_Toc135142000"/>
      <w:bookmarkStart w:id="148" w:name="_Toc135142077"/>
      <w:bookmarkStart w:id="149" w:name="_Toc135229437"/>
      <w:r w:rsidRPr="00F50C10">
        <w:rPr>
          <w:rFonts w:eastAsiaTheme="majorEastAsia" w:cs="Times New Roman"/>
          <w:b/>
          <w:szCs w:val="24"/>
          <w:lang w:val="tr-TR"/>
        </w:rPr>
        <w:t>ATIK AKIŞLARININ YÖNETİMİ VE ARITILMASI</w:t>
      </w:r>
      <w:bookmarkEnd w:id="146"/>
      <w:bookmarkEnd w:id="147"/>
      <w:bookmarkEnd w:id="148"/>
      <w:bookmarkEnd w:id="149"/>
    </w:p>
    <w:p w14:paraId="1852DF5D" w14:textId="74892DB7"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 xml:space="preserve">Çok çeşitli </w:t>
      </w:r>
      <w:r w:rsidR="009C2B57" w:rsidRPr="00F50C10">
        <w:rPr>
          <w:rFonts w:cs="Times New Roman"/>
          <w:szCs w:val="24"/>
          <w:lang w:val="tr-TR"/>
        </w:rPr>
        <w:t>önlenemeyen</w:t>
      </w:r>
      <w:r w:rsidRPr="00F50C10">
        <w:rPr>
          <w:rFonts w:cs="Times New Roman"/>
          <w:szCs w:val="24"/>
          <w:lang w:val="tr-TR"/>
        </w:rPr>
        <w:t xml:space="preserve"> atık akışlarının yönetimi ve arıtımı, çok amaçlı bir sahada önemli görevlerdir. Ancak, geri kazanım/azaltma teknikleri yatırımına bir alternatif olarak, atık akışı miktar veya yüklerini önlemek veya en aza indirmek, döngüleri kapatmak veya saha içinde ya da saha dışında yeniden kullanımı sağlamak için prosesin modernizasyonu her zaman bir seçenek olarak değerlendirilmelidir. Çok amaçlı bir sahadaki işletim modu ve sık ürün değişimi, doğal olarak esnek geri kazanım/azaltma çözümlerini (örneğin modüler konseptler veya çeşitli görevleri verimli </w:t>
      </w:r>
      <w:r w:rsidR="009C2B57" w:rsidRPr="00F50C10">
        <w:rPr>
          <w:rFonts w:cs="Times New Roman"/>
          <w:szCs w:val="24"/>
          <w:lang w:val="tr-TR"/>
        </w:rPr>
        <w:t>bir şekilde ve</w:t>
      </w:r>
      <w:r w:rsidRPr="00F50C10">
        <w:rPr>
          <w:rFonts w:cs="Times New Roman"/>
          <w:szCs w:val="24"/>
          <w:lang w:val="tr-TR"/>
        </w:rPr>
        <w:t xml:space="preserve"> aynı anda yerine getiren teknikler) destekler. </w:t>
      </w:r>
    </w:p>
    <w:p w14:paraId="3E4FA703" w14:textId="77777777" w:rsidR="00496ADC" w:rsidRPr="00F50C10" w:rsidRDefault="00496ADC" w:rsidP="00A654AE">
      <w:pPr>
        <w:widowControl w:val="0"/>
        <w:numPr>
          <w:ilvl w:val="1"/>
          <w:numId w:val="135"/>
        </w:numPr>
        <w:autoSpaceDE w:val="0"/>
        <w:autoSpaceDN w:val="0"/>
        <w:spacing w:before="120" w:after="60" w:line="276" w:lineRule="auto"/>
        <w:ind w:left="0" w:firstLine="0"/>
        <w:jc w:val="left"/>
        <w:outlineLvl w:val="1"/>
        <w:rPr>
          <w:rFonts w:eastAsia="Arial" w:cs="Times New Roman"/>
          <w:b/>
          <w:bCs/>
          <w:szCs w:val="24"/>
          <w:lang w:val="tr-TR"/>
        </w:rPr>
      </w:pPr>
      <w:bookmarkStart w:id="150" w:name="_Toc135050223"/>
      <w:bookmarkStart w:id="151" w:name="_Toc135142001"/>
      <w:bookmarkStart w:id="152" w:name="_Toc135142078"/>
      <w:bookmarkStart w:id="153" w:name="_Toc135229438"/>
      <w:r w:rsidRPr="00F50C10">
        <w:rPr>
          <w:rFonts w:eastAsia="Arial" w:cs="Times New Roman"/>
          <w:b/>
          <w:bCs/>
          <w:szCs w:val="24"/>
          <w:lang w:val="tr-TR"/>
        </w:rPr>
        <w:t>Kütle Denklikleri ve Proses Atık Akışı Analizi</w:t>
      </w:r>
      <w:bookmarkEnd w:id="150"/>
      <w:bookmarkEnd w:id="151"/>
      <w:bookmarkEnd w:id="152"/>
      <w:bookmarkEnd w:id="153"/>
    </w:p>
    <w:p w14:paraId="10C6E8B9" w14:textId="77777777"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Kütle denklikleri, çok amaçlı bir üretimi anlamak ve iyileştirme stratejileri için önceliklerin geliştirilmesi açısından önemli araçlardır. Atık akışlarının yönetimi, oluşan atık akışının özelliklerine ilişkin bilgilere ve nihai emisyon verileri de dahil olmak üzere atık akışlarının arıtılmasının sonuçlarının izlenmesine dayanır.</w:t>
      </w:r>
    </w:p>
    <w:p w14:paraId="39DAB163" w14:textId="77777777" w:rsidR="00496ADC" w:rsidRPr="00F50C10" w:rsidRDefault="00496ADC"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bookmarkStart w:id="154" w:name="_Toc135050224"/>
      <w:bookmarkStart w:id="155" w:name="_Toc135142002"/>
      <w:bookmarkStart w:id="156" w:name="_Toc135142079"/>
      <w:bookmarkStart w:id="157" w:name="_Toc135229439"/>
      <w:r w:rsidRPr="00F50C10">
        <w:rPr>
          <w:rFonts w:eastAsia="Times New Roman" w:cs="Times New Roman"/>
          <w:b/>
          <w:bCs/>
          <w:szCs w:val="24"/>
          <w:lang w:val="tr-TR"/>
        </w:rPr>
        <w:t>Kütle denklikleri</w:t>
      </w:r>
      <w:bookmarkEnd w:id="154"/>
      <w:bookmarkEnd w:id="155"/>
      <w:bookmarkEnd w:id="156"/>
      <w:bookmarkEnd w:id="157"/>
    </w:p>
    <w:p w14:paraId="15D3F4F0" w14:textId="5D7B2066"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31: </w:t>
      </w:r>
      <w:r w:rsidRPr="00F50C10">
        <w:rPr>
          <w:rFonts w:cs="Times New Roman"/>
          <w:szCs w:val="24"/>
          <w:lang w:val="tr-TR"/>
        </w:rPr>
        <w:t>UOB'ler (CHC'ler dahil), toplam organik karbon (TOK) veya KOİ, AOX veya EOX ve ağır metaller için yıllık bazda kütle denklikleri belirle</w:t>
      </w:r>
      <w:r w:rsidR="00E22BD1" w:rsidRPr="00F50C10">
        <w:rPr>
          <w:rFonts w:cs="Times New Roman"/>
          <w:szCs w:val="24"/>
          <w:lang w:val="tr-TR"/>
        </w:rPr>
        <w:t>nir</w:t>
      </w:r>
      <w:r w:rsidRPr="00F50C10">
        <w:rPr>
          <w:rFonts w:cs="Times New Roman"/>
          <w:szCs w:val="24"/>
          <w:lang w:val="tr-TR"/>
        </w:rPr>
        <w:t>.</w:t>
      </w:r>
      <w:r w:rsidR="007E6D61" w:rsidRPr="007E6D61">
        <w:rPr>
          <w:rFonts w:cs="Times New Roman"/>
          <w:szCs w:val="24"/>
          <w:lang w:val="tr-TR"/>
        </w:rPr>
        <w:t xml:space="preserve"> </w:t>
      </w:r>
      <w:r w:rsidR="007E6D61" w:rsidRPr="005C5574">
        <w:rPr>
          <w:rFonts w:cs="Times New Roman"/>
          <w:szCs w:val="24"/>
          <w:lang w:val="tr-TR"/>
        </w:rPr>
        <w:t>(</w:t>
      </w:r>
      <w:r w:rsidR="007E6D61" w:rsidRPr="009E5076">
        <w:rPr>
          <w:rFonts w:cs="Times New Roman"/>
          <w:szCs w:val="24"/>
          <w:lang w:val="tr-TR"/>
        </w:rPr>
        <w:t>Detaylı bilgi için Organik İnce Kimyasalların Üretimi İçin MET Referans Belgesinin 4.</w:t>
      </w:r>
      <w:r w:rsidR="007E6D61">
        <w:rPr>
          <w:rFonts w:cs="Times New Roman"/>
          <w:szCs w:val="24"/>
          <w:lang w:val="tr-TR"/>
        </w:rPr>
        <w:t>3.1.4, 4.3.1.5 ve 4.3.1.6</w:t>
      </w:r>
      <w:r w:rsidR="007E6D61" w:rsidRPr="009E5076">
        <w:rPr>
          <w:rFonts w:cs="Times New Roman"/>
          <w:szCs w:val="24"/>
          <w:lang w:val="tr-TR"/>
        </w:rPr>
        <w:t xml:space="preserve"> kıs</w:t>
      </w:r>
      <w:r w:rsidR="007E6D61">
        <w:rPr>
          <w:rFonts w:cs="Times New Roman"/>
          <w:szCs w:val="24"/>
          <w:lang w:val="tr-TR"/>
        </w:rPr>
        <w:t>ımların</w:t>
      </w:r>
      <w:r w:rsidR="007E6D61" w:rsidRPr="009E5076">
        <w:rPr>
          <w:rFonts w:cs="Times New Roman"/>
          <w:szCs w:val="24"/>
          <w:lang w:val="tr-TR"/>
        </w:rPr>
        <w:t>ı inceleyiniz</w:t>
      </w:r>
      <w:r w:rsidR="007E6D61">
        <w:rPr>
          <w:rFonts w:cs="Times New Roman"/>
          <w:szCs w:val="24"/>
          <w:lang w:val="tr-TR"/>
        </w:rPr>
        <w:t>.)</w:t>
      </w:r>
    </w:p>
    <w:p w14:paraId="57382A46" w14:textId="3589C1BD" w:rsidR="00E1361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32: </w:t>
      </w:r>
      <w:r w:rsidRPr="00F50C10">
        <w:rPr>
          <w:rFonts w:cs="Times New Roman"/>
          <w:szCs w:val="24"/>
          <w:lang w:val="tr-TR"/>
        </w:rPr>
        <w:t>Atık akışının kaynağını belirlemek için ayrıntılı bir atık akışı analizi gerçekleştir</w:t>
      </w:r>
      <w:r w:rsidR="000E3210" w:rsidRPr="00F50C10">
        <w:rPr>
          <w:rFonts w:cs="Times New Roman"/>
          <w:szCs w:val="24"/>
          <w:lang w:val="tr-TR"/>
        </w:rPr>
        <w:t>ilir</w:t>
      </w:r>
      <w:r w:rsidRPr="00F50C10">
        <w:rPr>
          <w:rFonts w:cs="Times New Roman"/>
          <w:szCs w:val="24"/>
          <w:lang w:val="tr-TR"/>
        </w:rPr>
        <w:t xml:space="preserve"> ve </w:t>
      </w:r>
      <w:r w:rsidR="00642385" w:rsidRPr="00F50C10">
        <w:rPr>
          <w:rFonts w:cs="Times New Roman"/>
          <w:szCs w:val="24"/>
          <w:lang w:val="tr-TR"/>
        </w:rPr>
        <w:t>çıkış</w:t>
      </w:r>
      <w:r w:rsidRPr="00F50C10">
        <w:rPr>
          <w:rFonts w:cs="Times New Roman"/>
          <w:szCs w:val="24"/>
          <w:lang w:val="tr-TR"/>
        </w:rPr>
        <w:t xml:space="preserve"> gazlarının, atık su akışlarının ve katı kalıntıların yönetimini ve uygun şekilde arıtılmasını sağlamak için bir temel veri seti oluştur</w:t>
      </w:r>
      <w:r w:rsidR="000E3210" w:rsidRPr="00F50C10">
        <w:rPr>
          <w:rFonts w:cs="Times New Roman"/>
          <w:szCs w:val="24"/>
          <w:lang w:val="tr-TR"/>
        </w:rPr>
        <w:t>ulu</w:t>
      </w:r>
      <w:r w:rsidRPr="00F50C10">
        <w:rPr>
          <w:rFonts w:cs="Times New Roman"/>
          <w:szCs w:val="24"/>
          <w:lang w:val="tr-TR"/>
        </w:rPr>
        <w:t>r.</w:t>
      </w:r>
      <w:r w:rsidR="00E1361C" w:rsidRPr="00E1361C">
        <w:rPr>
          <w:rFonts w:cs="Times New Roman"/>
          <w:szCs w:val="24"/>
          <w:lang w:val="tr-TR"/>
        </w:rPr>
        <w:t xml:space="preserve"> </w:t>
      </w:r>
      <w:r w:rsidR="00E1361C" w:rsidRPr="005C5574">
        <w:rPr>
          <w:rFonts w:cs="Times New Roman"/>
          <w:szCs w:val="24"/>
          <w:lang w:val="tr-TR"/>
        </w:rPr>
        <w:t>(</w:t>
      </w:r>
      <w:r w:rsidR="00E1361C" w:rsidRPr="009E5076">
        <w:rPr>
          <w:rFonts w:cs="Times New Roman"/>
          <w:szCs w:val="24"/>
          <w:lang w:val="tr-TR"/>
        </w:rPr>
        <w:t>Detaylı bilgi için Organik İnce Kimyasalların Üretimi İçin MET Referans Belgesinin 4.</w:t>
      </w:r>
      <w:r w:rsidR="00E1361C">
        <w:rPr>
          <w:rFonts w:cs="Times New Roman"/>
          <w:szCs w:val="24"/>
          <w:lang w:val="tr-TR"/>
        </w:rPr>
        <w:t xml:space="preserve">3.1.1 kısmını </w:t>
      </w:r>
      <w:r w:rsidR="00E1361C" w:rsidRPr="009E5076">
        <w:rPr>
          <w:rFonts w:cs="Times New Roman"/>
          <w:szCs w:val="24"/>
          <w:lang w:val="tr-TR"/>
        </w:rPr>
        <w:t>inceleyiniz</w:t>
      </w:r>
      <w:r w:rsidR="00E1361C">
        <w:rPr>
          <w:rFonts w:cs="Times New Roman"/>
          <w:szCs w:val="24"/>
          <w:lang w:val="tr-TR"/>
        </w:rPr>
        <w:t>.)</w:t>
      </w:r>
    </w:p>
    <w:p w14:paraId="63BAB218" w14:textId="70F126FF" w:rsidR="00496ADC" w:rsidRPr="00F50C10" w:rsidRDefault="00496ADC" w:rsidP="000B206D">
      <w:pPr>
        <w:spacing w:before="120" w:after="60" w:line="276" w:lineRule="auto"/>
        <w:rPr>
          <w:rFonts w:cs="Times New Roman"/>
          <w:szCs w:val="24"/>
          <w:lang w:val="tr-TR"/>
        </w:rPr>
      </w:pPr>
      <w:r w:rsidRPr="00F50C10">
        <w:rPr>
          <w:rFonts w:cs="Times New Roman"/>
          <w:b/>
          <w:bCs/>
          <w:szCs w:val="24"/>
          <w:lang w:val="tr-TR"/>
        </w:rPr>
        <w:t xml:space="preserve">MET 33: </w:t>
      </w:r>
      <w:r w:rsidR="00642385" w:rsidRPr="00F50C10">
        <w:rPr>
          <w:rFonts w:cs="Times New Roman"/>
          <w:szCs w:val="24"/>
          <w:lang w:val="tr-TR"/>
        </w:rPr>
        <w:t>Parametre bilimsel açıdan ilgisiz</w:t>
      </w:r>
      <w:r w:rsidRPr="00F50C10">
        <w:rPr>
          <w:rFonts w:cs="Times New Roman"/>
          <w:szCs w:val="24"/>
          <w:lang w:val="tr-TR"/>
        </w:rPr>
        <w:t xml:space="preserve"> görü</w:t>
      </w:r>
      <w:r w:rsidR="00642385" w:rsidRPr="00F50C10">
        <w:rPr>
          <w:rFonts w:cs="Times New Roman"/>
          <w:szCs w:val="24"/>
          <w:lang w:val="tr-TR"/>
        </w:rPr>
        <w:t>l</w:t>
      </w:r>
      <w:r w:rsidRPr="00F50C10">
        <w:rPr>
          <w:rFonts w:cs="Times New Roman"/>
          <w:szCs w:val="24"/>
          <w:lang w:val="tr-TR"/>
        </w:rPr>
        <w:t xml:space="preserve">mediği sürece, atık su akışları için en azından </w:t>
      </w:r>
      <w:r w:rsidRPr="00F50C10">
        <w:rPr>
          <w:rFonts w:cs="Times New Roman"/>
          <w:szCs w:val="24"/>
          <w:lang w:val="tr-TR"/>
        </w:rPr>
        <w:fldChar w:fldCharType="begin"/>
      </w:r>
      <w:r w:rsidRPr="00F50C10">
        <w:rPr>
          <w:rFonts w:cs="Times New Roman"/>
          <w:szCs w:val="24"/>
          <w:lang w:val="tr-TR"/>
        </w:rPr>
        <w:instrText xml:space="preserve"> REF _Ref135223544 \h  \* MERGEFORMAT </w:instrText>
      </w:r>
      <w:r w:rsidRPr="00F50C10">
        <w:rPr>
          <w:rFonts w:cs="Times New Roman"/>
          <w:szCs w:val="24"/>
          <w:lang w:val="tr-TR"/>
        </w:rPr>
      </w:r>
      <w:r w:rsidRPr="00F50C10">
        <w:rPr>
          <w:rFonts w:cs="Times New Roman"/>
          <w:szCs w:val="24"/>
          <w:lang w:val="tr-TR"/>
        </w:rPr>
        <w:fldChar w:fldCharType="separate"/>
      </w:r>
      <w:r w:rsidRPr="00F50C10">
        <w:rPr>
          <w:rFonts w:cs="Times New Roman"/>
          <w:szCs w:val="24"/>
          <w:lang w:val="tr-TR"/>
        </w:rPr>
        <w:t xml:space="preserve">Tablo </w:t>
      </w:r>
      <w:r w:rsidRPr="00F50C10">
        <w:rPr>
          <w:rFonts w:cs="Times New Roman"/>
          <w:noProof/>
          <w:szCs w:val="24"/>
          <w:lang w:val="tr-TR"/>
        </w:rPr>
        <w:t>1</w:t>
      </w:r>
      <w:r w:rsidRPr="00F50C10">
        <w:rPr>
          <w:rFonts w:cs="Times New Roman"/>
          <w:szCs w:val="24"/>
          <w:lang w:val="tr-TR"/>
        </w:rPr>
        <w:fldChar w:fldCharType="end"/>
      </w:r>
      <w:r w:rsidRPr="00F50C10">
        <w:rPr>
          <w:rFonts w:cs="Times New Roman"/>
          <w:szCs w:val="24"/>
          <w:lang w:val="tr-TR"/>
        </w:rPr>
        <w:t>'de verilen parametreler değerlen</w:t>
      </w:r>
      <w:r w:rsidR="000E3210" w:rsidRPr="00F50C10">
        <w:rPr>
          <w:rFonts w:cs="Times New Roman"/>
          <w:szCs w:val="24"/>
          <w:lang w:val="tr-TR"/>
        </w:rPr>
        <w:t>dirili</w:t>
      </w:r>
      <w:r w:rsidRPr="00F50C10">
        <w:rPr>
          <w:rFonts w:cs="Times New Roman"/>
          <w:szCs w:val="24"/>
          <w:lang w:val="tr-TR"/>
        </w:rPr>
        <w:t>r.</w:t>
      </w:r>
      <w:r w:rsidR="00E1361C" w:rsidRPr="00E1361C">
        <w:rPr>
          <w:rFonts w:cs="Times New Roman"/>
          <w:szCs w:val="24"/>
          <w:lang w:val="tr-TR"/>
        </w:rPr>
        <w:t xml:space="preserve"> </w:t>
      </w:r>
      <w:r w:rsidR="00E1361C" w:rsidRPr="005C5574">
        <w:rPr>
          <w:rFonts w:cs="Times New Roman"/>
          <w:szCs w:val="24"/>
          <w:lang w:val="tr-TR"/>
        </w:rPr>
        <w:t>(</w:t>
      </w:r>
      <w:r w:rsidR="00E1361C" w:rsidRPr="009E5076">
        <w:rPr>
          <w:rFonts w:cs="Times New Roman"/>
          <w:szCs w:val="24"/>
          <w:lang w:val="tr-TR"/>
        </w:rPr>
        <w:t>Detaylı bilgi için Organik İnce Kimyasalların Üretimi İçin MET Referans Belgesinin 4.</w:t>
      </w:r>
      <w:r w:rsidR="00E1361C">
        <w:rPr>
          <w:rFonts w:cs="Times New Roman"/>
          <w:szCs w:val="24"/>
          <w:lang w:val="tr-TR"/>
        </w:rPr>
        <w:t xml:space="preserve">3.1.2 kısmını </w:t>
      </w:r>
      <w:r w:rsidR="00E1361C" w:rsidRPr="009E5076">
        <w:rPr>
          <w:rFonts w:cs="Times New Roman"/>
          <w:szCs w:val="24"/>
          <w:lang w:val="tr-TR"/>
        </w:rPr>
        <w:t>inceleyiniz</w:t>
      </w:r>
      <w:r w:rsidR="00E1361C">
        <w:rPr>
          <w:rFonts w:cs="Times New Roman"/>
          <w:szCs w:val="24"/>
          <w:lang w:val="tr-TR"/>
        </w:rPr>
        <w:t>.)</w:t>
      </w:r>
    </w:p>
    <w:p w14:paraId="0C4F3656" w14:textId="77777777" w:rsidR="00496ADC" w:rsidRPr="00F50C10" w:rsidRDefault="00496ADC" w:rsidP="000B206D">
      <w:pPr>
        <w:keepNext/>
        <w:spacing w:before="120" w:after="60" w:line="276" w:lineRule="auto"/>
        <w:rPr>
          <w:rFonts w:cs="Times New Roman"/>
          <w:b/>
          <w:iCs/>
          <w:color w:val="000000" w:themeColor="text1"/>
          <w:szCs w:val="24"/>
          <w:lang w:val="tr-TR"/>
        </w:rPr>
      </w:pPr>
      <w:bookmarkStart w:id="158" w:name="_Ref135223544"/>
      <w:bookmarkStart w:id="159" w:name="_Toc135050097"/>
      <w:r w:rsidRPr="00F50C10">
        <w:rPr>
          <w:rFonts w:cs="Times New Roman"/>
          <w:b/>
          <w:iCs/>
          <w:color w:val="000000" w:themeColor="text1"/>
          <w:szCs w:val="24"/>
          <w:lang w:val="tr-TR"/>
        </w:rPr>
        <w:t xml:space="preserve">Tablo </w:t>
      </w:r>
      <w:r w:rsidRPr="00F50C10">
        <w:rPr>
          <w:rFonts w:cs="Times New Roman"/>
          <w:b/>
          <w:iCs/>
          <w:color w:val="000000" w:themeColor="text1"/>
          <w:szCs w:val="24"/>
          <w:lang w:val="tr-TR"/>
        </w:rPr>
        <w:fldChar w:fldCharType="begin"/>
      </w:r>
      <w:r w:rsidRPr="00F50C10">
        <w:rPr>
          <w:rFonts w:cs="Times New Roman"/>
          <w:b/>
          <w:iCs/>
          <w:color w:val="000000" w:themeColor="text1"/>
          <w:szCs w:val="24"/>
          <w:lang w:val="tr-TR"/>
        </w:rPr>
        <w:instrText xml:space="preserve"> SEQ Tablo \* ARABIC </w:instrText>
      </w:r>
      <w:r w:rsidRPr="00F50C10">
        <w:rPr>
          <w:rFonts w:cs="Times New Roman"/>
          <w:b/>
          <w:iCs/>
          <w:color w:val="000000" w:themeColor="text1"/>
          <w:szCs w:val="24"/>
          <w:lang w:val="tr-TR"/>
        </w:rPr>
        <w:fldChar w:fldCharType="separate"/>
      </w:r>
      <w:r w:rsidRPr="00F50C10">
        <w:rPr>
          <w:rFonts w:cs="Times New Roman"/>
          <w:b/>
          <w:iCs/>
          <w:noProof/>
          <w:color w:val="000000" w:themeColor="text1"/>
          <w:szCs w:val="24"/>
          <w:lang w:val="tr-TR"/>
        </w:rPr>
        <w:t>1</w:t>
      </w:r>
      <w:r w:rsidRPr="00F50C10">
        <w:rPr>
          <w:rFonts w:cs="Times New Roman"/>
          <w:b/>
          <w:iCs/>
          <w:color w:val="000000" w:themeColor="text1"/>
          <w:szCs w:val="24"/>
          <w:lang w:val="tr-TR"/>
        </w:rPr>
        <w:fldChar w:fldCharType="end"/>
      </w:r>
      <w:bookmarkEnd w:id="158"/>
      <w:r w:rsidRPr="00F50C10">
        <w:rPr>
          <w:rFonts w:cs="Times New Roman"/>
          <w:b/>
          <w:iCs/>
          <w:color w:val="000000" w:themeColor="text1"/>
          <w:szCs w:val="24"/>
          <w:lang w:val="tr-TR"/>
        </w:rPr>
        <w:t>. Atık su akışlarının değerlendirilmesi için parametreler</w:t>
      </w:r>
      <w:bookmarkEnd w:id="15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024"/>
        <w:gridCol w:w="3286"/>
      </w:tblGrid>
      <w:tr w:rsidR="00496ADC" w:rsidRPr="00F50C10" w14:paraId="0E714826" w14:textId="77777777" w:rsidTr="00375F59">
        <w:trPr>
          <w:trHeight w:val="20"/>
          <w:tblHeader/>
        </w:trPr>
        <w:tc>
          <w:tcPr>
            <w:tcW w:w="3235" w:type="pct"/>
            <w:vAlign w:val="center"/>
          </w:tcPr>
          <w:p w14:paraId="55E43F22" w14:textId="77777777" w:rsidR="00496ADC" w:rsidRPr="00F50C10" w:rsidRDefault="00496ADC" w:rsidP="000B206D">
            <w:pPr>
              <w:widowControl w:val="0"/>
              <w:autoSpaceDE w:val="0"/>
              <w:autoSpaceDN w:val="0"/>
              <w:spacing w:line="276" w:lineRule="auto"/>
              <w:jc w:val="left"/>
              <w:rPr>
                <w:rFonts w:eastAsia="Times New Roman" w:cs="Times New Roman"/>
                <w:b/>
                <w:szCs w:val="24"/>
                <w:lang w:val="tr-TR"/>
              </w:rPr>
            </w:pPr>
            <w:r w:rsidRPr="00F50C10">
              <w:rPr>
                <w:rFonts w:eastAsia="Times New Roman" w:cs="Times New Roman"/>
                <w:b/>
                <w:szCs w:val="24"/>
                <w:lang w:val="tr-TR" w:bidi="tr-TR"/>
              </w:rPr>
              <w:t>Parametre</w:t>
            </w:r>
          </w:p>
        </w:tc>
        <w:tc>
          <w:tcPr>
            <w:tcW w:w="1765" w:type="pct"/>
            <w:vAlign w:val="center"/>
          </w:tcPr>
          <w:p w14:paraId="3056D68A"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p>
        </w:tc>
      </w:tr>
      <w:tr w:rsidR="00496ADC" w:rsidRPr="00F50C10" w14:paraId="54EE3758" w14:textId="77777777" w:rsidTr="00375F59">
        <w:trPr>
          <w:trHeight w:val="20"/>
        </w:trPr>
        <w:tc>
          <w:tcPr>
            <w:tcW w:w="3235" w:type="pct"/>
            <w:vAlign w:val="center"/>
          </w:tcPr>
          <w:p w14:paraId="2AE98F61"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Parti başına miktar</w:t>
            </w:r>
          </w:p>
        </w:tc>
        <w:tc>
          <w:tcPr>
            <w:tcW w:w="1765" w:type="pct"/>
            <w:vMerge w:val="restart"/>
            <w:vAlign w:val="center"/>
          </w:tcPr>
          <w:p w14:paraId="5D2E5135"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Standart</w:t>
            </w:r>
          </w:p>
        </w:tc>
      </w:tr>
      <w:tr w:rsidR="00496ADC" w:rsidRPr="00F50C10" w14:paraId="5573F20A" w14:textId="77777777" w:rsidTr="00375F59">
        <w:trPr>
          <w:trHeight w:val="20"/>
        </w:trPr>
        <w:tc>
          <w:tcPr>
            <w:tcW w:w="3235" w:type="pct"/>
            <w:vAlign w:val="center"/>
          </w:tcPr>
          <w:p w14:paraId="51CE03AF"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Yıllık parti sayısı</w:t>
            </w:r>
          </w:p>
        </w:tc>
        <w:tc>
          <w:tcPr>
            <w:tcW w:w="1765" w:type="pct"/>
            <w:vMerge/>
            <w:tcBorders>
              <w:top w:val="nil"/>
            </w:tcBorders>
            <w:vAlign w:val="center"/>
          </w:tcPr>
          <w:p w14:paraId="67702CCF" w14:textId="77777777" w:rsidR="00496ADC" w:rsidRPr="00F50C10" w:rsidRDefault="00496ADC" w:rsidP="000B206D">
            <w:pPr>
              <w:spacing w:line="276" w:lineRule="auto"/>
              <w:jc w:val="left"/>
              <w:rPr>
                <w:rFonts w:cs="Times New Roman"/>
                <w:szCs w:val="24"/>
                <w:lang w:val="tr-TR"/>
              </w:rPr>
            </w:pPr>
          </w:p>
        </w:tc>
      </w:tr>
      <w:tr w:rsidR="00496ADC" w:rsidRPr="00F50C10" w14:paraId="7A52810B" w14:textId="77777777" w:rsidTr="00375F59">
        <w:trPr>
          <w:trHeight w:val="20"/>
        </w:trPr>
        <w:tc>
          <w:tcPr>
            <w:tcW w:w="3235" w:type="pct"/>
            <w:vAlign w:val="center"/>
          </w:tcPr>
          <w:p w14:paraId="5C19589A"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Günlük miktar</w:t>
            </w:r>
          </w:p>
        </w:tc>
        <w:tc>
          <w:tcPr>
            <w:tcW w:w="1765" w:type="pct"/>
            <w:vMerge/>
            <w:tcBorders>
              <w:top w:val="nil"/>
            </w:tcBorders>
            <w:vAlign w:val="center"/>
          </w:tcPr>
          <w:p w14:paraId="5368E628" w14:textId="77777777" w:rsidR="00496ADC" w:rsidRPr="00F50C10" w:rsidRDefault="00496ADC" w:rsidP="000B206D">
            <w:pPr>
              <w:spacing w:line="276" w:lineRule="auto"/>
              <w:jc w:val="left"/>
              <w:rPr>
                <w:rFonts w:cs="Times New Roman"/>
                <w:szCs w:val="24"/>
                <w:lang w:val="tr-TR"/>
              </w:rPr>
            </w:pPr>
          </w:p>
        </w:tc>
      </w:tr>
      <w:tr w:rsidR="00496ADC" w:rsidRPr="00F50C10" w14:paraId="0435BB63" w14:textId="77777777" w:rsidTr="00375F59">
        <w:trPr>
          <w:trHeight w:val="20"/>
        </w:trPr>
        <w:tc>
          <w:tcPr>
            <w:tcW w:w="3235" w:type="pct"/>
            <w:vAlign w:val="center"/>
          </w:tcPr>
          <w:p w14:paraId="4A2D6E25"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Yıllık miktar</w:t>
            </w:r>
          </w:p>
        </w:tc>
        <w:tc>
          <w:tcPr>
            <w:tcW w:w="1765" w:type="pct"/>
            <w:vMerge/>
            <w:tcBorders>
              <w:top w:val="nil"/>
            </w:tcBorders>
            <w:vAlign w:val="center"/>
          </w:tcPr>
          <w:p w14:paraId="4BE751B0" w14:textId="77777777" w:rsidR="00496ADC" w:rsidRPr="00F50C10" w:rsidRDefault="00496ADC" w:rsidP="000B206D">
            <w:pPr>
              <w:spacing w:line="276" w:lineRule="auto"/>
              <w:jc w:val="left"/>
              <w:rPr>
                <w:rFonts w:cs="Times New Roman"/>
                <w:szCs w:val="24"/>
                <w:lang w:val="tr-TR"/>
              </w:rPr>
            </w:pPr>
          </w:p>
        </w:tc>
      </w:tr>
      <w:tr w:rsidR="00496ADC" w:rsidRPr="00F50C10" w14:paraId="2A841D40" w14:textId="77777777" w:rsidTr="00375F59">
        <w:trPr>
          <w:trHeight w:val="20"/>
        </w:trPr>
        <w:tc>
          <w:tcPr>
            <w:tcW w:w="3235" w:type="pct"/>
            <w:vAlign w:val="center"/>
          </w:tcPr>
          <w:p w14:paraId="1C626E67"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KOİ veya TOK</w:t>
            </w:r>
          </w:p>
        </w:tc>
        <w:tc>
          <w:tcPr>
            <w:tcW w:w="1765" w:type="pct"/>
            <w:vMerge/>
            <w:tcBorders>
              <w:top w:val="nil"/>
            </w:tcBorders>
            <w:vAlign w:val="center"/>
          </w:tcPr>
          <w:p w14:paraId="07322A0E" w14:textId="77777777" w:rsidR="00496ADC" w:rsidRPr="00F50C10" w:rsidRDefault="00496ADC" w:rsidP="000B206D">
            <w:pPr>
              <w:spacing w:line="276" w:lineRule="auto"/>
              <w:jc w:val="left"/>
              <w:rPr>
                <w:rFonts w:cs="Times New Roman"/>
                <w:szCs w:val="24"/>
                <w:lang w:val="tr-TR"/>
              </w:rPr>
            </w:pPr>
          </w:p>
        </w:tc>
      </w:tr>
      <w:tr w:rsidR="00496ADC" w:rsidRPr="00F50C10" w14:paraId="1D3F6C28" w14:textId="77777777" w:rsidTr="00375F59">
        <w:trPr>
          <w:trHeight w:val="20"/>
        </w:trPr>
        <w:tc>
          <w:tcPr>
            <w:tcW w:w="3235" w:type="pct"/>
            <w:vAlign w:val="center"/>
          </w:tcPr>
          <w:p w14:paraId="2962E2A3"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BOİ</w:t>
            </w:r>
            <w:r w:rsidRPr="00F50C10">
              <w:rPr>
                <w:rFonts w:eastAsia="Times New Roman" w:cs="Times New Roman"/>
                <w:szCs w:val="24"/>
                <w:vertAlign w:val="subscript"/>
                <w:lang w:val="tr-TR" w:bidi="tr-TR"/>
              </w:rPr>
              <w:t>5</w:t>
            </w:r>
          </w:p>
        </w:tc>
        <w:tc>
          <w:tcPr>
            <w:tcW w:w="1765" w:type="pct"/>
            <w:vMerge/>
            <w:tcBorders>
              <w:top w:val="nil"/>
            </w:tcBorders>
            <w:vAlign w:val="center"/>
          </w:tcPr>
          <w:p w14:paraId="519D5E81" w14:textId="77777777" w:rsidR="00496ADC" w:rsidRPr="00F50C10" w:rsidRDefault="00496ADC" w:rsidP="000B206D">
            <w:pPr>
              <w:spacing w:line="276" w:lineRule="auto"/>
              <w:jc w:val="left"/>
              <w:rPr>
                <w:rFonts w:cs="Times New Roman"/>
                <w:szCs w:val="24"/>
                <w:lang w:val="tr-TR"/>
              </w:rPr>
            </w:pPr>
          </w:p>
        </w:tc>
      </w:tr>
      <w:tr w:rsidR="00496ADC" w:rsidRPr="00F50C10" w14:paraId="2B409295" w14:textId="77777777" w:rsidTr="00375F59">
        <w:trPr>
          <w:trHeight w:val="20"/>
        </w:trPr>
        <w:tc>
          <w:tcPr>
            <w:tcW w:w="3235" w:type="pct"/>
            <w:vAlign w:val="center"/>
          </w:tcPr>
          <w:p w14:paraId="25250696"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pH</w:t>
            </w:r>
          </w:p>
        </w:tc>
        <w:tc>
          <w:tcPr>
            <w:tcW w:w="1765" w:type="pct"/>
            <w:vMerge/>
            <w:tcBorders>
              <w:top w:val="nil"/>
            </w:tcBorders>
            <w:vAlign w:val="center"/>
          </w:tcPr>
          <w:p w14:paraId="187A69FB" w14:textId="77777777" w:rsidR="00496ADC" w:rsidRPr="00F50C10" w:rsidRDefault="00496ADC" w:rsidP="000B206D">
            <w:pPr>
              <w:spacing w:line="276" w:lineRule="auto"/>
              <w:jc w:val="left"/>
              <w:rPr>
                <w:rFonts w:cs="Times New Roman"/>
                <w:szCs w:val="24"/>
                <w:lang w:val="tr-TR"/>
              </w:rPr>
            </w:pPr>
          </w:p>
        </w:tc>
      </w:tr>
      <w:tr w:rsidR="00496ADC" w:rsidRPr="00F50C10" w14:paraId="69B77E2B" w14:textId="77777777" w:rsidTr="00375F59">
        <w:trPr>
          <w:trHeight w:val="20"/>
        </w:trPr>
        <w:tc>
          <w:tcPr>
            <w:tcW w:w="3235" w:type="pct"/>
            <w:vAlign w:val="center"/>
          </w:tcPr>
          <w:p w14:paraId="67443425"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Biyolojik olarak yok edilebilirlik</w:t>
            </w:r>
          </w:p>
        </w:tc>
        <w:tc>
          <w:tcPr>
            <w:tcW w:w="1765" w:type="pct"/>
            <w:vMerge/>
            <w:tcBorders>
              <w:top w:val="nil"/>
            </w:tcBorders>
            <w:vAlign w:val="center"/>
          </w:tcPr>
          <w:p w14:paraId="3E915D5D" w14:textId="77777777" w:rsidR="00496ADC" w:rsidRPr="00F50C10" w:rsidRDefault="00496ADC" w:rsidP="000B206D">
            <w:pPr>
              <w:spacing w:line="276" w:lineRule="auto"/>
              <w:jc w:val="left"/>
              <w:rPr>
                <w:rFonts w:cs="Times New Roman"/>
                <w:szCs w:val="24"/>
                <w:lang w:val="tr-TR"/>
              </w:rPr>
            </w:pPr>
          </w:p>
        </w:tc>
      </w:tr>
      <w:tr w:rsidR="00496ADC" w:rsidRPr="00F50C10" w14:paraId="26CE915F" w14:textId="77777777" w:rsidTr="00375F59">
        <w:trPr>
          <w:trHeight w:val="20"/>
        </w:trPr>
        <w:tc>
          <w:tcPr>
            <w:tcW w:w="3235" w:type="pct"/>
            <w:vAlign w:val="center"/>
          </w:tcPr>
          <w:p w14:paraId="3F70191A"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Biyolojik engelleme (nitrifikasyon dahil)</w:t>
            </w:r>
          </w:p>
        </w:tc>
        <w:tc>
          <w:tcPr>
            <w:tcW w:w="1765" w:type="pct"/>
            <w:vMerge/>
            <w:tcBorders>
              <w:top w:val="nil"/>
            </w:tcBorders>
            <w:vAlign w:val="center"/>
          </w:tcPr>
          <w:p w14:paraId="4A7FE059" w14:textId="77777777" w:rsidR="00496ADC" w:rsidRPr="00F50C10" w:rsidRDefault="00496ADC" w:rsidP="000B206D">
            <w:pPr>
              <w:spacing w:line="276" w:lineRule="auto"/>
              <w:jc w:val="left"/>
              <w:rPr>
                <w:rFonts w:cs="Times New Roman"/>
                <w:szCs w:val="24"/>
                <w:lang w:val="tr-TR"/>
              </w:rPr>
            </w:pPr>
          </w:p>
        </w:tc>
      </w:tr>
      <w:tr w:rsidR="00496ADC" w:rsidRPr="00F50C10" w14:paraId="11E16FB5" w14:textId="77777777" w:rsidTr="00375F59">
        <w:trPr>
          <w:trHeight w:val="20"/>
        </w:trPr>
        <w:tc>
          <w:tcPr>
            <w:tcW w:w="3235" w:type="pct"/>
            <w:vAlign w:val="center"/>
          </w:tcPr>
          <w:p w14:paraId="5DABB796"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AOX</w:t>
            </w:r>
          </w:p>
        </w:tc>
        <w:tc>
          <w:tcPr>
            <w:tcW w:w="1765" w:type="pct"/>
            <w:vMerge w:val="restart"/>
            <w:vAlign w:val="center"/>
          </w:tcPr>
          <w:p w14:paraId="1FAED9AC"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Hangi durumlarda beklendiği</w:t>
            </w:r>
          </w:p>
        </w:tc>
      </w:tr>
      <w:tr w:rsidR="00496ADC" w:rsidRPr="00F50C10" w14:paraId="734ADF03" w14:textId="77777777" w:rsidTr="00375F59">
        <w:trPr>
          <w:trHeight w:val="20"/>
        </w:trPr>
        <w:tc>
          <w:tcPr>
            <w:tcW w:w="3235" w:type="pct"/>
            <w:vAlign w:val="center"/>
          </w:tcPr>
          <w:p w14:paraId="10872C87"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CHC’ler</w:t>
            </w:r>
          </w:p>
        </w:tc>
        <w:tc>
          <w:tcPr>
            <w:tcW w:w="1765" w:type="pct"/>
            <w:vMerge/>
            <w:tcBorders>
              <w:top w:val="nil"/>
            </w:tcBorders>
            <w:vAlign w:val="center"/>
          </w:tcPr>
          <w:p w14:paraId="2CC3EC3E" w14:textId="77777777" w:rsidR="00496ADC" w:rsidRPr="00F50C10" w:rsidRDefault="00496ADC" w:rsidP="000B206D">
            <w:pPr>
              <w:spacing w:line="276" w:lineRule="auto"/>
              <w:jc w:val="left"/>
              <w:rPr>
                <w:rFonts w:cs="Times New Roman"/>
                <w:szCs w:val="24"/>
                <w:lang w:val="tr-TR"/>
              </w:rPr>
            </w:pPr>
          </w:p>
        </w:tc>
      </w:tr>
      <w:tr w:rsidR="00496ADC" w:rsidRPr="00F50C10" w14:paraId="2335A1C5" w14:textId="77777777" w:rsidTr="00375F59">
        <w:trPr>
          <w:trHeight w:val="20"/>
        </w:trPr>
        <w:tc>
          <w:tcPr>
            <w:tcW w:w="3235" w:type="pct"/>
            <w:vAlign w:val="center"/>
          </w:tcPr>
          <w:p w14:paraId="1A5A63CA"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Çözücüler</w:t>
            </w:r>
          </w:p>
        </w:tc>
        <w:tc>
          <w:tcPr>
            <w:tcW w:w="1765" w:type="pct"/>
            <w:vMerge/>
            <w:tcBorders>
              <w:top w:val="nil"/>
            </w:tcBorders>
            <w:vAlign w:val="center"/>
          </w:tcPr>
          <w:p w14:paraId="18B2ECDD" w14:textId="77777777" w:rsidR="00496ADC" w:rsidRPr="00F50C10" w:rsidRDefault="00496ADC" w:rsidP="000B206D">
            <w:pPr>
              <w:spacing w:line="276" w:lineRule="auto"/>
              <w:jc w:val="left"/>
              <w:rPr>
                <w:rFonts w:cs="Times New Roman"/>
                <w:szCs w:val="24"/>
                <w:lang w:val="tr-TR"/>
              </w:rPr>
            </w:pPr>
          </w:p>
        </w:tc>
      </w:tr>
      <w:tr w:rsidR="00496ADC" w:rsidRPr="00F50C10" w14:paraId="4949FE8C" w14:textId="77777777" w:rsidTr="00375F59">
        <w:trPr>
          <w:trHeight w:val="20"/>
        </w:trPr>
        <w:tc>
          <w:tcPr>
            <w:tcW w:w="3235" w:type="pct"/>
            <w:vAlign w:val="center"/>
          </w:tcPr>
          <w:p w14:paraId="5B8BC0FB"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Ağır metaller</w:t>
            </w:r>
          </w:p>
        </w:tc>
        <w:tc>
          <w:tcPr>
            <w:tcW w:w="1765" w:type="pct"/>
            <w:vMerge/>
            <w:tcBorders>
              <w:top w:val="nil"/>
            </w:tcBorders>
            <w:vAlign w:val="center"/>
          </w:tcPr>
          <w:p w14:paraId="1B7742CA" w14:textId="77777777" w:rsidR="00496ADC" w:rsidRPr="00F50C10" w:rsidRDefault="00496ADC" w:rsidP="000B206D">
            <w:pPr>
              <w:spacing w:line="276" w:lineRule="auto"/>
              <w:jc w:val="left"/>
              <w:rPr>
                <w:rFonts w:cs="Times New Roman"/>
                <w:szCs w:val="24"/>
                <w:lang w:val="tr-TR"/>
              </w:rPr>
            </w:pPr>
          </w:p>
        </w:tc>
      </w:tr>
      <w:tr w:rsidR="00496ADC" w:rsidRPr="00F50C10" w14:paraId="082FB988" w14:textId="77777777" w:rsidTr="00375F59">
        <w:trPr>
          <w:trHeight w:val="20"/>
        </w:trPr>
        <w:tc>
          <w:tcPr>
            <w:tcW w:w="3235" w:type="pct"/>
            <w:vAlign w:val="center"/>
          </w:tcPr>
          <w:p w14:paraId="36B71F6B"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Toplam N</w:t>
            </w:r>
          </w:p>
        </w:tc>
        <w:tc>
          <w:tcPr>
            <w:tcW w:w="1765" w:type="pct"/>
            <w:vMerge/>
            <w:tcBorders>
              <w:top w:val="nil"/>
            </w:tcBorders>
            <w:vAlign w:val="center"/>
          </w:tcPr>
          <w:p w14:paraId="2A3D2E8E" w14:textId="77777777" w:rsidR="00496ADC" w:rsidRPr="00F50C10" w:rsidRDefault="00496ADC" w:rsidP="000B206D">
            <w:pPr>
              <w:spacing w:line="276" w:lineRule="auto"/>
              <w:jc w:val="left"/>
              <w:rPr>
                <w:rFonts w:cs="Times New Roman"/>
                <w:szCs w:val="24"/>
                <w:lang w:val="tr-TR"/>
              </w:rPr>
            </w:pPr>
          </w:p>
        </w:tc>
      </w:tr>
      <w:tr w:rsidR="00496ADC" w:rsidRPr="00F50C10" w14:paraId="664F97D3" w14:textId="77777777" w:rsidTr="00375F59">
        <w:trPr>
          <w:trHeight w:val="20"/>
        </w:trPr>
        <w:tc>
          <w:tcPr>
            <w:tcW w:w="3235" w:type="pct"/>
            <w:vAlign w:val="center"/>
          </w:tcPr>
          <w:p w14:paraId="29ED55DF"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Toplam P</w:t>
            </w:r>
          </w:p>
        </w:tc>
        <w:tc>
          <w:tcPr>
            <w:tcW w:w="1765" w:type="pct"/>
            <w:vMerge/>
            <w:tcBorders>
              <w:top w:val="nil"/>
            </w:tcBorders>
            <w:vAlign w:val="center"/>
          </w:tcPr>
          <w:p w14:paraId="11042016" w14:textId="77777777" w:rsidR="00496ADC" w:rsidRPr="00F50C10" w:rsidRDefault="00496ADC" w:rsidP="000B206D">
            <w:pPr>
              <w:spacing w:line="276" w:lineRule="auto"/>
              <w:jc w:val="left"/>
              <w:rPr>
                <w:rFonts w:cs="Times New Roman"/>
                <w:szCs w:val="24"/>
                <w:lang w:val="tr-TR"/>
              </w:rPr>
            </w:pPr>
          </w:p>
        </w:tc>
      </w:tr>
      <w:tr w:rsidR="00496ADC" w:rsidRPr="00F50C10" w14:paraId="49D12443" w14:textId="77777777" w:rsidTr="00375F59">
        <w:trPr>
          <w:trHeight w:val="20"/>
        </w:trPr>
        <w:tc>
          <w:tcPr>
            <w:tcW w:w="3235" w:type="pct"/>
            <w:vAlign w:val="center"/>
          </w:tcPr>
          <w:p w14:paraId="16805D76"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Klorür</w:t>
            </w:r>
          </w:p>
        </w:tc>
        <w:tc>
          <w:tcPr>
            <w:tcW w:w="1765" w:type="pct"/>
            <w:vMerge/>
            <w:tcBorders>
              <w:top w:val="nil"/>
            </w:tcBorders>
            <w:vAlign w:val="center"/>
          </w:tcPr>
          <w:p w14:paraId="558E293E" w14:textId="77777777" w:rsidR="00496ADC" w:rsidRPr="00F50C10" w:rsidRDefault="00496ADC" w:rsidP="000B206D">
            <w:pPr>
              <w:spacing w:line="276" w:lineRule="auto"/>
              <w:jc w:val="left"/>
              <w:rPr>
                <w:rFonts w:cs="Times New Roman"/>
                <w:szCs w:val="24"/>
                <w:lang w:val="tr-TR"/>
              </w:rPr>
            </w:pPr>
          </w:p>
        </w:tc>
      </w:tr>
      <w:tr w:rsidR="00496ADC" w:rsidRPr="00F50C10" w14:paraId="4A3E8B36" w14:textId="77777777" w:rsidTr="00375F59">
        <w:trPr>
          <w:trHeight w:val="20"/>
        </w:trPr>
        <w:tc>
          <w:tcPr>
            <w:tcW w:w="3235" w:type="pct"/>
            <w:vAlign w:val="center"/>
          </w:tcPr>
          <w:p w14:paraId="7768F807"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Bromür</w:t>
            </w:r>
          </w:p>
        </w:tc>
        <w:tc>
          <w:tcPr>
            <w:tcW w:w="1765" w:type="pct"/>
            <w:vMerge/>
            <w:tcBorders>
              <w:top w:val="nil"/>
            </w:tcBorders>
            <w:vAlign w:val="center"/>
          </w:tcPr>
          <w:p w14:paraId="11000EA5" w14:textId="77777777" w:rsidR="00496ADC" w:rsidRPr="00F50C10" w:rsidRDefault="00496ADC" w:rsidP="000B206D">
            <w:pPr>
              <w:spacing w:line="276" w:lineRule="auto"/>
              <w:jc w:val="left"/>
              <w:rPr>
                <w:rFonts w:cs="Times New Roman"/>
                <w:szCs w:val="24"/>
                <w:lang w:val="tr-TR"/>
              </w:rPr>
            </w:pPr>
          </w:p>
        </w:tc>
      </w:tr>
      <w:tr w:rsidR="00496ADC" w:rsidRPr="00F50C10" w14:paraId="4C42F9C7" w14:textId="77777777" w:rsidTr="00375F59">
        <w:trPr>
          <w:trHeight w:val="20"/>
        </w:trPr>
        <w:tc>
          <w:tcPr>
            <w:tcW w:w="3235" w:type="pct"/>
            <w:vAlign w:val="center"/>
          </w:tcPr>
          <w:p w14:paraId="5C6F6417"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SO</w:t>
            </w:r>
            <w:r w:rsidRPr="00F50C10">
              <w:rPr>
                <w:rFonts w:eastAsia="Times New Roman" w:cs="Times New Roman"/>
                <w:szCs w:val="24"/>
                <w:vertAlign w:val="subscript"/>
                <w:lang w:val="tr-TR" w:bidi="tr-TR"/>
              </w:rPr>
              <w:t>4</w:t>
            </w:r>
            <w:r w:rsidRPr="00F50C10">
              <w:rPr>
                <w:rFonts w:eastAsia="Times New Roman" w:cs="Times New Roman"/>
                <w:szCs w:val="24"/>
                <w:vertAlign w:val="superscript"/>
                <w:lang w:val="tr-TR" w:bidi="tr-TR"/>
              </w:rPr>
              <w:t>2-</w:t>
            </w:r>
          </w:p>
        </w:tc>
        <w:tc>
          <w:tcPr>
            <w:tcW w:w="1765" w:type="pct"/>
            <w:vMerge/>
            <w:tcBorders>
              <w:top w:val="nil"/>
            </w:tcBorders>
            <w:vAlign w:val="center"/>
          </w:tcPr>
          <w:p w14:paraId="385FBF84" w14:textId="77777777" w:rsidR="00496ADC" w:rsidRPr="00F50C10" w:rsidRDefault="00496ADC" w:rsidP="000B206D">
            <w:pPr>
              <w:spacing w:line="276" w:lineRule="auto"/>
              <w:jc w:val="left"/>
              <w:rPr>
                <w:rFonts w:cs="Times New Roman"/>
                <w:szCs w:val="24"/>
                <w:lang w:val="tr-TR"/>
              </w:rPr>
            </w:pPr>
          </w:p>
        </w:tc>
      </w:tr>
      <w:tr w:rsidR="00496ADC" w:rsidRPr="00F50C10" w14:paraId="41B9DDC2" w14:textId="77777777" w:rsidTr="00375F59">
        <w:trPr>
          <w:trHeight w:val="20"/>
        </w:trPr>
        <w:tc>
          <w:tcPr>
            <w:tcW w:w="3235" w:type="pct"/>
            <w:vAlign w:val="center"/>
          </w:tcPr>
          <w:p w14:paraId="4075246E" w14:textId="614DF03A" w:rsidR="00496ADC" w:rsidRPr="00F50C10" w:rsidRDefault="00642385"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Kalan</w:t>
            </w:r>
            <w:r w:rsidR="00496ADC" w:rsidRPr="00F50C10">
              <w:rPr>
                <w:rFonts w:eastAsia="Times New Roman" w:cs="Times New Roman"/>
                <w:szCs w:val="24"/>
                <w:lang w:val="tr-TR" w:bidi="tr-TR"/>
              </w:rPr>
              <w:t xml:space="preserve"> toksisite</w:t>
            </w:r>
          </w:p>
        </w:tc>
        <w:tc>
          <w:tcPr>
            <w:tcW w:w="1765" w:type="pct"/>
            <w:vMerge/>
            <w:tcBorders>
              <w:top w:val="nil"/>
            </w:tcBorders>
            <w:vAlign w:val="center"/>
          </w:tcPr>
          <w:p w14:paraId="69036155" w14:textId="77777777" w:rsidR="00496ADC" w:rsidRPr="00F50C10" w:rsidRDefault="00496ADC" w:rsidP="000B206D">
            <w:pPr>
              <w:spacing w:line="276" w:lineRule="auto"/>
              <w:jc w:val="left"/>
              <w:rPr>
                <w:rFonts w:cs="Times New Roman"/>
                <w:szCs w:val="24"/>
                <w:lang w:val="tr-TR"/>
              </w:rPr>
            </w:pPr>
          </w:p>
        </w:tc>
      </w:tr>
    </w:tbl>
    <w:p w14:paraId="127D3A30" w14:textId="64D33F45"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34: </w:t>
      </w:r>
      <w:r w:rsidRPr="00F50C10">
        <w:rPr>
          <w:rFonts w:cs="Times New Roman"/>
          <w:szCs w:val="24"/>
          <w:lang w:val="tr-TR"/>
        </w:rPr>
        <w:t>Havaya salınan emisyonlar için üretim prosesinin işletim modunu yansıtan emisyon profili izle</w:t>
      </w:r>
      <w:r w:rsidR="000E3210" w:rsidRPr="00F50C10">
        <w:rPr>
          <w:rFonts w:cs="Times New Roman"/>
          <w:szCs w:val="24"/>
          <w:lang w:val="tr-TR"/>
        </w:rPr>
        <w:t>nir</w:t>
      </w:r>
      <w:r w:rsidRPr="00F50C10">
        <w:rPr>
          <w:rFonts w:cs="Times New Roman"/>
          <w:szCs w:val="24"/>
          <w:lang w:val="tr-TR"/>
        </w:rPr>
        <w:t>.</w:t>
      </w:r>
      <w:r w:rsidR="00737D20" w:rsidRPr="00737D20">
        <w:rPr>
          <w:rFonts w:cs="Times New Roman"/>
          <w:szCs w:val="24"/>
          <w:lang w:val="tr-TR"/>
        </w:rPr>
        <w:t xml:space="preserve"> </w:t>
      </w:r>
      <w:r w:rsidR="00737D20" w:rsidRPr="005C5574">
        <w:rPr>
          <w:rFonts w:cs="Times New Roman"/>
          <w:szCs w:val="24"/>
          <w:lang w:val="tr-TR"/>
        </w:rPr>
        <w:t>(</w:t>
      </w:r>
      <w:r w:rsidR="00737D20" w:rsidRPr="009E5076">
        <w:rPr>
          <w:rFonts w:cs="Times New Roman"/>
          <w:szCs w:val="24"/>
          <w:lang w:val="tr-TR"/>
        </w:rPr>
        <w:t>Detaylı bilgi için Organik İnce Kimyasalların Üretimi İçin MET Referans Belgesinin 4.</w:t>
      </w:r>
      <w:r w:rsidR="00737D20">
        <w:rPr>
          <w:rFonts w:cs="Times New Roman"/>
          <w:szCs w:val="24"/>
          <w:lang w:val="tr-TR"/>
        </w:rPr>
        <w:t xml:space="preserve">3.1.8 kısmını </w:t>
      </w:r>
      <w:r w:rsidR="00737D20" w:rsidRPr="009E5076">
        <w:rPr>
          <w:rFonts w:cs="Times New Roman"/>
          <w:szCs w:val="24"/>
          <w:lang w:val="tr-TR"/>
        </w:rPr>
        <w:t>inceleyiniz</w:t>
      </w:r>
      <w:r w:rsidR="00737D20">
        <w:rPr>
          <w:rFonts w:cs="Times New Roman"/>
          <w:szCs w:val="24"/>
          <w:lang w:val="tr-TR"/>
        </w:rPr>
        <w:t>.)</w:t>
      </w:r>
    </w:p>
    <w:p w14:paraId="692E0DB0" w14:textId="77777777"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Atık gaz emisyonlarının izlenmesi, üretim proseslerinin işletim modunu (kesikli, yarı sürekli veya sürekli) yansıtmalı ve ayrıca, özellikle ekotoksikolojik potansiyele sahip maddeler salınıyorsa, bu maddelerin emisyonunu da hesaba katmalıdır. Kısa numune alma periyotlarından elde edilen seviyeler yerine emisyon profilleri kaydedilmelidir. Emisyon verileri, emisyonlardan sorumlu işlemlerle ilgili olmalıdır.</w:t>
      </w:r>
    </w:p>
    <w:p w14:paraId="26D0195E" w14:textId="153B82C9"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35: </w:t>
      </w:r>
      <w:r w:rsidRPr="00F50C10">
        <w:rPr>
          <w:rFonts w:cs="Times New Roman"/>
          <w:szCs w:val="24"/>
          <w:lang w:val="tr-TR"/>
        </w:rPr>
        <w:t xml:space="preserve">Oksidatif olmayan bir azaltma/geri kazanım sistemi olması durumunda, çeşitli proseslerden çıkan </w:t>
      </w:r>
      <w:r w:rsidR="00947D69" w:rsidRPr="00F50C10">
        <w:rPr>
          <w:rFonts w:cs="Times New Roman"/>
          <w:szCs w:val="24"/>
          <w:lang w:val="tr-TR"/>
        </w:rPr>
        <w:t>çıkış</w:t>
      </w:r>
      <w:r w:rsidRPr="00F50C10">
        <w:rPr>
          <w:rFonts w:cs="Times New Roman"/>
          <w:szCs w:val="24"/>
          <w:lang w:val="tr-TR"/>
        </w:rPr>
        <w:t xml:space="preserve"> gazlarının merkezi bir geri kazanım/azaltma sisteminde arıtıldığı sürekli bir izleme sistemi (örneğin FID) kullan</w:t>
      </w:r>
      <w:r w:rsidR="00412D3F" w:rsidRPr="00F50C10">
        <w:rPr>
          <w:rFonts w:cs="Times New Roman"/>
          <w:szCs w:val="24"/>
          <w:lang w:val="tr-TR"/>
        </w:rPr>
        <w:t>ılır</w:t>
      </w:r>
      <w:r w:rsidRPr="00F50C10">
        <w:rPr>
          <w:rFonts w:cs="Times New Roman"/>
          <w:szCs w:val="24"/>
          <w:lang w:val="tr-TR"/>
        </w:rPr>
        <w:t>.</w:t>
      </w:r>
      <w:r w:rsidR="00737D20" w:rsidRPr="00737D20">
        <w:rPr>
          <w:rFonts w:cs="Times New Roman"/>
          <w:szCs w:val="24"/>
          <w:lang w:val="tr-TR"/>
        </w:rPr>
        <w:t xml:space="preserve"> </w:t>
      </w:r>
      <w:r w:rsidR="00737D20" w:rsidRPr="005C5574">
        <w:rPr>
          <w:rFonts w:cs="Times New Roman"/>
          <w:szCs w:val="24"/>
          <w:lang w:val="tr-TR"/>
        </w:rPr>
        <w:t>(</w:t>
      </w:r>
      <w:r w:rsidR="00737D20" w:rsidRPr="009E5076">
        <w:rPr>
          <w:rFonts w:cs="Times New Roman"/>
          <w:szCs w:val="24"/>
          <w:lang w:val="tr-TR"/>
        </w:rPr>
        <w:t>Detaylı bilgi için Organik İnce Kimyasalların Üretimi İçin MET Referans Belgesinin 4.</w:t>
      </w:r>
      <w:r w:rsidR="00737D20">
        <w:rPr>
          <w:rFonts w:cs="Times New Roman"/>
          <w:szCs w:val="24"/>
          <w:lang w:val="tr-TR"/>
        </w:rPr>
        <w:t xml:space="preserve">3.1.8 kısmını </w:t>
      </w:r>
      <w:r w:rsidR="00737D20" w:rsidRPr="009E5076">
        <w:rPr>
          <w:rFonts w:cs="Times New Roman"/>
          <w:szCs w:val="24"/>
          <w:lang w:val="tr-TR"/>
        </w:rPr>
        <w:t>inceleyiniz</w:t>
      </w:r>
      <w:r w:rsidR="00737D20">
        <w:rPr>
          <w:rFonts w:cs="Times New Roman"/>
          <w:szCs w:val="24"/>
          <w:lang w:val="tr-TR"/>
        </w:rPr>
        <w:t>.)</w:t>
      </w:r>
    </w:p>
    <w:p w14:paraId="1869EB5D" w14:textId="6D7636D7"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36: </w:t>
      </w:r>
      <w:r w:rsidRPr="00F50C10">
        <w:rPr>
          <w:rFonts w:cs="Times New Roman"/>
          <w:szCs w:val="24"/>
          <w:lang w:val="tr-TR"/>
        </w:rPr>
        <w:t>Ekotoksikolojik potansiyeli olan maddelerin salınması durumunda bu</w:t>
      </w:r>
      <w:r w:rsidR="00412D3F" w:rsidRPr="00F50C10">
        <w:rPr>
          <w:rFonts w:cs="Times New Roman"/>
          <w:szCs w:val="24"/>
          <w:lang w:val="tr-TR"/>
        </w:rPr>
        <w:t xml:space="preserve"> maddeler </w:t>
      </w:r>
      <w:r w:rsidRPr="00F50C10">
        <w:rPr>
          <w:rFonts w:cs="Times New Roman"/>
          <w:szCs w:val="24"/>
          <w:lang w:val="tr-TR"/>
        </w:rPr>
        <w:t xml:space="preserve">ayrı ayrı </w:t>
      </w:r>
      <w:r w:rsidR="00412D3F" w:rsidRPr="00F50C10">
        <w:rPr>
          <w:rFonts w:cs="Times New Roman"/>
          <w:szCs w:val="24"/>
          <w:lang w:val="tr-TR"/>
        </w:rPr>
        <w:t>izlenir</w:t>
      </w:r>
      <w:r w:rsidRPr="00F50C10">
        <w:rPr>
          <w:rFonts w:cs="Times New Roman"/>
          <w:szCs w:val="24"/>
          <w:lang w:val="tr-TR"/>
        </w:rPr>
        <w:t>.</w:t>
      </w:r>
      <w:r w:rsidR="00737D20" w:rsidRPr="00737D20">
        <w:rPr>
          <w:rFonts w:cs="Times New Roman"/>
          <w:szCs w:val="24"/>
          <w:lang w:val="tr-TR"/>
        </w:rPr>
        <w:t xml:space="preserve"> </w:t>
      </w:r>
      <w:r w:rsidR="00737D20" w:rsidRPr="005C5574">
        <w:rPr>
          <w:rFonts w:cs="Times New Roman"/>
          <w:szCs w:val="24"/>
          <w:lang w:val="tr-TR"/>
        </w:rPr>
        <w:t>(</w:t>
      </w:r>
      <w:r w:rsidR="00737D20" w:rsidRPr="009E5076">
        <w:rPr>
          <w:rFonts w:cs="Times New Roman"/>
          <w:szCs w:val="24"/>
          <w:lang w:val="tr-TR"/>
        </w:rPr>
        <w:t>Detaylı bilgi için Organik İnce Kimyasalların Üretimi İçin MET Referans Belgesinin 4.</w:t>
      </w:r>
      <w:r w:rsidR="00737D20">
        <w:rPr>
          <w:rFonts w:cs="Times New Roman"/>
          <w:szCs w:val="24"/>
          <w:lang w:val="tr-TR"/>
        </w:rPr>
        <w:t xml:space="preserve">3.1.8 kısmını </w:t>
      </w:r>
      <w:r w:rsidR="00737D20" w:rsidRPr="009E5076">
        <w:rPr>
          <w:rFonts w:cs="Times New Roman"/>
          <w:szCs w:val="24"/>
          <w:lang w:val="tr-TR"/>
        </w:rPr>
        <w:t>inceleyiniz</w:t>
      </w:r>
      <w:r w:rsidR="00737D20">
        <w:rPr>
          <w:rFonts w:cs="Times New Roman"/>
          <w:szCs w:val="24"/>
          <w:lang w:val="tr-TR"/>
        </w:rPr>
        <w:t>.)</w:t>
      </w:r>
    </w:p>
    <w:p w14:paraId="32771BD0" w14:textId="696EFD16"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37: </w:t>
      </w:r>
      <w:r w:rsidRPr="00F50C10">
        <w:rPr>
          <w:rFonts w:cs="Times New Roman"/>
          <w:szCs w:val="24"/>
          <w:lang w:val="tr-TR"/>
        </w:rPr>
        <w:t xml:space="preserve">Proses ekipmanlarından geri kazanım/azaltma sistemlerine doğru akan </w:t>
      </w:r>
      <w:r w:rsidR="00947D69" w:rsidRPr="00F50C10">
        <w:rPr>
          <w:rFonts w:cs="Times New Roman"/>
          <w:szCs w:val="24"/>
          <w:lang w:val="tr-TR"/>
        </w:rPr>
        <w:t>çıkış</w:t>
      </w:r>
      <w:r w:rsidRPr="00F50C10">
        <w:rPr>
          <w:rFonts w:cs="Times New Roman"/>
          <w:szCs w:val="24"/>
          <w:lang w:val="tr-TR"/>
        </w:rPr>
        <w:t xml:space="preserve"> gazlarının hacim akışları değerlen</w:t>
      </w:r>
      <w:r w:rsidR="00412D3F" w:rsidRPr="00F50C10">
        <w:rPr>
          <w:rFonts w:cs="Times New Roman"/>
          <w:szCs w:val="24"/>
          <w:lang w:val="tr-TR"/>
        </w:rPr>
        <w:t>dirili</w:t>
      </w:r>
      <w:r w:rsidRPr="00F50C10">
        <w:rPr>
          <w:rFonts w:cs="Times New Roman"/>
          <w:szCs w:val="24"/>
          <w:lang w:val="tr-TR"/>
        </w:rPr>
        <w:t>r.</w:t>
      </w:r>
      <w:r w:rsidR="00737D20" w:rsidRPr="00737D20">
        <w:rPr>
          <w:rFonts w:cs="Times New Roman"/>
          <w:szCs w:val="24"/>
          <w:lang w:val="tr-TR"/>
        </w:rPr>
        <w:t xml:space="preserve"> </w:t>
      </w:r>
      <w:r w:rsidR="00737D20" w:rsidRPr="005C5574">
        <w:rPr>
          <w:rFonts w:cs="Times New Roman"/>
          <w:szCs w:val="24"/>
          <w:lang w:val="tr-TR"/>
        </w:rPr>
        <w:t>(</w:t>
      </w:r>
      <w:r w:rsidR="00737D20" w:rsidRPr="009E5076">
        <w:rPr>
          <w:rFonts w:cs="Times New Roman"/>
          <w:szCs w:val="24"/>
          <w:lang w:val="tr-TR"/>
        </w:rPr>
        <w:t>Detaylı bilgi için Organik İnce Kimyasalların Üretimi İçin MET Referans Belgesinin 4.</w:t>
      </w:r>
      <w:r w:rsidR="00737D20">
        <w:rPr>
          <w:rFonts w:cs="Times New Roman"/>
          <w:szCs w:val="24"/>
          <w:lang w:val="tr-TR"/>
        </w:rPr>
        <w:t xml:space="preserve">3.1.7 kısmını </w:t>
      </w:r>
      <w:r w:rsidR="00737D20" w:rsidRPr="009E5076">
        <w:rPr>
          <w:rFonts w:cs="Times New Roman"/>
          <w:szCs w:val="24"/>
          <w:lang w:val="tr-TR"/>
        </w:rPr>
        <w:t>inceleyiniz</w:t>
      </w:r>
      <w:r w:rsidR="00737D20">
        <w:rPr>
          <w:rFonts w:cs="Times New Roman"/>
          <w:szCs w:val="24"/>
          <w:lang w:val="tr-TR"/>
        </w:rPr>
        <w:t>.)</w:t>
      </w:r>
    </w:p>
    <w:p w14:paraId="1E72C9EA" w14:textId="77777777"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Atık gaz emisyon durumunu ve iyileştirme stratejilerinin temelini anlamanın anahtarı, geri kazanım ve azaltma sistemlerine giden hacim akışına proseslerin ve işlemlerin ayrı ayrı katkısının bilgisine sahip olmaktır.</w:t>
      </w:r>
    </w:p>
    <w:p w14:paraId="34B8D732" w14:textId="77777777" w:rsidR="00496ADC" w:rsidRPr="00F50C10" w:rsidRDefault="00496ADC" w:rsidP="00A654AE">
      <w:pPr>
        <w:widowControl w:val="0"/>
        <w:numPr>
          <w:ilvl w:val="1"/>
          <w:numId w:val="135"/>
        </w:numPr>
        <w:autoSpaceDE w:val="0"/>
        <w:autoSpaceDN w:val="0"/>
        <w:spacing w:before="120" w:after="60" w:line="276" w:lineRule="auto"/>
        <w:ind w:left="0" w:firstLine="0"/>
        <w:outlineLvl w:val="1"/>
        <w:rPr>
          <w:rFonts w:eastAsia="Arial" w:cs="Times New Roman"/>
          <w:b/>
          <w:bCs/>
          <w:szCs w:val="24"/>
          <w:lang w:val="tr-TR"/>
        </w:rPr>
      </w:pPr>
      <w:bookmarkStart w:id="160" w:name="_Toc135050225"/>
      <w:bookmarkStart w:id="161" w:name="_Toc135142003"/>
      <w:bookmarkStart w:id="162" w:name="_Toc135142080"/>
      <w:bookmarkStart w:id="163" w:name="_Toc135229440"/>
      <w:r w:rsidRPr="00F50C10">
        <w:rPr>
          <w:rFonts w:eastAsia="Arial" w:cs="Times New Roman"/>
          <w:b/>
          <w:bCs/>
          <w:szCs w:val="24"/>
          <w:lang w:val="tr-TR"/>
        </w:rPr>
        <w:t>Çözücülerin Yeniden Kullanımı</w:t>
      </w:r>
      <w:bookmarkEnd w:id="160"/>
      <w:bookmarkEnd w:id="161"/>
      <w:bookmarkEnd w:id="162"/>
      <w:bookmarkEnd w:id="163"/>
    </w:p>
    <w:p w14:paraId="3224740E" w14:textId="4603AB9F"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38: </w:t>
      </w:r>
      <w:r w:rsidRPr="00F50C10">
        <w:rPr>
          <w:rFonts w:cs="Times New Roman"/>
          <w:szCs w:val="24"/>
          <w:lang w:val="tr-TR"/>
        </w:rPr>
        <w:t>Saflık gereklilikleri (örneğin cGMP kapsamındaki gereklilikler) izin verdiği ölçüde çözücüler</w:t>
      </w:r>
      <w:r w:rsidR="00412D3F" w:rsidRPr="00F50C10">
        <w:rPr>
          <w:rFonts w:cs="Times New Roman"/>
          <w:szCs w:val="24"/>
          <w:lang w:val="tr-TR"/>
        </w:rPr>
        <w:t xml:space="preserve"> </w:t>
      </w:r>
      <w:r w:rsidRPr="00F50C10">
        <w:rPr>
          <w:rFonts w:cs="Times New Roman"/>
          <w:szCs w:val="24"/>
          <w:lang w:val="tr-TR"/>
        </w:rPr>
        <w:t>aşağıdaki yollarla yeniden kullanı</w:t>
      </w:r>
      <w:r w:rsidR="00412D3F" w:rsidRPr="00F50C10">
        <w:rPr>
          <w:rFonts w:cs="Times New Roman"/>
          <w:szCs w:val="24"/>
          <w:lang w:val="tr-TR"/>
        </w:rPr>
        <w:t>lı</w:t>
      </w:r>
      <w:r w:rsidRPr="00F50C10">
        <w:rPr>
          <w:rFonts w:cs="Times New Roman"/>
          <w:szCs w:val="24"/>
          <w:lang w:val="tr-TR"/>
        </w:rPr>
        <w:t>r:</w:t>
      </w:r>
    </w:p>
    <w:p w14:paraId="3B84FD3A" w14:textId="55937261" w:rsidR="00496ADC" w:rsidRPr="00F50C10" w:rsidRDefault="00947D69" w:rsidP="00A654AE">
      <w:pPr>
        <w:pStyle w:val="ListeParagraf"/>
        <w:widowControl w:val="0"/>
        <w:numPr>
          <w:ilvl w:val="0"/>
          <w:numId w:val="55"/>
        </w:numPr>
        <w:autoSpaceDE w:val="0"/>
        <w:autoSpaceDN w:val="0"/>
        <w:spacing w:before="120" w:after="60" w:line="276" w:lineRule="auto"/>
        <w:rPr>
          <w:rFonts w:eastAsia="Times New Roman" w:cs="Times New Roman"/>
          <w:szCs w:val="24"/>
          <w:lang w:val="tr-TR"/>
        </w:rPr>
      </w:pPr>
      <w:r w:rsidRPr="00F50C10">
        <w:rPr>
          <w:rFonts w:eastAsia="Times New Roman" w:cs="Times New Roman"/>
          <w:szCs w:val="24"/>
          <w:lang w:val="tr-TR"/>
        </w:rPr>
        <w:t>s</w:t>
      </w:r>
      <w:r w:rsidR="00496ADC" w:rsidRPr="00F50C10">
        <w:rPr>
          <w:rFonts w:eastAsia="Times New Roman" w:cs="Times New Roman"/>
          <w:szCs w:val="24"/>
          <w:lang w:val="tr-TR"/>
        </w:rPr>
        <w:t>aflık gereklilikleri izin verdiği ölçüde, bir üretim operasyonunun önceki partilerinde kullanılan çözücünün gelecekteki partiler için kullanılması</w:t>
      </w:r>
      <w:r w:rsidR="00412D3F" w:rsidRPr="00F50C10">
        <w:rPr>
          <w:rFonts w:eastAsia="Times New Roman" w:cs="Times New Roman"/>
          <w:szCs w:val="24"/>
          <w:lang w:val="tr-TR"/>
        </w:rPr>
        <w:t>,</w:t>
      </w:r>
      <w:r w:rsidR="00737D20" w:rsidRPr="00737D20">
        <w:rPr>
          <w:rFonts w:cs="Times New Roman"/>
          <w:szCs w:val="24"/>
          <w:lang w:val="tr-TR"/>
        </w:rPr>
        <w:t xml:space="preserve"> </w:t>
      </w:r>
      <w:r w:rsidR="00737D20" w:rsidRPr="005C5574">
        <w:rPr>
          <w:rFonts w:cs="Times New Roman"/>
          <w:szCs w:val="24"/>
          <w:lang w:val="tr-TR"/>
        </w:rPr>
        <w:t>(</w:t>
      </w:r>
      <w:r w:rsidR="00737D20" w:rsidRPr="009E5076">
        <w:rPr>
          <w:rFonts w:cs="Times New Roman"/>
          <w:szCs w:val="24"/>
          <w:lang w:val="tr-TR"/>
        </w:rPr>
        <w:t>Detaylı bilgi için Organik İnce Kimyasalların Üretimi İçin MET Referans Belgesinin 4.</w:t>
      </w:r>
      <w:r w:rsidR="00737D20">
        <w:rPr>
          <w:rFonts w:cs="Times New Roman"/>
          <w:szCs w:val="24"/>
          <w:lang w:val="tr-TR"/>
        </w:rPr>
        <w:t xml:space="preserve">3.4 kısmını </w:t>
      </w:r>
      <w:r w:rsidR="00737D20" w:rsidRPr="009E5076">
        <w:rPr>
          <w:rFonts w:cs="Times New Roman"/>
          <w:szCs w:val="24"/>
          <w:lang w:val="tr-TR"/>
        </w:rPr>
        <w:t>inceleyiniz</w:t>
      </w:r>
      <w:r w:rsidR="00737D20">
        <w:rPr>
          <w:rFonts w:cs="Times New Roman"/>
          <w:szCs w:val="24"/>
          <w:lang w:val="tr-TR"/>
        </w:rPr>
        <w:t>.)</w:t>
      </w:r>
    </w:p>
    <w:p w14:paraId="77F36020" w14:textId="7BA94B13" w:rsidR="00496ADC" w:rsidRPr="00F50C10" w:rsidRDefault="00496ADC" w:rsidP="00A654AE">
      <w:pPr>
        <w:widowControl w:val="0"/>
        <w:numPr>
          <w:ilvl w:val="0"/>
          <w:numId w:val="55"/>
        </w:numPr>
        <w:autoSpaceDE w:val="0"/>
        <w:autoSpaceDN w:val="0"/>
        <w:spacing w:before="120" w:after="60" w:line="276" w:lineRule="auto"/>
        <w:rPr>
          <w:rFonts w:eastAsia="Times New Roman" w:cs="Times New Roman"/>
          <w:szCs w:val="24"/>
          <w:lang w:val="tr-TR"/>
        </w:rPr>
      </w:pPr>
      <w:r w:rsidRPr="00F50C10">
        <w:rPr>
          <w:rFonts w:eastAsia="Times New Roman" w:cs="Times New Roman"/>
          <w:szCs w:val="24"/>
          <w:lang w:val="tr-TR"/>
        </w:rPr>
        <w:t>saha içinde veya dışında saflaştırma ve yeniden kullanım için kullanılmış çözücülerin toplanması</w:t>
      </w:r>
      <w:r w:rsidR="00412D3F" w:rsidRPr="00F50C10">
        <w:rPr>
          <w:rFonts w:eastAsia="Times New Roman" w:cs="Times New Roman"/>
          <w:szCs w:val="24"/>
          <w:lang w:val="tr-TR"/>
        </w:rPr>
        <w:t xml:space="preserve">, </w:t>
      </w:r>
      <w:r w:rsidR="00737D20" w:rsidRPr="005C5574">
        <w:rPr>
          <w:rFonts w:cs="Times New Roman"/>
          <w:szCs w:val="24"/>
          <w:lang w:val="tr-TR"/>
        </w:rPr>
        <w:t>(</w:t>
      </w:r>
      <w:r w:rsidR="00737D20" w:rsidRPr="009E5076">
        <w:rPr>
          <w:rFonts w:cs="Times New Roman"/>
          <w:szCs w:val="24"/>
          <w:lang w:val="tr-TR"/>
        </w:rPr>
        <w:t>Detaylı bilgi için Organik İnce Kimyasalların Üretimi İçin MET Referans Belgesinin 4.</w:t>
      </w:r>
      <w:r w:rsidR="00737D20">
        <w:rPr>
          <w:rFonts w:cs="Times New Roman"/>
          <w:szCs w:val="24"/>
          <w:lang w:val="tr-TR"/>
        </w:rPr>
        <w:t xml:space="preserve">3.3 kısmını </w:t>
      </w:r>
      <w:r w:rsidR="00737D20" w:rsidRPr="009E5076">
        <w:rPr>
          <w:rFonts w:cs="Times New Roman"/>
          <w:szCs w:val="24"/>
          <w:lang w:val="tr-TR"/>
        </w:rPr>
        <w:t>inceleyiniz</w:t>
      </w:r>
      <w:r w:rsidR="00737D20">
        <w:rPr>
          <w:rFonts w:cs="Times New Roman"/>
          <w:szCs w:val="24"/>
          <w:lang w:val="tr-TR"/>
        </w:rPr>
        <w:t>.)</w:t>
      </w:r>
    </w:p>
    <w:p w14:paraId="4EBBA575" w14:textId="217FA298" w:rsidR="00496ADC" w:rsidRPr="00F50C10" w:rsidRDefault="00496ADC" w:rsidP="00A654AE">
      <w:pPr>
        <w:widowControl w:val="0"/>
        <w:numPr>
          <w:ilvl w:val="0"/>
          <w:numId w:val="55"/>
        </w:numPr>
        <w:autoSpaceDE w:val="0"/>
        <w:autoSpaceDN w:val="0"/>
        <w:spacing w:before="120" w:after="60" w:line="276" w:lineRule="auto"/>
        <w:rPr>
          <w:rFonts w:eastAsia="Times New Roman" w:cs="Times New Roman"/>
          <w:szCs w:val="24"/>
          <w:lang w:val="tr-TR"/>
        </w:rPr>
      </w:pPr>
      <w:r w:rsidRPr="00F50C10">
        <w:rPr>
          <w:rFonts w:eastAsia="Times New Roman" w:cs="Times New Roman"/>
          <w:szCs w:val="24"/>
          <w:lang w:val="tr-TR"/>
        </w:rPr>
        <w:t>ısıl değerin saha içinde veya dışında kullanımı için kullanılmış çözücülerin toplanması.</w:t>
      </w:r>
      <w:r w:rsidR="00737D20" w:rsidRPr="00737D20">
        <w:rPr>
          <w:rFonts w:cs="Times New Roman"/>
          <w:szCs w:val="24"/>
          <w:lang w:val="tr-TR"/>
        </w:rPr>
        <w:t xml:space="preserve"> </w:t>
      </w:r>
      <w:r w:rsidR="00737D20" w:rsidRPr="005C5574">
        <w:rPr>
          <w:rFonts w:cs="Times New Roman"/>
          <w:szCs w:val="24"/>
          <w:lang w:val="tr-TR"/>
        </w:rPr>
        <w:t>(</w:t>
      </w:r>
      <w:r w:rsidR="00737D20" w:rsidRPr="009E5076">
        <w:rPr>
          <w:rFonts w:cs="Times New Roman"/>
          <w:szCs w:val="24"/>
          <w:lang w:val="tr-TR"/>
        </w:rPr>
        <w:t>Detaylı bilgi için Organik İnce Kimyasalların Üretimi İçin MET Referans Belgesinin 4.</w:t>
      </w:r>
      <w:r w:rsidR="00737D20">
        <w:rPr>
          <w:rFonts w:cs="Times New Roman"/>
          <w:szCs w:val="24"/>
          <w:lang w:val="tr-TR"/>
        </w:rPr>
        <w:t xml:space="preserve">3.5.7 kısmını </w:t>
      </w:r>
      <w:r w:rsidR="00737D20" w:rsidRPr="009E5076">
        <w:rPr>
          <w:rFonts w:cs="Times New Roman"/>
          <w:szCs w:val="24"/>
          <w:lang w:val="tr-TR"/>
        </w:rPr>
        <w:t>inceleyiniz</w:t>
      </w:r>
      <w:r w:rsidR="00737D20">
        <w:rPr>
          <w:rFonts w:cs="Times New Roman"/>
          <w:szCs w:val="24"/>
          <w:lang w:val="tr-TR"/>
        </w:rPr>
        <w:t>.)</w:t>
      </w:r>
    </w:p>
    <w:p w14:paraId="0FC760D5" w14:textId="485AE801" w:rsidR="00496ADC" w:rsidRPr="00F50C10" w:rsidRDefault="00947D69" w:rsidP="00A654AE">
      <w:pPr>
        <w:widowControl w:val="0"/>
        <w:numPr>
          <w:ilvl w:val="1"/>
          <w:numId w:val="135"/>
        </w:numPr>
        <w:autoSpaceDE w:val="0"/>
        <w:autoSpaceDN w:val="0"/>
        <w:spacing w:before="120" w:after="60" w:line="276" w:lineRule="auto"/>
        <w:ind w:left="0" w:firstLine="0"/>
        <w:jc w:val="left"/>
        <w:outlineLvl w:val="1"/>
        <w:rPr>
          <w:rFonts w:eastAsia="Arial" w:cs="Times New Roman"/>
          <w:b/>
          <w:bCs/>
          <w:szCs w:val="24"/>
          <w:lang w:val="tr-TR"/>
        </w:rPr>
      </w:pPr>
      <w:bookmarkStart w:id="164" w:name="_Toc135050226"/>
      <w:bookmarkStart w:id="165" w:name="_Toc135142004"/>
      <w:bookmarkStart w:id="166" w:name="_Toc135142081"/>
      <w:bookmarkStart w:id="167" w:name="_Toc135229441"/>
      <w:r w:rsidRPr="00F50C10">
        <w:rPr>
          <w:rFonts w:eastAsia="Arial" w:cs="Times New Roman"/>
          <w:b/>
          <w:bCs/>
          <w:szCs w:val="24"/>
          <w:lang w:val="tr-TR"/>
        </w:rPr>
        <w:t>Çıkış</w:t>
      </w:r>
      <w:r w:rsidR="00496ADC" w:rsidRPr="00F50C10">
        <w:rPr>
          <w:rFonts w:eastAsia="Arial" w:cs="Times New Roman"/>
          <w:b/>
          <w:bCs/>
          <w:szCs w:val="24"/>
          <w:lang w:val="tr-TR"/>
        </w:rPr>
        <w:t xml:space="preserve"> Gazlarının Arıtılması</w:t>
      </w:r>
      <w:bookmarkEnd w:id="164"/>
      <w:bookmarkEnd w:id="165"/>
      <w:bookmarkEnd w:id="166"/>
      <w:bookmarkEnd w:id="167"/>
    </w:p>
    <w:p w14:paraId="6EDA915C" w14:textId="77777777" w:rsidR="00496ADC" w:rsidRPr="00F50C10" w:rsidRDefault="00496ADC" w:rsidP="00A654AE">
      <w:pPr>
        <w:widowControl w:val="0"/>
        <w:numPr>
          <w:ilvl w:val="2"/>
          <w:numId w:val="135"/>
        </w:numPr>
        <w:autoSpaceDE w:val="0"/>
        <w:autoSpaceDN w:val="0"/>
        <w:spacing w:before="120" w:after="60" w:line="276" w:lineRule="auto"/>
        <w:ind w:left="0" w:firstLine="0"/>
        <w:outlineLvl w:val="2"/>
        <w:rPr>
          <w:rFonts w:eastAsia="Times New Roman" w:cs="Times New Roman"/>
          <w:b/>
          <w:bCs/>
          <w:szCs w:val="24"/>
          <w:lang w:val="tr-TR"/>
        </w:rPr>
      </w:pPr>
      <w:bookmarkStart w:id="168" w:name="_Toc135050227"/>
      <w:bookmarkStart w:id="169" w:name="_Toc135142005"/>
      <w:bookmarkStart w:id="170" w:name="_Toc135142082"/>
      <w:bookmarkStart w:id="171" w:name="_Toc135229442"/>
      <w:r w:rsidRPr="00F50C10">
        <w:rPr>
          <w:rFonts w:eastAsia="Times New Roman" w:cs="Times New Roman"/>
          <w:b/>
          <w:bCs/>
          <w:szCs w:val="24"/>
          <w:lang w:val="tr-TR"/>
        </w:rPr>
        <w:t>UOB geri kazanım/azaltma tekniklerinin seçimi ve elde edilebilir emisyon seviyeleri</w:t>
      </w:r>
      <w:bookmarkEnd w:id="168"/>
      <w:bookmarkEnd w:id="169"/>
      <w:bookmarkEnd w:id="170"/>
      <w:bookmarkEnd w:id="171"/>
    </w:p>
    <w:p w14:paraId="52076949" w14:textId="62833ADD"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UOB arıtma tekniğinin seçimi, çok amaçlı bir sahada çok önemli bir görevdir. Hacim akışları çok amaçlı bir sahada geniş bir çeşitlilik gösterdiğinden, tekniklerin seçiminde anahtar parametre, emisyon noktası kaynaklarından kg/saat cinsinden ortalama kütle akışlarıdır. Bütün bir saha, tek bir üretim binası veya tek bir proses için tekniklerden biri veya birkaçı bir geri kazanım/azaltma sistemi olarak uygulanabilir. Bu, ilgili duruma bağlıdır ve noktasal kaynakların sayısını etkiler.</w:t>
      </w:r>
    </w:p>
    <w:p w14:paraId="015F00E5" w14:textId="00D57AF2"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39: </w:t>
      </w:r>
      <w:r w:rsidRPr="00F50C10">
        <w:rPr>
          <w:rFonts w:cs="Times New Roman"/>
          <w:szCs w:val="24"/>
          <w:lang w:val="tr-TR"/>
        </w:rPr>
        <w:fldChar w:fldCharType="begin"/>
      </w:r>
      <w:r w:rsidRPr="00F50C10">
        <w:rPr>
          <w:rFonts w:cs="Times New Roman"/>
          <w:szCs w:val="24"/>
          <w:lang w:val="tr-TR"/>
        </w:rPr>
        <w:instrText xml:space="preserve"> REF _Ref135214134 \h  \* MERGEFORMAT </w:instrText>
      </w:r>
      <w:r w:rsidRPr="00F50C10">
        <w:rPr>
          <w:rFonts w:cs="Times New Roman"/>
          <w:szCs w:val="24"/>
          <w:lang w:val="tr-TR"/>
        </w:rPr>
      </w:r>
      <w:r w:rsidRPr="00F50C10">
        <w:rPr>
          <w:rFonts w:cs="Times New Roman"/>
          <w:szCs w:val="24"/>
          <w:lang w:val="tr-TR"/>
        </w:rPr>
        <w:fldChar w:fldCharType="separate"/>
      </w:r>
      <w:r w:rsidRPr="00F50C10">
        <w:rPr>
          <w:rFonts w:cs="Times New Roman"/>
          <w:szCs w:val="24"/>
          <w:lang w:val="tr-TR"/>
        </w:rPr>
        <w:t xml:space="preserve">Şekil </w:t>
      </w:r>
      <w:r w:rsidRPr="00F50C10">
        <w:rPr>
          <w:rFonts w:cs="Times New Roman"/>
          <w:noProof/>
          <w:szCs w:val="24"/>
          <w:lang w:val="tr-TR"/>
        </w:rPr>
        <w:t>1</w:t>
      </w:r>
      <w:r w:rsidRPr="00F50C10">
        <w:rPr>
          <w:rFonts w:cs="Times New Roman"/>
          <w:szCs w:val="24"/>
          <w:lang w:val="tr-TR"/>
        </w:rPr>
        <w:fldChar w:fldCharType="end"/>
      </w:r>
      <w:r w:rsidRPr="00F50C10">
        <w:rPr>
          <w:rFonts w:cs="Times New Roman"/>
          <w:szCs w:val="24"/>
          <w:lang w:val="tr-TR"/>
        </w:rPr>
        <w:t>’deki akış şemasına göre UOB geri kazanım ve azaltma teknikleri seç</w:t>
      </w:r>
      <w:r w:rsidR="00412D3F" w:rsidRPr="00F50C10">
        <w:rPr>
          <w:rFonts w:cs="Times New Roman"/>
          <w:szCs w:val="24"/>
          <w:lang w:val="tr-TR"/>
        </w:rPr>
        <w:t>il</w:t>
      </w:r>
      <w:r w:rsidRPr="00F50C10">
        <w:rPr>
          <w:rFonts w:cs="Times New Roman"/>
          <w:szCs w:val="24"/>
          <w:lang w:val="tr-TR"/>
        </w:rPr>
        <w:t>ir.</w:t>
      </w:r>
    </w:p>
    <w:p w14:paraId="34B20FD5" w14:textId="38A831B6"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40: </w:t>
      </w:r>
      <w:r w:rsidRPr="00F50C10">
        <w:rPr>
          <w:rFonts w:cs="Times New Roman"/>
          <w:szCs w:val="24"/>
          <w:lang w:val="tr-TR"/>
        </w:rPr>
        <w:t>Oksidatif olmayan UOB geri kazanım veya azaltma tekniklerinin uygulandığı durumlarda</w:t>
      </w:r>
      <w:r w:rsidR="00412D3F" w:rsidRPr="00F50C10">
        <w:rPr>
          <w:rFonts w:cs="Times New Roman"/>
          <w:szCs w:val="24"/>
          <w:lang w:val="tr-TR"/>
        </w:rPr>
        <w:t xml:space="preserve">, </w:t>
      </w:r>
      <w:r w:rsidRPr="00F50C10">
        <w:rPr>
          <w:rFonts w:cs="Times New Roman"/>
          <w:szCs w:val="24"/>
          <w:lang w:val="tr-TR"/>
        </w:rPr>
        <w:t>emisyonlar</w:t>
      </w:r>
      <w:r w:rsidR="00412D3F" w:rsidRPr="00F50C10">
        <w:rPr>
          <w:rFonts w:cs="Times New Roman"/>
          <w:szCs w:val="24"/>
          <w:lang w:val="tr-TR"/>
        </w:rPr>
        <w:t xml:space="preserve"> Tablo 2’de</w:t>
      </w:r>
      <w:r w:rsidRPr="00F50C10">
        <w:rPr>
          <w:rFonts w:cs="Times New Roman"/>
          <w:szCs w:val="24"/>
          <w:lang w:val="tr-TR"/>
        </w:rPr>
        <w:t xml:space="preserve"> verilen seviyelere düşür</w:t>
      </w:r>
      <w:r w:rsidR="00412D3F" w:rsidRPr="00F50C10">
        <w:rPr>
          <w:rFonts w:cs="Times New Roman"/>
          <w:szCs w:val="24"/>
          <w:lang w:val="tr-TR"/>
        </w:rPr>
        <w:t>ülü</w:t>
      </w:r>
      <w:r w:rsidRPr="00F50C10">
        <w:rPr>
          <w:rFonts w:cs="Times New Roman"/>
          <w:szCs w:val="24"/>
          <w:lang w:val="tr-TR"/>
        </w:rPr>
        <w:t>r.</w:t>
      </w:r>
      <w:r w:rsidR="00F43873" w:rsidRPr="00F43873">
        <w:rPr>
          <w:rFonts w:cs="Times New Roman"/>
          <w:szCs w:val="24"/>
          <w:lang w:val="tr-TR"/>
        </w:rPr>
        <w:t xml:space="preserve"> </w:t>
      </w:r>
      <w:r w:rsidR="00F43873" w:rsidRPr="005C5574">
        <w:rPr>
          <w:rFonts w:cs="Times New Roman"/>
          <w:szCs w:val="24"/>
          <w:lang w:val="tr-TR"/>
        </w:rPr>
        <w:t>(</w:t>
      </w:r>
      <w:r w:rsidR="00F43873" w:rsidRPr="009E5076">
        <w:rPr>
          <w:rFonts w:cs="Times New Roman"/>
          <w:szCs w:val="24"/>
          <w:lang w:val="tr-TR"/>
        </w:rPr>
        <w:t>Detaylı bilgi için Organik İnce Kimyasalların Üretimi İçin MET Referans Belgesinin 4.</w:t>
      </w:r>
      <w:r w:rsidR="00F43873">
        <w:rPr>
          <w:rFonts w:cs="Times New Roman"/>
          <w:szCs w:val="24"/>
          <w:lang w:val="tr-TR"/>
        </w:rPr>
        <w:t xml:space="preserve">3.5.6, </w:t>
      </w:r>
      <w:r w:rsidR="00F43873" w:rsidRPr="009E5076">
        <w:rPr>
          <w:rFonts w:cs="Times New Roman"/>
          <w:szCs w:val="24"/>
          <w:lang w:val="tr-TR"/>
        </w:rPr>
        <w:t>4.</w:t>
      </w:r>
      <w:r w:rsidR="00F43873">
        <w:rPr>
          <w:rFonts w:cs="Times New Roman"/>
          <w:szCs w:val="24"/>
          <w:lang w:val="tr-TR"/>
        </w:rPr>
        <w:t xml:space="preserve">3.5.11, 4.3.5.14, 4.3.5.17 ve 4.3.5.18  kısımlarını </w:t>
      </w:r>
      <w:r w:rsidR="00F43873" w:rsidRPr="009E5076">
        <w:rPr>
          <w:rFonts w:cs="Times New Roman"/>
          <w:szCs w:val="24"/>
          <w:lang w:val="tr-TR"/>
        </w:rPr>
        <w:t>inceleyiniz</w:t>
      </w:r>
      <w:r w:rsidR="00F43873">
        <w:rPr>
          <w:rFonts w:cs="Times New Roman"/>
          <w:szCs w:val="24"/>
          <w:lang w:val="tr-TR"/>
        </w:rPr>
        <w:t>.)</w:t>
      </w:r>
    </w:p>
    <w:p w14:paraId="2E163287" w14:textId="5F761B95"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Oksidatif olmayan geri kazanım/azaltma teknikleri, hacim akışlarının en aza indirilmesinden sonra verimli bir şekilde uygulanı</w:t>
      </w:r>
      <w:r w:rsidR="00947D69" w:rsidRPr="00F50C10">
        <w:rPr>
          <w:rFonts w:cs="Times New Roman"/>
          <w:szCs w:val="24"/>
          <w:lang w:val="tr-TR"/>
        </w:rPr>
        <w:t>r</w:t>
      </w:r>
      <w:r w:rsidRPr="00F50C10">
        <w:rPr>
          <w:rFonts w:cs="Times New Roman"/>
          <w:szCs w:val="24"/>
          <w:lang w:val="tr-TR"/>
        </w:rPr>
        <w:t xml:space="preserve"> ve elde edilen konsantrasyon seviyeleri, örneğin bina veya oda havalandırmasından gelen hacim akışları ile seyreltilmeden ilgili hacim akışı ile ilişkilendirilmelidir.</w:t>
      </w:r>
    </w:p>
    <w:p w14:paraId="249D2359" w14:textId="1B7A948D" w:rsidR="00496ADC" w:rsidRPr="00F50C10" w:rsidRDefault="00947D69" w:rsidP="000B206D">
      <w:pPr>
        <w:keepNext/>
        <w:spacing w:before="120" w:after="60" w:line="276" w:lineRule="auto"/>
        <w:rPr>
          <w:rFonts w:cs="Times New Roman"/>
          <w:b/>
          <w:iCs/>
          <w:color w:val="000000" w:themeColor="text1"/>
          <w:szCs w:val="24"/>
          <w:lang w:val="tr-TR"/>
        </w:rPr>
      </w:pPr>
      <w:bookmarkStart w:id="172" w:name="_Toc135050098"/>
      <w:r w:rsidRPr="00F50C10">
        <w:rPr>
          <w:rFonts w:cs="Times New Roman"/>
          <w:b/>
          <w:iCs/>
          <w:color w:val="000000" w:themeColor="text1"/>
          <w:szCs w:val="24"/>
          <w:lang w:val="tr-TR"/>
        </w:rPr>
        <w:t xml:space="preserve">Tablo 2. </w:t>
      </w:r>
      <w:r w:rsidR="00496ADC" w:rsidRPr="00F50C10">
        <w:rPr>
          <w:rFonts w:cs="Times New Roman"/>
          <w:b/>
          <w:iCs/>
          <w:color w:val="000000" w:themeColor="text1"/>
          <w:szCs w:val="24"/>
          <w:lang w:val="tr-TR"/>
        </w:rPr>
        <w:t>Oksidatif olmayan geri kazanım/azaltma teknikleri için MET ile ilişkili UOB emisyon seviyeleri</w:t>
      </w:r>
      <w:bookmarkEnd w:id="17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58"/>
        <w:gridCol w:w="4852"/>
      </w:tblGrid>
      <w:tr w:rsidR="00496ADC" w:rsidRPr="00F50C10" w14:paraId="5698E376" w14:textId="77777777" w:rsidTr="00375F59">
        <w:trPr>
          <w:trHeight w:val="20"/>
          <w:tblHeader/>
        </w:trPr>
        <w:tc>
          <w:tcPr>
            <w:tcW w:w="2394" w:type="pct"/>
            <w:vAlign w:val="center"/>
          </w:tcPr>
          <w:p w14:paraId="3B61D54D" w14:textId="77777777" w:rsidR="00496ADC" w:rsidRPr="00F50C10" w:rsidRDefault="00496ADC" w:rsidP="000B206D">
            <w:pPr>
              <w:widowControl w:val="0"/>
              <w:autoSpaceDE w:val="0"/>
              <w:autoSpaceDN w:val="0"/>
              <w:spacing w:line="276" w:lineRule="auto"/>
              <w:ind w:left="72" w:right="72"/>
              <w:jc w:val="left"/>
              <w:rPr>
                <w:rFonts w:eastAsia="Times New Roman" w:cs="Times New Roman"/>
                <w:b/>
                <w:szCs w:val="24"/>
                <w:lang w:val="tr-TR"/>
              </w:rPr>
            </w:pPr>
            <w:r w:rsidRPr="00F50C10">
              <w:rPr>
                <w:rFonts w:eastAsia="Times New Roman" w:cs="Times New Roman"/>
                <w:b/>
                <w:szCs w:val="24"/>
                <w:lang w:val="tr-TR" w:bidi="tr-TR"/>
              </w:rPr>
              <w:t>Parametre</w:t>
            </w:r>
          </w:p>
        </w:tc>
        <w:tc>
          <w:tcPr>
            <w:tcW w:w="2606" w:type="pct"/>
            <w:vAlign w:val="center"/>
          </w:tcPr>
          <w:p w14:paraId="3340C380" w14:textId="77777777" w:rsidR="00496ADC" w:rsidRPr="00F50C10" w:rsidRDefault="00496ADC" w:rsidP="000B206D">
            <w:pPr>
              <w:widowControl w:val="0"/>
              <w:autoSpaceDE w:val="0"/>
              <w:autoSpaceDN w:val="0"/>
              <w:spacing w:line="276" w:lineRule="auto"/>
              <w:ind w:left="72" w:right="72"/>
              <w:jc w:val="left"/>
              <w:rPr>
                <w:rFonts w:eastAsia="Times New Roman" w:cs="Times New Roman"/>
                <w:b/>
                <w:szCs w:val="24"/>
                <w:lang w:val="tr-TR"/>
              </w:rPr>
            </w:pPr>
            <w:r w:rsidRPr="00F50C10">
              <w:rPr>
                <w:rFonts w:eastAsia="Times New Roman" w:cs="Times New Roman"/>
                <w:b/>
                <w:szCs w:val="24"/>
                <w:lang w:val="tr-TR" w:bidi="tr-TR"/>
              </w:rPr>
              <w:t>Noktasal kaynaklardan çıkan ortalama emisyon seviyesi*</w:t>
            </w:r>
          </w:p>
        </w:tc>
      </w:tr>
      <w:tr w:rsidR="00496ADC" w:rsidRPr="00F50C10" w14:paraId="53BFCB73" w14:textId="77777777" w:rsidTr="00375F59">
        <w:trPr>
          <w:trHeight w:val="20"/>
        </w:trPr>
        <w:tc>
          <w:tcPr>
            <w:tcW w:w="2394" w:type="pct"/>
            <w:vAlign w:val="center"/>
          </w:tcPr>
          <w:p w14:paraId="425AF72A" w14:textId="77777777" w:rsidR="00496ADC" w:rsidRPr="00F50C10" w:rsidRDefault="00496ADC" w:rsidP="000B206D">
            <w:pPr>
              <w:widowControl w:val="0"/>
              <w:autoSpaceDE w:val="0"/>
              <w:autoSpaceDN w:val="0"/>
              <w:spacing w:line="276" w:lineRule="auto"/>
              <w:ind w:left="72" w:right="72"/>
              <w:jc w:val="left"/>
              <w:rPr>
                <w:rFonts w:eastAsia="Times New Roman" w:cs="Times New Roman"/>
                <w:szCs w:val="24"/>
                <w:lang w:val="tr-TR"/>
              </w:rPr>
            </w:pPr>
            <w:r w:rsidRPr="00F50C10">
              <w:rPr>
                <w:rFonts w:eastAsia="Times New Roman" w:cs="Times New Roman"/>
                <w:szCs w:val="24"/>
                <w:lang w:val="tr-TR" w:bidi="tr-TR"/>
              </w:rPr>
              <w:t>Toplam organik C</w:t>
            </w:r>
          </w:p>
        </w:tc>
        <w:tc>
          <w:tcPr>
            <w:tcW w:w="2606" w:type="pct"/>
            <w:vAlign w:val="center"/>
          </w:tcPr>
          <w:p w14:paraId="36C8E32B" w14:textId="77777777" w:rsidR="00496ADC" w:rsidRPr="00F50C10" w:rsidRDefault="00496ADC" w:rsidP="000B206D">
            <w:pPr>
              <w:widowControl w:val="0"/>
              <w:tabs>
                <w:tab w:val="left" w:pos="2018"/>
                <w:tab w:val="left" w:pos="2486"/>
              </w:tabs>
              <w:autoSpaceDE w:val="0"/>
              <w:autoSpaceDN w:val="0"/>
              <w:spacing w:line="276" w:lineRule="auto"/>
              <w:ind w:left="72" w:right="72"/>
              <w:jc w:val="left"/>
              <w:rPr>
                <w:rFonts w:eastAsia="Times New Roman" w:cs="Times New Roman"/>
                <w:szCs w:val="24"/>
                <w:lang w:val="tr-TR"/>
              </w:rPr>
            </w:pPr>
            <w:r w:rsidRPr="00F50C10">
              <w:rPr>
                <w:rFonts w:eastAsia="Times New Roman" w:cs="Times New Roman"/>
                <w:szCs w:val="24"/>
                <w:lang w:val="tr-TR" w:bidi="tr-TR"/>
              </w:rPr>
              <w:t>0,1 kg C/saat veya 20 mg C/m</w:t>
            </w:r>
            <w:r w:rsidRPr="00F50C10">
              <w:rPr>
                <w:rFonts w:eastAsia="Times New Roman" w:cs="Times New Roman"/>
                <w:szCs w:val="24"/>
                <w:vertAlign w:val="superscript"/>
                <w:lang w:val="tr-TR" w:bidi="tr-TR"/>
              </w:rPr>
              <w:t>3</w:t>
            </w:r>
            <w:r w:rsidRPr="00F50C10">
              <w:rPr>
                <w:rFonts w:eastAsia="Times New Roman" w:cs="Times New Roman"/>
                <w:position w:val="11"/>
                <w:szCs w:val="24"/>
                <w:lang w:val="tr-TR" w:bidi="tr-TR"/>
              </w:rPr>
              <w:t>**</w:t>
            </w:r>
          </w:p>
        </w:tc>
      </w:tr>
      <w:tr w:rsidR="00496ADC" w:rsidRPr="00F50C10" w14:paraId="23DFD050" w14:textId="77777777" w:rsidTr="00375F59">
        <w:trPr>
          <w:trHeight w:val="20"/>
        </w:trPr>
        <w:tc>
          <w:tcPr>
            <w:tcW w:w="5000" w:type="pct"/>
            <w:gridSpan w:val="2"/>
            <w:vAlign w:val="center"/>
          </w:tcPr>
          <w:p w14:paraId="7FECEB04" w14:textId="58351A99" w:rsidR="00496ADC" w:rsidRPr="00F50C10" w:rsidRDefault="00496ADC" w:rsidP="000B206D">
            <w:pPr>
              <w:widowControl w:val="0"/>
              <w:tabs>
                <w:tab w:val="left" w:pos="270"/>
              </w:tabs>
              <w:autoSpaceDE w:val="0"/>
              <w:autoSpaceDN w:val="0"/>
              <w:spacing w:line="276" w:lineRule="auto"/>
              <w:ind w:left="72" w:right="72"/>
              <w:jc w:val="left"/>
              <w:rPr>
                <w:rFonts w:eastAsia="Times New Roman" w:cs="Times New Roman"/>
                <w:i/>
                <w:iCs/>
                <w:szCs w:val="24"/>
                <w:lang w:val="tr-TR" w:bidi="tr-TR"/>
              </w:rPr>
            </w:pPr>
            <w:r w:rsidRPr="00F50C10">
              <w:rPr>
                <w:rFonts w:eastAsia="Times New Roman" w:cs="Times New Roman"/>
                <w:i/>
                <w:iCs/>
                <w:szCs w:val="24"/>
                <w:lang w:val="tr-TR" w:bidi="tr-TR"/>
              </w:rPr>
              <w:t>*Ortalama alma süresi, emisyon profili ile ilgilidir (</w:t>
            </w:r>
            <w:r w:rsidR="00772598" w:rsidRPr="00772598">
              <w:rPr>
                <w:rFonts w:cs="Times New Roman"/>
                <w:i/>
                <w:iCs/>
                <w:szCs w:val="24"/>
                <w:lang w:val="tr-TR"/>
              </w:rPr>
              <w:t>Detaylı bilgi için Organik İnce Kimyasalların Üretimi</w:t>
            </w:r>
            <w:r w:rsidR="00772598" w:rsidRPr="009E5076">
              <w:rPr>
                <w:rFonts w:cs="Times New Roman"/>
                <w:szCs w:val="24"/>
                <w:lang w:val="tr-TR"/>
              </w:rPr>
              <w:t xml:space="preserve"> İçin </w:t>
            </w:r>
            <w:r w:rsidRPr="00F50C10">
              <w:rPr>
                <w:rFonts w:eastAsia="Times New Roman" w:cs="Times New Roman"/>
                <w:i/>
                <w:iCs/>
                <w:szCs w:val="24"/>
                <w:lang w:val="tr-TR" w:bidi="tr-TR"/>
              </w:rPr>
              <w:t>MET Referans Belgesinin 5.2.1.1.4 ve 4.3.1.8 Kısımlarını inceleyiniz); seviyeler kuru gaz ve Nm</w:t>
            </w:r>
            <w:r w:rsidRPr="00F50C10">
              <w:rPr>
                <w:rFonts w:eastAsia="Times New Roman" w:cs="Times New Roman"/>
                <w:i/>
                <w:iCs/>
                <w:szCs w:val="24"/>
                <w:vertAlign w:val="superscript"/>
                <w:lang w:val="tr-TR" w:bidi="tr-TR"/>
              </w:rPr>
              <w:t>3</w:t>
            </w:r>
            <w:r w:rsidRPr="00F50C10">
              <w:rPr>
                <w:rFonts w:eastAsia="Times New Roman" w:cs="Times New Roman"/>
                <w:i/>
                <w:iCs/>
                <w:szCs w:val="24"/>
                <w:lang w:val="tr-TR" w:bidi="tr-TR"/>
              </w:rPr>
              <w:t xml:space="preserve"> ile ilgilidir.</w:t>
            </w:r>
          </w:p>
          <w:p w14:paraId="3F00FC67" w14:textId="510D012A" w:rsidR="00496ADC" w:rsidRPr="00F50C10" w:rsidRDefault="00496ADC" w:rsidP="000B206D">
            <w:pPr>
              <w:widowControl w:val="0"/>
              <w:tabs>
                <w:tab w:val="left" w:pos="270"/>
              </w:tabs>
              <w:autoSpaceDE w:val="0"/>
              <w:autoSpaceDN w:val="0"/>
              <w:spacing w:line="276" w:lineRule="auto"/>
              <w:ind w:left="72" w:right="72"/>
              <w:jc w:val="left"/>
              <w:rPr>
                <w:rFonts w:eastAsia="Times New Roman" w:cs="Times New Roman"/>
                <w:szCs w:val="24"/>
                <w:lang w:val="tr-TR" w:bidi="tr-TR"/>
              </w:rPr>
            </w:pPr>
            <w:r w:rsidRPr="00F50C10">
              <w:rPr>
                <w:rFonts w:eastAsia="Times New Roman" w:cs="Times New Roman"/>
                <w:i/>
                <w:iCs/>
                <w:position w:val="-3"/>
                <w:szCs w:val="24"/>
                <w:lang w:val="tr-TR" w:bidi="tr-TR"/>
              </w:rPr>
              <w:t>**Konsantrasyon seviyesi, seyreltme olmaksızın hacim akışlarıyla ilgilidir (örneğin oda veya bina havalandırmasından çıkan hacim akışları).</w:t>
            </w:r>
          </w:p>
        </w:tc>
      </w:tr>
    </w:tbl>
    <w:p w14:paraId="4DB4FCD0" w14:textId="24FCAFDC" w:rsidR="00772598"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41: </w:t>
      </w:r>
      <w:r w:rsidRPr="00F50C10">
        <w:rPr>
          <w:rFonts w:cs="Times New Roman"/>
          <w:szCs w:val="24"/>
          <w:lang w:val="tr-TR"/>
        </w:rPr>
        <w:t>Termal oksidasyon/yakma veya katalitik oksidasyon uygulanan durumlarda, UOB emisyonları</w:t>
      </w:r>
      <w:r w:rsidR="00412D3F" w:rsidRPr="00F50C10">
        <w:rPr>
          <w:rFonts w:cs="Times New Roman"/>
          <w:szCs w:val="24"/>
          <w:lang w:val="tr-TR"/>
        </w:rPr>
        <w:t xml:space="preserve"> Tablo 3</w:t>
      </w:r>
      <w:r w:rsidRPr="00F50C10">
        <w:rPr>
          <w:rFonts w:cs="Times New Roman"/>
          <w:szCs w:val="24"/>
          <w:lang w:val="tr-TR"/>
        </w:rPr>
        <w:t>'te verilen seviyelere indir</w:t>
      </w:r>
      <w:r w:rsidR="00412D3F" w:rsidRPr="00F50C10">
        <w:rPr>
          <w:rFonts w:cs="Times New Roman"/>
          <w:szCs w:val="24"/>
          <w:lang w:val="tr-TR"/>
        </w:rPr>
        <w:t>il</w:t>
      </w:r>
      <w:r w:rsidRPr="00F50C10">
        <w:rPr>
          <w:rFonts w:cs="Times New Roman"/>
          <w:szCs w:val="24"/>
          <w:lang w:val="tr-TR"/>
        </w:rPr>
        <w:t>ir.</w:t>
      </w:r>
      <w:r w:rsidR="00772598" w:rsidRPr="00772598">
        <w:rPr>
          <w:rFonts w:cs="Times New Roman"/>
          <w:szCs w:val="24"/>
          <w:lang w:val="tr-TR"/>
        </w:rPr>
        <w:t xml:space="preserve"> </w:t>
      </w:r>
      <w:r w:rsidR="00772598" w:rsidRPr="009E5076">
        <w:rPr>
          <w:rFonts w:cs="Times New Roman"/>
          <w:szCs w:val="24"/>
          <w:lang w:val="tr-TR"/>
        </w:rPr>
        <w:t>Detaylı bilgi için Organik İnce Kimyasalların Üretimi İçin</w:t>
      </w:r>
      <w:r w:rsidR="00772598">
        <w:rPr>
          <w:rFonts w:cs="Times New Roman"/>
          <w:szCs w:val="24"/>
          <w:lang w:val="tr-TR"/>
        </w:rPr>
        <w:t xml:space="preserve"> </w:t>
      </w:r>
      <w:r w:rsidR="00772598" w:rsidRPr="009E5076">
        <w:rPr>
          <w:rFonts w:cs="Times New Roman"/>
          <w:szCs w:val="24"/>
          <w:lang w:val="tr-TR"/>
        </w:rPr>
        <w:t>MET Referans Belgesinin 4.</w:t>
      </w:r>
      <w:r w:rsidR="00772598">
        <w:rPr>
          <w:rFonts w:cs="Times New Roman"/>
          <w:szCs w:val="24"/>
          <w:lang w:val="tr-TR"/>
        </w:rPr>
        <w:t xml:space="preserve">3.5.7, </w:t>
      </w:r>
      <w:r w:rsidR="00772598" w:rsidRPr="009E5076">
        <w:rPr>
          <w:rFonts w:cs="Times New Roman"/>
          <w:szCs w:val="24"/>
          <w:lang w:val="tr-TR"/>
        </w:rPr>
        <w:t>4.</w:t>
      </w:r>
      <w:r w:rsidR="00772598">
        <w:rPr>
          <w:rFonts w:cs="Times New Roman"/>
          <w:szCs w:val="24"/>
          <w:lang w:val="tr-TR"/>
        </w:rPr>
        <w:t xml:space="preserve">3.5.8, ve 4.3.5.18  kısımlarını </w:t>
      </w:r>
      <w:r w:rsidR="00772598" w:rsidRPr="009E5076">
        <w:rPr>
          <w:rFonts w:cs="Times New Roman"/>
          <w:szCs w:val="24"/>
          <w:lang w:val="tr-TR"/>
        </w:rPr>
        <w:t>inceleyiniz</w:t>
      </w:r>
      <w:r w:rsidR="00772598">
        <w:rPr>
          <w:rFonts w:cs="Times New Roman"/>
          <w:szCs w:val="24"/>
          <w:lang w:val="tr-TR"/>
        </w:rPr>
        <w:t>.)</w:t>
      </w:r>
    </w:p>
    <w:p w14:paraId="5C475F2F" w14:textId="33539393" w:rsidR="00496ADC" w:rsidRPr="00F50C10" w:rsidRDefault="00496ADC" w:rsidP="000B206D">
      <w:pPr>
        <w:spacing w:before="120" w:after="60" w:line="276" w:lineRule="auto"/>
        <w:rPr>
          <w:rFonts w:cs="Times New Roman"/>
          <w:b/>
          <w:bCs/>
          <w:szCs w:val="24"/>
          <w:lang w:val="tr-TR"/>
        </w:rPr>
      </w:pPr>
    </w:p>
    <w:p w14:paraId="391B6AE9" w14:textId="0FDF9C3F" w:rsidR="00496ADC" w:rsidRPr="00F50C10" w:rsidRDefault="00947D69" w:rsidP="000B206D">
      <w:pPr>
        <w:keepNext/>
        <w:spacing w:before="120" w:after="60" w:line="276" w:lineRule="auto"/>
        <w:rPr>
          <w:rFonts w:cs="Times New Roman"/>
          <w:b/>
          <w:iCs/>
          <w:color w:val="000000" w:themeColor="text1"/>
          <w:szCs w:val="24"/>
          <w:lang w:val="tr-TR"/>
        </w:rPr>
      </w:pPr>
      <w:bookmarkStart w:id="173" w:name="_Toc135050099"/>
      <w:r w:rsidRPr="00F50C10">
        <w:rPr>
          <w:rFonts w:cs="Times New Roman"/>
          <w:b/>
          <w:iCs/>
          <w:color w:val="000000" w:themeColor="text1"/>
          <w:szCs w:val="24"/>
          <w:lang w:val="tr-TR"/>
        </w:rPr>
        <w:t xml:space="preserve">Tablo 3. </w:t>
      </w:r>
      <w:r w:rsidR="00496ADC" w:rsidRPr="00F50C10">
        <w:rPr>
          <w:rFonts w:cs="Times New Roman"/>
          <w:b/>
          <w:iCs/>
          <w:color w:val="000000" w:themeColor="text1"/>
          <w:szCs w:val="24"/>
          <w:lang w:val="tr-TR"/>
        </w:rPr>
        <w:t>Termal oksidasyon/yakma veya katalitik oksidasyona yönelik olarak toplam organik C için MET ile ilişkili emisyon seviyeleri</w:t>
      </w:r>
      <w:bookmarkEnd w:id="17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53"/>
        <w:gridCol w:w="2303"/>
        <w:gridCol w:w="1045"/>
        <w:gridCol w:w="2409"/>
      </w:tblGrid>
      <w:tr w:rsidR="00496ADC" w:rsidRPr="00F50C10" w14:paraId="2E54C5E5" w14:textId="77777777" w:rsidTr="00375F59">
        <w:trPr>
          <w:trHeight w:val="20"/>
        </w:trPr>
        <w:tc>
          <w:tcPr>
            <w:tcW w:w="1908" w:type="pct"/>
            <w:vAlign w:val="center"/>
          </w:tcPr>
          <w:p w14:paraId="6BE14881" w14:textId="77777777" w:rsidR="00496ADC" w:rsidRPr="00F50C10" w:rsidRDefault="00496ADC" w:rsidP="000B206D">
            <w:pPr>
              <w:widowControl w:val="0"/>
              <w:autoSpaceDE w:val="0"/>
              <w:autoSpaceDN w:val="0"/>
              <w:spacing w:line="276" w:lineRule="auto"/>
              <w:ind w:left="72" w:right="72"/>
              <w:jc w:val="center"/>
              <w:rPr>
                <w:rFonts w:eastAsia="Times New Roman" w:cs="Times New Roman"/>
                <w:b/>
                <w:szCs w:val="24"/>
                <w:lang w:val="tr-TR"/>
              </w:rPr>
            </w:pPr>
            <w:r w:rsidRPr="00F50C10">
              <w:rPr>
                <w:rFonts w:eastAsia="Times New Roman" w:cs="Times New Roman"/>
                <w:b/>
                <w:szCs w:val="24"/>
                <w:lang w:val="tr-TR" w:bidi="tr-TR"/>
              </w:rPr>
              <w:t>Termal oksidasyon/yakma veya katalitik oksidasyon</w:t>
            </w:r>
          </w:p>
        </w:tc>
        <w:tc>
          <w:tcPr>
            <w:tcW w:w="1237" w:type="pct"/>
            <w:vAlign w:val="center"/>
          </w:tcPr>
          <w:p w14:paraId="3CA7713A" w14:textId="77777777" w:rsidR="00496ADC" w:rsidRPr="00F50C10" w:rsidRDefault="00496ADC" w:rsidP="000B206D">
            <w:pPr>
              <w:widowControl w:val="0"/>
              <w:autoSpaceDE w:val="0"/>
              <w:autoSpaceDN w:val="0"/>
              <w:spacing w:line="276" w:lineRule="auto"/>
              <w:ind w:left="72" w:right="72"/>
              <w:jc w:val="center"/>
              <w:rPr>
                <w:rFonts w:eastAsia="Times New Roman" w:cs="Times New Roman"/>
                <w:b/>
                <w:szCs w:val="24"/>
                <w:lang w:val="tr-TR"/>
              </w:rPr>
            </w:pPr>
            <w:r w:rsidRPr="00F50C10">
              <w:rPr>
                <w:rFonts w:eastAsia="Times New Roman" w:cs="Times New Roman"/>
                <w:b/>
                <w:szCs w:val="24"/>
                <w:lang w:val="tr-TR" w:bidi="tr-TR"/>
              </w:rPr>
              <w:t>Ortalama kütle akışı</w:t>
            </w:r>
          </w:p>
          <w:p w14:paraId="7EAF9B5A" w14:textId="77777777" w:rsidR="00496ADC" w:rsidRPr="00F50C10" w:rsidRDefault="00496ADC" w:rsidP="000B206D">
            <w:pPr>
              <w:widowControl w:val="0"/>
              <w:autoSpaceDE w:val="0"/>
              <w:autoSpaceDN w:val="0"/>
              <w:spacing w:line="276" w:lineRule="auto"/>
              <w:ind w:left="72" w:right="72"/>
              <w:jc w:val="center"/>
              <w:rPr>
                <w:rFonts w:eastAsia="Times New Roman" w:cs="Times New Roman"/>
                <w:b/>
                <w:szCs w:val="24"/>
                <w:lang w:val="tr-TR"/>
              </w:rPr>
            </w:pPr>
            <w:r w:rsidRPr="00F50C10">
              <w:rPr>
                <w:rFonts w:eastAsia="Times New Roman" w:cs="Times New Roman"/>
                <w:b/>
                <w:szCs w:val="24"/>
                <w:lang w:val="tr-TR" w:bidi="tr-TR"/>
              </w:rPr>
              <w:t>kg C/saat</w:t>
            </w:r>
          </w:p>
        </w:tc>
        <w:tc>
          <w:tcPr>
            <w:tcW w:w="561" w:type="pct"/>
            <w:vMerge w:val="restart"/>
            <w:vAlign w:val="center"/>
          </w:tcPr>
          <w:p w14:paraId="31E7D15E" w14:textId="77777777" w:rsidR="00496ADC" w:rsidRPr="00F50C10" w:rsidRDefault="00496ADC" w:rsidP="000B206D">
            <w:pPr>
              <w:widowControl w:val="0"/>
              <w:autoSpaceDE w:val="0"/>
              <w:autoSpaceDN w:val="0"/>
              <w:spacing w:line="276" w:lineRule="auto"/>
              <w:ind w:left="72" w:right="72"/>
              <w:jc w:val="center"/>
              <w:rPr>
                <w:rFonts w:eastAsia="Times New Roman" w:cs="Times New Roman"/>
                <w:szCs w:val="24"/>
                <w:lang w:val="tr-TR"/>
              </w:rPr>
            </w:pPr>
            <w:r w:rsidRPr="00F50C10">
              <w:rPr>
                <w:rFonts w:eastAsia="Times New Roman" w:cs="Times New Roman"/>
                <w:szCs w:val="24"/>
                <w:lang w:val="tr-TR" w:bidi="tr-TR"/>
              </w:rPr>
              <w:t>veya</w:t>
            </w:r>
          </w:p>
        </w:tc>
        <w:tc>
          <w:tcPr>
            <w:tcW w:w="1294" w:type="pct"/>
            <w:vAlign w:val="center"/>
          </w:tcPr>
          <w:p w14:paraId="2557DECA" w14:textId="77777777" w:rsidR="00496ADC" w:rsidRPr="00F50C10" w:rsidRDefault="00496ADC" w:rsidP="000B206D">
            <w:pPr>
              <w:widowControl w:val="0"/>
              <w:autoSpaceDE w:val="0"/>
              <w:autoSpaceDN w:val="0"/>
              <w:spacing w:line="276" w:lineRule="auto"/>
              <w:ind w:left="72" w:right="72"/>
              <w:jc w:val="center"/>
              <w:rPr>
                <w:rFonts w:eastAsia="Times New Roman" w:cs="Times New Roman"/>
                <w:b/>
                <w:szCs w:val="24"/>
                <w:lang w:val="tr-TR"/>
              </w:rPr>
            </w:pPr>
            <w:r w:rsidRPr="00F50C10">
              <w:rPr>
                <w:rFonts w:eastAsia="Times New Roman" w:cs="Times New Roman"/>
                <w:b/>
                <w:szCs w:val="24"/>
                <w:lang w:val="tr-TR" w:bidi="tr-TR"/>
              </w:rPr>
              <w:t>Ortalama konsantrasyon</w:t>
            </w:r>
          </w:p>
          <w:p w14:paraId="370AA47B" w14:textId="77777777" w:rsidR="00496ADC" w:rsidRPr="00F50C10" w:rsidRDefault="00496ADC" w:rsidP="000B206D">
            <w:pPr>
              <w:widowControl w:val="0"/>
              <w:autoSpaceDE w:val="0"/>
              <w:autoSpaceDN w:val="0"/>
              <w:spacing w:line="276" w:lineRule="auto"/>
              <w:ind w:left="72" w:right="72"/>
              <w:jc w:val="center"/>
              <w:rPr>
                <w:rFonts w:eastAsia="Times New Roman" w:cs="Times New Roman"/>
                <w:b/>
                <w:szCs w:val="24"/>
                <w:lang w:val="tr-TR"/>
              </w:rPr>
            </w:pPr>
            <w:r w:rsidRPr="00F50C10">
              <w:rPr>
                <w:rFonts w:eastAsia="Times New Roman" w:cs="Times New Roman"/>
                <w:b/>
                <w:szCs w:val="24"/>
                <w:lang w:val="tr-TR" w:bidi="tr-TR"/>
              </w:rPr>
              <w:t>mg C/m</w:t>
            </w:r>
            <w:r w:rsidRPr="00F50C10">
              <w:rPr>
                <w:rFonts w:eastAsia="Times New Roman" w:cs="Times New Roman"/>
                <w:b/>
                <w:szCs w:val="24"/>
                <w:vertAlign w:val="superscript"/>
                <w:lang w:val="tr-TR" w:bidi="tr-TR"/>
              </w:rPr>
              <w:t>3</w:t>
            </w:r>
          </w:p>
        </w:tc>
      </w:tr>
      <w:tr w:rsidR="00496ADC" w:rsidRPr="00F50C10" w14:paraId="1455570F" w14:textId="77777777" w:rsidTr="00375F59">
        <w:trPr>
          <w:trHeight w:val="20"/>
        </w:trPr>
        <w:tc>
          <w:tcPr>
            <w:tcW w:w="1908" w:type="pct"/>
            <w:vAlign w:val="center"/>
          </w:tcPr>
          <w:p w14:paraId="0538B969" w14:textId="77777777" w:rsidR="00496ADC" w:rsidRPr="00F50C10" w:rsidRDefault="00496ADC" w:rsidP="000B206D">
            <w:pPr>
              <w:widowControl w:val="0"/>
              <w:autoSpaceDE w:val="0"/>
              <w:autoSpaceDN w:val="0"/>
              <w:spacing w:line="276" w:lineRule="auto"/>
              <w:ind w:left="72" w:right="72"/>
              <w:jc w:val="center"/>
              <w:rPr>
                <w:rFonts w:eastAsia="Times New Roman" w:cs="Times New Roman"/>
                <w:szCs w:val="24"/>
                <w:lang w:val="tr-TR"/>
              </w:rPr>
            </w:pPr>
            <w:r w:rsidRPr="00F50C10">
              <w:rPr>
                <w:rFonts w:eastAsia="Times New Roman" w:cs="Times New Roman"/>
                <w:szCs w:val="24"/>
                <w:lang w:val="tr-TR" w:bidi="tr-TR"/>
              </w:rPr>
              <w:t>Toplam organik C</w:t>
            </w:r>
          </w:p>
        </w:tc>
        <w:tc>
          <w:tcPr>
            <w:tcW w:w="1237" w:type="pct"/>
            <w:vAlign w:val="center"/>
          </w:tcPr>
          <w:p w14:paraId="6C2DB51A" w14:textId="77777777" w:rsidR="00496ADC" w:rsidRPr="00F50C10" w:rsidRDefault="00496ADC" w:rsidP="000B206D">
            <w:pPr>
              <w:widowControl w:val="0"/>
              <w:autoSpaceDE w:val="0"/>
              <w:autoSpaceDN w:val="0"/>
              <w:spacing w:line="276" w:lineRule="auto"/>
              <w:ind w:left="72" w:right="72"/>
              <w:jc w:val="center"/>
              <w:rPr>
                <w:rFonts w:eastAsia="Times New Roman" w:cs="Times New Roman"/>
                <w:szCs w:val="24"/>
                <w:lang w:val="tr-TR"/>
              </w:rPr>
            </w:pPr>
            <w:r w:rsidRPr="00F50C10">
              <w:rPr>
                <w:rFonts w:eastAsia="Times New Roman" w:cs="Times New Roman"/>
                <w:szCs w:val="24"/>
                <w:lang w:val="tr-TR" w:bidi="tr-TR"/>
              </w:rPr>
              <w:t>&lt;0,05</w:t>
            </w:r>
          </w:p>
        </w:tc>
        <w:tc>
          <w:tcPr>
            <w:tcW w:w="561" w:type="pct"/>
            <w:vMerge/>
            <w:vAlign w:val="center"/>
          </w:tcPr>
          <w:p w14:paraId="30899CFC" w14:textId="77777777" w:rsidR="00496ADC" w:rsidRPr="00F50C10" w:rsidRDefault="00496ADC" w:rsidP="000B206D">
            <w:pPr>
              <w:widowControl w:val="0"/>
              <w:autoSpaceDE w:val="0"/>
              <w:autoSpaceDN w:val="0"/>
              <w:spacing w:line="276" w:lineRule="auto"/>
              <w:ind w:left="72" w:right="72"/>
              <w:jc w:val="center"/>
              <w:rPr>
                <w:rFonts w:eastAsia="Times New Roman" w:cs="Times New Roman"/>
                <w:szCs w:val="24"/>
                <w:lang w:val="tr-TR"/>
              </w:rPr>
            </w:pPr>
          </w:p>
        </w:tc>
        <w:tc>
          <w:tcPr>
            <w:tcW w:w="1294" w:type="pct"/>
            <w:vAlign w:val="center"/>
          </w:tcPr>
          <w:p w14:paraId="2A5830D0" w14:textId="77777777" w:rsidR="00496ADC" w:rsidRPr="00F50C10" w:rsidRDefault="00496ADC" w:rsidP="000B206D">
            <w:pPr>
              <w:widowControl w:val="0"/>
              <w:autoSpaceDE w:val="0"/>
              <w:autoSpaceDN w:val="0"/>
              <w:spacing w:line="276" w:lineRule="auto"/>
              <w:ind w:left="72" w:right="72"/>
              <w:jc w:val="center"/>
              <w:rPr>
                <w:rFonts w:eastAsia="Times New Roman" w:cs="Times New Roman"/>
                <w:szCs w:val="24"/>
                <w:lang w:val="tr-TR"/>
              </w:rPr>
            </w:pPr>
            <w:r w:rsidRPr="00F50C10">
              <w:rPr>
                <w:rFonts w:eastAsia="Times New Roman" w:cs="Times New Roman"/>
                <w:szCs w:val="24"/>
                <w:lang w:val="tr-TR" w:bidi="tr-TR"/>
              </w:rPr>
              <w:t>&lt;5</w:t>
            </w:r>
          </w:p>
        </w:tc>
      </w:tr>
      <w:tr w:rsidR="00496ADC" w:rsidRPr="00F50C10" w14:paraId="0A0E4008" w14:textId="77777777" w:rsidTr="00375F59">
        <w:trPr>
          <w:trHeight w:val="20"/>
        </w:trPr>
        <w:tc>
          <w:tcPr>
            <w:tcW w:w="5000" w:type="pct"/>
            <w:gridSpan w:val="4"/>
            <w:vAlign w:val="center"/>
          </w:tcPr>
          <w:p w14:paraId="28F99678" w14:textId="77777777" w:rsidR="00496ADC" w:rsidRPr="00F50C10" w:rsidRDefault="00496ADC" w:rsidP="000B206D">
            <w:pPr>
              <w:widowControl w:val="0"/>
              <w:autoSpaceDE w:val="0"/>
              <w:autoSpaceDN w:val="0"/>
              <w:spacing w:line="276" w:lineRule="auto"/>
              <w:ind w:left="72" w:right="72"/>
              <w:jc w:val="left"/>
              <w:rPr>
                <w:rFonts w:eastAsia="Times New Roman" w:cs="Times New Roman"/>
                <w:i/>
                <w:iCs/>
                <w:szCs w:val="24"/>
                <w:lang w:val="tr-TR" w:bidi="tr-TR"/>
              </w:rPr>
            </w:pPr>
            <w:r w:rsidRPr="00F50C10">
              <w:rPr>
                <w:rFonts w:eastAsia="Times New Roman" w:cs="Times New Roman"/>
                <w:i/>
                <w:iCs/>
                <w:szCs w:val="24"/>
                <w:lang w:val="tr-TR" w:bidi="tr-TR"/>
              </w:rPr>
              <w:t>Ortalama alma süresi, emisyon profili ile ilgilidir; seviyeler kuru gaz ve Nm</w:t>
            </w:r>
            <w:r w:rsidRPr="00F50C10">
              <w:rPr>
                <w:rFonts w:eastAsia="Times New Roman" w:cs="Times New Roman"/>
                <w:i/>
                <w:iCs/>
                <w:szCs w:val="24"/>
                <w:vertAlign w:val="superscript"/>
                <w:lang w:val="tr-TR" w:bidi="tr-TR"/>
              </w:rPr>
              <w:t>3</w:t>
            </w:r>
            <w:r w:rsidRPr="00F50C10">
              <w:rPr>
                <w:rFonts w:eastAsia="Times New Roman" w:cs="Times New Roman"/>
                <w:i/>
                <w:iCs/>
                <w:szCs w:val="24"/>
                <w:lang w:val="tr-TR" w:bidi="tr-TR"/>
              </w:rPr>
              <w:t xml:space="preserve"> ile ilgilidir.</w:t>
            </w:r>
          </w:p>
        </w:tc>
      </w:tr>
    </w:tbl>
    <w:p w14:paraId="5FBB1C7D" w14:textId="1A5B01F4" w:rsidR="00496ADC" w:rsidRPr="00891E81" w:rsidRDefault="00496ADC" w:rsidP="000B206D">
      <w:pPr>
        <w:spacing w:before="120" w:after="60" w:line="276" w:lineRule="auto"/>
        <w:rPr>
          <w:rFonts w:cs="Times New Roman"/>
          <w:b/>
          <w:bCs/>
          <w:szCs w:val="24"/>
          <w:lang w:val="tr-TR"/>
        </w:rPr>
      </w:pPr>
      <w:r w:rsidRPr="00F50C10">
        <w:rPr>
          <w:rFonts w:cs="Times New Roman"/>
          <w:szCs w:val="24"/>
          <w:lang w:val="tr-TR"/>
        </w:rPr>
        <w:t>Termal oksidasyon/yakma ve katalitik oksidasyon, UOB'leri en yüksek verimlilikle yok etmek için kanıtlanmış tekniklerdir, ancak önemli çapraz ortam etkilerine neden olurlar. Doğrudan karşılaştırma yapmak gerekirse, katalitik oksidasyon daha az enerji tüketir ve daha az NO</w:t>
      </w:r>
      <w:r w:rsidRPr="00F50C10">
        <w:rPr>
          <w:rFonts w:cs="Times New Roman"/>
          <w:szCs w:val="24"/>
          <w:vertAlign w:val="subscript"/>
          <w:lang w:val="tr-TR"/>
        </w:rPr>
        <w:t>x</w:t>
      </w:r>
      <w:r w:rsidRPr="00F50C10">
        <w:rPr>
          <w:rFonts w:cs="Times New Roman"/>
          <w:szCs w:val="24"/>
          <w:lang w:val="tr-TR"/>
        </w:rPr>
        <w:t xml:space="preserve"> oluşturur ve bu nedenle teknik olarak mümkün olduğunda tercih edilir. Termal oksidasyon, destek yakıtının organik sıvı atıklarla değiştirilebildiği (örneğin teknik/ekonomik olarak sahada bulunan ve geri kazanılamayan atık çözücüler) veya atık su akışlarından organik bileşiklerin sıyrılmasıyla ototermal işlemin mümkün olduğu durumlarda avantajlıdır</w:t>
      </w:r>
      <w:r w:rsidR="00891E81">
        <w:rPr>
          <w:rFonts w:cs="Times New Roman"/>
          <w:szCs w:val="24"/>
          <w:lang w:val="tr-TR"/>
        </w:rPr>
        <w:t>.</w:t>
      </w:r>
      <w:r w:rsidR="00891E81" w:rsidRPr="00891E81">
        <w:rPr>
          <w:rFonts w:cs="Times New Roman"/>
          <w:szCs w:val="24"/>
          <w:lang w:val="tr-TR"/>
        </w:rPr>
        <w:t xml:space="preserve"> </w:t>
      </w:r>
      <w:r w:rsidR="00891E81" w:rsidRPr="005C5574">
        <w:rPr>
          <w:rFonts w:cs="Times New Roman"/>
          <w:szCs w:val="24"/>
          <w:lang w:val="tr-TR"/>
        </w:rPr>
        <w:t>(</w:t>
      </w:r>
      <w:r w:rsidR="00891E81" w:rsidRPr="009E5076">
        <w:rPr>
          <w:rFonts w:cs="Times New Roman"/>
          <w:szCs w:val="24"/>
          <w:lang w:val="tr-TR"/>
        </w:rPr>
        <w:t>Detaylı bilgi için Organik İnce Kimyasalların Üretimi İçin MET Referans Belgesinin 4.</w:t>
      </w:r>
      <w:r w:rsidR="00891E81">
        <w:rPr>
          <w:rFonts w:cs="Times New Roman"/>
          <w:szCs w:val="24"/>
          <w:lang w:val="tr-TR"/>
        </w:rPr>
        <w:t xml:space="preserve">3.5.9, 5.2.4.3 MET, kısımlarını </w:t>
      </w:r>
      <w:r w:rsidR="00891E81" w:rsidRPr="009E5076">
        <w:rPr>
          <w:rFonts w:cs="Times New Roman"/>
          <w:szCs w:val="24"/>
          <w:lang w:val="tr-TR"/>
        </w:rPr>
        <w:t>inceleyiniz</w:t>
      </w:r>
      <w:r w:rsidR="00891E81">
        <w:rPr>
          <w:rFonts w:cs="Times New Roman"/>
          <w:szCs w:val="24"/>
          <w:lang w:val="tr-TR"/>
        </w:rPr>
        <w:t xml:space="preserve">.) </w:t>
      </w:r>
      <w:r w:rsidR="00947D69" w:rsidRPr="00F50C10">
        <w:rPr>
          <w:rFonts w:cs="Times New Roman"/>
          <w:szCs w:val="24"/>
          <w:lang w:val="tr-TR"/>
        </w:rPr>
        <w:t>Çıkış</w:t>
      </w:r>
      <w:r w:rsidRPr="00F50C10">
        <w:rPr>
          <w:rFonts w:cs="Times New Roman"/>
          <w:szCs w:val="24"/>
          <w:lang w:val="tr-TR"/>
        </w:rPr>
        <w:t xml:space="preserve"> gazlarının UOB'lere ek olarak yüksek miktarda başka kirletici maddeler içerdiği durumlarda, termal oksidasyon, örneğin pazarlanabilir HCl'nin geri kazanılmasına veya termal oksitleyici bir DeNO</w:t>
      </w:r>
      <w:r w:rsidRPr="00F50C10">
        <w:rPr>
          <w:rFonts w:cs="Times New Roman"/>
          <w:szCs w:val="24"/>
          <w:vertAlign w:val="subscript"/>
          <w:lang w:val="tr-TR"/>
        </w:rPr>
        <w:t>x</w:t>
      </w:r>
      <w:r w:rsidRPr="00F50C10">
        <w:rPr>
          <w:rFonts w:cs="Times New Roman"/>
          <w:szCs w:val="24"/>
          <w:lang w:val="tr-TR"/>
        </w:rPr>
        <w:t xml:space="preserve"> ünitesi ile donatılmışsa veya iki aşamalı yanma sistemi olarak tasarlanmışsa, NO</w:t>
      </w:r>
      <w:r w:rsidRPr="00F50C10">
        <w:rPr>
          <w:rFonts w:cs="Times New Roman"/>
          <w:szCs w:val="24"/>
          <w:vertAlign w:val="subscript"/>
          <w:lang w:val="tr-TR"/>
        </w:rPr>
        <w:t>x</w:t>
      </w:r>
      <w:r w:rsidRPr="00F50C10">
        <w:rPr>
          <w:rFonts w:cs="Times New Roman"/>
          <w:szCs w:val="24"/>
          <w:lang w:val="tr-TR"/>
        </w:rPr>
        <w:t>'in verimli bir şekilde azaltılmasına olanak tanıyabilir. Termal oksidasyon/yakma ve katalitik oksidasyon da koku emisyonlarını azaltmak için uygun bir teknik olabilir.</w:t>
      </w:r>
      <w:r w:rsidR="00891E81" w:rsidRPr="00891E81">
        <w:rPr>
          <w:rFonts w:cs="Times New Roman"/>
          <w:szCs w:val="24"/>
          <w:lang w:val="tr-TR"/>
        </w:rPr>
        <w:t xml:space="preserve"> </w:t>
      </w:r>
      <w:r w:rsidR="00891E81">
        <w:rPr>
          <w:rFonts w:cs="Times New Roman"/>
          <w:szCs w:val="24"/>
          <w:lang w:val="tr-TR"/>
        </w:rPr>
        <w:t>.</w:t>
      </w:r>
      <w:r w:rsidR="00891E81" w:rsidRPr="00891E81">
        <w:rPr>
          <w:rFonts w:cs="Times New Roman"/>
          <w:szCs w:val="24"/>
          <w:lang w:val="tr-TR"/>
        </w:rPr>
        <w:t xml:space="preserve"> </w:t>
      </w:r>
      <w:r w:rsidR="00891E81" w:rsidRPr="005C5574">
        <w:rPr>
          <w:rFonts w:cs="Times New Roman"/>
          <w:szCs w:val="24"/>
          <w:lang w:val="tr-TR"/>
        </w:rPr>
        <w:t>(</w:t>
      </w:r>
      <w:r w:rsidR="00891E81" w:rsidRPr="009E5076">
        <w:rPr>
          <w:rFonts w:cs="Times New Roman"/>
          <w:szCs w:val="24"/>
          <w:lang w:val="tr-TR"/>
        </w:rPr>
        <w:t>Detaylı bilgi için Organik İnce Kimyasalların Üretimi İçin MET Referans Belgesinin 4.</w:t>
      </w:r>
      <w:r w:rsidR="00891E81">
        <w:rPr>
          <w:rFonts w:cs="Times New Roman"/>
          <w:szCs w:val="24"/>
          <w:lang w:val="tr-TR"/>
        </w:rPr>
        <w:t xml:space="preserve">3.5.2 ve 4.3.5.7 kısımlarını </w:t>
      </w:r>
      <w:r w:rsidR="00891E81" w:rsidRPr="009E5076">
        <w:rPr>
          <w:rFonts w:cs="Times New Roman"/>
          <w:szCs w:val="24"/>
          <w:lang w:val="tr-TR"/>
        </w:rPr>
        <w:t>inceleyiniz</w:t>
      </w:r>
      <w:r w:rsidR="00891E81">
        <w:rPr>
          <w:rFonts w:cs="Times New Roman"/>
          <w:szCs w:val="24"/>
          <w:lang w:val="tr-TR"/>
        </w:rPr>
        <w:t>.)</w:t>
      </w:r>
    </w:p>
    <w:p w14:paraId="2840E059" w14:textId="77777777" w:rsidR="00496ADC" w:rsidRPr="00F50C10" w:rsidRDefault="00496ADC" w:rsidP="000B206D">
      <w:pPr>
        <w:keepNext/>
        <w:spacing w:before="120" w:after="60" w:line="276" w:lineRule="auto"/>
        <w:jc w:val="center"/>
        <w:rPr>
          <w:rFonts w:cs="Times New Roman"/>
          <w:szCs w:val="24"/>
          <w:lang w:val="tr-TR"/>
        </w:rPr>
      </w:pPr>
      <w:r w:rsidRPr="00F50C10">
        <w:rPr>
          <w:rFonts w:cs="Times New Roman"/>
          <w:noProof/>
          <w:szCs w:val="24"/>
          <w:lang w:val="tr-TR" w:eastAsia="tr-TR"/>
        </w:rPr>
        <w:drawing>
          <wp:inline distT="0" distB="0" distL="0" distR="0" wp14:anchorId="30D3FBCE" wp14:editId="4F6FE859">
            <wp:extent cx="4892841" cy="6305384"/>
            <wp:effectExtent l="0" t="0" r="3175" b="635"/>
            <wp:docPr id="1346795160" name="Picture 1" descr="A picture containing text, diagram, origami,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795160" name="Picture 1" descr="A picture containing text, diagram, origami, desig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7409" cy="6401479"/>
                    </a:xfrm>
                    <a:prstGeom prst="rect">
                      <a:avLst/>
                    </a:prstGeom>
                    <a:noFill/>
                    <a:ln>
                      <a:noFill/>
                    </a:ln>
                  </pic:spPr>
                </pic:pic>
              </a:graphicData>
            </a:graphic>
          </wp:inline>
        </w:drawing>
      </w:r>
    </w:p>
    <w:p w14:paraId="5BEB7040" w14:textId="77777777" w:rsidR="00496ADC" w:rsidRPr="00F50C10" w:rsidRDefault="00496ADC" w:rsidP="000B206D">
      <w:pPr>
        <w:spacing w:before="120" w:after="60" w:line="276" w:lineRule="auto"/>
        <w:jc w:val="center"/>
        <w:rPr>
          <w:rFonts w:cs="Times New Roman"/>
          <w:b/>
          <w:iCs/>
          <w:color w:val="000000" w:themeColor="text1"/>
          <w:szCs w:val="24"/>
          <w:lang w:val="tr-TR"/>
        </w:rPr>
      </w:pPr>
      <w:bookmarkStart w:id="174" w:name="_Ref135214134"/>
      <w:bookmarkStart w:id="175" w:name="_Toc135050126"/>
      <w:r w:rsidRPr="00F50C10">
        <w:rPr>
          <w:rFonts w:cs="Times New Roman"/>
          <w:b/>
          <w:iCs/>
          <w:color w:val="000000" w:themeColor="text1"/>
          <w:szCs w:val="24"/>
          <w:lang w:val="tr-TR"/>
        </w:rPr>
        <w:t xml:space="preserve">Şekil </w:t>
      </w:r>
      <w:r w:rsidRPr="00F50C10">
        <w:rPr>
          <w:rFonts w:cs="Times New Roman"/>
          <w:b/>
          <w:iCs/>
          <w:color w:val="000000" w:themeColor="text1"/>
          <w:szCs w:val="24"/>
          <w:lang w:val="tr-TR"/>
        </w:rPr>
        <w:fldChar w:fldCharType="begin"/>
      </w:r>
      <w:r w:rsidRPr="00F50C10">
        <w:rPr>
          <w:rFonts w:cs="Times New Roman"/>
          <w:b/>
          <w:iCs/>
          <w:color w:val="000000" w:themeColor="text1"/>
          <w:szCs w:val="24"/>
          <w:lang w:val="tr-TR"/>
        </w:rPr>
        <w:instrText xml:space="preserve"> SEQ Figure \* ARABIC </w:instrText>
      </w:r>
      <w:r w:rsidRPr="00F50C10">
        <w:rPr>
          <w:rFonts w:cs="Times New Roman"/>
          <w:b/>
          <w:iCs/>
          <w:color w:val="000000" w:themeColor="text1"/>
          <w:szCs w:val="24"/>
          <w:lang w:val="tr-TR"/>
        </w:rPr>
        <w:fldChar w:fldCharType="separate"/>
      </w:r>
      <w:r w:rsidRPr="00F50C10">
        <w:rPr>
          <w:rFonts w:cs="Times New Roman"/>
          <w:b/>
          <w:iCs/>
          <w:noProof/>
          <w:color w:val="000000" w:themeColor="text1"/>
          <w:szCs w:val="24"/>
          <w:lang w:val="tr-TR"/>
        </w:rPr>
        <w:t>1</w:t>
      </w:r>
      <w:r w:rsidRPr="00F50C10">
        <w:rPr>
          <w:rFonts w:cs="Times New Roman"/>
          <w:b/>
          <w:iCs/>
          <w:color w:val="000000" w:themeColor="text1"/>
          <w:szCs w:val="24"/>
          <w:lang w:val="tr-TR"/>
        </w:rPr>
        <w:fldChar w:fldCharType="end"/>
      </w:r>
      <w:bookmarkEnd w:id="174"/>
      <w:r w:rsidRPr="00F50C10">
        <w:rPr>
          <w:rFonts w:cs="Times New Roman"/>
          <w:b/>
          <w:iCs/>
          <w:color w:val="000000" w:themeColor="text1"/>
          <w:szCs w:val="24"/>
          <w:lang w:val="tr-TR"/>
        </w:rPr>
        <w:t>. UOB geri kazanım/azaltma tekniklerinin seçimi için MET</w:t>
      </w:r>
      <w:bookmarkEnd w:id="175"/>
    </w:p>
    <w:p w14:paraId="723E30BF" w14:textId="77777777" w:rsidR="00496ADC" w:rsidRPr="00F50C10" w:rsidRDefault="00496ADC" w:rsidP="000B206D">
      <w:pPr>
        <w:keepNext/>
        <w:spacing w:before="120" w:after="60" w:line="276" w:lineRule="auto"/>
        <w:rPr>
          <w:rFonts w:cs="Times New Roman"/>
          <w:b/>
          <w:iCs/>
          <w:color w:val="000000" w:themeColor="text1"/>
          <w:szCs w:val="24"/>
          <w:lang w:val="tr-TR"/>
        </w:rPr>
      </w:pPr>
      <w:bookmarkStart w:id="176" w:name="_Toc135050100"/>
      <w:r w:rsidRPr="00F50C10">
        <w:rPr>
          <w:rFonts w:cs="Times New Roman"/>
          <w:b/>
          <w:iCs/>
          <w:color w:val="000000" w:themeColor="text1"/>
          <w:szCs w:val="24"/>
          <w:lang w:val="tr-TR"/>
        </w:rPr>
        <w:t xml:space="preserve">Tablo </w:t>
      </w:r>
      <w:r w:rsidRPr="00F50C10">
        <w:rPr>
          <w:rFonts w:cs="Times New Roman"/>
          <w:b/>
          <w:iCs/>
          <w:color w:val="000000" w:themeColor="text1"/>
          <w:szCs w:val="24"/>
          <w:lang w:val="tr-TR"/>
        </w:rPr>
        <w:fldChar w:fldCharType="begin"/>
      </w:r>
      <w:r w:rsidRPr="00F50C10">
        <w:rPr>
          <w:rFonts w:cs="Times New Roman"/>
          <w:b/>
          <w:iCs/>
          <w:color w:val="000000" w:themeColor="text1"/>
          <w:szCs w:val="24"/>
          <w:lang w:val="tr-TR"/>
        </w:rPr>
        <w:instrText xml:space="preserve"> SEQ Tablo \* ARABIC </w:instrText>
      </w:r>
      <w:r w:rsidRPr="00F50C10">
        <w:rPr>
          <w:rFonts w:cs="Times New Roman"/>
          <w:b/>
          <w:iCs/>
          <w:color w:val="000000" w:themeColor="text1"/>
          <w:szCs w:val="24"/>
          <w:lang w:val="tr-TR"/>
        </w:rPr>
        <w:fldChar w:fldCharType="separate"/>
      </w:r>
      <w:r w:rsidRPr="00F50C10">
        <w:rPr>
          <w:rFonts w:cs="Times New Roman"/>
          <w:b/>
          <w:iCs/>
          <w:noProof/>
          <w:color w:val="000000" w:themeColor="text1"/>
          <w:szCs w:val="24"/>
          <w:lang w:val="tr-TR"/>
        </w:rPr>
        <w:t>4</w:t>
      </w:r>
      <w:r w:rsidRPr="00F50C10">
        <w:rPr>
          <w:rFonts w:cs="Times New Roman"/>
          <w:b/>
          <w:iCs/>
          <w:color w:val="000000" w:themeColor="text1"/>
          <w:szCs w:val="24"/>
          <w:lang w:val="tr-TR"/>
        </w:rPr>
        <w:fldChar w:fldCharType="end"/>
      </w:r>
      <w:r w:rsidRPr="00F50C10">
        <w:rPr>
          <w:rFonts w:cs="Times New Roman"/>
          <w:b/>
          <w:iCs/>
          <w:color w:val="000000" w:themeColor="text1"/>
          <w:szCs w:val="24"/>
          <w:lang w:val="tr-TR"/>
        </w:rPr>
        <w:t>. Katalitik ve termal oksidasyon/yakma için seçim kriterleri</w:t>
      </w:r>
      <w:bookmarkEnd w:id="17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4"/>
        <w:gridCol w:w="8906"/>
      </w:tblGrid>
      <w:tr w:rsidR="00496ADC" w:rsidRPr="00F50C10" w14:paraId="11AFF629" w14:textId="77777777" w:rsidTr="00375F59">
        <w:trPr>
          <w:trHeight w:val="20"/>
          <w:tblHeader/>
        </w:trPr>
        <w:tc>
          <w:tcPr>
            <w:tcW w:w="5000" w:type="pct"/>
            <w:gridSpan w:val="2"/>
            <w:vAlign w:val="center"/>
          </w:tcPr>
          <w:p w14:paraId="56E105FF" w14:textId="77777777" w:rsidR="00496ADC" w:rsidRPr="00F50C10" w:rsidRDefault="00496ADC" w:rsidP="000B206D">
            <w:pPr>
              <w:widowControl w:val="0"/>
              <w:autoSpaceDE w:val="0"/>
              <w:autoSpaceDN w:val="0"/>
              <w:spacing w:line="276" w:lineRule="auto"/>
              <w:jc w:val="left"/>
              <w:rPr>
                <w:rFonts w:eastAsia="Times New Roman" w:cs="Times New Roman"/>
                <w:b/>
                <w:szCs w:val="24"/>
                <w:lang w:val="tr-TR"/>
              </w:rPr>
            </w:pPr>
            <w:bookmarkStart w:id="177" w:name="_Hlk134603581"/>
            <w:r w:rsidRPr="00F50C10">
              <w:rPr>
                <w:rFonts w:eastAsia="Times New Roman" w:cs="Times New Roman"/>
                <w:b/>
                <w:szCs w:val="24"/>
                <w:lang w:val="tr-TR" w:bidi="tr-TR"/>
              </w:rPr>
              <w:t>Seçim kriterleri</w:t>
            </w:r>
          </w:p>
        </w:tc>
      </w:tr>
      <w:tr w:rsidR="00496ADC" w:rsidRPr="00F50C10" w14:paraId="34986AF3" w14:textId="77777777" w:rsidTr="00375F59">
        <w:trPr>
          <w:trHeight w:val="20"/>
        </w:trPr>
        <w:tc>
          <w:tcPr>
            <w:tcW w:w="217" w:type="pct"/>
            <w:vAlign w:val="center"/>
          </w:tcPr>
          <w:p w14:paraId="2683334D" w14:textId="77777777" w:rsidR="00496ADC" w:rsidRPr="00F50C10" w:rsidRDefault="00496ADC" w:rsidP="000B206D">
            <w:pPr>
              <w:widowControl w:val="0"/>
              <w:autoSpaceDE w:val="0"/>
              <w:autoSpaceDN w:val="0"/>
              <w:spacing w:line="276" w:lineRule="auto"/>
              <w:jc w:val="left"/>
              <w:rPr>
                <w:rFonts w:eastAsia="Times New Roman" w:cs="Times New Roman"/>
                <w:bCs/>
                <w:szCs w:val="24"/>
                <w:lang w:val="tr-TR"/>
              </w:rPr>
            </w:pPr>
            <w:r w:rsidRPr="00F50C10">
              <w:rPr>
                <w:rFonts w:eastAsia="Times New Roman" w:cs="Times New Roman"/>
                <w:bCs/>
                <w:w w:val="99"/>
                <w:szCs w:val="24"/>
                <w:lang w:val="tr-TR" w:bidi="tr-TR"/>
              </w:rPr>
              <w:t>a</w:t>
            </w:r>
          </w:p>
        </w:tc>
        <w:tc>
          <w:tcPr>
            <w:tcW w:w="4783" w:type="pct"/>
            <w:vAlign w:val="center"/>
          </w:tcPr>
          <w:p w14:paraId="1253D17D" w14:textId="1AF46152" w:rsidR="00496ADC" w:rsidRPr="00F50C10" w:rsidRDefault="00C67CEF" w:rsidP="000B206D">
            <w:pPr>
              <w:widowControl w:val="0"/>
              <w:autoSpaceDE w:val="0"/>
              <w:autoSpaceDN w:val="0"/>
              <w:spacing w:line="276" w:lineRule="auto"/>
              <w:ind w:left="140" w:right="156"/>
              <w:jc w:val="left"/>
              <w:rPr>
                <w:rFonts w:eastAsia="Times New Roman" w:cs="Times New Roman"/>
                <w:szCs w:val="24"/>
                <w:lang w:val="tr-TR"/>
              </w:rPr>
            </w:pPr>
            <w:r w:rsidRPr="00F50C10">
              <w:rPr>
                <w:rFonts w:eastAsia="Times New Roman" w:cs="Times New Roman"/>
                <w:szCs w:val="24"/>
                <w:lang w:val="tr-TR" w:bidi="tr-TR"/>
              </w:rPr>
              <w:t>çıkış</w:t>
            </w:r>
            <w:r w:rsidR="00496ADC" w:rsidRPr="00F50C10">
              <w:rPr>
                <w:rFonts w:eastAsia="Times New Roman" w:cs="Times New Roman"/>
                <w:szCs w:val="24"/>
                <w:lang w:val="tr-TR" w:bidi="tr-TR"/>
              </w:rPr>
              <w:t xml:space="preserve"> gazı çok toksik, kanserojen veya cmr 1. veya 2. kategoriden bir madde içeriyorsa veya</w:t>
            </w:r>
          </w:p>
        </w:tc>
      </w:tr>
      <w:tr w:rsidR="00496ADC" w:rsidRPr="00F50C10" w14:paraId="5BF457CA" w14:textId="77777777" w:rsidTr="00375F59">
        <w:trPr>
          <w:trHeight w:val="20"/>
        </w:trPr>
        <w:tc>
          <w:tcPr>
            <w:tcW w:w="217" w:type="pct"/>
            <w:vAlign w:val="center"/>
          </w:tcPr>
          <w:p w14:paraId="564BAB24" w14:textId="77777777" w:rsidR="00496ADC" w:rsidRPr="00F50C10" w:rsidRDefault="00496ADC" w:rsidP="000B206D">
            <w:pPr>
              <w:widowControl w:val="0"/>
              <w:autoSpaceDE w:val="0"/>
              <w:autoSpaceDN w:val="0"/>
              <w:spacing w:line="276" w:lineRule="auto"/>
              <w:jc w:val="left"/>
              <w:rPr>
                <w:rFonts w:eastAsia="Times New Roman" w:cs="Times New Roman"/>
                <w:bCs/>
                <w:szCs w:val="24"/>
                <w:lang w:val="tr-TR"/>
              </w:rPr>
            </w:pPr>
            <w:r w:rsidRPr="00F50C10">
              <w:rPr>
                <w:rFonts w:eastAsia="Times New Roman" w:cs="Times New Roman"/>
                <w:bCs/>
                <w:w w:val="99"/>
                <w:szCs w:val="24"/>
                <w:lang w:val="tr-TR" w:bidi="tr-TR"/>
              </w:rPr>
              <w:t>b</w:t>
            </w:r>
          </w:p>
        </w:tc>
        <w:tc>
          <w:tcPr>
            <w:tcW w:w="4783" w:type="pct"/>
            <w:vAlign w:val="center"/>
          </w:tcPr>
          <w:p w14:paraId="2FF16D21" w14:textId="77777777" w:rsidR="00496ADC" w:rsidRPr="00F50C10" w:rsidRDefault="00496ADC" w:rsidP="000B206D">
            <w:pPr>
              <w:widowControl w:val="0"/>
              <w:autoSpaceDE w:val="0"/>
              <w:autoSpaceDN w:val="0"/>
              <w:spacing w:line="276" w:lineRule="auto"/>
              <w:ind w:left="140" w:right="156"/>
              <w:jc w:val="left"/>
              <w:rPr>
                <w:rFonts w:eastAsia="Times New Roman" w:cs="Times New Roman"/>
                <w:szCs w:val="24"/>
                <w:lang w:val="tr-TR"/>
              </w:rPr>
            </w:pPr>
            <w:r w:rsidRPr="00F50C10">
              <w:rPr>
                <w:rFonts w:eastAsia="Times New Roman" w:cs="Times New Roman"/>
                <w:szCs w:val="24"/>
                <w:lang w:val="tr-TR" w:bidi="tr-TR"/>
              </w:rPr>
              <w:t>normal işletimde ototermal işletim mümkünse veya</w:t>
            </w:r>
          </w:p>
        </w:tc>
      </w:tr>
      <w:tr w:rsidR="00496ADC" w:rsidRPr="00F50C10" w14:paraId="5D965075" w14:textId="77777777" w:rsidTr="00375F59">
        <w:trPr>
          <w:trHeight w:val="20"/>
        </w:trPr>
        <w:tc>
          <w:tcPr>
            <w:tcW w:w="217" w:type="pct"/>
            <w:vAlign w:val="center"/>
          </w:tcPr>
          <w:p w14:paraId="47D8C131" w14:textId="77777777" w:rsidR="00496ADC" w:rsidRPr="00F50C10" w:rsidRDefault="00496ADC" w:rsidP="000B206D">
            <w:pPr>
              <w:widowControl w:val="0"/>
              <w:autoSpaceDE w:val="0"/>
              <w:autoSpaceDN w:val="0"/>
              <w:spacing w:line="276" w:lineRule="auto"/>
              <w:jc w:val="left"/>
              <w:rPr>
                <w:rFonts w:eastAsia="Times New Roman" w:cs="Times New Roman"/>
                <w:bCs/>
                <w:szCs w:val="24"/>
                <w:lang w:val="tr-TR"/>
              </w:rPr>
            </w:pPr>
            <w:r w:rsidRPr="00F50C10">
              <w:rPr>
                <w:rFonts w:eastAsia="Times New Roman" w:cs="Times New Roman"/>
                <w:bCs/>
                <w:w w:val="99"/>
                <w:szCs w:val="24"/>
                <w:lang w:val="tr-TR" w:bidi="tr-TR"/>
              </w:rPr>
              <w:t>c</w:t>
            </w:r>
          </w:p>
        </w:tc>
        <w:tc>
          <w:tcPr>
            <w:tcW w:w="4783" w:type="pct"/>
            <w:vAlign w:val="center"/>
          </w:tcPr>
          <w:p w14:paraId="6178425A" w14:textId="77777777" w:rsidR="00496ADC" w:rsidRPr="00F50C10" w:rsidRDefault="00496ADC" w:rsidP="000B206D">
            <w:pPr>
              <w:widowControl w:val="0"/>
              <w:autoSpaceDE w:val="0"/>
              <w:autoSpaceDN w:val="0"/>
              <w:spacing w:line="276" w:lineRule="auto"/>
              <w:ind w:left="140" w:right="156"/>
              <w:jc w:val="left"/>
              <w:rPr>
                <w:rFonts w:eastAsia="Times New Roman" w:cs="Times New Roman"/>
                <w:szCs w:val="24"/>
                <w:lang w:val="tr-TR"/>
              </w:rPr>
            </w:pPr>
            <w:r w:rsidRPr="00F50C10">
              <w:rPr>
                <w:rFonts w:eastAsia="Times New Roman" w:cs="Times New Roman"/>
                <w:szCs w:val="24"/>
                <w:lang w:val="tr-TR" w:bidi="tr-TR"/>
              </w:rPr>
              <w:t>tesiste birincil enerji tüketiminin genel olarak azaltılması mümkünse (örneğin ikincil ısı seçeneği)</w:t>
            </w:r>
          </w:p>
        </w:tc>
      </w:tr>
    </w:tbl>
    <w:p w14:paraId="6A998992" w14:textId="77777777" w:rsidR="00496ADC" w:rsidRPr="00F50C10" w:rsidRDefault="00496ADC"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bookmarkStart w:id="178" w:name="_Toc135050228"/>
      <w:bookmarkStart w:id="179" w:name="_Toc135142006"/>
      <w:bookmarkStart w:id="180" w:name="_Toc135142083"/>
      <w:bookmarkStart w:id="181" w:name="_Toc135229443"/>
      <w:bookmarkEnd w:id="177"/>
      <w:r w:rsidRPr="00F50C10">
        <w:rPr>
          <w:rFonts w:eastAsia="Times New Roman" w:cs="Times New Roman"/>
          <w:b/>
          <w:bCs/>
          <w:szCs w:val="24"/>
          <w:lang w:val="tr-TR"/>
        </w:rPr>
        <w:t>NO</w:t>
      </w:r>
      <w:r w:rsidRPr="00F50C10">
        <w:rPr>
          <w:rFonts w:eastAsia="Times New Roman" w:cs="Times New Roman"/>
          <w:b/>
          <w:bCs/>
          <w:szCs w:val="24"/>
          <w:vertAlign w:val="subscript"/>
          <w:lang w:val="tr-TR"/>
        </w:rPr>
        <w:t>x</w:t>
      </w:r>
      <w:r w:rsidRPr="00F50C10">
        <w:rPr>
          <w:rFonts w:eastAsia="Times New Roman" w:cs="Times New Roman"/>
          <w:b/>
          <w:bCs/>
          <w:szCs w:val="24"/>
          <w:lang w:val="tr-TR"/>
        </w:rPr>
        <w:t>'in geri kazanılması/azaltılması</w:t>
      </w:r>
      <w:bookmarkEnd w:id="178"/>
      <w:bookmarkEnd w:id="179"/>
      <w:bookmarkEnd w:id="180"/>
      <w:bookmarkEnd w:id="181"/>
    </w:p>
    <w:p w14:paraId="1F3F838D" w14:textId="288231FD" w:rsidR="00496ADC" w:rsidRPr="00F50C10" w:rsidRDefault="00496ADC" w:rsidP="000B206D">
      <w:pPr>
        <w:spacing w:before="120" w:after="60" w:line="276" w:lineRule="auto"/>
        <w:rPr>
          <w:rFonts w:cs="Times New Roman"/>
          <w:szCs w:val="24"/>
          <w:lang w:val="tr-TR"/>
        </w:rPr>
      </w:pPr>
      <w:r w:rsidRPr="00F50C10">
        <w:rPr>
          <w:rFonts w:cs="Times New Roman"/>
          <w:b/>
          <w:bCs/>
          <w:szCs w:val="24"/>
          <w:lang w:val="tr-TR"/>
        </w:rPr>
        <w:t xml:space="preserve">MET 42: </w:t>
      </w:r>
      <w:r w:rsidRPr="00F50C10">
        <w:rPr>
          <w:rFonts w:cs="Times New Roman"/>
          <w:szCs w:val="24"/>
          <w:lang w:val="tr-TR"/>
        </w:rPr>
        <w:t xml:space="preserve">Termal oksidasyon/yakma veya katalitik oksidasyon için </w:t>
      </w:r>
      <w:r w:rsidRPr="00F50C10">
        <w:rPr>
          <w:rFonts w:cs="Times New Roman"/>
          <w:szCs w:val="24"/>
          <w:lang w:val="tr-TR"/>
        </w:rPr>
        <w:fldChar w:fldCharType="begin"/>
      </w:r>
      <w:r w:rsidRPr="00F50C10">
        <w:rPr>
          <w:rFonts w:cs="Times New Roman"/>
          <w:szCs w:val="24"/>
          <w:lang w:val="tr-TR"/>
        </w:rPr>
        <w:instrText xml:space="preserve"> REF _Ref135224154 \h  \* MERGEFORMAT </w:instrText>
      </w:r>
      <w:r w:rsidRPr="00F50C10">
        <w:rPr>
          <w:rFonts w:cs="Times New Roman"/>
          <w:szCs w:val="24"/>
          <w:lang w:val="tr-TR"/>
        </w:rPr>
      </w:r>
      <w:r w:rsidRPr="00F50C10">
        <w:rPr>
          <w:rFonts w:cs="Times New Roman"/>
          <w:szCs w:val="24"/>
          <w:lang w:val="tr-TR"/>
        </w:rPr>
        <w:fldChar w:fldCharType="separate"/>
      </w:r>
      <w:r w:rsidRPr="00F50C10">
        <w:rPr>
          <w:rFonts w:cs="Times New Roman"/>
          <w:szCs w:val="24"/>
          <w:lang w:val="tr-TR"/>
        </w:rPr>
        <w:t xml:space="preserve">Tablo </w:t>
      </w:r>
      <w:r w:rsidRPr="00F50C10">
        <w:rPr>
          <w:rFonts w:cs="Times New Roman"/>
          <w:noProof/>
          <w:szCs w:val="24"/>
          <w:lang w:val="tr-TR"/>
        </w:rPr>
        <w:t>5</w:t>
      </w:r>
      <w:r w:rsidRPr="00F50C10">
        <w:rPr>
          <w:rFonts w:cs="Times New Roman"/>
          <w:szCs w:val="24"/>
          <w:lang w:val="tr-TR"/>
        </w:rPr>
        <w:fldChar w:fldCharType="end"/>
      </w:r>
      <w:r w:rsidRPr="00F50C10">
        <w:rPr>
          <w:rFonts w:cs="Times New Roman"/>
          <w:szCs w:val="24"/>
          <w:lang w:val="tr-TR"/>
        </w:rPr>
        <w:t>'te verilen NO</w:t>
      </w:r>
      <w:r w:rsidRPr="00F50C10">
        <w:rPr>
          <w:rFonts w:cs="Times New Roman"/>
          <w:szCs w:val="24"/>
          <w:vertAlign w:val="subscript"/>
          <w:lang w:val="tr-TR"/>
        </w:rPr>
        <w:t>x</w:t>
      </w:r>
      <w:r w:rsidRPr="00F50C10">
        <w:rPr>
          <w:rFonts w:cs="Times New Roman"/>
          <w:szCs w:val="24"/>
          <w:lang w:val="tr-TR"/>
        </w:rPr>
        <w:t xml:space="preserve"> emisyon seviyelerine ulaş</w:t>
      </w:r>
      <w:r w:rsidR="00412D3F" w:rsidRPr="00F50C10">
        <w:rPr>
          <w:rFonts w:cs="Times New Roman"/>
          <w:szCs w:val="24"/>
          <w:lang w:val="tr-TR"/>
        </w:rPr>
        <w:t>ılır</w:t>
      </w:r>
      <w:r w:rsidRPr="00F50C10">
        <w:rPr>
          <w:rFonts w:cs="Times New Roman"/>
          <w:szCs w:val="24"/>
          <w:lang w:val="tr-TR"/>
        </w:rPr>
        <w:t xml:space="preserve"> ve bu amaçla gerektiğinde bir DeNO</w:t>
      </w:r>
      <w:r w:rsidRPr="00F50C10">
        <w:rPr>
          <w:rFonts w:cs="Times New Roman"/>
          <w:szCs w:val="24"/>
          <w:vertAlign w:val="subscript"/>
          <w:lang w:val="tr-TR"/>
        </w:rPr>
        <w:t>x</w:t>
      </w:r>
      <w:r w:rsidRPr="00F50C10">
        <w:rPr>
          <w:rFonts w:cs="Times New Roman"/>
          <w:szCs w:val="24"/>
          <w:lang w:val="tr-TR"/>
        </w:rPr>
        <w:t xml:space="preserve"> sistemi (örneğin SCR veya SNCR) kullan</w:t>
      </w:r>
      <w:r w:rsidR="00412D3F" w:rsidRPr="00F50C10">
        <w:rPr>
          <w:rFonts w:cs="Times New Roman"/>
          <w:szCs w:val="24"/>
          <w:lang w:val="tr-TR"/>
        </w:rPr>
        <w:t>ılır</w:t>
      </w:r>
      <w:r w:rsidRPr="00F50C10">
        <w:rPr>
          <w:rFonts w:cs="Times New Roman"/>
          <w:szCs w:val="24"/>
          <w:lang w:val="tr-TR"/>
        </w:rPr>
        <w:t xml:space="preserve"> veya iki aşamalı yakma </w:t>
      </w:r>
      <w:r w:rsidR="00412D3F" w:rsidRPr="00F50C10">
        <w:rPr>
          <w:rFonts w:cs="Times New Roman"/>
          <w:szCs w:val="24"/>
          <w:lang w:val="tr-TR"/>
        </w:rPr>
        <w:t>uygulanır</w:t>
      </w:r>
      <w:r w:rsidRPr="00F50C10">
        <w:rPr>
          <w:rFonts w:cs="Times New Roman"/>
          <w:szCs w:val="24"/>
          <w:lang w:val="tr-TR"/>
        </w:rPr>
        <w:t>.</w:t>
      </w:r>
      <w:r w:rsidR="00891E81" w:rsidRPr="00891E81">
        <w:rPr>
          <w:rFonts w:cs="Times New Roman"/>
          <w:szCs w:val="24"/>
          <w:lang w:val="tr-TR"/>
        </w:rPr>
        <w:t xml:space="preserve"> </w:t>
      </w:r>
      <w:r w:rsidR="00891E81" w:rsidRPr="005C5574">
        <w:rPr>
          <w:rFonts w:cs="Times New Roman"/>
          <w:szCs w:val="24"/>
          <w:lang w:val="tr-TR"/>
        </w:rPr>
        <w:t>(</w:t>
      </w:r>
      <w:r w:rsidR="00891E81" w:rsidRPr="009E5076">
        <w:rPr>
          <w:rFonts w:cs="Times New Roman"/>
          <w:szCs w:val="24"/>
          <w:lang w:val="tr-TR"/>
        </w:rPr>
        <w:t>Detaylı bilgi için Organik İnce Kimyasalların Üretimi İçin MET Referans Belgesinin 4.</w:t>
      </w:r>
      <w:r w:rsidR="00891E81">
        <w:rPr>
          <w:rFonts w:cs="Times New Roman"/>
          <w:szCs w:val="24"/>
          <w:lang w:val="tr-TR"/>
        </w:rPr>
        <w:t xml:space="preserve">3.5.7 ve 4.3.5.19 kısımlarını </w:t>
      </w:r>
      <w:r w:rsidR="00891E81" w:rsidRPr="009E5076">
        <w:rPr>
          <w:rFonts w:cs="Times New Roman"/>
          <w:szCs w:val="24"/>
          <w:lang w:val="tr-TR"/>
        </w:rPr>
        <w:t>inceleyiniz</w:t>
      </w:r>
      <w:r w:rsidR="00891E81">
        <w:rPr>
          <w:rFonts w:cs="Times New Roman"/>
          <w:szCs w:val="24"/>
          <w:lang w:val="tr-TR"/>
        </w:rPr>
        <w:t>.)</w:t>
      </w:r>
    </w:p>
    <w:p w14:paraId="62A68612" w14:textId="50ED0431"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43: </w:t>
      </w:r>
      <w:r w:rsidRPr="00F50C10">
        <w:rPr>
          <w:rFonts w:cs="Times New Roman"/>
          <w:szCs w:val="24"/>
          <w:lang w:val="tr-TR"/>
        </w:rPr>
        <w:t xml:space="preserve">Kimyasal üretim proseslerinden çıkan </w:t>
      </w:r>
      <w:r w:rsidR="00C67CEF" w:rsidRPr="00F50C10">
        <w:rPr>
          <w:rFonts w:cs="Times New Roman"/>
          <w:szCs w:val="24"/>
          <w:lang w:val="tr-TR"/>
        </w:rPr>
        <w:t>çıkış</w:t>
      </w:r>
      <w:r w:rsidRPr="00F50C10">
        <w:rPr>
          <w:rFonts w:cs="Times New Roman"/>
          <w:szCs w:val="24"/>
          <w:lang w:val="tr-TR"/>
        </w:rPr>
        <w:t xml:space="preserve"> gazları için </w:t>
      </w:r>
      <w:r w:rsidRPr="00F50C10">
        <w:rPr>
          <w:rFonts w:cs="Times New Roman"/>
          <w:szCs w:val="24"/>
          <w:lang w:val="tr-TR"/>
        </w:rPr>
        <w:fldChar w:fldCharType="begin"/>
      </w:r>
      <w:r w:rsidRPr="00F50C10">
        <w:rPr>
          <w:rFonts w:cs="Times New Roman"/>
          <w:szCs w:val="24"/>
          <w:lang w:val="tr-TR"/>
        </w:rPr>
        <w:instrText xml:space="preserve"> REF _Ref135224154 \h  \* MERGEFORMAT </w:instrText>
      </w:r>
      <w:r w:rsidRPr="00F50C10">
        <w:rPr>
          <w:rFonts w:cs="Times New Roman"/>
          <w:szCs w:val="24"/>
          <w:lang w:val="tr-TR"/>
        </w:rPr>
      </w:r>
      <w:r w:rsidRPr="00F50C10">
        <w:rPr>
          <w:rFonts w:cs="Times New Roman"/>
          <w:szCs w:val="24"/>
          <w:lang w:val="tr-TR"/>
        </w:rPr>
        <w:fldChar w:fldCharType="separate"/>
      </w:r>
      <w:r w:rsidRPr="00F50C10">
        <w:rPr>
          <w:rFonts w:cs="Times New Roman"/>
          <w:szCs w:val="24"/>
          <w:lang w:val="tr-TR"/>
        </w:rPr>
        <w:t xml:space="preserve">Tablo </w:t>
      </w:r>
      <w:r w:rsidRPr="00F50C10">
        <w:rPr>
          <w:rFonts w:cs="Times New Roman"/>
          <w:noProof/>
          <w:szCs w:val="24"/>
          <w:lang w:val="tr-TR"/>
        </w:rPr>
        <w:t>5</w:t>
      </w:r>
      <w:r w:rsidRPr="00F50C10">
        <w:rPr>
          <w:rFonts w:cs="Times New Roman"/>
          <w:szCs w:val="24"/>
          <w:lang w:val="tr-TR"/>
        </w:rPr>
        <w:fldChar w:fldCharType="end"/>
      </w:r>
      <w:r w:rsidRPr="00F50C10">
        <w:rPr>
          <w:rFonts w:cs="Times New Roman"/>
          <w:szCs w:val="24"/>
          <w:lang w:val="tr-TR"/>
        </w:rPr>
        <w:t>'te verilen NO</w:t>
      </w:r>
      <w:r w:rsidRPr="00F50C10">
        <w:rPr>
          <w:rFonts w:cs="Times New Roman"/>
          <w:szCs w:val="24"/>
          <w:vertAlign w:val="subscript"/>
          <w:lang w:val="tr-TR"/>
        </w:rPr>
        <w:t>x</w:t>
      </w:r>
      <w:r w:rsidRPr="00F50C10">
        <w:rPr>
          <w:rFonts w:cs="Times New Roman"/>
          <w:szCs w:val="24"/>
          <w:lang w:val="tr-TR"/>
        </w:rPr>
        <w:t xml:space="preserve"> emisyon seviyelerine ulaşmak ve bu amaçla gerektiğinde H</w:t>
      </w:r>
      <w:r w:rsidRPr="00F50C10">
        <w:rPr>
          <w:rFonts w:cs="Times New Roman"/>
          <w:szCs w:val="24"/>
          <w:vertAlign w:val="subscript"/>
          <w:lang w:val="tr-TR"/>
        </w:rPr>
        <w:t>2</w:t>
      </w:r>
      <w:r w:rsidRPr="00F50C10">
        <w:rPr>
          <w:rFonts w:cs="Times New Roman"/>
          <w:szCs w:val="24"/>
          <w:lang w:val="tr-TR"/>
        </w:rPr>
        <w:t>O ve/veya H</w:t>
      </w:r>
      <w:r w:rsidRPr="00F50C10">
        <w:rPr>
          <w:rFonts w:cs="Times New Roman"/>
          <w:szCs w:val="24"/>
          <w:vertAlign w:val="subscript"/>
          <w:lang w:val="tr-TR"/>
        </w:rPr>
        <w:t>2</w:t>
      </w:r>
      <w:r w:rsidRPr="00F50C10">
        <w:rPr>
          <w:rFonts w:cs="Times New Roman"/>
          <w:szCs w:val="24"/>
          <w:lang w:val="tr-TR"/>
        </w:rPr>
        <w:t>O</w:t>
      </w:r>
      <w:r w:rsidRPr="00F50C10">
        <w:rPr>
          <w:rFonts w:cs="Times New Roman"/>
          <w:szCs w:val="24"/>
          <w:vertAlign w:val="subscript"/>
          <w:lang w:val="tr-TR"/>
        </w:rPr>
        <w:t>2</w:t>
      </w:r>
      <w:r w:rsidRPr="00F50C10">
        <w:rPr>
          <w:rFonts w:cs="Times New Roman"/>
          <w:szCs w:val="24"/>
          <w:lang w:val="tr-TR"/>
        </w:rPr>
        <w:t xml:space="preserve"> gibi gaz yıkayıcı ortamları ile yıkama yap</w:t>
      </w:r>
      <w:r w:rsidR="00412D3F" w:rsidRPr="00F50C10">
        <w:rPr>
          <w:rFonts w:cs="Times New Roman"/>
          <w:szCs w:val="24"/>
          <w:lang w:val="tr-TR"/>
        </w:rPr>
        <w:t>ılır</w:t>
      </w:r>
      <w:r w:rsidRPr="00F50C10">
        <w:rPr>
          <w:rFonts w:cs="Times New Roman"/>
          <w:szCs w:val="24"/>
          <w:lang w:val="tr-TR"/>
        </w:rPr>
        <w:t xml:space="preserve"> veya gaz yıkayıcı kademeleri gibi arıtma teknikleri</w:t>
      </w:r>
      <w:r w:rsidR="00412D3F" w:rsidRPr="00F50C10">
        <w:rPr>
          <w:rFonts w:cs="Times New Roman"/>
          <w:szCs w:val="24"/>
          <w:lang w:val="tr-TR"/>
        </w:rPr>
        <w:t xml:space="preserve"> </w:t>
      </w:r>
      <w:r w:rsidRPr="00F50C10">
        <w:rPr>
          <w:rFonts w:cs="Times New Roman"/>
          <w:szCs w:val="24"/>
          <w:lang w:val="tr-TR"/>
        </w:rPr>
        <w:t>uygula</w:t>
      </w:r>
      <w:r w:rsidR="00412D3F" w:rsidRPr="00F50C10">
        <w:rPr>
          <w:rFonts w:cs="Times New Roman"/>
          <w:szCs w:val="24"/>
          <w:lang w:val="tr-TR"/>
        </w:rPr>
        <w:t>nı</w:t>
      </w:r>
      <w:r w:rsidRPr="00F50C10">
        <w:rPr>
          <w:rFonts w:cs="Times New Roman"/>
          <w:szCs w:val="24"/>
          <w:lang w:val="tr-TR"/>
        </w:rPr>
        <w:t>r.</w:t>
      </w:r>
      <w:r w:rsidR="00891E81" w:rsidRPr="00891E81">
        <w:rPr>
          <w:rFonts w:cs="Times New Roman"/>
          <w:szCs w:val="24"/>
          <w:lang w:val="tr-TR"/>
        </w:rPr>
        <w:t xml:space="preserve"> </w:t>
      </w:r>
      <w:r w:rsidR="00891E81" w:rsidRPr="005C5574">
        <w:rPr>
          <w:rFonts w:cs="Times New Roman"/>
          <w:szCs w:val="24"/>
          <w:lang w:val="tr-TR"/>
        </w:rPr>
        <w:t>(</w:t>
      </w:r>
      <w:r w:rsidR="00891E81" w:rsidRPr="009E5076">
        <w:rPr>
          <w:rFonts w:cs="Times New Roman"/>
          <w:szCs w:val="24"/>
          <w:lang w:val="tr-TR"/>
        </w:rPr>
        <w:t>Detaylı bilgi için Organik İnce Kimyasalların Üretimi İçin MET Referans Belgesinin 4.</w:t>
      </w:r>
      <w:r w:rsidR="00891E81">
        <w:rPr>
          <w:rFonts w:cs="Times New Roman"/>
          <w:szCs w:val="24"/>
          <w:lang w:val="tr-TR"/>
        </w:rPr>
        <w:t xml:space="preserve">3.5.1 kısmını </w:t>
      </w:r>
      <w:r w:rsidR="00891E81" w:rsidRPr="009E5076">
        <w:rPr>
          <w:rFonts w:cs="Times New Roman"/>
          <w:szCs w:val="24"/>
          <w:lang w:val="tr-TR"/>
        </w:rPr>
        <w:t>inceleyiniz</w:t>
      </w:r>
      <w:r w:rsidR="00891E81">
        <w:rPr>
          <w:rFonts w:cs="Times New Roman"/>
          <w:szCs w:val="24"/>
          <w:lang w:val="tr-TR"/>
        </w:rPr>
        <w:t>.)</w:t>
      </w:r>
    </w:p>
    <w:p w14:paraId="2972562E" w14:textId="2C7AE492"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NO</w:t>
      </w:r>
      <w:r w:rsidRPr="00F50C10">
        <w:rPr>
          <w:rFonts w:cs="Times New Roman"/>
          <w:szCs w:val="24"/>
          <w:vertAlign w:val="subscript"/>
          <w:lang w:val="tr-TR"/>
        </w:rPr>
        <w:t>x</w:t>
      </w:r>
      <w:r w:rsidRPr="00F50C10">
        <w:rPr>
          <w:rFonts w:cs="Times New Roman"/>
          <w:szCs w:val="24"/>
          <w:lang w:val="tr-TR"/>
        </w:rPr>
        <w:t>'in güçlü NO</w:t>
      </w:r>
      <w:r w:rsidRPr="00F50C10">
        <w:rPr>
          <w:rFonts w:cs="Times New Roman"/>
          <w:szCs w:val="24"/>
          <w:vertAlign w:val="subscript"/>
          <w:lang w:val="tr-TR"/>
        </w:rPr>
        <w:t>x</w:t>
      </w:r>
      <w:r w:rsidRPr="00F50C10">
        <w:rPr>
          <w:rFonts w:cs="Times New Roman"/>
          <w:szCs w:val="24"/>
          <w:lang w:val="tr-TR"/>
        </w:rPr>
        <w:t xml:space="preserve"> akışlarından (yaklaşık 1000 ppm ve daha yüksek) </w:t>
      </w:r>
      <w:r w:rsidR="00C67CEF" w:rsidRPr="00F50C10">
        <w:rPr>
          <w:rFonts w:cs="Times New Roman"/>
          <w:szCs w:val="24"/>
          <w:lang w:val="tr-TR"/>
        </w:rPr>
        <w:t>absorbe edildiği</w:t>
      </w:r>
      <w:r w:rsidRPr="00F50C10">
        <w:rPr>
          <w:rFonts w:cs="Times New Roman"/>
          <w:szCs w:val="24"/>
          <w:lang w:val="tr-TR"/>
        </w:rPr>
        <w:t xml:space="preserve"> durumlarda, sahada veya saha dışında yeniden kullanım için %55 HNO</w:t>
      </w:r>
      <w:r w:rsidRPr="00F50C10">
        <w:rPr>
          <w:rFonts w:cs="Times New Roman"/>
          <w:szCs w:val="24"/>
          <w:vertAlign w:val="subscript"/>
          <w:lang w:val="tr-TR"/>
        </w:rPr>
        <w:t>3</w:t>
      </w:r>
      <w:r w:rsidRPr="00F50C10">
        <w:rPr>
          <w:rFonts w:cs="Times New Roman"/>
          <w:szCs w:val="24"/>
          <w:lang w:val="tr-TR"/>
        </w:rPr>
        <w:t xml:space="preserve"> elde edilebilir. Çoğu zaman, kimyasal proseslerden kaynaklanan NO</w:t>
      </w:r>
      <w:r w:rsidRPr="00F50C10">
        <w:rPr>
          <w:rFonts w:cs="Times New Roman"/>
          <w:szCs w:val="24"/>
          <w:vertAlign w:val="subscript"/>
          <w:lang w:val="tr-TR"/>
        </w:rPr>
        <w:t>x</w:t>
      </w:r>
      <w:r w:rsidRPr="00F50C10">
        <w:rPr>
          <w:rFonts w:cs="Times New Roman"/>
          <w:szCs w:val="24"/>
          <w:lang w:val="tr-TR"/>
        </w:rPr>
        <w:t xml:space="preserve"> içeren egzoz gazları UOB de içerir ve örneğin bir DeNO</w:t>
      </w:r>
      <w:r w:rsidRPr="00F50C10">
        <w:rPr>
          <w:rFonts w:cs="Times New Roman"/>
          <w:szCs w:val="24"/>
          <w:vertAlign w:val="subscript"/>
          <w:lang w:val="tr-TR"/>
        </w:rPr>
        <w:t>x</w:t>
      </w:r>
      <w:r w:rsidRPr="00F50C10">
        <w:rPr>
          <w:rFonts w:cs="Times New Roman"/>
          <w:szCs w:val="24"/>
          <w:lang w:val="tr-TR"/>
        </w:rPr>
        <w:t xml:space="preserve"> ünitesi ile donatılmış veya iki aşamalı bir yakma ünitesi olarak tasarlanmış bir termal oksitleyici/yakma fırınında arıtılabilir (sahada mevcutsa).</w:t>
      </w:r>
    </w:p>
    <w:p w14:paraId="2260DCEF" w14:textId="689841C0" w:rsidR="00496ADC" w:rsidRPr="00F50C10" w:rsidRDefault="007F788D" w:rsidP="000B206D">
      <w:pPr>
        <w:keepNext/>
        <w:spacing w:before="120" w:after="60" w:line="276" w:lineRule="auto"/>
        <w:rPr>
          <w:rFonts w:cs="Times New Roman"/>
          <w:b/>
          <w:iCs/>
          <w:color w:val="000000" w:themeColor="text1"/>
          <w:szCs w:val="24"/>
          <w:lang w:val="tr-TR"/>
        </w:rPr>
      </w:pPr>
      <w:bookmarkStart w:id="182" w:name="_Toc135050101"/>
      <w:r w:rsidRPr="00F50C10">
        <w:rPr>
          <w:rFonts w:cs="Times New Roman"/>
          <w:b/>
          <w:iCs/>
          <w:color w:val="000000" w:themeColor="text1"/>
          <w:szCs w:val="24"/>
          <w:lang w:val="tr-TR"/>
        </w:rPr>
        <w:t xml:space="preserve">Tablo 5. </w:t>
      </w:r>
      <w:r w:rsidR="00496ADC" w:rsidRPr="00F50C10">
        <w:rPr>
          <w:rFonts w:cs="Times New Roman"/>
          <w:b/>
          <w:iCs/>
          <w:color w:val="000000" w:themeColor="text1"/>
          <w:szCs w:val="24"/>
          <w:lang w:val="tr-TR"/>
        </w:rPr>
        <w:t>MET ile ilişkili NO</w:t>
      </w:r>
      <w:r w:rsidR="00496ADC" w:rsidRPr="00F50C10">
        <w:rPr>
          <w:rFonts w:cs="Times New Roman"/>
          <w:b/>
          <w:iCs/>
          <w:color w:val="000000" w:themeColor="text1"/>
          <w:szCs w:val="24"/>
          <w:vertAlign w:val="subscript"/>
          <w:lang w:val="tr-TR"/>
        </w:rPr>
        <w:t>x</w:t>
      </w:r>
      <w:r w:rsidR="00496ADC" w:rsidRPr="00F50C10">
        <w:rPr>
          <w:rFonts w:cs="Times New Roman"/>
          <w:b/>
          <w:iCs/>
          <w:color w:val="000000" w:themeColor="text1"/>
          <w:szCs w:val="24"/>
          <w:lang w:val="tr-TR"/>
        </w:rPr>
        <w:t xml:space="preserve"> emisyon seviyeleri</w:t>
      </w:r>
      <w:bookmarkEnd w:id="18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05"/>
        <w:gridCol w:w="574"/>
        <w:gridCol w:w="1273"/>
        <w:gridCol w:w="608"/>
        <w:gridCol w:w="1506"/>
        <w:gridCol w:w="1662"/>
        <w:gridCol w:w="2182"/>
      </w:tblGrid>
      <w:tr w:rsidR="00496ADC" w:rsidRPr="00F50C10" w14:paraId="401E31CB" w14:textId="77777777" w:rsidTr="00375F59">
        <w:trPr>
          <w:trHeight w:val="20"/>
          <w:tblHeader/>
        </w:trPr>
        <w:tc>
          <w:tcPr>
            <w:tcW w:w="1156" w:type="pct"/>
            <w:gridSpan w:val="2"/>
            <w:vMerge w:val="restart"/>
            <w:vAlign w:val="center"/>
          </w:tcPr>
          <w:p w14:paraId="79087578" w14:textId="77777777" w:rsidR="00496ADC" w:rsidRPr="00F50C10" w:rsidRDefault="00496ADC" w:rsidP="000B206D">
            <w:pPr>
              <w:widowControl w:val="0"/>
              <w:autoSpaceDE w:val="0"/>
              <w:autoSpaceDN w:val="0"/>
              <w:spacing w:line="276" w:lineRule="auto"/>
              <w:ind w:left="72" w:right="72"/>
              <w:jc w:val="left"/>
              <w:rPr>
                <w:rFonts w:eastAsia="Times New Roman" w:cs="Times New Roman"/>
                <w:b/>
                <w:szCs w:val="24"/>
                <w:lang w:val="tr-TR"/>
              </w:rPr>
            </w:pPr>
            <w:r w:rsidRPr="00F50C10">
              <w:rPr>
                <w:rFonts w:eastAsia="Times New Roman" w:cs="Times New Roman"/>
                <w:b/>
                <w:szCs w:val="24"/>
                <w:lang w:val="tr-TR" w:bidi="tr-TR"/>
              </w:rPr>
              <w:t>Kaynak</w:t>
            </w:r>
          </w:p>
        </w:tc>
        <w:tc>
          <w:tcPr>
            <w:tcW w:w="703" w:type="pct"/>
            <w:vMerge w:val="restart"/>
            <w:vAlign w:val="center"/>
          </w:tcPr>
          <w:p w14:paraId="548F62B8" w14:textId="77777777" w:rsidR="00496ADC" w:rsidRPr="00F50C10" w:rsidRDefault="00496ADC" w:rsidP="000B206D">
            <w:pPr>
              <w:widowControl w:val="0"/>
              <w:tabs>
                <w:tab w:val="left" w:pos="1669"/>
              </w:tabs>
              <w:autoSpaceDE w:val="0"/>
              <w:autoSpaceDN w:val="0"/>
              <w:spacing w:line="276" w:lineRule="auto"/>
              <w:ind w:left="72" w:right="72"/>
              <w:jc w:val="center"/>
              <w:rPr>
                <w:rFonts w:eastAsia="Times New Roman" w:cs="Times New Roman"/>
                <w:b/>
                <w:szCs w:val="24"/>
                <w:lang w:val="tr-TR"/>
              </w:rPr>
            </w:pPr>
            <w:r w:rsidRPr="00F50C10">
              <w:rPr>
                <w:rFonts w:eastAsia="Times New Roman" w:cs="Times New Roman"/>
                <w:b/>
                <w:szCs w:val="24"/>
                <w:lang w:val="tr-TR" w:bidi="tr-TR"/>
              </w:rPr>
              <w:t>Ortalama kütle akışı kg/saat</w:t>
            </w:r>
            <w:r w:rsidRPr="00F50C10">
              <w:rPr>
                <w:rFonts w:eastAsia="Times New Roman" w:cs="Times New Roman"/>
                <w:b/>
                <w:position w:val="11"/>
                <w:szCs w:val="24"/>
                <w:lang w:val="tr-TR" w:bidi="tr-TR"/>
              </w:rPr>
              <w:t>*</w:t>
            </w:r>
          </w:p>
        </w:tc>
        <w:tc>
          <w:tcPr>
            <w:tcW w:w="294" w:type="pct"/>
            <w:tcBorders>
              <w:bottom w:val="nil"/>
            </w:tcBorders>
            <w:vAlign w:val="center"/>
          </w:tcPr>
          <w:p w14:paraId="1BCB1CDD" w14:textId="77777777" w:rsidR="00496ADC" w:rsidRPr="00F50C10" w:rsidRDefault="00496ADC" w:rsidP="000B206D">
            <w:pPr>
              <w:widowControl w:val="0"/>
              <w:autoSpaceDE w:val="0"/>
              <w:autoSpaceDN w:val="0"/>
              <w:spacing w:line="276" w:lineRule="auto"/>
              <w:ind w:left="72" w:right="72"/>
              <w:jc w:val="center"/>
              <w:rPr>
                <w:rFonts w:eastAsia="Times New Roman" w:cs="Times New Roman"/>
                <w:szCs w:val="24"/>
                <w:lang w:val="tr-TR"/>
              </w:rPr>
            </w:pPr>
          </w:p>
        </w:tc>
        <w:tc>
          <w:tcPr>
            <w:tcW w:w="828" w:type="pct"/>
          </w:tcPr>
          <w:p w14:paraId="5A1F12F7" w14:textId="77777777" w:rsidR="00496ADC" w:rsidRPr="00F50C10" w:rsidRDefault="00496ADC" w:rsidP="000B206D">
            <w:pPr>
              <w:widowControl w:val="0"/>
              <w:tabs>
                <w:tab w:val="left" w:pos="1703"/>
              </w:tabs>
              <w:autoSpaceDE w:val="0"/>
              <w:autoSpaceDN w:val="0"/>
              <w:spacing w:line="276" w:lineRule="auto"/>
              <w:ind w:left="72" w:right="72" w:firstLine="35"/>
              <w:jc w:val="center"/>
              <w:rPr>
                <w:rFonts w:eastAsia="Times New Roman" w:cs="Times New Roman"/>
                <w:b/>
                <w:szCs w:val="24"/>
                <w:lang w:val="tr-TR" w:bidi="tr-TR"/>
              </w:rPr>
            </w:pPr>
          </w:p>
        </w:tc>
        <w:tc>
          <w:tcPr>
            <w:tcW w:w="828" w:type="pct"/>
            <w:vMerge w:val="restart"/>
            <w:vAlign w:val="center"/>
          </w:tcPr>
          <w:p w14:paraId="75276EE9" w14:textId="77777777" w:rsidR="00496ADC" w:rsidRPr="00F50C10" w:rsidRDefault="00496ADC" w:rsidP="000B206D">
            <w:pPr>
              <w:widowControl w:val="0"/>
              <w:tabs>
                <w:tab w:val="left" w:pos="1703"/>
              </w:tabs>
              <w:autoSpaceDE w:val="0"/>
              <w:autoSpaceDN w:val="0"/>
              <w:spacing w:line="276" w:lineRule="auto"/>
              <w:ind w:left="72" w:right="72" w:firstLine="35"/>
              <w:jc w:val="center"/>
              <w:rPr>
                <w:rFonts w:eastAsia="Times New Roman" w:cs="Times New Roman"/>
                <w:b/>
                <w:szCs w:val="24"/>
                <w:lang w:val="tr-TR"/>
              </w:rPr>
            </w:pPr>
            <w:r w:rsidRPr="00F50C10">
              <w:rPr>
                <w:rFonts w:eastAsia="Times New Roman" w:cs="Times New Roman"/>
                <w:b/>
                <w:szCs w:val="24"/>
                <w:lang w:val="tr-TR" w:bidi="tr-TR"/>
              </w:rPr>
              <w:t>Ortalama konsantrasyon mg/m</w:t>
            </w:r>
            <w:r w:rsidRPr="00F50C10">
              <w:rPr>
                <w:rFonts w:eastAsia="Times New Roman" w:cs="Times New Roman"/>
                <w:b/>
                <w:szCs w:val="24"/>
                <w:vertAlign w:val="superscript"/>
                <w:lang w:val="tr-TR" w:bidi="tr-TR"/>
              </w:rPr>
              <w:t>3</w:t>
            </w:r>
            <w:r w:rsidRPr="00F50C10">
              <w:rPr>
                <w:rFonts w:eastAsia="Times New Roman" w:cs="Times New Roman"/>
                <w:b/>
                <w:position w:val="11"/>
                <w:szCs w:val="24"/>
                <w:lang w:val="tr-TR" w:bidi="tr-TR"/>
              </w:rPr>
              <w:t>*</w:t>
            </w:r>
          </w:p>
        </w:tc>
        <w:tc>
          <w:tcPr>
            <w:tcW w:w="1190" w:type="pct"/>
            <w:vMerge w:val="restart"/>
            <w:vAlign w:val="center"/>
          </w:tcPr>
          <w:p w14:paraId="04D6D10A" w14:textId="77777777" w:rsidR="00496ADC" w:rsidRPr="00F50C10" w:rsidRDefault="00496ADC" w:rsidP="000B206D">
            <w:pPr>
              <w:widowControl w:val="0"/>
              <w:autoSpaceDE w:val="0"/>
              <w:autoSpaceDN w:val="0"/>
              <w:spacing w:line="276" w:lineRule="auto"/>
              <w:ind w:left="72" w:right="72"/>
              <w:jc w:val="center"/>
              <w:rPr>
                <w:rFonts w:eastAsia="Times New Roman" w:cs="Times New Roman"/>
                <w:b/>
                <w:szCs w:val="24"/>
                <w:lang w:val="tr-TR"/>
              </w:rPr>
            </w:pPr>
            <w:r w:rsidRPr="00F50C10">
              <w:rPr>
                <w:rFonts w:eastAsia="Times New Roman" w:cs="Times New Roman"/>
                <w:b/>
                <w:szCs w:val="24"/>
                <w:lang w:val="tr-TR" w:bidi="tr-TR"/>
              </w:rPr>
              <w:t>Açıklama</w:t>
            </w:r>
          </w:p>
        </w:tc>
      </w:tr>
      <w:tr w:rsidR="00496ADC" w:rsidRPr="00F50C10" w14:paraId="130B4773" w14:textId="77777777" w:rsidTr="00375F59">
        <w:trPr>
          <w:trHeight w:val="20"/>
          <w:tblHeader/>
        </w:trPr>
        <w:tc>
          <w:tcPr>
            <w:tcW w:w="1156" w:type="pct"/>
            <w:gridSpan w:val="2"/>
            <w:vMerge/>
            <w:vAlign w:val="center"/>
          </w:tcPr>
          <w:p w14:paraId="61690552" w14:textId="77777777" w:rsidR="00496ADC" w:rsidRPr="00F50C10" w:rsidRDefault="00496ADC" w:rsidP="000B206D">
            <w:pPr>
              <w:widowControl w:val="0"/>
              <w:autoSpaceDE w:val="0"/>
              <w:autoSpaceDN w:val="0"/>
              <w:spacing w:line="276" w:lineRule="auto"/>
              <w:ind w:left="72" w:right="72"/>
              <w:jc w:val="left"/>
              <w:rPr>
                <w:rFonts w:eastAsia="Times New Roman" w:cs="Times New Roman"/>
                <w:szCs w:val="24"/>
                <w:lang w:val="tr-TR"/>
              </w:rPr>
            </w:pPr>
          </w:p>
        </w:tc>
        <w:tc>
          <w:tcPr>
            <w:tcW w:w="703" w:type="pct"/>
            <w:vMerge/>
            <w:vAlign w:val="center"/>
          </w:tcPr>
          <w:p w14:paraId="14FE0D0F" w14:textId="77777777" w:rsidR="00496ADC" w:rsidRPr="00F50C10" w:rsidRDefault="00496ADC" w:rsidP="000B206D">
            <w:pPr>
              <w:widowControl w:val="0"/>
              <w:autoSpaceDE w:val="0"/>
              <w:autoSpaceDN w:val="0"/>
              <w:spacing w:line="276" w:lineRule="auto"/>
              <w:ind w:left="72" w:right="72"/>
              <w:rPr>
                <w:rFonts w:eastAsia="Times New Roman" w:cs="Times New Roman"/>
                <w:b/>
                <w:szCs w:val="24"/>
                <w:lang w:val="tr-TR"/>
              </w:rPr>
            </w:pPr>
          </w:p>
        </w:tc>
        <w:tc>
          <w:tcPr>
            <w:tcW w:w="294" w:type="pct"/>
            <w:tcBorders>
              <w:top w:val="nil"/>
              <w:bottom w:val="nil"/>
            </w:tcBorders>
            <w:vAlign w:val="center"/>
          </w:tcPr>
          <w:p w14:paraId="7147ABFF" w14:textId="77777777" w:rsidR="00496ADC" w:rsidRPr="00F50C10" w:rsidRDefault="00496ADC" w:rsidP="000B206D">
            <w:pPr>
              <w:widowControl w:val="0"/>
              <w:autoSpaceDE w:val="0"/>
              <w:autoSpaceDN w:val="0"/>
              <w:spacing w:line="276" w:lineRule="auto"/>
              <w:ind w:left="72" w:right="72"/>
              <w:rPr>
                <w:rFonts w:eastAsia="Times New Roman" w:cs="Times New Roman"/>
                <w:szCs w:val="24"/>
                <w:lang w:val="tr-TR"/>
              </w:rPr>
            </w:pPr>
          </w:p>
        </w:tc>
        <w:tc>
          <w:tcPr>
            <w:tcW w:w="828" w:type="pct"/>
          </w:tcPr>
          <w:p w14:paraId="659E54A3" w14:textId="77777777" w:rsidR="00496ADC" w:rsidRPr="00F50C10" w:rsidRDefault="00496ADC" w:rsidP="000B206D">
            <w:pPr>
              <w:widowControl w:val="0"/>
              <w:autoSpaceDE w:val="0"/>
              <w:autoSpaceDN w:val="0"/>
              <w:spacing w:line="276" w:lineRule="auto"/>
              <w:ind w:left="72" w:right="72"/>
              <w:rPr>
                <w:rFonts w:eastAsia="Times New Roman" w:cs="Times New Roman"/>
                <w:b/>
                <w:szCs w:val="24"/>
                <w:lang w:val="tr-TR"/>
              </w:rPr>
            </w:pPr>
          </w:p>
        </w:tc>
        <w:tc>
          <w:tcPr>
            <w:tcW w:w="828" w:type="pct"/>
            <w:vMerge/>
            <w:vAlign w:val="center"/>
          </w:tcPr>
          <w:p w14:paraId="0621ECED" w14:textId="77777777" w:rsidR="00496ADC" w:rsidRPr="00F50C10" w:rsidRDefault="00496ADC" w:rsidP="000B206D">
            <w:pPr>
              <w:widowControl w:val="0"/>
              <w:autoSpaceDE w:val="0"/>
              <w:autoSpaceDN w:val="0"/>
              <w:spacing w:line="276" w:lineRule="auto"/>
              <w:ind w:left="72" w:right="72"/>
              <w:rPr>
                <w:rFonts w:eastAsia="Times New Roman" w:cs="Times New Roman"/>
                <w:b/>
                <w:szCs w:val="24"/>
                <w:lang w:val="tr-TR"/>
              </w:rPr>
            </w:pPr>
          </w:p>
        </w:tc>
        <w:tc>
          <w:tcPr>
            <w:tcW w:w="1190" w:type="pct"/>
            <w:vMerge/>
            <w:vAlign w:val="center"/>
          </w:tcPr>
          <w:p w14:paraId="5E8AEF4D" w14:textId="77777777" w:rsidR="00496ADC" w:rsidRPr="00F50C10" w:rsidRDefault="00496ADC" w:rsidP="000B206D">
            <w:pPr>
              <w:widowControl w:val="0"/>
              <w:autoSpaceDE w:val="0"/>
              <w:autoSpaceDN w:val="0"/>
              <w:spacing w:line="276" w:lineRule="auto"/>
              <w:ind w:left="72" w:right="72"/>
              <w:rPr>
                <w:rFonts w:eastAsia="Times New Roman" w:cs="Times New Roman"/>
                <w:szCs w:val="24"/>
                <w:lang w:val="tr-TR"/>
              </w:rPr>
            </w:pPr>
          </w:p>
        </w:tc>
      </w:tr>
      <w:tr w:rsidR="00496ADC" w:rsidRPr="00F50C10" w14:paraId="2F5DD166" w14:textId="77777777" w:rsidTr="00375F59">
        <w:trPr>
          <w:trHeight w:val="20"/>
        </w:trPr>
        <w:tc>
          <w:tcPr>
            <w:tcW w:w="1156" w:type="pct"/>
            <w:gridSpan w:val="2"/>
            <w:vAlign w:val="center"/>
          </w:tcPr>
          <w:p w14:paraId="32C0BE86" w14:textId="77777777" w:rsidR="00496ADC" w:rsidRPr="00F50C10" w:rsidRDefault="00496ADC" w:rsidP="000B206D">
            <w:pPr>
              <w:widowControl w:val="0"/>
              <w:autoSpaceDE w:val="0"/>
              <w:autoSpaceDN w:val="0"/>
              <w:spacing w:line="276" w:lineRule="auto"/>
              <w:ind w:left="72" w:right="72"/>
              <w:jc w:val="left"/>
              <w:rPr>
                <w:rFonts w:eastAsia="Times New Roman" w:cs="Times New Roman"/>
                <w:szCs w:val="24"/>
                <w:lang w:val="tr-TR"/>
              </w:rPr>
            </w:pPr>
            <w:r w:rsidRPr="00F50C10">
              <w:rPr>
                <w:rFonts w:eastAsia="Times New Roman" w:cs="Times New Roman"/>
                <w:szCs w:val="24"/>
                <w:lang w:val="tr-TR" w:bidi="tr-TR"/>
              </w:rPr>
              <w:t>Kimyasal üretim prosesleri (örneğin nitrasyon, kullanılan asitlerin geri kazanılması)</w:t>
            </w:r>
          </w:p>
        </w:tc>
        <w:tc>
          <w:tcPr>
            <w:tcW w:w="703" w:type="pct"/>
            <w:vAlign w:val="center"/>
          </w:tcPr>
          <w:p w14:paraId="2759F9EA" w14:textId="77777777" w:rsidR="00496ADC" w:rsidRPr="00F50C10" w:rsidRDefault="00496ADC" w:rsidP="000B206D">
            <w:pPr>
              <w:widowControl w:val="0"/>
              <w:autoSpaceDE w:val="0"/>
              <w:autoSpaceDN w:val="0"/>
              <w:spacing w:line="276" w:lineRule="auto"/>
              <w:ind w:left="72" w:right="72"/>
              <w:jc w:val="center"/>
              <w:rPr>
                <w:rFonts w:eastAsia="Times New Roman" w:cs="Times New Roman"/>
                <w:szCs w:val="24"/>
                <w:lang w:val="tr-TR"/>
              </w:rPr>
            </w:pPr>
            <w:r w:rsidRPr="00F50C10">
              <w:rPr>
                <w:rFonts w:eastAsia="Times New Roman" w:cs="Times New Roman"/>
                <w:szCs w:val="24"/>
                <w:lang w:val="tr-TR" w:bidi="tr-TR"/>
              </w:rPr>
              <w:t>0,03 – 1,7</w:t>
            </w:r>
          </w:p>
        </w:tc>
        <w:tc>
          <w:tcPr>
            <w:tcW w:w="294" w:type="pct"/>
            <w:tcBorders>
              <w:top w:val="nil"/>
              <w:bottom w:val="nil"/>
            </w:tcBorders>
            <w:vAlign w:val="center"/>
          </w:tcPr>
          <w:p w14:paraId="41D55AAD" w14:textId="77777777" w:rsidR="00496ADC" w:rsidRPr="00F50C10" w:rsidRDefault="00496ADC" w:rsidP="000B206D">
            <w:pPr>
              <w:widowControl w:val="0"/>
              <w:autoSpaceDE w:val="0"/>
              <w:autoSpaceDN w:val="0"/>
              <w:spacing w:line="276" w:lineRule="auto"/>
              <w:ind w:left="72" w:right="72"/>
              <w:jc w:val="center"/>
              <w:rPr>
                <w:rFonts w:eastAsia="Times New Roman" w:cs="Times New Roman"/>
                <w:szCs w:val="24"/>
                <w:lang w:val="tr-TR"/>
              </w:rPr>
            </w:pPr>
            <w:r w:rsidRPr="00F50C10">
              <w:rPr>
                <w:rFonts w:eastAsia="Times New Roman" w:cs="Times New Roman"/>
                <w:szCs w:val="24"/>
                <w:lang w:val="tr-TR" w:bidi="tr-TR"/>
              </w:rPr>
              <w:t>veya</w:t>
            </w:r>
          </w:p>
        </w:tc>
        <w:tc>
          <w:tcPr>
            <w:tcW w:w="828" w:type="pct"/>
          </w:tcPr>
          <w:p w14:paraId="3104826E" w14:textId="77777777" w:rsidR="00496ADC" w:rsidRPr="00F50C10" w:rsidRDefault="00496ADC" w:rsidP="000B206D">
            <w:pPr>
              <w:widowControl w:val="0"/>
              <w:autoSpaceDE w:val="0"/>
              <w:autoSpaceDN w:val="0"/>
              <w:spacing w:line="276" w:lineRule="auto"/>
              <w:ind w:left="72" w:right="72"/>
              <w:jc w:val="center"/>
              <w:rPr>
                <w:rFonts w:eastAsia="Times New Roman" w:cs="Times New Roman"/>
                <w:szCs w:val="24"/>
                <w:lang w:val="tr-TR" w:bidi="tr-TR"/>
              </w:rPr>
            </w:pPr>
          </w:p>
        </w:tc>
        <w:tc>
          <w:tcPr>
            <w:tcW w:w="828" w:type="pct"/>
            <w:vAlign w:val="center"/>
          </w:tcPr>
          <w:p w14:paraId="150C78CD" w14:textId="77777777" w:rsidR="00496ADC" w:rsidRPr="00F50C10" w:rsidRDefault="00496ADC" w:rsidP="000B206D">
            <w:pPr>
              <w:widowControl w:val="0"/>
              <w:autoSpaceDE w:val="0"/>
              <w:autoSpaceDN w:val="0"/>
              <w:spacing w:line="276" w:lineRule="auto"/>
              <w:ind w:left="72" w:right="72"/>
              <w:jc w:val="center"/>
              <w:rPr>
                <w:rFonts w:eastAsia="Times New Roman" w:cs="Times New Roman"/>
                <w:szCs w:val="24"/>
                <w:lang w:val="tr-TR"/>
              </w:rPr>
            </w:pPr>
            <w:r w:rsidRPr="00F50C10">
              <w:rPr>
                <w:rFonts w:eastAsia="Times New Roman" w:cs="Times New Roman"/>
                <w:szCs w:val="24"/>
                <w:lang w:val="tr-TR" w:bidi="tr-TR"/>
              </w:rPr>
              <w:t>7 – 220</w:t>
            </w:r>
            <w:r w:rsidRPr="00F50C10">
              <w:rPr>
                <w:rFonts w:eastAsia="Times New Roman" w:cs="Times New Roman"/>
                <w:position w:val="11"/>
                <w:szCs w:val="24"/>
                <w:lang w:val="tr-TR" w:bidi="tr-TR"/>
              </w:rPr>
              <w:t>**</w:t>
            </w:r>
          </w:p>
        </w:tc>
        <w:tc>
          <w:tcPr>
            <w:tcW w:w="1190" w:type="pct"/>
            <w:vAlign w:val="center"/>
          </w:tcPr>
          <w:p w14:paraId="1A8304DA" w14:textId="5D411E03" w:rsidR="00496ADC" w:rsidRPr="00F50C10" w:rsidRDefault="00496ADC" w:rsidP="000B206D">
            <w:pPr>
              <w:widowControl w:val="0"/>
              <w:autoSpaceDE w:val="0"/>
              <w:autoSpaceDN w:val="0"/>
              <w:spacing w:line="276" w:lineRule="auto"/>
              <w:ind w:left="72" w:right="72"/>
              <w:jc w:val="center"/>
              <w:rPr>
                <w:rFonts w:eastAsia="Times New Roman" w:cs="Times New Roman"/>
                <w:szCs w:val="24"/>
                <w:lang w:val="tr-TR"/>
              </w:rPr>
            </w:pPr>
            <w:r w:rsidRPr="00F50C10">
              <w:rPr>
                <w:rFonts w:eastAsia="Times New Roman" w:cs="Times New Roman"/>
                <w:szCs w:val="24"/>
                <w:lang w:val="tr-TR" w:bidi="tr-TR"/>
              </w:rPr>
              <w:t>Aralığın alt sınırı, yıkama sisteminin düşük girdi miktarı ve H</w:t>
            </w:r>
            <w:r w:rsidRPr="00F50C10">
              <w:rPr>
                <w:rFonts w:eastAsia="Times New Roman" w:cs="Times New Roman"/>
                <w:szCs w:val="24"/>
                <w:vertAlign w:val="subscript"/>
                <w:lang w:val="tr-TR" w:bidi="tr-TR"/>
              </w:rPr>
              <w:t>2</w:t>
            </w:r>
            <w:r w:rsidRPr="00F50C10">
              <w:rPr>
                <w:rFonts w:eastAsia="Times New Roman" w:cs="Times New Roman"/>
                <w:szCs w:val="24"/>
                <w:lang w:val="tr-TR" w:bidi="tr-TR"/>
              </w:rPr>
              <w:t xml:space="preserve">O ile yapılan yıkamayla </w:t>
            </w:r>
            <w:r w:rsidR="00C67CEF" w:rsidRPr="00F50C10">
              <w:rPr>
                <w:rFonts w:eastAsia="Times New Roman" w:cs="Times New Roman"/>
                <w:szCs w:val="24"/>
                <w:lang w:val="tr-TR" w:bidi="tr-TR"/>
              </w:rPr>
              <w:t>ilişkilidir</w:t>
            </w:r>
            <w:r w:rsidRPr="00F50C10">
              <w:rPr>
                <w:rFonts w:eastAsia="Times New Roman" w:cs="Times New Roman"/>
                <w:szCs w:val="24"/>
                <w:lang w:val="tr-TR" w:bidi="tr-TR"/>
              </w:rPr>
              <w:t>. Yüksek girdi seviyelerinde, yıkama ortamı olarak H</w:t>
            </w:r>
            <w:r w:rsidRPr="00F50C10">
              <w:rPr>
                <w:rFonts w:eastAsia="Times New Roman" w:cs="Times New Roman"/>
                <w:szCs w:val="24"/>
                <w:vertAlign w:val="subscript"/>
                <w:lang w:val="tr-TR" w:bidi="tr-TR"/>
              </w:rPr>
              <w:t>2</w:t>
            </w:r>
            <w:r w:rsidRPr="00F50C10">
              <w:rPr>
                <w:rFonts w:eastAsia="Times New Roman" w:cs="Times New Roman"/>
                <w:szCs w:val="24"/>
                <w:lang w:val="tr-TR" w:bidi="tr-TR"/>
              </w:rPr>
              <w:t>O</w:t>
            </w:r>
            <w:r w:rsidRPr="00F50C10">
              <w:rPr>
                <w:rFonts w:eastAsia="Times New Roman" w:cs="Times New Roman"/>
                <w:szCs w:val="24"/>
                <w:vertAlign w:val="subscript"/>
                <w:lang w:val="tr-TR" w:bidi="tr-TR"/>
              </w:rPr>
              <w:t>2</w:t>
            </w:r>
            <w:r w:rsidRPr="00F50C10">
              <w:rPr>
                <w:rFonts w:eastAsia="Times New Roman" w:cs="Times New Roman"/>
                <w:szCs w:val="24"/>
                <w:lang w:val="tr-TR" w:bidi="tr-TR"/>
              </w:rPr>
              <w:t xml:space="preserve"> kullanılsa bile aralığın alt sınırına ulaşılamaz.</w:t>
            </w:r>
          </w:p>
        </w:tc>
      </w:tr>
      <w:tr w:rsidR="00496ADC" w:rsidRPr="00F50C10" w14:paraId="502E5C8C" w14:textId="77777777" w:rsidTr="00375F59">
        <w:trPr>
          <w:trHeight w:val="20"/>
        </w:trPr>
        <w:tc>
          <w:tcPr>
            <w:tcW w:w="1156" w:type="pct"/>
            <w:gridSpan w:val="2"/>
            <w:vAlign w:val="center"/>
          </w:tcPr>
          <w:p w14:paraId="3D37045B" w14:textId="77777777" w:rsidR="00496ADC" w:rsidRPr="00F50C10" w:rsidRDefault="00496ADC" w:rsidP="000B206D">
            <w:pPr>
              <w:widowControl w:val="0"/>
              <w:autoSpaceDE w:val="0"/>
              <w:autoSpaceDN w:val="0"/>
              <w:spacing w:line="276" w:lineRule="auto"/>
              <w:ind w:left="72" w:right="72"/>
              <w:jc w:val="left"/>
              <w:rPr>
                <w:rFonts w:eastAsia="Times New Roman" w:cs="Times New Roman"/>
                <w:szCs w:val="24"/>
                <w:lang w:val="tr-TR" w:bidi="tr-TR"/>
              </w:rPr>
            </w:pPr>
            <w:r w:rsidRPr="00F50C10">
              <w:rPr>
                <w:rFonts w:eastAsia="Times New Roman" w:cs="Times New Roman"/>
                <w:szCs w:val="24"/>
                <w:lang w:val="tr-TR" w:bidi="tr-TR"/>
              </w:rPr>
              <w:t>Termal oksidasyon/yakma,</w:t>
            </w:r>
          </w:p>
          <w:p w14:paraId="02AEE9C9" w14:textId="77777777" w:rsidR="00496ADC" w:rsidRPr="00F50C10" w:rsidRDefault="00496ADC" w:rsidP="000B206D">
            <w:pPr>
              <w:widowControl w:val="0"/>
              <w:autoSpaceDE w:val="0"/>
              <w:autoSpaceDN w:val="0"/>
              <w:spacing w:line="276" w:lineRule="auto"/>
              <w:ind w:left="72" w:right="72"/>
              <w:jc w:val="left"/>
              <w:rPr>
                <w:rFonts w:eastAsia="Times New Roman" w:cs="Times New Roman"/>
                <w:szCs w:val="24"/>
                <w:lang w:val="tr-TR"/>
              </w:rPr>
            </w:pPr>
            <w:r w:rsidRPr="00F50C10">
              <w:rPr>
                <w:rFonts w:eastAsia="Times New Roman" w:cs="Times New Roman"/>
                <w:szCs w:val="24"/>
                <w:lang w:val="tr-TR" w:bidi="tr-TR"/>
              </w:rPr>
              <w:t>katalitik oksidasyon</w:t>
            </w:r>
          </w:p>
        </w:tc>
        <w:tc>
          <w:tcPr>
            <w:tcW w:w="703" w:type="pct"/>
            <w:vAlign w:val="center"/>
          </w:tcPr>
          <w:p w14:paraId="0B4B6584" w14:textId="77777777" w:rsidR="00496ADC" w:rsidRPr="00F50C10" w:rsidRDefault="00496ADC" w:rsidP="000B206D">
            <w:pPr>
              <w:widowControl w:val="0"/>
              <w:autoSpaceDE w:val="0"/>
              <w:autoSpaceDN w:val="0"/>
              <w:spacing w:line="276" w:lineRule="auto"/>
              <w:ind w:left="72" w:right="72"/>
              <w:jc w:val="center"/>
              <w:rPr>
                <w:rFonts w:eastAsia="Times New Roman" w:cs="Times New Roman"/>
                <w:szCs w:val="24"/>
                <w:lang w:val="tr-TR"/>
              </w:rPr>
            </w:pPr>
            <w:r w:rsidRPr="00F50C10">
              <w:rPr>
                <w:rFonts w:eastAsia="Times New Roman" w:cs="Times New Roman"/>
                <w:szCs w:val="24"/>
                <w:lang w:val="tr-TR" w:bidi="tr-TR"/>
              </w:rPr>
              <w:t>0,1 – 0,3</w:t>
            </w:r>
          </w:p>
        </w:tc>
        <w:tc>
          <w:tcPr>
            <w:tcW w:w="294" w:type="pct"/>
            <w:tcBorders>
              <w:top w:val="nil"/>
              <w:bottom w:val="nil"/>
            </w:tcBorders>
            <w:vAlign w:val="center"/>
          </w:tcPr>
          <w:p w14:paraId="668233D9" w14:textId="77777777" w:rsidR="00496ADC" w:rsidRPr="00F50C10" w:rsidRDefault="00496ADC" w:rsidP="000B206D">
            <w:pPr>
              <w:widowControl w:val="0"/>
              <w:autoSpaceDE w:val="0"/>
              <w:autoSpaceDN w:val="0"/>
              <w:spacing w:line="276" w:lineRule="auto"/>
              <w:ind w:left="72" w:right="72"/>
              <w:jc w:val="center"/>
              <w:rPr>
                <w:rFonts w:eastAsia="Times New Roman" w:cs="Times New Roman"/>
                <w:szCs w:val="24"/>
                <w:lang w:val="tr-TR"/>
              </w:rPr>
            </w:pPr>
          </w:p>
        </w:tc>
        <w:tc>
          <w:tcPr>
            <w:tcW w:w="828" w:type="pct"/>
          </w:tcPr>
          <w:p w14:paraId="2C0BF3D3" w14:textId="77777777" w:rsidR="00496ADC" w:rsidRPr="00F50C10" w:rsidRDefault="00496ADC" w:rsidP="000B206D">
            <w:pPr>
              <w:widowControl w:val="0"/>
              <w:tabs>
                <w:tab w:val="left" w:pos="1703"/>
              </w:tabs>
              <w:autoSpaceDE w:val="0"/>
              <w:autoSpaceDN w:val="0"/>
              <w:spacing w:line="276" w:lineRule="auto"/>
              <w:ind w:left="72" w:right="72"/>
              <w:jc w:val="center"/>
              <w:rPr>
                <w:rFonts w:eastAsia="Times New Roman" w:cs="Times New Roman"/>
                <w:szCs w:val="24"/>
                <w:lang w:val="tr-TR" w:bidi="tr-TR"/>
              </w:rPr>
            </w:pPr>
          </w:p>
        </w:tc>
        <w:tc>
          <w:tcPr>
            <w:tcW w:w="828" w:type="pct"/>
            <w:vAlign w:val="center"/>
          </w:tcPr>
          <w:p w14:paraId="6195B4B3" w14:textId="77777777" w:rsidR="00496ADC" w:rsidRPr="00F50C10" w:rsidRDefault="00496ADC" w:rsidP="000B206D">
            <w:pPr>
              <w:widowControl w:val="0"/>
              <w:tabs>
                <w:tab w:val="left" w:pos="1703"/>
              </w:tabs>
              <w:autoSpaceDE w:val="0"/>
              <w:autoSpaceDN w:val="0"/>
              <w:spacing w:line="276" w:lineRule="auto"/>
              <w:ind w:left="72" w:right="72"/>
              <w:jc w:val="center"/>
              <w:rPr>
                <w:rFonts w:eastAsia="Times New Roman" w:cs="Times New Roman"/>
                <w:szCs w:val="24"/>
                <w:lang w:val="tr-TR"/>
              </w:rPr>
            </w:pPr>
            <w:r w:rsidRPr="00F50C10">
              <w:rPr>
                <w:rFonts w:eastAsia="Times New Roman" w:cs="Times New Roman"/>
                <w:szCs w:val="24"/>
                <w:lang w:val="tr-TR" w:bidi="tr-TR"/>
              </w:rPr>
              <w:t>13 – 50</w:t>
            </w:r>
            <w:r w:rsidRPr="00F50C10">
              <w:rPr>
                <w:rFonts w:eastAsia="Times New Roman" w:cs="Times New Roman"/>
                <w:position w:val="11"/>
                <w:szCs w:val="24"/>
                <w:lang w:val="tr-TR" w:bidi="tr-TR"/>
              </w:rPr>
              <w:t>***</w:t>
            </w:r>
          </w:p>
        </w:tc>
        <w:tc>
          <w:tcPr>
            <w:tcW w:w="1190" w:type="pct"/>
            <w:vAlign w:val="center"/>
          </w:tcPr>
          <w:p w14:paraId="47422911" w14:textId="77777777" w:rsidR="00496ADC" w:rsidRPr="00F50C10" w:rsidRDefault="00496ADC" w:rsidP="000B206D">
            <w:pPr>
              <w:widowControl w:val="0"/>
              <w:autoSpaceDE w:val="0"/>
              <w:autoSpaceDN w:val="0"/>
              <w:spacing w:line="276" w:lineRule="auto"/>
              <w:ind w:left="72" w:right="72"/>
              <w:jc w:val="center"/>
              <w:rPr>
                <w:rFonts w:eastAsia="Times New Roman" w:cs="Times New Roman"/>
                <w:szCs w:val="24"/>
                <w:lang w:val="tr-TR"/>
              </w:rPr>
            </w:pPr>
          </w:p>
        </w:tc>
      </w:tr>
      <w:tr w:rsidR="00496ADC" w:rsidRPr="00F50C10" w14:paraId="7936A0BD" w14:textId="77777777" w:rsidTr="00375F59">
        <w:trPr>
          <w:trHeight w:val="20"/>
        </w:trPr>
        <w:tc>
          <w:tcPr>
            <w:tcW w:w="1156" w:type="pct"/>
            <w:gridSpan w:val="2"/>
            <w:vAlign w:val="center"/>
          </w:tcPr>
          <w:p w14:paraId="1DA14BDD" w14:textId="77777777" w:rsidR="00496ADC" w:rsidRPr="00F50C10" w:rsidRDefault="00496ADC" w:rsidP="000B206D">
            <w:pPr>
              <w:widowControl w:val="0"/>
              <w:autoSpaceDE w:val="0"/>
              <w:autoSpaceDN w:val="0"/>
              <w:spacing w:line="276" w:lineRule="auto"/>
              <w:ind w:left="72" w:right="72"/>
              <w:jc w:val="left"/>
              <w:rPr>
                <w:rFonts w:eastAsia="Times New Roman" w:cs="Times New Roman"/>
                <w:szCs w:val="24"/>
                <w:lang w:val="tr-TR"/>
              </w:rPr>
            </w:pPr>
            <w:r w:rsidRPr="00F50C10">
              <w:rPr>
                <w:rFonts w:eastAsia="Times New Roman" w:cs="Times New Roman"/>
                <w:szCs w:val="24"/>
                <w:lang w:val="tr-TR" w:bidi="tr-TR"/>
              </w:rPr>
              <w:t>Termal oksidasyon/yakma, katalitik oksidasyon, azotlu organik bileşiklerin girişi</w:t>
            </w:r>
          </w:p>
        </w:tc>
        <w:tc>
          <w:tcPr>
            <w:tcW w:w="703" w:type="pct"/>
            <w:vAlign w:val="center"/>
          </w:tcPr>
          <w:p w14:paraId="4FE8316E" w14:textId="77777777" w:rsidR="00496ADC" w:rsidRPr="00F50C10" w:rsidRDefault="00496ADC" w:rsidP="000B206D">
            <w:pPr>
              <w:widowControl w:val="0"/>
              <w:autoSpaceDE w:val="0"/>
              <w:autoSpaceDN w:val="0"/>
              <w:spacing w:line="276" w:lineRule="auto"/>
              <w:ind w:left="72" w:right="72"/>
              <w:jc w:val="center"/>
              <w:rPr>
                <w:rFonts w:eastAsia="Times New Roman" w:cs="Times New Roman"/>
                <w:szCs w:val="24"/>
                <w:lang w:val="tr-TR"/>
              </w:rPr>
            </w:pPr>
          </w:p>
        </w:tc>
        <w:tc>
          <w:tcPr>
            <w:tcW w:w="294" w:type="pct"/>
            <w:tcBorders>
              <w:top w:val="nil"/>
            </w:tcBorders>
            <w:vAlign w:val="center"/>
          </w:tcPr>
          <w:p w14:paraId="19BD2221" w14:textId="77777777" w:rsidR="00496ADC" w:rsidRPr="00F50C10" w:rsidRDefault="00496ADC" w:rsidP="000B206D">
            <w:pPr>
              <w:widowControl w:val="0"/>
              <w:autoSpaceDE w:val="0"/>
              <w:autoSpaceDN w:val="0"/>
              <w:spacing w:line="276" w:lineRule="auto"/>
              <w:ind w:left="72" w:right="72"/>
              <w:jc w:val="center"/>
              <w:rPr>
                <w:rFonts w:eastAsia="Times New Roman" w:cs="Times New Roman"/>
                <w:szCs w:val="24"/>
                <w:lang w:val="tr-TR"/>
              </w:rPr>
            </w:pPr>
          </w:p>
        </w:tc>
        <w:tc>
          <w:tcPr>
            <w:tcW w:w="828" w:type="pct"/>
          </w:tcPr>
          <w:p w14:paraId="07D30550" w14:textId="77777777" w:rsidR="00496ADC" w:rsidRPr="00F50C10" w:rsidRDefault="00496ADC" w:rsidP="000B206D">
            <w:pPr>
              <w:widowControl w:val="0"/>
              <w:autoSpaceDE w:val="0"/>
              <w:autoSpaceDN w:val="0"/>
              <w:spacing w:line="276" w:lineRule="auto"/>
              <w:ind w:left="72" w:right="72"/>
              <w:jc w:val="center"/>
              <w:rPr>
                <w:rFonts w:eastAsia="Times New Roman" w:cs="Times New Roman"/>
                <w:szCs w:val="24"/>
                <w:lang w:val="tr-TR" w:bidi="tr-TR"/>
              </w:rPr>
            </w:pPr>
          </w:p>
        </w:tc>
        <w:tc>
          <w:tcPr>
            <w:tcW w:w="828" w:type="pct"/>
            <w:vAlign w:val="center"/>
          </w:tcPr>
          <w:p w14:paraId="457F7FD1" w14:textId="77777777" w:rsidR="00496ADC" w:rsidRPr="00F50C10" w:rsidRDefault="00496ADC" w:rsidP="000B206D">
            <w:pPr>
              <w:widowControl w:val="0"/>
              <w:autoSpaceDE w:val="0"/>
              <w:autoSpaceDN w:val="0"/>
              <w:spacing w:line="276" w:lineRule="auto"/>
              <w:ind w:left="72" w:right="72"/>
              <w:jc w:val="center"/>
              <w:rPr>
                <w:rFonts w:eastAsia="Times New Roman" w:cs="Times New Roman"/>
                <w:szCs w:val="24"/>
                <w:lang w:val="tr-TR"/>
              </w:rPr>
            </w:pPr>
            <w:r w:rsidRPr="00F50C10">
              <w:rPr>
                <w:rFonts w:eastAsia="Times New Roman" w:cs="Times New Roman"/>
                <w:szCs w:val="24"/>
                <w:lang w:val="tr-TR" w:bidi="tr-TR"/>
              </w:rPr>
              <w:t>25 – 150</w:t>
            </w:r>
            <w:r w:rsidRPr="00F50C10">
              <w:rPr>
                <w:rFonts w:eastAsia="Times New Roman" w:cs="Times New Roman"/>
                <w:position w:val="11"/>
                <w:szCs w:val="24"/>
                <w:lang w:val="tr-TR" w:bidi="tr-TR"/>
              </w:rPr>
              <w:t>***</w:t>
            </w:r>
          </w:p>
        </w:tc>
        <w:tc>
          <w:tcPr>
            <w:tcW w:w="1190" w:type="pct"/>
            <w:vAlign w:val="center"/>
          </w:tcPr>
          <w:p w14:paraId="47573FC7" w14:textId="77777777" w:rsidR="00496ADC" w:rsidRPr="00F50C10" w:rsidRDefault="00496ADC" w:rsidP="000B206D">
            <w:pPr>
              <w:widowControl w:val="0"/>
              <w:autoSpaceDE w:val="0"/>
              <w:autoSpaceDN w:val="0"/>
              <w:spacing w:line="276" w:lineRule="auto"/>
              <w:ind w:left="72" w:right="72"/>
              <w:jc w:val="center"/>
              <w:rPr>
                <w:rFonts w:eastAsia="Times New Roman" w:cs="Times New Roman"/>
                <w:szCs w:val="24"/>
                <w:lang w:val="tr-TR"/>
              </w:rPr>
            </w:pPr>
            <w:r w:rsidRPr="00F50C10">
              <w:rPr>
                <w:rFonts w:eastAsia="Times New Roman" w:cs="Times New Roman"/>
                <w:szCs w:val="24"/>
                <w:lang w:val="tr-TR" w:bidi="tr-TR"/>
              </w:rPr>
              <w:t>SCR ile alt aralık, SNCR ile üst aralık</w:t>
            </w:r>
          </w:p>
        </w:tc>
      </w:tr>
      <w:tr w:rsidR="00496ADC" w:rsidRPr="00F50C10" w14:paraId="0A432AC7" w14:textId="77777777" w:rsidTr="00375F59">
        <w:trPr>
          <w:trHeight w:val="20"/>
        </w:trPr>
        <w:tc>
          <w:tcPr>
            <w:tcW w:w="828" w:type="pct"/>
          </w:tcPr>
          <w:p w14:paraId="3FC15EA2" w14:textId="77777777" w:rsidR="00496ADC" w:rsidRPr="00F50C10" w:rsidRDefault="00496ADC" w:rsidP="000B206D">
            <w:pPr>
              <w:widowControl w:val="0"/>
              <w:tabs>
                <w:tab w:val="left" w:pos="503"/>
              </w:tabs>
              <w:autoSpaceDE w:val="0"/>
              <w:autoSpaceDN w:val="0"/>
              <w:spacing w:line="276" w:lineRule="auto"/>
              <w:ind w:left="72" w:right="72"/>
              <w:rPr>
                <w:rFonts w:eastAsia="Times New Roman" w:cs="Times New Roman"/>
                <w:position w:val="6"/>
                <w:szCs w:val="24"/>
                <w:lang w:val="tr-TR" w:bidi="tr-TR"/>
              </w:rPr>
            </w:pPr>
          </w:p>
        </w:tc>
        <w:tc>
          <w:tcPr>
            <w:tcW w:w="4172" w:type="pct"/>
            <w:gridSpan w:val="6"/>
            <w:vAlign w:val="center"/>
          </w:tcPr>
          <w:p w14:paraId="78583CF2" w14:textId="44EFE48B" w:rsidR="00496ADC" w:rsidRPr="00F50C10" w:rsidRDefault="00496ADC" w:rsidP="000B206D">
            <w:pPr>
              <w:widowControl w:val="0"/>
              <w:tabs>
                <w:tab w:val="left" w:pos="503"/>
              </w:tabs>
              <w:autoSpaceDE w:val="0"/>
              <w:autoSpaceDN w:val="0"/>
              <w:spacing w:line="276" w:lineRule="auto"/>
              <w:ind w:left="72" w:right="72"/>
              <w:rPr>
                <w:rFonts w:eastAsia="Times New Roman" w:cs="Times New Roman"/>
                <w:i/>
                <w:iCs/>
                <w:szCs w:val="24"/>
                <w:lang w:val="tr-TR"/>
              </w:rPr>
            </w:pPr>
            <w:r w:rsidRPr="00F50C10">
              <w:rPr>
                <w:rFonts w:eastAsia="Times New Roman" w:cs="Times New Roman"/>
                <w:i/>
                <w:iCs/>
                <w:position w:val="6"/>
                <w:szCs w:val="24"/>
                <w:lang w:val="tr-TR" w:bidi="tr-TR"/>
              </w:rPr>
              <w:t>*</w:t>
            </w:r>
            <w:r w:rsidRPr="00F50C10">
              <w:rPr>
                <w:rFonts w:eastAsia="Times New Roman" w:cs="Times New Roman"/>
                <w:i/>
                <w:iCs/>
                <w:szCs w:val="24"/>
                <w:lang w:val="tr-TR" w:bidi="tr-TR"/>
              </w:rPr>
              <w:t>NO</w:t>
            </w:r>
            <w:r w:rsidRPr="00F50C10">
              <w:rPr>
                <w:rFonts w:eastAsia="Times New Roman" w:cs="Times New Roman"/>
                <w:i/>
                <w:iCs/>
                <w:szCs w:val="24"/>
                <w:vertAlign w:val="subscript"/>
                <w:lang w:val="tr-TR" w:bidi="tr-TR"/>
              </w:rPr>
              <w:t>x</w:t>
            </w:r>
            <w:r w:rsidRPr="00F50C10">
              <w:rPr>
                <w:rFonts w:eastAsia="Times New Roman" w:cs="Times New Roman"/>
                <w:i/>
                <w:iCs/>
                <w:szCs w:val="24"/>
                <w:lang w:val="tr-TR" w:bidi="tr-TR"/>
              </w:rPr>
              <w:t>, NO</w:t>
            </w:r>
            <w:r w:rsidRPr="00F50C10">
              <w:rPr>
                <w:rFonts w:eastAsia="Times New Roman" w:cs="Times New Roman"/>
                <w:i/>
                <w:iCs/>
                <w:szCs w:val="24"/>
                <w:vertAlign w:val="subscript"/>
                <w:lang w:val="tr-TR" w:bidi="tr-TR"/>
              </w:rPr>
              <w:t>2</w:t>
            </w:r>
            <w:r w:rsidRPr="00F50C10">
              <w:rPr>
                <w:rFonts w:eastAsia="Times New Roman" w:cs="Times New Roman"/>
                <w:i/>
                <w:iCs/>
                <w:szCs w:val="24"/>
                <w:lang w:val="tr-TR" w:bidi="tr-TR"/>
              </w:rPr>
              <w:t xml:space="preserve"> olarak ifade edilir, ortalama süre emisyon profili ile </w:t>
            </w:r>
            <w:r w:rsidR="00C67CEF" w:rsidRPr="00F50C10">
              <w:rPr>
                <w:rFonts w:eastAsia="Times New Roman" w:cs="Times New Roman"/>
                <w:i/>
                <w:iCs/>
                <w:szCs w:val="24"/>
                <w:lang w:val="tr-TR" w:bidi="tr-TR"/>
              </w:rPr>
              <w:t>ilişkilidir</w:t>
            </w:r>
            <w:r w:rsidRPr="00F50C10">
              <w:rPr>
                <w:rFonts w:eastAsia="Times New Roman" w:cs="Times New Roman"/>
                <w:i/>
                <w:iCs/>
                <w:szCs w:val="24"/>
                <w:lang w:val="tr-TR" w:bidi="tr-TR"/>
              </w:rPr>
              <w:t>.</w:t>
            </w:r>
          </w:p>
          <w:p w14:paraId="6C2716C8" w14:textId="0CFD6978" w:rsidR="00496ADC" w:rsidRPr="00F50C10" w:rsidRDefault="00496ADC" w:rsidP="000B206D">
            <w:pPr>
              <w:widowControl w:val="0"/>
              <w:tabs>
                <w:tab w:val="left" w:pos="503"/>
              </w:tabs>
              <w:autoSpaceDE w:val="0"/>
              <w:autoSpaceDN w:val="0"/>
              <w:spacing w:line="276" w:lineRule="auto"/>
              <w:ind w:left="72" w:right="72"/>
              <w:rPr>
                <w:rFonts w:eastAsia="Times New Roman" w:cs="Times New Roman"/>
                <w:i/>
                <w:iCs/>
                <w:szCs w:val="24"/>
                <w:lang w:val="tr-TR"/>
              </w:rPr>
            </w:pPr>
            <w:r w:rsidRPr="00F50C10">
              <w:rPr>
                <w:rFonts w:eastAsia="Times New Roman" w:cs="Times New Roman"/>
                <w:i/>
                <w:iCs/>
                <w:position w:val="6"/>
                <w:szCs w:val="24"/>
                <w:lang w:val="tr-TR" w:bidi="tr-TR"/>
              </w:rPr>
              <w:t>**</w:t>
            </w:r>
            <w:r w:rsidRPr="00F50C10">
              <w:rPr>
                <w:rFonts w:eastAsia="Times New Roman" w:cs="Times New Roman"/>
                <w:i/>
                <w:iCs/>
                <w:szCs w:val="24"/>
                <w:lang w:val="tr-TR" w:bidi="tr-TR"/>
              </w:rPr>
              <w:t>Seviyeler kuru gaz ve Nm</w:t>
            </w:r>
            <w:r w:rsidRPr="00F50C10">
              <w:rPr>
                <w:rFonts w:eastAsia="Times New Roman" w:cs="Times New Roman"/>
                <w:i/>
                <w:iCs/>
                <w:szCs w:val="24"/>
                <w:vertAlign w:val="superscript"/>
                <w:lang w:val="tr-TR" w:bidi="tr-TR"/>
              </w:rPr>
              <w:t>3</w:t>
            </w:r>
            <w:r w:rsidRPr="00F50C10">
              <w:rPr>
                <w:rFonts w:eastAsia="Times New Roman" w:cs="Times New Roman"/>
                <w:i/>
                <w:iCs/>
                <w:szCs w:val="24"/>
                <w:lang w:val="tr-TR" w:bidi="tr-TR"/>
              </w:rPr>
              <w:t xml:space="preserve"> ile </w:t>
            </w:r>
            <w:r w:rsidR="00C67CEF" w:rsidRPr="00F50C10">
              <w:rPr>
                <w:rFonts w:eastAsia="Times New Roman" w:cs="Times New Roman"/>
                <w:i/>
                <w:iCs/>
                <w:szCs w:val="24"/>
                <w:lang w:val="tr-TR" w:bidi="tr-TR"/>
              </w:rPr>
              <w:t>ilişkilidir</w:t>
            </w:r>
            <w:r w:rsidRPr="00F50C10">
              <w:rPr>
                <w:rFonts w:eastAsia="Times New Roman" w:cs="Times New Roman"/>
                <w:i/>
                <w:iCs/>
                <w:szCs w:val="24"/>
                <w:lang w:val="tr-TR" w:bidi="tr-TR"/>
              </w:rPr>
              <w:t>.</w:t>
            </w:r>
          </w:p>
          <w:p w14:paraId="32A1F510" w14:textId="3D95E622" w:rsidR="00496ADC" w:rsidRPr="00F50C10" w:rsidRDefault="00496ADC" w:rsidP="000B206D">
            <w:pPr>
              <w:widowControl w:val="0"/>
              <w:tabs>
                <w:tab w:val="left" w:pos="503"/>
              </w:tabs>
              <w:autoSpaceDE w:val="0"/>
              <w:autoSpaceDN w:val="0"/>
              <w:spacing w:line="276" w:lineRule="auto"/>
              <w:ind w:left="72" w:right="72"/>
              <w:rPr>
                <w:rFonts w:eastAsia="Times New Roman" w:cs="Times New Roman"/>
                <w:szCs w:val="24"/>
                <w:lang w:val="tr-TR"/>
              </w:rPr>
            </w:pPr>
            <w:r w:rsidRPr="00F50C10">
              <w:rPr>
                <w:rFonts w:eastAsia="Times New Roman" w:cs="Times New Roman"/>
                <w:i/>
                <w:iCs/>
                <w:position w:val="6"/>
                <w:szCs w:val="24"/>
                <w:lang w:val="tr-TR" w:bidi="tr-TR"/>
              </w:rPr>
              <w:t>***</w:t>
            </w:r>
            <w:r w:rsidRPr="00F50C10">
              <w:rPr>
                <w:rFonts w:eastAsia="Times New Roman" w:cs="Times New Roman"/>
                <w:i/>
                <w:iCs/>
                <w:szCs w:val="24"/>
                <w:lang w:val="tr-TR" w:bidi="tr-TR"/>
              </w:rPr>
              <w:t>Seviyeler kuru gaz ve Nm</w:t>
            </w:r>
            <w:r w:rsidRPr="00F50C10">
              <w:rPr>
                <w:rFonts w:eastAsia="Times New Roman" w:cs="Times New Roman"/>
                <w:i/>
                <w:iCs/>
                <w:szCs w:val="24"/>
                <w:vertAlign w:val="superscript"/>
                <w:lang w:val="tr-TR" w:bidi="tr-TR"/>
              </w:rPr>
              <w:t>3</w:t>
            </w:r>
            <w:r w:rsidRPr="00F50C10">
              <w:rPr>
                <w:rFonts w:eastAsia="Times New Roman" w:cs="Times New Roman"/>
                <w:i/>
                <w:iCs/>
                <w:szCs w:val="24"/>
                <w:lang w:val="tr-TR" w:bidi="tr-TR"/>
              </w:rPr>
              <w:t xml:space="preserve"> ile </w:t>
            </w:r>
            <w:r w:rsidR="00C67CEF" w:rsidRPr="00F50C10">
              <w:rPr>
                <w:rFonts w:eastAsia="Times New Roman" w:cs="Times New Roman"/>
                <w:i/>
                <w:iCs/>
                <w:szCs w:val="24"/>
                <w:lang w:val="tr-TR" w:bidi="tr-TR"/>
              </w:rPr>
              <w:t>ilişkilidir</w:t>
            </w:r>
            <w:r w:rsidRPr="00F50C10">
              <w:rPr>
                <w:rFonts w:eastAsia="Times New Roman" w:cs="Times New Roman"/>
                <w:i/>
                <w:iCs/>
                <w:szCs w:val="24"/>
                <w:lang w:val="tr-TR" w:bidi="tr-TR"/>
              </w:rPr>
              <w:t>.</w:t>
            </w:r>
          </w:p>
        </w:tc>
      </w:tr>
    </w:tbl>
    <w:p w14:paraId="4DCCBE1A" w14:textId="77777777" w:rsidR="00496ADC" w:rsidRPr="00F50C10" w:rsidRDefault="00496ADC" w:rsidP="000B206D">
      <w:pPr>
        <w:spacing w:before="120" w:after="60" w:line="276" w:lineRule="auto"/>
        <w:rPr>
          <w:rFonts w:cs="Times New Roman"/>
          <w:szCs w:val="24"/>
          <w:lang w:val="tr-TR"/>
        </w:rPr>
      </w:pPr>
      <w:bookmarkStart w:id="183" w:name="_Toc135050229"/>
      <w:bookmarkStart w:id="184" w:name="_Toc135142007"/>
      <w:bookmarkStart w:id="185" w:name="_Toc135142084"/>
      <w:bookmarkStart w:id="186" w:name="_Toc135229444"/>
    </w:p>
    <w:p w14:paraId="42A5D2EC" w14:textId="77777777" w:rsidR="00496ADC" w:rsidRPr="00F50C10" w:rsidRDefault="00496ADC"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r w:rsidRPr="00F50C10">
        <w:rPr>
          <w:rFonts w:eastAsia="Times New Roman" w:cs="Times New Roman"/>
          <w:b/>
          <w:bCs/>
          <w:szCs w:val="24"/>
          <w:lang w:val="tr-TR"/>
        </w:rPr>
        <w:t>HCl, Cl</w:t>
      </w:r>
      <w:r w:rsidRPr="00F50C10">
        <w:rPr>
          <w:rFonts w:eastAsia="Times New Roman" w:cs="Times New Roman"/>
          <w:b/>
          <w:bCs/>
          <w:szCs w:val="24"/>
          <w:vertAlign w:val="subscript"/>
          <w:lang w:val="tr-TR"/>
        </w:rPr>
        <w:t>2</w:t>
      </w:r>
      <w:r w:rsidRPr="00F50C10">
        <w:rPr>
          <w:rFonts w:eastAsia="Times New Roman" w:cs="Times New Roman"/>
          <w:b/>
          <w:bCs/>
          <w:szCs w:val="24"/>
          <w:lang w:val="tr-TR"/>
        </w:rPr>
        <w:t xml:space="preserve"> ve HBr/</w:t>
      </w:r>
      <w:bookmarkStart w:id="187" w:name="_Hlk135137760"/>
      <w:r w:rsidRPr="00F50C10">
        <w:rPr>
          <w:rFonts w:eastAsia="Times New Roman" w:cs="Times New Roman"/>
          <w:b/>
          <w:bCs/>
          <w:szCs w:val="24"/>
          <w:lang w:val="tr-TR"/>
        </w:rPr>
        <w:t>Br</w:t>
      </w:r>
      <w:r w:rsidRPr="00F50C10">
        <w:rPr>
          <w:rFonts w:eastAsia="Times New Roman" w:cs="Times New Roman"/>
          <w:b/>
          <w:bCs/>
          <w:szCs w:val="24"/>
          <w:vertAlign w:val="subscript"/>
          <w:lang w:val="tr-TR"/>
        </w:rPr>
        <w:t>2</w:t>
      </w:r>
      <w:r w:rsidRPr="00F50C10">
        <w:rPr>
          <w:rFonts w:eastAsia="Times New Roman" w:cs="Times New Roman"/>
          <w:b/>
          <w:bCs/>
          <w:szCs w:val="24"/>
          <w:lang w:val="tr-TR"/>
        </w:rPr>
        <w:t>’nin geri kazanımı/azaltılması</w:t>
      </w:r>
      <w:bookmarkEnd w:id="183"/>
      <w:bookmarkEnd w:id="184"/>
      <w:bookmarkEnd w:id="185"/>
      <w:bookmarkEnd w:id="186"/>
      <w:bookmarkEnd w:id="187"/>
    </w:p>
    <w:p w14:paraId="6E997BA7" w14:textId="6CB203FB" w:rsidR="00496ADC" w:rsidRPr="00F50C10" w:rsidRDefault="00496ADC" w:rsidP="000B206D">
      <w:pPr>
        <w:spacing w:before="120" w:after="60" w:line="276" w:lineRule="auto"/>
        <w:rPr>
          <w:rFonts w:cs="Times New Roman"/>
          <w:szCs w:val="24"/>
          <w:lang w:val="tr-TR"/>
        </w:rPr>
      </w:pPr>
      <w:r w:rsidRPr="00F50C10">
        <w:rPr>
          <w:rFonts w:cs="Times New Roman"/>
          <w:b/>
          <w:bCs/>
          <w:szCs w:val="24"/>
          <w:lang w:val="tr-TR"/>
        </w:rPr>
        <w:t xml:space="preserve">MET 44: </w:t>
      </w:r>
      <w:r w:rsidRPr="00F50C10">
        <w:rPr>
          <w:rFonts w:cs="Times New Roman"/>
          <w:szCs w:val="24"/>
          <w:lang w:val="tr-TR"/>
        </w:rPr>
        <w:t>0,2 – 7,5 mg/m</w:t>
      </w:r>
      <w:r w:rsidRPr="00F50C10">
        <w:rPr>
          <w:rFonts w:cs="Times New Roman"/>
          <w:szCs w:val="24"/>
          <w:vertAlign w:val="superscript"/>
          <w:lang w:val="tr-TR"/>
        </w:rPr>
        <w:t>3</w:t>
      </w:r>
      <w:r w:rsidRPr="00F50C10">
        <w:rPr>
          <w:rFonts w:cs="Times New Roman"/>
          <w:szCs w:val="24"/>
          <w:lang w:val="tr-TR"/>
        </w:rPr>
        <w:t xml:space="preserve"> veya 0,001 – 0,08 kg/saat HCl emisyon seviyelerine ulaş</w:t>
      </w:r>
      <w:r w:rsidR="004E2FB9" w:rsidRPr="00F50C10">
        <w:rPr>
          <w:rFonts w:cs="Times New Roman"/>
          <w:szCs w:val="24"/>
          <w:lang w:val="tr-TR"/>
        </w:rPr>
        <w:t>ılır</w:t>
      </w:r>
      <w:r w:rsidRPr="00F50C10">
        <w:rPr>
          <w:rFonts w:cs="Times New Roman"/>
          <w:szCs w:val="24"/>
          <w:lang w:val="tr-TR"/>
        </w:rPr>
        <w:t xml:space="preserve"> ve bu amaçla gerektiğinde, H</w:t>
      </w:r>
      <w:r w:rsidRPr="00F50C10">
        <w:rPr>
          <w:rFonts w:cs="Times New Roman"/>
          <w:szCs w:val="24"/>
          <w:vertAlign w:val="subscript"/>
          <w:lang w:val="tr-TR"/>
        </w:rPr>
        <w:t>2</w:t>
      </w:r>
      <w:r w:rsidRPr="00F50C10">
        <w:rPr>
          <w:rFonts w:cs="Times New Roman"/>
          <w:szCs w:val="24"/>
          <w:lang w:val="tr-TR"/>
        </w:rPr>
        <w:t>O veya NaOH gibi yıkama ortamı kullanılan bir veya daha fazla gaz yıkayıcıdan faydala</w:t>
      </w:r>
      <w:r w:rsidR="004E2FB9" w:rsidRPr="00F50C10">
        <w:rPr>
          <w:rFonts w:cs="Times New Roman"/>
          <w:szCs w:val="24"/>
          <w:lang w:val="tr-TR"/>
        </w:rPr>
        <w:t>nılı</w:t>
      </w:r>
      <w:r w:rsidRPr="00F50C10">
        <w:rPr>
          <w:rFonts w:cs="Times New Roman"/>
          <w:szCs w:val="24"/>
          <w:lang w:val="tr-TR"/>
        </w:rPr>
        <w:t>r.</w:t>
      </w:r>
      <w:r w:rsidR="00EC25A8" w:rsidRPr="00EC25A8">
        <w:rPr>
          <w:rFonts w:cs="Times New Roman"/>
          <w:szCs w:val="24"/>
          <w:lang w:val="tr-TR"/>
        </w:rPr>
        <w:t xml:space="preserve"> </w:t>
      </w:r>
      <w:r w:rsidR="00EC25A8" w:rsidRPr="005C5574">
        <w:rPr>
          <w:rFonts w:cs="Times New Roman"/>
          <w:szCs w:val="24"/>
          <w:lang w:val="tr-TR"/>
        </w:rPr>
        <w:t>(</w:t>
      </w:r>
      <w:r w:rsidR="00EC25A8" w:rsidRPr="009E5076">
        <w:rPr>
          <w:rFonts w:cs="Times New Roman"/>
          <w:szCs w:val="24"/>
          <w:lang w:val="tr-TR"/>
        </w:rPr>
        <w:t>Detaylı bilgi için Organik İnce Kimyasalların Üretimi İçin MET Referans Belgesinin 4.</w:t>
      </w:r>
      <w:r w:rsidR="00EC25A8">
        <w:rPr>
          <w:rFonts w:cs="Times New Roman"/>
          <w:szCs w:val="24"/>
          <w:lang w:val="tr-TR"/>
        </w:rPr>
        <w:t xml:space="preserve">3.5.3 kısmını </w:t>
      </w:r>
      <w:r w:rsidR="00EC25A8" w:rsidRPr="009E5076">
        <w:rPr>
          <w:rFonts w:cs="Times New Roman"/>
          <w:szCs w:val="24"/>
          <w:lang w:val="tr-TR"/>
        </w:rPr>
        <w:t>inceleyiniz</w:t>
      </w:r>
      <w:r w:rsidR="00EC25A8">
        <w:rPr>
          <w:rFonts w:cs="Times New Roman"/>
          <w:szCs w:val="24"/>
          <w:lang w:val="tr-TR"/>
        </w:rPr>
        <w:t>.)</w:t>
      </w:r>
    </w:p>
    <w:p w14:paraId="1129A04B" w14:textId="5A68FB63"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45: </w:t>
      </w:r>
      <w:r w:rsidRPr="00F50C10">
        <w:rPr>
          <w:rFonts w:cs="Times New Roman"/>
          <w:szCs w:val="24"/>
          <w:lang w:val="tr-TR"/>
        </w:rPr>
        <w:t>0,1 – 1 mg/m</w:t>
      </w:r>
      <w:r w:rsidRPr="00F50C10">
        <w:rPr>
          <w:rFonts w:cs="Times New Roman"/>
          <w:szCs w:val="24"/>
          <w:vertAlign w:val="superscript"/>
          <w:lang w:val="tr-TR"/>
        </w:rPr>
        <w:t>3</w:t>
      </w:r>
      <w:r w:rsidRPr="00F50C10">
        <w:rPr>
          <w:rFonts w:cs="Times New Roman"/>
          <w:szCs w:val="24"/>
          <w:lang w:val="tr-TR"/>
        </w:rPr>
        <w:t xml:space="preserve"> Cl</w:t>
      </w:r>
      <w:r w:rsidRPr="00F50C10">
        <w:rPr>
          <w:rFonts w:cs="Times New Roman"/>
          <w:szCs w:val="24"/>
          <w:vertAlign w:val="subscript"/>
          <w:lang w:val="tr-TR"/>
        </w:rPr>
        <w:t>2</w:t>
      </w:r>
      <w:r w:rsidRPr="00F50C10">
        <w:rPr>
          <w:rFonts w:cs="Times New Roman"/>
          <w:szCs w:val="24"/>
          <w:lang w:val="tr-TR"/>
        </w:rPr>
        <w:t xml:space="preserve"> emisyon seviyelerine ulaş</w:t>
      </w:r>
      <w:r w:rsidR="004E2FB9" w:rsidRPr="00F50C10">
        <w:rPr>
          <w:rFonts w:cs="Times New Roman"/>
          <w:szCs w:val="24"/>
          <w:lang w:val="tr-TR"/>
        </w:rPr>
        <w:t>ılır</w:t>
      </w:r>
      <w:r w:rsidRPr="00F50C10">
        <w:rPr>
          <w:rFonts w:cs="Times New Roman"/>
          <w:szCs w:val="24"/>
          <w:lang w:val="tr-TR"/>
        </w:rPr>
        <w:t xml:space="preserve"> ve bu amaçla gerektiğinde, aşırı klorun </w:t>
      </w:r>
      <w:r w:rsidR="00C67CEF" w:rsidRPr="00F50C10">
        <w:rPr>
          <w:rFonts w:cs="Times New Roman"/>
          <w:szCs w:val="24"/>
          <w:lang w:val="tr-TR"/>
        </w:rPr>
        <w:t>absorbe edilmesi</w:t>
      </w:r>
      <w:r w:rsidRPr="00F50C10">
        <w:rPr>
          <w:rFonts w:cs="Times New Roman"/>
          <w:szCs w:val="24"/>
          <w:lang w:val="tr-TR"/>
        </w:rPr>
        <w:t xml:space="preserve"> ve/veya NaHSO</w:t>
      </w:r>
      <w:r w:rsidRPr="00F50C10">
        <w:rPr>
          <w:rFonts w:cs="Times New Roman"/>
          <w:szCs w:val="24"/>
          <w:vertAlign w:val="subscript"/>
          <w:lang w:val="tr-TR"/>
        </w:rPr>
        <w:t>3</w:t>
      </w:r>
      <w:r w:rsidRPr="00F50C10">
        <w:rPr>
          <w:rFonts w:cs="Times New Roman"/>
          <w:szCs w:val="24"/>
          <w:lang w:val="tr-TR"/>
        </w:rPr>
        <w:t xml:space="preserve"> gibi bir yıkama ortamı ile yıkama gibi teknikler uygula</w:t>
      </w:r>
      <w:r w:rsidR="004E2FB9" w:rsidRPr="00F50C10">
        <w:rPr>
          <w:rFonts w:cs="Times New Roman"/>
          <w:szCs w:val="24"/>
          <w:lang w:val="tr-TR"/>
        </w:rPr>
        <w:t>nır.</w:t>
      </w:r>
      <w:r w:rsidR="00EC25A8" w:rsidRPr="00EC25A8">
        <w:rPr>
          <w:rFonts w:cs="Times New Roman"/>
          <w:szCs w:val="24"/>
          <w:lang w:val="tr-TR"/>
        </w:rPr>
        <w:t xml:space="preserve"> </w:t>
      </w:r>
      <w:r w:rsidR="00EC25A8" w:rsidRPr="005C5574">
        <w:rPr>
          <w:rFonts w:cs="Times New Roman"/>
          <w:szCs w:val="24"/>
          <w:lang w:val="tr-TR"/>
        </w:rPr>
        <w:t>(</w:t>
      </w:r>
      <w:r w:rsidR="00EC25A8" w:rsidRPr="009E5076">
        <w:rPr>
          <w:rFonts w:cs="Times New Roman"/>
          <w:szCs w:val="24"/>
          <w:lang w:val="tr-TR"/>
        </w:rPr>
        <w:t>Detaylı bilgi için Organik İnce Kimyasalların Üretimi İçin MET Referans Belgesinin 4.</w:t>
      </w:r>
      <w:r w:rsidR="00EC25A8">
        <w:rPr>
          <w:rFonts w:cs="Times New Roman"/>
          <w:szCs w:val="24"/>
          <w:lang w:val="tr-TR"/>
        </w:rPr>
        <w:t xml:space="preserve">3.5.3 kısmını </w:t>
      </w:r>
      <w:r w:rsidR="00EC25A8" w:rsidRPr="009E5076">
        <w:rPr>
          <w:rFonts w:cs="Times New Roman"/>
          <w:szCs w:val="24"/>
          <w:lang w:val="tr-TR"/>
        </w:rPr>
        <w:t>inceleyiniz</w:t>
      </w:r>
      <w:r w:rsidR="00EC25A8">
        <w:rPr>
          <w:rFonts w:cs="Times New Roman"/>
          <w:szCs w:val="24"/>
          <w:lang w:val="tr-TR"/>
        </w:rPr>
        <w:t>.)</w:t>
      </w:r>
    </w:p>
    <w:p w14:paraId="04F72302" w14:textId="5DD764E6"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46: </w:t>
      </w:r>
      <w:r w:rsidRPr="00F50C10">
        <w:rPr>
          <w:rFonts w:cs="Times New Roman"/>
          <w:szCs w:val="24"/>
          <w:lang w:val="tr-TR"/>
        </w:rPr>
        <w:t>&lt;1 mg/m</w:t>
      </w:r>
      <w:r w:rsidRPr="00F50C10">
        <w:rPr>
          <w:rFonts w:cs="Times New Roman"/>
          <w:szCs w:val="24"/>
          <w:vertAlign w:val="superscript"/>
          <w:lang w:val="tr-TR"/>
        </w:rPr>
        <w:t>3</w:t>
      </w:r>
      <w:r w:rsidRPr="00F50C10">
        <w:rPr>
          <w:rFonts w:cs="Times New Roman"/>
          <w:szCs w:val="24"/>
          <w:lang w:val="tr-TR"/>
        </w:rPr>
        <w:t xml:space="preserve"> HBr emisyon seviyelerine ulaş</w:t>
      </w:r>
      <w:r w:rsidR="004E2FB9" w:rsidRPr="00F50C10">
        <w:rPr>
          <w:rFonts w:cs="Times New Roman"/>
          <w:szCs w:val="24"/>
          <w:lang w:val="tr-TR"/>
        </w:rPr>
        <w:t>ılır</w:t>
      </w:r>
      <w:r w:rsidRPr="00F50C10">
        <w:rPr>
          <w:rFonts w:cs="Times New Roman"/>
          <w:szCs w:val="24"/>
          <w:lang w:val="tr-TR"/>
        </w:rPr>
        <w:t xml:space="preserve"> ve bu amaçla gerektiğinde, H</w:t>
      </w:r>
      <w:r w:rsidRPr="00F50C10">
        <w:rPr>
          <w:rFonts w:cs="Times New Roman"/>
          <w:szCs w:val="24"/>
          <w:vertAlign w:val="subscript"/>
          <w:lang w:val="tr-TR"/>
        </w:rPr>
        <w:t>2</w:t>
      </w:r>
      <w:r w:rsidRPr="00F50C10">
        <w:rPr>
          <w:rFonts w:cs="Times New Roman"/>
          <w:szCs w:val="24"/>
          <w:lang w:val="tr-TR"/>
        </w:rPr>
        <w:t>O veya NaOH gibi yıkama ortamları ile yıkama uygula</w:t>
      </w:r>
      <w:r w:rsidR="004E2FB9" w:rsidRPr="00F50C10">
        <w:rPr>
          <w:rFonts w:cs="Times New Roman"/>
          <w:szCs w:val="24"/>
          <w:lang w:val="tr-TR"/>
        </w:rPr>
        <w:t>nır</w:t>
      </w:r>
      <w:r w:rsidRPr="00F50C10">
        <w:rPr>
          <w:rFonts w:cs="Times New Roman"/>
          <w:szCs w:val="24"/>
          <w:lang w:val="tr-TR"/>
        </w:rPr>
        <w:t>.</w:t>
      </w:r>
      <w:r w:rsidR="00EC25A8" w:rsidRPr="00EC25A8">
        <w:rPr>
          <w:rFonts w:cs="Times New Roman"/>
          <w:szCs w:val="24"/>
          <w:lang w:val="tr-TR"/>
        </w:rPr>
        <w:t xml:space="preserve"> </w:t>
      </w:r>
      <w:r w:rsidR="00EC25A8" w:rsidRPr="005C5574">
        <w:rPr>
          <w:rFonts w:cs="Times New Roman"/>
          <w:szCs w:val="24"/>
          <w:lang w:val="tr-TR"/>
        </w:rPr>
        <w:t>(</w:t>
      </w:r>
      <w:r w:rsidR="00EC25A8" w:rsidRPr="009E5076">
        <w:rPr>
          <w:rFonts w:cs="Times New Roman"/>
          <w:szCs w:val="24"/>
          <w:lang w:val="tr-TR"/>
        </w:rPr>
        <w:t xml:space="preserve">Detaylı bilgi için Organik İnce Kimyasalların Üretimi İçin MET Referans Belgesinin </w:t>
      </w:r>
      <w:r w:rsidR="00EC25A8">
        <w:rPr>
          <w:rFonts w:cs="Times New Roman"/>
          <w:szCs w:val="24"/>
          <w:lang w:val="tr-TR"/>
        </w:rPr>
        <w:t xml:space="preserve">1.1.1 ve </w:t>
      </w:r>
      <w:r w:rsidR="00EC25A8" w:rsidRPr="009E5076">
        <w:rPr>
          <w:rFonts w:cs="Times New Roman"/>
          <w:szCs w:val="24"/>
          <w:lang w:val="tr-TR"/>
        </w:rPr>
        <w:t>4.</w:t>
      </w:r>
      <w:r w:rsidR="00EC25A8">
        <w:rPr>
          <w:rFonts w:cs="Times New Roman"/>
          <w:szCs w:val="24"/>
          <w:lang w:val="tr-TR"/>
        </w:rPr>
        <w:t xml:space="preserve">3.5.4 kısmını </w:t>
      </w:r>
      <w:r w:rsidR="00EC25A8" w:rsidRPr="009E5076">
        <w:rPr>
          <w:rFonts w:cs="Times New Roman"/>
          <w:szCs w:val="24"/>
          <w:lang w:val="tr-TR"/>
        </w:rPr>
        <w:t>inceleyiniz</w:t>
      </w:r>
      <w:r w:rsidR="00EC25A8">
        <w:rPr>
          <w:rFonts w:cs="Times New Roman"/>
          <w:szCs w:val="24"/>
          <w:lang w:val="tr-TR"/>
        </w:rPr>
        <w:t>.)</w:t>
      </w:r>
    </w:p>
    <w:p w14:paraId="1806BB53" w14:textId="7C1FF43E"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HCl, H</w:t>
      </w:r>
      <w:r w:rsidRPr="00F50C10">
        <w:rPr>
          <w:rFonts w:cs="Times New Roman"/>
          <w:szCs w:val="24"/>
          <w:vertAlign w:val="subscript"/>
          <w:lang w:val="tr-TR"/>
        </w:rPr>
        <w:t>2</w:t>
      </w:r>
      <w:r w:rsidRPr="00F50C10">
        <w:rPr>
          <w:rFonts w:cs="Times New Roman"/>
          <w:szCs w:val="24"/>
          <w:lang w:val="tr-TR"/>
        </w:rPr>
        <w:t xml:space="preserve">O veya NaOH gibi yıkama ortamları kullanılarak bir veya daha fazla yıkayıcı ile </w:t>
      </w:r>
      <w:r w:rsidR="00144C76" w:rsidRPr="00F50C10">
        <w:rPr>
          <w:rFonts w:cs="Times New Roman"/>
          <w:szCs w:val="24"/>
          <w:lang w:val="tr-TR"/>
        </w:rPr>
        <w:t>çıkış</w:t>
      </w:r>
      <w:r w:rsidRPr="00F50C10">
        <w:rPr>
          <w:rFonts w:cs="Times New Roman"/>
          <w:szCs w:val="24"/>
          <w:lang w:val="tr-TR"/>
        </w:rPr>
        <w:t xml:space="preserve"> gazlarından uzaklaştırılır. Üretim miktarı gerekli ekipmanlar için yapılacak yatırım maliyetlerini karşılayacak kadar yüksekse, yüksek HCl konsantrasyonlarına sahip </w:t>
      </w:r>
      <w:r w:rsidR="00144C76" w:rsidRPr="00F50C10">
        <w:rPr>
          <w:rFonts w:cs="Times New Roman"/>
          <w:szCs w:val="24"/>
          <w:lang w:val="tr-TR"/>
        </w:rPr>
        <w:t>çıkış</w:t>
      </w:r>
      <w:r w:rsidRPr="00F50C10">
        <w:rPr>
          <w:rFonts w:cs="Times New Roman"/>
          <w:szCs w:val="24"/>
          <w:lang w:val="tr-TR"/>
        </w:rPr>
        <w:t xml:space="preserve"> gazlarından HCl verimli bir şekilde geri kazanılabilir. Bu, üretim hatlarının daha büyük miktarda bir ürüne veya bir dizi benzer ürüne tahsis edildiği durumlarda beklenebilir. HCl geri kazanımından önce UOB uzaklaştırma işleminin yapılmadığı durumlarda, geri kazanılan HCl'de organik kirleticilerin (AOX) olabileceği dikkate alınmalıdır. Benzer şekilde Cl</w:t>
      </w:r>
      <w:r w:rsidRPr="00F50C10">
        <w:rPr>
          <w:rFonts w:cs="Times New Roman"/>
          <w:szCs w:val="24"/>
          <w:vertAlign w:val="subscript"/>
          <w:lang w:val="tr-TR"/>
        </w:rPr>
        <w:t>2</w:t>
      </w:r>
      <w:r w:rsidRPr="00F50C10">
        <w:rPr>
          <w:rFonts w:cs="Times New Roman"/>
          <w:szCs w:val="24"/>
          <w:lang w:val="tr-TR"/>
        </w:rPr>
        <w:t xml:space="preserve">, </w:t>
      </w:r>
      <w:r w:rsidR="00144C76" w:rsidRPr="00F50C10">
        <w:rPr>
          <w:rFonts w:cs="Times New Roman"/>
          <w:szCs w:val="24"/>
          <w:lang w:val="tr-TR"/>
        </w:rPr>
        <w:t>çıkış</w:t>
      </w:r>
      <w:r w:rsidRPr="00F50C10">
        <w:rPr>
          <w:rFonts w:cs="Times New Roman"/>
          <w:szCs w:val="24"/>
          <w:lang w:val="tr-TR"/>
        </w:rPr>
        <w:t xml:space="preserve"> gazında mevcutsa ek önlemler gerektirir. HBr ve Br</w:t>
      </w:r>
      <w:r w:rsidRPr="00F50C10">
        <w:rPr>
          <w:rFonts w:cs="Times New Roman"/>
          <w:szCs w:val="24"/>
          <w:vertAlign w:val="subscript"/>
          <w:lang w:val="tr-TR"/>
        </w:rPr>
        <w:t>2</w:t>
      </w:r>
      <w:r w:rsidRPr="00F50C10">
        <w:rPr>
          <w:rFonts w:cs="Times New Roman"/>
          <w:szCs w:val="24"/>
          <w:lang w:val="tr-TR"/>
        </w:rPr>
        <w:t xml:space="preserve">, benzer koşullar </w:t>
      </w:r>
      <w:r w:rsidR="00144C76" w:rsidRPr="00F50C10">
        <w:rPr>
          <w:rFonts w:cs="Times New Roman"/>
          <w:szCs w:val="24"/>
          <w:lang w:val="tr-TR"/>
        </w:rPr>
        <w:t>çıkış</w:t>
      </w:r>
      <w:r w:rsidRPr="00F50C10">
        <w:rPr>
          <w:rFonts w:cs="Times New Roman"/>
          <w:szCs w:val="24"/>
          <w:lang w:val="tr-TR"/>
        </w:rPr>
        <w:t xml:space="preserve"> egzoz gazlarından geri kazanılır/uzaklaştırılır.</w:t>
      </w:r>
    </w:p>
    <w:p w14:paraId="554D3073" w14:textId="77777777" w:rsidR="00496ADC" w:rsidRPr="00F50C10" w:rsidRDefault="00496ADC"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bookmarkStart w:id="188" w:name="_Toc135050230"/>
      <w:bookmarkStart w:id="189" w:name="_Toc135142008"/>
      <w:bookmarkStart w:id="190" w:name="_Toc135142085"/>
      <w:bookmarkStart w:id="191" w:name="_Toc135229445"/>
      <w:r w:rsidRPr="00F50C10">
        <w:rPr>
          <w:rFonts w:eastAsia="Times New Roman" w:cs="Times New Roman"/>
          <w:b/>
          <w:bCs/>
          <w:szCs w:val="24"/>
          <w:lang w:val="tr-TR"/>
        </w:rPr>
        <w:t>NH</w:t>
      </w:r>
      <w:r w:rsidRPr="00F50C10">
        <w:rPr>
          <w:rFonts w:eastAsia="Times New Roman" w:cs="Times New Roman"/>
          <w:b/>
          <w:bCs/>
          <w:szCs w:val="24"/>
          <w:vertAlign w:val="subscript"/>
          <w:lang w:val="tr-TR"/>
        </w:rPr>
        <w:t>3</w:t>
      </w:r>
      <w:r w:rsidRPr="00F50C10">
        <w:rPr>
          <w:rFonts w:eastAsia="Times New Roman" w:cs="Times New Roman"/>
          <w:b/>
          <w:bCs/>
          <w:szCs w:val="24"/>
          <w:lang w:val="tr-TR"/>
        </w:rPr>
        <w:t xml:space="preserve"> emisyon seviyeleri</w:t>
      </w:r>
      <w:bookmarkEnd w:id="188"/>
      <w:bookmarkEnd w:id="189"/>
      <w:bookmarkEnd w:id="190"/>
      <w:bookmarkEnd w:id="191"/>
    </w:p>
    <w:p w14:paraId="0D4888B1" w14:textId="65494681"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47: </w:t>
      </w:r>
      <w:r w:rsidRPr="00F50C10">
        <w:rPr>
          <w:rFonts w:cs="Times New Roman"/>
          <w:szCs w:val="24"/>
          <w:lang w:val="tr-TR"/>
        </w:rPr>
        <w:t>0,1 – 10 mg/m</w:t>
      </w:r>
      <w:r w:rsidRPr="00F50C10">
        <w:rPr>
          <w:rFonts w:cs="Times New Roman"/>
          <w:szCs w:val="24"/>
          <w:vertAlign w:val="superscript"/>
          <w:lang w:val="tr-TR"/>
        </w:rPr>
        <w:t>3</w:t>
      </w:r>
      <w:r w:rsidRPr="00F50C10">
        <w:rPr>
          <w:rFonts w:cs="Times New Roman"/>
          <w:szCs w:val="24"/>
          <w:lang w:val="tr-TR"/>
        </w:rPr>
        <w:t xml:space="preserve"> veya 0,001 – 0,1 kg/saat NH</w:t>
      </w:r>
      <w:r w:rsidRPr="00F50C10">
        <w:rPr>
          <w:rFonts w:cs="Times New Roman"/>
          <w:szCs w:val="24"/>
          <w:vertAlign w:val="subscript"/>
          <w:lang w:val="tr-TR"/>
        </w:rPr>
        <w:t>3</w:t>
      </w:r>
      <w:r w:rsidRPr="00F50C10">
        <w:rPr>
          <w:rFonts w:cs="Times New Roman"/>
          <w:szCs w:val="24"/>
          <w:lang w:val="tr-TR"/>
        </w:rPr>
        <w:t xml:space="preserve"> emisyon seviyelerine ulaş</w:t>
      </w:r>
      <w:r w:rsidR="004E2FB9" w:rsidRPr="00F50C10">
        <w:rPr>
          <w:rFonts w:cs="Times New Roman"/>
          <w:szCs w:val="24"/>
          <w:lang w:val="tr-TR"/>
        </w:rPr>
        <w:t>ılır</w:t>
      </w:r>
      <w:r w:rsidRPr="00F50C10">
        <w:rPr>
          <w:rFonts w:cs="Times New Roman"/>
          <w:szCs w:val="24"/>
          <w:lang w:val="tr-TR"/>
        </w:rPr>
        <w:t xml:space="preserve"> ve bu amaçla gerektiğinde, H</w:t>
      </w:r>
      <w:r w:rsidRPr="00F50C10">
        <w:rPr>
          <w:rFonts w:cs="Times New Roman"/>
          <w:szCs w:val="24"/>
          <w:vertAlign w:val="subscript"/>
          <w:lang w:val="tr-TR"/>
        </w:rPr>
        <w:t>2</w:t>
      </w:r>
      <w:r w:rsidRPr="00F50C10">
        <w:rPr>
          <w:rFonts w:cs="Times New Roman"/>
          <w:szCs w:val="24"/>
          <w:lang w:val="tr-TR"/>
        </w:rPr>
        <w:t>O veya asit gibi yıkama ortamları ile yıkama uygula</w:t>
      </w:r>
      <w:r w:rsidR="004E2FB9" w:rsidRPr="00F50C10">
        <w:rPr>
          <w:rFonts w:cs="Times New Roman"/>
          <w:szCs w:val="24"/>
          <w:lang w:val="tr-TR"/>
        </w:rPr>
        <w:t>n</w:t>
      </w:r>
      <w:r w:rsidRPr="00F50C10">
        <w:rPr>
          <w:rFonts w:cs="Times New Roman"/>
          <w:szCs w:val="24"/>
          <w:lang w:val="tr-TR"/>
        </w:rPr>
        <w:t>ır.</w:t>
      </w:r>
      <w:r w:rsidR="00D46C97" w:rsidRPr="00D46C97">
        <w:rPr>
          <w:rFonts w:cs="Times New Roman"/>
          <w:szCs w:val="24"/>
          <w:lang w:val="tr-TR"/>
        </w:rPr>
        <w:t xml:space="preserve"> </w:t>
      </w:r>
      <w:r w:rsidR="00D46C97" w:rsidRPr="005C5574">
        <w:rPr>
          <w:rFonts w:cs="Times New Roman"/>
          <w:szCs w:val="24"/>
          <w:lang w:val="tr-TR"/>
        </w:rPr>
        <w:t>(</w:t>
      </w:r>
      <w:r w:rsidR="00D46C97" w:rsidRPr="009E5076">
        <w:rPr>
          <w:rFonts w:cs="Times New Roman"/>
          <w:szCs w:val="24"/>
          <w:lang w:val="tr-TR"/>
        </w:rPr>
        <w:t>Detaylı bilgi için Organik İnce Kimyasalların Üretimi İçin MET Referans Belgesinin 4.</w:t>
      </w:r>
      <w:r w:rsidR="00D46C97">
        <w:rPr>
          <w:rFonts w:cs="Times New Roman"/>
          <w:szCs w:val="24"/>
          <w:lang w:val="tr-TR"/>
        </w:rPr>
        <w:t xml:space="preserve">3.5.20 kısmını </w:t>
      </w:r>
      <w:r w:rsidR="00D46C97" w:rsidRPr="009E5076">
        <w:rPr>
          <w:rFonts w:cs="Times New Roman"/>
          <w:szCs w:val="24"/>
          <w:lang w:val="tr-TR"/>
        </w:rPr>
        <w:t>inceleyiniz</w:t>
      </w:r>
      <w:r w:rsidR="00D46C97">
        <w:rPr>
          <w:rFonts w:cs="Times New Roman"/>
          <w:szCs w:val="24"/>
          <w:lang w:val="tr-TR"/>
        </w:rPr>
        <w:t>.)</w:t>
      </w:r>
    </w:p>
    <w:p w14:paraId="32B0AAC5" w14:textId="09386CD1"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48: </w:t>
      </w:r>
      <w:r w:rsidRPr="00F50C10">
        <w:rPr>
          <w:rFonts w:cs="Times New Roman"/>
          <w:szCs w:val="24"/>
          <w:lang w:val="tr-TR"/>
        </w:rPr>
        <w:t>SCR veya SNCR'den &lt;2 mg/m</w:t>
      </w:r>
      <w:r w:rsidRPr="00F50C10">
        <w:rPr>
          <w:rFonts w:cs="Times New Roman"/>
          <w:szCs w:val="24"/>
          <w:vertAlign w:val="superscript"/>
          <w:lang w:val="tr-TR"/>
        </w:rPr>
        <w:t>3</w:t>
      </w:r>
      <w:r w:rsidRPr="00F50C10">
        <w:rPr>
          <w:rFonts w:cs="Times New Roman"/>
          <w:szCs w:val="24"/>
          <w:lang w:val="tr-TR"/>
        </w:rPr>
        <w:t xml:space="preserve"> veya &lt;0,02 kg/saat NH</w:t>
      </w:r>
      <w:r w:rsidRPr="00F50C10">
        <w:rPr>
          <w:rFonts w:cs="Times New Roman"/>
          <w:szCs w:val="24"/>
          <w:vertAlign w:val="subscript"/>
          <w:lang w:val="tr-TR"/>
        </w:rPr>
        <w:t>3</w:t>
      </w:r>
      <w:r w:rsidRPr="00F50C10">
        <w:rPr>
          <w:rFonts w:cs="Times New Roman"/>
          <w:szCs w:val="24"/>
          <w:lang w:val="tr-TR"/>
        </w:rPr>
        <w:t xml:space="preserve"> </w:t>
      </w:r>
      <w:r w:rsidR="008C0A4E" w:rsidRPr="00F50C10">
        <w:rPr>
          <w:rFonts w:cs="Times New Roman"/>
          <w:szCs w:val="24"/>
          <w:lang w:val="tr-TR"/>
        </w:rPr>
        <w:t xml:space="preserve">kayma </w:t>
      </w:r>
      <w:r w:rsidRPr="00F50C10">
        <w:rPr>
          <w:rFonts w:cs="Times New Roman"/>
          <w:szCs w:val="24"/>
          <w:lang w:val="tr-TR"/>
        </w:rPr>
        <w:t>seviyeleri elde e</w:t>
      </w:r>
      <w:r w:rsidR="004E2FB9" w:rsidRPr="00F50C10">
        <w:rPr>
          <w:rFonts w:cs="Times New Roman"/>
          <w:szCs w:val="24"/>
          <w:lang w:val="tr-TR"/>
        </w:rPr>
        <w:t>dil</w:t>
      </w:r>
      <w:r w:rsidRPr="00F50C10">
        <w:rPr>
          <w:rFonts w:cs="Times New Roman"/>
          <w:szCs w:val="24"/>
          <w:lang w:val="tr-TR"/>
        </w:rPr>
        <w:t>ir</w:t>
      </w:r>
      <w:bookmarkStart w:id="192" w:name="_Toc135050231"/>
      <w:bookmarkStart w:id="193" w:name="_Toc135142009"/>
      <w:bookmarkStart w:id="194" w:name="_Toc135142086"/>
      <w:bookmarkStart w:id="195" w:name="_Toc135229446"/>
      <w:r w:rsidRPr="00F50C10">
        <w:rPr>
          <w:rFonts w:cs="Times New Roman"/>
          <w:szCs w:val="24"/>
          <w:lang w:val="tr-TR"/>
        </w:rPr>
        <w:t>.</w:t>
      </w:r>
      <w:r w:rsidR="00D46C97" w:rsidRPr="00D46C97">
        <w:rPr>
          <w:rFonts w:cs="Times New Roman"/>
          <w:szCs w:val="24"/>
          <w:lang w:val="tr-TR"/>
        </w:rPr>
        <w:t xml:space="preserve"> </w:t>
      </w:r>
      <w:r w:rsidR="00D46C97" w:rsidRPr="005C5574">
        <w:rPr>
          <w:rFonts w:cs="Times New Roman"/>
          <w:szCs w:val="24"/>
          <w:lang w:val="tr-TR"/>
        </w:rPr>
        <w:t>(</w:t>
      </w:r>
      <w:r w:rsidR="00D46C97" w:rsidRPr="009E5076">
        <w:rPr>
          <w:rFonts w:cs="Times New Roman"/>
          <w:szCs w:val="24"/>
          <w:lang w:val="tr-TR"/>
        </w:rPr>
        <w:t>Detaylı bilgi için Organik İnce Kimyasalların Üretimi İçin MET Referans Belgesinin 4.</w:t>
      </w:r>
      <w:r w:rsidR="00D46C97">
        <w:rPr>
          <w:rFonts w:cs="Times New Roman"/>
          <w:szCs w:val="24"/>
          <w:lang w:val="tr-TR"/>
        </w:rPr>
        <w:t xml:space="preserve">3.5.7 kısmını </w:t>
      </w:r>
      <w:r w:rsidR="00D46C97" w:rsidRPr="009E5076">
        <w:rPr>
          <w:rFonts w:cs="Times New Roman"/>
          <w:szCs w:val="24"/>
          <w:lang w:val="tr-TR"/>
        </w:rPr>
        <w:t>inceleyiniz</w:t>
      </w:r>
      <w:r w:rsidR="00D46C97">
        <w:rPr>
          <w:rFonts w:cs="Times New Roman"/>
          <w:szCs w:val="24"/>
          <w:lang w:val="tr-TR"/>
        </w:rPr>
        <w:t>.)</w:t>
      </w:r>
    </w:p>
    <w:p w14:paraId="3E941172" w14:textId="5C842226" w:rsidR="00496ADC" w:rsidRPr="00F50C10" w:rsidRDefault="00144C76"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r w:rsidRPr="00F50C10">
        <w:rPr>
          <w:rFonts w:eastAsia="Times New Roman" w:cs="Times New Roman"/>
          <w:b/>
          <w:bCs/>
          <w:szCs w:val="24"/>
          <w:lang w:val="tr-TR"/>
        </w:rPr>
        <w:t>Çıkış</w:t>
      </w:r>
      <w:r w:rsidR="00496ADC" w:rsidRPr="00F50C10">
        <w:rPr>
          <w:rFonts w:eastAsia="Times New Roman" w:cs="Times New Roman"/>
          <w:b/>
          <w:bCs/>
          <w:szCs w:val="24"/>
          <w:lang w:val="tr-TR"/>
        </w:rPr>
        <w:t xml:space="preserve"> gazlarından SO</w:t>
      </w:r>
      <w:r w:rsidR="00496ADC" w:rsidRPr="00F50C10">
        <w:rPr>
          <w:rFonts w:eastAsia="Times New Roman" w:cs="Times New Roman"/>
          <w:b/>
          <w:bCs/>
          <w:szCs w:val="24"/>
          <w:vertAlign w:val="subscript"/>
          <w:lang w:val="tr-TR"/>
        </w:rPr>
        <w:t>x</w:t>
      </w:r>
      <w:r w:rsidR="00496ADC" w:rsidRPr="00F50C10">
        <w:rPr>
          <w:rFonts w:eastAsia="Times New Roman" w:cs="Times New Roman"/>
          <w:b/>
          <w:bCs/>
          <w:szCs w:val="24"/>
          <w:lang w:val="tr-TR"/>
        </w:rPr>
        <w:t>’in uzaklaştırılması</w:t>
      </w:r>
      <w:bookmarkEnd w:id="192"/>
      <w:bookmarkEnd w:id="193"/>
      <w:bookmarkEnd w:id="194"/>
      <w:bookmarkEnd w:id="195"/>
    </w:p>
    <w:p w14:paraId="516E2000" w14:textId="4CEEF8C6" w:rsidR="00496ADC" w:rsidRPr="00F50C10" w:rsidRDefault="00496ADC" w:rsidP="000B206D">
      <w:pPr>
        <w:spacing w:before="120" w:after="60" w:line="276" w:lineRule="auto"/>
        <w:rPr>
          <w:rFonts w:cs="Times New Roman"/>
          <w:szCs w:val="24"/>
          <w:lang w:val="tr-TR"/>
        </w:rPr>
      </w:pPr>
      <w:r w:rsidRPr="00F50C10">
        <w:rPr>
          <w:rFonts w:cs="Times New Roman"/>
          <w:b/>
          <w:bCs/>
          <w:szCs w:val="24"/>
          <w:lang w:val="tr-TR"/>
        </w:rPr>
        <w:t xml:space="preserve">MET 49: </w:t>
      </w:r>
      <w:r w:rsidRPr="00F50C10">
        <w:rPr>
          <w:rFonts w:cs="Times New Roman"/>
          <w:szCs w:val="24"/>
          <w:lang w:val="tr-TR"/>
        </w:rPr>
        <w:t>1 – 15 mg/m</w:t>
      </w:r>
      <w:r w:rsidRPr="00F50C10">
        <w:rPr>
          <w:rFonts w:cs="Times New Roman"/>
          <w:szCs w:val="24"/>
          <w:vertAlign w:val="superscript"/>
          <w:lang w:val="tr-TR"/>
        </w:rPr>
        <w:t>3</w:t>
      </w:r>
      <w:r w:rsidRPr="00F50C10">
        <w:rPr>
          <w:rFonts w:cs="Times New Roman"/>
          <w:szCs w:val="24"/>
          <w:lang w:val="tr-TR"/>
        </w:rPr>
        <w:t xml:space="preserve"> veya 0,001 – 0,1 kg/saat SO</w:t>
      </w:r>
      <w:r w:rsidRPr="00F50C10">
        <w:rPr>
          <w:rFonts w:cs="Times New Roman"/>
          <w:szCs w:val="24"/>
          <w:vertAlign w:val="subscript"/>
          <w:lang w:val="tr-TR"/>
        </w:rPr>
        <w:t>x</w:t>
      </w:r>
      <w:r w:rsidRPr="00F50C10">
        <w:rPr>
          <w:rFonts w:cs="Times New Roman"/>
          <w:szCs w:val="24"/>
          <w:lang w:val="tr-TR"/>
        </w:rPr>
        <w:t xml:space="preserve"> emisyon seviyelerine ulaş</w:t>
      </w:r>
      <w:r w:rsidR="004E2FB9" w:rsidRPr="00F50C10">
        <w:rPr>
          <w:rFonts w:cs="Times New Roman"/>
          <w:szCs w:val="24"/>
          <w:lang w:val="tr-TR"/>
        </w:rPr>
        <w:t>ılır</w:t>
      </w:r>
      <w:r w:rsidRPr="00F50C10">
        <w:rPr>
          <w:rFonts w:cs="Times New Roman"/>
          <w:szCs w:val="24"/>
          <w:lang w:val="tr-TR"/>
        </w:rPr>
        <w:t xml:space="preserve"> ve bu amaçla gerektiğinde, H</w:t>
      </w:r>
      <w:r w:rsidRPr="00F50C10">
        <w:rPr>
          <w:rFonts w:cs="Times New Roman"/>
          <w:szCs w:val="24"/>
          <w:vertAlign w:val="subscript"/>
          <w:lang w:val="tr-TR"/>
        </w:rPr>
        <w:t>2</w:t>
      </w:r>
      <w:r w:rsidRPr="00F50C10">
        <w:rPr>
          <w:rFonts w:cs="Times New Roman"/>
          <w:szCs w:val="24"/>
          <w:lang w:val="tr-TR"/>
        </w:rPr>
        <w:t>O veya NaOH gibi bir yıkama ortamı ile yıkama uygula</w:t>
      </w:r>
      <w:r w:rsidR="004E2FB9" w:rsidRPr="00F50C10">
        <w:rPr>
          <w:rFonts w:cs="Times New Roman"/>
          <w:szCs w:val="24"/>
          <w:lang w:val="tr-TR"/>
        </w:rPr>
        <w:t>nı</w:t>
      </w:r>
      <w:r w:rsidRPr="00F50C10">
        <w:rPr>
          <w:rFonts w:cs="Times New Roman"/>
          <w:szCs w:val="24"/>
          <w:lang w:val="tr-TR"/>
        </w:rPr>
        <w:t>r.</w:t>
      </w:r>
      <w:r w:rsidR="003D5AD0" w:rsidRPr="003D5AD0">
        <w:rPr>
          <w:rFonts w:cs="Times New Roman"/>
          <w:szCs w:val="24"/>
          <w:lang w:val="tr-TR"/>
        </w:rPr>
        <w:t xml:space="preserve"> </w:t>
      </w:r>
      <w:r w:rsidR="003D5AD0" w:rsidRPr="005C5574">
        <w:rPr>
          <w:rFonts w:cs="Times New Roman"/>
          <w:szCs w:val="24"/>
          <w:lang w:val="tr-TR"/>
        </w:rPr>
        <w:t>(</w:t>
      </w:r>
      <w:r w:rsidR="003D5AD0" w:rsidRPr="009E5076">
        <w:rPr>
          <w:rFonts w:cs="Times New Roman"/>
          <w:szCs w:val="24"/>
          <w:lang w:val="tr-TR"/>
        </w:rPr>
        <w:t>Detaylı bilgi için Organik İnce Kimyasalların Üretimi İçin MET Referans Belgesinin 4.</w:t>
      </w:r>
      <w:r w:rsidR="003D5AD0">
        <w:rPr>
          <w:rFonts w:cs="Times New Roman"/>
          <w:szCs w:val="24"/>
          <w:lang w:val="tr-TR"/>
        </w:rPr>
        <w:t xml:space="preserve">3.5.21 kısmını </w:t>
      </w:r>
      <w:r w:rsidR="003D5AD0" w:rsidRPr="009E5076">
        <w:rPr>
          <w:rFonts w:cs="Times New Roman"/>
          <w:szCs w:val="24"/>
          <w:lang w:val="tr-TR"/>
        </w:rPr>
        <w:t>inceleyiniz</w:t>
      </w:r>
      <w:r w:rsidR="003D5AD0">
        <w:rPr>
          <w:rFonts w:cs="Times New Roman"/>
          <w:szCs w:val="24"/>
          <w:lang w:val="tr-TR"/>
        </w:rPr>
        <w:t>.)</w:t>
      </w:r>
    </w:p>
    <w:p w14:paraId="08CE74D3" w14:textId="671591D3" w:rsidR="00496ADC" w:rsidRPr="00F50C10" w:rsidRDefault="00144C76"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bookmarkStart w:id="196" w:name="_Toc135050232"/>
      <w:bookmarkStart w:id="197" w:name="_Toc135142010"/>
      <w:bookmarkStart w:id="198" w:name="_Toc135142087"/>
      <w:bookmarkStart w:id="199" w:name="_Toc135229447"/>
      <w:r w:rsidRPr="00F50C10">
        <w:rPr>
          <w:rFonts w:eastAsia="Times New Roman" w:cs="Times New Roman"/>
          <w:b/>
          <w:bCs/>
          <w:szCs w:val="24"/>
          <w:lang w:val="tr-TR"/>
        </w:rPr>
        <w:t>Çıkış</w:t>
      </w:r>
      <w:r w:rsidR="00496ADC" w:rsidRPr="00F50C10">
        <w:rPr>
          <w:rFonts w:eastAsia="Times New Roman" w:cs="Times New Roman"/>
          <w:b/>
          <w:bCs/>
          <w:szCs w:val="24"/>
          <w:lang w:val="tr-TR"/>
        </w:rPr>
        <w:t xml:space="preserve"> gazlarından partiküllerin uzaklaştırılması</w:t>
      </w:r>
      <w:bookmarkEnd w:id="196"/>
      <w:bookmarkEnd w:id="197"/>
      <w:bookmarkEnd w:id="198"/>
      <w:bookmarkEnd w:id="199"/>
    </w:p>
    <w:p w14:paraId="73646770" w14:textId="07DE0F76"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50: </w:t>
      </w:r>
      <w:r w:rsidRPr="00F50C10">
        <w:rPr>
          <w:rFonts w:cs="Times New Roman"/>
          <w:szCs w:val="24"/>
          <w:lang w:val="tr-TR"/>
        </w:rPr>
        <w:t>0,05 – 5 mg/m</w:t>
      </w:r>
      <w:r w:rsidRPr="00F50C10">
        <w:rPr>
          <w:rFonts w:cs="Times New Roman"/>
          <w:szCs w:val="24"/>
          <w:vertAlign w:val="superscript"/>
          <w:lang w:val="tr-TR"/>
        </w:rPr>
        <w:t>3</w:t>
      </w:r>
      <w:r w:rsidRPr="00F50C10">
        <w:rPr>
          <w:rFonts w:cs="Times New Roman"/>
          <w:szCs w:val="24"/>
          <w:lang w:val="tr-TR"/>
        </w:rPr>
        <w:t xml:space="preserve"> veya 0,001 – 0,1 kg/saat partikül emisyonu seviyelerine ulaş</w:t>
      </w:r>
      <w:r w:rsidR="004E2FB9" w:rsidRPr="00F50C10">
        <w:rPr>
          <w:rFonts w:cs="Times New Roman"/>
          <w:szCs w:val="24"/>
          <w:lang w:val="tr-TR"/>
        </w:rPr>
        <w:t>ılır</w:t>
      </w:r>
      <w:r w:rsidRPr="00F50C10">
        <w:rPr>
          <w:rFonts w:cs="Times New Roman"/>
          <w:szCs w:val="24"/>
          <w:lang w:val="tr-TR"/>
        </w:rPr>
        <w:t xml:space="preserve"> ve bu amaçla gerektiğinde</w:t>
      </w:r>
      <w:r w:rsidR="00F46576" w:rsidRPr="00F50C10">
        <w:rPr>
          <w:rFonts w:cs="Times New Roman"/>
          <w:szCs w:val="24"/>
          <w:lang w:val="tr-TR"/>
        </w:rPr>
        <w:t xml:space="preserve"> </w:t>
      </w:r>
      <w:r w:rsidR="009A2327" w:rsidRPr="00F50C10">
        <w:rPr>
          <w:rFonts w:cs="Times New Roman"/>
          <w:szCs w:val="24"/>
          <w:lang w:val="tr-TR"/>
        </w:rPr>
        <w:t>bez</w:t>
      </w:r>
      <w:r w:rsidRPr="00F50C10">
        <w:rPr>
          <w:rFonts w:cs="Times New Roman"/>
          <w:szCs w:val="24"/>
          <w:lang w:val="tr-TR"/>
        </w:rPr>
        <w:t xml:space="preserve"> filtreler, siklonlar, yıkama veya ıslak elektrostatik </w:t>
      </w:r>
      <w:r w:rsidR="00F46576" w:rsidRPr="00F50C10">
        <w:rPr>
          <w:rFonts w:cs="Times New Roman"/>
          <w:szCs w:val="24"/>
          <w:lang w:val="tr-TR"/>
        </w:rPr>
        <w:t>filtreleme</w:t>
      </w:r>
      <w:r w:rsidRPr="00F50C10">
        <w:rPr>
          <w:rFonts w:cs="Times New Roman"/>
          <w:szCs w:val="24"/>
          <w:lang w:val="tr-TR"/>
        </w:rPr>
        <w:t xml:space="preserve"> (WESP) gibi teknikler uygula</w:t>
      </w:r>
      <w:r w:rsidR="004E2FB9" w:rsidRPr="00F50C10">
        <w:rPr>
          <w:rFonts w:cs="Times New Roman"/>
          <w:szCs w:val="24"/>
          <w:lang w:val="tr-TR"/>
        </w:rPr>
        <w:t>nı</w:t>
      </w:r>
      <w:r w:rsidRPr="00F50C10">
        <w:rPr>
          <w:rFonts w:cs="Times New Roman"/>
          <w:szCs w:val="24"/>
          <w:lang w:val="tr-TR"/>
        </w:rPr>
        <w:t>r.</w:t>
      </w:r>
      <w:r w:rsidR="001B1069" w:rsidRPr="001B1069">
        <w:rPr>
          <w:rFonts w:cs="Times New Roman"/>
          <w:szCs w:val="24"/>
          <w:lang w:val="tr-TR"/>
        </w:rPr>
        <w:t xml:space="preserve"> </w:t>
      </w:r>
      <w:r w:rsidR="001B1069" w:rsidRPr="005C5574">
        <w:rPr>
          <w:rFonts w:cs="Times New Roman"/>
          <w:szCs w:val="24"/>
          <w:lang w:val="tr-TR"/>
        </w:rPr>
        <w:t>(</w:t>
      </w:r>
      <w:r w:rsidR="001B1069" w:rsidRPr="009E5076">
        <w:rPr>
          <w:rFonts w:cs="Times New Roman"/>
          <w:szCs w:val="24"/>
          <w:lang w:val="tr-TR"/>
        </w:rPr>
        <w:t>Detaylı bilgi için Organik İnce Kimyasalların Üretimi İçin MET Referans Belgesinin 4.</w:t>
      </w:r>
      <w:r w:rsidR="001B1069">
        <w:rPr>
          <w:rFonts w:cs="Times New Roman"/>
          <w:szCs w:val="24"/>
          <w:lang w:val="tr-TR"/>
        </w:rPr>
        <w:t xml:space="preserve">3.5.22 kısmını </w:t>
      </w:r>
      <w:r w:rsidR="001B1069" w:rsidRPr="009E5076">
        <w:rPr>
          <w:rFonts w:cs="Times New Roman"/>
          <w:szCs w:val="24"/>
          <w:lang w:val="tr-TR"/>
        </w:rPr>
        <w:t>inceleyiniz</w:t>
      </w:r>
      <w:r w:rsidR="001B1069">
        <w:rPr>
          <w:rFonts w:cs="Times New Roman"/>
          <w:szCs w:val="24"/>
          <w:lang w:val="tr-TR"/>
        </w:rPr>
        <w:t>.)</w:t>
      </w:r>
    </w:p>
    <w:p w14:paraId="6DE13B01" w14:textId="3CF6569F"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 xml:space="preserve">Çeşitli </w:t>
      </w:r>
      <w:r w:rsidR="00144C76" w:rsidRPr="00F50C10">
        <w:rPr>
          <w:rFonts w:cs="Times New Roman"/>
          <w:szCs w:val="24"/>
          <w:lang w:val="tr-TR"/>
        </w:rPr>
        <w:t>çıkış</w:t>
      </w:r>
      <w:r w:rsidRPr="00F50C10">
        <w:rPr>
          <w:rFonts w:cs="Times New Roman"/>
          <w:szCs w:val="24"/>
          <w:lang w:val="tr-TR"/>
        </w:rPr>
        <w:t xml:space="preserve"> gazlarındaki partiküller giderilir. Geri kazanım/azaltma sistemlerinin seçimi, büyük ölçüde partikül özelliklerine bağlıdır.</w:t>
      </w:r>
      <w:r w:rsidR="001B1069" w:rsidRPr="001B1069">
        <w:rPr>
          <w:rFonts w:cs="Times New Roman"/>
          <w:szCs w:val="24"/>
          <w:lang w:val="tr-TR"/>
        </w:rPr>
        <w:t xml:space="preserve"> </w:t>
      </w:r>
    </w:p>
    <w:p w14:paraId="74A1975C" w14:textId="27185BDF" w:rsidR="00496ADC" w:rsidRPr="00F50C10" w:rsidRDefault="00144C76"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bookmarkStart w:id="200" w:name="_Toc135050233"/>
      <w:bookmarkStart w:id="201" w:name="_Toc135142011"/>
      <w:bookmarkStart w:id="202" w:name="_Toc135142088"/>
      <w:bookmarkStart w:id="203" w:name="_Toc135229448"/>
      <w:r w:rsidRPr="00F50C10">
        <w:rPr>
          <w:rFonts w:eastAsia="Times New Roman" w:cs="Times New Roman"/>
          <w:b/>
          <w:bCs/>
          <w:szCs w:val="24"/>
          <w:lang w:val="tr-TR"/>
        </w:rPr>
        <w:t>Çıkış</w:t>
      </w:r>
      <w:r w:rsidR="00496ADC" w:rsidRPr="00F50C10">
        <w:rPr>
          <w:rFonts w:eastAsia="Times New Roman" w:cs="Times New Roman"/>
          <w:b/>
          <w:bCs/>
          <w:szCs w:val="24"/>
          <w:lang w:val="tr-TR"/>
        </w:rPr>
        <w:t xml:space="preserve"> gazlarından serbest siyanürlerin uzaklaştırılması</w:t>
      </w:r>
      <w:bookmarkEnd w:id="200"/>
      <w:bookmarkEnd w:id="201"/>
      <w:bookmarkEnd w:id="202"/>
      <w:bookmarkEnd w:id="203"/>
    </w:p>
    <w:p w14:paraId="7638AA51" w14:textId="4A6BCE64"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51: </w:t>
      </w:r>
      <w:r w:rsidR="00144C76" w:rsidRPr="00F50C10">
        <w:rPr>
          <w:rFonts w:cs="Times New Roman"/>
          <w:szCs w:val="24"/>
          <w:lang w:val="tr-TR"/>
        </w:rPr>
        <w:t>Çıkış</w:t>
      </w:r>
      <w:r w:rsidRPr="00F50C10">
        <w:rPr>
          <w:rFonts w:cs="Times New Roman"/>
          <w:szCs w:val="24"/>
          <w:lang w:val="tr-TR"/>
        </w:rPr>
        <w:t xml:space="preserve"> gazlarından serbest siyanürler uzaklaştır</w:t>
      </w:r>
      <w:r w:rsidR="004E2FB9" w:rsidRPr="00F50C10">
        <w:rPr>
          <w:rFonts w:cs="Times New Roman"/>
          <w:szCs w:val="24"/>
          <w:lang w:val="tr-TR"/>
        </w:rPr>
        <w:t>ılır</w:t>
      </w:r>
      <w:r w:rsidRPr="00F50C10">
        <w:rPr>
          <w:rFonts w:cs="Times New Roman"/>
          <w:szCs w:val="24"/>
          <w:lang w:val="tr-TR"/>
        </w:rPr>
        <w:t xml:space="preserve"> ve HCN olarak 1 mg/m</w:t>
      </w:r>
      <w:r w:rsidRPr="00F50C10">
        <w:rPr>
          <w:rFonts w:cs="Times New Roman"/>
          <w:szCs w:val="24"/>
          <w:vertAlign w:val="superscript"/>
          <w:lang w:val="tr-TR"/>
        </w:rPr>
        <w:t>3</w:t>
      </w:r>
      <w:r w:rsidRPr="00F50C10">
        <w:rPr>
          <w:rFonts w:cs="Times New Roman"/>
          <w:szCs w:val="24"/>
          <w:lang w:val="tr-TR"/>
        </w:rPr>
        <w:t xml:space="preserve"> veya 3 g/saat atık gaz emisyon seviyesi elde e</w:t>
      </w:r>
      <w:r w:rsidR="004E2FB9" w:rsidRPr="00F50C10">
        <w:rPr>
          <w:rFonts w:cs="Times New Roman"/>
          <w:szCs w:val="24"/>
          <w:lang w:val="tr-TR"/>
        </w:rPr>
        <w:t>dil</w:t>
      </w:r>
      <w:r w:rsidRPr="00F50C10">
        <w:rPr>
          <w:rFonts w:cs="Times New Roman"/>
          <w:szCs w:val="24"/>
          <w:lang w:val="tr-TR"/>
        </w:rPr>
        <w:t>ir.</w:t>
      </w:r>
      <w:r w:rsidR="001B1069" w:rsidRPr="001B1069">
        <w:rPr>
          <w:rFonts w:cs="Times New Roman"/>
          <w:szCs w:val="24"/>
          <w:lang w:val="tr-TR"/>
        </w:rPr>
        <w:t xml:space="preserve"> </w:t>
      </w:r>
      <w:r w:rsidR="001B1069" w:rsidRPr="005C5574">
        <w:rPr>
          <w:rFonts w:cs="Times New Roman"/>
          <w:szCs w:val="24"/>
          <w:lang w:val="tr-TR"/>
        </w:rPr>
        <w:t>(</w:t>
      </w:r>
      <w:r w:rsidR="001B1069" w:rsidRPr="009E5076">
        <w:rPr>
          <w:rFonts w:cs="Times New Roman"/>
          <w:szCs w:val="24"/>
          <w:lang w:val="tr-TR"/>
        </w:rPr>
        <w:t>Detaylı bilgi için Organik İnce Kimyasalların Üretimi İçin MET Referans Belgesinin 4.</w:t>
      </w:r>
      <w:r w:rsidR="001B1069">
        <w:rPr>
          <w:rFonts w:cs="Times New Roman"/>
          <w:szCs w:val="24"/>
          <w:lang w:val="tr-TR"/>
        </w:rPr>
        <w:t xml:space="preserve">3.6.2 kısmını </w:t>
      </w:r>
      <w:r w:rsidR="001B1069" w:rsidRPr="009E5076">
        <w:rPr>
          <w:rFonts w:cs="Times New Roman"/>
          <w:szCs w:val="24"/>
          <w:lang w:val="tr-TR"/>
        </w:rPr>
        <w:t>inceleyiniz</w:t>
      </w:r>
      <w:r w:rsidR="001B1069">
        <w:rPr>
          <w:rFonts w:cs="Times New Roman"/>
          <w:szCs w:val="24"/>
          <w:lang w:val="tr-TR"/>
        </w:rPr>
        <w:t>.)</w:t>
      </w:r>
    </w:p>
    <w:p w14:paraId="76EAD60A" w14:textId="147C60AA"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 xml:space="preserve">Toksisiteleri nedeniyle siyanürler, zengin ve zayıf </w:t>
      </w:r>
      <w:r w:rsidR="00144C76" w:rsidRPr="00F50C10">
        <w:rPr>
          <w:rFonts w:cs="Times New Roman"/>
          <w:szCs w:val="24"/>
          <w:lang w:val="tr-TR"/>
        </w:rPr>
        <w:t>çıkış</w:t>
      </w:r>
      <w:r w:rsidRPr="00F50C10">
        <w:rPr>
          <w:rFonts w:cs="Times New Roman"/>
          <w:szCs w:val="24"/>
          <w:lang w:val="tr-TR"/>
        </w:rPr>
        <w:t xml:space="preserve"> gazlarından yıkama yoluyla uzaklaştırılır.</w:t>
      </w:r>
    </w:p>
    <w:p w14:paraId="2A223E23" w14:textId="77777777" w:rsidR="00496ADC" w:rsidRPr="00F50C10" w:rsidRDefault="00496ADC" w:rsidP="00A654AE">
      <w:pPr>
        <w:widowControl w:val="0"/>
        <w:numPr>
          <w:ilvl w:val="1"/>
          <w:numId w:val="135"/>
        </w:numPr>
        <w:autoSpaceDE w:val="0"/>
        <w:autoSpaceDN w:val="0"/>
        <w:spacing w:before="120" w:after="60" w:line="276" w:lineRule="auto"/>
        <w:ind w:left="0" w:firstLine="0"/>
        <w:jc w:val="left"/>
        <w:outlineLvl w:val="1"/>
        <w:rPr>
          <w:rFonts w:eastAsia="Arial" w:cs="Times New Roman"/>
          <w:b/>
          <w:bCs/>
          <w:szCs w:val="24"/>
          <w:lang w:val="tr-TR"/>
        </w:rPr>
      </w:pPr>
      <w:bookmarkStart w:id="204" w:name="_Toc135050234"/>
      <w:bookmarkStart w:id="205" w:name="_Toc135142012"/>
      <w:bookmarkStart w:id="206" w:name="_Toc135142089"/>
      <w:bookmarkStart w:id="207" w:name="_Toc135229449"/>
      <w:r w:rsidRPr="00F50C10">
        <w:rPr>
          <w:rFonts w:eastAsia="Arial" w:cs="Times New Roman"/>
          <w:b/>
          <w:bCs/>
          <w:szCs w:val="24"/>
          <w:lang w:val="tr-TR"/>
        </w:rPr>
        <w:t>Atık Su Akışlarının Yönetimi Ve Arıtılması</w:t>
      </w:r>
      <w:bookmarkEnd w:id="204"/>
      <w:bookmarkEnd w:id="205"/>
      <w:bookmarkEnd w:id="206"/>
      <w:bookmarkEnd w:id="207"/>
    </w:p>
    <w:p w14:paraId="7EB68BF8" w14:textId="77777777" w:rsidR="00496ADC" w:rsidRPr="00F50C10" w:rsidRDefault="00496ADC"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bookmarkStart w:id="208" w:name="_Toc135050235"/>
      <w:bookmarkStart w:id="209" w:name="_Toc135142013"/>
      <w:bookmarkStart w:id="210" w:name="_Toc135142090"/>
      <w:bookmarkStart w:id="211" w:name="_Toc135229450"/>
      <w:r w:rsidRPr="00F50C10">
        <w:rPr>
          <w:rFonts w:eastAsia="Times New Roman" w:cs="Times New Roman"/>
          <w:b/>
          <w:bCs/>
          <w:szCs w:val="24"/>
          <w:lang w:val="tr-TR"/>
        </w:rPr>
        <w:t>Ayrılması, ön arıtımı veya bertaraf edilmesi gereken tipik atık su akışları</w:t>
      </w:r>
      <w:bookmarkEnd w:id="208"/>
      <w:bookmarkEnd w:id="209"/>
      <w:bookmarkEnd w:id="210"/>
      <w:bookmarkEnd w:id="211"/>
    </w:p>
    <w:p w14:paraId="3C249F55" w14:textId="77777777"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Bazı atık su akışı türleri, karakteristik özelliklerinden dolayı ayırma ve seçici ön arıtma veya bertaraf için tipik adaylardır.</w:t>
      </w:r>
    </w:p>
    <w:p w14:paraId="64014BA1" w14:textId="3C634883"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52: </w:t>
      </w:r>
      <w:r w:rsidRPr="00F50C10">
        <w:rPr>
          <w:rFonts w:cs="Times New Roman"/>
          <w:szCs w:val="24"/>
          <w:lang w:val="tr-TR"/>
        </w:rPr>
        <w:t>Halojenasyon ve sülfoklorinasyondan elde edilen ana sıvılar</w:t>
      </w:r>
      <w:r w:rsidR="004E2FB9" w:rsidRPr="00F50C10">
        <w:rPr>
          <w:rFonts w:cs="Times New Roman"/>
          <w:szCs w:val="24"/>
          <w:lang w:val="tr-TR"/>
        </w:rPr>
        <w:t xml:space="preserve"> </w:t>
      </w:r>
      <w:r w:rsidRPr="00F50C10">
        <w:rPr>
          <w:rFonts w:cs="Times New Roman"/>
          <w:szCs w:val="24"/>
          <w:lang w:val="tr-TR"/>
        </w:rPr>
        <w:t>ay</w:t>
      </w:r>
      <w:r w:rsidR="004E2FB9" w:rsidRPr="00F50C10">
        <w:rPr>
          <w:rFonts w:cs="Times New Roman"/>
          <w:szCs w:val="24"/>
          <w:lang w:val="tr-TR"/>
        </w:rPr>
        <w:t xml:space="preserve">rılır </w:t>
      </w:r>
      <w:r w:rsidRPr="00F50C10">
        <w:rPr>
          <w:rFonts w:cs="Times New Roman"/>
          <w:szCs w:val="24"/>
          <w:lang w:val="tr-TR"/>
        </w:rPr>
        <w:t>ve ön arıtmaya tabi tut</w:t>
      </w:r>
      <w:r w:rsidR="004E2FB9" w:rsidRPr="00F50C10">
        <w:rPr>
          <w:rFonts w:cs="Times New Roman"/>
          <w:szCs w:val="24"/>
          <w:lang w:val="tr-TR"/>
        </w:rPr>
        <w:t>ulur</w:t>
      </w:r>
      <w:r w:rsidRPr="00F50C10">
        <w:rPr>
          <w:rFonts w:cs="Times New Roman"/>
          <w:szCs w:val="24"/>
          <w:lang w:val="tr-TR"/>
        </w:rPr>
        <w:t xml:space="preserve"> veya bertaraf </w:t>
      </w:r>
      <w:r w:rsidR="004E2FB9" w:rsidRPr="00F50C10">
        <w:rPr>
          <w:rFonts w:cs="Times New Roman"/>
          <w:szCs w:val="24"/>
          <w:lang w:val="tr-TR"/>
        </w:rPr>
        <w:t>edilir</w:t>
      </w:r>
      <w:r w:rsidRPr="00F50C10">
        <w:rPr>
          <w:rFonts w:cs="Times New Roman"/>
          <w:szCs w:val="24"/>
          <w:lang w:val="tr-TR"/>
        </w:rPr>
        <w:t>.</w:t>
      </w:r>
      <w:r w:rsidR="007D0EE4" w:rsidRPr="007D0EE4">
        <w:rPr>
          <w:rFonts w:cs="Times New Roman"/>
          <w:szCs w:val="24"/>
          <w:lang w:val="tr-TR"/>
        </w:rPr>
        <w:t xml:space="preserve"> </w:t>
      </w:r>
      <w:r w:rsidR="007D0EE4" w:rsidRPr="005C5574">
        <w:rPr>
          <w:rFonts w:cs="Times New Roman"/>
          <w:szCs w:val="24"/>
          <w:lang w:val="tr-TR"/>
        </w:rPr>
        <w:t>(</w:t>
      </w:r>
      <w:r w:rsidR="007D0EE4" w:rsidRPr="009E5076">
        <w:rPr>
          <w:rFonts w:cs="Times New Roman"/>
          <w:szCs w:val="24"/>
          <w:lang w:val="tr-TR"/>
        </w:rPr>
        <w:t>Detaylı bilgi için Organik İnce Kimyasalların Üretimi İçin MET Referans Belgesinin 4.</w:t>
      </w:r>
      <w:r w:rsidR="007D0EE4">
        <w:rPr>
          <w:rFonts w:cs="Times New Roman"/>
          <w:szCs w:val="24"/>
          <w:lang w:val="tr-TR"/>
        </w:rPr>
        <w:t xml:space="preserve">3.2.5 ve 4.3.2.10 kısımlarını </w:t>
      </w:r>
      <w:r w:rsidR="007D0EE4" w:rsidRPr="009E5076">
        <w:rPr>
          <w:rFonts w:cs="Times New Roman"/>
          <w:szCs w:val="24"/>
          <w:lang w:val="tr-TR"/>
        </w:rPr>
        <w:t>inceleyiniz</w:t>
      </w:r>
      <w:r w:rsidR="007D0EE4">
        <w:rPr>
          <w:rFonts w:cs="Times New Roman"/>
          <w:szCs w:val="24"/>
          <w:lang w:val="tr-TR"/>
        </w:rPr>
        <w:t>.)</w:t>
      </w:r>
    </w:p>
    <w:p w14:paraId="20BF51D5" w14:textId="07099125"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53: </w:t>
      </w:r>
      <w:r w:rsidRPr="00F50C10">
        <w:rPr>
          <w:rFonts w:cs="Times New Roman"/>
          <w:szCs w:val="24"/>
          <w:lang w:val="tr-TR"/>
        </w:rPr>
        <w:t xml:space="preserve">Daha sonraki bir atık su arıtımı veya deşarj yapılan alıcı ortam için risk teşkil edebilecek seviyelerde biyolojik olarak aktif maddeler içeren atık su akışları ön arıtmaya tabi </w:t>
      </w:r>
      <w:r w:rsidR="004E2FB9" w:rsidRPr="00F50C10">
        <w:rPr>
          <w:rFonts w:cs="Times New Roman"/>
          <w:szCs w:val="24"/>
          <w:lang w:val="tr-TR"/>
        </w:rPr>
        <w:t>tutulur</w:t>
      </w:r>
      <w:r w:rsidRPr="00F50C10">
        <w:rPr>
          <w:rFonts w:cs="Times New Roman"/>
          <w:szCs w:val="24"/>
          <w:lang w:val="tr-TR"/>
        </w:rPr>
        <w:t>.</w:t>
      </w:r>
      <w:r w:rsidR="007D0EE4" w:rsidRPr="007D0EE4">
        <w:rPr>
          <w:rFonts w:cs="Times New Roman"/>
          <w:szCs w:val="24"/>
          <w:lang w:val="tr-TR"/>
        </w:rPr>
        <w:t xml:space="preserve"> </w:t>
      </w:r>
      <w:r w:rsidR="007D0EE4" w:rsidRPr="005C5574">
        <w:rPr>
          <w:rFonts w:cs="Times New Roman"/>
          <w:szCs w:val="24"/>
          <w:lang w:val="tr-TR"/>
        </w:rPr>
        <w:t>(</w:t>
      </w:r>
      <w:r w:rsidR="007D0EE4" w:rsidRPr="009E5076">
        <w:rPr>
          <w:rFonts w:cs="Times New Roman"/>
          <w:szCs w:val="24"/>
          <w:lang w:val="tr-TR"/>
        </w:rPr>
        <w:t>Detaylı bilgi için Organik İnce Kimyasalların Üretimi İçin MET Referans Belgesinin 4.</w:t>
      </w:r>
      <w:r w:rsidR="007D0EE4">
        <w:rPr>
          <w:rFonts w:cs="Times New Roman"/>
          <w:szCs w:val="24"/>
          <w:lang w:val="tr-TR"/>
        </w:rPr>
        <w:t xml:space="preserve">3.2.6, 4.3.7.5, 4.3.7.9, 4.3.8.13 ve 4.3.8.18 kısımlarını </w:t>
      </w:r>
      <w:r w:rsidR="007D0EE4" w:rsidRPr="009E5076">
        <w:rPr>
          <w:rFonts w:cs="Times New Roman"/>
          <w:szCs w:val="24"/>
          <w:lang w:val="tr-TR"/>
        </w:rPr>
        <w:t>inceleyiniz</w:t>
      </w:r>
      <w:r w:rsidR="007D0EE4">
        <w:rPr>
          <w:rFonts w:cs="Times New Roman"/>
          <w:szCs w:val="24"/>
          <w:lang w:val="tr-TR"/>
        </w:rPr>
        <w:t>.)</w:t>
      </w:r>
    </w:p>
    <w:p w14:paraId="66B312E5" w14:textId="0CC2CBB1"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Örnekler arasında biyositlerin/bitki sağlığı ürünlerinin üretiminden kaynaklanan atık su akışları veya tipik olarak (nitro-)</w:t>
      </w:r>
      <w:r w:rsidR="00EE504C" w:rsidRPr="00F50C10">
        <w:rPr>
          <w:rFonts w:cs="Times New Roman"/>
          <w:szCs w:val="24"/>
          <w:lang w:val="tr-TR"/>
        </w:rPr>
        <w:t xml:space="preserve"> </w:t>
      </w:r>
      <w:r w:rsidRPr="00F50C10">
        <w:rPr>
          <w:rFonts w:cs="Times New Roman"/>
          <w:szCs w:val="24"/>
          <w:lang w:val="tr-TR"/>
        </w:rPr>
        <w:t>fenoller içeren aromatların nitrasyonundan sonra ürün yıkamasından kaynaklanan yıkama suları yer alır.</w:t>
      </w:r>
    </w:p>
    <w:p w14:paraId="7EE8D612" w14:textId="46941D0B"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54: </w:t>
      </w:r>
      <w:r w:rsidRPr="00F50C10">
        <w:rPr>
          <w:rFonts w:cs="Times New Roman"/>
          <w:szCs w:val="24"/>
          <w:lang w:val="tr-TR"/>
        </w:rPr>
        <w:t>Sülfonasyon veya nitrasyonlardan kaynaklanan kullanılmış asitler sahada veya saha dışında geri kazanım için ay</w:t>
      </w:r>
      <w:r w:rsidR="004E2FB9" w:rsidRPr="00F50C10">
        <w:rPr>
          <w:rFonts w:cs="Times New Roman"/>
          <w:szCs w:val="24"/>
          <w:lang w:val="tr-TR"/>
        </w:rPr>
        <w:t xml:space="preserve">rılır </w:t>
      </w:r>
      <w:r w:rsidRPr="00F50C10">
        <w:rPr>
          <w:rFonts w:cs="Times New Roman"/>
          <w:szCs w:val="24"/>
          <w:lang w:val="tr-TR"/>
        </w:rPr>
        <w:t>ve topla</w:t>
      </w:r>
      <w:r w:rsidR="004E2FB9" w:rsidRPr="00F50C10">
        <w:rPr>
          <w:rFonts w:cs="Times New Roman"/>
          <w:szCs w:val="24"/>
          <w:lang w:val="tr-TR"/>
        </w:rPr>
        <w:t>n</w:t>
      </w:r>
      <w:r w:rsidRPr="00F50C10">
        <w:rPr>
          <w:rFonts w:cs="Times New Roman"/>
          <w:szCs w:val="24"/>
          <w:lang w:val="tr-TR"/>
        </w:rPr>
        <w:t>ır.</w:t>
      </w:r>
      <w:r w:rsidR="007D0EE4" w:rsidRPr="007D0EE4">
        <w:rPr>
          <w:rFonts w:cs="Times New Roman"/>
          <w:szCs w:val="24"/>
          <w:lang w:val="tr-TR"/>
        </w:rPr>
        <w:t xml:space="preserve"> </w:t>
      </w:r>
      <w:r w:rsidR="007D0EE4" w:rsidRPr="005C5574">
        <w:rPr>
          <w:rFonts w:cs="Times New Roman"/>
          <w:szCs w:val="24"/>
          <w:lang w:val="tr-TR"/>
        </w:rPr>
        <w:t>(</w:t>
      </w:r>
      <w:r w:rsidR="007D0EE4" w:rsidRPr="009E5076">
        <w:rPr>
          <w:rFonts w:cs="Times New Roman"/>
          <w:szCs w:val="24"/>
          <w:lang w:val="tr-TR"/>
        </w:rPr>
        <w:t>Detaylı bilgi için Organik İnce Kimyasalların Üretimi İçin MET Referans Belgesinin 4.</w:t>
      </w:r>
      <w:r w:rsidR="007D0EE4">
        <w:rPr>
          <w:rFonts w:cs="Times New Roman"/>
          <w:szCs w:val="24"/>
          <w:lang w:val="tr-TR"/>
        </w:rPr>
        <w:t xml:space="preserve">3.2.6 ve 4.3.2.8 kısımlarını </w:t>
      </w:r>
      <w:r w:rsidR="007D0EE4" w:rsidRPr="009E5076">
        <w:rPr>
          <w:rFonts w:cs="Times New Roman"/>
          <w:szCs w:val="24"/>
          <w:lang w:val="tr-TR"/>
        </w:rPr>
        <w:t>inceleyiniz</w:t>
      </w:r>
      <w:r w:rsidR="007D0EE4">
        <w:rPr>
          <w:rFonts w:cs="Times New Roman"/>
          <w:szCs w:val="24"/>
          <w:lang w:val="tr-TR"/>
        </w:rPr>
        <w:t>.)</w:t>
      </w:r>
    </w:p>
    <w:p w14:paraId="45696C8C" w14:textId="77777777" w:rsidR="00496ADC" w:rsidRPr="00F50C10" w:rsidRDefault="00496ADC"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bookmarkStart w:id="212" w:name="_Toc135050236"/>
      <w:bookmarkStart w:id="213" w:name="_Toc135142014"/>
      <w:bookmarkStart w:id="214" w:name="_Toc135142091"/>
      <w:bookmarkStart w:id="215" w:name="_Toc135229451"/>
      <w:r w:rsidRPr="00F50C10">
        <w:rPr>
          <w:rFonts w:eastAsia="Times New Roman" w:cs="Times New Roman"/>
          <w:b/>
          <w:bCs/>
          <w:szCs w:val="24"/>
          <w:lang w:val="tr-TR"/>
        </w:rPr>
        <w:t>İlgili refrakter organik yüke sahip atık su akışlarının arıtımı</w:t>
      </w:r>
      <w:bookmarkEnd w:id="212"/>
      <w:bookmarkEnd w:id="213"/>
      <w:bookmarkEnd w:id="214"/>
      <w:bookmarkEnd w:id="215"/>
    </w:p>
    <w:p w14:paraId="78760202" w14:textId="4AA21FEF"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 xml:space="preserve">Bir atık su akışının refrakter organik yükü biyolojik AAT'den </w:t>
      </w:r>
      <w:r w:rsidR="00EE504C" w:rsidRPr="00F50C10">
        <w:rPr>
          <w:rFonts w:cs="Times New Roman"/>
          <w:szCs w:val="24"/>
          <w:lang w:val="tr-TR"/>
        </w:rPr>
        <w:t xml:space="preserve">fazla değişmeden </w:t>
      </w:r>
      <w:r w:rsidRPr="00F50C10">
        <w:rPr>
          <w:rFonts w:cs="Times New Roman"/>
          <w:szCs w:val="24"/>
          <w:lang w:val="tr-TR"/>
        </w:rPr>
        <w:t>geçer ve biyolojik arıtmadan önce ön arıtma gerektirir. Ön arıtma teknikleri</w:t>
      </w:r>
      <w:r w:rsidR="00EE504C" w:rsidRPr="00F50C10">
        <w:rPr>
          <w:rFonts w:cs="Times New Roman"/>
          <w:szCs w:val="24"/>
          <w:lang w:val="tr-TR"/>
        </w:rPr>
        <w:t xml:space="preserve"> arasında</w:t>
      </w:r>
      <w:r w:rsidRPr="00F50C10">
        <w:rPr>
          <w:rFonts w:cs="Times New Roman"/>
          <w:szCs w:val="24"/>
          <w:lang w:val="tr-TR"/>
        </w:rPr>
        <w:t xml:space="preserve"> oksidatif teknikler</w:t>
      </w:r>
      <w:r w:rsidR="00EE504C" w:rsidRPr="00F50C10">
        <w:rPr>
          <w:rFonts w:cs="Times New Roman"/>
          <w:szCs w:val="24"/>
          <w:lang w:val="tr-TR"/>
        </w:rPr>
        <w:t>,</w:t>
      </w:r>
      <w:r w:rsidRPr="00F50C10">
        <w:rPr>
          <w:rFonts w:cs="Times New Roman"/>
          <w:szCs w:val="24"/>
          <w:lang w:val="tr-TR"/>
        </w:rPr>
        <w:t xml:space="preserve"> tahribatsız teknikler ve alternatif olarak bertaraf etme seçeneği (yakma) </w:t>
      </w:r>
      <w:r w:rsidR="00EE504C" w:rsidRPr="00F50C10">
        <w:rPr>
          <w:rFonts w:cs="Times New Roman"/>
          <w:szCs w:val="24"/>
          <w:lang w:val="tr-TR"/>
        </w:rPr>
        <w:t>bulunur</w:t>
      </w:r>
      <w:r w:rsidRPr="00F50C10">
        <w:rPr>
          <w:rFonts w:cs="Times New Roman"/>
          <w:szCs w:val="24"/>
          <w:lang w:val="tr-TR"/>
        </w:rPr>
        <w:t>. Ön arıtma için iki ana strateji mevcuttur: Refrakter yüklerin ortadan kaldırılması veya bu yüklerin biyolojik bozunabilirliğinin arttırılması. Ancak, ön arıtma teknikleri yatırımına alternatif olarak, atık su akışının refrakter yükünü önlemek veya en aza indirmek için prosesin modernizasyonu her zaman bir seçenek olarak değerlendirilmelidir. Bunun için ana kriter biyolojik olarak yok edilebilirliktir. Gerçek üretim yelpazesi, atık su akışlarının çoğunda (örneğin, boyaların, optik parlatıcıların, aromatik ara ürünlerin imalatı) düşük derecede biyolojik olarak yok edilebilir organik yüklere neden oluyorsa, öncelikleri belirlemek için seçim kriteri olarak refrakter yük kullanılır. Biyolojik yok edilebilirlik ve dolayısıyla refrakter organik yük, doğal biyolojik yok edilebilirlik değerlendirilmesi ile ilgilidir (örneğin Zahn-Wellens testi ile). Doğal biyolojik yok edilebilirlik testinden elde edilen %80 yerine, tarama amacıyla, 0,6'lık bir BOİ</w:t>
      </w:r>
      <w:r w:rsidRPr="00F50C10">
        <w:rPr>
          <w:rFonts w:cs="Times New Roman"/>
          <w:szCs w:val="24"/>
          <w:vertAlign w:val="subscript"/>
          <w:lang w:val="tr-TR"/>
        </w:rPr>
        <w:t>5</w:t>
      </w:r>
      <w:r w:rsidRPr="00F50C10">
        <w:rPr>
          <w:rFonts w:cs="Times New Roman"/>
          <w:szCs w:val="24"/>
          <w:lang w:val="tr-TR"/>
        </w:rPr>
        <w:t>/KOİ oranı kullanılabilir. Refrakter yükler için ön arıtma stratejilerinin geliştirilmesi, deneysel üretim çalışmaları ve nadir kesikli üretim durumlarında uygulanabilir değildir.</w:t>
      </w:r>
      <w:r w:rsidR="007D0EE4" w:rsidRPr="007D0EE4">
        <w:rPr>
          <w:rFonts w:cs="Times New Roman"/>
          <w:szCs w:val="24"/>
          <w:lang w:val="tr-TR"/>
        </w:rPr>
        <w:t xml:space="preserve"> </w:t>
      </w:r>
      <w:r w:rsidR="007D0EE4" w:rsidRPr="005C5574">
        <w:rPr>
          <w:rFonts w:cs="Times New Roman"/>
          <w:szCs w:val="24"/>
          <w:lang w:val="tr-TR"/>
        </w:rPr>
        <w:t>(</w:t>
      </w:r>
      <w:r w:rsidR="007D0EE4" w:rsidRPr="009E5076">
        <w:rPr>
          <w:rFonts w:cs="Times New Roman"/>
          <w:szCs w:val="24"/>
          <w:lang w:val="tr-TR"/>
        </w:rPr>
        <w:t>Detaylı bilgi için Organik İnce Kimyasalların Üretimi İçin MET Referans Belgesinin 4.</w:t>
      </w:r>
      <w:r w:rsidR="007D0EE4">
        <w:rPr>
          <w:rFonts w:cs="Times New Roman"/>
          <w:szCs w:val="24"/>
          <w:lang w:val="tr-TR"/>
        </w:rPr>
        <w:t xml:space="preserve">3 kısmını </w:t>
      </w:r>
      <w:r w:rsidR="007D0EE4" w:rsidRPr="009E5076">
        <w:rPr>
          <w:rFonts w:cs="Times New Roman"/>
          <w:szCs w:val="24"/>
          <w:lang w:val="tr-TR"/>
        </w:rPr>
        <w:t>inceleyiniz</w:t>
      </w:r>
      <w:r w:rsidR="007D0EE4">
        <w:rPr>
          <w:rFonts w:cs="Times New Roman"/>
          <w:szCs w:val="24"/>
          <w:lang w:val="tr-TR"/>
        </w:rPr>
        <w:t>.)</w:t>
      </w:r>
    </w:p>
    <w:p w14:paraId="62380E0C" w14:textId="5DFD768F" w:rsidR="00496ADC" w:rsidRPr="00F50C10" w:rsidRDefault="00496ADC" w:rsidP="000B206D">
      <w:pPr>
        <w:spacing w:before="120" w:after="60" w:line="276" w:lineRule="auto"/>
        <w:rPr>
          <w:rFonts w:cs="Times New Roman"/>
          <w:szCs w:val="24"/>
          <w:lang w:val="tr-TR"/>
        </w:rPr>
      </w:pPr>
      <w:r w:rsidRPr="00F50C10">
        <w:rPr>
          <w:rFonts w:cs="Times New Roman"/>
          <w:b/>
          <w:bCs/>
          <w:szCs w:val="24"/>
          <w:lang w:val="tr-TR"/>
        </w:rPr>
        <w:t xml:space="preserve">MET 55: </w:t>
      </w:r>
      <w:r w:rsidRPr="00F50C10">
        <w:rPr>
          <w:rFonts w:cs="Times New Roman"/>
          <w:szCs w:val="24"/>
          <w:lang w:val="tr-TR"/>
        </w:rPr>
        <w:t>Ön arıtma amacıyla organik yük aşağıdaki gibi sınıflandı</w:t>
      </w:r>
      <w:r w:rsidR="004E2FB9" w:rsidRPr="00F50C10">
        <w:rPr>
          <w:rFonts w:cs="Times New Roman"/>
          <w:szCs w:val="24"/>
          <w:lang w:val="tr-TR"/>
        </w:rPr>
        <w:t>rıl</w:t>
      </w:r>
      <w:r w:rsidRPr="00F50C10">
        <w:rPr>
          <w:rFonts w:cs="Times New Roman"/>
          <w:szCs w:val="24"/>
          <w:lang w:val="tr-TR"/>
        </w:rPr>
        <w:t>ır:</w:t>
      </w:r>
    </w:p>
    <w:p w14:paraId="1B7FBE00" w14:textId="13513D25"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 xml:space="preserve">Atık su akışındaki biyolojik olarak yok edilebilirlik %80-90’dan daha yüksek ise refrakter organik yük önemli değildir. Biyolojik olarak yok edilebilirliğin daha düşük olduğu durumlarda refrakter organik yük, gün veya parti başına yaklaşık 7,5 – 40 kg TOK aralığından daha düşükse önemli değildir. </w:t>
      </w:r>
      <w:r w:rsidR="006E3207" w:rsidRPr="005C5574">
        <w:rPr>
          <w:rFonts w:cs="Times New Roman"/>
          <w:szCs w:val="24"/>
          <w:lang w:val="tr-TR"/>
        </w:rPr>
        <w:t>(</w:t>
      </w:r>
      <w:r w:rsidR="006E3207" w:rsidRPr="009E5076">
        <w:rPr>
          <w:rFonts w:cs="Times New Roman"/>
          <w:szCs w:val="24"/>
          <w:lang w:val="tr-TR"/>
        </w:rPr>
        <w:t>Detaylı bilgi için Organik İnce Kimyasalların Üretimi İçin MET Referans Belgesinin 4.</w:t>
      </w:r>
      <w:r w:rsidR="006E3207">
        <w:rPr>
          <w:rFonts w:cs="Times New Roman"/>
          <w:szCs w:val="24"/>
          <w:lang w:val="tr-TR"/>
        </w:rPr>
        <w:t xml:space="preserve">3.7.6, 4.3.7.7, 4.3.7.8, 4.3.7.10,.4.3.7.12 ve 4.3.7.13 kısımlarını </w:t>
      </w:r>
      <w:r w:rsidR="006E3207" w:rsidRPr="009E5076">
        <w:rPr>
          <w:rFonts w:cs="Times New Roman"/>
          <w:szCs w:val="24"/>
          <w:lang w:val="tr-TR"/>
        </w:rPr>
        <w:t>inceleyiniz</w:t>
      </w:r>
      <w:r w:rsidR="006E3207">
        <w:rPr>
          <w:rFonts w:cs="Times New Roman"/>
          <w:szCs w:val="24"/>
          <w:lang w:val="tr-TR"/>
        </w:rPr>
        <w:t>.)</w:t>
      </w:r>
    </w:p>
    <w:p w14:paraId="0EA8BF19" w14:textId="30893D00" w:rsidR="00496ADC" w:rsidRPr="00F50C10" w:rsidRDefault="00496ADC" w:rsidP="000B206D">
      <w:pPr>
        <w:spacing w:before="120" w:after="60" w:line="276" w:lineRule="auto"/>
        <w:rPr>
          <w:rFonts w:cs="Times New Roman"/>
          <w:szCs w:val="24"/>
          <w:lang w:val="tr-TR"/>
        </w:rPr>
      </w:pPr>
      <w:r w:rsidRPr="00F50C10">
        <w:rPr>
          <w:rFonts w:cs="Times New Roman"/>
          <w:b/>
          <w:bCs/>
          <w:szCs w:val="24"/>
          <w:lang w:val="tr-TR"/>
        </w:rPr>
        <w:t xml:space="preserve">MET 56: </w:t>
      </w:r>
      <w:r w:rsidRPr="00F50C10">
        <w:rPr>
          <w:rFonts w:cs="Times New Roman"/>
          <w:szCs w:val="24"/>
          <w:lang w:val="tr-TR"/>
        </w:rPr>
        <w:t>İlgili refrakter organik yükleri içeren atık su akışları ayrışt</w:t>
      </w:r>
      <w:r w:rsidR="004E2FB9" w:rsidRPr="00F50C10">
        <w:rPr>
          <w:rFonts w:cs="Times New Roman"/>
          <w:szCs w:val="24"/>
          <w:lang w:val="tr-TR"/>
        </w:rPr>
        <w:t>ırılır</w:t>
      </w:r>
      <w:r w:rsidRPr="00F50C10">
        <w:rPr>
          <w:rFonts w:cs="Times New Roman"/>
          <w:szCs w:val="24"/>
          <w:lang w:val="tr-TR"/>
        </w:rPr>
        <w:t xml:space="preserve"> ve ön arıtmaya tabi tut</w:t>
      </w:r>
      <w:r w:rsidR="004E2FB9" w:rsidRPr="00F50C10">
        <w:rPr>
          <w:rFonts w:cs="Times New Roman"/>
          <w:szCs w:val="24"/>
          <w:lang w:val="tr-TR"/>
        </w:rPr>
        <w:t>ulu</w:t>
      </w:r>
      <w:r w:rsidRPr="00F50C10">
        <w:rPr>
          <w:rFonts w:cs="Times New Roman"/>
          <w:szCs w:val="24"/>
          <w:lang w:val="tr-TR"/>
        </w:rPr>
        <w:t>r.</w:t>
      </w:r>
      <w:r w:rsidR="00FD0D4B" w:rsidRPr="00FD0D4B">
        <w:rPr>
          <w:rFonts w:cs="Times New Roman"/>
          <w:szCs w:val="24"/>
          <w:lang w:val="tr-TR"/>
        </w:rPr>
        <w:t xml:space="preserve"> </w:t>
      </w:r>
      <w:r w:rsidR="00FD0D4B" w:rsidRPr="005C5574">
        <w:rPr>
          <w:rFonts w:cs="Times New Roman"/>
          <w:szCs w:val="24"/>
          <w:lang w:val="tr-TR"/>
        </w:rPr>
        <w:t>(</w:t>
      </w:r>
      <w:r w:rsidR="00FD0D4B" w:rsidRPr="009E5076">
        <w:rPr>
          <w:rFonts w:cs="Times New Roman"/>
          <w:szCs w:val="24"/>
          <w:lang w:val="tr-TR"/>
        </w:rPr>
        <w:t xml:space="preserve">Detaylı bilgi için Organik İnce Kimyasalların Üretimi İçin MET Referans Belgesinin </w:t>
      </w:r>
      <w:r w:rsidR="00FD0D4B">
        <w:rPr>
          <w:rFonts w:cs="Times New Roman"/>
          <w:szCs w:val="24"/>
          <w:lang w:val="tr-TR"/>
        </w:rPr>
        <w:t xml:space="preserve">5.2.4.2.1 kısmını </w:t>
      </w:r>
      <w:r w:rsidR="00FD0D4B" w:rsidRPr="009E5076">
        <w:rPr>
          <w:rFonts w:cs="Times New Roman"/>
          <w:szCs w:val="24"/>
          <w:lang w:val="tr-TR"/>
        </w:rPr>
        <w:t>inceleyiniz</w:t>
      </w:r>
      <w:r w:rsidR="00FD0D4B">
        <w:rPr>
          <w:rFonts w:cs="Times New Roman"/>
          <w:szCs w:val="24"/>
          <w:lang w:val="tr-TR"/>
        </w:rPr>
        <w:t>.)</w:t>
      </w:r>
    </w:p>
    <w:p w14:paraId="7AB7E54A" w14:textId="68F19480"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57: </w:t>
      </w:r>
      <w:r w:rsidRPr="00F50C10">
        <w:rPr>
          <w:rFonts w:cs="Times New Roman"/>
          <w:szCs w:val="24"/>
          <w:lang w:val="tr-TR"/>
        </w:rPr>
        <w:t>İlgili bir refrakter organik yük taşıyan ayrılmış atık su akışları</w:t>
      </w:r>
      <w:r w:rsidR="004E2FB9" w:rsidRPr="00F50C10">
        <w:rPr>
          <w:rFonts w:cs="Times New Roman"/>
          <w:szCs w:val="24"/>
          <w:lang w:val="tr-TR"/>
        </w:rPr>
        <w:t>nda</w:t>
      </w:r>
      <w:r w:rsidRPr="00F50C10">
        <w:rPr>
          <w:rFonts w:cs="Times New Roman"/>
          <w:szCs w:val="24"/>
          <w:lang w:val="tr-TR"/>
        </w:rPr>
        <w:t>, ön arıtma ve biyolojik arıtma kombinasyonu için &gt;%95'lik toplam KOİ giderme oranları elde e</w:t>
      </w:r>
      <w:r w:rsidR="004E2FB9" w:rsidRPr="00F50C10">
        <w:rPr>
          <w:rFonts w:cs="Times New Roman"/>
          <w:szCs w:val="24"/>
          <w:lang w:val="tr-TR"/>
        </w:rPr>
        <w:t>dili</w:t>
      </w:r>
      <w:r w:rsidRPr="00F50C10">
        <w:rPr>
          <w:rFonts w:cs="Times New Roman"/>
          <w:szCs w:val="24"/>
          <w:lang w:val="tr-TR"/>
        </w:rPr>
        <w:t>r.</w:t>
      </w:r>
      <w:r w:rsidR="00FD0D4B" w:rsidRPr="00FD0D4B">
        <w:rPr>
          <w:rFonts w:cs="Times New Roman"/>
          <w:szCs w:val="24"/>
          <w:lang w:val="tr-TR"/>
        </w:rPr>
        <w:t xml:space="preserve"> </w:t>
      </w:r>
      <w:r w:rsidR="00FD0D4B" w:rsidRPr="005C5574">
        <w:rPr>
          <w:rFonts w:cs="Times New Roman"/>
          <w:szCs w:val="24"/>
          <w:lang w:val="tr-TR"/>
        </w:rPr>
        <w:t>(</w:t>
      </w:r>
      <w:r w:rsidR="00FD0D4B" w:rsidRPr="009E5076">
        <w:rPr>
          <w:rFonts w:cs="Times New Roman"/>
          <w:szCs w:val="24"/>
          <w:lang w:val="tr-TR"/>
        </w:rPr>
        <w:t>Detaylı bilgi için Organik İnce Kimyasalların Üretimi İçin MET Referans Belgesinin 4.</w:t>
      </w:r>
      <w:r w:rsidR="00FD0D4B">
        <w:rPr>
          <w:rFonts w:cs="Times New Roman"/>
          <w:szCs w:val="24"/>
          <w:lang w:val="tr-TR"/>
        </w:rPr>
        <w:t xml:space="preserve">3.8.9 kısmını </w:t>
      </w:r>
      <w:r w:rsidR="00FD0D4B" w:rsidRPr="009E5076">
        <w:rPr>
          <w:rFonts w:cs="Times New Roman"/>
          <w:szCs w:val="24"/>
          <w:lang w:val="tr-TR"/>
        </w:rPr>
        <w:t>inceleyiniz</w:t>
      </w:r>
      <w:r w:rsidR="00FD0D4B">
        <w:rPr>
          <w:rFonts w:cs="Times New Roman"/>
          <w:szCs w:val="24"/>
          <w:lang w:val="tr-TR"/>
        </w:rPr>
        <w:t>.)</w:t>
      </w:r>
    </w:p>
    <w:p w14:paraId="7BE44576" w14:textId="77777777" w:rsidR="00496ADC" w:rsidRPr="00F50C10" w:rsidRDefault="00496ADC"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bookmarkStart w:id="216" w:name="_Toc135050237"/>
      <w:bookmarkStart w:id="217" w:name="_Toc135142015"/>
      <w:bookmarkStart w:id="218" w:name="_Toc135142092"/>
      <w:bookmarkStart w:id="219" w:name="_Toc135229452"/>
      <w:r w:rsidRPr="00F50C10">
        <w:rPr>
          <w:rFonts w:eastAsia="Times New Roman" w:cs="Times New Roman"/>
          <w:b/>
          <w:bCs/>
          <w:szCs w:val="24"/>
          <w:lang w:val="tr-TR"/>
        </w:rPr>
        <w:t>Atık su akışlarından çözücülerin uzaklaştırılması</w:t>
      </w:r>
      <w:bookmarkEnd w:id="216"/>
      <w:bookmarkEnd w:id="217"/>
      <w:bookmarkEnd w:id="218"/>
      <w:bookmarkEnd w:id="219"/>
    </w:p>
    <w:p w14:paraId="7F49AA30" w14:textId="54A5A740"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Kullanılan miktarlar nedeniyle çözücüler genellikle bir prosesin çevresel etkisinin büyük bir kısmından sorumludur. Bu nedenle çözücülerin geri kazanılması ve yeniden kullanılması veya en azından ısıl değer</w:t>
      </w:r>
      <w:r w:rsidR="000C0D63" w:rsidRPr="00F50C10">
        <w:rPr>
          <w:rFonts w:cs="Times New Roman"/>
          <w:szCs w:val="24"/>
          <w:lang w:val="tr-TR"/>
        </w:rPr>
        <w:t>ler</w:t>
      </w:r>
      <w:r w:rsidRPr="00F50C10">
        <w:rPr>
          <w:rFonts w:cs="Times New Roman"/>
          <w:szCs w:val="24"/>
          <w:lang w:val="tr-TR"/>
        </w:rPr>
        <w:t>inden faydalanılması önemlidir. Yeniden kullanım için atık su akışlarından çözücülerin geri kazanılması aşağıdaki durumlarda her zaman uygulanabilir:</w:t>
      </w:r>
    </w:p>
    <w:p w14:paraId="4812EA0C" w14:textId="77777777" w:rsidR="00496ADC" w:rsidRPr="00F50C10" w:rsidRDefault="00496ADC" w:rsidP="000B206D">
      <w:pPr>
        <w:widowControl w:val="0"/>
        <w:tabs>
          <w:tab w:val="left" w:pos="9360"/>
        </w:tabs>
        <w:autoSpaceDE w:val="0"/>
        <w:autoSpaceDN w:val="0"/>
        <w:spacing w:before="92" w:after="60" w:line="276" w:lineRule="auto"/>
        <w:jc w:val="center"/>
        <w:rPr>
          <w:rFonts w:eastAsia="Times New Roman" w:cs="Times New Roman"/>
          <w:szCs w:val="24"/>
          <w:lang w:val="tr-TR"/>
        </w:rPr>
      </w:pPr>
      <w:r w:rsidRPr="00F50C10">
        <w:rPr>
          <w:rFonts w:eastAsia="Times New Roman" w:cs="Times New Roman"/>
          <w:noProof/>
          <w:szCs w:val="24"/>
          <w:lang w:val="tr-TR" w:eastAsia="tr-TR"/>
        </w:rPr>
        <mc:AlternateContent>
          <mc:Choice Requires="wps">
            <w:drawing>
              <wp:anchor distT="0" distB="0" distL="114300" distR="114300" simplePos="0" relativeHeight="251659264" behindDoc="0" locked="0" layoutInCell="1" allowOverlap="1" wp14:anchorId="1331885C" wp14:editId="6E48E5B8">
                <wp:simplePos x="0" y="0"/>
                <wp:positionH relativeFrom="page">
                  <wp:posOffset>3713259</wp:posOffset>
                </wp:positionH>
                <wp:positionV relativeFrom="paragraph">
                  <wp:posOffset>24435</wp:posOffset>
                </wp:positionV>
                <wp:extent cx="405379" cy="413468"/>
                <wp:effectExtent l="0" t="0" r="13970" b="5715"/>
                <wp:wrapNone/>
                <wp:docPr id="36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79" cy="413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FD057" w14:textId="77777777" w:rsidR="006E1E93" w:rsidRDefault="006E1E93" w:rsidP="00496ADC">
                            <w:pPr>
                              <w:spacing w:line="444" w:lineRule="exact"/>
                              <w:jc w:val="center"/>
                              <w:rPr>
                                <w:b/>
                                <w:sz w:val="40"/>
                              </w:rPr>
                            </w:pPr>
                            <w:r>
                              <w:rPr>
                                <w:b/>
                                <w:sz w:val="40"/>
                                <w:lang w:bidi="tr-TR"/>
                              </w:rPr>
                              <w: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1885C" id="_x0000_t202" coordsize="21600,21600" o:spt="202" path="m,l,21600r21600,l21600,xe">
                <v:stroke joinstyle="miter"/>
                <v:path gradientshapeok="t" o:connecttype="rect"/>
              </v:shapetype>
              <v:shape id="Text Box 39" o:spid="_x0000_s1026" type="#_x0000_t202" style="position:absolute;left:0;text-align:left;margin-left:292.4pt;margin-top:1.9pt;width:31.9pt;height:3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7UNrgIAAKs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" filled="f" stroked="f">
                <v:textbox inset="0,0,0,0">
                  <w:txbxContent>
                    <w:p w14:paraId="65CFD057" w14:textId="77777777" w:rsidR="006E1E93" w:rsidRDefault="006E1E93" w:rsidP="00496ADC">
                      <w:pPr>
                        <w:spacing w:line="444" w:lineRule="exact"/>
                        <w:jc w:val="center"/>
                        <w:rPr>
                          <w:b/>
                          <w:sz w:val="40"/>
                        </w:rPr>
                      </w:pPr>
                      <w:r>
                        <w:rPr>
                          <w:b/>
                          <w:sz w:val="40"/>
                          <w:lang w:bidi="tr-TR"/>
                        </w:rPr>
                        <w:t>&gt;</w:t>
                      </w:r>
                    </w:p>
                  </w:txbxContent>
                </v:textbox>
                <w10:wrap anchorx="page"/>
              </v:shape>
            </w:pict>
          </mc:Fallback>
        </mc:AlternateContent>
      </w:r>
      <w:r w:rsidRPr="00F50C10">
        <w:rPr>
          <w:rFonts w:eastAsia="Times New Roman" w:cs="Times New Roman"/>
          <w:szCs w:val="24"/>
          <w:lang w:val="tr-TR" w:bidi="tr-TR"/>
        </w:rPr>
        <w:t>Biyolojik arıtma maliyetleri</w:t>
      </w:r>
      <w:r w:rsidRPr="00F50C10">
        <w:rPr>
          <w:rFonts w:eastAsia="Times New Roman" w:cs="Times New Roman"/>
          <w:szCs w:val="24"/>
          <w:lang w:val="tr-TR"/>
        </w:rPr>
        <w:t xml:space="preserve">                         </w:t>
      </w:r>
      <w:r w:rsidRPr="00F50C10">
        <w:rPr>
          <w:rFonts w:eastAsia="Times New Roman" w:cs="Times New Roman"/>
          <w:szCs w:val="24"/>
          <w:lang w:val="tr-TR" w:bidi="tr-TR"/>
        </w:rPr>
        <w:t>Geri kazanım maliyetleri</w:t>
      </w:r>
    </w:p>
    <w:p w14:paraId="18A9BCE2" w14:textId="77777777" w:rsidR="00496ADC" w:rsidRPr="00F50C10" w:rsidRDefault="00496ADC" w:rsidP="000B206D">
      <w:pPr>
        <w:widowControl w:val="0"/>
        <w:autoSpaceDE w:val="0"/>
        <w:autoSpaceDN w:val="0"/>
        <w:spacing w:before="91" w:after="60" w:line="276" w:lineRule="auto"/>
        <w:jc w:val="left"/>
        <w:rPr>
          <w:rFonts w:eastAsia="Times New Roman" w:cs="Times New Roman"/>
          <w:szCs w:val="24"/>
          <w:lang w:val="tr-TR" w:bidi="tr-TR"/>
        </w:rPr>
      </w:pPr>
      <w:r w:rsidRPr="00F50C10">
        <w:rPr>
          <w:rFonts w:eastAsia="Times New Roman" w:cs="Times New Roman"/>
          <w:szCs w:val="24"/>
          <w:lang w:val="tr-TR" w:bidi="tr-TR"/>
        </w:rPr>
        <w:t>+ yeni çözücüler için satın alma maliyetleri                             + saflaştırma</w:t>
      </w:r>
    </w:p>
    <w:p w14:paraId="42BFDA81" w14:textId="6854CB4D"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Enerji denkliği (bir tarafta biyolojik AAT'nin karşılaştırılması ve diğer tarafta sıyırma/damıtma/termal oksidasyon) genel olarak doğal yakıtın ikame edilebileceğini gösteriyorsa, ısıl değeri kullanmak için atık su akışlarından çözücülerin geri kazanılması, her zaman çevresel olarak avantajlıdır. Sonuç olarak birçok çözücü için atık su akışlarında 1 g/l hedeflenir. Hedef, ucuz çözücüler (örneğin metanol ve etanol için 10 – 15 g/l) ve saflaştırılması için daha fazla çaba gerektiren çözücüler için daha yüksektir. Hızla bozunabilen çözücüler ayrıca biyolojik bir AAT için gerekli bir karbon kaynağıdır. Sıyırma/yakma gibi tekniklerin kombinasyonları, biyolojik AAT'de arıtmaya verimli ve uygulanabilir bir alternatif sunabilir ve aynı zamanda, ana egzoz gazı azaltma sistemi olarak termal oksidasyon/yakma lehine ekonomi/enerji dengesini değiştirebilir. Ekonomik veya enerjik dengenin yanı sıra, aktif karbon adsorpsiyonu gibi akış yönündeki ön arıtma tesislerini korumak için de çözücülerin atık su akışlarından uzaklaştırılması gerekli olabil</w:t>
      </w:r>
      <w:r w:rsidR="000C0D63" w:rsidRPr="00F50C10">
        <w:rPr>
          <w:rFonts w:cs="Times New Roman"/>
          <w:szCs w:val="24"/>
          <w:lang w:val="tr-TR"/>
        </w:rPr>
        <w:t>mekted</w:t>
      </w:r>
      <w:r w:rsidRPr="00F50C10">
        <w:rPr>
          <w:rFonts w:cs="Times New Roman"/>
          <w:szCs w:val="24"/>
          <w:lang w:val="tr-TR"/>
        </w:rPr>
        <w:t xml:space="preserve">ir. </w:t>
      </w:r>
      <w:r w:rsidR="00E67409" w:rsidRPr="005C5574">
        <w:rPr>
          <w:rFonts w:cs="Times New Roman"/>
          <w:szCs w:val="24"/>
          <w:lang w:val="tr-TR"/>
        </w:rPr>
        <w:t>(</w:t>
      </w:r>
      <w:r w:rsidR="00E67409" w:rsidRPr="009E5076">
        <w:rPr>
          <w:rFonts w:cs="Times New Roman"/>
          <w:szCs w:val="24"/>
          <w:lang w:val="tr-TR"/>
        </w:rPr>
        <w:t>Detaylı bilgi için Organik İnce Kimyasalların Üretimi İçin MET Referans Belgesinin 4.</w:t>
      </w:r>
      <w:r w:rsidR="00E67409">
        <w:rPr>
          <w:rFonts w:cs="Times New Roman"/>
          <w:szCs w:val="24"/>
          <w:lang w:val="tr-TR"/>
        </w:rPr>
        <w:t xml:space="preserve">3.7.18 ve 5.2.4.2 MET kısmını </w:t>
      </w:r>
      <w:r w:rsidR="00E67409" w:rsidRPr="009E5076">
        <w:rPr>
          <w:rFonts w:cs="Times New Roman"/>
          <w:szCs w:val="24"/>
          <w:lang w:val="tr-TR"/>
        </w:rPr>
        <w:t>inceleyiniz</w:t>
      </w:r>
      <w:r w:rsidR="00E67409">
        <w:rPr>
          <w:rFonts w:cs="Times New Roman"/>
          <w:szCs w:val="24"/>
          <w:lang w:val="tr-TR"/>
        </w:rPr>
        <w:t>.)</w:t>
      </w:r>
    </w:p>
    <w:p w14:paraId="552E6DBD" w14:textId="5C715884"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58: </w:t>
      </w:r>
      <w:r w:rsidRPr="00F50C10">
        <w:rPr>
          <w:rFonts w:cs="Times New Roman"/>
          <w:szCs w:val="24"/>
          <w:lang w:val="tr-TR"/>
        </w:rPr>
        <w:t>Biyolojik arıtma ve taze çözücü satın alma maliyetlerinin geri kazanım ve saflaştırma maliyetlerinden daha yüksek olduğu durumlarda sıyırma, damıtma/rektifikasyon, özütleme gibi teknikler veya bunların kombinasyonlarının uygulanmasıyla saha içi veya saha dışında yeniden kullanım amacıyla atık su akışlarındaki çözücüler geri kazan</w:t>
      </w:r>
      <w:r w:rsidR="004E2FB9" w:rsidRPr="00F50C10">
        <w:rPr>
          <w:rFonts w:cs="Times New Roman"/>
          <w:szCs w:val="24"/>
          <w:lang w:val="tr-TR"/>
        </w:rPr>
        <w:t>ılı</w:t>
      </w:r>
      <w:r w:rsidRPr="00F50C10">
        <w:rPr>
          <w:rFonts w:cs="Times New Roman"/>
          <w:szCs w:val="24"/>
          <w:lang w:val="tr-TR"/>
        </w:rPr>
        <w:t>r.</w:t>
      </w:r>
      <w:r w:rsidR="000333E4">
        <w:rPr>
          <w:rFonts w:cs="Times New Roman"/>
          <w:szCs w:val="24"/>
          <w:lang w:val="tr-TR"/>
        </w:rPr>
        <w:t xml:space="preserve"> </w:t>
      </w:r>
      <w:r w:rsidR="000333E4" w:rsidRPr="005C5574">
        <w:rPr>
          <w:rFonts w:cs="Times New Roman"/>
          <w:szCs w:val="24"/>
          <w:lang w:val="tr-TR"/>
        </w:rPr>
        <w:t>(</w:t>
      </w:r>
      <w:r w:rsidR="000333E4" w:rsidRPr="009E5076">
        <w:rPr>
          <w:rFonts w:cs="Times New Roman"/>
          <w:szCs w:val="24"/>
          <w:lang w:val="tr-TR"/>
        </w:rPr>
        <w:t>Detaylı bilgi için Organik İnce Kimyasalların Üretimi İçin MET Referans Belgesinin 4.</w:t>
      </w:r>
      <w:r w:rsidR="000333E4">
        <w:rPr>
          <w:rFonts w:cs="Times New Roman"/>
          <w:szCs w:val="24"/>
          <w:lang w:val="tr-TR"/>
        </w:rPr>
        <w:t xml:space="preserve">3.7.18 kısmını </w:t>
      </w:r>
      <w:r w:rsidR="000333E4" w:rsidRPr="009E5076">
        <w:rPr>
          <w:rFonts w:cs="Times New Roman"/>
          <w:szCs w:val="24"/>
          <w:lang w:val="tr-TR"/>
        </w:rPr>
        <w:t>inceleyiniz</w:t>
      </w:r>
      <w:r w:rsidR="000333E4">
        <w:rPr>
          <w:rFonts w:cs="Times New Roman"/>
          <w:szCs w:val="24"/>
          <w:lang w:val="tr-TR"/>
        </w:rPr>
        <w:t>.)</w:t>
      </w:r>
    </w:p>
    <w:p w14:paraId="7134D48F" w14:textId="47806C11"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59: </w:t>
      </w:r>
      <w:r w:rsidRPr="00F50C10">
        <w:rPr>
          <w:rFonts w:cs="Times New Roman"/>
          <w:szCs w:val="24"/>
          <w:lang w:val="tr-TR"/>
        </w:rPr>
        <w:t xml:space="preserve">Enerji dengesi </w:t>
      </w:r>
      <w:r w:rsidR="000C0D63" w:rsidRPr="00F50C10">
        <w:rPr>
          <w:rFonts w:cs="Times New Roman"/>
          <w:szCs w:val="24"/>
          <w:lang w:val="tr-TR"/>
        </w:rPr>
        <w:t>toplam</w:t>
      </w:r>
      <w:r w:rsidRPr="00F50C10">
        <w:rPr>
          <w:rFonts w:cs="Times New Roman"/>
          <w:szCs w:val="24"/>
          <w:lang w:val="tr-TR"/>
        </w:rPr>
        <w:t xml:space="preserve"> doğal yakıtın ikame edilebileceğini gösteriyorsa, ısıl değerlerinden yararlanmak için atık su akışlarındaki çözücüler</w:t>
      </w:r>
      <w:r w:rsidR="004E2FB9" w:rsidRPr="00F50C10">
        <w:rPr>
          <w:rFonts w:cs="Times New Roman"/>
          <w:szCs w:val="24"/>
          <w:lang w:val="tr-TR"/>
        </w:rPr>
        <w:t xml:space="preserve"> </w:t>
      </w:r>
      <w:r w:rsidRPr="00F50C10">
        <w:rPr>
          <w:rFonts w:cs="Times New Roman"/>
          <w:szCs w:val="24"/>
          <w:lang w:val="tr-TR"/>
        </w:rPr>
        <w:t xml:space="preserve">geri </w:t>
      </w:r>
      <w:r w:rsidR="004E2FB9" w:rsidRPr="00F50C10">
        <w:rPr>
          <w:rFonts w:cs="Times New Roman"/>
          <w:szCs w:val="24"/>
          <w:lang w:val="tr-TR"/>
        </w:rPr>
        <w:t>kazanılır</w:t>
      </w:r>
      <w:r w:rsidRPr="00F50C10">
        <w:rPr>
          <w:rFonts w:cs="Times New Roman"/>
          <w:szCs w:val="24"/>
          <w:lang w:val="tr-TR"/>
        </w:rPr>
        <w:t>.</w:t>
      </w:r>
      <w:r w:rsidR="000333E4" w:rsidRPr="000333E4">
        <w:rPr>
          <w:rFonts w:cs="Times New Roman"/>
          <w:szCs w:val="24"/>
          <w:lang w:val="tr-TR"/>
        </w:rPr>
        <w:t xml:space="preserve"> </w:t>
      </w:r>
      <w:r w:rsidR="000333E4" w:rsidRPr="005C5574">
        <w:rPr>
          <w:rFonts w:cs="Times New Roman"/>
          <w:szCs w:val="24"/>
          <w:lang w:val="tr-TR"/>
        </w:rPr>
        <w:t>(</w:t>
      </w:r>
      <w:r w:rsidR="000333E4" w:rsidRPr="009E5076">
        <w:rPr>
          <w:rFonts w:cs="Times New Roman"/>
          <w:szCs w:val="24"/>
          <w:lang w:val="tr-TR"/>
        </w:rPr>
        <w:t>Detaylı bilgi için Organik İnce Kimyasalların Üretimi İçin MET Referans Belgesinin 4.</w:t>
      </w:r>
      <w:r w:rsidR="000333E4">
        <w:rPr>
          <w:rFonts w:cs="Times New Roman"/>
          <w:szCs w:val="24"/>
          <w:lang w:val="tr-TR"/>
        </w:rPr>
        <w:t xml:space="preserve">3.5.7 kısmını </w:t>
      </w:r>
      <w:r w:rsidR="000333E4" w:rsidRPr="009E5076">
        <w:rPr>
          <w:rFonts w:cs="Times New Roman"/>
          <w:szCs w:val="24"/>
          <w:lang w:val="tr-TR"/>
        </w:rPr>
        <w:t>inceleyiniz</w:t>
      </w:r>
      <w:r w:rsidR="000333E4">
        <w:rPr>
          <w:rFonts w:cs="Times New Roman"/>
          <w:szCs w:val="24"/>
          <w:lang w:val="tr-TR"/>
        </w:rPr>
        <w:t>.)</w:t>
      </w:r>
    </w:p>
    <w:p w14:paraId="12CB572E" w14:textId="77777777" w:rsidR="00496ADC" w:rsidRPr="00F50C10" w:rsidRDefault="00496ADC"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bookmarkStart w:id="220" w:name="_Toc135050238"/>
      <w:bookmarkStart w:id="221" w:name="_Toc135142016"/>
      <w:bookmarkStart w:id="222" w:name="_Toc135142093"/>
      <w:bookmarkStart w:id="223" w:name="_Toc135229453"/>
      <w:r w:rsidRPr="00F50C10">
        <w:rPr>
          <w:rFonts w:eastAsia="Times New Roman" w:cs="Times New Roman"/>
          <w:b/>
          <w:bCs/>
          <w:szCs w:val="24"/>
          <w:lang w:val="tr-TR"/>
        </w:rPr>
        <w:t>Atık su akışlarındaki halojenli bileşiklerin uzaklaştırılması</w:t>
      </w:r>
      <w:bookmarkEnd w:id="220"/>
      <w:bookmarkEnd w:id="221"/>
      <w:bookmarkEnd w:id="222"/>
      <w:bookmarkEnd w:id="223"/>
    </w:p>
    <w:p w14:paraId="1DDC4279" w14:textId="59FF736A" w:rsidR="00496ADC" w:rsidRPr="00F50C10" w:rsidRDefault="00496ADC" w:rsidP="000B206D">
      <w:pPr>
        <w:spacing w:before="120" w:after="60" w:line="276" w:lineRule="auto"/>
        <w:rPr>
          <w:rFonts w:cs="Times New Roman"/>
          <w:szCs w:val="24"/>
          <w:lang w:val="tr-TR"/>
        </w:rPr>
      </w:pPr>
      <w:r w:rsidRPr="00F50C10">
        <w:rPr>
          <w:rFonts w:cs="Times New Roman"/>
          <w:b/>
          <w:bCs/>
          <w:szCs w:val="24"/>
          <w:lang w:val="tr-TR"/>
        </w:rPr>
        <w:t xml:space="preserve">MET 60: </w:t>
      </w:r>
      <w:r w:rsidRPr="00F50C10">
        <w:rPr>
          <w:rFonts w:cs="Times New Roman"/>
          <w:szCs w:val="24"/>
          <w:lang w:val="tr-TR"/>
        </w:rPr>
        <w:t xml:space="preserve">Giderilebilir klorlu hidrokarbonlar sıyırma, arıtma veya özütleme yoluyla atık su akışlarından </w:t>
      </w:r>
      <w:r w:rsidR="00AA596A" w:rsidRPr="00F50C10">
        <w:rPr>
          <w:rFonts w:cs="Times New Roman"/>
          <w:szCs w:val="24"/>
          <w:lang w:val="tr-TR"/>
        </w:rPr>
        <w:t>uzaklaştırılır</w:t>
      </w:r>
      <w:r w:rsidRPr="00F50C10">
        <w:rPr>
          <w:rFonts w:cs="Times New Roman"/>
          <w:szCs w:val="24"/>
          <w:lang w:val="tr-TR"/>
        </w:rPr>
        <w:t>. CHC'leri uzaklaştırmak ve ön arıtmadan çıkışta &lt;1 mg/l toplam konsantrasyonlara ulaşmak veya saha içindeki biyolojik AAT girişinde veya kentsel kanalizasyon sisteminin girişinde &lt;0,1 mg/l toplam konsantrasyonlara ulaş</w:t>
      </w:r>
      <w:r w:rsidR="00AA596A" w:rsidRPr="00F50C10">
        <w:rPr>
          <w:rFonts w:cs="Times New Roman"/>
          <w:szCs w:val="24"/>
          <w:lang w:val="tr-TR"/>
        </w:rPr>
        <w:t>ıl</w:t>
      </w:r>
      <w:r w:rsidRPr="00F50C10">
        <w:rPr>
          <w:rFonts w:cs="Times New Roman"/>
          <w:szCs w:val="24"/>
          <w:lang w:val="tr-TR"/>
        </w:rPr>
        <w:t>ır.</w:t>
      </w:r>
    </w:p>
    <w:p w14:paraId="25EEEFBB" w14:textId="68C311CF"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Giderilebilir klorlu hidrokarbonlar (CHC'ler) ekotoksikolojik potansiyel gösterir ve teknik olarak mümkün olduğunda çözücüler olarak ikame edilir. CHC'lerin halen kullanımda olduğu durumlarda, bu bileşiklerin atık su akışlarından uzaklaştırılması için tüm çabalar sarf edilmektedir.</w:t>
      </w:r>
      <w:r w:rsidR="000333E4">
        <w:rPr>
          <w:rFonts w:cs="Times New Roman"/>
          <w:szCs w:val="24"/>
          <w:lang w:val="tr-TR"/>
        </w:rPr>
        <w:t xml:space="preserve"> </w:t>
      </w:r>
      <w:r w:rsidR="000333E4" w:rsidRPr="005C5574">
        <w:rPr>
          <w:rFonts w:cs="Times New Roman"/>
          <w:szCs w:val="24"/>
          <w:lang w:val="tr-TR"/>
        </w:rPr>
        <w:t>(</w:t>
      </w:r>
      <w:r w:rsidR="000333E4" w:rsidRPr="009E5076">
        <w:rPr>
          <w:rFonts w:cs="Times New Roman"/>
          <w:szCs w:val="24"/>
          <w:lang w:val="tr-TR"/>
        </w:rPr>
        <w:t>Detaylı bilgi için Organik İnce Kimyasalların Üretimi İçin MET Referans Belgesinin 4.</w:t>
      </w:r>
      <w:r w:rsidR="000333E4">
        <w:rPr>
          <w:rFonts w:cs="Times New Roman"/>
          <w:szCs w:val="24"/>
          <w:lang w:val="tr-TR"/>
        </w:rPr>
        <w:t xml:space="preserve">3.7.18, 4.3.7.19 ve 4.3.7.20 kısmını </w:t>
      </w:r>
      <w:r w:rsidR="000333E4" w:rsidRPr="009E5076">
        <w:rPr>
          <w:rFonts w:cs="Times New Roman"/>
          <w:szCs w:val="24"/>
          <w:lang w:val="tr-TR"/>
        </w:rPr>
        <w:t>inceleyiniz</w:t>
      </w:r>
      <w:r w:rsidR="000333E4">
        <w:rPr>
          <w:rFonts w:cs="Times New Roman"/>
          <w:szCs w:val="24"/>
          <w:lang w:val="tr-TR"/>
        </w:rPr>
        <w:t>.)</w:t>
      </w:r>
    </w:p>
    <w:p w14:paraId="5A6F8F41" w14:textId="5CF9A448"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61: </w:t>
      </w:r>
      <w:r w:rsidRPr="00F50C10">
        <w:rPr>
          <w:rFonts w:cs="Times New Roman"/>
          <w:szCs w:val="24"/>
          <w:lang w:val="tr-TR"/>
        </w:rPr>
        <w:t xml:space="preserve">Önemli AOX yükleri içeren atık su akışlarını ön arıtmaya tabi tutmak ve saha içindeki biyolojik AAT girişinde veya belediye kanalizasyon sisteminin girişinde, </w:t>
      </w:r>
      <w:r w:rsidR="00AA596A" w:rsidRPr="00F50C10">
        <w:rPr>
          <w:rFonts w:cs="Times New Roman"/>
          <w:szCs w:val="24"/>
          <w:lang w:val="tr-TR"/>
        </w:rPr>
        <w:t xml:space="preserve">Tablo 6’da </w:t>
      </w:r>
      <w:r w:rsidRPr="00F50C10">
        <w:rPr>
          <w:rFonts w:cs="Times New Roman"/>
          <w:szCs w:val="24"/>
          <w:lang w:val="tr-TR"/>
        </w:rPr>
        <w:t>verilen AOX seviyeleri sağla</w:t>
      </w:r>
      <w:r w:rsidR="00AA596A" w:rsidRPr="00F50C10">
        <w:rPr>
          <w:rFonts w:cs="Times New Roman"/>
          <w:szCs w:val="24"/>
          <w:lang w:val="tr-TR"/>
        </w:rPr>
        <w:t>n</w:t>
      </w:r>
      <w:r w:rsidRPr="00F50C10">
        <w:rPr>
          <w:rFonts w:cs="Times New Roman"/>
          <w:szCs w:val="24"/>
          <w:lang w:val="tr-TR"/>
        </w:rPr>
        <w:t>ır.</w:t>
      </w:r>
      <w:r w:rsidR="00B544EE" w:rsidRPr="00B544EE">
        <w:rPr>
          <w:rFonts w:cs="Times New Roman"/>
          <w:szCs w:val="24"/>
          <w:lang w:val="tr-TR"/>
        </w:rPr>
        <w:t xml:space="preserve"> </w:t>
      </w:r>
      <w:r w:rsidR="00B544EE" w:rsidRPr="005C5574">
        <w:rPr>
          <w:rFonts w:cs="Times New Roman"/>
          <w:szCs w:val="24"/>
          <w:lang w:val="tr-TR"/>
        </w:rPr>
        <w:t>(</w:t>
      </w:r>
      <w:r w:rsidR="00B544EE" w:rsidRPr="009E5076">
        <w:rPr>
          <w:rFonts w:cs="Times New Roman"/>
          <w:szCs w:val="24"/>
          <w:lang w:val="tr-TR"/>
        </w:rPr>
        <w:t>Detaylı bilgi için Organik İnce Kimyasalların Üretimi İçin MET Referans Belgesinin 4.</w:t>
      </w:r>
      <w:r w:rsidR="00B544EE">
        <w:rPr>
          <w:rFonts w:cs="Times New Roman"/>
          <w:szCs w:val="24"/>
          <w:lang w:val="tr-TR"/>
        </w:rPr>
        <w:t xml:space="preserve">3.7.14 kısmını </w:t>
      </w:r>
      <w:r w:rsidR="00B544EE" w:rsidRPr="009E5076">
        <w:rPr>
          <w:rFonts w:cs="Times New Roman"/>
          <w:szCs w:val="24"/>
          <w:lang w:val="tr-TR"/>
        </w:rPr>
        <w:t>inceleyiniz</w:t>
      </w:r>
      <w:r w:rsidR="00B544EE">
        <w:rPr>
          <w:rFonts w:cs="Times New Roman"/>
          <w:szCs w:val="24"/>
          <w:lang w:val="tr-TR"/>
        </w:rPr>
        <w:t>.)</w:t>
      </w:r>
    </w:p>
    <w:p w14:paraId="04D7A4E8" w14:textId="524D726A" w:rsidR="00496ADC" w:rsidRPr="00F50C10" w:rsidRDefault="007F788D" w:rsidP="000B206D">
      <w:pPr>
        <w:keepNext/>
        <w:spacing w:before="120" w:after="60" w:line="276" w:lineRule="auto"/>
        <w:rPr>
          <w:rFonts w:cs="Times New Roman"/>
          <w:b/>
          <w:iCs/>
          <w:color w:val="000000" w:themeColor="text1"/>
          <w:szCs w:val="24"/>
          <w:lang w:val="tr-TR"/>
        </w:rPr>
      </w:pPr>
      <w:bookmarkStart w:id="224" w:name="_Toc135050102"/>
      <w:r w:rsidRPr="00F50C10">
        <w:rPr>
          <w:rFonts w:cs="Times New Roman"/>
          <w:b/>
          <w:iCs/>
          <w:color w:val="000000" w:themeColor="text1"/>
          <w:szCs w:val="24"/>
          <w:lang w:val="tr-TR"/>
        </w:rPr>
        <w:t xml:space="preserve">Tablo 6. </w:t>
      </w:r>
      <w:r w:rsidR="00496ADC" w:rsidRPr="00F50C10">
        <w:rPr>
          <w:rFonts w:cs="Times New Roman"/>
          <w:b/>
          <w:iCs/>
          <w:color w:val="000000" w:themeColor="text1"/>
          <w:szCs w:val="24"/>
          <w:lang w:val="tr-TR"/>
        </w:rPr>
        <w:t>Saha içindeki biyolojik AAT girişi veya kentsel kanalizasyon sistemi girişindeki MET ile ilişkili AOX seviyeleri</w:t>
      </w:r>
      <w:bookmarkEnd w:id="22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32"/>
        <w:gridCol w:w="1804"/>
        <w:gridCol w:w="942"/>
        <w:gridCol w:w="5132"/>
      </w:tblGrid>
      <w:tr w:rsidR="00496ADC" w:rsidRPr="00F50C10" w14:paraId="066E945F" w14:textId="77777777" w:rsidTr="00375F59">
        <w:trPr>
          <w:trHeight w:val="20"/>
          <w:tblHeader/>
        </w:trPr>
        <w:tc>
          <w:tcPr>
            <w:tcW w:w="769" w:type="pct"/>
            <w:vAlign w:val="center"/>
          </w:tcPr>
          <w:p w14:paraId="5FDE0829" w14:textId="77777777" w:rsidR="00496ADC" w:rsidRPr="00F50C10" w:rsidRDefault="00496ADC" w:rsidP="000B206D">
            <w:pPr>
              <w:widowControl w:val="0"/>
              <w:tabs>
                <w:tab w:val="left" w:pos="1578"/>
              </w:tabs>
              <w:autoSpaceDE w:val="0"/>
              <w:autoSpaceDN w:val="0"/>
              <w:spacing w:line="276" w:lineRule="auto"/>
              <w:jc w:val="left"/>
              <w:rPr>
                <w:rFonts w:eastAsia="Times New Roman" w:cs="Times New Roman"/>
                <w:b/>
                <w:szCs w:val="24"/>
                <w:lang w:val="tr-TR"/>
              </w:rPr>
            </w:pPr>
            <w:r w:rsidRPr="00F50C10">
              <w:rPr>
                <w:rFonts w:eastAsia="Times New Roman" w:cs="Times New Roman"/>
                <w:b/>
                <w:szCs w:val="24"/>
                <w:lang w:val="tr-TR" w:bidi="tr-TR"/>
              </w:rPr>
              <w:t>Parametre</w:t>
            </w:r>
          </w:p>
        </w:tc>
        <w:tc>
          <w:tcPr>
            <w:tcW w:w="969" w:type="pct"/>
            <w:vAlign w:val="center"/>
          </w:tcPr>
          <w:p w14:paraId="63EBE95B" w14:textId="77777777" w:rsidR="00496ADC" w:rsidRPr="00F50C10" w:rsidRDefault="00496ADC" w:rsidP="000B206D">
            <w:pPr>
              <w:widowControl w:val="0"/>
              <w:autoSpaceDE w:val="0"/>
              <w:autoSpaceDN w:val="0"/>
              <w:spacing w:line="276" w:lineRule="auto"/>
              <w:jc w:val="center"/>
              <w:rPr>
                <w:rFonts w:eastAsia="Times New Roman" w:cs="Times New Roman"/>
                <w:b/>
                <w:szCs w:val="24"/>
                <w:lang w:val="tr-TR"/>
              </w:rPr>
            </w:pPr>
            <w:r w:rsidRPr="00F50C10">
              <w:rPr>
                <w:rFonts w:eastAsia="Times New Roman" w:cs="Times New Roman"/>
                <w:b/>
                <w:szCs w:val="24"/>
                <w:lang w:val="tr-TR" w:bidi="tr-TR"/>
              </w:rPr>
              <w:t>Yıllık ortalama seviyeler</w:t>
            </w:r>
          </w:p>
        </w:tc>
        <w:tc>
          <w:tcPr>
            <w:tcW w:w="506" w:type="pct"/>
            <w:vAlign w:val="center"/>
          </w:tcPr>
          <w:p w14:paraId="6C642771" w14:textId="77777777" w:rsidR="00496ADC" w:rsidRPr="00F50C10" w:rsidRDefault="00496ADC" w:rsidP="000B206D">
            <w:pPr>
              <w:widowControl w:val="0"/>
              <w:autoSpaceDE w:val="0"/>
              <w:autoSpaceDN w:val="0"/>
              <w:spacing w:line="276" w:lineRule="auto"/>
              <w:jc w:val="center"/>
              <w:rPr>
                <w:rFonts w:eastAsia="Times New Roman" w:cs="Times New Roman"/>
                <w:b/>
                <w:szCs w:val="24"/>
                <w:lang w:val="tr-TR"/>
              </w:rPr>
            </w:pPr>
            <w:r w:rsidRPr="00F50C10">
              <w:rPr>
                <w:rFonts w:eastAsia="Times New Roman" w:cs="Times New Roman"/>
                <w:b/>
                <w:szCs w:val="24"/>
                <w:lang w:val="tr-TR" w:bidi="tr-TR"/>
              </w:rPr>
              <w:t>Birim</w:t>
            </w:r>
          </w:p>
        </w:tc>
        <w:tc>
          <w:tcPr>
            <w:tcW w:w="2756" w:type="pct"/>
            <w:vAlign w:val="center"/>
          </w:tcPr>
          <w:p w14:paraId="5949FCA8" w14:textId="77777777" w:rsidR="00496ADC" w:rsidRPr="00F50C10" w:rsidRDefault="00496ADC" w:rsidP="000B206D">
            <w:pPr>
              <w:widowControl w:val="0"/>
              <w:autoSpaceDE w:val="0"/>
              <w:autoSpaceDN w:val="0"/>
              <w:spacing w:line="276" w:lineRule="auto"/>
              <w:jc w:val="center"/>
              <w:rPr>
                <w:rFonts w:eastAsia="Times New Roman" w:cs="Times New Roman"/>
                <w:b/>
                <w:szCs w:val="24"/>
                <w:lang w:val="tr-TR"/>
              </w:rPr>
            </w:pPr>
            <w:r w:rsidRPr="00F50C10">
              <w:rPr>
                <w:rFonts w:eastAsia="Times New Roman" w:cs="Times New Roman"/>
                <w:b/>
                <w:szCs w:val="24"/>
                <w:lang w:val="tr-TR" w:bidi="tr-TR"/>
              </w:rPr>
              <w:t>Açıklama</w:t>
            </w:r>
          </w:p>
        </w:tc>
      </w:tr>
      <w:tr w:rsidR="00496ADC" w:rsidRPr="00F50C10" w14:paraId="2024EB96" w14:textId="77777777" w:rsidTr="00375F59">
        <w:trPr>
          <w:trHeight w:val="20"/>
        </w:trPr>
        <w:tc>
          <w:tcPr>
            <w:tcW w:w="769" w:type="pct"/>
            <w:vAlign w:val="center"/>
          </w:tcPr>
          <w:p w14:paraId="5B3EC419"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AOX</w:t>
            </w:r>
          </w:p>
        </w:tc>
        <w:tc>
          <w:tcPr>
            <w:tcW w:w="969" w:type="pct"/>
            <w:vAlign w:val="center"/>
          </w:tcPr>
          <w:p w14:paraId="11F5C6C8"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0,5 – 8,5</w:t>
            </w:r>
          </w:p>
        </w:tc>
        <w:tc>
          <w:tcPr>
            <w:tcW w:w="506" w:type="pct"/>
            <w:vAlign w:val="center"/>
          </w:tcPr>
          <w:p w14:paraId="1CD79603"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mg/l</w:t>
            </w:r>
          </w:p>
        </w:tc>
        <w:tc>
          <w:tcPr>
            <w:tcW w:w="2756" w:type="pct"/>
            <w:vAlign w:val="center"/>
          </w:tcPr>
          <w:p w14:paraId="15A2C324"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Üst aralık, halojenli bileşiklerin çeşitli proseslerde işlendiği ve ilgili atık su akışlarının ön arıtmaya tabi tutulduğu ve/veya AOX'in biyolojik olarak yok edilebilir olduğu durumlarla ilgilidir.</w:t>
            </w:r>
          </w:p>
        </w:tc>
      </w:tr>
    </w:tbl>
    <w:p w14:paraId="436E931D" w14:textId="77777777"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 xml:space="preserve">AOX emisyon seviyesini aktif olarak etkileyen ana faktör, AOX ile ilgili proseslerden kaynaklanan atık su akışlarının ayrılması ve seçici ön arıtımıdır. </w:t>
      </w:r>
    </w:p>
    <w:p w14:paraId="040E8D2A" w14:textId="77777777" w:rsidR="00496ADC" w:rsidRPr="00F50C10" w:rsidRDefault="00496ADC"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bookmarkStart w:id="225" w:name="_Toc135050239"/>
      <w:bookmarkStart w:id="226" w:name="_Toc135142017"/>
      <w:bookmarkStart w:id="227" w:name="_Toc135142094"/>
      <w:bookmarkStart w:id="228" w:name="_Toc135229454"/>
      <w:r w:rsidRPr="00F50C10">
        <w:rPr>
          <w:rFonts w:eastAsia="Times New Roman" w:cs="Times New Roman"/>
          <w:b/>
          <w:bCs/>
          <w:szCs w:val="24"/>
          <w:lang w:val="tr-TR"/>
        </w:rPr>
        <w:t>Ağır metal içeren atık su akışlarının ön arıtımı</w:t>
      </w:r>
      <w:bookmarkEnd w:id="225"/>
      <w:bookmarkEnd w:id="226"/>
      <w:bookmarkEnd w:id="227"/>
      <w:bookmarkEnd w:id="228"/>
    </w:p>
    <w:p w14:paraId="3D4A3EA1" w14:textId="77777777"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AOX emisyon seviyesini aktif olarak etkileyen ana faktör, ağır metallerin kasıtlı olarak kullanıldığı proseslerden kaynaklanan atık su akışlarının ayrılması ve seçici ön arıtımıdır. Ön arıtma ve biyolojik atık su arıtma kombinasyonu ile karşılaştırıldığında eş değer uzaklaştırma seviyeleri gösterilebilirse, biyolojik arıtmanın saha içinde yapılması ve arıtma çamurunun yakılması şartıyla sadece biyolojik atık su arıtma prosesi kullanılarak toplam çıkış suyundaki ağır metaller giderilebilir.</w:t>
      </w:r>
    </w:p>
    <w:p w14:paraId="64516D12" w14:textId="20BAC5E4"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62: </w:t>
      </w:r>
      <w:r w:rsidRPr="00B544EE">
        <w:rPr>
          <w:rFonts w:cs="Times New Roman"/>
          <w:szCs w:val="24"/>
          <w:lang w:val="tr-TR"/>
        </w:rPr>
        <w:t>Kasıtlı olarak kullanıldıkları proseslerden kaynaklanan ve ağır metaller</w:t>
      </w:r>
      <w:r w:rsidR="007F788D" w:rsidRPr="00B544EE">
        <w:rPr>
          <w:rFonts w:cs="Times New Roman"/>
          <w:szCs w:val="24"/>
          <w:lang w:val="tr-TR"/>
        </w:rPr>
        <w:t>i</w:t>
      </w:r>
      <w:r w:rsidRPr="00B544EE">
        <w:rPr>
          <w:rFonts w:cs="Times New Roman"/>
          <w:szCs w:val="24"/>
          <w:lang w:val="tr-TR"/>
        </w:rPr>
        <w:t xml:space="preserve"> veya ağır metal bileşikleri</w:t>
      </w:r>
      <w:r w:rsidR="007F788D" w:rsidRPr="00B544EE">
        <w:rPr>
          <w:rFonts w:cs="Times New Roman"/>
          <w:szCs w:val="24"/>
          <w:lang w:val="tr-TR"/>
        </w:rPr>
        <w:t>ni önemli seviyelerde</w:t>
      </w:r>
      <w:r w:rsidRPr="00B544EE">
        <w:rPr>
          <w:rFonts w:cs="Times New Roman"/>
          <w:szCs w:val="24"/>
          <w:lang w:val="tr-TR"/>
        </w:rPr>
        <w:t xml:space="preserve"> içeren atık su akışları ön arıtmaya tabi tut</w:t>
      </w:r>
      <w:r w:rsidR="00AA596A" w:rsidRPr="00B544EE">
        <w:rPr>
          <w:rFonts w:cs="Times New Roman"/>
          <w:szCs w:val="24"/>
          <w:lang w:val="tr-TR"/>
        </w:rPr>
        <w:t xml:space="preserve">ulur </w:t>
      </w:r>
      <w:r w:rsidRPr="00B544EE">
        <w:rPr>
          <w:rFonts w:cs="Times New Roman"/>
          <w:szCs w:val="24"/>
          <w:lang w:val="tr-TR"/>
        </w:rPr>
        <w:t xml:space="preserve">ve saha içindeki biyolojik AAT girişinde veya kentsel kanalizasyon sisteminin girişinde, </w:t>
      </w:r>
      <w:r w:rsidR="00AA596A" w:rsidRPr="00B544EE">
        <w:rPr>
          <w:rFonts w:cs="Times New Roman"/>
          <w:szCs w:val="24"/>
          <w:lang w:val="tr-TR"/>
        </w:rPr>
        <w:t xml:space="preserve">Tablo 7’de </w:t>
      </w:r>
      <w:r w:rsidRPr="00B544EE">
        <w:rPr>
          <w:rFonts w:cs="Times New Roman"/>
          <w:szCs w:val="24"/>
          <w:lang w:val="tr-TR"/>
        </w:rPr>
        <w:t>verilen ağır metal konsantrasyonları</w:t>
      </w:r>
      <w:r w:rsidR="00AA596A" w:rsidRPr="00B544EE">
        <w:rPr>
          <w:rFonts w:cs="Times New Roman"/>
          <w:szCs w:val="24"/>
          <w:lang w:val="tr-TR"/>
        </w:rPr>
        <w:t xml:space="preserve"> sağlanır</w:t>
      </w:r>
      <w:r w:rsidRPr="00B544EE">
        <w:rPr>
          <w:rFonts w:cs="Times New Roman"/>
          <w:szCs w:val="24"/>
          <w:lang w:val="tr-TR"/>
        </w:rPr>
        <w:t>.</w:t>
      </w:r>
      <w:r w:rsidR="00B544EE" w:rsidRPr="00B544EE">
        <w:rPr>
          <w:rFonts w:cs="Times New Roman"/>
          <w:szCs w:val="24"/>
          <w:lang w:val="tr-TR"/>
        </w:rPr>
        <w:t xml:space="preserve"> </w:t>
      </w:r>
      <w:r w:rsidR="00B544EE" w:rsidRPr="005C5574">
        <w:rPr>
          <w:rFonts w:cs="Times New Roman"/>
          <w:szCs w:val="24"/>
          <w:lang w:val="tr-TR"/>
        </w:rPr>
        <w:t>(</w:t>
      </w:r>
      <w:r w:rsidR="00B544EE" w:rsidRPr="009E5076">
        <w:rPr>
          <w:rFonts w:cs="Times New Roman"/>
          <w:szCs w:val="24"/>
          <w:lang w:val="tr-TR"/>
        </w:rPr>
        <w:t>Detaylı bilgi için Organik İnce Kimyasalların Üretimi İçin MET Referans Belgesinin 4.</w:t>
      </w:r>
      <w:r w:rsidR="00B544EE">
        <w:rPr>
          <w:rFonts w:cs="Times New Roman"/>
          <w:szCs w:val="24"/>
          <w:lang w:val="tr-TR"/>
        </w:rPr>
        <w:t xml:space="preserve">3.7.22 kısmını </w:t>
      </w:r>
      <w:r w:rsidR="00B544EE" w:rsidRPr="009E5076">
        <w:rPr>
          <w:rFonts w:cs="Times New Roman"/>
          <w:szCs w:val="24"/>
          <w:lang w:val="tr-TR"/>
        </w:rPr>
        <w:t>inceleyiniz</w:t>
      </w:r>
      <w:r w:rsidR="00B544EE">
        <w:rPr>
          <w:rFonts w:cs="Times New Roman"/>
          <w:szCs w:val="24"/>
          <w:lang w:val="tr-TR"/>
        </w:rPr>
        <w:t>.)</w:t>
      </w:r>
    </w:p>
    <w:p w14:paraId="22D2296D" w14:textId="1D144EFE" w:rsidR="00496ADC" w:rsidRPr="00F50C10" w:rsidRDefault="007F788D" w:rsidP="000B206D">
      <w:pPr>
        <w:keepNext/>
        <w:spacing w:before="120" w:after="60" w:line="276" w:lineRule="auto"/>
        <w:rPr>
          <w:rFonts w:cs="Times New Roman"/>
          <w:b/>
          <w:iCs/>
          <w:color w:val="000000" w:themeColor="text1"/>
          <w:szCs w:val="24"/>
          <w:lang w:val="tr-TR"/>
        </w:rPr>
      </w:pPr>
      <w:bookmarkStart w:id="229" w:name="_Toc135050103"/>
      <w:r w:rsidRPr="00F50C10">
        <w:rPr>
          <w:rFonts w:cs="Times New Roman"/>
          <w:b/>
          <w:iCs/>
          <w:color w:val="000000" w:themeColor="text1"/>
          <w:szCs w:val="24"/>
          <w:lang w:val="tr-TR"/>
        </w:rPr>
        <w:t xml:space="preserve">Tablo 7. </w:t>
      </w:r>
      <w:r w:rsidR="00496ADC" w:rsidRPr="00F50C10">
        <w:rPr>
          <w:rFonts w:cs="Times New Roman"/>
          <w:b/>
          <w:iCs/>
          <w:color w:val="000000" w:themeColor="text1"/>
          <w:szCs w:val="24"/>
          <w:lang w:val="tr-TR"/>
        </w:rPr>
        <w:t>Saha içindeki biyolojik AAT girişindeki veya kentsel kanalizasyon sistemi girişindeki MET ile ilişkili ağır metal seviyeleri</w:t>
      </w:r>
      <w:bookmarkEnd w:id="229"/>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92"/>
        <w:gridCol w:w="2458"/>
        <w:gridCol w:w="1154"/>
        <w:gridCol w:w="3906"/>
      </w:tblGrid>
      <w:tr w:rsidR="00496ADC" w:rsidRPr="00F50C10" w14:paraId="2A2252A5" w14:textId="77777777" w:rsidTr="00375F59">
        <w:trPr>
          <w:trHeight w:val="20"/>
          <w:tblHeader/>
          <w:jc w:val="center"/>
        </w:trPr>
        <w:tc>
          <w:tcPr>
            <w:tcW w:w="962" w:type="pct"/>
            <w:vAlign w:val="center"/>
          </w:tcPr>
          <w:p w14:paraId="738C04EC" w14:textId="77777777" w:rsidR="00496ADC" w:rsidRPr="00F50C10" w:rsidRDefault="00496ADC" w:rsidP="000B206D">
            <w:pPr>
              <w:widowControl w:val="0"/>
              <w:autoSpaceDE w:val="0"/>
              <w:autoSpaceDN w:val="0"/>
              <w:spacing w:before="120" w:after="60" w:line="276" w:lineRule="auto"/>
              <w:jc w:val="left"/>
              <w:rPr>
                <w:rFonts w:eastAsia="Times New Roman" w:cs="Times New Roman"/>
                <w:b/>
                <w:szCs w:val="24"/>
                <w:lang w:val="tr-TR"/>
              </w:rPr>
            </w:pPr>
            <w:r w:rsidRPr="00F50C10">
              <w:rPr>
                <w:rFonts w:eastAsia="Times New Roman" w:cs="Times New Roman"/>
                <w:b/>
                <w:w w:val="95"/>
                <w:szCs w:val="24"/>
                <w:lang w:val="tr-TR" w:bidi="tr-TR"/>
              </w:rPr>
              <w:t>Parametre</w:t>
            </w:r>
          </w:p>
        </w:tc>
        <w:tc>
          <w:tcPr>
            <w:tcW w:w="1320" w:type="pct"/>
            <w:vAlign w:val="center"/>
          </w:tcPr>
          <w:p w14:paraId="5DA5D921" w14:textId="77777777" w:rsidR="00496ADC" w:rsidRPr="00F50C10" w:rsidRDefault="00496ADC" w:rsidP="000B206D">
            <w:pPr>
              <w:widowControl w:val="0"/>
              <w:autoSpaceDE w:val="0"/>
              <w:autoSpaceDN w:val="0"/>
              <w:spacing w:before="120" w:after="60" w:line="276" w:lineRule="auto"/>
              <w:jc w:val="center"/>
              <w:rPr>
                <w:rFonts w:eastAsia="Times New Roman" w:cs="Times New Roman"/>
                <w:b/>
                <w:szCs w:val="24"/>
                <w:lang w:val="tr-TR"/>
              </w:rPr>
            </w:pPr>
            <w:r w:rsidRPr="00F50C10">
              <w:rPr>
                <w:rFonts w:eastAsia="Times New Roman" w:cs="Times New Roman"/>
                <w:b/>
                <w:szCs w:val="24"/>
                <w:lang w:val="tr-TR" w:bidi="tr-TR"/>
              </w:rPr>
              <w:t>Yıllık ortalama seviyeler</w:t>
            </w:r>
          </w:p>
        </w:tc>
        <w:tc>
          <w:tcPr>
            <w:tcW w:w="620" w:type="pct"/>
            <w:vAlign w:val="center"/>
          </w:tcPr>
          <w:p w14:paraId="3E87A985" w14:textId="77777777" w:rsidR="00496ADC" w:rsidRPr="00F50C10" w:rsidRDefault="00496ADC" w:rsidP="000B206D">
            <w:pPr>
              <w:widowControl w:val="0"/>
              <w:autoSpaceDE w:val="0"/>
              <w:autoSpaceDN w:val="0"/>
              <w:spacing w:before="120" w:after="60" w:line="276" w:lineRule="auto"/>
              <w:jc w:val="center"/>
              <w:rPr>
                <w:rFonts w:eastAsia="Times New Roman" w:cs="Times New Roman"/>
                <w:b/>
                <w:szCs w:val="24"/>
                <w:lang w:val="tr-TR"/>
              </w:rPr>
            </w:pPr>
            <w:r w:rsidRPr="00F50C10">
              <w:rPr>
                <w:rFonts w:eastAsia="Times New Roman" w:cs="Times New Roman"/>
                <w:b/>
                <w:szCs w:val="24"/>
                <w:lang w:val="tr-TR" w:bidi="tr-TR"/>
              </w:rPr>
              <w:t>Birim</w:t>
            </w:r>
          </w:p>
        </w:tc>
        <w:tc>
          <w:tcPr>
            <w:tcW w:w="2098" w:type="pct"/>
            <w:vAlign w:val="center"/>
          </w:tcPr>
          <w:p w14:paraId="757F27AF" w14:textId="77777777" w:rsidR="00496ADC" w:rsidRPr="00F50C10" w:rsidRDefault="00496ADC" w:rsidP="000B206D">
            <w:pPr>
              <w:widowControl w:val="0"/>
              <w:autoSpaceDE w:val="0"/>
              <w:autoSpaceDN w:val="0"/>
              <w:spacing w:before="120" w:after="60" w:line="276" w:lineRule="auto"/>
              <w:jc w:val="center"/>
              <w:rPr>
                <w:rFonts w:eastAsia="Times New Roman" w:cs="Times New Roman"/>
                <w:b/>
                <w:szCs w:val="24"/>
                <w:lang w:val="tr-TR"/>
              </w:rPr>
            </w:pPr>
            <w:r w:rsidRPr="00F50C10">
              <w:rPr>
                <w:rFonts w:eastAsia="Times New Roman" w:cs="Times New Roman"/>
                <w:b/>
                <w:szCs w:val="24"/>
                <w:lang w:val="tr-TR" w:bidi="tr-TR"/>
              </w:rPr>
              <w:t>Açıklama</w:t>
            </w:r>
          </w:p>
        </w:tc>
      </w:tr>
      <w:tr w:rsidR="00496ADC" w:rsidRPr="00F50C10" w14:paraId="40DF758B" w14:textId="77777777" w:rsidTr="00375F59">
        <w:trPr>
          <w:trHeight w:val="20"/>
          <w:jc w:val="center"/>
        </w:trPr>
        <w:tc>
          <w:tcPr>
            <w:tcW w:w="962" w:type="pct"/>
            <w:vAlign w:val="center"/>
          </w:tcPr>
          <w:p w14:paraId="01C95757"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Cu</w:t>
            </w:r>
          </w:p>
        </w:tc>
        <w:tc>
          <w:tcPr>
            <w:tcW w:w="1320" w:type="pct"/>
            <w:vAlign w:val="center"/>
          </w:tcPr>
          <w:p w14:paraId="24285E74"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0,03 – 0,4</w:t>
            </w:r>
          </w:p>
        </w:tc>
        <w:tc>
          <w:tcPr>
            <w:tcW w:w="620" w:type="pct"/>
            <w:vMerge w:val="restart"/>
            <w:vAlign w:val="center"/>
          </w:tcPr>
          <w:p w14:paraId="3BBC4450"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mg/l</w:t>
            </w:r>
          </w:p>
        </w:tc>
        <w:tc>
          <w:tcPr>
            <w:tcW w:w="2098" w:type="pct"/>
            <w:vMerge w:val="restart"/>
            <w:vAlign w:val="center"/>
          </w:tcPr>
          <w:p w14:paraId="40957612"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Üst aralıklar, çeşitli proseslerde ağır metallerin veya ağır metal bileşiklerinin kasıtlı kullanımından ve bu kullanım nedeniyle atık su akışlarının ön arıtmaya tabi tutulmasından kaynaklanmaktadır.</w:t>
            </w:r>
          </w:p>
        </w:tc>
      </w:tr>
      <w:tr w:rsidR="00496ADC" w:rsidRPr="00F50C10" w14:paraId="10C39DDE" w14:textId="77777777" w:rsidTr="00375F59">
        <w:trPr>
          <w:trHeight w:val="20"/>
          <w:jc w:val="center"/>
        </w:trPr>
        <w:tc>
          <w:tcPr>
            <w:tcW w:w="962" w:type="pct"/>
            <w:vAlign w:val="center"/>
          </w:tcPr>
          <w:p w14:paraId="57AD29A4"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Cr</w:t>
            </w:r>
          </w:p>
        </w:tc>
        <w:tc>
          <w:tcPr>
            <w:tcW w:w="1320" w:type="pct"/>
            <w:vAlign w:val="center"/>
          </w:tcPr>
          <w:p w14:paraId="292351BF"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0,04 – 0,3</w:t>
            </w:r>
          </w:p>
        </w:tc>
        <w:tc>
          <w:tcPr>
            <w:tcW w:w="620" w:type="pct"/>
            <w:vMerge/>
            <w:vAlign w:val="center"/>
          </w:tcPr>
          <w:p w14:paraId="4B03C5B5"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p>
        </w:tc>
        <w:tc>
          <w:tcPr>
            <w:tcW w:w="2098" w:type="pct"/>
            <w:vMerge/>
            <w:tcBorders>
              <w:top w:val="nil"/>
            </w:tcBorders>
            <w:vAlign w:val="center"/>
          </w:tcPr>
          <w:p w14:paraId="6AC488DE" w14:textId="77777777" w:rsidR="00496ADC" w:rsidRPr="00F50C10" w:rsidRDefault="00496ADC" w:rsidP="000B206D">
            <w:pPr>
              <w:spacing w:line="276" w:lineRule="auto"/>
              <w:jc w:val="center"/>
              <w:rPr>
                <w:rFonts w:cs="Times New Roman"/>
                <w:szCs w:val="24"/>
                <w:lang w:val="tr-TR"/>
              </w:rPr>
            </w:pPr>
          </w:p>
        </w:tc>
      </w:tr>
      <w:tr w:rsidR="00496ADC" w:rsidRPr="00F50C10" w14:paraId="625BA4E7" w14:textId="77777777" w:rsidTr="00375F59">
        <w:trPr>
          <w:trHeight w:val="20"/>
          <w:jc w:val="center"/>
        </w:trPr>
        <w:tc>
          <w:tcPr>
            <w:tcW w:w="962" w:type="pct"/>
            <w:vAlign w:val="center"/>
          </w:tcPr>
          <w:p w14:paraId="3B8C12CF"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w w:val="95"/>
                <w:szCs w:val="24"/>
                <w:lang w:val="tr-TR" w:bidi="tr-TR"/>
              </w:rPr>
              <w:t>Ni</w:t>
            </w:r>
          </w:p>
        </w:tc>
        <w:tc>
          <w:tcPr>
            <w:tcW w:w="1320" w:type="pct"/>
            <w:vAlign w:val="center"/>
          </w:tcPr>
          <w:p w14:paraId="07BA5BC8"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0,03 – 0,3</w:t>
            </w:r>
          </w:p>
        </w:tc>
        <w:tc>
          <w:tcPr>
            <w:tcW w:w="620" w:type="pct"/>
            <w:vMerge/>
            <w:vAlign w:val="center"/>
          </w:tcPr>
          <w:p w14:paraId="135FAD33"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p>
        </w:tc>
        <w:tc>
          <w:tcPr>
            <w:tcW w:w="2098" w:type="pct"/>
            <w:vMerge/>
            <w:tcBorders>
              <w:top w:val="nil"/>
            </w:tcBorders>
            <w:vAlign w:val="center"/>
          </w:tcPr>
          <w:p w14:paraId="58843114" w14:textId="77777777" w:rsidR="00496ADC" w:rsidRPr="00F50C10" w:rsidRDefault="00496ADC" w:rsidP="000B206D">
            <w:pPr>
              <w:spacing w:line="276" w:lineRule="auto"/>
              <w:jc w:val="center"/>
              <w:rPr>
                <w:rFonts w:cs="Times New Roman"/>
                <w:szCs w:val="24"/>
                <w:lang w:val="tr-TR"/>
              </w:rPr>
            </w:pPr>
          </w:p>
        </w:tc>
      </w:tr>
      <w:tr w:rsidR="00496ADC" w:rsidRPr="00F50C10" w14:paraId="636CCB63" w14:textId="77777777" w:rsidTr="00375F59">
        <w:trPr>
          <w:trHeight w:val="20"/>
          <w:jc w:val="center"/>
        </w:trPr>
        <w:tc>
          <w:tcPr>
            <w:tcW w:w="962" w:type="pct"/>
            <w:tcBorders>
              <w:bottom w:val="single" w:sz="4" w:space="0" w:color="000000"/>
            </w:tcBorders>
            <w:vAlign w:val="center"/>
          </w:tcPr>
          <w:p w14:paraId="70D22D8C"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w w:val="95"/>
                <w:szCs w:val="24"/>
                <w:lang w:val="tr-TR" w:bidi="tr-TR"/>
              </w:rPr>
              <w:t>Zn</w:t>
            </w:r>
          </w:p>
        </w:tc>
        <w:tc>
          <w:tcPr>
            <w:tcW w:w="1320" w:type="pct"/>
            <w:tcBorders>
              <w:bottom w:val="single" w:sz="4" w:space="0" w:color="000000"/>
            </w:tcBorders>
            <w:vAlign w:val="center"/>
          </w:tcPr>
          <w:p w14:paraId="4A2A48D2"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0,1 – 0,5</w:t>
            </w:r>
          </w:p>
        </w:tc>
        <w:tc>
          <w:tcPr>
            <w:tcW w:w="620" w:type="pct"/>
            <w:vMerge/>
            <w:tcBorders>
              <w:bottom w:val="single" w:sz="4" w:space="0" w:color="000000"/>
            </w:tcBorders>
            <w:vAlign w:val="center"/>
          </w:tcPr>
          <w:p w14:paraId="53388EF5" w14:textId="77777777" w:rsidR="00496ADC" w:rsidRPr="00F50C10" w:rsidRDefault="00496ADC" w:rsidP="000B206D">
            <w:pPr>
              <w:spacing w:line="276" w:lineRule="auto"/>
              <w:jc w:val="center"/>
              <w:rPr>
                <w:rFonts w:cs="Times New Roman"/>
                <w:szCs w:val="24"/>
                <w:lang w:val="tr-TR"/>
              </w:rPr>
            </w:pPr>
          </w:p>
        </w:tc>
        <w:tc>
          <w:tcPr>
            <w:tcW w:w="2098" w:type="pct"/>
            <w:vMerge/>
            <w:tcBorders>
              <w:top w:val="nil"/>
              <w:bottom w:val="single" w:sz="4" w:space="0" w:color="000000"/>
            </w:tcBorders>
            <w:vAlign w:val="center"/>
          </w:tcPr>
          <w:p w14:paraId="3BD131B5" w14:textId="77777777" w:rsidR="00496ADC" w:rsidRPr="00F50C10" w:rsidRDefault="00496ADC" w:rsidP="000B206D">
            <w:pPr>
              <w:spacing w:line="276" w:lineRule="auto"/>
              <w:jc w:val="center"/>
              <w:rPr>
                <w:rFonts w:cs="Times New Roman"/>
                <w:szCs w:val="24"/>
                <w:lang w:val="tr-TR"/>
              </w:rPr>
            </w:pPr>
          </w:p>
        </w:tc>
      </w:tr>
    </w:tbl>
    <w:p w14:paraId="69DD2B38" w14:textId="77777777" w:rsidR="00496ADC" w:rsidRPr="00F50C10" w:rsidRDefault="00496ADC"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bookmarkStart w:id="230" w:name="_Toc135050240"/>
      <w:bookmarkStart w:id="231" w:name="_Toc135142018"/>
      <w:bookmarkStart w:id="232" w:name="_Toc135142095"/>
      <w:bookmarkStart w:id="233" w:name="_Toc135229455"/>
      <w:r w:rsidRPr="00F50C10">
        <w:rPr>
          <w:rFonts w:eastAsia="Times New Roman" w:cs="Times New Roman"/>
          <w:b/>
          <w:bCs/>
          <w:szCs w:val="24"/>
          <w:lang w:val="tr-TR"/>
        </w:rPr>
        <w:t>Serbest siyanürlerin yok edilmesi</w:t>
      </w:r>
      <w:bookmarkEnd w:id="230"/>
      <w:bookmarkEnd w:id="231"/>
      <w:bookmarkEnd w:id="232"/>
      <w:bookmarkEnd w:id="233"/>
    </w:p>
    <w:p w14:paraId="64CFE98B" w14:textId="02CA44BE"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Toksisiteleri nedeniyle siyanürler, zengin ve zayıf atık su akışlarından, örneğin pH ayarlaması ve H</w:t>
      </w:r>
      <w:r w:rsidRPr="00F50C10">
        <w:rPr>
          <w:rFonts w:cs="Times New Roman"/>
          <w:szCs w:val="24"/>
          <w:vertAlign w:val="subscript"/>
          <w:lang w:val="tr-TR"/>
        </w:rPr>
        <w:t>2</w:t>
      </w:r>
      <w:r w:rsidRPr="00F50C10">
        <w:rPr>
          <w:rFonts w:cs="Times New Roman"/>
          <w:szCs w:val="24"/>
          <w:lang w:val="tr-TR"/>
        </w:rPr>
        <w:t>O</w:t>
      </w:r>
      <w:r w:rsidRPr="00F50C10">
        <w:rPr>
          <w:rFonts w:cs="Times New Roman"/>
          <w:szCs w:val="24"/>
          <w:vertAlign w:val="subscript"/>
          <w:lang w:val="tr-TR"/>
        </w:rPr>
        <w:t>2</w:t>
      </w:r>
      <w:r w:rsidRPr="00F50C10">
        <w:rPr>
          <w:rFonts w:cs="Times New Roman"/>
          <w:szCs w:val="24"/>
          <w:lang w:val="tr-TR"/>
        </w:rPr>
        <w:t xml:space="preserve"> ile oksidatif yıkım yoluyla</w:t>
      </w:r>
      <w:r w:rsidR="007F788D" w:rsidRPr="00F50C10">
        <w:rPr>
          <w:rFonts w:cs="Times New Roman"/>
          <w:szCs w:val="24"/>
          <w:lang w:val="tr-TR"/>
        </w:rPr>
        <w:t>,</w:t>
      </w:r>
      <w:r w:rsidRPr="00F50C10">
        <w:rPr>
          <w:rFonts w:cs="Times New Roman"/>
          <w:szCs w:val="24"/>
          <w:lang w:val="tr-TR"/>
        </w:rPr>
        <w:t xml:space="preserve"> uzaklaştırılır. Biyolojik AAT'de siyanürlerin güvenli bir şekilde bozunmasını sağlamak da durumlar özelinde mümkün olabilir. Ön arıtma için NaOCl kullanımı, AOX oluşum potansiyeli nedeniyle MET olarak kabul edilmez. Siyanür yüklü farklı akışların yeniden koşullandırılması, yeniden kullanıma ve ham maddelerin ikamesine olanak sağlayabilir. Atık su akışlarında yüksek KOİ yükleri ile birlikte oluşan siyanürler, alkali koşullar altında O</w:t>
      </w:r>
      <w:r w:rsidRPr="00F50C10">
        <w:rPr>
          <w:rFonts w:cs="Times New Roman"/>
          <w:szCs w:val="24"/>
          <w:vertAlign w:val="subscript"/>
          <w:lang w:val="tr-TR"/>
        </w:rPr>
        <w:t>2</w:t>
      </w:r>
      <w:r w:rsidRPr="00F50C10">
        <w:rPr>
          <w:rFonts w:cs="Times New Roman"/>
          <w:szCs w:val="24"/>
          <w:lang w:val="tr-TR"/>
        </w:rPr>
        <w:t xml:space="preserve"> ile ıslak oksidasyon gibi tekniklerle oksidatif ön arıtıma tabi tutulabilir. Bu gibi durumlarda, arıtılmış atık su akışında &lt;1 mg/l siyanür seviyelerine ulaşılabilir.</w:t>
      </w:r>
    </w:p>
    <w:p w14:paraId="173F7069" w14:textId="6AFBD848"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63: </w:t>
      </w:r>
      <w:r w:rsidRPr="00F50C10">
        <w:rPr>
          <w:rFonts w:cs="Times New Roman"/>
          <w:szCs w:val="24"/>
          <w:lang w:val="tr-TR"/>
        </w:rPr>
        <w:t>Teknik olarak mümkün olan durumlarda ham maddeleri ikame etmek için serbest siyanür içeren atık su akışları yeniden koşulland</w:t>
      </w:r>
      <w:r w:rsidR="00AA596A" w:rsidRPr="00F50C10">
        <w:rPr>
          <w:rFonts w:cs="Times New Roman"/>
          <w:szCs w:val="24"/>
          <w:lang w:val="tr-TR"/>
        </w:rPr>
        <w:t>ırıl</w:t>
      </w:r>
      <w:r w:rsidRPr="00F50C10">
        <w:rPr>
          <w:rFonts w:cs="Times New Roman"/>
          <w:szCs w:val="24"/>
          <w:lang w:val="tr-TR"/>
        </w:rPr>
        <w:t>ır.</w:t>
      </w:r>
      <w:r w:rsidR="00162FAB" w:rsidRPr="00162FAB">
        <w:rPr>
          <w:rFonts w:cs="Times New Roman"/>
          <w:szCs w:val="24"/>
          <w:lang w:val="tr-TR"/>
        </w:rPr>
        <w:t xml:space="preserve"> </w:t>
      </w:r>
      <w:r w:rsidR="00162FAB" w:rsidRPr="005C5574">
        <w:rPr>
          <w:rFonts w:cs="Times New Roman"/>
          <w:szCs w:val="24"/>
          <w:lang w:val="tr-TR"/>
        </w:rPr>
        <w:t>(</w:t>
      </w:r>
      <w:r w:rsidR="00162FAB" w:rsidRPr="009E5076">
        <w:rPr>
          <w:rFonts w:cs="Times New Roman"/>
          <w:szCs w:val="24"/>
          <w:lang w:val="tr-TR"/>
        </w:rPr>
        <w:t>Detaylı bilgi için Organik İnce Kimyasalların Üretimi İçin MET Referans Belgesinin 4.</w:t>
      </w:r>
      <w:r w:rsidR="00162FAB">
        <w:rPr>
          <w:rFonts w:cs="Times New Roman"/>
          <w:szCs w:val="24"/>
          <w:lang w:val="tr-TR"/>
        </w:rPr>
        <w:t xml:space="preserve">3.6.2 kısmını </w:t>
      </w:r>
      <w:r w:rsidR="00162FAB" w:rsidRPr="009E5076">
        <w:rPr>
          <w:rFonts w:cs="Times New Roman"/>
          <w:szCs w:val="24"/>
          <w:lang w:val="tr-TR"/>
        </w:rPr>
        <w:t>inceleyiniz</w:t>
      </w:r>
      <w:r w:rsidR="00162FAB">
        <w:rPr>
          <w:rFonts w:cs="Times New Roman"/>
          <w:szCs w:val="24"/>
          <w:lang w:val="tr-TR"/>
        </w:rPr>
        <w:t>.)</w:t>
      </w:r>
    </w:p>
    <w:p w14:paraId="54F5F6F9" w14:textId="0824C3D3" w:rsidR="00496ADC" w:rsidRPr="00F50C10" w:rsidRDefault="00496ADC" w:rsidP="000B206D">
      <w:pPr>
        <w:spacing w:before="120" w:after="60" w:line="276" w:lineRule="auto"/>
        <w:rPr>
          <w:rFonts w:eastAsia="Times New Roman" w:cs="Times New Roman"/>
          <w:szCs w:val="24"/>
          <w:lang w:val="tr-TR"/>
        </w:rPr>
      </w:pPr>
      <w:r w:rsidRPr="00F50C10">
        <w:rPr>
          <w:rFonts w:cs="Times New Roman"/>
          <w:b/>
          <w:bCs/>
          <w:szCs w:val="24"/>
          <w:lang w:val="tr-TR"/>
        </w:rPr>
        <w:t>MET 64</w:t>
      </w:r>
      <w:r w:rsidRPr="00162FAB">
        <w:rPr>
          <w:rFonts w:cs="Times New Roman"/>
          <w:szCs w:val="24"/>
          <w:lang w:val="tr-TR"/>
        </w:rPr>
        <w:t>:</w:t>
      </w:r>
      <w:r w:rsidR="00162FAB" w:rsidRPr="00162FAB">
        <w:rPr>
          <w:rFonts w:cs="Times New Roman"/>
          <w:szCs w:val="24"/>
          <w:lang w:val="tr-TR"/>
        </w:rPr>
        <w:t xml:space="preserve"> a) </w:t>
      </w:r>
      <w:r w:rsidRPr="00162FAB">
        <w:rPr>
          <w:rFonts w:eastAsia="Times New Roman" w:cs="Times New Roman"/>
          <w:szCs w:val="24"/>
          <w:lang w:val="tr-TR"/>
        </w:rPr>
        <w:t>önemli</w:t>
      </w:r>
      <w:r w:rsidRPr="00F50C10">
        <w:rPr>
          <w:rFonts w:eastAsia="Times New Roman" w:cs="Times New Roman"/>
          <w:szCs w:val="24"/>
          <w:lang w:val="tr-TR"/>
        </w:rPr>
        <w:t xml:space="preserve"> miktarda siyanür içeren atık su akışları ön arıtmaya tabi </w:t>
      </w:r>
      <w:r w:rsidR="00AA596A" w:rsidRPr="00F50C10">
        <w:rPr>
          <w:rFonts w:eastAsia="Times New Roman" w:cs="Times New Roman"/>
          <w:szCs w:val="24"/>
          <w:lang w:val="tr-TR"/>
        </w:rPr>
        <w:t>tutulur</w:t>
      </w:r>
      <w:r w:rsidRPr="00F50C10">
        <w:rPr>
          <w:rFonts w:eastAsia="Times New Roman" w:cs="Times New Roman"/>
          <w:szCs w:val="24"/>
          <w:lang w:val="tr-TR"/>
        </w:rPr>
        <w:t xml:space="preserve"> ve arıtılmış atık su akışında 1 mg/l veya daha düşük bir siyanür seviyesi elde </w:t>
      </w:r>
      <w:r w:rsidR="00AA596A" w:rsidRPr="00F50C10">
        <w:rPr>
          <w:rFonts w:eastAsia="Times New Roman" w:cs="Times New Roman"/>
          <w:szCs w:val="24"/>
          <w:lang w:val="tr-TR"/>
        </w:rPr>
        <w:t>edilir</w:t>
      </w:r>
      <w:r w:rsidRPr="00F50C10">
        <w:rPr>
          <w:rFonts w:eastAsia="Times New Roman" w:cs="Times New Roman"/>
          <w:szCs w:val="24"/>
          <w:lang w:val="tr-TR"/>
        </w:rPr>
        <w:t xml:space="preserve"> veya </w:t>
      </w:r>
      <w:r w:rsidR="00162FAB" w:rsidRPr="005C5574">
        <w:rPr>
          <w:rFonts w:cs="Times New Roman"/>
          <w:szCs w:val="24"/>
          <w:lang w:val="tr-TR"/>
        </w:rPr>
        <w:t>(</w:t>
      </w:r>
      <w:r w:rsidR="00162FAB" w:rsidRPr="009E5076">
        <w:rPr>
          <w:rFonts w:cs="Times New Roman"/>
          <w:szCs w:val="24"/>
          <w:lang w:val="tr-TR"/>
        </w:rPr>
        <w:t>Detaylı bilgi için Organik İnce Kimyasalların Üretimi İçin MET Referans Belgesinin 4.</w:t>
      </w:r>
      <w:r w:rsidR="00162FAB">
        <w:rPr>
          <w:rFonts w:cs="Times New Roman"/>
          <w:szCs w:val="24"/>
          <w:lang w:val="tr-TR"/>
        </w:rPr>
        <w:t xml:space="preserve">3.6.2 kısmını </w:t>
      </w:r>
      <w:r w:rsidR="00162FAB" w:rsidRPr="009E5076">
        <w:rPr>
          <w:rFonts w:cs="Times New Roman"/>
          <w:szCs w:val="24"/>
          <w:lang w:val="tr-TR"/>
        </w:rPr>
        <w:t>inceleyiniz</w:t>
      </w:r>
      <w:r w:rsidR="00162FAB">
        <w:rPr>
          <w:rFonts w:cs="Times New Roman"/>
          <w:szCs w:val="24"/>
          <w:lang w:val="tr-TR"/>
        </w:rPr>
        <w:t>.)</w:t>
      </w:r>
    </w:p>
    <w:p w14:paraId="7B109B06" w14:textId="12208033" w:rsidR="00496ADC" w:rsidRPr="00162FAB" w:rsidRDefault="00162FAB" w:rsidP="000B206D">
      <w:pPr>
        <w:widowControl w:val="0"/>
        <w:autoSpaceDE w:val="0"/>
        <w:autoSpaceDN w:val="0"/>
        <w:spacing w:before="120" w:after="60" w:line="276" w:lineRule="auto"/>
        <w:ind w:left="360"/>
        <w:jc w:val="left"/>
        <w:rPr>
          <w:rFonts w:eastAsia="Times New Roman" w:cs="Times New Roman"/>
          <w:szCs w:val="24"/>
          <w:lang w:val="tr-TR"/>
        </w:rPr>
      </w:pPr>
      <w:r>
        <w:rPr>
          <w:rFonts w:eastAsia="Times New Roman" w:cs="Times New Roman"/>
          <w:szCs w:val="24"/>
          <w:lang w:val="tr-TR"/>
        </w:rPr>
        <w:t xml:space="preserve">b) </w:t>
      </w:r>
      <w:r w:rsidR="00496ADC" w:rsidRPr="00162FAB">
        <w:rPr>
          <w:rFonts w:eastAsia="Times New Roman" w:cs="Times New Roman"/>
          <w:szCs w:val="24"/>
          <w:lang w:val="tr-TR"/>
        </w:rPr>
        <w:t xml:space="preserve">biyolojik bir AAT'de güvenli bozunma yapılması </w:t>
      </w:r>
      <w:r w:rsidR="00AA596A" w:rsidRPr="00162FAB">
        <w:rPr>
          <w:rFonts w:eastAsia="Times New Roman" w:cs="Times New Roman"/>
          <w:szCs w:val="24"/>
          <w:lang w:val="tr-TR"/>
        </w:rPr>
        <w:t>sağlanır</w:t>
      </w:r>
      <w:r w:rsidR="00496ADC" w:rsidRPr="00162FAB">
        <w:rPr>
          <w:rFonts w:eastAsia="Times New Roman" w:cs="Times New Roman"/>
          <w:szCs w:val="24"/>
          <w:lang w:val="tr-TR"/>
        </w:rPr>
        <w:t>.</w:t>
      </w:r>
      <w:r w:rsidRPr="00162FAB">
        <w:rPr>
          <w:rFonts w:cs="Times New Roman"/>
          <w:szCs w:val="24"/>
          <w:lang w:val="tr-TR"/>
        </w:rPr>
        <w:t xml:space="preserve"> </w:t>
      </w:r>
      <w:r w:rsidRPr="005C5574">
        <w:rPr>
          <w:rFonts w:cs="Times New Roman"/>
          <w:szCs w:val="24"/>
          <w:lang w:val="tr-TR"/>
        </w:rPr>
        <w:t>(</w:t>
      </w:r>
      <w:r w:rsidRPr="009E5076">
        <w:rPr>
          <w:rFonts w:cs="Times New Roman"/>
          <w:szCs w:val="24"/>
          <w:lang w:val="tr-TR"/>
        </w:rPr>
        <w:t>Detaylı bilgi için Organik İnce Kimyasalların Üretimi İçin MET Referans Belgesinin 4.</w:t>
      </w:r>
      <w:r>
        <w:rPr>
          <w:rFonts w:cs="Times New Roman"/>
          <w:szCs w:val="24"/>
          <w:lang w:val="tr-TR"/>
        </w:rPr>
        <w:t xml:space="preserve">3.6.2 kısmını </w:t>
      </w:r>
      <w:r w:rsidRPr="009E5076">
        <w:rPr>
          <w:rFonts w:cs="Times New Roman"/>
          <w:szCs w:val="24"/>
          <w:lang w:val="tr-TR"/>
        </w:rPr>
        <w:t>inceleyiniz</w:t>
      </w:r>
      <w:r>
        <w:rPr>
          <w:rFonts w:cs="Times New Roman"/>
          <w:szCs w:val="24"/>
          <w:lang w:val="tr-TR"/>
        </w:rPr>
        <w:t>.)</w:t>
      </w:r>
    </w:p>
    <w:p w14:paraId="47183CF3" w14:textId="172F53FD" w:rsidR="00496ADC" w:rsidRPr="00F50C10" w:rsidRDefault="00496ADC"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bookmarkStart w:id="234" w:name="_Toc135050241"/>
      <w:bookmarkStart w:id="235" w:name="_Toc135142019"/>
      <w:bookmarkStart w:id="236" w:name="_Toc135142096"/>
      <w:bookmarkStart w:id="237" w:name="_Toc135229456"/>
      <w:r w:rsidRPr="00F50C10">
        <w:rPr>
          <w:rFonts w:eastAsia="Times New Roman" w:cs="Times New Roman"/>
          <w:b/>
          <w:bCs/>
          <w:szCs w:val="24"/>
          <w:lang w:val="tr-TR"/>
        </w:rPr>
        <w:t xml:space="preserve">Biyolojik atık su </w:t>
      </w:r>
      <w:bookmarkEnd w:id="234"/>
      <w:bookmarkEnd w:id="235"/>
      <w:bookmarkEnd w:id="236"/>
      <w:bookmarkEnd w:id="237"/>
      <w:r w:rsidR="00881501" w:rsidRPr="00F50C10">
        <w:rPr>
          <w:rFonts w:eastAsia="Times New Roman" w:cs="Times New Roman"/>
          <w:b/>
          <w:bCs/>
          <w:szCs w:val="24"/>
          <w:lang w:val="tr-TR"/>
        </w:rPr>
        <w:t>arıtımı</w:t>
      </w:r>
    </w:p>
    <w:p w14:paraId="07E71537" w14:textId="13955748"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65: </w:t>
      </w:r>
      <w:r w:rsidRPr="00F50C10">
        <w:rPr>
          <w:rFonts w:cs="Times New Roman"/>
          <w:szCs w:val="24"/>
          <w:lang w:val="tr-TR"/>
        </w:rPr>
        <w:t xml:space="preserve">Üretim proseslerinden, durulama ve temizleme suyundan kaynaklanan atık su akışları gibi ilgili organik yük içeren çıkış suları biyolojik bir AAT'de </w:t>
      </w:r>
      <w:r w:rsidR="00AA596A" w:rsidRPr="00F50C10">
        <w:rPr>
          <w:rFonts w:cs="Times New Roman"/>
          <w:szCs w:val="24"/>
          <w:lang w:val="tr-TR"/>
        </w:rPr>
        <w:t>arıtılır</w:t>
      </w:r>
      <w:r w:rsidRPr="00F50C10">
        <w:rPr>
          <w:rFonts w:cs="Times New Roman"/>
          <w:szCs w:val="24"/>
          <w:lang w:val="tr-TR"/>
        </w:rPr>
        <w:t>.</w:t>
      </w:r>
      <w:r w:rsidR="00162FAB" w:rsidRPr="00162FAB">
        <w:rPr>
          <w:rFonts w:cs="Times New Roman"/>
          <w:szCs w:val="24"/>
          <w:lang w:val="tr-TR"/>
        </w:rPr>
        <w:t xml:space="preserve"> </w:t>
      </w:r>
      <w:r w:rsidR="00162FAB" w:rsidRPr="005C5574">
        <w:rPr>
          <w:rFonts w:cs="Times New Roman"/>
          <w:szCs w:val="24"/>
          <w:lang w:val="tr-TR"/>
        </w:rPr>
        <w:t>(</w:t>
      </w:r>
      <w:r w:rsidR="00162FAB" w:rsidRPr="009E5076">
        <w:rPr>
          <w:rFonts w:cs="Times New Roman"/>
          <w:szCs w:val="24"/>
          <w:lang w:val="tr-TR"/>
        </w:rPr>
        <w:t>Detaylı bilgi için Organik İnce Kimyasalların Üretimi İçin MET Referans Belgesinin 4.</w:t>
      </w:r>
      <w:r w:rsidR="00162FAB">
        <w:rPr>
          <w:rFonts w:cs="Times New Roman"/>
          <w:szCs w:val="24"/>
          <w:lang w:val="tr-TR"/>
        </w:rPr>
        <w:t xml:space="preserve">3.8.6 ve 4.3.8.10 kısımlarını </w:t>
      </w:r>
      <w:r w:rsidR="00162FAB" w:rsidRPr="009E5076">
        <w:rPr>
          <w:rFonts w:cs="Times New Roman"/>
          <w:szCs w:val="24"/>
          <w:lang w:val="tr-TR"/>
        </w:rPr>
        <w:t>inceleyiniz</w:t>
      </w:r>
      <w:r w:rsidR="00162FAB">
        <w:rPr>
          <w:rFonts w:cs="Times New Roman"/>
          <w:szCs w:val="24"/>
          <w:lang w:val="tr-TR"/>
        </w:rPr>
        <w:t>.)</w:t>
      </w:r>
    </w:p>
    <w:p w14:paraId="472597C7" w14:textId="26DA5D8E"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 xml:space="preserve">Biyolojik atık su arıtımı </w:t>
      </w:r>
      <w:r w:rsidR="00881501" w:rsidRPr="00F50C10">
        <w:rPr>
          <w:rFonts w:cs="Times New Roman"/>
          <w:szCs w:val="24"/>
          <w:lang w:val="tr-TR"/>
        </w:rPr>
        <w:t>tesiste</w:t>
      </w:r>
      <w:r w:rsidRPr="00F50C10">
        <w:rPr>
          <w:rFonts w:cs="Times New Roman"/>
          <w:szCs w:val="24"/>
          <w:lang w:val="tr-TR"/>
        </w:rPr>
        <w:t xml:space="preserve"> veya diğer endüstriyel atık sularla veya kentsel atık sular ile birlikte ortak arıtma şeklinde  gerçekleştirilir. Ortak arıtmanın avantajları ve dezavantajları olabilir ve bir OFC sahasından çıkan karmaşık bir çıkış suyunun biyolojik arıtımı, üretim ile AAT arasında yüksek düzeyde bir iletişim gerektirir. Önemli </w:t>
      </w:r>
      <w:r w:rsidR="00881501" w:rsidRPr="00F50C10">
        <w:rPr>
          <w:rFonts w:cs="Times New Roman"/>
          <w:szCs w:val="24"/>
          <w:lang w:val="tr-TR"/>
        </w:rPr>
        <w:t>hususlardan biri</w:t>
      </w:r>
      <w:r w:rsidRPr="00F50C10">
        <w:rPr>
          <w:rFonts w:cs="Times New Roman"/>
          <w:szCs w:val="24"/>
          <w:lang w:val="tr-TR"/>
        </w:rPr>
        <w:t>, biyolojik arıtmanın,</w:t>
      </w:r>
      <w:r w:rsidR="00881501" w:rsidRPr="00F50C10">
        <w:rPr>
          <w:rFonts w:cs="Times New Roman"/>
          <w:szCs w:val="24"/>
          <w:lang w:val="tr-TR"/>
        </w:rPr>
        <w:t xml:space="preserve"> örneğin yük veya toksisite gibi</w:t>
      </w:r>
      <w:r w:rsidRPr="00F50C10">
        <w:rPr>
          <w:rFonts w:cs="Times New Roman"/>
          <w:szCs w:val="24"/>
          <w:lang w:val="tr-TR"/>
        </w:rPr>
        <w:t xml:space="preserve"> girdi özelliklerindeki değişikl</w:t>
      </w:r>
      <w:r w:rsidR="00881501" w:rsidRPr="00F50C10">
        <w:rPr>
          <w:rFonts w:cs="Times New Roman"/>
          <w:szCs w:val="24"/>
          <w:lang w:val="tr-TR"/>
        </w:rPr>
        <w:t>ikl</w:t>
      </w:r>
      <w:r w:rsidRPr="00F50C10">
        <w:rPr>
          <w:rFonts w:cs="Times New Roman"/>
          <w:szCs w:val="24"/>
          <w:lang w:val="tr-TR"/>
        </w:rPr>
        <w:t xml:space="preserve">erden korunmasıdır. İstikrarlı işletimin sağlanamadığı durumlarda, güçlendirme yapılarak daha güvenilir bir </w:t>
      </w:r>
      <w:r w:rsidR="00910248" w:rsidRPr="00F50C10">
        <w:rPr>
          <w:rFonts w:cs="Times New Roman"/>
          <w:szCs w:val="24"/>
          <w:lang w:val="tr-TR"/>
        </w:rPr>
        <w:t>sisteme</w:t>
      </w:r>
      <w:r w:rsidRPr="00F50C10">
        <w:rPr>
          <w:rFonts w:cs="Times New Roman"/>
          <w:szCs w:val="24"/>
          <w:lang w:val="tr-TR"/>
        </w:rPr>
        <w:t xml:space="preserve"> geçiş yapılması gerekir. Bu güçlendirme, kentsel atık sularla ortak arıtmadan </w:t>
      </w:r>
      <w:r w:rsidR="00881501" w:rsidRPr="00F50C10">
        <w:rPr>
          <w:rFonts w:cs="Times New Roman"/>
          <w:szCs w:val="24"/>
          <w:lang w:val="tr-TR"/>
        </w:rPr>
        <w:t>tesis</w:t>
      </w:r>
      <w:r w:rsidRPr="00F50C10">
        <w:rPr>
          <w:rFonts w:cs="Times New Roman"/>
          <w:szCs w:val="24"/>
          <w:lang w:val="tr-TR"/>
        </w:rPr>
        <w:t xml:space="preserve"> içinde arıtmaya geçişi içerebilir.</w:t>
      </w:r>
    </w:p>
    <w:p w14:paraId="083C7AFF" w14:textId="273CF0FF"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66: </w:t>
      </w:r>
      <w:r w:rsidRPr="00F50C10">
        <w:rPr>
          <w:rFonts w:cs="Times New Roman"/>
          <w:szCs w:val="24"/>
          <w:lang w:val="tr-TR"/>
        </w:rPr>
        <w:t xml:space="preserve">Ortak bir atık su arıtma sisteminde elde edilen giderme oranlarının genel olarak saha içi arıtma kadar iyi olması </w:t>
      </w:r>
      <w:r w:rsidR="00AA596A" w:rsidRPr="00F50C10">
        <w:rPr>
          <w:rFonts w:cs="Times New Roman"/>
          <w:szCs w:val="24"/>
          <w:lang w:val="tr-TR"/>
        </w:rPr>
        <w:t>sağlanır</w:t>
      </w:r>
      <w:r w:rsidRPr="00F50C10">
        <w:rPr>
          <w:rFonts w:cs="Times New Roman"/>
          <w:szCs w:val="24"/>
          <w:lang w:val="tr-TR"/>
        </w:rPr>
        <w:t>. Bu, düzenli bozunabilirlik/biyolojik olarak yok edilebilirlik testleri ile gerçekleştirilir.</w:t>
      </w:r>
      <w:r w:rsidR="00C346AD">
        <w:rPr>
          <w:rFonts w:cs="Times New Roman"/>
          <w:szCs w:val="24"/>
          <w:lang w:val="tr-TR"/>
        </w:rPr>
        <w:t xml:space="preserve"> </w:t>
      </w:r>
      <w:r w:rsidR="00C346AD" w:rsidRPr="005C5574">
        <w:rPr>
          <w:rFonts w:cs="Times New Roman"/>
          <w:szCs w:val="24"/>
          <w:lang w:val="tr-TR"/>
        </w:rPr>
        <w:t>(</w:t>
      </w:r>
      <w:r w:rsidR="00C346AD" w:rsidRPr="009E5076">
        <w:rPr>
          <w:rFonts w:cs="Times New Roman"/>
          <w:szCs w:val="24"/>
          <w:lang w:val="tr-TR"/>
        </w:rPr>
        <w:t>Detaylı bilgi için Organik İnce Kimyasalların Üretimi İçin MET Referans Belgesinin 4.</w:t>
      </w:r>
      <w:r w:rsidR="00C346AD">
        <w:rPr>
          <w:rFonts w:cs="Times New Roman"/>
          <w:szCs w:val="24"/>
          <w:lang w:val="tr-TR"/>
        </w:rPr>
        <w:t xml:space="preserve">3.8.5 kısmını </w:t>
      </w:r>
      <w:r w:rsidR="00C346AD" w:rsidRPr="009E5076">
        <w:rPr>
          <w:rFonts w:cs="Times New Roman"/>
          <w:szCs w:val="24"/>
          <w:lang w:val="tr-TR"/>
        </w:rPr>
        <w:t>inceleyiniz</w:t>
      </w:r>
      <w:r w:rsidR="00C346AD">
        <w:rPr>
          <w:rFonts w:cs="Times New Roman"/>
          <w:szCs w:val="24"/>
          <w:lang w:val="tr-TR"/>
        </w:rPr>
        <w:t>.)</w:t>
      </w:r>
    </w:p>
    <w:p w14:paraId="134749FA" w14:textId="77777777" w:rsidR="00496ADC" w:rsidRPr="00F50C10" w:rsidRDefault="00496ADC"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bookmarkStart w:id="238" w:name="_Toc135050242"/>
      <w:bookmarkStart w:id="239" w:name="_Toc135142020"/>
      <w:bookmarkStart w:id="240" w:name="_Toc135142097"/>
      <w:bookmarkStart w:id="241" w:name="_Toc135229457"/>
      <w:r w:rsidRPr="00F50C10">
        <w:rPr>
          <w:rFonts w:eastAsia="Times New Roman" w:cs="Times New Roman"/>
          <w:b/>
          <w:bCs/>
          <w:szCs w:val="24"/>
          <w:lang w:val="tr-TR"/>
        </w:rPr>
        <w:t>Giderme oranları ve emisyon seviyeleri</w:t>
      </w:r>
      <w:bookmarkEnd w:id="238"/>
      <w:bookmarkEnd w:id="239"/>
      <w:bookmarkEnd w:id="240"/>
      <w:bookmarkEnd w:id="241"/>
    </w:p>
    <w:p w14:paraId="30EDBE48" w14:textId="77777777"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Biyolojik atık su arıtımı için genellikle yıllık ortalama olarak %93 – 97'lik KOİ giderme oranları sağlanabilir. KOİ giderme oranının bağımsız bir parametre değil, üretim yelpazesinden (örneğin, bir sahadaki atık su akışlarının çoğunda refrakter yükler oluşturan boyaların/pigmentlerin, optik parlatıcıların, aromatik ara maddelerin üretimi), çözücü giderme derecesinden ve refrakter organik yüklerin ne kadar ön arıtmaya tabi tutulduğundan etkilenen bir parametre olduğunun anlaşılması önemlidir. İlgili duruma bağlı olarak, örneğin arıtma kapasitesi veya tampon hacmini ayarlamak veya bir nitrifikasyon/denitrifikasyon veya bir kimyasal/mekanik aşamayı uygulamak için biyolojik AAT'de güçlendirme yapılması gerekir. Ağır metal emisyon seviyesini aktif olarak etkileyen ana faktör, atık su akışlarının ayrılması ve seçici ön arıtımıdır.</w:t>
      </w:r>
    </w:p>
    <w:p w14:paraId="2BA9AE6B" w14:textId="3E21C602"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67: </w:t>
      </w:r>
      <w:r w:rsidRPr="00F50C10">
        <w:rPr>
          <w:rFonts w:cs="Times New Roman"/>
          <w:szCs w:val="24"/>
          <w:lang w:val="tr-TR"/>
        </w:rPr>
        <w:t>Toplam çıkış suyunun biyolojik bozunma potansiyelinden tam olarak yararlan</w:t>
      </w:r>
      <w:r w:rsidR="00AA596A" w:rsidRPr="00F50C10">
        <w:rPr>
          <w:rFonts w:cs="Times New Roman"/>
          <w:szCs w:val="24"/>
          <w:lang w:val="tr-TR"/>
        </w:rPr>
        <w:t>ılır</w:t>
      </w:r>
      <w:r w:rsidRPr="00F50C10">
        <w:rPr>
          <w:rFonts w:cs="Times New Roman"/>
          <w:szCs w:val="24"/>
          <w:lang w:val="tr-TR"/>
        </w:rPr>
        <w:t xml:space="preserve"> ve %99'un üzerinde BOİ giderme oranları ve 1 - 18 mg/l yıllık ortalama BOİ emisyon seviyeleri </w:t>
      </w:r>
      <w:r w:rsidR="00AA596A" w:rsidRPr="00F50C10">
        <w:rPr>
          <w:rFonts w:cs="Times New Roman"/>
          <w:szCs w:val="24"/>
          <w:lang w:val="tr-TR"/>
        </w:rPr>
        <w:t>sağlanır</w:t>
      </w:r>
      <w:r w:rsidRPr="00F50C10">
        <w:rPr>
          <w:rFonts w:cs="Times New Roman"/>
          <w:szCs w:val="24"/>
          <w:lang w:val="tr-TR"/>
        </w:rPr>
        <w:t>. Seviyeler, seyreltme (örneğin soğutma suyu ile karıştırılarak) olmaksızın yapılan biyolojik arıtmadan sonra elde edilen çıkış suyu ile ilgilidir.</w:t>
      </w:r>
      <w:r w:rsidR="00C346AD" w:rsidRPr="00C346AD">
        <w:rPr>
          <w:rFonts w:cs="Times New Roman"/>
          <w:szCs w:val="24"/>
          <w:lang w:val="tr-TR"/>
        </w:rPr>
        <w:t xml:space="preserve"> </w:t>
      </w:r>
      <w:r w:rsidR="00C346AD" w:rsidRPr="005C5574">
        <w:rPr>
          <w:rFonts w:cs="Times New Roman"/>
          <w:szCs w:val="24"/>
          <w:lang w:val="tr-TR"/>
        </w:rPr>
        <w:t>(</w:t>
      </w:r>
      <w:r w:rsidR="00C346AD" w:rsidRPr="009E5076">
        <w:rPr>
          <w:rFonts w:cs="Times New Roman"/>
          <w:szCs w:val="24"/>
          <w:lang w:val="tr-TR"/>
        </w:rPr>
        <w:t>Detaylı bilgi için Organik İnce Kimyasalların Üretimi İçin MET Referans Belgesinin 4.</w:t>
      </w:r>
      <w:r w:rsidR="00C346AD">
        <w:rPr>
          <w:rFonts w:cs="Times New Roman"/>
          <w:szCs w:val="24"/>
          <w:lang w:val="tr-TR"/>
        </w:rPr>
        <w:t xml:space="preserve">3.8.11 kısmını </w:t>
      </w:r>
      <w:r w:rsidR="00C346AD" w:rsidRPr="009E5076">
        <w:rPr>
          <w:rFonts w:cs="Times New Roman"/>
          <w:szCs w:val="24"/>
          <w:lang w:val="tr-TR"/>
        </w:rPr>
        <w:t>inceleyiniz</w:t>
      </w:r>
      <w:r w:rsidR="00C346AD">
        <w:rPr>
          <w:rFonts w:cs="Times New Roman"/>
          <w:szCs w:val="24"/>
          <w:lang w:val="tr-TR"/>
        </w:rPr>
        <w:t>.)</w:t>
      </w:r>
    </w:p>
    <w:p w14:paraId="279505AE" w14:textId="6D4AB211" w:rsidR="00496ADC" w:rsidRPr="00F50C10" w:rsidRDefault="00496ADC" w:rsidP="000B206D">
      <w:pPr>
        <w:spacing w:before="120" w:after="60" w:line="276" w:lineRule="auto"/>
        <w:jc w:val="left"/>
        <w:rPr>
          <w:rFonts w:cs="Times New Roman"/>
          <w:b/>
          <w:bCs/>
          <w:szCs w:val="24"/>
          <w:lang w:val="tr-TR"/>
        </w:rPr>
      </w:pPr>
      <w:r w:rsidRPr="00F50C10">
        <w:rPr>
          <w:rFonts w:cs="Times New Roman"/>
          <w:b/>
          <w:bCs/>
          <w:szCs w:val="24"/>
          <w:lang w:val="tr-TR"/>
        </w:rPr>
        <w:t xml:space="preserve">MET 68: </w:t>
      </w:r>
      <w:r w:rsidR="00AA596A" w:rsidRPr="00F50C10">
        <w:rPr>
          <w:rFonts w:cs="Times New Roman"/>
          <w:szCs w:val="24"/>
          <w:lang w:val="tr-TR"/>
        </w:rPr>
        <w:t>Tablo 8’de v</w:t>
      </w:r>
      <w:r w:rsidRPr="00F50C10">
        <w:rPr>
          <w:rFonts w:cs="Times New Roman"/>
          <w:szCs w:val="24"/>
          <w:lang w:val="tr-TR"/>
        </w:rPr>
        <w:t>erilen emisyon seviyelerine ulaşmaktır.</w:t>
      </w:r>
    </w:p>
    <w:p w14:paraId="1B07B0A4" w14:textId="3138E17A" w:rsidR="00496ADC" w:rsidRPr="00F50C10" w:rsidRDefault="00AA596A" w:rsidP="000B206D">
      <w:pPr>
        <w:keepNext/>
        <w:spacing w:before="120" w:after="60" w:line="276" w:lineRule="auto"/>
        <w:rPr>
          <w:rFonts w:cs="Times New Roman"/>
          <w:b/>
          <w:iCs/>
          <w:color w:val="000000" w:themeColor="text1"/>
          <w:szCs w:val="24"/>
          <w:lang w:val="tr-TR"/>
        </w:rPr>
      </w:pPr>
      <w:bookmarkStart w:id="242" w:name="_Toc135050104"/>
      <w:r w:rsidRPr="00F50C10">
        <w:rPr>
          <w:rFonts w:cs="Times New Roman"/>
          <w:b/>
          <w:iCs/>
          <w:color w:val="000000" w:themeColor="text1"/>
          <w:szCs w:val="24"/>
          <w:lang w:val="tr-TR"/>
        </w:rPr>
        <w:t xml:space="preserve">Tablo 8. </w:t>
      </w:r>
      <w:r w:rsidR="00496ADC" w:rsidRPr="00F50C10">
        <w:rPr>
          <w:rFonts w:cs="Times New Roman"/>
          <w:b/>
          <w:iCs/>
          <w:color w:val="000000" w:themeColor="text1"/>
          <w:szCs w:val="24"/>
          <w:lang w:val="tr-TR"/>
        </w:rPr>
        <w:t>Biyolojik AAT'den kaynaklanan emisyonlara ilişkin MET</w:t>
      </w:r>
      <w:bookmarkEnd w:id="242"/>
      <w:r w:rsidRPr="00F50C10">
        <w:rPr>
          <w:rFonts w:cs="Times New Roman"/>
          <w:b/>
          <w:iCs/>
          <w:color w:val="000000" w:themeColor="text1"/>
          <w:szCs w:val="24"/>
          <w:lang w:val="tr-TR"/>
        </w:rPr>
        <w: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36"/>
        <w:gridCol w:w="1572"/>
        <w:gridCol w:w="1203"/>
        <w:gridCol w:w="4599"/>
      </w:tblGrid>
      <w:tr w:rsidR="00496ADC" w:rsidRPr="00F50C10" w14:paraId="2CC71B43" w14:textId="77777777" w:rsidTr="00375F59">
        <w:trPr>
          <w:trHeight w:val="316"/>
          <w:tblHeader/>
        </w:trPr>
        <w:tc>
          <w:tcPr>
            <w:tcW w:w="1040" w:type="pct"/>
            <w:vMerge w:val="restart"/>
            <w:vAlign w:val="center"/>
          </w:tcPr>
          <w:p w14:paraId="1110418C"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b/>
                <w:szCs w:val="24"/>
                <w:lang w:val="tr-TR" w:bidi="tr-TR"/>
              </w:rPr>
              <w:t>Parametre</w:t>
            </w:r>
          </w:p>
        </w:tc>
        <w:tc>
          <w:tcPr>
            <w:tcW w:w="1490" w:type="pct"/>
            <w:gridSpan w:val="2"/>
            <w:vAlign w:val="center"/>
          </w:tcPr>
          <w:p w14:paraId="37AF53A7" w14:textId="77777777" w:rsidR="00496ADC" w:rsidRPr="00F50C10" w:rsidRDefault="00496ADC" w:rsidP="000B206D">
            <w:pPr>
              <w:widowControl w:val="0"/>
              <w:autoSpaceDE w:val="0"/>
              <w:autoSpaceDN w:val="0"/>
              <w:spacing w:line="276" w:lineRule="auto"/>
              <w:jc w:val="center"/>
              <w:rPr>
                <w:rFonts w:eastAsia="Times New Roman" w:cs="Times New Roman"/>
                <w:b/>
                <w:szCs w:val="24"/>
                <w:lang w:val="tr-TR"/>
              </w:rPr>
            </w:pPr>
            <w:r w:rsidRPr="00F50C10">
              <w:rPr>
                <w:rFonts w:eastAsia="Times New Roman" w:cs="Times New Roman"/>
                <w:b/>
                <w:szCs w:val="24"/>
                <w:lang w:val="tr-TR" w:bidi="tr-TR"/>
              </w:rPr>
              <w:t>Yıllık ortalamalar</w:t>
            </w:r>
            <w:r w:rsidRPr="00F50C10">
              <w:rPr>
                <w:rFonts w:eastAsia="Times New Roman" w:cs="Times New Roman"/>
                <w:b/>
                <w:position w:val="11"/>
                <w:szCs w:val="24"/>
                <w:lang w:val="tr-TR" w:bidi="tr-TR"/>
              </w:rPr>
              <w:t>*</w:t>
            </w:r>
          </w:p>
        </w:tc>
        <w:tc>
          <w:tcPr>
            <w:tcW w:w="2470" w:type="pct"/>
            <w:vMerge w:val="restart"/>
            <w:vAlign w:val="center"/>
          </w:tcPr>
          <w:p w14:paraId="5C29058F" w14:textId="77777777" w:rsidR="00496ADC" w:rsidRPr="00F50C10" w:rsidRDefault="00496ADC" w:rsidP="000B206D">
            <w:pPr>
              <w:widowControl w:val="0"/>
              <w:tabs>
                <w:tab w:val="left" w:pos="4550"/>
              </w:tabs>
              <w:autoSpaceDE w:val="0"/>
              <w:autoSpaceDN w:val="0"/>
              <w:spacing w:line="276" w:lineRule="auto"/>
              <w:jc w:val="center"/>
              <w:rPr>
                <w:rFonts w:eastAsia="Times New Roman" w:cs="Times New Roman"/>
                <w:szCs w:val="24"/>
                <w:lang w:val="tr-TR"/>
              </w:rPr>
            </w:pPr>
            <w:r w:rsidRPr="00F50C10">
              <w:rPr>
                <w:rFonts w:eastAsia="Times New Roman" w:cs="Times New Roman"/>
                <w:b/>
                <w:szCs w:val="24"/>
                <w:lang w:val="tr-TR" w:bidi="tr-TR"/>
              </w:rPr>
              <w:t>Açıklama</w:t>
            </w:r>
          </w:p>
        </w:tc>
      </w:tr>
      <w:tr w:rsidR="00496ADC" w:rsidRPr="00F50C10" w14:paraId="5CE9B3B4" w14:textId="77777777" w:rsidTr="00375F59">
        <w:trPr>
          <w:trHeight w:val="270"/>
          <w:tblHeader/>
        </w:trPr>
        <w:tc>
          <w:tcPr>
            <w:tcW w:w="1040" w:type="pct"/>
            <w:vMerge/>
            <w:vAlign w:val="center"/>
          </w:tcPr>
          <w:p w14:paraId="6D6DAAC9" w14:textId="77777777" w:rsidR="00496ADC" w:rsidRPr="00F50C10" w:rsidRDefault="00496ADC" w:rsidP="000B206D">
            <w:pPr>
              <w:widowControl w:val="0"/>
              <w:autoSpaceDE w:val="0"/>
              <w:autoSpaceDN w:val="0"/>
              <w:spacing w:line="276" w:lineRule="auto"/>
              <w:jc w:val="left"/>
              <w:rPr>
                <w:rFonts w:eastAsia="Times New Roman" w:cs="Times New Roman"/>
                <w:b/>
                <w:szCs w:val="24"/>
                <w:lang w:val="tr-TR"/>
              </w:rPr>
            </w:pPr>
          </w:p>
        </w:tc>
        <w:tc>
          <w:tcPr>
            <w:tcW w:w="844" w:type="pct"/>
            <w:vAlign w:val="center"/>
          </w:tcPr>
          <w:p w14:paraId="233DCBDF" w14:textId="77777777" w:rsidR="00496ADC" w:rsidRPr="00F50C10" w:rsidRDefault="00496ADC" w:rsidP="000B206D">
            <w:pPr>
              <w:widowControl w:val="0"/>
              <w:autoSpaceDE w:val="0"/>
              <w:autoSpaceDN w:val="0"/>
              <w:spacing w:line="276" w:lineRule="auto"/>
              <w:jc w:val="center"/>
              <w:rPr>
                <w:rFonts w:eastAsia="Times New Roman" w:cs="Times New Roman"/>
                <w:b/>
                <w:szCs w:val="24"/>
                <w:lang w:val="tr-TR"/>
              </w:rPr>
            </w:pPr>
            <w:r w:rsidRPr="00F50C10">
              <w:rPr>
                <w:rFonts w:eastAsia="Times New Roman" w:cs="Times New Roman"/>
                <w:b/>
                <w:szCs w:val="24"/>
                <w:lang w:val="tr-TR" w:bidi="tr-TR"/>
              </w:rPr>
              <w:t>Seviye</w:t>
            </w:r>
          </w:p>
        </w:tc>
        <w:tc>
          <w:tcPr>
            <w:tcW w:w="646" w:type="pct"/>
            <w:vAlign w:val="center"/>
          </w:tcPr>
          <w:p w14:paraId="14C2DE64" w14:textId="77777777" w:rsidR="00496ADC" w:rsidRPr="00F50C10" w:rsidRDefault="00496ADC" w:rsidP="000B206D">
            <w:pPr>
              <w:widowControl w:val="0"/>
              <w:autoSpaceDE w:val="0"/>
              <w:autoSpaceDN w:val="0"/>
              <w:spacing w:line="276" w:lineRule="auto"/>
              <w:jc w:val="center"/>
              <w:rPr>
                <w:rFonts w:eastAsia="Times New Roman" w:cs="Times New Roman"/>
                <w:b/>
                <w:szCs w:val="24"/>
                <w:lang w:val="tr-TR"/>
              </w:rPr>
            </w:pPr>
            <w:r w:rsidRPr="00F50C10">
              <w:rPr>
                <w:rFonts w:eastAsia="Times New Roman" w:cs="Times New Roman"/>
                <w:b/>
                <w:szCs w:val="24"/>
                <w:lang w:val="tr-TR" w:bidi="tr-TR"/>
              </w:rPr>
              <w:t>Birim</w:t>
            </w:r>
          </w:p>
        </w:tc>
        <w:tc>
          <w:tcPr>
            <w:tcW w:w="2470" w:type="pct"/>
            <w:vMerge/>
            <w:vAlign w:val="center"/>
          </w:tcPr>
          <w:p w14:paraId="12DA5488" w14:textId="77777777" w:rsidR="00496ADC" w:rsidRPr="00F50C10" w:rsidRDefault="00496ADC" w:rsidP="000B206D">
            <w:pPr>
              <w:widowControl w:val="0"/>
              <w:tabs>
                <w:tab w:val="left" w:pos="4550"/>
              </w:tabs>
              <w:autoSpaceDE w:val="0"/>
              <w:autoSpaceDN w:val="0"/>
              <w:spacing w:line="276" w:lineRule="auto"/>
              <w:jc w:val="center"/>
              <w:rPr>
                <w:rFonts w:eastAsia="Times New Roman" w:cs="Times New Roman"/>
                <w:b/>
                <w:szCs w:val="24"/>
                <w:lang w:val="tr-TR"/>
              </w:rPr>
            </w:pPr>
          </w:p>
        </w:tc>
      </w:tr>
      <w:tr w:rsidR="00496ADC" w:rsidRPr="00F50C10" w14:paraId="7887C67A" w14:textId="77777777" w:rsidTr="00375F59">
        <w:trPr>
          <w:trHeight w:val="268"/>
        </w:trPr>
        <w:tc>
          <w:tcPr>
            <w:tcW w:w="1040" w:type="pct"/>
            <w:vAlign w:val="center"/>
          </w:tcPr>
          <w:p w14:paraId="0C9FF97A"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KOİ</w:t>
            </w:r>
          </w:p>
        </w:tc>
        <w:tc>
          <w:tcPr>
            <w:tcW w:w="844" w:type="pct"/>
            <w:vAlign w:val="center"/>
          </w:tcPr>
          <w:p w14:paraId="7032852D"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12 – 250</w:t>
            </w:r>
          </w:p>
        </w:tc>
        <w:tc>
          <w:tcPr>
            <w:tcW w:w="646" w:type="pct"/>
            <w:vMerge w:val="restart"/>
            <w:vAlign w:val="center"/>
          </w:tcPr>
          <w:p w14:paraId="5D2BF09A"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mg/l</w:t>
            </w:r>
          </w:p>
        </w:tc>
        <w:tc>
          <w:tcPr>
            <w:tcW w:w="2470" w:type="pct"/>
            <w:vAlign w:val="center"/>
          </w:tcPr>
          <w:p w14:paraId="79BA3B74"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 xml:space="preserve"> </w:t>
            </w:r>
          </w:p>
        </w:tc>
      </w:tr>
      <w:tr w:rsidR="00496ADC" w:rsidRPr="00F50C10" w14:paraId="61477D0E" w14:textId="77777777" w:rsidTr="00375F59">
        <w:trPr>
          <w:trHeight w:val="959"/>
        </w:trPr>
        <w:tc>
          <w:tcPr>
            <w:tcW w:w="1040" w:type="pct"/>
            <w:vAlign w:val="center"/>
          </w:tcPr>
          <w:p w14:paraId="0BD6218C"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Toplam P</w:t>
            </w:r>
          </w:p>
        </w:tc>
        <w:tc>
          <w:tcPr>
            <w:tcW w:w="844" w:type="pct"/>
            <w:vAlign w:val="center"/>
          </w:tcPr>
          <w:p w14:paraId="30D1A8A4"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0,2 – 1,5</w:t>
            </w:r>
          </w:p>
        </w:tc>
        <w:tc>
          <w:tcPr>
            <w:tcW w:w="646" w:type="pct"/>
            <w:vMerge/>
            <w:tcBorders>
              <w:top w:val="nil"/>
            </w:tcBorders>
            <w:vAlign w:val="center"/>
          </w:tcPr>
          <w:p w14:paraId="763F5891" w14:textId="77777777" w:rsidR="00496ADC" w:rsidRPr="00F50C10" w:rsidRDefault="00496ADC" w:rsidP="000B206D">
            <w:pPr>
              <w:spacing w:line="276" w:lineRule="auto"/>
              <w:jc w:val="center"/>
              <w:rPr>
                <w:rFonts w:cs="Times New Roman"/>
                <w:szCs w:val="24"/>
                <w:lang w:val="tr-TR"/>
              </w:rPr>
            </w:pPr>
          </w:p>
        </w:tc>
        <w:tc>
          <w:tcPr>
            <w:tcW w:w="2470" w:type="pct"/>
            <w:vAlign w:val="center"/>
          </w:tcPr>
          <w:p w14:paraId="7735AD55"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Üst aralık, esas olarak fosfor içeren bileşiklerin üretiminden kaynaklanmaktadır.</w:t>
            </w:r>
          </w:p>
        </w:tc>
      </w:tr>
      <w:tr w:rsidR="00496ADC" w:rsidRPr="00F50C10" w14:paraId="6754DF36" w14:textId="77777777" w:rsidTr="00375F59">
        <w:trPr>
          <w:trHeight w:val="1190"/>
        </w:trPr>
        <w:tc>
          <w:tcPr>
            <w:tcW w:w="1040" w:type="pct"/>
            <w:vAlign w:val="center"/>
          </w:tcPr>
          <w:p w14:paraId="0E956093"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İnorganik N</w:t>
            </w:r>
          </w:p>
        </w:tc>
        <w:tc>
          <w:tcPr>
            <w:tcW w:w="844" w:type="pct"/>
            <w:vAlign w:val="center"/>
          </w:tcPr>
          <w:p w14:paraId="13A69CC1"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2 – 20</w:t>
            </w:r>
          </w:p>
        </w:tc>
        <w:tc>
          <w:tcPr>
            <w:tcW w:w="646" w:type="pct"/>
            <w:vMerge/>
            <w:tcBorders>
              <w:top w:val="nil"/>
            </w:tcBorders>
            <w:vAlign w:val="center"/>
          </w:tcPr>
          <w:p w14:paraId="79D8582C" w14:textId="77777777" w:rsidR="00496ADC" w:rsidRPr="00F50C10" w:rsidRDefault="00496ADC" w:rsidP="000B206D">
            <w:pPr>
              <w:spacing w:line="276" w:lineRule="auto"/>
              <w:jc w:val="center"/>
              <w:rPr>
                <w:rFonts w:cs="Times New Roman"/>
                <w:szCs w:val="24"/>
                <w:lang w:val="tr-TR"/>
              </w:rPr>
            </w:pPr>
          </w:p>
        </w:tc>
        <w:tc>
          <w:tcPr>
            <w:tcW w:w="2470" w:type="pct"/>
            <w:vAlign w:val="center"/>
          </w:tcPr>
          <w:p w14:paraId="7BBB9BCC"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Üst aralık, esas olarak azot içeren organik bileşiklerin üretiminden veya örneğin fermantasyon proseslerinden kaynaklanmaktadır.</w:t>
            </w:r>
          </w:p>
        </w:tc>
      </w:tr>
      <w:tr w:rsidR="00496ADC" w:rsidRPr="00F50C10" w14:paraId="6C38D20E" w14:textId="77777777" w:rsidTr="00375F59">
        <w:trPr>
          <w:trHeight w:val="1190"/>
        </w:trPr>
        <w:tc>
          <w:tcPr>
            <w:tcW w:w="1040" w:type="pct"/>
            <w:vAlign w:val="center"/>
          </w:tcPr>
          <w:p w14:paraId="3E040F6E"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AOX</w:t>
            </w:r>
          </w:p>
        </w:tc>
        <w:tc>
          <w:tcPr>
            <w:tcW w:w="844" w:type="pct"/>
            <w:vAlign w:val="center"/>
          </w:tcPr>
          <w:p w14:paraId="3CD0CF9E"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0,1 – 1,7</w:t>
            </w:r>
          </w:p>
        </w:tc>
        <w:tc>
          <w:tcPr>
            <w:tcW w:w="646" w:type="pct"/>
            <w:vMerge/>
            <w:tcBorders>
              <w:top w:val="nil"/>
            </w:tcBorders>
            <w:vAlign w:val="center"/>
          </w:tcPr>
          <w:p w14:paraId="31B9C661" w14:textId="77777777" w:rsidR="00496ADC" w:rsidRPr="00F50C10" w:rsidRDefault="00496ADC" w:rsidP="000B206D">
            <w:pPr>
              <w:spacing w:line="276" w:lineRule="auto"/>
              <w:jc w:val="center"/>
              <w:rPr>
                <w:rFonts w:cs="Times New Roman"/>
                <w:szCs w:val="24"/>
                <w:lang w:val="tr-TR"/>
              </w:rPr>
            </w:pPr>
          </w:p>
        </w:tc>
        <w:tc>
          <w:tcPr>
            <w:tcW w:w="2470" w:type="pct"/>
            <w:vAlign w:val="center"/>
          </w:tcPr>
          <w:p w14:paraId="3EFC32E2"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Üst aralık, çok sayıda AOX ile ilgili üretimden ve önemli AOX yükleri içeren atık su akışlarının ön arıtılmasından kaynaklanmaktadır.</w:t>
            </w:r>
          </w:p>
        </w:tc>
      </w:tr>
      <w:tr w:rsidR="00496ADC" w:rsidRPr="00F50C10" w14:paraId="28A9555C" w14:textId="77777777" w:rsidTr="00375F59">
        <w:trPr>
          <w:trHeight w:val="270"/>
        </w:trPr>
        <w:tc>
          <w:tcPr>
            <w:tcW w:w="1040" w:type="pct"/>
            <w:vAlign w:val="center"/>
          </w:tcPr>
          <w:p w14:paraId="5ADF47A3"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Cu</w:t>
            </w:r>
          </w:p>
        </w:tc>
        <w:tc>
          <w:tcPr>
            <w:tcW w:w="844" w:type="pct"/>
            <w:vAlign w:val="center"/>
          </w:tcPr>
          <w:p w14:paraId="42CC2F6D"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0,007 – 0,1</w:t>
            </w:r>
          </w:p>
        </w:tc>
        <w:tc>
          <w:tcPr>
            <w:tcW w:w="646" w:type="pct"/>
            <w:vMerge/>
            <w:tcBorders>
              <w:top w:val="nil"/>
            </w:tcBorders>
            <w:vAlign w:val="center"/>
          </w:tcPr>
          <w:p w14:paraId="2E444210" w14:textId="77777777" w:rsidR="00496ADC" w:rsidRPr="00F50C10" w:rsidRDefault="00496ADC" w:rsidP="000B206D">
            <w:pPr>
              <w:spacing w:line="276" w:lineRule="auto"/>
              <w:jc w:val="center"/>
              <w:rPr>
                <w:rFonts w:cs="Times New Roman"/>
                <w:szCs w:val="24"/>
                <w:lang w:val="tr-TR"/>
              </w:rPr>
            </w:pPr>
          </w:p>
        </w:tc>
        <w:tc>
          <w:tcPr>
            <w:tcW w:w="2470" w:type="pct"/>
            <w:vMerge w:val="restart"/>
            <w:vAlign w:val="center"/>
          </w:tcPr>
          <w:p w14:paraId="0BA73502"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Üst aralıklar, çeşitli proseslerde ağır metallerin veya ağır metal bileşiklerinin kasıtlı kullanımından ve bu kullanım nedeniyle atık su akışlarının ön arıtmaya tabi tutulmasından kaynaklanmaktadır.</w:t>
            </w:r>
          </w:p>
        </w:tc>
      </w:tr>
      <w:tr w:rsidR="00496ADC" w:rsidRPr="00F50C10" w14:paraId="6A2E4846" w14:textId="77777777" w:rsidTr="00375F59">
        <w:trPr>
          <w:trHeight w:val="270"/>
        </w:trPr>
        <w:tc>
          <w:tcPr>
            <w:tcW w:w="1040" w:type="pct"/>
            <w:vAlign w:val="center"/>
          </w:tcPr>
          <w:p w14:paraId="033C76C7"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Cr</w:t>
            </w:r>
          </w:p>
        </w:tc>
        <w:tc>
          <w:tcPr>
            <w:tcW w:w="844" w:type="pct"/>
            <w:vAlign w:val="center"/>
          </w:tcPr>
          <w:p w14:paraId="41A5674A"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0,004 – 0,05</w:t>
            </w:r>
          </w:p>
        </w:tc>
        <w:tc>
          <w:tcPr>
            <w:tcW w:w="646" w:type="pct"/>
            <w:vMerge/>
            <w:tcBorders>
              <w:top w:val="nil"/>
            </w:tcBorders>
            <w:vAlign w:val="center"/>
          </w:tcPr>
          <w:p w14:paraId="0178682B" w14:textId="77777777" w:rsidR="00496ADC" w:rsidRPr="00F50C10" w:rsidRDefault="00496ADC" w:rsidP="000B206D">
            <w:pPr>
              <w:spacing w:line="276" w:lineRule="auto"/>
              <w:jc w:val="center"/>
              <w:rPr>
                <w:rFonts w:cs="Times New Roman"/>
                <w:szCs w:val="24"/>
                <w:lang w:val="tr-TR"/>
              </w:rPr>
            </w:pPr>
          </w:p>
        </w:tc>
        <w:tc>
          <w:tcPr>
            <w:tcW w:w="2470" w:type="pct"/>
            <w:vMerge/>
            <w:tcBorders>
              <w:top w:val="nil"/>
            </w:tcBorders>
            <w:vAlign w:val="center"/>
          </w:tcPr>
          <w:p w14:paraId="0340DB6B" w14:textId="77777777" w:rsidR="00496ADC" w:rsidRPr="00F50C10" w:rsidRDefault="00496ADC" w:rsidP="000B206D">
            <w:pPr>
              <w:spacing w:line="276" w:lineRule="auto"/>
              <w:jc w:val="center"/>
              <w:rPr>
                <w:rFonts w:cs="Times New Roman"/>
                <w:szCs w:val="24"/>
                <w:lang w:val="tr-TR"/>
              </w:rPr>
            </w:pPr>
          </w:p>
        </w:tc>
      </w:tr>
      <w:tr w:rsidR="00496ADC" w:rsidRPr="00F50C10" w14:paraId="273D784E" w14:textId="77777777" w:rsidTr="00375F59">
        <w:trPr>
          <w:trHeight w:val="268"/>
        </w:trPr>
        <w:tc>
          <w:tcPr>
            <w:tcW w:w="1040" w:type="pct"/>
            <w:vAlign w:val="center"/>
          </w:tcPr>
          <w:p w14:paraId="0C9797CF"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w w:val="95"/>
                <w:szCs w:val="24"/>
                <w:lang w:val="tr-TR" w:bidi="tr-TR"/>
              </w:rPr>
              <w:t>Ni</w:t>
            </w:r>
          </w:p>
        </w:tc>
        <w:tc>
          <w:tcPr>
            <w:tcW w:w="844" w:type="pct"/>
            <w:vAlign w:val="center"/>
          </w:tcPr>
          <w:p w14:paraId="2EA79A6B"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0,01 – 0,05</w:t>
            </w:r>
          </w:p>
        </w:tc>
        <w:tc>
          <w:tcPr>
            <w:tcW w:w="646" w:type="pct"/>
            <w:vMerge/>
            <w:tcBorders>
              <w:top w:val="nil"/>
            </w:tcBorders>
            <w:vAlign w:val="center"/>
          </w:tcPr>
          <w:p w14:paraId="6EDBD9E1" w14:textId="77777777" w:rsidR="00496ADC" w:rsidRPr="00F50C10" w:rsidRDefault="00496ADC" w:rsidP="000B206D">
            <w:pPr>
              <w:spacing w:line="276" w:lineRule="auto"/>
              <w:jc w:val="center"/>
              <w:rPr>
                <w:rFonts w:cs="Times New Roman"/>
                <w:szCs w:val="24"/>
                <w:lang w:val="tr-TR"/>
              </w:rPr>
            </w:pPr>
          </w:p>
        </w:tc>
        <w:tc>
          <w:tcPr>
            <w:tcW w:w="2470" w:type="pct"/>
            <w:vMerge/>
            <w:tcBorders>
              <w:top w:val="nil"/>
            </w:tcBorders>
            <w:vAlign w:val="center"/>
          </w:tcPr>
          <w:p w14:paraId="034272DF" w14:textId="77777777" w:rsidR="00496ADC" w:rsidRPr="00F50C10" w:rsidRDefault="00496ADC" w:rsidP="000B206D">
            <w:pPr>
              <w:spacing w:line="276" w:lineRule="auto"/>
              <w:jc w:val="center"/>
              <w:rPr>
                <w:rFonts w:cs="Times New Roman"/>
                <w:szCs w:val="24"/>
                <w:lang w:val="tr-TR"/>
              </w:rPr>
            </w:pPr>
          </w:p>
        </w:tc>
      </w:tr>
      <w:tr w:rsidR="00496ADC" w:rsidRPr="00F50C10" w14:paraId="41C0D730" w14:textId="77777777" w:rsidTr="00375F59">
        <w:trPr>
          <w:trHeight w:val="580"/>
        </w:trPr>
        <w:tc>
          <w:tcPr>
            <w:tcW w:w="1040" w:type="pct"/>
            <w:vAlign w:val="center"/>
          </w:tcPr>
          <w:p w14:paraId="7C3D1104"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w w:val="95"/>
                <w:szCs w:val="24"/>
                <w:lang w:val="tr-TR" w:bidi="tr-TR"/>
              </w:rPr>
              <w:t>Zn</w:t>
            </w:r>
          </w:p>
        </w:tc>
        <w:tc>
          <w:tcPr>
            <w:tcW w:w="844" w:type="pct"/>
            <w:vAlign w:val="center"/>
          </w:tcPr>
          <w:p w14:paraId="4DC2BEA3"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 0,1</w:t>
            </w:r>
          </w:p>
        </w:tc>
        <w:tc>
          <w:tcPr>
            <w:tcW w:w="646" w:type="pct"/>
            <w:vMerge/>
            <w:tcBorders>
              <w:top w:val="nil"/>
            </w:tcBorders>
            <w:vAlign w:val="center"/>
          </w:tcPr>
          <w:p w14:paraId="43185A8B" w14:textId="77777777" w:rsidR="00496ADC" w:rsidRPr="00F50C10" w:rsidRDefault="00496ADC" w:rsidP="000B206D">
            <w:pPr>
              <w:spacing w:line="276" w:lineRule="auto"/>
              <w:jc w:val="center"/>
              <w:rPr>
                <w:rFonts w:cs="Times New Roman"/>
                <w:szCs w:val="24"/>
                <w:lang w:val="tr-TR"/>
              </w:rPr>
            </w:pPr>
          </w:p>
        </w:tc>
        <w:tc>
          <w:tcPr>
            <w:tcW w:w="2470" w:type="pct"/>
            <w:vMerge/>
            <w:tcBorders>
              <w:top w:val="nil"/>
            </w:tcBorders>
            <w:vAlign w:val="center"/>
          </w:tcPr>
          <w:p w14:paraId="18564C7B" w14:textId="77777777" w:rsidR="00496ADC" w:rsidRPr="00F50C10" w:rsidRDefault="00496ADC" w:rsidP="000B206D">
            <w:pPr>
              <w:spacing w:line="276" w:lineRule="auto"/>
              <w:jc w:val="center"/>
              <w:rPr>
                <w:rFonts w:cs="Times New Roman"/>
                <w:szCs w:val="24"/>
                <w:lang w:val="tr-TR"/>
              </w:rPr>
            </w:pPr>
          </w:p>
        </w:tc>
      </w:tr>
      <w:tr w:rsidR="00496ADC" w:rsidRPr="00F50C10" w14:paraId="66BB67B6" w14:textId="77777777" w:rsidTr="00375F59">
        <w:trPr>
          <w:trHeight w:val="270"/>
        </w:trPr>
        <w:tc>
          <w:tcPr>
            <w:tcW w:w="1040" w:type="pct"/>
            <w:vAlign w:val="center"/>
          </w:tcPr>
          <w:p w14:paraId="1E0C1160"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Askıda katı maddeler</w:t>
            </w:r>
          </w:p>
        </w:tc>
        <w:tc>
          <w:tcPr>
            <w:tcW w:w="844" w:type="pct"/>
            <w:vAlign w:val="center"/>
          </w:tcPr>
          <w:p w14:paraId="5003478C"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10 – 20</w:t>
            </w:r>
          </w:p>
        </w:tc>
        <w:tc>
          <w:tcPr>
            <w:tcW w:w="646" w:type="pct"/>
            <w:vMerge/>
            <w:tcBorders>
              <w:top w:val="nil"/>
            </w:tcBorders>
            <w:vAlign w:val="center"/>
          </w:tcPr>
          <w:p w14:paraId="28DC9E20" w14:textId="77777777" w:rsidR="00496ADC" w:rsidRPr="00F50C10" w:rsidRDefault="00496ADC" w:rsidP="000B206D">
            <w:pPr>
              <w:spacing w:line="276" w:lineRule="auto"/>
              <w:jc w:val="center"/>
              <w:rPr>
                <w:rFonts w:cs="Times New Roman"/>
                <w:szCs w:val="24"/>
                <w:lang w:val="tr-TR"/>
              </w:rPr>
            </w:pPr>
          </w:p>
        </w:tc>
        <w:tc>
          <w:tcPr>
            <w:tcW w:w="2470" w:type="pct"/>
            <w:vAlign w:val="center"/>
          </w:tcPr>
          <w:p w14:paraId="32AB0A6B"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p>
        </w:tc>
      </w:tr>
      <w:tr w:rsidR="00496ADC" w:rsidRPr="00F50C10" w14:paraId="258854B5" w14:textId="77777777" w:rsidTr="00375F59">
        <w:trPr>
          <w:trHeight w:val="268"/>
        </w:trPr>
        <w:tc>
          <w:tcPr>
            <w:tcW w:w="1040" w:type="pct"/>
            <w:vAlign w:val="center"/>
          </w:tcPr>
          <w:p w14:paraId="3E869DD7"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LID</w:t>
            </w:r>
            <w:r w:rsidRPr="00F50C10">
              <w:rPr>
                <w:rFonts w:eastAsia="Times New Roman" w:cs="Times New Roman"/>
                <w:szCs w:val="24"/>
                <w:vertAlign w:val="subscript"/>
                <w:lang w:val="tr-TR" w:bidi="tr-TR"/>
              </w:rPr>
              <w:t>F</w:t>
            </w:r>
          </w:p>
        </w:tc>
        <w:tc>
          <w:tcPr>
            <w:tcW w:w="844" w:type="pct"/>
            <w:vAlign w:val="center"/>
          </w:tcPr>
          <w:p w14:paraId="4D620A16"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1 – 2</w:t>
            </w:r>
          </w:p>
        </w:tc>
        <w:tc>
          <w:tcPr>
            <w:tcW w:w="646" w:type="pct"/>
            <w:vMerge w:val="restart"/>
            <w:vAlign w:val="center"/>
          </w:tcPr>
          <w:p w14:paraId="4529C4AF"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w w:val="95"/>
                <w:szCs w:val="24"/>
                <w:lang w:val="tr-TR" w:bidi="tr-TR"/>
              </w:rPr>
              <w:t>Seyreltme faktörü</w:t>
            </w:r>
          </w:p>
        </w:tc>
        <w:tc>
          <w:tcPr>
            <w:tcW w:w="2470" w:type="pct"/>
            <w:vMerge w:val="restart"/>
            <w:vAlign w:val="center"/>
          </w:tcPr>
          <w:p w14:paraId="6E6B4D7B"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Toksisite sucul toksisite olarak da ifade edilir (EC</w:t>
            </w:r>
            <w:r w:rsidRPr="00F50C10">
              <w:rPr>
                <w:rFonts w:eastAsia="Times New Roman" w:cs="Times New Roman"/>
                <w:szCs w:val="24"/>
                <w:vertAlign w:val="subscript"/>
                <w:lang w:val="tr-TR" w:bidi="tr-TR"/>
              </w:rPr>
              <w:t>50</w:t>
            </w:r>
            <w:r w:rsidRPr="00F50C10">
              <w:rPr>
                <w:rFonts w:eastAsia="Times New Roman" w:cs="Times New Roman"/>
                <w:szCs w:val="24"/>
                <w:lang w:val="tr-TR" w:bidi="tr-TR"/>
              </w:rPr>
              <w:t xml:space="preserve"> seviyeleri).</w:t>
            </w:r>
          </w:p>
        </w:tc>
      </w:tr>
      <w:tr w:rsidR="00496ADC" w:rsidRPr="00F50C10" w14:paraId="05239943" w14:textId="77777777" w:rsidTr="00375F59">
        <w:trPr>
          <w:trHeight w:val="270"/>
        </w:trPr>
        <w:tc>
          <w:tcPr>
            <w:tcW w:w="1040" w:type="pct"/>
            <w:vAlign w:val="center"/>
          </w:tcPr>
          <w:p w14:paraId="7A266251"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LID</w:t>
            </w:r>
            <w:r w:rsidRPr="00F50C10">
              <w:rPr>
                <w:rFonts w:eastAsia="Times New Roman" w:cs="Times New Roman"/>
                <w:szCs w:val="24"/>
                <w:vertAlign w:val="subscript"/>
                <w:lang w:val="tr-TR" w:bidi="tr-TR"/>
              </w:rPr>
              <w:t>D</w:t>
            </w:r>
          </w:p>
        </w:tc>
        <w:tc>
          <w:tcPr>
            <w:tcW w:w="844" w:type="pct"/>
            <w:vAlign w:val="center"/>
          </w:tcPr>
          <w:p w14:paraId="2D96B0F7"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2 – 4</w:t>
            </w:r>
          </w:p>
        </w:tc>
        <w:tc>
          <w:tcPr>
            <w:tcW w:w="646" w:type="pct"/>
            <w:vMerge/>
            <w:tcBorders>
              <w:top w:val="nil"/>
            </w:tcBorders>
            <w:vAlign w:val="center"/>
          </w:tcPr>
          <w:p w14:paraId="090FD12B" w14:textId="77777777" w:rsidR="00496ADC" w:rsidRPr="00F50C10" w:rsidRDefault="00496ADC" w:rsidP="000B206D">
            <w:pPr>
              <w:spacing w:line="276" w:lineRule="auto"/>
              <w:jc w:val="center"/>
              <w:rPr>
                <w:rFonts w:cs="Times New Roman"/>
                <w:szCs w:val="24"/>
                <w:lang w:val="tr-TR"/>
              </w:rPr>
            </w:pPr>
          </w:p>
        </w:tc>
        <w:tc>
          <w:tcPr>
            <w:tcW w:w="2470" w:type="pct"/>
            <w:vMerge/>
            <w:tcBorders>
              <w:top w:val="nil"/>
            </w:tcBorders>
            <w:vAlign w:val="center"/>
          </w:tcPr>
          <w:p w14:paraId="3ED82581" w14:textId="77777777" w:rsidR="00496ADC" w:rsidRPr="00F50C10" w:rsidRDefault="00496ADC" w:rsidP="000B206D">
            <w:pPr>
              <w:spacing w:line="276" w:lineRule="auto"/>
              <w:jc w:val="center"/>
              <w:rPr>
                <w:rFonts w:cs="Times New Roman"/>
                <w:szCs w:val="24"/>
                <w:lang w:val="tr-TR"/>
              </w:rPr>
            </w:pPr>
          </w:p>
        </w:tc>
      </w:tr>
      <w:tr w:rsidR="00496ADC" w:rsidRPr="00F50C10" w14:paraId="369C84B1" w14:textId="77777777" w:rsidTr="00375F59">
        <w:trPr>
          <w:trHeight w:val="270"/>
        </w:trPr>
        <w:tc>
          <w:tcPr>
            <w:tcW w:w="1040" w:type="pct"/>
            <w:vAlign w:val="center"/>
          </w:tcPr>
          <w:p w14:paraId="41BB592F"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w w:val="95"/>
                <w:szCs w:val="24"/>
                <w:lang w:val="tr-TR" w:bidi="tr-TR"/>
              </w:rPr>
              <w:t>LID</w:t>
            </w:r>
            <w:r w:rsidRPr="00F50C10">
              <w:rPr>
                <w:rFonts w:eastAsia="Times New Roman" w:cs="Times New Roman"/>
                <w:w w:val="95"/>
                <w:szCs w:val="24"/>
                <w:vertAlign w:val="subscript"/>
                <w:lang w:val="tr-TR" w:bidi="tr-TR"/>
              </w:rPr>
              <w:t>A</w:t>
            </w:r>
          </w:p>
        </w:tc>
        <w:tc>
          <w:tcPr>
            <w:tcW w:w="844" w:type="pct"/>
            <w:vAlign w:val="center"/>
          </w:tcPr>
          <w:p w14:paraId="4B59429B"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1 – 8</w:t>
            </w:r>
          </w:p>
        </w:tc>
        <w:tc>
          <w:tcPr>
            <w:tcW w:w="646" w:type="pct"/>
            <w:vMerge/>
            <w:tcBorders>
              <w:top w:val="nil"/>
            </w:tcBorders>
            <w:vAlign w:val="center"/>
          </w:tcPr>
          <w:p w14:paraId="3A5D08AE" w14:textId="77777777" w:rsidR="00496ADC" w:rsidRPr="00F50C10" w:rsidRDefault="00496ADC" w:rsidP="000B206D">
            <w:pPr>
              <w:spacing w:line="276" w:lineRule="auto"/>
              <w:jc w:val="center"/>
              <w:rPr>
                <w:rFonts w:cs="Times New Roman"/>
                <w:szCs w:val="24"/>
                <w:lang w:val="tr-TR"/>
              </w:rPr>
            </w:pPr>
          </w:p>
        </w:tc>
        <w:tc>
          <w:tcPr>
            <w:tcW w:w="2470" w:type="pct"/>
            <w:vMerge/>
            <w:tcBorders>
              <w:top w:val="nil"/>
            </w:tcBorders>
            <w:vAlign w:val="center"/>
          </w:tcPr>
          <w:p w14:paraId="1E22C2EB" w14:textId="77777777" w:rsidR="00496ADC" w:rsidRPr="00F50C10" w:rsidRDefault="00496ADC" w:rsidP="000B206D">
            <w:pPr>
              <w:spacing w:line="276" w:lineRule="auto"/>
              <w:jc w:val="center"/>
              <w:rPr>
                <w:rFonts w:cs="Times New Roman"/>
                <w:szCs w:val="24"/>
                <w:lang w:val="tr-TR"/>
              </w:rPr>
            </w:pPr>
          </w:p>
        </w:tc>
      </w:tr>
      <w:tr w:rsidR="00496ADC" w:rsidRPr="00F50C10" w14:paraId="1C77C124" w14:textId="77777777" w:rsidTr="00375F59">
        <w:trPr>
          <w:trHeight w:val="268"/>
        </w:trPr>
        <w:tc>
          <w:tcPr>
            <w:tcW w:w="1040" w:type="pct"/>
            <w:vAlign w:val="center"/>
          </w:tcPr>
          <w:p w14:paraId="2D9B538B"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w w:val="95"/>
                <w:szCs w:val="24"/>
                <w:lang w:val="tr-TR" w:bidi="tr-TR"/>
              </w:rPr>
              <w:t>LID</w:t>
            </w:r>
            <w:r w:rsidRPr="00F50C10">
              <w:rPr>
                <w:rFonts w:eastAsia="Times New Roman" w:cs="Times New Roman"/>
                <w:w w:val="95"/>
                <w:szCs w:val="24"/>
                <w:vertAlign w:val="subscript"/>
                <w:lang w:val="tr-TR" w:bidi="tr-TR"/>
              </w:rPr>
              <w:t>L</w:t>
            </w:r>
          </w:p>
        </w:tc>
        <w:tc>
          <w:tcPr>
            <w:tcW w:w="844" w:type="pct"/>
            <w:vAlign w:val="center"/>
          </w:tcPr>
          <w:p w14:paraId="3AE0BBC9"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3 – 16</w:t>
            </w:r>
          </w:p>
        </w:tc>
        <w:tc>
          <w:tcPr>
            <w:tcW w:w="646" w:type="pct"/>
            <w:vMerge/>
            <w:tcBorders>
              <w:top w:val="nil"/>
            </w:tcBorders>
            <w:vAlign w:val="center"/>
          </w:tcPr>
          <w:p w14:paraId="5A90E203" w14:textId="77777777" w:rsidR="00496ADC" w:rsidRPr="00F50C10" w:rsidRDefault="00496ADC" w:rsidP="000B206D">
            <w:pPr>
              <w:spacing w:line="276" w:lineRule="auto"/>
              <w:jc w:val="center"/>
              <w:rPr>
                <w:rFonts w:cs="Times New Roman"/>
                <w:szCs w:val="24"/>
                <w:lang w:val="tr-TR"/>
              </w:rPr>
            </w:pPr>
          </w:p>
        </w:tc>
        <w:tc>
          <w:tcPr>
            <w:tcW w:w="2470" w:type="pct"/>
            <w:vMerge/>
            <w:tcBorders>
              <w:top w:val="nil"/>
            </w:tcBorders>
            <w:vAlign w:val="center"/>
          </w:tcPr>
          <w:p w14:paraId="033B7EAF" w14:textId="77777777" w:rsidR="00496ADC" w:rsidRPr="00F50C10" w:rsidRDefault="00496ADC" w:rsidP="000B206D">
            <w:pPr>
              <w:spacing w:line="276" w:lineRule="auto"/>
              <w:jc w:val="center"/>
              <w:rPr>
                <w:rFonts w:cs="Times New Roman"/>
                <w:szCs w:val="24"/>
                <w:lang w:val="tr-TR"/>
              </w:rPr>
            </w:pPr>
          </w:p>
        </w:tc>
      </w:tr>
      <w:tr w:rsidR="00496ADC" w:rsidRPr="00F50C10" w14:paraId="3F1D94B3" w14:textId="77777777" w:rsidTr="00375F59">
        <w:trPr>
          <w:trHeight w:val="270"/>
        </w:trPr>
        <w:tc>
          <w:tcPr>
            <w:tcW w:w="1040" w:type="pct"/>
            <w:vAlign w:val="center"/>
          </w:tcPr>
          <w:p w14:paraId="39393316" w14:textId="77777777" w:rsidR="00496ADC" w:rsidRPr="00F50C10" w:rsidRDefault="00496ADC" w:rsidP="000B206D">
            <w:pPr>
              <w:widowControl w:val="0"/>
              <w:autoSpaceDE w:val="0"/>
              <w:autoSpaceDN w:val="0"/>
              <w:spacing w:line="276" w:lineRule="auto"/>
              <w:jc w:val="left"/>
              <w:rPr>
                <w:rFonts w:eastAsia="Times New Roman" w:cs="Times New Roman"/>
                <w:szCs w:val="24"/>
                <w:lang w:val="tr-TR"/>
              </w:rPr>
            </w:pPr>
            <w:r w:rsidRPr="00F50C10">
              <w:rPr>
                <w:rFonts w:eastAsia="Times New Roman" w:cs="Times New Roman"/>
                <w:szCs w:val="24"/>
                <w:lang w:val="tr-TR" w:bidi="tr-TR"/>
              </w:rPr>
              <w:t>LID</w:t>
            </w:r>
            <w:r w:rsidRPr="00F50C10">
              <w:rPr>
                <w:rFonts w:eastAsia="Times New Roman" w:cs="Times New Roman"/>
                <w:szCs w:val="24"/>
                <w:vertAlign w:val="subscript"/>
                <w:lang w:val="tr-TR" w:bidi="tr-TR"/>
              </w:rPr>
              <w:t>EU</w:t>
            </w:r>
          </w:p>
        </w:tc>
        <w:tc>
          <w:tcPr>
            <w:tcW w:w="844" w:type="pct"/>
            <w:vAlign w:val="center"/>
          </w:tcPr>
          <w:p w14:paraId="62699587" w14:textId="77777777" w:rsidR="00496ADC" w:rsidRPr="00F50C10" w:rsidRDefault="00496ADC" w:rsidP="000B206D">
            <w:pPr>
              <w:widowControl w:val="0"/>
              <w:autoSpaceDE w:val="0"/>
              <w:autoSpaceDN w:val="0"/>
              <w:spacing w:line="276" w:lineRule="auto"/>
              <w:jc w:val="center"/>
              <w:rPr>
                <w:rFonts w:eastAsia="Times New Roman" w:cs="Times New Roman"/>
                <w:szCs w:val="24"/>
                <w:lang w:val="tr-TR"/>
              </w:rPr>
            </w:pPr>
            <w:r w:rsidRPr="00F50C10">
              <w:rPr>
                <w:rFonts w:eastAsia="Times New Roman" w:cs="Times New Roman"/>
                <w:szCs w:val="24"/>
                <w:lang w:val="tr-TR" w:bidi="tr-TR"/>
              </w:rPr>
              <w:t>1,5</w:t>
            </w:r>
          </w:p>
        </w:tc>
        <w:tc>
          <w:tcPr>
            <w:tcW w:w="646" w:type="pct"/>
            <w:vMerge/>
            <w:tcBorders>
              <w:top w:val="nil"/>
            </w:tcBorders>
            <w:vAlign w:val="center"/>
          </w:tcPr>
          <w:p w14:paraId="079A4146" w14:textId="77777777" w:rsidR="00496ADC" w:rsidRPr="00F50C10" w:rsidRDefault="00496ADC" w:rsidP="000B206D">
            <w:pPr>
              <w:spacing w:line="276" w:lineRule="auto"/>
              <w:jc w:val="center"/>
              <w:rPr>
                <w:rFonts w:cs="Times New Roman"/>
                <w:szCs w:val="24"/>
                <w:lang w:val="tr-TR"/>
              </w:rPr>
            </w:pPr>
          </w:p>
        </w:tc>
        <w:tc>
          <w:tcPr>
            <w:tcW w:w="2470" w:type="pct"/>
            <w:vMerge/>
            <w:tcBorders>
              <w:top w:val="nil"/>
            </w:tcBorders>
            <w:vAlign w:val="center"/>
          </w:tcPr>
          <w:p w14:paraId="43C6DD1E" w14:textId="77777777" w:rsidR="00496ADC" w:rsidRPr="00F50C10" w:rsidRDefault="00496ADC" w:rsidP="000B206D">
            <w:pPr>
              <w:spacing w:line="276" w:lineRule="auto"/>
              <w:jc w:val="center"/>
              <w:rPr>
                <w:rFonts w:cs="Times New Roman"/>
                <w:szCs w:val="24"/>
                <w:lang w:val="tr-TR"/>
              </w:rPr>
            </w:pPr>
          </w:p>
        </w:tc>
      </w:tr>
      <w:tr w:rsidR="00496ADC" w:rsidRPr="00F50C10" w14:paraId="2DA81A4B" w14:textId="77777777" w:rsidTr="00375F59">
        <w:trPr>
          <w:trHeight w:val="455"/>
        </w:trPr>
        <w:tc>
          <w:tcPr>
            <w:tcW w:w="5000" w:type="pct"/>
            <w:gridSpan w:val="4"/>
            <w:vAlign w:val="center"/>
          </w:tcPr>
          <w:p w14:paraId="6CDE77D5" w14:textId="77777777" w:rsidR="00496ADC" w:rsidRPr="00F50C10" w:rsidRDefault="00496ADC" w:rsidP="000B206D">
            <w:pPr>
              <w:widowControl w:val="0"/>
              <w:autoSpaceDE w:val="0"/>
              <w:autoSpaceDN w:val="0"/>
              <w:spacing w:line="276" w:lineRule="auto"/>
              <w:ind w:left="72" w:right="72"/>
              <w:rPr>
                <w:rFonts w:eastAsia="Times New Roman" w:cs="Times New Roman"/>
                <w:szCs w:val="24"/>
                <w:lang w:val="tr-TR"/>
              </w:rPr>
            </w:pPr>
            <w:r w:rsidRPr="00F50C10">
              <w:rPr>
                <w:rFonts w:eastAsia="Times New Roman" w:cs="Times New Roman"/>
                <w:szCs w:val="24"/>
                <w:vertAlign w:val="superscript"/>
                <w:lang w:val="tr-TR" w:bidi="tr-TR"/>
              </w:rPr>
              <w:t>*</w:t>
            </w:r>
            <w:r w:rsidRPr="00F50C10">
              <w:rPr>
                <w:rFonts w:eastAsia="Times New Roman" w:cs="Times New Roman"/>
                <w:i/>
                <w:iCs/>
                <w:szCs w:val="24"/>
                <w:lang w:val="tr-TR" w:bidi="tr-TR"/>
              </w:rPr>
              <w:t>Seviyeler, seyreltme (örneğin soğutma suyu ile karıştırılarak) olmaksızın yapılan biyolojik arıtmadan sonra elde edilen çıkış suyu ile ilgilidir.</w:t>
            </w:r>
          </w:p>
        </w:tc>
      </w:tr>
    </w:tbl>
    <w:p w14:paraId="25058916" w14:textId="77777777" w:rsidR="00496ADC" w:rsidRPr="00F50C10" w:rsidRDefault="00496ADC" w:rsidP="00A654AE">
      <w:pPr>
        <w:widowControl w:val="0"/>
        <w:numPr>
          <w:ilvl w:val="2"/>
          <w:numId w:val="135"/>
        </w:numPr>
        <w:autoSpaceDE w:val="0"/>
        <w:autoSpaceDN w:val="0"/>
        <w:spacing w:before="120" w:after="60" w:line="276" w:lineRule="auto"/>
        <w:ind w:left="0" w:firstLine="0"/>
        <w:jc w:val="left"/>
        <w:outlineLvl w:val="2"/>
        <w:rPr>
          <w:rFonts w:eastAsia="Times New Roman" w:cs="Times New Roman"/>
          <w:b/>
          <w:bCs/>
          <w:szCs w:val="24"/>
          <w:lang w:val="tr-TR"/>
        </w:rPr>
      </w:pPr>
      <w:bookmarkStart w:id="243" w:name="_Toc135050243"/>
      <w:bookmarkStart w:id="244" w:name="_Toc135142021"/>
      <w:bookmarkStart w:id="245" w:name="_Toc135142098"/>
      <w:bookmarkStart w:id="246" w:name="_Toc135229458"/>
      <w:r w:rsidRPr="00F50C10">
        <w:rPr>
          <w:rFonts w:eastAsia="Times New Roman" w:cs="Times New Roman"/>
          <w:b/>
          <w:bCs/>
          <w:szCs w:val="24"/>
          <w:lang w:val="tr-TR"/>
        </w:rPr>
        <w:t>Toplam çıkış suyunun izlenmesi</w:t>
      </w:r>
      <w:bookmarkEnd w:id="243"/>
      <w:bookmarkEnd w:id="244"/>
      <w:bookmarkEnd w:id="245"/>
      <w:bookmarkEnd w:id="246"/>
    </w:p>
    <w:p w14:paraId="6068E2AA" w14:textId="77777777"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Biyolojik AAT’nin performansı da dahil olmak üzere toplam çıkış suyunun düzenli olarak izlenmesi, çok amaçlı bir tesisin operatörünün ürün değişikliklerinden, ayrı üretim operasyonlarından ve hatta ayrı üretim partilerinden kaynaklanan sorunları belirlemesine ve bu sorunları çözmeye yönelik önlemlerin hangi sonuçlara yol açtığını göstermesine olanak tanır. Refrakter yüklerin, AOX ve ağır metallerin izlenmesi, ön arıtma stratejilerinin başarılı olup olmadığını gösterir. İzleme sıklıkları, üretimin işletim modunu ve ürün değişikliklerinin sıklığını ve ayrıca biyolojik AAT'de tampon hacmi ve kalma süresinin oranını yansıtmalıdır.</w:t>
      </w:r>
    </w:p>
    <w:p w14:paraId="32CC6D26" w14:textId="72D56FB8"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69: </w:t>
      </w:r>
      <w:r w:rsidRPr="00F50C10">
        <w:rPr>
          <w:rFonts w:cs="Times New Roman"/>
          <w:szCs w:val="24"/>
          <w:lang w:val="tr-TR"/>
        </w:rPr>
        <w:t xml:space="preserve">Biyolojik AAT’ye giren ve oradan çıkan toplam çıkış suyu, asgari olarak verilen parametrelerin ölçülmesi yoluyla düzenli olarak </w:t>
      </w:r>
      <w:r w:rsidR="00AA596A" w:rsidRPr="00F50C10">
        <w:rPr>
          <w:rFonts w:cs="Times New Roman"/>
          <w:szCs w:val="24"/>
          <w:lang w:val="tr-TR"/>
        </w:rPr>
        <w:t>izlenir</w:t>
      </w:r>
      <w:r w:rsidRPr="00F50C10">
        <w:rPr>
          <w:rFonts w:cs="Times New Roman"/>
          <w:szCs w:val="24"/>
          <w:lang w:val="tr-TR"/>
        </w:rPr>
        <w:t>.</w:t>
      </w:r>
      <w:r w:rsidR="00C346AD" w:rsidRPr="00C346AD">
        <w:rPr>
          <w:rFonts w:cs="Times New Roman"/>
          <w:szCs w:val="24"/>
          <w:lang w:val="tr-TR"/>
        </w:rPr>
        <w:t xml:space="preserve"> </w:t>
      </w:r>
      <w:r w:rsidR="00C346AD" w:rsidRPr="005C5574">
        <w:rPr>
          <w:rFonts w:cs="Times New Roman"/>
          <w:szCs w:val="24"/>
          <w:lang w:val="tr-TR"/>
        </w:rPr>
        <w:t>(</w:t>
      </w:r>
      <w:r w:rsidR="00C346AD" w:rsidRPr="009E5076">
        <w:rPr>
          <w:rFonts w:cs="Times New Roman"/>
          <w:szCs w:val="24"/>
          <w:lang w:val="tr-TR"/>
        </w:rPr>
        <w:t>Detaylı bilgi için Organik İnce Kimyasalların Üretimi İçin MET Referans Belgesinin 4.</w:t>
      </w:r>
      <w:r w:rsidR="00C346AD">
        <w:rPr>
          <w:rFonts w:cs="Times New Roman"/>
          <w:szCs w:val="24"/>
          <w:lang w:val="tr-TR"/>
        </w:rPr>
        <w:t xml:space="preserve">3.8.21 kısmını </w:t>
      </w:r>
      <w:r w:rsidR="00C346AD" w:rsidRPr="009E5076">
        <w:rPr>
          <w:rFonts w:cs="Times New Roman"/>
          <w:szCs w:val="24"/>
          <w:lang w:val="tr-TR"/>
        </w:rPr>
        <w:t>inceleyiniz</w:t>
      </w:r>
      <w:r w:rsidR="00C346AD">
        <w:rPr>
          <w:rFonts w:cs="Times New Roman"/>
          <w:szCs w:val="24"/>
          <w:lang w:val="tr-TR"/>
        </w:rPr>
        <w:t>.)</w:t>
      </w:r>
    </w:p>
    <w:p w14:paraId="67841907" w14:textId="56CE5B73"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70: </w:t>
      </w:r>
      <w:r w:rsidRPr="00F50C10">
        <w:rPr>
          <w:rFonts w:cs="Times New Roman"/>
          <w:szCs w:val="24"/>
          <w:lang w:val="tr-TR"/>
        </w:rPr>
        <w:t>Ekotoksikolojik potansiyele sahip maddelerin kasten veya kasıtsız olarak taşındığı, kullanıldığı veya üretildiği biyolojik AAT’den çıkan toplam çıkış suyu</w:t>
      </w:r>
      <w:r w:rsidR="00AA596A" w:rsidRPr="00F50C10">
        <w:rPr>
          <w:rFonts w:cs="Times New Roman"/>
          <w:szCs w:val="24"/>
          <w:lang w:val="tr-TR"/>
        </w:rPr>
        <w:t xml:space="preserve"> </w:t>
      </w:r>
      <w:r w:rsidRPr="00F50C10">
        <w:rPr>
          <w:rFonts w:cs="Times New Roman"/>
          <w:szCs w:val="24"/>
          <w:lang w:val="tr-TR"/>
        </w:rPr>
        <w:t xml:space="preserve">düzenli olarak biyolojik izlemeye tabi </w:t>
      </w:r>
      <w:r w:rsidR="00AA596A" w:rsidRPr="00F50C10">
        <w:rPr>
          <w:rFonts w:cs="Times New Roman"/>
          <w:szCs w:val="24"/>
          <w:lang w:val="tr-TR"/>
        </w:rPr>
        <w:t>tutulur</w:t>
      </w:r>
      <w:r w:rsidRPr="00F50C10">
        <w:rPr>
          <w:rFonts w:cs="Times New Roman"/>
          <w:szCs w:val="24"/>
          <w:lang w:val="tr-TR"/>
        </w:rPr>
        <w:t>.</w:t>
      </w:r>
    </w:p>
    <w:p w14:paraId="51C113A8" w14:textId="77777777"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Ekotoksikolojik potansiyele sahip maddelerin kasıtlı veya kasıtsız olarak taşındığı, kullanıldığı veya üretildiği durumlarda (örneğin aktif farmasötik bileşenlerin, biyositlerin, bitki sağlığı ürünlerinin üretimi), biyolojik izleme, ayrı ayrı maddeler için belirsiz ve muhtemelen geniş bir aralığı izlemek yerine toplam çıkış suyundaki artık akut toksisiteyi belirlemeye yönelik bir araçtır. Biyolojik izleme aynı zamanda, bir üretim sahasında, muhtemelen diğer izleme verilerindeki dalgalanmalar kadar görünür olmayan doğal sorunları belirleme imkanı da sunar. Biyolojik izleme sıklıkları, üretimin işletim modunu ve ürün değişikliklerinin sıklığını yansıtmalıdır. Biyolojik izlemede artık toksisitenin bir sorun olduğu anlaşıldığında, önlemler geliştirmek ve uygulamak için bu toksisitenin nedenleri belirlenmelidir.</w:t>
      </w:r>
    </w:p>
    <w:p w14:paraId="771C065E" w14:textId="7CED6415"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71: </w:t>
      </w:r>
      <w:r w:rsidRPr="00F50C10">
        <w:rPr>
          <w:rFonts w:cs="Times New Roman"/>
          <w:szCs w:val="24"/>
          <w:lang w:val="tr-TR"/>
        </w:rPr>
        <w:t xml:space="preserve">Artık akut toksisitenin bir sorun olarak tanımlanması durumunda hat içi TOK ölçümüyle birlikte hat içi toksisite izlemesi </w:t>
      </w:r>
      <w:r w:rsidR="00AA596A" w:rsidRPr="00F50C10">
        <w:rPr>
          <w:rFonts w:cs="Times New Roman"/>
          <w:szCs w:val="24"/>
          <w:lang w:val="tr-TR"/>
        </w:rPr>
        <w:t>yapılır</w:t>
      </w:r>
      <w:r w:rsidRPr="00F50C10">
        <w:rPr>
          <w:rFonts w:cs="Times New Roman"/>
          <w:szCs w:val="24"/>
          <w:lang w:val="tr-TR"/>
        </w:rPr>
        <w:t>.</w:t>
      </w:r>
      <w:r w:rsidR="00C346AD" w:rsidRPr="00C346AD">
        <w:rPr>
          <w:rFonts w:cs="Times New Roman"/>
          <w:szCs w:val="24"/>
          <w:lang w:val="tr-TR"/>
        </w:rPr>
        <w:t xml:space="preserve"> </w:t>
      </w:r>
      <w:r w:rsidR="00C346AD" w:rsidRPr="005C5574">
        <w:rPr>
          <w:rFonts w:cs="Times New Roman"/>
          <w:szCs w:val="24"/>
          <w:lang w:val="tr-TR"/>
        </w:rPr>
        <w:t>(</w:t>
      </w:r>
      <w:r w:rsidR="00C346AD" w:rsidRPr="009E5076">
        <w:rPr>
          <w:rFonts w:cs="Times New Roman"/>
          <w:szCs w:val="24"/>
          <w:lang w:val="tr-TR"/>
        </w:rPr>
        <w:t>Detaylı bilgi için Organik İnce Kimyasalların Üretimi İçin MET Referans Belgesinin 4.</w:t>
      </w:r>
      <w:r w:rsidR="00C346AD">
        <w:rPr>
          <w:rFonts w:cs="Times New Roman"/>
          <w:szCs w:val="24"/>
          <w:lang w:val="tr-TR"/>
        </w:rPr>
        <w:t xml:space="preserve">3.8.18 ve 4.3.8.19 kısımlarını </w:t>
      </w:r>
      <w:r w:rsidR="00C346AD" w:rsidRPr="009E5076">
        <w:rPr>
          <w:rFonts w:cs="Times New Roman"/>
          <w:szCs w:val="24"/>
          <w:lang w:val="tr-TR"/>
        </w:rPr>
        <w:t>inceleyiniz</w:t>
      </w:r>
      <w:r w:rsidR="00C346AD">
        <w:rPr>
          <w:rFonts w:cs="Times New Roman"/>
          <w:szCs w:val="24"/>
          <w:lang w:val="tr-TR"/>
        </w:rPr>
        <w:t>.)</w:t>
      </w:r>
    </w:p>
    <w:p w14:paraId="092D4B66" w14:textId="77777777"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Artık toksisitenin bir sorun olarak tanımlandığı durumlarda (örneğin biyolojik AAT'nin performansındaki dalgalanmaların kritik üretim çalışmalarıyla ilgili olabileceği durumlarda) hat içi TOK ölçümü ile birlikte hat içi toksisite izlemesi, kritik durumların erkenden belirlenmesini ve operatörün müdahale etmesini sağlayan bir araçtır.</w:t>
      </w:r>
    </w:p>
    <w:p w14:paraId="29B2364A" w14:textId="77777777" w:rsidR="00496ADC" w:rsidRPr="00F50C10" w:rsidRDefault="00496ADC" w:rsidP="00A654AE">
      <w:pPr>
        <w:keepNext/>
        <w:keepLines/>
        <w:numPr>
          <w:ilvl w:val="0"/>
          <w:numId w:val="135"/>
        </w:numPr>
        <w:spacing w:before="120" w:after="60" w:line="276" w:lineRule="auto"/>
        <w:ind w:left="0" w:firstLine="0"/>
        <w:jc w:val="left"/>
        <w:outlineLvl w:val="0"/>
        <w:rPr>
          <w:rFonts w:eastAsiaTheme="majorEastAsia" w:cs="Times New Roman"/>
          <w:b/>
          <w:szCs w:val="24"/>
          <w:lang w:val="tr-TR"/>
        </w:rPr>
      </w:pPr>
      <w:bookmarkStart w:id="247" w:name="_Toc135050244"/>
      <w:bookmarkStart w:id="248" w:name="_Toc135142022"/>
      <w:bookmarkStart w:id="249" w:name="_Toc135142099"/>
      <w:bookmarkStart w:id="250" w:name="_Toc135229459"/>
      <w:r w:rsidRPr="00F50C10">
        <w:rPr>
          <w:rFonts w:eastAsiaTheme="majorEastAsia" w:cs="Times New Roman"/>
          <w:b/>
          <w:szCs w:val="24"/>
          <w:lang w:val="tr-TR"/>
        </w:rPr>
        <w:t>ÇEVRE YÖNETİMİ</w:t>
      </w:r>
      <w:bookmarkEnd w:id="247"/>
      <w:bookmarkEnd w:id="248"/>
      <w:bookmarkEnd w:id="249"/>
      <w:bookmarkEnd w:id="250"/>
    </w:p>
    <w:p w14:paraId="34D96B22" w14:textId="77777777" w:rsidR="00496ADC" w:rsidRPr="00F50C10" w:rsidRDefault="00496ADC" w:rsidP="000B206D">
      <w:pPr>
        <w:spacing w:before="120" w:after="60" w:line="276" w:lineRule="auto"/>
        <w:rPr>
          <w:rFonts w:cs="Times New Roman"/>
          <w:szCs w:val="24"/>
          <w:lang w:val="tr-TR"/>
        </w:rPr>
      </w:pPr>
      <w:r w:rsidRPr="00F50C10">
        <w:rPr>
          <w:rFonts w:cs="Times New Roman"/>
          <w:szCs w:val="24"/>
          <w:lang w:val="tr-TR"/>
        </w:rPr>
        <w:t>Birtakım çevre yönetimi teknikleri MET olarak belirlenmiştir. ÇYS’nin kapsamı (örneğin detay düzeyi) ve niteliği (örneğin standart veya standart dışı), genel olarak tesisin niteliği, ölçeği ve karmaşıklığının yanı sıra neden olabileceği muhtemel çevresel etkiler ile ilişkilendirilebilir.</w:t>
      </w:r>
    </w:p>
    <w:p w14:paraId="13EFBE50" w14:textId="77342690" w:rsidR="00496ADC" w:rsidRPr="00F50C10" w:rsidRDefault="00496ADC" w:rsidP="000B206D">
      <w:pPr>
        <w:spacing w:before="120" w:after="60" w:line="276" w:lineRule="auto"/>
        <w:rPr>
          <w:rFonts w:cs="Times New Roman"/>
          <w:b/>
          <w:bCs/>
          <w:szCs w:val="24"/>
          <w:lang w:val="tr-TR"/>
        </w:rPr>
      </w:pPr>
      <w:r w:rsidRPr="00F50C10">
        <w:rPr>
          <w:rFonts w:cs="Times New Roman"/>
          <w:b/>
          <w:bCs/>
          <w:szCs w:val="24"/>
          <w:lang w:val="tr-TR"/>
        </w:rPr>
        <w:t xml:space="preserve">MET 72: Organik ince kimyasalları üreten tesislerin genel çevresel performansını iyileştirmek için, aşağıda belirtilen tüm maddeleri bünyesinde toplayan bir </w:t>
      </w:r>
      <w:r w:rsidR="00F05BC9" w:rsidRPr="00F50C10">
        <w:rPr>
          <w:rFonts w:cs="Times New Roman"/>
          <w:b/>
          <w:bCs/>
          <w:szCs w:val="24"/>
          <w:lang w:val="tr-TR"/>
        </w:rPr>
        <w:t>Ç</w:t>
      </w:r>
      <w:r w:rsidR="00874B6D" w:rsidRPr="00F50C10">
        <w:rPr>
          <w:rFonts w:cs="Times New Roman"/>
          <w:b/>
          <w:bCs/>
          <w:szCs w:val="24"/>
          <w:lang w:val="tr-TR"/>
        </w:rPr>
        <w:t>evre</w:t>
      </w:r>
      <w:r w:rsidRPr="00F50C10">
        <w:rPr>
          <w:rFonts w:cs="Times New Roman"/>
          <w:b/>
          <w:bCs/>
          <w:szCs w:val="24"/>
          <w:lang w:val="tr-TR"/>
        </w:rPr>
        <w:t xml:space="preserve"> </w:t>
      </w:r>
      <w:r w:rsidR="00F05BC9" w:rsidRPr="00F50C10">
        <w:rPr>
          <w:rFonts w:cs="Times New Roman"/>
          <w:b/>
          <w:bCs/>
          <w:szCs w:val="24"/>
          <w:lang w:val="tr-TR"/>
        </w:rPr>
        <w:t>Y</w:t>
      </w:r>
      <w:r w:rsidRPr="00F50C10">
        <w:rPr>
          <w:rFonts w:cs="Times New Roman"/>
          <w:b/>
          <w:bCs/>
          <w:szCs w:val="24"/>
          <w:lang w:val="tr-TR"/>
        </w:rPr>
        <w:t>öneti</w:t>
      </w:r>
      <w:r w:rsidR="00F05BC9" w:rsidRPr="00F50C10">
        <w:rPr>
          <w:rFonts w:cs="Times New Roman"/>
          <w:b/>
          <w:bCs/>
          <w:szCs w:val="24"/>
          <w:lang w:val="tr-TR"/>
        </w:rPr>
        <w:t>m</w:t>
      </w:r>
      <w:r w:rsidRPr="00F50C10">
        <w:rPr>
          <w:rFonts w:cs="Times New Roman"/>
          <w:b/>
          <w:bCs/>
          <w:szCs w:val="24"/>
          <w:lang w:val="tr-TR"/>
        </w:rPr>
        <w:t xml:space="preserve"> </w:t>
      </w:r>
      <w:r w:rsidR="00F05BC9" w:rsidRPr="00F50C10">
        <w:rPr>
          <w:rFonts w:cs="Times New Roman"/>
          <w:b/>
          <w:bCs/>
          <w:szCs w:val="24"/>
          <w:lang w:val="tr-TR"/>
        </w:rPr>
        <w:t>S</w:t>
      </w:r>
      <w:r w:rsidRPr="00F50C10">
        <w:rPr>
          <w:rFonts w:cs="Times New Roman"/>
          <w:b/>
          <w:bCs/>
          <w:szCs w:val="24"/>
          <w:lang w:val="tr-TR"/>
        </w:rPr>
        <w:t>istemini (ÇYS) uygula</w:t>
      </w:r>
      <w:r w:rsidR="00AA596A" w:rsidRPr="00F50C10">
        <w:rPr>
          <w:rFonts w:cs="Times New Roman"/>
          <w:b/>
          <w:bCs/>
          <w:szCs w:val="24"/>
          <w:lang w:val="tr-TR"/>
        </w:rPr>
        <w:t>nır</w:t>
      </w:r>
      <w:r w:rsidRPr="00F50C10">
        <w:rPr>
          <w:rFonts w:cs="Times New Roman"/>
          <w:b/>
          <w:bCs/>
          <w:szCs w:val="24"/>
          <w:lang w:val="tr-TR"/>
        </w:rPr>
        <w:t xml:space="preserve"> ve söz konusu sisteme bağlı </w:t>
      </w:r>
      <w:r w:rsidR="00AA596A" w:rsidRPr="00F50C10">
        <w:rPr>
          <w:rFonts w:cs="Times New Roman"/>
          <w:b/>
          <w:bCs/>
          <w:szCs w:val="24"/>
          <w:lang w:val="tr-TR"/>
        </w:rPr>
        <w:t>kalınır</w:t>
      </w:r>
      <w:r w:rsidR="00F33652" w:rsidRPr="00F50C10">
        <w:rPr>
          <w:rFonts w:cs="Times New Roman"/>
          <w:b/>
          <w:bCs/>
          <w:szCs w:val="24"/>
          <w:lang w:val="tr-TR"/>
        </w:rPr>
        <w:t>:</w:t>
      </w:r>
      <w:r w:rsidRPr="00F50C10">
        <w:rPr>
          <w:rFonts w:cs="Times New Roman"/>
          <w:b/>
          <w:bCs/>
          <w:szCs w:val="24"/>
          <w:lang w:val="tr-TR"/>
        </w:rPr>
        <w:t xml:space="preserve"> </w:t>
      </w:r>
    </w:p>
    <w:p w14:paraId="6F64B70F" w14:textId="77777777" w:rsidR="00496ADC" w:rsidRPr="00F50C10" w:rsidRDefault="00496ADC" w:rsidP="00A654AE">
      <w:pPr>
        <w:widowControl w:val="0"/>
        <w:numPr>
          <w:ilvl w:val="0"/>
          <w:numId w:val="56"/>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üst yönetim de dahil olmak üzere, yönetimin bağlılığı;</w:t>
      </w:r>
    </w:p>
    <w:p w14:paraId="05CFBCE7" w14:textId="77777777" w:rsidR="00496ADC" w:rsidRPr="00F50C10" w:rsidRDefault="00496ADC" w:rsidP="00A654AE">
      <w:pPr>
        <w:widowControl w:val="0"/>
        <w:numPr>
          <w:ilvl w:val="0"/>
          <w:numId w:val="56"/>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tesisin sürekli iyileştirilmesini içeren bir çevre politikasının yönetim tarafından tanımlanması;</w:t>
      </w:r>
    </w:p>
    <w:p w14:paraId="0D8EA68A" w14:textId="77777777" w:rsidR="00496ADC" w:rsidRPr="00F50C10" w:rsidRDefault="00496ADC" w:rsidP="00A654AE">
      <w:pPr>
        <w:widowControl w:val="0"/>
        <w:numPr>
          <w:ilvl w:val="0"/>
          <w:numId w:val="56"/>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finansal planlama ve yatırım ile bağlantılı olarak gerekli prosedürlerin, amaçların ve hedeflerin planlanması ve oluşturulması;</w:t>
      </w:r>
    </w:p>
    <w:p w14:paraId="3497AD96" w14:textId="77777777" w:rsidR="00496ADC" w:rsidRPr="00F50C10" w:rsidRDefault="00496ADC" w:rsidP="00A654AE">
      <w:pPr>
        <w:widowControl w:val="0"/>
        <w:numPr>
          <w:ilvl w:val="0"/>
          <w:numId w:val="56"/>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prosedürlerin, aşağıdakilere özellikle dikkat edilerek uygulanması:</w:t>
      </w:r>
    </w:p>
    <w:p w14:paraId="39EB28D6" w14:textId="77777777" w:rsidR="00496ADC" w:rsidRPr="00F50C10" w:rsidRDefault="00496ADC" w:rsidP="00A654AE">
      <w:pPr>
        <w:widowControl w:val="0"/>
        <w:numPr>
          <w:ilvl w:val="1"/>
          <w:numId w:val="57"/>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yapı ve sorumluluk</w:t>
      </w:r>
    </w:p>
    <w:p w14:paraId="0D8A6F50" w14:textId="77777777" w:rsidR="00496ADC" w:rsidRPr="00F50C10" w:rsidRDefault="00496ADC" w:rsidP="00A654AE">
      <w:pPr>
        <w:widowControl w:val="0"/>
        <w:numPr>
          <w:ilvl w:val="1"/>
          <w:numId w:val="57"/>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eğitim, farkındalık ve yetkinlik</w:t>
      </w:r>
    </w:p>
    <w:p w14:paraId="12DD142D" w14:textId="77777777" w:rsidR="00496ADC" w:rsidRPr="00F50C10" w:rsidRDefault="00496ADC" w:rsidP="00A654AE">
      <w:pPr>
        <w:widowControl w:val="0"/>
        <w:numPr>
          <w:ilvl w:val="1"/>
          <w:numId w:val="57"/>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iletişim</w:t>
      </w:r>
    </w:p>
    <w:p w14:paraId="465BBA18" w14:textId="77777777" w:rsidR="00496ADC" w:rsidRPr="00F50C10" w:rsidRDefault="00496ADC" w:rsidP="00A654AE">
      <w:pPr>
        <w:widowControl w:val="0"/>
        <w:numPr>
          <w:ilvl w:val="1"/>
          <w:numId w:val="57"/>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çalışan katılımı</w:t>
      </w:r>
    </w:p>
    <w:p w14:paraId="47FF09F4" w14:textId="77777777" w:rsidR="00496ADC" w:rsidRPr="00F50C10" w:rsidRDefault="00496ADC" w:rsidP="00A654AE">
      <w:pPr>
        <w:widowControl w:val="0"/>
        <w:numPr>
          <w:ilvl w:val="1"/>
          <w:numId w:val="57"/>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belgeleme</w:t>
      </w:r>
    </w:p>
    <w:p w14:paraId="1E2DAA50" w14:textId="77777777" w:rsidR="00496ADC" w:rsidRPr="00F50C10" w:rsidRDefault="00496ADC" w:rsidP="00A654AE">
      <w:pPr>
        <w:widowControl w:val="0"/>
        <w:numPr>
          <w:ilvl w:val="1"/>
          <w:numId w:val="57"/>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verimli proses kontrolü</w:t>
      </w:r>
    </w:p>
    <w:p w14:paraId="58EB7C47" w14:textId="77777777" w:rsidR="00496ADC" w:rsidRPr="00F50C10" w:rsidRDefault="00496ADC" w:rsidP="00A654AE">
      <w:pPr>
        <w:widowControl w:val="0"/>
        <w:numPr>
          <w:ilvl w:val="1"/>
          <w:numId w:val="57"/>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bakım programları</w:t>
      </w:r>
    </w:p>
    <w:p w14:paraId="5D0B98FE" w14:textId="77777777" w:rsidR="00496ADC" w:rsidRPr="00F50C10" w:rsidRDefault="00496ADC" w:rsidP="00A654AE">
      <w:pPr>
        <w:widowControl w:val="0"/>
        <w:numPr>
          <w:ilvl w:val="1"/>
          <w:numId w:val="57"/>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acil duruma hazırlık ve müdahale</w:t>
      </w:r>
    </w:p>
    <w:p w14:paraId="20F92304" w14:textId="2B1D4D08" w:rsidR="00496ADC" w:rsidRPr="00F50C10" w:rsidRDefault="00496ADC" w:rsidP="00A654AE">
      <w:pPr>
        <w:pStyle w:val="ListeParagraf"/>
        <w:widowControl w:val="0"/>
        <w:numPr>
          <w:ilvl w:val="0"/>
          <w:numId w:val="56"/>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çevre mevzuatına uyumun gözetilmesi;</w:t>
      </w:r>
    </w:p>
    <w:p w14:paraId="10C102A9" w14:textId="77777777" w:rsidR="00496ADC" w:rsidRPr="00F50C10" w:rsidRDefault="00496ADC" w:rsidP="00A654AE">
      <w:pPr>
        <w:widowControl w:val="0"/>
        <w:numPr>
          <w:ilvl w:val="0"/>
          <w:numId w:val="56"/>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performansın kontrolü ve düzeltici eylemlerin, aşağıdakilere özellikle dikkat edilerek uygulanması:</w:t>
      </w:r>
    </w:p>
    <w:p w14:paraId="578FB555" w14:textId="77777777" w:rsidR="00496ADC" w:rsidRPr="00F50C10" w:rsidRDefault="00496ADC" w:rsidP="00A654AE">
      <w:pPr>
        <w:widowControl w:val="0"/>
        <w:numPr>
          <w:ilvl w:val="1"/>
          <w:numId w:val="58"/>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izleme ve ölçme (ayrıca bkz. İzlemenin Genel İlkelerine İlişkin Referans Belge)</w:t>
      </w:r>
    </w:p>
    <w:p w14:paraId="3F2C509A" w14:textId="77777777" w:rsidR="00496ADC" w:rsidRPr="00F50C10" w:rsidRDefault="00496ADC" w:rsidP="00A654AE">
      <w:pPr>
        <w:widowControl w:val="0"/>
        <w:numPr>
          <w:ilvl w:val="1"/>
          <w:numId w:val="58"/>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düzeltici ve önleyici eylemler</w:t>
      </w:r>
    </w:p>
    <w:p w14:paraId="221CEBCE" w14:textId="77777777" w:rsidR="00496ADC" w:rsidRPr="00F50C10" w:rsidRDefault="00496ADC" w:rsidP="00A654AE">
      <w:pPr>
        <w:widowControl w:val="0"/>
        <w:numPr>
          <w:ilvl w:val="1"/>
          <w:numId w:val="58"/>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kayıtların tutulması</w:t>
      </w:r>
    </w:p>
    <w:p w14:paraId="4A8EF8BB" w14:textId="77777777" w:rsidR="00496ADC" w:rsidRPr="00F50C10" w:rsidRDefault="00496ADC" w:rsidP="00A654AE">
      <w:pPr>
        <w:widowControl w:val="0"/>
        <w:numPr>
          <w:ilvl w:val="1"/>
          <w:numId w:val="58"/>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ÇYS’nin planlanan düzenlemelerle uyumlu olup olmadığını belirlemek ve doğru şekilde uygulandığından ve sürdürüldüğünden emin olmak üzere, iç ve dış denetimlerin, mümkün olduğu ölçüde bağımsız olarak gerçekleştirilmesi;</w:t>
      </w:r>
    </w:p>
    <w:p w14:paraId="69E8EEEE" w14:textId="77777777" w:rsidR="00496ADC" w:rsidRPr="00F50C10" w:rsidRDefault="00496ADC" w:rsidP="00A654AE">
      <w:pPr>
        <w:widowControl w:val="0"/>
        <w:numPr>
          <w:ilvl w:val="0"/>
          <w:numId w:val="56"/>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ÇYS'nin ve uygunluğunun, yeterliliğinin ve etkililiğinin, süreklilik açısından üst yönetim tarafından gözden geçirilmesi;</w:t>
      </w:r>
    </w:p>
    <w:p w14:paraId="282307DD" w14:textId="77777777" w:rsidR="00496ADC" w:rsidRPr="00F50C10" w:rsidRDefault="00496ADC" w:rsidP="00A654AE">
      <w:pPr>
        <w:widowControl w:val="0"/>
        <w:numPr>
          <w:ilvl w:val="0"/>
          <w:numId w:val="56"/>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daha temiz teknolojilerin gelişiminin takip edilmesi;</w:t>
      </w:r>
    </w:p>
    <w:p w14:paraId="62F1763C" w14:textId="77777777" w:rsidR="00496ADC" w:rsidRPr="00F50C10" w:rsidRDefault="00496ADC" w:rsidP="00A654AE">
      <w:pPr>
        <w:widowControl w:val="0"/>
        <w:numPr>
          <w:ilvl w:val="0"/>
          <w:numId w:val="56"/>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yeni bir tesisin tasarlanma aşamasında ve işletme ömrü boyunca, tesisin nihayetinde hizmetten çıkarılmasıyla meydana gelecek çevresel etkilerin dikkate alınması;</w:t>
      </w:r>
    </w:p>
    <w:p w14:paraId="6451CA8A" w14:textId="77777777" w:rsidR="00496ADC" w:rsidRPr="00F50C10" w:rsidRDefault="00496ADC" w:rsidP="00A654AE">
      <w:pPr>
        <w:widowControl w:val="0"/>
        <w:numPr>
          <w:ilvl w:val="0"/>
          <w:numId w:val="56"/>
        </w:numPr>
        <w:autoSpaceDE w:val="0"/>
        <w:autoSpaceDN w:val="0"/>
        <w:spacing w:before="120" w:after="60" w:line="276" w:lineRule="auto"/>
        <w:jc w:val="left"/>
        <w:rPr>
          <w:rFonts w:eastAsia="Times New Roman" w:cs="Times New Roman"/>
          <w:szCs w:val="24"/>
          <w:lang w:val="tr-TR"/>
        </w:rPr>
      </w:pPr>
      <w:r w:rsidRPr="00F50C10">
        <w:rPr>
          <w:rFonts w:eastAsia="Times New Roman" w:cs="Times New Roman"/>
          <w:szCs w:val="24"/>
          <w:lang w:val="tr-TR"/>
        </w:rPr>
        <w:t>düzenli olarak sektörel kıyaslama çalışmalarının uygulaması.</w:t>
      </w:r>
    </w:p>
    <w:p w14:paraId="109ECDAE" w14:textId="77777777" w:rsidR="00F33652" w:rsidRPr="00F50C10" w:rsidRDefault="00F33652" w:rsidP="000B206D">
      <w:pPr>
        <w:spacing w:line="276" w:lineRule="auto"/>
        <w:rPr>
          <w:rFonts w:cs="Times New Roman"/>
          <w:szCs w:val="24"/>
        </w:rPr>
      </w:pPr>
    </w:p>
    <w:p w14:paraId="37DB858D" w14:textId="49F000A3" w:rsidR="00375F59" w:rsidRPr="00F50C10" w:rsidRDefault="00375F59" w:rsidP="000B206D">
      <w:pPr>
        <w:spacing w:line="276" w:lineRule="auto"/>
        <w:rPr>
          <w:rFonts w:cs="Times New Roman"/>
          <w:szCs w:val="24"/>
        </w:rPr>
      </w:pPr>
    </w:p>
    <w:p w14:paraId="17555418" w14:textId="7C43204A" w:rsidR="00D358CB" w:rsidRPr="00F50C10" w:rsidRDefault="00D358CB" w:rsidP="000B206D">
      <w:pPr>
        <w:spacing w:line="276" w:lineRule="auto"/>
        <w:rPr>
          <w:rFonts w:cs="Times New Roman"/>
          <w:szCs w:val="24"/>
        </w:rPr>
      </w:pPr>
    </w:p>
    <w:p w14:paraId="1493918A" w14:textId="7A2400EF" w:rsidR="00375F59" w:rsidRPr="00F50C10" w:rsidRDefault="00D358CB" w:rsidP="000B206D">
      <w:pPr>
        <w:spacing w:after="160" w:line="276" w:lineRule="auto"/>
        <w:jc w:val="left"/>
        <w:rPr>
          <w:rFonts w:cs="Times New Roman"/>
          <w:szCs w:val="24"/>
        </w:rPr>
      </w:pPr>
      <w:r w:rsidRPr="00F50C10">
        <w:rPr>
          <w:rFonts w:cs="Times New Roman"/>
          <w:szCs w:val="24"/>
        </w:rPr>
        <w:br w:type="page"/>
      </w:r>
    </w:p>
    <w:p w14:paraId="690A547B" w14:textId="0990DA02" w:rsidR="00951FA4" w:rsidRPr="00F50C10" w:rsidRDefault="00951FA4" w:rsidP="000B206D">
      <w:pPr>
        <w:spacing w:line="276" w:lineRule="auto"/>
        <w:jc w:val="right"/>
        <w:rPr>
          <w:rFonts w:cs="Times New Roman"/>
          <w:b/>
          <w:szCs w:val="24"/>
        </w:rPr>
      </w:pPr>
      <w:r w:rsidRPr="00F50C10">
        <w:rPr>
          <w:rFonts w:cs="Times New Roman"/>
          <w:b/>
          <w:szCs w:val="24"/>
        </w:rPr>
        <w:t>EK-</w:t>
      </w:r>
      <w:r w:rsidR="00500C75" w:rsidRPr="00F50C10">
        <w:rPr>
          <w:rFonts w:cs="Times New Roman"/>
          <w:b/>
          <w:szCs w:val="24"/>
        </w:rPr>
        <w:t>4</w:t>
      </w:r>
    </w:p>
    <w:p w14:paraId="06AA72F1" w14:textId="0ABC3662" w:rsidR="00951FA4" w:rsidRPr="00F50C10" w:rsidRDefault="00951FA4" w:rsidP="000B206D">
      <w:pPr>
        <w:spacing w:line="276" w:lineRule="auto"/>
        <w:rPr>
          <w:rFonts w:cs="Times New Roman"/>
          <w:szCs w:val="24"/>
        </w:rPr>
      </w:pPr>
    </w:p>
    <w:p w14:paraId="598CCDB6" w14:textId="76070317" w:rsidR="004E5A6A" w:rsidRPr="00F50C10" w:rsidRDefault="00594F88" w:rsidP="000B206D">
      <w:pPr>
        <w:pStyle w:val="ResimYazs"/>
        <w:spacing w:line="276" w:lineRule="auto"/>
        <w:jc w:val="center"/>
        <w:rPr>
          <w:rFonts w:cs="Times New Roman"/>
          <w:szCs w:val="24"/>
        </w:rPr>
      </w:pPr>
      <w:r w:rsidRPr="00F50C10">
        <w:rPr>
          <w:rFonts w:cs="Times New Roman"/>
          <w:szCs w:val="24"/>
        </w:rPr>
        <w:t>Klor Alkali Üretiminde Mevcut En İyi Teknikler</w:t>
      </w:r>
      <w:r w:rsidR="00AB17F5" w:rsidRPr="00F50C10">
        <w:rPr>
          <w:rFonts w:cs="Times New Roman"/>
          <w:szCs w:val="24"/>
        </w:rPr>
        <w:t xml:space="preserve"> (4.2.a ve 4.2.c)</w:t>
      </w:r>
      <w:bookmarkStart w:id="251" w:name="_Toc134622086"/>
    </w:p>
    <w:p w14:paraId="77CB8086" w14:textId="77777777" w:rsidR="004E5A6A" w:rsidRPr="00F50C10" w:rsidRDefault="004E5A6A" w:rsidP="00A654AE">
      <w:pPr>
        <w:pStyle w:val="Balk1"/>
        <w:numPr>
          <w:ilvl w:val="0"/>
          <w:numId w:val="180"/>
        </w:numPr>
        <w:spacing w:line="276" w:lineRule="auto"/>
        <w:rPr>
          <w:rFonts w:cs="Times New Roman"/>
          <w:szCs w:val="24"/>
        </w:rPr>
      </w:pPr>
      <w:r w:rsidRPr="00F50C10">
        <w:rPr>
          <w:rFonts w:cs="Times New Roman"/>
          <w:szCs w:val="24"/>
        </w:rPr>
        <w:t>HÜCRE TEKNİĞİ</w:t>
      </w:r>
    </w:p>
    <w:p w14:paraId="550E85BF" w14:textId="77777777" w:rsidR="004E5A6A" w:rsidRPr="00F50C10" w:rsidRDefault="004E5A6A" w:rsidP="000B206D">
      <w:pPr>
        <w:pStyle w:val="Balk1"/>
        <w:numPr>
          <w:ilvl w:val="0"/>
          <w:numId w:val="0"/>
        </w:numPr>
        <w:spacing w:line="276" w:lineRule="auto"/>
        <w:rPr>
          <w:rFonts w:cs="Times New Roman"/>
          <w:b w:val="0"/>
          <w:bCs/>
          <w:szCs w:val="24"/>
        </w:rPr>
      </w:pPr>
      <w:r w:rsidRPr="00F50C10">
        <w:rPr>
          <w:rFonts w:cs="Times New Roman"/>
          <w:szCs w:val="24"/>
        </w:rPr>
        <w:t xml:space="preserve">MET 1: </w:t>
      </w:r>
      <w:r w:rsidRPr="00F50C10">
        <w:rPr>
          <w:rFonts w:cs="Times New Roman"/>
          <w:b w:val="0"/>
          <w:bCs/>
          <w:szCs w:val="24"/>
          <w:lang w:val="fi-FI" w:bidi="tr-TR"/>
        </w:rPr>
        <w:t>Klor-alkali üretimi için, aşağıda verilen tekniklerden biri veya birkaçı kullanılır. Cıva hücresi tekniği hiçbir koşulda MET olarak kabul edilemez. Asbestli diyaframların kullanımı MET değildir.</w:t>
      </w:r>
    </w:p>
    <w:tbl>
      <w:tblPr>
        <w:tblW w:w="5000" w:type="pct"/>
        <w:jc w:val="center"/>
        <w:tblCellMar>
          <w:left w:w="0" w:type="dxa"/>
          <w:right w:w="0" w:type="dxa"/>
        </w:tblCellMar>
        <w:tblLook w:val="01E0" w:firstRow="1" w:lastRow="1" w:firstColumn="1" w:lastColumn="1" w:noHBand="0" w:noVBand="0"/>
      </w:tblPr>
      <w:tblGrid>
        <w:gridCol w:w="285"/>
        <w:gridCol w:w="2349"/>
        <w:gridCol w:w="3565"/>
        <w:gridCol w:w="3109"/>
      </w:tblGrid>
      <w:tr w:rsidR="004E5A6A" w:rsidRPr="00F50C10" w14:paraId="4ABDCE80" w14:textId="77777777" w:rsidTr="002A26C9">
        <w:trPr>
          <w:trHeight w:val="20"/>
          <w:jc w:val="center"/>
        </w:trPr>
        <w:tc>
          <w:tcPr>
            <w:tcW w:w="153" w:type="pct"/>
            <w:tcBorders>
              <w:top w:val="single" w:sz="5" w:space="0" w:color="000000"/>
              <w:left w:val="single" w:sz="5" w:space="0" w:color="000000"/>
              <w:bottom w:val="single" w:sz="5" w:space="0" w:color="000000"/>
              <w:right w:val="single" w:sz="5" w:space="0" w:color="000000"/>
            </w:tcBorders>
            <w:vAlign w:val="center"/>
          </w:tcPr>
          <w:p w14:paraId="292DCDF9" w14:textId="77777777" w:rsidR="004E5A6A" w:rsidRPr="00F50C10" w:rsidRDefault="004E5A6A" w:rsidP="000B206D">
            <w:pPr>
              <w:spacing w:line="276" w:lineRule="auto"/>
              <w:ind w:left="72" w:right="72"/>
              <w:jc w:val="center"/>
              <w:rPr>
                <w:rFonts w:cs="Times New Roman"/>
                <w:szCs w:val="24"/>
                <w:lang w:val="fi-FI"/>
              </w:rPr>
            </w:pPr>
          </w:p>
        </w:tc>
        <w:tc>
          <w:tcPr>
            <w:tcW w:w="1262" w:type="pct"/>
            <w:tcBorders>
              <w:top w:val="single" w:sz="5" w:space="0" w:color="000000"/>
              <w:left w:val="single" w:sz="5" w:space="0" w:color="000000"/>
              <w:bottom w:val="single" w:sz="5" w:space="0" w:color="000000"/>
              <w:right w:val="single" w:sz="5" w:space="0" w:color="000000"/>
            </w:tcBorders>
            <w:vAlign w:val="center"/>
          </w:tcPr>
          <w:p w14:paraId="5D439E46" w14:textId="77777777" w:rsidR="004E5A6A" w:rsidRPr="00F50C10" w:rsidRDefault="004E5A6A" w:rsidP="000B206D">
            <w:pPr>
              <w:pStyle w:val="TableParagraph"/>
              <w:spacing w:line="276" w:lineRule="auto"/>
              <w:ind w:left="72" w:right="72"/>
              <w:jc w:val="center"/>
              <w:rPr>
                <w:szCs w:val="24"/>
              </w:rPr>
            </w:pPr>
            <w:r w:rsidRPr="00F50C10">
              <w:rPr>
                <w:b/>
                <w:szCs w:val="24"/>
                <w:lang w:bidi="tr-TR"/>
              </w:rPr>
              <w:t>Teknik</w:t>
            </w:r>
          </w:p>
        </w:tc>
        <w:tc>
          <w:tcPr>
            <w:tcW w:w="1915" w:type="pct"/>
            <w:tcBorders>
              <w:top w:val="single" w:sz="5" w:space="0" w:color="000000"/>
              <w:left w:val="single" w:sz="5" w:space="0" w:color="000000"/>
              <w:bottom w:val="single" w:sz="5" w:space="0" w:color="000000"/>
              <w:right w:val="single" w:sz="5" w:space="0" w:color="000000"/>
            </w:tcBorders>
            <w:vAlign w:val="center"/>
          </w:tcPr>
          <w:p w14:paraId="061BD4F3" w14:textId="77777777" w:rsidR="004E5A6A" w:rsidRPr="00F50C10" w:rsidRDefault="004E5A6A" w:rsidP="000B206D">
            <w:pPr>
              <w:pStyle w:val="TableParagraph"/>
              <w:spacing w:line="276" w:lineRule="auto"/>
              <w:ind w:left="72" w:right="72"/>
              <w:jc w:val="center"/>
              <w:rPr>
                <w:szCs w:val="24"/>
              </w:rPr>
            </w:pPr>
            <w:r w:rsidRPr="00F50C10">
              <w:rPr>
                <w:b/>
                <w:szCs w:val="24"/>
                <w:lang w:bidi="tr-TR"/>
              </w:rPr>
              <w:t>Açıklama</w:t>
            </w:r>
          </w:p>
        </w:tc>
        <w:tc>
          <w:tcPr>
            <w:tcW w:w="1671" w:type="pct"/>
            <w:tcBorders>
              <w:top w:val="single" w:sz="5" w:space="0" w:color="000000"/>
              <w:left w:val="single" w:sz="5" w:space="0" w:color="000000"/>
              <w:bottom w:val="single" w:sz="5" w:space="0" w:color="000000"/>
              <w:right w:val="single" w:sz="5" w:space="0" w:color="000000"/>
            </w:tcBorders>
            <w:vAlign w:val="center"/>
          </w:tcPr>
          <w:p w14:paraId="74C528DE" w14:textId="77777777" w:rsidR="004E5A6A" w:rsidRPr="00F50C10" w:rsidRDefault="004E5A6A" w:rsidP="000B206D">
            <w:pPr>
              <w:pStyle w:val="TableParagraph"/>
              <w:spacing w:line="276" w:lineRule="auto"/>
              <w:ind w:left="72" w:right="72"/>
              <w:jc w:val="center"/>
              <w:rPr>
                <w:szCs w:val="24"/>
              </w:rPr>
            </w:pPr>
            <w:r w:rsidRPr="00F50C10">
              <w:rPr>
                <w:b/>
                <w:szCs w:val="24"/>
                <w:lang w:bidi="tr-TR"/>
              </w:rPr>
              <w:t>Uygulanabilirlik</w:t>
            </w:r>
          </w:p>
        </w:tc>
      </w:tr>
      <w:tr w:rsidR="004E5A6A" w:rsidRPr="00F50C10" w14:paraId="47194A23" w14:textId="77777777" w:rsidTr="002A26C9">
        <w:trPr>
          <w:trHeight w:val="20"/>
          <w:jc w:val="center"/>
        </w:trPr>
        <w:tc>
          <w:tcPr>
            <w:tcW w:w="153" w:type="pct"/>
            <w:tcBorders>
              <w:top w:val="single" w:sz="5" w:space="0" w:color="000000"/>
              <w:left w:val="single" w:sz="5" w:space="0" w:color="000000"/>
              <w:bottom w:val="single" w:sz="5" w:space="0" w:color="000000"/>
              <w:right w:val="single" w:sz="5" w:space="0" w:color="000000"/>
            </w:tcBorders>
            <w:vAlign w:val="center"/>
          </w:tcPr>
          <w:p w14:paraId="6EA7D618" w14:textId="77777777" w:rsidR="004E5A6A" w:rsidRPr="00F50C10" w:rsidRDefault="004E5A6A" w:rsidP="000B206D">
            <w:pPr>
              <w:pStyle w:val="TableParagraph"/>
              <w:spacing w:line="276" w:lineRule="auto"/>
              <w:ind w:left="72" w:right="72"/>
              <w:jc w:val="center"/>
              <w:rPr>
                <w:szCs w:val="24"/>
              </w:rPr>
            </w:pPr>
            <w:r w:rsidRPr="00F50C10">
              <w:rPr>
                <w:szCs w:val="24"/>
                <w:lang w:bidi="tr-TR"/>
              </w:rPr>
              <w:t>a</w:t>
            </w:r>
          </w:p>
        </w:tc>
        <w:tc>
          <w:tcPr>
            <w:tcW w:w="1262" w:type="pct"/>
            <w:tcBorders>
              <w:top w:val="single" w:sz="5" w:space="0" w:color="000000"/>
              <w:left w:val="single" w:sz="5" w:space="0" w:color="000000"/>
              <w:bottom w:val="single" w:sz="5" w:space="0" w:color="000000"/>
              <w:right w:val="single" w:sz="5" w:space="0" w:color="000000"/>
            </w:tcBorders>
            <w:vAlign w:val="center"/>
          </w:tcPr>
          <w:p w14:paraId="37CD4F81" w14:textId="77777777" w:rsidR="004E5A6A" w:rsidRPr="00F50C10" w:rsidRDefault="004E5A6A" w:rsidP="000B206D">
            <w:pPr>
              <w:pStyle w:val="TableParagraph"/>
              <w:spacing w:line="276" w:lineRule="auto"/>
              <w:ind w:left="72" w:right="72"/>
              <w:jc w:val="both"/>
              <w:rPr>
                <w:szCs w:val="24"/>
              </w:rPr>
            </w:pPr>
            <w:r w:rsidRPr="00F50C10">
              <w:rPr>
                <w:szCs w:val="24"/>
                <w:lang w:bidi="tr-TR"/>
              </w:rPr>
              <w:t>Çift kutuplu membran hücresi tekniği</w:t>
            </w:r>
          </w:p>
        </w:tc>
        <w:tc>
          <w:tcPr>
            <w:tcW w:w="1915" w:type="pct"/>
            <w:tcBorders>
              <w:top w:val="single" w:sz="5" w:space="0" w:color="000000"/>
              <w:left w:val="single" w:sz="5" w:space="0" w:color="000000"/>
              <w:bottom w:val="single" w:sz="5" w:space="0" w:color="000000"/>
              <w:right w:val="single" w:sz="5" w:space="0" w:color="000000"/>
            </w:tcBorders>
          </w:tcPr>
          <w:p w14:paraId="5A6FDA35" w14:textId="77777777" w:rsidR="004E5A6A" w:rsidRPr="00F50C10" w:rsidRDefault="004E5A6A" w:rsidP="000B206D">
            <w:pPr>
              <w:pStyle w:val="TableParagraph"/>
              <w:spacing w:line="276" w:lineRule="auto"/>
              <w:ind w:left="72" w:right="72"/>
              <w:jc w:val="both"/>
              <w:rPr>
                <w:szCs w:val="24"/>
              </w:rPr>
            </w:pPr>
            <w:r w:rsidRPr="00F50C10">
              <w:rPr>
                <w:szCs w:val="24"/>
                <w:lang w:bidi="tr-TR"/>
              </w:rPr>
              <w:t>Membran hücreleri, bir membranla ayrılan bir anot ve bir katottan oluşur. Çift kutuplu bir konfigürasyonda, her bir membran hücresi seri devre olarak bağlanır.</w:t>
            </w:r>
          </w:p>
        </w:tc>
        <w:tc>
          <w:tcPr>
            <w:tcW w:w="1671" w:type="pct"/>
            <w:tcBorders>
              <w:top w:val="single" w:sz="5" w:space="0" w:color="000000"/>
              <w:left w:val="single" w:sz="5" w:space="0" w:color="000000"/>
              <w:bottom w:val="single" w:sz="5" w:space="0" w:color="000000"/>
              <w:right w:val="single" w:sz="5" w:space="0" w:color="000000"/>
            </w:tcBorders>
            <w:vAlign w:val="center"/>
          </w:tcPr>
          <w:p w14:paraId="10131500" w14:textId="77777777" w:rsidR="004E5A6A" w:rsidRPr="00F50C10" w:rsidRDefault="004E5A6A" w:rsidP="000B206D">
            <w:pPr>
              <w:pStyle w:val="TableParagraph"/>
              <w:spacing w:line="276" w:lineRule="auto"/>
              <w:ind w:left="72" w:right="72"/>
              <w:jc w:val="both"/>
              <w:rPr>
                <w:szCs w:val="24"/>
              </w:rPr>
            </w:pPr>
            <w:r w:rsidRPr="00F50C10">
              <w:rPr>
                <w:szCs w:val="24"/>
                <w:lang w:bidi="tr-TR"/>
              </w:rPr>
              <w:t>Genel olarak uygulanabilir.</w:t>
            </w:r>
          </w:p>
        </w:tc>
      </w:tr>
      <w:tr w:rsidR="004E5A6A" w:rsidRPr="00F50C10" w14:paraId="27A4B0DD" w14:textId="77777777" w:rsidTr="002A26C9">
        <w:trPr>
          <w:trHeight w:val="20"/>
          <w:jc w:val="center"/>
        </w:trPr>
        <w:tc>
          <w:tcPr>
            <w:tcW w:w="153" w:type="pct"/>
            <w:tcBorders>
              <w:top w:val="single" w:sz="5" w:space="0" w:color="000000"/>
              <w:left w:val="single" w:sz="5" w:space="0" w:color="000000"/>
              <w:bottom w:val="single" w:sz="5" w:space="0" w:color="000000"/>
              <w:right w:val="single" w:sz="5" w:space="0" w:color="000000"/>
            </w:tcBorders>
            <w:vAlign w:val="center"/>
          </w:tcPr>
          <w:p w14:paraId="303DEFD7" w14:textId="77777777" w:rsidR="004E5A6A" w:rsidRPr="00F50C10" w:rsidRDefault="004E5A6A" w:rsidP="000B206D">
            <w:pPr>
              <w:pStyle w:val="TableParagraph"/>
              <w:spacing w:line="276" w:lineRule="auto"/>
              <w:ind w:left="72" w:right="72"/>
              <w:jc w:val="center"/>
              <w:rPr>
                <w:szCs w:val="24"/>
              </w:rPr>
            </w:pPr>
            <w:r w:rsidRPr="00F50C10">
              <w:rPr>
                <w:szCs w:val="24"/>
                <w:lang w:bidi="tr-TR"/>
              </w:rPr>
              <w:t>b</w:t>
            </w:r>
          </w:p>
        </w:tc>
        <w:tc>
          <w:tcPr>
            <w:tcW w:w="1262" w:type="pct"/>
            <w:tcBorders>
              <w:top w:val="single" w:sz="5" w:space="0" w:color="000000"/>
              <w:left w:val="single" w:sz="5" w:space="0" w:color="000000"/>
              <w:bottom w:val="single" w:sz="5" w:space="0" w:color="000000"/>
              <w:right w:val="single" w:sz="5" w:space="0" w:color="000000"/>
            </w:tcBorders>
            <w:vAlign w:val="center"/>
          </w:tcPr>
          <w:p w14:paraId="5326DDC0" w14:textId="77777777" w:rsidR="004E5A6A" w:rsidRPr="00F50C10" w:rsidRDefault="004E5A6A" w:rsidP="000B206D">
            <w:pPr>
              <w:pStyle w:val="TableParagraph"/>
              <w:spacing w:line="276" w:lineRule="auto"/>
              <w:ind w:left="72" w:right="72"/>
              <w:jc w:val="both"/>
              <w:rPr>
                <w:szCs w:val="24"/>
              </w:rPr>
            </w:pPr>
            <w:r w:rsidRPr="00F50C10">
              <w:rPr>
                <w:szCs w:val="24"/>
                <w:lang w:bidi="tr-TR"/>
              </w:rPr>
              <w:t>Tek kutuplu membran hücresi tekniği</w:t>
            </w:r>
          </w:p>
        </w:tc>
        <w:tc>
          <w:tcPr>
            <w:tcW w:w="1915" w:type="pct"/>
            <w:tcBorders>
              <w:top w:val="single" w:sz="5" w:space="0" w:color="000000"/>
              <w:left w:val="single" w:sz="5" w:space="0" w:color="000000"/>
              <w:bottom w:val="single" w:sz="5" w:space="0" w:color="000000"/>
              <w:right w:val="single" w:sz="5" w:space="0" w:color="000000"/>
            </w:tcBorders>
          </w:tcPr>
          <w:p w14:paraId="1515F601" w14:textId="77777777" w:rsidR="004E5A6A" w:rsidRPr="00F50C10" w:rsidRDefault="004E5A6A" w:rsidP="000B206D">
            <w:pPr>
              <w:pStyle w:val="TableParagraph"/>
              <w:spacing w:line="276" w:lineRule="auto"/>
              <w:ind w:left="72" w:right="72"/>
              <w:jc w:val="both"/>
              <w:rPr>
                <w:szCs w:val="24"/>
              </w:rPr>
            </w:pPr>
            <w:r w:rsidRPr="00F50C10">
              <w:rPr>
                <w:szCs w:val="24"/>
                <w:lang w:bidi="tr-TR"/>
              </w:rPr>
              <w:t>Membran hücreleri, bir membranla ayrılan bir anot ve bir katottan oluşur. Tek kutuplu bir konfigürasyonda, her bir membran hücresi paralel devre olarak bağlanır.</w:t>
            </w:r>
          </w:p>
        </w:tc>
        <w:tc>
          <w:tcPr>
            <w:tcW w:w="1671" w:type="pct"/>
            <w:tcBorders>
              <w:top w:val="single" w:sz="5" w:space="0" w:color="000000"/>
              <w:left w:val="single" w:sz="5" w:space="0" w:color="000000"/>
              <w:bottom w:val="single" w:sz="5" w:space="0" w:color="000000"/>
              <w:right w:val="single" w:sz="5" w:space="0" w:color="000000"/>
            </w:tcBorders>
            <w:vAlign w:val="center"/>
          </w:tcPr>
          <w:p w14:paraId="068B4362" w14:textId="77777777" w:rsidR="004E5A6A" w:rsidRPr="00F50C10" w:rsidRDefault="004E5A6A" w:rsidP="000B206D">
            <w:pPr>
              <w:pStyle w:val="TableParagraph"/>
              <w:spacing w:line="276" w:lineRule="auto"/>
              <w:ind w:left="72" w:right="72"/>
              <w:jc w:val="both"/>
              <w:rPr>
                <w:szCs w:val="24"/>
              </w:rPr>
            </w:pPr>
            <w:r w:rsidRPr="00F50C10">
              <w:rPr>
                <w:szCs w:val="24"/>
                <w:lang w:bidi="tr-TR"/>
              </w:rPr>
              <w:t>Klor kapasitesi &gt; 20 kt/yıl olan yeni tesislerde uygulanamaz.</w:t>
            </w:r>
          </w:p>
        </w:tc>
      </w:tr>
      <w:tr w:rsidR="004E5A6A" w:rsidRPr="00F50C10" w14:paraId="4DF8C407" w14:textId="77777777" w:rsidTr="002A26C9">
        <w:trPr>
          <w:trHeight w:val="20"/>
          <w:jc w:val="center"/>
        </w:trPr>
        <w:tc>
          <w:tcPr>
            <w:tcW w:w="153" w:type="pct"/>
            <w:tcBorders>
              <w:top w:val="single" w:sz="5" w:space="0" w:color="000000"/>
              <w:left w:val="single" w:sz="5" w:space="0" w:color="000000"/>
              <w:bottom w:val="single" w:sz="5" w:space="0" w:color="000000"/>
              <w:right w:val="single" w:sz="5" w:space="0" w:color="000000"/>
            </w:tcBorders>
            <w:vAlign w:val="center"/>
          </w:tcPr>
          <w:p w14:paraId="7421D2D7" w14:textId="77777777" w:rsidR="004E5A6A" w:rsidRPr="00F50C10" w:rsidRDefault="004E5A6A" w:rsidP="000B206D">
            <w:pPr>
              <w:pStyle w:val="TableParagraph"/>
              <w:spacing w:line="276" w:lineRule="auto"/>
              <w:ind w:left="72" w:right="72"/>
              <w:jc w:val="center"/>
              <w:rPr>
                <w:szCs w:val="24"/>
              </w:rPr>
            </w:pPr>
            <w:r w:rsidRPr="00F50C10">
              <w:rPr>
                <w:szCs w:val="24"/>
                <w:lang w:bidi="tr-TR"/>
              </w:rPr>
              <w:t>c</w:t>
            </w:r>
          </w:p>
        </w:tc>
        <w:tc>
          <w:tcPr>
            <w:tcW w:w="1262" w:type="pct"/>
            <w:tcBorders>
              <w:top w:val="single" w:sz="5" w:space="0" w:color="000000"/>
              <w:left w:val="single" w:sz="5" w:space="0" w:color="000000"/>
              <w:bottom w:val="single" w:sz="5" w:space="0" w:color="000000"/>
              <w:right w:val="single" w:sz="5" w:space="0" w:color="000000"/>
            </w:tcBorders>
            <w:vAlign w:val="center"/>
          </w:tcPr>
          <w:p w14:paraId="50A28A06" w14:textId="77777777" w:rsidR="004E5A6A" w:rsidRPr="00F50C10" w:rsidRDefault="004E5A6A" w:rsidP="000B206D">
            <w:pPr>
              <w:pStyle w:val="TableParagraph"/>
              <w:spacing w:line="276" w:lineRule="auto"/>
              <w:ind w:left="72" w:right="72"/>
              <w:jc w:val="both"/>
              <w:rPr>
                <w:szCs w:val="24"/>
              </w:rPr>
            </w:pPr>
            <w:r w:rsidRPr="00F50C10">
              <w:rPr>
                <w:szCs w:val="24"/>
                <w:lang w:bidi="tr-TR"/>
              </w:rPr>
              <w:t>Asbestsiz diyafram hücresi tekniği</w:t>
            </w:r>
          </w:p>
        </w:tc>
        <w:tc>
          <w:tcPr>
            <w:tcW w:w="1915" w:type="pct"/>
            <w:tcBorders>
              <w:top w:val="single" w:sz="5" w:space="0" w:color="000000"/>
              <w:left w:val="single" w:sz="5" w:space="0" w:color="000000"/>
              <w:bottom w:val="single" w:sz="5" w:space="0" w:color="000000"/>
              <w:right w:val="single" w:sz="5" w:space="0" w:color="000000"/>
            </w:tcBorders>
          </w:tcPr>
          <w:p w14:paraId="0695F50E" w14:textId="77777777" w:rsidR="004E5A6A" w:rsidRPr="00F50C10" w:rsidRDefault="004E5A6A" w:rsidP="000B206D">
            <w:pPr>
              <w:pStyle w:val="TableParagraph"/>
              <w:spacing w:line="276" w:lineRule="auto"/>
              <w:ind w:left="72" w:right="72"/>
              <w:jc w:val="both"/>
              <w:rPr>
                <w:szCs w:val="24"/>
              </w:rPr>
            </w:pPr>
            <w:r w:rsidRPr="00F50C10">
              <w:rPr>
                <w:szCs w:val="24"/>
                <w:lang w:bidi="tr-TR"/>
              </w:rPr>
              <w:t>Asbestsiz diyafram hücreleri, asbestsiz bir diyaframla ayrılan bir anot ve bir katottan oluşur. Her bir diyafram hücresi seri (çift kutuplu) veya paralel (tek kutuplu) devre olarak bağlanır.</w:t>
            </w:r>
          </w:p>
        </w:tc>
        <w:tc>
          <w:tcPr>
            <w:tcW w:w="1671" w:type="pct"/>
            <w:tcBorders>
              <w:top w:val="single" w:sz="5" w:space="0" w:color="000000"/>
              <w:left w:val="single" w:sz="5" w:space="0" w:color="000000"/>
              <w:bottom w:val="single" w:sz="5" w:space="0" w:color="000000"/>
              <w:right w:val="single" w:sz="5" w:space="0" w:color="000000"/>
            </w:tcBorders>
            <w:vAlign w:val="center"/>
          </w:tcPr>
          <w:p w14:paraId="41E6CAA4" w14:textId="77777777" w:rsidR="004E5A6A" w:rsidRPr="00F50C10" w:rsidRDefault="004E5A6A" w:rsidP="000B206D">
            <w:pPr>
              <w:pStyle w:val="TableParagraph"/>
              <w:spacing w:line="276" w:lineRule="auto"/>
              <w:ind w:left="72" w:right="72"/>
              <w:jc w:val="both"/>
              <w:rPr>
                <w:szCs w:val="24"/>
              </w:rPr>
            </w:pPr>
            <w:r w:rsidRPr="00F50C10">
              <w:rPr>
                <w:szCs w:val="24"/>
                <w:lang w:bidi="tr-TR"/>
              </w:rPr>
              <w:t>Genel olarak uygulanabilir.</w:t>
            </w:r>
          </w:p>
        </w:tc>
      </w:tr>
    </w:tbl>
    <w:p w14:paraId="1D7076EC" w14:textId="7AEB29BA" w:rsidR="00951FA4" w:rsidRPr="00F50C10" w:rsidRDefault="00951FA4" w:rsidP="00A654AE">
      <w:pPr>
        <w:pStyle w:val="Balk1"/>
        <w:numPr>
          <w:ilvl w:val="0"/>
          <w:numId w:val="180"/>
        </w:numPr>
        <w:spacing w:before="240" w:line="276" w:lineRule="auto"/>
        <w:rPr>
          <w:rFonts w:cs="Times New Roman"/>
          <w:szCs w:val="24"/>
        </w:rPr>
      </w:pPr>
      <w:r w:rsidRPr="00F50C10">
        <w:rPr>
          <w:rFonts w:cs="Times New Roman"/>
          <w:szCs w:val="24"/>
        </w:rPr>
        <w:t>CIVA HÜCRELİ TESİSLERİN HİZMETTEN ÇIKARILMASI VEYA DÖNÜŞTÜRÜLMESİ</w:t>
      </w:r>
      <w:bookmarkEnd w:id="251"/>
    </w:p>
    <w:p w14:paraId="7E8EF846" w14:textId="7177F61F" w:rsidR="00951FA4" w:rsidRPr="00F50C10" w:rsidRDefault="00951FA4" w:rsidP="000B206D">
      <w:pPr>
        <w:spacing w:after="120" w:line="276" w:lineRule="auto"/>
        <w:rPr>
          <w:rFonts w:cs="Times New Roman"/>
          <w:szCs w:val="24"/>
          <w:lang w:bidi="tr-TR"/>
        </w:rPr>
      </w:pPr>
      <w:r w:rsidRPr="00F50C10">
        <w:rPr>
          <w:rFonts w:cs="Times New Roman"/>
          <w:b/>
          <w:bCs/>
          <w:szCs w:val="24"/>
          <w:lang w:bidi="tr-TR"/>
        </w:rPr>
        <w:t xml:space="preserve">MET 2: </w:t>
      </w:r>
      <w:r w:rsidRPr="00F50C10">
        <w:rPr>
          <w:rFonts w:cs="Times New Roman"/>
          <w:szCs w:val="24"/>
          <w:lang w:bidi="tr-TR"/>
        </w:rPr>
        <w:t>Cıva hücreli tesislerin hizmetten çıkarılması veya dönüştürülmesi sırasında cıva emisyonlarını azaltmak ve cıva ile kontamine olmuş atık oluşumunu azaltmak için, aşağıdaki özelliklerin hepsini içeren bir hizmetten çıkarma planını hazırla</w:t>
      </w:r>
      <w:r w:rsidR="004771C7" w:rsidRPr="00F50C10">
        <w:rPr>
          <w:rFonts w:cs="Times New Roman"/>
          <w:szCs w:val="24"/>
          <w:lang w:bidi="tr-TR"/>
        </w:rPr>
        <w:t>nır</w:t>
      </w:r>
      <w:r w:rsidRPr="00F50C10">
        <w:rPr>
          <w:rFonts w:cs="Times New Roman"/>
          <w:szCs w:val="24"/>
          <w:lang w:bidi="tr-TR"/>
        </w:rPr>
        <w:t xml:space="preserve"> ve uygula</w:t>
      </w:r>
      <w:r w:rsidR="004771C7" w:rsidRPr="00F50C10">
        <w:rPr>
          <w:rFonts w:cs="Times New Roman"/>
          <w:szCs w:val="24"/>
          <w:lang w:bidi="tr-TR"/>
        </w:rPr>
        <w:t>n</w:t>
      </w:r>
      <w:r w:rsidRPr="00F50C10">
        <w:rPr>
          <w:rFonts w:cs="Times New Roman"/>
          <w:szCs w:val="24"/>
          <w:lang w:bidi="tr-TR"/>
        </w:rPr>
        <w:t>ır:</w:t>
      </w:r>
    </w:p>
    <w:p w14:paraId="4DD78CA4" w14:textId="77777777" w:rsidR="00951FA4" w:rsidRPr="00F50C10" w:rsidRDefault="00951FA4" w:rsidP="00A654AE">
      <w:pPr>
        <w:pStyle w:val="ListeParagraf"/>
        <w:numPr>
          <w:ilvl w:val="0"/>
          <w:numId w:val="59"/>
        </w:numPr>
        <w:spacing w:after="120" w:line="276" w:lineRule="auto"/>
        <w:rPr>
          <w:rFonts w:cs="Times New Roman"/>
          <w:szCs w:val="24"/>
        </w:rPr>
      </w:pPr>
      <w:r w:rsidRPr="00F50C10">
        <w:rPr>
          <w:rFonts w:cs="Times New Roman"/>
          <w:szCs w:val="24"/>
          <w:lang w:bidi="tr-TR"/>
        </w:rPr>
        <w:t>hazırlama ve uygulamanın tüm aşamalarında eski tesisin işletmesinde deneyimli bazı personelin sürece dahil edilmesi;</w:t>
      </w:r>
    </w:p>
    <w:p w14:paraId="613B491E" w14:textId="77777777" w:rsidR="00951FA4" w:rsidRPr="00F50C10" w:rsidRDefault="00951FA4" w:rsidP="00A654AE">
      <w:pPr>
        <w:pStyle w:val="ListeParagraf"/>
        <w:numPr>
          <w:ilvl w:val="0"/>
          <w:numId w:val="59"/>
        </w:numPr>
        <w:spacing w:after="120" w:line="276" w:lineRule="auto"/>
        <w:rPr>
          <w:rFonts w:cs="Times New Roman"/>
          <w:szCs w:val="24"/>
        </w:rPr>
      </w:pPr>
      <w:r w:rsidRPr="00F50C10">
        <w:rPr>
          <w:rFonts w:cs="Times New Roman"/>
          <w:szCs w:val="24"/>
          <w:lang w:bidi="tr-TR"/>
        </w:rPr>
        <w:t>uygulamanın tüm aşamaları için prosedür ve talimatların sağlanması;</w:t>
      </w:r>
    </w:p>
    <w:p w14:paraId="3A70E010" w14:textId="77777777" w:rsidR="00951FA4" w:rsidRPr="00F50C10" w:rsidRDefault="00951FA4" w:rsidP="00A654AE">
      <w:pPr>
        <w:pStyle w:val="GvdeMetni"/>
        <w:numPr>
          <w:ilvl w:val="0"/>
          <w:numId w:val="59"/>
        </w:numPr>
        <w:tabs>
          <w:tab w:val="left" w:pos="1440"/>
        </w:tabs>
        <w:spacing w:after="120" w:line="276" w:lineRule="auto"/>
        <w:ind w:right="157"/>
        <w:jc w:val="both"/>
        <w:rPr>
          <w:sz w:val="24"/>
          <w:szCs w:val="24"/>
        </w:rPr>
      </w:pPr>
      <w:r w:rsidRPr="00F50C10">
        <w:rPr>
          <w:sz w:val="24"/>
          <w:szCs w:val="24"/>
          <w:lang w:bidi="tr-TR"/>
        </w:rPr>
        <w:t>cıva kullanımı konusunda deneyimi olmayan personel için ayrıntılı bir eğitim ve denetim programının sağlanması;</w:t>
      </w:r>
    </w:p>
    <w:p w14:paraId="17508953" w14:textId="77777777" w:rsidR="00951FA4" w:rsidRPr="00F50C10" w:rsidRDefault="00951FA4" w:rsidP="00A654AE">
      <w:pPr>
        <w:pStyle w:val="GvdeMetni"/>
        <w:numPr>
          <w:ilvl w:val="0"/>
          <w:numId w:val="59"/>
        </w:numPr>
        <w:spacing w:after="120" w:line="276" w:lineRule="auto"/>
        <w:ind w:right="156"/>
        <w:jc w:val="both"/>
        <w:rPr>
          <w:sz w:val="24"/>
          <w:szCs w:val="24"/>
        </w:rPr>
      </w:pPr>
      <w:r w:rsidRPr="00F50C10">
        <w:rPr>
          <w:sz w:val="24"/>
          <w:szCs w:val="24"/>
          <w:lang w:bidi="tr-TR"/>
        </w:rPr>
        <w:t>geri kazanılacak metalik cıva miktarının belirlenmesi, bertaraf edilecek atık miktarının ve içerdiği cıva kontaminasyonunun tahmini;</w:t>
      </w:r>
    </w:p>
    <w:p w14:paraId="07B101E2" w14:textId="77777777" w:rsidR="00951FA4" w:rsidRPr="00F50C10" w:rsidRDefault="00951FA4" w:rsidP="00A654AE">
      <w:pPr>
        <w:pStyle w:val="ListeParagraf"/>
        <w:numPr>
          <w:ilvl w:val="0"/>
          <w:numId w:val="59"/>
        </w:numPr>
        <w:spacing w:after="120" w:line="276" w:lineRule="auto"/>
        <w:rPr>
          <w:rFonts w:cs="Times New Roman"/>
          <w:szCs w:val="24"/>
        </w:rPr>
      </w:pPr>
      <w:r w:rsidRPr="00F50C10">
        <w:rPr>
          <w:rFonts w:cs="Times New Roman"/>
          <w:szCs w:val="24"/>
          <w:lang w:bidi="tr-TR"/>
        </w:rPr>
        <w:t>aşağıdaki özelliklere sahip çalışma alanlarının sağlanması:</w:t>
      </w:r>
    </w:p>
    <w:p w14:paraId="2CA1EE94" w14:textId="77777777" w:rsidR="00951FA4" w:rsidRPr="00F50C10" w:rsidRDefault="00951FA4" w:rsidP="00A654AE">
      <w:pPr>
        <w:pStyle w:val="GvdeMetni"/>
        <w:numPr>
          <w:ilvl w:val="2"/>
          <w:numId w:val="60"/>
        </w:numPr>
        <w:tabs>
          <w:tab w:val="left" w:pos="2008"/>
        </w:tabs>
        <w:autoSpaceDE/>
        <w:autoSpaceDN/>
        <w:spacing w:after="120" w:line="276" w:lineRule="auto"/>
        <w:jc w:val="both"/>
        <w:rPr>
          <w:sz w:val="24"/>
          <w:szCs w:val="24"/>
        </w:rPr>
      </w:pPr>
      <w:r w:rsidRPr="00F50C10">
        <w:rPr>
          <w:sz w:val="24"/>
          <w:szCs w:val="24"/>
          <w:lang w:bidi="tr-TR"/>
        </w:rPr>
        <w:t>bir çatı ile örtülü;</w:t>
      </w:r>
    </w:p>
    <w:p w14:paraId="5B4A7570" w14:textId="0EFA3E09" w:rsidR="00951FA4" w:rsidRPr="00F50C10" w:rsidRDefault="00951FA4" w:rsidP="00A654AE">
      <w:pPr>
        <w:pStyle w:val="GvdeMetni"/>
        <w:numPr>
          <w:ilvl w:val="2"/>
          <w:numId w:val="60"/>
        </w:numPr>
        <w:tabs>
          <w:tab w:val="left" w:pos="2008"/>
        </w:tabs>
        <w:autoSpaceDE/>
        <w:autoSpaceDN/>
        <w:spacing w:after="120" w:line="276" w:lineRule="auto"/>
        <w:ind w:right="155"/>
        <w:jc w:val="both"/>
        <w:rPr>
          <w:sz w:val="24"/>
          <w:szCs w:val="24"/>
        </w:rPr>
      </w:pPr>
      <w:r w:rsidRPr="00F50C10">
        <w:rPr>
          <w:sz w:val="24"/>
          <w:szCs w:val="24"/>
          <w:lang w:bidi="tr-TR"/>
        </w:rPr>
        <w:t xml:space="preserve">cıva dökülmelerini bir toplama havuzuna yönlendirmek için </w:t>
      </w:r>
      <w:r w:rsidR="00333171" w:rsidRPr="00F50C10">
        <w:rPr>
          <w:sz w:val="24"/>
          <w:szCs w:val="24"/>
          <w:lang w:bidi="tr-TR"/>
        </w:rPr>
        <w:t>pürüzsüz</w:t>
      </w:r>
      <w:r w:rsidRPr="00F50C10">
        <w:rPr>
          <w:sz w:val="24"/>
          <w:szCs w:val="24"/>
          <w:lang w:bidi="tr-TR"/>
        </w:rPr>
        <w:t>, eğimli, geçirimsiz bir zemin ile donatılmış;</w:t>
      </w:r>
    </w:p>
    <w:p w14:paraId="52882313" w14:textId="77777777" w:rsidR="00951FA4" w:rsidRPr="00F50C10" w:rsidRDefault="00951FA4" w:rsidP="00A654AE">
      <w:pPr>
        <w:pStyle w:val="GvdeMetni"/>
        <w:numPr>
          <w:ilvl w:val="2"/>
          <w:numId w:val="60"/>
        </w:numPr>
        <w:tabs>
          <w:tab w:val="left" w:pos="2008"/>
        </w:tabs>
        <w:autoSpaceDE/>
        <w:autoSpaceDN/>
        <w:spacing w:after="120" w:line="276" w:lineRule="auto"/>
        <w:jc w:val="both"/>
        <w:rPr>
          <w:sz w:val="24"/>
          <w:szCs w:val="24"/>
        </w:rPr>
      </w:pPr>
      <w:r w:rsidRPr="00F50C10">
        <w:rPr>
          <w:sz w:val="24"/>
          <w:szCs w:val="24"/>
          <w:lang w:bidi="tr-TR"/>
        </w:rPr>
        <w:t>iyi aydınlatılmış;</w:t>
      </w:r>
    </w:p>
    <w:p w14:paraId="4BB6847E" w14:textId="77777777" w:rsidR="00951FA4" w:rsidRPr="00F50C10" w:rsidRDefault="00951FA4" w:rsidP="00A654AE">
      <w:pPr>
        <w:pStyle w:val="GvdeMetni"/>
        <w:numPr>
          <w:ilvl w:val="2"/>
          <w:numId w:val="60"/>
        </w:numPr>
        <w:tabs>
          <w:tab w:val="left" w:pos="2008"/>
        </w:tabs>
        <w:autoSpaceDE/>
        <w:autoSpaceDN/>
        <w:spacing w:after="120" w:line="276" w:lineRule="auto"/>
        <w:jc w:val="both"/>
        <w:rPr>
          <w:sz w:val="24"/>
          <w:szCs w:val="24"/>
        </w:rPr>
      </w:pPr>
      <w:r w:rsidRPr="00F50C10">
        <w:rPr>
          <w:sz w:val="24"/>
          <w:szCs w:val="24"/>
          <w:lang w:bidi="tr-TR"/>
        </w:rPr>
        <w:t>cıva emebilecek engellerden ve kalıntılardan arındırılmış;</w:t>
      </w:r>
    </w:p>
    <w:p w14:paraId="3405A187" w14:textId="77777777" w:rsidR="00951FA4" w:rsidRPr="00F50C10" w:rsidRDefault="00951FA4" w:rsidP="00A654AE">
      <w:pPr>
        <w:pStyle w:val="GvdeMetni"/>
        <w:numPr>
          <w:ilvl w:val="2"/>
          <w:numId w:val="60"/>
        </w:numPr>
        <w:tabs>
          <w:tab w:val="left" w:pos="2008"/>
        </w:tabs>
        <w:autoSpaceDE/>
        <w:autoSpaceDN/>
        <w:spacing w:after="120" w:line="276" w:lineRule="auto"/>
        <w:jc w:val="both"/>
        <w:rPr>
          <w:sz w:val="24"/>
          <w:szCs w:val="24"/>
        </w:rPr>
      </w:pPr>
      <w:r w:rsidRPr="00F50C10">
        <w:rPr>
          <w:sz w:val="24"/>
          <w:szCs w:val="24"/>
          <w:lang w:bidi="tr-TR"/>
        </w:rPr>
        <w:t>yıkama için su şebekesine bağlı;</w:t>
      </w:r>
    </w:p>
    <w:p w14:paraId="57128405" w14:textId="77777777" w:rsidR="00951FA4" w:rsidRPr="00F50C10" w:rsidRDefault="00951FA4" w:rsidP="00A654AE">
      <w:pPr>
        <w:pStyle w:val="GvdeMetni"/>
        <w:numPr>
          <w:ilvl w:val="2"/>
          <w:numId w:val="60"/>
        </w:numPr>
        <w:tabs>
          <w:tab w:val="left" w:pos="2008"/>
        </w:tabs>
        <w:autoSpaceDE/>
        <w:autoSpaceDN/>
        <w:spacing w:after="120" w:line="276" w:lineRule="auto"/>
        <w:jc w:val="both"/>
        <w:rPr>
          <w:sz w:val="24"/>
          <w:szCs w:val="24"/>
        </w:rPr>
      </w:pPr>
      <w:r w:rsidRPr="00F50C10">
        <w:rPr>
          <w:sz w:val="24"/>
          <w:szCs w:val="24"/>
          <w:lang w:bidi="tr-TR"/>
        </w:rPr>
        <w:t>bir atık su arıtma sistemine bağlı;</w:t>
      </w:r>
    </w:p>
    <w:p w14:paraId="7C5F94B2" w14:textId="77777777" w:rsidR="00951FA4" w:rsidRPr="00F50C10" w:rsidRDefault="00951FA4" w:rsidP="00A654AE">
      <w:pPr>
        <w:pStyle w:val="ListeParagraf"/>
        <w:numPr>
          <w:ilvl w:val="0"/>
          <w:numId w:val="59"/>
        </w:numPr>
        <w:spacing w:after="120" w:line="276" w:lineRule="auto"/>
        <w:rPr>
          <w:rFonts w:cs="Times New Roman"/>
          <w:szCs w:val="24"/>
        </w:rPr>
      </w:pPr>
      <w:r w:rsidRPr="00F50C10">
        <w:rPr>
          <w:rFonts w:cs="Times New Roman"/>
          <w:szCs w:val="24"/>
          <w:lang w:bidi="tr-TR"/>
        </w:rPr>
        <w:t>aşağıdaki yöntemlerle hücrelerin boşaltılması ve metalik civanın konteynerlara aktarılması:</w:t>
      </w:r>
    </w:p>
    <w:p w14:paraId="79D86B8B" w14:textId="402CB1DE" w:rsidR="00951FA4" w:rsidRPr="00F50C10" w:rsidRDefault="00951FA4" w:rsidP="00A654AE">
      <w:pPr>
        <w:pStyle w:val="GvdeMetni"/>
        <w:numPr>
          <w:ilvl w:val="0"/>
          <w:numId w:val="61"/>
        </w:numPr>
        <w:tabs>
          <w:tab w:val="left" w:pos="2008"/>
        </w:tabs>
        <w:autoSpaceDE/>
        <w:autoSpaceDN/>
        <w:spacing w:after="120" w:line="276" w:lineRule="auto"/>
        <w:jc w:val="both"/>
        <w:rPr>
          <w:sz w:val="24"/>
          <w:szCs w:val="24"/>
        </w:rPr>
      </w:pPr>
      <w:r w:rsidRPr="00F50C10">
        <w:rPr>
          <w:sz w:val="24"/>
          <w:szCs w:val="24"/>
          <w:lang w:bidi="tr-TR"/>
        </w:rPr>
        <w:t>mümkün</w:t>
      </w:r>
      <w:r w:rsidR="00333171" w:rsidRPr="00F50C10">
        <w:rPr>
          <w:sz w:val="24"/>
          <w:szCs w:val="24"/>
          <w:lang w:bidi="tr-TR"/>
        </w:rPr>
        <w:t xml:space="preserve"> olduğu takdirde,</w:t>
      </w:r>
      <w:r w:rsidRPr="00F50C10">
        <w:rPr>
          <w:sz w:val="24"/>
          <w:szCs w:val="24"/>
          <w:lang w:bidi="tr-TR"/>
        </w:rPr>
        <w:t xml:space="preserve"> s</w:t>
      </w:r>
      <w:r w:rsidR="00333171" w:rsidRPr="00F50C10">
        <w:rPr>
          <w:sz w:val="24"/>
          <w:szCs w:val="24"/>
          <w:lang w:bidi="tr-TR"/>
        </w:rPr>
        <w:t>is</w:t>
      </w:r>
      <w:r w:rsidRPr="00F50C10">
        <w:rPr>
          <w:sz w:val="24"/>
          <w:szCs w:val="24"/>
          <w:lang w:bidi="tr-TR"/>
        </w:rPr>
        <w:t>temin kapalı tutulması;</w:t>
      </w:r>
    </w:p>
    <w:p w14:paraId="7EA2AF80" w14:textId="77777777" w:rsidR="00951FA4" w:rsidRPr="00F50C10" w:rsidRDefault="00951FA4" w:rsidP="00A654AE">
      <w:pPr>
        <w:pStyle w:val="GvdeMetni"/>
        <w:numPr>
          <w:ilvl w:val="0"/>
          <w:numId w:val="61"/>
        </w:numPr>
        <w:tabs>
          <w:tab w:val="left" w:pos="2032"/>
        </w:tabs>
        <w:autoSpaceDE/>
        <w:autoSpaceDN/>
        <w:spacing w:after="120" w:line="276" w:lineRule="auto"/>
        <w:jc w:val="both"/>
        <w:rPr>
          <w:sz w:val="24"/>
          <w:szCs w:val="24"/>
        </w:rPr>
      </w:pPr>
      <w:r w:rsidRPr="00F50C10">
        <w:rPr>
          <w:sz w:val="24"/>
          <w:szCs w:val="24"/>
          <w:lang w:bidi="tr-TR"/>
        </w:rPr>
        <w:t>cıvanın yıkanması;</w:t>
      </w:r>
    </w:p>
    <w:p w14:paraId="4233B304" w14:textId="5029DC6A" w:rsidR="00951FA4" w:rsidRPr="00F50C10" w:rsidRDefault="00951FA4" w:rsidP="00A654AE">
      <w:pPr>
        <w:pStyle w:val="GvdeMetni"/>
        <w:numPr>
          <w:ilvl w:val="0"/>
          <w:numId w:val="61"/>
        </w:numPr>
        <w:tabs>
          <w:tab w:val="left" w:pos="2032"/>
        </w:tabs>
        <w:autoSpaceDE/>
        <w:autoSpaceDN/>
        <w:spacing w:after="120" w:line="276" w:lineRule="auto"/>
        <w:jc w:val="both"/>
        <w:rPr>
          <w:sz w:val="24"/>
          <w:szCs w:val="24"/>
        </w:rPr>
      </w:pPr>
      <w:r w:rsidRPr="00F50C10">
        <w:rPr>
          <w:sz w:val="24"/>
          <w:szCs w:val="24"/>
          <w:lang w:bidi="tr-TR"/>
        </w:rPr>
        <w:t>mümkün</w:t>
      </w:r>
      <w:r w:rsidR="00333171" w:rsidRPr="00F50C10">
        <w:rPr>
          <w:sz w:val="24"/>
          <w:szCs w:val="24"/>
          <w:lang w:bidi="tr-TR"/>
        </w:rPr>
        <w:t xml:space="preserve"> olduğu takdirde,</w:t>
      </w:r>
      <w:r w:rsidRPr="00F50C10">
        <w:rPr>
          <w:sz w:val="24"/>
          <w:szCs w:val="24"/>
          <w:lang w:bidi="tr-TR"/>
        </w:rPr>
        <w:t xml:space="preserve"> </w:t>
      </w:r>
      <w:r w:rsidR="00333171" w:rsidRPr="00F50C10">
        <w:rPr>
          <w:sz w:val="24"/>
          <w:szCs w:val="24"/>
          <w:lang w:bidi="tr-TR"/>
        </w:rPr>
        <w:t>yerçekimi</w:t>
      </w:r>
      <w:r w:rsidRPr="00F50C10">
        <w:rPr>
          <w:sz w:val="24"/>
          <w:szCs w:val="24"/>
          <w:lang w:bidi="tr-TR"/>
        </w:rPr>
        <w:t xml:space="preserve"> aktarımı kullanmak;</w:t>
      </w:r>
    </w:p>
    <w:p w14:paraId="5467817C" w14:textId="47598D93" w:rsidR="00951FA4" w:rsidRPr="00F50C10" w:rsidRDefault="00951FA4" w:rsidP="00A654AE">
      <w:pPr>
        <w:pStyle w:val="GvdeMetni"/>
        <w:numPr>
          <w:ilvl w:val="0"/>
          <w:numId w:val="61"/>
        </w:numPr>
        <w:tabs>
          <w:tab w:val="left" w:pos="2032"/>
        </w:tabs>
        <w:autoSpaceDE/>
        <w:autoSpaceDN/>
        <w:spacing w:after="120" w:line="276" w:lineRule="auto"/>
        <w:jc w:val="both"/>
        <w:rPr>
          <w:sz w:val="24"/>
          <w:szCs w:val="24"/>
        </w:rPr>
      </w:pPr>
      <w:r w:rsidRPr="00F50C10">
        <w:rPr>
          <w:sz w:val="24"/>
          <w:szCs w:val="24"/>
          <w:lang w:bidi="tr-TR"/>
        </w:rPr>
        <w:t>gereki</w:t>
      </w:r>
      <w:r w:rsidR="00333171" w:rsidRPr="00F50C10">
        <w:rPr>
          <w:sz w:val="24"/>
          <w:szCs w:val="24"/>
          <w:lang w:bidi="tr-TR"/>
        </w:rPr>
        <w:t>ği takdirde,</w:t>
      </w:r>
      <w:r w:rsidRPr="00F50C10">
        <w:rPr>
          <w:sz w:val="24"/>
          <w:szCs w:val="24"/>
          <w:lang w:bidi="tr-TR"/>
        </w:rPr>
        <w:t xml:space="preserve"> cıvadan katı safsızlıkların giderilmesi;</w:t>
      </w:r>
    </w:p>
    <w:p w14:paraId="21DF5481" w14:textId="77777777" w:rsidR="00951FA4" w:rsidRPr="00F50C10" w:rsidRDefault="00951FA4" w:rsidP="00A654AE">
      <w:pPr>
        <w:pStyle w:val="GvdeMetni"/>
        <w:numPr>
          <w:ilvl w:val="0"/>
          <w:numId w:val="61"/>
        </w:numPr>
        <w:tabs>
          <w:tab w:val="left" w:pos="2032"/>
        </w:tabs>
        <w:autoSpaceDE/>
        <w:autoSpaceDN/>
        <w:spacing w:after="120" w:line="276" w:lineRule="auto"/>
        <w:jc w:val="both"/>
        <w:rPr>
          <w:sz w:val="24"/>
          <w:szCs w:val="24"/>
        </w:rPr>
      </w:pPr>
      <w:r w:rsidRPr="00F50C10">
        <w:rPr>
          <w:sz w:val="24"/>
          <w:szCs w:val="24"/>
          <w:lang w:bidi="tr-TR"/>
        </w:rPr>
        <w:t>kapların hacimsel kapasitelerinin ≤% 80'ine kadar doldurulması;</w:t>
      </w:r>
    </w:p>
    <w:p w14:paraId="0FB9A644" w14:textId="77777777" w:rsidR="00951FA4" w:rsidRPr="00F50C10" w:rsidRDefault="00951FA4" w:rsidP="00A654AE">
      <w:pPr>
        <w:pStyle w:val="GvdeMetni"/>
        <w:numPr>
          <w:ilvl w:val="0"/>
          <w:numId w:val="61"/>
        </w:numPr>
        <w:tabs>
          <w:tab w:val="left" w:pos="2032"/>
        </w:tabs>
        <w:autoSpaceDE/>
        <w:autoSpaceDN/>
        <w:spacing w:after="120" w:line="276" w:lineRule="auto"/>
        <w:jc w:val="both"/>
        <w:rPr>
          <w:sz w:val="24"/>
          <w:szCs w:val="24"/>
        </w:rPr>
      </w:pPr>
      <w:r w:rsidRPr="00F50C10">
        <w:rPr>
          <w:sz w:val="24"/>
          <w:szCs w:val="24"/>
          <w:lang w:bidi="tr-TR"/>
        </w:rPr>
        <w:t>dolumdan sonra kapların hava geçirmez şekilde kapatılması;</w:t>
      </w:r>
    </w:p>
    <w:p w14:paraId="602C4A87" w14:textId="77777777" w:rsidR="00951FA4" w:rsidRPr="00F50C10" w:rsidRDefault="00951FA4" w:rsidP="00A654AE">
      <w:pPr>
        <w:pStyle w:val="GvdeMetni"/>
        <w:numPr>
          <w:ilvl w:val="0"/>
          <w:numId w:val="61"/>
        </w:numPr>
        <w:tabs>
          <w:tab w:val="left" w:pos="2008"/>
        </w:tabs>
        <w:autoSpaceDE/>
        <w:autoSpaceDN/>
        <w:spacing w:after="120" w:line="276" w:lineRule="auto"/>
        <w:jc w:val="both"/>
        <w:rPr>
          <w:sz w:val="24"/>
          <w:szCs w:val="24"/>
        </w:rPr>
      </w:pPr>
      <w:r w:rsidRPr="00F50C10">
        <w:rPr>
          <w:sz w:val="24"/>
          <w:szCs w:val="24"/>
          <w:lang w:bidi="tr-TR"/>
        </w:rPr>
        <w:t>boş hücrelerin yıkanması ve ardından su ile doldurulması;</w:t>
      </w:r>
    </w:p>
    <w:p w14:paraId="1E34165B" w14:textId="77777777" w:rsidR="00951FA4" w:rsidRPr="00F50C10" w:rsidRDefault="00951FA4" w:rsidP="00A654AE">
      <w:pPr>
        <w:pStyle w:val="ListeParagraf"/>
        <w:numPr>
          <w:ilvl w:val="0"/>
          <w:numId w:val="59"/>
        </w:numPr>
        <w:spacing w:after="120" w:line="276" w:lineRule="auto"/>
        <w:rPr>
          <w:rFonts w:cs="Times New Roman"/>
          <w:szCs w:val="24"/>
        </w:rPr>
      </w:pPr>
      <w:r w:rsidRPr="00F50C10">
        <w:rPr>
          <w:rFonts w:cs="Times New Roman"/>
          <w:szCs w:val="24"/>
          <w:lang w:bidi="tr-TR"/>
        </w:rPr>
        <w:t>tüm sökme ve yıkma işlemlerinin aşağıdaki yollarla gerçekleştirilmesi:</w:t>
      </w:r>
    </w:p>
    <w:p w14:paraId="4F4A5775" w14:textId="22141FAE" w:rsidR="00951FA4" w:rsidRPr="00F50C10" w:rsidRDefault="00951FA4" w:rsidP="00A654AE">
      <w:pPr>
        <w:pStyle w:val="GvdeMetni"/>
        <w:numPr>
          <w:ilvl w:val="0"/>
          <w:numId w:val="62"/>
        </w:numPr>
        <w:tabs>
          <w:tab w:val="left" w:pos="2008"/>
        </w:tabs>
        <w:autoSpaceDE/>
        <w:autoSpaceDN/>
        <w:spacing w:after="120" w:line="276" w:lineRule="auto"/>
        <w:jc w:val="both"/>
        <w:rPr>
          <w:sz w:val="24"/>
          <w:szCs w:val="24"/>
        </w:rPr>
      </w:pPr>
      <w:r w:rsidRPr="00F50C10">
        <w:rPr>
          <w:sz w:val="24"/>
          <w:szCs w:val="24"/>
          <w:lang w:bidi="tr-TR"/>
        </w:rPr>
        <w:t>mümkün</w:t>
      </w:r>
      <w:r w:rsidR="00333171" w:rsidRPr="00F50C10">
        <w:rPr>
          <w:sz w:val="24"/>
          <w:szCs w:val="24"/>
          <w:lang w:bidi="tr-TR"/>
        </w:rPr>
        <w:t xml:space="preserve"> olduğu takdirde,</w:t>
      </w:r>
      <w:r w:rsidRPr="00F50C10">
        <w:rPr>
          <w:sz w:val="24"/>
          <w:szCs w:val="24"/>
          <w:lang w:bidi="tr-TR"/>
        </w:rPr>
        <w:t xml:space="preserve"> ekipmanlarda sıcak kesim yerine soğuk kesim uygulanması;</w:t>
      </w:r>
    </w:p>
    <w:p w14:paraId="7209F865" w14:textId="77777777" w:rsidR="00951FA4" w:rsidRPr="00F50C10" w:rsidRDefault="00951FA4" w:rsidP="00A654AE">
      <w:pPr>
        <w:pStyle w:val="GvdeMetni"/>
        <w:numPr>
          <w:ilvl w:val="0"/>
          <w:numId w:val="62"/>
        </w:numPr>
        <w:tabs>
          <w:tab w:val="left" w:pos="2008"/>
        </w:tabs>
        <w:autoSpaceDE/>
        <w:autoSpaceDN/>
        <w:spacing w:after="120" w:line="276" w:lineRule="auto"/>
        <w:jc w:val="both"/>
        <w:rPr>
          <w:sz w:val="24"/>
          <w:szCs w:val="24"/>
        </w:rPr>
      </w:pPr>
      <w:r w:rsidRPr="00F50C10">
        <w:rPr>
          <w:sz w:val="24"/>
          <w:szCs w:val="24"/>
          <w:lang w:val="fi-FI" w:bidi="tr-TR"/>
        </w:rPr>
        <w:t>kontamine ekipmanların uygun alanlarda depolanması;</w:t>
      </w:r>
    </w:p>
    <w:p w14:paraId="038B332E" w14:textId="77777777" w:rsidR="00951FA4" w:rsidRPr="00F50C10" w:rsidRDefault="00951FA4" w:rsidP="00A654AE">
      <w:pPr>
        <w:pStyle w:val="GvdeMetni"/>
        <w:numPr>
          <w:ilvl w:val="0"/>
          <w:numId w:val="62"/>
        </w:numPr>
        <w:tabs>
          <w:tab w:val="left" w:pos="2008"/>
        </w:tabs>
        <w:autoSpaceDE/>
        <w:autoSpaceDN/>
        <w:spacing w:after="120" w:line="276" w:lineRule="auto"/>
        <w:jc w:val="both"/>
        <w:rPr>
          <w:sz w:val="24"/>
          <w:szCs w:val="24"/>
          <w:lang w:val="fi-FI"/>
        </w:rPr>
      </w:pPr>
      <w:r w:rsidRPr="00F50C10">
        <w:rPr>
          <w:sz w:val="24"/>
          <w:szCs w:val="24"/>
          <w:lang w:val="fi-FI" w:bidi="tr-TR"/>
        </w:rPr>
        <w:t>çalışma alanının zemininin sık sık yıkanması;</w:t>
      </w:r>
    </w:p>
    <w:p w14:paraId="0E372230" w14:textId="77777777" w:rsidR="00951FA4" w:rsidRPr="00F50C10" w:rsidRDefault="00951FA4" w:rsidP="00A654AE">
      <w:pPr>
        <w:pStyle w:val="GvdeMetni"/>
        <w:numPr>
          <w:ilvl w:val="0"/>
          <w:numId w:val="62"/>
        </w:numPr>
        <w:tabs>
          <w:tab w:val="left" w:pos="2008"/>
        </w:tabs>
        <w:autoSpaceDE/>
        <w:autoSpaceDN/>
        <w:spacing w:after="120" w:line="276" w:lineRule="auto"/>
        <w:ind w:right="155"/>
        <w:jc w:val="both"/>
        <w:rPr>
          <w:sz w:val="24"/>
          <w:szCs w:val="24"/>
          <w:lang w:val="fi-FI"/>
        </w:rPr>
      </w:pPr>
      <w:r w:rsidRPr="00F50C10">
        <w:rPr>
          <w:sz w:val="24"/>
          <w:szCs w:val="24"/>
          <w:lang w:val="fi-FI" w:bidi="tr-TR"/>
        </w:rPr>
        <w:t>aktif karbon filtreli çekme ekipmanı kullanılarak cıva dökülmelerinin hızlı bir şekilde temizlenmesi;</w:t>
      </w:r>
    </w:p>
    <w:p w14:paraId="742740EF" w14:textId="77777777" w:rsidR="00951FA4" w:rsidRPr="00F50C10" w:rsidRDefault="00951FA4" w:rsidP="00A654AE">
      <w:pPr>
        <w:pStyle w:val="GvdeMetni"/>
        <w:numPr>
          <w:ilvl w:val="0"/>
          <w:numId w:val="62"/>
        </w:numPr>
        <w:tabs>
          <w:tab w:val="left" w:pos="2008"/>
        </w:tabs>
        <w:autoSpaceDE/>
        <w:autoSpaceDN/>
        <w:spacing w:after="120" w:line="276" w:lineRule="auto"/>
        <w:jc w:val="both"/>
        <w:rPr>
          <w:sz w:val="24"/>
          <w:szCs w:val="24"/>
        </w:rPr>
      </w:pPr>
      <w:r w:rsidRPr="00F50C10">
        <w:rPr>
          <w:sz w:val="24"/>
          <w:szCs w:val="24"/>
          <w:lang w:bidi="tr-TR"/>
        </w:rPr>
        <w:t>atık akışlarının hesaplanması;</w:t>
      </w:r>
    </w:p>
    <w:p w14:paraId="20F30531" w14:textId="77777777" w:rsidR="00951FA4" w:rsidRPr="00F50C10" w:rsidRDefault="00951FA4" w:rsidP="00A654AE">
      <w:pPr>
        <w:pStyle w:val="GvdeMetni"/>
        <w:numPr>
          <w:ilvl w:val="0"/>
          <w:numId w:val="62"/>
        </w:numPr>
        <w:tabs>
          <w:tab w:val="left" w:pos="2008"/>
        </w:tabs>
        <w:autoSpaceDE/>
        <w:autoSpaceDN/>
        <w:spacing w:after="120" w:line="276" w:lineRule="auto"/>
        <w:jc w:val="both"/>
        <w:rPr>
          <w:sz w:val="24"/>
          <w:szCs w:val="24"/>
          <w:lang w:val="fi-FI"/>
        </w:rPr>
      </w:pPr>
      <w:r w:rsidRPr="00F50C10">
        <w:rPr>
          <w:sz w:val="24"/>
          <w:szCs w:val="24"/>
          <w:lang w:val="fi-FI" w:bidi="tr-TR"/>
        </w:rPr>
        <w:t>cıva ile kontamine atıkların kontamine olmayan atıklardan ayrılması;</w:t>
      </w:r>
    </w:p>
    <w:p w14:paraId="261ADFBA" w14:textId="15858B35" w:rsidR="00951FA4" w:rsidRPr="00F50C10" w:rsidRDefault="00951FA4" w:rsidP="00A654AE">
      <w:pPr>
        <w:pStyle w:val="GvdeMetni"/>
        <w:numPr>
          <w:ilvl w:val="0"/>
          <w:numId w:val="62"/>
        </w:numPr>
        <w:tabs>
          <w:tab w:val="left" w:pos="2008"/>
        </w:tabs>
        <w:autoSpaceDE/>
        <w:autoSpaceDN/>
        <w:spacing w:after="120" w:line="276" w:lineRule="auto"/>
        <w:ind w:right="154"/>
        <w:jc w:val="both"/>
        <w:rPr>
          <w:sz w:val="24"/>
          <w:szCs w:val="24"/>
          <w:lang w:val="fi-FI"/>
        </w:rPr>
      </w:pPr>
      <w:r w:rsidRPr="00F50C10">
        <w:rPr>
          <w:sz w:val="24"/>
          <w:szCs w:val="24"/>
          <w:lang w:val="fi-FI" w:bidi="tr-TR"/>
        </w:rPr>
        <w:t xml:space="preserve">mekanik ve fiziksel arıtma teknikleri (örneğin yıkama, ultrasonik titreşim, </w:t>
      </w:r>
      <w:r w:rsidR="0000452F" w:rsidRPr="00F50C10">
        <w:rPr>
          <w:sz w:val="24"/>
          <w:szCs w:val="24"/>
          <w:lang w:val="fi-FI" w:bidi="tr-TR"/>
        </w:rPr>
        <w:t>vakum</w:t>
      </w:r>
      <w:r w:rsidRPr="00F50C10">
        <w:rPr>
          <w:sz w:val="24"/>
          <w:szCs w:val="24"/>
          <w:lang w:val="fi-FI" w:bidi="tr-TR"/>
        </w:rPr>
        <w:t xml:space="preserve"> </w:t>
      </w:r>
      <w:r w:rsidR="0000452F" w:rsidRPr="00F50C10">
        <w:rPr>
          <w:sz w:val="24"/>
          <w:szCs w:val="24"/>
          <w:lang w:val="fi-FI" w:bidi="tr-TR"/>
        </w:rPr>
        <w:t>temizleyiciler</w:t>
      </w:r>
      <w:r w:rsidRPr="00F50C10">
        <w:rPr>
          <w:sz w:val="24"/>
          <w:szCs w:val="24"/>
          <w:lang w:val="fi-FI" w:bidi="tr-TR"/>
        </w:rPr>
        <w:t>), kimyasal arıtma teknikleri (örneğin hipoklorit, klorlu tuzlu su veya hidrojen peroksit ile yıkama) ve/veya ısıl işlem teknikleri (örneğin damıtma) kullanılarak cıva ile kontamine olmuş atıkların kontaminasyonunun giderilmesi;</w:t>
      </w:r>
    </w:p>
    <w:p w14:paraId="70059B83" w14:textId="56D2C4AF" w:rsidR="00951FA4" w:rsidRPr="00F50C10" w:rsidRDefault="00951FA4" w:rsidP="00A654AE">
      <w:pPr>
        <w:pStyle w:val="GvdeMetni"/>
        <w:numPr>
          <w:ilvl w:val="0"/>
          <w:numId w:val="62"/>
        </w:numPr>
        <w:tabs>
          <w:tab w:val="left" w:pos="2008"/>
        </w:tabs>
        <w:autoSpaceDE/>
        <w:autoSpaceDN/>
        <w:spacing w:after="120" w:line="276" w:lineRule="auto"/>
        <w:jc w:val="both"/>
        <w:rPr>
          <w:sz w:val="24"/>
          <w:szCs w:val="24"/>
          <w:lang w:val="fi-FI"/>
        </w:rPr>
      </w:pPr>
      <w:r w:rsidRPr="00F50C10">
        <w:rPr>
          <w:sz w:val="24"/>
          <w:szCs w:val="24"/>
          <w:lang w:val="fi-FI" w:bidi="tr-TR"/>
        </w:rPr>
        <w:t>mümkün</w:t>
      </w:r>
      <w:r w:rsidR="0000452F" w:rsidRPr="00F50C10">
        <w:rPr>
          <w:sz w:val="24"/>
          <w:szCs w:val="24"/>
          <w:lang w:val="fi-FI" w:bidi="tr-TR"/>
        </w:rPr>
        <w:t xml:space="preserve"> olduğu takdirde</w:t>
      </w:r>
      <w:r w:rsidRPr="00F50C10">
        <w:rPr>
          <w:sz w:val="24"/>
          <w:szCs w:val="24"/>
          <w:lang w:val="fi-FI" w:bidi="tr-TR"/>
        </w:rPr>
        <w:t>, kontaminasyonu giderilmiş ekipmanların yeniden kullanılması veya geri dönüştürülmesi;</w:t>
      </w:r>
    </w:p>
    <w:p w14:paraId="222BF298" w14:textId="77777777" w:rsidR="00951FA4" w:rsidRPr="00F50C10" w:rsidRDefault="00951FA4" w:rsidP="00A654AE">
      <w:pPr>
        <w:pStyle w:val="GvdeMetni"/>
        <w:numPr>
          <w:ilvl w:val="0"/>
          <w:numId w:val="62"/>
        </w:numPr>
        <w:tabs>
          <w:tab w:val="left" w:pos="2008"/>
        </w:tabs>
        <w:autoSpaceDE/>
        <w:autoSpaceDN/>
        <w:spacing w:after="120" w:line="276" w:lineRule="auto"/>
        <w:ind w:right="154"/>
        <w:jc w:val="both"/>
        <w:rPr>
          <w:sz w:val="24"/>
          <w:szCs w:val="24"/>
          <w:lang w:val="fi-FI"/>
        </w:rPr>
      </w:pPr>
      <w:r w:rsidRPr="00F50C10">
        <w:rPr>
          <w:sz w:val="24"/>
          <w:szCs w:val="24"/>
          <w:lang w:val="fi-FI" w:bidi="tr-TR"/>
        </w:rPr>
        <w:t>hücre odası binasının duvarları ve zemini temizlenerek kontaminasyonunun giderilmesi ve ardından bina yeniden kullanılacaksa geçirimsiz bir yüzey sağlamak için kaplama veya boyama yapılması;</w:t>
      </w:r>
    </w:p>
    <w:p w14:paraId="2821570B" w14:textId="77777777" w:rsidR="00774E3F" w:rsidRPr="00F50C10" w:rsidRDefault="00951FA4" w:rsidP="00A654AE">
      <w:pPr>
        <w:pStyle w:val="GvdeMetni"/>
        <w:numPr>
          <w:ilvl w:val="0"/>
          <w:numId w:val="62"/>
        </w:numPr>
        <w:tabs>
          <w:tab w:val="left" w:pos="2008"/>
        </w:tabs>
        <w:autoSpaceDE/>
        <w:autoSpaceDN/>
        <w:spacing w:after="120" w:line="276" w:lineRule="auto"/>
        <w:ind w:right="156"/>
        <w:jc w:val="both"/>
        <w:rPr>
          <w:sz w:val="24"/>
          <w:szCs w:val="24"/>
          <w:lang w:val="fi-FI"/>
        </w:rPr>
      </w:pPr>
      <w:r w:rsidRPr="00F50C10">
        <w:rPr>
          <w:sz w:val="24"/>
          <w:szCs w:val="24"/>
          <w:lang w:val="fi-FI" w:bidi="tr-TR"/>
        </w:rPr>
        <w:t>tesis içindeki veya çevresindeki atık su toplama sistemlerinin kontaminasyonunun giderilmesi veya yenilenmesi;</w:t>
      </w:r>
    </w:p>
    <w:p w14:paraId="2CFCC3A8" w14:textId="09994C5E" w:rsidR="00774E3F" w:rsidRPr="00F50C10" w:rsidRDefault="00951FA4" w:rsidP="00A654AE">
      <w:pPr>
        <w:pStyle w:val="GvdeMetni"/>
        <w:numPr>
          <w:ilvl w:val="0"/>
          <w:numId w:val="62"/>
        </w:numPr>
        <w:tabs>
          <w:tab w:val="left" w:pos="2008"/>
        </w:tabs>
        <w:autoSpaceDE/>
        <w:autoSpaceDN/>
        <w:spacing w:after="120" w:line="276" w:lineRule="auto"/>
        <w:ind w:right="156"/>
        <w:jc w:val="both"/>
        <w:rPr>
          <w:sz w:val="24"/>
          <w:szCs w:val="24"/>
          <w:lang w:val="fi-FI"/>
        </w:rPr>
      </w:pPr>
      <w:r w:rsidRPr="00F50C10">
        <w:rPr>
          <w:sz w:val="24"/>
          <w:szCs w:val="24"/>
          <w:lang w:val="fi-FI" w:bidi="tr-TR"/>
        </w:rPr>
        <w:t xml:space="preserve">yüksek konsantrasyonlarda cıva beklenen durumlarda </w:t>
      </w:r>
      <w:r w:rsidR="0000452F" w:rsidRPr="00F50C10">
        <w:rPr>
          <w:sz w:val="24"/>
          <w:szCs w:val="24"/>
          <w:lang w:val="fi-FI" w:bidi="tr-TR"/>
        </w:rPr>
        <w:t xml:space="preserve">(örneğin yüksek basınçlı yıkama için) </w:t>
      </w:r>
      <w:r w:rsidRPr="00F50C10">
        <w:rPr>
          <w:sz w:val="24"/>
          <w:szCs w:val="24"/>
          <w:lang w:val="fi-FI" w:bidi="tr-TR"/>
        </w:rPr>
        <w:t>çalışma alanının sınırlandırılması ve havalandırma havasının arıtılması</w:t>
      </w:r>
      <w:r w:rsidR="0000452F" w:rsidRPr="00F50C10">
        <w:rPr>
          <w:sz w:val="24"/>
          <w:szCs w:val="24"/>
          <w:lang w:val="fi-FI" w:bidi="tr-TR"/>
        </w:rPr>
        <w:t xml:space="preserve">; </w:t>
      </w:r>
      <w:r w:rsidRPr="00F50C10">
        <w:rPr>
          <w:sz w:val="24"/>
          <w:szCs w:val="24"/>
          <w:lang w:val="fi-FI" w:bidi="tr-TR"/>
        </w:rPr>
        <w:t>arıtma teknikleri</w:t>
      </w:r>
      <w:r w:rsidRPr="00F50C10">
        <w:rPr>
          <w:sz w:val="24"/>
          <w:szCs w:val="24"/>
          <w:lang w:val="fi-FI"/>
        </w:rPr>
        <w:t xml:space="preserve"> </w:t>
      </w:r>
      <w:r w:rsidRPr="00F50C10">
        <w:rPr>
          <w:sz w:val="24"/>
          <w:szCs w:val="24"/>
          <w:lang w:val="fi-FI" w:bidi="tr-TR"/>
        </w:rPr>
        <w:t xml:space="preserve">havalandırma havası için iyotlu veya kükürtlü aktif karbon üzerinde </w:t>
      </w:r>
      <w:r w:rsidR="00E408BF" w:rsidRPr="00F50C10">
        <w:rPr>
          <w:sz w:val="24"/>
          <w:szCs w:val="24"/>
          <w:lang w:val="fi-FI" w:bidi="tr-TR"/>
        </w:rPr>
        <w:t>adsorpsiyon</w:t>
      </w:r>
      <w:r w:rsidRPr="00F50C10">
        <w:rPr>
          <w:sz w:val="24"/>
          <w:szCs w:val="24"/>
          <w:lang w:val="fi-FI" w:bidi="tr-TR"/>
        </w:rPr>
        <w:t>, hipoklorit veya klorlu tuzlu su ile yıkama veya katı dicıva diklorür oluşturmak için klor eklenmesi;</w:t>
      </w:r>
    </w:p>
    <w:p w14:paraId="202C3146" w14:textId="77777777" w:rsidR="00774E3F" w:rsidRPr="00F50C10" w:rsidRDefault="00951FA4" w:rsidP="00A654AE">
      <w:pPr>
        <w:pStyle w:val="GvdeMetni"/>
        <w:numPr>
          <w:ilvl w:val="0"/>
          <w:numId w:val="62"/>
        </w:numPr>
        <w:tabs>
          <w:tab w:val="left" w:pos="2008"/>
        </w:tabs>
        <w:autoSpaceDE/>
        <w:autoSpaceDN/>
        <w:spacing w:after="120" w:line="276" w:lineRule="auto"/>
        <w:ind w:right="156"/>
        <w:jc w:val="both"/>
        <w:rPr>
          <w:sz w:val="24"/>
          <w:szCs w:val="24"/>
          <w:lang w:val="fi-FI"/>
        </w:rPr>
      </w:pPr>
      <w:r w:rsidRPr="00F50C10">
        <w:rPr>
          <w:sz w:val="24"/>
          <w:szCs w:val="24"/>
          <w:lang w:val="fi-FI" w:bidi="tr-TR"/>
        </w:rPr>
        <w:t>koruyucu ekipmanların temizlenmesinden kaynaklanan çamaşır yıkama suyu dahil olmak üzere cıva içeren atık suyun arıtılması;</w:t>
      </w:r>
    </w:p>
    <w:p w14:paraId="5D56127C" w14:textId="7E04FB5E" w:rsidR="00951FA4" w:rsidRPr="00F50C10" w:rsidRDefault="00951FA4" w:rsidP="00A654AE">
      <w:pPr>
        <w:pStyle w:val="GvdeMetni"/>
        <w:numPr>
          <w:ilvl w:val="0"/>
          <w:numId w:val="62"/>
        </w:numPr>
        <w:tabs>
          <w:tab w:val="left" w:pos="2008"/>
        </w:tabs>
        <w:autoSpaceDE/>
        <w:autoSpaceDN/>
        <w:spacing w:after="120" w:line="276" w:lineRule="auto"/>
        <w:ind w:right="156"/>
        <w:jc w:val="both"/>
        <w:rPr>
          <w:sz w:val="24"/>
          <w:szCs w:val="24"/>
          <w:lang w:val="fi-FI"/>
        </w:rPr>
      </w:pPr>
      <w:r w:rsidRPr="00F50C10">
        <w:rPr>
          <w:sz w:val="24"/>
          <w:szCs w:val="24"/>
          <w:lang w:val="fi-FI" w:bidi="tr-TR"/>
        </w:rPr>
        <w:t>hizmetten çıkarma veya dönüştürmenin tamamlanmasından sonra da uygun bir süre boyunca hava, su ve atıklardaki cıvanın izlenmesi;</w:t>
      </w:r>
    </w:p>
    <w:p w14:paraId="4A101210" w14:textId="7FAB42E6" w:rsidR="00951FA4" w:rsidRPr="00F50C10" w:rsidRDefault="00951FA4" w:rsidP="00A654AE">
      <w:pPr>
        <w:pStyle w:val="ListeParagraf"/>
        <w:numPr>
          <w:ilvl w:val="0"/>
          <w:numId w:val="59"/>
        </w:numPr>
        <w:spacing w:after="120" w:line="276" w:lineRule="auto"/>
        <w:rPr>
          <w:rFonts w:cs="Times New Roman"/>
          <w:szCs w:val="24"/>
        </w:rPr>
      </w:pPr>
      <w:r w:rsidRPr="00F50C10">
        <w:rPr>
          <w:rFonts w:cs="Times New Roman"/>
          <w:szCs w:val="24"/>
          <w:lang w:val="fi-FI" w:bidi="tr-TR"/>
        </w:rPr>
        <w:t>gerek</w:t>
      </w:r>
      <w:r w:rsidR="00774E3F" w:rsidRPr="00F50C10">
        <w:rPr>
          <w:rFonts w:cs="Times New Roman"/>
          <w:szCs w:val="24"/>
          <w:lang w:val="fi-FI" w:bidi="tr-TR"/>
        </w:rPr>
        <w:t>tiği takdirde,</w:t>
      </w:r>
      <w:r w:rsidRPr="00F50C10">
        <w:rPr>
          <w:rFonts w:cs="Times New Roman"/>
          <w:szCs w:val="24"/>
          <w:lang w:val="fi-FI" w:bidi="tr-TR"/>
        </w:rPr>
        <w:t xml:space="preserve"> metalik cıvanın sahada aşağıdaki özelliklere sahip depolama tesislerinde ara depolanması:</w:t>
      </w:r>
    </w:p>
    <w:p w14:paraId="6591C2AE" w14:textId="77777777" w:rsidR="00951FA4" w:rsidRPr="00F50C10" w:rsidRDefault="00951FA4" w:rsidP="00A654AE">
      <w:pPr>
        <w:pStyle w:val="GvdeMetni"/>
        <w:numPr>
          <w:ilvl w:val="0"/>
          <w:numId w:val="63"/>
        </w:numPr>
        <w:tabs>
          <w:tab w:val="left" w:pos="2008"/>
        </w:tabs>
        <w:autoSpaceDE/>
        <w:autoSpaceDN/>
        <w:spacing w:after="120" w:line="276" w:lineRule="auto"/>
        <w:jc w:val="both"/>
        <w:rPr>
          <w:sz w:val="24"/>
          <w:szCs w:val="24"/>
        </w:rPr>
      </w:pPr>
      <w:r w:rsidRPr="00F50C10">
        <w:rPr>
          <w:sz w:val="24"/>
          <w:szCs w:val="24"/>
          <w:lang w:bidi="tr-TR"/>
        </w:rPr>
        <w:t>iyi aydınlatılmış ve hava koşullarına dayanıklı;</w:t>
      </w:r>
    </w:p>
    <w:p w14:paraId="23E6895F" w14:textId="77777777" w:rsidR="00951FA4" w:rsidRPr="00F50C10" w:rsidRDefault="00951FA4" w:rsidP="00A654AE">
      <w:pPr>
        <w:pStyle w:val="GvdeMetni"/>
        <w:numPr>
          <w:ilvl w:val="0"/>
          <w:numId w:val="63"/>
        </w:numPr>
        <w:tabs>
          <w:tab w:val="left" w:pos="1592"/>
        </w:tabs>
        <w:autoSpaceDE/>
        <w:autoSpaceDN/>
        <w:spacing w:after="120" w:line="276" w:lineRule="auto"/>
        <w:ind w:right="587"/>
        <w:jc w:val="both"/>
        <w:rPr>
          <w:sz w:val="24"/>
          <w:szCs w:val="24"/>
          <w:lang w:val="fi-FI"/>
        </w:rPr>
      </w:pPr>
      <w:r w:rsidRPr="00F50C10">
        <w:rPr>
          <w:sz w:val="24"/>
          <w:szCs w:val="24"/>
          <w:lang w:val="fi-FI" w:bidi="tr-TR"/>
        </w:rPr>
        <w:t>herhangi bir kabın sıvı hacminin %110'unu tutabilen uygun bir ikincil muhafaza ile donatılmış;</w:t>
      </w:r>
    </w:p>
    <w:p w14:paraId="5E30B429" w14:textId="77777777" w:rsidR="00951FA4" w:rsidRPr="00F50C10" w:rsidRDefault="00951FA4" w:rsidP="00A654AE">
      <w:pPr>
        <w:pStyle w:val="GvdeMetni"/>
        <w:numPr>
          <w:ilvl w:val="0"/>
          <w:numId w:val="63"/>
        </w:numPr>
        <w:tabs>
          <w:tab w:val="left" w:pos="1592"/>
        </w:tabs>
        <w:autoSpaceDE/>
        <w:autoSpaceDN/>
        <w:spacing w:after="120" w:line="276" w:lineRule="auto"/>
        <w:jc w:val="both"/>
        <w:rPr>
          <w:sz w:val="24"/>
          <w:szCs w:val="24"/>
          <w:lang w:val="fi-FI"/>
        </w:rPr>
      </w:pPr>
      <w:r w:rsidRPr="00F50C10">
        <w:rPr>
          <w:sz w:val="24"/>
          <w:szCs w:val="24"/>
          <w:lang w:val="fi-FI" w:bidi="tr-TR"/>
        </w:rPr>
        <w:t>cıva emebilecek engellerden ve kalıntılardan arındırılmış;</w:t>
      </w:r>
    </w:p>
    <w:p w14:paraId="0D7C8102" w14:textId="77777777" w:rsidR="00951FA4" w:rsidRPr="00F50C10" w:rsidRDefault="00951FA4" w:rsidP="00A654AE">
      <w:pPr>
        <w:pStyle w:val="GvdeMetni"/>
        <w:numPr>
          <w:ilvl w:val="0"/>
          <w:numId w:val="63"/>
        </w:numPr>
        <w:tabs>
          <w:tab w:val="left" w:pos="1592"/>
        </w:tabs>
        <w:autoSpaceDE/>
        <w:autoSpaceDN/>
        <w:spacing w:after="120" w:line="276" w:lineRule="auto"/>
        <w:jc w:val="both"/>
        <w:rPr>
          <w:sz w:val="24"/>
          <w:szCs w:val="24"/>
          <w:lang w:val="fi-FI"/>
        </w:rPr>
      </w:pPr>
      <w:r w:rsidRPr="00F50C10">
        <w:rPr>
          <w:sz w:val="24"/>
          <w:szCs w:val="24"/>
          <w:lang w:val="fi-FI" w:bidi="tr-TR"/>
        </w:rPr>
        <w:t>aktif karbon filtreli çekme ekipmanları ile donatılmış;</w:t>
      </w:r>
    </w:p>
    <w:p w14:paraId="7C6DE3B8" w14:textId="77777777" w:rsidR="00951FA4" w:rsidRPr="00F50C10" w:rsidRDefault="00951FA4" w:rsidP="00A654AE">
      <w:pPr>
        <w:pStyle w:val="GvdeMetni"/>
        <w:numPr>
          <w:ilvl w:val="0"/>
          <w:numId w:val="63"/>
        </w:numPr>
        <w:tabs>
          <w:tab w:val="left" w:pos="2008"/>
        </w:tabs>
        <w:autoSpaceDE/>
        <w:autoSpaceDN/>
        <w:spacing w:after="120" w:line="276" w:lineRule="auto"/>
        <w:jc w:val="both"/>
        <w:rPr>
          <w:sz w:val="24"/>
          <w:szCs w:val="24"/>
        </w:rPr>
      </w:pPr>
      <w:r w:rsidRPr="00F50C10">
        <w:rPr>
          <w:sz w:val="24"/>
          <w:szCs w:val="24"/>
          <w:lang w:val="fi-FI" w:bidi="tr-TR"/>
        </w:rPr>
        <w:t>hem görsel olarak hem de cıva izleme ekipmanları ile periyodik olarak denetlenen;</w:t>
      </w:r>
    </w:p>
    <w:p w14:paraId="1EC5FA50" w14:textId="799BECAE" w:rsidR="00951FA4" w:rsidRPr="00F50C10" w:rsidRDefault="00951FA4" w:rsidP="00A654AE">
      <w:pPr>
        <w:pStyle w:val="ListeParagraf"/>
        <w:numPr>
          <w:ilvl w:val="0"/>
          <w:numId w:val="59"/>
        </w:numPr>
        <w:tabs>
          <w:tab w:val="left" w:pos="2008"/>
        </w:tabs>
        <w:spacing w:after="120" w:line="276" w:lineRule="auto"/>
        <w:rPr>
          <w:rFonts w:cs="Times New Roman"/>
          <w:szCs w:val="24"/>
        </w:rPr>
      </w:pPr>
      <w:r w:rsidRPr="00F50C10">
        <w:rPr>
          <w:rFonts w:cs="Times New Roman"/>
          <w:szCs w:val="24"/>
          <w:lang w:val="fi-FI" w:bidi="tr-TR"/>
        </w:rPr>
        <w:t>gerek</w:t>
      </w:r>
      <w:r w:rsidR="00774E3F" w:rsidRPr="00F50C10">
        <w:rPr>
          <w:rFonts w:cs="Times New Roman"/>
          <w:szCs w:val="24"/>
          <w:lang w:val="fi-FI" w:bidi="tr-TR"/>
        </w:rPr>
        <w:t>tiği takdirde,</w:t>
      </w:r>
      <w:r w:rsidRPr="00F50C10">
        <w:rPr>
          <w:rFonts w:cs="Times New Roman"/>
          <w:szCs w:val="24"/>
          <w:lang w:val="fi-FI" w:bidi="tr-TR"/>
        </w:rPr>
        <w:t xml:space="preserve"> atıkların taşınması, olası ek arıtımı ve bertarafı.</w:t>
      </w:r>
    </w:p>
    <w:p w14:paraId="2C209B44" w14:textId="0143E48C" w:rsidR="00951FA4" w:rsidRPr="00F50C10" w:rsidRDefault="00951FA4" w:rsidP="000B206D">
      <w:pPr>
        <w:spacing w:after="120" w:line="276" w:lineRule="auto"/>
        <w:rPr>
          <w:rFonts w:cs="Times New Roman"/>
          <w:b/>
          <w:bCs/>
          <w:szCs w:val="24"/>
          <w:lang w:val="fi-FI"/>
        </w:rPr>
      </w:pPr>
      <w:r w:rsidRPr="00F50C10">
        <w:rPr>
          <w:rFonts w:cs="Times New Roman"/>
          <w:b/>
          <w:bCs/>
          <w:szCs w:val="24"/>
        </w:rPr>
        <w:t xml:space="preserve">MET 3: </w:t>
      </w:r>
      <w:r w:rsidRPr="00F50C10">
        <w:rPr>
          <w:rFonts w:cs="Times New Roman"/>
          <w:szCs w:val="24"/>
          <w:lang w:val="fi-FI" w:bidi="tr-TR"/>
        </w:rPr>
        <w:t>Cıva hücreli tesislerin hizmetten çıkarılması veya dönüştürülmesi sırasında suya salınan cıva emisyonlarını azaltmak içi</w:t>
      </w:r>
      <w:r w:rsidR="004771C7" w:rsidRPr="00F50C10">
        <w:rPr>
          <w:rFonts w:cs="Times New Roman"/>
          <w:szCs w:val="24"/>
          <w:lang w:val="fi-FI" w:bidi="tr-TR"/>
        </w:rPr>
        <w:t>n</w:t>
      </w:r>
      <w:r w:rsidRPr="00F50C10">
        <w:rPr>
          <w:rFonts w:cs="Times New Roman"/>
          <w:szCs w:val="24"/>
          <w:lang w:val="fi-FI" w:bidi="tr-TR"/>
        </w:rPr>
        <w:t>, aşağıda verilen tekniklerden biri veya birkaçı</w:t>
      </w:r>
      <w:r w:rsidR="004771C7" w:rsidRPr="00F50C10">
        <w:rPr>
          <w:rFonts w:cs="Times New Roman"/>
          <w:szCs w:val="24"/>
          <w:lang w:val="fi-FI" w:bidi="tr-TR"/>
        </w:rPr>
        <w:t xml:space="preserve"> kullanılır</w:t>
      </w:r>
      <w:r w:rsidR="0031706A" w:rsidRPr="00F50C10">
        <w:rPr>
          <w:rFonts w:cs="Times New Roman"/>
          <w:szCs w:val="24"/>
          <w:lang w:val="fi-FI" w:bidi="tr-TR"/>
        </w:rPr>
        <w:t>.</w:t>
      </w:r>
    </w:p>
    <w:tbl>
      <w:tblPr>
        <w:tblW w:w="5000" w:type="pct"/>
        <w:jc w:val="center"/>
        <w:tblCellMar>
          <w:left w:w="0" w:type="dxa"/>
          <w:right w:w="0" w:type="dxa"/>
        </w:tblCellMar>
        <w:tblLook w:val="01E0" w:firstRow="1" w:lastRow="1" w:firstColumn="1" w:lastColumn="1" w:noHBand="0" w:noVBand="0"/>
      </w:tblPr>
      <w:tblGrid>
        <w:gridCol w:w="378"/>
        <w:gridCol w:w="2232"/>
        <w:gridCol w:w="6698"/>
      </w:tblGrid>
      <w:tr w:rsidR="00951FA4" w:rsidRPr="00F50C10" w14:paraId="4CFCE700" w14:textId="77777777" w:rsidTr="00116C54">
        <w:trPr>
          <w:trHeight w:val="21"/>
          <w:tblHeader/>
          <w:jc w:val="center"/>
        </w:trPr>
        <w:tc>
          <w:tcPr>
            <w:tcW w:w="203" w:type="pct"/>
            <w:tcBorders>
              <w:top w:val="single" w:sz="5" w:space="0" w:color="000000"/>
              <w:left w:val="single" w:sz="5" w:space="0" w:color="000000"/>
              <w:bottom w:val="single" w:sz="5" w:space="0" w:color="000000"/>
              <w:right w:val="single" w:sz="5" w:space="0" w:color="000000"/>
            </w:tcBorders>
            <w:vAlign w:val="center"/>
          </w:tcPr>
          <w:p w14:paraId="79F14F20" w14:textId="77777777" w:rsidR="00951FA4" w:rsidRPr="00F50C10" w:rsidRDefault="00951FA4" w:rsidP="000B206D">
            <w:pPr>
              <w:spacing w:line="276" w:lineRule="auto"/>
              <w:ind w:left="72" w:right="72"/>
              <w:jc w:val="center"/>
              <w:rPr>
                <w:rFonts w:cs="Times New Roman"/>
                <w:szCs w:val="24"/>
                <w:lang w:val="fi-FI"/>
              </w:rPr>
            </w:pPr>
          </w:p>
        </w:tc>
        <w:tc>
          <w:tcPr>
            <w:tcW w:w="1199" w:type="pct"/>
            <w:tcBorders>
              <w:top w:val="single" w:sz="5" w:space="0" w:color="000000"/>
              <w:left w:val="single" w:sz="5" w:space="0" w:color="000000"/>
              <w:bottom w:val="single" w:sz="5" w:space="0" w:color="000000"/>
              <w:right w:val="single" w:sz="5" w:space="0" w:color="000000"/>
            </w:tcBorders>
            <w:vAlign w:val="center"/>
          </w:tcPr>
          <w:p w14:paraId="39756D25"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Teknik</w:t>
            </w:r>
          </w:p>
        </w:tc>
        <w:tc>
          <w:tcPr>
            <w:tcW w:w="3598" w:type="pct"/>
            <w:tcBorders>
              <w:top w:val="single" w:sz="5" w:space="0" w:color="000000"/>
              <w:left w:val="single" w:sz="5" w:space="0" w:color="000000"/>
              <w:bottom w:val="single" w:sz="5" w:space="0" w:color="000000"/>
              <w:right w:val="single" w:sz="5" w:space="0" w:color="000000"/>
            </w:tcBorders>
            <w:vAlign w:val="center"/>
          </w:tcPr>
          <w:p w14:paraId="68E8FB48"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Açıklama</w:t>
            </w:r>
          </w:p>
        </w:tc>
      </w:tr>
      <w:tr w:rsidR="00951FA4" w:rsidRPr="00F50C10" w14:paraId="64C1C967" w14:textId="77777777" w:rsidTr="00116C54">
        <w:trPr>
          <w:trHeight w:val="21"/>
          <w:jc w:val="center"/>
        </w:trPr>
        <w:tc>
          <w:tcPr>
            <w:tcW w:w="203" w:type="pct"/>
            <w:tcBorders>
              <w:top w:val="single" w:sz="5" w:space="0" w:color="000000"/>
              <w:left w:val="single" w:sz="5" w:space="0" w:color="000000"/>
              <w:bottom w:val="single" w:sz="5" w:space="0" w:color="000000"/>
              <w:right w:val="single" w:sz="5" w:space="0" w:color="000000"/>
            </w:tcBorders>
            <w:vAlign w:val="center"/>
          </w:tcPr>
          <w:p w14:paraId="1D36CFC8" w14:textId="77777777" w:rsidR="00951FA4" w:rsidRPr="00F50C10" w:rsidRDefault="00951FA4" w:rsidP="000B206D">
            <w:pPr>
              <w:pStyle w:val="TableParagraph"/>
              <w:spacing w:line="276" w:lineRule="auto"/>
              <w:ind w:left="72" w:right="72"/>
              <w:jc w:val="center"/>
              <w:rPr>
                <w:szCs w:val="24"/>
              </w:rPr>
            </w:pPr>
            <w:r w:rsidRPr="00F50C10">
              <w:rPr>
                <w:szCs w:val="24"/>
                <w:lang w:bidi="tr-TR"/>
              </w:rPr>
              <w:t>a</w:t>
            </w:r>
          </w:p>
        </w:tc>
        <w:tc>
          <w:tcPr>
            <w:tcW w:w="1199" w:type="pct"/>
            <w:tcBorders>
              <w:top w:val="single" w:sz="5" w:space="0" w:color="000000"/>
              <w:left w:val="single" w:sz="5" w:space="0" w:color="000000"/>
              <w:bottom w:val="single" w:sz="5" w:space="0" w:color="000000"/>
              <w:right w:val="single" w:sz="5" w:space="0" w:color="000000"/>
            </w:tcBorders>
            <w:vAlign w:val="center"/>
          </w:tcPr>
          <w:p w14:paraId="5ACDEAE5" w14:textId="77777777" w:rsidR="00951FA4" w:rsidRPr="00F50C10" w:rsidRDefault="00951FA4" w:rsidP="000B206D">
            <w:pPr>
              <w:pStyle w:val="TableParagraph"/>
              <w:spacing w:before="107" w:line="276" w:lineRule="auto"/>
              <w:ind w:left="72" w:right="72"/>
              <w:jc w:val="both"/>
              <w:rPr>
                <w:szCs w:val="24"/>
              </w:rPr>
            </w:pPr>
            <w:r w:rsidRPr="00F50C10">
              <w:rPr>
                <w:szCs w:val="24"/>
                <w:lang w:bidi="tr-TR"/>
              </w:rPr>
              <w:t>Oksitleme ve iyon değişimi</w:t>
            </w:r>
          </w:p>
        </w:tc>
        <w:tc>
          <w:tcPr>
            <w:tcW w:w="3598" w:type="pct"/>
            <w:tcBorders>
              <w:top w:val="single" w:sz="5" w:space="0" w:color="000000"/>
              <w:left w:val="single" w:sz="5" w:space="0" w:color="000000"/>
              <w:bottom w:val="single" w:sz="5" w:space="0" w:color="000000"/>
              <w:right w:val="single" w:sz="5" w:space="0" w:color="000000"/>
            </w:tcBorders>
            <w:vAlign w:val="center"/>
          </w:tcPr>
          <w:p w14:paraId="28B938B9" w14:textId="77777777" w:rsidR="00951FA4" w:rsidRPr="00F50C10" w:rsidRDefault="00951FA4" w:rsidP="000B206D">
            <w:pPr>
              <w:pStyle w:val="TableParagraph"/>
              <w:spacing w:line="276" w:lineRule="auto"/>
              <w:ind w:left="72" w:right="72"/>
              <w:jc w:val="both"/>
              <w:rPr>
                <w:szCs w:val="24"/>
              </w:rPr>
            </w:pPr>
            <w:r w:rsidRPr="00F50C10">
              <w:rPr>
                <w:szCs w:val="24"/>
                <w:lang w:bidi="tr-TR"/>
              </w:rPr>
              <w:t>Hipoklorit, klor veya hidrojen peroksit gibi oksitleyici maddeler, cıvayı daha sonra iyon değişim reçineleriyle giderilecek olan tamamen oksitlenmiş formuna dönüştürmek için kullanılır.</w:t>
            </w:r>
          </w:p>
        </w:tc>
      </w:tr>
      <w:tr w:rsidR="00951FA4" w:rsidRPr="00F50C10" w14:paraId="604C061F" w14:textId="77777777" w:rsidTr="00116C54">
        <w:trPr>
          <w:trHeight w:val="21"/>
          <w:jc w:val="center"/>
        </w:trPr>
        <w:tc>
          <w:tcPr>
            <w:tcW w:w="203" w:type="pct"/>
            <w:tcBorders>
              <w:top w:val="single" w:sz="5" w:space="0" w:color="000000"/>
              <w:left w:val="single" w:sz="5" w:space="0" w:color="000000"/>
              <w:bottom w:val="single" w:sz="5" w:space="0" w:color="000000"/>
              <w:right w:val="single" w:sz="5" w:space="0" w:color="000000"/>
            </w:tcBorders>
            <w:vAlign w:val="center"/>
          </w:tcPr>
          <w:p w14:paraId="79585718" w14:textId="77777777" w:rsidR="00951FA4" w:rsidRPr="00F50C10" w:rsidRDefault="00951FA4" w:rsidP="000B206D">
            <w:pPr>
              <w:pStyle w:val="TableParagraph"/>
              <w:spacing w:line="276" w:lineRule="auto"/>
              <w:ind w:left="72" w:right="72"/>
              <w:jc w:val="center"/>
              <w:rPr>
                <w:szCs w:val="24"/>
              </w:rPr>
            </w:pPr>
            <w:r w:rsidRPr="00F50C10">
              <w:rPr>
                <w:szCs w:val="24"/>
                <w:lang w:bidi="tr-TR"/>
              </w:rPr>
              <w:t>b</w:t>
            </w:r>
          </w:p>
        </w:tc>
        <w:tc>
          <w:tcPr>
            <w:tcW w:w="1199" w:type="pct"/>
            <w:tcBorders>
              <w:top w:val="single" w:sz="5" w:space="0" w:color="000000"/>
              <w:left w:val="single" w:sz="5" w:space="0" w:color="000000"/>
              <w:bottom w:val="single" w:sz="5" w:space="0" w:color="000000"/>
              <w:right w:val="single" w:sz="5" w:space="0" w:color="000000"/>
            </w:tcBorders>
            <w:vAlign w:val="center"/>
          </w:tcPr>
          <w:p w14:paraId="4D123C63" w14:textId="77777777" w:rsidR="00951FA4" w:rsidRPr="00F50C10" w:rsidRDefault="00951FA4" w:rsidP="000B206D">
            <w:pPr>
              <w:pStyle w:val="TableParagraph"/>
              <w:spacing w:before="3" w:line="276" w:lineRule="auto"/>
              <w:ind w:left="72" w:right="72"/>
              <w:jc w:val="both"/>
              <w:rPr>
                <w:szCs w:val="24"/>
              </w:rPr>
            </w:pPr>
          </w:p>
          <w:p w14:paraId="4FA387CB" w14:textId="77777777" w:rsidR="00951FA4" w:rsidRPr="00F50C10" w:rsidRDefault="00951FA4" w:rsidP="000B206D">
            <w:pPr>
              <w:pStyle w:val="TableParagraph"/>
              <w:spacing w:line="276" w:lineRule="auto"/>
              <w:ind w:left="72" w:right="72"/>
              <w:jc w:val="both"/>
              <w:rPr>
                <w:szCs w:val="24"/>
              </w:rPr>
            </w:pPr>
            <w:r w:rsidRPr="00F50C10">
              <w:rPr>
                <w:szCs w:val="24"/>
                <w:lang w:bidi="tr-TR"/>
              </w:rPr>
              <w:t>Oksitleme ve çöktürme</w:t>
            </w:r>
          </w:p>
        </w:tc>
        <w:tc>
          <w:tcPr>
            <w:tcW w:w="3598" w:type="pct"/>
            <w:tcBorders>
              <w:top w:val="single" w:sz="5" w:space="0" w:color="000000"/>
              <w:left w:val="single" w:sz="5" w:space="0" w:color="000000"/>
              <w:bottom w:val="single" w:sz="5" w:space="0" w:color="000000"/>
              <w:right w:val="single" w:sz="5" w:space="0" w:color="000000"/>
            </w:tcBorders>
            <w:vAlign w:val="center"/>
          </w:tcPr>
          <w:p w14:paraId="4F9D4AD1" w14:textId="77777777" w:rsidR="00951FA4" w:rsidRPr="00F50C10" w:rsidRDefault="00951FA4" w:rsidP="000B206D">
            <w:pPr>
              <w:pStyle w:val="TableParagraph"/>
              <w:spacing w:line="276" w:lineRule="auto"/>
              <w:ind w:left="72" w:right="72"/>
              <w:jc w:val="both"/>
              <w:rPr>
                <w:szCs w:val="24"/>
              </w:rPr>
            </w:pPr>
            <w:r w:rsidRPr="00F50C10">
              <w:rPr>
                <w:szCs w:val="24"/>
                <w:lang w:bidi="tr-TR"/>
              </w:rPr>
              <w:t>Hipoklorit, klor veya hidrojen peroksit gibi oksitleyici maddeler, cıvayı cıva sülfit olarak çöktürmenin ardından filtrelemeyle giderilecek olan tamamen oksitlenmiş formuna dönüştürmek için kullanılır.</w:t>
            </w:r>
          </w:p>
        </w:tc>
      </w:tr>
      <w:tr w:rsidR="00951FA4" w:rsidRPr="00F50C10" w14:paraId="2E5F9814" w14:textId="77777777" w:rsidTr="00116C54">
        <w:trPr>
          <w:trHeight w:val="21"/>
          <w:jc w:val="center"/>
        </w:trPr>
        <w:tc>
          <w:tcPr>
            <w:tcW w:w="203" w:type="pct"/>
            <w:tcBorders>
              <w:top w:val="single" w:sz="5" w:space="0" w:color="000000"/>
              <w:left w:val="single" w:sz="5" w:space="0" w:color="000000"/>
              <w:bottom w:val="single" w:sz="5" w:space="0" w:color="000000"/>
              <w:right w:val="single" w:sz="5" w:space="0" w:color="000000"/>
            </w:tcBorders>
            <w:vAlign w:val="center"/>
          </w:tcPr>
          <w:p w14:paraId="5F93B711" w14:textId="77777777" w:rsidR="00951FA4" w:rsidRPr="00F50C10" w:rsidRDefault="00951FA4" w:rsidP="000B206D">
            <w:pPr>
              <w:pStyle w:val="TableParagraph"/>
              <w:spacing w:line="276" w:lineRule="auto"/>
              <w:ind w:left="72" w:right="72"/>
              <w:jc w:val="center"/>
              <w:rPr>
                <w:szCs w:val="24"/>
              </w:rPr>
            </w:pPr>
            <w:r w:rsidRPr="00F50C10">
              <w:rPr>
                <w:szCs w:val="24"/>
                <w:lang w:bidi="tr-TR"/>
              </w:rPr>
              <w:t>c</w:t>
            </w:r>
          </w:p>
        </w:tc>
        <w:tc>
          <w:tcPr>
            <w:tcW w:w="1199" w:type="pct"/>
            <w:tcBorders>
              <w:top w:val="single" w:sz="5" w:space="0" w:color="000000"/>
              <w:left w:val="single" w:sz="5" w:space="0" w:color="000000"/>
              <w:bottom w:val="single" w:sz="5" w:space="0" w:color="000000"/>
              <w:right w:val="single" w:sz="5" w:space="0" w:color="000000"/>
            </w:tcBorders>
            <w:vAlign w:val="center"/>
          </w:tcPr>
          <w:p w14:paraId="40E2DEEB" w14:textId="7AFC9B2C" w:rsidR="00951FA4" w:rsidRPr="00F50C10" w:rsidRDefault="00951FA4" w:rsidP="000B206D">
            <w:pPr>
              <w:pStyle w:val="TableParagraph"/>
              <w:spacing w:before="107" w:line="276" w:lineRule="auto"/>
              <w:ind w:left="72" w:right="72"/>
              <w:jc w:val="both"/>
              <w:rPr>
                <w:szCs w:val="24"/>
              </w:rPr>
            </w:pPr>
            <w:r w:rsidRPr="00F50C10">
              <w:rPr>
                <w:szCs w:val="24"/>
                <w:lang w:bidi="tr-TR"/>
              </w:rPr>
              <w:t xml:space="preserve">İndirgeme ve aktif karbonda </w:t>
            </w:r>
            <w:r w:rsidR="004E5A6A" w:rsidRPr="00F50C10">
              <w:rPr>
                <w:szCs w:val="24"/>
                <w:lang w:bidi="tr-TR"/>
              </w:rPr>
              <w:t>adsorpsiyon</w:t>
            </w:r>
          </w:p>
        </w:tc>
        <w:tc>
          <w:tcPr>
            <w:tcW w:w="3598" w:type="pct"/>
            <w:tcBorders>
              <w:top w:val="single" w:sz="5" w:space="0" w:color="000000"/>
              <w:left w:val="single" w:sz="5" w:space="0" w:color="000000"/>
              <w:bottom w:val="single" w:sz="5" w:space="0" w:color="000000"/>
              <w:right w:val="single" w:sz="5" w:space="0" w:color="000000"/>
            </w:tcBorders>
            <w:vAlign w:val="center"/>
          </w:tcPr>
          <w:p w14:paraId="5A8EABBF" w14:textId="7C5861F8" w:rsidR="00951FA4" w:rsidRPr="00F50C10" w:rsidRDefault="00951FA4" w:rsidP="000B206D">
            <w:pPr>
              <w:pStyle w:val="TableParagraph"/>
              <w:spacing w:line="276" w:lineRule="auto"/>
              <w:ind w:left="72" w:right="72"/>
              <w:jc w:val="both"/>
              <w:rPr>
                <w:szCs w:val="24"/>
              </w:rPr>
            </w:pPr>
            <w:r w:rsidRPr="00F50C10">
              <w:rPr>
                <w:szCs w:val="24"/>
                <w:lang w:bidi="tr-TR"/>
              </w:rPr>
              <w:t xml:space="preserve">Hidroksilamin gibi indirgeyici maddeler, cıvayı, daha sonra birleşme ve metalik cıvanın geri kazanımı ve ardından aktif karbon üzerinde </w:t>
            </w:r>
            <w:r w:rsidR="004E5A6A" w:rsidRPr="00F50C10">
              <w:rPr>
                <w:szCs w:val="24"/>
                <w:lang w:bidi="tr-TR"/>
              </w:rPr>
              <w:t>adsorpsiyon</w:t>
            </w:r>
            <w:r w:rsidRPr="00F50C10">
              <w:rPr>
                <w:szCs w:val="24"/>
                <w:lang w:bidi="tr-TR"/>
              </w:rPr>
              <w:t xml:space="preserve"> ile giderilecek element formuna tam olarak dönüştürmek için kullanılır.</w:t>
            </w:r>
          </w:p>
        </w:tc>
      </w:tr>
    </w:tbl>
    <w:p w14:paraId="2459FB01" w14:textId="77777777" w:rsidR="00951FA4" w:rsidRPr="00F50C10" w:rsidRDefault="00951FA4" w:rsidP="000B206D">
      <w:pPr>
        <w:pStyle w:val="GvdeMetni"/>
        <w:spacing w:before="240" w:line="276" w:lineRule="auto"/>
        <w:jc w:val="both"/>
        <w:rPr>
          <w:sz w:val="24"/>
          <w:szCs w:val="24"/>
          <w:lang w:bidi="tr-TR"/>
        </w:rPr>
      </w:pPr>
      <w:r w:rsidRPr="00F50C10">
        <w:rPr>
          <w:sz w:val="24"/>
          <w:szCs w:val="24"/>
          <w:lang w:bidi="tr-TR"/>
        </w:rPr>
        <w:t xml:space="preserve">Hizmetten çıkarma veya dönüştürme sırasında cıva arıtma ünitesinin çıkışında suya salınan cıva emisyonları için Hg olarak ifade edilen </w:t>
      </w:r>
      <w:r w:rsidRPr="00F50C10">
        <w:rPr>
          <w:b/>
          <w:sz w:val="24"/>
          <w:szCs w:val="24"/>
          <w:lang w:bidi="tr-TR"/>
        </w:rPr>
        <w:t>MET ile ilişkili çevresel performans seviyesi</w:t>
      </w:r>
      <w:r w:rsidRPr="00F50C10">
        <w:rPr>
          <w:rStyle w:val="DipnotBavurusu"/>
          <w:b/>
          <w:sz w:val="24"/>
          <w:szCs w:val="24"/>
          <w:lang w:bidi="tr-TR"/>
        </w:rPr>
        <w:footnoteReference w:id="2"/>
      </w:r>
      <w:r w:rsidRPr="00F50C10">
        <w:rPr>
          <w:b/>
          <w:sz w:val="24"/>
          <w:szCs w:val="24"/>
          <w:lang w:bidi="tr-TR"/>
        </w:rPr>
        <w:t xml:space="preserve"> </w:t>
      </w:r>
      <w:r w:rsidRPr="00F50C10">
        <w:rPr>
          <w:sz w:val="24"/>
          <w:szCs w:val="24"/>
          <w:lang w:bidi="tr-TR"/>
        </w:rPr>
        <w:t xml:space="preserve">günlük olarak alınan 24 saatlik akış orantılı kompozit numunelerde 3 - 15 μg/l'dir. İlişkili izleme </w:t>
      </w:r>
      <w:hyperlink w:anchor="_bookmark393" w:history="1">
        <w:r w:rsidRPr="00F50C10">
          <w:rPr>
            <w:sz w:val="24"/>
            <w:szCs w:val="24"/>
            <w:lang w:bidi="tr-TR"/>
          </w:rPr>
          <w:t>MET 7</w:t>
        </w:r>
      </w:hyperlink>
      <w:r w:rsidRPr="00F50C10">
        <w:rPr>
          <w:sz w:val="24"/>
          <w:szCs w:val="24"/>
          <w:lang w:bidi="tr-TR"/>
        </w:rPr>
        <w:t>'de açıklanmıştır.</w:t>
      </w:r>
    </w:p>
    <w:p w14:paraId="2AFF10A2" w14:textId="77777777" w:rsidR="00951FA4" w:rsidRPr="00F50C10" w:rsidRDefault="00951FA4" w:rsidP="00A654AE">
      <w:pPr>
        <w:pStyle w:val="Balk1"/>
        <w:numPr>
          <w:ilvl w:val="0"/>
          <w:numId w:val="180"/>
        </w:numPr>
        <w:spacing w:before="240" w:line="276" w:lineRule="auto"/>
        <w:rPr>
          <w:rFonts w:cs="Times New Roman"/>
          <w:szCs w:val="24"/>
          <w:lang w:val="tr-TR" w:bidi="tr-TR"/>
        </w:rPr>
      </w:pPr>
      <w:bookmarkStart w:id="252" w:name="_Toc134622087"/>
      <w:bookmarkStart w:id="253" w:name="_Toc134622088"/>
      <w:bookmarkEnd w:id="252"/>
      <w:r w:rsidRPr="00F50C10">
        <w:rPr>
          <w:rFonts w:cs="Times New Roman"/>
          <w:szCs w:val="24"/>
          <w:lang w:val="tr-TR" w:bidi="tr-TR"/>
        </w:rPr>
        <w:t>ATIK SU OLUŞUMU</w:t>
      </w:r>
      <w:bookmarkEnd w:id="253"/>
      <w:r w:rsidRPr="00F50C10">
        <w:rPr>
          <w:rFonts w:cs="Times New Roman"/>
          <w:szCs w:val="24"/>
          <w:lang w:val="tr-TR" w:bidi="tr-TR"/>
        </w:rPr>
        <w:t xml:space="preserve"> </w:t>
      </w:r>
    </w:p>
    <w:p w14:paraId="162DE455" w14:textId="5D7A47DF" w:rsidR="00951FA4" w:rsidRPr="00F50C10" w:rsidRDefault="00951FA4" w:rsidP="000B206D">
      <w:pPr>
        <w:spacing w:before="240" w:line="276" w:lineRule="auto"/>
        <w:rPr>
          <w:rFonts w:cs="Times New Roman"/>
          <w:szCs w:val="24"/>
          <w:lang w:val="tr-TR" w:bidi="tr-TR"/>
        </w:rPr>
      </w:pPr>
      <w:r w:rsidRPr="00F50C10">
        <w:rPr>
          <w:rFonts w:cs="Times New Roman"/>
          <w:b/>
          <w:bCs/>
          <w:szCs w:val="24"/>
        </w:rPr>
        <w:t xml:space="preserve">MET 4: </w:t>
      </w:r>
      <w:r w:rsidRPr="00F50C10">
        <w:rPr>
          <w:rFonts w:cs="Times New Roman"/>
          <w:szCs w:val="24"/>
          <w:lang w:val="tr-TR" w:bidi="tr-TR"/>
        </w:rPr>
        <w:t>Atık su oluşumunu azaltmak için</w:t>
      </w:r>
      <w:r w:rsidR="004771C7" w:rsidRPr="00F50C10">
        <w:rPr>
          <w:rFonts w:cs="Times New Roman"/>
          <w:szCs w:val="24"/>
          <w:lang w:val="tr-TR" w:bidi="tr-TR"/>
        </w:rPr>
        <w:t xml:space="preserve">, </w:t>
      </w:r>
      <w:r w:rsidRPr="00F50C10">
        <w:rPr>
          <w:rFonts w:cs="Times New Roman"/>
          <w:szCs w:val="24"/>
          <w:lang w:val="tr-TR" w:bidi="tr-TR"/>
        </w:rPr>
        <w:t>aşağıda verilen tekniklerin bir kombinasyonu</w:t>
      </w:r>
      <w:r w:rsidR="004771C7" w:rsidRPr="00F50C10">
        <w:rPr>
          <w:rFonts w:cs="Times New Roman"/>
          <w:szCs w:val="24"/>
          <w:lang w:val="tr-TR" w:bidi="tr-TR"/>
        </w:rPr>
        <w:t xml:space="preserve"> kullanılır</w:t>
      </w:r>
      <w:r w:rsidR="0031706A" w:rsidRPr="00F50C10">
        <w:rPr>
          <w:rFonts w:cs="Times New Roman"/>
          <w:szCs w:val="24"/>
          <w:lang w:val="tr-TR" w:bidi="tr-TR"/>
        </w:rPr>
        <w:t>.</w:t>
      </w:r>
    </w:p>
    <w:tbl>
      <w:tblPr>
        <w:tblW w:w="5000" w:type="pct"/>
        <w:tblCellMar>
          <w:left w:w="0" w:type="dxa"/>
          <w:right w:w="0" w:type="dxa"/>
        </w:tblCellMar>
        <w:tblLook w:val="01E0" w:firstRow="1" w:lastRow="1" w:firstColumn="1" w:lastColumn="1" w:noHBand="0" w:noVBand="0"/>
      </w:tblPr>
      <w:tblGrid>
        <w:gridCol w:w="369"/>
        <w:gridCol w:w="1912"/>
        <w:gridCol w:w="3855"/>
        <w:gridCol w:w="3172"/>
      </w:tblGrid>
      <w:tr w:rsidR="00951FA4" w:rsidRPr="00F50C10" w14:paraId="020AA54F" w14:textId="77777777" w:rsidTr="00116C54">
        <w:trPr>
          <w:trHeight w:val="20"/>
          <w:tblHeader/>
        </w:trPr>
        <w:tc>
          <w:tcPr>
            <w:tcW w:w="198" w:type="pct"/>
            <w:tcBorders>
              <w:top w:val="single" w:sz="5" w:space="0" w:color="000000"/>
              <w:left w:val="single" w:sz="5" w:space="0" w:color="000000"/>
              <w:bottom w:val="single" w:sz="5" w:space="0" w:color="000000"/>
              <w:right w:val="single" w:sz="5" w:space="0" w:color="000000"/>
            </w:tcBorders>
            <w:vAlign w:val="center"/>
          </w:tcPr>
          <w:p w14:paraId="799D3D4F" w14:textId="77777777" w:rsidR="00951FA4" w:rsidRPr="00F50C10" w:rsidRDefault="00951FA4" w:rsidP="000B206D">
            <w:pPr>
              <w:spacing w:line="276" w:lineRule="auto"/>
              <w:ind w:left="72" w:right="72"/>
              <w:jc w:val="center"/>
              <w:rPr>
                <w:rFonts w:cs="Times New Roman"/>
                <w:szCs w:val="24"/>
                <w:lang w:val="tr-TR"/>
              </w:rPr>
            </w:pPr>
          </w:p>
        </w:tc>
        <w:tc>
          <w:tcPr>
            <w:tcW w:w="1027" w:type="pct"/>
            <w:tcBorders>
              <w:top w:val="single" w:sz="5" w:space="0" w:color="000000"/>
              <w:left w:val="single" w:sz="5" w:space="0" w:color="000000"/>
              <w:bottom w:val="single" w:sz="5" w:space="0" w:color="000000"/>
              <w:right w:val="single" w:sz="5" w:space="0" w:color="000000"/>
            </w:tcBorders>
            <w:vAlign w:val="center"/>
          </w:tcPr>
          <w:p w14:paraId="2045F4E4"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Teknik</w:t>
            </w:r>
          </w:p>
        </w:tc>
        <w:tc>
          <w:tcPr>
            <w:tcW w:w="2071" w:type="pct"/>
            <w:tcBorders>
              <w:top w:val="single" w:sz="5" w:space="0" w:color="000000"/>
              <w:left w:val="single" w:sz="5" w:space="0" w:color="000000"/>
              <w:bottom w:val="single" w:sz="5" w:space="0" w:color="000000"/>
              <w:right w:val="single" w:sz="5" w:space="0" w:color="000000"/>
            </w:tcBorders>
            <w:vAlign w:val="center"/>
          </w:tcPr>
          <w:p w14:paraId="36D0859A"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Açıklama</w:t>
            </w:r>
          </w:p>
        </w:tc>
        <w:tc>
          <w:tcPr>
            <w:tcW w:w="1704" w:type="pct"/>
            <w:tcBorders>
              <w:top w:val="single" w:sz="5" w:space="0" w:color="000000"/>
              <w:left w:val="single" w:sz="5" w:space="0" w:color="000000"/>
              <w:bottom w:val="single" w:sz="5" w:space="0" w:color="000000"/>
              <w:right w:val="single" w:sz="5" w:space="0" w:color="000000"/>
            </w:tcBorders>
            <w:vAlign w:val="center"/>
          </w:tcPr>
          <w:p w14:paraId="78A23650"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Uygulanabilirlik</w:t>
            </w:r>
          </w:p>
        </w:tc>
      </w:tr>
      <w:tr w:rsidR="00951FA4" w:rsidRPr="00F50C10" w14:paraId="704AE643"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6D74801E" w14:textId="77777777" w:rsidR="00951FA4" w:rsidRPr="00F50C10" w:rsidRDefault="00951FA4" w:rsidP="000B206D">
            <w:pPr>
              <w:pStyle w:val="TableParagraph"/>
              <w:spacing w:line="276" w:lineRule="auto"/>
              <w:ind w:left="72" w:right="72"/>
              <w:jc w:val="center"/>
              <w:rPr>
                <w:szCs w:val="24"/>
              </w:rPr>
            </w:pPr>
            <w:r w:rsidRPr="00F50C10">
              <w:rPr>
                <w:szCs w:val="24"/>
                <w:lang w:bidi="tr-TR"/>
              </w:rPr>
              <w:t>a</w:t>
            </w:r>
          </w:p>
        </w:tc>
        <w:tc>
          <w:tcPr>
            <w:tcW w:w="1027" w:type="pct"/>
            <w:tcBorders>
              <w:top w:val="single" w:sz="5" w:space="0" w:color="000000"/>
              <w:left w:val="single" w:sz="5" w:space="0" w:color="000000"/>
              <w:bottom w:val="single" w:sz="5" w:space="0" w:color="000000"/>
              <w:right w:val="single" w:sz="5" w:space="0" w:color="000000"/>
            </w:tcBorders>
            <w:vAlign w:val="center"/>
          </w:tcPr>
          <w:p w14:paraId="2963F67D" w14:textId="77777777" w:rsidR="00951FA4" w:rsidRPr="00F50C10" w:rsidRDefault="00951FA4" w:rsidP="000B206D">
            <w:pPr>
              <w:pStyle w:val="TableParagraph"/>
              <w:spacing w:line="276" w:lineRule="auto"/>
              <w:ind w:left="72" w:right="72"/>
              <w:rPr>
                <w:szCs w:val="24"/>
              </w:rPr>
            </w:pPr>
            <w:r w:rsidRPr="00F50C10">
              <w:rPr>
                <w:szCs w:val="24"/>
                <w:lang w:bidi="tr-TR"/>
              </w:rPr>
              <w:t>Tuzlu su devridaimi</w:t>
            </w:r>
          </w:p>
        </w:tc>
        <w:tc>
          <w:tcPr>
            <w:tcW w:w="2071" w:type="pct"/>
            <w:tcBorders>
              <w:top w:val="single" w:sz="5" w:space="0" w:color="000000"/>
              <w:left w:val="single" w:sz="5" w:space="0" w:color="000000"/>
              <w:bottom w:val="single" w:sz="5" w:space="0" w:color="000000"/>
              <w:right w:val="single" w:sz="5" w:space="0" w:color="000000"/>
            </w:tcBorders>
            <w:vAlign w:val="center"/>
          </w:tcPr>
          <w:p w14:paraId="7AF3E010" w14:textId="77777777" w:rsidR="00951FA4" w:rsidRPr="00F50C10" w:rsidRDefault="00951FA4" w:rsidP="000B206D">
            <w:pPr>
              <w:pStyle w:val="TableParagraph"/>
              <w:spacing w:line="276" w:lineRule="auto"/>
              <w:ind w:left="72" w:right="72"/>
              <w:jc w:val="both"/>
              <w:rPr>
                <w:szCs w:val="24"/>
              </w:rPr>
            </w:pPr>
            <w:r w:rsidRPr="00F50C10">
              <w:rPr>
                <w:szCs w:val="24"/>
                <w:lang w:bidi="tr-TR"/>
              </w:rPr>
              <w:t>Elektroliz hücrelerinde kalan az miktarda tuzlu su, katı tuzla veya buharlaştırılarak yeniden doyurulur ve hücrelere geri verilir.</w:t>
            </w:r>
          </w:p>
        </w:tc>
        <w:tc>
          <w:tcPr>
            <w:tcW w:w="1704" w:type="pct"/>
            <w:tcBorders>
              <w:top w:val="single" w:sz="5" w:space="0" w:color="000000"/>
              <w:left w:val="single" w:sz="5" w:space="0" w:color="000000"/>
              <w:bottom w:val="single" w:sz="5" w:space="0" w:color="000000"/>
              <w:right w:val="single" w:sz="5" w:space="0" w:color="000000"/>
            </w:tcBorders>
            <w:vAlign w:val="center"/>
          </w:tcPr>
          <w:p w14:paraId="78E7D107" w14:textId="450A2975" w:rsidR="00951FA4" w:rsidRPr="00F50C10" w:rsidRDefault="00951FA4" w:rsidP="000B206D">
            <w:pPr>
              <w:pStyle w:val="TableParagraph"/>
              <w:spacing w:line="276" w:lineRule="auto"/>
              <w:ind w:left="72" w:right="72"/>
              <w:jc w:val="both"/>
              <w:rPr>
                <w:szCs w:val="24"/>
              </w:rPr>
            </w:pPr>
            <w:r w:rsidRPr="00F50C10">
              <w:rPr>
                <w:szCs w:val="24"/>
                <w:lang w:bidi="tr-TR"/>
              </w:rPr>
              <w:t>Diyafram hücreli tesislerde uygulanamaz. Bol tuz ve su kaynakları ile birlikte yüksek klorür emisyon seviyelerini tolere eden tuz alan bir su kütlesi mevcut olduğunda, çözelti madenciliğiyle hazırlanan tuzlu su kullanan membran hücreli tesislerde uygulanamaz. Diğer üretim birimlerinde tuzlu su tahliyesi kullan</w:t>
            </w:r>
            <w:r w:rsidR="00B95438" w:rsidRPr="00F50C10">
              <w:rPr>
                <w:szCs w:val="24"/>
                <w:lang w:bidi="tr-TR"/>
              </w:rPr>
              <w:t>ıla</w:t>
            </w:r>
            <w:r w:rsidRPr="00F50C10">
              <w:rPr>
                <w:szCs w:val="24"/>
                <w:lang w:bidi="tr-TR"/>
              </w:rPr>
              <w:t>n membran hücreli tesislerde uygulanamaz.</w:t>
            </w:r>
          </w:p>
        </w:tc>
      </w:tr>
      <w:tr w:rsidR="00951FA4" w:rsidRPr="00F50C10" w14:paraId="2316628B"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047087C3" w14:textId="77777777" w:rsidR="00951FA4" w:rsidRPr="00F50C10" w:rsidRDefault="00951FA4" w:rsidP="000B206D">
            <w:pPr>
              <w:pStyle w:val="TableParagraph"/>
              <w:spacing w:line="276" w:lineRule="auto"/>
              <w:ind w:left="72" w:right="72"/>
              <w:jc w:val="center"/>
              <w:rPr>
                <w:szCs w:val="24"/>
              </w:rPr>
            </w:pPr>
            <w:r w:rsidRPr="00F50C10">
              <w:rPr>
                <w:szCs w:val="24"/>
                <w:lang w:bidi="tr-TR"/>
              </w:rPr>
              <w:t>b</w:t>
            </w:r>
          </w:p>
        </w:tc>
        <w:tc>
          <w:tcPr>
            <w:tcW w:w="1027" w:type="pct"/>
            <w:tcBorders>
              <w:top w:val="single" w:sz="5" w:space="0" w:color="000000"/>
              <w:left w:val="single" w:sz="5" w:space="0" w:color="000000"/>
              <w:bottom w:val="single" w:sz="5" w:space="0" w:color="000000"/>
              <w:right w:val="single" w:sz="5" w:space="0" w:color="000000"/>
            </w:tcBorders>
            <w:vAlign w:val="center"/>
          </w:tcPr>
          <w:p w14:paraId="6C14FB36" w14:textId="77777777" w:rsidR="00951FA4" w:rsidRPr="00F50C10" w:rsidRDefault="00951FA4" w:rsidP="000B206D">
            <w:pPr>
              <w:pStyle w:val="TableParagraph"/>
              <w:spacing w:line="276" w:lineRule="auto"/>
              <w:ind w:left="72" w:right="72"/>
              <w:rPr>
                <w:szCs w:val="24"/>
              </w:rPr>
            </w:pPr>
            <w:r w:rsidRPr="00F50C10">
              <w:rPr>
                <w:szCs w:val="24"/>
                <w:lang w:bidi="tr-TR"/>
              </w:rPr>
              <w:t>Diğer proses akışlarının geri dönüşümü</w:t>
            </w:r>
          </w:p>
        </w:tc>
        <w:tc>
          <w:tcPr>
            <w:tcW w:w="2071" w:type="pct"/>
            <w:tcBorders>
              <w:top w:val="single" w:sz="5" w:space="0" w:color="000000"/>
              <w:left w:val="single" w:sz="5" w:space="0" w:color="000000"/>
              <w:bottom w:val="single" w:sz="5" w:space="0" w:color="000000"/>
              <w:right w:val="single" w:sz="5" w:space="0" w:color="000000"/>
            </w:tcBorders>
            <w:vAlign w:val="center"/>
          </w:tcPr>
          <w:p w14:paraId="7BF6295F" w14:textId="77777777" w:rsidR="00951FA4" w:rsidRPr="00F50C10" w:rsidRDefault="00951FA4" w:rsidP="000B206D">
            <w:pPr>
              <w:pStyle w:val="TableParagraph"/>
              <w:spacing w:line="276" w:lineRule="auto"/>
              <w:ind w:left="72" w:right="72"/>
              <w:jc w:val="both"/>
              <w:rPr>
                <w:szCs w:val="24"/>
              </w:rPr>
            </w:pPr>
            <w:r w:rsidRPr="00F50C10">
              <w:rPr>
                <w:szCs w:val="24"/>
                <w:lang w:bidi="tr-TR"/>
              </w:rPr>
              <w:t>Klor, sodyum/potasyum hidroksit ve hidrojen işlemeden gelen kondensatlar gibi klor-alkali tesisinden kaynaklanan proses akışları, prosesin çeşitli aşamalarına geri beslenir. Geri dönüşüm derecesi, proses akışının geri döndürüldüğü sıvı akışının saflık gereksinimleri ve tesisin su dengesi ile sınırlıdır.</w:t>
            </w:r>
          </w:p>
        </w:tc>
        <w:tc>
          <w:tcPr>
            <w:tcW w:w="1704" w:type="pct"/>
            <w:tcBorders>
              <w:top w:val="single" w:sz="5" w:space="0" w:color="000000"/>
              <w:left w:val="single" w:sz="5" w:space="0" w:color="000000"/>
              <w:bottom w:val="single" w:sz="5" w:space="0" w:color="000000"/>
              <w:right w:val="single" w:sz="5" w:space="0" w:color="000000"/>
            </w:tcBorders>
            <w:vAlign w:val="center"/>
          </w:tcPr>
          <w:p w14:paraId="2D9E0AF0" w14:textId="77777777" w:rsidR="00951FA4" w:rsidRPr="00F50C10" w:rsidRDefault="00951FA4" w:rsidP="000B206D">
            <w:pPr>
              <w:pStyle w:val="TableParagraph"/>
              <w:spacing w:line="276" w:lineRule="auto"/>
              <w:ind w:left="72" w:right="72"/>
              <w:jc w:val="both"/>
              <w:rPr>
                <w:szCs w:val="24"/>
              </w:rPr>
            </w:pPr>
            <w:r w:rsidRPr="00F50C10">
              <w:rPr>
                <w:szCs w:val="24"/>
                <w:lang w:bidi="tr-TR"/>
              </w:rPr>
              <w:t>Genel olarak uygulanabilir.</w:t>
            </w:r>
          </w:p>
        </w:tc>
      </w:tr>
      <w:tr w:rsidR="00951FA4" w:rsidRPr="00F50C10" w14:paraId="6747D1F2"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2CCF41AB" w14:textId="77777777" w:rsidR="00951FA4" w:rsidRPr="00F50C10" w:rsidRDefault="00951FA4" w:rsidP="000B206D">
            <w:pPr>
              <w:pStyle w:val="TableParagraph"/>
              <w:spacing w:line="276" w:lineRule="auto"/>
              <w:ind w:left="72" w:right="72"/>
              <w:jc w:val="center"/>
              <w:rPr>
                <w:szCs w:val="24"/>
              </w:rPr>
            </w:pPr>
            <w:r w:rsidRPr="00F50C10">
              <w:rPr>
                <w:szCs w:val="24"/>
                <w:lang w:bidi="tr-TR"/>
              </w:rPr>
              <w:t>c</w:t>
            </w:r>
          </w:p>
        </w:tc>
        <w:tc>
          <w:tcPr>
            <w:tcW w:w="1027" w:type="pct"/>
            <w:tcBorders>
              <w:top w:val="single" w:sz="5" w:space="0" w:color="000000"/>
              <w:left w:val="single" w:sz="5" w:space="0" w:color="000000"/>
              <w:bottom w:val="single" w:sz="5" w:space="0" w:color="000000"/>
              <w:right w:val="single" w:sz="5" w:space="0" w:color="000000"/>
            </w:tcBorders>
            <w:vAlign w:val="center"/>
          </w:tcPr>
          <w:p w14:paraId="2617086D" w14:textId="77777777" w:rsidR="00951FA4" w:rsidRPr="00F50C10" w:rsidRDefault="00951FA4" w:rsidP="000B206D">
            <w:pPr>
              <w:pStyle w:val="TableParagraph"/>
              <w:spacing w:line="276" w:lineRule="auto"/>
              <w:ind w:left="72" w:right="72"/>
              <w:rPr>
                <w:szCs w:val="24"/>
              </w:rPr>
            </w:pPr>
            <w:r w:rsidRPr="00F50C10">
              <w:rPr>
                <w:szCs w:val="24"/>
                <w:lang w:bidi="tr-TR"/>
              </w:rPr>
              <w:t>Diğer üretim proseslerinden</w:t>
            </w:r>
          </w:p>
          <w:p w14:paraId="5CAB0620" w14:textId="77777777" w:rsidR="00951FA4" w:rsidRPr="00F50C10" w:rsidRDefault="00951FA4" w:rsidP="000B206D">
            <w:pPr>
              <w:pStyle w:val="TableParagraph"/>
              <w:spacing w:line="276" w:lineRule="auto"/>
              <w:ind w:left="72" w:right="72"/>
              <w:rPr>
                <w:szCs w:val="24"/>
              </w:rPr>
            </w:pPr>
            <w:r w:rsidRPr="00F50C10">
              <w:rPr>
                <w:szCs w:val="24"/>
                <w:lang w:bidi="tr-TR"/>
              </w:rPr>
              <w:t>tuz içeren atık suların geri dönüşümü</w:t>
            </w:r>
          </w:p>
        </w:tc>
        <w:tc>
          <w:tcPr>
            <w:tcW w:w="2071" w:type="pct"/>
            <w:tcBorders>
              <w:top w:val="single" w:sz="5" w:space="0" w:color="000000"/>
              <w:left w:val="single" w:sz="5" w:space="0" w:color="000000"/>
              <w:bottom w:val="single" w:sz="5" w:space="0" w:color="000000"/>
              <w:right w:val="single" w:sz="5" w:space="0" w:color="000000"/>
            </w:tcBorders>
            <w:vAlign w:val="center"/>
          </w:tcPr>
          <w:p w14:paraId="2816F33C" w14:textId="77777777" w:rsidR="00951FA4" w:rsidRPr="00F50C10" w:rsidRDefault="00951FA4" w:rsidP="000B206D">
            <w:pPr>
              <w:pStyle w:val="TableParagraph"/>
              <w:spacing w:line="276" w:lineRule="auto"/>
              <w:ind w:left="72" w:right="72"/>
              <w:jc w:val="both"/>
              <w:rPr>
                <w:szCs w:val="24"/>
              </w:rPr>
            </w:pPr>
            <w:r w:rsidRPr="00F50C10">
              <w:rPr>
                <w:szCs w:val="24"/>
                <w:lang w:bidi="tr-TR"/>
              </w:rPr>
              <w:t>Diğer üretim proseslerinden tuz içeren atık su arıtılır ve tuzlu su sistemine geri beslenir. Geri dönüşüm derecesi, tuzlu su sisteminin saflık gereksinimleri ve tesisin su dengesi ile sınırlıdır.</w:t>
            </w:r>
          </w:p>
        </w:tc>
        <w:tc>
          <w:tcPr>
            <w:tcW w:w="1704" w:type="pct"/>
            <w:tcBorders>
              <w:top w:val="single" w:sz="5" w:space="0" w:color="000000"/>
              <w:left w:val="single" w:sz="5" w:space="0" w:color="000000"/>
              <w:bottom w:val="single" w:sz="5" w:space="0" w:color="000000"/>
              <w:right w:val="single" w:sz="5" w:space="0" w:color="000000"/>
            </w:tcBorders>
            <w:vAlign w:val="center"/>
          </w:tcPr>
          <w:p w14:paraId="137E1712" w14:textId="77777777" w:rsidR="00951FA4" w:rsidRPr="00F50C10" w:rsidRDefault="00951FA4" w:rsidP="000B206D">
            <w:pPr>
              <w:pStyle w:val="TableParagraph"/>
              <w:spacing w:line="276" w:lineRule="auto"/>
              <w:ind w:left="72" w:right="72"/>
              <w:jc w:val="both"/>
              <w:rPr>
                <w:szCs w:val="24"/>
              </w:rPr>
            </w:pPr>
            <w:r w:rsidRPr="00F50C10">
              <w:rPr>
                <w:szCs w:val="24"/>
                <w:lang w:bidi="tr-TR"/>
              </w:rPr>
              <w:t>Bu atık suyun ek arıtımının çevreye faydadan çok zararı olduğu tesislerde uygulanamaz.</w:t>
            </w:r>
          </w:p>
        </w:tc>
      </w:tr>
      <w:tr w:rsidR="00951FA4" w:rsidRPr="00F50C10" w14:paraId="4B87A690"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494E2AE6" w14:textId="77777777" w:rsidR="00951FA4" w:rsidRPr="00F50C10" w:rsidRDefault="00951FA4" w:rsidP="000B206D">
            <w:pPr>
              <w:pStyle w:val="TableParagraph"/>
              <w:spacing w:line="276" w:lineRule="auto"/>
              <w:ind w:left="72" w:right="72"/>
              <w:jc w:val="center"/>
              <w:rPr>
                <w:szCs w:val="24"/>
              </w:rPr>
            </w:pPr>
            <w:r w:rsidRPr="00F50C10">
              <w:rPr>
                <w:szCs w:val="24"/>
                <w:lang w:bidi="tr-TR"/>
              </w:rPr>
              <w:t>d</w:t>
            </w:r>
          </w:p>
        </w:tc>
        <w:tc>
          <w:tcPr>
            <w:tcW w:w="1027" w:type="pct"/>
            <w:tcBorders>
              <w:top w:val="single" w:sz="5" w:space="0" w:color="000000"/>
              <w:left w:val="single" w:sz="5" w:space="0" w:color="000000"/>
              <w:bottom w:val="single" w:sz="5" w:space="0" w:color="000000"/>
              <w:right w:val="single" w:sz="5" w:space="0" w:color="000000"/>
            </w:tcBorders>
            <w:vAlign w:val="center"/>
          </w:tcPr>
          <w:p w14:paraId="56D0884E" w14:textId="77777777" w:rsidR="00951FA4" w:rsidRPr="00F50C10" w:rsidRDefault="00951FA4" w:rsidP="000B206D">
            <w:pPr>
              <w:pStyle w:val="TableParagraph"/>
              <w:spacing w:line="276" w:lineRule="auto"/>
              <w:ind w:left="72" w:right="72"/>
              <w:rPr>
                <w:szCs w:val="24"/>
              </w:rPr>
            </w:pPr>
            <w:r w:rsidRPr="00F50C10">
              <w:rPr>
                <w:szCs w:val="24"/>
                <w:lang w:bidi="tr-TR"/>
              </w:rPr>
              <w:t>Çözelti madenciliği için atık su kullanımı</w:t>
            </w:r>
          </w:p>
        </w:tc>
        <w:tc>
          <w:tcPr>
            <w:tcW w:w="2071" w:type="pct"/>
            <w:tcBorders>
              <w:top w:val="single" w:sz="5" w:space="0" w:color="000000"/>
              <w:left w:val="single" w:sz="5" w:space="0" w:color="000000"/>
              <w:bottom w:val="single" w:sz="5" w:space="0" w:color="000000"/>
              <w:right w:val="single" w:sz="5" w:space="0" w:color="000000"/>
            </w:tcBorders>
            <w:vAlign w:val="center"/>
          </w:tcPr>
          <w:p w14:paraId="1909EE82" w14:textId="77777777" w:rsidR="00951FA4" w:rsidRPr="00F50C10" w:rsidRDefault="00951FA4" w:rsidP="000B206D">
            <w:pPr>
              <w:pStyle w:val="TableParagraph"/>
              <w:spacing w:line="276" w:lineRule="auto"/>
              <w:ind w:left="72" w:right="72"/>
              <w:jc w:val="both"/>
              <w:rPr>
                <w:szCs w:val="24"/>
              </w:rPr>
            </w:pPr>
            <w:r w:rsidRPr="00F50C10">
              <w:rPr>
                <w:szCs w:val="24"/>
                <w:lang w:bidi="tr-TR"/>
              </w:rPr>
              <w:t>Klor-alkali tesisinden çıkan atık su arıtılır ve tuz madenine geri pompalanır.</w:t>
            </w:r>
          </w:p>
        </w:tc>
        <w:tc>
          <w:tcPr>
            <w:tcW w:w="1704" w:type="pct"/>
            <w:tcBorders>
              <w:top w:val="single" w:sz="5" w:space="0" w:color="000000"/>
              <w:left w:val="single" w:sz="5" w:space="0" w:color="000000"/>
              <w:bottom w:val="single" w:sz="5" w:space="0" w:color="000000"/>
              <w:right w:val="single" w:sz="5" w:space="0" w:color="000000"/>
            </w:tcBorders>
            <w:vAlign w:val="center"/>
          </w:tcPr>
          <w:p w14:paraId="2D0FA05C" w14:textId="37FA19D1" w:rsidR="00951FA4" w:rsidRPr="00F50C10" w:rsidRDefault="00951FA4" w:rsidP="000B206D">
            <w:pPr>
              <w:pStyle w:val="TableParagraph"/>
              <w:spacing w:line="276" w:lineRule="auto"/>
              <w:ind w:left="72" w:right="72"/>
              <w:jc w:val="both"/>
              <w:rPr>
                <w:szCs w:val="24"/>
              </w:rPr>
            </w:pPr>
            <w:r w:rsidRPr="00F50C10">
              <w:rPr>
                <w:szCs w:val="24"/>
                <w:lang w:bidi="tr-TR"/>
              </w:rPr>
              <w:t>Diğer üretim birimlerinde tuzlu su tahliyesi kullan</w:t>
            </w:r>
            <w:r w:rsidR="00B95438" w:rsidRPr="00F50C10">
              <w:rPr>
                <w:szCs w:val="24"/>
                <w:lang w:bidi="tr-TR"/>
              </w:rPr>
              <w:t>ıl</w:t>
            </w:r>
            <w:r w:rsidRPr="00F50C10">
              <w:rPr>
                <w:szCs w:val="24"/>
                <w:lang w:bidi="tr-TR"/>
              </w:rPr>
              <w:t>an membran hücreli tesislerde uygulanamaz. Maden tesisten önemli ölçüde daha yüksek bir rakımda bulunuyorsa uygulanamaz.</w:t>
            </w:r>
          </w:p>
        </w:tc>
      </w:tr>
      <w:tr w:rsidR="00951FA4" w:rsidRPr="00F50C10" w14:paraId="66FCD4DD"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2E0DC48B" w14:textId="77777777" w:rsidR="00951FA4" w:rsidRPr="00F50C10" w:rsidRDefault="00951FA4" w:rsidP="000B206D">
            <w:pPr>
              <w:pStyle w:val="TableParagraph"/>
              <w:spacing w:line="276" w:lineRule="auto"/>
              <w:ind w:left="72" w:right="72"/>
              <w:jc w:val="center"/>
              <w:rPr>
                <w:szCs w:val="24"/>
              </w:rPr>
            </w:pPr>
            <w:r w:rsidRPr="00F50C10">
              <w:rPr>
                <w:szCs w:val="24"/>
                <w:lang w:bidi="tr-TR"/>
              </w:rPr>
              <w:t>e</w:t>
            </w:r>
          </w:p>
        </w:tc>
        <w:tc>
          <w:tcPr>
            <w:tcW w:w="1027" w:type="pct"/>
            <w:tcBorders>
              <w:top w:val="single" w:sz="5" w:space="0" w:color="000000"/>
              <w:left w:val="single" w:sz="5" w:space="0" w:color="000000"/>
              <w:bottom w:val="single" w:sz="5" w:space="0" w:color="000000"/>
              <w:right w:val="single" w:sz="5" w:space="0" w:color="000000"/>
            </w:tcBorders>
            <w:vAlign w:val="center"/>
          </w:tcPr>
          <w:p w14:paraId="6139E75B" w14:textId="77777777" w:rsidR="00951FA4" w:rsidRPr="00F50C10" w:rsidRDefault="00951FA4" w:rsidP="000B206D">
            <w:pPr>
              <w:pStyle w:val="TableParagraph"/>
              <w:spacing w:line="276" w:lineRule="auto"/>
              <w:ind w:left="72" w:right="72"/>
              <w:rPr>
                <w:szCs w:val="24"/>
              </w:rPr>
            </w:pPr>
            <w:r w:rsidRPr="00F50C10">
              <w:rPr>
                <w:szCs w:val="24"/>
                <w:lang w:bidi="tr-TR"/>
              </w:rPr>
              <w:t>Tuzlu su filtreleme çamurlarının derişik hale getirilmesi</w:t>
            </w:r>
          </w:p>
        </w:tc>
        <w:tc>
          <w:tcPr>
            <w:tcW w:w="2071" w:type="pct"/>
            <w:tcBorders>
              <w:top w:val="single" w:sz="5" w:space="0" w:color="000000"/>
              <w:left w:val="single" w:sz="5" w:space="0" w:color="000000"/>
              <w:bottom w:val="single" w:sz="5" w:space="0" w:color="000000"/>
              <w:right w:val="single" w:sz="5" w:space="0" w:color="000000"/>
            </w:tcBorders>
            <w:vAlign w:val="center"/>
          </w:tcPr>
          <w:p w14:paraId="056D6641" w14:textId="0529A02A" w:rsidR="00951FA4" w:rsidRPr="00F50C10" w:rsidRDefault="00951FA4" w:rsidP="000B206D">
            <w:pPr>
              <w:pStyle w:val="TableParagraph"/>
              <w:spacing w:line="276" w:lineRule="auto"/>
              <w:ind w:left="72" w:right="72"/>
              <w:jc w:val="both"/>
              <w:rPr>
                <w:szCs w:val="24"/>
              </w:rPr>
            </w:pPr>
            <w:r w:rsidRPr="00F50C10">
              <w:rPr>
                <w:szCs w:val="24"/>
                <w:lang w:bidi="tr-TR"/>
              </w:rPr>
              <w:t>Tuzlu su filtreleme çamurları filtre preslerinde, döner tamburlu vakum filtrelerinde veya santrifüjlerde deriş</w:t>
            </w:r>
            <w:r w:rsidR="00B95438" w:rsidRPr="00F50C10">
              <w:rPr>
                <w:szCs w:val="24"/>
                <w:lang w:bidi="tr-TR"/>
              </w:rPr>
              <w:t>ik hale getirili</w:t>
            </w:r>
            <w:r w:rsidRPr="00F50C10">
              <w:rPr>
                <w:szCs w:val="24"/>
                <w:lang w:bidi="tr-TR"/>
              </w:rPr>
              <w:t>r. Kalan su, tuzlu su sistemine geri beslenir.</w:t>
            </w:r>
          </w:p>
        </w:tc>
        <w:tc>
          <w:tcPr>
            <w:tcW w:w="1704" w:type="pct"/>
            <w:tcBorders>
              <w:top w:val="single" w:sz="5" w:space="0" w:color="000000"/>
              <w:left w:val="single" w:sz="5" w:space="0" w:color="000000"/>
              <w:bottom w:val="single" w:sz="5" w:space="0" w:color="000000"/>
              <w:right w:val="single" w:sz="5" w:space="0" w:color="000000"/>
            </w:tcBorders>
            <w:vAlign w:val="center"/>
          </w:tcPr>
          <w:p w14:paraId="50F87712" w14:textId="77777777" w:rsidR="00951FA4" w:rsidRPr="00F50C10" w:rsidRDefault="00951FA4" w:rsidP="000B206D">
            <w:pPr>
              <w:pStyle w:val="TableParagraph"/>
              <w:spacing w:line="276" w:lineRule="auto"/>
              <w:ind w:left="72" w:right="72"/>
              <w:jc w:val="both"/>
              <w:rPr>
                <w:szCs w:val="24"/>
              </w:rPr>
            </w:pPr>
            <w:r w:rsidRPr="00F50C10">
              <w:rPr>
                <w:szCs w:val="24"/>
                <w:lang w:bidi="tr-TR"/>
              </w:rPr>
              <w:t>Tuzlu su filtreleme çamurları kuru topak olarak çıkarılabiliyorsa uygulanamaz. Çözelti madenciliği için atık suyu yeniden kullanan tesislerde uygulanamaz.</w:t>
            </w:r>
          </w:p>
        </w:tc>
      </w:tr>
      <w:tr w:rsidR="00951FA4" w:rsidRPr="00F50C10" w14:paraId="64A0DC77"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0C7F0EA3" w14:textId="77777777" w:rsidR="00951FA4" w:rsidRPr="00F50C10" w:rsidRDefault="00951FA4" w:rsidP="000B206D">
            <w:pPr>
              <w:pStyle w:val="TableParagraph"/>
              <w:spacing w:line="276" w:lineRule="auto"/>
              <w:ind w:left="72" w:right="72"/>
              <w:jc w:val="center"/>
              <w:rPr>
                <w:szCs w:val="24"/>
              </w:rPr>
            </w:pPr>
            <w:r w:rsidRPr="00F50C10">
              <w:rPr>
                <w:szCs w:val="24"/>
                <w:lang w:bidi="tr-TR"/>
              </w:rPr>
              <w:t>f</w:t>
            </w:r>
          </w:p>
        </w:tc>
        <w:tc>
          <w:tcPr>
            <w:tcW w:w="1027" w:type="pct"/>
            <w:tcBorders>
              <w:top w:val="single" w:sz="5" w:space="0" w:color="000000"/>
              <w:left w:val="single" w:sz="5" w:space="0" w:color="000000"/>
              <w:bottom w:val="single" w:sz="5" w:space="0" w:color="000000"/>
              <w:right w:val="single" w:sz="5" w:space="0" w:color="000000"/>
            </w:tcBorders>
            <w:vAlign w:val="center"/>
          </w:tcPr>
          <w:p w14:paraId="0161295C" w14:textId="77777777" w:rsidR="00951FA4" w:rsidRPr="00F50C10" w:rsidRDefault="00951FA4" w:rsidP="000B206D">
            <w:pPr>
              <w:pStyle w:val="TableParagraph"/>
              <w:spacing w:line="276" w:lineRule="auto"/>
              <w:ind w:left="72" w:right="72"/>
              <w:rPr>
                <w:szCs w:val="24"/>
              </w:rPr>
            </w:pPr>
            <w:r w:rsidRPr="00F50C10">
              <w:rPr>
                <w:szCs w:val="24"/>
                <w:lang w:bidi="tr-TR"/>
              </w:rPr>
              <w:t>Nano-filtreleme</w:t>
            </w:r>
          </w:p>
        </w:tc>
        <w:tc>
          <w:tcPr>
            <w:tcW w:w="2071" w:type="pct"/>
            <w:tcBorders>
              <w:top w:val="single" w:sz="5" w:space="0" w:color="000000"/>
              <w:left w:val="single" w:sz="5" w:space="0" w:color="000000"/>
              <w:bottom w:val="single" w:sz="5" w:space="0" w:color="000000"/>
              <w:right w:val="single" w:sz="5" w:space="0" w:color="000000"/>
            </w:tcBorders>
            <w:vAlign w:val="center"/>
          </w:tcPr>
          <w:p w14:paraId="077C4CFF" w14:textId="0BCB9355" w:rsidR="00951FA4" w:rsidRPr="00F50C10" w:rsidRDefault="00951FA4" w:rsidP="000B206D">
            <w:pPr>
              <w:pStyle w:val="TableParagraph"/>
              <w:spacing w:line="276" w:lineRule="auto"/>
              <w:ind w:left="72" w:right="72"/>
              <w:jc w:val="both"/>
              <w:rPr>
                <w:szCs w:val="24"/>
              </w:rPr>
            </w:pPr>
            <w:r w:rsidRPr="00F50C10">
              <w:rPr>
                <w:szCs w:val="24"/>
                <w:lang w:bidi="tr-TR"/>
              </w:rPr>
              <w:t>Tuzlu su tahliyesinde sülfat deriş</w:t>
            </w:r>
            <w:r w:rsidR="00B95438" w:rsidRPr="00F50C10">
              <w:rPr>
                <w:szCs w:val="24"/>
                <w:lang w:bidi="tr-TR"/>
              </w:rPr>
              <w:t>imini artırmak</w:t>
            </w:r>
            <w:r w:rsidRPr="00F50C10">
              <w:rPr>
                <w:szCs w:val="24"/>
                <w:lang w:bidi="tr-TR"/>
              </w:rPr>
              <w:t xml:space="preserve"> ve böylece atık su miktarını azaltmak için kullanılan, yaklaşık 1 nm'lik gözenek boyutlarına sahip özel bir membranlı filtreleme türü.</w:t>
            </w:r>
          </w:p>
        </w:tc>
        <w:tc>
          <w:tcPr>
            <w:tcW w:w="1704" w:type="pct"/>
            <w:tcBorders>
              <w:top w:val="single" w:sz="5" w:space="0" w:color="000000"/>
              <w:left w:val="single" w:sz="5" w:space="0" w:color="000000"/>
              <w:bottom w:val="single" w:sz="5" w:space="0" w:color="000000"/>
              <w:right w:val="single" w:sz="5" w:space="0" w:color="000000"/>
            </w:tcBorders>
            <w:vAlign w:val="center"/>
          </w:tcPr>
          <w:p w14:paraId="46A28A4F" w14:textId="77777777" w:rsidR="00951FA4" w:rsidRPr="00F50C10" w:rsidRDefault="00951FA4" w:rsidP="000B206D">
            <w:pPr>
              <w:pStyle w:val="TableParagraph"/>
              <w:spacing w:line="276" w:lineRule="auto"/>
              <w:ind w:left="72" w:right="72"/>
              <w:jc w:val="both"/>
              <w:rPr>
                <w:szCs w:val="24"/>
              </w:rPr>
            </w:pPr>
            <w:r w:rsidRPr="00F50C10">
              <w:rPr>
                <w:szCs w:val="24"/>
                <w:lang w:bidi="tr-TR"/>
              </w:rPr>
              <w:t>Tuzlu su tahliye hızı sülfat derişimine göre belirleniyorsa, tuzlu su devridaimi olan membran hücreli tesislerde uygulanabilir.</w:t>
            </w:r>
          </w:p>
        </w:tc>
      </w:tr>
      <w:tr w:rsidR="00951FA4" w:rsidRPr="00F50C10" w14:paraId="3A4B2BEC"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0A36A8A3" w14:textId="77777777" w:rsidR="00951FA4" w:rsidRPr="00F50C10" w:rsidRDefault="00951FA4" w:rsidP="000B206D">
            <w:pPr>
              <w:pStyle w:val="TableParagraph"/>
              <w:spacing w:line="276" w:lineRule="auto"/>
              <w:ind w:left="72" w:right="72"/>
              <w:jc w:val="center"/>
              <w:rPr>
                <w:szCs w:val="24"/>
              </w:rPr>
            </w:pPr>
            <w:r w:rsidRPr="00F50C10">
              <w:rPr>
                <w:szCs w:val="24"/>
                <w:lang w:bidi="tr-TR"/>
              </w:rPr>
              <w:t>g</w:t>
            </w:r>
          </w:p>
        </w:tc>
        <w:tc>
          <w:tcPr>
            <w:tcW w:w="1027" w:type="pct"/>
            <w:tcBorders>
              <w:top w:val="single" w:sz="5" w:space="0" w:color="000000"/>
              <w:left w:val="single" w:sz="5" w:space="0" w:color="000000"/>
              <w:bottom w:val="single" w:sz="5" w:space="0" w:color="000000"/>
              <w:right w:val="single" w:sz="5" w:space="0" w:color="000000"/>
            </w:tcBorders>
            <w:vAlign w:val="center"/>
          </w:tcPr>
          <w:p w14:paraId="6DF01BCD" w14:textId="77777777" w:rsidR="00951FA4" w:rsidRPr="00F50C10" w:rsidRDefault="00951FA4" w:rsidP="000B206D">
            <w:pPr>
              <w:pStyle w:val="TableParagraph"/>
              <w:spacing w:line="276" w:lineRule="auto"/>
              <w:ind w:left="72" w:right="72"/>
              <w:rPr>
                <w:szCs w:val="24"/>
              </w:rPr>
            </w:pPr>
            <w:r w:rsidRPr="00F50C10">
              <w:rPr>
                <w:szCs w:val="24"/>
                <w:lang w:bidi="tr-TR"/>
              </w:rPr>
              <w:t>Klorat emisyonlarını azaltma teknikleri</w:t>
            </w:r>
          </w:p>
        </w:tc>
        <w:tc>
          <w:tcPr>
            <w:tcW w:w="2071" w:type="pct"/>
            <w:tcBorders>
              <w:top w:val="single" w:sz="5" w:space="0" w:color="000000"/>
              <w:left w:val="single" w:sz="5" w:space="0" w:color="000000"/>
              <w:bottom w:val="single" w:sz="5" w:space="0" w:color="000000"/>
              <w:right w:val="single" w:sz="5" w:space="0" w:color="000000"/>
            </w:tcBorders>
            <w:vAlign w:val="center"/>
          </w:tcPr>
          <w:p w14:paraId="2F677638" w14:textId="77777777" w:rsidR="00951FA4" w:rsidRPr="00F50C10" w:rsidRDefault="00951FA4" w:rsidP="000B206D">
            <w:pPr>
              <w:pStyle w:val="TableParagraph"/>
              <w:spacing w:line="276" w:lineRule="auto"/>
              <w:ind w:left="72" w:right="72"/>
              <w:jc w:val="both"/>
              <w:rPr>
                <w:szCs w:val="24"/>
              </w:rPr>
            </w:pPr>
            <w:r w:rsidRPr="00F50C10">
              <w:rPr>
                <w:szCs w:val="24"/>
                <w:lang w:bidi="tr-TR"/>
              </w:rPr>
              <w:t xml:space="preserve">Klorat emisyonlarını azaltma teknikleri </w:t>
            </w:r>
            <w:hyperlink w:anchor="_bookmark399" w:history="1">
              <w:r w:rsidRPr="00F50C10">
                <w:rPr>
                  <w:szCs w:val="24"/>
                  <w:lang w:bidi="tr-TR"/>
                </w:rPr>
                <w:t>MET 14</w:t>
              </w:r>
            </w:hyperlink>
            <w:r w:rsidRPr="00F50C10">
              <w:rPr>
                <w:szCs w:val="24"/>
                <w:lang w:bidi="tr-TR"/>
              </w:rPr>
              <w:t>'te açıklanmıştır. Bu teknikler tuzlu su tahliye miktarını azaltır.</w:t>
            </w:r>
          </w:p>
        </w:tc>
        <w:tc>
          <w:tcPr>
            <w:tcW w:w="1704" w:type="pct"/>
            <w:tcBorders>
              <w:top w:val="single" w:sz="5" w:space="0" w:color="000000"/>
              <w:left w:val="single" w:sz="5" w:space="0" w:color="000000"/>
              <w:bottom w:val="single" w:sz="5" w:space="0" w:color="000000"/>
              <w:right w:val="single" w:sz="5" w:space="0" w:color="000000"/>
            </w:tcBorders>
            <w:vAlign w:val="center"/>
          </w:tcPr>
          <w:p w14:paraId="2F2F07CE" w14:textId="77777777" w:rsidR="00951FA4" w:rsidRPr="00F50C10" w:rsidRDefault="00951FA4" w:rsidP="000B206D">
            <w:pPr>
              <w:pStyle w:val="TableParagraph"/>
              <w:spacing w:line="276" w:lineRule="auto"/>
              <w:ind w:left="72" w:right="72"/>
              <w:jc w:val="both"/>
              <w:rPr>
                <w:szCs w:val="24"/>
              </w:rPr>
            </w:pPr>
            <w:r w:rsidRPr="00F50C10">
              <w:rPr>
                <w:szCs w:val="24"/>
                <w:lang w:bidi="tr-TR"/>
              </w:rPr>
              <w:t>Tuzlu su tahliye hızı klorat derişimine göre belirleniyorsa, tuzlu su devridaimi olan membran hücreli tesislerde uygulanabilir.</w:t>
            </w:r>
          </w:p>
        </w:tc>
      </w:tr>
    </w:tbl>
    <w:p w14:paraId="48723503" w14:textId="77777777" w:rsidR="00B95438" w:rsidRPr="00F50C10" w:rsidRDefault="00B95438" w:rsidP="000B206D">
      <w:pPr>
        <w:pStyle w:val="Balk1"/>
        <w:numPr>
          <w:ilvl w:val="0"/>
          <w:numId w:val="0"/>
        </w:numPr>
        <w:spacing w:after="120" w:line="276" w:lineRule="auto"/>
        <w:rPr>
          <w:rFonts w:cs="Times New Roman"/>
          <w:szCs w:val="24"/>
        </w:rPr>
      </w:pPr>
      <w:bookmarkStart w:id="254" w:name="_Toc134622089"/>
    </w:p>
    <w:p w14:paraId="70E0DE83" w14:textId="4C2BD409" w:rsidR="00951FA4" w:rsidRPr="00F50C10" w:rsidRDefault="00951FA4" w:rsidP="00A654AE">
      <w:pPr>
        <w:pStyle w:val="Balk1"/>
        <w:numPr>
          <w:ilvl w:val="0"/>
          <w:numId w:val="180"/>
        </w:numPr>
        <w:spacing w:after="120" w:line="276" w:lineRule="auto"/>
        <w:rPr>
          <w:rFonts w:cs="Times New Roman"/>
          <w:szCs w:val="24"/>
        </w:rPr>
      </w:pPr>
      <w:r w:rsidRPr="00F50C10">
        <w:rPr>
          <w:rFonts w:cs="Times New Roman"/>
          <w:szCs w:val="24"/>
        </w:rPr>
        <w:t>ENERJİ VERİMLİLİĞİ</w:t>
      </w:r>
      <w:bookmarkEnd w:id="254"/>
    </w:p>
    <w:p w14:paraId="7DC5495D" w14:textId="4B2B3AD6" w:rsidR="00951FA4" w:rsidRPr="00F50C10" w:rsidRDefault="00951FA4" w:rsidP="000B206D">
      <w:pPr>
        <w:spacing w:after="120" w:line="276" w:lineRule="auto"/>
        <w:rPr>
          <w:rFonts w:cs="Times New Roman"/>
          <w:bCs/>
          <w:szCs w:val="24"/>
          <w:lang w:val="tr-TR" w:bidi="tr-TR"/>
        </w:rPr>
      </w:pPr>
      <w:r w:rsidRPr="00F50C10">
        <w:rPr>
          <w:rFonts w:cs="Times New Roman"/>
          <w:b/>
          <w:bCs/>
          <w:szCs w:val="24"/>
        </w:rPr>
        <w:t xml:space="preserve">MET 5: </w:t>
      </w:r>
      <w:r w:rsidRPr="00F50C10">
        <w:rPr>
          <w:rFonts w:cs="Times New Roman"/>
          <w:bCs/>
          <w:szCs w:val="24"/>
          <w:lang w:val="tr-TR" w:bidi="tr-TR"/>
        </w:rPr>
        <w:t>Elektroliz prosesinde enerjiyi verimli kullanmak için, aşağıda verilen tekniklerin bir kombinasyonu kullan</w:t>
      </w:r>
      <w:r w:rsidR="004771C7" w:rsidRPr="00F50C10">
        <w:rPr>
          <w:rFonts w:cs="Times New Roman"/>
          <w:bCs/>
          <w:szCs w:val="24"/>
          <w:lang w:val="tr-TR" w:bidi="tr-TR"/>
        </w:rPr>
        <w:t>ılır</w:t>
      </w:r>
      <w:r w:rsidR="0031706A" w:rsidRPr="00F50C10">
        <w:rPr>
          <w:rFonts w:cs="Times New Roman"/>
          <w:bCs/>
          <w:szCs w:val="24"/>
          <w:lang w:val="tr-TR" w:bidi="tr-TR"/>
        </w:rPr>
        <w:t>.</w:t>
      </w:r>
    </w:p>
    <w:tbl>
      <w:tblPr>
        <w:tblW w:w="5000" w:type="pct"/>
        <w:tblCellMar>
          <w:left w:w="0" w:type="dxa"/>
          <w:right w:w="0" w:type="dxa"/>
        </w:tblCellMar>
        <w:tblLook w:val="01E0" w:firstRow="1" w:lastRow="1" w:firstColumn="1" w:lastColumn="1" w:noHBand="0" w:noVBand="0"/>
      </w:tblPr>
      <w:tblGrid>
        <w:gridCol w:w="340"/>
        <w:gridCol w:w="1793"/>
        <w:gridCol w:w="4546"/>
        <w:gridCol w:w="2629"/>
      </w:tblGrid>
      <w:tr w:rsidR="00951FA4" w:rsidRPr="00F50C10" w14:paraId="78624D2C" w14:textId="77777777" w:rsidTr="00116C54">
        <w:trPr>
          <w:trHeight w:val="21"/>
          <w:tblHeader/>
        </w:trPr>
        <w:tc>
          <w:tcPr>
            <w:tcW w:w="183" w:type="pct"/>
            <w:tcBorders>
              <w:top w:val="single" w:sz="5" w:space="0" w:color="000000"/>
              <w:left w:val="single" w:sz="5" w:space="0" w:color="000000"/>
              <w:bottom w:val="single" w:sz="5" w:space="0" w:color="000000"/>
              <w:right w:val="single" w:sz="5" w:space="0" w:color="000000"/>
            </w:tcBorders>
            <w:vAlign w:val="center"/>
          </w:tcPr>
          <w:p w14:paraId="149C65B4" w14:textId="77777777" w:rsidR="00951FA4" w:rsidRPr="00F50C10" w:rsidRDefault="00951FA4" w:rsidP="000B206D">
            <w:pPr>
              <w:spacing w:line="276" w:lineRule="auto"/>
              <w:ind w:left="72" w:right="72"/>
              <w:jc w:val="center"/>
              <w:rPr>
                <w:rFonts w:cs="Times New Roman"/>
                <w:szCs w:val="24"/>
                <w:lang w:val="tr-TR"/>
              </w:rPr>
            </w:pPr>
          </w:p>
        </w:tc>
        <w:tc>
          <w:tcPr>
            <w:tcW w:w="963" w:type="pct"/>
            <w:tcBorders>
              <w:top w:val="single" w:sz="5" w:space="0" w:color="000000"/>
              <w:left w:val="single" w:sz="5" w:space="0" w:color="000000"/>
              <w:bottom w:val="single" w:sz="5" w:space="0" w:color="000000"/>
              <w:right w:val="single" w:sz="5" w:space="0" w:color="000000"/>
            </w:tcBorders>
            <w:vAlign w:val="center"/>
          </w:tcPr>
          <w:p w14:paraId="4EF67A0A"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Teknik</w:t>
            </w:r>
          </w:p>
        </w:tc>
        <w:tc>
          <w:tcPr>
            <w:tcW w:w="2442" w:type="pct"/>
            <w:tcBorders>
              <w:top w:val="single" w:sz="5" w:space="0" w:color="000000"/>
              <w:left w:val="single" w:sz="5" w:space="0" w:color="000000"/>
              <w:bottom w:val="single" w:sz="5" w:space="0" w:color="000000"/>
              <w:right w:val="single" w:sz="5" w:space="0" w:color="000000"/>
            </w:tcBorders>
            <w:vAlign w:val="center"/>
          </w:tcPr>
          <w:p w14:paraId="60B4AEB1"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Açıklama</w:t>
            </w:r>
          </w:p>
        </w:tc>
        <w:tc>
          <w:tcPr>
            <w:tcW w:w="1412" w:type="pct"/>
            <w:tcBorders>
              <w:top w:val="single" w:sz="5" w:space="0" w:color="000000"/>
              <w:left w:val="single" w:sz="5" w:space="0" w:color="000000"/>
              <w:bottom w:val="single" w:sz="5" w:space="0" w:color="000000"/>
              <w:right w:val="single" w:sz="5" w:space="0" w:color="000000"/>
            </w:tcBorders>
            <w:vAlign w:val="center"/>
          </w:tcPr>
          <w:p w14:paraId="0E9EAD12"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Uygulanabilirlik</w:t>
            </w:r>
          </w:p>
        </w:tc>
      </w:tr>
      <w:tr w:rsidR="00951FA4" w:rsidRPr="00F50C10" w14:paraId="34615B1F" w14:textId="77777777" w:rsidTr="00116C54">
        <w:trPr>
          <w:trHeight w:val="21"/>
        </w:trPr>
        <w:tc>
          <w:tcPr>
            <w:tcW w:w="183" w:type="pct"/>
            <w:tcBorders>
              <w:top w:val="single" w:sz="5" w:space="0" w:color="000000"/>
              <w:left w:val="single" w:sz="5" w:space="0" w:color="000000"/>
              <w:bottom w:val="single" w:sz="5" w:space="0" w:color="000000"/>
              <w:right w:val="single" w:sz="5" w:space="0" w:color="000000"/>
            </w:tcBorders>
            <w:vAlign w:val="center"/>
          </w:tcPr>
          <w:p w14:paraId="6E3795AE" w14:textId="77777777" w:rsidR="00951FA4" w:rsidRPr="00F50C10" w:rsidRDefault="00951FA4" w:rsidP="000B206D">
            <w:pPr>
              <w:pStyle w:val="TableParagraph"/>
              <w:spacing w:line="276" w:lineRule="auto"/>
              <w:ind w:left="72" w:right="72"/>
              <w:jc w:val="center"/>
              <w:rPr>
                <w:szCs w:val="24"/>
              </w:rPr>
            </w:pPr>
            <w:r w:rsidRPr="00F50C10">
              <w:rPr>
                <w:szCs w:val="24"/>
                <w:lang w:bidi="tr-TR"/>
              </w:rPr>
              <w:t>a</w:t>
            </w:r>
          </w:p>
        </w:tc>
        <w:tc>
          <w:tcPr>
            <w:tcW w:w="963" w:type="pct"/>
            <w:tcBorders>
              <w:top w:val="single" w:sz="5" w:space="0" w:color="000000"/>
              <w:left w:val="single" w:sz="5" w:space="0" w:color="000000"/>
              <w:bottom w:val="single" w:sz="5" w:space="0" w:color="000000"/>
              <w:right w:val="single" w:sz="5" w:space="0" w:color="000000"/>
            </w:tcBorders>
            <w:vAlign w:val="center"/>
          </w:tcPr>
          <w:p w14:paraId="6576286C" w14:textId="77777777" w:rsidR="00951FA4" w:rsidRPr="00F50C10" w:rsidRDefault="00951FA4" w:rsidP="000B206D">
            <w:pPr>
              <w:pStyle w:val="TableParagraph"/>
              <w:spacing w:line="276" w:lineRule="auto"/>
              <w:ind w:left="72" w:right="72"/>
              <w:rPr>
                <w:szCs w:val="24"/>
              </w:rPr>
            </w:pPr>
            <w:r w:rsidRPr="00F50C10">
              <w:rPr>
                <w:szCs w:val="24"/>
                <w:lang w:bidi="tr-TR"/>
              </w:rPr>
              <w:t>Yüksek performanslı membranlar</w:t>
            </w:r>
          </w:p>
        </w:tc>
        <w:tc>
          <w:tcPr>
            <w:tcW w:w="2442" w:type="pct"/>
            <w:tcBorders>
              <w:top w:val="single" w:sz="5" w:space="0" w:color="000000"/>
              <w:left w:val="single" w:sz="5" w:space="0" w:color="000000"/>
              <w:bottom w:val="single" w:sz="5" w:space="0" w:color="000000"/>
              <w:right w:val="single" w:sz="5" w:space="0" w:color="000000"/>
            </w:tcBorders>
            <w:vAlign w:val="center"/>
          </w:tcPr>
          <w:p w14:paraId="00F9ACF3" w14:textId="77777777" w:rsidR="00951FA4" w:rsidRPr="00F50C10" w:rsidRDefault="00951FA4" w:rsidP="000B206D">
            <w:pPr>
              <w:pStyle w:val="TableParagraph"/>
              <w:spacing w:line="276" w:lineRule="auto"/>
              <w:ind w:left="72" w:right="72"/>
              <w:jc w:val="both"/>
              <w:rPr>
                <w:szCs w:val="24"/>
              </w:rPr>
            </w:pPr>
            <w:r w:rsidRPr="00F50C10">
              <w:rPr>
                <w:szCs w:val="24"/>
                <w:lang w:bidi="tr-TR"/>
              </w:rPr>
              <w:t>Yüksek performanslı membranlar, belirli çalışma koşulları altında mekanik ve kimyasal kararlılık sağlar, az voltaj düşüşü ve yüksek akım verimliliği gösterirler.</w:t>
            </w:r>
          </w:p>
        </w:tc>
        <w:tc>
          <w:tcPr>
            <w:tcW w:w="1412" w:type="pct"/>
            <w:tcBorders>
              <w:top w:val="single" w:sz="5" w:space="0" w:color="000000"/>
              <w:left w:val="single" w:sz="5" w:space="0" w:color="000000"/>
              <w:bottom w:val="single" w:sz="5" w:space="0" w:color="000000"/>
              <w:right w:val="single" w:sz="5" w:space="0" w:color="000000"/>
            </w:tcBorders>
            <w:vAlign w:val="center"/>
          </w:tcPr>
          <w:p w14:paraId="056CA778" w14:textId="506F63B1" w:rsidR="00951FA4" w:rsidRPr="00F50C10" w:rsidRDefault="00951FA4" w:rsidP="000B206D">
            <w:pPr>
              <w:pStyle w:val="TableParagraph"/>
              <w:spacing w:line="276" w:lineRule="auto"/>
              <w:ind w:left="72" w:right="72"/>
              <w:jc w:val="both"/>
              <w:rPr>
                <w:szCs w:val="24"/>
              </w:rPr>
            </w:pPr>
            <w:r w:rsidRPr="00F50C10">
              <w:rPr>
                <w:szCs w:val="24"/>
                <w:lang w:bidi="tr-TR"/>
              </w:rPr>
              <w:t xml:space="preserve">Membran hücreli tesislere, </w:t>
            </w:r>
            <w:r w:rsidR="00B95438" w:rsidRPr="00F50C10">
              <w:rPr>
                <w:szCs w:val="24"/>
                <w:lang w:bidi="tr-TR"/>
              </w:rPr>
              <w:t xml:space="preserve">kullanım ömrü </w:t>
            </w:r>
            <w:r w:rsidRPr="00F50C10">
              <w:rPr>
                <w:szCs w:val="24"/>
                <w:lang w:bidi="tr-TR"/>
              </w:rPr>
              <w:t xml:space="preserve"> sonunda membranlar yenilenirken uygulanabilir.</w:t>
            </w:r>
          </w:p>
        </w:tc>
      </w:tr>
      <w:tr w:rsidR="00951FA4" w:rsidRPr="00F50C10" w14:paraId="29DF6EF0" w14:textId="77777777" w:rsidTr="00116C54">
        <w:trPr>
          <w:trHeight w:val="21"/>
        </w:trPr>
        <w:tc>
          <w:tcPr>
            <w:tcW w:w="183" w:type="pct"/>
            <w:tcBorders>
              <w:top w:val="single" w:sz="5" w:space="0" w:color="000000"/>
              <w:left w:val="single" w:sz="5" w:space="0" w:color="000000"/>
              <w:bottom w:val="single" w:sz="5" w:space="0" w:color="000000"/>
              <w:right w:val="single" w:sz="5" w:space="0" w:color="000000"/>
            </w:tcBorders>
            <w:vAlign w:val="center"/>
          </w:tcPr>
          <w:p w14:paraId="15F17FE6" w14:textId="77777777" w:rsidR="00951FA4" w:rsidRPr="00F50C10" w:rsidRDefault="00951FA4" w:rsidP="000B206D">
            <w:pPr>
              <w:pStyle w:val="TableParagraph"/>
              <w:spacing w:line="276" w:lineRule="auto"/>
              <w:ind w:left="72" w:right="72"/>
              <w:jc w:val="center"/>
              <w:rPr>
                <w:szCs w:val="24"/>
              </w:rPr>
            </w:pPr>
            <w:r w:rsidRPr="00F50C10">
              <w:rPr>
                <w:szCs w:val="24"/>
                <w:lang w:bidi="tr-TR"/>
              </w:rPr>
              <w:t>b</w:t>
            </w:r>
          </w:p>
        </w:tc>
        <w:tc>
          <w:tcPr>
            <w:tcW w:w="963" w:type="pct"/>
            <w:tcBorders>
              <w:top w:val="single" w:sz="5" w:space="0" w:color="000000"/>
              <w:left w:val="single" w:sz="5" w:space="0" w:color="000000"/>
              <w:bottom w:val="single" w:sz="5" w:space="0" w:color="000000"/>
              <w:right w:val="single" w:sz="5" w:space="0" w:color="000000"/>
            </w:tcBorders>
            <w:vAlign w:val="center"/>
          </w:tcPr>
          <w:p w14:paraId="6CC4679E" w14:textId="77777777" w:rsidR="00951FA4" w:rsidRPr="00F50C10" w:rsidRDefault="00951FA4" w:rsidP="000B206D">
            <w:pPr>
              <w:pStyle w:val="TableParagraph"/>
              <w:spacing w:line="276" w:lineRule="auto"/>
              <w:ind w:left="72" w:right="72"/>
              <w:rPr>
                <w:szCs w:val="24"/>
              </w:rPr>
            </w:pPr>
            <w:r w:rsidRPr="00F50C10">
              <w:rPr>
                <w:szCs w:val="24"/>
                <w:lang w:bidi="tr-TR"/>
              </w:rPr>
              <w:t>Asbestsiz diyaframlar</w:t>
            </w:r>
          </w:p>
        </w:tc>
        <w:tc>
          <w:tcPr>
            <w:tcW w:w="2442" w:type="pct"/>
            <w:tcBorders>
              <w:top w:val="single" w:sz="5" w:space="0" w:color="000000"/>
              <w:left w:val="single" w:sz="5" w:space="0" w:color="000000"/>
              <w:bottom w:val="single" w:sz="5" w:space="0" w:color="000000"/>
              <w:right w:val="single" w:sz="5" w:space="0" w:color="000000"/>
            </w:tcBorders>
            <w:vAlign w:val="center"/>
          </w:tcPr>
          <w:p w14:paraId="45C7FE6A" w14:textId="77777777" w:rsidR="00951FA4" w:rsidRPr="00F50C10" w:rsidRDefault="00951FA4" w:rsidP="000B206D">
            <w:pPr>
              <w:pStyle w:val="TableParagraph"/>
              <w:spacing w:line="276" w:lineRule="auto"/>
              <w:ind w:left="72" w:right="72"/>
              <w:jc w:val="both"/>
              <w:rPr>
                <w:szCs w:val="24"/>
              </w:rPr>
            </w:pPr>
            <w:r w:rsidRPr="00F50C10">
              <w:rPr>
                <w:szCs w:val="24"/>
                <w:lang w:bidi="tr-TR"/>
              </w:rPr>
              <w:t>Asbestsiz diyaframlar, bir florokarbon polimerinden ve zirkonyum dioksit gibi dolgu maddelerinden oluşur. Bu diyaframlar, asbestli diyaframlara göre daha düşük direnç aşırı gerilimine sahiptir.</w:t>
            </w:r>
          </w:p>
        </w:tc>
        <w:tc>
          <w:tcPr>
            <w:tcW w:w="1412" w:type="pct"/>
            <w:tcBorders>
              <w:top w:val="single" w:sz="5" w:space="0" w:color="000000"/>
              <w:left w:val="single" w:sz="5" w:space="0" w:color="000000"/>
              <w:bottom w:val="single" w:sz="5" w:space="0" w:color="000000"/>
              <w:right w:val="single" w:sz="5" w:space="0" w:color="000000"/>
            </w:tcBorders>
            <w:vAlign w:val="center"/>
          </w:tcPr>
          <w:p w14:paraId="2477FADB" w14:textId="77777777" w:rsidR="00951FA4" w:rsidRPr="00F50C10" w:rsidRDefault="00951FA4" w:rsidP="000B206D">
            <w:pPr>
              <w:pStyle w:val="TableParagraph"/>
              <w:spacing w:line="276" w:lineRule="auto"/>
              <w:ind w:left="72" w:right="72"/>
              <w:jc w:val="both"/>
              <w:rPr>
                <w:szCs w:val="24"/>
              </w:rPr>
            </w:pPr>
            <w:r w:rsidRPr="00F50C10">
              <w:rPr>
                <w:szCs w:val="24"/>
                <w:lang w:bidi="tr-TR"/>
              </w:rPr>
              <w:t>Genel olarak uygulanabilir.</w:t>
            </w:r>
          </w:p>
        </w:tc>
      </w:tr>
      <w:tr w:rsidR="00951FA4" w:rsidRPr="00F50C10" w14:paraId="4D95837E" w14:textId="77777777" w:rsidTr="00116C54">
        <w:trPr>
          <w:trHeight w:val="21"/>
        </w:trPr>
        <w:tc>
          <w:tcPr>
            <w:tcW w:w="183" w:type="pct"/>
            <w:tcBorders>
              <w:top w:val="single" w:sz="5" w:space="0" w:color="000000"/>
              <w:left w:val="single" w:sz="5" w:space="0" w:color="000000"/>
              <w:bottom w:val="single" w:sz="5" w:space="0" w:color="000000"/>
              <w:right w:val="single" w:sz="5" w:space="0" w:color="000000"/>
            </w:tcBorders>
            <w:vAlign w:val="center"/>
          </w:tcPr>
          <w:p w14:paraId="7BAFBCAF" w14:textId="77777777" w:rsidR="00951FA4" w:rsidRPr="00F50C10" w:rsidRDefault="00951FA4" w:rsidP="000B206D">
            <w:pPr>
              <w:pStyle w:val="TableParagraph"/>
              <w:spacing w:line="276" w:lineRule="auto"/>
              <w:ind w:left="72" w:right="72"/>
              <w:jc w:val="center"/>
              <w:rPr>
                <w:szCs w:val="24"/>
              </w:rPr>
            </w:pPr>
            <w:r w:rsidRPr="00F50C10">
              <w:rPr>
                <w:szCs w:val="24"/>
                <w:lang w:bidi="tr-TR"/>
              </w:rPr>
              <w:t>c</w:t>
            </w:r>
          </w:p>
        </w:tc>
        <w:tc>
          <w:tcPr>
            <w:tcW w:w="963" w:type="pct"/>
            <w:tcBorders>
              <w:top w:val="single" w:sz="5" w:space="0" w:color="000000"/>
              <w:left w:val="single" w:sz="5" w:space="0" w:color="000000"/>
              <w:bottom w:val="single" w:sz="5" w:space="0" w:color="000000"/>
              <w:right w:val="single" w:sz="5" w:space="0" w:color="000000"/>
            </w:tcBorders>
            <w:vAlign w:val="center"/>
          </w:tcPr>
          <w:p w14:paraId="1FE67B10" w14:textId="77777777" w:rsidR="00951FA4" w:rsidRPr="00F50C10" w:rsidRDefault="00951FA4" w:rsidP="000B206D">
            <w:pPr>
              <w:pStyle w:val="TableParagraph"/>
              <w:spacing w:line="276" w:lineRule="auto"/>
              <w:ind w:left="72" w:right="72"/>
              <w:rPr>
                <w:szCs w:val="24"/>
              </w:rPr>
            </w:pPr>
            <w:r w:rsidRPr="00F50C10">
              <w:rPr>
                <w:szCs w:val="24"/>
                <w:lang w:bidi="tr-TR"/>
              </w:rPr>
              <w:t>Yüksek performanslı elektrotlar ve kaplamalar</w:t>
            </w:r>
          </w:p>
        </w:tc>
        <w:tc>
          <w:tcPr>
            <w:tcW w:w="2442" w:type="pct"/>
            <w:tcBorders>
              <w:top w:val="single" w:sz="5" w:space="0" w:color="000000"/>
              <w:left w:val="single" w:sz="5" w:space="0" w:color="000000"/>
              <w:bottom w:val="single" w:sz="5" w:space="0" w:color="000000"/>
              <w:right w:val="single" w:sz="5" w:space="0" w:color="000000"/>
            </w:tcBorders>
            <w:vAlign w:val="center"/>
          </w:tcPr>
          <w:p w14:paraId="680BE775" w14:textId="77777777" w:rsidR="00951FA4" w:rsidRPr="00F50C10" w:rsidRDefault="00951FA4" w:rsidP="000B206D">
            <w:pPr>
              <w:pStyle w:val="TableParagraph"/>
              <w:spacing w:line="276" w:lineRule="auto"/>
              <w:ind w:left="72" w:right="72"/>
              <w:jc w:val="both"/>
              <w:rPr>
                <w:szCs w:val="24"/>
              </w:rPr>
            </w:pPr>
            <w:r w:rsidRPr="00F50C10">
              <w:rPr>
                <w:szCs w:val="24"/>
                <w:lang w:bidi="tr-TR"/>
              </w:rPr>
              <w:t>İyileştirilmiş gaz salımlı (düşük gaz kabarcığı aşırı gerilimi) ve düşük elektrot aşırı gerilimli elektrotlar ve kaplamalar.</w:t>
            </w:r>
          </w:p>
        </w:tc>
        <w:tc>
          <w:tcPr>
            <w:tcW w:w="1412" w:type="pct"/>
            <w:tcBorders>
              <w:top w:val="single" w:sz="5" w:space="0" w:color="000000"/>
              <w:left w:val="single" w:sz="5" w:space="0" w:color="000000"/>
              <w:bottom w:val="single" w:sz="5" w:space="0" w:color="000000"/>
              <w:right w:val="single" w:sz="5" w:space="0" w:color="000000"/>
            </w:tcBorders>
            <w:vAlign w:val="center"/>
          </w:tcPr>
          <w:p w14:paraId="2BBB5AC2" w14:textId="77777777" w:rsidR="00951FA4" w:rsidRPr="00F50C10" w:rsidRDefault="00951FA4" w:rsidP="000B206D">
            <w:pPr>
              <w:pStyle w:val="TableParagraph"/>
              <w:spacing w:line="276" w:lineRule="auto"/>
              <w:ind w:left="72" w:right="72"/>
              <w:jc w:val="both"/>
              <w:rPr>
                <w:szCs w:val="24"/>
              </w:rPr>
            </w:pPr>
            <w:r w:rsidRPr="00F50C10">
              <w:rPr>
                <w:szCs w:val="24"/>
                <w:lang w:bidi="tr-TR"/>
              </w:rPr>
              <w:t>Kullanım ömrü sonunda kaplamalar yenilenirken uygulanabilir.</w:t>
            </w:r>
          </w:p>
        </w:tc>
      </w:tr>
      <w:tr w:rsidR="00951FA4" w:rsidRPr="00F50C10" w14:paraId="6C75DB60" w14:textId="77777777" w:rsidTr="00116C54">
        <w:trPr>
          <w:trHeight w:val="21"/>
        </w:trPr>
        <w:tc>
          <w:tcPr>
            <w:tcW w:w="183" w:type="pct"/>
            <w:tcBorders>
              <w:top w:val="single" w:sz="5" w:space="0" w:color="000000"/>
              <w:left w:val="single" w:sz="5" w:space="0" w:color="000000"/>
              <w:bottom w:val="single" w:sz="5" w:space="0" w:color="000000"/>
              <w:right w:val="single" w:sz="5" w:space="0" w:color="000000"/>
            </w:tcBorders>
            <w:vAlign w:val="center"/>
          </w:tcPr>
          <w:p w14:paraId="7BE24965" w14:textId="77777777" w:rsidR="00951FA4" w:rsidRPr="00F50C10" w:rsidRDefault="00951FA4" w:rsidP="000B206D">
            <w:pPr>
              <w:pStyle w:val="TableParagraph"/>
              <w:spacing w:line="276" w:lineRule="auto"/>
              <w:ind w:left="72" w:right="72"/>
              <w:jc w:val="center"/>
              <w:rPr>
                <w:szCs w:val="24"/>
              </w:rPr>
            </w:pPr>
            <w:r w:rsidRPr="00F50C10">
              <w:rPr>
                <w:szCs w:val="24"/>
                <w:lang w:bidi="tr-TR"/>
              </w:rPr>
              <w:t>d</w:t>
            </w:r>
          </w:p>
        </w:tc>
        <w:tc>
          <w:tcPr>
            <w:tcW w:w="963" w:type="pct"/>
            <w:tcBorders>
              <w:top w:val="single" w:sz="5" w:space="0" w:color="000000"/>
              <w:left w:val="single" w:sz="5" w:space="0" w:color="000000"/>
              <w:bottom w:val="single" w:sz="5" w:space="0" w:color="000000"/>
              <w:right w:val="single" w:sz="5" w:space="0" w:color="000000"/>
            </w:tcBorders>
            <w:vAlign w:val="center"/>
          </w:tcPr>
          <w:p w14:paraId="3326929D" w14:textId="77777777" w:rsidR="00951FA4" w:rsidRPr="00F50C10" w:rsidRDefault="00951FA4" w:rsidP="000B206D">
            <w:pPr>
              <w:pStyle w:val="TableParagraph"/>
              <w:spacing w:line="276" w:lineRule="auto"/>
              <w:ind w:left="72" w:right="72"/>
              <w:rPr>
                <w:szCs w:val="24"/>
              </w:rPr>
            </w:pPr>
            <w:r w:rsidRPr="00F50C10">
              <w:rPr>
                <w:szCs w:val="24"/>
                <w:lang w:bidi="tr-TR"/>
              </w:rPr>
              <w:t>Yüksek saflıkta tuzlu su</w:t>
            </w:r>
          </w:p>
        </w:tc>
        <w:tc>
          <w:tcPr>
            <w:tcW w:w="2442" w:type="pct"/>
            <w:tcBorders>
              <w:top w:val="single" w:sz="5" w:space="0" w:color="000000"/>
              <w:left w:val="single" w:sz="5" w:space="0" w:color="000000"/>
              <w:bottom w:val="single" w:sz="5" w:space="0" w:color="000000"/>
              <w:right w:val="single" w:sz="5" w:space="0" w:color="000000"/>
            </w:tcBorders>
            <w:vAlign w:val="center"/>
          </w:tcPr>
          <w:p w14:paraId="69D372AA" w14:textId="6B206FE3" w:rsidR="00951FA4" w:rsidRPr="00F50C10" w:rsidRDefault="00951FA4" w:rsidP="000B206D">
            <w:pPr>
              <w:pStyle w:val="TableParagraph"/>
              <w:spacing w:line="276" w:lineRule="auto"/>
              <w:ind w:left="72" w:right="72"/>
              <w:jc w:val="both"/>
              <w:rPr>
                <w:szCs w:val="24"/>
              </w:rPr>
            </w:pPr>
            <w:r w:rsidRPr="00F50C10">
              <w:rPr>
                <w:szCs w:val="24"/>
                <w:lang w:bidi="tr-TR"/>
              </w:rPr>
              <w:t>Tuzlu su, elektrotların ve diyaframların/membranların kontaminasyonunu en aza indirmek için yeterince saflaştırılır; aksi takdirde enerji tüketimi yükselir.</w:t>
            </w:r>
          </w:p>
        </w:tc>
        <w:tc>
          <w:tcPr>
            <w:tcW w:w="1412" w:type="pct"/>
            <w:tcBorders>
              <w:top w:val="single" w:sz="5" w:space="0" w:color="000000"/>
              <w:left w:val="single" w:sz="5" w:space="0" w:color="000000"/>
              <w:bottom w:val="single" w:sz="5" w:space="0" w:color="000000"/>
              <w:right w:val="single" w:sz="5" w:space="0" w:color="000000"/>
            </w:tcBorders>
            <w:vAlign w:val="center"/>
          </w:tcPr>
          <w:p w14:paraId="6FE2D798" w14:textId="77777777" w:rsidR="00951FA4" w:rsidRPr="00F50C10" w:rsidRDefault="00951FA4" w:rsidP="000B206D">
            <w:pPr>
              <w:pStyle w:val="TableParagraph"/>
              <w:spacing w:line="276" w:lineRule="auto"/>
              <w:ind w:left="72" w:right="72"/>
              <w:jc w:val="both"/>
              <w:rPr>
                <w:szCs w:val="24"/>
              </w:rPr>
            </w:pPr>
            <w:r w:rsidRPr="00F50C10">
              <w:rPr>
                <w:szCs w:val="24"/>
                <w:lang w:bidi="tr-TR"/>
              </w:rPr>
              <w:t>Genel olarak uygulanabilir.</w:t>
            </w:r>
          </w:p>
        </w:tc>
      </w:tr>
    </w:tbl>
    <w:p w14:paraId="006DE724" w14:textId="47F9D791" w:rsidR="00951FA4" w:rsidRPr="00F50C10" w:rsidRDefault="00951FA4" w:rsidP="000B206D">
      <w:pPr>
        <w:spacing w:after="120" w:line="276" w:lineRule="auto"/>
        <w:rPr>
          <w:rFonts w:cs="Times New Roman"/>
          <w:b/>
          <w:bCs/>
          <w:szCs w:val="24"/>
        </w:rPr>
      </w:pPr>
      <w:r w:rsidRPr="00F50C10">
        <w:rPr>
          <w:rFonts w:cs="Times New Roman"/>
          <w:b/>
          <w:bCs/>
          <w:szCs w:val="24"/>
        </w:rPr>
        <w:t>MET 6</w:t>
      </w:r>
      <w:r w:rsidR="004771C7" w:rsidRPr="00F50C10">
        <w:rPr>
          <w:rFonts w:cs="Times New Roman"/>
          <w:b/>
          <w:bCs/>
          <w:szCs w:val="24"/>
        </w:rPr>
        <w:t>:</w:t>
      </w:r>
      <w:r w:rsidRPr="00F50C10">
        <w:rPr>
          <w:rFonts w:cs="Times New Roman"/>
          <w:b/>
          <w:bCs/>
          <w:szCs w:val="24"/>
        </w:rPr>
        <w:t xml:space="preserve"> </w:t>
      </w:r>
      <w:r w:rsidRPr="00F50C10">
        <w:rPr>
          <w:rFonts w:cs="Times New Roman"/>
          <w:bCs/>
          <w:szCs w:val="24"/>
          <w:lang w:bidi="tr-TR"/>
        </w:rPr>
        <w:t xml:space="preserve">Enerjiyi verimli kullanmak için, elektrolizde ortak ürün olarak üretilen hidrojenin kimyasal reaktif veya yakıt olarak kullanımı en üst düzeye </w:t>
      </w:r>
      <w:r w:rsidR="00AA596A" w:rsidRPr="00F50C10">
        <w:rPr>
          <w:rFonts w:cs="Times New Roman"/>
          <w:bCs/>
          <w:szCs w:val="24"/>
          <w:lang w:bidi="tr-TR"/>
        </w:rPr>
        <w:t>çıkarılır</w:t>
      </w:r>
      <w:r w:rsidRPr="00F50C10">
        <w:rPr>
          <w:rFonts w:cs="Times New Roman"/>
          <w:bCs/>
          <w:szCs w:val="24"/>
          <w:lang w:bidi="tr-TR"/>
        </w:rPr>
        <w:t>.</w:t>
      </w:r>
    </w:p>
    <w:p w14:paraId="74A6DE69" w14:textId="77777777" w:rsidR="00951FA4" w:rsidRPr="00F50C10" w:rsidRDefault="00951FA4" w:rsidP="000B206D">
      <w:pPr>
        <w:spacing w:after="120" w:line="276" w:lineRule="auto"/>
        <w:rPr>
          <w:rFonts w:cs="Times New Roman"/>
          <w:szCs w:val="24"/>
        </w:rPr>
      </w:pPr>
      <w:r w:rsidRPr="00F50C10">
        <w:rPr>
          <w:rFonts w:cs="Times New Roman"/>
          <w:szCs w:val="24"/>
        </w:rPr>
        <w:t>Hidrojen, kimyasal reaksiyonlarda (örneğin amonyak, hidrojen peroksit, hidroklorik asit ve metanol üretimi; organik bileşiklerin indirgenmesi; petrolün hidrodesülfürizasyonu; yağların ve greslerin hidrojenasyonu; poliolefin üretiminde zincir sonlandırma) veya yanma prosesinde buhar ve/veya elektrik üretmek veya bir fırını ısıtmak için yakıt olarak kullanılabilir. Hidrojenin kullanım düzeyi çeşitli faktörlere bağlıdır (örneğin sahada reaktif olarak hidrojen talebi, sahadaki buhar talebi, potansiyel kullanıcılara uzaklık).</w:t>
      </w:r>
    </w:p>
    <w:p w14:paraId="40AF4DC8" w14:textId="77777777" w:rsidR="00951FA4" w:rsidRPr="00F50C10" w:rsidRDefault="00951FA4" w:rsidP="00A654AE">
      <w:pPr>
        <w:pStyle w:val="Balk1"/>
        <w:numPr>
          <w:ilvl w:val="0"/>
          <w:numId w:val="180"/>
        </w:numPr>
        <w:spacing w:after="120" w:line="276" w:lineRule="auto"/>
        <w:rPr>
          <w:rFonts w:cs="Times New Roman"/>
          <w:szCs w:val="24"/>
        </w:rPr>
      </w:pPr>
      <w:bookmarkStart w:id="255" w:name="_Toc134622090"/>
      <w:r w:rsidRPr="00F50C10">
        <w:rPr>
          <w:rFonts w:cs="Times New Roman"/>
          <w:szCs w:val="24"/>
        </w:rPr>
        <w:t>EMİSYONLARIN İZLENMESİ</w:t>
      </w:r>
      <w:bookmarkEnd w:id="255"/>
    </w:p>
    <w:p w14:paraId="2047B59E" w14:textId="27CDBF50" w:rsidR="00951FA4" w:rsidRPr="00F50C10" w:rsidRDefault="00951FA4" w:rsidP="000B206D">
      <w:pPr>
        <w:spacing w:after="120" w:line="276" w:lineRule="auto"/>
        <w:rPr>
          <w:rFonts w:cs="Times New Roman"/>
          <w:szCs w:val="24"/>
          <w:lang w:bidi="tr-TR"/>
        </w:rPr>
      </w:pPr>
      <w:r w:rsidRPr="00F50C10">
        <w:rPr>
          <w:rFonts w:cs="Times New Roman"/>
          <w:b/>
          <w:bCs/>
          <w:szCs w:val="24"/>
          <w:lang w:bidi="tr-TR"/>
        </w:rPr>
        <w:t xml:space="preserve">MET 7: </w:t>
      </w:r>
      <w:r w:rsidR="00AA596A" w:rsidRPr="00F50C10">
        <w:rPr>
          <w:rFonts w:cs="Times New Roman"/>
          <w:szCs w:val="24"/>
          <w:lang w:bidi="tr-TR"/>
        </w:rPr>
        <w:t xml:space="preserve">TS </w:t>
      </w:r>
      <w:r w:rsidRPr="00F50C10">
        <w:rPr>
          <w:rFonts w:cs="Times New Roman"/>
          <w:szCs w:val="24"/>
          <w:lang w:bidi="tr-TR"/>
        </w:rPr>
        <w:t xml:space="preserve">EN standartlarına uygun izleme tekniklerini kullanarak, hava ve su emisyonları aşağıda verilen asgari sıklıkta </w:t>
      </w:r>
      <w:r w:rsidR="00AA596A" w:rsidRPr="00F50C10">
        <w:rPr>
          <w:rFonts w:cs="Times New Roman"/>
          <w:szCs w:val="24"/>
          <w:lang w:bidi="tr-TR"/>
        </w:rPr>
        <w:t>izlenir</w:t>
      </w:r>
      <w:r w:rsidRPr="00F50C10">
        <w:rPr>
          <w:rFonts w:cs="Times New Roman"/>
          <w:szCs w:val="24"/>
          <w:lang w:bidi="tr-TR"/>
        </w:rPr>
        <w:t xml:space="preserve">. </w:t>
      </w:r>
      <w:r w:rsidR="00AA596A" w:rsidRPr="00F50C10">
        <w:rPr>
          <w:rFonts w:cs="Times New Roman"/>
          <w:szCs w:val="24"/>
          <w:lang w:bidi="tr-TR"/>
        </w:rPr>
        <w:t xml:space="preserve">TS </w:t>
      </w:r>
      <w:r w:rsidRPr="00F50C10">
        <w:rPr>
          <w:rFonts w:cs="Times New Roman"/>
          <w:szCs w:val="24"/>
          <w:lang w:bidi="tr-TR"/>
        </w:rPr>
        <w:t>EN standartları mevcut değils</w:t>
      </w:r>
      <w:r w:rsidR="00AA596A" w:rsidRPr="00F50C10">
        <w:rPr>
          <w:rFonts w:cs="Times New Roman"/>
          <w:szCs w:val="24"/>
          <w:lang w:bidi="tr-TR"/>
        </w:rPr>
        <w:t>e</w:t>
      </w:r>
      <w:r w:rsidRPr="00F50C10">
        <w:rPr>
          <w:rFonts w:cs="Times New Roman"/>
          <w:szCs w:val="24"/>
          <w:lang w:bidi="tr-TR"/>
        </w:rPr>
        <w:t xml:space="preserve">, eş değer bilimsel nitelikteki verilerin sunulmasını sağlayan ISO standartları veya ulusal ya da diğer uluslararası standartlar </w:t>
      </w:r>
      <w:r w:rsidR="00AA596A" w:rsidRPr="00F50C10">
        <w:rPr>
          <w:rFonts w:cs="Times New Roman"/>
          <w:szCs w:val="24"/>
          <w:lang w:bidi="tr-TR"/>
        </w:rPr>
        <w:t>kullanılır</w:t>
      </w:r>
      <w:r w:rsidRPr="00F50C10">
        <w:rPr>
          <w:rFonts w:cs="Times New Roman"/>
          <w:szCs w:val="24"/>
          <w:lang w:bidi="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8"/>
        <w:gridCol w:w="1387"/>
        <w:gridCol w:w="1110"/>
        <w:gridCol w:w="1849"/>
        <w:gridCol w:w="1573"/>
        <w:gridCol w:w="1110"/>
        <w:gridCol w:w="1363"/>
      </w:tblGrid>
      <w:tr w:rsidR="00951FA4" w:rsidRPr="00F50C10" w14:paraId="6D7C0D3C" w14:textId="77777777" w:rsidTr="00116C54">
        <w:trPr>
          <w:trHeight w:val="20"/>
          <w:tblHeader/>
        </w:trPr>
        <w:tc>
          <w:tcPr>
            <w:tcW w:w="493" w:type="pct"/>
            <w:vAlign w:val="center"/>
          </w:tcPr>
          <w:p w14:paraId="7A0F3E92" w14:textId="77777777" w:rsidR="00951FA4" w:rsidRPr="00F50C10" w:rsidRDefault="00951FA4" w:rsidP="000B206D">
            <w:pPr>
              <w:pStyle w:val="TableParagraph"/>
              <w:spacing w:line="276" w:lineRule="auto"/>
              <w:ind w:left="74" w:right="72"/>
              <w:jc w:val="center"/>
              <w:rPr>
                <w:szCs w:val="24"/>
              </w:rPr>
            </w:pPr>
            <w:r w:rsidRPr="00F50C10">
              <w:rPr>
                <w:b/>
                <w:szCs w:val="24"/>
                <w:lang w:bidi="tr-TR"/>
              </w:rPr>
              <w:t>Alıcı Ortam</w:t>
            </w:r>
          </w:p>
        </w:tc>
        <w:tc>
          <w:tcPr>
            <w:tcW w:w="745" w:type="pct"/>
            <w:vAlign w:val="center"/>
          </w:tcPr>
          <w:p w14:paraId="35E04E84" w14:textId="77777777" w:rsidR="00951FA4" w:rsidRPr="00F50C10" w:rsidRDefault="00951FA4" w:rsidP="000B206D">
            <w:pPr>
              <w:pStyle w:val="TableParagraph"/>
              <w:spacing w:line="276" w:lineRule="auto"/>
              <w:ind w:left="74" w:right="72"/>
              <w:jc w:val="center"/>
              <w:rPr>
                <w:szCs w:val="24"/>
              </w:rPr>
            </w:pPr>
            <w:r w:rsidRPr="00F50C10">
              <w:rPr>
                <w:b/>
                <w:bCs/>
                <w:szCs w:val="24"/>
              </w:rPr>
              <w:t>Madde(ler)</w:t>
            </w:r>
          </w:p>
        </w:tc>
        <w:tc>
          <w:tcPr>
            <w:tcW w:w="596" w:type="pct"/>
            <w:vAlign w:val="center"/>
          </w:tcPr>
          <w:p w14:paraId="7930F1F2" w14:textId="77777777" w:rsidR="00951FA4" w:rsidRPr="00F50C10" w:rsidRDefault="00951FA4" w:rsidP="000B206D">
            <w:pPr>
              <w:pStyle w:val="TableParagraph"/>
              <w:spacing w:line="276" w:lineRule="auto"/>
              <w:ind w:left="74" w:right="72"/>
              <w:jc w:val="center"/>
              <w:rPr>
                <w:szCs w:val="24"/>
              </w:rPr>
            </w:pPr>
            <w:r w:rsidRPr="00F50C10">
              <w:rPr>
                <w:b/>
                <w:szCs w:val="24"/>
                <w:lang w:bidi="tr-TR"/>
              </w:rPr>
              <w:t>Numune alma noktası</w:t>
            </w:r>
          </w:p>
        </w:tc>
        <w:tc>
          <w:tcPr>
            <w:tcW w:w="993" w:type="pct"/>
            <w:vAlign w:val="center"/>
          </w:tcPr>
          <w:p w14:paraId="65BEC281" w14:textId="77777777" w:rsidR="00951FA4" w:rsidRPr="00F50C10" w:rsidRDefault="00951FA4" w:rsidP="000B206D">
            <w:pPr>
              <w:pStyle w:val="TableParagraph"/>
              <w:spacing w:line="276" w:lineRule="auto"/>
              <w:ind w:left="74" w:right="72"/>
              <w:jc w:val="center"/>
              <w:rPr>
                <w:szCs w:val="24"/>
              </w:rPr>
            </w:pPr>
            <w:r w:rsidRPr="00F50C10">
              <w:rPr>
                <w:b/>
                <w:szCs w:val="24"/>
                <w:lang w:bidi="tr-TR"/>
              </w:rPr>
              <w:t>Yöntem</w:t>
            </w:r>
          </w:p>
        </w:tc>
        <w:tc>
          <w:tcPr>
            <w:tcW w:w="845" w:type="pct"/>
            <w:vAlign w:val="center"/>
          </w:tcPr>
          <w:p w14:paraId="6238B6C9" w14:textId="77777777" w:rsidR="00951FA4" w:rsidRPr="00F50C10" w:rsidRDefault="00951FA4" w:rsidP="000B206D">
            <w:pPr>
              <w:pStyle w:val="TableParagraph"/>
              <w:spacing w:line="276" w:lineRule="auto"/>
              <w:ind w:left="74" w:right="72"/>
              <w:jc w:val="center"/>
              <w:rPr>
                <w:szCs w:val="24"/>
              </w:rPr>
            </w:pPr>
            <w:r w:rsidRPr="00F50C10">
              <w:rPr>
                <w:b/>
                <w:szCs w:val="24"/>
                <w:lang w:bidi="tr-TR"/>
              </w:rPr>
              <w:t>Standart(lar)</w:t>
            </w:r>
          </w:p>
        </w:tc>
        <w:tc>
          <w:tcPr>
            <w:tcW w:w="596" w:type="pct"/>
            <w:vAlign w:val="center"/>
          </w:tcPr>
          <w:p w14:paraId="34C93AC0" w14:textId="77777777" w:rsidR="00951FA4" w:rsidRPr="00F50C10" w:rsidRDefault="00951FA4" w:rsidP="000B206D">
            <w:pPr>
              <w:pStyle w:val="TableParagraph"/>
              <w:spacing w:line="276" w:lineRule="auto"/>
              <w:ind w:left="74" w:right="72" w:firstLine="8"/>
              <w:jc w:val="center"/>
              <w:rPr>
                <w:szCs w:val="24"/>
              </w:rPr>
            </w:pPr>
            <w:r w:rsidRPr="00F50C10">
              <w:rPr>
                <w:b/>
                <w:szCs w:val="24"/>
                <w:lang w:bidi="tr-TR"/>
              </w:rPr>
              <w:t>Asgari izleme sıklığı</w:t>
            </w:r>
          </w:p>
        </w:tc>
        <w:tc>
          <w:tcPr>
            <w:tcW w:w="732" w:type="pct"/>
            <w:vAlign w:val="center"/>
          </w:tcPr>
          <w:p w14:paraId="26DFA9A6" w14:textId="77777777" w:rsidR="00951FA4" w:rsidRPr="00F50C10" w:rsidRDefault="00951FA4" w:rsidP="000B206D">
            <w:pPr>
              <w:pStyle w:val="TableParagraph"/>
              <w:spacing w:line="276" w:lineRule="auto"/>
              <w:ind w:left="74" w:right="72"/>
              <w:jc w:val="center"/>
              <w:rPr>
                <w:szCs w:val="24"/>
              </w:rPr>
            </w:pPr>
            <w:r w:rsidRPr="00F50C10">
              <w:rPr>
                <w:b/>
                <w:szCs w:val="24"/>
                <w:lang w:bidi="tr-TR"/>
              </w:rPr>
              <w:t>İzlemenin ilişkili olduğu MET</w:t>
            </w:r>
          </w:p>
        </w:tc>
      </w:tr>
      <w:tr w:rsidR="00951FA4" w:rsidRPr="00F50C10" w14:paraId="2736CEDB" w14:textId="77777777" w:rsidTr="00116C54">
        <w:trPr>
          <w:trHeight w:val="20"/>
        </w:trPr>
        <w:tc>
          <w:tcPr>
            <w:tcW w:w="493" w:type="pct"/>
            <w:vMerge w:val="restart"/>
            <w:vAlign w:val="center"/>
          </w:tcPr>
          <w:p w14:paraId="4B149F06" w14:textId="77777777" w:rsidR="00951FA4" w:rsidRPr="00F50C10" w:rsidRDefault="00951FA4" w:rsidP="000B206D">
            <w:pPr>
              <w:pStyle w:val="TableParagraph"/>
              <w:spacing w:line="276" w:lineRule="auto"/>
              <w:ind w:left="74" w:right="72"/>
              <w:jc w:val="both"/>
              <w:rPr>
                <w:szCs w:val="24"/>
              </w:rPr>
            </w:pPr>
            <w:r w:rsidRPr="00F50C10">
              <w:rPr>
                <w:szCs w:val="24"/>
                <w:lang w:bidi="tr-TR"/>
              </w:rPr>
              <w:t>Hava</w:t>
            </w:r>
          </w:p>
        </w:tc>
        <w:tc>
          <w:tcPr>
            <w:tcW w:w="745" w:type="pct"/>
            <w:vMerge w:val="restart"/>
            <w:vAlign w:val="center"/>
          </w:tcPr>
          <w:p w14:paraId="71257621" w14:textId="77777777" w:rsidR="00951FA4" w:rsidRPr="00F50C10" w:rsidRDefault="00951FA4" w:rsidP="000B206D">
            <w:pPr>
              <w:pStyle w:val="TableParagraph"/>
              <w:spacing w:line="276" w:lineRule="auto"/>
              <w:ind w:left="74" w:right="72"/>
              <w:jc w:val="both"/>
              <w:rPr>
                <w:szCs w:val="24"/>
              </w:rPr>
            </w:pPr>
            <w:r w:rsidRPr="00F50C10">
              <w:rPr>
                <w:szCs w:val="24"/>
                <w:lang w:bidi="tr-TR"/>
              </w:rPr>
              <w:t>Cl</w:t>
            </w:r>
            <w:r w:rsidRPr="00F50C10">
              <w:rPr>
                <w:szCs w:val="24"/>
                <w:vertAlign w:val="subscript"/>
                <w:lang w:bidi="tr-TR"/>
              </w:rPr>
              <w:t>2</w:t>
            </w:r>
            <w:r w:rsidRPr="00F50C10">
              <w:rPr>
                <w:szCs w:val="24"/>
                <w:lang w:bidi="tr-TR"/>
              </w:rPr>
              <w:t xml:space="preserve"> olarak ifade edilen klor ve klor dioksit (</w:t>
            </w:r>
            <w:r w:rsidRPr="00F50C10">
              <w:rPr>
                <w:szCs w:val="24"/>
                <w:vertAlign w:val="superscript"/>
                <w:lang w:bidi="tr-TR"/>
              </w:rPr>
              <w:t>1</w:t>
            </w:r>
            <w:r w:rsidRPr="00F50C10">
              <w:rPr>
                <w:szCs w:val="24"/>
                <w:lang w:bidi="tr-TR"/>
              </w:rPr>
              <w:t xml:space="preserve">) </w:t>
            </w:r>
          </w:p>
        </w:tc>
        <w:tc>
          <w:tcPr>
            <w:tcW w:w="596" w:type="pct"/>
            <w:vMerge w:val="restart"/>
            <w:vAlign w:val="center"/>
          </w:tcPr>
          <w:p w14:paraId="4531BEBB" w14:textId="1D3DF368" w:rsidR="00951FA4" w:rsidRPr="00F50C10" w:rsidRDefault="00951FA4" w:rsidP="000B206D">
            <w:pPr>
              <w:pStyle w:val="TableParagraph"/>
              <w:spacing w:line="276" w:lineRule="auto"/>
              <w:ind w:left="74" w:right="72"/>
              <w:jc w:val="both"/>
              <w:rPr>
                <w:szCs w:val="24"/>
              </w:rPr>
            </w:pPr>
            <w:r w:rsidRPr="00F50C10">
              <w:rPr>
                <w:szCs w:val="24"/>
                <w:lang w:bidi="tr-TR"/>
              </w:rPr>
              <w:t xml:space="preserve">Klor </w:t>
            </w:r>
            <w:r w:rsidR="001161DA" w:rsidRPr="00F50C10">
              <w:rPr>
                <w:szCs w:val="24"/>
                <w:lang w:bidi="tr-TR"/>
              </w:rPr>
              <w:t>absorpsiyon</w:t>
            </w:r>
            <w:r w:rsidRPr="00F50C10">
              <w:rPr>
                <w:szCs w:val="24"/>
                <w:lang w:bidi="tr-TR"/>
              </w:rPr>
              <w:t xml:space="preserve"> ünitesi çıkışı</w:t>
            </w:r>
          </w:p>
        </w:tc>
        <w:tc>
          <w:tcPr>
            <w:tcW w:w="993" w:type="pct"/>
            <w:vAlign w:val="center"/>
          </w:tcPr>
          <w:p w14:paraId="206EF7C2" w14:textId="77777777" w:rsidR="00951FA4" w:rsidRPr="00F50C10" w:rsidRDefault="00951FA4" w:rsidP="000B206D">
            <w:pPr>
              <w:pStyle w:val="TableParagraph"/>
              <w:spacing w:line="276" w:lineRule="auto"/>
              <w:ind w:left="74" w:right="72"/>
              <w:jc w:val="both"/>
              <w:rPr>
                <w:szCs w:val="24"/>
              </w:rPr>
            </w:pPr>
            <w:r w:rsidRPr="00F50C10">
              <w:rPr>
                <w:szCs w:val="24"/>
                <w:lang w:bidi="tr-TR"/>
              </w:rPr>
              <w:t>Elektrokimyasal hücreler</w:t>
            </w:r>
          </w:p>
        </w:tc>
        <w:tc>
          <w:tcPr>
            <w:tcW w:w="845" w:type="pct"/>
            <w:vAlign w:val="center"/>
          </w:tcPr>
          <w:p w14:paraId="5C238F90" w14:textId="6AAA78DB" w:rsidR="00951FA4" w:rsidRPr="00F50C10" w:rsidRDefault="00E0750F" w:rsidP="000B206D">
            <w:pPr>
              <w:pStyle w:val="TableParagraph"/>
              <w:spacing w:line="276" w:lineRule="auto"/>
              <w:ind w:left="74" w:right="72"/>
              <w:jc w:val="both"/>
              <w:rPr>
                <w:szCs w:val="24"/>
              </w:rPr>
            </w:pPr>
            <w:r w:rsidRPr="00F50C10">
              <w:rPr>
                <w:szCs w:val="24"/>
                <w:lang w:bidi="tr-TR"/>
              </w:rPr>
              <w:t xml:space="preserve">TS </w:t>
            </w:r>
            <w:r w:rsidR="00951FA4" w:rsidRPr="00F50C10">
              <w:rPr>
                <w:szCs w:val="24"/>
                <w:lang w:bidi="tr-TR"/>
              </w:rPr>
              <w:t>EN veya ISO</w:t>
            </w:r>
          </w:p>
          <w:p w14:paraId="5B476918" w14:textId="77777777" w:rsidR="00951FA4" w:rsidRPr="00F50C10" w:rsidRDefault="00951FA4" w:rsidP="000B206D">
            <w:pPr>
              <w:pStyle w:val="TableParagraph"/>
              <w:spacing w:line="276" w:lineRule="auto"/>
              <w:ind w:left="74" w:right="72"/>
              <w:jc w:val="both"/>
              <w:rPr>
                <w:szCs w:val="24"/>
              </w:rPr>
            </w:pPr>
            <w:r w:rsidRPr="00F50C10">
              <w:rPr>
                <w:szCs w:val="24"/>
                <w:lang w:bidi="tr-TR"/>
              </w:rPr>
              <w:t>standardı yok</w:t>
            </w:r>
          </w:p>
        </w:tc>
        <w:tc>
          <w:tcPr>
            <w:tcW w:w="596" w:type="pct"/>
            <w:vAlign w:val="center"/>
          </w:tcPr>
          <w:p w14:paraId="5D979921" w14:textId="77777777" w:rsidR="00951FA4" w:rsidRPr="00F50C10" w:rsidRDefault="00951FA4" w:rsidP="000B206D">
            <w:pPr>
              <w:pStyle w:val="TableParagraph"/>
              <w:spacing w:line="276" w:lineRule="auto"/>
              <w:ind w:left="74" w:right="72"/>
              <w:jc w:val="both"/>
              <w:rPr>
                <w:szCs w:val="24"/>
              </w:rPr>
            </w:pPr>
            <w:r w:rsidRPr="00F50C10">
              <w:rPr>
                <w:szCs w:val="24"/>
                <w:lang w:bidi="tr-TR"/>
              </w:rPr>
              <w:t>Sürekli</w:t>
            </w:r>
          </w:p>
        </w:tc>
        <w:tc>
          <w:tcPr>
            <w:tcW w:w="732" w:type="pct"/>
            <w:vAlign w:val="center"/>
          </w:tcPr>
          <w:p w14:paraId="1BDA77E8" w14:textId="77777777" w:rsidR="00951FA4" w:rsidRPr="00F50C10" w:rsidRDefault="00951FA4" w:rsidP="000B206D">
            <w:pPr>
              <w:pStyle w:val="TableParagraph"/>
              <w:spacing w:line="276" w:lineRule="auto"/>
              <w:ind w:left="74" w:right="72"/>
              <w:jc w:val="both"/>
              <w:rPr>
                <w:szCs w:val="24"/>
              </w:rPr>
            </w:pPr>
            <w:r w:rsidRPr="00F50C10">
              <w:rPr>
                <w:szCs w:val="24"/>
                <w:lang w:bidi="tr-TR"/>
              </w:rPr>
              <w:t>—</w:t>
            </w:r>
          </w:p>
        </w:tc>
      </w:tr>
      <w:tr w:rsidR="00951FA4" w:rsidRPr="00F50C10" w14:paraId="46C553AE" w14:textId="77777777" w:rsidTr="00116C54">
        <w:trPr>
          <w:trHeight w:val="20"/>
        </w:trPr>
        <w:tc>
          <w:tcPr>
            <w:tcW w:w="493" w:type="pct"/>
            <w:vMerge/>
            <w:vAlign w:val="center"/>
          </w:tcPr>
          <w:p w14:paraId="7CAA7DA6" w14:textId="77777777" w:rsidR="00951FA4" w:rsidRPr="00F50C10" w:rsidRDefault="00951FA4" w:rsidP="000B206D">
            <w:pPr>
              <w:spacing w:line="276" w:lineRule="auto"/>
              <w:ind w:left="74" w:right="72"/>
              <w:rPr>
                <w:rFonts w:cs="Times New Roman"/>
                <w:szCs w:val="24"/>
              </w:rPr>
            </w:pPr>
          </w:p>
        </w:tc>
        <w:tc>
          <w:tcPr>
            <w:tcW w:w="745" w:type="pct"/>
            <w:vMerge/>
            <w:vAlign w:val="center"/>
          </w:tcPr>
          <w:p w14:paraId="33A33E32" w14:textId="77777777" w:rsidR="00951FA4" w:rsidRPr="00F50C10" w:rsidRDefault="00951FA4" w:rsidP="000B206D">
            <w:pPr>
              <w:spacing w:line="276" w:lineRule="auto"/>
              <w:ind w:left="74" w:right="72"/>
              <w:rPr>
                <w:rFonts w:cs="Times New Roman"/>
                <w:szCs w:val="24"/>
              </w:rPr>
            </w:pPr>
          </w:p>
        </w:tc>
        <w:tc>
          <w:tcPr>
            <w:tcW w:w="596" w:type="pct"/>
            <w:vMerge/>
            <w:vAlign w:val="center"/>
          </w:tcPr>
          <w:p w14:paraId="1895C56E" w14:textId="77777777" w:rsidR="00951FA4" w:rsidRPr="00F50C10" w:rsidRDefault="00951FA4" w:rsidP="000B206D">
            <w:pPr>
              <w:spacing w:line="276" w:lineRule="auto"/>
              <w:ind w:left="74" w:right="72"/>
              <w:rPr>
                <w:rFonts w:cs="Times New Roman"/>
                <w:szCs w:val="24"/>
              </w:rPr>
            </w:pPr>
          </w:p>
        </w:tc>
        <w:tc>
          <w:tcPr>
            <w:tcW w:w="993" w:type="pct"/>
            <w:vAlign w:val="center"/>
          </w:tcPr>
          <w:p w14:paraId="44C3C874" w14:textId="2B14EDE9" w:rsidR="00951FA4" w:rsidRPr="00F50C10" w:rsidRDefault="00951FA4" w:rsidP="000B206D">
            <w:pPr>
              <w:pStyle w:val="TableParagraph"/>
              <w:spacing w:line="276" w:lineRule="auto"/>
              <w:ind w:left="74" w:right="72"/>
              <w:jc w:val="both"/>
              <w:rPr>
                <w:szCs w:val="24"/>
              </w:rPr>
            </w:pPr>
            <w:r w:rsidRPr="00F50C10">
              <w:rPr>
                <w:szCs w:val="24"/>
                <w:lang w:bidi="tr-TR"/>
              </w:rPr>
              <w:t xml:space="preserve">Bir çözelti içinde </w:t>
            </w:r>
            <w:r w:rsidR="001161DA" w:rsidRPr="00F50C10">
              <w:rPr>
                <w:szCs w:val="24"/>
                <w:lang w:bidi="tr-TR"/>
              </w:rPr>
              <w:t>absorpsiyon</w:t>
            </w:r>
            <w:r w:rsidRPr="00F50C10">
              <w:rPr>
                <w:szCs w:val="24"/>
                <w:lang w:bidi="tr-TR"/>
              </w:rPr>
              <w:t xml:space="preserve"> ve sonrasında analiz</w:t>
            </w:r>
          </w:p>
        </w:tc>
        <w:tc>
          <w:tcPr>
            <w:tcW w:w="845" w:type="pct"/>
            <w:vAlign w:val="center"/>
          </w:tcPr>
          <w:p w14:paraId="25EDEC86" w14:textId="4C50C9DE" w:rsidR="00951FA4" w:rsidRPr="00F50C10" w:rsidRDefault="00E0750F" w:rsidP="000B206D">
            <w:pPr>
              <w:pStyle w:val="TableParagraph"/>
              <w:spacing w:line="276" w:lineRule="auto"/>
              <w:ind w:left="74" w:right="72"/>
              <w:jc w:val="both"/>
              <w:rPr>
                <w:szCs w:val="24"/>
              </w:rPr>
            </w:pPr>
            <w:r w:rsidRPr="00F50C10">
              <w:rPr>
                <w:szCs w:val="24"/>
                <w:lang w:bidi="tr-TR"/>
              </w:rPr>
              <w:t xml:space="preserve">TS </w:t>
            </w:r>
            <w:r w:rsidR="00951FA4" w:rsidRPr="00F50C10">
              <w:rPr>
                <w:szCs w:val="24"/>
                <w:lang w:bidi="tr-TR"/>
              </w:rPr>
              <w:t>EN veya ISO</w:t>
            </w:r>
          </w:p>
          <w:p w14:paraId="3397971D" w14:textId="77777777" w:rsidR="00951FA4" w:rsidRPr="00F50C10" w:rsidRDefault="00951FA4" w:rsidP="000B206D">
            <w:pPr>
              <w:pStyle w:val="TableParagraph"/>
              <w:spacing w:line="276" w:lineRule="auto"/>
              <w:ind w:left="74" w:right="72"/>
              <w:jc w:val="both"/>
              <w:rPr>
                <w:szCs w:val="24"/>
              </w:rPr>
            </w:pPr>
            <w:r w:rsidRPr="00F50C10">
              <w:rPr>
                <w:szCs w:val="24"/>
                <w:lang w:bidi="tr-TR"/>
              </w:rPr>
              <w:t>standardı yok</w:t>
            </w:r>
          </w:p>
        </w:tc>
        <w:tc>
          <w:tcPr>
            <w:tcW w:w="596" w:type="pct"/>
            <w:vAlign w:val="center"/>
          </w:tcPr>
          <w:p w14:paraId="598D037B" w14:textId="77777777" w:rsidR="00951FA4" w:rsidRPr="00F50C10" w:rsidRDefault="00951FA4" w:rsidP="000B206D">
            <w:pPr>
              <w:pStyle w:val="TableParagraph"/>
              <w:spacing w:line="276" w:lineRule="auto"/>
              <w:ind w:left="74" w:right="72"/>
              <w:jc w:val="both"/>
              <w:rPr>
                <w:szCs w:val="24"/>
              </w:rPr>
            </w:pPr>
            <w:r w:rsidRPr="00F50C10">
              <w:rPr>
                <w:szCs w:val="24"/>
                <w:lang w:bidi="tr-TR"/>
              </w:rPr>
              <w:t>Yıllık (en az üç ardışık saatlik ölçüm)</w:t>
            </w:r>
          </w:p>
        </w:tc>
        <w:tc>
          <w:tcPr>
            <w:tcW w:w="732" w:type="pct"/>
            <w:vAlign w:val="center"/>
          </w:tcPr>
          <w:p w14:paraId="11CB7E9F" w14:textId="77777777" w:rsidR="00951FA4" w:rsidRPr="00F50C10" w:rsidRDefault="002A1746" w:rsidP="000B206D">
            <w:pPr>
              <w:pStyle w:val="TableParagraph"/>
              <w:spacing w:line="276" w:lineRule="auto"/>
              <w:ind w:left="74" w:right="72"/>
              <w:jc w:val="both"/>
              <w:rPr>
                <w:szCs w:val="24"/>
              </w:rPr>
            </w:pPr>
            <w:hyperlink w:anchor="_bookmark395" w:history="1">
              <w:r w:rsidR="00951FA4" w:rsidRPr="00F50C10">
                <w:rPr>
                  <w:szCs w:val="24"/>
                  <w:lang w:bidi="tr-TR"/>
                </w:rPr>
                <w:t>MET 8</w:t>
              </w:r>
            </w:hyperlink>
          </w:p>
        </w:tc>
      </w:tr>
      <w:tr w:rsidR="00951FA4" w:rsidRPr="00F50C10" w14:paraId="67FD3D87" w14:textId="77777777" w:rsidTr="00116C54">
        <w:trPr>
          <w:trHeight w:val="20"/>
        </w:trPr>
        <w:tc>
          <w:tcPr>
            <w:tcW w:w="493" w:type="pct"/>
            <w:vMerge w:val="restart"/>
            <w:vAlign w:val="center"/>
          </w:tcPr>
          <w:p w14:paraId="1B2823B6" w14:textId="77777777" w:rsidR="00951FA4" w:rsidRPr="00F50C10" w:rsidRDefault="00951FA4" w:rsidP="000B206D">
            <w:pPr>
              <w:pStyle w:val="TableParagraph"/>
              <w:spacing w:line="276" w:lineRule="auto"/>
              <w:ind w:left="74" w:right="72"/>
              <w:jc w:val="both"/>
              <w:rPr>
                <w:szCs w:val="24"/>
              </w:rPr>
            </w:pPr>
            <w:r w:rsidRPr="00F50C10">
              <w:rPr>
                <w:szCs w:val="24"/>
                <w:lang w:bidi="tr-TR"/>
              </w:rPr>
              <w:t>Su</w:t>
            </w:r>
          </w:p>
        </w:tc>
        <w:tc>
          <w:tcPr>
            <w:tcW w:w="745" w:type="pct"/>
            <w:vAlign w:val="center"/>
          </w:tcPr>
          <w:p w14:paraId="6DEECD5D" w14:textId="77777777" w:rsidR="00951FA4" w:rsidRPr="00F50C10" w:rsidRDefault="00951FA4" w:rsidP="000B206D">
            <w:pPr>
              <w:pStyle w:val="TableParagraph"/>
              <w:spacing w:line="276" w:lineRule="auto"/>
              <w:ind w:left="74" w:right="72"/>
              <w:jc w:val="both"/>
              <w:rPr>
                <w:szCs w:val="24"/>
              </w:rPr>
            </w:pPr>
            <w:r w:rsidRPr="00F50C10">
              <w:rPr>
                <w:szCs w:val="24"/>
                <w:lang w:bidi="tr-TR"/>
              </w:rPr>
              <w:t>Klorat</w:t>
            </w:r>
          </w:p>
        </w:tc>
        <w:tc>
          <w:tcPr>
            <w:tcW w:w="596" w:type="pct"/>
            <w:vAlign w:val="center"/>
          </w:tcPr>
          <w:p w14:paraId="7D49573A" w14:textId="77777777" w:rsidR="00951FA4" w:rsidRPr="00F50C10" w:rsidRDefault="00951FA4" w:rsidP="000B206D">
            <w:pPr>
              <w:pStyle w:val="TableParagraph"/>
              <w:spacing w:line="276" w:lineRule="auto"/>
              <w:ind w:left="74" w:right="72"/>
              <w:jc w:val="both"/>
              <w:rPr>
                <w:szCs w:val="24"/>
              </w:rPr>
            </w:pPr>
            <w:r w:rsidRPr="00F50C10">
              <w:rPr>
                <w:szCs w:val="24"/>
                <w:lang w:bidi="tr-TR"/>
              </w:rPr>
              <w:t>Emisyonun tesisi terk ettiği yer</w:t>
            </w:r>
          </w:p>
        </w:tc>
        <w:tc>
          <w:tcPr>
            <w:tcW w:w="993" w:type="pct"/>
            <w:vAlign w:val="center"/>
          </w:tcPr>
          <w:p w14:paraId="01A44263" w14:textId="77777777" w:rsidR="00951FA4" w:rsidRPr="00F50C10" w:rsidRDefault="00951FA4" w:rsidP="000B206D">
            <w:pPr>
              <w:pStyle w:val="TableParagraph"/>
              <w:spacing w:line="276" w:lineRule="auto"/>
              <w:ind w:left="74" w:right="72"/>
              <w:jc w:val="both"/>
              <w:rPr>
                <w:szCs w:val="24"/>
              </w:rPr>
            </w:pPr>
            <w:r w:rsidRPr="00F50C10">
              <w:rPr>
                <w:szCs w:val="24"/>
                <w:lang w:bidi="tr-TR"/>
              </w:rPr>
              <w:t>İyon kromatografisi</w:t>
            </w:r>
          </w:p>
        </w:tc>
        <w:tc>
          <w:tcPr>
            <w:tcW w:w="845" w:type="pct"/>
            <w:vAlign w:val="center"/>
          </w:tcPr>
          <w:p w14:paraId="15937C40" w14:textId="35FD85C2" w:rsidR="00951FA4" w:rsidRPr="00F50C10" w:rsidRDefault="00E0750F" w:rsidP="000B206D">
            <w:pPr>
              <w:pStyle w:val="TableParagraph"/>
              <w:spacing w:line="276" w:lineRule="auto"/>
              <w:ind w:left="74" w:right="72"/>
              <w:jc w:val="both"/>
              <w:rPr>
                <w:szCs w:val="24"/>
              </w:rPr>
            </w:pPr>
            <w:r w:rsidRPr="00F50C10">
              <w:rPr>
                <w:szCs w:val="24"/>
                <w:lang w:bidi="tr-TR"/>
              </w:rPr>
              <w:t xml:space="preserve">TS </w:t>
            </w:r>
            <w:r w:rsidR="00951FA4" w:rsidRPr="00F50C10">
              <w:rPr>
                <w:szCs w:val="24"/>
                <w:lang w:bidi="tr-TR"/>
              </w:rPr>
              <w:t>EN ISO 10304–4</w:t>
            </w:r>
            <w:r w:rsidRPr="00F50C10">
              <w:rPr>
                <w:szCs w:val="24"/>
                <w:lang w:bidi="tr-TR"/>
              </w:rPr>
              <w:t>:2022</w:t>
            </w:r>
          </w:p>
        </w:tc>
        <w:tc>
          <w:tcPr>
            <w:tcW w:w="596" w:type="pct"/>
            <w:vAlign w:val="center"/>
          </w:tcPr>
          <w:p w14:paraId="56126423" w14:textId="77777777" w:rsidR="00951FA4" w:rsidRPr="00F50C10" w:rsidRDefault="00951FA4" w:rsidP="000B206D">
            <w:pPr>
              <w:pStyle w:val="TableParagraph"/>
              <w:spacing w:line="276" w:lineRule="auto"/>
              <w:ind w:left="74" w:right="72"/>
              <w:jc w:val="both"/>
              <w:rPr>
                <w:szCs w:val="24"/>
              </w:rPr>
            </w:pPr>
            <w:r w:rsidRPr="00F50C10">
              <w:rPr>
                <w:szCs w:val="24"/>
                <w:lang w:bidi="tr-TR"/>
              </w:rPr>
              <w:t>Aylık</w:t>
            </w:r>
          </w:p>
        </w:tc>
        <w:tc>
          <w:tcPr>
            <w:tcW w:w="732" w:type="pct"/>
            <w:vAlign w:val="center"/>
          </w:tcPr>
          <w:p w14:paraId="1A988399" w14:textId="77777777" w:rsidR="00951FA4" w:rsidRPr="00F50C10" w:rsidRDefault="002A1746" w:rsidP="000B206D">
            <w:pPr>
              <w:pStyle w:val="TableParagraph"/>
              <w:spacing w:line="276" w:lineRule="auto"/>
              <w:ind w:left="74" w:right="72"/>
              <w:jc w:val="both"/>
              <w:rPr>
                <w:szCs w:val="24"/>
              </w:rPr>
            </w:pPr>
            <w:hyperlink w:anchor="_bookmark399" w:history="1">
              <w:r w:rsidR="00951FA4" w:rsidRPr="00F50C10">
                <w:rPr>
                  <w:szCs w:val="24"/>
                  <w:lang w:bidi="tr-TR"/>
                </w:rPr>
                <w:t>MET 14</w:t>
              </w:r>
            </w:hyperlink>
          </w:p>
        </w:tc>
      </w:tr>
      <w:tr w:rsidR="00951FA4" w:rsidRPr="00F50C10" w14:paraId="53B9A949" w14:textId="77777777" w:rsidTr="00116C54">
        <w:trPr>
          <w:trHeight w:val="20"/>
        </w:trPr>
        <w:tc>
          <w:tcPr>
            <w:tcW w:w="493" w:type="pct"/>
            <w:vMerge/>
            <w:vAlign w:val="center"/>
          </w:tcPr>
          <w:p w14:paraId="792E3FAD" w14:textId="77777777" w:rsidR="00951FA4" w:rsidRPr="00F50C10" w:rsidRDefault="00951FA4" w:rsidP="000B206D">
            <w:pPr>
              <w:spacing w:line="276" w:lineRule="auto"/>
              <w:ind w:left="74" w:right="72"/>
              <w:rPr>
                <w:rFonts w:cs="Times New Roman"/>
                <w:szCs w:val="24"/>
              </w:rPr>
            </w:pPr>
          </w:p>
        </w:tc>
        <w:tc>
          <w:tcPr>
            <w:tcW w:w="745" w:type="pct"/>
            <w:vAlign w:val="center"/>
          </w:tcPr>
          <w:p w14:paraId="7E4DD5AB" w14:textId="77777777" w:rsidR="00951FA4" w:rsidRPr="00F50C10" w:rsidRDefault="00951FA4" w:rsidP="000B206D">
            <w:pPr>
              <w:pStyle w:val="TableParagraph"/>
              <w:spacing w:line="276" w:lineRule="auto"/>
              <w:ind w:left="74" w:right="72"/>
              <w:jc w:val="both"/>
              <w:rPr>
                <w:szCs w:val="24"/>
              </w:rPr>
            </w:pPr>
            <w:r w:rsidRPr="00F50C10">
              <w:rPr>
                <w:szCs w:val="24"/>
                <w:lang w:bidi="tr-TR"/>
              </w:rPr>
              <w:t>Klorür</w:t>
            </w:r>
          </w:p>
        </w:tc>
        <w:tc>
          <w:tcPr>
            <w:tcW w:w="596" w:type="pct"/>
            <w:vAlign w:val="center"/>
          </w:tcPr>
          <w:p w14:paraId="0B0AEAD9" w14:textId="77777777" w:rsidR="00951FA4" w:rsidRPr="00F50C10" w:rsidRDefault="00951FA4" w:rsidP="000B206D">
            <w:pPr>
              <w:pStyle w:val="TableParagraph"/>
              <w:spacing w:line="276" w:lineRule="auto"/>
              <w:ind w:left="74" w:right="72"/>
              <w:jc w:val="both"/>
              <w:rPr>
                <w:szCs w:val="24"/>
              </w:rPr>
            </w:pPr>
            <w:r w:rsidRPr="00F50C10">
              <w:rPr>
                <w:szCs w:val="24"/>
                <w:lang w:bidi="tr-TR"/>
              </w:rPr>
              <w:t>Tuzlu su tahliyesi</w:t>
            </w:r>
          </w:p>
        </w:tc>
        <w:tc>
          <w:tcPr>
            <w:tcW w:w="993" w:type="pct"/>
            <w:vAlign w:val="center"/>
          </w:tcPr>
          <w:p w14:paraId="3CE045B3" w14:textId="77777777" w:rsidR="00951FA4" w:rsidRPr="00F50C10" w:rsidRDefault="00951FA4" w:rsidP="000B206D">
            <w:pPr>
              <w:pStyle w:val="TableParagraph"/>
              <w:spacing w:line="276" w:lineRule="auto"/>
              <w:ind w:left="74" w:right="72"/>
              <w:jc w:val="both"/>
              <w:rPr>
                <w:szCs w:val="24"/>
              </w:rPr>
            </w:pPr>
            <w:r w:rsidRPr="00F50C10">
              <w:rPr>
                <w:szCs w:val="24"/>
                <w:lang w:bidi="tr-TR"/>
              </w:rPr>
              <w:t>İyon kromatografisi veya akış analizi</w:t>
            </w:r>
          </w:p>
        </w:tc>
        <w:tc>
          <w:tcPr>
            <w:tcW w:w="845" w:type="pct"/>
            <w:vAlign w:val="center"/>
          </w:tcPr>
          <w:p w14:paraId="02DEA6B8" w14:textId="08CB2F67" w:rsidR="00951FA4" w:rsidRPr="00F50C10" w:rsidRDefault="00E0750F" w:rsidP="000B206D">
            <w:pPr>
              <w:pStyle w:val="TableParagraph"/>
              <w:spacing w:line="276" w:lineRule="auto"/>
              <w:ind w:left="74" w:right="72"/>
              <w:jc w:val="both"/>
              <w:rPr>
                <w:szCs w:val="24"/>
              </w:rPr>
            </w:pPr>
            <w:r w:rsidRPr="00F50C10">
              <w:rPr>
                <w:szCs w:val="24"/>
                <w:lang w:bidi="tr-TR"/>
              </w:rPr>
              <w:t xml:space="preserve">TS </w:t>
            </w:r>
            <w:r w:rsidR="00951FA4" w:rsidRPr="00F50C10">
              <w:rPr>
                <w:szCs w:val="24"/>
                <w:lang w:bidi="tr-TR"/>
              </w:rPr>
              <w:t>EN ISO 10304–1 veya EN ISO 15682</w:t>
            </w:r>
          </w:p>
        </w:tc>
        <w:tc>
          <w:tcPr>
            <w:tcW w:w="596" w:type="pct"/>
            <w:vAlign w:val="center"/>
          </w:tcPr>
          <w:p w14:paraId="32AE8748" w14:textId="77777777" w:rsidR="00951FA4" w:rsidRPr="00F50C10" w:rsidRDefault="00951FA4" w:rsidP="000B206D">
            <w:pPr>
              <w:pStyle w:val="TableParagraph"/>
              <w:spacing w:line="276" w:lineRule="auto"/>
              <w:ind w:left="74" w:right="72"/>
              <w:jc w:val="both"/>
              <w:rPr>
                <w:szCs w:val="24"/>
              </w:rPr>
            </w:pPr>
            <w:r w:rsidRPr="00F50C10">
              <w:rPr>
                <w:szCs w:val="24"/>
                <w:lang w:bidi="tr-TR"/>
              </w:rPr>
              <w:t>Aylık</w:t>
            </w:r>
          </w:p>
        </w:tc>
        <w:tc>
          <w:tcPr>
            <w:tcW w:w="732" w:type="pct"/>
            <w:vAlign w:val="center"/>
          </w:tcPr>
          <w:p w14:paraId="6C88B5F7" w14:textId="77777777" w:rsidR="00951FA4" w:rsidRPr="00F50C10" w:rsidRDefault="002A1746" w:rsidP="000B206D">
            <w:pPr>
              <w:pStyle w:val="TableParagraph"/>
              <w:spacing w:line="276" w:lineRule="auto"/>
              <w:ind w:left="74" w:right="72"/>
              <w:jc w:val="both"/>
              <w:rPr>
                <w:szCs w:val="24"/>
              </w:rPr>
            </w:pPr>
            <w:hyperlink w:anchor="_bookmark397" w:history="1">
              <w:r w:rsidR="00951FA4" w:rsidRPr="00F50C10">
                <w:rPr>
                  <w:szCs w:val="24"/>
                  <w:lang w:bidi="tr-TR"/>
                </w:rPr>
                <w:t>MET 12</w:t>
              </w:r>
            </w:hyperlink>
          </w:p>
        </w:tc>
      </w:tr>
      <w:tr w:rsidR="00951FA4" w:rsidRPr="00F50C10" w14:paraId="3E2E758B" w14:textId="77777777" w:rsidTr="00116C54">
        <w:trPr>
          <w:trHeight w:val="20"/>
        </w:trPr>
        <w:tc>
          <w:tcPr>
            <w:tcW w:w="493" w:type="pct"/>
            <w:vMerge/>
            <w:vAlign w:val="center"/>
          </w:tcPr>
          <w:p w14:paraId="14A0265F" w14:textId="77777777" w:rsidR="00951FA4" w:rsidRPr="00F50C10" w:rsidRDefault="00951FA4" w:rsidP="000B206D">
            <w:pPr>
              <w:spacing w:line="276" w:lineRule="auto"/>
              <w:ind w:left="74" w:right="72"/>
              <w:rPr>
                <w:rFonts w:cs="Times New Roman"/>
                <w:szCs w:val="24"/>
              </w:rPr>
            </w:pPr>
          </w:p>
        </w:tc>
        <w:tc>
          <w:tcPr>
            <w:tcW w:w="745" w:type="pct"/>
            <w:vMerge w:val="restart"/>
            <w:vAlign w:val="center"/>
          </w:tcPr>
          <w:p w14:paraId="5EECBD9C" w14:textId="77777777" w:rsidR="00951FA4" w:rsidRPr="00F50C10" w:rsidRDefault="00951FA4" w:rsidP="000B206D">
            <w:pPr>
              <w:pStyle w:val="TableParagraph"/>
              <w:spacing w:line="276" w:lineRule="auto"/>
              <w:ind w:left="74" w:right="72"/>
              <w:jc w:val="both"/>
              <w:rPr>
                <w:szCs w:val="24"/>
              </w:rPr>
            </w:pPr>
            <w:r w:rsidRPr="00F50C10">
              <w:rPr>
                <w:szCs w:val="24"/>
                <w:lang w:bidi="tr-TR"/>
              </w:rPr>
              <w:t>Serbest klor (</w:t>
            </w:r>
            <w:r w:rsidRPr="00F50C10">
              <w:rPr>
                <w:szCs w:val="24"/>
                <w:vertAlign w:val="superscript"/>
                <w:lang w:bidi="tr-TR"/>
              </w:rPr>
              <w:t>1</w:t>
            </w:r>
            <w:r w:rsidRPr="00F50C10">
              <w:rPr>
                <w:szCs w:val="24"/>
                <w:lang w:bidi="tr-TR"/>
              </w:rPr>
              <w:t>)</w:t>
            </w:r>
          </w:p>
        </w:tc>
        <w:tc>
          <w:tcPr>
            <w:tcW w:w="596" w:type="pct"/>
            <w:vAlign w:val="center"/>
          </w:tcPr>
          <w:p w14:paraId="3B33053B" w14:textId="77777777" w:rsidR="00951FA4" w:rsidRPr="00F50C10" w:rsidRDefault="00951FA4" w:rsidP="000B206D">
            <w:pPr>
              <w:pStyle w:val="TableParagraph"/>
              <w:spacing w:line="276" w:lineRule="auto"/>
              <w:ind w:left="74" w:right="72"/>
              <w:jc w:val="both"/>
              <w:rPr>
                <w:szCs w:val="24"/>
              </w:rPr>
            </w:pPr>
            <w:r w:rsidRPr="00F50C10">
              <w:rPr>
                <w:szCs w:val="24"/>
                <w:lang w:bidi="tr-TR"/>
              </w:rPr>
              <w:t>Kaynağa yakın</w:t>
            </w:r>
          </w:p>
        </w:tc>
        <w:tc>
          <w:tcPr>
            <w:tcW w:w="993" w:type="pct"/>
            <w:vAlign w:val="center"/>
          </w:tcPr>
          <w:p w14:paraId="2F5C7011" w14:textId="77777777" w:rsidR="00951FA4" w:rsidRPr="00F50C10" w:rsidRDefault="00951FA4" w:rsidP="000B206D">
            <w:pPr>
              <w:pStyle w:val="TableParagraph"/>
              <w:spacing w:line="276" w:lineRule="auto"/>
              <w:ind w:left="74" w:right="72"/>
              <w:jc w:val="both"/>
              <w:rPr>
                <w:szCs w:val="24"/>
              </w:rPr>
            </w:pPr>
            <w:r w:rsidRPr="00F50C10">
              <w:rPr>
                <w:szCs w:val="24"/>
                <w:lang w:bidi="tr-TR"/>
              </w:rPr>
              <w:t>İndirgenme potansiyeli</w:t>
            </w:r>
          </w:p>
        </w:tc>
        <w:tc>
          <w:tcPr>
            <w:tcW w:w="845" w:type="pct"/>
            <w:vAlign w:val="center"/>
          </w:tcPr>
          <w:p w14:paraId="08440888" w14:textId="77777777" w:rsidR="00951FA4" w:rsidRPr="00F50C10" w:rsidRDefault="00951FA4" w:rsidP="000B206D">
            <w:pPr>
              <w:pStyle w:val="TableParagraph"/>
              <w:spacing w:line="276" w:lineRule="auto"/>
              <w:ind w:left="74" w:right="72"/>
              <w:jc w:val="both"/>
              <w:rPr>
                <w:szCs w:val="24"/>
              </w:rPr>
            </w:pPr>
            <w:r w:rsidRPr="00F50C10">
              <w:rPr>
                <w:szCs w:val="24"/>
                <w:lang w:bidi="tr-TR"/>
              </w:rPr>
              <w:t>EN veya ISO</w:t>
            </w:r>
          </w:p>
          <w:p w14:paraId="35080068" w14:textId="77777777" w:rsidR="00951FA4" w:rsidRPr="00F50C10" w:rsidRDefault="00951FA4" w:rsidP="000B206D">
            <w:pPr>
              <w:pStyle w:val="TableParagraph"/>
              <w:spacing w:line="276" w:lineRule="auto"/>
              <w:ind w:left="74" w:right="72"/>
              <w:jc w:val="both"/>
              <w:rPr>
                <w:szCs w:val="24"/>
              </w:rPr>
            </w:pPr>
            <w:r w:rsidRPr="00F50C10">
              <w:rPr>
                <w:szCs w:val="24"/>
                <w:lang w:bidi="tr-TR"/>
              </w:rPr>
              <w:t>standardı yok</w:t>
            </w:r>
          </w:p>
        </w:tc>
        <w:tc>
          <w:tcPr>
            <w:tcW w:w="596" w:type="pct"/>
            <w:vAlign w:val="center"/>
          </w:tcPr>
          <w:p w14:paraId="0F0455B3" w14:textId="77777777" w:rsidR="00951FA4" w:rsidRPr="00F50C10" w:rsidRDefault="00951FA4" w:rsidP="000B206D">
            <w:pPr>
              <w:pStyle w:val="TableParagraph"/>
              <w:spacing w:line="276" w:lineRule="auto"/>
              <w:ind w:left="74" w:right="72"/>
              <w:jc w:val="both"/>
              <w:rPr>
                <w:szCs w:val="24"/>
              </w:rPr>
            </w:pPr>
            <w:r w:rsidRPr="00F50C10">
              <w:rPr>
                <w:szCs w:val="24"/>
                <w:lang w:bidi="tr-TR"/>
              </w:rPr>
              <w:t>Sürekli</w:t>
            </w:r>
          </w:p>
        </w:tc>
        <w:tc>
          <w:tcPr>
            <w:tcW w:w="732" w:type="pct"/>
            <w:vAlign w:val="center"/>
          </w:tcPr>
          <w:p w14:paraId="3458652E" w14:textId="77777777" w:rsidR="00951FA4" w:rsidRPr="00F50C10" w:rsidRDefault="00951FA4" w:rsidP="000B206D">
            <w:pPr>
              <w:pStyle w:val="TableParagraph"/>
              <w:spacing w:line="276" w:lineRule="auto"/>
              <w:ind w:left="74" w:right="72"/>
              <w:jc w:val="both"/>
              <w:rPr>
                <w:szCs w:val="24"/>
              </w:rPr>
            </w:pPr>
            <w:r w:rsidRPr="00F50C10">
              <w:rPr>
                <w:szCs w:val="24"/>
                <w:lang w:bidi="tr-TR"/>
              </w:rPr>
              <w:t>—</w:t>
            </w:r>
          </w:p>
        </w:tc>
      </w:tr>
      <w:tr w:rsidR="00951FA4" w:rsidRPr="00F50C10" w14:paraId="2B856A8F" w14:textId="77777777" w:rsidTr="00116C54">
        <w:trPr>
          <w:trHeight w:val="20"/>
        </w:trPr>
        <w:tc>
          <w:tcPr>
            <w:tcW w:w="493" w:type="pct"/>
            <w:vMerge/>
            <w:vAlign w:val="center"/>
          </w:tcPr>
          <w:p w14:paraId="17603B8D" w14:textId="77777777" w:rsidR="00951FA4" w:rsidRPr="00F50C10" w:rsidRDefault="00951FA4" w:rsidP="000B206D">
            <w:pPr>
              <w:spacing w:line="276" w:lineRule="auto"/>
              <w:ind w:left="74" w:right="72"/>
              <w:jc w:val="left"/>
              <w:rPr>
                <w:rFonts w:cs="Times New Roman"/>
                <w:szCs w:val="24"/>
              </w:rPr>
            </w:pPr>
          </w:p>
        </w:tc>
        <w:tc>
          <w:tcPr>
            <w:tcW w:w="745" w:type="pct"/>
            <w:vMerge/>
            <w:vAlign w:val="center"/>
          </w:tcPr>
          <w:p w14:paraId="61D952D5" w14:textId="77777777" w:rsidR="00951FA4" w:rsidRPr="00F50C10" w:rsidRDefault="00951FA4" w:rsidP="000B206D">
            <w:pPr>
              <w:spacing w:line="276" w:lineRule="auto"/>
              <w:ind w:left="74" w:right="72"/>
              <w:jc w:val="left"/>
              <w:rPr>
                <w:rFonts w:cs="Times New Roman"/>
                <w:szCs w:val="24"/>
              </w:rPr>
            </w:pPr>
          </w:p>
        </w:tc>
        <w:tc>
          <w:tcPr>
            <w:tcW w:w="596" w:type="pct"/>
            <w:vAlign w:val="center"/>
          </w:tcPr>
          <w:p w14:paraId="694BA193" w14:textId="77777777" w:rsidR="00951FA4" w:rsidRPr="00F50C10" w:rsidRDefault="00951FA4" w:rsidP="000B206D">
            <w:pPr>
              <w:pStyle w:val="TableParagraph"/>
              <w:spacing w:line="276" w:lineRule="auto"/>
              <w:ind w:left="74" w:right="72"/>
              <w:rPr>
                <w:szCs w:val="24"/>
              </w:rPr>
            </w:pPr>
            <w:r w:rsidRPr="00F50C10">
              <w:rPr>
                <w:szCs w:val="24"/>
                <w:lang w:bidi="tr-TR"/>
              </w:rPr>
              <w:t>Emisyonun tesisi terk ettiği yer</w:t>
            </w:r>
          </w:p>
        </w:tc>
        <w:tc>
          <w:tcPr>
            <w:tcW w:w="993" w:type="pct"/>
            <w:vAlign w:val="center"/>
          </w:tcPr>
          <w:p w14:paraId="15826955" w14:textId="77777777" w:rsidR="00951FA4" w:rsidRPr="00F50C10" w:rsidRDefault="00951FA4" w:rsidP="000B206D">
            <w:pPr>
              <w:pStyle w:val="TableParagraph"/>
              <w:spacing w:line="276" w:lineRule="auto"/>
              <w:ind w:left="74" w:right="72"/>
              <w:rPr>
                <w:szCs w:val="24"/>
              </w:rPr>
            </w:pPr>
            <w:r w:rsidRPr="00F50C10">
              <w:rPr>
                <w:szCs w:val="24"/>
                <w:lang w:bidi="tr-TR"/>
              </w:rPr>
              <w:t>Serbest klor</w:t>
            </w:r>
          </w:p>
        </w:tc>
        <w:tc>
          <w:tcPr>
            <w:tcW w:w="845" w:type="pct"/>
            <w:vAlign w:val="center"/>
          </w:tcPr>
          <w:p w14:paraId="470FAF0E" w14:textId="77777777" w:rsidR="00951FA4" w:rsidRPr="00F50C10" w:rsidRDefault="00951FA4" w:rsidP="000B206D">
            <w:pPr>
              <w:pStyle w:val="TableParagraph"/>
              <w:spacing w:line="276" w:lineRule="auto"/>
              <w:ind w:left="74" w:right="72"/>
              <w:rPr>
                <w:szCs w:val="24"/>
              </w:rPr>
            </w:pPr>
            <w:r w:rsidRPr="00F50C10">
              <w:rPr>
                <w:szCs w:val="24"/>
                <w:lang w:bidi="tr-TR"/>
              </w:rPr>
              <w:t>EN ISO 7393–1 veya –</w:t>
            </w:r>
          </w:p>
          <w:p w14:paraId="3FBB895F" w14:textId="77777777" w:rsidR="00951FA4" w:rsidRPr="00F50C10" w:rsidRDefault="00951FA4" w:rsidP="000B206D">
            <w:pPr>
              <w:pStyle w:val="TableParagraph"/>
              <w:spacing w:line="276" w:lineRule="auto"/>
              <w:ind w:left="74" w:right="72"/>
              <w:rPr>
                <w:szCs w:val="24"/>
              </w:rPr>
            </w:pPr>
            <w:r w:rsidRPr="00F50C10">
              <w:rPr>
                <w:szCs w:val="24"/>
                <w:lang w:bidi="tr-TR"/>
              </w:rPr>
              <w:t>2</w:t>
            </w:r>
          </w:p>
        </w:tc>
        <w:tc>
          <w:tcPr>
            <w:tcW w:w="596" w:type="pct"/>
            <w:vAlign w:val="center"/>
          </w:tcPr>
          <w:p w14:paraId="1891E0D3" w14:textId="77777777" w:rsidR="00951FA4" w:rsidRPr="00F50C10" w:rsidRDefault="00951FA4" w:rsidP="000B206D">
            <w:pPr>
              <w:pStyle w:val="TableParagraph"/>
              <w:spacing w:line="276" w:lineRule="auto"/>
              <w:ind w:left="74" w:right="72"/>
              <w:rPr>
                <w:szCs w:val="24"/>
              </w:rPr>
            </w:pPr>
            <w:r w:rsidRPr="00F50C10">
              <w:rPr>
                <w:szCs w:val="24"/>
                <w:lang w:bidi="tr-TR"/>
              </w:rPr>
              <w:t>Aylık</w:t>
            </w:r>
          </w:p>
        </w:tc>
        <w:tc>
          <w:tcPr>
            <w:tcW w:w="732" w:type="pct"/>
            <w:vAlign w:val="center"/>
          </w:tcPr>
          <w:p w14:paraId="2F6AB3ED" w14:textId="77777777" w:rsidR="00951FA4" w:rsidRPr="00F50C10" w:rsidRDefault="002A1746" w:rsidP="000B206D">
            <w:pPr>
              <w:pStyle w:val="TableParagraph"/>
              <w:spacing w:line="276" w:lineRule="auto"/>
              <w:ind w:left="74" w:right="72"/>
              <w:rPr>
                <w:szCs w:val="24"/>
              </w:rPr>
            </w:pPr>
            <w:hyperlink w:anchor="_bookmark398" w:history="1">
              <w:r w:rsidR="00951FA4" w:rsidRPr="00F50C10">
                <w:rPr>
                  <w:szCs w:val="24"/>
                  <w:lang w:bidi="tr-TR"/>
                </w:rPr>
                <w:t>MET 13</w:t>
              </w:r>
            </w:hyperlink>
          </w:p>
        </w:tc>
      </w:tr>
      <w:tr w:rsidR="00951FA4" w:rsidRPr="00F50C10" w14:paraId="24C11233" w14:textId="77777777" w:rsidTr="00116C54">
        <w:trPr>
          <w:trHeight w:val="20"/>
        </w:trPr>
        <w:tc>
          <w:tcPr>
            <w:tcW w:w="493" w:type="pct"/>
            <w:vMerge/>
            <w:vAlign w:val="center"/>
          </w:tcPr>
          <w:p w14:paraId="3855B329" w14:textId="77777777" w:rsidR="00951FA4" w:rsidRPr="00F50C10" w:rsidRDefault="00951FA4" w:rsidP="000B206D">
            <w:pPr>
              <w:spacing w:line="276" w:lineRule="auto"/>
              <w:ind w:left="74" w:right="72"/>
              <w:jc w:val="left"/>
              <w:rPr>
                <w:rFonts w:cs="Times New Roman"/>
                <w:szCs w:val="24"/>
              </w:rPr>
            </w:pPr>
          </w:p>
        </w:tc>
        <w:tc>
          <w:tcPr>
            <w:tcW w:w="745" w:type="pct"/>
            <w:vAlign w:val="center"/>
          </w:tcPr>
          <w:p w14:paraId="4AC7031C" w14:textId="77777777" w:rsidR="00951FA4" w:rsidRPr="00F50C10" w:rsidRDefault="00951FA4" w:rsidP="000B206D">
            <w:pPr>
              <w:pStyle w:val="TableParagraph"/>
              <w:spacing w:line="276" w:lineRule="auto"/>
              <w:ind w:left="74" w:right="72"/>
              <w:rPr>
                <w:szCs w:val="24"/>
              </w:rPr>
            </w:pPr>
            <w:r w:rsidRPr="00F50C10">
              <w:rPr>
                <w:szCs w:val="24"/>
                <w:lang w:bidi="tr-TR"/>
              </w:rPr>
              <w:t>Halojenli organik bileşikler</w:t>
            </w:r>
          </w:p>
        </w:tc>
        <w:tc>
          <w:tcPr>
            <w:tcW w:w="596" w:type="pct"/>
            <w:vAlign w:val="center"/>
          </w:tcPr>
          <w:p w14:paraId="4FCF337F" w14:textId="77777777" w:rsidR="00951FA4" w:rsidRPr="00F50C10" w:rsidRDefault="00951FA4" w:rsidP="000B206D">
            <w:pPr>
              <w:pStyle w:val="TableParagraph"/>
              <w:spacing w:line="276" w:lineRule="auto"/>
              <w:ind w:left="74" w:right="72"/>
              <w:rPr>
                <w:szCs w:val="24"/>
              </w:rPr>
            </w:pPr>
            <w:r w:rsidRPr="00F50C10">
              <w:rPr>
                <w:szCs w:val="24"/>
                <w:lang w:bidi="tr-TR"/>
              </w:rPr>
              <w:t>Tuzlu su tahliyesi</w:t>
            </w:r>
          </w:p>
        </w:tc>
        <w:tc>
          <w:tcPr>
            <w:tcW w:w="993" w:type="pct"/>
            <w:vAlign w:val="center"/>
          </w:tcPr>
          <w:p w14:paraId="5AF75F4F" w14:textId="5A8E0B23" w:rsidR="00951FA4" w:rsidRPr="00F50C10" w:rsidRDefault="00E408BF" w:rsidP="000B206D">
            <w:pPr>
              <w:pStyle w:val="TableParagraph"/>
              <w:spacing w:line="276" w:lineRule="auto"/>
              <w:ind w:left="74" w:right="72"/>
              <w:rPr>
                <w:szCs w:val="24"/>
              </w:rPr>
            </w:pPr>
            <w:r w:rsidRPr="00F50C10">
              <w:rPr>
                <w:szCs w:val="24"/>
                <w:lang w:bidi="tr-TR"/>
              </w:rPr>
              <w:t>Adsorbe edilebilen</w:t>
            </w:r>
            <w:r w:rsidR="00951FA4" w:rsidRPr="00F50C10">
              <w:rPr>
                <w:szCs w:val="24"/>
                <w:lang w:bidi="tr-TR"/>
              </w:rPr>
              <w:t xml:space="preserve"> organik olarak bağlı halojenler (AOX)</w:t>
            </w:r>
          </w:p>
        </w:tc>
        <w:tc>
          <w:tcPr>
            <w:tcW w:w="845" w:type="pct"/>
            <w:vAlign w:val="center"/>
          </w:tcPr>
          <w:p w14:paraId="5F10412C" w14:textId="77777777" w:rsidR="00951FA4" w:rsidRPr="00F50C10" w:rsidRDefault="00951FA4" w:rsidP="000B206D">
            <w:pPr>
              <w:pStyle w:val="TableParagraph"/>
              <w:spacing w:line="276" w:lineRule="auto"/>
              <w:ind w:left="74" w:right="72"/>
              <w:rPr>
                <w:szCs w:val="24"/>
              </w:rPr>
            </w:pPr>
            <w:r w:rsidRPr="00F50C10">
              <w:rPr>
                <w:szCs w:val="24"/>
                <w:lang w:bidi="tr-TR"/>
              </w:rPr>
              <w:t>EN ISO 9562 Ek A</w:t>
            </w:r>
          </w:p>
        </w:tc>
        <w:tc>
          <w:tcPr>
            <w:tcW w:w="596" w:type="pct"/>
            <w:vAlign w:val="center"/>
          </w:tcPr>
          <w:p w14:paraId="0DA12F45" w14:textId="77777777" w:rsidR="00951FA4" w:rsidRPr="00F50C10" w:rsidRDefault="00951FA4" w:rsidP="000B206D">
            <w:pPr>
              <w:pStyle w:val="TableParagraph"/>
              <w:spacing w:line="276" w:lineRule="auto"/>
              <w:ind w:left="74" w:right="72"/>
              <w:rPr>
                <w:szCs w:val="24"/>
              </w:rPr>
            </w:pPr>
            <w:r w:rsidRPr="00F50C10">
              <w:rPr>
                <w:szCs w:val="24"/>
                <w:lang w:bidi="tr-TR"/>
              </w:rPr>
              <w:t>Yıllık</w:t>
            </w:r>
          </w:p>
        </w:tc>
        <w:tc>
          <w:tcPr>
            <w:tcW w:w="732" w:type="pct"/>
            <w:vAlign w:val="center"/>
          </w:tcPr>
          <w:p w14:paraId="7B9F2E53" w14:textId="77777777" w:rsidR="00951FA4" w:rsidRPr="00F50C10" w:rsidRDefault="002A1746" w:rsidP="000B206D">
            <w:pPr>
              <w:pStyle w:val="TableParagraph"/>
              <w:spacing w:line="276" w:lineRule="auto"/>
              <w:ind w:left="74" w:right="72"/>
              <w:rPr>
                <w:szCs w:val="24"/>
              </w:rPr>
            </w:pPr>
            <w:hyperlink w:anchor="_bookmark400" w:history="1">
              <w:r w:rsidR="00951FA4" w:rsidRPr="00F50C10">
                <w:rPr>
                  <w:szCs w:val="24"/>
                  <w:lang w:bidi="tr-TR"/>
                </w:rPr>
                <w:t>MET 15</w:t>
              </w:r>
            </w:hyperlink>
          </w:p>
        </w:tc>
      </w:tr>
      <w:tr w:rsidR="00951FA4" w:rsidRPr="00F50C10" w14:paraId="5B058DE2" w14:textId="77777777" w:rsidTr="00116C54">
        <w:trPr>
          <w:trHeight w:val="20"/>
        </w:trPr>
        <w:tc>
          <w:tcPr>
            <w:tcW w:w="493" w:type="pct"/>
            <w:vMerge/>
            <w:vAlign w:val="center"/>
          </w:tcPr>
          <w:p w14:paraId="1DE405AC" w14:textId="77777777" w:rsidR="00951FA4" w:rsidRPr="00F50C10" w:rsidRDefault="00951FA4" w:rsidP="000B206D">
            <w:pPr>
              <w:spacing w:line="276" w:lineRule="auto"/>
              <w:ind w:left="74" w:right="72"/>
              <w:jc w:val="left"/>
              <w:rPr>
                <w:rFonts w:cs="Times New Roman"/>
                <w:szCs w:val="24"/>
              </w:rPr>
            </w:pPr>
          </w:p>
        </w:tc>
        <w:tc>
          <w:tcPr>
            <w:tcW w:w="745" w:type="pct"/>
            <w:vAlign w:val="center"/>
          </w:tcPr>
          <w:p w14:paraId="4FBA547A" w14:textId="77777777" w:rsidR="00951FA4" w:rsidRPr="00F50C10" w:rsidRDefault="00951FA4" w:rsidP="000B206D">
            <w:pPr>
              <w:pStyle w:val="TableParagraph"/>
              <w:spacing w:line="276" w:lineRule="auto"/>
              <w:ind w:left="74" w:right="72"/>
              <w:rPr>
                <w:szCs w:val="24"/>
              </w:rPr>
            </w:pPr>
            <w:r w:rsidRPr="00F50C10">
              <w:rPr>
                <w:szCs w:val="24"/>
                <w:lang w:bidi="tr-TR"/>
              </w:rPr>
              <w:t>Cıva</w:t>
            </w:r>
          </w:p>
        </w:tc>
        <w:tc>
          <w:tcPr>
            <w:tcW w:w="596" w:type="pct"/>
            <w:vAlign w:val="center"/>
          </w:tcPr>
          <w:p w14:paraId="3A47A09E" w14:textId="77777777" w:rsidR="00951FA4" w:rsidRPr="00F50C10" w:rsidRDefault="00951FA4" w:rsidP="000B206D">
            <w:pPr>
              <w:pStyle w:val="TableParagraph"/>
              <w:spacing w:line="276" w:lineRule="auto"/>
              <w:ind w:left="74" w:right="72"/>
              <w:rPr>
                <w:szCs w:val="24"/>
              </w:rPr>
            </w:pPr>
            <w:r w:rsidRPr="00F50C10">
              <w:rPr>
                <w:szCs w:val="24"/>
                <w:lang w:bidi="tr-TR"/>
              </w:rPr>
              <w:t>Cıva arıtma ünitesinin çıkışı</w:t>
            </w:r>
          </w:p>
        </w:tc>
        <w:tc>
          <w:tcPr>
            <w:tcW w:w="993" w:type="pct"/>
            <w:vAlign w:val="center"/>
          </w:tcPr>
          <w:p w14:paraId="68E98E22" w14:textId="2A328427" w:rsidR="00951FA4" w:rsidRPr="00F50C10" w:rsidRDefault="00951FA4" w:rsidP="000B206D">
            <w:pPr>
              <w:pStyle w:val="TableParagraph"/>
              <w:spacing w:line="276" w:lineRule="auto"/>
              <w:ind w:left="74" w:right="72"/>
              <w:rPr>
                <w:szCs w:val="24"/>
              </w:rPr>
            </w:pPr>
            <w:r w:rsidRPr="00F50C10">
              <w:rPr>
                <w:szCs w:val="24"/>
                <w:lang w:bidi="tr-TR"/>
              </w:rPr>
              <w:t xml:space="preserve">Atomik </w:t>
            </w:r>
            <w:r w:rsidR="001161DA" w:rsidRPr="00F50C10">
              <w:rPr>
                <w:szCs w:val="24"/>
                <w:lang w:bidi="tr-TR"/>
              </w:rPr>
              <w:t>absorpsiyon</w:t>
            </w:r>
            <w:r w:rsidRPr="00F50C10">
              <w:rPr>
                <w:szCs w:val="24"/>
                <w:lang w:bidi="tr-TR"/>
              </w:rPr>
              <w:t xml:space="preserve"> spektrometrisi veya atomik floresan spektrometrisi</w:t>
            </w:r>
          </w:p>
        </w:tc>
        <w:tc>
          <w:tcPr>
            <w:tcW w:w="845" w:type="pct"/>
            <w:vAlign w:val="center"/>
          </w:tcPr>
          <w:p w14:paraId="62FEAC28" w14:textId="77777777" w:rsidR="00951FA4" w:rsidRPr="00F50C10" w:rsidRDefault="00951FA4" w:rsidP="000B206D">
            <w:pPr>
              <w:pStyle w:val="TableParagraph"/>
              <w:spacing w:line="276" w:lineRule="auto"/>
              <w:ind w:left="74" w:right="72"/>
              <w:rPr>
                <w:szCs w:val="24"/>
              </w:rPr>
            </w:pPr>
            <w:r w:rsidRPr="00F50C10">
              <w:rPr>
                <w:szCs w:val="24"/>
                <w:lang w:bidi="tr-TR"/>
              </w:rPr>
              <w:t>EN ISO 12846 veya EN ISO 17852</w:t>
            </w:r>
          </w:p>
        </w:tc>
        <w:tc>
          <w:tcPr>
            <w:tcW w:w="596" w:type="pct"/>
            <w:vAlign w:val="center"/>
          </w:tcPr>
          <w:p w14:paraId="5F1F5365" w14:textId="77777777" w:rsidR="00951FA4" w:rsidRPr="00F50C10" w:rsidRDefault="00951FA4" w:rsidP="000B206D">
            <w:pPr>
              <w:pStyle w:val="TableParagraph"/>
              <w:spacing w:line="276" w:lineRule="auto"/>
              <w:ind w:left="74" w:right="72"/>
              <w:rPr>
                <w:szCs w:val="24"/>
              </w:rPr>
            </w:pPr>
            <w:r w:rsidRPr="00F50C10">
              <w:rPr>
                <w:szCs w:val="24"/>
                <w:lang w:bidi="tr-TR"/>
              </w:rPr>
              <w:t>Günlük</w:t>
            </w:r>
          </w:p>
        </w:tc>
        <w:tc>
          <w:tcPr>
            <w:tcW w:w="732" w:type="pct"/>
            <w:vAlign w:val="center"/>
          </w:tcPr>
          <w:p w14:paraId="4FCF33DD" w14:textId="77777777" w:rsidR="00951FA4" w:rsidRPr="00F50C10" w:rsidRDefault="002A1746" w:rsidP="000B206D">
            <w:pPr>
              <w:pStyle w:val="TableParagraph"/>
              <w:spacing w:line="276" w:lineRule="auto"/>
              <w:ind w:left="74" w:right="72"/>
              <w:rPr>
                <w:szCs w:val="24"/>
              </w:rPr>
            </w:pPr>
            <w:hyperlink w:anchor="_bookmark388" w:history="1">
              <w:r w:rsidR="00951FA4" w:rsidRPr="00F50C10">
                <w:rPr>
                  <w:szCs w:val="24"/>
                  <w:lang w:bidi="tr-TR"/>
                </w:rPr>
                <w:t>MET 3</w:t>
              </w:r>
            </w:hyperlink>
          </w:p>
        </w:tc>
      </w:tr>
      <w:tr w:rsidR="00951FA4" w:rsidRPr="00F50C10" w14:paraId="322C1389" w14:textId="77777777" w:rsidTr="00116C54">
        <w:trPr>
          <w:trHeight w:val="20"/>
        </w:trPr>
        <w:tc>
          <w:tcPr>
            <w:tcW w:w="493" w:type="pct"/>
            <w:vMerge/>
            <w:vAlign w:val="center"/>
          </w:tcPr>
          <w:p w14:paraId="7F2106D1" w14:textId="77777777" w:rsidR="00951FA4" w:rsidRPr="00F50C10" w:rsidRDefault="00951FA4" w:rsidP="000B206D">
            <w:pPr>
              <w:spacing w:line="276" w:lineRule="auto"/>
              <w:ind w:left="74" w:right="72"/>
              <w:jc w:val="left"/>
              <w:rPr>
                <w:rFonts w:cs="Times New Roman"/>
                <w:szCs w:val="24"/>
              </w:rPr>
            </w:pPr>
          </w:p>
        </w:tc>
        <w:tc>
          <w:tcPr>
            <w:tcW w:w="745" w:type="pct"/>
            <w:vAlign w:val="center"/>
          </w:tcPr>
          <w:p w14:paraId="310F7976" w14:textId="77777777" w:rsidR="00951FA4" w:rsidRPr="00F50C10" w:rsidRDefault="00951FA4" w:rsidP="000B206D">
            <w:pPr>
              <w:pStyle w:val="TableParagraph"/>
              <w:spacing w:line="276" w:lineRule="auto"/>
              <w:ind w:left="74" w:right="72"/>
              <w:rPr>
                <w:szCs w:val="24"/>
              </w:rPr>
            </w:pPr>
            <w:r w:rsidRPr="00F50C10">
              <w:rPr>
                <w:szCs w:val="24"/>
                <w:lang w:bidi="tr-TR"/>
              </w:rPr>
              <w:t>Sülfat</w:t>
            </w:r>
          </w:p>
        </w:tc>
        <w:tc>
          <w:tcPr>
            <w:tcW w:w="596" w:type="pct"/>
            <w:vAlign w:val="center"/>
          </w:tcPr>
          <w:p w14:paraId="39B36F52" w14:textId="77777777" w:rsidR="00951FA4" w:rsidRPr="00F50C10" w:rsidRDefault="00951FA4" w:rsidP="000B206D">
            <w:pPr>
              <w:pStyle w:val="TableParagraph"/>
              <w:spacing w:line="276" w:lineRule="auto"/>
              <w:ind w:left="74" w:right="72"/>
              <w:rPr>
                <w:szCs w:val="24"/>
              </w:rPr>
            </w:pPr>
            <w:r w:rsidRPr="00F50C10">
              <w:rPr>
                <w:szCs w:val="24"/>
                <w:lang w:bidi="tr-TR"/>
              </w:rPr>
              <w:t>Tuzlu su tahliyesi</w:t>
            </w:r>
          </w:p>
        </w:tc>
        <w:tc>
          <w:tcPr>
            <w:tcW w:w="993" w:type="pct"/>
            <w:vAlign w:val="center"/>
          </w:tcPr>
          <w:p w14:paraId="33C27342" w14:textId="77777777" w:rsidR="00951FA4" w:rsidRPr="00F50C10" w:rsidRDefault="00951FA4" w:rsidP="000B206D">
            <w:pPr>
              <w:pStyle w:val="TableParagraph"/>
              <w:spacing w:line="276" w:lineRule="auto"/>
              <w:ind w:left="74" w:right="72"/>
              <w:rPr>
                <w:szCs w:val="24"/>
              </w:rPr>
            </w:pPr>
            <w:r w:rsidRPr="00F50C10">
              <w:rPr>
                <w:szCs w:val="24"/>
                <w:lang w:bidi="tr-TR"/>
              </w:rPr>
              <w:t>İyon kromatografisi</w:t>
            </w:r>
          </w:p>
        </w:tc>
        <w:tc>
          <w:tcPr>
            <w:tcW w:w="845" w:type="pct"/>
            <w:vAlign w:val="center"/>
          </w:tcPr>
          <w:p w14:paraId="45CC75FB" w14:textId="77777777" w:rsidR="00951FA4" w:rsidRPr="00F50C10" w:rsidRDefault="00951FA4" w:rsidP="000B206D">
            <w:pPr>
              <w:pStyle w:val="TableParagraph"/>
              <w:spacing w:line="276" w:lineRule="auto"/>
              <w:ind w:left="74" w:right="72"/>
              <w:rPr>
                <w:szCs w:val="24"/>
              </w:rPr>
            </w:pPr>
            <w:r w:rsidRPr="00F50C10">
              <w:rPr>
                <w:szCs w:val="24"/>
                <w:lang w:bidi="tr-TR"/>
              </w:rPr>
              <w:t>EN ISO 10304–1</w:t>
            </w:r>
          </w:p>
        </w:tc>
        <w:tc>
          <w:tcPr>
            <w:tcW w:w="596" w:type="pct"/>
            <w:vAlign w:val="center"/>
          </w:tcPr>
          <w:p w14:paraId="4FD6F134" w14:textId="77777777" w:rsidR="00951FA4" w:rsidRPr="00F50C10" w:rsidRDefault="00951FA4" w:rsidP="000B206D">
            <w:pPr>
              <w:pStyle w:val="TableParagraph"/>
              <w:spacing w:line="276" w:lineRule="auto"/>
              <w:ind w:left="74" w:right="72"/>
              <w:rPr>
                <w:szCs w:val="24"/>
              </w:rPr>
            </w:pPr>
            <w:r w:rsidRPr="00F50C10">
              <w:rPr>
                <w:szCs w:val="24"/>
                <w:lang w:bidi="tr-TR"/>
              </w:rPr>
              <w:t>Yıllık</w:t>
            </w:r>
          </w:p>
        </w:tc>
        <w:tc>
          <w:tcPr>
            <w:tcW w:w="732" w:type="pct"/>
            <w:vAlign w:val="center"/>
          </w:tcPr>
          <w:p w14:paraId="03F03BA0" w14:textId="77777777" w:rsidR="00951FA4" w:rsidRPr="00F50C10" w:rsidRDefault="00951FA4" w:rsidP="000B206D">
            <w:pPr>
              <w:pStyle w:val="TableParagraph"/>
              <w:spacing w:line="276" w:lineRule="auto"/>
              <w:ind w:left="74" w:right="72"/>
              <w:rPr>
                <w:szCs w:val="24"/>
              </w:rPr>
            </w:pPr>
            <w:r w:rsidRPr="00F50C10">
              <w:rPr>
                <w:szCs w:val="24"/>
                <w:lang w:bidi="tr-TR"/>
              </w:rPr>
              <w:t>—</w:t>
            </w:r>
          </w:p>
        </w:tc>
      </w:tr>
      <w:tr w:rsidR="00951FA4" w:rsidRPr="00F50C10" w14:paraId="783442F1" w14:textId="77777777" w:rsidTr="00116C54">
        <w:trPr>
          <w:trHeight w:val="20"/>
        </w:trPr>
        <w:tc>
          <w:tcPr>
            <w:tcW w:w="493" w:type="pct"/>
            <w:vMerge/>
            <w:vAlign w:val="center"/>
          </w:tcPr>
          <w:p w14:paraId="5FF64144" w14:textId="77777777" w:rsidR="00951FA4" w:rsidRPr="00F50C10" w:rsidRDefault="00951FA4" w:rsidP="000B206D">
            <w:pPr>
              <w:spacing w:line="276" w:lineRule="auto"/>
              <w:ind w:left="74" w:right="72"/>
              <w:jc w:val="left"/>
              <w:rPr>
                <w:rFonts w:cs="Times New Roman"/>
                <w:szCs w:val="24"/>
              </w:rPr>
            </w:pPr>
          </w:p>
        </w:tc>
        <w:tc>
          <w:tcPr>
            <w:tcW w:w="745" w:type="pct"/>
            <w:vAlign w:val="center"/>
          </w:tcPr>
          <w:p w14:paraId="0532A706" w14:textId="77777777" w:rsidR="00951FA4" w:rsidRPr="00F50C10" w:rsidRDefault="00951FA4" w:rsidP="000B206D">
            <w:pPr>
              <w:pStyle w:val="TableParagraph"/>
              <w:spacing w:line="276" w:lineRule="auto"/>
              <w:ind w:left="74" w:right="72"/>
              <w:rPr>
                <w:szCs w:val="24"/>
              </w:rPr>
            </w:pPr>
            <w:r w:rsidRPr="00F50C10">
              <w:rPr>
                <w:szCs w:val="24"/>
                <w:lang w:bidi="tr-TR"/>
              </w:rPr>
              <w:t>İlgili ağır metaller (örneğin nikel, bakır)</w:t>
            </w:r>
          </w:p>
        </w:tc>
        <w:tc>
          <w:tcPr>
            <w:tcW w:w="596" w:type="pct"/>
            <w:vAlign w:val="center"/>
          </w:tcPr>
          <w:p w14:paraId="033E3214" w14:textId="77777777" w:rsidR="00951FA4" w:rsidRPr="00F50C10" w:rsidRDefault="00951FA4" w:rsidP="000B206D">
            <w:pPr>
              <w:pStyle w:val="TableParagraph"/>
              <w:spacing w:line="276" w:lineRule="auto"/>
              <w:ind w:left="74" w:right="72"/>
              <w:rPr>
                <w:szCs w:val="24"/>
              </w:rPr>
            </w:pPr>
            <w:r w:rsidRPr="00F50C10">
              <w:rPr>
                <w:szCs w:val="24"/>
                <w:lang w:bidi="tr-TR"/>
              </w:rPr>
              <w:t>Tuzlu su tahliyesi</w:t>
            </w:r>
          </w:p>
        </w:tc>
        <w:tc>
          <w:tcPr>
            <w:tcW w:w="993" w:type="pct"/>
            <w:vAlign w:val="center"/>
          </w:tcPr>
          <w:p w14:paraId="0413D2C8" w14:textId="77777777" w:rsidR="00951FA4" w:rsidRPr="00F50C10" w:rsidRDefault="00951FA4" w:rsidP="000B206D">
            <w:pPr>
              <w:pStyle w:val="TableParagraph"/>
              <w:spacing w:line="276" w:lineRule="auto"/>
              <w:ind w:left="74" w:right="72"/>
              <w:rPr>
                <w:szCs w:val="24"/>
              </w:rPr>
            </w:pPr>
            <w:r w:rsidRPr="00F50C10">
              <w:rPr>
                <w:szCs w:val="24"/>
                <w:lang w:bidi="tr-TR"/>
              </w:rPr>
              <w:t>Endüktif olarak eşleştirilmiş plazma optik emisyon spektrometrisi veya endüktif olarak eşleştirilmiş plazma kütle spektrometrisi</w:t>
            </w:r>
          </w:p>
        </w:tc>
        <w:tc>
          <w:tcPr>
            <w:tcW w:w="845" w:type="pct"/>
            <w:vAlign w:val="center"/>
          </w:tcPr>
          <w:p w14:paraId="0789E7E7" w14:textId="77777777" w:rsidR="00951FA4" w:rsidRPr="00F50C10" w:rsidRDefault="00951FA4" w:rsidP="000B206D">
            <w:pPr>
              <w:pStyle w:val="TableParagraph"/>
              <w:spacing w:line="276" w:lineRule="auto"/>
              <w:ind w:left="74" w:right="72"/>
              <w:rPr>
                <w:szCs w:val="24"/>
              </w:rPr>
            </w:pPr>
            <w:r w:rsidRPr="00F50C10">
              <w:rPr>
                <w:szCs w:val="24"/>
                <w:lang w:bidi="tr-TR"/>
              </w:rPr>
              <w:t>EN ISO 11885 veya EN ISO 17294-2</w:t>
            </w:r>
          </w:p>
        </w:tc>
        <w:tc>
          <w:tcPr>
            <w:tcW w:w="596" w:type="pct"/>
            <w:vAlign w:val="center"/>
          </w:tcPr>
          <w:p w14:paraId="50923797" w14:textId="77777777" w:rsidR="00951FA4" w:rsidRPr="00F50C10" w:rsidRDefault="00951FA4" w:rsidP="000B206D">
            <w:pPr>
              <w:pStyle w:val="TableParagraph"/>
              <w:spacing w:line="276" w:lineRule="auto"/>
              <w:ind w:left="74" w:right="72"/>
              <w:rPr>
                <w:szCs w:val="24"/>
              </w:rPr>
            </w:pPr>
            <w:r w:rsidRPr="00F50C10">
              <w:rPr>
                <w:szCs w:val="24"/>
                <w:lang w:bidi="tr-TR"/>
              </w:rPr>
              <w:t>Yıllık</w:t>
            </w:r>
          </w:p>
        </w:tc>
        <w:tc>
          <w:tcPr>
            <w:tcW w:w="732" w:type="pct"/>
            <w:vAlign w:val="center"/>
          </w:tcPr>
          <w:p w14:paraId="146B6CA9" w14:textId="77777777" w:rsidR="00951FA4" w:rsidRPr="00F50C10" w:rsidRDefault="00951FA4" w:rsidP="000B206D">
            <w:pPr>
              <w:pStyle w:val="TableParagraph"/>
              <w:spacing w:line="276" w:lineRule="auto"/>
              <w:ind w:left="74" w:right="72"/>
              <w:rPr>
                <w:szCs w:val="24"/>
              </w:rPr>
            </w:pPr>
            <w:r w:rsidRPr="00F50C10">
              <w:rPr>
                <w:szCs w:val="24"/>
                <w:lang w:bidi="tr-TR"/>
              </w:rPr>
              <w:t>—</w:t>
            </w:r>
          </w:p>
        </w:tc>
      </w:tr>
      <w:tr w:rsidR="00951FA4" w:rsidRPr="00F50C10" w14:paraId="79E31AED" w14:textId="77777777" w:rsidTr="00116C54">
        <w:trPr>
          <w:trHeight w:val="20"/>
        </w:trPr>
        <w:tc>
          <w:tcPr>
            <w:tcW w:w="5000" w:type="pct"/>
            <w:gridSpan w:val="7"/>
            <w:vAlign w:val="center"/>
          </w:tcPr>
          <w:p w14:paraId="07F9168F" w14:textId="77777777" w:rsidR="00951FA4" w:rsidRPr="00F50C10" w:rsidRDefault="00951FA4" w:rsidP="000B206D">
            <w:pPr>
              <w:pStyle w:val="TableParagraph"/>
              <w:spacing w:line="276" w:lineRule="auto"/>
              <w:ind w:left="74" w:right="72"/>
              <w:rPr>
                <w:i/>
                <w:iCs/>
                <w:szCs w:val="24"/>
              </w:rPr>
            </w:pPr>
            <w:r w:rsidRPr="00F50C10">
              <w:rPr>
                <w:i/>
                <w:iCs/>
                <w:szCs w:val="24"/>
                <w:lang w:bidi="tr-TR"/>
              </w:rPr>
              <w:t>(1) İzleme, belirtildiği gibi hem sürekli hem de periyodik izlemeyi kapsar.</w:t>
            </w:r>
          </w:p>
        </w:tc>
      </w:tr>
    </w:tbl>
    <w:p w14:paraId="188CF208" w14:textId="77777777" w:rsidR="00951FA4" w:rsidRPr="00F50C10" w:rsidRDefault="00951FA4" w:rsidP="00A654AE">
      <w:pPr>
        <w:pStyle w:val="Balk1"/>
        <w:numPr>
          <w:ilvl w:val="0"/>
          <w:numId w:val="180"/>
        </w:numPr>
        <w:spacing w:before="240" w:line="276" w:lineRule="auto"/>
        <w:rPr>
          <w:rFonts w:cs="Times New Roman"/>
          <w:szCs w:val="24"/>
          <w:lang w:bidi="tr-TR"/>
        </w:rPr>
      </w:pPr>
      <w:bookmarkStart w:id="256" w:name="_Toc134622091"/>
      <w:r w:rsidRPr="00F50C10">
        <w:rPr>
          <w:rFonts w:cs="Times New Roman"/>
          <w:szCs w:val="24"/>
          <w:lang w:bidi="tr-TR"/>
        </w:rPr>
        <w:t>HAVA EMİSYONLARI</w:t>
      </w:r>
      <w:bookmarkEnd w:id="256"/>
    </w:p>
    <w:p w14:paraId="722DE12A" w14:textId="2B4B69DB" w:rsidR="00951FA4" w:rsidRPr="00F50C10" w:rsidRDefault="00951FA4" w:rsidP="000B206D">
      <w:pPr>
        <w:spacing w:before="240" w:line="276" w:lineRule="auto"/>
        <w:rPr>
          <w:rFonts w:cs="Times New Roman"/>
          <w:szCs w:val="24"/>
        </w:rPr>
      </w:pPr>
      <w:r w:rsidRPr="00F50C10">
        <w:rPr>
          <w:rFonts w:cs="Times New Roman"/>
          <w:b/>
          <w:bCs/>
          <w:szCs w:val="24"/>
        </w:rPr>
        <w:t xml:space="preserve">MET 8: </w:t>
      </w:r>
      <w:r w:rsidRPr="00F50C10">
        <w:rPr>
          <w:rFonts w:cs="Times New Roman"/>
          <w:szCs w:val="24"/>
        </w:rPr>
        <w:t>Klorun işlenmesinden kaynaklanan kanalize  klor ve klor dioksit hava emisyonlarını azaltmak içi</w:t>
      </w:r>
      <w:r w:rsidR="003847F7" w:rsidRPr="00F50C10">
        <w:rPr>
          <w:rFonts w:cs="Times New Roman"/>
          <w:szCs w:val="24"/>
        </w:rPr>
        <w:t>n</w:t>
      </w:r>
      <w:r w:rsidRPr="00F50C10">
        <w:rPr>
          <w:rFonts w:cs="Times New Roman"/>
          <w:szCs w:val="24"/>
        </w:rPr>
        <w:t>, aşağıdaki özelliklerin uygun bir kombinasyonunu içeren bir klor soğurma (absorpsiyon) ünitesi tasarla</w:t>
      </w:r>
      <w:r w:rsidR="003847F7" w:rsidRPr="00F50C10">
        <w:rPr>
          <w:rFonts w:cs="Times New Roman"/>
          <w:szCs w:val="24"/>
        </w:rPr>
        <w:t>nır</w:t>
      </w:r>
      <w:r w:rsidRPr="00F50C10">
        <w:rPr>
          <w:rFonts w:cs="Times New Roman"/>
          <w:szCs w:val="24"/>
        </w:rPr>
        <w:t>, sürdür</w:t>
      </w:r>
      <w:r w:rsidR="003847F7" w:rsidRPr="00F50C10">
        <w:rPr>
          <w:rFonts w:cs="Times New Roman"/>
          <w:szCs w:val="24"/>
        </w:rPr>
        <w:t>ülür</w:t>
      </w:r>
      <w:r w:rsidRPr="00F50C10">
        <w:rPr>
          <w:rFonts w:cs="Times New Roman"/>
          <w:szCs w:val="24"/>
        </w:rPr>
        <w:t xml:space="preserve"> ve işlet</w:t>
      </w:r>
      <w:r w:rsidR="003847F7" w:rsidRPr="00F50C10">
        <w:rPr>
          <w:rFonts w:cs="Times New Roman"/>
          <w:szCs w:val="24"/>
        </w:rPr>
        <w:t>ilir</w:t>
      </w:r>
      <w:r w:rsidRPr="00F50C10">
        <w:rPr>
          <w:rFonts w:cs="Times New Roman"/>
          <w:szCs w:val="24"/>
        </w:rPr>
        <w:t>:</w:t>
      </w:r>
    </w:p>
    <w:p w14:paraId="6523F44D" w14:textId="192F6DBF" w:rsidR="00951FA4" w:rsidRPr="00F50C10" w:rsidRDefault="00951FA4" w:rsidP="00A654AE">
      <w:pPr>
        <w:pStyle w:val="ListeParagraf"/>
        <w:numPr>
          <w:ilvl w:val="0"/>
          <w:numId w:val="64"/>
        </w:numPr>
        <w:spacing w:before="240" w:line="276" w:lineRule="auto"/>
        <w:rPr>
          <w:rFonts w:cs="Times New Roman"/>
          <w:szCs w:val="24"/>
        </w:rPr>
      </w:pPr>
      <w:r w:rsidRPr="00F50C10">
        <w:rPr>
          <w:rFonts w:cs="Times New Roman"/>
          <w:szCs w:val="24"/>
          <w:lang w:bidi="tr-TR"/>
        </w:rPr>
        <w:t xml:space="preserve">yıkama sıvısı olarak alkali bir çözelti (örneğin sodyum hidroksit çözeltisi) içeren dolgulu kolonlar ve/veya ejektörlere dayanan </w:t>
      </w:r>
      <w:r w:rsidR="005D3E4B" w:rsidRPr="00F50C10">
        <w:rPr>
          <w:rFonts w:cs="Times New Roman"/>
          <w:szCs w:val="24"/>
          <w:lang w:bidi="tr-TR"/>
        </w:rPr>
        <w:t>absorpsiyon</w:t>
      </w:r>
      <w:r w:rsidRPr="00F50C10">
        <w:rPr>
          <w:rFonts w:cs="Times New Roman"/>
          <w:szCs w:val="24"/>
          <w:lang w:bidi="tr-TR"/>
        </w:rPr>
        <w:t xml:space="preserve"> ünitesi;</w:t>
      </w:r>
    </w:p>
    <w:p w14:paraId="2F602B7B" w14:textId="77777777" w:rsidR="00951FA4" w:rsidRPr="00F50C10" w:rsidRDefault="00951FA4" w:rsidP="00A654AE">
      <w:pPr>
        <w:pStyle w:val="ListeParagraf"/>
        <w:numPr>
          <w:ilvl w:val="0"/>
          <w:numId w:val="64"/>
        </w:numPr>
        <w:spacing w:line="276" w:lineRule="auto"/>
        <w:rPr>
          <w:rFonts w:cs="Times New Roman"/>
          <w:szCs w:val="24"/>
        </w:rPr>
      </w:pPr>
      <w:r w:rsidRPr="00F50C10">
        <w:rPr>
          <w:rFonts w:cs="Times New Roman"/>
          <w:szCs w:val="24"/>
        </w:rPr>
        <w:t>klor dioksit konsantrasyonlarını azaltmak için gerekirse hidrojen peroksit dozlama ekipmanı veya hidrojen peroksitli ayrı bir ıslak gaz yıkayıcı;</w:t>
      </w:r>
    </w:p>
    <w:p w14:paraId="1770CAAE" w14:textId="77777777" w:rsidR="00951FA4" w:rsidRPr="00F50C10" w:rsidRDefault="00951FA4" w:rsidP="00A654AE">
      <w:pPr>
        <w:pStyle w:val="ListeParagraf"/>
        <w:numPr>
          <w:ilvl w:val="0"/>
          <w:numId w:val="64"/>
        </w:numPr>
        <w:spacing w:line="276" w:lineRule="auto"/>
        <w:rPr>
          <w:rFonts w:cs="Times New Roman"/>
          <w:szCs w:val="24"/>
        </w:rPr>
      </w:pPr>
      <w:r w:rsidRPr="00F50C10">
        <w:rPr>
          <w:rFonts w:cs="Times New Roman"/>
          <w:szCs w:val="24"/>
        </w:rPr>
        <w:t>üretilen klor miktarı ve akış hızı (tesis durdurulana kadar yeterli bir süre boyunca tüm hücre odası üretiminin soğurulması) açısından en kötü durum senaryosu (bir risk değerlendirmesiyle oluşturulan) için uygun boyut;</w:t>
      </w:r>
    </w:p>
    <w:p w14:paraId="5D1C2324" w14:textId="3A79524B" w:rsidR="00951FA4" w:rsidRPr="00F50C10" w:rsidRDefault="00951FA4" w:rsidP="00A654AE">
      <w:pPr>
        <w:pStyle w:val="ListeParagraf"/>
        <w:numPr>
          <w:ilvl w:val="0"/>
          <w:numId w:val="64"/>
        </w:numPr>
        <w:spacing w:line="276" w:lineRule="auto"/>
        <w:rPr>
          <w:rFonts w:cs="Times New Roman"/>
          <w:szCs w:val="24"/>
        </w:rPr>
      </w:pPr>
      <w:r w:rsidRPr="00F50C10">
        <w:rPr>
          <w:rFonts w:cs="Times New Roman"/>
          <w:szCs w:val="24"/>
        </w:rPr>
        <w:t>yıkama sıvısı kaynağının boyutu ve depolama kapasitesi</w:t>
      </w:r>
      <w:r w:rsidR="00C51AA7" w:rsidRPr="00F50C10">
        <w:rPr>
          <w:rFonts w:cs="Times New Roman"/>
          <w:szCs w:val="24"/>
        </w:rPr>
        <w:t>nin daima fazlalık sağlayacak şekilde uygun olması</w:t>
      </w:r>
      <w:r w:rsidRPr="00F50C10">
        <w:rPr>
          <w:rFonts w:cs="Times New Roman"/>
          <w:szCs w:val="24"/>
        </w:rPr>
        <w:t>;</w:t>
      </w:r>
    </w:p>
    <w:p w14:paraId="1B7D032F" w14:textId="412A61E4" w:rsidR="00951FA4" w:rsidRPr="00F50C10" w:rsidRDefault="00951FA4" w:rsidP="00A654AE">
      <w:pPr>
        <w:pStyle w:val="ListeParagraf"/>
        <w:numPr>
          <w:ilvl w:val="0"/>
          <w:numId w:val="64"/>
        </w:numPr>
        <w:spacing w:line="276" w:lineRule="auto"/>
        <w:rPr>
          <w:rFonts w:cs="Times New Roman"/>
          <w:szCs w:val="24"/>
        </w:rPr>
      </w:pPr>
      <w:r w:rsidRPr="00F50C10">
        <w:rPr>
          <w:rFonts w:cs="Times New Roman"/>
          <w:szCs w:val="24"/>
        </w:rPr>
        <w:t xml:space="preserve">dolgulu kolonlar kullanılıyorsa, boyutları </w:t>
      </w:r>
      <w:r w:rsidR="00C51AA7" w:rsidRPr="00F50C10">
        <w:rPr>
          <w:rFonts w:cs="Times New Roman"/>
          <w:szCs w:val="24"/>
        </w:rPr>
        <w:t>daima</w:t>
      </w:r>
      <w:r w:rsidRPr="00F50C10">
        <w:rPr>
          <w:rFonts w:cs="Times New Roman"/>
          <w:szCs w:val="24"/>
        </w:rPr>
        <w:t xml:space="preserve"> taşmayı önleyecek şekilde olmalıdır;</w:t>
      </w:r>
    </w:p>
    <w:p w14:paraId="25EFD327" w14:textId="38A7C83C" w:rsidR="00951FA4" w:rsidRPr="00F50C10" w:rsidRDefault="00951FA4" w:rsidP="00A654AE">
      <w:pPr>
        <w:pStyle w:val="ListeParagraf"/>
        <w:numPr>
          <w:ilvl w:val="0"/>
          <w:numId w:val="64"/>
        </w:numPr>
        <w:spacing w:line="276" w:lineRule="auto"/>
        <w:rPr>
          <w:rFonts w:cs="Times New Roman"/>
          <w:szCs w:val="24"/>
        </w:rPr>
      </w:pPr>
      <w:r w:rsidRPr="00F50C10">
        <w:rPr>
          <w:rFonts w:cs="Times New Roman"/>
          <w:szCs w:val="24"/>
        </w:rPr>
        <w:t xml:space="preserve">sıvı klorun </w:t>
      </w:r>
      <w:r w:rsidR="005D3E4B" w:rsidRPr="00F50C10">
        <w:rPr>
          <w:rFonts w:cs="Times New Roman"/>
          <w:szCs w:val="24"/>
        </w:rPr>
        <w:t>absorpsiyon</w:t>
      </w:r>
      <w:r w:rsidRPr="00F50C10">
        <w:rPr>
          <w:rFonts w:cs="Times New Roman"/>
          <w:szCs w:val="24"/>
        </w:rPr>
        <w:t xml:space="preserve"> ünitesine girmesinin önlenmesi;</w:t>
      </w:r>
    </w:p>
    <w:p w14:paraId="7C845808" w14:textId="77777777" w:rsidR="00951FA4" w:rsidRPr="00F50C10" w:rsidRDefault="00951FA4" w:rsidP="00A654AE">
      <w:pPr>
        <w:pStyle w:val="ListeParagraf"/>
        <w:numPr>
          <w:ilvl w:val="0"/>
          <w:numId w:val="64"/>
        </w:numPr>
        <w:spacing w:line="276" w:lineRule="auto"/>
        <w:rPr>
          <w:rFonts w:cs="Times New Roman"/>
          <w:szCs w:val="24"/>
        </w:rPr>
      </w:pPr>
      <w:r w:rsidRPr="00F50C10">
        <w:rPr>
          <w:rFonts w:cs="Times New Roman"/>
          <w:szCs w:val="24"/>
        </w:rPr>
        <w:t>yıkama sıvısının klor sistemine geri akışının önlenmesi;</w:t>
      </w:r>
    </w:p>
    <w:p w14:paraId="7C321514" w14:textId="3EF2C976" w:rsidR="00951FA4" w:rsidRPr="00F50C10" w:rsidRDefault="005D3E4B" w:rsidP="00A654AE">
      <w:pPr>
        <w:pStyle w:val="ListeParagraf"/>
        <w:numPr>
          <w:ilvl w:val="0"/>
          <w:numId w:val="64"/>
        </w:numPr>
        <w:spacing w:line="276" w:lineRule="auto"/>
        <w:rPr>
          <w:rFonts w:cs="Times New Roman"/>
          <w:szCs w:val="24"/>
        </w:rPr>
      </w:pPr>
      <w:r w:rsidRPr="00F50C10">
        <w:rPr>
          <w:rFonts w:cs="Times New Roman"/>
          <w:szCs w:val="24"/>
        </w:rPr>
        <w:t>absorpsiyon</w:t>
      </w:r>
      <w:r w:rsidR="00951FA4" w:rsidRPr="00F50C10">
        <w:rPr>
          <w:rFonts w:cs="Times New Roman"/>
          <w:szCs w:val="24"/>
        </w:rPr>
        <w:t xml:space="preserve"> ünitesinde katı çökelmesinin önlenmesi;</w:t>
      </w:r>
    </w:p>
    <w:p w14:paraId="285F88F1" w14:textId="0DE80E90" w:rsidR="00951FA4" w:rsidRPr="00F50C10" w:rsidRDefault="005D3E4B" w:rsidP="00A654AE">
      <w:pPr>
        <w:pStyle w:val="ListeParagraf"/>
        <w:numPr>
          <w:ilvl w:val="0"/>
          <w:numId w:val="64"/>
        </w:numPr>
        <w:spacing w:line="276" w:lineRule="auto"/>
        <w:rPr>
          <w:rFonts w:cs="Times New Roman"/>
          <w:szCs w:val="24"/>
        </w:rPr>
      </w:pPr>
      <w:r w:rsidRPr="00F50C10">
        <w:rPr>
          <w:rFonts w:cs="Times New Roman"/>
          <w:szCs w:val="24"/>
        </w:rPr>
        <w:t>absorpsiyon</w:t>
      </w:r>
      <w:r w:rsidR="00951FA4" w:rsidRPr="00F50C10">
        <w:rPr>
          <w:rFonts w:cs="Times New Roman"/>
          <w:szCs w:val="24"/>
        </w:rPr>
        <w:t xml:space="preserve"> ünitesindeki sıcaklığı </w:t>
      </w:r>
      <w:r w:rsidR="00C51AA7" w:rsidRPr="00F50C10">
        <w:rPr>
          <w:rFonts w:cs="Times New Roman"/>
          <w:szCs w:val="24"/>
        </w:rPr>
        <w:t>daima</w:t>
      </w:r>
      <w:r w:rsidR="00951FA4" w:rsidRPr="00F50C10">
        <w:rPr>
          <w:rFonts w:cs="Times New Roman"/>
          <w:szCs w:val="24"/>
        </w:rPr>
        <w:t xml:space="preserve"> 55 °C'nin altında tutmak için ısı eşanjörlerinin kullanılması;</w:t>
      </w:r>
    </w:p>
    <w:p w14:paraId="741555F2" w14:textId="2760F08A" w:rsidR="00951FA4" w:rsidRPr="00F50C10" w:rsidRDefault="00951FA4" w:rsidP="00A654AE">
      <w:pPr>
        <w:pStyle w:val="ListeParagraf"/>
        <w:numPr>
          <w:ilvl w:val="0"/>
          <w:numId w:val="64"/>
        </w:numPr>
        <w:spacing w:line="276" w:lineRule="auto"/>
        <w:rPr>
          <w:rFonts w:cs="Times New Roman"/>
          <w:szCs w:val="24"/>
        </w:rPr>
      </w:pPr>
      <w:r w:rsidRPr="00F50C10">
        <w:rPr>
          <w:rFonts w:cs="Times New Roman"/>
          <w:szCs w:val="24"/>
        </w:rPr>
        <w:t xml:space="preserve">patlayıcı gaz karışımlarının oluşmasını önlemek için klor </w:t>
      </w:r>
      <w:r w:rsidR="005D3E4B" w:rsidRPr="00F50C10">
        <w:rPr>
          <w:rFonts w:cs="Times New Roman"/>
          <w:szCs w:val="24"/>
        </w:rPr>
        <w:t>absorpsiyon</w:t>
      </w:r>
      <w:r w:rsidRPr="00F50C10">
        <w:rPr>
          <w:rFonts w:cs="Times New Roman"/>
          <w:szCs w:val="24"/>
        </w:rPr>
        <w:t>dan sonra seyreltme havasının sağlanması;</w:t>
      </w:r>
    </w:p>
    <w:p w14:paraId="718F214B" w14:textId="1D8BB274" w:rsidR="00951FA4" w:rsidRPr="00F50C10" w:rsidRDefault="00C51AA7" w:rsidP="00A654AE">
      <w:pPr>
        <w:pStyle w:val="ListeParagraf"/>
        <w:numPr>
          <w:ilvl w:val="0"/>
          <w:numId w:val="64"/>
        </w:numPr>
        <w:spacing w:line="276" w:lineRule="auto"/>
        <w:rPr>
          <w:rFonts w:cs="Times New Roman"/>
          <w:szCs w:val="24"/>
        </w:rPr>
      </w:pPr>
      <w:r w:rsidRPr="00F50C10">
        <w:rPr>
          <w:rFonts w:cs="Times New Roman"/>
          <w:szCs w:val="24"/>
        </w:rPr>
        <w:t>daima</w:t>
      </w:r>
      <w:r w:rsidR="00951FA4" w:rsidRPr="00F50C10">
        <w:rPr>
          <w:rFonts w:cs="Times New Roman"/>
          <w:szCs w:val="24"/>
        </w:rPr>
        <w:t xml:space="preserve"> aşırı aşındırıcı koşullara dayanıklı yapı malzemelerinin kullanılması;</w:t>
      </w:r>
    </w:p>
    <w:p w14:paraId="1AFD282B" w14:textId="77777777" w:rsidR="00951FA4" w:rsidRPr="00F50C10" w:rsidRDefault="00951FA4" w:rsidP="00A654AE">
      <w:pPr>
        <w:pStyle w:val="ListeParagraf"/>
        <w:numPr>
          <w:ilvl w:val="0"/>
          <w:numId w:val="64"/>
        </w:numPr>
        <w:spacing w:line="276" w:lineRule="auto"/>
        <w:rPr>
          <w:rFonts w:cs="Times New Roman"/>
          <w:szCs w:val="24"/>
        </w:rPr>
      </w:pPr>
      <w:r w:rsidRPr="00F50C10">
        <w:rPr>
          <w:rFonts w:cs="Times New Roman"/>
          <w:szCs w:val="24"/>
        </w:rPr>
        <w:t>çalışan ekipmanla seri olarak bağlı ek bir yıkayıcı, yer çekimi ile yıkayıcıyı besleyen yıkama sıvısı içeren bir acil durum tankı, hazırda bekleyen ve yedek fanlar, hazırda bekleyen ve yedek pompalar gibi yedek ekipmanların kullanılması;</w:t>
      </w:r>
    </w:p>
    <w:p w14:paraId="7CFABF14" w14:textId="77777777" w:rsidR="00951FA4" w:rsidRPr="00F50C10" w:rsidRDefault="00951FA4" w:rsidP="00A654AE">
      <w:pPr>
        <w:pStyle w:val="ListeParagraf"/>
        <w:numPr>
          <w:ilvl w:val="0"/>
          <w:numId w:val="64"/>
        </w:numPr>
        <w:spacing w:line="276" w:lineRule="auto"/>
        <w:rPr>
          <w:rFonts w:cs="Times New Roman"/>
          <w:szCs w:val="24"/>
        </w:rPr>
      </w:pPr>
      <w:r w:rsidRPr="00F50C10">
        <w:rPr>
          <w:rFonts w:cs="Times New Roman"/>
          <w:szCs w:val="24"/>
        </w:rPr>
        <w:t>kritik elektrikli ekipmanlar için bağımsız bir yedekleme sisteminin sağlanması;</w:t>
      </w:r>
    </w:p>
    <w:p w14:paraId="3A814AB7" w14:textId="77777777" w:rsidR="00951FA4" w:rsidRPr="00F50C10" w:rsidRDefault="00951FA4" w:rsidP="00A654AE">
      <w:pPr>
        <w:pStyle w:val="ListeParagraf"/>
        <w:numPr>
          <w:ilvl w:val="0"/>
          <w:numId w:val="64"/>
        </w:numPr>
        <w:spacing w:line="276" w:lineRule="auto"/>
        <w:rPr>
          <w:rFonts w:cs="Times New Roman"/>
          <w:szCs w:val="24"/>
        </w:rPr>
      </w:pPr>
      <w:r w:rsidRPr="00F50C10">
        <w:rPr>
          <w:rFonts w:cs="Times New Roman"/>
          <w:szCs w:val="24"/>
        </w:rPr>
        <w:t>bu sistem ve geçiş üzerinde yapılacak periyodik testler de dahil olmak üzere, acil durumlarda yedek sisteme otomatik geçiş sağlanması;</w:t>
      </w:r>
    </w:p>
    <w:p w14:paraId="0D1C306A" w14:textId="77777777" w:rsidR="00951FA4" w:rsidRPr="00F50C10" w:rsidRDefault="00951FA4" w:rsidP="00A654AE">
      <w:pPr>
        <w:pStyle w:val="ListeParagraf"/>
        <w:numPr>
          <w:ilvl w:val="0"/>
          <w:numId w:val="64"/>
        </w:numPr>
        <w:spacing w:line="276" w:lineRule="auto"/>
        <w:rPr>
          <w:rFonts w:cs="Times New Roman"/>
          <w:szCs w:val="24"/>
        </w:rPr>
      </w:pPr>
      <w:r w:rsidRPr="00F50C10">
        <w:rPr>
          <w:rFonts w:cs="Times New Roman"/>
          <w:szCs w:val="24"/>
        </w:rPr>
        <w:t>aşağıdaki parametreler için bir izleme ve alarm sisteminin sağlanması:</w:t>
      </w:r>
    </w:p>
    <w:p w14:paraId="0D7A157F" w14:textId="7CBF3CBD" w:rsidR="00951FA4" w:rsidRPr="00F50C10" w:rsidRDefault="005D3E4B" w:rsidP="00A654AE">
      <w:pPr>
        <w:pStyle w:val="ListeParagraf"/>
        <w:numPr>
          <w:ilvl w:val="0"/>
          <w:numId w:val="65"/>
        </w:numPr>
        <w:spacing w:line="276" w:lineRule="auto"/>
        <w:rPr>
          <w:rFonts w:cs="Times New Roman"/>
          <w:szCs w:val="24"/>
        </w:rPr>
      </w:pPr>
      <w:r w:rsidRPr="00F50C10">
        <w:rPr>
          <w:rFonts w:cs="Times New Roman"/>
          <w:szCs w:val="24"/>
        </w:rPr>
        <w:t>absorpsiyon</w:t>
      </w:r>
      <w:r w:rsidR="00951FA4" w:rsidRPr="00F50C10">
        <w:rPr>
          <w:rFonts w:cs="Times New Roman"/>
          <w:szCs w:val="24"/>
        </w:rPr>
        <w:t xml:space="preserve"> ünitesinin çıkışında ve çevresinde klor;</w:t>
      </w:r>
    </w:p>
    <w:p w14:paraId="1F976B73" w14:textId="77777777" w:rsidR="00951FA4" w:rsidRPr="00F50C10" w:rsidRDefault="00951FA4" w:rsidP="00A654AE">
      <w:pPr>
        <w:pStyle w:val="ListeParagraf"/>
        <w:numPr>
          <w:ilvl w:val="0"/>
          <w:numId w:val="65"/>
        </w:numPr>
        <w:spacing w:line="276" w:lineRule="auto"/>
        <w:rPr>
          <w:rFonts w:cs="Times New Roman"/>
          <w:szCs w:val="24"/>
        </w:rPr>
      </w:pPr>
      <w:r w:rsidRPr="00F50C10">
        <w:rPr>
          <w:rFonts w:cs="Times New Roman"/>
          <w:szCs w:val="24"/>
        </w:rPr>
        <w:t>yıkama sıvılarının sıcaklığı;</w:t>
      </w:r>
    </w:p>
    <w:p w14:paraId="0F01EB1B" w14:textId="77777777" w:rsidR="00951FA4" w:rsidRPr="00F50C10" w:rsidRDefault="00951FA4" w:rsidP="00A654AE">
      <w:pPr>
        <w:pStyle w:val="ListeParagraf"/>
        <w:numPr>
          <w:ilvl w:val="0"/>
          <w:numId w:val="65"/>
        </w:numPr>
        <w:spacing w:line="276" w:lineRule="auto"/>
        <w:rPr>
          <w:rFonts w:cs="Times New Roman"/>
          <w:szCs w:val="24"/>
        </w:rPr>
      </w:pPr>
      <w:r w:rsidRPr="00F50C10">
        <w:rPr>
          <w:rFonts w:cs="Times New Roman"/>
          <w:szCs w:val="24"/>
        </w:rPr>
        <w:t>yıkama sıvılarının indirgenme potansiyeli ve alkalinitesi;</w:t>
      </w:r>
    </w:p>
    <w:p w14:paraId="57A5137E" w14:textId="77777777" w:rsidR="00951FA4" w:rsidRPr="00F50C10" w:rsidRDefault="00951FA4" w:rsidP="00A654AE">
      <w:pPr>
        <w:pStyle w:val="ListeParagraf"/>
        <w:numPr>
          <w:ilvl w:val="0"/>
          <w:numId w:val="65"/>
        </w:numPr>
        <w:spacing w:line="276" w:lineRule="auto"/>
        <w:rPr>
          <w:rFonts w:cs="Times New Roman"/>
          <w:szCs w:val="24"/>
        </w:rPr>
      </w:pPr>
      <w:r w:rsidRPr="00F50C10">
        <w:rPr>
          <w:rFonts w:cs="Times New Roman"/>
          <w:szCs w:val="24"/>
        </w:rPr>
        <w:t>emme basıncı;</w:t>
      </w:r>
    </w:p>
    <w:p w14:paraId="72E9BAD0" w14:textId="77777777" w:rsidR="00951FA4" w:rsidRPr="00F50C10" w:rsidRDefault="00951FA4" w:rsidP="00A654AE">
      <w:pPr>
        <w:pStyle w:val="ListeParagraf"/>
        <w:numPr>
          <w:ilvl w:val="0"/>
          <w:numId w:val="65"/>
        </w:numPr>
        <w:spacing w:line="276" w:lineRule="auto"/>
        <w:rPr>
          <w:rFonts w:cs="Times New Roman"/>
          <w:szCs w:val="24"/>
        </w:rPr>
      </w:pPr>
      <w:r w:rsidRPr="00F50C10">
        <w:rPr>
          <w:rFonts w:cs="Times New Roman"/>
          <w:szCs w:val="24"/>
        </w:rPr>
        <w:t>yıkama sıvılarının akış hızı.</w:t>
      </w:r>
    </w:p>
    <w:p w14:paraId="0BB0A8F0" w14:textId="7EE34C11" w:rsidR="00951FA4" w:rsidRPr="00F50C10" w:rsidRDefault="00951FA4" w:rsidP="000B206D">
      <w:pPr>
        <w:pStyle w:val="GvdeMetni"/>
        <w:spacing w:before="240" w:line="276" w:lineRule="auto"/>
        <w:jc w:val="both"/>
        <w:rPr>
          <w:sz w:val="24"/>
          <w:szCs w:val="24"/>
          <w:lang w:bidi="tr-TR"/>
        </w:rPr>
      </w:pPr>
      <w:r w:rsidRPr="00F50C10">
        <w:rPr>
          <w:sz w:val="24"/>
          <w:szCs w:val="24"/>
          <w:lang w:bidi="tr-TR"/>
        </w:rPr>
        <w:t>Birlikte ölçülen ve Cl</w:t>
      </w:r>
      <w:r w:rsidRPr="00F50C10">
        <w:rPr>
          <w:sz w:val="24"/>
          <w:szCs w:val="24"/>
          <w:vertAlign w:val="subscript"/>
          <w:lang w:bidi="tr-TR"/>
        </w:rPr>
        <w:t>2</w:t>
      </w:r>
      <w:r w:rsidRPr="00F50C10">
        <w:rPr>
          <w:sz w:val="24"/>
          <w:szCs w:val="24"/>
          <w:lang w:bidi="tr-TR"/>
        </w:rPr>
        <w:t xml:space="preserve"> olarak ifade edilen klor ve klor dioksit için</w:t>
      </w:r>
      <w:r w:rsidRPr="00F50C10">
        <w:rPr>
          <w:b/>
          <w:sz w:val="24"/>
          <w:szCs w:val="24"/>
          <w:lang w:bidi="tr-TR"/>
        </w:rPr>
        <w:t xml:space="preserve"> MET ile ilişkili emisyon seviyesi</w:t>
      </w:r>
      <w:r w:rsidRPr="00F50C10">
        <w:rPr>
          <w:sz w:val="24"/>
          <w:szCs w:val="24"/>
          <w:lang w:bidi="tr-TR"/>
        </w:rPr>
        <w:t xml:space="preserve">, klor </w:t>
      </w:r>
      <w:r w:rsidR="005D3E4B" w:rsidRPr="00F50C10">
        <w:rPr>
          <w:sz w:val="24"/>
          <w:szCs w:val="24"/>
          <w:lang w:bidi="tr-TR"/>
        </w:rPr>
        <w:t>absorpsiyon</w:t>
      </w:r>
      <w:r w:rsidRPr="00F50C10">
        <w:rPr>
          <w:sz w:val="24"/>
          <w:szCs w:val="24"/>
          <w:lang w:bidi="tr-TR"/>
        </w:rPr>
        <w:t xml:space="preserve"> ünitesi çıkışında yılda en az bir kez gerçekleştirilen en az üç ardışık saatlik ölçümün ortalama değeri olarak 0.2–1.0 mg/m</w:t>
      </w:r>
      <w:r w:rsidRPr="00F50C10">
        <w:rPr>
          <w:sz w:val="24"/>
          <w:szCs w:val="24"/>
          <w:vertAlign w:val="superscript"/>
          <w:lang w:bidi="tr-TR"/>
        </w:rPr>
        <w:t>3</w:t>
      </w:r>
      <w:r w:rsidRPr="00F50C10">
        <w:rPr>
          <w:sz w:val="24"/>
          <w:szCs w:val="24"/>
          <w:lang w:bidi="tr-TR"/>
        </w:rPr>
        <w:t xml:space="preserve">'tür. İlişkili izleme </w:t>
      </w:r>
      <w:hyperlink w:anchor="_bookmark393" w:history="1">
        <w:r w:rsidRPr="00F50C10">
          <w:rPr>
            <w:sz w:val="24"/>
            <w:szCs w:val="24"/>
            <w:lang w:bidi="tr-TR"/>
          </w:rPr>
          <w:t>MET 7</w:t>
        </w:r>
      </w:hyperlink>
      <w:r w:rsidRPr="00F50C10">
        <w:rPr>
          <w:sz w:val="24"/>
          <w:szCs w:val="24"/>
          <w:lang w:bidi="tr-TR"/>
        </w:rPr>
        <w:t>'de açıklanmıştır.</w:t>
      </w:r>
    </w:p>
    <w:p w14:paraId="134DBDE8" w14:textId="77777777" w:rsidR="00951FA4" w:rsidRPr="00F50C10" w:rsidRDefault="00951FA4" w:rsidP="000B206D">
      <w:pPr>
        <w:spacing w:before="240" w:line="276" w:lineRule="auto"/>
        <w:rPr>
          <w:rFonts w:cs="Times New Roman"/>
          <w:szCs w:val="24"/>
          <w:lang w:bidi="tr-TR"/>
        </w:rPr>
      </w:pPr>
      <w:r w:rsidRPr="00F50C10">
        <w:rPr>
          <w:rFonts w:cs="Times New Roman"/>
          <w:b/>
          <w:bCs/>
          <w:szCs w:val="24"/>
        </w:rPr>
        <w:t xml:space="preserve">MET 9: </w:t>
      </w:r>
      <w:r w:rsidRPr="00F50C10">
        <w:rPr>
          <w:rFonts w:cs="Times New Roman"/>
          <w:szCs w:val="24"/>
          <w:lang w:bidi="tr-TR"/>
        </w:rPr>
        <w:t>Azot triklorürün ortadan kaldırılması veya artık gazdan klorun geri kazanılması için karbon tetraklorür kullanımı MET değildir.</w:t>
      </w:r>
    </w:p>
    <w:p w14:paraId="287B2208" w14:textId="77777777" w:rsidR="00951FA4" w:rsidRPr="00F50C10" w:rsidRDefault="00951FA4" w:rsidP="000B206D">
      <w:pPr>
        <w:spacing w:after="120" w:line="276" w:lineRule="auto"/>
        <w:rPr>
          <w:rFonts w:cs="Times New Roman"/>
          <w:szCs w:val="24"/>
          <w:lang w:bidi="tr-TR"/>
        </w:rPr>
      </w:pPr>
      <w:r w:rsidRPr="00F50C10">
        <w:rPr>
          <w:rFonts w:cs="Times New Roman"/>
          <w:b/>
          <w:bCs/>
          <w:szCs w:val="24"/>
        </w:rPr>
        <w:t>MET 10:</w:t>
      </w:r>
      <w:r w:rsidRPr="00F50C10">
        <w:rPr>
          <w:rFonts w:cs="Times New Roman"/>
          <w:szCs w:val="24"/>
        </w:rPr>
        <w:t xml:space="preserve"> </w:t>
      </w:r>
      <w:r w:rsidRPr="00F50C10">
        <w:rPr>
          <w:rFonts w:cs="Times New Roman"/>
          <w:szCs w:val="24"/>
          <w:lang w:bidi="tr-TR"/>
        </w:rPr>
        <w:t>Yeni klor sıvılaştırma ünitelerinde, yüksek küresel ısınma potansiyeline sahip ve her halükarda bu potansiyeli 150'den yüksek (örneğin birçok hidroflorokarbon (HFC)) soğutucu akışkanların kullanılması MET olarak kabul edilemez.</w:t>
      </w:r>
    </w:p>
    <w:p w14:paraId="131B8757" w14:textId="77777777" w:rsidR="00951FA4" w:rsidRPr="00F50C10" w:rsidRDefault="00951FA4" w:rsidP="000B206D">
      <w:pPr>
        <w:pStyle w:val="GvdeMetni"/>
        <w:spacing w:after="120" w:line="276" w:lineRule="auto"/>
        <w:jc w:val="both"/>
        <w:rPr>
          <w:sz w:val="24"/>
          <w:szCs w:val="24"/>
          <w:lang w:bidi="tr-TR"/>
        </w:rPr>
      </w:pPr>
      <w:r w:rsidRPr="00F50C10">
        <w:rPr>
          <w:sz w:val="24"/>
          <w:szCs w:val="24"/>
          <w:lang w:bidi="tr-TR"/>
        </w:rPr>
        <w:t>Uygun soğutucu akışkanlar örneğin şunları içerir:</w:t>
      </w:r>
    </w:p>
    <w:p w14:paraId="164F7BCE" w14:textId="77777777" w:rsidR="0031706A" w:rsidRPr="00F50C10" w:rsidRDefault="00951FA4" w:rsidP="00A654AE">
      <w:pPr>
        <w:pStyle w:val="GvdeMetni"/>
        <w:numPr>
          <w:ilvl w:val="0"/>
          <w:numId w:val="162"/>
        </w:numPr>
        <w:spacing w:after="120" w:line="276" w:lineRule="auto"/>
        <w:jc w:val="both"/>
        <w:rPr>
          <w:sz w:val="24"/>
          <w:szCs w:val="24"/>
        </w:rPr>
      </w:pPr>
      <w:r w:rsidRPr="00F50C10">
        <w:rPr>
          <w:sz w:val="24"/>
          <w:szCs w:val="24"/>
        </w:rPr>
        <w:t>iki soğutma devresinde karbondioksit ve amonyak kombinasyonu;</w:t>
      </w:r>
    </w:p>
    <w:p w14:paraId="3641C30C" w14:textId="77777777" w:rsidR="0031706A" w:rsidRPr="00F50C10" w:rsidRDefault="00951FA4" w:rsidP="00A654AE">
      <w:pPr>
        <w:pStyle w:val="GvdeMetni"/>
        <w:numPr>
          <w:ilvl w:val="0"/>
          <w:numId w:val="162"/>
        </w:numPr>
        <w:spacing w:after="120" w:line="276" w:lineRule="auto"/>
        <w:jc w:val="both"/>
        <w:rPr>
          <w:sz w:val="24"/>
          <w:szCs w:val="24"/>
        </w:rPr>
      </w:pPr>
      <w:r w:rsidRPr="00F50C10">
        <w:rPr>
          <w:sz w:val="24"/>
          <w:szCs w:val="24"/>
        </w:rPr>
        <w:t>klor;</w:t>
      </w:r>
    </w:p>
    <w:p w14:paraId="180E3205" w14:textId="1E5B791B" w:rsidR="00951FA4" w:rsidRPr="00F50C10" w:rsidRDefault="00951FA4" w:rsidP="00A654AE">
      <w:pPr>
        <w:pStyle w:val="GvdeMetni"/>
        <w:numPr>
          <w:ilvl w:val="0"/>
          <w:numId w:val="162"/>
        </w:numPr>
        <w:spacing w:after="120" w:line="276" w:lineRule="auto"/>
        <w:jc w:val="both"/>
        <w:rPr>
          <w:sz w:val="24"/>
          <w:szCs w:val="24"/>
        </w:rPr>
      </w:pPr>
      <w:r w:rsidRPr="00F50C10">
        <w:rPr>
          <w:sz w:val="24"/>
          <w:szCs w:val="24"/>
        </w:rPr>
        <w:t>su.</w:t>
      </w:r>
    </w:p>
    <w:p w14:paraId="1A303704" w14:textId="77777777" w:rsidR="00951FA4" w:rsidRPr="00F50C10" w:rsidRDefault="00951FA4" w:rsidP="000B206D">
      <w:pPr>
        <w:pStyle w:val="GvdeMetni"/>
        <w:spacing w:after="120" w:line="276" w:lineRule="auto"/>
        <w:jc w:val="both"/>
        <w:rPr>
          <w:sz w:val="24"/>
          <w:szCs w:val="24"/>
        </w:rPr>
      </w:pPr>
      <w:r w:rsidRPr="00F50C10">
        <w:rPr>
          <w:sz w:val="24"/>
          <w:szCs w:val="24"/>
        </w:rPr>
        <w:t>Soğutucu akışkan bölümünde, işletme güvenliği ve enerji verimliliği hesaba katılmalıdır.</w:t>
      </w:r>
    </w:p>
    <w:p w14:paraId="46BB5112" w14:textId="77777777" w:rsidR="00951FA4" w:rsidRPr="00F50C10" w:rsidRDefault="00951FA4" w:rsidP="00A654AE">
      <w:pPr>
        <w:pStyle w:val="Balk1"/>
        <w:numPr>
          <w:ilvl w:val="0"/>
          <w:numId w:val="180"/>
        </w:numPr>
        <w:spacing w:before="240" w:line="276" w:lineRule="auto"/>
        <w:rPr>
          <w:rFonts w:cs="Times New Roman"/>
          <w:szCs w:val="24"/>
        </w:rPr>
      </w:pPr>
      <w:bookmarkStart w:id="257" w:name="_Toc134622092"/>
      <w:r w:rsidRPr="00F50C10">
        <w:rPr>
          <w:rFonts w:cs="Times New Roman"/>
          <w:szCs w:val="24"/>
        </w:rPr>
        <w:t>SU EMİSYONLARI</w:t>
      </w:r>
      <w:bookmarkEnd w:id="257"/>
    </w:p>
    <w:p w14:paraId="1B21F75C" w14:textId="34A6FBE2" w:rsidR="00951FA4" w:rsidRPr="00F50C10" w:rsidRDefault="00951FA4" w:rsidP="000B206D">
      <w:pPr>
        <w:spacing w:before="240" w:line="276" w:lineRule="auto"/>
        <w:rPr>
          <w:rFonts w:cs="Times New Roman"/>
          <w:b/>
          <w:bCs/>
          <w:szCs w:val="24"/>
        </w:rPr>
      </w:pPr>
      <w:r w:rsidRPr="00F50C10">
        <w:rPr>
          <w:rFonts w:cs="Times New Roman"/>
          <w:b/>
          <w:bCs/>
          <w:szCs w:val="24"/>
        </w:rPr>
        <w:t xml:space="preserve">MET 11: </w:t>
      </w:r>
      <w:r w:rsidRPr="00F50C10">
        <w:rPr>
          <w:rFonts w:cs="Times New Roman"/>
          <w:szCs w:val="24"/>
        </w:rPr>
        <w:t xml:space="preserve"> Kirletici su emisyonlarını azaltmak için, aşağıda verilen tekniklerin uygun bir kombinasyonu kullan</w:t>
      </w:r>
      <w:r w:rsidR="0031706A" w:rsidRPr="00F50C10">
        <w:rPr>
          <w:rFonts w:cs="Times New Roman"/>
          <w:szCs w:val="24"/>
        </w:rPr>
        <w:t>ılı</w:t>
      </w:r>
      <w:r w:rsidRPr="00F50C10">
        <w:rPr>
          <w:rFonts w:cs="Times New Roman"/>
          <w:szCs w:val="24"/>
        </w:rPr>
        <w:t>r.</w:t>
      </w:r>
    </w:p>
    <w:tbl>
      <w:tblPr>
        <w:tblW w:w="5000" w:type="pct"/>
        <w:tblCellMar>
          <w:left w:w="0" w:type="dxa"/>
          <w:right w:w="0" w:type="dxa"/>
        </w:tblCellMar>
        <w:tblLook w:val="01E0" w:firstRow="1" w:lastRow="1" w:firstColumn="1" w:lastColumn="1" w:noHBand="0" w:noVBand="0"/>
      </w:tblPr>
      <w:tblGrid>
        <w:gridCol w:w="442"/>
        <w:gridCol w:w="3613"/>
        <w:gridCol w:w="5253"/>
      </w:tblGrid>
      <w:tr w:rsidR="00951FA4" w:rsidRPr="00F50C10" w14:paraId="3410426E" w14:textId="77777777" w:rsidTr="00116C54">
        <w:trPr>
          <w:trHeight w:val="20"/>
        </w:trPr>
        <w:tc>
          <w:tcPr>
            <w:tcW w:w="237" w:type="pct"/>
            <w:tcBorders>
              <w:top w:val="single" w:sz="5" w:space="0" w:color="000000"/>
              <w:left w:val="single" w:sz="5" w:space="0" w:color="000000"/>
              <w:bottom w:val="single" w:sz="5" w:space="0" w:color="000000"/>
              <w:right w:val="single" w:sz="5" w:space="0" w:color="000000"/>
            </w:tcBorders>
            <w:vAlign w:val="center"/>
          </w:tcPr>
          <w:p w14:paraId="011B3368" w14:textId="77777777" w:rsidR="00951FA4" w:rsidRPr="00F50C10" w:rsidRDefault="00951FA4" w:rsidP="000B206D">
            <w:pPr>
              <w:spacing w:line="276" w:lineRule="auto"/>
              <w:ind w:left="72" w:right="72"/>
              <w:jc w:val="center"/>
              <w:rPr>
                <w:rFonts w:cs="Times New Roman"/>
                <w:szCs w:val="24"/>
              </w:rPr>
            </w:pPr>
          </w:p>
        </w:tc>
        <w:tc>
          <w:tcPr>
            <w:tcW w:w="1941" w:type="pct"/>
            <w:tcBorders>
              <w:top w:val="single" w:sz="5" w:space="0" w:color="000000"/>
              <w:left w:val="single" w:sz="5" w:space="0" w:color="000000"/>
              <w:bottom w:val="single" w:sz="5" w:space="0" w:color="000000"/>
              <w:right w:val="single" w:sz="5" w:space="0" w:color="000000"/>
            </w:tcBorders>
            <w:vAlign w:val="center"/>
          </w:tcPr>
          <w:p w14:paraId="0B8FCBFD"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Teknik</w:t>
            </w:r>
          </w:p>
        </w:tc>
        <w:tc>
          <w:tcPr>
            <w:tcW w:w="2822" w:type="pct"/>
            <w:tcBorders>
              <w:top w:val="single" w:sz="5" w:space="0" w:color="000000"/>
              <w:left w:val="single" w:sz="5" w:space="0" w:color="000000"/>
              <w:bottom w:val="single" w:sz="5" w:space="0" w:color="000000"/>
              <w:right w:val="single" w:sz="5" w:space="0" w:color="000000"/>
            </w:tcBorders>
            <w:vAlign w:val="center"/>
          </w:tcPr>
          <w:p w14:paraId="26916D06"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Açıklama</w:t>
            </w:r>
          </w:p>
        </w:tc>
      </w:tr>
      <w:tr w:rsidR="00951FA4" w:rsidRPr="00F50C10" w14:paraId="0231C90B" w14:textId="77777777" w:rsidTr="00116C54">
        <w:trPr>
          <w:trHeight w:val="20"/>
        </w:trPr>
        <w:tc>
          <w:tcPr>
            <w:tcW w:w="237" w:type="pct"/>
            <w:tcBorders>
              <w:top w:val="single" w:sz="5" w:space="0" w:color="000000"/>
              <w:left w:val="single" w:sz="5" w:space="0" w:color="000000"/>
              <w:bottom w:val="single" w:sz="5" w:space="0" w:color="000000"/>
              <w:right w:val="single" w:sz="5" w:space="0" w:color="000000"/>
            </w:tcBorders>
            <w:vAlign w:val="center"/>
          </w:tcPr>
          <w:p w14:paraId="6ED13D7A" w14:textId="77777777" w:rsidR="00951FA4" w:rsidRPr="00F50C10" w:rsidRDefault="00951FA4" w:rsidP="000B206D">
            <w:pPr>
              <w:pStyle w:val="TableParagraph"/>
              <w:spacing w:line="276" w:lineRule="auto"/>
              <w:ind w:left="72" w:right="72"/>
              <w:jc w:val="center"/>
              <w:rPr>
                <w:szCs w:val="24"/>
              </w:rPr>
            </w:pPr>
            <w:r w:rsidRPr="00F50C10">
              <w:rPr>
                <w:szCs w:val="24"/>
                <w:lang w:bidi="tr-TR"/>
              </w:rPr>
              <w:t>a</w:t>
            </w:r>
          </w:p>
        </w:tc>
        <w:tc>
          <w:tcPr>
            <w:tcW w:w="1941" w:type="pct"/>
            <w:tcBorders>
              <w:top w:val="single" w:sz="5" w:space="0" w:color="000000"/>
              <w:left w:val="single" w:sz="5" w:space="0" w:color="000000"/>
              <w:bottom w:val="single" w:sz="5" w:space="0" w:color="000000"/>
              <w:right w:val="single" w:sz="5" w:space="0" w:color="000000"/>
            </w:tcBorders>
            <w:vAlign w:val="center"/>
          </w:tcPr>
          <w:p w14:paraId="6C306CC3" w14:textId="77777777" w:rsidR="00951FA4" w:rsidRPr="00F50C10" w:rsidRDefault="00951FA4" w:rsidP="000B206D">
            <w:pPr>
              <w:pStyle w:val="TableParagraph"/>
              <w:spacing w:line="276" w:lineRule="auto"/>
              <w:ind w:left="72" w:right="72"/>
              <w:jc w:val="both"/>
              <w:rPr>
                <w:szCs w:val="24"/>
              </w:rPr>
            </w:pPr>
            <w:r w:rsidRPr="00F50C10">
              <w:rPr>
                <w:szCs w:val="24"/>
                <w:lang w:bidi="tr-TR"/>
              </w:rPr>
              <w:t xml:space="preserve">Prosese entegre teknikler </w:t>
            </w:r>
            <w:r w:rsidRPr="00F50C10">
              <w:rPr>
                <w:szCs w:val="24"/>
                <w:vertAlign w:val="superscript"/>
                <w:lang w:bidi="tr-TR"/>
              </w:rPr>
              <w:t>(1)</w:t>
            </w:r>
          </w:p>
        </w:tc>
        <w:tc>
          <w:tcPr>
            <w:tcW w:w="2822" w:type="pct"/>
            <w:tcBorders>
              <w:top w:val="single" w:sz="5" w:space="0" w:color="000000"/>
              <w:left w:val="single" w:sz="5" w:space="0" w:color="000000"/>
              <w:bottom w:val="single" w:sz="5" w:space="0" w:color="000000"/>
              <w:right w:val="single" w:sz="5" w:space="0" w:color="000000"/>
            </w:tcBorders>
            <w:vAlign w:val="center"/>
          </w:tcPr>
          <w:p w14:paraId="18C96B9B" w14:textId="77777777" w:rsidR="00951FA4" w:rsidRPr="00F50C10" w:rsidRDefault="00951FA4" w:rsidP="000B206D">
            <w:pPr>
              <w:pStyle w:val="TableParagraph"/>
              <w:spacing w:line="276" w:lineRule="auto"/>
              <w:ind w:left="72" w:right="72"/>
              <w:jc w:val="both"/>
              <w:rPr>
                <w:szCs w:val="24"/>
              </w:rPr>
            </w:pPr>
            <w:r w:rsidRPr="00F50C10">
              <w:rPr>
                <w:szCs w:val="24"/>
                <w:lang w:bidi="tr-TR"/>
              </w:rPr>
              <w:t>Kirleticilerin oluşumunu önleyen veya azaltan teknikler</w:t>
            </w:r>
          </w:p>
        </w:tc>
      </w:tr>
      <w:tr w:rsidR="00951FA4" w:rsidRPr="00F50C10" w14:paraId="0209C5A6" w14:textId="77777777" w:rsidTr="00116C54">
        <w:trPr>
          <w:trHeight w:val="20"/>
        </w:trPr>
        <w:tc>
          <w:tcPr>
            <w:tcW w:w="237" w:type="pct"/>
            <w:tcBorders>
              <w:top w:val="single" w:sz="5" w:space="0" w:color="000000"/>
              <w:left w:val="single" w:sz="5" w:space="0" w:color="000000"/>
              <w:bottom w:val="single" w:sz="5" w:space="0" w:color="000000"/>
              <w:right w:val="single" w:sz="5" w:space="0" w:color="000000"/>
            </w:tcBorders>
            <w:vAlign w:val="center"/>
          </w:tcPr>
          <w:p w14:paraId="4AFA5328" w14:textId="77777777" w:rsidR="00951FA4" w:rsidRPr="00F50C10" w:rsidRDefault="00951FA4" w:rsidP="000B206D">
            <w:pPr>
              <w:pStyle w:val="TableParagraph"/>
              <w:spacing w:line="276" w:lineRule="auto"/>
              <w:ind w:left="72" w:right="72"/>
              <w:jc w:val="center"/>
              <w:rPr>
                <w:szCs w:val="24"/>
              </w:rPr>
            </w:pPr>
            <w:r w:rsidRPr="00F50C10">
              <w:rPr>
                <w:szCs w:val="24"/>
                <w:lang w:bidi="tr-TR"/>
              </w:rPr>
              <w:t>b</w:t>
            </w:r>
          </w:p>
        </w:tc>
        <w:tc>
          <w:tcPr>
            <w:tcW w:w="1941" w:type="pct"/>
            <w:tcBorders>
              <w:top w:val="single" w:sz="5" w:space="0" w:color="000000"/>
              <w:left w:val="single" w:sz="5" w:space="0" w:color="000000"/>
              <w:bottom w:val="single" w:sz="5" w:space="0" w:color="000000"/>
              <w:right w:val="single" w:sz="5" w:space="0" w:color="000000"/>
            </w:tcBorders>
            <w:vAlign w:val="center"/>
          </w:tcPr>
          <w:p w14:paraId="00550D2A" w14:textId="77777777" w:rsidR="00951FA4" w:rsidRPr="00F50C10" w:rsidRDefault="00951FA4" w:rsidP="000B206D">
            <w:pPr>
              <w:pStyle w:val="TableParagraph"/>
              <w:spacing w:line="276" w:lineRule="auto"/>
              <w:ind w:left="72" w:right="72"/>
              <w:jc w:val="both"/>
              <w:rPr>
                <w:szCs w:val="24"/>
              </w:rPr>
            </w:pPr>
            <w:r w:rsidRPr="00F50C10">
              <w:rPr>
                <w:szCs w:val="24"/>
                <w:lang w:bidi="tr-TR"/>
              </w:rPr>
              <w:t xml:space="preserve">Kaynakta atık su arıtma </w:t>
            </w:r>
            <w:r w:rsidRPr="00F50C10">
              <w:rPr>
                <w:szCs w:val="24"/>
                <w:vertAlign w:val="superscript"/>
                <w:lang w:bidi="tr-TR"/>
              </w:rPr>
              <w:t>(1)</w:t>
            </w:r>
          </w:p>
        </w:tc>
        <w:tc>
          <w:tcPr>
            <w:tcW w:w="2822" w:type="pct"/>
            <w:tcBorders>
              <w:top w:val="single" w:sz="5" w:space="0" w:color="000000"/>
              <w:left w:val="single" w:sz="5" w:space="0" w:color="000000"/>
              <w:bottom w:val="single" w:sz="5" w:space="0" w:color="000000"/>
              <w:right w:val="single" w:sz="5" w:space="0" w:color="000000"/>
            </w:tcBorders>
            <w:vAlign w:val="center"/>
          </w:tcPr>
          <w:p w14:paraId="59E6B064" w14:textId="77777777" w:rsidR="00951FA4" w:rsidRPr="00F50C10" w:rsidRDefault="00951FA4" w:rsidP="000B206D">
            <w:pPr>
              <w:pStyle w:val="TableParagraph"/>
              <w:spacing w:line="276" w:lineRule="auto"/>
              <w:ind w:left="72" w:right="72"/>
              <w:jc w:val="both"/>
              <w:rPr>
                <w:szCs w:val="24"/>
              </w:rPr>
            </w:pPr>
            <w:r w:rsidRPr="00F50C10">
              <w:rPr>
                <w:szCs w:val="24"/>
                <w:lang w:bidi="tr-TR"/>
              </w:rPr>
              <w:t>Atık su toplama sistemine deşarj edilmeden önce kirleticileri azaltma veya geri kazanma teknikleri</w:t>
            </w:r>
          </w:p>
        </w:tc>
      </w:tr>
      <w:tr w:rsidR="00951FA4" w:rsidRPr="00F50C10" w14:paraId="6A332072" w14:textId="77777777" w:rsidTr="00116C54">
        <w:trPr>
          <w:trHeight w:val="20"/>
        </w:trPr>
        <w:tc>
          <w:tcPr>
            <w:tcW w:w="237" w:type="pct"/>
            <w:tcBorders>
              <w:top w:val="single" w:sz="5" w:space="0" w:color="000000"/>
              <w:left w:val="single" w:sz="5" w:space="0" w:color="000000"/>
              <w:bottom w:val="single" w:sz="5" w:space="0" w:color="000000"/>
              <w:right w:val="single" w:sz="5" w:space="0" w:color="000000"/>
            </w:tcBorders>
            <w:vAlign w:val="center"/>
          </w:tcPr>
          <w:p w14:paraId="4BF02096" w14:textId="77777777" w:rsidR="00951FA4" w:rsidRPr="00F50C10" w:rsidRDefault="00951FA4" w:rsidP="000B206D">
            <w:pPr>
              <w:pStyle w:val="TableParagraph"/>
              <w:spacing w:line="276" w:lineRule="auto"/>
              <w:ind w:left="72" w:right="72"/>
              <w:jc w:val="center"/>
              <w:rPr>
                <w:szCs w:val="24"/>
              </w:rPr>
            </w:pPr>
            <w:r w:rsidRPr="00F50C10">
              <w:rPr>
                <w:szCs w:val="24"/>
                <w:lang w:bidi="tr-TR"/>
              </w:rPr>
              <w:t>c</w:t>
            </w:r>
          </w:p>
        </w:tc>
        <w:tc>
          <w:tcPr>
            <w:tcW w:w="1941" w:type="pct"/>
            <w:tcBorders>
              <w:top w:val="single" w:sz="5" w:space="0" w:color="000000"/>
              <w:left w:val="single" w:sz="5" w:space="0" w:color="000000"/>
              <w:bottom w:val="single" w:sz="5" w:space="0" w:color="000000"/>
              <w:right w:val="single" w:sz="5" w:space="0" w:color="000000"/>
            </w:tcBorders>
            <w:vAlign w:val="center"/>
          </w:tcPr>
          <w:p w14:paraId="561EE592" w14:textId="77777777" w:rsidR="00951FA4" w:rsidRPr="00F50C10" w:rsidRDefault="00951FA4" w:rsidP="000B206D">
            <w:pPr>
              <w:pStyle w:val="TableParagraph"/>
              <w:spacing w:line="276" w:lineRule="auto"/>
              <w:ind w:left="72" w:right="72"/>
              <w:jc w:val="both"/>
              <w:rPr>
                <w:szCs w:val="24"/>
              </w:rPr>
            </w:pPr>
            <w:r w:rsidRPr="00F50C10">
              <w:rPr>
                <w:szCs w:val="24"/>
                <w:lang w:bidi="tr-TR"/>
              </w:rPr>
              <w:t xml:space="preserve">Atık su ön arıtma </w:t>
            </w:r>
            <w:r w:rsidRPr="00F50C10">
              <w:rPr>
                <w:szCs w:val="24"/>
                <w:vertAlign w:val="superscript"/>
                <w:lang w:bidi="tr-TR"/>
              </w:rPr>
              <w:t>(2)</w:t>
            </w:r>
          </w:p>
        </w:tc>
        <w:tc>
          <w:tcPr>
            <w:tcW w:w="2822" w:type="pct"/>
            <w:tcBorders>
              <w:top w:val="single" w:sz="5" w:space="0" w:color="000000"/>
              <w:left w:val="single" w:sz="5" w:space="0" w:color="000000"/>
              <w:bottom w:val="single" w:sz="5" w:space="0" w:color="000000"/>
              <w:right w:val="single" w:sz="5" w:space="0" w:color="000000"/>
            </w:tcBorders>
            <w:vAlign w:val="center"/>
          </w:tcPr>
          <w:p w14:paraId="7A5A0307" w14:textId="77777777" w:rsidR="00951FA4" w:rsidRPr="00F50C10" w:rsidRDefault="00951FA4" w:rsidP="000B206D">
            <w:pPr>
              <w:pStyle w:val="TableParagraph"/>
              <w:spacing w:line="276" w:lineRule="auto"/>
              <w:ind w:left="72" w:right="72"/>
              <w:jc w:val="both"/>
              <w:rPr>
                <w:szCs w:val="24"/>
              </w:rPr>
            </w:pPr>
            <w:r w:rsidRPr="00F50C10">
              <w:rPr>
                <w:szCs w:val="24"/>
                <w:lang w:bidi="tr-TR"/>
              </w:rPr>
              <w:t>Nihai atık su arıtımından önce kirleticileri azaltma teknikleri</w:t>
            </w:r>
          </w:p>
        </w:tc>
      </w:tr>
      <w:tr w:rsidR="00951FA4" w:rsidRPr="00F50C10" w14:paraId="067DA2AD" w14:textId="77777777" w:rsidTr="00116C54">
        <w:trPr>
          <w:trHeight w:val="20"/>
        </w:trPr>
        <w:tc>
          <w:tcPr>
            <w:tcW w:w="237" w:type="pct"/>
            <w:tcBorders>
              <w:top w:val="single" w:sz="5" w:space="0" w:color="000000"/>
              <w:left w:val="single" w:sz="5" w:space="0" w:color="000000"/>
              <w:bottom w:val="single" w:sz="5" w:space="0" w:color="000000"/>
              <w:right w:val="single" w:sz="5" w:space="0" w:color="000000"/>
            </w:tcBorders>
            <w:vAlign w:val="center"/>
          </w:tcPr>
          <w:p w14:paraId="4670ADD3" w14:textId="77777777" w:rsidR="00951FA4" w:rsidRPr="00F50C10" w:rsidRDefault="00951FA4" w:rsidP="000B206D">
            <w:pPr>
              <w:pStyle w:val="TableParagraph"/>
              <w:spacing w:line="276" w:lineRule="auto"/>
              <w:ind w:left="72" w:right="72"/>
              <w:jc w:val="center"/>
              <w:rPr>
                <w:szCs w:val="24"/>
              </w:rPr>
            </w:pPr>
            <w:r w:rsidRPr="00F50C10">
              <w:rPr>
                <w:szCs w:val="24"/>
                <w:lang w:bidi="tr-TR"/>
              </w:rPr>
              <w:t>d</w:t>
            </w:r>
          </w:p>
        </w:tc>
        <w:tc>
          <w:tcPr>
            <w:tcW w:w="1941" w:type="pct"/>
            <w:tcBorders>
              <w:top w:val="single" w:sz="5" w:space="0" w:color="000000"/>
              <w:left w:val="single" w:sz="5" w:space="0" w:color="000000"/>
              <w:bottom w:val="single" w:sz="5" w:space="0" w:color="000000"/>
              <w:right w:val="single" w:sz="5" w:space="0" w:color="000000"/>
            </w:tcBorders>
            <w:vAlign w:val="center"/>
          </w:tcPr>
          <w:p w14:paraId="6BC94D85" w14:textId="77777777" w:rsidR="00951FA4" w:rsidRPr="00F50C10" w:rsidRDefault="00951FA4" w:rsidP="000B206D">
            <w:pPr>
              <w:pStyle w:val="TableParagraph"/>
              <w:spacing w:line="276" w:lineRule="auto"/>
              <w:ind w:left="72" w:right="72"/>
              <w:jc w:val="both"/>
              <w:rPr>
                <w:szCs w:val="24"/>
              </w:rPr>
            </w:pPr>
            <w:r w:rsidRPr="00F50C10">
              <w:rPr>
                <w:szCs w:val="24"/>
                <w:lang w:bidi="tr-TR"/>
              </w:rPr>
              <w:t xml:space="preserve">Nihai atık su arıtma </w:t>
            </w:r>
            <w:r w:rsidRPr="00F50C10">
              <w:rPr>
                <w:szCs w:val="24"/>
                <w:vertAlign w:val="superscript"/>
                <w:lang w:bidi="tr-TR"/>
              </w:rPr>
              <w:t>(2)</w:t>
            </w:r>
          </w:p>
        </w:tc>
        <w:tc>
          <w:tcPr>
            <w:tcW w:w="2822" w:type="pct"/>
            <w:tcBorders>
              <w:top w:val="single" w:sz="5" w:space="0" w:color="000000"/>
              <w:left w:val="single" w:sz="5" w:space="0" w:color="000000"/>
              <w:bottom w:val="single" w:sz="5" w:space="0" w:color="000000"/>
              <w:right w:val="single" w:sz="5" w:space="0" w:color="000000"/>
            </w:tcBorders>
            <w:vAlign w:val="center"/>
          </w:tcPr>
          <w:p w14:paraId="24AFC74D" w14:textId="77777777" w:rsidR="00951FA4" w:rsidRPr="00F50C10" w:rsidRDefault="00951FA4" w:rsidP="000B206D">
            <w:pPr>
              <w:pStyle w:val="TableParagraph"/>
              <w:spacing w:line="276" w:lineRule="auto"/>
              <w:ind w:left="72" w:right="72"/>
              <w:jc w:val="both"/>
              <w:rPr>
                <w:szCs w:val="24"/>
              </w:rPr>
            </w:pPr>
            <w:r w:rsidRPr="00F50C10">
              <w:rPr>
                <w:szCs w:val="24"/>
                <w:lang w:bidi="tr-TR"/>
              </w:rPr>
              <w:t>Bir alıcı su kütlesine deşarj edilmeden önce mekanik, fiziko-kimyasal ve/veya biyolojik tekniklerle nihai atık su arıtımı</w:t>
            </w:r>
          </w:p>
        </w:tc>
      </w:tr>
      <w:tr w:rsidR="00951FA4" w:rsidRPr="00F50C10" w14:paraId="665964D0" w14:textId="77777777" w:rsidTr="00116C54">
        <w:trPr>
          <w:trHeight w:val="20"/>
        </w:trPr>
        <w:tc>
          <w:tcPr>
            <w:tcW w:w="5000" w:type="pct"/>
            <w:gridSpan w:val="3"/>
            <w:tcBorders>
              <w:top w:val="single" w:sz="5" w:space="0" w:color="000000"/>
              <w:left w:val="single" w:sz="5" w:space="0" w:color="000000"/>
              <w:bottom w:val="single" w:sz="5" w:space="0" w:color="000000"/>
              <w:right w:val="single" w:sz="5" w:space="0" w:color="000000"/>
            </w:tcBorders>
            <w:vAlign w:val="center"/>
          </w:tcPr>
          <w:p w14:paraId="1CD68830" w14:textId="77777777" w:rsidR="00951FA4" w:rsidRPr="00F50C10" w:rsidRDefault="00951FA4" w:rsidP="000B206D">
            <w:pPr>
              <w:widowControl w:val="0"/>
              <w:tabs>
                <w:tab w:val="left" w:pos="352"/>
              </w:tabs>
              <w:spacing w:line="276" w:lineRule="auto"/>
              <w:ind w:left="72" w:right="72"/>
              <w:rPr>
                <w:rFonts w:eastAsia="Times New Roman" w:cs="Times New Roman"/>
                <w:i/>
                <w:iCs/>
                <w:szCs w:val="24"/>
              </w:rPr>
            </w:pPr>
            <w:r w:rsidRPr="00F50C10">
              <w:rPr>
                <w:rFonts w:cs="Times New Roman"/>
                <w:i/>
                <w:iCs/>
                <w:szCs w:val="24"/>
                <w:vertAlign w:val="superscript"/>
                <w:lang w:bidi="tr-TR"/>
              </w:rPr>
              <w:t>(1)</w:t>
            </w:r>
            <w:r w:rsidRPr="00F50C10">
              <w:rPr>
                <w:rFonts w:cs="Times New Roman"/>
                <w:i/>
                <w:iCs/>
                <w:szCs w:val="24"/>
                <w:lang w:bidi="tr-TR"/>
              </w:rPr>
              <w:t xml:space="preserve"> MET 1, 4, 12, 13, 14 ve 15 kapsamındadır.</w:t>
            </w:r>
          </w:p>
          <w:p w14:paraId="6D335BE5" w14:textId="77777777" w:rsidR="00951FA4" w:rsidRPr="00F50C10" w:rsidRDefault="00951FA4" w:rsidP="000B206D">
            <w:pPr>
              <w:widowControl w:val="0"/>
              <w:tabs>
                <w:tab w:val="left" w:pos="352"/>
              </w:tabs>
              <w:spacing w:line="276" w:lineRule="auto"/>
              <w:ind w:left="72" w:right="72"/>
              <w:rPr>
                <w:rFonts w:eastAsia="Times New Roman" w:cs="Times New Roman"/>
                <w:szCs w:val="24"/>
              </w:rPr>
            </w:pPr>
            <w:r w:rsidRPr="00F50C10">
              <w:rPr>
                <w:rFonts w:cs="Times New Roman"/>
                <w:i/>
                <w:iCs/>
                <w:szCs w:val="24"/>
                <w:vertAlign w:val="superscript"/>
                <w:lang w:bidi="tr-TR"/>
              </w:rPr>
              <w:t>(2)</w:t>
            </w:r>
            <w:r w:rsidRPr="00F50C10">
              <w:rPr>
                <w:rFonts w:cs="Times New Roman"/>
                <w:i/>
                <w:iCs/>
                <w:szCs w:val="24"/>
                <w:lang w:bidi="tr-TR"/>
              </w:rPr>
              <w:t xml:space="preserve"> Kimya Sektöründe Yaygın Atık Su ve Atık Gaz Arıtma/Yönetim Sistemlerine ilişkin MET referans belgesi kapsamındadır.</w:t>
            </w:r>
          </w:p>
        </w:tc>
      </w:tr>
    </w:tbl>
    <w:p w14:paraId="0E7D6CE3" w14:textId="27C9610F" w:rsidR="00951FA4" w:rsidRPr="00F50C10" w:rsidRDefault="00951FA4" w:rsidP="000B206D">
      <w:pPr>
        <w:spacing w:before="240" w:line="276" w:lineRule="auto"/>
        <w:rPr>
          <w:rFonts w:cs="Times New Roman"/>
          <w:b/>
          <w:bCs/>
          <w:szCs w:val="24"/>
        </w:rPr>
      </w:pPr>
      <w:r w:rsidRPr="00F50C10">
        <w:rPr>
          <w:rFonts w:cs="Times New Roman"/>
          <w:b/>
          <w:bCs/>
          <w:szCs w:val="24"/>
        </w:rPr>
        <w:t xml:space="preserve">MET 12: </w:t>
      </w:r>
      <w:r w:rsidRPr="00F50C10">
        <w:rPr>
          <w:rFonts w:cs="Times New Roman"/>
          <w:szCs w:val="24"/>
        </w:rPr>
        <w:t xml:space="preserve"> Klor-alkali tesisinden kaynaklanan  klorür su emisyonlarını azaltmak için, MET 4'te verilen tekniklerin bir kombinasyonu kullan</w:t>
      </w:r>
      <w:r w:rsidR="003847F7" w:rsidRPr="00F50C10">
        <w:rPr>
          <w:rFonts w:cs="Times New Roman"/>
          <w:szCs w:val="24"/>
        </w:rPr>
        <w:t>ılı</w:t>
      </w:r>
      <w:r w:rsidRPr="00F50C10">
        <w:rPr>
          <w:rFonts w:cs="Times New Roman"/>
          <w:szCs w:val="24"/>
        </w:rPr>
        <w:t>r.</w:t>
      </w:r>
    </w:p>
    <w:p w14:paraId="7CC6F476" w14:textId="3019D2EE" w:rsidR="00951FA4" w:rsidRPr="00F50C10" w:rsidRDefault="00951FA4" w:rsidP="000B206D">
      <w:pPr>
        <w:spacing w:before="240" w:line="276" w:lineRule="auto"/>
        <w:ind w:right="72"/>
        <w:rPr>
          <w:rFonts w:cs="Times New Roman"/>
          <w:b/>
          <w:bCs/>
          <w:szCs w:val="24"/>
        </w:rPr>
      </w:pPr>
      <w:r w:rsidRPr="00F50C10">
        <w:rPr>
          <w:rFonts w:cs="Times New Roman"/>
          <w:b/>
          <w:bCs/>
          <w:szCs w:val="24"/>
        </w:rPr>
        <w:t>MET 13:</w:t>
      </w:r>
      <w:r w:rsidRPr="00F50C10">
        <w:rPr>
          <w:rFonts w:cs="Times New Roman"/>
          <w:szCs w:val="24"/>
        </w:rPr>
        <w:t xml:space="preserve"> Klor-alkali tesisinden kaynaklanan serbest klor su emisyonlarını azaltmak için, aşağıda verilen tekniklerden birini veya birkaçını birlikte kullanarak serbest klor içeren atık su akımları kaynağa mümkün olduğunca yakın bir yerde </w:t>
      </w:r>
      <w:r w:rsidR="003847F7" w:rsidRPr="00F50C10">
        <w:rPr>
          <w:rFonts w:cs="Times New Roman"/>
          <w:szCs w:val="24"/>
        </w:rPr>
        <w:t>arıtılır</w:t>
      </w:r>
      <w:r w:rsidRPr="00F50C10">
        <w:rPr>
          <w:rFonts w:cs="Times New Roman"/>
          <w:szCs w:val="24"/>
        </w:rPr>
        <w:t xml:space="preserve"> ve klorun sıyrılması ve/veya halojenli organik bileşiklerin oluşumu </w:t>
      </w:r>
      <w:r w:rsidR="003847F7" w:rsidRPr="00F50C10">
        <w:rPr>
          <w:rFonts w:cs="Times New Roman"/>
          <w:szCs w:val="24"/>
        </w:rPr>
        <w:t>önlenir</w:t>
      </w:r>
      <w:r w:rsidRPr="00F50C10">
        <w:rPr>
          <w:rFonts w:cs="Times New Roman"/>
          <w:szCs w:val="24"/>
        </w:rPr>
        <w:t>.</w:t>
      </w:r>
    </w:p>
    <w:tbl>
      <w:tblPr>
        <w:tblW w:w="5000" w:type="pct"/>
        <w:tblCellMar>
          <w:left w:w="0" w:type="dxa"/>
          <w:right w:w="0" w:type="dxa"/>
        </w:tblCellMar>
        <w:tblLook w:val="01E0" w:firstRow="1" w:lastRow="1" w:firstColumn="1" w:lastColumn="1" w:noHBand="0" w:noVBand="0"/>
      </w:tblPr>
      <w:tblGrid>
        <w:gridCol w:w="368"/>
        <w:gridCol w:w="1808"/>
        <w:gridCol w:w="7132"/>
      </w:tblGrid>
      <w:tr w:rsidR="00951FA4" w:rsidRPr="00F50C10" w14:paraId="36369ACC" w14:textId="77777777" w:rsidTr="00116C54">
        <w:trPr>
          <w:trHeight w:val="20"/>
          <w:tblHeader/>
        </w:trPr>
        <w:tc>
          <w:tcPr>
            <w:tcW w:w="198" w:type="pct"/>
            <w:tcBorders>
              <w:top w:val="single" w:sz="5" w:space="0" w:color="000000"/>
              <w:left w:val="single" w:sz="5" w:space="0" w:color="000000"/>
              <w:bottom w:val="single" w:sz="5" w:space="0" w:color="000000"/>
              <w:right w:val="single" w:sz="5" w:space="0" w:color="000000"/>
            </w:tcBorders>
            <w:vAlign w:val="center"/>
          </w:tcPr>
          <w:p w14:paraId="779D5550" w14:textId="77777777" w:rsidR="00951FA4" w:rsidRPr="00F50C10" w:rsidRDefault="00951FA4" w:rsidP="000B206D">
            <w:pPr>
              <w:spacing w:line="276" w:lineRule="auto"/>
              <w:ind w:left="72" w:right="72"/>
              <w:jc w:val="center"/>
              <w:rPr>
                <w:rFonts w:cs="Times New Roman"/>
                <w:szCs w:val="24"/>
              </w:rPr>
            </w:pPr>
          </w:p>
        </w:tc>
        <w:tc>
          <w:tcPr>
            <w:tcW w:w="971" w:type="pct"/>
            <w:tcBorders>
              <w:top w:val="single" w:sz="5" w:space="0" w:color="000000"/>
              <w:left w:val="single" w:sz="5" w:space="0" w:color="000000"/>
              <w:bottom w:val="single" w:sz="5" w:space="0" w:color="000000"/>
              <w:right w:val="single" w:sz="5" w:space="0" w:color="000000"/>
            </w:tcBorders>
            <w:vAlign w:val="center"/>
          </w:tcPr>
          <w:p w14:paraId="69DEE767"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Teknik</w:t>
            </w:r>
          </w:p>
        </w:tc>
        <w:tc>
          <w:tcPr>
            <w:tcW w:w="3831" w:type="pct"/>
            <w:tcBorders>
              <w:top w:val="single" w:sz="5" w:space="0" w:color="000000"/>
              <w:left w:val="single" w:sz="5" w:space="0" w:color="000000"/>
              <w:bottom w:val="single" w:sz="5" w:space="0" w:color="000000"/>
              <w:right w:val="single" w:sz="5" w:space="0" w:color="000000"/>
            </w:tcBorders>
            <w:vAlign w:val="center"/>
          </w:tcPr>
          <w:p w14:paraId="276058AD"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Açıklama</w:t>
            </w:r>
          </w:p>
        </w:tc>
      </w:tr>
      <w:tr w:rsidR="00951FA4" w:rsidRPr="00F50C10" w14:paraId="30CBD2A3"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67DD558E" w14:textId="77777777" w:rsidR="00951FA4" w:rsidRPr="00F50C10" w:rsidRDefault="00951FA4" w:rsidP="000B206D">
            <w:pPr>
              <w:pStyle w:val="TableParagraph"/>
              <w:spacing w:line="276" w:lineRule="auto"/>
              <w:ind w:left="72" w:right="72"/>
              <w:jc w:val="center"/>
              <w:rPr>
                <w:szCs w:val="24"/>
              </w:rPr>
            </w:pPr>
            <w:r w:rsidRPr="00F50C10">
              <w:rPr>
                <w:szCs w:val="24"/>
                <w:lang w:bidi="tr-TR"/>
              </w:rPr>
              <w:t>a</w:t>
            </w:r>
          </w:p>
        </w:tc>
        <w:tc>
          <w:tcPr>
            <w:tcW w:w="971" w:type="pct"/>
            <w:tcBorders>
              <w:top w:val="single" w:sz="5" w:space="0" w:color="000000"/>
              <w:left w:val="single" w:sz="5" w:space="0" w:color="000000"/>
              <w:bottom w:val="single" w:sz="5" w:space="0" w:color="000000"/>
              <w:right w:val="single" w:sz="5" w:space="0" w:color="000000"/>
            </w:tcBorders>
            <w:vAlign w:val="center"/>
          </w:tcPr>
          <w:p w14:paraId="3128136F" w14:textId="77777777" w:rsidR="00951FA4" w:rsidRPr="00F50C10" w:rsidRDefault="00951FA4" w:rsidP="000B206D">
            <w:pPr>
              <w:pStyle w:val="TableParagraph"/>
              <w:spacing w:line="276" w:lineRule="auto"/>
              <w:ind w:left="72" w:right="72"/>
              <w:jc w:val="both"/>
              <w:rPr>
                <w:szCs w:val="24"/>
              </w:rPr>
            </w:pPr>
            <w:r w:rsidRPr="00F50C10">
              <w:rPr>
                <w:szCs w:val="24"/>
                <w:lang w:bidi="tr-TR"/>
              </w:rPr>
              <w:t>Kimyasal indirgeme</w:t>
            </w:r>
          </w:p>
        </w:tc>
        <w:tc>
          <w:tcPr>
            <w:tcW w:w="3831" w:type="pct"/>
            <w:tcBorders>
              <w:top w:val="single" w:sz="5" w:space="0" w:color="000000"/>
              <w:left w:val="single" w:sz="5" w:space="0" w:color="000000"/>
              <w:bottom w:val="single" w:sz="5" w:space="0" w:color="000000"/>
              <w:right w:val="single" w:sz="5" w:space="0" w:color="000000"/>
            </w:tcBorders>
            <w:vAlign w:val="center"/>
          </w:tcPr>
          <w:p w14:paraId="697E63E9" w14:textId="77777777" w:rsidR="00951FA4" w:rsidRPr="00F50C10" w:rsidRDefault="00951FA4" w:rsidP="000B206D">
            <w:pPr>
              <w:pStyle w:val="TableParagraph"/>
              <w:spacing w:line="276" w:lineRule="auto"/>
              <w:ind w:left="72" w:right="72"/>
              <w:jc w:val="both"/>
              <w:rPr>
                <w:szCs w:val="24"/>
              </w:rPr>
            </w:pPr>
            <w:r w:rsidRPr="00F50C10">
              <w:rPr>
                <w:szCs w:val="24"/>
                <w:lang w:bidi="tr-TR"/>
              </w:rPr>
              <w:t>Serbest klor, karıştırılan tanklarda sülfit ve hidrojen peroksit gibi indirgeyici maddelerle reaksiyona girerek yok edilir.</w:t>
            </w:r>
          </w:p>
        </w:tc>
      </w:tr>
      <w:tr w:rsidR="00951FA4" w:rsidRPr="00F50C10" w14:paraId="3CBB3807"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165C8DC3" w14:textId="77777777" w:rsidR="00951FA4" w:rsidRPr="00F50C10" w:rsidRDefault="00951FA4" w:rsidP="000B206D">
            <w:pPr>
              <w:pStyle w:val="TableParagraph"/>
              <w:spacing w:line="276" w:lineRule="auto"/>
              <w:ind w:left="72" w:right="72"/>
              <w:jc w:val="center"/>
              <w:rPr>
                <w:szCs w:val="24"/>
              </w:rPr>
            </w:pPr>
            <w:r w:rsidRPr="00F50C10">
              <w:rPr>
                <w:szCs w:val="24"/>
                <w:lang w:bidi="tr-TR"/>
              </w:rPr>
              <w:t>b</w:t>
            </w:r>
          </w:p>
        </w:tc>
        <w:tc>
          <w:tcPr>
            <w:tcW w:w="971" w:type="pct"/>
            <w:tcBorders>
              <w:top w:val="single" w:sz="5" w:space="0" w:color="000000"/>
              <w:left w:val="single" w:sz="5" w:space="0" w:color="000000"/>
              <w:bottom w:val="single" w:sz="5" w:space="0" w:color="000000"/>
              <w:right w:val="single" w:sz="5" w:space="0" w:color="000000"/>
            </w:tcBorders>
            <w:vAlign w:val="center"/>
          </w:tcPr>
          <w:p w14:paraId="77B71D72" w14:textId="77777777" w:rsidR="00951FA4" w:rsidRPr="00F50C10" w:rsidRDefault="00951FA4" w:rsidP="000B206D">
            <w:pPr>
              <w:pStyle w:val="TableParagraph"/>
              <w:spacing w:line="276" w:lineRule="auto"/>
              <w:ind w:left="72" w:right="72"/>
              <w:jc w:val="both"/>
              <w:rPr>
                <w:szCs w:val="24"/>
              </w:rPr>
            </w:pPr>
            <w:r w:rsidRPr="00F50C10">
              <w:rPr>
                <w:szCs w:val="24"/>
                <w:lang w:bidi="tr-TR"/>
              </w:rPr>
              <w:t>Katalitik ayrıştırma</w:t>
            </w:r>
          </w:p>
        </w:tc>
        <w:tc>
          <w:tcPr>
            <w:tcW w:w="3831" w:type="pct"/>
            <w:tcBorders>
              <w:top w:val="single" w:sz="5" w:space="0" w:color="000000"/>
              <w:left w:val="single" w:sz="5" w:space="0" w:color="000000"/>
              <w:bottom w:val="single" w:sz="5" w:space="0" w:color="000000"/>
              <w:right w:val="single" w:sz="5" w:space="0" w:color="000000"/>
            </w:tcBorders>
            <w:vAlign w:val="center"/>
          </w:tcPr>
          <w:p w14:paraId="46F193AD" w14:textId="77777777" w:rsidR="00951FA4" w:rsidRPr="00F50C10" w:rsidRDefault="00951FA4" w:rsidP="000B206D">
            <w:pPr>
              <w:pStyle w:val="TableParagraph"/>
              <w:spacing w:line="276" w:lineRule="auto"/>
              <w:ind w:left="72" w:right="72"/>
              <w:jc w:val="both"/>
              <w:rPr>
                <w:szCs w:val="24"/>
              </w:rPr>
            </w:pPr>
            <w:r w:rsidRPr="00F50C10">
              <w:rPr>
                <w:szCs w:val="24"/>
                <w:lang w:bidi="tr-TR"/>
              </w:rPr>
              <w:t>Serbest klor, katalitik sabit yataklı reaktörlerde klorür ve oksijene ayrıştırılır. Katalizör, bir alüminyum destek üzerinde demir ile desteklenen bir nikel oksit olabilir.</w:t>
            </w:r>
          </w:p>
        </w:tc>
      </w:tr>
      <w:tr w:rsidR="00951FA4" w:rsidRPr="00F50C10" w14:paraId="253D642E"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756138C2" w14:textId="77777777" w:rsidR="00951FA4" w:rsidRPr="00F50C10" w:rsidRDefault="00951FA4" w:rsidP="000B206D">
            <w:pPr>
              <w:pStyle w:val="TableParagraph"/>
              <w:spacing w:line="276" w:lineRule="auto"/>
              <w:ind w:left="72" w:right="72"/>
              <w:jc w:val="center"/>
              <w:rPr>
                <w:szCs w:val="24"/>
              </w:rPr>
            </w:pPr>
            <w:r w:rsidRPr="00F50C10">
              <w:rPr>
                <w:szCs w:val="24"/>
                <w:lang w:bidi="tr-TR"/>
              </w:rPr>
              <w:t>c</w:t>
            </w:r>
          </w:p>
        </w:tc>
        <w:tc>
          <w:tcPr>
            <w:tcW w:w="971" w:type="pct"/>
            <w:tcBorders>
              <w:top w:val="single" w:sz="5" w:space="0" w:color="000000"/>
              <w:left w:val="single" w:sz="5" w:space="0" w:color="000000"/>
              <w:bottom w:val="single" w:sz="5" w:space="0" w:color="000000"/>
              <w:right w:val="single" w:sz="5" w:space="0" w:color="000000"/>
            </w:tcBorders>
            <w:vAlign w:val="center"/>
          </w:tcPr>
          <w:p w14:paraId="2DCB70F9" w14:textId="77777777" w:rsidR="00951FA4" w:rsidRPr="00F50C10" w:rsidRDefault="00951FA4" w:rsidP="000B206D">
            <w:pPr>
              <w:pStyle w:val="TableParagraph"/>
              <w:spacing w:line="276" w:lineRule="auto"/>
              <w:ind w:left="72" w:right="72"/>
              <w:jc w:val="both"/>
              <w:rPr>
                <w:szCs w:val="24"/>
              </w:rPr>
            </w:pPr>
            <w:r w:rsidRPr="00F50C10">
              <w:rPr>
                <w:szCs w:val="24"/>
                <w:lang w:bidi="tr-TR"/>
              </w:rPr>
              <w:t>Termal ayrıştırma</w:t>
            </w:r>
          </w:p>
        </w:tc>
        <w:tc>
          <w:tcPr>
            <w:tcW w:w="3831" w:type="pct"/>
            <w:tcBorders>
              <w:top w:val="single" w:sz="5" w:space="0" w:color="000000"/>
              <w:left w:val="single" w:sz="5" w:space="0" w:color="000000"/>
              <w:bottom w:val="single" w:sz="5" w:space="0" w:color="000000"/>
              <w:right w:val="single" w:sz="5" w:space="0" w:color="000000"/>
            </w:tcBorders>
            <w:vAlign w:val="center"/>
          </w:tcPr>
          <w:p w14:paraId="70B9DC17" w14:textId="77777777" w:rsidR="00951FA4" w:rsidRPr="00F50C10" w:rsidRDefault="00951FA4" w:rsidP="000B206D">
            <w:pPr>
              <w:pStyle w:val="TableParagraph"/>
              <w:spacing w:line="276" w:lineRule="auto"/>
              <w:ind w:left="72" w:right="72"/>
              <w:jc w:val="both"/>
              <w:rPr>
                <w:szCs w:val="24"/>
              </w:rPr>
            </w:pPr>
            <w:r w:rsidRPr="00F50C10">
              <w:rPr>
                <w:szCs w:val="24"/>
                <w:lang w:bidi="tr-TR"/>
              </w:rPr>
              <w:t>Serbest klor, yaklaşık 70 °C'de termal ayrıştırma ile klorür ve klorata dönüştürülür. Ortaya çıkan atık su, klorat ve bromat emisyonlarını azaltmak için daha fazla arıtma gerektirir (</w:t>
            </w:r>
            <w:hyperlink w:anchor="_bookmark399" w:history="1">
              <w:r w:rsidRPr="00F50C10">
                <w:rPr>
                  <w:szCs w:val="24"/>
                  <w:lang w:bidi="tr-TR"/>
                </w:rPr>
                <w:t>MET 14</w:t>
              </w:r>
            </w:hyperlink>
            <w:r w:rsidRPr="00F50C10">
              <w:rPr>
                <w:szCs w:val="24"/>
                <w:lang w:bidi="tr-TR"/>
              </w:rPr>
              <w:t>).</w:t>
            </w:r>
          </w:p>
        </w:tc>
      </w:tr>
      <w:tr w:rsidR="00951FA4" w:rsidRPr="00F50C10" w14:paraId="3191C386"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3F38FC12" w14:textId="77777777" w:rsidR="00951FA4" w:rsidRPr="00F50C10" w:rsidRDefault="00951FA4" w:rsidP="000B206D">
            <w:pPr>
              <w:pStyle w:val="TableParagraph"/>
              <w:spacing w:line="276" w:lineRule="auto"/>
              <w:ind w:left="72" w:right="72"/>
              <w:jc w:val="center"/>
              <w:rPr>
                <w:szCs w:val="24"/>
              </w:rPr>
            </w:pPr>
            <w:r w:rsidRPr="00F50C10">
              <w:rPr>
                <w:szCs w:val="24"/>
                <w:lang w:bidi="tr-TR"/>
              </w:rPr>
              <w:t>d</w:t>
            </w:r>
          </w:p>
        </w:tc>
        <w:tc>
          <w:tcPr>
            <w:tcW w:w="971" w:type="pct"/>
            <w:tcBorders>
              <w:top w:val="single" w:sz="5" w:space="0" w:color="000000"/>
              <w:left w:val="single" w:sz="5" w:space="0" w:color="000000"/>
              <w:bottom w:val="single" w:sz="5" w:space="0" w:color="000000"/>
              <w:right w:val="single" w:sz="5" w:space="0" w:color="000000"/>
            </w:tcBorders>
            <w:vAlign w:val="center"/>
          </w:tcPr>
          <w:p w14:paraId="082B23B2" w14:textId="77777777" w:rsidR="00951FA4" w:rsidRPr="00F50C10" w:rsidRDefault="00951FA4" w:rsidP="000B206D">
            <w:pPr>
              <w:pStyle w:val="TableParagraph"/>
              <w:spacing w:line="276" w:lineRule="auto"/>
              <w:ind w:left="72" w:right="72"/>
              <w:jc w:val="both"/>
              <w:rPr>
                <w:szCs w:val="24"/>
              </w:rPr>
            </w:pPr>
            <w:r w:rsidRPr="00F50C10">
              <w:rPr>
                <w:szCs w:val="24"/>
                <w:lang w:bidi="tr-TR"/>
              </w:rPr>
              <w:t>Asidik ayrıştırma</w:t>
            </w:r>
          </w:p>
        </w:tc>
        <w:tc>
          <w:tcPr>
            <w:tcW w:w="3831" w:type="pct"/>
            <w:tcBorders>
              <w:top w:val="single" w:sz="5" w:space="0" w:color="000000"/>
              <w:left w:val="single" w:sz="5" w:space="0" w:color="000000"/>
              <w:bottom w:val="single" w:sz="5" w:space="0" w:color="000000"/>
              <w:right w:val="single" w:sz="5" w:space="0" w:color="000000"/>
            </w:tcBorders>
            <w:vAlign w:val="center"/>
          </w:tcPr>
          <w:p w14:paraId="7A051F61" w14:textId="77777777" w:rsidR="00951FA4" w:rsidRPr="00F50C10" w:rsidRDefault="00951FA4" w:rsidP="000B206D">
            <w:pPr>
              <w:pStyle w:val="TableParagraph"/>
              <w:spacing w:line="276" w:lineRule="auto"/>
              <w:ind w:left="72" w:right="72"/>
              <w:jc w:val="both"/>
              <w:rPr>
                <w:szCs w:val="24"/>
              </w:rPr>
            </w:pPr>
            <w:r w:rsidRPr="00F50C10">
              <w:rPr>
                <w:szCs w:val="24"/>
                <w:lang w:bidi="tr-TR"/>
              </w:rPr>
              <w:t>Serbest klor, asitlendirme ile ayrıştırılır ve daha sonra klor bırakılır ve geri kazanılır. Asidik ayrıştırma ayrı bir reaktörde veya atık suyun tuzlu su sistemine geri döndürülmesiyle gerçekleştirilebilir. Atık suyun tuzlu su devresine geri döndürülme derecesi, tesisin su dengesi ile sınırlıdır.</w:t>
            </w:r>
          </w:p>
        </w:tc>
      </w:tr>
      <w:tr w:rsidR="00951FA4" w:rsidRPr="00F50C10" w14:paraId="0B79910B"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4006CC1D" w14:textId="77777777" w:rsidR="00951FA4" w:rsidRPr="00F50C10" w:rsidRDefault="00951FA4" w:rsidP="000B206D">
            <w:pPr>
              <w:pStyle w:val="TableParagraph"/>
              <w:spacing w:line="276" w:lineRule="auto"/>
              <w:ind w:left="72" w:right="72"/>
              <w:jc w:val="center"/>
              <w:rPr>
                <w:szCs w:val="24"/>
              </w:rPr>
            </w:pPr>
            <w:r w:rsidRPr="00F50C10">
              <w:rPr>
                <w:szCs w:val="24"/>
                <w:lang w:bidi="tr-TR"/>
              </w:rPr>
              <w:t>e</w:t>
            </w:r>
          </w:p>
        </w:tc>
        <w:tc>
          <w:tcPr>
            <w:tcW w:w="971" w:type="pct"/>
            <w:tcBorders>
              <w:top w:val="single" w:sz="5" w:space="0" w:color="000000"/>
              <w:left w:val="single" w:sz="5" w:space="0" w:color="000000"/>
              <w:bottom w:val="single" w:sz="5" w:space="0" w:color="000000"/>
              <w:right w:val="single" w:sz="5" w:space="0" w:color="000000"/>
            </w:tcBorders>
            <w:vAlign w:val="center"/>
          </w:tcPr>
          <w:p w14:paraId="5FD1459B" w14:textId="77777777" w:rsidR="00951FA4" w:rsidRPr="00F50C10" w:rsidRDefault="00951FA4" w:rsidP="000B206D">
            <w:pPr>
              <w:pStyle w:val="TableParagraph"/>
              <w:spacing w:line="276" w:lineRule="auto"/>
              <w:ind w:left="72" w:right="72"/>
              <w:jc w:val="both"/>
              <w:rPr>
                <w:szCs w:val="24"/>
              </w:rPr>
            </w:pPr>
            <w:r w:rsidRPr="00F50C10">
              <w:rPr>
                <w:szCs w:val="24"/>
                <w:lang w:bidi="tr-TR"/>
              </w:rPr>
              <w:t>Atık su geri dönüşümü</w:t>
            </w:r>
          </w:p>
        </w:tc>
        <w:tc>
          <w:tcPr>
            <w:tcW w:w="3831" w:type="pct"/>
            <w:tcBorders>
              <w:top w:val="single" w:sz="5" w:space="0" w:color="000000"/>
              <w:left w:val="single" w:sz="5" w:space="0" w:color="000000"/>
              <w:bottom w:val="single" w:sz="5" w:space="0" w:color="000000"/>
              <w:right w:val="single" w:sz="5" w:space="0" w:color="000000"/>
            </w:tcBorders>
            <w:vAlign w:val="center"/>
          </w:tcPr>
          <w:p w14:paraId="7A6839AD" w14:textId="77777777" w:rsidR="00951FA4" w:rsidRPr="00F50C10" w:rsidRDefault="00951FA4" w:rsidP="000B206D">
            <w:pPr>
              <w:pStyle w:val="TableParagraph"/>
              <w:spacing w:line="276" w:lineRule="auto"/>
              <w:ind w:left="72" w:right="72"/>
              <w:jc w:val="both"/>
              <w:rPr>
                <w:szCs w:val="24"/>
              </w:rPr>
            </w:pPr>
            <w:r w:rsidRPr="00F50C10">
              <w:rPr>
                <w:szCs w:val="24"/>
                <w:lang w:bidi="tr-TR"/>
              </w:rPr>
              <w:t>Klor-alkali tesisinin atık suları diğer üretim birimlerine geri döndürülür.</w:t>
            </w:r>
          </w:p>
        </w:tc>
      </w:tr>
    </w:tbl>
    <w:p w14:paraId="51BE1BC0" w14:textId="77777777" w:rsidR="00951FA4" w:rsidRPr="00F50C10" w:rsidRDefault="00951FA4" w:rsidP="000B206D">
      <w:pPr>
        <w:spacing w:before="240" w:line="276" w:lineRule="auto"/>
        <w:rPr>
          <w:rFonts w:cs="Times New Roman"/>
          <w:szCs w:val="24"/>
          <w:lang w:bidi="tr-TR"/>
        </w:rPr>
      </w:pPr>
      <w:r w:rsidRPr="00F50C10">
        <w:rPr>
          <w:rFonts w:cs="Times New Roman"/>
          <w:szCs w:val="24"/>
          <w:lang w:val="tr-TR" w:bidi="tr-TR"/>
        </w:rPr>
        <w:t>Cl</w:t>
      </w:r>
      <w:r w:rsidRPr="00F50C10">
        <w:rPr>
          <w:rFonts w:cs="Times New Roman"/>
          <w:szCs w:val="24"/>
          <w:vertAlign w:val="subscript"/>
          <w:lang w:val="tr-TR" w:bidi="tr-TR"/>
        </w:rPr>
        <w:t>2</w:t>
      </w:r>
      <w:r w:rsidRPr="00F50C10">
        <w:rPr>
          <w:rFonts w:cs="Times New Roman"/>
          <w:szCs w:val="24"/>
          <w:lang w:val="tr-TR" w:bidi="tr-TR"/>
        </w:rPr>
        <w:t xml:space="preserve"> olarak ifade edilen serbest klor için </w:t>
      </w:r>
      <w:r w:rsidRPr="00F50C10">
        <w:rPr>
          <w:rFonts w:cs="Times New Roman"/>
          <w:b/>
          <w:szCs w:val="24"/>
          <w:lang w:val="tr-TR" w:bidi="tr-TR"/>
        </w:rPr>
        <w:t>MET ile ilişkili emisyon seviyesi</w:t>
      </w:r>
      <w:r w:rsidRPr="00F50C10">
        <w:rPr>
          <w:rFonts w:cs="Times New Roman"/>
          <w:szCs w:val="24"/>
          <w:lang w:val="tr-TR" w:bidi="tr-TR"/>
        </w:rPr>
        <w:t xml:space="preserve">, emisyonun tesisten çıktığı noktada en az ayda bir kez alınan anlık numunelerde 0.05–0.2 mg/l'dir. İlişkili izleme </w:t>
      </w:r>
      <w:hyperlink w:anchor="_bookmark393" w:history="1">
        <w:r w:rsidRPr="00F50C10">
          <w:rPr>
            <w:rFonts w:cs="Times New Roman"/>
            <w:szCs w:val="24"/>
            <w:lang w:val="tr-TR" w:bidi="tr-TR"/>
          </w:rPr>
          <w:t>MET 7</w:t>
        </w:r>
      </w:hyperlink>
      <w:r w:rsidRPr="00F50C10">
        <w:rPr>
          <w:rFonts w:cs="Times New Roman"/>
          <w:szCs w:val="24"/>
          <w:lang w:val="tr-TR" w:bidi="tr-TR"/>
        </w:rPr>
        <w:t>'de açıklanmıştır.</w:t>
      </w:r>
    </w:p>
    <w:p w14:paraId="053B7CE7" w14:textId="2AF1EE2C" w:rsidR="00951FA4" w:rsidRPr="00F50C10" w:rsidRDefault="00951FA4" w:rsidP="000B206D">
      <w:pPr>
        <w:spacing w:before="240" w:line="276" w:lineRule="auto"/>
        <w:rPr>
          <w:rFonts w:cs="Times New Roman"/>
          <w:b/>
          <w:bCs/>
          <w:szCs w:val="24"/>
        </w:rPr>
      </w:pPr>
      <w:r w:rsidRPr="00F50C10">
        <w:rPr>
          <w:rFonts w:cs="Times New Roman"/>
          <w:b/>
          <w:bCs/>
          <w:szCs w:val="24"/>
        </w:rPr>
        <w:t>MET 14:</w:t>
      </w:r>
      <w:r w:rsidRPr="00F50C10">
        <w:rPr>
          <w:rFonts w:cs="Times New Roman"/>
          <w:szCs w:val="24"/>
        </w:rPr>
        <w:t xml:space="preserve"> Klor-alkali tesisinden kaynaklanan klorat su emisyonlarını azaltmak için, aşağıda verilen tekniklerden biri veya birkaçı kullanılır</w:t>
      </w:r>
      <w:r w:rsidR="0031706A" w:rsidRPr="00F50C10">
        <w:rPr>
          <w:rFonts w:cs="Times New Roman"/>
          <w:szCs w:val="24"/>
        </w:rPr>
        <w:t>.</w:t>
      </w:r>
    </w:p>
    <w:tbl>
      <w:tblPr>
        <w:tblW w:w="5000" w:type="pct"/>
        <w:tblCellMar>
          <w:left w:w="0" w:type="dxa"/>
          <w:right w:w="0" w:type="dxa"/>
        </w:tblCellMar>
        <w:tblLook w:val="01E0" w:firstRow="1" w:lastRow="1" w:firstColumn="1" w:lastColumn="1" w:noHBand="0" w:noVBand="0"/>
      </w:tblPr>
      <w:tblGrid>
        <w:gridCol w:w="369"/>
        <w:gridCol w:w="1951"/>
        <w:gridCol w:w="3948"/>
        <w:gridCol w:w="3040"/>
      </w:tblGrid>
      <w:tr w:rsidR="00951FA4" w:rsidRPr="00F50C10" w14:paraId="608625ED" w14:textId="77777777" w:rsidTr="00116C54">
        <w:trPr>
          <w:trHeight w:val="20"/>
          <w:tblHeader/>
        </w:trPr>
        <w:tc>
          <w:tcPr>
            <w:tcW w:w="198" w:type="pct"/>
            <w:tcBorders>
              <w:top w:val="single" w:sz="5" w:space="0" w:color="000000"/>
              <w:left w:val="single" w:sz="5" w:space="0" w:color="000000"/>
              <w:bottom w:val="single" w:sz="5" w:space="0" w:color="000000"/>
              <w:right w:val="single" w:sz="5" w:space="0" w:color="000000"/>
            </w:tcBorders>
            <w:vAlign w:val="center"/>
          </w:tcPr>
          <w:p w14:paraId="56336FD3" w14:textId="77777777" w:rsidR="00951FA4" w:rsidRPr="00F50C10" w:rsidRDefault="00951FA4" w:rsidP="000B206D">
            <w:pPr>
              <w:spacing w:line="276" w:lineRule="auto"/>
              <w:ind w:left="72" w:right="72"/>
              <w:jc w:val="center"/>
              <w:rPr>
                <w:rFonts w:cs="Times New Roman"/>
                <w:szCs w:val="24"/>
                <w:lang w:val="tr-TR"/>
              </w:rPr>
            </w:pPr>
          </w:p>
        </w:tc>
        <w:tc>
          <w:tcPr>
            <w:tcW w:w="1048" w:type="pct"/>
            <w:tcBorders>
              <w:top w:val="single" w:sz="5" w:space="0" w:color="000000"/>
              <w:left w:val="single" w:sz="5" w:space="0" w:color="000000"/>
              <w:bottom w:val="single" w:sz="5" w:space="0" w:color="000000"/>
              <w:right w:val="single" w:sz="5" w:space="0" w:color="000000"/>
            </w:tcBorders>
            <w:vAlign w:val="center"/>
          </w:tcPr>
          <w:p w14:paraId="0E55DD8D"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Teknik</w:t>
            </w:r>
          </w:p>
        </w:tc>
        <w:tc>
          <w:tcPr>
            <w:tcW w:w="2121" w:type="pct"/>
            <w:tcBorders>
              <w:top w:val="single" w:sz="5" w:space="0" w:color="000000"/>
              <w:left w:val="single" w:sz="5" w:space="0" w:color="000000"/>
              <w:bottom w:val="single" w:sz="5" w:space="0" w:color="000000"/>
              <w:right w:val="single" w:sz="5" w:space="0" w:color="000000"/>
            </w:tcBorders>
            <w:vAlign w:val="center"/>
          </w:tcPr>
          <w:p w14:paraId="0F213348"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Açıklama</w:t>
            </w:r>
          </w:p>
        </w:tc>
        <w:tc>
          <w:tcPr>
            <w:tcW w:w="1633" w:type="pct"/>
            <w:tcBorders>
              <w:top w:val="single" w:sz="5" w:space="0" w:color="000000"/>
              <w:left w:val="single" w:sz="5" w:space="0" w:color="000000"/>
              <w:bottom w:val="single" w:sz="5" w:space="0" w:color="000000"/>
              <w:right w:val="single" w:sz="5" w:space="0" w:color="000000"/>
            </w:tcBorders>
            <w:vAlign w:val="center"/>
          </w:tcPr>
          <w:p w14:paraId="07B90875"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Uygulanabilirlik</w:t>
            </w:r>
          </w:p>
        </w:tc>
      </w:tr>
      <w:tr w:rsidR="00951FA4" w:rsidRPr="00F50C10" w14:paraId="45F463F1"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1569E27F" w14:textId="77777777" w:rsidR="00951FA4" w:rsidRPr="00F50C10" w:rsidRDefault="00951FA4" w:rsidP="000B206D">
            <w:pPr>
              <w:pStyle w:val="TableParagraph"/>
              <w:spacing w:line="276" w:lineRule="auto"/>
              <w:ind w:left="72" w:right="72"/>
              <w:jc w:val="center"/>
              <w:rPr>
                <w:szCs w:val="24"/>
              </w:rPr>
            </w:pPr>
            <w:r w:rsidRPr="00F50C10">
              <w:rPr>
                <w:szCs w:val="24"/>
                <w:lang w:bidi="tr-TR"/>
              </w:rPr>
              <w:t>a</w:t>
            </w:r>
          </w:p>
        </w:tc>
        <w:tc>
          <w:tcPr>
            <w:tcW w:w="1048" w:type="pct"/>
            <w:tcBorders>
              <w:top w:val="single" w:sz="5" w:space="0" w:color="000000"/>
              <w:left w:val="single" w:sz="5" w:space="0" w:color="000000"/>
              <w:bottom w:val="single" w:sz="5" w:space="0" w:color="000000"/>
              <w:right w:val="single" w:sz="5" w:space="0" w:color="000000"/>
            </w:tcBorders>
            <w:vAlign w:val="center"/>
          </w:tcPr>
          <w:p w14:paraId="1A22DD1C" w14:textId="77777777" w:rsidR="00951FA4" w:rsidRPr="00F50C10" w:rsidRDefault="00951FA4" w:rsidP="000B206D">
            <w:pPr>
              <w:pStyle w:val="TableParagraph"/>
              <w:spacing w:line="276" w:lineRule="auto"/>
              <w:ind w:left="72" w:right="72"/>
              <w:jc w:val="both"/>
              <w:rPr>
                <w:szCs w:val="24"/>
              </w:rPr>
            </w:pPr>
            <w:r w:rsidRPr="00F50C10">
              <w:rPr>
                <w:szCs w:val="24"/>
                <w:lang w:bidi="tr-TR"/>
              </w:rPr>
              <w:t>Yüksek performanslı membranlar</w:t>
            </w:r>
          </w:p>
        </w:tc>
        <w:tc>
          <w:tcPr>
            <w:tcW w:w="2121" w:type="pct"/>
            <w:tcBorders>
              <w:top w:val="single" w:sz="5" w:space="0" w:color="000000"/>
              <w:left w:val="single" w:sz="5" w:space="0" w:color="000000"/>
              <w:bottom w:val="single" w:sz="5" w:space="0" w:color="000000"/>
              <w:right w:val="single" w:sz="5" w:space="0" w:color="000000"/>
            </w:tcBorders>
            <w:vAlign w:val="center"/>
          </w:tcPr>
          <w:p w14:paraId="46892CC6" w14:textId="77777777" w:rsidR="00951FA4" w:rsidRPr="00F50C10" w:rsidRDefault="00951FA4" w:rsidP="000B206D">
            <w:pPr>
              <w:pStyle w:val="TableParagraph"/>
              <w:spacing w:line="276" w:lineRule="auto"/>
              <w:ind w:left="72" w:right="72"/>
              <w:jc w:val="both"/>
              <w:rPr>
                <w:szCs w:val="24"/>
              </w:rPr>
            </w:pPr>
            <w:r w:rsidRPr="00F50C10">
              <w:rPr>
                <w:szCs w:val="24"/>
                <w:lang w:bidi="tr-TR"/>
              </w:rPr>
              <w:t>Belirli çalışma koşulları altında mekanik ve kimyasal kararlılık sağlayan ve klorat oluşumunu azaltan yüksek akım verimliliğine sahip membranlar.</w:t>
            </w:r>
          </w:p>
        </w:tc>
        <w:tc>
          <w:tcPr>
            <w:tcW w:w="1633" w:type="pct"/>
            <w:tcBorders>
              <w:top w:val="single" w:sz="5" w:space="0" w:color="000000"/>
              <w:left w:val="single" w:sz="5" w:space="0" w:color="000000"/>
              <w:bottom w:val="single" w:sz="5" w:space="0" w:color="000000"/>
              <w:right w:val="single" w:sz="5" w:space="0" w:color="000000"/>
            </w:tcBorders>
            <w:vAlign w:val="center"/>
          </w:tcPr>
          <w:p w14:paraId="17878B36" w14:textId="77777777" w:rsidR="00951FA4" w:rsidRPr="00F50C10" w:rsidRDefault="00951FA4" w:rsidP="000B206D">
            <w:pPr>
              <w:pStyle w:val="TableParagraph"/>
              <w:spacing w:line="276" w:lineRule="auto"/>
              <w:ind w:left="72" w:right="72"/>
              <w:jc w:val="both"/>
              <w:rPr>
                <w:szCs w:val="24"/>
              </w:rPr>
            </w:pPr>
            <w:r w:rsidRPr="00F50C10">
              <w:rPr>
                <w:szCs w:val="24"/>
                <w:lang w:bidi="tr-TR"/>
              </w:rPr>
              <w:t>Membran hücreli tesislere, ömürlerinin sonunda membranlar yenilenirken uygulanabilir.</w:t>
            </w:r>
          </w:p>
        </w:tc>
      </w:tr>
      <w:tr w:rsidR="00951FA4" w:rsidRPr="00F50C10" w14:paraId="0D1137D2"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4BAAFFC6" w14:textId="77777777" w:rsidR="00951FA4" w:rsidRPr="00F50C10" w:rsidRDefault="00951FA4" w:rsidP="000B206D">
            <w:pPr>
              <w:pStyle w:val="TableParagraph"/>
              <w:spacing w:line="276" w:lineRule="auto"/>
              <w:ind w:left="72" w:right="72"/>
              <w:jc w:val="center"/>
              <w:rPr>
                <w:szCs w:val="24"/>
              </w:rPr>
            </w:pPr>
            <w:r w:rsidRPr="00F50C10">
              <w:rPr>
                <w:szCs w:val="24"/>
                <w:lang w:bidi="tr-TR"/>
              </w:rPr>
              <w:t>b</w:t>
            </w:r>
          </w:p>
        </w:tc>
        <w:tc>
          <w:tcPr>
            <w:tcW w:w="1048" w:type="pct"/>
            <w:tcBorders>
              <w:top w:val="single" w:sz="5" w:space="0" w:color="000000"/>
              <w:left w:val="single" w:sz="5" w:space="0" w:color="000000"/>
              <w:bottom w:val="single" w:sz="5" w:space="0" w:color="000000"/>
              <w:right w:val="single" w:sz="5" w:space="0" w:color="000000"/>
            </w:tcBorders>
            <w:vAlign w:val="center"/>
          </w:tcPr>
          <w:p w14:paraId="7A2325FE" w14:textId="77777777" w:rsidR="00951FA4" w:rsidRPr="00F50C10" w:rsidRDefault="00951FA4" w:rsidP="000B206D">
            <w:pPr>
              <w:pStyle w:val="TableParagraph"/>
              <w:spacing w:line="276" w:lineRule="auto"/>
              <w:ind w:left="72" w:right="72"/>
              <w:jc w:val="both"/>
              <w:rPr>
                <w:szCs w:val="24"/>
              </w:rPr>
            </w:pPr>
            <w:r w:rsidRPr="00F50C10">
              <w:rPr>
                <w:szCs w:val="24"/>
                <w:lang w:bidi="tr-TR"/>
              </w:rPr>
              <w:t>Yüksek performanslı kaplamalar</w:t>
            </w:r>
          </w:p>
        </w:tc>
        <w:tc>
          <w:tcPr>
            <w:tcW w:w="2121" w:type="pct"/>
            <w:tcBorders>
              <w:top w:val="single" w:sz="5" w:space="0" w:color="000000"/>
              <w:left w:val="single" w:sz="5" w:space="0" w:color="000000"/>
              <w:bottom w:val="single" w:sz="5" w:space="0" w:color="000000"/>
              <w:right w:val="single" w:sz="5" w:space="0" w:color="000000"/>
            </w:tcBorders>
            <w:vAlign w:val="center"/>
          </w:tcPr>
          <w:p w14:paraId="31758406" w14:textId="77777777" w:rsidR="00951FA4" w:rsidRPr="00F50C10" w:rsidRDefault="00951FA4" w:rsidP="000B206D">
            <w:pPr>
              <w:pStyle w:val="TableParagraph"/>
              <w:spacing w:line="276" w:lineRule="auto"/>
              <w:ind w:left="72" w:right="72"/>
              <w:jc w:val="both"/>
              <w:rPr>
                <w:szCs w:val="24"/>
              </w:rPr>
            </w:pPr>
            <w:r w:rsidRPr="00F50C10">
              <w:rPr>
                <w:szCs w:val="24"/>
                <w:lang w:bidi="tr-TR"/>
              </w:rPr>
              <w:t>Klorat oluşumunun azalmasına ve anotta oksijen oluşumunun artmasına neden olan düşük elektrot aşırı gerilimine sahip kaplamalar.</w:t>
            </w:r>
          </w:p>
        </w:tc>
        <w:tc>
          <w:tcPr>
            <w:tcW w:w="1633" w:type="pct"/>
            <w:tcBorders>
              <w:top w:val="single" w:sz="5" w:space="0" w:color="000000"/>
              <w:left w:val="single" w:sz="5" w:space="0" w:color="000000"/>
              <w:bottom w:val="single" w:sz="5" w:space="0" w:color="000000"/>
              <w:right w:val="single" w:sz="5" w:space="0" w:color="000000"/>
            </w:tcBorders>
            <w:vAlign w:val="center"/>
          </w:tcPr>
          <w:p w14:paraId="0456B2AD" w14:textId="77777777" w:rsidR="00951FA4" w:rsidRPr="00F50C10" w:rsidRDefault="00951FA4" w:rsidP="000B206D">
            <w:pPr>
              <w:pStyle w:val="TableParagraph"/>
              <w:spacing w:line="276" w:lineRule="auto"/>
              <w:ind w:left="72" w:right="72"/>
              <w:jc w:val="both"/>
              <w:rPr>
                <w:szCs w:val="24"/>
              </w:rPr>
            </w:pPr>
            <w:r w:rsidRPr="00F50C10">
              <w:rPr>
                <w:szCs w:val="24"/>
                <w:lang w:bidi="tr-TR"/>
              </w:rPr>
              <w:t>Kullanım ömrü sonunda kaplamalar yenilenirken uygulanabilir. Uygulanabilirlik, üretilen klorun kalite gereksinimleri (oksijen derişimi) ile sınırlı olabilir.</w:t>
            </w:r>
          </w:p>
        </w:tc>
      </w:tr>
      <w:tr w:rsidR="00951FA4" w:rsidRPr="00F50C10" w14:paraId="65B229F4"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689723C4" w14:textId="77777777" w:rsidR="00951FA4" w:rsidRPr="00F50C10" w:rsidRDefault="00951FA4" w:rsidP="000B206D">
            <w:pPr>
              <w:pStyle w:val="TableParagraph"/>
              <w:spacing w:line="276" w:lineRule="auto"/>
              <w:ind w:left="72" w:right="72"/>
              <w:jc w:val="center"/>
              <w:rPr>
                <w:szCs w:val="24"/>
              </w:rPr>
            </w:pPr>
            <w:r w:rsidRPr="00F50C10">
              <w:rPr>
                <w:szCs w:val="24"/>
                <w:lang w:bidi="tr-TR"/>
              </w:rPr>
              <w:t>c</w:t>
            </w:r>
          </w:p>
        </w:tc>
        <w:tc>
          <w:tcPr>
            <w:tcW w:w="1048" w:type="pct"/>
            <w:tcBorders>
              <w:top w:val="single" w:sz="5" w:space="0" w:color="000000"/>
              <w:left w:val="single" w:sz="5" w:space="0" w:color="000000"/>
              <w:bottom w:val="single" w:sz="5" w:space="0" w:color="000000"/>
              <w:right w:val="single" w:sz="5" w:space="0" w:color="000000"/>
            </w:tcBorders>
            <w:vAlign w:val="center"/>
          </w:tcPr>
          <w:p w14:paraId="0944040D" w14:textId="77777777" w:rsidR="00951FA4" w:rsidRPr="00F50C10" w:rsidRDefault="00951FA4" w:rsidP="000B206D">
            <w:pPr>
              <w:pStyle w:val="TableParagraph"/>
              <w:spacing w:line="276" w:lineRule="auto"/>
              <w:ind w:left="72" w:right="72"/>
              <w:jc w:val="both"/>
              <w:rPr>
                <w:szCs w:val="24"/>
              </w:rPr>
            </w:pPr>
            <w:r w:rsidRPr="00F50C10">
              <w:rPr>
                <w:szCs w:val="24"/>
                <w:lang w:bidi="tr-TR"/>
              </w:rPr>
              <w:t>Yüksek saflıkta tuzlu su</w:t>
            </w:r>
          </w:p>
        </w:tc>
        <w:tc>
          <w:tcPr>
            <w:tcW w:w="2121" w:type="pct"/>
            <w:tcBorders>
              <w:top w:val="single" w:sz="5" w:space="0" w:color="000000"/>
              <w:left w:val="single" w:sz="5" w:space="0" w:color="000000"/>
              <w:bottom w:val="single" w:sz="5" w:space="0" w:color="000000"/>
              <w:right w:val="single" w:sz="5" w:space="0" w:color="000000"/>
            </w:tcBorders>
            <w:vAlign w:val="center"/>
          </w:tcPr>
          <w:p w14:paraId="115C2524" w14:textId="77777777" w:rsidR="00951FA4" w:rsidRPr="00F50C10" w:rsidRDefault="00951FA4" w:rsidP="000B206D">
            <w:pPr>
              <w:pStyle w:val="TableParagraph"/>
              <w:spacing w:line="276" w:lineRule="auto"/>
              <w:ind w:left="72" w:right="72"/>
              <w:jc w:val="both"/>
              <w:rPr>
                <w:szCs w:val="24"/>
              </w:rPr>
            </w:pPr>
            <w:r w:rsidRPr="00F50C10">
              <w:rPr>
                <w:szCs w:val="24"/>
                <w:lang w:bidi="tr-TR"/>
              </w:rPr>
              <w:t>Tuzlu su, elektrot ve diyaframların/membranların kontaminasyonunu en aza indirmek amacıyla yeterince saflaştırılır; aksi takdirde klorat oluşumu artabilir.</w:t>
            </w:r>
          </w:p>
        </w:tc>
        <w:tc>
          <w:tcPr>
            <w:tcW w:w="1633" w:type="pct"/>
            <w:tcBorders>
              <w:top w:val="single" w:sz="5" w:space="0" w:color="000000"/>
              <w:left w:val="single" w:sz="5" w:space="0" w:color="000000"/>
              <w:bottom w:val="single" w:sz="5" w:space="0" w:color="000000"/>
              <w:right w:val="single" w:sz="5" w:space="0" w:color="000000"/>
            </w:tcBorders>
            <w:vAlign w:val="center"/>
          </w:tcPr>
          <w:p w14:paraId="17099552" w14:textId="77777777" w:rsidR="00951FA4" w:rsidRPr="00F50C10" w:rsidRDefault="00951FA4" w:rsidP="000B206D">
            <w:pPr>
              <w:pStyle w:val="TableParagraph"/>
              <w:spacing w:line="276" w:lineRule="auto"/>
              <w:ind w:left="72" w:right="72"/>
              <w:jc w:val="both"/>
              <w:rPr>
                <w:szCs w:val="24"/>
              </w:rPr>
            </w:pPr>
            <w:r w:rsidRPr="00F50C10">
              <w:rPr>
                <w:szCs w:val="24"/>
                <w:lang w:bidi="tr-TR"/>
              </w:rPr>
              <w:t>Genel olarak uygulanabilir.</w:t>
            </w:r>
          </w:p>
        </w:tc>
      </w:tr>
      <w:tr w:rsidR="00951FA4" w:rsidRPr="00F50C10" w14:paraId="344B1941"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7F005432" w14:textId="77777777" w:rsidR="00951FA4" w:rsidRPr="00F50C10" w:rsidRDefault="00951FA4" w:rsidP="000B206D">
            <w:pPr>
              <w:pStyle w:val="TableParagraph"/>
              <w:spacing w:line="276" w:lineRule="auto"/>
              <w:ind w:left="72" w:right="72"/>
              <w:jc w:val="center"/>
              <w:rPr>
                <w:szCs w:val="24"/>
              </w:rPr>
            </w:pPr>
            <w:r w:rsidRPr="00F50C10">
              <w:rPr>
                <w:szCs w:val="24"/>
                <w:lang w:bidi="tr-TR"/>
              </w:rPr>
              <w:t>d</w:t>
            </w:r>
          </w:p>
        </w:tc>
        <w:tc>
          <w:tcPr>
            <w:tcW w:w="1048" w:type="pct"/>
            <w:tcBorders>
              <w:top w:val="single" w:sz="5" w:space="0" w:color="000000"/>
              <w:left w:val="single" w:sz="5" w:space="0" w:color="000000"/>
              <w:bottom w:val="single" w:sz="5" w:space="0" w:color="000000"/>
              <w:right w:val="single" w:sz="5" w:space="0" w:color="000000"/>
            </w:tcBorders>
            <w:vAlign w:val="center"/>
          </w:tcPr>
          <w:p w14:paraId="4AAB0B35" w14:textId="77777777" w:rsidR="00951FA4" w:rsidRPr="00F50C10" w:rsidRDefault="00951FA4" w:rsidP="000B206D">
            <w:pPr>
              <w:pStyle w:val="TableParagraph"/>
              <w:spacing w:line="276" w:lineRule="auto"/>
              <w:ind w:left="72" w:right="72"/>
              <w:jc w:val="both"/>
              <w:rPr>
                <w:szCs w:val="24"/>
              </w:rPr>
            </w:pPr>
            <w:r w:rsidRPr="00F50C10">
              <w:rPr>
                <w:szCs w:val="24"/>
                <w:lang w:bidi="tr-TR"/>
              </w:rPr>
              <w:t>Tuzlu suyun asitleştirilmesi</w:t>
            </w:r>
          </w:p>
        </w:tc>
        <w:tc>
          <w:tcPr>
            <w:tcW w:w="2121" w:type="pct"/>
            <w:tcBorders>
              <w:top w:val="single" w:sz="5" w:space="0" w:color="000000"/>
              <w:left w:val="single" w:sz="5" w:space="0" w:color="000000"/>
              <w:bottom w:val="single" w:sz="5" w:space="0" w:color="000000"/>
              <w:right w:val="single" w:sz="5" w:space="0" w:color="000000"/>
            </w:tcBorders>
            <w:vAlign w:val="center"/>
          </w:tcPr>
          <w:p w14:paraId="1ED9D2A3" w14:textId="77777777" w:rsidR="00951FA4" w:rsidRPr="00F50C10" w:rsidRDefault="00951FA4" w:rsidP="000B206D">
            <w:pPr>
              <w:pStyle w:val="TableParagraph"/>
              <w:spacing w:line="276" w:lineRule="auto"/>
              <w:ind w:left="72" w:right="72"/>
              <w:jc w:val="both"/>
              <w:rPr>
                <w:szCs w:val="24"/>
              </w:rPr>
            </w:pPr>
            <w:r w:rsidRPr="00F50C10">
              <w:rPr>
                <w:szCs w:val="24"/>
                <w:lang w:bidi="tr-TR"/>
              </w:rPr>
              <w:t>Tuzlu su, klorat oluşumunu azaltmak için elektrolizden önce asitlendirilir. Asitlenme derecesi, kullanılan ekipmanların (örneğin, membranlar ve anotlar) öz direnci ile sınırlıdır.</w:t>
            </w:r>
          </w:p>
        </w:tc>
        <w:tc>
          <w:tcPr>
            <w:tcW w:w="1633" w:type="pct"/>
            <w:tcBorders>
              <w:top w:val="single" w:sz="5" w:space="0" w:color="000000"/>
              <w:left w:val="single" w:sz="5" w:space="0" w:color="000000"/>
              <w:bottom w:val="single" w:sz="5" w:space="0" w:color="000000"/>
              <w:right w:val="single" w:sz="5" w:space="0" w:color="000000"/>
            </w:tcBorders>
            <w:vAlign w:val="center"/>
          </w:tcPr>
          <w:p w14:paraId="25727DA6" w14:textId="77777777" w:rsidR="00951FA4" w:rsidRPr="00F50C10" w:rsidRDefault="00951FA4" w:rsidP="000B206D">
            <w:pPr>
              <w:pStyle w:val="TableParagraph"/>
              <w:spacing w:line="276" w:lineRule="auto"/>
              <w:ind w:left="72" w:right="72"/>
              <w:jc w:val="both"/>
              <w:rPr>
                <w:szCs w:val="24"/>
              </w:rPr>
            </w:pPr>
            <w:r w:rsidRPr="00F50C10">
              <w:rPr>
                <w:szCs w:val="24"/>
                <w:lang w:bidi="tr-TR"/>
              </w:rPr>
              <w:t>Genel olarak uygulanabilir.</w:t>
            </w:r>
          </w:p>
        </w:tc>
      </w:tr>
      <w:tr w:rsidR="00951FA4" w:rsidRPr="00F50C10" w14:paraId="68262A9B"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4014A52F" w14:textId="77777777" w:rsidR="00951FA4" w:rsidRPr="00F50C10" w:rsidRDefault="00951FA4" w:rsidP="000B206D">
            <w:pPr>
              <w:pStyle w:val="TableParagraph"/>
              <w:spacing w:line="276" w:lineRule="auto"/>
              <w:ind w:left="72" w:right="72"/>
              <w:jc w:val="center"/>
              <w:rPr>
                <w:szCs w:val="24"/>
              </w:rPr>
            </w:pPr>
            <w:r w:rsidRPr="00F50C10">
              <w:rPr>
                <w:szCs w:val="24"/>
                <w:lang w:bidi="tr-TR"/>
              </w:rPr>
              <w:t>e</w:t>
            </w:r>
          </w:p>
        </w:tc>
        <w:tc>
          <w:tcPr>
            <w:tcW w:w="1048" w:type="pct"/>
            <w:tcBorders>
              <w:top w:val="single" w:sz="5" w:space="0" w:color="000000"/>
              <w:left w:val="single" w:sz="5" w:space="0" w:color="000000"/>
              <w:bottom w:val="single" w:sz="5" w:space="0" w:color="000000"/>
              <w:right w:val="single" w:sz="5" w:space="0" w:color="000000"/>
            </w:tcBorders>
            <w:vAlign w:val="center"/>
          </w:tcPr>
          <w:p w14:paraId="7311DC5B" w14:textId="77777777" w:rsidR="00951FA4" w:rsidRPr="00F50C10" w:rsidRDefault="00951FA4" w:rsidP="000B206D">
            <w:pPr>
              <w:pStyle w:val="TableParagraph"/>
              <w:spacing w:line="276" w:lineRule="auto"/>
              <w:ind w:left="72" w:right="72"/>
              <w:jc w:val="both"/>
              <w:rPr>
                <w:szCs w:val="24"/>
              </w:rPr>
            </w:pPr>
            <w:r w:rsidRPr="00F50C10">
              <w:rPr>
                <w:szCs w:val="24"/>
                <w:lang w:bidi="tr-TR"/>
              </w:rPr>
              <w:t>Asidik indirgeme</w:t>
            </w:r>
          </w:p>
        </w:tc>
        <w:tc>
          <w:tcPr>
            <w:tcW w:w="2121" w:type="pct"/>
            <w:tcBorders>
              <w:top w:val="single" w:sz="5" w:space="0" w:color="000000"/>
              <w:left w:val="single" w:sz="5" w:space="0" w:color="000000"/>
              <w:bottom w:val="single" w:sz="5" w:space="0" w:color="000000"/>
              <w:right w:val="single" w:sz="5" w:space="0" w:color="000000"/>
            </w:tcBorders>
            <w:vAlign w:val="center"/>
          </w:tcPr>
          <w:p w14:paraId="0F3F7890" w14:textId="77777777" w:rsidR="00951FA4" w:rsidRPr="00F50C10" w:rsidRDefault="00951FA4" w:rsidP="000B206D">
            <w:pPr>
              <w:pStyle w:val="TableParagraph"/>
              <w:spacing w:line="276" w:lineRule="auto"/>
              <w:ind w:left="72" w:right="72"/>
              <w:jc w:val="both"/>
              <w:rPr>
                <w:szCs w:val="24"/>
              </w:rPr>
            </w:pPr>
            <w:r w:rsidRPr="00F50C10">
              <w:rPr>
                <w:szCs w:val="24"/>
                <w:lang w:bidi="tr-TR"/>
              </w:rPr>
              <w:t>Klorat, 0 pH değerlerinde ve 85 ° C'nin üzerindeki sıcaklıklarda hidroklorik asit ile indirgenir.</w:t>
            </w:r>
          </w:p>
        </w:tc>
        <w:tc>
          <w:tcPr>
            <w:tcW w:w="1633" w:type="pct"/>
            <w:tcBorders>
              <w:top w:val="single" w:sz="5" w:space="0" w:color="000000"/>
              <w:left w:val="single" w:sz="5" w:space="0" w:color="000000"/>
              <w:bottom w:val="single" w:sz="5" w:space="0" w:color="000000"/>
              <w:right w:val="single" w:sz="5" w:space="0" w:color="000000"/>
            </w:tcBorders>
            <w:vAlign w:val="center"/>
          </w:tcPr>
          <w:p w14:paraId="1100D633" w14:textId="77777777" w:rsidR="00951FA4" w:rsidRPr="00F50C10" w:rsidRDefault="00951FA4" w:rsidP="000B206D">
            <w:pPr>
              <w:pStyle w:val="TableParagraph"/>
              <w:tabs>
                <w:tab w:val="left" w:pos="620"/>
                <w:tab w:val="left" w:pos="1660"/>
                <w:tab w:val="left" w:pos="2034"/>
              </w:tabs>
              <w:spacing w:line="276" w:lineRule="auto"/>
              <w:ind w:left="72" w:right="72"/>
              <w:jc w:val="both"/>
              <w:rPr>
                <w:szCs w:val="24"/>
              </w:rPr>
            </w:pPr>
            <w:r w:rsidRPr="00F50C10">
              <w:rPr>
                <w:szCs w:val="24"/>
                <w:lang w:bidi="tr-TR"/>
              </w:rPr>
              <w:t>Tek geçişli tuzlu su tesislerinde uygulanamaz.</w:t>
            </w:r>
          </w:p>
        </w:tc>
      </w:tr>
      <w:tr w:rsidR="00951FA4" w:rsidRPr="00F50C10" w14:paraId="3C4EEF34"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1B3D7279" w14:textId="77777777" w:rsidR="00951FA4" w:rsidRPr="00F50C10" w:rsidRDefault="00951FA4" w:rsidP="000B206D">
            <w:pPr>
              <w:pStyle w:val="TableParagraph"/>
              <w:spacing w:line="276" w:lineRule="auto"/>
              <w:ind w:left="72" w:right="72"/>
              <w:jc w:val="center"/>
              <w:rPr>
                <w:szCs w:val="24"/>
              </w:rPr>
            </w:pPr>
            <w:r w:rsidRPr="00F50C10">
              <w:rPr>
                <w:szCs w:val="24"/>
                <w:lang w:bidi="tr-TR"/>
              </w:rPr>
              <w:t>f</w:t>
            </w:r>
          </w:p>
        </w:tc>
        <w:tc>
          <w:tcPr>
            <w:tcW w:w="1048" w:type="pct"/>
            <w:tcBorders>
              <w:top w:val="single" w:sz="5" w:space="0" w:color="000000"/>
              <w:left w:val="single" w:sz="5" w:space="0" w:color="000000"/>
              <w:bottom w:val="single" w:sz="5" w:space="0" w:color="000000"/>
              <w:right w:val="single" w:sz="5" w:space="0" w:color="000000"/>
            </w:tcBorders>
            <w:vAlign w:val="center"/>
          </w:tcPr>
          <w:p w14:paraId="1F5D5098" w14:textId="77777777" w:rsidR="00951FA4" w:rsidRPr="00F50C10" w:rsidRDefault="00951FA4" w:rsidP="000B206D">
            <w:pPr>
              <w:pStyle w:val="TableParagraph"/>
              <w:spacing w:line="276" w:lineRule="auto"/>
              <w:ind w:left="72" w:right="72"/>
              <w:jc w:val="both"/>
              <w:rPr>
                <w:szCs w:val="24"/>
              </w:rPr>
            </w:pPr>
            <w:r w:rsidRPr="00F50C10">
              <w:rPr>
                <w:szCs w:val="24"/>
                <w:lang w:bidi="tr-TR"/>
              </w:rPr>
              <w:t>Katalitik indirgeme</w:t>
            </w:r>
          </w:p>
        </w:tc>
        <w:tc>
          <w:tcPr>
            <w:tcW w:w="2121" w:type="pct"/>
            <w:tcBorders>
              <w:top w:val="single" w:sz="5" w:space="0" w:color="000000"/>
              <w:left w:val="single" w:sz="5" w:space="0" w:color="000000"/>
              <w:bottom w:val="single" w:sz="5" w:space="0" w:color="000000"/>
              <w:right w:val="single" w:sz="5" w:space="0" w:color="000000"/>
            </w:tcBorders>
            <w:vAlign w:val="center"/>
          </w:tcPr>
          <w:p w14:paraId="59E99961" w14:textId="77777777" w:rsidR="00951FA4" w:rsidRPr="00F50C10" w:rsidRDefault="00951FA4" w:rsidP="000B206D">
            <w:pPr>
              <w:pStyle w:val="TableParagraph"/>
              <w:spacing w:line="276" w:lineRule="auto"/>
              <w:ind w:left="72" w:right="72"/>
              <w:jc w:val="both"/>
              <w:rPr>
                <w:szCs w:val="24"/>
              </w:rPr>
            </w:pPr>
            <w:r w:rsidRPr="00F50C10">
              <w:rPr>
                <w:szCs w:val="24"/>
                <w:lang w:bidi="tr-TR"/>
              </w:rPr>
              <w:t>Basınçlı damlama yataklı bir reaktörde, klorat, üç fazlı bir reaksiyonda hidrojen ve bir rodyum katalizörü kullanılarak klorüre indirgenir.</w:t>
            </w:r>
          </w:p>
        </w:tc>
        <w:tc>
          <w:tcPr>
            <w:tcW w:w="1633" w:type="pct"/>
            <w:tcBorders>
              <w:top w:val="single" w:sz="5" w:space="0" w:color="000000"/>
              <w:left w:val="single" w:sz="5" w:space="0" w:color="000000"/>
              <w:bottom w:val="single" w:sz="5" w:space="0" w:color="000000"/>
              <w:right w:val="single" w:sz="5" w:space="0" w:color="000000"/>
            </w:tcBorders>
            <w:vAlign w:val="center"/>
          </w:tcPr>
          <w:p w14:paraId="71AE06FC" w14:textId="77777777" w:rsidR="00951FA4" w:rsidRPr="00F50C10" w:rsidRDefault="00951FA4" w:rsidP="000B206D">
            <w:pPr>
              <w:pStyle w:val="TableParagraph"/>
              <w:tabs>
                <w:tab w:val="left" w:pos="620"/>
                <w:tab w:val="left" w:pos="1660"/>
                <w:tab w:val="left" w:pos="2034"/>
              </w:tabs>
              <w:spacing w:line="276" w:lineRule="auto"/>
              <w:ind w:left="72" w:right="72"/>
              <w:jc w:val="both"/>
              <w:rPr>
                <w:szCs w:val="24"/>
              </w:rPr>
            </w:pPr>
            <w:r w:rsidRPr="00F50C10">
              <w:rPr>
                <w:szCs w:val="24"/>
                <w:lang w:bidi="tr-TR"/>
              </w:rPr>
              <w:t>Tek geçişli tuzlu su tesislerinde uygulanamaz.</w:t>
            </w:r>
          </w:p>
        </w:tc>
      </w:tr>
      <w:tr w:rsidR="00951FA4" w:rsidRPr="00F50C10" w14:paraId="25899841"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3B3B68E5" w14:textId="77777777" w:rsidR="00951FA4" w:rsidRPr="00F50C10" w:rsidRDefault="00951FA4" w:rsidP="000B206D">
            <w:pPr>
              <w:pStyle w:val="TableParagraph"/>
              <w:spacing w:line="276" w:lineRule="auto"/>
              <w:ind w:left="72" w:right="72"/>
              <w:jc w:val="center"/>
              <w:rPr>
                <w:szCs w:val="24"/>
              </w:rPr>
            </w:pPr>
            <w:r w:rsidRPr="00F50C10">
              <w:rPr>
                <w:szCs w:val="24"/>
                <w:lang w:bidi="tr-TR"/>
              </w:rPr>
              <w:t>g</w:t>
            </w:r>
          </w:p>
        </w:tc>
        <w:tc>
          <w:tcPr>
            <w:tcW w:w="1048" w:type="pct"/>
            <w:tcBorders>
              <w:top w:val="single" w:sz="5" w:space="0" w:color="000000"/>
              <w:left w:val="single" w:sz="5" w:space="0" w:color="000000"/>
              <w:bottom w:val="single" w:sz="5" w:space="0" w:color="000000"/>
              <w:right w:val="single" w:sz="5" w:space="0" w:color="000000"/>
            </w:tcBorders>
            <w:vAlign w:val="center"/>
          </w:tcPr>
          <w:p w14:paraId="7133EC36" w14:textId="77777777" w:rsidR="00951FA4" w:rsidRPr="00F50C10" w:rsidRDefault="00951FA4" w:rsidP="000B206D">
            <w:pPr>
              <w:pStyle w:val="TableParagraph"/>
              <w:spacing w:line="276" w:lineRule="auto"/>
              <w:ind w:left="72" w:right="72"/>
              <w:jc w:val="both"/>
              <w:rPr>
                <w:szCs w:val="24"/>
              </w:rPr>
            </w:pPr>
            <w:r w:rsidRPr="00F50C10">
              <w:rPr>
                <w:szCs w:val="24"/>
                <w:lang w:bidi="tr-TR"/>
              </w:rPr>
              <w:t>Diğer üretim birimlerinde klorat içeren atık su akışlarının kullanılması</w:t>
            </w:r>
          </w:p>
        </w:tc>
        <w:tc>
          <w:tcPr>
            <w:tcW w:w="2121" w:type="pct"/>
            <w:tcBorders>
              <w:top w:val="single" w:sz="5" w:space="0" w:color="000000"/>
              <w:left w:val="single" w:sz="5" w:space="0" w:color="000000"/>
              <w:bottom w:val="single" w:sz="5" w:space="0" w:color="000000"/>
              <w:right w:val="single" w:sz="5" w:space="0" w:color="000000"/>
            </w:tcBorders>
            <w:vAlign w:val="center"/>
          </w:tcPr>
          <w:p w14:paraId="6FF9B758" w14:textId="77777777" w:rsidR="00951FA4" w:rsidRPr="00F50C10" w:rsidRDefault="00951FA4" w:rsidP="000B206D">
            <w:pPr>
              <w:pStyle w:val="TableParagraph"/>
              <w:spacing w:line="276" w:lineRule="auto"/>
              <w:ind w:left="72" w:right="72"/>
              <w:jc w:val="both"/>
              <w:rPr>
                <w:szCs w:val="24"/>
              </w:rPr>
            </w:pPr>
            <w:r w:rsidRPr="00F50C10">
              <w:rPr>
                <w:szCs w:val="24"/>
                <w:lang w:bidi="tr-TR"/>
              </w:rPr>
              <w:t>Klor-alkali tesisinden çıkan atık su akışları, diğer üretim birimlerine ve en çok bir sodyum klorat üretim biriminin tuzlu su sistemine geri döndürülür.</w:t>
            </w:r>
          </w:p>
        </w:tc>
        <w:tc>
          <w:tcPr>
            <w:tcW w:w="1633" w:type="pct"/>
            <w:tcBorders>
              <w:top w:val="single" w:sz="5" w:space="0" w:color="000000"/>
              <w:left w:val="single" w:sz="5" w:space="0" w:color="000000"/>
              <w:bottom w:val="single" w:sz="5" w:space="0" w:color="000000"/>
              <w:right w:val="single" w:sz="5" w:space="0" w:color="000000"/>
            </w:tcBorders>
            <w:vAlign w:val="center"/>
          </w:tcPr>
          <w:p w14:paraId="59FBA22E" w14:textId="77777777" w:rsidR="00951FA4" w:rsidRPr="00F50C10" w:rsidRDefault="00951FA4" w:rsidP="000B206D">
            <w:pPr>
              <w:pStyle w:val="TableParagraph"/>
              <w:spacing w:line="276" w:lineRule="auto"/>
              <w:ind w:left="72" w:right="72"/>
              <w:jc w:val="both"/>
              <w:rPr>
                <w:szCs w:val="24"/>
              </w:rPr>
            </w:pPr>
            <w:r w:rsidRPr="00F50C10">
              <w:rPr>
                <w:szCs w:val="24"/>
                <w:lang w:bidi="tr-TR"/>
              </w:rPr>
              <w:t>Diğer üretim birimlerinde bu kalitedeki atık su akışlarından yararlanabilen sahalarla sınırlıdır.</w:t>
            </w:r>
          </w:p>
        </w:tc>
      </w:tr>
    </w:tbl>
    <w:p w14:paraId="2AA2AB6A" w14:textId="7B18AF0B" w:rsidR="00951FA4" w:rsidRPr="00F50C10" w:rsidRDefault="00951FA4" w:rsidP="000B206D">
      <w:pPr>
        <w:spacing w:before="240" w:line="276" w:lineRule="auto"/>
        <w:rPr>
          <w:rFonts w:cs="Times New Roman"/>
          <w:b/>
          <w:bCs/>
          <w:szCs w:val="24"/>
        </w:rPr>
      </w:pPr>
      <w:r w:rsidRPr="00F50C10">
        <w:rPr>
          <w:rFonts w:cs="Times New Roman"/>
          <w:b/>
          <w:bCs/>
          <w:szCs w:val="24"/>
        </w:rPr>
        <w:t>MET 15:</w:t>
      </w:r>
      <w:r w:rsidRPr="00F50C10">
        <w:rPr>
          <w:rFonts w:cs="Times New Roman"/>
          <w:szCs w:val="24"/>
        </w:rPr>
        <w:t xml:space="preserve"> Klor-alkali tesisinden kaynaklanan halojenli organik bileşiklerin su emisyonlarını azaltmak için, aşağıda verilen tekniklerin bir kombinasyonu kullan</w:t>
      </w:r>
      <w:r w:rsidR="003847F7" w:rsidRPr="00F50C10">
        <w:rPr>
          <w:rFonts w:cs="Times New Roman"/>
          <w:szCs w:val="24"/>
        </w:rPr>
        <w:t>ılır</w:t>
      </w:r>
      <w:r w:rsidRPr="00F50C10">
        <w:rPr>
          <w:rFonts w:cs="Times New Roman"/>
          <w:szCs w:val="24"/>
        </w:rPr>
        <w:t>.</w:t>
      </w:r>
    </w:p>
    <w:tbl>
      <w:tblPr>
        <w:tblW w:w="5000" w:type="pct"/>
        <w:tblCellMar>
          <w:left w:w="0" w:type="dxa"/>
          <w:right w:w="0" w:type="dxa"/>
        </w:tblCellMar>
        <w:tblLook w:val="01E0" w:firstRow="1" w:lastRow="1" w:firstColumn="1" w:lastColumn="1" w:noHBand="0" w:noVBand="0"/>
      </w:tblPr>
      <w:tblGrid>
        <w:gridCol w:w="369"/>
        <w:gridCol w:w="2390"/>
        <w:gridCol w:w="6549"/>
      </w:tblGrid>
      <w:tr w:rsidR="00951FA4" w:rsidRPr="00F50C10" w14:paraId="0502AFEB"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3D96C505" w14:textId="77777777" w:rsidR="00951FA4" w:rsidRPr="00F50C10" w:rsidRDefault="00951FA4" w:rsidP="000B206D">
            <w:pPr>
              <w:spacing w:line="276" w:lineRule="auto"/>
              <w:ind w:left="72" w:right="72"/>
              <w:jc w:val="center"/>
              <w:rPr>
                <w:rFonts w:cs="Times New Roman"/>
                <w:szCs w:val="24"/>
                <w:lang w:val="tr-TR"/>
              </w:rPr>
            </w:pPr>
          </w:p>
        </w:tc>
        <w:tc>
          <w:tcPr>
            <w:tcW w:w="1284" w:type="pct"/>
            <w:tcBorders>
              <w:top w:val="single" w:sz="5" w:space="0" w:color="000000"/>
              <w:left w:val="single" w:sz="5" w:space="0" w:color="000000"/>
              <w:bottom w:val="single" w:sz="5" w:space="0" w:color="000000"/>
              <w:right w:val="single" w:sz="5" w:space="0" w:color="000000"/>
            </w:tcBorders>
            <w:vAlign w:val="center"/>
          </w:tcPr>
          <w:p w14:paraId="5C111D8B"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Teknik</w:t>
            </w:r>
          </w:p>
        </w:tc>
        <w:tc>
          <w:tcPr>
            <w:tcW w:w="3518" w:type="pct"/>
            <w:tcBorders>
              <w:top w:val="single" w:sz="5" w:space="0" w:color="000000"/>
              <w:left w:val="single" w:sz="5" w:space="0" w:color="000000"/>
              <w:bottom w:val="single" w:sz="5" w:space="0" w:color="000000"/>
              <w:right w:val="single" w:sz="5" w:space="0" w:color="000000"/>
            </w:tcBorders>
            <w:vAlign w:val="center"/>
          </w:tcPr>
          <w:p w14:paraId="17A73757"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Açıklama</w:t>
            </w:r>
          </w:p>
        </w:tc>
      </w:tr>
      <w:tr w:rsidR="00951FA4" w:rsidRPr="00F50C10" w14:paraId="024157A0"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53237D65" w14:textId="77777777" w:rsidR="00951FA4" w:rsidRPr="00F50C10" w:rsidRDefault="00951FA4" w:rsidP="000B206D">
            <w:pPr>
              <w:pStyle w:val="TableParagraph"/>
              <w:spacing w:line="276" w:lineRule="auto"/>
              <w:ind w:left="72" w:right="72"/>
              <w:jc w:val="center"/>
              <w:rPr>
                <w:szCs w:val="24"/>
              </w:rPr>
            </w:pPr>
            <w:r w:rsidRPr="00F50C10">
              <w:rPr>
                <w:szCs w:val="24"/>
                <w:lang w:bidi="tr-TR"/>
              </w:rPr>
              <w:t>a</w:t>
            </w:r>
          </w:p>
        </w:tc>
        <w:tc>
          <w:tcPr>
            <w:tcW w:w="1284" w:type="pct"/>
            <w:tcBorders>
              <w:top w:val="single" w:sz="5" w:space="0" w:color="000000"/>
              <w:left w:val="single" w:sz="5" w:space="0" w:color="000000"/>
              <w:bottom w:val="single" w:sz="5" w:space="0" w:color="000000"/>
              <w:right w:val="single" w:sz="5" w:space="0" w:color="000000"/>
            </w:tcBorders>
            <w:vAlign w:val="center"/>
          </w:tcPr>
          <w:p w14:paraId="138E8048" w14:textId="77777777" w:rsidR="00951FA4" w:rsidRPr="00F50C10" w:rsidRDefault="00951FA4" w:rsidP="000B206D">
            <w:pPr>
              <w:pStyle w:val="TableParagraph"/>
              <w:spacing w:line="276" w:lineRule="auto"/>
              <w:ind w:left="72" w:right="72"/>
              <w:jc w:val="both"/>
              <w:rPr>
                <w:szCs w:val="24"/>
              </w:rPr>
            </w:pPr>
            <w:r w:rsidRPr="00F50C10">
              <w:rPr>
                <w:szCs w:val="24"/>
                <w:lang w:bidi="tr-TR"/>
              </w:rPr>
              <w:t>Tuz ve yardımcı malzemelerin seçimi ve kontrolü</w:t>
            </w:r>
          </w:p>
        </w:tc>
        <w:tc>
          <w:tcPr>
            <w:tcW w:w="3518" w:type="pct"/>
            <w:tcBorders>
              <w:top w:val="single" w:sz="5" w:space="0" w:color="000000"/>
              <w:left w:val="single" w:sz="5" w:space="0" w:color="000000"/>
              <w:bottom w:val="single" w:sz="5" w:space="0" w:color="000000"/>
              <w:right w:val="single" w:sz="5" w:space="0" w:color="000000"/>
            </w:tcBorders>
            <w:vAlign w:val="center"/>
          </w:tcPr>
          <w:p w14:paraId="5CDC15E8" w14:textId="77777777" w:rsidR="00951FA4" w:rsidRPr="00F50C10" w:rsidRDefault="00951FA4" w:rsidP="000B206D">
            <w:pPr>
              <w:pStyle w:val="TableParagraph"/>
              <w:spacing w:line="276" w:lineRule="auto"/>
              <w:ind w:left="72" w:right="72"/>
              <w:jc w:val="both"/>
              <w:rPr>
                <w:szCs w:val="24"/>
              </w:rPr>
            </w:pPr>
            <w:r w:rsidRPr="00F50C10">
              <w:rPr>
                <w:szCs w:val="24"/>
                <w:lang w:bidi="tr-TR"/>
              </w:rPr>
              <w:t>Tuz ve yardımcı malzemeler, tuzlu sudaki organik kontaminantların seviyesini düşürmek üzere seçilir ve kontrol edilir.</w:t>
            </w:r>
          </w:p>
        </w:tc>
      </w:tr>
      <w:tr w:rsidR="00951FA4" w:rsidRPr="00F50C10" w14:paraId="0E43E1F8"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1FCB4FA5" w14:textId="77777777" w:rsidR="00951FA4" w:rsidRPr="00F50C10" w:rsidRDefault="00951FA4" w:rsidP="000B206D">
            <w:pPr>
              <w:pStyle w:val="TableParagraph"/>
              <w:spacing w:line="276" w:lineRule="auto"/>
              <w:ind w:left="72" w:right="72"/>
              <w:jc w:val="center"/>
              <w:rPr>
                <w:szCs w:val="24"/>
              </w:rPr>
            </w:pPr>
            <w:r w:rsidRPr="00F50C10">
              <w:rPr>
                <w:szCs w:val="24"/>
                <w:lang w:bidi="tr-TR"/>
              </w:rPr>
              <w:t>b</w:t>
            </w:r>
          </w:p>
        </w:tc>
        <w:tc>
          <w:tcPr>
            <w:tcW w:w="1284" w:type="pct"/>
            <w:tcBorders>
              <w:top w:val="single" w:sz="5" w:space="0" w:color="000000"/>
              <w:left w:val="single" w:sz="5" w:space="0" w:color="000000"/>
              <w:bottom w:val="single" w:sz="5" w:space="0" w:color="000000"/>
              <w:right w:val="single" w:sz="5" w:space="0" w:color="000000"/>
            </w:tcBorders>
            <w:vAlign w:val="center"/>
          </w:tcPr>
          <w:p w14:paraId="55BB4176" w14:textId="77777777" w:rsidR="00951FA4" w:rsidRPr="00F50C10" w:rsidRDefault="00951FA4" w:rsidP="000B206D">
            <w:pPr>
              <w:pStyle w:val="TableParagraph"/>
              <w:spacing w:line="276" w:lineRule="auto"/>
              <w:ind w:left="72" w:right="72"/>
              <w:jc w:val="both"/>
              <w:rPr>
                <w:szCs w:val="24"/>
              </w:rPr>
            </w:pPr>
            <w:r w:rsidRPr="00F50C10">
              <w:rPr>
                <w:szCs w:val="24"/>
                <w:lang w:bidi="tr-TR"/>
              </w:rPr>
              <w:t>Su saflaştırma</w:t>
            </w:r>
          </w:p>
        </w:tc>
        <w:tc>
          <w:tcPr>
            <w:tcW w:w="3518" w:type="pct"/>
            <w:tcBorders>
              <w:top w:val="single" w:sz="5" w:space="0" w:color="000000"/>
              <w:left w:val="single" w:sz="5" w:space="0" w:color="000000"/>
              <w:bottom w:val="single" w:sz="5" w:space="0" w:color="000000"/>
              <w:right w:val="single" w:sz="5" w:space="0" w:color="000000"/>
            </w:tcBorders>
            <w:vAlign w:val="center"/>
          </w:tcPr>
          <w:p w14:paraId="0BCB3884" w14:textId="7F672F50" w:rsidR="00951FA4" w:rsidRPr="00F50C10" w:rsidRDefault="00951FA4" w:rsidP="000B206D">
            <w:pPr>
              <w:pStyle w:val="TableParagraph"/>
              <w:spacing w:line="276" w:lineRule="auto"/>
              <w:ind w:left="72" w:right="72"/>
              <w:jc w:val="both"/>
              <w:rPr>
                <w:szCs w:val="24"/>
              </w:rPr>
            </w:pPr>
            <w:r w:rsidRPr="00F50C10">
              <w:rPr>
                <w:szCs w:val="24"/>
                <w:lang w:bidi="tr-TR"/>
              </w:rPr>
              <w:t xml:space="preserve">Membranla filtreleme, iyon değişimi, kızılötesi radyasyon ve aktif karbon üzerinde </w:t>
            </w:r>
            <w:r w:rsidR="00E408BF" w:rsidRPr="00F50C10">
              <w:rPr>
                <w:szCs w:val="24"/>
                <w:lang w:bidi="tr-TR"/>
              </w:rPr>
              <w:t>adsorpsiyon</w:t>
            </w:r>
            <w:r w:rsidRPr="00F50C10">
              <w:rPr>
                <w:szCs w:val="24"/>
                <w:lang w:bidi="tr-TR"/>
              </w:rPr>
              <w:t xml:space="preserve"> gibi teknikler, tuzlu sudaki organik kontaminantların seviyesini düşürmek üzere proses suyunu saflaştırmak için kullanılabilir.</w:t>
            </w:r>
          </w:p>
        </w:tc>
      </w:tr>
      <w:tr w:rsidR="00951FA4" w:rsidRPr="00F50C10" w14:paraId="0A686317"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5D409B8B" w14:textId="77777777" w:rsidR="00951FA4" w:rsidRPr="00F50C10" w:rsidRDefault="00951FA4" w:rsidP="000B206D">
            <w:pPr>
              <w:pStyle w:val="TableParagraph"/>
              <w:spacing w:line="276" w:lineRule="auto"/>
              <w:ind w:left="72" w:right="72"/>
              <w:jc w:val="center"/>
              <w:rPr>
                <w:szCs w:val="24"/>
              </w:rPr>
            </w:pPr>
            <w:r w:rsidRPr="00F50C10">
              <w:rPr>
                <w:szCs w:val="24"/>
                <w:lang w:bidi="tr-TR"/>
              </w:rPr>
              <w:t>c</w:t>
            </w:r>
          </w:p>
        </w:tc>
        <w:tc>
          <w:tcPr>
            <w:tcW w:w="1284" w:type="pct"/>
            <w:tcBorders>
              <w:top w:val="single" w:sz="5" w:space="0" w:color="000000"/>
              <w:left w:val="single" w:sz="5" w:space="0" w:color="000000"/>
              <w:bottom w:val="single" w:sz="5" w:space="0" w:color="000000"/>
              <w:right w:val="single" w:sz="5" w:space="0" w:color="000000"/>
            </w:tcBorders>
            <w:vAlign w:val="center"/>
          </w:tcPr>
          <w:p w14:paraId="129C0308" w14:textId="77777777" w:rsidR="00951FA4" w:rsidRPr="00F50C10" w:rsidRDefault="00951FA4" w:rsidP="000B206D">
            <w:pPr>
              <w:pStyle w:val="TableParagraph"/>
              <w:spacing w:line="276" w:lineRule="auto"/>
              <w:ind w:left="72" w:right="72"/>
              <w:jc w:val="both"/>
              <w:rPr>
                <w:szCs w:val="24"/>
              </w:rPr>
            </w:pPr>
            <w:r w:rsidRPr="00F50C10">
              <w:rPr>
                <w:szCs w:val="24"/>
                <w:lang w:bidi="tr-TR"/>
              </w:rPr>
              <w:t>Ekipman seçimi ve kontrolü</w:t>
            </w:r>
          </w:p>
        </w:tc>
        <w:tc>
          <w:tcPr>
            <w:tcW w:w="3518" w:type="pct"/>
            <w:tcBorders>
              <w:top w:val="single" w:sz="5" w:space="0" w:color="000000"/>
              <w:left w:val="single" w:sz="5" w:space="0" w:color="000000"/>
              <w:bottom w:val="single" w:sz="5" w:space="0" w:color="000000"/>
              <w:right w:val="single" w:sz="5" w:space="0" w:color="000000"/>
            </w:tcBorders>
            <w:vAlign w:val="center"/>
          </w:tcPr>
          <w:p w14:paraId="062D1417" w14:textId="77777777" w:rsidR="00951FA4" w:rsidRPr="00F50C10" w:rsidRDefault="00951FA4" w:rsidP="000B206D">
            <w:pPr>
              <w:pStyle w:val="TableParagraph"/>
              <w:spacing w:line="276" w:lineRule="auto"/>
              <w:ind w:left="72" w:right="72"/>
              <w:jc w:val="both"/>
              <w:rPr>
                <w:szCs w:val="24"/>
              </w:rPr>
            </w:pPr>
            <w:r w:rsidRPr="00F50C10">
              <w:rPr>
                <w:szCs w:val="24"/>
                <w:lang w:bidi="tr-TR"/>
              </w:rPr>
              <w:t>Organik kontaminantların tuzlu suya sızma olasılığını azaltmak için hücreler, tüpler, valfler ve pompalar gibi ekipmanlar dikkatlice seçilir.</w:t>
            </w:r>
          </w:p>
        </w:tc>
      </w:tr>
    </w:tbl>
    <w:p w14:paraId="61AE2DB0" w14:textId="77777777" w:rsidR="00951FA4" w:rsidRPr="00F50C10" w:rsidRDefault="00951FA4" w:rsidP="00A654AE">
      <w:pPr>
        <w:pStyle w:val="Balk1"/>
        <w:numPr>
          <w:ilvl w:val="0"/>
          <w:numId w:val="180"/>
        </w:numPr>
        <w:spacing w:before="240" w:line="276" w:lineRule="auto"/>
        <w:rPr>
          <w:rFonts w:cs="Times New Roman"/>
          <w:szCs w:val="24"/>
        </w:rPr>
      </w:pPr>
      <w:bookmarkStart w:id="258" w:name="_Toc134622093"/>
      <w:r w:rsidRPr="00F50C10">
        <w:rPr>
          <w:rFonts w:cs="Times New Roman"/>
          <w:szCs w:val="24"/>
        </w:rPr>
        <w:t>ATIK OLUŞUMU</w:t>
      </w:r>
      <w:bookmarkEnd w:id="258"/>
      <w:r w:rsidRPr="00F50C10">
        <w:rPr>
          <w:rFonts w:cs="Times New Roman"/>
          <w:szCs w:val="24"/>
        </w:rPr>
        <w:t xml:space="preserve"> </w:t>
      </w:r>
    </w:p>
    <w:p w14:paraId="721BABF3" w14:textId="51E1D9C2" w:rsidR="00951FA4" w:rsidRPr="00F50C10" w:rsidRDefault="00951FA4" w:rsidP="000B206D">
      <w:pPr>
        <w:spacing w:before="240" w:line="276" w:lineRule="auto"/>
        <w:rPr>
          <w:rFonts w:cs="Times New Roman"/>
          <w:szCs w:val="24"/>
        </w:rPr>
      </w:pPr>
      <w:r w:rsidRPr="00F50C10">
        <w:rPr>
          <w:rFonts w:cs="Times New Roman"/>
          <w:b/>
          <w:bCs/>
          <w:szCs w:val="24"/>
        </w:rPr>
        <w:t>MET 16:</w:t>
      </w:r>
      <w:r w:rsidRPr="00F50C10">
        <w:rPr>
          <w:rFonts w:cs="Times New Roman"/>
          <w:szCs w:val="24"/>
        </w:rPr>
        <w:t xml:space="preserve"> Bertaraf için gönderilen kullanılmış sülfürik asit miktarını azaltmak için, aşağıda verilen tekniklerden biri veya birkaçı birlikte kullanılır. Kullanılmamış reaktiflerle klor kurutmada kullanılmış sülfürik asidin nötralizasyonu MET değildir.</w:t>
      </w:r>
    </w:p>
    <w:tbl>
      <w:tblPr>
        <w:tblW w:w="5000" w:type="pct"/>
        <w:tblCellMar>
          <w:left w:w="0" w:type="dxa"/>
          <w:right w:w="0" w:type="dxa"/>
        </w:tblCellMar>
        <w:tblLook w:val="01E0" w:firstRow="1" w:lastRow="1" w:firstColumn="1" w:lastColumn="1" w:noHBand="0" w:noVBand="0"/>
      </w:tblPr>
      <w:tblGrid>
        <w:gridCol w:w="369"/>
        <w:gridCol w:w="1880"/>
        <w:gridCol w:w="4088"/>
        <w:gridCol w:w="2971"/>
      </w:tblGrid>
      <w:tr w:rsidR="00951FA4" w:rsidRPr="00F50C10" w14:paraId="17BF6C35" w14:textId="77777777" w:rsidTr="00116C54">
        <w:trPr>
          <w:trHeight w:val="20"/>
          <w:tblHeader/>
        </w:trPr>
        <w:tc>
          <w:tcPr>
            <w:tcW w:w="198" w:type="pct"/>
            <w:tcBorders>
              <w:top w:val="single" w:sz="5" w:space="0" w:color="000000"/>
              <w:left w:val="single" w:sz="5" w:space="0" w:color="000000"/>
              <w:bottom w:val="single" w:sz="5" w:space="0" w:color="000000"/>
              <w:right w:val="single" w:sz="5" w:space="0" w:color="000000"/>
            </w:tcBorders>
            <w:vAlign w:val="center"/>
          </w:tcPr>
          <w:p w14:paraId="2AA08283" w14:textId="77777777" w:rsidR="00951FA4" w:rsidRPr="00F50C10" w:rsidRDefault="00951FA4" w:rsidP="000B206D">
            <w:pPr>
              <w:spacing w:line="276" w:lineRule="auto"/>
              <w:ind w:left="72" w:right="72"/>
              <w:jc w:val="center"/>
              <w:rPr>
                <w:rFonts w:cs="Times New Roman"/>
                <w:szCs w:val="24"/>
                <w:lang w:val="tr-TR"/>
              </w:rPr>
            </w:pPr>
          </w:p>
        </w:tc>
        <w:tc>
          <w:tcPr>
            <w:tcW w:w="1010" w:type="pct"/>
            <w:tcBorders>
              <w:top w:val="single" w:sz="5" w:space="0" w:color="000000"/>
              <w:left w:val="single" w:sz="5" w:space="0" w:color="000000"/>
              <w:bottom w:val="single" w:sz="5" w:space="0" w:color="000000"/>
              <w:right w:val="single" w:sz="5" w:space="0" w:color="000000"/>
            </w:tcBorders>
            <w:vAlign w:val="center"/>
          </w:tcPr>
          <w:p w14:paraId="6ABBB188"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Teknik</w:t>
            </w:r>
          </w:p>
        </w:tc>
        <w:tc>
          <w:tcPr>
            <w:tcW w:w="2196" w:type="pct"/>
            <w:tcBorders>
              <w:top w:val="single" w:sz="5" w:space="0" w:color="000000"/>
              <w:left w:val="single" w:sz="5" w:space="0" w:color="000000"/>
              <w:bottom w:val="single" w:sz="5" w:space="0" w:color="000000"/>
              <w:right w:val="single" w:sz="5" w:space="0" w:color="000000"/>
            </w:tcBorders>
            <w:vAlign w:val="center"/>
          </w:tcPr>
          <w:p w14:paraId="3D96955C"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Açıklama</w:t>
            </w:r>
          </w:p>
        </w:tc>
        <w:tc>
          <w:tcPr>
            <w:tcW w:w="1596" w:type="pct"/>
            <w:tcBorders>
              <w:top w:val="single" w:sz="5" w:space="0" w:color="000000"/>
              <w:left w:val="single" w:sz="5" w:space="0" w:color="000000"/>
              <w:bottom w:val="single" w:sz="5" w:space="0" w:color="000000"/>
              <w:right w:val="single" w:sz="5" w:space="0" w:color="000000"/>
            </w:tcBorders>
            <w:vAlign w:val="center"/>
          </w:tcPr>
          <w:p w14:paraId="54ECB3ED" w14:textId="77777777" w:rsidR="00951FA4" w:rsidRPr="00F50C10" w:rsidRDefault="00951FA4" w:rsidP="000B206D">
            <w:pPr>
              <w:pStyle w:val="TableParagraph"/>
              <w:spacing w:line="276" w:lineRule="auto"/>
              <w:ind w:left="72" w:right="72"/>
              <w:jc w:val="center"/>
              <w:rPr>
                <w:szCs w:val="24"/>
              </w:rPr>
            </w:pPr>
            <w:r w:rsidRPr="00F50C10">
              <w:rPr>
                <w:b/>
                <w:szCs w:val="24"/>
                <w:lang w:bidi="tr-TR"/>
              </w:rPr>
              <w:t>Uygulanabilirlik</w:t>
            </w:r>
          </w:p>
        </w:tc>
      </w:tr>
      <w:tr w:rsidR="00951FA4" w:rsidRPr="00F50C10" w14:paraId="618C011D"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25A6F051" w14:textId="77777777" w:rsidR="00951FA4" w:rsidRPr="00F50C10" w:rsidRDefault="00951FA4" w:rsidP="000B206D">
            <w:pPr>
              <w:pStyle w:val="TableParagraph"/>
              <w:spacing w:line="276" w:lineRule="auto"/>
              <w:ind w:left="72" w:right="72"/>
              <w:jc w:val="center"/>
              <w:rPr>
                <w:szCs w:val="24"/>
              </w:rPr>
            </w:pPr>
            <w:r w:rsidRPr="00F50C10">
              <w:rPr>
                <w:szCs w:val="24"/>
                <w:lang w:bidi="tr-TR"/>
              </w:rPr>
              <w:t>a</w:t>
            </w:r>
          </w:p>
        </w:tc>
        <w:tc>
          <w:tcPr>
            <w:tcW w:w="1010" w:type="pct"/>
            <w:tcBorders>
              <w:top w:val="single" w:sz="5" w:space="0" w:color="000000"/>
              <w:left w:val="single" w:sz="5" w:space="0" w:color="000000"/>
              <w:bottom w:val="single" w:sz="5" w:space="0" w:color="000000"/>
              <w:right w:val="single" w:sz="5" w:space="0" w:color="000000"/>
            </w:tcBorders>
            <w:vAlign w:val="center"/>
          </w:tcPr>
          <w:p w14:paraId="105E1CB5" w14:textId="77777777" w:rsidR="00951FA4" w:rsidRPr="00F50C10" w:rsidRDefault="00951FA4" w:rsidP="000B206D">
            <w:pPr>
              <w:pStyle w:val="TableParagraph"/>
              <w:spacing w:line="276" w:lineRule="auto"/>
              <w:ind w:left="72" w:right="72"/>
              <w:jc w:val="both"/>
              <w:rPr>
                <w:szCs w:val="24"/>
              </w:rPr>
            </w:pPr>
            <w:r w:rsidRPr="00F50C10">
              <w:rPr>
                <w:szCs w:val="24"/>
                <w:lang w:bidi="tr-TR"/>
              </w:rPr>
              <w:t>Sahada veya saha dışında kullanım</w:t>
            </w:r>
          </w:p>
        </w:tc>
        <w:tc>
          <w:tcPr>
            <w:tcW w:w="2196" w:type="pct"/>
            <w:tcBorders>
              <w:top w:val="single" w:sz="5" w:space="0" w:color="000000"/>
              <w:left w:val="single" w:sz="5" w:space="0" w:color="000000"/>
              <w:bottom w:val="single" w:sz="5" w:space="0" w:color="000000"/>
              <w:right w:val="single" w:sz="5" w:space="0" w:color="000000"/>
            </w:tcBorders>
            <w:vAlign w:val="center"/>
          </w:tcPr>
          <w:p w14:paraId="058017F6" w14:textId="77777777" w:rsidR="00951FA4" w:rsidRPr="00F50C10" w:rsidRDefault="00951FA4" w:rsidP="000B206D">
            <w:pPr>
              <w:pStyle w:val="TableParagraph"/>
              <w:spacing w:line="276" w:lineRule="auto"/>
              <w:ind w:left="72" w:right="72"/>
              <w:jc w:val="both"/>
              <w:rPr>
                <w:szCs w:val="24"/>
              </w:rPr>
            </w:pPr>
            <w:r w:rsidRPr="00F50C10">
              <w:rPr>
                <w:szCs w:val="24"/>
                <w:lang w:bidi="tr-TR"/>
              </w:rPr>
              <w:t>Kullanılmış asit, prosesteki ve atık sudaki pH derecesini kontrol etmek veya fazla hipokloriti yok etmek gibi başka amaçlar için kullanılır.</w:t>
            </w:r>
          </w:p>
        </w:tc>
        <w:tc>
          <w:tcPr>
            <w:tcW w:w="1596" w:type="pct"/>
            <w:tcBorders>
              <w:top w:val="single" w:sz="5" w:space="0" w:color="000000"/>
              <w:left w:val="single" w:sz="5" w:space="0" w:color="000000"/>
              <w:bottom w:val="single" w:sz="5" w:space="0" w:color="000000"/>
              <w:right w:val="single" w:sz="5" w:space="0" w:color="000000"/>
            </w:tcBorders>
            <w:vAlign w:val="center"/>
          </w:tcPr>
          <w:p w14:paraId="1E23E16E" w14:textId="77777777" w:rsidR="00951FA4" w:rsidRPr="00F50C10" w:rsidRDefault="00951FA4" w:rsidP="000B206D">
            <w:pPr>
              <w:pStyle w:val="TableParagraph"/>
              <w:spacing w:line="276" w:lineRule="auto"/>
              <w:ind w:left="72" w:right="72"/>
              <w:jc w:val="both"/>
              <w:rPr>
                <w:szCs w:val="24"/>
              </w:rPr>
            </w:pPr>
            <w:r w:rsidRPr="00F50C10">
              <w:rPr>
                <w:szCs w:val="24"/>
                <w:lang w:bidi="tr-TR"/>
              </w:rPr>
              <w:t>Bu kalitedeki kullanılmış asit için saha içi veya saha dışı talebi olan sahalarda uygulanabilir.</w:t>
            </w:r>
          </w:p>
        </w:tc>
      </w:tr>
      <w:tr w:rsidR="00951FA4" w:rsidRPr="00F50C10" w14:paraId="1FE83ADF" w14:textId="77777777" w:rsidTr="00116C54">
        <w:trPr>
          <w:trHeight w:val="20"/>
        </w:trPr>
        <w:tc>
          <w:tcPr>
            <w:tcW w:w="198" w:type="pct"/>
            <w:tcBorders>
              <w:top w:val="single" w:sz="5" w:space="0" w:color="000000"/>
              <w:left w:val="single" w:sz="5" w:space="0" w:color="000000"/>
              <w:bottom w:val="single" w:sz="5" w:space="0" w:color="000000"/>
              <w:right w:val="single" w:sz="5" w:space="0" w:color="000000"/>
            </w:tcBorders>
            <w:vAlign w:val="center"/>
          </w:tcPr>
          <w:p w14:paraId="5313B2AA" w14:textId="77777777" w:rsidR="00951FA4" w:rsidRPr="00F50C10" w:rsidRDefault="00951FA4" w:rsidP="000B206D">
            <w:pPr>
              <w:pStyle w:val="TableParagraph"/>
              <w:spacing w:line="276" w:lineRule="auto"/>
              <w:ind w:left="72" w:right="72"/>
              <w:jc w:val="center"/>
              <w:rPr>
                <w:szCs w:val="24"/>
              </w:rPr>
            </w:pPr>
            <w:r w:rsidRPr="00F50C10">
              <w:rPr>
                <w:szCs w:val="24"/>
                <w:lang w:bidi="tr-TR"/>
              </w:rPr>
              <w:t>b</w:t>
            </w:r>
          </w:p>
        </w:tc>
        <w:tc>
          <w:tcPr>
            <w:tcW w:w="1010" w:type="pct"/>
            <w:tcBorders>
              <w:top w:val="single" w:sz="5" w:space="0" w:color="000000"/>
              <w:left w:val="single" w:sz="5" w:space="0" w:color="000000"/>
              <w:bottom w:val="single" w:sz="5" w:space="0" w:color="000000"/>
              <w:right w:val="single" w:sz="5" w:space="0" w:color="000000"/>
            </w:tcBorders>
            <w:vAlign w:val="center"/>
          </w:tcPr>
          <w:p w14:paraId="35BA0AA3" w14:textId="77777777" w:rsidR="00951FA4" w:rsidRPr="00F50C10" w:rsidRDefault="00951FA4" w:rsidP="000B206D">
            <w:pPr>
              <w:pStyle w:val="TableParagraph"/>
              <w:spacing w:line="276" w:lineRule="auto"/>
              <w:ind w:left="72" w:right="72"/>
              <w:jc w:val="both"/>
              <w:rPr>
                <w:szCs w:val="24"/>
              </w:rPr>
            </w:pPr>
            <w:r w:rsidRPr="00F50C10">
              <w:rPr>
                <w:szCs w:val="24"/>
                <w:lang w:bidi="tr-TR"/>
              </w:rPr>
              <w:t>Yeniden deriştirme</w:t>
            </w:r>
          </w:p>
        </w:tc>
        <w:tc>
          <w:tcPr>
            <w:tcW w:w="2196" w:type="pct"/>
            <w:tcBorders>
              <w:top w:val="single" w:sz="5" w:space="0" w:color="000000"/>
              <w:left w:val="single" w:sz="5" w:space="0" w:color="000000"/>
              <w:bottom w:val="single" w:sz="5" w:space="0" w:color="000000"/>
              <w:right w:val="single" w:sz="5" w:space="0" w:color="000000"/>
            </w:tcBorders>
            <w:vAlign w:val="center"/>
          </w:tcPr>
          <w:p w14:paraId="3D36D1C0" w14:textId="77777777" w:rsidR="00951FA4" w:rsidRPr="00F50C10" w:rsidRDefault="00951FA4" w:rsidP="000B206D">
            <w:pPr>
              <w:pStyle w:val="TableParagraph"/>
              <w:spacing w:line="276" w:lineRule="auto"/>
              <w:ind w:left="72" w:right="72"/>
              <w:jc w:val="both"/>
              <w:rPr>
                <w:szCs w:val="24"/>
              </w:rPr>
            </w:pPr>
            <w:r w:rsidRPr="00F50C10">
              <w:rPr>
                <w:szCs w:val="24"/>
                <w:lang w:bidi="tr-TR"/>
              </w:rPr>
              <w:t>Kullanılmış asit,  kükürt trioksit kullanımıyla güçlendirilerek veya dolaylı ısıtma yoluyla, vakum altında kapalı devre buharlaştırıcılarda sahada veya saha dışında yeniden deriştirilir.</w:t>
            </w:r>
          </w:p>
        </w:tc>
        <w:tc>
          <w:tcPr>
            <w:tcW w:w="1596" w:type="pct"/>
            <w:tcBorders>
              <w:top w:val="single" w:sz="5" w:space="0" w:color="000000"/>
              <w:left w:val="single" w:sz="5" w:space="0" w:color="000000"/>
              <w:bottom w:val="single" w:sz="5" w:space="0" w:color="000000"/>
              <w:right w:val="single" w:sz="5" w:space="0" w:color="000000"/>
            </w:tcBorders>
            <w:vAlign w:val="center"/>
          </w:tcPr>
          <w:p w14:paraId="7B1997FA" w14:textId="77777777" w:rsidR="00951FA4" w:rsidRPr="00F50C10" w:rsidRDefault="00951FA4" w:rsidP="000B206D">
            <w:pPr>
              <w:pStyle w:val="TableParagraph"/>
              <w:spacing w:line="276" w:lineRule="auto"/>
              <w:ind w:left="72" w:right="72"/>
              <w:jc w:val="both"/>
              <w:rPr>
                <w:szCs w:val="24"/>
              </w:rPr>
            </w:pPr>
            <w:r w:rsidRPr="00F50C10">
              <w:rPr>
                <w:szCs w:val="24"/>
                <w:lang w:bidi="tr-TR"/>
              </w:rPr>
              <w:t>Saha dışında yeniden deriştirme, yakınlarda bir hizmet sağlayıcının bulunduğu sahalarla sınırlıdır.</w:t>
            </w:r>
          </w:p>
        </w:tc>
      </w:tr>
    </w:tbl>
    <w:p w14:paraId="2B2749F7" w14:textId="77777777" w:rsidR="00951FA4" w:rsidRPr="00F50C10" w:rsidRDefault="00951FA4" w:rsidP="000B206D">
      <w:pPr>
        <w:spacing w:after="120" w:line="276" w:lineRule="auto"/>
        <w:rPr>
          <w:rFonts w:cs="Times New Roman"/>
          <w:szCs w:val="24"/>
        </w:rPr>
      </w:pPr>
      <w:r w:rsidRPr="00F50C10">
        <w:rPr>
          <w:rFonts w:cs="Times New Roman"/>
          <w:szCs w:val="24"/>
        </w:rPr>
        <w:t>H</w:t>
      </w:r>
      <w:r w:rsidRPr="00F50C10">
        <w:rPr>
          <w:rFonts w:cs="Times New Roman"/>
          <w:szCs w:val="24"/>
          <w:vertAlign w:val="subscript"/>
        </w:rPr>
        <w:t>2</w:t>
      </w:r>
      <w:r w:rsidRPr="00F50C10">
        <w:rPr>
          <w:rFonts w:cs="Times New Roman"/>
          <w:szCs w:val="24"/>
        </w:rPr>
        <w:t>SO</w:t>
      </w:r>
      <w:r w:rsidRPr="00F50C10">
        <w:rPr>
          <w:rFonts w:cs="Times New Roman"/>
          <w:szCs w:val="24"/>
          <w:vertAlign w:val="subscript"/>
        </w:rPr>
        <w:t>4</w:t>
      </w:r>
      <w:r w:rsidRPr="00F50C10">
        <w:rPr>
          <w:rFonts w:cs="Times New Roman"/>
          <w:szCs w:val="24"/>
        </w:rPr>
        <w:t xml:space="preserve"> (ağırlıkça %96) olarak ifade edilen, bertaraf için gönderilen kullanılmış sülfürik asit miktarı için </w:t>
      </w:r>
      <w:r w:rsidRPr="00F50C10">
        <w:rPr>
          <w:rFonts w:cs="Times New Roman"/>
          <w:b/>
          <w:bCs/>
          <w:szCs w:val="24"/>
        </w:rPr>
        <w:t>MET ile ilişkili çevresel performans seviyesi</w:t>
      </w:r>
      <w:r w:rsidRPr="00F50C10">
        <w:rPr>
          <w:rFonts w:cs="Times New Roman"/>
          <w:szCs w:val="24"/>
        </w:rPr>
        <w:t>, üretilen her bir ton klor için ≤ 0.1 kg'dir.</w:t>
      </w:r>
    </w:p>
    <w:p w14:paraId="1D4D511D" w14:textId="77777777" w:rsidR="00951FA4" w:rsidRPr="00F50C10" w:rsidRDefault="00951FA4" w:rsidP="00A654AE">
      <w:pPr>
        <w:pStyle w:val="Balk1"/>
        <w:numPr>
          <w:ilvl w:val="0"/>
          <w:numId w:val="180"/>
        </w:numPr>
        <w:spacing w:after="120" w:line="276" w:lineRule="auto"/>
        <w:rPr>
          <w:rFonts w:cs="Times New Roman"/>
          <w:szCs w:val="24"/>
        </w:rPr>
      </w:pPr>
      <w:bookmarkStart w:id="259" w:name="_Toc134622094"/>
      <w:r w:rsidRPr="00F50C10">
        <w:rPr>
          <w:rFonts w:cs="Times New Roman"/>
          <w:szCs w:val="24"/>
        </w:rPr>
        <w:t>SAHA İYİLEŞTİRME</w:t>
      </w:r>
      <w:bookmarkEnd w:id="259"/>
      <w:r w:rsidRPr="00F50C10">
        <w:rPr>
          <w:rFonts w:cs="Times New Roman"/>
          <w:szCs w:val="24"/>
        </w:rPr>
        <w:t xml:space="preserve"> </w:t>
      </w:r>
    </w:p>
    <w:p w14:paraId="3A2D8AD8" w14:textId="26F95CB3" w:rsidR="00951FA4" w:rsidRPr="00F50C10" w:rsidRDefault="00951FA4" w:rsidP="000B206D">
      <w:pPr>
        <w:spacing w:after="120" w:line="276" w:lineRule="auto"/>
        <w:rPr>
          <w:rFonts w:cs="Times New Roman"/>
          <w:b/>
          <w:bCs/>
          <w:szCs w:val="24"/>
        </w:rPr>
      </w:pPr>
      <w:r w:rsidRPr="00F50C10">
        <w:rPr>
          <w:rFonts w:cs="Times New Roman"/>
          <w:b/>
          <w:bCs/>
          <w:szCs w:val="24"/>
        </w:rPr>
        <w:t>MET 17:</w:t>
      </w:r>
      <w:r w:rsidRPr="00F50C10">
        <w:rPr>
          <w:rFonts w:cs="Times New Roman"/>
          <w:szCs w:val="24"/>
        </w:rPr>
        <w:t xml:space="preserve"> Toprağın, yer altı sularının ve havanın kontaminasyonunu azaltmak ve ayrıca kirletici dağılımını ve kontamine klor-alkali alanlarından biyotaya aktarımı</w:t>
      </w:r>
      <w:r w:rsidR="0031706A" w:rsidRPr="00F50C10">
        <w:rPr>
          <w:rFonts w:cs="Times New Roman"/>
          <w:szCs w:val="24"/>
        </w:rPr>
        <w:t>nı</w:t>
      </w:r>
      <w:r w:rsidRPr="00F50C10">
        <w:rPr>
          <w:rFonts w:cs="Times New Roman"/>
          <w:szCs w:val="24"/>
        </w:rPr>
        <w:t xml:space="preserve"> durdurmak için, aşağıdaki özelliklerin tümünü içeren bir saha iyileştirme planı tasarla</w:t>
      </w:r>
      <w:r w:rsidR="0031706A" w:rsidRPr="00F50C10">
        <w:rPr>
          <w:rFonts w:cs="Times New Roman"/>
          <w:szCs w:val="24"/>
        </w:rPr>
        <w:t>nır</w:t>
      </w:r>
      <w:r w:rsidRPr="00F50C10">
        <w:rPr>
          <w:rFonts w:cs="Times New Roman"/>
          <w:szCs w:val="24"/>
        </w:rPr>
        <w:t xml:space="preserve"> ve </w:t>
      </w:r>
      <w:r w:rsidR="0031706A" w:rsidRPr="00F50C10">
        <w:rPr>
          <w:rFonts w:cs="Times New Roman"/>
          <w:szCs w:val="24"/>
        </w:rPr>
        <w:t>uygulanır:</w:t>
      </w:r>
    </w:p>
    <w:p w14:paraId="00345AFD" w14:textId="77777777" w:rsidR="00951FA4" w:rsidRPr="00F50C10" w:rsidRDefault="00951FA4" w:rsidP="00A654AE">
      <w:pPr>
        <w:pStyle w:val="ListeParagraf"/>
        <w:numPr>
          <w:ilvl w:val="0"/>
          <w:numId w:val="66"/>
        </w:numPr>
        <w:spacing w:after="120" w:line="276" w:lineRule="auto"/>
        <w:rPr>
          <w:rFonts w:cs="Times New Roman"/>
          <w:szCs w:val="24"/>
        </w:rPr>
      </w:pPr>
      <w:r w:rsidRPr="00F50C10">
        <w:rPr>
          <w:rFonts w:cs="Times New Roman"/>
          <w:szCs w:val="24"/>
          <w:lang w:bidi="tr-TR"/>
        </w:rPr>
        <w:t>maruz kalma yollarını ve kontaminasyonun yayılmasını kesmek için acil durum tekniklerinin uygulanması;</w:t>
      </w:r>
    </w:p>
    <w:p w14:paraId="73933934" w14:textId="77777777" w:rsidR="00951FA4" w:rsidRPr="00F50C10" w:rsidRDefault="00951FA4" w:rsidP="00A654AE">
      <w:pPr>
        <w:pStyle w:val="ListeParagraf"/>
        <w:numPr>
          <w:ilvl w:val="0"/>
          <w:numId w:val="66"/>
        </w:numPr>
        <w:spacing w:after="120" w:line="276" w:lineRule="auto"/>
        <w:rPr>
          <w:rFonts w:cs="Times New Roman"/>
          <w:szCs w:val="24"/>
        </w:rPr>
      </w:pPr>
      <w:r w:rsidRPr="00F50C10">
        <w:rPr>
          <w:rFonts w:cs="Times New Roman"/>
          <w:szCs w:val="24"/>
        </w:rPr>
        <w:t>kontaminasyonun (örneğin cıva, PCDD'ler/PCDF'ler, poliklorlu naftalinler) kaynağını, kapsamını ve bileşimini belirlemek için masa başı çalışması;</w:t>
      </w:r>
    </w:p>
    <w:p w14:paraId="720680EA" w14:textId="77777777" w:rsidR="00951FA4" w:rsidRPr="00F50C10" w:rsidRDefault="00951FA4" w:rsidP="00A654AE">
      <w:pPr>
        <w:pStyle w:val="ListeParagraf"/>
        <w:numPr>
          <w:ilvl w:val="0"/>
          <w:numId w:val="66"/>
        </w:numPr>
        <w:spacing w:after="120" w:line="276" w:lineRule="auto"/>
        <w:rPr>
          <w:rFonts w:cs="Times New Roman"/>
          <w:szCs w:val="24"/>
        </w:rPr>
      </w:pPr>
      <w:r w:rsidRPr="00F50C10">
        <w:rPr>
          <w:rFonts w:cs="Times New Roman"/>
          <w:szCs w:val="24"/>
        </w:rPr>
        <w:t>anketler ve bir raporun hazırlanması da dahil olmak üzere kontaminasyonun nitelik değerlendirmesi;</w:t>
      </w:r>
    </w:p>
    <w:p w14:paraId="7E8C975A" w14:textId="77777777" w:rsidR="00951FA4" w:rsidRPr="00F50C10" w:rsidRDefault="00951FA4" w:rsidP="00A654AE">
      <w:pPr>
        <w:pStyle w:val="ListeParagraf"/>
        <w:numPr>
          <w:ilvl w:val="0"/>
          <w:numId w:val="66"/>
        </w:numPr>
        <w:spacing w:after="120" w:line="276" w:lineRule="auto"/>
        <w:rPr>
          <w:rFonts w:cs="Times New Roman"/>
          <w:szCs w:val="24"/>
        </w:rPr>
      </w:pPr>
      <w:r w:rsidRPr="00F50C10">
        <w:rPr>
          <w:rFonts w:cs="Times New Roman"/>
          <w:szCs w:val="24"/>
        </w:rPr>
        <w:t>sahanın mevcut ve gelecekteki onaylanmış kullanımının bir fonksiyonu olarak zaman ve mekan üzerinden risk değerlendirmesi;</w:t>
      </w:r>
    </w:p>
    <w:p w14:paraId="72974BC2" w14:textId="77777777" w:rsidR="00951FA4" w:rsidRPr="00F50C10" w:rsidRDefault="00951FA4" w:rsidP="00A654AE">
      <w:pPr>
        <w:pStyle w:val="ListeParagraf"/>
        <w:numPr>
          <w:ilvl w:val="0"/>
          <w:numId w:val="66"/>
        </w:numPr>
        <w:spacing w:after="120" w:line="276" w:lineRule="auto"/>
        <w:rPr>
          <w:rFonts w:cs="Times New Roman"/>
          <w:szCs w:val="24"/>
        </w:rPr>
      </w:pPr>
      <w:r w:rsidRPr="00F50C10">
        <w:rPr>
          <w:rFonts w:cs="Times New Roman"/>
          <w:szCs w:val="24"/>
        </w:rPr>
        <w:t>aşağıdakileri içeren bir mühendislik projesinin hazırlanması:</w:t>
      </w:r>
    </w:p>
    <w:p w14:paraId="31423941" w14:textId="77777777" w:rsidR="00951FA4" w:rsidRPr="00F50C10" w:rsidRDefault="00951FA4" w:rsidP="00A654AE">
      <w:pPr>
        <w:pStyle w:val="ListeParagraf"/>
        <w:numPr>
          <w:ilvl w:val="0"/>
          <w:numId w:val="67"/>
        </w:numPr>
        <w:spacing w:after="120" w:line="276" w:lineRule="auto"/>
        <w:rPr>
          <w:rFonts w:cs="Times New Roman"/>
          <w:szCs w:val="24"/>
        </w:rPr>
      </w:pPr>
      <w:r w:rsidRPr="00F50C10">
        <w:rPr>
          <w:rFonts w:cs="Times New Roman"/>
          <w:szCs w:val="24"/>
        </w:rPr>
        <w:t>kontaminasyon giderme ve/veya kalıcı sınırlama;</w:t>
      </w:r>
    </w:p>
    <w:p w14:paraId="549B3C1E" w14:textId="77777777" w:rsidR="00951FA4" w:rsidRPr="00F50C10" w:rsidRDefault="00951FA4" w:rsidP="00A654AE">
      <w:pPr>
        <w:pStyle w:val="ListeParagraf"/>
        <w:numPr>
          <w:ilvl w:val="0"/>
          <w:numId w:val="67"/>
        </w:numPr>
        <w:spacing w:after="120" w:line="276" w:lineRule="auto"/>
        <w:rPr>
          <w:rFonts w:cs="Times New Roman"/>
          <w:szCs w:val="24"/>
        </w:rPr>
      </w:pPr>
      <w:r w:rsidRPr="00F50C10">
        <w:rPr>
          <w:rFonts w:cs="Times New Roman"/>
          <w:szCs w:val="24"/>
        </w:rPr>
        <w:t>zaman çizelgeleri;</w:t>
      </w:r>
    </w:p>
    <w:p w14:paraId="625E2C01" w14:textId="77777777" w:rsidR="00951FA4" w:rsidRPr="00F50C10" w:rsidRDefault="00951FA4" w:rsidP="00A654AE">
      <w:pPr>
        <w:pStyle w:val="ListeParagraf"/>
        <w:numPr>
          <w:ilvl w:val="0"/>
          <w:numId w:val="67"/>
        </w:numPr>
        <w:spacing w:after="120" w:line="276" w:lineRule="auto"/>
        <w:rPr>
          <w:rFonts w:cs="Times New Roman"/>
          <w:szCs w:val="24"/>
        </w:rPr>
      </w:pPr>
      <w:r w:rsidRPr="00F50C10">
        <w:rPr>
          <w:rFonts w:cs="Times New Roman"/>
          <w:szCs w:val="24"/>
        </w:rPr>
        <w:t>izleme planı;</w:t>
      </w:r>
    </w:p>
    <w:p w14:paraId="51CB0BC9" w14:textId="77777777" w:rsidR="00951FA4" w:rsidRPr="00F50C10" w:rsidRDefault="00951FA4" w:rsidP="00A654AE">
      <w:pPr>
        <w:pStyle w:val="ListeParagraf"/>
        <w:numPr>
          <w:ilvl w:val="0"/>
          <w:numId w:val="67"/>
        </w:numPr>
        <w:spacing w:after="120" w:line="276" w:lineRule="auto"/>
        <w:rPr>
          <w:rFonts w:cs="Times New Roman"/>
          <w:szCs w:val="24"/>
        </w:rPr>
      </w:pPr>
      <w:r w:rsidRPr="00F50C10">
        <w:rPr>
          <w:rFonts w:cs="Times New Roman"/>
          <w:szCs w:val="24"/>
        </w:rPr>
        <w:t>hedefe ulaşmak için finansal planlama ve yatırım;</w:t>
      </w:r>
    </w:p>
    <w:p w14:paraId="75900DA9" w14:textId="77777777" w:rsidR="00951FA4" w:rsidRPr="00F50C10" w:rsidRDefault="00951FA4" w:rsidP="00A654AE">
      <w:pPr>
        <w:pStyle w:val="ListeParagraf"/>
        <w:numPr>
          <w:ilvl w:val="0"/>
          <w:numId w:val="66"/>
        </w:numPr>
        <w:spacing w:after="120" w:line="276" w:lineRule="auto"/>
        <w:rPr>
          <w:rFonts w:cs="Times New Roman"/>
          <w:szCs w:val="24"/>
        </w:rPr>
      </w:pPr>
      <w:r w:rsidRPr="00F50C10">
        <w:rPr>
          <w:rFonts w:cs="Times New Roman"/>
          <w:szCs w:val="24"/>
        </w:rPr>
        <w:t>mühendislik projesinin uygulanması, böylece sahanın mevcut ve gelecekteki onaylanmış kullanımı dikkate alınarak, insan sağlığı veya çevre için artık önemli bir risk oluşturmaması. Diğer yükümlülüklere bağlı olarak, mühendislik projesinin daha sıkı bir şekilde uygulanması gerekebilir;</w:t>
      </w:r>
    </w:p>
    <w:p w14:paraId="3268FEF6" w14:textId="77777777" w:rsidR="00951FA4" w:rsidRPr="00F50C10" w:rsidRDefault="00951FA4" w:rsidP="00A654AE">
      <w:pPr>
        <w:pStyle w:val="ListeParagraf"/>
        <w:numPr>
          <w:ilvl w:val="0"/>
          <w:numId w:val="66"/>
        </w:numPr>
        <w:spacing w:after="120" w:line="276" w:lineRule="auto"/>
        <w:rPr>
          <w:rFonts w:cs="Times New Roman"/>
          <w:szCs w:val="24"/>
        </w:rPr>
      </w:pPr>
      <w:r w:rsidRPr="00F50C10">
        <w:rPr>
          <w:rFonts w:cs="Times New Roman"/>
          <w:szCs w:val="24"/>
        </w:rPr>
        <w:t>kalıntı kontaminasyon nedeniyle gerekirse ve sahanın mevcut ve onaylanmış gelecekteki kullanımını dikkate alarak  saha kullanım kısıtlamaları;</w:t>
      </w:r>
    </w:p>
    <w:p w14:paraId="72B46DAB" w14:textId="77777777" w:rsidR="00C51AA7" w:rsidRPr="00F50C10" w:rsidRDefault="00951FA4" w:rsidP="00A654AE">
      <w:pPr>
        <w:pStyle w:val="ListeParagraf"/>
        <w:numPr>
          <w:ilvl w:val="0"/>
          <w:numId w:val="66"/>
        </w:numPr>
        <w:spacing w:after="120" w:line="276" w:lineRule="auto"/>
        <w:rPr>
          <w:rFonts w:cs="Times New Roman"/>
          <w:szCs w:val="24"/>
        </w:rPr>
      </w:pPr>
      <w:r w:rsidRPr="00F50C10">
        <w:rPr>
          <w:rFonts w:cs="Times New Roman"/>
          <w:szCs w:val="24"/>
        </w:rPr>
        <w:t>hedeflere ulaşıldığını ve bu başarının sürdürüldüğünü doğrulamak için sahada ve çevredeki alanlarda ilgili izleme çalışmaları.</w:t>
      </w:r>
    </w:p>
    <w:p w14:paraId="2685CD01" w14:textId="0F7410C7" w:rsidR="00951FA4" w:rsidRPr="00F50C10" w:rsidRDefault="00951FA4" w:rsidP="000B206D">
      <w:pPr>
        <w:spacing w:after="120" w:line="276" w:lineRule="auto"/>
        <w:rPr>
          <w:rFonts w:cs="Times New Roman"/>
          <w:szCs w:val="24"/>
        </w:rPr>
      </w:pPr>
      <w:r w:rsidRPr="00F50C10">
        <w:rPr>
          <w:rFonts w:cs="Times New Roman"/>
          <w:szCs w:val="24"/>
        </w:rPr>
        <w:t>Genellikle bir saha iyileştirme planı, tesisi hizmetten çıkarma kararı alındıktan sonra hazırlanır, ancak bazı faktörler tesis aktifken bir saha iyileştirme planının (kısmi olarak) hazırlanmasını gerektirebilir.</w:t>
      </w:r>
    </w:p>
    <w:p w14:paraId="76165708" w14:textId="77777777" w:rsidR="00951FA4" w:rsidRPr="00F50C10" w:rsidRDefault="00951FA4" w:rsidP="000B206D">
      <w:pPr>
        <w:spacing w:after="120" w:line="276" w:lineRule="auto"/>
        <w:rPr>
          <w:rFonts w:cs="Times New Roman"/>
          <w:szCs w:val="24"/>
        </w:rPr>
      </w:pPr>
      <w:r w:rsidRPr="00F50C10">
        <w:rPr>
          <w:rFonts w:cs="Times New Roman"/>
          <w:szCs w:val="24"/>
        </w:rPr>
        <w:t>Saha iyileştirme planının bazı özellikleri, diğer gereksinimlere bağlı olarak çakışabilir, atlanabilir veya farklı bir sıralamayla gerçekleştirilebilir.</w:t>
      </w:r>
    </w:p>
    <w:p w14:paraId="29547CB6" w14:textId="691E9322" w:rsidR="00951FA4" w:rsidRPr="00F50C10" w:rsidRDefault="00951FA4" w:rsidP="000B206D">
      <w:pPr>
        <w:spacing w:after="120" w:line="276" w:lineRule="auto"/>
        <w:rPr>
          <w:rFonts w:cs="Times New Roman"/>
          <w:szCs w:val="24"/>
        </w:rPr>
      </w:pPr>
      <w:r w:rsidRPr="00F50C10">
        <w:rPr>
          <w:rFonts w:cs="Times New Roman"/>
          <w:szCs w:val="24"/>
        </w:rPr>
        <w:t>MET 17(</w:t>
      </w:r>
      <w:r w:rsidR="00A40D09" w:rsidRPr="00F50C10">
        <w:rPr>
          <w:rFonts w:cs="Times New Roman"/>
          <w:szCs w:val="24"/>
        </w:rPr>
        <w:t>e</w:t>
      </w:r>
      <w:r w:rsidRPr="00F50C10">
        <w:rPr>
          <w:rFonts w:cs="Times New Roman"/>
          <w:szCs w:val="24"/>
        </w:rPr>
        <w:t>) ile 17(</w:t>
      </w:r>
      <w:r w:rsidR="00A40D09" w:rsidRPr="00F50C10">
        <w:rPr>
          <w:rFonts w:cs="Times New Roman"/>
          <w:szCs w:val="24"/>
        </w:rPr>
        <w:t>h</w:t>
      </w:r>
      <w:r w:rsidRPr="00F50C10">
        <w:rPr>
          <w:rFonts w:cs="Times New Roman"/>
          <w:szCs w:val="24"/>
        </w:rPr>
        <w:t>) arasındaki maddelerin uygulanabilirliği, MET 17 (</w:t>
      </w:r>
      <w:r w:rsidR="00A40D09" w:rsidRPr="00F50C10">
        <w:rPr>
          <w:rFonts w:cs="Times New Roman"/>
          <w:szCs w:val="24"/>
        </w:rPr>
        <w:t>d</w:t>
      </w:r>
      <w:r w:rsidRPr="00F50C10">
        <w:rPr>
          <w:rFonts w:cs="Times New Roman"/>
          <w:szCs w:val="24"/>
        </w:rPr>
        <w:t>) kapsamında belirtilen risk değerlendirmesi sonuçlarına tabidir.</w:t>
      </w:r>
    </w:p>
    <w:p w14:paraId="29411CE6" w14:textId="77777777" w:rsidR="00951FA4" w:rsidRPr="00F50C10" w:rsidRDefault="00951FA4" w:rsidP="000B206D">
      <w:pPr>
        <w:spacing w:after="120" w:line="276" w:lineRule="auto"/>
        <w:rPr>
          <w:rFonts w:cs="Times New Roman"/>
          <w:szCs w:val="24"/>
        </w:rPr>
      </w:pPr>
    </w:p>
    <w:p w14:paraId="717F0622" w14:textId="43E12C98" w:rsidR="00F6441B" w:rsidRPr="00F50C10" w:rsidRDefault="00F6441B" w:rsidP="000B206D">
      <w:pPr>
        <w:spacing w:after="120" w:line="276" w:lineRule="auto"/>
        <w:jc w:val="left"/>
        <w:rPr>
          <w:rFonts w:cs="Times New Roman"/>
          <w:szCs w:val="24"/>
        </w:rPr>
      </w:pPr>
      <w:r w:rsidRPr="00F50C10">
        <w:rPr>
          <w:rFonts w:cs="Times New Roman"/>
          <w:szCs w:val="24"/>
        </w:rPr>
        <w:br w:type="page"/>
      </w:r>
    </w:p>
    <w:p w14:paraId="30789F75" w14:textId="7CEBD659" w:rsidR="00951FA4" w:rsidRPr="00F50C10" w:rsidRDefault="00F6441B" w:rsidP="000B206D">
      <w:pPr>
        <w:spacing w:after="120" w:line="276" w:lineRule="auto"/>
        <w:ind w:left="7788" w:firstLine="708"/>
        <w:rPr>
          <w:rFonts w:cs="Times New Roman"/>
          <w:b/>
          <w:bCs/>
          <w:szCs w:val="24"/>
        </w:rPr>
      </w:pPr>
      <w:r w:rsidRPr="00F50C10">
        <w:rPr>
          <w:rFonts w:cs="Times New Roman"/>
          <w:b/>
          <w:bCs/>
          <w:szCs w:val="24"/>
        </w:rPr>
        <w:t>EK-</w:t>
      </w:r>
      <w:r w:rsidR="009867BF" w:rsidRPr="00F50C10">
        <w:rPr>
          <w:rFonts w:cs="Times New Roman"/>
          <w:b/>
          <w:bCs/>
          <w:szCs w:val="24"/>
        </w:rPr>
        <w:t>5</w:t>
      </w:r>
    </w:p>
    <w:p w14:paraId="123AB0E6" w14:textId="6806E254" w:rsidR="00F6441B" w:rsidRPr="00F50C10" w:rsidRDefault="00F6441B" w:rsidP="000B206D">
      <w:pPr>
        <w:pStyle w:val="Balk1"/>
        <w:numPr>
          <w:ilvl w:val="0"/>
          <w:numId w:val="0"/>
        </w:numPr>
        <w:spacing w:after="120" w:line="276" w:lineRule="auto"/>
        <w:ind w:left="432" w:hanging="432"/>
        <w:jc w:val="center"/>
        <w:rPr>
          <w:rFonts w:cs="Times New Roman"/>
          <w:szCs w:val="24"/>
        </w:rPr>
      </w:pPr>
      <w:r w:rsidRPr="00F50C10">
        <w:rPr>
          <w:rFonts w:cs="Times New Roman"/>
          <w:szCs w:val="24"/>
        </w:rPr>
        <w:t>Büyük Hacimli İnorganik Kimyasalların – Amonyak, Asit, Gübre – Üretimi Sektöründe Mevcut En İyi Teknikler</w:t>
      </w:r>
      <w:r w:rsidR="00EC63EF" w:rsidRPr="00F50C10">
        <w:rPr>
          <w:rFonts w:cs="Times New Roman"/>
          <w:szCs w:val="24"/>
        </w:rPr>
        <w:t xml:space="preserve"> ( 4.2.a, 4.2.b ve 4.3)</w:t>
      </w:r>
    </w:p>
    <w:p w14:paraId="70A11675" w14:textId="77777777" w:rsidR="00F6441B" w:rsidRPr="00F50C10" w:rsidRDefault="00F6441B" w:rsidP="000B206D">
      <w:pPr>
        <w:pStyle w:val="GvdeMetni"/>
        <w:spacing w:after="120" w:line="276" w:lineRule="auto"/>
        <w:jc w:val="center"/>
        <w:rPr>
          <w:sz w:val="24"/>
          <w:szCs w:val="24"/>
        </w:rPr>
      </w:pPr>
    </w:p>
    <w:p w14:paraId="0A88E0F3" w14:textId="57D970E5" w:rsidR="00F6441B" w:rsidRPr="00F50C10" w:rsidRDefault="00F6441B" w:rsidP="00A654AE">
      <w:pPr>
        <w:pStyle w:val="Balk1"/>
        <w:numPr>
          <w:ilvl w:val="0"/>
          <w:numId w:val="72"/>
        </w:numPr>
        <w:spacing w:after="120" w:line="276" w:lineRule="auto"/>
        <w:rPr>
          <w:rFonts w:cs="Times New Roman"/>
          <w:szCs w:val="24"/>
        </w:rPr>
      </w:pPr>
      <w:r w:rsidRPr="00F50C10">
        <w:rPr>
          <w:rFonts w:cs="Times New Roman"/>
          <w:szCs w:val="24"/>
        </w:rPr>
        <w:t>GENEL MET</w:t>
      </w:r>
    </w:p>
    <w:p w14:paraId="402A8180" w14:textId="12560874" w:rsidR="00F6441B" w:rsidRPr="00F50C10" w:rsidRDefault="00F6441B" w:rsidP="000B206D">
      <w:pPr>
        <w:spacing w:after="120" w:line="276" w:lineRule="auto"/>
        <w:rPr>
          <w:rFonts w:cs="Times New Roman"/>
          <w:szCs w:val="24"/>
        </w:rPr>
      </w:pPr>
      <w:r w:rsidRPr="00F50C10">
        <w:rPr>
          <w:rFonts w:cs="Times New Roman"/>
          <w:szCs w:val="24"/>
        </w:rPr>
        <w:t xml:space="preserve">Genel MET tüm </w:t>
      </w:r>
      <w:r w:rsidR="00F05BC9" w:rsidRPr="00F50C10">
        <w:rPr>
          <w:rFonts w:cs="Times New Roman"/>
          <w:szCs w:val="24"/>
        </w:rPr>
        <w:t xml:space="preserve">amonyak, asit, gübre </w:t>
      </w:r>
      <w:r w:rsidRPr="00F50C10">
        <w:rPr>
          <w:rFonts w:cs="Times New Roman"/>
          <w:szCs w:val="24"/>
        </w:rPr>
        <w:t>üretimi yapan tesisler için geçerlidir.</w:t>
      </w:r>
      <w:r w:rsidRPr="00F50C10">
        <w:rPr>
          <w:rFonts w:cs="Times New Roman"/>
          <w:szCs w:val="24"/>
        </w:rPr>
        <w:tab/>
      </w:r>
    </w:p>
    <w:p w14:paraId="39B6E052" w14:textId="0A8F6D13" w:rsidR="00F6441B" w:rsidRPr="00F50C10" w:rsidRDefault="00F6441B" w:rsidP="00A654AE">
      <w:pPr>
        <w:pStyle w:val="Balk2"/>
        <w:numPr>
          <w:ilvl w:val="1"/>
          <w:numId w:val="72"/>
        </w:numPr>
        <w:spacing w:before="0" w:after="120" w:line="276" w:lineRule="auto"/>
        <w:rPr>
          <w:rFonts w:cs="Times New Roman"/>
          <w:szCs w:val="24"/>
        </w:rPr>
      </w:pPr>
      <w:r w:rsidRPr="00F50C10">
        <w:rPr>
          <w:rFonts w:cs="Times New Roman"/>
          <w:szCs w:val="24"/>
        </w:rPr>
        <w:t>Büyük Hacimli İnorganik Kimyasalların – Amonyak, Asit, Gübre – Üretimi için</w:t>
      </w:r>
      <w:r w:rsidR="00874B6D" w:rsidRPr="00F50C10">
        <w:rPr>
          <w:rFonts w:cs="Times New Roman"/>
          <w:szCs w:val="24"/>
        </w:rPr>
        <w:t xml:space="preserve"> </w:t>
      </w:r>
      <w:r w:rsidR="000F4DB3" w:rsidRPr="00F50C10">
        <w:rPr>
          <w:rFonts w:cs="Times New Roman"/>
          <w:szCs w:val="24"/>
        </w:rPr>
        <w:t>Genel</w:t>
      </w:r>
      <w:r w:rsidRPr="00F50C10">
        <w:rPr>
          <w:rFonts w:cs="Times New Roman"/>
          <w:szCs w:val="24"/>
        </w:rPr>
        <w:t xml:space="preserve"> MET</w:t>
      </w:r>
    </w:p>
    <w:p w14:paraId="0B242F7A" w14:textId="39135319" w:rsidR="0064552A" w:rsidRDefault="00F6441B" w:rsidP="000B206D">
      <w:pPr>
        <w:spacing w:line="276" w:lineRule="auto"/>
        <w:rPr>
          <w:b/>
        </w:rPr>
      </w:pPr>
      <w:r w:rsidRPr="00F50C10">
        <w:rPr>
          <w:rFonts w:cs="Times New Roman"/>
          <w:b/>
          <w:szCs w:val="24"/>
        </w:rPr>
        <w:t xml:space="preserve">MET 1: </w:t>
      </w:r>
      <w:r w:rsidRPr="00F50C10">
        <w:rPr>
          <w:rFonts w:cs="Times New Roman"/>
          <w:bCs/>
          <w:szCs w:val="24"/>
        </w:rPr>
        <w:t xml:space="preserve">Tüm üretim sahası için düzenli enerji denetimleri gerçekleştirilir. </w:t>
      </w:r>
      <w:r w:rsidR="0064552A" w:rsidRPr="0064552A">
        <w:rPr>
          <w:rFonts w:cs="Times New Roman"/>
          <w:bCs/>
          <w:szCs w:val="24"/>
        </w:rPr>
        <w:t xml:space="preserve">(Detaylı bilgi için Büyük Hacimli İnorganik Kimyasalların – Amonyak, Asit, Gübre – Üretimi Sektöründe Mevcut En İyi Teknikler </w:t>
      </w:r>
      <w:r w:rsidR="0064552A" w:rsidRPr="0064552A">
        <w:rPr>
          <w:bCs/>
          <w:szCs w:val="24"/>
        </w:rPr>
        <w:t>MET Referans Belgesinin 1.4.8 Kısmını inceleyeniz</w:t>
      </w:r>
      <w:r w:rsidR="0064552A" w:rsidRPr="0064552A">
        <w:rPr>
          <w:bCs/>
        </w:rPr>
        <w:t>)</w:t>
      </w:r>
    </w:p>
    <w:p w14:paraId="62349BC3" w14:textId="3378F5F2" w:rsidR="00D3089E" w:rsidRPr="00C3223B" w:rsidRDefault="00F6441B" w:rsidP="000B206D">
      <w:pPr>
        <w:spacing w:line="276" w:lineRule="auto"/>
        <w:rPr>
          <w:bCs/>
        </w:rPr>
      </w:pPr>
      <w:r w:rsidRPr="00F50C10">
        <w:rPr>
          <w:rFonts w:cs="Times New Roman"/>
          <w:b/>
          <w:szCs w:val="24"/>
        </w:rPr>
        <w:t xml:space="preserve">MET 2: </w:t>
      </w:r>
      <w:r w:rsidRPr="00F50C10">
        <w:rPr>
          <w:rFonts w:cs="Times New Roman"/>
          <w:bCs/>
          <w:szCs w:val="24"/>
        </w:rPr>
        <w:t>Önemli performans parametrelerinin izlenmesi, aşağıda yer alan faktörler için kütle dengesinin kurulması ve sürdürülmesi sağlanır</w:t>
      </w:r>
      <w:r w:rsidR="00C51AA7" w:rsidRPr="00F50C10">
        <w:rPr>
          <w:rFonts w:cs="Times New Roman"/>
          <w:bCs/>
          <w:szCs w:val="24"/>
        </w:rPr>
        <w:t>:</w:t>
      </w:r>
      <w:r w:rsidR="00D3089E" w:rsidRPr="00D3089E">
        <w:rPr>
          <w:bCs/>
        </w:rPr>
        <w:t xml:space="preserve"> </w:t>
      </w:r>
      <w:r w:rsidR="00D3089E" w:rsidRPr="00C3223B">
        <w:rPr>
          <w:bCs/>
        </w:rPr>
        <w:t>(MET Referans Belgesinin 1.4.6 ve 1.4.8 Kısmını inceley</w:t>
      </w:r>
      <w:r w:rsidR="00D3089E">
        <w:rPr>
          <w:bCs/>
        </w:rPr>
        <w:t>i</w:t>
      </w:r>
      <w:r w:rsidR="00D3089E" w:rsidRPr="00C3223B">
        <w:rPr>
          <w:bCs/>
        </w:rPr>
        <w:t>niz</w:t>
      </w:r>
      <w:r w:rsidR="00D3089E">
        <w:rPr>
          <w:bCs/>
        </w:rPr>
        <w:t>.</w:t>
      </w:r>
      <w:r w:rsidR="00D3089E" w:rsidRPr="00C3223B">
        <w:rPr>
          <w:bCs/>
        </w:rPr>
        <w:t>)</w:t>
      </w:r>
    </w:p>
    <w:p w14:paraId="57EAC98C" w14:textId="2A5F313E" w:rsidR="00773DBB" w:rsidRPr="00F50C10" w:rsidRDefault="00773DBB" w:rsidP="00A654AE">
      <w:pPr>
        <w:pStyle w:val="ListeParagraf"/>
        <w:numPr>
          <w:ilvl w:val="0"/>
          <w:numId w:val="153"/>
        </w:numPr>
        <w:spacing w:after="120" w:line="276" w:lineRule="auto"/>
        <w:rPr>
          <w:rFonts w:cs="Times New Roman"/>
          <w:szCs w:val="24"/>
        </w:rPr>
      </w:pPr>
      <w:r w:rsidRPr="00F50C10">
        <w:rPr>
          <w:rFonts w:cs="Times New Roman"/>
          <w:szCs w:val="24"/>
        </w:rPr>
        <w:t>a</w:t>
      </w:r>
      <w:r w:rsidR="000F4DB3" w:rsidRPr="00F50C10">
        <w:rPr>
          <w:rFonts w:cs="Times New Roman"/>
          <w:szCs w:val="24"/>
        </w:rPr>
        <w:t>zot</w:t>
      </w:r>
    </w:p>
    <w:p w14:paraId="159B51F3" w14:textId="77777777" w:rsidR="00773DBB" w:rsidRPr="00F50C10" w:rsidRDefault="00F6441B" w:rsidP="00A654AE">
      <w:pPr>
        <w:pStyle w:val="ListeParagraf"/>
        <w:numPr>
          <w:ilvl w:val="0"/>
          <w:numId w:val="153"/>
        </w:numPr>
        <w:spacing w:after="120" w:line="276" w:lineRule="auto"/>
        <w:rPr>
          <w:rFonts w:cs="Times New Roman"/>
          <w:szCs w:val="24"/>
        </w:rPr>
      </w:pPr>
      <w:r w:rsidRPr="00F50C10">
        <w:rPr>
          <w:rFonts w:cs="Times New Roman"/>
          <w:szCs w:val="24"/>
        </w:rPr>
        <w:t>P</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5</w:t>
      </w:r>
    </w:p>
    <w:p w14:paraId="3A1C667B" w14:textId="069C4DD8" w:rsidR="00773DBB" w:rsidRPr="00F50C10" w:rsidRDefault="00773DBB" w:rsidP="00A654AE">
      <w:pPr>
        <w:pStyle w:val="ListeParagraf"/>
        <w:numPr>
          <w:ilvl w:val="0"/>
          <w:numId w:val="153"/>
        </w:numPr>
        <w:spacing w:after="120" w:line="276" w:lineRule="auto"/>
        <w:rPr>
          <w:rFonts w:cs="Times New Roman"/>
          <w:szCs w:val="24"/>
        </w:rPr>
      </w:pPr>
      <w:r w:rsidRPr="00F50C10">
        <w:rPr>
          <w:rFonts w:cs="Times New Roman"/>
          <w:szCs w:val="24"/>
        </w:rPr>
        <w:t>b</w:t>
      </w:r>
      <w:r w:rsidR="00F6441B" w:rsidRPr="00F50C10">
        <w:rPr>
          <w:rFonts w:cs="Times New Roman"/>
          <w:szCs w:val="24"/>
        </w:rPr>
        <w:t>uhar</w:t>
      </w:r>
    </w:p>
    <w:p w14:paraId="4D61D0E2" w14:textId="77777777" w:rsidR="00773DBB" w:rsidRPr="00F50C10" w:rsidRDefault="00F6441B" w:rsidP="00A654AE">
      <w:pPr>
        <w:pStyle w:val="ListeParagraf"/>
        <w:numPr>
          <w:ilvl w:val="0"/>
          <w:numId w:val="153"/>
        </w:numPr>
        <w:spacing w:after="120" w:line="276" w:lineRule="auto"/>
        <w:rPr>
          <w:rFonts w:cs="Times New Roman"/>
          <w:szCs w:val="24"/>
        </w:rPr>
      </w:pPr>
      <w:r w:rsidRPr="00F50C10">
        <w:rPr>
          <w:rFonts w:cs="Times New Roman"/>
          <w:szCs w:val="24"/>
        </w:rPr>
        <w:t xml:space="preserve">su </w:t>
      </w:r>
    </w:p>
    <w:p w14:paraId="6F8143AF" w14:textId="6898EA4F" w:rsidR="00F6441B" w:rsidRPr="00F50C10" w:rsidRDefault="00F6441B" w:rsidP="00A654AE">
      <w:pPr>
        <w:pStyle w:val="ListeParagraf"/>
        <w:numPr>
          <w:ilvl w:val="0"/>
          <w:numId w:val="153"/>
        </w:numPr>
        <w:spacing w:after="120" w:line="276" w:lineRule="auto"/>
        <w:rPr>
          <w:rFonts w:cs="Times New Roman"/>
          <w:szCs w:val="24"/>
        </w:rPr>
      </w:pPr>
      <w:r w:rsidRPr="00F50C10">
        <w:rPr>
          <w:rFonts w:cs="Times New Roman"/>
          <w:szCs w:val="24"/>
        </w:rPr>
        <w:t>CO</w:t>
      </w:r>
      <w:r w:rsidRPr="00F50C10">
        <w:rPr>
          <w:rFonts w:cs="Times New Roman"/>
          <w:szCs w:val="24"/>
          <w:vertAlign w:val="subscript"/>
        </w:rPr>
        <w:t>2</w:t>
      </w:r>
    </w:p>
    <w:p w14:paraId="43F59427" w14:textId="34F7F292" w:rsidR="00D3089E" w:rsidRPr="00C3223B" w:rsidRDefault="00F6441B" w:rsidP="000B206D">
      <w:pPr>
        <w:spacing w:line="276" w:lineRule="auto"/>
        <w:rPr>
          <w:rFonts w:cs="Times New Roman"/>
          <w:bCs/>
          <w:szCs w:val="24"/>
        </w:rPr>
      </w:pPr>
      <w:r w:rsidRPr="00F50C10">
        <w:rPr>
          <w:rFonts w:cs="Times New Roman"/>
          <w:b/>
          <w:bCs/>
          <w:szCs w:val="24"/>
        </w:rPr>
        <w:t xml:space="preserve">MET 3: </w:t>
      </w:r>
      <w:r w:rsidRPr="00F50C10">
        <w:rPr>
          <w:rFonts w:cs="Times New Roman"/>
          <w:szCs w:val="24"/>
        </w:rPr>
        <w:t>Enerji kayıpları aşağıda yer alan yöntemlerle en aza indirilir</w:t>
      </w:r>
      <w:r w:rsidR="00C51AA7" w:rsidRPr="00F50C10">
        <w:rPr>
          <w:rFonts w:cs="Times New Roman"/>
          <w:szCs w:val="24"/>
        </w:rPr>
        <w:t xml:space="preserve">: </w:t>
      </w:r>
      <w:r w:rsidR="00D3089E" w:rsidRPr="00C3223B">
        <w:rPr>
          <w:rFonts w:cs="Times New Roman"/>
          <w:bCs/>
          <w:szCs w:val="24"/>
        </w:rPr>
        <w:t>(</w:t>
      </w:r>
      <w:r w:rsidR="00D3089E" w:rsidRPr="00C3223B">
        <w:rPr>
          <w:bCs/>
          <w:szCs w:val="24"/>
        </w:rPr>
        <w:t>MET Referans Belgesinin 1.4.3 Kısmını inceley</w:t>
      </w:r>
      <w:r w:rsidR="008852F1">
        <w:rPr>
          <w:bCs/>
          <w:szCs w:val="24"/>
        </w:rPr>
        <w:t>i</w:t>
      </w:r>
      <w:r w:rsidR="00D3089E" w:rsidRPr="00C3223B">
        <w:rPr>
          <w:bCs/>
          <w:szCs w:val="24"/>
        </w:rPr>
        <w:t>niz</w:t>
      </w:r>
      <w:r w:rsidR="00D3089E" w:rsidRPr="00C3223B">
        <w:rPr>
          <w:rFonts w:cs="Times New Roman"/>
          <w:bCs/>
          <w:szCs w:val="24"/>
        </w:rPr>
        <w:t>)</w:t>
      </w:r>
    </w:p>
    <w:p w14:paraId="16FEBD1D" w14:textId="77777777" w:rsidR="00773DBB" w:rsidRPr="00F50C10" w:rsidRDefault="00F6441B" w:rsidP="00A654AE">
      <w:pPr>
        <w:pStyle w:val="ListeParagraf"/>
        <w:numPr>
          <w:ilvl w:val="0"/>
          <w:numId w:val="154"/>
        </w:numPr>
        <w:spacing w:after="120" w:line="276" w:lineRule="auto"/>
        <w:rPr>
          <w:rFonts w:cs="Times New Roman"/>
          <w:bCs/>
          <w:szCs w:val="24"/>
        </w:rPr>
      </w:pPr>
      <w:r w:rsidRPr="00F50C10">
        <w:rPr>
          <w:rFonts w:cs="Times New Roman"/>
          <w:szCs w:val="24"/>
        </w:rPr>
        <w:t>genel olarak enerji kullanmadan buhar basıncının azaltılmasından kaçınılması,</w:t>
      </w:r>
    </w:p>
    <w:p w14:paraId="4E1DD58A" w14:textId="4D56D38E" w:rsidR="00F6441B" w:rsidRPr="00F50C10" w:rsidRDefault="000F4DB3" w:rsidP="00A654AE">
      <w:pPr>
        <w:pStyle w:val="ListeParagraf"/>
        <w:numPr>
          <w:ilvl w:val="0"/>
          <w:numId w:val="154"/>
        </w:numPr>
        <w:spacing w:after="120" w:line="276" w:lineRule="auto"/>
        <w:rPr>
          <w:rFonts w:cs="Times New Roman"/>
          <w:bCs/>
          <w:szCs w:val="24"/>
        </w:rPr>
      </w:pPr>
      <w:r w:rsidRPr="00F50C10">
        <w:rPr>
          <w:rFonts w:cs="Times New Roman"/>
          <w:szCs w:val="24"/>
        </w:rPr>
        <w:t>fazla</w:t>
      </w:r>
      <w:r w:rsidR="00F6441B" w:rsidRPr="00F50C10">
        <w:rPr>
          <w:rFonts w:cs="Times New Roman"/>
          <w:szCs w:val="24"/>
        </w:rPr>
        <w:t xml:space="preserve"> buhar üretimini en aza indirmek amacıyla tüm buhar sisteminin düzenlenmesi,</w:t>
      </w:r>
    </w:p>
    <w:p w14:paraId="6995E453" w14:textId="3E38E48E" w:rsidR="00F6441B" w:rsidRPr="00F50C10" w:rsidRDefault="000F4DB3" w:rsidP="00A654AE">
      <w:pPr>
        <w:pStyle w:val="ListeParagraf"/>
        <w:numPr>
          <w:ilvl w:val="0"/>
          <w:numId w:val="154"/>
        </w:numPr>
        <w:spacing w:after="120" w:line="276" w:lineRule="auto"/>
        <w:rPr>
          <w:rFonts w:cs="Times New Roman"/>
          <w:bCs/>
          <w:szCs w:val="24"/>
        </w:rPr>
      </w:pPr>
      <w:r w:rsidRPr="00F50C10">
        <w:rPr>
          <w:rFonts w:cs="Times New Roman"/>
          <w:szCs w:val="24"/>
        </w:rPr>
        <w:t xml:space="preserve">fazla termal enerjinin </w:t>
      </w:r>
      <w:r w:rsidR="00F6441B" w:rsidRPr="00F50C10">
        <w:rPr>
          <w:rFonts w:cs="Times New Roman"/>
          <w:szCs w:val="24"/>
        </w:rPr>
        <w:t>tesis içinde ve</w:t>
      </w:r>
      <w:r w:rsidRPr="00F50C10">
        <w:rPr>
          <w:rFonts w:cs="Times New Roman"/>
          <w:szCs w:val="24"/>
        </w:rPr>
        <w:t>ya</w:t>
      </w:r>
      <w:r w:rsidR="00F6441B" w:rsidRPr="00F50C10">
        <w:rPr>
          <w:rFonts w:cs="Times New Roman"/>
          <w:szCs w:val="24"/>
        </w:rPr>
        <w:t xml:space="preserve"> tesis dışında kullanılması,</w:t>
      </w:r>
    </w:p>
    <w:p w14:paraId="36653226" w14:textId="01B90F6D" w:rsidR="00F6441B" w:rsidRPr="00F50C10" w:rsidRDefault="000F4DB3" w:rsidP="00A654AE">
      <w:pPr>
        <w:pStyle w:val="ListeParagraf"/>
        <w:numPr>
          <w:ilvl w:val="0"/>
          <w:numId w:val="154"/>
        </w:numPr>
        <w:spacing w:after="120" w:line="276" w:lineRule="auto"/>
        <w:rPr>
          <w:rFonts w:cs="Times New Roman"/>
          <w:bCs/>
          <w:szCs w:val="24"/>
        </w:rPr>
      </w:pPr>
      <w:r w:rsidRPr="00F50C10">
        <w:rPr>
          <w:rFonts w:cs="Times New Roman"/>
          <w:szCs w:val="24"/>
        </w:rPr>
        <w:t xml:space="preserve">son seçenek olarak, yerel faktörlerin fazla termal enerjinin tesis içinde ve tesis dışında kullanılmasını engellediği durumlarda </w:t>
      </w:r>
      <w:r w:rsidR="00F6441B" w:rsidRPr="00F50C10">
        <w:rPr>
          <w:rFonts w:cs="Times New Roman"/>
          <w:szCs w:val="24"/>
        </w:rPr>
        <w:t>yalnızca elektrik enerjisi üretmek için buhar kullanılması.</w:t>
      </w:r>
    </w:p>
    <w:p w14:paraId="6341A828" w14:textId="0F34214D" w:rsidR="00F6441B" w:rsidRPr="00F50C10" w:rsidRDefault="00F6441B" w:rsidP="000B206D">
      <w:pPr>
        <w:spacing w:after="120" w:line="276" w:lineRule="auto"/>
        <w:rPr>
          <w:rFonts w:cs="Times New Roman"/>
          <w:b/>
          <w:szCs w:val="24"/>
        </w:rPr>
      </w:pPr>
      <w:r w:rsidRPr="00F50C10">
        <w:rPr>
          <w:rFonts w:cs="Times New Roman"/>
          <w:b/>
          <w:szCs w:val="24"/>
        </w:rPr>
        <w:t xml:space="preserve">MET 4: </w:t>
      </w:r>
      <w:r w:rsidRPr="00F50C10">
        <w:rPr>
          <w:rFonts w:cs="Times New Roman"/>
          <w:bCs/>
          <w:szCs w:val="24"/>
        </w:rPr>
        <w:t>Aşağıda yer alan tekniklerin bir kombinasyonun uygulanması ile çevresel performans artırılır</w:t>
      </w:r>
      <w:r w:rsidR="00C51AA7" w:rsidRPr="00F50C10">
        <w:rPr>
          <w:rFonts w:cs="Times New Roman"/>
          <w:bCs/>
          <w:szCs w:val="24"/>
        </w:rPr>
        <w:t>:</w:t>
      </w:r>
    </w:p>
    <w:p w14:paraId="68DCE3E4" w14:textId="66465FE8" w:rsidR="00F6441B" w:rsidRPr="00F50C10" w:rsidRDefault="000F4DB3" w:rsidP="00A654AE">
      <w:pPr>
        <w:pStyle w:val="ListeParagraf"/>
        <w:numPr>
          <w:ilvl w:val="0"/>
          <w:numId w:val="68"/>
        </w:numPr>
        <w:spacing w:after="120" w:line="276" w:lineRule="auto"/>
        <w:rPr>
          <w:rFonts w:cs="Times New Roman"/>
          <w:szCs w:val="24"/>
        </w:rPr>
      </w:pPr>
      <w:r w:rsidRPr="00F50C10">
        <w:rPr>
          <w:rFonts w:cs="Times New Roman"/>
          <w:szCs w:val="24"/>
        </w:rPr>
        <w:t>kütle</w:t>
      </w:r>
      <w:r w:rsidR="00F6441B" w:rsidRPr="00F50C10">
        <w:rPr>
          <w:rFonts w:cs="Times New Roman"/>
          <w:szCs w:val="24"/>
        </w:rPr>
        <w:t xml:space="preserve"> akışların geri dönüştürülmesi veya yeniden yönlendirilmesi</w:t>
      </w:r>
      <w:r w:rsidR="00773DBB" w:rsidRPr="00F50C10">
        <w:rPr>
          <w:rFonts w:cs="Times New Roman"/>
          <w:szCs w:val="24"/>
        </w:rPr>
        <w:t>,</w:t>
      </w:r>
      <w:r w:rsidR="00F6441B" w:rsidRPr="00F50C10">
        <w:rPr>
          <w:rFonts w:cs="Times New Roman"/>
          <w:szCs w:val="24"/>
        </w:rPr>
        <w:t xml:space="preserve"> </w:t>
      </w:r>
    </w:p>
    <w:p w14:paraId="7D1F881A" w14:textId="2A8AFC53" w:rsidR="00F6441B" w:rsidRPr="00F50C10" w:rsidRDefault="00F6441B" w:rsidP="00A654AE">
      <w:pPr>
        <w:pStyle w:val="ListeParagraf"/>
        <w:numPr>
          <w:ilvl w:val="0"/>
          <w:numId w:val="68"/>
        </w:numPr>
        <w:spacing w:after="120" w:line="276" w:lineRule="auto"/>
        <w:rPr>
          <w:rFonts w:cs="Times New Roman"/>
          <w:szCs w:val="24"/>
        </w:rPr>
      </w:pPr>
      <w:r w:rsidRPr="00F50C10">
        <w:rPr>
          <w:rFonts w:cs="Times New Roman"/>
          <w:szCs w:val="24"/>
        </w:rPr>
        <w:t>ekipmanın etkin bir şekilde paylaşımı</w:t>
      </w:r>
      <w:r w:rsidR="00773DBB" w:rsidRPr="00F50C10">
        <w:rPr>
          <w:rFonts w:cs="Times New Roman"/>
          <w:szCs w:val="24"/>
        </w:rPr>
        <w:t xml:space="preserve">, </w:t>
      </w:r>
    </w:p>
    <w:p w14:paraId="3DB54B53" w14:textId="381728F8" w:rsidR="00F6441B" w:rsidRPr="00F50C10" w:rsidRDefault="00F6441B" w:rsidP="00A654AE">
      <w:pPr>
        <w:pStyle w:val="ListeParagraf"/>
        <w:numPr>
          <w:ilvl w:val="0"/>
          <w:numId w:val="68"/>
        </w:numPr>
        <w:spacing w:after="120" w:line="276" w:lineRule="auto"/>
        <w:rPr>
          <w:rFonts w:cs="Times New Roman"/>
          <w:szCs w:val="24"/>
        </w:rPr>
      </w:pPr>
      <w:r w:rsidRPr="00F50C10">
        <w:rPr>
          <w:rFonts w:cs="Times New Roman"/>
          <w:szCs w:val="24"/>
        </w:rPr>
        <w:t>ısı entegrasyonun artırılması,</w:t>
      </w:r>
    </w:p>
    <w:p w14:paraId="6F178EFC" w14:textId="1A82DE95" w:rsidR="00F6441B" w:rsidRPr="00F50C10" w:rsidRDefault="00F6441B" w:rsidP="00A654AE">
      <w:pPr>
        <w:pStyle w:val="ListeParagraf"/>
        <w:numPr>
          <w:ilvl w:val="0"/>
          <w:numId w:val="68"/>
        </w:numPr>
        <w:spacing w:after="120" w:line="276" w:lineRule="auto"/>
        <w:rPr>
          <w:rFonts w:cs="Times New Roman"/>
          <w:szCs w:val="24"/>
        </w:rPr>
      </w:pPr>
      <w:r w:rsidRPr="00F50C10">
        <w:rPr>
          <w:rFonts w:cs="Times New Roman"/>
          <w:szCs w:val="24"/>
        </w:rPr>
        <w:t>yakma havasının önceden ısıtılması</w:t>
      </w:r>
      <w:r w:rsidR="00773DBB" w:rsidRPr="00F50C10">
        <w:rPr>
          <w:rFonts w:cs="Times New Roman"/>
          <w:szCs w:val="24"/>
        </w:rPr>
        <w:t>,</w:t>
      </w:r>
    </w:p>
    <w:p w14:paraId="75D53F99" w14:textId="6507C542" w:rsidR="00F6441B" w:rsidRPr="00F50C10" w:rsidRDefault="00F6441B" w:rsidP="00A654AE">
      <w:pPr>
        <w:pStyle w:val="ListeParagraf"/>
        <w:numPr>
          <w:ilvl w:val="0"/>
          <w:numId w:val="68"/>
        </w:numPr>
        <w:spacing w:after="120" w:line="276" w:lineRule="auto"/>
        <w:rPr>
          <w:rFonts w:cs="Times New Roman"/>
          <w:szCs w:val="24"/>
        </w:rPr>
      </w:pPr>
      <w:r w:rsidRPr="00F50C10">
        <w:rPr>
          <w:rFonts w:cs="Times New Roman"/>
          <w:szCs w:val="24"/>
        </w:rPr>
        <w:t xml:space="preserve">ısı </w:t>
      </w:r>
      <w:r w:rsidR="009A4731" w:rsidRPr="00F50C10">
        <w:rPr>
          <w:rFonts w:cs="Times New Roman"/>
          <w:szCs w:val="24"/>
        </w:rPr>
        <w:t>eşanjörü</w:t>
      </w:r>
      <w:r w:rsidRPr="00F50C10">
        <w:rPr>
          <w:rFonts w:cs="Times New Roman"/>
          <w:szCs w:val="24"/>
        </w:rPr>
        <w:t xml:space="preserve"> verim</w:t>
      </w:r>
      <w:r w:rsidR="009A4731" w:rsidRPr="00F50C10">
        <w:rPr>
          <w:rFonts w:cs="Times New Roman"/>
          <w:szCs w:val="24"/>
        </w:rPr>
        <w:t>liliğin</w:t>
      </w:r>
      <w:r w:rsidRPr="00F50C10">
        <w:rPr>
          <w:rFonts w:cs="Times New Roman"/>
          <w:szCs w:val="24"/>
        </w:rPr>
        <w:t xml:space="preserve">in </w:t>
      </w:r>
      <w:r w:rsidR="009A4731" w:rsidRPr="00F50C10">
        <w:rPr>
          <w:rFonts w:cs="Times New Roman"/>
          <w:szCs w:val="24"/>
        </w:rPr>
        <w:t>sağlanması</w:t>
      </w:r>
      <w:r w:rsidR="00773DBB" w:rsidRPr="00F50C10">
        <w:rPr>
          <w:rFonts w:cs="Times New Roman"/>
          <w:szCs w:val="24"/>
        </w:rPr>
        <w:t>,</w:t>
      </w:r>
    </w:p>
    <w:p w14:paraId="10F5B9B6" w14:textId="67183D30" w:rsidR="00F6441B" w:rsidRPr="00F50C10" w:rsidRDefault="00F6441B" w:rsidP="00A654AE">
      <w:pPr>
        <w:pStyle w:val="ListeParagraf"/>
        <w:numPr>
          <w:ilvl w:val="0"/>
          <w:numId w:val="68"/>
        </w:numPr>
        <w:spacing w:after="120" w:line="276" w:lineRule="auto"/>
        <w:rPr>
          <w:rFonts w:cs="Times New Roman"/>
          <w:szCs w:val="24"/>
        </w:rPr>
      </w:pPr>
      <w:r w:rsidRPr="00F50C10">
        <w:rPr>
          <w:rFonts w:cs="Times New Roman"/>
          <w:szCs w:val="24"/>
        </w:rPr>
        <w:t>kondensatların, proses ve yıkama sularının geri dönüştürülmesi ile atık su hacimlerinin ve yüklemelerinin azaltılması</w:t>
      </w:r>
      <w:r w:rsidR="00773DBB" w:rsidRPr="00F50C10">
        <w:rPr>
          <w:rFonts w:cs="Times New Roman"/>
          <w:szCs w:val="24"/>
        </w:rPr>
        <w:t>,</w:t>
      </w:r>
    </w:p>
    <w:p w14:paraId="3DE22899" w14:textId="0BD09060" w:rsidR="00F6441B" w:rsidRPr="00F50C10" w:rsidRDefault="00F6441B" w:rsidP="00A654AE">
      <w:pPr>
        <w:pStyle w:val="ListeParagraf"/>
        <w:numPr>
          <w:ilvl w:val="0"/>
          <w:numId w:val="68"/>
        </w:numPr>
        <w:spacing w:after="120" w:line="276" w:lineRule="auto"/>
        <w:rPr>
          <w:rFonts w:cs="Times New Roman"/>
          <w:szCs w:val="24"/>
        </w:rPr>
      </w:pPr>
      <w:r w:rsidRPr="00F50C10">
        <w:rPr>
          <w:rFonts w:cs="Times New Roman"/>
          <w:szCs w:val="24"/>
        </w:rPr>
        <w:t>gelişmiş proses kontrol sistemlerinin uygulanması</w:t>
      </w:r>
      <w:r w:rsidR="00773DBB" w:rsidRPr="00F50C10">
        <w:rPr>
          <w:rFonts w:cs="Times New Roman"/>
          <w:szCs w:val="24"/>
        </w:rPr>
        <w:t>,</w:t>
      </w:r>
    </w:p>
    <w:p w14:paraId="283C593D" w14:textId="29D92149" w:rsidR="00F6441B" w:rsidRPr="00F50C10" w:rsidRDefault="00F6441B" w:rsidP="00A654AE">
      <w:pPr>
        <w:pStyle w:val="ListeParagraf"/>
        <w:numPr>
          <w:ilvl w:val="0"/>
          <w:numId w:val="68"/>
        </w:numPr>
        <w:spacing w:after="120" w:line="276" w:lineRule="auto"/>
        <w:rPr>
          <w:rFonts w:cs="Times New Roman"/>
          <w:szCs w:val="24"/>
        </w:rPr>
      </w:pPr>
      <w:r w:rsidRPr="00F50C10">
        <w:rPr>
          <w:rFonts w:cs="Times New Roman"/>
          <w:szCs w:val="24"/>
        </w:rPr>
        <w:t>bakım.</w:t>
      </w:r>
    </w:p>
    <w:p w14:paraId="2E3842F7" w14:textId="264BC7A7" w:rsidR="00F6441B" w:rsidRPr="00F50C10" w:rsidRDefault="00874B6D" w:rsidP="00A654AE">
      <w:pPr>
        <w:pStyle w:val="Balk2"/>
        <w:numPr>
          <w:ilvl w:val="1"/>
          <w:numId w:val="72"/>
        </w:numPr>
        <w:spacing w:before="0" w:after="120" w:line="276" w:lineRule="auto"/>
        <w:rPr>
          <w:rFonts w:cs="Times New Roman"/>
          <w:szCs w:val="24"/>
        </w:rPr>
      </w:pPr>
      <w:r w:rsidRPr="00F50C10">
        <w:rPr>
          <w:rFonts w:cs="Times New Roman"/>
          <w:szCs w:val="24"/>
        </w:rPr>
        <w:t>Çevre Yönetimi için</w:t>
      </w:r>
      <w:r w:rsidR="00F6441B" w:rsidRPr="00F50C10">
        <w:rPr>
          <w:rFonts w:cs="Times New Roman"/>
          <w:szCs w:val="24"/>
        </w:rPr>
        <w:t xml:space="preserve"> MET</w:t>
      </w:r>
    </w:p>
    <w:p w14:paraId="3F6DD459" w14:textId="4A3C38DB" w:rsidR="00F6441B" w:rsidRPr="00F50C10" w:rsidRDefault="00F6441B" w:rsidP="000B206D">
      <w:pPr>
        <w:spacing w:after="120" w:line="276" w:lineRule="auto"/>
        <w:rPr>
          <w:rFonts w:cs="Times New Roman"/>
          <w:b/>
          <w:bCs/>
          <w:szCs w:val="24"/>
        </w:rPr>
      </w:pPr>
      <w:r w:rsidRPr="00F50C10">
        <w:rPr>
          <w:rFonts w:cs="Times New Roman"/>
          <w:b/>
          <w:bCs/>
          <w:szCs w:val="24"/>
        </w:rPr>
        <w:t xml:space="preserve">MET 5: </w:t>
      </w:r>
      <w:r w:rsidRPr="00F50C10">
        <w:rPr>
          <w:rFonts w:cs="Times New Roman"/>
          <w:szCs w:val="24"/>
        </w:rPr>
        <w:t>Aşağıda verilen özellikleri kapsayan, mevcut koşullara uygun bir Çevre Yönetim Sistemi (ÇYS) uygulan</w:t>
      </w:r>
      <w:r w:rsidR="00A40D09" w:rsidRPr="00F50C10">
        <w:rPr>
          <w:rFonts w:cs="Times New Roman"/>
          <w:szCs w:val="24"/>
        </w:rPr>
        <w:t>ır</w:t>
      </w:r>
      <w:r w:rsidRPr="00F50C10">
        <w:rPr>
          <w:rFonts w:cs="Times New Roman"/>
          <w:szCs w:val="24"/>
        </w:rPr>
        <w:t xml:space="preserve"> ve buna bağlı kalınır:</w:t>
      </w:r>
    </w:p>
    <w:p w14:paraId="1C7066DD" w14:textId="77777777" w:rsidR="009A4731" w:rsidRPr="00F50C10" w:rsidRDefault="00F6441B" w:rsidP="00A654AE">
      <w:pPr>
        <w:pStyle w:val="ListeParagraf"/>
        <w:widowControl w:val="0"/>
        <w:numPr>
          <w:ilvl w:val="0"/>
          <w:numId w:val="142"/>
        </w:numPr>
        <w:autoSpaceDE w:val="0"/>
        <w:autoSpaceDN w:val="0"/>
        <w:spacing w:after="120" w:line="276" w:lineRule="auto"/>
        <w:rPr>
          <w:rFonts w:cs="Times New Roman"/>
          <w:szCs w:val="24"/>
        </w:rPr>
      </w:pPr>
      <w:r w:rsidRPr="00F50C10">
        <w:rPr>
          <w:rFonts w:cs="Times New Roman"/>
          <w:szCs w:val="24"/>
          <w:lang w:bidi="tr-TR"/>
        </w:rPr>
        <w:t>üst yönetim tarafından uygulanmak üzere bir çevre politikasının tanımlanması (üst yönetimin taahhüdü, ÇYS’nin diğer özelliklerinin de başarılı bir şekilde yerine getirilebilmesi için bir ön koşul olarak görülmektedir),</w:t>
      </w:r>
    </w:p>
    <w:p w14:paraId="20808CA2" w14:textId="77777777" w:rsidR="009A4731" w:rsidRPr="00F50C10" w:rsidRDefault="00F6441B" w:rsidP="00A654AE">
      <w:pPr>
        <w:pStyle w:val="ListeParagraf"/>
        <w:widowControl w:val="0"/>
        <w:numPr>
          <w:ilvl w:val="0"/>
          <w:numId w:val="142"/>
        </w:numPr>
        <w:autoSpaceDE w:val="0"/>
        <w:autoSpaceDN w:val="0"/>
        <w:spacing w:after="120" w:line="276" w:lineRule="auto"/>
        <w:rPr>
          <w:rFonts w:cs="Times New Roman"/>
          <w:szCs w:val="24"/>
        </w:rPr>
      </w:pPr>
      <w:r w:rsidRPr="00F50C10">
        <w:rPr>
          <w:rFonts w:cs="Times New Roman"/>
          <w:szCs w:val="24"/>
          <w:lang w:bidi="tr-TR"/>
        </w:rPr>
        <w:t>gerekli prosedürlerin planlanması ve belirlenmesi,</w:t>
      </w:r>
    </w:p>
    <w:p w14:paraId="5B4108E2" w14:textId="672C1077" w:rsidR="00F6441B" w:rsidRPr="00F50C10" w:rsidRDefault="00F6441B" w:rsidP="00A654AE">
      <w:pPr>
        <w:pStyle w:val="ListeParagraf"/>
        <w:widowControl w:val="0"/>
        <w:numPr>
          <w:ilvl w:val="0"/>
          <w:numId w:val="142"/>
        </w:numPr>
        <w:autoSpaceDE w:val="0"/>
        <w:autoSpaceDN w:val="0"/>
        <w:spacing w:after="120" w:line="276" w:lineRule="auto"/>
        <w:rPr>
          <w:rFonts w:cs="Times New Roman"/>
          <w:szCs w:val="24"/>
        </w:rPr>
      </w:pPr>
      <w:r w:rsidRPr="00F50C10">
        <w:rPr>
          <w:rFonts w:cs="Times New Roman"/>
          <w:szCs w:val="24"/>
          <w:lang w:bidi="tr-TR"/>
        </w:rPr>
        <w:t>prosedürlerin uygulanmasında özellikle:</w:t>
      </w:r>
    </w:p>
    <w:p w14:paraId="68FE9DC4" w14:textId="575CAF85" w:rsidR="00F6441B" w:rsidRPr="00F50C10" w:rsidRDefault="00F6441B" w:rsidP="00A654AE">
      <w:pPr>
        <w:pStyle w:val="ListeParagraf"/>
        <w:widowControl w:val="0"/>
        <w:numPr>
          <w:ilvl w:val="1"/>
          <w:numId w:val="67"/>
        </w:numPr>
        <w:autoSpaceDE w:val="0"/>
        <w:autoSpaceDN w:val="0"/>
        <w:spacing w:after="120" w:line="276" w:lineRule="auto"/>
        <w:rPr>
          <w:rFonts w:cs="Times New Roman"/>
          <w:szCs w:val="24"/>
        </w:rPr>
      </w:pPr>
      <w:r w:rsidRPr="00F50C10">
        <w:rPr>
          <w:rFonts w:cs="Times New Roman"/>
          <w:szCs w:val="24"/>
          <w:lang w:bidi="tr-TR"/>
        </w:rPr>
        <w:t>yapı ve sorumluluk,</w:t>
      </w:r>
    </w:p>
    <w:p w14:paraId="0AF755FA" w14:textId="77777777" w:rsidR="00F6441B" w:rsidRPr="00F50C10" w:rsidRDefault="00F6441B" w:rsidP="00A654AE">
      <w:pPr>
        <w:pStyle w:val="ListeParagraf"/>
        <w:widowControl w:val="0"/>
        <w:numPr>
          <w:ilvl w:val="1"/>
          <w:numId w:val="67"/>
        </w:numPr>
        <w:autoSpaceDE w:val="0"/>
        <w:autoSpaceDN w:val="0"/>
        <w:spacing w:after="120" w:line="276" w:lineRule="auto"/>
        <w:contextualSpacing w:val="0"/>
        <w:rPr>
          <w:rFonts w:cs="Times New Roman"/>
          <w:szCs w:val="24"/>
        </w:rPr>
      </w:pPr>
      <w:r w:rsidRPr="00F50C10">
        <w:rPr>
          <w:rFonts w:cs="Times New Roman"/>
          <w:szCs w:val="24"/>
          <w:lang w:bidi="tr-TR"/>
        </w:rPr>
        <w:t>eğitim, farkındalık ve yetkinlik,</w:t>
      </w:r>
    </w:p>
    <w:p w14:paraId="4DAA0F44" w14:textId="77777777" w:rsidR="00F6441B" w:rsidRPr="00F50C10" w:rsidRDefault="00F6441B" w:rsidP="00A654AE">
      <w:pPr>
        <w:pStyle w:val="ListeParagraf"/>
        <w:widowControl w:val="0"/>
        <w:numPr>
          <w:ilvl w:val="1"/>
          <w:numId w:val="67"/>
        </w:numPr>
        <w:autoSpaceDE w:val="0"/>
        <w:autoSpaceDN w:val="0"/>
        <w:spacing w:after="120" w:line="276" w:lineRule="auto"/>
        <w:contextualSpacing w:val="0"/>
        <w:rPr>
          <w:rFonts w:cs="Times New Roman"/>
          <w:szCs w:val="24"/>
        </w:rPr>
      </w:pPr>
      <w:r w:rsidRPr="00F50C10">
        <w:rPr>
          <w:rFonts w:cs="Times New Roman"/>
          <w:szCs w:val="24"/>
          <w:lang w:bidi="tr-TR"/>
        </w:rPr>
        <w:t>iletişim,</w:t>
      </w:r>
    </w:p>
    <w:p w14:paraId="10188D6E" w14:textId="77777777" w:rsidR="00F6441B" w:rsidRPr="00F50C10" w:rsidRDefault="00F6441B" w:rsidP="00A654AE">
      <w:pPr>
        <w:pStyle w:val="ListeParagraf"/>
        <w:widowControl w:val="0"/>
        <w:numPr>
          <w:ilvl w:val="1"/>
          <w:numId w:val="67"/>
        </w:numPr>
        <w:autoSpaceDE w:val="0"/>
        <w:autoSpaceDN w:val="0"/>
        <w:spacing w:after="120" w:line="276" w:lineRule="auto"/>
        <w:contextualSpacing w:val="0"/>
        <w:rPr>
          <w:rFonts w:cs="Times New Roman"/>
          <w:szCs w:val="24"/>
        </w:rPr>
      </w:pPr>
      <w:r w:rsidRPr="00F50C10">
        <w:rPr>
          <w:rFonts w:cs="Times New Roman"/>
          <w:szCs w:val="24"/>
          <w:lang w:bidi="tr-TR"/>
        </w:rPr>
        <w:t>çalışan katılımı,</w:t>
      </w:r>
    </w:p>
    <w:p w14:paraId="18F673C1" w14:textId="77777777" w:rsidR="00F6441B" w:rsidRPr="00F50C10" w:rsidRDefault="00F6441B" w:rsidP="00A654AE">
      <w:pPr>
        <w:pStyle w:val="ListeParagraf"/>
        <w:widowControl w:val="0"/>
        <w:numPr>
          <w:ilvl w:val="1"/>
          <w:numId w:val="67"/>
        </w:numPr>
        <w:autoSpaceDE w:val="0"/>
        <w:autoSpaceDN w:val="0"/>
        <w:spacing w:after="120" w:line="276" w:lineRule="auto"/>
        <w:contextualSpacing w:val="0"/>
        <w:rPr>
          <w:rFonts w:cs="Times New Roman"/>
          <w:szCs w:val="24"/>
        </w:rPr>
      </w:pPr>
      <w:r w:rsidRPr="00F50C10">
        <w:rPr>
          <w:rFonts w:cs="Times New Roman"/>
          <w:szCs w:val="24"/>
          <w:lang w:bidi="tr-TR"/>
        </w:rPr>
        <w:t>belgeleme,</w:t>
      </w:r>
    </w:p>
    <w:p w14:paraId="41C36ED5" w14:textId="77777777" w:rsidR="00F6441B" w:rsidRPr="00F50C10" w:rsidRDefault="00F6441B" w:rsidP="00A654AE">
      <w:pPr>
        <w:pStyle w:val="ListeParagraf"/>
        <w:widowControl w:val="0"/>
        <w:numPr>
          <w:ilvl w:val="1"/>
          <w:numId w:val="67"/>
        </w:numPr>
        <w:autoSpaceDE w:val="0"/>
        <w:autoSpaceDN w:val="0"/>
        <w:spacing w:after="120" w:line="276" w:lineRule="auto"/>
        <w:contextualSpacing w:val="0"/>
        <w:rPr>
          <w:rFonts w:cs="Times New Roman"/>
          <w:szCs w:val="24"/>
        </w:rPr>
      </w:pPr>
      <w:r w:rsidRPr="00F50C10">
        <w:rPr>
          <w:rFonts w:cs="Times New Roman"/>
          <w:szCs w:val="24"/>
          <w:lang w:bidi="tr-TR"/>
        </w:rPr>
        <w:t>verimli proses kontrolü,</w:t>
      </w:r>
    </w:p>
    <w:p w14:paraId="017FB24E" w14:textId="77777777" w:rsidR="00F6441B" w:rsidRPr="00F50C10" w:rsidRDefault="00F6441B" w:rsidP="00A654AE">
      <w:pPr>
        <w:pStyle w:val="ListeParagraf"/>
        <w:widowControl w:val="0"/>
        <w:numPr>
          <w:ilvl w:val="1"/>
          <w:numId w:val="67"/>
        </w:numPr>
        <w:autoSpaceDE w:val="0"/>
        <w:autoSpaceDN w:val="0"/>
        <w:spacing w:after="120" w:line="276" w:lineRule="auto"/>
        <w:contextualSpacing w:val="0"/>
        <w:rPr>
          <w:rFonts w:cs="Times New Roman"/>
          <w:szCs w:val="24"/>
        </w:rPr>
      </w:pPr>
      <w:r w:rsidRPr="00F50C10">
        <w:rPr>
          <w:rFonts w:cs="Times New Roman"/>
          <w:szCs w:val="24"/>
          <w:lang w:bidi="tr-TR"/>
        </w:rPr>
        <w:t>bakım programı,</w:t>
      </w:r>
    </w:p>
    <w:p w14:paraId="1AE81468" w14:textId="77777777" w:rsidR="00F6441B" w:rsidRPr="00F50C10" w:rsidRDefault="00F6441B" w:rsidP="00A654AE">
      <w:pPr>
        <w:pStyle w:val="ListeParagraf"/>
        <w:widowControl w:val="0"/>
        <w:numPr>
          <w:ilvl w:val="1"/>
          <w:numId w:val="67"/>
        </w:numPr>
        <w:autoSpaceDE w:val="0"/>
        <w:autoSpaceDN w:val="0"/>
        <w:spacing w:after="120" w:line="276" w:lineRule="auto"/>
        <w:contextualSpacing w:val="0"/>
        <w:rPr>
          <w:rFonts w:cs="Times New Roman"/>
          <w:szCs w:val="24"/>
        </w:rPr>
      </w:pPr>
      <w:r w:rsidRPr="00F50C10">
        <w:rPr>
          <w:rFonts w:cs="Times New Roman"/>
          <w:szCs w:val="24"/>
          <w:lang w:bidi="tr-TR"/>
        </w:rPr>
        <w:t>acil duruma hazırlık ve müdahale,</w:t>
      </w:r>
    </w:p>
    <w:p w14:paraId="5463AADB" w14:textId="77777777" w:rsidR="00F6441B" w:rsidRPr="00F50C10" w:rsidRDefault="00F6441B" w:rsidP="00A654AE">
      <w:pPr>
        <w:pStyle w:val="ListeParagraf"/>
        <w:widowControl w:val="0"/>
        <w:numPr>
          <w:ilvl w:val="1"/>
          <w:numId w:val="67"/>
        </w:numPr>
        <w:autoSpaceDE w:val="0"/>
        <w:autoSpaceDN w:val="0"/>
        <w:spacing w:after="120" w:line="276" w:lineRule="auto"/>
        <w:contextualSpacing w:val="0"/>
        <w:rPr>
          <w:rFonts w:cs="Times New Roman"/>
          <w:szCs w:val="24"/>
        </w:rPr>
      </w:pPr>
      <w:r w:rsidRPr="00F50C10">
        <w:rPr>
          <w:rFonts w:cs="Times New Roman"/>
          <w:szCs w:val="24"/>
          <w:lang w:bidi="tr-TR"/>
        </w:rPr>
        <w:t>çevre mevzuatına uyumun gözetilmesi hususlarına dikkat edilmesi.</w:t>
      </w:r>
    </w:p>
    <w:p w14:paraId="51CF949C" w14:textId="77777777" w:rsidR="000039B0" w:rsidRPr="00F50C10" w:rsidRDefault="00F6441B" w:rsidP="00A654AE">
      <w:pPr>
        <w:pStyle w:val="ListeParagraf"/>
        <w:widowControl w:val="0"/>
        <w:numPr>
          <w:ilvl w:val="0"/>
          <w:numId w:val="142"/>
        </w:numPr>
        <w:autoSpaceDE w:val="0"/>
        <w:autoSpaceDN w:val="0"/>
        <w:spacing w:after="120" w:line="276" w:lineRule="auto"/>
        <w:rPr>
          <w:rFonts w:cs="Times New Roman"/>
          <w:szCs w:val="24"/>
        </w:rPr>
      </w:pPr>
      <w:r w:rsidRPr="00F50C10">
        <w:rPr>
          <w:rFonts w:cs="Times New Roman"/>
          <w:szCs w:val="24"/>
          <w:lang w:bidi="tr-TR"/>
        </w:rPr>
        <w:t>performansın kontrolü ve düzeltici eylemlerin gerçekleştirilmesinde özellikle</w:t>
      </w:r>
      <w:r w:rsidR="000039B0" w:rsidRPr="00F50C10">
        <w:rPr>
          <w:rFonts w:cs="Times New Roman"/>
          <w:szCs w:val="24"/>
          <w:lang w:bidi="tr-TR"/>
        </w:rPr>
        <w:t>:</w:t>
      </w:r>
    </w:p>
    <w:p w14:paraId="6DE4CEB1" w14:textId="4C94FA5C" w:rsidR="00F6441B" w:rsidRPr="00F50C10" w:rsidRDefault="00F6441B" w:rsidP="00A654AE">
      <w:pPr>
        <w:pStyle w:val="ListeParagraf"/>
        <w:widowControl w:val="0"/>
        <w:numPr>
          <w:ilvl w:val="1"/>
          <w:numId w:val="142"/>
        </w:numPr>
        <w:autoSpaceDE w:val="0"/>
        <w:autoSpaceDN w:val="0"/>
        <w:spacing w:after="120" w:line="276" w:lineRule="auto"/>
        <w:rPr>
          <w:rFonts w:cs="Times New Roman"/>
          <w:szCs w:val="24"/>
        </w:rPr>
      </w:pPr>
      <w:r w:rsidRPr="00F50C10">
        <w:rPr>
          <w:rFonts w:cs="Times New Roman"/>
          <w:szCs w:val="24"/>
          <w:lang w:bidi="tr-TR"/>
        </w:rPr>
        <w:t>izleme ve ölçüm (ayrıca bkz. Emisyonların İzlenmesi konulu Referans Belgesi),</w:t>
      </w:r>
    </w:p>
    <w:p w14:paraId="7DDA3C21" w14:textId="77777777" w:rsidR="00F6441B" w:rsidRPr="00F50C10" w:rsidRDefault="00F6441B" w:rsidP="00A654AE">
      <w:pPr>
        <w:pStyle w:val="ListeParagraf"/>
        <w:widowControl w:val="0"/>
        <w:numPr>
          <w:ilvl w:val="1"/>
          <w:numId w:val="142"/>
        </w:numPr>
        <w:autoSpaceDE w:val="0"/>
        <w:autoSpaceDN w:val="0"/>
        <w:spacing w:after="120" w:line="276" w:lineRule="auto"/>
        <w:contextualSpacing w:val="0"/>
        <w:rPr>
          <w:rFonts w:cs="Times New Roman"/>
          <w:szCs w:val="24"/>
        </w:rPr>
      </w:pPr>
      <w:r w:rsidRPr="00F50C10">
        <w:rPr>
          <w:rFonts w:cs="Times New Roman"/>
          <w:szCs w:val="24"/>
          <w:lang w:bidi="tr-TR"/>
        </w:rPr>
        <w:t>düzeltici ve önleyici eylemler,</w:t>
      </w:r>
    </w:p>
    <w:p w14:paraId="3841CA7B" w14:textId="77777777" w:rsidR="00F6441B" w:rsidRPr="00F50C10" w:rsidRDefault="00F6441B" w:rsidP="00A654AE">
      <w:pPr>
        <w:pStyle w:val="ListeParagraf"/>
        <w:widowControl w:val="0"/>
        <w:numPr>
          <w:ilvl w:val="1"/>
          <w:numId w:val="142"/>
        </w:numPr>
        <w:autoSpaceDE w:val="0"/>
        <w:autoSpaceDN w:val="0"/>
        <w:spacing w:after="120" w:line="276" w:lineRule="auto"/>
        <w:contextualSpacing w:val="0"/>
        <w:rPr>
          <w:rFonts w:cs="Times New Roman"/>
          <w:szCs w:val="24"/>
        </w:rPr>
      </w:pPr>
      <w:r w:rsidRPr="00F50C10">
        <w:rPr>
          <w:rFonts w:cs="Times New Roman"/>
          <w:szCs w:val="24"/>
          <w:lang w:bidi="tr-TR"/>
        </w:rPr>
        <w:t>kayıtların korunması,</w:t>
      </w:r>
    </w:p>
    <w:p w14:paraId="4F019A56" w14:textId="77777777" w:rsidR="00F6441B" w:rsidRPr="00F50C10" w:rsidRDefault="00F6441B" w:rsidP="00A654AE">
      <w:pPr>
        <w:pStyle w:val="ListeParagraf"/>
        <w:widowControl w:val="0"/>
        <w:numPr>
          <w:ilvl w:val="1"/>
          <w:numId w:val="142"/>
        </w:numPr>
        <w:autoSpaceDE w:val="0"/>
        <w:autoSpaceDN w:val="0"/>
        <w:spacing w:after="120" w:line="276" w:lineRule="auto"/>
        <w:contextualSpacing w:val="0"/>
        <w:rPr>
          <w:rFonts w:cs="Times New Roman"/>
          <w:szCs w:val="24"/>
        </w:rPr>
      </w:pPr>
      <w:r w:rsidRPr="00F50C10">
        <w:rPr>
          <w:rFonts w:cs="Times New Roman"/>
          <w:szCs w:val="24"/>
          <w:lang w:bidi="tr-TR"/>
        </w:rPr>
        <w:t>çevre yönetim sisteminin planlanan düzenlemelerle uyumlu olup olmadığını belirlemek ve doğru şekilde uygulandığından ve sürdürüldüğünden emin olmak için, bağımsız (uygulanabilir olduğunda) iç denetim gerçekleştirilmesi hususlarına dikkat edilmesi.</w:t>
      </w:r>
    </w:p>
    <w:p w14:paraId="0B8AC44A" w14:textId="4A01CAB7" w:rsidR="00F6441B" w:rsidRPr="00F50C10" w:rsidRDefault="00F6441B" w:rsidP="00A654AE">
      <w:pPr>
        <w:pStyle w:val="ListeParagraf"/>
        <w:widowControl w:val="0"/>
        <w:numPr>
          <w:ilvl w:val="0"/>
          <w:numId w:val="142"/>
        </w:numPr>
        <w:autoSpaceDE w:val="0"/>
        <w:autoSpaceDN w:val="0"/>
        <w:spacing w:after="120" w:line="276" w:lineRule="auto"/>
        <w:contextualSpacing w:val="0"/>
        <w:rPr>
          <w:rFonts w:cs="Times New Roman"/>
          <w:szCs w:val="24"/>
        </w:rPr>
      </w:pPr>
      <w:r w:rsidRPr="00F50C10">
        <w:rPr>
          <w:rFonts w:cs="Times New Roman"/>
          <w:szCs w:val="24"/>
          <w:lang w:bidi="tr-TR"/>
        </w:rPr>
        <w:t xml:space="preserve">üst yönetim tarafından </w:t>
      </w:r>
      <w:r w:rsidR="000039B0" w:rsidRPr="00F50C10">
        <w:rPr>
          <w:rFonts w:cs="Times New Roman"/>
          <w:szCs w:val="24"/>
          <w:lang w:bidi="tr-TR"/>
        </w:rPr>
        <w:t>yapılan inceleme</w:t>
      </w:r>
      <w:r w:rsidRPr="00F50C10">
        <w:rPr>
          <w:rFonts w:cs="Times New Roman"/>
          <w:szCs w:val="24"/>
          <w:lang w:bidi="tr-TR"/>
        </w:rPr>
        <w:t>.</w:t>
      </w:r>
    </w:p>
    <w:p w14:paraId="659905B3" w14:textId="41CABA01" w:rsidR="00F6441B" w:rsidRPr="00F50C10" w:rsidRDefault="00F6441B" w:rsidP="000B206D">
      <w:pPr>
        <w:pStyle w:val="GvdeMetni"/>
        <w:spacing w:after="120" w:line="276" w:lineRule="auto"/>
        <w:ind w:left="212"/>
        <w:rPr>
          <w:sz w:val="24"/>
          <w:szCs w:val="24"/>
          <w:lang w:bidi="tr-TR"/>
        </w:rPr>
      </w:pPr>
      <w:r w:rsidRPr="00F50C10">
        <w:rPr>
          <w:sz w:val="24"/>
          <w:szCs w:val="24"/>
          <w:lang w:bidi="tr-TR"/>
        </w:rPr>
        <w:t>Yukarıdakileri tamamlayıcı olabilecek üç ilave özellik, destekleyici tedbirler olarak değerlendirilir. Ancak bunların eksikliği, genel olarak MET’e aykırı değildir. Bu üç ilave adım şunlardır:</w:t>
      </w:r>
    </w:p>
    <w:p w14:paraId="3A7C946C" w14:textId="145A7D55" w:rsidR="00F6441B" w:rsidRPr="00F50C10" w:rsidRDefault="00F6441B" w:rsidP="000B206D">
      <w:pPr>
        <w:pStyle w:val="GvdeMetni"/>
        <w:numPr>
          <w:ilvl w:val="1"/>
          <w:numId w:val="20"/>
        </w:numPr>
        <w:spacing w:after="120" w:line="276" w:lineRule="auto"/>
        <w:jc w:val="both"/>
        <w:rPr>
          <w:sz w:val="24"/>
          <w:szCs w:val="24"/>
        </w:rPr>
      </w:pPr>
      <w:r w:rsidRPr="00F50C10">
        <w:rPr>
          <w:sz w:val="24"/>
          <w:szCs w:val="24"/>
          <w:lang w:bidi="tr-TR"/>
        </w:rPr>
        <w:t>akredite bir sertifikasyon kurumu veya dışarıdan bir ÇYS doğrulayıcısı tarafından incelenmiş ve doğrulanmış yönetim sistemi ve denetim prosedürlerine sahip olmak,</w:t>
      </w:r>
    </w:p>
    <w:p w14:paraId="5856B864" w14:textId="50A17C87" w:rsidR="00F6441B" w:rsidRPr="00F50C10" w:rsidRDefault="00F6441B" w:rsidP="000B206D">
      <w:pPr>
        <w:pStyle w:val="GvdeMetni"/>
        <w:numPr>
          <w:ilvl w:val="1"/>
          <w:numId w:val="20"/>
        </w:numPr>
        <w:spacing w:after="120" w:line="276" w:lineRule="auto"/>
        <w:jc w:val="both"/>
        <w:rPr>
          <w:sz w:val="24"/>
          <w:szCs w:val="24"/>
        </w:rPr>
      </w:pPr>
      <w:r w:rsidRPr="00F50C10">
        <w:rPr>
          <w:sz w:val="24"/>
          <w:szCs w:val="24"/>
          <w:lang w:bidi="tr-TR"/>
        </w:rPr>
        <w:t>tesisin önemli çevresel özelliklerinin tamamının açıklandığı ve çevresel amaç ve hedefler ile ve uygun olduğunda sektördeki referanslarla yıllık olarak karşılaştırma yapılmasını mümkün kılan, düzenli bir çevre bildirisi hazırlamak ve yayımlamak (ve mümkünse dışarıdan doğrulama),</w:t>
      </w:r>
    </w:p>
    <w:p w14:paraId="43A56DF8" w14:textId="7511AD57" w:rsidR="00F6441B" w:rsidRPr="00F50C10" w:rsidRDefault="00F6441B" w:rsidP="000B206D">
      <w:pPr>
        <w:pStyle w:val="GvdeMetni"/>
        <w:numPr>
          <w:ilvl w:val="1"/>
          <w:numId w:val="20"/>
        </w:numPr>
        <w:spacing w:after="120" w:line="276" w:lineRule="auto"/>
        <w:jc w:val="both"/>
        <w:rPr>
          <w:sz w:val="24"/>
          <w:szCs w:val="24"/>
        </w:rPr>
      </w:pPr>
      <w:r w:rsidRPr="00F50C10">
        <w:rPr>
          <w:sz w:val="24"/>
          <w:szCs w:val="24"/>
          <w:lang w:bidi="tr-TR"/>
        </w:rPr>
        <w:t>Çevre Yönetimi ve Denetleme Planı (EMAS) ya da EN ISO gibi uluslararası olarak kabul edilen bir sistemi uygulamak ve buna sadık kalmak. Bu gönüllü adım, ÇYS’nin itibarını artırabilir. Özellikle yukarıdaki özelliklerin tamamının yer aldığı EMAS, yüksek güvenilirlik sağlar. Fakat standardize olmayan sistemlerde, doğru bir şekilde tasarlanmaları ve uygulanmaları halinde eşit derecede etkili olabilirler.</w:t>
      </w:r>
    </w:p>
    <w:p w14:paraId="3C789D02" w14:textId="68AB3297" w:rsidR="00F6441B" w:rsidRPr="00F50C10" w:rsidRDefault="00F6441B" w:rsidP="00A654AE">
      <w:pPr>
        <w:pStyle w:val="Balk1"/>
        <w:numPr>
          <w:ilvl w:val="0"/>
          <w:numId w:val="72"/>
        </w:numPr>
        <w:spacing w:after="120" w:line="276" w:lineRule="auto"/>
        <w:rPr>
          <w:rFonts w:cs="Times New Roman"/>
          <w:szCs w:val="24"/>
        </w:rPr>
      </w:pPr>
      <w:r w:rsidRPr="00F50C10">
        <w:rPr>
          <w:rFonts w:cs="Times New Roman"/>
          <w:szCs w:val="24"/>
        </w:rPr>
        <w:t xml:space="preserve">BÜYÜK HACİMLİ İNORGANİK KİMYASALLARIN – AMONYAK, ASİT, GÜBRE – ÜRETİMİ İÇİN </w:t>
      </w:r>
      <w:r w:rsidR="00F05BC9" w:rsidRPr="00F50C10">
        <w:rPr>
          <w:rFonts w:cs="Times New Roman"/>
          <w:szCs w:val="24"/>
        </w:rPr>
        <w:t>MET</w:t>
      </w:r>
    </w:p>
    <w:p w14:paraId="7A2C2E5D" w14:textId="1BCB8EB8" w:rsidR="00F6441B" w:rsidRPr="00F50C10" w:rsidRDefault="00F6441B" w:rsidP="000B206D">
      <w:pPr>
        <w:spacing w:after="120" w:line="276" w:lineRule="auto"/>
        <w:rPr>
          <w:rFonts w:cs="Times New Roman"/>
          <w:szCs w:val="24"/>
        </w:rPr>
      </w:pPr>
      <w:r w:rsidRPr="00F50C10">
        <w:rPr>
          <w:rFonts w:cs="Times New Roman"/>
          <w:szCs w:val="24"/>
        </w:rPr>
        <w:t xml:space="preserve">Aksi belirtilmedikçe, bu bölümde sunulan </w:t>
      </w:r>
      <w:r w:rsidR="00F05BC9" w:rsidRPr="00F50C10">
        <w:rPr>
          <w:rFonts w:cs="Times New Roman"/>
          <w:szCs w:val="24"/>
        </w:rPr>
        <w:t>MET</w:t>
      </w:r>
      <w:r w:rsidRPr="00F50C10">
        <w:rPr>
          <w:rFonts w:cs="Times New Roman"/>
          <w:szCs w:val="24"/>
        </w:rPr>
        <w:t xml:space="preserve"> büyük hacimli inorganik kimyasalların – amonyak, asit, gübre – üretimi sektöründe aşağıda belirtilen ürün gruplarına uygulanabilir.</w:t>
      </w:r>
    </w:p>
    <w:p w14:paraId="0BFBA16C" w14:textId="77777777" w:rsidR="00F6441B" w:rsidRPr="00F50C10" w:rsidRDefault="00F6441B" w:rsidP="00A654AE">
      <w:pPr>
        <w:pStyle w:val="Balk2"/>
        <w:numPr>
          <w:ilvl w:val="1"/>
          <w:numId w:val="72"/>
        </w:numPr>
        <w:spacing w:before="0" w:after="120" w:line="276" w:lineRule="auto"/>
        <w:rPr>
          <w:rFonts w:cs="Times New Roman"/>
          <w:szCs w:val="24"/>
        </w:rPr>
      </w:pPr>
      <w:r w:rsidRPr="00F50C10">
        <w:rPr>
          <w:rFonts w:cs="Times New Roman"/>
          <w:szCs w:val="24"/>
        </w:rPr>
        <w:t>Amonyak</w:t>
      </w:r>
      <w:r w:rsidRPr="00F50C10">
        <w:rPr>
          <w:rFonts w:cs="Times New Roman"/>
          <w:spacing w:val="-9"/>
          <w:szCs w:val="24"/>
        </w:rPr>
        <w:t xml:space="preserve"> </w:t>
      </w:r>
      <w:r w:rsidRPr="00F50C10">
        <w:rPr>
          <w:rFonts w:cs="Times New Roman"/>
          <w:szCs w:val="24"/>
        </w:rPr>
        <w:t>için</w:t>
      </w:r>
      <w:r w:rsidRPr="00F50C10">
        <w:rPr>
          <w:rFonts w:cs="Times New Roman"/>
          <w:spacing w:val="-7"/>
          <w:szCs w:val="24"/>
        </w:rPr>
        <w:t xml:space="preserve"> </w:t>
      </w:r>
      <w:r w:rsidRPr="00F50C10">
        <w:rPr>
          <w:rFonts w:cs="Times New Roman"/>
          <w:spacing w:val="-5"/>
          <w:szCs w:val="24"/>
        </w:rPr>
        <w:t>MET</w:t>
      </w:r>
    </w:p>
    <w:p w14:paraId="4F6C549F" w14:textId="4209C495" w:rsidR="00F6441B" w:rsidRPr="00F50C10" w:rsidRDefault="00F6441B" w:rsidP="000B206D">
      <w:pPr>
        <w:spacing w:after="120" w:line="276" w:lineRule="auto"/>
        <w:rPr>
          <w:rFonts w:cs="Times New Roman"/>
          <w:b/>
          <w:bCs/>
          <w:szCs w:val="24"/>
        </w:rPr>
      </w:pPr>
      <w:r w:rsidRPr="00F50C10">
        <w:rPr>
          <w:rFonts w:cs="Times New Roman"/>
          <w:b/>
          <w:bCs/>
          <w:szCs w:val="24"/>
        </w:rPr>
        <w:t xml:space="preserve">MET 6:  </w:t>
      </w:r>
      <w:r w:rsidR="00A40D09" w:rsidRPr="00F50C10">
        <w:rPr>
          <w:rFonts w:cs="Times New Roman"/>
          <w:szCs w:val="24"/>
        </w:rPr>
        <w:t>Genel</w:t>
      </w:r>
      <w:r w:rsidRPr="00F50C10">
        <w:rPr>
          <w:rFonts w:cs="Times New Roman"/>
          <w:spacing w:val="-7"/>
          <w:szCs w:val="24"/>
        </w:rPr>
        <w:t xml:space="preserve"> </w:t>
      </w:r>
      <w:r w:rsidRPr="00F50C10">
        <w:rPr>
          <w:rFonts w:cs="Times New Roman"/>
          <w:szCs w:val="24"/>
        </w:rPr>
        <w:t>MET</w:t>
      </w:r>
      <w:r w:rsidRPr="00F50C10">
        <w:rPr>
          <w:rFonts w:cs="Times New Roman"/>
          <w:spacing w:val="-4"/>
          <w:szCs w:val="24"/>
        </w:rPr>
        <w:t xml:space="preserve"> </w:t>
      </w:r>
      <w:r w:rsidR="00A40D09" w:rsidRPr="00F50C10">
        <w:rPr>
          <w:rFonts w:cs="Times New Roman"/>
          <w:szCs w:val="24"/>
        </w:rPr>
        <w:t>uygulanır</w:t>
      </w:r>
      <w:r w:rsidRPr="00F50C10">
        <w:rPr>
          <w:rFonts w:cs="Times New Roman"/>
          <w:szCs w:val="24"/>
        </w:rPr>
        <w:t>.</w:t>
      </w:r>
      <w:r w:rsidRPr="00F50C10">
        <w:rPr>
          <w:rFonts w:cs="Times New Roman"/>
          <w:b/>
          <w:bCs/>
          <w:szCs w:val="24"/>
        </w:rPr>
        <w:t xml:space="preserve"> </w:t>
      </w:r>
    </w:p>
    <w:p w14:paraId="09F72DEF" w14:textId="6A0DBB0B" w:rsidR="00F6441B" w:rsidRPr="00F50C10" w:rsidRDefault="00F6441B" w:rsidP="000B206D">
      <w:pPr>
        <w:spacing w:after="120" w:line="276" w:lineRule="auto"/>
        <w:rPr>
          <w:rFonts w:cs="Times New Roman"/>
          <w:b/>
          <w:bCs/>
          <w:szCs w:val="24"/>
        </w:rPr>
      </w:pPr>
      <w:r w:rsidRPr="00F50C10">
        <w:rPr>
          <w:rFonts w:cs="Times New Roman"/>
          <w:b/>
          <w:bCs/>
          <w:szCs w:val="24"/>
        </w:rPr>
        <w:t xml:space="preserve">MET 7: </w:t>
      </w:r>
      <w:r w:rsidRPr="00F50C10">
        <w:rPr>
          <w:rFonts w:cs="Times New Roman"/>
          <w:szCs w:val="24"/>
        </w:rPr>
        <w:t>Depolama için Depolama</w:t>
      </w:r>
      <w:r w:rsidR="0018049B" w:rsidRPr="00F50C10">
        <w:rPr>
          <w:rFonts w:cs="Times New Roman"/>
          <w:szCs w:val="24"/>
        </w:rPr>
        <w:t>dan K</w:t>
      </w:r>
      <w:r w:rsidRPr="00F50C10">
        <w:rPr>
          <w:rFonts w:cs="Times New Roman"/>
          <w:szCs w:val="24"/>
        </w:rPr>
        <w:t xml:space="preserve">aynaklanan </w:t>
      </w:r>
      <w:r w:rsidR="0018049B" w:rsidRPr="00F50C10">
        <w:rPr>
          <w:rFonts w:cs="Times New Roman"/>
          <w:szCs w:val="24"/>
        </w:rPr>
        <w:t>E</w:t>
      </w:r>
      <w:r w:rsidRPr="00F50C10">
        <w:rPr>
          <w:rFonts w:cs="Times New Roman"/>
          <w:szCs w:val="24"/>
        </w:rPr>
        <w:t xml:space="preserve">misyonlara ilişkin MET Referans Belgesi’nde yer alan </w:t>
      </w:r>
      <w:r w:rsidR="00F05BC9" w:rsidRPr="00F50C10">
        <w:rPr>
          <w:rFonts w:cs="Times New Roman"/>
          <w:szCs w:val="24"/>
        </w:rPr>
        <w:t>MET</w:t>
      </w:r>
      <w:r w:rsidRPr="00F50C10">
        <w:rPr>
          <w:rFonts w:cs="Times New Roman"/>
          <w:szCs w:val="24"/>
        </w:rPr>
        <w:t xml:space="preserve"> </w:t>
      </w:r>
      <w:r w:rsidR="00A40D09" w:rsidRPr="00F50C10">
        <w:rPr>
          <w:rFonts w:cs="Times New Roman"/>
          <w:szCs w:val="24"/>
        </w:rPr>
        <w:t>uygulanır</w:t>
      </w:r>
      <w:r w:rsidRPr="00F50C10">
        <w:rPr>
          <w:rFonts w:cs="Times New Roman"/>
          <w:szCs w:val="24"/>
        </w:rPr>
        <w:t>.</w:t>
      </w:r>
    </w:p>
    <w:p w14:paraId="6AA9D8F4" w14:textId="34A3B785" w:rsidR="00F6441B" w:rsidRPr="00F50C10" w:rsidRDefault="00F6441B" w:rsidP="000B206D">
      <w:pPr>
        <w:spacing w:after="120" w:line="276" w:lineRule="auto"/>
        <w:rPr>
          <w:rFonts w:cs="Times New Roman"/>
          <w:b/>
          <w:bCs/>
          <w:szCs w:val="24"/>
        </w:rPr>
      </w:pPr>
      <w:r w:rsidRPr="00F50C10">
        <w:rPr>
          <w:rFonts w:cs="Times New Roman"/>
          <w:b/>
          <w:bCs/>
          <w:szCs w:val="24"/>
        </w:rPr>
        <w:t xml:space="preserve">MET 8: </w:t>
      </w:r>
      <w:r w:rsidRPr="00F50C10">
        <w:rPr>
          <w:rFonts w:cs="Times New Roman"/>
          <w:szCs w:val="24"/>
        </w:rPr>
        <w:t>Yeni</w:t>
      </w:r>
      <w:r w:rsidRPr="00F50C10">
        <w:rPr>
          <w:rFonts w:cs="Times New Roman"/>
          <w:spacing w:val="-7"/>
          <w:szCs w:val="24"/>
        </w:rPr>
        <w:t xml:space="preserve"> </w:t>
      </w:r>
      <w:r w:rsidRPr="00F50C10">
        <w:rPr>
          <w:rFonts w:cs="Times New Roman"/>
          <w:szCs w:val="24"/>
        </w:rPr>
        <w:t>tesisler</w:t>
      </w:r>
      <w:r w:rsidRPr="00F50C10">
        <w:rPr>
          <w:rFonts w:cs="Times New Roman"/>
          <w:spacing w:val="-4"/>
          <w:szCs w:val="24"/>
        </w:rPr>
        <w:t xml:space="preserve"> </w:t>
      </w:r>
      <w:r w:rsidRPr="00F50C10">
        <w:rPr>
          <w:rFonts w:cs="Times New Roman"/>
          <w:szCs w:val="24"/>
        </w:rPr>
        <w:t>için</w:t>
      </w:r>
      <w:r w:rsidRPr="00F50C10">
        <w:rPr>
          <w:rFonts w:cs="Times New Roman"/>
          <w:spacing w:val="-6"/>
          <w:szCs w:val="24"/>
        </w:rPr>
        <w:t xml:space="preserve"> </w:t>
      </w:r>
      <w:r w:rsidRPr="00F50C10">
        <w:rPr>
          <w:rFonts w:cs="Times New Roman"/>
          <w:szCs w:val="24"/>
        </w:rPr>
        <w:t>aşağıda</w:t>
      </w:r>
      <w:r w:rsidRPr="00F50C10">
        <w:rPr>
          <w:rFonts w:cs="Times New Roman"/>
          <w:spacing w:val="-3"/>
          <w:szCs w:val="24"/>
        </w:rPr>
        <w:t xml:space="preserve"> </w:t>
      </w:r>
      <w:r w:rsidRPr="00F50C10">
        <w:rPr>
          <w:rFonts w:cs="Times New Roman"/>
          <w:szCs w:val="24"/>
        </w:rPr>
        <w:t>yer</w:t>
      </w:r>
      <w:r w:rsidRPr="00F50C10">
        <w:rPr>
          <w:rFonts w:cs="Times New Roman"/>
          <w:spacing w:val="-4"/>
          <w:szCs w:val="24"/>
        </w:rPr>
        <w:t xml:space="preserve"> </w:t>
      </w:r>
      <w:r w:rsidRPr="00F50C10">
        <w:rPr>
          <w:rFonts w:cs="Times New Roman"/>
          <w:szCs w:val="24"/>
        </w:rPr>
        <w:t>alan</w:t>
      </w:r>
      <w:r w:rsidRPr="00F50C10">
        <w:rPr>
          <w:rFonts w:cs="Times New Roman"/>
          <w:spacing w:val="-6"/>
          <w:szCs w:val="24"/>
        </w:rPr>
        <w:t xml:space="preserve"> </w:t>
      </w:r>
      <w:r w:rsidRPr="00F50C10">
        <w:rPr>
          <w:rFonts w:cs="Times New Roman"/>
          <w:szCs w:val="24"/>
        </w:rPr>
        <w:t>tesis konseptleri uygulan</w:t>
      </w:r>
      <w:r w:rsidR="00A40D09" w:rsidRPr="00F50C10">
        <w:rPr>
          <w:rFonts w:cs="Times New Roman"/>
          <w:szCs w:val="24"/>
        </w:rPr>
        <w:t>ır</w:t>
      </w:r>
      <w:r w:rsidRPr="00F50C10">
        <w:rPr>
          <w:rFonts w:cs="Times New Roman"/>
          <w:spacing w:val="-2"/>
          <w:szCs w:val="24"/>
        </w:rPr>
        <w:t>:</w:t>
      </w:r>
    </w:p>
    <w:p w14:paraId="54540FB8" w14:textId="77777777" w:rsidR="00A40D09" w:rsidRPr="00F50C10" w:rsidRDefault="00F6441B" w:rsidP="00A654AE">
      <w:pPr>
        <w:pStyle w:val="ListeParagraf"/>
        <w:numPr>
          <w:ilvl w:val="0"/>
          <w:numId w:val="69"/>
        </w:numPr>
        <w:spacing w:after="120" w:line="276" w:lineRule="auto"/>
        <w:rPr>
          <w:rFonts w:cs="Times New Roman"/>
          <w:szCs w:val="24"/>
        </w:rPr>
      </w:pPr>
      <w:r w:rsidRPr="00F50C10">
        <w:rPr>
          <w:rFonts w:cs="Times New Roman"/>
          <w:szCs w:val="24"/>
        </w:rPr>
        <w:t xml:space="preserve">konvansiyonel dönüştürme </w:t>
      </w:r>
    </w:p>
    <w:p w14:paraId="235B9162" w14:textId="77777777" w:rsidR="00A40D09" w:rsidRPr="00F50C10" w:rsidRDefault="00F6441B" w:rsidP="00A654AE">
      <w:pPr>
        <w:pStyle w:val="ListeParagraf"/>
        <w:numPr>
          <w:ilvl w:val="0"/>
          <w:numId w:val="69"/>
        </w:numPr>
        <w:spacing w:after="120" w:line="276" w:lineRule="auto"/>
        <w:rPr>
          <w:rFonts w:cs="Times New Roman"/>
          <w:szCs w:val="24"/>
        </w:rPr>
      </w:pPr>
      <w:r w:rsidRPr="00F50C10">
        <w:rPr>
          <w:rFonts w:cs="Times New Roman"/>
          <w:szCs w:val="24"/>
        </w:rPr>
        <w:t>İndirgenmiş</w:t>
      </w:r>
      <w:r w:rsidRPr="00F50C10">
        <w:rPr>
          <w:rFonts w:cs="Times New Roman"/>
          <w:spacing w:val="-8"/>
          <w:szCs w:val="24"/>
        </w:rPr>
        <w:t xml:space="preserve"> </w:t>
      </w:r>
      <w:r w:rsidRPr="00F50C10">
        <w:rPr>
          <w:rFonts w:cs="Times New Roman"/>
          <w:szCs w:val="24"/>
        </w:rPr>
        <w:t>birincil</w:t>
      </w:r>
      <w:r w:rsidRPr="00F50C10">
        <w:rPr>
          <w:rFonts w:cs="Times New Roman"/>
          <w:spacing w:val="-7"/>
          <w:szCs w:val="24"/>
        </w:rPr>
        <w:t xml:space="preserve"> </w:t>
      </w:r>
      <w:r w:rsidRPr="00F50C10">
        <w:rPr>
          <w:rFonts w:cs="Times New Roman"/>
          <w:szCs w:val="24"/>
        </w:rPr>
        <w:t>dönüştürme</w:t>
      </w:r>
      <w:r w:rsidRPr="00F50C10">
        <w:rPr>
          <w:rFonts w:cs="Times New Roman"/>
          <w:spacing w:val="-7"/>
          <w:szCs w:val="24"/>
        </w:rPr>
        <w:t xml:space="preserve"> </w:t>
      </w:r>
    </w:p>
    <w:p w14:paraId="638F8A57" w14:textId="00E9C5F2" w:rsidR="00F6441B" w:rsidRPr="00F50C10" w:rsidRDefault="00F6441B" w:rsidP="00A654AE">
      <w:pPr>
        <w:pStyle w:val="ListeParagraf"/>
        <w:numPr>
          <w:ilvl w:val="0"/>
          <w:numId w:val="69"/>
        </w:numPr>
        <w:spacing w:after="120" w:line="276" w:lineRule="auto"/>
        <w:rPr>
          <w:rFonts w:cs="Times New Roman"/>
          <w:szCs w:val="24"/>
        </w:rPr>
      </w:pPr>
      <w:r w:rsidRPr="00F50C10">
        <w:rPr>
          <w:rFonts w:cs="Times New Roman"/>
          <w:szCs w:val="24"/>
        </w:rPr>
        <w:t>Isı değişimi oto-termal dönüştürme.</w:t>
      </w:r>
    </w:p>
    <w:p w14:paraId="14BB2A2A" w14:textId="7B1AE35B" w:rsidR="00F6441B" w:rsidRPr="00F50C10" w:rsidRDefault="00F6441B" w:rsidP="000B206D">
      <w:pPr>
        <w:spacing w:after="120" w:line="276" w:lineRule="auto"/>
        <w:rPr>
          <w:rFonts w:cs="Times New Roman"/>
          <w:b/>
          <w:bCs/>
          <w:szCs w:val="24"/>
        </w:rPr>
      </w:pPr>
      <w:r w:rsidRPr="00F50C10">
        <w:rPr>
          <w:rFonts w:cs="Times New Roman"/>
          <w:b/>
          <w:bCs/>
          <w:szCs w:val="24"/>
        </w:rPr>
        <w:t>MET 9:</w:t>
      </w:r>
      <w:r w:rsidRPr="00F50C10">
        <w:rPr>
          <w:rFonts w:cs="Times New Roman"/>
          <w:b/>
          <w:bCs/>
          <w:spacing w:val="-4"/>
          <w:szCs w:val="24"/>
        </w:rPr>
        <w:t xml:space="preserve"> </w:t>
      </w:r>
      <w:r w:rsidRPr="00F50C10">
        <w:rPr>
          <w:rFonts w:cs="Times New Roman"/>
          <w:szCs w:val="24"/>
        </w:rPr>
        <w:t>NO</w:t>
      </w:r>
      <w:r w:rsidRPr="00F50C10">
        <w:rPr>
          <w:rFonts w:cs="Times New Roman"/>
          <w:szCs w:val="24"/>
          <w:vertAlign w:val="subscript"/>
        </w:rPr>
        <w:t>x</w:t>
      </w:r>
      <w:r w:rsidRPr="00F50C10">
        <w:rPr>
          <w:rFonts w:cs="Times New Roman"/>
          <w:spacing w:val="-4"/>
          <w:szCs w:val="24"/>
        </w:rPr>
        <w:t xml:space="preserve"> </w:t>
      </w:r>
      <w:r w:rsidRPr="00F50C10">
        <w:rPr>
          <w:rFonts w:cs="Times New Roman"/>
          <w:szCs w:val="24"/>
        </w:rPr>
        <w:t>konsantrasyon</w:t>
      </w:r>
      <w:r w:rsidR="0018049B" w:rsidRPr="00F50C10">
        <w:rPr>
          <w:rFonts w:cs="Times New Roman"/>
          <w:szCs w:val="24"/>
        </w:rPr>
        <w:t>u emisyon</w:t>
      </w:r>
      <w:r w:rsidRPr="00F50C10">
        <w:rPr>
          <w:rFonts w:cs="Times New Roman"/>
          <w:spacing w:val="-4"/>
          <w:szCs w:val="24"/>
        </w:rPr>
        <w:t xml:space="preserve"> </w:t>
      </w:r>
      <w:r w:rsidRPr="00F50C10">
        <w:rPr>
          <w:rFonts w:cs="Times New Roman"/>
          <w:szCs w:val="24"/>
        </w:rPr>
        <w:t>seviyelerine</w:t>
      </w:r>
      <w:r w:rsidRPr="00F50C10">
        <w:rPr>
          <w:rFonts w:cs="Times New Roman"/>
          <w:spacing w:val="-3"/>
          <w:szCs w:val="24"/>
        </w:rPr>
        <w:t xml:space="preserve"> </w:t>
      </w:r>
      <w:r w:rsidRPr="00F50C10">
        <w:rPr>
          <w:rFonts w:cs="Times New Roman"/>
          <w:szCs w:val="24"/>
        </w:rPr>
        <w:t>ulaşmak</w:t>
      </w:r>
      <w:r w:rsidRPr="00F50C10">
        <w:rPr>
          <w:rFonts w:cs="Times New Roman"/>
          <w:spacing w:val="-4"/>
          <w:szCs w:val="24"/>
        </w:rPr>
        <w:t xml:space="preserve"> </w:t>
      </w:r>
      <w:r w:rsidRPr="00F50C10">
        <w:rPr>
          <w:rFonts w:cs="Times New Roman"/>
          <w:szCs w:val="24"/>
        </w:rPr>
        <w:t>için</w:t>
      </w:r>
      <w:r w:rsidRPr="00F50C10">
        <w:rPr>
          <w:rFonts w:cs="Times New Roman"/>
          <w:spacing w:val="-4"/>
          <w:szCs w:val="24"/>
        </w:rPr>
        <w:t xml:space="preserve"> </w:t>
      </w:r>
      <w:r w:rsidRPr="00F50C10">
        <w:rPr>
          <w:rFonts w:cs="Times New Roman"/>
          <w:szCs w:val="24"/>
        </w:rPr>
        <w:t>aşağıda yer</w:t>
      </w:r>
      <w:r w:rsidRPr="00F50C10">
        <w:rPr>
          <w:rFonts w:cs="Times New Roman"/>
          <w:spacing w:val="-2"/>
          <w:szCs w:val="24"/>
        </w:rPr>
        <w:t xml:space="preserve"> </w:t>
      </w:r>
      <w:r w:rsidRPr="00F50C10">
        <w:rPr>
          <w:rFonts w:cs="Times New Roman"/>
          <w:szCs w:val="24"/>
        </w:rPr>
        <w:t>alan</w:t>
      </w:r>
      <w:r w:rsidRPr="00F50C10">
        <w:rPr>
          <w:rFonts w:cs="Times New Roman"/>
          <w:spacing w:val="-1"/>
          <w:szCs w:val="24"/>
        </w:rPr>
        <w:t xml:space="preserve"> </w:t>
      </w:r>
      <w:r w:rsidRPr="00F50C10">
        <w:rPr>
          <w:rFonts w:cs="Times New Roman"/>
          <w:szCs w:val="24"/>
        </w:rPr>
        <w:t>tekniklerin</w:t>
      </w:r>
      <w:r w:rsidRPr="00F50C10">
        <w:rPr>
          <w:rFonts w:cs="Times New Roman"/>
          <w:spacing w:val="-4"/>
          <w:szCs w:val="24"/>
        </w:rPr>
        <w:t xml:space="preserve"> </w:t>
      </w:r>
      <w:r w:rsidRPr="00F50C10">
        <w:rPr>
          <w:rFonts w:cs="Times New Roman"/>
          <w:szCs w:val="24"/>
        </w:rPr>
        <w:t>biri</w:t>
      </w:r>
      <w:r w:rsidRPr="00F50C10">
        <w:rPr>
          <w:rFonts w:cs="Times New Roman"/>
          <w:spacing w:val="-1"/>
          <w:szCs w:val="24"/>
        </w:rPr>
        <w:t xml:space="preserve"> </w:t>
      </w:r>
      <w:r w:rsidR="0018049B" w:rsidRPr="00F50C10">
        <w:rPr>
          <w:rFonts w:cs="Times New Roman"/>
          <w:szCs w:val="24"/>
        </w:rPr>
        <w:t>veya bir</w:t>
      </w:r>
      <w:r w:rsidRPr="00F50C10">
        <w:rPr>
          <w:rFonts w:cs="Times New Roman"/>
          <w:szCs w:val="24"/>
        </w:rPr>
        <w:t xml:space="preserve"> kombinasyonu </w:t>
      </w:r>
      <w:r w:rsidR="0018049B" w:rsidRPr="00F50C10">
        <w:rPr>
          <w:rFonts w:cs="Times New Roman"/>
          <w:szCs w:val="24"/>
        </w:rPr>
        <w:t>uygulanır</w:t>
      </w:r>
      <w:r w:rsidRPr="00F50C10">
        <w:rPr>
          <w:rFonts w:cs="Times New Roman"/>
          <w:szCs w:val="24"/>
        </w:rPr>
        <w:t>:</w:t>
      </w:r>
    </w:p>
    <w:p w14:paraId="6311663B" w14:textId="2D8BCC3D" w:rsidR="00A40D09" w:rsidRPr="00F50C10" w:rsidRDefault="00F6441B" w:rsidP="00A654AE">
      <w:pPr>
        <w:pStyle w:val="ListeParagraf"/>
        <w:numPr>
          <w:ilvl w:val="0"/>
          <w:numId w:val="70"/>
        </w:numPr>
        <w:spacing w:after="120" w:line="276" w:lineRule="auto"/>
        <w:rPr>
          <w:rFonts w:cs="Times New Roman"/>
          <w:szCs w:val="24"/>
        </w:rPr>
      </w:pPr>
      <w:r w:rsidRPr="00F50C10">
        <w:rPr>
          <w:rFonts w:cs="Times New Roman"/>
          <w:szCs w:val="24"/>
        </w:rPr>
        <w:t xml:space="preserve">fırın gerekli sıcaklık/tutma </w:t>
      </w:r>
      <w:r w:rsidR="0018049B" w:rsidRPr="00F50C10">
        <w:rPr>
          <w:rFonts w:cs="Times New Roman"/>
          <w:szCs w:val="24"/>
        </w:rPr>
        <w:t>süresi aralığına</w:t>
      </w:r>
      <w:r w:rsidRPr="00F50C10">
        <w:rPr>
          <w:rFonts w:cs="Times New Roman"/>
          <w:szCs w:val="24"/>
        </w:rPr>
        <w:t xml:space="preserve"> izin veriyorsa, birincil dönüştürücüde seçici katalitik olmayan indirgeme (SNCR) uygulanması</w:t>
      </w:r>
      <w:r w:rsidR="00A40D09" w:rsidRPr="00F50C10">
        <w:rPr>
          <w:rFonts w:cs="Times New Roman"/>
          <w:szCs w:val="24"/>
        </w:rPr>
        <w:t>,</w:t>
      </w:r>
      <w:r w:rsidRPr="00F50C10">
        <w:rPr>
          <w:rFonts w:cs="Times New Roman"/>
          <w:szCs w:val="24"/>
        </w:rPr>
        <w:t xml:space="preserve"> </w:t>
      </w:r>
    </w:p>
    <w:p w14:paraId="0C85ABCF" w14:textId="1FD22BAF" w:rsidR="00F6441B" w:rsidRPr="00F50C10" w:rsidRDefault="00F6441B" w:rsidP="00A654AE">
      <w:pPr>
        <w:pStyle w:val="ListeParagraf"/>
        <w:numPr>
          <w:ilvl w:val="0"/>
          <w:numId w:val="70"/>
        </w:numPr>
        <w:spacing w:after="120" w:line="276" w:lineRule="auto"/>
        <w:rPr>
          <w:rFonts w:cs="Times New Roman"/>
          <w:szCs w:val="24"/>
        </w:rPr>
      </w:pPr>
      <w:r w:rsidRPr="00F50C10">
        <w:rPr>
          <w:rFonts w:cs="Times New Roman"/>
          <w:szCs w:val="24"/>
        </w:rPr>
        <w:t>düşük ısılı NO</w:t>
      </w:r>
      <w:r w:rsidRPr="00F50C10">
        <w:rPr>
          <w:rFonts w:cs="Times New Roman"/>
          <w:szCs w:val="24"/>
          <w:vertAlign w:val="subscript"/>
        </w:rPr>
        <w:t>x</w:t>
      </w:r>
      <w:r w:rsidRPr="00F50C10">
        <w:rPr>
          <w:rFonts w:cs="Times New Roman"/>
          <w:szCs w:val="24"/>
        </w:rPr>
        <w:t xml:space="preserve"> </w:t>
      </w:r>
      <w:r w:rsidR="0001582D" w:rsidRPr="00F50C10">
        <w:rPr>
          <w:rFonts w:cs="Times New Roman"/>
          <w:szCs w:val="24"/>
        </w:rPr>
        <w:t>brülörleri</w:t>
      </w:r>
      <w:r w:rsidR="00A40D09" w:rsidRPr="00F50C10">
        <w:rPr>
          <w:rFonts w:cs="Times New Roman"/>
          <w:szCs w:val="24"/>
        </w:rPr>
        <w:t>,</w:t>
      </w:r>
    </w:p>
    <w:p w14:paraId="7F1CEA41" w14:textId="490553D8" w:rsidR="00F6441B" w:rsidRPr="00F50C10" w:rsidRDefault="00F6441B" w:rsidP="00A654AE">
      <w:pPr>
        <w:pStyle w:val="ListeParagraf"/>
        <w:numPr>
          <w:ilvl w:val="0"/>
          <w:numId w:val="70"/>
        </w:numPr>
        <w:spacing w:after="120" w:line="276" w:lineRule="auto"/>
        <w:rPr>
          <w:rFonts w:cs="Times New Roman"/>
          <w:szCs w:val="24"/>
        </w:rPr>
      </w:pPr>
      <w:r w:rsidRPr="00F50C10">
        <w:rPr>
          <w:rFonts w:cs="Times New Roman"/>
          <w:szCs w:val="24"/>
        </w:rPr>
        <w:t>tasfiye ve flaş gazlarından amonyağın giderilmesi</w:t>
      </w:r>
      <w:r w:rsidR="00A40D09" w:rsidRPr="00F50C10">
        <w:rPr>
          <w:rFonts w:cs="Times New Roman"/>
          <w:szCs w:val="24"/>
        </w:rPr>
        <w:t>,</w:t>
      </w:r>
    </w:p>
    <w:p w14:paraId="1353B973" w14:textId="00AB003F" w:rsidR="00F6441B" w:rsidRPr="00F50C10" w:rsidRDefault="00F6441B" w:rsidP="00A654AE">
      <w:pPr>
        <w:pStyle w:val="ListeParagraf"/>
        <w:numPr>
          <w:ilvl w:val="0"/>
          <w:numId w:val="70"/>
        </w:numPr>
        <w:spacing w:after="120" w:line="276" w:lineRule="auto"/>
        <w:rPr>
          <w:rFonts w:cs="Times New Roman"/>
          <w:szCs w:val="24"/>
        </w:rPr>
      </w:pPr>
      <w:r w:rsidRPr="00F50C10">
        <w:rPr>
          <w:rFonts w:cs="Times New Roman"/>
          <w:szCs w:val="24"/>
        </w:rPr>
        <w:t>oto-termal ısı değişimi</w:t>
      </w:r>
      <w:r w:rsidR="0001582D" w:rsidRPr="00F50C10">
        <w:rPr>
          <w:rFonts w:cs="Times New Roman"/>
          <w:szCs w:val="24"/>
        </w:rPr>
        <w:t xml:space="preserve"> dönüştürme</w:t>
      </w:r>
      <w:r w:rsidRPr="00F50C10">
        <w:rPr>
          <w:rFonts w:cs="Times New Roman"/>
          <w:szCs w:val="24"/>
        </w:rPr>
        <w:t xml:space="preserve"> için düşük sıcaklıkta kükürt giderme</w:t>
      </w:r>
      <w:r w:rsidR="003847F7" w:rsidRPr="00F50C10">
        <w:rPr>
          <w:rFonts w:cs="Times New Roman"/>
          <w:szCs w:val="24"/>
        </w:rPr>
        <w:t>.</w:t>
      </w:r>
    </w:p>
    <w:p w14:paraId="0DFE31BE" w14:textId="771B5FE4" w:rsidR="00F6441B" w:rsidRPr="00F50C10" w:rsidRDefault="00F45525" w:rsidP="000B206D">
      <w:pPr>
        <w:pStyle w:val="ResimYazs"/>
        <w:keepNext/>
        <w:spacing w:after="120" w:line="276" w:lineRule="auto"/>
        <w:rPr>
          <w:rFonts w:cs="Times New Roman"/>
          <w:szCs w:val="24"/>
          <w:lang w:val="tr-TR"/>
        </w:rPr>
      </w:pPr>
      <w:r w:rsidRPr="00F50C10">
        <w:rPr>
          <w:rFonts w:cs="Times New Roman"/>
          <w:szCs w:val="24"/>
          <w:lang w:bidi="tr-TR"/>
        </w:rPr>
        <w:t xml:space="preserve">Tablo 1. </w:t>
      </w:r>
      <w:r w:rsidR="00F6441B" w:rsidRPr="00F50C10">
        <w:rPr>
          <w:rFonts w:cs="Times New Roman"/>
          <w:szCs w:val="24"/>
          <w:lang w:bidi="tr-TR"/>
        </w:rPr>
        <w:t xml:space="preserve">MET </w:t>
      </w:r>
      <w:r w:rsidR="00F6441B" w:rsidRPr="00F50C10">
        <w:rPr>
          <w:rFonts w:cs="Times New Roman"/>
          <w:szCs w:val="24"/>
          <w:lang w:val="tr-TR" w:bidi="tr-TR"/>
        </w:rPr>
        <w:t xml:space="preserve">ile ilişkili </w:t>
      </w:r>
      <w:r w:rsidR="00F6441B" w:rsidRPr="00F50C10">
        <w:rPr>
          <w:rFonts w:cs="Times New Roman"/>
          <w:szCs w:val="24"/>
          <w:lang w:val="tr-TR"/>
        </w:rPr>
        <w:t>NO</w:t>
      </w:r>
      <w:r w:rsidR="00F6441B" w:rsidRPr="00F50C10">
        <w:rPr>
          <w:rFonts w:cs="Times New Roman"/>
          <w:szCs w:val="24"/>
          <w:vertAlign w:val="subscript"/>
          <w:lang w:val="tr-TR"/>
        </w:rPr>
        <w:t>x</w:t>
      </w:r>
      <w:r w:rsidR="00F6441B" w:rsidRPr="00F50C10">
        <w:rPr>
          <w:rFonts w:cs="Times New Roman"/>
          <w:szCs w:val="24"/>
          <w:lang w:val="tr-TR" w:bidi="tr-TR"/>
        </w:rPr>
        <w:t xml:space="preserve"> emisyon seviyeleri</w:t>
      </w:r>
    </w:p>
    <w:tbl>
      <w:tblPr>
        <w:tblStyle w:val="TabloKlavuzu"/>
        <w:tblW w:w="5000" w:type="pct"/>
        <w:tblLook w:val="04A0" w:firstRow="1" w:lastRow="0" w:firstColumn="1" w:lastColumn="0" w:noHBand="0" w:noVBand="1"/>
      </w:tblPr>
      <w:tblGrid>
        <w:gridCol w:w="5519"/>
        <w:gridCol w:w="3791"/>
      </w:tblGrid>
      <w:tr w:rsidR="00F6441B" w:rsidRPr="00F50C10" w14:paraId="67B21D71" w14:textId="77777777" w:rsidTr="00116C54">
        <w:trPr>
          <w:trHeight w:val="20"/>
        </w:trPr>
        <w:tc>
          <w:tcPr>
            <w:tcW w:w="2964" w:type="pct"/>
            <w:vMerge w:val="restart"/>
            <w:vAlign w:val="center"/>
          </w:tcPr>
          <w:p w14:paraId="6BC70C01" w14:textId="77777777" w:rsidR="00F6441B" w:rsidRPr="00F50C10" w:rsidRDefault="00F6441B" w:rsidP="000B206D">
            <w:pPr>
              <w:pStyle w:val="ListeParagraf"/>
              <w:spacing w:line="276" w:lineRule="auto"/>
              <w:ind w:left="72" w:right="72"/>
              <w:jc w:val="center"/>
              <w:rPr>
                <w:rFonts w:cs="Times New Roman"/>
                <w:b/>
                <w:bCs/>
                <w:szCs w:val="24"/>
              </w:rPr>
            </w:pPr>
            <w:r w:rsidRPr="00F50C10">
              <w:rPr>
                <w:rFonts w:cs="Times New Roman"/>
                <w:b/>
                <w:bCs/>
                <w:szCs w:val="24"/>
              </w:rPr>
              <w:t>Tesis işlemleri</w:t>
            </w:r>
          </w:p>
        </w:tc>
        <w:tc>
          <w:tcPr>
            <w:tcW w:w="2036" w:type="pct"/>
            <w:vAlign w:val="center"/>
          </w:tcPr>
          <w:p w14:paraId="4E24753A" w14:textId="77777777" w:rsidR="00F6441B" w:rsidRPr="00F50C10" w:rsidRDefault="00F6441B" w:rsidP="000B206D">
            <w:pPr>
              <w:spacing w:line="276" w:lineRule="auto"/>
              <w:ind w:left="72" w:right="72"/>
              <w:jc w:val="center"/>
              <w:rPr>
                <w:rFonts w:cs="Times New Roman"/>
                <w:b/>
                <w:bCs/>
                <w:szCs w:val="24"/>
              </w:rPr>
            </w:pPr>
            <w:r w:rsidRPr="00F50C10">
              <w:rPr>
                <w:rFonts w:cs="Times New Roman"/>
                <w:b/>
                <w:bCs/>
                <w:szCs w:val="24"/>
              </w:rPr>
              <w:t>NO</w:t>
            </w:r>
            <w:r w:rsidRPr="00F50C10">
              <w:rPr>
                <w:rFonts w:cs="Times New Roman"/>
                <w:b/>
                <w:bCs/>
                <w:szCs w:val="24"/>
                <w:vertAlign w:val="subscript"/>
              </w:rPr>
              <w:t>2</w:t>
            </w:r>
            <w:r w:rsidRPr="00F50C10">
              <w:rPr>
                <w:rFonts w:cs="Times New Roman"/>
                <w:b/>
                <w:bCs/>
                <w:szCs w:val="24"/>
              </w:rPr>
              <w:t xml:space="preserve"> olarak NO</w:t>
            </w:r>
            <w:r w:rsidRPr="00F50C10">
              <w:rPr>
                <w:rFonts w:cs="Times New Roman"/>
                <w:b/>
                <w:bCs/>
                <w:szCs w:val="24"/>
                <w:vertAlign w:val="subscript"/>
              </w:rPr>
              <w:t>x</w:t>
            </w:r>
          </w:p>
        </w:tc>
      </w:tr>
      <w:tr w:rsidR="00F6441B" w:rsidRPr="00F50C10" w14:paraId="36C1CE99" w14:textId="77777777" w:rsidTr="00116C54">
        <w:trPr>
          <w:trHeight w:val="20"/>
        </w:trPr>
        <w:tc>
          <w:tcPr>
            <w:tcW w:w="2964" w:type="pct"/>
            <w:vMerge/>
            <w:vAlign w:val="center"/>
          </w:tcPr>
          <w:p w14:paraId="37205D0E" w14:textId="77777777" w:rsidR="00F6441B" w:rsidRPr="00F50C10" w:rsidRDefault="00F6441B" w:rsidP="000B206D">
            <w:pPr>
              <w:pStyle w:val="ListeParagraf"/>
              <w:spacing w:line="276" w:lineRule="auto"/>
              <w:ind w:left="72" w:right="72"/>
              <w:jc w:val="center"/>
              <w:rPr>
                <w:rFonts w:cs="Times New Roman"/>
                <w:b/>
                <w:bCs/>
                <w:szCs w:val="24"/>
              </w:rPr>
            </w:pPr>
          </w:p>
        </w:tc>
        <w:tc>
          <w:tcPr>
            <w:tcW w:w="2036" w:type="pct"/>
            <w:vAlign w:val="center"/>
          </w:tcPr>
          <w:p w14:paraId="6F9EB63A" w14:textId="77777777" w:rsidR="00F6441B" w:rsidRPr="00F50C10" w:rsidRDefault="00F6441B" w:rsidP="000B206D">
            <w:pPr>
              <w:spacing w:line="276" w:lineRule="auto"/>
              <w:ind w:left="72" w:right="72"/>
              <w:jc w:val="center"/>
              <w:rPr>
                <w:rFonts w:cs="Times New Roman"/>
                <w:b/>
                <w:bCs/>
                <w:szCs w:val="24"/>
              </w:rPr>
            </w:pPr>
            <w:r w:rsidRPr="00F50C10">
              <w:rPr>
                <w:rFonts w:cs="Times New Roman"/>
                <w:b/>
                <w:bCs/>
                <w:szCs w:val="24"/>
              </w:rPr>
              <w:t>mg/Nm</w:t>
            </w:r>
            <w:r w:rsidRPr="00F50C10">
              <w:rPr>
                <w:rFonts w:cs="Times New Roman"/>
                <w:b/>
                <w:bCs/>
                <w:szCs w:val="24"/>
                <w:vertAlign w:val="superscript"/>
              </w:rPr>
              <w:t>3</w:t>
            </w:r>
          </w:p>
        </w:tc>
      </w:tr>
      <w:tr w:rsidR="00F6441B" w:rsidRPr="00F50C10" w14:paraId="2F74F9ED" w14:textId="77777777" w:rsidTr="00116C54">
        <w:trPr>
          <w:trHeight w:val="20"/>
        </w:trPr>
        <w:tc>
          <w:tcPr>
            <w:tcW w:w="2964" w:type="pct"/>
            <w:vAlign w:val="center"/>
          </w:tcPr>
          <w:p w14:paraId="441FA36A" w14:textId="77777777" w:rsidR="00F6441B" w:rsidRPr="00F50C10" w:rsidRDefault="00F6441B" w:rsidP="000B206D">
            <w:pPr>
              <w:pStyle w:val="ListeParagraf"/>
              <w:spacing w:line="276" w:lineRule="auto"/>
              <w:ind w:left="72" w:right="72"/>
              <w:rPr>
                <w:rFonts w:cs="Times New Roman"/>
                <w:szCs w:val="24"/>
              </w:rPr>
            </w:pPr>
            <w:r w:rsidRPr="00F50C10">
              <w:rPr>
                <w:rFonts w:cs="Times New Roman"/>
                <w:szCs w:val="24"/>
              </w:rPr>
              <w:t>İleri konvansiyonel dönüştürme işlemleri ve indirgenmiş birincil dönüştürme ile ilgili işlemler</w:t>
            </w:r>
          </w:p>
        </w:tc>
        <w:tc>
          <w:tcPr>
            <w:tcW w:w="2036" w:type="pct"/>
            <w:vAlign w:val="center"/>
          </w:tcPr>
          <w:p w14:paraId="0CCCFF90" w14:textId="77777777" w:rsidR="00F6441B" w:rsidRPr="00F50C10" w:rsidRDefault="00F6441B" w:rsidP="000B206D">
            <w:pPr>
              <w:pStyle w:val="ListeParagraf"/>
              <w:spacing w:line="276" w:lineRule="auto"/>
              <w:ind w:left="72" w:right="72"/>
              <w:jc w:val="center"/>
              <w:rPr>
                <w:rFonts w:cs="Times New Roman"/>
                <w:szCs w:val="24"/>
              </w:rPr>
            </w:pPr>
            <w:r w:rsidRPr="00F50C10">
              <w:rPr>
                <w:rFonts w:cs="Times New Roman"/>
                <w:szCs w:val="24"/>
              </w:rPr>
              <w:t>90 – 230*</w:t>
            </w:r>
          </w:p>
        </w:tc>
      </w:tr>
      <w:tr w:rsidR="00F6441B" w:rsidRPr="00F50C10" w14:paraId="52693426" w14:textId="77777777" w:rsidTr="00116C54">
        <w:trPr>
          <w:trHeight w:val="20"/>
        </w:trPr>
        <w:tc>
          <w:tcPr>
            <w:tcW w:w="2964" w:type="pct"/>
            <w:vAlign w:val="center"/>
          </w:tcPr>
          <w:p w14:paraId="35A4BEEF" w14:textId="77777777" w:rsidR="00F6441B" w:rsidRPr="00F50C10" w:rsidRDefault="00F6441B" w:rsidP="000B206D">
            <w:pPr>
              <w:spacing w:line="276" w:lineRule="auto"/>
              <w:ind w:left="72" w:right="72"/>
              <w:rPr>
                <w:rFonts w:cs="Times New Roman"/>
                <w:szCs w:val="24"/>
              </w:rPr>
            </w:pPr>
            <w:r w:rsidRPr="00F50C10">
              <w:rPr>
                <w:rFonts w:cs="Times New Roman"/>
                <w:szCs w:val="24"/>
              </w:rPr>
              <w:t>Isı değişimi oto termal dönüştürme</w:t>
            </w:r>
          </w:p>
        </w:tc>
        <w:tc>
          <w:tcPr>
            <w:tcW w:w="2036" w:type="pct"/>
            <w:vAlign w:val="center"/>
          </w:tcPr>
          <w:p w14:paraId="0C3D9565" w14:textId="6806263C" w:rsidR="00F6441B" w:rsidRPr="00F50C10" w:rsidRDefault="00F6441B" w:rsidP="000B206D">
            <w:pPr>
              <w:spacing w:line="276" w:lineRule="auto"/>
              <w:ind w:left="72" w:right="72"/>
              <w:jc w:val="center"/>
              <w:rPr>
                <w:rFonts w:cs="Times New Roman"/>
                <w:szCs w:val="24"/>
              </w:rPr>
            </w:pPr>
            <w:r w:rsidRPr="00F50C10">
              <w:rPr>
                <w:rFonts w:cs="Times New Roman"/>
                <w:szCs w:val="24"/>
              </w:rPr>
              <w:t>a)</w:t>
            </w:r>
            <w:r w:rsidR="003E57F0" w:rsidRPr="00F50C10">
              <w:rPr>
                <w:rFonts w:cs="Times New Roman"/>
                <w:szCs w:val="24"/>
              </w:rPr>
              <w:t xml:space="preserve"> </w:t>
            </w:r>
            <w:r w:rsidRPr="00F50C10">
              <w:rPr>
                <w:rFonts w:cs="Times New Roman"/>
                <w:szCs w:val="24"/>
              </w:rPr>
              <w:t>80</w:t>
            </w:r>
          </w:p>
          <w:p w14:paraId="3198EA81" w14:textId="4EF5AE54" w:rsidR="00F6441B" w:rsidRPr="00F50C10" w:rsidRDefault="00F6441B" w:rsidP="000B206D">
            <w:pPr>
              <w:pStyle w:val="ListeParagraf"/>
              <w:spacing w:line="276" w:lineRule="auto"/>
              <w:ind w:left="72" w:right="72"/>
              <w:jc w:val="center"/>
              <w:rPr>
                <w:rFonts w:cs="Times New Roman"/>
                <w:szCs w:val="24"/>
              </w:rPr>
            </w:pPr>
            <w:r w:rsidRPr="00F50C10">
              <w:rPr>
                <w:rFonts w:cs="Times New Roman"/>
                <w:szCs w:val="24"/>
              </w:rPr>
              <w:t>b)</w:t>
            </w:r>
            <w:r w:rsidR="003E57F0" w:rsidRPr="00F50C10">
              <w:rPr>
                <w:rFonts w:cs="Times New Roman"/>
                <w:szCs w:val="24"/>
              </w:rPr>
              <w:t xml:space="preserve"> </w:t>
            </w:r>
            <w:r w:rsidRPr="00F50C10">
              <w:rPr>
                <w:rFonts w:cs="Times New Roman"/>
                <w:szCs w:val="24"/>
              </w:rPr>
              <w:t>20</w:t>
            </w:r>
          </w:p>
        </w:tc>
      </w:tr>
      <w:tr w:rsidR="00F6441B" w:rsidRPr="00F50C10" w14:paraId="3C3430A0" w14:textId="77777777" w:rsidTr="00116C54">
        <w:trPr>
          <w:trHeight w:val="20"/>
        </w:trPr>
        <w:tc>
          <w:tcPr>
            <w:tcW w:w="5000" w:type="pct"/>
            <w:gridSpan w:val="2"/>
            <w:vAlign w:val="center"/>
          </w:tcPr>
          <w:p w14:paraId="2902751D" w14:textId="77777777" w:rsidR="00F6441B" w:rsidRPr="00F50C10" w:rsidRDefault="00F6441B" w:rsidP="000B206D">
            <w:pPr>
              <w:pStyle w:val="ListeParagraf"/>
              <w:spacing w:line="276" w:lineRule="auto"/>
              <w:ind w:left="72" w:right="72"/>
              <w:jc w:val="left"/>
              <w:rPr>
                <w:rFonts w:cs="Times New Roman"/>
                <w:i/>
                <w:iCs/>
                <w:szCs w:val="24"/>
              </w:rPr>
            </w:pPr>
            <w:r w:rsidRPr="00F50C10">
              <w:rPr>
                <w:rFonts w:cs="Times New Roman"/>
                <w:i/>
                <w:iCs/>
                <w:szCs w:val="24"/>
              </w:rPr>
              <w:t>a)</w:t>
            </w:r>
            <w:r w:rsidRPr="00F50C10">
              <w:rPr>
                <w:rFonts w:cs="Times New Roman"/>
                <w:i/>
                <w:iCs/>
                <w:szCs w:val="24"/>
              </w:rPr>
              <w:tab/>
              <w:t>proses hava ısıtıcı</w:t>
            </w:r>
          </w:p>
          <w:p w14:paraId="5E53B52C" w14:textId="77777777" w:rsidR="00F6441B" w:rsidRPr="00F50C10" w:rsidRDefault="00F6441B" w:rsidP="000B206D">
            <w:pPr>
              <w:pStyle w:val="ListeParagraf"/>
              <w:spacing w:line="276" w:lineRule="auto"/>
              <w:ind w:left="72" w:right="72"/>
              <w:jc w:val="left"/>
              <w:rPr>
                <w:rFonts w:cs="Times New Roman"/>
                <w:i/>
                <w:iCs/>
                <w:szCs w:val="24"/>
              </w:rPr>
            </w:pPr>
            <w:r w:rsidRPr="00F50C10">
              <w:rPr>
                <w:rFonts w:cs="Times New Roman"/>
                <w:i/>
                <w:iCs/>
                <w:szCs w:val="24"/>
              </w:rPr>
              <w:t>b)</w:t>
            </w:r>
            <w:r w:rsidRPr="00F50C10">
              <w:rPr>
                <w:rFonts w:cs="Times New Roman"/>
                <w:i/>
                <w:iCs/>
                <w:szCs w:val="24"/>
              </w:rPr>
              <w:tab/>
              <w:t>yedek kazan</w:t>
            </w:r>
          </w:p>
          <w:p w14:paraId="4C5A3871" w14:textId="480036BD" w:rsidR="00F6441B" w:rsidRPr="00F50C10" w:rsidRDefault="00F6441B" w:rsidP="000B206D">
            <w:pPr>
              <w:pStyle w:val="ListeParagraf"/>
              <w:spacing w:line="276" w:lineRule="auto"/>
              <w:ind w:left="72" w:right="72"/>
              <w:jc w:val="left"/>
              <w:rPr>
                <w:rFonts w:cs="Times New Roman"/>
                <w:i/>
                <w:iCs/>
                <w:szCs w:val="24"/>
              </w:rPr>
            </w:pPr>
            <w:r w:rsidRPr="00F50C10">
              <w:rPr>
                <w:rFonts w:cs="Times New Roman"/>
                <w:i/>
                <w:iCs/>
                <w:szCs w:val="24"/>
              </w:rPr>
              <w:t>*</w:t>
            </w:r>
            <w:r w:rsidR="0001582D" w:rsidRPr="00F50C10">
              <w:rPr>
                <w:rFonts w:cs="Times New Roman"/>
                <w:i/>
                <w:iCs/>
                <w:szCs w:val="24"/>
              </w:rPr>
              <w:t>aralığın en düşük tarafında</w:t>
            </w:r>
            <w:r w:rsidRPr="00F50C10">
              <w:rPr>
                <w:rFonts w:cs="Times New Roman"/>
                <w:i/>
                <w:iCs/>
                <w:szCs w:val="24"/>
              </w:rPr>
              <w:t>: mevcut en iyi işletmeler ve yeni tesisler</w:t>
            </w:r>
          </w:p>
        </w:tc>
      </w:tr>
      <w:tr w:rsidR="00F6441B" w:rsidRPr="00F50C10" w14:paraId="0AE990EF" w14:textId="77777777" w:rsidTr="00116C54">
        <w:trPr>
          <w:trHeight w:val="20"/>
        </w:trPr>
        <w:tc>
          <w:tcPr>
            <w:tcW w:w="5000" w:type="pct"/>
            <w:gridSpan w:val="2"/>
            <w:vAlign w:val="center"/>
          </w:tcPr>
          <w:p w14:paraId="393A4158" w14:textId="77777777" w:rsidR="00F6441B" w:rsidRPr="00F50C10" w:rsidRDefault="00F6441B" w:rsidP="000B206D">
            <w:pPr>
              <w:pStyle w:val="ListeParagraf"/>
              <w:spacing w:line="276" w:lineRule="auto"/>
              <w:ind w:left="72" w:right="72"/>
              <w:rPr>
                <w:rFonts w:cs="Times New Roman"/>
                <w:i/>
                <w:iCs/>
                <w:szCs w:val="24"/>
              </w:rPr>
            </w:pPr>
            <w:r w:rsidRPr="00F50C10">
              <w:rPr>
                <w:rFonts w:cs="Times New Roman"/>
                <w:i/>
                <w:iCs/>
                <w:szCs w:val="24"/>
              </w:rPr>
              <w:t>Konsantrasyon seviyeleri ve emisyon faktörleri arasında doğrudan bir ilişki kurulmaz. Ancak konvansiyonel dönüştürme işlemleri ve indirgenmiş birincil dönüştürme ile ilgili işlemler için 0,29 – 0,32 kg/ton oranında NH</w:t>
            </w:r>
            <w:r w:rsidRPr="00F50C10">
              <w:rPr>
                <w:rFonts w:cs="Times New Roman"/>
                <w:i/>
                <w:iCs/>
                <w:szCs w:val="24"/>
                <w:vertAlign w:val="subscript"/>
              </w:rPr>
              <w:t>3</w:t>
            </w:r>
            <w:r w:rsidRPr="00F50C10">
              <w:rPr>
                <w:rFonts w:cs="Times New Roman"/>
                <w:i/>
                <w:iCs/>
                <w:szCs w:val="24"/>
              </w:rPr>
              <w:t xml:space="preserve"> temel ölçüt alınabilir. Isı değişimi oto-termal dönüştürme için 0,175 kg/ton NH</w:t>
            </w:r>
            <w:r w:rsidRPr="00F50C10">
              <w:rPr>
                <w:rFonts w:cs="Times New Roman"/>
                <w:i/>
                <w:iCs/>
                <w:szCs w:val="24"/>
                <w:vertAlign w:val="subscript"/>
              </w:rPr>
              <w:t>3</w:t>
            </w:r>
            <w:r w:rsidRPr="00F50C10">
              <w:rPr>
                <w:rFonts w:cs="Times New Roman"/>
                <w:i/>
                <w:iCs/>
                <w:szCs w:val="24"/>
              </w:rPr>
              <w:t xml:space="preserve"> temel ölçüt olarak kabul edilebilir.</w:t>
            </w:r>
          </w:p>
        </w:tc>
      </w:tr>
    </w:tbl>
    <w:p w14:paraId="1E8F9054" w14:textId="37EC472B" w:rsidR="00F6441B" w:rsidRPr="00F50C10" w:rsidRDefault="00F6441B" w:rsidP="000B206D">
      <w:pPr>
        <w:spacing w:after="120" w:line="276" w:lineRule="auto"/>
        <w:rPr>
          <w:rFonts w:cs="Times New Roman"/>
          <w:b/>
          <w:bCs/>
          <w:szCs w:val="24"/>
        </w:rPr>
      </w:pPr>
      <w:r w:rsidRPr="00F50C10">
        <w:rPr>
          <w:rFonts w:cs="Times New Roman"/>
          <w:b/>
          <w:bCs/>
          <w:szCs w:val="24"/>
        </w:rPr>
        <w:t xml:space="preserve">MET 10: </w:t>
      </w:r>
      <w:r w:rsidRPr="00F50C10">
        <w:rPr>
          <w:rFonts w:cs="Times New Roman"/>
          <w:szCs w:val="24"/>
        </w:rPr>
        <w:t>Rutin enerji denetimleri gerçekleştirilir</w:t>
      </w:r>
      <w:r w:rsidR="003847F7" w:rsidRPr="00F50C10">
        <w:rPr>
          <w:rFonts w:cs="Times New Roman"/>
          <w:szCs w:val="24"/>
        </w:rPr>
        <w:t>.</w:t>
      </w:r>
    </w:p>
    <w:p w14:paraId="04A0BA70" w14:textId="6ED4DB7D" w:rsidR="00F6441B" w:rsidRPr="00F50C10" w:rsidRDefault="00F6441B" w:rsidP="000B206D">
      <w:pPr>
        <w:spacing w:after="120" w:line="276" w:lineRule="auto"/>
        <w:rPr>
          <w:rFonts w:cs="Times New Roman"/>
          <w:szCs w:val="24"/>
        </w:rPr>
      </w:pPr>
      <w:r w:rsidRPr="00F50C10">
        <w:rPr>
          <w:rFonts w:cs="Times New Roman"/>
          <w:b/>
          <w:bCs/>
          <w:szCs w:val="24"/>
        </w:rPr>
        <w:t xml:space="preserve">MET 11: </w:t>
      </w:r>
      <w:r w:rsidR="00F45525" w:rsidRPr="00F50C10">
        <w:rPr>
          <w:rFonts w:cs="Times New Roman"/>
          <w:szCs w:val="24"/>
        </w:rPr>
        <w:t>Tablo 2’de verilen e</w:t>
      </w:r>
      <w:r w:rsidRPr="00F50C10">
        <w:rPr>
          <w:rFonts w:cs="Times New Roman"/>
          <w:szCs w:val="24"/>
        </w:rPr>
        <w:t xml:space="preserve">nerji tüketim seviyelerine ulaşmak için aşağıda belirtilen tekniklerin </w:t>
      </w:r>
      <w:r w:rsidR="00F45525" w:rsidRPr="00F50C10">
        <w:rPr>
          <w:rFonts w:cs="Times New Roman"/>
          <w:szCs w:val="24"/>
        </w:rPr>
        <w:t xml:space="preserve">bir </w:t>
      </w:r>
      <w:r w:rsidRPr="00F50C10">
        <w:rPr>
          <w:rFonts w:cs="Times New Roman"/>
          <w:szCs w:val="24"/>
        </w:rPr>
        <w:t>kombinasyonu uygulanır:</w:t>
      </w:r>
    </w:p>
    <w:p w14:paraId="251D1EF3" w14:textId="6FBD3E82" w:rsidR="00F6441B" w:rsidRPr="00F50C10" w:rsidRDefault="00F6441B" w:rsidP="00A654AE">
      <w:pPr>
        <w:pStyle w:val="ListeParagraf"/>
        <w:numPr>
          <w:ilvl w:val="0"/>
          <w:numId w:val="71"/>
        </w:numPr>
        <w:spacing w:after="120" w:line="276" w:lineRule="auto"/>
        <w:rPr>
          <w:rFonts w:cs="Times New Roman"/>
          <w:szCs w:val="24"/>
        </w:rPr>
      </w:pPr>
      <w:r w:rsidRPr="00F50C10">
        <w:rPr>
          <w:rFonts w:cs="Times New Roman"/>
          <w:szCs w:val="24"/>
        </w:rPr>
        <w:t xml:space="preserve">hidrokarbon besleme için </w:t>
      </w:r>
      <w:r w:rsidR="00F45525" w:rsidRPr="00F50C10">
        <w:rPr>
          <w:rFonts w:cs="Times New Roman"/>
          <w:szCs w:val="24"/>
        </w:rPr>
        <w:t>uzatılmış</w:t>
      </w:r>
      <w:r w:rsidRPr="00F50C10">
        <w:rPr>
          <w:rFonts w:cs="Times New Roman"/>
          <w:szCs w:val="24"/>
        </w:rPr>
        <w:t xml:space="preserve"> ön ısıtma</w:t>
      </w:r>
      <w:r w:rsidR="003847F7" w:rsidRPr="00F50C10">
        <w:rPr>
          <w:rFonts w:cs="Times New Roman"/>
          <w:szCs w:val="24"/>
        </w:rPr>
        <w:t>,</w:t>
      </w:r>
    </w:p>
    <w:p w14:paraId="693915F5" w14:textId="7D39F46D" w:rsidR="00F6441B" w:rsidRPr="00F50C10" w:rsidRDefault="00F6441B" w:rsidP="00A654AE">
      <w:pPr>
        <w:pStyle w:val="ListeParagraf"/>
        <w:numPr>
          <w:ilvl w:val="0"/>
          <w:numId w:val="71"/>
        </w:numPr>
        <w:spacing w:after="120" w:line="276" w:lineRule="auto"/>
        <w:rPr>
          <w:rFonts w:cs="Times New Roman"/>
          <w:szCs w:val="24"/>
        </w:rPr>
      </w:pPr>
      <w:r w:rsidRPr="00F50C10">
        <w:rPr>
          <w:rFonts w:cs="Times New Roman"/>
          <w:szCs w:val="24"/>
        </w:rPr>
        <w:t>yakma havasının önceden ısıtılmas</w:t>
      </w:r>
      <w:r w:rsidR="003847F7" w:rsidRPr="00F50C10">
        <w:rPr>
          <w:rFonts w:cs="Times New Roman"/>
          <w:szCs w:val="24"/>
        </w:rPr>
        <w:t>ı,</w:t>
      </w:r>
    </w:p>
    <w:p w14:paraId="4E0C555C" w14:textId="073C2FB9" w:rsidR="00F6441B" w:rsidRPr="00F50C10" w:rsidRDefault="00F6441B" w:rsidP="00A654AE">
      <w:pPr>
        <w:pStyle w:val="ListeParagraf"/>
        <w:numPr>
          <w:ilvl w:val="0"/>
          <w:numId w:val="71"/>
        </w:numPr>
        <w:spacing w:after="120" w:line="276" w:lineRule="auto"/>
        <w:rPr>
          <w:rFonts w:cs="Times New Roman"/>
          <w:szCs w:val="24"/>
        </w:rPr>
      </w:pPr>
      <w:r w:rsidRPr="00F50C10">
        <w:rPr>
          <w:rFonts w:cs="Times New Roman"/>
          <w:szCs w:val="24"/>
        </w:rPr>
        <w:t xml:space="preserve">ikinci </w:t>
      </w:r>
      <w:r w:rsidR="00F45525" w:rsidRPr="00F50C10">
        <w:rPr>
          <w:rFonts w:cs="Times New Roman"/>
          <w:szCs w:val="24"/>
        </w:rPr>
        <w:t>nesil</w:t>
      </w:r>
      <w:r w:rsidRPr="00F50C10">
        <w:rPr>
          <w:rFonts w:cs="Times New Roman"/>
          <w:szCs w:val="24"/>
        </w:rPr>
        <w:t xml:space="preserve"> gaz türbininin kurulması</w:t>
      </w:r>
      <w:r w:rsidR="003847F7" w:rsidRPr="00F50C10">
        <w:rPr>
          <w:rFonts w:cs="Times New Roman"/>
          <w:szCs w:val="24"/>
        </w:rPr>
        <w:t>,</w:t>
      </w:r>
    </w:p>
    <w:p w14:paraId="4A337FD7" w14:textId="6F23075F" w:rsidR="00F6441B" w:rsidRPr="00F50C10" w:rsidRDefault="00F6441B" w:rsidP="00A654AE">
      <w:pPr>
        <w:pStyle w:val="ListeParagraf"/>
        <w:numPr>
          <w:ilvl w:val="0"/>
          <w:numId w:val="71"/>
        </w:numPr>
        <w:spacing w:after="120" w:line="276" w:lineRule="auto"/>
        <w:rPr>
          <w:rFonts w:cs="Times New Roman"/>
          <w:szCs w:val="24"/>
        </w:rPr>
      </w:pPr>
      <w:r w:rsidRPr="00F50C10">
        <w:rPr>
          <w:rFonts w:cs="Times New Roman"/>
          <w:szCs w:val="24"/>
        </w:rPr>
        <w:t>gaz türbini</w:t>
      </w:r>
      <w:r w:rsidR="00F45525" w:rsidRPr="00F50C10">
        <w:rPr>
          <w:rFonts w:cs="Times New Roman"/>
          <w:szCs w:val="24"/>
        </w:rPr>
        <w:t xml:space="preserve"> çıkış </w:t>
      </w:r>
      <w:r w:rsidRPr="00F50C10">
        <w:rPr>
          <w:rFonts w:cs="Times New Roman"/>
          <w:szCs w:val="24"/>
        </w:rPr>
        <w:t xml:space="preserve">gazının </w:t>
      </w:r>
      <w:r w:rsidR="00F45525" w:rsidRPr="00F50C10">
        <w:rPr>
          <w:rFonts w:cs="Times New Roman"/>
          <w:szCs w:val="24"/>
        </w:rPr>
        <w:t xml:space="preserve">brülörler üzerinde </w:t>
      </w:r>
      <w:r w:rsidRPr="00F50C10">
        <w:rPr>
          <w:rFonts w:cs="Times New Roman"/>
          <w:szCs w:val="24"/>
        </w:rPr>
        <w:t>eşit biçimde dağılmasını sağlamak için fırın</w:t>
      </w:r>
      <w:r w:rsidR="00F45525" w:rsidRPr="00F50C10">
        <w:rPr>
          <w:rFonts w:cs="Times New Roman"/>
          <w:szCs w:val="24"/>
        </w:rPr>
        <w:t xml:space="preserve"> brülörlerinde</w:t>
      </w:r>
      <w:r w:rsidRPr="00F50C10">
        <w:rPr>
          <w:rFonts w:cs="Times New Roman"/>
          <w:szCs w:val="24"/>
        </w:rPr>
        <w:t xml:space="preserve"> yapılan değişiklikler</w:t>
      </w:r>
      <w:r w:rsidR="003847F7" w:rsidRPr="00F50C10">
        <w:rPr>
          <w:rFonts w:cs="Times New Roman"/>
          <w:szCs w:val="24"/>
        </w:rPr>
        <w:t>,</w:t>
      </w:r>
    </w:p>
    <w:p w14:paraId="34BC37A5" w14:textId="3C4E62C3" w:rsidR="00F6441B" w:rsidRPr="00F50C10" w:rsidRDefault="00A31D8C" w:rsidP="00A654AE">
      <w:pPr>
        <w:pStyle w:val="ListeParagraf"/>
        <w:numPr>
          <w:ilvl w:val="0"/>
          <w:numId w:val="71"/>
        </w:numPr>
        <w:spacing w:after="120" w:line="276" w:lineRule="auto"/>
        <w:rPr>
          <w:rFonts w:cs="Times New Roman"/>
          <w:szCs w:val="24"/>
        </w:rPr>
      </w:pPr>
      <w:r w:rsidRPr="00F50C10">
        <w:rPr>
          <w:rFonts w:cs="Times New Roman"/>
          <w:szCs w:val="24"/>
        </w:rPr>
        <w:t>konveksiyon</w:t>
      </w:r>
      <w:r w:rsidR="00F6441B" w:rsidRPr="00F50C10">
        <w:rPr>
          <w:rFonts w:cs="Times New Roman"/>
          <w:szCs w:val="24"/>
        </w:rPr>
        <w:t xml:space="preserve"> bobin</w:t>
      </w:r>
      <w:r w:rsidRPr="00F50C10">
        <w:rPr>
          <w:rFonts w:cs="Times New Roman"/>
          <w:szCs w:val="24"/>
        </w:rPr>
        <w:t>lerinin yeniden</w:t>
      </w:r>
      <w:r w:rsidR="00F6441B" w:rsidRPr="00F50C10">
        <w:rPr>
          <w:rFonts w:cs="Times New Roman"/>
          <w:szCs w:val="24"/>
        </w:rPr>
        <w:t xml:space="preserve"> düzenlenmesi ve </w:t>
      </w:r>
      <w:r w:rsidRPr="00F50C10">
        <w:rPr>
          <w:rFonts w:cs="Times New Roman"/>
          <w:szCs w:val="24"/>
        </w:rPr>
        <w:t>ilave</w:t>
      </w:r>
      <w:r w:rsidR="00F6441B" w:rsidRPr="00F50C10">
        <w:rPr>
          <w:rFonts w:cs="Times New Roman"/>
          <w:szCs w:val="24"/>
        </w:rPr>
        <w:t xml:space="preserve"> </w:t>
      </w:r>
      <w:r w:rsidRPr="00F50C10">
        <w:rPr>
          <w:rFonts w:cs="Times New Roman"/>
          <w:szCs w:val="24"/>
        </w:rPr>
        <w:t>yüzey</w:t>
      </w:r>
      <w:r w:rsidR="00F6441B" w:rsidRPr="00F50C10">
        <w:rPr>
          <w:rFonts w:cs="Times New Roman"/>
          <w:szCs w:val="24"/>
        </w:rPr>
        <w:t xml:space="preserve"> ekle</w:t>
      </w:r>
      <w:r w:rsidRPr="00F50C10">
        <w:rPr>
          <w:rFonts w:cs="Times New Roman"/>
          <w:szCs w:val="24"/>
        </w:rPr>
        <w:t>n</w:t>
      </w:r>
      <w:r w:rsidR="00F6441B" w:rsidRPr="00F50C10">
        <w:rPr>
          <w:rFonts w:cs="Times New Roman"/>
          <w:szCs w:val="24"/>
        </w:rPr>
        <w:t>mesi</w:t>
      </w:r>
      <w:r w:rsidR="003847F7" w:rsidRPr="00F50C10">
        <w:rPr>
          <w:rFonts w:cs="Times New Roman"/>
          <w:szCs w:val="24"/>
        </w:rPr>
        <w:t>,</w:t>
      </w:r>
    </w:p>
    <w:p w14:paraId="33AF74EE" w14:textId="21D31777" w:rsidR="00F6441B" w:rsidRPr="00F50C10" w:rsidRDefault="00F6441B" w:rsidP="00A654AE">
      <w:pPr>
        <w:pStyle w:val="ListeParagraf"/>
        <w:numPr>
          <w:ilvl w:val="0"/>
          <w:numId w:val="71"/>
        </w:numPr>
        <w:spacing w:after="120" w:line="276" w:lineRule="auto"/>
        <w:rPr>
          <w:rFonts w:cs="Times New Roman"/>
          <w:szCs w:val="24"/>
        </w:rPr>
      </w:pPr>
      <w:r w:rsidRPr="00F50C10">
        <w:rPr>
          <w:rFonts w:cs="Times New Roman"/>
          <w:szCs w:val="24"/>
        </w:rPr>
        <w:t xml:space="preserve">uygun </w:t>
      </w:r>
      <w:r w:rsidR="00A31D8C" w:rsidRPr="00F50C10">
        <w:rPr>
          <w:rFonts w:cs="Times New Roman"/>
          <w:szCs w:val="24"/>
        </w:rPr>
        <w:t xml:space="preserve">bir </w:t>
      </w:r>
      <w:r w:rsidRPr="00F50C10">
        <w:rPr>
          <w:rFonts w:cs="Times New Roman"/>
          <w:szCs w:val="24"/>
        </w:rPr>
        <w:t>buhar tasarrufu projesi</w:t>
      </w:r>
      <w:r w:rsidR="00A31D8C" w:rsidRPr="00F50C10">
        <w:rPr>
          <w:rFonts w:cs="Times New Roman"/>
          <w:szCs w:val="24"/>
        </w:rPr>
        <w:t xml:space="preserve"> ile</w:t>
      </w:r>
      <w:r w:rsidRPr="00F50C10">
        <w:rPr>
          <w:rFonts w:cs="Times New Roman"/>
          <w:szCs w:val="24"/>
        </w:rPr>
        <w:t xml:space="preserve"> </w:t>
      </w:r>
      <w:r w:rsidR="00A31D8C" w:rsidRPr="00F50C10">
        <w:rPr>
          <w:rFonts w:cs="Times New Roman"/>
          <w:szCs w:val="24"/>
        </w:rPr>
        <w:t>birlikte</w:t>
      </w:r>
      <w:r w:rsidRPr="00F50C10">
        <w:rPr>
          <w:rFonts w:cs="Times New Roman"/>
          <w:szCs w:val="24"/>
        </w:rPr>
        <w:t xml:space="preserve"> </w:t>
      </w:r>
      <w:r w:rsidR="00A31D8C" w:rsidRPr="00F50C10">
        <w:rPr>
          <w:rFonts w:cs="Times New Roman"/>
          <w:szCs w:val="24"/>
        </w:rPr>
        <w:t>ön-</w:t>
      </w:r>
      <w:r w:rsidRPr="00F50C10">
        <w:rPr>
          <w:rFonts w:cs="Times New Roman"/>
          <w:szCs w:val="24"/>
        </w:rPr>
        <w:t>dönüştürme</w:t>
      </w:r>
      <w:r w:rsidR="003847F7" w:rsidRPr="00F50C10">
        <w:rPr>
          <w:rFonts w:cs="Times New Roman"/>
          <w:szCs w:val="24"/>
        </w:rPr>
        <w:t>,</w:t>
      </w:r>
    </w:p>
    <w:p w14:paraId="6D25ACF1" w14:textId="244CAA59" w:rsidR="00F6441B" w:rsidRPr="00F50C10" w:rsidRDefault="00F6441B" w:rsidP="00A654AE">
      <w:pPr>
        <w:pStyle w:val="ListeParagraf"/>
        <w:numPr>
          <w:ilvl w:val="0"/>
          <w:numId w:val="71"/>
        </w:numPr>
        <w:spacing w:after="120" w:line="276" w:lineRule="auto"/>
        <w:rPr>
          <w:rFonts w:cs="Times New Roman"/>
          <w:szCs w:val="24"/>
        </w:rPr>
      </w:pPr>
      <w:r w:rsidRPr="00F50C10">
        <w:rPr>
          <w:rFonts w:cs="Times New Roman"/>
          <w:szCs w:val="24"/>
        </w:rPr>
        <w:t>artırılmış CO</w:t>
      </w:r>
      <w:r w:rsidRPr="00F50C10">
        <w:rPr>
          <w:rFonts w:cs="Times New Roman"/>
          <w:szCs w:val="24"/>
          <w:vertAlign w:val="subscript"/>
        </w:rPr>
        <w:t>2</w:t>
      </w:r>
      <w:r w:rsidRPr="00F50C10">
        <w:rPr>
          <w:rFonts w:cs="Times New Roman"/>
          <w:szCs w:val="24"/>
        </w:rPr>
        <w:t xml:space="preserve"> </w:t>
      </w:r>
      <w:r w:rsidR="00A31D8C" w:rsidRPr="00F50C10">
        <w:rPr>
          <w:rFonts w:cs="Times New Roman"/>
          <w:szCs w:val="24"/>
        </w:rPr>
        <w:t>giderimi</w:t>
      </w:r>
      <w:r w:rsidR="003847F7" w:rsidRPr="00F50C10">
        <w:rPr>
          <w:rFonts w:cs="Times New Roman"/>
          <w:szCs w:val="24"/>
        </w:rPr>
        <w:t>,</w:t>
      </w:r>
    </w:p>
    <w:p w14:paraId="59689BA0" w14:textId="4214C594" w:rsidR="00F6441B" w:rsidRPr="00F50C10" w:rsidRDefault="00F6441B" w:rsidP="00A654AE">
      <w:pPr>
        <w:pStyle w:val="ListeParagraf"/>
        <w:numPr>
          <w:ilvl w:val="0"/>
          <w:numId w:val="71"/>
        </w:numPr>
        <w:spacing w:after="120" w:line="276" w:lineRule="auto"/>
        <w:rPr>
          <w:rFonts w:cs="Times New Roman"/>
          <w:szCs w:val="24"/>
        </w:rPr>
      </w:pPr>
      <w:r w:rsidRPr="00F50C10">
        <w:rPr>
          <w:rFonts w:cs="Times New Roman"/>
          <w:szCs w:val="24"/>
        </w:rPr>
        <w:t>düşük sıcaklıkta kükürt giderimi</w:t>
      </w:r>
      <w:r w:rsidR="003847F7" w:rsidRPr="00F50C10">
        <w:rPr>
          <w:rFonts w:cs="Times New Roman"/>
          <w:szCs w:val="24"/>
        </w:rPr>
        <w:t>,</w:t>
      </w:r>
    </w:p>
    <w:p w14:paraId="1D272F8E" w14:textId="362C2BCF" w:rsidR="00F6441B" w:rsidRPr="00F50C10" w:rsidRDefault="00F6441B" w:rsidP="00A654AE">
      <w:pPr>
        <w:pStyle w:val="ListeParagraf"/>
        <w:numPr>
          <w:ilvl w:val="0"/>
          <w:numId w:val="71"/>
        </w:numPr>
        <w:spacing w:after="120" w:line="276" w:lineRule="auto"/>
        <w:rPr>
          <w:rFonts w:cs="Times New Roman"/>
          <w:szCs w:val="24"/>
        </w:rPr>
      </w:pPr>
      <w:r w:rsidRPr="00F50C10">
        <w:rPr>
          <w:rFonts w:cs="Times New Roman"/>
          <w:szCs w:val="24"/>
        </w:rPr>
        <w:t>izotermal dönüşüm reaksiyonu (yeni tesisler için</w:t>
      </w:r>
      <w:r w:rsidR="003847F7" w:rsidRPr="00F50C10">
        <w:rPr>
          <w:rFonts w:cs="Times New Roman"/>
          <w:szCs w:val="24"/>
        </w:rPr>
        <w:t>),</w:t>
      </w:r>
    </w:p>
    <w:p w14:paraId="035819AE" w14:textId="15356962" w:rsidR="00F6441B" w:rsidRPr="00F50C10" w:rsidRDefault="00F6441B" w:rsidP="00A654AE">
      <w:pPr>
        <w:pStyle w:val="ListeParagraf"/>
        <w:numPr>
          <w:ilvl w:val="0"/>
          <w:numId w:val="71"/>
        </w:numPr>
        <w:spacing w:after="120" w:line="276" w:lineRule="auto"/>
        <w:rPr>
          <w:rFonts w:cs="Times New Roman"/>
          <w:szCs w:val="24"/>
        </w:rPr>
      </w:pPr>
      <w:r w:rsidRPr="00F50C10">
        <w:rPr>
          <w:rFonts w:cs="Times New Roman"/>
          <w:szCs w:val="24"/>
        </w:rPr>
        <w:t>amonyak dönüştürücülerde daha küçük kataliz partiküllerinin kullanılması</w:t>
      </w:r>
      <w:r w:rsidR="003847F7" w:rsidRPr="00F50C10">
        <w:rPr>
          <w:rFonts w:cs="Times New Roman"/>
          <w:szCs w:val="24"/>
        </w:rPr>
        <w:t>,</w:t>
      </w:r>
    </w:p>
    <w:p w14:paraId="65DDD970" w14:textId="00EDF64D" w:rsidR="00F6441B" w:rsidRPr="00F50C10" w:rsidRDefault="00F6441B" w:rsidP="00A654AE">
      <w:pPr>
        <w:pStyle w:val="ListeParagraf"/>
        <w:numPr>
          <w:ilvl w:val="0"/>
          <w:numId w:val="71"/>
        </w:numPr>
        <w:spacing w:after="120" w:line="276" w:lineRule="auto"/>
        <w:rPr>
          <w:rFonts w:cs="Times New Roman"/>
          <w:szCs w:val="24"/>
        </w:rPr>
      </w:pPr>
      <w:r w:rsidRPr="00F50C10">
        <w:rPr>
          <w:rFonts w:cs="Times New Roman"/>
          <w:szCs w:val="24"/>
        </w:rPr>
        <w:t>düşük basınç</w:t>
      </w:r>
      <w:r w:rsidR="00A31D8C" w:rsidRPr="00F50C10">
        <w:rPr>
          <w:rFonts w:cs="Times New Roman"/>
          <w:szCs w:val="24"/>
        </w:rPr>
        <w:t>lı</w:t>
      </w:r>
      <w:r w:rsidRPr="00F50C10">
        <w:rPr>
          <w:rFonts w:cs="Times New Roman"/>
          <w:szCs w:val="24"/>
        </w:rPr>
        <w:t xml:space="preserve"> amonyak sentez katalizörü</w:t>
      </w:r>
      <w:r w:rsidR="003847F7" w:rsidRPr="00F50C10">
        <w:rPr>
          <w:rFonts w:cs="Times New Roman"/>
          <w:szCs w:val="24"/>
        </w:rPr>
        <w:t>,</w:t>
      </w:r>
    </w:p>
    <w:p w14:paraId="0AEB847E" w14:textId="21967D3F" w:rsidR="00F6441B" w:rsidRPr="00F50C10" w:rsidRDefault="00F6441B" w:rsidP="00A654AE">
      <w:pPr>
        <w:pStyle w:val="ListeParagraf"/>
        <w:numPr>
          <w:ilvl w:val="0"/>
          <w:numId w:val="71"/>
        </w:numPr>
        <w:spacing w:after="120" w:line="276" w:lineRule="auto"/>
        <w:rPr>
          <w:rFonts w:cs="Times New Roman"/>
          <w:szCs w:val="24"/>
        </w:rPr>
      </w:pPr>
      <w:r w:rsidRPr="00F50C10">
        <w:rPr>
          <w:rFonts w:cs="Times New Roman"/>
          <w:szCs w:val="24"/>
        </w:rPr>
        <w:t>kısmi oksidasyondan çıkan sentez gazının dönüşüm reaksiyonu için sülfüre dayanıklı katalizörlerin kullanılması,</w:t>
      </w:r>
    </w:p>
    <w:p w14:paraId="08469158" w14:textId="24680EB0" w:rsidR="00F6441B" w:rsidRPr="00F50C10" w:rsidRDefault="00F6441B" w:rsidP="00A654AE">
      <w:pPr>
        <w:pStyle w:val="ListeParagraf"/>
        <w:numPr>
          <w:ilvl w:val="0"/>
          <w:numId w:val="71"/>
        </w:numPr>
        <w:spacing w:after="120" w:line="276" w:lineRule="auto"/>
        <w:rPr>
          <w:rFonts w:cs="Times New Roman"/>
          <w:szCs w:val="24"/>
        </w:rPr>
      </w:pPr>
      <w:r w:rsidRPr="00F50C10">
        <w:rPr>
          <w:rFonts w:cs="Times New Roman"/>
          <w:szCs w:val="24"/>
        </w:rPr>
        <w:t xml:space="preserve">sentez gazının son kez saflaştırılması için sıvı </w:t>
      </w:r>
      <w:r w:rsidR="0005737C" w:rsidRPr="00F50C10">
        <w:rPr>
          <w:rFonts w:cs="Times New Roman"/>
          <w:szCs w:val="24"/>
        </w:rPr>
        <w:t>azotla</w:t>
      </w:r>
      <w:r w:rsidRPr="00F50C10">
        <w:rPr>
          <w:rFonts w:cs="Times New Roman"/>
          <w:szCs w:val="24"/>
        </w:rPr>
        <w:t xml:space="preserve"> yıka</w:t>
      </w:r>
      <w:r w:rsidR="0005737C" w:rsidRPr="00F50C10">
        <w:rPr>
          <w:rFonts w:cs="Times New Roman"/>
          <w:szCs w:val="24"/>
        </w:rPr>
        <w:t>n</w:t>
      </w:r>
      <w:r w:rsidRPr="00F50C10">
        <w:rPr>
          <w:rFonts w:cs="Times New Roman"/>
          <w:szCs w:val="24"/>
        </w:rPr>
        <w:t>ma</w:t>
      </w:r>
      <w:r w:rsidR="0005737C" w:rsidRPr="00F50C10">
        <w:rPr>
          <w:rFonts w:cs="Times New Roman"/>
          <w:szCs w:val="24"/>
        </w:rPr>
        <w:t>sı</w:t>
      </w:r>
      <w:r w:rsidRPr="00F50C10">
        <w:rPr>
          <w:rFonts w:cs="Times New Roman"/>
          <w:szCs w:val="24"/>
        </w:rPr>
        <w:t>,</w:t>
      </w:r>
    </w:p>
    <w:p w14:paraId="16429FF5" w14:textId="4EFEEA1C" w:rsidR="00F6441B" w:rsidRPr="00F50C10" w:rsidRDefault="00F6441B" w:rsidP="00A654AE">
      <w:pPr>
        <w:pStyle w:val="ListeParagraf"/>
        <w:numPr>
          <w:ilvl w:val="0"/>
          <w:numId w:val="71"/>
        </w:numPr>
        <w:spacing w:after="120" w:line="276" w:lineRule="auto"/>
        <w:rPr>
          <w:rFonts w:cs="Times New Roman"/>
          <w:szCs w:val="24"/>
        </w:rPr>
      </w:pPr>
      <w:r w:rsidRPr="00F50C10">
        <w:rPr>
          <w:rFonts w:cs="Times New Roman"/>
          <w:szCs w:val="24"/>
        </w:rPr>
        <w:t xml:space="preserve">amonyak sentez reaktörünün dolaylı soğutulması, </w:t>
      </w:r>
    </w:p>
    <w:p w14:paraId="14FF3C52" w14:textId="0FAF3131" w:rsidR="00F6441B" w:rsidRPr="00F50C10" w:rsidRDefault="00F6441B" w:rsidP="00A654AE">
      <w:pPr>
        <w:pStyle w:val="ListeParagraf"/>
        <w:numPr>
          <w:ilvl w:val="0"/>
          <w:numId w:val="71"/>
        </w:numPr>
        <w:spacing w:after="120" w:line="276" w:lineRule="auto"/>
        <w:rPr>
          <w:rFonts w:cs="Times New Roman"/>
          <w:szCs w:val="24"/>
        </w:rPr>
      </w:pPr>
      <w:r w:rsidRPr="00F50C10">
        <w:rPr>
          <w:rFonts w:cs="Times New Roman"/>
          <w:szCs w:val="24"/>
        </w:rPr>
        <w:t>amonyak sentezinin tasfiye gazından hidrojen geri kazanımı,</w:t>
      </w:r>
    </w:p>
    <w:p w14:paraId="1EB9BFC0" w14:textId="6BAE102B" w:rsidR="00F6441B" w:rsidRPr="00F50C10" w:rsidRDefault="0005737C" w:rsidP="00A654AE">
      <w:pPr>
        <w:pStyle w:val="ListeParagraf"/>
        <w:numPr>
          <w:ilvl w:val="0"/>
          <w:numId w:val="71"/>
        </w:numPr>
        <w:spacing w:after="120" w:line="276" w:lineRule="auto"/>
        <w:rPr>
          <w:rFonts w:cs="Times New Roman"/>
          <w:szCs w:val="24"/>
        </w:rPr>
      </w:pPr>
      <w:r w:rsidRPr="00F50C10">
        <w:rPr>
          <w:rFonts w:cs="Times New Roman"/>
          <w:szCs w:val="24"/>
        </w:rPr>
        <w:t>gelişmiş bir</w:t>
      </w:r>
      <w:r w:rsidR="00F6441B" w:rsidRPr="00F50C10">
        <w:rPr>
          <w:rFonts w:cs="Times New Roman"/>
          <w:szCs w:val="24"/>
        </w:rPr>
        <w:t xml:space="preserve"> proses kontrol sisteminin uygulanması</w:t>
      </w:r>
      <w:r w:rsidR="003847F7" w:rsidRPr="00F50C10">
        <w:rPr>
          <w:rFonts w:cs="Times New Roman"/>
          <w:szCs w:val="24"/>
        </w:rPr>
        <w:t>.</w:t>
      </w:r>
    </w:p>
    <w:p w14:paraId="56FDF7CC" w14:textId="7F090B59" w:rsidR="00F6441B" w:rsidRPr="00F50C10" w:rsidRDefault="00F45525" w:rsidP="000B206D">
      <w:pPr>
        <w:pStyle w:val="ResimYazs"/>
        <w:keepNext/>
        <w:spacing w:after="120" w:line="276" w:lineRule="auto"/>
        <w:rPr>
          <w:rFonts w:cs="Times New Roman"/>
          <w:szCs w:val="24"/>
        </w:rPr>
      </w:pPr>
      <w:r w:rsidRPr="00F50C10">
        <w:rPr>
          <w:rFonts w:cs="Times New Roman"/>
          <w:szCs w:val="24"/>
        </w:rPr>
        <w:t xml:space="preserve">Tablo 2. </w:t>
      </w:r>
      <w:r w:rsidR="00F6441B" w:rsidRPr="00F50C10">
        <w:rPr>
          <w:rFonts w:cs="Times New Roman"/>
          <w:szCs w:val="24"/>
        </w:rPr>
        <w:t xml:space="preserve">MET </w:t>
      </w:r>
      <w:r w:rsidR="00F6441B" w:rsidRPr="00F50C10">
        <w:rPr>
          <w:rFonts w:cs="Times New Roman"/>
          <w:szCs w:val="24"/>
          <w:lang w:val="tr-TR"/>
        </w:rPr>
        <w:t>ile ilişkili enerji tüketim seviyeleri</w:t>
      </w:r>
    </w:p>
    <w:tbl>
      <w:tblPr>
        <w:tblStyle w:val="TabloKlavuzu"/>
        <w:tblW w:w="5000" w:type="pct"/>
        <w:tblLook w:val="04A0" w:firstRow="1" w:lastRow="0" w:firstColumn="1" w:lastColumn="0" w:noHBand="0" w:noVBand="1"/>
      </w:tblPr>
      <w:tblGrid>
        <w:gridCol w:w="4614"/>
        <w:gridCol w:w="4696"/>
      </w:tblGrid>
      <w:tr w:rsidR="00F6441B" w:rsidRPr="00F50C10" w14:paraId="56B1235A" w14:textId="77777777" w:rsidTr="00116C54">
        <w:trPr>
          <w:trHeight w:val="20"/>
        </w:trPr>
        <w:tc>
          <w:tcPr>
            <w:tcW w:w="2478" w:type="pct"/>
            <w:vMerge w:val="restart"/>
            <w:vAlign w:val="center"/>
          </w:tcPr>
          <w:p w14:paraId="68183F26" w14:textId="77777777" w:rsidR="00F6441B" w:rsidRPr="00F50C10" w:rsidRDefault="00F6441B" w:rsidP="000B206D">
            <w:pPr>
              <w:spacing w:line="276" w:lineRule="auto"/>
              <w:ind w:left="72" w:right="72"/>
              <w:jc w:val="center"/>
              <w:rPr>
                <w:rFonts w:cs="Times New Roman"/>
                <w:b/>
                <w:bCs/>
                <w:szCs w:val="24"/>
              </w:rPr>
            </w:pPr>
            <w:r w:rsidRPr="00F50C10">
              <w:rPr>
                <w:rFonts w:cs="Times New Roman"/>
                <w:b/>
                <w:bCs/>
                <w:szCs w:val="24"/>
              </w:rPr>
              <w:t>Tesis içeriği</w:t>
            </w:r>
          </w:p>
        </w:tc>
        <w:tc>
          <w:tcPr>
            <w:tcW w:w="2522" w:type="pct"/>
            <w:vAlign w:val="center"/>
          </w:tcPr>
          <w:p w14:paraId="053B802E" w14:textId="77777777" w:rsidR="00F6441B" w:rsidRPr="00F50C10" w:rsidRDefault="00F6441B" w:rsidP="000B206D">
            <w:pPr>
              <w:spacing w:line="276" w:lineRule="auto"/>
              <w:ind w:left="72" w:right="72"/>
              <w:jc w:val="center"/>
              <w:rPr>
                <w:rFonts w:cs="Times New Roman"/>
                <w:b/>
                <w:bCs/>
                <w:szCs w:val="24"/>
              </w:rPr>
            </w:pPr>
            <w:r w:rsidRPr="00F50C10">
              <w:rPr>
                <w:rFonts w:cs="Times New Roman"/>
                <w:b/>
                <w:bCs/>
                <w:szCs w:val="24"/>
              </w:rPr>
              <w:t>Net enerji tüketimi*</w:t>
            </w:r>
          </w:p>
        </w:tc>
      </w:tr>
      <w:tr w:rsidR="00F6441B" w:rsidRPr="00F50C10" w14:paraId="7D82E2BF" w14:textId="77777777" w:rsidTr="00116C54">
        <w:trPr>
          <w:trHeight w:val="20"/>
        </w:trPr>
        <w:tc>
          <w:tcPr>
            <w:tcW w:w="2478" w:type="pct"/>
            <w:vMerge/>
            <w:vAlign w:val="center"/>
          </w:tcPr>
          <w:p w14:paraId="64A607D6" w14:textId="77777777" w:rsidR="00F6441B" w:rsidRPr="00F50C10" w:rsidRDefault="00F6441B" w:rsidP="000B206D">
            <w:pPr>
              <w:pStyle w:val="ListeParagraf"/>
              <w:spacing w:line="276" w:lineRule="auto"/>
              <w:ind w:left="72" w:right="72"/>
              <w:jc w:val="center"/>
              <w:rPr>
                <w:rFonts w:cs="Times New Roman"/>
                <w:b/>
                <w:bCs/>
                <w:szCs w:val="24"/>
              </w:rPr>
            </w:pPr>
          </w:p>
        </w:tc>
        <w:tc>
          <w:tcPr>
            <w:tcW w:w="2522" w:type="pct"/>
            <w:vAlign w:val="center"/>
          </w:tcPr>
          <w:p w14:paraId="50879C45" w14:textId="77777777" w:rsidR="00F6441B" w:rsidRPr="00F50C10" w:rsidRDefault="00F6441B" w:rsidP="000B206D">
            <w:pPr>
              <w:spacing w:line="276" w:lineRule="auto"/>
              <w:ind w:left="72" w:right="72"/>
              <w:jc w:val="center"/>
              <w:rPr>
                <w:rFonts w:cs="Times New Roman"/>
                <w:b/>
                <w:bCs/>
                <w:szCs w:val="24"/>
              </w:rPr>
            </w:pPr>
            <w:r w:rsidRPr="00F50C10">
              <w:rPr>
                <w:rFonts w:cs="Times New Roman"/>
                <w:b/>
                <w:bCs/>
                <w:szCs w:val="24"/>
              </w:rPr>
              <w:t>GJ(LHV)/ton NH</w:t>
            </w:r>
            <w:r w:rsidRPr="00F50C10">
              <w:rPr>
                <w:rFonts w:cs="Times New Roman"/>
                <w:b/>
                <w:bCs/>
                <w:szCs w:val="24"/>
                <w:vertAlign w:val="subscript"/>
              </w:rPr>
              <w:t>3</w:t>
            </w:r>
          </w:p>
        </w:tc>
      </w:tr>
      <w:tr w:rsidR="00F6441B" w:rsidRPr="00F50C10" w14:paraId="7AC93BF2" w14:textId="77777777" w:rsidTr="00116C54">
        <w:trPr>
          <w:trHeight w:val="20"/>
        </w:trPr>
        <w:tc>
          <w:tcPr>
            <w:tcW w:w="2478" w:type="pct"/>
            <w:vAlign w:val="center"/>
          </w:tcPr>
          <w:p w14:paraId="2141B7DE" w14:textId="77777777" w:rsidR="00F6441B" w:rsidRPr="00F50C10" w:rsidRDefault="00F6441B" w:rsidP="000B206D">
            <w:pPr>
              <w:spacing w:line="276" w:lineRule="auto"/>
              <w:ind w:left="72" w:right="72"/>
              <w:rPr>
                <w:rFonts w:cs="Times New Roman"/>
                <w:szCs w:val="24"/>
              </w:rPr>
            </w:pPr>
            <w:r w:rsidRPr="00F50C10">
              <w:rPr>
                <w:rFonts w:cs="Times New Roman"/>
                <w:szCs w:val="24"/>
              </w:rPr>
              <w:t>Konvansiyonel dönüştürme işlemi, indirgenmiş birincil dönüştürme ile ilgili işlemler ya da ısı değişimi oto-termal dönüştürme</w:t>
            </w:r>
          </w:p>
        </w:tc>
        <w:tc>
          <w:tcPr>
            <w:tcW w:w="2522" w:type="pct"/>
            <w:vAlign w:val="center"/>
          </w:tcPr>
          <w:p w14:paraId="71378A80" w14:textId="77777777" w:rsidR="00F6441B" w:rsidRPr="00F50C10" w:rsidRDefault="00F6441B" w:rsidP="000B206D">
            <w:pPr>
              <w:pStyle w:val="ListeParagraf"/>
              <w:spacing w:line="276" w:lineRule="auto"/>
              <w:ind w:left="72" w:right="72"/>
              <w:jc w:val="center"/>
              <w:rPr>
                <w:rFonts w:cs="Times New Roman"/>
                <w:szCs w:val="24"/>
              </w:rPr>
            </w:pPr>
            <w:r w:rsidRPr="00F50C10">
              <w:rPr>
                <w:rFonts w:cs="Times New Roman"/>
                <w:szCs w:val="24"/>
              </w:rPr>
              <w:t>27,6 – 31,8</w:t>
            </w:r>
          </w:p>
        </w:tc>
      </w:tr>
      <w:tr w:rsidR="00F6441B" w:rsidRPr="00F50C10" w14:paraId="469AFA4E" w14:textId="77777777" w:rsidTr="00116C54">
        <w:trPr>
          <w:trHeight w:val="20"/>
        </w:trPr>
        <w:tc>
          <w:tcPr>
            <w:tcW w:w="5000" w:type="pct"/>
            <w:gridSpan w:val="2"/>
            <w:vAlign w:val="center"/>
          </w:tcPr>
          <w:p w14:paraId="150D9F0A" w14:textId="26B0D297" w:rsidR="00F6441B" w:rsidRPr="00F50C10" w:rsidRDefault="00F6441B" w:rsidP="000B206D">
            <w:pPr>
              <w:pStyle w:val="ListeParagraf"/>
              <w:spacing w:line="276" w:lineRule="auto"/>
              <w:ind w:left="72" w:right="72"/>
              <w:rPr>
                <w:rFonts w:cs="Times New Roman"/>
                <w:i/>
                <w:iCs/>
                <w:szCs w:val="24"/>
              </w:rPr>
            </w:pPr>
            <w:r w:rsidRPr="00F50C10">
              <w:rPr>
                <w:rFonts w:cs="Times New Roman"/>
                <w:i/>
                <w:iCs/>
                <w:szCs w:val="24"/>
              </w:rPr>
              <w:t xml:space="preserve">* Enerji tüketim seviyelerinin yorumlanması için, MET Referans Belgesinin 2.3.1.1 Kısmını </w:t>
            </w:r>
            <w:r w:rsidR="000F4DB3" w:rsidRPr="00F50C10">
              <w:rPr>
                <w:rFonts w:cs="Times New Roman"/>
                <w:i/>
                <w:iCs/>
                <w:szCs w:val="24"/>
              </w:rPr>
              <w:t>inceleyiniz</w:t>
            </w:r>
            <w:r w:rsidRPr="00F50C10">
              <w:rPr>
                <w:rFonts w:cs="Times New Roman"/>
                <w:i/>
                <w:iCs/>
                <w:szCs w:val="24"/>
              </w:rPr>
              <w:t>. Sonuç olarak, seviyeler ± 1,5 GJ’ye kadar değişiklik gösterebilir. Genel olarak, kararlı durum işlemlerine bağlı olan seviyeler, yenileme ya da bakım sonrası performans testinde belirlenebilir.</w:t>
            </w:r>
          </w:p>
        </w:tc>
      </w:tr>
    </w:tbl>
    <w:p w14:paraId="42815A9A" w14:textId="77777777" w:rsidR="00F6441B" w:rsidRPr="00F50C10" w:rsidRDefault="00F6441B" w:rsidP="000B206D">
      <w:pPr>
        <w:spacing w:line="276" w:lineRule="auto"/>
        <w:rPr>
          <w:rFonts w:cs="Times New Roman"/>
          <w:b/>
          <w:szCs w:val="24"/>
        </w:rPr>
      </w:pPr>
    </w:p>
    <w:p w14:paraId="777D9EBB" w14:textId="0FCC9D60" w:rsidR="00F6441B" w:rsidRPr="00F50C10" w:rsidRDefault="00F6441B" w:rsidP="000B206D">
      <w:pPr>
        <w:spacing w:after="120" w:line="276" w:lineRule="auto"/>
        <w:rPr>
          <w:rFonts w:cs="Times New Roman"/>
          <w:bCs/>
          <w:szCs w:val="24"/>
        </w:rPr>
      </w:pPr>
      <w:r w:rsidRPr="00F50C10">
        <w:rPr>
          <w:rFonts w:cs="Times New Roman"/>
          <w:b/>
          <w:szCs w:val="24"/>
        </w:rPr>
        <w:t xml:space="preserve">MET 12: </w:t>
      </w:r>
      <w:r w:rsidRPr="00F50C10">
        <w:rPr>
          <w:rFonts w:cs="Times New Roman"/>
          <w:bCs/>
          <w:szCs w:val="24"/>
        </w:rPr>
        <w:t xml:space="preserve">Kısmi oksidasyon için </w:t>
      </w:r>
      <w:r w:rsidR="0005737C" w:rsidRPr="00F50C10">
        <w:rPr>
          <w:rFonts w:cs="Times New Roman"/>
          <w:bCs/>
          <w:szCs w:val="24"/>
        </w:rPr>
        <w:t>Claus</w:t>
      </w:r>
      <w:r w:rsidRPr="00F50C10">
        <w:rPr>
          <w:rFonts w:cs="Times New Roman"/>
          <w:bCs/>
          <w:szCs w:val="24"/>
        </w:rPr>
        <w:t xml:space="preserve"> ünitesi ile atık gaz arıtımı kombinasyonunun uygulanması ile </w:t>
      </w:r>
      <w:r w:rsidR="00761582" w:rsidRPr="00F50C10">
        <w:rPr>
          <w:rFonts w:cs="Times New Roman"/>
          <w:bCs/>
          <w:szCs w:val="24"/>
        </w:rPr>
        <w:t>kükürt</w:t>
      </w:r>
      <w:r w:rsidRPr="00F50C10">
        <w:rPr>
          <w:rFonts w:cs="Times New Roman"/>
          <w:bCs/>
          <w:szCs w:val="24"/>
        </w:rPr>
        <w:t xml:space="preserve"> baca gazından geri </w:t>
      </w:r>
      <w:r w:rsidR="00761582" w:rsidRPr="00F50C10">
        <w:rPr>
          <w:rFonts w:cs="Times New Roman"/>
          <w:bCs/>
          <w:szCs w:val="24"/>
        </w:rPr>
        <w:t>kazanılır</w:t>
      </w:r>
      <w:r w:rsidRPr="00F50C10">
        <w:rPr>
          <w:rFonts w:cs="Times New Roman"/>
          <w:bCs/>
          <w:szCs w:val="24"/>
        </w:rPr>
        <w:t xml:space="preserve"> ve MET ile ilişkili emisyon seviyeleri ve verimlili</w:t>
      </w:r>
      <w:r w:rsidR="0005737C" w:rsidRPr="00F50C10">
        <w:rPr>
          <w:rFonts w:cs="Times New Roman"/>
          <w:bCs/>
          <w:szCs w:val="24"/>
        </w:rPr>
        <w:t>ğ</w:t>
      </w:r>
      <w:r w:rsidRPr="00F50C10">
        <w:rPr>
          <w:rFonts w:cs="Times New Roman"/>
          <w:bCs/>
          <w:szCs w:val="24"/>
        </w:rPr>
        <w:t>e ulaşılır.</w:t>
      </w:r>
    </w:p>
    <w:p w14:paraId="293F7581" w14:textId="7B6802C9" w:rsidR="00F6441B" w:rsidRPr="00F50C10" w:rsidRDefault="00F6441B" w:rsidP="000B206D">
      <w:pPr>
        <w:spacing w:after="120" w:line="276" w:lineRule="auto"/>
        <w:rPr>
          <w:rFonts w:cs="Times New Roman"/>
          <w:b/>
          <w:szCs w:val="24"/>
        </w:rPr>
      </w:pPr>
      <w:r w:rsidRPr="00F50C10">
        <w:rPr>
          <w:rFonts w:cs="Times New Roman"/>
          <w:b/>
          <w:szCs w:val="24"/>
        </w:rPr>
        <w:t xml:space="preserve">MET 13: </w:t>
      </w:r>
      <w:r w:rsidRPr="00F50C10">
        <w:rPr>
          <w:rFonts w:cs="Times New Roman"/>
          <w:bCs/>
          <w:szCs w:val="24"/>
        </w:rPr>
        <w:t>NH</w:t>
      </w:r>
      <w:r w:rsidRPr="00F50C10">
        <w:rPr>
          <w:rFonts w:cs="Times New Roman"/>
          <w:bCs/>
          <w:szCs w:val="24"/>
          <w:vertAlign w:val="subscript"/>
        </w:rPr>
        <w:t>3</w:t>
      </w:r>
      <w:r w:rsidRPr="00F50C10">
        <w:rPr>
          <w:rFonts w:cs="Times New Roman"/>
          <w:bCs/>
          <w:szCs w:val="24"/>
        </w:rPr>
        <w:t xml:space="preserve"> sıyırma vb. işlemle</w:t>
      </w:r>
      <w:r w:rsidR="00761582" w:rsidRPr="00F50C10">
        <w:rPr>
          <w:rFonts w:cs="Times New Roman"/>
          <w:bCs/>
          <w:szCs w:val="24"/>
        </w:rPr>
        <w:t>rle</w:t>
      </w:r>
      <w:r w:rsidRPr="00F50C10">
        <w:rPr>
          <w:rFonts w:cs="Times New Roman"/>
          <w:bCs/>
          <w:szCs w:val="24"/>
        </w:rPr>
        <w:t xml:space="preserve"> proses kondensatlarından ayrılır.</w:t>
      </w:r>
    </w:p>
    <w:p w14:paraId="028B9C3A" w14:textId="182DE579" w:rsidR="00F6441B" w:rsidRPr="00F50C10" w:rsidRDefault="00F6441B" w:rsidP="000B206D">
      <w:pPr>
        <w:spacing w:after="120" w:line="276" w:lineRule="auto"/>
        <w:rPr>
          <w:rFonts w:cs="Times New Roman"/>
          <w:bCs/>
          <w:szCs w:val="24"/>
        </w:rPr>
      </w:pPr>
      <w:r w:rsidRPr="00F50C10">
        <w:rPr>
          <w:rFonts w:cs="Times New Roman"/>
          <w:b/>
          <w:szCs w:val="24"/>
        </w:rPr>
        <w:t xml:space="preserve">MET 14: </w:t>
      </w:r>
      <w:r w:rsidRPr="00F50C10">
        <w:rPr>
          <w:rFonts w:cs="Times New Roman"/>
          <w:bCs/>
          <w:szCs w:val="24"/>
        </w:rPr>
        <w:t>NH</w:t>
      </w:r>
      <w:r w:rsidRPr="00F50C10">
        <w:rPr>
          <w:rFonts w:cs="Times New Roman"/>
          <w:bCs/>
          <w:szCs w:val="24"/>
          <w:vertAlign w:val="subscript"/>
        </w:rPr>
        <w:t>3</w:t>
      </w:r>
      <w:r w:rsidRPr="00F50C10">
        <w:rPr>
          <w:rFonts w:cs="Times New Roman"/>
          <w:bCs/>
          <w:szCs w:val="24"/>
        </w:rPr>
        <w:t xml:space="preserve"> kapalı döngüde tasfiye ve flaş gazlardan geri kazanılır.</w:t>
      </w:r>
    </w:p>
    <w:p w14:paraId="40F4FFB0" w14:textId="77777777" w:rsidR="00F6441B" w:rsidRPr="00F50C10" w:rsidRDefault="00F6441B" w:rsidP="000B206D">
      <w:pPr>
        <w:spacing w:after="120" w:line="276" w:lineRule="auto"/>
        <w:rPr>
          <w:rFonts w:cs="Times New Roman"/>
          <w:b/>
          <w:szCs w:val="24"/>
        </w:rPr>
      </w:pPr>
      <w:r w:rsidRPr="00F50C10">
        <w:rPr>
          <w:rFonts w:cs="Times New Roman"/>
          <w:b/>
          <w:szCs w:val="24"/>
        </w:rPr>
        <w:t>MET 15: Referans Belgesinin 2.4.25 Kısmına göre, açma/kapama ve diğer anormal işletme koşullarının ele alınmasıdır.</w:t>
      </w:r>
    </w:p>
    <w:p w14:paraId="1201D9A3" w14:textId="77777777" w:rsidR="00F6441B" w:rsidRPr="00F50C10" w:rsidRDefault="00F6441B" w:rsidP="00A654AE">
      <w:pPr>
        <w:pStyle w:val="Balk2"/>
        <w:numPr>
          <w:ilvl w:val="1"/>
          <w:numId w:val="72"/>
        </w:numPr>
        <w:spacing w:before="0" w:after="120" w:line="276" w:lineRule="auto"/>
        <w:rPr>
          <w:rFonts w:cs="Times New Roman"/>
          <w:szCs w:val="24"/>
        </w:rPr>
      </w:pPr>
      <w:r w:rsidRPr="00F50C10">
        <w:rPr>
          <w:rFonts w:cs="Times New Roman"/>
          <w:szCs w:val="24"/>
        </w:rPr>
        <w:t>Nitrik asit için MET</w:t>
      </w:r>
    </w:p>
    <w:p w14:paraId="6C06EC66" w14:textId="01DA1A9F" w:rsidR="00F6441B" w:rsidRPr="00F50C10" w:rsidRDefault="00F6441B" w:rsidP="000B206D">
      <w:pPr>
        <w:spacing w:after="120" w:line="276" w:lineRule="auto"/>
        <w:rPr>
          <w:rFonts w:cs="Times New Roman"/>
          <w:szCs w:val="24"/>
        </w:rPr>
      </w:pPr>
      <w:r w:rsidRPr="00F50C10">
        <w:rPr>
          <w:rFonts w:cs="Times New Roman"/>
          <w:b/>
          <w:bCs/>
          <w:szCs w:val="24"/>
        </w:rPr>
        <w:t>MET 16:</w:t>
      </w:r>
      <w:r w:rsidRPr="00F50C10">
        <w:rPr>
          <w:rFonts w:cs="Times New Roman"/>
          <w:szCs w:val="24"/>
        </w:rPr>
        <w:t xml:space="preserve">  </w:t>
      </w:r>
      <w:r w:rsidR="00A40D09" w:rsidRPr="00F50C10">
        <w:rPr>
          <w:rFonts w:cs="Times New Roman"/>
          <w:szCs w:val="24"/>
        </w:rPr>
        <w:t>Genel</w:t>
      </w:r>
      <w:r w:rsidRPr="00F50C10">
        <w:rPr>
          <w:rFonts w:cs="Times New Roman"/>
          <w:spacing w:val="-7"/>
          <w:szCs w:val="24"/>
        </w:rPr>
        <w:t xml:space="preserve"> </w:t>
      </w:r>
      <w:r w:rsidRPr="00F50C10">
        <w:rPr>
          <w:rFonts w:cs="Times New Roman"/>
          <w:szCs w:val="24"/>
        </w:rPr>
        <w:t>MET</w:t>
      </w:r>
      <w:r w:rsidRPr="00F50C10">
        <w:rPr>
          <w:rFonts w:cs="Times New Roman"/>
          <w:spacing w:val="-4"/>
          <w:szCs w:val="24"/>
        </w:rPr>
        <w:t xml:space="preserve"> </w:t>
      </w:r>
      <w:r w:rsidRPr="00F50C10">
        <w:rPr>
          <w:rFonts w:cs="Times New Roman"/>
          <w:szCs w:val="24"/>
        </w:rPr>
        <w:t>uygula</w:t>
      </w:r>
      <w:r w:rsidR="00A40D09" w:rsidRPr="00F50C10">
        <w:rPr>
          <w:rFonts w:cs="Times New Roman"/>
          <w:szCs w:val="24"/>
        </w:rPr>
        <w:t>n</w:t>
      </w:r>
      <w:r w:rsidRPr="00F50C10">
        <w:rPr>
          <w:rFonts w:cs="Times New Roman"/>
          <w:szCs w:val="24"/>
        </w:rPr>
        <w:t xml:space="preserve">ır. </w:t>
      </w:r>
    </w:p>
    <w:p w14:paraId="60A7E902" w14:textId="13EBE006" w:rsidR="00F6441B" w:rsidRPr="00F50C10" w:rsidRDefault="00F6441B" w:rsidP="000B206D">
      <w:pPr>
        <w:spacing w:after="120" w:line="276" w:lineRule="auto"/>
        <w:rPr>
          <w:rFonts w:cs="Times New Roman"/>
          <w:szCs w:val="24"/>
        </w:rPr>
      </w:pPr>
      <w:r w:rsidRPr="00F50C10">
        <w:rPr>
          <w:rFonts w:cs="Times New Roman"/>
          <w:b/>
          <w:bCs/>
          <w:szCs w:val="24"/>
        </w:rPr>
        <w:t xml:space="preserve">MET 17: </w:t>
      </w:r>
      <w:r w:rsidRPr="00F50C10">
        <w:rPr>
          <w:rFonts w:cs="Times New Roman"/>
          <w:szCs w:val="24"/>
        </w:rPr>
        <w:t>Depolama için Depolama</w:t>
      </w:r>
      <w:r w:rsidR="0018049B" w:rsidRPr="00F50C10">
        <w:rPr>
          <w:rFonts w:cs="Times New Roman"/>
          <w:szCs w:val="24"/>
        </w:rPr>
        <w:t>dan K</w:t>
      </w:r>
      <w:r w:rsidRPr="00F50C10">
        <w:rPr>
          <w:rFonts w:cs="Times New Roman"/>
          <w:szCs w:val="24"/>
        </w:rPr>
        <w:t xml:space="preserve">aynaklanan </w:t>
      </w:r>
      <w:r w:rsidR="0018049B" w:rsidRPr="00F50C10">
        <w:rPr>
          <w:rFonts w:cs="Times New Roman"/>
          <w:szCs w:val="24"/>
        </w:rPr>
        <w:t>E</w:t>
      </w:r>
      <w:r w:rsidRPr="00F50C10">
        <w:rPr>
          <w:rFonts w:cs="Times New Roman"/>
          <w:szCs w:val="24"/>
        </w:rPr>
        <w:t xml:space="preserve">misyonlara ilişkin MET Referans Belgesi’nde yer alan </w:t>
      </w:r>
      <w:r w:rsidR="00F05BC9" w:rsidRPr="00F50C10">
        <w:rPr>
          <w:rFonts w:cs="Times New Roman"/>
          <w:szCs w:val="24"/>
        </w:rPr>
        <w:t>MET</w:t>
      </w:r>
      <w:r w:rsidRPr="00F50C10">
        <w:rPr>
          <w:rFonts w:cs="Times New Roman"/>
          <w:szCs w:val="24"/>
        </w:rPr>
        <w:t xml:space="preserve"> uygulanır.</w:t>
      </w:r>
    </w:p>
    <w:p w14:paraId="24A2D78E" w14:textId="77777777" w:rsidR="00F6441B" w:rsidRPr="00F50C10" w:rsidRDefault="00F6441B" w:rsidP="000B206D">
      <w:pPr>
        <w:spacing w:after="120" w:line="276" w:lineRule="auto"/>
        <w:rPr>
          <w:rFonts w:cs="Times New Roman"/>
          <w:szCs w:val="24"/>
        </w:rPr>
      </w:pPr>
      <w:r w:rsidRPr="00F50C10">
        <w:rPr>
          <w:rFonts w:cs="Times New Roman"/>
          <w:b/>
          <w:bCs/>
          <w:szCs w:val="24"/>
        </w:rPr>
        <w:t xml:space="preserve">MET 18: </w:t>
      </w:r>
      <w:r w:rsidRPr="00F50C10">
        <w:rPr>
          <w:rFonts w:cs="Times New Roman"/>
          <w:szCs w:val="24"/>
        </w:rPr>
        <w:t>Geri kazanılabilir enerji kullanılmasıdır: birlikte üretilen buhar ve/veya elektrik gücü.</w:t>
      </w:r>
    </w:p>
    <w:p w14:paraId="163436A9" w14:textId="574CC9F3" w:rsidR="00F6441B" w:rsidRPr="00F50C10" w:rsidRDefault="00F6441B" w:rsidP="000B206D">
      <w:pPr>
        <w:spacing w:after="120" w:line="276" w:lineRule="auto"/>
        <w:rPr>
          <w:rFonts w:cs="Times New Roman"/>
          <w:szCs w:val="24"/>
        </w:rPr>
      </w:pPr>
      <w:r w:rsidRPr="00F50C10">
        <w:rPr>
          <w:rFonts w:cs="Times New Roman"/>
          <w:b/>
          <w:bCs/>
          <w:szCs w:val="24"/>
        </w:rPr>
        <w:t>MET 19</w:t>
      </w:r>
      <w:r w:rsidRPr="00F50C10">
        <w:rPr>
          <w:rFonts w:cs="Times New Roman"/>
          <w:szCs w:val="24"/>
        </w:rPr>
        <w:t>: N</w:t>
      </w:r>
      <w:r w:rsidRPr="00F50C10">
        <w:rPr>
          <w:rFonts w:cs="Times New Roman"/>
          <w:szCs w:val="24"/>
          <w:vertAlign w:val="subscript"/>
        </w:rPr>
        <w:t>2</w:t>
      </w:r>
      <w:r w:rsidRPr="00F50C10">
        <w:rPr>
          <w:rFonts w:cs="Times New Roman"/>
          <w:szCs w:val="24"/>
        </w:rPr>
        <w:t>O emisyonları azaltılı</w:t>
      </w:r>
      <w:r w:rsidR="00761582" w:rsidRPr="00F50C10">
        <w:rPr>
          <w:rFonts w:cs="Times New Roman"/>
          <w:szCs w:val="24"/>
        </w:rPr>
        <w:t>r</w:t>
      </w:r>
      <w:r w:rsidRPr="00F50C10">
        <w:rPr>
          <w:rFonts w:cs="Times New Roman"/>
          <w:szCs w:val="24"/>
        </w:rPr>
        <w:t xml:space="preserve"> ve aşağıdaki tekniklerin bir kombinasyonunu uygulayarak </w:t>
      </w:r>
      <w:r w:rsidRPr="00F50C10">
        <w:rPr>
          <w:rFonts w:cs="Times New Roman"/>
          <w:szCs w:val="24"/>
        </w:rPr>
        <w:fldChar w:fldCharType="begin"/>
      </w:r>
      <w:r w:rsidRPr="00F50C10">
        <w:rPr>
          <w:rFonts w:cs="Times New Roman"/>
          <w:szCs w:val="24"/>
        </w:rPr>
        <w:instrText xml:space="preserve"> REF _Ref134542860 \h  \* MERGEFORMAT </w:instrText>
      </w:r>
      <w:r w:rsidRPr="00F50C10">
        <w:rPr>
          <w:rFonts w:cs="Times New Roman"/>
          <w:szCs w:val="24"/>
        </w:rPr>
      </w:r>
      <w:r w:rsidRPr="00F50C10">
        <w:rPr>
          <w:rFonts w:cs="Times New Roman"/>
          <w:szCs w:val="24"/>
        </w:rPr>
        <w:fldChar w:fldCharType="separate"/>
      </w:r>
      <w:r w:rsidRPr="00F50C10">
        <w:rPr>
          <w:rFonts w:cs="Times New Roman"/>
          <w:szCs w:val="24"/>
        </w:rPr>
        <w:t xml:space="preserve">Tablo </w:t>
      </w:r>
      <w:r w:rsidRPr="00F50C10">
        <w:rPr>
          <w:rFonts w:cs="Times New Roman"/>
          <w:noProof/>
          <w:szCs w:val="24"/>
        </w:rPr>
        <w:t>3</w:t>
      </w:r>
      <w:r w:rsidRPr="00F50C10">
        <w:rPr>
          <w:rFonts w:cs="Times New Roman"/>
          <w:szCs w:val="24"/>
        </w:rPr>
        <w:fldChar w:fldCharType="end"/>
      </w:r>
      <w:r w:rsidRPr="00F50C10">
        <w:rPr>
          <w:rFonts w:cs="Times New Roman"/>
          <w:szCs w:val="24"/>
        </w:rPr>
        <w:t>’te verilen emisyon faktörlerine veya emisyon konsantrasyon seviyelerine ulaşılır:</w:t>
      </w:r>
      <w:r w:rsidR="0005737C" w:rsidRPr="00F50C10">
        <w:rPr>
          <w:rFonts w:cs="Times New Roman"/>
          <w:szCs w:val="24"/>
        </w:rPr>
        <w:t xml:space="preserve"> </w:t>
      </w:r>
    </w:p>
    <w:p w14:paraId="6C219D3A" w14:textId="42B31B64" w:rsidR="00F6441B" w:rsidRPr="00F50C10" w:rsidRDefault="00F6441B" w:rsidP="00A654AE">
      <w:pPr>
        <w:pStyle w:val="ListeParagraf"/>
        <w:numPr>
          <w:ilvl w:val="0"/>
          <w:numId w:val="73"/>
        </w:numPr>
        <w:spacing w:after="120" w:line="276" w:lineRule="auto"/>
        <w:rPr>
          <w:rFonts w:cs="Times New Roman"/>
          <w:bCs/>
          <w:szCs w:val="24"/>
        </w:rPr>
      </w:pPr>
      <w:r w:rsidRPr="00F50C10">
        <w:rPr>
          <w:rFonts w:cs="Times New Roman"/>
          <w:bCs/>
          <w:szCs w:val="24"/>
        </w:rPr>
        <w:t>hammaddelerin filtrelemesinin optimize edilmesi</w:t>
      </w:r>
      <w:r w:rsidR="00761582" w:rsidRPr="00F50C10">
        <w:rPr>
          <w:rFonts w:cs="Times New Roman"/>
          <w:bCs/>
          <w:szCs w:val="24"/>
        </w:rPr>
        <w:t>,</w:t>
      </w:r>
    </w:p>
    <w:p w14:paraId="60999DE0" w14:textId="35E118D0" w:rsidR="00F6441B" w:rsidRPr="00F50C10" w:rsidRDefault="00F6441B" w:rsidP="00A654AE">
      <w:pPr>
        <w:pStyle w:val="ListeParagraf"/>
        <w:numPr>
          <w:ilvl w:val="0"/>
          <w:numId w:val="73"/>
        </w:numPr>
        <w:spacing w:after="120" w:line="276" w:lineRule="auto"/>
        <w:rPr>
          <w:rFonts w:cs="Times New Roman"/>
          <w:bCs/>
          <w:szCs w:val="24"/>
        </w:rPr>
      </w:pPr>
      <w:r w:rsidRPr="00F50C10">
        <w:rPr>
          <w:rFonts w:cs="Times New Roman"/>
          <w:bCs/>
          <w:szCs w:val="24"/>
        </w:rPr>
        <w:t>hammaddelerin karıştırılmasının optimize edilmesi</w:t>
      </w:r>
      <w:r w:rsidR="00761582" w:rsidRPr="00F50C10">
        <w:rPr>
          <w:rFonts w:cs="Times New Roman"/>
          <w:bCs/>
          <w:szCs w:val="24"/>
        </w:rPr>
        <w:t>,</w:t>
      </w:r>
    </w:p>
    <w:p w14:paraId="004A721F" w14:textId="555F461C" w:rsidR="00F6441B" w:rsidRPr="00F50C10" w:rsidRDefault="00F6441B" w:rsidP="00A654AE">
      <w:pPr>
        <w:pStyle w:val="ListeParagraf"/>
        <w:numPr>
          <w:ilvl w:val="0"/>
          <w:numId w:val="73"/>
        </w:numPr>
        <w:spacing w:after="120" w:line="276" w:lineRule="auto"/>
        <w:rPr>
          <w:rFonts w:cs="Times New Roman"/>
          <w:bCs/>
          <w:szCs w:val="24"/>
        </w:rPr>
      </w:pPr>
      <w:r w:rsidRPr="00F50C10">
        <w:rPr>
          <w:rFonts w:cs="Times New Roman"/>
          <w:bCs/>
          <w:szCs w:val="24"/>
        </w:rPr>
        <w:t>gazların katalizör üzerinde dağılmasının optimize edilmesi</w:t>
      </w:r>
      <w:r w:rsidR="00761582" w:rsidRPr="00F50C10">
        <w:rPr>
          <w:rFonts w:cs="Times New Roman"/>
          <w:bCs/>
          <w:szCs w:val="24"/>
        </w:rPr>
        <w:t>,</w:t>
      </w:r>
    </w:p>
    <w:p w14:paraId="4308B746" w14:textId="449C0D59" w:rsidR="00F6441B" w:rsidRPr="00F50C10" w:rsidRDefault="00F6441B" w:rsidP="00A654AE">
      <w:pPr>
        <w:pStyle w:val="ListeParagraf"/>
        <w:numPr>
          <w:ilvl w:val="0"/>
          <w:numId w:val="73"/>
        </w:numPr>
        <w:spacing w:after="120" w:line="276" w:lineRule="auto"/>
        <w:rPr>
          <w:rFonts w:cs="Times New Roman"/>
          <w:bCs/>
          <w:szCs w:val="24"/>
        </w:rPr>
      </w:pPr>
      <w:r w:rsidRPr="00F50C10">
        <w:rPr>
          <w:rFonts w:cs="Times New Roman"/>
          <w:bCs/>
          <w:szCs w:val="24"/>
        </w:rPr>
        <w:t>katalizör performansının izlenmesi ve sürecin buna göre ayarlanması</w:t>
      </w:r>
      <w:r w:rsidR="00761582" w:rsidRPr="00F50C10">
        <w:rPr>
          <w:rFonts w:cs="Times New Roman"/>
          <w:bCs/>
          <w:szCs w:val="24"/>
        </w:rPr>
        <w:t>,</w:t>
      </w:r>
    </w:p>
    <w:p w14:paraId="406BD21F" w14:textId="163B2E52" w:rsidR="00F6441B" w:rsidRPr="00F50C10" w:rsidRDefault="00F6441B" w:rsidP="00A654AE">
      <w:pPr>
        <w:pStyle w:val="ListeParagraf"/>
        <w:numPr>
          <w:ilvl w:val="0"/>
          <w:numId w:val="73"/>
        </w:numPr>
        <w:spacing w:after="120" w:line="276" w:lineRule="auto"/>
        <w:rPr>
          <w:rFonts w:cs="Times New Roman"/>
          <w:bCs/>
          <w:szCs w:val="24"/>
        </w:rPr>
      </w:pPr>
      <w:r w:rsidRPr="00F50C10">
        <w:rPr>
          <w:rFonts w:cs="Times New Roman"/>
          <w:bCs/>
          <w:szCs w:val="24"/>
        </w:rPr>
        <w:t>NH</w:t>
      </w:r>
      <w:r w:rsidRPr="00F50C10">
        <w:rPr>
          <w:rFonts w:cs="Times New Roman"/>
          <w:bCs/>
          <w:szCs w:val="24"/>
          <w:vertAlign w:val="subscript"/>
        </w:rPr>
        <w:t>3</w:t>
      </w:r>
      <w:r w:rsidRPr="00F50C10">
        <w:rPr>
          <w:rFonts w:cs="Times New Roman"/>
          <w:bCs/>
          <w:szCs w:val="24"/>
        </w:rPr>
        <w:t>/hava oranının optimize edilmesi</w:t>
      </w:r>
      <w:r w:rsidR="00761582" w:rsidRPr="00F50C10">
        <w:rPr>
          <w:rFonts w:cs="Times New Roman"/>
          <w:bCs/>
          <w:szCs w:val="24"/>
        </w:rPr>
        <w:t>,</w:t>
      </w:r>
    </w:p>
    <w:p w14:paraId="0368C163" w14:textId="34A1829C" w:rsidR="00F6441B" w:rsidRPr="00F50C10" w:rsidRDefault="00F6441B" w:rsidP="00A654AE">
      <w:pPr>
        <w:pStyle w:val="ListeParagraf"/>
        <w:numPr>
          <w:ilvl w:val="0"/>
          <w:numId w:val="73"/>
        </w:numPr>
        <w:spacing w:after="120" w:line="276" w:lineRule="auto"/>
        <w:rPr>
          <w:rFonts w:cs="Times New Roman"/>
          <w:bCs/>
          <w:szCs w:val="24"/>
        </w:rPr>
      </w:pPr>
      <w:r w:rsidRPr="00F50C10">
        <w:rPr>
          <w:rFonts w:cs="Times New Roman"/>
          <w:bCs/>
          <w:szCs w:val="24"/>
        </w:rPr>
        <w:t>oksidasyon aşamasının basınç ve sıcaklığının optimize edilmesi</w:t>
      </w:r>
      <w:r w:rsidR="00761582" w:rsidRPr="00F50C10">
        <w:rPr>
          <w:rFonts w:cs="Times New Roman"/>
          <w:bCs/>
          <w:szCs w:val="24"/>
        </w:rPr>
        <w:t>,</w:t>
      </w:r>
    </w:p>
    <w:p w14:paraId="64CFA970" w14:textId="58E9515D" w:rsidR="00F6441B" w:rsidRPr="00F50C10" w:rsidRDefault="00F6441B" w:rsidP="00A654AE">
      <w:pPr>
        <w:pStyle w:val="ListeParagraf"/>
        <w:numPr>
          <w:ilvl w:val="0"/>
          <w:numId w:val="73"/>
        </w:numPr>
        <w:spacing w:after="120" w:line="276" w:lineRule="auto"/>
        <w:rPr>
          <w:rFonts w:cs="Times New Roman"/>
          <w:bCs/>
          <w:szCs w:val="24"/>
        </w:rPr>
      </w:pPr>
      <w:r w:rsidRPr="00F50C10">
        <w:rPr>
          <w:rFonts w:cs="Times New Roman"/>
          <w:bCs/>
          <w:szCs w:val="24"/>
        </w:rPr>
        <w:t>yeni tesislerde reaktör odasının genişletilmesiyle N</w:t>
      </w:r>
      <w:r w:rsidRPr="00F50C10">
        <w:rPr>
          <w:rFonts w:cs="Times New Roman"/>
          <w:bCs/>
          <w:szCs w:val="24"/>
          <w:vertAlign w:val="subscript"/>
        </w:rPr>
        <w:t>2</w:t>
      </w:r>
      <w:r w:rsidRPr="00F50C10">
        <w:rPr>
          <w:rFonts w:cs="Times New Roman"/>
          <w:bCs/>
          <w:szCs w:val="24"/>
        </w:rPr>
        <w:t>O</w:t>
      </w:r>
      <w:r w:rsidR="007C54DC" w:rsidRPr="00F50C10">
        <w:rPr>
          <w:rFonts w:cs="Times New Roman"/>
          <w:bCs/>
          <w:szCs w:val="24"/>
        </w:rPr>
        <w:t>’nun</w:t>
      </w:r>
      <w:r w:rsidRPr="00F50C10">
        <w:rPr>
          <w:rFonts w:cs="Times New Roman"/>
          <w:bCs/>
          <w:szCs w:val="24"/>
        </w:rPr>
        <w:t xml:space="preserve"> dekompozisyonu</w:t>
      </w:r>
      <w:r w:rsidR="00761582" w:rsidRPr="00F50C10">
        <w:rPr>
          <w:rFonts w:cs="Times New Roman"/>
          <w:bCs/>
          <w:szCs w:val="24"/>
        </w:rPr>
        <w:t>,</w:t>
      </w:r>
    </w:p>
    <w:p w14:paraId="0DA4098E" w14:textId="4DABEEFF" w:rsidR="00F6441B" w:rsidRPr="00F50C10" w:rsidRDefault="00F6441B" w:rsidP="00A654AE">
      <w:pPr>
        <w:pStyle w:val="ListeParagraf"/>
        <w:numPr>
          <w:ilvl w:val="0"/>
          <w:numId w:val="73"/>
        </w:numPr>
        <w:spacing w:after="120" w:line="276" w:lineRule="auto"/>
        <w:rPr>
          <w:rFonts w:cs="Times New Roman"/>
          <w:bCs/>
          <w:szCs w:val="24"/>
        </w:rPr>
      </w:pPr>
      <w:r w:rsidRPr="00F50C10">
        <w:rPr>
          <w:rFonts w:cs="Times New Roman"/>
          <w:bCs/>
          <w:szCs w:val="24"/>
        </w:rPr>
        <w:t>reaktör odasında N</w:t>
      </w:r>
      <w:r w:rsidRPr="00F50C10">
        <w:rPr>
          <w:rFonts w:cs="Times New Roman"/>
          <w:bCs/>
          <w:szCs w:val="24"/>
          <w:vertAlign w:val="subscript"/>
        </w:rPr>
        <w:t>2</w:t>
      </w:r>
      <w:r w:rsidRPr="00F50C10">
        <w:rPr>
          <w:rFonts w:cs="Times New Roman"/>
          <w:bCs/>
          <w:szCs w:val="24"/>
        </w:rPr>
        <w:t>O’nun katalitik dekompozisyonu</w:t>
      </w:r>
      <w:r w:rsidR="00761582" w:rsidRPr="00F50C10">
        <w:rPr>
          <w:rFonts w:cs="Times New Roman"/>
          <w:bCs/>
          <w:szCs w:val="24"/>
        </w:rPr>
        <w:t>,</w:t>
      </w:r>
    </w:p>
    <w:p w14:paraId="07534BEC" w14:textId="7B323912" w:rsidR="00F6441B" w:rsidRPr="00F50C10" w:rsidRDefault="00F6441B" w:rsidP="00A654AE">
      <w:pPr>
        <w:pStyle w:val="ListeParagraf"/>
        <w:numPr>
          <w:ilvl w:val="0"/>
          <w:numId w:val="73"/>
        </w:numPr>
        <w:spacing w:after="120" w:line="276" w:lineRule="auto"/>
        <w:rPr>
          <w:rFonts w:cs="Times New Roman"/>
          <w:bCs/>
          <w:szCs w:val="24"/>
        </w:rPr>
      </w:pPr>
      <w:r w:rsidRPr="00F50C10">
        <w:rPr>
          <w:rFonts w:cs="Times New Roman"/>
          <w:bCs/>
          <w:szCs w:val="24"/>
        </w:rPr>
        <w:t>a</w:t>
      </w:r>
      <w:r w:rsidR="007C54DC" w:rsidRPr="00F50C10">
        <w:rPr>
          <w:rFonts w:cs="Times New Roman"/>
          <w:bCs/>
          <w:szCs w:val="24"/>
        </w:rPr>
        <w:t>r</w:t>
      </w:r>
      <w:r w:rsidRPr="00F50C10">
        <w:rPr>
          <w:rFonts w:cs="Times New Roman"/>
          <w:bCs/>
          <w:szCs w:val="24"/>
        </w:rPr>
        <w:t>tık gazlarda NO</w:t>
      </w:r>
      <w:r w:rsidRPr="00F50C10">
        <w:rPr>
          <w:rFonts w:cs="Times New Roman"/>
          <w:bCs/>
          <w:szCs w:val="24"/>
          <w:vertAlign w:val="subscript"/>
        </w:rPr>
        <w:t>x</w:t>
      </w:r>
      <w:r w:rsidRPr="00F50C10">
        <w:rPr>
          <w:rFonts w:cs="Times New Roman"/>
          <w:bCs/>
          <w:szCs w:val="24"/>
        </w:rPr>
        <w:t xml:space="preserve"> ve N</w:t>
      </w:r>
      <w:r w:rsidRPr="00F50C10">
        <w:rPr>
          <w:rFonts w:cs="Times New Roman"/>
          <w:bCs/>
          <w:szCs w:val="24"/>
          <w:vertAlign w:val="subscript"/>
        </w:rPr>
        <w:t>2</w:t>
      </w:r>
      <w:r w:rsidRPr="00F50C10">
        <w:rPr>
          <w:rFonts w:cs="Times New Roman"/>
          <w:bCs/>
          <w:szCs w:val="24"/>
        </w:rPr>
        <w:t>O’nun kombine bir şekilde azaltılması</w:t>
      </w:r>
      <w:r w:rsidR="00761582" w:rsidRPr="00F50C10">
        <w:rPr>
          <w:rFonts w:cs="Times New Roman"/>
          <w:bCs/>
          <w:szCs w:val="24"/>
        </w:rPr>
        <w:t>.</w:t>
      </w:r>
    </w:p>
    <w:p w14:paraId="21944EB7" w14:textId="57088E9B" w:rsidR="00F6441B" w:rsidRPr="00F50C10" w:rsidRDefault="0005737C" w:rsidP="000B206D">
      <w:pPr>
        <w:pStyle w:val="ResimYazs"/>
        <w:keepNext/>
        <w:spacing w:after="120" w:line="276" w:lineRule="auto"/>
        <w:rPr>
          <w:rFonts w:cs="Times New Roman"/>
          <w:szCs w:val="24"/>
          <w:lang w:val="tr-TR"/>
        </w:rPr>
      </w:pPr>
      <w:r w:rsidRPr="00F50C10">
        <w:rPr>
          <w:rFonts w:cs="Times New Roman"/>
          <w:szCs w:val="24"/>
          <w:lang w:val="tr-TR"/>
        </w:rPr>
        <w:t xml:space="preserve">Tablo 3. </w:t>
      </w:r>
      <w:r w:rsidR="00F6441B" w:rsidRPr="00F50C10">
        <w:rPr>
          <w:rFonts w:cs="Times New Roman"/>
          <w:szCs w:val="24"/>
          <w:lang w:val="tr-TR"/>
        </w:rPr>
        <w:t>HNO</w:t>
      </w:r>
      <w:r w:rsidR="00F6441B" w:rsidRPr="00F50C10">
        <w:rPr>
          <w:rFonts w:cs="Times New Roman"/>
          <w:szCs w:val="24"/>
          <w:vertAlign w:val="subscript"/>
          <w:lang w:val="tr-TR"/>
        </w:rPr>
        <w:t>3</w:t>
      </w:r>
      <w:r w:rsidR="00F6441B" w:rsidRPr="00F50C10">
        <w:rPr>
          <w:rFonts w:cs="Times New Roman"/>
          <w:szCs w:val="24"/>
          <w:lang w:val="tr-TR"/>
        </w:rPr>
        <w:t xml:space="preserve"> üretimi için MET’in uygulanması ile ilgili N</w:t>
      </w:r>
      <w:r w:rsidR="00F6441B" w:rsidRPr="00F50C10">
        <w:rPr>
          <w:rFonts w:cs="Times New Roman"/>
          <w:szCs w:val="24"/>
          <w:vertAlign w:val="subscript"/>
          <w:lang w:val="tr-TR"/>
        </w:rPr>
        <w:t>2</w:t>
      </w:r>
      <w:r w:rsidR="00F6441B" w:rsidRPr="00F50C10">
        <w:rPr>
          <w:rFonts w:cs="Times New Roman"/>
          <w:szCs w:val="24"/>
          <w:lang w:val="tr-TR"/>
        </w:rPr>
        <w:t>O emisyon seviyeleri</w:t>
      </w:r>
    </w:p>
    <w:tbl>
      <w:tblPr>
        <w:tblStyle w:val="TabloKlavuzu"/>
        <w:tblW w:w="5000" w:type="pct"/>
        <w:tblLook w:val="04A0" w:firstRow="1" w:lastRow="0" w:firstColumn="1" w:lastColumn="0" w:noHBand="0" w:noVBand="1"/>
      </w:tblPr>
      <w:tblGrid>
        <w:gridCol w:w="2327"/>
        <w:gridCol w:w="2327"/>
        <w:gridCol w:w="2328"/>
        <w:gridCol w:w="2328"/>
      </w:tblGrid>
      <w:tr w:rsidR="00F6441B" w:rsidRPr="00F50C10" w14:paraId="0AE9BA6F" w14:textId="77777777" w:rsidTr="00116C54">
        <w:trPr>
          <w:trHeight w:val="20"/>
        </w:trPr>
        <w:tc>
          <w:tcPr>
            <w:tcW w:w="1250" w:type="pct"/>
            <w:vMerge w:val="restart"/>
            <w:vAlign w:val="center"/>
          </w:tcPr>
          <w:p w14:paraId="519C7BE0" w14:textId="77777777" w:rsidR="00F6441B" w:rsidRPr="00F50C10" w:rsidRDefault="00F6441B" w:rsidP="000B206D">
            <w:pPr>
              <w:spacing w:line="276" w:lineRule="auto"/>
              <w:ind w:left="72" w:right="72"/>
              <w:jc w:val="center"/>
              <w:rPr>
                <w:rFonts w:cs="Times New Roman"/>
                <w:szCs w:val="24"/>
              </w:rPr>
            </w:pPr>
          </w:p>
          <w:p w14:paraId="7B491F75" w14:textId="77777777" w:rsidR="00F6441B" w:rsidRPr="00F50C10" w:rsidRDefault="00F6441B" w:rsidP="000B206D">
            <w:pPr>
              <w:spacing w:line="276" w:lineRule="auto"/>
              <w:ind w:left="72" w:right="72"/>
              <w:jc w:val="center"/>
              <w:rPr>
                <w:rFonts w:cs="Times New Roman"/>
                <w:szCs w:val="24"/>
              </w:rPr>
            </w:pPr>
          </w:p>
          <w:p w14:paraId="3F48B89A" w14:textId="77777777" w:rsidR="00F6441B" w:rsidRPr="00F50C10" w:rsidRDefault="00F6441B" w:rsidP="000B206D">
            <w:pPr>
              <w:spacing w:line="276" w:lineRule="auto"/>
              <w:ind w:left="72" w:right="72"/>
              <w:jc w:val="center"/>
              <w:rPr>
                <w:rFonts w:cs="Times New Roman"/>
                <w:szCs w:val="24"/>
              </w:rPr>
            </w:pPr>
          </w:p>
        </w:tc>
        <w:tc>
          <w:tcPr>
            <w:tcW w:w="1250" w:type="pct"/>
            <w:vMerge w:val="restart"/>
            <w:vAlign w:val="center"/>
          </w:tcPr>
          <w:p w14:paraId="63DEB167" w14:textId="77777777" w:rsidR="00F6441B" w:rsidRPr="00F50C10" w:rsidRDefault="00F6441B" w:rsidP="000B206D">
            <w:pPr>
              <w:spacing w:line="276" w:lineRule="auto"/>
              <w:ind w:left="72" w:right="72"/>
              <w:jc w:val="center"/>
              <w:rPr>
                <w:rFonts w:cs="Times New Roman"/>
                <w:szCs w:val="24"/>
              </w:rPr>
            </w:pPr>
          </w:p>
        </w:tc>
        <w:tc>
          <w:tcPr>
            <w:tcW w:w="2501" w:type="pct"/>
            <w:gridSpan w:val="2"/>
            <w:vAlign w:val="center"/>
          </w:tcPr>
          <w:p w14:paraId="7148A4DE" w14:textId="77777777" w:rsidR="00F6441B" w:rsidRPr="00F50C10" w:rsidRDefault="00F6441B" w:rsidP="000B206D">
            <w:pPr>
              <w:spacing w:line="276" w:lineRule="auto"/>
              <w:ind w:left="72" w:right="72"/>
              <w:jc w:val="center"/>
              <w:rPr>
                <w:rFonts w:cs="Times New Roman"/>
                <w:b/>
                <w:szCs w:val="24"/>
              </w:rPr>
            </w:pPr>
            <w:r w:rsidRPr="00F50C10">
              <w:rPr>
                <w:rFonts w:cs="Times New Roman"/>
                <w:b/>
                <w:szCs w:val="24"/>
              </w:rPr>
              <w:t>N</w:t>
            </w:r>
            <w:r w:rsidRPr="00F50C10">
              <w:rPr>
                <w:rFonts w:cs="Times New Roman"/>
                <w:b/>
                <w:szCs w:val="24"/>
                <w:vertAlign w:val="subscript"/>
              </w:rPr>
              <w:t>2</w:t>
            </w:r>
            <w:r w:rsidRPr="00F50C10">
              <w:rPr>
                <w:rFonts w:cs="Times New Roman"/>
                <w:b/>
                <w:szCs w:val="24"/>
              </w:rPr>
              <w:t>O</w:t>
            </w:r>
            <w:r w:rsidRPr="00F50C10">
              <w:rPr>
                <w:rFonts w:cs="Times New Roman"/>
                <w:b/>
                <w:spacing w:val="-3"/>
                <w:szCs w:val="24"/>
              </w:rPr>
              <w:t xml:space="preserve"> </w:t>
            </w:r>
            <w:r w:rsidRPr="00F50C10">
              <w:rPr>
                <w:rFonts w:cs="Times New Roman"/>
                <w:b/>
                <w:szCs w:val="24"/>
              </w:rPr>
              <w:t>emisyon</w:t>
            </w:r>
            <w:r w:rsidRPr="00F50C10">
              <w:rPr>
                <w:rFonts w:cs="Times New Roman"/>
                <w:b/>
                <w:spacing w:val="-5"/>
                <w:szCs w:val="24"/>
              </w:rPr>
              <w:t xml:space="preserve"> </w:t>
            </w:r>
            <w:r w:rsidRPr="00F50C10">
              <w:rPr>
                <w:rFonts w:cs="Times New Roman"/>
                <w:b/>
                <w:szCs w:val="24"/>
              </w:rPr>
              <w:t>seviyeleri*</w:t>
            </w:r>
          </w:p>
        </w:tc>
      </w:tr>
      <w:tr w:rsidR="00F6441B" w:rsidRPr="00F50C10" w14:paraId="25B88A2E" w14:textId="77777777" w:rsidTr="00116C54">
        <w:trPr>
          <w:trHeight w:val="20"/>
        </w:trPr>
        <w:tc>
          <w:tcPr>
            <w:tcW w:w="1250" w:type="pct"/>
            <w:vMerge/>
            <w:vAlign w:val="center"/>
          </w:tcPr>
          <w:p w14:paraId="43A1E973" w14:textId="77777777" w:rsidR="00F6441B" w:rsidRPr="00F50C10" w:rsidRDefault="00F6441B" w:rsidP="000B206D">
            <w:pPr>
              <w:spacing w:line="276" w:lineRule="auto"/>
              <w:ind w:left="72" w:right="72"/>
              <w:jc w:val="center"/>
              <w:rPr>
                <w:rFonts w:cs="Times New Roman"/>
                <w:szCs w:val="24"/>
              </w:rPr>
            </w:pPr>
          </w:p>
        </w:tc>
        <w:tc>
          <w:tcPr>
            <w:tcW w:w="1250" w:type="pct"/>
            <w:vMerge/>
            <w:vAlign w:val="center"/>
          </w:tcPr>
          <w:p w14:paraId="3585B24D" w14:textId="77777777" w:rsidR="00F6441B" w:rsidRPr="00F50C10" w:rsidRDefault="00F6441B" w:rsidP="000B206D">
            <w:pPr>
              <w:spacing w:line="276" w:lineRule="auto"/>
              <w:ind w:left="72" w:right="72"/>
              <w:jc w:val="center"/>
              <w:rPr>
                <w:rFonts w:cs="Times New Roman"/>
                <w:szCs w:val="24"/>
              </w:rPr>
            </w:pPr>
          </w:p>
        </w:tc>
        <w:tc>
          <w:tcPr>
            <w:tcW w:w="1250" w:type="pct"/>
            <w:vAlign w:val="center"/>
          </w:tcPr>
          <w:p w14:paraId="6515FF6C" w14:textId="77777777" w:rsidR="00F6441B" w:rsidRPr="00F50C10" w:rsidRDefault="00F6441B" w:rsidP="000B206D">
            <w:pPr>
              <w:spacing w:line="276" w:lineRule="auto"/>
              <w:ind w:left="72" w:right="72"/>
              <w:jc w:val="center"/>
              <w:rPr>
                <w:rFonts w:cs="Times New Roman"/>
                <w:b/>
                <w:szCs w:val="24"/>
                <w:vertAlign w:val="subscript"/>
              </w:rPr>
            </w:pPr>
            <w:r w:rsidRPr="00F50C10">
              <w:rPr>
                <w:rFonts w:cs="Times New Roman"/>
                <w:b/>
                <w:szCs w:val="24"/>
              </w:rPr>
              <w:t>kg/ton %100 HNO</w:t>
            </w:r>
            <w:r w:rsidRPr="00F50C10">
              <w:rPr>
                <w:rFonts w:cs="Times New Roman"/>
                <w:b/>
                <w:szCs w:val="24"/>
                <w:vertAlign w:val="subscript"/>
              </w:rPr>
              <w:t>3</w:t>
            </w:r>
          </w:p>
        </w:tc>
        <w:tc>
          <w:tcPr>
            <w:tcW w:w="1250" w:type="pct"/>
            <w:vAlign w:val="center"/>
          </w:tcPr>
          <w:p w14:paraId="17F4CF11" w14:textId="77777777" w:rsidR="00F6441B" w:rsidRPr="00F50C10" w:rsidRDefault="00F6441B" w:rsidP="000B206D">
            <w:pPr>
              <w:spacing w:line="276" w:lineRule="auto"/>
              <w:ind w:left="72" w:right="72"/>
              <w:jc w:val="center"/>
              <w:rPr>
                <w:rFonts w:cs="Times New Roman"/>
                <w:b/>
                <w:szCs w:val="24"/>
              </w:rPr>
            </w:pPr>
            <w:r w:rsidRPr="00F50C10">
              <w:rPr>
                <w:rFonts w:cs="Times New Roman"/>
                <w:b/>
                <w:szCs w:val="24"/>
              </w:rPr>
              <w:t>ppmv</w:t>
            </w:r>
          </w:p>
        </w:tc>
      </w:tr>
      <w:tr w:rsidR="00F6441B" w:rsidRPr="00F50C10" w14:paraId="54349B0E" w14:textId="77777777" w:rsidTr="00116C54">
        <w:trPr>
          <w:trHeight w:val="20"/>
        </w:trPr>
        <w:tc>
          <w:tcPr>
            <w:tcW w:w="1250" w:type="pct"/>
            <w:vMerge w:val="restart"/>
            <w:vAlign w:val="center"/>
          </w:tcPr>
          <w:p w14:paraId="3399D9BC" w14:textId="77777777" w:rsidR="00F6441B" w:rsidRPr="00F50C10" w:rsidRDefault="00F6441B" w:rsidP="000B206D">
            <w:pPr>
              <w:spacing w:line="276" w:lineRule="auto"/>
              <w:ind w:left="72" w:right="72"/>
              <w:rPr>
                <w:rFonts w:cs="Times New Roman"/>
                <w:b/>
                <w:szCs w:val="24"/>
              </w:rPr>
            </w:pPr>
            <w:r w:rsidRPr="00F50C10">
              <w:rPr>
                <w:rFonts w:cs="Times New Roman"/>
                <w:b/>
                <w:szCs w:val="24"/>
              </w:rPr>
              <w:t>M/M, M/H</w:t>
            </w:r>
          </w:p>
          <w:p w14:paraId="3042BEAA" w14:textId="77777777" w:rsidR="00F6441B" w:rsidRPr="00F50C10" w:rsidRDefault="00F6441B" w:rsidP="000B206D">
            <w:pPr>
              <w:spacing w:line="276" w:lineRule="auto"/>
              <w:ind w:left="72" w:right="72"/>
              <w:rPr>
                <w:rFonts w:cs="Times New Roman"/>
                <w:b/>
                <w:szCs w:val="24"/>
              </w:rPr>
            </w:pPr>
            <w:r w:rsidRPr="00F50C10">
              <w:rPr>
                <w:rFonts w:cs="Times New Roman"/>
                <w:b/>
                <w:szCs w:val="24"/>
              </w:rPr>
              <w:t>ve H/H</w:t>
            </w:r>
          </w:p>
        </w:tc>
        <w:tc>
          <w:tcPr>
            <w:tcW w:w="1250" w:type="pct"/>
            <w:vAlign w:val="center"/>
          </w:tcPr>
          <w:p w14:paraId="0B995089" w14:textId="77777777" w:rsidR="00F6441B" w:rsidRPr="00F50C10" w:rsidRDefault="00F6441B" w:rsidP="000B206D">
            <w:pPr>
              <w:spacing w:line="276" w:lineRule="auto"/>
              <w:ind w:left="72" w:right="72"/>
              <w:rPr>
                <w:rFonts w:cs="Times New Roman"/>
                <w:b/>
                <w:szCs w:val="24"/>
              </w:rPr>
            </w:pPr>
            <w:r w:rsidRPr="00F50C10">
              <w:rPr>
                <w:rFonts w:cs="Times New Roman"/>
                <w:b/>
                <w:szCs w:val="24"/>
              </w:rPr>
              <w:t>Yeni tesisler</w:t>
            </w:r>
          </w:p>
        </w:tc>
        <w:tc>
          <w:tcPr>
            <w:tcW w:w="1250" w:type="pct"/>
            <w:vAlign w:val="center"/>
          </w:tcPr>
          <w:p w14:paraId="13B343E8"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0,12-0,6</w:t>
            </w:r>
          </w:p>
        </w:tc>
        <w:tc>
          <w:tcPr>
            <w:tcW w:w="1250" w:type="pct"/>
            <w:vAlign w:val="center"/>
          </w:tcPr>
          <w:p w14:paraId="5F40CE3B"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20-100</w:t>
            </w:r>
          </w:p>
        </w:tc>
      </w:tr>
      <w:tr w:rsidR="00F6441B" w:rsidRPr="00F50C10" w14:paraId="48156453" w14:textId="77777777" w:rsidTr="00116C54">
        <w:trPr>
          <w:trHeight w:val="20"/>
        </w:trPr>
        <w:tc>
          <w:tcPr>
            <w:tcW w:w="1250" w:type="pct"/>
            <w:vMerge/>
            <w:vAlign w:val="center"/>
          </w:tcPr>
          <w:p w14:paraId="012D37F7" w14:textId="77777777" w:rsidR="00F6441B" w:rsidRPr="00F50C10" w:rsidRDefault="00F6441B" w:rsidP="000B206D">
            <w:pPr>
              <w:spacing w:line="276" w:lineRule="auto"/>
              <w:ind w:left="72" w:right="72"/>
              <w:rPr>
                <w:rFonts w:cs="Times New Roman"/>
                <w:b/>
                <w:szCs w:val="24"/>
              </w:rPr>
            </w:pPr>
          </w:p>
        </w:tc>
        <w:tc>
          <w:tcPr>
            <w:tcW w:w="1250" w:type="pct"/>
            <w:vAlign w:val="center"/>
          </w:tcPr>
          <w:p w14:paraId="3EC8A3F8" w14:textId="77777777" w:rsidR="00F6441B" w:rsidRPr="00F50C10" w:rsidRDefault="00F6441B" w:rsidP="000B206D">
            <w:pPr>
              <w:spacing w:line="276" w:lineRule="auto"/>
              <w:ind w:left="72" w:right="72"/>
              <w:rPr>
                <w:rFonts w:cs="Times New Roman"/>
                <w:b/>
                <w:szCs w:val="24"/>
              </w:rPr>
            </w:pPr>
            <w:r w:rsidRPr="00F50C10">
              <w:rPr>
                <w:rFonts w:cs="Times New Roman"/>
                <w:b/>
                <w:szCs w:val="24"/>
              </w:rPr>
              <w:t>Mevcut</w:t>
            </w:r>
            <w:r w:rsidRPr="00F50C10">
              <w:rPr>
                <w:rFonts w:cs="Times New Roman"/>
                <w:b/>
                <w:spacing w:val="-4"/>
                <w:szCs w:val="24"/>
              </w:rPr>
              <w:t xml:space="preserve"> </w:t>
            </w:r>
            <w:r w:rsidRPr="00F50C10">
              <w:rPr>
                <w:rFonts w:cs="Times New Roman"/>
                <w:b/>
                <w:spacing w:val="-2"/>
                <w:szCs w:val="24"/>
              </w:rPr>
              <w:t>tesisler</w:t>
            </w:r>
          </w:p>
        </w:tc>
        <w:tc>
          <w:tcPr>
            <w:tcW w:w="1250" w:type="pct"/>
            <w:vAlign w:val="center"/>
          </w:tcPr>
          <w:p w14:paraId="32474580"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0,12-1,85</w:t>
            </w:r>
          </w:p>
        </w:tc>
        <w:tc>
          <w:tcPr>
            <w:tcW w:w="1250" w:type="pct"/>
            <w:vAlign w:val="center"/>
          </w:tcPr>
          <w:p w14:paraId="73420DB9"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20-300</w:t>
            </w:r>
          </w:p>
        </w:tc>
      </w:tr>
      <w:tr w:rsidR="00F6441B" w:rsidRPr="00F50C10" w14:paraId="19B2DBFF" w14:textId="77777777" w:rsidTr="00116C54">
        <w:trPr>
          <w:trHeight w:val="20"/>
        </w:trPr>
        <w:tc>
          <w:tcPr>
            <w:tcW w:w="1250" w:type="pct"/>
            <w:vMerge/>
            <w:vAlign w:val="center"/>
          </w:tcPr>
          <w:p w14:paraId="77B69034" w14:textId="77777777" w:rsidR="00F6441B" w:rsidRPr="00F50C10" w:rsidRDefault="00F6441B" w:rsidP="000B206D">
            <w:pPr>
              <w:spacing w:line="276" w:lineRule="auto"/>
              <w:ind w:left="72" w:right="72"/>
              <w:rPr>
                <w:rFonts w:cs="Times New Roman"/>
                <w:b/>
                <w:szCs w:val="24"/>
              </w:rPr>
            </w:pPr>
          </w:p>
        </w:tc>
        <w:tc>
          <w:tcPr>
            <w:tcW w:w="1250" w:type="pct"/>
            <w:vAlign w:val="center"/>
          </w:tcPr>
          <w:p w14:paraId="31C702BE" w14:textId="77777777" w:rsidR="00F6441B" w:rsidRPr="00F50C10" w:rsidRDefault="00F6441B" w:rsidP="000B206D">
            <w:pPr>
              <w:spacing w:line="276" w:lineRule="auto"/>
              <w:ind w:left="72" w:right="72"/>
              <w:rPr>
                <w:rFonts w:cs="Times New Roman"/>
                <w:b/>
                <w:szCs w:val="24"/>
              </w:rPr>
            </w:pPr>
            <w:r w:rsidRPr="00F50C10">
              <w:rPr>
                <w:rFonts w:cs="Times New Roman"/>
                <w:b/>
                <w:szCs w:val="24"/>
              </w:rPr>
              <w:t>L/M tesisleri</w:t>
            </w:r>
          </w:p>
        </w:tc>
        <w:tc>
          <w:tcPr>
            <w:tcW w:w="2501" w:type="pct"/>
            <w:gridSpan w:val="2"/>
            <w:vAlign w:val="center"/>
          </w:tcPr>
          <w:p w14:paraId="3AC10392"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w:t>
            </w:r>
          </w:p>
        </w:tc>
      </w:tr>
      <w:tr w:rsidR="00F6441B" w:rsidRPr="00F50C10" w14:paraId="2B2F4AC6" w14:textId="77777777" w:rsidTr="00116C54">
        <w:trPr>
          <w:trHeight w:val="310"/>
        </w:trPr>
        <w:tc>
          <w:tcPr>
            <w:tcW w:w="5000" w:type="pct"/>
            <w:gridSpan w:val="4"/>
            <w:vAlign w:val="center"/>
          </w:tcPr>
          <w:p w14:paraId="7DAE84F3" w14:textId="77777777" w:rsidR="00F6441B" w:rsidRPr="00F50C10" w:rsidRDefault="00F6441B" w:rsidP="000B206D">
            <w:pPr>
              <w:spacing w:line="276" w:lineRule="auto"/>
              <w:ind w:left="72" w:right="72"/>
              <w:rPr>
                <w:rFonts w:cs="Times New Roman"/>
                <w:i/>
                <w:iCs/>
                <w:szCs w:val="24"/>
              </w:rPr>
            </w:pPr>
            <w:r w:rsidRPr="00F50C10">
              <w:rPr>
                <w:rFonts w:cs="Times New Roman"/>
                <w:i/>
                <w:iCs/>
                <w:szCs w:val="24"/>
              </w:rPr>
              <w:t>* Oksidasyon katalizörünün çalıştığı süreçte ulaşılan ortalama salınım seviyeleri ile ilgili seviyeler</w:t>
            </w:r>
          </w:p>
        </w:tc>
      </w:tr>
    </w:tbl>
    <w:p w14:paraId="5E899DBF" w14:textId="77777777" w:rsidR="00761582" w:rsidRPr="00F50C10" w:rsidRDefault="00761582" w:rsidP="000B206D">
      <w:pPr>
        <w:spacing w:after="120" w:line="276" w:lineRule="auto"/>
        <w:rPr>
          <w:rFonts w:cs="Times New Roman"/>
          <w:b/>
          <w:szCs w:val="24"/>
        </w:rPr>
      </w:pPr>
    </w:p>
    <w:p w14:paraId="5054685E" w14:textId="2A966A8E" w:rsidR="00F6441B" w:rsidRPr="00F50C10" w:rsidRDefault="00F6441B" w:rsidP="000B206D">
      <w:pPr>
        <w:spacing w:after="120" w:line="276" w:lineRule="auto"/>
        <w:rPr>
          <w:rFonts w:cs="Times New Roman"/>
          <w:b/>
          <w:szCs w:val="24"/>
        </w:rPr>
      </w:pPr>
      <w:r w:rsidRPr="00F50C10">
        <w:rPr>
          <w:rFonts w:cs="Times New Roman"/>
          <w:b/>
          <w:szCs w:val="24"/>
        </w:rPr>
        <w:t xml:space="preserve">MET 20: </w:t>
      </w:r>
      <w:r w:rsidRPr="00F50C10">
        <w:rPr>
          <w:rFonts w:cs="Times New Roman"/>
          <w:szCs w:val="24"/>
        </w:rPr>
        <w:t>NO</w:t>
      </w:r>
      <w:r w:rsidRPr="00F50C10">
        <w:rPr>
          <w:rFonts w:cs="Times New Roman"/>
          <w:szCs w:val="24"/>
          <w:vertAlign w:val="subscript"/>
        </w:rPr>
        <w:t>x</w:t>
      </w:r>
      <w:r w:rsidRPr="00F50C10">
        <w:rPr>
          <w:rFonts w:cs="Times New Roman"/>
          <w:szCs w:val="24"/>
        </w:rPr>
        <w:t xml:space="preserve"> emisyonları azaltıl</w:t>
      </w:r>
      <w:r w:rsidR="00761582" w:rsidRPr="00F50C10">
        <w:rPr>
          <w:rFonts w:cs="Times New Roman"/>
          <w:szCs w:val="24"/>
        </w:rPr>
        <w:t>ır</w:t>
      </w:r>
      <w:r w:rsidRPr="00F50C10">
        <w:rPr>
          <w:rFonts w:cs="Times New Roman"/>
          <w:szCs w:val="24"/>
        </w:rPr>
        <w:t xml:space="preserve"> ve aşağıdaki tekniklerin biri ya da bir kombinasyonunu uygulayarak </w:t>
      </w:r>
      <w:r w:rsidRPr="00F50C10">
        <w:rPr>
          <w:rFonts w:cs="Times New Roman"/>
          <w:szCs w:val="24"/>
        </w:rPr>
        <w:fldChar w:fldCharType="begin"/>
      </w:r>
      <w:r w:rsidRPr="00F50C10">
        <w:rPr>
          <w:rFonts w:cs="Times New Roman"/>
          <w:szCs w:val="24"/>
        </w:rPr>
        <w:instrText xml:space="preserve"> REF _Ref134543758 \h  \* MERGEFORMAT </w:instrText>
      </w:r>
      <w:r w:rsidRPr="00F50C10">
        <w:rPr>
          <w:rFonts w:cs="Times New Roman"/>
          <w:szCs w:val="24"/>
        </w:rPr>
      </w:r>
      <w:r w:rsidRPr="00F50C10">
        <w:rPr>
          <w:rFonts w:cs="Times New Roman"/>
          <w:szCs w:val="24"/>
        </w:rPr>
        <w:fldChar w:fldCharType="separate"/>
      </w:r>
      <w:r w:rsidRPr="00F50C10">
        <w:rPr>
          <w:rFonts w:cs="Times New Roman"/>
          <w:szCs w:val="24"/>
        </w:rPr>
        <w:t xml:space="preserve">Tablo </w:t>
      </w:r>
      <w:r w:rsidRPr="00F50C10">
        <w:rPr>
          <w:rFonts w:cs="Times New Roman"/>
          <w:noProof/>
          <w:szCs w:val="24"/>
        </w:rPr>
        <w:t>4</w:t>
      </w:r>
      <w:r w:rsidRPr="00F50C10">
        <w:rPr>
          <w:rFonts w:cs="Times New Roman"/>
          <w:szCs w:val="24"/>
        </w:rPr>
        <w:fldChar w:fldCharType="end"/>
      </w:r>
      <w:r w:rsidRPr="00F50C10">
        <w:rPr>
          <w:rFonts w:cs="Times New Roman"/>
          <w:szCs w:val="24"/>
        </w:rPr>
        <w:t>’de verilen emisyon seviyelerine ulaşılır:</w:t>
      </w:r>
    </w:p>
    <w:p w14:paraId="5134C134" w14:textId="15D94CBE" w:rsidR="00F6441B" w:rsidRPr="00F50C10" w:rsidRDefault="00F6441B" w:rsidP="00A654AE">
      <w:pPr>
        <w:pStyle w:val="ListeParagraf"/>
        <w:numPr>
          <w:ilvl w:val="0"/>
          <w:numId w:val="74"/>
        </w:numPr>
        <w:spacing w:after="120" w:line="276" w:lineRule="auto"/>
        <w:rPr>
          <w:rFonts w:cs="Times New Roman"/>
          <w:szCs w:val="24"/>
        </w:rPr>
      </w:pPr>
      <w:r w:rsidRPr="00F50C10">
        <w:rPr>
          <w:rFonts w:cs="Times New Roman"/>
          <w:szCs w:val="24"/>
        </w:rPr>
        <w:t>absorpsiyon aşamasının optimize edilmesi</w:t>
      </w:r>
      <w:r w:rsidR="00761582" w:rsidRPr="00F50C10">
        <w:rPr>
          <w:rFonts w:cs="Times New Roman"/>
          <w:szCs w:val="24"/>
        </w:rPr>
        <w:t>,</w:t>
      </w:r>
    </w:p>
    <w:p w14:paraId="6FE4C6AC" w14:textId="15B68357" w:rsidR="00F6441B" w:rsidRPr="00F50C10" w:rsidRDefault="00F6441B" w:rsidP="00A654AE">
      <w:pPr>
        <w:pStyle w:val="ListeParagraf"/>
        <w:numPr>
          <w:ilvl w:val="0"/>
          <w:numId w:val="74"/>
        </w:numPr>
        <w:spacing w:after="120" w:line="276" w:lineRule="auto"/>
        <w:rPr>
          <w:rFonts w:cs="Times New Roman"/>
          <w:bCs/>
          <w:szCs w:val="24"/>
        </w:rPr>
      </w:pPr>
      <w:r w:rsidRPr="00F50C10">
        <w:rPr>
          <w:rFonts w:cs="Times New Roman"/>
          <w:bCs/>
          <w:szCs w:val="24"/>
        </w:rPr>
        <w:t>atık gazlarda NO</w:t>
      </w:r>
      <w:r w:rsidRPr="00F50C10">
        <w:rPr>
          <w:rFonts w:cs="Times New Roman"/>
          <w:bCs/>
          <w:szCs w:val="24"/>
          <w:vertAlign w:val="subscript"/>
        </w:rPr>
        <w:t>x</w:t>
      </w:r>
      <w:r w:rsidRPr="00F50C10">
        <w:rPr>
          <w:rFonts w:cs="Times New Roman"/>
          <w:bCs/>
          <w:szCs w:val="24"/>
        </w:rPr>
        <w:t xml:space="preserve"> ve N</w:t>
      </w:r>
      <w:r w:rsidRPr="00F50C10">
        <w:rPr>
          <w:rFonts w:cs="Times New Roman"/>
          <w:bCs/>
          <w:szCs w:val="24"/>
          <w:vertAlign w:val="subscript"/>
        </w:rPr>
        <w:t>2</w:t>
      </w:r>
      <w:r w:rsidRPr="00F50C10">
        <w:rPr>
          <w:rFonts w:cs="Times New Roman"/>
          <w:bCs/>
          <w:szCs w:val="24"/>
        </w:rPr>
        <w:t>O’nun kombine bir şekilde azaltılması</w:t>
      </w:r>
      <w:r w:rsidR="00761582" w:rsidRPr="00F50C10">
        <w:rPr>
          <w:rFonts w:cs="Times New Roman"/>
          <w:bCs/>
          <w:szCs w:val="24"/>
        </w:rPr>
        <w:t>,</w:t>
      </w:r>
    </w:p>
    <w:p w14:paraId="36A6AC12" w14:textId="0316E123" w:rsidR="00F6441B" w:rsidRPr="00F50C10" w:rsidRDefault="007C54DC" w:rsidP="00A654AE">
      <w:pPr>
        <w:pStyle w:val="ListeParagraf"/>
        <w:numPr>
          <w:ilvl w:val="0"/>
          <w:numId w:val="74"/>
        </w:numPr>
        <w:spacing w:after="120" w:line="276" w:lineRule="auto"/>
        <w:rPr>
          <w:rFonts w:cs="Times New Roman"/>
          <w:bCs/>
          <w:szCs w:val="24"/>
        </w:rPr>
      </w:pPr>
      <w:r w:rsidRPr="00F50C10">
        <w:rPr>
          <w:rFonts w:cs="Times New Roman"/>
          <w:szCs w:val="24"/>
        </w:rPr>
        <w:t>S</w:t>
      </w:r>
      <w:r w:rsidR="00F6441B" w:rsidRPr="00F50C10">
        <w:rPr>
          <w:rFonts w:cs="Times New Roman"/>
          <w:szCs w:val="24"/>
        </w:rPr>
        <w:t xml:space="preserve">eçici </w:t>
      </w:r>
      <w:r w:rsidRPr="00F50C10">
        <w:rPr>
          <w:rFonts w:cs="Times New Roman"/>
          <w:szCs w:val="24"/>
        </w:rPr>
        <w:t>k</w:t>
      </w:r>
      <w:r w:rsidR="00F6441B" w:rsidRPr="00F50C10">
        <w:rPr>
          <w:rFonts w:cs="Times New Roman"/>
          <w:szCs w:val="24"/>
        </w:rPr>
        <w:t xml:space="preserve">atalitik </w:t>
      </w:r>
      <w:r w:rsidRPr="00F50C10">
        <w:rPr>
          <w:rFonts w:cs="Times New Roman"/>
          <w:szCs w:val="24"/>
        </w:rPr>
        <w:t>i</w:t>
      </w:r>
      <w:r w:rsidR="00F6441B" w:rsidRPr="00F50C10">
        <w:rPr>
          <w:rFonts w:cs="Times New Roman"/>
          <w:szCs w:val="24"/>
        </w:rPr>
        <w:t>ndirgeme (SCR)</w:t>
      </w:r>
      <w:r w:rsidR="00761582" w:rsidRPr="00F50C10">
        <w:rPr>
          <w:rFonts w:cs="Times New Roman"/>
          <w:szCs w:val="24"/>
        </w:rPr>
        <w:t>,</w:t>
      </w:r>
    </w:p>
    <w:p w14:paraId="3324047C" w14:textId="76CB1BF7" w:rsidR="00F6441B" w:rsidRPr="00F50C10" w:rsidRDefault="00F6441B" w:rsidP="00A654AE">
      <w:pPr>
        <w:pStyle w:val="ListeParagraf"/>
        <w:numPr>
          <w:ilvl w:val="0"/>
          <w:numId w:val="74"/>
        </w:numPr>
        <w:spacing w:after="120" w:line="276" w:lineRule="auto"/>
        <w:rPr>
          <w:rFonts w:cs="Times New Roman"/>
          <w:bCs/>
          <w:szCs w:val="24"/>
        </w:rPr>
      </w:pPr>
      <w:r w:rsidRPr="00F50C10">
        <w:rPr>
          <w:rFonts w:cs="Times New Roman"/>
          <w:szCs w:val="24"/>
        </w:rPr>
        <w:t>son absorpsiyon aşamasına H</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2</w:t>
      </w:r>
      <w:r w:rsidRPr="00F50C10">
        <w:rPr>
          <w:rFonts w:cs="Times New Roman"/>
          <w:szCs w:val="24"/>
        </w:rPr>
        <w:t xml:space="preserve"> eklenmesi</w:t>
      </w:r>
      <w:r w:rsidR="00761582" w:rsidRPr="00F50C10">
        <w:rPr>
          <w:rFonts w:cs="Times New Roman"/>
          <w:bCs/>
          <w:szCs w:val="24"/>
        </w:rPr>
        <w:t>.</w:t>
      </w:r>
    </w:p>
    <w:p w14:paraId="07CCC9A4" w14:textId="1D840607" w:rsidR="00F6441B" w:rsidRPr="00F50C10" w:rsidRDefault="00C67353" w:rsidP="000B206D">
      <w:pPr>
        <w:pStyle w:val="ResimYazs"/>
        <w:keepNext/>
        <w:spacing w:after="120" w:line="276" w:lineRule="auto"/>
        <w:rPr>
          <w:rFonts w:cs="Times New Roman"/>
          <w:szCs w:val="24"/>
          <w:lang w:val="tr-TR"/>
        </w:rPr>
      </w:pPr>
      <w:r w:rsidRPr="00F50C10">
        <w:rPr>
          <w:rFonts w:cs="Times New Roman"/>
          <w:szCs w:val="24"/>
          <w:lang w:val="tr-TR"/>
        </w:rPr>
        <w:t xml:space="preserve">Tablo 4. </w:t>
      </w:r>
      <w:r w:rsidR="00F6441B" w:rsidRPr="00F50C10">
        <w:rPr>
          <w:rFonts w:cs="Times New Roman"/>
          <w:szCs w:val="24"/>
          <w:lang w:val="tr-TR"/>
        </w:rPr>
        <w:t>HNO</w:t>
      </w:r>
      <w:r w:rsidR="00F6441B" w:rsidRPr="00F50C10">
        <w:rPr>
          <w:rFonts w:cs="Times New Roman"/>
          <w:szCs w:val="24"/>
          <w:vertAlign w:val="subscript"/>
          <w:lang w:val="tr-TR"/>
        </w:rPr>
        <w:t>3</w:t>
      </w:r>
      <w:r w:rsidR="00F6441B" w:rsidRPr="00F50C10">
        <w:rPr>
          <w:rFonts w:cs="Times New Roman"/>
          <w:szCs w:val="24"/>
          <w:lang w:val="tr-TR"/>
        </w:rPr>
        <w:t xml:space="preserve"> üretimi için MET’in uygulanması ile ilgili NO</w:t>
      </w:r>
      <w:r w:rsidR="00F6441B" w:rsidRPr="00F50C10">
        <w:rPr>
          <w:rFonts w:cs="Times New Roman"/>
          <w:szCs w:val="24"/>
          <w:vertAlign w:val="subscript"/>
          <w:lang w:val="tr-TR"/>
        </w:rPr>
        <w:t>x</w:t>
      </w:r>
      <w:r w:rsidR="00F6441B" w:rsidRPr="00F50C10">
        <w:rPr>
          <w:rFonts w:cs="Times New Roman"/>
          <w:szCs w:val="24"/>
          <w:lang w:val="tr-TR"/>
        </w:rPr>
        <w:t xml:space="preserve"> emisyon seviyeleri</w:t>
      </w:r>
    </w:p>
    <w:tbl>
      <w:tblPr>
        <w:tblStyle w:val="TabloKlavuzu"/>
        <w:tblW w:w="5000" w:type="pct"/>
        <w:tblLook w:val="04A0" w:firstRow="1" w:lastRow="0" w:firstColumn="1" w:lastColumn="0" w:noHBand="0" w:noVBand="1"/>
      </w:tblPr>
      <w:tblGrid>
        <w:gridCol w:w="3346"/>
        <w:gridCol w:w="2983"/>
        <w:gridCol w:w="2981"/>
      </w:tblGrid>
      <w:tr w:rsidR="00F6441B" w:rsidRPr="00F50C10" w14:paraId="5C126DB3" w14:textId="77777777" w:rsidTr="00116C54">
        <w:trPr>
          <w:trHeight w:val="20"/>
        </w:trPr>
        <w:tc>
          <w:tcPr>
            <w:tcW w:w="1797" w:type="pct"/>
            <w:vAlign w:val="center"/>
          </w:tcPr>
          <w:p w14:paraId="56603BB8" w14:textId="77777777" w:rsidR="00F6441B" w:rsidRPr="00F50C10" w:rsidRDefault="00F6441B" w:rsidP="000B206D">
            <w:pPr>
              <w:spacing w:line="276" w:lineRule="auto"/>
              <w:ind w:left="72" w:right="72"/>
              <w:jc w:val="center"/>
              <w:rPr>
                <w:rFonts w:cs="Times New Roman"/>
                <w:szCs w:val="24"/>
              </w:rPr>
            </w:pPr>
          </w:p>
        </w:tc>
        <w:tc>
          <w:tcPr>
            <w:tcW w:w="3203" w:type="pct"/>
            <w:gridSpan w:val="2"/>
            <w:vAlign w:val="center"/>
          </w:tcPr>
          <w:p w14:paraId="44DFE2F3" w14:textId="77777777" w:rsidR="00F6441B" w:rsidRPr="00F50C10" w:rsidRDefault="00F6441B" w:rsidP="000B206D">
            <w:pPr>
              <w:spacing w:line="276" w:lineRule="auto"/>
              <w:ind w:left="72" w:right="72"/>
              <w:jc w:val="center"/>
              <w:rPr>
                <w:rFonts w:cs="Times New Roman"/>
                <w:b/>
                <w:szCs w:val="24"/>
              </w:rPr>
            </w:pPr>
            <w:r w:rsidRPr="00F50C10">
              <w:rPr>
                <w:rFonts w:cs="Times New Roman"/>
                <w:b/>
                <w:szCs w:val="24"/>
              </w:rPr>
              <w:t>NO</w:t>
            </w:r>
            <w:r w:rsidRPr="00F50C10">
              <w:rPr>
                <w:rFonts w:cs="Times New Roman"/>
                <w:b/>
                <w:szCs w:val="24"/>
                <w:vertAlign w:val="subscript"/>
              </w:rPr>
              <w:t>2</w:t>
            </w:r>
            <w:r w:rsidRPr="00F50C10">
              <w:rPr>
                <w:rFonts w:cs="Times New Roman"/>
                <w:b/>
                <w:szCs w:val="24"/>
              </w:rPr>
              <w:t xml:space="preserve"> olarak NO</w:t>
            </w:r>
            <w:r w:rsidRPr="00F50C10">
              <w:rPr>
                <w:rFonts w:cs="Times New Roman"/>
                <w:b/>
                <w:szCs w:val="24"/>
                <w:vertAlign w:val="subscript"/>
              </w:rPr>
              <w:t>x</w:t>
            </w:r>
            <w:r w:rsidRPr="00F50C10">
              <w:rPr>
                <w:rFonts w:cs="Times New Roman"/>
                <w:b/>
                <w:szCs w:val="24"/>
              </w:rPr>
              <w:t xml:space="preserve"> emisyonları</w:t>
            </w:r>
          </w:p>
        </w:tc>
      </w:tr>
      <w:tr w:rsidR="00F6441B" w:rsidRPr="00F50C10" w14:paraId="34A033F1" w14:textId="77777777" w:rsidTr="00116C54">
        <w:trPr>
          <w:trHeight w:val="20"/>
        </w:trPr>
        <w:tc>
          <w:tcPr>
            <w:tcW w:w="1797" w:type="pct"/>
            <w:vAlign w:val="center"/>
          </w:tcPr>
          <w:p w14:paraId="4A075BAC" w14:textId="77777777" w:rsidR="00F6441B" w:rsidRPr="00F50C10" w:rsidRDefault="00F6441B" w:rsidP="000B206D">
            <w:pPr>
              <w:spacing w:line="276" w:lineRule="auto"/>
              <w:ind w:left="72" w:right="72"/>
              <w:jc w:val="center"/>
              <w:rPr>
                <w:rFonts w:cs="Times New Roman"/>
                <w:szCs w:val="24"/>
              </w:rPr>
            </w:pPr>
          </w:p>
        </w:tc>
        <w:tc>
          <w:tcPr>
            <w:tcW w:w="1602" w:type="pct"/>
            <w:vAlign w:val="center"/>
          </w:tcPr>
          <w:p w14:paraId="1754A1B0" w14:textId="77777777" w:rsidR="00F6441B" w:rsidRPr="00F50C10" w:rsidRDefault="00F6441B" w:rsidP="000B206D">
            <w:pPr>
              <w:spacing w:line="276" w:lineRule="auto"/>
              <w:ind w:left="72" w:right="72"/>
              <w:jc w:val="center"/>
              <w:rPr>
                <w:rFonts w:cs="Times New Roman"/>
                <w:szCs w:val="24"/>
              </w:rPr>
            </w:pPr>
            <w:r w:rsidRPr="00F50C10">
              <w:rPr>
                <w:rFonts w:cs="Times New Roman"/>
                <w:b/>
                <w:szCs w:val="24"/>
              </w:rPr>
              <w:t>kg/ton %100 HNO</w:t>
            </w:r>
            <w:r w:rsidRPr="00F50C10">
              <w:rPr>
                <w:rFonts w:cs="Times New Roman"/>
                <w:b/>
                <w:szCs w:val="24"/>
                <w:vertAlign w:val="subscript"/>
              </w:rPr>
              <w:t>3</w:t>
            </w:r>
          </w:p>
        </w:tc>
        <w:tc>
          <w:tcPr>
            <w:tcW w:w="1602" w:type="pct"/>
            <w:vAlign w:val="center"/>
          </w:tcPr>
          <w:p w14:paraId="24CBAC5D" w14:textId="77777777" w:rsidR="00F6441B" w:rsidRPr="00F50C10" w:rsidRDefault="00F6441B" w:rsidP="000B206D">
            <w:pPr>
              <w:spacing w:line="276" w:lineRule="auto"/>
              <w:ind w:left="72" w:right="72"/>
              <w:jc w:val="center"/>
              <w:rPr>
                <w:rFonts w:cs="Times New Roman"/>
                <w:szCs w:val="24"/>
              </w:rPr>
            </w:pPr>
            <w:r w:rsidRPr="00F50C10">
              <w:rPr>
                <w:rFonts w:cs="Times New Roman"/>
                <w:b/>
                <w:szCs w:val="24"/>
              </w:rPr>
              <w:t>ppmv</w:t>
            </w:r>
          </w:p>
        </w:tc>
      </w:tr>
      <w:tr w:rsidR="00F6441B" w:rsidRPr="00F50C10" w14:paraId="7AEA06B3" w14:textId="77777777" w:rsidTr="00116C54">
        <w:trPr>
          <w:trHeight w:val="20"/>
        </w:trPr>
        <w:tc>
          <w:tcPr>
            <w:tcW w:w="1797" w:type="pct"/>
            <w:vAlign w:val="center"/>
          </w:tcPr>
          <w:p w14:paraId="00F57B52" w14:textId="77777777" w:rsidR="00F6441B" w:rsidRPr="00F50C10" w:rsidRDefault="00F6441B" w:rsidP="000B206D">
            <w:pPr>
              <w:spacing w:line="276" w:lineRule="auto"/>
              <w:ind w:left="72" w:right="72"/>
              <w:rPr>
                <w:rFonts w:cs="Times New Roman"/>
                <w:b/>
                <w:szCs w:val="24"/>
              </w:rPr>
            </w:pPr>
            <w:r w:rsidRPr="00F50C10">
              <w:rPr>
                <w:rFonts w:cs="Times New Roman"/>
                <w:b/>
                <w:szCs w:val="24"/>
              </w:rPr>
              <w:t xml:space="preserve">Yeni tesisler </w:t>
            </w:r>
          </w:p>
        </w:tc>
        <w:tc>
          <w:tcPr>
            <w:tcW w:w="1602" w:type="pct"/>
            <w:vAlign w:val="center"/>
          </w:tcPr>
          <w:p w14:paraId="6488B94D"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w:t>
            </w:r>
          </w:p>
        </w:tc>
        <w:tc>
          <w:tcPr>
            <w:tcW w:w="1602" w:type="pct"/>
            <w:vAlign w:val="center"/>
          </w:tcPr>
          <w:p w14:paraId="6C39A7DF"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5 – 75</w:t>
            </w:r>
          </w:p>
        </w:tc>
      </w:tr>
      <w:tr w:rsidR="00F6441B" w:rsidRPr="00F50C10" w14:paraId="44FBB6FB" w14:textId="77777777" w:rsidTr="00116C54">
        <w:trPr>
          <w:trHeight w:val="20"/>
        </w:trPr>
        <w:tc>
          <w:tcPr>
            <w:tcW w:w="1797" w:type="pct"/>
            <w:vAlign w:val="center"/>
          </w:tcPr>
          <w:p w14:paraId="7F10086B" w14:textId="77777777" w:rsidR="00F6441B" w:rsidRPr="00F50C10" w:rsidRDefault="00F6441B" w:rsidP="000B206D">
            <w:pPr>
              <w:spacing w:line="276" w:lineRule="auto"/>
              <w:ind w:left="72" w:right="72"/>
              <w:rPr>
                <w:rFonts w:cs="Times New Roman"/>
                <w:b/>
                <w:szCs w:val="24"/>
              </w:rPr>
            </w:pPr>
            <w:r w:rsidRPr="00F50C10">
              <w:rPr>
                <w:rFonts w:cs="Times New Roman"/>
                <w:b/>
                <w:szCs w:val="24"/>
              </w:rPr>
              <w:t>Mevcut tesisler</w:t>
            </w:r>
          </w:p>
        </w:tc>
        <w:tc>
          <w:tcPr>
            <w:tcW w:w="1602" w:type="pct"/>
            <w:vAlign w:val="center"/>
          </w:tcPr>
          <w:p w14:paraId="251FF9C4"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w:t>
            </w:r>
          </w:p>
        </w:tc>
        <w:tc>
          <w:tcPr>
            <w:tcW w:w="1602" w:type="pct"/>
            <w:vAlign w:val="center"/>
          </w:tcPr>
          <w:p w14:paraId="56BDA8A5" w14:textId="77777777" w:rsidR="00F6441B" w:rsidRPr="00F50C10" w:rsidRDefault="00F6441B" w:rsidP="000B206D">
            <w:pPr>
              <w:spacing w:line="276" w:lineRule="auto"/>
              <w:ind w:left="72" w:right="72"/>
              <w:jc w:val="center"/>
              <w:rPr>
                <w:rFonts w:cs="Times New Roman"/>
                <w:szCs w:val="24"/>
                <w:vertAlign w:val="superscript"/>
              </w:rPr>
            </w:pPr>
            <w:r w:rsidRPr="00F50C10">
              <w:rPr>
                <w:rFonts w:cs="Times New Roman"/>
                <w:szCs w:val="24"/>
              </w:rPr>
              <w:t>5 – 90*</w:t>
            </w:r>
          </w:p>
        </w:tc>
      </w:tr>
      <w:tr w:rsidR="00F6441B" w:rsidRPr="00F50C10" w14:paraId="307D57ED" w14:textId="77777777" w:rsidTr="00116C54">
        <w:trPr>
          <w:trHeight w:val="20"/>
        </w:trPr>
        <w:tc>
          <w:tcPr>
            <w:tcW w:w="1797" w:type="pct"/>
            <w:vAlign w:val="center"/>
          </w:tcPr>
          <w:p w14:paraId="07A78A63" w14:textId="77777777" w:rsidR="00F6441B" w:rsidRPr="00F50C10" w:rsidRDefault="00F6441B" w:rsidP="000B206D">
            <w:pPr>
              <w:spacing w:line="276" w:lineRule="auto"/>
              <w:ind w:left="72" w:right="72"/>
              <w:rPr>
                <w:rFonts w:cs="Times New Roman"/>
                <w:b/>
                <w:szCs w:val="24"/>
              </w:rPr>
            </w:pPr>
            <w:r w:rsidRPr="00F50C10">
              <w:rPr>
                <w:rFonts w:cs="Times New Roman"/>
                <w:b/>
                <w:szCs w:val="24"/>
              </w:rPr>
              <w:t>SCR’den NH</w:t>
            </w:r>
            <w:r w:rsidRPr="00F50C10">
              <w:rPr>
                <w:rFonts w:cs="Times New Roman"/>
                <w:b/>
                <w:szCs w:val="24"/>
                <w:vertAlign w:val="subscript"/>
              </w:rPr>
              <w:t>3</w:t>
            </w:r>
            <w:r w:rsidRPr="00F50C10">
              <w:rPr>
                <w:rFonts w:cs="Times New Roman"/>
                <w:b/>
                <w:szCs w:val="24"/>
              </w:rPr>
              <w:t xml:space="preserve"> kayması</w:t>
            </w:r>
          </w:p>
        </w:tc>
        <w:tc>
          <w:tcPr>
            <w:tcW w:w="1602" w:type="pct"/>
            <w:vAlign w:val="center"/>
          </w:tcPr>
          <w:p w14:paraId="4174AB37" w14:textId="77777777" w:rsidR="00F6441B" w:rsidRPr="00F50C10" w:rsidRDefault="00F6441B" w:rsidP="000B206D">
            <w:pPr>
              <w:spacing w:line="276" w:lineRule="auto"/>
              <w:ind w:left="72" w:right="72"/>
              <w:jc w:val="center"/>
              <w:rPr>
                <w:rFonts w:cs="Times New Roman"/>
                <w:szCs w:val="24"/>
              </w:rPr>
            </w:pPr>
            <w:r w:rsidRPr="00F50C10">
              <w:rPr>
                <w:rFonts w:cs="Times New Roman"/>
                <w:spacing w:val="-2"/>
                <w:szCs w:val="24"/>
              </w:rPr>
              <w:t>-</w:t>
            </w:r>
          </w:p>
        </w:tc>
        <w:tc>
          <w:tcPr>
            <w:tcW w:w="1602" w:type="pct"/>
            <w:vAlign w:val="center"/>
          </w:tcPr>
          <w:p w14:paraId="33D9401D" w14:textId="77777777" w:rsidR="00F6441B" w:rsidRPr="00F50C10" w:rsidRDefault="00F6441B" w:rsidP="000B206D">
            <w:pPr>
              <w:spacing w:line="276" w:lineRule="auto"/>
              <w:ind w:left="72" w:right="72"/>
              <w:jc w:val="center"/>
              <w:rPr>
                <w:rFonts w:cs="Times New Roman"/>
                <w:szCs w:val="24"/>
              </w:rPr>
            </w:pPr>
            <w:r w:rsidRPr="00F50C10">
              <w:rPr>
                <w:rFonts w:cs="Times New Roman"/>
                <w:spacing w:val="-7"/>
                <w:szCs w:val="24"/>
              </w:rPr>
              <w:t>&lt;5</w:t>
            </w:r>
          </w:p>
        </w:tc>
      </w:tr>
      <w:tr w:rsidR="00F6441B" w:rsidRPr="00F50C10" w14:paraId="2C4C36D9" w14:textId="77777777" w:rsidTr="00116C54">
        <w:trPr>
          <w:trHeight w:val="20"/>
        </w:trPr>
        <w:tc>
          <w:tcPr>
            <w:tcW w:w="5000" w:type="pct"/>
            <w:gridSpan w:val="3"/>
            <w:vAlign w:val="center"/>
          </w:tcPr>
          <w:p w14:paraId="53A2EC33" w14:textId="77777777" w:rsidR="00F6441B" w:rsidRPr="00F50C10" w:rsidRDefault="00F6441B" w:rsidP="000B206D">
            <w:pPr>
              <w:spacing w:line="276" w:lineRule="auto"/>
              <w:ind w:left="72" w:right="72"/>
              <w:rPr>
                <w:rFonts w:cs="Times New Roman"/>
                <w:i/>
                <w:iCs/>
                <w:szCs w:val="24"/>
              </w:rPr>
            </w:pPr>
            <w:r w:rsidRPr="00F50C10">
              <w:rPr>
                <w:rFonts w:cs="Times New Roman"/>
                <w:i/>
                <w:iCs/>
                <w:szCs w:val="24"/>
              </w:rPr>
              <w:t>* 150 ppm‘e kadar, Amonyum Nitrat birikintileri sebebiyle SCR etkisinin kısıtlanması ya da SCR uygulaması yerine H</w:t>
            </w:r>
            <w:r w:rsidRPr="00F50C10">
              <w:rPr>
                <w:rFonts w:cs="Times New Roman"/>
                <w:i/>
                <w:iCs/>
                <w:szCs w:val="24"/>
                <w:vertAlign w:val="subscript"/>
              </w:rPr>
              <w:t>2</w:t>
            </w:r>
            <w:r w:rsidRPr="00F50C10">
              <w:rPr>
                <w:rFonts w:cs="Times New Roman"/>
                <w:i/>
                <w:iCs/>
                <w:szCs w:val="24"/>
              </w:rPr>
              <w:t>O</w:t>
            </w:r>
            <w:r w:rsidRPr="00F50C10">
              <w:rPr>
                <w:rFonts w:cs="Times New Roman"/>
                <w:i/>
                <w:iCs/>
                <w:szCs w:val="24"/>
                <w:vertAlign w:val="subscript"/>
              </w:rPr>
              <w:t>2</w:t>
            </w:r>
            <w:r w:rsidRPr="00F50C10">
              <w:rPr>
                <w:rFonts w:cs="Times New Roman"/>
                <w:i/>
                <w:iCs/>
                <w:szCs w:val="24"/>
              </w:rPr>
              <w:t xml:space="preserve"> eklenmesi kaynaklı güvenlik hususları</w:t>
            </w:r>
          </w:p>
        </w:tc>
      </w:tr>
    </w:tbl>
    <w:p w14:paraId="02E0DFE7" w14:textId="77777777" w:rsidR="00F6441B" w:rsidRPr="00F50C10" w:rsidRDefault="00F6441B" w:rsidP="000B206D">
      <w:pPr>
        <w:spacing w:line="276" w:lineRule="auto"/>
        <w:rPr>
          <w:rFonts w:cs="Times New Roman"/>
          <w:b/>
          <w:szCs w:val="24"/>
        </w:rPr>
      </w:pPr>
    </w:p>
    <w:p w14:paraId="07FA55D2" w14:textId="4A4F8C78" w:rsidR="00F6441B" w:rsidRPr="00F50C10" w:rsidRDefault="00F6441B" w:rsidP="000B206D">
      <w:pPr>
        <w:spacing w:after="120" w:line="276" w:lineRule="auto"/>
        <w:rPr>
          <w:rFonts w:cs="Times New Roman"/>
          <w:bCs/>
          <w:szCs w:val="24"/>
        </w:rPr>
      </w:pPr>
      <w:r w:rsidRPr="00F50C10">
        <w:rPr>
          <w:rFonts w:cs="Times New Roman"/>
          <w:b/>
          <w:szCs w:val="24"/>
        </w:rPr>
        <w:t xml:space="preserve">MET 21: </w:t>
      </w:r>
      <w:r w:rsidRPr="00F50C10">
        <w:rPr>
          <w:rFonts w:cs="Times New Roman"/>
          <w:bCs/>
          <w:szCs w:val="24"/>
        </w:rPr>
        <w:t>Açma ve kapama koşullarında emisyonların azaltılmasıdır.</w:t>
      </w:r>
    </w:p>
    <w:p w14:paraId="29BB15E9" w14:textId="77777777" w:rsidR="00F6441B" w:rsidRPr="00F50C10" w:rsidRDefault="00F6441B" w:rsidP="00A654AE">
      <w:pPr>
        <w:pStyle w:val="Balk2"/>
        <w:numPr>
          <w:ilvl w:val="1"/>
          <w:numId w:val="72"/>
        </w:numPr>
        <w:spacing w:before="0" w:after="120" w:line="276" w:lineRule="auto"/>
        <w:rPr>
          <w:rFonts w:cs="Times New Roman"/>
          <w:szCs w:val="24"/>
        </w:rPr>
      </w:pPr>
      <w:r w:rsidRPr="00F50C10">
        <w:rPr>
          <w:rFonts w:cs="Times New Roman"/>
          <w:szCs w:val="24"/>
        </w:rPr>
        <w:t>Sülfürik asit için MET</w:t>
      </w:r>
    </w:p>
    <w:p w14:paraId="09445418" w14:textId="4978E126" w:rsidR="00F6441B" w:rsidRPr="00F50C10" w:rsidRDefault="00F6441B" w:rsidP="000B206D">
      <w:pPr>
        <w:spacing w:after="120" w:line="276" w:lineRule="auto"/>
        <w:rPr>
          <w:rFonts w:cs="Times New Roman"/>
          <w:b/>
          <w:bCs/>
          <w:szCs w:val="24"/>
        </w:rPr>
      </w:pPr>
      <w:r w:rsidRPr="00F50C10">
        <w:rPr>
          <w:rFonts w:cs="Times New Roman"/>
          <w:b/>
          <w:bCs/>
          <w:szCs w:val="24"/>
        </w:rPr>
        <w:t xml:space="preserve">MET 22: </w:t>
      </w:r>
      <w:r w:rsidR="00A064E2" w:rsidRPr="00F50C10">
        <w:rPr>
          <w:rFonts w:cs="Times New Roman"/>
          <w:szCs w:val="24"/>
        </w:rPr>
        <w:t xml:space="preserve">Genel </w:t>
      </w:r>
      <w:r w:rsidRPr="00F50C10">
        <w:rPr>
          <w:rFonts w:cs="Times New Roman"/>
          <w:szCs w:val="24"/>
        </w:rPr>
        <w:t>MET</w:t>
      </w:r>
      <w:r w:rsidRPr="00F50C10">
        <w:rPr>
          <w:rFonts w:cs="Times New Roman"/>
          <w:spacing w:val="-4"/>
          <w:szCs w:val="24"/>
        </w:rPr>
        <w:t xml:space="preserve"> </w:t>
      </w:r>
      <w:r w:rsidRPr="00F50C10">
        <w:rPr>
          <w:rFonts w:cs="Times New Roman"/>
          <w:szCs w:val="24"/>
        </w:rPr>
        <w:t>uygulanır.</w:t>
      </w:r>
      <w:r w:rsidRPr="00F50C10">
        <w:rPr>
          <w:rFonts w:cs="Times New Roman"/>
          <w:b/>
          <w:bCs/>
          <w:szCs w:val="24"/>
        </w:rPr>
        <w:t xml:space="preserve"> </w:t>
      </w:r>
    </w:p>
    <w:p w14:paraId="1D5AD9C0" w14:textId="0D011483" w:rsidR="00F6441B" w:rsidRPr="00F50C10" w:rsidRDefault="00F6441B" w:rsidP="000B206D">
      <w:pPr>
        <w:spacing w:after="120" w:line="276" w:lineRule="auto"/>
        <w:rPr>
          <w:rFonts w:cs="Times New Roman"/>
          <w:b/>
          <w:bCs/>
          <w:szCs w:val="24"/>
        </w:rPr>
      </w:pPr>
      <w:r w:rsidRPr="00F50C10">
        <w:rPr>
          <w:rFonts w:cs="Times New Roman"/>
          <w:b/>
          <w:bCs/>
          <w:szCs w:val="24"/>
        </w:rPr>
        <w:t xml:space="preserve">MET 23: </w:t>
      </w:r>
      <w:r w:rsidRPr="00F50C10">
        <w:rPr>
          <w:rFonts w:cs="Times New Roman"/>
          <w:szCs w:val="24"/>
        </w:rPr>
        <w:t>Depolama için Depolama</w:t>
      </w:r>
      <w:r w:rsidR="00C67353" w:rsidRPr="00F50C10">
        <w:rPr>
          <w:rFonts w:cs="Times New Roman"/>
          <w:szCs w:val="24"/>
        </w:rPr>
        <w:t>dan</w:t>
      </w:r>
      <w:r w:rsidRPr="00F50C10">
        <w:rPr>
          <w:rFonts w:cs="Times New Roman"/>
          <w:szCs w:val="24"/>
        </w:rPr>
        <w:t xml:space="preserve"> </w:t>
      </w:r>
      <w:r w:rsidR="00C67353" w:rsidRPr="00F50C10">
        <w:rPr>
          <w:rFonts w:cs="Times New Roman"/>
          <w:szCs w:val="24"/>
        </w:rPr>
        <w:t>K</w:t>
      </w:r>
      <w:r w:rsidRPr="00F50C10">
        <w:rPr>
          <w:rFonts w:cs="Times New Roman"/>
          <w:szCs w:val="24"/>
        </w:rPr>
        <w:t xml:space="preserve">aynaklanan </w:t>
      </w:r>
      <w:r w:rsidR="00C67353" w:rsidRPr="00F50C10">
        <w:rPr>
          <w:rFonts w:cs="Times New Roman"/>
          <w:szCs w:val="24"/>
        </w:rPr>
        <w:t>E</w:t>
      </w:r>
      <w:r w:rsidRPr="00F50C10">
        <w:rPr>
          <w:rFonts w:cs="Times New Roman"/>
          <w:szCs w:val="24"/>
        </w:rPr>
        <w:t xml:space="preserve">misyonlara ilişkin MET Referans Belgesi’nde yer alan </w:t>
      </w:r>
      <w:r w:rsidR="00F05BC9" w:rsidRPr="00F50C10">
        <w:rPr>
          <w:rFonts w:cs="Times New Roman"/>
          <w:szCs w:val="24"/>
        </w:rPr>
        <w:t>MET</w:t>
      </w:r>
      <w:r w:rsidRPr="00F50C10">
        <w:rPr>
          <w:rFonts w:cs="Times New Roman"/>
          <w:szCs w:val="24"/>
        </w:rPr>
        <w:t xml:space="preserve"> uygulan</w:t>
      </w:r>
      <w:r w:rsidR="00761582" w:rsidRPr="00F50C10">
        <w:rPr>
          <w:rFonts w:cs="Times New Roman"/>
          <w:szCs w:val="24"/>
        </w:rPr>
        <w:t>ı</w:t>
      </w:r>
      <w:r w:rsidRPr="00F50C10">
        <w:rPr>
          <w:rFonts w:cs="Times New Roman"/>
          <w:szCs w:val="24"/>
        </w:rPr>
        <w:t>r.</w:t>
      </w:r>
    </w:p>
    <w:p w14:paraId="41605F59" w14:textId="6395010E" w:rsidR="00F6441B" w:rsidRPr="00F50C10" w:rsidRDefault="00F6441B" w:rsidP="000B206D">
      <w:pPr>
        <w:spacing w:after="120" w:line="276" w:lineRule="auto"/>
        <w:rPr>
          <w:rFonts w:cs="Times New Roman"/>
          <w:b/>
          <w:bCs/>
          <w:szCs w:val="24"/>
        </w:rPr>
      </w:pPr>
      <w:r w:rsidRPr="00F50C10">
        <w:rPr>
          <w:rFonts w:cs="Times New Roman"/>
          <w:b/>
          <w:bCs/>
          <w:szCs w:val="24"/>
        </w:rPr>
        <w:t>MET 24: Geri kazanılabilir enerji kullanılmasıdır: birlikte üretilen buhar ve/veya elektrik gücü, sıcak su</w:t>
      </w:r>
      <w:r w:rsidR="0057110D" w:rsidRPr="00F50C10">
        <w:rPr>
          <w:rFonts w:cs="Times New Roman"/>
          <w:b/>
          <w:bCs/>
          <w:szCs w:val="24"/>
        </w:rPr>
        <w:t>.</w:t>
      </w:r>
    </w:p>
    <w:p w14:paraId="2936AB31" w14:textId="1013BFA5" w:rsidR="00F6441B" w:rsidRPr="00F50C10" w:rsidRDefault="00F6441B" w:rsidP="000B206D">
      <w:pPr>
        <w:spacing w:after="120" w:line="276" w:lineRule="auto"/>
        <w:rPr>
          <w:rFonts w:cs="Times New Roman"/>
          <w:b/>
          <w:bCs/>
          <w:szCs w:val="24"/>
        </w:rPr>
      </w:pPr>
      <w:r w:rsidRPr="00F50C10">
        <w:rPr>
          <w:rFonts w:cs="Times New Roman"/>
          <w:b/>
          <w:bCs/>
          <w:szCs w:val="24"/>
        </w:rPr>
        <w:t xml:space="preserve">MET 25: </w:t>
      </w:r>
      <w:r w:rsidRPr="00F50C10">
        <w:rPr>
          <w:rFonts w:cs="Times New Roman"/>
          <w:szCs w:val="24"/>
        </w:rPr>
        <w:t xml:space="preserve">Aşağıda yer alan tekniklerin bir kombinasyonunun uygulanması </w:t>
      </w:r>
      <w:r w:rsidR="00C67353" w:rsidRPr="00F50C10">
        <w:rPr>
          <w:rFonts w:cs="Times New Roman"/>
          <w:szCs w:val="24"/>
        </w:rPr>
        <w:t>ile</w:t>
      </w:r>
      <w:r w:rsidRPr="00F50C10">
        <w:rPr>
          <w:rFonts w:cs="Times New Roman"/>
          <w:szCs w:val="24"/>
        </w:rPr>
        <w:t xml:space="preserve"> </w:t>
      </w:r>
      <w:r w:rsidRPr="00F50C10">
        <w:rPr>
          <w:rFonts w:cs="Times New Roman"/>
          <w:szCs w:val="24"/>
        </w:rPr>
        <w:fldChar w:fldCharType="begin"/>
      </w:r>
      <w:r w:rsidRPr="00F50C10">
        <w:rPr>
          <w:rFonts w:cs="Times New Roman"/>
          <w:szCs w:val="24"/>
        </w:rPr>
        <w:instrText xml:space="preserve"> REF _Ref134546160 \h  \* MERGEFORMAT </w:instrText>
      </w:r>
      <w:r w:rsidRPr="00F50C10">
        <w:rPr>
          <w:rFonts w:cs="Times New Roman"/>
          <w:szCs w:val="24"/>
        </w:rPr>
      </w:r>
      <w:r w:rsidRPr="00F50C10">
        <w:rPr>
          <w:rFonts w:cs="Times New Roman"/>
          <w:szCs w:val="24"/>
        </w:rPr>
        <w:fldChar w:fldCharType="separate"/>
      </w:r>
      <w:r w:rsidRPr="00F50C10">
        <w:rPr>
          <w:rFonts w:cs="Times New Roman"/>
          <w:szCs w:val="24"/>
        </w:rPr>
        <w:t>Tablo 5</w:t>
      </w:r>
      <w:r w:rsidRPr="00F50C10">
        <w:rPr>
          <w:rFonts w:cs="Times New Roman"/>
          <w:szCs w:val="24"/>
        </w:rPr>
        <w:fldChar w:fldCharType="end"/>
      </w:r>
      <w:r w:rsidRPr="00F50C10">
        <w:rPr>
          <w:rFonts w:cs="Times New Roman"/>
          <w:szCs w:val="24"/>
        </w:rPr>
        <w:t>’te verilen dönüşüm oranları ve emisyon seviyelerin</w:t>
      </w:r>
      <w:r w:rsidR="00761582" w:rsidRPr="00F50C10">
        <w:rPr>
          <w:rFonts w:cs="Times New Roman"/>
          <w:szCs w:val="24"/>
        </w:rPr>
        <w:t>e</w:t>
      </w:r>
      <w:r w:rsidRPr="00F50C10">
        <w:rPr>
          <w:rFonts w:cs="Times New Roman"/>
          <w:szCs w:val="24"/>
        </w:rPr>
        <w:t xml:space="preserve"> ulaşılır:</w:t>
      </w:r>
    </w:p>
    <w:p w14:paraId="31524E78" w14:textId="4E039BF8" w:rsidR="00F6441B" w:rsidRPr="00F50C10" w:rsidRDefault="00F6441B" w:rsidP="00A654AE">
      <w:pPr>
        <w:pStyle w:val="ListeParagraf"/>
        <w:numPr>
          <w:ilvl w:val="0"/>
          <w:numId w:val="75"/>
        </w:numPr>
        <w:spacing w:after="120" w:line="276" w:lineRule="auto"/>
        <w:rPr>
          <w:rFonts w:cs="Times New Roman"/>
          <w:szCs w:val="24"/>
        </w:rPr>
      </w:pPr>
      <w:r w:rsidRPr="00F50C10">
        <w:rPr>
          <w:rFonts w:cs="Times New Roman"/>
          <w:szCs w:val="24"/>
        </w:rPr>
        <w:t>çift kontak/çift absorpsiyon</w:t>
      </w:r>
      <w:r w:rsidR="0057110D" w:rsidRPr="00F50C10">
        <w:rPr>
          <w:rFonts w:cs="Times New Roman"/>
          <w:szCs w:val="24"/>
        </w:rPr>
        <w:t>,</w:t>
      </w:r>
    </w:p>
    <w:p w14:paraId="3D991900" w14:textId="608FE87E" w:rsidR="00F6441B" w:rsidRPr="00F50C10" w:rsidRDefault="00F6441B" w:rsidP="00A654AE">
      <w:pPr>
        <w:pStyle w:val="ListeParagraf"/>
        <w:numPr>
          <w:ilvl w:val="0"/>
          <w:numId w:val="75"/>
        </w:numPr>
        <w:spacing w:after="120" w:line="276" w:lineRule="auto"/>
        <w:rPr>
          <w:rFonts w:cs="Times New Roman"/>
          <w:szCs w:val="24"/>
        </w:rPr>
      </w:pPr>
      <w:r w:rsidRPr="00F50C10">
        <w:rPr>
          <w:rFonts w:cs="Times New Roman"/>
          <w:szCs w:val="24"/>
        </w:rPr>
        <w:t>tek kontak/tek absorpsiyon</w:t>
      </w:r>
      <w:r w:rsidR="0057110D" w:rsidRPr="00F50C10">
        <w:rPr>
          <w:rFonts w:cs="Times New Roman"/>
          <w:szCs w:val="24"/>
        </w:rPr>
        <w:t xml:space="preserve">, </w:t>
      </w:r>
    </w:p>
    <w:p w14:paraId="3560F2D0" w14:textId="56F6BE90" w:rsidR="00F6441B" w:rsidRPr="00F50C10" w:rsidRDefault="00F6441B" w:rsidP="00A654AE">
      <w:pPr>
        <w:pStyle w:val="ListeParagraf"/>
        <w:numPr>
          <w:ilvl w:val="0"/>
          <w:numId w:val="75"/>
        </w:numPr>
        <w:spacing w:after="120" w:line="276" w:lineRule="auto"/>
        <w:rPr>
          <w:rFonts w:cs="Times New Roman"/>
          <w:szCs w:val="24"/>
        </w:rPr>
      </w:pPr>
      <w:r w:rsidRPr="00F50C10">
        <w:rPr>
          <w:rFonts w:cs="Times New Roman"/>
          <w:szCs w:val="24"/>
        </w:rPr>
        <w:t>5. katalizör yatağının eklenmesi</w:t>
      </w:r>
      <w:r w:rsidRPr="00F50C10">
        <w:rPr>
          <w:rFonts w:cs="Times New Roman"/>
          <w:bCs/>
          <w:szCs w:val="24"/>
        </w:rPr>
        <w:t>,</w:t>
      </w:r>
    </w:p>
    <w:p w14:paraId="634FD8EC" w14:textId="47E102B8" w:rsidR="00F6441B" w:rsidRPr="00F50C10" w:rsidRDefault="00F6441B" w:rsidP="00A654AE">
      <w:pPr>
        <w:pStyle w:val="ListeParagraf"/>
        <w:numPr>
          <w:ilvl w:val="0"/>
          <w:numId w:val="75"/>
        </w:numPr>
        <w:spacing w:after="120" w:line="276" w:lineRule="auto"/>
        <w:rPr>
          <w:rFonts w:cs="Times New Roman"/>
          <w:szCs w:val="24"/>
        </w:rPr>
      </w:pPr>
      <w:r w:rsidRPr="00F50C10">
        <w:rPr>
          <w:rFonts w:cs="Times New Roman"/>
          <w:szCs w:val="24"/>
        </w:rPr>
        <w:t>4. ve</w:t>
      </w:r>
      <w:r w:rsidR="00C67353" w:rsidRPr="00F50C10">
        <w:rPr>
          <w:rFonts w:cs="Times New Roman"/>
          <w:szCs w:val="24"/>
        </w:rPr>
        <w:t>ya</w:t>
      </w:r>
      <w:r w:rsidRPr="00F50C10">
        <w:rPr>
          <w:rFonts w:cs="Times New Roman"/>
          <w:szCs w:val="24"/>
        </w:rPr>
        <w:t xml:space="preserve"> 5. yatakta sezyum destekli katalizörün kullanılması</w:t>
      </w:r>
      <w:r w:rsidR="0057110D" w:rsidRPr="00F50C10">
        <w:rPr>
          <w:rFonts w:cs="Times New Roman"/>
          <w:szCs w:val="24"/>
        </w:rPr>
        <w:t>,</w:t>
      </w:r>
    </w:p>
    <w:p w14:paraId="0941BAE4" w14:textId="39CA9D57" w:rsidR="00F6441B" w:rsidRPr="00F50C10" w:rsidRDefault="00F6441B" w:rsidP="00A654AE">
      <w:pPr>
        <w:pStyle w:val="ListeParagraf"/>
        <w:numPr>
          <w:ilvl w:val="0"/>
          <w:numId w:val="75"/>
        </w:numPr>
        <w:spacing w:after="120" w:line="276" w:lineRule="auto"/>
        <w:rPr>
          <w:rFonts w:cs="Times New Roman"/>
          <w:szCs w:val="24"/>
        </w:rPr>
      </w:pPr>
      <w:r w:rsidRPr="00F50C10">
        <w:rPr>
          <w:rFonts w:cs="Times New Roman"/>
          <w:szCs w:val="24"/>
        </w:rPr>
        <w:t>tek absorpsiyondan çift absorpsiyona geçi</w:t>
      </w:r>
      <w:r w:rsidR="00C67353" w:rsidRPr="00F50C10">
        <w:rPr>
          <w:rFonts w:cs="Times New Roman"/>
          <w:szCs w:val="24"/>
        </w:rPr>
        <w:t>lmesi</w:t>
      </w:r>
      <w:r w:rsidR="0057110D" w:rsidRPr="00F50C10">
        <w:rPr>
          <w:rFonts w:cs="Times New Roman"/>
          <w:szCs w:val="24"/>
        </w:rPr>
        <w:t>,</w:t>
      </w:r>
    </w:p>
    <w:p w14:paraId="39AB788C" w14:textId="46029184" w:rsidR="00F6441B" w:rsidRPr="00F50C10" w:rsidRDefault="00F6441B" w:rsidP="00A654AE">
      <w:pPr>
        <w:pStyle w:val="ListeParagraf"/>
        <w:numPr>
          <w:ilvl w:val="0"/>
          <w:numId w:val="75"/>
        </w:numPr>
        <w:spacing w:after="120" w:line="276" w:lineRule="auto"/>
        <w:rPr>
          <w:rFonts w:cs="Times New Roman"/>
          <w:szCs w:val="24"/>
        </w:rPr>
      </w:pPr>
      <w:r w:rsidRPr="00F50C10">
        <w:rPr>
          <w:rFonts w:cs="Times New Roman"/>
          <w:szCs w:val="24"/>
        </w:rPr>
        <w:t xml:space="preserve">ıslak yada kombine ıslak/kuru </w:t>
      </w:r>
      <w:r w:rsidR="00C67353" w:rsidRPr="00F50C10">
        <w:rPr>
          <w:rFonts w:cs="Times New Roman"/>
          <w:szCs w:val="24"/>
        </w:rPr>
        <w:t>prosesler</w:t>
      </w:r>
      <w:r w:rsidR="0057110D" w:rsidRPr="00F50C10">
        <w:rPr>
          <w:rFonts w:cs="Times New Roman"/>
          <w:szCs w:val="24"/>
        </w:rPr>
        <w:t xml:space="preserve">, </w:t>
      </w:r>
    </w:p>
    <w:p w14:paraId="023C63C9" w14:textId="6B955562" w:rsidR="00F6441B" w:rsidRPr="00F50C10" w:rsidRDefault="00F6441B" w:rsidP="00A654AE">
      <w:pPr>
        <w:pStyle w:val="ListeParagraf"/>
        <w:numPr>
          <w:ilvl w:val="0"/>
          <w:numId w:val="75"/>
        </w:numPr>
        <w:spacing w:after="120" w:line="276" w:lineRule="auto"/>
        <w:rPr>
          <w:rFonts w:cs="Times New Roman"/>
          <w:szCs w:val="24"/>
        </w:rPr>
      </w:pPr>
      <w:r w:rsidRPr="00F50C10">
        <w:rPr>
          <w:rFonts w:cs="Times New Roman"/>
          <w:szCs w:val="24"/>
        </w:rPr>
        <w:t xml:space="preserve">özellikle 1. katalizör yatağı olmak üzere katalizörlerin düzenli olarak </w:t>
      </w:r>
      <w:r w:rsidR="00C67353" w:rsidRPr="00F50C10">
        <w:rPr>
          <w:rFonts w:cs="Times New Roman"/>
          <w:szCs w:val="24"/>
        </w:rPr>
        <w:t>izlenmesi</w:t>
      </w:r>
      <w:r w:rsidRPr="00F50C10">
        <w:rPr>
          <w:rFonts w:cs="Times New Roman"/>
          <w:szCs w:val="24"/>
        </w:rPr>
        <w:t xml:space="preserve"> ve değiştirilmesi</w:t>
      </w:r>
      <w:r w:rsidRPr="00F50C10">
        <w:rPr>
          <w:rFonts w:cs="Times New Roman"/>
          <w:bCs/>
          <w:szCs w:val="24"/>
        </w:rPr>
        <w:t>,</w:t>
      </w:r>
    </w:p>
    <w:p w14:paraId="61CCD016" w14:textId="5AF98809" w:rsidR="00F6441B" w:rsidRPr="00F50C10" w:rsidRDefault="00F6441B" w:rsidP="00A654AE">
      <w:pPr>
        <w:pStyle w:val="ListeParagraf"/>
        <w:numPr>
          <w:ilvl w:val="0"/>
          <w:numId w:val="75"/>
        </w:numPr>
        <w:spacing w:after="120" w:line="276" w:lineRule="auto"/>
        <w:rPr>
          <w:rFonts w:cs="Times New Roman"/>
          <w:szCs w:val="24"/>
        </w:rPr>
      </w:pPr>
      <w:r w:rsidRPr="00F50C10">
        <w:rPr>
          <w:rFonts w:cs="Times New Roman"/>
          <w:szCs w:val="24"/>
        </w:rPr>
        <w:t>tuğla döşeli konvertörlerin paslanmaz çelik konvertörlerle değiştirilmesi</w:t>
      </w:r>
      <w:r w:rsidRPr="00F50C10">
        <w:rPr>
          <w:rFonts w:cs="Times New Roman"/>
          <w:bCs/>
          <w:szCs w:val="24"/>
        </w:rPr>
        <w:t>,</w:t>
      </w:r>
    </w:p>
    <w:p w14:paraId="0957D36F" w14:textId="31E4AFA4" w:rsidR="00F6441B" w:rsidRPr="00F50C10" w:rsidRDefault="00F6441B" w:rsidP="00A654AE">
      <w:pPr>
        <w:pStyle w:val="ListeParagraf"/>
        <w:numPr>
          <w:ilvl w:val="0"/>
          <w:numId w:val="75"/>
        </w:numPr>
        <w:spacing w:after="120" w:line="276" w:lineRule="auto"/>
        <w:rPr>
          <w:rFonts w:cs="Times New Roman"/>
          <w:szCs w:val="24"/>
        </w:rPr>
      </w:pPr>
      <w:r w:rsidRPr="00F50C10">
        <w:rPr>
          <w:rFonts w:cs="Times New Roman"/>
          <w:szCs w:val="24"/>
        </w:rPr>
        <w:t xml:space="preserve">ham gaz temizleme işleminin geliştirilmesi (metalurjik </w:t>
      </w:r>
      <w:r w:rsidR="00C67353" w:rsidRPr="00F50C10">
        <w:rPr>
          <w:rFonts w:cs="Times New Roman"/>
          <w:szCs w:val="24"/>
        </w:rPr>
        <w:t>tesisler</w:t>
      </w:r>
      <w:r w:rsidRPr="00F50C10">
        <w:rPr>
          <w:rFonts w:cs="Times New Roman"/>
          <w:szCs w:val="24"/>
        </w:rPr>
        <w:t>)</w:t>
      </w:r>
      <w:r w:rsidRPr="00F50C10">
        <w:rPr>
          <w:rFonts w:cs="Times New Roman"/>
          <w:bCs/>
          <w:szCs w:val="24"/>
        </w:rPr>
        <w:t>,</w:t>
      </w:r>
    </w:p>
    <w:p w14:paraId="095701F9" w14:textId="2D32EF69" w:rsidR="00F6441B" w:rsidRPr="00F50C10" w:rsidRDefault="00F6441B" w:rsidP="00A654AE">
      <w:pPr>
        <w:pStyle w:val="ListeParagraf"/>
        <w:numPr>
          <w:ilvl w:val="0"/>
          <w:numId w:val="75"/>
        </w:numPr>
        <w:spacing w:after="120" w:line="276" w:lineRule="auto"/>
        <w:rPr>
          <w:rFonts w:cs="Times New Roman"/>
          <w:szCs w:val="24"/>
        </w:rPr>
      </w:pPr>
      <w:r w:rsidRPr="00F50C10">
        <w:rPr>
          <w:rFonts w:cs="Times New Roman"/>
          <w:szCs w:val="24"/>
        </w:rPr>
        <w:t>iki aşamalı filtreleme ile hava filtreleme işleminin geliştirilmesi (sülfür yakma)</w:t>
      </w:r>
      <w:r w:rsidRPr="00F50C10">
        <w:rPr>
          <w:rFonts w:cs="Times New Roman"/>
          <w:bCs/>
          <w:szCs w:val="24"/>
        </w:rPr>
        <w:t>,</w:t>
      </w:r>
    </w:p>
    <w:p w14:paraId="69F36D38" w14:textId="0005B7AB" w:rsidR="00F6441B" w:rsidRPr="00F50C10" w:rsidRDefault="00F6441B" w:rsidP="00A654AE">
      <w:pPr>
        <w:pStyle w:val="ListeParagraf"/>
        <w:numPr>
          <w:ilvl w:val="0"/>
          <w:numId w:val="75"/>
        </w:numPr>
        <w:spacing w:after="120" w:line="276" w:lineRule="auto"/>
        <w:rPr>
          <w:rFonts w:cs="Times New Roman"/>
          <w:szCs w:val="24"/>
        </w:rPr>
      </w:pPr>
      <w:r w:rsidRPr="00F50C10">
        <w:rPr>
          <w:rFonts w:cs="Times New Roman"/>
          <w:szCs w:val="24"/>
        </w:rPr>
        <w:t>parlatma filtresi yerleştir</w:t>
      </w:r>
      <w:r w:rsidR="00C67353" w:rsidRPr="00F50C10">
        <w:rPr>
          <w:rFonts w:cs="Times New Roman"/>
          <w:szCs w:val="24"/>
        </w:rPr>
        <w:t>me gibi işlemlerle</w:t>
      </w:r>
      <w:r w:rsidRPr="00F50C10">
        <w:rPr>
          <w:rFonts w:cs="Times New Roman"/>
          <w:szCs w:val="24"/>
        </w:rPr>
        <w:t xml:space="preserve"> sülfür filtreleme işlemini</w:t>
      </w:r>
      <w:r w:rsidR="00C67353" w:rsidRPr="00F50C10">
        <w:rPr>
          <w:rFonts w:cs="Times New Roman"/>
          <w:szCs w:val="24"/>
        </w:rPr>
        <w:t>n</w:t>
      </w:r>
      <w:r w:rsidRPr="00F50C10">
        <w:rPr>
          <w:rFonts w:cs="Times New Roman"/>
          <w:szCs w:val="24"/>
        </w:rPr>
        <w:t xml:space="preserve"> geliştir</w:t>
      </w:r>
      <w:r w:rsidR="00C67353" w:rsidRPr="00F50C10">
        <w:rPr>
          <w:rFonts w:cs="Times New Roman"/>
          <w:szCs w:val="24"/>
        </w:rPr>
        <w:t>il</w:t>
      </w:r>
      <w:r w:rsidRPr="00F50C10">
        <w:rPr>
          <w:rFonts w:cs="Times New Roman"/>
          <w:szCs w:val="24"/>
        </w:rPr>
        <w:t>me</w:t>
      </w:r>
      <w:r w:rsidR="00C67353" w:rsidRPr="00F50C10">
        <w:rPr>
          <w:rFonts w:cs="Times New Roman"/>
          <w:szCs w:val="24"/>
        </w:rPr>
        <w:t>si</w:t>
      </w:r>
      <w:r w:rsidRPr="00F50C10">
        <w:rPr>
          <w:rFonts w:cs="Times New Roman"/>
          <w:szCs w:val="24"/>
        </w:rPr>
        <w:t xml:space="preserve"> (sülfür yakma)</w:t>
      </w:r>
      <w:r w:rsidR="0057110D" w:rsidRPr="00F50C10">
        <w:rPr>
          <w:rFonts w:cs="Times New Roman"/>
          <w:szCs w:val="24"/>
        </w:rPr>
        <w:t>,</w:t>
      </w:r>
    </w:p>
    <w:p w14:paraId="3AB1ED4A" w14:textId="5E55AD7E" w:rsidR="00F6441B" w:rsidRPr="00F50C10" w:rsidRDefault="00F6441B" w:rsidP="00A654AE">
      <w:pPr>
        <w:pStyle w:val="ListeParagraf"/>
        <w:numPr>
          <w:ilvl w:val="0"/>
          <w:numId w:val="75"/>
        </w:numPr>
        <w:spacing w:after="120" w:line="276" w:lineRule="auto"/>
        <w:rPr>
          <w:rFonts w:cs="Times New Roman"/>
          <w:szCs w:val="24"/>
        </w:rPr>
      </w:pPr>
      <w:r w:rsidRPr="00F50C10">
        <w:rPr>
          <w:rFonts w:cs="Times New Roman"/>
          <w:szCs w:val="24"/>
        </w:rPr>
        <w:t xml:space="preserve">ısı </w:t>
      </w:r>
      <w:r w:rsidR="00C67353" w:rsidRPr="00F50C10">
        <w:rPr>
          <w:rFonts w:cs="Times New Roman"/>
          <w:szCs w:val="24"/>
        </w:rPr>
        <w:t>eşanjör</w:t>
      </w:r>
      <w:r w:rsidRPr="00F50C10">
        <w:rPr>
          <w:rFonts w:cs="Times New Roman"/>
          <w:szCs w:val="24"/>
        </w:rPr>
        <w:t xml:space="preserve"> verimliliğinin sağlanması</w:t>
      </w:r>
      <w:r w:rsidR="0057110D" w:rsidRPr="00F50C10">
        <w:rPr>
          <w:rFonts w:cs="Times New Roman"/>
          <w:szCs w:val="24"/>
        </w:rPr>
        <w:t>,</w:t>
      </w:r>
    </w:p>
    <w:p w14:paraId="56E8F198" w14:textId="17EDADCB" w:rsidR="00F6441B" w:rsidRPr="00F50C10" w:rsidRDefault="00F6441B" w:rsidP="00A654AE">
      <w:pPr>
        <w:pStyle w:val="ListeParagraf"/>
        <w:numPr>
          <w:ilvl w:val="0"/>
          <w:numId w:val="75"/>
        </w:numPr>
        <w:spacing w:after="120" w:line="276" w:lineRule="auto"/>
        <w:rPr>
          <w:rFonts w:cs="Times New Roman"/>
          <w:szCs w:val="24"/>
        </w:rPr>
      </w:pPr>
      <w:r w:rsidRPr="00F50C10">
        <w:rPr>
          <w:rFonts w:cs="Times New Roman"/>
          <w:szCs w:val="24"/>
        </w:rPr>
        <w:t xml:space="preserve">yan ürünlerin tesiste geri dönüştürülebilmesi </w:t>
      </w:r>
      <w:r w:rsidR="00C67353" w:rsidRPr="00F50C10">
        <w:rPr>
          <w:rFonts w:cs="Times New Roman"/>
          <w:szCs w:val="24"/>
        </w:rPr>
        <w:t>koşuluyla</w:t>
      </w:r>
      <w:r w:rsidRPr="00F50C10">
        <w:rPr>
          <w:rFonts w:cs="Times New Roman"/>
          <w:szCs w:val="24"/>
        </w:rPr>
        <w:t xml:space="preserve"> a</w:t>
      </w:r>
      <w:r w:rsidR="00C67353" w:rsidRPr="00F50C10">
        <w:rPr>
          <w:rFonts w:cs="Times New Roman"/>
          <w:szCs w:val="24"/>
        </w:rPr>
        <w:t>r</w:t>
      </w:r>
      <w:r w:rsidRPr="00F50C10">
        <w:rPr>
          <w:rFonts w:cs="Times New Roman"/>
          <w:szCs w:val="24"/>
        </w:rPr>
        <w:t>tık gaz</w:t>
      </w:r>
      <w:r w:rsidR="00C67353" w:rsidRPr="00F50C10">
        <w:rPr>
          <w:rFonts w:cs="Times New Roman"/>
          <w:szCs w:val="24"/>
        </w:rPr>
        <w:t>ın</w:t>
      </w:r>
      <w:r w:rsidRPr="00F50C10">
        <w:rPr>
          <w:rFonts w:cs="Times New Roman"/>
          <w:szCs w:val="24"/>
        </w:rPr>
        <w:t xml:space="preserve"> temizle</w:t>
      </w:r>
      <w:r w:rsidR="00C67353" w:rsidRPr="00F50C10">
        <w:rPr>
          <w:rFonts w:cs="Times New Roman"/>
          <w:szCs w:val="24"/>
        </w:rPr>
        <w:t>n</w:t>
      </w:r>
      <w:r w:rsidRPr="00F50C10">
        <w:rPr>
          <w:rFonts w:cs="Times New Roman"/>
          <w:szCs w:val="24"/>
        </w:rPr>
        <w:t>me</w:t>
      </w:r>
      <w:r w:rsidR="00C67353" w:rsidRPr="00F50C10">
        <w:rPr>
          <w:rFonts w:cs="Times New Roman"/>
          <w:szCs w:val="24"/>
        </w:rPr>
        <w:t>si</w:t>
      </w:r>
      <w:r w:rsidRPr="00F50C10">
        <w:rPr>
          <w:rFonts w:cs="Times New Roman"/>
          <w:bCs/>
          <w:szCs w:val="24"/>
        </w:rPr>
        <w:t>.</w:t>
      </w:r>
    </w:p>
    <w:p w14:paraId="41893986" w14:textId="09A3C4CA" w:rsidR="00F6441B" w:rsidRPr="00F50C10" w:rsidRDefault="00C67353" w:rsidP="000B206D">
      <w:pPr>
        <w:pStyle w:val="ResimYazs"/>
        <w:keepNext/>
        <w:spacing w:after="120" w:line="276" w:lineRule="auto"/>
        <w:rPr>
          <w:rFonts w:cs="Times New Roman"/>
          <w:szCs w:val="24"/>
          <w:lang w:val="tr-TR"/>
        </w:rPr>
      </w:pPr>
      <w:r w:rsidRPr="00F50C10">
        <w:rPr>
          <w:rFonts w:cs="Times New Roman"/>
          <w:szCs w:val="24"/>
          <w:lang w:val="tr-TR"/>
        </w:rPr>
        <w:t xml:space="preserve">Tablo 5. </w:t>
      </w:r>
      <w:r w:rsidR="00F6441B" w:rsidRPr="00F50C10">
        <w:rPr>
          <w:rFonts w:cs="Times New Roman"/>
          <w:szCs w:val="24"/>
          <w:lang w:val="tr-TR"/>
        </w:rPr>
        <w:t>MET ile ilişkili emisyon seviyeleri ve dönüşüm oranları</w:t>
      </w:r>
    </w:p>
    <w:tbl>
      <w:tblPr>
        <w:tblStyle w:val="TabloKlavuzu"/>
        <w:tblW w:w="5000" w:type="pct"/>
        <w:tblLook w:val="04A0" w:firstRow="1" w:lastRow="0" w:firstColumn="1" w:lastColumn="0" w:noHBand="0" w:noVBand="1"/>
      </w:tblPr>
      <w:tblGrid>
        <w:gridCol w:w="2327"/>
        <w:gridCol w:w="2327"/>
        <w:gridCol w:w="2328"/>
        <w:gridCol w:w="2328"/>
      </w:tblGrid>
      <w:tr w:rsidR="00F6441B" w:rsidRPr="00F50C10" w14:paraId="7A5BA966" w14:textId="77777777" w:rsidTr="00116C54">
        <w:trPr>
          <w:trHeight w:val="20"/>
        </w:trPr>
        <w:tc>
          <w:tcPr>
            <w:tcW w:w="1250" w:type="pct"/>
            <w:vMerge w:val="restart"/>
            <w:vAlign w:val="center"/>
          </w:tcPr>
          <w:p w14:paraId="48709356" w14:textId="77777777" w:rsidR="00F6441B" w:rsidRPr="00F50C10" w:rsidRDefault="00F6441B" w:rsidP="000B206D">
            <w:pPr>
              <w:spacing w:line="276" w:lineRule="auto"/>
              <w:ind w:left="72" w:right="72"/>
              <w:jc w:val="center"/>
              <w:rPr>
                <w:rFonts w:cs="Times New Roman"/>
                <w:b/>
                <w:szCs w:val="24"/>
              </w:rPr>
            </w:pPr>
            <w:r w:rsidRPr="00F50C10">
              <w:rPr>
                <w:rFonts w:cs="Times New Roman"/>
                <w:b/>
                <w:szCs w:val="24"/>
              </w:rPr>
              <w:t>Dönüşüm işlemi türü</w:t>
            </w:r>
          </w:p>
        </w:tc>
        <w:tc>
          <w:tcPr>
            <w:tcW w:w="1250" w:type="pct"/>
            <w:vMerge w:val="restart"/>
            <w:vAlign w:val="center"/>
          </w:tcPr>
          <w:p w14:paraId="21D112ED" w14:textId="77777777" w:rsidR="00F6441B" w:rsidRPr="00F50C10" w:rsidRDefault="00F6441B" w:rsidP="000B206D">
            <w:pPr>
              <w:spacing w:line="276" w:lineRule="auto"/>
              <w:ind w:left="72" w:right="72"/>
              <w:jc w:val="center"/>
              <w:rPr>
                <w:rFonts w:cs="Times New Roman"/>
                <w:b/>
                <w:szCs w:val="24"/>
              </w:rPr>
            </w:pPr>
          </w:p>
        </w:tc>
        <w:tc>
          <w:tcPr>
            <w:tcW w:w="2501" w:type="pct"/>
            <w:gridSpan w:val="2"/>
            <w:vAlign w:val="center"/>
          </w:tcPr>
          <w:p w14:paraId="6CCFC8EA" w14:textId="77777777" w:rsidR="00F6441B" w:rsidRPr="00F50C10" w:rsidRDefault="00F6441B" w:rsidP="000B206D">
            <w:pPr>
              <w:spacing w:line="276" w:lineRule="auto"/>
              <w:ind w:left="72" w:right="72"/>
              <w:jc w:val="center"/>
              <w:rPr>
                <w:rFonts w:cs="Times New Roman"/>
                <w:b/>
                <w:szCs w:val="24"/>
              </w:rPr>
            </w:pPr>
            <w:r w:rsidRPr="00F50C10">
              <w:rPr>
                <w:rFonts w:cs="Times New Roman"/>
                <w:b/>
                <w:szCs w:val="24"/>
              </w:rPr>
              <w:t>Günlük ortalama</w:t>
            </w:r>
          </w:p>
        </w:tc>
      </w:tr>
      <w:tr w:rsidR="00F6441B" w:rsidRPr="00F50C10" w14:paraId="7006FEAE" w14:textId="77777777" w:rsidTr="00116C54">
        <w:trPr>
          <w:trHeight w:val="20"/>
        </w:trPr>
        <w:tc>
          <w:tcPr>
            <w:tcW w:w="1250" w:type="pct"/>
            <w:vMerge/>
            <w:vAlign w:val="center"/>
          </w:tcPr>
          <w:p w14:paraId="297E9994" w14:textId="77777777" w:rsidR="00F6441B" w:rsidRPr="00F50C10" w:rsidRDefault="00F6441B" w:rsidP="000B206D">
            <w:pPr>
              <w:spacing w:line="276" w:lineRule="auto"/>
              <w:ind w:left="72" w:right="72"/>
              <w:jc w:val="center"/>
              <w:rPr>
                <w:rFonts w:cs="Times New Roman"/>
                <w:b/>
                <w:szCs w:val="24"/>
              </w:rPr>
            </w:pPr>
          </w:p>
        </w:tc>
        <w:tc>
          <w:tcPr>
            <w:tcW w:w="1250" w:type="pct"/>
            <w:vMerge/>
            <w:vAlign w:val="center"/>
          </w:tcPr>
          <w:p w14:paraId="78D68F6A" w14:textId="77777777" w:rsidR="00F6441B" w:rsidRPr="00F50C10" w:rsidRDefault="00F6441B" w:rsidP="000B206D">
            <w:pPr>
              <w:spacing w:line="276" w:lineRule="auto"/>
              <w:ind w:left="72" w:right="72"/>
              <w:jc w:val="center"/>
              <w:rPr>
                <w:rFonts w:cs="Times New Roman"/>
                <w:b/>
                <w:szCs w:val="24"/>
              </w:rPr>
            </w:pPr>
          </w:p>
        </w:tc>
        <w:tc>
          <w:tcPr>
            <w:tcW w:w="1250" w:type="pct"/>
            <w:vAlign w:val="center"/>
          </w:tcPr>
          <w:p w14:paraId="5A48CEBE" w14:textId="77777777" w:rsidR="00F6441B" w:rsidRPr="00F50C10" w:rsidRDefault="00F6441B" w:rsidP="000B206D">
            <w:pPr>
              <w:spacing w:line="276" w:lineRule="auto"/>
              <w:ind w:left="72" w:right="72"/>
              <w:jc w:val="center"/>
              <w:rPr>
                <w:rFonts w:cs="Times New Roman"/>
                <w:b/>
                <w:szCs w:val="24"/>
                <w:vertAlign w:val="superscript"/>
              </w:rPr>
            </w:pPr>
            <w:r w:rsidRPr="00F50C10">
              <w:rPr>
                <w:rFonts w:cs="Times New Roman"/>
                <w:b/>
                <w:szCs w:val="24"/>
              </w:rPr>
              <w:t>Dönüşüm</w:t>
            </w:r>
            <w:r w:rsidRPr="00F50C10">
              <w:rPr>
                <w:rFonts w:cs="Times New Roman"/>
                <w:b/>
                <w:spacing w:val="-7"/>
                <w:szCs w:val="24"/>
              </w:rPr>
              <w:t xml:space="preserve"> </w:t>
            </w:r>
            <w:r w:rsidRPr="00F50C10">
              <w:rPr>
                <w:rFonts w:cs="Times New Roman"/>
                <w:b/>
                <w:spacing w:val="-2"/>
                <w:szCs w:val="24"/>
              </w:rPr>
              <w:t>oranı*</w:t>
            </w:r>
          </w:p>
        </w:tc>
        <w:tc>
          <w:tcPr>
            <w:tcW w:w="1250" w:type="pct"/>
            <w:vAlign w:val="center"/>
          </w:tcPr>
          <w:p w14:paraId="363024F8" w14:textId="77777777" w:rsidR="00F6441B" w:rsidRPr="00F50C10" w:rsidRDefault="00F6441B" w:rsidP="000B206D">
            <w:pPr>
              <w:tabs>
                <w:tab w:val="left" w:pos="1363"/>
              </w:tabs>
              <w:spacing w:line="276" w:lineRule="auto"/>
              <w:ind w:left="72" w:right="72"/>
              <w:jc w:val="center"/>
              <w:rPr>
                <w:rFonts w:cs="Times New Roman"/>
                <w:b/>
                <w:szCs w:val="24"/>
              </w:rPr>
            </w:pPr>
            <w:r w:rsidRPr="00F50C10">
              <w:rPr>
                <w:rFonts w:cs="Times New Roman"/>
                <w:b/>
                <w:szCs w:val="24"/>
              </w:rPr>
              <w:t>SO</w:t>
            </w:r>
            <w:r w:rsidRPr="00F50C10">
              <w:rPr>
                <w:rFonts w:cs="Times New Roman"/>
                <w:b/>
                <w:szCs w:val="24"/>
                <w:vertAlign w:val="subscript"/>
              </w:rPr>
              <w:t>2</w:t>
            </w:r>
            <w:r w:rsidRPr="00F50C10">
              <w:rPr>
                <w:rFonts w:cs="Times New Roman"/>
                <w:b/>
                <w:spacing w:val="-3"/>
                <w:szCs w:val="24"/>
              </w:rPr>
              <w:t xml:space="preserve"> </w:t>
            </w:r>
            <w:r w:rsidRPr="00F50C10">
              <w:rPr>
                <w:rFonts w:cs="Times New Roman"/>
                <w:b/>
                <w:spacing w:val="-2"/>
                <w:szCs w:val="24"/>
              </w:rPr>
              <w:t>mg/Nm</w:t>
            </w:r>
            <w:r w:rsidRPr="00F50C10">
              <w:rPr>
                <w:rFonts w:cs="Times New Roman"/>
                <w:b/>
                <w:spacing w:val="-2"/>
                <w:szCs w:val="24"/>
                <w:vertAlign w:val="superscript"/>
              </w:rPr>
              <w:t>3</w:t>
            </w:r>
            <w:r w:rsidRPr="00F50C10">
              <w:rPr>
                <w:rFonts w:cs="Times New Roman"/>
                <w:b/>
                <w:spacing w:val="-2"/>
                <w:szCs w:val="24"/>
              </w:rPr>
              <w:t>**</w:t>
            </w:r>
          </w:p>
        </w:tc>
      </w:tr>
      <w:tr w:rsidR="00F6441B" w:rsidRPr="00F50C10" w14:paraId="437171E8" w14:textId="77777777" w:rsidTr="00116C54">
        <w:trPr>
          <w:trHeight w:val="20"/>
        </w:trPr>
        <w:tc>
          <w:tcPr>
            <w:tcW w:w="1250" w:type="pct"/>
            <w:vMerge w:val="restart"/>
            <w:vAlign w:val="center"/>
          </w:tcPr>
          <w:p w14:paraId="63B16572" w14:textId="145EE776" w:rsidR="00F6441B" w:rsidRPr="00F50C10" w:rsidRDefault="00F6441B" w:rsidP="000B206D">
            <w:pPr>
              <w:spacing w:line="276" w:lineRule="auto"/>
              <w:ind w:left="72" w:right="72"/>
              <w:jc w:val="left"/>
              <w:rPr>
                <w:rFonts w:cs="Times New Roman"/>
                <w:b/>
                <w:szCs w:val="24"/>
              </w:rPr>
            </w:pPr>
            <w:r w:rsidRPr="00F50C10">
              <w:rPr>
                <w:rFonts w:cs="Times New Roman"/>
                <w:b/>
                <w:szCs w:val="24"/>
              </w:rPr>
              <w:t>Sülfür yakma, çift kontak/çift absorpsiyon</w:t>
            </w:r>
          </w:p>
        </w:tc>
        <w:tc>
          <w:tcPr>
            <w:tcW w:w="1250" w:type="pct"/>
            <w:vAlign w:val="center"/>
          </w:tcPr>
          <w:p w14:paraId="278DB6CF" w14:textId="77777777" w:rsidR="00F6441B" w:rsidRPr="00F50C10" w:rsidRDefault="00F6441B" w:rsidP="000B206D">
            <w:pPr>
              <w:spacing w:line="276" w:lineRule="auto"/>
              <w:ind w:left="72" w:right="72"/>
              <w:jc w:val="center"/>
              <w:rPr>
                <w:rFonts w:cs="Times New Roman"/>
                <w:b/>
                <w:szCs w:val="24"/>
              </w:rPr>
            </w:pPr>
            <w:r w:rsidRPr="00F50C10">
              <w:rPr>
                <w:rFonts w:cs="Times New Roman"/>
                <w:b/>
                <w:szCs w:val="24"/>
              </w:rPr>
              <w:t>Mevcut tesisler</w:t>
            </w:r>
          </w:p>
        </w:tc>
        <w:tc>
          <w:tcPr>
            <w:tcW w:w="1250" w:type="pct"/>
            <w:vAlign w:val="center"/>
          </w:tcPr>
          <w:p w14:paraId="02AAE85D"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%99,8 – 99,92</w:t>
            </w:r>
          </w:p>
        </w:tc>
        <w:tc>
          <w:tcPr>
            <w:tcW w:w="1250" w:type="pct"/>
            <w:vAlign w:val="center"/>
          </w:tcPr>
          <w:p w14:paraId="71A0DDFF"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30 – 680</w:t>
            </w:r>
          </w:p>
        </w:tc>
      </w:tr>
      <w:tr w:rsidR="00F6441B" w:rsidRPr="00F50C10" w14:paraId="5795B083" w14:textId="77777777" w:rsidTr="00116C54">
        <w:trPr>
          <w:trHeight w:val="20"/>
        </w:trPr>
        <w:tc>
          <w:tcPr>
            <w:tcW w:w="1250" w:type="pct"/>
            <w:vMerge/>
            <w:vAlign w:val="center"/>
          </w:tcPr>
          <w:p w14:paraId="722B9BD5" w14:textId="77777777" w:rsidR="00F6441B" w:rsidRPr="00F50C10" w:rsidRDefault="00F6441B" w:rsidP="000B206D">
            <w:pPr>
              <w:spacing w:line="276" w:lineRule="auto"/>
              <w:ind w:left="72" w:right="72"/>
              <w:rPr>
                <w:rFonts w:cs="Times New Roman"/>
                <w:b/>
                <w:szCs w:val="24"/>
              </w:rPr>
            </w:pPr>
          </w:p>
        </w:tc>
        <w:tc>
          <w:tcPr>
            <w:tcW w:w="1250" w:type="pct"/>
            <w:vAlign w:val="center"/>
          </w:tcPr>
          <w:p w14:paraId="0E063052" w14:textId="77777777" w:rsidR="00F6441B" w:rsidRPr="00F50C10" w:rsidRDefault="00F6441B" w:rsidP="000B206D">
            <w:pPr>
              <w:spacing w:line="276" w:lineRule="auto"/>
              <w:ind w:left="72" w:right="72"/>
              <w:jc w:val="center"/>
              <w:rPr>
                <w:rFonts w:cs="Times New Roman"/>
                <w:b/>
                <w:szCs w:val="24"/>
              </w:rPr>
            </w:pPr>
            <w:r w:rsidRPr="00F50C10">
              <w:rPr>
                <w:rFonts w:cs="Times New Roman"/>
                <w:b/>
                <w:szCs w:val="24"/>
              </w:rPr>
              <w:t>Yeni tesisler</w:t>
            </w:r>
          </w:p>
        </w:tc>
        <w:tc>
          <w:tcPr>
            <w:tcW w:w="1250" w:type="pct"/>
            <w:vAlign w:val="center"/>
          </w:tcPr>
          <w:p w14:paraId="1E7869AC"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%99,9 – 99,92</w:t>
            </w:r>
          </w:p>
        </w:tc>
        <w:tc>
          <w:tcPr>
            <w:tcW w:w="1250" w:type="pct"/>
            <w:vAlign w:val="center"/>
          </w:tcPr>
          <w:p w14:paraId="0C7AA196"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30 – 340</w:t>
            </w:r>
          </w:p>
        </w:tc>
      </w:tr>
      <w:tr w:rsidR="00F6441B" w:rsidRPr="00F50C10" w14:paraId="7698B3BF" w14:textId="77777777" w:rsidTr="00116C54">
        <w:trPr>
          <w:trHeight w:val="20"/>
        </w:trPr>
        <w:tc>
          <w:tcPr>
            <w:tcW w:w="1250" w:type="pct"/>
            <w:vAlign w:val="center"/>
          </w:tcPr>
          <w:p w14:paraId="24A17433" w14:textId="5EC3E5E4" w:rsidR="00F6441B" w:rsidRPr="00F50C10" w:rsidRDefault="00F6441B" w:rsidP="000B206D">
            <w:pPr>
              <w:spacing w:line="276" w:lineRule="auto"/>
              <w:ind w:left="72" w:right="72"/>
              <w:jc w:val="left"/>
              <w:rPr>
                <w:rFonts w:cs="Times New Roman"/>
                <w:b/>
                <w:szCs w:val="24"/>
              </w:rPr>
            </w:pPr>
            <w:r w:rsidRPr="00F50C10">
              <w:rPr>
                <w:rFonts w:cs="Times New Roman"/>
                <w:b/>
                <w:szCs w:val="24"/>
              </w:rPr>
              <w:t>Diğer çift kontak/çift absorpsiyon tesisi</w:t>
            </w:r>
          </w:p>
        </w:tc>
        <w:tc>
          <w:tcPr>
            <w:tcW w:w="1250" w:type="pct"/>
            <w:vAlign w:val="center"/>
          </w:tcPr>
          <w:p w14:paraId="60F37D80" w14:textId="77777777" w:rsidR="00F6441B" w:rsidRPr="00F50C10" w:rsidRDefault="00F6441B" w:rsidP="000B206D">
            <w:pPr>
              <w:spacing w:line="276" w:lineRule="auto"/>
              <w:ind w:left="72" w:right="72"/>
              <w:jc w:val="center"/>
              <w:rPr>
                <w:rFonts w:cs="Times New Roman"/>
                <w:b/>
                <w:szCs w:val="24"/>
              </w:rPr>
            </w:pPr>
          </w:p>
        </w:tc>
        <w:tc>
          <w:tcPr>
            <w:tcW w:w="1250" w:type="pct"/>
            <w:vAlign w:val="center"/>
          </w:tcPr>
          <w:p w14:paraId="78228172"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%99,7 – 99,92</w:t>
            </w:r>
          </w:p>
        </w:tc>
        <w:tc>
          <w:tcPr>
            <w:tcW w:w="1250" w:type="pct"/>
            <w:vAlign w:val="center"/>
          </w:tcPr>
          <w:p w14:paraId="5ECCEC78"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200 – 680</w:t>
            </w:r>
          </w:p>
        </w:tc>
      </w:tr>
      <w:tr w:rsidR="00F6441B" w:rsidRPr="00F50C10" w14:paraId="42CDCFEB" w14:textId="77777777" w:rsidTr="00116C54">
        <w:trPr>
          <w:trHeight w:val="20"/>
        </w:trPr>
        <w:tc>
          <w:tcPr>
            <w:tcW w:w="1250" w:type="pct"/>
            <w:vAlign w:val="center"/>
          </w:tcPr>
          <w:p w14:paraId="5B34A5C3" w14:textId="77777777" w:rsidR="00F6441B" w:rsidRPr="00F50C10" w:rsidRDefault="00F6441B" w:rsidP="000B206D">
            <w:pPr>
              <w:spacing w:line="276" w:lineRule="auto"/>
              <w:ind w:left="72" w:right="72"/>
              <w:jc w:val="left"/>
              <w:rPr>
                <w:rFonts w:cs="Times New Roman"/>
                <w:b/>
                <w:szCs w:val="24"/>
              </w:rPr>
            </w:pPr>
            <w:r w:rsidRPr="00F50C10">
              <w:rPr>
                <w:rFonts w:cs="Times New Roman"/>
                <w:b/>
                <w:szCs w:val="24"/>
              </w:rPr>
              <w:t>Tek</w:t>
            </w:r>
            <w:r w:rsidRPr="00F50C10">
              <w:rPr>
                <w:rFonts w:cs="Times New Roman"/>
                <w:b/>
                <w:spacing w:val="-12"/>
                <w:szCs w:val="24"/>
              </w:rPr>
              <w:t xml:space="preserve"> </w:t>
            </w:r>
            <w:r w:rsidRPr="00F50C10">
              <w:rPr>
                <w:rFonts w:cs="Times New Roman"/>
                <w:b/>
                <w:szCs w:val="24"/>
              </w:rPr>
              <w:t>kontak/tek</w:t>
            </w:r>
            <w:r w:rsidRPr="00F50C10">
              <w:rPr>
                <w:rFonts w:cs="Times New Roman"/>
                <w:b/>
                <w:spacing w:val="-11"/>
                <w:szCs w:val="24"/>
              </w:rPr>
              <w:t xml:space="preserve"> </w:t>
            </w:r>
            <w:r w:rsidRPr="00F50C10">
              <w:rPr>
                <w:rFonts w:cs="Times New Roman"/>
                <w:b/>
                <w:szCs w:val="24"/>
              </w:rPr>
              <w:t>absorpsiyon</w:t>
            </w:r>
          </w:p>
        </w:tc>
        <w:tc>
          <w:tcPr>
            <w:tcW w:w="1250" w:type="pct"/>
            <w:vAlign w:val="center"/>
          </w:tcPr>
          <w:p w14:paraId="0DC821F4" w14:textId="77777777" w:rsidR="00F6441B" w:rsidRPr="00F50C10" w:rsidRDefault="00F6441B" w:rsidP="000B206D">
            <w:pPr>
              <w:spacing w:line="276" w:lineRule="auto"/>
              <w:ind w:left="72" w:right="72"/>
              <w:jc w:val="center"/>
              <w:rPr>
                <w:rFonts w:cs="Times New Roman"/>
                <w:b/>
                <w:szCs w:val="24"/>
              </w:rPr>
            </w:pPr>
          </w:p>
        </w:tc>
        <w:tc>
          <w:tcPr>
            <w:tcW w:w="1250" w:type="pct"/>
            <w:vAlign w:val="center"/>
          </w:tcPr>
          <w:p w14:paraId="51CB47A2" w14:textId="77777777" w:rsidR="00F6441B" w:rsidRPr="00F50C10" w:rsidRDefault="00F6441B" w:rsidP="000B206D">
            <w:pPr>
              <w:spacing w:line="276" w:lineRule="auto"/>
              <w:ind w:left="72" w:right="72"/>
              <w:jc w:val="center"/>
              <w:rPr>
                <w:rFonts w:cs="Times New Roman"/>
                <w:szCs w:val="24"/>
              </w:rPr>
            </w:pPr>
          </w:p>
        </w:tc>
        <w:tc>
          <w:tcPr>
            <w:tcW w:w="1250" w:type="pct"/>
            <w:vAlign w:val="center"/>
          </w:tcPr>
          <w:p w14:paraId="7E880251"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100 – 450</w:t>
            </w:r>
          </w:p>
        </w:tc>
      </w:tr>
      <w:tr w:rsidR="00F6441B" w:rsidRPr="00F50C10" w14:paraId="04983ED5" w14:textId="77777777" w:rsidTr="00116C54">
        <w:trPr>
          <w:trHeight w:val="20"/>
        </w:trPr>
        <w:tc>
          <w:tcPr>
            <w:tcW w:w="1250" w:type="pct"/>
            <w:vAlign w:val="center"/>
          </w:tcPr>
          <w:p w14:paraId="6CAE32D3" w14:textId="77777777" w:rsidR="00F6441B" w:rsidRPr="00F50C10" w:rsidRDefault="00F6441B" w:rsidP="000B206D">
            <w:pPr>
              <w:spacing w:line="276" w:lineRule="auto"/>
              <w:ind w:left="72" w:right="72"/>
              <w:jc w:val="left"/>
              <w:rPr>
                <w:rFonts w:cs="Times New Roman"/>
                <w:b/>
                <w:szCs w:val="24"/>
              </w:rPr>
            </w:pPr>
            <w:r w:rsidRPr="00F50C10">
              <w:rPr>
                <w:rFonts w:cs="Times New Roman"/>
                <w:b/>
                <w:szCs w:val="24"/>
              </w:rPr>
              <w:t>Diğer</w:t>
            </w:r>
          </w:p>
        </w:tc>
        <w:tc>
          <w:tcPr>
            <w:tcW w:w="1250" w:type="pct"/>
            <w:vAlign w:val="center"/>
          </w:tcPr>
          <w:p w14:paraId="71E0BB4A" w14:textId="77777777" w:rsidR="00F6441B" w:rsidRPr="00F50C10" w:rsidRDefault="00F6441B" w:rsidP="000B206D">
            <w:pPr>
              <w:spacing w:line="276" w:lineRule="auto"/>
              <w:ind w:left="72" w:right="72"/>
              <w:jc w:val="center"/>
              <w:rPr>
                <w:rFonts w:cs="Times New Roman"/>
                <w:b/>
                <w:szCs w:val="24"/>
              </w:rPr>
            </w:pPr>
          </w:p>
        </w:tc>
        <w:tc>
          <w:tcPr>
            <w:tcW w:w="1250" w:type="pct"/>
            <w:vAlign w:val="center"/>
          </w:tcPr>
          <w:p w14:paraId="557E02CA" w14:textId="77777777" w:rsidR="00F6441B" w:rsidRPr="00F50C10" w:rsidRDefault="00F6441B" w:rsidP="000B206D">
            <w:pPr>
              <w:spacing w:line="276" w:lineRule="auto"/>
              <w:ind w:left="72" w:right="72"/>
              <w:jc w:val="center"/>
              <w:rPr>
                <w:rFonts w:cs="Times New Roman"/>
                <w:szCs w:val="24"/>
              </w:rPr>
            </w:pPr>
          </w:p>
        </w:tc>
        <w:tc>
          <w:tcPr>
            <w:tcW w:w="1250" w:type="pct"/>
            <w:vAlign w:val="center"/>
          </w:tcPr>
          <w:p w14:paraId="5E3DD16E"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15 – 170</w:t>
            </w:r>
          </w:p>
        </w:tc>
      </w:tr>
      <w:tr w:rsidR="00F6441B" w:rsidRPr="00F50C10" w14:paraId="5D8116DB" w14:textId="77777777" w:rsidTr="00116C54">
        <w:trPr>
          <w:trHeight w:val="20"/>
        </w:trPr>
        <w:tc>
          <w:tcPr>
            <w:tcW w:w="5000" w:type="pct"/>
            <w:gridSpan w:val="4"/>
            <w:vAlign w:val="center"/>
          </w:tcPr>
          <w:p w14:paraId="5FAF2AFF" w14:textId="77777777" w:rsidR="00F6441B" w:rsidRPr="00F50C10" w:rsidRDefault="00F6441B" w:rsidP="000B206D">
            <w:pPr>
              <w:spacing w:line="276" w:lineRule="auto"/>
              <w:ind w:left="72" w:right="72"/>
              <w:rPr>
                <w:rFonts w:cs="Times New Roman"/>
                <w:i/>
                <w:iCs/>
                <w:szCs w:val="24"/>
              </w:rPr>
            </w:pPr>
            <w:r w:rsidRPr="00F50C10">
              <w:rPr>
                <w:rFonts w:cs="Times New Roman"/>
                <w:i/>
                <w:iCs/>
                <w:szCs w:val="24"/>
                <w:vertAlign w:val="superscript"/>
              </w:rPr>
              <w:t xml:space="preserve">* </w:t>
            </w:r>
            <w:r w:rsidRPr="00F50C10">
              <w:rPr>
                <w:rFonts w:cs="Times New Roman"/>
                <w:i/>
                <w:iCs/>
                <w:szCs w:val="24"/>
              </w:rPr>
              <w:t>Bu dönüşüm oranları absorpsiyon kulesi dahil olmak üzere dönüşüm ile ilişkilidir, atık gaz yıkamanın yarattığı etkiyi kapsamaz.</w:t>
            </w:r>
          </w:p>
          <w:p w14:paraId="5E116CA0" w14:textId="7DACB539" w:rsidR="00F6441B" w:rsidRPr="00F50C10" w:rsidRDefault="00F6441B" w:rsidP="000B206D">
            <w:pPr>
              <w:spacing w:line="276" w:lineRule="auto"/>
              <w:ind w:left="72" w:right="72"/>
              <w:rPr>
                <w:rFonts w:cs="Times New Roman"/>
                <w:szCs w:val="24"/>
              </w:rPr>
            </w:pPr>
            <w:r w:rsidRPr="00F50C10">
              <w:rPr>
                <w:rFonts w:cs="Times New Roman"/>
                <w:i/>
                <w:iCs/>
                <w:szCs w:val="24"/>
                <w:vertAlign w:val="superscript"/>
              </w:rPr>
              <w:t xml:space="preserve">** </w:t>
            </w:r>
            <w:r w:rsidRPr="00F50C10">
              <w:rPr>
                <w:rFonts w:cs="Times New Roman"/>
                <w:i/>
                <w:iCs/>
                <w:szCs w:val="24"/>
              </w:rPr>
              <w:t>Bu seviyeler a</w:t>
            </w:r>
            <w:r w:rsidR="00123DAE" w:rsidRPr="00F50C10">
              <w:rPr>
                <w:rFonts w:cs="Times New Roman"/>
                <w:i/>
                <w:iCs/>
                <w:szCs w:val="24"/>
              </w:rPr>
              <w:t>r</w:t>
            </w:r>
            <w:r w:rsidRPr="00F50C10">
              <w:rPr>
                <w:rFonts w:cs="Times New Roman"/>
                <w:i/>
                <w:iCs/>
                <w:szCs w:val="24"/>
              </w:rPr>
              <w:t>tık gaz yıkamanın yarattığı etkiyi kaps</w:t>
            </w:r>
            <w:r w:rsidR="00123DAE" w:rsidRPr="00F50C10">
              <w:rPr>
                <w:rFonts w:cs="Times New Roman"/>
                <w:i/>
                <w:iCs/>
                <w:szCs w:val="24"/>
              </w:rPr>
              <w:t>ayabili</w:t>
            </w:r>
            <w:r w:rsidRPr="00F50C10">
              <w:rPr>
                <w:rFonts w:cs="Times New Roman"/>
                <w:i/>
                <w:iCs/>
                <w:szCs w:val="24"/>
              </w:rPr>
              <w:t>r.</w:t>
            </w:r>
          </w:p>
        </w:tc>
      </w:tr>
    </w:tbl>
    <w:p w14:paraId="3C56BC81" w14:textId="77777777" w:rsidR="00F6441B" w:rsidRPr="00F50C10" w:rsidRDefault="00F6441B" w:rsidP="000B206D">
      <w:pPr>
        <w:spacing w:line="276" w:lineRule="auto"/>
        <w:rPr>
          <w:rFonts w:cs="Times New Roman"/>
          <w:b/>
          <w:bCs/>
          <w:szCs w:val="24"/>
        </w:rPr>
      </w:pPr>
    </w:p>
    <w:p w14:paraId="668A7EBF" w14:textId="5D7046F1" w:rsidR="00F6441B" w:rsidRPr="00F50C10" w:rsidRDefault="00F6441B" w:rsidP="000B206D">
      <w:pPr>
        <w:spacing w:after="120" w:line="276" w:lineRule="auto"/>
        <w:rPr>
          <w:rFonts w:cs="Times New Roman"/>
          <w:b/>
          <w:bCs/>
          <w:szCs w:val="24"/>
        </w:rPr>
      </w:pPr>
      <w:r w:rsidRPr="00F50C10">
        <w:rPr>
          <w:rFonts w:cs="Times New Roman"/>
          <w:b/>
          <w:bCs/>
          <w:szCs w:val="24"/>
        </w:rPr>
        <w:t xml:space="preserve">MET 26: </w:t>
      </w:r>
      <w:r w:rsidRPr="00F50C10">
        <w:rPr>
          <w:rFonts w:cs="Times New Roman"/>
          <w:szCs w:val="24"/>
        </w:rPr>
        <w:t>SO</w:t>
      </w:r>
      <w:r w:rsidRPr="00F50C10">
        <w:rPr>
          <w:rFonts w:cs="Times New Roman"/>
          <w:szCs w:val="24"/>
          <w:vertAlign w:val="subscript"/>
        </w:rPr>
        <w:t>2</w:t>
      </w:r>
      <w:r w:rsidRPr="00F50C10">
        <w:rPr>
          <w:rFonts w:cs="Times New Roman"/>
          <w:szCs w:val="24"/>
        </w:rPr>
        <w:t xml:space="preserve"> dönüşüm oranı ve SO</w:t>
      </w:r>
      <w:r w:rsidRPr="00F50C10">
        <w:rPr>
          <w:rFonts w:cs="Times New Roman"/>
          <w:szCs w:val="24"/>
          <w:vertAlign w:val="subscript"/>
        </w:rPr>
        <w:t>2</w:t>
      </w:r>
      <w:r w:rsidRPr="00F50C10">
        <w:rPr>
          <w:rFonts w:cs="Times New Roman"/>
          <w:szCs w:val="24"/>
        </w:rPr>
        <w:t xml:space="preserve"> emisyon seviyelerinin belirlenmesi için gerekli olan SO</w:t>
      </w:r>
      <w:r w:rsidRPr="00F50C10">
        <w:rPr>
          <w:rFonts w:cs="Times New Roman"/>
          <w:szCs w:val="24"/>
          <w:vertAlign w:val="subscript"/>
        </w:rPr>
        <w:t>2</w:t>
      </w:r>
      <w:r w:rsidRPr="00F50C10">
        <w:rPr>
          <w:rFonts w:cs="Times New Roman"/>
          <w:szCs w:val="24"/>
        </w:rPr>
        <w:t xml:space="preserve"> seviyeleri sürekli olarak izlen</w:t>
      </w:r>
      <w:r w:rsidR="00761582" w:rsidRPr="00F50C10">
        <w:rPr>
          <w:rFonts w:cs="Times New Roman"/>
          <w:szCs w:val="24"/>
        </w:rPr>
        <w:t>i</w:t>
      </w:r>
      <w:r w:rsidRPr="00F50C10">
        <w:rPr>
          <w:rFonts w:cs="Times New Roman"/>
          <w:szCs w:val="24"/>
        </w:rPr>
        <w:t xml:space="preserve">r. </w:t>
      </w:r>
    </w:p>
    <w:p w14:paraId="6A2D5614" w14:textId="20EA70C4" w:rsidR="00F6441B" w:rsidRPr="00F50C10" w:rsidRDefault="00F6441B" w:rsidP="000B206D">
      <w:pPr>
        <w:spacing w:after="120" w:line="276" w:lineRule="auto"/>
        <w:rPr>
          <w:rFonts w:cs="Times New Roman"/>
          <w:b/>
          <w:bCs/>
          <w:szCs w:val="24"/>
        </w:rPr>
      </w:pPr>
      <w:r w:rsidRPr="00F50C10">
        <w:rPr>
          <w:rFonts w:cs="Times New Roman"/>
          <w:b/>
          <w:bCs/>
          <w:szCs w:val="24"/>
        </w:rPr>
        <w:t xml:space="preserve">MET 27: </w:t>
      </w:r>
      <w:r w:rsidRPr="00F50C10">
        <w:rPr>
          <w:rFonts w:cs="Times New Roman"/>
          <w:szCs w:val="24"/>
        </w:rPr>
        <w:t>Aşağıdaki tekniklerin bir</w:t>
      </w:r>
      <w:r w:rsidR="00123DAE" w:rsidRPr="00F50C10">
        <w:rPr>
          <w:rFonts w:cs="Times New Roman"/>
          <w:szCs w:val="24"/>
        </w:rPr>
        <w:t xml:space="preserve"> </w:t>
      </w:r>
      <w:r w:rsidRPr="00F50C10">
        <w:rPr>
          <w:rFonts w:cs="Times New Roman"/>
          <w:szCs w:val="24"/>
        </w:rPr>
        <w:t>kombinasyonunu uygulayarak SO</w:t>
      </w:r>
      <w:r w:rsidRPr="00F50C10">
        <w:rPr>
          <w:rFonts w:cs="Times New Roman"/>
          <w:szCs w:val="24"/>
          <w:vertAlign w:val="subscript"/>
        </w:rPr>
        <w:t>3</w:t>
      </w:r>
      <w:r w:rsidRPr="00F50C10">
        <w:rPr>
          <w:rFonts w:cs="Times New Roman"/>
          <w:szCs w:val="24"/>
        </w:rPr>
        <w:t>/H</w:t>
      </w:r>
      <w:r w:rsidRPr="00F50C10">
        <w:rPr>
          <w:rFonts w:cs="Times New Roman"/>
          <w:szCs w:val="24"/>
          <w:vertAlign w:val="subscript"/>
        </w:rPr>
        <w:t>2</w:t>
      </w:r>
      <w:r w:rsidRPr="00F50C10">
        <w:rPr>
          <w:rFonts w:cs="Times New Roman"/>
          <w:szCs w:val="24"/>
        </w:rPr>
        <w:t>SO</w:t>
      </w:r>
      <w:r w:rsidRPr="00F50C10">
        <w:rPr>
          <w:rFonts w:cs="Times New Roman"/>
          <w:szCs w:val="24"/>
          <w:vertAlign w:val="subscript"/>
        </w:rPr>
        <w:t>4</w:t>
      </w:r>
      <w:r w:rsidRPr="00F50C10">
        <w:rPr>
          <w:rFonts w:cs="Times New Roman"/>
          <w:szCs w:val="24"/>
        </w:rPr>
        <w:t xml:space="preserve"> buğu emisyonunu en aza indirilmesi ve azaltılması </w:t>
      </w:r>
      <w:r w:rsidR="00123DAE" w:rsidRPr="00F50C10">
        <w:rPr>
          <w:rFonts w:cs="Times New Roman"/>
          <w:szCs w:val="24"/>
        </w:rPr>
        <w:t>ile</w:t>
      </w:r>
      <w:r w:rsidRPr="00F50C10">
        <w:rPr>
          <w:rFonts w:cs="Times New Roman"/>
          <w:szCs w:val="24"/>
        </w:rPr>
        <w:t xml:space="preserve"> </w:t>
      </w:r>
      <w:r w:rsidRPr="00F50C10">
        <w:rPr>
          <w:rFonts w:cs="Times New Roman"/>
          <w:szCs w:val="24"/>
        </w:rPr>
        <w:fldChar w:fldCharType="begin"/>
      </w:r>
      <w:r w:rsidRPr="00F50C10">
        <w:rPr>
          <w:rFonts w:cs="Times New Roman"/>
          <w:szCs w:val="24"/>
        </w:rPr>
        <w:instrText xml:space="preserve"> REF _Ref134603930 \h  \* MERGEFORMAT </w:instrText>
      </w:r>
      <w:r w:rsidRPr="00F50C10">
        <w:rPr>
          <w:rFonts w:cs="Times New Roman"/>
          <w:szCs w:val="24"/>
        </w:rPr>
      </w:r>
      <w:r w:rsidRPr="00F50C10">
        <w:rPr>
          <w:rFonts w:cs="Times New Roman"/>
          <w:szCs w:val="24"/>
        </w:rPr>
        <w:fldChar w:fldCharType="separate"/>
      </w:r>
      <w:r w:rsidRPr="00F50C10">
        <w:rPr>
          <w:rFonts w:cs="Times New Roman"/>
          <w:szCs w:val="24"/>
        </w:rPr>
        <w:t xml:space="preserve">Tablo </w:t>
      </w:r>
      <w:r w:rsidRPr="00F50C10">
        <w:rPr>
          <w:rFonts w:cs="Times New Roman"/>
          <w:noProof/>
          <w:szCs w:val="24"/>
        </w:rPr>
        <w:t>6</w:t>
      </w:r>
      <w:r w:rsidRPr="00F50C10">
        <w:rPr>
          <w:rFonts w:cs="Times New Roman"/>
          <w:szCs w:val="24"/>
        </w:rPr>
        <w:fldChar w:fldCharType="end"/>
      </w:r>
      <w:r w:rsidRPr="00F50C10">
        <w:rPr>
          <w:rFonts w:cs="Times New Roman"/>
          <w:szCs w:val="24"/>
        </w:rPr>
        <w:t>’da verilen emisyon seviyelerine ulaşıl</w:t>
      </w:r>
      <w:r w:rsidR="00761582" w:rsidRPr="00F50C10">
        <w:rPr>
          <w:rFonts w:cs="Times New Roman"/>
          <w:szCs w:val="24"/>
        </w:rPr>
        <w:t>ır:</w:t>
      </w:r>
    </w:p>
    <w:p w14:paraId="684C1E4C" w14:textId="74B658B6" w:rsidR="00F6441B" w:rsidRPr="00F50C10" w:rsidRDefault="00F6441B" w:rsidP="00A654AE">
      <w:pPr>
        <w:pStyle w:val="ListeParagraf"/>
        <w:numPr>
          <w:ilvl w:val="0"/>
          <w:numId w:val="76"/>
        </w:numPr>
        <w:spacing w:after="120" w:line="276" w:lineRule="auto"/>
        <w:rPr>
          <w:rFonts w:cs="Times New Roman"/>
          <w:szCs w:val="24"/>
        </w:rPr>
      </w:pPr>
      <w:r w:rsidRPr="00F50C10">
        <w:rPr>
          <w:rFonts w:cs="Times New Roman"/>
          <w:szCs w:val="24"/>
        </w:rPr>
        <w:t xml:space="preserve">düşük </w:t>
      </w:r>
      <w:r w:rsidR="00123DAE" w:rsidRPr="00F50C10">
        <w:rPr>
          <w:rFonts w:cs="Times New Roman"/>
          <w:szCs w:val="24"/>
        </w:rPr>
        <w:t>safsızlık</w:t>
      </w:r>
      <w:r w:rsidRPr="00F50C10">
        <w:rPr>
          <w:rFonts w:cs="Times New Roman"/>
          <w:szCs w:val="24"/>
        </w:rPr>
        <w:t xml:space="preserve"> içeriğine sahip sülfürün kullanılması (sülfür yakmada),</w:t>
      </w:r>
    </w:p>
    <w:p w14:paraId="4B332C11" w14:textId="77777777" w:rsidR="00F6441B" w:rsidRPr="00F50C10" w:rsidRDefault="00F6441B" w:rsidP="00A654AE">
      <w:pPr>
        <w:pStyle w:val="ListeParagraf"/>
        <w:numPr>
          <w:ilvl w:val="0"/>
          <w:numId w:val="76"/>
        </w:numPr>
        <w:spacing w:after="120" w:line="276" w:lineRule="auto"/>
        <w:rPr>
          <w:rFonts w:cs="Times New Roman"/>
          <w:szCs w:val="24"/>
        </w:rPr>
      </w:pPr>
      <w:r w:rsidRPr="00F50C10">
        <w:rPr>
          <w:rFonts w:cs="Times New Roman"/>
          <w:szCs w:val="24"/>
        </w:rPr>
        <w:t>giriş gazının ve yakma havasının yeterince kurutulması (sadece kuru kontak işlemlerde),</w:t>
      </w:r>
    </w:p>
    <w:p w14:paraId="052E5595" w14:textId="33CA4B96" w:rsidR="00F6441B" w:rsidRPr="00F50C10" w:rsidRDefault="00F6441B" w:rsidP="00A654AE">
      <w:pPr>
        <w:pStyle w:val="ListeParagraf"/>
        <w:numPr>
          <w:ilvl w:val="0"/>
          <w:numId w:val="76"/>
        </w:numPr>
        <w:spacing w:after="120" w:line="276" w:lineRule="auto"/>
        <w:rPr>
          <w:rFonts w:cs="Times New Roman"/>
          <w:szCs w:val="24"/>
        </w:rPr>
      </w:pPr>
      <w:r w:rsidRPr="00F50C10">
        <w:rPr>
          <w:rFonts w:cs="Times New Roman"/>
          <w:szCs w:val="24"/>
        </w:rPr>
        <w:t>daha geniş yoğu</w:t>
      </w:r>
      <w:r w:rsidR="00123DAE" w:rsidRPr="00F50C10">
        <w:rPr>
          <w:rFonts w:cs="Times New Roman"/>
          <w:szCs w:val="24"/>
        </w:rPr>
        <w:t>ştu</w:t>
      </w:r>
      <w:r w:rsidRPr="00F50C10">
        <w:rPr>
          <w:rFonts w:cs="Times New Roman"/>
          <w:szCs w:val="24"/>
        </w:rPr>
        <w:t>rma alanlarının kullanılması (yalnızca ıslak katalizör işlemlerinde),</w:t>
      </w:r>
    </w:p>
    <w:p w14:paraId="5D95DA97" w14:textId="77777777" w:rsidR="00F6441B" w:rsidRPr="00F50C10" w:rsidRDefault="00F6441B" w:rsidP="00A654AE">
      <w:pPr>
        <w:pStyle w:val="ListeParagraf"/>
        <w:numPr>
          <w:ilvl w:val="0"/>
          <w:numId w:val="76"/>
        </w:numPr>
        <w:spacing w:after="120" w:line="276" w:lineRule="auto"/>
        <w:rPr>
          <w:rFonts w:cs="Times New Roman"/>
          <w:szCs w:val="24"/>
        </w:rPr>
      </w:pPr>
      <w:r w:rsidRPr="00F50C10">
        <w:rPr>
          <w:rFonts w:cs="Times New Roman"/>
          <w:szCs w:val="24"/>
        </w:rPr>
        <w:t>yeterli asit dağılımı ve sirkülasyon oranı,</w:t>
      </w:r>
    </w:p>
    <w:p w14:paraId="58EFCC2A" w14:textId="77777777" w:rsidR="00F6441B" w:rsidRPr="00F50C10" w:rsidRDefault="00F6441B" w:rsidP="00A654AE">
      <w:pPr>
        <w:pStyle w:val="ListeParagraf"/>
        <w:numPr>
          <w:ilvl w:val="0"/>
          <w:numId w:val="76"/>
        </w:numPr>
        <w:spacing w:after="120" w:line="276" w:lineRule="auto"/>
        <w:rPr>
          <w:rFonts w:cs="Times New Roman"/>
          <w:szCs w:val="24"/>
        </w:rPr>
      </w:pPr>
      <w:r w:rsidRPr="00F50C10">
        <w:rPr>
          <w:rFonts w:cs="Times New Roman"/>
          <w:szCs w:val="24"/>
        </w:rPr>
        <w:t>absorpsiyonun ardından yüksek performanslı mum filtrelerin kullanılması,</w:t>
      </w:r>
    </w:p>
    <w:p w14:paraId="02784406" w14:textId="77777777" w:rsidR="00F6441B" w:rsidRPr="00F50C10" w:rsidRDefault="00F6441B" w:rsidP="00A654AE">
      <w:pPr>
        <w:pStyle w:val="ListeParagraf"/>
        <w:numPr>
          <w:ilvl w:val="0"/>
          <w:numId w:val="76"/>
        </w:numPr>
        <w:spacing w:after="120" w:line="276" w:lineRule="auto"/>
        <w:rPr>
          <w:rFonts w:cs="Times New Roman"/>
          <w:szCs w:val="24"/>
        </w:rPr>
      </w:pPr>
      <w:r w:rsidRPr="00F50C10">
        <w:rPr>
          <w:rFonts w:cs="Times New Roman"/>
          <w:szCs w:val="24"/>
        </w:rPr>
        <w:t>absorber asidinin sıcaklık derecesinin ve konsantrasyonunun kontrol edilmesi,</w:t>
      </w:r>
    </w:p>
    <w:p w14:paraId="5AD648B5" w14:textId="425251AE" w:rsidR="00F6441B" w:rsidRPr="00F50C10" w:rsidRDefault="00F6441B" w:rsidP="00A654AE">
      <w:pPr>
        <w:pStyle w:val="ListeParagraf"/>
        <w:numPr>
          <w:ilvl w:val="0"/>
          <w:numId w:val="76"/>
        </w:numPr>
        <w:spacing w:after="120" w:line="276" w:lineRule="auto"/>
        <w:rPr>
          <w:rFonts w:cs="Times New Roman"/>
          <w:szCs w:val="24"/>
        </w:rPr>
      </w:pPr>
      <w:r w:rsidRPr="00F50C10">
        <w:rPr>
          <w:rFonts w:cs="Times New Roman"/>
          <w:szCs w:val="24"/>
        </w:rPr>
        <w:t xml:space="preserve">elektrostatik çökeltici (ESP), </w:t>
      </w:r>
      <w:r w:rsidR="00123DAE" w:rsidRPr="00F50C10">
        <w:rPr>
          <w:rFonts w:cs="Times New Roman"/>
          <w:szCs w:val="24"/>
        </w:rPr>
        <w:t>ıslak</w:t>
      </w:r>
      <w:r w:rsidRPr="00F50C10">
        <w:rPr>
          <w:rFonts w:cs="Times New Roman"/>
          <w:szCs w:val="24"/>
        </w:rPr>
        <w:t xml:space="preserve"> </w:t>
      </w:r>
      <w:r w:rsidR="00123DAE" w:rsidRPr="00F50C10">
        <w:rPr>
          <w:rFonts w:cs="Times New Roman"/>
          <w:szCs w:val="24"/>
        </w:rPr>
        <w:t>e</w:t>
      </w:r>
      <w:r w:rsidRPr="00F50C10">
        <w:rPr>
          <w:rFonts w:cs="Times New Roman"/>
          <w:szCs w:val="24"/>
        </w:rPr>
        <w:t xml:space="preserve">lektrostatik </w:t>
      </w:r>
      <w:r w:rsidR="00123DAE" w:rsidRPr="00F50C10">
        <w:rPr>
          <w:rFonts w:cs="Times New Roman"/>
          <w:szCs w:val="24"/>
        </w:rPr>
        <w:t>çökeltici</w:t>
      </w:r>
      <w:r w:rsidRPr="00F50C10">
        <w:rPr>
          <w:rFonts w:cs="Times New Roman"/>
          <w:szCs w:val="24"/>
        </w:rPr>
        <w:t xml:space="preserve"> (WESP), ıslak temizleme gibi işlemlerde geri kazan</w:t>
      </w:r>
      <w:r w:rsidR="00123DAE" w:rsidRPr="00F50C10">
        <w:rPr>
          <w:rFonts w:cs="Times New Roman"/>
          <w:szCs w:val="24"/>
        </w:rPr>
        <w:t>ım</w:t>
      </w:r>
      <w:r w:rsidRPr="00F50C10">
        <w:rPr>
          <w:rFonts w:cs="Times New Roman"/>
          <w:szCs w:val="24"/>
        </w:rPr>
        <w:t>/azaltma tekniklerinin uygulanması.</w:t>
      </w:r>
    </w:p>
    <w:p w14:paraId="69B0403D" w14:textId="0A58FAB5" w:rsidR="00F6441B" w:rsidRPr="00F50C10" w:rsidRDefault="00C67353" w:rsidP="000B206D">
      <w:pPr>
        <w:pStyle w:val="ResimYazs"/>
        <w:keepNext/>
        <w:spacing w:after="120" w:line="276" w:lineRule="auto"/>
        <w:rPr>
          <w:rFonts w:cs="Times New Roman"/>
          <w:szCs w:val="24"/>
        </w:rPr>
      </w:pPr>
      <w:r w:rsidRPr="00F50C10">
        <w:rPr>
          <w:rFonts w:cs="Times New Roman"/>
          <w:szCs w:val="24"/>
        </w:rPr>
        <w:t xml:space="preserve">Tablo 6. </w:t>
      </w:r>
      <w:r w:rsidR="00F6441B" w:rsidRPr="00F50C10">
        <w:rPr>
          <w:rFonts w:cs="Times New Roman"/>
          <w:szCs w:val="24"/>
        </w:rPr>
        <w:t>MET ile ilişkili SO</w:t>
      </w:r>
      <w:r w:rsidR="00F6441B" w:rsidRPr="00F50C10">
        <w:rPr>
          <w:rFonts w:cs="Times New Roman"/>
          <w:szCs w:val="24"/>
          <w:vertAlign w:val="subscript"/>
        </w:rPr>
        <w:t>3</w:t>
      </w:r>
      <w:r w:rsidR="00F6441B" w:rsidRPr="00F50C10">
        <w:rPr>
          <w:rFonts w:cs="Times New Roman"/>
          <w:szCs w:val="24"/>
        </w:rPr>
        <w:t>/H</w:t>
      </w:r>
      <w:r w:rsidR="00F6441B" w:rsidRPr="00F50C10">
        <w:rPr>
          <w:rFonts w:cs="Times New Roman"/>
          <w:szCs w:val="24"/>
          <w:vertAlign w:val="subscript"/>
        </w:rPr>
        <w:t>2</w:t>
      </w:r>
      <w:r w:rsidR="00F6441B" w:rsidRPr="00F50C10">
        <w:rPr>
          <w:rFonts w:cs="Times New Roman"/>
          <w:szCs w:val="24"/>
        </w:rPr>
        <w:t>sO</w:t>
      </w:r>
      <w:r w:rsidR="00F6441B" w:rsidRPr="00F50C10">
        <w:rPr>
          <w:rFonts w:cs="Times New Roman"/>
          <w:szCs w:val="24"/>
          <w:vertAlign w:val="subscript"/>
        </w:rPr>
        <w:t>4</w:t>
      </w:r>
      <w:r w:rsidR="00F6441B" w:rsidRPr="00F50C10">
        <w:rPr>
          <w:rFonts w:cs="Times New Roman"/>
          <w:szCs w:val="24"/>
        </w:rPr>
        <w:t xml:space="preserve"> emisyon seviyeleri </w:t>
      </w:r>
    </w:p>
    <w:tbl>
      <w:tblPr>
        <w:tblStyle w:val="TabloKlavuzu"/>
        <w:tblW w:w="5000" w:type="pct"/>
        <w:tblLook w:val="04A0" w:firstRow="1" w:lastRow="0" w:firstColumn="1" w:lastColumn="0" w:noHBand="0" w:noVBand="1"/>
      </w:tblPr>
      <w:tblGrid>
        <w:gridCol w:w="2944"/>
        <w:gridCol w:w="6366"/>
      </w:tblGrid>
      <w:tr w:rsidR="00F6441B" w:rsidRPr="00F50C10" w14:paraId="5481C2EF" w14:textId="77777777" w:rsidTr="00116C54">
        <w:tc>
          <w:tcPr>
            <w:tcW w:w="1581" w:type="pct"/>
          </w:tcPr>
          <w:p w14:paraId="299D5800" w14:textId="77777777" w:rsidR="00F6441B" w:rsidRPr="00F50C10" w:rsidRDefault="00F6441B" w:rsidP="000B206D">
            <w:pPr>
              <w:spacing w:line="276" w:lineRule="auto"/>
              <w:ind w:left="72" w:right="72"/>
              <w:rPr>
                <w:rFonts w:cs="Times New Roman"/>
                <w:szCs w:val="24"/>
              </w:rPr>
            </w:pPr>
          </w:p>
        </w:tc>
        <w:tc>
          <w:tcPr>
            <w:tcW w:w="3419" w:type="pct"/>
            <w:vAlign w:val="center"/>
          </w:tcPr>
          <w:p w14:paraId="1445CACC" w14:textId="77777777" w:rsidR="00F6441B" w:rsidRPr="00F50C10" w:rsidRDefault="00F6441B" w:rsidP="000B206D">
            <w:pPr>
              <w:spacing w:line="276" w:lineRule="auto"/>
              <w:ind w:left="72" w:right="72"/>
              <w:jc w:val="center"/>
              <w:rPr>
                <w:rFonts w:cs="Times New Roman"/>
                <w:b/>
                <w:szCs w:val="24"/>
              </w:rPr>
            </w:pPr>
            <w:r w:rsidRPr="00F50C10">
              <w:rPr>
                <w:rFonts w:cs="Times New Roman"/>
                <w:b/>
                <w:szCs w:val="24"/>
              </w:rPr>
              <w:t>H</w:t>
            </w:r>
            <w:r w:rsidRPr="00F50C10">
              <w:rPr>
                <w:rFonts w:cs="Times New Roman"/>
                <w:b/>
                <w:szCs w:val="24"/>
                <w:vertAlign w:val="subscript"/>
              </w:rPr>
              <w:t>2</w:t>
            </w:r>
            <w:r w:rsidRPr="00F50C10">
              <w:rPr>
                <w:rFonts w:cs="Times New Roman"/>
                <w:b/>
                <w:szCs w:val="24"/>
              </w:rPr>
              <w:t>SO</w:t>
            </w:r>
            <w:r w:rsidRPr="00F50C10">
              <w:rPr>
                <w:rFonts w:cs="Times New Roman"/>
                <w:b/>
                <w:szCs w:val="24"/>
                <w:vertAlign w:val="subscript"/>
              </w:rPr>
              <w:t>4</w:t>
            </w:r>
            <w:r w:rsidRPr="00F50C10">
              <w:rPr>
                <w:rFonts w:cs="Times New Roman"/>
                <w:b/>
                <w:szCs w:val="24"/>
              </w:rPr>
              <w:t xml:space="preserve"> olarak emisyon seviyeleri</w:t>
            </w:r>
          </w:p>
        </w:tc>
      </w:tr>
      <w:tr w:rsidR="00F6441B" w:rsidRPr="00F50C10" w14:paraId="24130B8B" w14:textId="77777777" w:rsidTr="00116C54">
        <w:tc>
          <w:tcPr>
            <w:tcW w:w="1581" w:type="pct"/>
          </w:tcPr>
          <w:p w14:paraId="112027F7" w14:textId="5875C5A9" w:rsidR="00F6441B" w:rsidRPr="00F50C10" w:rsidRDefault="00F6441B" w:rsidP="000B206D">
            <w:pPr>
              <w:spacing w:line="276" w:lineRule="auto"/>
              <w:ind w:left="72" w:right="72"/>
              <w:jc w:val="center"/>
              <w:rPr>
                <w:rFonts w:cs="Times New Roman"/>
                <w:b/>
                <w:szCs w:val="24"/>
              </w:rPr>
            </w:pPr>
            <w:r w:rsidRPr="00F50C10">
              <w:rPr>
                <w:rFonts w:cs="Times New Roman"/>
                <w:b/>
                <w:szCs w:val="24"/>
              </w:rPr>
              <w:t>Tüm işlemler</w:t>
            </w:r>
          </w:p>
        </w:tc>
        <w:tc>
          <w:tcPr>
            <w:tcW w:w="3419" w:type="pct"/>
            <w:vAlign w:val="center"/>
          </w:tcPr>
          <w:p w14:paraId="19A9D9BE"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10 – 35 mg/Nm</w:t>
            </w:r>
            <w:r w:rsidRPr="00F50C10">
              <w:rPr>
                <w:rFonts w:cs="Times New Roman"/>
                <w:szCs w:val="24"/>
                <w:vertAlign w:val="superscript"/>
              </w:rPr>
              <w:t>3</w:t>
            </w:r>
          </w:p>
        </w:tc>
      </w:tr>
      <w:tr w:rsidR="00F6441B" w:rsidRPr="00F50C10" w14:paraId="0837A7BA" w14:textId="77777777" w:rsidTr="00116C54">
        <w:tc>
          <w:tcPr>
            <w:tcW w:w="5000" w:type="pct"/>
            <w:gridSpan w:val="2"/>
            <w:vAlign w:val="center"/>
          </w:tcPr>
          <w:p w14:paraId="09AE8BD9" w14:textId="60D7F8EF" w:rsidR="00F6441B" w:rsidRPr="00F50C10" w:rsidRDefault="00F6441B" w:rsidP="000B206D">
            <w:pPr>
              <w:spacing w:line="276" w:lineRule="auto"/>
              <w:ind w:left="72" w:right="72"/>
              <w:jc w:val="center"/>
              <w:rPr>
                <w:rFonts w:cs="Times New Roman"/>
                <w:szCs w:val="24"/>
              </w:rPr>
            </w:pPr>
            <w:r w:rsidRPr="00F50C10">
              <w:rPr>
                <w:rFonts w:cs="Times New Roman"/>
                <w:szCs w:val="24"/>
              </w:rPr>
              <w:t>Yıllık</w:t>
            </w:r>
            <w:r w:rsidRPr="00F50C10">
              <w:rPr>
                <w:rFonts w:cs="Times New Roman"/>
                <w:spacing w:val="-6"/>
                <w:szCs w:val="24"/>
              </w:rPr>
              <w:t xml:space="preserve"> </w:t>
            </w:r>
            <w:r w:rsidRPr="00F50C10">
              <w:rPr>
                <w:rFonts w:cs="Times New Roman"/>
                <w:spacing w:val="-2"/>
                <w:szCs w:val="24"/>
              </w:rPr>
              <w:t>ortalama</w:t>
            </w:r>
          </w:p>
        </w:tc>
      </w:tr>
    </w:tbl>
    <w:p w14:paraId="5A2A3E45" w14:textId="01C95359" w:rsidR="00F6441B" w:rsidRPr="00F50C10" w:rsidRDefault="00F6441B" w:rsidP="000B206D">
      <w:pPr>
        <w:spacing w:line="276" w:lineRule="auto"/>
        <w:rPr>
          <w:rFonts w:cs="Times New Roman"/>
          <w:b/>
          <w:bCs/>
          <w:szCs w:val="24"/>
        </w:rPr>
      </w:pPr>
      <w:r w:rsidRPr="00F50C10">
        <w:rPr>
          <w:rFonts w:cs="Times New Roman"/>
          <w:b/>
          <w:bCs/>
          <w:szCs w:val="24"/>
        </w:rPr>
        <w:t xml:space="preserve">MET 28: </w:t>
      </w:r>
      <w:r w:rsidRPr="00F50C10">
        <w:rPr>
          <w:rFonts w:cs="Times New Roman"/>
          <w:szCs w:val="24"/>
        </w:rPr>
        <w:t>NO</w:t>
      </w:r>
      <w:r w:rsidRPr="00F50C10">
        <w:rPr>
          <w:rFonts w:cs="Times New Roman"/>
          <w:szCs w:val="24"/>
          <w:vertAlign w:val="subscript"/>
        </w:rPr>
        <w:t>x</w:t>
      </w:r>
      <w:r w:rsidRPr="00F50C10">
        <w:rPr>
          <w:rFonts w:cs="Times New Roman"/>
          <w:szCs w:val="24"/>
        </w:rPr>
        <w:t xml:space="preserve"> emisyonlarının en aza indiri</w:t>
      </w:r>
      <w:r w:rsidR="00761582" w:rsidRPr="00F50C10">
        <w:rPr>
          <w:rFonts w:cs="Times New Roman"/>
          <w:szCs w:val="24"/>
        </w:rPr>
        <w:t>lir</w:t>
      </w:r>
      <w:r w:rsidRPr="00F50C10">
        <w:rPr>
          <w:rFonts w:cs="Times New Roman"/>
          <w:szCs w:val="24"/>
        </w:rPr>
        <w:t xml:space="preserve"> veya azalt</w:t>
      </w:r>
      <w:r w:rsidR="00761582" w:rsidRPr="00F50C10">
        <w:rPr>
          <w:rFonts w:cs="Times New Roman"/>
          <w:szCs w:val="24"/>
        </w:rPr>
        <w:t>ıl</w:t>
      </w:r>
      <w:r w:rsidRPr="00F50C10">
        <w:rPr>
          <w:rFonts w:cs="Times New Roman"/>
          <w:szCs w:val="24"/>
        </w:rPr>
        <w:t>ır</w:t>
      </w:r>
      <w:r w:rsidR="00761582" w:rsidRPr="00F50C10">
        <w:rPr>
          <w:rFonts w:cs="Times New Roman"/>
          <w:szCs w:val="24"/>
        </w:rPr>
        <w:t>.</w:t>
      </w:r>
    </w:p>
    <w:p w14:paraId="21A3C3A5" w14:textId="35604F2D" w:rsidR="00F6441B" w:rsidRPr="00F50C10" w:rsidRDefault="00F6441B" w:rsidP="000B206D">
      <w:pPr>
        <w:spacing w:line="276" w:lineRule="auto"/>
        <w:rPr>
          <w:rFonts w:cs="Times New Roman"/>
          <w:b/>
          <w:bCs/>
          <w:szCs w:val="24"/>
        </w:rPr>
      </w:pPr>
      <w:r w:rsidRPr="00F50C10">
        <w:rPr>
          <w:rFonts w:cs="Times New Roman"/>
          <w:b/>
          <w:bCs/>
          <w:szCs w:val="24"/>
        </w:rPr>
        <w:t xml:space="preserve">MET 29: </w:t>
      </w:r>
      <w:r w:rsidR="00123DAE" w:rsidRPr="00F50C10">
        <w:rPr>
          <w:rFonts w:cs="Times New Roman"/>
          <w:szCs w:val="24"/>
        </w:rPr>
        <w:t>Çıkış</w:t>
      </w:r>
      <w:r w:rsidRPr="00F50C10">
        <w:rPr>
          <w:rFonts w:cs="Times New Roman"/>
          <w:szCs w:val="24"/>
        </w:rPr>
        <w:t xml:space="preserve"> gazları H</w:t>
      </w:r>
      <w:r w:rsidRPr="00F50C10">
        <w:rPr>
          <w:rFonts w:cs="Times New Roman"/>
          <w:szCs w:val="24"/>
          <w:vertAlign w:val="subscript"/>
        </w:rPr>
        <w:t>2</w:t>
      </w:r>
      <w:r w:rsidRPr="00F50C10">
        <w:rPr>
          <w:rFonts w:cs="Times New Roman"/>
          <w:szCs w:val="24"/>
        </w:rPr>
        <w:t>SO</w:t>
      </w:r>
      <w:r w:rsidRPr="00F50C10">
        <w:rPr>
          <w:rFonts w:cs="Times New Roman"/>
          <w:szCs w:val="24"/>
          <w:vertAlign w:val="subscript"/>
        </w:rPr>
        <w:t>4</w:t>
      </w:r>
      <w:r w:rsidRPr="00F50C10">
        <w:rPr>
          <w:rFonts w:cs="Times New Roman"/>
          <w:szCs w:val="24"/>
        </w:rPr>
        <w:t xml:space="preserve"> sıyırma ürününden kontak sürecine geri dönüştürül</w:t>
      </w:r>
      <w:r w:rsidR="00761582" w:rsidRPr="00F50C10">
        <w:rPr>
          <w:rFonts w:cs="Times New Roman"/>
          <w:szCs w:val="24"/>
        </w:rPr>
        <w:t>ür.</w:t>
      </w:r>
    </w:p>
    <w:p w14:paraId="22955DF8" w14:textId="77777777" w:rsidR="00F6441B" w:rsidRPr="00F50C10" w:rsidRDefault="00F6441B" w:rsidP="00A654AE">
      <w:pPr>
        <w:pStyle w:val="Balk2"/>
        <w:numPr>
          <w:ilvl w:val="1"/>
          <w:numId w:val="72"/>
        </w:numPr>
        <w:spacing w:line="276" w:lineRule="auto"/>
        <w:rPr>
          <w:rFonts w:cs="Times New Roman"/>
          <w:szCs w:val="24"/>
        </w:rPr>
      </w:pPr>
      <w:bookmarkStart w:id="260" w:name="_TOC_250030"/>
      <w:r w:rsidRPr="00F50C10">
        <w:rPr>
          <w:rFonts w:cs="Times New Roman"/>
          <w:szCs w:val="24"/>
        </w:rPr>
        <w:t>Fosforik</w:t>
      </w:r>
      <w:r w:rsidRPr="00F50C10">
        <w:rPr>
          <w:rFonts w:cs="Times New Roman"/>
          <w:spacing w:val="-9"/>
          <w:szCs w:val="24"/>
        </w:rPr>
        <w:t xml:space="preserve"> </w:t>
      </w:r>
      <w:r w:rsidRPr="00F50C10">
        <w:rPr>
          <w:rFonts w:cs="Times New Roman"/>
          <w:szCs w:val="24"/>
        </w:rPr>
        <w:t>asit</w:t>
      </w:r>
      <w:r w:rsidRPr="00F50C10">
        <w:rPr>
          <w:rFonts w:cs="Times New Roman"/>
          <w:spacing w:val="-8"/>
          <w:szCs w:val="24"/>
        </w:rPr>
        <w:t xml:space="preserve"> </w:t>
      </w:r>
      <w:r w:rsidRPr="00F50C10">
        <w:rPr>
          <w:rFonts w:cs="Times New Roman"/>
          <w:szCs w:val="24"/>
        </w:rPr>
        <w:t>için</w:t>
      </w:r>
      <w:bookmarkEnd w:id="260"/>
      <w:r w:rsidRPr="00F50C10">
        <w:rPr>
          <w:rFonts w:cs="Times New Roman"/>
          <w:spacing w:val="-5"/>
          <w:szCs w:val="24"/>
        </w:rPr>
        <w:t xml:space="preserve"> MET</w:t>
      </w:r>
    </w:p>
    <w:p w14:paraId="5742C271" w14:textId="77777777" w:rsidR="00F6441B" w:rsidRPr="00F50C10" w:rsidRDefault="00F6441B" w:rsidP="000B206D">
      <w:pPr>
        <w:spacing w:line="276" w:lineRule="auto"/>
        <w:rPr>
          <w:rFonts w:cs="Times New Roman"/>
          <w:b/>
          <w:bCs/>
          <w:szCs w:val="24"/>
        </w:rPr>
      </w:pPr>
      <w:r w:rsidRPr="00F50C10">
        <w:rPr>
          <w:rFonts w:cs="Times New Roman"/>
          <w:b/>
          <w:bCs/>
          <w:szCs w:val="24"/>
        </w:rPr>
        <w:t xml:space="preserve">MET 30:  </w:t>
      </w:r>
      <w:r w:rsidRPr="00433941">
        <w:rPr>
          <w:rFonts w:cs="Times New Roman"/>
          <w:szCs w:val="24"/>
        </w:rPr>
        <w:t>Referans Belgesinin 1.5 Kısmında yer</w:t>
      </w:r>
      <w:r w:rsidRPr="00433941">
        <w:rPr>
          <w:rFonts w:cs="Times New Roman"/>
          <w:spacing w:val="-5"/>
          <w:szCs w:val="24"/>
        </w:rPr>
        <w:t xml:space="preserve"> </w:t>
      </w:r>
      <w:r w:rsidRPr="00433941">
        <w:rPr>
          <w:rFonts w:cs="Times New Roman"/>
          <w:szCs w:val="24"/>
        </w:rPr>
        <w:t>alan</w:t>
      </w:r>
      <w:r w:rsidRPr="00433941">
        <w:rPr>
          <w:rFonts w:cs="Times New Roman"/>
          <w:spacing w:val="-7"/>
          <w:szCs w:val="24"/>
        </w:rPr>
        <w:t xml:space="preserve"> </w:t>
      </w:r>
      <w:r w:rsidRPr="00433941">
        <w:rPr>
          <w:rFonts w:cs="Times New Roman"/>
          <w:szCs w:val="24"/>
        </w:rPr>
        <w:t>ortak</w:t>
      </w:r>
      <w:r w:rsidRPr="00433941">
        <w:rPr>
          <w:rFonts w:cs="Times New Roman"/>
          <w:spacing w:val="-7"/>
          <w:szCs w:val="24"/>
        </w:rPr>
        <w:t xml:space="preserve"> </w:t>
      </w:r>
      <w:r w:rsidRPr="00433941">
        <w:rPr>
          <w:rFonts w:cs="Times New Roman"/>
          <w:szCs w:val="24"/>
        </w:rPr>
        <w:t>MET’in</w:t>
      </w:r>
      <w:r w:rsidRPr="00433941">
        <w:rPr>
          <w:rFonts w:cs="Times New Roman"/>
          <w:spacing w:val="-4"/>
          <w:szCs w:val="24"/>
        </w:rPr>
        <w:t xml:space="preserve"> </w:t>
      </w:r>
      <w:r w:rsidRPr="00433941">
        <w:rPr>
          <w:rFonts w:cs="Times New Roman"/>
          <w:szCs w:val="24"/>
        </w:rPr>
        <w:t>uygulanmasıdır</w:t>
      </w:r>
      <w:r w:rsidRPr="00F50C10">
        <w:rPr>
          <w:rFonts w:cs="Times New Roman"/>
          <w:b/>
          <w:bCs/>
          <w:szCs w:val="24"/>
        </w:rPr>
        <w:t xml:space="preserve">. </w:t>
      </w:r>
    </w:p>
    <w:p w14:paraId="372A509A" w14:textId="5BC01CC4" w:rsidR="00F6441B" w:rsidRPr="00F50C10" w:rsidRDefault="00F6441B" w:rsidP="000B206D">
      <w:pPr>
        <w:spacing w:line="276" w:lineRule="auto"/>
        <w:rPr>
          <w:rFonts w:cs="Times New Roman"/>
          <w:szCs w:val="24"/>
        </w:rPr>
      </w:pPr>
      <w:r w:rsidRPr="00F50C10">
        <w:rPr>
          <w:rFonts w:cs="Times New Roman"/>
          <w:b/>
          <w:bCs/>
          <w:szCs w:val="24"/>
        </w:rPr>
        <w:t xml:space="preserve">MET 31: </w:t>
      </w:r>
      <w:r w:rsidRPr="00F50C10">
        <w:rPr>
          <w:rFonts w:cs="Times New Roman"/>
          <w:szCs w:val="24"/>
        </w:rPr>
        <w:t>Depolama için Depolama</w:t>
      </w:r>
      <w:r w:rsidR="000C40FF" w:rsidRPr="00F50C10">
        <w:rPr>
          <w:rFonts w:cs="Times New Roman"/>
          <w:szCs w:val="24"/>
        </w:rPr>
        <w:t>dan K</w:t>
      </w:r>
      <w:r w:rsidRPr="00F50C10">
        <w:rPr>
          <w:rFonts w:cs="Times New Roman"/>
          <w:szCs w:val="24"/>
        </w:rPr>
        <w:t xml:space="preserve">aynaklanan </w:t>
      </w:r>
      <w:r w:rsidR="000C40FF" w:rsidRPr="00F50C10">
        <w:rPr>
          <w:rFonts w:cs="Times New Roman"/>
          <w:szCs w:val="24"/>
        </w:rPr>
        <w:t>E</w:t>
      </w:r>
      <w:r w:rsidRPr="00F50C10">
        <w:rPr>
          <w:rFonts w:cs="Times New Roman"/>
          <w:szCs w:val="24"/>
        </w:rPr>
        <w:t xml:space="preserve">misyonlara ilişkin MET Referans Belgesi’nde yer alan </w:t>
      </w:r>
      <w:r w:rsidR="00F05BC9" w:rsidRPr="00F50C10">
        <w:rPr>
          <w:rFonts w:cs="Times New Roman"/>
          <w:szCs w:val="24"/>
        </w:rPr>
        <w:t>MET</w:t>
      </w:r>
      <w:r w:rsidR="00761582" w:rsidRPr="00F50C10">
        <w:rPr>
          <w:rFonts w:cs="Times New Roman"/>
          <w:szCs w:val="24"/>
        </w:rPr>
        <w:t xml:space="preserve"> </w:t>
      </w:r>
      <w:r w:rsidRPr="00F50C10">
        <w:rPr>
          <w:rFonts w:cs="Times New Roman"/>
          <w:szCs w:val="24"/>
        </w:rPr>
        <w:t>uygulanır.</w:t>
      </w:r>
    </w:p>
    <w:p w14:paraId="6D62FED5" w14:textId="7B439693" w:rsidR="00F6441B" w:rsidRPr="00F50C10" w:rsidRDefault="00F6441B" w:rsidP="000B206D">
      <w:pPr>
        <w:spacing w:line="276" w:lineRule="auto"/>
        <w:rPr>
          <w:rFonts w:cs="Times New Roman"/>
          <w:szCs w:val="24"/>
        </w:rPr>
      </w:pPr>
      <w:r w:rsidRPr="00F50C10">
        <w:rPr>
          <w:rFonts w:cs="Times New Roman"/>
          <w:b/>
          <w:bCs/>
          <w:szCs w:val="24"/>
        </w:rPr>
        <w:t xml:space="preserve">MET 32: </w:t>
      </w:r>
      <w:r w:rsidR="000C40FF" w:rsidRPr="00F50C10">
        <w:rPr>
          <w:rFonts w:cs="Times New Roman"/>
          <w:szCs w:val="24"/>
        </w:rPr>
        <w:t>Aşağıdaki</w:t>
      </w:r>
      <w:r w:rsidRPr="00F50C10">
        <w:rPr>
          <w:rFonts w:cs="Times New Roman"/>
          <w:szCs w:val="24"/>
        </w:rPr>
        <w:t xml:space="preserve"> tekniklerden birini veya birkaçını</w:t>
      </w:r>
      <w:r w:rsidR="000C40FF" w:rsidRPr="00F50C10">
        <w:rPr>
          <w:rFonts w:cs="Times New Roman"/>
          <w:szCs w:val="24"/>
        </w:rPr>
        <w:t>n kombinasyonunu</w:t>
      </w:r>
      <w:r w:rsidRPr="00F50C10">
        <w:rPr>
          <w:rFonts w:cs="Times New Roman"/>
          <w:szCs w:val="24"/>
        </w:rPr>
        <w:t xml:space="preserve"> uygulayarak ıslak proses kullanan mevcut kurumlar için %94,0 - %98,5 P</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5</w:t>
      </w:r>
      <w:r w:rsidRPr="00F50C10">
        <w:rPr>
          <w:rFonts w:cs="Times New Roman"/>
          <w:szCs w:val="24"/>
        </w:rPr>
        <w:t xml:space="preserve"> verimliliğe ulaşılır</w:t>
      </w:r>
      <w:r w:rsidR="000C40FF" w:rsidRPr="00F50C10">
        <w:rPr>
          <w:rFonts w:cs="Times New Roman"/>
          <w:szCs w:val="24"/>
        </w:rPr>
        <w:t>:</w:t>
      </w:r>
      <w:r w:rsidRPr="00F50C10">
        <w:rPr>
          <w:rFonts w:cs="Times New Roman"/>
          <w:szCs w:val="24"/>
        </w:rPr>
        <w:t xml:space="preserve"> </w:t>
      </w:r>
    </w:p>
    <w:p w14:paraId="09D717E2" w14:textId="60CA6EFD" w:rsidR="00F6441B" w:rsidRPr="00F50C10" w:rsidRDefault="00F6441B" w:rsidP="00A654AE">
      <w:pPr>
        <w:pStyle w:val="ListeParagraf"/>
        <w:numPr>
          <w:ilvl w:val="0"/>
          <w:numId w:val="77"/>
        </w:numPr>
        <w:spacing w:after="120" w:line="276" w:lineRule="auto"/>
        <w:rPr>
          <w:rFonts w:cs="Times New Roman"/>
          <w:bCs/>
          <w:szCs w:val="24"/>
        </w:rPr>
      </w:pPr>
      <w:r w:rsidRPr="00F50C10">
        <w:rPr>
          <w:rFonts w:cs="Times New Roman"/>
          <w:szCs w:val="24"/>
        </w:rPr>
        <w:t xml:space="preserve">dihidrat </w:t>
      </w:r>
      <w:r w:rsidR="000C40FF" w:rsidRPr="00F50C10">
        <w:rPr>
          <w:rFonts w:cs="Times New Roman"/>
          <w:szCs w:val="24"/>
        </w:rPr>
        <w:t>prosesi</w:t>
      </w:r>
      <w:r w:rsidRPr="00F50C10">
        <w:rPr>
          <w:rFonts w:cs="Times New Roman"/>
          <w:szCs w:val="24"/>
        </w:rPr>
        <w:t xml:space="preserve"> ya da geliştirilmiş dihidrat </w:t>
      </w:r>
      <w:r w:rsidR="000C40FF" w:rsidRPr="00F50C10">
        <w:rPr>
          <w:rFonts w:cs="Times New Roman"/>
          <w:szCs w:val="24"/>
        </w:rPr>
        <w:t>prosesi</w:t>
      </w:r>
      <w:r w:rsidR="00F129EE" w:rsidRPr="00F50C10">
        <w:rPr>
          <w:rFonts w:cs="Times New Roman"/>
          <w:szCs w:val="24"/>
        </w:rPr>
        <w:t>,</w:t>
      </w:r>
    </w:p>
    <w:p w14:paraId="1BBBFF29" w14:textId="6F87AB4E" w:rsidR="00F6441B" w:rsidRPr="00F50C10" w:rsidRDefault="00F6441B" w:rsidP="00A654AE">
      <w:pPr>
        <w:pStyle w:val="ListeParagraf"/>
        <w:numPr>
          <w:ilvl w:val="0"/>
          <w:numId w:val="77"/>
        </w:numPr>
        <w:spacing w:after="120" w:line="276" w:lineRule="auto"/>
        <w:rPr>
          <w:rFonts w:cs="Times New Roman"/>
          <w:bCs/>
          <w:szCs w:val="24"/>
        </w:rPr>
      </w:pPr>
      <w:r w:rsidRPr="00F50C10">
        <w:rPr>
          <w:rFonts w:cs="Times New Roman"/>
          <w:szCs w:val="24"/>
        </w:rPr>
        <w:t xml:space="preserve">kalma süresinin </w:t>
      </w:r>
      <w:r w:rsidR="000C40FF" w:rsidRPr="00F50C10">
        <w:rPr>
          <w:rFonts w:cs="Times New Roman"/>
          <w:szCs w:val="24"/>
        </w:rPr>
        <w:t>uzatılması</w:t>
      </w:r>
      <w:r w:rsidR="00F129EE" w:rsidRPr="00F50C10">
        <w:rPr>
          <w:rFonts w:cs="Times New Roman"/>
          <w:szCs w:val="24"/>
        </w:rPr>
        <w:t>,</w:t>
      </w:r>
    </w:p>
    <w:p w14:paraId="16389B5E" w14:textId="6FB51A70" w:rsidR="00F6441B" w:rsidRPr="00F50C10" w:rsidRDefault="000C40FF" w:rsidP="00A654AE">
      <w:pPr>
        <w:pStyle w:val="ListeParagraf"/>
        <w:numPr>
          <w:ilvl w:val="0"/>
          <w:numId w:val="77"/>
        </w:numPr>
        <w:spacing w:after="120" w:line="276" w:lineRule="auto"/>
        <w:rPr>
          <w:rFonts w:cs="Times New Roman"/>
          <w:bCs/>
          <w:szCs w:val="24"/>
        </w:rPr>
      </w:pPr>
      <w:r w:rsidRPr="00F50C10">
        <w:rPr>
          <w:rFonts w:cs="Times New Roman"/>
          <w:szCs w:val="24"/>
        </w:rPr>
        <w:t>tekrar</w:t>
      </w:r>
      <w:r w:rsidR="00F6441B" w:rsidRPr="00F50C10">
        <w:rPr>
          <w:rFonts w:cs="Times New Roman"/>
          <w:spacing w:val="-4"/>
          <w:szCs w:val="24"/>
        </w:rPr>
        <w:t xml:space="preserve"> </w:t>
      </w:r>
      <w:r w:rsidR="00F6441B" w:rsidRPr="00F50C10">
        <w:rPr>
          <w:rFonts w:cs="Times New Roman"/>
          <w:szCs w:val="24"/>
        </w:rPr>
        <w:t>kristalleştirme</w:t>
      </w:r>
      <w:r w:rsidR="00F6441B" w:rsidRPr="00F50C10">
        <w:rPr>
          <w:rFonts w:cs="Times New Roman"/>
          <w:spacing w:val="-5"/>
          <w:szCs w:val="24"/>
        </w:rPr>
        <w:t xml:space="preserve"> </w:t>
      </w:r>
      <w:r w:rsidRPr="00F50C10">
        <w:rPr>
          <w:rFonts w:cs="Times New Roman"/>
          <w:szCs w:val="24"/>
        </w:rPr>
        <w:t>prosesi</w:t>
      </w:r>
      <w:r w:rsidR="00F129EE" w:rsidRPr="00F50C10">
        <w:rPr>
          <w:rFonts w:cs="Times New Roman"/>
          <w:spacing w:val="-3"/>
          <w:szCs w:val="24"/>
        </w:rPr>
        <w:t>,</w:t>
      </w:r>
    </w:p>
    <w:p w14:paraId="14AD25F7" w14:textId="54CEF743" w:rsidR="00F6441B" w:rsidRPr="00F50C10" w:rsidRDefault="000C40FF" w:rsidP="00A654AE">
      <w:pPr>
        <w:pStyle w:val="ListeParagraf"/>
        <w:numPr>
          <w:ilvl w:val="0"/>
          <w:numId w:val="77"/>
        </w:numPr>
        <w:spacing w:after="120" w:line="276" w:lineRule="auto"/>
        <w:rPr>
          <w:rFonts w:cs="Times New Roman"/>
          <w:bCs/>
          <w:szCs w:val="24"/>
        </w:rPr>
      </w:pPr>
      <w:r w:rsidRPr="00F50C10">
        <w:rPr>
          <w:rFonts w:cs="Times New Roman"/>
          <w:szCs w:val="24"/>
        </w:rPr>
        <w:t xml:space="preserve">tekrar hamur haline </w:t>
      </w:r>
      <w:r w:rsidR="00F6441B" w:rsidRPr="00F50C10">
        <w:rPr>
          <w:rFonts w:cs="Times New Roman"/>
          <w:szCs w:val="24"/>
        </w:rPr>
        <w:t xml:space="preserve"> </w:t>
      </w:r>
      <w:r w:rsidRPr="00F50C10">
        <w:rPr>
          <w:rFonts w:cs="Times New Roman"/>
          <w:szCs w:val="24"/>
        </w:rPr>
        <w:t>getirme</w:t>
      </w:r>
      <w:r w:rsidR="00F6441B" w:rsidRPr="00F50C10">
        <w:rPr>
          <w:rFonts w:cs="Times New Roman"/>
          <w:szCs w:val="24"/>
        </w:rPr>
        <w:t>,</w:t>
      </w:r>
    </w:p>
    <w:p w14:paraId="51962CC7" w14:textId="660B381B" w:rsidR="00F6441B" w:rsidRPr="00F50C10" w:rsidRDefault="00F6441B" w:rsidP="00A654AE">
      <w:pPr>
        <w:pStyle w:val="ListeParagraf"/>
        <w:numPr>
          <w:ilvl w:val="0"/>
          <w:numId w:val="77"/>
        </w:numPr>
        <w:spacing w:after="120" w:line="276" w:lineRule="auto"/>
        <w:rPr>
          <w:rFonts w:cs="Times New Roman"/>
          <w:bCs/>
          <w:szCs w:val="24"/>
        </w:rPr>
      </w:pPr>
      <w:r w:rsidRPr="00F50C10">
        <w:rPr>
          <w:rFonts w:cs="Times New Roman"/>
          <w:szCs w:val="24"/>
        </w:rPr>
        <w:t>çift</w:t>
      </w:r>
      <w:r w:rsidRPr="00F50C10">
        <w:rPr>
          <w:rFonts w:cs="Times New Roman"/>
          <w:spacing w:val="-6"/>
          <w:szCs w:val="24"/>
        </w:rPr>
        <w:t xml:space="preserve"> </w:t>
      </w:r>
      <w:r w:rsidRPr="00F50C10">
        <w:rPr>
          <w:rFonts w:cs="Times New Roman"/>
          <w:szCs w:val="24"/>
        </w:rPr>
        <w:t>aşamalı</w:t>
      </w:r>
      <w:r w:rsidRPr="00F50C10">
        <w:rPr>
          <w:rFonts w:cs="Times New Roman"/>
          <w:spacing w:val="-4"/>
          <w:szCs w:val="24"/>
        </w:rPr>
        <w:t xml:space="preserve"> </w:t>
      </w:r>
      <w:r w:rsidRPr="00F50C10">
        <w:rPr>
          <w:rFonts w:cs="Times New Roman"/>
          <w:szCs w:val="24"/>
        </w:rPr>
        <w:t>filtreleme</w:t>
      </w:r>
      <w:r w:rsidR="00F129EE" w:rsidRPr="00F50C10">
        <w:rPr>
          <w:rFonts w:cs="Times New Roman"/>
          <w:spacing w:val="-3"/>
          <w:szCs w:val="24"/>
        </w:rPr>
        <w:t>,</w:t>
      </w:r>
    </w:p>
    <w:p w14:paraId="24F0D3F1" w14:textId="3B25C443" w:rsidR="00F129EE" w:rsidRPr="00F50C10" w:rsidRDefault="00F6441B" w:rsidP="00A654AE">
      <w:pPr>
        <w:pStyle w:val="ListeParagraf"/>
        <w:numPr>
          <w:ilvl w:val="0"/>
          <w:numId w:val="77"/>
        </w:numPr>
        <w:spacing w:after="120" w:line="276" w:lineRule="auto"/>
        <w:rPr>
          <w:rFonts w:cs="Times New Roman"/>
          <w:bCs/>
          <w:szCs w:val="24"/>
        </w:rPr>
      </w:pPr>
      <w:r w:rsidRPr="00F50C10">
        <w:rPr>
          <w:rFonts w:cs="Times New Roman"/>
          <w:szCs w:val="24"/>
        </w:rPr>
        <w:t>fosfoalçı</w:t>
      </w:r>
      <w:r w:rsidRPr="00F50C10">
        <w:rPr>
          <w:rFonts w:cs="Times New Roman"/>
          <w:spacing w:val="-3"/>
          <w:szCs w:val="24"/>
        </w:rPr>
        <w:t xml:space="preserve"> </w:t>
      </w:r>
      <w:r w:rsidRPr="00F50C10">
        <w:rPr>
          <w:rFonts w:cs="Times New Roman"/>
          <w:szCs w:val="24"/>
        </w:rPr>
        <w:t>yığınından</w:t>
      </w:r>
      <w:r w:rsidRPr="00F50C10">
        <w:rPr>
          <w:rFonts w:cs="Times New Roman"/>
          <w:spacing w:val="-5"/>
          <w:szCs w:val="24"/>
        </w:rPr>
        <w:t xml:space="preserve"> </w:t>
      </w:r>
      <w:r w:rsidRPr="00F50C10">
        <w:rPr>
          <w:rFonts w:cs="Times New Roman"/>
          <w:szCs w:val="24"/>
        </w:rPr>
        <w:t>suyun</w:t>
      </w:r>
      <w:r w:rsidRPr="00F50C10">
        <w:rPr>
          <w:rFonts w:cs="Times New Roman"/>
          <w:spacing w:val="-5"/>
          <w:szCs w:val="24"/>
        </w:rPr>
        <w:t xml:space="preserve"> </w:t>
      </w:r>
      <w:r w:rsidRPr="00F50C10">
        <w:rPr>
          <w:rFonts w:cs="Times New Roman"/>
          <w:szCs w:val="24"/>
        </w:rPr>
        <w:t>geri</w:t>
      </w:r>
      <w:r w:rsidRPr="00F50C10">
        <w:rPr>
          <w:rFonts w:cs="Times New Roman"/>
          <w:spacing w:val="-7"/>
          <w:szCs w:val="24"/>
        </w:rPr>
        <w:t xml:space="preserve"> </w:t>
      </w:r>
      <w:r w:rsidRPr="00F50C10">
        <w:rPr>
          <w:rFonts w:cs="Times New Roman"/>
          <w:szCs w:val="24"/>
        </w:rPr>
        <w:t>dönüştürülmesi</w:t>
      </w:r>
      <w:r w:rsidR="00F129EE" w:rsidRPr="00F50C10">
        <w:rPr>
          <w:rFonts w:cs="Times New Roman"/>
          <w:szCs w:val="24"/>
        </w:rPr>
        <w:t>,</w:t>
      </w:r>
    </w:p>
    <w:p w14:paraId="0FBB7AD2" w14:textId="51C55B4A" w:rsidR="00F6441B" w:rsidRPr="00F50C10" w:rsidRDefault="00F6441B" w:rsidP="00A654AE">
      <w:pPr>
        <w:pStyle w:val="ListeParagraf"/>
        <w:numPr>
          <w:ilvl w:val="0"/>
          <w:numId w:val="77"/>
        </w:numPr>
        <w:spacing w:after="120" w:line="276" w:lineRule="auto"/>
        <w:rPr>
          <w:rFonts w:cs="Times New Roman"/>
          <w:bCs/>
          <w:szCs w:val="24"/>
        </w:rPr>
      </w:pPr>
      <w:r w:rsidRPr="00F50C10">
        <w:rPr>
          <w:rFonts w:cs="Times New Roman"/>
          <w:szCs w:val="24"/>
        </w:rPr>
        <w:t>fosfat kaya</w:t>
      </w:r>
      <w:r w:rsidR="009A2327" w:rsidRPr="00F50C10">
        <w:rPr>
          <w:rFonts w:cs="Times New Roman"/>
          <w:szCs w:val="24"/>
        </w:rPr>
        <w:t>sı</w:t>
      </w:r>
      <w:r w:rsidRPr="00F50C10">
        <w:rPr>
          <w:rFonts w:cs="Times New Roman"/>
          <w:szCs w:val="24"/>
        </w:rPr>
        <w:t xml:space="preserve"> seçim</w:t>
      </w:r>
      <w:r w:rsidR="00F129EE" w:rsidRPr="00F50C10">
        <w:rPr>
          <w:rFonts w:cs="Times New Roman"/>
          <w:szCs w:val="24"/>
        </w:rPr>
        <w:t>i</w:t>
      </w:r>
    </w:p>
    <w:p w14:paraId="26638902" w14:textId="57E4856B" w:rsidR="00F6441B" w:rsidRPr="00F50C10" w:rsidRDefault="00F6441B" w:rsidP="000B206D">
      <w:pPr>
        <w:spacing w:after="120" w:line="276" w:lineRule="auto"/>
        <w:rPr>
          <w:rFonts w:cs="Times New Roman"/>
          <w:b/>
          <w:bCs/>
          <w:szCs w:val="24"/>
        </w:rPr>
      </w:pPr>
      <w:r w:rsidRPr="00F50C10">
        <w:rPr>
          <w:rFonts w:cs="Times New Roman"/>
          <w:b/>
          <w:bCs/>
          <w:szCs w:val="24"/>
        </w:rPr>
        <w:t xml:space="preserve">MET 33: </w:t>
      </w:r>
      <w:r w:rsidR="000C40FF" w:rsidRPr="00F50C10">
        <w:rPr>
          <w:rFonts w:cs="Times New Roman"/>
          <w:szCs w:val="24"/>
        </w:rPr>
        <w:t xml:space="preserve">Yeni </w:t>
      </w:r>
      <w:r w:rsidRPr="00F50C10">
        <w:rPr>
          <w:rFonts w:cs="Times New Roman"/>
          <w:szCs w:val="24"/>
        </w:rPr>
        <w:t>kurulan tesisler için</w:t>
      </w:r>
      <w:r w:rsidR="00D37CC6" w:rsidRPr="00F50C10">
        <w:rPr>
          <w:rFonts w:cs="Times New Roman"/>
          <w:szCs w:val="24"/>
        </w:rPr>
        <w:t xml:space="preserve">, çift aşamalı filtreleme ile tekrar kristalleştirme gibi kombinasyonların uygulanmasıyla, </w:t>
      </w:r>
      <w:r w:rsidRPr="00F50C10">
        <w:rPr>
          <w:rFonts w:cs="Times New Roman"/>
          <w:szCs w:val="24"/>
        </w:rPr>
        <w:t>%98,0 veya daha yüksek P</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5</w:t>
      </w:r>
      <w:r w:rsidRPr="00F50C10">
        <w:rPr>
          <w:rFonts w:cs="Times New Roman"/>
          <w:szCs w:val="24"/>
        </w:rPr>
        <w:t xml:space="preserve"> verimliliklerine ulaşıl</w:t>
      </w:r>
      <w:r w:rsidR="00F129EE" w:rsidRPr="00F50C10">
        <w:rPr>
          <w:rFonts w:cs="Times New Roman"/>
          <w:szCs w:val="24"/>
        </w:rPr>
        <w:t>ır.</w:t>
      </w:r>
    </w:p>
    <w:p w14:paraId="538BC67A" w14:textId="61E9B6CB" w:rsidR="00F6441B" w:rsidRPr="00F50C10" w:rsidRDefault="00F6441B" w:rsidP="000B206D">
      <w:pPr>
        <w:spacing w:after="120" w:line="276" w:lineRule="auto"/>
        <w:rPr>
          <w:rFonts w:cs="Times New Roman"/>
          <w:szCs w:val="24"/>
        </w:rPr>
      </w:pPr>
      <w:r w:rsidRPr="00F50C10">
        <w:rPr>
          <w:rFonts w:cs="Times New Roman"/>
          <w:b/>
          <w:bCs/>
          <w:szCs w:val="24"/>
        </w:rPr>
        <w:t xml:space="preserve">MET 34: </w:t>
      </w:r>
      <w:r w:rsidR="00D37CC6" w:rsidRPr="00F50C10">
        <w:rPr>
          <w:rFonts w:cs="Times New Roman"/>
          <w:szCs w:val="24"/>
        </w:rPr>
        <w:t>Islak</w:t>
      </w:r>
      <w:r w:rsidRPr="00F50C10">
        <w:rPr>
          <w:rFonts w:cs="Times New Roman"/>
          <w:szCs w:val="24"/>
        </w:rPr>
        <w:t xml:space="preserve"> </w:t>
      </w:r>
      <w:r w:rsidR="00D37CC6" w:rsidRPr="00F50C10">
        <w:rPr>
          <w:rFonts w:cs="Times New Roman"/>
          <w:szCs w:val="24"/>
        </w:rPr>
        <w:t>prosese</w:t>
      </w:r>
      <w:r w:rsidRPr="00F50C10">
        <w:rPr>
          <w:rFonts w:cs="Times New Roman"/>
          <w:szCs w:val="24"/>
        </w:rPr>
        <w:t xml:space="preserve"> ilişkin aşağıda yer alan tekniklerin birinin ya da birkaçının uygulanmasıyla P</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5</w:t>
      </w:r>
      <w:r w:rsidRPr="00F50C10">
        <w:rPr>
          <w:rFonts w:cs="Times New Roman"/>
          <w:szCs w:val="24"/>
        </w:rPr>
        <w:t xml:space="preserve"> emisyonlar</w:t>
      </w:r>
      <w:r w:rsidR="00F129EE" w:rsidRPr="00F50C10">
        <w:rPr>
          <w:rFonts w:cs="Times New Roman"/>
          <w:szCs w:val="24"/>
        </w:rPr>
        <w:t>ı</w:t>
      </w:r>
      <w:r w:rsidRPr="00F50C10">
        <w:rPr>
          <w:rFonts w:cs="Times New Roman"/>
          <w:szCs w:val="24"/>
        </w:rPr>
        <w:t xml:space="preserve"> azaltıl</w:t>
      </w:r>
      <w:r w:rsidR="00F129EE" w:rsidRPr="00F50C10">
        <w:rPr>
          <w:rFonts w:cs="Times New Roman"/>
          <w:szCs w:val="24"/>
        </w:rPr>
        <w:t>ı</w:t>
      </w:r>
      <w:r w:rsidRPr="00F50C10">
        <w:rPr>
          <w:rFonts w:cs="Times New Roman"/>
          <w:szCs w:val="24"/>
        </w:rPr>
        <w:t>r</w:t>
      </w:r>
      <w:r w:rsidR="00F129EE" w:rsidRPr="00F50C10">
        <w:rPr>
          <w:rFonts w:cs="Times New Roman"/>
          <w:szCs w:val="24"/>
        </w:rPr>
        <w:t>:</w:t>
      </w:r>
      <w:r w:rsidRPr="00F50C10">
        <w:rPr>
          <w:rFonts w:cs="Times New Roman"/>
          <w:szCs w:val="24"/>
        </w:rPr>
        <w:t xml:space="preserve"> </w:t>
      </w:r>
    </w:p>
    <w:p w14:paraId="344A0B5D" w14:textId="77777777" w:rsidR="00F6441B" w:rsidRPr="00F50C10" w:rsidRDefault="00F6441B" w:rsidP="00A654AE">
      <w:pPr>
        <w:pStyle w:val="ListeParagraf"/>
        <w:numPr>
          <w:ilvl w:val="0"/>
          <w:numId w:val="78"/>
        </w:numPr>
        <w:spacing w:after="120" w:line="276" w:lineRule="auto"/>
        <w:rPr>
          <w:rFonts w:cs="Times New Roman"/>
          <w:bCs/>
          <w:szCs w:val="24"/>
        </w:rPr>
      </w:pPr>
      <w:r w:rsidRPr="00F50C10">
        <w:rPr>
          <w:rFonts w:cs="Times New Roman"/>
          <w:szCs w:val="24"/>
        </w:rPr>
        <w:t>vakumlu flaş soğutucuların ve/veya vakumlu buharlaştırıcıların kullanıldığı sürüklenme ayırıcıları,</w:t>
      </w:r>
    </w:p>
    <w:p w14:paraId="17A2CED9" w14:textId="28503494" w:rsidR="00F6441B" w:rsidRPr="00F50C10" w:rsidRDefault="00D37CC6" w:rsidP="00A654AE">
      <w:pPr>
        <w:pStyle w:val="ListeParagraf"/>
        <w:numPr>
          <w:ilvl w:val="0"/>
          <w:numId w:val="78"/>
        </w:numPr>
        <w:spacing w:after="120" w:line="276" w:lineRule="auto"/>
        <w:rPr>
          <w:rFonts w:cs="Times New Roman"/>
          <w:bCs/>
          <w:szCs w:val="24"/>
        </w:rPr>
      </w:pPr>
      <w:r w:rsidRPr="00F50C10">
        <w:rPr>
          <w:rFonts w:cs="Times New Roman"/>
          <w:szCs w:val="24"/>
        </w:rPr>
        <w:t>halka sıvısının</w:t>
      </w:r>
      <w:r w:rsidR="00F6441B" w:rsidRPr="00F50C10">
        <w:rPr>
          <w:rFonts w:cs="Times New Roman"/>
          <w:szCs w:val="24"/>
        </w:rPr>
        <w:t xml:space="preserve"> </w:t>
      </w:r>
      <w:r w:rsidRPr="00F50C10">
        <w:rPr>
          <w:rFonts w:cs="Times New Roman"/>
          <w:szCs w:val="24"/>
        </w:rPr>
        <w:t>prosese</w:t>
      </w:r>
      <w:r w:rsidR="00F6441B" w:rsidRPr="00F50C10">
        <w:rPr>
          <w:rFonts w:cs="Times New Roman"/>
          <w:szCs w:val="24"/>
        </w:rPr>
        <w:t xml:space="preserve"> geri dönüştürülmesini sağlayan sıvı halka po</w:t>
      </w:r>
      <w:r w:rsidR="009A2327" w:rsidRPr="00F50C10">
        <w:rPr>
          <w:rFonts w:cs="Times New Roman"/>
          <w:szCs w:val="24"/>
        </w:rPr>
        <w:t>∂</w:t>
      </w:r>
      <w:r w:rsidR="00F6441B" w:rsidRPr="00F50C10">
        <w:rPr>
          <w:rFonts w:cs="Times New Roman"/>
          <w:szCs w:val="24"/>
        </w:rPr>
        <w:t>mpalar</w:t>
      </w:r>
      <w:r w:rsidRPr="00F50C10">
        <w:rPr>
          <w:rFonts w:cs="Times New Roman"/>
          <w:szCs w:val="24"/>
        </w:rPr>
        <w:t>ı</w:t>
      </w:r>
      <w:r w:rsidR="00F6441B" w:rsidRPr="00F50C10">
        <w:rPr>
          <w:rFonts w:cs="Times New Roman"/>
          <w:szCs w:val="24"/>
        </w:rPr>
        <w:t>,</w:t>
      </w:r>
    </w:p>
    <w:p w14:paraId="5BE60910" w14:textId="6EE3B388" w:rsidR="00F6441B" w:rsidRPr="00F50C10" w:rsidRDefault="00F6441B" w:rsidP="00A654AE">
      <w:pPr>
        <w:pStyle w:val="ListeParagraf"/>
        <w:numPr>
          <w:ilvl w:val="0"/>
          <w:numId w:val="78"/>
        </w:numPr>
        <w:spacing w:after="120" w:line="276" w:lineRule="auto"/>
        <w:rPr>
          <w:rFonts w:cs="Times New Roman"/>
          <w:bCs/>
          <w:szCs w:val="24"/>
        </w:rPr>
      </w:pPr>
      <w:r w:rsidRPr="00F50C10">
        <w:rPr>
          <w:rFonts w:cs="Times New Roman"/>
          <w:szCs w:val="24"/>
        </w:rPr>
        <w:t>yıkama sıvısının geri dönüşümü ile yıkama.</w:t>
      </w:r>
    </w:p>
    <w:p w14:paraId="22F6876D" w14:textId="013D4120" w:rsidR="00F6441B" w:rsidRPr="00F50C10" w:rsidRDefault="00F6441B" w:rsidP="000B206D">
      <w:pPr>
        <w:spacing w:after="120" w:line="276" w:lineRule="auto"/>
        <w:rPr>
          <w:rFonts w:cs="Times New Roman"/>
          <w:b/>
          <w:bCs/>
          <w:szCs w:val="24"/>
        </w:rPr>
      </w:pPr>
      <w:r w:rsidRPr="00F50C10">
        <w:rPr>
          <w:rFonts w:cs="Times New Roman"/>
          <w:b/>
          <w:bCs/>
          <w:szCs w:val="24"/>
        </w:rPr>
        <w:t xml:space="preserve">MET 35: </w:t>
      </w:r>
      <w:r w:rsidR="00D37CC6" w:rsidRPr="00F50C10">
        <w:rPr>
          <w:rFonts w:cs="Times New Roman"/>
          <w:szCs w:val="24"/>
        </w:rPr>
        <w:t>T</w:t>
      </w:r>
      <w:r w:rsidRPr="00F50C10">
        <w:rPr>
          <w:rFonts w:cs="Times New Roman"/>
          <w:szCs w:val="24"/>
        </w:rPr>
        <w:t>oz seviyeleri</w:t>
      </w:r>
      <w:r w:rsidR="00D37CC6" w:rsidRPr="00F50C10">
        <w:rPr>
          <w:rFonts w:cs="Times New Roman"/>
          <w:szCs w:val="24"/>
        </w:rPr>
        <w:t xml:space="preserve">, bez filtrelerin ya da seramik filtrelerin kullanılması </w:t>
      </w:r>
      <w:r w:rsidR="009A2327" w:rsidRPr="00F50C10">
        <w:rPr>
          <w:rFonts w:cs="Times New Roman"/>
          <w:szCs w:val="24"/>
        </w:rPr>
        <w:t>gibi yöntemlerle,</w:t>
      </w:r>
      <w:r w:rsidR="00D37CC6" w:rsidRPr="00F50C10">
        <w:rPr>
          <w:rFonts w:cs="Times New Roman"/>
          <w:szCs w:val="24"/>
        </w:rPr>
        <w:t xml:space="preserve"> </w:t>
      </w:r>
      <w:r w:rsidRPr="00F50C10">
        <w:rPr>
          <w:rFonts w:cs="Times New Roman"/>
          <w:szCs w:val="24"/>
        </w:rPr>
        <w:t>2.5 – 10 mg/Nm</w:t>
      </w:r>
      <w:r w:rsidRPr="00F50C10">
        <w:rPr>
          <w:rFonts w:cs="Times New Roman"/>
          <w:szCs w:val="24"/>
          <w:vertAlign w:val="superscript"/>
        </w:rPr>
        <w:t>3</w:t>
      </w:r>
      <w:r w:rsidRPr="00F50C10">
        <w:rPr>
          <w:rFonts w:cs="Times New Roman"/>
          <w:szCs w:val="24"/>
        </w:rPr>
        <w:t>’e düşür</w:t>
      </w:r>
      <w:r w:rsidR="00D37CC6" w:rsidRPr="00F50C10">
        <w:rPr>
          <w:rFonts w:cs="Times New Roman"/>
          <w:szCs w:val="24"/>
        </w:rPr>
        <w:t>ül</w:t>
      </w:r>
      <w:r w:rsidR="00314D07" w:rsidRPr="00F50C10">
        <w:rPr>
          <w:rFonts w:cs="Times New Roman"/>
          <w:szCs w:val="24"/>
        </w:rPr>
        <w:t>ür</w:t>
      </w:r>
      <w:r w:rsidRPr="00F50C10">
        <w:rPr>
          <w:rFonts w:cs="Times New Roman"/>
          <w:szCs w:val="24"/>
        </w:rPr>
        <w:t xml:space="preserve"> ve kaya öğütme işleminde ortaya çıkan toz emisyonları azaltıl</w:t>
      </w:r>
      <w:r w:rsidR="00314D07" w:rsidRPr="00F50C10">
        <w:rPr>
          <w:rFonts w:cs="Times New Roman"/>
          <w:szCs w:val="24"/>
        </w:rPr>
        <w:t xml:space="preserve">ır. </w:t>
      </w:r>
    </w:p>
    <w:p w14:paraId="66B6278D" w14:textId="32414891" w:rsidR="00F6441B" w:rsidRPr="00F50C10" w:rsidRDefault="00F6441B" w:rsidP="000B206D">
      <w:pPr>
        <w:spacing w:after="120" w:line="276" w:lineRule="auto"/>
        <w:rPr>
          <w:rFonts w:cs="Times New Roman"/>
          <w:b/>
          <w:bCs/>
          <w:szCs w:val="24"/>
        </w:rPr>
      </w:pPr>
      <w:r w:rsidRPr="00F50C10">
        <w:rPr>
          <w:rFonts w:cs="Times New Roman"/>
          <w:b/>
          <w:bCs/>
          <w:szCs w:val="24"/>
        </w:rPr>
        <w:t xml:space="preserve">MET 36: </w:t>
      </w:r>
      <w:r w:rsidRPr="00F50C10">
        <w:rPr>
          <w:rFonts w:cs="Times New Roman"/>
          <w:szCs w:val="24"/>
        </w:rPr>
        <w:t>Kapalı taşıma bantları</w:t>
      </w:r>
      <w:r w:rsidR="009A2327" w:rsidRPr="00F50C10">
        <w:rPr>
          <w:rFonts w:cs="Times New Roman"/>
          <w:szCs w:val="24"/>
        </w:rPr>
        <w:t xml:space="preserve"> kullanılması</w:t>
      </w:r>
      <w:r w:rsidRPr="00F50C10">
        <w:rPr>
          <w:rFonts w:cs="Times New Roman"/>
          <w:szCs w:val="24"/>
        </w:rPr>
        <w:t xml:space="preserve">, kapalı </w:t>
      </w:r>
      <w:r w:rsidR="009A2327" w:rsidRPr="00F50C10">
        <w:rPr>
          <w:rFonts w:cs="Times New Roman"/>
          <w:szCs w:val="24"/>
        </w:rPr>
        <w:t xml:space="preserve">alanda </w:t>
      </w:r>
      <w:r w:rsidRPr="00F50C10">
        <w:rPr>
          <w:rFonts w:cs="Times New Roman"/>
          <w:szCs w:val="24"/>
        </w:rPr>
        <w:t>depolama</w:t>
      </w:r>
      <w:r w:rsidR="009A2327" w:rsidRPr="00F50C10">
        <w:rPr>
          <w:rFonts w:cs="Times New Roman"/>
          <w:szCs w:val="24"/>
        </w:rPr>
        <w:t xml:space="preserve"> yapılması</w:t>
      </w:r>
      <w:r w:rsidRPr="00F50C10">
        <w:rPr>
          <w:rFonts w:cs="Times New Roman"/>
          <w:szCs w:val="24"/>
        </w:rPr>
        <w:t>, tesis alanlarını</w:t>
      </w:r>
      <w:r w:rsidR="009A2327" w:rsidRPr="00F50C10">
        <w:rPr>
          <w:rFonts w:cs="Times New Roman"/>
          <w:szCs w:val="24"/>
        </w:rPr>
        <w:t>n</w:t>
      </w:r>
      <w:r w:rsidRPr="00F50C10">
        <w:rPr>
          <w:rFonts w:cs="Times New Roman"/>
          <w:szCs w:val="24"/>
        </w:rPr>
        <w:t xml:space="preserve"> ve </w:t>
      </w:r>
      <w:r w:rsidR="009A2327" w:rsidRPr="00F50C10">
        <w:rPr>
          <w:rFonts w:cs="Times New Roman"/>
          <w:szCs w:val="24"/>
        </w:rPr>
        <w:t>sahanın</w:t>
      </w:r>
      <w:r w:rsidRPr="00F50C10">
        <w:rPr>
          <w:rFonts w:cs="Times New Roman"/>
          <w:szCs w:val="24"/>
        </w:rPr>
        <w:t xml:space="preserve"> sık sık süpürülmesi/temizlenmesi ile fosfat kaya</w:t>
      </w:r>
      <w:r w:rsidR="009A2327" w:rsidRPr="00F50C10">
        <w:rPr>
          <w:rFonts w:cs="Times New Roman"/>
          <w:szCs w:val="24"/>
        </w:rPr>
        <w:t>sı</w:t>
      </w:r>
      <w:r w:rsidRPr="00F50C10">
        <w:rPr>
          <w:rFonts w:cs="Times New Roman"/>
          <w:szCs w:val="24"/>
        </w:rPr>
        <w:t xml:space="preserve"> tozunun dağılmas</w:t>
      </w:r>
      <w:r w:rsidR="00314D07" w:rsidRPr="00F50C10">
        <w:rPr>
          <w:rFonts w:cs="Times New Roman"/>
          <w:szCs w:val="24"/>
        </w:rPr>
        <w:t>ı</w:t>
      </w:r>
      <w:r w:rsidRPr="00F50C10">
        <w:rPr>
          <w:rFonts w:cs="Times New Roman"/>
          <w:szCs w:val="24"/>
        </w:rPr>
        <w:t xml:space="preserve"> önlen</w:t>
      </w:r>
      <w:r w:rsidR="00314D07" w:rsidRPr="00F50C10">
        <w:rPr>
          <w:rFonts w:cs="Times New Roman"/>
          <w:szCs w:val="24"/>
        </w:rPr>
        <w:t>ir</w:t>
      </w:r>
      <w:r w:rsidRPr="00F50C10">
        <w:rPr>
          <w:rFonts w:cs="Times New Roman"/>
          <w:szCs w:val="24"/>
        </w:rPr>
        <w:t>.</w:t>
      </w:r>
    </w:p>
    <w:p w14:paraId="75184CF2" w14:textId="5A5A8C4F" w:rsidR="00F6441B" w:rsidRPr="00F50C10" w:rsidRDefault="00F6441B" w:rsidP="000B206D">
      <w:pPr>
        <w:spacing w:after="120" w:line="276" w:lineRule="auto"/>
        <w:rPr>
          <w:rFonts w:cs="Times New Roman"/>
          <w:b/>
          <w:bCs/>
          <w:szCs w:val="24"/>
        </w:rPr>
      </w:pPr>
      <w:r w:rsidRPr="00F50C10">
        <w:rPr>
          <w:rFonts w:cs="Times New Roman"/>
          <w:b/>
          <w:bCs/>
          <w:szCs w:val="24"/>
        </w:rPr>
        <w:t xml:space="preserve">MET 37: </w:t>
      </w:r>
      <w:r w:rsidR="008A3F2F" w:rsidRPr="00F50C10">
        <w:rPr>
          <w:rFonts w:cs="Times New Roman"/>
          <w:szCs w:val="24"/>
        </w:rPr>
        <w:t>Uyg</w:t>
      </w:r>
      <w:r w:rsidRPr="00F50C10">
        <w:rPr>
          <w:rFonts w:cs="Times New Roman"/>
          <w:szCs w:val="24"/>
        </w:rPr>
        <w:t>un yıkama sıvıları ile yıkayıcılar uygulayarak florür emisyonları azalt</w:t>
      </w:r>
      <w:r w:rsidR="00314D07" w:rsidRPr="00F50C10">
        <w:rPr>
          <w:rFonts w:cs="Times New Roman"/>
          <w:szCs w:val="24"/>
        </w:rPr>
        <w:t>ılır</w:t>
      </w:r>
      <w:r w:rsidRPr="00F50C10">
        <w:rPr>
          <w:rFonts w:cs="Times New Roman"/>
          <w:szCs w:val="24"/>
        </w:rPr>
        <w:t xml:space="preserve"> ve HF olarak ifade edilen 1 – 5 mg/Nm</w:t>
      </w:r>
      <w:r w:rsidRPr="00F50C10">
        <w:rPr>
          <w:rFonts w:cs="Times New Roman"/>
          <w:szCs w:val="24"/>
          <w:vertAlign w:val="superscript"/>
        </w:rPr>
        <w:t>3</w:t>
      </w:r>
      <w:r w:rsidRPr="00F50C10">
        <w:rPr>
          <w:rFonts w:cs="Times New Roman"/>
          <w:szCs w:val="24"/>
        </w:rPr>
        <w:t xml:space="preserve"> florür emisyon seviyelerine ulaşıl</w:t>
      </w:r>
      <w:r w:rsidR="00314D07" w:rsidRPr="00F50C10">
        <w:rPr>
          <w:rFonts w:cs="Times New Roman"/>
          <w:szCs w:val="24"/>
        </w:rPr>
        <w:t>ır.</w:t>
      </w:r>
    </w:p>
    <w:p w14:paraId="404CE25D" w14:textId="64D9F06E" w:rsidR="00F6441B" w:rsidRPr="00F50C10" w:rsidRDefault="00F6441B" w:rsidP="000B206D">
      <w:pPr>
        <w:spacing w:after="120" w:line="276" w:lineRule="auto"/>
        <w:rPr>
          <w:rFonts w:cs="Times New Roman"/>
          <w:szCs w:val="24"/>
        </w:rPr>
      </w:pPr>
      <w:r w:rsidRPr="00F50C10">
        <w:rPr>
          <w:rFonts w:cs="Times New Roman"/>
          <w:b/>
          <w:bCs/>
          <w:szCs w:val="24"/>
        </w:rPr>
        <w:t xml:space="preserve">MET 38: </w:t>
      </w:r>
      <w:r w:rsidR="008A3F2F" w:rsidRPr="00F50C10">
        <w:rPr>
          <w:rFonts w:cs="Times New Roman"/>
          <w:szCs w:val="24"/>
        </w:rPr>
        <w:t>Islak</w:t>
      </w:r>
      <w:r w:rsidRPr="00F50C10">
        <w:rPr>
          <w:rFonts w:cs="Times New Roman"/>
          <w:szCs w:val="24"/>
        </w:rPr>
        <w:t xml:space="preserve"> </w:t>
      </w:r>
      <w:r w:rsidR="008A3F2F" w:rsidRPr="00F50C10">
        <w:rPr>
          <w:rFonts w:cs="Times New Roman"/>
          <w:szCs w:val="24"/>
        </w:rPr>
        <w:t>prosesler</w:t>
      </w:r>
      <w:r w:rsidRPr="00F50C10">
        <w:rPr>
          <w:rFonts w:cs="Times New Roman"/>
          <w:szCs w:val="24"/>
        </w:rPr>
        <w:t xml:space="preserve"> için, üretilen fosfoalçı ve fluosilik asi</w:t>
      </w:r>
      <w:r w:rsidR="00314D07" w:rsidRPr="00F50C10">
        <w:rPr>
          <w:rFonts w:cs="Times New Roman"/>
          <w:szCs w:val="24"/>
        </w:rPr>
        <w:t>t</w:t>
      </w:r>
      <w:r w:rsidRPr="00F50C10">
        <w:rPr>
          <w:rFonts w:cs="Times New Roman"/>
          <w:szCs w:val="24"/>
        </w:rPr>
        <w:t xml:space="preserve"> pazarlan</w:t>
      </w:r>
      <w:r w:rsidR="00314D07" w:rsidRPr="00F50C10">
        <w:rPr>
          <w:rFonts w:cs="Times New Roman"/>
          <w:szCs w:val="24"/>
        </w:rPr>
        <w:t>ır</w:t>
      </w:r>
      <w:r w:rsidRPr="00F50C10">
        <w:rPr>
          <w:rFonts w:cs="Times New Roman"/>
          <w:szCs w:val="24"/>
        </w:rPr>
        <w:t xml:space="preserve">, eğer pazar imkanı yoksa, bertaraf edilir. </w:t>
      </w:r>
    </w:p>
    <w:p w14:paraId="6094ECC4" w14:textId="2BD3C720" w:rsidR="00F6441B" w:rsidRPr="00F50C10" w:rsidRDefault="00F6441B" w:rsidP="000B206D">
      <w:pPr>
        <w:spacing w:after="120" w:line="276" w:lineRule="auto"/>
        <w:rPr>
          <w:rFonts w:cs="Times New Roman"/>
          <w:szCs w:val="24"/>
        </w:rPr>
      </w:pPr>
      <w:r w:rsidRPr="00F50C10">
        <w:rPr>
          <w:rFonts w:cs="Times New Roman"/>
          <w:b/>
          <w:bCs/>
          <w:szCs w:val="24"/>
        </w:rPr>
        <w:t xml:space="preserve">MET 39: </w:t>
      </w:r>
      <w:r w:rsidR="008A3F2F" w:rsidRPr="00433941">
        <w:rPr>
          <w:rFonts w:cs="Times New Roman"/>
          <w:szCs w:val="24"/>
        </w:rPr>
        <w:t>Islak</w:t>
      </w:r>
      <w:r w:rsidRPr="00433941">
        <w:rPr>
          <w:rFonts w:cs="Times New Roman"/>
          <w:szCs w:val="24"/>
        </w:rPr>
        <w:t xml:space="preserve"> </w:t>
      </w:r>
      <w:r w:rsidR="008A3F2F" w:rsidRPr="00433941">
        <w:rPr>
          <w:rFonts w:cs="Times New Roman"/>
          <w:szCs w:val="24"/>
        </w:rPr>
        <w:t>prosesler</w:t>
      </w:r>
      <w:r w:rsidRPr="00433941">
        <w:rPr>
          <w:rFonts w:cs="Times New Roman"/>
          <w:szCs w:val="24"/>
        </w:rPr>
        <w:t xml:space="preserve"> için suya florür </w:t>
      </w:r>
      <w:r w:rsidR="008A3F2F" w:rsidRPr="00433941">
        <w:rPr>
          <w:rFonts w:cs="Times New Roman"/>
          <w:szCs w:val="24"/>
        </w:rPr>
        <w:t>emisyonunu</w:t>
      </w:r>
      <w:r w:rsidRPr="00433941">
        <w:rPr>
          <w:rFonts w:cs="Times New Roman"/>
          <w:szCs w:val="24"/>
        </w:rPr>
        <w:t xml:space="preserve"> önlemek amacıyla, örneğin dolaylı yoğuşturma sisteminin uygulanması veya yıkama sıvısının geri dönüştürülmesi veya yıkama sıvısının pazarlanmasıdır</w:t>
      </w:r>
      <w:r w:rsidR="00314D07" w:rsidRPr="00F50C10">
        <w:rPr>
          <w:rFonts w:cs="Times New Roman"/>
          <w:b/>
          <w:bCs/>
          <w:szCs w:val="24"/>
        </w:rPr>
        <w:t>.</w:t>
      </w:r>
    </w:p>
    <w:p w14:paraId="4C4BF305" w14:textId="53224FFE" w:rsidR="00F6441B" w:rsidRPr="00F50C10" w:rsidRDefault="00F6441B" w:rsidP="000B206D">
      <w:pPr>
        <w:spacing w:after="120" w:line="276" w:lineRule="auto"/>
        <w:rPr>
          <w:rFonts w:cs="Times New Roman"/>
          <w:szCs w:val="24"/>
        </w:rPr>
      </w:pPr>
      <w:r w:rsidRPr="00F50C10">
        <w:rPr>
          <w:rFonts w:cs="Times New Roman"/>
          <w:b/>
          <w:bCs/>
          <w:szCs w:val="24"/>
        </w:rPr>
        <w:t>MET 40:</w:t>
      </w:r>
      <w:r w:rsidRPr="00F50C10">
        <w:rPr>
          <w:rFonts w:cs="Times New Roman"/>
          <w:szCs w:val="24"/>
        </w:rPr>
        <w:t xml:space="preserve"> Aşağıda yer alan tekniklerin bir kombinasyonunun uygulanmasıyla atık su arıtılır</w:t>
      </w:r>
      <w:r w:rsidR="0057110D" w:rsidRPr="00F50C10">
        <w:rPr>
          <w:rFonts w:cs="Times New Roman"/>
          <w:szCs w:val="24"/>
        </w:rPr>
        <w:t>:</w:t>
      </w:r>
    </w:p>
    <w:p w14:paraId="18B6DC2A" w14:textId="4E0E1E95" w:rsidR="00F6441B" w:rsidRPr="00F50C10" w:rsidRDefault="00F6441B" w:rsidP="00A654AE">
      <w:pPr>
        <w:pStyle w:val="ListeParagraf"/>
        <w:numPr>
          <w:ilvl w:val="0"/>
          <w:numId w:val="79"/>
        </w:numPr>
        <w:spacing w:after="120" w:line="276" w:lineRule="auto"/>
        <w:rPr>
          <w:rFonts w:cs="Times New Roman"/>
          <w:bCs/>
          <w:szCs w:val="24"/>
        </w:rPr>
      </w:pPr>
      <w:r w:rsidRPr="00F50C10">
        <w:rPr>
          <w:rFonts w:cs="Times New Roman"/>
          <w:szCs w:val="24"/>
        </w:rPr>
        <w:t>kireçle nötr</w:t>
      </w:r>
      <w:r w:rsidR="007006C0" w:rsidRPr="00F50C10">
        <w:rPr>
          <w:rFonts w:cs="Times New Roman"/>
          <w:szCs w:val="24"/>
        </w:rPr>
        <w:t>alizasyon</w:t>
      </w:r>
      <w:r w:rsidRPr="00F50C10">
        <w:rPr>
          <w:rFonts w:cs="Times New Roman"/>
          <w:szCs w:val="24"/>
        </w:rPr>
        <w:t>,</w:t>
      </w:r>
    </w:p>
    <w:p w14:paraId="3A28E677" w14:textId="5301ACAE" w:rsidR="00F6441B" w:rsidRPr="00F50C10" w:rsidRDefault="00F6441B" w:rsidP="00A654AE">
      <w:pPr>
        <w:pStyle w:val="ListeParagraf"/>
        <w:numPr>
          <w:ilvl w:val="0"/>
          <w:numId w:val="79"/>
        </w:numPr>
        <w:spacing w:after="120" w:line="276" w:lineRule="auto"/>
        <w:rPr>
          <w:rFonts w:cs="Times New Roman"/>
          <w:bCs/>
          <w:szCs w:val="24"/>
        </w:rPr>
      </w:pPr>
      <w:r w:rsidRPr="00F50C10">
        <w:rPr>
          <w:rFonts w:cs="Times New Roman"/>
          <w:szCs w:val="24"/>
        </w:rPr>
        <w:t>filtreleme ve tercihe</w:t>
      </w:r>
      <w:r w:rsidR="00837EDF" w:rsidRPr="00F50C10">
        <w:rPr>
          <w:rFonts w:cs="Times New Roman"/>
          <w:szCs w:val="24"/>
        </w:rPr>
        <w:t xml:space="preserve"> göre</w:t>
      </w:r>
      <w:r w:rsidRPr="00F50C10">
        <w:rPr>
          <w:rFonts w:cs="Times New Roman"/>
          <w:szCs w:val="24"/>
        </w:rPr>
        <w:t xml:space="preserve"> sedimantasyon,</w:t>
      </w:r>
    </w:p>
    <w:p w14:paraId="4E1E2757" w14:textId="77777777" w:rsidR="00F6441B" w:rsidRPr="00F50C10" w:rsidRDefault="00F6441B" w:rsidP="00A654AE">
      <w:pPr>
        <w:pStyle w:val="ListeParagraf"/>
        <w:numPr>
          <w:ilvl w:val="0"/>
          <w:numId w:val="79"/>
        </w:numPr>
        <w:spacing w:after="120" w:line="276" w:lineRule="auto"/>
        <w:rPr>
          <w:rFonts w:cs="Times New Roman"/>
          <w:bCs/>
          <w:szCs w:val="24"/>
        </w:rPr>
      </w:pPr>
      <w:r w:rsidRPr="00F50C10">
        <w:rPr>
          <w:rFonts w:cs="Times New Roman"/>
          <w:szCs w:val="24"/>
        </w:rPr>
        <w:t>katı maddelerin fosfoalçı yığınına geri dönüştürülmesi.</w:t>
      </w:r>
    </w:p>
    <w:p w14:paraId="75D812B6" w14:textId="77777777" w:rsidR="00F6441B" w:rsidRPr="00F50C10" w:rsidRDefault="00F6441B" w:rsidP="00A654AE">
      <w:pPr>
        <w:pStyle w:val="Balk2"/>
        <w:numPr>
          <w:ilvl w:val="1"/>
          <w:numId w:val="72"/>
        </w:numPr>
        <w:spacing w:before="0" w:after="120" w:line="276" w:lineRule="auto"/>
        <w:rPr>
          <w:rFonts w:cs="Times New Roman"/>
          <w:szCs w:val="24"/>
        </w:rPr>
      </w:pPr>
      <w:r w:rsidRPr="00F50C10">
        <w:rPr>
          <w:rFonts w:cs="Times New Roman"/>
          <w:szCs w:val="24"/>
        </w:rPr>
        <w:t>Hidroflorik asit için MET</w:t>
      </w:r>
    </w:p>
    <w:p w14:paraId="7D52D5B6" w14:textId="52D88483" w:rsidR="00F6441B" w:rsidRPr="00F50C10" w:rsidRDefault="00F6441B" w:rsidP="000B206D">
      <w:pPr>
        <w:spacing w:after="120" w:line="276" w:lineRule="auto"/>
        <w:rPr>
          <w:rFonts w:cs="Times New Roman"/>
          <w:szCs w:val="24"/>
        </w:rPr>
      </w:pPr>
      <w:r w:rsidRPr="00F50C10">
        <w:rPr>
          <w:rFonts w:cs="Times New Roman"/>
          <w:szCs w:val="24"/>
        </w:rPr>
        <w:t xml:space="preserve">MET 41: </w:t>
      </w:r>
      <w:r w:rsidR="00A064E2" w:rsidRPr="00F50C10">
        <w:rPr>
          <w:rFonts w:cs="Times New Roman"/>
          <w:szCs w:val="24"/>
        </w:rPr>
        <w:t>Genel</w:t>
      </w:r>
      <w:r w:rsidRPr="00F50C10">
        <w:rPr>
          <w:rFonts w:cs="Times New Roman"/>
          <w:spacing w:val="-7"/>
          <w:szCs w:val="24"/>
        </w:rPr>
        <w:t xml:space="preserve"> </w:t>
      </w:r>
      <w:r w:rsidRPr="00F50C10">
        <w:rPr>
          <w:rFonts w:cs="Times New Roman"/>
          <w:szCs w:val="24"/>
        </w:rPr>
        <w:t>MET</w:t>
      </w:r>
      <w:r w:rsidRPr="00F50C10">
        <w:rPr>
          <w:rFonts w:cs="Times New Roman"/>
          <w:spacing w:val="-4"/>
          <w:szCs w:val="24"/>
        </w:rPr>
        <w:t xml:space="preserve"> </w:t>
      </w:r>
      <w:r w:rsidRPr="00F50C10">
        <w:rPr>
          <w:rFonts w:cs="Times New Roman"/>
          <w:szCs w:val="24"/>
        </w:rPr>
        <w:t xml:space="preserve">uygulanır. </w:t>
      </w:r>
    </w:p>
    <w:p w14:paraId="6DDDA239" w14:textId="2202F0FC" w:rsidR="00F6441B" w:rsidRPr="00F50C10" w:rsidRDefault="00F6441B" w:rsidP="000B206D">
      <w:pPr>
        <w:spacing w:after="120" w:line="276" w:lineRule="auto"/>
        <w:rPr>
          <w:rFonts w:cs="Times New Roman"/>
          <w:szCs w:val="24"/>
        </w:rPr>
      </w:pPr>
      <w:r w:rsidRPr="00F50C10">
        <w:rPr>
          <w:rFonts w:cs="Times New Roman"/>
          <w:b/>
          <w:bCs/>
          <w:szCs w:val="24"/>
        </w:rPr>
        <w:t xml:space="preserve">MET 42: </w:t>
      </w:r>
      <w:r w:rsidRPr="00F50C10">
        <w:rPr>
          <w:rFonts w:cs="Times New Roman"/>
          <w:szCs w:val="24"/>
        </w:rPr>
        <w:t>Depolama için Depolama</w:t>
      </w:r>
      <w:r w:rsidR="007006C0" w:rsidRPr="00F50C10">
        <w:rPr>
          <w:rFonts w:cs="Times New Roman"/>
          <w:szCs w:val="24"/>
        </w:rPr>
        <w:t>dan</w:t>
      </w:r>
      <w:r w:rsidRPr="00F50C10">
        <w:rPr>
          <w:rFonts w:cs="Times New Roman"/>
          <w:szCs w:val="24"/>
        </w:rPr>
        <w:t xml:space="preserve"> </w:t>
      </w:r>
      <w:r w:rsidR="007006C0" w:rsidRPr="00F50C10">
        <w:rPr>
          <w:rFonts w:cs="Times New Roman"/>
          <w:szCs w:val="24"/>
        </w:rPr>
        <w:t>K</w:t>
      </w:r>
      <w:r w:rsidRPr="00F50C10">
        <w:rPr>
          <w:rFonts w:cs="Times New Roman"/>
          <w:szCs w:val="24"/>
        </w:rPr>
        <w:t xml:space="preserve">aynaklanan </w:t>
      </w:r>
      <w:r w:rsidR="007006C0" w:rsidRPr="00F50C10">
        <w:rPr>
          <w:rFonts w:cs="Times New Roman"/>
          <w:szCs w:val="24"/>
        </w:rPr>
        <w:t>E</w:t>
      </w:r>
      <w:r w:rsidRPr="00F50C10">
        <w:rPr>
          <w:rFonts w:cs="Times New Roman"/>
          <w:szCs w:val="24"/>
        </w:rPr>
        <w:t xml:space="preserve">misyonlara ilişkin MET Referans Belgesi’nde yer alan </w:t>
      </w:r>
      <w:r w:rsidR="00F05BC9" w:rsidRPr="00F50C10">
        <w:rPr>
          <w:rFonts w:cs="Times New Roman"/>
          <w:szCs w:val="24"/>
        </w:rPr>
        <w:t>MET</w:t>
      </w:r>
      <w:r w:rsidRPr="00F50C10">
        <w:rPr>
          <w:rFonts w:cs="Times New Roman"/>
          <w:szCs w:val="24"/>
        </w:rPr>
        <w:t xml:space="preserve"> uygulanır.</w:t>
      </w:r>
    </w:p>
    <w:p w14:paraId="6AA54F54" w14:textId="52D3C74E" w:rsidR="00F6441B" w:rsidRPr="00F50C10" w:rsidRDefault="00F6441B" w:rsidP="000B206D">
      <w:pPr>
        <w:spacing w:after="120" w:line="276" w:lineRule="auto"/>
        <w:rPr>
          <w:rFonts w:cs="Times New Roman"/>
          <w:b/>
          <w:bCs/>
          <w:szCs w:val="24"/>
        </w:rPr>
      </w:pPr>
      <w:r w:rsidRPr="00F50C10">
        <w:rPr>
          <w:rFonts w:cs="Times New Roman"/>
          <w:b/>
          <w:bCs/>
          <w:szCs w:val="24"/>
        </w:rPr>
        <w:t xml:space="preserve">MET 43: </w:t>
      </w:r>
      <w:r w:rsidR="007006C0" w:rsidRPr="00F50C10">
        <w:rPr>
          <w:rFonts w:cs="Times New Roman"/>
          <w:szCs w:val="24"/>
        </w:rPr>
        <w:t>Florit</w:t>
      </w:r>
      <w:r w:rsidRPr="00F50C10">
        <w:rPr>
          <w:rFonts w:cs="Times New Roman"/>
          <w:szCs w:val="24"/>
        </w:rPr>
        <w:t xml:space="preserve"> </w:t>
      </w:r>
      <w:r w:rsidR="007006C0" w:rsidRPr="00F50C10">
        <w:rPr>
          <w:rFonts w:cs="Times New Roman"/>
          <w:szCs w:val="24"/>
        </w:rPr>
        <w:t>prosesi</w:t>
      </w:r>
      <w:r w:rsidRPr="00F50C10">
        <w:rPr>
          <w:rFonts w:cs="Times New Roman"/>
          <w:szCs w:val="24"/>
        </w:rPr>
        <w:t xml:space="preserve"> için, aşağıdaki tekniklerin bir kombinasyonu uygulan</w:t>
      </w:r>
      <w:r w:rsidR="00314D07" w:rsidRPr="00F50C10">
        <w:rPr>
          <w:rFonts w:cs="Times New Roman"/>
          <w:szCs w:val="24"/>
        </w:rPr>
        <w:t>ır</w:t>
      </w:r>
      <w:r w:rsidRPr="00F50C10">
        <w:rPr>
          <w:rFonts w:cs="Times New Roman"/>
          <w:szCs w:val="24"/>
        </w:rPr>
        <w:t xml:space="preserve"> ve verilen aralıklar dahilinde</w:t>
      </w:r>
      <w:r w:rsidR="00314D07" w:rsidRPr="00F50C10">
        <w:rPr>
          <w:rFonts w:cs="Times New Roman"/>
          <w:szCs w:val="24"/>
        </w:rPr>
        <w:t>ki</w:t>
      </w:r>
      <w:r w:rsidRPr="00F50C10">
        <w:rPr>
          <w:rFonts w:cs="Times New Roman"/>
          <w:szCs w:val="24"/>
        </w:rPr>
        <w:t xml:space="preserve"> yakıt tüketim seviyelerine ulaşılır:</w:t>
      </w:r>
      <w:r w:rsidRPr="00F50C10">
        <w:rPr>
          <w:rFonts w:cs="Times New Roman"/>
          <w:b/>
          <w:bCs/>
          <w:szCs w:val="24"/>
        </w:rPr>
        <w:t xml:space="preserve"> </w:t>
      </w:r>
    </w:p>
    <w:p w14:paraId="62E135A3" w14:textId="0234FBA1" w:rsidR="00F6441B" w:rsidRPr="00F50C10" w:rsidRDefault="00F6441B" w:rsidP="00A654AE">
      <w:pPr>
        <w:pStyle w:val="ListeParagraf"/>
        <w:numPr>
          <w:ilvl w:val="0"/>
          <w:numId w:val="80"/>
        </w:numPr>
        <w:spacing w:after="120" w:line="276" w:lineRule="auto"/>
        <w:rPr>
          <w:rFonts w:cs="Times New Roman"/>
          <w:bCs/>
          <w:szCs w:val="24"/>
        </w:rPr>
      </w:pPr>
      <w:r w:rsidRPr="00F50C10">
        <w:rPr>
          <w:rFonts w:cs="Times New Roman"/>
          <w:szCs w:val="24"/>
        </w:rPr>
        <w:t>besleme malzemesi olarak kullanılan H</w:t>
      </w:r>
      <w:r w:rsidRPr="00F50C10">
        <w:rPr>
          <w:rFonts w:cs="Times New Roman"/>
          <w:szCs w:val="24"/>
          <w:vertAlign w:val="subscript"/>
        </w:rPr>
        <w:t>2</w:t>
      </w:r>
      <w:r w:rsidRPr="00F50C10">
        <w:rPr>
          <w:rFonts w:cs="Times New Roman"/>
          <w:szCs w:val="24"/>
        </w:rPr>
        <w:t>SO</w:t>
      </w:r>
      <w:r w:rsidRPr="00F50C10">
        <w:rPr>
          <w:rFonts w:cs="Times New Roman"/>
          <w:szCs w:val="24"/>
          <w:vertAlign w:val="subscript"/>
        </w:rPr>
        <w:t>4</w:t>
      </w:r>
      <w:r w:rsidRPr="00F50C10">
        <w:rPr>
          <w:rFonts w:cs="Times New Roman"/>
          <w:szCs w:val="24"/>
        </w:rPr>
        <w:t>’nin önceden ısıtılması</w:t>
      </w:r>
      <w:r w:rsidR="00314D07" w:rsidRPr="00F50C10">
        <w:rPr>
          <w:rFonts w:cs="Times New Roman"/>
          <w:szCs w:val="24"/>
        </w:rPr>
        <w:t>,</w:t>
      </w:r>
    </w:p>
    <w:p w14:paraId="74D38C2C" w14:textId="068C651C" w:rsidR="00F6441B" w:rsidRPr="00F50C10" w:rsidRDefault="00F6441B" w:rsidP="00A654AE">
      <w:pPr>
        <w:pStyle w:val="ListeParagraf"/>
        <w:numPr>
          <w:ilvl w:val="0"/>
          <w:numId w:val="80"/>
        </w:numPr>
        <w:spacing w:after="120" w:line="276" w:lineRule="auto"/>
        <w:rPr>
          <w:rFonts w:cs="Times New Roman"/>
          <w:bCs/>
          <w:szCs w:val="24"/>
        </w:rPr>
      </w:pPr>
      <w:r w:rsidRPr="00F50C10">
        <w:rPr>
          <w:rFonts w:cs="Times New Roman"/>
          <w:szCs w:val="24"/>
        </w:rPr>
        <w:t>optimize edilmiş fırın tasarımı ve döner fırın için optimize edilmiş sıcaklık profili kontrolu</w:t>
      </w:r>
      <w:r w:rsidR="00314D07" w:rsidRPr="00F50C10">
        <w:rPr>
          <w:rFonts w:cs="Times New Roman"/>
          <w:szCs w:val="24"/>
        </w:rPr>
        <w:t>,</w:t>
      </w:r>
    </w:p>
    <w:p w14:paraId="72B56BA4" w14:textId="07194060" w:rsidR="00F6441B" w:rsidRPr="00F50C10" w:rsidRDefault="007006C0" w:rsidP="00A654AE">
      <w:pPr>
        <w:pStyle w:val="ListeParagraf"/>
        <w:numPr>
          <w:ilvl w:val="0"/>
          <w:numId w:val="80"/>
        </w:numPr>
        <w:spacing w:after="120" w:line="276" w:lineRule="auto"/>
        <w:rPr>
          <w:rFonts w:cs="Times New Roman"/>
          <w:bCs/>
          <w:szCs w:val="24"/>
        </w:rPr>
      </w:pPr>
      <w:r w:rsidRPr="00F50C10">
        <w:rPr>
          <w:rFonts w:cs="Times New Roman"/>
          <w:szCs w:val="24"/>
        </w:rPr>
        <w:t>ön-</w:t>
      </w:r>
      <w:r w:rsidR="00F6441B" w:rsidRPr="00F50C10">
        <w:rPr>
          <w:rFonts w:cs="Times New Roman"/>
          <w:szCs w:val="24"/>
        </w:rPr>
        <w:t>reaktör sistemi kullanılması</w:t>
      </w:r>
      <w:r w:rsidR="00314D07" w:rsidRPr="00F50C10">
        <w:rPr>
          <w:rFonts w:cs="Times New Roman"/>
          <w:szCs w:val="24"/>
        </w:rPr>
        <w:t>,</w:t>
      </w:r>
    </w:p>
    <w:p w14:paraId="34EF75EE" w14:textId="584E3BB0" w:rsidR="00F6441B" w:rsidRPr="00F50C10" w:rsidRDefault="00F6441B" w:rsidP="00A654AE">
      <w:pPr>
        <w:pStyle w:val="ListeParagraf"/>
        <w:numPr>
          <w:ilvl w:val="0"/>
          <w:numId w:val="80"/>
        </w:numPr>
        <w:spacing w:after="120" w:line="276" w:lineRule="auto"/>
        <w:rPr>
          <w:rFonts w:cs="Times New Roman"/>
          <w:bCs/>
          <w:szCs w:val="24"/>
        </w:rPr>
      </w:pPr>
      <w:r w:rsidRPr="00F50C10">
        <w:rPr>
          <w:rFonts w:cs="Times New Roman"/>
          <w:szCs w:val="24"/>
        </w:rPr>
        <w:t>fırın ısıtmadan elde edilen enerjinin geri kazanımı</w:t>
      </w:r>
      <w:r w:rsidR="00314D07" w:rsidRPr="00F50C10">
        <w:rPr>
          <w:rFonts w:cs="Times New Roman"/>
          <w:szCs w:val="24"/>
        </w:rPr>
        <w:t>,</w:t>
      </w:r>
    </w:p>
    <w:p w14:paraId="618BEEF8" w14:textId="0A82DAB3" w:rsidR="00F6441B" w:rsidRPr="00F50C10" w:rsidRDefault="00F6441B" w:rsidP="00A654AE">
      <w:pPr>
        <w:pStyle w:val="ListeParagraf"/>
        <w:numPr>
          <w:ilvl w:val="0"/>
          <w:numId w:val="80"/>
        </w:numPr>
        <w:spacing w:after="120" w:line="276" w:lineRule="auto"/>
        <w:rPr>
          <w:rFonts w:cs="Times New Roman"/>
          <w:bCs/>
          <w:szCs w:val="24"/>
        </w:rPr>
      </w:pPr>
      <w:r w:rsidRPr="00F50C10">
        <w:rPr>
          <w:rFonts w:cs="Times New Roman"/>
          <w:szCs w:val="24"/>
        </w:rPr>
        <w:t>spar kalsinasyonu</w:t>
      </w:r>
      <w:r w:rsidR="00314D07" w:rsidRPr="00F50C10">
        <w:rPr>
          <w:rFonts w:cs="Times New Roman"/>
          <w:szCs w:val="24"/>
        </w:rPr>
        <w:t>.</w:t>
      </w:r>
    </w:p>
    <w:p w14:paraId="505B932F" w14:textId="79ABAD32" w:rsidR="00F6441B" w:rsidRPr="00F50C10" w:rsidRDefault="007006C0" w:rsidP="000B206D">
      <w:pPr>
        <w:pStyle w:val="ResimYazs"/>
        <w:keepNext/>
        <w:spacing w:line="276" w:lineRule="auto"/>
        <w:rPr>
          <w:rFonts w:cs="Times New Roman"/>
          <w:szCs w:val="24"/>
          <w:lang w:val="tr-TR"/>
        </w:rPr>
      </w:pPr>
      <w:r w:rsidRPr="00F50C10">
        <w:rPr>
          <w:rFonts w:cs="Times New Roman"/>
          <w:szCs w:val="24"/>
          <w:lang w:val="tr-TR"/>
        </w:rPr>
        <w:t xml:space="preserve">Tablo 7. </w:t>
      </w:r>
      <w:r w:rsidR="00F6441B" w:rsidRPr="00F50C10">
        <w:rPr>
          <w:rFonts w:cs="Times New Roman"/>
          <w:szCs w:val="24"/>
          <w:lang w:val="tr-TR"/>
        </w:rPr>
        <w:t xml:space="preserve">HF üretimi için MET ile ilişkili ulaşılabilir tüketim seviyeleri </w:t>
      </w:r>
    </w:p>
    <w:tbl>
      <w:tblPr>
        <w:tblStyle w:val="TabloKlavuzu"/>
        <w:tblW w:w="5000" w:type="pct"/>
        <w:tblLook w:val="04A0" w:firstRow="1" w:lastRow="0" w:firstColumn="1" w:lastColumn="0" w:noHBand="0" w:noVBand="1"/>
      </w:tblPr>
      <w:tblGrid>
        <w:gridCol w:w="3102"/>
        <w:gridCol w:w="2573"/>
        <w:gridCol w:w="3635"/>
      </w:tblGrid>
      <w:tr w:rsidR="00F6441B" w:rsidRPr="00F50C10" w14:paraId="602D872B" w14:textId="77777777" w:rsidTr="00116C54">
        <w:trPr>
          <w:trHeight w:val="20"/>
        </w:trPr>
        <w:tc>
          <w:tcPr>
            <w:tcW w:w="1666" w:type="pct"/>
            <w:vAlign w:val="center"/>
          </w:tcPr>
          <w:p w14:paraId="642A4BE9" w14:textId="77777777" w:rsidR="00F6441B" w:rsidRPr="00F50C10" w:rsidRDefault="00F6441B" w:rsidP="000B206D">
            <w:pPr>
              <w:spacing w:line="276" w:lineRule="auto"/>
              <w:ind w:left="72" w:right="72"/>
              <w:jc w:val="center"/>
              <w:rPr>
                <w:rFonts w:cs="Times New Roman"/>
                <w:szCs w:val="24"/>
              </w:rPr>
            </w:pPr>
          </w:p>
        </w:tc>
        <w:tc>
          <w:tcPr>
            <w:tcW w:w="1382" w:type="pct"/>
            <w:vAlign w:val="center"/>
          </w:tcPr>
          <w:p w14:paraId="45AF21AE" w14:textId="77777777" w:rsidR="00F6441B" w:rsidRPr="00F50C10" w:rsidRDefault="00F6441B" w:rsidP="000B206D">
            <w:pPr>
              <w:spacing w:line="276" w:lineRule="auto"/>
              <w:ind w:left="72" w:right="72"/>
              <w:jc w:val="center"/>
              <w:rPr>
                <w:rFonts w:cs="Times New Roman"/>
                <w:b/>
                <w:szCs w:val="24"/>
              </w:rPr>
            </w:pPr>
            <w:r w:rsidRPr="00F50C10">
              <w:rPr>
                <w:rFonts w:cs="Times New Roman"/>
                <w:b/>
                <w:szCs w:val="24"/>
              </w:rPr>
              <w:t>GJ/ton</w:t>
            </w:r>
            <w:r w:rsidRPr="00F50C10">
              <w:rPr>
                <w:rFonts w:cs="Times New Roman"/>
                <w:b/>
                <w:spacing w:val="-4"/>
                <w:szCs w:val="24"/>
              </w:rPr>
              <w:t xml:space="preserve"> </w:t>
            </w:r>
            <w:r w:rsidRPr="00F50C10">
              <w:rPr>
                <w:rFonts w:cs="Times New Roman"/>
                <w:b/>
                <w:spacing w:val="-5"/>
                <w:szCs w:val="24"/>
              </w:rPr>
              <w:t>HF</w:t>
            </w:r>
          </w:p>
        </w:tc>
        <w:tc>
          <w:tcPr>
            <w:tcW w:w="1952" w:type="pct"/>
            <w:vAlign w:val="center"/>
          </w:tcPr>
          <w:p w14:paraId="6AABE999" w14:textId="77777777" w:rsidR="00F6441B" w:rsidRPr="00F50C10" w:rsidRDefault="00F6441B" w:rsidP="000B206D">
            <w:pPr>
              <w:spacing w:line="276" w:lineRule="auto"/>
              <w:ind w:left="72" w:right="72"/>
              <w:jc w:val="center"/>
              <w:rPr>
                <w:rFonts w:cs="Times New Roman"/>
                <w:b/>
                <w:szCs w:val="24"/>
              </w:rPr>
            </w:pPr>
            <w:r w:rsidRPr="00F50C10">
              <w:rPr>
                <w:rFonts w:cs="Times New Roman"/>
                <w:b/>
                <w:szCs w:val="24"/>
              </w:rPr>
              <w:t>Açıklama</w:t>
            </w:r>
          </w:p>
        </w:tc>
      </w:tr>
      <w:tr w:rsidR="00F6441B" w:rsidRPr="00F50C10" w14:paraId="0DD59D9B" w14:textId="77777777" w:rsidTr="00116C54">
        <w:trPr>
          <w:trHeight w:val="20"/>
        </w:trPr>
        <w:tc>
          <w:tcPr>
            <w:tcW w:w="1666" w:type="pct"/>
            <w:vMerge w:val="restart"/>
            <w:vAlign w:val="center"/>
          </w:tcPr>
          <w:p w14:paraId="4DA76EBD" w14:textId="77777777" w:rsidR="00F6441B" w:rsidRPr="00F50C10" w:rsidRDefault="00F6441B" w:rsidP="000B206D">
            <w:pPr>
              <w:spacing w:line="276" w:lineRule="auto"/>
              <w:ind w:left="72" w:right="72"/>
              <w:rPr>
                <w:rFonts w:cs="Times New Roman"/>
                <w:b/>
                <w:szCs w:val="24"/>
              </w:rPr>
            </w:pPr>
            <w:r w:rsidRPr="00F50C10">
              <w:rPr>
                <w:rFonts w:cs="Times New Roman"/>
                <w:b/>
                <w:szCs w:val="24"/>
              </w:rPr>
              <w:t>Fırın ısıtma için yakıt</w:t>
            </w:r>
          </w:p>
        </w:tc>
        <w:tc>
          <w:tcPr>
            <w:tcW w:w="1382" w:type="pct"/>
            <w:vAlign w:val="center"/>
          </w:tcPr>
          <w:p w14:paraId="2B5014A4"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4</w:t>
            </w:r>
            <w:r w:rsidRPr="00F50C10">
              <w:rPr>
                <w:rFonts w:cs="Times New Roman"/>
                <w:spacing w:val="1"/>
                <w:szCs w:val="24"/>
              </w:rPr>
              <w:t xml:space="preserve"> </w:t>
            </w:r>
            <w:r w:rsidRPr="00F50C10">
              <w:rPr>
                <w:rFonts w:cs="Times New Roman"/>
                <w:szCs w:val="24"/>
              </w:rPr>
              <w:t>–</w:t>
            </w:r>
            <w:r w:rsidRPr="00F50C10">
              <w:rPr>
                <w:rFonts w:cs="Times New Roman"/>
                <w:spacing w:val="-1"/>
                <w:szCs w:val="24"/>
              </w:rPr>
              <w:t xml:space="preserve"> </w:t>
            </w:r>
            <w:r w:rsidRPr="00F50C10">
              <w:rPr>
                <w:rFonts w:cs="Times New Roman"/>
                <w:spacing w:val="-5"/>
                <w:szCs w:val="24"/>
              </w:rPr>
              <w:t>6,8</w:t>
            </w:r>
          </w:p>
        </w:tc>
        <w:tc>
          <w:tcPr>
            <w:tcW w:w="1952" w:type="pct"/>
            <w:vAlign w:val="center"/>
          </w:tcPr>
          <w:p w14:paraId="3A349219" w14:textId="77777777" w:rsidR="00F6441B" w:rsidRPr="00F50C10" w:rsidRDefault="00F6441B" w:rsidP="000B206D">
            <w:pPr>
              <w:spacing w:line="276" w:lineRule="auto"/>
              <w:ind w:left="72" w:right="72"/>
              <w:rPr>
                <w:rFonts w:cs="Times New Roman"/>
                <w:szCs w:val="24"/>
              </w:rPr>
            </w:pPr>
            <w:r w:rsidRPr="00F50C10">
              <w:rPr>
                <w:rFonts w:cs="Times New Roman"/>
                <w:szCs w:val="24"/>
              </w:rPr>
              <w:t>Mevcut tesisler</w:t>
            </w:r>
          </w:p>
        </w:tc>
      </w:tr>
      <w:tr w:rsidR="00F6441B" w:rsidRPr="00F50C10" w14:paraId="7D2F8A2B" w14:textId="77777777" w:rsidTr="00116C54">
        <w:trPr>
          <w:trHeight w:val="20"/>
        </w:trPr>
        <w:tc>
          <w:tcPr>
            <w:tcW w:w="1666" w:type="pct"/>
            <w:vMerge/>
            <w:vAlign w:val="center"/>
          </w:tcPr>
          <w:p w14:paraId="570BF296" w14:textId="77777777" w:rsidR="00F6441B" w:rsidRPr="00F50C10" w:rsidRDefault="00F6441B" w:rsidP="000B206D">
            <w:pPr>
              <w:spacing w:line="276" w:lineRule="auto"/>
              <w:ind w:left="72" w:right="72"/>
              <w:jc w:val="center"/>
              <w:rPr>
                <w:rFonts w:cs="Times New Roman"/>
                <w:szCs w:val="24"/>
              </w:rPr>
            </w:pPr>
          </w:p>
        </w:tc>
        <w:tc>
          <w:tcPr>
            <w:tcW w:w="1382" w:type="pct"/>
            <w:vAlign w:val="center"/>
          </w:tcPr>
          <w:p w14:paraId="006655F0" w14:textId="77777777" w:rsidR="00F6441B" w:rsidRPr="00F50C10" w:rsidRDefault="00F6441B" w:rsidP="000B206D">
            <w:pPr>
              <w:spacing w:line="276" w:lineRule="auto"/>
              <w:ind w:left="72" w:right="72"/>
              <w:jc w:val="center"/>
              <w:rPr>
                <w:rFonts w:cs="Times New Roman"/>
                <w:szCs w:val="24"/>
              </w:rPr>
            </w:pPr>
            <w:r w:rsidRPr="00F50C10">
              <w:rPr>
                <w:rFonts w:cs="Times New Roman"/>
                <w:spacing w:val="-5"/>
                <w:szCs w:val="24"/>
              </w:rPr>
              <w:t>4–5</w:t>
            </w:r>
          </w:p>
        </w:tc>
        <w:tc>
          <w:tcPr>
            <w:tcW w:w="1952" w:type="pct"/>
            <w:vAlign w:val="center"/>
          </w:tcPr>
          <w:p w14:paraId="70FB8BCF" w14:textId="77777777" w:rsidR="00F6441B" w:rsidRPr="00F50C10" w:rsidRDefault="00F6441B" w:rsidP="000B206D">
            <w:pPr>
              <w:spacing w:line="276" w:lineRule="auto"/>
              <w:ind w:left="72" w:right="72"/>
              <w:rPr>
                <w:rFonts w:cs="Times New Roman"/>
                <w:szCs w:val="24"/>
              </w:rPr>
            </w:pPr>
            <w:r w:rsidRPr="00F50C10">
              <w:rPr>
                <w:rFonts w:cs="Times New Roman"/>
                <w:szCs w:val="24"/>
              </w:rPr>
              <w:t>Yeni tesisler, anhidrik HF’nin üretimi</w:t>
            </w:r>
          </w:p>
        </w:tc>
      </w:tr>
      <w:tr w:rsidR="00F6441B" w:rsidRPr="00F50C10" w14:paraId="0F472336" w14:textId="77777777" w:rsidTr="00116C54">
        <w:trPr>
          <w:trHeight w:val="20"/>
        </w:trPr>
        <w:tc>
          <w:tcPr>
            <w:tcW w:w="1666" w:type="pct"/>
            <w:vMerge/>
            <w:vAlign w:val="center"/>
          </w:tcPr>
          <w:p w14:paraId="23D49985" w14:textId="77777777" w:rsidR="00F6441B" w:rsidRPr="00F50C10" w:rsidRDefault="00F6441B" w:rsidP="000B206D">
            <w:pPr>
              <w:spacing w:line="276" w:lineRule="auto"/>
              <w:ind w:left="72" w:right="72"/>
              <w:jc w:val="center"/>
              <w:rPr>
                <w:rFonts w:cs="Times New Roman"/>
                <w:szCs w:val="24"/>
              </w:rPr>
            </w:pPr>
          </w:p>
        </w:tc>
        <w:tc>
          <w:tcPr>
            <w:tcW w:w="1382" w:type="pct"/>
            <w:vAlign w:val="center"/>
          </w:tcPr>
          <w:p w14:paraId="2E124D92"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4,5-6</w:t>
            </w:r>
          </w:p>
        </w:tc>
        <w:tc>
          <w:tcPr>
            <w:tcW w:w="1952" w:type="pct"/>
            <w:vAlign w:val="center"/>
          </w:tcPr>
          <w:p w14:paraId="0F36B41B" w14:textId="77777777" w:rsidR="00F6441B" w:rsidRPr="00F50C10" w:rsidRDefault="00F6441B" w:rsidP="000B206D">
            <w:pPr>
              <w:spacing w:line="276" w:lineRule="auto"/>
              <w:ind w:left="72" w:right="72"/>
              <w:rPr>
                <w:rFonts w:cs="Times New Roman"/>
                <w:szCs w:val="24"/>
              </w:rPr>
            </w:pPr>
            <w:r w:rsidRPr="00F50C10">
              <w:rPr>
                <w:rFonts w:cs="Times New Roman"/>
                <w:szCs w:val="24"/>
              </w:rPr>
              <w:t>Yeni tesisler, anhidrik</w:t>
            </w:r>
          </w:p>
          <w:p w14:paraId="40A83006" w14:textId="77777777" w:rsidR="00F6441B" w:rsidRPr="00F50C10" w:rsidRDefault="00F6441B" w:rsidP="000B206D">
            <w:pPr>
              <w:spacing w:line="276" w:lineRule="auto"/>
              <w:ind w:left="72" w:right="72"/>
              <w:rPr>
                <w:rFonts w:cs="Times New Roman"/>
                <w:szCs w:val="24"/>
              </w:rPr>
            </w:pPr>
            <w:r w:rsidRPr="00F50C10">
              <w:rPr>
                <w:rFonts w:cs="Times New Roman"/>
                <w:szCs w:val="24"/>
              </w:rPr>
              <w:t>HF ve HF çözeltilerinin üretilmesi</w:t>
            </w:r>
          </w:p>
        </w:tc>
      </w:tr>
    </w:tbl>
    <w:p w14:paraId="371E779B" w14:textId="2ADBA9CA" w:rsidR="00F6441B" w:rsidRPr="00F50C10" w:rsidRDefault="00F6441B" w:rsidP="000B206D">
      <w:pPr>
        <w:spacing w:line="276" w:lineRule="auto"/>
        <w:rPr>
          <w:rFonts w:cs="Times New Roman"/>
          <w:b/>
          <w:bCs/>
          <w:szCs w:val="24"/>
        </w:rPr>
      </w:pPr>
      <w:r w:rsidRPr="00F50C10">
        <w:rPr>
          <w:rFonts w:cs="Times New Roman"/>
          <w:b/>
          <w:bCs/>
          <w:szCs w:val="24"/>
        </w:rPr>
        <w:t xml:space="preserve">MET 44: </w:t>
      </w:r>
      <w:r w:rsidR="00837EDF" w:rsidRPr="00F50C10">
        <w:rPr>
          <w:rFonts w:cs="Times New Roman"/>
          <w:szCs w:val="24"/>
        </w:rPr>
        <w:t>Florit</w:t>
      </w:r>
      <w:r w:rsidRPr="00F50C10">
        <w:rPr>
          <w:rFonts w:cs="Times New Roman"/>
          <w:szCs w:val="24"/>
        </w:rPr>
        <w:t xml:space="preserve"> </w:t>
      </w:r>
      <w:r w:rsidR="00837EDF" w:rsidRPr="00F50C10">
        <w:rPr>
          <w:rFonts w:cs="Times New Roman"/>
          <w:szCs w:val="24"/>
        </w:rPr>
        <w:t>prosesinden</w:t>
      </w:r>
      <w:r w:rsidRPr="00F50C10">
        <w:rPr>
          <w:rFonts w:cs="Times New Roman"/>
          <w:szCs w:val="24"/>
        </w:rPr>
        <w:t xml:space="preserve"> kaynaklanan a</w:t>
      </w:r>
      <w:r w:rsidR="00837EDF" w:rsidRPr="00F50C10">
        <w:rPr>
          <w:rFonts w:cs="Times New Roman"/>
          <w:szCs w:val="24"/>
        </w:rPr>
        <w:t>r</w:t>
      </w:r>
      <w:r w:rsidRPr="00F50C10">
        <w:rPr>
          <w:rFonts w:cs="Times New Roman"/>
          <w:szCs w:val="24"/>
        </w:rPr>
        <w:t xml:space="preserve">tık gazların arıtılması için, Tablo </w:t>
      </w:r>
      <w:r w:rsidR="007006C0" w:rsidRPr="00F50C10">
        <w:rPr>
          <w:rFonts w:cs="Times New Roman"/>
          <w:szCs w:val="24"/>
        </w:rPr>
        <w:t>8</w:t>
      </w:r>
      <w:r w:rsidRPr="00F50C10">
        <w:rPr>
          <w:rFonts w:cs="Times New Roman"/>
          <w:szCs w:val="24"/>
        </w:rPr>
        <w:t>’</w:t>
      </w:r>
      <w:r w:rsidR="007006C0" w:rsidRPr="00F50C10">
        <w:rPr>
          <w:rFonts w:cs="Times New Roman"/>
          <w:szCs w:val="24"/>
        </w:rPr>
        <w:t>d</w:t>
      </w:r>
      <w:r w:rsidRPr="00F50C10">
        <w:rPr>
          <w:rFonts w:cs="Times New Roman"/>
          <w:szCs w:val="24"/>
        </w:rPr>
        <w:t xml:space="preserve">e verilen emisyon seviyelerine ulaşmak amacıyla </w:t>
      </w:r>
      <w:r w:rsidR="00314D07" w:rsidRPr="00F50C10">
        <w:rPr>
          <w:rFonts w:cs="Times New Roman"/>
          <w:szCs w:val="24"/>
        </w:rPr>
        <w:t>ıslak</w:t>
      </w:r>
      <w:r w:rsidRPr="00F50C10">
        <w:rPr>
          <w:rFonts w:cs="Times New Roman"/>
          <w:szCs w:val="24"/>
        </w:rPr>
        <w:t xml:space="preserve"> yıkama ve/veya alkali yıkama işlemleri uygulanır</w:t>
      </w:r>
      <w:r w:rsidR="00314D07" w:rsidRPr="00F50C10">
        <w:rPr>
          <w:rFonts w:cs="Times New Roman"/>
          <w:szCs w:val="24"/>
        </w:rPr>
        <w:t>.</w:t>
      </w:r>
    </w:p>
    <w:p w14:paraId="26DF3680" w14:textId="4F2B38B5" w:rsidR="00F6441B" w:rsidRPr="00F50C10" w:rsidRDefault="007006C0" w:rsidP="000B206D">
      <w:pPr>
        <w:pStyle w:val="ResimYazs"/>
        <w:keepNext/>
        <w:spacing w:line="276" w:lineRule="auto"/>
        <w:rPr>
          <w:rFonts w:cs="Times New Roman"/>
          <w:szCs w:val="24"/>
          <w:lang w:val="tr-TR"/>
        </w:rPr>
      </w:pPr>
      <w:r w:rsidRPr="00F50C10">
        <w:rPr>
          <w:rFonts w:cs="Times New Roman"/>
          <w:szCs w:val="24"/>
          <w:lang w:val="tr-TR"/>
        </w:rPr>
        <w:t xml:space="preserve">Tablo 8. </w:t>
      </w:r>
      <w:r w:rsidR="00F6441B" w:rsidRPr="00F50C10">
        <w:rPr>
          <w:rFonts w:cs="Times New Roman"/>
          <w:szCs w:val="24"/>
          <w:lang w:val="tr-TR"/>
        </w:rPr>
        <w:t>HF üretimi için MET ile ilişkili ulaşılabilir emisyon seviyeleri</w:t>
      </w:r>
    </w:p>
    <w:tbl>
      <w:tblPr>
        <w:tblStyle w:val="TabloKlavuzu"/>
        <w:tblW w:w="0" w:type="auto"/>
        <w:tblLook w:val="04A0" w:firstRow="1" w:lastRow="0" w:firstColumn="1" w:lastColumn="0" w:noHBand="0" w:noVBand="1"/>
      </w:tblPr>
      <w:tblGrid>
        <w:gridCol w:w="2265"/>
        <w:gridCol w:w="2265"/>
        <w:gridCol w:w="2266"/>
        <w:gridCol w:w="2266"/>
      </w:tblGrid>
      <w:tr w:rsidR="00F6441B" w:rsidRPr="00F50C10" w14:paraId="3EA026F7" w14:textId="77777777" w:rsidTr="00116C54">
        <w:tc>
          <w:tcPr>
            <w:tcW w:w="2265" w:type="dxa"/>
          </w:tcPr>
          <w:p w14:paraId="5C3A8106" w14:textId="77777777" w:rsidR="00F6441B" w:rsidRPr="00F50C10" w:rsidRDefault="00F6441B" w:rsidP="000B206D">
            <w:pPr>
              <w:spacing w:line="276" w:lineRule="auto"/>
              <w:ind w:left="72" w:right="72"/>
              <w:rPr>
                <w:rFonts w:cs="Times New Roman"/>
                <w:szCs w:val="24"/>
              </w:rPr>
            </w:pPr>
          </w:p>
        </w:tc>
        <w:tc>
          <w:tcPr>
            <w:tcW w:w="2265" w:type="dxa"/>
            <w:vAlign w:val="center"/>
          </w:tcPr>
          <w:p w14:paraId="4B74A9AE" w14:textId="77777777" w:rsidR="00F6441B" w:rsidRPr="00F50C10" w:rsidRDefault="00F6441B" w:rsidP="000B206D">
            <w:pPr>
              <w:spacing w:line="276" w:lineRule="auto"/>
              <w:ind w:left="72" w:right="72"/>
              <w:jc w:val="center"/>
              <w:rPr>
                <w:rFonts w:cs="Times New Roman"/>
                <w:b/>
                <w:szCs w:val="24"/>
              </w:rPr>
            </w:pPr>
            <w:r w:rsidRPr="00F50C10">
              <w:rPr>
                <w:rFonts w:cs="Times New Roman"/>
                <w:b/>
                <w:szCs w:val="24"/>
              </w:rPr>
              <w:t>kg/ton HF</w:t>
            </w:r>
          </w:p>
        </w:tc>
        <w:tc>
          <w:tcPr>
            <w:tcW w:w="2266" w:type="dxa"/>
            <w:vAlign w:val="center"/>
          </w:tcPr>
          <w:p w14:paraId="559E64A2" w14:textId="77777777" w:rsidR="00F6441B" w:rsidRPr="00F50C10" w:rsidRDefault="00F6441B" w:rsidP="000B206D">
            <w:pPr>
              <w:spacing w:line="276" w:lineRule="auto"/>
              <w:ind w:left="72" w:right="72"/>
              <w:jc w:val="center"/>
              <w:rPr>
                <w:rFonts w:cs="Times New Roman"/>
                <w:b/>
                <w:szCs w:val="24"/>
              </w:rPr>
            </w:pPr>
            <w:r w:rsidRPr="00F50C10">
              <w:rPr>
                <w:rFonts w:cs="Times New Roman"/>
                <w:b/>
                <w:szCs w:val="24"/>
              </w:rPr>
              <w:t>mg/Nm</w:t>
            </w:r>
            <w:r w:rsidRPr="00F50C10">
              <w:rPr>
                <w:rFonts w:cs="Times New Roman"/>
                <w:b/>
                <w:szCs w:val="24"/>
                <w:vertAlign w:val="superscript"/>
              </w:rPr>
              <w:t>3</w:t>
            </w:r>
          </w:p>
        </w:tc>
        <w:tc>
          <w:tcPr>
            <w:tcW w:w="2266" w:type="dxa"/>
            <w:vAlign w:val="center"/>
          </w:tcPr>
          <w:p w14:paraId="38876E53" w14:textId="77777777" w:rsidR="00F6441B" w:rsidRPr="00F50C10" w:rsidRDefault="00F6441B" w:rsidP="000B206D">
            <w:pPr>
              <w:spacing w:line="276" w:lineRule="auto"/>
              <w:ind w:left="72" w:right="72"/>
              <w:jc w:val="center"/>
              <w:rPr>
                <w:rFonts w:cs="Times New Roman"/>
                <w:b/>
                <w:szCs w:val="24"/>
              </w:rPr>
            </w:pPr>
            <w:r w:rsidRPr="00F50C10">
              <w:rPr>
                <w:rFonts w:cs="Times New Roman"/>
                <w:b/>
                <w:szCs w:val="24"/>
              </w:rPr>
              <w:t>Açıklama</w:t>
            </w:r>
          </w:p>
        </w:tc>
      </w:tr>
      <w:tr w:rsidR="00F6441B" w:rsidRPr="00F50C10" w14:paraId="0DEE7068" w14:textId="77777777" w:rsidTr="00116C54">
        <w:tc>
          <w:tcPr>
            <w:tcW w:w="2265" w:type="dxa"/>
          </w:tcPr>
          <w:p w14:paraId="2103B024" w14:textId="77777777" w:rsidR="00F6441B" w:rsidRPr="00F50C10" w:rsidRDefault="00F6441B" w:rsidP="000B206D">
            <w:pPr>
              <w:spacing w:line="276" w:lineRule="auto"/>
              <w:ind w:left="72" w:right="72"/>
              <w:rPr>
                <w:rFonts w:cs="Times New Roman"/>
                <w:b/>
                <w:szCs w:val="24"/>
              </w:rPr>
            </w:pPr>
            <w:r w:rsidRPr="00F50C10">
              <w:rPr>
                <w:rFonts w:cs="Times New Roman"/>
                <w:b/>
                <w:szCs w:val="24"/>
              </w:rPr>
              <w:t>SO</w:t>
            </w:r>
            <w:r w:rsidRPr="00F50C10">
              <w:rPr>
                <w:rFonts w:cs="Times New Roman"/>
                <w:b/>
                <w:szCs w:val="24"/>
                <w:vertAlign w:val="subscript"/>
              </w:rPr>
              <w:t>2</w:t>
            </w:r>
          </w:p>
        </w:tc>
        <w:tc>
          <w:tcPr>
            <w:tcW w:w="2265" w:type="dxa"/>
            <w:vAlign w:val="center"/>
          </w:tcPr>
          <w:p w14:paraId="258929D3"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0,001 – 0,01</w:t>
            </w:r>
          </w:p>
        </w:tc>
        <w:tc>
          <w:tcPr>
            <w:tcW w:w="2266" w:type="dxa"/>
            <w:vAlign w:val="center"/>
          </w:tcPr>
          <w:p w14:paraId="1A1647D7" w14:textId="77777777" w:rsidR="00F6441B" w:rsidRPr="00F50C10" w:rsidRDefault="00F6441B" w:rsidP="000B206D">
            <w:pPr>
              <w:spacing w:line="276" w:lineRule="auto"/>
              <w:ind w:left="72" w:right="72"/>
              <w:jc w:val="center"/>
              <w:rPr>
                <w:rFonts w:cs="Times New Roman"/>
                <w:szCs w:val="24"/>
              </w:rPr>
            </w:pPr>
          </w:p>
        </w:tc>
        <w:tc>
          <w:tcPr>
            <w:tcW w:w="2266" w:type="dxa"/>
            <w:vMerge w:val="restart"/>
            <w:vAlign w:val="center"/>
          </w:tcPr>
          <w:p w14:paraId="63CEC1D2"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Yıllık ortalamalar</w:t>
            </w:r>
          </w:p>
        </w:tc>
      </w:tr>
      <w:tr w:rsidR="00F6441B" w:rsidRPr="00F50C10" w14:paraId="14ED83F8" w14:textId="77777777" w:rsidTr="00116C54">
        <w:tc>
          <w:tcPr>
            <w:tcW w:w="2265" w:type="dxa"/>
          </w:tcPr>
          <w:p w14:paraId="0F5AF477" w14:textId="0FCC68B3" w:rsidR="00F6441B" w:rsidRPr="00F50C10" w:rsidRDefault="00E2071B" w:rsidP="000B206D">
            <w:pPr>
              <w:spacing w:line="276" w:lineRule="auto"/>
              <w:ind w:left="72" w:right="72"/>
              <w:rPr>
                <w:rFonts w:cs="Times New Roman"/>
                <w:b/>
                <w:szCs w:val="24"/>
              </w:rPr>
            </w:pPr>
            <w:r w:rsidRPr="00F50C10">
              <w:rPr>
                <w:rFonts w:cs="Times New Roman"/>
                <w:b/>
                <w:szCs w:val="24"/>
              </w:rPr>
              <w:t>Florürler</w:t>
            </w:r>
            <w:r w:rsidR="00F6441B" w:rsidRPr="00F50C10">
              <w:rPr>
                <w:rFonts w:cs="Times New Roman"/>
                <w:b/>
                <w:szCs w:val="24"/>
              </w:rPr>
              <w:t xml:space="preserve"> (HF)</w:t>
            </w:r>
          </w:p>
        </w:tc>
        <w:tc>
          <w:tcPr>
            <w:tcW w:w="2265" w:type="dxa"/>
            <w:vAlign w:val="center"/>
          </w:tcPr>
          <w:p w14:paraId="2F6132ED" w14:textId="77777777" w:rsidR="00F6441B" w:rsidRPr="00F50C10" w:rsidRDefault="00F6441B" w:rsidP="000B206D">
            <w:pPr>
              <w:spacing w:line="276" w:lineRule="auto"/>
              <w:jc w:val="center"/>
              <w:rPr>
                <w:rFonts w:cs="Times New Roman"/>
                <w:szCs w:val="24"/>
              </w:rPr>
            </w:pPr>
          </w:p>
        </w:tc>
        <w:tc>
          <w:tcPr>
            <w:tcW w:w="2266" w:type="dxa"/>
            <w:vAlign w:val="center"/>
          </w:tcPr>
          <w:p w14:paraId="3EEB82B1" w14:textId="77777777" w:rsidR="00F6441B" w:rsidRPr="00F50C10" w:rsidRDefault="00F6441B" w:rsidP="000B206D">
            <w:pPr>
              <w:spacing w:line="276" w:lineRule="auto"/>
              <w:jc w:val="center"/>
              <w:rPr>
                <w:rFonts w:cs="Times New Roman"/>
                <w:szCs w:val="24"/>
              </w:rPr>
            </w:pPr>
            <w:r w:rsidRPr="00F50C10">
              <w:rPr>
                <w:rFonts w:cs="Times New Roman"/>
                <w:szCs w:val="24"/>
              </w:rPr>
              <w:t>0,6 – 5</w:t>
            </w:r>
          </w:p>
        </w:tc>
        <w:tc>
          <w:tcPr>
            <w:tcW w:w="2266" w:type="dxa"/>
            <w:vMerge/>
          </w:tcPr>
          <w:p w14:paraId="6C019CE9" w14:textId="77777777" w:rsidR="00F6441B" w:rsidRPr="00F50C10" w:rsidRDefault="00F6441B" w:rsidP="000B206D">
            <w:pPr>
              <w:spacing w:line="276" w:lineRule="auto"/>
              <w:rPr>
                <w:rFonts w:cs="Times New Roman"/>
                <w:szCs w:val="24"/>
              </w:rPr>
            </w:pPr>
          </w:p>
        </w:tc>
      </w:tr>
    </w:tbl>
    <w:p w14:paraId="76EC752A" w14:textId="532B103E" w:rsidR="00F6441B" w:rsidRPr="00F50C10" w:rsidRDefault="00F6441B" w:rsidP="000B206D">
      <w:pPr>
        <w:spacing w:line="276" w:lineRule="auto"/>
        <w:rPr>
          <w:rFonts w:cs="Times New Roman"/>
          <w:b/>
          <w:bCs/>
          <w:szCs w:val="24"/>
        </w:rPr>
      </w:pPr>
      <w:r w:rsidRPr="00F50C10">
        <w:rPr>
          <w:rFonts w:cs="Times New Roman"/>
          <w:b/>
          <w:bCs/>
          <w:szCs w:val="24"/>
        </w:rPr>
        <w:t xml:space="preserve">MET 45: </w:t>
      </w:r>
      <w:r w:rsidR="00837EDF" w:rsidRPr="00F50C10">
        <w:rPr>
          <w:rFonts w:cs="Times New Roman"/>
          <w:szCs w:val="24"/>
        </w:rPr>
        <w:t>Florit</w:t>
      </w:r>
      <w:r w:rsidRPr="00F50C10">
        <w:rPr>
          <w:rFonts w:cs="Times New Roman"/>
          <w:szCs w:val="24"/>
        </w:rPr>
        <w:t xml:space="preserve"> kurutma, transfer etme ve depolama işlemleri sonucunda ortaya çıkan toz emisyonları azaltılı</w:t>
      </w:r>
      <w:r w:rsidR="00314D07" w:rsidRPr="00F50C10">
        <w:rPr>
          <w:rFonts w:cs="Times New Roman"/>
          <w:szCs w:val="24"/>
        </w:rPr>
        <w:t>r</w:t>
      </w:r>
      <w:r w:rsidRPr="00F50C10">
        <w:rPr>
          <w:rFonts w:cs="Times New Roman"/>
          <w:szCs w:val="24"/>
        </w:rPr>
        <w:t xml:space="preserve"> ve 3 – 19 mg/Nm</w:t>
      </w:r>
      <w:r w:rsidRPr="00F50C10">
        <w:rPr>
          <w:rFonts w:cs="Times New Roman"/>
          <w:szCs w:val="24"/>
          <w:vertAlign w:val="superscript"/>
        </w:rPr>
        <w:t>3</w:t>
      </w:r>
      <w:r w:rsidRPr="00F50C10">
        <w:rPr>
          <w:rFonts w:cs="Times New Roman"/>
          <w:szCs w:val="24"/>
        </w:rPr>
        <w:t xml:space="preserve"> toz emisyon seviyelerine ulaşılır</w:t>
      </w:r>
      <w:r w:rsidR="00314D07" w:rsidRPr="00F50C10">
        <w:rPr>
          <w:rFonts w:cs="Times New Roman"/>
          <w:szCs w:val="24"/>
        </w:rPr>
        <w:t>.</w:t>
      </w:r>
    </w:p>
    <w:p w14:paraId="6857D5AD" w14:textId="6BEB0256" w:rsidR="00F6441B" w:rsidRPr="00F50C10" w:rsidRDefault="00F6441B" w:rsidP="000B206D">
      <w:pPr>
        <w:spacing w:line="276" w:lineRule="auto"/>
        <w:rPr>
          <w:rFonts w:cs="Times New Roman"/>
          <w:b/>
          <w:szCs w:val="24"/>
        </w:rPr>
      </w:pPr>
      <w:r w:rsidRPr="00F50C10">
        <w:rPr>
          <w:rFonts w:cs="Times New Roman"/>
          <w:b/>
          <w:bCs/>
          <w:szCs w:val="24"/>
        </w:rPr>
        <w:t xml:space="preserve">MET 46: </w:t>
      </w:r>
      <w:r w:rsidRPr="00F50C10">
        <w:rPr>
          <w:rFonts w:cs="Times New Roman"/>
          <w:szCs w:val="24"/>
        </w:rPr>
        <w:t xml:space="preserve">Aşağıda yer alan tekniklerin bir kombinasyonunu uygulayarak, ıslak </w:t>
      </w:r>
      <w:r w:rsidR="00314D07" w:rsidRPr="00F50C10">
        <w:rPr>
          <w:rFonts w:cs="Times New Roman"/>
          <w:szCs w:val="24"/>
        </w:rPr>
        <w:t>yıkamadan</w:t>
      </w:r>
      <w:r w:rsidRPr="00F50C10">
        <w:rPr>
          <w:rFonts w:cs="Times New Roman"/>
          <w:szCs w:val="24"/>
        </w:rPr>
        <w:t xml:space="preserve"> kaynaklanan atık su arıtıl</w:t>
      </w:r>
      <w:r w:rsidR="00314D07" w:rsidRPr="00F50C10">
        <w:rPr>
          <w:rFonts w:cs="Times New Roman"/>
          <w:szCs w:val="24"/>
        </w:rPr>
        <w:t>ır:</w:t>
      </w:r>
    </w:p>
    <w:p w14:paraId="0CAD2CC9" w14:textId="3AB0EB81" w:rsidR="00F6441B" w:rsidRPr="00F50C10" w:rsidRDefault="00F6441B" w:rsidP="00A654AE">
      <w:pPr>
        <w:pStyle w:val="ListeParagraf"/>
        <w:numPr>
          <w:ilvl w:val="0"/>
          <w:numId w:val="81"/>
        </w:numPr>
        <w:spacing w:before="120" w:after="60" w:line="276" w:lineRule="auto"/>
        <w:rPr>
          <w:rFonts w:cs="Times New Roman"/>
          <w:bCs/>
          <w:szCs w:val="24"/>
        </w:rPr>
      </w:pPr>
      <w:r w:rsidRPr="00F50C10">
        <w:rPr>
          <w:rFonts w:cs="Times New Roman"/>
          <w:szCs w:val="24"/>
        </w:rPr>
        <w:t xml:space="preserve">kireçle </w:t>
      </w:r>
      <w:r w:rsidR="00837EDF" w:rsidRPr="00F50C10">
        <w:rPr>
          <w:rFonts w:cs="Times New Roman"/>
          <w:szCs w:val="24"/>
        </w:rPr>
        <w:t>nötralizasyon</w:t>
      </w:r>
      <w:r w:rsidRPr="00F50C10">
        <w:rPr>
          <w:rFonts w:cs="Times New Roman"/>
          <w:szCs w:val="24"/>
        </w:rPr>
        <w:t>,</w:t>
      </w:r>
    </w:p>
    <w:p w14:paraId="6A9BD3D0" w14:textId="667CB21E" w:rsidR="00F6441B" w:rsidRPr="00F50C10" w:rsidRDefault="00F6441B" w:rsidP="00A654AE">
      <w:pPr>
        <w:pStyle w:val="ListeParagraf"/>
        <w:numPr>
          <w:ilvl w:val="0"/>
          <w:numId w:val="81"/>
        </w:numPr>
        <w:spacing w:before="120" w:after="60" w:line="276" w:lineRule="auto"/>
        <w:rPr>
          <w:rFonts w:cs="Times New Roman"/>
          <w:bCs/>
          <w:szCs w:val="24"/>
        </w:rPr>
      </w:pPr>
      <w:r w:rsidRPr="00F50C10">
        <w:rPr>
          <w:rFonts w:cs="Times New Roman"/>
          <w:szCs w:val="24"/>
        </w:rPr>
        <w:t>koagüla</w:t>
      </w:r>
      <w:r w:rsidR="00837EDF" w:rsidRPr="00F50C10">
        <w:rPr>
          <w:rFonts w:cs="Times New Roman"/>
          <w:szCs w:val="24"/>
        </w:rPr>
        <w:t>nt</w:t>
      </w:r>
      <w:r w:rsidRPr="00F50C10">
        <w:rPr>
          <w:rFonts w:cs="Times New Roman"/>
          <w:szCs w:val="24"/>
        </w:rPr>
        <w:t xml:space="preserve"> eklenmesi,</w:t>
      </w:r>
    </w:p>
    <w:p w14:paraId="7719C6A0" w14:textId="77777777" w:rsidR="00F6441B" w:rsidRPr="00F50C10" w:rsidRDefault="00F6441B" w:rsidP="00A654AE">
      <w:pPr>
        <w:pStyle w:val="ListeParagraf"/>
        <w:numPr>
          <w:ilvl w:val="0"/>
          <w:numId w:val="81"/>
        </w:numPr>
        <w:spacing w:before="120" w:after="60" w:line="276" w:lineRule="auto"/>
        <w:rPr>
          <w:rFonts w:cs="Times New Roman"/>
          <w:bCs/>
          <w:szCs w:val="24"/>
        </w:rPr>
      </w:pPr>
      <w:r w:rsidRPr="00F50C10">
        <w:rPr>
          <w:rFonts w:cs="Times New Roman"/>
          <w:szCs w:val="24"/>
        </w:rPr>
        <w:t>filtreleme ve tercihe göre sedimantasyon.</w:t>
      </w:r>
    </w:p>
    <w:p w14:paraId="32E5CFD4" w14:textId="282E8E7F" w:rsidR="00F6441B" w:rsidRPr="00F50C10" w:rsidRDefault="00F6441B" w:rsidP="000B206D">
      <w:pPr>
        <w:spacing w:line="276" w:lineRule="auto"/>
        <w:rPr>
          <w:rFonts w:cs="Times New Roman"/>
          <w:b/>
          <w:bCs/>
          <w:szCs w:val="24"/>
        </w:rPr>
      </w:pPr>
      <w:r w:rsidRPr="00F50C10">
        <w:rPr>
          <w:rFonts w:cs="Times New Roman"/>
          <w:b/>
          <w:bCs/>
          <w:szCs w:val="24"/>
        </w:rPr>
        <w:t xml:space="preserve">MET 47: </w:t>
      </w:r>
      <w:r w:rsidR="00837EDF" w:rsidRPr="00F50C10">
        <w:rPr>
          <w:rFonts w:cs="Times New Roman"/>
          <w:szCs w:val="24"/>
        </w:rPr>
        <w:t>Florit</w:t>
      </w:r>
      <w:r w:rsidRPr="00F50C10">
        <w:rPr>
          <w:rFonts w:cs="Times New Roman"/>
          <w:szCs w:val="24"/>
        </w:rPr>
        <w:t xml:space="preserve"> </w:t>
      </w:r>
      <w:r w:rsidR="00837EDF" w:rsidRPr="00F50C10">
        <w:rPr>
          <w:rFonts w:cs="Times New Roman"/>
          <w:szCs w:val="24"/>
        </w:rPr>
        <w:t>prosesi</w:t>
      </w:r>
      <w:r w:rsidRPr="00F50C10">
        <w:rPr>
          <w:rFonts w:cs="Times New Roman"/>
          <w:szCs w:val="24"/>
        </w:rPr>
        <w:t xml:space="preserve"> için, üretilen anhidrit ve fluosilik asi</w:t>
      </w:r>
      <w:r w:rsidR="00314D07" w:rsidRPr="00F50C10">
        <w:rPr>
          <w:rFonts w:cs="Times New Roman"/>
          <w:szCs w:val="24"/>
        </w:rPr>
        <w:t>t</w:t>
      </w:r>
      <w:r w:rsidRPr="00F50C10">
        <w:rPr>
          <w:rFonts w:cs="Times New Roman"/>
          <w:szCs w:val="24"/>
        </w:rPr>
        <w:t xml:space="preserve"> </w:t>
      </w:r>
      <w:r w:rsidR="00837EDF" w:rsidRPr="00F50C10">
        <w:rPr>
          <w:rFonts w:cs="Times New Roman"/>
          <w:szCs w:val="24"/>
        </w:rPr>
        <w:t>pazara</w:t>
      </w:r>
      <w:r w:rsidRPr="00F50C10">
        <w:rPr>
          <w:rFonts w:cs="Times New Roman"/>
          <w:szCs w:val="24"/>
        </w:rPr>
        <w:t xml:space="preserve"> sunul</w:t>
      </w:r>
      <w:r w:rsidR="00314D07" w:rsidRPr="00F50C10">
        <w:rPr>
          <w:rFonts w:cs="Times New Roman"/>
          <w:szCs w:val="24"/>
        </w:rPr>
        <w:t>ur</w:t>
      </w:r>
      <w:r w:rsidRPr="00F50C10">
        <w:rPr>
          <w:rFonts w:cs="Times New Roman"/>
          <w:szCs w:val="24"/>
        </w:rPr>
        <w:t xml:space="preserve">, </w:t>
      </w:r>
      <w:r w:rsidR="00837EDF" w:rsidRPr="00F50C10">
        <w:rPr>
          <w:rFonts w:cs="Times New Roman"/>
          <w:szCs w:val="24"/>
        </w:rPr>
        <w:t>eğer pazar</w:t>
      </w:r>
      <w:r w:rsidRPr="00F50C10">
        <w:rPr>
          <w:rFonts w:cs="Times New Roman"/>
          <w:szCs w:val="24"/>
        </w:rPr>
        <w:t xml:space="preserve"> imkanı yoksa düzenli depolama ile tahliye edil</w:t>
      </w:r>
      <w:r w:rsidR="00314D07" w:rsidRPr="00F50C10">
        <w:rPr>
          <w:rFonts w:cs="Times New Roman"/>
          <w:szCs w:val="24"/>
        </w:rPr>
        <w:t>ir</w:t>
      </w:r>
      <w:r w:rsidRPr="00F50C10">
        <w:rPr>
          <w:rFonts w:cs="Times New Roman"/>
          <w:szCs w:val="24"/>
        </w:rPr>
        <w:t>.</w:t>
      </w:r>
    </w:p>
    <w:p w14:paraId="3562BA7A" w14:textId="77777777" w:rsidR="00F6441B" w:rsidRPr="00F50C10" w:rsidRDefault="00F6441B" w:rsidP="00A654AE">
      <w:pPr>
        <w:pStyle w:val="Balk2"/>
        <w:numPr>
          <w:ilvl w:val="1"/>
          <w:numId w:val="72"/>
        </w:numPr>
        <w:spacing w:line="276" w:lineRule="auto"/>
        <w:rPr>
          <w:rFonts w:cs="Times New Roman"/>
          <w:szCs w:val="24"/>
        </w:rPr>
      </w:pPr>
      <w:r w:rsidRPr="00F50C10">
        <w:rPr>
          <w:rFonts w:cs="Times New Roman"/>
          <w:szCs w:val="24"/>
        </w:rPr>
        <w:t>Birleşik/Çok besinli (NPK) gübreleri için MET</w:t>
      </w:r>
    </w:p>
    <w:p w14:paraId="2798B895" w14:textId="415161DB" w:rsidR="00F6441B" w:rsidRPr="00F50C10" w:rsidRDefault="00F6441B" w:rsidP="000B206D">
      <w:pPr>
        <w:spacing w:line="276" w:lineRule="auto"/>
        <w:rPr>
          <w:rFonts w:cs="Times New Roman"/>
          <w:b/>
          <w:bCs/>
          <w:szCs w:val="24"/>
        </w:rPr>
      </w:pPr>
      <w:r w:rsidRPr="00F50C10">
        <w:rPr>
          <w:rFonts w:cs="Times New Roman"/>
          <w:b/>
          <w:bCs/>
          <w:szCs w:val="24"/>
        </w:rPr>
        <w:t xml:space="preserve">MET 48: </w:t>
      </w:r>
      <w:r w:rsidR="00A064E2" w:rsidRPr="00F50C10">
        <w:rPr>
          <w:rFonts w:cs="Times New Roman"/>
          <w:szCs w:val="24"/>
        </w:rPr>
        <w:t>G</w:t>
      </w:r>
      <w:r w:rsidR="00837EDF" w:rsidRPr="00F50C10">
        <w:rPr>
          <w:rFonts w:cs="Times New Roman"/>
          <w:szCs w:val="24"/>
        </w:rPr>
        <w:t>enel</w:t>
      </w:r>
      <w:r w:rsidRPr="00F50C10">
        <w:rPr>
          <w:rFonts w:cs="Times New Roman"/>
          <w:spacing w:val="-7"/>
          <w:szCs w:val="24"/>
        </w:rPr>
        <w:t xml:space="preserve"> </w:t>
      </w:r>
      <w:r w:rsidRPr="00F50C10">
        <w:rPr>
          <w:rFonts w:cs="Times New Roman"/>
          <w:szCs w:val="24"/>
        </w:rPr>
        <w:t>MET</w:t>
      </w:r>
      <w:r w:rsidRPr="00F50C10">
        <w:rPr>
          <w:rFonts w:cs="Times New Roman"/>
          <w:spacing w:val="-4"/>
          <w:szCs w:val="24"/>
        </w:rPr>
        <w:t xml:space="preserve"> </w:t>
      </w:r>
      <w:r w:rsidRPr="00F50C10">
        <w:rPr>
          <w:rFonts w:cs="Times New Roman"/>
          <w:szCs w:val="24"/>
        </w:rPr>
        <w:t xml:space="preserve">uygulanır. </w:t>
      </w:r>
    </w:p>
    <w:p w14:paraId="28EDF2F0" w14:textId="19089498" w:rsidR="00F6441B" w:rsidRPr="00F50C10" w:rsidRDefault="00F6441B" w:rsidP="000B206D">
      <w:pPr>
        <w:spacing w:line="276" w:lineRule="auto"/>
        <w:rPr>
          <w:rFonts w:cs="Times New Roman"/>
          <w:szCs w:val="24"/>
        </w:rPr>
      </w:pPr>
      <w:r w:rsidRPr="00F50C10">
        <w:rPr>
          <w:rFonts w:cs="Times New Roman"/>
          <w:b/>
          <w:bCs/>
          <w:szCs w:val="24"/>
        </w:rPr>
        <w:t xml:space="preserve">MET 49: </w:t>
      </w:r>
      <w:r w:rsidRPr="00F50C10">
        <w:rPr>
          <w:rFonts w:cs="Times New Roman"/>
          <w:szCs w:val="24"/>
        </w:rPr>
        <w:t>Depolama için Depolama</w:t>
      </w:r>
      <w:r w:rsidR="00837EDF" w:rsidRPr="00F50C10">
        <w:rPr>
          <w:rFonts w:cs="Times New Roman"/>
          <w:szCs w:val="24"/>
        </w:rPr>
        <w:t>dan</w:t>
      </w:r>
      <w:r w:rsidRPr="00F50C10">
        <w:rPr>
          <w:rFonts w:cs="Times New Roman"/>
          <w:szCs w:val="24"/>
        </w:rPr>
        <w:t xml:space="preserve"> </w:t>
      </w:r>
      <w:r w:rsidR="00837EDF" w:rsidRPr="00F50C10">
        <w:rPr>
          <w:rFonts w:cs="Times New Roman"/>
          <w:szCs w:val="24"/>
        </w:rPr>
        <w:t>K</w:t>
      </w:r>
      <w:r w:rsidRPr="00F50C10">
        <w:rPr>
          <w:rFonts w:cs="Times New Roman"/>
          <w:szCs w:val="24"/>
        </w:rPr>
        <w:t xml:space="preserve">aynaklanan </w:t>
      </w:r>
      <w:r w:rsidR="00837EDF" w:rsidRPr="00F50C10">
        <w:rPr>
          <w:rFonts w:cs="Times New Roman"/>
          <w:szCs w:val="24"/>
        </w:rPr>
        <w:t>E</w:t>
      </w:r>
      <w:r w:rsidRPr="00F50C10">
        <w:rPr>
          <w:rFonts w:cs="Times New Roman"/>
          <w:szCs w:val="24"/>
        </w:rPr>
        <w:t xml:space="preserve">misyonlara ilişkin MET Referans Belgesi’nde yer alan </w:t>
      </w:r>
      <w:r w:rsidR="00F05BC9" w:rsidRPr="00F50C10">
        <w:rPr>
          <w:rFonts w:cs="Times New Roman"/>
          <w:szCs w:val="24"/>
        </w:rPr>
        <w:t>MET</w:t>
      </w:r>
      <w:r w:rsidRPr="00F50C10">
        <w:rPr>
          <w:rFonts w:cs="Times New Roman"/>
          <w:szCs w:val="24"/>
        </w:rPr>
        <w:t xml:space="preserve"> uygulanır.</w:t>
      </w:r>
    </w:p>
    <w:p w14:paraId="4B4E8290" w14:textId="05E41EFC" w:rsidR="00837EDF" w:rsidRPr="00F50C10" w:rsidRDefault="00F6441B" w:rsidP="000B206D">
      <w:pPr>
        <w:spacing w:after="120" w:line="276" w:lineRule="auto"/>
        <w:rPr>
          <w:rFonts w:cs="Times New Roman"/>
          <w:b/>
          <w:bCs/>
          <w:szCs w:val="24"/>
        </w:rPr>
      </w:pPr>
      <w:r w:rsidRPr="00F50C10">
        <w:rPr>
          <w:rFonts w:cs="Times New Roman"/>
          <w:b/>
          <w:bCs/>
          <w:szCs w:val="24"/>
        </w:rPr>
        <w:t xml:space="preserve">MET 50: </w:t>
      </w:r>
      <w:r w:rsidR="00837EDF" w:rsidRPr="00F50C10">
        <w:rPr>
          <w:rFonts w:cs="Times New Roman"/>
          <w:szCs w:val="24"/>
        </w:rPr>
        <w:t>Toz seviyeleri, bez filtrelerin ya da seramik filtrelerin kullanılması gibi yöntemlerle, 2.5 – 10 mg/Nm</w:t>
      </w:r>
      <w:r w:rsidR="00837EDF" w:rsidRPr="00F50C10">
        <w:rPr>
          <w:rFonts w:cs="Times New Roman"/>
          <w:szCs w:val="24"/>
          <w:vertAlign w:val="superscript"/>
        </w:rPr>
        <w:t>3</w:t>
      </w:r>
      <w:r w:rsidR="00837EDF" w:rsidRPr="00F50C10">
        <w:rPr>
          <w:rFonts w:cs="Times New Roman"/>
          <w:szCs w:val="24"/>
        </w:rPr>
        <w:t>’e düşürül</w:t>
      </w:r>
      <w:r w:rsidR="00F129EE" w:rsidRPr="00F50C10">
        <w:rPr>
          <w:rFonts w:cs="Times New Roman"/>
          <w:szCs w:val="24"/>
        </w:rPr>
        <w:t xml:space="preserve">ür </w:t>
      </w:r>
      <w:r w:rsidR="00837EDF" w:rsidRPr="00F50C10">
        <w:rPr>
          <w:rFonts w:cs="Times New Roman"/>
          <w:szCs w:val="24"/>
        </w:rPr>
        <w:t>ve kaya öğütme işleminde ortaya çıkan toz emisyonları azaltılır</w:t>
      </w:r>
      <w:r w:rsidR="00F129EE" w:rsidRPr="00F50C10">
        <w:rPr>
          <w:rFonts w:cs="Times New Roman"/>
          <w:szCs w:val="24"/>
        </w:rPr>
        <w:t>.</w:t>
      </w:r>
    </w:p>
    <w:p w14:paraId="154A445E" w14:textId="5A596251" w:rsidR="00F6441B" w:rsidRPr="00F50C10" w:rsidRDefault="00F6441B" w:rsidP="000B206D">
      <w:pPr>
        <w:spacing w:after="120" w:line="276" w:lineRule="auto"/>
        <w:rPr>
          <w:rFonts w:cs="Times New Roman"/>
          <w:szCs w:val="24"/>
        </w:rPr>
      </w:pPr>
      <w:r w:rsidRPr="00F50C10">
        <w:rPr>
          <w:rFonts w:cs="Times New Roman"/>
          <w:b/>
          <w:bCs/>
          <w:szCs w:val="24"/>
        </w:rPr>
        <w:t xml:space="preserve">MET 51: </w:t>
      </w:r>
      <w:r w:rsidR="004D221D" w:rsidRPr="00F50C10">
        <w:rPr>
          <w:rFonts w:cs="Times New Roman"/>
          <w:szCs w:val="24"/>
        </w:rPr>
        <w:t>Kapalı taşıma bantları kullanılması, kapalı alanda depolama yapılması, tesis alanlarının ve sahanın sık sık süpürülmesi/temizlenmesi ile fosfat kayası tozunun dağılması önle</w:t>
      </w:r>
      <w:r w:rsidR="00F129EE" w:rsidRPr="00F50C10">
        <w:rPr>
          <w:rFonts w:cs="Times New Roman"/>
          <w:szCs w:val="24"/>
        </w:rPr>
        <w:t>n</w:t>
      </w:r>
      <w:r w:rsidR="004D221D" w:rsidRPr="00F50C10">
        <w:rPr>
          <w:rFonts w:cs="Times New Roman"/>
          <w:szCs w:val="24"/>
        </w:rPr>
        <w:t>ir</w:t>
      </w:r>
      <w:r w:rsidR="00F129EE" w:rsidRPr="00F50C10">
        <w:rPr>
          <w:rFonts w:cs="Times New Roman"/>
          <w:szCs w:val="24"/>
        </w:rPr>
        <w:t>.</w:t>
      </w:r>
    </w:p>
    <w:p w14:paraId="5D2D85F1" w14:textId="7E3A5A1D" w:rsidR="00F6441B" w:rsidRPr="00F50C10" w:rsidRDefault="00F6441B" w:rsidP="000B206D">
      <w:pPr>
        <w:spacing w:line="276" w:lineRule="auto"/>
        <w:rPr>
          <w:rFonts w:cs="Times New Roman"/>
          <w:szCs w:val="24"/>
        </w:rPr>
      </w:pPr>
      <w:r w:rsidRPr="00F50C10">
        <w:rPr>
          <w:rFonts w:cs="Times New Roman"/>
          <w:b/>
          <w:bCs/>
          <w:szCs w:val="24"/>
        </w:rPr>
        <w:t xml:space="preserve">MET 52: </w:t>
      </w:r>
      <w:r w:rsidRPr="00F50C10">
        <w:rPr>
          <w:rFonts w:cs="Times New Roman"/>
          <w:szCs w:val="24"/>
        </w:rPr>
        <w:t>Aşağıdaki tekniklerin birinin ya da birkaçının uygulanmasıyla bitirme bölümünün çevresel performansı iyileştirilir:</w:t>
      </w:r>
    </w:p>
    <w:p w14:paraId="36784671" w14:textId="3D0E0FDE" w:rsidR="00F6441B" w:rsidRPr="00F50C10" w:rsidRDefault="00F6441B" w:rsidP="00A654AE">
      <w:pPr>
        <w:pStyle w:val="ListeParagraf"/>
        <w:numPr>
          <w:ilvl w:val="0"/>
          <w:numId w:val="82"/>
        </w:numPr>
        <w:spacing w:before="120" w:after="60" w:line="276" w:lineRule="auto"/>
        <w:rPr>
          <w:rFonts w:cs="Times New Roman"/>
          <w:bCs/>
          <w:szCs w:val="24"/>
        </w:rPr>
      </w:pPr>
      <w:r w:rsidRPr="00F50C10">
        <w:rPr>
          <w:rFonts w:cs="Times New Roman"/>
          <w:szCs w:val="24"/>
        </w:rPr>
        <w:t>plakalı ürün soğutucunun kullanılması</w:t>
      </w:r>
      <w:r w:rsidR="00F129EE" w:rsidRPr="00F50C10">
        <w:rPr>
          <w:rFonts w:cs="Times New Roman"/>
          <w:szCs w:val="24"/>
        </w:rPr>
        <w:t>,</w:t>
      </w:r>
    </w:p>
    <w:p w14:paraId="3F33395D" w14:textId="2A8B07F7" w:rsidR="00F6441B" w:rsidRPr="00F50C10" w:rsidRDefault="00F6441B" w:rsidP="00A654AE">
      <w:pPr>
        <w:pStyle w:val="ListeParagraf"/>
        <w:numPr>
          <w:ilvl w:val="0"/>
          <w:numId w:val="82"/>
        </w:numPr>
        <w:spacing w:before="120" w:after="60" w:line="276" w:lineRule="auto"/>
        <w:rPr>
          <w:rFonts w:cs="Times New Roman"/>
          <w:bCs/>
          <w:szCs w:val="24"/>
        </w:rPr>
      </w:pPr>
      <w:r w:rsidRPr="00F50C10">
        <w:rPr>
          <w:rFonts w:cs="Times New Roman"/>
          <w:szCs w:val="24"/>
        </w:rPr>
        <w:t>sıcak havanın geri dönüştürülmesi</w:t>
      </w:r>
      <w:r w:rsidR="00F129EE" w:rsidRPr="00F50C10">
        <w:rPr>
          <w:rFonts w:cs="Times New Roman"/>
          <w:szCs w:val="24"/>
        </w:rPr>
        <w:t>,</w:t>
      </w:r>
    </w:p>
    <w:p w14:paraId="2B2C763C" w14:textId="748098D3" w:rsidR="00F6441B" w:rsidRPr="00F50C10" w:rsidRDefault="00F6441B" w:rsidP="00A654AE">
      <w:pPr>
        <w:pStyle w:val="ListeParagraf"/>
        <w:numPr>
          <w:ilvl w:val="0"/>
          <w:numId w:val="82"/>
        </w:numPr>
        <w:spacing w:before="120" w:after="60" w:line="276" w:lineRule="auto"/>
        <w:rPr>
          <w:rFonts w:cs="Times New Roman"/>
          <w:bCs/>
          <w:szCs w:val="24"/>
        </w:rPr>
      </w:pPr>
      <w:r w:rsidRPr="00F50C10">
        <w:rPr>
          <w:rFonts w:cs="Times New Roman"/>
          <w:szCs w:val="24"/>
        </w:rPr>
        <w:t>uygun boyutta eleklerin, döner ve zincirli değirmenlerin seçilmesi</w:t>
      </w:r>
      <w:r w:rsidR="00F129EE" w:rsidRPr="00F50C10">
        <w:rPr>
          <w:rFonts w:cs="Times New Roman"/>
          <w:szCs w:val="24"/>
        </w:rPr>
        <w:t>,</w:t>
      </w:r>
    </w:p>
    <w:p w14:paraId="63C0A048" w14:textId="6949D543" w:rsidR="00F6441B" w:rsidRPr="00F50C10" w:rsidRDefault="00F6441B" w:rsidP="00A654AE">
      <w:pPr>
        <w:pStyle w:val="ListeParagraf"/>
        <w:numPr>
          <w:ilvl w:val="0"/>
          <w:numId w:val="82"/>
        </w:numPr>
        <w:spacing w:before="120" w:after="60" w:line="276" w:lineRule="auto"/>
        <w:rPr>
          <w:rFonts w:cs="Times New Roman"/>
          <w:bCs/>
          <w:szCs w:val="24"/>
        </w:rPr>
      </w:pPr>
      <w:r w:rsidRPr="00F50C10">
        <w:rPr>
          <w:rFonts w:cs="Times New Roman"/>
          <w:szCs w:val="24"/>
        </w:rPr>
        <w:t>granülasyon geri dönüşüm döngüsünün kontrol edilmesinde kantar altı silosunun kullanılması</w:t>
      </w:r>
      <w:r w:rsidR="00F129EE" w:rsidRPr="00F50C10">
        <w:rPr>
          <w:rFonts w:cs="Times New Roman"/>
          <w:szCs w:val="24"/>
        </w:rPr>
        <w:t>,</w:t>
      </w:r>
    </w:p>
    <w:p w14:paraId="6FD1C4BE" w14:textId="0222B1B0" w:rsidR="00F6441B" w:rsidRPr="00F50C10" w:rsidRDefault="00F6441B" w:rsidP="00A654AE">
      <w:pPr>
        <w:pStyle w:val="ListeParagraf"/>
        <w:numPr>
          <w:ilvl w:val="0"/>
          <w:numId w:val="82"/>
        </w:numPr>
        <w:spacing w:before="120" w:after="60" w:line="276" w:lineRule="auto"/>
        <w:rPr>
          <w:rFonts w:cs="Times New Roman"/>
          <w:bCs/>
          <w:szCs w:val="24"/>
        </w:rPr>
      </w:pPr>
      <w:r w:rsidRPr="00F50C10">
        <w:rPr>
          <w:rFonts w:cs="Times New Roman"/>
          <w:szCs w:val="24"/>
        </w:rPr>
        <w:t>granülasyon geri dönüşümü kontrolü için çevrim içi ürün boyutu dağılımının uygulanması</w:t>
      </w:r>
      <w:r w:rsidR="00F129EE" w:rsidRPr="00F50C10">
        <w:rPr>
          <w:rFonts w:cs="Times New Roman"/>
          <w:szCs w:val="24"/>
        </w:rPr>
        <w:t>.</w:t>
      </w:r>
    </w:p>
    <w:p w14:paraId="5D759E04" w14:textId="47D6597C" w:rsidR="00F6441B" w:rsidRPr="00F50C10" w:rsidRDefault="00F6441B" w:rsidP="000B206D">
      <w:pPr>
        <w:spacing w:line="276" w:lineRule="auto"/>
        <w:rPr>
          <w:rFonts w:cs="Times New Roman"/>
          <w:b/>
          <w:bCs/>
          <w:szCs w:val="24"/>
        </w:rPr>
      </w:pPr>
      <w:r w:rsidRPr="00F50C10">
        <w:rPr>
          <w:rFonts w:cs="Times New Roman"/>
          <w:b/>
          <w:bCs/>
          <w:szCs w:val="24"/>
        </w:rPr>
        <w:t xml:space="preserve">MET 53: </w:t>
      </w:r>
      <w:r w:rsidRPr="00F50C10">
        <w:rPr>
          <w:rFonts w:cs="Times New Roman"/>
          <w:szCs w:val="24"/>
        </w:rPr>
        <w:t>Aşağıda yer alan tekniklerin bir yada birkaçının kullanılması ile fosfat kaya</w:t>
      </w:r>
      <w:r w:rsidR="004D221D" w:rsidRPr="00F50C10">
        <w:rPr>
          <w:rFonts w:cs="Times New Roman"/>
          <w:szCs w:val="24"/>
        </w:rPr>
        <w:t>sı</w:t>
      </w:r>
      <w:r w:rsidRPr="00F50C10">
        <w:rPr>
          <w:rFonts w:cs="Times New Roman"/>
          <w:szCs w:val="24"/>
        </w:rPr>
        <w:t xml:space="preserve"> parçalama işleminden kaynaklanan atık gazlardaki NO</w:t>
      </w:r>
      <w:r w:rsidRPr="00F50C10">
        <w:rPr>
          <w:rFonts w:cs="Times New Roman"/>
          <w:szCs w:val="24"/>
          <w:vertAlign w:val="subscript"/>
        </w:rPr>
        <w:t>x</w:t>
      </w:r>
      <w:r w:rsidRPr="00F50C10">
        <w:rPr>
          <w:rFonts w:cs="Times New Roman"/>
          <w:szCs w:val="24"/>
        </w:rPr>
        <w:t xml:space="preserve"> yükü en aza indirilir:</w:t>
      </w:r>
    </w:p>
    <w:p w14:paraId="043BD600" w14:textId="46B487B5" w:rsidR="00F6441B" w:rsidRPr="00F50C10" w:rsidRDefault="00F6441B" w:rsidP="00A654AE">
      <w:pPr>
        <w:pStyle w:val="ListeParagraf"/>
        <w:numPr>
          <w:ilvl w:val="0"/>
          <w:numId w:val="83"/>
        </w:numPr>
        <w:spacing w:before="120" w:after="60" w:line="276" w:lineRule="auto"/>
        <w:rPr>
          <w:rFonts w:cs="Times New Roman"/>
          <w:bCs/>
          <w:szCs w:val="24"/>
        </w:rPr>
      </w:pPr>
      <w:r w:rsidRPr="00F50C10">
        <w:rPr>
          <w:rFonts w:cs="Times New Roman"/>
          <w:szCs w:val="24"/>
        </w:rPr>
        <w:t>doğru sıcaklık kontrol</w:t>
      </w:r>
      <w:r w:rsidR="004D221D" w:rsidRPr="00F50C10">
        <w:rPr>
          <w:rFonts w:cs="Times New Roman"/>
          <w:szCs w:val="24"/>
        </w:rPr>
        <w:t>ü</w:t>
      </w:r>
      <w:r w:rsidR="00F129EE" w:rsidRPr="00F50C10">
        <w:rPr>
          <w:rFonts w:cs="Times New Roman"/>
          <w:szCs w:val="24"/>
        </w:rPr>
        <w:t>,</w:t>
      </w:r>
    </w:p>
    <w:p w14:paraId="068D699D" w14:textId="2F3EEB4B" w:rsidR="00F6441B" w:rsidRPr="00F50C10" w:rsidRDefault="004D221D" w:rsidP="00A654AE">
      <w:pPr>
        <w:pStyle w:val="ListeParagraf"/>
        <w:numPr>
          <w:ilvl w:val="0"/>
          <w:numId w:val="83"/>
        </w:numPr>
        <w:spacing w:before="120" w:after="60" w:line="276" w:lineRule="auto"/>
        <w:rPr>
          <w:rFonts w:cs="Times New Roman"/>
          <w:bCs/>
          <w:szCs w:val="24"/>
        </w:rPr>
      </w:pPr>
      <w:r w:rsidRPr="00F50C10">
        <w:rPr>
          <w:rFonts w:cs="Times New Roman"/>
          <w:szCs w:val="24"/>
        </w:rPr>
        <w:t>uygun</w:t>
      </w:r>
      <w:r w:rsidR="00F6441B" w:rsidRPr="00F50C10">
        <w:rPr>
          <w:rFonts w:cs="Times New Roman"/>
          <w:szCs w:val="24"/>
        </w:rPr>
        <w:t xml:space="preserve"> kaya/asit oranı</w:t>
      </w:r>
      <w:r w:rsidR="00F129EE" w:rsidRPr="00F50C10">
        <w:rPr>
          <w:rFonts w:cs="Times New Roman"/>
          <w:szCs w:val="24"/>
        </w:rPr>
        <w:t>,</w:t>
      </w:r>
    </w:p>
    <w:p w14:paraId="7A195491" w14:textId="7F88C847" w:rsidR="00F6441B" w:rsidRPr="00F50C10" w:rsidRDefault="00F6441B" w:rsidP="00A654AE">
      <w:pPr>
        <w:pStyle w:val="ListeParagraf"/>
        <w:numPr>
          <w:ilvl w:val="0"/>
          <w:numId w:val="83"/>
        </w:numPr>
        <w:spacing w:before="120" w:after="60" w:line="276" w:lineRule="auto"/>
        <w:rPr>
          <w:rFonts w:cs="Times New Roman"/>
          <w:bCs/>
          <w:szCs w:val="24"/>
        </w:rPr>
      </w:pPr>
      <w:r w:rsidRPr="00F50C10">
        <w:rPr>
          <w:rFonts w:cs="Times New Roman"/>
          <w:szCs w:val="24"/>
        </w:rPr>
        <w:t>fosfat kaya</w:t>
      </w:r>
      <w:r w:rsidR="004D221D" w:rsidRPr="00F50C10">
        <w:rPr>
          <w:rFonts w:cs="Times New Roman"/>
          <w:szCs w:val="24"/>
        </w:rPr>
        <w:t>sı</w:t>
      </w:r>
      <w:r w:rsidRPr="00F50C10">
        <w:rPr>
          <w:rFonts w:cs="Times New Roman"/>
          <w:szCs w:val="24"/>
        </w:rPr>
        <w:t xml:space="preserve"> seçimi</w:t>
      </w:r>
      <w:r w:rsidR="00F129EE" w:rsidRPr="00F50C10">
        <w:rPr>
          <w:rFonts w:cs="Times New Roman"/>
          <w:szCs w:val="24"/>
        </w:rPr>
        <w:t>,</w:t>
      </w:r>
    </w:p>
    <w:p w14:paraId="38CE4925" w14:textId="77777777" w:rsidR="00F6441B" w:rsidRPr="00F50C10" w:rsidRDefault="00F6441B" w:rsidP="00A654AE">
      <w:pPr>
        <w:pStyle w:val="ListeParagraf"/>
        <w:numPr>
          <w:ilvl w:val="0"/>
          <w:numId w:val="83"/>
        </w:numPr>
        <w:spacing w:before="120" w:after="60" w:line="276" w:lineRule="auto"/>
        <w:rPr>
          <w:rFonts w:cs="Times New Roman"/>
          <w:bCs/>
          <w:szCs w:val="24"/>
        </w:rPr>
      </w:pPr>
      <w:r w:rsidRPr="00F50C10">
        <w:rPr>
          <w:rFonts w:cs="Times New Roman"/>
          <w:szCs w:val="24"/>
        </w:rPr>
        <w:t>ilgili diğer proses parametrelerinin kontrol edilmesi.</w:t>
      </w:r>
    </w:p>
    <w:p w14:paraId="5CD8DDB1" w14:textId="0890B86B" w:rsidR="00F6441B" w:rsidRPr="00F50C10" w:rsidRDefault="00F6441B" w:rsidP="000B206D">
      <w:pPr>
        <w:spacing w:after="120" w:line="276" w:lineRule="auto"/>
        <w:rPr>
          <w:rFonts w:cs="Times New Roman"/>
          <w:b/>
          <w:bCs/>
          <w:szCs w:val="24"/>
        </w:rPr>
      </w:pPr>
      <w:r w:rsidRPr="00F50C10">
        <w:rPr>
          <w:rFonts w:cs="Times New Roman"/>
          <w:b/>
          <w:bCs/>
          <w:szCs w:val="24"/>
        </w:rPr>
        <w:t>MET 54:</w:t>
      </w:r>
      <w:r w:rsidRPr="00F50C10">
        <w:rPr>
          <w:rFonts w:cs="Times New Roman"/>
          <w:szCs w:val="24"/>
        </w:rPr>
        <w:t xml:space="preserve"> </w:t>
      </w:r>
      <w:r w:rsidR="004D221D" w:rsidRPr="00F50C10">
        <w:rPr>
          <w:rFonts w:cs="Times New Roman"/>
          <w:szCs w:val="24"/>
        </w:rPr>
        <w:t>Tablo 9’daki e</w:t>
      </w:r>
      <w:r w:rsidRPr="00F50C10">
        <w:rPr>
          <w:rFonts w:cs="Times New Roman"/>
          <w:szCs w:val="24"/>
        </w:rPr>
        <w:t xml:space="preserve">misyon seviyelerine ulaşmak </w:t>
      </w:r>
      <w:r w:rsidR="004D221D" w:rsidRPr="00F50C10">
        <w:rPr>
          <w:rFonts w:cs="Times New Roman"/>
          <w:szCs w:val="24"/>
        </w:rPr>
        <w:t>amacıyla</w:t>
      </w:r>
      <w:r w:rsidR="00212153" w:rsidRPr="00F50C10">
        <w:rPr>
          <w:rFonts w:cs="Times New Roman"/>
          <w:szCs w:val="24"/>
        </w:rPr>
        <w:t>,</w:t>
      </w:r>
      <w:r w:rsidRPr="00F50C10">
        <w:rPr>
          <w:rFonts w:cs="Times New Roman"/>
          <w:szCs w:val="24"/>
        </w:rPr>
        <w:t xml:space="preserve"> CNTH filteleme, kum yıkama ve fosfat kaya</w:t>
      </w:r>
      <w:r w:rsidR="004D221D" w:rsidRPr="00F50C10">
        <w:rPr>
          <w:rFonts w:cs="Times New Roman"/>
          <w:szCs w:val="24"/>
        </w:rPr>
        <w:t>sı</w:t>
      </w:r>
      <w:r w:rsidRPr="00F50C10">
        <w:rPr>
          <w:rFonts w:cs="Times New Roman"/>
          <w:szCs w:val="24"/>
        </w:rPr>
        <w:t xml:space="preserve"> </w:t>
      </w:r>
      <w:r w:rsidR="00212153" w:rsidRPr="00F50C10">
        <w:rPr>
          <w:rFonts w:cs="Times New Roman"/>
          <w:szCs w:val="24"/>
        </w:rPr>
        <w:t>çürütme</w:t>
      </w:r>
      <w:r w:rsidRPr="00F50C10">
        <w:rPr>
          <w:rFonts w:cs="Times New Roman"/>
          <w:szCs w:val="24"/>
        </w:rPr>
        <w:t xml:space="preserve"> işlemlerinden kaynaklanan hava </w:t>
      </w:r>
      <w:r w:rsidR="00212153" w:rsidRPr="00F50C10">
        <w:rPr>
          <w:rFonts w:cs="Times New Roman"/>
          <w:szCs w:val="24"/>
        </w:rPr>
        <w:t>emisyonları</w:t>
      </w:r>
      <w:r w:rsidRPr="00F50C10">
        <w:rPr>
          <w:rFonts w:cs="Times New Roman"/>
          <w:szCs w:val="24"/>
        </w:rPr>
        <w:t xml:space="preserve"> çok aşamalı </w:t>
      </w:r>
      <w:r w:rsidR="00212153" w:rsidRPr="00F50C10">
        <w:rPr>
          <w:rFonts w:cs="Times New Roman"/>
          <w:szCs w:val="24"/>
        </w:rPr>
        <w:t>yıkama</w:t>
      </w:r>
      <w:r w:rsidRPr="00F50C10">
        <w:rPr>
          <w:rFonts w:cs="Times New Roman"/>
          <w:szCs w:val="24"/>
        </w:rPr>
        <w:t xml:space="preserve"> işlemlerinin uygulanması </w:t>
      </w:r>
      <w:r w:rsidR="00212153" w:rsidRPr="00F50C10">
        <w:rPr>
          <w:rFonts w:cs="Times New Roman"/>
          <w:szCs w:val="24"/>
        </w:rPr>
        <w:t>ile</w:t>
      </w:r>
      <w:r w:rsidRPr="00F50C10">
        <w:rPr>
          <w:rFonts w:cs="Times New Roman"/>
          <w:szCs w:val="24"/>
        </w:rPr>
        <w:t xml:space="preserve"> azaltıl</w:t>
      </w:r>
      <w:r w:rsidR="00314D07" w:rsidRPr="00F50C10">
        <w:rPr>
          <w:rFonts w:cs="Times New Roman"/>
          <w:szCs w:val="24"/>
        </w:rPr>
        <w:t>ı</w:t>
      </w:r>
      <w:r w:rsidRPr="00F50C10">
        <w:rPr>
          <w:rFonts w:cs="Times New Roman"/>
          <w:szCs w:val="24"/>
        </w:rPr>
        <w:t>r</w:t>
      </w:r>
      <w:r w:rsidR="00F129EE" w:rsidRPr="00F50C10">
        <w:rPr>
          <w:rFonts w:cs="Times New Roman"/>
          <w:szCs w:val="24"/>
        </w:rPr>
        <w:t>.</w:t>
      </w:r>
    </w:p>
    <w:p w14:paraId="06BDB38F" w14:textId="243400F0" w:rsidR="00F6441B" w:rsidRPr="00F50C10" w:rsidRDefault="00F6441B" w:rsidP="000B206D">
      <w:pPr>
        <w:spacing w:after="120" w:line="276" w:lineRule="auto"/>
        <w:rPr>
          <w:rFonts w:cs="Times New Roman"/>
          <w:b/>
          <w:szCs w:val="24"/>
        </w:rPr>
      </w:pPr>
      <w:r w:rsidRPr="00F50C10">
        <w:rPr>
          <w:rFonts w:cs="Times New Roman"/>
          <w:b/>
          <w:bCs/>
          <w:szCs w:val="24"/>
        </w:rPr>
        <w:t xml:space="preserve">MET 55:  </w:t>
      </w:r>
      <w:r w:rsidR="00212153" w:rsidRPr="00F50C10">
        <w:rPr>
          <w:rFonts w:cs="Times New Roman"/>
          <w:szCs w:val="24"/>
        </w:rPr>
        <w:t>Tablo 9’daki g</w:t>
      </w:r>
      <w:r w:rsidRPr="00F50C10">
        <w:rPr>
          <w:rFonts w:cs="Times New Roman"/>
          <w:szCs w:val="24"/>
        </w:rPr>
        <w:t>ider</w:t>
      </w:r>
      <w:r w:rsidR="00212153" w:rsidRPr="00F50C10">
        <w:rPr>
          <w:rFonts w:cs="Times New Roman"/>
          <w:szCs w:val="24"/>
        </w:rPr>
        <w:t>im</w:t>
      </w:r>
      <w:r w:rsidRPr="00F50C10">
        <w:rPr>
          <w:rFonts w:cs="Times New Roman"/>
          <w:szCs w:val="24"/>
        </w:rPr>
        <w:t xml:space="preserve"> verimliliğini elde edebilmek ve </w:t>
      </w:r>
      <w:r w:rsidR="00212153" w:rsidRPr="00F50C10">
        <w:rPr>
          <w:rFonts w:cs="Times New Roman"/>
          <w:szCs w:val="24"/>
        </w:rPr>
        <w:t>emisyon</w:t>
      </w:r>
      <w:r w:rsidRPr="00F50C10">
        <w:rPr>
          <w:rFonts w:cs="Times New Roman"/>
          <w:szCs w:val="24"/>
        </w:rPr>
        <w:t xml:space="preserve"> seviyelerine ulaşmak </w:t>
      </w:r>
      <w:r w:rsidR="00212153" w:rsidRPr="00F50C10">
        <w:rPr>
          <w:rFonts w:cs="Times New Roman"/>
          <w:szCs w:val="24"/>
        </w:rPr>
        <w:t>amacıyla</w:t>
      </w:r>
      <w:r w:rsidRPr="00F50C10">
        <w:rPr>
          <w:rFonts w:cs="Times New Roman"/>
          <w:szCs w:val="24"/>
        </w:rPr>
        <w:t xml:space="preserve"> aşağıdaki tekniklerin uygulanması</w:t>
      </w:r>
      <w:r w:rsidR="00212153" w:rsidRPr="00F50C10">
        <w:rPr>
          <w:rFonts w:cs="Times New Roman"/>
          <w:szCs w:val="24"/>
        </w:rPr>
        <w:t xml:space="preserve"> ile</w:t>
      </w:r>
      <w:r w:rsidRPr="00F50C10">
        <w:rPr>
          <w:rFonts w:cs="Times New Roman"/>
          <w:szCs w:val="24"/>
        </w:rPr>
        <w:t xml:space="preserve"> kaplama, kurutma, granülasyon ve </w:t>
      </w:r>
      <w:r w:rsidR="00212153" w:rsidRPr="00F50C10">
        <w:rPr>
          <w:rFonts w:cs="Times New Roman"/>
          <w:szCs w:val="24"/>
        </w:rPr>
        <w:t>nötralizasyon</w:t>
      </w:r>
      <w:r w:rsidRPr="00F50C10">
        <w:rPr>
          <w:rFonts w:cs="Times New Roman"/>
          <w:szCs w:val="24"/>
        </w:rPr>
        <w:t xml:space="preserve"> işlemleri sonucunda ortaya çıkan emisyon seviyeleri azaltılır:</w:t>
      </w:r>
    </w:p>
    <w:p w14:paraId="369E29C6" w14:textId="503DD984" w:rsidR="00F6441B" w:rsidRPr="00F50C10" w:rsidRDefault="00F6441B" w:rsidP="00A654AE">
      <w:pPr>
        <w:pStyle w:val="ListeParagraf"/>
        <w:numPr>
          <w:ilvl w:val="0"/>
          <w:numId w:val="84"/>
        </w:numPr>
        <w:spacing w:after="120" w:line="276" w:lineRule="auto"/>
        <w:rPr>
          <w:rFonts w:cs="Times New Roman"/>
          <w:szCs w:val="24"/>
        </w:rPr>
      </w:pPr>
      <w:r w:rsidRPr="00F50C10">
        <w:rPr>
          <w:rFonts w:cs="Times New Roman"/>
          <w:szCs w:val="24"/>
        </w:rPr>
        <w:t xml:space="preserve">toz giderme, </w:t>
      </w:r>
      <w:r w:rsidR="00212153" w:rsidRPr="00F50C10">
        <w:rPr>
          <w:rFonts w:cs="Times New Roman"/>
          <w:szCs w:val="24"/>
        </w:rPr>
        <w:t xml:space="preserve">örneğin </w:t>
      </w:r>
      <w:r w:rsidRPr="00F50C10">
        <w:rPr>
          <w:rFonts w:cs="Times New Roman"/>
          <w:szCs w:val="24"/>
        </w:rPr>
        <w:t xml:space="preserve">siklonlar ve/veya </w:t>
      </w:r>
      <w:r w:rsidR="009A2327" w:rsidRPr="00F50C10">
        <w:rPr>
          <w:rFonts w:cs="Times New Roman"/>
          <w:szCs w:val="24"/>
        </w:rPr>
        <w:t>bez</w:t>
      </w:r>
      <w:r w:rsidRPr="00F50C10">
        <w:rPr>
          <w:rFonts w:cs="Times New Roman"/>
          <w:szCs w:val="24"/>
        </w:rPr>
        <w:t xml:space="preserve"> filtreler</w:t>
      </w:r>
      <w:r w:rsidR="00314D07" w:rsidRPr="00F50C10">
        <w:rPr>
          <w:rFonts w:cs="Times New Roman"/>
          <w:szCs w:val="24"/>
        </w:rPr>
        <w:t>,</w:t>
      </w:r>
    </w:p>
    <w:p w14:paraId="6CB56CF0" w14:textId="2B313A24" w:rsidR="00F6441B" w:rsidRPr="00F50C10" w:rsidRDefault="00212153" w:rsidP="00A654AE">
      <w:pPr>
        <w:pStyle w:val="ListeParagraf"/>
        <w:numPr>
          <w:ilvl w:val="0"/>
          <w:numId w:val="84"/>
        </w:numPr>
        <w:spacing w:after="120" w:line="276" w:lineRule="auto"/>
        <w:rPr>
          <w:rFonts w:cs="Times New Roman"/>
          <w:szCs w:val="24"/>
        </w:rPr>
      </w:pPr>
      <w:r w:rsidRPr="00F50C10">
        <w:rPr>
          <w:rFonts w:cs="Times New Roman"/>
          <w:szCs w:val="24"/>
        </w:rPr>
        <w:t>ıslak</w:t>
      </w:r>
      <w:r w:rsidR="00F6441B" w:rsidRPr="00F50C10">
        <w:rPr>
          <w:rFonts w:cs="Times New Roman"/>
          <w:szCs w:val="24"/>
        </w:rPr>
        <w:t xml:space="preserve"> yıkama, örneğin kombine yıkama</w:t>
      </w:r>
      <w:r w:rsidR="00314D07" w:rsidRPr="00F50C10">
        <w:rPr>
          <w:rFonts w:cs="Times New Roman"/>
          <w:szCs w:val="24"/>
        </w:rPr>
        <w:t>.</w:t>
      </w:r>
    </w:p>
    <w:p w14:paraId="0721357E" w14:textId="54095463" w:rsidR="00F6441B" w:rsidRPr="00F50C10" w:rsidRDefault="004D221D" w:rsidP="000B206D">
      <w:pPr>
        <w:pStyle w:val="ResimYazs"/>
        <w:keepNext/>
        <w:spacing w:after="120" w:line="276" w:lineRule="auto"/>
        <w:rPr>
          <w:rFonts w:cs="Times New Roman"/>
          <w:szCs w:val="24"/>
          <w:lang w:val="tr-TR"/>
        </w:rPr>
      </w:pPr>
      <w:r w:rsidRPr="00F50C10">
        <w:rPr>
          <w:rFonts w:cs="Times New Roman"/>
          <w:szCs w:val="24"/>
          <w:lang w:val="tr-TR"/>
        </w:rPr>
        <w:t xml:space="preserve">Tablo 9. </w:t>
      </w:r>
      <w:r w:rsidR="00F6441B" w:rsidRPr="00F50C10">
        <w:rPr>
          <w:rFonts w:cs="Times New Roman"/>
          <w:szCs w:val="24"/>
          <w:lang w:val="tr-TR"/>
        </w:rPr>
        <w:t>MET uygulanması ile ilişkili havaya salınan emisyon seviyeleri</w:t>
      </w:r>
    </w:p>
    <w:tbl>
      <w:tblPr>
        <w:tblStyle w:val="TabloKlavuzu"/>
        <w:tblW w:w="5000" w:type="pct"/>
        <w:tblLook w:val="04A0" w:firstRow="1" w:lastRow="0" w:firstColumn="1" w:lastColumn="0" w:noHBand="0" w:noVBand="1"/>
      </w:tblPr>
      <w:tblGrid>
        <w:gridCol w:w="2440"/>
        <w:gridCol w:w="2290"/>
        <w:gridCol w:w="2290"/>
        <w:gridCol w:w="2290"/>
      </w:tblGrid>
      <w:tr w:rsidR="00F6441B" w:rsidRPr="00F50C10" w14:paraId="1C9E2156" w14:textId="77777777" w:rsidTr="00116C54">
        <w:trPr>
          <w:trHeight w:val="20"/>
        </w:trPr>
        <w:tc>
          <w:tcPr>
            <w:tcW w:w="1310" w:type="pct"/>
            <w:vAlign w:val="center"/>
          </w:tcPr>
          <w:p w14:paraId="200DD175" w14:textId="77777777" w:rsidR="00F6441B" w:rsidRPr="00F50C10" w:rsidRDefault="00F6441B" w:rsidP="000B206D">
            <w:pPr>
              <w:spacing w:line="276" w:lineRule="auto"/>
              <w:ind w:left="72" w:right="72"/>
              <w:jc w:val="left"/>
              <w:rPr>
                <w:rFonts w:cs="Times New Roman"/>
                <w:szCs w:val="24"/>
              </w:rPr>
            </w:pPr>
          </w:p>
        </w:tc>
        <w:tc>
          <w:tcPr>
            <w:tcW w:w="1230" w:type="pct"/>
            <w:vAlign w:val="center"/>
          </w:tcPr>
          <w:p w14:paraId="4D292F33" w14:textId="77777777" w:rsidR="00F6441B" w:rsidRPr="00F50C10" w:rsidRDefault="00F6441B" w:rsidP="000B206D">
            <w:pPr>
              <w:spacing w:line="276" w:lineRule="auto"/>
              <w:ind w:left="72" w:right="72"/>
              <w:jc w:val="center"/>
              <w:rPr>
                <w:rFonts w:cs="Times New Roman"/>
                <w:b/>
                <w:szCs w:val="24"/>
              </w:rPr>
            </w:pPr>
            <w:r w:rsidRPr="00F50C10">
              <w:rPr>
                <w:rFonts w:cs="Times New Roman"/>
                <w:b/>
                <w:szCs w:val="24"/>
              </w:rPr>
              <w:t>Parametre</w:t>
            </w:r>
          </w:p>
        </w:tc>
        <w:tc>
          <w:tcPr>
            <w:tcW w:w="1230" w:type="pct"/>
            <w:vAlign w:val="center"/>
          </w:tcPr>
          <w:p w14:paraId="40048C1F" w14:textId="77777777" w:rsidR="00F6441B" w:rsidRPr="00F50C10" w:rsidRDefault="00F6441B" w:rsidP="000B206D">
            <w:pPr>
              <w:spacing w:line="276" w:lineRule="auto"/>
              <w:ind w:left="72" w:right="72"/>
              <w:jc w:val="center"/>
              <w:rPr>
                <w:rFonts w:cs="Times New Roman"/>
                <w:b/>
                <w:szCs w:val="24"/>
              </w:rPr>
            </w:pPr>
            <w:r w:rsidRPr="00F50C10">
              <w:rPr>
                <w:rFonts w:cs="Times New Roman"/>
                <w:b/>
                <w:szCs w:val="24"/>
              </w:rPr>
              <w:t>Seviye mg/Nm3</w:t>
            </w:r>
          </w:p>
        </w:tc>
        <w:tc>
          <w:tcPr>
            <w:tcW w:w="1230" w:type="pct"/>
            <w:vAlign w:val="center"/>
          </w:tcPr>
          <w:p w14:paraId="09805DE0" w14:textId="1A67D156" w:rsidR="00F6441B" w:rsidRPr="00F50C10" w:rsidRDefault="00F6441B" w:rsidP="000B206D">
            <w:pPr>
              <w:spacing w:line="276" w:lineRule="auto"/>
              <w:ind w:left="72" w:right="72"/>
              <w:jc w:val="center"/>
              <w:rPr>
                <w:rFonts w:cs="Times New Roman"/>
                <w:b/>
                <w:szCs w:val="24"/>
              </w:rPr>
            </w:pPr>
            <w:r w:rsidRPr="00F50C10">
              <w:rPr>
                <w:rFonts w:cs="Times New Roman"/>
                <w:b/>
                <w:spacing w:val="-2"/>
                <w:szCs w:val="24"/>
              </w:rPr>
              <w:t>Gider</w:t>
            </w:r>
            <w:r w:rsidR="00212153" w:rsidRPr="00F50C10">
              <w:rPr>
                <w:rFonts w:cs="Times New Roman"/>
                <w:b/>
                <w:spacing w:val="-2"/>
                <w:szCs w:val="24"/>
              </w:rPr>
              <w:t>im</w:t>
            </w:r>
            <w:r w:rsidRPr="00F50C10">
              <w:rPr>
                <w:rFonts w:cs="Times New Roman"/>
                <w:b/>
                <w:spacing w:val="-2"/>
                <w:szCs w:val="24"/>
              </w:rPr>
              <w:t xml:space="preserve"> </w:t>
            </w:r>
            <w:r w:rsidRPr="00F50C10">
              <w:rPr>
                <w:rFonts w:cs="Times New Roman"/>
                <w:b/>
                <w:szCs w:val="24"/>
              </w:rPr>
              <w:t>verimliliği</w:t>
            </w:r>
            <w:r w:rsidRPr="00F50C10">
              <w:rPr>
                <w:rFonts w:cs="Times New Roman"/>
                <w:b/>
                <w:spacing w:val="-8"/>
                <w:szCs w:val="24"/>
              </w:rPr>
              <w:t xml:space="preserve"> </w:t>
            </w:r>
            <w:r w:rsidRPr="00F50C10">
              <w:rPr>
                <w:rFonts w:cs="Times New Roman"/>
                <w:b/>
                <w:spacing w:val="-10"/>
                <w:szCs w:val="24"/>
              </w:rPr>
              <w:t>%</w:t>
            </w:r>
          </w:p>
        </w:tc>
      </w:tr>
      <w:tr w:rsidR="00F6441B" w:rsidRPr="00F50C10" w14:paraId="28293D64" w14:textId="77777777" w:rsidTr="00116C54">
        <w:trPr>
          <w:trHeight w:val="20"/>
        </w:trPr>
        <w:tc>
          <w:tcPr>
            <w:tcW w:w="1310" w:type="pct"/>
            <w:vMerge w:val="restart"/>
            <w:vAlign w:val="center"/>
          </w:tcPr>
          <w:p w14:paraId="7971943D" w14:textId="38E451C0" w:rsidR="00F6441B" w:rsidRPr="00F50C10" w:rsidRDefault="00F6441B" w:rsidP="000B206D">
            <w:pPr>
              <w:spacing w:line="276" w:lineRule="auto"/>
              <w:ind w:left="72" w:right="72"/>
              <w:rPr>
                <w:rFonts w:cs="Times New Roman"/>
                <w:b/>
                <w:szCs w:val="24"/>
              </w:rPr>
            </w:pPr>
            <w:r w:rsidRPr="00F50C10">
              <w:rPr>
                <w:rFonts w:cs="Times New Roman"/>
                <w:b/>
                <w:szCs w:val="24"/>
              </w:rPr>
              <w:t>Fosfat kaya</w:t>
            </w:r>
            <w:r w:rsidR="004D221D" w:rsidRPr="00F50C10">
              <w:rPr>
                <w:rFonts w:cs="Times New Roman"/>
                <w:b/>
                <w:szCs w:val="24"/>
              </w:rPr>
              <w:t>sı</w:t>
            </w:r>
            <w:r w:rsidRPr="00F50C10">
              <w:rPr>
                <w:rFonts w:cs="Times New Roman"/>
                <w:b/>
                <w:szCs w:val="24"/>
              </w:rPr>
              <w:t xml:space="preserve"> parçalama, kum yıkama, CNTH filtreleme</w:t>
            </w:r>
          </w:p>
        </w:tc>
        <w:tc>
          <w:tcPr>
            <w:tcW w:w="1230" w:type="pct"/>
            <w:vAlign w:val="center"/>
          </w:tcPr>
          <w:p w14:paraId="1550EA9D"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NO</w:t>
            </w:r>
            <w:r w:rsidRPr="00F50C10">
              <w:rPr>
                <w:rFonts w:cs="Times New Roman"/>
                <w:szCs w:val="24"/>
                <w:vertAlign w:val="subscript"/>
              </w:rPr>
              <w:t xml:space="preserve">2 </w:t>
            </w:r>
            <w:r w:rsidRPr="00F50C10">
              <w:rPr>
                <w:rFonts w:cs="Times New Roman"/>
                <w:szCs w:val="24"/>
              </w:rPr>
              <w:t>olarak NO</w:t>
            </w:r>
            <w:r w:rsidRPr="00F50C10">
              <w:rPr>
                <w:rFonts w:cs="Times New Roman"/>
                <w:szCs w:val="24"/>
                <w:vertAlign w:val="subscript"/>
              </w:rPr>
              <w:t>x</w:t>
            </w:r>
          </w:p>
        </w:tc>
        <w:tc>
          <w:tcPr>
            <w:tcW w:w="1230" w:type="pct"/>
            <w:vAlign w:val="center"/>
          </w:tcPr>
          <w:p w14:paraId="5C4545A7"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100 – 425</w:t>
            </w:r>
          </w:p>
        </w:tc>
        <w:tc>
          <w:tcPr>
            <w:tcW w:w="1230" w:type="pct"/>
            <w:vAlign w:val="center"/>
          </w:tcPr>
          <w:p w14:paraId="688DEF7B" w14:textId="77777777" w:rsidR="00F6441B" w:rsidRPr="00F50C10" w:rsidRDefault="00F6441B" w:rsidP="000B206D">
            <w:pPr>
              <w:spacing w:line="276" w:lineRule="auto"/>
              <w:ind w:left="72" w:right="72"/>
              <w:jc w:val="center"/>
              <w:rPr>
                <w:rFonts w:cs="Times New Roman"/>
                <w:szCs w:val="24"/>
              </w:rPr>
            </w:pPr>
          </w:p>
        </w:tc>
      </w:tr>
      <w:tr w:rsidR="00F6441B" w:rsidRPr="00F50C10" w14:paraId="4B42F9C5" w14:textId="77777777" w:rsidTr="00116C54">
        <w:trPr>
          <w:trHeight w:val="20"/>
        </w:trPr>
        <w:tc>
          <w:tcPr>
            <w:tcW w:w="1310" w:type="pct"/>
            <w:vMerge/>
            <w:vAlign w:val="center"/>
          </w:tcPr>
          <w:p w14:paraId="5124FAE5" w14:textId="77777777" w:rsidR="00F6441B" w:rsidRPr="00F50C10" w:rsidRDefault="00F6441B" w:rsidP="000B206D">
            <w:pPr>
              <w:spacing w:line="276" w:lineRule="auto"/>
              <w:ind w:left="72" w:right="72"/>
              <w:rPr>
                <w:rFonts w:cs="Times New Roman"/>
                <w:b/>
                <w:szCs w:val="24"/>
              </w:rPr>
            </w:pPr>
          </w:p>
        </w:tc>
        <w:tc>
          <w:tcPr>
            <w:tcW w:w="1230" w:type="pct"/>
            <w:vAlign w:val="center"/>
          </w:tcPr>
          <w:p w14:paraId="12BA0DAB" w14:textId="6F6DC672" w:rsidR="00F6441B" w:rsidRPr="00F50C10" w:rsidRDefault="00F6441B" w:rsidP="000B206D">
            <w:pPr>
              <w:spacing w:line="276" w:lineRule="auto"/>
              <w:ind w:left="72" w:right="72"/>
              <w:jc w:val="center"/>
              <w:rPr>
                <w:rFonts w:cs="Times New Roman"/>
                <w:szCs w:val="24"/>
              </w:rPr>
            </w:pPr>
            <w:r w:rsidRPr="00F50C10">
              <w:rPr>
                <w:rFonts w:cs="Times New Roman"/>
                <w:szCs w:val="24"/>
              </w:rPr>
              <w:t xml:space="preserve">HF olarak </w:t>
            </w:r>
            <w:r w:rsidR="00E2071B" w:rsidRPr="00F50C10">
              <w:rPr>
                <w:rFonts w:cs="Times New Roman"/>
                <w:szCs w:val="24"/>
              </w:rPr>
              <w:t>florür</w:t>
            </w:r>
          </w:p>
        </w:tc>
        <w:tc>
          <w:tcPr>
            <w:tcW w:w="1230" w:type="pct"/>
            <w:vAlign w:val="center"/>
          </w:tcPr>
          <w:p w14:paraId="06AB10DF"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0,3 – 5</w:t>
            </w:r>
          </w:p>
        </w:tc>
        <w:tc>
          <w:tcPr>
            <w:tcW w:w="1230" w:type="pct"/>
            <w:vAlign w:val="center"/>
          </w:tcPr>
          <w:p w14:paraId="6BB2F3E1" w14:textId="77777777" w:rsidR="00F6441B" w:rsidRPr="00F50C10" w:rsidRDefault="00F6441B" w:rsidP="000B206D">
            <w:pPr>
              <w:spacing w:line="276" w:lineRule="auto"/>
              <w:ind w:left="72" w:right="72"/>
              <w:jc w:val="center"/>
              <w:rPr>
                <w:rFonts w:cs="Times New Roman"/>
                <w:szCs w:val="24"/>
              </w:rPr>
            </w:pPr>
          </w:p>
        </w:tc>
      </w:tr>
      <w:tr w:rsidR="00F6441B" w:rsidRPr="00F50C10" w14:paraId="401A9C50" w14:textId="77777777" w:rsidTr="00116C54">
        <w:trPr>
          <w:trHeight w:val="20"/>
        </w:trPr>
        <w:tc>
          <w:tcPr>
            <w:tcW w:w="1310" w:type="pct"/>
            <w:vMerge w:val="restart"/>
            <w:vAlign w:val="center"/>
          </w:tcPr>
          <w:p w14:paraId="6374DE4B" w14:textId="77777777" w:rsidR="00F6441B" w:rsidRPr="00F50C10" w:rsidRDefault="00F6441B" w:rsidP="000B206D">
            <w:pPr>
              <w:spacing w:line="276" w:lineRule="auto"/>
              <w:ind w:left="72" w:right="72"/>
              <w:rPr>
                <w:rFonts w:cs="Times New Roman"/>
                <w:b/>
                <w:szCs w:val="24"/>
              </w:rPr>
            </w:pPr>
            <w:r w:rsidRPr="00F50C10">
              <w:rPr>
                <w:rFonts w:cs="Times New Roman"/>
                <w:b/>
                <w:szCs w:val="24"/>
              </w:rPr>
              <w:t>Nötürleştirme, granülasyon, kurulama, kaplama, soğutma</w:t>
            </w:r>
          </w:p>
        </w:tc>
        <w:tc>
          <w:tcPr>
            <w:tcW w:w="1230" w:type="pct"/>
            <w:vAlign w:val="center"/>
          </w:tcPr>
          <w:p w14:paraId="1580DA63"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NH</w:t>
            </w:r>
            <w:r w:rsidRPr="00F50C10">
              <w:rPr>
                <w:rFonts w:cs="Times New Roman"/>
                <w:szCs w:val="24"/>
                <w:vertAlign w:val="subscript"/>
              </w:rPr>
              <w:t>3</w:t>
            </w:r>
          </w:p>
        </w:tc>
        <w:tc>
          <w:tcPr>
            <w:tcW w:w="1230" w:type="pct"/>
            <w:vAlign w:val="center"/>
          </w:tcPr>
          <w:p w14:paraId="0B46B41A"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5 – 30*</w:t>
            </w:r>
          </w:p>
        </w:tc>
        <w:tc>
          <w:tcPr>
            <w:tcW w:w="1230" w:type="pct"/>
            <w:vAlign w:val="center"/>
          </w:tcPr>
          <w:p w14:paraId="3277FC66" w14:textId="77777777" w:rsidR="00F6441B" w:rsidRPr="00F50C10" w:rsidRDefault="00F6441B" w:rsidP="000B206D">
            <w:pPr>
              <w:spacing w:line="276" w:lineRule="auto"/>
              <w:ind w:left="72" w:right="72"/>
              <w:jc w:val="center"/>
              <w:rPr>
                <w:rFonts w:cs="Times New Roman"/>
                <w:szCs w:val="24"/>
              </w:rPr>
            </w:pPr>
          </w:p>
        </w:tc>
      </w:tr>
      <w:tr w:rsidR="00F6441B" w:rsidRPr="00F50C10" w14:paraId="30153A36" w14:textId="77777777" w:rsidTr="00116C54">
        <w:trPr>
          <w:trHeight w:val="20"/>
        </w:trPr>
        <w:tc>
          <w:tcPr>
            <w:tcW w:w="1310" w:type="pct"/>
            <w:vMerge/>
            <w:vAlign w:val="center"/>
          </w:tcPr>
          <w:p w14:paraId="57EB78EF" w14:textId="77777777" w:rsidR="00F6441B" w:rsidRPr="00F50C10" w:rsidRDefault="00F6441B" w:rsidP="000B206D">
            <w:pPr>
              <w:spacing w:line="276" w:lineRule="auto"/>
              <w:ind w:left="72" w:right="72"/>
              <w:jc w:val="left"/>
              <w:rPr>
                <w:rFonts w:cs="Times New Roman"/>
                <w:szCs w:val="24"/>
              </w:rPr>
            </w:pPr>
          </w:p>
        </w:tc>
        <w:tc>
          <w:tcPr>
            <w:tcW w:w="1230" w:type="pct"/>
            <w:vAlign w:val="center"/>
          </w:tcPr>
          <w:p w14:paraId="7F8B5AC9" w14:textId="5633F895" w:rsidR="00F6441B" w:rsidRPr="00F50C10" w:rsidRDefault="00E2071B" w:rsidP="000B206D">
            <w:pPr>
              <w:spacing w:line="276" w:lineRule="auto"/>
              <w:ind w:left="72" w:right="72"/>
              <w:jc w:val="center"/>
              <w:rPr>
                <w:rFonts w:cs="Times New Roman"/>
                <w:szCs w:val="24"/>
              </w:rPr>
            </w:pPr>
            <w:r w:rsidRPr="00F50C10">
              <w:rPr>
                <w:rFonts w:cs="Times New Roman"/>
                <w:szCs w:val="24"/>
              </w:rPr>
              <w:t>HF olarak florür</w:t>
            </w:r>
          </w:p>
        </w:tc>
        <w:tc>
          <w:tcPr>
            <w:tcW w:w="1230" w:type="pct"/>
            <w:vAlign w:val="center"/>
          </w:tcPr>
          <w:p w14:paraId="2026DBCA"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1 – 5**</w:t>
            </w:r>
          </w:p>
        </w:tc>
        <w:tc>
          <w:tcPr>
            <w:tcW w:w="1230" w:type="pct"/>
            <w:vAlign w:val="center"/>
          </w:tcPr>
          <w:p w14:paraId="0DCA9726" w14:textId="77777777" w:rsidR="00F6441B" w:rsidRPr="00F50C10" w:rsidRDefault="00F6441B" w:rsidP="000B206D">
            <w:pPr>
              <w:spacing w:line="276" w:lineRule="auto"/>
              <w:ind w:left="72" w:right="72"/>
              <w:jc w:val="center"/>
              <w:rPr>
                <w:rFonts w:cs="Times New Roman"/>
                <w:szCs w:val="24"/>
              </w:rPr>
            </w:pPr>
          </w:p>
        </w:tc>
      </w:tr>
      <w:tr w:rsidR="00F6441B" w:rsidRPr="00F50C10" w14:paraId="0CD22C3E" w14:textId="77777777" w:rsidTr="00116C54">
        <w:trPr>
          <w:trHeight w:val="20"/>
        </w:trPr>
        <w:tc>
          <w:tcPr>
            <w:tcW w:w="1310" w:type="pct"/>
            <w:vMerge/>
            <w:vAlign w:val="center"/>
          </w:tcPr>
          <w:p w14:paraId="3967064E" w14:textId="77777777" w:rsidR="00F6441B" w:rsidRPr="00F50C10" w:rsidRDefault="00F6441B" w:rsidP="000B206D">
            <w:pPr>
              <w:spacing w:line="276" w:lineRule="auto"/>
              <w:ind w:left="72" w:right="72"/>
              <w:jc w:val="left"/>
              <w:rPr>
                <w:rFonts w:cs="Times New Roman"/>
                <w:szCs w:val="24"/>
              </w:rPr>
            </w:pPr>
          </w:p>
        </w:tc>
        <w:tc>
          <w:tcPr>
            <w:tcW w:w="1230" w:type="pct"/>
            <w:vAlign w:val="center"/>
          </w:tcPr>
          <w:p w14:paraId="4069AC43"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Toz</w:t>
            </w:r>
          </w:p>
        </w:tc>
        <w:tc>
          <w:tcPr>
            <w:tcW w:w="1230" w:type="pct"/>
            <w:vAlign w:val="center"/>
          </w:tcPr>
          <w:p w14:paraId="31025C95"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10 – 25</w:t>
            </w:r>
          </w:p>
        </w:tc>
        <w:tc>
          <w:tcPr>
            <w:tcW w:w="1230" w:type="pct"/>
            <w:vAlign w:val="center"/>
          </w:tcPr>
          <w:p w14:paraId="42A69C97" w14:textId="77777777" w:rsidR="00F6441B" w:rsidRPr="00F50C10" w:rsidRDefault="00F6441B" w:rsidP="000B206D">
            <w:pPr>
              <w:spacing w:line="276" w:lineRule="auto"/>
              <w:ind w:left="72" w:right="72" w:firstLine="708"/>
              <w:jc w:val="center"/>
              <w:rPr>
                <w:rFonts w:cs="Times New Roman"/>
                <w:szCs w:val="24"/>
              </w:rPr>
            </w:pPr>
            <w:r w:rsidRPr="00F50C10">
              <w:rPr>
                <w:rFonts w:cs="Times New Roman"/>
                <w:szCs w:val="24"/>
              </w:rPr>
              <w:t>&gt;80</w:t>
            </w:r>
          </w:p>
        </w:tc>
      </w:tr>
      <w:tr w:rsidR="00F6441B" w:rsidRPr="00F50C10" w14:paraId="6B2640E9" w14:textId="77777777" w:rsidTr="00116C54">
        <w:trPr>
          <w:trHeight w:val="20"/>
        </w:trPr>
        <w:tc>
          <w:tcPr>
            <w:tcW w:w="1310" w:type="pct"/>
            <w:vMerge/>
            <w:vAlign w:val="center"/>
          </w:tcPr>
          <w:p w14:paraId="75F802C3" w14:textId="77777777" w:rsidR="00F6441B" w:rsidRPr="00F50C10" w:rsidRDefault="00F6441B" w:rsidP="000B206D">
            <w:pPr>
              <w:spacing w:line="276" w:lineRule="auto"/>
              <w:ind w:left="72" w:right="72"/>
              <w:jc w:val="left"/>
              <w:rPr>
                <w:rFonts w:cs="Times New Roman"/>
                <w:szCs w:val="24"/>
              </w:rPr>
            </w:pPr>
          </w:p>
        </w:tc>
        <w:tc>
          <w:tcPr>
            <w:tcW w:w="1230" w:type="pct"/>
            <w:vAlign w:val="center"/>
          </w:tcPr>
          <w:p w14:paraId="468EF48A"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HCl</w:t>
            </w:r>
          </w:p>
        </w:tc>
        <w:tc>
          <w:tcPr>
            <w:tcW w:w="1230" w:type="pct"/>
            <w:vAlign w:val="center"/>
          </w:tcPr>
          <w:p w14:paraId="75483C27"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4 – 23</w:t>
            </w:r>
          </w:p>
        </w:tc>
        <w:tc>
          <w:tcPr>
            <w:tcW w:w="1230" w:type="pct"/>
            <w:vAlign w:val="center"/>
          </w:tcPr>
          <w:p w14:paraId="6F38A531" w14:textId="77777777" w:rsidR="00F6441B" w:rsidRPr="00F50C10" w:rsidRDefault="00F6441B" w:rsidP="000B206D">
            <w:pPr>
              <w:spacing w:line="276" w:lineRule="auto"/>
              <w:ind w:left="72" w:right="72"/>
              <w:jc w:val="center"/>
              <w:rPr>
                <w:rFonts w:cs="Times New Roman"/>
                <w:szCs w:val="24"/>
              </w:rPr>
            </w:pPr>
          </w:p>
        </w:tc>
      </w:tr>
      <w:tr w:rsidR="00F6441B" w:rsidRPr="00F50C10" w14:paraId="18DFE47C" w14:textId="77777777" w:rsidTr="00116C54">
        <w:trPr>
          <w:trHeight w:val="20"/>
        </w:trPr>
        <w:tc>
          <w:tcPr>
            <w:tcW w:w="5000" w:type="pct"/>
            <w:gridSpan w:val="4"/>
            <w:vAlign w:val="center"/>
          </w:tcPr>
          <w:p w14:paraId="35950B14" w14:textId="042DBDC7" w:rsidR="00F6441B" w:rsidRPr="00F50C10" w:rsidRDefault="00F6441B" w:rsidP="000B206D">
            <w:pPr>
              <w:spacing w:line="276" w:lineRule="auto"/>
              <w:ind w:left="72" w:right="72"/>
              <w:rPr>
                <w:rFonts w:cs="Times New Roman"/>
                <w:i/>
                <w:iCs/>
                <w:szCs w:val="24"/>
              </w:rPr>
            </w:pPr>
            <w:r w:rsidRPr="00F50C10">
              <w:rPr>
                <w:rFonts w:cs="Times New Roman"/>
                <w:i/>
                <w:iCs/>
                <w:szCs w:val="24"/>
              </w:rPr>
              <w:t xml:space="preserve">* </w:t>
            </w:r>
            <w:r w:rsidR="00E2071B" w:rsidRPr="00F50C10">
              <w:rPr>
                <w:rFonts w:cs="Times New Roman"/>
                <w:i/>
                <w:iCs/>
                <w:szCs w:val="24"/>
              </w:rPr>
              <w:t>Aralığın</w:t>
            </w:r>
            <w:r w:rsidRPr="00F50C10">
              <w:rPr>
                <w:rFonts w:cs="Times New Roman"/>
                <w:i/>
                <w:iCs/>
                <w:szCs w:val="24"/>
              </w:rPr>
              <w:t xml:space="preserve"> alt kısmına yıkama maddesi olarak nitrik asit</w:t>
            </w:r>
            <w:r w:rsidR="00E2071B" w:rsidRPr="00F50C10">
              <w:rPr>
                <w:rFonts w:cs="Times New Roman"/>
                <w:i/>
                <w:iCs/>
                <w:szCs w:val="24"/>
              </w:rPr>
              <w:t xml:space="preserve"> kullanılarak u</w:t>
            </w:r>
            <w:r w:rsidRPr="00F50C10">
              <w:rPr>
                <w:rFonts w:cs="Times New Roman"/>
                <w:i/>
                <w:iCs/>
                <w:szCs w:val="24"/>
              </w:rPr>
              <w:t xml:space="preserve">laşılmıştır, </w:t>
            </w:r>
            <w:r w:rsidR="00E2071B" w:rsidRPr="00F50C10">
              <w:rPr>
                <w:rFonts w:cs="Times New Roman"/>
                <w:i/>
                <w:iCs/>
                <w:szCs w:val="24"/>
              </w:rPr>
              <w:t>aralığın</w:t>
            </w:r>
            <w:r w:rsidRPr="00F50C10">
              <w:rPr>
                <w:rFonts w:cs="Times New Roman"/>
                <w:i/>
                <w:iCs/>
                <w:szCs w:val="24"/>
              </w:rPr>
              <w:t xml:space="preserve"> üst kısmına ise yıkama maddesi olarak diğer asitler </w:t>
            </w:r>
            <w:r w:rsidR="00E2071B" w:rsidRPr="00F50C10">
              <w:rPr>
                <w:rFonts w:cs="Times New Roman"/>
                <w:i/>
                <w:iCs/>
                <w:szCs w:val="24"/>
              </w:rPr>
              <w:t>kullanılarak</w:t>
            </w:r>
            <w:r w:rsidRPr="00F50C10">
              <w:rPr>
                <w:rFonts w:cs="Times New Roman"/>
                <w:i/>
                <w:iCs/>
                <w:szCs w:val="24"/>
              </w:rPr>
              <w:t xml:space="preserve"> ulaşılmıştır. Üretilen gerçek NPK </w:t>
            </w:r>
            <w:r w:rsidR="00E2071B" w:rsidRPr="00F50C10">
              <w:rPr>
                <w:rFonts w:cs="Times New Roman"/>
                <w:i/>
                <w:iCs/>
                <w:szCs w:val="24"/>
              </w:rPr>
              <w:t>sınıfına</w:t>
            </w:r>
            <w:r w:rsidRPr="00F50C10">
              <w:rPr>
                <w:rFonts w:cs="Times New Roman"/>
                <w:i/>
                <w:iCs/>
                <w:szCs w:val="24"/>
              </w:rPr>
              <w:t xml:space="preserve"> bağlı olarak (örn Diamonyum fosfat (DAP)) çok aşamalı yıkama işlemi uygulansa bile yüksek </w:t>
            </w:r>
            <w:r w:rsidR="00E2071B" w:rsidRPr="00F50C10">
              <w:rPr>
                <w:rFonts w:cs="Times New Roman"/>
                <w:i/>
                <w:iCs/>
                <w:szCs w:val="24"/>
              </w:rPr>
              <w:t>emisyon</w:t>
            </w:r>
            <w:r w:rsidRPr="00F50C10">
              <w:rPr>
                <w:rFonts w:cs="Times New Roman"/>
                <w:i/>
                <w:iCs/>
                <w:szCs w:val="24"/>
              </w:rPr>
              <w:t xml:space="preserve"> seviyelerinin oraya çıkması beklenmektedir.</w:t>
            </w:r>
          </w:p>
          <w:p w14:paraId="31D6CF6A" w14:textId="76AAA361" w:rsidR="00F6441B" w:rsidRPr="00F50C10" w:rsidRDefault="00F6441B" w:rsidP="000B206D">
            <w:pPr>
              <w:spacing w:line="276" w:lineRule="auto"/>
              <w:ind w:left="72" w:right="72"/>
              <w:rPr>
                <w:rFonts w:cs="Times New Roman"/>
                <w:szCs w:val="24"/>
              </w:rPr>
            </w:pPr>
            <w:r w:rsidRPr="00F50C10">
              <w:rPr>
                <w:rFonts w:cs="Times New Roman"/>
                <w:i/>
                <w:iCs/>
                <w:szCs w:val="24"/>
              </w:rPr>
              <w:t>** DAP üretiminde H</w:t>
            </w:r>
            <w:r w:rsidRPr="00F50C10">
              <w:rPr>
                <w:rFonts w:cs="Times New Roman"/>
                <w:i/>
                <w:iCs/>
                <w:szCs w:val="24"/>
                <w:vertAlign w:val="subscript"/>
              </w:rPr>
              <w:t>3</w:t>
            </w:r>
            <w:r w:rsidRPr="00F50C10">
              <w:rPr>
                <w:rFonts w:cs="Times New Roman"/>
                <w:i/>
                <w:iCs/>
                <w:szCs w:val="24"/>
              </w:rPr>
              <w:t>PO</w:t>
            </w:r>
            <w:r w:rsidRPr="00F50C10">
              <w:rPr>
                <w:rFonts w:cs="Times New Roman"/>
                <w:i/>
                <w:iCs/>
                <w:szCs w:val="24"/>
                <w:vertAlign w:val="subscript"/>
              </w:rPr>
              <w:t>4</w:t>
            </w:r>
            <w:r w:rsidRPr="00F50C10">
              <w:rPr>
                <w:rFonts w:cs="Times New Roman"/>
                <w:i/>
                <w:iCs/>
                <w:szCs w:val="24"/>
              </w:rPr>
              <w:t xml:space="preserve"> ile çok aşamalı yıkamada 10 mg/Nm</w:t>
            </w:r>
            <w:r w:rsidRPr="00F50C10">
              <w:rPr>
                <w:rFonts w:cs="Times New Roman"/>
                <w:i/>
                <w:iCs/>
                <w:szCs w:val="24"/>
                <w:vertAlign w:val="superscript"/>
              </w:rPr>
              <w:t>3</w:t>
            </w:r>
            <w:r w:rsidRPr="00F50C10">
              <w:rPr>
                <w:rFonts w:cs="Times New Roman"/>
                <w:i/>
                <w:iCs/>
                <w:szCs w:val="24"/>
              </w:rPr>
              <w:t>’e varan seviyeler</w:t>
            </w:r>
            <w:r w:rsidR="00E2071B" w:rsidRPr="00F50C10">
              <w:rPr>
                <w:rFonts w:cs="Times New Roman"/>
                <w:i/>
                <w:iCs/>
                <w:szCs w:val="24"/>
              </w:rPr>
              <w:t xml:space="preserve"> beklenebilir</w:t>
            </w:r>
            <w:r w:rsidR="00E2071B" w:rsidRPr="00F50C10">
              <w:rPr>
                <w:rFonts w:cs="Times New Roman"/>
                <w:szCs w:val="24"/>
              </w:rPr>
              <w:t>.</w:t>
            </w:r>
          </w:p>
        </w:tc>
      </w:tr>
    </w:tbl>
    <w:p w14:paraId="604D2DC1" w14:textId="03729B77" w:rsidR="00F6441B" w:rsidRPr="00F50C10" w:rsidRDefault="00F6441B" w:rsidP="000B206D">
      <w:pPr>
        <w:spacing w:after="120" w:line="276" w:lineRule="auto"/>
        <w:rPr>
          <w:rFonts w:cs="Times New Roman"/>
          <w:b/>
          <w:bCs/>
          <w:szCs w:val="24"/>
        </w:rPr>
      </w:pPr>
      <w:r w:rsidRPr="00F50C10">
        <w:rPr>
          <w:rFonts w:cs="Times New Roman"/>
          <w:b/>
          <w:bCs/>
          <w:szCs w:val="24"/>
        </w:rPr>
        <w:t xml:space="preserve">MET 56: </w:t>
      </w:r>
      <w:r w:rsidRPr="00F50C10">
        <w:rPr>
          <w:rFonts w:cs="Times New Roman"/>
          <w:szCs w:val="24"/>
        </w:rPr>
        <w:t>Yıkama ve durulama sularını ve yıkama sıvılarını prosese geri dönüştürerek</w:t>
      </w:r>
      <w:r w:rsidR="0031706A" w:rsidRPr="00F50C10">
        <w:rPr>
          <w:rFonts w:cs="Times New Roman"/>
          <w:szCs w:val="24"/>
        </w:rPr>
        <w:t xml:space="preserve">, örneğin atık su buharlaşması için atık ısı kullanarak, </w:t>
      </w:r>
      <w:r w:rsidRPr="00F50C10">
        <w:rPr>
          <w:rFonts w:cs="Times New Roman"/>
          <w:szCs w:val="24"/>
        </w:rPr>
        <w:t>atık su hacimleri en aza indiril</w:t>
      </w:r>
      <w:r w:rsidR="0031706A" w:rsidRPr="00F50C10">
        <w:rPr>
          <w:rFonts w:cs="Times New Roman"/>
          <w:szCs w:val="24"/>
        </w:rPr>
        <w:t>ir.</w:t>
      </w:r>
      <w:r w:rsidRPr="00F50C10">
        <w:rPr>
          <w:rFonts w:cs="Times New Roman"/>
          <w:b/>
          <w:bCs/>
          <w:szCs w:val="24"/>
        </w:rPr>
        <w:t xml:space="preserve"> </w:t>
      </w:r>
    </w:p>
    <w:p w14:paraId="0BE1349C" w14:textId="154ADAC7" w:rsidR="00F6441B" w:rsidRPr="00F50C10" w:rsidRDefault="00F6441B" w:rsidP="000B206D">
      <w:pPr>
        <w:spacing w:line="276" w:lineRule="auto"/>
        <w:rPr>
          <w:rFonts w:cs="Times New Roman"/>
          <w:b/>
          <w:bCs/>
          <w:szCs w:val="24"/>
        </w:rPr>
      </w:pPr>
      <w:r w:rsidRPr="00F50C10">
        <w:rPr>
          <w:rFonts w:cs="Times New Roman"/>
          <w:b/>
          <w:bCs/>
          <w:szCs w:val="24"/>
        </w:rPr>
        <w:t xml:space="preserve">MET 57: </w:t>
      </w:r>
      <w:r w:rsidR="0031706A" w:rsidRPr="00F50C10">
        <w:rPr>
          <w:rFonts w:cs="Times New Roman"/>
          <w:szCs w:val="24"/>
        </w:rPr>
        <w:t>G</w:t>
      </w:r>
      <w:r w:rsidRPr="00F50C10">
        <w:rPr>
          <w:rFonts w:cs="Times New Roman"/>
          <w:szCs w:val="24"/>
        </w:rPr>
        <w:t>eriye kalan atık su hacmi a</w:t>
      </w:r>
      <w:r w:rsidR="0031706A" w:rsidRPr="00F50C10">
        <w:rPr>
          <w:rFonts w:cs="Times New Roman"/>
          <w:szCs w:val="24"/>
        </w:rPr>
        <w:t>rı</w:t>
      </w:r>
      <w:r w:rsidRPr="00F50C10">
        <w:rPr>
          <w:rFonts w:cs="Times New Roman"/>
          <w:szCs w:val="24"/>
        </w:rPr>
        <w:t>tılır.</w:t>
      </w:r>
    </w:p>
    <w:p w14:paraId="59AC02F0" w14:textId="77777777" w:rsidR="00F6441B" w:rsidRPr="00F50C10" w:rsidRDefault="00F6441B" w:rsidP="00A654AE">
      <w:pPr>
        <w:pStyle w:val="Balk2"/>
        <w:numPr>
          <w:ilvl w:val="1"/>
          <w:numId w:val="72"/>
        </w:numPr>
        <w:spacing w:line="276" w:lineRule="auto"/>
        <w:rPr>
          <w:rFonts w:cs="Times New Roman"/>
          <w:szCs w:val="24"/>
        </w:rPr>
      </w:pPr>
      <w:r w:rsidRPr="00F50C10">
        <w:rPr>
          <w:rFonts w:cs="Times New Roman"/>
          <w:szCs w:val="24"/>
        </w:rPr>
        <w:t>Üre ve Üre Amonyum Nitrat (UAN) için MET</w:t>
      </w:r>
    </w:p>
    <w:p w14:paraId="36F988DB" w14:textId="3322C961" w:rsidR="00F6441B" w:rsidRPr="00F50C10" w:rsidRDefault="00F6441B" w:rsidP="000B206D">
      <w:pPr>
        <w:spacing w:line="276" w:lineRule="auto"/>
        <w:rPr>
          <w:rFonts w:cs="Times New Roman"/>
          <w:b/>
          <w:bCs/>
          <w:szCs w:val="24"/>
        </w:rPr>
      </w:pPr>
      <w:r w:rsidRPr="00F50C10">
        <w:rPr>
          <w:rFonts w:cs="Times New Roman"/>
          <w:b/>
          <w:bCs/>
          <w:szCs w:val="24"/>
        </w:rPr>
        <w:t xml:space="preserve">MET 58: </w:t>
      </w:r>
      <w:r w:rsidR="00A064E2" w:rsidRPr="00F50C10">
        <w:rPr>
          <w:rFonts w:cs="Times New Roman"/>
          <w:szCs w:val="24"/>
        </w:rPr>
        <w:t xml:space="preserve">Genel </w:t>
      </w:r>
      <w:r w:rsidRPr="00F50C10">
        <w:rPr>
          <w:rFonts w:cs="Times New Roman"/>
          <w:szCs w:val="24"/>
        </w:rPr>
        <w:t>MET</w:t>
      </w:r>
      <w:r w:rsidRPr="00F50C10">
        <w:rPr>
          <w:rFonts w:cs="Times New Roman"/>
          <w:spacing w:val="-4"/>
          <w:szCs w:val="24"/>
        </w:rPr>
        <w:t xml:space="preserve"> </w:t>
      </w:r>
      <w:r w:rsidRPr="00F50C10">
        <w:rPr>
          <w:rFonts w:cs="Times New Roman"/>
          <w:szCs w:val="24"/>
        </w:rPr>
        <w:t>uygula</w:t>
      </w:r>
      <w:r w:rsidR="00A064E2" w:rsidRPr="00F50C10">
        <w:rPr>
          <w:rFonts w:cs="Times New Roman"/>
          <w:szCs w:val="24"/>
        </w:rPr>
        <w:t>nı</w:t>
      </w:r>
      <w:r w:rsidRPr="00F50C10">
        <w:rPr>
          <w:rFonts w:cs="Times New Roman"/>
          <w:szCs w:val="24"/>
        </w:rPr>
        <w:t>r.</w:t>
      </w:r>
      <w:r w:rsidRPr="00F50C10">
        <w:rPr>
          <w:rFonts w:cs="Times New Roman"/>
          <w:b/>
          <w:bCs/>
          <w:szCs w:val="24"/>
        </w:rPr>
        <w:t xml:space="preserve"> </w:t>
      </w:r>
    </w:p>
    <w:p w14:paraId="1E0400F8" w14:textId="19E58A9F" w:rsidR="00F6441B" w:rsidRPr="00F50C10" w:rsidRDefault="00F6441B" w:rsidP="000B206D">
      <w:pPr>
        <w:spacing w:line="276" w:lineRule="auto"/>
        <w:rPr>
          <w:rFonts w:cs="Times New Roman"/>
          <w:b/>
          <w:bCs/>
          <w:szCs w:val="24"/>
        </w:rPr>
      </w:pPr>
      <w:r w:rsidRPr="00F50C10">
        <w:rPr>
          <w:rFonts w:cs="Times New Roman"/>
          <w:b/>
          <w:bCs/>
          <w:szCs w:val="24"/>
        </w:rPr>
        <w:t xml:space="preserve">MET 59: </w:t>
      </w:r>
      <w:r w:rsidRPr="00F50C10">
        <w:rPr>
          <w:rFonts w:cs="Times New Roman"/>
          <w:szCs w:val="24"/>
        </w:rPr>
        <w:t>Depolama için Depolama</w:t>
      </w:r>
      <w:r w:rsidR="00E2071B" w:rsidRPr="00F50C10">
        <w:rPr>
          <w:rFonts w:cs="Times New Roman"/>
          <w:szCs w:val="24"/>
        </w:rPr>
        <w:t>dan K</w:t>
      </w:r>
      <w:r w:rsidRPr="00F50C10">
        <w:rPr>
          <w:rFonts w:cs="Times New Roman"/>
          <w:szCs w:val="24"/>
        </w:rPr>
        <w:t xml:space="preserve">aynaklanan </w:t>
      </w:r>
      <w:r w:rsidR="00E2071B" w:rsidRPr="00F50C10">
        <w:rPr>
          <w:rFonts w:cs="Times New Roman"/>
          <w:szCs w:val="24"/>
        </w:rPr>
        <w:t>E</w:t>
      </w:r>
      <w:r w:rsidRPr="00F50C10">
        <w:rPr>
          <w:rFonts w:cs="Times New Roman"/>
          <w:szCs w:val="24"/>
        </w:rPr>
        <w:t xml:space="preserve">misyonlara ilişkin MET Referans Belgesi’nde yer alan </w:t>
      </w:r>
      <w:r w:rsidR="00F05BC9" w:rsidRPr="00F50C10">
        <w:rPr>
          <w:rFonts w:cs="Times New Roman"/>
          <w:szCs w:val="24"/>
        </w:rPr>
        <w:t>MET</w:t>
      </w:r>
      <w:r w:rsidRPr="00F50C10">
        <w:rPr>
          <w:rFonts w:cs="Times New Roman"/>
          <w:szCs w:val="24"/>
        </w:rPr>
        <w:t xml:space="preserve"> uygulan</w:t>
      </w:r>
      <w:r w:rsidR="00412D3F" w:rsidRPr="00F50C10">
        <w:rPr>
          <w:rFonts w:cs="Times New Roman"/>
          <w:szCs w:val="24"/>
        </w:rPr>
        <w:t>ır</w:t>
      </w:r>
      <w:r w:rsidRPr="00F50C10">
        <w:rPr>
          <w:rFonts w:cs="Times New Roman"/>
          <w:szCs w:val="24"/>
        </w:rPr>
        <w:t>.</w:t>
      </w:r>
    </w:p>
    <w:p w14:paraId="1AA5E18B" w14:textId="47650DB0" w:rsidR="00F6441B" w:rsidRPr="00F50C10" w:rsidRDefault="00F6441B" w:rsidP="000B206D">
      <w:pPr>
        <w:spacing w:line="276" w:lineRule="auto"/>
        <w:rPr>
          <w:rFonts w:cs="Times New Roman"/>
          <w:b/>
          <w:bCs/>
          <w:szCs w:val="24"/>
        </w:rPr>
      </w:pPr>
      <w:r w:rsidRPr="00F50C10">
        <w:rPr>
          <w:rFonts w:cs="Times New Roman"/>
          <w:b/>
          <w:bCs/>
          <w:szCs w:val="24"/>
        </w:rPr>
        <w:t xml:space="preserve">MET 60: </w:t>
      </w:r>
      <w:r w:rsidR="00B160B5" w:rsidRPr="00F50C10">
        <w:rPr>
          <w:rFonts w:cs="Times New Roman"/>
          <w:szCs w:val="24"/>
        </w:rPr>
        <w:t>Aşağıdaki tekniklerin birinin ya da birkaçının uygulanmasıyla bitirme bölümünün çevresel performansı iyileştiril</w:t>
      </w:r>
      <w:r w:rsidR="00412D3F" w:rsidRPr="00F50C10">
        <w:rPr>
          <w:rFonts w:cs="Times New Roman"/>
          <w:szCs w:val="24"/>
        </w:rPr>
        <w:t>ir</w:t>
      </w:r>
      <w:r w:rsidRPr="00F50C10">
        <w:rPr>
          <w:rFonts w:cs="Times New Roman"/>
          <w:szCs w:val="24"/>
        </w:rPr>
        <w:t>:</w:t>
      </w:r>
    </w:p>
    <w:p w14:paraId="68CA54DB" w14:textId="646B49AC" w:rsidR="00F6441B" w:rsidRPr="00F50C10" w:rsidRDefault="00F6441B" w:rsidP="00A654AE">
      <w:pPr>
        <w:pStyle w:val="ListeParagraf"/>
        <w:numPr>
          <w:ilvl w:val="0"/>
          <w:numId w:val="85"/>
        </w:numPr>
        <w:spacing w:before="120" w:after="60" w:line="276" w:lineRule="auto"/>
        <w:rPr>
          <w:rFonts w:cs="Times New Roman"/>
          <w:bCs/>
          <w:szCs w:val="24"/>
        </w:rPr>
      </w:pPr>
      <w:r w:rsidRPr="00F50C10">
        <w:rPr>
          <w:rFonts w:cs="Times New Roman"/>
          <w:szCs w:val="24"/>
        </w:rPr>
        <w:t>plakalı ürün soğutucuların kullanılması</w:t>
      </w:r>
      <w:r w:rsidR="00412D3F" w:rsidRPr="00F50C10">
        <w:rPr>
          <w:rFonts w:cs="Times New Roman"/>
          <w:szCs w:val="24"/>
        </w:rPr>
        <w:t>,</w:t>
      </w:r>
    </w:p>
    <w:p w14:paraId="35263AB6" w14:textId="77777777" w:rsidR="00F6441B" w:rsidRPr="00F50C10" w:rsidRDefault="00F6441B" w:rsidP="00A654AE">
      <w:pPr>
        <w:pStyle w:val="ListeParagraf"/>
        <w:numPr>
          <w:ilvl w:val="0"/>
          <w:numId w:val="85"/>
        </w:numPr>
        <w:spacing w:before="120" w:after="60" w:line="276" w:lineRule="auto"/>
        <w:rPr>
          <w:rFonts w:cs="Times New Roman"/>
          <w:bCs/>
          <w:szCs w:val="24"/>
        </w:rPr>
      </w:pPr>
      <w:r w:rsidRPr="00F50C10">
        <w:rPr>
          <w:rFonts w:cs="Times New Roman"/>
          <w:szCs w:val="24"/>
        </w:rPr>
        <w:t>üre tozlarının konsantre üre çözeltilerine gönderilmesi,</w:t>
      </w:r>
    </w:p>
    <w:p w14:paraId="51503B41" w14:textId="257F7A9F" w:rsidR="00B160B5" w:rsidRPr="00F50C10" w:rsidRDefault="00B160B5" w:rsidP="00A654AE">
      <w:pPr>
        <w:pStyle w:val="ListeParagraf"/>
        <w:numPr>
          <w:ilvl w:val="0"/>
          <w:numId w:val="85"/>
        </w:numPr>
        <w:spacing w:before="120" w:after="60" w:line="276" w:lineRule="auto"/>
        <w:rPr>
          <w:rFonts w:cs="Times New Roman"/>
          <w:bCs/>
          <w:szCs w:val="24"/>
        </w:rPr>
      </w:pPr>
      <w:r w:rsidRPr="00F50C10">
        <w:rPr>
          <w:rFonts w:cs="Times New Roman"/>
          <w:szCs w:val="24"/>
        </w:rPr>
        <w:t>uygun boyutta eleklerin, döner ve zincirli değirmenlerin seçilmesi</w:t>
      </w:r>
      <w:r w:rsidR="00412D3F" w:rsidRPr="00F50C10">
        <w:rPr>
          <w:rFonts w:cs="Times New Roman"/>
          <w:szCs w:val="24"/>
        </w:rPr>
        <w:t>,</w:t>
      </w:r>
    </w:p>
    <w:p w14:paraId="1A29F7F5" w14:textId="534CF54F" w:rsidR="00412D3F" w:rsidRPr="00F50C10" w:rsidRDefault="00B160B5" w:rsidP="00A654AE">
      <w:pPr>
        <w:pStyle w:val="ListeParagraf"/>
        <w:numPr>
          <w:ilvl w:val="0"/>
          <w:numId w:val="85"/>
        </w:numPr>
        <w:spacing w:before="120" w:after="60" w:line="276" w:lineRule="auto"/>
        <w:rPr>
          <w:rFonts w:cs="Times New Roman"/>
          <w:bCs/>
          <w:szCs w:val="24"/>
        </w:rPr>
      </w:pPr>
      <w:r w:rsidRPr="00F50C10">
        <w:rPr>
          <w:rFonts w:cs="Times New Roman"/>
          <w:szCs w:val="24"/>
        </w:rPr>
        <w:t>granülasyon geri dönüşüm döngüsünün kontrol edilmesinde kantar altı silosunun kullanılması</w:t>
      </w:r>
      <w:r w:rsidR="00412D3F" w:rsidRPr="00F50C10">
        <w:rPr>
          <w:rFonts w:cs="Times New Roman"/>
          <w:szCs w:val="24"/>
        </w:rPr>
        <w:t>,</w:t>
      </w:r>
    </w:p>
    <w:p w14:paraId="00092737" w14:textId="4E624FF2" w:rsidR="00F6441B" w:rsidRPr="00F50C10" w:rsidRDefault="00F6441B" w:rsidP="00A654AE">
      <w:pPr>
        <w:pStyle w:val="ListeParagraf"/>
        <w:numPr>
          <w:ilvl w:val="0"/>
          <w:numId w:val="85"/>
        </w:numPr>
        <w:spacing w:before="120" w:after="60" w:line="276" w:lineRule="auto"/>
        <w:rPr>
          <w:rFonts w:cs="Times New Roman"/>
          <w:bCs/>
          <w:szCs w:val="24"/>
        </w:rPr>
      </w:pPr>
      <w:r w:rsidRPr="00F50C10">
        <w:rPr>
          <w:rFonts w:cs="Times New Roman"/>
          <w:szCs w:val="24"/>
        </w:rPr>
        <w:t>ürün boyutu dağılım önlemlerinin alınması ve kontrol.</w:t>
      </w:r>
      <w:r w:rsidR="00B160B5" w:rsidRPr="00F50C10">
        <w:rPr>
          <w:rFonts w:cs="Times New Roman"/>
          <w:szCs w:val="24"/>
        </w:rPr>
        <w:t xml:space="preserve"> </w:t>
      </w:r>
    </w:p>
    <w:p w14:paraId="7A3213B0" w14:textId="45E25959" w:rsidR="00F6441B" w:rsidRPr="00F50C10" w:rsidRDefault="00F6441B" w:rsidP="000B206D">
      <w:pPr>
        <w:spacing w:line="276" w:lineRule="auto"/>
        <w:rPr>
          <w:rFonts w:cs="Times New Roman"/>
          <w:b/>
          <w:bCs/>
          <w:szCs w:val="24"/>
        </w:rPr>
      </w:pPr>
      <w:r w:rsidRPr="00F50C10">
        <w:rPr>
          <w:rFonts w:cs="Times New Roman"/>
          <w:b/>
          <w:bCs/>
          <w:szCs w:val="24"/>
        </w:rPr>
        <w:t xml:space="preserve">MET 61: </w:t>
      </w:r>
      <w:r w:rsidRPr="00F50C10">
        <w:rPr>
          <w:rFonts w:cs="Times New Roman"/>
          <w:szCs w:val="24"/>
        </w:rPr>
        <w:t>Aşağıda yer alan tekniklerin birinin ya da bir kombinasyonunun uygulanmasıyla üre üretimi için gerekli toplam enerji tüketimi optimize edilir:</w:t>
      </w:r>
    </w:p>
    <w:p w14:paraId="6E2A354E" w14:textId="77777777" w:rsidR="00F6441B" w:rsidRPr="00F50C10" w:rsidRDefault="00F6441B" w:rsidP="00A654AE">
      <w:pPr>
        <w:pStyle w:val="ListeParagraf"/>
        <w:numPr>
          <w:ilvl w:val="0"/>
          <w:numId w:val="86"/>
        </w:numPr>
        <w:spacing w:before="120" w:after="60" w:line="276" w:lineRule="auto"/>
        <w:rPr>
          <w:rFonts w:cs="Times New Roman"/>
          <w:bCs/>
          <w:szCs w:val="24"/>
        </w:rPr>
      </w:pPr>
      <w:r w:rsidRPr="00F50C10">
        <w:rPr>
          <w:rFonts w:cs="Times New Roman"/>
          <w:szCs w:val="24"/>
        </w:rPr>
        <w:t>mevcut sıyırma tesisleri için sıyırma teknolojisinin uygulanmasına devam edilmesi,</w:t>
      </w:r>
    </w:p>
    <w:p w14:paraId="644BEE3D" w14:textId="41A98CA9" w:rsidR="00F6441B" w:rsidRPr="00F50C10" w:rsidRDefault="00B160B5" w:rsidP="00A654AE">
      <w:pPr>
        <w:pStyle w:val="ListeParagraf"/>
        <w:numPr>
          <w:ilvl w:val="0"/>
          <w:numId w:val="86"/>
        </w:numPr>
        <w:spacing w:before="120" w:after="60" w:line="276" w:lineRule="auto"/>
        <w:rPr>
          <w:rFonts w:cs="Times New Roman"/>
          <w:bCs/>
          <w:szCs w:val="24"/>
        </w:rPr>
      </w:pPr>
      <w:r w:rsidRPr="00F50C10">
        <w:rPr>
          <w:rFonts w:cs="Times New Roman"/>
          <w:szCs w:val="24"/>
        </w:rPr>
        <w:t>y</w:t>
      </w:r>
      <w:r w:rsidR="00F6441B" w:rsidRPr="00F50C10">
        <w:rPr>
          <w:rFonts w:cs="Times New Roman"/>
          <w:szCs w:val="24"/>
        </w:rPr>
        <w:t>eni tesisler için toplam geri dönüştürme sıyırma işlemleri</w:t>
      </w:r>
      <w:r w:rsidR="00412D3F" w:rsidRPr="00F50C10">
        <w:rPr>
          <w:rFonts w:cs="Times New Roman"/>
          <w:szCs w:val="24"/>
        </w:rPr>
        <w:t>,</w:t>
      </w:r>
    </w:p>
    <w:p w14:paraId="4FFF9292" w14:textId="70FFC3FE" w:rsidR="00F6441B" w:rsidRPr="00F50C10" w:rsidRDefault="00F6441B" w:rsidP="00A654AE">
      <w:pPr>
        <w:pStyle w:val="ListeParagraf"/>
        <w:numPr>
          <w:ilvl w:val="0"/>
          <w:numId w:val="86"/>
        </w:numPr>
        <w:spacing w:before="120" w:after="60" w:line="276" w:lineRule="auto"/>
        <w:rPr>
          <w:rFonts w:cs="Times New Roman"/>
          <w:bCs/>
          <w:szCs w:val="24"/>
        </w:rPr>
      </w:pPr>
      <w:r w:rsidRPr="00F50C10">
        <w:rPr>
          <w:rFonts w:cs="Times New Roman"/>
          <w:szCs w:val="24"/>
        </w:rPr>
        <w:t>mevcut konvansiyonel toplam geri dönüştürme tesisleri için üre tesisi kapasitesinde önemli ölçüde artış yaşanması durumunda sıyırma teknolojisine geçiş</w:t>
      </w:r>
      <w:r w:rsidR="00412D3F" w:rsidRPr="00F50C10">
        <w:rPr>
          <w:rFonts w:cs="Times New Roman"/>
          <w:szCs w:val="24"/>
        </w:rPr>
        <w:t>,</w:t>
      </w:r>
    </w:p>
    <w:p w14:paraId="1AA6C0E9" w14:textId="3D493D26" w:rsidR="00F6441B" w:rsidRPr="00F50C10" w:rsidRDefault="00F6441B" w:rsidP="00A654AE">
      <w:pPr>
        <w:pStyle w:val="ListeParagraf"/>
        <w:numPr>
          <w:ilvl w:val="0"/>
          <w:numId w:val="86"/>
        </w:numPr>
        <w:spacing w:before="120" w:after="60" w:line="276" w:lineRule="auto"/>
        <w:rPr>
          <w:rFonts w:cs="Times New Roman"/>
          <w:bCs/>
          <w:szCs w:val="24"/>
        </w:rPr>
      </w:pPr>
      <w:r w:rsidRPr="00F50C10">
        <w:rPr>
          <w:rFonts w:cs="Times New Roman"/>
          <w:szCs w:val="24"/>
        </w:rPr>
        <w:t>sıyırma tesislerinin ısı entegrasyonunun artırılması</w:t>
      </w:r>
      <w:r w:rsidR="00412D3F" w:rsidRPr="00F50C10">
        <w:rPr>
          <w:rFonts w:cs="Times New Roman"/>
          <w:szCs w:val="24"/>
        </w:rPr>
        <w:t>,</w:t>
      </w:r>
    </w:p>
    <w:p w14:paraId="0A436445" w14:textId="0CB499F8" w:rsidR="00F6441B" w:rsidRPr="00F50C10" w:rsidRDefault="00F6441B" w:rsidP="00A654AE">
      <w:pPr>
        <w:pStyle w:val="ListeParagraf"/>
        <w:numPr>
          <w:ilvl w:val="0"/>
          <w:numId w:val="86"/>
        </w:numPr>
        <w:spacing w:before="120" w:after="60" w:line="276" w:lineRule="auto"/>
        <w:rPr>
          <w:rFonts w:cs="Times New Roman"/>
          <w:bCs/>
          <w:szCs w:val="24"/>
        </w:rPr>
      </w:pPr>
      <w:r w:rsidRPr="00F50C10">
        <w:rPr>
          <w:rFonts w:cs="Times New Roman"/>
          <w:szCs w:val="24"/>
        </w:rPr>
        <w:t xml:space="preserve">kombine </w:t>
      </w:r>
      <w:r w:rsidR="00B160B5" w:rsidRPr="00F50C10">
        <w:rPr>
          <w:rFonts w:cs="Times New Roman"/>
          <w:szCs w:val="24"/>
        </w:rPr>
        <w:t>yoğuşturma</w:t>
      </w:r>
      <w:r w:rsidRPr="00F50C10">
        <w:rPr>
          <w:rFonts w:cs="Times New Roman"/>
          <w:szCs w:val="24"/>
        </w:rPr>
        <w:t xml:space="preserve"> ve reaksiyon teknolojisinin kullanılması</w:t>
      </w:r>
      <w:r w:rsidR="00412D3F" w:rsidRPr="00F50C10">
        <w:rPr>
          <w:rFonts w:cs="Times New Roman"/>
          <w:szCs w:val="24"/>
        </w:rPr>
        <w:t>.</w:t>
      </w:r>
    </w:p>
    <w:p w14:paraId="566A5254" w14:textId="538C3D8A" w:rsidR="00F6441B" w:rsidRPr="00F50C10" w:rsidRDefault="00F6441B" w:rsidP="000B206D">
      <w:pPr>
        <w:spacing w:line="276" w:lineRule="auto"/>
        <w:rPr>
          <w:rFonts w:cs="Times New Roman"/>
          <w:b/>
          <w:bCs/>
          <w:szCs w:val="24"/>
        </w:rPr>
      </w:pPr>
      <w:r w:rsidRPr="00F50C10">
        <w:rPr>
          <w:rFonts w:cs="Times New Roman"/>
          <w:b/>
          <w:bCs/>
          <w:szCs w:val="24"/>
        </w:rPr>
        <w:t xml:space="preserve">MET 62: </w:t>
      </w:r>
      <w:r w:rsidRPr="00F50C10">
        <w:rPr>
          <w:rFonts w:cs="Times New Roman"/>
          <w:szCs w:val="24"/>
        </w:rPr>
        <w:t>Düşük patlama sınırlarını da göz önünde bulundurarak, yıkama ile tüm atık gazla</w:t>
      </w:r>
      <w:r w:rsidR="00412D3F" w:rsidRPr="00F50C10">
        <w:rPr>
          <w:rFonts w:cs="Times New Roman"/>
          <w:szCs w:val="24"/>
        </w:rPr>
        <w:t>r</w:t>
      </w:r>
      <w:r w:rsidRPr="00F50C10">
        <w:rPr>
          <w:rFonts w:cs="Times New Roman"/>
          <w:szCs w:val="24"/>
        </w:rPr>
        <w:t xml:space="preserve"> </w:t>
      </w:r>
      <w:r w:rsidR="00B160B5" w:rsidRPr="00F50C10">
        <w:rPr>
          <w:rFonts w:cs="Times New Roman"/>
          <w:szCs w:val="24"/>
        </w:rPr>
        <w:t>ıslak</w:t>
      </w:r>
      <w:r w:rsidRPr="00F50C10">
        <w:rPr>
          <w:rFonts w:cs="Times New Roman"/>
          <w:szCs w:val="24"/>
        </w:rPr>
        <w:t xml:space="preserve"> bölümlerden arıtıl</w:t>
      </w:r>
      <w:r w:rsidR="00412D3F" w:rsidRPr="00F50C10">
        <w:rPr>
          <w:rFonts w:cs="Times New Roman"/>
          <w:szCs w:val="24"/>
        </w:rPr>
        <w:t xml:space="preserve">ır </w:t>
      </w:r>
      <w:r w:rsidRPr="00F50C10">
        <w:rPr>
          <w:rFonts w:cs="Times New Roman"/>
          <w:szCs w:val="24"/>
        </w:rPr>
        <w:t>ve geri kalan amonyak çözeltileri işleme geri dönüştürül</w:t>
      </w:r>
      <w:r w:rsidR="00412D3F" w:rsidRPr="00F50C10">
        <w:rPr>
          <w:rFonts w:cs="Times New Roman"/>
          <w:szCs w:val="24"/>
        </w:rPr>
        <w:t>ür.</w:t>
      </w:r>
    </w:p>
    <w:p w14:paraId="47E5413F" w14:textId="30307FDE" w:rsidR="00F6441B" w:rsidRPr="00F50C10" w:rsidRDefault="00F6441B" w:rsidP="000B206D">
      <w:pPr>
        <w:spacing w:line="276" w:lineRule="auto"/>
        <w:rPr>
          <w:rFonts w:cs="Times New Roman"/>
          <w:b/>
          <w:bCs/>
          <w:szCs w:val="24"/>
        </w:rPr>
      </w:pPr>
      <w:r w:rsidRPr="00F50C10">
        <w:rPr>
          <w:rFonts w:cs="Times New Roman"/>
          <w:b/>
          <w:bCs/>
          <w:szCs w:val="24"/>
        </w:rPr>
        <w:t xml:space="preserve">MET 63: </w:t>
      </w:r>
      <w:r w:rsidRPr="00F50C10">
        <w:rPr>
          <w:rFonts w:cs="Times New Roman"/>
          <w:szCs w:val="24"/>
        </w:rPr>
        <w:t>Prilleme veya granülasyon</w:t>
      </w:r>
      <w:r w:rsidR="00A064E2" w:rsidRPr="00F50C10">
        <w:rPr>
          <w:rFonts w:cs="Times New Roman"/>
          <w:szCs w:val="24"/>
        </w:rPr>
        <w:t xml:space="preserve"> adımların</w:t>
      </w:r>
      <w:r w:rsidRPr="00F50C10">
        <w:rPr>
          <w:rFonts w:cs="Times New Roman"/>
          <w:szCs w:val="24"/>
        </w:rPr>
        <w:t>dan kaynaklanan amonyak ve toz emisyonları</w:t>
      </w:r>
      <w:r w:rsidR="00A064E2" w:rsidRPr="00F50C10">
        <w:rPr>
          <w:rFonts w:cs="Times New Roman"/>
          <w:szCs w:val="24"/>
        </w:rPr>
        <w:t xml:space="preserve"> azaltılır </w:t>
      </w:r>
      <w:r w:rsidRPr="00F50C10">
        <w:rPr>
          <w:rFonts w:cs="Times New Roman"/>
          <w:szCs w:val="24"/>
        </w:rPr>
        <w:t xml:space="preserve">ve amonyak emisyon seviyeleri, örneğin yıkama veya prilleme kulelerindeki işlem koşullarının optimize edilmesi ve yıkama sıvılarının yerinde yeniden kullanılması </w:t>
      </w:r>
      <w:r w:rsidR="00A064E2" w:rsidRPr="00F50C10">
        <w:rPr>
          <w:rFonts w:cs="Times New Roman"/>
          <w:szCs w:val="24"/>
        </w:rPr>
        <w:t>yoluyla</w:t>
      </w:r>
      <w:r w:rsidR="00B160B5" w:rsidRPr="00F50C10">
        <w:rPr>
          <w:rFonts w:cs="Times New Roman"/>
          <w:szCs w:val="24"/>
        </w:rPr>
        <w:t>,</w:t>
      </w:r>
      <w:r w:rsidRPr="00F50C10">
        <w:rPr>
          <w:rFonts w:cs="Times New Roman"/>
          <w:szCs w:val="24"/>
        </w:rPr>
        <w:t xml:space="preserve"> 3 – 35 mg/Nm</w:t>
      </w:r>
      <w:r w:rsidRPr="00F50C10">
        <w:rPr>
          <w:rFonts w:cs="Times New Roman"/>
          <w:szCs w:val="24"/>
          <w:vertAlign w:val="superscript"/>
        </w:rPr>
        <w:t>3</w:t>
      </w:r>
      <w:r w:rsidR="00A064E2" w:rsidRPr="00F50C10">
        <w:rPr>
          <w:rFonts w:cs="Times New Roman"/>
          <w:szCs w:val="24"/>
        </w:rPr>
        <w:t xml:space="preserve"> seviyesine</w:t>
      </w:r>
      <w:r w:rsidRPr="00F50C10">
        <w:rPr>
          <w:rFonts w:cs="Times New Roman"/>
          <w:szCs w:val="24"/>
        </w:rPr>
        <w:t xml:space="preserve"> </w:t>
      </w:r>
      <w:r w:rsidR="00A064E2" w:rsidRPr="00F50C10">
        <w:rPr>
          <w:rFonts w:cs="Times New Roman"/>
          <w:szCs w:val="24"/>
        </w:rPr>
        <w:t xml:space="preserve">düşürülür. </w:t>
      </w:r>
      <w:r w:rsidRPr="00F50C10">
        <w:rPr>
          <w:rFonts w:cs="Times New Roman"/>
          <w:szCs w:val="24"/>
        </w:rPr>
        <w:t xml:space="preserve">Yıkama sıvısı yeniden kullanılabiliyorsa, o zaman tercihen asidik yıkama ile, değilse, suyla yıkama </w:t>
      </w:r>
      <w:r w:rsidR="00B160B5" w:rsidRPr="00F50C10">
        <w:rPr>
          <w:rFonts w:cs="Times New Roman"/>
          <w:szCs w:val="24"/>
        </w:rPr>
        <w:t>ile</w:t>
      </w:r>
      <w:r w:rsidRPr="00F50C10">
        <w:rPr>
          <w:rFonts w:cs="Times New Roman"/>
          <w:szCs w:val="24"/>
        </w:rPr>
        <w:t xml:space="preserve"> kullanıl</w:t>
      </w:r>
      <w:r w:rsidR="00A064E2" w:rsidRPr="00F50C10">
        <w:rPr>
          <w:rFonts w:cs="Times New Roman"/>
          <w:szCs w:val="24"/>
        </w:rPr>
        <w:t>ı</w:t>
      </w:r>
      <w:r w:rsidRPr="00F50C10">
        <w:rPr>
          <w:rFonts w:cs="Times New Roman"/>
          <w:szCs w:val="24"/>
        </w:rPr>
        <w:t>r. Emisyon seviyelerinin yukarıda belirtilen değerlere optimize edilmesinde, su ile yıkama ile bile 15 – 55 mg/Nm</w:t>
      </w:r>
      <w:r w:rsidRPr="00F50C10">
        <w:rPr>
          <w:rFonts w:cs="Times New Roman"/>
          <w:szCs w:val="24"/>
          <w:vertAlign w:val="superscript"/>
        </w:rPr>
        <w:t>3</w:t>
      </w:r>
      <w:r w:rsidRPr="00F50C10">
        <w:rPr>
          <w:rFonts w:cs="Times New Roman"/>
          <w:szCs w:val="24"/>
        </w:rPr>
        <w:t xml:space="preserve"> toz emisyon seviyelerine ulaşıldığı varsayılmaktadır.</w:t>
      </w:r>
    </w:p>
    <w:p w14:paraId="4104FAD5" w14:textId="385B8BA5" w:rsidR="00F6441B" w:rsidRPr="00F50C10" w:rsidRDefault="00F6441B" w:rsidP="000B206D">
      <w:pPr>
        <w:spacing w:line="276" w:lineRule="auto"/>
        <w:rPr>
          <w:rFonts w:cs="Times New Roman"/>
          <w:b/>
          <w:bCs/>
          <w:szCs w:val="24"/>
        </w:rPr>
      </w:pPr>
      <w:r w:rsidRPr="00F50C10">
        <w:rPr>
          <w:rFonts w:cs="Times New Roman"/>
          <w:b/>
          <w:bCs/>
          <w:szCs w:val="24"/>
        </w:rPr>
        <w:t xml:space="preserve">MET 64: </w:t>
      </w:r>
      <w:r w:rsidRPr="00F50C10">
        <w:rPr>
          <w:rFonts w:cs="Times New Roman"/>
          <w:szCs w:val="24"/>
        </w:rPr>
        <w:t>Arıtılmış ya da arıtılmamış proses suyunun yeniden kullanılmadığı durumlarda, proses suyu</w:t>
      </w:r>
      <w:r w:rsidR="00B160B5" w:rsidRPr="00F50C10">
        <w:rPr>
          <w:rFonts w:cs="Times New Roman"/>
          <w:szCs w:val="24"/>
        </w:rPr>
        <w:t>,</w:t>
      </w:r>
      <w:r w:rsidRPr="00F50C10">
        <w:rPr>
          <w:rFonts w:cs="Times New Roman"/>
          <w:szCs w:val="24"/>
        </w:rPr>
        <w:t xml:space="preserve"> örneğin desorpsiyon ve hidroliz ile</w:t>
      </w:r>
      <w:r w:rsidR="00B160B5" w:rsidRPr="00F50C10">
        <w:rPr>
          <w:rFonts w:cs="Times New Roman"/>
          <w:szCs w:val="24"/>
        </w:rPr>
        <w:t>,</w:t>
      </w:r>
      <w:r w:rsidRPr="00F50C10">
        <w:rPr>
          <w:rFonts w:cs="Times New Roman"/>
          <w:szCs w:val="24"/>
        </w:rPr>
        <w:t xml:space="preserve"> arıtıl</w:t>
      </w:r>
      <w:r w:rsidR="00A064E2" w:rsidRPr="00F50C10">
        <w:rPr>
          <w:rFonts w:cs="Times New Roman"/>
          <w:szCs w:val="24"/>
        </w:rPr>
        <w:t>ır</w:t>
      </w:r>
      <w:r w:rsidRPr="00F50C10">
        <w:rPr>
          <w:rFonts w:cs="Times New Roman"/>
          <w:szCs w:val="24"/>
        </w:rPr>
        <w:t xml:space="preserve"> ve </w:t>
      </w:r>
      <w:r w:rsidRPr="00F50C10">
        <w:rPr>
          <w:rFonts w:cs="Times New Roman"/>
          <w:szCs w:val="24"/>
        </w:rPr>
        <w:fldChar w:fldCharType="begin"/>
      </w:r>
      <w:r w:rsidRPr="00F50C10">
        <w:rPr>
          <w:rFonts w:cs="Times New Roman"/>
          <w:szCs w:val="24"/>
        </w:rPr>
        <w:instrText xml:space="preserve"> REF _Ref134689575 \h  \* MERGEFORMAT </w:instrText>
      </w:r>
      <w:r w:rsidRPr="00F50C10">
        <w:rPr>
          <w:rFonts w:cs="Times New Roman"/>
          <w:szCs w:val="24"/>
        </w:rPr>
      </w:r>
      <w:r w:rsidRPr="00F50C10">
        <w:rPr>
          <w:rFonts w:cs="Times New Roman"/>
          <w:szCs w:val="24"/>
        </w:rPr>
        <w:fldChar w:fldCharType="separate"/>
      </w:r>
      <w:r w:rsidRPr="00F50C10">
        <w:rPr>
          <w:rFonts w:cs="Times New Roman"/>
          <w:szCs w:val="24"/>
        </w:rPr>
        <w:t xml:space="preserve">Tablo </w:t>
      </w:r>
      <w:r w:rsidRPr="00F50C10">
        <w:rPr>
          <w:rFonts w:cs="Times New Roman"/>
          <w:noProof/>
          <w:szCs w:val="24"/>
        </w:rPr>
        <w:t>10</w:t>
      </w:r>
      <w:r w:rsidRPr="00F50C10">
        <w:rPr>
          <w:rFonts w:cs="Times New Roman"/>
          <w:szCs w:val="24"/>
        </w:rPr>
        <w:fldChar w:fldCharType="end"/>
      </w:r>
      <w:r w:rsidRPr="00F50C10">
        <w:rPr>
          <w:rFonts w:cs="Times New Roman"/>
          <w:szCs w:val="24"/>
        </w:rPr>
        <w:t>’da yer alan seviyelere ulaşılır</w:t>
      </w:r>
      <w:r w:rsidR="00A064E2" w:rsidRPr="00F50C10">
        <w:rPr>
          <w:rFonts w:cs="Times New Roman"/>
          <w:szCs w:val="24"/>
        </w:rPr>
        <w:t>.</w:t>
      </w:r>
      <w:r w:rsidRPr="00F50C10">
        <w:rPr>
          <w:rFonts w:cs="Times New Roman"/>
          <w:szCs w:val="24"/>
        </w:rPr>
        <w:t xml:space="preserve"> </w:t>
      </w:r>
    </w:p>
    <w:p w14:paraId="77179B43" w14:textId="44B68971" w:rsidR="00F6441B" w:rsidRPr="00F50C10" w:rsidRDefault="00B160B5" w:rsidP="000B206D">
      <w:pPr>
        <w:pStyle w:val="ResimYazs"/>
        <w:keepNext/>
        <w:spacing w:line="276" w:lineRule="auto"/>
        <w:rPr>
          <w:rFonts w:cs="Times New Roman"/>
          <w:szCs w:val="24"/>
          <w:lang w:val="tr-TR"/>
        </w:rPr>
      </w:pPr>
      <w:r w:rsidRPr="00F50C10">
        <w:rPr>
          <w:rFonts w:cs="Times New Roman"/>
          <w:szCs w:val="24"/>
          <w:lang w:val="tr-TR"/>
        </w:rPr>
        <w:t xml:space="preserve">Tablo 10. </w:t>
      </w:r>
      <w:r w:rsidR="00F6441B" w:rsidRPr="00F50C10">
        <w:rPr>
          <w:rFonts w:cs="Times New Roman"/>
          <w:szCs w:val="24"/>
          <w:lang w:val="tr-TR"/>
        </w:rPr>
        <w:t>Üre üretiminden kaynaklanan proses suyunun arıtılmasına ilişkin MET seviyeleri</w:t>
      </w:r>
    </w:p>
    <w:tbl>
      <w:tblPr>
        <w:tblStyle w:val="TabloKlavuzu"/>
        <w:tblW w:w="5000" w:type="pct"/>
        <w:tblLook w:val="04A0" w:firstRow="1" w:lastRow="0" w:firstColumn="1" w:lastColumn="0" w:noHBand="0" w:noVBand="1"/>
      </w:tblPr>
      <w:tblGrid>
        <w:gridCol w:w="1870"/>
        <w:gridCol w:w="1869"/>
        <w:gridCol w:w="1858"/>
        <w:gridCol w:w="1855"/>
        <w:gridCol w:w="1858"/>
      </w:tblGrid>
      <w:tr w:rsidR="00F6441B" w:rsidRPr="00F50C10" w14:paraId="7B03A8D6" w14:textId="77777777" w:rsidTr="00116C54">
        <w:tc>
          <w:tcPr>
            <w:tcW w:w="1004" w:type="pct"/>
          </w:tcPr>
          <w:p w14:paraId="5FAC4A08" w14:textId="77777777" w:rsidR="00F6441B" w:rsidRPr="00F50C10" w:rsidRDefault="00F6441B" w:rsidP="000B206D">
            <w:pPr>
              <w:spacing w:line="276" w:lineRule="auto"/>
              <w:ind w:left="72" w:right="72"/>
              <w:rPr>
                <w:rFonts w:cs="Times New Roman"/>
                <w:szCs w:val="24"/>
              </w:rPr>
            </w:pPr>
          </w:p>
        </w:tc>
        <w:tc>
          <w:tcPr>
            <w:tcW w:w="1004" w:type="pct"/>
          </w:tcPr>
          <w:p w14:paraId="6FA0F5F0" w14:textId="77777777" w:rsidR="00F6441B" w:rsidRPr="00F50C10" w:rsidRDefault="00F6441B" w:rsidP="000B206D">
            <w:pPr>
              <w:spacing w:line="276" w:lineRule="auto"/>
              <w:ind w:left="72" w:right="72"/>
              <w:rPr>
                <w:rFonts w:cs="Times New Roman"/>
                <w:szCs w:val="24"/>
              </w:rPr>
            </w:pPr>
          </w:p>
        </w:tc>
        <w:tc>
          <w:tcPr>
            <w:tcW w:w="998" w:type="pct"/>
            <w:vAlign w:val="center"/>
          </w:tcPr>
          <w:p w14:paraId="0D07DAA6" w14:textId="77777777" w:rsidR="00F6441B" w:rsidRPr="00F50C10" w:rsidRDefault="00F6441B" w:rsidP="000B206D">
            <w:pPr>
              <w:spacing w:line="276" w:lineRule="auto"/>
              <w:ind w:left="72" w:right="72"/>
              <w:jc w:val="center"/>
              <w:rPr>
                <w:rFonts w:cs="Times New Roman"/>
                <w:b/>
                <w:szCs w:val="24"/>
              </w:rPr>
            </w:pPr>
            <w:r w:rsidRPr="00F50C10">
              <w:rPr>
                <w:rFonts w:cs="Times New Roman"/>
                <w:b/>
                <w:szCs w:val="24"/>
              </w:rPr>
              <w:t>NH</w:t>
            </w:r>
            <w:r w:rsidRPr="00F50C10">
              <w:rPr>
                <w:rFonts w:cs="Times New Roman"/>
                <w:b/>
                <w:szCs w:val="24"/>
                <w:vertAlign w:val="subscript"/>
              </w:rPr>
              <w:t>3</w:t>
            </w:r>
          </w:p>
        </w:tc>
        <w:tc>
          <w:tcPr>
            <w:tcW w:w="996" w:type="pct"/>
            <w:vAlign w:val="center"/>
          </w:tcPr>
          <w:p w14:paraId="015BB97F" w14:textId="77777777" w:rsidR="00F6441B" w:rsidRPr="00F50C10" w:rsidRDefault="00F6441B" w:rsidP="000B206D">
            <w:pPr>
              <w:spacing w:line="276" w:lineRule="auto"/>
              <w:ind w:left="72" w:right="72"/>
              <w:jc w:val="center"/>
              <w:rPr>
                <w:rFonts w:cs="Times New Roman"/>
                <w:b/>
                <w:szCs w:val="24"/>
              </w:rPr>
            </w:pPr>
            <w:r w:rsidRPr="00F50C10">
              <w:rPr>
                <w:rFonts w:cs="Times New Roman"/>
                <w:b/>
                <w:szCs w:val="24"/>
              </w:rPr>
              <w:t>Üre</w:t>
            </w:r>
          </w:p>
        </w:tc>
        <w:tc>
          <w:tcPr>
            <w:tcW w:w="998" w:type="pct"/>
          </w:tcPr>
          <w:p w14:paraId="36E7F08A" w14:textId="77777777" w:rsidR="00F6441B" w:rsidRPr="00F50C10" w:rsidRDefault="00F6441B" w:rsidP="000B206D">
            <w:pPr>
              <w:spacing w:line="276" w:lineRule="auto"/>
              <w:ind w:left="72"/>
              <w:rPr>
                <w:rFonts w:cs="Times New Roman"/>
                <w:szCs w:val="24"/>
              </w:rPr>
            </w:pPr>
          </w:p>
        </w:tc>
      </w:tr>
      <w:tr w:rsidR="00F6441B" w:rsidRPr="00F50C10" w14:paraId="6266846A" w14:textId="77777777" w:rsidTr="00116C54">
        <w:tc>
          <w:tcPr>
            <w:tcW w:w="1004" w:type="pct"/>
            <w:vMerge w:val="restart"/>
            <w:vAlign w:val="center"/>
          </w:tcPr>
          <w:p w14:paraId="567102B7" w14:textId="77777777" w:rsidR="00F6441B" w:rsidRPr="00F50C10" w:rsidRDefault="00F6441B" w:rsidP="000B206D">
            <w:pPr>
              <w:spacing w:line="276" w:lineRule="auto"/>
              <w:ind w:left="72" w:right="72"/>
              <w:jc w:val="left"/>
              <w:rPr>
                <w:rFonts w:cs="Times New Roman"/>
                <w:b/>
                <w:szCs w:val="24"/>
              </w:rPr>
            </w:pPr>
            <w:r w:rsidRPr="00F50C10">
              <w:rPr>
                <w:rFonts w:cs="Times New Roman"/>
                <w:b/>
                <w:szCs w:val="24"/>
              </w:rPr>
              <w:t>Proses suyu arıtma sonrası</w:t>
            </w:r>
          </w:p>
        </w:tc>
        <w:tc>
          <w:tcPr>
            <w:tcW w:w="1004" w:type="pct"/>
          </w:tcPr>
          <w:p w14:paraId="488212C0" w14:textId="77777777" w:rsidR="00F6441B" w:rsidRPr="00F50C10" w:rsidRDefault="00F6441B" w:rsidP="000B206D">
            <w:pPr>
              <w:spacing w:line="276" w:lineRule="auto"/>
              <w:ind w:left="72" w:right="72"/>
              <w:rPr>
                <w:rFonts w:cs="Times New Roman"/>
                <w:b/>
                <w:szCs w:val="24"/>
              </w:rPr>
            </w:pPr>
            <w:r w:rsidRPr="00F50C10">
              <w:rPr>
                <w:rFonts w:cs="Times New Roman"/>
                <w:b/>
                <w:szCs w:val="24"/>
              </w:rPr>
              <w:t>Yeni tesisler</w:t>
            </w:r>
          </w:p>
        </w:tc>
        <w:tc>
          <w:tcPr>
            <w:tcW w:w="998" w:type="pct"/>
            <w:vAlign w:val="center"/>
          </w:tcPr>
          <w:p w14:paraId="41163BA6"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1</w:t>
            </w:r>
          </w:p>
        </w:tc>
        <w:tc>
          <w:tcPr>
            <w:tcW w:w="996" w:type="pct"/>
            <w:vAlign w:val="center"/>
          </w:tcPr>
          <w:p w14:paraId="0CFB185D"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1</w:t>
            </w:r>
          </w:p>
        </w:tc>
        <w:tc>
          <w:tcPr>
            <w:tcW w:w="998" w:type="pct"/>
            <w:vMerge w:val="restart"/>
            <w:vAlign w:val="center"/>
          </w:tcPr>
          <w:p w14:paraId="17E25F16"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ppm w/w</w:t>
            </w:r>
          </w:p>
        </w:tc>
      </w:tr>
      <w:tr w:rsidR="00F6441B" w:rsidRPr="00F50C10" w14:paraId="7A4AC9FA" w14:textId="77777777" w:rsidTr="00116C54">
        <w:tc>
          <w:tcPr>
            <w:tcW w:w="1004" w:type="pct"/>
            <w:vMerge/>
          </w:tcPr>
          <w:p w14:paraId="11F2C3E8" w14:textId="77777777" w:rsidR="00F6441B" w:rsidRPr="00F50C10" w:rsidRDefault="00F6441B" w:rsidP="000B206D">
            <w:pPr>
              <w:spacing w:line="276" w:lineRule="auto"/>
              <w:rPr>
                <w:rFonts w:cs="Times New Roman"/>
                <w:b/>
                <w:szCs w:val="24"/>
              </w:rPr>
            </w:pPr>
          </w:p>
        </w:tc>
        <w:tc>
          <w:tcPr>
            <w:tcW w:w="1004" w:type="pct"/>
          </w:tcPr>
          <w:p w14:paraId="29525640" w14:textId="77777777" w:rsidR="00F6441B" w:rsidRPr="00F50C10" w:rsidRDefault="00F6441B" w:rsidP="000B206D">
            <w:pPr>
              <w:spacing w:line="276" w:lineRule="auto"/>
              <w:ind w:left="72" w:right="72"/>
              <w:rPr>
                <w:rFonts w:cs="Times New Roman"/>
                <w:b/>
                <w:szCs w:val="24"/>
              </w:rPr>
            </w:pPr>
            <w:r w:rsidRPr="00F50C10">
              <w:rPr>
                <w:rFonts w:cs="Times New Roman"/>
                <w:b/>
                <w:szCs w:val="24"/>
              </w:rPr>
              <w:t>Mevcut tesisler</w:t>
            </w:r>
          </w:p>
        </w:tc>
        <w:tc>
          <w:tcPr>
            <w:tcW w:w="998" w:type="pct"/>
            <w:vAlign w:val="center"/>
          </w:tcPr>
          <w:p w14:paraId="56C3AD37"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&lt;10</w:t>
            </w:r>
          </w:p>
        </w:tc>
        <w:tc>
          <w:tcPr>
            <w:tcW w:w="996" w:type="pct"/>
            <w:vAlign w:val="center"/>
          </w:tcPr>
          <w:p w14:paraId="2BD8FA43"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&lt;5</w:t>
            </w:r>
          </w:p>
        </w:tc>
        <w:tc>
          <w:tcPr>
            <w:tcW w:w="998" w:type="pct"/>
            <w:vMerge/>
          </w:tcPr>
          <w:p w14:paraId="3E05A9AB" w14:textId="77777777" w:rsidR="00F6441B" w:rsidRPr="00F50C10" w:rsidRDefault="00F6441B" w:rsidP="000B206D">
            <w:pPr>
              <w:spacing w:line="276" w:lineRule="auto"/>
              <w:rPr>
                <w:rFonts w:cs="Times New Roman"/>
                <w:szCs w:val="24"/>
              </w:rPr>
            </w:pPr>
          </w:p>
        </w:tc>
      </w:tr>
    </w:tbl>
    <w:p w14:paraId="22337941" w14:textId="4B2DD22A" w:rsidR="00F6441B" w:rsidRPr="00F50C10" w:rsidRDefault="00F6441B" w:rsidP="000B206D">
      <w:pPr>
        <w:spacing w:line="276" w:lineRule="auto"/>
        <w:rPr>
          <w:rFonts w:cs="Times New Roman"/>
          <w:szCs w:val="24"/>
        </w:rPr>
      </w:pPr>
      <w:r w:rsidRPr="00F50C10">
        <w:rPr>
          <w:rFonts w:cs="Times New Roman"/>
          <w:b/>
          <w:bCs/>
          <w:szCs w:val="24"/>
        </w:rPr>
        <w:t xml:space="preserve">MET 65: </w:t>
      </w:r>
      <w:r w:rsidRPr="00F50C10">
        <w:rPr>
          <w:rFonts w:cs="Times New Roman"/>
          <w:szCs w:val="24"/>
        </w:rPr>
        <w:t xml:space="preserve">Mevcut tesislerde belirtilen seviyelere ulaşılamadığı takdirde, biyolojik atık su arıtma işlemi </w:t>
      </w:r>
      <w:r w:rsidR="00412D3F" w:rsidRPr="00F50C10">
        <w:rPr>
          <w:rFonts w:cs="Times New Roman"/>
          <w:szCs w:val="24"/>
        </w:rPr>
        <w:t>uygulanır</w:t>
      </w:r>
      <w:r w:rsidRPr="00F50C10">
        <w:rPr>
          <w:rFonts w:cs="Times New Roman"/>
          <w:szCs w:val="24"/>
        </w:rPr>
        <w:t>.</w:t>
      </w:r>
    </w:p>
    <w:p w14:paraId="2BBF68CA" w14:textId="77777777" w:rsidR="00F6441B" w:rsidRPr="00F50C10" w:rsidRDefault="00F6441B" w:rsidP="000B206D">
      <w:pPr>
        <w:spacing w:line="276" w:lineRule="auto"/>
        <w:rPr>
          <w:rFonts w:cs="Times New Roman"/>
          <w:b/>
          <w:bCs/>
          <w:szCs w:val="24"/>
        </w:rPr>
      </w:pPr>
      <w:r w:rsidRPr="00F50C10">
        <w:rPr>
          <w:rFonts w:cs="Times New Roman"/>
          <w:b/>
          <w:bCs/>
          <w:szCs w:val="24"/>
        </w:rPr>
        <w:t>MET 66: Referans Belgesi 8.4.13’e göre üre üretiminde en önemli performans parametrelerinin izlenmesidir.</w:t>
      </w:r>
    </w:p>
    <w:p w14:paraId="6923CD5F" w14:textId="77777777" w:rsidR="00F6441B" w:rsidRPr="00F50C10" w:rsidRDefault="00F6441B" w:rsidP="00A654AE">
      <w:pPr>
        <w:pStyle w:val="Balk2"/>
        <w:numPr>
          <w:ilvl w:val="1"/>
          <w:numId w:val="72"/>
        </w:numPr>
        <w:spacing w:line="276" w:lineRule="auto"/>
        <w:rPr>
          <w:rFonts w:cs="Times New Roman"/>
          <w:szCs w:val="24"/>
        </w:rPr>
      </w:pPr>
      <w:r w:rsidRPr="00F50C10">
        <w:rPr>
          <w:rFonts w:cs="Times New Roman"/>
          <w:szCs w:val="24"/>
        </w:rPr>
        <w:t>Amonyum Nitrat (AN)/Kalsiyum Amonyum Nitrat (CAN) için MET</w:t>
      </w:r>
    </w:p>
    <w:p w14:paraId="1D8A9400" w14:textId="39A3FD15" w:rsidR="00F6441B" w:rsidRPr="00F50C10" w:rsidRDefault="00F6441B" w:rsidP="000B206D">
      <w:pPr>
        <w:spacing w:line="276" w:lineRule="auto"/>
        <w:rPr>
          <w:rFonts w:cs="Times New Roman"/>
          <w:b/>
          <w:bCs/>
          <w:szCs w:val="24"/>
        </w:rPr>
      </w:pPr>
      <w:r w:rsidRPr="00F50C10">
        <w:rPr>
          <w:rFonts w:cs="Times New Roman"/>
          <w:b/>
          <w:bCs/>
          <w:szCs w:val="24"/>
        </w:rPr>
        <w:t xml:space="preserve">MET 67: </w:t>
      </w:r>
      <w:r w:rsidR="00A40D09" w:rsidRPr="00F50C10">
        <w:rPr>
          <w:rFonts w:cs="Times New Roman"/>
          <w:szCs w:val="24"/>
        </w:rPr>
        <w:t>Genel</w:t>
      </w:r>
      <w:r w:rsidRPr="00F50C10">
        <w:rPr>
          <w:rFonts w:cs="Times New Roman"/>
          <w:spacing w:val="-7"/>
          <w:szCs w:val="24"/>
        </w:rPr>
        <w:t xml:space="preserve"> </w:t>
      </w:r>
      <w:r w:rsidRPr="00F50C10">
        <w:rPr>
          <w:rFonts w:cs="Times New Roman"/>
          <w:szCs w:val="24"/>
        </w:rPr>
        <w:t>MET</w:t>
      </w:r>
      <w:r w:rsidRPr="00F50C10">
        <w:rPr>
          <w:rFonts w:cs="Times New Roman"/>
          <w:spacing w:val="-4"/>
          <w:szCs w:val="24"/>
        </w:rPr>
        <w:t xml:space="preserve"> </w:t>
      </w:r>
      <w:r w:rsidRPr="00F50C10">
        <w:rPr>
          <w:rFonts w:cs="Times New Roman"/>
          <w:szCs w:val="24"/>
        </w:rPr>
        <w:t>uygulan</w:t>
      </w:r>
      <w:r w:rsidR="00A40D09" w:rsidRPr="00F50C10">
        <w:rPr>
          <w:rFonts w:cs="Times New Roman"/>
          <w:szCs w:val="24"/>
        </w:rPr>
        <w:t>ı</w:t>
      </w:r>
      <w:r w:rsidRPr="00F50C10">
        <w:rPr>
          <w:rFonts w:cs="Times New Roman"/>
          <w:szCs w:val="24"/>
        </w:rPr>
        <w:t>r.</w:t>
      </w:r>
      <w:r w:rsidRPr="00F50C10">
        <w:rPr>
          <w:rFonts w:cs="Times New Roman"/>
          <w:b/>
          <w:bCs/>
          <w:szCs w:val="24"/>
        </w:rPr>
        <w:t xml:space="preserve"> </w:t>
      </w:r>
    </w:p>
    <w:p w14:paraId="685C7959" w14:textId="7E745A31" w:rsidR="00F6441B" w:rsidRPr="00F50C10" w:rsidRDefault="00F6441B" w:rsidP="000B206D">
      <w:pPr>
        <w:spacing w:line="276" w:lineRule="auto"/>
        <w:rPr>
          <w:rFonts w:cs="Times New Roman"/>
          <w:b/>
          <w:bCs/>
          <w:szCs w:val="24"/>
        </w:rPr>
      </w:pPr>
      <w:r w:rsidRPr="00F50C10">
        <w:rPr>
          <w:rFonts w:cs="Times New Roman"/>
          <w:b/>
          <w:bCs/>
          <w:szCs w:val="24"/>
        </w:rPr>
        <w:t xml:space="preserve">MET 68: </w:t>
      </w:r>
      <w:r w:rsidRPr="00F50C10">
        <w:rPr>
          <w:rFonts w:cs="Times New Roman"/>
          <w:szCs w:val="24"/>
        </w:rPr>
        <w:t xml:space="preserve">Depolama için </w:t>
      </w:r>
      <w:r w:rsidR="00E2071B" w:rsidRPr="00F50C10">
        <w:rPr>
          <w:rFonts w:cs="Times New Roman"/>
          <w:szCs w:val="24"/>
        </w:rPr>
        <w:t>Depolamadan Kaynaklanan Emisyonlara</w:t>
      </w:r>
      <w:r w:rsidRPr="00F50C10">
        <w:rPr>
          <w:rFonts w:cs="Times New Roman"/>
          <w:szCs w:val="24"/>
        </w:rPr>
        <w:t xml:space="preserve"> ilişkin MET Referans Belgesi’nde yer alan </w:t>
      </w:r>
      <w:r w:rsidR="00F05BC9" w:rsidRPr="00F50C10">
        <w:rPr>
          <w:rFonts w:cs="Times New Roman"/>
          <w:szCs w:val="24"/>
        </w:rPr>
        <w:t>MET</w:t>
      </w:r>
      <w:r w:rsidRPr="00F50C10">
        <w:rPr>
          <w:rFonts w:cs="Times New Roman"/>
          <w:szCs w:val="24"/>
        </w:rPr>
        <w:t xml:space="preserve"> uygulanır.</w:t>
      </w:r>
    </w:p>
    <w:p w14:paraId="3EA831C2" w14:textId="3813CD6F" w:rsidR="00F6441B" w:rsidRPr="00F50C10" w:rsidRDefault="00F6441B" w:rsidP="000B206D">
      <w:pPr>
        <w:spacing w:line="276" w:lineRule="auto"/>
        <w:rPr>
          <w:rFonts w:cs="Times New Roman"/>
          <w:b/>
          <w:bCs/>
          <w:szCs w:val="24"/>
        </w:rPr>
      </w:pPr>
      <w:r w:rsidRPr="00F50C10">
        <w:rPr>
          <w:rFonts w:cs="Times New Roman"/>
          <w:b/>
          <w:bCs/>
          <w:szCs w:val="24"/>
        </w:rPr>
        <w:t xml:space="preserve">MET 69: </w:t>
      </w:r>
      <w:r w:rsidRPr="00F50C10">
        <w:rPr>
          <w:rFonts w:cs="Times New Roman"/>
          <w:szCs w:val="24"/>
        </w:rPr>
        <w:t xml:space="preserve">Aşağıda yer alan tekniklerinin bir kombinasyonunun uygulanmasıyla </w:t>
      </w:r>
      <w:r w:rsidR="00E2071B" w:rsidRPr="00F50C10">
        <w:rPr>
          <w:rFonts w:cs="Times New Roman"/>
          <w:szCs w:val="24"/>
        </w:rPr>
        <w:t>nötralizasyon</w:t>
      </w:r>
      <w:r w:rsidRPr="00F50C10">
        <w:rPr>
          <w:rFonts w:cs="Times New Roman"/>
          <w:szCs w:val="24"/>
        </w:rPr>
        <w:t>/evaporasyon aşamaları optimize edilir:</w:t>
      </w:r>
    </w:p>
    <w:p w14:paraId="5589C4EE" w14:textId="37C53CB7" w:rsidR="00F6441B" w:rsidRPr="00F50C10" w:rsidRDefault="00F6441B" w:rsidP="00A654AE">
      <w:pPr>
        <w:pStyle w:val="ListeParagraf"/>
        <w:numPr>
          <w:ilvl w:val="0"/>
          <w:numId w:val="87"/>
        </w:numPr>
        <w:spacing w:before="120" w:after="60" w:line="276" w:lineRule="auto"/>
        <w:rPr>
          <w:rFonts w:cs="Times New Roman"/>
          <w:szCs w:val="24"/>
        </w:rPr>
      </w:pPr>
      <w:r w:rsidRPr="00F50C10">
        <w:rPr>
          <w:rFonts w:cs="Times New Roman"/>
          <w:szCs w:val="24"/>
        </w:rPr>
        <w:t>HNO</w:t>
      </w:r>
      <w:r w:rsidRPr="00F50C10">
        <w:rPr>
          <w:rFonts w:cs="Times New Roman"/>
          <w:szCs w:val="24"/>
          <w:vertAlign w:val="subscript"/>
        </w:rPr>
        <w:t>3</w:t>
      </w:r>
      <w:r w:rsidRPr="00F50C10">
        <w:rPr>
          <w:rFonts w:cs="Times New Roman"/>
          <w:szCs w:val="24"/>
        </w:rPr>
        <w:t>’ün önceden ısıtılması ve/veya NH</w:t>
      </w:r>
      <w:r w:rsidRPr="00F50C10">
        <w:rPr>
          <w:rFonts w:cs="Times New Roman"/>
          <w:szCs w:val="24"/>
          <w:vertAlign w:val="subscript"/>
        </w:rPr>
        <w:t>3</w:t>
      </w:r>
      <w:r w:rsidRPr="00F50C10">
        <w:rPr>
          <w:rFonts w:cs="Times New Roman"/>
          <w:szCs w:val="24"/>
        </w:rPr>
        <w:t>’ü buharlaştırılması için reaksiyon ısısının kullanılması</w:t>
      </w:r>
      <w:r w:rsidR="00A40D09" w:rsidRPr="00F50C10">
        <w:rPr>
          <w:rFonts w:cs="Times New Roman"/>
          <w:szCs w:val="24"/>
        </w:rPr>
        <w:t>,</w:t>
      </w:r>
    </w:p>
    <w:p w14:paraId="2154B60E" w14:textId="087F6854" w:rsidR="00F6441B" w:rsidRPr="00F50C10" w:rsidRDefault="00F6441B" w:rsidP="00A654AE">
      <w:pPr>
        <w:pStyle w:val="ListeParagraf"/>
        <w:numPr>
          <w:ilvl w:val="0"/>
          <w:numId w:val="87"/>
        </w:numPr>
        <w:spacing w:before="120" w:after="60" w:line="276" w:lineRule="auto"/>
        <w:rPr>
          <w:rFonts w:cs="Times New Roman"/>
          <w:szCs w:val="24"/>
        </w:rPr>
      </w:pPr>
      <w:r w:rsidRPr="00F50C10">
        <w:rPr>
          <w:rFonts w:cs="Times New Roman"/>
          <w:szCs w:val="24"/>
        </w:rPr>
        <w:t xml:space="preserve">artırılmış basınçta ve buhar vererek </w:t>
      </w:r>
      <w:r w:rsidR="00B160B5" w:rsidRPr="00F50C10">
        <w:rPr>
          <w:rFonts w:cs="Times New Roman"/>
          <w:szCs w:val="24"/>
        </w:rPr>
        <w:t>nötralizasyon</w:t>
      </w:r>
      <w:r w:rsidRPr="00F50C10">
        <w:rPr>
          <w:rFonts w:cs="Times New Roman"/>
          <w:szCs w:val="24"/>
        </w:rPr>
        <w:t xml:space="preserve"> işleminin gerçekleştirilmesi</w:t>
      </w:r>
      <w:r w:rsidR="00A40D09" w:rsidRPr="00F50C10">
        <w:rPr>
          <w:rFonts w:cs="Times New Roman"/>
          <w:szCs w:val="24"/>
        </w:rPr>
        <w:t>,</w:t>
      </w:r>
    </w:p>
    <w:p w14:paraId="49D8F786" w14:textId="54E78AF5" w:rsidR="00F6441B" w:rsidRPr="00F50C10" w:rsidRDefault="00F6441B" w:rsidP="00A654AE">
      <w:pPr>
        <w:pStyle w:val="ListeParagraf"/>
        <w:numPr>
          <w:ilvl w:val="0"/>
          <w:numId w:val="87"/>
        </w:numPr>
        <w:spacing w:before="120" w:after="60" w:line="276" w:lineRule="auto"/>
        <w:rPr>
          <w:rFonts w:cs="Times New Roman"/>
          <w:szCs w:val="24"/>
        </w:rPr>
      </w:pPr>
      <w:r w:rsidRPr="00F50C10">
        <w:rPr>
          <w:rFonts w:cs="Times New Roman"/>
          <w:szCs w:val="24"/>
        </w:rPr>
        <w:t>üretilen buharın amonyum nitrat çözeltisinden (ANS) gelen suyun buharlaştırılması için kullanılması</w:t>
      </w:r>
      <w:r w:rsidR="00A40D09" w:rsidRPr="00F50C10">
        <w:rPr>
          <w:rFonts w:cs="Times New Roman"/>
          <w:szCs w:val="24"/>
        </w:rPr>
        <w:t>,</w:t>
      </w:r>
    </w:p>
    <w:p w14:paraId="239CB19D" w14:textId="181E2F1A" w:rsidR="00F6441B" w:rsidRPr="00F50C10" w:rsidRDefault="00F6441B" w:rsidP="00A654AE">
      <w:pPr>
        <w:pStyle w:val="ListeParagraf"/>
        <w:numPr>
          <w:ilvl w:val="0"/>
          <w:numId w:val="87"/>
        </w:numPr>
        <w:spacing w:before="120" w:after="60" w:line="276" w:lineRule="auto"/>
        <w:rPr>
          <w:rFonts w:cs="Times New Roman"/>
          <w:szCs w:val="24"/>
        </w:rPr>
      </w:pPr>
      <w:r w:rsidRPr="00F50C10">
        <w:rPr>
          <w:rFonts w:cs="Times New Roman"/>
          <w:szCs w:val="24"/>
        </w:rPr>
        <w:t>proses suyunu soğutmak için atık ısının geri kazanılması</w:t>
      </w:r>
      <w:r w:rsidR="00A40D09" w:rsidRPr="00F50C10">
        <w:rPr>
          <w:rFonts w:cs="Times New Roman"/>
          <w:szCs w:val="24"/>
        </w:rPr>
        <w:t>,</w:t>
      </w:r>
    </w:p>
    <w:p w14:paraId="4D569705" w14:textId="77777777" w:rsidR="00F6441B" w:rsidRPr="00F50C10" w:rsidRDefault="00F6441B" w:rsidP="00A654AE">
      <w:pPr>
        <w:pStyle w:val="ListeParagraf"/>
        <w:numPr>
          <w:ilvl w:val="0"/>
          <w:numId w:val="87"/>
        </w:numPr>
        <w:spacing w:before="120" w:after="60" w:line="276" w:lineRule="auto"/>
        <w:rPr>
          <w:rFonts w:cs="Times New Roman"/>
          <w:szCs w:val="24"/>
        </w:rPr>
      </w:pPr>
      <w:r w:rsidRPr="00F50C10">
        <w:rPr>
          <w:rFonts w:cs="Times New Roman"/>
          <w:szCs w:val="24"/>
        </w:rPr>
        <w:t>üretilen buharın, proses kondensatörlerinin arıtılması için kullanılması,</w:t>
      </w:r>
    </w:p>
    <w:p w14:paraId="0DEC837F" w14:textId="77777777" w:rsidR="00F6441B" w:rsidRPr="00F50C10" w:rsidRDefault="00F6441B" w:rsidP="00A654AE">
      <w:pPr>
        <w:pStyle w:val="ListeParagraf"/>
        <w:numPr>
          <w:ilvl w:val="0"/>
          <w:numId w:val="87"/>
        </w:numPr>
        <w:spacing w:before="120" w:after="60" w:line="276" w:lineRule="auto"/>
        <w:rPr>
          <w:rFonts w:cs="Times New Roman"/>
          <w:szCs w:val="24"/>
        </w:rPr>
      </w:pPr>
      <w:r w:rsidRPr="00F50C10">
        <w:rPr>
          <w:rFonts w:cs="Times New Roman"/>
          <w:szCs w:val="24"/>
        </w:rPr>
        <w:t>ek su buharlaşması için reaksiyon ısısının kullanılması</w:t>
      </w:r>
    </w:p>
    <w:p w14:paraId="457D4919" w14:textId="025897E3" w:rsidR="00F6441B" w:rsidRPr="00F50C10" w:rsidRDefault="00F6441B" w:rsidP="000B206D">
      <w:pPr>
        <w:spacing w:line="276" w:lineRule="auto"/>
        <w:rPr>
          <w:rFonts w:cs="Times New Roman"/>
          <w:b/>
          <w:bCs/>
          <w:szCs w:val="24"/>
        </w:rPr>
      </w:pPr>
      <w:r w:rsidRPr="00F50C10">
        <w:rPr>
          <w:rFonts w:cs="Times New Roman"/>
          <w:b/>
          <w:bCs/>
          <w:szCs w:val="24"/>
        </w:rPr>
        <w:t xml:space="preserve">MET 70: </w:t>
      </w:r>
      <w:r w:rsidRPr="00F50C10">
        <w:rPr>
          <w:rFonts w:cs="Times New Roman"/>
          <w:szCs w:val="24"/>
        </w:rPr>
        <w:t>pH, akış ve sıcaklık seviyeleri etkin ve güvenilir bir şekilde kontrol edil</w:t>
      </w:r>
      <w:r w:rsidR="00F129EE" w:rsidRPr="00F50C10">
        <w:rPr>
          <w:rFonts w:cs="Times New Roman"/>
          <w:szCs w:val="24"/>
        </w:rPr>
        <w:t>i</w:t>
      </w:r>
      <w:r w:rsidRPr="00F50C10">
        <w:rPr>
          <w:rFonts w:cs="Times New Roman"/>
          <w:szCs w:val="24"/>
        </w:rPr>
        <w:t>r.</w:t>
      </w:r>
    </w:p>
    <w:p w14:paraId="726A1321" w14:textId="2EC72758" w:rsidR="00F6441B" w:rsidRPr="00F50C10" w:rsidRDefault="00F6441B" w:rsidP="000B206D">
      <w:pPr>
        <w:spacing w:line="276" w:lineRule="auto"/>
        <w:rPr>
          <w:rFonts w:cs="Times New Roman"/>
          <w:b/>
          <w:bCs/>
          <w:szCs w:val="24"/>
        </w:rPr>
      </w:pPr>
      <w:r w:rsidRPr="00F50C10">
        <w:rPr>
          <w:rFonts w:cs="Times New Roman"/>
          <w:b/>
          <w:bCs/>
          <w:szCs w:val="24"/>
        </w:rPr>
        <w:t xml:space="preserve">MET 71: </w:t>
      </w:r>
      <w:r w:rsidR="00985406" w:rsidRPr="00F50C10">
        <w:rPr>
          <w:rFonts w:cs="Times New Roman"/>
          <w:szCs w:val="24"/>
        </w:rPr>
        <w:t>Aşağıdaki tekniklerin birinin ya da birkaçının uygulanmasıyla bitirme bölümünün çevresel performansı iyileştirilir</w:t>
      </w:r>
      <w:r w:rsidRPr="00F50C10">
        <w:rPr>
          <w:rFonts w:cs="Times New Roman"/>
          <w:szCs w:val="24"/>
        </w:rPr>
        <w:t>:</w:t>
      </w:r>
    </w:p>
    <w:p w14:paraId="6A6CCB07" w14:textId="1C73539B" w:rsidR="00F6441B" w:rsidRPr="00F50C10" w:rsidRDefault="00F6441B" w:rsidP="00A654AE">
      <w:pPr>
        <w:pStyle w:val="ListeParagraf"/>
        <w:numPr>
          <w:ilvl w:val="0"/>
          <w:numId w:val="88"/>
        </w:numPr>
        <w:spacing w:before="120" w:after="60" w:line="276" w:lineRule="auto"/>
        <w:rPr>
          <w:rFonts w:cs="Times New Roman"/>
          <w:bCs/>
          <w:szCs w:val="24"/>
        </w:rPr>
      </w:pPr>
      <w:r w:rsidRPr="00F50C10">
        <w:rPr>
          <w:rFonts w:cs="Times New Roman"/>
          <w:szCs w:val="24"/>
        </w:rPr>
        <w:t>plakalı ürün soğutucuların kullanılması</w:t>
      </w:r>
      <w:r w:rsidR="00A40D09" w:rsidRPr="00F50C10">
        <w:rPr>
          <w:rFonts w:cs="Times New Roman"/>
          <w:szCs w:val="24"/>
        </w:rPr>
        <w:t>,</w:t>
      </w:r>
    </w:p>
    <w:p w14:paraId="6AB5B710" w14:textId="1F5B9911" w:rsidR="00F6441B" w:rsidRPr="00F50C10" w:rsidRDefault="00F6441B" w:rsidP="00A654AE">
      <w:pPr>
        <w:pStyle w:val="ListeParagraf"/>
        <w:numPr>
          <w:ilvl w:val="0"/>
          <w:numId w:val="88"/>
        </w:numPr>
        <w:spacing w:before="120" w:after="60" w:line="276" w:lineRule="auto"/>
        <w:rPr>
          <w:rFonts w:cs="Times New Roman"/>
          <w:bCs/>
          <w:szCs w:val="24"/>
        </w:rPr>
      </w:pPr>
      <w:r w:rsidRPr="00F50C10">
        <w:rPr>
          <w:rFonts w:cs="Times New Roman"/>
          <w:szCs w:val="24"/>
        </w:rPr>
        <w:t>sıcak havanın geri dönüştürülmesi</w:t>
      </w:r>
      <w:r w:rsidR="00A40D09" w:rsidRPr="00F50C10">
        <w:rPr>
          <w:rFonts w:cs="Times New Roman"/>
          <w:szCs w:val="24"/>
        </w:rPr>
        <w:t>,</w:t>
      </w:r>
    </w:p>
    <w:p w14:paraId="0181369C" w14:textId="716EF0A4" w:rsidR="00985406" w:rsidRPr="00F50C10" w:rsidRDefault="00985406" w:rsidP="00A654AE">
      <w:pPr>
        <w:pStyle w:val="ListeParagraf"/>
        <w:numPr>
          <w:ilvl w:val="0"/>
          <w:numId w:val="88"/>
        </w:numPr>
        <w:spacing w:before="120" w:after="60" w:line="276" w:lineRule="auto"/>
        <w:rPr>
          <w:rFonts w:cs="Times New Roman"/>
          <w:bCs/>
          <w:szCs w:val="24"/>
        </w:rPr>
      </w:pPr>
      <w:r w:rsidRPr="00F50C10">
        <w:rPr>
          <w:rFonts w:cs="Times New Roman"/>
          <w:szCs w:val="24"/>
        </w:rPr>
        <w:t>uygun boyutta eleklerin, döner ve zincirli değirmenlerin seçilmesi</w:t>
      </w:r>
      <w:r w:rsidR="00A40D09" w:rsidRPr="00F50C10">
        <w:rPr>
          <w:rFonts w:cs="Times New Roman"/>
          <w:szCs w:val="24"/>
        </w:rPr>
        <w:t>,</w:t>
      </w:r>
    </w:p>
    <w:p w14:paraId="5518B991" w14:textId="3482C968" w:rsidR="00985406" w:rsidRPr="00F50C10" w:rsidRDefault="00985406" w:rsidP="00A654AE">
      <w:pPr>
        <w:pStyle w:val="ListeParagraf"/>
        <w:numPr>
          <w:ilvl w:val="0"/>
          <w:numId w:val="88"/>
        </w:numPr>
        <w:spacing w:before="120" w:after="60" w:line="276" w:lineRule="auto"/>
        <w:rPr>
          <w:rFonts w:cs="Times New Roman"/>
          <w:bCs/>
          <w:szCs w:val="24"/>
        </w:rPr>
      </w:pPr>
      <w:r w:rsidRPr="00F50C10">
        <w:rPr>
          <w:rFonts w:cs="Times New Roman"/>
          <w:szCs w:val="24"/>
        </w:rPr>
        <w:t>granülasyon geri dönüşüm döngüsünün kontrol edilmesinde kantar altı silosunun kullanılması</w:t>
      </w:r>
      <w:r w:rsidR="00A40D09" w:rsidRPr="00F50C10">
        <w:rPr>
          <w:rFonts w:cs="Times New Roman"/>
          <w:szCs w:val="24"/>
        </w:rPr>
        <w:t>,</w:t>
      </w:r>
    </w:p>
    <w:p w14:paraId="470DF65E" w14:textId="6191FCDF" w:rsidR="00F6441B" w:rsidRPr="00F50C10" w:rsidRDefault="00F6441B" w:rsidP="00A654AE">
      <w:pPr>
        <w:pStyle w:val="ListeParagraf"/>
        <w:numPr>
          <w:ilvl w:val="0"/>
          <w:numId w:val="88"/>
        </w:numPr>
        <w:spacing w:before="120" w:after="60" w:line="276" w:lineRule="auto"/>
        <w:rPr>
          <w:rFonts w:cs="Times New Roman"/>
          <w:bCs/>
          <w:szCs w:val="24"/>
        </w:rPr>
      </w:pPr>
      <w:r w:rsidRPr="00F50C10">
        <w:rPr>
          <w:rFonts w:cs="Times New Roman"/>
          <w:szCs w:val="24"/>
        </w:rPr>
        <w:t>ürün boyutu dağılım önlemlerinin alınması ve</w:t>
      </w:r>
      <w:r w:rsidR="00A40D09" w:rsidRPr="00F50C10">
        <w:rPr>
          <w:rFonts w:cs="Times New Roman"/>
          <w:szCs w:val="24"/>
        </w:rPr>
        <w:t xml:space="preserve"> kontrol.</w:t>
      </w:r>
    </w:p>
    <w:p w14:paraId="7DB14CC9" w14:textId="53EA5412" w:rsidR="00F6441B" w:rsidRPr="00F50C10" w:rsidRDefault="00F6441B" w:rsidP="000B206D">
      <w:pPr>
        <w:spacing w:line="276" w:lineRule="auto"/>
        <w:rPr>
          <w:rFonts w:cs="Times New Roman"/>
          <w:b/>
          <w:bCs/>
          <w:szCs w:val="24"/>
        </w:rPr>
      </w:pPr>
      <w:r w:rsidRPr="00F50C10">
        <w:rPr>
          <w:rFonts w:cs="Times New Roman"/>
          <w:b/>
          <w:bCs/>
          <w:szCs w:val="24"/>
        </w:rPr>
        <w:t xml:space="preserve">MET 72: </w:t>
      </w:r>
      <w:r w:rsidR="009A2327" w:rsidRPr="00F50C10">
        <w:rPr>
          <w:rFonts w:cs="Times New Roman"/>
          <w:szCs w:val="24"/>
        </w:rPr>
        <w:t>Bez</w:t>
      </w:r>
      <w:r w:rsidRPr="00F50C10">
        <w:rPr>
          <w:rFonts w:cs="Times New Roman"/>
          <w:szCs w:val="24"/>
        </w:rPr>
        <w:t xml:space="preserve"> filtrelerin kullanılmasıyla dolomit öğütücülerden çıkan emisyonlar &lt;10 mg/Nm</w:t>
      </w:r>
      <w:r w:rsidRPr="00F50C10">
        <w:rPr>
          <w:rFonts w:cs="Times New Roman"/>
          <w:szCs w:val="24"/>
          <w:vertAlign w:val="superscript"/>
        </w:rPr>
        <w:t>3</w:t>
      </w:r>
      <w:r w:rsidRPr="00F50C10">
        <w:rPr>
          <w:rFonts w:cs="Times New Roman"/>
          <w:szCs w:val="24"/>
        </w:rPr>
        <w:t>’e kadar düşürül</w:t>
      </w:r>
      <w:r w:rsidR="00A40D09" w:rsidRPr="00F50C10">
        <w:rPr>
          <w:rFonts w:cs="Times New Roman"/>
          <w:szCs w:val="24"/>
        </w:rPr>
        <w:t>ür.</w:t>
      </w:r>
    </w:p>
    <w:p w14:paraId="15DBB6A7" w14:textId="471112B8" w:rsidR="00F6441B" w:rsidRPr="00F50C10" w:rsidRDefault="00F6441B" w:rsidP="000B206D">
      <w:pPr>
        <w:spacing w:line="276" w:lineRule="auto"/>
        <w:rPr>
          <w:rFonts w:cs="Times New Roman"/>
          <w:b/>
          <w:bCs/>
          <w:szCs w:val="24"/>
        </w:rPr>
      </w:pPr>
      <w:r w:rsidRPr="00F50C10">
        <w:rPr>
          <w:rFonts w:cs="Times New Roman"/>
          <w:b/>
          <w:bCs/>
          <w:szCs w:val="24"/>
        </w:rPr>
        <w:t xml:space="preserve">MET 73: </w:t>
      </w:r>
      <w:r w:rsidRPr="00F50C10">
        <w:rPr>
          <w:rFonts w:cs="Times New Roman"/>
          <w:szCs w:val="24"/>
        </w:rPr>
        <w:t xml:space="preserve">Proses suyu tesis içi ve tesis dışında geri dönüştürülmesi </w:t>
      </w:r>
      <w:r w:rsidR="00985406" w:rsidRPr="00F50C10">
        <w:rPr>
          <w:rFonts w:cs="Times New Roman"/>
          <w:szCs w:val="24"/>
        </w:rPr>
        <w:t>v</w:t>
      </w:r>
      <w:r w:rsidRPr="00F50C10">
        <w:rPr>
          <w:rFonts w:cs="Times New Roman"/>
          <w:szCs w:val="24"/>
        </w:rPr>
        <w:t xml:space="preserve">e geriye kalan atık suyun biyolojik arıtma tesisinde arıtılması veya </w:t>
      </w:r>
      <w:r w:rsidR="00985406" w:rsidRPr="00F50C10">
        <w:rPr>
          <w:rFonts w:cs="Times New Roman"/>
          <w:szCs w:val="24"/>
        </w:rPr>
        <w:t>eş değer bir</w:t>
      </w:r>
      <w:r w:rsidRPr="00F50C10">
        <w:rPr>
          <w:rFonts w:cs="Times New Roman"/>
          <w:szCs w:val="24"/>
        </w:rPr>
        <w:t xml:space="preserve"> </w:t>
      </w:r>
      <w:r w:rsidR="00985406" w:rsidRPr="00F50C10">
        <w:rPr>
          <w:rFonts w:cs="Times New Roman"/>
          <w:szCs w:val="24"/>
        </w:rPr>
        <w:t>giderim verimliliği</w:t>
      </w:r>
      <w:r w:rsidRPr="00F50C10">
        <w:rPr>
          <w:rFonts w:cs="Times New Roman"/>
          <w:szCs w:val="24"/>
        </w:rPr>
        <w:t xml:space="preserve"> </w:t>
      </w:r>
      <w:r w:rsidR="00985406" w:rsidRPr="00F50C10">
        <w:rPr>
          <w:rFonts w:cs="Times New Roman"/>
          <w:szCs w:val="24"/>
        </w:rPr>
        <w:t xml:space="preserve">sağlamak </w:t>
      </w:r>
      <w:r w:rsidRPr="00F50C10">
        <w:rPr>
          <w:rFonts w:cs="Times New Roman"/>
          <w:szCs w:val="24"/>
        </w:rPr>
        <w:t>amacıyla diğer teknikler kullanılarak arıtıl</w:t>
      </w:r>
      <w:r w:rsidR="00A40D09" w:rsidRPr="00F50C10">
        <w:rPr>
          <w:rFonts w:cs="Times New Roman"/>
          <w:szCs w:val="24"/>
        </w:rPr>
        <w:t>ır</w:t>
      </w:r>
      <w:r w:rsidRPr="00F50C10">
        <w:rPr>
          <w:rFonts w:cs="Times New Roman"/>
          <w:szCs w:val="24"/>
        </w:rPr>
        <w:t>.</w:t>
      </w:r>
      <w:r w:rsidRPr="00F50C10">
        <w:rPr>
          <w:rFonts w:cs="Times New Roman"/>
          <w:b/>
          <w:bCs/>
          <w:szCs w:val="24"/>
        </w:rPr>
        <w:t xml:space="preserve"> </w:t>
      </w:r>
    </w:p>
    <w:p w14:paraId="28FAF36B" w14:textId="77777777" w:rsidR="00F6441B" w:rsidRPr="00F50C10" w:rsidRDefault="00F6441B" w:rsidP="00A654AE">
      <w:pPr>
        <w:pStyle w:val="Balk2"/>
        <w:numPr>
          <w:ilvl w:val="1"/>
          <w:numId w:val="72"/>
        </w:numPr>
        <w:spacing w:line="276" w:lineRule="auto"/>
        <w:rPr>
          <w:rFonts w:cs="Times New Roman"/>
          <w:szCs w:val="24"/>
        </w:rPr>
      </w:pPr>
      <w:r w:rsidRPr="00F50C10">
        <w:rPr>
          <w:rFonts w:cs="Times New Roman"/>
          <w:szCs w:val="24"/>
        </w:rPr>
        <w:t>Süperfosfatlar için MET</w:t>
      </w:r>
    </w:p>
    <w:p w14:paraId="3E59260A" w14:textId="41A7F1DF" w:rsidR="00F6441B" w:rsidRPr="00F50C10" w:rsidRDefault="00F6441B" w:rsidP="000B206D">
      <w:pPr>
        <w:spacing w:line="276" w:lineRule="auto"/>
        <w:rPr>
          <w:rFonts w:cs="Times New Roman"/>
          <w:b/>
          <w:bCs/>
          <w:szCs w:val="24"/>
        </w:rPr>
      </w:pPr>
      <w:r w:rsidRPr="00F50C10">
        <w:rPr>
          <w:rFonts w:cs="Times New Roman"/>
          <w:b/>
          <w:bCs/>
          <w:szCs w:val="24"/>
        </w:rPr>
        <w:t xml:space="preserve">MET 74: </w:t>
      </w:r>
      <w:r w:rsidR="00A40D09" w:rsidRPr="00F50C10">
        <w:rPr>
          <w:rFonts w:cs="Times New Roman"/>
          <w:b/>
          <w:bCs/>
          <w:szCs w:val="24"/>
        </w:rPr>
        <w:t>Genel</w:t>
      </w:r>
      <w:r w:rsidRPr="00F50C10">
        <w:rPr>
          <w:rFonts w:cs="Times New Roman"/>
          <w:b/>
          <w:bCs/>
          <w:spacing w:val="-7"/>
          <w:szCs w:val="24"/>
        </w:rPr>
        <w:t xml:space="preserve"> </w:t>
      </w:r>
      <w:r w:rsidRPr="00F50C10">
        <w:rPr>
          <w:rFonts w:cs="Times New Roman"/>
          <w:b/>
          <w:bCs/>
          <w:szCs w:val="24"/>
        </w:rPr>
        <w:t>MET</w:t>
      </w:r>
      <w:r w:rsidRPr="00F50C10">
        <w:rPr>
          <w:rFonts w:cs="Times New Roman"/>
          <w:b/>
          <w:bCs/>
          <w:spacing w:val="-4"/>
          <w:szCs w:val="24"/>
        </w:rPr>
        <w:t xml:space="preserve"> </w:t>
      </w:r>
      <w:r w:rsidRPr="00F50C10">
        <w:rPr>
          <w:rFonts w:cs="Times New Roman"/>
          <w:b/>
          <w:bCs/>
          <w:szCs w:val="24"/>
        </w:rPr>
        <w:t xml:space="preserve">uygulanır. </w:t>
      </w:r>
    </w:p>
    <w:p w14:paraId="7D15231F" w14:textId="683EBE17" w:rsidR="00F6441B" w:rsidRPr="00F50C10" w:rsidRDefault="00F6441B" w:rsidP="000B206D">
      <w:pPr>
        <w:spacing w:line="276" w:lineRule="auto"/>
        <w:rPr>
          <w:rFonts w:cs="Times New Roman"/>
          <w:b/>
          <w:bCs/>
          <w:szCs w:val="24"/>
        </w:rPr>
      </w:pPr>
      <w:r w:rsidRPr="00F50C10">
        <w:rPr>
          <w:rFonts w:cs="Times New Roman"/>
          <w:b/>
          <w:bCs/>
          <w:szCs w:val="24"/>
        </w:rPr>
        <w:t xml:space="preserve">MET 75: </w:t>
      </w:r>
      <w:r w:rsidRPr="00F50C10">
        <w:rPr>
          <w:rFonts w:cs="Times New Roman"/>
          <w:szCs w:val="24"/>
        </w:rPr>
        <w:t xml:space="preserve">Depolama için </w:t>
      </w:r>
      <w:r w:rsidR="00E2071B" w:rsidRPr="00F50C10">
        <w:rPr>
          <w:rFonts w:cs="Times New Roman"/>
          <w:szCs w:val="24"/>
        </w:rPr>
        <w:t>Depolamadan Kaynaklanan Emisyonlara</w:t>
      </w:r>
      <w:r w:rsidRPr="00F50C10">
        <w:rPr>
          <w:rFonts w:cs="Times New Roman"/>
          <w:szCs w:val="24"/>
        </w:rPr>
        <w:t xml:space="preserve"> ilişkin MET Referans Belgesi’nde yer alan </w:t>
      </w:r>
      <w:r w:rsidR="00F05BC9" w:rsidRPr="00F50C10">
        <w:rPr>
          <w:rFonts w:cs="Times New Roman"/>
          <w:szCs w:val="24"/>
        </w:rPr>
        <w:t>MET</w:t>
      </w:r>
      <w:r w:rsidRPr="00F50C10">
        <w:rPr>
          <w:rFonts w:cs="Times New Roman"/>
          <w:szCs w:val="24"/>
        </w:rPr>
        <w:t xml:space="preserve"> uygulanır.</w:t>
      </w:r>
    </w:p>
    <w:p w14:paraId="2EF16622" w14:textId="14B7CBA8" w:rsidR="00F6441B" w:rsidRPr="00F50C10" w:rsidRDefault="00F6441B" w:rsidP="000B206D">
      <w:pPr>
        <w:spacing w:line="276" w:lineRule="auto"/>
        <w:rPr>
          <w:rFonts w:cs="Times New Roman"/>
          <w:szCs w:val="24"/>
        </w:rPr>
      </w:pPr>
      <w:r w:rsidRPr="00F50C10">
        <w:rPr>
          <w:rFonts w:cs="Times New Roman"/>
          <w:b/>
          <w:bCs/>
          <w:szCs w:val="24"/>
        </w:rPr>
        <w:t xml:space="preserve">Met 76:  </w:t>
      </w:r>
      <w:r w:rsidRPr="00F50C10">
        <w:rPr>
          <w:rFonts w:cs="Times New Roman"/>
          <w:szCs w:val="24"/>
        </w:rPr>
        <w:t xml:space="preserve">Atık su arıtma için Kimya </w:t>
      </w:r>
      <w:r w:rsidR="00985406" w:rsidRPr="00F50C10">
        <w:rPr>
          <w:rFonts w:cs="Times New Roman"/>
          <w:szCs w:val="24"/>
        </w:rPr>
        <w:t>S</w:t>
      </w:r>
      <w:r w:rsidRPr="00F50C10">
        <w:rPr>
          <w:rFonts w:cs="Times New Roman"/>
          <w:szCs w:val="24"/>
        </w:rPr>
        <w:t xml:space="preserve">ektöründe </w:t>
      </w:r>
      <w:r w:rsidR="00985406" w:rsidRPr="00F50C10">
        <w:rPr>
          <w:rFonts w:cs="Times New Roman"/>
          <w:szCs w:val="24"/>
        </w:rPr>
        <w:t>O</w:t>
      </w:r>
      <w:r w:rsidRPr="00F50C10">
        <w:rPr>
          <w:rFonts w:cs="Times New Roman"/>
          <w:szCs w:val="24"/>
        </w:rPr>
        <w:t xml:space="preserve">rtak </w:t>
      </w:r>
      <w:r w:rsidR="00985406" w:rsidRPr="00F50C10">
        <w:rPr>
          <w:rFonts w:cs="Times New Roman"/>
          <w:szCs w:val="24"/>
        </w:rPr>
        <w:t>A</w:t>
      </w:r>
      <w:r w:rsidRPr="00F50C10">
        <w:rPr>
          <w:rFonts w:cs="Times New Roman"/>
          <w:szCs w:val="24"/>
        </w:rPr>
        <w:t xml:space="preserve">tık </w:t>
      </w:r>
      <w:r w:rsidR="00985406" w:rsidRPr="00F50C10">
        <w:rPr>
          <w:rFonts w:cs="Times New Roman"/>
          <w:szCs w:val="24"/>
        </w:rPr>
        <w:t>S</w:t>
      </w:r>
      <w:r w:rsidRPr="00F50C10">
        <w:rPr>
          <w:rFonts w:cs="Times New Roman"/>
          <w:szCs w:val="24"/>
        </w:rPr>
        <w:t xml:space="preserve">u ve </w:t>
      </w:r>
      <w:r w:rsidR="00985406" w:rsidRPr="00F50C10">
        <w:rPr>
          <w:rFonts w:cs="Times New Roman"/>
          <w:szCs w:val="24"/>
        </w:rPr>
        <w:t>A</w:t>
      </w:r>
      <w:r w:rsidRPr="00F50C10">
        <w:rPr>
          <w:rFonts w:cs="Times New Roman"/>
          <w:szCs w:val="24"/>
        </w:rPr>
        <w:t xml:space="preserve">tık </w:t>
      </w:r>
      <w:r w:rsidR="00985406" w:rsidRPr="00F50C10">
        <w:rPr>
          <w:rFonts w:cs="Times New Roman"/>
          <w:szCs w:val="24"/>
        </w:rPr>
        <w:t>G</w:t>
      </w:r>
      <w:r w:rsidRPr="00F50C10">
        <w:rPr>
          <w:rFonts w:cs="Times New Roman"/>
          <w:szCs w:val="24"/>
        </w:rPr>
        <w:t xml:space="preserve">az </w:t>
      </w:r>
      <w:r w:rsidR="00985406" w:rsidRPr="00F50C10">
        <w:rPr>
          <w:rFonts w:cs="Times New Roman"/>
          <w:szCs w:val="24"/>
        </w:rPr>
        <w:t>A</w:t>
      </w:r>
      <w:r w:rsidRPr="00F50C10">
        <w:rPr>
          <w:rFonts w:cs="Times New Roman"/>
          <w:szCs w:val="24"/>
        </w:rPr>
        <w:t xml:space="preserve">rıtımına ilişkin MET Referans Belgesi’nde yer alan </w:t>
      </w:r>
      <w:r w:rsidR="00F05BC9" w:rsidRPr="00F50C10">
        <w:rPr>
          <w:rFonts w:cs="Times New Roman"/>
          <w:szCs w:val="24"/>
        </w:rPr>
        <w:t>MET</w:t>
      </w:r>
      <w:r w:rsidRPr="00F50C10">
        <w:rPr>
          <w:rFonts w:cs="Times New Roman"/>
          <w:szCs w:val="24"/>
        </w:rPr>
        <w:t xml:space="preserve"> uygulan</w:t>
      </w:r>
      <w:r w:rsidR="00F129EE" w:rsidRPr="00F50C10">
        <w:rPr>
          <w:rFonts w:cs="Times New Roman"/>
          <w:szCs w:val="24"/>
        </w:rPr>
        <w:t>ır</w:t>
      </w:r>
      <w:r w:rsidRPr="00F50C10">
        <w:rPr>
          <w:rFonts w:cs="Times New Roman"/>
          <w:szCs w:val="24"/>
        </w:rPr>
        <w:t>.</w:t>
      </w:r>
    </w:p>
    <w:p w14:paraId="5EBF3F14" w14:textId="4AC89105" w:rsidR="00985406" w:rsidRPr="00F50C10" w:rsidRDefault="00F6441B" w:rsidP="000B206D">
      <w:pPr>
        <w:spacing w:after="120" w:line="276" w:lineRule="auto"/>
        <w:rPr>
          <w:rFonts w:cs="Times New Roman"/>
          <w:b/>
          <w:bCs/>
          <w:szCs w:val="24"/>
        </w:rPr>
      </w:pPr>
      <w:r w:rsidRPr="00F50C10">
        <w:rPr>
          <w:rFonts w:cs="Times New Roman"/>
          <w:b/>
          <w:bCs/>
          <w:szCs w:val="24"/>
        </w:rPr>
        <w:t xml:space="preserve">MET 77: </w:t>
      </w:r>
      <w:r w:rsidR="00985406" w:rsidRPr="00F50C10">
        <w:rPr>
          <w:rFonts w:cs="Times New Roman"/>
          <w:szCs w:val="24"/>
        </w:rPr>
        <w:t>Toz seviyeleri, bez filtrelerin ya da seramik filtrelerin kullanılması gibi yöntemlerle, 2.5 – 10 mg/Nm</w:t>
      </w:r>
      <w:r w:rsidR="00985406" w:rsidRPr="00F50C10">
        <w:rPr>
          <w:rFonts w:cs="Times New Roman"/>
          <w:szCs w:val="24"/>
          <w:vertAlign w:val="superscript"/>
        </w:rPr>
        <w:t>3</w:t>
      </w:r>
      <w:r w:rsidR="00985406" w:rsidRPr="00F50C10">
        <w:rPr>
          <w:rFonts w:cs="Times New Roman"/>
          <w:szCs w:val="24"/>
        </w:rPr>
        <w:t>’e düşürül</w:t>
      </w:r>
      <w:r w:rsidR="00F129EE" w:rsidRPr="00F50C10">
        <w:rPr>
          <w:rFonts w:cs="Times New Roman"/>
          <w:szCs w:val="24"/>
        </w:rPr>
        <w:t>ür</w:t>
      </w:r>
      <w:r w:rsidR="00985406" w:rsidRPr="00F50C10">
        <w:rPr>
          <w:rFonts w:cs="Times New Roman"/>
          <w:szCs w:val="24"/>
        </w:rPr>
        <w:t xml:space="preserve"> ve kaya öğütme işleminde ortaya çıkan toz emisyonları azaltıl</w:t>
      </w:r>
      <w:r w:rsidR="00F129EE" w:rsidRPr="00F50C10">
        <w:rPr>
          <w:rFonts w:cs="Times New Roman"/>
          <w:szCs w:val="24"/>
        </w:rPr>
        <w:t>ır</w:t>
      </w:r>
      <w:r w:rsidR="00985406" w:rsidRPr="00F50C10">
        <w:rPr>
          <w:rFonts w:cs="Times New Roman"/>
          <w:szCs w:val="24"/>
        </w:rPr>
        <w:t>.</w:t>
      </w:r>
    </w:p>
    <w:p w14:paraId="69E3C82A" w14:textId="50CB2ADC" w:rsidR="00985406" w:rsidRPr="00F50C10" w:rsidRDefault="00985406" w:rsidP="000B206D">
      <w:pPr>
        <w:spacing w:after="120" w:line="276" w:lineRule="auto"/>
        <w:rPr>
          <w:rFonts w:cs="Times New Roman"/>
          <w:szCs w:val="24"/>
        </w:rPr>
      </w:pPr>
      <w:r w:rsidRPr="00F50C10">
        <w:rPr>
          <w:rFonts w:cs="Times New Roman"/>
          <w:b/>
          <w:bCs/>
          <w:szCs w:val="24"/>
        </w:rPr>
        <w:t xml:space="preserve">MET 78: </w:t>
      </w:r>
      <w:r w:rsidRPr="00F50C10">
        <w:rPr>
          <w:rFonts w:cs="Times New Roman"/>
          <w:szCs w:val="24"/>
        </w:rPr>
        <w:t>Kapalı taşıma bantları kullanılması, kapalı alanda depolama yapılması, tesis alanlarının ve sahanın sık sık süpürülmesi/temizlenmesi ile fosfat kayası tozunun dağılması önlenir</w:t>
      </w:r>
      <w:r w:rsidR="00F129EE" w:rsidRPr="00F50C10">
        <w:rPr>
          <w:rFonts w:cs="Times New Roman"/>
          <w:szCs w:val="24"/>
        </w:rPr>
        <w:t>.</w:t>
      </w:r>
    </w:p>
    <w:p w14:paraId="6282F4A8" w14:textId="59052341" w:rsidR="00985406" w:rsidRPr="00F50C10" w:rsidRDefault="00985406" w:rsidP="000B206D">
      <w:pPr>
        <w:spacing w:line="276" w:lineRule="auto"/>
        <w:rPr>
          <w:rFonts w:cs="Times New Roman"/>
          <w:szCs w:val="24"/>
        </w:rPr>
      </w:pPr>
      <w:r w:rsidRPr="00F50C10">
        <w:rPr>
          <w:rFonts w:cs="Times New Roman"/>
          <w:b/>
          <w:bCs/>
          <w:szCs w:val="24"/>
        </w:rPr>
        <w:t xml:space="preserve">MET 79: </w:t>
      </w:r>
      <w:r w:rsidRPr="00F50C10">
        <w:rPr>
          <w:rFonts w:cs="Times New Roman"/>
          <w:szCs w:val="24"/>
        </w:rPr>
        <w:t>Aşağıdaki tekniklerin birinin ya da birkaçının uygulanmasıyla bitirme bölümünün çevresel performansı iyileştirilir:</w:t>
      </w:r>
    </w:p>
    <w:p w14:paraId="54F0C578" w14:textId="67BDAB9E" w:rsidR="00985406" w:rsidRPr="00F50C10" w:rsidRDefault="00985406" w:rsidP="00A654AE">
      <w:pPr>
        <w:pStyle w:val="ListeParagraf"/>
        <w:numPr>
          <w:ilvl w:val="0"/>
          <w:numId w:val="143"/>
        </w:numPr>
        <w:spacing w:before="120" w:after="60" w:line="276" w:lineRule="auto"/>
        <w:rPr>
          <w:rFonts w:cs="Times New Roman"/>
          <w:bCs/>
          <w:szCs w:val="24"/>
        </w:rPr>
      </w:pPr>
      <w:r w:rsidRPr="00F50C10">
        <w:rPr>
          <w:rFonts w:cs="Times New Roman"/>
          <w:szCs w:val="24"/>
        </w:rPr>
        <w:t>plakalı ürün soğutucunun kullanılması</w:t>
      </w:r>
      <w:r w:rsidR="00F129EE" w:rsidRPr="00F50C10">
        <w:rPr>
          <w:rFonts w:cs="Times New Roman"/>
          <w:szCs w:val="24"/>
        </w:rPr>
        <w:t>,</w:t>
      </w:r>
    </w:p>
    <w:p w14:paraId="33D470C6" w14:textId="55CDCC89" w:rsidR="00985406" w:rsidRPr="00F50C10" w:rsidRDefault="00985406" w:rsidP="00A654AE">
      <w:pPr>
        <w:pStyle w:val="ListeParagraf"/>
        <w:numPr>
          <w:ilvl w:val="0"/>
          <w:numId w:val="143"/>
        </w:numPr>
        <w:spacing w:before="120" w:after="60" w:line="276" w:lineRule="auto"/>
        <w:rPr>
          <w:rFonts w:cs="Times New Roman"/>
          <w:bCs/>
          <w:szCs w:val="24"/>
        </w:rPr>
      </w:pPr>
      <w:r w:rsidRPr="00F50C10">
        <w:rPr>
          <w:rFonts w:cs="Times New Roman"/>
          <w:szCs w:val="24"/>
        </w:rPr>
        <w:t>sıcak havanın geri dönüştürülmesi</w:t>
      </w:r>
      <w:r w:rsidR="00F129EE" w:rsidRPr="00F50C10">
        <w:rPr>
          <w:rFonts w:cs="Times New Roman"/>
          <w:szCs w:val="24"/>
        </w:rPr>
        <w:t>,</w:t>
      </w:r>
    </w:p>
    <w:p w14:paraId="77F73025" w14:textId="3F5C226B" w:rsidR="00985406" w:rsidRPr="00F50C10" w:rsidRDefault="00985406" w:rsidP="00A654AE">
      <w:pPr>
        <w:pStyle w:val="ListeParagraf"/>
        <w:numPr>
          <w:ilvl w:val="0"/>
          <w:numId w:val="143"/>
        </w:numPr>
        <w:spacing w:before="120" w:after="60" w:line="276" w:lineRule="auto"/>
        <w:rPr>
          <w:rFonts w:cs="Times New Roman"/>
          <w:bCs/>
          <w:szCs w:val="24"/>
        </w:rPr>
      </w:pPr>
      <w:r w:rsidRPr="00F50C10">
        <w:rPr>
          <w:rFonts w:cs="Times New Roman"/>
          <w:szCs w:val="24"/>
        </w:rPr>
        <w:t xml:space="preserve">uygun boyutta eleklerin, döner ve zincirli değirmenlerin </w:t>
      </w:r>
      <w:r w:rsidR="00F129EE" w:rsidRPr="00F50C10">
        <w:rPr>
          <w:rFonts w:cs="Times New Roman"/>
          <w:szCs w:val="24"/>
        </w:rPr>
        <w:t>seçilmesi,</w:t>
      </w:r>
    </w:p>
    <w:p w14:paraId="60FF01F0" w14:textId="4174BB41" w:rsidR="00985406" w:rsidRPr="00F50C10" w:rsidRDefault="00985406" w:rsidP="00A654AE">
      <w:pPr>
        <w:pStyle w:val="ListeParagraf"/>
        <w:numPr>
          <w:ilvl w:val="0"/>
          <w:numId w:val="143"/>
        </w:numPr>
        <w:spacing w:before="120" w:after="60" w:line="276" w:lineRule="auto"/>
        <w:rPr>
          <w:rFonts w:cs="Times New Roman"/>
          <w:bCs/>
          <w:szCs w:val="24"/>
        </w:rPr>
      </w:pPr>
      <w:r w:rsidRPr="00F50C10">
        <w:rPr>
          <w:rFonts w:cs="Times New Roman"/>
          <w:szCs w:val="24"/>
        </w:rPr>
        <w:t>granülasyon geri dönüşüm döngüsünün kontrol edilmesinde kantar altı silosunun kullanılması</w:t>
      </w:r>
      <w:r w:rsidR="00F129EE" w:rsidRPr="00F50C10">
        <w:rPr>
          <w:rFonts w:cs="Times New Roman"/>
          <w:szCs w:val="24"/>
        </w:rPr>
        <w:t>,</w:t>
      </w:r>
    </w:p>
    <w:p w14:paraId="31FA2FD3" w14:textId="0BB4F484" w:rsidR="00985406" w:rsidRPr="00F50C10" w:rsidRDefault="00985406" w:rsidP="00A654AE">
      <w:pPr>
        <w:pStyle w:val="ListeParagraf"/>
        <w:numPr>
          <w:ilvl w:val="0"/>
          <w:numId w:val="143"/>
        </w:numPr>
        <w:spacing w:before="120" w:after="60" w:line="276" w:lineRule="auto"/>
        <w:rPr>
          <w:rFonts w:cs="Times New Roman"/>
          <w:bCs/>
          <w:szCs w:val="24"/>
        </w:rPr>
      </w:pPr>
      <w:r w:rsidRPr="00F50C10">
        <w:rPr>
          <w:rFonts w:cs="Times New Roman"/>
          <w:szCs w:val="24"/>
        </w:rPr>
        <w:t>granülasyon geri dönüşümü kontrolü için çevrim içi ürün boyutu dağılımının uygulanması</w:t>
      </w:r>
      <w:r w:rsidR="00F129EE" w:rsidRPr="00F50C10">
        <w:rPr>
          <w:rFonts w:cs="Times New Roman"/>
          <w:szCs w:val="24"/>
        </w:rPr>
        <w:t>.</w:t>
      </w:r>
    </w:p>
    <w:p w14:paraId="4227AC6B" w14:textId="12115C19" w:rsidR="00F6441B" w:rsidRPr="00F50C10" w:rsidRDefault="00F6441B" w:rsidP="000B206D">
      <w:pPr>
        <w:spacing w:line="276" w:lineRule="auto"/>
        <w:rPr>
          <w:rFonts w:cs="Times New Roman"/>
          <w:szCs w:val="24"/>
        </w:rPr>
      </w:pPr>
      <w:r w:rsidRPr="00F50C10">
        <w:rPr>
          <w:rFonts w:cs="Times New Roman"/>
          <w:b/>
          <w:bCs/>
          <w:szCs w:val="24"/>
        </w:rPr>
        <w:t xml:space="preserve">MET 80: </w:t>
      </w:r>
      <w:r w:rsidRPr="00F50C10">
        <w:rPr>
          <w:rFonts w:cs="Times New Roman"/>
          <w:szCs w:val="24"/>
        </w:rPr>
        <w:t>Uygun yıkama sıvıların kullanılmasıyla florür emisyonları azaltıl</w:t>
      </w:r>
      <w:r w:rsidR="00F129EE" w:rsidRPr="00F50C10">
        <w:rPr>
          <w:rFonts w:cs="Times New Roman"/>
          <w:szCs w:val="24"/>
        </w:rPr>
        <w:t>ır</w:t>
      </w:r>
      <w:r w:rsidRPr="00F50C10">
        <w:rPr>
          <w:rFonts w:cs="Times New Roman"/>
          <w:szCs w:val="24"/>
        </w:rPr>
        <w:t xml:space="preserve"> ve HF olarak adlandırılan florür emisyon seviyelerin</w:t>
      </w:r>
      <w:r w:rsidR="00F129EE" w:rsidRPr="00F50C10">
        <w:rPr>
          <w:rFonts w:cs="Times New Roman"/>
          <w:szCs w:val="24"/>
        </w:rPr>
        <w:t>de</w:t>
      </w:r>
      <w:r w:rsidRPr="00F50C10">
        <w:rPr>
          <w:rFonts w:cs="Times New Roman"/>
          <w:szCs w:val="24"/>
        </w:rPr>
        <w:t xml:space="preserve"> 0,5 – 5 mg/Nm</w:t>
      </w:r>
      <w:r w:rsidRPr="00F50C10">
        <w:rPr>
          <w:rFonts w:cs="Times New Roman"/>
          <w:szCs w:val="24"/>
          <w:vertAlign w:val="superscript"/>
        </w:rPr>
        <w:t>3</w:t>
      </w:r>
      <w:r w:rsidRPr="00F50C10">
        <w:rPr>
          <w:rFonts w:cs="Times New Roman"/>
          <w:szCs w:val="24"/>
        </w:rPr>
        <w:t>’e ulaşılır</w:t>
      </w:r>
      <w:r w:rsidR="00F129EE" w:rsidRPr="00F50C10">
        <w:rPr>
          <w:rFonts w:cs="Times New Roman"/>
          <w:szCs w:val="24"/>
        </w:rPr>
        <w:t>.</w:t>
      </w:r>
    </w:p>
    <w:p w14:paraId="070E605D" w14:textId="17F7FE7C" w:rsidR="00F6441B" w:rsidRPr="00F50C10" w:rsidRDefault="00F6441B" w:rsidP="000B206D">
      <w:pPr>
        <w:spacing w:line="276" w:lineRule="auto"/>
        <w:rPr>
          <w:rFonts w:cs="Times New Roman"/>
          <w:szCs w:val="24"/>
        </w:rPr>
      </w:pPr>
      <w:r w:rsidRPr="00F50C10">
        <w:rPr>
          <w:rFonts w:cs="Times New Roman"/>
          <w:b/>
          <w:bCs/>
          <w:szCs w:val="24"/>
        </w:rPr>
        <w:t xml:space="preserve">MET 81: </w:t>
      </w:r>
      <w:r w:rsidRPr="00F50C10">
        <w:rPr>
          <w:rFonts w:cs="Times New Roman"/>
          <w:szCs w:val="24"/>
        </w:rPr>
        <w:t>Tek süperfosfatlar (SSP</w:t>
      </w:r>
      <w:r w:rsidR="00F129EE" w:rsidRPr="00F50C10">
        <w:rPr>
          <w:rFonts w:cs="Times New Roman"/>
          <w:szCs w:val="24"/>
        </w:rPr>
        <w:t>),</w:t>
      </w:r>
      <w:r w:rsidRPr="00F50C10">
        <w:rPr>
          <w:rFonts w:cs="Times New Roman"/>
          <w:szCs w:val="24"/>
        </w:rPr>
        <w:t xml:space="preserve"> Tripl süperfosfatlar (TPS) ya da asitleşmiş fosfat kaya</w:t>
      </w:r>
      <w:r w:rsidR="004D221D" w:rsidRPr="00F50C10">
        <w:rPr>
          <w:rFonts w:cs="Times New Roman"/>
          <w:szCs w:val="24"/>
        </w:rPr>
        <w:t>sı</w:t>
      </w:r>
      <w:r w:rsidRPr="00F50C10">
        <w:rPr>
          <w:rFonts w:cs="Times New Roman"/>
          <w:szCs w:val="24"/>
        </w:rPr>
        <w:t xml:space="preserve"> (PAPR) üretilirken yıkama sıvılarının geri dönüştürülmesi ile atık su hacmi azaltılır.</w:t>
      </w:r>
    </w:p>
    <w:p w14:paraId="4D937AF1" w14:textId="58FD0115" w:rsidR="00F6441B" w:rsidRPr="00F50C10" w:rsidRDefault="00F6441B" w:rsidP="000B206D">
      <w:pPr>
        <w:spacing w:line="276" w:lineRule="auto"/>
        <w:rPr>
          <w:rFonts w:cs="Times New Roman"/>
          <w:szCs w:val="24"/>
        </w:rPr>
      </w:pPr>
      <w:r w:rsidRPr="00F50C10">
        <w:rPr>
          <w:rFonts w:cs="Times New Roman"/>
          <w:b/>
          <w:bCs/>
          <w:szCs w:val="24"/>
        </w:rPr>
        <w:t xml:space="preserve">MET 82: </w:t>
      </w:r>
      <w:r w:rsidRPr="00F50C10">
        <w:rPr>
          <w:rFonts w:cs="Times New Roman"/>
          <w:szCs w:val="24"/>
        </w:rPr>
        <w:t xml:space="preserve">SSP/TPS üretimi ya da çok amaçlı üretim için, aşağıda yer alan teknikler aracılığıyla, </w:t>
      </w:r>
      <w:r w:rsidR="00B160B5" w:rsidRPr="00F50C10">
        <w:rPr>
          <w:rFonts w:cs="Times New Roman"/>
          <w:szCs w:val="24"/>
        </w:rPr>
        <w:t>nötralizasyon</w:t>
      </w:r>
      <w:r w:rsidRPr="00F50C10">
        <w:rPr>
          <w:rFonts w:cs="Times New Roman"/>
          <w:szCs w:val="24"/>
        </w:rPr>
        <w:t xml:space="preserve">, granülasyon, kurutma, kaplama ve soğutma işlemlerinden havaya gerçekleştirilen emisyonların azaltılması ve </w:t>
      </w:r>
      <w:r w:rsidRPr="00F50C10">
        <w:rPr>
          <w:rFonts w:cs="Times New Roman"/>
          <w:szCs w:val="24"/>
        </w:rPr>
        <w:fldChar w:fldCharType="begin"/>
      </w:r>
      <w:r w:rsidRPr="00F50C10">
        <w:rPr>
          <w:rFonts w:cs="Times New Roman"/>
          <w:szCs w:val="24"/>
        </w:rPr>
        <w:instrText xml:space="preserve"> REF _Ref134704237 \h  \* MERGEFORMAT </w:instrText>
      </w:r>
      <w:r w:rsidRPr="00F50C10">
        <w:rPr>
          <w:rFonts w:cs="Times New Roman"/>
          <w:szCs w:val="24"/>
        </w:rPr>
      </w:r>
      <w:r w:rsidRPr="00F50C10">
        <w:rPr>
          <w:rFonts w:cs="Times New Roman"/>
          <w:szCs w:val="24"/>
        </w:rPr>
        <w:fldChar w:fldCharType="separate"/>
      </w:r>
      <w:r w:rsidRPr="00F50C10">
        <w:rPr>
          <w:rFonts w:cs="Times New Roman"/>
          <w:szCs w:val="24"/>
        </w:rPr>
        <w:t xml:space="preserve">Tablo </w:t>
      </w:r>
      <w:r w:rsidRPr="00F50C10">
        <w:rPr>
          <w:rFonts w:cs="Times New Roman"/>
          <w:noProof/>
          <w:szCs w:val="24"/>
        </w:rPr>
        <w:t>11</w:t>
      </w:r>
      <w:r w:rsidRPr="00F50C10">
        <w:rPr>
          <w:rFonts w:cs="Times New Roman"/>
          <w:szCs w:val="24"/>
        </w:rPr>
        <w:fldChar w:fldCharType="end"/>
      </w:r>
      <w:r w:rsidRPr="00F50C10">
        <w:rPr>
          <w:rFonts w:cs="Times New Roman"/>
          <w:szCs w:val="24"/>
        </w:rPr>
        <w:t>’de yer alan gider</w:t>
      </w:r>
      <w:r w:rsidR="0045637A" w:rsidRPr="00F50C10">
        <w:rPr>
          <w:rFonts w:cs="Times New Roman"/>
          <w:szCs w:val="24"/>
        </w:rPr>
        <w:t xml:space="preserve">im </w:t>
      </w:r>
      <w:r w:rsidRPr="00F50C10">
        <w:rPr>
          <w:rFonts w:cs="Times New Roman"/>
          <w:szCs w:val="24"/>
        </w:rPr>
        <w:t>verimliliğine ve emisyon seviyelerine ulaşılmasıdır:</w:t>
      </w:r>
    </w:p>
    <w:p w14:paraId="2DE0615E" w14:textId="3C1D2107" w:rsidR="00F6441B" w:rsidRPr="00F50C10" w:rsidRDefault="00F6441B" w:rsidP="00A654AE">
      <w:pPr>
        <w:pStyle w:val="ListeParagraf"/>
        <w:numPr>
          <w:ilvl w:val="0"/>
          <w:numId w:val="89"/>
        </w:numPr>
        <w:spacing w:before="120" w:after="60" w:line="276" w:lineRule="auto"/>
        <w:rPr>
          <w:rFonts w:cs="Times New Roman"/>
          <w:szCs w:val="24"/>
        </w:rPr>
      </w:pPr>
      <w:r w:rsidRPr="00F50C10">
        <w:rPr>
          <w:rFonts w:cs="Times New Roman"/>
          <w:szCs w:val="24"/>
        </w:rPr>
        <w:t xml:space="preserve">siklonlar ve/veya </w:t>
      </w:r>
      <w:r w:rsidR="009A2327" w:rsidRPr="00F50C10">
        <w:rPr>
          <w:rFonts w:cs="Times New Roman"/>
          <w:szCs w:val="24"/>
        </w:rPr>
        <w:t>bez</w:t>
      </w:r>
      <w:r w:rsidRPr="00F50C10">
        <w:rPr>
          <w:rFonts w:cs="Times New Roman"/>
          <w:szCs w:val="24"/>
        </w:rPr>
        <w:t xml:space="preserve"> filtreler</w:t>
      </w:r>
      <w:r w:rsidR="00F129EE" w:rsidRPr="00F50C10">
        <w:rPr>
          <w:rFonts w:cs="Times New Roman"/>
          <w:szCs w:val="24"/>
        </w:rPr>
        <w:t>,</w:t>
      </w:r>
    </w:p>
    <w:p w14:paraId="1404299E" w14:textId="441C9108" w:rsidR="00F6441B" w:rsidRPr="00F50C10" w:rsidRDefault="00B16387" w:rsidP="00A654AE">
      <w:pPr>
        <w:pStyle w:val="ListeParagraf"/>
        <w:numPr>
          <w:ilvl w:val="0"/>
          <w:numId w:val="89"/>
        </w:numPr>
        <w:spacing w:before="120" w:after="60" w:line="276" w:lineRule="auto"/>
        <w:rPr>
          <w:rFonts w:cs="Times New Roman"/>
          <w:szCs w:val="24"/>
        </w:rPr>
      </w:pPr>
      <w:r w:rsidRPr="00F50C10">
        <w:rPr>
          <w:rFonts w:cs="Times New Roman"/>
          <w:szCs w:val="24"/>
        </w:rPr>
        <w:t>ıslak yıkama</w:t>
      </w:r>
      <w:r w:rsidR="00F6441B" w:rsidRPr="00F50C10">
        <w:rPr>
          <w:rFonts w:cs="Times New Roman"/>
          <w:szCs w:val="24"/>
        </w:rPr>
        <w:t xml:space="preserve">, örneğin, kombine yıkama </w:t>
      </w:r>
    </w:p>
    <w:p w14:paraId="7EBD5D66" w14:textId="6DB4DF9F" w:rsidR="00F6441B" w:rsidRPr="00F50C10" w:rsidRDefault="00F129EE" w:rsidP="000B206D">
      <w:pPr>
        <w:pStyle w:val="ResimYazs"/>
        <w:keepNext/>
        <w:spacing w:line="276" w:lineRule="auto"/>
        <w:rPr>
          <w:rFonts w:cs="Times New Roman"/>
          <w:szCs w:val="24"/>
          <w:lang w:val="tr-TR"/>
        </w:rPr>
      </w:pPr>
      <w:r w:rsidRPr="00F50C10">
        <w:rPr>
          <w:rFonts w:cs="Times New Roman"/>
          <w:szCs w:val="24"/>
          <w:lang w:val="tr-TR"/>
        </w:rPr>
        <w:t xml:space="preserve">Tablo 11. </w:t>
      </w:r>
      <w:r w:rsidR="00F6441B" w:rsidRPr="00F50C10">
        <w:rPr>
          <w:rFonts w:cs="Times New Roman"/>
          <w:szCs w:val="24"/>
          <w:lang w:val="tr-TR"/>
        </w:rPr>
        <w:t>MET’in uygulanmasına ilişkin havaya gerçekleştirilen emisyon seviyeleri</w:t>
      </w:r>
    </w:p>
    <w:tbl>
      <w:tblPr>
        <w:tblStyle w:val="TabloKlavuzu"/>
        <w:tblW w:w="5000" w:type="pct"/>
        <w:tblLook w:val="04A0" w:firstRow="1" w:lastRow="0" w:firstColumn="1" w:lastColumn="0" w:noHBand="0" w:noVBand="1"/>
      </w:tblPr>
      <w:tblGrid>
        <w:gridCol w:w="2704"/>
        <w:gridCol w:w="2255"/>
        <w:gridCol w:w="2253"/>
        <w:gridCol w:w="2098"/>
      </w:tblGrid>
      <w:tr w:rsidR="00F6441B" w:rsidRPr="00F50C10" w14:paraId="5D943600" w14:textId="77777777" w:rsidTr="00116C54">
        <w:trPr>
          <w:trHeight w:val="20"/>
        </w:trPr>
        <w:tc>
          <w:tcPr>
            <w:tcW w:w="1452" w:type="pct"/>
            <w:vAlign w:val="center"/>
          </w:tcPr>
          <w:p w14:paraId="41B50B70" w14:textId="77777777" w:rsidR="00F6441B" w:rsidRPr="00F50C10" w:rsidRDefault="00F6441B" w:rsidP="000B206D">
            <w:pPr>
              <w:spacing w:line="276" w:lineRule="auto"/>
              <w:ind w:left="72" w:right="72"/>
              <w:rPr>
                <w:rFonts w:cs="Times New Roman"/>
                <w:szCs w:val="24"/>
              </w:rPr>
            </w:pPr>
          </w:p>
        </w:tc>
        <w:tc>
          <w:tcPr>
            <w:tcW w:w="1211" w:type="pct"/>
            <w:vAlign w:val="center"/>
          </w:tcPr>
          <w:p w14:paraId="5984AB6A" w14:textId="77777777" w:rsidR="00F6441B" w:rsidRPr="00F50C10" w:rsidRDefault="00F6441B" w:rsidP="000B206D">
            <w:pPr>
              <w:spacing w:line="276" w:lineRule="auto"/>
              <w:ind w:left="72" w:right="72"/>
              <w:jc w:val="center"/>
              <w:rPr>
                <w:rFonts w:cs="Times New Roman"/>
                <w:b/>
                <w:bCs/>
                <w:szCs w:val="24"/>
              </w:rPr>
            </w:pPr>
            <w:r w:rsidRPr="00F50C10">
              <w:rPr>
                <w:rFonts w:cs="Times New Roman"/>
                <w:b/>
                <w:bCs/>
                <w:szCs w:val="24"/>
              </w:rPr>
              <w:t>Parametre</w:t>
            </w:r>
          </w:p>
        </w:tc>
        <w:tc>
          <w:tcPr>
            <w:tcW w:w="1210" w:type="pct"/>
            <w:vAlign w:val="center"/>
          </w:tcPr>
          <w:p w14:paraId="51B0F8A5" w14:textId="77777777" w:rsidR="00F6441B" w:rsidRPr="00F50C10" w:rsidRDefault="00F6441B" w:rsidP="000B206D">
            <w:pPr>
              <w:spacing w:line="276" w:lineRule="auto"/>
              <w:ind w:left="72" w:right="72"/>
              <w:jc w:val="center"/>
              <w:rPr>
                <w:rFonts w:cs="Times New Roman"/>
                <w:b/>
                <w:bCs/>
                <w:szCs w:val="24"/>
              </w:rPr>
            </w:pPr>
            <w:r w:rsidRPr="00F50C10">
              <w:rPr>
                <w:rFonts w:cs="Times New Roman"/>
                <w:b/>
                <w:bCs/>
                <w:szCs w:val="24"/>
              </w:rPr>
              <w:t>Seviye (mg/Nm</w:t>
            </w:r>
            <w:r w:rsidRPr="00F50C10">
              <w:rPr>
                <w:rFonts w:cs="Times New Roman"/>
                <w:b/>
                <w:bCs/>
                <w:szCs w:val="24"/>
                <w:vertAlign w:val="superscript"/>
              </w:rPr>
              <w:t>3</w:t>
            </w:r>
            <w:r w:rsidRPr="00F50C10">
              <w:rPr>
                <w:rFonts w:cs="Times New Roman"/>
                <w:b/>
                <w:bCs/>
                <w:szCs w:val="24"/>
              </w:rPr>
              <w:t>)</w:t>
            </w:r>
          </w:p>
        </w:tc>
        <w:tc>
          <w:tcPr>
            <w:tcW w:w="1127" w:type="pct"/>
            <w:vAlign w:val="center"/>
          </w:tcPr>
          <w:p w14:paraId="0D3FA471" w14:textId="36AF5497" w:rsidR="00F6441B" w:rsidRPr="00F50C10" w:rsidRDefault="00F6441B" w:rsidP="000B206D">
            <w:pPr>
              <w:spacing w:line="276" w:lineRule="auto"/>
              <w:ind w:left="72" w:right="72"/>
              <w:jc w:val="center"/>
              <w:rPr>
                <w:rFonts w:cs="Times New Roman"/>
                <w:b/>
                <w:bCs/>
                <w:szCs w:val="24"/>
              </w:rPr>
            </w:pPr>
            <w:r w:rsidRPr="00F50C10">
              <w:rPr>
                <w:rFonts w:cs="Times New Roman"/>
                <w:b/>
                <w:bCs/>
                <w:szCs w:val="24"/>
              </w:rPr>
              <w:t>Gider</w:t>
            </w:r>
            <w:r w:rsidR="0045637A" w:rsidRPr="00F50C10">
              <w:rPr>
                <w:rFonts w:cs="Times New Roman"/>
                <w:b/>
                <w:bCs/>
                <w:szCs w:val="24"/>
              </w:rPr>
              <w:t>im</w:t>
            </w:r>
            <w:r w:rsidRPr="00F50C10">
              <w:rPr>
                <w:rFonts w:cs="Times New Roman"/>
                <w:b/>
                <w:bCs/>
                <w:szCs w:val="24"/>
              </w:rPr>
              <w:t xml:space="preserve"> verimliliği %</w:t>
            </w:r>
          </w:p>
        </w:tc>
      </w:tr>
      <w:tr w:rsidR="00F6441B" w:rsidRPr="00F50C10" w14:paraId="3393BFA4" w14:textId="77777777" w:rsidTr="00116C54">
        <w:trPr>
          <w:trHeight w:val="20"/>
        </w:trPr>
        <w:tc>
          <w:tcPr>
            <w:tcW w:w="1452" w:type="pct"/>
            <w:vMerge w:val="restart"/>
            <w:vAlign w:val="center"/>
          </w:tcPr>
          <w:p w14:paraId="19E88B9F" w14:textId="3A50F44E" w:rsidR="00F6441B" w:rsidRPr="00F50C10" w:rsidRDefault="00B160B5" w:rsidP="000B206D">
            <w:pPr>
              <w:spacing w:line="276" w:lineRule="auto"/>
              <w:ind w:left="72" w:right="72"/>
              <w:rPr>
                <w:rFonts w:cs="Times New Roman"/>
                <w:b/>
                <w:bCs/>
                <w:szCs w:val="24"/>
              </w:rPr>
            </w:pPr>
            <w:r w:rsidRPr="00F50C10">
              <w:rPr>
                <w:rFonts w:cs="Times New Roman"/>
                <w:b/>
                <w:bCs/>
                <w:szCs w:val="24"/>
              </w:rPr>
              <w:t>Nötralizasyon</w:t>
            </w:r>
            <w:r w:rsidR="00F6441B" w:rsidRPr="00F50C10">
              <w:rPr>
                <w:rFonts w:cs="Times New Roman"/>
                <w:b/>
                <w:bCs/>
                <w:szCs w:val="24"/>
              </w:rPr>
              <w:t>, granülasyon, kurutma, kaplama, soğutma</w:t>
            </w:r>
          </w:p>
        </w:tc>
        <w:tc>
          <w:tcPr>
            <w:tcW w:w="1211" w:type="pct"/>
            <w:vAlign w:val="center"/>
          </w:tcPr>
          <w:p w14:paraId="094122A4"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NH</w:t>
            </w:r>
            <w:r w:rsidRPr="00F50C10">
              <w:rPr>
                <w:rFonts w:cs="Times New Roman"/>
                <w:szCs w:val="24"/>
                <w:vertAlign w:val="subscript"/>
              </w:rPr>
              <w:t>3</w:t>
            </w:r>
          </w:p>
        </w:tc>
        <w:tc>
          <w:tcPr>
            <w:tcW w:w="1210" w:type="pct"/>
            <w:vAlign w:val="center"/>
          </w:tcPr>
          <w:p w14:paraId="22DA92D2"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5 – 30*</w:t>
            </w:r>
          </w:p>
        </w:tc>
        <w:tc>
          <w:tcPr>
            <w:tcW w:w="1127" w:type="pct"/>
            <w:vAlign w:val="center"/>
          </w:tcPr>
          <w:p w14:paraId="363F4055" w14:textId="77777777" w:rsidR="00F6441B" w:rsidRPr="00F50C10" w:rsidRDefault="00F6441B" w:rsidP="000B206D">
            <w:pPr>
              <w:spacing w:line="276" w:lineRule="auto"/>
              <w:ind w:left="72" w:right="72"/>
              <w:jc w:val="center"/>
              <w:rPr>
                <w:rFonts w:cs="Times New Roman"/>
                <w:szCs w:val="24"/>
              </w:rPr>
            </w:pPr>
          </w:p>
        </w:tc>
      </w:tr>
      <w:tr w:rsidR="00F6441B" w:rsidRPr="00F50C10" w14:paraId="3CF05E3D" w14:textId="77777777" w:rsidTr="00116C54">
        <w:trPr>
          <w:trHeight w:val="20"/>
        </w:trPr>
        <w:tc>
          <w:tcPr>
            <w:tcW w:w="1452" w:type="pct"/>
            <w:vMerge/>
            <w:vAlign w:val="center"/>
          </w:tcPr>
          <w:p w14:paraId="462BCA59" w14:textId="77777777" w:rsidR="00F6441B" w:rsidRPr="00F50C10" w:rsidRDefault="00F6441B" w:rsidP="000B206D">
            <w:pPr>
              <w:spacing w:line="276" w:lineRule="auto"/>
              <w:ind w:left="72" w:right="72"/>
              <w:jc w:val="left"/>
              <w:rPr>
                <w:rFonts w:cs="Times New Roman"/>
                <w:szCs w:val="24"/>
              </w:rPr>
            </w:pPr>
          </w:p>
        </w:tc>
        <w:tc>
          <w:tcPr>
            <w:tcW w:w="1211" w:type="pct"/>
            <w:vAlign w:val="center"/>
          </w:tcPr>
          <w:p w14:paraId="18FE9505"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HF olarak florür</w:t>
            </w:r>
          </w:p>
        </w:tc>
        <w:tc>
          <w:tcPr>
            <w:tcW w:w="1210" w:type="pct"/>
            <w:vAlign w:val="center"/>
          </w:tcPr>
          <w:p w14:paraId="79A7AEBD"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1 – 5**</w:t>
            </w:r>
          </w:p>
        </w:tc>
        <w:tc>
          <w:tcPr>
            <w:tcW w:w="1127" w:type="pct"/>
            <w:vAlign w:val="center"/>
          </w:tcPr>
          <w:p w14:paraId="30E78544" w14:textId="77777777" w:rsidR="00F6441B" w:rsidRPr="00F50C10" w:rsidRDefault="00F6441B" w:rsidP="000B206D">
            <w:pPr>
              <w:spacing w:line="276" w:lineRule="auto"/>
              <w:ind w:left="72" w:right="72"/>
              <w:jc w:val="center"/>
              <w:rPr>
                <w:rFonts w:cs="Times New Roman"/>
                <w:szCs w:val="24"/>
              </w:rPr>
            </w:pPr>
          </w:p>
        </w:tc>
      </w:tr>
      <w:tr w:rsidR="00F6441B" w:rsidRPr="00F50C10" w14:paraId="6B3C9B35" w14:textId="77777777" w:rsidTr="00116C54">
        <w:trPr>
          <w:trHeight w:val="20"/>
        </w:trPr>
        <w:tc>
          <w:tcPr>
            <w:tcW w:w="1452" w:type="pct"/>
            <w:vMerge/>
            <w:vAlign w:val="center"/>
          </w:tcPr>
          <w:p w14:paraId="6C5C3083" w14:textId="77777777" w:rsidR="00F6441B" w:rsidRPr="00F50C10" w:rsidRDefault="00F6441B" w:rsidP="000B206D">
            <w:pPr>
              <w:spacing w:line="276" w:lineRule="auto"/>
              <w:ind w:left="72" w:right="72"/>
              <w:jc w:val="left"/>
              <w:rPr>
                <w:rFonts w:cs="Times New Roman"/>
                <w:szCs w:val="24"/>
              </w:rPr>
            </w:pPr>
          </w:p>
        </w:tc>
        <w:tc>
          <w:tcPr>
            <w:tcW w:w="1211" w:type="pct"/>
            <w:vAlign w:val="center"/>
          </w:tcPr>
          <w:p w14:paraId="27BDF014"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Toz</w:t>
            </w:r>
          </w:p>
        </w:tc>
        <w:tc>
          <w:tcPr>
            <w:tcW w:w="1210" w:type="pct"/>
            <w:vAlign w:val="center"/>
          </w:tcPr>
          <w:p w14:paraId="3CAFE4B1"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10 – 25</w:t>
            </w:r>
          </w:p>
        </w:tc>
        <w:tc>
          <w:tcPr>
            <w:tcW w:w="1127" w:type="pct"/>
            <w:vAlign w:val="center"/>
          </w:tcPr>
          <w:p w14:paraId="42E52155"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&gt;</w:t>
            </w:r>
            <w:r w:rsidRPr="00F50C10">
              <w:rPr>
                <w:rFonts w:cs="Times New Roman"/>
                <w:spacing w:val="-1"/>
                <w:szCs w:val="24"/>
              </w:rPr>
              <w:t xml:space="preserve"> </w:t>
            </w:r>
            <w:r w:rsidRPr="00F50C10">
              <w:rPr>
                <w:rFonts w:cs="Times New Roman"/>
                <w:spacing w:val="-5"/>
                <w:szCs w:val="24"/>
              </w:rPr>
              <w:t>80</w:t>
            </w:r>
          </w:p>
        </w:tc>
      </w:tr>
      <w:tr w:rsidR="00F6441B" w:rsidRPr="00F50C10" w14:paraId="0E86997A" w14:textId="77777777" w:rsidTr="00116C54">
        <w:trPr>
          <w:trHeight w:val="20"/>
        </w:trPr>
        <w:tc>
          <w:tcPr>
            <w:tcW w:w="1452" w:type="pct"/>
            <w:vMerge/>
            <w:vAlign w:val="center"/>
          </w:tcPr>
          <w:p w14:paraId="0F1B3E96" w14:textId="77777777" w:rsidR="00F6441B" w:rsidRPr="00F50C10" w:rsidRDefault="00F6441B" w:rsidP="000B206D">
            <w:pPr>
              <w:spacing w:line="276" w:lineRule="auto"/>
              <w:ind w:left="72" w:right="72"/>
              <w:jc w:val="left"/>
              <w:rPr>
                <w:rFonts w:cs="Times New Roman"/>
                <w:szCs w:val="24"/>
              </w:rPr>
            </w:pPr>
          </w:p>
        </w:tc>
        <w:tc>
          <w:tcPr>
            <w:tcW w:w="1211" w:type="pct"/>
            <w:vAlign w:val="center"/>
          </w:tcPr>
          <w:p w14:paraId="233CBD90"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HCl</w:t>
            </w:r>
          </w:p>
        </w:tc>
        <w:tc>
          <w:tcPr>
            <w:tcW w:w="1210" w:type="pct"/>
            <w:vAlign w:val="center"/>
          </w:tcPr>
          <w:p w14:paraId="6C40F236" w14:textId="77777777" w:rsidR="00F6441B" w:rsidRPr="00F50C10" w:rsidRDefault="00F6441B" w:rsidP="000B206D">
            <w:pPr>
              <w:spacing w:line="276" w:lineRule="auto"/>
              <w:ind w:left="72" w:right="72"/>
              <w:jc w:val="center"/>
              <w:rPr>
                <w:rFonts w:cs="Times New Roman"/>
                <w:szCs w:val="24"/>
              </w:rPr>
            </w:pPr>
            <w:r w:rsidRPr="00F50C10">
              <w:rPr>
                <w:rFonts w:cs="Times New Roman"/>
                <w:szCs w:val="24"/>
              </w:rPr>
              <w:t>4 – 23</w:t>
            </w:r>
          </w:p>
        </w:tc>
        <w:tc>
          <w:tcPr>
            <w:tcW w:w="1127" w:type="pct"/>
            <w:vAlign w:val="center"/>
          </w:tcPr>
          <w:p w14:paraId="1298E49A" w14:textId="77777777" w:rsidR="00F6441B" w:rsidRPr="00F50C10" w:rsidRDefault="00F6441B" w:rsidP="000B206D">
            <w:pPr>
              <w:spacing w:line="276" w:lineRule="auto"/>
              <w:ind w:left="72" w:right="72"/>
              <w:jc w:val="center"/>
              <w:rPr>
                <w:rFonts w:cs="Times New Roman"/>
                <w:szCs w:val="24"/>
              </w:rPr>
            </w:pPr>
          </w:p>
        </w:tc>
      </w:tr>
      <w:tr w:rsidR="00F6441B" w:rsidRPr="00F50C10" w14:paraId="1C7E7F71" w14:textId="77777777" w:rsidTr="00116C54">
        <w:trPr>
          <w:trHeight w:val="20"/>
        </w:trPr>
        <w:tc>
          <w:tcPr>
            <w:tcW w:w="5000" w:type="pct"/>
            <w:gridSpan w:val="4"/>
            <w:vAlign w:val="center"/>
          </w:tcPr>
          <w:p w14:paraId="5CBA9344" w14:textId="77777777" w:rsidR="00F6441B" w:rsidRPr="00F50C10" w:rsidRDefault="00F6441B" w:rsidP="000B206D">
            <w:pPr>
              <w:spacing w:line="276" w:lineRule="auto"/>
              <w:ind w:left="72" w:right="72"/>
              <w:rPr>
                <w:rFonts w:cs="Times New Roman"/>
                <w:i/>
                <w:iCs/>
                <w:szCs w:val="24"/>
              </w:rPr>
            </w:pPr>
            <w:r w:rsidRPr="00F50C10">
              <w:rPr>
                <w:rFonts w:cs="Times New Roman"/>
                <w:i/>
                <w:iCs/>
                <w:szCs w:val="24"/>
              </w:rPr>
              <w:t>* Sıralamanın alt kısmına yıkama maddesi olarak kullanılan nitrik asitle ulaşılmıştır, sıralamanın üst kısmına ise yıkama maddesi olarak diğer asitlerin kullanılmasıyla ulaşılmıştır. Üretilen gerçek NPK dozuna bağlı olarak (örn Diamonyum fosfat (DAP)) çok aşamalı yıkama işlemi uygulansa bile yüksek salınım seviyelerinin oraya çıkması beklenmektedir.</w:t>
            </w:r>
          </w:p>
          <w:p w14:paraId="7CB08F83" w14:textId="77777777" w:rsidR="00F6441B" w:rsidRPr="00F50C10" w:rsidRDefault="00F6441B" w:rsidP="000B206D">
            <w:pPr>
              <w:spacing w:line="276" w:lineRule="auto"/>
              <w:ind w:left="72" w:right="72"/>
              <w:rPr>
                <w:rFonts w:cs="Times New Roman"/>
                <w:i/>
                <w:iCs/>
                <w:szCs w:val="24"/>
              </w:rPr>
            </w:pPr>
            <w:r w:rsidRPr="00F50C10">
              <w:rPr>
                <w:rFonts w:cs="Times New Roman"/>
                <w:i/>
                <w:iCs/>
                <w:szCs w:val="24"/>
              </w:rPr>
              <w:t>** DAP üretiminde H3PO4 ile çok aşamalı yıkamada 10 mg/Nm3’e varan seviyelere ilişkin tahminde bulunulmaktadır.</w:t>
            </w:r>
          </w:p>
        </w:tc>
      </w:tr>
    </w:tbl>
    <w:p w14:paraId="3BEBC66D" w14:textId="77777777" w:rsidR="00F6441B" w:rsidRPr="00F50C10" w:rsidRDefault="00F6441B" w:rsidP="000B206D">
      <w:pPr>
        <w:spacing w:line="276" w:lineRule="auto"/>
        <w:rPr>
          <w:rFonts w:cs="Times New Roman"/>
          <w:szCs w:val="24"/>
        </w:rPr>
      </w:pPr>
    </w:p>
    <w:p w14:paraId="36EA2F82" w14:textId="5822CAD0" w:rsidR="00426950" w:rsidRPr="00F50C10" w:rsidRDefault="00426950" w:rsidP="000B206D">
      <w:pPr>
        <w:spacing w:after="160" w:line="276" w:lineRule="auto"/>
        <w:jc w:val="left"/>
        <w:rPr>
          <w:rFonts w:cs="Times New Roman"/>
          <w:szCs w:val="24"/>
        </w:rPr>
      </w:pPr>
      <w:r w:rsidRPr="00F50C10">
        <w:rPr>
          <w:rFonts w:cs="Times New Roman"/>
          <w:szCs w:val="24"/>
        </w:rPr>
        <w:br w:type="page"/>
      </w:r>
    </w:p>
    <w:p w14:paraId="49CB678D" w14:textId="7E8B1774" w:rsidR="00F6441B" w:rsidRPr="00F50C10" w:rsidRDefault="00426950" w:rsidP="000B206D">
      <w:pPr>
        <w:spacing w:after="120" w:line="276" w:lineRule="auto"/>
        <w:jc w:val="right"/>
        <w:rPr>
          <w:rFonts w:cs="Times New Roman"/>
          <w:b/>
          <w:bCs/>
          <w:szCs w:val="24"/>
        </w:rPr>
      </w:pPr>
      <w:r w:rsidRPr="00F50C10">
        <w:rPr>
          <w:rFonts w:cs="Times New Roman"/>
          <w:b/>
          <w:bCs/>
          <w:szCs w:val="24"/>
        </w:rPr>
        <w:t>EK-</w:t>
      </w:r>
      <w:r w:rsidR="009867BF" w:rsidRPr="00F50C10">
        <w:rPr>
          <w:rFonts w:cs="Times New Roman"/>
          <w:b/>
          <w:bCs/>
          <w:szCs w:val="24"/>
        </w:rPr>
        <w:t>6</w:t>
      </w:r>
    </w:p>
    <w:p w14:paraId="74749878" w14:textId="2E224EE0" w:rsidR="00426950" w:rsidRPr="00F50C10" w:rsidRDefault="00426950" w:rsidP="000B206D">
      <w:pPr>
        <w:pStyle w:val="Balk1"/>
        <w:numPr>
          <w:ilvl w:val="0"/>
          <w:numId w:val="0"/>
        </w:numPr>
        <w:spacing w:after="120" w:line="276" w:lineRule="auto"/>
        <w:ind w:left="102" w:right="103"/>
        <w:jc w:val="center"/>
        <w:rPr>
          <w:rFonts w:cs="Times New Roman"/>
          <w:szCs w:val="24"/>
        </w:rPr>
      </w:pPr>
      <w:r w:rsidRPr="00F50C10">
        <w:rPr>
          <w:rFonts w:cs="Times New Roman"/>
          <w:szCs w:val="24"/>
        </w:rPr>
        <w:t>Büyük Hacimli İnor</w:t>
      </w:r>
      <w:r w:rsidR="003625CB" w:rsidRPr="00F50C10">
        <w:rPr>
          <w:rFonts w:cs="Times New Roman"/>
          <w:szCs w:val="24"/>
        </w:rPr>
        <w:t>ganik Kimyasallar Üretimi – Katı</w:t>
      </w:r>
      <w:r w:rsidRPr="00F50C10">
        <w:rPr>
          <w:rFonts w:cs="Times New Roman"/>
          <w:szCs w:val="24"/>
        </w:rPr>
        <w:t>lar Ve Diğerleri Sektöründe Mevcut En İyi Teknikler</w:t>
      </w:r>
      <w:r w:rsidR="00543586" w:rsidRPr="00F50C10">
        <w:rPr>
          <w:rFonts w:cs="Times New Roman"/>
          <w:szCs w:val="24"/>
        </w:rPr>
        <w:t xml:space="preserve"> (4.2.</w:t>
      </w:r>
      <w:r w:rsidR="00874B6D" w:rsidRPr="00F50C10">
        <w:rPr>
          <w:rFonts w:cs="Times New Roman"/>
          <w:szCs w:val="24"/>
        </w:rPr>
        <w:t>d</w:t>
      </w:r>
      <w:r w:rsidR="00543586" w:rsidRPr="00F50C10">
        <w:rPr>
          <w:rFonts w:cs="Times New Roman"/>
          <w:szCs w:val="24"/>
        </w:rPr>
        <w:t xml:space="preserve"> ve 4.2.</w:t>
      </w:r>
      <w:r w:rsidR="00874B6D" w:rsidRPr="00F50C10">
        <w:rPr>
          <w:rFonts w:cs="Times New Roman"/>
          <w:szCs w:val="24"/>
        </w:rPr>
        <w:t>e</w:t>
      </w:r>
      <w:r w:rsidR="00543586" w:rsidRPr="00F50C10">
        <w:rPr>
          <w:rFonts w:cs="Times New Roman"/>
          <w:szCs w:val="24"/>
        </w:rPr>
        <w:t>)</w:t>
      </w:r>
    </w:p>
    <w:p w14:paraId="028388FF" w14:textId="0A9A48A7" w:rsidR="000F3B99" w:rsidRPr="00F50C10" w:rsidRDefault="000F3B99" w:rsidP="00A654AE">
      <w:pPr>
        <w:pStyle w:val="Balk1"/>
        <w:numPr>
          <w:ilvl w:val="0"/>
          <w:numId w:val="151"/>
        </w:numPr>
        <w:spacing w:after="120" w:line="276" w:lineRule="auto"/>
        <w:rPr>
          <w:rFonts w:cs="Times New Roman"/>
          <w:szCs w:val="24"/>
        </w:rPr>
      </w:pPr>
      <w:r w:rsidRPr="00F50C10">
        <w:rPr>
          <w:rFonts w:cs="Times New Roman"/>
          <w:szCs w:val="24"/>
        </w:rPr>
        <w:t>GENEL ME</w:t>
      </w:r>
      <w:r w:rsidR="00874B6D" w:rsidRPr="00F50C10">
        <w:rPr>
          <w:rFonts w:cs="Times New Roman"/>
          <w:szCs w:val="24"/>
        </w:rPr>
        <w:t>T</w:t>
      </w:r>
    </w:p>
    <w:p w14:paraId="0B2B49F3" w14:textId="7A99B142" w:rsidR="000F3B99" w:rsidRPr="00F50C10" w:rsidRDefault="000F3B99" w:rsidP="000B206D">
      <w:pPr>
        <w:spacing w:after="120" w:line="276" w:lineRule="auto"/>
        <w:rPr>
          <w:rFonts w:cs="Times New Roman"/>
          <w:szCs w:val="24"/>
        </w:rPr>
      </w:pPr>
      <w:r w:rsidRPr="00F50C10">
        <w:rPr>
          <w:rFonts w:cs="Times New Roman"/>
          <w:szCs w:val="24"/>
        </w:rPr>
        <w:t>Genel MET,</w:t>
      </w:r>
      <w:r w:rsidR="00A064E2" w:rsidRPr="00F50C10">
        <w:rPr>
          <w:rFonts w:cs="Times New Roman"/>
          <w:szCs w:val="24"/>
        </w:rPr>
        <w:t xml:space="preserve"> bu sektörde faaliyet gösteren</w:t>
      </w:r>
      <w:r w:rsidRPr="00F50C10">
        <w:rPr>
          <w:rFonts w:cs="Times New Roman"/>
          <w:szCs w:val="24"/>
        </w:rPr>
        <w:t xml:space="preserve"> tüm tesisler için geçerlidir. </w:t>
      </w:r>
    </w:p>
    <w:p w14:paraId="16C0A24F" w14:textId="5C8AAB4E" w:rsidR="000F3B99" w:rsidRPr="00F50C10" w:rsidRDefault="000F3B99" w:rsidP="00A654AE">
      <w:pPr>
        <w:pStyle w:val="Balk2"/>
        <w:numPr>
          <w:ilvl w:val="1"/>
          <w:numId w:val="136"/>
        </w:numPr>
        <w:spacing w:before="0" w:after="120" w:line="276" w:lineRule="auto"/>
        <w:rPr>
          <w:rFonts w:cs="Times New Roman"/>
          <w:szCs w:val="24"/>
        </w:rPr>
      </w:pPr>
      <w:r w:rsidRPr="00F50C10">
        <w:rPr>
          <w:rFonts w:cs="Times New Roman"/>
          <w:szCs w:val="24"/>
        </w:rPr>
        <w:t>Çevre Yönetim Sistemleri (ÇYS)</w:t>
      </w:r>
    </w:p>
    <w:p w14:paraId="4353B6F0" w14:textId="7115C781" w:rsidR="00E172E8" w:rsidRPr="00F50C10" w:rsidRDefault="000F3B99" w:rsidP="000B206D">
      <w:pPr>
        <w:widowControl w:val="0"/>
        <w:autoSpaceDE w:val="0"/>
        <w:autoSpaceDN w:val="0"/>
        <w:adjustRightInd w:val="0"/>
        <w:spacing w:after="120" w:line="276" w:lineRule="auto"/>
        <w:rPr>
          <w:rFonts w:eastAsia="Times New Roman" w:cs="Times New Roman"/>
          <w:bCs/>
          <w:szCs w:val="24"/>
          <w:lang w:val="tr-TR" w:eastAsia="tr-TR" w:bidi="tr-TR"/>
        </w:rPr>
      </w:pPr>
      <w:r w:rsidRPr="00F50C10">
        <w:rPr>
          <w:rFonts w:cs="Times New Roman"/>
          <w:b/>
          <w:bCs/>
          <w:szCs w:val="24"/>
        </w:rPr>
        <w:t xml:space="preserve">MET 1: </w:t>
      </w:r>
      <w:r w:rsidR="00E172E8" w:rsidRPr="00F50C10">
        <w:rPr>
          <w:rFonts w:cs="Times New Roman"/>
          <w:szCs w:val="24"/>
        </w:rPr>
        <w:t>Aşağıdaki  özellikleri, bireysel koşullara uygun olarak, kapsayan bir Çevre Yönetim Sistemi (ÇYS) uygulanır ve bu sisteme bağlı kalınır:</w:t>
      </w:r>
    </w:p>
    <w:p w14:paraId="1A09323D" w14:textId="77777777" w:rsidR="00E172E8" w:rsidRPr="00F50C10" w:rsidRDefault="00E172E8" w:rsidP="00A654AE">
      <w:pPr>
        <w:pStyle w:val="ListeParagraf"/>
        <w:numPr>
          <w:ilvl w:val="0"/>
          <w:numId w:val="148"/>
        </w:numPr>
        <w:spacing w:after="120" w:line="276" w:lineRule="auto"/>
        <w:rPr>
          <w:rFonts w:cs="Times New Roman"/>
          <w:szCs w:val="24"/>
          <w:lang w:val="tr-TR"/>
        </w:rPr>
      </w:pPr>
      <w:r w:rsidRPr="00F50C10">
        <w:rPr>
          <w:rFonts w:cs="Times New Roman"/>
          <w:szCs w:val="24"/>
          <w:lang w:val="tr-TR"/>
        </w:rPr>
        <w:t>üst yönetim tarafından tesis için bu çevre politikasının tanımlanması (üst yönetim tarafından verilen taahhüt, ÇYS’nin diğer özelliklerinin başarılı bir şekilde uygulanması için ön koşul olarak değerlendirilir),</w:t>
      </w:r>
    </w:p>
    <w:p w14:paraId="0C48BD82" w14:textId="77777777" w:rsidR="00E172E8" w:rsidRPr="00F50C10" w:rsidRDefault="00E172E8" w:rsidP="00A654AE">
      <w:pPr>
        <w:pStyle w:val="ListeParagraf"/>
        <w:numPr>
          <w:ilvl w:val="0"/>
          <w:numId w:val="148"/>
        </w:numPr>
        <w:spacing w:after="120" w:line="276" w:lineRule="auto"/>
        <w:rPr>
          <w:rFonts w:cs="Times New Roman"/>
          <w:szCs w:val="24"/>
          <w:lang w:val="tr-TR"/>
        </w:rPr>
      </w:pPr>
      <w:r w:rsidRPr="00F50C10">
        <w:rPr>
          <w:rFonts w:cs="Times New Roman"/>
          <w:szCs w:val="24"/>
          <w:lang w:val="tr-TR"/>
        </w:rPr>
        <w:t>gerekli prosedürlerin planlanması,</w:t>
      </w:r>
    </w:p>
    <w:p w14:paraId="3E940997" w14:textId="0E52746A" w:rsidR="00E172E8" w:rsidRPr="00F50C10" w:rsidRDefault="00E172E8" w:rsidP="00A654AE">
      <w:pPr>
        <w:pStyle w:val="ListeParagraf"/>
        <w:numPr>
          <w:ilvl w:val="0"/>
          <w:numId w:val="148"/>
        </w:numPr>
        <w:spacing w:after="120" w:line="276" w:lineRule="auto"/>
        <w:rPr>
          <w:rFonts w:cs="Times New Roman"/>
          <w:szCs w:val="24"/>
          <w:lang w:val="tr-TR"/>
        </w:rPr>
      </w:pPr>
      <w:r w:rsidRPr="00F50C10">
        <w:rPr>
          <w:rFonts w:cs="Times New Roman"/>
          <w:szCs w:val="24"/>
          <w:lang w:val="tr-TR"/>
        </w:rPr>
        <w:t>aşağıdakilere dikkat edilerek prosedürlerin uygulanması:</w:t>
      </w:r>
    </w:p>
    <w:p w14:paraId="33F46076" w14:textId="77777777" w:rsidR="00E172E8" w:rsidRPr="00F50C10" w:rsidRDefault="00E172E8" w:rsidP="00A654AE">
      <w:pPr>
        <w:pStyle w:val="ListeParagraf"/>
        <w:numPr>
          <w:ilvl w:val="2"/>
          <w:numId w:val="148"/>
        </w:numPr>
        <w:spacing w:after="120" w:line="276" w:lineRule="auto"/>
        <w:rPr>
          <w:rFonts w:cs="Times New Roman"/>
          <w:szCs w:val="24"/>
          <w:lang w:val="tr-TR"/>
        </w:rPr>
      </w:pPr>
      <w:r w:rsidRPr="00F50C10">
        <w:rPr>
          <w:rFonts w:cs="Times New Roman"/>
          <w:szCs w:val="24"/>
          <w:lang w:val="tr-TR"/>
        </w:rPr>
        <w:t>yapı ve sorumluluk,</w:t>
      </w:r>
    </w:p>
    <w:p w14:paraId="41257059" w14:textId="77777777" w:rsidR="00E172E8" w:rsidRPr="00F50C10" w:rsidRDefault="00E172E8" w:rsidP="00A654AE">
      <w:pPr>
        <w:pStyle w:val="ListeParagraf"/>
        <w:numPr>
          <w:ilvl w:val="2"/>
          <w:numId w:val="148"/>
        </w:numPr>
        <w:spacing w:after="120" w:line="276" w:lineRule="auto"/>
        <w:rPr>
          <w:rFonts w:cs="Times New Roman"/>
          <w:szCs w:val="24"/>
          <w:lang w:val="tr-TR"/>
        </w:rPr>
      </w:pPr>
      <w:r w:rsidRPr="00F50C10">
        <w:rPr>
          <w:rFonts w:cs="Times New Roman"/>
          <w:szCs w:val="24"/>
          <w:lang w:val="tr-TR"/>
        </w:rPr>
        <w:t xml:space="preserve">eğitim, farkındalık ve yetkinlik, </w:t>
      </w:r>
    </w:p>
    <w:p w14:paraId="5453EC3C" w14:textId="77777777" w:rsidR="00E172E8" w:rsidRPr="00F50C10" w:rsidRDefault="00E172E8" w:rsidP="00A654AE">
      <w:pPr>
        <w:pStyle w:val="ListeParagraf"/>
        <w:numPr>
          <w:ilvl w:val="2"/>
          <w:numId w:val="148"/>
        </w:numPr>
        <w:spacing w:after="120" w:line="276" w:lineRule="auto"/>
        <w:rPr>
          <w:rFonts w:cs="Times New Roman"/>
          <w:szCs w:val="24"/>
          <w:lang w:val="tr-TR"/>
        </w:rPr>
      </w:pPr>
      <w:r w:rsidRPr="00F50C10">
        <w:rPr>
          <w:rFonts w:cs="Times New Roman"/>
          <w:szCs w:val="24"/>
          <w:lang w:val="tr-TR"/>
        </w:rPr>
        <w:t xml:space="preserve">iletişim, </w:t>
      </w:r>
    </w:p>
    <w:p w14:paraId="329A94D6" w14:textId="77777777" w:rsidR="00E172E8" w:rsidRPr="00F50C10" w:rsidRDefault="00E172E8" w:rsidP="00A654AE">
      <w:pPr>
        <w:pStyle w:val="ListeParagraf"/>
        <w:numPr>
          <w:ilvl w:val="2"/>
          <w:numId w:val="148"/>
        </w:numPr>
        <w:spacing w:after="120" w:line="276" w:lineRule="auto"/>
        <w:rPr>
          <w:rFonts w:cs="Times New Roman"/>
          <w:szCs w:val="24"/>
          <w:lang w:val="tr-TR"/>
        </w:rPr>
      </w:pPr>
      <w:r w:rsidRPr="00F50C10">
        <w:rPr>
          <w:rFonts w:cs="Times New Roman"/>
          <w:szCs w:val="24"/>
          <w:lang w:val="tr-TR"/>
        </w:rPr>
        <w:t xml:space="preserve">çalışan katılımı, </w:t>
      </w:r>
    </w:p>
    <w:p w14:paraId="6F4CA3D1" w14:textId="77777777" w:rsidR="00E172E8" w:rsidRPr="00F50C10" w:rsidRDefault="00E172E8" w:rsidP="00A654AE">
      <w:pPr>
        <w:pStyle w:val="ListeParagraf"/>
        <w:numPr>
          <w:ilvl w:val="2"/>
          <w:numId w:val="148"/>
        </w:numPr>
        <w:spacing w:after="120" w:line="276" w:lineRule="auto"/>
        <w:rPr>
          <w:rFonts w:cs="Times New Roman"/>
          <w:szCs w:val="24"/>
          <w:lang w:val="tr-TR"/>
        </w:rPr>
      </w:pPr>
      <w:r w:rsidRPr="00F50C10">
        <w:rPr>
          <w:rFonts w:cs="Times New Roman"/>
          <w:szCs w:val="24"/>
          <w:lang w:val="tr-TR"/>
        </w:rPr>
        <w:t xml:space="preserve">dokümantasyon, </w:t>
      </w:r>
    </w:p>
    <w:p w14:paraId="6A356D1A" w14:textId="77777777" w:rsidR="00E172E8" w:rsidRPr="00F50C10" w:rsidRDefault="00E172E8" w:rsidP="00A654AE">
      <w:pPr>
        <w:pStyle w:val="ListeParagraf"/>
        <w:numPr>
          <w:ilvl w:val="2"/>
          <w:numId w:val="148"/>
        </w:numPr>
        <w:spacing w:after="120" w:line="276" w:lineRule="auto"/>
        <w:rPr>
          <w:rFonts w:cs="Times New Roman"/>
          <w:szCs w:val="24"/>
          <w:lang w:val="tr-TR"/>
        </w:rPr>
      </w:pPr>
      <w:r w:rsidRPr="00F50C10">
        <w:rPr>
          <w:rFonts w:cs="Times New Roman"/>
          <w:szCs w:val="24"/>
          <w:lang w:val="tr-TR"/>
        </w:rPr>
        <w:t xml:space="preserve">etkin proses kontrolü, </w:t>
      </w:r>
    </w:p>
    <w:p w14:paraId="1EA7791B" w14:textId="77777777" w:rsidR="00E172E8" w:rsidRPr="00F50C10" w:rsidRDefault="00E172E8" w:rsidP="00A654AE">
      <w:pPr>
        <w:pStyle w:val="ListeParagraf"/>
        <w:numPr>
          <w:ilvl w:val="2"/>
          <w:numId w:val="148"/>
        </w:numPr>
        <w:spacing w:after="120" w:line="276" w:lineRule="auto"/>
        <w:rPr>
          <w:rFonts w:cs="Times New Roman"/>
          <w:szCs w:val="24"/>
          <w:lang w:val="tr-TR"/>
        </w:rPr>
      </w:pPr>
      <w:r w:rsidRPr="00F50C10">
        <w:rPr>
          <w:rFonts w:cs="Times New Roman"/>
          <w:szCs w:val="24"/>
          <w:lang w:val="tr-TR"/>
        </w:rPr>
        <w:t xml:space="preserve">bakım programı, </w:t>
      </w:r>
    </w:p>
    <w:p w14:paraId="19DDC18D" w14:textId="77777777" w:rsidR="00E172E8" w:rsidRPr="00F50C10" w:rsidRDefault="00E172E8" w:rsidP="00A654AE">
      <w:pPr>
        <w:pStyle w:val="ListeParagraf"/>
        <w:numPr>
          <w:ilvl w:val="2"/>
          <w:numId w:val="148"/>
        </w:numPr>
        <w:spacing w:after="120" w:line="276" w:lineRule="auto"/>
        <w:rPr>
          <w:rFonts w:cs="Times New Roman"/>
          <w:szCs w:val="24"/>
          <w:lang w:val="tr-TR"/>
        </w:rPr>
      </w:pPr>
      <w:r w:rsidRPr="00F50C10">
        <w:rPr>
          <w:rFonts w:cs="Times New Roman"/>
          <w:szCs w:val="24"/>
          <w:lang w:val="tr-TR"/>
        </w:rPr>
        <w:t xml:space="preserve">acil durum hazırlığı ve müdahalesi, </w:t>
      </w:r>
    </w:p>
    <w:p w14:paraId="3C0B045C" w14:textId="6B56EF4C" w:rsidR="00E172E8" w:rsidRPr="00F50C10" w:rsidRDefault="00E172E8" w:rsidP="00A654AE">
      <w:pPr>
        <w:pStyle w:val="ListeParagraf"/>
        <w:numPr>
          <w:ilvl w:val="2"/>
          <w:numId w:val="148"/>
        </w:numPr>
        <w:spacing w:after="120" w:line="276" w:lineRule="auto"/>
        <w:rPr>
          <w:rFonts w:cs="Times New Roman"/>
          <w:szCs w:val="24"/>
          <w:lang w:val="tr-TR"/>
        </w:rPr>
      </w:pPr>
      <w:r w:rsidRPr="00F50C10">
        <w:rPr>
          <w:rFonts w:cs="Times New Roman"/>
          <w:szCs w:val="24"/>
          <w:lang w:val="tr-TR"/>
        </w:rPr>
        <w:t>çevre mevzuatına uyumun güvence altına alınması</w:t>
      </w:r>
    </w:p>
    <w:p w14:paraId="79BD650B" w14:textId="77777777" w:rsidR="00E172E8" w:rsidRPr="00F50C10" w:rsidRDefault="00E172E8" w:rsidP="00A654AE">
      <w:pPr>
        <w:pStyle w:val="ListeParagraf"/>
        <w:numPr>
          <w:ilvl w:val="0"/>
          <w:numId w:val="148"/>
        </w:numPr>
        <w:spacing w:after="120" w:line="276" w:lineRule="auto"/>
        <w:rPr>
          <w:rFonts w:cs="Times New Roman"/>
          <w:szCs w:val="24"/>
          <w:lang w:val="tr-TR"/>
        </w:rPr>
      </w:pPr>
      <w:r w:rsidRPr="00F50C10">
        <w:rPr>
          <w:rFonts w:cs="Times New Roman"/>
          <w:szCs w:val="24"/>
          <w:lang w:val="tr-TR"/>
        </w:rPr>
        <w:t>özellikle aşağıdakilere dikkat edilerek performans kontrolünün yapılması ve düzeltici önlemlerin alınması:</w:t>
      </w:r>
    </w:p>
    <w:p w14:paraId="695F68A5" w14:textId="77777777" w:rsidR="00D522C9" w:rsidRPr="00F50C10" w:rsidRDefault="00E172E8" w:rsidP="00A654AE">
      <w:pPr>
        <w:pStyle w:val="ListeParagraf"/>
        <w:numPr>
          <w:ilvl w:val="2"/>
          <w:numId w:val="149"/>
        </w:numPr>
        <w:spacing w:after="120" w:line="276" w:lineRule="auto"/>
        <w:rPr>
          <w:rFonts w:cs="Times New Roman"/>
          <w:szCs w:val="24"/>
          <w:lang w:val="tr-TR"/>
        </w:rPr>
      </w:pPr>
      <w:r w:rsidRPr="00F50C10">
        <w:rPr>
          <w:rFonts w:cs="Times New Roman"/>
          <w:szCs w:val="24"/>
          <w:lang w:val="tr-TR"/>
        </w:rPr>
        <w:t>izleme ve ölçüm,</w:t>
      </w:r>
    </w:p>
    <w:p w14:paraId="2EBF4F22" w14:textId="77777777" w:rsidR="00D522C9" w:rsidRPr="00F50C10" w:rsidRDefault="00E172E8" w:rsidP="00A654AE">
      <w:pPr>
        <w:pStyle w:val="ListeParagraf"/>
        <w:numPr>
          <w:ilvl w:val="2"/>
          <w:numId w:val="149"/>
        </w:numPr>
        <w:spacing w:after="120" w:line="276" w:lineRule="auto"/>
        <w:rPr>
          <w:rFonts w:cs="Times New Roman"/>
          <w:szCs w:val="24"/>
          <w:lang w:val="tr-TR"/>
        </w:rPr>
      </w:pPr>
      <w:r w:rsidRPr="00F50C10">
        <w:rPr>
          <w:rFonts w:cs="Times New Roman"/>
          <w:szCs w:val="24"/>
          <w:lang w:val="tr-TR"/>
        </w:rPr>
        <w:t xml:space="preserve">düzenleyici ve önleyici eylemler, </w:t>
      </w:r>
    </w:p>
    <w:p w14:paraId="3A4BBF24" w14:textId="77777777" w:rsidR="00D522C9" w:rsidRPr="00F50C10" w:rsidRDefault="00E172E8" w:rsidP="00A654AE">
      <w:pPr>
        <w:pStyle w:val="ListeParagraf"/>
        <w:numPr>
          <w:ilvl w:val="2"/>
          <w:numId w:val="149"/>
        </w:numPr>
        <w:spacing w:after="120" w:line="276" w:lineRule="auto"/>
        <w:rPr>
          <w:rFonts w:cs="Times New Roman"/>
          <w:szCs w:val="24"/>
          <w:lang w:val="tr-TR"/>
        </w:rPr>
      </w:pPr>
      <w:r w:rsidRPr="00F50C10">
        <w:rPr>
          <w:rFonts w:cs="Times New Roman"/>
          <w:szCs w:val="24"/>
          <w:lang w:val="tr-TR"/>
        </w:rPr>
        <w:t xml:space="preserve">kayıtlatın tutulması, </w:t>
      </w:r>
    </w:p>
    <w:p w14:paraId="0B1A6A2F" w14:textId="7A982837" w:rsidR="00E172E8" w:rsidRPr="00F50C10" w:rsidRDefault="00E172E8" w:rsidP="00A654AE">
      <w:pPr>
        <w:pStyle w:val="ListeParagraf"/>
        <w:numPr>
          <w:ilvl w:val="2"/>
          <w:numId w:val="149"/>
        </w:numPr>
        <w:spacing w:after="120" w:line="276" w:lineRule="auto"/>
        <w:rPr>
          <w:rFonts w:cs="Times New Roman"/>
          <w:szCs w:val="24"/>
          <w:lang w:val="tr-TR"/>
        </w:rPr>
      </w:pPr>
      <w:r w:rsidRPr="00F50C10">
        <w:rPr>
          <w:rFonts w:cs="Times New Roman"/>
          <w:szCs w:val="24"/>
          <w:lang w:val="tr-TR"/>
        </w:rPr>
        <w:t>ÇYS’nin planlanan düzenlemelere uygun olup olmadığını ve doğru bir şekilde uygulanıp uygulanmadığını belirlemek için bağımsız (uygulanabilir olduğu durumlarda) bir iç denetim</w:t>
      </w:r>
    </w:p>
    <w:p w14:paraId="0F683B4F" w14:textId="545EE0D8" w:rsidR="00E172E8" w:rsidRPr="00F50C10" w:rsidRDefault="00E172E8" w:rsidP="00A654AE">
      <w:pPr>
        <w:pStyle w:val="ListeParagraf"/>
        <w:numPr>
          <w:ilvl w:val="0"/>
          <w:numId w:val="148"/>
        </w:numPr>
        <w:spacing w:after="120" w:line="276" w:lineRule="auto"/>
        <w:rPr>
          <w:rFonts w:cs="Times New Roman"/>
          <w:szCs w:val="24"/>
          <w:lang w:val="tr-TR"/>
        </w:rPr>
      </w:pPr>
      <w:r w:rsidRPr="00F50C10">
        <w:rPr>
          <w:rFonts w:cs="Times New Roman"/>
          <w:szCs w:val="24"/>
          <w:lang w:val="tr-TR"/>
        </w:rPr>
        <w:t>üst yönetim tarafından inceleme.</w:t>
      </w:r>
    </w:p>
    <w:p w14:paraId="2CB7FBF3" w14:textId="77777777" w:rsidR="00E172E8" w:rsidRPr="00F50C10" w:rsidRDefault="00E172E8" w:rsidP="000B206D">
      <w:pPr>
        <w:spacing w:after="120" w:line="276" w:lineRule="auto"/>
        <w:ind w:left="360"/>
        <w:rPr>
          <w:rFonts w:cs="Times New Roman"/>
          <w:szCs w:val="24"/>
          <w:lang w:val="tr-TR"/>
        </w:rPr>
      </w:pPr>
      <w:r w:rsidRPr="00F50C10">
        <w:rPr>
          <w:rFonts w:cs="Times New Roman"/>
          <w:szCs w:val="24"/>
          <w:lang w:val="tr-TR"/>
        </w:rPr>
        <w:t>Yukarıdakileri tamamlayıcı üç özellik daha destekleyici olarak değerlendirilir. Bununla birlikte, aşağıda verilen bu üç özelliğin bulunmaması, MET için tutarsızlık teşkil etmez:</w:t>
      </w:r>
    </w:p>
    <w:p w14:paraId="581258D8" w14:textId="77777777" w:rsidR="00D522C9" w:rsidRPr="00F50C10" w:rsidRDefault="00E172E8" w:rsidP="00A654AE">
      <w:pPr>
        <w:pStyle w:val="ListeParagraf"/>
        <w:numPr>
          <w:ilvl w:val="0"/>
          <w:numId w:val="148"/>
        </w:numPr>
        <w:spacing w:after="120" w:line="276" w:lineRule="auto"/>
        <w:rPr>
          <w:rFonts w:cs="Times New Roman"/>
          <w:szCs w:val="24"/>
        </w:rPr>
      </w:pPr>
      <w:r w:rsidRPr="00F50C10">
        <w:rPr>
          <w:rFonts w:cs="Times New Roman"/>
          <w:szCs w:val="24"/>
        </w:rPr>
        <w:t>yönetim sisteminin ve denetim prosedürünün akredite bir belgelendirme kuruluşu veya harici bir ÇYS doğrulayıcısı tarafından incelenmesi ve doğrulanması</w:t>
      </w:r>
    </w:p>
    <w:p w14:paraId="704B813D" w14:textId="77777777" w:rsidR="00D522C9" w:rsidRPr="00F50C10" w:rsidRDefault="00E172E8" w:rsidP="00A654AE">
      <w:pPr>
        <w:pStyle w:val="ListeParagraf"/>
        <w:numPr>
          <w:ilvl w:val="0"/>
          <w:numId w:val="148"/>
        </w:numPr>
        <w:spacing w:after="120" w:line="276" w:lineRule="auto"/>
        <w:rPr>
          <w:rFonts w:cs="Times New Roman"/>
          <w:szCs w:val="24"/>
        </w:rPr>
      </w:pPr>
      <w:r w:rsidRPr="00F50C10">
        <w:rPr>
          <w:rFonts w:cs="Times New Roman"/>
          <w:szCs w:val="24"/>
        </w:rPr>
        <w:t>tesisin tüm önemli çevresel yönlerini açıklayan, çevresel amaçlar ve hedeflerlin yanı sıra uygun bir şekilde sektörel kıyaslamalarla yıl bazında karşılaştırmaya olanak tanıyan bir çevre beyanının hazırlanması ve yayımlanması (ve muhtemel harici doğrulanması)</w:t>
      </w:r>
      <w:r w:rsidRPr="00F50C10">
        <w:rPr>
          <w:rFonts w:cs="Times New Roman"/>
          <w:szCs w:val="24"/>
          <w:lang w:val="tr-TR"/>
        </w:rPr>
        <w:t>,</w:t>
      </w:r>
    </w:p>
    <w:p w14:paraId="668ED8FB" w14:textId="3D1F2E99" w:rsidR="00E172E8" w:rsidRPr="00F50C10" w:rsidRDefault="00E172E8" w:rsidP="00A654AE">
      <w:pPr>
        <w:pStyle w:val="ListeParagraf"/>
        <w:numPr>
          <w:ilvl w:val="0"/>
          <w:numId w:val="148"/>
        </w:numPr>
        <w:spacing w:after="120" w:line="276" w:lineRule="auto"/>
        <w:rPr>
          <w:rFonts w:cs="Times New Roman"/>
          <w:szCs w:val="24"/>
        </w:rPr>
      </w:pPr>
      <w:r w:rsidRPr="00F50C10">
        <w:rPr>
          <w:rFonts w:cs="Times New Roman"/>
          <w:szCs w:val="24"/>
        </w:rPr>
        <w:t>EMAS ve TS EN ISO 14001:2015 gibi uluslararası kabul görmüş gönüllü bir sistemin uygulanması ve bu sisteme bağlı kalınması. Gönüllülük esaslı bu adım, ÇYS’ye daha fazla güvenilirlik kazandırabilir. Özellikle, yukarıda belirtilen özelliklerin tümünü bünyesinde barındıran EMAS, daha fazla bir güvenilirlik kazandırır. Ancak, standardize olmayan sistemler de doğru bir şekilde tasarlanmaları ve uygulanmaları koşuluyla prensipte eşit derecede etkili olabilirler.</w:t>
      </w:r>
    </w:p>
    <w:p w14:paraId="1126F82B" w14:textId="1F6152B4" w:rsidR="00E172E8" w:rsidRPr="00F50C10" w:rsidRDefault="00E172E8" w:rsidP="000B206D">
      <w:pPr>
        <w:spacing w:after="120" w:line="276" w:lineRule="auto"/>
        <w:ind w:left="360"/>
        <w:rPr>
          <w:rFonts w:cs="Times New Roman"/>
          <w:szCs w:val="24"/>
          <w:lang w:val="tr-TR"/>
        </w:rPr>
      </w:pPr>
      <w:r w:rsidRPr="00F50C10">
        <w:rPr>
          <w:rFonts w:cs="Times New Roman"/>
          <w:szCs w:val="24"/>
          <w:lang w:val="tr-TR"/>
        </w:rPr>
        <w:t>Özellikle</w:t>
      </w:r>
      <w:r w:rsidR="00D522C9" w:rsidRPr="00F50C10">
        <w:rPr>
          <w:rFonts w:cs="Times New Roman"/>
          <w:szCs w:val="24"/>
        </w:rPr>
        <w:t xml:space="preserve"> büyük hacimli inorganik kimyasallar </w:t>
      </w:r>
      <w:r w:rsidRPr="00F50C10">
        <w:rPr>
          <w:rFonts w:cs="Times New Roman"/>
          <w:szCs w:val="24"/>
          <w:lang w:val="tr-TR"/>
        </w:rPr>
        <w:t>üretimi sektörü için, ÇYS’nin aşağıdaki muhtemel özelliklerinin de dikkate alınması önem teşkil eder:</w:t>
      </w:r>
    </w:p>
    <w:p w14:paraId="4ABC493E" w14:textId="77777777" w:rsidR="00D522C9" w:rsidRPr="00F50C10" w:rsidRDefault="00E172E8" w:rsidP="00A654AE">
      <w:pPr>
        <w:pStyle w:val="ListeParagraf"/>
        <w:numPr>
          <w:ilvl w:val="0"/>
          <w:numId w:val="148"/>
        </w:numPr>
        <w:spacing w:after="120" w:line="276" w:lineRule="auto"/>
        <w:rPr>
          <w:rFonts w:cs="Times New Roman"/>
          <w:szCs w:val="24"/>
        </w:rPr>
      </w:pPr>
      <w:r w:rsidRPr="00F50C10">
        <w:rPr>
          <w:rFonts w:cs="Times New Roman"/>
          <w:szCs w:val="24"/>
          <w:lang w:val="tr-TR"/>
        </w:rPr>
        <w:t>yeni bir tesisin tasarlanması aşamasında ünitenin nihai olarak hizmet dışı bırakılmasından kaynaklanabilecek çevresel etki,</w:t>
      </w:r>
    </w:p>
    <w:p w14:paraId="02159EC4" w14:textId="77777777" w:rsidR="00D522C9" w:rsidRPr="00F50C10" w:rsidRDefault="00E172E8" w:rsidP="00A654AE">
      <w:pPr>
        <w:pStyle w:val="ListeParagraf"/>
        <w:numPr>
          <w:ilvl w:val="0"/>
          <w:numId w:val="148"/>
        </w:numPr>
        <w:spacing w:after="120" w:line="276" w:lineRule="auto"/>
        <w:rPr>
          <w:rFonts w:cs="Times New Roman"/>
          <w:szCs w:val="24"/>
        </w:rPr>
      </w:pPr>
      <w:r w:rsidRPr="00F50C10">
        <w:rPr>
          <w:rFonts w:cs="Times New Roman"/>
          <w:szCs w:val="24"/>
          <w:lang w:val="tr-TR"/>
        </w:rPr>
        <w:t>daha çevreci teknolojilerin geliştirilmesi,</w:t>
      </w:r>
    </w:p>
    <w:p w14:paraId="10F76606" w14:textId="6DC38D6E" w:rsidR="000F3B99" w:rsidRPr="00F50C10" w:rsidRDefault="00E172E8" w:rsidP="00A654AE">
      <w:pPr>
        <w:pStyle w:val="ListeParagraf"/>
        <w:numPr>
          <w:ilvl w:val="0"/>
          <w:numId w:val="148"/>
        </w:numPr>
        <w:spacing w:after="120" w:line="276" w:lineRule="auto"/>
        <w:rPr>
          <w:rFonts w:cs="Times New Roman"/>
          <w:szCs w:val="24"/>
        </w:rPr>
      </w:pPr>
      <w:r w:rsidRPr="00F50C10">
        <w:rPr>
          <w:rFonts w:cs="Times New Roman"/>
          <w:szCs w:val="24"/>
          <w:lang w:val="tr-TR"/>
        </w:rPr>
        <w:t>uygulanabilir olduğu durumlarda, enerji verimliliği ve enerji tasarrufu faaliyetleri, girdi malzemelerinin seçimi, havaya emisyonlar, suya deşarjlar, su tüketimi ve atık üretimi dahil olmak üzere düzenli olarak sektörel kıyaslama uygulanması.</w:t>
      </w:r>
    </w:p>
    <w:p w14:paraId="09B802E9" w14:textId="160253E8" w:rsidR="000F3B99" w:rsidRPr="00F50C10" w:rsidRDefault="000F3B99" w:rsidP="00A654AE">
      <w:pPr>
        <w:pStyle w:val="Balk1"/>
        <w:numPr>
          <w:ilvl w:val="0"/>
          <w:numId w:val="147"/>
        </w:numPr>
        <w:spacing w:after="120" w:line="276" w:lineRule="auto"/>
        <w:rPr>
          <w:rFonts w:cs="Times New Roman"/>
          <w:szCs w:val="24"/>
        </w:rPr>
      </w:pPr>
      <w:r w:rsidRPr="00F50C10">
        <w:rPr>
          <w:rFonts w:cs="Times New Roman"/>
          <w:szCs w:val="24"/>
        </w:rPr>
        <w:t>SOLVAY PROSESİ İLE SODA KÜLÜ ÜRET</w:t>
      </w:r>
      <w:r w:rsidR="00D218F3" w:rsidRPr="00F50C10">
        <w:rPr>
          <w:rFonts w:cs="Times New Roman"/>
          <w:szCs w:val="24"/>
        </w:rPr>
        <w:t>İ</w:t>
      </w:r>
      <w:r w:rsidRPr="00F50C10">
        <w:rPr>
          <w:rFonts w:cs="Times New Roman"/>
          <w:szCs w:val="24"/>
        </w:rPr>
        <w:t>M</w:t>
      </w:r>
      <w:r w:rsidR="00D218F3" w:rsidRPr="00F50C10">
        <w:rPr>
          <w:rFonts w:cs="Times New Roman"/>
          <w:szCs w:val="24"/>
        </w:rPr>
        <w:t>İ</w:t>
      </w:r>
      <w:r w:rsidRPr="00F50C10">
        <w:rPr>
          <w:rFonts w:cs="Times New Roman"/>
          <w:szCs w:val="24"/>
        </w:rPr>
        <w:t xml:space="preserve"> İÇİN MEVCUT EN İYİ TEKNİKLER</w:t>
      </w:r>
    </w:p>
    <w:p w14:paraId="73544F20" w14:textId="134FFC47" w:rsidR="000F3B99" w:rsidRPr="00F50C10" w:rsidRDefault="000F3B99" w:rsidP="000B206D">
      <w:pPr>
        <w:widowControl w:val="0"/>
        <w:autoSpaceDE w:val="0"/>
        <w:autoSpaceDN w:val="0"/>
        <w:adjustRightInd w:val="0"/>
        <w:spacing w:after="120" w:line="276" w:lineRule="auto"/>
        <w:rPr>
          <w:rFonts w:cs="Times New Roman"/>
          <w:b/>
          <w:bCs/>
          <w:szCs w:val="24"/>
          <w:lang w:val="nl-NL"/>
        </w:rPr>
      </w:pPr>
      <w:r w:rsidRPr="00F50C10">
        <w:rPr>
          <w:rFonts w:cs="Times New Roman"/>
          <w:b/>
          <w:bCs/>
          <w:szCs w:val="24"/>
          <w:lang w:val="nl-NL"/>
        </w:rPr>
        <w:t xml:space="preserve">MET 2:  </w:t>
      </w:r>
      <w:r w:rsidRPr="00F50C10">
        <w:rPr>
          <w:rFonts w:cs="Times New Roman"/>
          <w:szCs w:val="24"/>
          <w:lang w:val="nl-NL"/>
        </w:rPr>
        <w:t xml:space="preserve">Ham tuzlu suda toplam tuz tüketimini azaltmak için teknikler </w:t>
      </w:r>
      <w:r w:rsidR="00DA7274" w:rsidRPr="00F50C10">
        <w:rPr>
          <w:rFonts w:cs="Times New Roman"/>
          <w:szCs w:val="24"/>
          <w:lang w:val="nl-NL"/>
        </w:rPr>
        <w:t xml:space="preserve">(örnek olarak ham tuzlu su kalitesi, yerel soğutma suyu sıcaklığı gibi) </w:t>
      </w:r>
      <w:r w:rsidRPr="00F50C10">
        <w:rPr>
          <w:rFonts w:cs="Times New Roman"/>
          <w:szCs w:val="24"/>
          <w:lang w:val="nl-NL"/>
        </w:rPr>
        <w:t>uygulanır</w:t>
      </w:r>
      <w:r w:rsidR="00DA7274" w:rsidRPr="00F50C10">
        <w:rPr>
          <w:rFonts w:cs="Times New Roman"/>
          <w:szCs w:val="24"/>
          <w:lang w:val="nl-NL"/>
        </w:rPr>
        <w:t>.</w:t>
      </w:r>
    </w:p>
    <w:p w14:paraId="046C7E75" w14:textId="3E0AB887" w:rsidR="000F3B99" w:rsidRPr="00F50C10" w:rsidRDefault="000F3B99" w:rsidP="000B206D">
      <w:pPr>
        <w:widowControl w:val="0"/>
        <w:autoSpaceDE w:val="0"/>
        <w:autoSpaceDN w:val="0"/>
        <w:adjustRightInd w:val="0"/>
        <w:spacing w:after="120" w:line="276" w:lineRule="auto"/>
        <w:rPr>
          <w:rFonts w:cs="Times New Roman"/>
          <w:b/>
          <w:bCs/>
          <w:szCs w:val="24"/>
          <w:lang w:val="nl-NL"/>
        </w:rPr>
      </w:pPr>
      <w:r w:rsidRPr="00F50C10">
        <w:rPr>
          <w:rFonts w:cs="Times New Roman"/>
          <w:b/>
          <w:bCs/>
          <w:szCs w:val="24"/>
          <w:lang w:val="nl-NL"/>
        </w:rPr>
        <w:t xml:space="preserve">MET 3: </w:t>
      </w:r>
      <w:r w:rsidRPr="00F50C10">
        <w:rPr>
          <w:rFonts w:cs="Times New Roman"/>
          <w:szCs w:val="24"/>
          <w:lang w:val="nl-NL"/>
        </w:rPr>
        <w:t>Tesis girişinde toplam kireçtaşı tüketimini azaltm</w:t>
      </w:r>
      <w:r w:rsidR="00C84F5D" w:rsidRPr="00F50C10">
        <w:rPr>
          <w:rFonts w:cs="Times New Roman"/>
          <w:szCs w:val="24"/>
          <w:lang w:val="nl-NL"/>
        </w:rPr>
        <w:t xml:space="preserve">aya yönelik </w:t>
      </w:r>
      <w:r w:rsidRPr="00F50C10">
        <w:rPr>
          <w:rFonts w:cs="Times New Roman"/>
          <w:szCs w:val="24"/>
          <w:lang w:val="nl-NL"/>
        </w:rPr>
        <w:t>teknikler</w:t>
      </w:r>
      <w:r w:rsidR="00DA7274" w:rsidRPr="00F50C10">
        <w:rPr>
          <w:rFonts w:cs="Times New Roman"/>
          <w:szCs w:val="24"/>
          <w:lang w:val="nl-NL"/>
        </w:rPr>
        <w:t xml:space="preserve"> (örneğin, daha düşük karbonat içeriğine, kötü yanma özellikleri ve taş kırılganlığı</w:t>
      </w:r>
      <w:r w:rsidR="00007EAC" w:rsidRPr="00F50C10">
        <w:rPr>
          <w:rFonts w:cs="Times New Roman"/>
          <w:szCs w:val="24"/>
          <w:lang w:val="nl-NL"/>
        </w:rPr>
        <w:t>na sahip kireçtaşı</w:t>
      </w:r>
      <w:r w:rsidR="00DA7274" w:rsidRPr="00F50C10">
        <w:rPr>
          <w:rFonts w:cs="Times New Roman"/>
          <w:szCs w:val="24"/>
          <w:lang w:val="nl-NL"/>
        </w:rPr>
        <w:t>)</w:t>
      </w:r>
      <w:r w:rsidRPr="00F50C10">
        <w:rPr>
          <w:rFonts w:cs="Times New Roman"/>
          <w:szCs w:val="24"/>
          <w:lang w:val="nl-NL"/>
        </w:rPr>
        <w:t xml:space="preserve"> uygulan</w:t>
      </w:r>
      <w:r w:rsidR="00DA7274" w:rsidRPr="00F50C10">
        <w:rPr>
          <w:rFonts w:cs="Times New Roman"/>
          <w:szCs w:val="24"/>
          <w:lang w:val="nl-NL"/>
        </w:rPr>
        <w:t>ır.</w:t>
      </w:r>
    </w:p>
    <w:p w14:paraId="6C64F7B5" w14:textId="77777777" w:rsidR="00007EAC" w:rsidRPr="00F50C10" w:rsidRDefault="000F3B99" w:rsidP="000B206D">
      <w:pPr>
        <w:widowControl w:val="0"/>
        <w:autoSpaceDE w:val="0"/>
        <w:autoSpaceDN w:val="0"/>
        <w:adjustRightInd w:val="0"/>
        <w:spacing w:after="120" w:line="276" w:lineRule="auto"/>
        <w:rPr>
          <w:rFonts w:cs="Times New Roman"/>
          <w:szCs w:val="24"/>
        </w:rPr>
      </w:pPr>
      <w:r w:rsidRPr="00F50C10">
        <w:rPr>
          <w:rFonts w:cs="Times New Roman"/>
          <w:b/>
          <w:bCs/>
          <w:szCs w:val="24"/>
          <w:lang w:val="nl-NL"/>
        </w:rPr>
        <w:t xml:space="preserve">MET 4: </w:t>
      </w:r>
      <w:r w:rsidRPr="00F50C10">
        <w:rPr>
          <w:rFonts w:cs="Times New Roman"/>
          <w:szCs w:val="24"/>
          <w:lang w:val="nl-NL"/>
        </w:rPr>
        <w:t xml:space="preserve">Uygun kalitede kireç taşı seçimi için aşağıdaki kriterler dikkate alınır: </w:t>
      </w:r>
    </w:p>
    <w:p w14:paraId="362A8369" w14:textId="77777777" w:rsidR="00007EAC" w:rsidRPr="00F50C10" w:rsidRDefault="000F3B99" w:rsidP="00A654AE">
      <w:pPr>
        <w:pStyle w:val="ListeParagraf"/>
        <w:widowControl w:val="0"/>
        <w:numPr>
          <w:ilvl w:val="0"/>
          <w:numId w:val="152"/>
        </w:numPr>
        <w:autoSpaceDE w:val="0"/>
        <w:autoSpaceDN w:val="0"/>
        <w:adjustRightInd w:val="0"/>
        <w:spacing w:after="120" w:line="276" w:lineRule="auto"/>
        <w:rPr>
          <w:rFonts w:cs="Times New Roman"/>
          <w:szCs w:val="24"/>
        </w:rPr>
      </w:pPr>
      <w:r w:rsidRPr="00F50C10">
        <w:rPr>
          <w:rFonts w:cs="Times New Roman"/>
          <w:szCs w:val="24"/>
        </w:rPr>
        <w:t>tercihen % 95 – 99 aralığında yüksek CaCO</w:t>
      </w:r>
      <w:r w:rsidRPr="00F50C10">
        <w:rPr>
          <w:rFonts w:cs="Times New Roman"/>
          <w:szCs w:val="24"/>
          <w:vertAlign w:val="subscript"/>
        </w:rPr>
        <w:t>3</w:t>
      </w:r>
      <w:r w:rsidRPr="00F50C10">
        <w:rPr>
          <w:rFonts w:cs="Times New Roman"/>
          <w:szCs w:val="24"/>
        </w:rPr>
        <w:t xml:space="preserve"> içeriği (düşük MgCO</w:t>
      </w:r>
      <w:r w:rsidRPr="00F50C10">
        <w:rPr>
          <w:rFonts w:cs="Times New Roman"/>
          <w:szCs w:val="24"/>
          <w:vertAlign w:val="subscript"/>
        </w:rPr>
        <w:t>3</w:t>
      </w:r>
      <w:r w:rsidRPr="00F50C10">
        <w:rPr>
          <w:rFonts w:cs="Times New Roman"/>
          <w:szCs w:val="24"/>
        </w:rPr>
        <w:t>, SiO</w:t>
      </w:r>
      <w:r w:rsidRPr="00F50C10">
        <w:rPr>
          <w:rFonts w:cs="Times New Roman"/>
          <w:szCs w:val="24"/>
          <w:vertAlign w:val="subscript"/>
        </w:rPr>
        <w:t>2</w:t>
      </w:r>
      <w:r w:rsidRPr="00F50C10">
        <w:rPr>
          <w:rFonts w:cs="Times New Roman"/>
          <w:szCs w:val="24"/>
        </w:rPr>
        <w:t>, SO</w:t>
      </w:r>
      <w:r w:rsidRPr="00F50C10">
        <w:rPr>
          <w:rFonts w:cs="Times New Roman"/>
          <w:szCs w:val="24"/>
          <w:vertAlign w:val="subscript"/>
        </w:rPr>
        <w:t>3</w:t>
      </w:r>
      <w:r w:rsidRPr="00F50C10">
        <w:rPr>
          <w:rFonts w:cs="Times New Roman"/>
          <w:szCs w:val="24"/>
        </w:rPr>
        <w:t xml:space="preserve"> ve Al</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3</w:t>
      </w:r>
      <w:r w:rsidRPr="00F50C10">
        <w:rPr>
          <w:rFonts w:cs="Times New Roman"/>
          <w:szCs w:val="24"/>
        </w:rPr>
        <w:t xml:space="preserve"> + Fe</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3</w:t>
      </w:r>
      <w:r w:rsidRPr="00F50C10">
        <w:rPr>
          <w:rFonts w:cs="Times New Roman"/>
          <w:szCs w:val="24"/>
        </w:rPr>
        <w:t xml:space="preserve"> içeriği),</w:t>
      </w:r>
    </w:p>
    <w:p w14:paraId="513B3DB9" w14:textId="3BD4E1EA" w:rsidR="00007EAC" w:rsidRPr="00F50C10" w:rsidRDefault="000F3B99" w:rsidP="00A654AE">
      <w:pPr>
        <w:pStyle w:val="ListeParagraf"/>
        <w:widowControl w:val="0"/>
        <w:numPr>
          <w:ilvl w:val="0"/>
          <w:numId w:val="152"/>
        </w:numPr>
        <w:autoSpaceDE w:val="0"/>
        <w:autoSpaceDN w:val="0"/>
        <w:adjustRightInd w:val="0"/>
        <w:spacing w:after="120" w:line="276" w:lineRule="auto"/>
        <w:rPr>
          <w:rFonts w:cs="Times New Roman"/>
          <w:szCs w:val="24"/>
        </w:rPr>
      </w:pPr>
      <w:r w:rsidRPr="00F50C10">
        <w:rPr>
          <w:rFonts w:cs="Times New Roman"/>
          <w:szCs w:val="24"/>
        </w:rPr>
        <w:t>proseste gerekli olan uygun fiziksel kireç taşı özellikleri (tane</w:t>
      </w:r>
      <w:r w:rsidR="00382CAA" w:rsidRPr="00F50C10">
        <w:rPr>
          <w:rFonts w:cs="Times New Roman"/>
          <w:szCs w:val="24"/>
        </w:rPr>
        <w:t>cik</w:t>
      </w:r>
      <w:r w:rsidRPr="00F50C10">
        <w:rPr>
          <w:rFonts w:cs="Times New Roman"/>
          <w:szCs w:val="24"/>
        </w:rPr>
        <w:t xml:space="preserve"> boyutu, sertlik, gözeneklilik, yanma özellikleri),</w:t>
      </w:r>
      <w:r w:rsidR="00007EAC" w:rsidRPr="00F50C10">
        <w:rPr>
          <w:rFonts w:cs="Times New Roman"/>
          <w:szCs w:val="24"/>
        </w:rPr>
        <w:t xml:space="preserve"> </w:t>
      </w:r>
    </w:p>
    <w:p w14:paraId="6DE39156" w14:textId="4077DBE2" w:rsidR="000F3B99" w:rsidRPr="00F50C10" w:rsidRDefault="000F3B99" w:rsidP="00A654AE">
      <w:pPr>
        <w:pStyle w:val="ListeParagraf"/>
        <w:widowControl w:val="0"/>
        <w:numPr>
          <w:ilvl w:val="0"/>
          <w:numId w:val="152"/>
        </w:numPr>
        <w:autoSpaceDE w:val="0"/>
        <w:autoSpaceDN w:val="0"/>
        <w:adjustRightInd w:val="0"/>
        <w:spacing w:after="120" w:line="276" w:lineRule="auto"/>
        <w:rPr>
          <w:rFonts w:cs="Times New Roman"/>
          <w:szCs w:val="24"/>
        </w:rPr>
      </w:pPr>
      <w:r w:rsidRPr="00F50C10">
        <w:rPr>
          <w:rFonts w:cs="Times New Roman"/>
          <w:szCs w:val="24"/>
        </w:rPr>
        <w:t xml:space="preserve">halihazırda kendi </w:t>
      </w:r>
      <w:r w:rsidR="00C84F5D" w:rsidRPr="00F50C10">
        <w:rPr>
          <w:rFonts w:cs="Times New Roman"/>
          <w:szCs w:val="24"/>
        </w:rPr>
        <w:t>yatağından</w:t>
      </w:r>
      <w:r w:rsidRPr="00F50C10">
        <w:rPr>
          <w:rFonts w:cs="Times New Roman"/>
          <w:szCs w:val="24"/>
        </w:rPr>
        <w:t xml:space="preserve"> çıkarılan veya satın alınan kireçtaşında sınırlı ağır metal içeriği (As, Cd, Cr, Cu, Hg, Ni, Pb ve Zn).</w:t>
      </w:r>
    </w:p>
    <w:p w14:paraId="4E4B6F7A" w14:textId="2AA5E3F9" w:rsidR="000F3B99" w:rsidRPr="00F50C10" w:rsidRDefault="000F3B99" w:rsidP="000B206D">
      <w:pPr>
        <w:widowControl w:val="0"/>
        <w:autoSpaceDE w:val="0"/>
        <w:autoSpaceDN w:val="0"/>
        <w:adjustRightInd w:val="0"/>
        <w:spacing w:after="120" w:line="276" w:lineRule="auto"/>
        <w:rPr>
          <w:rFonts w:cs="Times New Roman"/>
          <w:b/>
          <w:bCs/>
          <w:szCs w:val="24"/>
        </w:rPr>
      </w:pPr>
      <w:r w:rsidRPr="00F50C10">
        <w:rPr>
          <w:rFonts w:cs="Times New Roman"/>
          <w:b/>
          <w:bCs/>
          <w:szCs w:val="24"/>
        </w:rPr>
        <w:t xml:space="preserve">MET 5: </w:t>
      </w:r>
      <w:r w:rsidRPr="00F50C10">
        <w:rPr>
          <w:rFonts w:cs="Times New Roman"/>
          <w:szCs w:val="24"/>
        </w:rPr>
        <w:t>Toplam enerji tüketimini</w:t>
      </w:r>
      <w:r w:rsidR="00E74335" w:rsidRPr="00F50C10">
        <w:rPr>
          <w:rFonts w:cs="Times New Roman"/>
          <w:szCs w:val="24"/>
        </w:rPr>
        <w:t xml:space="preserve">, üretilen yoğun soda külü tonu başına 9,7 – 13,6 GJ </w:t>
      </w:r>
      <w:r w:rsidRPr="00F50C10">
        <w:rPr>
          <w:rFonts w:cs="Times New Roman"/>
          <w:szCs w:val="24"/>
        </w:rPr>
        <w:t>(</w:t>
      </w:r>
      <w:r w:rsidR="00E74335" w:rsidRPr="00F50C10">
        <w:rPr>
          <w:rFonts w:cs="Times New Roman"/>
          <w:szCs w:val="24"/>
        </w:rPr>
        <w:t>veya</w:t>
      </w:r>
      <w:r w:rsidRPr="00F50C10">
        <w:rPr>
          <w:rFonts w:cs="Times New Roman"/>
          <w:szCs w:val="24"/>
        </w:rPr>
        <w:t xml:space="preserve"> üretilen hafif soda külü tonu başına 8,8 – 12,8 GJ)</w:t>
      </w:r>
      <w:r w:rsidR="00E74335" w:rsidRPr="00F50C10">
        <w:rPr>
          <w:rFonts w:cs="Times New Roman"/>
          <w:szCs w:val="24"/>
        </w:rPr>
        <w:t xml:space="preserve"> aralığında tutmak ve bunun 2,2 – 2,8 GJ/t’sinin kireç fırını ünitesinde olması için</w:t>
      </w:r>
      <w:r w:rsidRPr="00F50C10">
        <w:rPr>
          <w:rFonts w:cs="Times New Roman"/>
          <w:szCs w:val="24"/>
        </w:rPr>
        <w:t xml:space="preserve"> teknikler uygulan</w:t>
      </w:r>
      <w:r w:rsidR="00E74335" w:rsidRPr="00F50C10">
        <w:rPr>
          <w:rFonts w:cs="Times New Roman"/>
          <w:szCs w:val="24"/>
        </w:rPr>
        <w:t>ı</w:t>
      </w:r>
      <w:r w:rsidRPr="00F50C10">
        <w:rPr>
          <w:rFonts w:cs="Times New Roman"/>
          <w:szCs w:val="24"/>
        </w:rPr>
        <w:t>r</w:t>
      </w:r>
      <w:r w:rsidR="00E74335" w:rsidRPr="00F50C10">
        <w:rPr>
          <w:rFonts w:cs="Times New Roman"/>
          <w:szCs w:val="24"/>
        </w:rPr>
        <w:t>.</w:t>
      </w:r>
    </w:p>
    <w:p w14:paraId="3F007011" w14:textId="632760B5" w:rsidR="000F3B99" w:rsidRPr="00F50C10" w:rsidRDefault="000F3B99" w:rsidP="000B206D">
      <w:pPr>
        <w:widowControl w:val="0"/>
        <w:autoSpaceDE w:val="0"/>
        <w:autoSpaceDN w:val="0"/>
        <w:adjustRightInd w:val="0"/>
        <w:spacing w:after="120" w:line="276" w:lineRule="auto"/>
        <w:rPr>
          <w:rFonts w:cs="Times New Roman"/>
          <w:b/>
          <w:bCs/>
          <w:szCs w:val="24"/>
        </w:rPr>
      </w:pPr>
      <w:r w:rsidRPr="00F50C10">
        <w:rPr>
          <w:rFonts w:cs="Times New Roman"/>
          <w:b/>
          <w:bCs/>
          <w:szCs w:val="24"/>
        </w:rPr>
        <w:t xml:space="preserve">MET 6: </w:t>
      </w:r>
      <w:r w:rsidRPr="00F50C10">
        <w:rPr>
          <w:rFonts w:cs="Times New Roman"/>
          <w:szCs w:val="24"/>
        </w:rPr>
        <w:t>Prosesten kaynaklanan CO</w:t>
      </w:r>
      <w:r w:rsidRPr="00F50C10">
        <w:rPr>
          <w:rFonts w:cs="Times New Roman"/>
          <w:szCs w:val="24"/>
          <w:vertAlign w:val="subscript"/>
        </w:rPr>
        <w:t>2</w:t>
      </w:r>
      <w:r w:rsidRPr="00F50C10">
        <w:rPr>
          <w:rFonts w:cs="Times New Roman"/>
          <w:szCs w:val="24"/>
        </w:rPr>
        <w:t xml:space="preserve"> emisyonlarını üretilen soda külü tonu başına 0,2 – 0,4 ton %100 CO</w:t>
      </w:r>
      <w:r w:rsidRPr="00F50C10">
        <w:rPr>
          <w:rFonts w:cs="Times New Roman"/>
          <w:szCs w:val="24"/>
          <w:vertAlign w:val="subscript"/>
        </w:rPr>
        <w:t>2</w:t>
      </w:r>
      <w:r w:rsidRPr="00F50C10">
        <w:rPr>
          <w:rFonts w:cs="Times New Roman"/>
          <w:szCs w:val="24"/>
        </w:rPr>
        <w:t xml:space="preserve"> aralığında tutmak</w:t>
      </w:r>
      <w:r w:rsidR="00AE7C95" w:rsidRPr="00F50C10">
        <w:rPr>
          <w:rFonts w:cs="Times New Roman"/>
          <w:szCs w:val="24"/>
        </w:rPr>
        <w:t xml:space="preserve">, </w:t>
      </w:r>
      <w:r w:rsidRPr="00F50C10">
        <w:rPr>
          <w:rFonts w:cs="Times New Roman"/>
          <w:szCs w:val="24"/>
        </w:rPr>
        <w:t>için soda külü süreci optimize edilir</w:t>
      </w:r>
      <w:r w:rsidR="00AE7C95" w:rsidRPr="00F50C10">
        <w:rPr>
          <w:rFonts w:cs="Times New Roman"/>
          <w:szCs w:val="24"/>
        </w:rPr>
        <w:t>.</w:t>
      </w:r>
    </w:p>
    <w:p w14:paraId="0ED8005D" w14:textId="55D567E7" w:rsidR="000F3B99" w:rsidRPr="00F50C10" w:rsidRDefault="000F3B99" w:rsidP="000B206D">
      <w:pPr>
        <w:widowControl w:val="0"/>
        <w:autoSpaceDE w:val="0"/>
        <w:autoSpaceDN w:val="0"/>
        <w:adjustRightInd w:val="0"/>
        <w:spacing w:after="120" w:line="276" w:lineRule="auto"/>
        <w:rPr>
          <w:rFonts w:cs="Times New Roman"/>
          <w:szCs w:val="24"/>
        </w:rPr>
      </w:pPr>
      <w:r w:rsidRPr="00F50C10">
        <w:rPr>
          <w:rFonts w:cs="Times New Roman"/>
          <w:b/>
          <w:bCs/>
          <w:szCs w:val="24"/>
        </w:rPr>
        <w:t xml:space="preserve">MET 7: </w:t>
      </w:r>
      <w:r w:rsidRPr="00F50C10">
        <w:rPr>
          <w:rFonts w:cs="Times New Roman"/>
          <w:szCs w:val="24"/>
        </w:rPr>
        <w:t>Konsantre CO</w:t>
      </w:r>
      <w:r w:rsidRPr="00F50C10">
        <w:rPr>
          <w:rFonts w:cs="Times New Roman"/>
          <w:szCs w:val="24"/>
          <w:vertAlign w:val="subscript"/>
        </w:rPr>
        <w:t>2</w:t>
      </w:r>
      <w:r w:rsidRPr="00F50C10">
        <w:rPr>
          <w:rFonts w:cs="Times New Roman"/>
          <w:szCs w:val="24"/>
        </w:rPr>
        <w:t xml:space="preserve"> gazı ve reaktif kireç üretimi için dikey şaftlı fırın kullanılır</w:t>
      </w:r>
      <w:r w:rsidR="00AE7C95" w:rsidRPr="00F50C10">
        <w:rPr>
          <w:rFonts w:cs="Times New Roman"/>
          <w:szCs w:val="24"/>
        </w:rPr>
        <w:t>.</w:t>
      </w:r>
    </w:p>
    <w:p w14:paraId="0F92AE81" w14:textId="249AA359" w:rsidR="000F3B99" w:rsidRPr="00F50C10" w:rsidRDefault="000F3B99" w:rsidP="000B206D">
      <w:pPr>
        <w:widowControl w:val="0"/>
        <w:autoSpaceDE w:val="0"/>
        <w:autoSpaceDN w:val="0"/>
        <w:adjustRightInd w:val="0"/>
        <w:spacing w:after="120" w:line="276" w:lineRule="auto"/>
        <w:rPr>
          <w:rFonts w:cs="Times New Roman"/>
          <w:szCs w:val="24"/>
        </w:rPr>
      </w:pPr>
      <w:r w:rsidRPr="00F50C10">
        <w:rPr>
          <w:rFonts w:cs="Times New Roman"/>
          <w:b/>
          <w:bCs/>
          <w:szCs w:val="24"/>
        </w:rPr>
        <w:t xml:space="preserve">MET 8: </w:t>
      </w:r>
      <w:r w:rsidRPr="00F50C10">
        <w:rPr>
          <w:rFonts w:cs="Times New Roman"/>
          <w:szCs w:val="24"/>
        </w:rPr>
        <w:t>Damıtma ünitesi atıksularındaki toplam amonyak kayıplarını azaltmak için, proseste yüksek amonyak geri kazanımı sağlan</w:t>
      </w:r>
      <w:r w:rsidR="00AE7C95" w:rsidRPr="00F50C10">
        <w:rPr>
          <w:rFonts w:cs="Times New Roman"/>
          <w:szCs w:val="24"/>
        </w:rPr>
        <w:t>ır.</w:t>
      </w:r>
    </w:p>
    <w:p w14:paraId="093D3F9E" w14:textId="04D1E37B" w:rsidR="000F3B99" w:rsidRPr="00F50C10" w:rsidRDefault="000F3B99" w:rsidP="000B206D">
      <w:pPr>
        <w:widowControl w:val="0"/>
        <w:autoSpaceDE w:val="0"/>
        <w:autoSpaceDN w:val="0"/>
        <w:adjustRightInd w:val="0"/>
        <w:spacing w:after="120" w:line="276" w:lineRule="auto"/>
        <w:rPr>
          <w:rFonts w:cs="Times New Roman"/>
          <w:szCs w:val="24"/>
        </w:rPr>
      </w:pPr>
      <w:r w:rsidRPr="00F50C10">
        <w:rPr>
          <w:rFonts w:cs="Times New Roman"/>
          <w:b/>
          <w:bCs/>
          <w:szCs w:val="24"/>
        </w:rPr>
        <w:t xml:space="preserve">MET 9: </w:t>
      </w:r>
      <w:r w:rsidRPr="00F50C10">
        <w:rPr>
          <w:rFonts w:cs="Times New Roman"/>
          <w:szCs w:val="24"/>
        </w:rPr>
        <w:t>Damıtma ünitesinden akarsuya verilen atıksu miktarı</w:t>
      </w:r>
      <w:r w:rsidR="00382CAA" w:rsidRPr="00F50C10">
        <w:rPr>
          <w:rFonts w:cs="Times New Roman"/>
          <w:szCs w:val="24"/>
        </w:rPr>
        <w:t>, üretilen soda külü tonu başına 8,5 – 10,7 m</w:t>
      </w:r>
      <w:r w:rsidR="00382CAA" w:rsidRPr="00F50C10">
        <w:rPr>
          <w:rFonts w:cs="Times New Roman"/>
          <w:szCs w:val="24"/>
          <w:vertAlign w:val="superscript"/>
        </w:rPr>
        <w:t>3</w:t>
      </w:r>
      <w:r w:rsidR="00382CAA" w:rsidRPr="00F50C10">
        <w:rPr>
          <w:rFonts w:cs="Times New Roman"/>
          <w:szCs w:val="24"/>
        </w:rPr>
        <w:t xml:space="preserve"> aralığında olacak şekilde,</w:t>
      </w:r>
      <w:r w:rsidRPr="00F50C10">
        <w:rPr>
          <w:rFonts w:cs="Times New Roman"/>
          <w:szCs w:val="24"/>
        </w:rPr>
        <w:t xml:space="preserve"> azaltıl</w:t>
      </w:r>
      <w:r w:rsidR="00382CAA" w:rsidRPr="00F50C10">
        <w:rPr>
          <w:rFonts w:cs="Times New Roman"/>
          <w:szCs w:val="24"/>
        </w:rPr>
        <w:t>ı</w:t>
      </w:r>
      <w:r w:rsidRPr="00F50C10">
        <w:rPr>
          <w:rFonts w:cs="Times New Roman"/>
          <w:szCs w:val="24"/>
        </w:rPr>
        <w:t>r</w:t>
      </w:r>
      <w:r w:rsidR="00382CAA" w:rsidRPr="00F50C10">
        <w:rPr>
          <w:rFonts w:cs="Times New Roman"/>
          <w:szCs w:val="24"/>
        </w:rPr>
        <w:t xml:space="preserve">. </w:t>
      </w:r>
    </w:p>
    <w:p w14:paraId="0DBE3F15" w14:textId="544FDEA8" w:rsidR="000F3B99" w:rsidRPr="00F50C10" w:rsidRDefault="000F3B99" w:rsidP="000B206D">
      <w:pPr>
        <w:widowControl w:val="0"/>
        <w:autoSpaceDE w:val="0"/>
        <w:autoSpaceDN w:val="0"/>
        <w:adjustRightInd w:val="0"/>
        <w:spacing w:after="120" w:line="276" w:lineRule="auto"/>
        <w:rPr>
          <w:rFonts w:cs="Times New Roman"/>
          <w:b/>
          <w:bCs/>
          <w:szCs w:val="24"/>
        </w:rPr>
      </w:pPr>
      <w:r w:rsidRPr="00F50C10">
        <w:rPr>
          <w:rFonts w:cs="Times New Roman"/>
          <w:b/>
          <w:bCs/>
          <w:szCs w:val="24"/>
        </w:rPr>
        <w:t xml:space="preserve">MET 10: </w:t>
      </w:r>
      <w:r w:rsidRPr="00F50C10">
        <w:rPr>
          <w:rFonts w:cs="Times New Roman"/>
          <w:szCs w:val="24"/>
        </w:rPr>
        <w:t>Damıtma ünitesi atıksularındaki askıda katı madde miktarı</w:t>
      </w:r>
      <w:r w:rsidR="00382CAA" w:rsidRPr="00F50C10">
        <w:rPr>
          <w:rFonts w:cs="Times New Roman"/>
          <w:szCs w:val="24"/>
        </w:rPr>
        <w:t>, kaliteli kireçtaşları kullanımıyla</w:t>
      </w:r>
      <w:r w:rsidRPr="00F50C10">
        <w:rPr>
          <w:rFonts w:cs="Times New Roman"/>
          <w:szCs w:val="24"/>
        </w:rPr>
        <w:t xml:space="preserve">, </w:t>
      </w:r>
      <w:r w:rsidR="00382CAA" w:rsidRPr="00F50C10">
        <w:rPr>
          <w:rFonts w:cs="Times New Roman"/>
          <w:szCs w:val="24"/>
        </w:rPr>
        <w:t xml:space="preserve">üretilen soda külü tonu başına 0,09 – 0,24 ton katı aralığında olacak şekilde </w:t>
      </w:r>
      <w:r w:rsidRPr="00F50C10">
        <w:rPr>
          <w:rFonts w:cs="Times New Roman"/>
          <w:szCs w:val="24"/>
        </w:rPr>
        <w:t>azaltıl</w:t>
      </w:r>
      <w:r w:rsidR="00382CAA" w:rsidRPr="00F50C10">
        <w:rPr>
          <w:rFonts w:cs="Times New Roman"/>
          <w:szCs w:val="24"/>
        </w:rPr>
        <w:t>ır.</w:t>
      </w:r>
      <w:r w:rsidRPr="00F50C10">
        <w:rPr>
          <w:rFonts w:cs="Times New Roman"/>
          <w:b/>
          <w:bCs/>
          <w:szCs w:val="24"/>
        </w:rPr>
        <w:t xml:space="preserve"> </w:t>
      </w:r>
    </w:p>
    <w:p w14:paraId="5686C253" w14:textId="0456E34C" w:rsidR="000F3B99" w:rsidRPr="00F50C10" w:rsidRDefault="000F3B99" w:rsidP="000B206D">
      <w:pPr>
        <w:widowControl w:val="0"/>
        <w:autoSpaceDE w:val="0"/>
        <w:autoSpaceDN w:val="0"/>
        <w:adjustRightInd w:val="0"/>
        <w:spacing w:after="120" w:line="276" w:lineRule="auto"/>
        <w:rPr>
          <w:rFonts w:cs="Times New Roman"/>
          <w:szCs w:val="24"/>
        </w:rPr>
      </w:pPr>
      <w:r w:rsidRPr="00F50C10">
        <w:rPr>
          <w:rFonts w:cs="Times New Roman"/>
          <w:b/>
          <w:bCs/>
          <w:szCs w:val="24"/>
        </w:rPr>
        <w:t xml:space="preserve">MET 11: </w:t>
      </w:r>
      <w:r w:rsidRPr="00F50C10">
        <w:rPr>
          <w:rFonts w:cs="Times New Roman"/>
          <w:szCs w:val="24"/>
        </w:rPr>
        <w:t>Aşağıdaki teknikler kullan</w:t>
      </w:r>
      <w:r w:rsidR="00E74335" w:rsidRPr="00F50C10">
        <w:rPr>
          <w:rFonts w:cs="Times New Roman"/>
          <w:szCs w:val="24"/>
        </w:rPr>
        <w:t>ıl</w:t>
      </w:r>
      <w:r w:rsidRPr="00F50C10">
        <w:rPr>
          <w:rFonts w:cs="Times New Roman"/>
          <w:szCs w:val="24"/>
        </w:rPr>
        <w:t>arak askıda katı maddeler içeren ve ilgili soda külü üretiminden su ortamına deşarj edilen ağır metallerin emisyonunu</w:t>
      </w:r>
      <w:r w:rsidR="00C84F5D" w:rsidRPr="00F50C10">
        <w:rPr>
          <w:rFonts w:cs="Times New Roman"/>
          <w:szCs w:val="24"/>
        </w:rPr>
        <w:t>n</w:t>
      </w:r>
      <w:r w:rsidRPr="00F50C10">
        <w:rPr>
          <w:rFonts w:cs="Times New Roman"/>
          <w:szCs w:val="24"/>
        </w:rPr>
        <w:t xml:space="preserve"> en aza indiril</w:t>
      </w:r>
      <w:r w:rsidR="00E74335" w:rsidRPr="00F50C10">
        <w:rPr>
          <w:rFonts w:cs="Times New Roman"/>
          <w:szCs w:val="24"/>
        </w:rPr>
        <w:t>i</w:t>
      </w:r>
      <w:r w:rsidRPr="00F50C10">
        <w:rPr>
          <w:rFonts w:cs="Times New Roman"/>
          <w:szCs w:val="24"/>
        </w:rPr>
        <w:t>r:</w:t>
      </w:r>
    </w:p>
    <w:p w14:paraId="0AD9BEC0" w14:textId="512A52F0" w:rsidR="000F3B99" w:rsidRPr="00F50C10" w:rsidRDefault="000F3B99" w:rsidP="00A654AE">
      <w:pPr>
        <w:pStyle w:val="ListeParagraf"/>
        <w:numPr>
          <w:ilvl w:val="0"/>
          <w:numId w:val="90"/>
        </w:numPr>
        <w:spacing w:after="120" w:line="276" w:lineRule="auto"/>
        <w:rPr>
          <w:rFonts w:cs="Times New Roman"/>
          <w:szCs w:val="24"/>
          <w:lang w:val="tr-TR"/>
        </w:rPr>
      </w:pPr>
      <w:r w:rsidRPr="00F50C10">
        <w:rPr>
          <w:rFonts w:cs="Times New Roman"/>
          <w:szCs w:val="24"/>
          <w:lang w:val="tr-TR"/>
        </w:rPr>
        <w:t xml:space="preserve">nihai deşarjın deniz ortamına yapıldığı </w:t>
      </w:r>
      <w:r w:rsidR="00355753" w:rsidRPr="00F50C10">
        <w:rPr>
          <w:rFonts w:cs="Times New Roman"/>
          <w:szCs w:val="24"/>
          <w:lang w:val="tr-TR"/>
        </w:rPr>
        <w:t>durumlarda</w:t>
      </w:r>
      <w:r w:rsidRPr="00F50C10">
        <w:rPr>
          <w:rFonts w:cs="Times New Roman"/>
          <w:szCs w:val="24"/>
          <w:lang w:val="tr-TR"/>
        </w:rPr>
        <w:t xml:space="preserve"> (</w:t>
      </w:r>
      <w:r w:rsidR="00355753" w:rsidRPr="00F50C10">
        <w:rPr>
          <w:rFonts w:cs="Times New Roman"/>
          <w:szCs w:val="24"/>
          <w:lang w:val="tr-TR"/>
        </w:rPr>
        <w:t xml:space="preserve">yerel hususlara bağlı olarak </w:t>
      </w:r>
      <w:r w:rsidRPr="00F50C10">
        <w:rPr>
          <w:rFonts w:cs="Times New Roman"/>
          <w:szCs w:val="24"/>
          <w:lang w:val="tr-TR"/>
        </w:rPr>
        <w:t>denize veya gelgit etkisi altındaki bir nehrin halici</w:t>
      </w:r>
      <w:r w:rsidR="00355753" w:rsidRPr="00F50C10">
        <w:rPr>
          <w:rFonts w:cs="Times New Roman"/>
          <w:szCs w:val="24"/>
          <w:lang w:val="tr-TR"/>
        </w:rPr>
        <w:t>ne</w:t>
      </w:r>
      <w:r w:rsidRPr="00F50C10">
        <w:rPr>
          <w:rFonts w:cs="Times New Roman"/>
          <w:szCs w:val="24"/>
          <w:lang w:val="tr-TR"/>
        </w:rPr>
        <w:t xml:space="preserve">), biriken katıların </w:t>
      </w:r>
      <w:r w:rsidR="00355753" w:rsidRPr="00F50C10">
        <w:rPr>
          <w:rFonts w:cs="Times New Roman"/>
          <w:szCs w:val="24"/>
          <w:lang w:val="tr-TR"/>
        </w:rPr>
        <w:t>bölgesel</w:t>
      </w:r>
      <w:r w:rsidRPr="00F50C10">
        <w:rPr>
          <w:rFonts w:cs="Times New Roman"/>
          <w:szCs w:val="24"/>
          <w:lang w:val="tr-TR"/>
        </w:rPr>
        <w:t xml:space="preserve"> olarak birikmesini önleyerek katıların dağılmasını sağlamak için ve her durumda, hammadde</w:t>
      </w:r>
      <w:r w:rsidR="00355753" w:rsidRPr="00F50C10">
        <w:rPr>
          <w:rFonts w:cs="Times New Roman"/>
          <w:szCs w:val="24"/>
          <w:lang w:val="tr-TR"/>
        </w:rPr>
        <w:t xml:space="preserve"> seçilimi</w:t>
      </w:r>
      <w:r w:rsidRPr="00F50C10">
        <w:rPr>
          <w:rFonts w:cs="Times New Roman"/>
          <w:szCs w:val="24"/>
          <w:lang w:val="tr-TR"/>
        </w:rPr>
        <w:t xml:space="preserve"> kullanılarak ağır metallerin boşaltımını en aza indirmek</w:t>
      </w:r>
    </w:p>
    <w:p w14:paraId="29C300F5" w14:textId="3028075D" w:rsidR="000F3B99" w:rsidRPr="00F50C10" w:rsidRDefault="000F3B99" w:rsidP="00A654AE">
      <w:pPr>
        <w:pStyle w:val="ListeParagraf"/>
        <w:numPr>
          <w:ilvl w:val="0"/>
          <w:numId w:val="90"/>
        </w:numPr>
        <w:spacing w:after="120" w:line="276" w:lineRule="auto"/>
        <w:rPr>
          <w:rFonts w:cs="Times New Roman"/>
          <w:szCs w:val="24"/>
          <w:lang w:val="tr-TR"/>
        </w:rPr>
      </w:pPr>
      <w:r w:rsidRPr="00F50C10">
        <w:rPr>
          <w:rFonts w:cs="Times New Roman"/>
          <w:szCs w:val="24"/>
          <w:lang w:val="tr-TR"/>
        </w:rPr>
        <w:t>nihai deşarjın bir tatlı su kaynağına yapıldığı durumlarda</w:t>
      </w:r>
      <w:r w:rsidR="00E74335" w:rsidRPr="00F50C10">
        <w:rPr>
          <w:rFonts w:cs="Times New Roman"/>
          <w:szCs w:val="24"/>
          <w:lang w:val="tr-TR"/>
        </w:rPr>
        <w:t xml:space="preserve">, </w:t>
      </w:r>
      <w:r w:rsidR="00355753" w:rsidRPr="00F50C10">
        <w:rPr>
          <w:rFonts w:cs="Times New Roman"/>
          <w:szCs w:val="24"/>
          <w:lang w:val="tr-TR"/>
        </w:rPr>
        <w:t xml:space="preserve">aşağıdaki tekniklerin en az birinin uygulanmasıyla </w:t>
      </w:r>
      <w:r w:rsidRPr="00F50C10">
        <w:rPr>
          <w:rFonts w:cs="Times New Roman"/>
          <w:szCs w:val="24"/>
          <w:lang w:val="tr-TR"/>
        </w:rPr>
        <w:t>ağır metallerin emisyonunun en aza indirilmesi</w:t>
      </w:r>
      <w:r w:rsidR="00E74335" w:rsidRPr="00F50C10">
        <w:rPr>
          <w:rFonts w:cs="Times New Roman"/>
          <w:szCs w:val="24"/>
          <w:lang w:val="tr-TR"/>
        </w:rPr>
        <w:t>:</w:t>
      </w:r>
    </w:p>
    <w:p w14:paraId="3908915E" w14:textId="09C41BAD" w:rsidR="000F3B99" w:rsidRPr="00F50C10" w:rsidRDefault="000F3B99" w:rsidP="00A654AE">
      <w:pPr>
        <w:pStyle w:val="ListeParagraf"/>
        <w:widowControl w:val="0"/>
        <w:numPr>
          <w:ilvl w:val="1"/>
          <w:numId w:val="161"/>
        </w:numPr>
        <w:autoSpaceDE w:val="0"/>
        <w:autoSpaceDN w:val="0"/>
        <w:adjustRightInd w:val="0"/>
        <w:spacing w:after="120" w:line="276" w:lineRule="auto"/>
        <w:rPr>
          <w:rFonts w:cs="Times New Roman"/>
          <w:szCs w:val="24"/>
        </w:rPr>
      </w:pPr>
      <w:r w:rsidRPr="00F50C10">
        <w:rPr>
          <w:rFonts w:cs="Times New Roman"/>
          <w:szCs w:val="24"/>
          <w:lang w:val="nl-NL"/>
        </w:rPr>
        <w:t>uygun besleme stoklarının seçimi</w:t>
      </w:r>
      <w:r w:rsidR="00E74335" w:rsidRPr="00F50C10">
        <w:rPr>
          <w:rFonts w:cs="Times New Roman"/>
          <w:szCs w:val="24"/>
          <w:lang w:val="nl-NL"/>
        </w:rPr>
        <w:t>,</w:t>
      </w:r>
    </w:p>
    <w:p w14:paraId="18BD9F3D" w14:textId="4366801C" w:rsidR="000F3B99" w:rsidRPr="00F50C10" w:rsidRDefault="000F3B99" w:rsidP="00A654AE">
      <w:pPr>
        <w:pStyle w:val="ListeParagraf"/>
        <w:widowControl w:val="0"/>
        <w:numPr>
          <w:ilvl w:val="1"/>
          <w:numId w:val="161"/>
        </w:numPr>
        <w:autoSpaceDE w:val="0"/>
        <w:autoSpaceDN w:val="0"/>
        <w:adjustRightInd w:val="0"/>
        <w:spacing w:after="120" w:line="276" w:lineRule="auto"/>
        <w:rPr>
          <w:rFonts w:cs="Times New Roman"/>
          <w:szCs w:val="24"/>
        </w:rPr>
      </w:pPr>
      <w:r w:rsidRPr="00F50C10">
        <w:rPr>
          <w:rFonts w:cs="Times New Roman"/>
          <w:szCs w:val="24"/>
        </w:rPr>
        <w:t>kaba katıların atık sulardan uzaklaştırılması,</w:t>
      </w:r>
    </w:p>
    <w:p w14:paraId="3D92A3B4" w14:textId="4E4D77DB" w:rsidR="000F3B99" w:rsidRPr="00F50C10" w:rsidRDefault="000F3B99" w:rsidP="00A654AE">
      <w:pPr>
        <w:pStyle w:val="ListeParagraf"/>
        <w:widowControl w:val="0"/>
        <w:numPr>
          <w:ilvl w:val="1"/>
          <w:numId w:val="161"/>
        </w:numPr>
        <w:autoSpaceDE w:val="0"/>
        <w:autoSpaceDN w:val="0"/>
        <w:adjustRightInd w:val="0"/>
        <w:spacing w:after="120" w:line="276" w:lineRule="auto"/>
        <w:rPr>
          <w:rFonts w:cs="Times New Roman"/>
          <w:szCs w:val="24"/>
        </w:rPr>
      </w:pPr>
      <w:r w:rsidRPr="00F50C10">
        <w:rPr>
          <w:rFonts w:cs="Times New Roman"/>
          <w:szCs w:val="24"/>
          <w:lang w:val="nl-NL"/>
        </w:rPr>
        <w:t>biriktirme/dağıtma – çökeltme havuzları</w:t>
      </w:r>
      <w:r w:rsidRPr="00F50C10">
        <w:rPr>
          <w:rFonts w:cs="Times New Roman"/>
          <w:szCs w:val="24"/>
        </w:rPr>
        <w:t>,</w:t>
      </w:r>
    </w:p>
    <w:p w14:paraId="3D9F013D" w14:textId="0CFBE38E" w:rsidR="000F3B99" w:rsidRPr="00F50C10" w:rsidRDefault="000F3B99" w:rsidP="00A654AE">
      <w:pPr>
        <w:pStyle w:val="ListeParagraf"/>
        <w:widowControl w:val="0"/>
        <w:numPr>
          <w:ilvl w:val="1"/>
          <w:numId w:val="161"/>
        </w:numPr>
        <w:autoSpaceDE w:val="0"/>
        <w:autoSpaceDN w:val="0"/>
        <w:adjustRightInd w:val="0"/>
        <w:spacing w:after="120" w:line="276" w:lineRule="auto"/>
        <w:rPr>
          <w:rFonts w:cs="Times New Roman"/>
          <w:szCs w:val="24"/>
        </w:rPr>
      </w:pPr>
      <w:r w:rsidRPr="00F50C10">
        <w:rPr>
          <w:rFonts w:cs="Times New Roman"/>
          <w:szCs w:val="24"/>
        </w:rPr>
        <w:t>biriktirme/</w:t>
      </w:r>
      <w:r w:rsidR="00355753" w:rsidRPr="00F50C10">
        <w:rPr>
          <w:rFonts w:cs="Times New Roman"/>
          <w:szCs w:val="24"/>
        </w:rPr>
        <w:t>dağıtma</w:t>
      </w:r>
      <w:r w:rsidRPr="00F50C10">
        <w:rPr>
          <w:rFonts w:cs="Times New Roman"/>
          <w:szCs w:val="24"/>
        </w:rPr>
        <w:t xml:space="preserve"> – yer altı bertarafı.</w:t>
      </w:r>
    </w:p>
    <w:p w14:paraId="17FF5AA1" w14:textId="5AC2FFEE" w:rsidR="000F3B99" w:rsidRPr="00F50C10" w:rsidRDefault="00355753" w:rsidP="000B206D">
      <w:pPr>
        <w:spacing w:after="120" w:line="276" w:lineRule="auto"/>
        <w:ind w:left="708"/>
        <w:rPr>
          <w:rFonts w:cs="Times New Roman"/>
          <w:szCs w:val="24"/>
          <w:lang w:val="tr-TR"/>
        </w:rPr>
      </w:pPr>
      <w:r w:rsidRPr="00F50C10">
        <w:rPr>
          <w:rFonts w:cs="Times New Roman"/>
          <w:szCs w:val="24"/>
          <w:lang w:val="tr-TR"/>
        </w:rPr>
        <w:t xml:space="preserve">alıcı ortam su kütlesi özelliklerine bağlı olarak aşağıdaki tekniklerin en az birinin uygulanmasıyla </w:t>
      </w:r>
      <w:r w:rsidR="000F3B99" w:rsidRPr="00F50C10">
        <w:rPr>
          <w:rFonts w:cs="Times New Roman"/>
          <w:szCs w:val="24"/>
          <w:lang w:val="tr-TR"/>
        </w:rPr>
        <w:t>askıda katı madde emisyonunun en aza indirilmesi:</w:t>
      </w:r>
    </w:p>
    <w:p w14:paraId="2B4F074B" w14:textId="365A076E" w:rsidR="00355753" w:rsidRPr="00F50C10" w:rsidRDefault="00355753" w:rsidP="00A654AE">
      <w:pPr>
        <w:pStyle w:val="ListeParagraf"/>
        <w:widowControl w:val="0"/>
        <w:numPr>
          <w:ilvl w:val="1"/>
          <w:numId w:val="93"/>
        </w:numPr>
        <w:autoSpaceDE w:val="0"/>
        <w:autoSpaceDN w:val="0"/>
        <w:adjustRightInd w:val="0"/>
        <w:spacing w:after="120" w:line="276" w:lineRule="auto"/>
        <w:rPr>
          <w:rFonts w:cs="Times New Roman"/>
          <w:szCs w:val="24"/>
        </w:rPr>
      </w:pPr>
      <w:r w:rsidRPr="00F50C10">
        <w:rPr>
          <w:rFonts w:cs="Times New Roman"/>
          <w:szCs w:val="24"/>
          <w:lang w:val="nl-NL"/>
        </w:rPr>
        <w:t>uygun besleme stoklarının seçimi</w:t>
      </w:r>
      <w:r w:rsidR="000A086E" w:rsidRPr="00F50C10">
        <w:rPr>
          <w:rFonts w:cs="Times New Roman"/>
          <w:szCs w:val="24"/>
          <w:lang w:val="nl-NL"/>
        </w:rPr>
        <w:t>,</w:t>
      </w:r>
    </w:p>
    <w:p w14:paraId="11D78CF5" w14:textId="13D683E4" w:rsidR="00355753" w:rsidRPr="00F50C10" w:rsidRDefault="00355753" w:rsidP="00A654AE">
      <w:pPr>
        <w:pStyle w:val="ListeParagraf"/>
        <w:widowControl w:val="0"/>
        <w:numPr>
          <w:ilvl w:val="1"/>
          <w:numId w:val="93"/>
        </w:numPr>
        <w:autoSpaceDE w:val="0"/>
        <w:autoSpaceDN w:val="0"/>
        <w:adjustRightInd w:val="0"/>
        <w:spacing w:after="120" w:line="276" w:lineRule="auto"/>
        <w:rPr>
          <w:rFonts w:cs="Times New Roman"/>
          <w:szCs w:val="24"/>
        </w:rPr>
      </w:pPr>
      <w:r w:rsidRPr="00F50C10">
        <w:rPr>
          <w:rFonts w:cs="Times New Roman"/>
          <w:szCs w:val="24"/>
        </w:rPr>
        <w:t>kaba katıların atık sulardan uzaklaştırılması,</w:t>
      </w:r>
    </w:p>
    <w:p w14:paraId="15475C23" w14:textId="278E79F4" w:rsidR="00355753" w:rsidRPr="00F50C10" w:rsidRDefault="00355753" w:rsidP="00A654AE">
      <w:pPr>
        <w:pStyle w:val="ListeParagraf"/>
        <w:widowControl w:val="0"/>
        <w:numPr>
          <w:ilvl w:val="1"/>
          <w:numId w:val="93"/>
        </w:numPr>
        <w:autoSpaceDE w:val="0"/>
        <w:autoSpaceDN w:val="0"/>
        <w:adjustRightInd w:val="0"/>
        <w:spacing w:after="120" w:line="276" w:lineRule="auto"/>
        <w:rPr>
          <w:rFonts w:cs="Times New Roman"/>
          <w:szCs w:val="24"/>
        </w:rPr>
      </w:pPr>
      <w:r w:rsidRPr="00F50C10">
        <w:rPr>
          <w:rFonts w:cs="Times New Roman"/>
          <w:szCs w:val="24"/>
          <w:lang w:val="nl-NL"/>
        </w:rPr>
        <w:t>biriktirme/dağıtma – çökeltme havuzları</w:t>
      </w:r>
      <w:r w:rsidRPr="00F50C10">
        <w:rPr>
          <w:rFonts w:cs="Times New Roman"/>
          <w:szCs w:val="24"/>
        </w:rPr>
        <w:t>,</w:t>
      </w:r>
    </w:p>
    <w:p w14:paraId="344664EE" w14:textId="649A819E" w:rsidR="000F3B99" w:rsidRPr="00F50C10" w:rsidRDefault="00355753" w:rsidP="00A654AE">
      <w:pPr>
        <w:pStyle w:val="ListeParagraf"/>
        <w:widowControl w:val="0"/>
        <w:numPr>
          <w:ilvl w:val="1"/>
          <w:numId w:val="93"/>
        </w:numPr>
        <w:autoSpaceDE w:val="0"/>
        <w:autoSpaceDN w:val="0"/>
        <w:adjustRightInd w:val="0"/>
        <w:spacing w:after="120" w:line="276" w:lineRule="auto"/>
        <w:rPr>
          <w:rFonts w:cs="Times New Roman"/>
          <w:szCs w:val="24"/>
        </w:rPr>
      </w:pPr>
      <w:r w:rsidRPr="00F50C10">
        <w:rPr>
          <w:rFonts w:cs="Times New Roman"/>
          <w:szCs w:val="24"/>
        </w:rPr>
        <w:t>biriktirme/dağıtma – yer altı</w:t>
      </w:r>
      <w:r w:rsidR="000A086E" w:rsidRPr="00F50C10">
        <w:rPr>
          <w:rFonts w:cs="Times New Roman"/>
          <w:szCs w:val="24"/>
        </w:rPr>
        <w:t xml:space="preserve"> bertarafı</w:t>
      </w:r>
      <w:r w:rsidR="000F3B99" w:rsidRPr="00F50C10">
        <w:rPr>
          <w:rFonts w:cs="Times New Roman"/>
          <w:szCs w:val="24"/>
        </w:rPr>
        <w:t>.</w:t>
      </w:r>
    </w:p>
    <w:p w14:paraId="0B9AC559" w14:textId="393BEAB2" w:rsidR="000F3B99" w:rsidRPr="00F50C10" w:rsidRDefault="000F3B99" w:rsidP="000B206D">
      <w:pPr>
        <w:spacing w:after="120" w:line="276" w:lineRule="auto"/>
        <w:rPr>
          <w:rFonts w:cs="Times New Roman"/>
          <w:szCs w:val="24"/>
          <w:lang w:val="tr-TR"/>
        </w:rPr>
      </w:pPr>
      <w:r w:rsidRPr="00F50C10">
        <w:rPr>
          <w:rFonts w:cs="Times New Roman"/>
          <w:b/>
          <w:bCs/>
          <w:szCs w:val="24"/>
          <w:lang w:val="tr-TR"/>
        </w:rPr>
        <w:t xml:space="preserve">MET 12: </w:t>
      </w:r>
      <w:r w:rsidRPr="00F50C10">
        <w:rPr>
          <w:rFonts w:cs="Times New Roman"/>
          <w:szCs w:val="24"/>
          <w:lang w:val="tr-TR"/>
        </w:rPr>
        <w:t>Tuzlu su saflaştırmasından kaynaklanan atık katılar (karbonatlar, sülfatlar, Ca, Mg ve ağır metal iyonları) için herhangi bir kullanım alanının bulunmadığı durumlarda tuzlu su ocakların</w:t>
      </w:r>
      <w:r w:rsidR="00EB4086" w:rsidRPr="00F50C10">
        <w:rPr>
          <w:rFonts w:cs="Times New Roman"/>
          <w:szCs w:val="24"/>
          <w:lang w:val="tr-TR"/>
        </w:rPr>
        <w:t>d</w:t>
      </w:r>
      <w:r w:rsidRPr="00F50C10">
        <w:rPr>
          <w:rFonts w:cs="Times New Roman"/>
          <w:szCs w:val="24"/>
          <w:lang w:val="tr-TR"/>
        </w:rPr>
        <w:t xml:space="preserve">a, bu yapılamıyorsa damıtma ünitesi sıvı atığına benzer </w:t>
      </w:r>
      <w:r w:rsidR="00EB4086" w:rsidRPr="00F50C10">
        <w:rPr>
          <w:rFonts w:cs="Times New Roman"/>
          <w:szCs w:val="24"/>
          <w:lang w:val="tr-TR"/>
        </w:rPr>
        <w:t>koşullarda,</w:t>
      </w:r>
      <w:r w:rsidRPr="00F50C10">
        <w:rPr>
          <w:rFonts w:cs="Times New Roman"/>
          <w:szCs w:val="24"/>
          <w:lang w:val="tr-TR"/>
        </w:rPr>
        <w:t xml:space="preserve"> bertarafı sağlanır.</w:t>
      </w:r>
    </w:p>
    <w:p w14:paraId="4B91945D" w14:textId="0201E31E" w:rsidR="000F3B99" w:rsidRPr="00F50C10" w:rsidRDefault="000F3B99" w:rsidP="000B206D">
      <w:pPr>
        <w:spacing w:after="120" w:line="276" w:lineRule="auto"/>
        <w:rPr>
          <w:rFonts w:cs="Times New Roman"/>
          <w:szCs w:val="24"/>
          <w:lang w:val="tr-TR"/>
        </w:rPr>
      </w:pPr>
      <w:r w:rsidRPr="00F50C10">
        <w:rPr>
          <w:rFonts w:cs="Times New Roman"/>
          <w:b/>
          <w:bCs/>
          <w:szCs w:val="24"/>
          <w:lang w:val="tr-TR"/>
        </w:rPr>
        <w:t xml:space="preserve">MET 13: </w:t>
      </w:r>
      <w:r w:rsidRPr="00F50C10">
        <w:rPr>
          <w:rFonts w:cs="Times New Roman"/>
          <w:szCs w:val="24"/>
          <w:lang w:val="tr-TR"/>
        </w:rPr>
        <w:t>Toplam kireçtaşı tanesi ve söndürücüden gelen geri dönüşümü sağlanmamış kumların deşarjını azaltmak için teknikler uygulanır.</w:t>
      </w:r>
    </w:p>
    <w:p w14:paraId="2AF593FF" w14:textId="3E9F8127" w:rsidR="000F3B99" w:rsidRPr="00F50C10" w:rsidRDefault="000F3B99" w:rsidP="000B206D">
      <w:pPr>
        <w:spacing w:after="120" w:line="276" w:lineRule="auto"/>
        <w:rPr>
          <w:rFonts w:cs="Times New Roman"/>
          <w:szCs w:val="24"/>
          <w:lang w:val="tr-TR"/>
        </w:rPr>
      </w:pPr>
      <w:r w:rsidRPr="00F50C10">
        <w:rPr>
          <w:rFonts w:cs="Times New Roman"/>
          <w:b/>
          <w:bCs/>
          <w:szCs w:val="24"/>
          <w:lang w:val="tr-TR"/>
        </w:rPr>
        <w:t xml:space="preserve">MET 14: </w:t>
      </w:r>
      <w:r w:rsidRPr="00F50C10">
        <w:rPr>
          <w:rFonts w:cs="Times New Roman"/>
          <w:szCs w:val="24"/>
          <w:lang w:val="tr-TR"/>
        </w:rPr>
        <w:t xml:space="preserve">Modern toz azaltım tekniklerinin bir kombinasyonunu kullanarak ve hammadde ve ürünlerin en uygun şekilde taşınması (örneğin depolama ve taşıma tesislerinin </w:t>
      </w:r>
      <w:r w:rsidR="00EB4086" w:rsidRPr="00F50C10">
        <w:rPr>
          <w:rFonts w:cs="Times New Roman"/>
          <w:szCs w:val="24"/>
          <w:lang w:val="tr-TR"/>
        </w:rPr>
        <w:t>muhafazası</w:t>
      </w:r>
      <w:r w:rsidRPr="00F50C10">
        <w:rPr>
          <w:rFonts w:cs="Times New Roman"/>
          <w:szCs w:val="24"/>
          <w:lang w:val="tr-TR"/>
        </w:rPr>
        <w:t>) ile toz emisyonları azaltılır:</w:t>
      </w:r>
    </w:p>
    <w:p w14:paraId="2A3B59CE" w14:textId="5AA4CAD1" w:rsidR="000F3B99" w:rsidRPr="00F50C10" w:rsidRDefault="000F3B99" w:rsidP="00A654AE">
      <w:pPr>
        <w:pStyle w:val="ListeParagraf"/>
        <w:widowControl w:val="0"/>
        <w:numPr>
          <w:ilvl w:val="1"/>
          <w:numId w:val="94"/>
        </w:numPr>
        <w:tabs>
          <w:tab w:val="left" w:pos="9090"/>
        </w:tabs>
        <w:autoSpaceDE w:val="0"/>
        <w:autoSpaceDN w:val="0"/>
        <w:spacing w:after="120" w:line="276" w:lineRule="auto"/>
        <w:ind w:right="23"/>
        <w:rPr>
          <w:rFonts w:cs="Times New Roman"/>
          <w:szCs w:val="24"/>
          <w:lang w:val="tr-TR"/>
        </w:rPr>
      </w:pPr>
      <w:r w:rsidRPr="00F50C10">
        <w:rPr>
          <w:rFonts w:cs="Times New Roman"/>
          <w:szCs w:val="24"/>
          <w:lang w:val="tr-TR"/>
        </w:rPr>
        <w:t>kuru gaz akımları için, havaya verilen toplam &lt;5 – 20 mg/Nm</w:t>
      </w:r>
      <w:r w:rsidRPr="00F50C10">
        <w:rPr>
          <w:rFonts w:cs="Times New Roman"/>
          <w:szCs w:val="24"/>
          <w:vertAlign w:val="superscript"/>
          <w:lang w:val="tr-TR"/>
        </w:rPr>
        <w:t>3</w:t>
      </w:r>
      <w:r w:rsidRPr="00F50C10">
        <w:rPr>
          <w:rFonts w:cs="Times New Roman"/>
          <w:szCs w:val="24"/>
          <w:lang w:val="tr-TR"/>
        </w:rPr>
        <w:t xml:space="preserve"> toz emisyonu seviyesi elde etmek için torba filtre uygulanması.</w:t>
      </w:r>
    </w:p>
    <w:p w14:paraId="41F10835" w14:textId="26D5C133" w:rsidR="000F3B99" w:rsidRPr="00F50C10" w:rsidRDefault="00EB4086" w:rsidP="00A654AE">
      <w:pPr>
        <w:pStyle w:val="ListeParagraf"/>
        <w:widowControl w:val="0"/>
        <w:numPr>
          <w:ilvl w:val="1"/>
          <w:numId w:val="94"/>
        </w:numPr>
        <w:tabs>
          <w:tab w:val="left" w:pos="9090"/>
        </w:tabs>
        <w:autoSpaceDE w:val="0"/>
        <w:autoSpaceDN w:val="0"/>
        <w:spacing w:after="120" w:line="276" w:lineRule="auto"/>
        <w:ind w:right="23"/>
        <w:rPr>
          <w:rFonts w:cs="Times New Roman"/>
          <w:szCs w:val="24"/>
          <w:lang w:val="tr-TR"/>
        </w:rPr>
      </w:pPr>
      <w:r w:rsidRPr="00F50C10">
        <w:rPr>
          <w:rFonts w:cs="Times New Roman"/>
          <w:szCs w:val="24"/>
          <w:lang w:val="tr-TR"/>
        </w:rPr>
        <w:t>ıslak</w:t>
      </w:r>
      <w:r w:rsidR="000F3B99" w:rsidRPr="00F50C10">
        <w:rPr>
          <w:rFonts w:cs="Times New Roman"/>
          <w:szCs w:val="24"/>
          <w:lang w:val="tr-TR"/>
        </w:rPr>
        <w:t xml:space="preserve"> gaz akımları için, havaya verilen toplam &lt;25 – 50 mg/Nm</w:t>
      </w:r>
      <w:r w:rsidR="000F3B99" w:rsidRPr="00F50C10">
        <w:rPr>
          <w:rFonts w:cs="Times New Roman"/>
          <w:szCs w:val="24"/>
          <w:vertAlign w:val="superscript"/>
          <w:lang w:val="tr-TR"/>
        </w:rPr>
        <w:t>3</w:t>
      </w:r>
      <w:r w:rsidR="000F3B99" w:rsidRPr="00F50C10">
        <w:rPr>
          <w:rFonts w:cs="Times New Roman"/>
          <w:szCs w:val="24"/>
          <w:lang w:val="tr-TR"/>
        </w:rPr>
        <w:t xml:space="preserve"> toz emisyonu seviyesi elde etmek için </w:t>
      </w:r>
      <w:r w:rsidRPr="00F50C10">
        <w:rPr>
          <w:rFonts w:cs="Times New Roman"/>
          <w:szCs w:val="24"/>
          <w:lang w:val="tr-TR"/>
        </w:rPr>
        <w:t>ıslak</w:t>
      </w:r>
      <w:r w:rsidR="000F3B99" w:rsidRPr="00F50C10">
        <w:rPr>
          <w:rFonts w:cs="Times New Roman"/>
          <w:szCs w:val="24"/>
          <w:lang w:val="tr-TR"/>
        </w:rPr>
        <w:t xml:space="preserve"> yıkayıcı uygulanması. Son </w:t>
      </w:r>
      <w:r w:rsidRPr="00F50C10">
        <w:rPr>
          <w:rFonts w:cs="Times New Roman"/>
          <w:szCs w:val="24"/>
          <w:lang w:val="tr-TR"/>
        </w:rPr>
        <w:t>deneyler</w:t>
      </w:r>
      <w:r w:rsidR="000F3B99" w:rsidRPr="00F50C10">
        <w:rPr>
          <w:rFonts w:cs="Times New Roman"/>
          <w:szCs w:val="24"/>
          <w:lang w:val="tr-TR"/>
        </w:rPr>
        <w:t>, örneğin basınç düşüm sınırlamaları bulunan gaz akımlarında</w:t>
      </w:r>
      <w:r w:rsidRPr="00F50C10">
        <w:rPr>
          <w:rFonts w:cs="Times New Roman"/>
          <w:szCs w:val="24"/>
          <w:lang w:val="tr-TR"/>
        </w:rPr>
        <w:t>,</w:t>
      </w:r>
      <w:r w:rsidR="000F3B99" w:rsidRPr="00F50C10">
        <w:rPr>
          <w:rFonts w:cs="Times New Roman"/>
          <w:szCs w:val="24"/>
          <w:lang w:val="tr-TR"/>
        </w:rPr>
        <w:t xml:space="preserve"> bu seviyelere ulaşmanın zor olabileceğini göstermektedir.</w:t>
      </w:r>
    </w:p>
    <w:p w14:paraId="56D4A0F6" w14:textId="11514EA0" w:rsidR="000F3B99" w:rsidRPr="00F50C10" w:rsidRDefault="000F3B99" w:rsidP="00A654AE">
      <w:pPr>
        <w:pStyle w:val="Balk1"/>
        <w:numPr>
          <w:ilvl w:val="0"/>
          <w:numId w:val="147"/>
        </w:numPr>
        <w:spacing w:after="120" w:line="276" w:lineRule="auto"/>
        <w:rPr>
          <w:rFonts w:cs="Times New Roman"/>
          <w:szCs w:val="24"/>
        </w:rPr>
      </w:pPr>
      <w:r w:rsidRPr="00F50C10">
        <w:rPr>
          <w:rFonts w:cs="Times New Roman"/>
          <w:szCs w:val="24"/>
        </w:rPr>
        <w:t xml:space="preserve">TİTANYUM DİOKSİT </w:t>
      </w:r>
    </w:p>
    <w:p w14:paraId="362FD0B0" w14:textId="77777777" w:rsidR="000F3B99" w:rsidRPr="00F50C10" w:rsidRDefault="000F3B99" w:rsidP="00A654AE">
      <w:pPr>
        <w:pStyle w:val="Balk2"/>
        <w:numPr>
          <w:ilvl w:val="1"/>
          <w:numId w:val="136"/>
        </w:numPr>
        <w:spacing w:before="0" w:after="120" w:line="276" w:lineRule="auto"/>
        <w:rPr>
          <w:rFonts w:cs="Times New Roman"/>
          <w:szCs w:val="24"/>
        </w:rPr>
      </w:pPr>
      <w:r w:rsidRPr="00F50C10">
        <w:rPr>
          <w:rFonts w:cs="Times New Roman"/>
          <w:szCs w:val="24"/>
        </w:rPr>
        <w:t>Klorür Proses Yolu</w:t>
      </w:r>
    </w:p>
    <w:p w14:paraId="6365C92D" w14:textId="2099E839"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15:  </w:t>
      </w:r>
      <w:r w:rsidR="00FD06E1" w:rsidRPr="00F50C10">
        <w:rPr>
          <w:rFonts w:cs="Times New Roman"/>
          <w:szCs w:val="24"/>
        </w:rPr>
        <w:t>TiO</w:t>
      </w:r>
      <w:r w:rsidR="00FD06E1" w:rsidRPr="00F50C10">
        <w:rPr>
          <w:rFonts w:cs="Times New Roman"/>
          <w:szCs w:val="24"/>
          <w:vertAlign w:val="subscript"/>
        </w:rPr>
        <w:t>2</w:t>
      </w:r>
      <w:r w:rsidR="00FD06E1" w:rsidRPr="00F50C10">
        <w:rPr>
          <w:rFonts w:cs="Times New Roman"/>
          <w:szCs w:val="24"/>
        </w:rPr>
        <w:t xml:space="preserve"> cevherlerini veya sentetik TiO</w:t>
      </w:r>
      <w:r w:rsidR="00FD06E1" w:rsidRPr="00F50C10">
        <w:rPr>
          <w:rFonts w:cs="Times New Roman"/>
          <w:szCs w:val="24"/>
          <w:vertAlign w:val="subscript"/>
        </w:rPr>
        <w:t>2</w:t>
      </w:r>
      <w:r w:rsidR="00FD06E1" w:rsidRPr="00F50C10">
        <w:rPr>
          <w:rFonts w:cs="Times New Roman"/>
          <w:szCs w:val="24"/>
        </w:rPr>
        <w:t xml:space="preserve"> hammaddeleri; </w:t>
      </w:r>
      <w:r w:rsidRPr="00F50C10">
        <w:rPr>
          <w:rFonts w:cs="Times New Roman"/>
          <w:szCs w:val="24"/>
        </w:rPr>
        <w:t>TiO</w:t>
      </w:r>
      <w:r w:rsidRPr="00F50C10">
        <w:rPr>
          <w:rFonts w:cs="Times New Roman"/>
          <w:szCs w:val="24"/>
          <w:vertAlign w:val="subscript"/>
        </w:rPr>
        <w:t>2</w:t>
      </w:r>
      <w:r w:rsidRPr="00F50C10">
        <w:rPr>
          <w:rFonts w:cs="Times New Roman"/>
          <w:szCs w:val="24"/>
        </w:rPr>
        <w:t xml:space="preserve"> </w:t>
      </w:r>
      <w:r w:rsidR="00FD06E1" w:rsidRPr="00F50C10">
        <w:rPr>
          <w:rFonts w:cs="Times New Roman"/>
          <w:szCs w:val="24"/>
        </w:rPr>
        <w:t>içeriği v</w:t>
      </w:r>
      <w:r w:rsidRPr="00F50C10">
        <w:rPr>
          <w:rFonts w:cs="Times New Roman"/>
          <w:szCs w:val="24"/>
        </w:rPr>
        <w:t xml:space="preserve">e safsızlık (örneğin magnezyum, kalsiyum, silika ve ağır metaller) </w:t>
      </w:r>
      <w:r w:rsidR="00FD06E1" w:rsidRPr="00F50C10">
        <w:rPr>
          <w:rFonts w:cs="Times New Roman"/>
          <w:szCs w:val="24"/>
        </w:rPr>
        <w:t xml:space="preserve">seviyeleri, </w:t>
      </w:r>
      <w:r w:rsidRPr="00F50C10">
        <w:rPr>
          <w:rFonts w:cs="Times New Roman"/>
          <w:szCs w:val="24"/>
        </w:rPr>
        <w:t>maliyet, enerji verimliliği</w:t>
      </w:r>
      <w:r w:rsidR="00232055" w:rsidRPr="00F50C10">
        <w:rPr>
          <w:rFonts w:cs="Times New Roman"/>
          <w:szCs w:val="24"/>
        </w:rPr>
        <w:t>, kaynak verimliliği</w:t>
      </w:r>
      <w:r w:rsidRPr="00F50C10">
        <w:rPr>
          <w:rFonts w:cs="Times New Roman"/>
          <w:szCs w:val="24"/>
        </w:rPr>
        <w:t xml:space="preserve"> ve çevresel etkileri göz önünde bulundur</w:t>
      </w:r>
      <w:r w:rsidR="00FD06E1" w:rsidRPr="00F50C10">
        <w:rPr>
          <w:rFonts w:cs="Times New Roman"/>
          <w:szCs w:val="24"/>
        </w:rPr>
        <w:t>ula</w:t>
      </w:r>
      <w:r w:rsidRPr="00F50C10">
        <w:rPr>
          <w:rFonts w:cs="Times New Roman"/>
          <w:szCs w:val="24"/>
        </w:rPr>
        <w:t>rak seçilir</w:t>
      </w:r>
      <w:r w:rsidR="000A086E" w:rsidRPr="00F50C10">
        <w:rPr>
          <w:rFonts w:cs="Times New Roman"/>
          <w:szCs w:val="24"/>
        </w:rPr>
        <w:t>.</w:t>
      </w:r>
    </w:p>
    <w:p w14:paraId="52E3AA00" w14:textId="15E184C2"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16:  </w:t>
      </w:r>
      <w:r w:rsidRPr="00F50C10">
        <w:rPr>
          <w:rFonts w:cs="Times New Roman"/>
          <w:szCs w:val="24"/>
        </w:rPr>
        <w:t>İşleme öncesinde cevherin kurutma ihtiyacını azaltmak amacıyla TiO</w:t>
      </w:r>
      <w:r w:rsidRPr="00F50C10">
        <w:rPr>
          <w:rFonts w:cs="Times New Roman"/>
          <w:szCs w:val="24"/>
          <w:vertAlign w:val="subscript"/>
        </w:rPr>
        <w:t>2</w:t>
      </w:r>
      <w:r w:rsidRPr="00F50C10">
        <w:rPr>
          <w:rFonts w:cs="Times New Roman"/>
          <w:szCs w:val="24"/>
        </w:rPr>
        <w:t xml:space="preserve"> cevheri %0,3'ün altında nem içeriğini koruyacak şekilde depolan</w:t>
      </w:r>
      <w:r w:rsidR="000A086E" w:rsidRPr="00F50C10">
        <w:rPr>
          <w:rFonts w:cs="Times New Roman"/>
          <w:szCs w:val="24"/>
        </w:rPr>
        <w:t>ı</w:t>
      </w:r>
      <w:r w:rsidRPr="00F50C10">
        <w:rPr>
          <w:rFonts w:cs="Times New Roman"/>
          <w:szCs w:val="24"/>
        </w:rPr>
        <w:t>r</w:t>
      </w:r>
      <w:r w:rsidR="000A086E" w:rsidRPr="00F50C10">
        <w:rPr>
          <w:rFonts w:cs="Times New Roman"/>
          <w:szCs w:val="24"/>
        </w:rPr>
        <w:t>.</w:t>
      </w:r>
    </w:p>
    <w:p w14:paraId="02FD9600" w14:textId="5AC3910D" w:rsidR="000F3B99" w:rsidRPr="00F50C10" w:rsidRDefault="000F3B99" w:rsidP="000B206D">
      <w:pPr>
        <w:spacing w:after="120" w:line="276" w:lineRule="auto"/>
        <w:rPr>
          <w:rFonts w:cs="Times New Roman"/>
          <w:szCs w:val="24"/>
        </w:rPr>
      </w:pPr>
      <w:r w:rsidRPr="00F50C10">
        <w:rPr>
          <w:rFonts w:cs="Times New Roman"/>
          <w:b/>
          <w:bCs/>
          <w:szCs w:val="24"/>
        </w:rPr>
        <w:t xml:space="preserve">MET 17: </w:t>
      </w:r>
      <w:r w:rsidRPr="00F50C10">
        <w:rPr>
          <w:rFonts w:cs="Times New Roman"/>
          <w:szCs w:val="24"/>
        </w:rPr>
        <w:t>Etkin atık gaz yıkama sistemi kullanan bir tesisin normal işletimi sırasında SO</w:t>
      </w:r>
      <w:r w:rsidRPr="00F50C10">
        <w:rPr>
          <w:rFonts w:cs="Times New Roman"/>
          <w:szCs w:val="24"/>
          <w:vertAlign w:val="subscript"/>
        </w:rPr>
        <w:t>2</w:t>
      </w:r>
      <w:r w:rsidRPr="00F50C10">
        <w:rPr>
          <w:rFonts w:cs="Times New Roman"/>
          <w:szCs w:val="24"/>
        </w:rPr>
        <w:t xml:space="preserve"> emisyonlarının 1,7 kg/t TiO</w:t>
      </w:r>
      <w:r w:rsidRPr="00F50C10">
        <w:rPr>
          <w:rFonts w:cs="Times New Roman"/>
          <w:szCs w:val="24"/>
          <w:vertAlign w:val="subscript"/>
        </w:rPr>
        <w:t>2</w:t>
      </w:r>
      <w:r w:rsidRPr="00F50C10">
        <w:rPr>
          <w:rFonts w:cs="Times New Roman"/>
          <w:szCs w:val="24"/>
        </w:rPr>
        <w:t xml:space="preserve"> pigmentinin altında olmasını sağlamak için ana önlem olarak düşük kükürt içerikli kok </w:t>
      </w:r>
      <w:r w:rsidR="00232055" w:rsidRPr="00F50C10">
        <w:rPr>
          <w:rFonts w:cs="Times New Roman"/>
          <w:szCs w:val="24"/>
        </w:rPr>
        <w:t xml:space="preserve">kömür </w:t>
      </w:r>
      <w:r w:rsidRPr="00F50C10">
        <w:rPr>
          <w:rFonts w:cs="Times New Roman"/>
          <w:szCs w:val="24"/>
        </w:rPr>
        <w:t>seçil</w:t>
      </w:r>
      <w:r w:rsidR="00232055" w:rsidRPr="00F50C10">
        <w:rPr>
          <w:rFonts w:cs="Times New Roman"/>
          <w:szCs w:val="24"/>
        </w:rPr>
        <w:t>ir</w:t>
      </w:r>
      <w:r w:rsidRPr="00F50C10">
        <w:rPr>
          <w:rFonts w:cs="Times New Roman"/>
          <w:szCs w:val="24"/>
        </w:rPr>
        <w:t xml:space="preserve"> ve kullanıl</w:t>
      </w:r>
      <w:r w:rsidR="00232055" w:rsidRPr="00F50C10">
        <w:rPr>
          <w:rFonts w:cs="Times New Roman"/>
          <w:szCs w:val="24"/>
        </w:rPr>
        <w:t>ır.</w:t>
      </w:r>
      <w:r w:rsidRPr="00F50C10">
        <w:rPr>
          <w:rFonts w:cs="Times New Roman"/>
          <w:szCs w:val="24"/>
        </w:rPr>
        <w:t xml:space="preserve"> </w:t>
      </w:r>
    </w:p>
    <w:p w14:paraId="557022DD" w14:textId="1B72EAC7"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18: </w:t>
      </w:r>
      <w:r w:rsidRPr="00F50C10">
        <w:rPr>
          <w:rFonts w:cs="Times New Roman"/>
          <w:szCs w:val="24"/>
        </w:rPr>
        <w:t xml:space="preserve">SEVESO II Direktifi’nin uygulanmasıyla uyumlu olarak, düşük klor envanteri </w:t>
      </w:r>
      <w:r w:rsidR="00FD06E1" w:rsidRPr="00F50C10">
        <w:rPr>
          <w:rFonts w:cs="Times New Roman"/>
          <w:szCs w:val="24"/>
        </w:rPr>
        <w:t>muhafaza edil</w:t>
      </w:r>
      <w:r w:rsidR="00232055" w:rsidRPr="00F50C10">
        <w:rPr>
          <w:rFonts w:cs="Times New Roman"/>
          <w:szCs w:val="24"/>
        </w:rPr>
        <w:t>ir.</w:t>
      </w:r>
    </w:p>
    <w:p w14:paraId="49F66036" w14:textId="081181F2" w:rsidR="000F3B99" w:rsidRPr="00F50C10" w:rsidRDefault="000F3B99" w:rsidP="000B206D">
      <w:pPr>
        <w:spacing w:after="120" w:line="276" w:lineRule="auto"/>
        <w:rPr>
          <w:rFonts w:cs="Times New Roman"/>
          <w:szCs w:val="24"/>
        </w:rPr>
      </w:pPr>
      <w:r w:rsidRPr="00F50C10">
        <w:rPr>
          <w:rFonts w:cs="Times New Roman"/>
          <w:b/>
          <w:bCs/>
          <w:szCs w:val="24"/>
        </w:rPr>
        <w:t xml:space="preserve">MET 19:  </w:t>
      </w:r>
      <w:r w:rsidRPr="00F50C10">
        <w:rPr>
          <w:rFonts w:cs="Times New Roman"/>
          <w:szCs w:val="24"/>
        </w:rPr>
        <w:t>Cevherde yüksek TiO</w:t>
      </w:r>
      <w:r w:rsidRPr="00F50C10">
        <w:rPr>
          <w:rFonts w:cs="Times New Roman"/>
          <w:szCs w:val="24"/>
          <w:vertAlign w:val="subscript"/>
        </w:rPr>
        <w:t>2</w:t>
      </w:r>
      <w:r w:rsidRPr="00F50C10">
        <w:rPr>
          <w:rFonts w:cs="Times New Roman"/>
          <w:szCs w:val="24"/>
        </w:rPr>
        <w:t xml:space="preserve"> içeriği dönüştürüm oranının </w:t>
      </w:r>
      <w:r w:rsidR="00B35EFD" w:rsidRPr="00F50C10">
        <w:rPr>
          <w:rFonts w:cs="Times New Roman"/>
          <w:szCs w:val="24"/>
        </w:rPr>
        <w:t>korunması</w:t>
      </w:r>
      <w:r w:rsidRPr="00F50C10">
        <w:rPr>
          <w:rFonts w:cs="Times New Roman"/>
          <w:szCs w:val="24"/>
        </w:rPr>
        <w:t>, klor kaçmasının önlenmesi, reaksiyona girmemiş olan cevher ve kokun taşınmasının ve reaktörde/reaktörlerde katıların birikmesinin önlenmesi için klorinatörün/klorinatörlerin en uygun akışkanlaştırma hızında kararlı işletimi sağlan</w:t>
      </w:r>
      <w:r w:rsidR="00232055" w:rsidRPr="00F50C10">
        <w:rPr>
          <w:rFonts w:cs="Times New Roman"/>
          <w:szCs w:val="24"/>
        </w:rPr>
        <w:t>ı</w:t>
      </w:r>
      <w:r w:rsidRPr="00F50C10">
        <w:rPr>
          <w:rFonts w:cs="Times New Roman"/>
          <w:szCs w:val="24"/>
        </w:rPr>
        <w:t>r</w:t>
      </w:r>
      <w:r w:rsidR="00232055" w:rsidRPr="00F50C10">
        <w:rPr>
          <w:rFonts w:cs="Times New Roman"/>
          <w:szCs w:val="24"/>
        </w:rPr>
        <w:t>.</w:t>
      </w:r>
      <w:r w:rsidRPr="00F50C10">
        <w:rPr>
          <w:rFonts w:cs="Times New Roman"/>
          <w:szCs w:val="24"/>
        </w:rPr>
        <w:t xml:space="preserve"> </w:t>
      </w:r>
    </w:p>
    <w:p w14:paraId="0BD5E5FD" w14:textId="190095C9" w:rsidR="000F3B99" w:rsidRPr="00F50C10" w:rsidRDefault="000F3B99" w:rsidP="000B206D">
      <w:pPr>
        <w:spacing w:after="120" w:line="276" w:lineRule="auto"/>
        <w:rPr>
          <w:rFonts w:cs="Times New Roman"/>
          <w:szCs w:val="24"/>
        </w:rPr>
      </w:pPr>
      <w:r w:rsidRPr="00F50C10">
        <w:rPr>
          <w:rFonts w:cs="Times New Roman"/>
          <w:b/>
          <w:bCs/>
          <w:szCs w:val="24"/>
        </w:rPr>
        <w:t xml:space="preserve">MET 20: </w:t>
      </w:r>
      <w:r w:rsidR="00B35EFD" w:rsidRPr="00F50C10">
        <w:rPr>
          <w:rFonts w:cs="Times New Roman"/>
          <w:szCs w:val="24"/>
        </w:rPr>
        <w:t>Planlanmamış kesintilerde kesinti</w:t>
      </w:r>
      <w:r w:rsidRPr="00F50C10">
        <w:rPr>
          <w:rFonts w:cs="Times New Roman"/>
          <w:szCs w:val="24"/>
        </w:rPr>
        <w:t xml:space="preserve"> </w:t>
      </w:r>
      <w:r w:rsidR="00B35EFD" w:rsidRPr="00F50C10">
        <w:rPr>
          <w:rFonts w:cs="Times New Roman"/>
          <w:szCs w:val="24"/>
        </w:rPr>
        <w:t xml:space="preserve">süresini </w:t>
      </w:r>
      <w:r w:rsidRPr="00F50C10">
        <w:rPr>
          <w:rFonts w:cs="Times New Roman"/>
          <w:szCs w:val="24"/>
        </w:rPr>
        <w:t>en aza indirmek ve kontrolsüz emisyonları önlemek için klorinatör ünitesi, kolay ve hızlı bakıma izin verecek şekilde tasarlan</w:t>
      </w:r>
      <w:r w:rsidR="00232055" w:rsidRPr="00F50C10">
        <w:rPr>
          <w:rFonts w:cs="Times New Roman"/>
          <w:szCs w:val="24"/>
        </w:rPr>
        <w:t>ır</w:t>
      </w:r>
      <w:r w:rsidRPr="00F50C10">
        <w:rPr>
          <w:rFonts w:cs="Times New Roman"/>
          <w:szCs w:val="24"/>
        </w:rPr>
        <w:t xml:space="preserve"> ve </w:t>
      </w:r>
      <w:r w:rsidR="00B35EFD" w:rsidRPr="00F50C10">
        <w:rPr>
          <w:rFonts w:cs="Times New Roman"/>
          <w:szCs w:val="24"/>
        </w:rPr>
        <w:t>işletili</w:t>
      </w:r>
      <w:r w:rsidR="00232055" w:rsidRPr="00F50C10">
        <w:rPr>
          <w:rFonts w:cs="Times New Roman"/>
          <w:szCs w:val="24"/>
        </w:rPr>
        <w:t>r.</w:t>
      </w:r>
    </w:p>
    <w:p w14:paraId="27E4E3BE" w14:textId="4E394549" w:rsidR="000F3B99" w:rsidRPr="00F50C10" w:rsidRDefault="000F3B99" w:rsidP="000B206D">
      <w:pPr>
        <w:spacing w:after="120" w:line="276" w:lineRule="auto"/>
        <w:rPr>
          <w:rFonts w:cs="Times New Roman"/>
          <w:szCs w:val="24"/>
        </w:rPr>
      </w:pPr>
      <w:r w:rsidRPr="00F50C10">
        <w:rPr>
          <w:rFonts w:cs="Times New Roman"/>
          <w:szCs w:val="24"/>
        </w:rPr>
        <w:t>Muhtemel önlemler: klorinatörün/klorinatörlerin ilgili sıcaklık izleme sistemiyle birlikte klorinatör gövdesinin dış yüzeyinin su tabakalı soğutma sistemi, devredeki klorlama reaktörü/reaktörleri</w:t>
      </w:r>
      <w:r w:rsidR="00B35EFD" w:rsidRPr="00F50C10">
        <w:rPr>
          <w:rFonts w:cs="Times New Roman"/>
          <w:szCs w:val="24"/>
        </w:rPr>
        <w:t>nin</w:t>
      </w:r>
      <w:r w:rsidRPr="00F50C10">
        <w:rPr>
          <w:rFonts w:cs="Times New Roman"/>
          <w:szCs w:val="24"/>
        </w:rPr>
        <w:t xml:space="preserve"> yedeği olarak yedek klorlama reaktörü, kapatılan devredeki klorinatör ile yedek klorinatör arasında hızlı geçişe izin veren bakım sistemi.</w:t>
      </w:r>
    </w:p>
    <w:p w14:paraId="1301B8C8" w14:textId="21942266"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21:  </w:t>
      </w:r>
      <w:r w:rsidRPr="00F50C10">
        <w:rPr>
          <w:rFonts w:cs="Times New Roman"/>
          <w:szCs w:val="24"/>
        </w:rPr>
        <w:t>Yerel pazar bulunabilirliği, beklenen demir iki klorür kalitesi ve kullanılabilir miktarla uyumlu olarak, cevherde bulunan safsızlıklardan kaynaklanan metal klorür</w:t>
      </w:r>
      <w:r w:rsidR="00232055" w:rsidRPr="00F50C10">
        <w:rPr>
          <w:rFonts w:cs="Times New Roman"/>
          <w:szCs w:val="24"/>
        </w:rPr>
        <w:t>ler</w:t>
      </w:r>
      <w:r w:rsidRPr="00F50C10">
        <w:rPr>
          <w:rFonts w:cs="Times New Roman"/>
          <w:szCs w:val="24"/>
        </w:rPr>
        <w:t>, prosesten demir iki klorür (FeCl</w:t>
      </w:r>
      <w:r w:rsidRPr="00F50C10">
        <w:rPr>
          <w:rFonts w:cs="Times New Roman"/>
          <w:szCs w:val="24"/>
          <w:vertAlign w:val="subscript"/>
        </w:rPr>
        <w:t>2</w:t>
      </w:r>
      <w:r w:rsidRPr="00F50C10">
        <w:rPr>
          <w:rFonts w:cs="Times New Roman"/>
          <w:szCs w:val="24"/>
        </w:rPr>
        <w:t>) çözeltisi geri kazanımı sağlanacak biçimde uygun işleme tabi tutul</w:t>
      </w:r>
      <w:r w:rsidR="00232055" w:rsidRPr="00F50C10">
        <w:rPr>
          <w:rFonts w:cs="Times New Roman"/>
          <w:szCs w:val="24"/>
        </w:rPr>
        <w:t>u</w:t>
      </w:r>
      <w:r w:rsidRPr="00F50C10">
        <w:rPr>
          <w:rFonts w:cs="Times New Roman"/>
          <w:szCs w:val="24"/>
        </w:rPr>
        <w:t>r</w:t>
      </w:r>
      <w:r w:rsidR="00232055" w:rsidRPr="00F50C10">
        <w:rPr>
          <w:rFonts w:cs="Times New Roman"/>
          <w:szCs w:val="24"/>
        </w:rPr>
        <w:t>.</w:t>
      </w:r>
    </w:p>
    <w:p w14:paraId="441A9272" w14:textId="59FC0F57"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22: </w:t>
      </w:r>
      <w:r w:rsidRPr="00F50C10">
        <w:rPr>
          <w:rFonts w:cs="Times New Roman"/>
          <w:szCs w:val="24"/>
        </w:rPr>
        <w:t xml:space="preserve">Yerel pazar bulunabilirliği, beklenen ürün kalitesi ve tesisle ilgili ekonomik etkenlerle uyumlu olarak, proses </w:t>
      </w:r>
      <w:r w:rsidR="00232055" w:rsidRPr="00F50C10">
        <w:rPr>
          <w:rFonts w:cs="Times New Roman"/>
          <w:szCs w:val="24"/>
        </w:rPr>
        <w:t>çıkış</w:t>
      </w:r>
      <w:r w:rsidRPr="00F50C10">
        <w:rPr>
          <w:rFonts w:cs="Times New Roman"/>
          <w:szCs w:val="24"/>
        </w:rPr>
        <w:t xml:space="preserve"> gazından, yeniden kullanım için hidroklorik asit, sodyum hipoklorit ve kükürt geri kazanımı sağlanır</w:t>
      </w:r>
      <w:r w:rsidR="00232055" w:rsidRPr="00F50C10">
        <w:rPr>
          <w:rFonts w:cs="Times New Roman"/>
          <w:szCs w:val="24"/>
        </w:rPr>
        <w:t>.</w:t>
      </w:r>
    </w:p>
    <w:p w14:paraId="4A70E552" w14:textId="062C67B7" w:rsidR="000F3B99" w:rsidRPr="00F50C10" w:rsidRDefault="000F3B99" w:rsidP="000B206D">
      <w:pPr>
        <w:spacing w:after="120" w:line="276" w:lineRule="auto"/>
        <w:rPr>
          <w:rFonts w:cs="Times New Roman"/>
          <w:szCs w:val="24"/>
        </w:rPr>
      </w:pPr>
      <w:r w:rsidRPr="00F50C10">
        <w:rPr>
          <w:rFonts w:cs="Times New Roman"/>
          <w:b/>
          <w:bCs/>
          <w:szCs w:val="24"/>
        </w:rPr>
        <w:t xml:space="preserve">MET 23:  </w:t>
      </w:r>
      <w:r w:rsidRPr="00F50C10">
        <w:rPr>
          <w:rFonts w:cs="Times New Roman"/>
          <w:szCs w:val="24"/>
        </w:rPr>
        <w:t>TiCl</w:t>
      </w:r>
      <w:r w:rsidRPr="00F50C10">
        <w:rPr>
          <w:rFonts w:cs="Times New Roman"/>
          <w:szCs w:val="24"/>
          <w:vertAlign w:val="subscript"/>
        </w:rPr>
        <w:t>4</w:t>
      </w:r>
      <w:r w:rsidRPr="00F50C10">
        <w:rPr>
          <w:rFonts w:cs="Times New Roman"/>
          <w:szCs w:val="24"/>
        </w:rPr>
        <w:t>'ün TiO</w:t>
      </w:r>
      <w:r w:rsidRPr="00F50C10">
        <w:rPr>
          <w:rFonts w:cs="Times New Roman"/>
          <w:szCs w:val="24"/>
          <w:vertAlign w:val="subscript"/>
        </w:rPr>
        <w:t>2</w:t>
      </w:r>
      <w:r w:rsidRPr="00F50C10">
        <w:rPr>
          <w:rFonts w:cs="Times New Roman"/>
          <w:szCs w:val="24"/>
        </w:rPr>
        <w:t xml:space="preserve">’ye </w:t>
      </w:r>
      <w:r w:rsidR="001260CA" w:rsidRPr="00F50C10">
        <w:rPr>
          <w:rFonts w:cs="Times New Roman"/>
          <w:szCs w:val="24"/>
        </w:rPr>
        <w:t>verimli bir şekilde</w:t>
      </w:r>
      <w:r w:rsidRPr="00F50C10">
        <w:rPr>
          <w:rFonts w:cs="Times New Roman"/>
          <w:szCs w:val="24"/>
        </w:rPr>
        <w:t xml:space="preserve"> </w:t>
      </w:r>
      <w:r w:rsidR="001260CA" w:rsidRPr="00F50C10">
        <w:rPr>
          <w:rFonts w:cs="Times New Roman"/>
          <w:szCs w:val="24"/>
        </w:rPr>
        <w:t>oksidasyonu</w:t>
      </w:r>
      <w:r w:rsidRPr="00F50C10">
        <w:rPr>
          <w:rFonts w:cs="Times New Roman"/>
          <w:szCs w:val="24"/>
        </w:rPr>
        <w:t xml:space="preserve"> için, enerji girdisi ve tesis işletiminin güvenilirliği </w:t>
      </w:r>
      <w:r w:rsidR="001260CA" w:rsidRPr="00F50C10">
        <w:rPr>
          <w:rFonts w:cs="Times New Roman"/>
          <w:szCs w:val="24"/>
        </w:rPr>
        <w:t>ile</w:t>
      </w:r>
      <w:r w:rsidRPr="00F50C10">
        <w:rPr>
          <w:rFonts w:cs="Times New Roman"/>
          <w:szCs w:val="24"/>
        </w:rPr>
        <w:t xml:space="preserve"> her bir </w:t>
      </w:r>
      <w:r w:rsidR="001260CA" w:rsidRPr="00F50C10">
        <w:rPr>
          <w:rFonts w:cs="Times New Roman"/>
          <w:szCs w:val="24"/>
        </w:rPr>
        <w:t>oksidasyon</w:t>
      </w:r>
      <w:r w:rsidRPr="00F50C10">
        <w:rPr>
          <w:rFonts w:cs="Times New Roman"/>
          <w:szCs w:val="24"/>
        </w:rPr>
        <w:t xml:space="preserve"> tekniğinin maliyet ve avantajları dikkate alınarak toluen yakıtlı fırın veya plazma ark fırını kullanılır</w:t>
      </w:r>
      <w:r w:rsidR="00232055" w:rsidRPr="00F50C10">
        <w:rPr>
          <w:rFonts w:cs="Times New Roman"/>
          <w:szCs w:val="24"/>
        </w:rPr>
        <w:t>.</w:t>
      </w:r>
    </w:p>
    <w:p w14:paraId="681A66AF" w14:textId="4A5DBA20" w:rsidR="000F3B99" w:rsidRPr="00F50C10" w:rsidRDefault="000F3B99" w:rsidP="000B206D">
      <w:pPr>
        <w:spacing w:after="120" w:line="276" w:lineRule="auto"/>
        <w:rPr>
          <w:rFonts w:cs="Times New Roman"/>
          <w:szCs w:val="24"/>
        </w:rPr>
      </w:pPr>
      <w:r w:rsidRPr="00F50C10">
        <w:rPr>
          <w:rFonts w:cs="Times New Roman"/>
          <w:b/>
          <w:bCs/>
          <w:szCs w:val="24"/>
        </w:rPr>
        <w:t xml:space="preserve">MET 24: </w:t>
      </w:r>
      <w:r w:rsidR="001260CA" w:rsidRPr="00F50C10">
        <w:rPr>
          <w:rFonts w:cs="Times New Roman"/>
          <w:szCs w:val="24"/>
        </w:rPr>
        <w:t xml:space="preserve">Oksidasyon ve klorlama üniteleri, TiCl₄ stok seviyesini düşük tutmak, minimum klor tüketimi sağlamak ve düşük enerji kullanımı elde etmek amacıyla, doğrudan klor geri dönüşümünün sağlandığı bir süreç döngüsü içinde </w:t>
      </w:r>
      <w:r w:rsidRPr="00F50C10">
        <w:rPr>
          <w:rFonts w:cs="Times New Roman"/>
          <w:szCs w:val="24"/>
        </w:rPr>
        <w:t>tasarlanı</w:t>
      </w:r>
      <w:r w:rsidR="000C6855" w:rsidRPr="00F50C10">
        <w:rPr>
          <w:rFonts w:cs="Times New Roman"/>
          <w:szCs w:val="24"/>
        </w:rPr>
        <w:t>r</w:t>
      </w:r>
      <w:r w:rsidRPr="00F50C10">
        <w:rPr>
          <w:rFonts w:cs="Times New Roman"/>
          <w:szCs w:val="24"/>
        </w:rPr>
        <w:t xml:space="preserve"> ve </w:t>
      </w:r>
      <w:r w:rsidR="001260CA" w:rsidRPr="00F50C10">
        <w:rPr>
          <w:rFonts w:cs="Times New Roman"/>
          <w:szCs w:val="24"/>
        </w:rPr>
        <w:t>işletil</w:t>
      </w:r>
      <w:r w:rsidR="000C6855" w:rsidRPr="00F50C10">
        <w:rPr>
          <w:rFonts w:cs="Times New Roman"/>
          <w:szCs w:val="24"/>
        </w:rPr>
        <w:t>i</w:t>
      </w:r>
      <w:r w:rsidR="001260CA" w:rsidRPr="00F50C10">
        <w:rPr>
          <w:rFonts w:cs="Times New Roman"/>
          <w:szCs w:val="24"/>
        </w:rPr>
        <w:t>r</w:t>
      </w:r>
      <w:r w:rsidR="000C6855" w:rsidRPr="00F50C10">
        <w:rPr>
          <w:rFonts w:cs="Times New Roman"/>
          <w:szCs w:val="24"/>
        </w:rPr>
        <w:t>.</w:t>
      </w:r>
    </w:p>
    <w:p w14:paraId="57E236FE" w14:textId="4BFF8112"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25: </w:t>
      </w:r>
      <w:r w:rsidRPr="00F50C10">
        <w:rPr>
          <w:rFonts w:cs="Times New Roman"/>
          <w:szCs w:val="24"/>
        </w:rPr>
        <w:t>K</w:t>
      </w:r>
      <w:r w:rsidR="001260CA" w:rsidRPr="00F50C10">
        <w:rPr>
          <w:rFonts w:cs="Times New Roman"/>
          <w:szCs w:val="24"/>
        </w:rPr>
        <w:t>lorinatörün k</w:t>
      </w:r>
      <w:r w:rsidRPr="00F50C10">
        <w:rPr>
          <w:rFonts w:cs="Times New Roman"/>
          <w:szCs w:val="24"/>
        </w:rPr>
        <w:t xml:space="preserve">atı birikiminden </w:t>
      </w:r>
      <w:r w:rsidR="001260CA" w:rsidRPr="00F50C10">
        <w:rPr>
          <w:rFonts w:cs="Times New Roman"/>
          <w:szCs w:val="24"/>
        </w:rPr>
        <w:t>kaynaklı</w:t>
      </w:r>
      <w:r w:rsidRPr="00F50C10">
        <w:rPr>
          <w:rFonts w:cs="Times New Roman"/>
          <w:szCs w:val="24"/>
        </w:rPr>
        <w:t xml:space="preserve"> arızalanma riskini en aza indirmek için, </w:t>
      </w:r>
      <w:r w:rsidR="000C6855" w:rsidRPr="00F50C10">
        <w:rPr>
          <w:rFonts w:cs="Times New Roman"/>
          <w:szCs w:val="24"/>
        </w:rPr>
        <w:t>oksidasyon</w:t>
      </w:r>
      <w:r w:rsidRPr="00F50C10">
        <w:rPr>
          <w:rFonts w:cs="Times New Roman"/>
          <w:szCs w:val="24"/>
        </w:rPr>
        <w:t xml:space="preserve"> sisteminden klor geri dönüşüm devresine TiO</w:t>
      </w:r>
      <w:r w:rsidRPr="00F50C10">
        <w:rPr>
          <w:rFonts w:cs="Times New Roman"/>
          <w:szCs w:val="24"/>
          <w:vertAlign w:val="subscript"/>
        </w:rPr>
        <w:t>2</w:t>
      </w:r>
      <w:r w:rsidRPr="00F50C10">
        <w:rPr>
          <w:rFonts w:cs="Times New Roman"/>
          <w:szCs w:val="24"/>
        </w:rPr>
        <w:t xml:space="preserve"> tozu taşınımı, torba filtre</w:t>
      </w:r>
      <w:r w:rsidR="000C6855" w:rsidRPr="00F50C10">
        <w:rPr>
          <w:rFonts w:cs="Times New Roman"/>
          <w:szCs w:val="24"/>
        </w:rPr>
        <w:t xml:space="preserve"> kullanımı gibi yöntemlerle</w:t>
      </w:r>
      <w:r w:rsidRPr="00F50C10">
        <w:rPr>
          <w:rFonts w:cs="Times New Roman"/>
          <w:szCs w:val="24"/>
        </w:rPr>
        <w:t xml:space="preserve"> en aza indirilir</w:t>
      </w:r>
      <w:r w:rsidR="000C6855" w:rsidRPr="00F50C10">
        <w:rPr>
          <w:rFonts w:cs="Times New Roman"/>
          <w:szCs w:val="24"/>
        </w:rPr>
        <w:t>.</w:t>
      </w:r>
    </w:p>
    <w:p w14:paraId="1C648BF0" w14:textId="15BE11B6"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26: </w:t>
      </w:r>
      <w:r w:rsidR="001260CA" w:rsidRPr="00F50C10">
        <w:rPr>
          <w:rFonts w:cs="Times New Roman"/>
          <w:szCs w:val="24"/>
        </w:rPr>
        <w:t xml:space="preserve">Bitirme işlemlerinden kaynaklanan sıvı atıklarda bulunan TiO₂ parçacıklarının deşarjı ve TiO₂ tozu emisyonu </w:t>
      </w:r>
      <w:r w:rsidRPr="00F50C10">
        <w:rPr>
          <w:rFonts w:cs="Times New Roman"/>
          <w:szCs w:val="24"/>
        </w:rPr>
        <w:t>en aza indiril</w:t>
      </w:r>
      <w:r w:rsidR="00381D1F" w:rsidRPr="00F50C10">
        <w:rPr>
          <w:rFonts w:cs="Times New Roman"/>
          <w:szCs w:val="24"/>
        </w:rPr>
        <w:t>i</w:t>
      </w:r>
      <w:r w:rsidRPr="00F50C10">
        <w:rPr>
          <w:rFonts w:cs="Times New Roman"/>
          <w:szCs w:val="24"/>
        </w:rPr>
        <w:t xml:space="preserve">r. İlgili MET İES’ler </w:t>
      </w:r>
      <w:r w:rsidRPr="00F50C10">
        <w:rPr>
          <w:rFonts w:cs="Times New Roman"/>
          <w:szCs w:val="24"/>
        </w:rPr>
        <w:fldChar w:fldCharType="begin"/>
      </w:r>
      <w:r w:rsidRPr="00F50C10">
        <w:rPr>
          <w:rFonts w:cs="Times New Roman"/>
          <w:szCs w:val="24"/>
        </w:rPr>
        <w:instrText xml:space="preserve"> REF _Ref137106837 \h  \* MERGEFORMAT </w:instrText>
      </w:r>
      <w:r w:rsidRPr="00F50C10">
        <w:rPr>
          <w:rFonts w:cs="Times New Roman"/>
          <w:szCs w:val="24"/>
        </w:rPr>
      </w:r>
      <w:r w:rsidRPr="00F50C10">
        <w:rPr>
          <w:rFonts w:cs="Times New Roman"/>
          <w:szCs w:val="24"/>
        </w:rPr>
        <w:fldChar w:fldCharType="separate"/>
      </w:r>
      <w:r w:rsidRPr="00F50C10">
        <w:rPr>
          <w:rFonts w:cs="Times New Roman"/>
          <w:szCs w:val="24"/>
        </w:rPr>
        <w:t xml:space="preserve">Tablo </w:t>
      </w:r>
      <w:r w:rsidRPr="00F50C10">
        <w:rPr>
          <w:rFonts w:cs="Times New Roman"/>
          <w:noProof/>
          <w:szCs w:val="24"/>
        </w:rPr>
        <w:t>1</w:t>
      </w:r>
      <w:r w:rsidRPr="00F50C10">
        <w:rPr>
          <w:rFonts w:cs="Times New Roman"/>
          <w:szCs w:val="24"/>
        </w:rPr>
        <w:fldChar w:fldCharType="end"/>
      </w:r>
      <w:r w:rsidRPr="00F50C10">
        <w:rPr>
          <w:rFonts w:cs="Times New Roman"/>
          <w:szCs w:val="24"/>
        </w:rPr>
        <w:t xml:space="preserve"> ve </w:t>
      </w:r>
      <w:r w:rsidRPr="00F50C10">
        <w:rPr>
          <w:rFonts w:cs="Times New Roman"/>
          <w:szCs w:val="24"/>
        </w:rPr>
        <w:fldChar w:fldCharType="begin"/>
      </w:r>
      <w:r w:rsidRPr="00F50C10">
        <w:rPr>
          <w:rFonts w:cs="Times New Roman"/>
          <w:szCs w:val="24"/>
        </w:rPr>
        <w:instrText xml:space="preserve"> REF _Ref137106842 \h  \* MERGEFORMAT </w:instrText>
      </w:r>
      <w:r w:rsidRPr="00F50C10">
        <w:rPr>
          <w:rFonts w:cs="Times New Roman"/>
          <w:szCs w:val="24"/>
        </w:rPr>
      </w:r>
      <w:r w:rsidRPr="00F50C10">
        <w:rPr>
          <w:rFonts w:cs="Times New Roman"/>
          <w:szCs w:val="24"/>
        </w:rPr>
        <w:fldChar w:fldCharType="separate"/>
      </w:r>
      <w:r w:rsidRPr="00F50C10">
        <w:rPr>
          <w:rFonts w:cs="Times New Roman"/>
          <w:szCs w:val="24"/>
        </w:rPr>
        <w:t xml:space="preserve">Tablo </w:t>
      </w:r>
      <w:r w:rsidRPr="00F50C10">
        <w:rPr>
          <w:rFonts w:cs="Times New Roman"/>
          <w:noProof/>
          <w:szCs w:val="24"/>
        </w:rPr>
        <w:t>2</w:t>
      </w:r>
      <w:r w:rsidRPr="00F50C10">
        <w:rPr>
          <w:rFonts w:cs="Times New Roman"/>
          <w:szCs w:val="24"/>
        </w:rPr>
        <w:fldChar w:fldCharType="end"/>
      </w:r>
      <w:r w:rsidRPr="00F50C10">
        <w:rPr>
          <w:rFonts w:cs="Times New Roman"/>
          <w:szCs w:val="24"/>
        </w:rPr>
        <w:t>'de verilmektedir.</w:t>
      </w:r>
    </w:p>
    <w:p w14:paraId="58592B9C" w14:textId="663A3C87"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27:  </w:t>
      </w:r>
      <w:r w:rsidRPr="00F50C10">
        <w:rPr>
          <w:rFonts w:cs="Times New Roman"/>
          <w:szCs w:val="24"/>
        </w:rPr>
        <w:t xml:space="preserve">Enerji kullanımı büyük ölçüde son ürünün özelliklerine bağlı olmak üzere, toplam enerjinin çoğunluğunun </w:t>
      </w:r>
      <w:r w:rsidR="00AF13E2" w:rsidRPr="00F50C10">
        <w:rPr>
          <w:rFonts w:cs="Times New Roman"/>
          <w:szCs w:val="24"/>
        </w:rPr>
        <w:t>bitirme</w:t>
      </w:r>
      <w:r w:rsidRPr="00F50C10">
        <w:rPr>
          <w:rFonts w:cs="Times New Roman"/>
          <w:szCs w:val="24"/>
        </w:rPr>
        <w:t xml:space="preserve"> işlemleri bölümünde harcandığı dikkate alınarak,</w:t>
      </w:r>
      <w:r w:rsidR="00381D1F" w:rsidRPr="00F50C10">
        <w:rPr>
          <w:rFonts w:cs="Times New Roman"/>
          <w:szCs w:val="24"/>
        </w:rPr>
        <w:t xml:space="preserve"> (tam kapasitede çalıştırılan tesislerde)</w:t>
      </w:r>
      <w:r w:rsidRPr="00F50C10">
        <w:rPr>
          <w:rFonts w:cs="Times New Roman"/>
          <w:szCs w:val="24"/>
        </w:rPr>
        <w:t xml:space="preserve"> klorür prosesinde toplam enerji verimliliği yükselti</w:t>
      </w:r>
      <w:r w:rsidR="00381D1F" w:rsidRPr="00F50C10">
        <w:rPr>
          <w:rFonts w:cs="Times New Roman"/>
          <w:szCs w:val="24"/>
        </w:rPr>
        <w:t>l</w:t>
      </w:r>
      <w:r w:rsidRPr="00F50C10">
        <w:rPr>
          <w:rFonts w:cs="Times New Roman"/>
          <w:szCs w:val="24"/>
        </w:rPr>
        <w:t xml:space="preserve">ir. Müşteri spesifikasyonunda son pigment ürününde daha ince tane boyu istenmesi halinde </w:t>
      </w:r>
      <w:r w:rsidR="00AF13E2" w:rsidRPr="00F50C10">
        <w:rPr>
          <w:rFonts w:cs="Times New Roman"/>
          <w:szCs w:val="24"/>
        </w:rPr>
        <w:t>ıslak</w:t>
      </w:r>
      <w:r w:rsidRPr="00F50C10">
        <w:rPr>
          <w:rFonts w:cs="Times New Roman"/>
          <w:szCs w:val="24"/>
        </w:rPr>
        <w:t xml:space="preserve"> işlem ve bitim işlemlerinde enerji artırılır.</w:t>
      </w:r>
    </w:p>
    <w:p w14:paraId="6FEAED11" w14:textId="515F09B9" w:rsidR="000F3B99" w:rsidRPr="00F50C10" w:rsidRDefault="001260CA" w:rsidP="000B206D">
      <w:pPr>
        <w:pStyle w:val="ResimYazs"/>
        <w:keepNext/>
        <w:spacing w:before="240" w:line="276" w:lineRule="auto"/>
        <w:rPr>
          <w:rFonts w:cs="Times New Roman"/>
          <w:szCs w:val="24"/>
        </w:rPr>
      </w:pPr>
      <w:r w:rsidRPr="00F50C10">
        <w:rPr>
          <w:rFonts w:cs="Times New Roman"/>
          <w:szCs w:val="24"/>
        </w:rPr>
        <w:t xml:space="preserve">Tablo 1. </w:t>
      </w:r>
      <w:r w:rsidR="000F3B99" w:rsidRPr="00F50C10">
        <w:rPr>
          <w:rFonts w:cs="Times New Roman"/>
          <w:szCs w:val="24"/>
        </w:rPr>
        <w:t>MET’in uygulanmasıyla ilişkili havaya verilen toplam emisyon seviyeleri</w:t>
      </w:r>
    </w:p>
    <w:tbl>
      <w:tblPr>
        <w:tblStyle w:val="TabloKlavuzu"/>
        <w:tblW w:w="5000" w:type="pct"/>
        <w:tblLook w:val="04A0" w:firstRow="1" w:lastRow="0" w:firstColumn="1" w:lastColumn="0" w:noHBand="0" w:noVBand="1"/>
      </w:tblPr>
      <w:tblGrid>
        <w:gridCol w:w="4655"/>
        <w:gridCol w:w="4655"/>
      </w:tblGrid>
      <w:tr w:rsidR="000F3B99" w:rsidRPr="00F50C10" w14:paraId="477B77F4" w14:textId="77777777" w:rsidTr="00116C54">
        <w:trPr>
          <w:trHeight w:val="20"/>
        </w:trPr>
        <w:tc>
          <w:tcPr>
            <w:tcW w:w="2500" w:type="pct"/>
            <w:vAlign w:val="center"/>
          </w:tcPr>
          <w:p w14:paraId="22958682" w14:textId="77777777" w:rsidR="000F3B99" w:rsidRPr="00F50C10" w:rsidRDefault="000F3B99" w:rsidP="000B206D">
            <w:pPr>
              <w:spacing w:line="276" w:lineRule="auto"/>
              <w:jc w:val="center"/>
              <w:rPr>
                <w:rFonts w:cs="Times New Roman"/>
                <w:b/>
                <w:bCs/>
                <w:szCs w:val="24"/>
              </w:rPr>
            </w:pPr>
            <w:r w:rsidRPr="00F50C10">
              <w:rPr>
                <w:rFonts w:cs="Times New Roman"/>
                <w:b/>
                <w:bCs/>
                <w:szCs w:val="24"/>
              </w:rPr>
              <w:t>Parametre</w:t>
            </w:r>
          </w:p>
        </w:tc>
        <w:tc>
          <w:tcPr>
            <w:tcW w:w="2500" w:type="pct"/>
            <w:vAlign w:val="center"/>
          </w:tcPr>
          <w:p w14:paraId="5D560144" w14:textId="77777777" w:rsidR="000F3B99" w:rsidRPr="00F50C10" w:rsidRDefault="000F3B99" w:rsidP="000B206D">
            <w:pPr>
              <w:spacing w:line="276" w:lineRule="auto"/>
              <w:jc w:val="center"/>
              <w:rPr>
                <w:rFonts w:cs="Times New Roman"/>
                <w:b/>
                <w:bCs/>
                <w:szCs w:val="24"/>
              </w:rPr>
            </w:pPr>
            <w:r w:rsidRPr="00F50C10">
              <w:rPr>
                <w:rFonts w:cs="Times New Roman"/>
                <w:b/>
                <w:bCs/>
                <w:szCs w:val="24"/>
              </w:rPr>
              <w:t>Toplam Emisyon Seviyesi</w:t>
            </w:r>
          </w:p>
        </w:tc>
      </w:tr>
      <w:tr w:rsidR="000F3B99" w:rsidRPr="00F50C10" w14:paraId="525475B8" w14:textId="77777777" w:rsidTr="00116C54">
        <w:trPr>
          <w:trHeight w:val="20"/>
        </w:trPr>
        <w:tc>
          <w:tcPr>
            <w:tcW w:w="2500" w:type="pct"/>
            <w:vAlign w:val="center"/>
          </w:tcPr>
          <w:p w14:paraId="66B594D8" w14:textId="77777777" w:rsidR="000F3B99" w:rsidRPr="00F50C10" w:rsidRDefault="000F3B99" w:rsidP="000B206D">
            <w:pPr>
              <w:spacing w:line="276" w:lineRule="auto"/>
              <w:jc w:val="center"/>
              <w:rPr>
                <w:rFonts w:cs="Times New Roman"/>
                <w:b/>
                <w:bCs/>
                <w:szCs w:val="24"/>
              </w:rPr>
            </w:pPr>
            <w:r w:rsidRPr="00F50C10">
              <w:rPr>
                <w:rFonts w:cs="Times New Roman"/>
                <w:szCs w:val="24"/>
              </w:rPr>
              <w:t>Toz/partikül madde</w:t>
            </w:r>
          </w:p>
        </w:tc>
        <w:tc>
          <w:tcPr>
            <w:tcW w:w="2500" w:type="pct"/>
            <w:vAlign w:val="center"/>
          </w:tcPr>
          <w:p w14:paraId="5F1C0E10" w14:textId="77777777" w:rsidR="000F3B99" w:rsidRPr="00F50C10" w:rsidRDefault="000F3B99" w:rsidP="000B206D">
            <w:pPr>
              <w:spacing w:line="276" w:lineRule="auto"/>
              <w:jc w:val="center"/>
              <w:rPr>
                <w:rFonts w:cs="Times New Roman"/>
                <w:b/>
                <w:bCs/>
                <w:szCs w:val="24"/>
              </w:rPr>
            </w:pPr>
            <w:r w:rsidRPr="00F50C10">
              <w:rPr>
                <w:rFonts w:cs="Times New Roman"/>
                <w:szCs w:val="24"/>
              </w:rPr>
              <w:t>0,1 – 0,2 kg/t TiO</w:t>
            </w:r>
            <w:r w:rsidRPr="00F50C10">
              <w:rPr>
                <w:rFonts w:cs="Times New Roman"/>
                <w:szCs w:val="24"/>
                <w:vertAlign w:val="subscript"/>
              </w:rPr>
              <w:t>2</w:t>
            </w:r>
            <w:r w:rsidRPr="00F50C10">
              <w:rPr>
                <w:rFonts w:cs="Times New Roman"/>
                <w:szCs w:val="24"/>
              </w:rPr>
              <w:t xml:space="preserve"> pigmenti</w:t>
            </w:r>
          </w:p>
        </w:tc>
      </w:tr>
      <w:tr w:rsidR="000F3B99" w:rsidRPr="00F50C10" w14:paraId="44F876A5" w14:textId="77777777" w:rsidTr="00116C54">
        <w:trPr>
          <w:trHeight w:val="20"/>
        </w:trPr>
        <w:tc>
          <w:tcPr>
            <w:tcW w:w="2500" w:type="pct"/>
            <w:vAlign w:val="center"/>
          </w:tcPr>
          <w:p w14:paraId="0D3501FE" w14:textId="77777777" w:rsidR="000F3B99" w:rsidRPr="00F50C10" w:rsidRDefault="000F3B99" w:rsidP="000B206D">
            <w:pPr>
              <w:spacing w:line="276" w:lineRule="auto"/>
              <w:jc w:val="center"/>
              <w:rPr>
                <w:rFonts w:cs="Times New Roman"/>
                <w:b/>
                <w:bCs/>
                <w:szCs w:val="24"/>
              </w:rPr>
            </w:pPr>
            <w:r w:rsidRPr="00F50C10">
              <w:rPr>
                <w:rFonts w:cs="Times New Roman"/>
                <w:szCs w:val="24"/>
              </w:rPr>
              <w:t>SO</w:t>
            </w:r>
            <w:r w:rsidRPr="00F50C10">
              <w:rPr>
                <w:rFonts w:cs="Times New Roman"/>
                <w:szCs w:val="24"/>
                <w:vertAlign w:val="subscript"/>
              </w:rPr>
              <w:t>2</w:t>
            </w:r>
          </w:p>
        </w:tc>
        <w:tc>
          <w:tcPr>
            <w:tcW w:w="2500" w:type="pct"/>
            <w:vAlign w:val="center"/>
          </w:tcPr>
          <w:p w14:paraId="459A2133" w14:textId="77777777" w:rsidR="000F3B99" w:rsidRPr="00F50C10" w:rsidRDefault="000F3B99" w:rsidP="000B206D">
            <w:pPr>
              <w:spacing w:line="276" w:lineRule="auto"/>
              <w:jc w:val="center"/>
              <w:rPr>
                <w:rFonts w:cs="Times New Roman"/>
                <w:b/>
                <w:bCs/>
                <w:szCs w:val="24"/>
              </w:rPr>
            </w:pPr>
            <w:r w:rsidRPr="00F50C10">
              <w:rPr>
                <w:rFonts w:cs="Times New Roman"/>
                <w:szCs w:val="24"/>
              </w:rPr>
              <w:t>1,3 – 1,7 kg/t TiO</w:t>
            </w:r>
            <w:r w:rsidRPr="00F50C10">
              <w:rPr>
                <w:rFonts w:cs="Times New Roman"/>
                <w:szCs w:val="24"/>
                <w:vertAlign w:val="subscript"/>
              </w:rPr>
              <w:t>2</w:t>
            </w:r>
            <w:r w:rsidRPr="00F50C10">
              <w:rPr>
                <w:rFonts w:cs="Times New Roman"/>
                <w:szCs w:val="24"/>
              </w:rPr>
              <w:t xml:space="preserve"> pigmenti</w:t>
            </w:r>
          </w:p>
        </w:tc>
      </w:tr>
      <w:tr w:rsidR="000F3B99" w:rsidRPr="00F50C10" w14:paraId="161B57AA" w14:textId="77777777" w:rsidTr="00116C54">
        <w:trPr>
          <w:trHeight w:val="20"/>
        </w:trPr>
        <w:tc>
          <w:tcPr>
            <w:tcW w:w="2500" w:type="pct"/>
            <w:vAlign w:val="center"/>
          </w:tcPr>
          <w:p w14:paraId="0AEC7EF9" w14:textId="77777777" w:rsidR="000F3B99" w:rsidRPr="00F50C10" w:rsidRDefault="000F3B99" w:rsidP="000B206D">
            <w:pPr>
              <w:spacing w:line="276" w:lineRule="auto"/>
              <w:jc w:val="center"/>
              <w:rPr>
                <w:rFonts w:cs="Times New Roman"/>
                <w:b/>
                <w:bCs/>
                <w:szCs w:val="24"/>
              </w:rPr>
            </w:pPr>
            <w:r w:rsidRPr="00F50C10">
              <w:rPr>
                <w:rFonts w:cs="Times New Roman"/>
                <w:szCs w:val="24"/>
              </w:rPr>
              <w:t>HCl</w:t>
            </w:r>
          </w:p>
        </w:tc>
        <w:tc>
          <w:tcPr>
            <w:tcW w:w="2500" w:type="pct"/>
            <w:vAlign w:val="center"/>
          </w:tcPr>
          <w:p w14:paraId="2DCFC091" w14:textId="77777777" w:rsidR="000F3B99" w:rsidRPr="00F50C10" w:rsidRDefault="000F3B99" w:rsidP="000B206D">
            <w:pPr>
              <w:spacing w:line="276" w:lineRule="auto"/>
              <w:jc w:val="center"/>
              <w:rPr>
                <w:rFonts w:cs="Times New Roman"/>
                <w:b/>
                <w:bCs/>
                <w:szCs w:val="24"/>
              </w:rPr>
            </w:pPr>
            <w:r w:rsidRPr="00F50C10">
              <w:rPr>
                <w:rFonts w:cs="Times New Roman"/>
                <w:szCs w:val="24"/>
              </w:rPr>
              <w:t>0,03 – 0,1 kg/t TiO</w:t>
            </w:r>
            <w:r w:rsidRPr="00F50C10">
              <w:rPr>
                <w:rFonts w:cs="Times New Roman"/>
                <w:szCs w:val="24"/>
                <w:vertAlign w:val="subscript"/>
              </w:rPr>
              <w:t>2</w:t>
            </w:r>
            <w:r w:rsidRPr="00F50C10">
              <w:rPr>
                <w:rFonts w:cs="Times New Roman"/>
                <w:szCs w:val="24"/>
              </w:rPr>
              <w:t xml:space="preserve"> pigmenti</w:t>
            </w:r>
          </w:p>
        </w:tc>
      </w:tr>
    </w:tbl>
    <w:p w14:paraId="31FED832" w14:textId="188F256C" w:rsidR="000F3B99" w:rsidRPr="00F50C10" w:rsidRDefault="001260CA" w:rsidP="000B206D">
      <w:pPr>
        <w:pStyle w:val="ResimYazs"/>
        <w:keepNext/>
        <w:spacing w:before="240" w:line="276" w:lineRule="auto"/>
        <w:rPr>
          <w:rFonts w:cs="Times New Roman"/>
          <w:szCs w:val="24"/>
        </w:rPr>
      </w:pPr>
      <w:r w:rsidRPr="00F50C10">
        <w:rPr>
          <w:rFonts w:cs="Times New Roman"/>
          <w:szCs w:val="24"/>
        </w:rPr>
        <w:t xml:space="preserve">Tablo 2. </w:t>
      </w:r>
      <w:r w:rsidR="000F3B99" w:rsidRPr="00F50C10">
        <w:rPr>
          <w:rFonts w:cs="Times New Roman"/>
          <w:szCs w:val="24"/>
        </w:rPr>
        <w:t>MET’in uygulanmasıyla ilişkili suya verilen toplam emisyon seviyeleri</w:t>
      </w:r>
    </w:p>
    <w:tbl>
      <w:tblPr>
        <w:tblStyle w:val="TabloKlavuzu"/>
        <w:tblW w:w="5000" w:type="pct"/>
        <w:tblLook w:val="04A0" w:firstRow="1" w:lastRow="0" w:firstColumn="1" w:lastColumn="0" w:noHBand="0" w:noVBand="1"/>
      </w:tblPr>
      <w:tblGrid>
        <w:gridCol w:w="4655"/>
        <w:gridCol w:w="4655"/>
      </w:tblGrid>
      <w:tr w:rsidR="000F3B99" w:rsidRPr="00F50C10" w14:paraId="7488BFF5" w14:textId="77777777" w:rsidTr="00116C54">
        <w:trPr>
          <w:trHeight w:val="20"/>
        </w:trPr>
        <w:tc>
          <w:tcPr>
            <w:tcW w:w="2500" w:type="pct"/>
            <w:vAlign w:val="center"/>
          </w:tcPr>
          <w:p w14:paraId="18B8BBED" w14:textId="77777777" w:rsidR="000F3B99" w:rsidRPr="00F50C10" w:rsidRDefault="000F3B99" w:rsidP="000B206D">
            <w:pPr>
              <w:spacing w:line="276" w:lineRule="auto"/>
              <w:jc w:val="center"/>
              <w:rPr>
                <w:rFonts w:cs="Times New Roman"/>
                <w:b/>
                <w:bCs/>
                <w:szCs w:val="24"/>
              </w:rPr>
            </w:pPr>
            <w:r w:rsidRPr="00F50C10">
              <w:rPr>
                <w:rFonts w:cs="Times New Roman"/>
                <w:b/>
                <w:bCs/>
                <w:szCs w:val="24"/>
              </w:rPr>
              <w:t>Parametre</w:t>
            </w:r>
          </w:p>
        </w:tc>
        <w:tc>
          <w:tcPr>
            <w:tcW w:w="2500" w:type="pct"/>
            <w:vAlign w:val="center"/>
          </w:tcPr>
          <w:p w14:paraId="020E2AB3" w14:textId="77777777" w:rsidR="000F3B99" w:rsidRPr="00F50C10" w:rsidRDefault="000F3B99" w:rsidP="000B206D">
            <w:pPr>
              <w:spacing w:line="276" w:lineRule="auto"/>
              <w:jc w:val="center"/>
              <w:rPr>
                <w:rFonts w:cs="Times New Roman"/>
                <w:b/>
                <w:bCs/>
                <w:szCs w:val="24"/>
              </w:rPr>
            </w:pPr>
            <w:r w:rsidRPr="00F50C10">
              <w:rPr>
                <w:rFonts w:cs="Times New Roman"/>
                <w:b/>
                <w:bCs/>
                <w:szCs w:val="24"/>
              </w:rPr>
              <w:t>Toplam Emisyon Seviyesi</w:t>
            </w:r>
          </w:p>
        </w:tc>
      </w:tr>
      <w:tr w:rsidR="000F3B99" w:rsidRPr="00F50C10" w14:paraId="534A8F2C" w14:textId="77777777" w:rsidTr="00116C54">
        <w:trPr>
          <w:trHeight w:val="20"/>
        </w:trPr>
        <w:tc>
          <w:tcPr>
            <w:tcW w:w="2500" w:type="pct"/>
            <w:vAlign w:val="center"/>
          </w:tcPr>
          <w:p w14:paraId="3D391D48" w14:textId="77777777" w:rsidR="000F3B99" w:rsidRPr="00F50C10" w:rsidRDefault="000F3B99" w:rsidP="000B206D">
            <w:pPr>
              <w:spacing w:line="276" w:lineRule="auto"/>
              <w:jc w:val="center"/>
              <w:rPr>
                <w:rFonts w:cs="Times New Roman"/>
                <w:b/>
                <w:bCs/>
                <w:szCs w:val="24"/>
              </w:rPr>
            </w:pPr>
            <w:r w:rsidRPr="00F50C10">
              <w:rPr>
                <w:rFonts w:cs="Times New Roman"/>
                <w:szCs w:val="24"/>
              </w:rPr>
              <w:t>Hidroklorik asit</w:t>
            </w:r>
          </w:p>
        </w:tc>
        <w:tc>
          <w:tcPr>
            <w:tcW w:w="2500" w:type="pct"/>
            <w:vAlign w:val="center"/>
          </w:tcPr>
          <w:p w14:paraId="532526B3" w14:textId="77777777" w:rsidR="000F3B99" w:rsidRPr="00F50C10" w:rsidRDefault="000F3B99" w:rsidP="000B206D">
            <w:pPr>
              <w:spacing w:line="276" w:lineRule="auto"/>
              <w:jc w:val="center"/>
              <w:rPr>
                <w:rFonts w:cs="Times New Roman"/>
                <w:b/>
                <w:bCs/>
                <w:szCs w:val="24"/>
              </w:rPr>
            </w:pPr>
            <w:r w:rsidRPr="00F50C10">
              <w:rPr>
                <w:rFonts w:cs="Times New Roman"/>
                <w:szCs w:val="24"/>
              </w:rPr>
              <w:t>10 – 14 kg/t TiO</w:t>
            </w:r>
            <w:r w:rsidRPr="00F50C10">
              <w:rPr>
                <w:rFonts w:cs="Times New Roman"/>
                <w:szCs w:val="24"/>
                <w:vertAlign w:val="subscript"/>
              </w:rPr>
              <w:t>2</w:t>
            </w:r>
            <w:r w:rsidRPr="00F50C10">
              <w:rPr>
                <w:rFonts w:cs="Times New Roman"/>
                <w:szCs w:val="24"/>
              </w:rPr>
              <w:t xml:space="preserve"> pigmenti</w:t>
            </w:r>
          </w:p>
        </w:tc>
      </w:tr>
      <w:tr w:rsidR="000F3B99" w:rsidRPr="00F50C10" w14:paraId="5161F8E3" w14:textId="77777777" w:rsidTr="00116C54">
        <w:trPr>
          <w:trHeight w:val="20"/>
        </w:trPr>
        <w:tc>
          <w:tcPr>
            <w:tcW w:w="2500" w:type="pct"/>
            <w:vAlign w:val="center"/>
          </w:tcPr>
          <w:p w14:paraId="6E636545" w14:textId="77777777" w:rsidR="000F3B99" w:rsidRPr="00F50C10" w:rsidRDefault="000F3B99" w:rsidP="000B206D">
            <w:pPr>
              <w:spacing w:line="276" w:lineRule="auto"/>
              <w:jc w:val="center"/>
              <w:rPr>
                <w:rFonts w:cs="Times New Roman"/>
                <w:b/>
                <w:bCs/>
                <w:szCs w:val="24"/>
              </w:rPr>
            </w:pPr>
            <w:r w:rsidRPr="00F50C10">
              <w:rPr>
                <w:rFonts w:cs="Times New Roman"/>
                <w:szCs w:val="24"/>
              </w:rPr>
              <w:t>Klorürler</w:t>
            </w:r>
          </w:p>
        </w:tc>
        <w:tc>
          <w:tcPr>
            <w:tcW w:w="2500" w:type="pct"/>
            <w:vAlign w:val="center"/>
          </w:tcPr>
          <w:p w14:paraId="7631038C" w14:textId="77777777" w:rsidR="000F3B99" w:rsidRPr="00F50C10" w:rsidRDefault="000F3B99" w:rsidP="000B206D">
            <w:pPr>
              <w:spacing w:line="276" w:lineRule="auto"/>
              <w:jc w:val="center"/>
              <w:rPr>
                <w:rFonts w:cs="Times New Roman"/>
                <w:b/>
                <w:bCs/>
                <w:szCs w:val="24"/>
              </w:rPr>
            </w:pPr>
            <w:r w:rsidRPr="00F50C10">
              <w:rPr>
                <w:rFonts w:cs="Times New Roman"/>
                <w:szCs w:val="24"/>
              </w:rPr>
              <w:t>38 – 330 kg/t TiO</w:t>
            </w:r>
            <w:r w:rsidRPr="00F50C10">
              <w:rPr>
                <w:rFonts w:cs="Times New Roman"/>
                <w:szCs w:val="24"/>
                <w:vertAlign w:val="subscript"/>
              </w:rPr>
              <w:t>2</w:t>
            </w:r>
            <w:r w:rsidRPr="00F50C10">
              <w:rPr>
                <w:rFonts w:cs="Times New Roman"/>
                <w:szCs w:val="24"/>
              </w:rPr>
              <w:t xml:space="preserve"> pigmenti*</w:t>
            </w:r>
          </w:p>
        </w:tc>
      </w:tr>
      <w:tr w:rsidR="000F3B99" w:rsidRPr="00F50C10" w14:paraId="48813BAC" w14:textId="77777777" w:rsidTr="00116C54">
        <w:trPr>
          <w:trHeight w:val="20"/>
        </w:trPr>
        <w:tc>
          <w:tcPr>
            <w:tcW w:w="2500" w:type="pct"/>
            <w:vAlign w:val="center"/>
          </w:tcPr>
          <w:p w14:paraId="3695ED03" w14:textId="77777777" w:rsidR="000F3B99" w:rsidRPr="00F50C10" w:rsidRDefault="000F3B99" w:rsidP="000B206D">
            <w:pPr>
              <w:spacing w:line="276" w:lineRule="auto"/>
              <w:jc w:val="center"/>
              <w:rPr>
                <w:rFonts w:cs="Times New Roman"/>
                <w:b/>
                <w:bCs/>
                <w:szCs w:val="24"/>
              </w:rPr>
            </w:pPr>
            <w:r w:rsidRPr="00F50C10">
              <w:rPr>
                <w:rFonts w:cs="Times New Roman"/>
                <w:szCs w:val="24"/>
              </w:rPr>
              <w:t>Askıda katı maddeler</w:t>
            </w:r>
          </w:p>
        </w:tc>
        <w:tc>
          <w:tcPr>
            <w:tcW w:w="2500" w:type="pct"/>
            <w:vAlign w:val="center"/>
          </w:tcPr>
          <w:p w14:paraId="30B2700C" w14:textId="77777777" w:rsidR="000F3B99" w:rsidRPr="00F50C10" w:rsidRDefault="000F3B99" w:rsidP="000B206D">
            <w:pPr>
              <w:spacing w:line="276" w:lineRule="auto"/>
              <w:jc w:val="center"/>
              <w:rPr>
                <w:rFonts w:cs="Times New Roman"/>
                <w:b/>
                <w:bCs/>
                <w:szCs w:val="24"/>
              </w:rPr>
            </w:pPr>
            <w:r w:rsidRPr="00F50C10">
              <w:rPr>
                <w:rFonts w:cs="Times New Roman"/>
                <w:szCs w:val="24"/>
              </w:rPr>
              <w:t>0,5 – 2,5 kg/t TiO</w:t>
            </w:r>
            <w:r w:rsidRPr="00F50C10">
              <w:rPr>
                <w:rFonts w:cs="Times New Roman"/>
                <w:szCs w:val="24"/>
                <w:vertAlign w:val="subscript"/>
              </w:rPr>
              <w:t>2</w:t>
            </w:r>
            <w:r w:rsidRPr="00F50C10">
              <w:rPr>
                <w:rFonts w:cs="Times New Roman"/>
                <w:szCs w:val="24"/>
              </w:rPr>
              <w:t xml:space="preserve"> pigmenti</w:t>
            </w:r>
          </w:p>
        </w:tc>
      </w:tr>
      <w:tr w:rsidR="000F3B99" w:rsidRPr="00F50C10" w14:paraId="2C8DDAD2" w14:textId="77777777" w:rsidTr="00116C54">
        <w:trPr>
          <w:trHeight w:val="20"/>
        </w:trPr>
        <w:tc>
          <w:tcPr>
            <w:tcW w:w="2500" w:type="pct"/>
            <w:vAlign w:val="center"/>
          </w:tcPr>
          <w:p w14:paraId="20DB21FC" w14:textId="77777777" w:rsidR="000F3B99" w:rsidRPr="00F50C10" w:rsidRDefault="000F3B99" w:rsidP="000B206D">
            <w:pPr>
              <w:spacing w:line="276" w:lineRule="auto"/>
              <w:jc w:val="center"/>
              <w:rPr>
                <w:rFonts w:cs="Times New Roman"/>
                <w:szCs w:val="24"/>
              </w:rPr>
            </w:pPr>
            <w:r w:rsidRPr="00F50C10">
              <w:rPr>
                <w:rFonts w:cs="Times New Roman"/>
                <w:szCs w:val="24"/>
              </w:rPr>
              <w:t>Demir bileşikleri</w:t>
            </w:r>
          </w:p>
        </w:tc>
        <w:tc>
          <w:tcPr>
            <w:tcW w:w="2500" w:type="pct"/>
            <w:vAlign w:val="center"/>
          </w:tcPr>
          <w:p w14:paraId="11B374A0" w14:textId="77777777" w:rsidR="000F3B99" w:rsidRPr="00F50C10" w:rsidRDefault="000F3B99" w:rsidP="000B206D">
            <w:pPr>
              <w:spacing w:line="276" w:lineRule="auto"/>
              <w:jc w:val="center"/>
              <w:rPr>
                <w:rFonts w:cs="Times New Roman"/>
                <w:szCs w:val="24"/>
              </w:rPr>
            </w:pPr>
            <w:r w:rsidRPr="00F50C10">
              <w:rPr>
                <w:rFonts w:cs="Times New Roman"/>
                <w:szCs w:val="24"/>
              </w:rPr>
              <w:t>0,01 – 0,6 kg/t TiO</w:t>
            </w:r>
            <w:r w:rsidRPr="00F50C10">
              <w:rPr>
                <w:rFonts w:cs="Times New Roman"/>
                <w:szCs w:val="24"/>
                <w:vertAlign w:val="subscript"/>
              </w:rPr>
              <w:t>2</w:t>
            </w:r>
            <w:r w:rsidRPr="00F50C10">
              <w:rPr>
                <w:rFonts w:cs="Times New Roman"/>
                <w:szCs w:val="24"/>
              </w:rPr>
              <w:t xml:space="preserve"> pigmenti</w:t>
            </w:r>
          </w:p>
        </w:tc>
      </w:tr>
      <w:tr w:rsidR="000F3B99" w:rsidRPr="00F50C10" w14:paraId="64A7B156" w14:textId="77777777" w:rsidTr="00116C54">
        <w:trPr>
          <w:trHeight w:val="20"/>
        </w:trPr>
        <w:tc>
          <w:tcPr>
            <w:tcW w:w="5000" w:type="pct"/>
            <w:gridSpan w:val="2"/>
            <w:vAlign w:val="center"/>
          </w:tcPr>
          <w:p w14:paraId="591062B5" w14:textId="77777777" w:rsidR="000F3B99" w:rsidRPr="00F50C10" w:rsidRDefault="000F3B99" w:rsidP="000B206D">
            <w:pPr>
              <w:spacing w:line="276" w:lineRule="auto"/>
              <w:rPr>
                <w:rFonts w:cs="Times New Roman"/>
                <w:i/>
                <w:iCs/>
                <w:szCs w:val="24"/>
              </w:rPr>
            </w:pPr>
            <w:r w:rsidRPr="00F50C10">
              <w:rPr>
                <w:rFonts w:cs="Times New Roman"/>
                <w:i/>
                <w:iCs/>
                <w:szCs w:val="24"/>
              </w:rPr>
              <w:t>(*) Klorürler için, yerel düzeyde, alıcı su ortamının ve kullanılan hammaddelerin absorpsiyon kapasitesi dikkate alınmalıdır.</w:t>
            </w:r>
          </w:p>
        </w:tc>
      </w:tr>
    </w:tbl>
    <w:p w14:paraId="104B2C8D" w14:textId="77777777" w:rsidR="000F3B99" w:rsidRPr="00F50C10" w:rsidRDefault="000F3B99" w:rsidP="00A654AE">
      <w:pPr>
        <w:pStyle w:val="Balk2"/>
        <w:numPr>
          <w:ilvl w:val="1"/>
          <w:numId w:val="136"/>
        </w:numPr>
        <w:spacing w:before="0" w:after="120" w:line="276" w:lineRule="auto"/>
        <w:ind w:left="451"/>
        <w:rPr>
          <w:rFonts w:cs="Times New Roman"/>
          <w:szCs w:val="24"/>
        </w:rPr>
      </w:pPr>
      <w:r w:rsidRPr="00F50C10">
        <w:rPr>
          <w:rFonts w:cs="Times New Roman"/>
          <w:szCs w:val="24"/>
        </w:rPr>
        <w:t>Sülfat Proses Yolu</w:t>
      </w:r>
    </w:p>
    <w:p w14:paraId="33292AE4" w14:textId="2E878627" w:rsidR="00C45A5E" w:rsidRPr="00F50C10" w:rsidRDefault="000F3B99" w:rsidP="000B206D">
      <w:pPr>
        <w:widowControl w:val="0"/>
        <w:tabs>
          <w:tab w:val="left" w:pos="1085"/>
        </w:tabs>
        <w:autoSpaceDE w:val="0"/>
        <w:autoSpaceDN w:val="0"/>
        <w:spacing w:after="120" w:line="276" w:lineRule="auto"/>
        <w:ind w:right="23"/>
        <w:rPr>
          <w:rFonts w:cs="Times New Roman"/>
          <w:b/>
          <w:bCs/>
          <w:szCs w:val="24"/>
        </w:rPr>
      </w:pPr>
      <w:r w:rsidRPr="00F50C10">
        <w:rPr>
          <w:rFonts w:cs="Times New Roman"/>
          <w:b/>
          <w:bCs/>
          <w:szCs w:val="24"/>
        </w:rPr>
        <w:t xml:space="preserve">MET 28: </w:t>
      </w:r>
      <w:r w:rsidR="00785D5F" w:rsidRPr="00F50C10">
        <w:rPr>
          <w:rFonts w:cs="Times New Roman"/>
          <w:szCs w:val="24"/>
        </w:rPr>
        <w:t>Temel hammadde seçimi yapıldıktan sonra, ö</w:t>
      </w:r>
      <w:r w:rsidRPr="00F50C10">
        <w:rPr>
          <w:rFonts w:cs="Times New Roman"/>
          <w:szCs w:val="24"/>
        </w:rPr>
        <w:t xml:space="preserve">rneğin yaşam döngüsü değerlendirmesi (LCA) ve tesis </w:t>
      </w:r>
      <w:r w:rsidR="00785D5F" w:rsidRPr="00F50C10">
        <w:rPr>
          <w:rFonts w:cs="Times New Roman"/>
          <w:szCs w:val="24"/>
        </w:rPr>
        <w:t>kapasitesine</w:t>
      </w:r>
      <w:r w:rsidRPr="00F50C10">
        <w:rPr>
          <w:rFonts w:cs="Times New Roman"/>
          <w:szCs w:val="24"/>
        </w:rPr>
        <w:t xml:space="preserve"> </w:t>
      </w:r>
      <w:r w:rsidR="00785D5F" w:rsidRPr="00F50C10">
        <w:rPr>
          <w:rFonts w:cs="Times New Roman"/>
          <w:szCs w:val="24"/>
        </w:rPr>
        <w:t xml:space="preserve">dayalı olarak, </w:t>
      </w:r>
      <w:r w:rsidRPr="00F50C10">
        <w:rPr>
          <w:rFonts w:cs="Times New Roman"/>
          <w:szCs w:val="24"/>
        </w:rPr>
        <w:t xml:space="preserve">hammadde ve enerji tüketimini </w:t>
      </w:r>
      <w:r w:rsidR="00785D5F" w:rsidRPr="00F50C10">
        <w:rPr>
          <w:rFonts w:cs="Times New Roman"/>
          <w:szCs w:val="24"/>
        </w:rPr>
        <w:t xml:space="preserve">azaltmak ve </w:t>
      </w:r>
      <w:r w:rsidRPr="00F50C10">
        <w:rPr>
          <w:rFonts w:cs="Times New Roman"/>
          <w:szCs w:val="24"/>
        </w:rPr>
        <w:t xml:space="preserve">atık üretimini azaltmak için, </w:t>
      </w:r>
      <w:r w:rsidR="00C45A5E" w:rsidRPr="00F50C10">
        <w:rPr>
          <w:rFonts w:cs="Times New Roman"/>
          <w:szCs w:val="24"/>
        </w:rPr>
        <w:t xml:space="preserve">zararlı safsızlık seviyesi mümkün olduğunca </w:t>
      </w:r>
      <w:r w:rsidRPr="00F50C10">
        <w:rPr>
          <w:rFonts w:cs="Times New Roman"/>
          <w:szCs w:val="24"/>
        </w:rPr>
        <w:t xml:space="preserve">düşük seviyede </w:t>
      </w:r>
      <w:r w:rsidR="00C45A5E" w:rsidRPr="00F50C10">
        <w:rPr>
          <w:rFonts w:cs="Times New Roman"/>
          <w:szCs w:val="24"/>
        </w:rPr>
        <w:t>olan</w:t>
      </w:r>
      <w:r w:rsidRPr="00F50C10">
        <w:rPr>
          <w:rFonts w:cs="Times New Roman"/>
          <w:szCs w:val="24"/>
        </w:rPr>
        <w:t xml:space="preserve"> </w:t>
      </w:r>
      <w:r w:rsidR="00C45A5E" w:rsidRPr="00F50C10">
        <w:rPr>
          <w:rFonts w:cs="Times New Roman"/>
          <w:szCs w:val="24"/>
        </w:rPr>
        <w:t>TiO</w:t>
      </w:r>
      <w:r w:rsidR="00C45A5E" w:rsidRPr="00F50C10">
        <w:rPr>
          <w:rFonts w:cs="Times New Roman"/>
          <w:szCs w:val="24"/>
          <w:vertAlign w:val="subscript"/>
        </w:rPr>
        <w:t xml:space="preserve">2 </w:t>
      </w:r>
      <w:r w:rsidRPr="00F50C10">
        <w:rPr>
          <w:rFonts w:cs="Times New Roman"/>
          <w:szCs w:val="24"/>
        </w:rPr>
        <w:t>hammadde seçil</w:t>
      </w:r>
      <w:r w:rsidR="00C45A5E" w:rsidRPr="00F50C10">
        <w:rPr>
          <w:rFonts w:cs="Times New Roman"/>
          <w:szCs w:val="24"/>
        </w:rPr>
        <w:t>ir</w:t>
      </w:r>
      <w:r w:rsidRPr="00F50C10">
        <w:rPr>
          <w:rFonts w:cs="Times New Roman"/>
          <w:szCs w:val="24"/>
        </w:rPr>
        <w:t xml:space="preserve"> ve kullanılır. </w:t>
      </w:r>
      <w:r w:rsidR="00C45A5E" w:rsidRPr="00F50C10">
        <w:rPr>
          <w:rFonts w:cs="Times New Roman"/>
          <w:szCs w:val="24"/>
        </w:rPr>
        <w:t>Hem titanyum cürufu hem de ilmenit, uygun maliyetli olmaları ve düşük çevresel etkilere ve TiO</w:t>
      </w:r>
      <w:r w:rsidR="00C45A5E" w:rsidRPr="00F50C10">
        <w:rPr>
          <w:rFonts w:cs="Times New Roman"/>
          <w:szCs w:val="24"/>
          <w:vertAlign w:val="subscript"/>
        </w:rPr>
        <w:t>2</w:t>
      </w:r>
      <w:r w:rsidR="00C45A5E" w:rsidRPr="00F50C10">
        <w:rPr>
          <w:rFonts w:cs="Times New Roman"/>
          <w:szCs w:val="24"/>
        </w:rPr>
        <w:t xml:space="preserve"> tesisi sahasında enerji ve diğer yenilenemeyen kaynakların verimli kullanımı sağlamaları koşuluyla ayrı ayrı veya karışımlar halinde seçilebilir ve kullanılabilir.</w:t>
      </w:r>
    </w:p>
    <w:p w14:paraId="1C623E12" w14:textId="03E9CA45" w:rsidR="000F3B99" w:rsidRPr="00F50C10" w:rsidRDefault="000F3B99" w:rsidP="000B206D">
      <w:pPr>
        <w:widowControl w:val="0"/>
        <w:tabs>
          <w:tab w:val="left" w:pos="1085"/>
        </w:tabs>
        <w:autoSpaceDE w:val="0"/>
        <w:autoSpaceDN w:val="0"/>
        <w:spacing w:after="120" w:line="276" w:lineRule="auto"/>
        <w:ind w:right="23"/>
        <w:rPr>
          <w:rFonts w:cs="Times New Roman"/>
          <w:szCs w:val="24"/>
        </w:rPr>
      </w:pPr>
      <w:r w:rsidRPr="00F50C10">
        <w:rPr>
          <w:rFonts w:cs="Times New Roman"/>
          <w:b/>
          <w:bCs/>
          <w:szCs w:val="24"/>
        </w:rPr>
        <w:t xml:space="preserve">MET 29: </w:t>
      </w:r>
      <w:r w:rsidRPr="00F50C10">
        <w:rPr>
          <w:rFonts w:cs="Times New Roman"/>
          <w:szCs w:val="24"/>
        </w:rPr>
        <w:t>TiO</w:t>
      </w:r>
      <w:r w:rsidRPr="00F50C10">
        <w:rPr>
          <w:rFonts w:cs="Times New Roman"/>
          <w:szCs w:val="24"/>
          <w:vertAlign w:val="subscript"/>
        </w:rPr>
        <w:t>2</w:t>
      </w:r>
      <w:r w:rsidRPr="00F50C10">
        <w:rPr>
          <w:rFonts w:cs="Times New Roman"/>
          <w:szCs w:val="24"/>
        </w:rPr>
        <w:t xml:space="preserve"> hammaddesi temin, taşıma, alım ve depolaması, öğütme ve işleme öncesi hammaddenin kurutulması ihtiyacını önlemek için düşük nem içeriği korunacak şekilde yönetil</w:t>
      </w:r>
      <w:r w:rsidR="00C45A5E" w:rsidRPr="00F50C10">
        <w:rPr>
          <w:rFonts w:cs="Times New Roman"/>
          <w:szCs w:val="24"/>
        </w:rPr>
        <w:t xml:space="preserve">ir. </w:t>
      </w:r>
    </w:p>
    <w:p w14:paraId="7FF3F347" w14:textId="366AF48D" w:rsidR="000F3B99" w:rsidRPr="00F50C10" w:rsidRDefault="000F3B99" w:rsidP="000B206D">
      <w:pPr>
        <w:widowControl w:val="0"/>
        <w:tabs>
          <w:tab w:val="left" w:pos="1085"/>
        </w:tabs>
        <w:autoSpaceDE w:val="0"/>
        <w:autoSpaceDN w:val="0"/>
        <w:spacing w:after="120" w:line="276" w:lineRule="auto"/>
        <w:ind w:right="23"/>
        <w:rPr>
          <w:rFonts w:cs="Times New Roman"/>
          <w:szCs w:val="24"/>
        </w:rPr>
      </w:pPr>
      <w:r w:rsidRPr="00F50C10">
        <w:rPr>
          <w:rFonts w:cs="Times New Roman"/>
          <w:b/>
          <w:bCs/>
          <w:szCs w:val="24"/>
        </w:rPr>
        <w:t xml:space="preserve">MET 30: </w:t>
      </w:r>
      <w:r w:rsidRPr="00F50C10">
        <w:rPr>
          <w:rFonts w:cs="Times New Roman"/>
          <w:szCs w:val="24"/>
        </w:rPr>
        <w:t>Cevherin taşınması, kurutulması ve öğütülmesinden kaynaklanan toz emisyonları, uygun filtre bezi malzemeli yüksek bütünlüklü torba filtreler ve toz kayıplarının kontrolüne yönelik bir bakım rutini kullan</w:t>
      </w:r>
      <w:r w:rsidR="00C45A5E" w:rsidRPr="00F50C10">
        <w:rPr>
          <w:rFonts w:cs="Times New Roman"/>
          <w:szCs w:val="24"/>
        </w:rPr>
        <w:t>ıl</w:t>
      </w:r>
      <w:r w:rsidRPr="00F50C10">
        <w:rPr>
          <w:rFonts w:cs="Times New Roman"/>
          <w:szCs w:val="24"/>
        </w:rPr>
        <w:t>arak en aza indiril</w:t>
      </w:r>
      <w:r w:rsidR="00C45A5E" w:rsidRPr="00F50C10">
        <w:rPr>
          <w:rFonts w:cs="Times New Roman"/>
          <w:szCs w:val="24"/>
        </w:rPr>
        <w:t>ir</w:t>
      </w:r>
      <w:r w:rsidRPr="00F50C10">
        <w:rPr>
          <w:rFonts w:cs="Times New Roman"/>
          <w:szCs w:val="24"/>
        </w:rPr>
        <w:t xml:space="preserve">. İlgili MET İES’ler </w:t>
      </w:r>
      <w:r w:rsidRPr="00F50C10">
        <w:rPr>
          <w:rFonts w:cs="Times New Roman"/>
          <w:szCs w:val="24"/>
        </w:rPr>
        <w:fldChar w:fldCharType="begin"/>
      </w:r>
      <w:r w:rsidRPr="00F50C10">
        <w:rPr>
          <w:rFonts w:cs="Times New Roman"/>
          <w:szCs w:val="24"/>
        </w:rPr>
        <w:instrText xml:space="preserve"> REF _Ref137107493 \h  \* MERGEFORMAT </w:instrText>
      </w:r>
      <w:r w:rsidRPr="00F50C10">
        <w:rPr>
          <w:rFonts w:cs="Times New Roman"/>
          <w:szCs w:val="24"/>
        </w:rPr>
      </w:r>
      <w:r w:rsidRPr="00F50C10">
        <w:rPr>
          <w:rFonts w:cs="Times New Roman"/>
          <w:szCs w:val="24"/>
        </w:rPr>
        <w:fldChar w:fldCharType="separate"/>
      </w:r>
      <w:r w:rsidRPr="00F50C10">
        <w:rPr>
          <w:rFonts w:cs="Times New Roman"/>
          <w:szCs w:val="24"/>
        </w:rPr>
        <w:t xml:space="preserve">Tablo </w:t>
      </w:r>
      <w:r w:rsidRPr="00F50C10">
        <w:rPr>
          <w:rFonts w:cs="Times New Roman"/>
          <w:noProof/>
          <w:szCs w:val="24"/>
        </w:rPr>
        <w:t>3</w:t>
      </w:r>
      <w:r w:rsidRPr="00F50C10">
        <w:rPr>
          <w:rFonts w:cs="Times New Roman"/>
          <w:szCs w:val="24"/>
        </w:rPr>
        <w:fldChar w:fldCharType="end"/>
      </w:r>
      <w:r w:rsidRPr="00F50C10">
        <w:rPr>
          <w:rFonts w:cs="Times New Roman"/>
          <w:szCs w:val="24"/>
        </w:rPr>
        <w:t>'te verilmektedir.</w:t>
      </w:r>
    </w:p>
    <w:p w14:paraId="4CC8FA94" w14:textId="20E41D9C" w:rsidR="000F3B99" w:rsidRPr="00F50C10" w:rsidRDefault="000F3B99" w:rsidP="000B206D">
      <w:pPr>
        <w:widowControl w:val="0"/>
        <w:tabs>
          <w:tab w:val="left" w:pos="1085"/>
        </w:tabs>
        <w:autoSpaceDE w:val="0"/>
        <w:autoSpaceDN w:val="0"/>
        <w:spacing w:after="120" w:line="276" w:lineRule="auto"/>
        <w:ind w:right="23"/>
        <w:rPr>
          <w:rFonts w:cs="Times New Roman"/>
          <w:b/>
          <w:bCs/>
          <w:szCs w:val="24"/>
        </w:rPr>
      </w:pPr>
      <w:r w:rsidRPr="00F50C10">
        <w:rPr>
          <w:rFonts w:cs="Times New Roman"/>
          <w:b/>
          <w:bCs/>
          <w:szCs w:val="24"/>
        </w:rPr>
        <w:t xml:space="preserve">MET 31: </w:t>
      </w:r>
      <w:r w:rsidRPr="00F50C10">
        <w:rPr>
          <w:rFonts w:cs="Times New Roman"/>
          <w:szCs w:val="24"/>
        </w:rPr>
        <w:t>Ayrıştırma verimliliğini en yüksek seviyeye çıkarmak için cevher en uygun boyda öğütül</w:t>
      </w:r>
      <w:r w:rsidR="00C45A5E" w:rsidRPr="00F50C10">
        <w:rPr>
          <w:rFonts w:cs="Times New Roman"/>
          <w:szCs w:val="24"/>
        </w:rPr>
        <w:t>ü</w:t>
      </w:r>
      <w:r w:rsidRPr="00F50C10">
        <w:rPr>
          <w:rFonts w:cs="Times New Roman"/>
          <w:szCs w:val="24"/>
        </w:rPr>
        <w:t>r</w:t>
      </w:r>
      <w:r w:rsidR="00C45A5E" w:rsidRPr="00F50C10">
        <w:rPr>
          <w:rFonts w:cs="Times New Roman"/>
          <w:szCs w:val="24"/>
        </w:rPr>
        <w:t>.</w:t>
      </w:r>
    </w:p>
    <w:p w14:paraId="26D30DFD" w14:textId="02C6294D" w:rsidR="002B2D81" w:rsidRPr="00F50C10" w:rsidRDefault="000F3B99" w:rsidP="000B206D">
      <w:pPr>
        <w:widowControl w:val="0"/>
        <w:tabs>
          <w:tab w:val="left" w:pos="1085"/>
        </w:tabs>
        <w:autoSpaceDE w:val="0"/>
        <w:autoSpaceDN w:val="0"/>
        <w:spacing w:after="120" w:line="276" w:lineRule="auto"/>
        <w:ind w:right="23"/>
        <w:rPr>
          <w:rFonts w:cs="Times New Roman"/>
          <w:b/>
          <w:bCs/>
          <w:szCs w:val="24"/>
        </w:rPr>
      </w:pPr>
      <w:r w:rsidRPr="00F50C10">
        <w:rPr>
          <w:rFonts w:cs="Times New Roman"/>
          <w:b/>
          <w:bCs/>
          <w:szCs w:val="24"/>
        </w:rPr>
        <w:t xml:space="preserve">MET 32: </w:t>
      </w:r>
      <w:r w:rsidRPr="00F50C10">
        <w:rPr>
          <w:rFonts w:cs="Times New Roman"/>
          <w:szCs w:val="24"/>
        </w:rPr>
        <w:t>Hammadde olarak ilmenit kullanıldığında sürekli ayrıştırmanın daha uygulanabilir olduğu ve sanayide maksimum verimlilik için kesikli prosesin optimize edilmesi konusunda büyük deneyim bulunduğu akılda tutularak cevherin hem kesikli hem sürekli ayrıştırması kullanılır</w:t>
      </w:r>
      <w:r w:rsidR="00C45A5E" w:rsidRPr="00F50C10">
        <w:rPr>
          <w:rFonts w:cs="Times New Roman"/>
          <w:szCs w:val="24"/>
        </w:rPr>
        <w:t>.</w:t>
      </w:r>
    </w:p>
    <w:p w14:paraId="5D8D3B37" w14:textId="3F4259DC" w:rsidR="000F3B99" w:rsidRPr="00F50C10" w:rsidRDefault="000F3B99" w:rsidP="000B206D">
      <w:pPr>
        <w:widowControl w:val="0"/>
        <w:tabs>
          <w:tab w:val="left" w:pos="2220"/>
        </w:tabs>
        <w:autoSpaceDE w:val="0"/>
        <w:autoSpaceDN w:val="0"/>
        <w:spacing w:after="120" w:line="276" w:lineRule="auto"/>
        <w:ind w:right="23"/>
        <w:rPr>
          <w:rFonts w:cs="Times New Roman"/>
          <w:b/>
          <w:bCs/>
          <w:szCs w:val="24"/>
        </w:rPr>
      </w:pPr>
      <w:r w:rsidRPr="00F50C10">
        <w:rPr>
          <w:rFonts w:cs="Times New Roman"/>
          <w:b/>
          <w:bCs/>
          <w:szCs w:val="24"/>
        </w:rPr>
        <w:t xml:space="preserve">MET 33: </w:t>
      </w:r>
      <w:r w:rsidRPr="00F50C10">
        <w:rPr>
          <w:rFonts w:cs="Times New Roman"/>
          <w:szCs w:val="24"/>
        </w:rPr>
        <w:t xml:space="preserve">Kükürt emisyonlarını azaltmak ve tesis sahası </w:t>
      </w:r>
      <w:r w:rsidR="004771C7" w:rsidRPr="00F50C10">
        <w:rPr>
          <w:rFonts w:cs="Times New Roman"/>
          <w:szCs w:val="24"/>
        </w:rPr>
        <w:t>çıkışında</w:t>
      </w:r>
      <w:r w:rsidRPr="00F50C10">
        <w:rPr>
          <w:rFonts w:cs="Times New Roman"/>
          <w:szCs w:val="24"/>
        </w:rPr>
        <w:t xml:space="preserve"> yan ürün olarak kullanılabilir kükürt bileşikleri üretmek için ayrıştırıcı </w:t>
      </w:r>
      <w:r w:rsidR="004771C7" w:rsidRPr="00F50C10">
        <w:rPr>
          <w:rFonts w:cs="Times New Roman"/>
          <w:szCs w:val="24"/>
        </w:rPr>
        <w:t>çıkış</w:t>
      </w:r>
      <w:r w:rsidRPr="00F50C10">
        <w:rPr>
          <w:rFonts w:cs="Times New Roman"/>
          <w:szCs w:val="24"/>
        </w:rPr>
        <w:t xml:space="preserve"> gazları işleme tabi tutul</w:t>
      </w:r>
      <w:r w:rsidR="004771C7" w:rsidRPr="00F50C10">
        <w:rPr>
          <w:rFonts w:cs="Times New Roman"/>
          <w:szCs w:val="24"/>
        </w:rPr>
        <w:t>ur.</w:t>
      </w:r>
      <w:r w:rsidR="00E515D6" w:rsidRPr="00F50C10">
        <w:rPr>
          <w:rFonts w:cs="Times New Roman"/>
          <w:szCs w:val="24"/>
        </w:rPr>
        <w:t xml:space="preserve"> </w:t>
      </w:r>
      <w:r w:rsidRPr="00F50C10">
        <w:rPr>
          <w:rFonts w:cs="Times New Roman"/>
          <w:szCs w:val="24"/>
        </w:rPr>
        <w:t xml:space="preserve">İlgili MET İES’ler </w:t>
      </w:r>
      <w:r w:rsidRPr="00F50C10">
        <w:rPr>
          <w:rFonts w:cs="Times New Roman"/>
          <w:szCs w:val="24"/>
        </w:rPr>
        <w:fldChar w:fldCharType="begin"/>
      </w:r>
      <w:r w:rsidRPr="00F50C10">
        <w:rPr>
          <w:rFonts w:cs="Times New Roman"/>
          <w:szCs w:val="24"/>
        </w:rPr>
        <w:instrText xml:space="preserve"> REF _Ref137107493 \h  \* MERGEFORMAT </w:instrText>
      </w:r>
      <w:r w:rsidRPr="00F50C10">
        <w:rPr>
          <w:rFonts w:cs="Times New Roman"/>
          <w:szCs w:val="24"/>
        </w:rPr>
      </w:r>
      <w:r w:rsidRPr="00F50C10">
        <w:rPr>
          <w:rFonts w:cs="Times New Roman"/>
          <w:szCs w:val="24"/>
        </w:rPr>
        <w:fldChar w:fldCharType="separate"/>
      </w:r>
      <w:r w:rsidRPr="00F50C10">
        <w:rPr>
          <w:rFonts w:cs="Times New Roman"/>
          <w:szCs w:val="24"/>
        </w:rPr>
        <w:t xml:space="preserve">Tablo </w:t>
      </w:r>
      <w:r w:rsidRPr="00F50C10">
        <w:rPr>
          <w:rFonts w:cs="Times New Roman"/>
          <w:noProof/>
          <w:szCs w:val="24"/>
        </w:rPr>
        <w:t>3</w:t>
      </w:r>
      <w:r w:rsidRPr="00F50C10">
        <w:rPr>
          <w:rFonts w:cs="Times New Roman"/>
          <w:szCs w:val="24"/>
        </w:rPr>
        <w:fldChar w:fldCharType="end"/>
      </w:r>
      <w:r w:rsidRPr="00F50C10">
        <w:rPr>
          <w:rFonts w:cs="Times New Roman"/>
          <w:szCs w:val="24"/>
        </w:rPr>
        <w:t>'te verilmiştir.</w:t>
      </w:r>
    </w:p>
    <w:p w14:paraId="0E259EA6" w14:textId="53A38AB8" w:rsidR="000F3B99" w:rsidRPr="00F50C10" w:rsidRDefault="000F3B99" w:rsidP="000B206D">
      <w:pPr>
        <w:widowControl w:val="0"/>
        <w:tabs>
          <w:tab w:val="left" w:pos="2220"/>
        </w:tabs>
        <w:autoSpaceDE w:val="0"/>
        <w:autoSpaceDN w:val="0"/>
        <w:spacing w:after="120" w:line="276" w:lineRule="auto"/>
        <w:ind w:right="23"/>
        <w:rPr>
          <w:rFonts w:cs="Times New Roman"/>
          <w:b/>
          <w:bCs/>
          <w:szCs w:val="24"/>
        </w:rPr>
      </w:pPr>
      <w:r w:rsidRPr="00F50C10">
        <w:rPr>
          <w:rFonts w:cs="Times New Roman"/>
          <w:b/>
          <w:bCs/>
          <w:szCs w:val="24"/>
        </w:rPr>
        <w:t xml:space="preserve">MET 34: </w:t>
      </w:r>
      <w:r w:rsidRPr="00F50C10">
        <w:rPr>
          <w:rFonts w:cs="Times New Roman"/>
          <w:szCs w:val="24"/>
        </w:rPr>
        <w:t xml:space="preserve">Ayrıştırıcı çözeltisinde demir iyonlarının demir iki iyonlarına indirgenmesinde, çözeltinin krom veya nikel gibi ağır metallerle kontaminasyonunu önlemek için uygun nitelikte hurda demir kullanılır. Hurda yüzeyinde kir, yağ, gres ve diğer </w:t>
      </w:r>
      <w:r w:rsidR="004771C7" w:rsidRPr="00F50C10">
        <w:rPr>
          <w:rFonts w:cs="Times New Roman"/>
          <w:szCs w:val="24"/>
        </w:rPr>
        <w:t>kirleticiler</w:t>
      </w:r>
      <w:r w:rsidRPr="00F50C10">
        <w:rPr>
          <w:rFonts w:cs="Times New Roman"/>
          <w:szCs w:val="24"/>
        </w:rPr>
        <w:t xml:space="preserve"> bulunmamalıdır</w:t>
      </w:r>
      <w:r w:rsidR="00E515D6" w:rsidRPr="00F50C10">
        <w:rPr>
          <w:rFonts w:cs="Times New Roman"/>
          <w:szCs w:val="24"/>
        </w:rPr>
        <w:t>.</w:t>
      </w:r>
    </w:p>
    <w:p w14:paraId="54440ED6" w14:textId="430B188A" w:rsidR="000F3B99" w:rsidRPr="00F50C10" w:rsidRDefault="000F3B99" w:rsidP="000B206D">
      <w:pPr>
        <w:widowControl w:val="0"/>
        <w:tabs>
          <w:tab w:val="left" w:pos="2220"/>
        </w:tabs>
        <w:autoSpaceDE w:val="0"/>
        <w:autoSpaceDN w:val="0"/>
        <w:spacing w:after="120" w:line="276" w:lineRule="auto"/>
        <w:ind w:right="23"/>
        <w:rPr>
          <w:rFonts w:cs="Times New Roman"/>
          <w:b/>
          <w:bCs/>
          <w:szCs w:val="24"/>
        </w:rPr>
      </w:pPr>
      <w:r w:rsidRPr="00F50C10">
        <w:rPr>
          <w:rFonts w:cs="Times New Roman"/>
          <w:b/>
          <w:bCs/>
          <w:szCs w:val="24"/>
        </w:rPr>
        <w:t xml:space="preserve">MET 35: </w:t>
      </w:r>
      <w:r w:rsidRPr="00F50C10">
        <w:rPr>
          <w:rFonts w:cs="Times New Roman"/>
          <w:szCs w:val="24"/>
        </w:rPr>
        <w:t>İlmenit bazlı hammaddelerin işlenmesinde, ardıl kullanımlar için prosesten giderimini optimize etmek üzere, bakırların (demir sülfat heptahidrat) kristalleştirilmesi ve ayrılması amacıyla kesikli veya sürekli sistem uygulan</w:t>
      </w:r>
      <w:r w:rsidR="004771C7" w:rsidRPr="00F50C10">
        <w:rPr>
          <w:rFonts w:cs="Times New Roman"/>
          <w:szCs w:val="24"/>
        </w:rPr>
        <w:t>ır</w:t>
      </w:r>
      <w:r w:rsidR="00E515D6" w:rsidRPr="00F50C10">
        <w:rPr>
          <w:rFonts w:cs="Times New Roman"/>
          <w:szCs w:val="24"/>
        </w:rPr>
        <w:t>.</w:t>
      </w:r>
    </w:p>
    <w:p w14:paraId="51F9FAFD" w14:textId="5A257EE7" w:rsidR="000F3B99" w:rsidRPr="00F50C10" w:rsidRDefault="000F3B99" w:rsidP="000B206D">
      <w:pPr>
        <w:widowControl w:val="0"/>
        <w:tabs>
          <w:tab w:val="left" w:pos="2220"/>
        </w:tabs>
        <w:autoSpaceDE w:val="0"/>
        <w:autoSpaceDN w:val="0"/>
        <w:spacing w:after="120" w:line="276" w:lineRule="auto"/>
        <w:ind w:right="23"/>
        <w:rPr>
          <w:rFonts w:cs="Times New Roman"/>
          <w:b/>
          <w:bCs/>
          <w:szCs w:val="24"/>
        </w:rPr>
      </w:pPr>
      <w:r w:rsidRPr="00F50C10">
        <w:rPr>
          <w:rFonts w:cs="Times New Roman"/>
          <w:b/>
          <w:bCs/>
          <w:szCs w:val="24"/>
        </w:rPr>
        <w:t xml:space="preserve">MET 36: </w:t>
      </w:r>
      <w:r w:rsidRPr="00F50C10">
        <w:rPr>
          <w:rFonts w:cs="Times New Roman"/>
          <w:szCs w:val="24"/>
        </w:rPr>
        <w:t>Titanil sülfatın hidrolizi ve TiO</w:t>
      </w:r>
      <w:r w:rsidRPr="00F50C10">
        <w:rPr>
          <w:rFonts w:cs="Times New Roman"/>
          <w:szCs w:val="24"/>
          <w:vertAlign w:val="subscript"/>
        </w:rPr>
        <w:t>2</w:t>
      </w:r>
      <w:r w:rsidRPr="00F50C10">
        <w:rPr>
          <w:rFonts w:cs="Times New Roman"/>
          <w:szCs w:val="24"/>
        </w:rPr>
        <w:t xml:space="preserve"> hidrat çök</w:t>
      </w:r>
      <w:r w:rsidR="004771C7" w:rsidRPr="00F50C10">
        <w:rPr>
          <w:rFonts w:cs="Times New Roman"/>
          <w:szCs w:val="24"/>
        </w:rPr>
        <w:t>el</w:t>
      </w:r>
      <w:r w:rsidRPr="00F50C10">
        <w:rPr>
          <w:rFonts w:cs="Times New Roman"/>
          <w:szCs w:val="24"/>
        </w:rPr>
        <w:t>mesinde, kalsinatör deşarjının uyumlu tane boyu dağılımını sağlamak için çekirdek üretim sistemi uygulanmasıdır</w:t>
      </w:r>
      <w:r w:rsidR="00E515D6" w:rsidRPr="00F50C10">
        <w:rPr>
          <w:rFonts w:cs="Times New Roman"/>
          <w:szCs w:val="24"/>
        </w:rPr>
        <w:t>.</w:t>
      </w:r>
    </w:p>
    <w:p w14:paraId="7E1E8E2E" w14:textId="12F26DCF" w:rsidR="000F3B99" w:rsidRPr="00F50C10" w:rsidRDefault="000F3B99" w:rsidP="000B206D">
      <w:pPr>
        <w:widowControl w:val="0"/>
        <w:tabs>
          <w:tab w:val="left" w:pos="2220"/>
        </w:tabs>
        <w:autoSpaceDE w:val="0"/>
        <w:autoSpaceDN w:val="0"/>
        <w:spacing w:after="120" w:line="276" w:lineRule="auto"/>
        <w:ind w:right="23"/>
        <w:rPr>
          <w:rFonts w:cs="Times New Roman"/>
          <w:b/>
          <w:bCs/>
          <w:szCs w:val="24"/>
        </w:rPr>
      </w:pPr>
      <w:r w:rsidRPr="00F50C10">
        <w:rPr>
          <w:rFonts w:cs="Times New Roman"/>
          <w:b/>
          <w:bCs/>
          <w:szCs w:val="24"/>
        </w:rPr>
        <w:t xml:space="preserve">MET 37: </w:t>
      </w:r>
      <w:r w:rsidRPr="00F50C10">
        <w:rPr>
          <w:rFonts w:cs="Times New Roman"/>
          <w:szCs w:val="24"/>
        </w:rPr>
        <w:t xml:space="preserve">Ana çözeltiden (güçlü asit) titanyum dioksit hidratının filtrasyonunda, yıkanmasından önce filtre </w:t>
      </w:r>
      <w:r w:rsidR="00314D07" w:rsidRPr="00F50C10">
        <w:rPr>
          <w:rFonts w:cs="Times New Roman"/>
          <w:szCs w:val="24"/>
        </w:rPr>
        <w:t>çamurundan</w:t>
      </w:r>
      <w:r w:rsidRPr="00F50C10">
        <w:rPr>
          <w:rFonts w:cs="Times New Roman"/>
          <w:szCs w:val="24"/>
        </w:rPr>
        <w:t xml:space="preserve"> seyreltilmemiş güçlü asidi maksimum miktarda ayırmak için, güçlü ve zayıf asidin en etkin şekilde ayrılmasını sağlayan bir sistem kullanıl</w:t>
      </w:r>
      <w:r w:rsidR="00314D07" w:rsidRPr="00F50C10">
        <w:rPr>
          <w:rFonts w:cs="Times New Roman"/>
          <w:szCs w:val="24"/>
        </w:rPr>
        <w:t>ır</w:t>
      </w:r>
      <w:r w:rsidR="00E515D6" w:rsidRPr="00F50C10">
        <w:rPr>
          <w:rFonts w:cs="Times New Roman"/>
          <w:szCs w:val="24"/>
        </w:rPr>
        <w:t>.</w:t>
      </w:r>
    </w:p>
    <w:p w14:paraId="7541657B" w14:textId="45A3C8F0" w:rsidR="000F3B99" w:rsidRPr="00F50C10" w:rsidRDefault="000F3B99" w:rsidP="000B206D">
      <w:pPr>
        <w:widowControl w:val="0"/>
        <w:tabs>
          <w:tab w:val="left" w:pos="2220"/>
        </w:tabs>
        <w:autoSpaceDE w:val="0"/>
        <w:autoSpaceDN w:val="0"/>
        <w:spacing w:after="120" w:line="276" w:lineRule="auto"/>
        <w:ind w:right="23"/>
        <w:rPr>
          <w:rFonts w:cs="Times New Roman"/>
          <w:b/>
          <w:bCs/>
          <w:szCs w:val="24"/>
        </w:rPr>
      </w:pPr>
      <w:r w:rsidRPr="00F50C10">
        <w:rPr>
          <w:rFonts w:cs="Times New Roman"/>
          <w:b/>
          <w:bCs/>
          <w:szCs w:val="24"/>
        </w:rPr>
        <w:t>MET 38:</w:t>
      </w:r>
      <w:r w:rsidRPr="00F50C10">
        <w:rPr>
          <w:rFonts w:cs="Times New Roman"/>
          <w:szCs w:val="24"/>
        </w:rPr>
        <w:t xml:space="preserve"> Kullanılmış </w:t>
      </w:r>
      <w:r w:rsidR="00314D07" w:rsidRPr="00F50C10">
        <w:rPr>
          <w:rFonts w:cs="Times New Roman"/>
          <w:szCs w:val="24"/>
        </w:rPr>
        <w:t>post-</w:t>
      </w:r>
      <w:r w:rsidRPr="00F50C10">
        <w:rPr>
          <w:rFonts w:cs="Times New Roman"/>
          <w:szCs w:val="24"/>
        </w:rPr>
        <w:t>hidrolitik (güçlü) sülfürik asidin kullanımına yönelik olarak asi</w:t>
      </w:r>
      <w:r w:rsidR="00314D07" w:rsidRPr="00F50C10">
        <w:rPr>
          <w:rFonts w:cs="Times New Roman"/>
          <w:szCs w:val="24"/>
        </w:rPr>
        <w:t>t</w:t>
      </w:r>
      <w:r w:rsidRPr="00F50C10">
        <w:rPr>
          <w:rFonts w:cs="Times New Roman"/>
          <w:szCs w:val="24"/>
        </w:rPr>
        <w:t xml:space="preserve"> nötralizasyonunu kullanırken, kullanılabilir alçı ürünlerinin üretimini optimize ederek, bertaraf için gönderilen malzeme miktarı en aza indirilir</w:t>
      </w:r>
      <w:r w:rsidR="00E515D6" w:rsidRPr="00F50C10">
        <w:rPr>
          <w:rFonts w:cs="Times New Roman"/>
          <w:szCs w:val="24"/>
        </w:rPr>
        <w:t>.</w:t>
      </w:r>
    </w:p>
    <w:p w14:paraId="68DF19BD" w14:textId="26209BFA" w:rsidR="000F3B99" w:rsidRPr="00F50C10" w:rsidRDefault="000F3B99" w:rsidP="000B206D">
      <w:pPr>
        <w:widowControl w:val="0"/>
        <w:tabs>
          <w:tab w:val="left" w:pos="2220"/>
        </w:tabs>
        <w:autoSpaceDE w:val="0"/>
        <w:autoSpaceDN w:val="0"/>
        <w:spacing w:after="120" w:line="276" w:lineRule="auto"/>
        <w:ind w:right="23"/>
        <w:rPr>
          <w:rFonts w:cs="Times New Roman"/>
          <w:szCs w:val="24"/>
        </w:rPr>
      </w:pPr>
      <w:r w:rsidRPr="00F50C10">
        <w:rPr>
          <w:rFonts w:cs="Times New Roman"/>
          <w:b/>
          <w:bCs/>
          <w:szCs w:val="24"/>
        </w:rPr>
        <w:t xml:space="preserve">MET 39: </w:t>
      </w:r>
      <w:r w:rsidRPr="00F50C10">
        <w:rPr>
          <w:rFonts w:cs="Times New Roman"/>
          <w:szCs w:val="24"/>
        </w:rPr>
        <w:t>Kullanılmış asidin, titanyum cevherinin ayrıştırılması veya diğer eş ürünlerin (yaş fosforik asit, gübre, çimento katkı maddesi) imalatı için TiO</w:t>
      </w:r>
      <w:r w:rsidRPr="00F50C10">
        <w:rPr>
          <w:rFonts w:cs="Times New Roman"/>
          <w:szCs w:val="24"/>
          <w:vertAlign w:val="subscript"/>
        </w:rPr>
        <w:t>2</w:t>
      </w:r>
      <w:r w:rsidRPr="00F50C10">
        <w:rPr>
          <w:rFonts w:cs="Times New Roman"/>
          <w:szCs w:val="24"/>
        </w:rPr>
        <w:t xml:space="preserve"> tesis sahasında veya saha dışında yeniden yoğunlaştırıldığı ve yeniden kullanıldığı durumlarda, sülfürik asit derişimi ve tuz kavrulması için enerji tüketimi en aza indirilirken, asit geri dönüşüm devresinde birikmelerini önlemek için konsantre asidin metal sülfat içeriği minimum seviyeye indiril</w:t>
      </w:r>
      <w:r w:rsidR="004479F4" w:rsidRPr="00F50C10">
        <w:rPr>
          <w:rFonts w:cs="Times New Roman"/>
          <w:szCs w:val="24"/>
        </w:rPr>
        <w:t>i</w:t>
      </w:r>
      <w:r w:rsidRPr="00F50C10">
        <w:rPr>
          <w:rFonts w:cs="Times New Roman"/>
          <w:szCs w:val="24"/>
        </w:rPr>
        <w:t>r</w:t>
      </w:r>
      <w:r w:rsidR="004479F4" w:rsidRPr="00F50C10">
        <w:rPr>
          <w:rFonts w:cs="Times New Roman"/>
          <w:szCs w:val="24"/>
        </w:rPr>
        <w:t>.</w:t>
      </w:r>
      <w:r w:rsidRPr="00F50C10">
        <w:rPr>
          <w:rFonts w:cs="Times New Roman"/>
          <w:szCs w:val="24"/>
        </w:rPr>
        <w:t xml:space="preserve"> </w:t>
      </w:r>
    </w:p>
    <w:p w14:paraId="51EB63D1" w14:textId="111912FA" w:rsidR="000F3B99" w:rsidRPr="00F50C10" w:rsidRDefault="000F3B99" w:rsidP="000B206D">
      <w:pPr>
        <w:widowControl w:val="0"/>
        <w:tabs>
          <w:tab w:val="left" w:pos="2220"/>
        </w:tabs>
        <w:autoSpaceDE w:val="0"/>
        <w:autoSpaceDN w:val="0"/>
        <w:spacing w:after="120" w:line="276" w:lineRule="auto"/>
        <w:ind w:right="23"/>
        <w:rPr>
          <w:rFonts w:cs="Times New Roman"/>
          <w:b/>
          <w:bCs/>
          <w:szCs w:val="24"/>
        </w:rPr>
      </w:pPr>
      <w:r w:rsidRPr="00F50C10">
        <w:rPr>
          <w:rFonts w:cs="Times New Roman"/>
          <w:b/>
          <w:bCs/>
          <w:szCs w:val="24"/>
        </w:rPr>
        <w:t xml:space="preserve">MET 40: </w:t>
      </w:r>
      <w:r w:rsidRPr="00F50C10">
        <w:rPr>
          <w:rFonts w:cs="Times New Roman"/>
          <w:szCs w:val="24"/>
        </w:rPr>
        <w:t xml:space="preserve">Enerji tasarrufu amacıyla fırınlarda kalsinasyon ve sıcak </w:t>
      </w:r>
      <w:r w:rsidR="004479F4" w:rsidRPr="00F50C10">
        <w:rPr>
          <w:rFonts w:cs="Times New Roman"/>
          <w:szCs w:val="24"/>
        </w:rPr>
        <w:t>çıkış</w:t>
      </w:r>
      <w:r w:rsidRPr="00F50C10">
        <w:rPr>
          <w:rFonts w:cs="Times New Roman"/>
          <w:szCs w:val="24"/>
        </w:rPr>
        <w:t xml:space="preserve"> gaz geri dönüşümü öncesinde, TiO</w:t>
      </w:r>
      <w:r w:rsidRPr="00F50C10">
        <w:rPr>
          <w:rFonts w:cs="Times New Roman"/>
          <w:szCs w:val="24"/>
          <w:vertAlign w:val="subscript"/>
        </w:rPr>
        <w:t>2</w:t>
      </w:r>
      <w:r w:rsidRPr="00F50C10">
        <w:rPr>
          <w:rFonts w:cs="Times New Roman"/>
          <w:szCs w:val="24"/>
        </w:rPr>
        <w:t xml:space="preserve"> pigmentlerinin kalitesinden ödün vermeden enerji kullanımını en aza indiren, basınçlı filtre gibi kalsinasyon sistemleri kullanılır</w:t>
      </w:r>
      <w:r w:rsidR="004479F4" w:rsidRPr="00F50C10">
        <w:rPr>
          <w:rFonts w:cs="Times New Roman"/>
          <w:szCs w:val="24"/>
        </w:rPr>
        <w:t>.</w:t>
      </w:r>
    </w:p>
    <w:p w14:paraId="4E6121F1" w14:textId="765A2B86" w:rsidR="000F3B99" w:rsidRPr="00F50C10" w:rsidRDefault="000F3B99" w:rsidP="000B206D">
      <w:pPr>
        <w:widowControl w:val="0"/>
        <w:tabs>
          <w:tab w:val="left" w:pos="2220"/>
        </w:tabs>
        <w:autoSpaceDE w:val="0"/>
        <w:autoSpaceDN w:val="0"/>
        <w:spacing w:after="120" w:line="276" w:lineRule="auto"/>
        <w:ind w:right="23"/>
        <w:rPr>
          <w:rFonts w:cs="Times New Roman"/>
          <w:b/>
          <w:bCs/>
          <w:szCs w:val="24"/>
        </w:rPr>
      </w:pPr>
      <w:r w:rsidRPr="00F50C10">
        <w:rPr>
          <w:rFonts w:cs="Times New Roman"/>
          <w:b/>
          <w:bCs/>
          <w:szCs w:val="24"/>
        </w:rPr>
        <w:t xml:space="preserve">MET 41: </w:t>
      </w:r>
      <w:r w:rsidRPr="00F50C10">
        <w:rPr>
          <w:rFonts w:cs="Times New Roman"/>
          <w:szCs w:val="24"/>
        </w:rPr>
        <w:t xml:space="preserve">Kalsinatör </w:t>
      </w:r>
      <w:r w:rsidR="00513E90" w:rsidRPr="00F50C10">
        <w:rPr>
          <w:rFonts w:cs="Times New Roman"/>
          <w:szCs w:val="24"/>
        </w:rPr>
        <w:t>çıkış</w:t>
      </w:r>
      <w:r w:rsidRPr="00F50C10">
        <w:rPr>
          <w:rFonts w:cs="Times New Roman"/>
          <w:szCs w:val="24"/>
        </w:rPr>
        <w:t xml:space="preserve"> gazı işleminde, genelde toz ve SO</w:t>
      </w:r>
      <w:r w:rsidRPr="00F50C10">
        <w:rPr>
          <w:rFonts w:cs="Times New Roman"/>
          <w:szCs w:val="24"/>
          <w:vertAlign w:val="subscript"/>
        </w:rPr>
        <w:t>3</w:t>
      </w:r>
      <w:r w:rsidRPr="00F50C10">
        <w:rPr>
          <w:rFonts w:cs="Times New Roman"/>
          <w:szCs w:val="24"/>
        </w:rPr>
        <w:t xml:space="preserve"> aerosolü elektrostatik </w:t>
      </w:r>
      <w:r w:rsidR="00513E90" w:rsidRPr="00F50C10">
        <w:rPr>
          <w:rFonts w:cs="Times New Roman"/>
          <w:szCs w:val="24"/>
        </w:rPr>
        <w:t>filtrelerle</w:t>
      </w:r>
      <w:r w:rsidRPr="00F50C10">
        <w:rPr>
          <w:rFonts w:cs="Times New Roman"/>
          <w:szCs w:val="24"/>
        </w:rPr>
        <w:t xml:space="preserve"> giderilirken, gazın SO</w:t>
      </w:r>
      <w:r w:rsidRPr="00F50C10">
        <w:rPr>
          <w:rFonts w:cs="Times New Roman"/>
          <w:szCs w:val="24"/>
          <w:vertAlign w:val="subscript"/>
        </w:rPr>
        <w:t>2</w:t>
      </w:r>
      <w:r w:rsidRPr="00F50C10">
        <w:rPr>
          <w:rFonts w:cs="Times New Roman"/>
          <w:szCs w:val="24"/>
        </w:rPr>
        <w:t xml:space="preserve"> bileşeninin katalitik olarak SO</w:t>
      </w:r>
      <w:r w:rsidRPr="00F50C10">
        <w:rPr>
          <w:rFonts w:cs="Times New Roman"/>
          <w:szCs w:val="24"/>
          <w:vertAlign w:val="subscript"/>
        </w:rPr>
        <w:t>3</w:t>
      </w:r>
      <w:r w:rsidRPr="00F50C10">
        <w:rPr>
          <w:rFonts w:cs="Times New Roman"/>
          <w:szCs w:val="24"/>
        </w:rPr>
        <w:t xml:space="preserve">’e yükseltgendiği ve daha sonra geri dönüşümü sağlanan sülfürik asit oluşturmak üzere absorbe edildiği sistem uygulanır. İlgili MET İES’ler </w:t>
      </w:r>
      <w:r w:rsidRPr="00F50C10">
        <w:rPr>
          <w:rFonts w:cs="Times New Roman"/>
          <w:szCs w:val="24"/>
        </w:rPr>
        <w:fldChar w:fldCharType="begin"/>
      </w:r>
      <w:r w:rsidRPr="00F50C10">
        <w:rPr>
          <w:rFonts w:cs="Times New Roman"/>
          <w:szCs w:val="24"/>
        </w:rPr>
        <w:instrText xml:space="preserve"> REF _Ref137107493 \h  \* MERGEFORMAT </w:instrText>
      </w:r>
      <w:r w:rsidRPr="00F50C10">
        <w:rPr>
          <w:rFonts w:cs="Times New Roman"/>
          <w:szCs w:val="24"/>
        </w:rPr>
      </w:r>
      <w:r w:rsidRPr="00F50C10">
        <w:rPr>
          <w:rFonts w:cs="Times New Roman"/>
          <w:szCs w:val="24"/>
        </w:rPr>
        <w:fldChar w:fldCharType="separate"/>
      </w:r>
      <w:r w:rsidRPr="00F50C10">
        <w:rPr>
          <w:rFonts w:cs="Times New Roman"/>
          <w:szCs w:val="24"/>
        </w:rPr>
        <w:t xml:space="preserve">Tablo </w:t>
      </w:r>
      <w:r w:rsidRPr="00F50C10">
        <w:rPr>
          <w:rFonts w:cs="Times New Roman"/>
          <w:noProof/>
          <w:szCs w:val="24"/>
        </w:rPr>
        <w:t>3</w:t>
      </w:r>
      <w:r w:rsidRPr="00F50C10">
        <w:rPr>
          <w:rFonts w:cs="Times New Roman"/>
          <w:szCs w:val="24"/>
        </w:rPr>
        <w:fldChar w:fldCharType="end"/>
      </w:r>
      <w:r w:rsidRPr="00F50C10">
        <w:rPr>
          <w:rFonts w:cs="Times New Roman"/>
          <w:szCs w:val="24"/>
        </w:rPr>
        <w:t>'te verilmiştir.</w:t>
      </w:r>
    </w:p>
    <w:p w14:paraId="7F5FEC4B" w14:textId="37EB06BE" w:rsidR="000F3B99" w:rsidRPr="00F50C10" w:rsidRDefault="000F3B99" w:rsidP="000B206D">
      <w:pPr>
        <w:widowControl w:val="0"/>
        <w:tabs>
          <w:tab w:val="left" w:pos="2220"/>
        </w:tabs>
        <w:autoSpaceDE w:val="0"/>
        <w:autoSpaceDN w:val="0"/>
        <w:spacing w:after="120" w:line="276" w:lineRule="auto"/>
        <w:ind w:right="23"/>
        <w:rPr>
          <w:rFonts w:cs="Times New Roman"/>
          <w:b/>
          <w:bCs/>
          <w:szCs w:val="24"/>
        </w:rPr>
      </w:pPr>
      <w:r w:rsidRPr="00F50C10">
        <w:rPr>
          <w:rFonts w:cs="Times New Roman"/>
          <w:b/>
          <w:bCs/>
          <w:szCs w:val="24"/>
        </w:rPr>
        <w:t xml:space="preserve">MET 42: </w:t>
      </w:r>
      <w:r w:rsidRPr="00F50C10">
        <w:rPr>
          <w:rFonts w:cs="Times New Roman"/>
          <w:szCs w:val="24"/>
        </w:rPr>
        <w:t>Tamamı sülfat prosesi ile TiO</w:t>
      </w:r>
      <w:r w:rsidRPr="00F50C10">
        <w:rPr>
          <w:rFonts w:cs="Times New Roman"/>
          <w:szCs w:val="24"/>
          <w:vertAlign w:val="subscript"/>
        </w:rPr>
        <w:t>2</w:t>
      </w:r>
      <w:r w:rsidRPr="00F50C10">
        <w:rPr>
          <w:rFonts w:cs="Times New Roman"/>
          <w:szCs w:val="24"/>
        </w:rPr>
        <w:t xml:space="preserve"> imalatında muhtemel </w:t>
      </w:r>
      <w:r w:rsidR="00513E90" w:rsidRPr="00F50C10">
        <w:rPr>
          <w:rFonts w:cs="Times New Roman"/>
          <w:szCs w:val="24"/>
        </w:rPr>
        <w:t>eş</w:t>
      </w:r>
      <w:r w:rsidRPr="00F50C10">
        <w:rPr>
          <w:rFonts w:cs="Times New Roman"/>
          <w:szCs w:val="24"/>
        </w:rPr>
        <w:t xml:space="preserve"> ürünl</w:t>
      </w:r>
      <w:r w:rsidR="00513E90" w:rsidRPr="00F50C10">
        <w:rPr>
          <w:rFonts w:cs="Times New Roman"/>
          <w:szCs w:val="24"/>
        </w:rPr>
        <w:t>er</w:t>
      </w:r>
      <w:r w:rsidRPr="00F50C10">
        <w:rPr>
          <w:rFonts w:cs="Times New Roman"/>
          <w:szCs w:val="24"/>
        </w:rPr>
        <w:t xml:space="preserve"> ol</w:t>
      </w:r>
      <w:r w:rsidR="00513E90" w:rsidRPr="00F50C10">
        <w:rPr>
          <w:rFonts w:cs="Times New Roman"/>
          <w:szCs w:val="24"/>
        </w:rPr>
        <w:t>an</w:t>
      </w:r>
      <w:r w:rsidRPr="00F50C10">
        <w:rPr>
          <w:rFonts w:cs="Times New Roman"/>
          <w:szCs w:val="24"/>
        </w:rPr>
        <w:t xml:space="preserve"> demir sülfat, ferrik sülfat, demir oksit ve diğer bakırla ilgili ürünler</w:t>
      </w:r>
      <w:r w:rsidR="00513E90" w:rsidRPr="00F50C10">
        <w:rPr>
          <w:rFonts w:cs="Times New Roman"/>
          <w:szCs w:val="24"/>
        </w:rPr>
        <w:t>in</w:t>
      </w:r>
      <w:r w:rsidRPr="00F50C10">
        <w:rPr>
          <w:rFonts w:cs="Times New Roman"/>
          <w:szCs w:val="24"/>
        </w:rPr>
        <w:t xml:space="preserve"> </w:t>
      </w:r>
      <w:r w:rsidR="00513E90" w:rsidRPr="00F50C10">
        <w:rPr>
          <w:rFonts w:cs="Times New Roman"/>
          <w:szCs w:val="24"/>
        </w:rPr>
        <w:t>yanı sıra,</w:t>
      </w:r>
      <w:r w:rsidRPr="00F50C10">
        <w:rPr>
          <w:rFonts w:cs="Times New Roman"/>
          <w:szCs w:val="24"/>
        </w:rPr>
        <w:t xml:space="preserve"> yeniden yoğunlaştırılmış sülfürik asit ve alçı geri kazanım ve üretimi desteklenir</w:t>
      </w:r>
      <w:r w:rsidR="00672E8E" w:rsidRPr="00F50C10">
        <w:rPr>
          <w:rFonts w:cs="Times New Roman"/>
          <w:szCs w:val="24"/>
        </w:rPr>
        <w:t>.</w:t>
      </w:r>
    </w:p>
    <w:p w14:paraId="1DF8FFF8" w14:textId="5DB3EE9D" w:rsidR="000F3B99" w:rsidRPr="00F50C10" w:rsidRDefault="000F3B99" w:rsidP="000B206D">
      <w:pPr>
        <w:widowControl w:val="0"/>
        <w:tabs>
          <w:tab w:val="left" w:pos="2220"/>
        </w:tabs>
        <w:autoSpaceDE w:val="0"/>
        <w:autoSpaceDN w:val="0"/>
        <w:spacing w:after="120" w:line="276" w:lineRule="auto"/>
        <w:ind w:right="23"/>
        <w:rPr>
          <w:rFonts w:cs="Times New Roman"/>
          <w:szCs w:val="24"/>
        </w:rPr>
      </w:pPr>
      <w:r w:rsidRPr="00F50C10">
        <w:rPr>
          <w:rFonts w:cs="Times New Roman"/>
          <w:b/>
          <w:bCs/>
          <w:szCs w:val="24"/>
        </w:rPr>
        <w:t xml:space="preserve">MET 43: </w:t>
      </w:r>
      <w:r w:rsidRPr="00F50C10">
        <w:rPr>
          <w:rFonts w:cs="Times New Roman"/>
          <w:szCs w:val="24"/>
        </w:rPr>
        <w:t>TiO</w:t>
      </w:r>
      <w:r w:rsidRPr="00F50C10">
        <w:rPr>
          <w:rFonts w:cs="Times New Roman"/>
          <w:szCs w:val="24"/>
          <w:vertAlign w:val="subscript"/>
        </w:rPr>
        <w:t>2</w:t>
      </w:r>
      <w:r w:rsidRPr="00F50C10">
        <w:rPr>
          <w:rFonts w:cs="Times New Roman"/>
          <w:szCs w:val="24"/>
        </w:rPr>
        <w:t xml:space="preserve"> tozunun ve bitim işlemlerinden kaynaklanan sıvı atıklarda TiO</w:t>
      </w:r>
      <w:r w:rsidRPr="00F50C10">
        <w:rPr>
          <w:rFonts w:cs="Times New Roman"/>
          <w:szCs w:val="24"/>
          <w:vertAlign w:val="subscript"/>
        </w:rPr>
        <w:t>2</w:t>
      </w:r>
      <w:r w:rsidRPr="00F50C10">
        <w:rPr>
          <w:rFonts w:cs="Times New Roman"/>
          <w:szCs w:val="24"/>
        </w:rPr>
        <w:t xml:space="preserve"> partikülleri deşarjı en aza indirilir</w:t>
      </w:r>
      <w:r w:rsidR="00672E8E" w:rsidRPr="00F50C10">
        <w:rPr>
          <w:rFonts w:cs="Times New Roman"/>
          <w:szCs w:val="24"/>
        </w:rPr>
        <w:t>.</w:t>
      </w:r>
      <w:r w:rsidRPr="00F50C10">
        <w:rPr>
          <w:rFonts w:cs="Times New Roman"/>
          <w:szCs w:val="24"/>
        </w:rPr>
        <w:t xml:space="preserve"> İlgili MET İES’ler </w:t>
      </w:r>
      <w:r w:rsidRPr="00F50C10">
        <w:rPr>
          <w:rFonts w:cs="Times New Roman"/>
          <w:szCs w:val="24"/>
        </w:rPr>
        <w:fldChar w:fldCharType="begin"/>
      </w:r>
      <w:r w:rsidRPr="00F50C10">
        <w:rPr>
          <w:rFonts w:cs="Times New Roman"/>
          <w:szCs w:val="24"/>
        </w:rPr>
        <w:instrText xml:space="preserve"> REF _Ref137107493 \h  \* MERGEFORMAT </w:instrText>
      </w:r>
      <w:r w:rsidRPr="00F50C10">
        <w:rPr>
          <w:rFonts w:cs="Times New Roman"/>
          <w:szCs w:val="24"/>
        </w:rPr>
      </w:r>
      <w:r w:rsidRPr="00F50C10">
        <w:rPr>
          <w:rFonts w:cs="Times New Roman"/>
          <w:szCs w:val="24"/>
        </w:rPr>
        <w:fldChar w:fldCharType="separate"/>
      </w:r>
      <w:r w:rsidRPr="00F50C10">
        <w:rPr>
          <w:rFonts w:cs="Times New Roman"/>
          <w:szCs w:val="24"/>
        </w:rPr>
        <w:t xml:space="preserve">Tablo </w:t>
      </w:r>
      <w:r w:rsidRPr="00F50C10">
        <w:rPr>
          <w:rFonts w:cs="Times New Roman"/>
          <w:noProof/>
          <w:szCs w:val="24"/>
        </w:rPr>
        <w:t>3</w:t>
      </w:r>
      <w:r w:rsidRPr="00F50C10">
        <w:rPr>
          <w:rFonts w:cs="Times New Roman"/>
          <w:szCs w:val="24"/>
        </w:rPr>
        <w:fldChar w:fldCharType="end"/>
      </w:r>
      <w:r w:rsidRPr="00F50C10">
        <w:rPr>
          <w:rFonts w:cs="Times New Roman"/>
          <w:szCs w:val="24"/>
        </w:rPr>
        <w:t xml:space="preserve"> ve </w:t>
      </w:r>
      <w:r w:rsidRPr="00F50C10">
        <w:rPr>
          <w:rFonts w:cs="Times New Roman"/>
          <w:szCs w:val="24"/>
        </w:rPr>
        <w:fldChar w:fldCharType="begin"/>
      </w:r>
      <w:r w:rsidRPr="00F50C10">
        <w:rPr>
          <w:rFonts w:cs="Times New Roman"/>
          <w:szCs w:val="24"/>
        </w:rPr>
        <w:instrText xml:space="preserve"> REF _Ref137107546 \h  \* MERGEFORMAT </w:instrText>
      </w:r>
      <w:r w:rsidRPr="00F50C10">
        <w:rPr>
          <w:rFonts w:cs="Times New Roman"/>
          <w:szCs w:val="24"/>
        </w:rPr>
      </w:r>
      <w:r w:rsidRPr="00F50C10">
        <w:rPr>
          <w:rFonts w:cs="Times New Roman"/>
          <w:szCs w:val="24"/>
        </w:rPr>
        <w:fldChar w:fldCharType="separate"/>
      </w:r>
      <w:r w:rsidRPr="00F50C10">
        <w:rPr>
          <w:rFonts w:cs="Times New Roman"/>
          <w:szCs w:val="24"/>
        </w:rPr>
        <w:t xml:space="preserve">Tablo </w:t>
      </w:r>
      <w:r w:rsidRPr="00F50C10">
        <w:rPr>
          <w:rFonts w:cs="Times New Roman"/>
          <w:noProof/>
          <w:szCs w:val="24"/>
        </w:rPr>
        <w:t>4</w:t>
      </w:r>
      <w:r w:rsidRPr="00F50C10">
        <w:rPr>
          <w:rFonts w:cs="Times New Roman"/>
          <w:szCs w:val="24"/>
        </w:rPr>
        <w:fldChar w:fldCharType="end"/>
      </w:r>
      <w:r w:rsidRPr="00F50C10">
        <w:rPr>
          <w:rFonts w:cs="Times New Roman"/>
          <w:szCs w:val="24"/>
        </w:rPr>
        <w:t>'te verilmiştir.</w:t>
      </w:r>
    </w:p>
    <w:p w14:paraId="74809758" w14:textId="5C12ED52" w:rsidR="000F3B99" w:rsidRPr="00F50C10" w:rsidRDefault="000F3B99" w:rsidP="000B206D">
      <w:pPr>
        <w:widowControl w:val="0"/>
        <w:tabs>
          <w:tab w:val="left" w:pos="2220"/>
        </w:tabs>
        <w:autoSpaceDE w:val="0"/>
        <w:autoSpaceDN w:val="0"/>
        <w:spacing w:after="120" w:line="276" w:lineRule="auto"/>
        <w:ind w:right="23"/>
        <w:rPr>
          <w:rFonts w:cs="Times New Roman"/>
          <w:b/>
          <w:bCs/>
          <w:szCs w:val="24"/>
        </w:rPr>
      </w:pPr>
      <w:r w:rsidRPr="00F50C10">
        <w:rPr>
          <w:rFonts w:cs="Times New Roman"/>
          <w:b/>
          <w:bCs/>
          <w:szCs w:val="24"/>
        </w:rPr>
        <w:t xml:space="preserve">MET 44: </w:t>
      </w:r>
      <w:r w:rsidRPr="00F50C10">
        <w:rPr>
          <w:rFonts w:cs="Times New Roman"/>
          <w:szCs w:val="24"/>
        </w:rPr>
        <w:t xml:space="preserve">Sülfat prosesinde toplam enerji verimliliğinin </w:t>
      </w:r>
      <w:r w:rsidR="00513E90" w:rsidRPr="00F50C10">
        <w:rPr>
          <w:rFonts w:cs="Times New Roman"/>
          <w:szCs w:val="24"/>
        </w:rPr>
        <w:t>TiO</w:t>
      </w:r>
      <w:r w:rsidR="00513E90" w:rsidRPr="00F50C10">
        <w:rPr>
          <w:rFonts w:cs="Times New Roman"/>
          <w:szCs w:val="24"/>
          <w:vertAlign w:val="subscript"/>
        </w:rPr>
        <w:t>2</w:t>
      </w:r>
      <w:r w:rsidR="00513E90" w:rsidRPr="00F50C10">
        <w:rPr>
          <w:rFonts w:cs="Times New Roman"/>
          <w:szCs w:val="24"/>
        </w:rPr>
        <w:t xml:space="preserve"> pigmenti için </w:t>
      </w:r>
      <w:r w:rsidRPr="00F50C10">
        <w:rPr>
          <w:rFonts w:cs="Times New Roman"/>
          <w:szCs w:val="24"/>
        </w:rPr>
        <w:t>23 – 41 GJ/t aralığına (tam kapasitede çalıştırılan tesislerde)</w:t>
      </w:r>
      <w:r w:rsidR="00672E8E" w:rsidRPr="00F50C10">
        <w:rPr>
          <w:rFonts w:cs="Times New Roman"/>
          <w:szCs w:val="24"/>
        </w:rPr>
        <w:t xml:space="preserve"> </w:t>
      </w:r>
      <w:r w:rsidRPr="00F50C10">
        <w:rPr>
          <w:rFonts w:cs="Times New Roman"/>
          <w:szCs w:val="24"/>
        </w:rPr>
        <w:t>ve buradan aşağıdaki aralıklara yükseltilmesidir:</w:t>
      </w:r>
    </w:p>
    <w:p w14:paraId="043B0B66" w14:textId="77777777" w:rsidR="000F3B99" w:rsidRPr="00F50C10" w:rsidRDefault="000F3B99" w:rsidP="00A654AE">
      <w:pPr>
        <w:pStyle w:val="ListeParagraf"/>
        <w:widowControl w:val="0"/>
        <w:numPr>
          <w:ilvl w:val="0"/>
          <w:numId w:val="111"/>
        </w:numPr>
        <w:tabs>
          <w:tab w:val="left" w:pos="1509"/>
          <w:tab w:val="left" w:pos="1510"/>
        </w:tabs>
        <w:autoSpaceDE w:val="0"/>
        <w:autoSpaceDN w:val="0"/>
        <w:spacing w:after="120" w:line="276" w:lineRule="auto"/>
        <w:ind w:left="714" w:hanging="357"/>
        <w:jc w:val="left"/>
        <w:rPr>
          <w:rFonts w:cs="Times New Roman"/>
          <w:szCs w:val="24"/>
        </w:rPr>
      </w:pPr>
      <w:r w:rsidRPr="00F50C10">
        <w:rPr>
          <w:rFonts w:cs="Times New Roman"/>
          <w:szCs w:val="24"/>
        </w:rPr>
        <w:t>sülfürik asit nötralizasyonunu içeren proseste 23 – 29 GJ/t TiO</w:t>
      </w:r>
      <w:r w:rsidRPr="00F50C10">
        <w:rPr>
          <w:rFonts w:cs="Times New Roman"/>
          <w:szCs w:val="24"/>
          <w:vertAlign w:val="subscript"/>
        </w:rPr>
        <w:t>2</w:t>
      </w:r>
      <w:r w:rsidRPr="00F50C10">
        <w:rPr>
          <w:rFonts w:cs="Times New Roman"/>
          <w:szCs w:val="24"/>
        </w:rPr>
        <w:t xml:space="preserve"> pigmenti</w:t>
      </w:r>
    </w:p>
    <w:p w14:paraId="6831086A" w14:textId="77777777" w:rsidR="000F3B99" w:rsidRPr="00F50C10" w:rsidRDefault="000F3B99" w:rsidP="00A654AE">
      <w:pPr>
        <w:pStyle w:val="ListeParagraf"/>
        <w:widowControl w:val="0"/>
        <w:numPr>
          <w:ilvl w:val="0"/>
          <w:numId w:val="111"/>
        </w:numPr>
        <w:tabs>
          <w:tab w:val="left" w:pos="1509"/>
          <w:tab w:val="left" w:pos="1510"/>
        </w:tabs>
        <w:autoSpaceDE w:val="0"/>
        <w:autoSpaceDN w:val="0"/>
        <w:spacing w:after="120" w:line="276" w:lineRule="auto"/>
        <w:ind w:left="714" w:hanging="357"/>
        <w:jc w:val="left"/>
        <w:rPr>
          <w:rFonts w:cs="Times New Roman"/>
          <w:szCs w:val="24"/>
        </w:rPr>
      </w:pPr>
      <w:r w:rsidRPr="00F50C10">
        <w:rPr>
          <w:rFonts w:cs="Times New Roman"/>
          <w:szCs w:val="24"/>
        </w:rPr>
        <w:t>sülfürik asit yeniden yoğunlaştırılmasını içeren proseste 33 – 41 GJ/t TiO</w:t>
      </w:r>
      <w:r w:rsidRPr="00F50C10">
        <w:rPr>
          <w:rFonts w:cs="Times New Roman"/>
          <w:szCs w:val="24"/>
          <w:vertAlign w:val="subscript"/>
        </w:rPr>
        <w:t>2</w:t>
      </w:r>
      <w:r w:rsidRPr="00F50C10">
        <w:rPr>
          <w:rFonts w:cs="Times New Roman"/>
          <w:szCs w:val="24"/>
        </w:rPr>
        <w:t xml:space="preserve"> pigmenti.</w:t>
      </w:r>
    </w:p>
    <w:p w14:paraId="3C1CCBD6" w14:textId="7AE634DF" w:rsidR="000F3B99" w:rsidRPr="00F50C10" w:rsidRDefault="000F3B99" w:rsidP="000B206D">
      <w:pPr>
        <w:widowControl w:val="0"/>
        <w:tabs>
          <w:tab w:val="left" w:pos="2220"/>
        </w:tabs>
        <w:autoSpaceDE w:val="0"/>
        <w:autoSpaceDN w:val="0"/>
        <w:spacing w:after="120" w:line="276" w:lineRule="auto"/>
        <w:ind w:right="23"/>
        <w:rPr>
          <w:rFonts w:cs="Times New Roman"/>
          <w:szCs w:val="24"/>
        </w:rPr>
      </w:pPr>
      <w:r w:rsidRPr="00F50C10">
        <w:rPr>
          <w:rFonts w:cs="Times New Roman"/>
          <w:szCs w:val="24"/>
        </w:rPr>
        <w:t>Asit nötralizasyonu ve/veya asit yeniden yoğunlaştırılması için AB TiO</w:t>
      </w:r>
      <w:r w:rsidRPr="00F50C10">
        <w:rPr>
          <w:rFonts w:cs="Times New Roman"/>
          <w:szCs w:val="24"/>
          <w:vertAlign w:val="subscript"/>
        </w:rPr>
        <w:t>2</w:t>
      </w:r>
      <w:r w:rsidRPr="00F50C10">
        <w:rPr>
          <w:rFonts w:cs="Times New Roman"/>
          <w:szCs w:val="24"/>
        </w:rPr>
        <w:t xml:space="preserve"> sanayisi genelinde kullanılan farklı sistem kombinasyonları dikkate alındığında, yukarıda </w:t>
      </w:r>
      <w:r w:rsidR="00513E90" w:rsidRPr="00F50C10">
        <w:rPr>
          <w:rFonts w:cs="Times New Roman"/>
          <w:szCs w:val="24"/>
        </w:rPr>
        <w:t>a</w:t>
      </w:r>
      <w:r w:rsidRPr="00F50C10">
        <w:rPr>
          <w:rFonts w:cs="Times New Roman"/>
          <w:szCs w:val="24"/>
        </w:rPr>
        <w:t xml:space="preserve">) ve </w:t>
      </w:r>
      <w:r w:rsidR="00513E90" w:rsidRPr="00F50C10">
        <w:rPr>
          <w:rFonts w:cs="Times New Roman"/>
          <w:szCs w:val="24"/>
        </w:rPr>
        <w:t>b</w:t>
      </w:r>
      <w:r w:rsidRPr="00F50C10">
        <w:rPr>
          <w:rFonts w:cs="Times New Roman"/>
          <w:szCs w:val="24"/>
        </w:rPr>
        <w:t>) madde</w:t>
      </w:r>
      <w:r w:rsidR="00513E90" w:rsidRPr="00F50C10">
        <w:rPr>
          <w:rFonts w:cs="Times New Roman"/>
          <w:szCs w:val="24"/>
        </w:rPr>
        <w:t>lerin</w:t>
      </w:r>
      <w:r w:rsidRPr="00F50C10">
        <w:rPr>
          <w:rFonts w:cs="Times New Roman"/>
          <w:szCs w:val="24"/>
        </w:rPr>
        <w:t>de belirtilen uç aralıklar yalnızca ilgili TiO</w:t>
      </w:r>
      <w:r w:rsidRPr="00F50C10">
        <w:rPr>
          <w:rFonts w:cs="Times New Roman"/>
          <w:szCs w:val="24"/>
          <w:vertAlign w:val="subscript"/>
        </w:rPr>
        <w:t>2</w:t>
      </w:r>
      <w:r w:rsidRPr="00F50C10">
        <w:rPr>
          <w:rFonts w:cs="Times New Roman"/>
          <w:szCs w:val="24"/>
        </w:rPr>
        <w:t xml:space="preserve"> tesisindeki toplam enerji verimliliğinin tahmini için gösterge seviyeler olarak geçerli olmaktadır.</w:t>
      </w:r>
    </w:p>
    <w:p w14:paraId="37C497DA" w14:textId="4D0D9E47" w:rsidR="000F3B99" w:rsidRPr="00F50C10" w:rsidRDefault="000F3B99" w:rsidP="000B206D">
      <w:pPr>
        <w:widowControl w:val="0"/>
        <w:tabs>
          <w:tab w:val="left" w:pos="2220"/>
        </w:tabs>
        <w:autoSpaceDE w:val="0"/>
        <w:autoSpaceDN w:val="0"/>
        <w:spacing w:after="120" w:line="276" w:lineRule="auto"/>
        <w:ind w:right="23"/>
        <w:rPr>
          <w:rFonts w:cs="Times New Roman"/>
          <w:szCs w:val="24"/>
        </w:rPr>
      </w:pPr>
      <w:r w:rsidRPr="00F50C10">
        <w:rPr>
          <w:rFonts w:cs="Times New Roman"/>
          <w:szCs w:val="24"/>
        </w:rPr>
        <w:t>Ayrıca, son işlem bölümünün toplam enerjinin büyük bölümünü (10 – 15 GJ/t TiO</w:t>
      </w:r>
      <w:r w:rsidRPr="00F50C10">
        <w:rPr>
          <w:rFonts w:cs="Times New Roman"/>
          <w:szCs w:val="24"/>
          <w:vertAlign w:val="subscript"/>
        </w:rPr>
        <w:t>2</w:t>
      </w:r>
      <w:r w:rsidRPr="00F50C10">
        <w:rPr>
          <w:rFonts w:cs="Times New Roman"/>
          <w:szCs w:val="24"/>
        </w:rPr>
        <w:t xml:space="preserve"> pigmenti aralığında) kullandığı ve enerji kullanımının büyük ölçüde son ürünün özelliklerine bağlı olduğu unutulmamalıdır. Müşteri spesifikasyonund</w:t>
      </w:r>
      <w:r w:rsidR="00EA5D19" w:rsidRPr="00F50C10">
        <w:rPr>
          <w:rFonts w:cs="Times New Roman"/>
          <w:szCs w:val="24"/>
        </w:rPr>
        <w:t>a</w:t>
      </w:r>
      <w:r w:rsidRPr="00F50C10">
        <w:rPr>
          <w:rFonts w:cs="Times New Roman"/>
          <w:szCs w:val="24"/>
        </w:rPr>
        <w:t xml:space="preserve"> son pigment ürününde daha ince tane boyu istenmesi halinde bitirme işlemlerinde enerjinin artırılması gerekir.</w:t>
      </w:r>
    </w:p>
    <w:p w14:paraId="0C024823" w14:textId="7E33525B" w:rsidR="000F3B99" w:rsidRPr="00F50C10" w:rsidRDefault="00513E90" w:rsidP="000B206D">
      <w:pPr>
        <w:pStyle w:val="ResimYazs"/>
        <w:keepNext/>
        <w:spacing w:after="120" w:line="276" w:lineRule="auto"/>
        <w:rPr>
          <w:rFonts w:cs="Times New Roman"/>
          <w:szCs w:val="24"/>
        </w:rPr>
      </w:pPr>
      <w:r w:rsidRPr="00F50C10">
        <w:rPr>
          <w:rFonts w:cs="Times New Roman"/>
          <w:szCs w:val="24"/>
        </w:rPr>
        <w:t xml:space="preserve">Tablo 3. </w:t>
      </w:r>
      <w:r w:rsidR="000F3B99" w:rsidRPr="00F50C10">
        <w:rPr>
          <w:rFonts w:cs="Times New Roman"/>
          <w:szCs w:val="24"/>
        </w:rPr>
        <w:t>MET’in uygulanmasıyla ilişkili havaya verilen toplam emisyon seviyeleri (sülfat prosesine dayalı titanyum dioksit tesisinin tüm muhtemel konfigürasyonlarında)</w:t>
      </w:r>
    </w:p>
    <w:tbl>
      <w:tblPr>
        <w:tblStyle w:val="TabloKlavuzu"/>
        <w:tblW w:w="5000" w:type="pct"/>
        <w:tblLook w:val="04A0" w:firstRow="1" w:lastRow="0" w:firstColumn="1" w:lastColumn="0" w:noHBand="0" w:noVBand="1"/>
      </w:tblPr>
      <w:tblGrid>
        <w:gridCol w:w="4655"/>
        <w:gridCol w:w="4655"/>
      </w:tblGrid>
      <w:tr w:rsidR="000F3B99" w:rsidRPr="00F50C10" w14:paraId="64933317" w14:textId="77777777" w:rsidTr="00116C54">
        <w:trPr>
          <w:trHeight w:val="20"/>
          <w:tblHeader/>
        </w:trPr>
        <w:tc>
          <w:tcPr>
            <w:tcW w:w="2500" w:type="pct"/>
            <w:vAlign w:val="center"/>
          </w:tcPr>
          <w:p w14:paraId="4E961432"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b/>
                <w:bCs/>
                <w:szCs w:val="24"/>
              </w:rPr>
              <w:t>Parametre</w:t>
            </w:r>
          </w:p>
        </w:tc>
        <w:tc>
          <w:tcPr>
            <w:tcW w:w="2500" w:type="pct"/>
            <w:vAlign w:val="center"/>
          </w:tcPr>
          <w:p w14:paraId="6E91A5D1"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b/>
                <w:bCs/>
                <w:szCs w:val="24"/>
              </w:rPr>
              <w:t>Toplam Emisyon Seviyesi</w:t>
            </w:r>
          </w:p>
        </w:tc>
      </w:tr>
      <w:tr w:rsidR="000F3B99" w:rsidRPr="00F50C10" w14:paraId="662DB1BE" w14:textId="77777777" w:rsidTr="00116C54">
        <w:trPr>
          <w:trHeight w:val="20"/>
        </w:trPr>
        <w:tc>
          <w:tcPr>
            <w:tcW w:w="2500" w:type="pct"/>
            <w:vAlign w:val="center"/>
          </w:tcPr>
          <w:p w14:paraId="7E1BF668"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szCs w:val="24"/>
              </w:rPr>
              <w:t>Toz/partikül madde</w:t>
            </w:r>
          </w:p>
        </w:tc>
        <w:tc>
          <w:tcPr>
            <w:tcW w:w="2500" w:type="pct"/>
            <w:vAlign w:val="center"/>
          </w:tcPr>
          <w:p w14:paraId="11C8FA0E"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szCs w:val="24"/>
              </w:rPr>
              <w:t>0,004 – 0,45 kg/t TiO</w:t>
            </w:r>
            <w:r w:rsidRPr="00F50C10">
              <w:rPr>
                <w:rFonts w:cs="Times New Roman"/>
                <w:szCs w:val="24"/>
                <w:vertAlign w:val="subscript"/>
              </w:rPr>
              <w:t>2</w:t>
            </w:r>
            <w:r w:rsidRPr="00F50C10">
              <w:rPr>
                <w:rFonts w:cs="Times New Roman"/>
                <w:szCs w:val="24"/>
              </w:rPr>
              <w:t xml:space="preserve"> pigmenti </w:t>
            </w:r>
            <w:r w:rsidRPr="00F50C10">
              <w:rPr>
                <w:rFonts w:cs="Times New Roman"/>
                <w:szCs w:val="24"/>
              </w:rPr>
              <w:br/>
              <w:t>&lt;5 – 20 mg/Nm</w:t>
            </w:r>
            <w:r w:rsidRPr="00F50C10">
              <w:rPr>
                <w:rFonts w:cs="Times New Roman"/>
                <w:szCs w:val="24"/>
                <w:vertAlign w:val="superscript"/>
              </w:rPr>
              <w:t>3</w:t>
            </w:r>
          </w:p>
        </w:tc>
      </w:tr>
      <w:tr w:rsidR="000F3B99" w:rsidRPr="00F50C10" w14:paraId="35F20853" w14:textId="77777777" w:rsidTr="00116C54">
        <w:trPr>
          <w:trHeight w:val="20"/>
        </w:trPr>
        <w:tc>
          <w:tcPr>
            <w:tcW w:w="2500" w:type="pct"/>
            <w:vAlign w:val="center"/>
          </w:tcPr>
          <w:p w14:paraId="0208AAE2"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szCs w:val="24"/>
              </w:rPr>
              <w:t>SO</w:t>
            </w:r>
            <w:r w:rsidRPr="00F50C10">
              <w:rPr>
                <w:rFonts w:cs="Times New Roman"/>
                <w:szCs w:val="24"/>
                <w:vertAlign w:val="subscript"/>
              </w:rPr>
              <w:t>2</w:t>
            </w:r>
          </w:p>
        </w:tc>
        <w:tc>
          <w:tcPr>
            <w:tcW w:w="2500" w:type="pct"/>
            <w:vAlign w:val="center"/>
          </w:tcPr>
          <w:p w14:paraId="21903FF3"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szCs w:val="24"/>
              </w:rPr>
              <w:t>1,0 – 6,0 kg/t TiO</w:t>
            </w:r>
            <w:r w:rsidRPr="00F50C10">
              <w:rPr>
                <w:rFonts w:cs="Times New Roman"/>
                <w:szCs w:val="24"/>
                <w:vertAlign w:val="subscript"/>
              </w:rPr>
              <w:t>2</w:t>
            </w:r>
            <w:r w:rsidRPr="00F50C10">
              <w:rPr>
                <w:rFonts w:cs="Times New Roman"/>
                <w:szCs w:val="24"/>
              </w:rPr>
              <w:t xml:space="preserve"> pigmenti</w:t>
            </w:r>
          </w:p>
        </w:tc>
      </w:tr>
      <w:tr w:rsidR="000F3B99" w:rsidRPr="00F50C10" w14:paraId="2B1DA849" w14:textId="77777777" w:rsidTr="00116C54">
        <w:trPr>
          <w:trHeight w:val="20"/>
        </w:trPr>
        <w:tc>
          <w:tcPr>
            <w:tcW w:w="2500" w:type="pct"/>
            <w:vAlign w:val="center"/>
          </w:tcPr>
          <w:p w14:paraId="213627BA"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szCs w:val="24"/>
              </w:rPr>
              <w:t>NO</w:t>
            </w:r>
            <w:r w:rsidRPr="00F50C10">
              <w:rPr>
                <w:rFonts w:cs="Times New Roman"/>
                <w:szCs w:val="24"/>
                <w:vertAlign w:val="subscript"/>
              </w:rPr>
              <w:t>2</w:t>
            </w:r>
          </w:p>
        </w:tc>
        <w:tc>
          <w:tcPr>
            <w:tcW w:w="2500" w:type="pct"/>
            <w:vAlign w:val="center"/>
          </w:tcPr>
          <w:p w14:paraId="359EE0AA"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szCs w:val="24"/>
              </w:rPr>
              <w:t>kalsinatör NO</w:t>
            </w:r>
            <w:r w:rsidRPr="00F50C10">
              <w:rPr>
                <w:rFonts w:cs="Times New Roman"/>
                <w:szCs w:val="24"/>
                <w:vertAlign w:val="subscript"/>
              </w:rPr>
              <w:t>X</w:t>
            </w:r>
            <w:r w:rsidRPr="00F50C10">
              <w:rPr>
                <w:rFonts w:cs="Times New Roman"/>
                <w:szCs w:val="24"/>
              </w:rPr>
              <w:t xml:space="preserve"> emisyonları izlemesi*</w:t>
            </w:r>
          </w:p>
        </w:tc>
      </w:tr>
      <w:tr w:rsidR="000F3B99" w:rsidRPr="00F50C10" w14:paraId="2328F6F9" w14:textId="77777777" w:rsidTr="00116C54">
        <w:trPr>
          <w:trHeight w:val="20"/>
        </w:trPr>
        <w:tc>
          <w:tcPr>
            <w:tcW w:w="2500" w:type="pct"/>
            <w:vAlign w:val="center"/>
          </w:tcPr>
          <w:p w14:paraId="2BCDB9C9"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szCs w:val="24"/>
              </w:rPr>
              <w:t>H</w:t>
            </w:r>
            <w:r w:rsidRPr="00F50C10">
              <w:rPr>
                <w:rFonts w:cs="Times New Roman"/>
                <w:szCs w:val="24"/>
                <w:vertAlign w:val="subscript"/>
              </w:rPr>
              <w:t>2</w:t>
            </w:r>
            <w:r w:rsidRPr="00F50C10">
              <w:rPr>
                <w:rFonts w:cs="Times New Roman"/>
                <w:szCs w:val="24"/>
              </w:rPr>
              <w:t>S</w:t>
            </w:r>
          </w:p>
        </w:tc>
        <w:tc>
          <w:tcPr>
            <w:tcW w:w="2500" w:type="pct"/>
            <w:vAlign w:val="center"/>
          </w:tcPr>
          <w:p w14:paraId="0E5D0F84"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szCs w:val="24"/>
              </w:rPr>
              <w:t>0,003 – 0,05 kg/t TiO</w:t>
            </w:r>
            <w:r w:rsidRPr="00F50C10">
              <w:rPr>
                <w:rFonts w:cs="Times New Roman"/>
                <w:szCs w:val="24"/>
                <w:vertAlign w:val="subscript"/>
              </w:rPr>
              <w:t>2</w:t>
            </w:r>
            <w:r w:rsidRPr="00F50C10">
              <w:rPr>
                <w:rFonts w:cs="Times New Roman"/>
                <w:szCs w:val="24"/>
              </w:rPr>
              <w:t xml:space="preserve"> pigmenti</w:t>
            </w:r>
          </w:p>
        </w:tc>
      </w:tr>
      <w:tr w:rsidR="000F3B99" w:rsidRPr="00F50C10" w14:paraId="4E6C1EC7" w14:textId="77777777" w:rsidTr="00116C54">
        <w:trPr>
          <w:trHeight w:val="20"/>
        </w:trPr>
        <w:tc>
          <w:tcPr>
            <w:tcW w:w="5000" w:type="pct"/>
            <w:gridSpan w:val="2"/>
            <w:vAlign w:val="center"/>
          </w:tcPr>
          <w:p w14:paraId="759774E3" w14:textId="77777777" w:rsidR="000F3B99" w:rsidRPr="00F50C10" w:rsidRDefault="000F3B99" w:rsidP="000B206D">
            <w:pPr>
              <w:widowControl w:val="0"/>
              <w:tabs>
                <w:tab w:val="left" w:pos="2220"/>
              </w:tabs>
              <w:autoSpaceDE w:val="0"/>
              <w:autoSpaceDN w:val="0"/>
              <w:spacing w:line="276" w:lineRule="auto"/>
              <w:ind w:right="23"/>
              <w:jc w:val="left"/>
              <w:rPr>
                <w:rFonts w:cs="Times New Roman"/>
                <w:b/>
                <w:bCs/>
                <w:i/>
                <w:iCs/>
                <w:szCs w:val="24"/>
              </w:rPr>
            </w:pPr>
            <w:r w:rsidRPr="00F50C10">
              <w:rPr>
                <w:rFonts w:cs="Times New Roman"/>
                <w:i/>
                <w:iCs/>
                <w:szCs w:val="24"/>
              </w:rPr>
              <w:t>(*) Bu sanayide herhangi bir birincil önlem uygulandığına dair kanıt yoktur. NO</w:t>
            </w:r>
            <w:r w:rsidRPr="00F50C10">
              <w:rPr>
                <w:rFonts w:cs="Times New Roman"/>
                <w:i/>
                <w:iCs/>
                <w:szCs w:val="24"/>
                <w:vertAlign w:val="subscript"/>
              </w:rPr>
              <w:t>X</w:t>
            </w:r>
            <w:r w:rsidRPr="00F50C10">
              <w:rPr>
                <w:rFonts w:cs="Times New Roman"/>
                <w:i/>
                <w:iCs/>
                <w:szCs w:val="24"/>
              </w:rPr>
              <w:t xml:space="preserve"> izlemesi, gelecekteki işlemlere ilişkin temelin bulunmasına yardımcı olabilecektir.</w:t>
            </w:r>
          </w:p>
        </w:tc>
      </w:tr>
    </w:tbl>
    <w:p w14:paraId="24E58AF1" w14:textId="50FF1F79" w:rsidR="000F3B99" w:rsidRPr="00F50C10" w:rsidRDefault="00513E90" w:rsidP="000B206D">
      <w:pPr>
        <w:pStyle w:val="ResimYazs"/>
        <w:keepNext/>
        <w:spacing w:after="120" w:line="276" w:lineRule="auto"/>
        <w:rPr>
          <w:rFonts w:cs="Times New Roman"/>
          <w:szCs w:val="24"/>
        </w:rPr>
      </w:pPr>
      <w:r w:rsidRPr="00F50C10">
        <w:rPr>
          <w:rFonts w:cs="Times New Roman"/>
          <w:szCs w:val="24"/>
        </w:rPr>
        <w:t xml:space="preserve">Tablo 4. </w:t>
      </w:r>
      <w:r w:rsidR="000F3B99" w:rsidRPr="00F50C10">
        <w:rPr>
          <w:rFonts w:cs="Times New Roman"/>
          <w:szCs w:val="24"/>
        </w:rPr>
        <w:t>MET’in uygulanmasıyla ilişkili suya verilen toplam emisyon seviyeleri (sülfat prosesine dayalı titanyum dioksit tesisinin tüm muhtemel konfigürasyonlarında)</w:t>
      </w:r>
    </w:p>
    <w:tbl>
      <w:tblPr>
        <w:tblStyle w:val="TabloKlavuzu"/>
        <w:tblW w:w="0" w:type="auto"/>
        <w:tblLook w:val="04A0" w:firstRow="1" w:lastRow="0" w:firstColumn="1" w:lastColumn="0" w:noHBand="0" w:noVBand="1"/>
      </w:tblPr>
      <w:tblGrid>
        <w:gridCol w:w="4551"/>
        <w:gridCol w:w="4552"/>
      </w:tblGrid>
      <w:tr w:rsidR="000F3B99" w:rsidRPr="00F50C10" w14:paraId="363B92CD" w14:textId="77777777" w:rsidTr="00116C54">
        <w:trPr>
          <w:trHeight w:val="20"/>
          <w:tblHeader/>
        </w:trPr>
        <w:tc>
          <w:tcPr>
            <w:tcW w:w="4551" w:type="dxa"/>
            <w:vAlign w:val="center"/>
          </w:tcPr>
          <w:p w14:paraId="15100071"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b/>
                <w:bCs/>
                <w:szCs w:val="24"/>
              </w:rPr>
              <w:t>Parametre</w:t>
            </w:r>
          </w:p>
        </w:tc>
        <w:tc>
          <w:tcPr>
            <w:tcW w:w="4552" w:type="dxa"/>
            <w:vAlign w:val="center"/>
          </w:tcPr>
          <w:p w14:paraId="21EDAE11"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b/>
                <w:bCs/>
                <w:szCs w:val="24"/>
              </w:rPr>
              <w:t>Toplam Emisyon Seviyesi</w:t>
            </w:r>
          </w:p>
        </w:tc>
      </w:tr>
      <w:tr w:rsidR="000F3B99" w:rsidRPr="00F50C10" w14:paraId="28DBDEBD" w14:textId="77777777" w:rsidTr="00116C54">
        <w:trPr>
          <w:trHeight w:val="20"/>
        </w:trPr>
        <w:tc>
          <w:tcPr>
            <w:tcW w:w="4551" w:type="dxa"/>
            <w:vAlign w:val="center"/>
          </w:tcPr>
          <w:p w14:paraId="267B8709"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szCs w:val="24"/>
              </w:rPr>
              <w:t>SO</w:t>
            </w:r>
            <w:r w:rsidRPr="00F50C10">
              <w:rPr>
                <w:rFonts w:cs="Times New Roman"/>
                <w:szCs w:val="24"/>
                <w:vertAlign w:val="subscript"/>
              </w:rPr>
              <w:t>4</w:t>
            </w:r>
            <w:r w:rsidRPr="00F50C10">
              <w:rPr>
                <w:rFonts w:cs="Times New Roman"/>
                <w:szCs w:val="24"/>
              </w:rPr>
              <w:t xml:space="preserve"> toplamı</w:t>
            </w:r>
          </w:p>
        </w:tc>
        <w:tc>
          <w:tcPr>
            <w:tcW w:w="4552" w:type="dxa"/>
            <w:vAlign w:val="center"/>
          </w:tcPr>
          <w:p w14:paraId="6BF81F76"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szCs w:val="24"/>
              </w:rPr>
              <w:t>100 – 550 kg/t TiO</w:t>
            </w:r>
            <w:r w:rsidRPr="00F50C10">
              <w:rPr>
                <w:rFonts w:cs="Times New Roman"/>
                <w:szCs w:val="24"/>
                <w:vertAlign w:val="subscript"/>
              </w:rPr>
              <w:t>2</w:t>
            </w:r>
            <w:r w:rsidRPr="00F50C10">
              <w:rPr>
                <w:rFonts w:cs="Times New Roman"/>
                <w:szCs w:val="24"/>
              </w:rPr>
              <w:t xml:space="preserve"> pigmenti</w:t>
            </w:r>
          </w:p>
        </w:tc>
      </w:tr>
      <w:tr w:rsidR="000F3B99" w:rsidRPr="00F50C10" w14:paraId="6FCA9B87" w14:textId="77777777" w:rsidTr="00116C54">
        <w:trPr>
          <w:trHeight w:val="20"/>
        </w:trPr>
        <w:tc>
          <w:tcPr>
            <w:tcW w:w="4551" w:type="dxa"/>
            <w:vAlign w:val="center"/>
          </w:tcPr>
          <w:p w14:paraId="15FCCFA8"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szCs w:val="24"/>
              </w:rPr>
              <w:t>Askıda katı maddeler</w:t>
            </w:r>
          </w:p>
        </w:tc>
        <w:tc>
          <w:tcPr>
            <w:tcW w:w="4552" w:type="dxa"/>
            <w:vAlign w:val="center"/>
          </w:tcPr>
          <w:p w14:paraId="1EB70F17"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szCs w:val="24"/>
              </w:rPr>
              <w:t>1,0 – 40 kg/t TiO</w:t>
            </w:r>
            <w:r w:rsidRPr="00F50C10">
              <w:rPr>
                <w:rFonts w:cs="Times New Roman"/>
                <w:szCs w:val="24"/>
                <w:vertAlign w:val="subscript"/>
              </w:rPr>
              <w:t>2</w:t>
            </w:r>
            <w:r w:rsidRPr="00F50C10">
              <w:rPr>
                <w:rFonts w:cs="Times New Roman"/>
                <w:szCs w:val="24"/>
              </w:rPr>
              <w:t xml:space="preserve"> pigmenti</w:t>
            </w:r>
          </w:p>
        </w:tc>
      </w:tr>
      <w:tr w:rsidR="000F3B99" w:rsidRPr="00F50C10" w14:paraId="36D8A6CD" w14:textId="77777777" w:rsidTr="00116C54">
        <w:trPr>
          <w:trHeight w:val="20"/>
        </w:trPr>
        <w:tc>
          <w:tcPr>
            <w:tcW w:w="4551" w:type="dxa"/>
            <w:vAlign w:val="center"/>
          </w:tcPr>
          <w:p w14:paraId="4ABD7065"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szCs w:val="24"/>
              </w:rPr>
              <w:t>Demir bileşikleri (Fe)</w:t>
            </w:r>
          </w:p>
        </w:tc>
        <w:tc>
          <w:tcPr>
            <w:tcW w:w="4552" w:type="dxa"/>
            <w:vAlign w:val="center"/>
          </w:tcPr>
          <w:p w14:paraId="608DB153"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szCs w:val="24"/>
              </w:rPr>
              <w:t>0,3 – 125 kg/t TiO</w:t>
            </w:r>
            <w:r w:rsidRPr="00F50C10">
              <w:rPr>
                <w:rFonts w:cs="Times New Roman"/>
                <w:szCs w:val="24"/>
                <w:vertAlign w:val="subscript"/>
              </w:rPr>
              <w:t>2</w:t>
            </w:r>
            <w:r w:rsidRPr="00F50C10">
              <w:rPr>
                <w:rFonts w:cs="Times New Roman"/>
                <w:szCs w:val="24"/>
              </w:rPr>
              <w:t xml:space="preserve"> pigmenti</w:t>
            </w:r>
          </w:p>
        </w:tc>
      </w:tr>
      <w:tr w:rsidR="000F3B99" w:rsidRPr="00F50C10" w14:paraId="319EB959" w14:textId="77777777" w:rsidTr="00116C54">
        <w:trPr>
          <w:trHeight w:val="20"/>
        </w:trPr>
        <w:tc>
          <w:tcPr>
            <w:tcW w:w="4551" w:type="dxa"/>
            <w:vAlign w:val="center"/>
          </w:tcPr>
          <w:p w14:paraId="3083E4A9"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szCs w:val="24"/>
              </w:rPr>
              <w:t>Cıva (Hg)</w:t>
            </w:r>
          </w:p>
        </w:tc>
        <w:tc>
          <w:tcPr>
            <w:tcW w:w="4552" w:type="dxa"/>
            <w:vAlign w:val="center"/>
          </w:tcPr>
          <w:p w14:paraId="4EE7E73C"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szCs w:val="24"/>
              </w:rPr>
              <w:t>0,32 mg – 1,5 g/t TiO</w:t>
            </w:r>
            <w:r w:rsidRPr="00F50C10">
              <w:rPr>
                <w:rFonts w:cs="Times New Roman"/>
                <w:szCs w:val="24"/>
                <w:vertAlign w:val="subscript"/>
              </w:rPr>
              <w:t>2</w:t>
            </w:r>
            <w:r w:rsidRPr="00F50C10">
              <w:rPr>
                <w:rFonts w:cs="Times New Roman"/>
                <w:szCs w:val="24"/>
              </w:rPr>
              <w:t xml:space="preserve"> pigmenti</w:t>
            </w:r>
          </w:p>
        </w:tc>
      </w:tr>
      <w:tr w:rsidR="000F3B99" w:rsidRPr="00F50C10" w14:paraId="4DB887A4" w14:textId="77777777" w:rsidTr="00116C54">
        <w:trPr>
          <w:trHeight w:val="20"/>
        </w:trPr>
        <w:tc>
          <w:tcPr>
            <w:tcW w:w="4551" w:type="dxa"/>
            <w:vAlign w:val="center"/>
          </w:tcPr>
          <w:p w14:paraId="313948ED"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szCs w:val="24"/>
              </w:rPr>
              <w:t>Kadmiyum (Cd)</w:t>
            </w:r>
          </w:p>
        </w:tc>
        <w:tc>
          <w:tcPr>
            <w:tcW w:w="4552" w:type="dxa"/>
            <w:vAlign w:val="center"/>
          </w:tcPr>
          <w:p w14:paraId="7DAF6B69" w14:textId="77777777" w:rsidR="000F3B99" w:rsidRPr="00F50C10" w:rsidRDefault="000F3B99" w:rsidP="000B206D">
            <w:pPr>
              <w:widowControl w:val="0"/>
              <w:tabs>
                <w:tab w:val="left" w:pos="2220"/>
              </w:tabs>
              <w:autoSpaceDE w:val="0"/>
              <w:autoSpaceDN w:val="0"/>
              <w:spacing w:line="276" w:lineRule="auto"/>
              <w:ind w:right="23"/>
              <w:jc w:val="center"/>
              <w:rPr>
                <w:rFonts w:cs="Times New Roman"/>
                <w:b/>
                <w:bCs/>
                <w:szCs w:val="24"/>
              </w:rPr>
            </w:pPr>
            <w:r w:rsidRPr="00F50C10">
              <w:rPr>
                <w:rFonts w:cs="Times New Roman"/>
                <w:szCs w:val="24"/>
              </w:rPr>
              <w:t>1,0 mg – 2,0 g/t TiO</w:t>
            </w:r>
            <w:r w:rsidRPr="00F50C10">
              <w:rPr>
                <w:rFonts w:cs="Times New Roman"/>
                <w:szCs w:val="24"/>
                <w:vertAlign w:val="subscript"/>
              </w:rPr>
              <w:t>2</w:t>
            </w:r>
            <w:r w:rsidRPr="00F50C10">
              <w:rPr>
                <w:rFonts w:cs="Times New Roman"/>
                <w:szCs w:val="24"/>
              </w:rPr>
              <w:t xml:space="preserve"> pigmenti</w:t>
            </w:r>
          </w:p>
        </w:tc>
      </w:tr>
    </w:tbl>
    <w:p w14:paraId="3B387904" w14:textId="0F423699" w:rsidR="000F3B99" w:rsidRPr="00F50C10" w:rsidRDefault="000F3B99" w:rsidP="00A654AE">
      <w:pPr>
        <w:pStyle w:val="Balk1"/>
        <w:numPr>
          <w:ilvl w:val="0"/>
          <w:numId w:val="147"/>
        </w:numPr>
        <w:spacing w:line="276" w:lineRule="auto"/>
        <w:rPr>
          <w:rFonts w:cs="Times New Roman"/>
          <w:szCs w:val="24"/>
        </w:rPr>
      </w:pPr>
      <w:r w:rsidRPr="00F50C10">
        <w:rPr>
          <w:rFonts w:cs="Times New Roman"/>
          <w:szCs w:val="24"/>
        </w:rPr>
        <w:t>KARBON S</w:t>
      </w:r>
      <w:r w:rsidR="00DB713F" w:rsidRPr="00F50C10">
        <w:rPr>
          <w:rFonts w:cs="Times New Roman"/>
          <w:szCs w:val="24"/>
        </w:rPr>
        <w:t>İYAHI</w:t>
      </w:r>
    </w:p>
    <w:p w14:paraId="00877183" w14:textId="20A97304" w:rsidR="000F3B99" w:rsidRPr="00F50C10" w:rsidRDefault="000F3B99" w:rsidP="000B206D">
      <w:pPr>
        <w:spacing w:after="120" w:line="276" w:lineRule="auto"/>
        <w:rPr>
          <w:rFonts w:cs="Times New Roman"/>
          <w:szCs w:val="24"/>
        </w:rPr>
      </w:pPr>
      <w:r w:rsidRPr="00F50C10">
        <w:rPr>
          <w:rFonts w:cs="Times New Roman"/>
          <w:b/>
          <w:bCs/>
          <w:szCs w:val="24"/>
        </w:rPr>
        <w:t xml:space="preserve">MET 45: </w:t>
      </w:r>
      <w:r w:rsidRPr="00F50C10">
        <w:rPr>
          <w:rFonts w:cs="Times New Roman"/>
          <w:szCs w:val="24"/>
        </w:rPr>
        <w:t>Düşük kükürtlü hammadde kullanılır</w:t>
      </w:r>
      <w:r w:rsidR="00E515D6" w:rsidRPr="00F50C10">
        <w:rPr>
          <w:rFonts w:cs="Times New Roman"/>
          <w:szCs w:val="24"/>
        </w:rPr>
        <w:t>.</w:t>
      </w:r>
    </w:p>
    <w:p w14:paraId="671A6702" w14:textId="6D119455" w:rsidR="000F3B99" w:rsidRPr="00F50C10" w:rsidRDefault="000F3B99" w:rsidP="000B206D">
      <w:pPr>
        <w:spacing w:after="120" w:line="276" w:lineRule="auto"/>
        <w:rPr>
          <w:rFonts w:cs="Times New Roman"/>
          <w:szCs w:val="24"/>
        </w:rPr>
      </w:pPr>
      <w:r w:rsidRPr="00F50C10">
        <w:rPr>
          <w:rFonts w:cs="Times New Roman"/>
          <w:szCs w:val="24"/>
        </w:rPr>
        <w:t>Yıllık ortalama olarak %0,5 - 1,5 aralığında kükürt içeriğine sahip düşük kükürtlü birincil hammadde kullanı</w:t>
      </w:r>
      <w:r w:rsidR="00EA5D19" w:rsidRPr="00F50C10">
        <w:rPr>
          <w:rFonts w:cs="Times New Roman"/>
          <w:szCs w:val="24"/>
        </w:rPr>
        <w:t>lır</w:t>
      </w:r>
      <w:r w:rsidRPr="00F50C10">
        <w:rPr>
          <w:rFonts w:cs="Times New Roman"/>
          <w:szCs w:val="24"/>
        </w:rPr>
        <w:t>.</w:t>
      </w:r>
    </w:p>
    <w:p w14:paraId="7AEEAF4F" w14:textId="77777777" w:rsidR="000F3B99" w:rsidRPr="00F50C10" w:rsidRDefault="000F3B99" w:rsidP="000B206D">
      <w:pPr>
        <w:spacing w:after="120" w:line="276" w:lineRule="auto"/>
        <w:rPr>
          <w:rFonts w:cs="Times New Roman"/>
          <w:szCs w:val="24"/>
        </w:rPr>
      </w:pPr>
      <w:r w:rsidRPr="00F50C10">
        <w:rPr>
          <w:rFonts w:cs="Times New Roman"/>
          <w:szCs w:val="24"/>
        </w:rPr>
        <w:t>Karşılık gelen MET’e özgü özgül emisyon seviyesi, yıllık ortalama olarak, üretilen kauçuk sınıfı karbon siyahı tonu başına 10 – 50 kg SO</w:t>
      </w:r>
      <w:r w:rsidRPr="00F50C10">
        <w:rPr>
          <w:rFonts w:cs="Times New Roman"/>
          <w:szCs w:val="24"/>
          <w:vertAlign w:val="subscript"/>
        </w:rPr>
        <w:t>x</w:t>
      </w:r>
      <w:r w:rsidRPr="00F50C10">
        <w:rPr>
          <w:rFonts w:cs="Times New Roman"/>
          <w:szCs w:val="24"/>
        </w:rPr>
        <w:t>’tir (SO</w:t>
      </w:r>
      <w:r w:rsidRPr="00F50C10">
        <w:rPr>
          <w:rFonts w:cs="Times New Roman"/>
          <w:szCs w:val="24"/>
          <w:vertAlign w:val="subscript"/>
        </w:rPr>
        <w:t>2</w:t>
      </w:r>
      <w:r w:rsidRPr="00F50C10">
        <w:rPr>
          <w:rFonts w:cs="Times New Roman"/>
          <w:szCs w:val="24"/>
        </w:rPr>
        <w:t xml:space="preserve"> olarak). Bu seviyeler, ikincil hammaddenin doğal gaz olduğu varsayılarak elde edilmektedir. Diğer sıvı veya gazlı hidrokarbonlar da kullanılabilmektedir.</w:t>
      </w:r>
    </w:p>
    <w:p w14:paraId="31C87178" w14:textId="77777777" w:rsidR="000F3B99" w:rsidRPr="00F50C10" w:rsidRDefault="000F3B99" w:rsidP="000B206D">
      <w:pPr>
        <w:spacing w:after="120" w:line="276" w:lineRule="auto"/>
        <w:rPr>
          <w:rFonts w:cs="Times New Roman"/>
          <w:szCs w:val="24"/>
        </w:rPr>
      </w:pPr>
      <w:r w:rsidRPr="00F50C10">
        <w:rPr>
          <w:rFonts w:cs="Times New Roman"/>
          <w:szCs w:val="24"/>
        </w:rPr>
        <w:t>Özel sınıf karbon siyahı (yüksek yüzey pigmentli siyahlar) üretiminde, daha yüksek emisyon seviyeleri beklenmektedir.</w:t>
      </w:r>
    </w:p>
    <w:p w14:paraId="71B5E786" w14:textId="6F7B2877"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46: </w:t>
      </w:r>
      <w:r w:rsidRPr="00F50C10">
        <w:rPr>
          <w:rFonts w:cs="Times New Roman"/>
          <w:szCs w:val="24"/>
        </w:rPr>
        <w:t>Enerji tasarrufu için proseste gerekli olan hava</w:t>
      </w:r>
      <w:r w:rsidR="00672E8E" w:rsidRPr="00F50C10">
        <w:rPr>
          <w:rFonts w:cs="Times New Roman"/>
          <w:szCs w:val="24"/>
        </w:rPr>
        <w:t>ya</w:t>
      </w:r>
      <w:r w:rsidRPr="00F50C10">
        <w:rPr>
          <w:rFonts w:cs="Times New Roman"/>
          <w:szCs w:val="24"/>
        </w:rPr>
        <w:t xml:space="preserve"> ön </w:t>
      </w:r>
      <w:r w:rsidR="00672E8E" w:rsidRPr="00F50C10">
        <w:rPr>
          <w:rFonts w:cs="Times New Roman"/>
          <w:szCs w:val="24"/>
        </w:rPr>
        <w:t>ısıtma uygulanır</w:t>
      </w:r>
      <w:r w:rsidRPr="00F50C10">
        <w:rPr>
          <w:rFonts w:cs="Times New Roman"/>
          <w:szCs w:val="24"/>
        </w:rPr>
        <w:t>. Proseste ihtiyaç duyulan havanın, ısı eşanjörlerinde, fırın siyahı reaktöründen çıkan sıcak gazlarla (karbon siyahı içeren) ön ısıtma sağlan</w:t>
      </w:r>
      <w:r w:rsidR="00EA5D19" w:rsidRPr="00F50C10">
        <w:rPr>
          <w:rFonts w:cs="Times New Roman"/>
          <w:szCs w:val="24"/>
        </w:rPr>
        <w:t>ı</w:t>
      </w:r>
      <w:r w:rsidRPr="00F50C10">
        <w:rPr>
          <w:rFonts w:cs="Times New Roman"/>
          <w:szCs w:val="24"/>
        </w:rPr>
        <w:t>r.</w:t>
      </w:r>
    </w:p>
    <w:p w14:paraId="6A800533" w14:textId="2299D4D2" w:rsidR="000F3B99" w:rsidRPr="00F50C10" w:rsidRDefault="000F3B99" w:rsidP="000B206D">
      <w:pPr>
        <w:spacing w:after="120" w:line="276" w:lineRule="auto"/>
        <w:rPr>
          <w:rFonts w:cs="Times New Roman"/>
          <w:szCs w:val="24"/>
        </w:rPr>
      </w:pPr>
      <w:r w:rsidRPr="00F50C10">
        <w:rPr>
          <w:rFonts w:cs="Times New Roman"/>
          <w:b/>
          <w:bCs/>
          <w:szCs w:val="24"/>
        </w:rPr>
        <w:t xml:space="preserve">MET 47: </w:t>
      </w:r>
      <w:r w:rsidRPr="00F50C10">
        <w:rPr>
          <w:rFonts w:cs="Times New Roman"/>
          <w:szCs w:val="24"/>
        </w:rPr>
        <w:t>Karbon siyahı toplama sisteminde, en uygun işletim parametreleri sürdürül</w:t>
      </w:r>
      <w:r w:rsidR="00EA5D19" w:rsidRPr="00F50C10">
        <w:rPr>
          <w:rFonts w:cs="Times New Roman"/>
          <w:szCs w:val="24"/>
        </w:rPr>
        <w:t>ü</w:t>
      </w:r>
      <w:r w:rsidRPr="00F50C10">
        <w:rPr>
          <w:rFonts w:cs="Times New Roman"/>
          <w:szCs w:val="24"/>
        </w:rPr>
        <w:t>r. Yüksek karbon siyahı toplama verimliliği ve filtrelenen atık gazda minimum artık karbon siyahı ürün kayıpları</w:t>
      </w:r>
      <w:r w:rsidR="00EA5D19" w:rsidRPr="00F50C10">
        <w:rPr>
          <w:rFonts w:cs="Times New Roman"/>
          <w:szCs w:val="24"/>
        </w:rPr>
        <w:t>na</w:t>
      </w:r>
      <w:r w:rsidRPr="00F50C10">
        <w:rPr>
          <w:rFonts w:cs="Times New Roman"/>
          <w:szCs w:val="24"/>
        </w:rPr>
        <w:t xml:space="preserve"> </w:t>
      </w:r>
      <w:r w:rsidR="00EA5D19" w:rsidRPr="00F50C10">
        <w:rPr>
          <w:rFonts w:cs="Times New Roman"/>
          <w:szCs w:val="24"/>
        </w:rPr>
        <w:t>ulaşmak</w:t>
      </w:r>
      <w:r w:rsidRPr="00F50C10">
        <w:rPr>
          <w:rFonts w:cs="Times New Roman"/>
          <w:szCs w:val="24"/>
        </w:rPr>
        <w:t xml:space="preserve"> için yüksek performanslı bir </w:t>
      </w:r>
      <w:r w:rsidR="00EA5D19" w:rsidRPr="00F50C10">
        <w:rPr>
          <w:rFonts w:cs="Times New Roman"/>
          <w:szCs w:val="24"/>
        </w:rPr>
        <w:t>bez</w:t>
      </w:r>
      <w:r w:rsidRPr="00F50C10">
        <w:rPr>
          <w:rFonts w:cs="Times New Roman"/>
          <w:szCs w:val="24"/>
        </w:rPr>
        <w:t xml:space="preserve"> filtrenin </w:t>
      </w:r>
      <w:r w:rsidR="00EA5D19" w:rsidRPr="00F50C10">
        <w:rPr>
          <w:rFonts w:cs="Times New Roman"/>
          <w:szCs w:val="24"/>
        </w:rPr>
        <w:t>uygulanır.</w:t>
      </w:r>
    </w:p>
    <w:p w14:paraId="4C5469BE" w14:textId="713E2C5F"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48: </w:t>
      </w:r>
      <w:r w:rsidRPr="00F50C10">
        <w:rPr>
          <w:rFonts w:cs="Times New Roman"/>
          <w:szCs w:val="24"/>
        </w:rPr>
        <w:t>Atık gazın enerji içeriği kullanılır</w:t>
      </w:r>
      <w:r w:rsidR="00672E8E" w:rsidRPr="00F50C10">
        <w:rPr>
          <w:rFonts w:cs="Times New Roman"/>
          <w:szCs w:val="24"/>
        </w:rPr>
        <w:t xml:space="preserve">. </w:t>
      </w:r>
      <w:r w:rsidRPr="00F50C10">
        <w:rPr>
          <w:rFonts w:cs="Times New Roman"/>
          <w:szCs w:val="24"/>
        </w:rPr>
        <w:t xml:space="preserve">Yeni tesislerde, bu yön, enerji geri kazanımı için en büyük potansiyeli sunduğundan karbon siyahı tesisi için yer seçiminden önce göz önüne alınmalıdır. Muhtemel pazarlanabilir ürünler, güç, buhar, sıcak su ve </w:t>
      </w:r>
      <w:r w:rsidR="00EA5D19" w:rsidRPr="00F50C10">
        <w:rPr>
          <w:rFonts w:cs="Times New Roman"/>
          <w:szCs w:val="24"/>
        </w:rPr>
        <w:t>atık</w:t>
      </w:r>
      <w:r w:rsidRPr="00F50C10">
        <w:rPr>
          <w:rFonts w:cs="Times New Roman"/>
          <w:szCs w:val="24"/>
        </w:rPr>
        <w:t xml:space="preserve"> gazı</w:t>
      </w:r>
      <w:r w:rsidR="00EA5D19" w:rsidRPr="00F50C10">
        <w:rPr>
          <w:rFonts w:cs="Times New Roman"/>
          <w:szCs w:val="24"/>
        </w:rPr>
        <w:t>n</w:t>
      </w:r>
      <w:r w:rsidRPr="00F50C10">
        <w:rPr>
          <w:rFonts w:cs="Times New Roman"/>
          <w:szCs w:val="24"/>
        </w:rPr>
        <w:t xml:space="preserve"> kendisidir.</w:t>
      </w:r>
    </w:p>
    <w:p w14:paraId="5D696D4C" w14:textId="609B7C1B" w:rsidR="000F3B99" w:rsidRPr="00F50C10" w:rsidRDefault="000F3B99" w:rsidP="000B206D">
      <w:pPr>
        <w:spacing w:after="120" w:line="276" w:lineRule="auto"/>
        <w:rPr>
          <w:rFonts w:cs="Times New Roman"/>
          <w:szCs w:val="24"/>
        </w:rPr>
      </w:pPr>
      <w:r w:rsidRPr="00F50C10">
        <w:rPr>
          <w:rFonts w:cs="Times New Roman"/>
          <w:szCs w:val="24"/>
        </w:rPr>
        <w:t>Alev bacasında olduğu gibi, enerji geri kazanımı olmadan, geriye kalan atık gazın yakılması yalnızca, ekonomik olarak uygulanabilir tüm enerji geri kazanım olanakları tüketildiğinde göz önüne alınabilmektedir</w:t>
      </w:r>
      <w:r w:rsidR="00E515D6" w:rsidRPr="00F50C10">
        <w:rPr>
          <w:rFonts w:cs="Times New Roman"/>
          <w:szCs w:val="24"/>
        </w:rPr>
        <w:t>.</w:t>
      </w:r>
    </w:p>
    <w:p w14:paraId="3092DD31" w14:textId="63BF1079"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49: </w:t>
      </w:r>
      <w:r w:rsidRPr="00F50C10">
        <w:rPr>
          <w:rFonts w:cs="Times New Roman"/>
          <w:szCs w:val="24"/>
        </w:rPr>
        <w:t>Enerji üretim sistemlerinde artık gazın yakılmasından kaynaklanan baca gazının NO</w:t>
      </w:r>
      <w:r w:rsidRPr="00F50C10">
        <w:rPr>
          <w:rFonts w:cs="Times New Roman"/>
          <w:szCs w:val="24"/>
          <w:vertAlign w:val="subscript"/>
        </w:rPr>
        <w:t>x</w:t>
      </w:r>
      <w:r w:rsidRPr="00F50C10">
        <w:rPr>
          <w:rFonts w:cs="Times New Roman"/>
          <w:szCs w:val="24"/>
        </w:rPr>
        <w:t xml:space="preserve"> içeriğini azaltmak için birincil NO</w:t>
      </w:r>
      <w:r w:rsidRPr="00F50C10">
        <w:rPr>
          <w:rFonts w:cs="Times New Roman"/>
          <w:szCs w:val="24"/>
          <w:vertAlign w:val="subscript"/>
        </w:rPr>
        <w:t>x</w:t>
      </w:r>
      <w:r w:rsidRPr="00F50C10">
        <w:rPr>
          <w:rFonts w:cs="Times New Roman"/>
          <w:szCs w:val="24"/>
        </w:rPr>
        <w:t xml:space="preserve"> giderim teknikleri uygulanır</w:t>
      </w:r>
      <w:r w:rsidR="00E515D6" w:rsidRPr="00F50C10">
        <w:rPr>
          <w:rFonts w:cs="Times New Roman"/>
          <w:szCs w:val="24"/>
        </w:rPr>
        <w:t>.</w:t>
      </w:r>
    </w:p>
    <w:p w14:paraId="0D3C7FD0" w14:textId="111F991C"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50: </w:t>
      </w:r>
      <w:r w:rsidRPr="00F50C10">
        <w:rPr>
          <w:rFonts w:cs="Times New Roman"/>
          <w:szCs w:val="24"/>
        </w:rPr>
        <w:t>Hava taşıma sistemi, baca gazı (vent) toplama sistemi ve kurutucu tasfiye gazı için bez filtreler uygulanır</w:t>
      </w:r>
      <w:r w:rsidR="00E515D6" w:rsidRPr="00F50C10">
        <w:rPr>
          <w:rFonts w:cs="Times New Roman"/>
          <w:szCs w:val="24"/>
        </w:rPr>
        <w:t>.</w:t>
      </w:r>
    </w:p>
    <w:p w14:paraId="65000E53" w14:textId="6997FDF8"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51: </w:t>
      </w:r>
      <w:r w:rsidRPr="00F50C10">
        <w:rPr>
          <w:rFonts w:cs="Times New Roman"/>
          <w:szCs w:val="24"/>
        </w:rPr>
        <w:t>Spekt dışı karbon siyahı</w:t>
      </w:r>
      <w:r w:rsidR="00EA5D19" w:rsidRPr="00F50C10">
        <w:rPr>
          <w:rFonts w:cs="Times New Roman"/>
          <w:szCs w:val="24"/>
        </w:rPr>
        <w:t xml:space="preserve"> </w:t>
      </w:r>
      <w:r w:rsidRPr="00F50C10">
        <w:rPr>
          <w:rFonts w:cs="Times New Roman"/>
          <w:szCs w:val="24"/>
        </w:rPr>
        <w:t>prosese geri verilir.</w:t>
      </w:r>
    </w:p>
    <w:p w14:paraId="4E327618" w14:textId="2C88AF4B"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52: </w:t>
      </w:r>
      <w:r w:rsidRPr="00F50C10">
        <w:rPr>
          <w:rFonts w:cs="Times New Roman"/>
          <w:szCs w:val="24"/>
        </w:rPr>
        <w:t>Su geri dönüşümü</w:t>
      </w:r>
      <w:r w:rsidR="00EA5D19" w:rsidRPr="00F50C10">
        <w:rPr>
          <w:rFonts w:cs="Times New Roman"/>
          <w:szCs w:val="24"/>
        </w:rPr>
        <w:t xml:space="preserve"> </w:t>
      </w:r>
      <w:r w:rsidRPr="00F50C10">
        <w:rPr>
          <w:rFonts w:cs="Times New Roman"/>
          <w:szCs w:val="24"/>
        </w:rPr>
        <w:t>sağlanır.</w:t>
      </w:r>
    </w:p>
    <w:p w14:paraId="00E95ECC" w14:textId="0B964857" w:rsidR="000F3B99" w:rsidRPr="00F50C10" w:rsidRDefault="000F3B99" w:rsidP="00A654AE">
      <w:pPr>
        <w:pStyle w:val="Balk1"/>
        <w:numPr>
          <w:ilvl w:val="0"/>
          <w:numId w:val="147"/>
        </w:numPr>
        <w:spacing w:after="120" w:line="276" w:lineRule="auto"/>
        <w:rPr>
          <w:rFonts w:cs="Times New Roman"/>
          <w:szCs w:val="24"/>
        </w:rPr>
      </w:pPr>
      <w:r w:rsidRPr="00F50C10">
        <w:rPr>
          <w:rFonts w:cs="Times New Roman"/>
          <w:szCs w:val="24"/>
        </w:rPr>
        <w:t>SENTETİK AMORF SİLİKA</w:t>
      </w:r>
    </w:p>
    <w:p w14:paraId="13E6770D" w14:textId="77777777" w:rsidR="000F3B99" w:rsidRPr="00F50C10" w:rsidRDefault="000F3B99" w:rsidP="00A654AE">
      <w:pPr>
        <w:pStyle w:val="Balk2"/>
        <w:numPr>
          <w:ilvl w:val="1"/>
          <w:numId w:val="136"/>
        </w:numPr>
        <w:spacing w:before="0" w:after="120" w:line="276" w:lineRule="auto"/>
        <w:rPr>
          <w:rFonts w:cs="Times New Roman"/>
          <w:szCs w:val="24"/>
        </w:rPr>
      </w:pPr>
      <w:r w:rsidRPr="00F50C10">
        <w:rPr>
          <w:rFonts w:cs="Times New Roman"/>
          <w:szCs w:val="24"/>
        </w:rPr>
        <w:t>Sentetik amorf pirojenik silika</w:t>
      </w:r>
    </w:p>
    <w:p w14:paraId="0B71F762" w14:textId="33893CF4"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53: </w:t>
      </w:r>
      <w:r w:rsidR="00651736" w:rsidRPr="00F50C10">
        <w:rPr>
          <w:rFonts w:cs="Times New Roman"/>
          <w:szCs w:val="24"/>
        </w:rPr>
        <w:t>Çıkış</w:t>
      </w:r>
      <w:r w:rsidRPr="00F50C10">
        <w:rPr>
          <w:rFonts w:cs="Times New Roman"/>
          <w:szCs w:val="24"/>
        </w:rPr>
        <w:t xml:space="preserve"> gaz</w:t>
      </w:r>
      <w:r w:rsidR="00651736" w:rsidRPr="00F50C10">
        <w:rPr>
          <w:rFonts w:cs="Times New Roman"/>
          <w:szCs w:val="24"/>
        </w:rPr>
        <w:t>ı</w:t>
      </w:r>
      <w:r w:rsidRPr="00F50C10">
        <w:rPr>
          <w:rFonts w:cs="Times New Roman"/>
          <w:szCs w:val="24"/>
        </w:rPr>
        <w:t xml:space="preserve"> Cl</w:t>
      </w:r>
      <w:r w:rsidRPr="00F50C10">
        <w:rPr>
          <w:rFonts w:cs="Times New Roman"/>
          <w:szCs w:val="24"/>
          <w:vertAlign w:val="subscript"/>
        </w:rPr>
        <w:t>2</w:t>
      </w:r>
      <w:r w:rsidRPr="00F50C10">
        <w:rPr>
          <w:rFonts w:cs="Times New Roman"/>
          <w:szCs w:val="24"/>
        </w:rPr>
        <w:t xml:space="preserve"> emisyonlarını 3 – 10 mg Cl</w:t>
      </w:r>
      <w:r w:rsidRPr="00F50C10">
        <w:rPr>
          <w:rFonts w:cs="Times New Roman"/>
          <w:szCs w:val="24"/>
          <w:vertAlign w:val="subscript"/>
        </w:rPr>
        <w:t>2</w:t>
      </w:r>
      <w:r w:rsidRPr="00F50C10">
        <w:rPr>
          <w:rFonts w:cs="Times New Roman"/>
          <w:szCs w:val="24"/>
        </w:rPr>
        <w:t>/Nm</w:t>
      </w:r>
      <w:r w:rsidRPr="00F50C10">
        <w:rPr>
          <w:rFonts w:cs="Times New Roman"/>
          <w:szCs w:val="24"/>
          <w:vertAlign w:val="superscript"/>
        </w:rPr>
        <w:t>3</w:t>
      </w:r>
      <w:r w:rsidRPr="00F50C10">
        <w:rPr>
          <w:rFonts w:cs="Times New Roman"/>
          <w:szCs w:val="24"/>
        </w:rPr>
        <w:t xml:space="preserve"> seviyesine indirmek için, </w:t>
      </w:r>
      <w:r w:rsidR="00651736" w:rsidRPr="00F50C10">
        <w:rPr>
          <w:rFonts w:cs="Times New Roman"/>
          <w:szCs w:val="24"/>
        </w:rPr>
        <w:t>çıkış</w:t>
      </w:r>
      <w:r w:rsidRPr="00F50C10">
        <w:rPr>
          <w:rFonts w:cs="Times New Roman"/>
          <w:szCs w:val="24"/>
        </w:rPr>
        <w:t xml:space="preserve"> gaz</w:t>
      </w:r>
      <w:r w:rsidR="00651736" w:rsidRPr="00F50C10">
        <w:rPr>
          <w:rFonts w:cs="Times New Roman"/>
          <w:szCs w:val="24"/>
        </w:rPr>
        <w:t>ın</w:t>
      </w:r>
      <w:r w:rsidRPr="00F50C10">
        <w:rPr>
          <w:rFonts w:cs="Times New Roman"/>
          <w:szCs w:val="24"/>
        </w:rPr>
        <w:t>dan klorun kostik soda çözeltisi ile son yıkamasının izlediği mevcut üç birincil, prosese entegre klor indirgeme tekniği (H</w:t>
      </w:r>
      <w:r w:rsidRPr="00F50C10">
        <w:rPr>
          <w:rFonts w:cs="Times New Roman"/>
          <w:szCs w:val="24"/>
          <w:vertAlign w:val="subscript"/>
        </w:rPr>
        <w:t>2</w:t>
      </w:r>
      <w:r w:rsidRPr="00F50C10">
        <w:rPr>
          <w:rFonts w:cs="Times New Roman"/>
          <w:szCs w:val="24"/>
        </w:rPr>
        <w:t xml:space="preserve"> enjeksiyonu, H</w:t>
      </w:r>
      <w:r w:rsidRPr="00F50C10">
        <w:rPr>
          <w:rFonts w:cs="Times New Roman"/>
          <w:szCs w:val="24"/>
          <w:vertAlign w:val="subscript"/>
        </w:rPr>
        <w:t>2</w:t>
      </w:r>
      <w:r w:rsidRPr="00F50C10">
        <w:rPr>
          <w:rFonts w:cs="Times New Roman"/>
          <w:szCs w:val="24"/>
        </w:rPr>
        <w:t>/CH</w:t>
      </w:r>
      <w:r w:rsidRPr="00F50C10">
        <w:rPr>
          <w:rFonts w:cs="Times New Roman"/>
          <w:szCs w:val="24"/>
          <w:vertAlign w:val="subscript"/>
        </w:rPr>
        <w:t>4</w:t>
      </w:r>
      <w:r w:rsidRPr="00F50C10">
        <w:rPr>
          <w:rFonts w:cs="Times New Roman"/>
          <w:szCs w:val="24"/>
        </w:rPr>
        <w:t xml:space="preserve"> enjeksiyonu, yakma) uygulanır</w:t>
      </w:r>
      <w:r w:rsidR="00E515D6" w:rsidRPr="00F50C10">
        <w:rPr>
          <w:rFonts w:cs="Times New Roman"/>
          <w:szCs w:val="24"/>
        </w:rPr>
        <w:t>.</w:t>
      </w:r>
    </w:p>
    <w:p w14:paraId="2E2C186C" w14:textId="51248439"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54: </w:t>
      </w:r>
      <w:r w:rsidRPr="00F50C10">
        <w:rPr>
          <w:rFonts w:cs="Times New Roman"/>
          <w:szCs w:val="24"/>
        </w:rPr>
        <w:t>HCl emisyonlarını çıkış gazının &lt;10 mg HCl/Nm</w:t>
      </w:r>
      <w:r w:rsidRPr="00F50C10">
        <w:rPr>
          <w:rFonts w:cs="Times New Roman"/>
          <w:szCs w:val="24"/>
          <w:vertAlign w:val="superscript"/>
        </w:rPr>
        <w:t>3</w:t>
      </w:r>
      <w:r w:rsidRPr="00F50C10">
        <w:rPr>
          <w:rFonts w:cs="Times New Roman"/>
          <w:szCs w:val="24"/>
        </w:rPr>
        <w:t xml:space="preserve"> seviyesine indirmek için, </w:t>
      </w:r>
      <w:r w:rsidR="00651736" w:rsidRPr="00F50C10">
        <w:rPr>
          <w:rFonts w:cs="Times New Roman"/>
          <w:szCs w:val="24"/>
        </w:rPr>
        <w:t>çıkış</w:t>
      </w:r>
      <w:r w:rsidRPr="00F50C10">
        <w:rPr>
          <w:rFonts w:cs="Times New Roman"/>
          <w:szCs w:val="24"/>
        </w:rPr>
        <w:t xml:space="preserve"> gaz</w:t>
      </w:r>
      <w:r w:rsidR="00651736" w:rsidRPr="00F50C10">
        <w:rPr>
          <w:rFonts w:cs="Times New Roman"/>
          <w:szCs w:val="24"/>
        </w:rPr>
        <w:t>ın</w:t>
      </w:r>
      <w:r w:rsidRPr="00F50C10">
        <w:rPr>
          <w:rFonts w:cs="Times New Roman"/>
          <w:szCs w:val="24"/>
        </w:rPr>
        <w:t>dan hidrojen klorürür kostik soda çözeltisiyle son yıkamasının izlediği sulu absorpsiyonun uygulanması yoluyla atık gazdan hidrojen klorür giderilir</w:t>
      </w:r>
      <w:r w:rsidR="00E515D6" w:rsidRPr="00F50C10">
        <w:rPr>
          <w:rFonts w:cs="Times New Roman"/>
          <w:szCs w:val="24"/>
        </w:rPr>
        <w:t>.</w:t>
      </w:r>
    </w:p>
    <w:p w14:paraId="6CB1B0B3" w14:textId="1CE2A9F3" w:rsidR="000F3B99" w:rsidRPr="00F50C10" w:rsidRDefault="000F3B99" w:rsidP="000B206D">
      <w:pPr>
        <w:spacing w:after="120" w:line="276" w:lineRule="auto"/>
        <w:rPr>
          <w:rFonts w:cs="Times New Roman"/>
          <w:szCs w:val="24"/>
        </w:rPr>
      </w:pPr>
      <w:r w:rsidRPr="00F50C10">
        <w:rPr>
          <w:rFonts w:cs="Times New Roman"/>
          <w:b/>
          <w:bCs/>
          <w:szCs w:val="24"/>
        </w:rPr>
        <w:t xml:space="preserve">MET 55: </w:t>
      </w:r>
      <w:r w:rsidRPr="00F50C10">
        <w:rPr>
          <w:rFonts w:cs="Times New Roman"/>
          <w:szCs w:val="24"/>
        </w:rPr>
        <w:t>Son atığın sodyum hipoklorit içeriğini, yerel akarsuya verilen bir m</w:t>
      </w:r>
      <w:r w:rsidRPr="00F50C10">
        <w:rPr>
          <w:rFonts w:cs="Times New Roman"/>
          <w:szCs w:val="24"/>
          <w:vertAlign w:val="superscript"/>
        </w:rPr>
        <w:t>3</w:t>
      </w:r>
      <w:r w:rsidRPr="00F50C10">
        <w:rPr>
          <w:rFonts w:cs="Times New Roman"/>
          <w:szCs w:val="24"/>
        </w:rPr>
        <w:t xml:space="preserve"> sıvı atıkta (arıtılmış atıksu) maksimum &lt;10 g NaOCl seviyesine indirilmesi için hidrojen peroksitle reaksiyon veya heterojen katilitik dönüştürme yoluyla sodyum hipoklorit çözeltisi atık akımı işleme tabi tutul</w:t>
      </w:r>
      <w:r w:rsidR="00651736" w:rsidRPr="00F50C10">
        <w:rPr>
          <w:rFonts w:cs="Times New Roman"/>
          <w:szCs w:val="24"/>
        </w:rPr>
        <w:t>ur</w:t>
      </w:r>
      <w:r w:rsidR="00E515D6" w:rsidRPr="00F50C10">
        <w:rPr>
          <w:rFonts w:cs="Times New Roman"/>
          <w:szCs w:val="24"/>
        </w:rPr>
        <w:t>.</w:t>
      </w:r>
    </w:p>
    <w:p w14:paraId="77D4B3D4" w14:textId="23482952"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56: </w:t>
      </w:r>
      <w:r w:rsidRPr="00F50C10">
        <w:rPr>
          <w:rFonts w:cs="Times New Roman"/>
          <w:szCs w:val="24"/>
        </w:rPr>
        <w:t>Havaya verilen partikül madde içeriğini, bir m</w:t>
      </w:r>
      <w:r w:rsidRPr="00F50C10">
        <w:rPr>
          <w:rFonts w:cs="Times New Roman"/>
          <w:szCs w:val="24"/>
          <w:vertAlign w:val="superscript"/>
        </w:rPr>
        <w:t>3</w:t>
      </w:r>
      <w:r w:rsidRPr="00F50C10">
        <w:rPr>
          <w:rFonts w:cs="Times New Roman"/>
          <w:szCs w:val="24"/>
        </w:rPr>
        <w:t xml:space="preserve"> çıkış havasında &lt;20 – 50 mg silika aralığına indirmek için, bez filtreler dahil toz giderim teknikleri uygulanır</w:t>
      </w:r>
      <w:r w:rsidR="00672E8E" w:rsidRPr="00F50C10">
        <w:rPr>
          <w:rFonts w:cs="Times New Roman"/>
          <w:szCs w:val="24"/>
        </w:rPr>
        <w:t xml:space="preserve">. </w:t>
      </w:r>
      <w:r w:rsidRPr="00F50C10">
        <w:rPr>
          <w:rFonts w:cs="Times New Roman"/>
          <w:szCs w:val="24"/>
        </w:rPr>
        <w:t>Ayrıca, pirojenik silikanın, gaz akımından toplanması daha zor olan mikronaltı partiküllerle nitelendirildiği unutulmamalıdır</w:t>
      </w:r>
      <w:r w:rsidR="00E515D6" w:rsidRPr="00F50C10">
        <w:rPr>
          <w:rFonts w:cs="Times New Roman"/>
          <w:szCs w:val="24"/>
        </w:rPr>
        <w:t>.</w:t>
      </w:r>
    </w:p>
    <w:p w14:paraId="3603CAB8" w14:textId="57E5E725"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57: </w:t>
      </w:r>
      <w:r w:rsidRPr="00F50C10">
        <w:rPr>
          <w:rFonts w:cs="Times New Roman"/>
          <w:szCs w:val="24"/>
        </w:rPr>
        <w:t>Hammaddenin tetraklorosilan ve hidrojen olduğu kabulüyle, hidroklorik asit absorpsiyonu dahil ancak, herhangi bir yardımcı tesis, atık gaz işlemi ve atıksu arıtma olmadan, üretim tesisinin tam kapasite kullanımıyla üretilen sentetik amorf pirojenik silika tonu başına 15 - 18 GJ aralığında tipik net buhar ve elektrik tüketimi sağlanır</w:t>
      </w:r>
      <w:r w:rsidR="00E515D6" w:rsidRPr="00F50C10">
        <w:rPr>
          <w:rFonts w:cs="Times New Roman"/>
          <w:szCs w:val="24"/>
        </w:rPr>
        <w:t>.</w:t>
      </w:r>
    </w:p>
    <w:p w14:paraId="4A84D4AD" w14:textId="77777777" w:rsidR="000F3B99" w:rsidRPr="00F50C10" w:rsidRDefault="000F3B99" w:rsidP="00A654AE">
      <w:pPr>
        <w:pStyle w:val="Balk2"/>
        <w:numPr>
          <w:ilvl w:val="1"/>
          <w:numId w:val="136"/>
        </w:numPr>
        <w:spacing w:before="0" w:after="120" w:line="276" w:lineRule="auto"/>
        <w:rPr>
          <w:rFonts w:cs="Times New Roman"/>
          <w:szCs w:val="24"/>
        </w:rPr>
      </w:pPr>
      <w:r w:rsidRPr="00F50C10">
        <w:rPr>
          <w:rFonts w:cs="Times New Roman"/>
          <w:szCs w:val="24"/>
        </w:rPr>
        <w:t>Sentetik amorf çöktürülmüş silika ve silika jel</w:t>
      </w:r>
    </w:p>
    <w:p w14:paraId="64DFD6E6" w14:textId="343D3C3B"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58: </w:t>
      </w:r>
      <w:r w:rsidRPr="00F50C10">
        <w:rPr>
          <w:rFonts w:cs="Times New Roman"/>
          <w:szCs w:val="24"/>
        </w:rPr>
        <w:t>İstenen ürün özelliklerini elde etmek, enerji tasarrufu yapmak ve toz emisyonlarını azaltmak için, çöktürülmüş silika ve silika jel sıvı/katı ayırma, kurutma ve toz toplama sistemlerinin optimize edilmiş tasarım ve işletimidir</w:t>
      </w:r>
      <w:r w:rsidR="00E515D6" w:rsidRPr="00F50C10">
        <w:rPr>
          <w:rFonts w:cs="Times New Roman"/>
          <w:szCs w:val="24"/>
        </w:rPr>
        <w:t>.</w:t>
      </w:r>
    </w:p>
    <w:p w14:paraId="7A441E87" w14:textId="07F64BC3"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59: </w:t>
      </w:r>
      <w:r w:rsidRPr="00F50C10">
        <w:rPr>
          <w:rFonts w:cs="Times New Roman"/>
          <w:szCs w:val="24"/>
        </w:rPr>
        <w:t>Havaya verilen partikül madde içeriğini, bir m</w:t>
      </w:r>
      <w:r w:rsidRPr="00F50C10">
        <w:rPr>
          <w:rFonts w:cs="Times New Roman"/>
          <w:szCs w:val="24"/>
          <w:vertAlign w:val="superscript"/>
        </w:rPr>
        <w:t>3</w:t>
      </w:r>
      <w:r w:rsidRPr="00F50C10">
        <w:rPr>
          <w:rFonts w:cs="Times New Roman"/>
          <w:szCs w:val="24"/>
        </w:rPr>
        <w:t xml:space="preserve"> çıkış havasında &lt;10 – 20 mg silika aralığına indirmek için, bez filtreler dahil toz giderim teknikleri uygulan</w:t>
      </w:r>
      <w:r w:rsidR="00651736" w:rsidRPr="00F50C10">
        <w:rPr>
          <w:rFonts w:cs="Times New Roman"/>
          <w:szCs w:val="24"/>
        </w:rPr>
        <w:t>ı</w:t>
      </w:r>
      <w:r w:rsidRPr="00F50C10">
        <w:rPr>
          <w:rFonts w:cs="Times New Roman"/>
          <w:szCs w:val="24"/>
        </w:rPr>
        <w:t>r. Belli ürün sınıflarında, 40  mg/m3'e kadar çıkan değerler beklenmektedir</w:t>
      </w:r>
      <w:r w:rsidR="00E515D6" w:rsidRPr="00F50C10">
        <w:rPr>
          <w:rFonts w:cs="Times New Roman"/>
          <w:szCs w:val="24"/>
        </w:rPr>
        <w:t>.</w:t>
      </w:r>
    </w:p>
    <w:p w14:paraId="22540D3E" w14:textId="39730734"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60: </w:t>
      </w:r>
      <w:r w:rsidRPr="00F50C10">
        <w:rPr>
          <w:rFonts w:cs="Times New Roman"/>
          <w:szCs w:val="24"/>
        </w:rPr>
        <w:t>Hammaddenin sulu sodyum silikat çözeltisi (su camı) ve mineral asit olduğu kabulüyle, herhangi bir yardımcı tesis, atık gaz işlemi ve atıksu arıtma olmadan, üretim tesisinin tam kapasite kullanımıyla üretilen sentetik amorf çöktürülmüş silika veya silika jel tonu başına 15 - 24 GJ aralığında tipik net buhar, elektrik ve doğal gaz tüketimi sağlanır</w:t>
      </w:r>
      <w:r w:rsidR="00E515D6" w:rsidRPr="00F50C10">
        <w:rPr>
          <w:rFonts w:cs="Times New Roman"/>
          <w:szCs w:val="24"/>
        </w:rPr>
        <w:t>.</w:t>
      </w:r>
    </w:p>
    <w:p w14:paraId="0D8CC218" w14:textId="050DFDDE" w:rsidR="000F3B99" w:rsidRPr="00F50C10" w:rsidRDefault="000F3B99" w:rsidP="00A654AE">
      <w:pPr>
        <w:pStyle w:val="Balk1"/>
        <w:numPr>
          <w:ilvl w:val="0"/>
          <w:numId w:val="147"/>
        </w:numPr>
        <w:spacing w:after="120" w:line="276" w:lineRule="auto"/>
        <w:rPr>
          <w:rFonts w:cs="Times New Roman"/>
          <w:szCs w:val="24"/>
        </w:rPr>
      </w:pPr>
      <w:r w:rsidRPr="00F50C10">
        <w:rPr>
          <w:rFonts w:cs="Times New Roman"/>
          <w:szCs w:val="24"/>
        </w:rPr>
        <w:t>İNORGANİK FOSFATLAR</w:t>
      </w:r>
    </w:p>
    <w:p w14:paraId="6BFEB987" w14:textId="46E588CD" w:rsidR="000F3B99" w:rsidRPr="00F50C10" w:rsidRDefault="00651736" w:rsidP="00A654AE">
      <w:pPr>
        <w:pStyle w:val="Balk2"/>
        <w:numPr>
          <w:ilvl w:val="1"/>
          <w:numId w:val="166"/>
        </w:numPr>
        <w:spacing w:before="0" w:after="120" w:line="276" w:lineRule="auto"/>
        <w:rPr>
          <w:rFonts w:cs="Times New Roman"/>
          <w:szCs w:val="24"/>
        </w:rPr>
      </w:pPr>
      <w:r w:rsidRPr="00F50C10">
        <w:rPr>
          <w:rFonts w:cs="Times New Roman"/>
          <w:szCs w:val="24"/>
        </w:rPr>
        <w:t>‘</w:t>
      </w:r>
      <w:r w:rsidR="000F3B99" w:rsidRPr="00F50C10">
        <w:rPr>
          <w:rFonts w:cs="Times New Roman"/>
          <w:szCs w:val="24"/>
        </w:rPr>
        <w:t>Yeşil</w:t>
      </w:r>
      <w:r w:rsidRPr="00F50C10">
        <w:rPr>
          <w:rFonts w:cs="Times New Roman"/>
          <w:szCs w:val="24"/>
        </w:rPr>
        <w:t>’</w:t>
      </w:r>
      <w:r w:rsidR="000F3B99" w:rsidRPr="00F50C10">
        <w:rPr>
          <w:rFonts w:cs="Times New Roman"/>
          <w:szCs w:val="24"/>
        </w:rPr>
        <w:t xml:space="preserve"> fosforik asi</w:t>
      </w:r>
      <w:r w:rsidRPr="00F50C10">
        <w:rPr>
          <w:rFonts w:cs="Times New Roman"/>
          <w:szCs w:val="24"/>
        </w:rPr>
        <w:t xml:space="preserve">t bazlı </w:t>
      </w:r>
      <w:r w:rsidR="000F3B99" w:rsidRPr="00F50C10">
        <w:rPr>
          <w:rFonts w:cs="Times New Roman"/>
          <w:szCs w:val="24"/>
        </w:rPr>
        <w:t>deterjan sınıfı sodyum tripolifosfat (STPP) ürünü</w:t>
      </w:r>
    </w:p>
    <w:p w14:paraId="262073B2" w14:textId="40CFE722"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61: </w:t>
      </w:r>
      <w:r w:rsidRPr="00F50C10">
        <w:rPr>
          <w:rFonts w:cs="Times New Roman"/>
          <w:szCs w:val="24"/>
        </w:rPr>
        <w:t xml:space="preserve">Ticari sınıf </w:t>
      </w:r>
      <w:r w:rsidR="00651736" w:rsidRPr="00F50C10">
        <w:rPr>
          <w:rFonts w:cs="Times New Roman"/>
          <w:szCs w:val="24"/>
        </w:rPr>
        <w:t>‘</w:t>
      </w:r>
      <w:r w:rsidRPr="00F50C10">
        <w:rPr>
          <w:rFonts w:cs="Times New Roman"/>
          <w:szCs w:val="24"/>
        </w:rPr>
        <w:t>yeşil</w:t>
      </w:r>
      <w:r w:rsidR="00651736" w:rsidRPr="00F50C10">
        <w:rPr>
          <w:rFonts w:cs="Times New Roman"/>
          <w:szCs w:val="24"/>
        </w:rPr>
        <w:t>’</w:t>
      </w:r>
      <w:r w:rsidRPr="00F50C10">
        <w:rPr>
          <w:rFonts w:cs="Times New Roman"/>
          <w:szCs w:val="24"/>
        </w:rPr>
        <w:t xml:space="preserve"> fosforik asit tedarikçileriyle, temin edilen asidin kalitesi ile ilgili uzun süreli sözleşmeler yaparak (veya sürdürerek) ve hem asit derişimi hem asidin safsızlık içeriğinin düzenli kontrolüyle hammadde ve enerji kullanımı ve STPP üretim tesisinde katı atık deşarjı en aza indirilir</w:t>
      </w:r>
      <w:r w:rsidR="00E515D6" w:rsidRPr="00F50C10">
        <w:rPr>
          <w:rFonts w:cs="Times New Roman"/>
          <w:szCs w:val="24"/>
        </w:rPr>
        <w:t>.</w:t>
      </w:r>
    </w:p>
    <w:p w14:paraId="46032CAF" w14:textId="77777777" w:rsidR="000F3B99" w:rsidRPr="00F50C10" w:rsidRDefault="000F3B99" w:rsidP="000B206D">
      <w:pPr>
        <w:spacing w:after="120" w:line="276" w:lineRule="auto"/>
        <w:rPr>
          <w:rFonts w:cs="Times New Roman"/>
          <w:szCs w:val="24"/>
        </w:rPr>
      </w:pPr>
      <w:r w:rsidRPr="00F50C10">
        <w:rPr>
          <w:rFonts w:cs="Times New Roman"/>
          <w:szCs w:val="24"/>
        </w:rPr>
        <w:t>Benzer şekilde, doğrudan fosfat kaynağı olarak kullanıldığı durumlarda, fosfat kayasının kalitesi önemlidir.</w:t>
      </w:r>
    </w:p>
    <w:p w14:paraId="02D6182F" w14:textId="3B19EDFE"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62: </w:t>
      </w:r>
      <w:r w:rsidRPr="00F50C10">
        <w:rPr>
          <w:rFonts w:cs="Times New Roman"/>
          <w:szCs w:val="24"/>
        </w:rPr>
        <w:t xml:space="preserve">Ticari sınıf </w:t>
      </w:r>
      <w:r w:rsidR="00651736" w:rsidRPr="00F50C10">
        <w:rPr>
          <w:rFonts w:cs="Times New Roman"/>
          <w:szCs w:val="24"/>
        </w:rPr>
        <w:t>‘</w:t>
      </w:r>
      <w:r w:rsidRPr="00F50C10">
        <w:rPr>
          <w:rFonts w:cs="Times New Roman"/>
          <w:szCs w:val="24"/>
        </w:rPr>
        <w:t>yeşil</w:t>
      </w:r>
      <w:r w:rsidR="00651736" w:rsidRPr="00F50C10">
        <w:rPr>
          <w:rFonts w:cs="Times New Roman"/>
          <w:szCs w:val="24"/>
        </w:rPr>
        <w:t>’</w:t>
      </w:r>
      <w:r w:rsidRPr="00F50C10">
        <w:rPr>
          <w:rFonts w:cs="Times New Roman"/>
          <w:szCs w:val="24"/>
        </w:rPr>
        <w:t xml:space="preserve"> fosforik asidin ön </w:t>
      </w:r>
      <w:r w:rsidR="00651736" w:rsidRPr="00F50C10">
        <w:rPr>
          <w:rFonts w:cs="Times New Roman"/>
          <w:szCs w:val="24"/>
        </w:rPr>
        <w:t>arıtma</w:t>
      </w:r>
      <w:r w:rsidRPr="00F50C10">
        <w:rPr>
          <w:rFonts w:cs="Times New Roman"/>
          <w:szCs w:val="24"/>
        </w:rPr>
        <w:t>, nötralizasyon ve saflaştırm</w:t>
      </w:r>
      <w:r w:rsidR="00651736" w:rsidRPr="00F50C10">
        <w:rPr>
          <w:rFonts w:cs="Times New Roman"/>
          <w:szCs w:val="24"/>
        </w:rPr>
        <w:t>a</w:t>
      </w:r>
      <w:r w:rsidRPr="00F50C10">
        <w:rPr>
          <w:rFonts w:cs="Times New Roman"/>
          <w:szCs w:val="24"/>
        </w:rPr>
        <w:t xml:space="preserve"> proses</w:t>
      </w:r>
      <w:r w:rsidR="00651736" w:rsidRPr="00F50C10">
        <w:rPr>
          <w:rFonts w:cs="Times New Roman"/>
          <w:szCs w:val="24"/>
        </w:rPr>
        <w:t>lerinin</w:t>
      </w:r>
      <w:r w:rsidRPr="00F50C10">
        <w:rPr>
          <w:rFonts w:cs="Times New Roman"/>
          <w:szCs w:val="24"/>
        </w:rPr>
        <w:t xml:space="preserve"> optimizasyonu yoluyla, ana hammadde tüketiminin optimizasyonudur.</w:t>
      </w:r>
      <w:r w:rsidR="00651736" w:rsidRPr="00F50C10">
        <w:rPr>
          <w:rFonts w:cs="Times New Roman"/>
          <w:szCs w:val="24"/>
        </w:rPr>
        <w:t xml:space="preserve"> Örneğin, </w:t>
      </w:r>
      <w:r w:rsidRPr="00F50C10">
        <w:rPr>
          <w:rFonts w:cs="Times New Roman"/>
          <w:szCs w:val="24"/>
        </w:rPr>
        <w:t>maksimum kuru STPP ürünü tonu başına 580 – 605 kg P</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5</w:t>
      </w:r>
      <w:r w:rsidRPr="00F50C10">
        <w:rPr>
          <w:rFonts w:cs="Times New Roman"/>
          <w:szCs w:val="24"/>
        </w:rPr>
        <w:t xml:space="preserve"> eşdeğeri ve 570 – 600 kg NaOH eşdeğeri aralığında tutulması</w:t>
      </w:r>
      <w:r w:rsidR="00651736" w:rsidRPr="00F50C10">
        <w:rPr>
          <w:rFonts w:cs="Times New Roman"/>
          <w:szCs w:val="24"/>
        </w:rPr>
        <w:t>dır.</w:t>
      </w:r>
    </w:p>
    <w:p w14:paraId="6A6A780C" w14:textId="6B33AB1D"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63:  </w:t>
      </w:r>
      <w:r w:rsidRPr="00F50C10">
        <w:rPr>
          <w:rFonts w:cs="Times New Roman"/>
          <w:szCs w:val="24"/>
        </w:rPr>
        <w:t xml:space="preserve">Kullanılan </w:t>
      </w:r>
      <w:r w:rsidR="00651736" w:rsidRPr="00F50C10">
        <w:rPr>
          <w:rFonts w:cs="Times New Roman"/>
          <w:szCs w:val="24"/>
        </w:rPr>
        <w:t>‘</w:t>
      </w:r>
      <w:r w:rsidRPr="00F50C10">
        <w:rPr>
          <w:rFonts w:cs="Times New Roman"/>
          <w:szCs w:val="24"/>
        </w:rPr>
        <w:t>yeşil</w:t>
      </w:r>
      <w:r w:rsidR="00651736" w:rsidRPr="00F50C10">
        <w:rPr>
          <w:rFonts w:cs="Times New Roman"/>
          <w:szCs w:val="24"/>
        </w:rPr>
        <w:t>’</w:t>
      </w:r>
      <w:r w:rsidRPr="00F50C10">
        <w:rPr>
          <w:rFonts w:cs="Times New Roman"/>
          <w:szCs w:val="24"/>
        </w:rPr>
        <w:t xml:space="preserve"> asidin kalitesi ve son deterjan sınıfı STPP ürününün kalite gereksinimlerine bağlı olarak, katı atık emisyonlarının, valorizasyonu gerçekleştirilmeyen alçı ve diğer katkıların, üretilen alçının etkin bir şekilde valorizasyonu gerçekleştirilecek kalite ve formda olmasıdır</w:t>
      </w:r>
      <w:r w:rsidR="00651736" w:rsidRPr="00F50C10">
        <w:rPr>
          <w:rFonts w:cs="Times New Roman"/>
          <w:szCs w:val="24"/>
        </w:rPr>
        <w:t xml:space="preserve">. </w:t>
      </w:r>
      <w:r w:rsidRPr="00F50C10">
        <w:rPr>
          <w:rFonts w:cs="Times New Roman"/>
          <w:szCs w:val="24"/>
        </w:rPr>
        <w:t>Örneğin</w:t>
      </w:r>
      <w:r w:rsidR="00651736" w:rsidRPr="00F50C10">
        <w:rPr>
          <w:rFonts w:cs="Times New Roman"/>
          <w:szCs w:val="24"/>
        </w:rPr>
        <w:t>,</w:t>
      </w:r>
      <w:r w:rsidRPr="00F50C10">
        <w:rPr>
          <w:rFonts w:cs="Times New Roman"/>
          <w:szCs w:val="24"/>
        </w:rPr>
        <w:t xml:space="preserve"> kuru STPP ürünü tonu başına 100 - 230 kg katı atı</w:t>
      </w:r>
      <w:r w:rsidR="004E1462" w:rsidRPr="00F50C10">
        <w:rPr>
          <w:rFonts w:cs="Times New Roman"/>
          <w:szCs w:val="24"/>
        </w:rPr>
        <w:t>k seviyesine düşürmek.</w:t>
      </w:r>
    </w:p>
    <w:p w14:paraId="118C4E50" w14:textId="56EE0761" w:rsidR="000F3B99" w:rsidRPr="00F50C10" w:rsidRDefault="000F3B99" w:rsidP="000B206D">
      <w:pPr>
        <w:spacing w:after="120" w:line="276" w:lineRule="auto"/>
        <w:rPr>
          <w:rFonts w:cs="Times New Roman"/>
          <w:szCs w:val="24"/>
        </w:rPr>
      </w:pPr>
      <w:r w:rsidRPr="00F50C10">
        <w:rPr>
          <w:rFonts w:cs="Times New Roman"/>
          <w:b/>
          <w:bCs/>
          <w:szCs w:val="24"/>
        </w:rPr>
        <w:t xml:space="preserve">MET 64: </w:t>
      </w:r>
      <w:r w:rsidRPr="00F50C10">
        <w:rPr>
          <w:rFonts w:cs="Times New Roman"/>
          <w:szCs w:val="24"/>
        </w:rPr>
        <w:t>Önleyici teknikler ve azaltım tekniklerinin uygun kombinasyonunu uygulayarak havaya verilen flor, fosfat ve toz emisyonları azaltılır</w:t>
      </w:r>
      <w:r w:rsidR="004E1462" w:rsidRPr="00F50C10">
        <w:rPr>
          <w:rFonts w:cs="Times New Roman"/>
          <w:szCs w:val="24"/>
        </w:rPr>
        <w:t xml:space="preserve">. </w:t>
      </w:r>
      <w:r w:rsidRPr="00F50C10">
        <w:rPr>
          <w:rFonts w:cs="Times New Roman"/>
          <w:szCs w:val="24"/>
        </w:rPr>
        <w:t>Örneğin flor, fosfat ve toz emisyonlarının sırasıyla 0,5 kg F/ton kuru STPP, 0,5 kg P</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5</w:t>
      </w:r>
      <w:r w:rsidRPr="00F50C10">
        <w:rPr>
          <w:rFonts w:cs="Times New Roman"/>
          <w:szCs w:val="24"/>
        </w:rPr>
        <w:t xml:space="preserve"> eşdeğeri/ton kuru STPP (yaş hava akımları) ve 0,9 kg toz/ton kuru STPP’nin (kuru hava akımları) altına indirilir.</w:t>
      </w:r>
    </w:p>
    <w:p w14:paraId="4EA51766" w14:textId="77777777" w:rsidR="000F3B99" w:rsidRPr="00F50C10" w:rsidRDefault="000F3B99" w:rsidP="000B206D">
      <w:pPr>
        <w:spacing w:after="120" w:line="276" w:lineRule="auto"/>
        <w:rPr>
          <w:rFonts w:cs="Times New Roman"/>
          <w:szCs w:val="24"/>
        </w:rPr>
      </w:pPr>
      <w:r w:rsidRPr="00F50C10">
        <w:rPr>
          <w:rFonts w:cs="Times New Roman"/>
          <w:szCs w:val="24"/>
        </w:rPr>
        <w:t>İlişkili emisyon seviyesi (İES), toz için &lt;20 mg/Nm</w:t>
      </w:r>
      <w:r w:rsidRPr="00F50C10">
        <w:rPr>
          <w:rFonts w:cs="Times New Roman"/>
          <w:szCs w:val="24"/>
          <w:vertAlign w:val="superscript"/>
        </w:rPr>
        <w:t>3</w:t>
      </w:r>
      <w:r w:rsidRPr="00F50C10">
        <w:rPr>
          <w:rFonts w:cs="Times New Roman"/>
          <w:szCs w:val="24"/>
        </w:rPr>
        <w:t xml:space="preserve"> (kuru hava akımları), flor için &lt;3 mg F/Nm</w:t>
      </w:r>
      <w:r w:rsidRPr="00F50C10">
        <w:rPr>
          <w:rFonts w:cs="Times New Roman"/>
          <w:szCs w:val="24"/>
          <w:vertAlign w:val="superscript"/>
        </w:rPr>
        <w:t>3</w:t>
      </w:r>
      <w:r w:rsidRPr="00F50C10">
        <w:rPr>
          <w:rFonts w:cs="Times New Roman"/>
          <w:szCs w:val="24"/>
        </w:rPr>
        <w:t>’tür (kuru hava akımları).</w:t>
      </w:r>
    </w:p>
    <w:p w14:paraId="2E7F70B5" w14:textId="4352BFA5"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65: </w:t>
      </w:r>
      <w:r w:rsidRPr="00F50C10">
        <w:rPr>
          <w:rFonts w:cs="Times New Roman"/>
          <w:szCs w:val="24"/>
        </w:rPr>
        <w:t xml:space="preserve">Temin edilen </w:t>
      </w:r>
      <w:r w:rsidR="004E1462" w:rsidRPr="00F50C10">
        <w:rPr>
          <w:rFonts w:cs="Times New Roman"/>
          <w:szCs w:val="24"/>
        </w:rPr>
        <w:t>‘</w:t>
      </w:r>
      <w:r w:rsidRPr="00F50C10">
        <w:rPr>
          <w:rFonts w:cs="Times New Roman"/>
          <w:szCs w:val="24"/>
        </w:rPr>
        <w:t>yeşil</w:t>
      </w:r>
      <w:r w:rsidR="004E1462" w:rsidRPr="00F50C10">
        <w:rPr>
          <w:rFonts w:cs="Times New Roman"/>
          <w:szCs w:val="24"/>
        </w:rPr>
        <w:t>’</w:t>
      </w:r>
      <w:r w:rsidRPr="00F50C10">
        <w:rPr>
          <w:rFonts w:cs="Times New Roman"/>
          <w:szCs w:val="24"/>
        </w:rPr>
        <w:t xml:space="preserve"> asidin derişimine bağlı olarak, temin edilen asidin derişiminin kontrolü, prosesin optimizasyonu ve işletiminin ileri kontrolüyle, toplam termal enerji kullanımının azaltılmasıdır</w:t>
      </w:r>
      <w:r w:rsidR="004E1462" w:rsidRPr="00F50C10">
        <w:rPr>
          <w:rFonts w:cs="Times New Roman"/>
          <w:szCs w:val="24"/>
        </w:rPr>
        <w:t xml:space="preserve">. </w:t>
      </w:r>
      <w:r w:rsidRPr="00F50C10">
        <w:rPr>
          <w:rFonts w:cs="Times New Roman"/>
          <w:szCs w:val="24"/>
        </w:rPr>
        <w:t>Örneğin  5 – 12 GJ/ton kuru STPP ürünü aralığına indiril</w:t>
      </w:r>
      <w:r w:rsidR="004E1462" w:rsidRPr="00F50C10">
        <w:rPr>
          <w:rFonts w:cs="Times New Roman"/>
          <w:szCs w:val="24"/>
        </w:rPr>
        <w:t>ir.</w:t>
      </w:r>
    </w:p>
    <w:p w14:paraId="6A13A29F" w14:textId="77777777" w:rsidR="000F3B99" w:rsidRPr="00F50C10" w:rsidRDefault="000F3B99" w:rsidP="00A654AE">
      <w:pPr>
        <w:pStyle w:val="Balk2"/>
        <w:numPr>
          <w:ilvl w:val="1"/>
          <w:numId w:val="165"/>
        </w:numPr>
        <w:spacing w:before="0" w:after="120" w:line="276" w:lineRule="auto"/>
        <w:rPr>
          <w:rFonts w:cs="Times New Roman"/>
          <w:szCs w:val="24"/>
        </w:rPr>
      </w:pPr>
      <w:r w:rsidRPr="00F50C10">
        <w:rPr>
          <w:rFonts w:cs="Times New Roman"/>
          <w:szCs w:val="24"/>
        </w:rPr>
        <w:t>Saflaştırılmış yaş fosforik aside dayalı gıda ve deterjan sınıfı STPP ürünü</w:t>
      </w:r>
    </w:p>
    <w:p w14:paraId="0E52A9EC" w14:textId="6221A058"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66: </w:t>
      </w:r>
      <w:r w:rsidRPr="00F50C10">
        <w:rPr>
          <w:rFonts w:cs="Times New Roman"/>
          <w:szCs w:val="24"/>
        </w:rPr>
        <w:t xml:space="preserve">Gıda sınıfı fosfatların üretimi için hangisi uygunsa, saflaştırılmış gübre </w:t>
      </w:r>
      <w:r w:rsidR="004E1462" w:rsidRPr="00F50C10">
        <w:rPr>
          <w:rFonts w:cs="Times New Roman"/>
          <w:szCs w:val="24"/>
        </w:rPr>
        <w:t>sınıfı olmayan</w:t>
      </w:r>
      <w:r w:rsidRPr="00F50C10">
        <w:rPr>
          <w:rFonts w:cs="Times New Roman"/>
          <w:szCs w:val="24"/>
        </w:rPr>
        <w:t xml:space="preserve"> yaş fosforik asit veya saf termal sınıf fosforik asidi seçerek,</w:t>
      </w:r>
      <w:r w:rsidR="004E1462" w:rsidRPr="00F50C10">
        <w:rPr>
          <w:rFonts w:cs="Times New Roman"/>
          <w:szCs w:val="24"/>
        </w:rPr>
        <w:t xml:space="preserve"> (özellikle, prosesten kaynaklanan katı atıklar giderilerek ve enerji tüketimi azaltılarak)</w:t>
      </w:r>
      <w:r w:rsidRPr="00F50C10">
        <w:rPr>
          <w:rFonts w:cs="Times New Roman"/>
          <w:szCs w:val="24"/>
        </w:rPr>
        <w:t xml:space="preserve"> çevre üzerindeki etki azaltıl</w:t>
      </w:r>
      <w:r w:rsidR="004E1462" w:rsidRPr="00F50C10">
        <w:rPr>
          <w:rFonts w:cs="Times New Roman"/>
          <w:szCs w:val="24"/>
        </w:rPr>
        <w:t>ı</w:t>
      </w:r>
      <w:r w:rsidRPr="00F50C10">
        <w:rPr>
          <w:rFonts w:cs="Times New Roman"/>
          <w:szCs w:val="24"/>
        </w:rPr>
        <w:t>r</w:t>
      </w:r>
      <w:r w:rsidR="002B2D81" w:rsidRPr="00F50C10">
        <w:rPr>
          <w:rFonts w:cs="Times New Roman"/>
          <w:szCs w:val="24"/>
        </w:rPr>
        <w:t>.</w:t>
      </w:r>
    </w:p>
    <w:p w14:paraId="144D7564" w14:textId="6A0A9F85"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67: </w:t>
      </w:r>
      <w:r w:rsidRPr="00F50C10">
        <w:rPr>
          <w:rFonts w:cs="Times New Roman"/>
          <w:szCs w:val="24"/>
        </w:rPr>
        <w:t>Proses parametrelerinin optimizasyonu ve kontrolüyle, ana hammadde tüketimi maksimum, kuru gıda sınıfı STPP ürünü tonu başına 581 – 588 kg P</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5</w:t>
      </w:r>
      <w:r w:rsidRPr="00F50C10">
        <w:rPr>
          <w:rFonts w:cs="Times New Roman"/>
          <w:szCs w:val="24"/>
        </w:rPr>
        <w:t xml:space="preserve"> eşdeğeri ve 545 – 550 kg NaOH eşdeğeri aralığında </w:t>
      </w:r>
      <w:r w:rsidR="004E1462" w:rsidRPr="00F50C10">
        <w:rPr>
          <w:rFonts w:cs="Times New Roman"/>
          <w:szCs w:val="24"/>
        </w:rPr>
        <w:t>tutulur.</w:t>
      </w:r>
    </w:p>
    <w:p w14:paraId="7A9D28B5" w14:textId="7DFA03DD"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68: </w:t>
      </w:r>
      <w:r w:rsidRPr="00F50C10">
        <w:rPr>
          <w:rFonts w:cs="Times New Roman"/>
          <w:szCs w:val="24"/>
        </w:rPr>
        <w:t>Önleyici teknikler ve azaltım tekniklerinin uygun kombinasyonunu uygulayarak havaya verilen flor, fosfat ve toz emisyonları sırasıyla 0,3 kg F/ton kuru STPP, 0,5 kg P</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5</w:t>
      </w:r>
      <w:r w:rsidRPr="00F50C10">
        <w:rPr>
          <w:rFonts w:cs="Times New Roman"/>
          <w:szCs w:val="24"/>
        </w:rPr>
        <w:t xml:space="preserve"> eşdeğeri/ton kuru STPP (yaş hava akımları) ve 0,9 kg toz/ton kuru STPP’nin (kuru hava akımları) altına indirilir</w:t>
      </w:r>
      <w:r w:rsidR="002B2D81" w:rsidRPr="00F50C10">
        <w:rPr>
          <w:rFonts w:cs="Times New Roman"/>
          <w:szCs w:val="24"/>
        </w:rPr>
        <w:t>.</w:t>
      </w:r>
    </w:p>
    <w:p w14:paraId="7A2FAE79" w14:textId="77777777" w:rsidR="000F3B99" w:rsidRPr="00F50C10" w:rsidRDefault="000F3B99" w:rsidP="000B206D">
      <w:pPr>
        <w:spacing w:after="120" w:line="276" w:lineRule="auto"/>
        <w:rPr>
          <w:rFonts w:cs="Times New Roman"/>
          <w:szCs w:val="24"/>
        </w:rPr>
      </w:pPr>
      <w:r w:rsidRPr="00F50C10">
        <w:rPr>
          <w:rFonts w:cs="Times New Roman"/>
          <w:szCs w:val="24"/>
        </w:rPr>
        <w:t>İlişkili emisyon seviyesi (İES), toz için &lt;20 mg/Nm</w:t>
      </w:r>
      <w:r w:rsidRPr="00F50C10">
        <w:rPr>
          <w:rFonts w:cs="Times New Roman"/>
          <w:szCs w:val="24"/>
          <w:vertAlign w:val="superscript"/>
        </w:rPr>
        <w:t>3</w:t>
      </w:r>
      <w:r w:rsidRPr="00F50C10">
        <w:rPr>
          <w:rFonts w:cs="Times New Roman"/>
          <w:szCs w:val="24"/>
        </w:rPr>
        <w:t xml:space="preserve"> (kuru hava akımları), flor için &lt;3 mg F/Nm</w:t>
      </w:r>
      <w:r w:rsidRPr="00F50C10">
        <w:rPr>
          <w:rFonts w:cs="Times New Roman"/>
          <w:szCs w:val="24"/>
          <w:vertAlign w:val="superscript"/>
        </w:rPr>
        <w:t>3</w:t>
      </w:r>
      <w:r w:rsidRPr="00F50C10">
        <w:rPr>
          <w:rFonts w:cs="Times New Roman"/>
          <w:szCs w:val="24"/>
        </w:rPr>
        <w:t>’tür (kuru hava akımları).</w:t>
      </w:r>
    </w:p>
    <w:p w14:paraId="12454894" w14:textId="15C8936D"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69: </w:t>
      </w:r>
      <w:r w:rsidRPr="00F50C10">
        <w:rPr>
          <w:rFonts w:cs="Times New Roman"/>
          <w:szCs w:val="24"/>
        </w:rPr>
        <w:t>Kullanılan saflaştırılmış gübre sınıf</w:t>
      </w:r>
      <w:r w:rsidR="004E1462" w:rsidRPr="00F50C10">
        <w:rPr>
          <w:rFonts w:cs="Times New Roman"/>
          <w:szCs w:val="24"/>
        </w:rPr>
        <w:t>ı olmayan</w:t>
      </w:r>
      <w:r w:rsidRPr="00F50C10">
        <w:rPr>
          <w:rFonts w:cs="Times New Roman"/>
          <w:szCs w:val="24"/>
        </w:rPr>
        <w:t xml:space="preserve"> yaş fosforik asidin derişimine bağlı olarak, temin edilen asidin derişiminin kontrolü ve düzenli olarak prosesin optimizasyonuyla, toplam termal enerji tüketimi 4,8 – 8,3 GJ / ton kuru gıda sınıfı STPP ürünü aralığına indirilir</w:t>
      </w:r>
      <w:r w:rsidR="002B2D81" w:rsidRPr="00F50C10">
        <w:rPr>
          <w:rFonts w:cs="Times New Roman"/>
          <w:szCs w:val="24"/>
        </w:rPr>
        <w:t>.</w:t>
      </w:r>
    </w:p>
    <w:p w14:paraId="06FE098B" w14:textId="77777777" w:rsidR="000F3B99" w:rsidRPr="00F50C10" w:rsidRDefault="000F3B99" w:rsidP="00A654AE">
      <w:pPr>
        <w:pStyle w:val="Balk2"/>
        <w:numPr>
          <w:ilvl w:val="1"/>
          <w:numId w:val="165"/>
        </w:numPr>
        <w:spacing w:before="0" w:after="120" w:line="276" w:lineRule="auto"/>
        <w:rPr>
          <w:rFonts w:cs="Times New Roman"/>
          <w:szCs w:val="24"/>
        </w:rPr>
      </w:pPr>
      <w:r w:rsidRPr="00F50C10">
        <w:rPr>
          <w:rFonts w:cs="Times New Roman"/>
          <w:szCs w:val="24"/>
        </w:rPr>
        <w:t>Yem fosfatları - yem sınıfı dikalsiyum fosfat (DCP) ürünü</w:t>
      </w:r>
    </w:p>
    <w:p w14:paraId="5AC0E0AD"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Fosforik asit yoluyla üretilen yem fosfatları</w:t>
      </w:r>
    </w:p>
    <w:p w14:paraId="34783C1E" w14:textId="66B4CE00" w:rsidR="000F3B99" w:rsidRPr="00F50C10" w:rsidRDefault="000F3B99" w:rsidP="000B206D">
      <w:pPr>
        <w:spacing w:after="120" w:line="276" w:lineRule="auto"/>
        <w:rPr>
          <w:rFonts w:cs="Times New Roman"/>
          <w:szCs w:val="24"/>
        </w:rPr>
      </w:pPr>
      <w:r w:rsidRPr="00F50C10">
        <w:rPr>
          <w:rFonts w:cs="Times New Roman"/>
          <w:b/>
          <w:bCs/>
          <w:szCs w:val="24"/>
        </w:rPr>
        <w:t xml:space="preserve">MET 70:  </w:t>
      </w:r>
      <w:r w:rsidR="00D62BE1" w:rsidRPr="00F50C10">
        <w:rPr>
          <w:rFonts w:cs="Times New Roman"/>
          <w:szCs w:val="24"/>
        </w:rPr>
        <w:t>Yem sınıfı fosfatların üretiminde, çevre üzerindeki etkinin azaltılması için gübre dışı sınıf saflaştırılmış yaş fosforik asit seçilir. Bu seçim, özellikle proses kaynaklı katı atık miktarının ve enerji tüketiminin en aza indirilmesiyle sağlanır</w:t>
      </w:r>
      <w:r w:rsidR="002B2D81" w:rsidRPr="00F50C10">
        <w:rPr>
          <w:rFonts w:cs="Times New Roman"/>
          <w:szCs w:val="24"/>
        </w:rPr>
        <w:t>.</w:t>
      </w:r>
    </w:p>
    <w:p w14:paraId="03A71AA0" w14:textId="7BCE4AB8" w:rsidR="000F3B99" w:rsidRPr="00F50C10" w:rsidRDefault="00D62BE1" w:rsidP="000B206D">
      <w:pPr>
        <w:spacing w:after="120" w:line="276" w:lineRule="auto"/>
        <w:rPr>
          <w:rFonts w:cs="Times New Roman"/>
          <w:b/>
          <w:bCs/>
          <w:szCs w:val="24"/>
        </w:rPr>
      </w:pPr>
      <w:r w:rsidRPr="00F50C10">
        <w:rPr>
          <w:rFonts w:cs="Times New Roman"/>
          <w:b/>
          <w:bCs/>
          <w:szCs w:val="24"/>
        </w:rPr>
        <w:t xml:space="preserve">MET 71: </w:t>
      </w:r>
      <w:r w:rsidRPr="00F50C10">
        <w:rPr>
          <w:rFonts w:cs="Times New Roman"/>
          <w:szCs w:val="24"/>
        </w:rPr>
        <w:t>Proses parametrelerinin optimizasyonu ve kontrolüyle, ana hammaddeler olan saflaştırılmış yem sınıfı fosforik asit ve CaO (veya CaCO</w:t>
      </w:r>
      <w:r w:rsidRPr="00F50C10">
        <w:rPr>
          <w:rFonts w:cs="Times New Roman"/>
          <w:szCs w:val="24"/>
          <w:vertAlign w:val="subscript"/>
        </w:rPr>
        <w:t>3</w:t>
      </w:r>
      <w:r w:rsidRPr="00F50C10">
        <w:rPr>
          <w:rFonts w:cs="Times New Roman"/>
          <w:szCs w:val="24"/>
        </w:rPr>
        <w:t>) tüketimi, %18 DCP ürünü tonu başına 0,4 – 0,5 ton P2O5 eşdeğeri ve 0,2 – 0,3 ton Ca eşdeğeri aralığında tutulur</w:t>
      </w:r>
      <w:r w:rsidR="002B2D81" w:rsidRPr="00F50C10">
        <w:rPr>
          <w:rFonts w:cs="Times New Roman"/>
          <w:szCs w:val="24"/>
        </w:rPr>
        <w:t>.</w:t>
      </w:r>
    </w:p>
    <w:p w14:paraId="3CB529CB" w14:textId="0E4B8986" w:rsidR="000F3B99" w:rsidRPr="00F50C10" w:rsidRDefault="000F3B99" w:rsidP="000B206D">
      <w:pPr>
        <w:spacing w:after="120" w:line="276" w:lineRule="auto"/>
        <w:rPr>
          <w:rFonts w:cs="Times New Roman"/>
          <w:szCs w:val="24"/>
        </w:rPr>
      </w:pPr>
      <w:r w:rsidRPr="00F50C10">
        <w:rPr>
          <w:rFonts w:cs="Times New Roman"/>
          <w:b/>
          <w:bCs/>
          <w:szCs w:val="24"/>
        </w:rPr>
        <w:t xml:space="preserve">MET 72: </w:t>
      </w:r>
      <w:r w:rsidR="00D62BE1" w:rsidRPr="00F50C10">
        <w:rPr>
          <w:rFonts w:cs="Times New Roman"/>
          <w:szCs w:val="24"/>
        </w:rPr>
        <w:t>Asit koşullandırma ve reaksiyon sırasında oluşan dökülen malzemelerin geri kazanılması ve suyun yeniden kullanılmasıyla, atıksulardaki fosfat içeriği 0 – 5 g P / m³ atıksu seviyesine düşürülür.</w:t>
      </w:r>
      <w:r w:rsidRPr="00F50C10">
        <w:rPr>
          <w:rFonts w:cs="Times New Roman"/>
          <w:szCs w:val="24"/>
        </w:rPr>
        <w:t xml:space="preserve"> </w:t>
      </w:r>
    </w:p>
    <w:p w14:paraId="0D111708" w14:textId="7346658E"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73: </w:t>
      </w:r>
      <w:r w:rsidR="00D62BE1" w:rsidRPr="00F50C10">
        <w:rPr>
          <w:rFonts w:cs="Times New Roman"/>
          <w:szCs w:val="24"/>
        </w:rPr>
        <w:t>Önleyici önlemler ve toz giderim tekniklerinin uygun bir kombinasyonu kullanılarak, havaya verilen toplam toz emisyonları egzoz gazında &lt;20 mg/Nm³ (kuru hava akımları) seviyesine indirilir.</w:t>
      </w:r>
    </w:p>
    <w:p w14:paraId="63AD4FEB" w14:textId="402F1F83"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74: </w:t>
      </w:r>
      <w:r w:rsidR="00D62BE1" w:rsidRPr="00F50C10">
        <w:rPr>
          <w:rFonts w:cs="Times New Roman"/>
          <w:szCs w:val="24"/>
        </w:rPr>
        <w:t>Kullanılan saflaştırılmış gübre dışı sınıf yaş fosforik asidin derişimine bağlı olarak, asit derişimi kontrol edilir ve proses sürekli optimize edilerek, toplam enerji tüketimi 40 – 350 kWh / ton kuru yem sınıfı %18 DCP ürünü aralığına düşürülür.</w:t>
      </w:r>
    </w:p>
    <w:p w14:paraId="0ADFC530"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Hidroklorik asit yoluyla üretilen yem fosfatları</w:t>
      </w:r>
    </w:p>
    <w:p w14:paraId="459C7B9C" w14:textId="550C78D4"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75: </w:t>
      </w:r>
      <w:r w:rsidR="00D62BE1" w:rsidRPr="00F50C10">
        <w:rPr>
          <w:rFonts w:cs="Times New Roman"/>
          <w:color w:val="404040"/>
          <w:szCs w:val="24"/>
        </w:rPr>
        <w:t>Yem sınıfı dikalsiyum fosfat üretimi, potasyum sülfat üretimiyle entegre edilerek hammadde ve enerji tüketimi en aza indirilir. Bu sayede, özellikle hidroklorik asit atık akımının kullanılmasıyla çevre üzerindeki etki azaltılır.</w:t>
      </w:r>
      <w:r w:rsidR="002B2D81" w:rsidRPr="00F50C10">
        <w:rPr>
          <w:rFonts w:cs="Times New Roman"/>
          <w:b/>
          <w:bCs/>
          <w:szCs w:val="24"/>
        </w:rPr>
        <w:t>.</w:t>
      </w:r>
    </w:p>
    <w:p w14:paraId="0110115F" w14:textId="346D9C4E" w:rsidR="00D62BE1" w:rsidRPr="00F50C10" w:rsidRDefault="000F3B99" w:rsidP="000B206D">
      <w:pPr>
        <w:spacing w:after="120" w:line="276" w:lineRule="auto"/>
        <w:rPr>
          <w:rFonts w:cs="Times New Roman"/>
          <w:b/>
          <w:bCs/>
          <w:szCs w:val="24"/>
        </w:rPr>
      </w:pPr>
      <w:r w:rsidRPr="00F50C10">
        <w:rPr>
          <w:rFonts w:cs="Times New Roman"/>
          <w:b/>
          <w:bCs/>
          <w:szCs w:val="24"/>
        </w:rPr>
        <w:t xml:space="preserve">MET 76: </w:t>
      </w:r>
      <w:r w:rsidR="00D62BE1" w:rsidRPr="00F50C10">
        <w:rPr>
          <w:rFonts w:cs="Times New Roman"/>
          <w:szCs w:val="24"/>
        </w:rPr>
        <w:t>Proses parametrelerinin optimizasyonu ve kontrolüyle, ana hammaddeler olan fosfat kayası, hidroklorik asit ve CaO, CaCO</w:t>
      </w:r>
      <w:r w:rsidR="00D62BE1" w:rsidRPr="00F50C10">
        <w:rPr>
          <w:rFonts w:cs="Times New Roman"/>
          <w:szCs w:val="24"/>
          <w:vertAlign w:val="subscript"/>
        </w:rPr>
        <w:t>3</w:t>
      </w:r>
      <w:r w:rsidR="00D62BE1" w:rsidRPr="00F50C10">
        <w:rPr>
          <w:rFonts w:cs="Times New Roman"/>
          <w:szCs w:val="24"/>
        </w:rPr>
        <w:t xml:space="preserve"> veya Ca(OH)</w:t>
      </w:r>
      <w:r w:rsidR="00D62BE1" w:rsidRPr="00F50C10">
        <w:rPr>
          <w:rFonts w:cs="Times New Roman"/>
          <w:szCs w:val="24"/>
          <w:vertAlign w:val="subscript"/>
        </w:rPr>
        <w:t>2</w:t>
      </w:r>
      <w:r w:rsidR="00D62BE1" w:rsidRPr="00F50C10">
        <w:rPr>
          <w:rFonts w:cs="Times New Roman"/>
          <w:szCs w:val="24"/>
        </w:rPr>
        <w:t xml:space="preserve"> tüketimi, %18 DCP ürünü tonu başına 0,6 - 0,8 ton %100 HCl ve 0,125 – 0,290 ton Ca aralığında tutulur</w:t>
      </w:r>
      <w:r w:rsidR="00D62BE1" w:rsidRPr="00F50C10">
        <w:rPr>
          <w:rFonts w:cs="Times New Roman"/>
          <w:b/>
          <w:bCs/>
          <w:szCs w:val="24"/>
        </w:rPr>
        <w:t xml:space="preserve">. </w:t>
      </w:r>
    </w:p>
    <w:p w14:paraId="4938534A" w14:textId="4AF3448D" w:rsidR="000F3B99" w:rsidRPr="00F50C10" w:rsidRDefault="000F3B99" w:rsidP="000B206D">
      <w:pPr>
        <w:spacing w:after="120" w:line="276" w:lineRule="auto"/>
        <w:rPr>
          <w:rFonts w:cs="Times New Roman"/>
          <w:szCs w:val="24"/>
        </w:rPr>
      </w:pPr>
      <w:r w:rsidRPr="00F50C10">
        <w:rPr>
          <w:rFonts w:cs="Times New Roman"/>
          <w:b/>
          <w:bCs/>
          <w:szCs w:val="24"/>
        </w:rPr>
        <w:t xml:space="preserve">MET 77: </w:t>
      </w:r>
      <w:r w:rsidR="00D62BE1" w:rsidRPr="00F50C10">
        <w:rPr>
          <w:rFonts w:cs="Times New Roman"/>
          <w:szCs w:val="24"/>
        </w:rPr>
        <w:t>Proses sularının arıtılması, suyun yeniden kullanılması ve sıvı atık işlemiyle, atıksulardaki fosfat içeriği 1 – 8 g P / m³ atıksu seviyesine düşürülür</w:t>
      </w:r>
      <w:r w:rsidR="002B2D81" w:rsidRPr="00F50C10">
        <w:rPr>
          <w:rFonts w:cs="Times New Roman"/>
          <w:szCs w:val="24"/>
        </w:rPr>
        <w:t>.</w:t>
      </w:r>
    </w:p>
    <w:p w14:paraId="10E02895" w14:textId="106F11AA"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78: </w:t>
      </w:r>
      <w:r w:rsidR="00D62BE1" w:rsidRPr="00F50C10">
        <w:rPr>
          <w:rFonts w:cs="Times New Roman"/>
          <w:szCs w:val="24"/>
        </w:rPr>
        <w:t>Önleyici önlemler ve toz giderim tekniklerinin uygun bir kombinasyonu kullanılarak, kurutma prosesi kaynaklı toz emisyonları 10 – 50 mg toz/Nm³ çıkış gazı (kuru hava akımları) işletim aralığının alt seviyesine, diğer adımlardan kaynaklanan toz emisyonları ise 10 - 20 mg/Nm³ (kuru hava akımları) işletim aralığının alt seviyesine indirilir</w:t>
      </w:r>
      <w:r w:rsidR="002B2D81" w:rsidRPr="00F50C10">
        <w:rPr>
          <w:rFonts w:cs="Times New Roman"/>
          <w:szCs w:val="24"/>
        </w:rPr>
        <w:t>.</w:t>
      </w:r>
    </w:p>
    <w:p w14:paraId="09D90CA1" w14:textId="77777777" w:rsidR="00D62BE1" w:rsidRPr="00F50C10" w:rsidRDefault="000F3B99" w:rsidP="000B206D">
      <w:pPr>
        <w:spacing w:after="120" w:line="276" w:lineRule="auto"/>
        <w:rPr>
          <w:rFonts w:cs="Times New Roman"/>
          <w:szCs w:val="24"/>
        </w:rPr>
      </w:pPr>
      <w:r w:rsidRPr="00F50C10">
        <w:rPr>
          <w:rFonts w:cs="Times New Roman"/>
          <w:b/>
          <w:bCs/>
          <w:szCs w:val="24"/>
        </w:rPr>
        <w:t xml:space="preserve">MET 79: </w:t>
      </w:r>
      <w:r w:rsidR="00D62BE1" w:rsidRPr="00F50C10">
        <w:rPr>
          <w:rFonts w:cs="Times New Roman"/>
          <w:szCs w:val="24"/>
        </w:rPr>
        <w:t>Önleyici önlemler ve ıslak yıkayıcıların uygun bir kombinasyonu kullanılarak, hidrojen klorür emisyonları 10 – 30 mg HCl/Nm³ egzoz gazı işletim aralığının alt seviyesine düşürülür ve koku emisyonları azaltılır.</w:t>
      </w:r>
    </w:p>
    <w:p w14:paraId="4334D387" w14:textId="7A0AC29D" w:rsidR="000F3B99" w:rsidRPr="00F50C10" w:rsidRDefault="000F3B99" w:rsidP="000B206D">
      <w:pPr>
        <w:spacing w:after="120" w:line="276" w:lineRule="auto"/>
        <w:rPr>
          <w:rFonts w:cs="Times New Roman"/>
          <w:szCs w:val="24"/>
        </w:rPr>
      </w:pPr>
      <w:r w:rsidRPr="00F50C10">
        <w:rPr>
          <w:rFonts w:cs="Times New Roman"/>
          <w:b/>
          <w:bCs/>
          <w:szCs w:val="24"/>
        </w:rPr>
        <w:t xml:space="preserve">MET 80: </w:t>
      </w:r>
      <w:r w:rsidRPr="00F50C10">
        <w:rPr>
          <w:rFonts w:cs="Times New Roman"/>
          <w:szCs w:val="24"/>
        </w:rPr>
        <w:t>Proseste kullanılan fosfat kayası saflığının düzenli olarak kontrolüyle, proses kaynaklı katı atık deşarjı 100 – 240 kg / ton %18 DCP ürünü</w:t>
      </w:r>
      <w:r w:rsidR="00D62BE1" w:rsidRPr="00F50C10">
        <w:rPr>
          <w:rFonts w:cs="Times New Roman"/>
          <w:szCs w:val="24"/>
        </w:rPr>
        <w:t xml:space="preserve"> seviyesine</w:t>
      </w:r>
      <w:r w:rsidRPr="00F50C10">
        <w:rPr>
          <w:rFonts w:cs="Times New Roman"/>
          <w:szCs w:val="24"/>
        </w:rPr>
        <w:t xml:space="preserve"> indirilir</w:t>
      </w:r>
      <w:r w:rsidR="002B2D81" w:rsidRPr="00F50C10">
        <w:rPr>
          <w:rFonts w:cs="Times New Roman"/>
          <w:szCs w:val="24"/>
        </w:rPr>
        <w:t>.</w:t>
      </w:r>
    </w:p>
    <w:p w14:paraId="5CA3B7D6" w14:textId="4E1DBA01"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81: </w:t>
      </w:r>
      <w:r w:rsidRPr="00F50C10">
        <w:rPr>
          <w:rFonts w:cs="Times New Roman"/>
          <w:szCs w:val="24"/>
        </w:rPr>
        <w:t>İşletim parametrelerinin kontrolü ve prosesin optimizasyonuyla, toplam enerji tüketimi, 550 – 1150 kWh / ton kuru yem sınıfı %18 DCP ürün</w:t>
      </w:r>
      <w:r w:rsidR="00D62BE1" w:rsidRPr="00F50C10">
        <w:rPr>
          <w:rFonts w:cs="Times New Roman"/>
          <w:szCs w:val="24"/>
        </w:rPr>
        <w:t>ü seviyesine</w:t>
      </w:r>
      <w:r w:rsidRPr="00F50C10">
        <w:rPr>
          <w:rFonts w:cs="Times New Roman"/>
          <w:szCs w:val="24"/>
        </w:rPr>
        <w:t xml:space="preserve"> indirilir</w:t>
      </w:r>
      <w:r w:rsidR="002B2D81" w:rsidRPr="00F50C10">
        <w:rPr>
          <w:rFonts w:cs="Times New Roman"/>
          <w:szCs w:val="24"/>
        </w:rPr>
        <w:t>.</w:t>
      </w:r>
    </w:p>
    <w:p w14:paraId="0FD07CC3" w14:textId="786E469B" w:rsidR="000F3B99" w:rsidRPr="00F50C10" w:rsidRDefault="000F3B99" w:rsidP="00A654AE">
      <w:pPr>
        <w:pStyle w:val="Balk1"/>
        <w:numPr>
          <w:ilvl w:val="0"/>
          <w:numId w:val="147"/>
        </w:numPr>
        <w:spacing w:after="120" w:line="276" w:lineRule="auto"/>
        <w:rPr>
          <w:rFonts w:cs="Times New Roman"/>
          <w:szCs w:val="24"/>
        </w:rPr>
      </w:pPr>
      <w:r w:rsidRPr="00F50C10">
        <w:rPr>
          <w:rFonts w:cs="Times New Roman"/>
          <w:szCs w:val="24"/>
        </w:rPr>
        <w:t>SEÇİLEN ÖRNEK BÜYÜK HACİMLİ İNORGANİK KİMYASAL SEKTÖRÜ ÜRÜNLERİ</w:t>
      </w:r>
    </w:p>
    <w:p w14:paraId="4C4F0D85" w14:textId="77777777" w:rsidR="000F3B99" w:rsidRPr="00F50C10" w:rsidRDefault="000F3B99" w:rsidP="00A654AE">
      <w:pPr>
        <w:pStyle w:val="Balk2"/>
        <w:numPr>
          <w:ilvl w:val="1"/>
          <w:numId w:val="147"/>
        </w:numPr>
        <w:spacing w:before="0" w:after="120" w:line="276" w:lineRule="auto"/>
        <w:rPr>
          <w:rFonts w:cs="Times New Roman"/>
          <w:szCs w:val="24"/>
        </w:rPr>
      </w:pPr>
      <w:r w:rsidRPr="00F50C10">
        <w:rPr>
          <w:rFonts w:cs="Times New Roman"/>
          <w:szCs w:val="24"/>
        </w:rPr>
        <w:t>Alüminyum Florür</w:t>
      </w:r>
    </w:p>
    <w:p w14:paraId="0FC68880" w14:textId="77777777" w:rsidR="000F3B99" w:rsidRPr="00F50C10" w:rsidRDefault="000F3B99" w:rsidP="00A654AE">
      <w:pPr>
        <w:pStyle w:val="Balk3"/>
        <w:numPr>
          <w:ilvl w:val="2"/>
          <w:numId w:val="147"/>
        </w:numPr>
        <w:spacing w:before="0" w:line="276" w:lineRule="auto"/>
        <w:rPr>
          <w:rFonts w:cs="Times New Roman"/>
        </w:rPr>
      </w:pPr>
      <w:r w:rsidRPr="00F50C10">
        <w:rPr>
          <w:rFonts w:cs="Times New Roman"/>
        </w:rPr>
        <w:t>Kuru fluorspar prosesiyle alüminyum florür üretimi</w:t>
      </w:r>
    </w:p>
    <w:p w14:paraId="4E6F6087" w14:textId="30AB995A" w:rsidR="000F3B99" w:rsidRPr="00F50C10" w:rsidRDefault="000F3B99" w:rsidP="000B206D">
      <w:pPr>
        <w:spacing w:after="120" w:line="276" w:lineRule="auto"/>
        <w:rPr>
          <w:rFonts w:cs="Times New Roman"/>
          <w:szCs w:val="24"/>
        </w:rPr>
      </w:pPr>
      <w:r w:rsidRPr="00F50C10">
        <w:rPr>
          <w:rFonts w:cs="Times New Roman"/>
          <w:b/>
          <w:bCs/>
          <w:szCs w:val="24"/>
        </w:rPr>
        <w:t xml:space="preserve">MET 82: </w:t>
      </w:r>
      <w:r w:rsidR="00F57CE6" w:rsidRPr="00F50C10">
        <w:rPr>
          <w:rFonts w:cs="Times New Roman"/>
          <w:szCs w:val="24"/>
        </w:rPr>
        <w:t>Proses çıkış gazından HF’nin etkili bir şekilde temizlenmesi için bir veya birden fazla yıkama adımı kullanılarak havaya salınan özgül flor emisyonları, üretilen her bir ton AlF₃ başına 0,01 kg F seviyesine düşürülür</w:t>
      </w:r>
      <w:r w:rsidRPr="00F50C10">
        <w:rPr>
          <w:rFonts w:cs="Times New Roman"/>
          <w:szCs w:val="24"/>
        </w:rPr>
        <w:t>.</w:t>
      </w:r>
    </w:p>
    <w:p w14:paraId="4983E680" w14:textId="3ADDAF49" w:rsidR="00F57CE6" w:rsidRPr="00F50C10" w:rsidRDefault="000F3B99" w:rsidP="000B206D">
      <w:pPr>
        <w:spacing w:after="120" w:line="276" w:lineRule="auto"/>
        <w:rPr>
          <w:rFonts w:cs="Times New Roman"/>
          <w:szCs w:val="24"/>
        </w:rPr>
      </w:pPr>
      <w:r w:rsidRPr="00F50C10">
        <w:rPr>
          <w:rFonts w:cs="Times New Roman"/>
          <w:b/>
          <w:bCs/>
          <w:szCs w:val="24"/>
        </w:rPr>
        <w:t xml:space="preserve">MET 83: </w:t>
      </w:r>
      <w:r w:rsidR="00F57CE6" w:rsidRPr="00F50C10">
        <w:rPr>
          <w:rFonts w:cs="Times New Roman"/>
          <w:szCs w:val="24"/>
        </w:rPr>
        <w:t>Siklonlar, ıslak yıkayıcılar ve bez filtreler kullanılarak farklı kaynaklardan havaya salınan toplam özgül toz emisyonları, üretilen her bir ton AlF₃ başına 0,05 kg toz seviyesinin altında tutulur.</w:t>
      </w:r>
    </w:p>
    <w:p w14:paraId="5123B540" w14:textId="50947FB6"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84: </w:t>
      </w:r>
      <w:r w:rsidR="00F57CE6" w:rsidRPr="00F50C10">
        <w:rPr>
          <w:rFonts w:cs="Times New Roman"/>
          <w:szCs w:val="24"/>
        </w:rPr>
        <w:t>Akışkan yataklı reaktör, aktivatör ve döner fırından çıkan sıcak proses gazlarından enerji geri kazanılarak, bu enerji fluorsparın kurutulmasında ve reaktantların ön ısıtılmasında kullanılır. Böylece prosesin genel enerji verimliliği artırılır.</w:t>
      </w:r>
    </w:p>
    <w:p w14:paraId="61ED4A84" w14:textId="7F8F6334" w:rsidR="000F3B99" w:rsidRPr="00F50C10" w:rsidRDefault="000F3B99" w:rsidP="000B206D">
      <w:pPr>
        <w:spacing w:after="120" w:line="276" w:lineRule="auto"/>
        <w:rPr>
          <w:rFonts w:cs="Times New Roman"/>
          <w:szCs w:val="24"/>
        </w:rPr>
      </w:pPr>
      <w:r w:rsidRPr="00F50C10">
        <w:rPr>
          <w:rFonts w:cs="Times New Roman"/>
          <w:b/>
          <w:bCs/>
          <w:szCs w:val="24"/>
        </w:rPr>
        <w:t xml:space="preserve">MET 85: </w:t>
      </w:r>
      <w:r w:rsidR="00F57CE6" w:rsidRPr="00F50C10">
        <w:rPr>
          <w:rFonts w:cs="Times New Roman"/>
          <w:szCs w:val="24"/>
        </w:rPr>
        <w:t>Proses parametreleri ve proses kontrolü optimize edilerek suya boşaltılan flor miktarı, üretilen her bir ton AlF₃ başına 5 kg F seviyesinin altında tutulur</w:t>
      </w:r>
      <w:r w:rsidR="00C45A5E" w:rsidRPr="00F50C10">
        <w:rPr>
          <w:rFonts w:cs="Times New Roman"/>
          <w:szCs w:val="24"/>
        </w:rPr>
        <w:t>.</w:t>
      </w:r>
    </w:p>
    <w:p w14:paraId="675083DD" w14:textId="6C94CD48"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86: </w:t>
      </w:r>
      <w:r w:rsidR="00F57CE6" w:rsidRPr="00F50C10">
        <w:rPr>
          <w:rFonts w:cs="Times New Roman"/>
          <w:szCs w:val="24"/>
        </w:rPr>
        <w:t>Atık anhidrit geri kazanımı en üst düzeye çıkarılarak ve bundan sentetik anhidrit yan ürünü elde edilerek prosesten çıkan katı atık miktarı azaltılır. AlF₃ üretiminde kullanılan hammaddelerin saflığı arttıkça, sentetik anhidrit yan ürününün kalitesi ve satış potansiyeli yükselir</w:t>
      </w:r>
      <w:r w:rsidR="00C45A5E" w:rsidRPr="00F50C10">
        <w:rPr>
          <w:rFonts w:cs="Times New Roman"/>
          <w:szCs w:val="24"/>
        </w:rPr>
        <w:t>.</w:t>
      </w:r>
    </w:p>
    <w:p w14:paraId="16DFB44B"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Islak fluosilisik asit prosesiyle alüminyum florür üretimi</w:t>
      </w:r>
    </w:p>
    <w:p w14:paraId="1F145027" w14:textId="5E713224"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87: </w:t>
      </w:r>
      <w:r w:rsidRPr="00F50C10">
        <w:rPr>
          <w:rFonts w:cs="Times New Roman"/>
          <w:szCs w:val="24"/>
        </w:rPr>
        <w:t>Flor bileşenlerini proses çıkış gazından etkili bir şekilde temizlemek için filtreler ve absorpsiyon kuleleri kullanarak havaya salınan özgül flor emisyonları</w:t>
      </w:r>
      <w:r w:rsidR="00F57CE6" w:rsidRPr="00F50C10">
        <w:rPr>
          <w:rFonts w:cs="Times New Roman"/>
          <w:szCs w:val="24"/>
        </w:rPr>
        <w:t>,</w:t>
      </w:r>
      <w:r w:rsidRPr="00F50C10">
        <w:rPr>
          <w:rFonts w:cs="Times New Roman"/>
          <w:szCs w:val="24"/>
        </w:rPr>
        <w:t xml:space="preserve"> üretilen bir ton AlF</w:t>
      </w:r>
      <w:r w:rsidRPr="00F50C10">
        <w:rPr>
          <w:rFonts w:cs="Times New Roman"/>
          <w:szCs w:val="24"/>
          <w:vertAlign w:val="subscript"/>
        </w:rPr>
        <w:t>3</w:t>
      </w:r>
      <w:r w:rsidRPr="00F50C10">
        <w:rPr>
          <w:rFonts w:cs="Times New Roman"/>
          <w:szCs w:val="24"/>
        </w:rPr>
        <w:t xml:space="preserve"> başına 0,015 kg F'ye düşürül</w:t>
      </w:r>
      <w:r w:rsidR="00F57CE6" w:rsidRPr="00F50C10">
        <w:rPr>
          <w:rFonts w:cs="Times New Roman"/>
          <w:szCs w:val="24"/>
        </w:rPr>
        <w:t>ü</w:t>
      </w:r>
      <w:r w:rsidRPr="00F50C10">
        <w:rPr>
          <w:rFonts w:cs="Times New Roman"/>
          <w:szCs w:val="24"/>
        </w:rPr>
        <w:t>r</w:t>
      </w:r>
      <w:r w:rsidR="00C45A5E" w:rsidRPr="00F50C10">
        <w:rPr>
          <w:rFonts w:cs="Times New Roman"/>
          <w:szCs w:val="24"/>
        </w:rPr>
        <w:t>.</w:t>
      </w:r>
    </w:p>
    <w:p w14:paraId="6953B6C4" w14:textId="04ABE58C"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88: </w:t>
      </w:r>
      <w:r w:rsidRPr="00F50C10">
        <w:rPr>
          <w:rFonts w:cs="Times New Roman"/>
          <w:szCs w:val="24"/>
        </w:rPr>
        <w:t>Prosesten çıkan atık sıvıları kireçle nötralize ederek suya salınan özgül flor emisyonları üretilen bir ton AlF</w:t>
      </w:r>
      <w:r w:rsidRPr="00F50C10">
        <w:rPr>
          <w:rFonts w:cs="Times New Roman"/>
          <w:szCs w:val="24"/>
          <w:vertAlign w:val="subscript"/>
        </w:rPr>
        <w:t>3</w:t>
      </w:r>
      <w:r w:rsidRPr="00F50C10">
        <w:rPr>
          <w:rFonts w:cs="Times New Roman"/>
          <w:szCs w:val="24"/>
        </w:rPr>
        <w:t xml:space="preserve"> başına 0,1 kg F'ye düşürül</w:t>
      </w:r>
      <w:r w:rsidR="00F57CE6" w:rsidRPr="00F50C10">
        <w:rPr>
          <w:rFonts w:cs="Times New Roman"/>
          <w:szCs w:val="24"/>
        </w:rPr>
        <w:t>ür</w:t>
      </w:r>
      <w:r w:rsidR="00C45A5E" w:rsidRPr="00F50C10">
        <w:rPr>
          <w:rFonts w:cs="Times New Roman"/>
          <w:szCs w:val="24"/>
        </w:rPr>
        <w:t>.</w:t>
      </w:r>
    </w:p>
    <w:p w14:paraId="4B976BCC" w14:textId="31A6A765" w:rsidR="000F3B99" w:rsidRPr="00F50C10" w:rsidRDefault="000F3B99" w:rsidP="000B206D">
      <w:pPr>
        <w:spacing w:after="120" w:line="276" w:lineRule="auto"/>
        <w:rPr>
          <w:rFonts w:cs="Times New Roman"/>
          <w:szCs w:val="24"/>
        </w:rPr>
      </w:pPr>
      <w:r w:rsidRPr="00F50C10">
        <w:rPr>
          <w:rFonts w:cs="Times New Roman"/>
          <w:b/>
          <w:bCs/>
          <w:szCs w:val="24"/>
        </w:rPr>
        <w:t xml:space="preserve">MET 89: </w:t>
      </w:r>
      <w:r w:rsidR="00F57CE6" w:rsidRPr="00F50C10">
        <w:rPr>
          <w:rFonts w:cs="Times New Roman"/>
          <w:szCs w:val="24"/>
        </w:rPr>
        <w:t>Ham silika ve kalsiyum florür, satılabilir yan ürünlere dönüştürülerek süreçten kaynaklanan katı atık miktarı en aza indirilir.</w:t>
      </w:r>
    </w:p>
    <w:p w14:paraId="0B0F4ED9" w14:textId="77777777" w:rsidR="000F3B99" w:rsidRPr="00F50C10" w:rsidRDefault="000F3B99" w:rsidP="00A654AE">
      <w:pPr>
        <w:pStyle w:val="Balk2"/>
        <w:numPr>
          <w:ilvl w:val="1"/>
          <w:numId w:val="165"/>
        </w:numPr>
        <w:spacing w:before="0" w:after="120" w:line="276" w:lineRule="auto"/>
        <w:rPr>
          <w:rFonts w:cs="Times New Roman"/>
          <w:szCs w:val="24"/>
        </w:rPr>
      </w:pPr>
      <w:r w:rsidRPr="00F50C10">
        <w:rPr>
          <w:rFonts w:cs="Times New Roman"/>
          <w:szCs w:val="24"/>
        </w:rPr>
        <w:t>Kalsiyum Karbür</w:t>
      </w:r>
    </w:p>
    <w:p w14:paraId="65509739"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Elektrotermik fırınla kalsiyum karbür üretimi</w:t>
      </w:r>
    </w:p>
    <w:p w14:paraId="5FC64EFB" w14:textId="2FA8BB0F" w:rsidR="000F3B99" w:rsidRPr="00F50C10" w:rsidRDefault="000F3B99" w:rsidP="000B206D">
      <w:pPr>
        <w:spacing w:after="120" w:line="276" w:lineRule="auto"/>
        <w:rPr>
          <w:rFonts w:cs="Times New Roman"/>
          <w:szCs w:val="24"/>
        </w:rPr>
      </w:pPr>
      <w:r w:rsidRPr="00F50C10">
        <w:rPr>
          <w:rFonts w:cs="Times New Roman"/>
          <w:b/>
          <w:bCs/>
          <w:szCs w:val="24"/>
        </w:rPr>
        <w:t xml:space="preserve">MET 90: </w:t>
      </w:r>
      <w:r w:rsidRPr="00F50C10">
        <w:rPr>
          <w:rFonts w:cs="Times New Roman"/>
          <w:szCs w:val="24"/>
        </w:rPr>
        <w:t>İstenmeyen yan reaksiyonları ve enerji israfını en aza indirmek ve hammaddelerde demir oksit, SiO</w:t>
      </w:r>
      <w:r w:rsidRPr="00F50C10">
        <w:rPr>
          <w:rFonts w:cs="Times New Roman"/>
          <w:szCs w:val="24"/>
          <w:vertAlign w:val="subscript"/>
        </w:rPr>
        <w:t>2</w:t>
      </w:r>
      <w:r w:rsidRPr="00F50C10">
        <w:rPr>
          <w:rFonts w:cs="Times New Roman"/>
          <w:szCs w:val="24"/>
        </w:rPr>
        <w:t>, Al</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3</w:t>
      </w:r>
      <w:r w:rsidRPr="00F50C10">
        <w:rPr>
          <w:rFonts w:cs="Times New Roman"/>
          <w:szCs w:val="24"/>
        </w:rPr>
        <w:t>, MgO ve azot, kükürt ve fosfor bileşiği gibi safsızlıkların fazla miktarda bulunmasını önlemek için uygun kalitede hammaddeler seçil</w:t>
      </w:r>
      <w:r w:rsidR="00F57CE6" w:rsidRPr="00F50C10">
        <w:rPr>
          <w:rFonts w:cs="Times New Roman"/>
          <w:szCs w:val="24"/>
        </w:rPr>
        <w:t>ir</w:t>
      </w:r>
      <w:r w:rsidRPr="00F50C10">
        <w:rPr>
          <w:rFonts w:cs="Times New Roman"/>
          <w:szCs w:val="24"/>
        </w:rPr>
        <w:t xml:space="preserve"> ve bunların saflıklar</w:t>
      </w:r>
      <w:r w:rsidR="00F57CE6" w:rsidRPr="00F50C10">
        <w:rPr>
          <w:rFonts w:cs="Times New Roman"/>
          <w:szCs w:val="24"/>
        </w:rPr>
        <w:t>ı</w:t>
      </w:r>
      <w:r w:rsidRPr="00F50C10">
        <w:rPr>
          <w:rFonts w:cs="Times New Roman"/>
          <w:szCs w:val="24"/>
        </w:rPr>
        <w:t xml:space="preserve"> kontrol edilir. Özellikle:</w:t>
      </w:r>
    </w:p>
    <w:p w14:paraId="55D0D4E4" w14:textId="77777777" w:rsidR="000F3B99" w:rsidRPr="00F50C10" w:rsidRDefault="000F3B99" w:rsidP="00A654AE">
      <w:pPr>
        <w:pStyle w:val="ListeParagraf"/>
        <w:numPr>
          <w:ilvl w:val="0"/>
          <w:numId w:val="95"/>
        </w:numPr>
        <w:spacing w:after="120" w:line="276" w:lineRule="auto"/>
        <w:rPr>
          <w:rFonts w:cs="Times New Roman"/>
          <w:szCs w:val="24"/>
        </w:rPr>
      </w:pPr>
      <w:r w:rsidRPr="00F50C10">
        <w:rPr>
          <w:rFonts w:cs="Times New Roman"/>
          <w:szCs w:val="24"/>
        </w:rPr>
        <w:t>nem içeriği %2'nin altında, kül içeriği %15'in (optimum %10) altında ve (kapalı fırınlarda) tane boyutu 3-25 mm olan kurutulmuş kok kullanılması,</w:t>
      </w:r>
    </w:p>
    <w:p w14:paraId="47840346" w14:textId="6594572B" w:rsidR="000F3B99" w:rsidRPr="00F50C10" w:rsidRDefault="000F3B99" w:rsidP="00A654AE">
      <w:pPr>
        <w:pStyle w:val="ListeParagraf"/>
        <w:numPr>
          <w:ilvl w:val="0"/>
          <w:numId w:val="95"/>
        </w:numPr>
        <w:spacing w:after="120" w:line="276" w:lineRule="auto"/>
        <w:rPr>
          <w:rFonts w:cs="Times New Roman"/>
          <w:szCs w:val="24"/>
        </w:rPr>
      </w:pPr>
      <w:r w:rsidRPr="00F50C10">
        <w:rPr>
          <w:rFonts w:cs="Times New Roman"/>
          <w:szCs w:val="24"/>
        </w:rPr>
        <w:t>kireçteki magnezyum içeriğini %2'nin altında ve tane boyutunu 6 ila 50 mm arasında tutulması. CO</w:t>
      </w:r>
      <w:r w:rsidRPr="00F50C10">
        <w:rPr>
          <w:rFonts w:cs="Times New Roman"/>
          <w:szCs w:val="24"/>
          <w:vertAlign w:val="subscript"/>
        </w:rPr>
        <w:t>2</w:t>
      </w:r>
      <w:r w:rsidRPr="00F50C10">
        <w:rPr>
          <w:rFonts w:cs="Times New Roman"/>
          <w:szCs w:val="24"/>
        </w:rPr>
        <w:t xml:space="preserve"> içeriğini %2'nin altına indirmek için olabildiğince yumuşak kireç (genellikle alçıtaşı) kullanı</w:t>
      </w:r>
      <w:r w:rsidR="00F57CE6" w:rsidRPr="00F50C10">
        <w:rPr>
          <w:rFonts w:cs="Times New Roman"/>
          <w:szCs w:val="24"/>
        </w:rPr>
        <w:t>lması</w:t>
      </w:r>
      <w:r w:rsidRPr="00F50C10">
        <w:rPr>
          <w:rFonts w:cs="Times New Roman"/>
          <w:szCs w:val="24"/>
        </w:rPr>
        <w:t>.</w:t>
      </w:r>
    </w:p>
    <w:p w14:paraId="2E7E631B" w14:textId="295BD6B7" w:rsidR="000F3B99" w:rsidRPr="00F50C10" w:rsidRDefault="000F3B99" w:rsidP="000B206D">
      <w:pPr>
        <w:spacing w:after="120" w:line="276" w:lineRule="auto"/>
        <w:rPr>
          <w:rFonts w:cs="Times New Roman"/>
          <w:szCs w:val="24"/>
        </w:rPr>
      </w:pPr>
      <w:r w:rsidRPr="00F50C10">
        <w:rPr>
          <w:rFonts w:cs="Times New Roman"/>
          <w:b/>
          <w:bCs/>
          <w:szCs w:val="24"/>
        </w:rPr>
        <w:t xml:space="preserve">MET 91: </w:t>
      </w:r>
      <w:r w:rsidR="00F57CE6" w:rsidRPr="00F50C10">
        <w:rPr>
          <w:rFonts w:cs="Times New Roman"/>
          <w:szCs w:val="24"/>
        </w:rPr>
        <w:t>Kalsiyum karbür tesisi, hammadde ve enerjinin verimli kullanılmasını sağlayacak şekilde tasarlanır, işletilir ve gerekli bakım işlemleri yapılır</w:t>
      </w:r>
      <w:r w:rsidRPr="00F50C10">
        <w:rPr>
          <w:rFonts w:cs="Times New Roman"/>
          <w:szCs w:val="24"/>
        </w:rPr>
        <w:t>. Özellikle:</w:t>
      </w:r>
    </w:p>
    <w:p w14:paraId="41ACD202" w14:textId="27EBE9D5" w:rsidR="000F3B99" w:rsidRPr="00F50C10" w:rsidRDefault="000F3B99" w:rsidP="00A654AE">
      <w:pPr>
        <w:pStyle w:val="ListeParagraf"/>
        <w:numPr>
          <w:ilvl w:val="0"/>
          <w:numId w:val="96"/>
        </w:numPr>
        <w:spacing w:after="120" w:line="276" w:lineRule="auto"/>
        <w:ind w:left="900"/>
        <w:rPr>
          <w:rFonts w:cs="Times New Roman"/>
          <w:szCs w:val="24"/>
        </w:rPr>
      </w:pPr>
      <w:r w:rsidRPr="00F50C10">
        <w:rPr>
          <w:rFonts w:cs="Times New Roman"/>
          <w:szCs w:val="24"/>
        </w:rPr>
        <w:t>kapalı fırın bulunan kalsiyum karbür tesisinde bir ton CaC</w:t>
      </w:r>
      <w:r w:rsidRPr="00F50C10">
        <w:rPr>
          <w:rFonts w:cs="Times New Roman"/>
          <w:szCs w:val="24"/>
          <w:vertAlign w:val="subscript"/>
        </w:rPr>
        <w:t>2</w:t>
      </w:r>
      <w:r w:rsidRPr="00F50C10">
        <w:rPr>
          <w:rFonts w:cs="Times New Roman"/>
          <w:szCs w:val="24"/>
        </w:rPr>
        <w:t xml:space="preserve"> başına 930 kg kireç (%94 CaO), 550 kg kok (kuru, %10 kül), 20 kg elektrot malzemesi ve 3200 kWh elektrik kullanılması ve CO fırın gazındaki enerjinin değerlendirilmesi veya fırın gazının proses girdisi olarak kullanılması.</w:t>
      </w:r>
    </w:p>
    <w:p w14:paraId="1E017058" w14:textId="3DDED05A" w:rsidR="000F3B99" w:rsidRPr="00F50C10" w:rsidRDefault="000F3B99" w:rsidP="00A654AE">
      <w:pPr>
        <w:pStyle w:val="ListeParagraf"/>
        <w:numPr>
          <w:ilvl w:val="0"/>
          <w:numId w:val="96"/>
        </w:numPr>
        <w:spacing w:after="120" w:line="276" w:lineRule="auto"/>
        <w:ind w:left="900"/>
        <w:rPr>
          <w:rFonts w:cs="Times New Roman"/>
          <w:szCs w:val="24"/>
        </w:rPr>
      </w:pPr>
      <w:r w:rsidRPr="00F50C10">
        <w:rPr>
          <w:rFonts w:cs="Times New Roman"/>
          <w:szCs w:val="24"/>
        </w:rPr>
        <w:t>açık tip fırın bulunan kalsiyum karbür tesisinde (CO gazının toplanmadığı) kullanılabilecek hammadde çeşidinin daha fazla olduğu ve prosesin esnekliği göz önünde bulundurularak hammadde ve enerji tasarrufu yapılması ve üretimin çevre üzerindeki etkisinin azaltılması.</w:t>
      </w:r>
    </w:p>
    <w:p w14:paraId="383F9CBD" w14:textId="54D51314"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92: </w:t>
      </w:r>
      <w:r w:rsidR="00D029A1" w:rsidRPr="00F50C10">
        <w:rPr>
          <w:rFonts w:cs="Times New Roman"/>
          <w:szCs w:val="24"/>
        </w:rPr>
        <w:t>Kapalı fırınlarda, toz yüklü CO fırın gazı tamamen toplanır. Islak veya kuru toz giderme sistemleri kullanılarak gaz, 1-5 mg/Nm³ seviyesine kadar temizlenir. Arındırılmış fırın gazındaki enerji, tesis içinde veya diğer işlemlerde kullanılır.</w:t>
      </w:r>
    </w:p>
    <w:p w14:paraId="7B6CBE0C" w14:textId="6F4A999E" w:rsidR="000F3B99" w:rsidRPr="00F50C10" w:rsidRDefault="000F3B99" w:rsidP="000B206D">
      <w:pPr>
        <w:spacing w:after="120" w:line="276" w:lineRule="auto"/>
        <w:rPr>
          <w:rFonts w:cs="Times New Roman"/>
          <w:szCs w:val="24"/>
        </w:rPr>
      </w:pPr>
      <w:r w:rsidRPr="00F50C10">
        <w:rPr>
          <w:rFonts w:cs="Times New Roman"/>
          <w:b/>
          <w:bCs/>
          <w:szCs w:val="24"/>
        </w:rPr>
        <w:t xml:space="preserve">MET 93: </w:t>
      </w:r>
      <w:r w:rsidRPr="00F50C10">
        <w:rPr>
          <w:rFonts w:cs="Times New Roman"/>
          <w:szCs w:val="24"/>
        </w:rPr>
        <w:t>Açık tip fırının kullanıldığı CaC</w:t>
      </w:r>
      <w:r w:rsidRPr="00F50C10">
        <w:rPr>
          <w:rFonts w:cs="Times New Roman"/>
          <w:szCs w:val="24"/>
          <w:vertAlign w:val="subscript"/>
        </w:rPr>
        <w:t>2</w:t>
      </w:r>
      <w:r w:rsidRPr="00F50C10">
        <w:rPr>
          <w:rFonts w:cs="Times New Roman"/>
          <w:szCs w:val="24"/>
        </w:rPr>
        <w:t xml:space="preserve"> tesislerinde ortak toz giderme sistemi kullan</w:t>
      </w:r>
      <w:r w:rsidR="00D029A1" w:rsidRPr="00F50C10">
        <w:rPr>
          <w:rFonts w:cs="Times New Roman"/>
          <w:szCs w:val="24"/>
        </w:rPr>
        <w:t>ıl</w:t>
      </w:r>
      <w:r w:rsidRPr="00F50C10">
        <w:rPr>
          <w:rFonts w:cs="Times New Roman"/>
          <w:szCs w:val="24"/>
        </w:rPr>
        <w:t>arak fırın ve boşaltma gazındaki nihai toz içeriği 3 mg/Nm</w:t>
      </w:r>
      <w:r w:rsidRPr="00F50C10">
        <w:rPr>
          <w:rFonts w:cs="Times New Roman"/>
          <w:szCs w:val="24"/>
          <w:vertAlign w:val="superscript"/>
        </w:rPr>
        <w:t>3</w:t>
      </w:r>
      <w:r w:rsidRPr="00F50C10">
        <w:rPr>
          <w:rFonts w:cs="Times New Roman"/>
          <w:szCs w:val="24"/>
        </w:rPr>
        <w:t>'e düşürül</w:t>
      </w:r>
      <w:r w:rsidR="00D029A1" w:rsidRPr="00F50C10">
        <w:rPr>
          <w:rFonts w:cs="Times New Roman"/>
          <w:szCs w:val="24"/>
        </w:rPr>
        <w:t>ür</w:t>
      </w:r>
      <w:r w:rsidR="00C45A5E" w:rsidRPr="00F50C10">
        <w:rPr>
          <w:rFonts w:cs="Times New Roman"/>
          <w:szCs w:val="24"/>
        </w:rPr>
        <w:t>.</w:t>
      </w:r>
    </w:p>
    <w:p w14:paraId="15C3C5D4" w14:textId="5100942F" w:rsidR="000F3B99" w:rsidRPr="00F50C10" w:rsidRDefault="000F3B99" w:rsidP="000B206D">
      <w:pPr>
        <w:spacing w:after="120" w:line="276" w:lineRule="auto"/>
        <w:rPr>
          <w:rFonts w:cs="Times New Roman"/>
          <w:szCs w:val="24"/>
        </w:rPr>
      </w:pPr>
      <w:r w:rsidRPr="00F50C10">
        <w:rPr>
          <w:rFonts w:cs="Times New Roman"/>
          <w:b/>
          <w:bCs/>
          <w:szCs w:val="24"/>
        </w:rPr>
        <w:t xml:space="preserve">MET 94: </w:t>
      </w:r>
      <w:r w:rsidR="00D029A1" w:rsidRPr="00F50C10">
        <w:rPr>
          <w:rFonts w:cs="Times New Roman"/>
          <w:szCs w:val="24"/>
        </w:rPr>
        <w:t>Boşaltma işlemi sonucu oluşan duman emisyonları, kuru duman ekstraksiyon sistemi ve torba filtreler kullanılarak üretilen her bir ton CaC₂ başına 9 g toz seviyesine düşürülür</w:t>
      </w:r>
      <w:r w:rsidR="00C45A5E" w:rsidRPr="00F50C10">
        <w:rPr>
          <w:rFonts w:cs="Times New Roman"/>
          <w:szCs w:val="24"/>
        </w:rPr>
        <w:t>.</w:t>
      </w:r>
    </w:p>
    <w:p w14:paraId="1289060C" w14:textId="4E1F7821" w:rsidR="000F3B99" w:rsidRPr="00F50C10" w:rsidRDefault="000F3B99" w:rsidP="000B206D">
      <w:pPr>
        <w:spacing w:after="120" w:line="276" w:lineRule="auto"/>
        <w:rPr>
          <w:rFonts w:cs="Times New Roman"/>
          <w:szCs w:val="24"/>
        </w:rPr>
      </w:pPr>
      <w:r w:rsidRPr="00F50C10">
        <w:rPr>
          <w:rFonts w:cs="Times New Roman"/>
          <w:b/>
          <w:bCs/>
          <w:szCs w:val="24"/>
        </w:rPr>
        <w:t xml:space="preserve">MET 95: </w:t>
      </w:r>
      <w:r w:rsidRPr="00F50C10">
        <w:rPr>
          <w:rFonts w:cs="Times New Roman"/>
          <w:szCs w:val="24"/>
        </w:rPr>
        <w:t>Havanın hapsedilmesi ve diğer emisyon kaynaklarından (vagon boşaltma sistemi, parçalayıcı, kok kurutma, hammaddeyi tozdan arındırma, kalsiyum karbür depolama) kaynaklanan toz emisyonları torba filtreler kullanarak 1- 5 mg/Nm</w:t>
      </w:r>
      <w:r w:rsidRPr="00F50C10">
        <w:rPr>
          <w:rFonts w:cs="Times New Roman"/>
          <w:szCs w:val="24"/>
          <w:vertAlign w:val="superscript"/>
        </w:rPr>
        <w:t>3</w:t>
      </w:r>
      <w:r w:rsidRPr="00F50C10">
        <w:rPr>
          <w:rFonts w:cs="Times New Roman"/>
          <w:szCs w:val="24"/>
        </w:rPr>
        <w:t xml:space="preserve"> seviyesine düşürül</w:t>
      </w:r>
      <w:r w:rsidR="00D029A1" w:rsidRPr="00F50C10">
        <w:rPr>
          <w:rFonts w:cs="Times New Roman"/>
          <w:szCs w:val="24"/>
        </w:rPr>
        <w:t>ür</w:t>
      </w:r>
      <w:r w:rsidR="00C45A5E" w:rsidRPr="00F50C10">
        <w:rPr>
          <w:rFonts w:cs="Times New Roman"/>
          <w:szCs w:val="24"/>
        </w:rPr>
        <w:t>.</w:t>
      </w:r>
    </w:p>
    <w:p w14:paraId="2DB9BE65" w14:textId="77777777" w:rsidR="000F3B99" w:rsidRPr="00F50C10" w:rsidRDefault="000F3B99" w:rsidP="00A654AE">
      <w:pPr>
        <w:pStyle w:val="Balk2"/>
        <w:numPr>
          <w:ilvl w:val="1"/>
          <w:numId w:val="165"/>
        </w:numPr>
        <w:spacing w:before="0" w:after="120" w:line="276" w:lineRule="auto"/>
        <w:rPr>
          <w:rFonts w:cs="Times New Roman"/>
          <w:szCs w:val="24"/>
        </w:rPr>
      </w:pPr>
      <w:r w:rsidRPr="00F50C10">
        <w:rPr>
          <w:rFonts w:cs="Times New Roman"/>
          <w:szCs w:val="24"/>
        </w:rPr>
        <w:t>Karbon Disülfür</w:t>
      </w:r>
    </w:p>
    <w:p w14:paraId="49C9FFD5"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Metal prosesiyle karbon disülfür üretimi</w:t>
      </w:r>
    </w:p>
    <w:p w14:paraId="656871BB" w14:textId="20DE0D06" w:rsidR="000F3B99" w:rsidRPr="00F50C10" w:rsidRDefault="000F3B99" w:rsidP="000B206D">
      <w:pPr>
        <w:spacing w:after="120" w:line="276" w:lineRule="auto"/>
        <w:rPr>
          <w:rFonts w:cs="Times New Roman"/>
          <w:szCs w:val="24"/>
        </w:rPr>
      </w:pPr>
      <w:r w:rsidRPr="00F50C10">
        <w:rPr>
          <w:rFonts w:cs="Times New Roman"/>
          <w:b/>
          <w:bCs/>
          <w:szCs w:val="24"/>
        </w:rPr>
        <w:t xml:space="preserve">MET 96: </w:t>
      </w:r>
      <w:r w:rsidRPr="00F50C10">
        <w:rPr>
          <w:rFonts w:cs="Times New Roman"/>
          <w:szCs w:val="24"/>
        </w:rPr>
        <w:t>Havaya salınan emisyonları azaltacak önleyici önlemleri uygulayarak havaya salınan karbon disülfür emisyonları bir ton nihai CS</w:t>
      </w:r>
      <w:r w:rsidRPr="00F50C10">
        <w:rPr>
          <w:rFonts w:cs="Times New Roman"/>
          <w:szCs w:val="24"/>
          <w:vertAlign w:val="subscript"/>
        </w:rPr>
        <w:t>2</w:t>
      </w:r>
      <w:r w:rsidRPr="00F50C10">
        <w:rPr>
          <w:rFonts w:cs="Times New Roman"/>
          <w:szCs w:val="24"/>
        </w:rPr>
        <w:t xml:space="preserve"> ürünü başına 12 g CS</w:t>
      </w:r>
      <w:r w:rsidRPr="00F50C10">
        <w:rPr>
          <w:rFonts w:cs="Times New Roman"/>
          <w:szCs w:val="24"/>
          <w:vertAlign w:val="subscript"/>
        </w:rPr>
        <w:t>2</w:t>
      </w:r>
      <w:r w:rsidRPr="00F50C10">
        <w:rPr>
          <w:rFonts w:cs="Times New Roman"/>
          <w:szCs w:val="24"/>
        </w:rPr>
        <w:t xml:space="preserve"> altına düşürül</w:t>
      </w:r>
      <w:r w:rsidR="00D029A1" w:rsidRPr="00F50C10">
        <w:rPr>
          <w:rFonts w:cs="Times New Roman"/>
          <w:szCs w:val="24"/>
        </w:rPr>
        <w:t>ür</w:t>
      </w:r>
      <w:r w:rsidRPr="00F50C10">
        <w:rPr>
          <w:rFonts w:cs="Times New Roman"/>
          <w:szCs w:val="24"/>
        </w:rPr>
        <w:t>:</w:t>
      </w:r>
    </w:p>
    <w:p w14:paraId="72E00D97" w14:textId="77777777" w:rsidR="000F3B99" w:rsidRPr="00F50C10" w:rsidRDefault="000F3B99" w:rsidP="00A654AE">
      <w:pPr>
        <w:pStyle w:val="ListeParagraf"/>
        <w:numPr>
          <w:ilvl w:val="0"/>
          <w:numId w:val="97"/>
        </w:numPr>
        <w:spacing w:after="120" w:line="276" w:lineRule="auto"/>
        <w:ind w:left="900"/>
        <w:rPr>
          <w:rFonts w:cs="Times New Roman"/>
          <w:szCs w:val="24"/>
        </w:rPr>
      </w:pPr>
      <w:r w:rsidRPr="00F50C10">
        <w:rPr>
          <w:rFonts w:cs="Times New Roman"/>
          <w:szCs w:val="24"/>
        </w:rPr>
        <w:t>işletmeye alma ve kapatma işlemlerinin sayısının en aza indirilmesi,</w:t>
      </w:r>
    </w:p>
    <w:p w14:paraId="187640F6" w14:textId="77777777" w:rsidR="000F3B99" w:rsidRPr="00F50C10" w:rsidRDefault="000F3B99" w:rsidP="00A654AE">
      <w:pPr>
        <w:pStyle w:val="ListeParagraf"/>
        <w:numPr>
          <w:ilvl w:val="0"/>
          <w:numId w:val="97"/>
        </w:numPr>
        <w:spacing w:after="120" w:line="276" w:lineRule="auto"/>
        <w:ind w:left="900"/>
        <w:rPr>
          <w:rFonts w:cs="Times New Roman"/>
          <w:szCs w:val="24"/>
        </w:rPr>
      </w:pPr>
      <w:r w:rsidRPr="00F50C10">
        <w:rPr>
          <w:rFonts w:cs="Times New Roman"/>
          <w:szCs w:val="24"/>
        </w:rPr>
        <w:t>difüz emisyonları önlemek için ekstra sızdırmaz bağlantı elemanları, flanş keçeleri ve şaft sızdırmaz tasarımlı pompalar kullanılması,</w:t>
      </w:r>
    </w:p>
    <w:p w14:paraId="0BA6CE73" w14:textId="77777777" w:rsidR="000F3B99" w:rsidRPr="00F50C10" w:rsidRDefault="000F3B99" w:rsidP="00A654AE">
      <w:pPr>
        <w:pStyle w:val="ListeParagraf"/>
        <w:numPr>
          <w:ilvl w:val="0"/>
          <w:numId w:val="97"/>
        </w:numPr>
        <w:spacing w:after="120" w:line="276" w:lineRule="auto"/>
        <w:ind w:left="900"/>
        <w:rPr>
          <w:rFonts w:cs="Times New Roman"/>
          <w:szCs w:val="24"/>
        </w:rPr>
      </w:pPr>
      <w:r w:rsidRPr="00F50C10">
        <w:rPr>
          <w:rFonts w:cs="Times New Roman"/>
          <w:szCs w:val="24"/>
        </w:rPr>
        <w:t>suyla kapatma ile ürün depolama yapılırken su depolama tanklarında su yüzeyinin kapatılması,</w:t>
      </w:r>
    </w:p>
    <w:p w14:paraId="194AC448" w14:textId="77777777" w:rsidR="000F3B99" w:rsidRPr="00F50C10" w:rsidRDefault="000F3B99" w:rsidP="00A654AE">
      <w:pPr>
        <w:pStyle w:val="ListeParagraf"/>
        <w:numPr>
          <w:ilvl w:val="0"/>
          <w:numId w:val="97"/>
        </w:numPr>
        <w:spacing w:after="120" w:line="276" w:lineRule="auto"/>
        <w:ind w:left="900"/>
        <w:rPr>
          <w:rFonts w:cs="Times New Roman"/>
          <w:szCs w:val="24"/>
        </w:rPr>
      </w:pPr>
      <w:r w:rsidRPr="00F50C10">
        <w:rPr>
          <w:rFonts w:cs="Times New Roman"/>
          <w:szCs w:val="24"/>
        </w:rPr>
        <w:t>suyla kapatma ile ürün depolama yapılırken kapların doldurulması sırasında çıkan havanın yakalanması ve arıtılması,</w:t>
      </w:r>
    </w:p>
    <w:p w14:paraId="6458C1F7" w14:textId="77777777" w:rsidR="000F3B99" w:rsidRPr="00F50C10" w:rsidRDefault="000F3B99" w:rsidP="00A654AE">
      <w:pPr>
        <w:pStyle w:val="ListeParagraf"/>
        <w:numPr>
          <w:ilvl w:val="0"/>
          <w:numId w:val="97"/>
        </w:numPr>
        <w:spacing w:after="120" w:line="276" w:lineRule="auto"/>
        <w:ind w:left="900"/>
        <w:rPr>
          <w:rFonts w:cs="Times New Roman"/>
          <w:szCs w:val="24"/>
        </w:rPr>
      </w:pPr>
      <w:r w:rsidRPr="00F50C10">
        <w:rPr>
          <w:rFonts w:cs="Times New Roman"/>
          <w:szCs w:val="24"/>
        </w:rPr>
        <w:t>ürün depolama için sabit kubbeli tanklar kullanılırken yüksek ve düşük basınç için emniyet valfleri, beyaz boyalı tanklar ve buhar dengeleme sistemleri kullanmak.</w:t>
      </w:r>
    </w:p>
    <w:p w14:paraId="3C160955" w14:textId="08C29D57"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97: </w:t>
      </w:r>
      <w:r w:rsidRPr="00F50C10">
        <w:rPr>
          <w:rFonts w:cs="Times New Roman"/>
          <w:szCs w:val="24"/>
        </w:rPr>
        <w:t>Claus prosesinin atık gazından çıkan kükürt bileşiklerinin (SO</w:t>
      </w:r>
      <w:r w:rsidRPr="00F50C10">
        <w:rPr>
          <w:rFonts w:cs="Times New Roman"/>
          <w:szCs w:val="24"/>
          <w:vertAlign w:val="subscript"/>
        </w:rPr>
        <w:t>2</w:t>
      </w:r>
      <w:r w:rsidRPr="00F50C10">
        <w:rPr>
          <w:rFonts w:cs="Times New Roman"/>
          <w:szCs w:val="24"/>
        </w:rPr>
        <w:t xml:space="preserve"> ve H</w:t>
      </w:r>
      <w:r w:rsidRPr="00F50C10">
        <w:rPr>
          <w:rFonts w:cs="Times New Roman"/>
          <w:szCs w:val="24"/>
          <w:vertAlign w:val="subscript"/>
        </w:rPr>
        <w:t>2</w:t>
      </w:r>
      <w:r w:rsidRPr="00F50C10">
        <w:rPr>
          <w:rFonts w:cs="Times New Roman"/>
          <w:szCs w:val="24"/>
        </w:rPr>
        <w:t>S) elemental kükürde dönüşme oranı</w:t>
      </w:r>
      <w:r w:rsidR="00D029A1" w:rsidRPr="00F50C10">
        <w:rPr>
          <w:rFonts w:cs="Times New Roman"/>
          <w:szCs w:val="24"/>
        </w:rPr>
        <w:t xml:space="preserve"> yeni tesislerde</w:t>
      </w:r>
      <w:r w:rsidRPr="00F50C10">
        <w:rPr>
          <w:rFonts w:cs="Times New Roman"/>
          <w:szCs w:val="24"/>
        </w:rPr>
        <w:t xml:space="preserve"> %99,8'in üzerinde, mevcut tesislerde ise %99,5'in üzerinde tutu</w:t>
      </w:r>
      <w:r w:rsidR="00D029A1" w:rsidRPr="00F50C10">
        <w:rPr>
          <w:rFonts w:cs="Times New Roman"/>
          <w:szCs w:val="24"/>
        </w:rPr>
        <w:t>lu</w:t>
      </w:r>
      <w:r w:rsidRPr="00F50C10">
        <w:rPr>
          <w:rFonts w:cs="Times New Roman"/>
          <w:szCs w:val="24"/>
        </w:rPr>
        <w:t>r. Bu, çıkış gazının 3 mg S/Nm</w:t>
      </w:r>
      <w:r w:rsidRPr="00F50C10">
        <w:rPr>
          <w:rFonts w:cs="Times New Roman"/>
          <w:szCs w:val="24"/>
          <w:vertAlign w:val="superscript"/>
        </w:rPr>
        <w:t>3</w:t>
      </w:r>
      <w:r w:rsidRPr="00F50C10">
        <w:rPr>
          <w:rFonts w:cs="Times New Roman"/>
          <w:szCs w:val="24"/>
        </w:rPr>
        <w:t xml:space="preserve"> altında nihai sülfüdik bileşik konsantrasyonuna ulaşacak şekilde yüksek performanslı gaz arıtma sistemi kurup ardından atık gaz yakma işlemiyle gerçekleştirilebilir</w:t>
      </w:r>
      <w:r w:rsidR="00D029A1" w:rsidRPr="00F50C10">
        <w:rPr>
          <w:rFonts w:cs="Times New Roman"/>
          <w:szCs w:val="24"/>
        </w:rPr>
        <w:t>.</w:t>
      </w:r>
    </w:p>
    <w:p w14:paraId="3470CB3C" w14:textId="30396098"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98: </w:t>
      </w:r>
      <w:r w:rsidRPr="00F50C10">
        <w:rPr>
          <w:rFonts w:cs="Times New Roman"/>
          <w:szCs w:val="24"/>
        </w:rPr>
        <w:t>Deşarj edilen atık suların sucul ortamlar üzerindeki etkisini azaltmak için CS</w:t>
      </w:r>
      <w:r w:rsidRPr="00F50C10">
        <w:rPr>
          <w:rFonts w:cs="Times New Roman"/>
          <w:szCs w:val="24"/>
          <w:vertAlign w:val="subscript"/>
        </w:rPr>
        <w:t>2</w:t>
      </w:r>
      <w:r w:rsidRPr="00F50C10">
        <w:rPr>
          <w:rFonts w:cs="Times New Roman"/>
          <w:szCs w:val="24"/>
        </w:rPr>
        <w:t xml:space="preserve"> ürününün alkali yıkaması sonucu oluşan ve sodyum sülfür (Na</w:t>
      </w:r>
      <w:r w:rsidRPr="00F50C10">
        <w:rPr>
          <w:rFonts w:cs="Times New Roman"/>
          <w:szCs w:val="24"/>
          <w:vertAlign w:val="subscript"/>
        </w:rPr>
        <w:t>2</w:t>
      </w:r>
      <w:r w:rsidRPr="00F50C10">
        <w:rPr>
          <w:rFonts w:cs="Times New Roman"/>
          <w:szCs w:val="24"/>
        </w:rPr>
        <w:t>S) içeren atık sular</w:t>
      </w:r>
      <w:r w:rsidR="00D029A1" w:rsidRPr="00F50C10">
        <w:rPr>
          <w:rFonts w:cs="Times New Roman"/>
          <w:szCs w:val="24"/>
        </w:rPr>
        <w:t>,</w:t>
      </w:r>
      <w:r w:rsidRPr="00F50C10">
        <w:rPr>
          <w:rFonts w:cs="Times New Roman"/>
          <w:szCs w:val="24"/>
        </w:rPr>
        <w:t xml:space="preserve"> hidrojen peroksit (H</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2</w:t>
      </w:r>
      <w:r w:rsidRPr="00F50C10">
        <w:rPr>
          <w:rFonts w:cs="Times New Roman"/>
          <w:szCs w:val="24"/>
        </w:rPr>
        <w:t>) ile oksitleme yoluyla sodyum sülfitler ve sülfatlar verecek şekilde arıtıl</w:t>
      </w:r>
      <w:r w:rsidR="00D029A1" w:rsidRPr="00F50C10">
        <w:rPr>
          <w:rFonts w:cs="Times New Roman"/>
          <w:szCs w:val="24"/>
        </w:rPr>
        <w:t>ır.</w:t>
      </w:r>
    </w:p>
    <w:p w14:paraId="66318FF7" w14:textId="2A08B88B" w:rsidR="000F3B99" w:rsidRPr="00F50C10" w:rsidRDefault="000F3B99" w:rsidP="000B206D">
      <w:pPr>
        <w:spacing w:after="120" w:line="276" w:lineRule="auto"/>
        <w:rPr>
          <w:rFonts w:cs="Times New Roman"/>
          <w:szCs w:val="24"/>
        </w:rPr>
      </w:pPr>
      <w:r w:rsidRPr="00F50C10">
        <w:rPr>
          <w:rFonts w:cs="Times New Roman"/>
          <w:b/>
          <w:bCs/>
          <w:szCs w:val="24"/>
        </w:rPr>
        <w:t xml:space="preserve">MET 99: </w:t>
      </w:r>
      <w:r w:rsidRPr="00F50C10">
        <w:rPr>
          <w:rFonts w:cs="Times New Roman"/>
          <w:szCs w:val="24"/>
        </w:rPr>
        <w:t>Deşarj edilen atık suların sucul ortam üzerindeki etkisini azaltmak için atık suların (CS</w:t>
      </w:r>
      <w:r w:rsidRPr="00F50C10">
        <w:rPr>
          <w:rFonts w:cs="Times New Roman"/>
          <w:szCs w:val="24"/>
          <w:vertAlign w:val="subscript"/>
        </w:rPr>
        <w:t>2</w:t>
      </w:r>
      <w:r w:rsidRPr="00F50C10">
        <w:rPr>
          <w:rFonts w:cs="Times New Roman"/>
          <w:szCs w:val="24"/>
        </w:rPr>
        <w:t xml:space="preserve"> depolama tankından taşan) sıyırma ve ardından çıkan atık gazdaki CS</w:t>
      </w:r>
      <w:r w:rsidRPr="00F50C10">
        <w:rPr>
          <w:rFonts w:cs="Times New Roman"/>
          <w:szCs w:val="24"/>
          <w:vertAlign w:val="subscript"/>
        </w:rPr>
        <w:t>2</w:t>
      </w:r>
      <w:r w:rsidR="00D029A1" w:rsidRPr="00F50C10">
        <w:rPr>
          <w:rFonts w:cs="Times New Roman"/>
          <w:szCs w:val="24"/>
        </w:rPr>
        <w:t>,</w:t>
      </w:r>
      <w:r w:rsidRPr="00F50C10">
        <w:rPr>
          <w:rFonts w:cs="Times New Roman"/>
          <w:szCs w:val="24"/>
        </w:rPr>
        <w:t xml:space="preserve"> termal oksitleme yoluyla arıtılır</w:t>
      </w:r>
      <w:r w:rsidR="00D029A1" w:rsidRPr="00F50C10">
        <w:rPr>
          <w:rFonts w:cs="Times New Roman"/>
          <w:szCs w:val="24"/>
        </w:rPr>
        <w:t>.</w:t>
      </w:r>
    </w:p>
    <w:p w14:paraId="166CE866" w14:textId="615E761D"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100: </w:t>
      </w:r>
      <w:r w:rsidRPr="00F50C10">
        <w:rPr>
          <w:rFonts w:cs="Times New Roman"/>
          <w:szCs w:val="24"/>
        </w:rPr>
        <w:t>Katalizörün kullanım ömrünü uzatarak (katalizör, gaz kalitesi ve proses koşulları optimizasyonu) ve CS</w:t>
      </w:r>
      <w:r w:rsidRPr="00F50C10">
        <w:rPr>
          <w:rFonts w:cs="Times New Roman"/>
          <w:szCs w:val="24"/>
          <w:vertAlign w:val="subscript"/>
        </w:rPr>
        <w:t>2</w:t>
      </w:r>
      <w:r w:rsidRPr="00F50C10">
        <w:rPr>
          <w:rFonts w:cs="Times New Roman"/>
          <w:szCs w:val="24"/>
        </w:rPr>
        <w:t xml:space="preserve"> buharlarının absorpsiyonu için kullanılan mineral yağın geri dönüştürülmesi yoluyla toprakta bertaraf edilen katı atıklar en aza indirilir</w:t>
      </w:r>
      <w:r w:rsidR="00D029A1" w:rsidRPr="00F50C10">
        <w:rPr>
          <w:rFonts w:cs="Times New Roman"/>
          <w:szCs w:val="24"/>
        </w:rPr>
        <w:t>.</w:t>
      </w:r>
    </w:p>
    <w:p w14:paraId="6B1C5995" w14:textId="77777777" w:rsidR="000F3B99" w:rsidRPr="00F50C10" w:rsidRDefault="000F3B99" w:rsidP="00A654AE">
      <w:pPr>
        <w:pStyle w:val="Balk2"/>
        <w:numPr>
          <w:ilvl w:val="1"/>
          <w:numId w:val="165"/>
        </w:numPr>
        <w:spacing w:before="0" w:after="120" w:line="276" w:lineRule="auto"/>
        <w:rPr>
          <w:rFonts w:cs="Times New Roman"/>
          <w:szCs w:val="24"/>
        </w:rPr>
      </w:pPr>
      <w:r w:rsidRPr="00F50C10">
        <w:rPr>
          <w:rFonts w:cs="Times New Roman"/>
          <w:szCs w:val="24"/>
        </w:rPr>
        <w:t>Demir Klorür</w:t>
      </w:r>
    </w:p>
    <w:p w14:paraId="39A5A2BD"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Klorür prosesi yöntemiyle TiO</w:t>
      </w:r>
      <w:r w:rsidRPr="00F50C10">
        <w:rPr>
          <w:rFonts w:cs="Times New Roman"/>
          <w:vertAlign w:val="subscript"/>
        </w:rPr>
        <w:t>2</w:t>
      </w:r>
      <w:r w:rsidRPr="00F50C10">
        <w:rPr>
          <w:rFonts w:cs="Times New Roman"/>
        </w:rPr>
        <w:t xml:space="preserve"> üretimiyle entegre demir klorür çözeltisi üretimi</w:t>
      </w:r>
    </w:p>
    <w:p w14:paraId="1EB20687" w14:textId="77777777" w:rsidR="00D029A1" w:rsidRPr="00F50C10" w:rsidRDefault="000F3B99" w:rsidP="000B206D">
      <w:pPr>
        <w:spacing w:after="120" w:line="276" w:lineRule="auto"/>
        <w:rPr>
          <w:rFonts w:cs="Times New Roman"/>
          <w:szCs w:val="24"/>
        </w:rPr>
      </w:pPr>
      <w:r w:rsidRPr="00F50C10">
        <w:rPr>
          <w:rFonts w:cs="Times New Roman"/>
          <w:b/>
          <w:bCs/>
          <w:szCs w:val="24"/>
        </w:rPr>
        <w:t xml:space="preserve">MET 101: </w:t>
      </w:r>
      <w:r w:rsidRPr="00F50C10">
        <w:rPr>
          <w:rFonts w:cs="Times New Roman"/>
          <w:szCs w:val="24"/>
        </w:rPr>
        <w:t>Klorlayıcı çıkış gazından (TiO</w:t>
      </w:r>
      <w:r w:rsidRPr="00F50C10">
        <w:rPr>
          <w:rFonts w:cs="Times New Roman"/>
          <w:szCs w:val="24"/>
          <w:vertAlign w:val="subscript"/>
        </w:rPr>
        <w:t>2</w:t>
      </w:r>
      <w:r w:rsidRPr="00F50C10">
        <w:rPr>
          <w:rFonts w:cs="Times New Roman"/>
          <w:szCs w:val="24"/>
        </w:rPr>
        <w:t xml:space="preserve"> tesisine geri dönüştürülür) FeCl</w:t>
      </w:r>
      <w:r w:rsidRPr="00F50C10">
        <w:rPr>
          <w:rFonts w:cs="Times New Roman"/>
          <w:szCs w:val="24"/>
          <w:vertAlign w:val="subscript"/>
        </w:rPr>
        <w:t>2</w:t>
      </w:r>
      <w:r w:rsidRPr="00F50C10">
        <w:rPr>
          <w:rFonts w:cs="Times New Roman"/>
          <w:szCs w:val="24"/>
        </w:rPr>
        <w:t xml:space="preserve"> tozu uzaklaştırıl</w:t>
      </w:r>
      <w:r w:rsidR="00D029A1" w:rsidRPr="00F50C10">
        <w:rPr>
          <w:rFonts w:cs="Times New Roman"/>
          <w:szCs w:val="24"/>
        </w:rPr>
        <w:t xml:space="preserve">ır </w:t>
      </w:r>
      <w:r w:rsidRPr="00F50C10">
        <w:rPr>
          <w:rFonts w:cs="Times New Roman"/>
          <w:szCs w:val="24"/>
        </w:rPr>
        <w:t>ve aşağıda belirtilen teknikler en uygun sıralamayla kullanılarak üretilen her ton TiO</w:t>
      </w:r>
      <w:r w:rsidRPr="00F50C10">
        <w:rPr>
          <w:rFonts w:cs="Times New Roman"/>
          <w:szCs w:val="24"/>
          <w:vertAlign w:val="subscript"/>
        </w:rPr>
        <w:t>2</w:t>
      </w:r>
      <w:r w:rsidRPr="00F50C10">
        <w:rPr>
          <w:rFonts w:cs="Times New Roman"/>
          <w:szCs w:val="24"/>
        </w:rPr>
        <w:t xml:space="preserve"> başına en az 940 kg %20 FeCl</w:t>
      </w:r>
      <w:r w:rsidRPr="00F50C10">
        <w:rPr>
          <w:rFonts w:cs="Times New Roman"/>
          <w:szCs w:val="24"/>
          <w:vertAlign w:val="subscript"/>
        </w:rPr>
        <w:t>2</w:t>
      </w:r>
      <w:r w:rsidRPr="00F50C10">
        <w:rPr>
          <w:rFonts w:cs="Times New Roman"/>
          <w:szCs w:val="24"/>
        </w:rPr>
        <w:t xml:space="preserve"> çözeltisi geri kazanıl</w:t>
      </w:r>
      <w:r w:rsidR="00D029A1" w:rsidRPr="00F50C10">
        <w:rPr>
          <w:rFonts w:cs="Times New Roman"/>
          <w:szCs w:val="24"/>
        </w:rPr>
        <w:t>ır:</w:t>
      </w:r>
      <w:r w:rsidRPr="00F50C10">
        <w:rPr>
          <w:rFonts w:cs="Times New Roman"/>
          <w:szCs w:val="24"/>
        </w:rPr>
        <w:t xml:space="preserve"> </w:t>
      </w:r>
    </w:p>
    <w:p w14:paraId="7E23BB1A" w14:textId="524E3E1F" w:rsidR="000F3B99" w:rsidRPr="00F50C10" w:rsidRDefault="000F3B99" w:rsidP="00A654AE">
      <w:pPr>
        <w:pStyle w:val="ListeParagraf"/>
        <w:numPr>
          <w:ilvl w:val="0"/>
          <w:numId w:val="163"/>
        </w:numPr>
        <w:spacing w:after="120" w:line="276" w:lineRule="auto"/>
        <w:rPr>
          <w:rFonts w:cs="Times New Roman"/>
          <w:szCs w:val="24"/>
        </w:rPr>
      </w:pPr>
      <w:r w:rsidRPr="00F50C10">
        <w:rPr>
          <w:rFonts w:cs="Times New Roman"/>
          <w:szCs w:val="24"/>
        </w:rPr>
        <w:t>FeCl</w:t>
      </w:r>
      <w:r w:rsidRPr="00F50C10">
        <w:rPr>
          <w:rFonts w:cs="Times New Roman"/>
          <w:szCs w:val="24"/>
          <w:vertAlign w:val="subscript"/>
        </w:rPr>
        <w:t>2</w:t>
      </w:r>
      <w:r w:rsidRPr="00F50C10">
        <w:rPr>
          <w:rFonts w:cs="Times New Roman"/>
          <w:szCs w:val="24"/>
        </w:rPr>
        <w:t xml:space="preserve"> tozunun siklon içinde ayrılması,</w:t>
      </w:r>
    </w:p>
    <w:p w14:paraId="59F35A9A" w14:textId="77777777" w:rsidR="00D029A1" w:rsidRPr="00F50C10" w:rsidRDefault="000F3B99" w:rsidP="00A654AE">
      <w:pPr>
        <w:pStyle w:val="ListeParagraf"/>
        <w:numPr>
          <w:ilvl w:val="0"/>
          <w:numId w:val="163"/>
        </w:numPr>
        <w:tabs>
          <w:tab w:val="left" w:pos="990"/>
        </w:tabs>
        <w:spacing w:after="120" w:line="276" w:lineRule="auto"/>
        <w:rPr>
          <w:rFonts w:cs="Times New Roman"/>
          <w:szCs w:val="24"/>
        </w:rPr>
      </w:pPr>
      <w:r w:rsidRPr="00F50C10">
        <w:rPr>
          <w:rFonts w:cs="Times New Roman"/>
          <w:szCs w:val="24"/>
        </w:rPr>
        <w:t>FeCl</w:t>
      </w:r>
      <w:r w:rsidRPr="00F50C10">
        <w:rPr>
          <w:rFonts w:cs="Times New Roman"/>
          <w:szCs w:val="24"/>
          <w:vertAlign w:val="subscript"/>
        </w:rPr>
        <w:t>2</w:t>
      </w:r>
      <w:r w:rsidRPr="00F50C10">
        <w:rPr>
          <w:rFonts w:cs="Times New Roman"/>
          <w:szCs w:val="24"/>
        </w:rPr>
        <w:t xml:space="preserve"> tozunun zayıf hidroklorik asit içinde yeniden çamur haline getirilmesi,</w:t>
      </w:r>
    </w:p>
    <w:p w14:paraId="403C2F0C" w14:textId="77777777" w:rsidR="00D029A1" w:rsidRPr="00F50C10" w:rsidRDefault="000F3B99" w:rsidP="00A654AE">
      <w:pPr>
        <w:pStyle w:val="ListeParagraf"/>
        <w:numPr>
          <w:ilvl w:val="0"/>
          <w:numId w:val="163"/>
        </w:numPr>
        <w:tabs>
          <w:tab w:val="left" w:pos="990"/>
        </w:tabs>
        <w:spacing w:after="120" w:line="276" w:lineRule="auto"/>
        <w:rPr>
          <w:rFonts w:cs="Times New Roman"/>
          <w:szCs w:val="24"/>
        </w:rPr>
      </w:pPr>
      <w:r w:rsidRPr="00F50C10">
        <w:rPr>
          <w:rFonts w:cs="Times New Roman"/>
          <w:szCs w:val="24"/>
        </w:rPr>
        <w:t>FeCl</w:t>
      </w:r>
      <w:r w:rsidRPr="00F50C10">
        <w:rPr>
          <w:rFonts w:cs="Times New Roman"/>
          <w:szCs w:val="24"/>
          <w:vertAlign w:val="subscript"/>
        </w:rPr>
        <w:t>2</w:t>
      </w:r>
      <w:r w:rsidRPr="00F50C10">
        <w:rPr>
          <w:rFonts w:cs="Times New Roman"/>
          <w:szCs w:val="24"/>
        </w:rPr>
        <w:t xml:space="preserve"> bulamacının filtrasyonu,</w:t>
      </w:r>
    </w:p>
    <w:p w14:paraId="3456DC2C" w14:textId="67B25A39" w:rsidR="000F3B99" w:rsidRPr="00F50C10" w:rsidRDefault="000F3B99" w:rsidP="00A654AE">
      <w:pPr>
        <w:pStyle w:val="ListeParagraf"/>
        <w:numPr>
          <w:ilvl w:val="0"/>
          <w:numId w:val="163"/>
        </w:numPr>
        <w:tabs>
          <w:tab w:val="left" w:pos="990"/>
        </w:tabs>
        <w:spacing w:after="120" w:line="276" w:lineRule="auto"/>
        <w:rPr>
          <w:rFonts w:cs="Times New Roman"/>
          <w:szCs w:val="24"/>
        </w:rPr>
      </w:pPr>
      <w:r w:rsidRPr="00F50C10">
        <w:rPr>
          <w:rFonts w:cs="Times New Roman"/>
          <w:szCs w:val="24"/>
        </w:rPr>
        <w:t>seçici çöktürme yöntemiyle FeCl</w:t>
      </w:r>
      <w:r w:rsidRPr="00F50C10">
        <w:rPr>
          <w:rFonts w:cs="Times New Roman"/>
          <w:szCs w:val="24"/>
          <w:vertAlign w:val="subscript"/>
        </w:rPr>
        <w:t>2</w:t>
      </w:r>
      <w:r w:rsidRPr="00F50C10">
        <w:rPr>
          <w:rFonts w:cs="Times New Roman"/>
          <w:szCs w:val="24"/>
        </w:rPr>
        <w:t xml:space="preserve"> çözeltisindeki ağır metal içeriğinin ayarlanması (Saflaştırılan FeCl</w:t>
      </w:r>
      <w:r w:rsidRPr="00F50C10">
        <w:rPr>
          <w:rFonts w:cs="Times New Roman"/>
          <w:szCs w:val="24"/>
          <w:vertAlign w:val="subscript"/>
        </w:rPr>
        <w:t>2</w:t>
      </w:r>
      <w:r w:rsidRPr="00F50C10">
        <w:rPr>
          <w:rFonts w:cs="Times New Roman"/>
          <w:szCs w:val="24"/>
        </w:rPr>
        <w:t xml:space="preserve"> çözeltisinin her bir tonu başına yak. 160 kg metal hidroksiti katı atık sahasına gömülecektir).</w:t>
      </w:r>
    </w:p>
    <w:p w14:paraId="034940C1" w14:textId="64D57EA3" w:rsidR="000F3B99" w:rsidRPr="00F50C10" w:rsidRDefault="000F3B99" w:rsidP="000B206D">
      <w:pPr>
        <w:spacing w:after="120" w:line="276" w:lineRule="auto"/>
        <w:rPr>
          <w:rFonts w:cs="Times New Roman"/>
          <w:szCs w:val="24"/>
        </w:rPr>
      </w:pPr>
      <w:r w:rsidRPr="00F50C10">
        <w:rPr>
          <w:rFonts w:cs="Times New Roman"/>
          <w:b/>
          <w:bCs/>
          <w:szCs w:val="24"/>
        </w:rPr>
        <w:t xml:space="preserve">MET 102: </w:t>
      </w:r>
      <w:r w:rsidRPr="00F50C10">
        <w:rPr>
          <w:rFonts w:cs="Times New Roman"/>
          <w:szCs w:val="24"/>
        </w:rPr>
        <w:t>Karbon tozu filtrasyon yöntemiyle FeCl</w:t>
      </w:r>
      <w:r w:rsidRPr="00F50C10">
        <w:rPr>
          <w:rFonts w:cs="Times New Roman"/>
          <w:szCs w:val="24"/>
          <w:vertAlign w:val="subscript"/>
        </w:rPr>
        <w:t>2</w:t>
      </w:r>
      <w:r w:rsidRPr="00F50C10">
        <w:rPr>
          <w:rFonts w:cs="Times New Roman"/>
          <w:szCs w:val="24"/>
        </w:rPr>
        <w:t xml:space="preserve"> çamurundan uzaklaştırılması ve daha sonra işlenerek pazarlanabilir kok ürünü elde edilmesidir</w:t>
      </w:r>
      <w:r w:rsidR="00D029A1" w:rsidRPr="00F50C10">
        <w:rPr>
          <w:rFonts w:cs="Times New Roman"/>
          <w:szCs w:val="24"/>
        </w:rPr>
        <w:t>.</w:t>
      </w:r>
    </w:p>
    <w:p w14:paraId="2C45EB81" w14:textId="77777777" w:rsidR="000F3B99" w:rsidRPr="00F50C10" w:rsidRDefault="000F3B99" w:rsidP="00A654AE">
      <w:pPr>
        <w:pStyle w:val="Balk2"/>
        <w:numPr>
          <w:ilvl w:val="1"/>
          <w:numId w:val="165"/>
        </w:numPr>
        <w:spacing w:before="0" w:after="120" w:line="276" w:lineRule="auto"/>
        <w:rPr>
          <w:rFonts w:cs="Times New Roman"/>
          <w:szCs w:val="24"/>
        </w:rPr>
      </w:pPr>
      <w:r w:rsidRPr="00F50C10">
        <w:rPr>
          <w:rFonts w:cs="Times New Roman"/>
          <w:szCs w:val="24"/>
        </w:rPr>
        <w:t xml:space="preserve">Demir Sülfat ile İlgili Ürünler  </w:t>
      </w:r>
    </w:p>
    <w:p w14:paraId="116880F8"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Demir sülfat heptahidrat</w:t>
      </w:r>
    </w:p>
    <w:p w14:paraId="7128710C" w14:textId="5A489747"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103: </w:t>
      </w:r>
      <w:r w:rsidRPr="00F50C10">
        <w:rPr>
          <w:rFonts w:cs="Times New Roman"/>
          <w:szCs w:val="24"/>
        </w:rPr>
        <w:t>Satılabilir demir sülfat heptahidrat (demir sülfat) üretimi için sülfat yöntemi prosesine dayalı TiO</w:t>
      </w:r>
      <w:r w:rsidRPr="00F50C10">
        <w:rPr>
          <w:rFonts w:cs="Times New Roman"/>
          <w:szCs w:val="24"/>
          <w:vertAlign w:val="subscript"/>
        </w:rPr>
        <w:t>2</w:t>
      </w:r>
      <w:r w:rsidRPr="00F50C10">
        <w:rPr>
          <w:rFonts w:cs="Times New Roman"/>
          <w:szCs w:val="24"/>
        </w:rPr>
        <w:t xml:space="preserve"> üretimi prosesi entegre edilip optimize hale getirilerek TiO</w:t>
      </w:r>
      <w:r w:rsidRPr="00F50C10">
        <w:rPr>
          <w:rFonts w:cs="Times New Roman"/>
          <w:szCs w:val="24"/>
          <w:vertAlign w:val="subscript"/>
        </w:rPr>
        <w:t>2</w:t>
      </w:r>
      <w:r w:rsidRPr="00F50C10">
        <w:rPr>
          <w:rFonts w:cs="Times New Roman"/>
          <w:szCs w:val="24"/>
        </w:rPr>
        <w:t xml:space="preserve"> tesisinden tahliye edilen atık suların çevre üzerindeki etkisi en az</w:t>
      </w:r>
      <w:r w:rsidR="00AF43E3" w:rsidRPr="00F50C10">
        <w:rPr>
          <w:rFonts w:cs="Times New Roman"/>
          <w:szCs w:val="24"/>
        </w:rPr>
        <w:t xml:space="preserve">a </w:t>
      </w:r>
      <w:r w:rsidRPr="00F50C10">
        <w:rPr>
          <w:rFonts w:cs="Times New Roman"/>
          <w:szCs w:val="24"/>
        </w:rPr>
        <w:t>indi</w:t>
      </w:r>
      <w:r w:rsidR="00AF43E3" w:rsidRPr="00F50C10">
        <w:rPr>
          <w:rFonts w:cs="Times New Roman"/>
          <w:szCs w:val="24"/>
        </w:rPr>
        <w:t>lir</w:t>
      </w:r>
      <w:r w:rsidRPr="00F50C10">
        <w:rPr>
          <w:rFonts w:cs="Times New Roman"/>
          <w:szCs w:val="24"/>
        </w:rPr>
        <w:t xml:space="preserve">. Titanyumlu cevherin demir içeriğine bağlı olarak demir sülfat ekstraksiyon ve kullanım seviyeleri </w:t>
      </w:r>
      <w:r w:rsidR="00AF43E3" w:rsidRPr="00F50C10">
        <w:rPr>
          <w:rFonts w:cs="Times New Roman"/>
          <w:szCs w:val="24"/>
        </w:rPr>
        <w:t>ü</w:t>
      </w:r>
      <w:r w:rsidRPr="00F50C10">
        <w:rPr>
          <w:rFonts w:cs="Times New Roman"/>
          <w:szCs w:val="24"/>
        </w:rPr>
        <w:t>retilen her bir ton Ti</w:t>
      </w:r>
      <w:r w:rsidRPr="00F50C10">
        <w:rPr>
          <w:rFonts w:cs="Times New Roman"/>
          <w:szCs w:val="24"/>
          <w:vertAlign w:val="subscript"/>
        </w:rPr>
        <w:t>4</w:t>
      </w:r>
      <w:r w:rsidRPr="00F50C10">
        <w:rPr>
          <w:rFonts w:cs="Times New Roman"/>
          <w:szCs w:val="24"/>
        </w:rPr>
        <w:t>O</w:t>
      </w:r>
      <w:r w:rsidRPr="00F50C10">
        <w:rPr>
          <w:rFonts w:cs="Times New Roman"/>
          <w:szCs w:val="24"/>
          <w:vertAlign w:val="subscript"/>
        </w:rPr>
        <w:t>2</w:t>
      </w:r>
      <w:r w:rsidRPr="00F50C10">
        <w:rPr>
          <w:rFonts w:cs="Times New Roman"/>
          <w:szCs w:val="24"/>
        </w:rPr>
        <w:t xml:space="preserve"> başına 4,5 ton Fe</w:t>
      </w:r>
      <w:r w:rsidRPr="00F50C10">
        <w:rPr>
          <w:rFonts w:cs="Times New Roman"/>
          <w:szCs w:val="24"/>
          <w:vertAlign w:val="subscript"/>
        </w:rPr>
        <w:t>2</w:t>
      </w:r>
      <w:r w:rsidRPr="00F50C10">
        <w:rPr>
          <w:rFonts w:cs="Times New Roman"/>
          <w:szCs w:val="24"/>
        </w:rPr>
        <w:t>SO.7HO</w:t>
      </w:r>
      <w:r w:rsidR="00AF43E3" w:rsidRPr="00F50C10">
        <w:rPr>
          <w:rFonts w:cs="Times New Roman"/>
          <w:szCs w:val="24"/>
        </w:rPr>
        <w:t xml:space="preserve"> değerine ulaşabilir.</w:t>
      </w:r>
    </w:p>
    <w:p w14:paraId="3785DA16"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Demir sülfat monohidrat</w:t>
      </w:r>
    </w:p>
    <w:p w14:paraId="250C5A3B" w14:textId="35342FBB"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104: </w:t>
      </w:r>
      <w:r w:rsidR="00AF43E3" w:rsidRPr="00F50C10">
        <w:rPr>
          <w:rFonts w:cs="Times New Roman"/>
          <w:szCs w:val="24"/>
        </w:rPr>
        <w:t>Sülfat yöntemine dayalı TiO₂ üretim sürecinde, çöktürme ve filtrasyon yöntemleriyle asit çözeltilerinden elde edilen satılabilir demir sülfat monohidrat üretiminde sülfürik asit konsantrasyonu ve filtrasyon işlemlerinin entegrasyonu ve optimizasyonu sağlanmalıdır. Pazar talebine bağlı olarak monohidrat ve heptahidrat üretimi arasındaki denge ayarlanabilir</w:t>
      </w:r>
      <w:r w:rsidR="00D029A1" w:rsidRPr="00F50C10">
        <w:rPr>
          <w:rFonts w:cs="Times New Roman"/>
          <w:szCs w:val="24"/>
        </w:rPr>
        <w:t>.</w:t>
      </w:r>
    </w:p>
    <w:p w14:paraId="65EE53E9"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Demir sülfat heptahidrat ve monohidrat</w:t>
      </w:r>
    </w:p>
    <w:p w14:paraId="0316009E" w14:textId="675D559E" w:rsidR="000F3B99" w:rsidRPr="00F50C10" w:rsidRDefault="000F3B99" w:rsidP="000B206D">
      <w:pPr>
        <w:spacing w:after="120" w:line="276" w:lineRule="auto"/>
        <w:rPr>
          <w:rFonts w:cs="Times New Roman"/>
          <w:szCs w:val="24"/>
        </w:rPr>
      </w:pPr>
      <w:r w:rsidRPr="00F50C10">
        <w:rPr>
          <w:rFonts w:cs="Times New Roman"/>
          <w:b/>
          <w:bCs/>
          <w:szCs w:val="24"/>
        </w:rPr>
        <w:t xml:space="preserve">MET 105: </w:t>
      </w:r>
      <w:r w:rsidR="00AF43E3" w:rsidRPr="00F50C10">
        <w:rPr>
          <w:rFonts w:cs="Times New Roman"/>
          <w:szCs w:val="24"/>
        </w:rPr>
        <w:t>Demir sülfat kurutucusundan çıkan gazın temizlenmesi için bez filtre kullanılarak, toz emisyonlarının her bir ton kurutulmuş demir sülfat heptahidrat ve her bir ton demir sülfat monohidrat başına 0,004 – 0,08 kg seviyesine indirilmesi sağlanmalıdır</w:t>
      </w:r>
      <w:r w:rsidR="00D029A1" w:rsidRPr="00F50C10">
        <w:rPr>
          <w:rFonts w:cs="Times New Roman"/>
          <w:szCs w:val="24"/>
        </w:rPr>
        <w:t>.</w:t>
      </w:r>
    </w:p>
    <w:p w14:paraId="7E22613F"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Ferrik sülfat</w:t>
      </w:r>
    </w:p>
    <w:p w14:paraId="07F9A268" w14:textId="77777777" w:rsidR="000F3B99" w:rsidRPr="00F50C10" w:rsidRDefault="000F3B99" w:rsidP="00A654AE">
      <w:pPr>
        <w:pStyle w:val="Balk4"/>
        <w:numPr>
          <w:ilvl w:val="3"/>
          <w:numId w:val="165"/>
        </w:numPr>
        <w:spacing w:before="0" w:line="276" w:lineRule="auto"/>
        <w:rPr>
          <w:rFonts w:cs="Times New Roman"/>
          <w:szCs w:val="24"/>
        </w:rPr>
      </w:pPr>
      <w:r w:rsidRPr="00F50C10">
        <w:rPr>
          <w:rFonts w:cs="Times New Roman"/>
          <w:szCs w:val="24"/>
        </w:rPr>
        <w:t>Sıvı ve katı ferrik sülfat üretimi</w:t>
      </w:r>
    </w:p>
    <w:p w14:paraId="0ED82535" w14:textId="3FD77FAC"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106: </w:t>
      </w:r>
      <w:r w:rsidRPr="00F50C10">
        <w:rPr>
          <w:rFonts w:cs="Times New Roman"/>
          <w:szCs w:val="24"/>
        </w:rPr>
        <w:t>Belirli yerel koşullarda demir sülfattan yüksek derecede faydalanabilmek için (ferrik sülfat pazar talebi, yığılmış demir sülfatın geri kazanılması ihtiyacı, tesis yapılanması, enerji arz-talep dengesi ve diğer), demir sülfatın nitrik asit ve sülfürik asit karışımıyla reaksiyonu veya demir sülfatın oksijen ve sülfürik asit ile doğrudan oksitlenme</w:t>
      </w:r>
      <w:r w:rsidR="00AF43E3" w:rsidRPr="00F50C10">
        <w:rPr>
          <w:rFonts w:cs="Times New Roman"/>
          <w:szCs w:val="24"/>
        </w:rPr>
        <w:t>si</w:t>
      </w:r>
      <w:r w:rsidRPr="00F50C10">
        <w:rPr>
          <w:rFonts w:cs="Times New Roman"/>
          <w:szCs w:val="24"/>
        </w:rPr>
        <w:t xml:space="preserve"> ile ferrik sülfat çözeltisi üretimi prosesi uygulanır</w:t>
      </w:r>
      <w:r w:rsidR="00D029A1" w:rsidRPr="00F50C10">
        <w:rPr>
          <w:rFonts w:cs="Times New Roman"/>
          <w:szCs w:val="24"/>
        </w:rPr>
        <w:t>.</w:t>
      </w:r>
    </w:p>
    <w:p w14:paraId="1518294A" w14:textId="241EA101"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107: </w:t>
      </w:r>
      <w:r w:rsidRPr="00F50C10">
        <w:rPr>
          <w:rFonts w:cs="Times New Roman"/>
          <w:szCs w:val="24"/>
        </w:rPr>
        <w:t xml:space="preserve">Sulu venturi fırçalama yöntemi ve </w:t>
      </w:r>
      <w:r w:rsidR="00AF43E3" w:rsidRPr="00F50C10">
        <w:rPr>
          <w:rFonts w:cs="Times New Roman"/>
          <w:szCs w:val="24"/>
        </w:rPr>
        <w:t>bez</w:t>
      </w:r>
      <w:r w:rsidRPr="00F50C10">
        <w:rPr>
          <w:rFonts w:cs="Times New Roman"/>
          <w:szCs w:val="24"/>
        </w:rPr>
        <w:t xml:space="preserve"> filtreler kullanılarak 40 % Fe</w:t>
      </w:r>
      <w:r w:rsidRPr="00F50C10">
        <w:rPr>
          <w:rFonts w:cs="Times New Roman"/>
          <w:szCs w:val="24"/>
          <w:vertAlign w:val="subscript"/>
        </w:rPr>
        <w:t>2</w:t>
      </w:r>
      <w:r w:rsidRPr="00F50C10">
        <w:rPr>
          <w:rFonts w:cs="Times New Roman"/>
          <w:szCs w:val="24"/>
        </w:rPr>
        <w:t>(SO</w:t>
      </w:r>
      <w:r w:rsidRPr="00F50C10">
        <w:rPr>
          <w:rFonts w:cs="Times New Roman"/>
          <w:szCs w:val="24"/>
          <w:vertAlign w:val="subscript"/>
        </w:rPr>
        <w:t>4</w:t>
      </w:r>
      <w:r w:rsidRPr="00F50C10">
        <w:rPr>
          <w:rFonts w:cs="Times New Roman"/>
          <w:szCs w:val="24"/>
        </w:rPr>
        <w:t>)</w:t>
      </w:r>
      <w:r w:rsidRPr="00F50C10">
        <w:rPr>
          <w:rFonts w:cs="Times New Roman"/>
          <w:szCs w:val="24"/>
          <w:vertAlign w:val="subscript"/>
        </w:rPr>
        <w:t>3</w:t>
      </w:r>
      <w:r w:rsidRPr="00F50C10">
        <w:rPr>
          <w:rFonts w:cs="Times New Roman"/>
          <w:szCs w:val="24"/>
        </w:rPr>
        <w:t xml:space="preserve"> çözeltisinin püskürtmeli kurutucuyla kurutulması sonucunda çıkan toz emisyonları her bir ton katı ferrik sülfat ürünü başına 0,03- 0,5 kg azaltıl</w:t>
      </w:r>
      <w:r w:rsidR="00AF43E3" w:rsidRPr="00F50C10">
        <w:rPr>
          <w:rFonts w:cs="Times New Roman"/>
          <w:szCs w:val="24"/>
        </w:rPr>
        <w:t>ı</w:t>
      </w:r>
      <w:r w:rsidRPr="00F50C10">
        <w:rPr>
          <w:rFonts w:cs="Times New Roman"/>
          <w:szCs w:val="24"/>
        </w:rPr>
        <w:t>r</w:t>
      </w:r>
      <w:r w:rsidR="00D029A1" w:rsidRPr="00F50C10">
        <w:rPr>
          <w:rFonts w:cs="Times New Roman"/>
          <w:szCs w:val="24"/>
        </w:rPr>
        <w:t>.</w:t>
      </w:r>
    </w:p>
    <w:p w14:paraId="5AF4B6DA"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Demir klorosülfat</w:t>
      </w:r>
    </w:p>
    <w:p w14:paraId="7917A128" w14:textId="00117D2A" w:rsidR="000F3B99" w:rsidRPr="00F50C10" w:rsidRDefault="000F3B99" w:rsidP="000B206D">
      <w:pPr>
        <w:spacing w:after="120" w:line="276" w:lineRule="auto"/>
        <w:rPr>
          <w:rFonts w:cs="Times New Roman"/>
          <w:szCs w:val="24"/>
        </w:rPr>
      </w:pPr>
      <w:r w:rsidRPr="00F50C10">
        <w:rPr>
          <w:rFonts w:cs="Times New Roman"/>
          <w:b/>
          <w:bCs/>
          <w:szCs w:val="24"/>
        </w:rPr>
        <w:t xml:space="preserve">MET 108: </w:t>
      </w:r>
      <w:r w:rsidRPr="00F50C10">
        <w:rPr>
          <w:rFonts w:cs="Times New Roman"/>
          <w:szCs w:val="24"/>
        </w:rPr>
        <w:t>Klorlayıcıdan çıkan gaz ferrik sülfatla yıkanarak yıkayıcıdan çıkan atık gazdan kaynaklanan hava klor emisyonları 0,2 ppm Cl</w:t>
      </w:r>
      <w:r w:rsidRPr="00F50C10">
        <w:rPr>
          <w:rFonts w:cs="Times New Roman"/>
          <w:szCs w:val="24"/>
          <w:vertAlign w:val="subscript"/>
        </w:rPr>
        <w:t>2</w:t>
      </w:r>
      <w:r w:rsidRPr="00F50C10">
        <w:rPr>
          <w:rFonts w:cs="Times New Roman"/>
          <w:szCs w:val="24"/>
        </w:rPr>
        <w:t xml:space="preserve"> seviyesinin altına indirilir</w:t>
      </w:r>
      <w:r w:rsidR="00D029A1" w:rsidRPr="00F50C10">
        <w:rPr>
          <w:rFonts w:cs="Times New Roman"/>
          <w:szCs w:val="24"/>
        </w:rPr>
        <w:t>.</w:t>
      </w:r>
    </w:p>
    <w:p w14:paraId="1A8E852D"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Demir oksit pigmenti</w:t>
      </w:r>
    </w:p>
    <w:p w14:paraId="6897DCBF" w14:textId="180FF79D"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109: </w:t>
      </w:r>
      <w:r w:rsidRPr="00F50C10">
        <w:rPr>
          <w:rFonts w:cs="Times New Roman"/>
          <w:szCs w:val="24"/>
        </w:rPr>
        <w:t>Hammadde demir sülfatın fırında dehidrasyonundan demir oksit pigmentinin kurutulması ve öğütülmesine kadar prosesteki işlem zinciri optimize edilerek proses genel enerji üretimi her bir ton Fe</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3</w:t>
      </w:r>
      <w:r w:rsidRPr="00F50C10">
        <w:rPr>
          <w:rFonts w:cs="Times New Roman"/>
          <w:szCs w:val="24"/>
        </w:rPr>
        <w:t xml:space="preserve"> ürünü başına 28 GJ altında tutul</w:t>
      </w:r>
      <w:r w:rsidR="00AF43E3" w:rsidRPr="00F50C10">
        <w:rPr>
          <w:rFonts w:cs="Times New Roman"/>
          <w:szCs w:val="24"/>
        </w:rPr>
        <w:t>u</w:t>
      </w:r>
      <w:r w:rsidRPr="00F50C10">
        <w:rPr>
          <w:rFonts w:cs="Times New Roman"/>
          <w:szCs w:val="24"/>
        </w:rPr>
        <w:t>r</w:t>
      </w:r>
      <w:r w:rsidR="00D029A1" w:rsidRPr="00F50C10">
        <w:rPr>
          <w:rFonts w:cs="Times New Roman"/>
          <w:szCs w:val="24"/>
        </w:rPr>
        <w:t>.</w:t>
      </w:r>
    </w:p>
    <w:p w14:paraId="24FC7D94" w14:textId="1BD3B7FE" w:rsidR="000F3B99" w:rsidRPr="00F50C10" w:rsidRDefault="000F3B99" w:rsidP="000B206D">
      <w:pPr>
        <w:spacing w:after="120" w:line="276" w:lineRule="auto"/>
        <w:rPr>
          <w:rFonts w:cs="Times New Roman"/>
          <w:szCs w:val="24"/>
        </w:rPr>
      </w:pPr>
      <w:r w:rsidRPr="00F50C10">
        <w:rPr>
          <w:rFonts w:cs="Times New Roman"/>
          <w:b/>
          <w:bCs/>
          <w:szCs w:val="24"/>
        </w:rPr>
        <w:t xml:space="preserve">MET 110: </w:t>
      </w:r>
      <w:r w:rsidRPr="00F50C10">
        <w:rPr>
          <w:rFonts w:cs="Times New Roman"/>
          <w:szCs w:val="24"/>
        </w:rPr>
        <w:t>Demir sülfatın demir sülfat monohidrata dehidrasyonunda kullanılan parametreler kontrol altına alınıp optimize edilerek demir sülfat dehidrasyon fırınından havaya salınan NO</w:t>
      </w:r>
      <w:r w:rsidRPr="00F50C10">
        <w:rPr>
          <w:rFonts w:cs="Times New Roman"/>
          <w:szCs w:val="24"/>
          <w:vertAlign w:val="subscript"/>
        </w:rPr>
        <w:t>x</w:t>
      </w:r>
      <w:r w:rsidRPr="00F50C10">
        <w:rPr>
          <w:rFonts w:cs="Times New Roman"/>
          <w:szCs w:val="24"/>
        </w:rPr>
        <w:t xml:space="preserve"> emisyonları üretilen her ton Fe</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3</w:t>
      </w:r>
      <w:r w:rsidRPr="00F50C10">
        <w:rPr>
          <w:rFonts w:cs="Times New Roman"/>
          <w:szCs w:val="24"/>
        </w:rPr>
        <w:t xml:space="preserve"> için (yaklaşık 150 mg NO</w:t>
      </w:r>
      <w:r w:rsidRPr="00F50C10">
        <w:rPr>
          <w:rFonts w:cs="Times New Roman"/>
          <w:szCs w:val="24"/>
          <w:vertAlign w:val="subscript"/>
        </w:rPr>
        <w:t>2</w:t>
      </w:r>
      <w:r w:rsidRPr="00F50C10">
        <w:rPr>
          <w:rFonts w:cs="Times New Roman"/>
          <w:szCs w:val="24"/>
        </w:rPr>
        <w:t>/Nm</w:t>
      </w:r>
      <w:r w:rsidRPr="00F50C10">
        <w:rPr>
          <w:rFonts w:cs="Times New Roman"/>
          <w:szCs w:val="24"/>
          <w:vertAlign w:val="superscript"/>
        </w:rPr>
        <w:t>3</w:t>
      </w:r>
      <w:r w:rsidRPr="00F50C10">
        <w:rPr>
          <w:rFonts w:cs="Times New Roman"/>
          <w:szCs w:val="24"/>
        </w:rPr>
        <w:t>'e eşdeğer) 2,6 kg NO</w:t>
      </w:r>
      <w:r w:rsidRPr="00F50C10">
        <w:rPr>
          <w:rFonts w:cs="Times New Roman"/>
          <w:szCs w:val="24"/>
          <w:vertAlign w:val="subscript"/>
        </w:rPr>
        <w:t>2</w:t>
      </w:r>
      <w:r w:rsidRPr="00F50C10">
        <w:rPr>
          <w:rFonts w:cs="Times New Roman"/>
          <w:szCs w:val="24"/>
        </w:rPr>
        <w:t xml:space="preserve"> değerinin altına düşürül</w:t>
      </w:r>
      <w:r w:rsidR="00AF43E3" w:rsidRPr="00F50C10">
        <w:rPr>
          <w:rFonts w:cs="Times New Roman"/>
          <w:szCs w:val="24"/>
        </w:rPr>
        <w:t>ür</w:t>
      </w:r>
      <w:r w:rsidR="00D029A1" w:rsidRPr="00F50C10">
        <w:rPr>
          <w:rFonts w:cs="Times New Roman"/>
          <w:szCs w:val="24"/>
        </w:rPr>
        <w:t>.</w:t>
      </w:r>
    </w:p>
    <w:p w14:paraId="056A69B7" w14:textId="2255D948"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111: </w:t>
      </w:r>
      <w:r w:rsidRPr="00F50C10">
        <w:rPr>
          <w:rFonts w:cs="Times New Roman"/>
          <w:szCs w:val="24"/>
        </w:rPr>
        <w:t>Fe</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3</w:t>
      </w:r>
      <w:r w:rsidRPr="00F50C10">
        <w:rPr>
          <w:rFonts w:cs="Times New Roman"/>
          <w:szCs w:val="24"/>
        </w:rPr>
        <w:t xml:space="preserve"> tesisindeki işlemler üretim tesisindeki sülfürik asit tesisiyle entegre edilip her iki tesisin kapasite kullanımı uzun dönem uyumlu hale getirilerek demir sülfat monohidrat kalsinasyonu kaynaklı havaya salınan SO</w:t>
      </w:r>
      <w:r w:rsidRPr="00F50C10">
        <w:rPr>
          <w:rFonts w:cs="Times New Roman"/>
          <w:szCs w:val="24"/>
          <w:vertAlign w:val="subscript"/>
        </w:rPr>
        <w:t>x</w:t>
      </w:r>
      <w:r w:rsidRPr="00F50C10">
        <w:rPr>
          <w:rFonts w:cs="Times New Roman"/>
          <w:szCs w:val="24"/>
        </w:rPr>
        <w:t xml:space="preserve"> emisyonları üretilen her bir ton Fe</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3</w:t>
      </w:r>
      <w:r w:rsidRPr="00F50C10">
        <w:rPr>
          <w:rFonts w:cs="Times New Roman"/>
          <w:szCs w:val="24"/>
        </w:rPr>
        <w:t xml:space="preserve"> (Yaklaşık 1200 mg SO</w:t>
      </w:r>
      <w:r w:rsidRPr="00F50C10">
        <w:rPr>
          <w:rFonts w:cs="Times New Roman"/>
          <w:szCs w:val="24"/>
          <w:vertAlign w:val="subscript"/>
        </w:rPr>
        <w:t>2</w:t>
      </w:r>
      <w:r w:rsidRPr="00F50C10">
        <w:rPr>
          <w:rFonts w:cs="Times New Roman"/>
          <w:szCs w:val="24"/>
        </w:rPr>
        <w:t>/Nm</w:t>
      </w:r>
      <w:r w:rsidRPr="00F50C10">
        <w:rPr>
          <w:rFonts w:cs="Times New Roman"/>
          <w:szCs w:val="24"/>
          <w:vertAlign w:val="superscript"/>
        </w:rPr>
        <w:t>3</w:t>
      </w:r>
      <w:r w:rsidRPr="00F50C10">
        <w:rPr>
          <w:rFonts w:cs="Times New Roman"/>
          <w:szCs w:val="24"/>
        </w:rPr>
        <w:t>'e eşdeğer) başına 32 kg SO</w:t>
      </w:r>
      <w:r w:rsidRPr="00F50C10">
        <w:rPr>
          <w:rFonts w:cs="Times New Roman"/>
          <w:szCs w:val="24"/>
          <w:vertAlign w:val="subscript"/>
        </w:rPr>
        <w:t>2</w:t>
      </w:r>
      <w:r w:rsidRPr="00F50C10">
        <w:rPr>
          <w:rFonts w:cs="Times New Roman"/>
          <w:szCs w:val="24"/>
        </w:rPr>
        <w:t xml:space="preserve"> altındaki bir seviyeye indiril</w:t>
      </w:r>
      <w:r w:rsidR="00AF43E3" w:rsidRPr="00F50C10">
        <w:rPr>
          <w:rFonts w:cs="Times New Roman"/>
          <w:szCs w:val="24"/>
        </w:rPr>
        <w:t>ir</w:t>
      </w:r>
      <w:r w:rsidR="00D029A1" w:rsidRPr="00F50C10">
        <w:rPr>
          <w:rFonts w:cs="Times New Roman"/>
          <w:szCs w:val="24"/>
        </w:rPr>
        <w:t>.</w:t>
      </w:r>
    </w:p>
    <w:p w14:paraId="5E6647E0" w14:textId="4CEB2414"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112: </w:t>
      </w:r>
      <w:r w:rsidR="00AF43E3" w:rsidRPr="00F50C10">
        <w:rPr>
          <w:rFonts w:cs="Times New Roman"/>
          <w:szCs w:val="24"/>
        </w:rPr>
        <w:t>Bez</w:t>
      </w:r>
      <w:r w:rsidRPr="00F50C10">
        <w:rPr>
          <w:rFonts w:cs="Times New Roman"/>
          <w:szCs w:val="24"/>
        </w:rPr>
        <w:t xml:space="preserve"> filtre gibi kombine toz uzaklaştırma teknikleri kullanılarak Fe</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3</w:t>
      </w:r>
      <w:r w:rsidRPr="00F50C10">
        <w:rPr>
          <w:rFonts w:cs="Times New Roman"/>
          <w:szCs w:val="24"/>
        </w:rPr>
        <w:t xml:space="preserve"> üretiminden havaya salınan toz emisyonları üretilen her bir ton Fe</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3</w:t>
      </w:r>
      <w:r w:rsidRPr="00F50C10">
        <w:rPr>
          <w:rFonts w:cs="Times New Roman"/>
          <w:szCs w:val="24"/>
        </w:rPr>
        <w:t xml:space="preserve"> başına 1,3 kg seviyesine düşürül</w:t>
      </w:r>
      <w:r w:rsidR="00AF43E3" w:rsidRPr="00F50C10">
        <w:rPr>
          <w:rFonts w:cs="Times New Roman"/>
          <w:szCs w:val="24"/>
        </w:rPr>
        <w:t>ü</w:t>
      </w:r>
      <w:r w:rsidRPr="00F50C10">
        <w:rPr>
          <w:rFonts w:cs="Times New Roman"/>
          <w:szCs w:val="24"/>
        </w:rPr>
        <w:t>r</w:t>
      </w:r>
      <w:r w:rsidR="00D029A1" w:rsidRPr="00F50C10">
        <w:rPr>
          <w:rFonts w:cs="Times New Roman"/>
          <w:szCs w:val="24"/>
        </w:rPr>
        <w:t>.</w:t>
      </w:r>
    </w:p>
    <w:p w14:paraId="14E057A3" w14:textId="77777777" w:rsidR="000F3B99" w:rsidRPr="00F50C10" w:rsidRDefault="000F3B99" w:rsidP="00A654AE">
      <w:pPr>
        <w:pStyle w:val="Balk2"/>
        <w:numPr>
          <w:ilvl w:val="1"/>
          <w:numId w:val="165"/>
        </w:numPr>
        <w:spacing w:before="0" w:after="120" w:line="276" w:lineRule="auto"/>
        <w:rPr>
          <w:rFonts w:cs="Times New Roman"/>
          <w:szCs w:val="24"/>
        </w:rPr>
      </w:pPr>
      <w:r w:rsidRPr="00F50C10">
        <w:rPr>
          <w:rFonts w:cs="Times New Roman"/>
          <w:szCs w:val="24"/>
        </w:rPr>
        <w:t>Kurşun Oksit</w:t>
      </w:r>
    </w:p>
    <w:p w14:paraId="7D8EB3F8" w14:textId="1100A900"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113: </w:t>
      </w:r>
      <w:r w:rsidRPr="00F50C10">
        <w:rPr>
          <w:rFonts w:cs="Times New Roman"/>
          <w:szCs w:val="24"/>
        </w:rPr>
        <w:t>Bir ana ürün filtresi ve ardından bir emniyet filtresi kullanarak toz emisyonları &lt;0,1 – 0,2 mg/Nm</w:t>
      </w:r>
      <w:r w:rsidRPr="00F50C10">
        <w:rPr>
          <w:rFonts w:cs="Times New Roman"/>
          <w:szCs w:val="24"/>
          <w:vertAlign w:val="superscript"/>
        </w:rPr>
        <w:t>3</w:t>
      </w:r>
      <w:r w:rsidRPr="00F50C10">
        <w:rPr>
          <w:rFonts w:cs="Times New Roman"/>
          <w:szCs w:val="24"/>
        </w:rPr>
        <w:t xml:space="preserve"> altına indiril</w:t>
      </w:r>
      <w:r w:rsidR="00F8714B" w:rsidRPr="00F50C10">
        <w:rPr>
          <w:rFonts w:cs="Times New Roman"/>
          <w:szCs w:val="24"/>
        </w:rPr>
        <w:t>i</w:t>
      </w:r>
      <w:r w:rsidRPr="00F50C10">
        <w:rPr>
          <w:rFonts w:cs="Times New Roman"/>
          <w:szCs w:val="24"/>
        </w:rPr>
        <w:t>r</w:t>
      </w:r>
      <w:r w:rsidR="00D029A1" w:rsidRPr="00F50C10">
        <w:rPr>
          <w:rFonts w:cs="Times New Roman"/>
          <w:szCs w:val="24"/>
        </w:rPr>
        <w:t>.</w:t>
      </w:r>
    </w:p>
    <w:p w14:paraId="669B344B" w14:textId="2554F02B"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114: </w:t>
      </w:r>
      <w:r w:rsidRPr="00F50C10">
        <w:rPr>
          <w:rFonts w:cs="Times New Roman"/>
          <w:szCs w:val="24"/>
        </w:rPr>
        <w:t>Atık sulardaki kurşun bileşiklerinin çöktürülmesi ve ayrılmasını sağlayan katkı maddelerinin desteğiyle, fiziko-kimyasal arıtma yöntemiyle kontamine yağmur suları ve temizlik işlemlerinde çıkan suyu arıtılarak atık sulardaki Pb içeriği üretilen her bir ton Pb başına 0,07 – 0,18 g Pb seviyesine düşürül</w:t>
      </w:r>
      <w:r w:rsidR="00F8714B" w:rsidRPr="00F50C10">
        <w:rPr>
          <w:rFonts w:cs="Times New Roman"/>
          <w:szCs w:val="24"/>
        </w:rPr>
        <w:t>ür</w:t>
      </w:r>
      <w:r w:rsidR="00D029A1" w:rsidRPr="00F50C10">
        <w:rPr>
          <w:rFonts w:cs="Times New Roman"/>
          <w:szCs w:val="24"/>
        </w:rPr>
        <w:t>.</w:t>
      </w:r>
    </w:p>
    <w:p w14:paraId="6B31FD2E" w14:textId="11F84A25" w:rsidR="000F3B99" w:rsidRPr="00F50C10" w:rsidRDefault="000F3B99" w:rsidP="000B206D">
      <w:pPr>
        <w:spacing w:after="120" w:line="276" w:lineRule="auto"/>
        <w:rPr>
          <w:rFonts w:cs="Times New Roman"/>
          <w:b/>
          <w:bCs/>
          <w:szCs w:val="24"/>
        </w:rPr>
      </w:pPr>
      <w:r w:rsidRPr="00F50C10">
        <w:rPr>
          <w:rFonts w:cs="Times New Roman"/>
          <w:b/>
          <w:bCs/>
          <w:szCs w:val="24"/>
        </w:rPr>
        <w:t>MET 115:</w:t>
      </w:r>
      <w:r w:rsidRPr="00F50C10">
        <w:rPr>
          <w:rFonts w:cs="Times New Roman"/>
          <w:szCs w:val="24"/>
        </w:rPr>
        <w:t xml:space="preserve"> Kurşun </w:t>
      </w:r>
      <w:r w:rsidR="00F8714B" w:rsidRPr="00F50C10">
        <w:rPr>
          <w:rFonts w:cs="Times New Roman"/>
          <w:szCs w:val="24"/>
        </w:rPr>
        <w:t>izabe tesisindeki</w:t>
      </w:r>
      <w:r w:rsidRPr="00F50C10">
        <w:rPr>
          <w:rFonts w:cs="Times New Roman"/>
          <w:szCs w:val="24"/>
        </w:rPr>
        <w:t xml:space="preserve"> yüksek Pb içeriğine sahip artıkları geri dönüştürerek kurşun bileşikleri içeren katı atıkların miktarı üretilen her bir ton Pb başına 2- 6 kg Pb seviyesine düşürül</w:t>
      </w:r>
      <w:r w:rsidR="00F8714B" w:rsidRPr="00F50C10">
        <w:rPr>
          <w:rFonts w:cs="Times New Roman"/>
          <w:szCs w:val="24"/>
        </w:rPr>
        <w:t>ü</w:t>
      </w:r>
      <w:r w:rsidRPr="00F50C10">
        <w:rPr>
          <w:rFonts w:cs="Times New Roman"/>
          <w:szCs w:val="24"/>
        </w:rPr>
        <w:t>r</w:t>
      </w:r>
      <w:r w:rsidR="00F8714B" w:rsidRPr="00F50C10">
        <w:rPr>
          <w:rFonts w:cs="Times New Roman"/>
          <w:szCs w:val="24"/>
        </w:rPr>
        <w:t>.</w:t>
      </w:r>
    </w:p>
    <w:p w14:paraId="77CAC90A" w14:textId="3347A50D"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116: </w:t>
      </w:r>
      <w:r w:rsidRPr="00F50C10">
        <w:rPr>
          <w:rFonts w:cs="Times New Roman"/>
          <w:szCs w:val="24"/>
        </w:rPr>
        <w:t>Kurşun oksit üretim tesisi kapasitesine ve kullanılan teknolojiye bağlı olarak, kurşun fırınlarında enerji verimi yüksek sistemler kullanılarak</w:t>
      </w:r>
      <w:r w:rsidR="00F8714B" w:rsidRPr="00F50C10">
        <w:rPr>
          <w:rFonts w:cs="Times New Roman"/>
          <w:szCs w:val="24"/>
        </w:rPr>
        <w:t>,</w:t>
      </w:r>
      <w:r w:rsidRPr="00F50C10">
        <w:rPr>
          <w:rFonts w:cs="Times New Roman"/>
          <w:szCs w:val="24"/>
        </w:rPr>
        <w:t xml:space="preserve"> doğal gazlı fırın kullanılması durumunda genel enerji tüketimi üretilen her bir ton kurşun başına 350 – 890 kWsa, elektrikli fırın kullanıldığında ise 390 – 420 kWsa aralığında tutu</w:t>
      </w:r>
      <w:r w:rsidR="00F8714B" w:rsidRPr="00F50C10">
        <w:rPr>
          <w:rFonts w:cs="Times New Roman"/>
          <w:szCs w:val="24"/>
        </w:rPr>
        <w:t>lu</w:t>
      </w:r>
      <w:r w:rsidRPr="00F50C10">
        <w:rPr>
          <w:rFonts w:cs="Times New Roman"/>
          <w:szCs w:val="24"/>
        </w:rPr>
        <w:t>r</w:t>
      </w:r>
      <w:r w:rsidR="00F8714B" w:rsidRPr="00F50C10">
        <w:rPr>
          <w:rFonts w:cs="Times New Roman"/>
          <w:szCs w:val="24"/>
        </w:rPr>
        <w:t>.</w:t>
      </w:r>
    </w:p>
    <w:p w14:paraId="398F843D" w14:textId="77777777" w:rsidR="000F3B99" w:rsidRPr="00F50C10" w:rsidRDefault="000F3B99" w:rsidP="00A654AE">
      <w:pPr>
        <w:pStyle w:val="Balk2"/>
        <w:numPr>
          <w:ilvl w:val="1"/>
          <w:numId w:val="165"/>
        </w:numPr>
        <w:spacing w:before="0" w:after="120" w:line="276" w:lineRule="auto"/>
        <w:rPr>
          <w:rFonts w:cs="Times New Roman"/>
          <w:szCs w:val="24"/>
        </w:rPr>
      </w:pPr>
      <w:r w:rsidRPr="00F50C10">
        <w:rPr>
          <w:rFonts w:cs="Times New Roman"/>
          <w:szCs w:val="24"/>
        </w:rPr>
        <w:t>Magnezyum Bileşikleri</w:t>
      </w:r>
    </w:p>
    <w:p w14:paraId="51D0D886"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MgCl</w:t>
      </w:r>
      <w:r w:rsidRPr="00F50C10">
        <w:rPr>
          <w:rFonts w:cs="Times New Roman"/>
          <w:vertAlign w:val="subscript"/>
        </w:rPr>
        <w:t>2</w:t>
      </w:r>
      <w:r w:rsidRPr="00F50C10">
        <w:rPr>
          <w:rFonts w:cs="Times New Roman"/>
        </w:rPr>
        <w:t xml:space="preserve"> içeren tuzlu su ve dolomitten başlayarak sinter manyezit (MgO) üretiminde uygulanan ıslak ve kuru proses aşamaları</w:t>
      </w:r>
    </w:p>
    <w:p w14:paraId="28C1CCED" w14:textId="4C306C9C" w:rsidR="00F8714B" w:rsidRPr="00F50C10" w:rsidRDefault="000F3B99" w:rsidP="000B206D">
      <w:pPr>
        <w:spacing w:after="120" w:line="276" w:lineRule="auto"/>
        <w:rPr>
          <w:rFonts w:cs="Times New Roman"/>
          <w:szCs w:val="24"/>
        </w:rPr>
      </w:pPr>
      <w:r w:rsidRPr="00F50C10">
        <w:rPr>
          <w:rFonts w:cs="Times New Roman"/>
          <w:b/>
          <w:bCs/>
          <w:szCs w:val="24"/>
        </w:rPr>
        <w:t xml:space="preserve">MET 117: </w:t>
      </w:r>
      <w:r w:rsidRPr="00F50C10">
        <w:rPr>
          <w:rFonts w:cs="Times New Roman"/>
          <w:szCs w:val="24"/>
        </w:rPr>
        <w:t>Sinter manyezit (DBM) prosesini</w:t>
      </w:r>
      <w:r w:rsidR="00F8714B" w:rsidRPr="00F50C10">
        <w:rPr>
          <w:rFonts w:cs="Times New Roman"/>
          <w:szCs w:val="24"/>
        </w:rPr>
        <w:t>n</w:t>
      </w:r>
      <w:r w:rsidRPr="00F50C10">
        <w:rPr>
          <w:rFonts w:cs="Times New Roman"/>
          <w:szCs w:val="24"/>
        </w:rPr>
        <w:t xml:space="preserve"> optimize ed</w:t>
      </w:r>
      <w:r w:rsidR="00F8714B" w:rsidRPr="00F50C10">
        <w:rPr>
          <w:rFonts w:cs="Times New Roman"/>
          <w:szCs w:val="24"/>
        </w:rPr>
        <w:t>ilmesiyle</w:t>
      </w:r>
      <w:r w:rsidRPr="00F50C10">
        <w:rPr>
          <w:rFonts w:cs="Times New Roman"/>
          <w:szCs w:val="24"/>
        </w:rPr>
        <w:t xml:space="preserve"> hammadde ve enerji tüketimi aşağıdaki seviyelerde tutul</w:t>
      </w:r>
      <w:r w:rsidR="00F8714B" w:rsidRPr="00F50C10">
        <w:rPr>
          <w:rFonts w:cs="Times New Roman"/>
          <w:szCs w:val="24"/>
        </w:rPr>
        <w:t>ur:</w:t>
      </w:r>
      <w:r w:rsidRPr="00F50C10">
        <w:rPr>
          <w:rFonts w:cs="Times New Roman"/>
          <w:szCs w:val="24"/>
        </w:rPr>
        <w:t xml:space="preserve"> </w:t>
      </w:r>
    </w:p>
    <w:p w14:paraId="74AE5F5C" w14:textId="77777777" w:rsidR="00F8714B" w:rsidRPr="00F50C10" w:rsidRDefault="000F3B99" w:rsidP="00A654AE">
      <w:pPr>
        <w:pStyle w:val="ListeParagraf"/>
        <w:numPr>
          <w:ilvl w:val="0"/>
          <w:numId w:val="164"/>
        </w:numPr>
        <w:spacing w:after="120" w:line="276" w:lineRule="auto"/>
        <w:rPr>
          <w:rFonts w:cs="Times New Roman"/>
          <w:szCs w:val="24"/>
        </w:rPr>
      </w:pPr>
      <w:r w:rsidRPr="00F50C10">
        <w:rPr>
          <w:rFonts w:cs="Times New Roman"/>
          <w:szCs w:val="24"/>
        </w:rPr>
        <w:t>üretilen her bir ton DBM (MgO) başına 1,2 ton MgCl</w:t>
      </w:r>
      <w:r w:rsidRPr="00F50C10">
        <w:rPr>
          <w:rFonts w:cs="Times New Roman"/>
          <w:szCs w:val="24"/>
          <w:vertAlign w:val="subscript"/>
        </w:rPr>
        <w:t>2,</w:t>
      </w:r>
    </w:p>
    <w:p w14:paraId="399C80FA" w14:textId="77777777" w:rsidR="00F8714B" w:rsidRPr="00F50C10" w:rsidRDefault="000F3B99" w:rsidP="00A654AE">
      <w:pPr>
        <w:pStyle w:val="ListeParagraf"/>
        <w:numPr>
          <w:ilvl w:val="0"/>
          <w:numId w:val="164"/>
        </w:numPr>
        <w:spacing w:after="120" w:line="276" w:lineRule="auto"/>
        <w:rPr>
          <w:rFonts w:cs="Times New Roman"/>
          <w:szCs w:val="24"/>
        </w:rPr>
      </w:pPr>
      <w:r w:rsidRPr="00F50C10">
        <w:rPr>
          <w:rFonts w:cs="Times New Roman"/>
          <w:szCs w:val="24"/>
        </w:rPr>
        <w:t>üretilen her bir ton DBM (MgO) başına 1,2 ton dolime,</w:t>
      </w:r>
    </w:p>
    <w:p w14:paraId="6FA9D73D" w14:textId="32E295E0" w:rsidR="000F3B99" w:rsidRPr="00F50C10" w:rsidRDefault="000F3B99" w:rsidP="00A654AE">
      <w:pPr>
        <w:pStyle w:val="ListeParagraf"/>
        <w:numPr>
          <w:ilvl w:val="0"/>
          <w:numId w:val="164"/>
        </w:numPr>
        <w:spacing w:after="120" w:line="276" w:lineRule="auto"/>
        <w:rPr>
          <w:rFonts w:cs="Times New Roman"/>
          <w:szCs w:val="24"/>
        </w:rPr>
      </w:pPr>
      <w:r w:rsidRPr="00F50C10">
        <w:rPr>
          <w:rFonts w:cs="Times New Roman"/>
          <w:szCs w:val="24"/>
        </w:rPr>
        <w:t>üretilen her bir ton DBM (MgO) başına 11,5 GJ enerji.</w:t>
      </w:r>
    </w:p>
    <w:p w14:paraId="61B322D0"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MgCl</w:t>
      </w:r>
      <w:r w:rsidRPr="00F50C10">
        <w:rPr>
          <w:rFonts w:cs="Times New Roman"/>
          <w:vertAlign w:val="subscript"/>
        </w:rPr>
        <w:t>2</w:t>
      </w:r>
      <w:r w:rsidRPr="00F50C10">
        <w:rPr>
          <w:rFonts w:cs="Times New Roman"/>
        </w:rPr>
        <w:t xml:space="preserve"> içeren tuzlu su ve dolomitten başlayarak sinter manyezit üretiminde uygulanan ıslak proses aşaması</w:t>
      </w:r>
    </w:p>
    <w:p w14:paraId="304B75E2" w14:textId="315CE100" w:rsidR="000F3B99" w:rsidRPr="00F50C10" w:rsidRDefault="000F3B99" w:rsidP="000B206D">
      <w:pPr>
        <w:spacing w:after="120" w:line="276" w:lineRule="auto"/>
        <w:rPr>
          <w:rFonts w:cs="Times New Roman"/>
          <w:szCs w:val="24"/>
        </w:rPr>
      </w:pPr>
      <w:r w:rsidRPr="00F50C10">
        <w:rPr>
          <w:rFonts w:cs="Times New Roman"/>
          <w:b/>
          <w:bCs/>
          <w:szCs w:val="24"/>
        </w:rPr>
        <w:t xml:space="preserve">MET 118: </w:t>
      </w:r>
      <w:r w:rsidRPr="00F50C10">
        <w:rPr>
          <w:rFonts w:cs="Times New Roman"/>
          <w:szCs w:val="24"/>
        </w:rPr>
        <w:t>Islak proses aşamasında deşarj edilen atık suyun genel hacmi üretilen her bir ton MgO başına 20 m</w:t>
      </w:r>
      <w:r w:rsidRPr="00F50C10">
        <w:rPr>
          <w:rFonts w:cs="Times New Roman"/>
          <w:szCs w:val="24"/>
          <w:vertAlign w:val="superscript"/>
        </w:rPr>
        <w:t>3</w:t>
      </w:r>
      <w:r w:rsidRPr="00F50C10">
        <w:rPr>
          <w:rFonts w:cs="Times New Roman"/>
          <w:szCs w:val="24"/>
        </w:rPr>
        <w:t xml:space="preserve"> atık su altında tutul</w:t>
      </w:r>
      <w:r w:rsidR="005D4F36" w:rsidRPr="00F50C10">
        <w:rPr>
          <w:rFonts w:cs="Times New Roman"/>
          <w:szCs w:val="24"/>
        </w:rPr>
        <w:t>ur</w:t>
      </w:r>
      <w:r w:rsidRPr="00F50C10">
        <w:rPr>
          <w:rFonts w:cs="Times New Roman"/>
          <w:szCs w:val="24"/>
        </w:rPr>
        <w:t>, klorür içeriği her bir litre atık su başına 42 g Cl</w:t>
      </w:r>
      <w:r w:rsidRPr="00F50C10">
        <w:rPr>
          <w:rFonts w:cs="Times New Roman"/>
          <w:szCs w:val="24"/>
          <w:vertAlign w:val="superscript"/>
        </w:rPr>
        <w:t>-</w:t>
      </w:r>
      <w:r w:rsidRPr="00F50C10">
        <w:rPr>
          <w:rFonts w:cs="Times New Roman"/>
          <w:szCs w:val="24"/>
        </w:rPr>
        <w:t xml:space="preserve"> altında </w:t>
      </w:r>
      <w:r w:rsidR="005D4F36" w:rsidRPr="00F50C10">
        <w:rPr>
          <w:rFonts w:cs="Times New Roman"/>
          <w:szCs w:val="24"/>
        </w:rPr>
        <w:t>tutulur</w:t>
      </w:r>
      <w:r w:rsidRPr="00F50C10">
        <w:rPr>
          <w:rFonts w:cs="Times New Roman"/>
          <w:szCs w:val="24"/>
        </w:rPr>
        <w:t>, diğerleri arasından hammaddelerin (MgCl</w:t>
      </w:r>
      <w:r w:rsidRPr="00F50C10">
        <w:rPr>
          <w:rFonts w:cs="Times New Roman"/>
          <w:szCs w:val="24"/>
          <w:vertAlign w:val="subscript"/>
        </w:rPr>
        <w:t>2</w:t>
      </w:r>
      <w:r w:rsidRPr="00F50C10">
        <w:rPr>
          <w:rFonts w:cs="Times New Roman"/>
          <w:szCs w:val="24"/>
        </w:rPr>
        <w:t xml:space="preserve"> içeren tuzlu su ve dol</w:t>
      </w:r>
      <w:r w:rsidR="005D4F36" w:rsidRPr="00F50C10">
        <w:rPr>
          <w:rFonts w:cs="Times New Roman"/>
          <w:szCs w:val="24"/>
        </w:rPr>
        <w:t>omit</w:t>
      </w:r>
      <w:r w:rsidRPr="00F50C10">
        <w:rPr>
          <w:rFonts w:cs="Times New Roman"/>
          <w:szCs w:val="24"/>
        </w:rPr>
        <w:t>) saflığı ve proseste kullanılan ham MgCl</w:t>
      </w:r>
      <w:r w:rsidRPr="00F50C10">
        <w:rPr>
          <w:rFonts w:cs="Times New Roman"/>
          <w:szCs w:val="24"/>
          <w:vertAlign w:val="subscript"/>
        </w:rPr>
        <w:t>2</w:t>
      </w:r>
      <w:r w:rsidRPr="00F50C10">
        <w:rPr>
          <w:rFonts w:cs="Times New Roman"/>
          <w:szCs w:val="24"/>
        </w:rPr>
        <w:t xml:space="preserve"> içeren tuzlu suyun saflığı kontrol edilir</w:t>
      </w:r>
      <w:r w:rsidR="005D4F36" w:rsidRPr="00F50C10">
        <w:rPr>
          <w:rFonts w:cs="Times New Roman"/>
          <w:szCs w:val="24"/>
        </w:rPr>
        <w:t>.</w:t>
      </w:r>
    </w:p>
    <w:p w14:paraId="59F61D4A" w14:textId="7D1879C1" w:rsidR="000F3B99" w:rsidRPr="00F50C10" w:rsidRDefault="000F3B99" w:rsidP="000B206D">
      <w:pPr>
        <w:spacing w:after="120" w:line="276" w:lineRule="auto"/>
        <w:rPr>
          <w:rFonts w:cs="Times New Roman"/>
          <w:szCs w:val="24"/>
        </w:rPr>
      </w:pPr>
      <w:r w:rsidRPr="00F50C10">
        <w:rPr>
          <w:rFonts w:cs="Times New Roman"/>
          <w:b/>
          <w:bCs/>
          <w:szCs w:val="24"/>
        </w:rPr>
        <w:t xml:space="preserve">MET 119: </w:t>
      </w:r>
      <w:r w:rsidRPr="00F50C10">
        <w:rPr>
          <w:rFonts w:cs="Times New Roman"/>
          <w:szCs w:val="24"/>
        </w:rPr>
        <w:t>MgCl</w:t>
      </w:r>
      <w:r w:rsidRPr="00F50C10">
        <w:rPr>
          <w:rFonts w:cs="Times New Roman"/>
          <w:szCs w:val="24"/>
          <w:vertAlign w:val="subscript"/>
        </w:rPr>
        <w:t>2</w:t>
      </w:r>
      <w:r w:rsidRPr="00F50C10">
        <w:rPr>
          <w:rFonts w:cs="Times New Roman"/>
          <w:szCs w:val="24"/>
        </w:rPr>
        <w:t xml:space="preserve"> içeren tuzlu suyun kükürdünün giderilmesi prosesi kontrol edil</w:t>
      </w:r>
      <w:r w:rsidR="005D4F36" w:rsidRPr="00F50C10">
        <w:rPr>
          <w:rFonts w:cs="Times New Roman"/>
          <w:szCs w:val="24"/>
        </w:rPr>
        <w:t>ir</w:t>
      </w:r>
      <w:r w:rsidRPr="00F50C10">
        <w:rPr>
          <w:rFonts w:cs="Times New Roman"/>
          <w:szCs w:val="24"/>
        </w:rPr>
        <w:t xml:space="preserve"> ve ham MgCl</w:t>
      </w:r>
      <w:r w:rsidRPr="00F50C10">
        <w:rPr>
          <w:rFonts w:cs="Times New Roman"/>
          <w:szCs w:val="24"/>
          <w:vertAlign w:val="subscript"/>
        </w:rPr>
        <w:t>2</w:t>
      </w:r>
      <w:r w:rsidRPr="00F50C10">
        <w:rPr>
          <w:rFonts w:cs="Times New Roman"/>
          <w:szCs w:val="24"/>
        </w:rPr>
        <w:t xml:space="preserve"> içeren tuzlu su oyuklarındaki alçıtaşının (CaSO</w:t>
      </w:r>
      <w:r w:rsidRPr="00F50C10">
        <w:rPr>
          <w:rFonts w:cs="Times New Roman"/>
          <w:szCs w:val="24"/>
          <w:vertAlign w:val="subscript"/>
        </w:rPr>
        <w:t>4</w:t>
      </w:r>
      <w:r w:rsidRPr="00F50C10">
        <w:rPr>
          <w:rFonts w:cs="Times New Roman"/>
          <w:szCs w:val="24"/>
        </w:rPr>
        <w:t>.2H</w:t>
      </w:r>
      <w:r w:rsidRPr="00F50C10">
        <w:rPr>
          <w:rFonts w:cs="Times New Roman"/>
          <w:szCs w:val="24"/>
          <w:vertAlign w:val="subscript"/>
        </w:rPr>
        <w:t>2</w:t>
      </w:r>
      <w:r w:rsidRPr="00F50C10">
        <w:rPr>
          <w:rFonts w:cs="Times New Roman"/>
          <w:szCs w:val="24"/>
        </w:rPr>
        <w:t>O) bertaraf edilmesiyle katı atık miktarı azaltılır</w:t>
      </w:r>
      <w:r w:rsidR="005D4F36" w:rsidRPr="00F50C10">
        <w:rPr>
          <w:rFonts w:cs="Times New Roman"/>
          <w:szCs w:val="24"/>
        </w:rPr>
        <w:t>.</w:t>
      </w:r>
    </w:p>
    <w:p w14:paraId="51CE96F1"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MgCl</w:t>
      </w:r>
      <w:r w:rsidRPr="00F50C10">
        <w:rPr>
          <w:rFonts w:cs="Times New Roman"/>
          <w:vertAlign w:val="subscript"/>
        </w:rPr>
        <w:t>2</w:t>
      </w:r>
      <w:r w:rsidRPr="00F50C10">
        <w:rPr>
          <w:rFonts w:cs="Times New Roman"/>
        </w:rPr>
        <w:t xml:space="preserve"> içeren tuzlu su ve dolomitten başlayarak sinter manyezit üretiminde uygulanan kuru proses aşaması</w:t>
      </w:r>
    </w:p>
    <w:p w14:paraId="7D818D70" w14:textId="0503556F" w:rsidR="000F3B99" w:rsidRPr="00F50C10" w:rsidRDefault="000F3B99" w:rsidP="000B206D">
      <w:pPr>
        <w:spacing w:after="120" w:line="276" w:lineRule="auto"/>
        <w:rPr>
          <w:rFonts w:cs="Times New Roman"/>
          <w:szCs w:val="24"/>
        </w:rPr>
      </w:pPr>
      <w:r w:rsidRPr="00F50C10">
        <w:rPr>
          <w:rFonts w:cs="Times New Roman"/>
          <w:b/>
          <w:bCs/>
          <w:szCs w:val="24"/>
        </w:rPr>
        <w:t xml:space="preserve">MET 120: </w:t>
      </w:r>
      <w:r w:rsidRPr="00F50C10">
        <w:rPr>
          <w:rFonts w:cs="Times New Roman"/>
          <w:szCs w:val="24"/>
        </w:rPr>
        <w:t xml:space="preserve">Siklon ve elektrostatik </w:t>
      </w:r>
      <w:r w:rsidR="005D4F36" w:rsidRPr="00F50C10">
        <w:rPr>
          <w:rFonts w:cs="Times New Roman"/>
          <w:szCs w:val="24"/>
        </w:rPr>
        <w:t>filtre</w:t>
      </w:r>
      <w:r w:rsidRPr="00F50C10">
        <w:rPr>
          <w:rFonts w:cs="Times New Roman"/>
          <w:szCs w:val="24"/>
        </w:rPr>
        <w:t xml:space="preserve"> (kalsinasyon adımında), </w:t>
      </w:r>
      <w:r w:rsidR="005D4F36" w:rsidRPr="00F50C10">
        <w:rPr>
          <w:rFonts w:cs="Times New Roman"/>
          <w:szCs w:val="24"/>
        </w:rPr>
        <w:t>bez</w:t>
      </w:r>
      <w:r w:rsidRPr="00F50C10">
        <w:rPr>
          <w:rFonts w:cs="Times New Roman"/>
          <w:szCs w:val="24"/>
        </w:rPr>
        <w:t xml:space="preserve"> filtre (briketleme adımı</w:t>
      </w:r>
      <w:r w:rsidR="005D4F36" w:rsidRPr="00F50C10">
        <w:rPr>
          <w:rFonts w:cs="Times New Roman"/>
          <w:szCs w:val="24"/>
        </w:rPr>
        <w:t>nda</w:t>
      </w:r>
      <w:r w:rsidRPr="00F50C10">
        <w:rPr>
          <w:rFonts w:cs="Times New Roman"/>
          <w:szCs w:val="24"/>
        </w:rPr>
        <w:t>), hat sonlandırıcı gibi toz azaltma teknikleri</w:t>
      </w:r>
      <w:r w:rsidR="005D4F36" w:rsidRPr="00F50C10">
        <w:rPr>
          <w:rFonts w:cs="Times New Roman"/>
          <w:szCs w:val="24"/>
        </w:rPr>
        <w:t>ni</w:t>
      </w:r>
      <w:r w:rsidRPr="00F50C10">
        <w:rPr>
          <w:rFonts w:cs="Times New Roman"/>
          <w:szCs w:val="24"/>
        </w:rPr>
        <w:t xml:space="preserve"> bir arada kullanarak ve ardından bir siklon ve ıslak venturi yıkayıcı (sinterleme adımında) kullanarak havaya salınan toz emisyonları üretilen her bir ton sinter manyezit (MgO formunda) başına 0,3 kg toz yani &lt;35 mg/Nm</w:t>
      </w:r>
      <w:r w:rsidRPr="00F50C10">
        <w:rPr>
          <w:rFonts w:cs="Times New Roman"/>
          <w:szCs w:val="24"/>
          <w:vertAlign w:val="superscript"/>
        </w:rPr>
        <w:t>3</w:t>
      </w:r>
      <w:r w:rsidRPr="00F50C10">
        <w:rPr>
          <w:rFonts w:cs="Times New Roman"/>
          <w:szCs w:val="24"/>
        </w:rPr>
        <w:t xml:space="preserve"> eşdeğeri seviyesine indirilir</w:t>
      </w:r>
      <w:r w:rsidR="00F8714B" w:rsidRPr="00F50C10">
        <w:rPr>
          <w:rFonts w:cs="Times New Roman"/>
          <w:szCs w:val="24"/>
        </w:rPr>
        <w:t>.</w:t>
      </w:r>
    </w:p>
    <w:p w14:paraId="6E1C057C" w14:textId="5744CF0B" w:rsidR="000F3B99" w:rsidRPr="00F50C10" w:rsidRDefault="000F3B99" w:rsidP="000B206D">
      <w:pPr>
        <w:spacing w:after="120" w:line="276" w:lineRule="auto"/>
        <w:rPr>
          <w:rFonts w:cs="Times New Roman"/>
          <w:szCs w:val="24"/>
        </w:rPr>
      </w:pPr>
      <w:r w:rsidRPr="00F50C10">
        <w:rPr>
          <w:rFonts w:cs="Times New Roman"/>
          <w:b/>
          <w:bCs/>
          <w:szCs w:val="24"/>
        </w:rPr>
        <w:t xml:space="preserve">MET 121: </w:t>
      </w:r>
      <w:r w:rsidRPr="00F50C10">
        <w:rPr>
          <w:rFonts w:cs="Times New Roman"/>
          <w:szCs w:val="24"/>
        </w:rPr>
        <w:t>Aynı zamanda uçucu HCl maddeleri ve tozun da uzaklaştırılmasını sağlayan bir venturi yıkayıcı kullanarak üretilen sinterleme fırını bölümündeki SO</w:t>
      </w:r>
      <w:r w:rsidRPr="00F50C10">
        <w:rPr>
          <w:rFonts w:cs="Times New Roman"/>
          <w:szCs w:val="24"/>
          <w:vertAlign w:val="subscript"/>
        </w:rPr>
        <w:t>2</w:t>
      </w:r>
      <w:r w:rsidRPr="00F50C10">
        <w:rPr>
          <w:rFonts w:cs="Times New Roman"/>
          <w:szCs w:val="24"/>
        </w:rPr>
        <w:t xml:space="preserve"> emisyonları üretilen her bir ton sinter manyezit (MgO formunda) başına 0,6 kg SO</w:t>
      </w:r>
      <w:r w:rsidRPr="00F50C10">
        <w:rPr>
          <w:rFonts w:cs="Times New Roman"/>
          <w:szCs w:val="24"/>
          <w:vertAlign w:val="subscript"/>
        </w:rPr>
        <w:t>2</w:t>
      </w:r>
      <w:r w:rsidRPr="00F50C10">
        <w:rPr>
          <w:rFonts w:cs="Times New Roman"/>
          <w:szCs w:val="24"/>
        </w:rPr>
        <w:t xml:space="preserve"> seviyesinin altına indirilir</w:t>
      </w:r>
      <w:r w:rsidR="00F8714B" w:rsidRPr="00F50C10">
        <w:rPr>
          <w:rFonts w:cs="Times New Roman"/>
          <w:szCs w:val="24"/>
        </w:rPr>
        <w:t>.</w:t>
      </w:r>
    </w:p>
    <w:p w14:paraId="440B535E" w14:textId="5819FCB7" w:rsidR="000F3B99" w:rsidRPr="00F50C10" w:rsidRDefault="000F3B99" w:rsidP="000B206D">
      <w:pPr>
        <w:spacing w:after="120" w:line="276" w:lineRule="auto"/>
        <w:rPr>
          <w:rFonts w:cs="Times New Roman"/>
          <w:b/>
          <w:bCs/>
          <w:szCs w:val="24"/>
        </w:rPr>
      </w:pPr>
      <w:r w:rsidRPr="00F50C10">
        <w:rPr>
          <w:rFonts w:cs="Times New Roman"/>
          <w:b/>
          <w:bCs/>
          <w:szCs w:val="24"/>
        </w:rPr>
        <w:t>MET 122:</w:t>
      </w:r>
      <w:r w:rsidRPr="00F50C10">
        <w:rPr>
          <w:rFonts w:cs="Times New Roman"/>
          <w:szCs w:val="24"/>
        </w:rPr>
        <w:t xml:space="preserve"> Prosese entegre yöntemler kullanılarak NO</w:t>
      </w:r>
      <w:r w:rsidRPr="00F50C10">
        <w:rPr>
          <w:rFonts w:cs="Times New Roman"/>
          <w:szCs w:val="24"/>
          <w:vertAlign w:val="subscript"/>
        </w:rPr>
        <w:t>x</w:t>
      </w:r>
      <w:r w:rsidRPr="00F50C10">
        <w:rPr>
          <w:rFonts w:cs="Times New Roman"/>
          <w:szCs w:val="24"/>
        </w:rPr>
        <w:t xml:space="preserve"> and CO emisyonları üretilen her bir ton MgO başına sırasıyla 2,1 – 4,4 kg NO</w:t>
      </w:r>
      <w:r w:rsidRPr="00F50C10">
        <w:rPr>
          <w:rFonts w:cs="Times New Roman"/>
          <w:szCs w:val="24"/>
          <w:vertAlign w:val="subscript"/>
        </w:rPr>
        <w:t>x</w:t>
      </w:r>
      <w:r w:rsidRPr="00F50C10">
        <w:rPr>
          <w:rFonts w:cs="Times New Roman"/>
          <w:szCs w:val="24"/>
        </w:rPr>
        <w:t xml:space="preserve"> (NO</w:t>
      </w:r>
      <w:r w:rsidRPr="00F50C10">
        <w:rPr>
          <w:rFonts w:cs="Times New Roman"/>
          <w:szCs w:val="24"/>
          <w:vertAlign w:val="subscript"/>
        </w:rPr>
        <w:t>2</w:t>
      </w:r>
      <w:r w:rsidRPr="00F50C10">
        <w:rPr>
          <w:rFonts w:cs="Times New Roman"/>
          <w:szCs w:val="24"/>
        </w:rPr>
        <w:t xml:space="preserve"> formunda) ve 3,5- 14,5 kg seviyelerine indirilir, bunun için aşağıdaki önlemler uygulan</w:t>
      </w:r>
      <w:r w:rsidR="007E7C7E" w:rsidRPr="00F50C10">
        <w:rPr>
          <w:rFonts w:cs="Times New Roman"/>
          <w:szCs w:val="24"/>
        </w:rPr>
        <w:t>ır</w:t>
      </w:r>
      <w:r w:rsidRPr="00F50C10">
        <w:rPr>
          <w:rFonts w:cs="Times New Roman"/>
          <w:szCs w:val="24"/>
        </w:rPr>
        <w:t>:</w:t>
      </w:r>
    </w:p>
    <w:p w14:paraId="018A1797" w14:textId="77777777" w:rsidR="000F3B99" w:rsidRPr="00F50C10" w:rsidRDefault="000F3B99" w:rsidP="00A654AE">
      <w:pPr>
        <w:pStyle w:val="ListeParagraf"/>
        <w:numPr>
          <w:ilvl w:val="2"/>
          <w:numId w:val="98"/>
        </w:numPr>
        <w:spacing w:after="120" w:line="276" w:lineRule="auto"/>
        <w:ind w:left="1080"/>
        <w:rPr>
          <w:rFonts w:cs="Times New Roman"/>
          <w:szCs w:val="24"/>
        </w:rPr>
      </w:pPr>
      <w:r w:rsidRPr="00F50C10">
        <w:rPr>
          <w:rFonts w:cs="Times New Roman"/>
          <w:szCs w:val="24"/>
        </w:rPr>
        <w:t>pullama bölümündeki gazlı fırında NO</w:t>
      </w:r>
      <w:r w:rsidRPr="00F50C10">
        <w:rPr>
          <w:rFonts w:cs="Times New Roman"/>
          <w:szCs w:val="24"/>
          <w:vertAlign w:val="subscript"/>
        </w:rPr>
        <w:t>X</w:t>
      </w:r>
      <w:r w:rsidRPr="00F50C10">
        <w:rPr>
          <w:rFonts w:cs="Times New Roman"/>
          <w:szCs w:val="24"/>
        </w:rPr>
        <w:t xml:space="preserve"> içeriği düşük bir brülör kullanılması,</w:t>
      </w:r>
    </w:p>
    <w:p w14:paraId="29B7B88D" w14:textId="77777777" w:rsidR="000F3B99" w:rsidRPr="00F50C10" w:rsidRDefault="000F3B99" w:rsidP="00A654AE">
      <w:pPr>
        <w:pStyle w:val="ListeParagraf"/>
        <w:numPr>
          <w:ilvl w:val="2"/>
          <w:numId w:val="98"/>
        </w:numPr>
        <w:spacing w:after="120" w:line="276" w:lineRule="auto"/>
        <w:ind w:left="1080"/>
        <w:rPr>
          <w:rFonts w:cs="Times New Roman"/>
          <w:szCs w:val="24"/>
        </w:rPr>
      </w:pPr>
      <w:r w:rsidRPr="00F50C10">
        <w:rPr>
          <w:rFonts w:cs="Times New Roman"/>
          <w:szCs w:val="24"/>
        </w:rPr>
        <w:t>kalsinasyon bölümünde akışa göre hava/gaz oranı ayarlanarak brülörün regüle edilmesi,</w:t>
      </w:r>
    </w:p>
    <w:p w14:paraId="082FB1A6" w14:textId="77777777" w:rsidR="000F3B99" w:rsidRPr="00F50C10" w:rsidRDefault="000F3B99" w:rsidP="00A654AE">
      <w:pPr>
        <w:pStyle w:val="ListeParagraf"/>
        <w:numPr>
          <w:ilvl w:val="2"/>
          <w:numId w:val="98"/>
        </w:numPr>
        <w:spacing w:after="120" w:line="276" w:lineRule="auto"/>
        <w:ind w:left="1080"/>
        <w:rPr>
          <w:rFonts w:cs="Times New Roman"/>
          <w:szCs w:val="24"/>
        </w:rPr>
      </w:pPr>
      <w:r w:rsidRPr="00F50C10">
        <w:rPr>
          <w:rFonts w:cs="Times New Roman"/>
          <w:szCs w:val="24"/>
        </w:rPr>
        <w:t>ikincil fazla hava miktarı azaltılıp yanma şartlarının optimum hale getirilmesi ve sinterleme bölümünde brülör derinliğinin değiştirilmesi.</w:t>
      </w:r>
    </w:p>
    <w:p w14:paraId="28BEE3AB" w14:textId="77777777" w:rsidR="000F3B99" w:rsidRPr="00F50C10" w:rsidRDefault="000F3B99" w:rsidP="00A654AE">
      <w:pPr>
        <w:pStyle w:val="Balk2"/>
        <w:numPr>
          <w:ilvl w:val="1"/>
          <w:numId w:val="165"/>
        </w:numPr>
        <w:spacing w:before="0" w:after="120" w:line="276" w:lineRule="auto"/>
        <w:rPr>
          <w:rFonts w:cs="Times New Roman"/>
          <w:szCs w:val="24"/>
        </w:rPr>
      </w:pPr>
      <w:r w:rsidRPr="00F50C10">
        <w:rPr>
          <w:rFonts w:cs="Times New Roman"/>
          <w:szCs w:val="24"/>
        </w:rPr>
        <w:t>Sodyum Silikat</w:t>
      </w:r>
    </w:p>
    <w:p w14:paraId="3E30D559"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Eritme prosesi yöntemiyle sodyum silikat üretimi</w:t>
      </w:r>
    </w:p>
    <w:p w14:paraId="72759EB1" w14:textId="4745363B"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123: </w:t>
      </w:r>
      <w:r w:rsidRPr="00F50C10">
        <w:rPr>
          <w:rFonts w:cs="Times New Roman"/>
          <w:szCs w:val="24"/>
        </w:rPr>
        <w:t>Sürekli tank fırınlarda havaya salınan emisyonlar 10 – 20 mg/Nm</w:t>
      </w:r>
      <w:r w:rsidRPr="00F50C10">
        <w:rPr>
          <w:rFonts w:cs="Times New Roman"/>
          <w:szCs w:val="24"/>
          <w:vertAlign w:val="superscript"/>
        </w:rPr>
        <w:t>3</w:t>
      </w:r>
      <w:r w:rsidRPr="00F50C10">
        <w:rPr>
          <w:rFonts w:cs="Times New Roman"/>
          <w:szCs w:val="24"/>
        </w:rPr>
        <w:t xml:space="preserve"> çıkış gazı seviyesine (ortalama ½ saatlik değerler şeklinde ifade edilir) düşürül</w:t>
      </w:r>
      <w:r w:rsidR="009E286D" w:rsidRPr="00F50C10">
        <w:rPr>
          <w:rFonts w:cs="Times New Roman"/>
          <w:szCs w:val="24"/>
        </w:rPr>
        <w:t>ü</w:t>
      </w:r>
      <w:r w:rsidRPr="00F50C10">
        <w:rPr>
          <w:rFonts w:cs="Times New Roman"/>
          <w:szCs w:val="24"/>
        </w:rPr>
        <w:t>r. Fırın/ateşleme üzerinde iyileştirici modifikasyonlar yapılması, yıkayıcı veya torba filtre kullanılması gibi teknikler uygulanabilir. Sadece birincil önlemlerin uygulanabildiği durumlarda 50 mg/Nm</w:t>
      </w:r>
      <w:r w:rsidRPr="00F50C10">
        <w:rPr>
          <w:rFonts w:cs="Times New Roman"/>
          <w:szCs w:val="24"/>
          <w:vertAlign w:val="superscript"/>
        </w:rPr>
        <w:t>3</w:t>
      </w:r>
      <w:r w:rsidRPr="00F50C10">
        <w:rPr>
          <w:rFonts w:cs="Times New Roman"/>
          <w:szCs w:val="24"/>
        </w:rPr>
        <w:t xml:space="preserve"> gibi değerlere ulaşılabilmektedir. Döner ocaklı fırınlarda havaya salınan emisyonlar 30 – 60 mg/Nm</w:t>
      </w:r>
      <w:r w:rsidRPr="00F50C10">
        <w:rPr>
          <w:rFonts w:cs="Times New Roman"/>
          <w:szCs w:val="24"/>
          <w:vertAlign w:val="superscript"/>
        </w:rPr>
        <w:t>3</w:t>
      </w:r>
      <w:r w:rsidRPr="00F50C10">
        <w:rPr>
          <w:rFonts w:cs="Times New Roman"/>
          <w:szCs w:val="24"/>
        </w:rPr>
        <w:t xml:space="preserve"> çıkış gazı seviyesine (ortalama ½ saatlik değerler şeklinde ifade edilir) düşürü</w:t>
      </w:r>
      <w:r w:rsidR="009E286D" w:rsidRPr="00F50C10">
        <w:rPr>
          <w:rFonts w:cs="Times New Roman"/>
          <w:szCs w:val="24"/>
        </w:rPr>
        <w:t>lür</w:t>
      </w:r>
      <w:r w:rsidRPr="00F50C10">
        <w:rPr>
          <w:rFonts w:cs="Times New Roman"/>
          <w:szCs w:val="24"/>
        </w:rPr>
        <w:t>. Yıkayıcılar gibi teknikler kullanılabilir.</w:t>
      </w:r>
    </w:p>
    <w:p w14:paraId="2555EF47" w14:textId="00603A08" w:rsidR="000F3B99" w:rsidRPr="00F50C10" w:rsidRDefault="000F3B99" w:rsidP="000B206D">
      <w:pPr>
        <w:spacing w:after="120" w:line="276" w:lineRule="auto"/>
        <w:rPr>
          <w:rFonts w:cs="Times New Roman"/>
          <w:b/>
          <w:bCs/>
          <w:szCs w:val="24"/>
        </w:rPr>
      </w:pPr>
      <w:r w:rsidRPr="00F50C10">
        <w:rPr>
          <w:rFonts w:cs="Times New Roman"/>
          <w:b/>
          <w:bCs/>
          <w:szCs w:val="24"/>
        </w:rPr>
        <w:t>MET 124</w:t>
      </w:r>
      <w:r w:rsidR="009E286D" w:rsidRPr="00F50C10">
        <w:rPr>
          <w:rFonts w:cs="Times New Roman"/>
          <w:b/>
          <w:bCs/>
          <w:szCs w:val="24"/>
        </w:rPr>
        <w:t>:</w:t>
      </w:r>
      <w:r w:rsidRPr="00F50C10">
        <w:rPr>
          <w:rFonts w:cs="Times New Roman"/>
          <w:b/>
          <w:bCs/>
          <w:szCs w:val="24"/>
        </w:rPr>
        <w:t xml:space="preserve"> </w:t>
      </w:r>
      <w:r w:rsidRPr="00F50C10">
        <w:rPr>
          <w:rFonts w:cs="Times New Roman"/>
          <w:szCs w:val="24"/>
        </w:rPr>
        <w:t>Hem sürekli hem de kesikli fırınların kullanıldığı proseslerde kükürt içeriği düşük yakıtlar (doğal gaz) kullanılarak havaya salınan SO</w:t>
      </w:r>
      <w:r w:rsidRPr="00F50C10">
        <w:rPr>
          <w:rFonts w:cs="Times New Roman"/>
          <w:szCs w:val="24"/>
          <w:vertAlign w:val="subscript"/>
        </w:rPr>
        <w:t>2</w:t>
      </w:r>
      <w:r w:rsidRPr="00F50C10">
        <w:rPr>
          <w:rFonts w:cs="Times New Roman"/>
          <w:szCs w:val="24"/>
        </w:rPr>
        <w:t xml:space="preserve"> emisyonları 100 – 200 mg SO</w:t>
      </w:r>
      <w:r w:rsidRPr="00F50C10">
        <w:rPr>
          <w:rFonts w:cs="Times New Roman"/>
          <w:szCs w:val="24"/>
          <w:vertAlign w:val="subscript"/>
        </w:rPr>
        <w:t>2</w:t>
      </w:r>
      <w:r w:rsidRPr="00F50C10">
        <w:rPr>
          <w:rFonts w:cs="Times New Roman"/>
          <w:szCs w:val="24"/>
        </w:rPr>
        <w:t>/Nm</w:t>
      </w:r>
      <w:r w:rsidRPr="00F50C10">
        <w:rPr>
          <w:rFonts w:cs="Times New Roman"/>
          <w:szCs w:val="24"/>
          <w:vertAlign w:val="superscript"/>
        </w:rPr>
        <w:t>3</w:t>
      </w:r>
      <w:r w:rsidRPr="00F50C10">
        <w:rPr>
          <w:rFonts w:cs="Times New Roman"/>
          <w:szCs w:val="24"/>
        </w:rPr>
        <w:t xml:space="preserve"> çıkış gazı seviyesine düşürül</w:t>
      </w:r>
      <w:r w:rsidR="009E286D" w:rsidRPr="00F50C10">
        <w:rPr>
          <w:rFonts w:cs="Times New Roman"/>
          <w:szCs w:val="24"/>
        </w:rPr>
        <w:t>ür.</w:t>
      </w:r>
    </w:p>
    <w:p w14:paraId="6CC93DBF" w14:textId="77777777" w:rsidR="000F3B99" w:rsidRPr="00F50C10" w:rsidRDefault="000F3B99" w:rsidP="000B206D">
      <w:pPr>
        <w:spacing w:after="120" w:line="276" w:lineRule="auto"/>
        <w:rPr>
          <w:rFonts w:cs="Times New Roman"/>
          <w:szCs w:val="24"/>
        </w:rPr>
      </w:pPr>
      <w:r w:rsidRPr="00F50C10">
        <w:rPr>
          <w:rFonts w:cs="Times New Roman"/>
          <w:szCs w:val="24"/>
        </w:rPr>
        <w:t>Yukarıda bahsedilen performans MET hedefine aşağıdaki durumlarda ulaşmak mümkün olmayabilir:</w:t>
      </w:r>
    </w:p>
    <w:p w14:paraId="7F52C91C" w14:textId="77777777" w:rsidR="000F3B99" w:rsidRPr="00F50C10" w:rsidRDefault="000F3B99" w:rsidP="00A654AE">
      <w:pPr>
        <w:pStyle w:val="ListeParagraf"/>
        <w:numPr>
          <w:ilvl w:val="2"/>
          <w:numId w:val="99"/>
        </w:numPr>
        <w:tabs>
          <w:tab w:val="left" w:pos="1080"/>
        </w:tabs>
        <w:spacing w:after="120" w:line="276" w:lineRule="auto"/>
        <w:ind w:left="1080"/>
        <w:rPr>
          <w:rFonts w:cs="Times New Roman"/>
          <w:szCs w:val="24"/>
        </w:rPr>
      </w:pPr>
      <w:r w:rsidRPr="00F50C10">
        <w:rPr>
          <w:rFonts w:cs="Times New Roman"/>
          <w:szCs w:val="24"/>
        </w:rPr>
        <w:t>su camı tozu ve cam kırıkları geri dönüştürülerek fırına verildiğinde,</w:t>
      </w:r>
    </w:p>
    <w:p w14:paraId="25FA39C6" w14:textId="77777777" w:rsidR="000F3B99" w:rsidRPr="00F50C10" w:rsidRDefault="000F3B99" w:rsidP="00A654AE">
      <w:pPr>
        <w:pStyle w:val="ListeParagraf"/>
        <w:numPr>
          <w:ilvl w:val="2"/>
          <w:numId w:val="99"/>
        </w:numPr>
        <w:tabs>
          <w:tab w:val="left" w:pos="1080"/>
        </w:tabs>
        <w:spacing w:after="120" w:line="276" w:lineRule="auto"/>
        <w:ind w:left="1080"/>
        <w:rPr>
          <w:rFonts w:cs="Times New Roman"/>
          <w:szCs w:val="24"/>
        </w:rPr>
      </w:pPr>
      <w:r w:rsidRPr="00F50C10">
        <w:rPr>
          <w:rFonts w:cs="Times New Roman"/>
          <w:szCs w:val="24"/>
        </w:rPr>
        <w:t>gaz yakıtlı fırınlarda acil durum yedeği olarak (kesintisiz gaz beslemesinde kesinti olduğu zamanlarda) ağır akaryakıt kullanıldığında,</w:t>
      </w:r>
    </w:p>
    <w:p w14:paraId="0B872B7D" w14:textId="77777777" w:rsidR="000F3B99" w:rsidRPr="00F50C10" w:rsidRDefault="000F3B99" w:rsidP="00A654AE">
      <w:pPr>
        <w:pStyle w:val="ListeParagraf"/>
        <w:numPr>
          <w:ilvl w:val="2"/>
          <w:numId w:val="99"/>
        </w:numPr>
        <w:tabs>
          <w:tab w:val="left" w:pos="1080"/>
        </w:tabs>
        <w:spacing w:after="120" w:line="276" w:lineRule="auto"/>
        <w:ind w:left="1080"/>
        <w:rPr>
          <w:rFonts w:cs="Times New Roman"/>
          <w:szCs w:val="24"/>
        </w:rPr>
      </w:pPr>
      <w:r w:rsidRPr="00F50C10">
        <w:rPr>
          <w:rFonts w:cs="Times New Roman"/>
          <w:szCs w:val="24"/>
        </w:rPr>
        <w:t>sodyum silikat tesisi akaryakıt esaslı olduğunda SO</w:t>
      </w:r>
      <w:r w:rsidRPr="00F50C10">
        <w:rPr>
          <w:rFonts w:cs="Times New Roman"/>
          <w:szCs w:val="24"/>
          <w:vertAlign w:val="subscript"/>
        </w:rPr>
        <w:t>2</w:t>
      </w:r>
      <w:r w:rsidRPr="00F50C10">
        <w:rPr>
          <w:rFonts w:cs="Times New Roman"/>
          <w:szCs w:val="24"/>
        </w:rPr>
        <w:t xml:space="preserve"> emisyonları genellikle çok daha yüksektir, bu durumda kuru asitle yıkama gibi ikincil önlemler uygulanarak düşürülebilir.</w:t>
      </w:r>
    </w:p>
    <w:p w14:paraId="5B9C039F" w14:textId="123F441E"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125: </w:t>
      </w:r>
      <w:r w:rsidRPr="00F50C10">
        <w:rPr>
          <w:rFonts w:cs="Times New Roman"/>
          <w:szCs w:val="24"/>
        </w:rPr>
        <w:t>Hava/yakıt oranının azaltılması, yanma havası sıcaklığının düşürülmesi, kademeli yanma ve özellikle NO</w:t>
      </w:r>
      <w:r w:rsidRPr="00F50C10">
        <w:rPr>
          <w:rFonts w:cs="Times New Roman"/>
          <w:szCs w:val="24"/>
          <w:vertAlign w:val="subscript"/>
        </w:rPr>
        <w:t>x</w:t>
      </w:r>
      <w:r w:rsidRPr="00F50C10">
        <w:rPr>
          <w:rFonts w:cs="Times New Roman"/>
          <w:szCs w:val="24"/>
        </w:rPr>
        <w:t xml:space="preserve"> içeriği düşük brülörler kullanılması gibi birincil önlemler uygulanarak tank fırınından havaya salınan NO</w:t>
      </w:r>
      <w:r w:rsidRPr="00F50C10">
        <w:rPr>
          <w:rFonts w:cs="Times New Roman"/>
          <w:szCs w:val="24"/>
          <w:vertAlign w:val="subscript"/>
        </w:rPr>
        <w:t>x</w:t>
      </w:r>
      <w:r w:rsidRPr="00F50C10">
        <w:rPr>
          <w:rFonts w:cs="Times New Roman"/>
          <w:szCs w:val="24"/>
        </w:rPr>
        <w:t xml:space="preserve"> emisyonları 400 – 600 mg NO</w:t>
      </w:r>
      <w:r w:rsidRPr="00F50C10">
        <w:rPr>
          <w:rFonts w:cs="Times New Roman"/>
          <w:szCs w:val="24"/>
          <w:vertAlign w:val="subscript"/>
        </w:rPr>
        <w:t>2</w:t>
      </w:r>
      <w:r w:rsidRPr="00F50C10">
        <w:rPr>
          <w:rFonts w:cs="Times New Roman"/>
          <w:szCs w:val="24"/>
        </w:rPr>
        <w:t>/Nm</w:t>
      </w:r>
      <w:r w:rsidRPr="00F50C10">
        <w:rPr>
          <w:rFonts w:cs="Times New Roman"/>
          <w:szCs w:val="24"/>
          <w:vertAlign w:val="superscript"/>
        </w:rPr>
        <w:t>3</w:t>
      </w:r>
      <w:r w:rsidRPr="00F50C10">
        <w:rPr>
          <w:rFonts w:cs="Times New Roman"/>
          <w:szCs w:val="24"/>
        </w:rPr>
        <w:t xml:space="preserve"> çıkış gazı seviyesine indiril</w:t>
      </w:r>
      <w:r w:rsidR="009E286D" w:rsidRPr="00F50C10">
        <w:rPr>
          <w:rFonts w:cs="Times New Roman"/>
          <w:szCs w:val="24"/>
        </w:rPr>
        <w:t>i</w:t>
      </w:r>
      <w:r w:rsidRPr="00F50C10">
        <w:rPr>
          <w:rFonts w:cs="Times New Roman"/>
          <w:szCs w:val="24"/>
        </w:rPr>
        <w:t>r</w:t>
      </w:r>
      <w:r w:rsidR="009E286D" w:rsidRPr="00F50C10">
        <w:rPr>
          <w:rFonts w:cs="Times New Roman"/>
          <w:szCs w:val="24"/>
        </w:rPr>
        <w:t>.</w:t>
      </w:r>
    </w:p>
    <w:p w14:paraId="0B43C0DC" w14:textId="06081F2A"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126: </w:t>
      </w:r>
      <w:r w:rsidRPr="00F50C10">
        <w:rPr>
          <w:rFonts w:cs="Times New Roman"/>
          <w:szCs w:val="24"/>
        </w:rPr>
        <w:t>Havaya salınan halojen emisyonlarını azaltmak için birincil önlem olarak klorür ve florür içeriği düşük soda külü kullanılarak klorür ve florür bileşiklerinin kombine emisyon değerleri 2,5 – 5 mg (HCl + HF)/Nm</w:t>
      </w:r>
      <w:r w:rsidRPr="00F50C10">
        <w:rPr>
          <w:rFonts w:cs="Times New Roman"/>
          <w:szCs w:val="24"/>
          <w:vertAlign w:val="superscript"/>
        </w:rPr>
        <w:t>3</w:t>
      </w:r>
      <w:r w:rsidRPr="00F50C10">
        <w:rPr>
          <w:rFonts w:cs="Times New Roman"/>
          <w:szCs w:val="24"/>
        </w:rPr>
        <w:t xml:space="preserve"> (½ saatlik ortalama değerler olarak ifade edilir) seviyesine indirilir</w:t>
      </w:r>
      <w:r w:rsidR="009E286D" w:rsidRPr="00F50C10">
        <w:rPr>
          <w:rFonts w:cs="Times New Roman"/>
          <w:szCs w:val="24"/>
        </w:rPr>
        <w:t>.</w:t>
      </w:r>
    </w:p>
    <w:p w14:paraId="414A6015" w14:textId="7F9B3E08"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127: </w:t>
      </w:r>
      <w:r w:rsidRPr="00F50C10">
        <w:rPr>
          <w:rFonts w:cs="Times New Roman"/>
          <w:szCs w:val="24"/>
        </w:rPr>
        <w:t>Havaya salınan florür emisyonlarını azaltmak için birincil önlem olarak florür içeriği düşük kum kullanarak ve gerekiyorsa ikincil boru sonu tekniği önlemi olarak</w:t>
      </w:r>
      <w:r w:rsidR="009E286D" w:rsidRPr="00F50C10">
        <w:rPr>
          <w:rFonts w:cs="Times New Roman"/>
          <w:szCs w:val="24"/>
        </w:rPr>
        <w:t>, havaya salınan SO</w:t>
      </w:r>
      <w:r w:rsidR="009E286D" w:rsidRPr="00F50C10">
        <w:rPr>
          <w:rFonts w:cs="Times New Roman"/>
          <w:szCs w:val="24"/>
          <w:vertAlign w:val="subscript"/>
        </w:rPr>
        <w:t>2</w:t>
      </w:r>
      <w:r w:rsidR="009E286D" w:rsidRPr="00F50C10">
        <w:rPr>
          <w:rFonts w:cs="Times New Roman"/>
          <w:szCs w:val="24"/>
        </w:rPr>
        <w:t xml:space="preserve"> ve HCl emisyonlarını azaltmak için de kullanılan, </w:t>
      </w:r>
      <w:r w:rsidRPr="00F50C10">
        <w:rPr>
          <w:rFonts w:cs="Times New Roman"/>
          <w:szCs w:val="24"/>
        </w:rPr>
        <w:t>kuru asitle yıkama yöntemini de uygulayarak  florür bileşikleri emisyonları 0,4 – 1 mg HF/Nm</w:t>
      </w:r>
      <w:r w:rsidRPr="00F50C10">
        <w:rPr>
          <w:rFonts w:cs="Times New Roman"/>
          <w:szCs w:val="24"/>
          <w:vertAlign w:val="superscript"/>
        </w:rPr>
        <w:t>3</w:t>
      </w:r>
      <w:r w:rsidRPr="00F50C10">
        <w:rPr>
          <w:rFonts w:cs="Times New Roman"/>
          <w:szCs w:val="24"/>
        </w:rPr>
        <w:t xml:space="preserve"> çıkış gazı seviyesine indiril</w:t>
      </w:r>
      <w:r w:rsidR="009E286D" w:rsidRPr="00F50C10">
        <w:rPr>
          <w:rFonts w:cs="Times New Roman"/>
          <w:szCs w:val="24"/>
        </w:rPr>
        <w:t>ir.</w:t>
      </w:r>
    </w:p>
    <w:p w14:paraId="5D54ED41" w14:textId="6EAF6440"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128: </w:t>
      </w:r>
      <w:r w:rsidRPr="00F50C10">
        <w:rPr>
          <w:rFonts w:cs="Times New Roman"/>
          <w:szCs w:val="24"/>
        </w:rPr>
        <w:t>Döner ocaklı fırınlarda (karşı akış prensibi uygulanır, havayı önden ısıtmak için ısı reküperatörleri kullanılır, ürünün içeride kalma süresi değiştirilir) ve tank fırınlarında (ısı jeneratörleri, ısı geri kazanımlı brülörler</w:t>
      </w:r>
      <w:r w:rsidR="001A0727" w:rsidRPr="00F50C10">
        <w:rPr>
          <w:rFonts w:cs="Times New Roman"/>
          <w:szCs w:val="24"/>
        </w:rPr>
        <w:t xml:space="preserve"> kullanılır</w:t>
      </w:r>
      <w:r w:rsidRPr="00F50C10">
        <w:rPr>
          <w:rFonts w:cs="Times New Roman"/>
          <w:szCs w:val="24"/>
        </w:rPr>
        <w:t>) kullanılan mevcut enerji geri kazanımı sistemleri uygulanarak sodyum silikat üretiminde harcanan enerji sürekli döner ocaklı fırınlarda bir ton katı su camı ürünü başına 4 GJ, sürekli tank fırınlarında bir ton katı su camı ürünü başına 5 GJ seviyesinde tutul</w:t>
      </w:r>
      <w:r w:rsidR="009E286D" w:rsidRPr="00F50C10">
        <w:rPr>
          <w:rFonts w:cs="Times New Roman"/>
          <w:szCs w:val="24"/>
        </w:rPr>
        <w:t>u</w:t>
      </w:r>
      <w:r w:rsidRPr="00F50C10">
        <w:rPr>
          <w:rFonts w:cs="Times New Roman"/>
          <w:szCs w:val="24"/>
        </w:rPr>
        <w:t>r</w:t>
      </w:r>
      <w:r w:rsidR="009E286D" w:rsidRPr="00F50C10">
        <w:rPr>
          <w:rFonts w:cs="Times New Roman"/>
          <w:szCs w:val="24"/>
        </w:rPr>
        <w:t>.</w:t>
      </w:r>
    </w:p>
    <w:p w14:paraId="1E1EB879"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Hidrotermal yöntemle sodyum silikat üretimi</w:t>
      </w:r>
    </w:p>
    <w:p w14:paraId="1B97B5FA" w14:textId="56CB2BE7"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129: </w:t>
      </w:r>
      <w:r w:rsidRPr="00F50C10">
        <w:rPr>
          <w:rFonts w:cs="Times New Roman"/>
          <w:szCs w:val="24"/>
        </w:rPr>
        <w:t>Suya boşaltılan sodyum silikat miktarını en aza indirmek için karıştırma ve filtreleme proses adımlarında proses kontrolü iyileştirilerek hammadde tüketimi bir ton %48 Na-silikat çözelti ürünü başına 323 – 337 kg kum ve 207- 209 kg NaOH seviyesinde tutul</w:t>
      </w:r>
      <w:r w:rsidR="001A0727" w:rsidRPr="00F50C10">
        <w:rPr>
          <w:rFonts w:cs="Times New Roman"/>
          <w:szCs w:val="24"/>
        </w:rPr>
        <w:t>u</w:t>
      </w:r>
      <w:r w:rsidRPr="00F50C10">
        <w:rPr>
          <w:rFonts w:cs="Times New Roman"/>
          <w:szCs w:val="24"/>
        </w:rPr>
        <w:t>r.</w:t>
      </w:r>
    </w:p>
    <w:p w14:paraId="262CFE41" w14:textId="5312576A"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130: </w:t>
      </w:r>
      <w:r w:rsidRPr="00F50C10">
        <w:rPr>
          <w:rFonts w:cs="Times New Roman"/>
          <w:szCs w:val="24"/>
        </w:rPr>
        <w:t>Prosesin karıştırma ve filtreleme adımlarında proses kontrolü iyileştirilerek prosesteki enerji tüketimi bir ton %48 Na-silikat çözelti ürünü başına 0,4 – 0,6 GJ aralığında tutul</w:t>
      </w:r>
      <w:r w:rsidR="001A0727" w:rsidRPr="00F50C10">
        <w:rPr>
          <w:rFonts w:cs="Times New Roman"/>
          <w:szCs w:val="24"/>
        </w:rPr>
        <w:t>u</w:t>
      </w:r>
      <w:r w:rsidRPr="00F50C10">
        <w:rPr>
          <w:rFonts w:cs="Times New Roman"/>
          <w:szCs w:val="24"/>
        </w:rPr>
        <w:t>r</w:t>
      </w:r>
      <w:r w:rsidR="001A0727" w:rsidRPr="00F50C10">
        <w:rPr>
          <w:rFonts w:cs="Times New Roman"/>
          <w:szCs w:val="24"/>
        </w:rPr>
        <w:t>.</w:t>
      </w:r>
    </w:p>
    <w:p w14:paraId="2722D390" w14:textId="77777777" w:rsidR="000F3B99" w:rsidRPr="00F50C10" w:rsidRDefault="000F3B99" w:rsidP="00A654AE">
      <w:pPr>
        <w:pStyle w:val="Balk2"/>
        <w:numPr>
          <w:ilvl w:val="1"/>
          <w:numId w:val="165"/>
        </w:numPr>
        <w:spacing w:before="0" w:after="120" w:line="276" w:lineRule="auto"/>
        <w:rPr>
          <w:rFonts w:cs="Times New Roman"/>
          <w:szCs w:val="24"/>
        </w:rPr>
      </w:pPr>
      <w:r w:rsidRPr="00F50C10">
        <w:rPr>
          <w:rFonts w:cs="Times New Roman"/>
          <w:szCs w:val="24"/>
        </w:rPr>
        <w:t>Silisyum Karbür</w:t>
      </w:r>
    </w:p>
    <w:p w14:paraId="7E1B0DE1" w14:textId="205181FA" w:rsidR="000F3B99" w:rsidRPr="00F50C10" w:rsidRDefault="000F3B99" w:rsidP="00A654AE">
      <w:pPr>
        <w:pStyle w:val="Balk3"/>
        <w:numPr>
          <w:ilvl w:val="2"/>
          <w:numId w:val="165"/>
        </w:numPr>
        <w:spacing w:before="0" w:line="276" w:lineRule="auto"/>
        <w:rPr>
          <w:rFonts w:cs="Times New Roman"/>
        </w:rPr>
      </w:pPr>
      <w:r w:rsidRPr="00F50C10">
        <w:rPr>
          <w:rFonts w:cs="Times New Roman"/>
        </w:rPr>
        <w:t xml:space="preserve">Geleneksel fırın </w:t>
      </w:r>
      <w:r w:rsidR="00B0236A" w:rsidRPr="00F50C10">
        <w:rPr>
          <w:rFonts w:cs="Times New Roman"/>
        </w:rPr>
        <w:t>sistemiyle</w:t>
      </w:r>
      <w:r w:rsidRPr="00F50C10">
        <w:rPr>
          <w:rFonts w:cs="Times New Roman"/>
        </w:rPr>
        <w:t xml:space="preserve"> silisyum karbür üretimi</w:t>
      </w:r>
    </w:p>
    <w:p w14:paraId="6EF07762" w14:textId="6CF57F9E" w:rsidR="000F3B99" w:rsidRPr="00F50C10" w:rsidRDefault="000F3B99" w:rsidP="000B206D">
      <w:pPr>
        <w:spacing w:after="120" w:line="276" w:lineRule="auto"/>
        <w:rPr>
          <w:rFonts w:cs="Times New Roman"/>
          <w:szCs w:val="24"/>
        </w:rPr>
      </w:pPr>
      <w:r w:rsidRPr="00F50C10">
        <w:rPr>
          <w:rFonts w:cs="Times New Roman"/>
          <w:b/>
          <w:bCs/>
          <w:szCs w:val="24"/>
        </w:rPr>
        <w:t xml:space="preserve">MET 131: </w:t>
      </w:r>
      <w:r w:rsidRPr="00F50C10">
        <w:rPr>
          <w:rFonts w:cs="Times New Roman"/>
          <w:szCs w:val="24"/>
        </w:rPr>
        <w:t>Silisyum karbür tesisi hammadde tasarrufu sağlayacak ve SiC üretiminin çevre üzerindeki etkisini azaltacak şekilde tasarla</w:t>
      </w:r>
      <w:r w:rsidR="000875BD" w:rsidRPr="00F50C10">
        <w:rPr>
          <w:rFonts w:cs="Times New Roman"/>
          <w:szCs w:val="24"/>
        </w:rPr>
        <w:t>n</w:t>
      </w:r>
      <w:r w:rsidRPr="00F50C10">
        <w:rPr>
          <w:rFonts w:cs="Times New Roman"/>
          <w:szCs w:val="24"/>
        </w:rPr>
        <w:t>ı</w:t>
      </w:r>
      <w:r w:rsidR="000875BD" w:rsidRPr="00F50C10">
        <w:rPr>
          <w:rFonts w:cs="Times New Roman"/>
          <w:szCs w:val="24"/>
        </w:rPr>
        <w:t>r</w:t>
      </w:r>
      <w:r w:rsidRPr="00F50C10">
        <w:rPr>
          <w:rFonts w:cs="Times New Roman"/>
          <w:szCs w:val="24"/>
        </w:rPr>
        <w:t>, işletili</w:t>
      </w:r>
      <w:r w:rsidR="000875BD" w:rsidRPr="00F50C10">
        <w:rPr>
          <w:rFonts w:cs="Times New Roman"/>
          <w:szCs w:val="24"/>
        </w:rPr>
        <w:t>r</w:t>
      </w:r>
      <w:r w:rsidRPr="00F50C10">
        <w:rPr>
          <w:rFonts w:cs="Times New Roman"/>
          <w:szCs w:val="24"/>
        </w:rPr>
        <w:t xml:space="preserve"> ve bakımı</w:t>
      </w:r>
      <w:r w:rsidR="000875BD" w:rsidRPr="00F50C10">
        <w:rPr>
          <w:rFonts w:cs="Times New Roman"/>
          <w:szCs w:val="24"/>
        </w:rPr>
        <w:t xml:space="preserve"> yapılır. </w:t>
      </w:r>
    </w:p>
    <w:p w14:paraId="56E4928D" w14:textId="68600EB1" w:rsidR="00B0236A" w:rsidRPr="00F50C10" w:rsidRDefault="00B0236A" w:rsidP="000B206D">
      <w:pPr>
        <w:spacing w:after="120" w:line="276" w:lineRule="auto"/>
        <w:rPr>
          <w:rFonts w:cs="Times New Roman"/>
          <w:b/>
          <w:bCs/>
          <w:szCs w:val="24"/>
        </w:rPr>
      </w:pPr>
      <w:r w:rsidRPr="00F50C10">
        <w:rPr>
          <w:rFonts w:cs="Times New Roman"/>
          <w:szCs w:val="24"/>
        </w:rPr>
        <w:t>Çalışanların sağlığının ve güvenliğinin dikkate alınması da önemli bir hedeftir.</w:t>
      </w:r>
    </w:p>
    <w:p w14:paraId="1A20D42E" w14:textId="03D36238"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132: </w:t>
      </w:r>
      <w:r w:rsidRPr="00F50C10">
        <w:rPr>
          <w:rFonts w:cs="Times New Roman"/>
          <w:szCs w:val="24"/>
        </w:rPr>
        <w:t>Bir ton %100 SiC başına 7-8 MWh elektrik ve hammadde olarak 2,8-2,9 ton silika ve pet kok kullanılır</w:t>
      </w:r>
      <w:r w:rsidR="000875BD" w:rsidRPr="00F50C10">
        <w:rPr>
          <w:rFonts w:cs="Times New Roman"/>
          <w:szCs w:val="24"/>
        </w:rPr>
        <w:t>.</w:t>
      </w:r>
    </w:p>
    <w:p w14:paraId="787899A3" w14:textId="21AADC19"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133: </w:t>
      </w:r>
      <w:r w:rsidRPr="00F50C10">
        <w:rPr>
          <w:rFonts w:cs="Times New Roman"/>
          <w:szCs w:val="24"/>
        </w:rPr>
        <w:t>H</w:t>
      </w:r>
      <w:r w:rsidRPr="00F50C10">
        <w:rPr>
          <w:rFonts w:cs="Times New Roman"/>
          <w:szCs w:val="24"/>
          <w:vertAlign w:val="subscript"/>
        </w:rPr>
        <w:t>2</w:t>
      </w:r>
      <w:r w:rsidRPr="00F50C10">
        <w:rPr>
          <w:rFonts w:cs="Times New Roman"/>
          <w:szCs w:val="24"/>
        </w:rPr>
        <w:t>S, SO</w:t>
      </w:r>
      <w:r w:rsidRPr="00F50C10">
        <w:rPr>
          <w:rFonts w:cs="Times New Roman"/>
          <w:szCs w:val="24"/>
          <w:vertAlign w:val="subscript"/>
        </w:rPr>
        <w:t>2</w:t>
      </w:r>
      <w:r w:rsidRPr="00F50C10">
        <w:rPr>
          <w:rFonts w:cs="Times New Roman"/>
          <w:szCs w:val="24"/>
        </w:rPr>
        <w:t xml:space="preserve"> ve diğer S bileşiklerinin havaya salınan emisyonlarını en aza indirmek için birincil önlem olarak kükürt içeriği olabildiğince düşük, tercihen ortalama %1,5'in altında ve mutlak surette %2,5'in üzerinde olmayan kok kullanılır</w:t>
      </w:r>
      <w:r w:rsidR="000875BD" w:rsidRPr="00F50C10">
        <w:rPr>
          <w:rFonts w:cs="Times New Roman"/>
          <w:szCs w:val="24"/>
        </w:rPr>
        <w:t>.</w:t>
      </w:r>
    </w:p>
    <w:p w14:paraId="45AAF382" w14:textId="54E7EACE"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134: </w:t>
      </w:r>
      <w:r w:rsidRPr="00F50C10">
        <w:rPr>
          <w:rFonts w:cs="Times New Roman"/>
          <w:szCs w:val="24"/>
        </w:rPr>
        <w:t>Aşağıdaki gibi prosese entegre önlemler, boru sonu ve toz azal</w:t>
      </w:r>
      <w:r w:rsidR="000875BD" w:rsidRPr="00F50C10">
        <w:rPr>
          <w:rFonts w:cs="Times New Roman"/>
          <w:szCs w:val="24"/>
        </w:rPr>
        <w:t>t</w:t>
      </w:r>
      <w:r w:rsidRPr="00F50C10">
        <w:rPr>
          <w:rFonts w:cs="Times New Roman"/>
          <w:szCs w:val="24"/>
        </w:rPr>
        <w:t>ma teknikleri birlikte uygula</w:t>
      </w:r>
      <w:r w:rsidR="000875BD" w:rsidRPr="00F50C10">
        <w:rPr>
          <w:rFonts w:cs="Times New Roman"/>
          <w:szCs w:val="24"/>
        </w:rPr>
        <w:t>n</w:t>
      </w:r>
      <w:r w:rsidRPr="00F50C10">
        <w:rPr>
          <w:rFonts w:cs="Times New Roman"/>
          <w:szCs w:val="24"/>
        </w:rPr>
        <w:t>arak toz üretimi ve emisyonları olabildiğince düşürül</w:t>
      </w:r>
      <w:r w:rsidR="001A0727" w:rsidRPr="00F50C10">
        <w:rPr>
          <w:rFonts w:cs="Times New Roman"/>
          <w:szCs w:val="24"/>
        </w:rPr>
        <w:t>ür</w:t>
      </w:r>
      <w:r w:rsidRPr="00F50C10">
        <w:rPr>
          <w:rFonts w:cs="Times New Roman"/>
          <w:szCs w:val="24"/>
        </w:rPr>
        <w:t>:</w:t>
      </w:r>
    </w:p>
    <w:p w14:paraId="4A4C8E47" w14:textId="6F4A930F" w:rsidR="000F3B99" w:rsidRPr="00F50C10" w:rsidRDefault="000F3B99" w:rsidP="00A654AE">
      <w:pPr>
        <w:pStyle w:val="ListeParagraf"/>
        <w:numPr>
          <w:ilvl w:val="2"/>
          <w:numId w:val="100"/>
        </w:numPr>
        <w:spacing w:after="120" w:line="276" w:lineRule="auto"/>
        <w:ind w:left="1080"/>
        <w:rPr>
          <w:rFonts w:cs="Times New Roman"/>
          <w:szCs w:val="24"/>
        </w:rPr>
      </w:pPr>
      <w:r w:rsidRPr="00F50C10">
        <w:rPr>
          <w:rFonts w:cs="Times New Roman"/>
          <w:szCs w:val="24"/>
        </w:rPr>
        <w:t xml:space="preserve">fırınları </w:t>
      </w:r>
      <w:r w:rsidR="000875BD" w:rsidRPr="00F50C10">
        <w:rPr>
          <w:rFonts w:cs="Times New Roman"/>
          <w:szCs w:val="24"/>
        </w:rPr>
        <w:t>sökmeden</w:t>
      </w:r>
      <w:r w:rsidRPr="00F50C10">
        <w:rPr>
          <w:rFonts w:cs="Times New Roman"/>
          <w:szCs w:val="24"/>
        </w:rPr>
        <w:t xml:space="preserve"> önce uzun süre soğutma yap</w:t>
      </w:r>
      <w:r w:rsidR="000875BD" w:rsidRPr="00F50C10">
        <w:rPr>
          <w:rFonts w:cs="Times New Roman"/>
          <w:szCs w:val="24"/>
        </w:rPr>
        <w:t>ılması</w:t>
      </w:r>
      <w:r w:rsidRPr="00F50C10">
        <w:rPr>
          <w:rFonts w:cs="Times New Roman"/>
          <w:szCs w:val="24"/>
        </w:rPr>
        <w:t>,</w:t>
      </w:r>
    </w:p>
    <w:p w14:paraId="75FB21A4" w14:textId="0187B36A" w:rsidR="000F3B99" w:rsidRPr="00F50C10" w:rsidRDefault="000F3B99" w:rsidP="00A654AE">
      <w:pPr>
        <w:pStyle w:val="ListeParagraf"/>
        <w:numPr>
          <w:ilvl w:val="2"/>
          <w:numId w:val="100"/>
        </w:numPr>
        <w:spacing w:after="120" w:line="276" w:lineRule="auto"/>
        <w:ind w:left="1080"/>
        <w:rPr>
          <w:rFonts w:cs="Times New Roman"/>
          <w:szCs w:val="24"/>
        </w:rPr>
      </w:pPr>
      <w:r w:rsidRPr="00F50C10">
        <w:rPr>
          <w:rFonts w:cs="Times New Roman"/>
          <w:szCs w:val="24"/>
        </w:rPr>
        <w:t>fırın yüzeyini</w:t>
      </w:r>
      <w:r w:rsidR="000875BD" w:rsidRPr="00F50C10">
        <w:rPr>
          <w:rFonts w:cs="Times New Roman"/>
          <w:szCs w:val="24"/>
        </w:rPr>
        <w:t>n</w:t>
      </w:r>
      <w:r w:rsidRPr="00F50C10">
        <w:rPr>
          <w:rFonts w:cs="Times New Roman"/>
          <w:szCs w:val="24"/>
        </w:rPr>
        <w:t xml:space="preserve"> şarj malzemesiyle ört</w:t>
      </w:r>
      <w:r w:rsidR="000875BD" w:rsidRPr="00F50C10">
        <w:rPr>
          <w:rFonts w:cs="Times New Roman"/>
          <w:szCs w:val="24"/>
        </w:rPr>
        <w:t>ülmesiyle</w:t>
      </w:r>
      <w:r w:rsidRPr="00F50C10">
        <w:rPr>
          <w:rFonts w:cs="Times New Roman"/>
          <w:szCs w:val="24"/>
        </w:rPr>
        <w:t xml:space="preserve"> üflemelerin hızlıca söndürülmesi,</w:t>
      </w:r>
    </w:p>
    <w:p w14:paraId="3E468757" w14:textId="565BB2CD" w:rsidR="000F3B99" w:rsidRPr="00F50C10" w:rsidRDefault="000F3B99" w:rsidP="00A654AE">
      <w:pPr>
        <w:pStyle w:val="ListeParagraf"/>
        <w:numPr>
          <w:ilvl w:val="2"/>
          <w:numId w:val="100"/>
        </w:numPr>
        <w:spacing w:after="120" w:line="276" w:lineRule="auto"/>
        <w:ind w:left="1080"/>
        <w:rPr>
          <w:rFonts w:cs="Times New Roman"/>
          <w:szCs w:val="24"/>
        </w:rPr>
      </w:pPr>
      <w:r w:rsidRPr="00F50C10">
        <w:rPr>
          <w:rFonts w:cs="Times New Roman"/>
          <w:szCs w:val="24"/>
        </w:rPr>
        <w:t xml:space="preserve">üretim salonlarındaki toz emisyonlarını azaltmak için </w:t>
      </w:r>
      <w:r w:rsidR="000875BD" w:rsidRPr="00F50C10">
        <w:rPr>
          <w:rFonts w:cs="Times New Roman"/>
          <w:szCs w:val="24"/>
        </w:rPr>
        <w:t>bez</w:t>
      </w:r>
      <w:r w:rsidRPr="00F50C10">
        <w:rPr>
          <w:rFonts w:cs="Times New Roman"/>
          <w:szCs w:val="24"/>
        </w:rPr>
        <w:t xml:space="preserve"> filtre sistemi veya elektrostatik filtrelere benzeyen arıtma üniteleri kullanılması</w:t>
      </w:r>
      <w:r w:rsidR="000875BD" w:rsidRPr="00F50C10">
        <w:rPr>
          <w:rFonts w:cs="Times New Roman"/>
          <w:szCs w:val="24"/>
        </w:rPr>
        <w:t>,</w:t>
      </w:r>
    </w:p>
    <w:p w14:paraId="32C2EAB3" w14:textId="4AE3F303" w:rsidR="000F3B99" w:rsidRPr="00F50C10" w:rsidRDefault="000F3B99" w:rsidP="00A654AE">
      <w:pPr>
        <w:pStyle w:val="ListeParagraf"/>
        <w:numPr>
          <w:ilvl w:val="2"/>
          <w:numId w:val="100"/>
        </w:numPr>
        <w:spacing w:after="120" w:line="276" w:lineRule="auto"/>
        <w:ind w:left="1080"/>
        <w:rPr>
          <w:rFonts w:cs="Times New Roman"/>
          <w:szCs w:val="24"/>
        </w:rPr>
      </w:pPr>
      <w:r w:rsidRPr="00F50C10">
        <w:rPr>
          <w:rFonts w:cs="Times New Roman"/>
          <w:szCs w:val="24"/>
        </w:rPr>
        <w:t xml:space="preserve">hammaddelerin </w:t>
      </w:r>
      <w:r w:rsidR="000875BD" w:rsidRPr="00F50C10">
        <w:rPr>
          <w:rFonts w:cs="Times New Roman"/>
          <w:szCs w:val="24"/>
        </w:rPr>
        <w:t>iç</w:t>
      </w:r>
      <w:r w:rsidRPr="00F50C10">
        <w:rPr>
          <w:rFonts w:cs="Times New Roman"/>
          <w:szCs w:val="24"/>
        </w:rPr>
        <w:t xml:space="preserve"> </w:t>
      </w:r>
      <w:r w:rsidR="000875BD" w:rsidRPr="00F50C10">
        <w:rPr>
          <w:rFonts w:cs="Times New Roman"/>
          <w:szCs w:val="24"/>
        </w:rPr>
        <w:t>mekanda</w:t>
      </w:r>
      <w:r w:rsidRPr="00F50C10">
        <w:rPr>
          <w:rFonts w:cs="Times New Roman"/>
          <w:szCs w:val="24"/>
        </w:rPr>
        <w:t xml:space="preserve"> depolanması,</w:t>
      </w:r>
    </w:p>
    <w:p w14:paraId="7AB2A38D" w14:textId="5D38CF92" w:rsidR="000F3B99" w:rsidRPr="00F50C10" w:rsidRDefault="000F3B99" w:rsidP="00A654AE">
      <w:pPr>
        <w:pStyle w:val="ListeParagraf"/>
        <w:numPr>
          <w:ilvl w:val="2"/>
          <w:numId w:val="100"/>
        </w:numPr>
        <w:spacing w:after="120" w:line="276" w:lineRule="auto"/>
        <w:ind w:left="1080"/>
        <w:rPr>
          <w:rFonts w:cs="Times New Roman"/>
          <w:szCs w:val="24"/>
        </w:rPr>
      </w:pPr>
      <w:r w:rsidRPr="00F50C10">
        <w:rPr>
          <w:rFonts w:cs="Times New Roman"/>
          <w:szCs w:val="24"/>
        </w:rPr>
        <w:t xml:space="preserve">hammaddelerin taşınması için kapalı/iç </w:t>
      </w:r>
      <w:r w:rsidR="000875BD" w:rsidRPr="00F50C10">
        <w:rPr>
          <w:rFonts w:cs="Times New Roman"/>
          <w:szCs w:val="24"/>
        </w:rPr>
        <w:t>mekan</w:t>
      </w:r>
      <w:r w:rsidRPr="00F50C10">
        <w:rPr>
          <w:rFonts w:cs="Times New Roman"/>
          <w:szCs w:val="24"/>
        </w:rPr>
        <w:t xml:space="preserve"> konveyor bantları,</w:t>
      </w:r>
    </w:p>
    <w:p w14:paraId="32393FDA" w14:textId="2D4C7376" w:rsidR="000F3B99" w:rsidRPr="00F50C10" w:rsidRDefault="000F3B99" w:rsidP="00A654AE">
      <w:pPr>
        <w:pStyle w:val="ListeParagraf"/>
        <w:numPr>
          <w:ilvl w:val="2"/>
          <w:numId w:val="100"/>
        </w:numPr>
        <w:spacing w:after="120" w:line="276" w:lineRule="auto"/>
        <w:ind w:left="1080"/>
        <w:rPr>
          <w:rFonts w:cs="Times New Roman"/>
          <w:szCs w:val="24"/>
        </w:rPr>
      </w:pPr>
      <w:r w:rsidRPr="00F50C10">
        <w:rPr>
          <w:rFonts w:cs="Times New Roman"/>
          <w:szCs w:val="24"/>
        </w:rPr>
        <w:t>kok öğütme, şarj karıştırma ve arıtma tesislerinde</w:t>
      </w:r>
      <w:r w:rsidR="000875BD" w:rsidRPr="00F50C10">
        <w:rPr>
          <w:rFonts w:cs="Times New Roman"/>
          <w:szCs w:val="24"/>
        </w:rPr>
        <w:t xml:space="preserve"> iç mekana konulacak</w:t>
      </w:r>
      <w:r w:rsidRPr="00F50C10">
        <w:rPr>
          <w:rFonts w:cs="Times New Roman"/>
          <w:szCs w:val="24"/>
        </w:rPr>
        <w:t xml:space="preserve"> </w:t>
      </w:r>
      <w:r w:rsidR="000875BD" w:rsidRPr="00F50C10">
        <w:rPr>
          <w:rFonts w:cs="Times New Roman"/>
          <w:szCs w:val="24"/>
        </w:rPr>
        <w:t>bez</w:t>
      </w:r>
      <w:r w:rsidRPr="00F50C10">
        <w:rPr>
          <w:rFonts w:cs="Times New Roman"/>
          <w:szCs w:val="24"/>
        </w:rPr>
        <w:t xml:space="preserve"> filtre sistemleri kullanılması </w:t>
      </w:r>
    </w:p>
    <w:p w14:paraId="595349C3" w14:textId="0433B848"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135: </w:t>
      </w:r>
      <w:r w:rsidRPr="00F50C10">
        <w:rPr>
          <w:rFonts w:cs="Times New Roman"/>
          <w:szCs w:val="24"/>
        </w:rPr>
        <w:t>Toz emisyon seviyeleri bir ton %100 SiC başına 13 kg ile sınırlan</w:t>
      </w:r>
      <w:r w:rsidR="000875BD" w:rsidRPr="00F50C10">
        <w:rPr>
          <w:rFonts w:cs="Times New Roman"/>
          <w:szCs w:val="24"/>
        </w:rPr>
        <w:t>dırıl</w:t>
      </w:r>
      <w:r w:rsidRPr="00F50C10">
        <w:rPr>
          <w:rFonts w:cs="Times New Roman"/>
          <w:szCs w:val="24"/>
        </w:rPr>
        <w:t>ır</w:t>
      </w:r>
      <w:r w:rsidR="00E515D6" w:rsidRPr="00F50C10">
        <w:rPr>
          <w:rFonts w:cs="Times New Roman"/>
          <w:szCs w:val="24"/>
        </w:rPr>
        <w:t>.</w:t>
      </w:r>
    </w:p>
    <w:p w14:paraId="6B41A730" w14:textId="1836EFBE"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136: </w:t>
      </w:r>
      <w:r w:rsidRPr="00F50C10">
        <w:rPr>
          <w:rFonts w:cs="Times New Roman"/>
          <w:szCs w:val="24"/>
        </w:rPr>
        <w:t>Hammaddeleri iç ortamda depolayarak, tüm faaliyetlerde çok az su kullanarak ve gerekiyorsa kok depolama, kok öğütme, şarj karıştırma ve fırın alanında zeminlerde sıvı tutucu önlemler uygula</w:t>
      </w:r>
      <w:r w:rsidR="00B0236A" w:rsidRPr="00F50C10">
        <w:rPr>
          <w:rFonts w:cs="Times New Roman"/>
          <w:szCs w:val="24"/>
        </w:rPr>
        <w:t>n</w:t>
      </w:r>
      <w:r w:rsidRPr="00F50C10">
        <w:rPr>
          <w:rFonts w:cs="Times New Roman"/>
          <w:szCs w:val="24"/>
        </w:rPr>
        <w:t>arak topra</w:t>
      </w:r>
      <w:r w:rsidR="000875BD" w:rsidRPr="00F50C10">
        <w:rPr>
          <w:rFonts w:cs="Times New Roman"/>
          <w:szCs w:val="24"/>
        </w:rPr>
        <w:t>k</w:t>
      </w:r>
      <w:r w:rsidRPr="00F50C10">
        <w:rPr>
          <w:rFonts w:cs="Times New Roman"/>
          <w:szCs w:val="24"/>
        </w:rPr>
        <w:t xml:space="preserve"> ve yeraltı suyu korun</w:t>
      </w:r>
      <w:r w:rsidR="000875BD" w:rsidRPr="00F50C10">
        <w:rPr>
          <w:rFonts w:cs="Times New Roman"/>
          <w:szCs w:val="24"/>
        </w:rPr>
        <w:t>u</w:t>
      </w:r>
      <w:r w:rsidRPr="00F50C10">
        <w:rPr>
          <w:rFonts w:cs="Times New Roman"/>
          <w:szCs w:val="24"/>
        </w:rPr>
        <w:t>r</w:t>
      </w:r>
      <w:r w:rsidR="00E515D6" w:rsidRPr="00F50C10">
        <w:rPr>
          <w:rFonts w:cs="Times New Roman"/>
          <w:szCs w:val="24"/>
        </w:rPr>
        <w:t>.</w:t>
      </w:r>
    </w:p>
    <w:p w14:paraId="50B7C51D" w14:textId="79322751" w:rsidR="000F3B99" w:rsidRPr="00F50C10" w:rsidRDefault="000F3B99" w:rsidP="00A654AE">
      <w:pPr>
        <w:pStyle w:val="Balk3"/>
        <w:numPr>
          <w:ilvl w:val="2"/>
          <w:numId w:val="165"/>
        </w:numPr>
        <w:spacing w:before="0" w:line="276" w:lineRule="auto"/>
        <w:rPr>
          <w:rFonts w:cs="Times New Roman"/>
        </w:rPr>
      </w:pPr>
      <w:r w:rsidRPr="00F50C10">
        <w:rPr>
          <w:rFonts w:cs="Times New Roman"/>
        </w:rPr>
        <w:t xml:space="preserve">Freiland fırın </w:t>
      </w:r>
      <w:r w:rsidR="00B0236A" w:rsidRPr="00F50C10">
        <w:rPr>
          <w:rFonts w:cs="Times New Roman"/>
        </w:rPr>
        <w:t>sistemiyle</w:t>
      </w:r>
      <w:r w:rsidRPr="00F50C10">
        <w:rPr>
          <w:rFonts w:cs="Times New Roman"/>
        </w:rPr>
        <w:t xml:space="preserve"> silisyum karbür üretimi</w:t>
      </w:r>
    </w:p>
    <w:p w14:paraId="4D6859F3" w14:textId="77777777" w:rsidR="00B0236A" w:rsidRPr="00F50C10" w:rsidRDefault="000F3B99" w:rsidP="000B206D">
      <w:pPr>
        <w:spacing w:after="120" w:line="276" w:lineRule="auto"/>
        <w:rPr>
          <w:rFonts w:cs="Times New Roman"/>
          <w:szCs w:val="24"/>
        </w:rPr>
      </w:pPr>
      <w:r w:rsidRPr="00F50C10">
        <w:rPr>
          <w:rFonts w:cs="Times New Roman"/>
          <w:b/>
          <w:bCs/>
          <w:szCs w:val="24"/>
        </w:rPr>
        <w:t xml:space="preserve">MET 137: </w:t>
      </w:r>
      <w:r w:rsidRPr="00F50C10">
        <w:rPr>
          <w:rFonts w:cs="Times New Roman"/>
          <w:szCs w:val="24"/>
        </w:rPr>
        <w:t>Silisyum karbür tesisi</w:t>
      </w:r>
      <w:r w:rsidR="00B0236A" w:rsidRPr="00F50C10">
        <w:rPr>
          <w:rFonts w:cs="Times New Roman"/>
          <w:szCs w:val="24"/>
        </w:rPr>
        <w:t xml:space="preserve"> </w:t>
      </w:r>
      <w:r w:rsidRPr="00F50C10">
        <w:rPr>
          <w:rFonts w:cs="Times New Roman"/>
          <w:szCs w:val="24"/>
        </w:rPr>
        <w:t>hammadde tasarrufu sağlayacak ve SiC üretiminin çevre üzerindeki etkisini azaltacak şekilde tasarla</w:t>
      </w:r>
      <w:r w:rsidR="00B0236A" w:rsidRPr="00F50C10">
        <w:rPr>
          <w:rFonts w:cs="Times New Roman"/>
          <w:szCs w:val="24"/>
        </w:rPr>
        <w:t>nır</w:t>
      </w:r>
      <w:r w:rsidRPr="00F50C10">
        <w:rPr>
          <w:rFonts w:cs="Times New Roman"/>
          <w:szCs w:val="24"/>
        </w:rPr>
        <w:t>, işletil</w:t>
      </w:r>
      <w:r w:rsidR="00B0236A" w:rsidRPr="00F50C10">
        <w:rPr>
          <w:rFonts w:cs="Times New Roman"/>
          <w:szCs w:val="24"/>
        </w:rPr>
        <w:t>ir</w:t>
      </w:r>
      <w:r w:rsidRPr="00F50C10">
        <w:rPr>
          <w:rFonts w:cs="Times New Roman"/>
          <w:szCs w:val="24"/>
        </w:rPr>
        <w:t xml:space="preserve"> ve bakımı</w:t>
      </w:r>
      <w:r w:rsidR="00B0236A" w:rsidRPr="00F50C10">
        <w:rPr>
          <w:rFonts w:cs="Times New Roman"/>
          <w:szCs w:val="24"/>
        </w:rPr>
        <w:t xml:space="preserve"> yapılır. </w:t>
      </w:r>
    </w:p>
    <w:p w14:paraId="3511B9EF" w14:textId="5A0D5AFC" w:rsidR="000F3B99" w:rsidRPr="00F50C10" w:rsidRDefault="000F3B99" w:rsidP="000B206D">
      <w:pPr>
        <w:spacing w:after="120" w:line="276" w:lineRule="auto"/>
        <w:rPr>
          <w:rFonts w:cs="Times New Roman"/>
          <w:b/>
          <w:bCs/>
          <w:szCs w:val="24"/>
        </w:rPr>
      </w:pPr>
      <w:r w:rsidRPr="00F50C10">
        <w:rPr>
          <w:rFonts w:cs="Times New Roman"/>
          <w:szCs w:val="24"/>
        </w:rPr>
        <w:t>Çalışanların sağlığının ve güvenliğinin dikkate alınması da önemli bir hedeftir.</w:t>
      </w:r>
    </w:p>
    <w:p w14:paraId="0416DBD9" w14:textId="335B7F65"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138: </w:t>
      </w:r>
      <w:r w:rsidRPr="00F50C10">
        <w:rPr>
          <w:rFonts w:cs="Times New Roman"/>
          <w:szCs w:val="24"/>
        </w:rPr>
        <w:t>Bir ton %100 SiC başına 6,2-7,2 MWh elektrik ve hammadde olarak 2,8-2,9 ton silika ve pet kok kullanılır</w:t>
      </w:r>
      <w:r w:rsidR="00E515D6" w:rsidRPr="00F50C10">
        <w:rPr>
          <w:rFonts w:cs="Times New Roman"/>
          <w:szCs w:val="24"/>
        </w:rPr>
        <w:t>.</w:t>
      </w:r>
    </w:p>
    <w:p w14:paraId="7BFCB506" w14:textId="22A25409"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139: </w:t>
      </w:r>
      <w:r w:rsidRPr="00F50C10">
        <w:rPr>
          <w:rFonts w:cs="Times New Roman"/>
          <w:szCs w:val="24"/>
        </w:rPr>
        <w:t>Kükürdü uzaklaştırmak ve gazdaki enerjiyi geri kazanmak için gaz toplama ekipmanı kurul</w:t>
      </w:r>
      <w:r w:rsidR="00B0236A" w:rsidRPr="00F50C10">
        <w:rPr>
          <w:rFonts w:cs="Times New Roman"/>
          <w:szCs w:val="24"/>
        </w:rPr>
        <w:t>u</w:t>
      </w:r>
      <w:r w:rsidRPr="00F50C10">
        <w:rPr>
          <w:rFonts w:cs="Times New Roman"/>
          <w:szCs w:val="24"/>
        </w:rPr>
        <w:t>r</w:t>
      </w:r>
      <w:r w:rsidR="00E515D6" w:rsidRPr="00F50C10">
        <w:rPr>
          <w:rFonts w:cs="Times New Roman"/>
          <w:szCs w:val="24"/>
        </w:rPr>
        <w:t>.</w:t>
      </w:r>
    </w:p>
    <w:p w14:paraId="28B992EE" w14:textId="169F6223" w:rsidR="000F3B99" w:rsidRPr="00F50C10" w:rsidRDefault="000F3B99" w:rsidP="000B206D">
      <w:pPr>
        <w:spacing w:after="120" w:line="276" w:lineRule="auto"/>
        <w:rPr>
          <w:rFonts w:cs="Times New Roman"/>
          <w:szCs w:val="24"/>
        </w:rPr>
      </w:pPr>
      <w:r w:rsidRPr="00F50C10">
        <w:rPr>
          <w:rFonts w:cs="Times New Roman"/>
          <w:b/>
          <w:bCs/>
          <w:szCs w:val="24"/>
        </w:rPr>
        <w:t xml:space="preserve">MET 140: </w:t>
      </w:r>
      <w:r w:rsidRPr="00F50C10">
        <w:rPr>
          <w:rFonts w:cs="Times New Roman"/>
          <w:szCs w:val="24"/>
        </w:rPr>
        <w:t>Havaya salınan SO</w:t>
      </w:r>
      <w:r w:rsidRPr="00F50C10">
        <w:rPr>
          <w:rFonts w:cs="Times New Roman"/>
          <w:szCs w:val="24"/>
          <w:vertAlign w:val="subscript"/>
        </w:rPr>
        <w:t>2</w:t>
      </w:r>
      <w:r w:rsidRPr="00F50C10">
        <w:rPr>
          <w:rFonts w:cs="Times New Roman"/>
          <w:szCs w:val="24"/>
        </w:rPr>
        <w:t xml:space="preserve"> emisyonları bir ton %100 SiC başına 6,4-11 kg</w:t>
      </w:r>
      <w:r w:rsidR="00B0236A" w:rsidRPr="00F50C10">
        <w:rPr>
          <w:rFonts w:cs="Times New Roman"/>
          <w:szCs w:val="24"/>
        </w:rPr>
        <w:t xml:space="preserve"> seviyesine </w:t>
      </w:r>
      <w:r w:rsidRPr="00F50C10">
        <w:rPr>
          <w:rFonts w:cs="Times New Roman"/>
          <w:szCs w:val="24"/>
        </w:rPr>
        <w:t>düşürül</w:t>
      </w:r>
      <w:r w:rsidR="00B0236A" w:rsidRPr="00F50C10">
        <w:rPr>
          <w:rFonts w:cs="Times New Roman"/>
          <w:szCs w:val="24"/>
        </w:rPr>
        <w:t>ür</w:t>
      </w:r>
      <w:r w:rsidRPr="00F50C10">
        <w:rPr>
          <w:rFonts w:cs="Times New Roman"/>
          <w:szCs w:val="24"/>
        </w:rPr>
        <w:t>. Hollanda'da buna, COS ve CS</w:t>
      </w:r>
      <w:r w:rsidRPr="00F50C10">
        <w:rPr>
          <w:rFonts w:cs="Times New Roman"/>
          <w:szCs w:val="24"/>
          <w:vertAlign w:val="subscript"/>
        </w:rPr>
        <w:t>2</w:t>
      </w:r>
      <w:r w:rsidRPr="00F50C10">
        <w:rPr>
          <w:rFonts w:cs="Times New Roman"/>
          <w:szCs w:val="24"/>
        </w:rPr>
        <w:t>'nin H</w:t>
      </w:r>
      <w:r w:rsidRPr="00F50C10">
        <w:rPr>
          <w:rFonts w:cs="Times New Roman"/>
          <w:szCs w:val="24"/>
          <w:vertAlign w:val="subscript"/>
        </w:rPr>
        <w:t>2</w:t>
      </w:r>
      <w:r w:rsidRPr="00F50C10">
        <w:rPr>
          <w:rFonts w:cs="Times New Roman"/>
          <w:szCs w:val="24"/>
        </w:rPr>
        <w:t>S'ye katalitik dönüşümü ve ardından şelatlı demir prosesi kullanarak H</w:t>
      </w:r>
      <w:r w:rsidRPr="00F50C10">
        <w:rPr>
          <w:rFonts w:cs="Times New Roman"/>
          <w:szCs w:val="24"/>
          <w:vertAlign w:val="subscript"/>
        </w:rPr>
        <w:t>2</w:t>
      </w:r>
      <w:r w:rsidRPr="00F50C10">
        <w:rPr>
          <w:rFonts w:cs="Times New Roman"/>
          <w:szCs w:val="24"/>
        </w:rPr>
        <w:t>S'nin elemental kükürde oksitlenmesi dahil olmak üzere kükürt giderme teknikleri uygulanarak ulaşılmaktadır</w:t>
      </w:r>
      <w:r w:rsidR="00B0236A" w:rsidRPr="00F50C10">
        <w:rPr>
          <w:rFonts w:cs="Times New Roman"/>
          <w:szCs w:val="24"/>
        </w:rPr>
        <w:t xml:space="preserve">. </w:t>
      </w:r>
      <w:r w:rsidRPr="00F50C10">
        <w:rPr>
          <w:rFonts w:cs="Times New Roman"/>
          <w:szCs w:val="24"/>
        </w:rPr>
        <w:t>Bir ton %100 SiC başına 6,4-11 kg SO</w:t>
      </w:r>
      <w:r w:rsidRPr="00F50C10">
        <w:rPr>
          <w:rFonts w:cs="Times New Roman"/>
          <w:szCs w:val="24"/>
          <w:vertAlign w:val="subscript"/>
        </w:rPr>
        <w:t>2</w:t>
      </w:r>
      <w:r w:rsidRPr="00F50C10">
        <w:rPr>
          <w:rFonts w:cs="Times New Roman"/>
          <w:szCs w:val="24"/>
        </w:rPr>
        <w:t xml:space="preserve"> seviyesine ulaşılamazsa düşük kükürtlü koklar kullanılmalıdır.</w:t>
      </w:r>
    </w:p>
    <w:p w14:paraId="72466FBA" w14:textId="18F67DC4" w:rsidR="000F3B99" w:rsidRPr="00F50C10" w:rsidRDefault="000F3B99" w:rsidP="000B206D">
      <w:pPr>
        <w:spacing w:after="120" w:line="276" w:lineRule="auto"/>
        <w:rPr>
          <w:rFonts w:cs="Times New Roman"/>
          <w:szCs w:val="24"/>
        </w:rPr>
      </w:pPr>
      <w:r w:rsidRPr="00F50C10">
        <w:rPr>
          <w:rFonts w:cs="Times New Roman"/>
          <w:b/>
          <w:bCs/>
          <w:szCs w:val="24"/>
        </w:rPr>
        <w:t xml:space="preserve">MET 141: </w:t>
      </w:r>
      <w:r w:rsidRPr="00F50C10">
        <w:rPr>
          <w:rFonts w:cs="Times New Roman"/>
          <w:szCs w:val="24"/>
        </w:rPr>
        <w:t>Gaz yakma ve elektrik üretimi sistemi kullanarak üretilen bir ton SiC başına yaklaşık 1 MWh enerji geri kazanacak şekilde proses gazından enerji geri kazanımı yapılır</w:t>
      </w:r>
      <w:r w:rsidR="00E515D6" w:rsidRPr="00F50C10">
        <w:rPr>
          <w:rFonts w:cs="Times New Roman"/>
          <w:szCs w:val="24"/>
        </w:rPr>
        <w:t>.</w:t>
      </w:r>
    </w:p>
    <w:p w14:paraId="1339266A" w14:textId="64B8F1A0" w:rsidR="000F3B99" w:rsidRPr="00F50C10" w:rsidRDefault="000F3B99" w:rsidP="000B206D">
      <w:pPr>
        <w:spacing w:after="120" w:line="276" w:lineRule="auto"/>
        <w:rPr>
          <w:rFonts w:cs="Times New Roman"/>
          <w:szCs w:val="24"/>
        </w:rPr>
      </w:pPr>
      <w:r w:rsidRPr="00F50C10">
        <w:rPr>
          <w:rFonts w:cs="Times New Roman"/>
          <w:b/>
          <w:bCs/>
          <w:szCs w:val="24"/>
        </w:rPr>
        <w:t xml:space="preserve">MET 142: </w:t>
      </w:r>
      <w:r w:rsidRPr="00F50C10">
        <w:rPr>
          <w:rFonts w:cs="Times New Roman"/>
          <w:szCs w:val="24"/>
        </w:rPr>
        <w:t xml:space="preserve">Aşağıdaki gibi prosese entegre önlemler, boru </w:t>
      </w:r>
      <w:r w:rsidR="00B0236A" w:rsidRPr="00F50C10">
        <w:rPr>
          <w:rFonts w:cs="Times New Roman"/>
          <w:szCs w:val="24"/>
        </w:rPr>
        <w:t>sonu</w:t>
      </w:r>
      <w:r w:rsidRPr="00F50C10">
        <w:rPr>
          <w:rFonts w:cs="Times New Roman"/>
          <w:szCs w:val="24"/>
        </w:rPr>
        <w:t xml:space="preserve"> ve toz azaltma teknikleri</w:t>
      </w:r>
      <w:r w:rsidR="00B0236A" w:rsidRPr="00F50C10">
        <w:rPr>
          <w:rFonts w:cs="Times New Roman"/>
          <w:szCs w:val="24"/>
        </w:rPr>
        <w:t xml:space="preserve"> </w:t>
      </w:r>
      <w:r w:rsidRPr="00F50C10">
        <w:rPr>
          <w:rFonts w:cs="Times New Roman"/>
          <w:szCs w:val="24"/>
        </w:rPr>
        <w:t>birlikte uygula</w:t>
      </w:r>
      <w:r w:rsidR="00B0236A" w:rsidRPr="00F50C10">
        <w:rPr>
          <w:rFonts w:cs="Times New Roman"/>
          <w:szCs w:val="24"/>
        </w:rPr>
        <w:t>n</w:t>
      </w:r>
      <w:r w:rsidRPr="00F50C10">
        <w:rPr>
          <w:rFonts w:cs="Times New Roman"/>
          <w:szCs w:val="24"/>
        </w:rPr>
        <w:t>arak toz üretimi ve emisyonları düşürül</w:t>
      </w:r>
      <w:r w:rsidR="00B0236A" w:rsidRPr="00F50C10">
        <w:rPr>
          <w:rFonts w:cs="Times New Roman"/>
          <w:szCs w:val="24"/>
        </w:rPr>
        <w:t>ü</w:t>
      </w:r>
      <w:r w:rsidRPr="00F50C10">
        <w:rPr>
          <w:rFonts w:cs="Times New Roman"/>
          <w:szCs w:val="24"/>
        </w:rPr>
        <w:t>r</w:t>
      </w:r>
      <w:r w:rsidR="00E515D6" w:rsidRPr="00F50C10">
        <w:rPr>
          <w:rFonts w:cs="Times New Roman"/>
          <w:szCs w:val="24"/>
        </w:rPr>
        <w:t>:</w:t>
      </w:r>
    </w:p>
    <w:p w14:paraId="12835D18" w14:textId="0C7212BE" w:rsidR="000F3B99" w:rsidRPr="00F50C10" w:rsidRDefault="000F3B99" w:rsidP="00A654AE">
      <w:pPr>
        <w:pStyle w:val="ListeParagraf"/>
        <w:numPr>
          <w:ilvl w:val="2"/>
          <w:numId w:val="101"/>
        </w:numPr>
        <w:spacing w:after="120" w:line="276" w:lineRule="auto"/>
        <w:ind w:left="1080"/>
        <w:rPr>
          <w:rFonts w:cs="Times New Roman"/>
          <w:szCs w:val="24"/>
        </w:rPr>
      </w:pPr>
      <w:r w:rsidRPr="00F50C10">
        <w:rPr>
          <w:rFonts w:cs="Times New Roman"/>
          <w:szCs w:val="24"/>
        </w:rPr>
        <w:t xml:space="preserve">fırınların </w:t>
      </w:r>
      <w:r w:rsidR="00B0236A" w:rsidRPr="00F50C10">
        <w:rPr>
          <w:rFonts w:cs="Times New Roman"/>
          <w:szCs w:val="24"/>
        </w:rPr>
        <w:t>sökülmesi</w:t>
      </w:r>
      <w:r w:rsidRPr="00F50C10">
        <w:rPr>
          <w:rFonts w:cs="Times New Roman"/>
          <w:szCs w:val="24"/>
        </w:rPr>
        <w:t xml:space="preserve"> sırasında su püskürtülmesi (bu yöntem kullanılırsa kapalı fırın püskürtme suyu devresi ve atık su arıtma sistemi kullanılmalıdır),</w:t>
      </w:r>
    </w:p>
    <w:p w14:paraId="5497181E" w14:textId="56DC9A04" w:rsidR="000F3B99" w:rsidRPr="00F50C10" w:rsidRDefault="000F3B99" w:rsidP="00A654AE">
      <w:pPr>
        <w:pStyle w:val="ListeParagraf"/>
        <w:numPr>
          <w:ilvl w:val="2"/>
          <w:numId w:val="101"/>
        </w:numPr>
        <w:spacing w:after="120" w:line="276" w:lineRule="auto"/>
        <w:ind w:left="1080"/>
        <w:rPr>
          <w:rFonts w:cs="Times New Roman"/>
          <w:szCs w:val="24"/>
        </w:rPr>
      </w:pPr>
      <w:r w:rsidRPr="00F50C10">
        <w:rPr>
          <w:rFonts w:cs="Times New Roman"/>
          <w:szCs w:val="24"/>
        </w:rPr>
        <w:t>mobil püskürtme sistemiyle tesis alanlarına su püskür</w:t>
      </w:r>
      <w:r w:rsidR="00B0236A" w:rsidRPr="00F50C10">
        <w:rPr>
          <w:rFonts w:cs="Times New Roman"/>
          <w:szCs w:val="24"/>
        </w:rPr>
        <w:t>tülmesi</w:t>
      </w:r>
      <w:r w:rsidRPr="00F50C10">
        <w:rPr>
          <w:rFonts w:cs="Times New Roman"/>
          <w:szCs w:val="24"/>
        </w:rPr>
        <w:t>,</w:t>
      </w:r>
    </w:p>
    <w:p w14:paraId="43850BCB" w14:textId="77777777" w:rsidR="000F3B99" w:rsidRPr="00F50C10" w:rsidRDefault="000F3B99" w:rsidP="00A654AE">
      <w:pPr>
        <w:pStyle w:val="ListeParagraf"/>
        <w:numPr>
          <w:ilvl w:val="2"/>
          <w:numId w:val="101"/>
        </w:numPr>
        <w:spacing w:after="120" w:line="276" w:lineRule="auto"/>
        <w:ind w:left="1080"/>
        <w:rPr>
          <w:rFonts w:cs="Times New Roman"/>
          <w:szCs w:val="24"/>
        </w:rPr>
      </w:pPr>
      <w:r w:rsidRPr="00F50C10">
        <w:rPr>
          <w:rFonts w:cs="Times New Roman"/>
          <w:szCs w:val="24"/>
        </w:rPr>
        <w:t>tesis alanlarının her gün süpürülmesi,</w:t>
      </w:r>
    </w:p>
    <w:p w14:paraId="62223CDE" w14:textId="30D45717" w:rsidR="000F3B99" w:rsidRPr="00F50C10" w:rsidRDefault="000F3B99" w:rsidP="00A654AE">
      <w:pPr>
        <w:pStyle w:val="ListeParagraf"/>
        <w:numPr>
          <w:ilvl w:val="2"/>
          <w:numId w:val="101"/>
        </w:numPr>
        <w:spacing w:after="120" w:line="276" w:lineRule="auto"/>
        <w:ind w:left="1080"/>
        <w:rPr>
          <w:rFonts w:cs="Times New Roman"/>
          <w:szCs w:val="24"/>
        </w:rPr>
      </w:pPr>
      <w:r w:rsidRPr="00F50C10">
        <w:rPr>
          <w:rFonts w:cs="Times New Roman"/>
          <w:szCs w:val="24"/>
        </w:rPr>
        <w:t>hammaddelerin iç ortamda depolanması; kok dışarıda depolanı</w:t>
      </w:r>
      <w:r w:rsidR="00B0236A" w:rsidRPr="00F50C10">
        <w:rPr>
          <w:rFonts w:cs="Times New Roman"/>
          <w:szCs w:val="24"/>
        </w:rPr>
        <w:t>yo</w:t>
      </w:r>
      <w:r w:rsidRPr="00F50C10">
        <w:rPr>
          <w:rFonts w:cs="Times New Roman"/>
          <w:szCs w:val="24"/>
        </w:rPr>
        <w:t xml:space="preserve">rsa su püskürtülerek </w:t>
      </w:r>
      <w:r w:rsidR="00B0236A" w:rsidRPr="00F50C10">
        <w:rPr>
          <w:rFonts w:cs="Times New Roman"/>
          <w:szCs w:val="24"/>
        </w:rPr>
        <w:t>nemlendirilmelidir</w:t>
      </w:r>
      <w:r w:rsidRPr="00F50C10">
        <w:rPr>
          <w:rFonts w:cs="Times New Roman"/>
          <w:szCs w:val="24"/>
        </w:rPr>
        <w:t>,</w:t>
      </w:r>
    </w:p>
    <w:p w14:paraId="5685ED7C" w14:textId="792356F7" w:rsidR="000F3B99" w:rsidRPr="00F50C10" w:rsidRDefault="000F3B99" w:rsidP="00A654AE">
      <w:pPr>
        <w:pStyle w:val="ListeParagraf"/>
        <w:numPr>
          <w:ilvl w:val="2"/>
          <w:numId w:val="101"/>
        </w:numPr>
        <w:spacing w:after="120" w:line="276" w:lineRule="auto"/>
        <w:ind w:left="1080"/>
        <w:rPr>
          <w:rFonts w:cs="Times New Roman"/>
          <w:szCs w:val="24"/>
        </w:rPr>
      </w:pPr>
      <w:r w:rsidRPr="00F50C10">
        <w:rPr>
          <w:rFonts w:cs="Times New Roman"/>
          <w:szCs w:val="24"/>
        </w:rPr>
        <w:t xml:space="preserve">hammaddelerin taşınması için kapalı/iç </w:t>
      </w:r>
      <w:r w:rsidR="00B0236A" w:rsidRPr="00F50C10">
        <w:rPr>
          <w:rFonts w:cs="Times New Roman"/>
          <w:szCs w:val="24"/>
        </w:rPr>
        <w:t>mekan</w:t>
      </w:r>
      <w:r w:rsidRPr="00F50C10">
        <w:rPr>
          <w:rFonts w:cs="Times New Roman"/>
          <w:szCs w:val="24"/>
        </w:rPr>
        <w:t xml:space="preserve"> konveyor bantları,</w:t>
      </w:r>
    </w:p>
    <w:p w14:paraId="6AF489E8" w14:textId="77777777" w:rsidR="000F3B99" w:rsidRPr="00F50C10" w:rsidRDefault="000F3B99" w:rsidP="00A654AE">
      <w:pPr>
        <w:pStyle w:val="ListeParagraf"/>
        <w:numPr>
          <w:ilvl w:val="2"/>
          <w:numId w:val="101"/>
        </w:numPr>
        <w:spacing w:after="120" w:line="276" w:lineRule="auto"/>
        <w:ind w:left="1080"/>
        <w:rPr>
          <w:rFonts w:cs="Times New Roman"/>
          <w:szCs w:val="24"/>
        </w:rPr>
      </w:pPr>
      <w:r w:rsidRPr="00F50C10">
        <w:rPr>
          <w:rFonts w:cs="Times New Roman"/>
          <w:szCs w:val="24"/>
        </w:rPr>
        <w:t>kok öğütme ve şarj karıştırma için kapalı sistemler.</w:t>
      </w:r>
    </w:p>
    <w:p w14:paraId="425B7DA5" w14:textId="158D189F"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143: </w:t>
      </w:r>
      <w:r w:rsidRPr="00F50C10">
        <w:rPr>
          <w:rFonts w:cs="Times New Roman"/>
          <w:szCs w:val="24"/>
        </w:rPr>
        <w:t>Toz emisyon seviyeleri bir ton %100 SiC başına 2,5 kg ile sınırlan</w:t>
      </w:r>
      <w:r w:rsidR="00B0236A" w:rsidRPr="00F50C10">
        <w:rPr>
          <w:rFonts w:cs="Times New Roman"/>
          <w:szCs w:val="24"/>
        </w:rPr>
        <w:t>dırıl</w:t>
      </w:r>
      <w:r w:rsidRPr="00F50C10">
        <w:rPr>
          <w:rFonts w:cs="Times New Roman"/>
          <w:szCs w:val="24"/>
        </w:rPr>
        <w:t>ır</w:t>
      </w:r>
      <w:r w:rsidR="00E515D6" w:rsidRPr="00F50C10">
        <w:rPr>
          <w:rFonts w:cs="Times New Roman"/>
          <w:szCs w:val="24"/>
        </w:rPr>
        <w:t>.</w:t>
      </w:r>
    </w:p>
    <w:p w14:paraId="4AF0003A" w14:textId="5DF75F3D"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144: </w:t>
      </w:r>
      <w:r w:rsidRPr="00F50C10">
        <w:rPr>
          <w:rFonts w:cs="Times New Roman"/>
          <w:szCs w:val="24"/>
        </w:rPr>
        <w:t>Aşağıdaki tekniklerden biri veya birden fazlası kullanılarak topra</w:t>
      </w:r>
      <w:r w:rsidR="00B0236A" w:rsidRPr="00F50C10">
        <w:rPr>
          <w:rFonts w:cs="Times New Roman"/>
          <w:szCs w:val="24"/>
        </w:rPr>
        <w:t>k</w:t>
      </w:r>
      <w:r w:rsidRPr="00F50C10">
        <w:rPr>
          <w:rFonts w:cs="Times New Roman"/>
          <w:szCs w:val="24"/>
        </w:rPr>
        <w:t xml:space="preserve"> ve yeraltı suyu korun</w:t>
      </w:r>
      <w:r w:rsidR="00B0236A" w:rsidRPr="00F50C10">
        <w:rPr>
          <w:rFonts w:cs="Times New Roman"/>
          <w:szCs w:val="24"/>
        </w:rPr>
        <w:t>u</w:t>
      </w:r>
      <w:r w:rsidRPr="00F50C10">
        <w:rPr>
          <w:rFonts w:cs="Times New Roman"/>
          <w:szCs w:val="24"/>
        </w:rPr>
        <w:t>r</w:t>
      </w:r>
      <w:r w:rsidR="00E515D6" w:rsidRPr="00F50C10">
        <w:rPr>
          <w:rFonts w:cs="Times New Roman"/>
          <w:szCs w:val="24"/>
        </w:rPr>
        <w:t>:</w:t>
      </w:r>
    </w:p>
    <w:p w14:paraId="74459060" w14:textId="044CC881" w:rsidR="000F3B99" w:rsidRPr="00F50C10" w:rsidRDefault="000F3B99" w:rsidP="00A654AE">
      <w:pPr>
        <w:pStyle w:val="ListeParagraf"/>
        <w:numPr>
          <w:ilvl w:val="2"/>
          <w:numId w:val="91"/>
        </w:numPr>
        <w:spacing w:after="120" w:line="276" w:lineRule="auto"/>
        <w:ind w:left="1080"/>
        <w:rPr>
          <w:rFonts w:cs="Times New Roman"/>
          <w:szCs w:val="24"/>
        </w:rPr>
      </w:pPr>
      <w:r w:rsidRPr="00F50C10">
        <w:rPr>
          <w:rFonts w:cs="Times New Roman"/>
          <w:szCs w:val="24"/>
        </w:rPr>
        <w:t>kok depolama, kok öğütme ve şarj karıştırma</w:t>
      </w:r>
      <w:r w:rsidR="0054362A" w:rsidRPr="00F50C10">
        <w:rPr>
          <w:rFonts w:cs="Times New Roman"/>
          <w:szCs w:val="24"/>
        </w:rPr>
        <w:t>da zemin</w:t>
      </w:r>
      <w:r w:rsidRPr="00F50C10">
        <w:rPr>
          <w:rFonts w:cs="Times New Roman"/>
          <w:szCs w:val="24"/>
        </w:rPr>
        <w:t xml:space="preserve"> sıvıları</w:t>
      </w:r>
      <w:r w:rsidR="0054362A" w:rsidRPr="00F50C10">
        <w:rPr>
          <w:rFonts w:cs="Times New Roman"/>
          <w:szCs w:val="24"/>
        </w:rPr>
        <w:t>nı</w:t>
      </w:r>
      <w:r w:rsidRPr="00F50C10">
        <w:rPr>
          <w:rFonts w:cs="Times New Roman"/>
          <w:szCs w:val="24"/>
        </w:rPr>
        <w:t xml:space="preserve"> tutmaya yönelik önlemler,</w:t>
      </w:r>
    </w:p>
    <w:p w14:paraId="2BC0B4E1" w14:textId="77777777" w:rsidR="000F3B99" w:rsidRPr="00F50C10" w:rsidRDefault="000F3B99" w:rsidP="00A654AE">
      <w:pPr>
        <w:pStyle w:val="ListeParagraf"/>
        <w:numPr>
          <w:ilvl w:val="2"/>
          <w:numId w:val="91"/>
        </w:numPr>
        <w:spacing w:after="120" w:line="276" w:lineRule="auto"/>
        <w:ind w:left="1080"/>
        <w:rPr>
          <w:rFonts w:cs="Times New Roman"/>
          <w:szCs w:val="24"/>
        </w:rPr>
      </w:pPr>
      <w:r w:rsidRPr="00F50C10">
        <w:rPr>
          <w:rFonts w:cs="Times New Roman"/>
          <w:szCs w:val="24"/>
        </w:rPr>
        <w:t>fırın alanının tabanında fırın tahliye suyunu toplayan bir sistem ile yeraltı izleme sisteminin birleştirildiği sıvıları tutmaya yönelik önlemler,</w:t>
      </w:r>
    </w:p>
    <w:p w14:paraId="1AE7D4E9" w14:textId="77777777" w:rsidR="000F3B99" w:rsidRPr="00F50C10" w:rsidRDefault="000F3B99" w:rsidP="00A654AE">
      <w:pPr>
        <w:pStyle w:val="ListeParagraf"/>
        <w:numPr>
          <w:ilvl w:val="2"/>
          <w:numId w:val="91"/>
        </w:numPr>
        <w:spacing w:after="120" w:line="276" w:lineRule="auto"/>
        <w:ind w:left="1080"/>
        <w:rPr>
          <w:rFonts w:cs="Times New Roman"/>
          <w:szCs w:val="24"/>
        </w:rPr>
      </w:pPr>
      <w:r w:rsidRPr="00F50C10">
        <w:rPr>
          <w:rFonts w:cs="Times New Roman"/>
          <w:szCs w:val="24"/>
        </w:rPr>
        <w:t>kükürt giderme ünitesinde ve atık su arıtma ünitesinde sıvı geçirmez zemin,</w:t>
      </w:r>
    </w:p>
    <w:p w14:paraId="4ADFB8D3" w14:textId="77777777" w:rsidR="000F3B99" w:rsidRPr="00F50C10" w:rsidRDefault="000F3B99" w:rsidP="00A654AE">
      <w:pPr>
        <w:pStyle w:val="ListeParagraf"/>
        <w:numPr>
          <w:ilvl w:val="2"/>
          <w:numId w:val="91"/>
        </w:numPr>
        <w:spacing w:after="120" w:line="276" w:lineRule="auto"/>
        <w:ind w:left="1080"/>
        <w:rPr>
          <w:rFonts w:cs="Times New Roman"/>
          <w:szCs w:val="24"/>
        </w:rPr>
      </w:pPr>
      <w:r w:rsidRPr="00F50C10">
        <w:rPr>
          <w:rFonts w:cs="Times New Roman"/>
          <w:szCs w:val="24"/>
        </w:rPr>
        <w:t>atık su teknelerinin tabanında sıvı geçirmez folyo.</w:t>
      </w:r>
    </w:p>
    <w:p w14:paraId="03C249C0" w14:textId="77777777" w:rsidR="000F3B99" w:rsidRPr="00F50C10" w:rsidRDefault="000F3B99" w:rsidP="00A654AE">
      <w:pPr>
        <w:pStyle w:val="Balk2"/>
        <w:numPr>
          <w:ilvl w:val="1"/>
          <w:numId w:val="165"/>
        </w:numPr>
        <w:spacing w:before="0" w:after="120" w:line="276" w:lineRule="auto"/>
        <w:rPr>
          <w:rFonts w:cs="Times New Roman"/>
          <w:szCs w:val="24"/>
        </w:rPr>
      </w:pPr>
      <w:r w:rsidRPr="00F50C10">
        <w:rPr>
          <w:rFonts w:cs="Times New Roman"/>
          <w:szCs w:val="24"/>
        </w:rPr>
        <w:t>Zeolitler</w:t>
      </w:r>
    </w:p>
    <w:p w14:paraId="4F940F15"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Zeolit üretiminde uygulanan ıslak proses</w:t>
      </w:r>
    </w:p>
    <w:p w14:paraId="7E138BA4" w14:textId="55BDD979"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145: </w:t>
      </w:r>
      <w:r w:rsidRPr="00F50C10">
        <w:rPr>
          <w:rFonts w:cs="Times New Roman"/>
          <w:szCs w:val="24"/>
        </w:rPr>
        <w:t>Çözülebilir tuzların ve reaktanların uzaklaştırılması için kullanılan yıkama suyu miktarının üretilen bir ton zeolit başına 4- 28 m</w:t>
      </w:r>
      <w:r w:rsidRPr="00F50C10">
        <w:rPr>
          <w:rFonts w:cs="Times New Roman"/>
          <w:szCs w:val="24"/>
          <w:vertAlign w:val="superscript"/>
        </w:rPr>
        <w:t>3</w:t>
      </w:r>
      <w:r w:rsidRPr="00F50C10">
        <w:rPr>
          <w:rFonts w:cs="Times New Roman"/>
          <w:szCs w:val="24"/>
        </w:rPr>
        <w:t xml:space="preserve"> aralığında olması</w:t>
      </w:r>
      <w:r w:rsidR="0054362A" w:rsidRPr="00F50C10">
        <w:rPr>
          <w:rFonts w:cs="Times New Roman"/>
          <w:szCs w:val="24"/>
        </w:rPr>
        <w:t xml:space="preserve"> </w:t>
      </w:r>
      <w:r w:rsidRPr="00F50C10">
        <w:rPr>
          <w:rFonts w:cs="Times New Roman"/>
          <w:szCs w:val="24"/>
        </w:rPr>
        <w:t>sağlanır</w:t>
      </w:r>
      <w:r w:rsidR="00E515D6" w:rsidRPr="00F50C10">
        <w:rPr>
          <w:rFonts w:cs="Times New Roman"/>
          <w:szCs w:val="24"/>
        </w:rPr>
        <w:t>.</w:t>
      </w:r>
      <w:r w:rsidRPr="00F50C10">
        <w:rPr>
          <w:rFonts w:cs="Times New Roman"/>
          <w:szCs w:val="24"/>
        </w:rPr>
        <w:t xml:space="preserve"> </w:t>
      </w:r>
      <w:r w:rsidR="00E515D6" w:rsidRPr="00F50C10">
        <w:rPr>
          <w:rFonts w:cs="Times New Roman"/>
          <w:szCs w:val="24"/>
        </w:rPr>
        <w:t xml:space="preserve"> </w:t>
      </w:r>
      <w:r w:rsidRPr="00F50C10">
        <w:rPr>
          <w:rFonts w:cs="Times New Roman"/>
          <w:szCs w:val="24"/>
        </w:rPr>
        <w:t>Bu</w:t>
      </w:r>
      <w:r w:rsidR="0054362A" w:rsidRPr="00F50C10">
        <w:rPr>
          <w:rFonts w:cs="Times New Roman"/>
          <w:szCs w:val="24"/>
        </w:rPr>
        <w:t xml:space="preserve"> işlem</w:t>
      </w:r>
      <w:r w:rsidRPr="00F50C10">
        <w:rPr>
          <w:rFonts w:cs="Times New Roman"/>
          <w:szCs w:val="24"/>
        </w:rPr>
        <w:t xml:space="preserve"> aşağıdaki hususlar dikkate alınarak gerçekleştirilmelidir:</w:t>
      </w:r>
    </w:p>
    <w:p w14:paraId="4EE10BD0" w14:textId="77777777" w:rsidR="000F3B99" w:rsidRPr="00F50C10" w:rsidRDefault="000F3B99" w:rsidP="00A654AE">
      <w:pPr>
        <w:pStyle w:val="ListeParagraf"/>
        <w:numPr>
          <w:ilvl w:val="2"/>
          <w:numId w:val="102"/>
        </w:numPr>
        <w:spacing w:after="120" w:line="276" w:lineRule="auto"/>
        <w:ind w:left="1080"/>
        <w:rPr>
          <w:rFonts w:cs="Times New Roman"/>
          <w:szCs w:val="24"/>
        </w:rPr>
      </w:pPr>
      <w:r w:rsidRPr="00F50C10">
        <w:rPr>
          <w:rFonts w:cs="Times New Roman"/>
          <w:szCs w:val="24"/>
        </w:rPr>
        <w:t>filtrelemeden çıkan ana çözeltinin reaksiyon aşamasına kadar geri dönüştürülme derecesine göre gerekli ürün özellikleri,</w:t>
      </w:r>
    </w:p>
    <w:p w14:paraId="2A8F0082" w14:textId="77777777" w:rsidR="000F3B99" w:rsidRPr="00F50C10" w:rsidRDefault="000F3B99" w:rsidP="00A654AE">
      <w:pPr>
        <w:pStyle w:val="ListeParagraf"/>
        <w:numPr>
          <w:ilvl w:val="2"/>
          <w:numId w:val="102"/>
        </w:numPr>
        <w:spacing w:after="120" w:line="276" w:lineRule="auto"/>
        <w:ind w:left="1080"/>
        <w:rPr>
          <w:rFonts w:cs="Times New Roman"/>
          <w:szCs w:val="24"/>
        </w:rPr>
      </w:pPr>
      <w:r w:rsidRPr="00F50C10">
        <w:rPr>
          <w:rFonts w:cs="Times New Roman"/>
          <w:szCs w:val="24"/>
        </w:rPr>
        <w:t>sucul ortama deşarj edilen atık sudaki alüminyum bileşiği ve askıda katı madde (kolloidal silika içeren) içeriği (sentetik zeolit üretiminde uygulanan atık su arıtma işleminin ilk adımı).</w:t>
      </w:r>
    </w:p>
    <w:p w14:paraId="4B133BD0" w14:textId="3D929F46"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146: </w:t>
      </w:r>
      <w:r w:rsidRPr="00F50C10">
        <w:rPr>
          <w:rFonts w:cs="Times New Roman"/>
          <w:szCs w:val="24"/>
        </w:rPr>
        <w:t>İyon değişimi prosesinin yapıldığı zeolit tesislerinde, süzüntülerdeki ve atık sulardaki iyon değişimi prosesinden</w:t>
      </w:r>
      <w:r w:rsidR="0054362A" w:rsidRPr="00F50C10">
        <w:rPr>
          <w:rFonts w:cs="Times New Roman"/>
          <w:szCs w:val="24"/>
        </w:rPr>
        <w:t xml:space="preserve"> kaynaklanan,</w:t>
      </w:r>
      <w:r w:rsidRPr="00F50C10">
        <w:rPr>
          <w:rFonts w:cs="Times New Roman"/>
          <w:szCs w:val="24"/>
        </w:rPr>
        <w:t xml:space="preserve"> </w:t>
      </w:r>
      <w:r w:rsidR="0054362A" w:rsidRPr="00F50C10">
        <w:rPr>
          <w:rFonts w:cs="Times New Roman"/>
          <w:szCs w:val="24"/>
        </w:rPr>
        <w:t xml:space="preserve">ana sıvıda oksitlemeyle parçalamanın zor olduğu, </w:t>
      </w:r>
      <w:r w:rsidRPr="00F50C10">
        <w:rPr>
          <w:rFonts w:cs="Times New Roman"/>
          <w:szCs w:val="24"/>
        </w:rPr>
        <w:t>organik bileşikler</w:t>
      </w:r>
      <w:r w:rsidR="0054362A" w:rsidRPr="00F50C10">
        <w:rPr>
          <w:rFonts w:cs="Times New Roman"/>
          <w:szCs w:val="24"/>
        </w:rPr>
        <w:t xml:space="preserve"> </w:t>
      </w:r>
      <w:r w:rsidRPr="00F50C10">
        <w:rPr>
          <w:rFonts w:cs="Times New Roman"/>
          <w:szCs w:val="24"/>
        </w:rPr>
        <w:t xml:space="preserve">ve </w:t>
      </w:r>
      <w:r w:rsidR="0054362A" w:rsidRPr="00F50C10">
        <w:rPr>
          <w:rFonts w:cs="Times New Roman"/>
          <w:szCs w:val="24"/>
        </w:rPr>
        <w:t xml:space="preserve">zeolitteki iyonlara bağlı olarak </w:t>
      </w:r>
      <w:r w:rsidRPr="00F50C10">
        <w:rPr>
          <w:rFonts w:cs="Times New Roman"/>
          <w:szCs w:val="24"/>
        </w:rPr>
        <w:t>tuzlar uzaklaştırılır. Bu, sente</w:t>
      </w:r>
      <w:r w:rsidR="0054362A" w:rsidRPr="00F50C10">
        <w:rPr>
          <w:rFonts w:cs="Times New Roman"/>
          <w:szCs w:val="24"/>
        </w:rPr>
        <w:t>t</w:t>
      </w:r>
      <w:r w:rsidRPr="00F50C10">
        <w:rPr>
          <w:rFonts w:cs="Times New Roman"/>
          <w:szCs w:val="24"/>
        </w:rPr>
        <w:t>ik zeolit üretiminde atık su arıtma için ikinci adım olarak uygulanan özel atık su ön arıtma sistemiyle gerçekleştirilmelidir</w:t>
      </w:r>
      <w:r w:rsidR="00E515D6" w:rsidRPr="00F50C10">
        <w:rPr>
          <w:rFonts w:cs="Times New Roman"/>
          <w:szCs w:val="24"/>
        </w:rPr>
        <w:t>.</w:t>
      </w:r>
    </w:p>
    <w:p w14:paraId="3BEA8A6E"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Zeolit üretiminde uygulanan kuru proses</w:t>
      </w:r>
    </w:p>
    <w:p w14:paraId="2FCD7F12" w14:textId="4D08F550"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147: </w:t>
      </w:r>
      <w:r w:rsidRPr="00F50C10">
        <w:rPr>
          <w:rFonts w:cs="Times New Roman"/>
          <w:szCs w:val="24"/>
        </w:rPr>
        <w:t xml:space="preserve">Zeolit kurutma ve aktivasyonu ve son ürünün taşınması ve paketlenmesi adımlarından itibaren toz ekstraksiyonu ve ürün geri kazanımı için </w:t>
      </w:r>
      <w:r w:rsidR="0054362A" w:rsidRPr="00F50C10">
        <w:rPr>
          <w:rFonts w:cs="Times New Roman"/>
          <w:szCs w:val="24"/>
        </w:rPr>
        <w:t>bez</w:t>
      </w:r>
      <w:r w:rsidRPr="00F50C10">
        <w:rPr>
          <w:rFonts w:cs="Times New Roman"/>
          <w:szCs w:val="24"/>
        </w:rPr>
        <w:t xml:space="preserve"> filtrelerle donatılmış özel hava yolu sistemleri kullanarak havaya salınan toz emisyonları üretilen bir ton zeolit başına 0,8 kg </w:t>
      </w:r>
      <w:r w:rsidR="0054362A" w:rsidRPr="00F50C10">
        <w:rPr>
          <w:rFonts w:cs="Times New Roman"/>
          <w:szCs w:val="24"/>
        </w:rPr>
        <w:t xml:space="preserve">seviyesinin altına </w:t>
      </w:r>
      <w:r w:rsidRPr="00F50C10">
        <w:rPr>
          <w:rFonts w:cs="Times New Roman"/>
          <w:szCs w:val="24"/>
        </w:rPr>
        <w:t xml:space="preserve">(bir ton özel zeolit için 1,5 kg </w:t>
      </w:r>
      <w:r w:rsidR="0054362A" w:rsidRPr="00F50C10">
        <w:rPr>
          <w:rFonts w:cs="Times New Roman"/>
          <w:szCs w:val="24"/>
        </w:rPr>
        <w:t xml:space="preserve">seviyesinin </w:t>
      </w:r>
      <w:r w:rsidRPr="00F50C10">
        <w:rPr>
          <w:rFonts w:cs="Times New Roman"/>
          <w:szCs w:val="24"/>
        </w:rPr>
        <w:t>altına) düşürül</w:t>
      </w:r>
      <w:r w:rsidR="0054362A" w:rsidRPr="00F50C10">
        <w:rPr>
          <w:rFonts w:cs="Times New Roman"/>
          <w:szCs w:val="24"/>
        </w:rPr>
        <w:t>ü</w:t>
      </w:r>
      <w:r w:rsidRPr="00F50C10">
        <w:rPr>
          <w:rFonts w:cs="Times New Roman"/>
          <w:szCs w:val="24"/>
        </w:rPr>
        <w:t>r</w:t>
      </w:r>
      <w:r w:rsidR="00E515D6" w:rsidRPr="00F50C10">
        <w:rPr>
          <w:rFonts w:cs="Times New Roman"/>
          <w:szCs w:val="24"/>
        </w:rPr>
        <w:t>.</w:t>
      </w:r>
    </w:p>
    <w:p w14:paraId="79909899" w14:textId="5173EAA3" w:rsidR="000F3B99" w:rsidRPr="00F50C10" w:rsidRDefault="000F3B99" w:rsidP="000B206D">
      <w:pPr>
        <w:spacing w:after="120" w:line="276" w:lineRule="auto"/>
        <w:rPr>
          <w:rFonts w:cs="Times New Roman"/>
          <w:szCs w:val="24"/>
        </w:rPr>
      </w:pPr>
      <w:r w:rsidRPr="00F50C10">
        <w:rPr>
          <w:rFonts w:cs="Times New Roman"/>
          <w:b/>
          <w:bCs/>
          <w:szCs w:val="24"/>
        </w:rPr>
        <w:t xml:space="preserve">MET 148: </w:t>
      </w:r>
      <w:r w:rsidRPr="00F50C10">
        <w:rPr>
          <w:rFonts w:cs="Times New Roman"/>
          <w:szCs w:val="24"/>
        </w:rPr>
        <w:t>Sentetik zeolit üretiminde tüketilen enerji miktarı, bir ton son ürün başına 11-27 GJ aralığında tutul</w:t>
      </w:r>
      <w:r w:rsidR="0054362A" w:rsidRPr="00F50C10">
        <w:rPr>
          <w:rFonts w:cs="Times New Roman"/>
          <w:szCs w:val="24"/>
        </w:rPr>
        <w:t>u</w:t>
      </w:r>
      <w:r w:rsidRPr="00F50C10">
        <w:rPr>
          <w:rFonts w:cs="Times New Roman"/>
          <w:szCs w:val="24"/>
        </w:rPr>
        <w:t xml:space="preserve">r (zeolit çamuru için </w:t>
      </w:r>
      <w:r w:rsidR="00F86E86" w:rsidRPr="00F50C10">
        <w:rPr>
          <w:rFonts w:cs="Times New Roman"/>
          <w:szCs w:val="24"/>
        </w:rPr>
        <w:t>alt sınır</w:t>
      </w:r>
      <w:r w:rsidRPr="00F50C10">
        <w:rPr>
          <w:rFonts w:cs="Times New Roman"/>
          <w:szCs w:val="24"/>
        </w:rPr>
        <w:t xml:space="preserve">, kurutulmuş zeolit tozu için </w:t>
      </w:r>
      <w:r w:rsidR="00F86E86" w:rsidRPr="00F50C10">
        <w:rPr>
          <w:rFonts w:cs="Times New Roman"/>
          <w:szCs w:val="24"/>
        </w:rPr>
        <w:t>üst sınır</w:t>
      </w:r>
      <w:r w:rsidRPr="00F50C10">
        <w:rPr>
          <w:rFonts w:cs="Times New Roman"/>
          <w:szCs w:val="24"/>
        </w:rPr>
        <w:t>)</w:t>
      </w:r>
      <w:r w:rsidR="00E515D6" w:rsidRPr="00F50C10">
        <w:rPr>
          <w:rFonts w:cs="Times New Roman"/>
          <w:szCs w:val="24"/>
        </w:rPr>
        <w:t>.</w:t>
      </w:r>
    </w:p>
    <w:p w14:paraId="3B3B153A" w14:textId="2D7ED251" w:rsidR="000F3B99" w:rsidRPr="00F50C10" w:rsidRDefault="000F3B99" w:rsidP="000B206D">
      <w:pPr>
        <w:spacing w:after="120" w:line="276" w:lineRule="auto"/>
        <w:rPr>
          <w:rFonts w:cs="Times New Roman"/>
          <w:szCs w:val="24"/>
        </w:rPr>
      </w:pPr>
      <w:r w:rsidRPr="00F50C10">
        <w:rPr>
          <w:rFonts w:cs="Times New Roman"/>
          <w:b/>
          <w:bCs/>
          <w:szCs w:val="24"/>
        </w:rPr>
        <w:t xml:space="preserve">MET 149: </w:t>
      </w:r>
      <w:r w:rsidRPr="00F50C10">
        <w:rPr>
          <w:rFonts w:cs="Times New Roman"/>
          <w:szCs w:val="24"/>
        </w:rPr>
        <w:t>Özel zeolit</w:t>
      </w:r>
      <w:r w:rsidR="00F86E86" w:rsidRPr="00F50C10">
        <w:rPr>
          <w:rFonts w:cs="Times New Roman"/>
          <w:szCs w:val="24"/>
        </w:rPr>
        <w:t>lerin</w:t>
      </w:r>
      <w:r w:rsidRPr="00F50C10">
        <w:rPr>
          <w:rFonts w:cs="Times New Roman"/>
          <w:szCs w:val="24"/>
        </w:rPr>
        <w:t xml:space="preserve"> üret</w:t>
      </w:r>
      <w:r w:rsidR="00F86E86" w:rsidRPr="00F50C10">
        <w:rPr>
          <w:rFonts w:cs="Times New Roman"/>
          <w:szCs w:val="24"/>
        </w:rPr>
        <w:t xml:space="preserve">iminde zeolitin türüne ve gerekli modifikasyonuna bağlı olarak </w:t>
      </w:r>
      <w:r w:rsidRPr="00F50C10">
        <w:rPr>
          <w:rFonts w:cs="Times New Roman"/>
          <w:szCs w:val="24"/>
        </w:rPr>
        <w:t>ayrı kurutma işlemleri (öğütme, granülasyon, aktivasyon ve paketleme)</w:t>
      </w:r>
      <w:r w:rsidR="00F86E86" w:rsidRPr="00F50C10">
        <w:rPr>
          <w:rFonts w:cs="Times New Roman"/>
          <w:szCs w:val="24"/>
        </w:rPr>
        <w:t xml:space="preserve"> </w:t>
      </w:r>
      <w:r w:rsidRPr="00F50C10">
        <w:rPr>
          <w:rFonts w:cs="Times New Roman"/>
          <w:szCs w:val="24"/>
        </w:rPr>
        <w:t>için gereken enerji miktarı üretilen bir ton nihai özel ürün başına 5,5-15 GJ aralığında tutul</w:t>
      </w:r>
      <w:r w:rsidR="00F86E86" w:rsidRPr="00F50C10">
        <w:rPr>
          <w:rFonts w:cs="Times New Roman"/>
          <w:szCs w:val="24"/>
        </w:rPr>
        <w:t>ur</w:t>
      </w:r>
      <w:r w:rsidR="00E515D6" w:rsidRPr="00F50C10">
        <w:rPr>
          <w:rFonts w:cs="Times New Roman"/>
          <w:szCs w:val="24"/>
        </w:rPr>
        <w:t>.</w:t>
      </w:r>
    </w:p>
    <w:p w14:paraId="64AA1E6C" w14:textId="77777777" w:rsidR="000F3B99" w:rsidRPr="00F50C10" w:rsidRDefault="000F3B99" w:rsidP="00A654AE">
      <w:pPr>
        <w:pStyle w:val="Balk2"/>
        <w:numPr>
          <w:ilvl w:val="1"/>
          <w:numId w:val="165"/>
        </w:numPr>
        <w:spacing w:before="240" w:line="276" w:lineRule="auto"/>
        <w:rPr>
          <w:rFonts w:cs="Times New Roman"/>
          <w:szCs w:val="24"/>
        </w:rPr>
      </w:pPr>
      <w:r w:rsidRPr="00F50C10">
        <w:rPr>
          <w:rFonts w:cs="Times New Roman"/>
          <w:szCs w:val="24"/>
        </w:rPr>
        <w:t>Kalsiyum Klorür</w:t>
      </w:r>
    </w:p>
    <w:p w14:paraId="6D5DF298" w14:textId="7F97A95E" w:rsidR="000F3B99" w:rsidRPr="00F50C10" w:rsidRDefault="000F3B99" w:rsidP="00A654AE">
      <w:pPr>
        <w:pStyle w:val="Balk3"/>
        <w:numPr>
          <w:ilvl w:val="2"/>
          <w:numId w:val="165"/>
        </w:numPr>
        <w:spacing w:line="276" w:lineRule="auto"/>
        <w:rPr>
          <w:rFonts w:cs="Times New Roman"/>
        </w:rPr>
      </w:pPr>
      <w:r w:rsidRPr="00F50C10">
        <w:rPr>
          <w:rFonts w:cs="Times New Roman"/>
        </w:rPr>
        <w:t xml:space="preserve">Soda külü prosesinden çıkan atık su kullanılarak kalsiyum klorür </w:t>
      </w:r>
      <w:r w:rsidR="006A6366" w:rsidRPr="00F50C10">
        <w:rPr>
          <w:rFonts w:cs="Times New Roman"/>
        </w:rPr>
        <w:t>çözeltisi</w:t>
      </w:r>
      <w:r w:rsidRPr="00F50C10">
        <w:rPr>
          <w:rFonts w:cs="Times New Roman"/>
        </w:rPr>
        <w:t xml:space="preserve"> üretimi</w:t>
      </w:r>
    </w:p>
    <w:p w14:paraId="4830977F" w14:textId="58938407"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150: </w:t>
      </w:r>
      <w:r w:rsidR="006A6366" w:rsidRPr="00F50C10">
        <w:rPr>
          <w:rFonts w:cs="Times New Roman"/>
          <w:szCs w:val="24"/>
        </w:rPr>
        <w:t>Soda külü üretimi sırasında ortaya çıkan ve %10-12 CaCl₂ içeren 9-11,5 m³ atık çözelti, buharlaştırma yöntemiyle işlenerek 1 ton %100 CaCl₂ eşdeğerinde satılabilir bir CaCl₂ çözeltisi ürününe dönüştürülür. Bu işlem, düşük basınçta çok aşamalı buharlaştırma ve düşük dereceli ısının geri kazanılması gibi yöntemlerle enerji kullanımını en aza indirmeyi hedefler. Ton başına 7,3-9,5 GJ enerji kullanılarak, %41 CaCl₂ içeren bir çözelti elde edilir</w:t>
      </w:r>
      <w:r w:rsidR="00E515D6" w:rsidRPr="00F50C10">
        <w:rPr>
          <w:rFonts w:cs="Times New Roman"/>
          <w:szCs w:val="24"/>
        </w:rPr>
        <w:t>.</w:t>
      </w:r>
    </w:p>
    <w:p w14:paraId="0B30BABB" w14:textId="4BD161A7" w:rsidR="000F3B99" w:rsidRPr="00F50C10" w:rsidRDefault="000F3B99" w:rsidP="00A654AE">
      <w:pPr>
        <w:pStyle w:val="Balk3"/>
        <w:numPr>
          <w:ilvl w:val="2"/>
          <w:numId w:val="165"/>
        </w:numPr>
        <w:spacing w:line="276" w:lineRule="auto"/>
        <w:rPr>
          <w:rFonts w:cs="Times New Roman"/>
        </w:rPr>
      </w:pPr>
      <w:r w:rsidRPr="00F50C10">
        <w:rPr>
          <w:rFonts w:cs="Times New Roman"/>
        </w:rPr>
        <w:t xml:space="preserve">MgO yöntemiyle kalsiyum klorür </w:t>
      </w:r>
      <w:r w:rsidR="006A6366" w:rsidRPr="00F50C10">
        <w:rPr>
          <w:rFonts w:cs="Times New Roman"/>
        </w:rPr>
        <w:t>çözeltisi</w:t>
      </w:r>
      <w:r w:rsidRPr="00F50C10">
        <w:rPr>
          <w:rFonts w:cs="Times New Roman"/>
        </w:rPr>
        <w:t xml:space="preserve"> üretimi</w:t>
      </w:r>
    </w:p>
    <w:p w14:paraId="6778585F" w14:textId="41B5E22A" w:rsidR="000F3B99" w:rsidRPr="00F50C10" w:rsidRDefault="000F3B99" w:rsidP="000B206D">
      <w:pPr>
        <w:spacing w:before="240" w:line="276" w:lineRule="auto"/>
        <w:rPr>
          <w:rFonts w:cs="Times New Roman"/>
          <w:b/>
          <w:bCs/>
          <w:szCs w:val="24"/>
          <w:lang w:val="tr-TR"/>
        </w:rPr>
      </w:pPr>
      <w:r w:rsidRPr="00F50C10">
        <w:rPr>
          <w:rFonts w:cs="Times New Roman"/>
          <w:b/>
          <w:bCs/>
          <w:szCs w:val="24"/>
        </w:rPr>
        <w:t xml:space="preserve">MET 151: </w:t>
      </w:r>
      <w:r w:rsidR="006A6366" w:rsidRPr="00F50C10">
        <w:rPr>
          <w:rFonts w:cs="Times New Roman"/>
          <w:szCs w:val="24"/>
          <w:lang w:val="tr-TR"/>
        </w:rPr>
        <w:t>Maggnezyum tuzları üretimi sırasında ortaya çıkan ve %14-16 CaCl₂ içeren 6,3-7,1 m³ çözelti, buharlaştırma yöntemiyle işlenerek 1 ton saf CaCl₂ (%100) eşdeğerinde satılabilir bir CaCl₂ çözeltisi ürününe dönüştürülür. Bu işlem, %30-40 CaCl₂ içeren bir çözelti elde etmeyi hedefler. Enerji kullanımı, 1 ton saf CaCl₂ (%100) başına 2,4-3,5 GJ aralığında tutularak minimum düzeyde tutulur. Bu işlem, mekanik buhar sıkıştırıcı (re-boiler) ve çok aşamalı vakumlu buharlaştırma teknikleri kullanılarak gerçekleştirilir.</w:t>
      </w:r>
    </w:p>
    <w:p w14:paraId="0EE31672" w14:textId="184A2317" w:rsidR="000F3B99" w:rsidRPr="00F50C10" w:rsidRDefault="000F3B99" w:rsidP="00A654AE">
      <w:pPr>
        <w:pStyle w:val="Balk3"/>
        <w:numPr>
          <w:ilvl w:val="2"/>
          <w:numId w:val="165"/>
        </w:numPr>
        <w:spacing w:line="276" w:lineRule="auto"/>
        <w:rPr>
          <w:rFonts w:cs="Times New Roman"/>
        </w:rPr>
      </w:pPr>
      <w:r w:rsidRPr="00F50C10">
        <w:rPr>
          <w:rFonts w:cs="Times New Roman"/>
        </w:rPr>
        <w:t>Asit-kireçtaşı yöntemiyle kalsiyum klorür çözelti</w:t>
      </w:r>
      <w:r w:rsidR="00C34079" w:rsidRPr="00F50C10">
        <w:rPr>
          <w:rFonts w:cs="Times New Roman"/>
        </w:rPr>
        <w:t>si</w:t>
      </w:r>
      <w:r w:rsidRPr="00F50C10">
        <w:rPr>
          <w:rFonts w:cs="Times New Roman"/>
        </w:rPr>
        <w:t xml:space="preserve"> üretimi</w:t>
      </w:r>
    </w:p>
    <w:p w14:paraId="68F7CC95" w14:textId="2FD20360" w:rsidR="00C34079" w:rsidRPr="00F50C10" w:rsidRDefault="000F3B99" w:rsidP="000B206D">
      <w:pPr>
        <w:spacing w:before="240" w:line="276" w:lineRule="auto"/>
        <w:rPr>
          <w:rFonts w:cs="Times New Roman"/>
          <w:b/>
          <w:bCs/>
          <w:szCs w:val="24"/>
        </w:rPr>
      </w:pPr>
      <w:r w:rsidRPr="00F50C10">
        <w:rPr>
          <w:rFonts w:cs="Times New Roman"/>
          <w:b/>
          <w:bCs/>
          <w:szCs w:val="24"/>
        </w:rPr>
        <w:t xml:space="preserve">MET 152: </w:t>
      </w:r>
      <w:r w:rsidR="00C34079" w:rsidRPr="00F50C10">
        <w:rPr>
          <w:rFonts w:cs="Times New Roman"/>
          <w:szCs w:val="24"/>
        </w:rPr>
        <w:t>HCl emisyonları, 1 ton saf CaCl₂ (%100) eşdeğerinde %36 CaCl₂ çözeltisi ürünü başına 0,1 kg HCl seviyesinin altına düşürülür. Bu, reaksiyon atık gazının su ile yıkanarak HCl ve aerosolün uzaklaştırılmasıyla sağlanır. Bu yöntem, temiz CO₂'nin sonraki kullanımının mümkün olduğu tüm yerlerde CO₂ emisyonlarını da azaltır.</w:t>
      </w:r>
    </w:p>
    <w:p w14:paraId="248DEFBB" w14:textId="58B61394" w:rsidR="000F3B99" w:rsidRPr="00F50C10" w:rsidRDefault="000F3B99" w:rsidP="000B206D">
      <w:pPr>
        <w:spacing w:before="240" w:line="276" w:lineRule="auto"/>
        <w:rPr>
          <w:rFonts w:cs="Times New Roman"/>
          <w:szCs w:val="24"/>
        </w:rPr>
      </w:pPr>
      <w:r w:rsidRPr="00F50C10">
        <w:rPr>
          <w:rFonts w:cs="Times New Roman"/>
          <w:b/>
          <w:bCs/>
          <w:szCs w:val="24"/>
        </w:rPr>
        <w:t xml:space="preserve">MET 153: </w:t>
      </w:r>
      <w:r w:rsidR="00C34079" w:rsidRPr="00F50C10">
        <w:rPr>
          <w:rFonts w:cs="Times New Roman"/>
          <w:szCs w:val="24"/>
        </w:rPr>
        <w:t>Katı atık deşarjı (inert veya çökelmiş kalsiyum ve magnezyum tuzları), 1 ton saf CaCl₂ (%100) eşdeğerinde %36 CaCl₂ çözeltisi ürünü başına 140-280 kg aralığına düşürülür. Bu, yüksek saflıkta hammaddeler kullanılarak sağlanır. Bu hammaddeler arasında yüksek CaCO₃ içeriğine sahip kireçtaşı (tercihen en az %98 CaCO₃) ve yüksek konsantrasyonlu hidroklorik asit (tercihen en az %33 HCl) bulunur</w:t>
      </w:r>
      <w:r w:rsidR="00E515D6" w:rsidRPr="00F50C10">
        <w:rPr>
          <w:rFonts w:cs="Times New Roman"/>
          <w:szCs w:val="24"/>
        </w:rPr>
        <w:t>.</w:t>
      </w:r>
    </w:p>
    <w:p w14:paraId="7432A941" w14:textId="042E2ECE" w:rsidR="000F3B99" w:rsidRPr="00F50C10" w:rsidRDefault="00C34079" w:rsidP="000B206D">
      <w:pPr>
        <w:spacing w:before="240" w:line="276" w:lineRule="auto"/>
        <w:rPr>
          <w:rFonts w:cs="Times New Roman"/>
          <w:szCs w:val="24"/>
        </w:rPr>
      </w:pPr>
      <w:r w:rsidRPr="00F50C10">
        <w:rPr>
          <w:rFonts w:cs="Times New Roman"/>
          <w:szCs w:val="24"/>
        </w:rPr>
        <w:t>Katı atık deşarjının operasyonel aralığın üst seviyesinde olması, prosesin malzeme verimliliğinin düşmesine neden olur (kireçtaşı kalitesi ne kadar düşükse, kireçtaşı ve kireç kullanım verimliliği de o kadar düşük olur).</w:t>
      </w:r>
    </w:p>
    <w:p w14:paraId="56941806" w14:textId="77777777" w:rsidR="000F3B99" w:rsidRPr="00F50C10" w:rsidRDefault="000F3B99" w:rsidP="00A654AE">
      <w:pPr>
        <w:pStyle w:val="Balk3"/>
        <w:numPr>
          <w:ilvl w:val="2"/>
          <w:numId w:val="165"/>
        </w:numPr>
        <w:spacing w:line="276" w:lineRule="auto"/>
        <w:rPr>
          <w:rFonts w:cs="Times New Roman"/>
        </w:rPr>
      </w:pPr>
      <w:r w:rsidRPr="00F50C10">
        <w:rPr>
          <w:rFonts w:cs="Times New Roman"/>
        </w:rPr>
        <w:t>Katı kalsiyum klorür üretimi</w:t>
      </w:r>
    </w:p>
    <w:p w14:paraId="0A6A904D" w14:textId="77408567"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154: </w:t>
      </w:r>
      <w:r w:rsidRPr="00F50C10">
        <w:rPr>
          <w:rFonts w:cs="Times New Roman"/>
          <w:szCs w:val="24"/>
        </w:rPr>
        <w:t>Üç ıslak proses yönteminden biriyle elde edilen</w:t>
      </w:r>
      <w:r w:rsidR="00C34079" w:rsidRPr="00F50C10">
        <w:rPr>
          <w:rFonts w:cs="Times New Roman"/>
          <w:szCs w:val="24"/>
        </w:rPr>
        <w:t xml:space="preserve"> ağırlıkça %30-41</w:t>
      </w:r>
      <w:r w:rsidRPr="00F50C10">
        <w:rPr>
          <w:rFonts w:cs="Times New Roman"/>
          <w:szCs w:val="24"/>
        </w:rPr>
        <w:t xml:space="preserve"> CaCl</w:t>
      </w:r>
      <w:r w:rsidRPr="00F50C10">
        <w:rPr>
          <w:rFonts w:cs="Times New Roman"/>
          <w:szCs w:val="24"/>
          <w:vertAlign w:val="subscript"/>
        </w:rPr>
        <w:t>2</w:t>
      </w:r>
      <w:r w:rsidRPr="00F50C10">
        <w:rPr>
          <w:rFonts w:cs="Times New Roman"/>
          <w:szCs w:val="24"/>
        </w:rPr>
        <w:t xml:space="preserve"> çözelti</w:t>
      </w:r>
      <w:r w:rsidR="006B60B5" w:rsidRPr="00F50C10">
        <w:rPr>
          <w:rFonts w:cs="Times New Roman"/>
          <w:szCs w:val="24"/>
        </w:rPr>
        <w:t>nin</w:t>
      </w:r>
      <w:r w:rsidRPr="00F50C10">
        <w:rPr>
          <w:rFonts w:cs="Times New Roman"/>
          <w:szCs w:val="24"/>
        </w:rPr>
        <w:t xml:space="preserve"> konsantrasyonuna bağlı olarak sonraki </w:t>
      </w:r>
      <w:r w:rsidR="00C34079" w:rsidRPr="00F50C10">
        <w:rPr>
          <w:rFonts w:cs="Times New Roman"/>
          <w:szCs w:val="24"/>
        </w:rPr>
        <w:t>birim</w:t>
      </w:r>
      <w:r w:rsidRPr="00F50C10">
        <w:rPr>
          <w:rFonts w:cs="Times New Roman"/>
          <w:szCs w:val="24"/>
        </w:rPr>
        <w:t xml:space="preserve"> </w:t>
      </w:r>
      <w:r w:rsidR="00C34079" w:rsidRPr="00F50C10">
        <w:rPr>
          <w:rFonts w:cs="Times New Roman"/>
          <w:szCs w:val="24"/>
        </w:rPr>
        <w:t>operasyonlarda</w:t>
      </w:r>
      <w:r w:rsidRPr="00F50C10">
        <w:rPr>
          <w:rFonts w:cs="Times New Roman"/>
          <w:szCs w:val="24"/>
        </w:rPr>
        <w:t xml:space="preserve"> (</w:t>
      </w:r>
      <w:r w:rsidR="00C34079" w:rsidRPr="00F50C10">
        <w:rPr>
          <w:rFonts w:cs="Times New Roman"/>
          <w:szCs w:val="24"/>
        </w:rPr>
        <w:t xml:space="preserve">ikinci aşamada </w:t>
      </w:r>
      <w:r w:rsidRPr="00F50C10">
        <w:rPr>
          <w:rFonts w:cs="Times New Roman"/>
          <w:szCs w:val="24"/>
        </w:rPr>
        <w:t>CaCl</w:t>
      </w:r>
      <w:r w:rsidRPr="00F50C10">
        <w:rPr>
          <w:rFonts w:cs="Times New Roman"/>
          <w:szCs w:val="24"/>
          <w:vertAlign w:val="subscript"/>
        </w:rPr>
        <w:t>2</w:t>
      </w:r>
      <w:r w:rsidRPr="00F50C10">
        <w:rPr>
          <w:rFonts w:cs="Times New Roman"/>
          <w:szCs w:val="24"/>
        </w:rPr>
        <w:t xml:space="preserve"> çözeltisini derişik hale getirme, ardından pullama veya prilleme) enerji tüketimi rasyonelleştiri</w:t>
      </w:r>
      <w:r w:rsidR="006B60B5" w:rsidRPr="00F50C10">
        <w:rPr>
          <w:rFonts w:cs="Times New Roman"/>
          <w:szCs w:val="24"/>
        </w:rPr>
        <w:t>l</w:t>
      </w:r>
      <w:r w:rsidRPr="00F50C10">
        <w:rPr>
          <w:rFonts w:cs="Times New Roman"/>
          <w:szCs w:val="24"/>
        </w:rPr>
        <w:t>ir</w:t>
      </w:r>
      <w:r w:rsidR="006B60B5" w:rsidRPr="00F50C10">
        <w:rPr>
          <w:rFonts w:cs="Times New Roman"/>
          <w:szCs w:val="24"/>
        </w:rPr>
        <w:t xml:space="preserve">. </w:t>
      </w:r>
      <w:r w:rsidRPr="00F50C10">
        <w:rPr>
          <w:rFonts w:cs="Times New Roman"/>
          <w:szCs w:val="24"/>
        </w:rPr>
        <w:t>Bu, bölgede mevcut olan enerji tasarrufu seçenekleri kullanılarak ve gelişmiş proses kontrolüyle gerçekleştirilir</w:t>
      </w:r>
      <w:r w:rsidR="00E515D6" w:rsidRPr="00F50C10">
        <w:rPr>
          <w:rFonts w:cs="Times New Roman"/>
          <w:szCs w:val="24"/>
        </w:rPr>
        <w:t>.</w:t>
      </w:r>
    </w:p>
    <w:p w14:paraId="352E7F96" w14:textId="64306EB1"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155: </w:t>
      </w:r>
      <w:r w:rsidR="006B60B5" w:rsidRPr="00F50C10">
        <w:rPr>
          <w:rFonts w:cs="Times New Roman"/>
          <w:szCs w:val="24"/>
        </w:rPr>
        <w:t>Prosese geri kazandırılan k</w:t>
      </w:r>
      <w:r w:rsidRPr="00F50C10">
        <w:rPr>
          <w:rFonts w:cs="Times New Roman"/>
          <w:szCs w:val="24"/>
        </w:rPr>
        <w:t>alsiyum klorür suyuyla etkili yıkama gibi teknikler kullan</w:t>
      </w:r>
      <w:r w:rsidR="006B60B5" w:rsidRPr="00F50C10">
        <w:rPr>
          <w:rFonts w:cs="Times New Roman"/>
          <w:szCs w:val="24"/>
        </w:rPr>
        <w:t>ıl</w:t>
      </w:r>
      <w:r w:rsidRPr="00F50C10">
        <w:rPr>
          <w:rFonts w:cs="Times New Roman"/>
          <w:szCs w:val="24"/>
        </w:rPr>
        <w:t>arak</w:t>
      </w:r>
      <w:r w:rsidR="006B60B5" w:rsidRPr="00F50C10">
        <w:rPr>
          <w:rFonts w:cs="Times New Roman"/>
          <w:szCs w:val="24"/>
        </w:rPr>
        <w:t>,</w:t>
      </w:r>
      <w:r w:rsidRPr="00F50C10">
        <w:rPr>
          <w:rFonts w:cs="Times New Roman"/>
          <w:szCs w:val="24"/>
        </w:rPr>
        <w:t xml:space="preserve"> pul kurutucudan ve prilleme kulesinden çıkan çıkış gazlarını tozdan arındır</w:t>
      </w:r>
      <w:r w:rsidR="006B60B5" w:rsidRPr="00F50C10">
        <w:rPr>
          <w:rFonts w:cs="Times New Roman"/>
          <w:szCs w:val="24"/>
        </w:rPr>
        <w:t>ılmasıyla</w:t>
      </w:r>
      <w:r w:rsidRPr="00F50C10">
        <w:rPr>
          <w:rFonts w:cs="Times New Roman"/>
          <w:szCs w:val="24"/>
        </w:rPr>
        <w:t xml:space="preserve"> bir ton katı CaCl</w:t>
      </w:r>
      <w:r w:rsidRPr="00F50C10">
        <w:rPr>
          <w:rFonts w:cs="Times New Roman"/>
          <w:szCs w:val="24"/>
          <w:vertAlign w:val="subscript"/>
        </w:rPr>
        <w:t>2</w:t>
      </w:r>
      <w:r w:rsidRPr="00F50C10">
        <w:rPr>
          <w:rFonts w:cs="Times New Roman"/>
          <w:szCs w:val="24"/>
        </w:rPr>
        <w:t xml:space="preserve"> başına havaya salınan toz emisyonları 0,15- 0,40 kg CaCl</w:t>
      </w:r>
      <w:r w:rsidRPr="00F50C10">
        <w:rPr>
          <w:rFonts w:cs="Times New Roman"/>
          <w:szCs w:val="24"/>
          <w:vertAlign w:val="subscript"/>
        </w:rPr>
        <w:t>2</w:t>
      </w:r>
      <w:r w:rsidRPr="00F50C10">
        <w:rPr>
          <w:rFonts w:cs="Times New Roman"/>
          <w:szCs w:val="24"/>
        </w:rPr>
        <w:t xml:space="preserve"> seviyesine </w:t>
      </w:r>
      <w:r w:rsidR="006B60B5" w:rsidRPr="00F50C10">
        <w:rPr>
          <w:rFonts w:cs="Times New Roman"/>
          <w:szCs w:val="24"/>
        </w:rPr>
        <w:t>indirilir</w:t>
      </w:r>
      <w:r w:rsidR="00E515D6" w:rsidRPr="00F50C10">
        <w:rPr>
          <w:rFonts w:cs="Times New Roman"/>
          <w:szCs w:val="24"/>
        </w:rPr>
        <w:t>.</w:t>
      </w:r>
    </w:p>
    <w:p w14:paraId="53E17E60" w14:textId="77777777" w:rsidR="000F3B99" w:rsidRPr="00F50C10" w:rsidRDefault="000F3B99" w:rsidP="00A654AE">
      <w:pPr>
        <w:pStyle w:val="Balk2"/>
        <w:numPr>
          <w:ilvl w:val="1"/>
          <w:numId w:val="165"/>
        </w:numPr>
        <w:spacing w:before="240" w:line="276" w:lineRule="auto"/>
        <w:rPr>
          <w:rFonts w:cs="Times New Roman"/>
          <w:szCs w:val="24"/>
        </w:rPr>
      </w:pPr>
      <w:r w:rsidRPr="00F50C10">
        <w:rPr>
          <w:rFonts w:cs="Times New Roman"/>
          <w:szCs w:val="24"/>
        </w:rPr>
        <w:t>Çöktürülmüş Kalsiyum Karbonat (PCC)</w:t>
      </w:r>
    </w:p>
    <w:p w14:paraId="0CB9FD66" w14:textId="77777777" w:rsidR="000F3B99" w:rsidRPr="00F50C10" w:rsidRDefault="000F3B99" w:rsidP="00A654AE">
      <w:pPr>
        <w:pStyle w:val="Balk3"/>
        <w:numPr>
          <w:ilvl w:val="2"/>
          <w:numId w:val="165"/>
        </w:numPr>
        <w:spacing w:line="276" w:lineRule="auto"/>
        <w:rPr>
          <w:rFonts w:cs="Times New Roman"/>
        </w:rPr>
      </w:pPr>
      <w:r w:rsidRPr="00F50C10">
        <w:rPr>
          <w:rFonts w:cs="Times New Roman"/>
        </w:rPr>
        <w:t>Diğer proseslerden gelen CO</w:t>
      </w:r>
      <w:r w:rsidRPr="00F50C10">
        <w:rPr>
          <w:rFonts w:cs="Times New Roman"/>
          <w:vertAlign w:val="subscript"/>
        </w:rPr>
        <w:t>2</w:t>
      </w:r>
      <w:r w:rsidRPr="00F50C10">
        <w:rPr>
          <w:rFonts w:cs="Times New Roman"/>
        </w:rPr>
        <w:t xml:space="preserve"> ve kirecin kullanılmasına ve sahadaki kireç fırınından çıkan kireç ve CO</w:t>
      </w:r>
      <w:r w:rsidRPr="00F50C10">
        <w:rPr>
          <w:rFonts w:cs="Times New Roman"/>
          <w:vertAlign w:val="subscript"/>
        </w:rPr>
        <w:t>2</w:t>
      </w:r>
      <w:r w:rsidRPr="00F50C10">
        <w:rPr>
          <w:rFonts w:cs="Times New Roman"/>
        </w:rPr>
        <w:t xml:space="preserve"> kullanılmasına dayanan üretim</w:t>
      </w:r>
    </w:p>
    <w:p w14:paraId="563AE155" w14:textId="7AAD0FD5"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156: </w:t>
      </w:r>
      <w:r w:rsidRPr="00F50C10">
        <w:rPr>
          <w:rFonts w:cs="Times New Roman"/>
          <w:szCs w:val="24"/>
        </w:rPr>
        <w:t>Özellikle karbonlaştırma adımındaki tesis işletme ve proses parametrelerinin (kireç sütünün viskozitesi, sıcaklık, karıştırma hızı, CO</w:t>
      </w:r>
      <w:r w:rsidRPr="00F50C10">
        <w:rPr>
          <w:rFonts w:cs="Times New Roman"/>
          <w:szCs w:val="24"/>
          <w:vertAlign w:val="subscript"/>
        </w:rPr>
        <w:t>2</w:t>
      </w:r>
      <w:r w:rsidRPr="00F50C10">
        <w:rPr>
          <w:rFonts w:cs="Times New Roman"/>
          <w:szCs w:val="24"/>
        </w:rPr>
        <w:t xml:space="preserve"> konsantrasyonu ve debi vs.) optimize edilmesi ve ayrıca özel proses kontrolüyle (aralıklı karbonlaştırma işleminin otomatik başlatılması, karbonlaştırma sırasının otomatik hale getirilmesi, CO</w:t>
      </w:r>
      <w:r w:rsidRPr="00F50C10">
        <w:rPr>
          <w:rFonts w:cs="Times New Roman"/>
          <w:szCs w:val="24"/>
          <w:vertAlign w:val="subscript"/>
        </w:rPr>
        <w:t>2</w:t>
      </w:r>
      <w:r w:rsidRPr="00F50C10">
        <w:rPr>
          <w:rFonts w:cs="Times New Roman"/>
          <w:szCs w:val="24"/>
        </w:rPr>
        <w:t xml:space="preserve"> besleme ve tüketim oranının optimizasyonu) hammadde ve enerji tüketimi en aza indiril</w:t>
      </w:r>
      <w:r w:rsidR="006B60B5" w:rsidRPr="00F50C10">
        <w:rPr>
          <w:rFonts w:cs="Times New Roman"/>
          <w:szCs w:val="24"/>
        </w:rPr>
        <w:t>ir</w:t>
      </w:r>
      <w:r w:rsidRPr="00F50C10">
        <w:rPr>
          <w:rFonts w:cs="Times New Roman"/>
          <w:szCs w:val="24"/>
        </w:rPr>
        <w:t xml:space="preserve"> ve PCC tesisinden çıkan fazla CO</w:t>
      </w:r>
      <w:r w:rsidRPr="00F50C10">
        <w:rPr>
          <w:rFonts w:cs="Times New Roman"/>
          <w:szCs w:val="24"/>
          <w:vertAlign w:val="subscript"/>
        </w:rPr>
        <w:t>2</w:t>
      </w:r>
      <w:r w:rsidRPr="00F50C10">
        <w:rPr>
          <w:rFonts w:cs="Times New Roman"/>
          <w:szCs w:val="24"/>
        </w:rPr>
        <w:t xml:space="preserve"> azaltılır</w:t>
      </w:r>
      <w:r w:rsidR="00E515D6" w:rsidRPr="00F50C10">
        <w:rPr>
          <w:rFonts w:cs="Times New Roman"/>
          <w:szCs w:val="24"/>
        </w:rPr>
        <w:t>.</w:t>
      </w:r>
    </w:p>
    <w:p w14:paraId="2BE36B52" w14:textId="7B5A3D3A"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157: </w:t>
      </w:r>
      <w:r w:rsidRPr="00F50C10">
        <w:rPr>
          <w:rFonts w:cs="Times New Roman"/>
          <w:szCs w:val="24"/>
        </w:rPr>
        <w:t>Toz önleme ve azaltma teknikleri uygun şekilde birleştir</w:t>
      </w:r>
      <w:r w:rsidR="006B60B5" w:rsidRPr="00F50C10">
        <w:rPr>
          <w:rFonts w:cs="Times New Roman"/>
          <w:szCs w:val="24"/>
        </w:rPr>
        <w:t>il</w:t>
      </w:r>
      <w:r w:rsidRPr="00F50C10">
        <w:rPr>
          <w:rFonts w:cs="Times New Roman"/>
          <w:szCs w:val="24"/>
        </w:rPr>
        <w:t>erek (ör</w:t>
      </w:r>
      <w:r w:rsidR="006B60B5" w:rsidRPr="00F50C10">
        <w:rPr>
          <w:rFonts w:cs="Times New Roman"/>
          <w:szCs w:val="24"/>
        </w:rPr>
        <w:t>neğin,</w:t>
      </w:r>
      <w:r w:rsidRPr="00F50C10">
        <w:rPr>
          <w:rFonts w:cs="Times New Roman"/>
          <w:szCs w:val="24"/>
        </w:rPr>
        <w:t xml:space="preserve"> </w:t>
      </w:r>
      <w:r w:rsidR="006B60B5" w:rsidRPr="00F50C10">
        <w:rPr>
          <w:rFonts w:cs="Times New Roman"/>
          <w:szCs w:val="24"/>
        </w:rPr>
        <w:t>bez</w:t>
      </w:r>
      <w:r w:rsidRPr="00F50C10">
        <w:rPr>
          <w:rFonts w:cs="Times New Roman"/>
          <w:szCs w:val="24"/>
        </w:rPr>
        <w:t xml:space="preserve"> filtreler ve yıkayıcılar) kireç alma ve PCC kurutma, öğütme ve paketleme işlemleri sırasında havaya salınan toz emisyonları azaltılır</w:t>
      </w:r>
      <w:r w:rsidR="00F86E86" w:rsidRPr="00F50C10">
        <w:rPr>
          <w:rFonts w:cs="Times New Roman"/>
          <w:szCs w:val="24"/>
        </w:rPr>
        <w:t>.</w:t>
      </w:r>
      <w:r w:rsidR="00F86E86" w:rsidRPr="00F50C10">
        <w:rPr>
          <w:rFonts w:cs="Times New Roman"/>
          <w:b/>
          <w:bCs/>
          <w:szCs w:val="24"/>
        </w:rPr>
        <w:t xml:space="preserve"> </w:t>
      </w:r>
    </w:p>
    <w:p w14:paraId="4E9902C7" w14:textId="3B85FB60"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158: </w:t>
      </w:r>
      <w:r w:rsidRPr="00F50C10">
        <w:rPr>
          <w:rFonts w:cs="Times New Roman"/>
          <w:szCs w:val="24"/>
        </w:rPr>
        <w:t>Susuzlaştırma adımından çıkan atık suyu kontrollü bir şekilde geri dönüştürüp kireç söndürme adımında kullanarak (proses suyunun kalitesi, hammadde kalitesi ve nihai PCC kalitesi dikkate alınarak)</w:t>
      </w:r>
      <w:r w:rsidR="006B60B5" w:rsidRPr="00F50C10">
        <w:rPr>
          <w:rFonts w:cs="Times New Roman"/>
          <w:szCs w:val="24"/>
        </w:rPr>
        <w:t>,</w:t>
      </w:r>
      <w:r w:rsidRPr="00F50C10">
        <w:rPr>
          <w:rFonts w:cs="Times New Roman"/>
          <w:szCs w:val="24"/>
        </w:rPr>
        <w:t xml:space="preserve"> ardından gerekiyorsa PCC tesisinden salınan atık suları entegre veya izole atık su arıtma sisteminde (ilave filtreleme veya çökeltme cihazları) tekrar arıtarak suya salınan askıda katı madde ve kimyasal katkı maddesi emisyonları üretilen bir ton kuru PCC başına 1</w:t>
      </w:r>
      <w:r w:rsidR="006B60B5" w:rsidRPr="00F50C10">
        <w:rPr>
          <w:rFonts w:cs="Times New Roman"/>
          <w:szCs w:val="24"/>
        </w:rPr>
        <w:t xml:space="preserve"> </w:t>
      </w:r>
      <w:r w:rsidRPr="00F50C10">
        <w:rPr>
          <w:rFonts w:cs="Times New Roman"/>
          <w:szCs w:val="24"/>
        </w:rPr>
        <w:t>-</w:t>
      </w:r>
      <w:r w:rsidR="006B60B5" w:rsidRPr="00F50C10">
        <w:rPr>
          <w:rFonts w:cs="Times New Roman"/>
          <w:szCs w:val="24"/>
        </w:rPr>
        <w:t xml:space="preserve"> </w:t>
      </w:r>
      <w:r w:rsidRPr="00F50C10">
        <w:rPr>
          <w:rFonts w:cs="Times New Roman"/>
          <w:szCs w:val="24"/>
        </w:rPr>
        <w:t>30 kg</w:t>
      </w:r>
      <w:r w:rsidR="006B60B5" w:rsidRPr="00F50C10">
        <w:rPr>
          <w:rFonts w:cs="Times New Roman"/>
          <w:szCs w:val="24"/>
        </w:rPr>
        <w:t xml:space="preserve"> seviyesine</w:t>
      </w:r>
      <w:r w:rsidRPr="00F50C10">
        <w:rPr>
          <w:rFonts w:cs="Times New Roman"/>
          <w:szCs w:val="24"/>
        </w:rPr>
        <w:t xml:space="preserve"> düşürül</w:t>
      </w:r>
      <w:r w:rsidR="006B60B5" w:rsidRPr="00F50C10">
        <w:rPr>
          <w:rFonts w:cs="Times New Roman"/>
          <w:szCs w:val="24"/>
        </w:rPr>
        <w:t>ür</w:t>
      </w:r>
      <w:r w:rsidR="00E515D6" w:rsidRPr="00F50C10">
        <w:rPr>
          <w:rFonts w:cs="Times New Roman"/>
          <w:szCs w:val="24"/>
        </w:rPr>
        <w:t>.</w:t>
      </w:r>
    </w:p>
    <w:p w14:paraId="5F0C6BE6" w14:textId="7C28C1D4"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159: </w:t>
      </w:r>
      <w:r w:rsidRPr="00F50C10">
        <w:rPr>
          <w:rFonts w:cs="Times New Roman"/>
          <w:szCs w:val="24"/>
        </w:rPr>
        <w:t>Söndürme ve karbonlaştırma adımları ve katıların (kum) PCC bulamacından ayrılma adımı sonucunda toprağa boşaltılan katı katıkların miktarı en aza indirilir. Bir ton kuru PCC ürünü başına 600-660 kg ham kireç tüketil</w:t>
      </w:r>
      <w:r w:rsidR="006B60B5" w:rsidRPr="00F50C10">
        <w:rPr>
          <w:rFonts w:cs="Times New Roman"/>
          <w:szCs w:val="24"/>
        </w:rPr>
        <w:t>ir</w:t>
      </w:r>
      <w:r w:rsidRPr="00F50C10">
        <w:rPr>
          <w:rFonts w:cs="Times New Roman"/>
          <w:szCs w:val="24"/>
        </w:rPr>
        <w:t xml:space="preserve"> (1 ton PCC üretmek için 560 kg CaO stokiyometrik oranı göz önünde bulundurularak) ve kireç kullanım verimi</w:t>
      </w:r>
      <w:r w:rsidR="006B60B5" w:rsidRPr="00F50C10">
        <w:rPr>
          <w:rFonts w:cs="Times New Roman"/>
          <w:szCs w:val="24"/>
        </w:rPr>
        <w:t xml:space="preserve"> </w:t>
      </w:r>
      <w:r w:rsidRPr="00F50C10">
        <w:rPr>
          <w:rFonts w:cs="Times New Roman"/>
          <w:szCs w:val="24"/>
        </w:rPr>
        <w:t>%93 (600 kg/t'de) ve %85'te (660 kg/t) arasında tutul</w:t>
      </w:r>
      <w:r w:rsidR="006B60B5" w:rsidRPr="00F50C10">
        <w:rPr>
          <w:rFonts w:cs="Times New Roman"/>
          <w:szCs w:val="24"/>
        </w:rPr>
        <w:t>u</w:t>
      </w:r>
      <w:r w:rsidRPr="00F50C10">
        <w:rPr>
          <w:rFonts w:cs="Times New Roman"/>
          <w:szCs w:val="24"/>
        </w:rPr>
        <w:t>r. Hammaddenin yaklaşık %15'i proses sonunda katı atığa dönüştüğünden bu son rakamlar daha düşük performans hedefleridir</w:t>
      </w:r>
      <w:r w:rsidR="00E515D6" w:rsidRPr="00F50C10">
        <w:rPr>
          <w:rFonts w:cs="Times New Roman"/>
          <w:szCs w:val="24"/>
        </w:rPr>
        <w:t>.</w:t>
      </w:r>
    </w:p>
    <w:p w14:paraId="7A944E10" w14:textId="78BF3321"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160: </w:t>
      </w:r>
      <w:r w:rsidRPr="00F50C10">
        <w:rPr>
          <w:rFonts w:cs="Times New Roman"/>
          <w:szCs w:val="24"/>
        </w:rPr>
        <w:t>Kalitesi düşük PCC ürününü geri dönüştürüp PCC prosesinde yeniden kullanarak ve PCC prosesinden gelen diğer katı atık akımlarını</w:t>
      </w:r>
      <w:r w:rsidR="00A1117D" w:rsidRPr="00F50C10">
        <w:rPr>
          <w:rFonts w:cs="Times New Roman"/>
          <w:szCs w:val="24"/>
        </w:rPr>
        <w:t xml:space="preserve">, </w:t>
      </w:r>
      <w:r w:rsidRPr="00F50C10">
        <w:rPr>
          <w:rFonts w:cs="Times New Roman"/>
          <w:szCs w:val="24"/>
        </w:rPr>
        <w:t>kalsiyum kaynağı olara</w:t>
      </w:r>
      <w:r w:rsidR="00A1117D" w:rsidRPr="00F50C10">
        <w:rPr>
          <w:rFonts w:cs="Times New Roman"/>
          <w:szCs w:val="24"/>
        </w:rPr>
        <w:t>k,</w:t>
      </w:r>
      <w:r w:rsidRPr="00F50C10">
        <w:rPr>
          <w:rFonts w:cs="Times New Roman"/>
          <w:szCs w:val="24"/>
        </w:rPr>
        <w:t xml:space="preserve"> çimento ve kireç sektöründe ve bölgesel olarak mümkünse toprağı iyileştirme amacıyla kullanarak katı atık miktarı azaltıl</w:t>
      </w:r>
      <w:r w:rsidR="00A1117D" w:rsidRPr="00F50C10">
        <w:rPr>
          <w:rFonts w:cs="Times New Roman"/>
          <w:szCs w:val="24"/>
        </w:rPr>
        <w:t>ı</w:t>
      </w:r>
      <w:r w:rsidRPr="00F50C10">
        <w:rPr>
          <w:rFonts w:cs="Times New Roman"/>
          <w:szCs w:val="24"/>
        </w:rPr>
        <w:t>r (</w:t>
      </w:r>
      <w:r w:rsidR="00A1117D" w:rsidRPr="00F50C10">
        <w:rPr>
          <w:rFonts w:cs="Times New Roman"/>
          <w:szCs w:val="24"/>
        </w:rPr>
        <w:t>G</w:t>
      </w:r>
      <w:r w:rsidRPr="00F50C10">
        <w:rPr>
          <w:rFonts w:cs="Times New Roman"/>
          <w:szCs w:val="24"/>
        </w:rPr>
        <w:t xml:space="preserve">eri dönüşüm oranının PCC ürününün kalite gereksinimleriyle uyumlu olması gerektiği </w:t>
      </w:r>
      <w:r w:rsidR="00A1117D" w:rsidRPr="00F50C10">
        <w:rPr>
          <w:rFonts w:cs="Times New Roman"/>
          <w:szCs w:val="24"/>
        </w:rPr>
        <w:t>göz önünde</w:t>
      </w:r>
      <w:r w:rsidRPr="00F50C10">
        <w:rPr>
          <w:rFonts w:cs="Times New Roman"/>
          <w:szCs w:val="24"/>
        </w:rPr>
        <w:t xml:space="preserve"> </w:t>
      </w:r>
      <w:r w:rsidR="00A1117D" w:rsidRPr="00F50C10">
        <w:rPr>
          <w:rFonts w:cs="Times New Roman"/>
          <w:szCs w:val="24"/>
        </w:rPr>
        <w:t>bulundurulmalıdır</w:t>
      </w:r>
      <w:r w:rsidRPr="00F50C10">
        <w:rPr>
          <w:rFonts w:cs="Times New Roman"/>
          <w:szCs w:val="24"/>
        </w:rPr>
        <w:t>)</w:t>
      </w:r>
      <w:r w:rsidR="00E515D6" w:rsidRPr="00F50C10">
        <w:rPr>
          <w:rFonts w:cs="Times New Roman"/>
          <w:szCs w:val="24"/>
        </w:rPr>
        <w:t>.</w:t>
      </w:r>
    </w:p>
    <w:p w14:paraId="2683B127" w14:textId="77777777" w:rsidR="000F3B99" w:rsidRPr="00F50C10" w:rsidRDefault="000F3B99" w:rsidP="00A654AE">
      <w:pPr>
        <w:pStyle w:val="Balk2"/>
        <w:numPr>
          <w:ilvl w:val="1"/>
          <w:numId w:val="165"/>
        </w:numPr>
        <w:spacing w:before="240" w:line="276" w:lineRule="auto"/>
        <w:rPr>
          <w:rFonts w:cs="Times New Roman"/>
          <w:szCs w:val="24"/>
        </w:rPr>
      </w:pPr>
      <w:r w:rsidRPr="00F50C10">
        <w:rPr>
          <w:rFonts w:cs="Times New Roman"/>
          <w:szCs w:val="24"/>
        </w:rPr>
        <w:t>Sodyum Klorat</w:t>
      </w:r>
    </w:p>
    <w:p w14:paraId="252FEA07" w14:textId="51AC26FA"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161: </w:t>
      </w:r>
      <w:r w:rsidRPr="00F50C10">
        <w:rPr>
          <w:rFonts w:cs="Times New Roman"/>
          <w:szCs w:val="24"/>
        </w:rPr>
        <w:t>En son teknoloji anotlar kullanıl</w:t>
      </w:r>
      <w:r w:rsidR="00DE5142" w:rsidRPr="00F50C10">
        <w:rPr>
          <w:rFonts w:cs="Times New Roman"/>
          <w:szCs w:val="24"/>
        </w:rPr>
        <w:t>ır</w:t>
      </w:r>
      <w:r w:rsidRPr="00F50C10">
        <w:rPr>
          <w:rFonts w:cs="Times New Roman"/>
          <w:szCs w:val="24"/>
        </w:rPr>
        <w:t>, tuzlu saflaştırma prosesini kontrol edil</w:t>
      </w:r>
      <w:r w:rsidR="00DE5142" w:rsidRPr="00F50C10">
        <w:rPr>
          <w:rFonts w:cs="Times New Roman"/>
          <w:szCs w:val="24"/>
        </w:rPr>
        <w:t>ir</w:t>
      </w:r>
      <w:r w:rsidRPr="00F50C10">
        <w:rPr>
          <w:rFonts w:cs="Times New Roman"/>
          <w:szCs w:val="24"/>
        </w:rPr>
        <w:t xml:space="preserve"> ve proseste yüksek enerji verimini </w:t>
      </w:r>
      <w:r w:rsidR="005402AE" w:rsidRPr="00F50C10">
        <w:rPr>
          <w:rFonts w:cs="Times New Roman"/>
          <w:szCs w:val="24"/>
        </w:rPr>
        <w:t>(</w:t>
      </w:r>
      <w:r w:rsidR="00DE5142" w:rsidRPr="00F50C10">
        <w:rPr>
          <w:rFonts w:cs="Times New Roman"/>
          <w:szCs w:val="24"/>
        </w:rPr>
        <w:t>bir ton kristal NaClO</w:t>
      </w:r>
      <w:r w:rsidR="00DE5142" w:rsidRPr="00F50C10">
        <w:rPr>
          <w:rFonts w:cs="Times New Roman"/>
          <w:szCs w:val="24"/>
          <w:vertAlign w:val="subscript"/>
        </w:rPr>
        <w:t>3</w:t>
      </w:r>
      <w:r w:rsidR="00DE5142" w:rsidRPr="00F50C10">
        <w:rPr>
          <w:rFonts w:cs="Times New Roman"/>
          <w:szCs w:val="24"/>
        </w:rPr>
        <w:t xml:space="preserve"> ürünü için 5-6 MWh arasında elektrik enerjisi tüketimi</w:t>
      </w:r>
      <w:r w:rsidR="005402AE" w:rsidRPr="00F50C10">
        <w:rPr>
          <w:rFonts w:cs="Times New Roman"/>
          <w:szCs w:val="24"/>
        </w:rPr>
        <w:t>) sağlayacak şekilde</w:t>
      </w:r>
      <w:r w:rsidRPr="00F50C10">
        <w:rPr>
          <w:rFonts w:cs="Times New Roman"/>
          <w:szCs w:val="24"/>
        </w:rPr>
        <w:t xml:space="preserve"> diğer kilit proses parametreleri optimize edil</w:t>
      </w:r>
      <w:r w:rsidR="00DE5142" w:rsidRPr="00F50C10">
        <w:rPr>
          <w:rFonts w:cs="Times New Roman"/>
          <w:szCs w:val="24"/>
        </w:rPr>
        <w:t>ir.</w:t>
      </w:r>
      <w:r w:rsidR="00DE5142" w:rsidRPr="00F50C10">
        <w:rPr>
          <w:rFonts w:cs="Times New Roman"/>
          <w:b/>
          <w:bCs/>
          <w:szCs w:val="24"/>
        </w:rPr>
        <w:t xml:space="preserve"> </w:t>
      </w:r>
    </w:p>
    <w:p w14:paraId="3A31E59C" w14:textId="5F12AF45"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162: </w:t>
      </w:r>
      <w:r w:rsidRPr="00F50C10">
        <w:rPr>
          <w:rFonts w:cs="Times New Roman"/>
          <w:szCs w:val="24"/>
        </w:rPr>
        <w:t>Prosesin daha yüksek sıcaklıklarda gerçekleşmesine imkân vererek, NaClO</w:t>
      </w:r>
      <w:r w:rsidRPr="00F50C10">
        <w:rPr>
          <w:rFonts w:cs="Times New Roman"/>
          <w:szCs w:val="24"/>
          <w:vertAlign w:val="subscript"/>
        </w:rPr>
        <w:t>3</w:t>
      </w:r>
      <w:r w:rsidRPr="00F50C10">
        <w:rPr>
          <w:rFonts w:cs="Times New Roman"/>
          <w:szCs w:val="24"/>
        </w:rPr>
        <w:t xml:space="preserve"> üretimi için daha az güç tüketilmesini sağlamak </w:t>
      </w:r>
      <w:r w:rsidR="005402AE" w:rsidRPr="00F50C10">
        <w:rPr>
          <w:rFonts w:cs="Times New Roman"/>
          <w:szCs w:val="24"/>
        </w:rPr>
        <w:t>amacıyla</w:t>
      </w:r>
      <w:r w:rsidRPr="00F50C10">
        <w:rPr>
          <w:rFonts w:cs="Times New Roman"/>
          <w:szCs w:val="24"/>
        </w:rPr>
        <w:t xml:space="preserve"> elektroliz bölümünde korozyona dayanıklı malzemeler (ör. titanyum ve fluoroplastik) kullanılır</w:t>
      </w:r>
      <w:r w:rsidR="00E515D6" w:rsidRPr="00F50C10">
        <w:rPr>
          <w:rFonts w:cs="Times New Roman"/>
          <w:szCs w:val="24"/>
        </w:rPr>
        <w:t>.</w:t>
      </w:r>
    </w:p>
    <w:p w14:paraId="27426E0F" w14:textId="33381CB7"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163: </w:t>
      </w:r>
      <w:r w:rsidRPr="00F50C10">
        <w:rPr>
          <w:rFonts w:cs="Times New Roman"/>
          <w:szCs w:val="24"/>
        </w:rPr>
        <w:t>Hidrojen yan ürünü, tercihen %53-85'lik genel işletme kullanım oranın</w:t>
      </w:r>
      <w:r w:rsidR="000C2619" w:rsidRPr="00F50C10">
        <w:rPr>
          <w:rFonts w:cs="Times New Roman"/>
          <w:szCs w:val="24"/>
        </w:rPr>
        <w:t>dan</w:t>
      </w:r>
      <w:r w:rsidRPr="00F50C10">
        <w:rPr>
          <w:rFonts w:cs="Times New Roman"/>
          <w:szCs w:val="24"/>
        </w:rPr>
        <w:t xml:space="preserve"> daha yüksek bir seviye</w:t>
      </w:r>
      <w:r w:rsidR="000C2619" w:rsidRPr="00F50C10">
        <w:rPr>
          <w:rFonts w:cs="Times New Roman"/>
          <w:szCs w:val="24"/>
        </w:rPr>
        <w:t>y</w:t>
      </w:r>
      <w:r w:rsidRPr="00F50C10">
        <w:rPr>
          <w:rFonts w:cs="Times New Roman"/>
          <w:szCs w:val="24"/>
        </w:rPr>
        <w:t>e kadar arıtıl</w:t>
      </w:r>
      <w:r w:rsidR="000C2619" w:rsidRPr="00F50C10">
        <w:rPr>
          <w:rFonts w:cs="Times New Roman"/>
          <w:szCs w:val="24"/>
        </w:rPr>
        <w:t xml:space="preserve">ır </w:t>
      </w:r>
      <w:r w:rsidRPr="00F50C10">
        <w:rPr>
          <w:rFonts w:cs="Times New Roman"/>
          <w:szCs w:val="24"/>
        </w:rPr>
        <w:t>ve kullanılır</w:t>
      </w:r>
      <w:r w:rsidR="00E515D6" w:rsidRPr="00F50C10">
        <w:rPr>
          <w:rFonts w:cs="Times New Roman"/>
          <w:szCs w:val="24"/>
        </w:rPr>
        <w:t>.</w:t>
      </w:r>
    </w:p>
    <w:p w14:paraId="3A850DDE" w14:textId="1F22D2CF" w:rsidR="000F3B99" w:rsidRPr="00F50C10" w:rsidRDefault="000F3B99" w:rsidP="000B206D">
      <w:pPr>
        <w:spacing w:before="240" w:line="276" w:lineRule="auto"/>
        <w:rPr>
          <w:rFonts w:cs="Times New Roman"/>
          <w:szCs w:val="24"/>
        </w:rPr>
      </w:pPr>
      <w:r w:rsidRPr="00F50C10">
        <w:rPr>
          <w:rFonts w:cs="Times New Roman"/>
          <w:b/>
          <w:bCs/>
          <w:szCs w:val="24"/>
        </w:rPr>
        <w:t xml:space="preserve">MET 164: </w:t>
      </w:r>
      <w:r w:rsidRPr="00F50C10">
        <w:rPr>
          <w:rFonts w:cs="Times New Roman"/>
          <w:szCs w:val="24"/>
        </w:rPr>
        <w:t>Is</w:t>
      </w:r>
      <w:r w:rsidR="000C2619" w:rsidRPr="00F50C10">
        <w:rPr>
          <w:rFonts w:cs="Times New Roman"/>
          <w:szCs w:val="24"/>
        </w:rPr>
        <w:t>ının</w:t>
      </w:r>
      <w:r w:rsidRPr="00F50C10">
        <w:rPr>
          <w:rFonts w:cs="Times New Roman"/>
          <w:szCs w:val="24"/>
        </w:rPr>
        <w:t xml:space="preserve"> sıcak su veya tuzlu su sistemine akta</w:t>
      </w:r>
      <w:r w:rsidR="000C2619" w:rsidRPr="00F50C10">
        <w:rPr>
          <w:rFonts w:cs="Times New Roman"/>
          <w:szCs w:val="24"/>
        </w:rPr>
        <w:t>rılmasıyla</w:t>
      </w:r>
      <w:r w:rsidRPr="00F50C10">
        <w:rPr>
          <w:rFonts w:cs="Times New Roman"/>
          <w:szCs w:val="24"/>
        </w:rPr>
        <w:t xml:space="preserve"> ve proses içinde sodyum klorat kristalizasyon ve buharlaştırma adımlarında veya proses dışında başka faaliyetlerde kulla</w:t>
      </w:r>
      <w:r w:rsidR="000C2619" w:rsidRPr="00F50C10">
        <w:rPr>
          <w:rFonts w:cs="Times New Roman"/>
          <w:szCs w:val="24"/>
        </w:rPr>
        <w:t xml:space="preserve">nılmasıyla </w:t>
      </w:r>
      <w:r w:rsidRPr="00F50C10">
        <w:rPr>
          <w:rFonts w:cs="Times New Roman"/>
          <w:szCs w:val="24"/>
        </w:rPr>
        <w:t>mevcut ikincil enerji verimli bir şekilde kullanılır</w:t>
      </w:r>
      <w:r w:rsidR="00E515D6" w:rsidRPr="00F50C10">
        <w:rPr>
          <w:rFonts w:cs="Times New Roman"/>
          <w:szCs w:val="24"/>
        </w:rPr>
        <w:t>.</w:t>
      </w:r>
    </w:p>
    <w:p w14:paraId="1D71BE04" w14:textId="5B4396A2" w:rsidR="000F3B99" w:rsidRPr="00F50C10" w:rsidRDefault="000F3B99" w:rsidP="000B206D">
      <w:pPr>
        <w:spacing w:after="120" w:line="276" w:lineRule="auto"/>
        <w:rPr>
          <w:rFonts w:cs="Times New Roman"/>
          <w:szCs w:val="24"/>
        </w:rPr>
      </w:pPr>
      <w:r w:rsidRPr="00F50C10">
        <w:rPr>
          <w:rFonts w:cs="Times New Roman"/>
          <w:b/>
          <w:bCs/>
          <w:szCs w:val="24"/>
        </w:rPr>
        <w:t xml:space="preserve">MET 165: </w:t>
      </w:r>
      <w:r w:rsidRPr="00F50C10">
        <w:rPr>
          <w:rFonts w:cs="Times New Roman"/>
          <w:szCs w:val="24"/>
        </w:rPr>
        <w:t>Klor içeren gazlar (havalandırmalı elektrolit ve hidroklorik asit tanklarından çıkan yan ürün olarak üretilen hidrojen ve çıkış gazı) için etkili verimli alkali yıkama işlemi uygula</w:t>
      </w:r>
      <w:r w:rsidR="000C2619" w:rsidRPr="00F50C10">
        <w:rPr>
          <w:rFonts w:cs="Times New Roman"/>
          <w:szCs w:val="24"/>
        </w:rPr>
        <w:t>nar</w:t>
      </w:r>
      <w:r w:rsidRPr="00F50C10">
        <w:rPr>
          <w:rFonts w:cs="Times New Roman"/>
          <w:szCs w:val="24"/>
        </w:rPr>
        <w:t>ak havaya salınan klor emisyonları üretilen bir ton NaClO</w:t>
      </w:r>
      <w:r w:rsidRPr="00F50C10">
        <w:rPr>
          <w:rFonts w:cs="Times New Roman"/>
          <w:szCs w:val="24"/>
          <w:vertAlign w:val="subscript"/>
        </w:rPr>
        <w:t>3</w:t>
      </w:r>
      <w:r w:rsidRPr="00F50C10">
        <w:rPr>
          <w:rFonts w:cs="Times New Roman"/>
          <w:szCs w:val="24"/>
        </w:rPr>
        <w:t xml:space="preserve"> başına 0,05-1 g Cl</w:t>
      </w:r>
      <w:r w:rsidRPr="00F50C10">
        <w:rPr>
          <w:rFonts w:cs="Times New Roman"/>
          <w:szCs w:val="24"/>
          <w:vertAlign w:val="subscript"/>
        </w:rPr>
        <w:t>2</w:t>
      </w:r>
      <w:r w:rsidRPr="00F50C10">
        <w:rPr>
          <w:rFonts w:cs="Times New Roman"/>
          <w:szCs w:val="24"/>
        </w:rPr>
        <w:t xml:space="preserve"> seviyesine düşürül</w:t>
      </w:r>
      <w:r w:rsidR="000C2619" w:rsidRPr="00F50C10">
        <w:rPr>
          <w:rFonts w:cs="Times New Roman"/>
          <w:szCs w:val="24"/>
        </w:rPr>
        <w:t>ü</w:t>
      </w:r>
      <w:r w:rsidRPr="00F50C10">
        <w:rPr>
          <w:rFonts w:cs="Times New Roman"/>
          <w:szCs w:val="24"/>
        </w:rPr>
        <w:t>r</w:t>
      </w:r>
      <w:r w:rsidR="00E515D6" w:rsidRPr="00F50C10">
        <w:rPr>
          <w:rFonts w:cs="Times New Roman"/>
          <w:szCs w:val="24"/>
        </w:rPr>
        <w:t>.</w:t>
      </w:r>
    </w:p>
    <w:p w14:paraId="2F93540E" w14:textId="758D4CD3"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166: </w:t>
      </w:r>
      <w:r w:rsidRPr="00F50C10">
        <w:rPr>
          <w:rFonts w:cs="Times New Roman"/>
          <w:szCs w:val="24"/>
        </w:rPr>
        <w:t>Sodyum klorat kristalini kurutma ve taşıma adımlarından kaynaklı klorat tozu emisyonları, toz azaltma teknikleri birleştir</w:t>
      </w:r>
      <w:r w:rsidR="000C2619" w:rsidRPr="00F50C10">
        <w:rPr>
          <w:rFonts w:cs="Times New Roman"/>
          <w:szCs w:val="24"/>
        </w:rPr>
        <w:t>il</w:t>
      </w:r>
      <w:r w:rsidRPr="00F50C10">
        <w:rPr>
          <w:rFonts w:cs="Times New Roman"/>
          <w:szCs w:val="24"/>
        </w:rPr>
        <w:t>erek (filtreler, yıkayıcılar) üretilen bir ton sodyum klorat başına 0,3-10 g NaClO</w:t>
      </w:r>
      <w:r w:rsidRPr="00F50C10">
        <w:rPr>
          <w:rFonts w:cs="Times New Roman"/>
          <w:szCs w:val="24"/>
          <w:vertAlign w:val="subscript"/>
        </w:rPr>
        <w:t>3</w:t>
      </w:r>
      <w:r w:rsidRPr="00F50C10">
        <w:rPr>
          <w:rFonts w:cs="Times New Roman"/>
          <w:szCs w:val="24"/>
        </w:rPr>
        <w:t xml:space="preserve"> seviyesine </w:t>
      </w:r>
      <w:r w:rsidR="000C2619" w:rsidRPr="00F50C10">
        <w:rPr>
          <w:rFonts w:cs="Times New Roman"/>
          <w:szCs w:val="24"/>
        </w:rPr>
        <w:t>düşürülür</w:t>
      </w:r>
      <w:r w:rsidR="00E515D6" w:rsidRPr="00F50C10">
        <w:rPr>
          <w:rFonts w:cs="Times New Roman"/>
          <w:szCs w:val="24"/>
        </w:rPr>
        <w:t>.</w:t>
      </w:r>
    </w:p>
    <w:p w14:paraId="420C6431" w14:textId="13897B79"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167: </w:t>
      </w:r>
      <w:r w:rsidRPr="00F50C10">
        <w:rPr>
          <w:rFonts w:cs="Times New Roman"/>
          <w:szCs w:val="24"/>
        </w:rPr>
        <w:t xml:space="preserve">Sucul ortama salınan klorat ve altı değerlikli krom (VI) miktarını en aza indirmek için kapalı döngü sistem kullanarak proses içinde kloratın ve kromat içeren çözeltilerin geri dönüşüm oranı yüksek </w:t>
      </w:r>
      <w:r w:rsidR="000C2619" w:rsidRPr="00F50C10">
        <w:rPr>
          <w:rFonts w:cs="Times New Roman"/>
          <w:szCs w:val="24"/>
        </w:rPr>
        <w:t>tutulur</w:t>
      </w:r>
      <w:r w:rsidRPr="00F50C10">
        <w:rPr>
          <w:rFonts w:cs="Times New Roman"/>
          <w:szCs w:val="24"/>
        </w:rPr>
        <w:t>. Sodyum klorat kristallerinin etkili bir şekilde susuzlaştırılması ve yıkanması, ürünle birlikte çıkan krom miktarının düşük tutulmasını sağlamaktadır</w:t>
      </w:r>
      <w:r w:rsidR="00E515D6" w:rsidRPr="00F50C10">
        <w:rPr>
          <w:rFonts w:cs="Times New Roman"/>
          <w:szCs w:val="24"/>
        </w:rPr>
        <w:t>.</w:t>
      </w:r>
    </w:p>
    <w:p w14:paraId="0EC84C0F" w14:textId="351A91EC" w:rsidR="000C2619" w:rsidRPr="00F50C10" w:rsidRDefault="000F3B99" w:rsidP="000B206D">
      <w:pPr>
        <w:spacing w:after="120" w:line="276" w:lineRule="auto"/>
        <w:rPr>
          <w:rFonts w:cs="Times New Roman"/>
          <w:b/>
          <w:bCs/>
          <w:szCs w:val="24"/>
        </w:rPr>
      </w:pPr>
      <w:r w:rsidRPr="00F50C10">
        <w:rPr>
          <w:rFonts w:cs="Times New Roman"/>
          <w:b/>
          <w:bCs/>
          <w:szCs w:val="24"/>
        </w:rPr>
        <w:t xml:space="preserve">MET 168: </w:t>
      </w:r>
      <w:r w:rsidRPr="00F50C10">
        <w:rPr>
          <w:rFonts w:cs="Times New Roman"/>
          <w:szCs w:val="24"/>
        </w:rPr>
        <w:t xml:space="preserve">Kondensatların prosese geri dönüşümünü sağlayan dolaylı </w:t>
      </w:r>
      <w:r w:rsidR="000C2619" w:rsidRPr="00F50C10">
        <w:rPr>
          <w:rFonts w:cs="Times New Roman"/>
          <w:szCs w:val="24"/>
        </w:rPr>
        <w:t>yoğuşturucular</w:t>
      </w:r>
      <w:r w:rsidRPr="00F50C10">
        <w:rPr>
          <w:rFonts w:cs="Times New Roman"/>
          <w:szCs w:val="24"/>
        </w:rPr>
        <w:t xml:space="preserve"> ve ayrıca yeraltı suyunun kirlenmesini engellemek için sızdırmaz zeminler ve drenaj sistemleri kullan</w:t>
      </w:r>
      <w:r w:rsidR="000C2619" w:rsidRPr="00F50C10">
        <w:rPr>
          <w:rFonts w:cs="Times New Roman"/>
          <w:szCs w:val="24"/>
        </w:rPr>
        <w:t>ıl</w:t>
      </w:r>
      <w:r w:rsidRPr="00F50C10">
        <w:rPr>
          <w:rFonts w:cs="Times New Roman"/>
          <w:szCs w:val="24"/>
        </w:rPr>
        <w:t>arak yüzey sularına salınan klorat ve kromat emisyonları azaltılır.</w:t>
      </w:r>
    </w:p>
    <w:p w14:paraId="107A7D4B" w14:textId="26638F4C" w:rsidR="000F3B99" w:rsidRPr="00F50C10" w:rsidRDefault="000F3B99" w:rsidP="000B206D">
      <w:pPr>
        <w:spacing w:after="120" w:line="276" w:lineRule="auto"/>
        <w:rPr>
          <w:rFonts w:cs="Times New Roman"/>
          <w:szCs w:val="24"/>
        </w:rPr>
      </w:pPr>
      <w:r w:rsidRPr="00F50C10">
        <w:rPr>
          <w:rFonts w:cs="Times New Roman"/>
          <w:b/>
          <w:bCs/>
          <w:szCs w:val="24"/>
        </w:rPr>
        <w:t xml:space="preserve">MET 169: </w:t>
      </w:r>
      <w:r w:rsidRPr="00F50C10">
        <w:rPr>
          <w:rFonts w:cs="Times New Roman"/>
          <w:szCs w:val="24"/>
        </w:rPr>
        <w:t>Tehlikeli atık (krom içeren proses çamurları ve krom bulaşmış diğer maddeler) bertarafı en aza indirili</w:t>
      </w:r>
      <w:r w:rsidR="000C2619" w:rsidRPr="00F50C10">
        <w:rPr>
          <w:rFonts w:cs="Times New Roman"/>
          <w:szCs w:val="24"/>
        </w:rPr>
        <w:t>r</w:t>
      </w:r>
      <w:r w:rsidRPr="00F50C10">
        <w:rPr>
          <w:rFonts w:cs="Times New Roman"/>
          <w:szCs w:val="24"/>
        </w:rPr>
        <w:t xml:space="preserve"> ve yerel olarak </w:t>
      </w:r>
      <w:r w:rsidR="00C81383" w:rsidRPr="00F50C10">
        <w:rPr>
          <w:rFonts w:cs="Times New Roman"/>
          <w:szCs w:val="24"/>
        </w:rPr>
        <w:t>gerekli olduğu durumlarda</w:t>
      </w:r>
      <w:r w:rsidRPr="00F50C10">
        <w:rPr>
          <w:rFonts w:cs="Times New Roman"/>
          <w:szCs w:val="24"/>
        </w:rPr>
        <w:t>, toprağa bertarafı gerçekleştirilmeden önce tehlikeli atıklar arıtı</w:t>
      </w:r>
      <w:r w:rsidR="00C81383" w:rsidRPr="00F50C10">
        <w:rPr>
          <w:rFonts w:cs="Times New Roman"/>
          <w:szCs w:val="24"/>
        </w:rPr>
        <w:t>l</w:t>
      </w:r>
      <w:r w:rsidRPr="00F50C10">
        <w:rPr>
          <w:rFonts w:cs="Times New Roman"/>
          <w:szCs w:val="24"/>
        </w:rPr>
        <w:t>ır</w:t>
      </w:r>
      <w:r w:rsidR="00E515D6" w:rsidRPr="00F50C10">
        <w:rPr>
          <w:rFonts w:cs="Times New Roman"/>
          <w:szCs w:val="24"/>
        </w:rPr>
        <w:t>.</w:t>
      </w:r>
    </w:p>
    <w:p w14:paraId="4625639D" w14:textId="77777777" w:rsidR="000F3B99" w:rsidRPr="00F50C10" w:rsidRDefault="000F3B99" w:rsidP="00A654AE">
      <w:pPr>
        <w:pStyle w:val="Balk2"/>
        <w:numPr>
          <w:ilvl w:val="1"/>
          <w:numId w:val="165"/>
        </w:numPr>
        <w:spacing w:before="0" w:after="120" w:line="276" w:lineRule="auto"/>
        <w:rPr>
          <w:rFonts w:cs="Times New Roman"/>
          <w:szCs w:val="24"/>
        </w:rPr>
      </w:pPr>
      <w:r w:rsidRPr="00F50C10">
        <w:rPr>
          <w:rFonts w:cs="Times New Roman"/>
          <w:szCs w:val="24"/>
        </w:rPr>
        <w:t>Sodyum Perborat</w:t>
      </w:r>
    </w:p>
    <w:p w14:paraId="236B4ECF" w14:textId="77777777" w:rsidR="000F3B99" w:rsidRPr="00F50C10" w:rsidRDefault="000F3B99" w:rsidP="00A654AE">
      <w:pPr>
        <w:pStyle w:val="Balk3"/>
        <w:numPr>
          <w:ilvl w:val="2"/>
          <w:numId w:val="165"/>
        </w:numPr>
        <w:spacing w:before="0" w:line="276" w:lineRule="auto"/>
        <w:rPr>
          <w:rFonts w:cs="Times New Roman"/>
        </w:rPr>
      </w:pPr>
      <w:r w:rsidRPr="00F50C10">
        <w:rPr>
          <w:rFonts w:cs="Times New Roman"/>
        </w:rPr>
        <w:t>Sodyum perborat tetrahidrat üretimi</w:t>
      </w:r>
    </w:p>
    <w:p w14:paraId="66BB2DB1" w14:textId="651EDC2E"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170: </w:t>
      </w:r>
      <w:r w:rsidRPr="00F50C10">
        <w:rPr>
          <w:rFonts w:cs="Times New Roman"/>
          <w:szCs w:val="24"/>
        </w:rPr>
        <w:t>Yüksek saflıkta, bor içeriği yüksek hammadde, tercihen üretilen bir ton sodyum perborat tetrahidrat (PBS4) başına 470 - 520 kg boraks pentahidrat (en az %46 B</w:t>
      </w:r>
      <w:r w:rsidRPr="00F50C10">
        <w:rPr>
          <w:rFonts w:cs="Times New Roman"/>
          <w:szCs w:val="24"/>
          <w:vertAlign w:val="subscript"/>
        </w:rPr>
        <w:t>2</w:t>
      </w:r>
      <w:r w:rsidRPr="00F50C10">
        <w:rPr>
          <w:rFonts w:cs="Times New Roman"/>
          <w:szCs w:val="24"/>
        </w:rPr>
        <w:t>O</w:t>
      </w:r>
      <w:r w:rsidRPr="00F50C10">
        <w:rPr>
          <w:rFonts w:cs="Times New Roman"/>
          <w:szCs w:val="24"/>
          <w:vertAlign w:val="subscript"/>
        </w:rPr>
        <w:t xml:space="preserve">3 </w:t>
      </w:r>
      <w:r w:rsidRPr="00F50C10">
        <w:rPr>
          <w:rFonts w:cs="Times New Roman"/>
          <w:szCs w:val="24"/>
        </w:rPr>
        <w:t>içeriğine sahip) kullan</w:t>
      </w:r>
      <w:r w:rsidR="00C81383" w:rsidRPr="00F50C10">
        <w:rPr>
          <w:rFonts w:cs="Times New Roman"/>
          <w:szCs w:val="24"/>
        </w:rPr>
        <w:t>ıl</w:t>
      </w:r>
      <w:r w:rsidRPr="00F50C10">
        <w:rPr>
          <w:rFonts w:cs="Times New Roman"/>
          <w:szCs w:val="24"/>
        </w:rPr>
        <w:t>arak toprağa boşaltılan katı atık miktarı azaltılır</w:t>
      </w:r>
      <w:r w:rsidR="00E515D6" w:rsidRPr="00F50C10">
        <w:rPr>
          <w:rFonts w:cs="Times New Roman"/>
          <w:szCs w:val="24"/>
        </w:rPr>
        <w:t>.</w:t>
      </w:r>
    </w:p>
    <w:p w14:paraId="35D4DEFB" w14:textId="44F4D90E"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171: </w:t>
      </w:r>
      <w:r w:rsidRPr="00F50C10">
        <w:rPr>
          <w:rFonts w:cs="Times New Roman"/>
          <w:szCs w:val="24"/>
        </w:rPr>
        <w:t>Prosesi 60 - 95 ºC işletme aralığının düşük değerlerinde gerçekleştirerek sodyum metaborat çözeltisi üretiminde enerji tasarrufu sağlanır</w:t>
      </w:r>
      <w:r w:rsidR="00E515D6" w:rsidRPr="00F50C10">
        <w:rPr>
          <w:rFonts w:cs="Times New Roman"/>
          <w:szCs w:val="24"/>
        </w:rPr>
        <w:t>.</w:t>
      </w:r>
    </w:p>
    <w:p w14:paraId="427B0A71" w14:textId="6B2AB314"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172: </w:t>
      </w:r>
      <w:r w:rsidRPr="00F50C10">
        <w:rPr>
          <w:rFonts w:cs="Times New Roman"/>
          <w:szCs w:val="24"/>
        </w:rPr>
        <w:t>Sodyum metaborat çözeltisi saflaştır</w:t>
      </w:r>
      <w:r w:rsidR="00C81383" w:rsidRPr="00F50C10">
        <w:rPr>
          <w:rFonts w:cs="Times New Roman"/>
          <w:szCs w:val="24"/>
        </w:rPr>
        <w:t>ıl</w:t>
      </w:r>
      <w:r w:rsidRPr="00F50C10">
        <w:rPr>
          <w:rFonts w:cs="Times New Roman"/>
          <w:szCs w:val="24"/>
        </w:rPr>
        <w:t xml:space="preserve">arak, </w:t>
      </w:r>
      <w:r w:rsidR="00C81383" w:rsidRPr="00F50C10">
        <w:rPr>
          <w:rFonts w:cs="Times New Roman"/>
          <w:szCs w:val="24"/>
        </w:rPr>
        <w:t>fazla</w:t>
      </w:r>
      <w:r w:rsidRPr="00F50C10">
        <w:rPr>
          <w:rFonts w:cs="Times New Roman"/>
          <w:szCs w:val="24"/>
        </w:rPr>
        <w:t xml:space="preserve"> ana çözelti miktarı</w:t>
      </w:r>
      <w:r w:rsidR="00C81383" w:rsidRPr="00F50C10">
        <w:rPr>
          <w:rFonts w:cs="Times New Roman"/>
          <w:szCs w:val="24"/>
        </w:rPr>
        <w:t xml:space="preserve"> </w:t>
      </w:r>
      <w:r w:rsidRPr="00F50C10">
        <w:rPr>
          <w:rFonts w:cs="Times New Roman"/>
          <w:szCs w:val="24"/>
        </w:rPr>
        <w:t>azalt</w:t>
      </w:r>
      <w:r w:rsidR="00C81383" w:rsidRPr="00F50C10">
        <w:rPr>
          <w:rFonts w:cs="Times New Roman"/>
          <w:szCs w:val="24"/>
        </w:rPr>
        <w:t>ıl</w:t>
      </w:r>
      <w:r w:rsidRPr="00F50C10">
        <w:rPr>
          <w:rFonts w:cs="Times New Roman"/>
          <w:szCs w:val="24"/>
        </w:rPr>
        <w:t>arak ve proseste su dengesi optimize ed</w:t>
      </w:r>
      <w:r w:rsidR="00C81383" w:rsidRPr="00F50C10">
        <w:rPr>
          <w:rFonts w:cs="Times New Roman"/>
          <w:szCs w:val="24"/>
        </w:rPr>
        <w:t>il</w:t>
      </w:r>
      <w:r w:rsidRPr="00F50C10">
        <w:rPr>
          <w:rFonts w:cs="Times New Roman"/>
          <w:szCs w:val="24"/>
        </w:rPr>
        <w:t>erek suya salınan bor bileşiği emisyonları, üretilen bir ton sodyum perborat tetrahidrat (PBS4) başına 0,35-5 kg B altında bir seviyeye düşürü</w:t>
      </w:r>
      <w:r w:rsidR="00C81383" w:rsidRPr="00F50C10">
        <w:rPr>
          <w:rFonts w:cs="Times New Roman"/>
          <w:szCs w:val="24"/>
        </w:rPr>
        <w:t>lü</w:t>
      </w:r>
      <w:r w:rsidRPr="00F50C10">
        <w:rPr>
          <w:rFonts w:cs="Times New Roman"/>
          <w:szCs w:val="24"/>
        </w:rPr>
        <w:t>r</w:t>
      </w:r>
      <w:r w:rsidR="00E515D6" w:rsidRPr="00F50C10">
        <w:rPr>
          <w:rFonts w:cs="Times New Roman"/>
          <w:szCs w:val="24"/>
        </w:rPr>
        <w:t>.</w:t>
      </w:r>
    </w:p>
    <w:p w14:paraId="054C60EE" w14:textId="32111869"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173: </w:t>
      </w:r>
      <w:r w:rsidRPr="00F50C10">
        <w:rPr>
          <w:rFonts w:cs="Times New Roman"/>
          <w:szCs w:val="24"/>
        </w:rPr>
        <w:t>Prosesin genel malzeme ve enerji verimini artırmak için soğutma sistemi veya vakumlu buharlaştırma sistemi kullan</w:t>
      </w:r>
      <w:r w:rsidR="00C81383" w:rsidRPr="00F50C10">
        <w:rPr>
          <w:rFonts w:cs="Times New Roman"/>
          <w:szCs w:val="24"/>
        </w:rPr>
        <w:t>ıl</w:t>
      </w:r>
      <w:r w:rsidRPr="00F50C10">
        <w:rPr>
          <w:rFonts w:cs="Times New Roman"/>
          <w:szCs w:val="24"/>
        </w:rPr>
        <w:t xml:space="preserve">arak sodyum perborat tetrahidratın (PBS4) kristalizasyonu sonucu oluşan ana çözelti hacmi veya konsantrasyonu </w:t>
      </w:r>
      <w:r w:rsidR="00C81383" w:rsidRPr="00F50C10">
        <w:rPr>
          <w:rFonts w:cs="Times New Roman"/>
          <w:szCs w:val="24"/>
        </w:rPr>
        <w:t>azaltılır</w:t>
      </w:r>
      <w:r w:rsidR="00E515D6" w:rsidRPr="00F50C10">
        <w:rPr>
          <w:rFonts w:cs="Times New Roman"/>
          <w:szCs w:val="24"/>
        </w:rPr>
        <w:t>.</w:t>
      </w:r>
    </w:p>
    <w:p w14:paraId="5E2F2FB3" w14:textId="27EF33C6"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174: </w:t>
      </w:r>
      <w:r w:rsidRPr="00F50C10">
        <w:rPr>
          <w:rFonts w:cs="Times New Roman"/>
          <w:szCs w:val="24"/>
        </w:rPr>
        <w:t xml:space="preserve">Sonraki PBS4 kurutma aşamasında enerji tasarrufu sağlamak için PBS4 kristallerinin özelliklerine uygun etkili bir santrifüj sistemi kullanarak </w:t>
      </w:r>
      <w:r w:rsidR="00C81383" w:rsidRPr="00F50C10">
        <w:rPr>
          <w:rFonts w:cs="Times New Roman"/>
          <w:szCs w:val="24"/>
        </w:rPr>
        <w:t>ıslak</w:t>
      </w:r>
      <w:r w:rsidRPr="00F50C10">
        <w:rPr>
          <w:rFonts w:cs="Times New Roman"/>
          <w:szCs w:val="24"/>
        </w:rPr>
        <w:t xml:space="preserve"> </w:t>
      </w:r>
      <w:r w:rsidR="00C81383" w:rsidRPr="00F50C10">
        <w:rPr>
          <w:rFonts w:cs="Times New Roman"/>
          <w:szCs w:val="24"/>
        </w:rPr>
        <w:t>çamurdaki</w:t>
      </w:r>
      <w:r w:rsidRPr="00F50C10">
        <w:rPr>
          <w:rFonts w:cs="Times New Roman"/>
          <w:szCs w:val="24"/>
        </w:rPr>
        <w:t xml:space="preserve"> artık nem %3-10</w:t>
      </w:r>
      <w:r w:rsidR="00C81383" w:rsidRPr="00F50C10">
        <w:rPr>
          <w:rFonts w:cs="Times New Roman"/>
          <w:szCs w:val="24"/>
        </w:rPr>
        <w:t xml:space="preserve"> seviyesine</w:t>
      </w:r>
      <w:r w:rsidRPr="00F50C10">
        <w:rPr>
          <w:rFonts w:cs="Times New Roman"/>
          <w:szCs w:val="24"/>
        </w:rPr>
        <w:t xml:space="preserve"> </w:t>
      </w:r>
      <w:r w:rsidR="00C81383" w:rsidRPr="00F50C10">
        <w:rPr>
          <w:rFonts w:cs="Times New Roman"/>
          <w:szCs w:val="24"/>
        </w:rPr>
        <w:t>düşürülür</w:t>
      </w:r>
      <w:r w:rsidR="00E515D6" w:rsidRPr="00F50C10">
        <w:rPr>
          <w:rFonts w:cs="Times New Roman"/>
          <w:szCs w:val="24"/>
        </w:rPr>
        <w:t>.</w:t>
      </w:r>
    </w:p>
    <w:p w14:paraId="5345CA6E" w14:textId="27C33909"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175: </w:t>
      </w:r>
      <w:r w:rsidRPr="00F50C10">
        <w:rPr>
          <w:rFonts w:cs="Times New Roman"/>
          <w:szCs w:val="24"/>
        </w:rPr>
        <w:t>Özellikle ıslak proses aşamasında ve PBS4 kurutma aşamasında proses parametreleri optimize ed</w:t>
      </w:r>
      <w:r w:rsidR="00C81383" w:rsidRPr="00F50C10">
        <w:rPr>
          <w:rFonts w:cs="Times New Roman"/>
          <w:szCs w:val="24"/>
        </w:rPr>
        <w:t>ile</w:t>
      </w:r>
      <w:r w:rsidRPr="00F50C10">
        <w:rPr>
          <w:rFonts w:cs="Times New Roman"/>
          <w:szCs w:val="24"/>
        </w:rPr>
        <w:t xml:space="preserve">rek proseste kullanılan toplam enerji üretilen bir ton sodyum perborat tetrahidrat (PBS4) başına 1,5-3,7 GJ aralığında </w:t>
      </w:r>
      <w:r w:rsidR="00C81383" w:rsidRPr="00F50C10">
        <w:rPr>
          <w:rFonts w:cs="Times New Roman"/>
          <w:szCs w:val="24"/>
        </w:rPr>
        <w:t>tutulur</w:t>
      </w:r>
      <w:r w:rsidR="00E515D6" w:rsidRPr="00F50C10">
        <w:rPr>
          <w:rFonts w:cs="Times New Roman"/>
          <w:szCs w:val="24"/>
        </w:rPr>
        <w:t>.</w:t>
      </w:r>
    </w:p>
    <w:p w14:paraId="3773C716" w14:textId="10AD9401"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176: </w:t>
      </w:r>
      <w:r w:rsidR="00C81383" w:rsidRPr="00F50C10">
        <w:rPr>
          <w:rFonts w:cs="Times New Roman"/>
          <w:szCs w:val="24"/>
        </w:rPr>
        <w:t>Bez</w:t>
      </w:r>
      <w:r w:rsidRPr="00F50C10">
        <w:rPr>
          <w:rFonts w:cs="Times New Roman"/>
          <w:szCs w:val="24"/>
        </w:rPr>
        <w:t xml:space="preserve"> filtreler veya ıslak yıkayıcılar kullan</w:t>
      </w:r>
      <w:r w:rsidR="00C81383" w:rsidRPr="00F50C10">
        <w:rPr>
          <w:rFonts w:cs="Times New Roman"/>
          <w:szCs w:val="24"/>
        </w:rPr>
        <w:t>ıl</w:t>
      </w:r>
      <w:r w:rsidRPr="00F50C10">
        <w:rPr>
          <w:rFonts w:cs="Times New Roman"/>
          <w:szCs w:val="24"/>
        </w:rPr>
        <w:t>arak sodyum perborat tetrahidratın (PBS4) kurutulması ve soğutulması sonucu havaya salınan toz emisyonları çıkış havasında 5-20 mg/Nm</w:t>
      </w:r>
      <w:r w:rsidRPr="00F50C10">
        <w:rPr>
          <w:rFonts w:cs="Times New Roman"/>
          <w:szCs w:val="24"/>
          <w:vertAlign w:val="superscript"/>
        </w:rPr>
        <w:t>3</w:t>
      </w:r>
      <w:r w:rsidR="00C81383" w:rsidRPr="00F50C10">
        <w:rPr>
          <w:rFonts w:cs="Times New Roman"/>
          <w:szCs w:val="24"/>
        </w:rPr>
        <w:t xml:space="preserve"> seviyesine </w:t>
      </w:r>
      <w:r w:rsidRPr="00F50C10">
        <w:rPr>
          <w:rFonts w:cs="Times New Roman"/>
          <w:szCs w:val="24"/>
        </w:rPr>
        <w:t>düşürü</w:t>
      </w:r>
      <w:r w:rsidR="00C81383" w:rsidRPr="00F50C10">
        <w:rPr>
          <w:rFonts w:cs="Times New Roman"/>
          <w:szCs w:val="24"/>
        </w:rPr>
        <w:t>lür.</w:t>
      </w:r>
      <w:r w:rsidRPr="00F50C10">
        <w:rPr>
          <w:rFonts w:cs="Times New Roman"/>
          <w:szCs w:val="24"/>
        </w:rPr>
        <w:t xml:space="preserve"> Islak yıkayıcılar</w:t>
      </w:r>
      <w:r w:rsidR="00BE5569" w:rsidRPr="00F50C10">
        <w:rPr>
          <w:rFonts w:cs="Times New Roman"/>
          <w:szCs w:val="24"/>
        </w:rPr>
        <w:t xml:space="preserve"> </w:t>
      </w:r>
      <w:r w:rsidRPr="00F50C10">
        <w:rPr>
          <w:rFonts w:cs="Times New Roman"/>
          <w:szCs w:val="24"/>
        </w:rPr>
        <w:t xml:space="preserve">aralığın </w:t>
      </w:r>
      <w:r w:rsidR="00BE5569" w:rsidRPr="00F50C10">
        <w:rPr>
          <w:rFonts w:cs="Times New Roman"/>
          <w:szCs w:val="24"/>
        </w:rPr>
        <w:t>yüksek</w:t>
      </w:r>
      <w:r w:rsidRPr="00F50C10">
        <w:rPr>
          <w:rFonts w:cs="Times New Roman"/>
          <w:szCs w:val="24"/>
        </w:rPr>
        <w:t xml:space="preserve"> değerlerinde </w:t>
      </w:r>
      <w:r w:rsidR="00BE5569" w:rsidRPr="00F50C10">
        <w:rPr>
          <w:rFonts w:cs="Times New Roman"/>
          <w:szCs w:val="24"/>
        </w:rPr>
        <w:t>faaliyet gösterir</w:t>
      </w:r>
      <w:r w:rsidR="00E515D6" w:rsidRPr="00F50C10">
        <w:rPr>
          <w:rFonts w:cs="Times New Roman"/>
          <w:szCs w:val="24"/>
        </w:rPr>
        <w:t>.</w:t>
      </w:r>
    </w:p>
    <w:p w14:paraId="6FA96AC2" w14:textId="77777777" w:rsidR="000F3B99" w:rsidRPr="00F50C10" w:rsidRDefault="000F3B99" w:rsidP="00A654AE">
      <w:pPr>
        <w:pStyle w:val="Balk3"/>
        <w:numPr>
          <w:ilvl w:val="2"/>
          <w:numId w:val="165"/>
        </w:numPr>
        <w:spacing w:line="276" w:lineRule="auto"/>
        <w:rPr>
          <w:rFonts w:cs="Times New Roman"/>
        </w:rPr>
      </w:pPr>
      <w:r w:rsidRPr="00F50C10">
        <w:rPr>
          <w:rFonts w:cs="Times New Roman"/>
        </w:rPr>
        <w:t>Sodyum perborat monohidrat üretimi</w:t>
      </w:r>
    </w:p>
    <w:p w14:paraId="51719787" w14:textId="7E16FA74"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177: </w:t>
      </w:r>
      <w:r w:rsidRPr="00F50C10">
        <w:rPr>
          <w:rFonts w:cs="Times New Roman"/>
          <w:szCs w:val="24"/>
        </w:rPr>
        <w:t>Özellikle sodyum perborat monohidrat (PBS1) akışkan yataklı kurutma aşamasında proses parametreleri optimize ed</w:t>
      </w:r>
      <w:r w:rsidR="00BE5569" w:rsidRPr="00F50C10">
        <w:rPr>
          <w:rFonts w:cs="Times New Roman"/>
          <w:szCs w:val="24"/>
        </w:rPr>
        <w:t>iler</w:t>
      </w:r>
      <w:r w:rsidRPr="00F50C10">
        <w:rPr>
          <w:rFonts w:cs="Times New Roman"/>
          <w:szCs w:val="24"/>
        </w:rPr>
        <w:t xml:space="preserve">ek prosesteki toplam enerji kullanımı üretilen bir ton sodyum perborat monohidrat (PBS1) (bor cevherinden başlandığında) için 4,0-9,4 GJ/t PBS4 eşdeğeri aralığında, üretilen bir ton PBS1 (PBS4'ten başlandığında) için 2,5-5,7 GJ/t PBS1 eşdeğeri aralığında </w:t>
      </w:r>
      <w:r w:rsidR="00BE5569" w:rsidRPr="00F50C10">
        <w:rPr>
          <w:rFonts w:cs="Times New Roman"/>
          <w:szCs w:val="24"/>
        </w:rPr>
        <w:t>tutulur</w:t>
      </w:r>
      <w:r w:rsidR="00E515D6" w:rsidRPr="00F50C10">
        <w:rPr>
          <w:rFonts w:cs="Times New Roman"/>
          <w:szCs w:val="24"/>
        </w:rPr>
        <w:t>.</w:t>
      </w:r>
    </w:p>
    <w:p w14:paraId="0DCEE40C" w14:textId="1B8F96AE"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178: </w:t>
      </w:r>
      <w:r w:rsidR="00BE5569" w:rsidRPr="00F50C10">
        <w:rPr>
          <w:rFonts w:cs="Times New Roman"/>
          <w:szCs w:val="24"/>
        </w:rPr>
        <w:t>Bez</w:t>
      </w:r>
      <w:r w:rsidRPr="00F50C10">
        <w:rPr>
          <w:rFonts w:cs="Times New Roman"/>
          <w:szCs w:val="24"/>
        </w:rPr>
        <w:t xml:space="preserve"> filtreler veya ıslak yıkayıcılar kullanarak sodyum perborat monohidratın (PBS1) kurutulması ve soğutulması sonucu havaya salınan toz emisyonları çıkış havasında 5-20 mg/Nm</w:t>
      </w:r>
      <w:r w:rsidRPr="00F50C10">
        <w:rPr>
          <w:rFonts w:cs="Times New Roman"/>
          <w:szCs w:val="24"/>
          <w:vertAlign w:val="superscript"/>
        </w:rPr>
        <w:t>3</w:t>
      </w:r>
      <w:r w:rsidR="00BE5569" w:rsidRPr="00F50C10">
        <w:rPr>
          <w:rFonts w:cs="Times New Roman"/>
          <w:szCs w:val="24"/>
        </w:rPr>
        <w:t xml:space="preserve"> seviyesine </w:t>
      </w:r>
      <w:r w:rsidRPr="00F50C10">
        <w:rPr>
          <w:rFonts w:cs="Times New Roman"/>
          <w:szCs w:val="24"/>
        </w:rPr>
        <w:t>düşürül</w:t>
      </w:r>
      <w:r w:rsidR="00BE5569" w:rsidRPr="00F50C10">
        <w:rPr>
          <w:rFonts w:cs="Times New Roman"/>
          <w:szCs w:val="24"/>
        </w:rPr>
        <w:t>ü</w:t>
      </w:r>
      <w:r w:rsidRPr="00F50C10">
        <w:rPr>
          <w:rFonts w:cs="Times New Roman"/>
          <w:szCs w:val="24"/>
        </w:rPr>
        <w:t xml:space="preserve">r. </w:t>
      </w:r>
      <w:r w:rsidR="00BE5569" w:rsidRPr="00F50C10">
        <w:rPr>
          <w:rFonts w:cs="Times New Roman"/>
          <w:szCs w:val="24"/>
        </w:rPr>
        <w:t>Islak yıkayıcılar aralığın yüksek değerlerinde faaliyet gösterir.</w:t>
      </w:r>
    </w:p>
    <w:p w14:paraId="550F5735" w14:textId="77777777" w:rsidR="000F3B99" w:rsidRPr="00F50C10" w:rsidRDefault="000F3B99" w:rsidP="00A654AE">
      <w:pPr>
        <w:pStyle w:val="Balk2"/>
        <w:numPr>
          <w:ilvl w:val="1"/>
          <w:numId w:val="165"/>
        </w:numPr>
        <w:spacing w:before="240" w:line="276" w:lineRule="auto"/>
        <w:rPr>
          <w:rFonts w:cs="Times New Roman"/>
          <w:szCs w:val="24"/>
        </w:rPr>
      </w:pPr>
      <w:r w:rsidRPr="00F50C10">
        <w:rPr>
          <w:rFonts w:cs="Times New Roman"/>
          <w:szCs w:val="24"/>
        </w:rPr>
        <w:t>Sodyum Perkarbonat</w:t>
      </w:r>
    </w:p>
    <w:p w14:paraId="48916498" w14:textId="77777777" w:rsidR="000F3B99" w:rsidRPr="00F50C10" w:rsidRDefault="000F3B99" w:rsidP="00A654AE">
      <w:pPr>
        <w:pStyle w:val="Balk3"/>
        <w:numPr>
          <w:ilvl w:val="2"/>
          <w:numId w:val="165"/>
        </w:numPr>
        <w:spacing w:line="276" w:lineRule="auto"/>
        <w:rPr>
          <w:rFonts w:cs="Times New Roman"/>
        </w:rPr>
      </w:pPr>
      <w:r w:rsidRPr="00F50C10">
        <w:rPr>
          <w:rFonts w:cs="Times New Roman"/>
        </w:rPr>
        <w:t>Kristalizasyon yöntemiyle sodyum perkarbonat üretimi</w:t>
      </w:r>
    </w:p>
    <w:p w14:paraId="0CCCFAFB" w14:textId="3CBF590A" w:rsidR="000F3B99" w:rsidRPr="00F50C10" w:rsidRDefault="000F3B99" w:rsidP="000B206D">
      <w:pPr>
        <w:spacing w:before="240" w:line="276" w:lineRule="auto"/>
        <w:rPr>
          <w:rFonts w:cs="Times New Roman"/>
          <w:szCs w:val="24"/>
        </w:rPr>
      </w:pPr>
      <w:r w:rsidRPr="00F50C10">
        <w:rPr>
          <w:rFonts w:cs="Times New Roman"/>
          <w:b/>
          <w:bCs/>
          <w:szCs w:val="24"/>
        </w:rPr>
        <w:t xml:space="preserve">MET 179: </w:t>
      </w:r>
      <w:r w:rsidRPr="00F50C10">
        <w:rPr>
          <w:rFonts w:cs="Times New Roman"/>
          <w:szCs w:val="24"/>
        </w:rPr>
        <w:t>Hem geri kazanılan ana çözelti miktarını hem de prosesteki fazla ana çözelti miktarını ve suya boşaltılan miktarları azaltmak için olabildiğince derişik (%40-70) hidrojen peroksit çözeltisi kullan</w:t>
      </w:r>
      <w:r w:rsidR="00BE5569" w:rsidRPr="00F50C10">
        <w:rPr>
          <w:rFonts w:cs="Times New Roman"/>
          <w:szCs w:val="24"/>
        </w:rPr>
        <w:t>ıl</w:t>
      </w:r>
      <w:r w:rsidRPr="00F50C10">
        <w:rPr>
          <w:rFonts w:cs="Times New Roman"/>
          <w:szCs w:val="24"/>
        </w:rPr>
        <w:t>arak ve az miktarda yıkama suyu ekle</w:t>
      </w:r>
      <w:r w:rsidR="00BE5569" w:rsidRPr="00F50C10">
        <w:rPr>
          <w:rFonts w:cs="Times New Roman"/>
          <w:szCs w:val="24"/>
        </w:rPr>
        <w:t>n</w:t>
      </w:r>
      <w:r w:rsidRPr="00F50C10">
        <w:rPr>
          <w:rFonts w:cs="Times New Roman"/>
          <w:szCs w:val="24"/>
        </w:rPr>
        <w:t>erek sodyum karbonat çözeltisi</w:t>
      </w:r>
      <w:r w:rsidR="00BE5569" w:rsidRPr="00F50C10">
        <w:rPr>
          <w:rFonts w:cs="Times New Roman"/>
          <w:szCs w:val="24"/>
        </w:rPr>
        <w:t xml:space="preserve"> </w:t>
      </w:r>
      <w:r w:rsidRPr="00F50C10">
        <w:rPr>
          <w:rFonts w:cs="Times New Roman"/>
          <w:szCs w:val="24"/>
        </w:rPr>
        <w:t>saflaştırı</w:t>
      </w:r>
      <w:r w:rsidR="00BE5569" w:rsidRPr="00F50C10">
        <w:rPr>
          <w:rFonts w:cs="Times New Roman"/>
          <w:szCs w:val="24"/>
        </w:rPr>
        <w:t>lı</w:t>
      </w:r>
      <w:r w:rsidRPr="00F50C10">
        <w:rPr>
          <w:rFonts w:cs="Times New Roman"/>
          <w:szCs w:val="24"/>
        </w:rPr>
        <w:t>p, suya salınan sodyum tuzları emisyonu bir ton sodyum perkarbonat ürünü başına 10-80 kg altına düşürül</w:t>
      </w:r>
      <w:r w:rsidR="00BE5569" w:rsidRPr="00F50C10">
        <w:rPr>
          <w:rFonts w:cs="Times New Roman"/>
          <w:szCs w:val="24"/>
        </w:rPr>
        <w:t>ür</w:t>
      </w:r>
      <w:r w:rsidR="00E515D6" w:rsidRPr="00F50C10">
        <w:rPr>
          <w:rFonts w:cs="Times New Roman"/>
          <w:szCs w:val="24"/>
        </w:rPr>
        <w:t>.</w:t>
      </w:r>
    </w:p>
    <w:p w14:paraId="2EC527E8" w14:textId="34604D9E"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180: </w:t>
      </w:r>
      <w:r w:rsidRPr="00F50C10">
        <w:rPr>
          <w:rFonts w:cs="Times New Roman"/>
          <w:szCs w:val="24"/>
        </w:rPr>
        <w:t xml:space="preserve">Proseste </w:t>
      </w:r>
      <w:r w:rsidR="00BE5569" w:rsidRPr="00F50C10">
        <w:rPr>
          <w:rFonts w:cs="Times New Roman"/>
          <w:szCs w:val="24"/>
        </w:rPr>
        <w:t>geri kazanılan ana çözelti miktarını artırarak,</w:t>
      </w:r>
      <w:r w:rsidRPr="00F50C10">
        <w:rPr>
          <w:rFonts w:cs="Times New Roman"/>
          <w:szCs w:val="24"/>
        </w:rPr>
        <w:t xml:space="preserve"> fazla ana çözelti miktarını azaltarak ve soğutma, santrifüj (%5-15 nem içeriğine kadar) ve akışkan yatakta kurutmayla kristalizasyon işlemlerini optimize ederek, bir ton sodyum perkarbonat nihai ürünü başına 2-12,6 GJ arasında olan enerji tüketimi en aza indirilir</w:t>
      </w:r>
      <w:r w:rsidR="00E515D6" w:rsidRPr="00F50C10">
        <w:rPr>
          <w:rFonts w:cs="Times New Roman"/>
          <w:szCs w:val="24"/>
        </w:rPr>
        <w:t>.</w:t>
      </w:r>
    </w:p>
    <w:p w14:paraId="5C98B603" w14:textId="0935B560" w:rsidR="000F3B99" w:rsidRPr="00F50C10" w:rsidRDefault="000F3B99" w:rsidP="000B206D">
      <w:pPr>
        <w:spacing w:before="240" w:line="276" w:lineRule="auto"/>
        <w:rPr>
          <w:rFonts w:cs="Times New Roman"/>
          <w:szCs w:val="24"/>
        </w:rPr>
      </w:pPr>
      <w:r w:rsidRPr="00F50C10">
        <w:rPr>
          <w:rFonts w:cs="Times New Roman"/>
          <w:b/>
          <w:bCs/>
          <w:szCs w:val="24"/>
        </w:rPr>
        <w:t xml:space="preserve">MET 181: </w:t>
      </w:r>
      <w:r w:rsidR="00BE5569" w:rsidRPr="00F50C10">
        <w:rPr>
          <w:rFonts w:cs="Times New Roman"/>
          <w:szCs w:val="24"/>
        </w:rPr>
        <w:t>Bez</w:t>
      </w:r>
      <w:r w:rsidRPr="00F50C10">
        <w:rPr>
          <w:rFonts w:cs="Times New Roman"/>
          <w:szCs w:val="24"/>
        </w:rPr>
        <w:t xml:space="preserve"> filtreler veya ıslak yıkayıcılar kullan</w:t>
      </w:r>
      <w:r w:rsidR="00BE5569" w:rsidRPr="00F50C10">
        <w:rPr>
          <w:rFonts w:cs="Times New Roman"/>
          <w:szCs w:val="24"/>
        </w:rPr>
        <w:t>ıl</w:t>
      </w:r>
      <w:r w:rsidRPr="00F50C10">
        <w:rPr>
          <w:rFonts w:cs="Times New Roman"/>
          <w:szCs w:val="24"/>
        </w:rPr>
        <w:t>arak havaya salınan toz emisyonları çıkış havasında 5-20 mg/Nm</w:t>
      </w:r>
      <w:r w:rsidRPr="00F50C10">
        <w:rPr>
          <w:rFonts w:cs="Times New Roman"/>
          <w:szCs w:val="24"/>
          <w:vertAlign w:val="superscript"/>
        </w:rPr>
        <w:t>3</w:t>
      </w:r>
      <w:r w:rsidR="00BE5569" w:rsidRPr="00F50C10">
        <w:rPr>
          <w:rFonts w:cs="Times New Roman"/>
          <w:szCs w:val="24"/>
        </w:rPr>
        <w:t xml:space="preserve"> seviyesine</w:t>
      </w:r>
      <w:r w:rsidRPr="00F50C10">
        <w:rPr>
          <w:rFonts w:cs="Times New Roman"/>
          <w:szCs w:val="24"/>
        </w:rPr>
        <w:t xml:space="preserve"> düşürül</w:t>
      </w:r>
      <w:r w:rsidR="00BE5569" w:rsidRPr="00F50C10">
        <w:rPr>
          <w:rFonts w:cs="Times New Roman"/>
          <w:szCs w:val="24"/>
        </w:rPr>
        <w:t>ü</w:t>
      </w:r>
      <w:r w:rsidRPr="00F50C10">
        <w:rPr>
          <w:rFonts w:cs="Times New Roman"/>
          <w:szCs w:val="24"/>
        </w:rPr>
        <w:t xml:space="preserve">r. </w:t>
      </w:r>
      <w:r w:rsidR="00BE5569" w:rsidRPr="00F50C10">
        <w:rPr>
          <w:rFonts w:cs="Times New Roman"/>
          <w:szCs w:val="24"/>
        </w:rPr>
        <w:t>Islak yıkayıcılar aralığın yüksek değerlerinde faaliyet gösterir.</w:t>
      </w:r>
    </w:p>
    <w:p w14:paraId="698B7CE9" w14:textId="77777777" w:rsidR="000F3B99" w:rsidRPr="00F50C10" w:rsidRDefault="000F3B99" w:rsidP="00A654AE">
      <w:pPr>
        <w:pStyle w:val="Balk3"/>
        <w:numPr>
          <w:ilvl w:val="2"/>
          <w:numId w:val="165"/>
        </w:numPr>
        <w:spacing w:line="276" w:lineRule="auto"/>
        <w:rPr>
          <w:rFonts w:cs="Times New Roman"/>
        </w:rPr>
      </w:pPr>
      <w:r w:rsidRPr="00F50C10">
        <w:rPr>
          <w:rFonts w:cs="Times New Roman"/>
        </w:rPr>
        <w:t>Püskürtme-granülasyon yöntemiyle sodyum perkarbonat üretimi</w:t>
      </w:r>
    </w:p>
    <w:p w14:paraId="2743DF19" w14:textId="098865B2"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182: </w:t>
      </w:r>
      <w:r w:rsidRPr="00F50C10">
        <w:rPr>
          <w:rFonts w:cs="Times New Roman"/>
          <w:szCs w:val="24"/>
        </w:rPr>
        <w:t>Proses parametreleri</w:t>
      </w:r>
      <w:r w:rsidR="00BE5569" w:rsidRPr="00F50C10">
        <w:rPr>
          <w:rFonts w:cs="Times New Roman"/>
          <w:szCs w:val="24"/>
        </w:rPr>
        <w:t xml:space="preserve"> </w:t>
      </w:r>
      <w:r w:rsidRPr="00F50C10">
        <w:rPr>
          <w:rFonts w:cs="Times New Roman"/>
          <w:szCs w:val="24"/>
        </w:rPr>
        <w:t>optimize ed</w:t>
      </w:r>
      <w:r w:rsidR="00BE5569" w:rsidRPr="00F50C10">
        <w:rPr>
          <w:rFonts w:cs="Times New Roman"/>
          <w:szCs w:val="24"/>
        </w:rPr>
        <w:t>ile</w:t>
      </w:r>
      <w:r w:rsidRPr="00F50C10">
        <w:rPr>
          <w:rFonts w:cs="Times New Roman"/>
          <w:szCs w:val="24"/>
        </w:rPr>
        <w:t xml:space="preserve">rek bir ton sodyum perkarbonat nihai ürünü başına 2-12,6 GJ aralığında olan </w:t>
      </w:r>
      <w:r w:rsidR="00BE5569" w:rsidRPr="00F50C10">
        <w:rPr>
          <w:rFonts w:cs="Times New Roman"/>
          <w:szCs w:val="24"/>
        </w:rPr>
        <w:t xml:space="preserve">prosesteki </w:t>
      </w:r>
      <w:r w:rsidRPr="00F50C10">
        <w:rPr>
          <w:rFonts w:cs="Times New Roman"/>
          <w:szCs w:val="24"/>
        </w:rPr>
        <w:t>enerji tüketimi en aza indirilir. Özellikle akışkan yataklı püskürtme-granülasyon adımında aralığın üst değerlerine ulaşmak daha muhtemeldir</w:t>
      </w:r>
      <w:r w:rsidR="00E515D6" w:rsidRPr="00F50C10">
        <w:rPr>
          <w:rFonts w:cs="Times New Roman"/>
          <w:szCs w:val="24"/>
        </w:rPr>
        <w:t>.</w:t>
      </w:r>
    </w:p>
    <w:p w14:paraId="71D27D7F" w14:textId="2D4101B2" w:rsidR="000F3B99" w:rsidRPr="00F50C10" w:rsidRDefault="000F3B99" w:rsidP="000B206D">
      <w:pPr>
        <w:spacing w:before="240" w:line="276" w:lineRule="auto"/>
        <w:rPr>
          <w:rFonts w:cs="Times New Roman"/>
          <w:szCs w:val="24"/>
        </w:rPr>
      </w:pPr>
      <w:r w:rsidRPr="00F50C10">
        <w:rPr>
          <w:rFonts w:cs="Times New Roman"/>
          <w:b/>
          <w:bCs/>
          <w:szCs w:val="24"/>
        </w:rPr>
        <w:t xml:space="preserve">MET 183: </w:t>
      </w:r>
      <w:r w:rsidR="00BE5569" w:rsidRPr="00F50C10">
        <w:rPr>
          <w:rFonts w:cs="Times New Roman"/>
          <w:b/>
          <w:bCs/>
          <w:szCs w:val="24"/>
        </w:rPr>
        <w:t>Bez</w:t>
      </w:r>
      <w:r w:rsidRPr="00F50C10">
        <w:rPr>
          <w:rFonts w:cs="Times New Roman"/>
          <w:b/>
          <w:bCs/>
          <w:szCs w:val="24"/>
        </w:rPr>
        <w:t xml:space="preserve"> filtreler veya ıslak yıkayıcılar kullan</w:t>
      </w:r>
      <w:r w:rsidR="00BE5569" w:rsidRPr="00F50C10">
        <w:rPr>
          <w:rFonts w:cs="Times New Roman"/>
          <w:b/>
          <w:bCs/>
          <w:szCs w:val="24"/>
        </w:rPr>
        <w:t>ıl</w:t>
      </w:r>
      <w:r w:rsidRPr="00F50C10">
        <w:rPr>
          <w:rFonts w:cs="Times New Roman"/>
          <w:b/>
          <w:bCs/>
          <w:szCs w:val="24"/>
        </w:rPr>
        <w:t>arak havaya salınan toz emisyonları çıkış havasında 5-20 mg/Nm</w:t>
      </w:r>
      <w:r w:rsidRPr="00F50C10">
        <w:rPr>
          <w:rFonts w:cs="Times New Roman"/>
          <w:b/>
          <w:bCs/>
          <w:szCs w:val="24"/>
          <w:vertAlign w:val="superscript"/>
        </w:rPr>
        <w:t>3</w:t>
      </w:r>
      <w:r w:rsidR="00BE5569" w:rsidRPr="00F50C10">
        <w:rPr>
          <w:rFonts w:cs="Times New Roman"/>
          <w:b/>
          <w:bCs/>
          <w:szCs w:val="24"/>
        </w:rPr>
        <w:t xml:space="preserve"> seviyesine</w:t>
      </w:r>
      <w:r w:rsidRPr="00F50C10">
        <w:rPr>
          <w:rFonts w:cs="Times New Roman"/>
          <w:b/>
          <w:bCs/>
          <w:szCs w:val="24"/>
        </w:rPr>
        <w:t xml:space="preserve"> düşürül</w:t>
      </w:r>
      <w:r w:rsidR="00BE5569" w:rsidRPr="00F50C10">
        <w:rPr>
          <w:rFonts w:cs="Times New Roman"/>
          <w:b/>
          <w:bCs/>
          <w:szCs w:val="24"/>
        </w:rPr>
        <w:t>ü</w:t>
      </w:r>
      <w:r w:rsidRPr="00F50C10">
        <w:rPr>
          <w:rFonts w:cs="Times New Roman"/>
          <w:b/>
          <w:bCs/>
          <w:szCs w:val="24"/>
        </w:rPr>
        <w:t xml:space="preserve">r. </w:t>
      </w:r>
      <w:r w:rsidR="00BE5569" w:rsidRPr="00F50C10">
        <w:rPr>
          <w:rFonts w:cs="Times New Roman"/>
          <w:szCs w:val="24"/>
        </w:rPr>
        <w:t>Islak yıkayıcılar aralığın yüksek değerlerinde faaliyet gösterir.</w:t>
      </w:r>
      <w:r w:rsidRPr="00F50C10">
        <w:rPr>
          <w:rFonts w:cs="Times New Roman"/>
          <w:b/>
          <w:bCs/>
          <w:szCs w:val="24"/>
        </w:rPr>
        <w:t xml:space="preserve"> </w:t>
      </w:r>
    </w:p>
    <w:p w14:paraId="332572EA" w14:textId="77777777" w:rsidR="000F3B99" w:rsidRPr="00F50C10" w:rsidRDefault="000F3B99" w:rsidP="00A654AE">
      <w:pPr>
        <w:pStyle w:val="Balk2"/>
        <w:numPr>
          <w:ilvl w:val="1"/>
          <w:numId w:val="165"/>
        </w:numPr>
        <w:spacing w:before="240" w:line="276" w:lineRule="auto"/>
        <w:rPr>
          <w:rFonts w:cs="Times New Roman"/>
          <w:szCs w:val="24"/>
        </w:rPr>
      </w:pPr>
      <w:r w:rsidRPr="00F50C10">
        <w:rPr>
          <w:rFonts w:cs="Times New Roman"/>
          <w:szCs w:val="24"/>
        </w:rPr>
        <w:t>Sodyum Sülfit ve İlgili Ürünler</w:t>
      </w:r>
    </w:p>
    <w:p w14:paraId="3EB64590" w14:textId="77777777" w:rsidR="000F3B99" w:rsidRPr="00F50C10" w:rsidRDefault="000F3B99" w:rsidP="00A654AE">
      <w:pPr>
        <w:pStyle w:val="Balk3"/>
        <w:numPr>
          <w:ilvl w:val="2"/>
          <w:numId w:val="165"/>
        </w:numPr>
        <w:spacing w:line="276" w:lineRule="auto"/>
        <w:rPr>
          <w:rFonts w:cs="Times New Roman"/>
        </w:rPr>
      </w:pPr>
      <w:r w:rsidRPr="00F50C10">
        <w:rPr>
          <w:rFonts w:cs="Times New Roman"/>
        </w:rPr>
        <w:t>Sahada SO</w:t>
      </w:r>
      <w:r w:rsidRPr="00F50C10">
        <w:rPr>
          <w:rFonts w:cs="Times New Roman"/>
          <w:vertAlign w:val="subscript"/>
        </w:rPr>
        <w:t>2</w:t>
      </w:r>
      <w:r w:rsidRPr="00F50C10">
        <w:rPr>
          <w:rFonts w:cs="Times New Roman"/>
        </w:rPr>
        <w:t xml:space="preserve"> üreterek sodyum sülfit üretimi</w:t>
      </w:r>
    </w:p>
    <w:p w14:paraId="719774E2" w14:textId="4673AA2A"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184: </w:t>
      </w:r>
      <w:r w:rsidRPr="00F50C10">
        <w:rPr>
          <w:rFonts w:cs="Times New Roman"/>
          <w:szCs w:val="24"/>
        </w:rPr>
        <w:t>Kükürt yakılarak gaz halde kükürt dioksit üretilmesi sırasında üretilen bir ton SO</w:t>
      </w:r>
      <w:r w:rsidRPr="00F50C10">
        <w:rPr>
          <w:rFonts w:cs="Times New Roman"/>
          <w:szCs w:val="24"/>
          <w:vertAlign w:val="subscript"/>
        </w:rPr>
        <w:t>2</w:t>
      </w:r>
      <w:r w:rsidRPr="00F50C10">
        <w:rPr>
          <w:rFonts w:cs="Times New Roman"/>
          <w:szCs w:val="24"/>
        </w:rPr>
        <w:t xml:space="preserve"> başına en az 1-1,2 ton orta basınçlı buhar elde ed</w:t>
      </w:r>
      <w:r w:rsidR="00BE5569" w:rsidRPr="00F50C10">
        <w:rPr>
          <w:rFonts w:cs="Times New Roman"/>
          <w:szCs w:val="24"/>
        </w:rPr>
        <w:t>il</w:t>
      </w:r>
      <w:r w:rsidRPr="00F50C10">
        <w:rPr>
          <w:rFonts w:cs="Times New Roman"/>
          <w:szCs w:val="24"/>
        </w:rPr>
        <w:t>ecek şekilde, fazla ısı geri kazanıl</w:t>
      </w:r>
      <w:r w:rsidR="00BE5569" w:rsidRPr="00F50C10">
        <w:rPr>
          <w:rFonts w:cs="Times New Roman"/>
          <w:szCs w:val="24"/>
        </w:rPr>
        <w:t>ı</w:t>
      </w:r>
      <w:r w:rsidRPr="00F50C10">
        <w:rPr>
          <w:rFonts w:cs="Times New Roman"/>
          <w:szCs w:val="24"/>
        </w:rPr>
        <w:t>r</w:t>
      </w:r>
      <w:r w:rsidR="00E515D6" w:rsidRPr="00F50C10">
        <w:rPr>
          <w:rFonts w:cs="Times New Roman"/>
          <w:szCs w:val="24"/>
        </w:rPr>
        <w:t>.</w:t>
      </w:r>
    </w:p>
    <w:p w14:paraId="5A6BFE8E" w14:textId="24DABB15"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185: </w:t>
      </w:r>
      <w:r w:rsidRPr="00F50C10">
        <w:rPr>
          <w:rFonts w:cs="Times New Roman"/>
          <w:szCs w:val="24"/>
        </w:rPr>
        <w:t>Alkali yıkama yöntemi kullan</w:t>
      </w:r>
      <w:r w:rsidR="00C81383" w:rsidRPr="00F50C10">
        <w:rPr>
          <w:rFonts w:cs="Times New Roman"/>
          <w:szCs w:val="24"/>
        </w:rPr>
        <w:t>ıl</w:t>
      </w:r>
      <w:r w:rsidRPr="00F50C10">
        <w:rPr>
          <w:rFonts w:cs="Times New Roman"/>
          <w:szCs w:val="24"/>
        </w:rPr>
        <w:t>arak sıvı kükürdün depolanması nedeniyle havaya salınan hidrojen sülfür emisyonları 1 mg H</w:t>
      </w:r>
      <w:r w:rsidRPr="00F50C10">
        <w:rPr>
          <w:rFonts w:cs="Times New Roman"/>
          <w:szCs w:val="24"/>
          <w:vertAlign w:val="subscript"/>
        </w:rPr>
        <w:t>2</w:t>
      </w:r>
      <w:r w:rsidRPr="00F50C10">
        <w:rPr>
          <w:rFonts w:cs="Times New Roman"/>
          <w:szCs w:val="24"/>
        </w:rPr>
        <w:t>S/Nm</w:t>
      </w:r>
      <w:r w:rsidRPr="00F50C10">
        <w:rPr>
          <w:rFonts w:cs="Times New Roman"/>
          <w:szCs w:val="24"/>
          <w:vertAlign w:val="superscript"/>
        </w:rPr>
        <w:t>3</w:t>
      </w:r>
      <w:r w:rsidR="00C81383" w:rsidRPr="00F50C10">
        <w:rPr>
          <w:rFonts w:cs="Times New Roman"/>
          <w:szCs w:val="24"/>
        </w:rPr>
        <w:t xml:space="preserve"> seviyesine düşürülür.</w:t>
      </w:r>
    </w:p>
    <w:p w14:paraId="7C11828C" w14:textId="7488024E" w:rsidR="000F3B99" w:rsidRPr="00F50C10" w:rsidRDefault="000F3B99" w:rsidP="000B206D">
      <w:pPr>
        <w:spacing w:before="240" w:line="276" w:lineRule="auto"/>
        <w:rPr>
          <w:rFonts w:cs="Times New Roman"/>
          <w:szCs w:val="24"/>
        </w:rPr>
      </w:pPr>
      <w:r w:rsidRPr="00F50C10">
        <w:rPr>
          <w:rFonts w:cs="Times New Roman"/>
          <w:b/>
          <w:bCs/>
          <w:szCs w:val="24"/>
        </w:rPr>
        <w:t xml:space="preserve">MET 186: </w:t>
      </w:r>
      <w:r w:rsidRPr="00F50C10">
        <w:rPr>
          <w:rFonts w:cs="Times New Roman"/>
          <w:szCs w:val="24"/>
        </w:rPr>
        <w:t>Sodyum sülfit ve ilgili ürünleri yüksek verim ve düşük emisyonla üretmek için:</w:t>
      </w:r>
    </w:p>
    <w:p w14:paraId="46CA2374" w14:textId="324E0271" w:rsidR="000F3B99" w:rsidRPr="00F50C10" w:rsidRDefault="000F3B99" w:rsidP="00A654AE">
      <w:pPr>
        <w:pStyle w:val="ListeParagraf"/>
        <w:numPr>
          <w:ilvl w:val="0"/>
          <w:numId w:val="103"/>
        </w:numPr>
        <w:spacing w:before="240" w:line="276" w:lineRule="auto"/>
        <w:ind w:left="1080"/>
        <w:rPr>
          <w:rFonts w:cs="Times New Roman"/>
          <w:szCs w:val="24"/>
        </w:rPr>
      </w:pPr>
      <w:r w:rsidRPr="00F50C10">
        <w:rPr>
          <w:rFonts w:cs="Times New Roman"/>
          <w:szCs w:val="24"/>
        </w:rPr>
        <w:t>sodyum sülfit tesisinde SO</w:t>
      </w:r>
      <w:r w:rsidRPr="00F50C10">
        <w:rPr>
          <w:rFonts w:cs="Times New Roman"/>
          <w:szCs w:val="24"/>
          <w:vertAlign w:val="subscript"/>
        </w:rPr>
        <w:t>2</w:t>
      </w:r>
      <w:r w:rsidRPr="00F50C10">
        <w:rPr>
          <w:rFonts w:cs="Times New Roman"/>
          <w:szCs w:val="24"/>
        </w:rPr>
        <w:t xml:space="preserve"> envanterini en aza indirmeye imkân veren prosese entegre teknikler</w:t>
      </w:r>
      <w:r w:rsidR="00C81383" w:rsidRPr="00F50C10">
        <w:rPr>
          <w:rFonts w:cs="Times New Roman"/>
          <w:szCs w:val="24"/>
        </w:rPr>
        <w:t xml:space="preserve"> </w:t>
      </w:r>
      <w:r w:rsidRPr="00F50C10">
        <w:rPr>
          <w:rFonts w:cs="Times New Roman"/>
          <w:szCs w:val="24"/>
        </w:rPr>
        <w:t>uygulan</w:t>
      </w:r>
      <w:r w:rsidR="00C81383" w:rsidRPr="00F50C10">
        <w:rPr>
          <w:rFonts w:cs="Times New Roman"/>
          <w:szCs w:val="24"/>
        </w:rPr>
        <w:t xml:space="preserve">ır </w:t>
      </w:r>
      <w:r w:rsidRPr="00F50C10">
        <w:rPr>
          <w:rFonts w:cs="Times New Roman"/>
          <w:szCs w:val="24"/>
        </w:rPr>
        <w:t>(kükürt dioksitin eş zamanlı olarak üretilmesi ve kullanılması gibi),</w:t>
      </w:r>
    </w:p>
    <w:p w14:paraId="53BEF6E0" w14:textId="64EA0A95" w:rsidR="000F3B99" w:rsidRPr="00F50C10" w:rsidRDefault="000F3B99" w:rsidP="00A654AE">
      <w:pPr>
        <w:pStyle w:val="ListeParagraf"/>
        <w:numPr>
          <w:ilvl w:val="0"/>
          <w:numId w:val="103"/>
        </w:numPr>
        <w:spacing w:before="240" w:line="276" w:lineRule="auto"/>
        <w:ind w:left="1080"/>
        <w:rPr>
          <w:rFonts w:cs="Times New Roman"/>
          <w:szCs w:val="24"/>
        </w:rPr>
      </w:pPr>
      <w:r w:rsidRPr="00F50C10">
        <w:rPr>
          <w:rFonts w:cs="Times New Roman"/>
          <w:szCs w:val="24"/>
        </w:rPr>
        <w:t>düşük basınçlı proses rejiminde daha fazla miktarda gaz SO</w:t>
      </w:r>
      <w:r w:rsidRPr="00F50C10">
        <w:rPr>
          <w:rFonts w:cs="Times New Roman"/>
          <w:szCs w:val="24"/>
          <w:vertAlign w:val="subscript"/>
        </w:rPr>
        <w:t>2</w:t>
      </w:r>
      <w:r w:rsidRPr="00F50C10">
        <w:rPr>
          <w:rFonts w:cs="Times New Roman"/>
          <w:szCs w:val="24"/>
        </w:rPr>
        <w:t xml:space="preserve"> akışı ve havalandırma akışı işlemek için tesi</w:t>
      </w:r>
      <w:r w:rsidR="00C81383" w:rsidRPr="00F50C10">
        <w:rPr>
          <w:rFonts w:cs="Times New Roman"/>
          <w:szCs w:val="24"/>
        </w:rPr>
        <w:t>s</w:t>
      </w:r>
      <w:r w:rsidRPr="00F50C10">
        <w:rPr>
          <w:rFonts w:cs="Times New Roman"/>
          <w:szCs w:val="24"/>
        </w:rPr>
        <w:t xml:space="preserve"> iyi tasarlan</w:t>
      </w:r>
      <w:r w:rsidR="00C81383" w:rsidRPr="00F50C10">
        <w:rPr>
          <w:rFonts w:cs="Times New Roman"/>
          <w:szCs w:val="24"/>
        </w:rPr>
        <w:t>ır</w:t>
      </w:r>
      <w:r w:rsidRPr="00F50C10">
        <w:rPr>
          <w:rFonts w:cs="Times New Roman"/>
          <w:szCs w:val="24"/>
        </w:rPr>
        <w:t xml:space="preserve"> ve entegre şekilde işletil</w:t>
      </w:r>
      <w:r w:rsidR="00C81383" w:rsidRPr="00F50C10">
        <w:rPr>
          <w:rFonts w:cs="Times New Roman"/>
          <w:szCs w:val="24"/>
        </w:rPr>
        <w:t>ir</w:t>
      </w:r>
      <w:r w:rsidRPr="00F50C10">
        <w:rPr>
          <w:rFonts w:cs="Times New Roman"/>
          <w:szCs w:val="24"/>
        </w:rPr>
        <w:t>.</w:t>
      </w:r>
    </w:p>
    <w:p w14:paraId="6011D221" w14:textId="77777777" w:rsidR="000F3B99" w:rsidRPr="00F50C10" w:rsidRDefault="000F3B99" w:rsidP="00A654AE">
      <w:pPr>
        <w:pStyle w:val="Balk3"/>
        <w:numPr>
          <w:ilvl w:val="2"/>
          <w:numId w:val="165"/>
        </w:numPr>
        <w:spacing w:line="276" w:lineRule="auto"/>
        <w:rPr>
          <w:rFonts w:cs="Times New Roman"/>
        </w:rPr>
      </w:pPr>
      <w:r w:rsidRPr="00F50C10">
        <w:rPr>
          <w:rFonts w:cs="Times New Roman"/>
        </w:rPr>
        <w:t>Sahaya SO</w:t>
      </w:r>
      <w:r w:rsidRPr="00F50C10">
        <w:rPr>
          <w:rFonts w:cs="Times New Roman"/>
          <w:vertAlign w:val="subscript"/>
        </w:rPr>
        <w:t>2</w:t>
      </w:r>
      <w:r w:rsidRPr="00F50C10">
        <w:rPr>
          <w:rFonts w:cs="Times New Roman"/>
        </w:rPr>
        <w:t xml:space="preserve"> teslimi ile sodyum sülfit üretimi</w:t>
      </w:r>
    </w:p>
    <w:p w14:paraId="26B72544" w14:textId="4FF68835" w:rsidR="000F3B99" w:rsidRPr="00F50C10" w:rsidRDefault="000F3B99" w:rsidP="000B206D">
      <w:pPr>
        <w:spacing w:before="240" w:line="276" w:lineRule="auto"/>
        <w:rPr>
          <w:rFonts w:cs="Times New Roman"/>
          <w:szCs w:val="24"/>
        </w:rPr>
      </w:pPr>
      <w:r w:rsidRPr="00F50C10">
        <w:rPr>
          <w:rFonts w:cs="Times New Roman"/>
          <w:b/>
          <w:bCs/>
          <w:szCs w:val="24"/>
        </w:rPr>
        <w:t xml:space="preserve">MET 187: </w:t>
      </w:r>
      <w:r w:rsidRPr="00F50C10">
        <w:rPr>
          <w:rFonts w:cs="Times New Roman"/>
          <w:szCs w:val="24"/>
        </w:rPr>
        <w:t>Yüksek hacimde sıvılaştırılmış SO</w:t>
      </w:r>
      <w:r w:rsidRPr="00F50C10">
        <w:rPr>
          <w:rFonts w:cs="Times New Roman"/>
          <w:szCs w:val="24"/>
          <w:vertAlign w:val="subscript"/>
        </w:rPr>
        <w:t>2</w:t>
      </w:r>
      <w:r w:rsidRPr="00F50C10">
        <w:rPr>
          <w:rFonts w:cs="Times New Roman"/>
          <w:szCs w:val="24"/>
        </w:rPr>
        <w:t xml:space="preserve"> depolanmasından kaynaklanan yüksek envanter tehlikelerini ortadan kaldırmak ve sıvı SO</w:t>
      </w:r>
      <w:r w:rsidRPr="00F50C10">
        <w:rPr>
          <w:rFonts w:cs="Times New Roman"/>
          <w:szCs w:val="24"/>
          <w:vertAlign w:val="subscript"/>
        </w:rPr>
        <w:t>2</w:t>
      </w:r>
      <w:r w:rsidRPr="00F50C10">
        <w:rPr>
          <w:rFonts w:cs="Times New Roman"/>
          <w:szCs w:val="24"/>
        </w:rPr>
        <w:t>'nin boşaltılması ve taşınması sırasında oluşan kaçak emisyonları ve kokuyu en aza indirmek için yüksek güvenlikli sistemlerle sıvı SO</w:t>
      </w:r>
      <w:r w:rsidRPr="00F50C10">
        <w:rPr>
          <w:rFonts w:cs="Times New Roman"/>
          <w:szCs w:val="24"/>
          <w:vertAlign w:val="subscript"/>
        </w:rPr>
        <w:t>2</w:t>
      </w:r>
      <w:r w:rsidRPr="00F50C10">
        <w:rPr>
          <w:rFonts w:cs="Times New Roman"/>
          <w:szCs w:val="24"/>
        </w:rPr>
        <w:t xml:space="preserve">'nin basınç altında depolanmasına imkan verecek şekilde donatılmış </w:t>
      </w:r>
      <w:r w:rsidR="00C81383" w:rsidRPr="00F50C10">
        <w:rPr>
          <w:rFonts w:cs="Times New Roman"/>
          <w:szCs w:val="24"/>
        </w:rPr>
        <w:t xml:space="preserve">bir </w:t>
      </w:r>
      <w:r w:rsidRPr="00F50C10">
        <w:rPr>
          <w:rFonts w:cs="Times New Roman"/>
          <w:szCs w:val="24"/>
        </w:rPr>
        <w:t>sodyum sülfit tesisi tasarla</w:t>
      </w:r>
      <w:r w:rsidR="00C81383" w:rsidRPr="00F50C10">
        <w:rPr>
          <w:rFonts w:cs="Times New Roman"/>
          <w:szCs w:val="24"/>
        </w:rPr>
        <w:t>nır</w:t>
      </w:r>
      <w:r w:rsidRPr="00F50C10">
        <w:rPr>
          <w:rFonts w:cs="Times New Roman"/>
          <w:szCs w:val="24"/>
        </w:rPr>
        <w:t xml:space="preserve"> ve </w:t>
      </w:r>
      <w:r w:rsidR="00C81383" w:rsidRPr="00F50C10">
        <w:rPr>
          <w:rFonts w:cs="Times New Roman"/>
          <w:szCs w:val="24"/>
        </w:rPr>
        <w:t>bu tesis</w:t>
      </w:r>
      <w:r w:rsidRPr="00F50C10">
        <w:rPr>
          <w:rFonts w:cs="Times New Roman"/>
          <w:szCs w:val="24"/>
        </w:rPr>
        <w:t xml:space="preserve"> düzgün şekilde </w:t>
      </w:r>
      <w:r w:rsidR="00C81383" w:rsidRPr="00F50C10">
        <w:rPr>
          <w:rFonts w:cs="Times New Roman"/>
          <w:szCs w:val="24"/>
        </w:rPr>
        <w:t>işletilir</w:t>
      </w:r>
      <w:r w:rsidR="00E515D6" w:rsidRPr="00F50C10">
        <w:rPr>
          <w:rFonts w:cs="Times New Roman"/>
          <w:szCs w:val="24"/>
        </w:rPr>
        <w:t>.</w:t>
      </w:r>
    </w:p>
    <w:p w14:paraId="5B1D5D0C" w14:textId="2009235C"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188: </w:t>
      </w:r>
      <w:r w:rsidRPr="00F50C10">
        <w:rPr>
          <w:rFonts w:cs="Times New Roman"/>
          <w:szCs w:val="24"/>
        </w:rPr>
        <w:t>Alkali yıkama yöntemleri kullan</w:t>
      </w:r>
      <w:r w:rsidR="00C81383" w:rsidRPr="00F50C10">
        <w:rPr>
          <w:rFonts w:cs="Times New Roman"/>
          <w:szCs w:val="24"/>
        </w:rPr>
        <w:t>ıl</w:t>
      </w:r>
      <w:r w:rsidRPr="00F50C10">
        <w:rPr>
          <w:rFonts w:cs="Times New Roman"/>
          <w:szCs w:val="24"/>
        </w:rPr>
        <w:t>arak sıvı SO</w:t>
      </w:r>
      <w:r w:rsidRPr="00F50C10">
        <w:rPr>
          <w:rFonts w:cs="Times New Roman"/>
          <w:szCs w:val="24"/>
          <w:vertAlign w:val="subscript"/>
        </w:rPr>
        <w:t>2</w:t>
      </w:r>
      <w:r w:rsidRPr="00F50C10">
        <w:rPr>
          <w:rFonts w:cs="Times New Roman"/>
          <w:szCs w:val="24"/>
        </w:rPr>
        <w:t>'nin depolanması nedeniyle havaya salınan SO</w:t>
      </w:r>
      <w:r w:rsidRPr="00F50C10">
        <w:rPr>
          <w:rFonts w:cs="Times New Roman"/>
          <w:szCs w:val="24"/>
          <w:vertAlign w:val="subscript"/>
        </w:rPr>
        <w:t>2</w:t>
      </w:r>
      <w:r w:rsidRPr="00F50C10">
        <w:rPr>
          <w:rFonts w:cs="Times New Roman"/>
          <w:szCs w:val="24"/>
        </w:rPr>
        <w:t xml:space="preserve"> emisyonları 20 mg SO</w:t>
      </w:r>
      <w:r w:rsidRPr="00F50C10">
        <w:rPr>
          <w:rFonts w:cs="Times New Roman"/>
          <w:szCs w:val="24"/>
          <w:vertAlign w:val="subscript"/>
        </w:rPr>
        <w:t>2</w:t>
      </w:r>
      <w:r w:rsidRPr="00F50C10">
        <w:rPr>
          <w:rFonts w:cs="Times New Roman"/>
          <w:szCs w:val="24"/>
        </w:rPr>
        <w:t>/Nm</w:t>
      </w:r>
      <w:r w:rsidRPr="00F50C10">
        <w:rPr>
          <w:rFonts w:cs="Times New Roman"/>
          <w:szCs w:val="24"/>
          <w:vertAlign w:val="superscript"/>
        </w:rPr>
        <w:t>3</w:t>
      </w:r>
      <w:r w:rsidR="00C81383" w:rsidRPr="00F50C10">
        <w:rPr>
          <w:rFonts w:cs="Times New Roman"/>
          <w:szCs w:val="24"/>
        </w:rPr>
        <w:t xml:space="preserve"> seviyesinin</w:t>
      </w:r>
      <w:r w:rsidRPr="00F50C10">
        <w:rPr>
          <w:rFonts w:cs="Times New Roman"/>
          <w:szCs w:val="24"/>
        </w:rPr>
        <w:t xml:space="preserve"> altına düşürül</w:t>
      </w:r>
      <w:r w:rsidR="00C81383" w:rsidRPr="00F50C10">
        <w:rPr>
          <w:rFonts w:cs="Times New Roman"/>
          <w:szCs w:val="24"/>
        </w:rPr>
        <w:t>ü</w:t>
      </w:r>
      <w:r w:rsidRPr="00F50C10">
        <w:rPr>
          <w:rFonts w:cs="Times New Roman"/>
          <w:szCs w:val="24"/>
        </w:rPr>
        <w:t>r</w:t>
      </w:r>
      <w:r w:rsidR="00E515D6" w:rsidRPr="00F50C10">
        <w:rPr>
          <w:rFonts w:cs="Times New Roman"/>
          <w:szCs w:val="24"/>
        </w:rPr>
        <w:t>.</w:t>
      </w:r>
    </w:p>
    <w:p w14:paraId="108769CF" w14:textId="77777777" w:rsidR="000F3B99" w:rsidRPr="00F50C10" w:rsidRDefault="000F3B99" w:rsidP="00A654AE">
      <w:pPr>
        <w:pStyle w:val="Balk3"/>
        <w:numPr>
          <w:ilvl w:val="2"/>
          <w:numId w:val="165"/>
        </w:numPr>
        <w:spacing w:line="276" w:lineRule="auto"/>
        <w:rPr>
          <w:rFonts w:cs="Times New Roman"/>
        </w:rPr>
      </w:pPr>
      <w:r w:rsidRPr="00F50C10">
        <w:rPr>
          <w:rFonts w:cs="Times New Roman"/>
        </w:rPr>
        <w:t>Sodyum sülfit ve ilgili ürünlerin ana üretim prosesi</w:t>
      </w:r>
    </w:p>
    <w:p w14:paraId="35F2D283" w14:textId="0162C388" w:rsidR="000F3B99" w:rsidRPr="00F50C10" w:rsidRDefault="000F3B99" w:rsidP="000B206D">
      <w:pPr>
        <w:spacing w:before="240" w:line="276" w:lineRule="auto"/>
        <w:rPr>
          <w:rFonts w:cs="Times New Roman"/>
          <w:szCs w:val="24"/>
        </w:rPr>
      </w:pPr>
      <w:r w:rsidRPr="00F50C10">
        <w:rPr>
          <w:rFonts w:cs="Times New Roman"/>
          <w:b/>
          <w:bCs/>
          <w:szCs w:val="24"/>
        </w:rPr>
        <w:t xml:space="preserve">MET 189: </w:t>
      </w:r>
      <w:r w:rsidRPr="00F50C10">
        <w:rPr>
          <w:rFonts w:cs="Times New Roman"/>
          <w:szCs w:val="24"/>
        </w:rPr>
        <w:t>Suyla yıkama yöntemleri kullanılarak amonyak taşıma ve işleme bölümlerinden havaya salınan NH</w:t>
      </w:r>
      <w:r w:rsidRPr="00F50C10">
        <w:rPr>
          <w:rFonts w:cs="Times New Roman"/>
          <w:szCs w:val="24"/>
          <w:vertAlign w:val="subscript"/>
        </w:rPr>
        <w:t>3</w:t>
      </w:r>
      <w:r w:rsidRPr="00F50C10">
        <w:rPr>
          <w:rFonts w:cs="Times New Roman"/>
          <w:szCs w:val="24"/>
        </w:rPr>
        <w:t xml:space="preserve"> emisyonları 5 mg NH</w:t>
      </w:r>
      <w:r w:rsidRPr="00F50C10">
        <w:rPr>
          <w:rFonts w:cs="Times New Roman"/>
          <w:szCs w:val="24"/>
          <w:vertAlign w:val="subscript"/>
        </w:rPr>
        <w:t>3</w:t>
      </w:r>
      <w:r w:rsidRPr="00F50C10">
        <w:rPr>
          <w:rFonts w:cs="Times New Roman"/>
          <w:szCs w:val="24"/>
        </w:rPr>
        <w:t>/Nm</w:t>
      </w:r>
      <w:r w:rsidRPr="00F50C10">
        <w:rPr>
          <w:rFonts w:cs="Times New Roman"/>
          <w:szCs w:val="24"/>
          <w:vertAlign w:val="superscript"/>
        </w:rPr>
        <w:t>3</w:t>
      </w:r>
      <w:r w:rsidR="000C2619" w:rsidRPr="00F50C10">
        <w:rPr>
          <w:rFonts w:cs="Times New Roman"/>
          <w:szCs w:val="24"/>
        </w:rPr>
        <w:t xml:space="preserve"> seviyesine</w:t>
      </w:r>
      <w:r w:rsidRPr="00F50C10">
        <w:rPr>
          <w:rFonts w:cs="Times New Roman"/>
          <w:szCs w:val="24"/>
        </w:rPr>
        <w:t xml:space="preserve"> düşürül</w:t>
      </w:r>
      <w:r w:rsidR="000C2619" w:rsidRPr="00F50C10">
        <w:rPr>
          <w:rFonts w:cs="Times New Roman"/>
          <w:szCs w:val="24"/>
        </w:rPr>
        <w:t>ü</w:t>
      </w:r>
      <w:r w:rsidRPr="00F50C10">
        <w:rPr>
          <w:rFonts w:cs="Times New Roman"/>
          <w:szCs w:val="24"/>
        </w:rPr>
        <w:t>r</w:t>
      </w:r>
      <w:r w:rsidR="00E515D6" w:rsidRPr="00F50C10">
        <w:rPr>
          <w:rFonts w:cs="Times New Roman"/>
          <w:szCs w:val="24"/>
        </w:rPr>
        <w:t>.</w:t>
      </w:r>
    </w:p>
    <w:p w14:paraId="3F82BACA" w14:textId="0EAB0A8E"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190: </w:t>
      </w:r>
      <w:r w:rsidRPr="00F50C10">
        <w:rPr>
          <w:rFonts w:cs="Times New Roman"/>
          <w:szCs w:val="24"/>
        </w:rPr>
        <w:t>Alkali yıkama yöntemleri kullanılarak, düşük yüklü/neredeyse saf gazın işlendiği sülfit reaktörlerinden havaya salınan SO</w:t>
      </w:r>
      <w:r w:rsidRPr="00F50C10">
        <w:rPr>
          <w:rFonts w:cs="Times New Roman"/>
          <w:szCs w:val="24"/>
          <w:vertAlign w:val="subscript"/>
        </w:rPr>
        <w:t>2</w:t>
      </w:r>
      <w:r w:rsidRPr="00F50C10">
        <w:rPr>
          <w:rFonts w:cs="Times New Roman"/>
          <w:szCs w:val="24"/>
        </w:rPr>
        <w:t xml:space="preserve"> emisyonları &lt;20 mg SO</w:t>
      </w:r>
      <w:r w:rsidRPr="00F50C10">
        <w:rPr>
          <w:rFonts w:cs="Times New Roman"/>
          <w:szCs w:val="24"/>
          <w:vertAlign w:val="subscript"/>
        </w:rPr>
        <w:t>2</w:t>
      </w:r>
      <w:r w:rsidRPr="00F50C10">
        <w:rPr>
          <w:rFonts w:cs="Times New Roman"/>
          <w:szCs w:val="24"/>
        </w:rPr>
        <w:t>/Nm</w:t>
      </w:r>
      <w:r w:rsidRPr="00F50C10">
        <w:rPr>
          <w:rFonts w:cs="Times New Roman"/>
          <w:szCs w:val="24"/>
          <w:vertAlign w:val="superscript"/>
        </w:rPr>
        <w:t>3</w:t>
      </w:r>
      <w:r w:rsidR="000C2619" w:rsidRPr="00F50C10">
        <w:rPr>
          <w:rFonts w:cs="Times New Roman"/>
          <w:szCs w:val="24"/>
        </w:rPr>
        <w:t xml:space="preserve"> seviyesine</w:t>
      </w:r>
      <w:r w:rsidRPr="00F50C10">
        <w:rPr>
          <w:rFonts w:cs="Times New Roman"/>
          <w:szCs w:val="24"/>
        </w:rPr>
        <w:t xml:space="preserve"> düşürül</w:t>
      </w:r>
      <w:r w:rsidR="000C2619" w:rsidRPr="00F50C10">
        <w:rPr>
          <w:rFonts w:cs="Times New Roman"/>
          <w:szCs w:val="24"/>
        </w:rPr>
        <w:t>ü</w:t>
      </w:r>
      <w:r w:rsidRPr="00F50C10">
        <w:rPr>
          <w:rFonts w:cs="Times New Roman"/>
          <w:szCs w:val="24"/>
        </w:rPr>
        <w:t>r</w:t>
      </w:r>
      <w:r w:rsidR="00E515D6" w:rsidRPr="00F50C10">
        <w:rPr>
          <w:rFonts w:cs="Times New Roman"/>
          <w:szCs w:val="24"/>
        </w:rPr>
        <w:t>.</w:t>
      </w:r>
    </w:p>
    <w:p w14:paraId="1544B100" w14:textId="2E82CA4D" w:rsidR="000F3B99" w:rsidRPr="00F50C10" w:rsidRDefault="000F3B99" w:rsidP="000B206D">
      <w:pPr>
        <w:spacing w:before="240" w:line="276" w:lineRule="auto"/>
        <w:rPr>
          <w:rFonts w:cs="Times New Roman"/>
          <w:szCs w:val="24"/>
        </w:rPr>
      </w:pPr>
      <w:r w:rsidRPr="00F50C10">
        <w:rPr>
          <w:rFonts w:cs="Times New Roman"/>
          <w:b/>
          <w:bCs/>
          <w:szCs w:val="24"/>
        </w:rPr>
        <w:t xml:space="preserve">MET 191: </w:t>
      </w:r>
      <w:r w:rsidRPr="00F50C10">
        <w:rPr>
          <w:rFonts w:cs="Times New Roman"/>
          <w:szCs w:val="24"/>
        </w:rPr>
        <w:t>Kükürt bileşiklerinin prosese geri kazandırılmasını sağlayan alkali yıkama yöntemleri</w:t>
      </w:r>
      <w:r w:rsidR="005402AE" w:rsidRPr="00F50C10">
        <w:rPr>
          <w:rFonts w:cs="Times New Roman"/>
          <w:szCs w:val="24"/>
        </w:rPr>
        <w:t xml:space="preserve"> </w:t>
      </w:r>
      <w:r w:rsidRPr="00F50C10">
        <w:rPr>
          <w:rFonts w:cs="Times New Roman"/>
          <w:szCs w:val="24"/>
        </w:rPr>
        <w:t>kullan</w:t>
      </w:r>
      <w:r w:rsidR="005402AE" w:rsidRPr="00F50C10">
        <w:rPr>
          <w:rFonts w:cs="Times New Roman"/>
          <w:szCs w:val="24"/>
        </w:rPr>
        <w:t>ıl</w:t>
      </w:r>
      <w:r w:rsidRPr="00F50C10">
        <w:rPr>
          <w:rFonts w:cs="Times New Roman"/>
          <w:szCs w:val="24"/>
        </w:rPr>
        <w:t>arak, yüksek yüklü/inert taşıyıcı gazın işlendiği sülfit reaktörlerinden havaya salınan SO</w:t>
      </w:r>
      <w:r w:rsidRPr="00F50C10">
        <w:rPr>
          <w:rFonts w:cs="Times New Roman"/>
          <w:szCs w:val="24"/>
          <w:vertAlign w:val="subscript"/>
        </w:rPr>
        <w:t xml:space="preserve">2 </w:t>
      </w:r>
      <w:r w:rsidRPr="00F50C10">
        <w:rPr>
          <w:rFonts w:cs="Times New Roman"/>
          <w:szCs w:val="24"/>
        </w:rPr>
        <w:t>emisyonları &lt;150 mg SO</w:t>
      </w:r>
      <w:r w:rsidRPr="00F50C10">
        <w:rPr>
          <w:rFonts w:cs="Times New Roman"/>
          <w:szCs w:val="24"/>
          <w:vertAlign w:val="subscript"/>
        </w:rPr>
        <w:t>2</w:t>
      </w:r>
      <w:r w:rsidRPr="00F50C10">
        <w:rPr>
          <w:rFonts w:cs="Times New Roman"/>
          <w:szCs w:val="24"/>
        </w:rPr>
        <w:t>/Nm</w:t>
      </w:r>
      <w:r w:rsidRPr="00F50C10">
        <w:rPr>
          <w:rFonts w:cs="Times New Roman"/>
          <w:szCs w:val="24"/>
          <w:vertAlign w:val="superscript"/>
        </w:rPr>
        <w:t>3</w:t>
      </w:r>
      <w:r w:rsidR="005402AE" w:rsidRPr="00F50C10">
        <w:rPr>
          <w:rFonts w:cs="Times New Roman"/>
          <w:szCs w:val="24"/>
        </w:rPr>
        <w:t xml:space="preserve"> seviyesine </w:t>
      </w:r>
      <w:r w:rsidRPr="00F50C10">
        <w:rPr>
          <w:rFonts w:cs="Times New Roman"/>
          <w:szCs w:val="24"/>
        </w:rPr>
        <w:t>düşürül</w:t>
      </w:r>
      <w:r w:rsidR="005402AE" w:rsidRPr="00F50C10">
        <w:rPr>
          <w:rFonts w:cs="Times New Roman"/>
          <w:szCs w:val="24"/>
        </w:rPr>
        <w:t>ü</w:t>
      </w:r>
      <w:r w:rsidRPr="00F50C10">
        <w:rPr>
          <w:rFonts w:cs="Times New Roman"/>
          <w:szCs w:val="24"/>
        </w:rPr>
        <w:t>r</w:t>
      </w:r>
      <w:r w:rsidR="00E515D6" w:rsidRPr="00F50C10">
        <w:rPr>
          <w:rFonts w:cs="Times New Roman"/>
          <w:szCs w:val="24"/>
        </w:rPr>
        <w:t>.</w:t>
      </w:r>
    </w:p>
    <w:p w14:paraId="074709C5" w14:textId="38E00689"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192: </w:t>
      </w:r>
      <w:r w:rsidRPr="00F50C10">
        <w:rPr>
          <w:rFonts w:cs="Times New Roman"/>
          <w:szCs w:val="24"/>
        </w:rPr>
        <w:t>Sülfit üretimi sırasında özellikle yüksek yüklü/inert taşıyıcı gazın işlendiği sülfit reaktörlerinden çıkan proses çıkış gazı akımları uygun olan diğer kimyasal üretim proseslerine geri kazandırıl</w:t>
      </w:r>
      <w:r w:rsidR="005402AE" w:rsidRPr="00F50C10">
        <w:rPr>
          <w:rFonts w:cs="Times New Roman"/>
          <w:szCs w:val="24"/>
        </w:rPr>
        <w:t>ır</w:t>
      </w:r>
      <w:r w:rsidRPr="00F50C10">
        <w:rPr>
          <w:rFonts w:cs="Times New Roman"/>
          <w:szCs w:val="24"/>
        </w:rPr>
        <w:t>. Bu, sülfit üretiminin diğer kimyasal tesislerle entegre edildiği kimyasal endüstriyel komplekslerde sodyum sülfit ve ilgili ürünlerin düşük emisyonla üretilmesini sağlayarak gerçekleştirilmektedir</w:t>
      </w:r>
      <w:r w:rsidR="00E515D6" w:rsidRPr="00F50C10">
        <w:rPr>
          <w:rFonts w:cs="Times New Roman"/>
          <w:szCs w:val="24"/>
        </w:rPr>
        <w:t>.</w:t>
      </w:r>
    </w:p>
    <w:p w14:paraId="4B4E89F5" w14:textId="55F653C2"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193: </w:t>
      </w:r>
      <w:r w:rsidRPr="00F50C10">
        <w:rPr>
          <w:rFonts w:cs="Times New Roman"/>
          <w:szCs w:val="24"/>
        </w:rPr>
        <w:t>Alkali yıkama yöntemleri kullanılarak, tiyosülfat reaktörlerinden havaya salınan hidrojen sülfür ve kükürt dioksit emisyonları sırasıyla 1 mg H</w:t>
      </w:r>
      <w:r w:rsidRPr="00F50C10">
        <w:rPr>
          <w:rFonts w:cs="Times New Roman"/>
          <w:szCs w:val="24"/>
          <w:vertAlign w:val="subscript"/>
        </w:rPr>
        <w:t>2</w:t>
      </w:r>
      <w:r w:rsidRPr="00F50C10">
        <w:rPr>
          <w:rFonts w:cs="Times New Roman"/>
          <w:szCs w:val="24"/>
        </w:rPr>
        <w:t>S/Nm</w:t>
      </w:r>
      <w:r w:rsidRPr="00F50C10">
        <w:rPr>
          <w:rFonts w:cs="Times New Roman"/>
          <w:szCs w:val="24"/>
          <w:vertAlign w:val="superscript"/>
        </w:rPr>
        <w:t>3</w:t>
      </w:r>
      <w:r w:rsidRPr="00F50C10">
        <w:rPr>
          <w:rFonts w:cs="Times New Roman"/>
          <w:szCs w:val="24"/>
        </w:rPr>
        <w:t xml:space="preserve"> ve &lt;20 mg SO</w:t>
      </w:r>
      <w:r w:rsidRPr="00F50C10">
        <w:rPr>
          <w:rFonts w:cs="Times New Roman"/>
          <w:szCs w:val="24"/>
          <w:vertAlign w:val="subscript"/>
        </w:rPr>
        <w:t>2</w:t>
      </w:r>
      <w:r w:rsidRPr="00F50C10">
        <w:rPr>
          <w:rFonts w:cs="Times New Roman"/>
          <w:szCs w:val="24"/>
        </w:rPr>
        <w:t>/Nm</w:t>
      </w:r>
      <w:r w:rsidRPr="00F50C10">
        <w:rPr>
          <w:rFonts w:cs="Times New Roman"/>
          <w:szCs w:val="24"/>
          <w:vertAlign w:val="superscript"/>
        </w:rPr>
        <w:t>3</w:t>
      </w:r>
      <w:r w:rsidR="000C2619" w:rsidRPr="00F50C10">
        <w:rPr>
          <w:rFonts w:cs="Times New Roman"/>
          <w:szCs w:val="24"/>
        </w:rPr>
        <w:t xml:space="preserve"> seviyelerine</w:t>
      </w:r>
      <w:r w:rsidRPr="00F50C10">
        <w:rPr>
          <w:rFonts w:cs="Times New Roman"/>
          <w:szCs w:val="24"/>
        </w:rPr>
        <w:t xml:space="preserve"> düşürül</w:t>
      </w:r>
      <w:r w:rsidR="000C2619" w:rsidRPr="00F50C10">
        <w:rPr>
          <w:rFonts w:cs="Times New Roman"/>
          <w:szCs w:val="24"/>
        </w:rPr>
        <w:t>ü</w:t>
      </w:r>
      <w:r w:rsidRPr="00F50C10">
        <w:rPr>
          <w:rFonts w:cs="Times New Roman"/>
          <w:szCs w:val="24"/>
        </w:rPr>
        <w:t>r</w:t>
      </w:r>
      <w:r w:rsidR="00E515D6" w:rsidRPr="00F50C10">
        <w:rPr>
          <w:rFonts w:cs="Times New Roman"/>
          <w:szCs w:val="24"/>
        </w:rPr>
        <w:t>.</w:t>
      </w:r>
    </w:p>
    <w:p w14:paraId="1F0F491C" w14:textId="1EA41281"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194: </w:t>
      </w:r>
      <w:r w:rsidRPr="00F50C10">
        <w:rPr>
          <w:rFonts w:cs="Times New Roman"/>
          <w:szCs w:val="24"/>
        </w:rPr>
        <w:t>Alkali yıkama yöntemleri kullanılarak sülfit ürünü depolama havalandırmasından havaya salınan SO</w:t>
      </w:r>
      <w:r w:rsidRPr="00F50C10">
        <w:rPr>
          <w:rFonts w:cs="Times New Roman"/>
          <w:szCs w:val="24"/>
          <w:vertAlign w:val="subscript"/>
        </w:rPr>
        <w:t>2</w:t>
      </w:r>
      <w:r w:rsidRPr="00F50C10">
        <w:rPr>
          <w:rFonts w:cs="Times New Roman"/>
          <w:szCs w:val="24"/>
        </w:rPr>
        <w:t xml:space="preserve"> emisyonları &lt;20 mg SO</w:t>
      </w:r>
      <w:r w:rsidRPr="00F50C10">
        <w:rPr>
          <w:rFonts w:cs="Times New Roman"/>
          <w:szCs w:val="24"/>
          <w:vertAlign w:val="subscript"/>
        </w:rPr>
        <w:t>2</w:t>
      </w:r>
      <w:r w:rsidRPr="00F50C10">
        <w:rPr>
          <w:rFonts w:cs="Times New Roman"/>
          <w:szCs w:val="24"/>
        </w:rPr>
        <w:t>/Nm</w:t>
      </w:r>
      <w:r w:rsidRPr="00F50C10">
        <w:rPr>
          <w:rFonts w:cs="Times New Roman"/>
          <w:szCs w:val="24"/>
          <w:vertAlign w:val="superscript"/>
        </w:rPr>
        <w:t>3</w:t>
      </w:r>
      <w:r w:rsidR="000C2619" w:rsidRPr="00F50C10">
        <w:rPr>
          <w:rFonts w:cs="Times New Roman"/>
          <w:szCs w:val="24"/>
        </w:rPr>
        <w:t xml:space="preserve"> seviyesine </w:t>
      </w:r>
      <w:r w:rsidRPr="00F50C10">
        <w:rPr>
          <w:rFonts w:cs="Times New Roman"/>
          <w:szCs w:val="24"/>
        </w:rPr>
        <w:t>düşürül</w:t>
      </w:r>
      <w:r w:rsidR="000C2619" w:rsidRPr="00F50C10">
        <w:rPr>
          <w:rFonts w:cs="Times New Roman"/>
          <w:szCs w:val="24"/>
        </w:rPr>
        <w:t>ü</w:t>
      </w:r>
      <w:r w:rsidRPr="00F50C10">
        <w:rPr>
          <w:rFonts w:cs="Times New Roman"/>
          <w:szCs w:val="24"/>
        </w:rPr>
        <w:t>r</w:t>
      </w:r>
      <w:r w:rsidR="00E515D6" w:rsidRPr="00F50C10">
        <w:rPr>
          <w:rFonts w:cs="Times New Roman"/>
          <w:szCs w:val="24"/>
        </w:rPr>
        <w:t>.</w:t>
      </w:r>
    </w:p>
    <w:p w14:paraId="28746721" w14:textId="7B3E9FA3"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195: </w:t>
      </w:r>
      <w:r w:rsidRPr="00F50C10">
        <w:rPr>
          <w:rFonts w:cs="Times New Roman"/>
          <w:szCs w:val="24"/>
        </w:rPr>
        <w:t>Islak yıkayıcılar kullanılarak sodyum sülfit ve ilgili ürünlerin üretilmesi ve kuru ürünün taşınması sırasında havaya salınan toz emisyonları &lt;20 mg/Nm</w:t>
      </w:r>
      <w:r w:rsidRPr="00F50C10">
        <w:rPr>
          <w:rFonts w:cs="Times New Roman"/>
          <w:szCs w:val="24"/>
          <w:vertAlign w:val="superscript"/>
        </w:rPr>
        <w:t>3</w:t>
      </w:r>
      <w:r w:rsidR="005402AE" w:rsidRPr="00F50C10">
        <w:rPr>
          <w:rFonts w:cs="Times New Roman"/>
          <w:szCs w:val="24"/>
        </w:rPr>
        <w:t xml:space="preserve"> seviyesine</w:t>
      </w:r>
      <w:r w:rsidRPr="00F50C10">
        <w:rPr>
          <w:rFonts w:cs="Times New Roman"/>
          <w:szCs w:val="24"/>
        </w:rPr>
        <w:t xml:space="preserve"> düşürül</w:t>
      </w:r>
      <w:r w:rsidR="005402AE" w:rsidRPr="00F50C10">
        <w:rPr>
          <w:rFonts w:cs="Times New Roman"/>
          <w:szCs w:val="24"/>
        </w:rPr>
        <w:t>ü</w:t>
      </w:r>
      <w:r w:rsidR="00E515D6" w:rsidRPr="00F50C10">
        <w:rPr>
          <w:rFonts w:cs="Times New Roman"/>
          <w:szCs w:val="24"/>
        </w:rPr>
        <w:t>r.</w:t>
      </w:r>
    </w:p>
    <w:p w14:paraId="14A51A0F" w14:textId="64A97975"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196: </w:t>
      </w:r>
      <w:r w:rsidRPr="00F50C10">
        <w:rPr>
          <w:rFonts w:cs="Times New Roman"/>
          <w:szCs w:val="24"/>
        </w:rPr>
        <w:t xml:space="preserve">Hem prosese entegre önlemler (ürün değişikliklerini azaltmak için sürekli proses, özel tesis veya </w:t>
      </w:r>
      <w:r w:rsidR="000C2619" w:rsidRPr="00F50C10">
        <w:rPr>
          <w:rFonts w:cs="Times New Roman"/>
          <w:szCs w:val="24"/>
        </w:rPr>
        <w:t>kampanya operasyonları</w:t>
      </w:r>
      <w:r w:rsidRPr="00F50C10">
        <w:rPr>
          <w:rFonts w:cs="Times New Roman"/>
          <w:szCs w:val="24"/>
        </w:rPr>
        <w:t>) hem önleyici tedbirler (yıkama suyunun çöktürülmesi, filtre geri yıkama işlemleri, sodyum hipoklorit eklentisiyle arıtma</w:t>
      </w:r>
      <w:r w:rsidR="005402AE" w:rsidRPr="00F50C10">
        <w:rPr>
          <w:rFonts w:cs="Times New Roman"/>
          <w:szCs w:val="24"/>
        </w:rPr>
        <w:t xml:space="preserve"> vb.</w:t>
      </w:r>
      <w:r w:rsidRPr="00F50C10">
        <w:rPr>
          <w:rFonts w:cs="Times New Roman"/>
          <w:szCs w:val="24"/>
        </w:rPr>
        <w:t>) uygulayarak, atık sulardaki sülfat ve askıda katı madde içeriği sucul ortama salınan bir litre atık su başına sırasıyla  &lt;2 g (SO</w:t>
      </w:r>
      <w:r w:rsidRPr="00F50C10">
        <w:rPr>
          <w:rFonts w:cs="Times New Roman"/>
          <w:szCs w:val="24"/>
          <w:vertAlign w:val="superscript"/>
        </w:rPr>
        <w:t>=</w:t>
      </w:r>
      <w:r w:rsidRPr="00F50C10">
        <w:rPr>
          <w:rFonts w:cs="Times New Roman"/>
          <w:szCs w:val="24"/>
        </w:rPr>
        <w:t>) ve 0,1 – 0,3 g</w:t>
      </w:r>
      <w:r w:rsidR="005402AE" w:rsidRPr="00F50C10">
        <w:rPr>
          <w:rFonts w:cs="Times New Roman"/>
          <w:szCs w:val="24"/>
        </w:rPr>
        <w:t xml:space="preserve"> (askıda katı madde) seviyelerine</w:t>
      </w:r>
      <w:r w:rsidRPr="00F50C10">
        <w:rPr>
          <w:rFonts w:cs="Times New Roman"/>
          <w:szCs w:val="24"/>
        </w:rPr>
        <w:t xml:space="preserve"> </w:t>
      </w:r>
      <w:r w:rsidR="005402AE" w:rsidRPr="00F50C10">
        <w:rPr>
          <w:rFonts w:cs="Times New Roman"/>
          <w:szCs w:val="24"/>
        </w:rPr>
        <w:t>düşürülür</w:t>
      </w:r>
      <w:r w:rsidR="00E515D6" w:rsidRPr="00F50C10">
        <w:rPr>
          <w:rFonts w:cs="Times New Roman"/>
          <w:szCs w:val="24"/>
        </w:rPr>
        <w:t>.</w:t>
      </w:r>
    </w:p>
    <w:p w14:paraId="1CE5665A" w14:textId="15D106C0"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197: </w:t>
      </w:r>
      <w:r w:rsidRPr="00F50C10">
        <w:rPr>
          <w:rFonts w:cs="Times New Roman"/>
          <w:szCs w:val="24"/>
        </w:rPr>
        <w:t>Sülfit üretiminden kaynaklanan katı atık miktarını azaltmak için çöktürme tankları veya tercihen filtre pres sistemleri kullanılarak, sülfitlerin</w:t>
      </w:r>
      <w:r w:rsidR="005402AE" w:rsidRPr="00F50C10">
        <w:rPr>
          <w:rFonts w:cs="Times New Roman"/>
          <w:szCs w:val="24"/>
        </w:rPr>
        <w:t xml:space="preserve"> ve</w:t>
      </w:r>
      <w:r w:rsidRPr="00F50C10">
        <w:rPr>
          <w:rFonts w:cs="Times New Roman"/>
          <w:szCs w:val="24"/>
        </w:rPr>
        <w:t xml:space="preserve"> özellikle tiyosülfatların üretiminden kaynaklanan katı atıklar üretilen bir ton sülfit başına 30-40 kg</w:t>
      </w:r>
      <w:r w:rsidR="005402AE" w:rsidRPr="00F50C10">
        <w:rPr>
          <w:rFonts w:cs="Times New Roman"/>
          <w:szCs w:val="24"/>
        </w:rPr>
        <w:t xml:space="preserve"> seviyesine</w:t>
      </w:r>
      <w:r w:rsidRPr="00F50C10">
        <w:rPr>
          <w:rFonts w:cs="Times New Roman"/>
          <w:szCs w:val="24"/>
        </w:rPr>
        <w:t xml:space="preserve"> </w:t>
      </w:r>
      <w:r w:rsidR="005402AE" w:rsidRPr="00F50C10">
        <w:rPr>
          <w:rFonts w:cs="Times New Roman"/>
          <w:szCs w:val="24"/>
        </w:rPr>
        <w:t>düşürülür</w:t>
      </w:r>
      <w:r w:rsidR="00E515D6" w:rsidRPr="00F50C10">
        <w:rPr>
          <w:rFonts w:cs="Times New Roman"/>
          <w:szCs w:val="24"/>
        </w:rPr>
        <w:t>.</w:t>
      </w:r>
    </w:p>
    <w:p w14:paraId="27944750" w14:textId="77777777" w:rsidR="000F3B99" w:rsidRPr="00F50C10" w:rsidRDefault="000F3B99" w:rsidP="00A654AE">
      <w:pPr>
        <w:pStyle w:val="Balk2"/>
        <w:numPr>
          <w:ilvl w:val="1"/>
          <w:numId w:val="165"/>
        </w:numPr>
        <w:spacing w:before="240" w:line="276" w:lineRule="auto"/>
        <w:rPr>
          <w:rFonts w:cs="Times New Roman"/>
          <w:szCs w:val="24"/>
        </w:rPr>
      </w:pPr>
      <w:r w:rsidRPr="00F50C10">
        <w:rPr>
          <w:rFonts w:cs="Times New Roman"/>
          <w:szCs w:val="24"/>
        </w:rPr>
        <w:t>Çinko Oksit</w:t>
      </w:r>
    </w:p>
    <w:p w14:paraId="7E809FE0" w14:textId="77777777" w:rsidR="000F3B99" w:rsidRPr="00F50C10" w:rsidRDefault="000F3B99" w:rsidP="00A654AE">
      <w:pPr>
        <w:pStyle w:val="Balk3"/>
        <w:numPr>
          <w:ilvl w:val="2"/>
          <w:numId w:val="165"/>
        </w:numPr>
        <w:spacing w:line="276" w:lineRule="auto"/>
        <w:rPr>
          <w:rFonts w:cs="Times New Roman"/>
        </w:rPr>
      </w:pPr>
      <w:r w:rsidRPr="00F50C10">
        <w:rPr>
          <w:rFonts w:cs="Times New Roman"/>
        </w:rPr>
        <w:t>Pirometalürjik doğrudan ve dolaylı proses yöntemleriyle çinko oksit üretimi</w:t>
      </w:r>
    </w:p>
    <w:p w14:paraId="27825015" w14:textId="1305F601" w:rsidR="000F3B99" w:rsidRPr="00F50C10" w:rsidRDefault="000F3B99" w:rsidP="000B206D">
      <w:pPr>
        <w:spacing w:before="240" w:line="276" w:lineRule="auto"/>
        <w:rPr>
          <w:rFonts w:cs="Times New Roman"/>
          <w:szCs w:val="24"/>
        </w:rPr>
      </w:pPr>
      <w:r w:rsidRPr="00F50C10">
        <w:rPr>
          <w:rFonts w:cs="Times New Roman"/>
          <w:b/>
          <w:bCs/>
          <w:szCs w:val="24"/>
        </w:rPr>
        <w:t xml:space="preserve">MET 198: </w:t>
      </w:r>
      <w:r w:rsidRPr="00F50C10">
        <w:rPr>
          <w:rFonts w:cs="Times New Roman"/>
          <w:szCs w:val="24"/>
        </w:rPr>
        <w:t xml:space="preserve">Elektrik kesintisi durumunda da ürün </w:t>
      </w:r>
      <w:r w:rsidR="00A1117D" w:rsidRPr="00F50C10">
        <w:rPr>
          <w:rFonts w:cs="Times New Roman"/>
          <w:szCs w:val="24"/>
        </w:rPr>
        <w:t>bez</w:t>
      </w:r>
      <w:r w:rsidRPr="00F50C10">
        <w:rPr>
          <w:rFonts w:cs="Times New Roman"/>
          <w:szCs w:val="24"/>
        </w:rPr>
        <w:t xml:space="preserve"> filtrelerinin çalışmaya devam etmesi için acil durum güç kaynağı sistemleri kurul</w:t>
      </w:r>
      <w:r w:rsidR="00A1117D" w:rsidRPr="00F50C10">
        <w:rPr>
          <w:rFonts w:cs="Times New Roman"/>
          <w:szCs w:val="24"/>
        </w:rPr>
        <w:t>ur</w:t>
      </w:r>
      <w:r w:rsidRPr="00F50C10">
        <w:rPr>
          <w:rFonts w:cs="Times New Roman"/>
          <w:szCs w:val="24"/>
        </w:rPr>
        <w:t xml:space="preserve"> ve</w:t>
      </w:r>
      <w:r w:rsidR="00A1117D" w:rsidRPr="00F50C10">
        <w:rPr>
          <w:rFonts w:cs="Times New Roman"/>
          <w:szCs w:val="24"/>
        </w:rPr>
        <w:t xml:space="preserve"> bu sistemlerin</w:t>
      </w:r>
      <w:r w:rsidRPr="00F50C10">
        <w:rPr>
          <w:rFonts w:cs="Times New Roman"/>
          <w:szCs w:val="24"/>
        </w:rPr>
        <w:t xml:space="preserve"> bakımları</w:t>
      </w:r>
      <w:r w:rsidR="00A1117D" w:rsidRPr="00F50C10">
        <w:rPr>
          <w:rFonts w:cs="Times New Roman"/>
          <w:szCs w:val="24"/>
        </w:rPr>
        <w:t xml:space="preserve"> düzgün şekilde</w:t>
      </w:r>
      <w:r w:rsidRPr="00F50C10">
        <w:rPr>
          <w:rFonts w:cs="Times New Roman"/>
          <w:szCs w:val="24"/>
        </w:rPr>
        <w:t xml:space="preserve"> yapılır</w:t>
      </w:r>
      <w:r w:rsidR="00E515D6" w:rsidRPr="00F50C10">
        <w:rPr>
          <w:rFonts w:cs="Times New Roman"/>
          <w:szCs w:val="24"/>
        </w:rPr>
        <w:t>.</w:t>
      </w:r>
    </w:p>
    <w:p w14:paraId="4D470B45" w14:textId="77777777" w:rsidR="000F3B99" w:rsidRPr="00F50C10" w:rsidRDefault="000F3B99" w:rsidP="00A654AE">
      <w:pPr>
        <w:pStyle w:val="Balk3"/>
        <w:numPr>
          <w:ilvl w:val="2"/>
          <w:numId w:val="165"/>
        </w:numPr>
        <w:spacing w:line="276" w:lineRule="auto"/>
        <w:rPr>
          <w:rFonts w:cs="Times New Roman"/>
        </w:rPr>
      </w:pPr>
      <w:r w:rsidRPr="00F50C10">
        <w:rPr>
          <w:rFonts w:cs="Times New Roman"/>
        </w:rPr>
        <w:t>Doğrudan prosesle çinko oksit üretimi</w:t>
      </w:r>
    </w:p>
    <w:p w14:paraId="39884782" w14:textId="0570B351"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199: </w:t>
      </w:r>
      <w:r w:rsidRPr="00F50C10">
        <w:rPr>
          <w:rFonts w:cs="Times New Roman"/>
          <w:szCs w:val="24"/>
        </w:rPr>
        <w:t>Çinko ve çinko oksit üretim sektörlerinin çevre üzerindeki etkisini azaltmak (enerji tasarrufu, hava emisyonlarının ve atık sahasına boşaltımların azaltılması) için çinko içeren ikincil hammadde kullanımı en üst düzeye çıkarılır</w:t>
      </w:r>
      <w:r w:rsidR="00E515D6" w:rsidRPr="00F50C10">
        <w:rPr>
          <w:rFonts w:cs="Times New Roman"/>
          <w:szCs w:val="24"/>
        </w:rPr>
        <w:t>.</w:t>
      </w:r>
    </w:p>
    <w:p w14:paraId="3C2C2037" w14:textId="4A440D7F"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200: </w:t>
      </w:r>
      <w:r w:rsidRPr="00F50C10">
        <w:rPr>
          <w:rFonts w:cs="Times New Roman"/>
          <w:szCs w:val="24"/>
        </w:rPr>
        <w:t>Aşağıdaki çevresel faydalara ve performans hedeflerine ulaşmak için döner fırına beslenen hammadde karışımlarının (ikincil oksitleyici çinko bileşikleri, kok ve kireç) optimum oranda tutulması ve proses parametrelerinin kontrolü geliştir</w:t>
      </w:r>
      <w:r w:rsidR="003B7B19" w:rsidRPr="00F50C10">
        <w:rPr>
          <w:rFonts w:cs="Times New Roman"/>
          <w:szCs w:val="24"/>
        </w:rPr>
        <w:t>il</w:t>
      </w:r>
      <w:r w:rsidRPr="00F50C10">
        <w:rPr>
          <w:rFonts w:cs="Times New Roman"/>
          <w:szCs w:val="24"/>
        </w:rPr>
        <w:t>erek, indirgeme ve oksitleme adımlarında proses verimi artırılır</w:t>
      </w:r>
      <w:r w:rsidR="00E515D6" w:rsidRPr="00F50C10">
        <w:rPr>
          <w:rFonts w:cs="Times New Roman"/>
          <w:szCs w:val="24"/>
        </w:rPr>
        <w:t>:</w:t>
      </w:r>
    </w:p>
    <w:p w14:paraId="03DCBD98" w14:textId="77777777" w:rsidR="000F3B99" w:rsidRPr="00F50C10" w:rsidRDefault="000F3B99" w:rsidP="00A654AE">
      <w:pPr>
        <w:pStyle w:val="ListeParagraf"/>
        <w:numPr>
          <w:ilvl w:val="0"/>
          <w:numId w:val="104"/>
        </w:numPr>
        <w:tabs>
          <w:tab w:val="left" w:pos="1080"/>
        </w:tabs>
        <w:spacing w:before="240" w:line="276" w:lineRule="auto"/>
        <w:ind w:left="1080"/>
        <w:rPr>
          <w:rFonts w:cs="Times New Roman"/>
          <w:szCs w:val="24"/>
        </w:rPr>
      </w:pPr>
      <w:r w:rsidRPr="00F50C10">
        <w:rPr>
          <w:rFonts w:cs="Times New Roman"/>
          <w:szCs w:val="24"/>
        </w:rPr>
        <w:t>ZnO ürün filtresinden havaya salınan toz emisyonlarının bir ton ZnO ürünü başına</w:t>
      </w:r>
    </w:p>
    <w:p w14:paraId="46621B01" w14:textId="77777777" w:rsidR="000F3B99" w:rsidRPr="00F50C10" w:rsidRDefault="000F3B99" w:rsidP="00A654AE">
      <w:pPr>
        <w:pStyle w:val="ListeParagraf"/>
        <w:numPr>
          <w:ilvl w:val="0"/>
          <w:numId w:val="104"/>
        </w:numPr>
        <w:tabs>
          <w:tab w:val="left" w:pos="1080"/>
        </w:tabs>
        <w:spacing w:before="240" w:line="276" w:lineRule="auto"/>
        <w:ind w:left="1080"/>
        <w:rPr>
          <w:rFonts w:cs="Times New Roman"/>
          <w:szCs w:val="24"/>
        </w:rPr>
      </w:pPr>
      <w:r w:rsidRPr="00F50C10">
        <w:rPr>
          <w:rFonts w:cs="Times New Roman"/>
          <w:szCs w:val="24"/>
        </w:rPr>
        <w:t>0,05 kg'ın altına düşürülmesi,</w:t>
      </w:r>
    </w:p>
    <w:p w14:paraId="3CB2C457" w14:textId="77777777" w:rsidR="000F3B99" w:rsidRPr="00F50C10" w:rsidRDefault="000F3B99" w:rsidP="00A654AE">
      <w:pPr>
        <w:pStyle w:val="ListeParagraf"/>
        <w:numPr>
          <w:ilvl w:val="0"/>
          <w:numId w:val="104"/>
        </w:numPr>
        <w:tabs>
          <w:tab w:val="left" w:pos="1080"/>
        </w:tabs>
        <w:spacing w:before="240" w:line="276" w:lineRule="auto"/>
        <w:ind w:left="1080"/>
        <w:rPr>
          <w:rFonts w:cs="Times New Roman"/>
          <w:szCs w:val="24"/>
        </w:rPr>
      </w:pPr>
      <w:r w:rsidRPr="00F50C10">
        <w:rPr>
          <w:rFonts w:cs="Times New Roman"/>
          <w:szCs w:val="24"/>
        </w:rPr>
        <w:t>ısıtma sistemlerinde yakma gazları nedeniyle havaya salınan emisyonların: bir ton ZnO ürünü başına SO</w:t>
      </w:r>
      <w:r w:rsidRPr="00F50C10">
        <w:rPr>
          <w:rFonts w:cs="Times New Roman"/>
          <w:szCs w:val="24"/>
          <w:vertAlign w:val="subscript"/>
        </w:rPr>
        <w:t>2</w:t>
      </w:r>
      <w:r w:rsidRPr="00F50C10">
        <w:rPr>
          <w:rFonts w:cs="Times New Roman"/>
          <w:szCs w:val="24"/>
        </w:rPr>
        <w:t xml:space="preserve"> için &lt;0,6 kg, NO</w:t>
      </w:r>
      <w:r w:rsidRPr="00F50C10">
        <w:rPr>
          <w:rFonts w:cs="Times New Roman"/>
          <w:szCs w:val="24"/>
          <w:vertAlign w:val="subscript"/>
        </w:rPr>
        <w:t>x</w:t>
      </w:r>
      <w:r w:rsidRPr="00F50C10">
        <w:rPr>
          <w:rFonts w:cs="Times New Roman"/>
          <w:szCs w:val="24"/>
        </w:rPr>
        <w:t xml:space="preserve"> için &lt;0,75 kg, CO</w:t>
      </w:r>
      <w:r w:rsidRPr="00F50C10">
        <w:rPr>
          <w:rFonts w:cs="Times New Roman"/>
          <w:szCs w:val="24"/>
          <w:vertAlign w:val="subscript"/>
        </w:rPr>
        <w:t>2</w:t>
      </w:r>
      <w:r w:rsidRPr="00F50C10">
        <w:rPr>
          <w:rFonts w:cs="Times New Roman"/>
          <w:szCs w:val="24"/>
        </w:rPr>
        <w:t xml:space="preserve"> için &lt;875 kg'a düşürülmesi,</w:t>
      </w:r>
    </w:p>
    <w:p w14:paraId="31230251" w14:textId="77777777" w:rsidR="000F3B99" w:rsidRPr="00F50C10" w:rsidRDefault="000F3B99" w:rsidP="00A654AE">
      <w:pPr>
        <w:pStyle w:val="ListeParagraf"/>
        <w:numPr>
          <w:ilvl w:val="0"/>
          <w:numId w:val="104"/>
        </w:numPr>
        <w:tabs>
          <w:tab w:val="left" w:pos="1080"/>
        </w:tabs>
        <w:spacing w:before="240" w:line="276" w:lineRule="auto"/>
        <w:ind w:left="1080"/>
        <w:rPr>
          <w:rFonts w:cs="Times New Roman"/>
          <w:szCs w:val="24"/>
        </w:rPr>
      </w:pPr>
      <w:r w:rsidRPr="00F50C10">
        <w:rPr>
          <w:rFonts w:cs="Times New Roman"/>
          <w:szCs w:val="24"/>
        </w:rPr>
        <w:t>toplam enerji tüketiminin bir ton ZnO ürünü başına 13 GJ'nin altına düşürülmesi,</w:t>
      </w:r>
    </w:p>
    <w:p w14:paraId="271CA68F" w14:textId="77777777" w:rsidR="000F3B99" w:rsidRPr="00F50C10" w:rsidRDefault="000F3B99" w:rsidP="00A654AE">
      <w:pPr>
        <w:pStyle w:val="ListeParagraf"/>
        <w:numPr>
          <w:ilvl w:val="0"/>
          <w:numId w:val="104"/>
        </w:numPr>
        <w:tabs>
          <w:tab w:val="left" w:pos="1080"/>
        </w:tabs>
        <w:spacing w:before="240" w:line="276" w:lineRule="auto"/>
        <w:ind w:left="1080"/>
        <w:rPr>
          <w:rFonts w:cs="Times New Roman"/>
          <w:szCs w:val="24"/>
        </w:rPr>
      </w:pPr>
      <w:r w:rsidRPr="00F50C10">
        <w:rPr>
          <w:rFonts w:cs="Times New Roman"/>
          <w:szCs w:val="24"/>
        </w:rPr>
        <w:t>proseste üretilen toplam cüruf miktarının bir ton ZnO ürünü başına 200 kg'ın altına düşürülmesi.</w:t>
      </w:r>
    </w:p>
    <w:p w14:paraId="112E7A38" w14:textId="77777777" w:rsidR="000F3B99" w:rsidRPr="00F50C10" w:rsidRDefault="000F3B99" w:rsidP="00A654AE">
      <w:pPr>
        <w:pStyle w:val="Balk3"/>
        <w:numPr>
          <w:ilvl w:val="2"/>
          <w:numId w:val="165"/>
        </w:numPr>
        <w:spacing w:line="276" w:lineRule="auto"/>
        <w:rPr>
          <w:rFonts w:cs="Times New Roman"/>
        </w:rPr>
      </w:pPr>
      <w:r w:rsidRPr="00F50C10">
        <w:rPr>
          <w:rFonts w:cs="Times New Roman"/>
        </w:rPr>
        <w:t>Dolaylı proses yöntemiyle çinko oksit üretimi</w:t>
      </w:r>
    </w:p>
    <w:p w14:paraId="3F1367A6" w14:textId="0D55AD40"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201: </w:t>
      </w:r>
      <w:r w:rsidRPr="00F50C10">
        <w:rPr>
          <w:rFonts w:cs="Times New Roman"/>
          <w:szCs w:val="24"/>
        </w:rPr>
        <w:t>Aşağıdaki çevresel faydalara ve performans hedeflerine ulaşmak için proses parametrelerinin kontrolü geliştir</w:t>
      </w:r>
      <w:r w:rsidR="003B7B19" w:rsidRPr="00F50C10">
        <w:rPr>
          <w:rFonts w:cs="Times New Roman"/>
          <w:szCs w:val="24"/>
        </w:rPr>
        <w:t>il</w:t>
      </w:r>
      <w:r w:rsidRPr="00F50C10">
        <w:rPr>
          <w:rFonts w:cs="Times New Roman"/>
          <w:szCs w:val="24"/>
        </w:rPr>
        <w:t>erek, dolaylı elektrotermal yöntemle çinko oksit üretiminde proses verimi artırılır</w:t>
      </w:r>
      <w:r w:rsidR="00E515D6" w:rsidRPr="00F50C10">
        <w:rPr>
          <w:rFonts w:cs="Times New Roman"/>
          <w:szCs w:val="24"/>
        </w:rPr>
        <w:t>:</w:t>
      </w:r>
    </w:p>
    <w:p w14:paraId="667C12B6" w14:textId="77777777" w:rsidR="000F3B99" w:rsidRPr="00F50C10" w:rsidRDefault="000F3B99" w:rsidP="00A654AE">
      <w:pPr>
        <w:pStyle w:val="ListeParagraf"/>
        <w:numPr>
          <w:ilvl w:val="0"/>
          <w:numId w:val="105"/>
        </w:numPr>
        <w:spacing w:before="240" w:line="276" w:lineRule="auto"/>
        <w:ind w:left="1080"/>
        <w:rPr>
          <w:rFonts w:cs="Times New Roman"/>
          <w:szCs w:val="24"/>
        </w:rPr>
      </w:pPr>
      <w:r w:rsidRPr="00F50C10">
        <w:rPr>
          <w:rFonts w:cs="Times New Roman"/>
          <w:szCs w:val="24"/>
        </w:rPr>
        <w:t>ZnO ürün filtresinden havaya salınan toz emisyonlarının bir ton ZnO ürünü başına 0,7 kg'ın altına düşürülmesi,</w:t>
      </w:r>
    </w:p>
    <w:p w14:paraId="40E6ADED" w14:textId="77777777" w:rsidR="000F3B99" w:rsidRPr="00F50C10" w:rsidRDefault="000F3B99" w:rsidP="00A654AE">
      <w:pPr>
        <w:pStyle w:val="ListeParagraf"/>
        <w:numPr>
          <w:ilvl w:val="0"/>
          <w:numId w:val="105"/>
        </w:numPr>
        <w:spacing w:before="240" w:line="276" w:lineRule="auto"/>
        <w:ind w:left="1080"/>
        <w:rPr>
          <w:rFonts w:cs="Times New Roman"/>
          <w:szCs w:val="24"/>
        </w:rPr>
      </w:pPr>
      <w:r w:rsidRPr="00F50C10">
        <w:rPr>
          <w:rFonts w:cs="Times New Roman"/>
          <w:szCs w:val="24"/>
        </w:rPr>
        <w:t>ısıtma sistemlerinde yakma gazları nedeniyle havaya salınan emisyonların: bir ton ZnO ürünü başına SO</w:t>
      </w:r>
      <w:r w:rsidRPr="00F50C10">
        <w:rPr>
          <w:rFonts w:cs="Times New Roman"/>
          <w:szCs w:val="24"/>
          <w:vertAlign w:val="subscript"/>
        </w:rPr>
        <w:t>2</w:t>
      </w:r>
      <w:r w:rsidRPr="00F50C10">
        <w:rPr>
          <w:rFonts w:cs="Times New Roman"/>
          <w:szCs w:val="24"/>
        </w:rPr>
        <w:t xml:space="preserve"> için &lt;0,15 kg, NO</w:t>
      </w:r>
      <w:r w:rsidRPr="00F50C10">
        <w:rPr>
          <w:rFonts w:cs="Times New Roman"/>
          <w:szCs w:val="24"/>
          <w:vertAlign w:val="subscript"/>
        </w:rPr>
        <w:t>X</w:t>
      </w:r>
      <w:r w:rsidRPr="00F50C10">
        <w:rPr>
          <w:rFonts w:cs="Times New Roman"/>
          <w:szCs w:val="24"/>
        </w:rPr>
        <w:t xml:space="preserve"> için &lt;0,125 kg, CO</w:t>
      </w:r>
      <w:r w:rsidRPr="00F50C10">
        <w:rPr>
          <w:rFonts w:cs="Times New Roman"/>
          <w:szCs w:val="24"/>
          <w:vertAlign w:val="subscript"/>
        </w:rPr>
        <w:t>2</w:t>
      </w:r>
      <w:r w:rsidRPr="00F50C10">
        <w:rPr>
          <w:rFonts w:cs="Times New Roman"/>
          <w:szCs w:val="24"/>
        </w:rPr>
        <w:t xml:space="preserve"> için &lt;130 kg'a düşürülmesi,</w:t>
      </w:r>
    </w:p>
    <w:p w14:paraId="6CAB46D2" w14:textId="77777777" w:rsidR="000F3B99" w:rsidRPr="00F50C10" w:rsidRDefault="000F3B99" w:rsidP="00A654AE">
      <w:pPr>
        <w:pStyle w:val="ListeParagraf"/>
        <w:numPr>
          <w:ilvl w:val="0"/>
          <w:numId w:val="105"/>
        </w:numPr>
        <w:spacing w:before="240" w:line="276" w:lineRule="auto"/>
        <w:ind w:left="1080"/>
        <w:rPr>
          <w:rFonts w:cs="Times New Roman"/>
          <w:szCs w:val="24"/>
        </w:rPr>
      </w:pPr>
      <w:r w:rsidRPr="00F50C10">
        <w:rPr>
          <w:rFonts w:cs="Times New Roman"/>
          <w:szCs w:val="24"/>
        </w:rPr>
        <w:t>toplam enerji tüketiminin bir ton ZnO ürünü başına 5,2 GJ'nin altına düşürülmesi.</w:t>
      </w:r>
    </w:p>
    <w:p w14:paraId="01C8CB72" w14:textId="6BB59E92"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202: </w:t>
      </w:r>
      <w:r w:rsidRPr="00F50C10">
        <w:rPr>
          <w:rFonts w:cs="Times New Roman"/>
          <w:szCs w:val="24"/>
        </w:rPr>
        <w:t>Aşağıdaki çevresel faydalara ve performans hedeflerine ulaşmak için proses parametrelerinin kontrolü geliştir</w:t>
      </w:r>
      <w:r w:rsidR="003B7B19" w:rsidRPr="00F50C10">
        <w:rPr>
          <w:rFonts w:cs="Times New Roman"/>
          <w:szCs w:val="24"/>
        </w:rPr>
        <w:t>il</w:t>
      </w:r>
      <w:r w:rsidRPr="00F50C10">
        <w:rPr>
          <w:rFonts w:cs="Times New Roman"/>
          <w:szCs w:val="24"/>
        </w:rPr>
        <w:t>erek, dolaylı mufla yöntemle çinko oksit üretiminde proses verimi artırılır</w:t>
      </w:r>
      <w:r w:rsidR="00E515D6" w:rsidRPr="00F50C10">
        <w:rPr>
          <w:rFonts w:cs="Times New Roman"/>
          <w:szCs w:val="24"/>
        </w:rPr>
        <w:t>:</w:t>
      </w:r>
    </w:p>
    <w:p w14:paraId="0F319049" w14:textId="77777777" w:rsidR="000F3B99" w:rsidRPr="00F50C10" w:rsidRDefault="000F3B99" w:rsidP="00A654AE">
      <w:pPr>
        <w:pStyle w:val="ListeParagraf"/>
        <w:numPr>
          <w:ilvl w:val="0"/>
          <w:numId w:val="106"/>
        </w:numPr>
        <w:spacing w:before="240" w:line="276" w:lineRule="auto"/>
        <w:ind w:left="1080"/>
        <w:rPr>
          <w:rFonts w:cs="Times New Roman"/>
          <w:szCs w:val="24"/>
        </w:rPr>
      </w:pPr>
      <w:r w:rsidRPr="00F50C10">
        <w:rPr>
          <w:rFonts w:cs="Times New Roman"/>
          <w:szCs w:val="24"/>
        </w:rPr>
        <w:t>ZnO ürün filtresinden havaya salınan toz emisyonlarının bir ton ZnO ürünü başına 0,25 kg'ın altına düşürülmesi,</w:t>
      </w:r>
    </w:p>
    <w:p w14:paraId="7B78F904" w14:textId="77777777" w:rsidR="000F3B99" w:rsidRPr="00F50C10" w:rsidRDefault="000F3B99" w:rsidP="00A654AE">
      <w:pPr>
        <w:pStyle w:val="ListeParagraf"/>
        <w:numPr>
          <w:ilvl w:val="0"/>
          <w:numId w:val="106"/>
        </w:numPr>
        <w:spacing w:before="240" w:line="276" w:lineRule="auto"/>
        <w:ind w:left="1080"/>
        <w:rPr>
          <w:rFonts w:cs="Times New Roman"/>
          <w:szCs w:val="24"/>
        </w:rPr>
      </w:pPr>
      <w:r w:rsidRPr="00F50C10">
        <w:rPr>
          <w:rFonts w:cs="Times New Roman"/>
          <w:szCs w:val="24"/>
        </w:rPr>
        <w:t>ısıtma sistemlerinde yakma gazları nedeniyle havaya salınan emisyonların: bir ton ZnO ürünü başına SO</w:t>
      </w:r>
      <w:r w:rsidRPr="00F50C10">
        <w:rPr>
          <w:rFonts w:cs="Times New Roman"/>
          <w:szCs w:val="24"/>
          <w:vertAlign w:val="subscript"/>
        </w:rPr>
        <w:t>2</w:t>
      </w:r>
      <w:r w:rsidRPr="00F50C10">
        <w:rPr>
          <w:rFonts w:cs="Times New Roman"/>
          <w:szCs w:val="24"/>
        </w:rPr>
        <w:t xml:space="preserve"> için &lt;0,2 kg, NO</w:t>
      </w:r>
      <w:r w:rsidRPr="00F50C10">
        <w:rPr>
          <w:rFonts w:cs="Times New Roman"/>
          <w:szCs w:val="24"/>
          <w:vertAlign w:val="subscript"/>
        </w:rPr>
        <w:t>x</w:t>
      </w:r>
      <w:r w:rsidRPr="00F50C10">
        <w:rPr>
          <w:rFonts w:cs="Times New Roman"/>
          <w:szCs w:val="24"/>
        </w:rPr>
        <w:t xml:space="preserve"> için &lt;0,3 kg, CO</w:t>
      </w:r>
      <w:r w:rsidRPr="00F50C10">
        <w:rPr>
          <w:rFonts w:cs="Times New Roman"/>
          <w:szCs w:val="24"/>
          <w:vertAlign w:val="subscript"/>
        </w:rPr>
        <w:t>2</w:t>
      </w:r>
      <w:r w:rsidRPr="00F50C10">
        <w:rPr>
          <w:rFonts w:cs="Times New Roman"/>
          <w:szCs w:val="24"/>
        </w:rPr>
        <w:t xml:space="preserve"> için &lt;450 kg'a düşürülmesi,</w:t>
      </w:r>
    </w:p>
    <w:p w14:paraId="6AF5FDA5" w14:textId="77777777" w:rsidR="000F3B99" w:rsidRPr="00F50C10" w:rsidRDefault="000F3B99" w:rsidP="00A654AE">
      <w:pPr>
        <w:pStyle w:val="ListeParagraf"/>
        <w:numPr>
          <w:ilvl w:val="0"/>
          <w:numId w:val="106"/>
        </w:numPr>
        <w:spacing w:before="240" w:line="276" w:lineRule="auto"/>
        <w:ind w:left="1080"/>
        <w:rPr>
          <w:rFonts w:cs="Times New Roman"/>
          <w:szCs w:val="24"/>
        </w:rPr>
      </w:pPr>
      <w:r w:rsidRPr="00F50C10">
        <w:rPr>
          <w:rFonts w:cs="Times New Roman"/>
          <w:szCs w:val="24"/>
        </w:rPr>
        <w:t>toplam enerji tüketiminin bir ton ZnO ürünü başına 8,6 GJ'nin altına düşürülmesi.</w:t>
      </w:r>
    </w:p>
    <w:p w14:paraId="7A10920F" w14:textId="546CC57B"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203: </w:t>
      </w:r>
      <w:r w:rsidRPr="00F50C10">
        <w:rPr>
          <w:rFonts w:cs="Times New Roman"/>
          <w:szCs w:val="24"/>
        </w:rPr>
        <w:t>Aşağıdaki çevresel faydalara ve performans hedeflerine ulaşmak için proses parametrelerinin kontrol</w:t>
      </w:r>
      <w:r w:rsidR="003B7B19" w:rsidRPr="00F50C10">
        <w:rPr>
          <w:rFonts w:cs="Times New Roman"/>
          <w:szCs w:val="24"/>
        </w:rPr>
        <w:t>ü</w:t>
      </w:r>
      <w:r w:rsidRPr="00F50C10">
        <w:rPr>
          <w:rFonts w:cs="Times New Roman"/>
          <w:szCs w:val="24"/>
        </w:rPr>
        <w:t xml:space="preserve"> geliştir</w:t>
      </w:r>
      <w:r w:rsidR="003B7B19" w:rsidRPr="00F50C10">
        <w:rPr>
          <w:rFonts w:cs="Times New Roman"/>
          <w:szCs w:val="24"/>
        </w:rPr>
        <w:t>il</w:t>
      </w:r>
      <w:r w:rsidRPr="00F50C10">
        <w:rPr>
          <w:rFonts w:cs="Times New Roman"/>
          <w:szCs w:val="24"/>
        </w:rPr>
        <w:t>erek, dolaylı rektifikasyon yöntemiyle çinko oksit üretiminde proses verimi artırılır</w:t>
      </w:r>
      <w:r w:rsidR="00C45A5E" w:rsidRPr="00F50C10">
        <w:rPr>
          <w:rFonts w:cs="Times New Roman"/>
          <w:szCs w:val="24"/>
        </w:rPr>
        <w:t>:</w:t>
      </w:r>
    </w:p>
    <w:p w14:paraId="68C031AC" w14:textId="77777777" w:rsidR="000F3B99" w:rsidRPr="00F50C10" w:rsidRDefault="000F3B99" w:rsidP="00A654AE">
      <w:pPr>
        <w:pStyle w:val="ListeParagraf"/>
        <w:numPr>
          <w:ilvl w:val="0"/>
          <w:numId w:val="107"/>
        </w:numPr>
        <w:spacing w:before="240" w:line="276" w:lineRule="auto"/>
        <w:ind w:left="1080"/>
        <w:rPr>
          <w:rFonts w:cs="Times New Roman"/>
          <w:szCs w:val="24"/>
        </w:rPr>
      </w:pPr>
      <w:r w:rsidRPr="00F50C10">
        <w:rPr>
          <w:rFonts w:cs="Times New Roman"/>
          <w:szCs w:val="24"/>
        </w:rPr>
        <w:t>ZnO ürün filtresinden havaya salınan toz emisyonlarının bir ton ZnO ürünü başına 0,25 kg'ın altına düşürülmesi,</w:t>
      </w:r>
    </w:p>
    <w:p w14:paraId="303E86CD" w14:textId="77777777" w:rsidR="000F3B99" w:rsidRPr="00F50C10" w:rsidRDefault="000F3B99" w:rsidP="00A654AE">
      <w:pPr>
        <w:pStyle w:val="ListeParagraf"/>
        <w:numPr>
          <w:ilvl w:val="0"/>
          <w:numId w:val="107"/>
        </w:numPr>
        <w:spacing w:before="240" w:line="276" w:lineRule="auto"/>
        <w:ind w:left="1080"/>
        <w:rPr>
          <w:rFonts w:cs="Times New Roman"/>
          <w:szCs w:val="24"/>
        </w:rPr>
      </w:pPr>
      <w:r w:rsidRPr="00F50C10">
        <w:rPr>
          <w:rFonts w:cs="Times New Roman"/>
          <w:szCs w:val="24"/>
        </w:rPr>
        <w:t>ısıtma sistemlerinde yakma gazları nedeniyle havaya salınan emisyonların: bir ton ZnO ürünü başına SO</w:t>
      </w:r>
      <w:r w:rsidRPr="00F50C10">
        <w:rPr>
          <w:rFonts w:cs="Times New Roman"/>
          <w:szCs w:val="24"/>
          <w:vertAlign w:val="subscript"/>
        </w:rPr>
        <w:t>2</w:t>
      </w:r>
      <w:r w:rsidRPr="00F50C10">
        <w:rPr>
          <w:rFonts w:cs="Times New Roman"/>
          <w:szCs w:val="24"/>
        </w:rPr>
        <w:t xml:space="preserve"> için &lt;0,1 kg, NO</w:t>
      </w:r>
      <w:r w:rsidRPr="00F50C10">
        <w:rPr>
          <w:rFonts w:cs="Times New Roman"/>
          <w:szCs w:val="24"/>
          <w:vertAlign w:val="subscript"/>
        </w:rPr>
        <w:t>x</w:t>
      </w:r>
      <w:r w:rsidRPr="00F50C10">
        <w:rPr>
          <w:rFonts w:cs="Times New Roman"/>
          <w:szCs w:val="24"/>
        </w:rPr>
        <w:t xml:space="preserve"> için &lt;0,8 kg, CO</w:t>
      </w:r>
      <w:r w:rsidRPr="00F50C10">
        <w:rPr>
          <w:rFonts w:cs="Times New Roman"/>
          <w:szCs w:val="24"/>
          <w:vertAlign w:val="subscript"/>
        </w:rPr>
        <w:t>2</w:t>
      </w:r>
      <w:r w:rsidRPr="00F50C10">
        <w:rPr>
          <w:rFonts w:cs="Times New Roman"/>
          <w:szCs w:val="24"/>
        </w:rPr>
        <w:t xml:space="preserve"> için &lt;950 kg'a düşürülmesi,</w:t>
      </w:r>
    </w:p>
    <w:p w14:paraId="69C62EDA" w14:textId="77777777" w:rsidR="000F3B99" w:rsidRPr="00F50C10" w:rsidRDefault="000F3B99" w:rsidP="00A654AE">
      <w:pPr>
        <w:pStyle w:val="ListeParagraf"/>
        <w:numPr>
          <w:ilvl w:val="0"/>
          <w:numId w:val="107"/>
        </w:numPr>
        <w:spacing w:before="240" w:line="276" w:lineRule="auto"/>
        <w:ind w:left="1080"/>
        <w:rPr>
          <w:rFonts w:cs="Times New Roman"/>
          <w:szCs w:val="24"/>
        </w:rPr>
      </w:pPr>
      <w:r w:rsidRPr="00F50C10">
        <w:rPr>
          <w:rFonts w:cs="Times New Roman"/>
          <w:szCs w:val="24"/>
        </w:rPr>
        <w:t>toplam enerji tüketiminin bir ton ZnO ürünü başına 14,4 GJ'nin altına düşürülmesi.</w:t>
      </w:r>
    </w:p>
    <w:p w14:paraId="73004CDD" w14:textId="1B9B631B"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204: </w:t>
      </w:r>
      <w:r w:rsidRPr="00F50C10">
        <w:rPr>
          <w:rFonts w:cs="Times New Roman"/>
          <w:szCs w:val="24"/>
        </w:rPr>
        <w:t>Aşağıdaki çevresel faydalara ve performans hedeflerine ulaşmak için proses parametrelerinin kontrol</w:t>
      </w:r>
      <w:r w:rsidR="003B7B19" w:rsidRPr="00F50C10">
        <w:rPr>
          <w:rFonts w:cs="Times New Roman"/>
          <w:szCs w:val="24"/>
        </w:rPr>
        <w:t>ü</w:t>
      </w:r>
      <w:r w:rsidRPr="00F50C10">
        <w:rPr>
          <w:rFonts w:cs="Times New Roman"/>
          <w:szCs w:val="24"/>
        </w:rPr>
        <w:t xml:space="preserve"> geliştir</w:t>
      </w:r>
      <w:r w:rsidR="003B7B19" w:rsidRPr="00F50C10">
        <w:rPr>
          <w:rFonts w:cs="Times New Roman"/>
          <w:szCs w:val="24"/>
        </w:rPr>
        <w:t>il</w:t>
      </w:r>
      <w:r w:rsidRPr="00F50C10">
        <w:rPr>
          <w:rFonts w:cs="Times New Roman"/>
          <w:szCs w:val="24"/>
        </w:rPr>
        <w:t>erek, dolaylı retort yöntemiyle çinko oksit üretiminde proses verimi artırılır</w:t>
      </w:r>
      <w:r w:rsidR="00C45A5E" w:rsidRPr="00F50C10">
        <w:rPr>
          <w:rFonts w:cs="Times New Roman"/>
          <w:szCs w:val="24"/>
        </w:rPr>
        <w:t>:</w:t>
      </w:r>
    </w:p>
    <w:p w14:paraId="6D91BB29" w14:textId="3335C8DE" w:rsidR="000F3B99" w:rsidRPr="00F50C10" w:rsidRDefault="000F3B99" w:rsidP="00A654AE">
      <w:pPr>
        <w:pStyle w:val="ListeParagraf"/>
        <w:numPr>
          <w:ilvl w:val="0"/>
          <w:numId w:val="108"/>
        </w:numPr>
        <w:spacing w:before="240" w:line="276" w:lineRule="auto"/>
        <w:ind w:left="900"/>
        <w:rPr>
          <w:rFonts w:cs="Times New Roman"/>
          <w:szCs w:val="24"/>
        </w:rPr>
      </w:pPr>
      <w:r w:rsidRPr="00F50C10">
        <w:rPr>
          <w:rFonts w:cs="Times New Roman"/>
          <w:szCs w:val="24"/>
        </w:rPr>
        <w:t>ZnO ürün filtresinden havaya salınan toz emisyonlarının bir ton ZnO ürünü başına</w:t>
      </w:r>
      <w:r w:rsidR="003B7B19" w:rsidRPr="00F50C10">
        <w:rPr>
          <w:rFonts w:cs="Times New Roman"/>
          <w:szCs w:val="24"/>
        </w:rPr>
        <w:t xml:space="preserve"> </w:t>
      </w:r>
      <w:r w:rsidRPr="00F50C10">
        <w:rPr>
          <w:rFonts w:cs="Times New Roman"/>
          <w:szCs w:val="24"/>
        </w:rPr>
        <w:t>0,05 kg'ın altına düşürülmesi,</w:t>
      </w:r>
    </w:p>
    <w:p w14:paraId="0AC5FDEC" w14:textId="3167C01F" w:rsidR="000F3B99" w:rsidRPr="00F50C10" w:rsidRDefault="000F3B99" w:rsidP="00A654AE">
      <w:pPr>
        <w:pStyle w:val="ListeParagraf"/>
        <w:numPr>
          <w:ilvl w:val="0"/>
          <w:numId w:val="108"/>
        </w:numPr>
        <w:spacing w:before="240" w:line="276" w:lineRule="auto"/>
        <w:ind w:left="900"/>
        <w:rPr>
          <w:rFonts w:cs="Times New Roman"/>
          <w:szCs w:val="24"/>
        </w:rPr>
      </w:pPr>
      <w:r w:rsidRPr="00F50C10">
        <w:rPr>
          <w:rFonts w:cs="Times New Roman"/>
          <w:szCs w:val="24"/>
        </w:rPr>
        <w:t>ısıtma sistemlerinde yakma gazları nedeniyle havaya salınan emisyonların: bir ton ZnO ürünü başına SO</w:t>
      </w:r>
      <w:r w:rsidRPr="00F50C10">
        <w:rPr>
          <w:rFonts w:cs="Times New Roman"/>
          <w:szCs w:val="24"/>
          <w:vertAlign w:val="subscript"/>
        </w:rPr>
        <w:t>2</w:t>
      </w:r>
      <w:r w:rsidRPr="00F50C10">
        <w:rPr>
          <w:rFonts w:cs="Times New Roman"/>
          <w:szCs w:val="24"/>
        </w:rPr>
        <w:t xml:space="preserve"> için &lt;0,2 kg, NO</w:t>
      </w:r>
      <w:r w:rsidRPr="00F50C10">
        <w:rPr>
          <w:rFonts w:cs="Times New Roman"/>
          <w:szCs w:val="24"/>
          <w:vertAlign w:val="subscript"/>
        </w:rPr>
        <w:t>X</w:t>
      </w:r>
      <w:r w:rsidRPr="00F50C10">
        <w:rPr>
          <w:rFonts w:cs="Times New Roman"/>
          <w:szCs w:val="24"/>
        </w:rPr>
        <w:t xml:space="preserve"> için &lt;0,5 kg, CO</w:t>
      </w:r>
      <w:r w:rsidRPr="00F50C10">
        <w:rPr>
          <w:rFonts w:cs="Times New Roman"/>
          <w:szCs w:val="24"/>
          <w:vertAlign w:val="subscript"/>
        </w:rPr>
        <w:t>2</w:t>
      </w:r>
      <w:r w:rsidRPr="00F50C10">
        <w:rPr>
          <w:rFonts w:cs="Times New Roman"/>
          <w:szCs w:val="24"/>
        </w:rPr>
        <w:t xml:space="preserve"> için</w:t>
      </w:r>
      <w:r w:rsidR="003B7B19" w:rsidRPr="00F50C10">
        <w:rPr>
          <w:rFonts w:cs="Times New Roman"/>
          <w:szCs w:val="24"/>
        </w:rPr>
        <w:t xml:space="preserve"> </w:t>
      </w:r>
      <w:r w:rsidRPr="00F50C10">
        <w:rPr>
          <w:rFonts w:cs="Times New Roman"/>
          <w:szCs w:val="24"/>
        </w:rPr>
        <w:t>&lt;420 kg'a düşürülmesi,</w:t>
      </w:r>
    </w:p>
    <w:p w14:paraId="68AAFB1B" w14:textId="77777777" w:rsidR="000F3B99" w:rsidRPr="00F50C10" w:rsidRDefault="000F3B99" w:rsidP="00A654AE">
      <w:pPr>
        <w:pStyle w:val="ListeParagraf"/>
        <w:numPr>
          <w:ilvl w:val="0"/>
          <w:numId w:val="108"/>
        </w:numPr>
        <w:spacing w:before="240" w:line="276" w:lineRule="auto"/>
        <w:ind w:left="900"/>
        <w:rPr>
          <w:rFonts w:cs="Times New Roman"/>
          <w:szCs w:val="24"/>
        </w:rPr>
      </w:pPr>
      <w:r w:rsidRPr="00F50C10">
        <w:rPr>
          <w:rFonts w:cs="Times New Roman"/>
          <w:szCs w:val="24"/>
        </w:rPr>
        <w:t>toplam enerji tüketiminin bir ton ZnO ürünü başına 9,3 GJ'nin altına düşürülmesi.</w:t>
      </w:r>
    </w:p>
    <w:p w14:paraId="027039BE" w14:textId="44390781" w:rsidR="000F3B99" w:rsidRPr="00F50C10" w:rsidRDefault="000F3B99" w:rsidP="000B206D">
      <w:pPr>
        <w:spacing w:before="240" w:line="276" w:lineRule="auto"/>
        <w:rPr>
          <w:rFonts w:cs="Times New Roman"/>
          <w:szCs w:val="24"/>
        </w:rPr>
      </w:pPr>
      <w:r w:rsidRPr="00F50C10">
        <w:rPr>
          <w:rFonts w:cs="Times New Roman"/>
          <w:b/>
          <w:bCs/>
          <w:szCs w:val="24"/>
        </w:rPr>
        <w:t xml:space="preserve">MET 205: </w:t>
      </w:r>
      <w:r w:rsidRPr="00F50C10">
        <w:rPr>
          <w:rFonts w:cs="Times New Roman"/>
          <w:szCs w:val="24"/>
        </w:rPr>
        <w:t>Aşağıdaki çevresel faydalara ve performans hedeflerine ulaşmak için proses parametrelerinin kontrolü geliştir</w:t>
      </w:r>
      <w:r w:rsidR="003B7B19" w:rsidRPr="00F50C10">
        <w:rPr>
          <w:rFonts w:cs="Times New Roman"/>
          <w:szCs w:val="24"/>
        </w:rPr>
        <w:t>il</w:t>
      </w:r>
      <w:r w:rsidRPr="00F50C10">
        <w:rPr>
          <w:rFonts w:cs="Times New Roman"/>
          <w:szCs w:val="24"/>
        </w:rPr>
        <w:t>erek, dolaylı döner fırın yöntemiyle çinko oksit üretiminde proses verimi artırıl</w:t>
      </w:r>
      <w:r w:rsidR="003B7B19" w:rsidRPr="00F50C10">
        <w:rPr>
          <w:rFonts w:cs="Times New Roman"/>
          <w:szCs w:val="24"/>
        </w:rPr>
        <w:t>ı</w:t>
      </w:r>
      <w:r w:rsidRPr="00F50C10">
        <w:rPr>
          <w:rFonts w:cs="Times New Roman"/>
          <w:szCs w:val="24"/>
        </w:rPr>
        <w:t>r</w:t>
      </w:r>
      <w:r w:rsidR="00C45A5E" w:rsidRPr="00F50C10">
        <w:rPr>
          <w:rFonts w:cs="Times New Roman"/>
          <w:szCs w:val="24"/>
        </w:rPr>
        <w:t>:</w:t>
      </w:r>
    </w:p>
    <w:p w14:paraId="2663D5F6" w14:textId="77777777" w:rsidR="000F3B99" w:rsidRPr="00F50C10" w:rsidRDefault="000F3B99" w:rsidP="00A654AE">
      <w:pPr>
        <w:pStyle w:val="ListeParagraf"/>
        <w:numPr>
          <w:ilvl w:val="0"/>
          <w:numId w:val="109"/>
        </w:numPr>
        <w:spacing w:before="240" w:line="276" w:lineRule="auto"/>
        <w:ind w:left="1080"/>
        <w:rPr>
          <w:rFonts w:cs="Times New Roman"/>
          <w:szCs w:val="24"/>
        </w:rPr>
      </w:pPr>
      <w:r w:rsidRPr="00F50C10">
        <w:rPr>
          <w:rFonts w:cs="Times New Roman"/>
          <w:szCs w:val="24"/>
        </w:rPr>
        <w:t>ZnO ürün filtresinden havaya salınan toz emisyonlarının bir ton ZnO ürünü başına 0,17 kg'ın altına düşürülmesi,</w:t>
      </w:r>
    </w:p>
    <w:p w14:paraId="5F141117" w14:textId="77777777" w:rsidR="000F3B99" w:rsidRPr="00F50C10" w:rsidRDefault="000F3B99" w:rsidP="00A654AE">
      <w:pPr>
        <w:pStyle w:val="ListeParagraf"/>
        <w:numPr>
          <w:ilvl w:val="0"/>
          <w:numId w:val="109"/>
        </w:numPr>
        <w:spacing w:before="240" w:line="276" w:lineRule="auto"/>
        <w:ind w:left="1080"/>
        <w:rPr>
          <w:rFonts w:cs="Times New Roman"/>
          <w:szCs w:val="24"/>
        </w:rPr>
      </w:pPr>
      <w:r w:rsidRPr="00F50C10">
        <w:rPr>
          <w:rFonts w:cs="Times New Roman"/>
          <w:szCs w:val="24"/>
        </w:rPr>
        <w:t>ısıtma sistemlerinde yakma gazları nedeniyle havaya salınan emisyonların: bir ton ZnO ürünü başına SO</w:t>
      </w:r>
      <w:r w:rsidRPr="00F50C10">
        <w:rPr>
          <w:rFonts w:cs="Times New Roman"/>
          <w:szCs w:val="24"/>
          <w:vertAlign w:val="subscript"/>
        </w:rPr>
        <w:t>2</w:t>
      </w:r>
      <w:r w:rsidRPr="00F50C10">
        <w:rPr>
          <w:rFonts w:cs="Times New Roman"/>
          <w:szCs w:val="24"/>
        </w:rPr>
        <w:t xml:space="preserve"> için &lt;0,2 kg, NO</w:t>
      </w:r>
      <w:r w:rsidRPr="00F50C10">
        <w:rPr>
          <w:rFonts w:cs="Times New Roman"/>
          <w:szCs w:val="24"/>
          <w:vertAlign w:val="subscript"/>
        </w:rPr>
        <w:t>x</w:t>
      </w:r>
      <w:r w:rsidRPr="00F50C10">
        <w:rPr>
          <w:rFonts w:cs="Times New Roman"/>
          <w:szCs w:val="24"/>
        </w:rPr>
        <w:t xml:space="preserve"> için &lt;0,3 kg, CO</w:t>
      </w:r>
      <w:r w:rsidRPr="00F50C10">
        <w:rPr>
          <w:rFonts w:cs="Times New Roman"/>
          <w:szCs w:val="24"/>
          <w:vertAlign w:val="subscript"/>
        </w:rPr>
        <w:t>2</w:t>
      </w:r>
      <w:r w:rsidRPr="00F50C10">
        <w:rPr>
          <w:rFonts w:cs="Times New Roman"/>
          <w:szCs w:val="24"/>
        </w:rPr>
        <w:t xml:space="preserve"> için &lt;330 kg'a düşürülmesi,</w:t>
      </w:r>
    </w:p>
    <w:p w14:paraId="1FE07E38" w14:textId="77777777" w:rsidR="000F3B99" w:rsidRPr="00F50C10" w:rsidRDefault="000F3B99" w:rsidP="00A654AE">
      <w:pPr>
        <w:pStyle w:val="ListeParagraf"/>
        <w:numPr>
          <w:ilvl w:val="0"/>
          <w:numId w:val="109"/>
        </w:numPr>
        <w:spacing w:before="240" w:line="276" w:lineRule="auto"/>
        <w:ind w:left="1080"/>
        <w:rPr>
          <w:rFonts w:cs="Times New Roman"/>
          <w:szCs w:val="24"/>
        </w:rPr>
      </w:pPr>
      <w:r w:rsidRPr="00F50C10">
        <w:rPr>
          <w:rFonts w:cs="Times New Roman"/>
          <w:szCs w:val="24"/>
        </w:rPr>
        <w:t>toplam enerji tüketiminin bir ton ZnO ürünü başına 3,8 GJ'nin altına düşürülmesi.</w:t>
      </w:r>
    </w:p>
    <w:p w14:paraId="0256DC2D" w14:textId="77777777" w:rsidR="000F3B99" w:rsidRPr="00F50C10" w:rsidRDefault="000F3B99" w:rsidP="00A654AE">
      <w:pPr>
        <w:pStyle w:val="Balk3"/>
        <w:numPr>
          <w:ilvl w:val="2"/>
          <w:numId w:val="165"/>
        </w:numPr>
        <w:spacing w:line="276" w:lineRule="auto"/>
        <w:rPr>
          <w:rFonts w:cs="Times New Roman"/>
        </w:rPr>
      </w:pPr>
      <w:r w:rsidRPr="00F50C10">
        <w:rPr>
          <w:rFonts w:cs="Times New Roman"/>
        </w:rPr>
        <w:t>Yaş kimyasal proses yöntemiyle çinko oksit üretimi</w:t>
      </w:r>
    </w:p>
    <w:p w14:paraId="594955CE" w14:textId="5B21AF5E"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206: </w:t>
      </w:r>
      <w:r w:rsidRPr="00F50C10">
        <w:rPr>
          <w:rFonts w:cs="Times New Roman"/>
          <w:szCs w:val="24"/>
        </w:rPr>
        <w:t xml:space="preserve">Sucul ortamı korumak ve arızalar meydana geldiğinde önleyici tedbirleri başlatmak </w:t>
      </w:r>
      <w:r w:rsidR="003B7B19" w:rsidRPr="00F50C10">
        <w:rPr>
          <w:rFonts w:cs="Times New Roman"/>
          <w:szCs w:val="24"/>
        </w:rPr>
        <w:t>amacıyla</w:t>
      </w:r>
      <w:r w:rsidRPr="00F50C10">
        <w:rPr>
          <w:rFonts w:cs="Times New Roman"/>
          <w:szCs w:val="24"/>
        </w:rPr>
        <w:t xml:space="preserve"> suya boşaltılan atık suların sürekli izlenmesini sağlayacak</w:t>
      </w:r>
      <w:r w:rsidR="003B7B19" w:rsidRPr="00F50C10">
        <w:rPr>
          <w:rFonts w:cs="Times New Roman"/>
          <w:szCs w:val="24"/>
        </w:rPr>
        <w:t xml:space="preserve"> bir</w:t>
      </w:r>
      <w:r w:rsidRPr="00F50C10">
        <w:rPr>
          <w:rFonts w:cs="Times New Roman"/>
          <w:szCs w:val="24"/>
        </w:rPr>
        <w:t xml:space="preserve"> sistem kurul</w:t>
      </w:r>
      <w:r w:rsidR="003B7B19" w:rsidRPr="00F50C10">
        <w:rPr>
          <w:rFonts w:cs="Times New Roman"/>
          <w:szCs w:val="24"/>
        </w:rPr>
        <w:t>ur</w:t>
      </w:r>
      <w:r w:rsidRPr="00F50C10">
        <w:rPr>
          <w:rFonts w:cs="Times New Roman"/>
          <w:szCs w:val="24"/>
        </w:rPr>
        <w:t xml:space="preserve"> ve </w:t>
      </w:r>
      <w:r w:rsidR="003B7B19" w:rsidRPr="00F50C10">
        <w:rPr>
          <w:rFonts w:cs="Times New Roman"/>
          <w:szCs w:val="24"/>
        </w:rPr>
        <w:t xml:space="preserve">bu sistemin </w:t>
      </w:r>
      <w:r w:rsidRPr="00F50C10">
        <w:rPr>
          <w:rFonts w:cs="Times New Roman"/>
          <w:szCs w:val="24"/>
        </w:rPr>
        <w:t>bakımı düzgün şekilde yapılır</w:t>
      </w:r>
      <w:r w:rsidR="00C45A5E" w:rsidRPr="00F50C10">
        <w:rPr>
          <w:rFonts w:cs="Times New Roman"/>
          <w:szCs w:val="24"/>
        </w:rPr>
        <w:t>.</w:t>
      </w:r>
    </w:p>
    <w:p w14:paraId="6D6DA729" w14:textId="4EB849D0" w:rsidR="000F3B99" w:rsidRPr="00F50C10" w:rsidRDefault="000F3B99" w:rsidP="000B206D">
      <w:pPr>
        <w:spacing w:after="120" w:line="276" w:lineRule="auto"/>
        <w:rPr>
          <w:rFonts w:cs="Times New Roman"/>
          <w:b/>
          <w:bCs/>
          <w:szCs w:val="24"/>
        </w:rPr>
      </w:pPr>
      <w:r w:rsidRPr="00F50C10">
        <w:rPr>
          <w:rFonts w:cs="Times New Roman"/>
          <w:b/>
          <w:bCs/>
          <w:szCs w:val="24"/>
        </w:rPr>
        <w:t xml:space="preserve">MET 207: </w:t>
      </w:r>
      <w:r w:rsidRPr="00F50C10">
        <w:rPr>
          <w:rFonts w:cs="Times New Roman"/>
          <w:szCs w:val="24"/>
        </w:rPr>
        <w:t>Aşağıdaki çevresel faydalara ve performans hedeflerine ulaşmak için proses parametrelerinin kontrolü geliştir</w:t>
      </w:r>
      <w:r w:rsidR="003B7B19" w:rsidRPr="00F50C10">
        <w:rPr>
          <w:rFonts w:cs="Times New Roman"/>
          <w:szCs w:val="24"/>
        </w:rPr>
        <w:t>il</w:t>
      </w:r>
      <w:r w:rsidRPr="00F50C10">
        <w:rPr>
          <w:rFonts w:cs="Times New Roman"/>
          <w:szCs w:val="24"/>
        </w:rPr>
        <w:t>erek ıslak kimyasal proses yöntemiyle çinko oksit üretiminde proses verimi artırıl</w:t>
      </w:r>
      <w:r w:rsidR="003B7B19" w:rsidRPr="00F50C10">
        <w:rPr>
          <w:rFonts w:cs="Times New Roman"/>
          <w:szCs w:val="24"/>
        </w:rPr>
        <w:t>ı</w:t>
      </w:r>
      <w:r w:rsidRPr="00F50C10">
        <w:rPr>
          <w:rFonts w:cs="Times New Roman"/>
          <w:szCs w:val="24"/>
        </w:rPr>
        <w:t>r</w:t>
      </w:r>
      <w:r w:rsidR="00C45A5E" w:rsidRPr="00F50C10">
        <w:rPr>
          <w:rFonts w:cs="Times New Roman"/>
          <w:szCs w:val="24"/>
        </w:rPr>
        <w:t>:</w:t>
      </w:r>
    </w:p>
    <w:p w14:paraId="22B2D33F" w14:textId="77777777" w:rsidR="000F3B99" w:rsidRPr="00F50C10" w:rsidRDefault="000F3B99" w:rsidP="00A654AE">
      <w:pPr>
        <w:pStyle w:val="ListeParagraf"/>
        <w:numPr>
          <w:ilvl w:val="0"/>
          <w:numId w:val="110"/>
        </w:numPr>
        <w:spacing w:after="120" w:line="276" w:lineRule="auto"/>
        <w:ind w:left="1080"/>
        <w:rPr>
          <w:rFonts w:cs="Times New Roman"/>
          <w:szCs w:val="24"/>
        </w:rPr>
      </w:pPr>
      <w:r w:rsidRPr="00F50C10">
        <w:rPr>
          <w:rFonts w:cs="Times New Roman"/>
          <w:szCs w:val="24"/>
        </w:rPr>
        <w:t>ZnO ürün filtresinden havaya salınan toz emisyonlarının bir ton ZnO ürünü başına 0,7 kg'ın altına düşürülmesi,</w:t>
      </w:r>
    </w:p>
    <w:p w14:paraId="415EDB66" w14:textId="77777777" w:rsidR="000F3B99" w:rsidRPr="00F50C10" w:rsidRDefault="000F3B99" w:rsidP="00A654AE">
      <w:pPr>
        <w:pStyle w:val="ListeParagraf"/>
        <w:numPr>
          <w:ilvl w:val="0"/>
          <w:numId w:val="110"/>
        </w:numPr>
        <w:spacing w:after="120" w:line="276" w:lineRule="auto"/>
        <w:ind w:left="1080"/>
        <w:rPr>
          <w:rFonts w:cs="Times New Roman"/>
          <w:szCs w:val="24"/>
        </w:rPr>
      </w:pPr>
      <w:r w:rsidRPr="00F50C10">
        <w:rPr>
          <w:rFonts w:cs="Times New Roman"/>
          <w:szCs w:val="24"/>
        </w:rPr>
        <w:t>ısıtma sistemlerinde yakma gazları nedeniyle havaya salınan SO</w:t>
      </w:r>
      <w:r w:rsidRPr="00F50C10">
        <w:rPr>
          <w:rFonts w:cs="Times New Roman"/>
          <w:szCs w:val="24"/>
          <w:vertAlign w:val="subscript"/>
        </w:rPr>
        <w:t>2</w:t>
      </w:r>
      <w:r w:rsidRPr="00F50C10">
        <w:rPr>
          <w:rFonts w:cs="Times New Roman"/>
          <w:szCs w:val="24"/>
        </w:rPr>
        <w:t xml:space="preserve"> emisyonların bir ton ZnO ürünü başına 0,2 kg'ın altına düşürülmesi,</w:t>
      </w:r>
    </w:p>
    <w:p w14:paraId="6F13A4C7" w14:textId="77777777" w:rsidR="000F3B99" w:rsidRPr="00F50C10" w:rsidRDefault="000F3B99" w:rsidP="00A654AE">
      <w:pPr>
        <w:pStyle w:val="ListeParagraf"/>
        <w:numPr>
          <w:ilvl w:val="0"/>
          <w:numId w:val="110"/>
        </w:numPr>
        <w:spacing w:after="120" w:line="276" w:lineRule="auto"/>
        <w:ind w:left="1080"/>
        <w:rPr>
          <w:rFonts w:cs="Times New Roman"/>
          <w:szCs w:val="24"/>
        </w:rPr>
      </w:pPr>
      <w:r w:rsidRPr="00F50C10">
        <w:rPr>
          <w:rFonts w:cs="Times New Roman"/>
          <w:szCs w:val="24"/>
        </w:rPr>
        <w:t>toplam enerji tüketiminin bir ton ZnO ürünü başına 14 GJ'nin altına düşürülmesi.</w:t>
      </w:r>
    </w:p>
    <w:p w14:paraId="5FA5667E" w14:textId="5B78BA94" w:rsidR="000F3B99" w:rsidRPr="00F50C10" w:rsidRDefault="000F3B99" w:rsidP="000B206D">
      <w:pPr>
        <w:spacing w:before="240" w:line="276" w:lineRule="auto"/>
        <w:rPr>
          <w:rFonts w:cs="Times New Roman"/>
          <w:b/>
          <w:bCs/>
          <w:szCs w:val="24"/>
        </w:rPr>
      </w:pPr>
      <w:r w:rsidRPr="00F50C10">
        <w:rPr>
          <w:rFonts w:cs="Times New Roman"/>
          <w:b/>
          <w:bCs/>
          <w:szCs w:val="24"/>
        </w:rPr>
        <w:t xml:space="preserve">MET 208: </w:t>
      </w:r>
      <w:r w:rsidRPr="00F50C10">
        <w:rPr>
          <w:rFonts w:cs="Times New Roman"/>
          <w:szCs w:val="24"/>
        </w:rPr>
        <w:t>ZnO üretimine ZnCl</w:t>
      </w:r>
      <w:r w:rsidRPr="00F50C10">
        <w:rPr>
          <w:rFonts w:cs="Times New Roman"/>
          <w:szCs w:val="24"/>
          <w:vertAlign w:val="subscript"/>
        </w:rPr>
        <w:t>2</w:t>
      </w:r>
      <w:r w:rsidRPr="00F50C10">
        <w:rPr>
          <w:rFonts w:cs="Times New Roman"/>
          <w:szCs w:val="24"/>
        </w:rPr>
        <w:t xml:space="preserve"> veya ZnSO</w:t>
      </w:r>
      <w:r w:rsidRPr="00F50C10">
        <w:rPr>
          <w:rFonts w:cs="Times New Roman"/>
          <w:szCs w:val="24"/>
          <w:vertAlign w:val="subscript"/>
        </w:rPr>
        <w:t>4</w:t>
      </w:r>
      <w:r w:rsidRPr="00F50C10">
        <w:rPr>
          <w:rFonts w:cs="Times New Roman"/>
          <w:szCs w:val="24"/>
        </w:rPr>
        <w:t xml:space="preserve"> çözeltisiyle başlandığında boşaltılan atık su miktarının üretilen bir ton ZnO başına 25 m</w:t>
      </w:r>
      <w:r w:rsidRPr="00F50C10">
        <w:rPr>
          <w:rFonts w:cs="Times New Roman"/>
          <w:szCs w:val="24"/>
          <w:vertAlign w:val="superscript"/>
        </w:rPr>
        <w:t>3</w:t>
      </w:r>
      <w:r w:rsidR="003B7B19" w:rsidRPr="00F50C10">
        <w:rPr>
          <w:rFonts w:cs="Times New Roman"/>
          <w:szCs w:val="24"/>
        </w:rPr>
        <w:t xml:space="preserve"> seviyesini</w:t>
      </w:r>
      <w:r w:rsidRPr="00F50C10">
        <w:rPr>
          <w:rFonts w:cs="Times New Roman"/>
          <w:szCs w:val="24"/>
        </w:rPr>
        <w:t xml:space="preserve"> aşmamasını sağlayarak ZnO tesisindeki optimum su dengesi korun</w:t>
      </w:r>
      <w:r w:rsidR="003B7B19" w:rsidRPr="00F50C10">
        <w:rPr>
          <w:rFonts w:cs="Times New Roman"/>
          <w:szCs w:val="24"/>
        </w:rPr>
        <w:t>u</w:t>
      </w:r>
      <w:r w:rsidRPr="00F50C10">
        <w:rPr>
          <w:rFonts w:cs="Times New Roman"/>
          <w:szCs w:val="24"/>
        </w:rPr>
        <w:t>r. Bu, klorür veya sülfat iyonları içeren atık suların sucul ortam üzerindeki etkisini azaltır</w:t>
      </w:r>
      <w:r w:rsidR="00C45A5E" w:rsidRPr="00F50C10">
        <w:rPr>
          <w:rFonts w:cs="Times New Roman"/>
          <w:szCs w:val="24"/>
        </w:rPr>
        <w:t>.</w:t>
      </w:r>
    </w:p>
    <w:p w14:paraId="742EF96C" w14:textId="77777777" w:rsidR="00854726" w:rsidRPr="00F50C10" w:rsidRDefault="00854726" w:rsidP="000B206D">
      <w:pPr>
        <w:spacing w:after="160" w:line="276" w:lineRule="auto"/>
        <w:jc w:val="left"/>
        <w:rPr>
          <w:rFonts w:cs="Times New Roman"/>
          <w:b/>
          <w:bCs/>
          <w:szCs w:val="24"/>
        </w:rPr>
      </w:pPr>
      <w:r w:rsidRPr="00F50C10">
        <w:rPr>
          <w:rFonts w:cs="Times New Roman"/>
          <w:b/>
          <w:bCs/>
          <w:szCs w:val="24"/>
        </w:rPr>
        <w:br w:type="page"/>
      </w:r>
    </w:p>
    <w:p w14:paraId="3DBFD4ED" w14:textId="77777777" w:rsidR="00426950" w:rsidRPr="00F50C10" w:rsidRDefault="00426950" w:rsidP="000B206D">
      <w:pPr>
        <w:spacing w:line="276" w:lineRule="auto"/>
        <w:rPr>
          <w:rFonts w:cs="Times New Roman"/>
          <w:szCs w:val="24"/>
        </w:rPr>
      </w:pPr>
    </w:p>
    <w:p w14:paraId="510AA418" w14:textId="43EFEA90" w:rsidR="00F6441B" w:rsidRPr="00F50C10" w:rsidRDefault="00B83A5B" w:rsidP="000B206D">
      <w:pPr>
        <w:spacing w:line="276" w:lineRule="auto"/>
        <w:ind w:left="7788" w:firstLine="708"/>
        <w:rPr>
          <w:rFonts w:cs="Times New Roman"/>
          <w:b/>
          <w:bCs/>
          <w:szCs w:val="24"/>
        </w:rPr>
      </w:pPr>
      <w:r w:rsidRPr="00F50C10">
        <w:rPr>
          <w:rFonts w:cs="Times New Roman"/>
          <w:b/>
          <w:bCs/>
          <w:szCs w:val="24"/>
        </w:rPr>
        <w:t>EK</w:t>
      </w:r>
      <w:r w:rsidR="00854726" w:rsidRPr="00F50C10">
        <w:rPr>
          <w:rFonts w:cs="Times New Roman"/>
          <w:b/>
          <w:bCs/>
          <w:szCs w:val="24"/>
        </w:rPr>
        <w:t>-</w:t>
      </w:r>
      <w:r w:rsidR="009F6ABA">
        <w:rPr>
          <w:rFonts w:cs="Times New Roman"/>
          <w:b/>
          <w:bCs/>
          <w:szCs w:val="24"/>
        </w:rPr>
        <w:t>7</w:t>
      </w:r>
    </w:p>
    <w:p w14:paraId="0C38BEFB" w14:textId="2B27B2FE" w:rsidR="00B83A5B" w:rsidRPr="00F50C10" w:rsidRDefault="00B83A5B" w:rsidP="000B206D">
      <w:pPr>
        <w:pStyle w:val="ResimYazs"/>
        <w:spacing w:line="276" w:lineRule="auto"/>
        <w:jc w:val="center"/>
        <w:rPr>
          <w:rFonts w:cs="Times New Roman"/>
          <w:szCs w:val="24"/>
        </w:rPr>
      </w:pPr>
      <w:r w:rsidRPr="00F50C10">
        <w:rPr>
          <w:rFonts w:cs="Times New Roman"/>
          <w:szCs w:val="24"/>
        </w:rPr>
        <w:t>Özel İnorganik Kimyasallar</w:t>
      </w:r>
      <w:r w:rsidR="00500C75" w:rsidRPr="00F50C10">
        <w:rPr>
          <w:rFonts w:cs="Times New Roman"/>
          <w:szCs w:val="24"/>
        </w:rPr>
        <w:t>ı</w:t>
      </w:r>
      <w:r w:rsidRPr="00F50C10">
        <w:rPr>
          <w:rFonts w:cs="Times New Roman"/>
          <w:szCs w:val="24"/>
        </w:rPr>
        <w:t>n Üretimi Sektöründe Mevcut En İyi Teknikler</w:t>
      </w:r>
      <w:r w:rsidR="008057BA" w:rsidRPr="00F50C10">
        <w:rPr>
          <w:rFonts w:cs="Times New Roman"/>
          <w:szCs w:val="24"/>
        </w:rPr>
        <w:t xml:space="preserve"> (4.2.ç ve 4.2.d, 4.6)</w:t>
      </w:r>
    </w:p>
    <w:p w14:paraId="2FA525D7" w14:textId="0FE67D7A" w:rsidR="00B83A5B" w:rsidRPr="00F50C10" w:rsidRDefault="00B83A5B" w:rsidP="00A654AE">
      <w:pPr>
        <w:pStyle w:val="Balk1"/>
        <w:numPr>
          <w:ilvl w:val="2"/>
          <w:numId w:val="92"/>
        </w:numPr>
        <w:spacing w:before="240" w:line="276" w:lineRule="auto"/>
        <w:rPr>
          <w:rFonts w:cs="Times New Roman"/>
          <w:szCs w:val="24"/>
        </w:rPr>
      </w:pPr>
      <w:bookmarkStart w:id="261" w:name="_Toc136866673"/>
      <w:r w:rsidRPr="00F50C10">
        <w:rPr>
          <w:rFonts w:cs="Times New Roman"/>
          <w:szCs w:val="24"/>
        </w:rPr>
        <w:t>GENEL ME</w:t>
      </w:r>
      <w:bookmarkEnd w:id="261"/>
      <w:r w:rsidR="00F05BC9" w:rsidRPr="00F50C10">
        <w:rPr>
          <w:rFonts w:cs="Times New Roman"/>
          <w:szCs w:val="24"/>
        </w:rPr>
        <w:t>T</w:t>
      </w:r>
    </w:p>
    <w:p w14:paraId="6DA98125" w14:textId="172E1051" w:rsidR="00B83A5B" w:rsidRPr="00F50C10" w:rsidRDefault="00B83A5B" w:rsidP="000B206D">
      <w:pPr>
        <w:spacing w:before="240" w:line="276" w:lineRule="auto"/>
        <w:rPr>
          <w:rFonts w:cs="Times New Roman"/>
          <w:szCs w:val="24"/>
        </w:rPr>
      </w:pPr>
      <w:r w:rsidRPr="00F50C10">
        <w:rPr>
          <w:rFonts w:cs="Times New Roman"/>
          <w:szCs w:val="24"/>
        </w:rPr>
        <w:t xml:space="preserve">Genel MET, özel </w:t>
      </w:r>
      <w:r w:rsidR="00F05BC9" w:rsidRPr="00F50C10">
        <w:rPr>
          <w:rFonts w:cs="Times New Roman"/>
          <w:szCs w:val="24"/>
        </w:rPr>
        <w:t>in</w:t>
      </w:r>
      <w:r w:rsidRPr="00F50C10">
        <w:rPr>
          <w:rFonts w:cs="Times New Roman"/>
          <w:szCs w:val="24"/>
        </w:rPr>
        <w:t>organik kimyasal üretimi yapan tüm tesisler için geçerlidir.</w:t>
      </w:r>
      <w:r w:rsidR="008778FD" w:rsidRPr="00F50C10">
        <w:rPr>
          <w:rFonts w:cs="Times New Roman"/>
          <w:szCs w:val="24"/>
        </w:rPr>
        <w:t xml:space="preserve"> </w:t>
      </w:r>
    </w:p>
    <w:p w14:paraId="1ACC52B1" w14:textId="4E66782C" w:rsidR="00B83A5B" w:rsidRPr="00F50C10" w:rsidRDefault="00B83A5B" w:rsidP="00A654AE">
      <w:pPr>
        <w:pStyle w:val="Balk2"/>
        <w:numPr>
          <w:ilvl w:val="1"/>
          <w:numId w:val="137"/>
        </w:numPr>
        <w:spacing w:line="276" w:lineRule="auto"/>
        <w:rPr>
          <w:rFonts w:cs="Times New Roman"/>
          <w:szCs w:val="24"/>
        </w:rPr>
      </w:pPr>
      <w:bookmarkStart w:id="262" w:name="_Toc136866674"/>
      <w:r w:rsidRPr="00F50C10">
        <w:rPr>
          <w:rFonts w:cs="Times New Roman"/>
          <w:szCs w:val="24"/>
        </w:rPr>
        <w:t>Ham</w:t>
      </w:r>
      <w:r w:rsidR="00DD2385" w:rsidRPr="00F50C10">
        <w:rPr>
          <w:rFonts w:cs="Times New Roman"/>
          <w:szCs w:val="24"/>
        </w:rPr>
        <w:t>madde</w:t>
      </w:r>
      <w:r w:rsidRPr="00F50C10">
        <w:rPr>
          <w:rFonts w:cs="Times New Roman"/>
          <w:szCs w:val="24"/>
        </w:rPr>
        <w:t xml:space="preserve"> ve Yardımcı Malzeme Tedariği, Depolaması, </w:t>
      </w:r>
      <w:r w:rsidR="005C1E62" w:rsidRPr="00F50C10">
        <w:rPr>
          <w:rFonts w:cs="Times New Roman"/>
          <w:szCs w:val="24"/>
        </w:rPr>
        <w:t>Taşı</w:t>
      </w:r>
      <w:r w:rsidR="004479F4" w:rsidRPr="00F50C10">
        <w:rPr>
          <w:rFonts w:cs="Times New Roman"/>
          <w:szCs w:val="24"/>
        </w:rPr>
        <w:t>n</w:t>
      </w:r>
      <w:r w:rsidR="005C1E62" w:rsidRPr="00F50C10">
        <w:rPr>
          <w:rFonts w:cs="Times New Roman"/>
          <w:szCs w:val="24"/>
        </w:rPr>
        <w:t>ması</w:t>
      </w:r>
      <w:r w:rsidRPr="00F50C10">
        <w:rPr>
          <w:rFonts w:cs="Times New Roman"/>
          <w:szCs w:val="24"/>
        </w:rPr>
        <w:t xml:space="preserve"> ve Hazırlığı</w:t>
      </w:r>
      <w:bookmarkEnd w:id="262"/>
    </w:p>
    <w:p w14:paraId="2B8D19A8" w14:textId="5CF8A548" w:rsidR="00B83A5B" w:rsidRDefault="00B83A5B" w:rsidP="000B206D">
      <w:pPr>
        <w:spacing w:before="240" w:line="276" w:lineRule="auto"/>
        <w:rPr>
          <w:rFonts w:cs="Times New Roman"/>
          <w:szCs w:val="24"/>
        </w:rPr>
      </w:pPr>
      <w:r w:rsidRPr="00F50C10">
        <w:rPr>
          <w:rFonts w:cs="Times New Roman"/>
          <w:b/>
          <w:bCs/>
          <w:szCs w:val="24"/>
        </w:rPr>
        <w:t xml:space="preserve">MET 1: </w:t>
      </w:r>
      <w:r w:rsidRPr="00F50C10">
        <w:rPr>
          <w:rFonts w:cs="Times New Roman"/>
          <w:szCs w:val="24"/>
        </w:rPr>
        <w:t xml:space="preserve">Güvenlik veya tehlike hususları bakımından yasaklanmadığı müddetçe, </w:t>
      </w:r>
      <w:r w:rsidR="005C1E62" w:rsidRPr="00F50C10">
        <w:rPr>
          <w:rFonts w:cs="Times New Roman"/>
          <w:szCs w:val="24"/>
        </w:rPr>
        <w:t>örneğin</w:t>
      </w:r>
      <w:r w:rsidRPr="00F50C10">
        <w:rPr>
          <w:rFonts w:cs="Times New Roman"/>
          <w:szCs w:val="24"/>
        </w:rPr>
        <w:t xml:space="preserve"> kullanılmış ‘sert’ ve ‘yumuşak’ ambalaj malzemelerinin geri dönüştürülmesi suretiyle</w:t>
      </w:r>
      <w:r w:rsidR="005C1E62" w:rsidRPr="00F50C10">
        <w:rPr>
          <w:rFonts w:cs="Times New Roman"/>
          <w:szCs w:val="24"/>
        </w:rPr>
        <w:t>,</w:t>
      </w:r>
      <w:r w:rsidRPr="00F50C10">
        <w:rPr>
          <w:rFonts w:cs="Times New Roman"/>
          <w:szCs w:val="24"/>
        </w:rPr>
        <w:t xml:space="preserve"> bertaraf edilen ambalaj malzemesi miktarı</w:t>
      </w:r>
      <w:r w:rsidR="005C1E62" w:rsidRPr="00F50C10">
        <w:rPr>
          <w:rFonts w:cs="Times New Roman"/>
          <w:szCs w:val="24"/>
        </w:rPr>
        <w:t xml:space="preserve"> azaltılır</w:t>
      </w:r>
      <w:r w:rsidRPr="00F50C10">
        <w:rPr>
          <w:rFonts w:cs="Times New Roman"/>
          <w:szCs w:val="24"/>
        </w:rPr>
        <w:t>.</w:t>
      </w:r>
    </w:p>
    <w:p w14:paraId="49E9B12B" w14:textId="496D5B1E" w:rsidR="00D56EBB" w:rsidRDefault="00D56EBB" w:rsidP="000B206D">
      <w:pPr>
        <w:spacing w:before="240" w:line="276" w:lineRule="auto"/>
        <w:rPr>
          <w:rFonts w:cs="Times New Roman"/>
          <w:szCs w:val="24"/>
        </w:rPr>
      </w:pPr>
      <w:bookmarkStart w:id="263" w:name="_Hlk192760465"/>
      <w:r>
        <w:rPr>
          <w:rFonts w:cs="Times New Roman"/>
          <w:szCs w:val="24"/>
        </w:rPr>
        <w:t xml:space="preserve">(Detaylı bilgi için </w:t>
      </w:r>
      <w:r w:rsidRPr="00F50C10">
        <w:rPr>
          <w:rFonts w:cs="Times New Roman"/>
          <w:szCs w:val="24"/>
        </w:rPr>
        <w:t>Özel İnorganik Kimyasalların Üretimi</w:t>
      </w:r>
      <w:r w:rsidRPr="00D56EBB">
        <w:rPr>
          <w:rFonts w:eastAsia="Times New Roman" w:cs="Times New Roman"/>
          <w:bCs/>
          <w:szCs w:val="24"/>
          <w:lang w:val="tr-TR" w:eastAsia="tr-TR" w:bidi="tr-TR"/>
        </w:rPr>
        <w:t xml:space="preserve"> </w:t>
      </w:r>
      <w:r w:rsidRPr="00F50C10">
        <w:rPr>
          <w:rFonts w:eastAsia="Times New Roman" w:cs="Times New Roman"/>
          <w:bCs/>
          <w:szCs w:val="24"/>
          <w:lang w:val="tr-TR" w:eastAsia="tr-TR" w:bidi="tr-TR"/>
        </w:rPr>
        <w:t xml:space="preserve">İçin MET Referans Belgesinin </w:t>
      </w:r>
      <w:r>
        <w:rPr>
          <w:rFonts w:eastAsia="Times New Roman" w:cs="Times New Roman"/>
          <w:bCs/>
          <w:szCs w:val="24"/>
          <w:lang w:val="tr-TR" w:eastAsia="tr-TR" w:bidi="tr-TR"/>
        </w:rPr>
        <w:t>4.2.1 ve 4.2.2 kısımlarını</w:t>
      </w:r>
      <w:r w:rsidRPr="00F50C10">
        <w:rPr>
          <w:rFonts w:eastAsia="Times New Roman" w:cs="Times New Roman"/>
          <w:bCs/>
          <w:szCs w:val="24"/>
          <w:lang w:val="tr-TR" w:eastAsia="tr-TR" w:bidi="tr-TR"/>
        </w:rPr>
        <w:t xml:space="preserve"> inceleyiniz.)</w:t>
      </w:r>
    </w:p>
    <w:p w14:paraId="5F1E1533" w14:textId="77777777" w:rsidR="00B83A5B" w:rsidRPr="00F50C10" w:rsidRDefault="00B83A5B" w:rsidP="00A654AE">
      <w:pPr>
        <w:pStyle w:val="Balk2"/>
        <w:numPr>
          <w:ilvl w:val="1"/>
          <w:numId w:val="137"/>
        </w:numPr>
        <w:spacing w:line="276" w:lineRule="auto"/>
        <w:rPr>
          <w:rFonts w:cs="Times New Roman"/>
          <w:szCs w:val="24"/>
        </w:rPr>
      </w:pPr>
      <w:bookmarkStart w:id="264" w:name="_Toc136866675"/>
      <w:bookmarkEnd w:id="263"/>
      <w:r w:rsidRPr="00F50C10">
        <w:rPr>
          <w:rFonts w:cs="Times New Roman"/>
          <w:szCs w:val="24"/>
        </w:rPr>
        <w:t>Sentez/Tepkime/Kalsinasyon</w:t>
      </w:r>
      <w:bookmarkEnd w:id="264"/>
    </w:p>
    <w:p w14:paraId="20203732" w14:textId="364CDFF8"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2: </w:t>
      </w:r>
      <w:r w:rsidRPr="00F50C10">
        <w:rPr>
          <w:rFonts w:cs="Times New Roman"/>
          <w:szCs w:val="24"/>
        </w:rPr>
        <w:t>Emisyonların ve üretilen atıkların miktarı aşağıdaki önlemlerden bir veya daha fazlasını uygulayarak azaltılır:</w:t>
      </w:r>
    </w:p>
    <w:p w14:paraId="0EF241B3" w14:textId="506D84BA" w:rsidR="00B83A5B" w:rsidRPr="00F50C10" w:rsidRDefault="00B83A5B" w:rsidP="00A654AE">
      <w:pPr>
        <w:pStyle w:val="ListeParagraf"/>
        <w:numPr>
          <w:ilvl w:val="0"/>
          <w:numId w:val="112"/>
        </w:numPr>
        <w:spacing w:before="240" w:line="276" w:lineRule="auto"/>
        <w:rPr>
          <w:rFonts w:cs="Times New Roman"/>
          <w:szCs w:val="24"/>
        </w:rPr>
      </w:pPr>
      <w:r w:rsidRPr="00F50C10">
        <w:rPr>
          <w:rFonts w:cs="Times New Roman"/>
          <w:szCs w:val="24"/>
          <w:lang w:val="nl-NL"/>
        </w:rPr>
        <w:t>yüksek saflıkta hammadde kullanımı</w:t>
      </w:r>
      <w:r w:rsidRPr="00F50C10">
        <w:rPr>
          <w:rFonts w:cs="Times New Roman"/>
          <w:szCs w:val="24"/>
        </w:rPr>
        <w:t>,</w:t>
      </w:r>
      <w:r w:rsidR="00D56EBB" w:rsidRPr="00D56EBB">
        <w:t xml:space="preserve"> </w:t>
      </w:r>
      <w:r w:rsidR="00D56EBB">
        <w:t>(</w:t>
      </w:r>
      <w:r w:rsidR="00D56EBB" w:rsidRPr="00D56EBB">
        <w:rPr>
          <w:rFonts w:cs="Times New Roman"/>
          <w:szCs w:val="24"/>
        </w:rPr>
        <w:t>Detaylı bilgi için Özel İnorganik Kimyasalların Üretimi İçin MET Referans Belgesinin 4.</w:t>
      </w:r>
      <w:r w:rsidR="00D56EBB">
        <w:rPr>
          <w:rFonts w:cs="Times New Roman"/>
          <w:szCs w:val="24"/>
        </w:rPr>
        <w:t>3.1</w:t>
      </w:r>
      <w:r w:rsidR="00D56EBB" w:rsidRPr="00D56EBB">
        <w:rPr>
          <w:rFonts w:cs="Times New Roman"/>
          <w:szCs w:val="24"/>
        </w:rPr>
        <w:t xml:space="preserve"> kıs</w:t>
      </w:r>
      <w:r w:rsidR="00D56EBB">
        <w:rPr>
          <w:rFonts w:cs="Times New Roman"/>
          <w:szCs w:val="24"/>
        </w:rPr>
        <w:t xml:space="preserve">mını </w:t>
      </w:r>
      <w:r w:rsidR="00D56EBB" w:rsidRPr="00D56EBB">
        <w:rPr>
          <w:rFonts w:cs="Times New Roman"/>
          <w:szCs w:val="24"/>
        </w:rPr>
        <w:t>inceleyiniz.)</w:t>
      </w:r>
    </w:p>
    <w:p w14:paraId="7ECF1CE8" w14:textId="17CF84F5" w:rsidR="00B83A5B" w:rsidRPr="00F50C10" w:rsidRDefault="00B83A5B" w:rsidP="00A654AE">
      <w:pPr>
        <w:pStyle w:val="ListeParagraf"/>
        <w:numPr>
          <w:ilvl w:val="0"/>
          <w:numId w:val="112"/>
        </w:numPr>
        <w:spacing w:before="240" w:line="276" w:lineRule="auto"/>
        <w:rPr>
          <w:rFonts w:cs="Times New Roman"/>
          <w:szCs w:val="24"/>
        </w:rPr>
      </w:pPr>
      <w:r w:rsidRPr="00F50C10">
        <w:rPr>
          <w:rFonts w:cs="Times New Roman"/>
          <w:szCs w:val="24"/>
          <w:lang w:val="nl-NL"/>
        </w:rPr>
        <w:t>reaktör veriminin artırılması</w:t>
      </w:r>
      <w:r w:rsidRPr="00F50C10">
        <w:rPr>
          <w:rFonts w:cs="Times New Roman"/>
          <w:szCs w:val="24"/>
        </w:rPr>
        <w:t>,</w:t>
      </w:r>
      <w:r w:rsidR="00D56EBB" w:rsidRPr="00D56EBB">
        <w:t xml:space="preserve"> </w:t>
      </w:r>
      <w:r w:rsidR="00D56EBB">
        <w:t>(</w:t>
      </w:r>
      <w:r w:rsidR="00D56EBB" w:rsidRPr="00D56EBB">
        <w:rPr>
          <w:rFonts w:cs="Times New Roman"/>
          <w:szCs w:val="24"/>
        </w:rPr>
        <w:t>Detaylı bilgi için Özel İnorganik Kimyasalların Üretimi İçin MET Referans Belgesinin 4.</w:t>
      </w:r>
      <w:r w:rsidR="00D56EBB">
        <w:rPr>
          <w:rFonts w:cs="Times New Roman"/>
          <w:szCs w:val="24"/>
        </w:rPr>
        <w:t>3.2</w:t>
      </w:r>
      <w:r w:rsidR="00D56EBB" w:rsidRPr="00D56EBB">
        <w:rPr>
          <w:rFonts w:cs="Times New Roman"/>
          <w:szCs w:val="24"/>
        </w:rPr>
        <w:t xml:space="preserve"> kı</w:t>
      </w:r>
      <w:r w:rsidR="00D56EBB">
        <w:rPr>
          <w:rFonts w:cs="Times New Roman"/>
          <w:szCs w:val="24"/>
        </w:rPr>
        <w:t>smını</w:t>
      </w:r>
      <w:r w:rsidR="00D56EBB" w:rsidRPr="00D56EBB">
        <w:rPr>
          <w:rFonts w:cs="Times New Roman"/>
          <w:szCs w:val="24"/>
        </w:rPr>
        <w:t xml:space="preserve"> inceleyiniz.)</w:t>
      </w:r>
    </w:p>
    <w:p w14:paraId="6A94E8EA" w14:textId="0F2C5AE3" w:rsidR="00B83A5B" w:rsidRPr="00F50C10" w:rsidRDefault="00B83A5B" w:rsidP="00A654AE">
      <w:pPr>
        <w:pStyle w:val="ListeParagraf"/>
        <w:numPr>
          <w:ilvl w:val="0"/>
          <w:numId w:val="112"/>
        </w:numPr>
        <w:spacing w:before="240" w:line="276" w:lineRule="auto"/>
        <w:rPr>
          <w:rFonts w:cs="Times New Roman"/>
          <w:szCs w:val="24"/>
        </w:rPr>
      </w:pPr>
      <w:r w:rsidRPr="00F50C10">
        <w:rPr>
          <w:rFonts w:cs="Times New Roman"/>
          <w:szCs w:val="24"/>
        </w:rPr>
        <w:t>katalizör sistemlerinin iyileştirilmesi.</w:t>
      </w:r>
      <w:r w:rsidR="00D56EBB" w:rsidRPr="00D56EBB">
        <w:t xml:space="preserve"> </w:t>
      </w:r>
      <w:r w:rsidR="00D56EBB">
        <w:t>(</w:t>
      </w:r>
      <w:r w:rsidR="00D56EBB" w:rsidRPr="00D56EBB">
        <w:rPr>
          <w:rFonts w:cs="Times New Roman"/>
          <w:szCs w:val="24"/>
        </w:rPr>
        <w:t xml:space="preserve">Detaylı bilgi için Özel İnorganik Kimyasalların Üretimi İçin MET Referans Belgesinin </w:t>
      </w:r>
      <w:r w:rsidR="00D56EBB">
        <w:rPr>
          <w:rFonts w:cs="Times New Roman"/>
          <w:szCs w:val="24"/>
        </w:rPr>
        <w:t>4.3</w:t>
      </w:r>
      <w:r w:rsidR="00D56EBB" w:rsidRPr="00D56EBB">
        <w:rPr>
          <w:rFonts w:cs="Times New Roman"/>
          <w:szCs w:val="24"/>
        </w:rPr>
        <w:t xml:space="preserve"> kıs</w:t>
      </w:r>
      <w:r w:rsidR="00D56EBB">
        <w:rPr>
          <w:rFonts w:cs="Times New Roman"/>
          <w:szCs w:val="24"/>
        </w:rPr>
        <w:t>mını</w:t>
      </w:r>
      <w:r w:rsidR="00D56EBB" w:rsidRPr="00D56EBB">
        <w:rPr>
          <w:rFonts w:cs="Times New Roman"/>
          <w:szCs w:val="24"/>
        </w:rPr>
        <w:t xml:space="preserve"> inceleyiniz.)</w:t>
      </w:r>
    </w:p>
    <w:p w14:paraId="6DB843EE" w14:textId="38FCAFB2" w:rsidR="00B83A5B" w:rsidRDefault="00B83A5B" w:rsidP="000B206D">
      <w:pPr>
        <w:spacing w:before="240" w:line="276" w:lineRule="auto"/>
        <w:rPr>
          <w:rFonts w:cs="Times New Roman"/>
          <w:szCs w:val="24"/>
        </w:rPr>
      </w:pPr>
      <w:r w:rsidRPr="00F50C10">
        <w:rPr>
          <w:rFonts w:cs="Times New Roman"/>
          <w:b/>
          <w:bCs/>
          <w:szCs w:val="24"/>
        </w:rPr>
        <w:t xml:space="preserve">MET 3: </w:t>
      </w:r>
      <w:r w:rsidRPr="00F50C10">
        <w:rPr>
          <w:rFonts w:cs="Times New Roman"/>
          <w:szCs w:val="24"/>
        </w:rPr>
        <w:t xml:space="preserve">Kesikli proseslerde, tepkimeye katılan madde ve reaktif maddenin </w:t>
      </w:r>
      <w:r w:rsidR="005C1E62" w:rsidRPr="00F50C10">
        <w:rPr>
          <w:rFonts w:cs="Times New Roman"/>
          <w:szCs w:val="24"/>
        </w:rPr>
        <w:t>eklenme</w:t>
      </w:r>
      <w:r w:rsidRPr="00F50C10">
        <w:rPr>
          <w:rFonts w:cs="Times New Roman"/>
          <w:szCs w:val="24"/>
        </w:rPr>
        <w:t xml:space="preserve"> </w:t>
      </w:r>
      <w:r w:rsidR="005C1E62" w:rsidRPr="00F50C10">
        <w:rPr>
          <w:rFonts w:cs="Times New Roman"/>
          <w:szCs w:val="24"/>
        </w:rPr>
        <w:t>sırası düzenlenerek</w:t>
      </w:r>
      <w:r w:rsidRPr="00F50C10">
        <w:rPr>
          <w:rFonts w:cs="Times New Roman"/>
          <w:szCs w:val="24"/>
        </w:rPr>
        <w:t>, verim optimize edil</w:t>
      </w:r>
      <w:r w:rsidR="005C1E62" w:rsidRPr="00F50C10">
        <w:rPr>
          <w:rFonts w:cs="Times New Roman"/>
          <w:szCs w:val="24"/>
        </w:rPr>
        <w:t>ir</w:t>
      </w:r>
      <w:r w:rsidRPr="00F50C10">
        <w:rPr>
          <w:rFonts w:cs="Times New Roman"/>
          <w:szCs w:val="24"/>
        </w:rPr>
        <w:t>, emisyonlar düşürü</w:t>
      </w:r>
      <w:r w:rsidR="005C1E62" w:rsidRPr="00F50C10">
        <w:rPr>
          <w:rFonts w:cs="Times New Roman"/>
          <w:szCs w:val="24"/>
        </w:rPr>
        <w:t>lür</w:t>
      </w:r>
      <w:r w:rsidRPr="00F50C10">
        <w:rPr>
          <w:rFonts w:cs="Times New Roman"/>
          <w:szCs w:val="24"/>
        </w:rPr>
        <w:t xml:space="preserve"> ve atı</w:t>
      </w:r>
      <w:r w:rsidR="005C1E62" w:rsidRPr="00F50C10">
        <w:rPr>
          <w:rFonts w:cs="Times New Roman"/>
          <w:szCs w:val="24"/>
        </w:rPr>
        <w:t>k azaltılır</w:t>
      </w:r>
      <w:r w:rsidRPr="00F50C10">
        <w:rPr>
          <w:rFonts w:cs="Times New Roman"/>
          <w:szCs w:val="24"/>
        </w:rPr>
        <w:t>.</w:t>
      </w:r>
    </w:p>
    <w:p w14:paraId="50ED2245" w14:textId="1501E17D" w:rsidR="00D56EBB" w:rsidRPr="00F50C10" w:rsidRDefault="00D56EBB" w:rsidP="000B206D">
      <w:pPr>
        <w:spacing w:before="240" w:line="276" w:lineRule="auto"/>
        <w:rPr>
          <w:rFonts w:cs="Times New Roman"/>
          <w:szCs w:val="24"/>
        </w:rPr>
      </w:pPr>
      <w:r>
        <w:t>(</w:t>
      </w:r>
      <w:r w:rsidRPr="00D56EBB">
        <w:rPr>
          <w:rFonts w:cs="Times New Roman"/>
          <w:szCs w:val="24"/>
        </w:rPr>
        <w:t xml:space="preserve">Detaylı bilgi için Özel İnorganik Kimyasalların Üretimi İçin MET Referans Belgesinin </w:t>
      </w:r>
      <w:r>
        <w:rPr>
          <w:rFonts w:cs="Times New Roman"/>
          <w:szCs w:val="24"/>
        </w:rPr>
        <w:t>4.3.4</w:t>
      </w:r>
      <w:r w:rsidRPr="00D56EBB">
        <w:rPr>
          <w:rFonts w:cs="Times New Roman"/>
          <w:szCs w:val="24"/>
        </w:rPr>
        <w:t xml:space="preserve"> kıs</w:t>
      </w:r>
      <w:r>
        <w:rPr>
          <w:rFonts w:cs="Times New Roman"/>
          <w:szCs w:val="24"/>
        </w:rPr>
        <w:t>mını</w:t>
      </w:r>
      <w:r w:rsidRPr="00D56EBB">
        <w:rPr>
          <w:rFonts w:cs="Times New Roman"/>
          <w:szCs w:val="24"/>
        </w:rPr>
        <w:t xml:space="preserve"> inceleyiniz.)</w:t>
      </w:r>
    </w:p>
    <w:p w14:paraId="5112E304" w14:textId="7FFAACE5" w:rsidR="00B83A5B" w:rsidRDefault="00B83A5B" w:rsidP="000B206D">
      <w:pPr>
        <w:spacing w:before="240" w:line="276" w:lineRule="auto"/>
        <w:rPr>
          <w:rFonts w:cs="Times New Roman"/>
          <w:szCs w:val="24"/>
        </w:rPr>
      </w:pPr>
      <w:r w:rsidRPr="00F50C10">
        <w:rPr>
          <w:rFonts w:cs="Times New Roman"/>
          <w:b/>
          <w:bCs/>
          <w:szCs w:val="24"/>
        </w:rPr>
        <w:t>MET 4:</w:t>
      </w:r>
      <w:r w:rsidRPr="00F50C10">
        <w:rPr>
          <w:rFonts w:cs="Times New Roman"/>
          <w:szCs w:val="24"/>
        </w:rPr>
        <w:t xml:space="preserve"> Kesikli proseslerde ham ve yardımcı malzemelerin </w:t>
      </w:r>
      <w:r w:rsidR="005C1E62" w:rsidRPr="00F50C10">
        <w:rPr>
          <w:rFonts w:cs="Times New Roman"/>
          <w:szCs w:val="24"/>
        </w:rPr>
        <w:t>eklenme</w:t>
      </w:r>
      <w:r w:rsidRPr="00F50C10">
        <w:rPr>
          <w:rFonts w:cs="Times New Roman"/>
          <w:szCs w:val="24"/>
        </w:rPr>
        <w:t xml:space="preserve"> sıra</w:t>
      </w:r>
      <w:r w:rsidR="005C1E62" w:rsidRPr="00F50C10">
        <w:rPr>
          <w:rFonts w:cs="Times New Roman"/>
          <w:szCs w:val="24"/>
        </w:rPr>
        <w:t>s</w:t>
      </w:r>
      <w:r w:rsidRPr="00F50C10">
        <w:rPr>
          <w:rFonts w:cs="Times New Roman"/>
          <w:szCs w:val="24"/>
        </w:rPr>
        <w:t>ı optimize ed</w:t>
      </w:r>
      <w:r w:rsidR="005C1E62" w:rsidRPr="00F50C10">
        <w:rPr>
          <w:rFonts w:cs="Times New Roman"/>
          <w:szCs w:val="24"/>
        </w:rPr>
        <w:t>il</w:t>
      </w:r>
      <w:r w:rsidRPr="00F50C10">
        <w:rPr>
          <w:rFonts w:cs="Times New Roman"/>
          <w:szCs w:val="24"/>
        </w:rPr>
        <w:t xml:space="preserve">erek, temizlik işlemleri en aza </w:t>
      </w:r>
      <w:r w:rsidR="005C1E62" w:rsidRPr="00F50C10">
        <w:rPr>
          <w:rFonts w:cs="Times New Roman"/>
          <w:szCs w:val="24"/>
        </w:rPr>
        <w:t>düşürülür</w:t>
      </w:r>
      <w:r w:rsidRPr="00F50C10">
        <w:rPr>
          <w:rFonts w:cs="Times New Roman"/>
          <w:szCs w:val="24"/>
        </w:rPr>
        <w:t>.</w:t>
      </w:r>
    </w:p>
    <w:p w14:paraId="6327E18A" w14:textId="77777777" w:rsidR="00D56EBB" w:rsidRPr="00F50C10" w:rsidRDefault="00D56EBB" w:rsidP="000B206D">
      <w:pPr>
        <w:spacing w:before="240" w:line="276" w:lineRule="auto"/>
        <w:rPr>
          <w:rFonts w:cs="Times New Roman"/>
          <w:szCs w:val="24"/>
        </w:rPr>
      </w:pPr>
      <w:r>
        <w:t>(</w:t>
      </w:r>
      <w:r w:rsidRPr="00D56EBB">
        <w:rPr>
          <w:rFonts w:cs="Times New Roman"/>
          <w:szCs w:val="24"/>
        </w:rPr>
        <w:t xml:space="preserve">Detaylı bilgi için Özel İnorganik Kimyasalların Üretimi İçin MET Referans Belgesinin </w:t>
      </w:r>
      <w:r>
        <w:rPr>
          <w:rFonts w:cs="Times New Roman"/>
          <w:szCs w:val="24"/>
        </w:rPr>
        <w:t>4.3.4</w:t>
      </w:r>
      <w:r w:rsidRPr="00D56EBB">
        <w:rPr>
          <w:rFonts w:cs="Times New Roman"/>
          <w:szCs w:val="24"/>
        </w:rPr>
        <w:t xml:space="preserve"> kıs</w:t>
      </w:r>
      <w:r>
        <w:rPr>
          <w:rFonts w:cs="Times New Roman"/>
          <w:szCs w:val="24"/>
        </w:rPr>
        <w:t>mını</w:t>
      </w:r>
      <w:r w:rsidRPr="00D56EBB">
        <w:rPr>
          <w:rFonts w:cs="Times New Roman"/>
          <w:szCs w:val="24"/>
        </w:rPr>
        <w:t xml:space="preserve"> inceleyiniz.)</w:t>
      </w:r>
    </w:p>
    <w:p w14:paraId="5C9BFD79" w14:textId="22E213D8" w:rsidR="00B83A5B" w:rsidRPr="00F50C10" w:rsidRDefault="00B83A5B" w:rsidP="00A654AE">
      <w:pPr>
        <w:pStyle w:val="Balk2"/>
        <w:numPr>
          <w:ilvl w:val="1"/>
          <w:numId w:val="137"/>
        </w:numPr>
        <w:spacing w:line="276" w:lineRule="auto"/>
        <w:rPr>
          <w:rFonts w:cs="Times New Roman"/>
          <w:szCs w:val="24"/>
          <w:lang w:val="nl-NL"/>
        </w:rPr>
      </w:pPr>
      <w:bookmarkStart w:id="265" w:name="_Toc136866676"/>
      <w:r w:rsidRPr="00F50C10">
        <w:rPr>
          <w:rFonts w:cs="Times New Roman"/>
          <w:szCs w:val="24"/>
          <w:lang w:val="nl-NL"/>
        </w:rPr>
        <w:t xml:space="preserve">Ürün </w:t>
      </w:r>
      <w:r w:rsidR="005C1E62" w:rsidRPr="00F50C10">
        <w:rPr>
          <w:rFonts w:cs="Times New Roman"/>
          <w:szCs w:val="24"/>
          <w:lang w:val="nl-NL"/>
        </w:rPr>
        <w:t>Taşıma</w:t>
      </w:r>
      <w:r w:rsidRPr="00F50C10">
        <w:rPr>
          <w:rFonts w:cs="Times New Roman"/>
          <w:szCs w:val="24"/>
          <w:lang w:val="nl-NL"/>
        </w:rPr>
        <w:t xml:space="preserve"> ve Depolama</w:t>
      </w:r>
      <w:bookmarkEnd w:id="265"/>
    </w:p>
    <w:p w14:paraId="6757EFCF" w14:textId="0C044FFD" w:rsidR="00B83A5B" w:rsidRDefault="00B83A5B" w:rsidP="000B206D">
      <w:pPr>
        <w:spacing w:before="240" w:line="276" w:lineRule="auto"/>
        <w:rPr>
          <w:rFonts w:cs="Times New Roman"/>
          <w:szCs w:val="24"/>
          <w:lang w:val="nl-NL"/>
        </w:rPr>
      </w:pPr>
      <w:r w:rsidRPr="00F50C10">
        <w:rPr>
          <w:rFonts w:cs="Times New Roman"/>
          <w:b/>
          <w:bCs/>
          <w:szCs w:val="24"/>
          <w:lang w:val="nl-NL"/>
        </w:rPr>
        <w:t xml:space="preserve">MET 5: </w:t>
      </w:r>
      <w:r w:rsidRPr="00F50C10">
        <w:rPr>
          <w:rFonts w:cs="Times New Roman"/>
          <w:szCs w:val="24"/>
          <w:lang w:val="nl-NL"/>
        </w:rPr>
        <w:t xml:space="preserve">Örneğin iadesi mümkün ürün taşıma kaplarının/varillerinin kullanılması yoluyla, üretilen </w:t>
      </w:r>
      <w:r w:rsidR="005C1E62" w:rsidRPr="00F50C10">
        <w:rPr>
          <w:rFonts w:cs="Times New Roman"/>
          <w:szCs w:val="24"/>
          <w:lang w:val="nl-NL"/>
        </w:rPr>
        <w:t>atık</w:t>
      </w:r>
      <w:r w:rsidRPr="00F50C10">
        <w:rPr>
          <w:rFonts w:cs="Times New Roman"/>
          <w:szCs w:val="24"/>
          <w:lang w:val="nl-NL"/>
        </w:rPr>
        <w:t xml:space="preserve"> miktarı </w:t>
      </w:r>
      <w:r w:rsidR="005C1E62" w:rsidRPr="00F50C10">
        <w:rPr>
          <w:rFonts w:cs="Times New Roman"/>
          <w:szCs w:val="24"/>
          <w:lang w:val="nl-NL"/>
        </w:rPr>
        <w:t>azaltılır</w:t>
      </w:r>
      <w:r w:rsidRPr="00F50C10">
        <w:rPr>
          <w:rFonts w:cs="Times New Roman"/>
          <w:szCs w:val="24"/>
          <w:lang w:val="nl-NL"/>
        </w:rPr>
        <w:t>.</w:t>
      </w:r>
    </w:p>
    <w:p w14:paraId="698C7839" w14:textId="35D5314E" w:rsidR="00D56EBB" w:rsidRPr="00F50C10" w:rsidRDefault="00D56EBB" w:rsidP="000B206D">
      <w:pPr>
        <w:spacing w:before="240" w:line="276" w:lineRule="auto"/>
        <w:rPr>
          <w:rFonts w:cs="Times New Roman"/>
          <w:szCs w:val="24"/>
        </w:rPr>
      </w:pPr>
      <w:bookmarkStart w:id="266" w:name="_Hlk192760626"/>
      <w:r>
        <w:t>(</w:t>
      </w:r>
      <w:r w:rsidRPr="00D56EBB">
        <w:rPr>
          <w:rFonts w:cs="Times New Roman"/>
          <w:szCs w:val="24"/>
        </w:rPr>
        <w:t xml:space="preserve">Detaylı bilgi için Özel İnorganik Kimyasalların Üretimi İçin MET Referans Belgesinin </w:t>
      </w:r>
      <w:r>
        <w:rPr>
          <w:rFonts w:cs="Times New Roman"/>
          <w:szCs w:val="24"/>
        </w:rPr>
        <w:t>4.2.1</w:t>
      </w:r>
      <w:r w:rsidRPr="00D56EBB">
        <w:rPr>
          <w:rFonts w:cs="Times New Roman"/>
          <w:szCs w:val="24"/>
        </w:rPr>
        <w:t xml:space="preserve"> kıs</w:t>
      </w:r>
      <w:r>
        <w:rPr>
          <w:rFonts w:cs="Times New Roman"/>
          <w:szCs w:val="24"/>
        </w:rPr>
        <w:t>mını</w:t>
      </w:r>
      <w:r w:rsidRPr="00D56EBB">
        <w:rPr>
          <w:rFonts w:cs="Times New Roman"/>
          <w:szCs w:val="24"/>
        </w:rPr>
        <w:t xml:space="preserve"> inceleyiniz.)</w:t>
      </w:r>
      <w:bookmarkEnd w:id="266"/>
    </w:p>
    <w:p w14:paraId="3397C4C5" w14:textId="77777777" w:rsidR="00B83A5B" w:rsidRPr="00F50C10" w:rsidRDefault="00B83A5B" w:rsidP="00A654AE">
      <w:pPr>
        <w:pStyle w:val="Balk2"/>
        <w:numPr>
          <w:ilvl w:val="1"/>
          <w:numId w:val="137"/>
        </w:numPr>
        <w:spacing w:line="276" w:lineRule="auto"/>
        <w:rPr>
          <w:rFonts w:cs="Times New Roman"/>
          <w:szCs w:val="24"/>
          <w:lang w:val="nl-NL"/>
        </w:rPr>
      </w:pPr>
      <w:bookmarkStart w:id="267" w:name="_Toc136866677"/>
      <w:r w:rsidRPr="00F50C10">
        <w:rPr>
          <w:rFonts w:cs="Times New Roman"/>
          <w:szCs w:val="24"/>
          <w:lang w:val="nl-NL"/>
        </w:rPr>
        <w:t>Atık Gaz Emisyonlarını Azaltma</w:t>
      </w:r>
      <w:bookmarkEnd w:id="267"/>
    </w:p>
    <w:p w14:paraId="60649AF9" w14:textId="1766E25B" w:rsidR="00B83A5B" w:rsidRPr="00F50C10" w:rsidRDefault="00B83A5B" w:rsidP="000B206D">
      <w:pPr>
        <w:spacing w:before="240" w:line="276" w:lineRule="auto"/>
        <w:rPr>
          <w:rFonts w:cs="Times New Roman"/>
          <w:b/>
          <w:bCs/>
          <w:szCs w:val="24"/>
          <w:lang w:val="nl-NL"/>
        </w:rPr>
      </w:pPr>
      <w:r w:rsidRPr="00F50C10">
        <w:rPr>
          <w:rFonts w:cs="Times New Roman"/>
          <w:b/>
          <w:bCs/>
          <w:szCs w:val="24"/>
          <w:lang w:val="nl-NL"/>
        </w:rPr>
        <w:t xml:space="preserve">MET 6: </w:t>
      </w:r>
      <w:r w:rsidRPr="00F50C10">
        <w:rPr>
          <w:rFonts w:cs="Times New Roman"/>
          <w:szCs w:val="24"/>
          <w:lang w:val="nl-NL"/>
        </w:rPr>
        <w:t xml:space="preserve">Aşağıdaki tekniklerden bir veya daha fazlasını kullanarak, çıkış gazlarındaki toplam toz emisyonları minimize </w:t>
      </w:r>
      <w:r w:rsidR="00F46576" w:rsidRPr="00F50C10">
        <w:rPr>
          <w:rFonts w:cs="Times New Roman"/>
          <w:szCs w:val="24"/>
          <w:lang w:val="nl-NL"/>
        </w:rPr>
        <w:t>edilir</w:t>
      </w:r>
      <w:r w:rsidRPr="00F50C10">
        <w:rPr>
          <w:rFonts w:cs="Times New Roman"/>
          <w:szCs w:val="24"/>
          <w:lang w:val="nl-NL"/>
        </w:rPr>
        <w:t xml:space="preserve"> ve 1 – 10 mg/Nm</w:t>
      </w:r>
      <w:r w:rsidRPr="00F50C10">
        <w:rPr>
          <w:rFonts w:cs="Times New Roman"/>
          <w:szCs w:val="24"/>
          <w:vertAlign w:val="superscript"/>
          <w:lang w:val="nl-NL"/>
        </w:rPr>
        <w:t>3</w:t>
      </w:r>
      <w:r w:rsidRPr="00F50C10">
        <w:rPr>
          <w:rFonts w:cs="Times New Roman"/>
          <w:szCs w:val="24"/>
          <w:lang w:val="nl-NL"/>
        </w:rPr>
        <w:t xml:space="preserve"> aralığındaki emisyon düzeyleri elde </w:t>
      </w:r>
      <w:r w:rsidR="00F46576" w:rsidRPr="00F50C10">
        <w:rPr>
          <w:rFonts w:cs="Times New Roman"/>
          <w:szCs w:val="24"/>
          <w:lang w:val="nl-NL"/>
        </w:rPr>
        <w:t>edilir</w:t>
      </w:r>
      <w:r w:rsidRPr="00F50C10">
        <w:rPr>
          <w:rFonts w:cs="Times New Roman"/>
          <w:szCs w:val="24"/>
          <w:lang w:val="nl-NL"/>
        </w:rPr>
        <w:t>:</w:t>
      </w:r>
    </w:p>
    <w:p w14:paraId="0E9A2165" w14:textId="4EA126DD" w:rsidR="00B83A5B" w:rsidRPr="00F50C10" w:rsidRDefault="00B83A5B" w:rsidP="00A654AE">
      <w:pPr>
        <w:pStyle w:val="ListeParagraf"/>
        <w:numPr>
          <w:ilvl w:val="0"/>
          <w:numId w:val="113"/>
        </w:numPr>
        <w:spacing w:before="240" w:line="276" w:lineRule="auto"/>
        <w:rPr>
          <w:rFonts w:cs="Times New Roman"/>
          <w:szCs w:val="24"/>
        </w:rPr>
      </w:pPr>
      <w:r w:rsidRPr="00F50C10">
        <w:rPr>
          <w:rFonts w:cs="Times New Roman"/>
          <w:szCs w:val="24"/>
        </w:rPr>
        <w:t>siklon,</w:t>
      </w:r>
      <w:r w:rsidR="00C17DE9">
        <w:rPr>
          <w:rFonts w:cs="Times New Roman"/>
          <w:szCs w:val="24"/>
        </w:rPr>
        <w:t xml:space="preserve"> </w:t>
      </w:r>
      <w:r w:rsidR="00C17DE9" w:rsidRPr="00C17DE9">
        <w:rPr>
          <w:rFonts w:cs="Times New Roman"/>
          <w:szCs w:val="24"/>
        </w:rPr>
        <w:t>(Detaylı bilgi için Özel İnorganik Kimyasalların Üretimi İçin MET Referans Belgesinin 4</w:t>
      </w:r>
      <w:r w:rsidR="00C17DE9">
        <w:rPr>
          <w:rFonts w:cs="Times New Roman"/>
          <w:szCs w:val="24"/>
        </w:rPr>
        <w:t>.4.2.1.2</w:t>
      </w:r>
      <w:r w:rsidR="00C17DE9" w:rsidRPr="00C17DE9">
        <w:rPr>
          <w:rFonts w:cs="Times New Roman"/>
          <w:szCs w:val="24"/>
        </w:rPr>
        <w:t xml:space="preserve"> kısmını inceleyiniz.)</w:t>
      </w:r>
    </w:p>
    <w:p w14:paraId="49FFD87D" w14:textId="1A57D6A7" w:rsidR="00B83A5B" w:rsidRPr="00F50C10" w:rsidRDefault="009A2327" w:rsidP="00A654AE">
      <w:pPr>
        <w:pStyle w:val="ListeParagraf"/>
        <w:numPr>
          <w:ilvl w:val="0"/>
          <w:numId w:val="113"/>
        </w:numPr>
        <w:spacing w:before="240" w:line="276" w:lineRule="auto"/>
        <w:rPr>
          <w:rFonts w:cs="Times New Roman"/>
          <w:szCs w:val="24"/>
        </w:rPr>
      </w:pPr>
      <w:r w:rsidRPr="00F50C10">
        <w:rPr>
          <w:rFonts w:cs="Times New Roman"/>
          <w:szCs w:val="24"/>
        </w:rPr>
        <w:t>bez</w:t>
      </w:r>
      <w:r w:rsidR="00B83A5B" w:rsidRPr="00F50C10">
        <w:rPr>
          <w:rFonts w:cs="Times New Roman"/>
          <w:szCs w:val="24"/>
        </w:rPr>
        <w:t xml:space="preserve"> veya seramik filtre,</w:t>
      </w:r>
      <w:r w:rsidR="00C17DE9" w:rsidRPr="00C17DE9">
        <w:t xml:space="preserve"> </w:t>
      </w:r>
      <w:r w:rsidR="00C17DE9" w:rsidRPr="00C17DE9">
        <w:rPr>
          <w:rFonts w:cs="Times New Roman"/>
          <w:szCs w:val="24"/>
        </w:rPr>
        <w:t>(Detaylı bilgi için Özel İnorganik Kimyasalların Üretimi İçin MET Referans Belgesinin 4.</w:t>
      </w:r>
      <w:r w:rsidR="00C17DE9">
        <w:rPr>
          <w:rFonts w:cs="Times New Roman"/>
          <w:szCs w:val="24"/>
        </w:rPr>
        <w:t>4.2.1.5</w:t>
      </w:r>
      <w:r w:rsidR="00C17DE9" w:rsidRPr="00C17DE9">
        <w:rPr>
          <w:rFonts w:cs="Times New Roman"/>
          <w:szCs w:val="24"/>
        </w:rPr>
        <w:t xml:space="preserve"> kısmını inceleyiniz.)</w:t>
      </w:r>
    </w:p>
    <w:p w14:paraId="7721011C" w14:textId="0EBA74D6" w:rsidR="00B83A5B" w:rsidRPr="00F50C10" w:rsidRDefault="00DD2385" w:rsidP="00A654AE">
      <w:pPr>
        <w:pStyle w:val="ListeParagraf"/>
        <w:numPr>
          <w:ilvl w:val="0"/>
          <w:numId w:val="113"/>
        </w:numPr>
        <w:spacing w:before="240" w:line="276" w:lineRule="auto"/>
        <w:rPr>
          <w:rFonts w:cs="Times New Roman"/>
          <w:szCs w:val="24"/>
        </w:rPr>
      </w:pPr>
      <w:r w:rsidRPr="00F50C10">
        <w:rPr>
          <w:rFonts w:cs="Times New Roman"/>
          <w:szCs w:val="24"/>
          <w:lang w:val="nl-NL"/>
        </w:rPr>
        <w:t>ıslak</w:t>
      </w:r>
      <w:r w:rsidR="00B83A5B" w:rsidRPr="00F50C10">
        <w:rPr>
          <w:rFonts w:cs="Times New Roman"/>
          <w:szCs w:val="24"/>
          <w:lang w:val="nl-NL"/>
        </w:rPr>
        <w:t xml:space="preserve"> toz yıkayıcı</w:t>
      </w:r>
      <w:r w:rsidR="00B83A5B" w:rsidRPr="00F50C10">
        <w:rPr>
          <w:rFonts w:cs="Times New Roman"/>
          <w:szCs w:val="24"/>
        </w:rPr>
        <w:t>,</w:t>
      </w:r>
      <w:r w:rsidR="00C17DE9" w:rsidRPr="00C17DE9">
        <w:t xml:space="preserve"> </w:t>
      </w:r>
      <w:r w:rsidR="00C17DE9" w:rsidRPr="00C17DE9">
        <w:rPr>
          <w:rFonts w:cs="Times New Roman"/>
          <w:szCs w:val="24"/>
        </w:rPr>
        <w:t xml:space="preserve">(Detaylı bilgi için Özel İnorganik Kimyasalların Üretimi İçin MET Referans Belgesinin </w:t>
      </w:r>
      <w:r w:rsidR="00C17DE9">
        <w:rPr>
          <w:rFonts w:cs="Times New Roman"/>
          <w:szCs w:val="24"/>
        </w:rPr>
        <w:t>4.4.2.1.3</w:t>
      </w:r>
      <w:r w:rsidR="00C17DE9" w:rsidRPr="00C17DE9">
        <w:rPr>
          <w:rFonts w:cs="Times New Roman"/>
          <w:szCs w:val="24"/>
        </w:rPr>
        <w:t xml:space="preserve"> kısmını inceleyiniz.)</w:t>
      </w:r>
    </w:p>
    <w:p w14:paraId="483476DF" w14:textId="71FCBA78" w:rsidR="00B83A5B" w:rsidRPr="00F50C10" w:rsidRDefault="00B83A5B" w:rsidP="00A654AE">
      <w:pPr>
        <w:pStyle w:val="ListeParagraf"/>
        <w:numPr>
          <w:ilvl w:val="0"/>
          <w:numId w:val="113"/>
        </w:numPr>
        <w:spacing w:before="240" w:line="276" w:lineRule="auto"/>
        <w:rPr>
          <w:rFonts w:cs="Times New Roman"/>
          <w:szCs w:val="24"/>
        </w:rPr>
      </w:pPr>
      <w:r w:rsidRPr="00F50C10">
        <w:rPr>
          <w:rFonts w:cs="Times New Roman"/>
          <w:szCs w:val="24"/>
          <w:lang w:val="nl-NL"/>
        </w:rPr>
        <w:t xml:space="preserve">elektrostatik </w:t>
      </w:r>
      <w:r w:rsidR="00F46576" w:rsidRPr="00F50C10">
        <w:rPr>
          <w:rFonts w:cs="Times New Roman"/>
          <w:szCs w:val="24"/>
          <w:lang w:val="nl-NL"/>
        </w:rPr>
        <w:t>filtre</w:t>
      </w:r>
      <w:r w:rsidRPr="00F50C10">
        <w:rPr>
          <w:rFonts w:cs="Times New Roman"/>
          <w:szCs w:val="24"/>
        </w:rPr>
        <w:t>.</w:t>
      </w:r>
      <w:r w:rsidR="00C17DE9" w:rsidRPr="00C17DE9">
        <w:t xml:space="preserve"> </w:t>
      </w:r>
      <w:r w:rsidR="00C17DE9" w:rsidRPr="00C17DE9">
        <w:rPr>
          <w:rFonts w:cs="Times New Roman"/>
          <w:szCs w:val="24"/>
        </w:rPr>
        <w:t xml:space="preserve">(Detaylı bilgi için Özel İnorganik Kimyasalların Üretimi İçin MET Referans Belgesinin </w:t>
      </w:r>
      <w:r w:rsidR="00C17DE9">
        <w:rPr>
          <w:rFonts w:cs="Times New Roman"/>
          <w:szCs w:val="24"/>
        </w:rPr>
        <w:t>4.4.2.1.4</w:t>
      </w:r>
      <w:r w:rsidR="00C17DE9" w:rsidRPr="00C17DE9">
        <w:rPr>
          <w:rFonts w:cs="Times New Roman"/>
          <w:szCs w:val="24"/>
        </w:rPr>
        <w:t xml:space="preserve"> kısmını inceleyiniz.)</w:t>
      </w:r>
    </w:p>
    <w:p w14:paraId="1FC131D7" w14:textId="69273A6A" w:rsidR="00B83A5B" w:rsidRPr="00F50C10" w:rsidRDefault="00B83A5B" w:rsidP="000B206D">
      <w:pPr>
        <w:spacing w:before="240" w:line="276" w:lineRule="auto"/>
        <w:rPr>
          <w:rFonts w:cs="Times New Roman"/>
          <w:szCs w:val="24"/>
        </w:rPr>
      </w:pPr>
      <w:r w:rsidRPr="00F50C10">
        <w:rPr>
          <w:rFonts w:cs="Times New Roman"/>
          <w:szCs w:val="24"/>
        </w:rPr>
        <w:t xml:space="preserve">Diğer hafifletici tekniklerle birlikte </w:t>
      </w:r>
      <w:r w:rsidR="009A2327" w:rsidRPr="00F50C10">
        <w:rPr>
          <w:rFonts w:cs="Times New Roman"/>
          <w:szCs w:val="24"/>
        </w:rPr>
        <w:t>bez</w:t>
      </w:r>
      <w:r w:rsidRPr="00F50C10">
        <w:rPr>
          <w:rFonts w:cs="Times New Roman"/>
          <w:szCs w:val="24"/>
        </w:rPr>
        <w:t xml:space="preserve"> filtrelerin kullanılması sayesinde, aralığın </w:t>
      </w:r>
      <w:r w:rsidR="00DD2385" w:rsidRPr="00F50C10">
        <w:rPr>
          <w:rFonts w:cs="Times New Roman"/>
          <w:szCs w:val="24"/>
        </w:rPr>
        <w:t>alt</w:t>
      </w:r>
      <w:r w:rsidRPr="00F50C10">
        <w:rPr>
          <w:rFonts w:cs="Times New Roman"/>
          <w:szCs w:val="24"/>
        </w:rPr>
        <w:t xml:space="preserve"> </w:t>
      </w:r>
      <w:r w:rsidR="00DD2385" w:rsidRPr="00F50C10">
        <w:rPr>
          <w:rFonts w:cs="Times New Roman"/>
          <w:szCs w:val="24"/>
        </w:rPr>
        <w:t>sınırında</w:t>
      </w:r>
      <w:r w:rsidRPr="00F50C10">
        <w:rPr>
          <w:rFonts w:cs="Times New Roman"/>
          <w:szCs w:val="24"/>
        </w:rPr>
        <w:t xml:space="preserve"> yer alan değer elde edilebilmektedir. Bununla birlikte, taşıyıcı gazın ve </w:t>
      </w:r>
      <w:r w:rsidR="00F46576" w:rsidRPr="00F50C10">
        <w:rPr>
          <w:rFonts w:cs="Times New Roman"/>
          <w:szCs w:val="24"/>
        </w:rPr>
        <w:t>partikülün</w:t>
      </w:r>
      <w:r w:rsidRPr="00F50C10">
        <w:rPr>
          <w:rFonts w:cs="Times New Roman"/>
          <w:szCs w:val="24"/>
        </w:rPr>
        <w:t xml:space="preserve"> özelliklerine bağlı olarak aralık daha yüksek olabilmektedir. </w:t>
      </w:r>
      <w:r w:rsidR="00C17DE9">
        <w:t>(</w:t>
      </w:r>
      <w:r w:rsidR="00C17DE9" w:rsidRPr="00D56EBB">
        <w:rPr>
          <w:rFonts w:cs="Times New Roman"/>
          <w:szCs w:val="24"/>
        </w:rPr>
        <w:t xml:space="preserve">Detaylı bilgi için Özel İnorganik Kimyasalların Üretimi İçin MET Referans Belgesinin </w:t>
      </w:r>
      <w:r w:rsidR="00C17DE9">
        <w:rPr>
          <w:rFonts w:cs="Times New Roman"/>
          <w:szCs w:val="24"/>
        </w:rPr>
        <w:t>4.4.2.1</w:t>
      </w:r>
      <w:r w:rsidR="00C17DE9" w:rsidRPr="00D56EBB">
        <w:rPr>
          <w:rFonts w:cs="Times New Roman"/>
          <w:szCs w:val="24"/>
        </w:rPr>
        <w:t xml:space="preserve"> kıs</w:t>
      </w:r>
      <w:r w:rsidR="00C17DE9">
        <w:rPr>
          <w:rFonts w:cs="Times New Roman"/>
          <w:szCs w:val="24"/>
        </w:rPr>
        <w:t>mını</w:t>
      </w:r>
      <w:r w:rsidR="00C17DE9" w:rsidRPr="00D56EBB">
        <w:rPr>
          <w:rFonts w:cs="Times New Roman"/>
          <w:szCs w:val="24"/>
        </w:rPr>
        <w:t xml:space="preserve"> inceleyiniz.)</w:t>
      </w:r>
      <w:r w:rsidR="00C17DE9">
        <w:rPr>
          <w:rFonts w:cs="Times New Roman"/>
          <w:szCs w:val="24"/>
        </w:rPr>
        <w:t xml:space="preserve"> </w:t>
      </w:r>
      <w:r w:rsidRPr="00F50C10">
        <w:rPr>
          <w:rFonts w:cs="Times New Roman"/>
          <w:szCs w:val="24"/>
        </w:rPr>
        <w:t>Diğer kirleticilerin azaltılmasının gerektiği (örneğin SO</w:t>
      </w:r>
      <w:r w:rsidRPr="00F50C10">
        <w:rPr>
          <w:rFonts w:cs="Times New Roman"/>
          <w:szCs w:val="24"/>
          <w:vertAlign w:val="subscript"/>
        </w:rPr>
        <w:t>x</w:t>
      </w:r>
      <w:r w:rsidRPr="00F50C10">
        <w:rPr>
          <w:rFonts w:cs="Times New Roman"/>
          <w:szCs w:val="24"/>
        </w:rPr>
        <w:t xml:space="preserve">) veya çıkış gazlarının nemli koşulları ortaya koyduğu (örneğin sıvı asit varlığı) durumlarda olduğu gibi, </w:t>
      </w:r>
      <w:r w:rsidR="009A2327" w:rsidRPr="00F50C10">
        <w:rPr>
          <w:rFonts w:cs="Times New Roman"/>
          <w:szCs w:val="24"/>
        </w:rPr>
        <w:t>bez</w:t>
      </w:r>
      <w:r w:rsidRPr="00F50C10">
        <w:rPr>
          <w:rFonts w:cs="Times New Roman"/>
          <w:szCs w:val="24"/>
        </w:rPr>
        <w:t xml:space="preserve"> filtre kullanımı her zaman mümkün olmamaktadır.</w:t>
      </w:r>
    </w:p>
    <w:p w14:paraId="51A1BD00" w14:textId="77777777" w:rsidR="00B83A5B" w:rsidRPr="00F50C10" w:rsidRDefault="00B83A5B" w:rsidP="000B206D">
      <w:pPr>
        <w:spacing w:before="240" w:line="276" w:lineRule="auto"/>
        <w:rPr>
          <w:rFonts w:cs="Times New Roman"/>
          <w:szCs w:val="24"/>
        </w:rPr>
      </w:pPr>
      <w:r w:rsidRPr="00F50C10">
        <w:rPr>
          <w:rFonts w:cs="Times New Roman"/>
          <w:szCs w:val="24"/>
        </w:rPr>
        <w:t>Geri kazanılan/giderilen partikül maddeler, mümkün olan hallerde üretime geri döndürülmektedir. Yapılabilirse, yıkama ortamı da geri dönüştürülmektedir.</w:t>
      </w:r>
    </w:p>
    <w:p w14:paraId="44DC962C" w14:textId="0ABF5839" w:rsidR="00B83A5B" w:rsidRPr="00F50C10" w:rsidRDefault="00B83A5B" w:rsidP="000B206D">
      <w:pPr>
        <w:spacing w:before="240" w:line="276" w:lineRule="auto"/>
        <w:rPr>
          <w:rFonts w:cs="Times New Roman"/>
          <w:szCs w:val="24"/>
        </w:rPr>
      </w:pPr>
      <w:r w:rsidRPr="00F50C10">
        <w:rPr>
          <w:rFonts w:cs="Times New Roman"/>
          <w:b/>
          <w:bCs/>
          <w:szCs w:val="24"/>
        </w:rPr>
        <w:t xml:space="preserve">MET 7: </w:t>
      </w:r>
      <w:r w:rsidRPr="00F50C10">
        <w:rPr>
          <w:rFonts w:cs="Times New Roman"/>
          <w:szCs w:val="24"/>
        </w:rPr>
        <w:t>Alkali çözelti ile yıkama yapılması yoluyla HCN emisyonları azaltıl</w:t>
      </w:r>
      <w:r w:rsidR="00F46576" w:rsidRPr="00F50C10">
        <w:rPr>
          <w:rFonts w:cs="Times New Roman"/>
          <w:szCs w:val="24"/>
        </w:rPr>
        <w:t xml:space="preserve">ır </w:t>
      </w:r>
      <w:r w:rsidRPr="00F50C10">
        <w:rPr>
          <w:rFonts w:cs="Times New Roman"/>
          <w:szCs w:val="24"/>
        </w:rPr>
        <w:t>ve &lt;1 mg/m</w:t>
      </w:r>
      <w:r w:rsidRPr="00F50C10">
        <w:rPr>
          <w:rFonts w:cs="Times New Roman"/>
          <w:szCs w:val="24"/>
          <w:vertAlign w:val="superscript"/>
        </w:rPr>
        <w:t>3</w:t>
      </w:r>
      <w:r w:rsidRPr="00F50C10">
        <w:rPr>
          <w:rFonts w:cs="Times New Roman"/>
          <w:szCs w:val="24"/>
        </w:rPr>
        <w:t xml:space="preserve"> emisyon düzeyleri elde edilmir. Uygulanabilir ise, yıkama ortamı da geri dönüştürül</w:t>
      </w:r>
      <w:r w:rsidR="00F46576" w:rsidRPr="00F50C10">
        <w:rPr>
          <w:rFonts w:cs="Times New Roman"/>
          <w:szCs w:val="24"/>
        </w:rPr>
        <w:t>ür</w:t>
      </w:r>
      <w:r w:rsidRPr="00F50C10">
        <w:rPr>
          <w:rFonts w:cs="Times New Roman"/>
          <w:szCs w:val="24"/>
        </w:rPr>
        <w:t>.</w:t>
      </w:r>
      <w:r w:rsidR="00C17DE9" w:rsidRPr="00C17DE9">
        <w:t xml:space="preserve"> </w:t>
      </w:r>
      <w:r w:rsidR="00C17DE9">
        <w:t>(</w:t>
      </w:r>
      <w:r w:rsidR="00C17DE9" w:rsidRPr="00D56EBB">
        <w:rPr>
          <w:rFonts w:cs="Times New Roman"/>
          <w:szCs w:val="24"/>
        </w:rPr>
        <w:t xml:space="preserve">Detaylı bilgi için Özel İnorganik Kimyasalların Üretimi İçin MET Referans Belgesinin </w:t>
      </w:r>
      <w:r w:rsidR="00C17DE9">
        <w:rPr>
          <w:rFonts w:cs="Times New Roman"/>
          <w:szCs w:val="24"/>
        </w:rPr>
        <w:t>4.4.2.2.5</w:t>
      </w:r>
      <w:r w:rsidR="00C17DE9" w:rsidRPr="00D56EBB">
        <w:rPr>
          <w:rFonts w:cs="Times New Roman"/>
          <w:szCs w:val="24"/>
        </w:rPr>
        <w:t xml:space="preserve"> kıs</w:t>
      </w:r>
      <w:r w:rsidR="00C17DE9">
        <w:rPr>
          <w:rFonts w:cs="Times New Roman"/>
          <w:szCs w:val="24"/>
        </w:rPr>
        <w:t>mını</w:t>
      </w:r>
      <w:r w:rsidR="00C17DE9" w:rsidRPr="00D56EBB">
        <w:rPr>
          <w:rFonts w:cs="Times New Roman"/>
          <w:szCs w:val="24"/>
        </w:rPr>
        <w:t xml:space="preserve"> inceleyiniz.)</w:t>
      </w:r>
    </w:p>
    <w:p w14:paraId="689D9C52" w14:textId="77777777" w:rsidR="0047114F" w:rsidRDefault="00B83A5B" w:rsidP="000B206D">
      <w:pPr>
        <w:spacing w:before="240" w:line="276" w:lineRule="auto"/>
      </w:pPr>
      <w:r w:rsidRPr="00F50C10">
        <w:rPr>
          <w:rFonts w:cs="Times New Roman"/>
          <w:b/>
          <w:bCs/>
          <w:szCs w:val="24"/>
        </w:rPr>
        <w:t xml:space="preserve">MET 8: </w:t>
      </w:r>
      <w:r w:rsidRPr="00F50C10">
        <w:rPr>
          <w:rFonts w:cs="Times New Roman"/>
          <w:szCs w:val="24"/>
        </w:rPr>
        <w:t>Asidik çözelti ile yıkama yapılması yoluyla NH</w:t>
      </w:r>
      <w:r w:rsidRPr="00F50C10">
        <w:rPr>
          <w:rFonts w:cs="Times New Roman"/>
          <w:szCs w:val="24"/>
          <w:vertAlign w:val="subscript"/>
        </w:rPr>
        <w:t xml:space="preserve">3 </w:t>
      </w:r>
      <w:r w:rsidRPr="00F50C10">
        <w:rPr>
          <w:rFonts w:cs="Times New Roman"/>
          <w:szCs w:val="24"/>
        </w:rPr>
        <w:t xml:space="preserve">emisyonları </w:t>
      </w:r>
      <w:r w:rsidR="00F46576" w:rsidRPr="00F50C10">
        <w:rPr>
          <w:rFonts w:cs="Times New Roman"/>
          <w:szCs w:val="24"/>
        </w:rPr>
        <w:t>azaltılır</w:t>
      </w:r>
      <w:r w:rsidRPr="00F50C10">
        <w:rPr>
          <w:rFonts w:cs="Times New Roman"/>
          <w:szCs w:val="24"/>
        </w:rPr>
        <w:t xml:space="preserve"> ve &lt;1,2 mg/m</w:t>
      </w:r>
      <w:r w:rsidRPr="00F50C10">
        <w:rPr>
          <w:rFonts w:cs="Times New Roman"/>
          <w:szCs w:val="24"/>
          <w:vertAlign w:val="superscript"/>
        </w:rPr>
        <w:t>3</w:t>
      </w:r>
      <w:r w:rsidRPr="00F50C10">
        <w:rPr>
          <w:rFonts w:cs="Times New Roman"/>
          <w:szCs w:val="24"/>
        </w:rPr>
        <w:t xml:space="preserve"> emisyon düzeyleri elde </w:t>
      </w:r>
      <w:r w:rsidR="00F46576" w:rsidRPr="00F50C10">
        <w:rPr>
          <w:rFonts w:cs="Times New Roman"/>
          <w:szCs w:val="24"/>
        </w:rPr>
        <w:t>edilir</w:t>
      </w:r>
      <w:r w:rsidRPr="00F50C10">
        <w:rPr>
          <w:rFonts w:cs="Times New Roman"/>
          <w:szCs w:val="24"/>
        </w:rPr>
        <w:t>. Uygulanabilir ise, yıkama ortamı da geri dönüştürül</w:t>
      </w:r>
      <w:r w:rsidR="00F46576" w:rsidRPr="00F50C10">
        <w:rPr>
          <w:rFonts w:cs="Times New Roman"/>
          <w:szCs w:val="24"/>
        </w:rPr>
        <w:t>ür</w:t>
      </w:r>
      <w:r w:rsidRPr="00F50C10">
        <w:rPr>
          <w:rFonts w:cs="Times New Roman"/>
          <w:szCs w:val="24"/>
        </w:rPr>
        <w:t>.</w:t>
      </w:r>
      <w:r w:rsidR="00CE0ADB" w:rsidRPr="00CE0ADB">
        <w:t xml:space="preserve"> </w:t>
      </w:r>
    </w:p>
    <w:p w14:paraId="5D79E269" w14:textId="2D8F2C27" w:rsidR="00B83A5B" w:rsidRPr="00F50C10" w:rsidRDefault="00CE0ADB" w:rsidP="000B206D">
      <w:pPr>
        <w:spacing w:before="240" w:line="276" w:lineRule="auto"/>
        <w:rPr>
          <w:rFonts w:cs="Times New Roman"/>
          <w:szCs w:val="24"/>
        </w:rPr>
      </w:pPr>
      <w:r>
        <w:t>(</w:t>
      </w:r>
      <w:r w:rsidRPr="00D56EBB">
        <w:rPr>
          <w:rFonts w:cs="Times New Roman"/>
          <w:szCs w:val="24"/>
        </w:rPr>
        <w:t xml:space="preserve">Detaylı bilgi için Özel İnorganik Kimyasalların Üretimi İçin MET Referans Belgesinin </w:t>
      </w:r>
      <w:r>
        <w:rPr>
          <w:rFonts w:cs="Times New Roman"/>
          <w:szCs w:val="24"/>
        </w:rPr>
        <w:t>4.4.2.2.5</w:t>
      </w:r>
      <w:r w:rsidRPr="00D56EBB">
        <w:rPr>
          <w:rFonts w:cs="Times New Roman"/>
          <w:szCs w:val="24"/>
        </w:rPr>
        <w:t xml:space="preserve"> kıs</w:t>
      </w:r>
      <w:r>
        <w:rPr>
          <w:rFonts w:cs="Times New Roman"/>
          <w:szCs w:val="24"/>
        </w:rPr>
        <w:t>mını</w:t>
      </w:r>
      <w:r w:rsidRPr="00D56EBB">
        <w:rPr>
          <w:rFonts w:cs="Times New Roman"/>
          <w:szCs w:val="24"/>
        </w:rPr>
        <w:t xml:space="preserve"> inceleyiniz.)</w:t>
      </w:r>
    </w:p>
    <w:p w14:paraId="27EFBA7A" w14:textId="1FDA8923" w:rsidR="00B83A5B" w:rsidRPr="00F50C10" w:rsidRDefault="00B83A5B" w:rsidP="000B206D">
      <w:pPr>
        <w:spacing w:before="240" w:line="276" w:lineRule="auto"/>
        <w:rPr>
          <w:rFonts w:cs="Times New Roman"/>
          <w:szCs w:val="24"/>
        </w:rPr>
      </w:pPr>
      <w:r w:rsidRPr="00F50C10">
        <w:rPr>
          <w:rFonts w:cs="Times New Roman"/>
          <w:b/>
          <w:bCs/>
          <w:szCs w:val="24"/>
        </w:rPr>
        <w:t xml:space="preserve">MET 9: </w:t>
      </w:r>
      <w:r w:rsidRPr="00F50C10">
        <w:rPr>
          <w:rFonts w:cs="Times New Roman"/>
          <w:szCs w:val="24"/>
        </w:rPr>
        <w:t>HCl emisyonları</w:t>
      </w:r>
      <w:r w:rsidR="00DD2385" w:rsidRPr="00F50C10">
        <w:rPr>
          <w:rFonts w:cs="Times New Roman"/>
          <w:szCs w:val="24"/>
        </w:rPr>
        <w:t>,</w:t>
      </w:r>
      <w:r w:rsidRPr="00F50C10">
        <w:rPr>
          <w:rFonts w:cs="Times New Roman"/>
          <w:szCs w:val="24"/>
        </w:rPr>
        <w:t xml:space="preserve"> örne</w:t>
      </w:r>
      <w:r w:rsidR="00DD2385" w:rsidRPr="00F50C10">
        <w:rPr>
          <w:rFonts w:cs="Times New Roman"/>
          <w:szCs w:val="24"/>
        </w:rPr>
        <w:t xml:space="preserve">ğin </w:t>
      </w:r>
      <w:r w:rsidRPr="00F50C10">
        <w:rPr>
          <w:rFonts w:cs="Times New Roman"/>
          <w:szCs w:val="24"/>
        </w:rPr>
        <w:t xml:space="preserve">alkali koşullarda sulu gaz yıkaması </w:t>
      </w:r>
      <w:r w:rsidR="00DD2385" w:rsidRPr="00F50C10">
        <w:rPr>
          <w:rFonts w:cs="Times New Roman"/>
          <w:szCs w:val="24"/>
        </w:rPr>
        <w:t xml:space="preserve">gibi yöntemlerle, </w:t>
      </w:r>
      <w:r w:rsidRPr="00F50C10">
        <w:rPr>
          <w:rFonts w:cs="Times New Roman"/>
          <w:szCs w:val="24"/>
        </w:rPr>
        <w:t>azaltıl</w:t>
      </w:r>
      <w:r w:rsidR="00876FCF" w:rsidRPr="00F50C10">
        <w:rPr>
          <w:rFonts w:cs="Times New Roman"/>
          <w:szCs w:val="24"/>
        </w:rPr>
        <w:t>ı</w:t>
      </w:r>
      <w:r w:rsidRPr="00F50C10">
        <w:rPr>
          <w:rFonts w:cs="Times New Roman"/>
          <w:szCs w:val="24"/>
        </w:rPr>
        <w:t>r. Eğer arıtılması gereken ana kirletici HCl ise ve alkali yıkama kullanılıyorsa, 3 – 10 mg/Nm</w:t>
      </w:r>
      <w:r w:rsidRPr="00F50C10">
        <w:rPr>
          <w:rFonts w:cs="Times New Roman"/>
          <w:szCs w:val="24"/>
          <w:vertAlign w:val="superscript"/>
        </w:rPr>
        <w:t>3</w:t>
      </w:r>
      <w:r w:rsidRPr="00F50C10">
        <w:rPr>
          <w:rFonts w:cs="Times New Roman"/>
          <w:szCs w:val="24"/>
        </w:rPr>
        <w:t xml:space="preserve"> HCl düzeyi elde </w:t>
      </w:r>
      <w:r w:rsidR="00876FCF" w:rsidRPr="00F50C10">
        <w:rPr>
          <w:rFonts w:cs="Times New Roman"/>
          <w:szCs w:val="24"/>
        </w:rPr>
        <w:t>edilir</w:t>
      </w:r>
      <w:r w:rsidRPr="00F50C10">
        <w:rPr>
          <w:rFonts w:cs="Times New Roman"/>
          <w:szCs w:val="24"/>
        </w:rPr>
        <w:t>.</w:t>
      </w:r>
    </w:p>
    <w:p w14:paraId="32D1961D" w14:textId="23F8BFBB" w:rsidR="00B83A5B" w:rsidRDefault="00B83A5B" w:rsidP="00A654AE">
      <w:pPr>
        <w:pStyle w:val="Balk2"/>
        <w:numPr>
          <w:ilvl w:val="1"/>
          <w:numId w:val="137"/>
        </w:numPr>
        <w:spacing w:line="276" w:lineRule="auto"/>
        <w:rPr>
          <w:rFonts w:cs="Times New Roman"/>
          <w:szCs w:val="24"/>
        </w:rPr>
      </w:pPr>
      <w:bookmarkStart w:id="268" w:name="_Toc136866678"/>
      <w:r w:rsidRPr="00F50C10">
        <w:rPr>
          <w:rFonts w:cs="Times New Roman"/>
          <w:szCs w:val="24"/>
        </w:rPr>
        <w:t>Atık</w:t>
      </w:r>
      <w:r w:rsidR="0047114F">
        <w:rPr>
          <w:rFonts w:cs="Times New Roman"/>
          <w:szCs w:val="24"/>
        </w:rPr>
        <w:t>s</w:t>
      </w:r>
      <w:r w:rsidRPr="00F50C10">
        <w:rPr>
          <w:rFonts w:cs="Times New Roman"/>
          <w:szCs w:val="24"/>
        </w:rPr>
        <w:t>u Yönetimi ve Suya Emisyonların Azaltılması</w:t>
      </w:r>
      <w:bookmarkEnd w:id="268"/>
    </w:p>
    <w:p w14:paraId="0A7F41CB" w14:textId="58090328" w:rsidR="0047114F" w:rsidRPr="0047114F" w:rsidRDefault="0047114F" w:rsidP="000B206D">
      <w:pPr>
        <w:spacing w:before="240" w:line="276" w:lineRule="auto"/>
        <w:rPr>
          <w:rFonts w:cs="Times New Roman"/>
          <w:szCs w:val="24"/>
        </w:rPr>
      </w:pPr>
      <w:r>
        <w:t>(</w:t>
      </w:r>
      <w:r w:rsidRPr="0047114F">
        <w:rPr>
          <w:rFonts w:cs="Times New Roman"/>
          <w:szCs w:val="24"/>
        </w:rPr>
        <w:t xml:space="preserve">Detaylı bilgi için Özel İnorganik Kimyasalların Üretimi İçin MET Referans Belgesinin </w:t>
      </w:r>
      <w:r>
        <w:rPr>
          <w:rFonts w:cs="Times New Roman"/>
          <w:szCs w:val="24"/>
        </w:rPr>
        <w:t xml:space="preserve">5. bölümde atıksu yönetimi ile ilgili </w:t>
      </w:r>
      <w:r w:rsidR="007455EF">
        <w:rPr>
          <w:rFonts w:cs="Times New Roman"/>
          <w:szCs w:val="24"/>
        </w:rPr>
        <w:t>kısmı</w:t>
      </w:r>
      <w:r w:rsidRPr="0047114F">
        <w:rPr>
          <w:rFonts w:cs="Times New Roman"/>
          <w:szCs w:val="24"/>
        </w:rPr>
        <w:t xml:space="preserve"> inceleyiniz.)</w:t>
      </w:r>
    </w:p>
    <w:p w14:paraId="2D78AE6D" w14:textId="0AE68E44" w:rsidR="00B83A5B" w:rsidRDefault="00B83A5B" w:rsidP="000B206D">
      <w:pPr>
        <w:spacing w:before="240" w:line="276" w:lineRule="auto"/>
        <w:rPr>
          <w:rFonts w:cs="Times New Roman"/>
          <w:szCs w:val="24"/>
        </w:rPr>
      </w:pPr>
      <w:r w:rsidRPr="00F50C10">
        <w:rPr>
          <w:rFonts w:cs="Times New Roman"/>
          <w:b/>
          <w:bCs/>
          <w:szCs w:val="24"/>
        </w:rPr>
        <w:t xml:space="preserve">MET 10: </w:t>
      </w:r>
      <w:r w:rsidRPr="00F50C10">
        <w:rPr>
          <w:rFonts w:cs="Times New Roman"/>
          <w:szCs w:val="24"/>
        </w:rPr>
        <w:t>Genel bir önlem olarak, kontamine atık su akışları kendi kirletici yüklerine göre yönlendiri</w:t>
      </w:r>
      <w:r w:rsidR="00876FCF" w:rsidRPr="00F50C10">
        <w:rPr>
          <w:rFonts w:cs="Times New Roman"/>
          <w:szCs w:val="24"/>
        </w:rPr>
        <w:t>lir</w:t>
      </w:r>
      <w:r w:rsidRPr="00F50C10">
        <w:rPr>
          <w:rFonts w:cs="Times New Roman"/>
          <w:szCs w:val="24"/>
        </w:rPr>
        <w:t>. İlgili organik bileşiklerin yer almadığı inorganik atık su, organik atık sudan ayrıştırılır ve özel arıtma tesislerine yönlendirilir.</w:t>
      </w:r>
    </w:p>
    <w:p w14:paraId="0E603C2C" w14:textId="59064E2C" w:rsidR="009E07D1" w:rsidRPr="00F50C10" w:rsidRDefault="009E07D1" w:rsidP="000B206D">
      <w:pPr>
        <w:spacing w:before="240" w:line="276" w:lineRule="auto"/>
        <w:rPr>
          <w:rFonts w:cs="Times New Roman"/>
          <w:szCs w:val="24"/>
        </w:rPr>
      </w:pPr>
      <w:r>
        <w:t>(</w:t>
      </w:r>
      <w:r w:rsidRPr="00D56EBB">
        <w:rPr>
          <w:rFonts w:cs="Times New Roman"/>
          <w:szCs w:val="24"/>
        </w:rPr>
        <w:t xml:space="preserve">Detaylı bilgi için Özel İnorganik Kimyasalların Üretimi İçin MET Referans Belgesinin </w:t>
      </w:r>
      <w:r>
        <w:rPr>
          <w:rFonts w:cs="Times New Roman"/>
          <w:szCs w:val="24"/>
        </w:rPr>
        <w:t>4.4.1</w:t>
      </w:r>
      <w:r w:rsidRPr="00D56EBB">
        <w:rPr>
          <w:rFonts w:cs="Times New Roman"/>
          <w:szCs w:val="24"/>
        </w:rPr>
        <w:t xml:space="preserve"> </w:t>
      </w:r>
      <w:r>
        <w:rPr>
          <w:rFonts w:cs="Times New Roman"/>
          <w:szCs w:val="24"/>
        </w:rPr>
        <w:t xml:space="preserve">ve Şekil 4.1 </w:t>
      </w:r>
      <w:r w:rsidRPr="00D56EBB">
        <w:rPr>
          <w:rFonts w:cs="Times New Roman"/>
          <w:szCs w:val="24"/>
        </w:rPr>
        <w:t>kıs</w:t>
      </w:r>
      <w:r>
        <w:rPr>
          <w:rFonts w:cs="Times New Roman"/>
          <w:szCs w:val="24"/>
        </w:rPr>
        <w:t>mını</w:t>
      </w:r>
      <w:r w:rsidRPr="00D56EBB">
        <w:rPr>
          <w:rFonts w:cs="Times New Roman"/>
          <w:szCs w:val="24"/>
        </w:rPr>
        <w:t xml:space="preserve"> inceleyiniz.)</w:t>
      </w:r>
    </w:p>
    <w:p w14:paraId="09C867EA" w14:textId="27F31EB9" w:rsidR="00B83A5B" w:rsidRPr="00F50C10" w:rsidRDefault="00B83A5B" w:rsidP="000B206D">
      <w:pPr>
        <w:spacing w:before="240" w:line="276" w:lineRule="auto"/>
        <w:rPr>
          <w:rFonts w:cs="Times New Roman"/>
          <w:szCs w:val="24"/>
        </w:rPr>
      </w:pPr>
      <w:r w:rsidRPr="00F50C10">
        <w:rPr>
          <w:rFonts w:cs="Times New Roman"/>
          <w:b/>
          <w:bCs/>
          <w:szCs w:val="24"/>
        </w:rPr>
        <w:t xml:space="preserve">MET 11: </w:t>
      </w:r>
      <w:r w:rsidRPr="00F50C10">
        <w:rPr>
          <w:rFonts w:cs="Times New Roman"/>
          <w:szCs w:val="24"/>
        </w:rPr>
        <w:t>Yağmur suyu bakımından, aşağıdaki önlemler</w:t>
      </w:r>
      <w:r w:rsidR="00876FCF" w:rsidRPr="00F50C10">
        <w:rPr>
          <w:rFonts w:cs="Times New Roman"/>
          <w:szCs w:val="24"/>
        </w:rPr>
        <w:t>in</w:t>
      </w:r>
      <w:r w:rsidRPr="00F50C10">
        <w:rPr>
          <w:rFonts w:cs="Times New Roman"/>
          <w:szCs w:val="24"/>
        </w:rPr>
        <w:t xml:space="preserve"> tümünü</w:t>
      </w:r>
      <w:r w:rsidR="00203C8F" w:rsidRPr="00F50C10">
        <w:rPr>
          <w:rFonts w:cs="Times New Roman"/>
          <w:szCs w:val="24"/>
        </w:rPr>
        <w:t>n</w:t>
      </w:r>
      <w:r w:rsidRPr="00F50C10">
        <w:rPr>
          <w:rFonts w:cs="Times New Roman"/>
          <w:szCs w:val="24"/>
        </w:rPr>
        <w:t xml:space="preserve"> uygula</w:t>
      </w:r>
      <w:r w:rsidR="00203C8F" w:rsidRPr="00F50C10">
        <w:rPr>
          <w:rFonts w:cs="Times New Roman"/>
          <w:szCs w:val="24"/>
        </w:rPr>
        <w:t>nmasıyla</w:t>
      </w:r>
      <w:r w:rsidRPr="00F50C10">
        <w:rPr>
          <w:rFonts w:cs="Times New Roman"/>
          <w:szCs w:val="24"/>
        </w:rPr>
        <w:t xml:space="preserve"> alıcı ortamdaki kirlili</w:t>
      </w:r>
      <w:r w:rsidR="00203C8F" w:rsidRPr="00F50C10">
        <w:rPr>
          <w:rFonts w:cs="Times New Roman"/>
          <w:szCs w:val="24"/>
        </w:rPr>
        <w:t>k</w:t>
      </w:r>
      <w:r w:rsidRPr="00F50C10">
        <w:rPr>
          <w:rFonts w:cs="Times New Roman"/>
          <w:szCs w:val="24"/>
        </w:rPr>
        <w:t xml:space="preserve"> en aza </w:t>
      </w:r>
      <w:r w:rsidR="00203C8F" w:rsidRPr="00F50C10">
        <w:rPr>
          <w:rFonts w:cs="Times New Roman"/>
          <w:szCs w:val="24"/>
        </w:rPr>
        <w:t>indirilir</w:t>
      </w:r>
      <w:r w:rsidRPr="00F50C10">
        <w:rPr>
          <w:rFonts w:cs="Times New Roman"/>
          <w:szCs w:val="24"/>
        </w:rPr>
        <w:t>:</w:t>
      </w:r>
    </w:p>
    <w:p w14:paraId="68472717" w14:textId="05463D35" w:rsidR="00B83A5B" w:rsidRPr="00F50C10" w:rsidRDefault="00B83A5B" w:rsidP="00A654AE">
      <w:pPr>
        <w:pStyle w:val="ListeParagraf"/>
        <w:numPr>
          <w:ilvl w:val="0"/>
          <w:numId w:val="114"/>
        </w:numPr>
        <w:spacing w:before="240" w:line="276" w:lineRule="auto"/>
        <w:rPr>
          <w:rFonts w:cs="Times New Roman"/>
          <w:szCs w:val="24"/>
        </w:rPr>
      </w:pPr>
      <w:r w:rsidRPr="00F50C10">
        <w:rPr>
          <w:rFonts w:cs="Times New Roman"/>
          <w:szCs w:val="24"/>
        </w:rPr>
        <w:t>özellikle kaçak ve yayılı emisyonları azaltmaya yönelik önlemleri uygulayarak, tesiste gerçekleştirilen faaliyetlerden kaynaklanan yağmur suyu kontaminasyonunu en aza indirmek.</w:t>
      </w:r>
      <w:r w:rsidR="007455EF" w:rsidRPr="007455EF">
        <w:rPr>
          <w:rFonts w:cs="Times New Roman"/>
          <w:szCs w:val="24"/>
        </w:rPr>
        <w:t xml:space="preserve"> (Detaylı bilgi için Özel İnorganik Kimyasalların Üretimi İçin MET Referans Belgesinin 5. bölümde </w:t>
      </w:r>
      <w:r w:rsidR="007455EF">
        <w:rPr>
          <w:rFonts w:cs="Times New Roman"/>
          <w:szCs w:val="24"/>
        </w:rPr>
        <w:t xml:space="preserve">altyapı ve sınır öteki teknikler ile </w:t>
      </w:r>
      <w:r w:rsidR="007455EF" w:rsidRPr="007455EF">
        <w:rPr>
          <w:rFonts w:cs="Times New Roman"/>
          <w:szCs w:val="24"/>
        </w:rPr>
        <w:t xml:space="preserve">ilgili </w:t>
      </w:r>
      <w:r w:rsidR="007455EF">
        <w:rPr>
          <w:rFonts w:cs="Times New Roman"/>
          <w:szCs w:val="24"/>
        </w:rPr>
        <w:t>kısmı</w:t>
      </w:r>
      <w:r w:rsidR="007455EF" w:rsidRPr="007455EF">
        <w:rPr>
          <w:rFonts w:cs="Times New Roman"/>
          <w:szCs w:val="24"/>
        </w:rPr>
        <w:t xml:space="preserve"> inceleyiniz.)</w:t>
      </w:r>
    </w:p>
    <w:p w14:paraId="0CB38835" w14:textId="4645D090" w:rsidR="00B83A5B" w:rsidRPr="00F50C10" w:rsidRDefault="00B83A5B" w:rsidP="00A654AE">
      <w:pPr>
        <w:pStyle w:val="ListeParagraf"/>
        <w:numPr>
          <w:ilvl w:val="0"/>
          <w:numId w:val="114"/>
        </w:numPr>
        <w:spacing w:before="240" w:line="276" w:lineRule="auto"/>
        <w:rPr>
          <w:rFonts w:cs="Times New Roman"/>
          <w:szCs w:val="24"/>
        </w:rPr>
      </w:pPr>
      <w:r w:rsidRPr="00F50C10">
        <w:rPr>
          <w:rFonts w:cs="Times New Roman"/>
          <w:szCs w:val="24"/>
        </w:rPr>
        <w:t>tesisteki faaliyetlerden dolayı kontamine olması beklenen yağmur suyunu yönlendirmek ve depolamak</w:t>
      </w:r>
      <w:r w:rsidR="00203C8F" w:rsidRPr="00F50C10">
        <w:rPr>
          <w:rFonts w:cs="Times New Roman"/>
          <w:szCs w:val="24"/>
        </w:rPr>
        <w:t>,</w:t>
      </w:r>
      <w:r w:rsidRPr="00F50C10">
        <w:rPr>
          <w:rFonts w:cs="Times New Roman"/>
          <w:szCs w:val="24"/>
        </w:rPr>
        <w:t xml:space="preserve"> </w:t>
      </w:r>
      <w:r w:rsidR="00203C8F" w:rsidRPr="00F50C10">
        <w:rPr>
          <w:rFonts w:cs="Times New Roman"/>
          <w:szCs w:val="24"/>
        </w:rPr>
        <w:t>gerektiği durumlarda</w:t>
      </w:r>
      <w:r w:rsidRPr="00F50C10">
        <w:rPr>
          <w:rFonts w:cs="Times New Roman"/>
          <w:szCs w:val="24"/>
        </w:rPr>
        <w:t xml:space="preserve"> arıtmak. Diğer yağmur suları doğrudan deşarj edilebilir.</w:t>
      </w:r>
      <w:r w:rsidR="007455EF" w:rsidRPr="007455EF">
        <w:t xml:space="preserve"> (Detaylı bilgi için Özel İnorganik Kimyasalların Üretimi İçin MET Referans Belgesinin </w:t>
      </w:r>
      <w:r w:rsidR="007455EF">
        <w:rPr>
          <w:rFonts w:cs="Times New Roman"/>
          <w:szCs w:val="24"/>
        </w:rPr>
        <w:t xml:space="preserve">4.7.4 </w:t>
      </w:r>
      <w:r w:rsidR="007455EF" w:rsidRPr="00D56EBB">
        <w:rPr>
          <w:rFonts w:cs="Times New Roman"/>
          <w:szCs w:val="24"/>
        </w:rPr>
        <w:t>kıs</w:t>
      </w:r>
      <w:r w:rsidR="007455EF">
        <w:rPr>
          <w:rFonts w:cs="Times New Roman"/>
          <w:szCs w:val="24"/>
        </w:rPr>
        <w:t>mını</w:t>
      </w:r>
      <w:r w:rsidR="007455EF" w:rsidRPr="00D56EBB">
        <w:rPr>
          <w:rFonts w:cs="Times New Roman"/>
          <w:szCs w:val="24"/>
        </w:rPr>
        <w:t xml:space="preserve"> inceleyiniz</w:t>
      </w:r>
      <w:r w:rsidR="007455EF" w:rsidRPr="007455EF">
        <w:t>.)</w:t>
      </w:r>
    </w:p>
    <w:p w14:paraId="5E7D0D7A" w14:textId="4EA5B60C" w:rsidR="00B83A5B" w:rsidRPr="00F50C10" w:rsidRDefault="00B83A5B" w:rsidP="00A654AE">
      <w:pPr>
        <w:pStyle w:val="ListeParagraf"/>
        <w:numPr>
          <w:ilvl w:val="0"/>
          <w:numId w:val="114"/>
        </w:numPr>
        <w:spacing w:before="240" w:line="276" w:lineRule="auto"/>
        <w:rPr>
          <w:rFonts w:cs="Times New Roman"/>
          <w:szCs w:val="24"/>
        </w:rPr>
      </w:pPr>
      <w:r w:rsidRPr="00F50C10">
        <w:rPr>
          <w:rFonts w:cs="Times New Roman"/>
          <w:szCs w:val="24"/>
        </w:rPr>
        <w:t>söz konusu olan bu diğer yağmur sularının deşarjını izlemek. Kontamine olduğu belirlenen yağmur suyu yukarıdaki b bendinde açıklandığı gibi arıtılır.</w:t>
      </w:r>
      <w:r w:rsidR="007455EF" w:rsidRPr="007455EF">
        <w:t xml:space="preserve"> (Detaylı bilgi için Özel İnorganik Kimyasalların Üretimi İçin MET Referans Belgesinin </w:t>
      </w:r>
      <w:r w:rsidR="007455EF">
        <w:rPr>
          <w:rFonts w:cs="Times New Roman"/>
          <w:szCs w:val="24"/>
        </w:rPr>
        <w:t xml:space="preserve">4.7.4 </w:t>
      </w:r>
      <w:r w:rsidR="007455EF" w:rsidRPr="00D56EBB">
        <w:rPr>
          <w:rFonts w:cs="Times New Roman"/>
          <w:szCs w:val="24"/>
        </w:rPr>
        <w:t>kıs</w:t>
      </w:r>
      <w:r w:rsidR="007455EF">
        <w:rPr>
          <w:rFonts w:cs="Times New Roman"/>
          <w:szCs w:val="24"/>
        </w:rPr>
        <w:t>mını</w:t>
      </w:r>
      <w:r w:rsidR="007455EF" w:rsidRPr="00D56EBB">
        <w:rPr>
          <w:rFonts w:cs="Times New Roman"/>
          <w:szCs w:val="24"/>
        </w:rPr>
        <w:t xml:space="preserve"> inceleyiniz</w:t>
      </w:r>
      <w:r w:rsidR="007455EF" w:rsidRPr="007455EF">
        <w:t>.)</w:t>
      </w:r>
    </w:p>
    <w:p w14:paraId="7E7AF24F" w14:textId="77777777" w:rsidR="00B83A5B" w:rsidRPr="00F50C10" w:rsidRDefault="00B83A5B" w:rsidP="000B206D">
      <w:pPr>
        <w:spacing w:before="240" w:line="276" w:lineRule="auto"/>
        <w:rPr>
          <w:rFonts w:cs="Times New Roman"/>
          <w:szCs w:val="24"/>
        </w:rPr>
      </w:pPr>
      <w:r w:rsidRPr="00F50C10">
        <w:rPr>
          <w:rFonts w:cs="Times New Roman"/>
          <w:szCs w:val="24"/>
        </w:rPr>
        <w:t>Bazı durumlarda, tatlı su tüketiminin azaltılması amacıyla proses suyu olarak yağmur suyunun kullanılması çevresel bakımdan fayda sağlayabilmektedir.</w:t>
      </w:r>
    </w:p>
    <w:p w14:paraId="4DAEBD9B" w14:textId="77777777" w:rsidR="00B83A5B" w:rsidRPr="00F50C10" w:rsidRDefault="00B83A5B" w:rsidP="00A654AE">
      <w:pPr>
        <w:pStyle w:val="Balk2"/>
        <w:numPr>
          <w:ilvl w:val="1"/>
          <w:numId w:val="137"/>
        </w:numPr>
        <w:spacing w:line="276" w:lineRule="auto"/>
        <w:rPr>
          <w:rFonts w:cs="Times New Roman"/>
          <w:szCs w:val="24"/>
        </w:rPr>
      </w:pPr>
      <w:bookmarkStart w:id="269" w:name="_Toc136866679"/>
      <w:r w:rsidRPr="00F50C10">
        <w:rPr>
          <w:rFonts w:cs="Times New Roman"/>
          <w:szCs w:val="24"/>
        </w:rPr>
        <w:t>Altyapı</w:t>
      </w:r>
      <w:bookmarkEnd w:id="269"/>
    </w:p>
    <w:p w14:paraId="43ACB55B" w14:textId="62892A69" w:rsidR="00B83A5B" w:rsidRPr="00F50C10" w:rsidRDefault="00B83A5B" w:rsidP="000B206D">
      <w:pPr>
        <w:spacing w:before="240" w:line="276" w:lineRule="auto"/>
        <w:rPr>
          <w:rFonts w:cs="Times New Roman"/>
          <w:szCs w:val="24"/>
        </w:rPr>
      </w:pPr>
      <w:r w:rsidRPr="00F50C10">
        <w:rPr>
          <w:rFonts w:cs="Times New Roman"/>
          <w:b/>
          <w:bCs/>
          <w:szCs w:val="24"/>
        </w:rPr>
        <w:t xml:space="preserve">MET 12: </w:t>
      </w:r>
      <w:r w:rsidR="00BC3A2D">
        <w:rPr>
          <w:rFonts w:cs="Times New Roman"/>
          <w:szCs w:val="24"/>
        </w:rPr>
        <w:t>Difüz</w:t>
      </w:r>
      <w:r w:rsidRPr="00F50C10">
        <w:rPr>
          <w:rFonts w:cs="Times New Roman"/>
          <w:szCs w:val="24"/>
        </w:rPr>
        <w:t xml:space="preserve"> emisyonlar ile ilgili olarak, aşağıdaki tekniklerden bir veya daha fazlasının uygulanması suretiyle, tozun ortaya çıkabildiği yerlerde (özellikle de malzemelerin/ürünlerin depolaması ve </w:t>
      </w:r>
      <w:r w:rsidR="00203C8F" w:rsidRPr="00F50C10">
        <w:rPr>
          <w:rFonts w:cs="Times New Roman"/>
          <w:szCs w:val="24"/>
        </w:rPr>
        <w:t>taşınması</w:t>
      </w:r>
      <w:r w:rsidRPr="00F50C10">
        <w:rPr>
          <w:rFonts w:cs="Times New Roman"/>
          <w:szCs w:val="24"/>
        </w:rPr>
        <w:t>), yayılı toz emisyonları en aza düşürül</w:t>
      </w:r>
      <w:r w:rsidR="00203C8F" w:rsidRPr="00F50C10">
        <w:rPr>
          <w:rFonts w:cs="Times New Roman"/>
          <w:szCs w:val="24"/>
        </w:rPr>
        <w:t>ür</w:t>
      </w:r>
      <w:r w:rsidRPr="00F50C10">
        <w:rPr>
          <w:rFonts w:cs="Times New Roman"/>
          <w:szCs w:val="24"/>
        </w:rPr>
        <w:t>:</w:t>
      </w:r>
    </w:p>
    <w:p w14:paraId="53B639ED" w14:textId="33DD5F81" w:rsidR="00B83A5B" w:rsidRPr="00F50C10" w:rsidRDefault="00B83A5B" w:rsidP="00A654AE">
      <w:pPr>
        <w:pStyle w:val="ListeParagraf"/>
        <w:numPr>
          <w:ilvl w:val="0"/>
          <w:numId w:val="115"/>
        </w:numPr>
        <w:spacing w:before="240" w:line="276" w:lineRule="auto"/>
        <w:rPr>
          <w:rFonts w:cs="Times New Roman"/>
          <w:szCs w:val="24"/>
        </w:rPr>
      </w:pPr>
      <w:r w:rsidRPr="00F50C10">
        <w:rPr>
          <w:rFonts w:cs="Times New Roman"/>
          <w:szCs w:val="24"/>
          <w:lang w:val="nl-NL"/>
        </w:rPr>
        <w:t xml:space="preserve">malzemeleri kapalı sistemlerde </w:t>
      </w:r>
      <w:r w:rsidR="00203C8F" w:rsidRPr="00F50C10">
        <w:rPr>
          <w:rFonts w:cs="Times New Roman"/>
          <w:szCs w:val="24"/>
          <w:lang w:val="nl-NL"/>
        </w:rPr>
        <w:t>saklamak</w:t>
      </w:r>
      <w:r w:rsidRPr="00F50C10">
        <w:rPr>
          <w:rFonts w:cs="Times New Roman"/>
          <w:szCs w:val="24"/>
          <w:lang w:val="nl-NL"/>
        </w:rPr>
        <w:t>,</w:t>
      </w:r>
      <w:r w:rsidR="00B96C2F">
        <w:rPr>
          <w:rFonts w:cs="Times New Roman"/>
          <w:szCs w:val="24"/>
          <w:lang w:val="nl-NL"/>
        </w:rPr>
        <w:t>(örneğin silolar, d</w:t>
      </w:r>
      <w:r w:rsidR="00B96C2F" w:rsidRPr="007455EF">
        <w:t xml:space="preserve">etaylı bilgi için Özel İnorganik Kimyasalların Üretimi İçin MET Referans Belgesinin </w:t>
      </w:r>
      <w:r w:rsidR="00B96C2F">
        <w:rPr>
          <w:rFonts w:cs="Times New Roman"/>
          <w:szCs w:val="24"/>
        </w:rPr>
        <w:t xml:space="preserve">6.3.4.1 </w:t>
      </w:r>
      <w:r w:rsidR="00B96C2F" w:rsidRPr="00D56EBB">
        <w:rPr>
          <w:rFonts w:cs="Times New Roman"/>
          <w:szCs w:val="24"/>
        </w:rPr>
        <w:t>kıs</w:t>
      </w:r>
      <w:r w:rsidR="00B96C2F">
        <w:rPr>
          <w:rFonts w:cs="Times New Roman"/>
          <w:szCs w:val="24"/>
        </w:rPr>
        <w:t>mını</w:t>
      </w:r>
      <w:r w:rsidR="00B96C2F" w:rsidRPr="00D56EBB">
        <w:rPr>
          <w:rFonts w:cs="Times New Roman"/>
          <w:szCs w:val="24"/>
        </w:rPr>
        <w:t xml:space="preserve"> inceleyiniz</w:t>
      </w:r>
      <w:r w:rsidR="00B96C2F" w:rsidRPr="007455EF">
        <w:t>.)</w:t>
      </w:r>
    </w:p>
    <w:p w14:paraId="10D91916" w14:textId="4BB9D997" w:rsidR="00B83A5B" w:rsidRPr="00F50C10" w:rsidRDefault="00B83A5B" w:rsidP="00A654AE">
      <w:pPr>
        <w:pStyle w:val="ListeParagraf"/>
        <w:numPr>
          <w:ilvl w:val="0"/>
          <w:numId w:val="115"/>
        </w:numPr>
        <w:spacing w:before="240" w:line="276" w:lineRule="auto"/>
        <w:rPr>
          <w:rFonts w:cs="Times New Roman"/>
          <w:szCs w:val="24"/>
        </w:rPr>
      </w:pPr>
      <w:r w:rsidRPr="00F50C10">
        <w:rPr>
          <w:rFonts w:cs="Times New Roman"/>
          <w:szCs w:val="24"/>
        </w:rPr>
        <w:t>yağmur ve rüzgara karşı korunaklı kapalı alanlar</w:t>
      </w:r>
      <w:r w:rsidR="00203C8F" w:rsidRPr="00F50C10">
        <w:rPr>
          <w:rFonts w:cs="Times New Roman"/>
          <w:szCs w:val="24"/>
        </w:rPr>
        <w:t xml:space="preserve"> kullanmak</w:t>
      </w:r>
      <w:r w:rsidRPr="00F50C10">
        <w:rPr>
          <w:rFonts w:cs="Times New Roman"/>
          <w:szCs w:val="24"/>
        </w:rPr>
        <w:t>,</w:t>
      </w:r>
      <w:r w:rsidR="00B96C2F" w:rsidRPr="00B96C2F">
        <w:rPr>
          <w:rFonts w:cs="Times New Roman"/>
          <w:szCs w:val="24"/>
          <w:lang w:val="nl-NL"/>
        </w:rPr>
        <w:t xml:space="preserve"> </w:t>
      </w:r>
      <w:r w:rsidR="00B96C2F">
        <w:rPr>
          <w:rFonts w:cs="Times New Roman"/>
          <w:szCs w:val="24"/>
          <w:lang w:val="nl-NL"/>
        </w:rPr>
        <w:t>(D</w:t>
      </w:r>
      <w:r w:rsidR="00B96C2F" w:rsidRPr="007455EF">
        <w:t xml:space="preserve">etaylı bilgi için Özel İnorganik Kimyasalların Üretimi İçin MET Referans Belgesinin </w:t>
      </w:r>
      <w:r w:rsidR="00B96C2F">
        <w:rPr>
          <w:rFonts w:cs="Times New Roman"/>
          <w:szCs w:val="24"/>
        </w:rPr>
        <w:t xml:space="preserve">6.3.4.1 </w:t>
      </w:r>
      <w:r w:rsidR="00B96C2F" w:rsidRPr="00D56EBB">
        <w:rPr>
          <w:rFonts w:cs="Times New Roman"/>
          <w:szCs w:val="24"/>
        </w:rPr>
        <w:t>kıs</w:t>
      </w:r>
      <w:r w:rsidR="00B96C2F">
        <w:rPr>
          <w:rFonts w:cs="Times New Roman"/>
          <w:szCs w:val="24"/>
        </w:rPr>
        <w:t>mını</w:t>
      </w:r>
      <w:r w:rsidR="00B96C2F" w:rsidRPr="00D56EBB">
        <w:rPr>
          <w:rFonts w:cs="Times New Roman"/>
          <w:szCs w:val="24"/>
        </w:rPr>
        <w:t xml:space="preserve"> inceleyiniz</w:t>
      </w:r>
      <w:r w:rsidR="00B96C2F" w:rsidRPr="007455EF">
        <w:t>.)</w:t>
      </w:r>
    </w:p>
    <w:p w14:paraId="73A40840" w14:textId="0604358A" w:rsidR="00B83A5B" w:rsidRPr="00F50C10" w:rsidRDefault="00B83A5B" w:rsidP="00A654AE">
      <w:pPr>
        <w:pStyle w:val="ListeParagraf"/>
        <w:numPr>
          <w:ilvl w:val="0"/>
          <w:numId w:val="115"/>
        </w:numPr>
        <w:spacing w:before="240" w:line="276" w:lineRule="auto"/>
        <w:rPr>
          <w:rFonts w:cs="Times New Roman"/>
          <w:szCs w:val="24"/>
        </w:rPr>
      </w:pPr>
      <w:r w:rsidRPr="00F50C10">
        <w:rPr>
          <w:rFonts w:cs="Times New Roman"/>
          <w:szCs w:val="24"/>
        </w:rPr>
        <w:t xml:space="preserve">konveyörler gibi üretim ekipmanlarını tamamen veya kısmen </w:t>
      </w:r>
      <w:r w:rsidR="00203C8F" w:rsidRPr="00F50C10">
        <w:rPr>
          <w:rFonts w:cs="Times New Roman"/>
          <w:szCs w:val="24"/>
        </w:rPr>
        <w:t>kapatmak</w:t>
      </w:r>
      <w:r w:rsidRPr="00F50C10">
        <w:rPr>
          <w:rFonts w:cs="Times New Roman"/>
          <w:szCs w:val="24"/>
        </w:rPr>
        <w:t>,</w:t>
      </w:r>
      <w:r w:rsidR="00B96C2F">
        <w:rPr>
          <w:rFonts w:cs="Times New Roman"/>
          <w:szCs w:val="24"/>
        </w:rPr>
        <w:t xml:space="preserve"> (D</w:t>
      </w:r>
      <w:r w:rsidR="00B96C2F" w:rsidRPr="007455EF">
        <w:t xml:space="preserve">etaylı bilgi için Özel İnorganik Kimyasalların Üretimi İçin MET Referans Belgesinin </w:t>
      </w:r>
      <w:r w:rsidR="00B96C2F">
        <w:rPr>
          <w:rFonts w:cs="Times New Roman"/>
          <w:szCs w:val="24"/>
        </w:rPr>
        <w:t xml:space="preserve">2.2 </w:t>
      </w:r>
      <w:r w:rsidR="00B96C2F" w:rsidRPr="00D56EBB">
        <w:rPr>
          <w:rFonts w:cs="Times New Roman"/>
          <w:szCs w:val="24"/>
        </w:rPr>
        <w:t>kıs</w:t>
      </w:r>
      <w:r w:rsidR="00B96C2F">
        <w:rPr>
          <w:rFonts w:cs="Times New Roman"/>
          <w:szCs w:val="24"/>
        </w:rPr>
        <w:t>mını</w:t>
      </w:r>
      <w:r w:rsidR="00B96C2F" w:rsidRPr="00D56EBB">
        <w:rPr>
          <w:rFonts w:cs="Times New Roman"/>
          <w:szCs w:val="24"/>
        </w:rPr>
        <w:t xml:space="preserve"> inceleyiniz</w:t>
      </w:r>
      <w:r w:rsidR="00B96C2F" w:rsidRPr="007455EF">
        <w:t>.)</w:t>
      </w:r>
    </w:p>
    <w:p w14:paraId="76DD8658" w14:textId="19F27877" w:rsidR="00B83A5B" w:rsidRPr="00F50C10" w:rsidRDefault="00B96C2F" w:rsidP="00A654AE">
      <w:pPr>
        <w:pStyle w:val="ListeParagraf"/>
        <w:numPr>
          <w:ilvl w:val="0"/>
          <w:numId w:val="115"/>
        </w:numPr>
        <w:spacing w:before="240" w:line="276" w:lineRule="auto"/>
        <w:rPr>
          <w:rFonts w:cs="Times New Roman"/>
          <w:szCs w:val="24"/>
        </w:rPr>
      </w:pPr>
      <w:r>
        <w:rPr>
          <w:rFonts w:cs="Times New Roman"/>
          <w:szCs w:val="24"/>
        </w:rPr>
        <w:t>difüz</w:t>
      </w:r>
      <w:r w:rsidR="00B83A5B" w:rsidRPr="00F50C10">
        <w:rPr>
          <w:rFonts w:cs="Times New Roman"/>
          <w:szCs w:val="24"/>
        </w:rPr>
        <w:t xml:space="preserve"> toz emisyonlarının yakalanması (örneğin depoya alım sırasında) ve azaltılması</w:t>
      </w:r>
      <w:r>
        <w:rPr>
          <w:rFonts w:cs="Times New Roman"/>
          <w:szCs w:val="24"/>
        </w:rPr>
        <w:t xml:space="preserve"> (örneğin kumaş filte kullanımı, </w:t>
      </w:r>
      <w:r>
        <w:rPr>
          <w:rFonts w:cs="Times New Roman"/>
          <w:szCs w:val="24"/>
          <w:lang w:val="nl-NL"/>
        </w:rPr>
        <w:t>d</w:t>
      </w:r>
      <w:r w:rsidRPr="007455EF">
        <w:t xml:space="preserve">etaylı bilgi için Özel İnorganik Kimyasalların Üretimi İçin MET Referans Belgesinin </w:t>
      </w:r>
      <w:r>
        <w:rPr>
          <w:rFonts w:cs="Times New Roman"/>
          <w:szCs w:val="24"/>
        </w:rPr>
        <w:t xml:space="preserve">6.3.4.1 </w:t>
      </w:r>
      <w:r w:rsidRPr="00D56EBB">
        <w:rPr>
          <w:rFonts w:cs="Times New Roman"/>
          <w:szCs w:val="24"/>
        </w:rPr>
        <w:t>kıs</w:t>
      </w:r>
      <w:r>
        <w:rPr>
          <w:rFonts w:cs="Times New Roman"/>
          <w:szCs w:val="24"/>
        </w:rPr>
        <w:t>mını</w:t>
      </w:r>
      <w:r w:rsidRPr="00D56EBB">
        <w:rPr>
          <w:rFonts w:cs="Times New Roman"/>
          <w:szCs w:val="24"/>
        </w:rPr>
        <w:t xml:space="preserve"> inceleyiniz</w:t>
      </w:r>
      <w:r w:rsidRPr="007455EF">
        <w:t>.)</w:t>
      </w:r>
      <w:r w:rsidR="00B83A5B" w:rsidRPr="00F50C10">
        <w:rPr>
          <w:rFonts w:cs="Times New Roman"/>
          <w:szCs w:val="24"/>
        </w:rPr>
        <w:t xml:space="preserve"> amacıyla ekipmanların üstleri</w:t>
      </w:r>
      <w:r w:rsidR="00203C8F" w:rsidRPr="00F50C10">
        <w:rPr>
          <w:rFonts w:cs="Times New Roman"/>
          <w:szCs w:val="24"/>
        </w:rPr>
        <w:t>ni</w:t>
      </w:r>
      <w:r w:rsidR="00B83A5B" w:rsidRPr="00F50C10">
        <w:rPr>
          <w:rFonts w:cs="Times New Roman"/>
          <w:szCs w:val="24"/>
        </w:rPr>
        <w:t xml:space="preserve"> kapalı ve kanal tertibatlı olarak </w:t>
      </w:r>
      <w:r w:rsidR="00203C8F" w:rsidRPr="00F50C10">
        <w:rPr>
          <w:rFonts w:cs="Times New Roman"/>
          <w:szCs w:val="24"/>
        </w:rPr>
        <w:t>tasarlatmak</w:t>
      </w:r>
      <w:r w:rsidR="00B83A5B" w:rsidRPr="00F50C10">
        <w:rPr>
          <w:rFonts w:cs="Times New Roman"/>
          <w:szCs w:val="24"/>
        </w:rPr>
        <w:t>,</w:t>
      </w:r>
      <w:r>
        <w:rPr>
          <w:rFonts w:cs="Times New Roman"/>
          <w:szCs w:val="24"/>
        </w:rPr>
        <w:t xml:space="preserve"> </w:t>
      </w:r>
    </w:p>
    <w:p w14:paraId="2B77CAFE" w14:textId="6A86AD79" w:rsidR="00B83A5B" w:rsidRPr="00F50C10" w:rsidRDefault="00B83A5B" w:rsidP="00A654AE">
      <w:pPr>
        <w:pStyle w:val="ListeParagraf"/>
        <w:numPr>
          <w:ilvl w:val="0"/>
          <w:numId w:val="115"/>
        </w:numPr>
        <w:spacing w:before="240" w:line="276" w:lineRule="auto"/>
        <w:rPr>
          <w:rFonts w:cs="Times New Roman"/>
          <w:szCs w:val="24"/>
        </w:rPr>
      </w:pPr>
      <w:r w:rsidRPr="00F50C10">
        <w:rPr>
          <w:rFonts w:cs="Times New Roman"/>
          <w:szCs w:val="24"/>
        </w:rPr>
        <w:t xml:space="preserve">düzenli olarak depolama işlemi </w:t>
      </w:r>
      <w:r w:rsidR="00203C8F" w:rsidRPr="00F50C10">
        <w:rPr>
          <w:rFonts w:cs="Times New Roman"/>
          <w:szCs w:val="24"/>
        </w:rPr>
        <w:t>yapmak</w:t>
      </w:r>
      <w:r w:rsidRPr="00F50C10">
        <w:rPr>
          <w:rFonts w:cs="Times New Roman"/>
          <w:szCs w:val="24"/>
        </w:rPr>
        <w:t>, örneğin vakumlama yoluyla.</w:t>
      </w:r>
      <w:r w:rsidR="00B96C2F" w:rsidRPr="00B96C2F">
        <w:rPr>
          <w:rFonts w:cs="Times New Roman"/>
          <w:szCs w:val="24"/>
          <w:lang w:val="nl-NL"/>
        </w:rPr>
        <w:t xml:space="preserve"> </w:t>
      </w:r>
      <w:r w:rsidR="00B96C2F">
        <w:rPr>
          <w:rFonts w:cs="Times New Roman"/>
          <w:szCs w:val="24"/>
          <w:lang w:val="nl-NL"/>
        </w:rPr>
        <w:t>(D</w:t>
      </w:r>
      <w:r w:rsidR="00B96C2F" w:rsidRPr="007455EF">
        <w:t xml:space="preserve">etaylı bilgi için Özel İnorganik Kimyasalların Üretimi İçin MET Referans Belgesinin </w:t>
      </w:r>
      <w:r w:rsidR="00B96C2F">
        <w:rPr>
          <w:rFonts w:cs="Times New Roman"/>
          <w:szCs w:val="24"/>
        </w:rPr>
        <w:t xml:space="preserve">4.7.6 </w:t>
      </w:r>
      <w:r w:rsidR="00B96C2F" w:rsidRPr="00D56EBB">
        <w:rPr>
          <w:rFonts w:cs="Times New Roman"/>
          <w:szCs w:val="24"/>
        </w:rPr>
        <w:t>kıs</w:t>
      </w:r>
      <w:r w:rsidR="00B96C2F">
        <w:rPr>
          <w:rFonts w:cs="Times New Roman"/>
          <w:szCs w:val="24"/>
        </w:rPr>
        <w:t>mını</w:t>
      </w:r>
      <w:r w:rsidR="00B96C2F" w:rsidRPr="00D56EBB">
        <w:rPr>
          <w:rFonts w:cs="Times New Roman"/>
          <w:szCs w:val="24"/>
        </w:rPr>
        <w:t xml:space="preserve"> inceleyiniz</w:t>
      </w:r>
      <w:r w:rsidR="00B96C2F" w:rsidRPr="007455EF">
        <w:t>.)</w:t>
      </w:r>
    </w:p>
    <w:p w14:paraId="2DB330D7" w14:textId="3B9A7841" w:rsidR="00B83A5B" w:rsidRPr="00F50C10" w:rsidRDefault="00B83A5B" w:rsidP="000B206D">
      <w:pPr>
        <w:spacing w:before="240" w:line="276" w:lineRule="auto"/>
        <w:rPr>
          <w:rFonts w:cs="Times New Roman"/>
          <w:szCs w:val="24"/>
        </w:rPr>
      </w:pPr>
      <w:r w:rsidRPr="00F50C10">
        <w:rPr>
          <w:rFonts w:cs="Times New Roman"/>
          <w:b/>
          <w:bCs/>
          <w:szCs w:val="24"/>
        </w:rPr>
        <w:t xml:space="preserve">MET 13: </w:t>
      </w:r>
      <w:r w:rsidRPr="00F50C10">
        <w:rPr>
          <w:rFonts w:cs="Times New Roman"/>
          <w:szCs w:val="24"/>
        </w:rPr>
        <w:t>Aşağıdaki tekniklerden bir veya daha fazlasını uygulayarak (kontrol edilmesi gerekebilecek maddelere göre) kaçak gaz ve sıvı emisyonları</w:t>
      </w:r>
      <w:r w:rsidR="00485509" w:rsidRPr="00F50C10">
        <w:rPr>
          <w:rFonts w:cs="Times New Roman"/>
          <w:szCs w:val="24"/>
        </w:rPr>
        <w:t xml:space="preserve"> </w:t>
      </w:r>
      <w:r w:rsidRPr="00F50C10">
        <w:rPr>
          <w:rFonts w:cs="Times New Roman"/>
          <w:szCs w:val="24"/>
        </w:rPr>
        <w:t xml:space="preserve">minimize </w:t>
      </w:r>
      <w:r w:rsidR="00485509" w:rsidRPr="00F50C10">
        <w:rPr>
          <w:rFonts w:cs="Times New Roman"/>
          <w:szCs w:val="24"/>
        </w:rPr>
        <w:t>edilir</w:t>
      </w:r>
      <w:r w:rsidRPr="00F50C10">
        <w:rPr>
          <w:rFonts w:cs="Times New Roman"/>
          <w:szCs w:val="24"/>
        </w:rPr>
        <w:t>:</w:t>
      </w:r>
    </w:p>
    <w:p w14:paraId="4E657548" w14:textId="262DEC3C" w:rsidR="00B83A5B" w:rsidRPr="00F50C10" w:rsidRDefault="00B83A5B" w:rsidP="00A654AE">
      <w:pPr>
        <w:pStyle w:val="ListeParagraf"/>
        <w:numPr>
          <w:ilvl w:val="0"/>
          <w:numId w:val="116"/>
        </w:numPr>
        <w:spacing w:before="240" w:line="276" w:lineRule="auto"/>
        <w:rPr>
          <w:rFonts w:cs="Times New Roman"/>
          <w:szCs w:val="24"/>
        </w:rPr>
      </w:pPr>
      <w:r w:rsidRPr="00F50C10">
        <w:rPr>
          <w:rFonts w:cs="Times New Roman"/>
          <w:szCs w:val="24"/>
        </w:rPr>
        <w:t xml:space="preserve">düzenli kaçak tespit ve onarım programlarından </w:t>
      </w:r>
      <w:r w:rsidR="00485509" w:rsidRPr="00F50C10">
        <w:rPr>
          <w:rFonts w:cs="Times New Roman"/>
          <w:szCs w:val="24"/>
        </w:rPr>
        <w:t>yararlanmak</w:t>
      </w:r>
      <w:r w:rsidRPr="00F50C10">
        <w:rPr>
          <w:rFonts w:cs="Times New Roman"/>
          <w:szCs w:val="24"/>
        </w:rPr>
        <w:t>,</w:t>
      </w:r>
      <w:r w:rsidR="00BC3A2D" w:rsidRPr="00BC3A2D">
        <w:t xml:space="preserve"> </w:t>
      </w:r>
      <w:bookmarkStart w:id="270" w:name="_Hlk192765520"/>
      <w:r w:rsidR="00BC3A2D">
        <w:t>(</w:t>
      </w:r>
      <w:r w:rsidR="00BC3A2D">
        <w:rPr>
          <w:rFonts w:cs="Times New Roman"/>
          <w:szCs w:val="24"/>
        </w:rPr>
        <w:t>D</w:t>
      </w:r>
      <w:r w:rsidR="00BC3A2D" w:rsidRPr="00BC3A2D">
        <w:rPr>
          <w:rFonts w:cs="Times New Roman"/>
          <w:szCs w:val="24"/>
        </w:rPr>
        <w:t xml:space="preserve">etaylı bilgi için Özel İnorganik Kimyasalların Üretimi İçin MET Referans Belgesinin </w:t>
      </w:r>
      <w:r w:rsidR="00BC3A2D">
        <w:rPr>
          <w:rFonts w:cs="Times New Roman"/>
          <w:szCs w:val="24"/>
        </w:rPr>
        <w:t>4.7.1 ve 2.6.6</w:t>
      </w:r>
      <w:r w:rsidR="00BC3A2D" w:rsidRPr="00BC3A2D">
        <w:rPr>
          <w:rFonts w:cs="Times New Roman"/>
          <w:szCs w:val="24"/>
        </w:rPr>
        <w:t xml:space="preserve"> kıs</w:t>
      </w:r>
      <w:r w:rsidR="00BC3A2D">
        <w:rPr>
          <w:rFonts w:cs="Times New Roman"/>
          <w:szCs w:val="24"/>
        </w:rPr>
        <w:t>ımlarını</w:t>
      </w:r>
      <w:r w:rsidR="00BC3A2D" w:rsidRPr="00BC3A2D">
        <w:rPr>
          <w:rFonts w:cs="Times New Roman"/>
          <w:szCs w:val="24"/>
        </w:rPr>
        <w:t xml:space="preserve"> inceleyiniz.)</w:t>
      </w:r>
    </w:p>
    <w:bookmarkEnd w:id="270"/>
    <w:p w14:paraId="25512872" w14:textId="0A980978" w:rsidR="00B83A5B" w:rsidRPr="00F50C10" w:rsidRDefault="00B83A5B" w:rsidP="00A654AE">
      <w:pPr>
        <w:pStyle w:val="ListeParagraf"/>
        <w:numPr>
          <w:ilvl w:val="0"/>
          <w:numId w:val="116"/>
        </w:numPr>
        <w:spacing w:before="240" w:line="276" w:lineRule="auto"/>
        <w:rPr>
          <w:rFonts w:cs="Times New Roman"/>
          <w:szCs w:val="24"/>
        </w:rPr>
      </w:pPr>
      <w:r w:rsidRPr="00F50C10">
        <w:rPr>
          <w:rFonts w:cs="Times New Roman"/>
          <w:szCs w:val="24"/>
        </w:rPr>
        <w:t>ekipmanlar</w:t>
      </w:r>
      <w:r w:rsidR="00485509" w:rsidRPr="00F50C10">
        <w:rPr>
          <w:rFonts w:cs="Times New Roman"/>
          <w:szCs w:val="24"/>
        </w:rPr>
        <w:t>ı</w:t>
      </w:r>
      <w:r w:rsidRPr="00F50C10">
        <w:rPr>
          <w:rFonts w:cs="Times New Roman"/>
          <w:szCs w:val="24"/>
        </w:rPr>
        <w:t xml:space="preserve"> atmosfer basıncının biraz altında </w:t>
      </w:r>
      <w:r w:rsidR="00485509" w:rsidRPr="00F50C10">
        <w:rPr>
          <w:rFonts w:cs="Times New Roman"/>
          <w:szCs w:val="24"/>
        </w:rPr>
        <w:t>çalıştırmak</w:t>
      </w:r>
      <w:r w:rsidRPr="00F50C10">
        <w:rPr>
          <w:rFonts w:cs="Times New Roman"/>
          <w:szCs w:val="24"/>
        </w:rPr>
        <w:t>,</w:t>
      </w:r>
      <w:r w:rsidR="00BC3A2D">
        <w:rPr>
          <w:rFonts w:cs="Times New Roman"/>
          <w:szCs w:val="24"/>
        </w:rPr>
        <w:t xml:space="preserve"> </w:t>
      </w:r>
      <w:r w:rsidR="00BC3A2D" w:rsidRPr="00BC3A2D">
        <w:rPr>
          <w:rFonts w:cs="Times New Roman"/>
          <w:szCs w:val="24"/>
        </w:rPr>
        <w:t xml:space="preserve">(Detaylı bilgi için Özel İnorganik Kimyasalların Üretimi İçin MET Referans Belgesinin </w:t>
      </w:r>
      <w:r w:rsidR="00BC3A2D">
        <w:rPr>
          <w:rFonts w:cs="Times New Roman"/>
          <w:szCs w:val="24"/>
        </w:rPr>
        <w:t>6.3.4.16</w:t>
      </w:r>
      <w:r w:rsidR="00BC3A2D" w:rsidRPr="00BC3A2D">
        <w:rPr>
          <w:rFonts w:cs="Times New Roman"/>
          <w:szCs w:val="24"/>
        </w:rPr>
        <w:t xml:space="preserve"> </w:t>
      </w:r>
      <w:r w:rsidR="00BC3A2D">
        <w:rPr>
          <w:rFonts w:cs="Times New Roman"/>
          <w:szCs w:val="24"/>
        </w:rPr>
        <w:t>kısmını</w:t>
      </w:r>
      <w:r w:rsidR="00BC3A2D" w:rsidRPr="00BC3A2D">
        <w:rPr>
          <w:rFonts w:cs="Times New Roman"/>
          <w:szCs w:val="24"/>
        </w:rPr>
        <w:t xml:space="preserve"> inceleyiniz.)</w:t>
      </w:r>
    </w:p>
    <w:p w14:paraId="3589565C" w14:textId="1B337A71" w:rsidR="00B83A5B" w:rsidRPr="00F50C10" w:rsidRDefault="00B83A5B" w:rsidP="00A654AE">
      <w:pPr>
        <w:pStyle w:val="ListeParagraf"/>
        <w:numPr>
          <w:ilvl w:val="0"/>
          <w:numId w:val="116"/>
        </w:numPr>
        <w:spacing w:before="240" w:line="276" w:lineRule="auto"/>
        <w:rPr>
          <w:rFonts w:cs="Times New Roman"/>
          <w:szCs w:val="24"/>
        </w:rPr>
      </w:pPr>
      <w:r w:rsidRPr="00F50C10">
        <w:rPr>
          <w:rFonts w:cs="Times New Roman"/>
          <w:szCs w:val="24"/>
        </w:rPr>
        <w:t xml:space="preserve">flanşlar yerine kaynaklı bağlantılar </w:t>
      </w:r>
      <w:r w:rsidR="00485509" w:rsidRPr="00F50C10">
        <w:rPr>
          <w:rFonts w:cs="Times New Roman"/>
          <w:szCs w:val="24"/>
        </w:rPr>
        <w:t>kullanmak</w:t>
      </w:r>
      <w:r w:rsidRPr="00F50C10">
        <w:rPr>
          <w:rFonts w:cs="Times New Roman"/>
          <w:szCs w:val="24"/>
        </w:rPr>
        <w:t>,</w:t>
      </w:r>
      <w:r w:rsidR="00BC3A2D" w:rsidRPr="00BC3A2D">
        <w:t xml:space="preserve"> </w:t>
      </w:r>
      <w:r w:rsidR="00BC3A2D" w:rsidRPr="00BC3A2D">
        <w:rPr>
          <w:rFonts w:cs="Times New Roman"/>
          <w:szCs w:val="24"/>
        </w:rPr>
        <w:t xml:space="preserve">(Detaylı bilgi için Özel İnorganik Kimyasalların Üretimi İçin MET Referans Belgesinin </w:t>
      </w:r>
      <w:r w:rsidR="00BC3A2D">
        <w:rPr>
          <w:rFonts w:cs="Times New Roman"/>
          <w:szCs w:val="24"/>
        </w:rPr>
        <w:t>2.6</w:t>
      </w:r>
      <w:r w:rsidR="00BC3A2D" w:rsidRPr="00BC3A2D">
        <w:rPr>
          <w:rFonts w:cs="Times New Roman"/>
          <w:szCs w:val="24"/>
        </w:rPr>
        <w:t xml:space="preserve"> kıs</w:t>
      </w:r>
      <w:r w:rsidR="00BC3A2D">
        <w:rPr>
          <w:rFonts w:cs="Times New Roman"/>
          <w:szCs w:val="24"/>
        </w:rPr>
        <w:t>mını</w:t>
      </w:r>
      <w:r w:rsidR="00BC3A2D" w:rsidRPr="00BC3A2D">
        <w:rPr>
          <w:rFonts w:cs="Times New Roman"/>
          <w:szCs w:val="24"/>
        </w:rPr>
        <w:t xml:space="preserve"> inceleyiniz.)</w:t>
      </w:r>
    </w:p>
    <w:p w14:paraId="70C2E30E" w14:textId="39DC526B" w:rsidR="00B83A5B" w:rsidRPr="00F50C10" w:rsidRDefault="00B83A5B" w:rsidP="00A654AE">
      <w:pPr>
        <w:pStyle w:val="ListeParagraf"/>
        <w:numPr>
          <w:ilvl w:val="0"/>
          <w:numId w:val="116"/>
        </w:numPr>
        <w:spacing w:before="240" w:line="276" w:lineRule="auto"/>
        <w:rPr>
          <w:rFonts w:cs="Times New Roman"/>
          <w:szCs w:val="24"/>
        </w:rPr>
      </w:pPr>
      <w:r w:rsidRPr="00F50C10">
        <w:rPr>
          <w:rFonts w:cs="Times New Roman"/>
          <w:szCs w:val="24"/>
        </w:rPr>
        <w:t>contasız pompalar ve körüklü vanalar</w:t>
      </w:r>
      <w:r w:rsidR="00485509" w:rsidRPr="00F50C10">
        <w:rPr>
          <w:rFonts w:cs="Times New Roman"/>
          <w:szCs w:val="24"/>
        </w:rPr>
        <w:t xml:space="preserve"> kullanmak</w:t>
      </w:r>
      <w:r w:rsidRPr="00F50C10">
        <w:rPr>
          <w:rFonts w:cs="Times New Roman"/>
          <w:szCs w:val="24"/>
        </w:rPr>
        <w:t>,</w:t>
      </w:r>
      <w:r w:rsidR="00EB2345" w:rsidRPr="00EB2345">
        <w:t xml:space="preserve"> </w:t>
      </w:r>
      <w:r w:rsidR="00EB2345" w:rsidRPr="00EB2345">
        <w:rPr>
          <w:rFonts w:cs="Times New Roman"/>
          <w:szCs w:val="24"/>
        </w:rPr>
        <w:t>(Detaylı bilgi için Özel İnorganik Kimyasalların Üretimi İçin MET Referans Belgesinin 2.6 kısmını inceleyiniz.)</w:t>
      </w:r>
    </w:p>
    <w:p w14:paraId="7F8D95E8" w14:textId="37D25E22" w:rsidR="00B83A5B" w:rsidRPr="00F50C10" w:rsidRDefault="00B83A5B" w:rsidP="00A654AE">
      <w:pPr>
        <w:pStyle w:val="ListeParagraf"/>
        <w:numPr>
          <w:ilvl w:val="0"/>
          <w:numId w:val="116"/>
        </w:numPr>
        <w:spacing w:before="240" w:line="276" w:lineRule="auto"/>
        <w:rPr>
          <w:rFonts w:cs="Times New Roman"/>
          <w:szCs w:val="24"/>
        </w:rPr>
      </w:pPr>
      <w:r w:rsidRPr="00F50C10">
        <w:rPr>
          <w:rFonts w:cs="Times New Roman"/>
          <w:szCs w:val="24"/>
        </w:rPr>
        <w:t xml:space="preserve">yüksek performanslı mühürleme sistemleri </w:t>
      </w:r>
      <w:r w:rsidR="00485509" w:rsidRPr="00F50C10">
        <w:rPr>
          <w:rFonts w:cs="Times New Roman"/>
          <w:szCs w:val="24"/>
        </w:rPr>
        <w:t>kullanmak</w:t>
      </w:r>
      <w:r w:rsidRPr="00F50C10">
        <w:rPr>
          <w:rFonts w:cs="Times New Roman"/>
          <w:szCs w:val="24"/>
        </w:rPr>
        <w:t>,</w:t>
      </w:r>
      <w:r w:rsidR="00EB2345" w:rsidRPr="00EB2345">
        <w:t xml:space="preserve"> </w:t>
      </w:r>
      <w:r w:rsidR="00EB2345" w:rsidRPr="00EB2345">
        <w:rPr>
          <w:rFonts w:cs="Times New Roman"/>
          <w:szCs w:val="24"/>
        </w:rPr>
        <w:t>(Detaylı bilgi için Özel İnorganik Kimyasalların Üretimi İçin MET Referans Belgesinin 2.6 kısmını inceleyiniz.)</w:t>
      </w:r>
    </w:p>
    <w:p w14:paraId="75BCCF01" w14:textId="50072103" w:rsidR="00B83A5B" w:rsidRPr="00F50C10" w:rsidRDefault="00B83A5B" w:rsidP="00A654AE">
      <w:pPr>
        <w:pStyle w:val="ListeParagraf"/>
        <w:numPr>
          <w:ilvl w:val="0"/>
          <w:numId w:val="116"/>
        </w:numPr>
        <w:spacing w:before="240" w:line="276" w:lineRule="auto"/>
        <w:rPr>
          <w:rFonts w:cs="Times New Roman"/>
          <w:szCs w:val="24"/>
        </w:rPr>
      </w:pPr>
      <w:r w:rsidRPr="00F50C10">
        <w:rPr>
          <w:rFonts w:cs="Times New Roman"/>
          <w:szCs w:val="24"/>
          <w:lang w:val="nl-NL"/>
        </w:rPr>
        <w:t>düzenli olarak temizlik ve bakım işlemi</w:t>
      </w:r>
      <w:r w:rsidR="00485509" w:rsidRPr="00F50C10">
        <w:rPr>
          <w:rFonts w:cs="Times New Roman"/>
          <w:szCs w:val="24"/>
          <w:lang w:val="nl-NL"/>
        </w:rPr>
        <w:t xml:space="preserve"> yapmak</w:t>
      </w:r>
      <w:r w:rsidRPr="00F50C10">
        <w:rPr>
          <w:rFonts w:cs="Times New Roman"/>
          <w:szCs w:val="24"/>
          <w:lang w:val="nl-NL"/>
        </w:rPr>
        <w:t>.</w:t>
      </w:r>
      <w:r w:rsidR="00EB2345" w:rsidRPr="00EB2345">
        <w:rPr>
          <w:rFonts w:cs="Times New Roman"/>
          <w:szCs w:val="24"/>
        </w:rPr>
        <w:t xml:space="preserve"> </w:t>
      </w:r>
      <w:r w:rsidR="00EB2345" w:rsidRPr="00BC3A2D">
        <w:rPr>
          <w:rFonts w:cs="Times New Roman"/>
          <w:szCs w:val="24"/>
        </w:rPr>
        <w:t xml:space="preserve">(Detaylı bilgi için Özel İnorganik Kimyasalların Üretimi İçin MET Referans Belgesinin </w:t>
      </w:r>
      <w:r w:rsidR="00EB2345">
        <w:rPr>
          <w:rFonts w:cs="Times New Roman"/>
          <w:szCs w:val="24"/>
        </w:rPr>
        <w:t>4.7.6</w:t>
      </w:r>
      <w:r w:rsidR="00EB2345" w:rsidRPr="00BC3A2D">
        <w:rPr>
          <w:rFonts w:cs="Times New Roman"/>
          <w:szCs w:val="24"/>
        </w:rPr>
        <w:t xml:space="preserve"> kıs</w:t>
      </w:r>
      <w:r w:rsidR="00EB2345">
        <w:rPr>
          <w:rFonts w:cs="Times New Roman"/>
          <w:szCs w:val="24"/>
        </w:rPr>
        <w:t>mını</w:t>
      </w:r>
      <w:r w:rsidR="00EB2345" w:rsidRPr="00BC3A2D">
        <w:rPr>
          <w:rFonts w:cs="Times New Roman"/>
          <w:szCs w:val="24"/>
        </w:rPr>
        <w:t xml:space="preserve"> inceleyiniz.)</w:t>
      </w:r>
    </w:p>
    <w:p w14:paraId="675E3E97" w14:textId="7EFB0686"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14: </w:t>
      </w:r>
      <w:r w:rsidRPr="00F50C10">
        <w:rPr>
          <w:rFonts w:cs="Times New Roman"/>
          <w:szCs w:val="24"/>
        </w:rPr>
        <w:t>Yeni tesislerde, tesis işletiminde bilgisayarlı kontrol sisteminden yararlanıl</w:t>
      </w:r>
      <w:r w:rsidR="00485509" w:rsidRPr="00F50C10">
        <w:rPr>
          <w:rFonts w:cs="Times New Roman"/>
          <w:szCs w:val="24"/>
        </w:rPr>
        <w:t>ır</w:t>
      </w:r>
      <w:r w:rsidRPr="00F50C10">
        <w:rPr>
          <w:rFonts w:cs="Times New Roman"/>
          <w:szCs w:val="24"/>
        </w:rPr>
        <w:t>.</w:t>
      </w:r>
      <w:r w:rsidR="00712CDA" w:rsidRPr="00712CDA">
        <w:rPr>
          <w:rFonts w:cs="Times New Roman"/>
          <w:szCs w:val="24"/>
        </w:rPr>
        <w:t xml:space="preserve"> </w:t>
      </w:r>
      <w:r w:rsidR="00712CDA" w:rsidRPr="00BC3A2D">
        <w:rPr>
          <w:rFonts w:cs="Times New Roman"/>
          <w:szCs w:val="24"/>
        </w:rPr>
        <w:t xml:space="preserve">(Detaylı bilgi için Özel İnorganik Kimyasalların Üretimi İçin MET Referans Belgesinin </w:t>
      </w:r>
      <w:r w:rsidR="00712CDA">
        <w:rPr>
          <w:rFonts w:cs="Times New Roman"/>
          <w:szCs w:val="24"/>
        </w:rPr>
        <w:t>4.5.2</w:t>
      </w:r>
      <w:r w:rsidR="00712CDA" w:rsidRPr="00BC3A2D">
        <w:rPr>
          <w:rFonts w:cs="Times New Roman"/>
          <w:szCs w:val="24"/>
        </w:rPr>
        <w:t xml:space="preserve"> kıs</w:t>
      </w:r>
      <w:r w:rsidR="00712CDA">
        <w:rPr>
          <w:rFonts w:cs="Times New Roman"/>
          <w:szCs w:val="24"/>
        </w:rPr>
        <w:t>mını</w:t>
      </w:r>
      <w:r w:rsidR="00712CDA" w:rsidRPr="00BC3A2D">
        <w:rPr>
          <w:rFonts w:cs="Times New Roman"/>
          <w:szCs w:val="24"/>
        </w:rPr>
        <w:t xml:space="preserve"> inceleyiniz.)</w:t>
      </w:r>
      <w:r w:rsidRPr="00F50C10">
        <w:rPr>
          <w:rFonts w:cs="Times New Roman"/>
          <w:szCs w:val="24"/>
        </w:rPr>
        <w:t xml:space="preserve"> Bununla birlikte, bu husus güvenlik sorunlarının otomatik işlemlere olanak tanımadığı durumlar için geçerli değildir.</w:t>
      </w:r>
    </w:p>
    <w:p w14:paraId="25940FFB" w14:textId="5CE6BE85"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15: </w:t>
      </w:r>
      <w:r w:rsidRPr="00F50C10">
        <w:rPr>
          <w:rFonts w:cs="Times New Roman"/>
          <w:szCs w:val="24"/>
        </w:rPr>
        <w:t xml:space="preserve">Boru hatlarında, makinelerde ve tanklarda tehlikeli katı bileşiklerin birikebildiği tesislerde, kapalı temizlik ve durulama sistemine sahip </w:t>
      </w:r>
      <w:r w:rsidR="00485509" w:rsidRPr="00F50C10">
        <w:rPr>
          <w:rFonts w:cs="Times New Roman"/>
          <w:szCs w:val="24"/>
        </w:rPr>
        <w:t>olunur</w:t>
      </w:r>
      <w:r w:rsidRPr="00F50C10">
        <w:rPr>
          <w:rFonts w:cs="Times New Roman"/>
          <w:szCs w:val="24"/>
        </w:rPr>
        <w:t>.</w:t>
      </w:r>
      <w:r w:rsidR="00712CDA" w:rsidRPr="00712CDA">
        <w:rPr>
          <w:rFonts w:cs="Times New Roman"/>
          <w:szCs w:val="24"/>
        </w:rPr>
        <w:t xml:space="preserve"> </w:t>
      </w:r>
      <w:r w:rsidR="00712CDA" w:rsidRPr="00BC3A2D">
        <w:rPr>
          <w:rFonts w:cs="Times New Roman"/>
          <w:szCs w:val="24"/>
        </w:rPr>
        <w:t xml:space="preserve">(Detaylı bilgi için Özel İnorganik Kimyasalların Üretimi İçin MET Referans Belgesinin </w:t>
      </w:r>
      <w:r w:rsidR="00712CDA">
        <w:rPr>
          <w:rFonts w:cs="Times New Roman"/>
          <w:szCs w:val="24"/>
        </w:rPr>
        <w:t xml:space="preserve">4.5.1 </w:t>
      </w:r>
      <w:r w:rsidR="00712CDA" w:rsidRPr="00BC3A2D">
        <w:rPr>
          <w:rFonts w:cs="Times New Roman"/>
          <w:szCs w:val="24"/>
        </w:rPr>
        <w:t>kıs</w:t>
      </w:r>
      <w:r w:rsidR="00712CDA">
        <w:rPr>
          <w:rFonts w:cs="Times New Roman"/>
          <w:szCs w:val="24"/>
        </w:rPr>
        <w:t>mını</w:t>
      </w:r>
      <w:r w:rsidR="00712CDA" w:rsidRPr="00BC3A2D">
        <w:rPr>
          <w:rFonts w:cs="Times New Roman"/>
          <w:szCs w:val="24"/>
        </w:rPr>
        <w:t xml:space="preserve"> inceleyiniz.)</w:t>
      </w:r>
    </w:p>
    <w:p w14:paraId="3C35E3F4" w14:textId="77777777" w:rsidR="00B83A5B" w:rsidRPr="00F50C10" w:rsidRDefault="00B83A5B" w:rsidP="00A654AE">
      <w:pPr>
        <w:pStyle w:val="Balk2"/>
        <w:numPr>
          <w:ilvl w:val="1"/>
          <w:numId w:val="137"/>
        </w:numPr>
        <w:spacing w:line="276" w:lineRule="auto"/>
        <w:rPr>
          <w:rFonts w:cs="Times New Roman"/>
          <w:szCs w:val="24"/>
          <w:lang w:val="nl-NL"/>
        </w:rPr>
      </w:pPr>
      <w:bookmarkStart w:id="271" w:name="_Toc136866680"/>
      <w:r w:rsidRPr="00F50C10">
        <w:rPr>
          <w:rFonts w:cs="Times New Roman"/>
          <w:szCs w:val="24"/>
          <w:lang w:val="nl-NL"/>
        </w:rPr>
        <w:t>Enerji</w:t>
      </w:r>
      <w:bookmarkEnd w:id="271"/>
    </w:p>
    <w:p w14:paraId="7A76E453" w14:textId="677ACEED" w:rsidR="00B83A5B" w:rsidRPr="00F50C10" w:rsidRDefault="00B83A5B" w:rsidP="000B206D">
      <w:pPr>
        <w:spacing w:before="240" w:line="276" w:lineRule="auto"/>
        <w:rPr>
          <w:rFonts w:cs="Times New Roman"/>
          <w:szCs w:val="24"/>
          <w:lang w:val="nl-NL"/>
        </w:rPr>
      </w:pPr>
      <w:r w:rsidRPr="00F50C10">
        <w:rPr>
          <w:rFonts w:cs="Times New Roman"/>
          <w:b/>
          <w:bCs/>
          <w:szCs w:val="24"/>
          <w:lang w:val="nl-NL"/>
        </w:rPr>
        <w:t xml:space="preserve">MET 16: </w:t>
      </w:r>
      <w:r w:rsidRPr="00F50C10">
        <w:rPr>
          <w:rFonts w:cs="Times New Roman"/>
          <w:szCs w:val="24"/>
          <w:lang w:val="nl-NL"/>
        </w:rPr>
        <w:t>Güvenlik sorunlarının engel teşkil etmemesi koşuluyla, fabrika projesinin, inşasının ve işletiminin optimizasyonu sayesinde enerji tüketimi azaltıl</w:t>
      </w:r>
      <w:r w:rsidR="00485509" w:rsidRPr="00F50C10">
        <w:rPr>
          <w:rFonts w:cs="Times New Roman"/>
          <w:szCs w:val="24"/>
          <w:lang w:val="nl-NL"/>
        </w:rPr>
        <w:t>ı</w:t>
      </w:r>
      <w:r w:rsidRPr="00F50C10">
        <w:rPr>
          <w:rFonts w:cs="Times New Roman"/>
          <w:szCs w:val="24"/>
          <w:lang w:val="nl-NL"/>
        </w:rPr>
        <w:t>r.</w:t>
      </w:r>
      <w:r w:rsidR="00712CDA" w:rsidRPr="00712CDA">
        <w:rPr>
          <w:rFonts w:cs="Times New Roman"/>
          <w:szCs w:val="24"/>
        </w:rPr>
        <w:t xml:space="preserve"> </w:t>
      </w:r>
      <w:r w:rsidR="00712CDA" w:rsidRPr="00BC3A2D">
        <w:rPr>
          <w:rFonts w:cs="Times New Roman"/>
          <w:szCs w:val="24"/>
        </w:rPr>
        <w:t xml:space="preserve">(Detaylı bilgi için Özel İnorganik Kimyasalların Üretimi İçin MET Referans Belgesinin </w:t>
      </w:r>
      <w:r w:rsidR="00712CDA">
        <w:rPr>
          <w:rFonts w:cs="Times New Roman"/>
          <w:szCs w:val="24"/>
        </w:rPr>
        <w:t>4.6.1</w:t>
      </w:r>
      <w:r w:rsidR="00712CDA" w:rsidRPr="00BC3A2D">
        <w:rPr>
          <w:rFonts w:cs="Times New Roman"/>
          <w:szCs w:val="24"/>
        </w:rPr>
        <w:t xml:space="preserve"> kıs</w:t>
      </w:r>
      <w:r w:rsidR="00712CDA">
        <w:rPr>
          <w:rFonts w:cs="Times New Roman"/>
          <w:szCs w:val="24"/>
        </w:rPr>
        <w:t>mını</w:t>
      </w:r>
      <w:r w:rsidR="00712CDA" w:rsidRPr="00BC3A2D">
        <w:rPr>
          <w:rFonts w:cs="Times New Roman"/>
          <w:szCs w:val="24"/>
        </w:rPr>
        <w:t xml:space="preserve"> inceleyiniz.)</w:t>
      </w:r>
    </w:p>
    <w:p w14:paraId="3E223871" w14:textId="77777777" w:rsidR="00B83A5B" w:rsidRPr="00F50C10" w:rsidRDefault="00B83A5B" w:rsidP="00A654AE">
      <w:pPr>
        <w:pStyle w:val="Balk2"/>
        <w:numPr>
          <w:ilvl w:val="1"/>
          <w:numId w:val="137"/>
        </w:numPr>
        <w:spacing w:line="276" w:lineRule="auto"/>
        <w:rPr>
          <w:rFonts w:cs="Times New Roman"/>
          <w:szCs w:val="24"/>
          <w:lang w:val="nl-NL"/>
        </w:rPr>
      </w:pPr>
      <w:bookmarkStart w:id="272" w:name="_Toc136866681"/>
      <w:r w:rsidRPr="00F50C10">
        <w:rPr>
          <w:rFonts w:cs="Times New Roman"/>
          <w:szCs w:val="24"/>
          <w:lang w:val="nl-NL"/>
        </w:rPr>
        <w:t>Sınır Ötesi Teknikler</w:t>
      </w:r>
      <w:bookmarkEnd w:id="272"/>
    </w:p>
    <w:p w14:paraId="41DC1D4B" w14:textId="11014480" w:rsidR="00B83A5B" w:rsidRPr="00F50C10" w:rsidRDefault="00B83A5B" w:rsidP="000B206D">
      <w:pPr>
        <w:spacing w:before="240" w:line="276" w:lineRule="auto"/>
        <w:rPr>
          <w:rFonts w:cs="Times New Roman"/>
          <w:b/>
          <w:bCs/>
          <w:szCs w:val="24"/>
          <w:lang w:val="nl-NL"/>
        </w:rPr>
      </w:pPr>
      <w:r w:rsidRPr="00F50C10">
        <w:rPr>
          <w:rFonts w:cs="Times New Roman"/>
          <w:b/>
          <w:bCs/>
          <w:szCs w:val="24"/>
          <w:lang w:val="nl-NL"/>
        </w:rPr>
        <w:t xml:space="preserve">MET 17: </w:t>
      </w:r>
      <w:r w:rsidRPr="00F50C10">
        <w:rPr>
          <w:rFonts w:cs="Times New Roman"/>
          <w:szCs w:val="24"/>
          <w:lang w:val="nl-NL"/>
        </w:rPr>
        <w:t xml:space="preserve">Toprağın ve yeraltı suyunun kontaminasyonu riskini ortaya koyan maddelerin (çoğunlukla sıvılar) </w:t>
      </w:r>
      <w:r w:rsidR="00485509" w:rsidRPr="00F50C10">
        <w:rPr>
          <w:rFonts w:cs="Times New Roman"/>
          <w:szCs w:val="24"/>
          <w:lang w:val="nl-NL"/>
        </w:rPr>
        <w:t>taşındığı</w:t>
      </w:r>
      <w:r w:rsidRPr="00F50C10">
        <w:rPr>
          <w:rFonts w:cs="Times New Roman"/>
          <w:szCs w:val="24"/>
          <w:lang w:val="nl-NL"/>
        </w:rPr>
        <w:t xml:space="preserve"> durumlarda, tesislerin malzeme kaçışını en aza düşürülecek şekilde projelendirilmesi, inşası, işletimi ve bakımı yoluyla toprak ve yeraltı suyu kirlenmesi en aza düşürül</w:t>
      </w:r>
      <w:r w:rsidR="00485509" w:rsidRPr="00F50C10">
        <w:rPr>
          <w:rFonts w:cs="Times New Roman"/>
          <w:szCs w:val="24"/>
          <w:lang w:val="nl-NL"/>
        </w:rPr>
        <w:t>ü</w:t>
      </w:r>
      <w:r w:rsidRPr="00F50C10">
        <w:rPr>
          <w:rFonts w:cs="Times New Roman"/>
          <w:szCs w:val="24"/>
          <w:lang w:val="nl-NL"/>
        </w:rPr>
        <w:t xml:space="preserve">r. </w:t>
      </w:r>
      <w:r w:rsidR="00A34F59" w:rsidRPr="00BC3A2D">
        <w:rPr>
          <w:rFonts w:cs="Times New Roman"/>
          <w:szCs w:val="24"/>
        </w:rPr>
        <w:t xml:space="preserve">(Detaylı bilgi için Özel İnorganik Kimyasalların Üretimi İçin MET Referans Belgesinin </w:t>
      </w:r>
      <w:r w:rsidR="00A34F59">
        <w:rPr>
          <w:rFonts w:cs="Times New Roman"/>
          <w:szCs w:val="24"/>
        </w:rPr>
        <w:t>4.7.1</w:t>
      </w:r>
      <w:r w:rsidR="00A34F59" w:rsidRPr="00BC3A2D">
        <w:rPr>
          <w:rFonts w:cs="Times New Roman"/>
          <w:szCs w:val="24"/>
        </w:rPr>
        <w:t xml:space="preserve"> kıs</w:t>
      </w:r>
      <w:r w:rsidR="00A34F59">
        <w:rPr>
          <w:rFonts w:cs="Times New Roman"/>
          <w:szCs w:val="24"/>
        </w:rPr>
        <w:t>mını</w:t>
      </w:r>
      <w:r w:rsidR="00A34F59" w:rsidRPr="00BC3A2D">
        <w:rPr>
          <w:rFonts w:cs="Times New Roman"/>
          <w:szCs w:val="24"/>
        </w:rPr>
        <w:t xml:space="preserve"> inceleyiniz.)</w:t>
      </w:r>
      <w:r w:rsidRPr="00F50C10">
        <w:rPr>
          <w:rFonts w:cs="Times New Roman"/>
          <w:szCs w:val="24"/>
          <w:lang w:val="nl-NL"/>
        </w:rPr>
        <w:t>Bu kapsamda aşağıdakilerin tamamı yer almaktadır:</w:t>
      </w:r>
    </w:p>
    <w:p w14:paraId="345CA2B5" w14:textId="2391B79F" w:rsidR="00B83A5B" w:rsidRPr="00F50C10" w:rsidRDefault="00B83A5B" w:rsidP="00A654AE">
      <w:pPr>
        <w:pStyle w:val="ListeParagraf"/>
        <w:numPr>
          <w:ilvl w:val="0"/>
          <w:numId w:val="117"/>
        </w:numPr>
        <w:spacing w:before="240" w:line="276" w:lineRule="auto"/>
        <w:rPr>
          <w:rFonts w:cs="Times New Roman"/>
          <w:szCs w:val="24"/>
          <w:lang w:val="nl-NL"/>
        </w:rPr>
      </w:pPr>
      <w:r w:rsidRPr="00F50C10">
        <w:rPr>
          <w:rFonts w:cs="Times New Roman"/>
          <w:szCs w:val="24"/>
          <w:lang w:val="nl-NL"/>
        </w:rPr>
        <w:t>tesisleri olası mekanik, ısıl veya kimyasal strese karşı yalıt</w:t>
      </w:r>
      <w:r w:rsidR="00485509" w:rsidRPr="00F50C10">
        <w:rPr>
          <w:rFonts w:cs="Times New Roman"/>
          <w:szCs w:val="24"/>
          <w:lang w:val="nl-NL"/>
        </w:rPr>
        <w:t>mak</w:t>
      </w:r>
      <w:r w:rsidRPr="00F50C10">
        <w:rPr>
          <w:rFonts w:cs="Times New Roman"/>
          <w:szCs w:val="24"/>
          <w:lang w:val="nl-NL"/>
        </w:rPr>
        <w:t xml:space="preserve">, kararlı hale </w:t>
      </w:r>
      <w:r w:rsidR="00485509" w:rsidRPr="00F50C10">
        <w:rPr>
          <w:rFonts w:cs="Times New Roman"/>
          <w:szCs w:val="24"/>
          <w:lang w:val="nl-NL"/>
        </w:rPr>
        <w:t>getirmek</w:t>
      </w:r>
      <w:r w:rsidRPr="00F50C10">
        <w:rPr>
          <w:rFonts w:cs="Times New Roman"/>
          <w:szCs w:val="24"/>
          <w:lang w:val="nl-NL"/>
        </w:rPr>
        <w:t xml:space="preserve"> ve yeterli dayanımda olmaların</w:t>
      </w:r>
      <w:r w:rsidR="00FA5493" w:rsidRPr="00F50C10">
        <w:rPr>
          <w:rFonts w:cs="Times New Roman"/>
          <w:szCs w:val="24"/>
          <w:lang w:val="nl-NL"/>
        </w:rPr>
        <w:t>ı</w:t>
      </w:r>
      <w:r w:rsidRPr="00F50C10">
        <w:rPr>
          <w:rFonts w:cs="Times New Roman"/>
          <w:szCs w:val="24"/>
          <w:lang w:val="nl-NL"/>
        </w:rPr>
        <w:t xml:space="preserve"> sağla</w:t>
      </w:r>
      <w:r w:rsidR="00FA5493" w:rsidRPr="00F50C10">
        <w:rPr>
          <w:rFonts w:cs="Times New Roman"/>
          <w:szCs w:val="24"/>
          <w:lang w:val="nl-NL"/>
        </w:rPr>
        <w:t>mak</w:t>
      </w:r>
      <w:r w:rsidRPr="00F50C10">
        <w:rPr>
          <w:rFonts w:cs="Times New Roman"/>
          <w:szCs w:val="24"/>
          <w:lang w:val="nl-NL"/>
        </w:rPr>
        <w:t>. Bu husus, siyanürler ve fosfor bileşikleri gibi oldukça zehirli maddeler bakımından özellikle önemlidir,</w:t>
      </w:r>
    </w:p>
    <w:p w14:paraId="60DAD923" w14:textId="497DA0D9" w:rsidR="00B83A5B" w:rsidRPr="00F50C10" w:rsidRDefault="00B83A5B" w:rsidP="00A654AE">
      <w:pPr>
        <w:pStyle w:val="ListeParagraf"/>
        <w:numPr>
          <w:ilvl w:val="0"/>
          <w:numId w:val="117"/>
        </w:numPr>
        <w:spacing w:before="240" w:line="276" w:lineRule="auto"/>
        <w:rPr>
          <w:rFonts w:cs="Times New Roman"/>
          <w:szCs w:val="24"/>
          <w:lang w:val="nl-NL"/>
        </w:rPr>
      </w:pPr>
      <w:r w:rsidRPr="00F50C10">
        <w:rPr>
          <w:rFonts w:cs="Times New Roman"/>
          <w:szCs w:val="24"/>
          <w:lang w:val="nl-NL"/>
        </w:rPr>
        <w:t xml:space="preserve">arıtma veya bertarafa olanak sağlanması amacıyla sızıntıların ve taşan maddelerin güvenle tutulması için yeterli tutma hacimlerini </w:t>
      </w:r>
      <w:r w:rsidR="00FA5493" w:rsidRPr="00F50C10">
        <w:rPr>
          <w:rFonts w:cs="Times New Roman"/>
          <w:szCs w:val="24"/>
          <w:lang w:val="nl-NL"/>
        </w:rPr>
        <w:t>sağlamak</w:t>
      </w:r>
      <w:r w:rsidRPr="00F50C10">
        <w:rPr>
          <w:rFonts w:cs="Times New Roman"/>
          <w:szCs w:val="24"/>
          <w:lang w:val="nl-NL"/>
        </w:rPr>
        <w:t>,</w:t>
      </w:r>
    </w:p>
    <w:p w14:paraId="46C8F652" w14:textId="13074040" w:rsidR="00B83A5B" w:rsidRPr="00F50C10" w:rsidRDefault="00B83A5B" w:rsidP="00A654AE">
      <w:pPr>
        <w:pStyle w:val="ListeParagraf"/>
        <w:numPr>
          <w:ilvl w:val="0"/>
          <w:numId w:val="117"/>
        </w:numPr>
        <w:spacing w:before="240" w:line="276" w:lineRule="auto"/>
        <w:rPr>
          <w:rFonts w:cs="Times New Roman"/>
          <w:szCs w:val="24"/>
          <w:lang w:val="nl-NL"/>
        </w:rPr>
      </w:pPr>
      <w:r w:rsidRPr="00F50C10">
        <w:rPr>
          <w:rFonts w:cs="Times New Roman"/>
          <w:szCs w:val="24"/>
          <w:lang w:val="nl-NL"/>
        </w:rPr>
        <w:t>yangın söndürme suyunun ve kontamine yüzey suyunun güvenle tutulması için yeterli tutma hacimin</w:t>
      </w:r>
      <w:r w:rsidR="00FA5493" w:rsidRPr="00F50C10">
        <w:rPr>
          <w:rFonts w:cs="Times New Roman"/>
          <w:szCs w:val="24"/>
          <w:lang w:val="nl-NL"/>
        </w:rPr>
        <w:t>i</w:t>
      </w:r>
      <w:r w:rsidRPr="00F50C10">
        <w:rPr>
          <w:rFonts w:cs="Times New Roman"/>
          <w:szCs w:val="24"/>
          <w:lang w:val="nl-NL"/>
        </w:rPr>
        <w:t xml:space="preserve"> </w:t>
      </w:r>
      <w:r w:rsidR="00FA5493" w:rsidRPr="00F50C10">
        <w:rPr>
          <w:rFonts w:cs="Times New Roman"/>
          <w:szCs w:val="24"/>
          <w:lang w:val="nl-NL"/>
        </w:rPr>
        <w:t>sağlamak</w:t>
      </w:r>
      <w:r w:rsidRPr="00F50C10">
        <w:rPr>
          <w:rFonts w:cs="Times New Roman"/>
          <w:szCs w:val="24"/>
          <w:lang w:val="nl-NL"/>
        </w:rPr>
        <w:t>,</w:t>
      </w:r>
    </w:p>
    <w:p w14:paraId="269E8321" w14:textId="2B98302C" w:rsidR="00B83A5B" w:rsidRPr="00F50C10" w:rsidRDefault="00B83A5B" w:rsidP="00A654AE">
      <w:pPr>
        <w:pStyle w:val="ListeParagraf"/>
        <w:numPr>
          <w:ilvl w:val="0"/>
          <w:numId w:val="117"/>
        </w:numPr>
        <w:spacing w:before="240" w:line="276" w:lineRule="auto"/>
        <w:rPr>
          <w:rFonts w:cs="Times New Roman"/>
          <w:szCs w:val="24"/>
          <w:lang w:val="nl-NL"/>
        </w:rPr>
      </w:pPr>
      <w:r w:rsidRPr="00F50C10">
        <w:rPr>
          <w:rFonts w:cs="Times New Roman"/>
          <w:szCs w:val="24"/>
          <w:lang w:val="nl-NL"/>
        </w:rPr>
        <w:t xml:space="preserve">yükleme ve boşaltma işlemlerini yalnızca sızıntı akışına karşı korumalı olan belirlenmiş alanlarda </w:t>
      </w:r>
      <w:r w:rsidR="00FA5493" w:rsidRPr="00F50C10">
        <w:rPr>
          <w:rFonts w:cs="Times New Roman"/>
          <w:szCs w:val="24"/>
          <w:lang w:val="nl-NL"/>
        </w:rPr>
        <w:t>gerçekleştirmek</w:t>
      </w:r>
      <w:r w:rsidRPr="00F50C10">
        <w:rPr>
          <w:rFonts w:cs="Times New Roman"/>
          <w:szCs w:val="24"/>
          <w:lang w:val="nl-NL"/>
        </w:rPr>
        <w:t>,</w:t>
      </w:r>
    </w:p>
    <w:p w14:paraId="2A194C93" w14:textId="18C11E1C" w:rsidR="00B83A5B" w:rsidRPr="00F50C10" w:rsidRDefault="00B83A5B" w:rsidP="00A654AE">
      <w:pPr>
        <w:pStyle w:val="ListeParagraf"/>
        <w:numPr>
          <w:ilvl w:val="0"/>
          <w:numId w:val="117"/>
        </w:numPr>
        <w:spacing w:before="240" w:line="276" w:lineRule="auto"/>
        <w:rPr>
          <w:rFonts w:cs="Times New Roman"/>
          <w:szCs w:val="24"/>
          <w:lang w:val="nl-NL"/>
        </w:rPr>
      </w:pPr>
      <w:r w:rsidRPr="00F50C10">
        <w:rPr>
          <w:rFonts w:cs="Times New Roman"/>
          <w:szCs w:val="24"/>
          <w:lang w:val="nl-NL"/>
        </w:rPr>
        <w:t>bertaraf edilmeyi bekleyen tüm malzemeleri sızıntı akışına karşı korumalı olan belirlenmiş alanlarda topla</w:t>
      </w:r>
      <w:r w:rsidR="00FA5493" w:rsidRPr="00F50C10">
        <w:rPr>
          <w:rFonts w:cs="Times New Roman"/>
          <w:szCs w:val="24"/>
          <w:lang w:val="nl-NL"/>
        </w:rPr>
        <w:t xml:space="preserve">mak </w:t>
      </w:r>
      <w:r w:rsidRPr="00F50C10">
        <w:rPr>
          <w:rFonts w:cs="Times New Roman"/>
          <w:szCs w:val="24"/>
          <w:lang w:val="nl-NL"/>
        </w:rPr>
        <w:t xml:space="preserve">ve </w:t>
      </w:r>
      <w:r w:rsidR="00FA5493" w:rsidRPr="00F50C10">
        <w:rPr>
          <w:rFonts w:cs="Times New Roman"/>
          <w:szCs w:val="24"/>
          <w:lang w:val="nl-NL"/>
        </w:rPr>
        <w:t>depolamak</w:t>
      </w:r>
      <w:r w:rsidRPr="00F50C10">
        <w:rPr>
          <w:rFonts w:cs="Times New Roman"/>
          <w:szCs w:val="24"/>
          <w:lang w:val="nl-NL"/>
        </w:rPr>
        <w:t>,</w:t>
      </w:r>
    </w:p>
    <w:p w14:paraId="279B7719" w14:textId="1BF647B6" w:rsidR="00B83A5B" w:rsidRPr="00F50C10" w:rsidRDefault="00B83A5B" w:rsidP="00A654AE">
      <w:pPr>
        <w:pStyle w:val="ListeParagraf"/>
        <w:numPr>
          <w:ilvl w:val="0"/>
          <w:numId w:val="117"/>
        </w:numPr>
        <w:spacing w:before="240" w:line="276" w:lineRule="auto"/>
        <w:rPr>
          <w:rFonts w:cs="Times New Roman"/>
          <w:szCs w:val="24"/>
          <w:lang w:val="nl-NL"/>
        </w:rPr>
      </w:pPr>
      <w:r w:rsidRPr="00F50C10">
        <w:rPr>
          <w:rFonts w:cs="Times New Roman"/>
          <w:szCs w:val="24"/>
          <w:lang w:val="nl-NL"/>
        </w:rPr>
        <w:t>saçılmalara meydan verebilecek olan tüm pompa çukurlarını veya diğer arıtma tesisi bölmelerini yüksek sıvı düzeylerinin tetiklediği alarmlarla donat</w:t>
      </w:r>
      <w:r w:rsidR="00FA5493" w:rsidRPr="00F50C10">
        <w:rPr>
          <w:rFonts w:cs="Times New Roman"/>
          <w:szCs w:val="24"/>
          <w:lang w:val="nl-NL"/>
        </w:rPr>
        <w:t>mak</w:t>
      </w:r>
      <w:r w:rsidRPr="00F50C10">
        <w:rPr>
          <w:rFonts w:cs="Times New Roman"/>
          <w:szCs w:val="24"/>
          <w:lang w:val="nl-NL"/>
        </w:rPr>
        <w:t xml:space="preserve"> veya pompa çukurlarını</w:t>
      </w:r>
      <w:r w:rsidR="00FA5493" w:rsidRPr="00F50C10">
        <w:rPr>
          <w:rFonts w:cs="Times New Roman"/>
          <w:szCs w:val="24"/>
          <w:lang w:val="nl-NL"/>
        </w:rPr>
        <w:t>n</w:t>
      </w:r>
      <w:r w:rsidRPr="00F50C10">
        <w:rPr>
          <w:rFonts w:cs="Times New Roman"/>
          <w:szCs w:val="24"/>
          <w:lang w:val="nl-NL"/>
        </w:rPr>
        <w:t xml:space="preserve"> personel tarafından düzenli olarak incelenmesi,</w:t>
      </w:r>
    </w:p>
    <w:p w14:paraId="1234CFCE" w14:textId="2BFEC5AA" w:rsidR="00B83A5B" w:rsidRPr="00F50C10" w:rsidRDefault="00B83A5B" w:rsidP="00A654AE">
      <w:pPr>
        <w:pStyle w:val="ListeParagraf"/>
        <w:numPr>
          <w:ilvl w:val="0"/>
          <w:numId w:val="117"/>
        </w:numPr>
        <w:spacing w:before="240" w:line="276" w:lineRule="auto"/>
        <w:rPr>
          <w:rFonts w:cs="Times New Roman"/>
          <w:szCs w:val="24"/>
          <w:lang w:val="nl-NL"/>
        </w:rPr>
      </w:pPr>
      <w:r w:rsidRPr="00F50C10">
        <w:rPr>
          <w:rFonts w:cs="Times New Roman"/>
          <w:szCs w:val="24"/>
          <w:lang w:val="nl-NL"/>
        </w:rPr>
        <w:t>flanşlar ve valfler de dahil olmak üzere tankların ve boru hatları</w:t>
      </w:r>
      <w:r w:rsidR="00FA5493" w:rsidRPr="00F50C10">
        <w:rPr>
          <w:rFonts w:cs="Times New Roman"/>
          <w:szCs w:val="24"/>
          <w:lang w:val="nl-NL"/>
        </w:rPr>
        <w:t>nı</w:t>
      </w:r>
      <w:r w:rsidRPr="00F50C10">
        <w:rPr>
          <w:rFonts w:cs="Times New Roman"/>
          <w:szCs w:val="24"/>
          <w:lang w:val="nl-NL"/>
        </w:rPr>
        <w:t xml:space="preserve"> test </w:t>
      </w:r>
      <w:r w:rsidR="00FA5493" w:rsidRPr="00F50C10">
        <w:rPr>
          <w:rFonts w:cs="Times New Roman"/>
          <w:szCs w:val="24"/>
          <w:lang w:val="nl-NL"/>
        </w:rPr>
        <w:t>etmek</w:t>
      </w:r>
      <w:r w:rsidRPr="00F50C10">
        <w:rPr>
          <w:rFonts w:cs="Times New Roman"/>
          <w:szCs w:val="24"/>
          <w:lang w:val="nl-NL"/>
        </w:rPr>
        <w:t xml:space="preserve"> ve denetl</w:t>
      </w:r>
      <w:r w:rsidR="00FA5493" w:rsidRPr="00F50C10">
        <w:rPr>
          <w:rFonts w:cs="Times New Roman"/>
          <w:szCs w:val="24"/>
          <w:lang w:val="nl-NL"/>
        </w:rPr>
        <w:t>emek</w:t>
      </w:r>
      <w:r w:rsidRPr="00F50C10">
        <w:rPr>
          <w:rFonts w:cs="Times New Roman"/>
          <w:szCs w:val="24"/>
          <w:lang w:val="nl-NL"/>
        </w:rPr>
        <w:t xml:space="preserve"> için programlar </w:t>
      </w:r>
      <w:r w:rsidR="00FA5493" w:rsidRPr="00F50C10">
        <w:rPr>
          <w:rFonts w:cs="Times New Roman"/>
          <w:szCs w:val="24"/>
          <w:lang w:val="nl-NL"/>
        </w:rPr>
        <w:t>oluşturmak</w:t>
      </w:r>
      <w:r w:rsidRPr="00F50C10">
        <w:rPr>
          <w:rFonts w:cs="Times New Roman"/>
          <w:szCs w:val="24"/>
          <w:lang w:val="nl-NL"/>
        </w:rPr>
        <w:t>,</w:t>
      </w:r>
    </w:p>
    <w:p w14:paraId="0F14BD86" w14:textId="0F3F2672" w:rsidR="00B83A5B" w:rsidRPr="00F50C10" w:rsidRDefault="00B83A5B" w:rsidP="00A654AE">
      <w:pPr>
        <w:pStyle w:val="ListeParagraf"/>
        <w:numPr>
          <w:ilvl w:val="0"/>
          <w:numId w:val="117"/>
        </w:numPr>
        <w:spacing w:before="240" w:line="276" w:lineRule="auto"/>
        <w:rPr>
          <w:rFonts w:cs="Times New Roman"/>
          <w:szCs w:val="24"/>
          <w:lang w:val="nl-NL"/>
        </w:rPr>
      </w:pPr>
      <w:r w:rsidRPr="00F50C10">
        <w:rPr>
          <w:rFonts w:cs="Times New Roman"/>
          <w:szCs w:val="24"/>
          <w:lang w:val="nl-NL"/>
        </w:rPr>
        <w:t>muhafaza bariyerleri ve uygun emici malzeme gibi taşma kontrolü ekipmanlarını</w:t>
      </w:r>
      <w:r w:rsidR="00FA5493" w:rsidRPr="00F50C10">
        <w:rPr>
          <w:rFonts w:cs="Times New Roman"/>
          <w:szCs w:val="24"/>
          <w:lang w:val="nl-NL"/>
        </w:rPr>
        <w:t>n</w:t>
      </w:r>
      <w:r w:rsidRPr="00F50C10">
        <w:rPr>
          <w:rFonts w:cs="Times New Roman"/>
          <w:szCs w:val="24"/>
          <w:lang w:val="nl-NL"/>
        </w:rPr>
        <w:t xml:space="preserve"> temini,</w:t>
      </w:r>
    </w:p>
    <w:p w14:paraId="29B76D30" w14:textId="5F2D88C4" w:rsidR="00B83A5B" w:rsidRPr="00F50C10" w:rsidRDefault="00B83A5B" w:rsidP="00A654AE">
      <w:pPr>
        <w:pStyle w:val="ListeParagraf"/>
        <w:numPr>
          <w:ilvl w:val="0"/>
          <w:numId w:val="117"/>
        </w:numPr>
        <w:spacing w:before="240" w:line="276" w:lineRule="auto"/>
        <w:rPr>
          <w:rFonts w:cs="Times New Roman"/>
          <w:szCs w:val="24"/>
          <w:lang w:val="nl-NL"/>
        </w:rPr>
      </w:pPr>
      <w:r w:rsidRPr="00F50C10">
        <w:rPr>
          <w:rFonts w:cs="Times New Roman"/>
          <w:szCs w:val="24"/>
          <w:lang w:val="nl-NL"/>
        </w:rPr>
        <w:t>setlerin bütünlüğünü test e</w:t>
      </w:r>
      <w:r w:rsidR="00FA5493" w:rsidRPr="00F50C10">
        <w:rPr>
          <w:rFonts w:cs="Times New Roman"/>
          <w:szCs w:val="24"/>
          <w:lang w:val="nl-NL"/>
        </w:rPr>
        <w:t>tmek</w:t>
      </w:r>
      <w:r w:rsidRPr="00F50C10">
        <w:rPr>
          <w:rFonts w:cs="Times New Roman"/>
          <w:szCs w:val="24"/>
          <w:lang w:val="nl-NL"/>
        </w:rPr>
        <w:t xml:space="preserve"> ve </w:t>
      </w:r>
      <w:r w:rsidR="00FA5493" w:rsidRPr="00F50C10">
        <w:rPr>
          <w:rFonts w:cs="Times New Roman"/>
          <w:szCs w:val="24"/>
          <w:lang w:val="nl-NL"/>
        </w:rPr>
        <w:t>kanıtlamak</w:t>
      </w:r>
      <w:r w:rsidRPr="00F50C10">
        <w:rPr>
          <w:rFonts w:cs="Times New Roman"/>
          <w:szCs w:val="24"/>
          <w:lang w:val="nl-NL"/>
        </w:rPr>
        <w:t>,</w:t>
      </w:r>
    </w:p>
    <w:p w14:paraId="7CE4840E" w14:textId="47AEDD92" w:rsidR="00B83A5B" w:rsidRPr="00F50C10" w:rsidRDefault="00B83A5B" w:rsidP="00A654AE">
      <w:pPr>
        <w:pStyle w:val="ListeParagraf"/>
        <w:numPr>
          <w:ilvl w:val="0"/>
          <w:numId w:val="117"/>
        </w:numPr>
        <w:spacing w:before="240" w:line="276" w:lineRule="auto"/>
        <w:rPr>
          <w:rFonts w:cs="Times New Roman"/>
          <w:szCs w:val="24"/>
        </w:rPr>
      </w:pPr>
      <w:r w:rsidRPr="00F50C10">
        <w:rPr>
          <w:rFonts w:cs="Times New Roman"/>
          <w:szCs w:val="24"/>
        </w:rPr>
        <w:t xml:space="preserve">tanklara taşma önleyici sistem </w:t>
      </w:r>
      <w:r w:rsidR="00FA5493" w:rsidRPr="00F50C10">
        <w:rPr>
          <w:rFonts w:cs="Times New Roman"/>
          <w:szCs w:val="24"/>
        </w:rPr>
        <w:t>takmak</w:t>
      </w:r>
      <w:r w:rsidRPr="00F50C10">
        <w:rPr>
          <w:rFonts w:cs="Times New Roman"/>
          <w:szCs w:val="24"/>
        </w:rPr>
        <w:t>,</w:t>
      </w:r>
    </w:p>
    <w:p w14:paraId="65AB0113" w14:textId="78396AD1" w:rsidR="00B83A5B" w:rsidRPr="00F50C10" w:rsidRDefault="00B83A5B" w:rsidP="00A654AE">
      <w:pPr>
        <w:pStyle w:val="ListeParagraf"/>
        <w:numPr>
          <w:ilvl w:val="0"/>
          <w:numId w:val="117"/>
        </w:numPr>
        <w:spacing w:before="240" w:line="276" w:lineRule="auto"/>
        <w:rPr>
          <w:rFonts w:cs="Times New Roman"/>
          <w:szCs w:val="24"/>
        </w:rPr>
      </w:pPr>
      <w:r w:rsidRPr="00F50C10">
        <w:rPr>
          <w:rFonts w:cs="Times New Roman"/>
          <w:szCs w:val="24"/>
        </w:rPr>
        <w:t xml:space="preserve">malzemeleri/ürünleri yağışa karşı kapalı alanlarda muhafaza </w:t>
      </w:r>
      <w:r w:rsidR="00FA5493" w:rsidRPr="00F50C10">
        <w:rPr>
          <w:rFonts w:cs="Times New Roman"/>
          <w:szCs w:val="24"/>
        </w:rPr>
        <w:t>etmek</w:t>
      </w:r>
      <w:r w:rsidRPr="00F50C10">
        <w:rPr>
          <w:rFonts w:cs="Times New Roman"/>
          <w:szCs w:val="24"/>
        </w:rPr>
        <w:t>.</w:t>
      </w:r>
    </w:p>
    <w:p w14:paraId="6C5516A2" w14:textId="625FA4B5" w:rsidR="00B83A5B" w:rsidRPr="00F50C10" w:rsidRDefault="00B83A5B" w:rsidP="000B206D">
      <w:pPr>
        <w:spacing w:before="240" w:line="276" w:lineRule="auto"/>
        <w:rPr>
          <w:rFonts w:cs="Times New Roman"/>
          <w:szCs w:val="24"/>
        </w:rPr>
      </w:pPr>
      <w:r w:rsidRPr="00F50C10">
        <w:rPr>
          <w:rFonts w:cs="Times New Roman"/>
          <w:b/>
          <w:bCs/>
          <w:szCs w:val="24"/>
          <w:lang w:val="nl-NL"/>
        </w:rPr>
        <w:t xml:space="preserve">MET 18: </w:t>
      </w:r>
      <w:r w:rsidRPr="00F50C10">
        <w:rPr>
          <w:rFonts w:cs="Times New Roman"/>
          <w:szCs w:val="24"/>
          <w:lang w:val="nl-NL"/>
        </w:rPr>
        <w:t xml:space="preserve">Personele üst düzey ve sürekli eğitim verilir. </w:t>
      </w:r>
      <w:r w:rsidR="00A34F59" w:rsidRPr="00BC3A2D">
        <w:rPr>
          <w:rFonts w:cs="Times New Roman"/>
          <w:szCs w:val="24"/>
        </w:rPr>
        <w:t xml:space="preserve">(Detaylı bilgi için Özel İnorganik Kimyasalların Üretimi İçin MET Referans Belgesinin </w:t>
      </w:r>
      <w:r w:rsidR="00A34F59">
        <w:rPr>
          <w:rFonts w:cs="Times New Roman"/>
          <w:szCs w:val="24"/>
        </w:rPr>
        <w:t>4.7.2</w:t>
      </w:r>
      <w:r w:rsidR="00A34F59" w:rsidRPr="00BC3A2D">
        <w:rPr>
          <w:rFonts w:cs="Times New Roman"/>
          <w:szCs w:val="24"/>
        </w:rPr>
        <w:t xml:space="preserve"> kıs</w:t>
      </w:r>
      <w:r w:rsidR="00A34F59">
        <w:rPr>
          <w:rFonts w:cs="Times New Roman"/>
          <w:szCs w:val="24"/>
        </w:rPr>
        <w:t>mını</w:t>
      </w:r>
      <w:r w:rsidR="00A34F59" w:rsidRPr="00BC3A2D">
        <w:rPr>
          <w:rFonts w:cs="Times New Roman"/>
          <w:szCs w:val="24"/>
        </w:rPr>
        <w:t xml:space="preserve"> inceleyiniz.)</w:t>
      </w:r>
      <w:r w:rsidRPr="00F50C10">
        <w:rPr>
          <w:rFonts w:cs="Times New Roman"/>
          <w:szCs w:val="24"/>
        </w:rPr>
        <w:t>Bu kapsamda aşağıdakilerin tamamı yer almaktadır:</w:t>
      </w:r>
    </w:p>
    <w:p w14:paraId="175231CD" w14:textId="40EE8201" w:rsidR="00B83A5B" w:rsidRPr="00F50C10" w:rsidRDefault="00B83A5B" w:rsidP="00A654AE">
      <w:pPr>
        <w:pStyle w:val="ListeParagraf"/>
        <w:numPr>
          <w:ilvl w:val="0"/>
          <w:numId w:val="118"/>
        </w:numPr>
        <w:spacing w:before="240" w:line="276" w:lineRule="auto"/>
        <w:rPr>
          <w:rFonts w:cs="Times New Roman"/>
          <w:szCs w:val="24"/>
          <w:lang w:val="nl-NL"/>
        </w:rPr>
      </w:pPr>
      <w:r w:rsidRPr="00F50C10">
        <w:rPr>
          <w:rFonts w:cs="Times New Roman"/>
          <w:szCs w:val="24"/>
          <w:lang w:val="nl-NL"/>
        </w:rPr>
        <w:t xml:space="preserve">kimya mühendisliği ve operasyonları bakımından personele temel eğitim </w:t>
      </w:r>
      <w:r w:rsidR="00FA5493" w:rsidRPr="00F50C10">
        <w:rPr>
          <w:rFonts w:cs="Times New Roman"/>
          <w:szCs w:val="24"/>
          <w:lang w:val="nl-NL"/>
        </w:rPr>
        <w:t>vermek</w:t>
      </w:r>
      <w:r w:rsidRPr="00F50C10">
        <w:rPr>
          <w:rFonts w:cs="Times New Roman"/>
          <w:szCs w:val="24"/>
          <w:lang w:val="nl-NL"/>
        </w:rPr>
        <w:t>,</w:t>
      </w:r>
    </w:p>
    <w:p w14:paraId="474D3D25" w14:textId="53603E2F" w:rsidR="00B83A5B" w:rsidRPr="00F50C10" w:rsidRDefault="00B83A5B" w:rsidP="00A654AE">
      <w:pPr>
        <w:pStyle w:val="ListeParagraf"/>
        <w:numPr>
          <w:ilvl w:val="0"/>
          <w:numId w:val="118"/>
        </w:numPr>
        <w:spacing w:before="240" w:line="276" w:lineRule="auto"/>
        <w:rPr>
          <w:rFonts w:cs="Times New Roman"/>
          <w:szCs w:val="24"/>
        </w:rPr>
      </w:pPr>
      <w:r w:rsidRPr="00F50C10">
        <w:rPr>
          <w:rFonts w:cs="Times New Roman"/>
          <w:szCs w:val="24"/>
        </w:rPr>
        <w:t xml:space="preserve">tesis personeline işleri hakkında sürekli eğitim </w:t>
      </w:r>
      <w:r w:rsidR="00FA5493" w:rsidRPr="00F50C10">
        <w:rPr>
          <w:rFonts w:cs="Times New Roman"/>
          <w:szCs w:val="24"/>
        </w:rPr>
        <w:t>vermek</w:t>
      </w:r>
      <w:r w:rsidRPr="00F50C10">
        <w:rPr>
          <w:rFonts w:cs="Times New Roman"/>
          <w:szCs w:val="24"/>
        </w:rPr>
        <w:t>,</w:t>
      </w:r>
    </w:p>
    <w:p w14:paraId="792F8CB4" w14:textId="577AFA24" w:rsidR="00B83A5B" w:rsidRPr="00F50C10" w:rsidRDefault="00B83A5B" w:rsidP="00A654AE">
      <w:pPr>
        <w:pStyle w:val="ListeParagraf"/>
        <w:numPr>
          <w:ilvl w:val="0"/>
          <w:numId w:val="118"/>
        </w:numPr>
        <w:spacing w:before="240" w:line="276" w:lineRule="auto"/>
        <w:rPr>
          <w:rFonts w:cs="Times New Roman"/>
          <w:szCs w:val="24"/>
        </w:rPr>
      </w:pPr>
      <w:r w:rsidRPr="00F50C10">
        <w:rPr>
          <w:rFonts w:cs="Times New Roman"/>
          <w:szCs w:val="24"/>
        </w:rPr>
        <w:t>personelin performansını sürekli olarak değerl</w:t>
      </w:r>
      <w:r w:rsidR="00FA5493" w:rsidRPr="00F50C10">
        <w:rPr>
          <w:rFonts w:cs="Times New Roman"/>
          <w:szCs w:val="24"/>
        </w:rPr>
        <w:t>endirmek</w:t>
      </w:r>
      <w:r w:rsidRPr="00F50C10">
        <w:rPr>
          <w:rFonts w:cs="Times New Roman"/>
          <w:szCs w:val="24"/>
        </w:rPr>
        <w:t xml:space="preserve"> ve </w:t>
      </w:r>
      <w:r w:rsidR="00FA5493" w:rsidRPr="00F50C10">
        <w:rPr>
          <w:rFonts w:cs="Times New Roman"/>
          <w:szCs w:val="24"/>
        </w:rPr>
        <w:t>kaydetmek</w:t>
      </w:r>
      <w:r w:rsidRPr="00F50C10">
        <w:rPr>
          <w:rFonts w:cs="Times New Roman"/>
          <w:szCs w:val="24"/>
        </w:rPr>
        <w:t>,</w:t>
      </w:r>
    </w:p>
    <w:p w14:paraId="3035D48C" w14:textId="2F697FE9" w:rsidR="00B83A5B" w:rsidRPr="00F50C10" w:rsidRDefault="00B83A5B" w:rsidP="00A654AE">
      <w:pPr>
        <w:pStyle w:val="ListeParagraf"/>
        <w:numPr>
          <w:ilvl w:val="0"/>
          <w:numId w:val="118"/>
        </w:numPr>
        <w:spacing w:before="240" w:line="276" w:lineRule="auto"/>
        <w:rPr>
          <w:rFonts w:cs="Times New Roman"/>
          <w:szCs w:val="24"/>
        </w:rPr>
      </w:pPr>
      <w:r w:rsidRPr="00F50C10">
        <w:rPr>
          <w:rFonts w:cs="Times New Roman"/>
          <w:szCs w:val="24"/>
        </w:rPr>
        <w:t xml:space="preserve">personele acil durumlara müdahale, iş sağlığı ve güvenliği ve ürün ve nakliye emniyeti yönetmelikleri hakkında düzenli olarak eğitim </w:t>
      </w:r>
      <w:r w:rsidR="00FA5493" w:rsidRPr="00F50C10">
        <w:rPr>
          <w:rFonts w:cs="Times New Roman"/>
          <w:szCs w:val="24"/>
        </w:rPr>
        <w:t>vermek</w:t>
      </w:r>
      <w:r w:rsidRPr="00F50C10">
        <w:rPr>
          <w:rFonts w:cs="Times New Roman"/>
          <w:szCs w:val="24"/>
        </w:rPr>
        <w:t>.</w:t>
      </w:r>
    </w:p>
    <w:p w14:paraId="1C27BBC7" w14:textId="26D27979" w:rsidR="00B83A5B" w:rsidRPr="00F50C10" w:rsidRDefault="00B83A5B" w:rsidP="000B206D">
      <w:pPr>
        <w:spacing w:after="120" w:line="276" w:lineRule="auto"/>
        <w:rPr>
          <w:rFonts w:cs="Times New Roman"/>
          <w:szCs w:val="24"/>
        </w:rPr>
      </w:pPr>
      <w:r w:rsidRPr="00F50C10">
        <w:rPr>
          <w:rFonts w:cs="Times New Roman"/>
          <w:b/>
          <w:bCs/>
          <w:szCs w:val="24"/>
          <w:lang w:val="nl-NL"/>
        </w:rPr>
        <w:t xml:space="preserve">MET 19: </w:t>
      </w:r>
      <w:r w:rsidRPr="00F50C10">
        <w:rPr>
          <w:rFonts w:cs="Times New Roman"/>
          <w:szCs w:val="24"/>
          <w:lang w:val="nl-NL"/>
        </w:rPr>
        <w:t>Varsa sektör kodu ilkeleri</w:t>
      </w:r>
      <w:r w:rsidR="00FA5493" w:rsidRPr="00F50C10">
        <w:rPr>
          <w:rFonts w:cs="Times New Roman"/>
          <w:szCs w:val="24"/>
          <w:lang w:val="nl-NL"/>
        </w:rPr>
        <w:t>ni uygulamaktır</w:t>
      </w:r>
      <w:r w:rsidRPr="00F50C10">
        <w:rPr>
          <w:rFonts w:cs="Times New Roman"/>
          <w:szCs w:val="24"/>
        </w:rPr>
        <w:t xml:space="preserve">. </w:t>
      </w:r>
      <w:r w:rsidR="00A34F59" w:rsidRPr="00BC3A2D">
        <w:rPr>
          <w:rFonts w:cs="Times New Roman"/>
          <w:szCs w:val="24"/>
        </w:rPr>
        <w:t xml:space="preserve">(Detaylı bilgi için Özel İnorganik Kimyasalların Üretimi İçin MET Referans Belgesinin </w:t>
      </w:r>
      <w:r w:rsidR="00A34F59">
        <w:rPr>
          <w:rFonts w:cs="Times New Roman"/>
          <w:szCs w:val="24"/>
        </w:rPr>
        <w:t>4.7.3</w:t>
      </w:r>
      <w:r w:rsidR="00A34F59" w:rsidRPr="00BC3A2D">
        <w:rPr>
          <w:rFonts w:cs="Times New Roman"/>
          <w:szCs w:val="24"/>
        </w:rPr>
        <w:t xml:space="preserve"> kıs</w:t>
      </w:r>
      <w:r w:rsidR="00A34F59">
        <w:rPr>
          <w:rFonts w:cs="Times New Roman"/>
          <w:szCs w:val="24"/>
        </w:rPr>
        <w:t>mını</w:t>
      </w:r>
      <w:r w:rsidR="00A34F59" w:rsidRPr="00BC3A2D">
        <w:rPr>
          <w:rFonts w:cs="Times New Roman"/>
          <w:szCs w:val="24"/>
        </w:rPr>
        <w:t xml:space="preserve"> inceleyiniz.)</w:t>
      </w:r>
      <w:r w:rsidR="005E5461">
        <w:rPr>
          <w:rFonts w:cs="Times New Roman"/>
          <w:szCs w:val="24"/>
        </w:rPr>
        <w:t xml:space="preserve"> </w:t>
      </w:r>
      <w:r w:rsidRPr="00F50C10">
        <w:rPr>
          <w:rFonts w:cs="Times New Roman"/>
          <w:szCs w:val="24"/>
        </w:rPr>
        <w:t>Bu kapsamda aşağıdakilerin tamamı yer almaktadır:</w:t>
      </w:r>
    </w:p>
    <w:p w14:paraId="3B5B8E9F" w14:textId="25CDDFAF" w:rsidR="00B83A5B" w:rsidRPr="00F50C10" w:rsidRDefault="00B83A5B" w:rsidP="00A654AE">
      <w:pPr>
        <w:pStyle w:val="ListeParagraf"/>
        <w:numPr>
          <w:ilvl w:val="0"/>
          <w:numId w:val="119"/>
        </w:numPr>
        <w:spacing w:after="120" w:line="276" w:lineRule="auto"/>
        <w:rPr>
          <w:rFonts w:cs="Times New Roman"/>
          <w:szCs w:val="24"/>
        </w:rPr>
      </w:pPr>
      <w:r w:rsidRPr="00F50C10">
        <w:rPr>
          <w:rFonts w:cs="Times New Roman"/>
          <w:szCs w:val="24"/>
        </w:rPr>
        <w:t xml:space="preserve">özel inorganik kimyasal maddelerinin üretiminde güvenlik, çevre ve kalite yönleri bakımlarından oldukça yüksek standartları </w:t>
      </w:r>
      <w:r w:rsidR="004F4690" w:rsidRPr="00F50C10">
        <w:rPr>
          <w:rFonts w:cs="Times New Roman"/>
          <w:szCs w:val="24"/>
        </w:rPr>
        <w:t>uygulamak</w:t>
      </w:r>
      <w:r w:rsidRPr="00F50C10">
        <w:rPr>
          <w:rFonts w:cs="Times New Roman"/>
          <w:szCs w:val="24"/>
        </w:rPr>
        <w:t>,</w:t>
      </w:r>
    </w:p>
    <w:p w14:paraId="427B2E9F" w14:textId="4D81CB26" w:rsidR="00B83A5B" w:rsidRPr="00F50C10" w:rsidRDefault="00B83A5B" w:rsidP="00A654AE">
      <w:pPr>
        <w:pStyle w:val="ListeParagraf"/>
        <w:numPr>
          <w:ilvl w:val="0"/>
          <w:numId w:val="119"/>
        </w:numPr>
        <w:spacing w:after="120" w:line="276" w:lineRule="auto"/>
        <w:rPr>
          <w:rFonts w:cs="Times New Roman"/>
          <w:szCs w:val="24"/>
        </w:rPr>
      </w:pPr>
      <w:r w:rsidRPr="00F50C10">
        <w:rPr>
          <w:rFonts w:cs="Times New Roman"/>
          <w:szCs w:val="24"/>
        </w:rPr>
        <w:t xml:space="preserve">denetim, sertifikalandırma ve tesis personelinin eğitimi gibi faaliyetler </w:t>
      </w:r>
      <w:r w:rsidR="004F4690" w:rsidRPr="00F50C10">
        <w:rPr>
          <w:rFonts w:cs="Times New Roman"/>
          <w:szCs w:val="24"/>
        </w:rPr>
        <w:t>yürütmek</w:t>
      </w:r>
      <w:r w:rsidRPr="00F50C10">
        <w:rPr>
          <w:rFonts w:cs="Times New Roman"/>
          <w:szCs w:val="24"/>
        </w:rPr>
        <w:t>.</w:t>
      </w:r>
      <w:r w:rsidR="00A34F59">
        <w:rPr>
          <w:rFonts w:cs="Times New Roman"/>
          <w:szCs w:val="24"/>
        </w:rPr>
        <w:t xml:space="preserve"> (MET 18 ve 22 ile ilişkilidir.)</w:t>
      </w:r>
    </w:p>
    <w:p w14:paraId="0AB860D5" w14:textId="14A1DEAA" w:rsidR="00B83A5B" w:rsidRPr="00F50C10" w:rsidRDefault="00B83A5B" w:rsidP="000B206D">
      <w:pPr>
        <w:spacing w:before="240" w:line="276" w:lineRule="auto"/>
        <w:rPr>
          <w:rFonts w:cs="Times New Roman"/>
          <w:szCs w:val="24"/>
        </w:rPr>
      </w:pPr>
      <w:r w:rsidRPr="00F50C10">
        <w:rPr>
          <w:rFonts w:cs="Times New Roman"/>
          <w:b/>
          <w:bCs/>
          <w:szCs w:val="24"/>
        </w:rPr>
        <w:t xml:space="preserve">MET 20: </w:t>
      </w:r>
      <w:r w:rsidRPr="00F50C10">
        <w:rPr>
          <w:rFonts w:cs="Times New Roman"/>
          <w:szCs w:val="24"/>
        </w:rPr>
        <w:t>Normal işletim için yapılandırılmış güvenlik değerlendirmesi yerine getiril</w:t>
      </w:r>
      <w:r w:rsidR="004F4690" w:rsidRPr="00F50C10">
        <w:rPr>
          <w:rFonts w:cs="Times New Roman"/>
          <w:szCs w:val="24"/>
        </w:rPr>
        <w:t>ir</w:t>
      </w:r>
      <w:r w:rsidRPr="00F50C10">
        <w:rPr>
          <w:rFonts w:cs="Times New Roman"/>
          <w:szCs w:val="24"/>
        </w:rPr>
        <w:t xml:space="preserve"> ve kimyasal prosesteki sapmalara ve fabrika işletimindeki sapmalara bağlı olarak oluşan etkiler hesaba </w:t>
      </w:r>
      <w:r w:rsidR="004F4690" w:rsidRPr="00F50C10">
        <w:rPr>
          <w:rFonts w:cs="Times New Roman"/>
          <w:szCs w:val="24"/>
        </w:rPr>
        <w:t>katılır</w:t>
      </w:r>
      <w:r w:rsidRPr="00F50C10">
        <w:rPr>
          <w:rFonts w:cs="Times New Roman"/>
          <w:szCs w:val="24"/>
        </w:rPr>
        <w:t>.</w:t>
      </w:r>
      <w:r w:rsidR="005E5461" w:rsidRPr="005E5461">
        <w:rPr>
          <w:rFonts w:cs="Times New Roman"/>
          <w:szCs w:val="24"/>
        </w:rPr>
        <w:t xml:space="preserve"> </w:t>
      </w:r>
      <w:r w:rsidR="005E5461" w:rsidRPr="00BC3A2D">
        <w:rPr>
          <w:rFonts w:cs="Times New Roman"/>
          <w:szCs w:val="24"/>
        </w:rPr>
        <w:t xml:space="preserve">(Detaylı bilgi için Özel İnorganik Kimyasalların Üretimi İçin MET Referans Belgesinin </w:t>
      </w:r>
      <w:r w:rsidR="005E5461">
        <w:rPr>
          <w:rFonts w:cs="Times New Roman"/>
          <w:szCs w:val="24"/>
        </w:rPr>
        <w:t>4.7.5</w:t>
      </w:r>
      <w:r w:rsidR="005E5461" w:rsidRPr="00BC3A2D">
        <w:rPr>
          <w:rFonts w:cs="Times New Roman"/>
          <w:szCs w:val="24"/>
        </w:rPr>
        <w:t xml:space="preserve"> kıs</w:t>
      </w:r>
      <w:r w:rsidR="005E5461">
        <w:rPr>
          <w:rFonts w:cs="Times New Roman"/>
          <w:szCs w:val="24"/>
        </w:rPr>
        <w:t>mını</w:t>
      </w:r>
      <w:r w:rsidR="005E5461" w:rsidRPr="00BC3A2D">
        <w:rPr>
          <w:rFonts w:cs="Times New Roman"/>
          <w:szCs w:val="24"/>
        </w:rPr>
        <w:t xml:space="preserve"> inceleyiniz.)</w:t>
      </w:r>
    </w:p>
    <w:p w14:paraId="5E678167" w14:textId="5D99456C" w:rsidR="00B83A5B" w:rsidRPr="00F50C10" w:rsidRDefault="00B83A5B" w:rsidP="000B206D">
      <w:pPr>
        <w:spacing w:after="120" w:line="276" w:lineRule="auto"/>
        <w:rPr>
          <w:rFonts w:cs="Times New Roman"/>
          <w:b/>
          <w:bCs/>
          <w:szCs w:val="24"/>
        </w:rPr>
      </w:pPr>
      <w:r w:rsidRPr="00F50C10">
        <w:rPr>
          <w:rFonts w:cs="Times New Roman"/>
          <w:b/>
          <w:bCs/>
          <w:szCs w:val="24"/>
        </w:rPr>
        <w:t xml:space="preserve">MET 21: </w:t>
      </w:r>
      <w:r w:rsidRPr="00F50C10">
        <w:rPr>
          <w:rFonts w:cs="Times New Roman"/>
          <w:szCs w:val="24"/>
        </w:rPr>
        <w:t>Bir prosesin yeterli biçimde kontrol edilebilmesini sağlamak üzere aşağıdaki tekniklerden birisini</w:t>
      </w:r>
      <w:r w:rsidR="004F4690" w:rsidRPr="00F50C10">
        <w:rPr>
          <w:rFonts w:cs="Times New Roman"/>
          <w:szCs w:val="24"/>
        </w:rPr>
        <w:t xml:space="preserve"> </w:t>
      </w:r>
      <w:r w:rsidRPr="00F50C10">
        <w:rPr>
          <w:rFonts w:cs="Times New Roman"/>
          <w:szCs w:val="24"/>
        </w:rPr>
        <w:t xml:space="preserve">veya kombinasyonunu </w:t>
      </w:r>
      <w:r w:rsidR="004F4690" w:rsidRPr="00F50C10">
        <w:rPr>
          <w:rFonts w:cs="Times New Roman"/>
          <w:szCs w:val="24"/>
        </w:rPr>
        <w:t>uygulamaktır</w:t>
      </w:r>
      <w:r w:rsidRPr="00F50C10">
        <w:rPr>
          <w:rFonts w:cs="Times New Roman"/>
          <w:szCs w:val="24"/>
        </w:rPr>
        <w:t>:</w:t>
      </w:r>
      <w:r w:rsidR="005E5461">
        <w:rPr>
          <w:rFonts w:cs="Times New Roman"/>
          <w:szCs w:val="24"/>
        </w:rPr>
        <w:t xml:space="preserve"> </w:t>
      </w:r>
      <w:r w:rsidR="005E5461" w:rsidRPr="00BC3A2D">
        <w:rPr>
          <w:rFonts w:cs="Times New Roman"/>
          <w:szCs w:val="24"/>
        </w:rPr>
        <w:t xml:space="preserve">(Detaylı bilgi için Özel İnorganik Kimyasalların Üretimi İçin MET Referans Belgesinin </w:t>
      </w:r>
      <w:r w:rsidR="005E5461">
        <w:rPr>
          <w:rFonts w:cs="Times New Roman"/>
          <w:szCs w:val="24"/>
        </w:rPr>
        <w:t>4.7.5</w:t>
      </w:r>
      <w:r w:rsidR="005E5461" w:rsidRPr="00BC3A2D">
        <w:rPr>
          <w:rFonts w:cs="Times New Roman"/>
          <w:szCs w:val="24"/>
        </w:rPr>
        <w:t xml:space="preserve"> kıs</w:t>
      </w:r>
      <w:r w:rsidR="005E5461">
        <w:rPr>
          <w:rFonts w:cs="Times New Roman"/>
          <w:szCs w:val="24"/>
        </w:rPr>
        <w:t>mını</w:t>
      </w:r>
      <w:r w:rsidR="005E5461" w:rsidRPr="00BC3A2D">
        <w:rPr>
          <w:rFonts w:cs="Times New Roman"/>
          <w:szCs w:val="24"/>
        </w:rPr>
        <w:t xml:space="preserve"> inceleyiniz.)</w:t>
      </w:r>
    </w:p>
    <w:p w14:paraId="43DC24D5" w14:textId="3D997F14" w:rsidR="00B83A5B" w:rsidRPr="00F50C10" w:rsidRDefault="00B83A5B" w:rsidP="00A654AE">
      <w:pPr>
        <w:pStyle w:val="ListeParagraf"/>
        <w:numPr>
          <w:ilvl w:val="0"/>
          <w:numId w:val="120"/>
        </w:numPr>
        <w:spacing w:after="120" w:line="276" w:lineRule="auto"/>
        <w:rPr>
          <w:rFonts w:cs="Times New Roman"/>
          <w:szCs w:val="24"/>
        </w:rPr>
      </w:pPr>
      <w:r w:rsidRPr="00F50C10">
        <w:rPr>
          <w:rFonts w:cs="Times New Roman"/>
          <w:szCs w:val="24"/>
        </w:rPr>
        <w:t>organizasyonel önlemler,</w:t>
      </w:r>
    </w:p>
    <w:p w14:paraId="6F7DE61A" w14:textId="0536CB0F" w:rsidR="00B83A5B" w:rsidRPr="00F50C10" w:rsidRDefault="00B83A5B" w:rsidP="00A654AE">
      <w:pPr>
        <w:pStyle w:val="ListeParagraf"/>
        <w:numPr>
          <w:ilvl w:val="0"/>
          <w:numId w:val="120"/>
        </w:numPr>
        <w:spacing w:after="120" w:line="276" w:lineRule="auto"/>
        <w:rPr>
          <w:rFonts w:cs="Times New Roman"/>
          <w:szCs w:val="24"/>
        </w:rPr>
      </w:pPr>
      <w:r w:rsidRPr="00F50C10">
        <w:rPr>
          <w:rFonts w:cs="Times New Roman"/>
          <w:szCs w:val="24"/>
        </w:rPr>
        <w:t xml:space="preserve">kontrol mühendisliği tekniklerini </w:t>
      </w:r>
      <w:r w:rsidR="004F4690" w:rsidRPr="00F50C10">
        <w:rPr>
          <w:rFonts w:cs="Times New Roman"/>
          <w:szCs w:val="24"/>
        </w:rPr>
        <w:t>içeren</w:t>
      </w:r>
      <w:r w:rsidRPr="00F50C10">
        <w:rPr>
          <w:rFonts w:cs="Times New Roman"/>
          <w:szCs w:val="24"/>
        </w:rPr>
        <w:t xml:space="preserve"> </w:t>
      </w:r>
      <w:r w:rsidR="004F4690" w:rsidRPr="00F50C10">
        <w:rPr>
          <w:rFonts w:cs="Times New Roman"/>
          <w:szCs w:val="24"/>
        </w:rPr>
        <w:t>yaklaşımlar</w:t>
      </w:r>
      <w:r w:rsidRPr="00F50C10">
        <w:rPr>
          <w:rFonts w:cs="Times New Roman"/>
          <w:szCs w:val="24"/>
        </w:rPr>
        <w:t>,</w:t>
      </w:r>
    </w:p>
    <w:p w14:paraId="4BF174C5" w14:textId="77777777" w:rsidR="00B83A5B" w:rsidRPr="00F50C10" w:rsidRDefault="00B83A5B" w:rsidP="00A654AE">
      <w:pPr>
        <w:pStyle w:val="ListeParagraf"/>
        <w:numPr>
          <w:ilvl w:val="0"/>
          <w:numId w:val="120"/>
        </w:numPr>
        <w:spacing w:after="120" w:line="276" w:lineRule="auto"/>
        <w:rPr>
          <w:rFonts w:cs="Times New Roman"/>
          <w:szCs w:val="24"/>
        </w:rPr>
      </w:pPr>
      <w:r w:rsidRPr="00F50C10">
        <w:rPr>
          <w:rFonts w:cs="Times New Roman"/>
          <w:szCs w:val="24"/>
        </w:rPr>
        <w:t>tepkime durdurucular,</w:t>
      </w:r>
    </w:p>
    <w:p w14:paraId="09199731" w14:textId="77777777" w:rsidR="00B83A5B" w:rsidRPr="00F50C10" w:rsidRDefault="00B83A5B" w:rsidP="00A654AE">
      <w:pPr>
        <w:pStyle w:val="ListeParagraf"/>
        <w:numPr>
          <w:ilvl w:val="0"/>
          <w:numId w:val="120"/>
        </w:numPr>
        <w:spacing w:after="120" w:line="276" w:lineRule="auto"/>
        <w:rPr>
          <w:rFonts w:cs="Times New Roman"/>
          <w:szCs w:val="24"/>
        </w:rPr>
      </w:pPr>
      <w:r w:rsidRPr="00F50C10">
        <w:rPr>
          <w:rFonts w:cs="Times New Roman"/>
          <w:szCs w:val="24"/>
        </w:rPr>
        <w:t>acil durum soğutması,</w:t>
      </w:r>
    </w:p>
    <w:p w14:paraId="35C9DC50" w14:textId="79413FDB" w:rsidR="00B83A5B" w:rsidRPr="00F50C10" w:rsidRDefault="00B83A5B" w:rsidP="00A654AE">
      <w:pPr>
        <w:pStyle w:val="ListeParagraf"/>
        <w:numPr>
          <w:ilvl w:val="0"/>
          <w:numId w:val="120"/>
        </w:numPr>
        <w:spacing w:after="120" w:line="276" w:lineRule="auto"/>
        <w:rPr>
          <w:rFonts w:cs="Times New Roman"/>
          <w:szCs w:val="24"/>
        </w:rPr>
      </w:pPr>
      <w:r w:rsidRPr="00F50C10">
        <w:rPr>
          <w:rFonts w:cs="Times New Roman"/>
          <w:szCs w:val="24"/>
        </w:rPr>
        <w:t xml:space="preserve">basınca dayanıklı </w:t>
      </w:r>
      <w:r w:rsidR="004F4690" w:rsidRPr="00F50C10">
        <w:rPr>
          <w:rFonts w:cs="Times New Roman"/>
          <w:szCs w:val="24"/>
        </w:rPr>
        <w:t>yapı</w:t>
      </w:r>
      <w:r w:rsidRPr="00F50C10">
        <w:rPr>
          <w:rFonts w:cs="Times New Roman"/>
          <w:szCs w:val="24"/>
        </w:rPr>
        <w:t>,</w:t>
      </w:r>
    </w:p>
    <w:p w14:paraId="1C15B4AB" w14:textId="77777777" w:rsidR="00B83A5B" w:rsidRPr="00F50C10" w:rsidRDefault="00B83A5B" w:rsidP="00A654AE">
      <w:pPr>
        <w:pStyle w:val="ListeParagraf"/>
        <w:numPr>
          <w:ilvl w:val="0"/>
          <w:numId w:val="120"/>
        </w:numPr>
        <w:spacing w:after="120" w:line="276" w:lineRule="auto"/>
        <w:rPr>
          <w:rFonts w:cs="Times New Roman"/>
          <w:szCs w:val="24"/>
        </w:rPr>
      </w:pPr>
      <w:r w:rsidRPr="00F50C10">
        <w:rPr>
          <w:rFonts w:cs="Times New Roman"/>
          <w:szCs w:val="24"/>
        </w:rPr>
        <w:t>basınç tahliyesi.</w:t>
      </w:r>
    </w:p>
    <w:p w14:paraId="09AE38C3" w14:textId="0475C3B8" w:rsidR="005E5461" w:rsidRPr="00F50C10" w:rsidRDefault="00B83A5B" w:rsidP="000B206D">
      <w:pPr>
        <w:spacing w:after="120" w:line="276" w:lineRule="auto"/>
        <w:rPr>
          <w:rFonts w:cs="Times New Roman"/>
          <w:b/>
          <w:bCs/>
          <w:szCs w:val="24"/>
        </w:rPr>
      </w:pPr>
      <w:r w:rsidRPr="00F50C10">
        <w:rPr>
          <w:rFonts w:cs="Times New Roman"/>
          <w:b/>
          <w:bCs/>
          <w:szCs w:val="24"/>
        </w:rPr>
        <w:t xml:space="preserve">MET 22: </w:t>
      </w:r>
      <w:r w:rsidR="00C90A84" w:rsidRPr="00F50C10">
        <w:rPr>
          <w:rFonts w:cs="Times New Roman"/>
          <w:szCs w:val="24"/>
        </w:rPr>
        <w:t>Aşağıdaki  özellikleri, bireysel koşullara uygun olarak, kapsana bir</w:t>
      </w:r>
      <w:r w:rsidRPr="00F50C10">
        <w:rPr>
          <w:rFonts w:cs="Times New Roman"/>
          <w:szCs w:val="24"/>
        </w:rPr>
        <w:t xml:space="preserve"> Çevre Yönetim Sistemi (ÇYS) </w:t>
      </w:r>
      <w:r w:rsidR="00C90A84" w:rsidRPr="00F50C10">
        <w:rPr>
          <w:rFonts w:cs="Times New Roman"/>
          <w:szCs w:val="24"/>
        </w:rPr>
        <w:t>uygulanır</w:t>
      </w:r>
      <w:r w:rsidRPr="00F50C10">
        <w:rPr>
          <w:rFonts w:cs="Times New Roman"/>
          <w:szCs w:val="24"/>
        </w:rPr>
        <w:t xml:space="preserve"> ve bu</w:t>
      </w:r>
      <w:r w:rsidR="00C90A84" w:rsidRPr="00F50C10">
        <w:rPr>
          <w:rFonts w:cs="Times New Roman"/>
          <w:szCs w:val="24"/>
        </w:rPr>
        <w:t xml:space="preserve"> sisteme bağlı </w:t>
      </w:r>
      <w:r w:rsidR="004F4690" w:rsidRPr="00F50C10">
        <w:rPr>
          <w:rFonts w:cs="Times New Roman"/>
          <w:szCs w:val="24"/>
        </w:rPr>
        <w:t>kalınır</w:t>
      </w:r>
      <w:r w:rsidRPr="00F50C10">
        <w:rPr>
          <w:rFonts w:cs="Times New Roman"/>
          <w:szCs w:val="24"/>
        </w:rPr>
        <w:t>:</w:t>
      </w:r>
      <w:r w:rsidR="005E5461">
        <w:rPr>
          <w:rFonts w:cs="Times New Roman"/>
          <w:szCs w:val="24"/>
        </w:rPr>
        <w:t xml:space="preserve"> </w:t>
      </w:r>
      <w:r w:rsidR="005E5461" w:rsidRPr="00BC3A2D">
        <w:rPr>
          <w:rFonts w:cs="Times New Roman"/>
          <w:szCs w:val="24"/>
        </w:rPr>
        <w:t xml:space="preserve">(Detaylı bilgi için Özel İnorganik Kimyasalların Üretimi İçin MET Referans Belgesinin </w:t>
      </w:r>
      <w:r w:rsidR="005E5461">
        <w:rPr>
          <w:rFonts w:cs="Times New Roman"/>
          <w:szCs w:val="24"/>
        </w:rPr>
        <w:t>4.7.6</w:t>
      </w:r>
      <w:r w:rsidR="005E5461" w:rsidRPr="00BC3A2D">
        <w:rPr>
          <w:rFonts w:cs="Times New Roman"/>
          <w:szCs w:val="24"/>
        </w:rPr>
        <w:t xml:space="preserve"> kıs</w:t>
      </w:r>
      <w:r w:rsidR="005E5461">
        <w:rPr>
          <w:rFonts w:cs="Times New Roman"/>
          <w:szCs w:val="24"/>
        </w:rPr>
        <w:t>mını</w:t>
      </w:r>
      <w:r w:rsidR="005E5461" w:rsidRPr="00BC3A2D">
        <w:rPr>
          <w:rFonts w:cs="Times New Roman"/>
          <w:szCs w:val="24"/>
        </w:rPr>
        <w:t xml:space="preserve"> inceleyiniz.)</w:t>
      </w:r>
    </w:p>
    <w:p w14:paraId="08E58806" w14:textId="1B860B38" w:rsidR="00B83A5B" w:rsidRPr="00F50C10" w:rsidRDefault="00C90A84" w:rsidP="00A654AE">
      <w:pPr>
        <w:pStyle w:val="ListeParagraf"/>
        <w:numPr>
          <w:ilvl w:val="0"/>
          <w:numId w:val="159"/>
        </w:numPr>
        <w:spacing w:after="120" w:line="276" w:lineRule="auto"/>
        <w:rPr>
          <w:rFonts w:cs="Times New Roman"/>
          <w:szCs w:val="24"/>
          <w:lang w:val="tr-TR"/>
        </w:rPr>
      </w:pPr>
      <w:r w:rsidRPr="00F50C10">
        <w:rPr>
          <w:rFonts w:cs="Times New Roman"/>
          <w:szCs w:val="24"/>
          <w:lang w:val="tr-TR"/>
        </w:rPr>
        <w:t>üst yönetim tarafından tesis için bu çevre politikasının tanımlanması (üst yönetim tarafından verilen taahhüt, ÇYS’nin diğer özelliklerinin başarılı bir şekilde uygulanması için ön koşul olarak değerlendirilir)</w:t>
      </w:r>
      <w:r w:rsidR="00B83A5B" w:rsidRPr="00F50C10">
        <w:rPr>
          <w:rFonts w:cs="Times New Roman"/>
          <w:szCs w:val="24"/>
          <w:lang w:val="tr-TR"/>
        </w:rPr>
        <w:t>,</w:t>
      </w:r>
    </w:p>
    <w:p w14:paraId="689FFB96" w14:textId="30762EC5" w:rsidR="00B83A5B" w:rsidRPr="00F50C10" w:rsidRDefault="00C90A84" w:rsidP="00A654AE">
      <w:pPr>
        <w:pStyle w:val="ListeParagraf"/>
        <w:numPr>
          <w:ilvl w:val="0"/>
          <w:numId w:val="159"/>
        </w:numPr>
        <w:spacing w:after="120" w:line="276" w:lineRule="auto"/>
        <w:rPr>
          <w:rFonts w:cs="Times New Roman"/>
          <w:szCs w:val="24"/>
          <w:lang w:val="tr-TR"/>
        </w:rPr>
      </w:pPr>
      <w:r w:rsidRPr="00F50C10">
        <w:rPr>
          <w:rFonts w:cs="Times New Roman"/>
          <w:szCs w:val="24"/>
          <w:lang w:val="tr-TR"/>
        </w:rPr>
        <w:t>gerekli prosedürlerin planlanması</w:t>
      </w:r>
      <w:r w:rsidR="00B83A5B" w:rsidRPr="00F50C10">
        <w:rPr>
          <w:rFonts w:cs="Times New Roman"/>
          <w:szCs w:val="24"/>
          <w:lang w:val="tr-TR"/>
        </w:rPr>
        <w:t>,</w:t>
      </w:r>
    </w:p>
    <w:p w14:paraId="1B7ABC15" w14:textId="57EAFE66" w:rsidR="00C90A84" w:rsidRPr="00F50C10" w:rsidRDefault="00C90A84" w:rsidP="00A654AE">
      <w:pPr>
        <w:pStyle w:val="ListeParagraf"/>
        <w:numPr>
          <w:ilvl w:val="0"/>
          <w:numId w:val="159"/>
        </w:numPr>
        <w:spacing w:after="120" w:line="276" w:lineRule="auto"/>
        <w:rPr>
          <w:rFonts w:cs="Times New Roman"/>
          <w:szCs w:val="24"/>
          <w:lang w:val="tr-TR"/>
        </w:rPr>
      </w:pPr>
      <w:r w:rsidRPr="00F50C10">
        <w:rPr>
          <w:rFonts w:cs="Times New Roman"/>
          <w:szCs w:val="24"/>
          <w:lang w:val="tr-TR"/>
        </w:rPr>
        <w:t>aşağıdakilere dikkat edilerek prosedürlerin uygulanması:</w:t>
      </w:r>
    </w:p>
    <w:p w14:paraId="46657120" w14:textId="76EF62A1" w:rsidR="00C90A84" w:rsidRPr="00F50C10" w:rsidRDefault="00C90A84" w:rsidP="00A654AE">
      <w:pPr>
        <w:pStyle w:val="ListeParagraf"/>
        <w:numPr>
          <w:ilvl w:val="2"/>
          <w:numId w:val="142"/>
        </w:numPr>
        <w:spacing w:after="120" w:line="276" w:lineRule="auto"/>
        <w:rPr>
          <w:rFonts w:cs="Times New Roman"/>
          <w:szCs w:val="24"/>
          <w:lang w:val="tr-TR"/>
        </w:rPr>
      </w:pPr>
      <w:r w:rsidRPr="00F50C10">
        <w:rPr>
          <w:rFonts w:cs="Times New Roman"/>
          <w:szCs w:val="24"/>
          <w:lang w:val="tr-TR"/>
        </w:rPr>
        <w:t>yapı ve sorumluluk,</w:t>
      </w:r>
    </w:p>
    <w:p w14:paraId="72C4410C" w14:textId="7BEA9BA5" w:rsidR="00C90A84" w:rsidRPr="00F50C10" w:rsidRDefault="00C90A84" w:rsidP="00A654AE">
      <w:pPr>
        <w:pStyle w:val="ListeParagraf"/>
        <w:numPr>
          <w:ilvl w:val="2"/>
          <w:numId w:val="142"/>
        </w:numPr>
        <w:spacing w:after="120" w:line="276" w:lineRule="auto"/>
        <w:rPr>
          <w:rFonts w:cs="Times New Roman"/>
          <w:szCs w:val="24"/>
          <w:lang w:val="tr-TR"/>
        </w:rPr>
      </w:pPr>
      <w:r w:rsidRPr="00F50C10">
        <w:rPr>
          <w:rFonts w:cs="Times New Roman"/>
          <w:szCs w:val="24"/>
          <w:lang w:val="tr-TR"/>
        </w:rPr>
        <w:t xml:space="preserve">eğitim, farkındalık ve yetkinlik, </w:t>
      </w:r>
    </w:p>
    <w:p w14:paraId="369DFB43" w14:textId="25367711" w:rsidR="00C90A84" w:rsidRPr="00F50C10" w:rsidRDefault="00C90A84" w:rsidP="00A654AE">
      <w:pPr>
        <w:pStyle w:val="ListeParagraf"/>
        <w:numPr>
          <w:ilvl w:val="2"/>
          <w:numId w:val="142"/>
        </w:numPr>
        <w:spacing w:after="120" w:line="276" w:lineRule="auto"/>
        <w:rPr>
          <w:rFonts w:cs="Times New Roman"/>
          <w:szCs w:val="24"/>
          <w:lang w:val="tr-TR"/>
        </w:rPr>
      </w:pPr>
      <w:r w:rsidRPr="00F50C10">
        <w:rPr>
          <w:rFonts w:cs="Times New Roman"/>
          <w:szCs w:val="24"/>
          <w:lang w:val="tr-TR"/>
        </w:rPr>
        <w:t xml:space="preserve">iletişim, </w:t>
      </w:r>
    </w:p>
    <w:p w14:paraId="6BB9128B" w14:textId="4E0121DB" w:rsidR="00C90A84" w:rsidRPr="00F50C10" w:rsidRDefault="00C90A84" w:rsidP="00A654AE">
      <w:pPr>
        <w:pStyle w:val="ListeParagraf"/>
        <w:numPr>
          <w:ilvl w:val="2"/>
          <w:numId w:val="142"/>
        </w:numPr>
        <w:spacing w:after="120" w:line="276" w:lineRule="auto"/>
        <w:rPr>
          <w:rFonts w:cs="Times New Roman"/>
          <w:szCs w:val="24"/>
          <w:lang w:val="tr-TR"/>
        </w:rPr>
      </w:pPr>
      <w:r w:rsidRPr="00F50C10">
        <w:rPr>
          <w:rFonts w:cs="Times New Roman"/>
          <w:szCs w:val="24"/>
          <w:lang w:val="tr-TR"/>
        </w:rPr>
        <w:t xml:space="preserve">çalışan katılımı, </w:t>
      </w:r>
    </w:p>
    <w:p w14:paraId="7799C89A" w14:textId="7C23D4F6" w:rsidR="00C90A84" w:rsidRPr="00F50C10" w:rsidRDefault="00C90A84" w:rsidP="00A654AE">
      <w:pPr>
        <w:pStyle w:val="ListeParagraf"/>
        <w:numPr>
          <w:ilvl w:val="2"/>
          <w:numId w:val="142"/>
        </w:numPr>
        <w:spacing w:after="120" w:line="276" w:lineRule="auto"/>
        <w:rPr>
          <w:rFonts w:cs="Times New Roman"/>
          <w:szCs w:val="24"/>
          <w:lang w:val="tr-TR"/>
        </w:rPr>
      </w:pPr>
      <w:r w:rsidRPr="00F50C10">
        <w:rPr>
          <w:rFonts w:cs="Times New Roman"/>
          <w:szCs w:val="24"/>
          <w:lang w:val="tr-TR"/>
        </w:rPr>
        <w:t xml:space="preserve">dokümantasyon, </w:t>
      </w:r>
    </w:p>
    <w:p w14:paraId="7BD5C2A5" w14:textId="2DAC1980" w:rsidR="00C90A84" w:rsidRPr="00F50C10" w:rsidRDefault="00C90A84" w:rsidP="00A654AE">
      <w:pPr>
        <w:pStyle w:val="ListeParagraf"/>
        <w:numPr>
          <w:ilvl w:val="2"/>
          <w:numId w:val="142"/>
        </w:numPr>
        <w:spacing w:after="120" w:line="276" w:lineRule="auto"/>
        <w:rPr>
          <w:rFonts w:cs="Times New Roman"/>
          <w:szCs w:val="24"/>
          <w:lang w:val="tr-TR"/>
        </w:rPr>
      </w:pPr>
      <w:r w:rsidRPr="00F50C10">
        <w:rPr>
          <w:rFonts w:cs="Times New Roman"/>
          <w:szCs w:val="24"/>
          <w:lang w:val="tr-TR"/>
        </w:rPr>
        <w:t xml:space="preserve">etkin proses kontrolü, </w:t>
      </w:r>
    </w:p>
    <w:p w14:paraId="4656A8BD" w14:textId="0219992D" w:rsidR="00C90A84" w:rsidRPr="00F50C10" w:rsidRDefault="00C90A84" w:rsidP="00A654AE">
      <w:pPr>
        <w:pStyle w:val="ListeParagraf"/>
        <w:numPr>
          <w:ilvl w:val="2"/>
          <w:numId w:val="142"/>
        </w:numPr>
        <w:spacing w:after="120" w:line="276" w:lineRule="auto"/>
        <w:rPr>
          <w:rFonts w:cs="Times New Roman"/>
          <w:szCs w:val="24"/>
          <w:lang w:val="tr-TR"/>
        </w:rPr>
      </w:pPr>
      <w:r w:rsidRPr="00F50C10">
        <w:rPr>
          <w:rFonts w:cs="Times New Roman"/>
          <w:szCs w:val="24"/>
          <w:lang w:val="tr-TR"/>
        </w:rPr>
        <w:t xml:space="preserve">bakım programı, </w:t>
      </w:r>
    </w:p>
    <w:p w14:paraId="04983AC8" w14:textId="6EB5EAA3" w:rsidR="00C90A84" w:rsidRPr="00F50C10" w:rsidRDefault="00C90A84" w:rsidP="00A654AE">
      <w:pPr>
        <w:pStyle w:val="ListeParagraf"/>
        <w:numPr>
          <w:ilvl w:val="2"/>
          <w:numId w:val="142"/>
        </w:numPr>
        <w:spacing w:after="120" w:line="276" w:lineRule="auto"/>
        <w:rPr>
          <w:rFonts w:cs="Times New Roman"/>
          <w:szCs w:val="24"/>
          <w:lang w:val="tr-TR"/>
        </w:rPr>
      </w:pPr>
      <w:r w:rsidRPr="00F50C10">
        <w:rPr>
          <w:rFonts w:cs="Times New Roman"/>
          <w:szCs w:val="24"/>
          <w:lang w:val="tr-TR"/>
        </w:rPr>
        <w:t xml:space="preserve">acil durum hazırlığı ve müdahalesi, </w:t>
      </w:r>
    </w:p>
    <w:p w14:paraId="52F67605" w14:textId="5970F6F6" w:rsidR="00C90A84" w:rsidRPr="00F50C10" w:rsidRDefault="00C90A84" w:rsidP="00A654AE">
      <w:pPr>
        <w:pStyle w:val="ListeParagraf"/>
        <w:numPr>
          <w:ilvl w:val="2"/>
          <w:numId w:val="142"/>
        </w:numPr>
        <w:spacing w:after="120" w:line="276" w:lineRule="auto"/>
        <w:rPr>
          <w:rFonts w:cs="Times New Roman"/>
          <w:szCs w:val="24"/>
          <w:lang w:val="tr-TR"/>
        </w:rPr>
      </w:pPr>
      <w:r w:rsidRPr="00F50C10">
        <w:rPr>
          <w:rFonts w:cs="Times New Roman"/>
          <w:szCs w:val="24"/>
          <w:lang w:val="tr-TR"/>
        </w:rPr>
        <w:t>çevre mevzuatına uyumun güvence altına alınması</w:t>
      </w:r>
    </w:p>
    <w:p w14:paraId="347B3630" w14:textId="03EF9791" w:rsidR="00C90A84" w:rsidRPr="00F50C10" w:rsidRDefault="00E21173" w:rsidP="00A654AE">
      <w:pPr>
        <w:pStyle w:val="ListeParagraf"/>
        <w:numPr>
          <w:ilvl w:val="0"/>
          <w:numId w:val="159"/>
        </w:numPr>
        <w:spacing w:after="120" w:line="276" w:lineRule="auto"/>
        <w:rPr>
          <w:rFonts w:cs="Times New Roman"/>
          <w:szCs w:val="24"/>
          <w:lang w:val="tr-TR"/>
        </w:rPr>
      </w:pPr>
      <w:r w:rsidRPr="00F50C10">
        <w:rPr>
          <w:rFonts w:cs="Times New Roman"/>
          <w:szCs w:val="24"/>
          <w:lang w:val="tr-TR"/>
        </w:rPr>
        <w:t>ö</w:t>
      </w:r>
      <w:r w:rsidR="00C90A84" w:rsidRPr="00F50C10">
        <w:rPr>
          <w:rFonts w:cs="Times New Roman"/>
          <w:szCs w:val="24"/>
          <w:lang w:val="tr-TR"/>
        </w:rPr>
        <w:t>zellikle aşağıdakilere dikkat edilerek performans kontrolünün yapılması ve düzeltici önlemlerin alınması:</w:t>
      </w:r>
    </w:p>
    <w:p w14:paraId="6CEA47DE" w14:textId="15256063" w:rsidR="00C90A84" w:rsidRPr="00F50C10" w:rsidRDefault="00C90A84" w:rsidP="00A654AE">
      <w:pPr>
        <w:pStyle w:val="ListeParagraf"/>
        <w:numPr>
          <w:ilvl w:val="0"/>
          <w:numId w:val="144"/>
        </w:numPr>
        <w:spacing w:after="120" w:line="276" w:lineRule="auto"/>
        <w:rPr>
          <w:rFonts w:cs="Times New Roman"/>
          <w:szCs w:val="24"/>
          <w:lang w:val="tr-TR"/>
        </w:rPr>
      </w:pPr>
      <w:r w:rsidRPr="00F50C10">
        <w:rPr>
          <w:rFonts w:cs="Times New Roman"/>
          <w:szCs w:val="24"/>
          <w:lang w:val="tr-TR"/>
        </w:rPr>
        <w:t>izleme ve ölçüm</w:t>
      </w:r>
      <w:r w:rsidR="00E21173" w:rsidRPr="00F50C10">
        <w:rPr>
          <w:rFonts w:cs="Times New Roman"/>
          <w:szCs w:val="24"/>
          <w:lang w:val="tr-TR"/>
        </w:rPr>
        <w:t>,</w:t>
      </w:r>
    </w:p>
    <w:p w14:paraId="1C4F2CFB" w14:textId="38B47C37" w:rsidR="00C90A84" w:rsidRPr="00F50C10" w:rsidRDefault="00E21173" w:rsidP="00A654AE">
      <w:pPr>
        <w:pStyle w:val="ListeParagraf"/>
        <w:numPr>
          <w:ilvl w:val="0"/>
          <w:numId w:val="144"/>
        </w:numPr>
        <w:spacing w:after="120" w:line="276" w:lineRule="auto"/>
        <w:rPr>
          <w:rFonts w:cs="Times New Roman"/>
          <w:szCs w:val="24"/>
          <w:lang w:val="tr-TR"/>
        </w:rPr>
      </w:pPr>
      <w:r w:rsidRPr="00F50C10">
        <w:rPr>
          <w:rFonts w:cs="Times New Roman"/>
          <w:szCs w:val="24"/>
          <w:lang w:val="tr-TR"/>
        </w:rPr>
        <w:t xml:space="preserve">düzenleyici ve önleyici eylemler, </w:t>
      </w:r>
    </w:p>
    <w:p w14:paraId="59760402" w14:textId="5C920807" w:rsidR="00E21173" w:rsidRPr="00F50C10" w:rsidRDefault="00E21173" w:rsidP="00A654AE">
      <w:pPr>
        <w:pStyle w:val="ListeParagraf"/>
        <w:numPr>
          <w:ilvl w:val="0"/>
          <w:numId w:val="144"/>
        </w:numPr>
        <w:spacing w:after="120" w:line="276" w:lineRule="auto"/>
        <w:rPr>
          <w:rFonts w:cs="Times New Roman"/>
          <w:szCs w:val="24"/>
          <w:lang w:val="tr-TR"/>
        </w:rPr>
      </w:pPr>
      <w:r w:rsidRPr="00F50C10">
        <w:rPr>
          <w:rFonts w:cs="Times New Roman"/>
          <w:szCs w:val="24"/>
          <w:lang w:val="tr-TR"/>
        </w:rPr>
        <w:t xml:space="preserve">kayıtlatın tutulması, </w:t>
      </w:r>
    </w:p>
    <w:p w14:paraId="7A973603" w14:textId="5DBF332D" w:rsidR="00E21173" w:rsidRPr="00F50C10" w:rsidRDefault="00E21173" w:rsidP="00A654AE">
      <w:pPr>
        <w:pStyle w:val="ListeParagraf"/>
        <w:numPr>
          <w:ilvl w:val="0"/>
          <w:numId w:val="144"/>
        </w:numPr>
        <w:spacing w:after="120" w:line="276" w:lineRule="auto"/>
        <w:rPr>
          <w:rFonts w:cs="Times New Roman"/>
          <w:szCs w:val="24"/>
          <w:lang w:val="tr-TR"/>
        </w:rPr>
      </w:pPr>
      <w:r w:rsidRPr="00F50C10">
        <w:rPr>
          <w:rFonts w:cs="Times New Roman"/>
          <w:szCs w:val="24"/>
          <w:lang w:val="tr-TR"/>
        </w:rPr>
        <w:t>ÇYS’nin planlanan düzenlemelere uygun olup olmadığını ve doğru bir şekilde uygulanıp uygulanmadığını belirlemek için bağımsız (uygulanabilir olduğu durumlarda) bir iç denetim</w:t>
      </w:r>
    </w:p>
    <w:p w14:paraId="14EB2376" w14:textId="401917A1" w:rsidR="00B83A5B" w:rsidRPr="00F50C10" w:rsidRDefault="00E21173" w:rsidP="00A654AE">
      <w:pPr>
        <w:pStyle w:val="ListeParagraf"/>
        <w:numPr>
          <w:ilvl w:val="0"/>
          <w:numId w:val="159"/>
        </w:numPr>
        <w:spacing w:after="120" w:line="276" w:lineRule="auto"/>
        <w:rPr>
          <w:rFonts w:cs="Times New Roman"/>
          <w:szCs w:val="24"/>
          <w:lang w:val="tr-TR"/>
        </w:rPr>
      </w:pPr>
      <w:r w:rsidRPr="00F50C10">
        <w:rPr>
          <w:rFonts w:cs="Times New Roman"/>
          <w:szCs w:val="24"/>
          <w:lang w:val="tr-TR"/>
        </w:rPr>
        <w:t>üst yönetim tarafından inceleme.</w:t>
      </w:r>
    </w:p>
    <w:p w14:paraId="0AFFCC9D" w14:textId="6958BD14" w:rsidR="00E21173" w:rsidRPr="00F50C10" w:rsidRDefault="00E21173" w:rsidP="000B206D">
      <w:pPr>
        <w:spacing w:after="120" w:line="276" w:lineRule="auto"/>
        <w:ind w:left="360"/>
        <w:rPr>
          <w:rFonts w:cs="Times New Roman"/>
          <w:szCs w:val="24"/>
          <w:lang w:val="tr-TR"/>
        </w:rPr>
      </w:pPr>
      <w:r w:rsidRPr="00F50C10">
        <w:rPr>
          <w:rFonts w:cs="Times New Roman"/>
          <w:szCs w:val="24"/>
          <w:lang w:val="tr-TR"/>
        </w:rPr>
        <w:t>Yukarıdakileri tamamlayıcı üç özellik daha destekleyici olarak değerlendirilir. Bununla birlikte, aşağıda verilen bu üç özelliğin bulunmaması</w:t>
      </w:r>
      <w:r w:rsidR="00B83A5B" w:rsidRPr="00F50C10">
        <w:rPr>
          <w:rFonts w:cs="Times New Roman"/>
          <w:szCs w:val="24"/>
          <w:lang w:val="tr-TR"/>
        </w:rPr>
        <w:t>,</w:t>
      </w:r>
      <w:r w:rsidRPr="00F50C10">
        <w:rPr>
          <w:rFonts w:cs="Times New Roman"/>
          <w:szCs w:val="24"/>
          <w:lang w:val="tr-TR"/>
        </w:rPr>
        <w:t xml:space="preserve"> MET için tutarsızlık teşkil etmez:</w:t>
      </w:r>
    </w:p>
    <w:p w14:paraId="1A89B21E" w14:textId="7B431F93" w:rsidR="00B83A5B" w:rsidRPr="00F50C10" w:rsidRDefault="00E21173" w:rsidP="00A654AE">
      <w:pPr>
        <w:pStyle w:val="ListeParagraf"/>
        <w:numPr>
          <w:ilvl w:val="0"/>
          <w:numId w:val="159"/>
        </w:numPr>
        <w:spacing w:after="120" w:line="276" w:lineRule="auto"/>
        <w:rPr>
          <w:rFonts w:cs="Times New Roman"/>
          <w:szCs w:val="24"/>
        </w:rPr>
      </w:pPr>
      <w:r w:rsidRPr="00F50C10">
        <w:rPr>
          <w:rFonts w:cs="Times New Roman"/>
          <w:szCs w:val="24"/>
        </w:rPr>
        <w:t>yönetim sisteminin ve denetim prosedürünün akredite bir belgelendirme kuruluşu veya harici bir ÇYS doğrulayıcısı tarafından incelenmesi ve doğrulanması</w:t>
      </w:r>
    </w:p>
    <w:p w14:paraId="2F82E524" w14:textId="2F2A32FC" w:rsidR="00B83A5B" w:rsidRPr="00F50C10" w:rsidRDefault="006050A8" w:rsidP="00A654AE">
      <w:pPr>
        <w:pStyle w:val="ListeParagraf"/>
        <w:numPr>
          <w:ilvl w:val="0"/>
          <w:numId w:val="159"/>
        </w:numPr>
        <w:spacing w:after="120" w:line="276" w:lineRule="auto"/>
        <w:rPr>
          <w:rFonts w:cs="Times New Roman"/>
          <w:szCs w:val="24"/>
          <w:lang w:val="tr-TR"/>
        </w:rPr>
      </w:pPr>
      <w:r w:rsidRPr="00F50C10">
        <w:rPr>
          <w:rFonts w:cs="Times New Roman"/>
          <w:szCs w:val="24"/>
        </w:rPr>
        <w:t>tesisin tüm önemli çevresel yönlerini açıklayan, çevresel amaçlar ve hedeflerlin yanı sıra uygun bir şekilde sektörel kıyaslamalarla yıl bazında karşılaştırmaya olanak tanıyan bir çevre beyanının hazırlanması ve yayımlanması (ve muhtemel harici doğrulanması</w:t>
      </w:r>
      <w:r w:rsidR="00CA770E" w:rsidRPr="00F50C10">
        <w:rPr>
          <w:rFonts w:cs="Times New Roman"/>
          <w:szCs w:val="24"/>
        </w:rPr>
        <w:t>)</w:t>
      </w:r>
      <w:r w:rsidR="00B83A5B" w:rsidRPr="00F50C10">
        <w:rPr>
          <w:rFonts w:cs="Times New Roman"/>
          <w:szCs w:val="24"/>
          <w:lang w:val="tr-TR"/>
        </w:rPr>
        <w:t>,</w:t>
      </w:r>
    </w:p>
    <w:p w14:paraId="55532064" w14:textId="77777777" w:rsidR="006050A8" w:rsidRPr="00F50C10" w:rsidRDefault="006050A8" w:rsidP="000B206D">
      <w:pPr>
        <w:spacing w:after="120" w:line="276" w:lineRule="auto"/>
        <w:ind w:left="360"/>
        <w:rPr>
          <w:rFonts w:cs="Times New Roman"/>
          <w:szCs w:val="24"/>
          <w:lang w:val="tr-TR"/>
        </w:rPr>
      </w:pPr>
      <w:r w:rsidRPr="00F50C10">
        <w:rPr>
          <w:rFonts w:cs="Times New Roman"/>
          <w:szCs w:val="24"/>
          <w:lang w:val="tr-TR"/>
        </w:rPr>
        <w:t>Özellikle özel inorganik kimyasallar sektörü için, ÇYS’nin aşağıdaki muhtemel özelliklerinin de dikkate alınması önem teşkil eder:</w:t>
      </w:r>
    </w:p>
    <w:p w14:paraId="4F4AC995" w14:textId="564EC6CB" w:rsidR="00B83A5B" w:rsidRPr="00F50C10" w:rsidRDefault="00456358" w:rsidP="00A654AE">
      <w:pPr>
        <w:pStyle w:val="ListeParagraf"/>
        <w:numPr>
          <w:ilvl w:val="0"/>
          <w:numId w:val="159"/>
        </w:numPr>
        <w:spacing w:before="240" w:line="276" w:lineRule="auto"/>
        <w:rPr>
          <w:rFonts w:cs="Times New Roman"/>
          <w:szCs w:val="24"/>
        </w:rPr>
      </w:pPr>
      <w:r w:rsidRPr="00F50C10">
        <w:rPr>
          <w:rFonts w:cs="Times New Roman"/>
          <w:szCs w:val="24"/>
          <w:lang w:val="tr-TR"/>
        </w:rPr>
        <w:t>yeni bir tesisin tasarlanması aşamasında ünitenin nihai olarak hizmet dışı bırakılmasından kaynaklanabilecek çevresel etki</w:t>
      </w:r>
      <w:r w:rsidR="00B83A5B" w:rsidRPr="00F50C10">
        <w:rPr>
          <w:rFonts w:cs="Times New Roman"/>
          <w:szCs w:val="24"/>
          <w:lang w:val="tr-TR"/>
        </w:rPr>
        <w:t>,</w:t>
      </w:r>
    </w:p>
    <w:p w14:paraId="6F0B5316" w14:textId="6E49A82E" w:rsidR="00B83A5B" w:rsidRPr="00F50C10" w:rsidRDefault="00456358" w:rsidP="00A654AE">
      <w:pPr>
        <w:pStyle w:val="ListeParagraf"/>
        <w:numPr>
          <w:ilvl w:val="0"/>
          <w:numId w:val="159"/>
        </w:numPr>
        <w:spacing w:before="240" w:line="276" w:lineRule="auto"/>
        <w:rPr>
          <w:rFonts w:cs="Times New Roman"/>
          <w:szCs w:val="24"/>
          <w:lang w:val="tr-TR"/>
        </w:rPr>
      </w:pPr>
      <w:r w:rsidRPr="00F50C10">
        <w:rPr>
          <w:rFonts w:cs="Times New Roman"/>
          <w:szCs w:val="24"/>
          <w:lang w:val="tr-TR"/>
        </w:rPr>
        <w:t xml:space="preserve">daha </w:t>
      </w:r>
      <w:r w:rsidR="00CA770E" w:rsidRPr="00F50C10">
        <w:rPr>
          <w:rFonts w:cs="Times New Roman"/>
          <w:szCs w:val="24"/>
          <w:lang w:val="tr-TR"/>
        </w:rPr>
        <w:t>çevreci</w:t>
      </w:r>
      <w:r w:rsidRPr="00F50C10">
        <w:rPr>
          <w:rFonts w:cs="Times New Roman"/>
          <w:szCs w:val="24"/>
          <w:lang w:val="tr-TR"/>
        </w:rPr>
        <w:t xml:space="preserve"> teknolojilerin geliştirilmesi</w:t>
      </w:r>
      <w:r w:rsidR="00B83A5B" w:rsidRPr="00F50C10">
        <w:rPr>
          <w:rFonts w:cs="Times New Roman"/>
          <w:szCs w:val="24"/>
          <w:lang w:val="tr-TR"/>
        </w:rPr>
        <w:t>,</w:t>
      </w:r>
    </w:p>
    <w:p w14:paraId="207F5C92" w14:textId="2AB6DDB1" w:rsidR="00B83A5B" w:rsidRPr="00F50C10" w:rsidRDefault="00CA770E" w:rsidP="00A654AE">
      <w:pPr>
        <w:pStyle w:val="ListeParagraf"/>
        <w:numPr>
          <w:ilvl w:val="0"/>
          <w:numId w:val="159"/>
        </w:numPr>
        <w:spacing w:before="240" w:line="276" w:lineRule="auto"/>
        <w:rPr>
          <w:rFonts w:cs="Times New Roman"/>
          <w:szCs w:val="24"/>
          <w:lang w:val="tr-TR"/>
        </w:rPr>
      </w:pPr>
      <w:r w:rsidRPr="00F50C10">
        <w:rPr>
          <w:rFonts w:cs="Times New Roman"/>
          <w:szCs w:val="24"/>
          <w:lang w:val="tr-TR"/>
        </w:rPr>
        <w:t>uygulanabilir olduğu durumlarda, enerji verimliliği ve enerji tasarrufu faaliyetleri, girdi malzemelerinin seçimi, havaya emisyonlar, suya deşarjlar, su tüketimi ve atık üretimi dahil olmak üzere düzenli olarak sektörel kıyaslama uygulanması.</w:t>
      </w:r>
    </w:p>
    <w:p w14:paraId="2CC37C64" w14:textId="6A99FBC7" w:rsidR="00B83A5B" w:rsidRPr="00F50C10" w:rsidRDefault="00B83A5B" w:rsidP="00A654AE">
      <w:pPr>
        <w:pStyle w:val="Balk1"/>
        <w:numPr>
          <w:ilvl w:val="0"/>
          <w:numId w:val="137"/>
        </w:numPr>
        <w:spacing w:before="240" w:line="276" w:lineRule="auto"/>
        <w:rPr>
          <w:rFonts w:cs="Times New Roman"/>
          <w:szCs w:val="24"/>
        </w:rPr>
      </w:pPr>
      <w:bookmarkStart w:id="273" w:name="_Toc136866682"/>
      <w:r w:rsidRPr="00F50C10">
        <w:rPr>
          <w:rFonts w:cs="Times New Roman"/>
          <w:szCs w:val="24"/>
          <w:lang w:val="tr-TR"/>
        </w:rPr>
        <w:t>ÖZEL İNORGANİK KİMYASALLAR İÇİN MET</w:t>
      </w:r>
      <w:bookmarkEnd w:id="273"/>
    </w:p>
    <w:p w14:paraId="6287CFE2" w14:textId="33B65DE2" w:rsidR="00B83A5B" w:rsidRPr="00F50C10" w:rsidRDefault="00B83A5B" w:rsidP="000B206D">
      <w:pPr>
        <w:spacing w:line="276" w:lineRule="auto"/>
        <w:rPr>
          <w:rFonts w:cs="Times New Roman"/>
          <w:szCs w:val="24"/>
        </w:rPr>
      </w:pPr>
      <w:r w:rsidRPr="00F50C10">
        <w:rPr>
          <w:rFonts w:cs="Times New Roman"/>
          <w:szCs w:val="24"/>
        </w:rPr>
        <w:t>Aksi belirtilmedikçe, bu bölümde sunulan MET özel inorganik kimyasalların üretimi sektöründe aşağıda belirtilen ürün gruplarına uygulanabilir.</w:t>
      </w:r>
    </w:p>
    <w:p w14:paraId="0F3EFCDA" w14:textId="77777777" w:rsidR="00B83A5B" w:rsidRPr="00F50C10" w:rsidRDefault="00B83A5B" w:rsidP="00A654AE">
      <w:pPr>
        <w:pStyle w:val="Balk2"/>
        <w:numPr>
          <w:ilvl w:val="1"/>
          <w:numId w:val="137"/>
        </w:numPr>
        <w:spacing w:line="276" w:lineRule="auto"/>
        <w:rPr>
          <w:rFonts w:cs="Times New Roman"/>
          <w:szCs w:val="24"/>
        </w:rPr>
      </w:pPr>
      <w:bookmarkStart w:id="274" w:name="_Toc136866683"/>
      <w:r w:rsidRPr="00F50C10">
        <w:rPr>
          <w:rFonts w:cs="Times New Roman"/>
          <w:szCs w:val="24"/>
        </w:rPr>
        <w:t>Özel İnorganik Pigmentler</w:t>
      </w:r>
      <w:bookmarkEnd w:id="274"/>
    </w:p>
    <w:p w14:paraId="7E76F24F" w14:textId="55155B27" w:rsidR="00B83A5B" w:rsidRPr="00F50C10" w:rsidRDefault="00B83A5B" w:rsidP="00A654AE">
      <w:pPr>
        <w:pStyle w:val="Balk3"/>
        <w:numPr>
          <w:ilvl w:val="2"/>
          <w:numId w:val="137"/>
        </w:numPr>
        <w:spacing w:line="276" w:lineRule="auto"/>
        <w:rPr>
          <w:rFonts w:cs="Times New Roman"/>
        </w:rPr>
      </w:pPr>
      <w:bookmarkStart w:id="275" w:name="_Toc136866684"/>
      <w:r w:rsidRPr="00F50C10">
        <w:rPr>
          <w:rFonts w:cs="Times New Roman"/>
        </w:rPr>
        <w:t xml:space="preserve">Demir </w:t>
      </w:r>
      <w:r w:rsidR="00CA770E" w:rsidRPr="00F50C10">
        <w:rPr>
          <w:rFonts w:cs="Times New Roman"/>
        </w:rPr>
        <w:t>O</w:t>
      </w:r>
      <w:r w:rsidRPr="00F50C10">
        <w:rPr>
          <w:rFonts w:cs="Times New Roman"/>
        </w:rPr>
        <w:t xml:space="preserve">ksit </w:t>
      </w:r>
      <w:r w:rsidR="00CA770E" w:rsidRPr="00F50C10">
        <w:rPr>
          <w:rFonts w:cs="Times New Roman"/>
        </w:rPr>
        <w:t>P</w:t>
      </w:r>
      <w:r w:rsidRPr="00F50C10">
        <w:rPr>
          <w:rFonts w:cs="Times New Roman"/>
        </w:rPr>
        <w:t xml:space="preserve">igmentlerinin </w:t>
      </w:r>
      <w:r w:rsidR="00CA770E" w:rsidRPr="00F50C10">
        <w:rPr>
          <w:rFonts w:cs="Times New Roman"/>
        </w:rPr>
        <w:t>İ</w:t>
      </w:r>
      <w:r w:rsidRPr="00F50C10">
        <w:rPr>
          <w:rFonts w:cs="Times New Roman"/>
        </w:rPr>
        <w:t xml:space="preserve">maline </w:t>
      </w:r>
      <w:r w:rsidR="00CA770E" w:rsidRPr="00F50C10">
        <w:rPr>
          <w:rFonts w:cs="Times New Roman"/>
        </w:rPr>
        <w:t>İ</w:t>
      </w:r>
      <w:r w:rsidRPr="00F50C10">
        <w:rPr>
          <w:rFonts w:cs="Times New Roman"/>
        </w:rPr>
        <w:t xml:space="preserve">lişkin </w:t>
      </w:r>
      <w:r w:rsidR="00CA770E" w:rsidRPr="00F50C10">
        <w:rPr>
          <w:rFonts w:cs="Times New Roman"/>
        </w:rPr>
        <w:t>Ü</w:t>
      </w:r>
      <w:r w:rsidRPr="00F50C10">
        <w:rPr>
          <w:rFonts w:cs="Times New Roman"/>
        </w:rPr>
        <w:t xml:space="preserve">retim </w:t>
      </w:r>
      <w:r w:rsidR="00CA770E" w:rsidRPr="00F50C10">
        <w:rPr>
          <w:rFonts w:cs="Times New Roman"/>
        </w:rPr>
        <w:t>Y</w:t>
      </w:r>
      <w:r w:rsidRPr="00F50C10">
        <w:rPr>
          <w:rFonts w:cs="Times New Roman"/>
        </w:rPr>
        <w:t>olu</w:t>
      </w:r>
      <w:bookmarkEnd w:id="275"/>
    </w:p>
    <w:p w14:paraId="343ACCF7" w14:textId="16E02DC1"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w:t>
      </w:r>
      <w:r w:rsidR="005E5461">
        <w:rPr>
          <w:rFonts w:cs="Times New Roman"/>
          <w:b/>
          <w:bCs/>
          <w:szCs w:val="24"/>
        </w:rPr>
        <w:t>1</w:t>
      </w:r>
      <w:r w:rsidRPr="00F50C10">
        <w:rPr>
          <w:rFonts w:cs="Times New Roman"/>
          <w:b/>
          <w:bCs/>
          <w:szCs w:val="24"/>
        </w:rPr>
        <w:t xml:space="preserve">: </w:t>
      </w:r>
      <w:r w:rsidRPr="00F50C10">
        <w:rPr>
          <w:rFonts w:cs="Times New Roman"/>
          <w:szCs w:val="24"/>
        </w:rPr>
        <w:t>Yeni tesisler için, yan ürünler olarak açığa çıkan nötr tuzların miktarının azaltılması için demir oksit pigmentleri Penniman-Zoph prosesi ile üretilir.</w:t>
      </w:r>
      <w:r w:rsidR="00C822EA">
        <w:rPr>
          <w:rFonts w:cs="Times New Roman"/>
          <w:szCs w:val="24"/>
        </w:rPr>
        <w:t xml:space="preserve"> (</w:t>
      </w:r>
      <w:r w:rsidR="00C822EA" w:rsidRPr="00BC3A2D">
        <w:rPr>
          <w:rFonts w:cs="Times New Roman"/>
          <w:szCs w:val="24"/>
        </w:rPr>
        <w:t xml:space="preserve">Detaylı bilgi için Özel İnorganik Kimyasalların Üretimi İçin MET Referans Belgesinin </w:t>
      </w:r>
      <w:r w:rsidR="00C822EA">
        <w:rPr>
          <w:rFonts w:cs="Times New Roman"/>
          <w:szCs w:val="24"/>
        </w:rPr>
        <w:t xml:space="preserve">6.1.4.2 </w:t>
      </w:r>
      <w:r w:rsidR="00C822EA" w:rsidRPr="00BC3A2D">
        <w:rPr>
          <w:rFonts w:cs="Times New Roman"/>
          <w:szCs w:val="24"/>
        </w:rPr>
        <w:t>kıs</w:t>
      </w:r>
      <w:r w:rsidR="00C822EA">
        <w:rPr>
          <w:rFonts w:cs="Times New Roman"/>
          <w:szCs w:val="24"/>
        </w:rPr>
        <w:t>mını</w:t>
      </w:r>
      <w:r w:rsidR="00C822EA" w:rsidRPr="00BC3A2D">
        <w:rPr>
          <w:rFonts w:cs="Times New Roman"/>
          <w:szCs w:val="24"/>
        </w:rPr>
        <w:t xml:space="preserve"> inceleyiniz.)</w:t>
      </w:r>
    </w:p>
    <w:p w14:paraId="4ED5FAC5" w14:textId="3208AA6C" w:rsidR="00B83A5B" w:rsidRPr="00F50C10" w:rsidRDefault="00B83A5B" w:rsidP="000B206D">
      <w:pPr>
        <w:spacing w:after="120" w:line="276" w:lineRule="auto"/>
        <w:rPr>
          <w:rFonts w:cs="Times New Roman"/>
          <w:b/>
          <w:bCs/>
          <w:szCs w:val="24"/>
        </w:rPr>
      </w:pPr>
      <w:r w:rsidRPr="00F50C10">
        <w:rPr>
          <w:rFonts w:cs="Times New Roman"/>
          <w:b/>
          <w:bCs/>
          <w:szCs w:val="24"/>
        </w:rPr>
        <w:t xml:space="preserve">MET 2: </w:t>
      </w:r>
      <w:r w:rsidRPr="00F50C10">
        <w:rPr>
          <w:rFonts w:cs="Times New Roman"/>
          <w:szCs w:val="24"/>
        </w:rPr>
        <w:t>Penniman-Zoph prosesinin kullanıldığı durumda, patlama riskini, ısı emisyonunu ve üretilen çıkış gazlarının miktarını en aza düşürmek amacıyla reaktördeki hava miktarı kontrol edi</w:t>
      </w:r>
      <w:r w:rsidR="00D16CA9" w:rsidRPr="00F50C10">
        <w:rPr>
          <w:rFonts w:cs="Times New Roman"/>
          <w:szCs w:val="24"/>
        </w:rPr>
        <w:t>l</w:t>
      </w:r>
      <w:r w:rsidRPr="00F50C10">
        <w:rPr>
          <w:rFonts w:cs="Times New Roman"/>
          <w:szCs w:val="24"/>
        </w:rPr>
        <w:t>ir.</w:t>
      </w:r>
      <w:r w:rsidR="00C822EA" w:rsidRPr="00C822EA">
        <w:rPr>
          <w:rFonts w:cs="Times New Roman"/>
          <w:szCs w:val="24"/>
        </w:rPr>
        <w:t xml:space="preserve"> </w:t>
      </w:r>
      <w:r w:rsidR="00C822EA">
        <w:rPr>
          <w:rFonts w:cs="Times New Roman"/>
          <w:szCs w:val="24"/>
        </w:rPr>
        <w:t>(</w:t>
      </w:r>
      <w:r w:rsidR="00C822EA" w:rsidRPr="00BC3A2D">
        <w:rPr>
          <w:rFonts w:cs="Times New Roman"/>
          <w:szCs w:val="24"/>
        </w:rPr>
        <w:t xml:space="preserve">Detaylı bilgi için Özel İnorganik Kimyasalların Üretimi İçin MET Referans Belgesinin </w:t>
      </w:r>
      <w:r w:rsidR="00C822EA">
        <w:rPr>
          <w:rFonts w:cs="Times New Roman"/>
          <w:szCs w:val="24"/>
        </w:rPr>
        <w:t xml:space="preserve">6.1.4.2 ve 6.1.2.4.1 </w:t>
      </w:r>
      <w:r w:rsidR="00C822EA" w:rsidRPr="00BC3A2D">
        <w:rPr>
          <w:rFonts w:cs="Times New Roman"/>
          <w:szCs w:val="24"/>
        </w:rPr>
        <w:t>kıs</w:t>
      </w:r>
      <w:r w:rsidR="00C822EA">
        <w:rPr>
          <w:rFonts w:cs="Times New Roman"/>
          <w:szCs w:val="24"/>
        </w:rPr>
        <w:t>ımlarını</w:t>
      </w:r>
      <w:r w:rsidR="00C822EA" w:rsidRPr="00BC3A2D">
        <w:rPr>
          <w:rFonts w:cs="Times New Roman"/>
          <w:szCs w:val="24"/>
        </w:rPr>
        <w:t xml:space="preserve"> inceleyiniz.)</w:t>
      </w:r>
    </w:p>
    <w:p w14:paraId="020225A5" w14:textId="77777777" w:rsidR="00B83A5B" w:rsidRPr="00F50C10" w:rsidRDefault="00B83A5B" w:rsidP="00A654AE">
      <w:pPr>
        <w:pStyle w:val="Balk3"/>
        <w:numPr>
          <w:ilvl w:val="2"/>
          <w:numId w:val="137"/>
        </w:numPr>
        <w:spacing w:before="0" w:line="276" w:lineRule="auto"/>
        <w:rPr>
          <w:rFonts w:cs="Times New Roman"/>
        </w:rPr>
      </w:pPr>
      <w:bookmarkStart w:id="276" w:name="_Toc136866685"/>
      <w:r w:rsidRPr="00F50C10">
        <w:rPr>
          <w:rFonts w:cs="Times New Roman"/>
        </w:rPr>
        <w:t>Kullanılan Yardımcı Malzemelerin En Aza Düşürülmesi</w:t>
      </w:r>
      <w:bookmarkEnd w:id="276"/>
    </w:p>
    <w:p w14:paraId="276AE8C2" w14:textId="3B5C4C9F" w:rsidR="00B83A5B" w:rsidRPr="00F50C10" w:rsidRDefault="00B83A5B" w:rsidP="000B206D">
      <w:pPr>
        <w:spacing w:after="120" w:line="276" w:lineRule="auto"/>
        <w:rPr>
          <w:rFonts w:cs="Times New Roman"/>
          <w:b/>
          <w:bCs/>
          <w:szCs w:val="24"/>
        </w:rPr>
      </w:pPr>
      <w:r w:rsidRPr="00F50C10">
        <w:rPr>
          <w:rFonts w:cs="Times New Roman"/>
          <w:b/>
          <w:bCs/>
          <w:szCs w:val="24"/>
        </w:rPr>
        <w:t xml:space="preserve">MET </w:t>
      </w:r>
      <w:r w:rsidR="005E5461">
        <w:rPr>
          <w:rFonts w:cs="Times New Roman"/>
          <w:b/>
          <w:bCs/>
          <w:szCs w:val="24"/>
        </w:rPr>
        <w:t>3</w:t>
      </w:r>
      <w:r w:rsidRPr="00F50C10">
        <w:rPr>
          <w:rFonts w:cs="Times New Roman"/>
          <w:b/>
          <w:bCs/>
          <w:szCs w:val="24"/>
        </w:rPr>
        <w:t xml:space="preserve">: </w:t>
      </w:r>
      <w:r w:rsidRPr="00F50C10">
        <w:rPr>
          <w:rFonts w:cs="Times New Roman"/>
          <w:szCs w:val="24"/>
        </w:rPr>
        <w:t>Krom oksit pigmentlerinin, sodyum dikromatın kükürtle indirgenmesi yoluyla üretilmesi durumunda, kromatın indirgenmesinden önce atık suyun asitleştirilmesi için fırından çıkan gazlardaki SO</w:t>
      </w:r>
      <w:r w:rsidRPr="00F50C10">
        <w:rPr>
          <w:rFonts w:cs="Times New Roman"/>
          <w:szCs w:val="24"/>
          <w:vertAlign w:val="subscript"/>
        </w:rPr>
        <w:t>2</w:t>
      </w:r>
      <w:r w:rsidRPr="00F50C10">
        <w:rPr>
          <w:rFonts w:cs="Times New Roman"/>
          <w:szCs w:val="24"/>
        </w:rPr>
        <w:t>’nin azaltılması yoluyla üretilen sülfürik asi</w:t>
      </w:r>
      <w:r w:rsidR="009110DF" w:rsidRPr="00F50C10">
        <w:rPr>
          <w:rFonts w:cs="Times New Roman"/>
          <w:szCs w:val="24"/>
        </w:rPr>
        <w:t>t</w:t>
      </w:r>
      <w:r w:rsidRPr="00F50C10">
        <w:rPr>
          <w:rFonts w:cs="Times New Roman"/>
          <w:szCs w:val="24"/>
        </w:rPr>
        <w:t xml:space="preserve"> kullanıl</w:t>
      </w:r>
      <w:r w:rsidR="009110DF" w:rsidRPr="00F50C10">
        <w:rPr>
          <w:rFonts w:cs="Times New Roman"/>
          <w:szCs w:val="24"/>
        </w:rPr>
        <w:t>ır</w:t>
      </w:r>
      <w:r w:rsidRPr="00F50C10">
        <w:rPr>
          <w:rFonts w:cs="Times New Roman"/>
          <w:szCs w:val="24"/>
        </w:rPr>
        <w:t>.</w:t>
      </w:r>
      <w:r w:rsidR="00976413" w:rsidRPr="00976413">
        <w:rPr>
          <w:rFonts w:cs="Times New Roman"/>
          <w:szCs w:val="24"/>
        </w:rPr>
        <w:t xml:space="preserve"> </w:t>
      </w:r>
      <w:r w:rsidR="00976413">
        <w:rPr>
          <w:rFonts w:cs="Times New Roman"/>
          <w:szCs w:val="24"/>
        </w:rPr>
        <w:t>(</w:t>
      </w:r>
      <w:r w:rsidR="00976413" w:rsidRPr="00BC3A2D">
        <w:rPr>
          <w:rFonts w:cs="Times New Roman"/>
          <w:szCs w:val="24"/>
        </w:rPr>
        <w:t xml:space="preserve">Detaylı bilgi için Özel İnorganik Kimyasalların Üretimi İçin MET Referans Belgesinin </w:t>
      </w:r>
      <w:r w:rsidR="00976413">
        <w:rPr>
          <w:rFonts w:cs="Times New Roman"/>
          <w:szCs w:val="24"/>
        </w:rPr>
        <w:t xml:space="preserve">6.1.2.5.1 </w:t>
      </w:r>
      <w:r w:rsidR="00976413" w:rsidRPr="00BC3A2D">
        <w:rPr>
          <w:rFonts w:cs="Times New Roman"/>
          <w:szCs w:val="24"/>
        </w:rPr>
        <w:t>kıs</w:t>
      </w:r>
      <w:r w:rsidR="00976413">
        <w:rPr>
          <w:rFonts w:cs="Times New Roman"/>
          <w:szCs w:val="24"/>
        </w:rPr>
        <w:t>mını</w:t>
      </w:r>
      <w:r w:rsidR="00976413" w:rsidRPr="00BC3A2D">
        <w:rPr>
          <w:rFonts w:cs="Times New Roman"/>
          <w:szCs w:val="24"/>
        </w:rPr>
        <w:t xml:space="preserve"> inceleyiniz.)</w:t>
      </w:r>
    </w:p>
    <w:p w14:paraId="4B702EB3" w14:textId="77777777" w:rsidR="00B83A5B" w:rsidRPr="00F50C10" w:rsidRDefault="00B83A5B" w:rsidP="00A654AE">
      <w:pPr>
        <w:pStyle w:val="Balk3"/>
        <w:numPr>
          <w:ilvl w:val="2"/>
          <w:numId w:val="137"/>
        </w:numPr>
        <w:spacing w:before="0" w:line="276" w:lineRule="auto"/>
        <w:rPr>
          <w:rFonts w:cs="Times New Roman"/>
        </w:rPr>
      </w:pPr>
      <w:bookmarkStart w:id="277" w:name="_Toc136866686"/>
      <w:r w:rsidRPr="00F50C10">
        <w:rPr>
          <w:rFonts w:cs="Times New Roman"/>
        </w:rPr>
        <w:t>Yayılı Toz Emisyonlarının İndirgenmesi</w:t>
      </w:r>
      <w:bookmarkEnd w:id="277"/>
    </w:p>
    <w:p w14:paraId="29BC59CD" w14:textId="63B9418D" w:rsidR="00B83A5B" w:rsidRPr="00F50C10" w:rsidRDefault="00B83A5B" w:rsidP="000B206D">
      <w:pPr>
        <w:spacing w:after="120" w:line="276" w:lineRule="auto"/>
        <w:rPr>
          <w:rFonts w:cs="Times New Roman"/>
          <w:b/>
          <w:bCs/>
          <w:szCs w:val="24"/>
        </w:rPr>
      </w:pPr>
      <w:r w:rsidRPr="00F50C10">
        <w:rPr>
          <w:rFonts w:cs="Times New Roman"/>
          <w:b/>
          <w:bCs/>
          <w:szCs w:val="24"/>
        </w:rPr>
        <w:t xml:space="preserve">MET </w:t>
      </w:r>
      <w:r w:rsidR="005E5461">
        <w:rPr>
          <w:rFonts w:cs="Times New Roman"/>
          <w:b/>
          <w:bCs/>
          <w:szCs w:val="24"/>
        </w:rPr>
        <w:t>4</w:t>
      </w:r>
      <w:r w:rsidRPr="00F50C10">
        <w:rPr>
          <w:rFonts w:cs="Times New Roman"/>
          <w:b/>
          <w:bCs/>
          <w:szCs w:val="24"/>
        </w:rPr>
        <w:t xml:space="preserve">: </w:t>
      </w:r>
      <w:r w:rsidRPr="00F50C10">
        <w:rPr>
          <w:rFonts w:cs="Times New Roman"/>
          <w:szCs w:val="24"/>
        </w:rPr>
        <w:t>Çalışma ortamındaki (örneğin tartma, refrakter kutuların doldurulması, ambalajlama adımları) toz yakalan</w:t>
      </w:r>
      <w:r w:rsidR="009110DF" w:rsidRPr="00F50C10">
        <w:rPr>
          <w:rFonts w:cs="Times New Roman"/>
          <w:szCs w:val="24"/>
        </w:rPr>
        <w:t>ır</w:t>
      </w:r>
      <w:r w:rsidRPr="00F50C10">
        <w:rPr>
          <w:rFonts w:cs="Times New Roman"/>
          <w:szCs w:val="24"/>
        </w:rPr>
        <w:t xml:space="preserve"> ve azaltılma</w:t>
      </w:r>
      <w:r w:rsidR="009110DF" w:rsidRPr="00F50C10">
        <w:rPr>
          <w:rFonts w:cs="Times New Roman"/>
          <w:szCs w:val="24"/>
        </w:rPr>
        <w:t>k</w:t>
      </w:r>
      <w:r w:rsidRPr="00F50C10">
        <w:rPr>
          <w:rFonts w:cs="Times New Roman"/>
          <w:szCs w:val="24"/>
        </w:rPr>
        <w:t xml:space="preserve"> için yönlendirilir.</w:t>
      </w:r>
      <w:r w:rsidR="00976413" w:rsidRPr="00976413">
        <w:rPr>
          <w:rFonts w:cs="Times New Roman"/>
          <w:szCs w:val="24"/>
        </w:rPr>
        <w:t xml:space="preserve"> </w:t>
      </w:r>
      <w:r w:rsidR="00976413">
        <w:rPr>
          <w:rFonts w:cs="Times New Roman"/>
          <w:szCs w:val="24"/>
        </w:rPr>
        <w:t>(</w:t>
      </w:r>
      <w:r w:rsidR="00976413" w:rsidRPr="00BC3A2D">
        <w:rPr>
          <w:rFonts w:cs="Times New Roman"/>
          <w:szCs w:val="24"/>
        </w:rPr>
        <w:t xml:space="preserve">Detaylı bilgi için Özel İnorganik Kimyasalların Üretimi İçin MET Referans Belgesinin </w:t>
      </w:r>
      <w:r w:rsidR="00976413">
        <w:rPr>
          <w:rFonts w:cs="Times New Roman"/>
          <w:szCs w:val="24"/>
        </w:rPr>
        <w:t xml:space="preserve">4.7.6 </w:t>
      </w:r>
      <w:r w:rsidR="00976413" w:rsidRPr="00BC3A2D">
        <w:rPr>
          <w:rFonts w:cs="Times New Roman"/>
          <w:szCs w:val="24"/>
        </w:rPr>
        <w:t>kıs</w:t>
      </w:r>
      <w:r w:rsidR="00976413">
        <w:rPr>
          <w:rFonts w:cs="Times New Roman"/>
          <w:szCs w:val="24"/>
        </w:rPr>
        <w:t>mını</w:t>
      </w:r>
      <w:r w:rsidR="00976413" w:rsidRPr="00BC3A2D">
        <w:rPr>
          <w:rFonts w:cs="Times New Roman"/>
          <w:szCs w:val="24"/>
        </w:rPr>
        <w:t xml:space="preserve"> inceleyiniz.)</w:t>
      </w:r>
      <w:r w:rsidRPr="00F50C10">
        <w:rPr>
          <w:rFonts w:cs="Times New Roman"/>
          <w:szCs w:val="24"/>
        </w:rPr>
        <w:t xml:space="preserve"> Yakalanan toz, pigment kalitesi üzerinde istenmeyen </w:t>
      </w:r>
      <w:r w:rsidR="009110DF" w:rsidRPr="00F50C10">
        <w:rPr>
          <w:rFonts w:cs="Times New Roman"/>
          <w:szCs w:val="24"/>
        </w:rPr>
        <w:t>bir etkisinin</w:t>
      </w:r>
      <w:r w:rsidRPr="00F50C10">
        <w:rPr>
          <w:rFonts w:cs="Times New Roman"/>
          <w:szCs w:val="24"/>
        </w:rPr>
        <w:t xml:space="preserve"> olmadığı durumda üretime geri dönüştürül</w:t>
      </w:r>
      <w:r w:rsidR="009110DF" w:rsidRPr="00F50C10">
        <w:rPr>
          <w:rFonts w:cs="Times New Roman"/>
          <w:szCs w:val="24"/>
        </w:rPr>
        <w:t>ür</w:t>
      </w:r>
      <w:r w:rsidRPr="00F50C10">
        <w:rPr>
          <w:rFonts w:cs="Times New Roman"/>
          <w:szCs w:val="24"/>
        </w:rPr>
        <w:t>.</w:t>
      </w:r>
    </w:p>
    <w:p w14:paraId="39CDDFF8" w14:textId="1BFB5E3C" w:rsidR="00B83A5B" w:rsidRPr="00F50C10" w:rsidRDefault="00B83A5B" w:rsidP="000B206D">
      <w:pPr>
        <w:spacing w:after="120" w:line="276" w:lineRule="auto"/>
        <w:rPr>
          <w:rFonts w:cs="Times New Roman"/>
          <w:szCs w:val="24"/>
        </w:rPr>
      </w:pPr>
      <w:r w:rsidRPr="00F50C10">
        <w:rPr>
          <w:rFonts w:cs="Times New Roman"/>
          <w:b/>
          <w:bCs/>
          <w:szCs w:val="24"/>
        </w:rPr>
        <w:t xml:space="preserve">MET </w:t>
      </w:r>
      <w:r w:rsidR="005E5461">
        <w:rPr>
          <w:rFonts w:cs="Times New Roman"/>
          <w:b/>
          <w:bCs/>
          <w:szCs w:val="24"/>
        </w:rPr>
        <w:t>5</w:t>
      </w:r>
      <w:r w:rsidRPr="00F50C10">
        <w:rPr>
          <w:rFonts w:cs="Times New Roman"/>
          <w:b/>
          <w:bCs/>
          <w:szCs w:val="24"/>
        </w:rPr>
        <w:t xml:space="preserve">: </w:t>
      </w:r>
      <w:r w:rsidRPr="00F50C10">
        <w:rPr>
          <w:rFonts w:cs="Times New Roman"/>
          <w:szCs w:val="24"/>
        </w:rPr>
        <w:t xml:space="preserve">Çalışma alanları düzenli olarak </w:t>
      </w:r>
      <w:r w:rsidR="009110DF" w:rsidRPr="00F50C10">
        <w:rPr>
          <w:rFonts w:cs="Times New Roman"/>
          <w:szCs w:val="24"/>
        </w:rPr>
        <w:t>süpürülür</w:t>
      </w:r>
      <w:r w:rsidRPr="00F50C10">
        <w:rPr>
          <w:rFonts w:cs="Times New Roman"/>
          <w:szCs w:val="24"/>
        </w:rPr>
        <w:t>.</w:t>
      </w:r>
      <w:r w:rsidR="00FD7712" w:rsidRPr="00FD7712">
        <w:rPr>
          <w:rFonts w:cs="Times New Roman"/>
          <w:szCs w:val="24"/>
        </w:rPr>
        <w:t xml:space="preserve"> </w:t>
      </w:r>
      <w:r w:rsidR="00FD7712">
        <w:rPr>
          <w:rFonts w:cs="Times New Roman"/>
          <w:szCs w:val="24"/>
        </w:rPr>
        <w:t>(</w:t>
      </w:r>
      <w:r w:rsidR="00FD7712" w:rsidRPr="00BC3A2D">
        <w:rPr>
          <w:rFonts w:cs="Times New Roman"/>
          <w:szCs w:val="24"/>
        </w:rPr>
        <w:t xml:space="preserve">Detaylı bilgi için Özel İnorganik Kimyasalların Üretimi İçin MET Referans Belgesinin </w:t>
      </w:r>
      <w:r w:rsidR="00FD7712">
        <w:rPr>
          <w:rFonts w:cs="Times New Roman"/>
          <w:szCs w:val="24"/>
        </w:rPr>
        <w:t xml:space="preserve">4.7.6 </w:t>
      </w:r>
      <w:r w:rsidR="00FD7712" w:rsidRPr="00BC3A2D">
        <w:rPr>
          <w:rFonts w:cs="Times New Roman"/>
          <w:szCs w:val="24"/>
        </w:rPr>
        <w:t>kıs</w:t>
      </w:r>
      <w:r w:rsidR="00FD7712">
        <w:rPr>
          <w:rFonts w:cs="Times New Roman"/>
          <w:szCs w:val="24"/>
        </w:rPr>
        <w:t>mını</w:t>
      </w:r>
      <w:r w:rsidR="00FD7712" w:rsidRPr="00BC3A2D">
        <w:rPr>
          <w:rFonts w:cs="Times New Roman"/>
          <w:szCs w:val="24"/>
        </w:rPr>
        <w:t xml:space="preserve"> inceleyiniz.)</w:t>
      </w:r>
    </w:p>
    <w:p w14:paraId="2A160669" w14:textId="0F639985" w:rsidR="00B83A5B" w:rsidRPr="00F50C10" w:rsidRDefault="00B83A5B" w:rsidP="000B206D">
      <w:pPr>
        <w:spacing w:after="120" w:line="276" w:lineRule="auto"/>
        <w:rPr>
          <w:rFonts w:cs="Times New Roman"/>
          <w:szCs w:val="24"/>
        </w:rPr>
      </w:pPr>
      <w:r w:rsidRPr="00F50C10">
        <w:rPr>
          <w:rFonts w:cs="Times New Roman"/>
          <w:b/>
          <w:bCs/>
          <w:szCs w:val="24"/>
        </w:rPr>
        <w:t xml:space="preserve">MET </w:t>
      </w:r>
      <w:r w:rsidR="005E5461">
        <w:rPr>
          <w:rFonts w:cs="Times New Roman"/>
          <w:b/>
          <w:bCs/>
          <w:szCs w:val="24"/>
        </w:rPr>
        <w:t>6</w:t>
      </w:r>
      <w:r w:rsidRPr="00F50C10">
        <w:rPr>
          <w:rFonts w:cs="Times New Roman"/>
          <w:b/>
          <w:bCs/>
          <w:szCs w:val="24"/>
        </w:rPr>
        <w:t xml:space="preserve">: </w:t>
      </w:r>
      <w:r w:rsidRPr="00F50C10">
        <w:rPr>
          <w:rFonts w:cs="Times New Roman"/>
          <w:szCs w:val="24"/>
        </w:rPr>
        <w:t>Düzenli temizlik ve bakım yapılır.</w:t>
      </w:r>
      <w:r w:rsidR="00FD7712" w:rsidRPr="00FD7712">
        <w:rPr>
          <w:rFonts w:cs="Times New Roman"/>
          <w:szCs w:val="24"/>
        </w:rPr>
        <w:t xml:space="preserve"> </w:t>
      </w:r>
      <w:r w:rsidR="00FD7712">
        <w:rPr>
          <w:rFonts w:cs="Times New Roman"/>
          <w:szCs w:val="24"/>
        </w:rPr>
        <w:t>(</w:t>
      </w:r>
      <w:r w:rsidR="00FD7712" w:rsidRPr="00BC3A2D">
        <w:rPr>
          <w:rFonts w:cs="Times New Roman"/>
          <w:szCs w:val="24"/>
        </w:rPr>
        <w:t xml:space="preserve">Detaylı bilgi için Özel İnorganik Kimyasalların Üretimi İçin MET Referans Belgesinin </w:t>
      </w:r>
      <w:r w:rsidR="00FD7712">
        <w:rPr>
          <w:rFonts w:cs="Times New Roman"/>
          <w:szCs w:val="24"/>
        </w:rPr>
        <w:t xml:space="preserve">4.7.6 </w:t>
      </w:r>
      <w:r w:rsidR="00FD7712" w:rsidRPr="00BC3A2D">
        <w:rPr>
          <w:rFonts w:cs="Times New Roman"/>
          <w:szCs w:val="24"/>
        </w:rPr>
        <w:t>kıs</w:t>
      </w:r>
      <w:r w:rsidR="00FD7712">
        <w:rPr>
          <w:rFonts w:cs="Times New Roman"/>
          <w:szCs w:val="24"/>
        </w:rPr>
        <w:t>mını</w:t>
      </w:r>
      <w:r w:rsidR="00FD7712" w:rsidRPr="00BC3A2D">
        <w:rPr>
          <w:rFonts w:cs="Times New Roman"/>
          <w:szCs w:val="24"/>
        </w:rPr>
        <w:t xml:space="preserve"> inceleyiniz.)</w:t>
      </w:r>
    </w:p>
    <w:p w14:paraId="2A00B167" w14:textId="77777777" w:rsidR="00B83A5B" w:rsidRPr="00F50C10" w:rsidRDefault="00B83A5B" w:rsidP="00A654AE">
      <w:pPr>
        <w:pStyle w:val="Balk3"/>
        <w:numPr>
          <w:ilvl w:val="2"/>
          <w:numId w:val="137"/>
        </w:numPr>
        <w:spacing w:before="0" w:line="276" w:lineRule="auto"/>
        <w:rPr>
          <w:rFonts w:cs="Times New Roman"/>
        </w:rPr>
      </w:pPr>
      <w:bookmarkStart w:id="278" w:name="_Toc136866687"/>
      <w:r w:rsidRPr="00F50C10">
        <w:rPr>
          <w:rFonts w:cs="Times New Roman"/>
        </w:rPr>
        <w:t>Havaya Yayılan Asit Gazı ve Florür Emisyonlarının En Aza Düşürülmesi</w:t>
      </w:r>
      <w:bookmarkEnd w:id="278"/>
    </w:p>
    <w:p w14:paraId="77A28C4A" w14:textId="5ABAC708" w:rsidR="00B83A5B" w:rsidRPr="00F50C10" w:rsidRDefault="00B83A5B" w:rsidP="000B206D">
      <w:pPr>
        <w:spacing w:after="120" w:line="276" w:lineRule="auto"/>
        <w:rPr>
          <w:rFonts w:cs="Times New Roman"/>
          <w:szCs w:val="24"/>
        </w:rPr>
      </w:pPr>
      <w:r w:rsidRPr="00F50C10">
        <w:rPr>
          <w:rFonts w:cs="Times New Roman"/>
          <w:b/>
          <w:bCs/>
          <w:szCs w:val="24"/>
        </w:rPr>
        <w:t xml:space="preserve">MET </w:t>
      </w:r>
      <w:r w:rsidR="005E5461">
        <w:rPr>
          <w:rFonts w:cs="Times New Roman"/>
          <w:b/>
          <w:bCs/>
          <w:szCs w:val="24"/>
        </w:rPr>
        <w:t>7</w:t>
      </w:r>
      <w:r w:rsidRPr="00F50C10">
        <w:rPr>
          <w:rFonts w:cs="Times New Roman"/>
          <w:b/>
          <w:bCs/>
          <w:szCs w:val="24"/>
        </w:rPr>
        <w:t xml:space="preserve">: </w:t>
      </w:r>
      <w:r w:rsidRPr="00F50C10">
        <w:rPr>
          <w:rFonts w:cs="Times New Roman"/>
          <w:szCs w:val="24"/>
        </w:rPr>
        <w:t>Asit gazları (örneğin SO</w:t>
      </w:r>
      <w:r w:rsidRPr="00F50C10">
        <w:rPr>
          <w:rFonts w:cs="Times New Roman"/>
          <w:szCs w:val="24"/>
          <w:vertAlign w:val="subscript"/>
        </w:rPr>
        <w:t>2</w:t>
      </w:r>
      <w:r w:rsidRPr="00F50C10">
        <w:rPr>
          <w:rFonts w:cs="Times New Roman"/>
          <w:szCs w:val="24"/>
        </w:rPr>
        <w:t>, SO</w:t>
      </w:r>
      <w:r w:rsidRPr="00F50C10">
        <w:rPr>
          <w:rFonts w:cs="Times New Roman"/>
          <w:szCs w:val="24"/>
          <w:vertAlign w:val="subscript"/>
        </w:rPr>
        <w:t>3</w:t>
      </w:r>
      <w:r w:rsidRPr="00F50C10">
        <w:rPr>
          <w:rFonts w:cs="Times New Roman"/>
          <w:szCs w:val="24"/>
        </w:rPr>
        <w:t>, HCl, HF) ve florürler</w:t>
      </w:r>
      <w:r w:rsidR="009110DF" w:rsidRPr="00F50C10">
        <w:rPr>
          <w:rFonts w:cs="Times New Roman"/>
          <w:szCs w:val="24"/>
        </w:rPr>
        <w:t>,</w:t>
      </w:r>
      <w:r w:rsidRPr="00F50C10">
        <w:rPr>
          <w:rFonts w:cs="Times New Roman"/>
          <w:szCs w:val="24"/>
        </w:rPr>
        <w:t xml:space="preserve"> örneğin sorbent enjeksiyonu tekniklerinden yararlanarak</w:t>
      </w:r>
      <w:r w:rsidR="009110DF" w:rsidRPr="00F50C10">
        <w:rPr>
          <w:rFonts w:cs="Times New Roman"/>
          <w:szCs w:val="24"/>
        </w:rPr>
        <w:t>,</w:t>
      </w:r>
      <w:r w:rsidRPr="00F50C10">
        <w:rPr>
          <w:rFonts w:cs="Times New Roman"/>
          <w:szCs w:val="24"/>
        </w:rPr>
        <w:t xml:space="preserve"> en aza düşürül</w:t>
      </w:r>
      <w:r w:rsidR="009110DF" w:rsidRPr="00F50C10">
        <w:rPr>
          <w:rFonts w:cs="Times New Roman"/>
          <w:szCs w:val="24"/>
        </w:rPr>
        <w:t>ür</w:t>
      </w:r>
      <w:r w:rsidRPr="00F50C10">
        <w:rPr>
          <w:rFonts w:cs="Times New Roman"/>
          <w:szCs w:val="24"/>
        </w:rPr>
        <w:t>.</w:t>
      </w:r>
      <w:r w:rsidR="00FD7712" w:rsidRPr="00FD7712">
        <w:rPr>
          <w:rFonts w:cs="Times New Roman"/>
          <w:szCs w:val="24"/>
        </w:rPr>
        <w:t xml:space="preserve"> </w:t>
      </w:r>
      <w:r w:rsidR="00FD7712">
        <w:rPr>
          <w:rFonts w:cs="Times New Roman"/>
          <w:szCs w:val="24"/>
        </w:rPr>
        <w:t>(</w:t>
      </w:r>
      <w:r w:rsidR="00FD7712" w:rsidRPr="00BC3A2D">
        <w:rPr>
          <w:rFonts w:cs="Times New Roman"/>
          <w:szCs w:val="24"/>
        </w:rPr>
        <w:t xml:space="preserve">Detaylı bilgi için Özel İnorganik Kimyasalların Üretimi İçin MET Referans Belgesinin </w:t>
      </w:r>
      <w:r w:rsidR="00FD7712">
        <w:rPr>
          <w:rFonts w:cs="Times New Roman"/>
          <w:szCs w:val="24"/>
        </w:rPr>
        <w:t xml:space="preserve">6.4.1.3 ve 4.4.2.3.1 ve 6.1.3.1.2.2 </w:t>
      </w:r>
      <w:r w:rsidR="00FD7712" w:rsidRPr="00BC3A2D">
        <w:rPr>
          <w:rFonts w:cs="Times New Roman"/>
          <w:szCs w:val="24"/>
        </w:rPr>
        <w:t>kıs</w:t>
      </w:r>
      <w:r w:rsidR="00FD7712">
        <w:rPr>
          <w:rFonts w:cs="Times New Roman"/>
          <w:szCs w:val="24"/>
        </w:rPr>
        <w:t>ımlarını</w:t>
      </w:r>
      <w:r w:rsidR="00FD7712" w:rsidRPr="00BC3A2D">
        <w:rPr>
          <w:rFonts w:cs="Times New Roman"/>
          <w:szCs w:val="24"/>
        </w:rPr>
        <w:t xml:space="preserve"> inceleyiniz.)</w:t>
      </w:r>
    </w:p>
    <w:p w14:paraId="31ECE4DA" w14:textId="77777777" w:rsidR="00B83A5B" w:rsidRPr="00F50C10" w:rsidRDefault="00B83A5B" w:rsidP="00A654AE">
      <w:pPr>
        <w:pStyle w:val="Balk3"/>
        <w:numPr>
          <w:ilvl w:val="2"/>
          <w:numId w:val="137"/>
        </w:numPr>
        <w:spacing w:before="0" w:line="276" w:lineRule="auto"/>
        <w:rPr>
          <w:rFonts w:cs="Times New Roman"/>
        </w:rPr>
      </w:pPr>
      <w:bookmarkStart w:id="279" w:name="_Toc136866688"/>
      <w:r w:rsidRPr="00F50C10">
        <w:rPr>
          <w:rFonts w:cs="Times New Roman"/>
        </w:rPr>
        <w:t>Havaya Yayılan Toplam Toz Emisyonlarının En Aza Düşürülmesi</w:t>
      </w:r>
      <w:bookmarkEnd w:id="279"/>
    </w:p>
    <w:p w14:paraId="68143D4F" w14:textId="1928B90A" w:rsidR="00B83A5B" w:rsidRPr="00F50C10" w:rsidRDefault="00B83A5B" w:rsidP="000B206D">
      <w:pPr>
        <w:spacing w:after="120" w:line="276" w:lineRule="auto"/>
        <w:rPr>
          <w:rFonts w:cs="Times New Roman"/>
          <w:szCs w:val="24"/>
          <w:lang w:val="nl-NL"/>
        </w:rPr>
      </w:pPr>
      <w:r w:rsidRPr="00F50C10">
        <w:rPr>
          <w:rFonts w:cs="Times New Roman"/>
          <w:b/>
          <w:bCs/>
          <w:szCs w:val="24"/>
        </w:rPr>
        <w:t xml:space="preserve">MET </w:t>
      </w:r>
      <w:r w:rsidR="005E5461">
        <w:rPr>
          <w:rFonts w:cs="Times New Roman"/>
          <w:b/>
          <w:bCs/>
          <w:szCs w:val="24"/>
        </w:rPr>
        <w:t>8</w:t>
      </w:r>
      <w:r w:rsidRPr="00F50C10">
        <w:rPr>
          <w:rFonts w:cs="Times New Roman"/>
          <w:b/>
          <w:bCs/>
          <w:szCs w:val="24"/>
        </w:rPr>
        <w:t xml:space="preserve">: </w:t>
      </w:r>
      <w:r w:rsidRPr="00F50C10">
        <w:rPr>
          <w:rFonts w:cs="Times New Roman"/>
          <w:szCs w:val="24"/>
        </w:rPr>
        <w:t>Aşağıdaki azaltım tekniklerinin bir veya daha fazlasından yararlanarak, tesisteki faaliyetlerden kaynaklanan toplam toz emisyonu düşürül</w:t>
      </w:r>
      <w:r w:rsidR="008E57F6" w:rsidRPr="00F50C10">
        <w:rPr>
          <w:rFonts w:cs="Times New Roman"/>
          <w:szCs w:val="24"/>
        </w:rPr>
        <w:t>ür</w:t>
      </w:r>
      <w:r w:rsidRPr="00F50C10">
        <w:rPr>
          <w:rFonts w:cs="Times New Roman"/>
          <w:szCs w:val="24"/>
        </w:rPr>
        <w:t xml:space="preserve"> ve 1 – 10 mg/Nm</w:t>
      </w:r>
      <w:r w:rsidRPr="00F50C10">
        <w:rPr>
          <w:rFonts w:cs="Times New Roman"/>
          <w:szCs w:val="24"/>
          <w:vertAlign w:val="superscript"/>
        </w:rPr>
        <w:t>3</w:t>
      </w:r>
      <w:r w:rsidRPr="00F50C10">
        <w:rPr>
          <w:rFonts w:cs="Times New Roman"/>
          <w:szCs w:val="24"/>
        </w:rPr>
        <w:t xml:space="preserve"> aralığındaki emisyon düzeyleri elde </w:t>
      </w:r>
      <w:r w:rsidR="008E57F6" w:rsidRPr="00F50C10">
        <w:rPr>
          <w:rFonts w:cs="Times New Roman"/>
          <w:szCs w:val="24"/>
        </w:rPr>
        <w:t>edilir</w:t>
      </w:r>
      <w:r w:rsidRPr="00F50C10">
        <w:rPr>
          <w:rFonts w:cs="Times New Roman"/>
          <w:szCs w:val="24"/>
          <w:lang w:val="nl-NL"/>
        </w:rPr>
        <w:t>:</w:t>
      </w:r>
      <w:r w:rsidR="00FD7712">
        <w:rPr>
          <w:rFonts w:cs="Times New Roman"/>
          <w:szCs w:val="24"/>
          <w:lang w:val="nl-NL"/>
        </w:rPr>
        <w:t xml:space="preserve"> </w:t>
      </w:r>
      <w:r w:rsidR="00FD7712">
        <w:rPr>
          <w:rFonts w:cs="Times New Roman"/>
          <w:szCs w:val="24"/>
        </w:rPr>
        <w:t>(</w:t>
      </w:r>
      <w:r w:rsidR="00FD7712" w:rsidRPr="00BC3A2D">
        <w:rPr>
          <w:rFonts w:cs="Times New Roman"/>
          <w:szCs w:val="24"/>
        </w:rPr>
        <w:t xml:space="preserve">Detaylı bilgi için Özel İnorganik Kimyasalların Üretimi İçin MET Referans Belgesinin </w:t>
      </w:r>
      <w:r w:rsidR="00FD7712">
        <w:rPr>
          <w:rFonts w:cs="Times New Roman"/>
          <w:szCs w:val="24"/>
        </w:rPr>
        <w:t xml:space="preserve">6.1.2.3.1 </w:t>
      </w:r>
      <w:r w:rsidR="00FD7712" w:rsidRPr="00BC3A2D">
        <w:rPr>
          <w:rFonts w:cs="Times New Roman"/>
          <w:szCs w:val="24"/>
        </w:rPr>
        <w:t>kıs</w:t>
      </w:r>
      <w:r w:rsidR="00FD7712">
        <w:rPr>
          <w:rFonts w:cs="Times New Roman"/>
          <w:szCs w:val="24"/>
        </w:rPr>
        <w:t>mını</w:t>
      </w:r>
      <w:r w:rsidR="00FD7712" w:rsidRPr="00BC3A2D">
        <w:rPr>
          <w:rFonts w:cs="Times New Roman"/>
          <w:szCs w:val="24"/>
        </w:rPr>
        <w:t xml:space="preserve"> inceleyiniz.)</w:t>
      </w:r>
    </w:p>
    <w:p w14:paraId="6B80EFCA" w14:textId="09ECAD56" w:rsidR="00B83A5B" w:rsidRPr="00F50C10" w:rsidRDefault="00B83A5B" w:rsidP="00A654AE">
      <w:pPr>
        <w:pStyle w:val="ListeParagraf"/>
        <w:numPr>
          <w:ilvl w:val="0"/>
          <w:numId w:val="121"/>
        </w:numPr>
        <w:spacing w:after="120" w:line="276" w:lineRule="auto"/>
        <w:rPr>
          <w:rFonts w:cs="Times New Roman"/>
          <w:szCs w:val="24"/>
          <w:lang w:val="nl-NL"/>
        </w:rPr>
      </w:pPr>
      <w:r w:rsidRPr="00F50C10">
        <w:rPr>
          <w:rFonts w:cs="Times New Roman"/>
          <w:szCs w:val="24"/>
          <w:lang w:val="nl-NL"/>
        </w:rPr>
        <w:t>siklon,</w:t>
      </w:r>
      <w:r w:rsidR="00FD7712" w:rsidRPr="00FD7712">
        <w:rPr>
          <w:rFonts w:cs="Times New Roman"/>
          <w:szCs w:val="24"/>
        </w:rPr>
        <w:t xml:space="preserve"> </w:t>
      </w:r>
      <w:r w:rsidR="00FD7712">
        <w:rPr>
          <w:rFonts w:cs="Times New Roman"/>
          <w:szCs w:val="24"/>
        </w:rPr>
        <w:t>(</w:t>
      </w:r>
      <w:r w:rsidR="00FD7712" w:rsidRPr="00BC3A2D">
        <w:rPr>
          <w:rFonts w:cs="Times New Roman"/>
          <w:szCs w:val="24"/>
        </w:rPr>
        <w:t xml:space="preserve">Detaylı bilgi için Özel İnorganik Kimyasalların Üretimi İçin MET Referans Belgesinin </w:t>
      </w:r>
      <w:r w:rsidR="00FD7712">
        <w:rPr>
          <w:rFonts w:cs="Times New Roman"/>
          <w:szCs w:val="24"/>
        </w:rPr>
        <w:t xml:space="preserve">4.4.2.1.2 </w:t>
      </w:r>
      <w:r w:rsidR="00FD7712" w:rsidRPr="00BC3A2D">
        <w:rPr>
          <w:rFonts w:cs="Times New Roman"/>
          <w:szCs w:val="24"/>
        </w:rPr>
        <w:t>kıs</w:t>
      </w:r>
      <w:r w:rsidR="00FD7712">
        <w:rPr>
          <w:rFonts w:cs="Times New Roman"/>
          <w:szCs w:val="24"/>
        </w:rPr>
        <w:t>mını</w:t>
      </w:r>
      <w:r w:rsidR="00FD7712" w:rsidRPr="00BC3A2D">
        <w:rPr>
          <w:rFonts w:cs="Times New Roman"/>
          <w:szCs w:val="24"/>
        </w:rPr>
        <w:t xml:space="preserve"> inceleyiniz.)</w:t>
      </w:r>
    </w:p>
    <w:p w14:paraId="4C7C0E65" w14:textId="2B81856E" w:rsidR="00B83A5B" w:rsidRPr="00F50C10" w:rsidRDefault="009A2327" w:rsidP="00A654AE">
      <w:pPr>
        <w:pStyle w:val="ListeParagraf"/>
        <w:numPr>
          <w:ilvl w:val="0"/>
          <w:numId w:val="121"/>
        </w:numPr>
        <w:spacing w:after="120" w:line="276" w:lineRule="auto"/>
        <w:rPr>
          <w:rFonts w:cs="Times New Roman"/>
          <w:szCs w:val="24"/>
          <w:lang w:val="nl-NL"/>
        </w:rPr>
      </w:pPr>
      <w:r w:rsidRPr="00F50C10">
        <w:rPr>
          <w:rFonts w:cs="Times New Roman"/>
          <w:szCs w:val="24"/>
          <w:lang w:val="nl-NL"/>
        </w:rPr>
        <w:t>bez</w:t>
      </w:r>
      <w:r w:rsidR="00B83A5B" w:rsidRPr="00F50C10">
        <w:rPr>
          <w:rFonts w:cs="Times New Roman"/>
          <w:szCs w:val="24"/>
          <w:lang w:val="nl-NL"/>
        </w:rPr>
        <w:t xml:space="preserve"> filtr</w:t>
      </w:r>
      <w:r w:rsidRPr="00F50C10">
        <w:rPr>
          <w:rFonts w:cs="Times New Roman"/>
          <w:szCs w:val="24"/>
          <w:lang w:val="nl-NL"/>
        </w:rPr>
        <w:t>e</w:t>
      </w:r>
      <w:r w:rsidR="00B83A5B" w:rsidRPr="00F50C10">
        <w:rPr>
          <w:rFonts w:cs="Times New Roman"/>
          <w:szCs w:val="24"/>
          <w:lang w:val="nl-NL"/>
        </w:rPr>
        <w:t>,</w:t>
      </w:r>
      <w:r w:rsidR="00FD7712" w:rsidRPr="00FD7712">
        <w:rPr>
          <w:rFonts w:cs="Times New Roman"/>
          <w:szCs w:val="24"/>
        </w:rPr>
        <w:t xml:space="preserve"> </w:t>
      </w:r>
      <w:r w:rsidR="00FD7712">
        <w:rPr>
          <w:rFonts w:cs="Times New Roman"/>
          <w:szCs w:val="24"/>
        </w:rPr>
        <w:t>(</w:t>
      </w:r>
      <w:r w:rsidR="00FD7712" w:rsidRPr="00BC3A2D">
        <w:rPr>
          <w:rFonts w:cs="Times New Roman"/>
          <w:szCs w:val="24"/>
        </w:rPr>
        <w:t xml:space="preserve">Detaylı bilgi için Özel İnorganik Kimyasalların Üretimi İçin MET Referans Belgesinin </w:t>
      </w:r>
      <w:r w:rsidR="00FD7712">
        <w:rPr>
          <w:rFonts w:cs="Times New Roman"/>
          <w:szCs w:val="24"/>
        </w:rPr>
        <w:t xml:space="preserve">4.4.2.1.5 </w:t>
      </w:r>
      <w:r w:rsidR="00FD7712" w:rsidRPr="00BC3A2D">
        <w:rPr>
          <w:rFonts w:cs="Times New Roman"/>
          <w:szCs w:val="24"/>
        </w:rPr>
        <w:t>kıs</w:t>
      </w:r>
      <w:r w:rsidR="00FD7712">
        <w:rPr>
          <w:rFonts w:cs="Times New Roman"/>
          <w:szCs w:val="24"/>
        </w:rPr>
        <w:t>mını</w:t>
      </w:r>
      <w:r w:rsidR="00FD7712" w:rsidRPr="00BC3A2D">
        <w:rPr>
          <w:rFonts w:cs="Times New Roman"/>
          <w:szCs w:val="24"/>
        </w:rPr>
        <w:t xml:space="preserve"> inceleyiniz.)</w:t>
      </w:r>
    </w:p>
    <w:p w14:paraId="4E4115D4" w14:textId="1CF7EE49" w:rsidR="00B83A5B" w:rsidRPr="00F50C10" w:rsidRDefault="008E57F6" w:rsidP="00A654AE">
      <w:pPr>
        <w:pStyle w:val="ListeParagraf"/>
        <w:numPr>
          <w:ilvl w:val="0"/>
          <w:numId w:val="121"/>
        </w:numPr>
        <w:spacing w:after="120" w:line="276" w:lineRule="auto"/>
        <w:rPr>
          <w:rFonts w:cs="Times New Roman"/>
          <w:szCs w:val="24"/>
          <w:lang w:val="nl-NL"/>
        </w:rPr>
      </w:pPr>
      <w:r w:rsidRPr="00F50C10">
        <w:rPr>
          <w:rFonts w:cs="Times New Roman"/>
          <w:szCs w:val="24"/>
          <w:lang w:val="nl-NL"/>
        </w:rPr>
        <w:t>ıslak</w:t>
      </w:r>
      <w:r w:rsidR="00B83A5B" w:rsidRPr="00F50C10">
        <w:rPr>
          <w:rFonts w:cs="Times New Roman"/>
          <w:szCs w:val="24"/>
          <w:lang w:val="nl-NL"/>
        </w:rPr>
        <w:t xml:space="preserve"> yıkayıcı</w:t>
      </w:r>
      <w:r w:rsidR="00B83A5B" w:rsidRPr="00F50C10">
        <w:rPr>
          <w:rFonts w:cs="Times New Roman"/>
          <w:bCs/>
          <w:szCs w:val="24"/>
          <w:lang w:val="nl-NL"/>
        </w:rPr>
        <w:t>.</w:t>
      </w:r>
      <w:r w:rsidR="00B83A5B" w:rsidRPr="00F50C10">
        <w:rPr>
          <w:rFonts w:cs="Times New Roman"/>
          <w:szCs w:val="24"/>
          <w:lang w:val="nl-NL"/>
        </w:rPr>
        <w:t xml:space="preserve"> </w:t>
      </w:r>
      <w:r w:rsidR="00FD7712">
        <w:rPr>
          <w:rFonts w:cs="Times New Roman"/>
          <w:szCs w:val="24"/>
        </w:rPr>
        <w:t>(</w:t>
      </w:r>
      <w:r w:rsidR="00FD7712" w:rsidRPr="00BC3A2D">
        <w:rPr>
          <w:rFonts w:cs="Times New Roman"/>
          <w:szCs w:val="24"/>
        </w:rPr>
        <w:t xml:space="preserve">Detaylı bilgi için Özel İnorganik Kimyasalların Üretimi İçin MET Referans Belgesinin </w:t>
      </w:r>
      <w:r w:rsidR="00FD7712">
        <w:rPr>
          <w:rFonts w:cs="Times New Roman"/>
          <w:szCs w:val="24"/>
        </w:rPr>
        <w:t xml:space="preserve">4.4.2.1.3 </w:t>
      </w:r>
      <w:r w:rsidR="00FD7712" w:rsidRPr="00BC3A2D">
        <w:rPr>
          <w:rFonts w:cs="Times New Roman"/>
          <w:szCs w:val="24"/>
        </w:rPr>
        <w:t>kıs</w:t>
      </w:r>
      <w:r w:rsidR="00FD7712">
        <w:rPr>
          <w:rFonts w:cs="Times New Roman"/>
          <w:szCs w:val="24"/>
        </w:rPr>
        <w:t>mını</w:t>
      </w:r>
      <w:r w:rsidR="00FD7712" w:rsidRPr="00BC3A2D">
        <w:rPr>
          <w:rFonts w:cs="Times New Roman"/>
          <w:szCs w:val="24"/>
        </w:rPr>
        <w:t xml:space="preserve"> inceleyiniz.)</w:t>
      </w:r>
      <w:r w:rsidR="00B83A5B" w:rsidRPr="00F50C10">
        <w:rPr>
          <w:rFonts w:cs="Times New Roman"/>
          <w:szCs w:val="24"/>
          <w:lang w:val="nl-NL"/>
        </w:rPr>
        <w:t>Yıkama işlemi ile açığa çıkan atık su, yıkama ortamı olarak yeniden kullanılır veya geri dönüştürülür,</w:t>
      </w:r>
    </w:p>
    <w:p w14:paraId="31EF3764" w14:textId="07FAA30B" w:rsidR="00B83A5B" w:rsidRPr="00F50C10" w:rsidRDefault="00893A3C" w:rsidP="00A654AE">
      <w:pPr>
        <w:pStyle w:val="ListeParagraf"/>
        <w:numPr>
          <w:ilvl w:val="0"/>
          <w:numId w:val="121"/>
        </w:numPr>
        <w:spacing w:after="120" w:line="276" w:lineRule="auto"/>
        <w:rPr>
          <w:rFonts w:cs="Times New Roman"/>
          <w:szCs w:val="24"/>
          <w:lang w:val="nl-NL"/>
        </w:rPr>
      </w:pPr>
      <w:r w:rsidRPr="00F50C10">
        <w:rPr>
          <w:rFonts w:cs="Times New Roman"/>
          <w:szCs w:val="24"/>
          <w:lang w:val="nl-NL"/>
        </w:rPr>
        <w:t>elektrostatik filtre</w:t>
      </w:r>
      <w:r w:rsidR="00B83A5B" w:rsidRPr="00F50C10">
        <w:rPr>
          <w:rFonts w:cs="Times New Roman"/>
          <w:bCs/>
          <w:szCs w:val="24"/>
        </w:rPr>
        <w:t>.</w:t>
      </w:r>
      <w:r w:rsidR="00FD7712" w:rsidRPr="00FD7712">
        <w:rPr>
          <w:rFonts w:cs="Times New Roman"/>
          <w:szCs w:val="24"/>
        </w:rPr>
        <w:t xml:space="preserve"> </w:t>
      </w:r>
      <w:r w:rsidR="00FD7712">
        <w:rPr>
          <w:rFonts w:cs="Times New Roman"/>
          <w:szCs w:val="24"/>
        </w:rPr>
        <w:t>(</w:t>
      </w:r>
      <w:r w:rsidR="00FD7712" w:rsidRPr="00BC3A2D">
        <w:rPr>
          <w:rFonts w:cs="Times New Roman"/>
          <w:szCs w:val="24"/>
        </w:rPr>
        <w:t xml:space="preserve">Detaylı bilgi için Özel İnorganik Kimyasalların Üretimi İçin MET Referans Belgesinin </w:t>
      </w:r>
      <w:r w:rsidR="00FD7712">
        <w:rPr>
          <w:rFonts w:cs="Times New Roman"/>
          <w:szCs w:val="24"/>
        </w:rPr>
        <w:t xml:space="preserve">4.4.2.1.4 </w:t>
      </w:r>
      <w:r w:rsidR="00FD7712" w:rsidRPr="00BC3A2D">
        <w:rPr>
          <w:rFonts w:cs="Times New Roman"/>
          <w:szCs w:val="24"/>
        </w:rPr>
        <w:t>kıs</w:t>
      </w:r>
      <w:r w:rsidR="00FD7712">
        <w:rPr>
          <w:rFonts w:cs="Times New Roman"/>
          <w:szCs w:val="24"/>
        </w:rPr>
        <w:t>mını</w:t>
      </w:r>
      <w:r w:rsidR="00FD7712" w:rsidRPr="00BC3A2D">
        <w:rPr>
          <w:rFonts w:cs="Times New Roman"/>
          <w:szCs w:val="24"/>
        </w:rPr>
        <w:t xml:space="preserve"> inceleyiniz.)</w:t>
      </w:r>
    </w:p>
    <w:p w14:paraId="412CB4D8" w14:textId="4BAEE804" w:rsidR="00B83A5B" w:rsidRPr="00F50C10" w:rsidRDefault="00B83A5B" w:rsidP="000B206D">
      <w:pPr>
        <w:spacing w:after="120" w:line="276" w:lineRule="auto"/>
        <w:rPr>
          <w:rFonts w:cs="Times New Roman"/>
          <w:szCs w:val="24"/>
          <w:lang w:val="nl-NL"/>
        </w:rPr>
      </w:pPr>
      <w:r w:rsidRPr="00F50C10">
        <w:rPr>
          <w:rFonts w:cs="Times New Roman"/>
          <w:szCs w:val="24"/>
          <w:lang w:val="nl-NL"/>
        </w:rPr>
        <w:t xml:space="preserve">Diğer hafifletici tekniklerle birlikte </w:t>
      </w:r>
      <w:r w:rsidR="009A2327" w:rsidRPr="00F50C10">
        <w:rPr>
          <w:rFonts w:cs="Times New Roman"/>
          <w:szCs w:val="24"/>
          <w:lang w:val="nl-NL"/>
        </w:rPr>
        <w:t>bez</w:t>
      </w:r>
      <w:r w:rsidRPr="00F50C10">
        <w:rPr>
          <w:rFonts w:cs="Times New Roman"/>
          <w:szCs w:val="24"/>
          <w:lang w:val="nl-NL"/>
        </w:rPr>
        <w:t xml:space="preserve"> filtrelerin kullanılması sayesinde, aralığın düşük ucunda yer alan değer elde edilebilir. Diğer kirleticilerin azaltılmasının gerektiği (ör. SO</w:t>
      </w:r>
      <w:r w:rsidRPr="00F50C10">
        <w:rPr>
          <w:rFonts w:cs="Times New Roman"/>
          <w:szCs w:val="24"/>
          <w:vertAlign w:val="subscript"/>
          <w:lang w:val="nl-NL"/>
        </w:rPr>
        <w:t>x</w:t>
      </w:r>
      <w:r w:rsidRPr="00F50C10">
        <w:rPr>
          <w:rFonts w:cs="Times New Roman"/>
          <w:szCs w:val="24"/>
          <w:lang w:val="nl-NL"/>
        </w:rPr>
        <w:t xml:space="preserve">) veya çıkış gazlarının nemli koşulları ortaya koyduğu (örneğin sıvı asit varlığı) durumlarda olduğu gibi, </w:t>
      </w:r>
      <w:r w:rsidR="009A2327" w:rsidRPr="00F50C10">
        <w:rPr>
          <w:rFonts w:cs="Times New Roman"/>
          <w:szCs w:val="24"/>
          <w:lang w:val="nl-NL"/>
        </w:rPr>
        <w:t>bez</w:t>
      </w:r>
      <w:r w:rsidRPr="00F50C10">
        <w:rPr>
          <w:rFonts w:cs="Times New Roman"/>
          <w:szCs w:val="24"/>
          <w:lang w:val="nl-NL"/>
        </w:rPr>
        <w:t xml:space="preserve"> filtre kullanımı her zaman mümkün olmamaktadır.</w:t>
      </w:r>
    </w:p>
    <w:p w14:paraId="6B22A12D" w14:textId="77777777" w:rsidR="00B83A5B" w:rsidRPr="00F50C10" w:rsidRDefault="00B83A5B" w:rsidP="00A654AE">
      <w:pPr>
        <w:pStyle w:val="Balk3"/>
        <w:numPr>
          <w:ilvl w:val="2"/>
          <w:numId w:val="137"/>
        </w:numPr>
        <w:spacing w:before="0" w:line="276" w:lineRule="auto"/>
        <w:rPr>
          <w:rFonts w:cs="Times New Roman"/>
          <w:lang w:val="nl-NL"/>
        </w:rPr>
      </w:pPr>
      <w:bookmarkStart w:id="280" w:name="_Toc136866689"/>
      <w:r w:rsidRPr="00F50C10">
        <w:rPr>
          <w:rFonts w:cs="Times New Roman"/>
          <w:lang w:val="nl-NL"/>
        </w:rPr>
        <w:t>Atık Gaz Arıtma Sistemlerinin Seçilmesi</w:t>
      </w:r>
      <w:bookmarkEnd w:id="280"/>
    </w:p>
    <w:p w14:paraId="2A8E2BF7" w14:textId="5945E561" w:rsidR="00B83A5B" w:rsidRPr="00F50C10" w:rsidRDefault="00B83A5B" w:rsidP="000B206D">
      <w:pPr>
        <w:spacing w:after="120" w:line="276" w:lineRule="auto"/>
        <w:rPr>
          <w:rFonts w:cs="Times New Roman"/>
          <w:szCs w:val="24"/>
          <w:lang w:val="nl-NL"/>
        </w:rPr>
      </w:pPr>
      <w:r w:rsidRPr="00F50C10">
        <w:rPr>
          <w:rFonts w:cs="Times New Roman"/>
          <w:b/>
          <w:bCs/>
          <w:szCs w:val="24"/>
          <w:lang w:val="nl-NL"/>
        </w:rPr>
        <w:t xml:space="preserve">MET </w:t>
      </w:r>
      <w:r w:rsidR="000C16C9">
        <w:rPr>
          <w:rFonts w:cs="Times New Roman"/>
          <w:b/>
          <w:bCs/>
          <w:szCs w:val="24"/>
          <w:lang w:val="nl-NL"/>
        </w:rPr>
        <w:t>9</w:t>
      </w:r>
      <w:r w:rsidRPr="00F50C10">
        <w:rPr>
          <w:rFonts w:cs="Times New Roman"/>
          <w:b/>
          <w:bCs/>
          <w:szCs w:val="24"/>
          <w:lang w:val="nl-NL"/>
        </w:rPr>
        <w:t xml:space="preserve">: </w:t>
      </w:r>
      <w:r w:rsidRPr="00F50C10">
        <w:rPr>
          <w:rFonts w:cs="Times New Roman"/>
          <w:szCs w:val="24"/>
          <w:lang w:val="nl-NL"/>
        </w:rPr>
        <w:t>Su tüketiminin azaltılması için, toplam tozun yanı sıra diğer kirleticilerin de azaltılması gerektiği durumlar haricinde, kalsinasyon fırınlarından çıkan gazların arıtılması için kuru arıtma sistemi kullanılır.</w:t>
      </w:r>
      <w:r w:rsidR="001B0853" w:rsidRPr="001B0853">
        <w:rPr>
          <w:rFonts w:cs="Times New Roman"/>
          <w:szCs w:val="24"/>
        </w:rPr>
        <w:t xml:space="preserve"> </w:t>
      </w:r>
      <w:r w:rsidR="001B0853">
        <w:rPr>
          <w:rFonts w:cs="Times New Roman"/>
          <w:szCs w:val="24"/>
        </w:rPr>
        <w:t>(</w:t>
      </w:r>
      <w:r w:rsidR="001B0853" w:rsidRPr="00BC3A2D">
        <w:rPr>
          <w:rFonts w:cs="Times New Roman"/>
          <w:szCs w:val="24"/>
        </w:rPr>
        <w:t xml:space="preserve">Detaylı bilgi için Özel İnorganik Kimyasalların Üretimi İçin MET Referans Belgesinin </w:t>
      </w:r>
      <w:r w:rsidR="001B0853">
        <w:rPr>
          <w:rFonts w:cs="Times New Roman"/>
          <w:szCs w:val="24"/>
        </w:rPr>
        <w:t xml:space="preserve">6.1.3.1.2 </w:t>
      </w:r>
      <w:r w:rsidR="001B0853" w:rsidRPr="00BC3A2D">
        <w:rPr>
          <w:rFonts w:cs="Times New Roman"/>
          <w:szCs w:val="24"/>
        </w:rPr>
        <w:t>kıs</w:t>
      </w:r>
      <w:r w:rsidR="001B0853">
        <w:rPr>
          <w:rFonts w:cs="Times New Roman"/>
          <w:szCs w:val="24"/>
        </w:rPr>
        <w:t>mını</w:t>
      </w:r>
      <w:r w:rsidR="001B0853" w:rsidRPr="00BC3A2D">
        <w:rPr>
          <w:rFonts w:cs="Times New Roman"/>
          <w:szCs w:val="24"/>
        </w:rPr>
        <w:t xml:space="preserve"> inceleyiniz.)</w:t>
      </w:r>
    </w:p>
    <w:p w14:paraId="2B397CDF" w14:textId="706961DC" w:rsidR="00B83A5B" w:rsidRPr="00F50C10" w:rsidRDefault="00B83A5B" w:rsidP="000B206D">
      <w:pPr>
        <w:spacing w:after="120" w:line="276" w:lineRule="auto"/>
        <w:rPr>
          <w:rFonts w:cs="Times New Roman"/>
          <w:szCs w:val="24"/>
          <w:lang w:val="nl-NL"/>
        </w:rPr>
      </w:pPr>
      <w:r w:rsidRPr="00F50C10">
        <w:rPr>
          <w:rFonts w:cs="Times New Roman"/>
          <w:b/>
          <w:bCs/>
          <w:szCs w:val="24"/>
          <w:lang w:val="nl-NL"/>
        </w:rPr>
        <w:t xml:space="preserve">MET </w:t>
      </w:r>
      <w:r w:rsidR="000C16C9">
        <w:rPr>
          <w:rFonts w:cs="Times New Roman"/>
          <w:b/>
          <w:bCs/>
          <w:szCs w:val="24"/>
          <w:lang w:val="nl-NL"/>
        </w:rPr>
        <w:t>10</w:t>
      </w:r>
      <w:r w:rsidRPr="00F50C10">
        <w:rPr>
          <w:rFonts w:cs="Times New Roman"/>
          <w:b/>
          <w:bCs/>
          <w:szCs w:val="24"/>
          <w:lang w:val="nl-NL"/>
        </w:rPr>
        <w:t xml:space="preserve">: </w:t>
      </w:r>
      <w:r w:rsidRPr="00F50C10">
        <w:rPr>
          <w:rFonts w:cs="Times New Roman"/>
          <w:szCs w:val="24"/>
          <w:lang w:val="nl-NL"/>
        </w:rPr>
        <w:t>Kirleticilerin azaltım veriminin üst düzeyde olmasını sağlamak için, nemli koşullarda kurutuculardan çıkan gazların ve düşük nemli koşullarda torba filtrelerin temizlenmesi için ESP’lerden yararlanıl</w:t>
      </w:r>
      <w:r w:rsidR="00893A3C" w:rsidRPr="00F50C10">
        <w:rPr>
          <w:rFonts w:cs="Times New Roman"/>
          <w:szCs w:val="24"/>
          <w:lang w:val="nl-NL"/>
        </w:rPr>
        <w:t>ır</w:t>
      </w:r>
      <w:r w:rsidRPr="00F50C10">
        <w:rPr>
          <w:rFonts w:cs="Times New Roman"/>
          <w:szCs w:val="24"/>
          <w:lang w:val="nl-NL"/>
        </w:rPr>
        <w:t>.</w:t>
      </w:r>
      <w:r w:rsidR="00E321BC" w:rsidRPr="00E321BC">
        <w:rPr>
          <w:rFonts w:cs="Times New Roman"/>
          <w:szCs w:val="24"/>
        </w:rPr>
        <w:t xml:space="preserve"> </w:t>
      </w:r>
      <w:r w:rsidR="00E321BC">
        <w:rPr>
          <w:rFonts w:cs="Times New Roman"/>
          <w:szCs w:val="24"/>
        </w:rPr>
        <w:t>(</w:t>
      </w:r>
      <w:r w:rsidR="00E321BC" w:rsidRPr="00BC3A2D">
        <w:rPr>
          <w:rFonts w:cs="Times New Roman"/>
          <w:szCs w:val="24"/>
        </w:rPr>
        <w:t xml:space="preserve">Detaylı bilgi için Özel İnorganik Kimyasalların Üretimi İçin MET Referans Belgesinin </w:t>
      </w:r>
      <w:r w:rsidR="00E321BC">
        <w:rPr>
          <w:rFonts w:cs="Times New Roman"/>
          <w:szCs w:val="24"/>
        </w:rPr>
        <w:t xml:space="preserve">6.1.2.4.1.1 </w:t>
      </w:r>
      <w:r w:rsidR="00E321BC" w:rsidRPr="00BC3A2D">
        <w:rPr>
          <w:rFonts w:cs="Times New Roman"/>
          <w:szCs w:val="24"/>
        </w:rPr>
        <w:t>kıs</w:t>
      </w:r>
      <w:r w:rsidR="00E321BC">
        <w:rPr>
          <w:rFonts w:cs="Times New Roman"/>
          <w:szCs w:val="24"/>
        </w:rPr>
        <w:t>mını</w:t>
      </w:r>
      <w:r w:rsidR="00E321BC" w:rsidRPr="00BC3A2D">
        <w:rPr>
          <w:rFonts w:cs="Times New Roman"/>
          <w:szCs w:val="24"/>
        </w:rPr>
        <w:t xml:space="preserve"> inceleyiniz.)</w:t>
      </w:r>
    </w:p>
    <w:p w14:paraId="57783E31" w14:textId="77777777" w:rsidR="00B83A5B" w:rsidRPr="00F50C10" w:rsidRDefault="00B83A5B" w:rsidP="00A654AE">
      <w:pPr>
        <w:pStyle w:val="Balk3"/>
        <w:numPr>
          <w:ilvl w:val="2"/>
          <w:numId w:val="137"/>
        </w:numPr>
        <w:spacing w:before="0" w:line="276" w:lineRule="auto"/>
        <w:rPr>
          <w:rFonts w:cs="Times New Roman"/>
          <w:lang w:val="nl-NL"/>
        </w:rPr>
      </w:pPr>
      <w:bookmarkStart w:id="281" w:name="_Toc136866690"/>
      <w:r w:rsidRPr="00F50C10">
        <w:rPr>
          <w:rFonts w:cs="Times New Roman"/>
          <w:lang w:val="nl-NL"/>
        </w:rPr>
        <w:t>Atık Su Arıtma</w:t>
      </w:r>
      <w:bookmarkEnd w:id="281"/>
    </w:p>
    <w:p w14:paraId="3AF6CD12" w14:textId="41AA89EF" w:rsidR="00B83A5B" w:rsidRPr="00F50C10" w:rsidRDefault="00B83A5B" w:rsidP="000B206D">
      <w:pPr>
        <w:spacing w:after="120" w:line="276" w:lineRule="auto"/>
        <w:rPr>
          <w:rFonts w:cs="Times New Roman"/>
          <w:b/>
          <w:bCs/>
          <w:szCs w:val="24"/>
          <w:lang w:val="nl-NL"/>
        </w:rPr>
      </w:pPr>
      <w:r w:rsidRPr="00F50C10">
        <w:rPr>
          <w:rFonts w:cs="Times New Roman"/>
          <w:b/>
          <w:bCs/>
          <w:szCs w:val="24"/>
          <w:lang w:val="nl-NL"/>
        </w:rPr>
        <w:t xml:space="preserve">MET </w:t>
      </w:r>
      <w:r w:rsidR="000C16C9">
        <w:rPr>
          <w:rFonts w:cs="Times New Roman"/>
          <w:b/>
          <w:bCs/>
          <w:szCs w:val="24"/>
          <w:lang w:val="nl-NL"/>
        </w:rPr>
        <w:t>11:</w:t>
      </w:r>
      <w:r w:rsidRPr="00F50C10">
        <w:rPr>
          <w:rFonts w:cs="Times New Roman"/>
          <w:b/>
          <w:bCs/>
          <w:szCs w:val="24"/>
          <w:lang w:val="nl-NL"/>
        </w:rPr>
        <w:t xml:space="preserve"> </w:t>
      </w:r>
      <w:r w:rsidRPr="00F50C10">
        <w:rPr>
          <w:rFonts w:cs="Times New Roman"/>
          <w:szCs w:val="24"/>
          <w:lang w:val="nl-NL"/>
        </w:rPr>
        <w:t>Atık suyu ileri arıtmaya göndermeden önce aşağıdaki önlemlerin her ikisi de uygula</w:t>
      </w:r>
      <w:r w:rsidR="00E41E42" w:rsidRPr="00F50C10">
        <w:rPr>
          <w:rFonts w:cs="Times New Roman"/>
          <w:szCs w:val="24"/>
          <w:lang w:val="nl-NL"/>
        </w:rPr>
        <w:t>n</w:t>
      </w:r>
      <w:r w:rsidRPr="00F50C10">
        <w:rPr>
          <w:rFonts w:cs="Times New Roman"/>
          <w:szCs w:val="24"/>
          <w:lang w:val="nl-NL"/>
        </w:rPr>
        <w:t>arak, Cr(VI) ile kontamine olmuş atık suyun (ön) arıtımı</w:t>
      </w:r>
      <w:r w:rsidR="00893A3C" w:rsidRPr="00F50C10">
        <w:rPr>
          <w:rFonts w:cs="Times New Roman"/>
          <w:szCs w:val="24"/>
          <w:lang w:val="nl-NL"/>
        </w:rPr>
        <w:t xml:space="preserve"> sağlanır</w:t>
      </w:r>
      <w:r w:rsidRPr="00F50C10">
        <w:rPr>
          <w:rFonts w:cs="Times New Roman"/>
          <w:szCs w:val="24"/>
          <w:lang w:val="nl-NL"/>
        </w:rPr>
        <w:t xml:space="preserve"> ve &lt;0,1 mg/l Cr(VI) elde </w:t>
      </w:r>
      <w:r w:rsidR="00893A3C" w:rsidRPr="00F50C10">
        <w:rPr>
          <w:rFonts w:cs="Times New Roman"/>
          <w:szCs w:val="24"/>
          <w:lang w:val="nl-NL"/>
        </w:rPr>
        <w:t>edilir</w:t>
      </w:r>
      <w:r w:rsidRPr="00F50C10">
        <w:rPr>
          <w:rFonts w:cs="Times New Roman"/>
          <w:szCs w:val="24"/>
          <w:lang w:val="nl-NL"/>
        </w:rPr>
        <w:t>:</w:t>
      </w:r>
      <w:r w:rsidR="00850B51" w:rsidRPr="00850B51">
        <w:rPr>
          <w:rFonts w:cs="Times New Roman"/>
          <w:szCs w:val="24"/>
        </w:rPr>
        <w:t xml:space="preserve"> </w:t>
      </w:r>
      <w:r w:rsidR="00850B51">
        <w:rPr>
          <w:rFonts w:cs="Times New Roman"/>
          <w:szCs w:val="24"/>
        </w:rPr>
        <w:t>(</w:t>
      </w:r>
      <w:r w:rsidR="00850B51" w:rsidRPr="00BC3A2D">
        <w:rPr>
          <w:rFonts w:cs="Times New Roman"/>
          <w:szCs w:val="24"/>
        </w:rPr>
        <w:t xml:space="preserve">Detaylı bilgi için Özel İnorganik Kimyasalların Üretimi İçin MET Referans Belgesinin </w:t>
      </w:r>
      <w:r w:rsidR="00850B51">
        <w:rPr>
          <w:rFonts w:cs="Times New Roman"/>
          <w:szCs w:val="24"/>
        </w:rPr>
        <w:t xml:space="preserve">4.4.1 ve 6.1.4.5 </w:t>
      </w:r>
      <w:r w:rsidR="00850B51" w:rsidRPr="00BC3A2D">
        <w:rPr>
          <w:rFonts w:cs="Times New Roman"/>
          <w:szCs w:val="24"/>
        </w:rPr>
        <w:t>kıs</w:t>
      </w:r>
      <w:r w:rsidR="00850B51">
        <w:rPr>
          <w:rFonts w:cs="Times New Roman"/>
          <w:szCs w:val="24"/>
        </w:rPr>
        <w:t>ımlarını</w:t>
      </w:r>
      <w:r w:rsidR="00850B51" w:rsidRPr="00BC3A2D">
        <w:rPr>
          <w:rFonts w:cs="Times New Roman"/>
          <w:szCs w:val="24"/>
        </w:rPr>
        <w:t xml:space="preserve"> inceleyiniz.)</w:t>
      </w:r>
    </w:p>
    <w:p w14:paraId="2925FB44" w14:textId="77777777" w:rsidR="00B83A5B" w:rsidRPr="00F50C10" w:rsidRDefault="00B83A5B" w:rsidP="00A654AE">
      <w:pPr>
        <w:pStyle w:val="ListeParagraf"/>
        <w:numPr>
          <w:ilvl w:val="0"/>
          <w:numId w:val="122"/>
        </w:numPr>
        <w:spacing w:after="120" w:line="276" w:lineRule="auto"/>
        <w:rPr>
          <w:rFonts w:cs="Times New Roman"/>
          <w:szCs w:val="24"/>
        </w:rPr>
      </w:pPr>
      <w:r w:rsidRPr="00F50C10">
        <w:rPr>
          <w:rFonts w:cs="Times New Roman"/>
          <w:szCs w:val="24"/>
        </w:rPr>
        <w:t>akış tamponlaması,</w:t>
      </w:r>
    </w:p>
    <w:p w14:paraId="31251D5F" w14:textId="77777777" w:rsidR="00B83A5B" w:rsidRPr="00F50C10" w:rsidRDefault="00B83A5B" w:rsidP="00A654AE">
      <w:pPr>
        <w:pStyle w:val="ListeParagraf"/>
        <w:numPr>
          <w:ilvl w:val="0"/>
          <w:numId w:val="122"/>
        </w:numPr>
        <w:spacing w:after="120" w:line="276" w:lineRule="auto"/>
        <w:rPr>
          <w:rFonts w:cs="Times New Roman"/>
          <w:szCs w:val="24"/>
        </w:rPr>
      </w:pPr>
      <w:r w:rsidRPr="00F50C10">
        <w:rPr>
          <w:rFonts w:cs="Times New Roman"/>
          <w:szCs w:val="24"/>
        </w:rPr>
        <w:t>Cr(VI)’nın örnek olarak sülfit, demir(II) sülfat kullanılarak Cr(III)’e indirgenmesi.</w:t>
      </w:r>
    </w:p>
    <w:p w14:paraId="77E48BCB" w14:textId="2A7CE80F" w:rsidR="00B83A5B" w:rsidRPr="00F50C10" w:rsidRDefault="00B83A5B" w:rsidP="000B206D">
      <w:pPr>
        <w:spacing w:after="120" w:line="276" w:lineRule="auto"/>
        <w:rPr>
          <w:rFonts w:cs="Times New Roman"/>
          <w:szCs w:val="24"/>
        </w:rPr>
      </w:pPr>
      <w:r w:rsidRPr="00F50C10">
        <w:rPr>
          <w:rFonts w:cs="Times New Roman"/>
          <w:b/>
          <w:bCs/>
          <w:szCs w:val="24"/>
        </w:rPr>
        <w:t xml:space="preserve">MET </w:t>
      </w:r>
      <w:r w:rsidR="000C16C9">
        <w:rPr>
          <w:rFonts w:cs="Times New Roman"/>
          <w:b/>
          <w:bCs/>
          <w:szCs w:val="24"/>
        </w:rPr>
        <w:t>12</w:t>
      </w:r>
      <w:r w:rsidRPr="00F50C10">
        <w:rPr>
          <w:rFonts w:cs="Times New Roman"/>
          <w:b/>
          <w:bCs/>
          <w:szCs w:val="24"/>
        </w:rPr>
        <w:t xml:space="preserve">: </w:t>
      </w:r>
      <w:r w:rsidRPr="00F50C10">
        <w:rPr>
          <w:rFonts w:cs="Times New Roman"/>
          <w:szCs w:val="24"/>
        </w:rPr>
        <w:t>Çöktürme, flokülasyon, sedimantasyon ve filtrasyon kombinasyonu ile alıcı ortama deşarj edilmesi öncesinde, ağır metal yüklü olan atık su arıtıl</w:t>
      </w:r>
      <w:r w:rsidR="00AC2E48" w:rsidRPr="00F50C10">
        <w:rPr>
          <w:rFonts w:cs="Times New Roman"/>
          <w:szCs w:val="24"/>
        </w:rPr>
        <w:t>ır</w:t>
      </w:r>
      <w:r w:rsidRPr="00F50C10">
        <w:rPr>
          <w:rFonts w:cs="Times New Roman"/>
          <w:szCs w:val="24"/>
        </w:rPr>
        <w:t xml:space="preserve"> ve  </w:t>
      </w:r>
      <w:r w:rsidRPr="00F50C10">
        <w:rPr>
          <w:rFonts w:cs="Times New Roman"/>
          <w:szCs w:val="24"/>
        </w:rPr>
        <w:fldChar w:fldCharType="begin"/>
      </w:r>
      <w:r w:rsidRPr="00F50C10">
        <w:rPr>
          <w:rFonts w:cs="Times New Roman"/>
          <w:szCs w:val="24"/>
        </w:rPr>
        <w:instrText xml:space="preserve"> REF _Ref134790377 \h  \* MERGEFORMAT </w:instrText>
      </w:r>
      <w:r w:rsidRPr="00F50C10">
        <w:rPr>
          <w:rFonts w:cs="Times New Roman"/>
          <w:szCs w:val="24"/>
        </w:rPr>
      </w:r>
      <w:r w:rsidRPr="00F50C10">
        <w:rPr>
          <w:rFonts w:cs="Times New Roman"/>
          <w:szCs w:val="24"/>
        </w:rPr>
        <w:fldChar w:fldCharType="separate"/>
      </w:r>
      <w:r w:rsidRPr="00F50C10">
        <w:rPr>
          <w:rFonts w:cs="Times New Roman"/>
          <w:szCs w:val="24"/>
        </w:rPr>
        <w:t xml:space="preserve">Tablo </w:t>
      </w:r>
      <w:r w:rsidRPr="00F50C10">
        <w:rPr>
          <w:rFonts w:cs="Times New Roman"/>
          <w:noProof/>
          <w:szCs w:val="24"/>
        </w:rPr>
        <w:t>1</w:t>
      </w:r>
      <w:r w:rsidRPr="00F50C10">
        <w:rPr>
          <w:rFonts w:cs="Times New Roman"/>
          <w:szCs w:val="24"/>
        </w:rPr>
        <w:fldChar w:fldCharType="end"/>
      </w:r>
      <w:r w:rsidRPr="00F50C10">
        <w:rPr>
          <w:rFonts w:cs="Times New Roman"/>
          <w:szCs w:val="24"/>
        </w:rPr>
        <w:t xml:space="preserve">’de belirtilen emisyon düzeyleri elde </w:t>
      </w:r>
      <w:r w:rsidR="00AC2E48" w:rsidRPr="00F50C10">
        <w:rPr>
          <w:rFonts w:cs="Times New Roman"/>
          <w:szCs w:val="24"/>
        </w:rPr>
        <w:t>edilir</w:t>
      </w:r>
      <w:r w:rsidRPr="00F50C10">
        <w:rPr>
          <w:rFonts w:cs="Times New Roman"/>
          <w:szCs w:val="24"/>
        </w:rPr>
        <w:t>. Atık su arıtması ile geri kazanılan filtrasyon kalıntıları üretime geri dönüştürülebilmektedir.</w:t>
      </w:r>
      <w:r w:rsidR="005C6257" w:rsidRPr="005C6257">
        <w:rPr>
          <w:rFonts w:cs="Times New Roman"/>
          <w:szCs w:val="24"/>
        </w:rPr>
        <w:t xml:space="preserve"> </w:t>
      </w:r>
      <w:r w:rsidR="005C6257">
        <w:rPr>
          <w:rFonts w:cs="Times New Roman"/>
          <w:szCs w:val="24"/>
        </w:rPr>
        <w:t>(</w:t>
      </w:r>
      <w:r w:rsidR="005C6257" w:rsidRPr="00BC3A2D">
        <w:rPr>
          <w:rFonts w:cs="Times New Roman"/>
          <w:szCs w:val="24"/>
        </w:rPr>
        <w:t xml:space="preserve">Detaylı bilgi için Özel İnorganik Kimyasalların Üretimi İçin MET Referans Belgesinin </w:t>
      </w:r>
      <w:r w:rsidR="005C6257">
        <w:rPr>
          <w:rFonts w:cs="Times New Roman"/>
          <w:szCs w:val="24"/>
        </w:rPr>
        <w:t>4.4.1.2.1, 4.4.1.1.1,.4.4.1.1.3, 4.4.1, 6.1.2.3.2 ve 6.1.3.1.3 kısımlarını</w:t>
      </w:r>
      <w:r w:rsidR="005C6257" w:rsidRPr="00BC3A2D">
        <w:rPr>
          <w:rFonts w:cs="Times New Roman"/>
          <w:szCs w:val="24"/>
        </w:rPr>
        <w:t xml:space="preserve"> inceleyiniz.)</w:t>
      </w:r>
    </w:p>
    <w:p w14:paraId="15D3D320" w14:textId="341B5C72" w:rsidR="00B83A5B" w:rsidRPr="00F50C10" w:rsidRDefault="00B83A5B" w:rsidP="000B206D">
      <w:pPr>
        <w:pStyle w:val="ResimYazs"/>
        <w:spacing w:line="276" w:lineRule="auto"/>
        <w:rPr>
          <w:rFonts w:cs="Times New Roman"/>
          <w:szCs w:val="24"/>
        </w:rPr>
      </w:pPr>
      <w:bookmarkStart w:id="282" w:name="_Ref134790377"/>
      <w:r w:rsidRPr="00F50C10">
        <w:rPr>
          <w:rFonts w:cs="Times New Roman"/>
          <w:szCs w:val="24"/>
        </w:rPr>
        <w:t xml:space="preserve">Tablo </w:t>
      </w:r>
      <w:r w:rsidRPr="00F50C10">
        <w:rPr>
          <w:rFonts w:cs="Times New Roman"/>
          <w:szCs w:val="24"/>
        </w:rPr>
        <w:fldChar w:fldCharType="begin"/>
      </w:r>
      <w:r w:rsidRPr="00F50C10">
        <w:rPr>
          <w:rFonts w:cs="Times New Roman"/>
          <w:szCs w:val="24"/>
        </w:rPr>
        <w:instrText xml:space="preserve"> SEQ Tablo \* ARABIC </w:instrText>
      </w:r>
      <w:r w:rsidRPr="00F50C10">
        <w:rPr>
          <w:rFonts w:cs="Times New Roman"/>
          <w:szCs w:val="24"/>
        </w:rPr>
        <w:fldChar w:fldCharType="separate"/>
      </w:r>
      <w:r w:rsidRPr="00F50C10">
        <w:rPr>
          <w:rFonts w:cs="Times New Roman"/>
          <w:noProof/>
          <w:szCs w:val="24"/>
        </w:rPr>
        <w:t>1</w:t>
      </w:r>
      <w:r w:rsidRPr="00F50C10">
        <w:rPr>
          <w:rFonts w:cs="Times New Roman"/>
          <w:szCs w:val="24"/>
        </w:rPr>
        <w:fldChar w:fldCharType="end"/>
      </w:r>
      <w:bookmarkEnd w:id="282"/>
      <w:r w:rsidRPr="00F50C10">
        <w:rPr>
          <w:rFonts w:cs="Times New Roman"/>
          <w:szCs w:val="24"/>
        </w:rPr>
        <w:t xml:space="preserve">. MET </w:t>
      </w:r>
      <w:r w:rsidR="005C6257">
        <w:rPr>
          <w:rFonts w:cs="Times New Roman"/>
          <w:szCs w:val="24"/>
        </w:rPr>
        <w:t xml:space="preserve">12 </w:t>
      </w:r>
      <w:r w:rsidRPr="00F50C10">
        <w:rPr>
          <w:rFonts w:cs="Times New Roman"/>
          <w:szCs w:val="24"/>
        </w:rPr>
        <w:t>ile ilişkili emisyon seviyeleri (MET-İES’ler)</w:t>
      </w: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88"/>
        <w:gridCol w:w="3835"/>
        <w:gridCol w:w="3281"/>
      </w:tblGrid>
      <w:tr w:rsidR="00B83A5B" w:rsidRPr="00F50C10" w14:paraId="038F65A9" w14:textId="77777777" w:rsidTr="008F1C36">
        <w:trPr>
          <w:trHeight w:val="460"/>
        </w:trPr>
        <w:tc>
          <w:tcPr>
            <w:tcW w:w="1176" w:type="pct"/>
            <w:tcBorders>
              <w:top w:val="single" w:sz="6" w:space="0" w:color="000000"/>
              <w:left w:val="single" w:sz="6" w:space="0" w:color="000000"/>
              <w:bottom w:val="single" w:sz="6" w:space="0" w:color="000000"/>
              <w:right w:val="single" w:sz="6" w:space="0" w:color="000000"/>
            </w:tcBorders>
            <w:vAlign w:val="center"/>
            <w:hideMark/>
          </w:tcPr>
          <w:p w14:paraId="7A572726" w14:textId="77777777" w:rsidR="00B83A5B" w:rsidRPr="00F50C10" w:rsidRDefault="00B83A5B" w:rsidP="000B206D">
            <w:pPr>
              <w:pStyle w:val="TableParagraph"/>
              <w:spacing w:line="276" w:lineRule="auto"/>
              <w:ind w:left="74" w:right="74"/>
              <w:jc w:val="center"/>
              <w:rPr>
                <w:b/>
                <w:szCs w:val="24"/>
              </w:rPr>
            </w:pPr>
            <w:r w:rsidRPr="00F50C10">
              <w:rPr>
                <w:b/>
                <w:bCs/>
                <w:szCs w:val="24"/>
              </w:rPr>
              <w:t>Kirletici</w:t>
            </w:r>
          </w:p>
        </w:tc>
        <w:tc>
          <w:tcPr>
            <w:tcW w:w="2061" w:type="pct"/>
            <w:tcBorders>
              <w:top w:val="single" w:sz="6" w:space="0" w:color="000000"/>
              <w:left w:val="single" w:sz="6" w:space="0" w:color="000000"/>
              <w:bottom w:val="single" w:sz="6" w:space="0" w:color="000000"/>
              <w:right w:val="single" w:sz="6" w:space="0" w:color="000000"/>
            </w:tcBorders>
            <w:vAlign w:val="center"/>
            <w:hideMark/>
          </w:tcPr>
          <w:p w14:paraId="7C85C34E" w14:textId="77777777" w:rsidR="00B83A5B" w:rsidRPr="00F50C10" w:rsidRDefault="00B83A5B" w:rsidP="000B206D">
            <w:pPr>
              <w:pStyle w:val="TableParagraph"/>
              <w:spacing w:line="276" w:lineRule="auto"/>
              <w:ind w:left="74" w:right="74"/>
              <w:jc w:val="center"/>
              <w:rPr>
                <w:b/>
                <w:bCs/>
                <w:szCs w:val="24"/>
              </w:rPr>
            </w:pPr>
            <w:r w:rsidRPr="00F50C10">
              <w:rPr>
                <w:b/>
                <w:bCs/>
                <w:szCs w:val="24"/>
              </w:rPr>
              <w:t>Emisyon faktörü(</w:t>
            </w:r>
            <w:r w:rsidRPr="00F50C10">
              <w:rPr>
                <w:b/>
                <w:bCs/>
                <w:szCs w:val="24"/>
                <w:vertAlign w:val="superscript"/>
              </w:rPr>
              <w:t>1</w:t>
            </w:r>
            <w:r w:rsidRPr="00F50C10">
              <w:rPr>
                <w:b/>
                <w:bCs/>
                <w:szCs w:val="24"/>
              </w:rPr>
              <w:t>)</w:t>
            </w:r>
          </w:p>
          <w:p w14:paraId="32A273C2" w14:textId="77777777" w:rsidR="00B83A5B" w:rsidRPr="00F50C10" w:rsidRDefault="00B83A5B" w:rsidP="000B206D">
            <w:pPr>
              <w:pStyle w:val="TableParagraph"/>
              <w:spacing w:line="276" w:lineRule="auto"/>
              <w:ind w:left="74" w:right="74"/>
              <w:jc w:val="center"/>
              <w:rPr>
                <w:b/>
                <w:bCs/>
                <w:szCs w:val="24"/>
              </w:rPr>
            </w:pPr>
            <w:r w:rsidRPr="00F50C10">
              <w:rPr>
                <w:b/>
                <w:bCs/>
                <w:szCs w:val="24"/>
              </w:rPr>
              <w:t>(nihai üründe g/t)</w:t>
            </w:r>
          </w:p>
        </w:tc>
        <w:tc>
          <w:tcPr>
            <w:tcW w:w="1763" w:type="pct"/>
            <w:tcBorders>
              <w:top w:val="single" w:sz="6" w:space="0" w:color="000000"/>
              <w:left w:val="single" w:sz="6" w:space="0" w:color="000000"/>
              <w:bottom w:val="single" w:sz="6" w:space="0" w:color="000000"/>
              <w:right w:val="single" w:sz="6" w:space="0" w:color="000000"/>
            </w:tcBorders>
            <w:vAlign w:val="center"/>
            <w:hideMark/>
          </w:tcPr>
          <w:p w14:paraId="1D3FAD06" w14:textId="77777777" w:rsidR="00B83A5B" w:rsidRPr="00F50C10" w:rsidRDefault="00B83A5B" w:rsidP="000B206D">
            <w:pPr>
              <w:pStyle w:val="TableParagraph"/>
              <w:spacing w:line="276" w:lineRule="auto"/>
              <w:ind w:left="74" w:right="74"/>
              <w:jc w:val="center"/>
              <w:rPr>
                <w:b/>
                <w:bCs/>
                <w:szCs w:val="24"/>
              </w:rPr>
            </w:pPr>
            <w:r w:rsidRPr="00F50C10">
              <w:rPr>
                <w:b/>
                <w:bCs/>
                <w:szCs w:val="24"/>
              </w:rPr>
              <w:t>Konsantrasyon(</w:t>
            </w:r>
            <w:r w:rsidRPr="00F50C10">
              <w:rPr>
                <w:b/>
                <w:bCs/>
                <w:szCs w:val="24"/>
                <w:vertAlign w:val="superscript"/>
              </w:rPr>
              <w:t>1</w:t>
            </w:r>
            <w:r w:rsidRPr="00F50C10">
              <w:rPr>
                <w:b/>
                <w:bCs/>
                <w:szCs w:val="24"/>
              </w:rPr>
              <w:t>)</w:t>
            </w:r>
          </w:p>
          <w:p w14:paraId="2EDD86F6" w14:textId="77777777" w:rsidR="00B83A5B" w:rsidRPr="00F50C10" w:rsidRDefault="00B83A5B" w:rsidP="000B206D">
            <w:pPr>
              <w:pStyle w:val="TableParagraph"/>
              <w:spacing w:line="276" w:lineRule="auto"/>
              <w:ind w:left="74" w:right="74"/>
              <w:jc w:val="center"/>
              <w:rPr>
                <w:b/>
                <w:bCs/>
                <w:szCs w:val="24"/>
              </w:rPr>
            </w:pPr>
            <w:r w:rsidRPr="00F50C10">
              <w:rPr>
                <w:b/>
                <w:bCs/>
                <w:szCs w:val="24"/>
              </w:rPr>
              <w:t>(mg/l)</w:t>
            </w:r>
          </w:p>
        </w:tc>
      </w:tr>
      <w:tr w:rsidR="00B83A5B" w:rsidRPr="00F50C10" w14:paraId="1B034E2F" w14:textId="77777777" w:rsidTr="008F1C36">
        <w:trPr>
          <w:trHeight w:val="229"/>
        </w:trPr>
        <w:tc>
          <w:tcPr>
            <w:tcW w:w="1176" w:type="pct"/>
            <w:tcBorders>
              <w:top w:val="single" w:sz="6" w:space="0" w:color="000000"/>
              <w:left w:val="single" w:sz="6" w:space="0" w:color="000000"/>
              <w:bottom w:val="single" w:sz="6" w:space="0" w:color="000000"/>
              <w:right w:val="single" w:sz="6" w:space="0" w:color="000000"/>
            </w:tcBorders>
            <w:hideMark/>
          </w:tcPr>
          <w:p w14:paraId="2F3BB327" w14:textId="77777777" w:rsidR="00B83A5B" w:rsidRPr="00F50C10" w:rsidRDefault="00B83A5B" w:rsidP="000B206D">
            <w:pPr>
              <w:pStyle w:val="TableParagraph"/>
              <w:spacing w:line="276" w:lineRule="auto"/>
              <w:ind w:left="74" w:right="74"/>
              <w:rPr>
                <w:szCs w:val="24"/>
              </w:rPr>
            </w:pPr>
            <w:r w:rsidRPr="00F50C10">
              <w:rPr>
                <w:szCs w:val="24"/>
              </w:rPr>
              <w:t>Cd</w:t>
            </w:r>
          </w:p>
        </w:tc>
        <w:tc>
          <w:tcPr>
            <w:tcW w:w="2061" w:type="pct"/>
            <w:tcBorders>
              <w:top w:val="single" w:sz="6" w:space="0" w:color="000000"/>
              <w:left w:val="single" w:sz="6" w:space="0" w:color="000000"/>
              <w:bottom w:val="single" w:sz="6" w:space="0" w:color="000000"/>
              <w:right w:val="single" w:sz="6" w:space="0" w:color="000000"/>
            </w:tcBorders>
            <w:hideMark/>
          </w:tcPr>
          <w:p w14:paraId="20549FD5" w14:textId="77777777" w:rsidR="00B83A5B" w:rsidRPr="00F50C10" w:rsidRDefault="00B83A5B" w:rsidP="000B206D">
            <w:pPr>
              <w:pStyle w:val="TableParagraph"/>
              <w:spacing w:line="276" w:lineRule="auto"/>
              <w:ind w:left="74" w:right="74"/>
              <w:jc w:val="center"/>
              <w:rPr>
                <w:szCs w:val="24"/>
              </w:rPr>
            </w:pPr>
            <w:r w:rsidRPr="00F50C10">
              <w:rPr>
                <w:szCs w:val="24"/>
              </w:rPr>
              <w:t>50</w:t>
            </w:r>
          </w:p>
        </w:tc>
        <w:tc>
          <w:tcPr>
            <w:tcW w:w="1763" w:type="pct"/>
            <w:tcBorders>
              <w:top w:val="single" w:sz="6" w:space="0" w:color="000000"/>
              <w:left w:val="single" w:sz="6" w:space="0" w:color="000000"/>
              <w:bottom w:val="single" w:sz="6" w:space="0" w:color="000000"/>
              <w:right w:val="single" w:sz="6" w:space="0" w:color="000000"/>
            </w:tcBorders>
          </w:tcPr>
          <w:p w14:paraId="69847EDA" w14:textId="77777777" w:rsidR="00B83A5B" w:rsidRPr="00F50C10" w:rsidRDefault="00B83A5B" w:rsidP="000B206D">
            <w:pPr>
              <w:pStyle w:val="TableParagraph"/>
              <w:spacing w:line="276" w:lineRule="auto"/>
              <w:ind w:left="74" w:right="74"/>
              <w:jc w:val="center"/>
              <w:rPr>
                <w:szCs w:val="24"/>
              </w:rPr>
            </w:pPr>
          </w:p>
        </w:tc>
      </w:tr>
      <w:tr w:rsidR="00B83A5B" w:rsidRPr="00F50C10" w14:paraId="5538858B" w14:textId="77777777" w:rsidTr="008F1C36">
        <w:trPr>
          <w:trHeight w:val="229"/>
        </w:trPr>
        <w:tc>
          <w:tcPr>
            <w:tcW w:w="1176" w:type="pct"/>
            <w:tcBorders>
              <w:top w:val="single" w:sz="6" w:space="0" w:color="000000"/>
              <w:left w:val="single" w:sz="6" w:space="0" w:color="000000"/>
              <w:bottom w:val="single" w:sz="6" w:space="0" w:color="000000"/>
              <w:right w:val="single" w:sz="6" w:space="0" w:color="000000"/>
            </w:tcBorders>
            <w:hideMark/>
          </w:tcPr>
          <w:p w14:paraId="68DB2482" w14:textId="272EF81B" w:rsidR="00B83A5B" w:rsidRPr="00F50C10" w:rsidRDefault="00B83A5B" w:rsidP="000B206D">
            <w:pPr>
              <w:pStyle w:val="TableParagraph"/>
              <w:spacing w:line="276" w:lineRule="auto"/>
              <w:ind w:left="74" w:right="74"/>
              <w:rPr>
                <w:szCs w:val="24"/>
              </w:rPr>
            </w:pPr>
            <w:r w:rsidRPr="00F50C10">
              <w:rPr>
                <w:szCs w:val="24"/>
              </w:rPr>
              <w:t>Cr</w:t>
            </w:r>
            <w:r w:rsidR="00AC2E48" w:rsidRPr="00F50C10">
              <w:rPr>
                <w:szCs w:val="24"/>
                <w:vertAlign w:val="subscript"/>
              </w:rPr>
              <w:t>toplam</w:t>
            </w:r>
          </w:p>
        </w:tc>
        <w:tc>
          <w:tcPr>
            <w:tcW w:w="2061" w:type="pct"/>
            <w:tcBorders>
              <w:top w:val="single" w:sz="6" w:space="0" w:color="000000"/>
              <w:left w:val="single" w:sz="6" w:space="0" w:color="000000"/>
              <w:bottom w:val="single" w:sz="6" w:space="0" w:color="000000"/>
              <w:right w:val="single" w:sz="6" w:space="0" w:color="000000"/>
            </w:tcBorders>
            <w:hideMark/>
          </w:tcPr>
          <w:p w14:paraId="3A147B59" w14:textId="77777777" w:rsidR="00B83A5B" w:rsidRPr="00F50C10" w:rsidRDefault="00B83A5B" w:rsidP="000B206D">
            <w:pPr>
              <w:pStyle w:val="TableParagraph"/>
              <w:spacing w:line="276" w:lineRule="auto"/>
              <w:ind w:left="74" w:right="74"/>
              <w:jc w:val="center"/>
              <w:rPr>
                <w:szCs w:val="24"/>
              </w:rPr>
            </w:pPr>
            <w:r w:rsidRPr="00F50C10">
              <w:rPr>
                <w:szCs w:val="24"/>
              </w:rPr>
              <w:t>5 – 10</w:t>
            </w:r>
          </w:p>
        </w:tc>
        <w:tc>
          <w:tcPr>
            <w:tcW w:w="1763" w:type="pct"/>
            <w:tcBorders>
              <w:top w:val="single" w:sz="6" w:space="0" w:color="000000"/>
              <w:left w:val="single" w:sz="6" w:space="0" w:color="000000"/>
              <w:bottom w:val="single" w:sz="6" w:space="0" w:color="000000"/>
              <w:right w:val="single" w:sz="6" w:space="0" w:color="000000"/>
            </w:tcBorders>
            <w:hideMark/>
          </w:tcPr>
          <w:p w14:paraId="3ECCE34B" w14:textId="326A10D9" w:rsidR="00B83A5B" w:rsidRPr="00F50C10" w:rsidRDefault="00AC2E48" w:rsidP="000B206D">
            <w:pPr>
              <w:pStyle w:val="TableParagraph"/>
              <w:spacing w:line="276" w:lineRule="auto"/>
              <w:ind w:left="74" w:right="74"/>
              <w:jc w:val="center"/>
              <w:rPr>
                <w:szCs w:val="24"/>
              </w:rPr>
            </w:pPr>
            <w:r w:rsidRPr="00F50C10">
              <w:rPr>
                <w:szCs w:val="24"/>
              </w:rPr>
              <w:sym w:font="Symbol" w:char="F0A3"/>
            </w:r>
            <w:r w:rsidR="00B83A5B" w:rsidRPr="00F50C10">
              <w:rPr>
                <w:szCs w:val="24"/>
              </w:rPr>
              <w:t>0,1</w:t>
            </w:r>
          </w:p>
        </w:tc>
      </w:tr>
      <w:tr w:rsidR="00B83A5B" w:rsidRPr="00F50C10" w14:paraId="5ECE2076" w14:textId="77777777" w:rsidTr="008F1C36">
        <w:trPr>
          <w:trHeight w:val="232"/>
        </w:trPr>
        <w:tc>
          <w:tcPr>
            <w:tcW w:w="1176" w:type="pct"/>
            <w:tcBorders>
              <w:top w:val="single" w:sz="6" w:space="0" w:color="000000"/>
              <w:left w:val="single" w:sz="6" w:space="0" w:color="000000"/>
              <w:bottom w:val="single" w:sz="6" w:space="0" w:color="000000"/>
              <w:right w:val="single" w:sz="6" w:space="0" w:color="000000"/>
            </w:tcBorders>
            <w:hideMark/>
          </w:tcPr>
          <w:p w14:paraId="74680268" w14:textId="77777777" w:rsidR="00B83A5B" w:rsidRPr="00F50C10" w:rsidRDefault="00B83A5B" w:rsidP="000B206D">
            <w:pPr>
              <w:pStyle w:val="TableParagraph"/>
              <w:spacing w:line="276" w:lineRule="auto"/>
              <w:ind w:left="74" w:right="74"/>
              <w:rPr>
                <w:szCs w:val="24"/>
              </w:rPr>
            </w:pPr>
            <w:r w:rsidRPr="00F50C10">
              <w:rPr>
                <w:szCs w:val="24"/>
              </w:rPr>
              <w:t>Pb</w:t>
            </w:r>
          </w:p>
        </w:tc>
        <w:tc>
          <w:tcPr>
            <w:tcW w:w="2061" w:type="pct"/>
            <w:tcBorders>
              <w:top w:val="single" w:sz="6" w:space="0" w:color="000000"/>
              <w:left w:val="single" w:sz="6" w:space="0" w:color="000000"/>
              <w:bottom w:val="single" w:sz="6" w:space="0" w:color="000000"/>
              <w:right w:val="single" w:sz="6" w:space="0" w:color="000000"/>
            </w:tcBorders>
            <w:hideMark/>
          </w:tcPr>
          <w:p w14:paraId="5531329C" w14:textId="77777777" w:rsidR="00B83A5B" w:rsidRPr="00F50C10" w:rsidRDefault="00B83A5B" w:rsidP="000B206D">
            <w:pPr>
              <w:pStyle w:val="TableParagraph"/>
              <w:spacing w:line="276" w:lineRule="auto"/>
              <w:ind w:left="74" w:right="74"/>
              <w:jc w:val="center"/>
              <w:rPr>
                <w:szCs w:val="24"/>
              </w:rPr>
            </w:pPr>
            <w:r w:rsidRPr="00F50C10">
              <w:rPr>
                <w:szCs w:val="24"/>
              </w:rPr>
              <w:t>20 – 40</w:t>
            </w:r>
          </w:p>
        </w:tc>
        <w:tc>
          <w:tcPr>
            <w:tcW w:w="1763" w:type="pct"/>
            <w:tcBorders>
              <w:top w:val="single" w:sz="6" w:space="0" w:color="000000"/>
              <w:left w:val="single" w:sz="6" w:space="0" w:color="000000"/>
              <w:bottom w:val="single" w:sz="6" w:space="0" w:color="000000"/>
              <w:right w:val="single" w:sz="6" w:space="0" w:color="000000"/>
            </w:tcBorders>
            <w:hideMark/>
          </w:tcPr>
          <w:p w14:paraId="5B6F7AFD" w14:textId="77777777" w:rsidR="00B83A5B" w:rsidRPr="00F50C10" w:rsidRDefault="00B83A5B" w:rsidP="000B206D">
            <w:pPr>
              <w:pStyle w:val="TableParagraph"/>
              <w:spacing w:line="276" w:lineRule="auto"/>
              <w:ind w:left="74" w:right="74"/>
              <w:jc w:val="center"/>
              <w:rPr>
                <w:szCs w:val="24"/>
              </w:rPr>
            </w:pPr>
            <w:r w:rsidRPr="00F50C10">
              <w:rPr>
                <w:szCs w:val="24"/>
              </w:rPr>
              <w:t>&lt;0,5</w:t>
            </w:r>
          </w:p>
        </w:tc>
      </w:tr>
      <w:tr w:rsidR="00B83A5B" w:rsidRPr="00F50C10" w14:paraId="7F4786FC" w14:textId="77777777" w:rsidTr="008F1C36">
        <w:trPr>
          <w:trHeight w:val="205"/>
        </w:trPr>
        <w:tc>
          <w:tcPr>
            <w:tcW w:w="5000" w:type="pct"/>
            <w:gridSpan w:val="3"/>
            <w:tcBorders>
              <w:top w:val="single" w:sz="6" w:space="0" w:color="000000"/>
              <w:left w:val="single" w:sz="6" w:space="0" w:color="000000"/>
              <w:bottom w:val="single" w:sz="6" w:space="0" w:color="000000"/>
              <w:right w:val="single" w:sz="6" w:space="0" w:color="000000"/>
            </w:tcBorders>
            <w:hideMark/>
          </w:tcPr>
          <w:p w14:paraId="24C045EE" w14:textId="77777777" w:rsidR="00B83A5B" w:rsidRPr="00F50C10" w:rsidRDefault="00B83A5B" w:rsidP="000B206D">
            <w:pPr>
              <w:pStyle w:val="TableParagraph"/>
              <w:spacing w:line="276" w:lineRule="auto"/>
              <w:ind w:left="74" w:right="74"/>
              <w:rPr>
                <w:i/>
                <w:iCs/>
                <w:szCs w:val="24"/>
              </w:rPr>
            </w:pPr>
            <w:r w:rsidRPr="00F50C10">
              <w:rPr>
                <w:i/>
                <w:iCs/>
                <w:szCs w:val="24"/>
              </w:rPr>
              <w:t>(</w:t>
            </w:r>
            <w:r w:rsidRPr="00F50C10">
              <w:rPr>
                <w:i/>
                <w:iCs/>
                <w:szCs w:val="24"/>
                <w:vertAlign w:val="superscript"/>
              </w:rPr>
              <w:t>1</w:t>
            </w:r>
            <w:r w:rsidRPr="00F50C10">
              <w:rPr>
                <w:i/>
                <w:iCs/>
                <w:szCs w:val="24"/>
              </w:rPr>
              <w:t>)Veriler, yıllık ortalamaları temsil eder.</w:t>
            </w:r>
          </w:p>
        </w:tc>
      </w:tr>
    </w:tbl>
    <w:p w14:paraId="76127558" w14:textId="2EB20717" w:rsidR="00B83A5B" w:rsidRPr="00F50C10" w:rsidRDefault="00B83A5B" w:rsidP="000B206D">
      <w:pPr>
        <w:spacing w:after="120" w:line="276" w:lineRule="auto"/>
        <w:rPr>
          <w:rFonts w:cs="Times New Roman"/>
          <w:b/>
          <w:bCs/>
          <w:szCs w:val="24"/>
        </w:rPr>
      </w:pPr>
      <w:r w:rsidRPr="00F50C10">
        <w:rPr>
          <w:rFonts w:cs="Times New Roman"/>
          <w:b/>
          <w:bCs/>
          <w:szCs w:val="24"/>
        </w:rPr>
        <w:t xml:space="preserve">MET </w:t>
      </w:r>
      <w:r w:rsidR="000C16C9">
        <w:rPr>
          <w:rFonts w:cs="Times New Roman"/>
          <w:b/>
          <w:bCs/>
          <w:szCs w:val="24"/>
        </w:rPr>
        <w:t>13</w:t>
      </w:r>
      <w:r w:rsidRPr="00F50C10">
        <w:rPr>
          <w:rFonts w:cs="Times New Roman"/>
          <w:b/>
          <w:bCs/>
          <w:szCs w:val="24"/>
        </w:rPr>
        <w:t xml:space="preserve">: </w:t>
      </w:r>
      <w:r w:rsidRPr="00F50C10">
        <w:rPr>
          <w:rFonts w:cs="Times New Roman"/>
          <w:szCs w:val="24"/>
        </w:rPr>
        <w:t>Laux prosesi ile demir oksit pigmentlerinin üretiminde, atık suda bulunan organik azaltımında biyolojik arıtmadan yararlanıl</w:t>
      </w:r>
      <w:r w:rsidR="00165579" w:rsidRPr="00F50C10">
        <w:rPr>
          <w:rFonts w:cs="Times New Roman"/>
          <w:szCs w:val="24"/>
        </w:rPr>
        <w:t>ı</w:t>
      </w:r>
      <w:r w:rsidRPr="00F50C10">
        <w:rPr>
          <w:rFonts w:cs="Times New Roman"/>
          <w:szCs w:val="24"/>
        </w:rPr>
        <w:t>r.</w:t>
      </w:r>
      <w:r w:rsidR="005C6257" w:rsidRPr="005C6257">
        <w:rPr>
          <w:rFonts w:cs="Times New Roman"/>
          <w:szCs w:val="24"/>
        </w:rPr>
        <w:t xml:space="preserve"> </w:t>
      </w:r>
      <w:r w:rsidR="005C6257">
        <w:rPr>
          <w:rFonts w:cs="Times New Roman"/>
          <w:szCs w:val="24"/>
        </w:rPr>
        <w:t>(</w:t>
      </w:r>
      <w:r w:rsidR="005C6257" w:rsidRPr="00BC3A2D">
        <w:rPr>
          <w:rFonts w:cs="Times New Roman"/>
          <w:szCs w:val="24"/>
        </w:rPr>
        <w:t xml:space="preserve">Detaylı bilgi için Özel İnorganik Kimyasalların Üretimi İçin MET Referans Belgesinin </w:t>
      </w:r>
      <w:r w:rsidR="005C6257">
        <w:rPr>
          <w:rFonts w:cs="Times New Roman"/>
          <w:szCs w:val="24"/>
        </w:rPr>
        <w:t xml:space="preserve">6.1.2.3.2 </w:t>
      </w:r>
      <w:r w:rsidR="005C6257" w:rsidRPr="00BC3A2D">
        <w:rPr>
          <w:rFonts w:cs="Times New Roman"/>
          <w:szCs w:val="24"/>
        </w:rPr>
        <w:t>kıs</w:t>
      </w:r>
      <w:r w:rsidR="005C6257">
        <w:rPr>
          <w:rFonts w:cs="Times New Roman"/>
          <w:szCs w:val="24"/>
        </w:rPr>
        <w:t>mını</w:t>
      </w:r>
      <w:r w:rsidR="005C6257" w:rsidRPr="00BC3A2D">
        <w:rPr>
          <w:rFonts w:cs="Times New Roman"/>
          <w:szCs w:val="24"/>
        </w:rPr>
        <w:t xml:space="preserve"> inceleyiniz.)</w:t>
      </w:r>
    </w:p>
    <w:p w14:paraId="3D2C9E4A" w14:textId="51CFD5FD" w:rsidR="00B83A5B" w:rsidRPr="00F50C10" w:rsidRDefault="00B83A5B" w:rsidP="000B206D">
      <w:pPr>
        <w:spacing w:after="120" w:line="276" w:lineRule="auto"/>
        <w:rPr>
          <w:rFonts w:cs="Times New Roman"/>
          <w:szCs w:val="24"/>
        </w:rPr>
      </w:pPr>
      <w:r w:rsidRPr="00F50C10">
        <w:rPr>
          <w:rFonts w:cs="Times New Roman"/>
          <w:b/>
          <w:bCs/>
          <w:szCs w:val="24"/>
        </w:rPr>
        <w:t xml:space="preserve">MET </w:t>
      </w:r>
      <w:r w:rsidR="000C16C9">
        <w:rPr>
          <w:rFonts w:cs="Times New Roman"/>
          <w:b/>
          <w:bCs/>
          <w:szCs w:val="24"/>
        </w:rPr>
        <w:t>14</w:t>
      </w:r>
      <w:r w:rsidRPr="00F50C10">
        <w:rPr>
          <w:rFonts w:cs="Times New Roman"/>
          <w:b/>
          <w:bCs/>
          <w:szCs w:val="24"/>
        </w:rPr>
        <w:t xml:space="preserve">: </w:t>
      </w:r>
      <w:r w:rsidRPr="00F50C10">
        <w:rPr>
          <w:rFonts w:cs="Times New Roman"/>
          <w:szCs w:val="24"/>
        </w:rPr>
        <w:t>Bizmut vanadat ve kurşun kromat pigmentlerinin üretiminde, denitrifikasyon ile suya salınan NO</w:t>
      </w:r>
      <w:r w:rsidRPr="00F50C10">
        <w:rPr>
          <w:rFonts w:cs="Times New Roman"/>
          <w:szCs w:val="24"/>
          <w:vertAlign w:val="subscript"/>
        </w:rPr>
        <w:t>3</w:t>
      </w:r>
      <w:r w:rsidRPr="00F50C10">
        <w:rPr>
          <w:rFonts w:cs="Times New Roman"/>
          <w:szCs w:val="24"/>
        </w:rPr>
        <w:t>-N emisyonları yaklaşık %50 oranında azaltıl</w:t>
      </w:r>
      <w:r w:rsidR="00165579" w:rsidRPr="00F50C10">
        <w:rPr>
          <w:rFonts w:cs="Times New Roman"/>
          <w:szCs w:val="24"/>
        </w:rPr>
        <w:t>ı</w:t>
      </w:r>
      <w:r w:rsidRPr="00F50C10">
        <w:rPr>
          <w:rFonts w:cs="Times New Roman"/>
          <w:szCs w:val="24"/>
        </w:rPr>
        <w:t>r.</w:t>
      </w:r>
      <w:r w:rsidR="005C6257" w:rsidRPr="005C6257">
        <w:rPr>
          <w:rFonts w:cs="Times New Roman"/>
          <w:szCs w:val="24"/>
        </w:rPr>
        <w:t xml:space="preserve"> </w:t>
      </w:r>
      <w:r w:rsidR="005C6257">
        <w:rPr>
          <w:rFonts w:cs="Times New Roman"/>
          <w:szCs w:val="24"/>
        </w:rPr>
        <w:t>(</w:t>
      </w:r>
      <w:r w:rsidR="005C6257" w:rsidRPr="00BC3A2D">
        <w:rPr>
          <w:rFonts w:cs="Times New Roman"/>
          <w:szCs w:val="24"/>
        </w:rPr>
        <w:t xml:space="preserve">Detaylı bilgi için Özel İnorganik Kimyasalların Üretimi İçin MET Referans Belgesinin </w:t>
      </w:r>
      <w:r w:rsidR="005C6257">
        <w:rPr>
          <w:rFonts w:cs="Times New Roman"/>
          <w:szCs w:val="24"/>
        </w:rPr>
        <w:t xml:space="preserve">6.1.4.8 </w:t>
      </w:r>
      <w:r w:rsidR="005C6257" w:rsidRPr="00BC3A2D">
        <w:rPr>
          <w:rFonts w:cs="Times New Roman"/>
          <w:szCs w:val="24"/>
        </w:rPr>
        <w:t>kıs</w:t>
      </w:r>
      <w:r w:rsidR="005C6257">
        <w:rPr>
          <w:rFonts w:cs="Times New Roman"/>
          <w:szCs w:val="24"/>
        </w:rPr>
        <w:t>mını</w:t>
      </w:r>
      <w:r w:rsidR="005C6257" w:rsidRPr="00BC3A2D">
        <w:rPr>
          <w:rFonts w:cs="Times New Roman"/>
          <w:szCs w:val="24"/>
        </w:rPr>
        <w:t xml:space="preserve"> inceleyiniz.)</w:t>
      </w:r>
    </w:p>
    <w:p w14:paraId="73C15752" w14:textId="77777777" w:rsidR="00B83A5B" w:rsidRPr="00F50C10" w:rsidRDefault="00B83A5B" w:rsidP="00A654AE">
      <w:pPr>
        <w:pStyle w:val="Balk3"/>
        <w:numPr>
          <w:ilvl w:val="2"/>
          <w:numId w:val="137"/>
        </w:numPr>
        <w:spacing w:before="0" w:line="276" w:lineRule="auto"/>
        <w:rPr>
          <w:rFonts w:cs="Times New Roman"/>
        </w:rPr>
      </w:pPr>
      <w:bookmarkStart w:id="283" w:name="_Toc136866691"/>
      <w:r w:rsidRPr="00F50C10">
        <w:rPr>
          <w:rFonts w:cs="Times New Roman"/>
        </w:rPr>
        <w:t>Pigmentleri İçeren Çöktürme Atıklarının Geri Dönüştürülmesi</w:t>
      </w:r>
      <w:bookmarkEnd w:id="283"/>
    </w:p>
    <w:p w14:paraId="5B3FC7D8" w14:textId="5100C6F6" w:rsidR="00B83A5B" w:rsidRPr="00F50C10" w:rsidRDefault="00B83A5B" w:rsidP="000B206D">
      <w:pPr>
        <w:spacing w:after="120" w:line="276" w:lineRule="auto"/>
        <w:rPr>
          <w:rFonts w:cs="Times New Roman"/>
          <w:szCs w:val="24"/>
        </w:rPr>
      </w:pPr>
      <w:r w:rsidRPr="00F50C10">
        <w:rPr>
          <w:rFonts w:cs="Times New Roman"/>
          <w:b/>
          <w:bCs/>
          <w:szCs w:val="24"/>
        </w:rPr>
        <w:t xml:space="preserve">MET </w:t>
      </w:r>
      <w:r w:rsidR="000C16C9">
        <w:rPr>
          <w:rFonts w:cs="Times New Roman"/>
          <w:b/>
          <w:bCs/>
          <w:szCs w:val="24"/>
        </w:rPr>
        <w:t>15</w:t>
      </w:r>
      <w:r w:rsidRPr="00F50C10">
        <w:rPr>
          <w:rFonts w:cs="Times New Roman"/>
          <w:b/>
          <w:bCs/>
          <w:szCs w:val="24"/>
        </w:rPr>
        <w:t xml:space="preserve">: </w:t>
      </w:r>
      <w:r w:rsidRPr="00F50C10">
        <w:rPr>
          <w:rFonts w:cs="Times New Roman"/>
          <w:szCs w:val="24"/>
        </w:rPr>
        <w:t>Kadmiyum pigmentlerinin, litoponların, çöktürülmüş baryum sülfat, krom oksit ve demir oksit pigmentlerinin üretiminde, atık su akışının çöktürme adımlarından kaynaklanan filtrasyon kalıntıları üretime geri dön</w:t>
      </w:r>
      <w:r w:rsidR="00B8627A" w:rsidRPr="00F50C10">
        <w:rPr>
          <w:rFonts w:cs="Times New Roman"/>
          <w:szCs w:val="24"/>
        </w:rPr>
        <w:t>üştü</w:t>
      </w:r>
      <w:r w:rsidRPr="00F50C10">
        <w:rPr>
          <w:rFonts w:cs="Times New Roman"/>
          <w:szCs w:val="24"/>
        </w:rPr>
        <w:t>rül</w:t>
      </w:r>
      <w:r w:rsidR="00165579" w:rsidRPr="00F50C10">
        <w:rPr>
          <w:rFonts w:cs="Times New Roman"/>
          <w:szCs w:val="24"/>
        </w:rPr>
        <w:t>ü</w:t>
      </w:r>
      <w:r w:rsidRPr="00F50C10">
        <w:rPr>
          <w:rFonts w:cs="Times New Roman"/>
          <w:szCs w:val="24"/>
        </w:rPr>
        <w:t>r.</w:t>
      </w:r>
      <w:r w:rsidR="005C6257" w:rsidRPr="005C6257">
        <w:rPr>
          <w:rFonts w:cs="Times New Roman"/>
          <w:szCs w:val="24"/>
        </w:rPr>
        <w:t xml:space="preserve"> </w:t>
      </w:r>
      <w:r w:rsidR="005C6257">
        <w:rPr>
          <w:rFonts w:cs="Times New Roman"/>
          <w:szCs w:val="24"/>
        </w:rPr>
        <w:t>(</w:t>
      </w:r>
      <w:r w:rsidR="005C6257" w:rsidRPr="00BC3A2D">
        <w:rPr>
          <w:rFonts w:cs="Times New Roman"/>
          <w:szCs w:val="24"/>
        </w:rPr>
        <w:t xml:space="preserve">Detaylı bilgi için Özel İnorganik Kimyasalların Üretimi İçin MET Referans Belgesinin </w:t>
      </w:r>
      <w:r w:rsidR="005C6257">
        <w:rPr>
          <w:rFonts w:cs="Times New Roman"/>
          <w:szCs w:val="24"/>
        </w:rPr>
        <w:t xml:space="preserve">6.1.4.7 </w:t>
      </w:r>
      <w:r w:rsidR="005C6257" w:rsidRPr="00BC3A2D">
        <w:rPr>
          <w:rFonts w:cs="Times New Roman"/>
          <w:szCs w:val="24"/>
        </w:rPr>
        <w:t>kıs</w:t>
      </w:r>
      <w:r w:rsidR="005C6257">
        <w:rPr>
          <w:rFonts w:cs="Times New Roman"/>
          <w:szCs w:val="24"/>
        </w:rPr>
        <w:t>mını</w:t>
      </w:r>
      <w:r w:rsidR="005C6257" w:rsidRPr="00BC3A2D">
        <w:rPr>
          <w:rFonts w:cs="Times New Roman"/>
          <w:szCs w:val="24"/>
        </w:rPr>
        <w:t xml:space="preserve"> inceleyiniz.)</w:t>
      </w:r>
    </w:p>
    <w:p w14:paraId="38E28867" w14:textId="77777777" w:rsidR="00B83A5B" w:rsidRPr="00F50C10" w:rsidRDefault="00B83A5B" w:rsidP="00A654AE">
      <w:pPr>
        <w:pStyle w:val="Balk2"/>
        <w:numPr>
          <w:ilvl w:val="1"/>
          <w:numId w:val="137"/>
        </w:numPr>
        <w:spacing w:before="0" w:after="120" w:line="276" w:lineRule="auto"/>
        <w:rPr>
          <w:rFonts w:cs="Times New Roman"/>
          <w:szCs w:val="24"/>
        </w:rPr>
      </w:pPr>
      <w:bookmarkStart w:id="284" w:name="_Toc136866692"/>
      <w:r w:rsidRPr="00F50C10">
        <w:rPr>
          <w:rFonts w:cs="Times New Roman"/>
          <w:szCs w:val="24"/>
        </w:rPr>
        <w:t>Fosfor Bileşikleri</w:t>
      </w:r>
      <w:bookmarkEnd w:id="284"/>
    </w:p>
    <w:p w14:paraId="6597B693" w14:textId="6AF237FD" w:rsidR="00B83A5B" w:rsidRPr="00F50C10" w:rsidRDefault="00B83A5B" w:rsidP="00A654AE">
      <w:pPr>
        <w:pStyle w:val="Balk3"/>
        <w:numPr>
          <w:ilvl w:val="2"/>
          <w:numId w:val="137"/>
        </w:numPr>
        <w:spacing w:before="0" w:line="276" w:lineRule="auto"/>
        <w:rPr>
          <w:rFonts w:cs="Times New Roman"/>
          <w:lang w:val="nl-NL"/>
        </w:rPr>
      </w:pPr>
      <w:bookmarkStart w:id="285" w:name="_Toc136866693"/>
      <w:r w:rsidRPr="00F50C10">
        <w:rPr>
          <w:rFonts w:cs="Times New Roman"/>
          <w:lang w:val="nl-NL"/>
        </w:rPr>
        <w:t xml:space="preserve">Hammadde Seçimi, Depolaması, </w:t>
      </w:r>
      <w:bookmarkEnd w:id="285"/>
      <w:r w:rsidR="00165579" w:rsidRPr="00F50C10">
        <w:rPr>
          <w:rFonts w:cs="Times New Roman"/>
          <w:lang w:val="nl-NL"/>
        </w:rPr>
        <w:t>Taşınması</w:t>
      </w:r>
    </w:p>
    <w:p w14:paraId="08441978" w14:textId="2AF27463" w:rsidR="00B83A5B" w:rsidRPr="00F50C10" w:rsidRDefault="00B83A5B" w:rsidP="000B206D">
      <w:pPr>
        <w:spacing w:after="120" w:line="276" w:lineRule="auto"/>
        <w:rPr>
          <w:rFonts w:cs="Times New Roman"/>
          <w:szCs w:val="24"/>
          <w:lang w:val="nl-NL"/>
        </w:rPr>
      </w:pPr>
      <w:r w:rsidRPr="00F50C10">
        <w:rPr>
          <w:rFonts w:cs="Times New Roman"/>
          <w:b/>
          <w:bCs/>
          <w:szCs w:val="24"/>
          <w:lang w:val="nl-NL"/>
        </w:rPr>
        <w:t xml:space="preserve">MET </w:t>
      </w:r>
      <w:r w:rsidR="005C6257">
        <w:rPr>
          <w:rFonts w:cs="Times New Roman"/>
          <w:b/>
          <w:bCs/>
          <w:szCs w:val="24"/>
          <w:lang w:val="nl-NL"/>
        </w:rPr>
        <w:t>1</w:t>
      </w:r>
      <w:r w:rsidRPr="00F50C10">
        <w:rPr>
          <w:rFonts w:cs="Times New Roman"/>
          <w:b/>
          <w:bCs/>
          <w:szCs w:val="24"/>
          <w:lang w:val="nl-NL"/>
        </w:rPr>
        <w:t xml:space="preserve">: </w:t>
      </w:r>
      <w:r w:rsidR="00143FF4" w:rsidRPr="00F50C10">
        <w:rPr>
          <w:rFonts w:cs="Times New Roman"/>
          <w:szCs w:val="24"/>
          <w:lang w:val="nl-NL"/>
        </w:rPr>
        <w:t>Düşük o</w:t>
      </w:r>
      <w:r w:rsidRPr="00F50C10">
        <w:rPr>
          <w:rFonts w:cs="Times New Roman"/>
          <w:szCs w:val="24"/>
          <w:lang w:val="nl-NL"/>
        </w:rPr>
        <w:t>rganik ve inorganik safsızlıkları içeren elementel fosfor hammaddesi kullanılarak proseste üretilen atık miktarı en aza düşürül</w:t>
      </w:r>
      <w:r w:rsidR="00B8627A" w:rsidRPr="00F50C10">
        <w:rPr>
          <w:rFonts w:cs="Times New Roman"/>
          <w:szCs w:val="24"/>
          <w:lang w:val="nl-NL"/>
        </w:rPr>
        <w:t>ür</w:t>
      </w:r>
      <w:r w:rsidRPr="00F50C10">
        <w:rPr>
          <w:rFonts w:cs="Times New Roman"/>
          <w:szCs w:val="24"/>
          <w:lang w:val="nl-NL"/>
        </w:rPr>
        <w:t>.</w:t>
      </w:r>
      <w:r w:rsidR="005C6257" w:rsidRPr="005C6257">
        <w:rPr>
          <w:rFonts w:cs="Times New Roman"/>
          <w:szCs w:val="24"/>
        </w:rPr>
        <w:t xml:space="preserve"> </w:t>
      </w:r>
      <w:r w:rsidR="005C6257">
        <w:rPr>
          <w:rFonts w:cs="Times New Roman"/>
          <w:szCs w:val="24"/>
        </w:rPr>
        <w:t>(</w:t>
      </w:r>
      <w:r w:rsidR="005C6257" w:rsidRPr="00BC3A2D">
        <w:rPr>
          <w:rFonts w:cs="Times New Roman"/>
          <w:szCs w:val="24"/>
        </w:rPr>
        <w:t xml:space="preserve">Detaylı bilgi için Özel İnorganik Kimyasalların Üretimi İçin MET Referans Belgesinin </w:t>
      </w:r>
      <w:r w:rsidR="005C6257">
        <w:rPr>
          <w:rFonts w:cs="Times New Roman"/>
          <w:szCs w:val="24"/>
        </w:rPr>
        <w:t xml:space="preserve">6.2.4.4 </w:t>
      </w:r>
      <w:r w:rsidR="005C6257" w:rsidRPr="00BC3A2D">
        <w:rPr>
          <w:rFonts w:cs="Times New Roman"/>
          <w:szCs w:val="24"/>
        </w:rPr>
        <w:t>kıs</w:t>
      </w:r>
      <w:r w:rsidR="005C6257">
        <w:rPr>
          <w:rFonts w:cs="Times New Roman"/>
          <w:szCs w:val="24"/>
        </w:rPr>
        <w:t>mını</w:t>
      </w:r>
      <w:r w:rsidR="005C6257" w:rsidRPr="00BC3A2D">
        <w:rPr>
          <w:rFonts w:cs="Times New Roman"/>
          <w:szCs w:val="24"/>
        </w:rPr>
        <w:t xml:space="preserve"> inceleyiniz.)</w:t>
      </w:r>
    </w:p>
    <w:p w14:paraId="3791D1EF" w14:textId="070629EA" w:rsidR="00B83A5B" w:rsidRPr="00F50C10" w:rsidRDefault="00B83A5B" w:rsidP="000B206D">
      <w:pPr>
        <w:spacing w:after="120" w:line="276" w:lineRule="auto"/>
        <w:rPr>
          <w:rFonts w:cs="Times New Roman"/>
          <w:szCs w:val="24"/>
          <w:lang w:val="nl-NL"/>
        </w:rPr>
      </w:pPr>
      <w:r w:rsidRPr="00F50C10">
        <w:rPr>
          <w:rFonts w:cs="Times New Roman"/>
          <w:b/>
          <w:bCs/>
          <w:szCs w:val="24"/>
          <w:lang w:val="nl-NL"/>
        </w:rPr>
        <w:t xml:space="preserve">MET </w:t>
      </w:r>
      <w:r w:rsidR="005C6257">
        <w:rPr>
          <w:rFonts w:cs="Times New Roman"/>
          <w:b/>
          <w:bCs/>
          <w:szCs w:val="24"/>
          <w:lang w:val="nl-NL"/>
        </w:rPr>
        <w:t>2</w:t>
      </w:r>
      <w:r w:rsidRPr="00F50C10">
        <w:rPr>
          <w:rFonts w:cs="Times New Roman"/>
          <w:b/>
          <w:bCs/>
          <w:szCs w:val="24"/>
          <w:lang w:val="nl-NL"/>
        </w:rPr>
        <w:t xml:space="preserve">: </w:t>
      </w:r>
      <w:r w:rsidR="00143FF4" w:rsidRPr="00F50C10">
        <w:rPr>
          <w:rFonts w:cs="Times New Roman"/>
          <w:szCs w:val="24"/>
          <w:lang w:val="nl-NL"/>
        </w:rPr>
        <w:t>Prosesin diğer kısımlarından gelen sıcak yoğuşma suyunu kullanarak katı beyaz/sarı elemental fosfor hammaddesini eritmek için gereken enerji tüketimi azaltılır.</w:t>
      </w:r>
      <w:r w:rsidR="005C6257" w:rsidRPr="005C6257">
        <w:rPr>
          <w:rFonts w:cs="Times New Roman"/>
          <w:szCs w:val="24"/>
        </w:rPr>
        <w:t xml:space="preserve"> </w:t>
      </w:r>
      <w:r w:rsidR="005C6257">
        <w:rPr>
          <w:rFonts w:cs="Times New Roman"/>
          <w:szCs w:val="24"/>
        </w:rPr>
        <w:t>(</w:t>
      </w:r>
      <w:r w:rsidR="005C6257" w:rsidRPr="00BC3A2D">
        <w:rPr>
          <w:rFonts w:cs="Times New Roman"/>
          <w:szCs w:val="24"/>
        </w:rPr>
        <w:t xml:space="preserve">Detaylı bilgi için Özel İnorganik Kimyasalların Üretimi İçin MET Referans Belgesinin </w:t>
      </w:r>
      <w:r w:rsidR="005C6257">
        <w:rPr>
          <w:rFonts w:cs="Times New Roman"/>
          <w:szCs w:val="24"/>
        </w:rPr>
        <w:t xml:space="preserve">6.2.4.1 </w:t>
      </w:r>
      <w:r w:rsidR="005C6257" w:rsidRPr="00BC3A2D">
        <w:rPr>
          <w:rFonts w:cs="Times New Roman"/>
          <w:szCs w:val="24"/>
        </w:rPr>
        <w:t>kıs</w:t>
      </w:r>
      <w:r w:rsidR="005C6257">
        <w:rPr>
          <w:rFonts w:cs="Times New Roman"/>
          <w:szCs w:val="24"/>
        </w:rPr>
        <w:t>mını</w:t>
      </w:r>
      <w:r w:rsidR="005C6257" w:rsidRPr="00BC3A2D">
        <w:rPr>
          <w:rFonts w:cs="Times New Roman"/>
          <w:szCs w:val="24"/>
        </w:rPr>
        <w:t xml:space="preserve"> inceleyiniz.)</w:t>
      </w:r>
    </w:p>
    <w:p w14:paraId="702F8048" w14:textId="53F61370" w:rsidR="00B83A5B" w:rsidRPr="00F50C10" w:rsidRDefault="00B83A5B" w:rsidP="000B206D">
      <w:pPr>
        <w:spacing w:after="120" w:line="276" w:lineRule="auto"/>
        <w:rPr>
          <w:rFonts w:cs="Times New Roman"/>
          <w:szCs w:val="24"/>
          <w:lang w:val="nl-NL"/>
        </w:rPr>
      </w:pPr>
      <w:r w:rsidRPr="00F50C10">
        <w:rPr>
          <w:rFonts w:cs="Times New Roman"/>
          <w:b/>
          <w:bCs/>
          <w:szCs w:val="24"/>
          <w:lang w:val="nl-NL"/>
        </w:rPr>
        <w:t xml:space="preserve">MET </w:t>
      </w:r>
      <w:r w:rsidR="005C6257">
        <w:rPr>
          <w:rFonts w:cs="Times New Roman"/>
          <w:b/>
          <w:bCs/>
          <w:szCs w:val="24"/>
          <w:lang w:val="nl-NL"/>
        </w:rPr>
        <w:t>3</w:t>
      </w:r>
      <w:r w:rsidRPr="00F50C10">
        <w:rPr>
          <w:rFonts w:cs="Times New Roman"/>
          <w:b/>
          <w:bCs/>
          <w:szCs w:val="24"/>
          <w:lang w:val="nl-NL"/>
        </w:rPr>
        <w:t xml:space="preserve">: </w:t>
      </w:r>
      <w:r w:rsidRPr="00F50C10">
        <w:rPr>
          <w:rFonts w:cs="Times New Roman"/>
          <w:szCs w:val="24"/>
          <w:lang w:val="nl-NL"/>
        </w:rPr>
        <w:t xml:space="preserve">Elementel fosfor hammaddesinin, havayla temas ettiğinde tutuşması nedeniyle, tepkime adımına kadar inert ortam </w:t>
      </w:r>
      <w:r w:rsidR="002F24DB" w:rsidRPr="00F50C10">
        <w:rPr>
          <w:rFonts w:cs="Times New Roman"/>
          <w:szCs w:val="24"/>
          <w:lang w:val="nl-NL"/>
        </w:rPr>
        <w:t>sağlanarak</w:t>
      </w:r>
      <w:r w:rsidRPr="00F50C10">
        <w:rPr>
          <w:rFonts w:cs="Times New Roman"/>
          <w:szCs w:val="24"/>
          <w:lang w:val="nl-NL"/>
        </w:rPr>
        <w:t xml:space="preserve"> yangın riskinin en aza düşürülmesidir. Bu işlem aşağıdaki teknikler</w:t>
      </w:r>
      <w:r w:rsidR="002F24DB" w:rsidRPr="00F50C10">
        <w:rPr>
          <w:rFonts w:cs="Times New Roman"/>
          <w:szCs w:val="24"/>
          <w:lang w:val="nl-NL"/>
        </w:rPr>
        <w:t>de</w:t>
      </w:r>
      <w:r w:rsidRPr="00F50C10">
        <w:rPr>
          <w:rFonts w:cs="Times New Roman"/>
          <w:szCs w:val="24"/>
          <w:lang w:val="nl-NL"/>
        </w:rPr>
        <w:t xml:space="preserve">n biriyle </w:t>
      </w:r>
      <w:r w:rsidR="002F24DB" w:rsidRPr="00F50C10">
        <w:rPr>
          <w:rFonts w:cs="Times New Roman"/>
          <w:szCs w:val="24"/>
          <w:lang w:val="nl-NL"/>
        </w:rPr>
        <w:t>yapılabilir</w:t>
      </w:r>
      <w:r w:rsidRPr="00F50C10">
        <w:rPr>
          <w:rFonts w:cs="Times New Roman"/>
          <w:szCs w:val="24"/>
          <w:lang w:val="nl-NL"/>
        </w:rPr>
        <w:t>:</w:t>
      </w:r>
    </w:p>
    <w:p w14:paraId="69594EC7" w14:textId="76AF0685" w:rsidR="00B83A5B" w:rsidRPr="00F50C10" w:rsidRDefault="002F24DB" w:rsidP="00A654AE">
      <w:pPr>
        <w:pStyle w:val="ListeParagraf"/>
        <w:numPr>
          <w:ilvl w:val="0"/>
          <w:numId w:val="123"/>
        </w:numPr>
        <w:spacing w:after="120" w:line="276" w:lineRule="auto"/>
        <w:rPr>
          <w:rFonts w:cs="Times New Roman"/>
          <w:szCs w:val="24"/>
          <w:lang w:val="nl-NL"/>
        </w:rPr>
      </w:pPr>
      <w:r w:rsidRPr="00F50C10">
        <w:rPr>
          <w:rFonts w:cs="Times New Roman"/>
          <w:szCs w:val="24"/>
          <w:lang w:val="nl-NL"/>
        </w:rPr>
        <w:t>inert gaz kullanımı (</w:t>
      </w:r>
      <w:r w:rsidR="00B83A5B" w:rsidRPr="00F50C10">
        <w:rPr>
          <w:rFonts w:cs="Times New Roman"/>
          <w:szCs w:val="24"/>
          <w:lang w:val="nl-NL"/>
        </w:rPr>
        <w:t>N</w:t>
      </w:r>
      <w:r w:rsidR="00B83A5B" w:rsidRPr="00F50C10">
        <w:rPr>
          <w:rFonts w:cs="Times New Roman"/>
          <w:szCs w:val="24"/>
          <w:vertAlign w:val="subscript"/>
          <w:lang w:val="nl-NL"/>
        </w:rPr>
        <w:t>2</w:t>
      </w:r>
      <w:r w:rsidR="00B83A5B" w:rsidRPr="00F50C10">
        <w:rPr>
          <w:rFonts w:cs="Times New Roman"/>
          <w:szCs w:val="24"/>
          <w:lang w:val="nl-NL"/>
        </w:rPr>
        <w:t xml:space="preserve"> </w:t>
      </w:r>
      <w:r w:rsidRPr="00F50C10">
        <w:rPr>
          <w:rFonts w:cs="Times New Roman"/>
          <w:szCs w:val="24"/>
          <w:lang w:val="nl-NL"/>
        </w:rPr>
        <w:t xml:space="preserve">gazı </w:t>
      </w:r>
      <w:r w:rsidR="00B83A5B" w:rsidRPr="00F50C10">
        <w:rPr>
          <w:rFonts w:cs="Times New Roman"/>
          <w:szCs w:val="24"/>
          <w:lang w:val="nl-NL"/>
        </w:rPr>
        <w:t>gibi</w:t>
      </w:r>
      <w:r w:rsidRPr="00F50C10">
        <w:rPr>
          <w:rFonts w:cs="Times New Roman"/>
          <w:szCs w:val="24"/>
          <w:lang w:val="nl-NL"/>
        </w:rPr>
        <w:t>)</w:t>
      </w:r>
      <w:r w:rsidR="00B83A5B" w:rsidRPr="00F50C10">
        <w:rPr>
          <w:rFonts w:cs="Times New Roman"/>
          <w:szCs w:val="24"/>
          <w:lang w:val="nl-NL"/>
        </w:rPr>
        <w:t>,</w:t>
      </w:r>
      <w:r w:rsidR="005C6257" w:rsidRPr="005C6257">
        <w:rPr>
          <w:rFonts w:cs="Times New Roman"/>
          <w:szCs w:val="24"/>
        </w:rPr>
        <w:t xml:space="preserve"> </w:t>
      </w:r>
      <w:r w:rsidR="005C6257">
        <w:rPr>
          <w:rFonts w:cs="Times New Roman"/>
          <w:szCs w:val="24"/>
        </w:rPr>
        <w:t>(</w:t>
      </w:r>
      <w:r w:rsidR="005C6257" w:rsidRPr="00BC3A2D">
        <w:rPr>
          <w:rFonts w:cs="Times New Roman"/>
          <w:szCs w:val="24"/>
        </w:rPr>
        <w:t xml:space="preserve">Detaylı bilgi için Özel İnorganik Kimyasalların Üretimi İçin MET Referans Belgesinin </w:t>
      </w:r>
      <w:r w:rsidR="005C6257">
        <w:rPr>
          <w:rFonts w:cs="Times New Roman"/>
          <w:szCs w:val="24"/>
        </w:rPr>
        <w:t xml:space="preserve">6.2.4.2 </w:t>
      </w:r>
      <w:r w:rsidR="005C6257" w:rsidRPr="00BC3A2D">
        <w:rPr>
          <w:rFonts w:cs="Times New Roman"/>
          <w:szCs w:val="24"/>
        </w:rPr>
        <w:t>kıs</w:t>
      </w:r>
      <w:r w:rsidR="005C6257">
        <w:rPr>
          <w:rFonts w:cs="Times New Roman"/>
          <w:szCs w:val="24"/>
        </w:rPr>
        <w:t>mını</w:t>
      </w:r>
      <w:r w:rsidR="005C6257" w:rsidRPr="00BC3A2D">
        <w:rPr>
          <w:rFonts w:cs="Times New Roman"/>
          <w:szCs w:val="24"/>
        </w:rPr>
        <w:t xml:space="preserve"> inceleyiniz.)</w:t>
      </w:r>
    </w:p>
    <w:p w14:paraId="2230159E" w14:textId="72362C4F" w:rsidR="00B83A5B" w:rsidRPr="00F50C10" w:rsidRDefault="002F24DB" w:rsidP="00A654AE">
      <w:pPr>
        <w:pStyle w:val="ListeParagraf"/>
        <w:numPr>
          <w:ilvl w:val="0"/>
          <w:numId w:val="123"/>
        </w:numPr>
        <w:spacing w:after="120" w:line="276" w:lineRule="auto"/>
        <w:rPr>
          <w:rFonts w:cs="Times New Roman"/>
          <w:szCs w:val="24"/>
          <w:lang w:val="nl-NL"/>
        </w:rPr>
      </w:pPr>
      <w:r w:rsidRPr="00F50C10">
        <w:rPr>
          <w:rFonts w:cs="Times New Roman"/>
          <w:szCs w:val="24"/>
          <w:lang w:val="nl-NL"/>
        </w:rPr>
        <w:t xml:space="preserve">söndürücü katman </w:t>
      </w:r>
      <w:r w:rsidR="00B83A5B" w:rsidRPr="00F50C10">
        <w:rPr>
          <w:rFonts w:cs="Times New Roman"/>
          <w:szCs w:val="24"/>
          <w:lang w:val="nl-NL"/>
        </w:rPr>
        <w:t>olarak suyun kullanılması ve suyun çıkış gazı yıkaması için geri dön</w:t>
      </w:r>
      <w:r w:rsidRPr="00F50C10">
        <w:rPr>
          <w:rFonts w:cs="Times New Roman"/>
          <w:szCs w:val="24"/>
          <w:lang w:val="nl-NL"/>
        </w:rPr>
        <w:t>üştürülm</w:t>
      </w:r>
      <w:r w:rsidR="00B83A5B" w:rsidRPr="00F50C10">
        <w:rPr>
          <w:rFonts w:cs="Times New Roman"/>
          <w:szCs w:val="24"/>
          <w:lang w:val="nl-NL"/>
        </w:rPr>
        <w:t>esi.</w:t>
      </w:r>
      <w:r w:rsidR="005C6257" w:rsidRPr="005C6257">
        <w:rPr>
          <w:rFonts w:cs="Times New Roman"/>
          <w:szCs w:val="24"/>
        </w:rPr>
        <w:t xml:space="preserve"> </w:t>
      </w:r>
      <w:r w:rsidR="005C6257">
        <w:rPr>
          <w:rFonts w:cs="Times New Roman"/>
          <w:szCs w:val="24"/>
        </w:rPr>
        <w:t>(</w:t>
      </w:r>
      <w:r w:rsidR="005C6257" w:rsidRPr="00BC3A2D">
        <w:rPr>
          <w:rFonts w:cs="Times New Roman"/>
          <w:szCs w:val="24"/>
        </w:rPr>
        <w:t xml:space="preserve">Detaylı bilgi için Özel İnorganik Kimyasalların Üretimi İçin MET Referans Belgesinin </w:t>
      </w:r>
      <w:r w:rsidR="005C6257">
        <w:rPr>
          <w:rFonts w:cs="Times New Roman"/>
          <w:szCs w:val="24"/>
        </w:rPr>
        <w:t xml:space="preserve">6.2.4.3 </w:t>
      </w:r>
      <w:r w:rsidR="005C6257" w:rsidRPr="00BC3A2D">
        <w:rPr>
          <w:rFonts w:cs="Times New Roman"/>
          <w:szCs w:val="24"/>
        </w:rPr>
        <w:t>kıs</w:t>
      </w:r>
      <w:r w:rsidR="005C6257">
        <w:rPr>
          <w:rFonts w:cs="Times New Roman"/>
          <w:szCs w:val="24"/>
        </w:rPr>
        <w:t>mını</w:t>
      </w:r>
      <w:r w:rsidR="005C6257" w:rsidRPr="00BC3A2D">
        <w:rPr>
          <w:rFonts w:cs="Times New Roman"/>
          <w:szCs w:val="24"/>
        </w:rPr>
        <w:t xml:space="preserve"> inceleyiniz.)</w:t>
      </w:r>
    </w:p>
    <w:p w14:paraId="29BA0266" w14:textId="77777777" w:rsidR="00B83A5B" w:rsidRPr="00F50C10" w:rsidRDefault="00B83A5B" w:rsidP="00A654AE">
      <w:pPr>
        <w:pStyle w:val="Balk3"/>
        <w:numPr>
          <w:ilvl w:val="2"/>
          <w:numId w:val="137"/>
        </w:numPr>
        <w:spacing w:line="276" w:lineRule="auto"/>
        <w:rPr>
          <w:rFonts w:cs="Times New Roman"/>
        </w:rPr>
      </w:pPr>
      <w:bookmarkStart w:id="286" w:name="_Toc136866694"/>
      <w:r w:rsidRPr="00F50C10">
        <w:rPr>
          <w:rFonts w:cs="Times New Roman"/>
        </w:rPr>
        <w:t>Üretim Prosesinin Seçilmesi</w:t>
      </w:r>
      <w:bookmarkEnd w:id="286"/>
    </w:p>
    <w:p w14:paraId="5FFADF24" w14:textId="1304D986" w:rsidR="00B83A5B" w:rsidRPr="00F50C10" w:rsidRDefault="00B83A5B" w:rsidP="000B206D">
      <w:pPr>
        <w:spacing w:before="240" w:line="276" w:lineRule="auto"/>
        <w:rPr>
          <w:rFonts w:cs="Times New Roman"/>
          <w:szCs w:val="24"/>
        </w:rPr>
      </w:pPr>
      <w:r w:rsidRPr="00F50C10">
        <w:rPr>
          <w:rFonts w:cs="Times New Roman"/>
          <w:b/>
          <w:bCs/>
          <w:szCs w:val="24"/>
        </w:rPr>
        <w:t xml:space="preserve">MET </w:t>
      </w:r>
      <w:r w:rsidR="005C6257">
        <w:rPr>
          <w:rFonts w:cs="Times New Roman"/>
          <w:b/>
          <w:bCs/>
          <w:szCs w:val="24"/>
        </w:rPr>
        <w:t>4</w:t>
      </w:r>
      <w:r w:rsidRPr="00F50C10">
        <w:rPr>
          <w:rFonts w:cs="Times New Roman"/>
          <w:b/>
          <w:bCs/>
          <w:szCs w:val="24"/>
        </w:rPr>
        <w:t xml:space="preserve">: </w:t>
      </w:r>
      <w:r w:rsidRPr="00F50C10">
        <w:rPr>
          <w:rFonts w:cs="Times New Roman"/>
          <w:szCs w:val="24"/>
        </w:rPr>
        <w:t xml:space="preserve">Yeni tesisler için, </w:t>
      </w:r>
      <w:r w:rsidR="002F24DB" w:rsidRPr="00F50C10">
        <w:rPr>
          <w:rFonts w:cs="Times New Roman"/>
          <w:szCs w:val="24"/>
        </w:rPr>
        <w:t xml:space="preserve">%99,5’in üzerindeki tepkime verimine olanak tanıyan proses kullanılarak, </w:t>
      </w:r>
      <w:r w:rsidRPr="00F50C10">
        <w:rPr>
          <w:rFonts w:cs="Times New Roman"/>
          <w:szCs w:val="24"/>
        </w:rPr>
        <w:t xml:space="preserve">klor </w:t>
      </w:r>
      <w:r w:rsidR="002F24DB" w:rsidRPr="00F50C10">
        <w:rPr>
          <w:rFonts w:cs="Times New Roman"/>
          <w:szCs w:val="24"/>
        </w:rPr>
        <w:t>kullanımında</w:t>
      </w:r>
      <w:r w:rsidRPr="00F50C10">
        <w:rPr>
          <w:rFonts w:cs="Times New Roman"/>
          <w:szCs w:val="24"/>
        </w:rPr>
        <w:t xml:space="preserve"> %99,9’un üzerindeki tepkime verimine eşdeğer olan fosfor </w:t>
      </w:r>
      <w:r w:rsidR="002F24DB" w:rsidRPr="00F50C10">
        <w:rPr>
          <w:rFonts w:cs="Times New Roman"/>
          <w:szCs w:val="24"/>
        </w:rPr>
        <w:t>kullanımı ile</w:t>
      </w:r>
      <w:r w:rsidRPr="00F50C10">
        <w:rPr>
          <w:rFonts w:cs="Times New Roman"/>
          <w:szCs w:val="24"/>
        </w:rPr>
        <w:t xml:space="preserve"> PCl</w:t>
      </w:r>
      <w:r w:rsidRPr="00F50C10">
        <w:rPr>
          <w:rFonts w:cs="Times New Roman"/>
          <w:szCs w:val="24"/>
          <w:vertAlign w:val="subscript"/>
        </w:rPr>
        <w:t>3</w:t>
      </w:r>
      <w:r w:rsidRPr="00F50C10">
        <w:rPr>
          <w:rFonts w:cs="Times New Roman"/>
          <w:szCs w:val="24"/>
        </w:rPr>
        <w:t xml:space="preserve"> üretilir.</w:t>
      </w:r>
      <w:r w:rsidR="005C6257" w:rsidRPr="005C6257">
        <w:rPr>
          <w:rFonts w:cs="Times New Roman"/>
          <w:szCs w:val="24"/>
        </w:rPr>
        <w:t xml:space="preserve"> </w:t>
      </w:r>
      <w:r w:rsidR="005C6257">
        <w:rPr>
          <w:rFonts w:cs="Times New Roman"/>
          <w:szCs w:val="24"/>
        </w:rPr>
        <w:t>(</w:t>
      </w:r>
      <w:r w:rsidR="005C6257" w:rsidRPr="00BC3A2D">
        <w:rPr>
          <w:rFonts w:cs="Times New Roman"/>
          <w:szCs w:val="24"/>
        </w:rPr>
        <w:t xml:space="preserve">Detaylı bilgi için Özel İnorganik Kimyasalların Üretimi İçin MET Referans Belgesinin </w:t>
      </w:r>
      <w:r w:rsidR="005C6257">
        <w:rPr>
          <w:rFonts w:cs="Times New Roman"/>
          <w:szCs w:val="24"/>
        </w:rPr>
        <w:t xml:space="preserve">6.2.2.2.1.1 ve 6.2.2.2.1.2 </w:t>
      </w:r>
      <w:r w:rsidR="005C6257" w:rsidRPr="00BC3A2D">
        <w:rPr>
          <w:rFonts w:cs="Times New Roman"/>
          <w:szCs w:val="24"/>
        </w:rPr>
        <w:t>kıs</w:t>
      </w:r>
      <w:r w:rsidR="005C6257">
        <w:rPr>
          <w:rFonts w:cs="Times New Roman"/>
          <w:szCs w:val="24"/>
        </w:rPr>
        <w:t>ımlarını</w:t>
      </w:r>
      <w:r w:rsidR="005C6257" w:rsidRPr="00BC3A2D">
        <w:rPr>
          <w:rFonts w:cs="Times New Roman"/>
          <w:szCs w:val="24"/>
        </w:rPr>
        <w:t xml:space="preserve"> inceleyiniz.)</w:t>
      </w:r>
    </w:p>
    <w:p w14:paraId="364F4AFC" w14:textId="77777777" w:rsidR="00B83A5B" w:rsidRPr="00F50C10" w:rsidRDefault="00B83A5B" w:rsidP="00A654AE">
      <w:pPr>
        <w:pStyle w:val="Balk3"/>
        <w:numPr>
          <w:ilvl w:val="2"/>
          <w:numId w:val="137"/>
        </w:numPr>
        <w:spacing w:line="276" w:lineRule="auto"/>
        <w:rPr>
          <w:rFonts w:cs="Times New Roman"/>
        </w:rPr>
      </w:pPr>
      <w:bookmarkStart w:id="287" w:name="_Toc136866695"/>
      <w:r w:rsidRPr="00F50C10">
        <w:rPr>
          <w:rFonts w:cs="Times New Roman"/>
        </w:rPr>
        <w:t>Kazaların Önlenmesi</w:t>
      </w:r>
      <w:bookmarkEnd w:id="287"/>
    </w:p>
    <w:p w14:paraId="1AFC7666" w14:textId="7DBEE5BA" w:rsidR="00B83A5B" w:rsidRPr="00F50C10" w:rsidRDefault="00B83A5B" w:rsidP="000B206D">
      <w:pPr>
        <w:spacing w:before="240" w:line="276" w:lineRule="auto"/>
        <w:rPr>
          <w:rFonts w:cs="Times New Roman"/>
          <w:szCs w:val="24"/>
        </w:rPr>
      </w:pPr>
      <w:r w:rsidRPr="00F50C10">
        <w:rPr>
          <w:rFonts w:cs="Times New Roman"/>
          <w:b/>
          <w:bCs/>
          <w:szCs w:val="24"/>
        </w:rPr>
        <w:t xml:space="preserve">MET </w:t>
      </w:r>
      <w:r w:rsidR="005C6257">
        <w:rPr>
          <w:rFonts w:cs="Times New Roman"/>
          <w:b/>
          <w:bCs/>
          <w:szCs w:val="24"/>
        </w:rPr>
        <w:t>5</w:t>
      </w:r>
      <w:r w:rsidRPr="00F50C10">
        <w:rPr>
          <w:rFonts w:cs="Times New Roman"/>
          <w:b/>
          <w:bCs/>
          <w:szCs w:val="24"/>
        </w:rPr>
        <w:t xml:space="preserve">: </w:t>
      </w:r>
      <w:r w:rsidRPr="00F50C10">
        <w:rPr>
          <w:rFonts w:cs="Times New Roman"/>
          <w:szCs w:val="24"/>
        </w:rPr>
        <w:t>Üretimde tamamen kapatılmış sistemlerin kullanılması yoluyla tehlikeli aşındırıcı malzemelerin saçılma ve sızıntılar en aza düşürü</w:t>
      </w:r>
      <w:r w:rsidR="00CA60E1" w:rsidRPr="00F50C10">
        <w:rPr>
          <w:rFonts w:cs="Times New Roman"/>
          <w:szCs w:val="24"/>
        </w:rPr>
        <w:t>lür</w:t>
      </w:r>
      <w:r w:rsidRPr="00F50C10">
        <w:rPr>
          <w:rFonts w:cs="Times New Roman"/>
          <w:szCs w:val="24"/>
        </w:rPr>
        <w:t>.</w:t>
      </w:r>
      <w:r w:rsidR="005C6257" w:rsidRPr="005C6257">
        <w:rPr>
          <w:rFonts w:cs="Times New Roman"/>
          <w:szCs w:val="24"/>
        </w:rPr>
        <w:t xml:space="preserve"> </w:t>
      </w:r>
      <w:r w:rsidR="005C6257">
        <w:rPr>
          <w:rFonts w:cs="Times New Roman"/>
          <w:szCs w:val="24"/>
        </w:rPr>
        <w:t>(</w:t>
      </w:r>
      <w:r w:rsidR="005C6257" w:rsidRPr="00BC3A2D">
        <w:rPr>
          <w:rFonts w:cs="Times New Roman"/>
          <w:szCs w:val="24"/>
        </w:rPr>
        <w:t xml:space="preserve">Detaylı bilgi için Özel İnorganik Kimyasalların Üretimi İçin MET Referans Belgesinin </w:t>
      </w:r>
      <w:r w:rsidR="005C6257">
        <w:rPr>
          <w:rFonts w:cs="Times New Roman"/>
          <w:szCs w:val="24"/>
        </w:rPr>
        <w:t xml:space="preserve">6.2.4.7 </w:t>
      </w:r>
      <w:r w:rsidR="005C6257" w:rsidRPr="00BC3A2D">
        <w:rPr>
          <w:rFonts w:cs="Times New Roman"/>
          <w:szCs w:val="24"/>
        </w:rPr>
        <w:t>kıs</w:t>
      </w:r>
      <w:r w:rsidR="005C6257">
        <w:rPr>
          <w:rFonts w:cs="Times New Roman"/>
          <w:szCs w:val="24"/>
        </w:rPr>
        <w:t>mını</w:t>
      </w:r>
      <w:r w:rsidR="005C6257" w:rsidRPr="00BC3A2D">
        <w:rPr>
          <w:rFonts w:cs="Times New Roman"/>
          <w:szCs w:val="24"/>
        </w:rPr>
        <w:t xml:space="preserve"> inceleyiniz.)</w:t>
      </w:r>
    </w:p>
    <w:p w14:paraId="6256DA27" w14:textId="6145A92A"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w:t>
      </w:r>
      <w:r w:rsidR="005C6257">
        <w:rPr>
          <w:rFonts w:cs="Times New Roman"/>
          <w:b/>
          <w:bCs/>
          <w:szCs w:val="24"/>
        </w:rPr>
        <w:t>6</w:t>
      </w:r>
      <w:r w:rsidRPr="00F50C10">
        <w:rPr>
          <w:rFonts w:cs="Times New Roman"/>
          <w:b/>
          <w:bCs/>
          <w:szCs w:val="24"/>
        </w:rPr>
        <w:t xml:space="preserve">: </w:t>
      </w:r>
      <w:r w:rsidRPr="00F50C10">
        <w:rPr>
          <w:rFonts w:cs="Times New Roman"/>
          <w:szCs w:val="24"/>
        </w:rPr>
        <w:t>Tüm boru ve ekipmanlara uyarı ve bilgi etiketleri takıl</w:t>
      </w:r>
      <w:r w:rsidR="00CA60E1" w:rsidRPr="00F50C10">
        <w:rPr>
          <w:rFonts w:cs="Times New Roman"/>
          <w:szCs w:val="24"/>
        </w:rPr>
        <w:t>ı</w:t>
      </w:r>
      <w:r w:rsidRPr="00F50C10">
        <w:rPr>
          <w:rFonts w:cs="Times New Roman"/>
          <w:szCs w:val="24"/>
        </w:rPr>
        <w:t>r.</w:t>
      </w:r>
      <w:r w:rsidR="005C6257" w:rsidRPr="005C6257">
        <w:rPr>
          <w:rFonts w:cs="Times New Roman"/>
          <w:szCs w:val="24"/>
        </w:rPr>
        <w:t xml:space="preserve"> </w:t>
      </w:r>
      <w:r w:rsidR="005C6257">
        <w:rPr>
          <w:rFonts w:cs="Times New Roman"/>
          <w:szCs w:val="24"/>
        </w:rPr>
        <w:t>(</w:t>
      </w:r>
      <w:r w:rsidR="005C6257" w:rsidRPr="00BC3A2D">
        <w:rPr>
          <w:rFonts w:cs="Times New Roman"/>
          <w:szCs w:val="24"/>
        </w:rPr>
        <w:t xml:space="preserve">Detaylı bilgi için Özel İnorganik Kimyasalların Üretimi İçin MET Referans Belgesinin </w:t>
      </w:r>
      <w:r w:rsidR="005C6257">
        <w:rPr>
          <w:rFonts w:cs="Times New Roman"/>
          <w:szCs w:val="24"/>
        </w:rPr>
        <w:t xml:space="preserve">6.2.4.7 </w:t>
      </w:r>
      <w:r w:rsidR="005C6257" w:rsidRPr="00BC3A2D">
        <w:rPr>
          <w:rFonts w:cs="Times New Roman"/>
          <w:szCs w:val="24"/>
        </w:rPr>
        <w:t>kıs</w:t>
      </w:r>
      <w:r w:rsidR="005C6257">
        <w:rPr>
          <w:rFonts w:cs="Times New Roman"/>
          <w:szCs w:val="24"/>
        </w:rPr>
        <w:t>mını</w:t>
      </w:r>
      <w:r w:rsidR="005C6257" w:rsidRPr="00BC3A2D">
        <w:rPr>
          <w:rFonts w:cs="Times New Roman"/>
          <w:szCs w:val="24"/>
        </w:rPr>
        <w:t xml:space="preserve"> inceleyiniz.)</w:t>
      </w:r>
    </w:p>
    <w:p w14:paraId="38FC05BA" w14:textId="77777777" w:rsidR="00B83A5B" w:rsidRPr="00F50C10" w:rsidRDefault="00B83A5B" w:rsidP="00A654AE">
      <w:pPr>
        <w:pStyle w:val="Balk3"/>
        <w:numPr>
          <w:ilvl w:val="2"/>
          <w:numId w:val="137"/>
        </w:numPr>
        <w:spacing w:line="276" w:lineRule="auto"/>
        <w:rPr>
          <w:rFonts w:cs="Times New Roman"/>
        </w:rPr>
      </w:pPr>
      <w:bookmarkStart w:id="288" w:name="_Toc136866696"/>
      <w:r w:rsidRPr="00F50C10">
        <w:rPr>
          <w:rFonts w:cs="Times New Roman"/>
        </w:rPr>
        <w:t>Havaya Emisyonlar</w:t>
      </w:r>
      <w:bookmarkEnd w:id="288"/>
    </w:p>
    <w:p w14:paraId="37747834" w14:textId="4A6E9E3B" w:rsidR="00B83A5B" w:rsidRPr="00F50C10" w:rsidRDefault="00B83A5B" w:rsidP="000B206D">
      <w:pPr>
        <w:spacing w:before="240" w:line="276" w:lineRule="auto"/>
        <w:rPr>
          <w:rFonts w:cs="Times New Roman"/>
          <w:szCs w:val="24"/>
        </w:rPr>
      </w:pPr>
      <w:r w:rsidRPr="00F50C10">
        <w:rPr>
          <w:rFonts w:cs="Times New Roman"/>
          <w:b/>
          <w:bCs/>
          <w:szCs w:val="24"/>
        </w:rPr>
        <w:t xml:space="preserve">MET </w:t>
      </w:r>
      <w:r w:rsidR="005C6257">
        <w:rPr>
          <w:rFonts w:cs="Times New Roman"/>
          <w:b/>
          <w:bCs/>
          <w:szCs w:val="24"/>
        </w:rPr>
        <w:t>7</w:t>
      </w:r>
      <w:r w:rsidRPr="00F50C10">
        <w:rPr>
          <w:rFonts w:cs="Times New Roman"/>
          <w:b/>
          <w:bCs/>
          <w:szCs w:val="24"/>
        </w:rPr>
        <w:t xml:space="preserve">: </w:t>
      </w:r>
      <w:r w:rsidRPr="00F50C10">
        <w:rPr>
          <w:rFonts w:cs="Times New Roman"/>
          <w:szCs w:val="24"/>
        </w:rPr>
        <w:t>Fosfor bileşiklerinin üretiminden dolayı havaya yayılan HCl emisyonları azaltıl</w:t>
      </w:r>
      <w:r w:rsidR="00CA60E1" w:rsidRPr="00F50C10">
        <w:rPr>
          <w:rFonts w:cs="Times New Roman"/>
          <w:szCs w:val="24"/>
        </w:rPr>
        <w:t>ır</w:t>
      </w:r>
      <w:r w:rsidRPr="00F50C10">
        <w:rPr>
          <w:rFonts w:cs="Times New Roman"/>
          <w:szCs w:val="24"/>
        </w:rPr>
        <w:t xml:space="preserve"> ve alkali yıkama sayesinde 3 – 15 mg/Nm</w:t>
      </w:r>
      <w:r w:rsidRPr="00F50C10">
        <w:rPr>
          <w:rFonts w:cs="Times New Roman"/>
          <w:szCs w:val="24"/>
          <w:vertAlign w:val="superscript"/>
        </w:rPr>
        <w:t>3</w:t>
      </w:r>
      <w:r w:rsidRPr="00F50C10">
        <w:rPr>
          <w:rFonts w:cs="Times New Roman"/>
          <w:szCs w:val="24"/>
        </w:rPr>
        <w:t xml:space="preserve"> emisyon düzeylerinin elde edi</w:t>
      </w:r>
      <w:r w:rsidR="00CA60E1" w:rsidRPr="00F50C10">
        <w:rPr>
          <w:rFonts w:cs="Times New Roman"/>
          <w:szCs w:val="24"/>
        </w:rPr>
        <w:t>li</w:t>
      </w:r>
      <w:r w:rsidRPr="00F50C10">
        <w:rPr>
          <w:rFonts w:cs="Times New Roman"/>
          <w:szCs w:val="24"/>
        </w:rPr>
        <w:t>r.</w:t>
      </w:r>
      <w:r w:rsidR="00A81057" w:rsidRPr="00A81057">
        <w:rPr>
          <w:rFonts w:cs="Times New Roman"/>
          <w:szCs w:val="24"/>
        </w:rPr>
        <w:t xml:space="preserve"> </w:t>
      </w:r>
      <w:r w:rsidR="00A81057">
        <w:rPr>
          <w:rFonts w:cs="Times New Roman"/>
          <w:szCs w:val="24"/>
        </w:rPr>
        <w:t>(</w:t>
      </w:r>
      <w:r w:rsidR="00A81057" w:rsidRPr="00BC3A2D">
        <w:rPr>
          <w:rFonts w:cs="Times New Roman"/>
          <w:szCs w:val="24"/>
        </w:rPr>
        <w:t xml:space="preserve">Detaylı bilgi için Özel İnorganik Kimyasalların Üretimi İçin MET Referans Belgesinin </w:t>
      </w:r>
      <w:r w:rsidR="00A81057">
        <w:rPr>
          <w:rFonts w:cs="Times New Roman"/>
          <w:szCs w:val="24"/>
        </w:rPr>
        <w:t xml:space="preserve">6.2.4.6 </w:t>
      </w:r>
      <w:r w:rsidR="00A81057" w:rsidRPr="00BC3A2D">
        <w:rPr>
          <w:rFonts w:cs="Times New Roman"/>
          <w:szCs w:val="24"/>
        </w:rPr>
        <w:t>kıs</w:t>
      </w:r>
      <w:r w:rsidR="00A81057">
        <w:rPr>
          <w:rFonts w:cs="Times New Roman"/>
          <w:szCs w:val="24"/>
        </w:rPr>
        <w:t>mını</w:t>
      </w:r>
      <w:r w:rsidR="00A81057" w:rsidRPr="00BC3A2D">
        <w:rPr>
          <w:rFonts w:cs="Times New Roman"/>
          <w:szCs w:val="24"/>
        </w:rPr>
        <w:t xml:space="preserve"> inceleyiniz.)</w:t>
      </w:r>
    </w:p>
    <w:p w14:paraId="0A342F3F" w14:textId="77777777" w:rsidR="00B83A5B" w:rsidRPr="00F50C10" w:rsidRDefault="00B83A5B" w:rsidP="000B206D">
      <w:pPr>
        <w:spacing w:before="240" w:line="276" w:lineRule="auto"/>
        <w:rPr>
          <w:rFonts w:cs="Times New Roman"/>
          <w:szCs w:val="24"/>
        </w:rPr>
      </w:pPr>
      <w:r w:rsidRPr="00F50C10">
        <w:rPr>
          <w:rFonts w:cs="Times New Roman"/>
          <w:szCs w:val="24"/>
        </w:rPr>
        <w:t>Emisyonların tüm üretim koşullarında azaltılması amacıyla, sulu yıkama sisteminden geçen debiler ve yıkama ortamındaki alkali yoğunluğu yeterli yükseklikte olmalıdır.</w:t>
      </w:r>
    </w:p>
    <w:p w14:paraId="0F053AE3" w14:textId="77777777" w:rsidR="00B83A5B" w:rsidRPr="00F50C10" w:rsidRDefault="00B83A5B" w:rsidP="00A654AE">
      <w:pPr>
        <w:pStyle w:val="Balk3"/>
        <w:numPr>
          <w:ilvl w:val="2"/>
          <w:numId w:val="137"/>
        </w:numPr>
        <w:spacing w:line="276" w:lineRule="auto"/>
        <w:rPr>
          <w:rFonts w:cs="Times New Roman"/>
        </w:rPr>
      </w:pPr>
      <w:bookmarkStart w:id="289" w:name="_Toc136866697"/>
      <w:r w:rsidRPr="00F50C10">
        <w:rPr>
          <w:rFonts w:cs="Times New Roman"/>
        </w:rPr>
        <w:t>Suya Emisyonlar</w:t>
      </w:r>
      <w:bookmarkEnd w:id="289"/>
    </w:p>
    <w:p w14:paraId="56B0D661" w14:textId="5ADB116C"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w:t>
      </w:r>
      <w:r w:rsidR="005C6257">
        <w:rPr>
          <w:rFonts w:cs="Times New Roman"/>
          <w:b/>
          <w:bCs/>
          <w:szCs w:val="24"/>
        </w:rPr>
        <w:t>8</w:t>
      </w:r>
      <w:r w:rsidRPr="00F50C10">
        <w:rPr>
          <w:rFonts w:cs="Times New Roman"/>
          <w:b/>
          <w:bCs/>
          <w:szCs w:val="24"/>
        </w:rPr>
        <w:t xml:space="preserve">: </w:t>
      </w:r>
      <w:r w:rsidRPr="00F50C10">
        <w:rPr>
          <w:rFonts w:cs="Times New Roman"/>
          <w:szCs w:val="24"/>
        </w:rPr>
        <w:t>Alıcı ortama yönelik fosfor ve klor emisyonları, atık suyu biyolojik arıtma donanımına sahip atık su arıtma tesisinde arıt</w:t>
      </w:r>
      <w:r w:rsidR="00CA60E1" w:rsidRPr="00F50C10">
        <w:rPr>
          <w:rFonts w:cs="Times New Roman"/>
          <w:szCs w:val="24"/>
        </w:rPr>
        <w:t>ıl</w:t>
      </w:r>
      <w:r w:rsidRPr="00F50C10">
        <w:rPr>
          <w:rFonts w:cs="Times New Roman"/>
          <w:szCs w:val="24"/>
        </w:rPr>
        <w:t>arak en aza düşürül</w:t>
      </w:r>
      <w:r w:rsidR="00CA60E1" w:rsidRPr="00F50C10">
        <w:rPr>
          <w:rFonts w:cs="Times New Roman"/>
          <w:szCs w:val="24"/>
        </w:rPr>
        <w:t>ür</w:t>
      </w:r>
      <w:r w:rsidRPr="00F50C10">
        <w:rPr>
          <w:rFonts w:cs="Times New Roman"/>
          <w:szCs w:val="24"/>
        </w:rPr>
        <w:t xml:space="preserve"> ve alıcı ortama deşarj edilen fosfor emisyonu düzeyleri</w:t>
      </w:r>
      <w:r w:rsidR="007D1142" w:rsidRPr="00F50C10">
        <w:rPr>
          <w:rFonts w:cs="Times New Roman"/>
          <w:szCs w:val="24"/>
        </w:rPr>
        <w:t>nin</w:t>
      </w:r>
      <w:r w:rsidRPr="00F50C10">
        <w:rPr>
          <w:rFonts w:cs="Times New Roman"/>
          <w:szCs w:val="24"/>
        </w:rPr>
        <w:t xml:space="preserve"> ham elementel fosfor başına 0,5 – 2 kg/t düzeyinde olması ve alıcı ortama deşarj edilen </w:t>
      </w:r>
      <w:r w:rsidR="007D1142" w:rsidRPr="00F50C10">
        <w:rPr>
          <w:rFonts w:cs="Times New Roman"/>
          <w:szCs w:val="24"/>
        </w:rPr>
        <w:t>klor</w:t>
      </w:r>
      <w:r w:rsidRPr="00F50C10">
        <w:rPr>
          <w:rFonts w:cs="Times New Roman"/>
          <w:szCs w:val="24"/>
        </w:rPr>
        <w:t xml:space="preserve"> emisyonu düzeylerinin ham elementel fosfor başına 2 – 5 kg/t düzeyinde </w:t>
      </w:r>
      <w:r w:rsidR="007D1142" w:rsidRPr="00F50C10">
        <w:rPr>
          <w:rFonts w:cs="Times New Roman"/>
          <w:szCs w:val="24"/>
        </w:rPr>
        <w:t>olması</w:t>
      </w:r>
      <w:r w:rsidRPr="00F50C10">
        <w:rPr>
          <w:rFonts w:cs="Times New Roman"/>
          <w:szCs w:val="24"/>
        </w:rPr>
        <w:t xml:space="preserve"> sağla</w:t>
      </w:r>
      <w:r w:rsidR="00CA60E1" w:rsidRPr="00F50C10">
        <w:rPr>
          <w:rFonts w:cs="Times New Roman"/>
          <w:szCs w:val="24"/>
        </w:rPr>
        <w:t>nır</w:t>
      </w:r>
      <w:r w:rsidRPr="00F50C10">
        <w:rPr>
          <w:rFonts w:cs="Times New Roman"/>
          <w:szCs w:val="24"/>
        </w:rPr>
        <w:t>.</w:t>
      </w:r>
      <w:r w:rsidR="00A81057" w:rsidRPr="00A81057">
        <w:rPr>
          <w:rFonts w:cs="Times New Roman"/>
          <w:szCs w:val="24"/>
        </w:rPr>
        <w:t xml:space="preserve"> </w:t>
      </w:r>
      <w:r w:rsidR="00A81057">
        <w:rPr>
          <w:rFonts w:cs="Times New Roman"/>
          <w:szCs w:val="24"/>
        </w:rPr>
        <w:t>(</w:t>
      </w:r>
      <w:r w:rsidR="00A81057" w:rsidRPr="00BC3A2D">
        <w:rPr>
          <w:rFonts w:cs="Times New Roman"/>
          <w:szCs w:val="24"/>
        </w:rPr>
        <w:t xml:space="preserve">Detaylı bilgi için Özel İnorganik Kimyasalların Üretimi İçin MET Referans Belgesinin </w:t>
      </w:r>
      <w:r w:rsidR="00A81057">
        <w:rPr>
          <w:rFonts w:cs="Times New Roman"/>
          <w:szCs w:val="24"/>
        </w:rPr>
        <w:t xml:space="preserve">6.2.3.4 </w:t>
      </w:r>
      <w:r w:rsidR="00A81057" w:rsidRPr="00BC3A2D">
        <w:rPr>
          <w:rFonts w:cs="Times New Roman"/>
          <w:szCs w:val="24"/>
        </w:rPr>
        <w:t>kıs</w:t>
      </w:r>
      <w:r w:rsidR="00A81057">
        <w:rPr>
          <w:rFonts w:cs="Times New Roman"/>
          <w:szCs w:val="24"/>
        </w:rPr>
        <w:t>mını</w:t>
      </w:r>
      <w:r w:rsidR="00A81057" w:rsidRPr="00BC3A2D">
        <w:rPr>
          <w:rFonts w:cs="Times New Roman"/>
          <w:szCs w:val="24"/>
        </w:rPr>
        <w:t xml:space="preserve"> inceleyiniz.)</w:t>
      </w:r>
    </w:p>
    <w:p w14:paraId="591D1EC1" w14:textId="77777777" w:rsidR="00B83A5B" w:rsidRPr="00F50C10" w:rsidRDefault="00B83A5B" w:rsidP="00A654AE">
      <w:pPr>
        <w:pStyle w:val="Balk3"/>
        <w:numPr>
          <w:ilvl w:val="2"/>
          <w:numId w:val="137"/>
        </w:numPr>
        <w:spacing w:line="276" w:lineRule="auto"/>
        <w:rPr>
          <w:rFonts w:cs="Times New Roman"/>
        </w:rPr>
      </w:pPr>
      <w:bookmarkStart w:id="290" w:name="_Toc136866698"/>
      <w:r w:rsidRPr="00F50C10">
        <w:rPr>
          <w:rFonts w:cs="Times New Roman"/>
        </w:rPr>
        <w:t>Atık</w:t>
      </w:r>
      <w:bookmarkEnd w:id="290"/>
    </w:p>
    <w:p w14:paraId="4D31B1F2" w14:textId="2DE34F35" w:rsidR="00B83A5B" w:rsidRPr="00F50C10" w:rsidRDefault="00B83A5B" w:rsidP="000B206D">
      <w:pPr>
        <w:spacing w:before="240" w:line="276" w:lineRule="auto"/>
        <w:rPr>
          <w:rFonts w:cs="Times New Roman"/>
          <w:szCs w:val="24"/>
        </w:rPr>
      </w:pPr>
      <w:r w:rsidRPr="00F50C10">
        <w:rPr>
          <w:rFonts w:cs="Times New Roman"/>
          <w:b/>
          <w:bCs/>
          <w:szCs w:val="24"/>
        </w:rPr>
        <w:t xml:space="preserve">MET </w:t>
      </w:r>
      <w:r w:rsidR="005C6257">
        <w:rPr>
          <w:rFonts w:cs="Times New Roman"/>
          <w:b/>
          <w:bCs/>
          <w:szCs w:val="24"/>
        </w:rPr>
        <w:t>9</w:t>
      </w:r>
      <w:r w:rsidRPr="00F50C10">
        <w:rPr>
          <w:rFonts w:cs="Times New Roman"/>
          <w:b/>
          <w:bCs/>
          <w:szCs w:val="24"/>
        </w:rPr>
        <w:t xml:space="preserve">: </w:t>
      </w:r>
      <w:r w:rsidRPr="00F50C10">
        <w:rPr>
          <w:rFonts w:cs="Times New Roman"/>
          <w:szCs w:val="24"/>
        </w:rPr>
        <w:t>PCl</w:t>
      </w:r>
      <w:r w:rsidRPr="00F50C10">
        <w:rPr>
          <w:rFonts w:cs="Times New Roman"/>
          <w:szCs w:val="24"/>
          <w:vertAlign w:val="subscript"/>
        </w:rPr>
        <w:t>3</w:t>
      </w:r>
      <w:r w:rsidRPr="00F50C10">
        <w:rPr>
          <w:rFonts w:cs="Times New Roman"/>
          <w:szCs w:val="24"/>
        </w:rPr>
        <w:t xml:space="preserve"> üretiminden kaynaklanan </w:t>
      </w:r>
      <w:r w:rsidR="00DB71ED" w:rsidRPr="00F50C10">
        <w:rPr>
          <w:rFonts w:cs="Times New Roman"/>
          <w:szCs w:val="24"/>
        </w:rPr>
        <w:t>damıtma</w:t>
      </w:r>
      <w:r w:rsidRPr="00F50C10">
        <w:rPr>
          <w:rFonts w:cs="Times New Roman"/>
          <w:szCs w:val="24"/>
        </w:rPr>
        <w:t xml:space="preserve"> atıkların</w:t>
      </w:r>
      <w:r w:rsidR="00DB71ED" w:rsidRPr="00F50C10">
        <w:rPr>
          <w:rFonts w:cs="Times New Roman"/>
          <w:szCs w:val="24"/>
        </w:rPr>
        <w:t>da</w:t>
      </w:r>
      <w:r w:rsidRPr="00F50C10">
        <w:rPr>
          <w:rFonts w:cs="Times New Roman"/>
          <w:szCs w:val="24"/>
        </w:rPr>
        <w:t xml:space="preserve"> emisyon düzeyleri</w:t>
      </w:r>
      <w:r w:rsidR="00DB71ED" w:rsidRPr="00F50C10">
        <w:rPr>
          <w:rFonts w:cs="Times New Roman"/>
          <w:szCs w:val="24"/>
        </w:rPr>
        <w:t>nin</w:t>
      </w:r>
      <w:r w:rsidRPr="00F50C10">
        <w:rPr>
          <w:rFonts w:cs="Times New Roman"/>
          <w:szCs w:val="24"/>
        </w:rPr>
        <w:t xml:space="preserve"> ham elementel fosfor başına 4 – 8 kg/t </w:t>
      </w:r>
      <w:r w:rsidR="00DB71ED" w:rsidRPr="00F50C10">
        <w:rPr>
          <w:rFonts w:cs="Times New Roman"/>
          <w:szCs w:val="24"/>
        </w:rPr>
        <w:t>seviyesine</w:t>
      </w:r>
      <w:r w:rsidRPr="00F50C10">
        <w:rPr>
          <w:rFonts w:cs="Times New Roman"/>
          <w:szCs w:val="24"/>
        </w:rPr>
        <w:t xml:space="preserve"> </w:t>
      </w:r>
      <w:r w:rsidR="00DB71ED" w:rsidRPr="00F50C10">
        <w:rPr>
          <w:rFonts w:cs="Times New Roman"/>
          <w:szCs w:val="24"/>
        </w:rPr>
        <w:t>ulaşmasıdır</w:t>
      </w:r>
      <w:r w:rsidRPr="00F50C10">
        <w:rPr>
          <w:rFonts w:cs="Times New Roman"/>
          <w:szCs w:val="24"/>
        </w:rPr>
        <w:t>.</w:t>
      </w:r>
      <w:r w:rsidR="00A81057" w:rsidRPr="00A81057">
        <w:rPr>
          <w:rFonts w:cs="Times New Roman"/>
          <w:szCs w:val="24"/>
        </w:rPr>
        <w:t xml:space="preserve"> </w:t>
      </w:r>
      <w:r w:rsidR="00A81057">
        <w:rPr>
          <w:rFonts w:cs="Times New Roman"/>
          <w:szCs w:val="24"/>
        </w:rPr>
        <w:t>(</w:t>
      </w:r>
      <w:r w:rsidR="00A81057" w:rsidRPr="00BC3A2D">
        <w:rPr>
          <w:rFonts w:cs="Times New Roman"/>
          <w:szCs w:val="24"/>
        </w:rPr>
        <w:t xml:space="preserve">Detaylı bilgi için Özel İnorganik Kimyasalların Üretimi İçin MET Referans Belgesinin </w:t>
      </w:r>
      <w:r w:rsidR="00A81057">
        <w:rPr>
          <w:rFonts w:cs="Times New Roman"/>
          <w:szCs w:val="24"/>
        </w:rPr>
        <w:t xml:space="preserve">6.2.3.5 </w:t>
      </w:r>
      <w:r w:rsidR="00A81057" w:rsidRPr="00BC3A2D">
        <w:rPr>
          <w:rFonts w:cs="Times New Roman"/>
          <w:szCs w:val="24"/>
        </w:rPr>
        <w:t>kıs</w:t>
      </w:r>
      <w:r w:rsidR="00A81057">
        <w:rPr>
          <w:rFonts w:cs="Times New Roman"/>
          <w:szCs w:val="24"/>
        </w:rPr>
        <w:t>mını</w:t>
      </w:r>
      <w:r w:rsidR="00A81057" w:rsidRPr="00BC3A2D">
        <w:rPr>
          <w:rFonts w:cs="Times New Roman"/>
          <w:szCs w:val="24"/>
        </w:rPr>
        <w:t xml:space="preserve"> inceleyiniz.)</w:t>
      </w:r>
    </w:p>
    <w:p w14:paraId="068476F8" w14:textId="34078703"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w:t>
      </w:r>
      <w:r w:rsidR="005C6257">
        <w:rPr>
          <w:rFonts w:cs="Times New Roman"/>
          <w:b/>
          <w:bCs/>
          <w:szCs w:val="24"/>
        </w:rPr>
        <w:t>10</w:t>
      </w:r>
      <w:r w:rsidRPr="00F50C10">
        <w:rPr>
          <w:rFonts w:cs="Times New Roman"/>
          <w:b/>
          <w:bCs/>
          <w:szCs w:val="24"/>
        </w:rPr>
        <w:t xml:space="preserve">: </w:t>
      </w:r>
      <w:r w:rsidRPr="00F50C10">
        <w:rPr>
          <w:rFonts w:cs="Times New Roman"/>
          <w:szCs w:val="24"/>
        </w:rPr>
        <w:t>PCl</w:t>
      </w:r>
      <w:r w:rsidRPr="00F50C10">
        <w:rPr>
          <w:rFonts w:cs="Times New Roman"/>
          <w:szCs w:val="24"/>
          <w:vertAlign w:val="subscript"/>
        </w:rPr>
        <w:t>3</w:t>
      </w:r>
      <w:r w:rsidRPr="00F50C10">
        <w:rPr>
          <w:rFonts w:cs="Times New Roman"/>
          <w:szCs w:val="24"/>
        </w:rPr>
        <w:t xml:space="preserve"> üretiminden kaynaklanan </w:t>
      </w:r>
      <w:r w:rsidR="00DB71ED" w:rsidRPr="00F50C10">
        <w:rPr>
          <w:rFonts w:cs="Times New Roman"/>
          <w:szCs w:val="24"/>
        </w:rPr>
        <w:t>damıtma</w:t>
      </w:r>
      <w:r w:rsidRPr="00F50C10">
        <w:rPr>
          <w:rFonts w:cs="Times New Roman"/>
          <w:szCs w:val="24"/>
        </w:rPr>
        <w:t xml:space="preserve"> atıkları</w:t>
      </w:r>
      <w:r w:rsidR="00DB71ED" w:rsidRPr="00F50C10">
        <w:rPr>
          <w:rFonts w:cs="Times New Roman"/>
          <w:szCs w:val="24"/>
        </w:rPr>
        <w:t xml:space="preserve"> yakılır</w:t>
      </w:r>
      <w:r w:rsidRPr="00F50C10">
        <w:rPr>
          <w:rFonts w:cs="Times New Roman"/>
          <w:szCs w:val="24"/>
        </w:rPr>
        <w:t>.</w:t>
      </w:r>
      <w:r w:rsidR="00371162" w:rsidRPr="00371162">
        <w:rPr>
          <w:rFonts w:cs="Times New Roman"/>
          <w:szCs w:val="24"/>
        </w:rPr>
        <w:t xml:space="preserve"> </w:t>
      </w:r>
      <w:r w:rsidR="00371162">
        <w:rPr>
          <w:rFonts w:cs="Times New Roman"/>
          <w:szCs w:val="24"/>
        </w:rPr>
        <w:t>(</w:t>
      </w:r>
      <w:r w:rsidR="00371162" w:rsidRPr="00BC3A2D">
        <w:rPr>
          <w:rFonts w:cs="Times New Roman"/>
          <w:szCs w:val="24"/>
        </w:rPr>
        <w:t xml:space="preserve">Detaylı bilgi için Özel İnorganik Kimyasalların Üretimi İçin MET Referans Belgesinin </w:t>
      </w:r>
      <w:r w:rsidR="00371162">
        <w:rPr>
          <w:rFonts w:cs="Times New Roman"/>
          <w:szCs w:val="24"/>
        </w:rPr>
        <w:t xml:space="preserve">6.2.4.8 </w:t>
      </w:r>
      <w:r w:rsidR="00371162" w:rsidRPr="00BC3A2D">
        <w:rPr>
          <w:rFonts w:cs="Times New Roman"/>
          <w:szCs w:val="24"/>
        </w:rPr>
        <w:t>kıs</w:t>
      </w:r>
      <w:r w:rsidR="00371162">
        <w:rPr>
          <w:rFonts w:cs="Times New Roman"/>
          <w:szCs w:val="24"/>
        </w:rPr>
        <w:t>mını</w:t>
      </w:r>
      <w:r w:rsidR="00371162" w:rsidRPr="00BC3A2D">
        <w:rPr>
          <w:rFonts w:cs="Times New Roman"/>
          <w:szCs w:val="24"/>
        </w:rPr>
        <w:t xml:space="preserve"> inceleyiniz.)</w:t>
      </w:r>
    </w:p>
    <w:p w14:paraId="22D4CAB5" w14:textId="77777777" w:rsidR="00B83A5B" w:rsidRPr="00F50C10" w:rsidRDefault="00B83A5B" w:rsidP="00A654AE">
      <w:pPr>
        <w:pStyle w:val="Balk2"/>
        <w:numPr>
          <w:ilvl w:val="1"/>
          <w:numId w:val="137"/>
        </w:numPr>
        <w:spacing w:line="276" w:lineRule="auto"/>
        <w:rPr>
          <w:rFonts w:cs="Times New Roman"/>
          <w:szCs w:val="24"/>
        </w:rPr>
      </w:pPr>
      <w:bookmarkStart w:id="291" w:name="_Toc136866699"/>
      <w:r w:rsidRPr="00F50C10">
        <w:rPr>
          <w:rFonts w:cs="Times New Roman"/>
          <w:szCs w:val="24"/>
        </w:rPr>
        <w:t>Silikonlar</w:t>
      </w:r>
      <w:bookmarkEnd w:id="291"/>
    </w:p>
    <w:p w14:paraId="58714796" w14:textId="42A2F80A" w:rsidR="00B83A5B" w:rsidRPr="00F50C10" w:rsidRDefault="00B83A5B" w:rsidP="00A654AE">
      <w:pPr>
        <w:pStyle w:val="Balk3"/>
        <w:numPr>
          <w:ilvl w:val="2"/>
          <w:numId w:val="137"/>
        </w:numPr>
        <w:spacing w:line="276" w:lineRule="auto"/>
        <w:rPr>
          <w:rFonts w:cs="Times New Roman"/>
        </w:rPr>
      </w:pPr>
      <w:bookmarkStart w:id="292" w:name="_Toc136866700"/>
      <w:r w:rsidRPr="00F50C10">
        <w:rPr>
          <w:rFonts w:cs="Times New Roman"/>
        </w:rPr>
        <w:t xml:space="preserve">Hammadde Seçimi, Depolanması, </w:t>
      </w:r>
      <w:r w:rsidR="00DB71ED" w:rsidRPr="00F50C10">
        <w:rPr>
          <w:rFonts w:cs="Times New Roman"/>
        </w:rPr>
        <w:t>Taşınması</w:t>
      </w:r>
      <w:r w:rsidRPr="00F50C10">
        <w:rPr>
          <w:rFonts w:cs="Times New Roman"/>
        </w:rPr>
        <w:t xml:space="preserve"> ve Hazırlanması</w:t>
      </w:r>
      <w:bookmarkEnd w:id="292"/>
    </w:p>
    <w:p w14:paraId="0CD42A6D" w14:textId="15964658" w:rsidR="00B83A5B" w:rsidRPr="00F50C10" w:rsidRDefault="00B83A5B" w:rsidP="000B206D">
      <w:pPr>
        <w:spacing w:before="240" w:line="276" w:lineRule="auto"/>
        <w:rPr>
          <w:rFonts w:cs="Times New Roman"/>
          <w:szCs w:val="24"/>
        </w:rPr>
      </w:pPr>
      <w:r w:rsidRPr="00F50C10">
        <w:rPr>
          <w:rFonts w:cs="Times New Roman"/>
          <w:b/>
          <w:bCs/>
          <w:szCs w:val="24"/>
        </w:rPr>
        <w:t xml:space="preserve">MET </w:t>
      </w:r>
      <w:r w:rsidR="002478C0">
        <w:rPr>
          <w:rFonts w:cs="Times New Roman"/>
          <w:b/>
          <w:bCs/>
          <w:szCs w:val="24"/>
        </w:rPr>
        <w:t>1</w:t>
      </w:r>
      <w:r w:rsidRPr="00F50C10">
        <w:rPr>
          <w:rFonts w:cs="Times New Roman"/>
          <w:b/>
          <w:bCs/>
          <w:szCs w:val="24"/>
        </w:rPr>
        <w:t xml:space="preserve">: </w:t>
      </w:r>
      <w:r w:rsidRPr="00F50C10">
        <w:rPr>
          <w:rFonts w:cs="Times New Roman"/>
          <w:szCs w:val="24"/>
        </w:rPr>
        <w:t xml:space="preserve">Aşağıdaki tekniklerin bir kombinasyonunun uygulanması yoluyla, elementel silikon hammaddesinin depolamasından ve </w:t>
      </w:r>
      <w:r w:rsidR="00DB71ED" w:rsidRPr="00F50C10">
        <w:rPr>
          <w:rFonts w:cs="Times New Roman"/>
          <w:szCs w:val="24"/>
        </w:rPr>
        <w:t>taşınmasından</w:t>
      </w:r>
      <w:r w:rsidRPr="00F50C10">
        <w:rPr>
          <w:rFonts w:cs="Times New Roman"/>
          <w:szCs w:val="24"/>
        </w:rPr>
        <w:t xml:space="preserve"> kaynaklanan yayılı toz emisyonları en aza düşürül</w:t>
      </w:r>
      <w:r w:rsidR="00DB71ED" w:rsidRPr="00F50C10">
        <w:rPr>
          <w:rFonts w:cs="Times New Roman"/>
          <w:szCs w:val="24"/>
        </w:rPr>
        <w:t>ür</w:t>
      </w:r>
      <w:r w:rsidRPr="00F50C10">
        <w:rPr>
          <w:rFonts w:cs="Times New Roman"/>
          <w:szCs w:val="24"/>
        </w:rPr>
        <w:t>:</w:t>
      </w:r>
      <w:r w:rsidR="001B4F9E" w:rsidRPr="001B4F9E">
        <w:rPr>
          <w:rFonts w:cs="Times New Roman"/>
          <w:szCs w:val="24"/>
        </w:rPr>
        <w:t xml:space="preserve"> </w:t>
      </w:r>
      <w:r w:rsidR="001B4F9E">
        <w:rPr>
          <w:rFonts w:cs="Times New Roman"/>
          <w:szCs w:val="24"/>
        </w:rPr>
        <w:t>(</w:t>
      </w:r>
      <w:r w:rsidR="001B4F9E" w:rsidRPr="00BC3A2D">
        <w:rPr>
          <w:rFonts w:cs="Times New Roman"/>
          <w:szCs w:val="24"/>
        </w:rPr>
        <w:t xml:space="preserve">Detaylı bilgi için Özel İnorganik Kimyasalların Üretimi İçin MET Referans Belgesinin </w:t>
      </w:r>
      <w:r w:rsidR="001B4F9E">
        <w:rPr>
          <w:rFonts w:cs="Times New Roman"/>
          <w:szCs w:val="24"/>
        </w:rPr>
        <w:t xml:space="preserve">6.3.4.1 </w:t>
      </w:r>
      <w:r w:rsidR="001B4F9E" w:rsidRPr="00BC3A2D">
        <w:rPr>
          <w:rFonts w:cs="Times New Roman"/>
          <w:szCs w:val="24"/>
        </w:rPr>
        <w:t>kıs</w:t>
      </w:r>
      <w:r w:rsidR="001B4F9E">
        <w:rPr>
          <w:rFonts w:cs="Times New Roman"/>
          <w:szCs w:val="24"/>
        </w:rPr>
        <w:t>mını</w:t>
      </w:r>
      <w:r w:rsidR="001B4F9E" w:rsidRPr="00BC3A2D">
        <w:rPr>
          <w:rFonts w:cs="Times New Roman"/>
          <w:szCs w:val="24"/>
        </w:rPr>
        <w:t xml:space="preserve"> inceleyiniz.)</w:t>
      </w:r>
    </w:p>
    <w:p w14:paraId="4643CD4B" w14:textId="7E1A9641" w:rsidR="00DB71ED" w:rsidRPr="00F50C10" w:rsidRDefault="00B83A5B" w:rsidP="00A654AE">
      <w:pPr>
        <w:pStyle w:val="ListeParagraf"/>
        <w:numPr>
          <w:ilvl w:val="0"/>
          <w:numId w:val="145"/>
        </w:numPr>
        <w:spacing w:before="240" w:line="276" w:lineRule="auto"/>
        <w:rPr>
          <w:rFonts w:cs="Times New Roman"/>
          <w:szCs w:val="24"/>
        </w:rPr>
      </w:pPr>
      <w:r w:rsidRPr="00F50C10">
        <w:rPr>
          <w:rFonts w:cs="Times New Roman"/>
          <w:szCs w:val="24"/>
        </w:rPr>
        <w:t>elementel silikonun silolarda depolanması,</w:t>
      </w:r>
    </w:p>
    <w:p w14:paraId="063545EE" w14:textId="5D033E5D" w:rsidR="00DB71ED" w:rsidRPr="00F50C10" w:rsidRDefault="00B83A5B" w:rsidP="00A654AE">
      <w:pPr>
        <w:pStyle w:val="ListeParagraf"/>
        <w:numPr>
          <w:ilvl w:val="0"/>
          <w:numId w:val="145"/>
        </w:numPr>
        <w:spacing w:before="240" w:line="276" w:lineRule="auto"/>
        <w:rPr>
          <w:rFonts w:cs="Times New Roman"/>
          <w:szCs w:val="24"/>
        </w:rPr>
      </w:pPr>
      <w:r w:rsidRPr="00F50C10">
        <w:rPr>
          <w:rFonts w:cs="Times New Roman"/>
          <w:szCs w:val="24"/>
        </w:rPr>
        <w:t>elementel silikonun yağmur ve rüzgara karşı korunaklı kapalı alanlarda depolanması,</w:t>
      </w:r>
    </w:p>
    <w:p w14:paraId="7AB35AF0" w14:textId="607C4E46" w:rsidR="00DB71ED" w:rsidRPr="00F50C10" w:rsidRDefault="00B83A5B" w:rsidP="00A654AE">
      <w:pPr>
        <w:pStyle w:val="ListeParagraf"/>
        <w:numPr>
          <w:ilvl w:val="0"/>
          <w:numId w:val="145"/>
        </w:numPr>
        <w:spacing w:before="240" w:line="276" w:lineRule="auto"/>
        <w:rPr>
          <w:rFonts w:cs="Times New Roman"/>
          <w:szCs w:val="24"/>
        </w:rPr>
      </w:pPr>
      <w:r w:rsidRPr="00F50C10">
        <w:rPr>
          <w:rFonts w:cs="Times New Roman"/>
          <w:szCs w:val="24"/>
        </w:rPr>
        <w:t>elementel silikonun depoya boşaltılması sırasında açığa çıkan yayılı toz emisyonlarını yakalamak amacıyla üstleri kapalı ve kanal tertibatlı ekipmanların kullanılması,</w:t>
      </w:r>
    </w:p>
    <w:p w14:paraId="543998B4" w14:textId="102F1E8A" w:rsidR="00B83A5B" w:rsidRPr="00F50C10" w:rsidRDefault="00B83A5B" w:rsidP="00A654AE">
      <w:pPr>
        <w:pStyle w:val="ListeParagraf"/>
        <w:numPr>
          <w:ilvl w:val="0"/>
          <w:numId w:val="145"/>
        </w:numPr>
        <w:spacing w:before="240" w:line="276" w:lineRule="auto"/>
        <w:rPr>
          <w:rFonts w:cs="Times New Roman"/>
          <w:szCs w:val="24"/>
        </w:rPr>
      </w:pPr>
      <w:r w:rsidRPr="00F50C10">
        <w:rPr>
          <w:rFonts w:cs="Times New Roman"/>
          <w:szCs w:val="24"/>
        </w:rPr>
        <w:t>öğütücünün, atmosfer basıncının biraz daha altındaki bir basınçta tutulması.</w:t>
      </w:r>
    </w:p>
    <w:p w14:paraId="40A410D9" w14:textId="05DFC937" w:rsidR="00B83A5B" w:rsidRPr="00F50C10" w:rsidRDefault="00B83A5B" w:rsidP="000B206D">
      <w:pPr>
        <w:spacing w:before="240" w:line="276" w:lineRule="auto"/>
        <w:rPr>
          <w:rFonts w:cs="Times New Roman"/>
          <w:szCs w:val="24"/>
        </w:rPr>
      </w:pPr>
      <w:r w:rsidRPr="00F50C10">
        <w:rPr>
          <w:rFonts w:cs="Times New Roman"/>
          <w:b/>
          <w:bCs/>
          <w:szCs w:val="24"/>
        </w:rPr>
        <w:t xml:space="preserve">MET </w:t>
      </w:r>
      <w:r w:rsidR="002478C0">
        <w:rPr>
          <w:rFonts w:cs="Times New Roman"/>
          <w:b/>
          <w:bCs/>
          <w:szCs w:val="24"/>
        </w:rPr>
        <w:t>2</w:t>
      </w:r>
      <w:r w:rsidRPr="00F50C10">
        <w:rPr>
          <w:rFonts w:cs="Times New Roman"/>
          <w:b/>
          <w:bCs/>
          <w:szCs w:val="24"/>
        </w:rPr>
        <w:t xml:space="preserve">: </w:t>
      </w:r>
      <w:r w:rsidRPr="00F50C10">
        <w:rPr>
          <w:rFonts w:cs="Times New Roman"/>
          <w:szCs w:val="24"/>
        </w:rPr>
        <w:t>Doğrudan sentezde, maksimum kimyasal tepkime veriminin elde edilebilmesi için, partikül büyüklüğü &lt;1 mm olan elementsel silikon hammaddeleri kullanılır.</w:t>
      </w:r>
      <w:r w:rsidR="001B4F9E" w:rsidRPr="001B4F9E">
        <w:rPr>
          <w:rFonts w:cs="Times New Roman"/>
          <w:szCs w:val="24"/>
        </w:rPr>
        <w:t xml:space="preserve"> </w:t>
      </w:r>
      <w:r w:rsidR="001B4F9E">
        <w:rPr>
          <w:rFonts w:cs="Times New Roman"/>
          <w:szCs w:val="24"/>
        </w:rPr>
        <w:t>(</w:t>
      </w:r>
      <w:r w:rsidR="001B4F9E" w:rsidRPr="00BC3A2D">
        <w:rPr>
          <w:rFonts w:cs="Times New Roman"/>
          <w:szCs w:val="24"/>
        </w:rPr>
        <w:t xml:space="preserve">Detaylı bilgi için Özel İnorganik Kimyasalların Üretimi İçin MET Referans Belgesinin </w:t>
      </w:r>
      <w:r w:rsidR="001B4F9E">
        <w:rPr>
          <w:rFonts w:cs="Times New Roman"/>
          <w:szCs w:val="24"/>
        </w:rPr>
        <w:t xml:space="preserve">6.3.4.13 </w:t>
      </w:r>
      <w:r w:rsidR="001B4F9E" w:rsidRPr="00BC3A2D">
        <w:rPr>
          <w:rFonts w:cs="Times New Roman"/>
          <w:szCs w:val="24"/>
        </w:rPr>
        <w:t>kıs</w:t>
      </w:r>
      <w:r w:rsidR="001B4F9E">
        <w:rPr>
          <w:rFonts w:cs="Times New Roman"/>
          <w:szCs w:val="24"/>
        </w:rPr>
        <w:t>mını</w:t>
      </w:r>
      <w:r w:rsidR="001B4F9E" w:rsidRPr="00BC3A2D">
        <w:rPr>
          <w:rFonts w:cs="Times New Roman"/>
          <w:szCs w:val="24"/>
        </w:rPr>
        <w:t xml:space="preserve"> inceleyiniz.)</w:t>
      </w:r>
    </w:p>
    <w:p w14:paraId="71273E67" w14:textId="6B2751BA"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w:t>
      </w:r>
      <w:r w:rsidR="002478C0">
        <w:rPr>
          <w:rFonts w:cs="Times New Roman"/>
          <w:b/>
          <w:bCs/>
          <w:szCs w:val="24"/>
        </w:rPr>
        <w:t>3</w:t>
      </w:r>
      <w:r w:rsidRPr="00F50C10">
        <w:rPr>
          <w:rFonts w:cs="Times New Roman"/>
          <w:b/>
          <w:bCs/>
          <w:szCs w:val="24"/>
        </w:rPr>
        <w:t xml:space="preserve">: </w:t>
      </w:r>
      <w:r w:rsidR="009A2327" w:rsidRPr="00F50C10">
        <w:rPr>
          <w:rFonts w:cs="Times New Roman"/>
          <w:szCs w:val="24"/>
        </w:rPr>
        <w:t>Bez</w:t>
      </w:r>
      <w:r w:rsidRPr="00F50C10">
        <w:rPr>
          <w:rFonts w:cs="Times New Roman"/>
          <w:szCs w:val="24"/>
        </w:rPr>
        <w:t xml:space="preserve"> filtrelerin kullanılması ve ayrıştırılan tozun üretime geri dön</w:t>
      </w:r>
      <w:r w:rsidR="00DB71ED" w:rsidRPr="00F50C10">
        <w:rPr>
          <w:rFonts w:cs="Times New Roman"/>
          <w:szCs w:val="24"/>
        </w:rPr>
        <w:t>üştü</w:t>
      </w:r>
      <w:r w:rsidRPr="00F50C10">
        <w:rPr>
          <w:rFonts w:cs="Times New Roman"/>
          <w:szCs w:val="24"/>
        </w:rPr>
        <w:t xml:space="preserve">rülmesi yoluyla, elementel silikonun öğütülmesinden, depolanmasından ve </w:t>
      </w:r>
      <w:r w:rsidR="00DB71ED" w:rsidRPr="00F50C10">
        <w:rPr>
          <w:rFonts w:cs="Times New Roman"/>
          <w:szCs w:val="24"/>
        </w:rPr>
        <w:t>taşınmasından</w:t>
      </w:r>
      <w:r w:rsidRPr="00F50C10">
        <w:rPr>
          <w:rFonts w:cs="Times New Roman"/>
          <w:szCs w:val="24"/>
        </w:rPr>
        <w:t xml:space="preserve"> kaynaklanan toz azaltıl</w:t>
      </w:r>
      <w:r w:rsidR="00DB71ED" w:rsidRPr="00F50C10">
        <w:rPr>
          <w:rFonts w:cs="Times New Roman"/>
          <w:szCs w:val="24"/>
        </w:rPr>
        <w:t xml:space="preserve">ır </w:t>
      </w:r>
      <w:r w:rsidRPr="00F50C10">
        <w:rPr>
          <w:rFonts w:cs="Times New Roman"/>
          <w:szCs w:val="24"/>
        </w:rPr>
        <w:t>ve 5 – 20 mg/Nm</w:t>
      </w:r>
      <w:r w:rsidRPr="00F50C10">
        <w:rPr>
          <w:rFonts w:cs="Times New Roman"/>
          <w:szCs w:val="24"/>
          <w:vertAlign w:val="superscript"/>
        </w:rPr>
        <w:t>3</w:t>
      </w:r>
      <w:r w:rsidRPr="00F50C10">
        <w:rPr>
          <w:rFonts w:cs="Times New Roman"/>
          <w:szCs w:val="24"/>
        </w:rPr>
        <w:t xml:space="preserve"> (yıllık ortalama) emisyon düzeyleri elde edilir.</w:t>
      </w:r>
      <w:r w:rsidR="00D12707" w:rsidRPr="00D12707">
        <w:rPr>
          <w:rFonts w:cs="Times New Roman"/>
          <w:szCs w:val="24"/>
        </w:rPr>
        <w:t xml:space="preserve"> </w:t>
      </w:r>
      <w:r w:rsidR="00D12707">
        <w:rPr>
          <w:rFonts w:cs="Times New Roman"/>
          <w:szCs w:val="24"/>
        </w:rPr>
        <w:t>(</w:t>
      </w:r>
      <w:r w:rsidR="00D12707" w:rsidRPr="00BC3A2D">
        <w:rPr>
          <w:rFonts w:cs="Times New Roman"/>
          <w:szCs w:val="24"/>
        </w:rPr>
        <w:t xml:space="preserve">Detaylı bilgi için Özel İnorganik Kimyasalların Üretimi İçin MET Referans Belgesinin </w:t>
      </w:r>
      <w:r w:rsidR="00D12707">
        <w:rPr>
          <w:rFonts w:cs="Times New Roman"/>
          <w:szCs w:val="24"/>
        </w:rPr>
        <w:t xml:space="preserve">6.3.4.3 </w:t>
      </w:r>
      <w:r w:rsidR="00D12707" w:rsidRPr="00BC3A2D">
        <w:rPr>
          <w:rFonts w:cs="Times New Roman"/>
          <w:szCs w:val="24"/>
        </w:rPr>
        <w:t>kıs</w:t>
      </w:r>
      <w:r w:rsidR="00D12707">
        <w:rPr>
          <w:rFonts w:cs="Times New Roman"/>
          <w:szCs w:val="24"/>
        </w:rPr>
        <w:t>mını</w:t>
      </w:r>
      <w:r w:rsidR="00D12707" w:rsidRPr="00BC3A2D">
        <w:rPr>
          <w:rFonts w:cs="Times New Roman"/>
          <w:szCs w:val="24"/>
        </w:rPr>
        <w:t xml:space="preserve"> inceleyiniz.)</w:t>
      </w:r>
    </w:p>
    <w:p w14:paraId="0991F300" w14:textId="59BCD123"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w:t>
      </w:r>
      <w:r w:rsidR="002478C0">
        <w:rPr>
          <w:rFonts w:cs="Times New Roman"/>
          <w:b/>
          <w:bCs/>
          <w:szCs w:val="24"/>
        </w:rPr>
        <w:t>4</w:t>
      </w:r>
      <w:r w:rsidRPr="00F50C10">
        <w:rPr>
          <w:rFonts w:cs="Times New Roman"/>
          <w:b/>
          <w:bCs/>
          <w:szCs w:val="24"/>
        </w:rPr>
        <w:t xml:space="preserve">: </w:t>
      </w:r>
      <w:r w:rsidRPr="00F50C10">
        <w:rPr>
          <w:rFonts w:cs="Times New Roman"/>
          <w:szCs w:val="24"/>
        </w:rPr>
        <w:t xml:space="preserve">Kullanılan metil klorür hammaddesinin miktarı, </w:t>
      </w:r>
      <w:r w:rsidR="00DB71ED" w:rsidRPr="00F50C10">
        <w:rPr>
          <w:rFonts w:cs="Times New Roman"/>
          <w:szCs w:val="24"/>
        </w:rPr>
        <w:t>damıtma</w:t>
      </w:r>
      <w:r w:rsidRPr="00F50C10">
        <w:rPr>
          <w:rFonts w:cs="Times New Roman"/>
          <w:szCs w:val="24"/>
        </w:rPr>
        <w:t xml:space="preserve"> adımından kaynaklanan çıkış gazlarında bulunan metil klorürün geri kazanılması yoluyla en aza indiril</w:t>
      </w:r>
      <w:r w:rsidR="00DB71ED" w:rsidRPr="00F50C10">
        <w:rPr>
          <w:rFonts w:cs="Times New Roman"/>
          <w:szCs w:val="24"/>
        </w:rPr>
        <w:t>i</w:t>
      </w:r>
      <w:r w:rsidRPr="00F50C10">
        <w:rPr>
          <w:rFonts w:cs="Times New Roman"/>
          <w:szCs w:val="24"/>
        </w:rPr>
        <w:t>r.</w:t>
      </w:r>
      <w:r w:rsidR="00D12707" w:rsidRPr="00D12707">
        <w:rPr>
          <w:rFonts w:cs="Times New Roman"/>
          <w:szCs w:val="24"/>
        </w:rPr>
        <w:t xml:space="preserve"> </w:t>
      </w:r>
      <w:r w:rsidR="00D12707">
        <w:rPr>
          <w:rFonts w:cs="Times New Roman"/>
          <w:szCs w:val="24"/>
        </w:rPr>
        <w:t>(</w:t>
      </w:r>
      <w:r w:rsidR="00D12707" w:rsidRPr="00BC3A2D">
        <w:rPr>
          <w:rFonts w:cs="Times New Roman"/>
          <w:szCs w:val="24"/>
        </w:rPr>
        <w:t xml:space="preserve">Detaylı bilgi için Özel İnorganik Kimyasalların Üretimi İçin MET Referans Belgesinin </w:t>
      </w:r>
      <w:r w:rsidR="00D12707">
        <w:rPr>
          <w:rFonts w:cs="Times New Roman"/>
          <w:szCs w:val="24"/>
        </w:rPr>
        <w:t>6.3.4.5 ve 6.3.4.6 kısımlarını</w:t>
      </w:r>
      <w:r w:rsidR="00D12707" w:rsidRPr="00BC3A2D">
        <w:rPr>
          <w:rFonts w:cs="Times New Roman"/>
          <w:szCs w:val="24"/>
        </w:rPr>
        <w:t xml:space="preserve"> inceleyiniz.)</w:t>
      </w:r>
    </w:p>
    <w:p w14:paraId="3F240AF6" w14:textId="540B3FBF"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w:t>
      </w:r>
      <w:r w:rsidR="002478C0">
        <w:rPr>
          <w:rFonts w:cs="Times New Roman"/>
          <w:b/>
          <w:bCs/>
          <w:szCs w:val="24"/>
        </w:rPr>
        <w:t>5</w:t>
      </w:r>
      <w:r w:rsidRPr="00F50C10">
        <w:rPr>
          <w:rFonts w:cs="Times New Roman"/>
          <w:b/>
          <w:bCs/>
          <w:szCs w:val="24"/>
        </w:rPr>
        <w:t xml:space="preserve">: </w:t>
      </w:r>
      <w:r w:rsidRPr="00F50C10">
        <w:rPr>
          <w:rFonts w:cs="Times New Roman"/>
          <w:szCs w:val="24"/>
        </w:rPr>
        <w:t>Büyük üretim hacimleri için, metilklorür sentezi adımında kullanılan HCl hammaddesinin miktarı</w:t>
      </w:r>
      <w:r w:rsidR="00DB71ED" w:rsidRPr="00F50C10">
        <w:rPr>
          <w:rFonts w:cs="Times New Roman"/>
          <w:szCs w:val="24"/>
        </w:rPr>
        <w:t>,</w:t>
      </w:r>
      <w:r w:rsidRPr="00F50C10">
        <w:rPr>
          <w:rFonts w:cs="Times New Roman"/>
          <w:szCs w:val="24"/>
        </w:rPr>
        <w:t xml:space="preserve"> hidroliz adımından kaynaklanan HCl’nin geri kazanılması yoluyla en aza indirilir.</w:t>
      </w:r>
      <w:r w:rsidR="00D12707" w:rsidRPr="00D12707">
        <w:rPr>
          <w:rFonts w:cs="Times New Roman"/>
          <w:szCs w:val="24"/>
        </w:rPr>
        <w:t xml:space="preserve"> </w:t>
      </w:r>
      <w:r w:rsidR="00D12707">
        <w:rPr>
          <w:rFonts w:cs="Times New Roman"/>
          <w:szCs w:val="24"/>
        </w:rPr>
        <w:t>(</w:t>
      </w:r>
      <w:r w:rsidR="00D12707" w:rsidRPr="00BC3A2D">
        <w:rPr>
          <w:rFonts w:cs="Times New Roman"/>
          <w:szCs w:val="24"/>
        </w:rPr>
        <w:t xml:space="preserve">Detaylı bilgi için Özel İnorganik Kimyasalların Üretimi İçin MET Referans Belgesinin </w:t>
      </w:r>
      <w:r w:rsidR="00D12707">
        <w:rPr>
          <w:rFonts w:cs="Times New Roman"/>
          <w:szCs w:val="24"/>
        </w:rPr>
        <w:t xml:space="preserve">6.3.4.12 </w:t>
      </w:r>
      <w:r w:rsidR="00D12707" w:rsidRPr="00BC3A2D">
        <w:rPr>
          <w:rFonts w:cs="Times New Roman"/>
          <w:szCs w:val="24"/>
        </w:rPr>
        <w:t>kıs</w:t>
      </w:r>
      <w:r w:rsidR="00D12707">
        <w:rPr>
          <w:rFonts w:cs="Times New Roman"/>
          <w:szCs w:val="24"/>
        </w:rPr>
        <w:t>mını</w:t>
      </w:r>
      <w:r w:rsidR="00D12707" w:rsidRPr="00BC3A2D">
        <w:rPr>
          <w:rFonts w:cs="Times New Roman"/>
          <w:szCs w:val="24"/>
        </w:rPr>
        <w:t xml:space="preserve"> inceleyiniz.)</w:t>
      </w:r>
    </w:p>
    <w:p w14:paraId="64C54F8A" w14:textId="77777777" w:rsidR="00B83A5B" w:rsidRPr="00F50C10" w:rsidRDefault="00B83A5B" w:rsidP="00A654AE">
      <w:pPr>
        <w:pStyle w:val="Balk3"/>
        <w:numPr>
          <w:ilvl w:val="2"/>
          <w:numId w:val="137"/>
        </w:numPr>
        <w:spacing w:line="276" w:lineRule="auto"/>
        <w:rPr>
          <w:rFonts w:cs="Times New Roman"/>
        </w:rPr>
      </w:pPr>
      <w:bookmarkStart w:id="293" w:name="_Toc136866701"/>
      <w:r w:rsidRPr="00F50C10">
        <w:rPr>
          <w:rFonts w:cs="Times New Roman"/>
        </w:rPr>
        <w:t>Doğrudan Sentez Kimyası</w:t>
      </w:r>
      <w:bookmarkEnd w:id="293"/>
    </w:p>
    <w:p w14:paraId="0089489D" w14:textId="0D32388E"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w:t>
      </w:r>
      <w:r w:rsidR="002478C0">
        <w:rPr>
          <w:rFonts w:cs="Times New Roman"/>
          <w:b/>
          <w:bCs/>
          <w:szCs w:val="24"/>
        </w:rPr>
        <w:t>6</w:t>
      </w:r>
      <w:r w:rsidRPr="00F50C10">
        <w:rPr>
          <w:rFonts w:cs="Times New Roman"/>
          <w:b/>
          <w:bCs/>
          <w:szCs w:val="24"/>
        </w:rPr>
        <w:t xml:space="preserve">: </w:t>
      </w:r>
      <w:r w:rsidRPr="00F50C10">
        <w:rPr>
          <w:rFonts w:cs="Times New Roman"/>
          <w:szCs w:val="24"/>
        </w:rPr>
        <w:t>Üretim prosesinden açığa çıkan atı</w:t>
      </w:r>
      <w:r w:rsidR="00DB71ED" w:rsidRPr="00F50C10">
        <w:rPr>
          <w:rFonts w:cs="Times New Roman"/>
          <w:szCs w:val="24"/>
        </w:rPr>
        <w:t>k</w:t>
      </w:r>
      <w:r w:rsidRPr="00F50C10">
        <w:rPr>
          <w:rFonts w:cs="Times New Roman"/>
          <w:szCs w:val="24"/>
        </w:rPr>
        <w:t>, doğrudan sentez kimyasının iyileştirilmesi yoluyla en aza indiril</w:t>
      </w:r>
      <w:r w:rsidR="00DB71ED" w:rsidRPr="00F50C10">
        <w:rPr>
          <w:rFonts w:cs="Times New Roman"/>
          <w:szCs w:val="24"/>
        </w:rPr>
        <w:t>i</w:t>
      </w:r>
      <w:r w:rsidRPr="00F50C10">
        <w:rPr>
          <w:rFonts w:cs="Times New Roman"/>
          <w:szCs w:val="24"/>
        </w:rPr>
        <w:t>r. Bu kapsamda aşağıdakilerin tamamı yer alır:</w:t>
      </w:r>
      <w:r w:rsidR="00E216F1" w:rsidRPr="00E216F1">
        <w:rPr>
          <w:rFonts w:cs="Times New Roman"/>
          <w:szCs w:val="24"/>
        </w:rPr>
        <w:t xml:space="preserve"> </w:t>
      </w:r>
      <w:r w:rsidR="00E216F1">
        <w:rPr>
          <w:rFonts w:cs="Times New Roman"/>
          <w:szCs w:val="24"/>
        </w:rPr>
        <w:t>(</w:t>
      </w:r>
      <w:r w:rsidR="00E216F1" w:rsidRPr="00BC3A2D">
        <w:rPr>
          <w:rFonts w:cs="Times New Roman"/>
          <w:szCs w:val="24"/>
        </w:rPr>
        <w:t xml:space="preserve">Detaylı bilgi için Özel İnorganik Kimyasalların Üretimi İçin MET Referans Belgesinin </w:t>
      </w:r>
      <w:r w:rsidR="00E216F1">
        <w:rPr>
          <w:rFonts w:cs="Times New Roman"/>
          <w:szCs w:val="24"/>
        </w:rPr>
        <w:t xml:space="preserve">6.3.4.4 </w:t>
      </w:r>
      <w:r w:rsidR="00E216F1" w:rsidRPr="00BC3A2D">
        <w:rPr>
          <w:rFonts w:cs="Times New Roman"/>
          <w:szCs w:val="24"/>
        </w:rPr>
        <w:t>kıs</w:t>
      </w:r>
      <w:r w:rsidR="00E216F1">
        <w:rPr>
          <w:rFonts w:cs="Times New Roman"/>
          <w:szCs w:val="24"/>
        </w:rPr>
        <w:t>mını</w:t>
      </w:r>
      <w:r w:rsidR="00E216F1" w:rsidRPr="00BC3A2D">
        <w:rPr>
          <w:rFonts w:cs="Times New Roman"/>
          <w:szCs w:val="24"/>
        </w:rPr>
        <w:t xml:space="preserve"> inceleyiniz.)</w:t>
      </w:r>
    </w:p>
    <w:p w14:paraId="2DB35C98" w14:textId="77777777" w:rsidR="00B83A5B" w:rsidRPr="00F50C10" w:rsidRDefault="00B83A5B" w:rsidP="00A654AE">
      <w:pPr>
        <w:pStyle w:val="ListeParagraf"/>
        <w:numPr>
          <w:ilvl w:val="0"/>
          <w:numId w:val="124"/>
        </w:numPr>
        <w:spacing w:before="240" w:line="276" w:lineRule="auto"/>
        <w:rPr>
          <w:rFonts w:cs="Times New Roman"/>
          <w:szCs w:val="24"/>
        </w:rPr>
      </w:pPr>
      <w:r w:rsidRPr="00F50C10">
        <w:rPr>
          <w:rFonts w:cs="Times New Roman"/>
          <w:szCs w:val="24"/>
        </w:rPr>
        <w:t>katalizör sisteminin optimizasyonu,</w:t>
      </w:r>
    </w:p>
    <w:p w14:paraId="54F3F77B" w14:textId="77777777" w:rsidR="00B83A5B" w:rsidRPr="00F50C10" w:rsidRDefault="00B83A5B" w:rsidP="00A654AE">
      <w:pPr>
        <w:pStyle w:val="ListeParagraf"/>
        <w:numPr>
          <w:ilvl w:val="0"/>
          <w:numId w:val="124"/>
        </w:numPr>
        <w:spacing w:before="240" w:line="276" w:lineRule="auto"/>
        <w:rPr>
          <w:rFonts w:cs="Times New Roman"/>
          <w:szCs w:val="24"/>
        </w:rPr>
      </w:pPr>
      <w:r w:rsidRPr="00F50C10">
        <w:rPr>
          <w:rFonts w:cs="Times New Roman"/>
          <w:szCs w:val="24"/>
        </w:rPr>
        <w:t>reaktör tasarımının optimizasyonu,</w:t>
      </w:r>
    </w:p>
    <w:p w14:paraId="2E69FADF" w14:textId="6225DF6F" w:rsidR="00B83A5B" w:rsidRPr="00F50C10" w:rsidRDefault="00B83A5B" w:rsidP="00A654AE">
      <w:pPr>
        <w:pStyle w:val="ListeParagraf"/>
        <w:numPr>
          <w:ilvl w:val="0"/>
          <w:numId w:val="124"/>
        </w:numPr>
        <w:spacing w:before="240" w:line="276" w:lineRule="auto"/>
        <w:rPr>
          <w:rFonts w:cs="Times New Roman"/>
          <w:szCs w:val="24"/>
        </w:rPr>
      </w:pPr>
      <w:r w:rsidRPr="00F50C10">
        <w:rPr>
          <w:rFonts w:cs="Times New Roman"/>
          <w:szCs w:val="24"/>
        </w:rPr>
        <w:t>fi</w:t>
      </w:r>
      <w:r w:rsidR="00DB71ED" w:rsidRPr="00F50C10">
        <w:rPr>
          <w:rFonts w:cs="Times New Roman"/>
          <w:szCs w:val="24"/>
        </w:rPr>
        <w:t>zi</w:t>
      </w:r>
      <w:r w:rsidRPr="00F50C10">
        <w:rPr>
          <w:rFonts w:cs="Times New Roman"/>
          <w:szCs w:val="24"/>
        </w:rPr>
        <w:t>ksel parametrelerin op</w:t>
      </w:r>
      <w:r w:rsidR="00DB71ED" w:rsidRPr="00F50C10">
        <w:rPr>
          <w:rFonts w:cs="Times New Roman"/>
          <w:szCs w:val="24"/>
        </w:rPr>
        <w:t>t</w:t>
      </w:r>
      <w:r w:rsidRPr="00F50C10">
        <w:rPr>
          <w:rFonts w:cs="Times New Roman"/>
          <w:szCs w:val="24"/>
        </w:rPr>
        <w:t>imizasyonu.</w:t>
      </w:r>
    </w:p>
    <w:p w14:paraId="32C9FC41" w14:textId="72039AC3" w:rsidR="00B83A5B" w:rsidRPr="00F50C10" w:rsidRDefault="00B83A5B" w:rsidP="000B206D">
      <w:pPr>
        <w:spacing w:before="240" w:line="276" w:lineRule="auto"/>
        <w:rPr>
          <w:rFonts w:cs="Times New Roman"/>
          <w:szCs w:val="24"/>
        </w:rPr>
      </w:pPr>
      <w:r w:rsidRPr="00F50C10">
        <w:rPr>
          <w:rFonts w:cs="Times New Roman"/>
          <w:b/>
          <w:bCs/>
          <w:szCs w:val="24"/>
        </w:rPr>
        <w:t xml:space="preserve">MET </w:t>
      </w:r>
      <w:r w:rsidR="002478C0">
        <w:rPr>
          <w:rFonts w:cs="Times New Roman"/>
          <w:b/>
          <w:bCs/>
          <w:szCs w:val="24"/>
        </w:rPr>
        <w:t>7</w:t>
      </w:r>
      <w:r w:rsidRPr="00F50C10">
        <w:rPr>
          <w:rFonts w:cs="Times New Roman"/>
          <w:b/>
          <w:bCs/>
          <w:szCs w:val="24"/>
        </w:rPr>
        <w:t xml:space="preserve">: </w:t>
      </w:r>
      <w:r w:rsidRPr="00F50C10">
        <w:rPr>
          <w:rFonts w:cs="Times New Roman"/>
          <w:szCs w:val="24"/>
        </w:rPr>
        <w:t>Silikonların üretiminden açığa çıkan yan ürünlerin kullanımı maksimize edilir.</w:t>
      </w:r>
      <w:r w:rsidR="00E216F1" w:rsidRPr="00E216F1">
        <w:rPr>
          <w:rFonts w:cs="Times New Roman"/>
          <w:szCs w:val="24"/>
        </w:rPr>
        <w:t xml:space="preserve"> </w:t>
      </w:r>
      <w:r w:rsidR="00E216F1">
        <w:rPr>
          <w:rFonts w:cs="Times New Roman"/>
          <w:szCs w:val="24"/>
        </w:rPr>
        <w:t>(</w:t>
      </w:r>
      <w:r w:rsidR="00E216F1" w:rsidRPr="00BC3A2D">
        <w:rPr>
          <w:rFonts w:cs="Times New Roman"/>
          <w:szCs w:val="24"/>
        </w:rPr>
        <w:t xml:space="preserve">Detaylı bilgi için Özel İnorganik Kimyasalların Üretimi İçin MET Referans Belgesinin </w:t>
      </w:r>
      <w:r w:rsidR="00E216F1">
        <w:rPr>
          <w:rFonts w:cs="Times New Roman"/>
          <w:szCs w:val="24"/>
        </w:rPr>
        <w:t xml:space="preserve">6.3.3.4 ve Tablo 6.18 </w:t>
      </w:r>
      <w:r w:rsidR="00E216F1" w:rsidRPr="00BC3A2D">
        <w:rPr>
          <w:rFonts w:cs="Times New Roman"/>
          <w:szCs w:val="24"/>
        </w:rPr>
        <w:t>kıs</w:t>
      </w:r>
      <w:r w:rsidR="00E216F1">
        <w:rPr>
          <w:rFonts w:cs="Times New Roman"/>
          <w:szCs w:val="24"/>
        </w:rPr>
        <w:t>ımlarını</w:t>
      </w:r>
      <w:r w:rsidR="00E216F1" w:rsidRPr="00BC3A2D">
        <w:rPr>
          <w:rFonts w:cs="Times New Roman"/>
          <w:szCs w:val="24"/>
        </w:rPr>
        <w:t xml:space="preserve"> inceleyiniz.)</w:t>
      </w:r>
    </w:p>
    <w:p w14:paraId="09DF08C8" w14:textId="77777777" w:rsidR="00B83A5B" w:rsidRPr="00F50C10" w:rsidRDefault="00B83A5B" w:rsidP="00A654AE">
      <w:pPr>
        <w:pStyle w:val="Balk3"/>
        <w:numPr>
          <w:ilvl w:val="2"/>
          <w:numId w:val="137"/>
        </w:numPr>
        <w:spacing w:before="0" w:line="276" w:lineRule="auto"/>
        <w:rPr>
          <w:rFonts w:cs="Times New Roman"/>
        </w:rPr>
      </w:pPr>
      <w:bookmarkStart w:id="294" w:name="_Toc136866702"/>
      <w:r w:rsidRPr="00F50C10">
        <w:rPr>
          <w:rFonts w:cs="Times New Roman"/>
        </w:rPr>
        <w:t>Kazaların Önlenmesi</w:t>
      </w:r>
      <w:bookmarkEnd w:id="294"/>
    </w:p>
    <w:p w14:paraId="4C6098DA" w14:textId="6747EEFF" w:rsidR="00B83A5B" w:rsidRPr="00F50C10" w:rsidRDefault="00B83A5B" w:rsidP="000B206D">
      <w:pPr>
        <w:spacing w:after="120" w:line="276" w:lineRule="auto"/>
        <w:rPr>
          <w:rFonts w:cs="Times New Roman"/>
          <w:szCs w:val="24"/>
        </w:rPr>
      </w:pPr>
      <w:r w:rsidRPr="00F50C10">
        <w:rPr>
          <w:rFonts w:cs="Times New Roman"/>
          <w:b/>
          <w:bCs/>
          <w:szCs w:val="24"/>
        </w:rPr>
        <w:t xml:space="preserve">MET </w:t>
      </w:r>
      <w:r w:rsidR="002478C0">
        <w:rPr>
          <w:rFonts w:cs="Times New Roman"/>
          <w:b/>
          <w:bCs/>
          <w:szCs w:val="24"/>
        </w:rPr>
        <w:t>8</w:t>
      </w:r>
      <w:r w:rsidRPr="00F50C10">
        <w:rPr>
          <w:rFonts w:cs="Times New Roman"/>
          <w:b/>
          <w:bCs/>
          <w:szCs w:val="24"/>
        </w:rPr>
        <w:t xml:space="preserve">: </w:t>
      </w:r>
      <w:r w:rsidRPr="00F50C10">
        <w:rPr>
          <w:rFonts w:cs="Times New Roman"/>
          <w:szCs w:val="24"/>
        </w:rPr>
        <w:t xml:space="preserve">Öğütücünün yüklenmesinde </w:t>
      </w:r>
      <w:r w:rsidR="00E15001" w:rsidRPr="00F50C10">
        <w:rPr>
          <w:rFonts w:cs="Times New Roman"/>
          <w:szCs w:val="24"/>
        </w:rPr>
        <w:t>kepçeli</w:t>
      </w:r>
      <w:r w:rsidRPr="00F50C10">
        <w:rPr>
          <w:rFonts w:cs="Times New Roman"/>
          <w:szCs w:val="24"/>
        </w:rPr>
        <w:t xml:space="preserve"> elevatör kullanılıyorsa,</w:t>
      </w:r>
      <w:r w:rsidR="00E15001" w:rsidRPr="00F50C10">
        <w:rPr>
          <w:rFonts w:cs="Times New Roman"/>
          <w:szCs w:val="24"/>
        </w:rPr>
        <w:t xml:space="preserve"> örneğin statik elektrik akümülasyonunu sınırlandırmak için elavatöre antistatik bıçakların takılması yoluyla,</w:t>
      </w:r>
      <w:r w:rsidRPr="00F50C10">
        <w:rPr>
          <w:rFonts w:cs="Times New Roman"/>
          <w:szCs w:val="24"/>
        </w:rPr>
        <w:t xml:space="preserve"> elementel silikonun öğüt</w:t>
      </w:r>
      <w:r w:rsidR="00E15001" w:rsidRPr="00F50C10">
        <w:rPr>
          <w:rFonts w:cs="Times New Roman"/>
          <w:szCs w:val="24"/>
        </w:rPr>
        <w:t>ül</w:t>
      </w:r>
      <w:r w:rsidRPr="00F50C10">
        <w:rPr>
          <w:rFonts w:cs="Times New Roman"/>
          <w:szCs w:val="24"/>
        </w:rPr>
        <w:t>mesinden dolayı açığa çıkan ateşleme enerjisi kaynakları en aza indirilir</w:t>
      </w:r>
      <w:r w:rsidR="00E15001" w:rsidRPr="00F50C10">
        <w:rPr>
          <w:rFonts w:cs="Times New Roman"/>
          <w:szCs w:val="24"/>
        </w:rPr>
        <w:t>.</w:t>
      </w:r>
      <w:r w:rsidRPr="00F50C10">
        <w:rPr>
          <w:rFonts w:cs="Times New Roman"/>
          <w:szCs w:val="24"/>
        </w:rPr>
        <w:t xml:space="preserve"> </w:t>
      </w:r>
      <w:r w:rsidR="0012171A">
        <w:rPr>
          <w:rFonts w:cs="Times New Roman"/>
          <w:szCs w:val="24"/>
        </w:rPr>
        <w:t>(</w:t>
      </w:r>
      <w:r w:rsidR="0012171A" w:rsidRPr="00BC3A2D">
        <w:rPr>
          <w:rFonts w:cs="Times New Roman"/>
          <w:szCs w:val="24"/>
        </w:rPr>
        <w:t xml:space="preserve">Detaylı bilgi için Özel İnorganik Kimyasalların Üretimi İçin MET Referans Belgesinin </w:t>
      </w:r>
      <w:r w:rsidR="0012171A">
        <w:rPr>
          <w:rFonts w:cs="Times New Roman"/>
          <w:szCs w:val="24"/>
        </w:rPr>
        <w:t xml:space="preserve">6.3.4.15 </w:t>
      </w:r>
      <w:r w:rsidR="0012171A" w:rsidRPr="00BC3A2D">
        <w:rPr>
          <w:rFonts w:cs="Times New Roman"/>
          <w:szCs w:val="24"/>
        </w:rPr>
        <w:t>kıs</w:t>
      </w:r>
      <w:r w:rsidR="0012171A">
        <w:rPr>
          <w:rFonts w:cs="Times New Roman"/>
          <w:szCs w:val="24"/>
        </w:rPr>
        <w:t>mını</w:t>
      </w:r>
      <w:r w:rsidR="0012171A" w:rsidRPr="00BC3A2D">
        <w:rPr>
          <w:rFonts w:cs="Times New Roman"/>
          <w:szCs w:val="24"/>
        </w:rPr>
        <w:t xml:space="preserve"> inceleyiniz.)</w:t>
      </w:r>
    </w:p>
    <w:p w14:paraId="30D4C5E1" w14:textId="11B65EA7" w:rsidR="00B83A5B" w:rsidRPr="00F50C10" w:rsidRDefault="00B83A5B" w:rsidP="000B206D">
      <w:pPr>
        <w:spacing w:before="240" w:line="276" w:lineRule="auto"/>
        <w:rPr>
          <w:rFonts w:cs="Times New Roman"/>
          <w:szCs w:val="24"/>
        </w:rPr>
      </w:pPr>
      <w:r w:rsidRPr="00F50C10">
        <w:rPr>
          <w:rFonts w:cs="Times New Roman"/>
          <w:b/>
          <w:bCs/>
          <w:szCs w:val="24"/>
        </w:rPr>
        <w:t xml:space="preserve">MET </w:t>
      </w:r>
      <w:r w:rsidR="002478C0">
        <w:rPr>
          <w:rFonts w:cs="Times New Roman"/>
          <w:b/>
          <w:bCs/>
          <w:szCs w:val="24"/>
        </w:rPr>
        <w:t>9</w:t>
      </w:r>
      <w:r w:rsidRPr="00F50C10">
        <w:rPr>
          <w:rFonts w:cs="Times New Roman"/>
          <w:b/>
          <w:bCs/>
          <w:szCs w:val="24"/>
        </w:rPr>
        <w:t xml:space="preserve">: </w:t>
      </w:r>
      <w:r w:rsidRPr="00F50C10">
        <w:rPr>
          <w:rFonts w:cs="Times New Roman"/>
          <w:szCs w:val="24"/>
        </w:rPr>
        <w:t xml:space="preserve">Kaza riskini ve takip eden çevresel etkiyi en aza düşürmek için, örnek olarak aşağıdaki önlemlerin bir kombinasyonunu uygulamak yoluyla, elementel silikonun öğütülmesinden ve taşınmasından kaynaklanan patlama </w:t>
      </w:r>
      <w:r w:rsidR="00E15001" w:rsidRPr="00F50C10">
        <w:rPr>
          <w:rFonts w:cs="Times New Roman"/>
          <w:szCs w:val="24"/>
        </w:rPr>
        <w:t>olasılıkları</w:t>
      </w:r>
      <w:r w:rsidRPr="00F50C10">
        <w:rPr>
          <w:rFonts w:cs="Times New Roman"/>
          <w:szCs w:val="24"/>
        </w:rPr>
        <w:t>, ekipman atmosferindeki oksijen ve/veya elementel silikon tozu içeriğini alt patlayıcı limitinin altındaki emniyetli bir düzeyde tutarak, en aza düşürül</w:t>
      </w:r>
      <w:r w:rsidR="00E15001" w:rsidRPr="00F50C10">
        <w:rPr>
          <w:rFonts w:cs="Times New Roman"/>
          <w:szCs w:val="24"/>
        </w:rPr>
        <w:t>ür</w:t>
      </w:r>
      <w:r w:rsidRPr="00F50C10">
        <w:rPr>
          <w:rFonts w:cs="Times New Roman"/>
          <w:szCs w:val="24"/>
        </w:rPr>
        <w:t xml:space="preserve">. </w:t>
      </w:r>
      <w:r w:rsidR="0012171A">
        <w:rPr>
          <w:rFonts w:cs="Times New Roman"/>
          <w:szCs w:val="24"/>
        </w:rPr>
        <w:t>(</w:t>
      </w:r>
      <w:r w:rsidR="0012171A" w:rsidRPr="00BC3A2D">
        <w:rPr>
          <w:rFonts w:cs="Times New Roman"/>
          <w:szCs w:val="24"/>
        </w:rPr>
        <w:t xml:space="preserve">Detaylı bilgi için Özel İnorganik Kimyasalların Üretimi İçin MET Referans Belgesinin </w:t>
      </w:r>
      <w:r w:rsidR="0012171A">
        <w:rPr>
          <w:rFonts w:cs="Times New Roman"/>
          <w:szCs w:val="24"/>
        </w:rPr>
        <w:t xml:space="preserve">6.3.4.16 </w:t>
      </w:r>
      <w:r w:rsidR="0012171A" w:rsidRPr="00BC3A2D">
        <w:rPr>
          <w:rFonts w:cs="Times New Roman"/>
          <w:szCs w:val="24"/>
        </w:rPr>
        <w:t>kıs</w:t>
      </w:r>
      <w:r w:rsidR="0012171A">
        <w:rPr>
          <w:rFonts w:cs="Times New Roman"/>
          <w:szCs w:val="24"/>
        </w:rPr>
        <w:t>mını</w:t>
      </w:r>
      <w:r w:rsidR="0012171A" w:rsidRPr="00BC3A2D">
        <w:rPr>
          <w:rFonts w:cs="Times New Roman"/>
          <w:szCs w:val="24"/>
        </w:rPr>
        <w:t xml:space="preserve"> inceleyiniz.)</w:t>
      </w:r>
      <w:r w:rsidRPr="00F50C10">
        <w:rPr>
          <w:rFonts w:cs="Times New Roman"/>
          <w:szCs w:val="24"/>
        </w:rPr>
        <w:t>Elementel silikon için güvenli oksijen düzeyi, silikon partikülünün büyüklüğüne bağlı olarak yaklaşık %5’tir:</w:t>
      </w:r>
    </w:p>
    <w:p w14:paraId="53177808" w14:textId="77777777" w:rsidR="00E15001" w:rsidRPr="00F50C10" w:rsidRDefault="00B83A5B" w:rsidP="00A654AE">
      <w:pPr>
        <w:pStyle w:val="ListeParagraf"/>
        <w:numPr>
          <w:ilvl w:val="1"/>
          <w:numId w:val="124"/>
        </w:numPr>
        <w:spacing w:before="240" w:line="276" w:lineRule="auto"/>
        <w:rPr>
          <w:rFonts w:cs="Times New Roman"/>
          <w:szCs w:val="24"/>
        </w:rPr>
      </w:pPr>
      <w:r w:rsidRPr="00F50C10">
        <w:rPr>
          <w:rFonts w:cs="Times New Roman"/>
          <w:szCs w:val="24"/>
        </w:rPr>
        <w:t>azot gazı enjeksiyonu veya sürekli toz ekstraksiyonu kullanılması,</w:t>
      </w:r>
    </w:p>
    <w:p w14:paraId="516DD68F" w14:textId="77777777" w:rsidR="00E15001" w:rsidRPr="00F50C10" w:rsidRDefault="00B83A5B" w:rsidP="00A654AE">
      <w:pPr>
        <w:pStyle w:val="ListeParagraf"/>
        <w:numPr>
          <w:ilvl w:val="1"/>
          <w:numId w:val="124"/>
        </w:numPr>
        <w:spacing w:before="240" w:line="276" w:lineRule="auto"/>
        <w:rPr>
          <w:rFonts w:cs="Times New Roman"/>
          <w:szCs w:val="24"/>
        </w:rPr>
      </w:pPr>
      <w:r w:rsidRPr="00F50C10">
        <w:rPr>
          <w:rFonts w:cs="Times New Roman"/>
          <w:szCs w:val="24"/>
        </w:rPr>
        <w:t>öğütücü ortamı oksijen içeriğinin sürekli izlenmesi ve alarmların kumanda odasına bildirilmesi,</w:t>
      </w:r>
    </w:p>
    <w:p w14:paraId="676E2C9F" w14:textId="1175D629" w:rsidR="00E15001" w:rsidRPr="00F50C10" w:rsidRDefault="00B83A5B" w:rsidP="00A654AE">
      <w:pPr>
        <w:pStyle w:val="ListeParagraf"/>
        <w:numPr>
          <w:ilvl w:val="1"/>
          <w:numId w:val="124"/>
        </w:numPr>
        <w:spacing w:before="240" w:line="276" w:lineRule="auto"/>
        <w:rPr>
          <w:rFonts w:cs="Times New Roman"/>
          <w:szCs w:val="24"/>
        </w:rPr>
      </w:pPr>
      <w:r w:rsidRPr="00F50C10">
        <w:rPr>
          <w:rFonts w:cs="Times New Roman"/>
          <w:szCs w:val="24"/>
        </w:rPr>
        <w:t xml:space="preserve">öğütülmüş elementel silikonun pnömatik taşmasının </w:t>
      </w:r>
      <w:r w:rsidR="004818C9" w:rsidRPr="00F50C10">
        <w:rPr>
          <w:rFonts w:cs="Times New Roman"/>
          <w:szCs w:val="24"/>
        </w:rPr>
        <w:t>inert</w:t>
      </w:r>
      <w:r w:rsidRPr="00F50C10">
        <w:rPr>
          <w:rFonts w:cs="Times New Roman"/>
          <w:szCs w:val="24"/>
        </w:rPr>
        <w:t xml:space="preserve"> gaz atmosferinde gerçekleştirilmesi,</w:t>
      </w:r>
    </w:p>
    <w:p w14:paraId="21D76776" w14:textId="1C402A4A" w:rsidR="00B83A5B" w:rsidRPr="00F50C10" w:rsidRDefault="004818C9" w:rsidP="00A654AE">
      <w:pPr>
        <w:pStyle w:val="ListeParagraf"/>
        <w:numPr>
          <w:ilvl w:val="1"/>
          <w:numId w:val="124"/>
        </w:numPr>
        <w:spacing w:before="240" w:line="276" w:lineRule="auto"/>
        <w:rPr>
          <w:rFonts w:cs="Times New Roman"/>
          <w:szCs w:val="24"/>
        </w:rPr>
      </w:pPr>
      <w:r w:rsidRPr="00F50C10">
        <w:rPr>
          <w:rFonts w:cs="Times New Roman"/>
          <w:szCs w:val="24"/>
        </w:rPr>
        <w:t>inert</w:t>
      </w:r>
      <w:r w:rsidR="00B83A5B" w:rsidRPr="00F50C10">
        <w:rPr>
          <w:rFonts w:cs="Times New Roman"/>
          <w:szCs w:val="24"/>
        </w:rPr>
        <w:t xml:space="preserve"> gaz ikmalinin aksaması durumunda öğütücünün derhal kapatılması.</w:t>
      </w:r>
    </w:p>
    <w:p w14:paraId="5FA8D330" w14:textId="4FF69AD6" w:rsidR="00B83A5B" w:rsidRPr="00F50C10" w:rsidRDefault="00B83A5B" w:rsidP="000B206D">
      <w:pPr>
        <w:spacing w:before="240" w:line="276" w:lineRule="auto"/>
        <w:rPr>
          <w:rFonts w:cs="Times New Roman"/>
          <w:szCs w:val="24"/>
        </w:rPr>
      </w:pPr>
      <w:r w:rsidRPr="00F50C10">
        <w:rPr>
          <w:rFonts w:cs="Times New Roman"/>
          <w:b/>
          <w:bCs/>
          <w:szCs w:val="24"/>
        </w:rPr>
        <w:t xml:space="preserve">MET </w:t>
      </w:r>
      <w:r w:rsidR="002478C0">
        <w:rPr>
          <w:rFonts w:cs="Times New Roman"/>
          <w:b/>
          <w:bCs/>
          <w:szCs w:val="24"/>
        </w:rPr>
        <w:t>10</w:t>
      </w:r>
      <w:r w:rsidRPr="00F50C10">
        <w:rPr>
          <w:rFonts w:cs="Times New Roman"/>
          <w:b/>
          <w:bCs/>
          <w:szCs w:val="24"/>
        </w:rPr>
        <w:t xml:space="preserve">: </w:t>
      </w:r>
      <w:r w:rsidRPr="00F50C10">
        <w:rPr>
          <w:rFonts w:cs="Times New Roman"/>
          <w:szCs w:val="24"/>
        </w:rPr>
        <w:t xml:space="preserve">Kaza riskini ve takip eden çevresel etkiyi azaltmak için, </w:t>
      </w:r>
      <w:r w:rsidR="004818C9" w:rsidRPr="00F50C10">
        <w:rPr>
          <w:rFonts w:cs="Times New Roman"/>
          <w:szCs w:val="24"/>
        </w:rPr>
        <w:t>damıtma</w:t>
      </w:r>
      <w:r w:rsidRPr="00F50C10">
        <w:rPr>
          <w:rFonts w:cs="Times New Roman"/>
          <w:szCs w:val="24"/>
        </w:rPr>
        <w:t xml:space="preserve"> </w:t>
      </w:r>
      <w:r w:rsidR="004818C9" w:rsidRPr="00F50C10">
        <w:rPr>
          <w:rFonts w:cs="Times New Roman"/>
          <w:szCs w:val="24"/>
        </w:rPr>
        <w:t>kolonları</w:t>
      </w:r>
      <w:r w:rsidRPr="00F50C10">
        <w:rPr>
          <w:rFonts w:cs="Times New Roman"/>
          <w:szCs w:val="24"/>
        </w:rPr>
        <w:t xml:space="preserve"> havayla </w:t>
      </w:r>
      <w:r w:rsidR="004818C9" w:rsidRPr="00F50C10">
        <w:rPr>
          <w:rFonts w:cs="Times New Roman"/>
          <w:szCs w:val="24"/>
        </w:rPr>
        <w:t>soğutulur</w:t>
      </w:r>
      <w:r w:rsidRPr="00F50C10">
        <w:rPr>
          <w:rFonts w:cs="Times New Roman"/>
          <w:szCs w:val="24"/>
        </w:rPr>
        <w:t>.</w:t>
      </w:r>
      <w:r w:rsidR="0012171A" w:rsidRPr="0012171A">
        <w:rPr>
          <w:rFonts w:cs="Times New Roman"/>
          <w:szCs w:val="24"/>
        </w:rPr>
        <w:t xml:space="preserve"> </w:t>
      </w:r>
      <w:r w:rsidR="0012171A">
        <w:rPr>
          <w:rFonts w:cs="Times New Roman"/>
          <w:szCs w:val="24"/>
        </w:rPr>
        <w:t>(</w:t>
      </w:r>
      <w:r w:rsidR="0012171A" w:rsidRPr="00BC3A2D">
        <w:rPr>
          <w:rFonts w:cs="Times New Roman"/>
          <w:szCs w:val="24"/>
        </w:rPr>
        <w:t xml:space="preserve">Detaylı bilgi için Özel İnorganik Kimyasalların Üretimi İçin MET Referans Belgesinin </w:t>
      </w:r>
      <w:r w:rsidR="0012171A">
        <w:rPr>
          <w:rFonts w:cs="Times New Roman"/>
          <w:szCs w:val="24"/>
        </w:rPr>
        <w:t xml:space="preserve">6.3.4.17 </w:t>
      </w:r>
      <w:r w:rsidR="0012171A" w:rsidRPr="00BC3A2D">
        <w:rPr>
          <w:rFonts w:cs="Times New Roman"/>
          <w:szCs w:val="24"/>
        </w:rPr>
        <w:t>kıs</w:t>
      </w:r>
      <w:r w:rsidR="0012171A">
        <w:rPr>
          <w:rFonts w:cs="Times New Roman"/>
          <w:szCs w:val="24"/>
        </w:rPr>
        <w:t>mını</w:t>
      </w:r>
      <w:r w:rsidR="0012171A" w:rsidRPr="00BC3A2D">
        <w:rPr>
          <w:rFonts w:cs="Times New Roman"/>
          <w:szCs w:val="24"/>
        </w:rPr>
        <w:t xml:space="preserve"> inceleyiniz.)</w:t>
      </w:r>
    </w:p>
    <w:p w14:paraId="6ABAB08D" w14:textId="77777777" w:rsidR="00B83A5B" w:rsidRPr="00F50C10" w:rsidRDefault="00B83A5B" w:rsidP="00A654AE">
      <w:pPr>
        <w:pStyle w:val="Balk3"/>
        <w:numPr>
          <w:ilvl w:val="2"/>
          <w:numId w:val="137"/>
        </w:numPr>
        <w:spacing w:line="276" w:lineRule="auto"/>
        <w:rPr>
          <w:rFonts w:cs="Times New Roman"/>
        </w:rPr>
      </w:pPr>
      <w:bookmarkStart w:id="295" w:name="_Toc136866703"/>
      <w:r w:rsidRPr="00F50C10">
        <w:rPr>
          <w:rFonts w:cs="Times New Roman"/>
        </w:rPr>
        <w:t>Enerji</w:t>
      </w:r>
      <w:bookmarkEnd w:id="295"/>
    </w:p>
    <w:p w14:paraId="17140271" w14:textId="08F81A55"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w:t>
      </w:r>
      <w:r w:rsidR="002478C0">
        <w:rPr>
          <w:rFonts w:cs="Times New Roman"/>
          <w:b/>
          <w:bCs/>
          <w:szCs w:val="24"/>
        </w:rPr>
        <w:t>11</w:t>
      </w:r>
      <w:r w:rsidRPr="00F50C10">
        <w:rPr>
          <w:rFonts w:cs="Times New Roman"/>
          <w:b/>
          <w:bCs/>
          <w:szCs w:val="24"/>
        </w:rPr>
        <w:t xml:space="preserve">: </w:t>
      </w:r>
      <w:r w:rsidRPr="00F50C10">
        <w:rPr>
          <w:rFonts w:cs="Times New Roman"/>
          <w:szCs w:val="24"/>
        </w:rPr>
        <w:t>Doğrudan sentezde üretilen enerjinin geri dönüşümü ile enerji tüketimi düşürül</w:t>
      </w:r>
      <w:r w:rsidR="004818C9" w:rsidRPr="00F50C10">
        <w:rPr>
          <w:rFonts w:cs="Times New Roman"/>
          <w:szCs w:val="24"/>
        </w:rPr>
        <w:t>ü</w:t>
      </w:r>
      <w:r w:rsidRPr="00F50C10">
        <w:rPr>
          <w:rFonts w:cs="Times New Roman"/>
          <w:szCs w:val="24"/>
        </w:rPr>
        <w:t>r.</w:t>
      </w:r>
      <w:r w:rsidR="00700FFC" w:rsidRPr="00700FFC">
        <w:rPr>
          <w:rFonts w:cs="Times New Roman"/>
          <w:szCs w:val="24"/>
        </w:rPr>
        <w:t xml:space="preserve"> </w:t>
      </w:r>
      <w:r w:rsidR="00700FFC">
        <w:rPr>
          <w:rFonts w:cs="Times New Roman"/>
          <w:szCs w:val="24"/>
        </w:rPr>
        <w:t>(</w:t>
      </w:r>
      <w:r w:rsidR="00700FFC" w:rsidRPr="00BC3A2D">
        <w:rPr>
          <w:rFonts w:cs="Times New Roman"/>
          <w:szCs w:val="24"/>
        </w:rPr>
        <w:t xml:space="preserve">Detaylı bilgi için Özel İnorganik Kimyasalların Üretimi İçin MET Referans Belgesinin </w:t>
      </w:r>
      <w:r w:rsidR="00700FFC">
        <w:rPr>
          <w:rFonts w:cs="Times New Roman"/>
          <w:szCs w:val="24"/>
        </w:rPr>
        <w:t xml:space="preserve">6.3.3.1.2 </w:t>
      </w:r>
      <w:r w:rsidR="00700FFC" w:rsidRPr="00BC3A2D">
        <w:rPr>
          <w:rFonts w:cs="Times New Roman"/>
          <w:szCs w:val="24"/>
        </w:rPr>
        <w:t>kıs</w:t>
      </w:r>
      <w:r w:rsidR="00700FFC">
        <w:rPr>
          <w:rFonts w:cs="Times New Roman"/>
          <w:szCs w:val="24"/>
        </w:rPr>
        <w:t>mını</w:t>
      </w:r>
      <w:r w:rsidR="00700FFC" w:rsidRPr="00BC3A2D">
        <w:rPr>
          <w:rFonts w:cs="Times New Roman"/>
          <w:szCs w:val="24"/>
        </w:rPr>
        <w:t xml:space="preserve"> inceleyiniz.)</w:t>
      </w:r>
    </w:p>
    <w:p w14:paraId="75AE6E22" w14:textId="77777777" w:rsidR="00B83A5B" w:rsidRPr="00F50C10" w:rsidRDefault="00B83A5B" w:rsidP="00A654AE">
      <w:pPr>
        <w:pStyle w:val="Balk3"/>
        <w:numPr>
          <w:ilvl w:val="2"/>
          <w:numId w:val="137"/>
        </w:numPr>
        <w:spacing w:line="276" w:lineRule="auto"/>
        <w:rPr>
          <w:rFonts w:cs="Times New Roman"/>
        </w:rPr>
      </w:pPr>
      <w:bookmarkStart w:id="296" w:name="_Toc136866704"/>
      <w:r w:rsidRPr="00F50C10">
        <w:rPr>
          <w:rFonts w:cs="Times New Roman"/>
        </w:rPr>
        <w:t>Atık Gaz Arıtımı</w:t>
      </w:r>
      <w:bookmarkEnd w:id="296"/>
    </w:p>
    <w:p w14:paraId="3FC3FA53" w14:textId="2259853B" w:rsidR="00B83A5B" w:rsidRPr="00F50C10" w:rsidRDefault="00B83A5B" w:rsidP="000B206D">
      <w:pPr>
        <w:spacing w:before="240" w:line="276" w:lineRule="auto"/>
        <w:rPr>
          <w:rFonts w:cs="Times New Roman"/>
          <w:szCs w:val="24"/>
        </w:rPr>
      </w:pPr>
      <w:r w:rsidRPr="00F50C10">
        <w:rPr>
          <w:rFonts w:cs="Times New Roman"/>
          <w:b/>
          <w:bCs/>
          <w:szCs w:val="24"/>
        </w:rPr>
        <w:t xml:space="preserve">MET </w:t>
      </w:r>
      <w:r w:rsidR="002478C0">
        <w:rPr>
          <w:rFonts w:cs="Times New Roman"/>
          <w:b/>
          <w:bCs/>
          <w:szCs w:val="24"/>
        </w:rPr>
        <w:t>12</w:t>
      </w:r>
      <w:r w:rsidRPr="00F50C10">
        <w:rPr>
          <w:rFonts w:cs="Times New Roman"/>
          <w:b/>
          <w:bCs/>
          <w:szCs w:val="24"/>
        </w:rPr>
        <w:t xml:space="preserve">: </w:t>
      </w:r>
      <w:r w:rsidRPr="00F50C10">
        <w:rPr>
          <w:rFonts w:cs="Times New Roman"/>
          <w:szCs w:val="24"/>
        </w:rPr>
        <w:t xml:space="preserve">Metil klorür, doğrudan sentez ve </w:t>
      </w:r>
      <w:r w:rsidR="004818C9" w:rsidRPr="00F50C10">
        <w:rPr>
          <w:rFonts w:cs="Times New Roman"/>
          <w:szCs w:val="24"/>
        </w:rPr>
        <w:t>damıtma</w:t>
      </w:r>
      <w:r w:rsidRPr="00F50C10">
        <w:rPr>
          <w:rFonts w:cs="Times New Roman"/>
          <w:szCs w:val="24"/>
        </w:rPr>
        <w:t xml:space="preserve"> </w:t>
      </w:r>
      <w:r w:rsidR="004818C9" w:rsidRPr="00F50C10">
        <w:rPr>
          <w:rFonts w:cs="Times New Roman"/>
          <w:szCs w:val="24"/>
        </w:rPr>
        <w:t>proses</w:t>
      </w:r>
      <w:r w:rsidRPr="00F50C10">
        <w:rPr>
          <w:rFonts w:cs="Times New Roman"/>
          <w:szCs w:val="24"/>
        </w:rPr>
        <w:t xml:space="preserve"> adımlarından kaynaklanan çıkış gazlarının termal oksidasyon yoluyla havaya yaydıkları uçucu organi</w:t>
      </w:r>
      <w:r w:rsidR="004818C9" w:rsidRPr="00F50C10">
        <w:rPr>
          <w:rFonts w:cs="Times New Roman"/>
          <w:szCs w:val="24"/>
        </w:rPr>
        <w:t>k</w:t>
      </w:r>
      <w:r w:rsidRPr="00F50C10">
        <w:rPr>
          <w:rFonts w:cs="Times New Roman"/>
          <w:szCs w:val="24"/>
        </w:rPr>
        <w:t xml:space="preserve"> bileşikler (UOB) (hafif hidrokarbonlar) ve klorlu bileşik emisyonları en aza indirilir. Bu işlemin ardından yıkama süreci gerçekleştirilmelidir.</w:t>
      </w:r>
      <w:r w:rsidR="007B3B99" w:rsidRPr="007B3B99">
        <w:rPr>
          <w:rFonts w:cs="Times New Roman"/>
          <w:szCs w:val="24"/>
        </w:rPr>
        <w:t xml:space="preserve"> </w:t>
      </w:r>
      <w:r w:rsidR="007B3B99">
        <w:rPr>
          <w:rFonts w:cs="Times New Roman"/>
          <w:szCs w:val="24"/>
        </w:rPr>
        <w:t>(</w:t>
      </w:r>
      <w:r w:rsidR="007B3B99" w:rsidRPr="00BC3A2D">
        <w:rPr>
          <w:rFonts w:cs="Times New Roman"/>
          <w:szCs w:val="24"/>
        </w:rPr>
        <w:t xml:space="preserve">Detaylı bilgi için Özel İnorganik Kimyasalların Üretimi İçin MET Referans Belgesinin </w:t>
      </w:r>
      <w:r w:rsidR="007B3B99">
        <w:rPr>
          <w:rFonts w:cs="Times New Roman"/>
          <w:szCs w:val="24"/>
        </w:rPr>
        <w:t xml:space="preserve">6.3.4.8 </w:t>
      </w:r>
      <w:r w:rsidR="007B3B99" w:rsidRPr="00BC3A2D">
        <w:rPr>
          <w:rFonts w:cs="Times New Roman"/>
          <w:szCs w:val="24"/>
        </w:rPr>
        <w:t>kıs</w:t>
      </w:r>
      <w:r w:rsidR="007B3B99">
        <w:rPr>
          <w:rFonts w:cs="Times New Roman"/>
          <w:szCs w:val="24"/>
        </w:rPr>
        <w:t>mını</w:t>
      </w:r>
      <w:r w:rsidR="007B3B99" w:rsidRPr="00BC3A2D">
        <w:rPr>
          <w:rFonts w:cs="Times New Roman"/>
          <w:szCs w:val="24"/>
        </w:rPr>
        <w:t xml:space="preserve"> inceleyiniz.)</w:t>
      </w:r>
    </w:p>
    <w:p w14:paraId="5C671240" w14:textId="77777777" w:rsidR="00B83A5B" w:rsidRPr="00F50C10" w:rsidRDefault="00B83A5B" w:rsidP="00A654AE">
      <w:pPr>
        <w:pStyle w:val="Balk3"/>
        <w:numPr>
          <w:ilvl w:val="2"/>
          <w:numId w:val="137"/>
        </w:numPr>
        <w:spacing w:line="276" w:lineRule="auto"/>
        <w:rPr>
          <w:rFonts w:cs="Times New Roman"/>
        </w:rPr>
      </w:pPr>
      <w:bookmarkStart w:id="297" w:name="_Toc136866705"/>
      <w:r w:rsidRPr="00F50C10">
        <w:rPr>
          <w:rFonts w:cs="Times New Roman"/>
        </w:rPr>
        <w:t>Atık Su Arıtımı/Yönetimi</w:t>
      </w:r>
      <w:bookmarkEnd w:id="297"/>
    </w:p>
    <w:p w14:paraId="793401C1" w14:textId="46AE4A77"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w:t>
      </w:r>
      <w:r w:rsidR="002478C0">
        <w:rPr>
          <w:rFonts w:cs="Times New Roman"/>
          <w:b/>
          <w:bCs/>
          <w:szCs w:val="24"/>
        </w:rPr>
        <w:t>13</w:t>
      </w:r>
      <w:r w:rsidRPr="00F50C10">
        <w:rPr>
          <w:rFonts w:cs="Times New Roman"/>
          <w:b/>
          <w:bCs/>
          <w:szCs w:val="24"/>
        </w:rPr>
        <w:t xml:space="preserve">: </w:t>
      </w:r>
      <w:r w:rsidRPr="00F50C10">
        <w:rPr>
          <w:rFonts w:cs="Times New Roman"/>
          <w:szCs w:val="24"/>
        </w:rPr>
        <w:t>Aşağıdakilerin tamamının uygulanması yoluyla su tüketiminin en aza düşürül</w:t>
      </w:r>
      <w:r w:rsidR="004818C9" w:rsidRPr="00F50C10">
        <w:rPr>
          <w:rFonts w:cs="Times New Roman"/>
          <w:szCs w:val="24"/>
        </w:rPr>
        <w:t>ü</w:t>
      </w:r>
      <w:r w:rsidRPr="00F50C10">
        <w:rPr>
          <w:rFonts w:cs="Times New Roman"/>
          <w:szCs w:val="24"/>
        </w:rPr>
        <w:t>r:</w:t>
      </w:r>
      <w:r w:rsidR="003A4EA7" w:rsidRPr="003A4EA7">
        <w:rPr>
          <w:rFonts w:cs="Times New Roman"/>
          <w:szCs w:val="24"/>
        </w:rPr>
        <w:t xml:space="preserve"> </w:t>
      </w:r>
      <w:r w:rsidR="003A4EA7">
        <w:rPr>
          <w:rFonts w:cs="Times New Roman"/>
          <w:szCs w:val="24"/>
        </w:rPr>
        <w:t>(</w:t>
      </w:r>
      <w:r w:rsidR="003A4EA7" w:rsidRPr="00BC3A2D">
        <w:rPr>
          <w:rFonts w:cs="Times New Roman"/>
          <w:szCs w:val="24"/>
        </w:rPr>
        <w:t xml:space="preserve">Detaylı bilgi için Özel İnorganik Kimyasalların Üretimi İçin MET Referans Belgesinin </w:t>
      </w:r>
      <w:r w:rsidR="003A4EA7">
        <w:rPr>
          <w:rFonts w:cs="Times New Roman"/>
          <w:szCs w:val="24"/>
        </w:rPr>
        <w:t xml:space="preserve">6.3.4.10 ve 6.3.4.11 </w:t>
      </w:r>
      <w:r w:rsidR="003A4EA7" w:rsidRPr="00BC3A2D">
        <w:rPr>
          <w:rFonts w:cs="Times New Roman"/>
          <w:szCs w:val="24"/>
        </w:rPr>
        <w:t>kıs</w:t>
      </w:r>
      <w:r w:rsidR="003A4EA7">
        <w:rPr>
          <w:rFonts w:cs="Times New Roman"/>
          <w:szCs w:val="24"/>
        </w:rPr>
        <w:t xml:space="preserve">ımlarını </w:t>
      </w:r>
      <w:r w:rsidR="003A4EA7" w:rsidRPr="00BC3A2D">
        <w:rPr>
          <w:rFonts w:cs="Times New Roman"/>
          <w:szCs w:val="24"/>
        </w:rPr>
        <w:t>inceleyiniz.)</w:t>
      </w:r>
    </w:p>
    <w:p w14:paraId="5B344784" w14:textId="77777777" w:rsidR="00B83A5B" w:rsidRPr="00F50C10" w:rsidRDefault="00B83A5B" w:rsidP="00A654AE">
      <w:pPr>
        <w:pStyle w:val="ListeParagraf"/>
        <w:numPr>
          <w:ilvl w:val="0"/>
          <w:numId w:val="125"/>
        </w:numPr>
        <w:spacing w:before="240" w:line="276" w:lineRule="auto"/>
        <w:rPr>
          <w:rFonts w:cs="Times New Roman"/>
          <w:szCs w:val="24"/>
        </w:rPr>
      </w:pPr>
      <w:r w:rsidRPr="00F50C10">
        <w:rPr>
          <w:rFonts w:cs="Times New Roman"/>
          <w:szCs w:val="24"/>
        </w:rPr>
        <w:t>soğutma ve proses suyu miktarlarının, mamul ürünlere kadar tüm imalat sürecinde ölçülmesi,</w:t>
      </w:r>
    </w:p>
    <w:p w14:paraId="7FA87D46" w14:textId="77777777" w:rsidR="00B83A5B" w:rsidRPr="00F50C10" w:rsidRDefault="00B83A5B" w:rsidP="00A654AE">
      <w:pPr>
        <w:pStyle w:val="ListeParagraf"/>
        <w:numPr>
          <w:ilvl w:val="0"/>
          <w:numId w:val="125"/>
        </w:numPr>
        <w:spacing w:before="240" w:line="276" w:lineRule="auto"/>
        <w:rPr>
          <w:rFonts w:cs="Times New Roman"/>
          <w:szCs w:val="24"/>
        </w:rPr>
      </w:pPr>
      <w:r w:rsidRPr="00F50C10">
        <w:rPr>
          <w:rFonts w:cs="Times New Roman"/>
          <w:szCs w:val="24"/>
        </w:rPr>
        <w:t>su kullanımının optimize edilmesi,</w:t>
      </w:r>
    </w:p>
    <w:p w14:paraId="7DDADCF6" w14:textId="77777777" w:rsidR="00B83A5B" w:rsidRPr="00F50C10" w:rsidRDefault="00B83A5B" w:rsidP="00A654AE">
      <w:pPr>
        <w:pStyle w:val="ListeParagraf"/>
        <w:numPr>
          <w:ilvl w:val="0"/>
          <w:numId w:val="125"/>
        </w:numPr>
        <w:spacing w:before="240" w:line="276" w:lineRule="auto"/>
        <w:rPr>
          <w:rFonts w:cs="Times New Roman"/>
          <w:szCs w:val="24"/>
        </w:rPr>
      </w:pPr>
      <w:r w:rsidRPr="00F50C10">
        <w:rPr>
          <w:rFonts w:cs="Times New Roman"/>
          <w:szCs w:val="24"/>
        </w:rPr>
        <w:t>teknik ve ekonomik olarak gerekçelendirilen durumlarda su soğutmalı yoğuşturucular yerine hava soğutmalı yoğuşturucuların kullanılması,</w:t>
      </w:r>
    </w:p>
    <w:p w14:paraId="505BD75B" w14:textId="375719A3" w:rsidR="00B83A5B" w:rsidRPr="00F50C10" w:rsidRDefault="00B83A5B" w:rsidP="00A654AE">
      <w:pPr>
        <w:pStyle w:val="ListeParagraf"/>
        <w:numPr>
          <w:ilvl w:val="0"/>
          <w:numId w:val="125"/>
        </w:numPr>
        <w:spacing w:before="240" w:line="276" w:lineRule="auto"/>
        <w:rPr>
          <w:rFonts w:cs="Times New Roman"/>
          <w:szCs w:val="24"/>
        </w:rPr>
      </w:pPr>
      <w:r w:rsidRPr="00F50C10">
        <w:rPr>
          <w:rFonts w:cs="Times New Roman"/>
          <w:szCs w:val="24"/>
        </w:rPr>
        <w:t>metil</w:t>
      </w:r>
      <w:r w:rsidR="004818C9" w:rsidRPr="00F50C10">
        <w:rPr>
          <w:rFonts w:cs="Times New Roman"/>
          <w:szCs w:val="24"/>
        </w:rPr>
        <w:t xml:space="preserve"> klorür</w:t>
      </w:r>
      <w:r w:rsidRPr="00F50C10">
        <w:rPr>
          <w:rFonts w:cs="Times New Roman"/>
          <w:szCs w:val="24"/>
        </w:rPr>
        <w:t xml:space="preserve"> sentezi adımında üretilen suyun, ürün kalitesinde ortaya çıkması muhtemel değişikliklerin tolere edilmesi koşuluyla, hidroliz adımında yeniden kullanılması.</w:t>
      </w:r>
    </w:p>
    <w:p w14:paraId="6E619FFD" w14:textId="55792A7E" w:rsidR="00B83A5B" w:rsidRPr="00F50C10" w:rsidRDefault="00B83A5B" w:rsidP="000B206D">
      <w:pPr>
        <w:spacing w:before="240" w:line="276" w:lineRule="auto"/>
        <w:rPr>
          <w:rFonts w:cs="Times New Roman"/>
          <w:szCs w:val="24"/>
        </w:rPr>
      </w:pPr>
      <w:r w:rsidRPr="00F50C10">
        <w:rPr>
          <w:rFonts w:cs="Times New Roman"/>
          <w:b/>
          <w:bCs/>
          <w:szCs w:val="24"/>
        </w:rPr>
        <w:t xml:space="preserve">MET </w:t>
      </w:r>
      <w:r w:rsidR="002478C0">
        <w:rPr>
          <w:rFonts w:cs="Times New Roman"/>
          <w:b/>
          <w:bCs/>
          <w:szCs w:val="24"/>
        </w:rPr>
        <w:t>14</w:t>
      </w:r>
      <w:r w:rsidRPr="00F50C10">
        <w:rPr>
          <w:rFonts w:cs="Times New Roman"/>
          <w:b/>
          <w:bCs/>
          <w:szCs w:val="24"/>
        </w:rPr>
        <w:t xml:space="preserve">: </w:t>
      </w:r>
      <w:r w:rsidRPr="00F50C10">
        <w:rPr>
          <w:rFonts w:cs="Times New Roman"/>
          <w:szCs w:val="24"/>
        </w:rPr>
        <w:t>Atık su arıtımı için, polidimetilsiloksan (PDMS) üretiminden kaynaklanan sudaki atıkların, alkalin koşullarda çöktürme/flokülasyon ve ardından sedimantasyon ve filtrasyon yoluyla ön arıtmadan geçirilmesi yoluyla, suya salınan Cu ve Zn emisyonları en aza düşürül</w:t>
      </w:r>
      <w:r w:rsidR="004818C9" w:rsidRPr="00F50C10">
        <w:rPr>
          <w:rFonts w:cs="Times New Roman"/>
          <w:szCs w:val="24"/>
        </w:rPr>
        <w:t>ür</w:t>
      </w:r>
      <w:r w:rsidRPr="00F50C10">
        <w:rPr>
          <w:rFonts w:cs="Times New Roman"/>
          <w:szCs w:val="24"/>
        </w:rPr>
        <w:t xml:space="preserve">. </w:t>
      </w:r>
      <w:r w:rsidR="00D77F37">
        <w:rPr>
          <w:rFonts w:cs="Times New Roman"/>
          <w:szCs w:val="24"/>
        </w:rPr>
        <w:t>(</w:t>
      </w:r>
      <w:r w:rsidR="00D77F37" w:rsidRPr="00BC3A2D">
        <w:rPr>
          <w:rFonts w:cs="Times New Roman"/>
          <w:szCs w:val="24"/>
        </w:rPr>
        <w:t xml:space="preserve">Detaylı bilgi için Özel İnorganik Kimyasalların Üretimi İçin MET Referans Belgesinin </w:t>
      </w:r>
      <w:r w:rsidR="00D77F37">
        <w:rPr>
          <w:rFonts w:cs="Times New Roman"/>
          <w:szCs w:val="24"/>
        </w:rPr>
        <w:t xml:space="preserve">6.3.4.9 </w:t>
      </w:r>
      <w:r w:rsidR="00D77F37" w:rsidRPr="00BC3A2D">
        <w:rPr>
          <w:rFonts w:cs="Times New Roman"/>
          <w:szCs w:val="24"/>
        </w:rPr>
        <w:t>kıs</w:t>
      </w:r>
      <w:r w:rsidR="00D77F37">
        <w:rPr>
          <w:rFonts w:cs="Times New Roman"/>
          <w:szCs w:val="24"/>
        </w:rPr>
        <w:t>mını</w:t>
      </w:r>
      <w:r w:rsidR="00D77F37" w:rsidRPr="00BC3A2D">
        <w:rPr>
          <w:rFonts w:cs="Times New Roman"/>
          <w:szCs w:val="24"/>
        </w:rPr>
        <w:t xml:space="preserve"> inceleyiniz.)</w:t>
      </w:r>
      <w:r w:rsidR="00D77F37">
        <w:rPr>
          <w:rFonts w:cs="Times New Roman"/>
          <w:szCs w:val="24"/>
        </w:rPr>
        <w:t xml:space="preserve"> </w:t>
      </w:r>
      <w:r w:rsidRPr="00F50C10">
        <w:rPr>
          <w:rFonts w:cs="Times New Roman"/>
          <w:szCs w:val="24"/>
        </w:rPr>
        <w:t>Bu kapsamda aşağıdakiler yer almaktadır:</w:t>
      </w:r>
    </w:p>
    <w:p w14:paraId="32439643" w14:textId="77777777" w:rsidR="00B83A5B" w:rsidRPr="00F50C10" w:rsidRDefault="00B83A5B" w:rsidP="00A654AE">
      <w:pPr>
        <w:pStyle w:val="ListeParagraf"/>
        <w:numPr>
          <w:ilvl w:val="0"/>
          <w:numId w:val="126"/>
        </w:numPr>
        <w:spacing w:before="240" w:line="276" w:lineRule="auto"/>
        <w:rPr>
          <w:rFonts w:cs="Times New Roman"/>
          <w:szCs w:val="24"/>
        </w:rPr>
      </w:pPr>
      <w:r w:rsidRPr="00F50C10">
        <w:rPr>
          <w:rFonts w:cs="Times New Roman"/>
          <w:szCs w:val="24"/>
        </w:rPr>
        <w:t>çamurun bertaraf edilmeden önce susuzlaştırılması ve,</w:t>
      </w:r>
    </w:p>
    <w:p w14:paraId="65E84ACD" w14:textId="77777777" w:rsidR="00B83A5B" w:rsidRPr="00F50C10" w:rsidRDefault="00B83A5B" w:rsidP="00A654AE">
      <w:pPr>
        <w:pStyle w:val="ListeParagraf"/>
        <w:numPr>
          <w:ilvl w:val="0"/>
          <w:numId w:val="126"/>
        </w:numPr>
        <w:spacing w:before="240" w:line="276" w:lineRule="auto"/>
        <w:rPr>
          <w:rFonts w:cs="Times New Roman"/>
          <w:szCs w:val="24"/>
        </w:rPr>
      </w:pPr>
      <w:r w:rsidRPr="00F50C10">
        <w:rPr>
          <w:rFonts w:cs="Times New Roman"/>
          <w:szCs w:val="24"/>
        </w:rPr>
        <w:t>katı metal atıkların metal geri kazanımı tesislerinde geri kazanılması veya,</w:t>
      </w:r>
    </w:p>
    <w:p w14:paraId="1B8A78BC" w14:textId="77777777" w:rsidR="00B83A5B" w:rsidRPr="00F50C10" w:rsidRDefault="00B83A5B" w:rsidP="00A654AE">
      <w:pPr>
        <w:pStyle w:val="ListeParagraf"/>
        <w:numPr>
          <w:ilvl w:val="0"/>
          <w:numId w:val="126"/>
        </w:numPr>
        <w:spacing w:before="240" w:line="276" w:lineRule="auto"/>
        <w:rPr>
          <w:rFonts w:cs="Times New Roman"/>
          <w:szCs w:val="24"/>
        </w:rPr>
      </w:pPr>
      <w:r w:rsidRPr="00F50C10">
        <w:rPr>
          <w:rFonts w:cs="Times New Roman"/>
          <w:szCs w:val="24"/>
        </w:rPr>
        <w:t>çamurun yakma tesisine veya katı atık depolama sahasına gönderilerek bertaraf edilmesi.</w:t>
      </w:r>
    </w:p>
    <w:p w14:paraId="2A468B1B" w14:textId="114768C2" w:rsidR="00B83A5B" w:rsidRPr="00F50C10" w:rsidRDefault="00B83A5B" w:rsidP="000B206D">
      <w:pPr>
        <w:spacing w:before="240" w:line="276" w:lineRule="auto"/>
        <w:rPr>
          <w:rFonts w:cs="Times New Roman"/>
          <w:szCs w:val="24"/>
        </w:rPr>
      </w:pPr>
      <w:r w:rsidRPr="00F50C10">
        <w:rPr>
          <w:rFonts w:cs="Times New Roman"/>
          <w:b/>
          <w:bCs/>
          <w:szCs w:val="24"/>
        </w:rPr>
        <w:t xml:space="preserve">MET </w:t>
      </w:r>
      <w:r w:rsidR="002478C0">
        <w:rPr>
          <w:rFonts w:cs="Times New Roman"/>
          <w:b/>
          <w:bCs/>
          <w:szCs w:val="24"/>
        </w:rPr>
        <w:t>15</w:t>
      </w:r>
      <w:r w:rsidRPr="00F50C10">
        <w:rPr>
          <w:rFonts w:cs="Times New Roman"/>
          <w:b/>
          <w:bCs/>
          <w:szCs w:val="24"/>
        </w:rPr>
        <w:t xml:space="preserve">: </w:t>
      </w:r>
      <w:r w:rsidRPr="00F50C10">
        <w:rPr>
          <w:rFonts w:cs="Times New Roman"/>
          <w:szCs w:val="24"/>
        </w:rPr>
        <w:t>Biyolojik arıtma adımının uygulanması yoluyla ön arıtmadan kaynaklanan atık suyun biyokimyasal oksijen ihtiyacı (BOİ)/kimyasal oksijen ihtiyacı (KOİ) içeriğinin azaltılmasıdır.</w:t>
      </w:r>
      <w:r w:rsidR="00D77F37" w:rsidRPr="00D77F37">
        <w:rPr>
          <w:rFonts w:cs="Times New Roman"/>
          <w:szCs w:val="24"/>
        </w:rPr>
        <w:t xml:space="preserve"> </w:t>
      </w:r>
      <w:r w:rsidR="00D77F37">
        <w:rPr>
          <w:rFonts w:cs="Times New Roman"/>
          <w:szCs w:val="24"/>
        </w:rPr>
        <w:t>(</w:t>
      </w:r>
      <w:r w:rsidR="00D77F37" w:rsidRPr="00BC3A2D">
        <w:rPr>
          <w:rFonts w:cs="Times New Roman"/>
          <w:szCs w:val="24"/>
        </w:rPr>
        <w:t xml:space="preserve">Detaylı bilgi için Özel İnorganik Kimyasalların Üretimi İçin MET Referans Belgesinin </w:t>
      </w:r>
      <w:r w:rsidR="00D77F37">
        <w:rPr>
          <w:rFonts w:cs="Times New Roman"/>
          <w:szCs w:val="24"/>
        </w:rPr>
        <w:t xml:space="preserve">6.3.4.9 </w:t>
      </w:r>
      <w:r w:rsidR="00D77F37" w:rsidRPr="00BC3A2D">
        <w:rPr>
          <w:rFonts w:cs="Times New Roman"/>
          <w:szCs w:val="24"/>
        </w:rPr>
        <w:t>kıs</w:t>
      </w:r>
      <w:r w:rsidR="00D77F37">
        <w:rPr>
          <w:rFonts w:cs="Times New Roman"/>
          <w:szCs w:val="24"/>
        </w:rPr>
        <w:t>mını</w:t>
      </w:r>
      <w:r w:rsidR="00D77F37" w:rsidRPr="00BC3A2D">
        <w:rPr>
          <w:rFonts w:cs="Times New Roman"/>
          <w:szCs w:val="24"/>
        </w:rPr>
        <w:t xml:space="preserve"> inceleyiniz.)</w:t>
      </w:r>
    </w:p>
    <w:p w14:paraId="6F53573C" w14:textId="75BD4B4E"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w:t>
      </w:r>
      <w:r w:rsidR="002478C0">
        <w:rPr>
          <w:rFonts w:cs="Times New Roman"/>
          <w:b/>
          <w:bCs/>
          <w:szCs w:val="24"/>
        </w:rPr>
        <w:t>16</w:t>
      </w:r>
      <w:r w:rsidRPr="00F50C10">
        <w:rPr>
          <w:rFonts w:cs="Times New Roman"/>
          <w:b/>
          <w:bCs/>
          <w:szCs w:val="24"/>
        </w:rPr>
        <w:t xml:space="preserve">: </w:t>
      </w:r>
      <w:r w:rsidRPr="00F50C10">
        <w:rPr>
          <w:rFonts w:cs="Times New Roman"/>
          <w:szCs w:val="24"/>
        </w:rPr>
        <w:t>Aşağıdaki tekniklerden herhangi birini</w:t>
      </w:r>
      <w:r w:rsidR="00314C8C" w:rsidRPr="00F50C10">
        <w:rPr>
          <w:rFonts w:cs="Times New Roman"/>
          <w:szCs w:val="24"/>
        </w:rPr>
        <w:t>n uygulanması ile</w:t>
      </w:r>
      <w:r w:rsidRPr="00F50C10">
        <w:rPr>
          <w:rFonts w:cs="Times New Roman"/>
          <w:szCs w:val="24"/>
        </w:rPr>
        <w:t xml:space="preserve"> elektrik kesintisi durumunda ortaya çıkan kazara sızıntı riski</w:t>
      </w:r>
      <w:r w:rsidR="00314C8C" w:rsidRPr="00F50C10">
        <w:rPr>
          <w:rFonts w:cs="Times New Roman"/>
          <w:szCs w:val="24"/>
        </w:rPr>
        <w:t xml:space="preserve"> </w:t>
      </w:r>
      <w:r w:rsidRPr="00F50C10">
        <w:rPr>
          <w:rFonts w:cs="Times New Roman"/>
          <w:szCs w:val="24"/>
        </w:rPr>
        <w:t>en aza düşürül</w:t>
      </w:r>
      <w:r w:rsidR="00314C8C" w:rsidRPr="00F50C10">
        <w:rPr>
          <w:rFonts w:cs="Times New Roman"/>
          <w:szCs w:val="24"/>
        </w:rPr>
        <w:t>ür</w:t>
      </w:r>
      <w:r w:rsidRPr="00F50C10">
        <w:rPr>
          <w:rFonts w:cs="Times New Roman"/>
          <w:szCs w:val="24"/>
        </w:rPr>
        <w:t>:</w:t>
      </w:r>
      <w:r w:rsidR="00D77F37" w:rsidRPr="00D77F37">
        <w:rPr>
          <w:rFonts w:cs="Times New Roman"/>
          <w:szCs w:val="24"/>
        </w:rPr>
        <w:t xml:space="preserve"> </w:t>
      </w:r>
      <w:r w:rsidR="00D77F37">
        <w:rPr>
          <w:rFonts w:cs="Times New Roman"/>
          <w:szCs w:val="24"/>
        </w:rPr>
        <w:t>(</w:t>
      </w:r>
      <w:r w:rsidR="00D77F37" w:rsidRPr="00BC3A2D">
        <w:rPr>
          <w:rFonts w:cs="Times New Roman"/>
          <w:szCs w:val="24"/>
        </w:rPr>
        <w:t xml:space="preserve">Detaylı bilgi için Özel İnorganik Kimyasalların Üretimi İçin MET Referans Belgesinin </w:t>
      </w:r>
      <w:r w:rsidR="00D77F37">
        <w:rPr>
          <w:rFonts w:cs="Times New Roman"/>
          <w:szCs w:val="24"/>
        </w:rPr>
        <w:t xml:space="preserve">6.3.4.18 </w:t>
      </w:r>
      <w:r w:rsidR="00D77F37" w:rsidRPr="00BC3A2D">
        <w:rPr>
          <w:rFonts w:cs="Times New Roman"/>
          <w:szCs w:val="24"/>
        </w:rPr>
        <w:t>kıs</w:t>
      </w:r>
      <w:r w:rsidR="00D77F37">
        <w:rPr>
          <w:rFonts w:cs="Times New Roman"/>
          <w:szCs w:val="24"/>
        </w:rPr>
        <w:t>mını</w:t>
      </w:r>
      <w:r w:rsidR="00D77F37" w:rsidRPr="00BC3A2D">
        <w:rPr>
          <w:rFonts w:cs="Times New Roman"/>
          <w:szCs w:val="24"/>
        </w:rPr>
        <w:t xml:space="preserve"> inceleyiniz.)</w:t>
      </w:r>
    </w:p>
    <w:p w14:paraId="6B467D20" w14:textId="77777777" w:rsidR="00B83A5B" w:rsidRPr="00F50C10" w:rsidRDefault="00B83A5B" w:rsidP="00A654AE">
      <w:pPr>
        <w:pStyle w:val="ListeParagraf"/>
        <w:numPr>
          <w:ilvl w:val="0"/>
          <w:numId w:val="127"/>
        </w:numPr>
        <w:spacing w:before="240" w:line="276" w:lineRule="auto"/>
        <w:rPr>
          <w:rFonts w:cs="Times New Roman"/>
          <w:szCs w:val="24"/>
        </w:rPr>
      </w:pPr>
      <w:r w:rsidRPr="00F50C10">
        <w:rPr>
          <w:rFonts w:cs="Times New Roman"/>
          <w:szCs w:val="24"/>
        </w:rPr>
        <w:t>atık su arıtma işlemleri için otomatik yedek güç kaynağı kurulması,</w:t>
      </w:r>
    </w:p>
    <w:p w14:paraId="0A3B16DC" w14:textId="77777777" w:rsidR="00B83A5B" w:rsidRPr="00F50C10" w:rsidRDefault="00B83A5B" w:rsidP="00A654AE">
      <w:pPr>
        <w:pStyle w:val="ListeParagraf"/>
        <w:numPr>
          <w:ilvl w:val="0"/>
          <w:numId w:val="127"/>
        </w:numPr>
        <w:spacing w:before="240" w:line="276" w:lineRule="auto"/>
        <w:rPr>
          <w:rFonts w:cs="Times New Roman"/>
          <w:szCs w:val="24"/>
        </w:rPr>
      </w:pPr>
      <w:r w:rsidRPr="00F50C10">
        <w:rPr>
          <w:rFonts w:cs="Times New Roman"/>
          <w:szCs w:val="24"/>
        </w:rPr>
        <w:t>arıtılmamış atık su için yeterli muhafaza hacminin sağlanması.</w:t>
      </w:r>
    </w:p>
    <w:p w14:paraId="17E8AE7F" w14:textId="77777777" w:rsidR="00B83A5B" w:rsidRPr="00F50C10" w:rsidRDefault="00B83A5B" w:rsidP="00A654AE">
      <w:pPr>
        <w:pStyle w:val="Balk2"/>
        <w:numPr>
          <w:ilvl w:val="1"/>
          <w:numId w:val="137"/>
        </w:numPr>
        <w:spacing w:line="276" w:lineRule="auto"/>
        <w:rPr>
          <w:rFonts w:cs="Times New Roman"/>
          <w:szCs w:val="24"/>
        </w:rPr>
      </w:pPr>
      <w:bookmarkStart w:id="298" w:name="_Toc136866706"/>
      <w:r w:rsidRPr="00F50C10">
        <w:rPr>
          <w:rFonts w:cs="Times New Roman"/>
          <w:szCs w:val="24"/>
        </w:rPr>
        <w:t>Özel İnorganik Kimyasal Patlayıcılar</w:t>
      </w:r>
      <w:bookmarkEnd w:id="298"/>
    </w:p>
    <w:p w14:paraId="547AF6EE" w14:textId="0C40EF13" w:rsidR="00B83A5B" w:rsidRDefault="00B83A5B" w:rsidP="00A654AE">
      <w:pPr>
        <w:pStyle w:val="Balk3"/>
        <w:numPr>
          <w:ilvl w:val="2"/>
          <w:numId w:val="137"/>
        </w:numPr>
        <w:spacing w:line="276" w:lineRule="auto"/>
        <w:rPr>
          <w:rFonts w:cs="Times New Roman"/>
        </w:rPr>
      </w:pPr>
      <w:bookmarkStart w:id="299" w:name="_Toc136866707"/>
      <w:r w:rsidRPr="00F50C10">
        <w:rPr>
          <w:rFonts w:cs="Times New Roman"/>
        </w:rPr>
        <w:t>Güvenlik Önlemleri</w:t>
      </w:r>
      <w:bookmarkEnd w:id="299"/>
    </w:p>
    <w:p w14:paraId="322059E9" w14:textId="2CC480CF" w:rsidR="00F715F1" w:rsidRPr="00F715F1" w:rsidRDefault="00F715F1" w:rsidP="000B206D">
      <w:pPr>
        <w:spacing w:line="276" w:lineRule="auto"/>
      </w:pPr>
      <w:r>
        <w:t>Bu kısımda belirtilen güvenlik önlemleri</w:t>
      </w:r>
      <w:r w:rsidRPr="00F715F1">
        <w:t xml:space="preserve"> Seveso II Direktifi'nin (Direktif 96/82/</w:t>
      </w:r>
      <w:r>
        <w:t>AK</w:t>
      </w:r>
      <w:r w:rsidRPr="00F715F1">
        <w:t>) hükümleri saklı kalmak üzere geçerlidir.</w:t>
      </w:r>
    </w:p>
    <w:p w14:paraId="0C5FFC87" w14:textId="14084278" w:rsidR="00B83A5B" w:rsidRPr="00F50C10" w:rsidRDefault="00B83A5B" w:rsidP="000B206D">
      <w:pPr>
        <w:spacing w:before="240" w:line="276" w:lineRule="auto"/>
        <w:rPr>
          <w:rFonts w:cs="Times New Roman"/>
          <w:szCs w:val="24"/>
        </w:rPr>
      </w:pPr>
      <w:r w:rsidRPr="00F50C10">
        <w:rPr>
          <w:rFonts w:cs="Times New Roman"/>
          <w:b/>
          <w:bCs/>
          <w:szCs w:val="24"/>
        </w:rPr>
        <w:t xml:space="preserve">MET </w:t>
      </w:r>
      <w:r w:rsidR="00F715F1">
        <w:rPr>
          <w:rFonts w:cs="Times New Roman"/>
          <w:b/>
          <w:bCs/>
          <w:szCs w:val="24"/>
        </w:rPr>
        <w:t>1</w:t>
      </w:r>
      <w:r w:rsidRPr="00F50C10">
        <w:rPr>
          <w:rFonts w:cs="Times New Roman"/>
          <w:b/>
          <w:bCs/>
          <w:szCs w:val="24"/>
        </w:rPr>
        <w:t xml:space="preserve">: </w:t>
      </w:r>
      <w:r w:rsidRPr="00F50C10">
        <w:rPr>
          <w:rFonts w:cs="Times New Roman"/>
          <w:szCs w:val="24"/>
        </w:rPr>
        <w:t>Patlama yaşanması halinde ‘domino etkisinin’ engellenmesi için, üretim mahallindeki üretim ve depolama binaları birbirinden ayrılır.</w:t>
      </w:r>
      <w:r w:rsidR="00F715F1" w:rsidRPr="00F715F1">
        <w:rPr>
          <w:rFonts w:cs="Times New Roman"/>
          <w:szCs w:val="24"/>
        </w:rPr>
        <w:t xml:space="preserve"> </w:t>
      </w:r>
      <w:r w:rsidR="00F715F1">
        <w:rPr>
          <w:rFonts w:cs="Times New Roman"/>
          <w:szCs w:val="24"/>
        </w:rPr>
        <w:t>(</w:t>
      </w:r>
      <w:r w:rsidR="00F715F1" w:rsidRPr="00BC3A2D">
        <w:rPr>
          <w:rFonts w:cs="Times New Roman"/>
          <w:szCs w:val="24"/>
        </w:rPr>
        <w:t xml:space="preserve">Detaylı bilgi için Özel İnorganik Kimyasalların Üretimi İçin MET Referans Belgesinin </w:t>
      </w:r>
      <w:r w:rsidR="00F715F1">
        <w:rPr>
          <w:rFonts w:cs="Times New Roman"/>
          <w:szCs w:val="24"/>
        </w:rPr>
        <w:t xml:space="preserve">6.4.2.6 </w:t>
      </w:r>
      <w:r w:rsidR="00F715F1" w:rsidRPr="00BC3A2D">
        <w:rPr>
          <w:rFonts w:cs="Times New Roman"/>
          <w:szCs w:val="24"/>
        </w:rPr>
        <w:t>kıs</w:t>
      </w:r>
      <w:r w:rsidR="00F715F1">
        <w:rPr>
          <w:rFonts w:cs="Times New Roman"/>
          <w:szCs w:val="24"/>
        </w:rPr>
        <w:t>mını</w:t>
      </w:r>
      <w:r w:rsidR="00F715F1" w:rsidRPr="00BC3A2D">
        <w:rPr>
          <w:rFonts w:cs="Times New Roman"/>
          <w:szCs w:val="24"/>
        </w:rPr>
        <w:t xml:space="preserve"> inceleyiniz.)</w:t>
      </w:r>
    </w:p>
    <w:p w14:paraId="59678861" w14:textId="51E3C67F"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w:t>
      </w:r>
      <w:r w:rsidR="00F715F1">
        <w:rPr>
          <w:rFonts w:cs="Times New Roman"/>
          <w:b/>
          <w:bCs/>
          <w:szCs w:val="24"/>
        </w:rPr>
        <w:t>2</w:t>
      </w:r>
      <w:r w:rsidRPr="00F50C10">
        <w:rPr>
          <w:rFonts w:cs="Times New Roman"/>
          <w:b/>
          <w:bCs/>
          <w:szCs w:val="24"/>
        </w:rPr>
        <w:t xml:space="preserve">: </w:t>
      </w:r>
      <w:r w:rsidRPr="00F50C10">
        <w:rPr>
          <w:rFonts w:cs="Times New Roman"/>
          <w:szCs w:val="24"/>
        </w:rPr>
        <w:t>Özel inorganik kimyasal patlayıcıların elektrik korumasıyla (topraklama hattı) ve güvenlik sistemleriyle donatılmış binalarda depolanması yoluyla elektrik kaynaklı patlama riski azaltılır.</w:t>
      </w:r>
      <w:r w:rsidRPr="00F50C10">
        <w:rPr>
          <w:rFonts w:cs="Times New Roman"/>
          <w:b/>
          <w:bCs/>
          <w:szCs w:val="24"/>
        </w:rPr>
        <w:t xml:space="preserve"> </w:t>
      </w:r>
      <w:r w:rsidR="00F715F1">
        <w:rPr>
          <w:rFonts w:cs="Times New Roman"/>
          <w:szCs w:val="24"/>
        </w:rPr>
        <w:t>(</w:t>
      </w:r>
      <w:r w:rsidR="00F715F1" w:rsidRPr="00BC3A2D">
        <w:rPr>
          <w:rFonts w:cs="Times New Roman"/>
          <w:szCs w:val="24"/>
        </w:rPr>
        <w:t xml:space="preserve">Detaylı bilgi için Özel İnorganik Kimyasalların Üretimi İçin MET Referans Belgesinin </w:t>
      </w:r>
      <w:r w:rsidR="00F715F1">
        <w:rPr>
          <w:rFonts w:cs="Times New Roman"/>
          <w:szCs w:val="24"/>
        </w:rPr>
        <w:t xml:space="preserve">6.4.2.7 </w:t>
      </w:r>
      <w:r w:rsidR="00F715F1" w:rsidRPr="00BC3A2D">
        <w:rPr>
          <w:rFonts w:cs="Times New Roman"/>
          <w:szCs w:val="24"/>
        </w:rPr>
        <w:t>kıs</w:t>
      </w:r>
      <w:r w:rsidR="00F715F1">
        <w:rPr>
          <w:rFonts w:cs="Times New Roman"/>
          <w:szCs w:val="24"/>
        </w:rPr>
        <w:t>mını</w:t>
      </w:r>
      <w:r w:rsidR="00F715F1" w:rsidRPr="00BC3A2D">
        <w:rPr>
          <w:rFonts w:cs="Times New Roman"/>
          <w:szCs w:val="24"/>
        </w:rPr>
        <w:t xml:space="preserve"> inceleyiniz.)</w:t>
      </w:r>
    </w:p>
    <w:p w14:paraId="73E7DA0F" w14:textId="77777777" w:rsidR="00B83A5B" w:rsidRPr="00F50C10" w:rsidRDefault="00B83A5B" w:rsidP="00A654AE">
      <w:pPr>
        <w:pStyle w:val="Balk3"/>
        <w:numPr>
          <w:ilvl w:val="2"/>
          <w:numId w:val="137"/>
        </w:numPr>
        <w:spacing w:line="276" w:lineRule="auto"/>
        <w:rPr>
          <w:rFonts w:cs="Times New Roman"/>
        </w:rPr>
      </w:pPr>
      <w:bookmarkStart w:id="300" w:name="_Toc136866708"/>
      <w:r w:rsidRPr="00F50C10">
        <w:rPr>
          <w:rFonts w:cs="Times New Roman"/>
        </w:rPr>
        <w:t>Hava Emsiyonları</w:t>
      </w:r>
      <w:bookmarkEnd w:id="300"/>
    </w:p>
    <w:p w14:paraId="20A57613" w14:textId="344A21AE"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w:t>
      </w:r>
      <w:r w:rsidR="00F715F1">
        <w:rPr>
          <w:rFonts w:cs="Times New Roman"/>
          <w:b/>
          <w:bCs/>
          <w:szCs w:val="24"/>
        </w:rPr>
        <w:t>3</w:t>
      </w:r>
      <w:r w:rsidRPr="00F50C10">
        <w:rPr>
          <w:rFonts w:cs="Times New Roman"/>
          <w:b/>
          <w:bCs/>
          <w:szCs w:val="24"/>
        </w:rPr>
        <w:t xml:space="preserve">: </w:t>
      </w:r>
      <w:r w:rsidRPr="00F50C10">
        <w:rPr>
          <w:rFonts w:cs="Times New Roman"/>
          <w:szCs w:val="24"/>
        </w:rPr>
        <w:t>Özel inorganik kimyasal patlayıcıların kurutulması sırasında havaya partikül yayılmasının önlenmesi için, sıcak havanın, özel inorgani</w:t>
      </w:r>
      <w:r w:rsidR="00314C8C" w:rsidRPr="00F50C10">
        <w:rPr>
          <w:rFonts w:cs="Times New Roman"/>
          <w:szCs w:val="24"/>
        </w:rPr>
        <w:t>k</w:t>
      </w:r>
      <w:r w:rsidRPr="00F50C10">
        <w:rPr>
          <w:rFonts w:cs="Times New Roman"/>
          <w:szCs w:val="24"/>
        </w:rPr>
        <w:t xml:space="preserve"> kimyasal patlayıcı partiküllerinin hava akımı ile taşınmasını önleyen bir akış hızında kurutma odasına devirdaim yaptırılır.</w:t>
      </w:r>
      <w:r w:rsidR="00F715F1" w:rsidRPr="00F715F1">
        <w:rPr>
          <w:rFonts w:cs="Times New Roman"/>
          <w:szCs w:val="24"/>
        </w:rPr>
        <w:t xml:space="preserve"> </w:t>
      </w:r>
      <w:r w:rsidR="00F715F1">
        <w:rPr>
          <w:rFonts w:cs="Times New Roman"/>
          <w:szCs w:val="24"/>
        </w:rPr>
        <w:t>(</w:t>
      </w:r>
      <w:r w:rsidR="00F715F1" w:rsidRPr="00BC3A2D">
        <w:rPr>
          <w:rFonts w:cs="Times New Roman"/>
          <w:szCs w:val="24"/>
        </w:rPr>
        <w:t xml:space="preserve">Detaylı bilgi için Özel İnorganik Kimyasalların Üretimi İçin MET Referans Belgesinin </w:t>
      </w:r>
      <w:r w:rsidR="00F715F1">
        <w:rPr>
          <w:rFonts w:cs="Times New Roman"/>
          <w:szCs w:val="24"/>
        </w:rPr>
        <w:t xml:space="preserve">6.2.4.6 </w:t>
      </w:r>
      <w:r w:rsidR="00F715F1" w:rsidRPr="00BC3A2D">
        <w:rPr>
          <w:rFonts w:cs="Times New Roman"/>
          <w:szCs w:val="24"/>
        </w:rPr>
        <w:t>kıs</w:t>
      </w:r>
      <w:r w:rsidR="00F715F1">
        <w:rPr>
          <w:rFonts w:cs="Times New Roman"/>
          <w:szCs w:val="24"/>
        </w:rPr>
        <w:t>mını</w:t>
      </w:r>
      <w:r w:rsidR="00F715F1" w:rsidRPr="00BC3A2D">
        <w:rPr>
          <w:rFonts w:cs="Times New Roman"/>
          <w:szCs w:val="24"/>
        </w:rPr>
        <w:t xml:space="preserve"> inceleyiniz.)</w:t>
      </w:r>
    </w:p>
    <w:p w14:paraId="06AF7DDD" w14:textId="77777777" w:rsidR="00B83A5B" w:rsidRPr="00F50C10" w:rsidRDefault="00B83A5B" w:rsidP="00A654AE">
      <w:pPr>
        <w:pStyle w:val="Balk3"/>
        <w:numPr>
          <w:ilvl w:val="2"/>
          <w:numId w:val="137"/>
        </w:numPr>
        <w:spacing w:line="276" w:lineRule="auto"/>
        <w:rPr>
          <w:rFonts w:cs="Times New Roman"/>
        </w:rPr>
      </w:pPr>
      <w:bookmarkStart w:id="301" w:name="_Toc136866709"/>
      <w:r w:rsidRPr="00F50C10">
        <w:rPr>
          <w:rFonts w:cs="Times New Roman"/>
        </w:rPr>
        <w:t>Atık Su Arıtma</w:t>
      </w:r>
      <w:bookmarkEnd w:id="301"/>
      <w:r w:rsidRPr="00F50C10">
        <w:rPr>
          <w:rFonts w:cs="Times New Roman"/>
        </w:rPr>
        <w:t xml:space="preserve"> </w:t>
      </w:r>
    </w:p>
    <w:p w14:paraId="157C3B4A" w14:textId="414196CD"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w:t>
      </w:r>
      <w:r w:rsidR="00F715F1">
        <w:rPr>
          <w:rFonts w:cs="Times New Roman"/>
          <w:b/>
          <w:bCs/>
          <w:szCs w:val="24"/>
        </w:rPr>
        <w:t>4</w:t>
      </w:r>
      <w:r w:rsidRPr="00F50C10">
        <w:rPr>
          <w:rFonts w:cs="Times New Roman"/>
          <w:b/>
          <w:bCs/>
          <w:szCs w:val="24"/>
        </w:rPr>
        <w:t xml:space="preserve">: </w:t>
      </w:r>
      <w:r w:rsidRPr="00F50C10">
        <w:rPr>
          <w:rFonts w:cs="Times New Roman"/>
          <w:szCs w:val="24"/>
        </w:rPr>
        <w:t>Tüm kullanılmış proses suları (ana çözelti, yıkama suyu, temizleme suyu) toplanı</w:t>
      </w:r>
      <w:r w:rsidR="00314C8C" w:rsidRPr="00F50C10">
        <w:rPr>
          <w:rFonts w:cs="Times New Roman"/>
          <w:szCs w:val="24"/>
        </w:rPr>
        <w:t>r</w:t>
      </w:r>
      <w:r w:rsidRPr="00F50C10">
        <w:rPr>
          <w:rFonts w:cs="Times New Roman"/>
          <w:szCs w:val="24"/>
        </w:rPr>
        <w:t xml:space="preserve"> ve arıtmaya gönderilir.</w:t>
      </w:r>
    </w:p>
    <w:p w14:paraId="59FB3B9B" w14:textId="65BA7E41" w:rsidR="00B83A5B" w:rsidRPr="00F50C10" w:rsidRDefault="00B83A5B" w:rsidP="000B206D">
      <w:pPr>
        <w:spacing w:before="240" w:line="276" w:lineRule="auto"/>
        <w:rPr>
          <w:rFonts w:cs="Times New Roman"/>
          <w:szCs w:val="24"/>
        </w:rPr>
      </w:pPr>
      <w:r w:rsidRPr="00F50C10">
        <w:rPr>
          <w:rFonts w:cs="Times New Roman"/>
          <w:b/>
          <w:bCs/>
          <w:szCs w:val="24"/>
        </w:rPr>
        <w:t xml:space="preserve">MET </w:t>
      </w:r>
      <w:r w:rsidR="00F715F1">
        <w:rPr>
          <w:rFonts w:cs="Times New Roman"/>
          <w:b/>
          <w:bCs/>
          <w:szCs w:val="24"/>
        </w:rPr>
        <w:t>5</w:t>
      </w:r>
      <w:r w:rsidRPr="00F50C10">
        <w:rPr>
          <w:rFonts w:cs="Times New Roman"/>
          <w:b/>
          <w:bCs/>
          <w:szCs w:val="24"/>
        </w:rPr>
        <w:t xml:space="preserve">: </w:t>
      </w:r>
      <w:r w:rsidRPr="00F50C10">
        <w:rPr>
          <w:rFonts w:cs="Times New Roman"/>
          <w:szCs w:val="24"/>
        </w:rPr>
        <w:t>Kurşunun giderilmesinden önce</w:t>
      </w:r>
      <w:r w:rsidR="00314C8C" w:rsidRPr="00F50C10">
        <w:rPr>
          <w:rFonts w:cs="Times New Roman"/>
          <w:szCs w:val="24"/>
        </w:rPr>
        <w:t xml:space="preserve"> atık su</w:t>
      </w:r>
      <w:r w:rsidR="00F715F1">
        <w:rPr>
          <w:rFonts w:cs="Times New Roman"/>
          <w:szCs w:val="24"/>
        </w:rPr>
        <w:t xml:space="preserve"> (</w:t>
      </w:r>
      <w:r w:rsidR="00F715F1" w:rsidRPr="00BC3A2D">
        <w:rPr>
          <w:rFonts w:cs="Times New Roman"/>
          <w:szCs w:val="24"/>
        </w:rPr>
        <w:t xml:space="preserve">Detaylı bilgi için Özel İnorganik Kimyasalların Üretimi İçin MET Referans Belgesinin </w:t>
      </w:r>
      <w:r w:rsidR="00F715F1">
        <w:rPr>
          <w:rFonts w:cs="Times New Roman"/>
          <w:szCs w:val="24"/>
        </w:rPr>
        <w:t xml:space="preserve">6.4.7 </w:t>
      </w:r>
      <w:r w:rsidR="00F715F1" w:rsidRPr="00BC3A2D">
        <w:rPr>
          <w:rFonts w:cs="Times New Roman"/>
          <w:szCs w:val="24"/>
        </w:rPr>
        <w:t>kıs</w:t>
      </w:r>
      <w:r w:rsidR="00F715F1">
        <w:rPr>
          <w:rFonts w:cs="Times New Roman"/>
          <w:szCs w:val="24"/>
        </w:rPr>
        <w:t>mını</w:t>
      </w:r>
      <w:r w:rsidR="00F715F1" w:rsidRPr="00BC3A2D">
        <w:rPr>
          <w:rFonts w:cs="Times New Roman"/>
          <w:szCs w:val="24"/>
        </w:rPr>
        <w:t xml:space="preserve"> inceleyiniz.)</w:t>
      </w:r>
      <w:r w:rsidRPr="00F50C10">
        <w:rPr>
          <w:rFonts w:cs="Times New Roman"/>
          <w:szCs w:val="24"/>
        </w:rPr>
        <w:t xml:space="preserve">, </w:t>
      </w:r>
      <w:r w:rsidR="00314C8C" w:rsidRPr="00F50C10">
        <w:rPr>
          <w:rFonts w:cs="Times New Roman"/>
          <w:szCs w:val="24"/>
        </w:rPr>
        <w:t xml:space="preserve">içindeki eser miktardaki </w:t>
      </w:r>
      <w:r w:rsidRPr="00F50C10">
        <w:rPr>
          <w:rFonts w:cs="Times New Roman"/>
          <w:szCs w:val="24"/>
        </w:rPr>
        <w:t>patlayıcı madde</w:t>
      </w:r>
      <w:r w:rsidR="00314C8C" w:rsidRPr="00F50C10">
        <w:rPr>
          <w:rFonts w:cs="Times New Roman"/>
          <w:szCs w:val="24"/>
        </w:rPr>
        <w:t xml:space="preserve">nin, oksidasyon tepkimesi yoluyla, </w:t>
      </w:r>
      <w:r w:rsidRPr="00F50C10">
        <w:rPr>
          <w:rFonts w:cs="Times New Roman"/>
          <w:szCs w:val="24"/>
        </w:rPr>
        <w:t>kimyasal olarak ayrıştır</w:t>
      </w:r>
      <w:r w:rsidR="00314C8C" w:rsidRPr="00F50C10">
        <w:rPr>
          <w:rFonts w:cs="Times New Roman"/>
          <w:szCs w:val="24"/>
        </w:rPr>
        <w:t>ılması</w:t>
      </w:r>
      <w:r w:rsidRPr="00F50C10">
        <w:rPr>
          <w:rFonts w:cs="Times New Roman"/>
          <w:szCs w:val="24"/>
        </w:rPr>
        <w:t xml:space="preserve">  için asit koşullarında (örneğin sülfürik asit veya nitrik asit kullanarak) ön arıtmaya tabi tutul</w:t>
      </w:r>
      <w:r w:rsidR="00314C8C" w:rsidRPr="00F50C10">
        <w:rPr>
          <w:rFonts w:cs="Times New Roman"/>
          <w:szCs w:val="24"/>
        </w:rPr>
        <w:t>u</w:t>
      </w:r>
      <w:r w:rsidRPr="00F50C10">
        <w:rPr>
          <w:rFonts w:cs="Times New Roman"/>
          <w:szCs w:val="24"/>
        </w:rPr>
        <w:t>r.</w:t>
      </w:r>
      <w:r w:rsidR="00F715F1" w:rsidRPr="00F715F1">
        <w:rPr>
          <w:rFonts w:cs="Times New Roman"/>
          <w:szCs w:val="24"/>
        </w:rPr>
        <w:t xml:space="preserve"> </w:t>
      </w:r>
      <w:r w:rsidR="00F715F1">
        <w:rPr>
          <w:rFonts w:cs="Times New Roman"/>
          <w:szCs w:val="24"/>
        </w:rPr>
        <w:t>(</w:t>
      </w:r>
      <w:r w:rsidR="00F715F1" w:rsidRPr="00BC3A2D">
        <w:rPr>
          <w:rFonts w:cs="Times New Roman"/>
          <w:szCs w:val="24"/>
        </w:rPr>
        <w:t xml:space="preserve">Detaylı bilgi için Özel İnorganik Kimyasalların Üretimi İçin MET Referans Belgesinin </w:t>
      </w:r>
      <w:r w:rsidR="00F715F1">
        <w:rPr>
          <w:rFonts w:cs="Times New Roman"/>
          <w:szCs w:val="24"/>
        </w:rPr>
        <w:t xml:space="preserve">6.4.4.4 </w:t>
      </w:r>
      <w:r w:rsidR="00F715F1" w:rsidRPr="00BC3A2D">
        <w:rPr>
          <w:rFonts w:cs="Times New Roman"/>
          <w:szCs w:val="24"/>
        </w:rPr>
        <w:t>kıs</w:t>
      </w:r>
      <w:r w:rsidR="00F715F1">
        <w:rPr>
          <w:rFonts w:cs="Times New Roman"/>
          <w:szCs w:val="24"/>
        </w:rPr>
        <w:t>mını</w:t>
      </w:r>
      <w:r w:rsidR="00F715F1" w:rsidRPr="00BC3A2D">
        <w:rPr>
          <w:rFonts w:cs="Times New Roman"/>
          <w:szCs w:val="24"/>
        </w:rPr>
        <w:t xml:space="preserve"> inceleyiniz.)</w:t>
      </w:r>
    </w:p>
    <w:p w14:paraId="162A8C38" w14:textId="3C3226A7"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w:t>
      </w:r>
      <w:r w:rsidR="00F715F1">
        <w:rPr>
          <w:rFonts w:cs="Times New Roman"/>
          <w:b/>
          <w:bCs/>
          <w:szCs w:val="24"/>
        </w:rPr>
        <w:t>6</w:t>
      </w:r>
      <w:r w:rsidRPr="00F50C10">
        <w:rPr>
          <w:rFonts w:cs="Times New Roman"/>
          <w:b/>
          <w:bCs/>
          <w:szCs w:val="24"/>
        </w:rPr>
        <w:t xml:space="preserve">: </w:t>
      </w:r>
      <w:r w:rsidRPr="00F50C10">
        <w:rPr>
          <w:rFonts w:cs="Times New Roman"/>
          <w:szCs w:val="24"/>
        </w:rPr>
        <w:t>Aktif karbon kullanarak atık sudaki organi</w:t>
      </w:r>
      <w:r w:rsidR="00314C8C" w:rsidRPr="00F50C10">
        <w:rPr>
          <w:rFonts w:cs="Times New Roman"/>
          <w:szCs w:val="24"/>
        </w:rPr>
        <w:t>k</w:t>
      </w:r>
      <w:r w:rsidRPr="00F50C10">
        <w:rPr>
          <w:rFonts w:cs="Times New Roman"/>
          <w:szCs w:val="24"/>
        </w:rPr>
        <w:t xml:space="preserve"> safsızlıklar gideril</w:t>
      </w:r>
      <w:r w:rsidR="00314C8C" w:rsidRPr="00F50C10">
        <w:rPr>
          <w:rFonts w:cs="Times New Roman"/>
          <w:szCs w:val="24"/>
        </w:rPr>
        <w:t>i</w:t>
      </w:r>
      <w:r w:rsidRPr="00F50C10">
        <w:rPr>
          <w:rFonts w:cs="Times New Roman"/>
          <w:szCs w:val="24"/>
        </w:rPr>
        <w:t>r.</w:t>
      </w:r>
      <w:r w:rsidR="00F715F1" w:rsidRPr="00F715F1">
        <w:rPr>
          <w:rFonts w:cs="Times New Roman"/>
          <w:szCs w:val="24"/>
        </w:rPr>
        <w:t xml:space="preserve"> </w:t>
      </w:r>
      <w:r w:rsidR="00F715F1">
        <w:rPr>
          <w:rFonts w:cs="Times New Roman"/>
          <w:szCs w:val="24"/>
        </w:rPr>
        <w:t>(</w:t>
      </w:r>
      <w:r w:rsidR="00F715F1" w:rsidRPr="00BC3A2D">
        <w:rPr>
          <w:rFonts w:cs="Times New Roman"/>
          <w:szCs w:val="24"/>
        </w:rPr>
        <w:t xml:space="preserve">Detaylı bilgi için Özel İnorganik Kimyasalların Üretimi İçin MET Referans Belgesinin </w:t>
      </w:r>
      <w:r w:rsidR="00F715F1">
        <w:rPr>
          <w:rFonts w:cs="Times New Roman"/>
          <w:szCs w:val="24"/>
        </w:rPr>
        <w:t xml:space="preserve">6.4.4.3 </w:t>
      </w:r>
      <w:r w:rsidR="00F715F1" w:rsidRPr="00BC3A2D">
        <w:rPr>
          <w:rFonts w:cs="Times New Roman"/>
          <w:szCs w:val="24"/>
        </w:rPr>
        <w:t>kıs</w:t>
      </w:r>
      <w:r w:rsidR="00F715F1">
        <w:rPr>
          <w:rFonts w:cs="Times New Roman"/>
          <w:szCs w:val="24"/>
        </w:rPr>
        <w:t>mını</w:t>
      </w:r>
      <w:r w:rsidR="00F715F1" w:rsidRPr="00BC3A2D">
        <w:rPr>
          <w:rFonts w:cs="Times New Roman"/>
          <w:szCs w:val="24"/>
        </w:rPr>
        <w:t xml:space="preserve"> inceleyiniz.)</w:t>
      </w:r>
    </w:p>
    <w:p w14:paraId="7951EAD3" w14:textId="535B93F4"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w:t>
      </w:r>
      <w:r w:rsidR="00F715F1">
        <w:rPr>
          <w:rFonts w:cs="Times New Roman"/>
          <w:b/>
          <w:bCs/>
          <w:szCs w:val="24"/>
        </w:rPr>
        <w:t>7</w:t>
      </w:r>
      <w:r w:rsidRPr="00F50C10">
        <w:rPr>
          <w:rFonts w:cs="Times New Roman"/>
          <w:b/>
          <w:bCs/>
          <w:szCs w:val="24"/>
        </w:rPr>
        <w:t xml:space="preserve">: </w:t>
      </w:r>
      <w:r w:rsidRPr="00F50C10">
        <w:rPr>
          <w:rFonts w:cs="Times New Roman"/>
          <w:szCs w:val="24"/>
        </w:rPr>
        <w:t>Sülfat ve/veya karbonat anyonları ile çöktürerek, atık sudaki kurşun miktarı en aza düşürül</w:t>
      </w:r>
      <w:r w:rsidR="00314C8C" w:rsidRPr="00F50C10">
        <w:rPr>
          <w:rFonts w:cs="Times New Roman"/>
          <w:szCs w:val="24"/>
        </w:rPr>
        <w:t>ü</w:t>
      </w:r>
      <w:r w:rsidRPr="00F50C10">
        <w:rPr>
          <w:rFonts w:cs="Times New Roman"/>
          <w:szCs w:val="24"/>
        </w:rPr>
        <w:t>r.</w:t>
      </w:r>
      <w:r w:rsidR="00F715F1" w:rsidRPr="00F715F1">
        <w:rPr>
          <w:rFonts w:cs="Times New Roman"/>
          <w:szCs w:val="24"/>
        </w:rPr>
        <w:t xml:space="preserve"> </w:t>
      </w:r>
      <w:r w:rsidR="00F715F1">
        <w:rPr>
          <w:rFonts w:cs="Times New Roman"/>
          <w:szCs w:val="24"/>
        </w:rPr>
        <w:t>(</w:t>
      </w:r>
      <w:r w:rsidR="00F715F1" w:rsidRPr="00BC3A2D">
        <w:rPr>
          <w:rFonts w:cs="Times New Roman"/>
          <w:szCs w:val="24"/>
        </w:rPr>
        <w:t xml:space="preserve">Detaylı bilgi için Özel İnorganik Kimyasalların Üretimi İçin MET Referans Belgesinin </w:t>
      </w:r>
      <w:r w:rsidR="00F715F1">
        <w:rPr>
          <w:rFonts w:cs="Times New Roman"/>
          <w:szCs w:val="24"/>
        </w:rPr>
        <w:t xml:space="preserve">6.4.4.1 </w:t>
      </w:r>
      <w:r w:rsidR="00F715F1" w:rsidRPr="00BC3A2D">
        <w:rPr>
          <w:rFonts w:cs="Times New Roman"/>
          <w:szCs w:val="24"/>
        </w:rPr>
        <w:t>kıs</w:t>
      </w:r>
      <w:r w:rsidR="00F715F1">
        <w:rPr>
          <w:rFonts w:cs="Times New Roman"/>
          <w:szCs w:val="24"/>
        </w:rPr>
        <w:t>mını</w:t>
      </w:r>
      <w:r w:rsidR="00F715F1" w:rsidRPr="00BC3A2D">
        <w:rPr>
          <w:rFonts w:cs="Times New Roman"/>
          <w:szCs w:val="24"/>
        </w:rPr>
        <w:t xml:space="preserve"> inceleyiniz.)</w:t>
      </w:r>
    </w:p>
    <w:p w14:paraId="56AAA07B" w14:textId="4D6A7506" w:rsidR="00B83A5B" w:rsidRPr="00F50C10" w:rsidRDefault="00B83A5B" w:rsidP="000B206D">
      <w:pPr>
        <w:spacing w:before="240" w:line="276" w:lineRule="auto"/>
        <w:rPr>
          <w:rFonts w:cs="Times New Roman"/>
          <w:szCs w:val="24"/>
        </w:rPr>
      </w:pPr>
      <w:r w:rsidRPr="00F50C10">
        <w:rPr>
          <w:rFonts w:cs="Times New Roman"/>
          <w:b/>
          <w:bCs/>
          <w:szCs w:val="24"/>
        </w:rPr>
        <w:t xml:space="preserve">MET </w:t>
      </w:r>
      <w:r w:rsidR="00F715F1">
        <w:rPr>
          <w:rFonts w:cs="Times New Roman"/>
          <w:b/>
          <w:bCs/>
          <w:szCs w:val="24"/>
        </w:rPr>
        <w:t>8</w:t>
      </w:r>
      <w:r w:rsidRPr="00F50C10">
        <w:rPr>
          <w:rFonts w:cs="Times New Roman"/>
          <w:b/>
          <w:bCs/>
          <w:szCs w:val="24"/>
        </w:rPr>
        <w:t xml:space="preserve">: </w:t>
      </w:r>
      <w:r w:rsidRPr="00F50C10">
        <w:rPr>
          <w:rFonts w:cs="Times New Roman"/>
          <w:szCs w:val="24"/>
        </w:rPr>
        <w:t>Üretim ölçeğinin ve/veya enerji maliyeti/su maliyeti arasındaki oranın uygun olması durumunda, atık su buharlaştırıcı/yoğunlaştırıcı kullanarak üretim prosesine geri kazandırılı</w:t>
      </w:r>
      <w:r w:rsidR="00314C8C" w:rsidRPr="00F50C10">
        <w:rPr>
          <w:rFonts w:cs="Times New Roman"/>
          <w:szCs w:val="24"/>
        </w:rPr>
        <w:t>r</w:t>
      </w:r>
      <w:r w:rsidRPr="00F50C10">
        <w:rPr>
          <w:rFonts w:cs="Times New Roman"/>
          <w:szCs w:val="24"/>
        </w:rPr>
        <w:t xml:space="preserve"> ve </w:t>
      </w:r>
      <w:r w:rsidR="00314C8C" w:rsidRPr="00F50C10">
        <w:rPr>
          <w:rFonts w:cs="Times New Roman"/>
          <w:szCs w:val="24"/>
        </w:rPr>
        <w:t xml:space="preserve">özel inorganik kimyasal patlayıcılar için </w:t>
      </w:r>
      <w:r w:rsidRPr="00F50C10">
        <w:rPr>
          <w:rFonts w:cs="Times New Roman"/>
          <w:szCs w:val="24"/>
        </w:rPr>
        <w:t>≤ 50 m</w:t>
      </w:r>
      <w:r w:rsidRPr="00F50C10">
        <w:rPr>
          <w:rFonts w:cs="Times New Roman"/>
          <w:szCs w:val="24"/>
          <w:vertAlign w:val="superscript"/>
        </w:rPr>
        <w:t>3</w:t>
      </w:r>
      <w:r w:rsidRPr="00F50C10">
        <w:rPr>
          <w:rFonts w:cs="Times New Roman"/>
          <w:szCs w:val="24"/>
        </w:rPr>
        <w:t>/t proses suyu tüketimi sağlanır.</w:t>
      </w:r>
      <w:r w:rsidR="00F715F1" w:rsidRPr="00F715F1">
        <w:rPr>
          <w:rFonts w:cs="Times New Roman"/>
          <w:szCs w:val="24"/>
        </w:rPr>
        <w:t xml:space="preserve"> </w:t>
      </w:r>
      <w:r w:rsidR="00F715F1">
        <w:rPr>
          <w:rFonts w:cs="Times New Roman"/>
          <w:szCs w:val="24"/>
        </w:rPr>
        <w:t>(</w:t>
      </w:r>
      <w:r w:rsidR="00F715F1" w:rsidRPr="00BC3A2D">
        <w:rPr>
          <w:rFonts w:cs="Times New Roman"/>
          <w:szCs w:val="24"/>
        </w:rPr>
        <w:t xml:space="preserve">Detaylı bilgi için Özel İnorganik Kimyasalların Üretimi İçin MET Referans Belgesinin </w:t>
      </w:r>
      <w:r w:rsidR="00F715F1">
        <w:rPr>
          <w:rFonts w:cs="Times New Roman"/>
          <w:szCs w:val="24"/>
        </w:rPr>
        <w:t xml:space="preserve">6.4.3.3 </w:t>
      </w:r>
      <w:r w:rsidR="00F715F1" w:rsidRPr="00BC3A2D">
        <w:rPr>
          <w:rFonts w:cs="Times New Roman"/>
          <w:szCs w:val="24"/>
        </w:rPr>
        <w:t>kıs</w:t>
      </w:r>
      <w:r w:rsidR="00F715F1">
        <w:rPr>
          <w:rFonts w:cs="Times New Roman"/>
          <w:szCs w:val="24"/>
        </w:rPr>
        <w:t>mını</w:t>
      </w:r>
      <w:r w:rsidR="00F715F1" w:rsidRPr="00BC3A2D">
        <w:rPr>
          <w:rFonts w:cs="Times New Roman"/>
          <w:szCs w:val="24"/>
        </w:rPr>
        <w:t xml:space="preserve"> inceleyiniz.)</w:t>
      </w:r>
    </w:p>
    <w:p w14:paraId="6ADB6406" w14:textId="250A73EC" w:rsidR="00B83A5B" w:rsidRPr="00F50C10" w:rsidRDefault="00B83A5B" w:rsidP="000B206D">
      <w:pPr>
        <w:spacing w:before="240" w:line="276" w:lineRule="auto"/>
        <w:rPr>
          <w:rFonts w:cs="Times New Roman"/>
          <w:szCs w:val="24"/>
        </w:rPr>
      </w:pPr>
      <w:r w:rsidRPr="00F50C10">
        <w:rPr>
          <w:rFonts w:cs="Times New Roman"/>
          <w:b/>
          <w:bCs/>
          <w:szCs w:val="24"/>
        </w:rPr>
        <w:t xml:space="preserve">MET </w:t>
      </w:r>
      <w:r w:rsidR="00F715F1">
        <w:rPr>
          <w:rFonts w:cs="Times New Roman"/>
          <w:b/>
          <w:bCs/>
          <w:szCs w:val="24"/>
        </w:rPr>
        <w:t>9</w:t>
      </w:r>
      <w:r w:rsidRPr="00F50C10">
        <w:rPr>
          <w:rFonts w:cs="Times New Roman"/>
          <w:b/>
          <w:bCs/>
          <w:szCs w:val="24"/>
        </w:rPr>
        <w:t xml:space="preserve">: </w:t>
      </w:r>
      <w:r w:rsidRPr="00F50C10">
        <w:rPr>
          <w:rFonts w:cs="Times New Roman"/>
          <w:szCs w:val="24"/>
        </w:rPr>
        <w:t>Atık su diğer ilgili MET</w:t>
      </w:r>
      <w:r w:rsidR="00F715F1">
        <w:rPr>
          <w:rFonts w:cs="Times New Roman"/>
          <w:szCs w:val="24"/>
        </w:rPr>
        <w:t xml:space="preserve"> 5</w:t>
      </w:r>
      <w:r w:rsidRPr="00F50C10">
        <w:rPr>
          <w:rFonts w:cs="Times New Roman"/>
          <w:szCs w:val="24"/>
        </w:rPr>
        <w:t xml:space="preserve"> aracılığıyla ön arıtmadan geçtikten sonra, arıtılması </w:t>
      </w:r>
      <w:r w:rsidR="00A22693" w:rsidRPr="00F50C10">
        <w:rPr>
          <w:rFonts w:cs="Times New Roman"/>
          <w:szCs w:val="24"/>
        </w:rPr>
        <w:t>amacıyla</w:t>
      </w:r>
      <w:r w:rsidRPr="00F50C10">
        <w:rPr>
          <w:rFonts w:cs="Times New Roman"/>
          <w:szCs w:val="24"/>
        </w:rPr>
        <w:t xml:space="preserve"> merkezi atık su artıma tesisi</w:t>
      </w:r>
      <w:r w:rsidR="00A22693" w:rsidRPr="00F50C10">
        <w:rPr>
          <w:rFonts w:cs="Times New Roman"/>
          <w:szCs w:val="24"/>
        </w:rPr>
        <w:t>ne</w:t>
      </w:r>
      <w:r w:rsidRPr="00F50C10">
        <w:rPr>
          <w:rFonts w:cs="Times New Roman"/>
          <w:szCs w:val="24"/>
        </w:rPr>
        <w:t xml:space="preserve"> </w:t>
      </w:r>
      <w:r w:rsidR="00A22693" w:rsidRPr="00F50C10">
        <w:rPr>
          <w:rFonts w:cs="Times New Roman"/>
          <w:szCs w:val="24"/>
        </w:rPr>
        <w:t>gönderilir</w:t>
      </w:r>
      <w:r w:rsidRPr="00F50C10">
        <w:rPr>
          <w:rFonts w:cs="Times New Roman"/>
          <w:szCs w:val="24"/>
        </w:rPr>
        <w:t>. Eğer merkezi atık su arıtma tesisinde denitrifikasyon (ve gerekiyorsa nitrifikasyon) yoksa, atık su denitrifikasyon (ve gerekiyorsa nitrifikasyon) işleminin de yapıldığı biyolojik atık su arıtma tesisinde (yerinde veya tesis dışında, örneğin belediyeye ait atık su arıtma tesisinde) arıtılır.</w:t>
      </w:r>
    </w:p>
    <w:p w14:paraId="7D99361C" w14:textId="55BAC99B" w:rsidR="00B83A5B" w:rsidRPr="00F50C10" w:rsidRDefault="00F715F1" w:rsidP="00A654AE">
      <w:pPr>
        <w:pStyle w:val="Balk3"/>
        <w:numPr>
          <w:ilvl w:val="2"/>
          <w:numId w:val="137"/>
        </w:numPr>
        <w:spacing w:line="276" w:lineRule="auto"/>
        <w:rPr>
          <w:rFonts w:cs="Times New Roman"/>
        </w:rPr>
      </w:pPr>
      <w:bookmarkStart w:id="302" w:name="_Toc136866710"/>
      <w:r>
        <w:rPr>
          <w:rFonts w:cs="Times New Roman"/>
        </w:rPr>
        <w:t>Katı Kalıntıların</w:t>
      </w:r>
      <w:r w:rsidR="00B83A5B" w:rsidRPr="00F50C10">
        <w:rPr>
          <w:rFonts w:cs="Times New Roman"/>
        </w:rPr>
        <w:t xml:space="preserve"> </w:t>
      </w:r>
      <w:bookmarkEnd w:id="302"/>
      <w:r w:rsidR="00314C8C" w:rsidRPr="00F50C10">
        <w:rPr>
          <w:rFonts w:cs="Times New Roman"/>
        </w:rPr>
        <w:t>Taşınması</w:t>
      </w:r>
    </w:p>
    <w:p w14:paraId="79BDBACB" w14:textId="2DD65763"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w:t>
      </w:r>
      <w:r w:rsidR="00F715F1">
        <w:rPr>
          <w:rFonts w:cs="Times New Roman"/>
          <w:b/>
          <w:bCs/>
          <w:szCs w:val="24"/>
        </w:rPr>
        <w:t>10</w:t>
      </w:r>
      <w:r w:rsidRPr="00F50C10">
        <w:rPr>
          <w:rFonts w:cs="Times New Roman"/>
          <w:b/>
          <w:bCs/>
          <w:szCs w:val="24"/>
        </w:rPr>
        <w:t xml:space="preserve">: </w:t>
      </w:r>
      <w:r w:rsidRPr="00F50C10">
        <w:rPr>
          <w:rFonts w:cs="Times New Roman"/>
          <w:szCs w:val="24"/>
        </w:rPr>
        <w:t>Kurşun metalurjisi sektörlerinde, katı atıklarda (atık su arıtımından açığa çıkan çamur) bulunan kurşu</w:t>
      </w:r>
      <w:r w:rsidR="00A22693" w:rsidRPr="00F50C10">
        <w:rPr>
          <w:rFonts w:cs="Times New Roman"/>
          <w:szCs w:val="24"/>
        </w:rPr>
        <w:t>n</w:t>
      </w:r>
      <w:r w:rsidRPr="00F50C10">
        <w:rPr>
          <w:rFonts w:cs="Times New Roman"/>
          <w:szCs w:val="24"/>
        </w:rPr>
        <w:t xml:space="preserve"> geri kazanıl</w:t>
      </w:r>
      <w:r w:rsidR="00A22693" w:rsidRPr="00F50C10">
        <w:rPr>
          <w:rFonts w:cs="Times New Roman"/>
          <w:szCs w:val="24"/>
        </w:rPr>
        <w:t>ır</w:t>
      </w:r>
      <w:r w:rsidRPr="00F50C10">
        <w:rPr>
          <w:rFonts w:cs="Times New Roman"/>
          <w:szCs w:val="24"/>
        </w:rPr>
        <w:t xml:space="preserve"> </w:t>
      </w:r>
      <w:r w:rsidR="00F715F1">
        <w:rPr>
          <w:rFonts w:cs="Times New Roman"/>
          <w:szCs w:val="24"/>
        </w:rPr>
        <w:t>(</w:t>
      </w:r>
      <w:r w:rsidR="00F715F1" w:rsidRPr="00BC3A2D">
        <w:rPr>
          <w:rFonts w:cs="Times New Roman"/>
          <w:szCs w:val="24"/>
        </w:rPr>
        <w:t xml:space="preserve">Detaylı bilgi için Özel İnorganik Kimyasalların Üretimi İçin MET Referans Belgesinin </w:t>
      </w:r>
      <w:r w:rsidR="00F715F1">
        <w:rPr>
          <w:rFonts w:cs="Times New Roman"/>
          <w:szCs w:val="24"/>
        </w:rPr>
        <w:t xml:space="preserve">6.4.4.1 </w:t>
      </w:r>
      <w:r w:rsidR="00F715F1" w:rsidRPr="00BC3A2D">
        <w:rPr>
          <w:rFonts w:cs="Times New Roman"/>
          <w:szCs w:val="24"/>
        </w:rPr>
        <w:t>kıs</w:t>
      </w:r>
      <w:r w:rsidR="00F715F1">
        <w:rPr>
          <w:rFonts w:cs="Times New Roman"/>
          <w:szCs w:val="24"/>
        </w:rPr>
        <w:t>mını</w:t>
      </w:r>
      <w:r w:rsidR="00F715F1" w:rsidRPr="00BC3A2D">
        <w:rPr>
          <w:rFonts w:cs="Times New Roman"/>
          <w:szCs w:val="24"/>
        </w:rPr>
        <w:t xml:space="preserve"> inceleyiniz.)</w:t>
      </w:r>
      <w:r w:rsidRPr="00F50C10">
        <w:rPr>
          <w:rFonts w:cs="Times New Roman"/>
          <w:szCs w:val="24"/>
        </w:rPr>
        <w:t>veya kurşun içeren katı atıklar uygun şekilde bertaraf edilir.</w:t>
      </w:r>
      <w:r w:rsidR="00F715F1" w:rsidRPr="00F715F1">
        <w:rPr>
          <w:rFonts w:cs="Times New Roman"/>
          <w:szCs w:val="24"/>
        </w:rPr>
        <w:t xml:space="preserve"> </w:t>
      </w:r>
      <w:r w:rsidR="00F715F1">
        <w:rPr>
          <w:rFonts w:cs="Times New Roman"/>
          <w:szCs w:val="24"/>
        </w:rPr>
        <w:t>(</w:t>
      </w:r>
      <w:r w:rsidR="00F715F1" w:rsidRPr="00BC3A2D">
        <w:rPr>
          <w:rFonts w:cs="Times New Roman"/>
          <w:szCs w:val="24"/>
        </w:rPr>
        <w:t xml:space="preserve">Detaylı bilgi için Özel İnorganik Kimyasalların Üretimi İçin MET Referans Belgesinin </w:t>
      </w:r>
      <w:r w:rsidR="00F715F1">
        <w:rPr>
          <w:rFonts w:cs="Times New Roman"/>
          <w:szCs w:val="24"/>
        </w:rPr>
        <w:t xml:space="preserve">6.4.3.6 </w:t>
      </w:r>
      <w:r w:rsidR="00F715F1" w:rsidRPr="00BC3A2D">
        <w:rPr>
          <w:rFonts w:cs="Times New Roman"/>
          <w:szCs w:val="24"/>
        </w:rPr>
        <w:t>kıs</w:t>
      </w:r>
      <w:r w:rsidR="00F715F1">
        <w:rPr>
          <w:rFonts w:cs="Times New Roman"/>
          <w:szCs w:val="24"/>
        </w:rPr>
        <w:t>mını</w:t>
      </w:r>
      <w:r w:rsidR="00F715F1" w:rsidRPr="00BC3A2D">
        <w:rPr>
          <w:rFonts w:cs="Times New Roman"/>
          <w:szCs w:val="24"/>
        </w:rPr>
        <w:t xml:space="preserve"> inceleyiniz.)</w:t>
      </w:r>
    </w:p>
    <w:p w14:paraId="7EB3E9DD" w14:textId="77777777" w:rsidR="00B83A5B" w:rsidRPr="00F50C10" w:rsidRDefault="00B83A5B" w:rsidP="00A654AE">
      <w:pPr>
        <w:pStyle w:val="Balk2"/>
        <w:numPr>
          <w:ilvl w:val="1"/>
          <w:numId w:val="137"/>
        </w:numPr>
        <w:spacing w:line="276" w:lineRule="auto"/>
        <w:rPr>
          <w:rFonts w:cs="Times New Roman"/>
          <w:szCs w:val="24"/>
        </w:rPr>
      </w:pPr>
      <w:bookmarkStart w:id="303" w:name="_Toc136866711"/>
      <w:r w:rsidRPr="00F50C10">
        <w:rPr>
          <w:rFonts w:cs="Times New Roman"/>
          <w:szCs w:val="24"/>
        </w:rPr>
        <w:t>Siyanürler</w:t>
      </w:r>
      <w:bookmarkEnd w:id="303"/>
    </w:p>
    <w:p w14:paraId="571FC7AF" w14:textId="77777777" w:rsidR="00B83A5B" w:rsidRPr="00F50C10" w:rsidRDefault="00B83A5B" w:rsidP="00A654AE">
      <w:pPr>
        <w:pStyle w:val="Balk3"/>
        <w:numPr>
          <w:ilvl w:val="2"/>
          <w:numId w:val="137"/>
        </w:numPr>
        <w:spacing w:line="276" w:lineRule="auto"/>
        <w:rPr>
          <w:rFonts w:cs="Times New Roman"/>
        </w:rPr>
      </w:pPr>
      <w:bookmarkStart w:id="304" w:name="_Toc136866712"/>
      <w:r w:rsidRPr="00F50C10">
        <w:rPr>
          <w:rFonts w:cs="Times New Roman"/>
        </w:rPr>
        <w:t>Hammadde Seçimi</w:t>
      </w:r>
      <w:bookmarkEnd w:id="304"/>
    </w:p>
    <w:p w14:paraId="793C5CE9" w14:textId="408B10B8" w:rsidR="00B83A5B" w:rsidRPr="00F50C10" w:rsidRDefault="00B83A5B" w:rsidP="000B206D">
      <w:pPr>
        <w:spacing w:before="240" w:line="276" w:lineRule="auto"/>
        <w:rPr>
          <w:rFonts w:cs="Times New Roman"/>
          <w:szCs w:val="24"/>
        </w:rPr>
      </w:pPr>
      <w:r w:rsidRPr="00F50C10">
        <w:rPr>
          <w:rFonts w:cs="Times New Roman"/>
          <w:b/>
          <w:bCs/>
          <w:szCs w:val="24"/>
        </w:rPr>
        <w:t xml:space="preserve">MET </w:t>
      </w:r>
      <w:r w:rsidR="002478C0">
        <w:rPr>
          <w:rFonts w:cs="Times New Roman"/>
          <w:b/>
          <w:bCs/>
          <w:szCs w:val="24"/>
        </w:rPr>
        <w:t>1</w:t>
      </w:r>
      <w:r w:rsidRPr="00F50C10">
        <w:rPr>
          <w:rFonts w:cs="Times New Roman"/>
          <w:b/>
          <w:bCs/>
          <w:szCs w:val="24"/>
        </w:rPr>
        <w:t xml:space="preserve">: </w:t>
      </w:r>
      <w:r w:rsidRPr="00F50C10">
        <w:rPr>
          <w:rFonts w:cs="Times New Roman"/>
          <w:szCs w:val="24"/>
        </w:rPr>
        <w:t>Düşük ağır metal içeriğine sahip NaOH/KOH hammaddeleri kullanılarak, üretim prosesinde açığa çıkan atık miktarı azaltılır.</w:t>
      </w:r>
      <w:r w:rsidR="00BA376B" w:rsidRPr="00BA376B">
        <w:rPr>
          <w:rFonts w:cs="Times New Roman"/>
          <w:szCs w:val="24"/>
        </w:rPr>
        <w:t xml:space="preserve"> </w:t>
      </w:r>
      <w:r w:rsidR="00BA376B">
        <w:rPr>
          <w:rFonts w:cs="Times New Roman"/>
          <w:szCs w:val="24"/>
        </w:rPr>
        <w:t>(</w:t>
      </w:r>
      <w:r w:rsidR="00BA376B" w:rsidRPr="00BC3A2D">
        <w:rPr>
          <w:rFonts w:cs="Times New Roman"/>
          <w:szCs w:val="24"/>
        </w:rPr>
        <w:t xml:space="preserve">Detaylı bilgi için Özel İnorganik Kimyasalların Üretimi İçin MET Referans Belgesinin </w:t>
      </w:r>
      <w:r w:rsidR="00BA376B">
        <w:rPr>
          <w:rFonts w:cs="Times New Roman"/>
          <w:szCs w:val="24"/>
        </w:rPr>
        <w:t xml:space="preserve">6.5.4.10 </w:t>
      </w:r>
      <w:r w:rsidR="00BA376B" w:rsidRPr="00BC3A2D">
        <w:rPr>
          <w:rFonts w:cs="Times New Roman"/>
          <w:szCs w:val="24"/>
        </w:rPr>
        <w:t>kıs</w:t>
      </w:r>
      <w:r w:rsidR="00BA376B">
        <w:rPr>
          <w:rFonts w:cs="Times New Roman"/>
          <w:szCs w:val="24"/>
        </w:rPr>
        <w:t>mını</w:t>
      </w:r>
      <w:r w:rsidR="00BA376B" w:rsidRPr="00BC3A2D">
        <w:rPr>
          <w:rFonts w:cs="Times New Roman"/>
          <w:szCs w:val="24"/>
        </w:rPr>
        <w:t xml:space="preserve"> inceleyiniz.)</w:t>
      </w:r>
    </w:p>
    <w:p w14:paraId="1BC55CC5" w14:textId="77777777" w:rsidR="00B83A5B" w:rsidRPr="00F50C10" w:rsidRDefault="00B83A5B" w:rsidP="00A654AE">
      <w:pPr>
        <w:pStyle w:val="Balk3"/>
        <w:numPr>
          <w:ilvl w:val="2"/>
          <w:numId w:val="137"/>
        </w:numPr>
        <w:spacing w:line="276" w:lineRule="auto"/>
        <w:rPr>
          <w:rFonts w:cs="Times New Roman"/>
          <w:lang w:val="nl-NL"/>
        </w:rPr>
      </w:pPr>
      <w:bookmarkStart w:id="305" w:name="_Toc136866713"/>
      <w:r w:rsidRPr="00F50C10">
        <w:rPr>
          <w:rFonts w:cs="Times New Roman"/>
          <w:lang w:val="nl-NL"/>
        </w:rPr>
        <w:t>Hava Emisyonları</w:t>
      </w:r>
      <w:bookmarkEnd w:id="305"/>
    </w:p>
    <w:p w14:paraId="7D84AA6F" w14:textId="7901A788" w:rsidR="00B83A5B" w:rsidRPr="00F50C10" w:rsidRDefault="00B83A5B" w:rsidP="000B206D">
      <w:pPr>
        <w:spacing w:before="240" w:line="276" w:lineRule="auto"/>
        <w:rPr>
          <w:rFonts w:cs="Times New Roman"/>
          <w:szCs w:val="24"/>
          <w:lang w:val="nl-NL"/>
        </w:rPr>
      </w:pPr>
      <w:r w:rsidRPr="00F50C10">
        <w:rPr>
          <w:rFonts w:cs="Times New Roman"/>
          <w:b/>
          <w:bCs/>
          <w:szCs w:val="24"/>
          <w:lang w:val="nl-NL"/>
        </w:rPr>
        <w:t xml:space="preserve">MET </w:t>
      </w:r>
      <w:r w:rsidR="002478C0">
        <w:rPr>
          <w:rFonts w:cs="Times New Roman"/>
          <w:b/>
          <w:bCs/>
          <w:szCs w:val="24"/>
          <w:lang w:val="nl-NL"/>
        </w:rPr>
        <w:t>2</w:t>
      </w:r>
      <w:r w:rsidRPr="00F50C10">
        <w:rPr>
          <w:rFonts w:cs="Times New Roman"/>
          <w:b/>
          <w:bCs/>
          <w:szCs w:val="24"/>
          <w:lang w:val="nl-NL"/>
        </w:rPr>
        <w:t xml:space="preserve">: </w:t>
      </w:r>
      <w:r w:rsidR="00A22693" w:rsidRPr="00F50C10">
        <w:rPr>
          <w:rFonts w:cs="Times New Roman"/>
          <w:szCs w:val="24"/>
          <w:lang w:val="nl-NL"/>
        </w:rPr>
        <w:t>Tablo 2’de v</w:t>
      </w:r>
      <w:r w:rsidRPr="00F50C10">
        <w:rPr>
          <w:rFonts w:cs="Times New Roman"/>
          <w:szCs w:val="24"/>
          <w:lang w:val="nl-NL"/>
        </w:rPr>
        <w:t>erilen emisyon seviyeleri elde edilir.</w:t>
      </w:r>
      <w:r w:rsidR="00BA376B" w:rsidRPr="00BA376B">
        <w:rPr>
          <w:rFonts w:cs="Times New Roman"/>
          <w:szCs w:val="24"/>
        </w:rPr>
        <w:t xml:space="preserve"> </w:t>
      </w:r>
      <w:r w:rsidR="00BA376B">
        <w:rPr>
          <w:rFonts w:cs="Times New Roman"/>
          <w:szCs w:val="24"/>
        </w:rPr>
        <w:t>(</w:t>
      </w:r>
      <w:r w:rsidR="00BA376B" w:rsidRPr="00BC3A2D">
        <w:rPr>
          <w:rFonts w:cs="Times New Roman"/>
          <w:szCs w:val="24"/>
        </w:rPr>
        <w:t xml:space="preserve">Detaylı bilgi için Özel İnorganik Kimyasalların Üretimi İçin MET Referans Belgesinin </w:t>
      </w:r>
      <w:r w:rsidR="00BA376B">
        <w:rPr>
          <w:rFonts w:cs="Times New Roman"/>
          <w:szCs w:val="24"/>
        </w:rPr>
        <w:t xml:space="preserve">6.5.3.4 </w:t>
      </w:r>
      <w:r w:rsidR="00BA376B" w:rsidRPr="00BC3A2D">
        <w:rPr>
          <w:rFonts w:cs="Times New Roman"/>
          <w:szCs w:val="24"/>
        </w:rPr>
        <w:t>kıs</w:t>
      </w:r>
      <w:r w:rsidR="00BA376B">
        <w:rPr>
          <w:rFonts w:cs="Times New Roman"/>
          <w:szCs w:val="24"/>
        </w:rPr>
        <w:t>mını</w:t>
      </w:r>
      <w:r w:rsidR="00BA376B" w:rsidRPr="00BC3A2D">
        <w:rPr>
          <w:rFonts w:cs="Times New Roman"/>
          <w:szCs w:val="24"/>
        </w:rPr>
        <w:t xml:space="preserve"> inceleyiniz.)</w:t>
      </w:r>
    </w:p>
    <w:p w14:paraId="658B5F5B" w14:textId="53F2E9BF" w:rsidR="00B83A5B" w:rsidRPr="00F50C10" w:rsidRDefault="00A22693" w:rsidP="000B206D">
      <w:pPr>
        <w:pStyle w:val="ResimYazs"/>
        <w:spacing w:before="240" w:line="276" w:lineRule="auto"/>
        <w:rPr>
          <w:rFonts w:cs="Times New Roman"/>
          <w:b w:val="0"/>
          <w:bCs/>
          <w:szCs w:val="24"/>
          <w:lang w:val="nl-NL"/>
        </w:rPr>
      </w:pPr>
      <w:r w:rsidRPr="00F50C10">
        <w:rPr>
          <w:rFonts w:cs="Times New Roman"/>
          <w:szCs w:val="24"/>
          <w:lang w:val="nl-NL"/>
        </w:rPr>
        <w:t xml:space="preserve">Tablo 2. </w:t>
      </w:r>
      <w:r w:rsidR="00B83A5B" w:rsidRPr="00F50C10">
        <w:rPr>
          <w:rFonts w:cs="Times New Roman"/>
          <w:szCs w:val="24"/>
          <w:lang w:val="nl-NL"/>
        </w:rPr>
        <w:t>Siyanürlerin üretiminde MET ile ilişkili olarak havaya salınan emisyon seviyeleri (MET-İES’ler)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5"/>
        <w:gridCol w:w="6145"/>
      </w:tblGrid>
      <w:tr w:rsidR="00B83A5B" w:rsidRPr="00F50C10" w14:paraId="60AFE007" w14:textId="77777777" w:rsidTr="008F1C36">
        <w:trPr>
          <w:trHeight w:val="230"/>
        </w:trPr>
        <w:tc>
          <w:tcPr>
            <w:tcW w:w="1700" w:type="pct"/>
            <w:vMerge w:val="restart"/>
            <w:vAlign w:val="center"/>
          </w:tcPr>
          <w:p w14:paraId="2ED609CA" w14:textId="77777777" w:rsidR="00B83A5B" w:rsidRPr="00F50C10" w:rsidRDefault="00B83A5B" w:rsidP="000B206D">
            <w:pPr>
              <w:pStyle w:val="TableParagraph"/>
              <w:spacing w:line="276" w:lineRule="auto"/>
              <w:ind w:left="74" w:right="74"/>
              <w:jc w:val="center"/>
              <w:rPr>
                <w:b/>
                <w:szCs w:val="24"/>
              </w:rPr>
            </w:pPr>
            <w:r w:rsidRPr="00F50C10">
              <w:rPr>
                <w:b/>
                <w:bCs/>
                <w:szCs w:val="24"/>
              </w:rPr>
              <w:t>Kirletici</w:t>
            </w:r>
          </w:p>
        </w:tc>
        <w:tc>
          <w:tcPr>
            <w:tcW w:w="3300" w:type="pct"/>
          </w:tcPr>
          <w:p w14:paraId="64425B27" w14:textId="77777777" w:rsidR="00B83A5B" w:rsidRPr="00F50C10" w:rsidRDefault="00B83A5B" w:rsidP="000B206D">
            <w:pPr>
              <w:pStyle w:val="TableParagraph"/>
              <w:spacing w:line="276" w:lineRule="auto"/>
              <w:ind w:left="74" w:right="74"/>
              <w:jc w:val="center"/>
              <w:rPr>
                <w:szCs w:val="24"/>
              </w:rPr>
            </w:pPr>
            <w:r w:rsidRPr="00F50C10">
              <w:rPr>
                <w:b/>
                <w:bCs/>
                <w:szCs w:val="24"/>
              </w:rPr>
              <w:t>Havaya salınan emisyonlar (</w:t>
            </w:r>
            <w:r w:rsidRPr="00F50C10">
              <w:rPr>
                <w:b/>
                <w:bCs/>
                <w:szCs w:val="24"/>
                <w:vertAlign w:val="superscript"/>
              </w:rPr>
              <w:t>1</w:t>
            </w:r>
            <w:r w:rsidRPr="00F50C10">
              <w:rPr>
                <w:b/>
                <w:bCs/>
                <w:szCs w:val="24"/>
              </w:rPr>
              <w:t>)</w:t>
            </w:r>
          </w:p>
        </w:tc>
      </w:tr>
      <w:tr w:rsidR="00B83A5B" w:rsidRPr="00F50C10" w14:paraId="0A754497" w14:textId="77777777" w:rsidTr="008F1C36">
        <w:trPr>
          <w:trHeight w:val="230"/>
        </w:trPr>
        <w:tc>
          <w:tcPr>
            <w:tcW w:w="1700" w:type="pct"/>
            <w:vMerge/>
            <w:tcBorders>
              <w:top w:val="nil"/>
            </w:tcBorders>
          </w:tcPr>
          <w:p w14:paraId="563245DB" w14:textId="77777777" w:rsidR="00B83A5B" w:rsidRPr="00F50C10" w:rsidRDefault="00B83A5B" w:rsidP="000B206D">
            <w:pPr>
              <w:spacing w:line="276" w:lineRule="auto"/>
              <w:ind w:left="74" w:right="74"/>
              <w:rPr>
                <w:rFonts w:cs="Times New Roman"/>
                <w:szCs w:val="24"/>
                <w:lang w:val="tr-TR"/>
              </w:rPr>
            </w:pPr>
          </w:p>
        </w:tc>
        <w:tc>
          <w:tcPr>
            <w:tcW w:w="3300" w:type="pct"/>
          </w:tcPr>
          <w:p w14:paraId="61AED02D" w14:textId="77777777" w:rsidR="00B83A5B" w:rsidRPr="00F50C10" w:rsidRDefault="00B83A5B" w:rsidP="000B206D">
            <w:pPr>
              <w:pStyle w:val="TableParagraph"/>
              <w:spacing w:line="276" w:lineRule="auto"/>
              <w:ind w:left="74" w:right="74"/>
              <w:jc w:val="center"/>
              <w:rPr>
                <w:szCs w:val="24"/>
              </w:rPr>
            </w:pPr>
            <w:r w:rsidRPr="00F50C10">
              <w:rPr>
                <w:szCs w:val="24"/>
              </w:rPr>
              <w:t>%100 NaCN veya KCN’de g/t</w:t>
            </w:r>
          </w:p>
        </w:tc>
      </w:tr>
      <w:tr w:rsidR="00B83A5B" w:rsidRPr="00F50C10" w14:paraId="53674163" w14:textId="77777777" w:rsidTr="008F1C36">
        <w:trPr>
          <w:trHeight w:val="230"/>
        </w:trPr>
        <w:tc>
          <w:tcPr>
            <w:tcW w:w="1700" w:type="pct"/>
          </w:tcPr>
          <w:p w14:paraId="4FD4FA18" w14:textId="77777777" w:rsidR="00B83A5B" w:rsidRPr="00F50C10" w:rsidRDefault="00B83A5B" w:rsidP="000B206D">
            <w:pPr>
              <w:pStyle w:val="TableParagraph"/>
              <w:spacing w:line="276" w:lineRule="auto"/>
              <w:ind w:left="74" w:right="74"/>
              <w:jc w:val="both"/>
              <w:rPr>
                <w:szCs w:val="24"/>
              </w:rPr>
            </w:pPr>
            <w:r w:rsidRPr="00F50C10">
              <w:rPr>
                <w:szCs w:val="24"/>
              </w:rPr>
              <w:t>HCN</w:t>
            </w:r>
          </w:p>
        </w:tc>
        <w:tc>
          <w:tcPr>
            <w:tcW w:w="3300" w:type="pct"/>
          </w:tcPr>
          <w:p w14:paraId="388B4F20" w14:textId="77777777" w:rsidR="00B83A5B" w:rsidRPr="00F50C10" w:rsidRDefault="00B83A5B" w:rsidP="000B206D">
            <w:pPr>
              <w:pStyle w:val="TableParagraph"/>
              <w:spacing w:line="276" w:lineRule="auto"/>
              <w:ind w:left="74" w:right="74"/>
              <w:jc w:val="center"/>
              <w:rPr>
                <w:szCs w:val="24"/>
              </w:rPr>
            </w:pPr>
            <w:r w:rsidRPr="00F50C10">
              <w:rPr>
                <w:szCs w:val="24"/>
              </w:rPr>
              <w:t>0,5 – 2</w:t>
            </w:r>
          </w:p>
        </w:tc>
      </w:tr>
      <w:tr w:rsidR="00B83A5B" w:rsidRPr="00F50C10" w14:paraId="3A936F79" w14:textId="77777777" w:rsidTr="008F1C36">
        <w:trPr>
          <w:trHeight w:val="230"/>
        </w:trPr>
        <w:tc>
          <w:tcPr>
            <w:tcW w:w="1700" w:type="pct"/>
          </w:tcPr>
          <w:p w14:paraId="3B4446BC" w14:textId="77777777" w:rsidR="00B83A5B" w:rsidRPr="00F50C10" w:rsidRDefault="00B83A5B" w:rsidP="000B206D">
            <w:pPr>
              <w:pStyle w:val="TableParagraph"/>
              <w:spacing w:line="276" w:lineRule="auto"/>
              <w:ind w:left="74" w:right="74"/>
              <w:jc w:val="both"/>
              <w:rPr>
                <w:szCs w:val="24"/>
              </w:rPr>
            </w:pPr>
            <w:r w:rsidRPr="00F50C10">
              <w:rPr>
                <w:szCs w:val="24"/>
              </w:rPr>
              <w:t>NH</w:t>
            </w:r>
            <w:r w:rsidRPr="00F50C10">
              <w:rPr>
                <w:szCs w:val="24"/>
                <w:vertAlign w:val="subscript"/>
              </w:rPr>
              <w:t>3</w:t>
            </w:r>
          </w:p>
        </w:tc>
        <w:tc>
          <w:tcPr>
            <w:tcW w:w="3300" w:type="pct"/>
          </w:tcPr>
          <w:p w14:paraId="455A76FC" w14:textId="77777777" w:rsidR="00B83A5B" w:rsidRPr="00F50C10" w:rsidRDefault="00B83A5B" w:rsidP="000B206D">
            <w:pPr>
              <w:pStyle w:val="TableParagraph"/>
              <w:spacing w:line="276" w:lineRule="auto"/>
              <w:ind w:left="74" w:right="74"/>
              <w:jc w:val="center"/>
              <w:rPr>
                <w:szCs w:val="24"/>
              </w:rPr>
            </w:pPr>
            <w:r w:rsidRPr="00F50C10">
              <w:rPr>
                <w:szCs w:val="24"/>
              </w:rPr>
              <w:t>0,7 – 3</w:t>
            </w:r>
          </w:p>
        </w:tc>
      </w:tr>
      <w:tr w:rsidR="00B83A5B" w:rsidRPr="00F50C10" w14:paraId="7DA72C4A" w14:textId="77777777" w:rsidTr="008F1C36">
        <w:trPr>
          <w:trHeight w:val="230"/>
        </w:trPr>
        <w:tc>
          <w:tcPr>
            <w:tcW w:w="1700" w:type="pct"/>
          </w:tcPr>
          <w:p w14:paraId="45284B33" w14:textId="77777777" w:rsidR="00B83A5B" w:rsidRPr="00F50C10" w:rsidRDefault="00B83A5B" w:rsidP="000B206D">
            <w:pPr>
              <w:pStyle w:val="TableParagraph"/>
              <w:spacing w:line="276" w:lineRule="auto"/>
              <w:ind w:left="74" w:right="74"/>
              <w:jc w:val="both"/>
              <w:rPr>
                <w:szCs w:val="24"/>
              </w:rPr>
            </w:pPr>
            <w:r w:rsidRPr="00F50C10">
              <w:rPr>
                <w:szCs w:val="24"/>
              </w:rPr>
              <w:t>NO</w:t>
            </w:r>
            <w:r w:rsidRPr="00F50C10">
              <w:rPr>
                <w:szCs w:val="24"/>
                <w:vertAlign w:val="subscript"/>
              </w:rPr>
              <w:t>x</w:t>
            </w:r>
          </w:p>
        </w:tc>
        <w:tc>
          <w:tcPr>
            <w:tcW w:w="3300" w:type="pct"/>
          </w:tcPr>
          <w:p w14:paraId="35D9BFFD" w14:textId="77777777" w:rsidR="00B83A5B" w:rsidRPr="00F50C10" w:rsidRDefault="00B83A5B" w:rsidP="000B206D">
            <w:pPr>
              <w:pStyle w:val="TableParagraph"/>
              <w:spacing w:line="276" w:lineRule="auto"/>
              <w:ind w:left="74" w:right="74"/>
              <w:jc w:val="center"/>
              <w:rPr>
                <w:szCs w:val="24"/>
              </w:rPr>
            </w:pPr>
            <w:r w:rsidRPr="00F50C10">
              <w:rPr>
                <w:szCs w:val="24"/>
              </w:rPr>
              <w:t>100 – 500</w:t>
            </w:r>
          </w:p>
        </w:tc>
      </w:tr>
      <w:tr w:rsidR="00B83A5B" w:rsidRPr="00F50C10" w14:paraId="45062C5B" w14:textId="77777777" w:rsidTr="008F1C36">
        <w:trPr>
          <w:trHeight w:val="70"/>
        </w:trPr>
        <w:tc>
          <w:tcPr>
            <w:tcW w:w="1700" w:type="pct"/>
          </w:tcPr>
          <w:p w14:paraId="115B1BDB" w14:textId="77777777" w:rsidR="00B83A5B" w:rsidRPr="00F50C10" w:rsidRDefault="00B83A5B" w:rsidP="000B206D">
            <w:pPr>
              <w:pStyle w:val="TableParagraph"/>
              <w:spacing w:line="276" w:lineRule="auto"/>
              <w:ind w:left="74" w:right="74"/>
              <w:jc w:val="both"/>
              <w:rPr>
                <w:szCs w:val="24"/>
              </w:rPr>
            </w:pPr>
            <w:r w:rsidRPr="00F50C10">
              <w:rPr>
                <w:szCs w:val="24"/>
              </w:rPr>
              <w:t>UOB’ler</w:t>
            </w:r>
          </w:p>
        </w:tc>
        <w:tc>
          <w:tcPr>
            <w:tcW w:w="3300" w:type="pct"/>
          </w:tcPr>
          <w:p w14:paraId="6F485588" w14:textId="26F4D12E" w:rsidR="00B83A5B" w:rsidRPr="00F50C10" w:rsidRDefault="00B83A5B" w:rsidP="000B206D">
            <w:pPr>
              <w:pStyle w:val="TableParagraph"/>
              <w:spacing w:line="276" w:lineRule="auto"/>
              <w:jc w:val="center"/>
              <w:rPr>
                <w:szCs w:val="24"/>
              </w:rPr>
            </w:pPr>
            <w:r w:rsidRPr="00F50C10">
              <w:rPr>
                <w:szCs w:val="24"/>
              </w:rPr>
              <w:t>0</w:t>
            </w:r>
            <w:r w:rsidR="00A22693" w:rsidRPr="00F50C10">
              <w:rPr>
                <w:szCs w:val="24"/>
              </w:rPr>
              <w:t xml:space="preserve"> – </w:t>
            </w:r>
            <w:r w:rsidRPr="00F50C10">
              <w:rPr>
                <w:szCs w:val="24"/>
              </w:rPr>
              <w:t>0,01</w:t>
            </w:r>
          </w:p>
        </w:tc>
      </w:tr>
      <w:tr w:rsidR="00B83A5B" w:rsidRPr="00F50C10" w14:paraId="75A4EB92" w14:textId="77777777" w:rsidTr="008F1C36">
        <w:trPr>
          <w:trHeight w:val="835"/>
        </w:trPr>
        <w:tc>
          <w:tcPr>
            <w:tcW w:w="5000" w:type="pct"/>
            <w:gridSpan w:val="2"/>
          </w:tcPr>
          <w:p w14:paraId="18E072E8" w14:textId="1749ECBC" w:rsidR="00B83A5B" w:rsidRPr="00F50C10" w:rsidRDefault="00B83A5B" w:rsidP="000B206D">
            <w:pPr>
              <w:pStyle w:val="TableParagraph"/>
              <w:spacing w:line="276" w:lineRule="auto"/>
              <w:ind w:left="74" w:right="74"/>
              <w:jc w:val="both"/>
              <w:rPr>
                <w:i/>
                <w:iCs/>
                <w:szCs w:val="24"/>
              </w:rPr>
            </w:pPr>
            <w:r w:rsidRPr="00F50C10">
              <w:rPr>
                <w:i/>
                <w:iCs/>
                <w:szCs w:val="24"/>
              </w:rPr>
              <w:t>(</w:t>
            </w:r>
            <w:r w:rsidRPr="00F50C10">
              <w:rPr>
                <w:i/>
                <w:iCs/>
                <w:szCs w:val="24"/>
                <w:vertAlign w:val="superscript"/>
              </w:rPr>
              <w:t>1</w:t>
            </w:r>
            <w:r w:rsidRPr="00F50C10">
              <w:rPr>
                <w:i/>
                <w:iCs/>
                <w:szCs w:val="24"/>
              </w:rPr>
              <w:t xml:space="preserve">) Değerler, farklı siyanür üretim fabrikalarındaki emisyonların ölçümlerinden türetilmiştir. Aralıklar, kullanılan proses ve teknolojiye ve </w:t>
            </w:r>
            <w:r w:rsidR="00A22693" w:rsidRPr="00F50C10">
              <w:rPr>
                <w:i/>
                <w:iCs/>
                <w:szCs w:val="24"/>
              </w:rPr>
              <w:t>tesisten</w:t>
            </w:r>
            <w:r w:rsidRPr="00F50C10">
              <w:rPr>
                <w:i/>
                <w:iCs/>
                <w:szCs w:val="24"/>
              </w:rPr>
              <w:t xml:space="preserve"> </w:t>
            </w:r>
            <w:r w:rsidR="00A22693" w:rsidRPr="00F50C10">
              <w:rPr>
                <w:i/>
                <w:iCs/>
                <w:szCs w:val="24"/>
              </w:rPr>
              <w:t>tesise</w:t>
            </w:r>
            <w:r w:rsidRPr="00F50C10">
              <w:rPr>
                <w:i/>
                <w:iCs/>
                <w:szCs w:val="24"/>
              </w:rPr>
              <w:t xml:space="preserve"> farklılaşan sahaya özgü koşullara (yani atık su arıtımı) bağlı olarak en iyi uygulamayı temsil eder. Örneğin, bir tesiste her üç ayda bir kez emisyon analizi yapıldığı bildirilmektedir.</w:t>
            </w:r>
          </w:p>
        </w:tc>
      </w:tr>
    </w:tbl>
    <w:p w14:paraId="52EE3035" w14:textId="1AADF7E4" w:rsidR="00B83A5B" w:rsidRPr="00F50C10" w:rsidRDefault="00B83A5B" w:rsidP="000B206D">
      <w:pPr>
        <w:spacing w:before="240" w:line="276" w:lineRule="auto"/>
        <w:rPr>
          <w:rFonts w:cs="Times New Roman"/>
          <w:szCs w:val="24"/>
          <w:lang w:val="tr-TR"/>
        </w:rPr>
      </w:pPr>
      <w:r w:rsidRPr="00F50C10">
        <w:rPr>
          <w:rFonts w:cs="Times New Roman"/>
          <w:b/>
          <w:bCs/>
          <w:szCs w:val="24"/>
          <w:lang w:val="tr-TR"/>
        </w:rPr>
        <w:t xml:space="preserve">MET </w:t>
      </w:r>
      <w:r w:rsidR="00805E08">
        <w:rPr>
          <w:rFonts w:cs="Times New Roman"/>
          <w:b/>
          <w:bCs/>
          <w:szCs w:val="24"/>
          <w:lang w:val="tr-TR"/>
        </w:rPr>
        <w:t>3</w:t>
      </w:r>
      <w:r w:rsidRPr="00F50C10">
        <w:rPr>
          <w:rFonts w:cs="Times New Roman"/>
          <w:b/>
          <w:bCs/>
          <w:szCs w:val="24"/>
          <w:lang w:val="tr-TR"/>
        </w:rPr>
        <w:t xml:space="preserve">: </w:t>
      </w:r>
      <w:r w:rsidRPr="00F50C10">
        <w:rPr>
          <w:rFonts w:cs="Times New Roman"/>
          <w:szCs w:val="24"/>
          <w:lang w:val="tr-TR"/>
        </w:rPr>
        <w:t>Katı siyanürlerin üretiminde, %99,9 oranındaki gider</w:t>
      </w:r>
      <w:r w:rsidR="0045637A" w:rsidRPr="00F50C10">
        <w:rPr>
          <w:rFonts w:cs="Times New Roman"/>
          <w:szCs w:val="24"/>
          <w:lang w:val="tr-TR"/>
        </w:rPr>
        <w:t>im</w:t>
      </w:r>
      <w:r w:rsidRPr="00F50C10">
        <w:rPr>
          <w:rFonts w:cs="Times New Roman"/>
          <w:szCs w:val="24"/>
          <w:lang w:val="tr-TR"/>
        </w:rPr>
        <w:t xml:space="preserve"> verimini elde etmek amacıyla UOB’leri içeren proses havasını</w:t>
      </w:r>
      <w:r w:rsidR="00797478" w:rsidRPr="00F50C10">
        <w:rPr>
          <w:rFonts w:cs="Times New Roman"/>
          <w:szCs w:val="24"/>
          <w:lang w:val="tr-TR"/>
        </w:rPr>
        <w:t>n yakılması</w:t>
      </w:r>
      <w:r w:rsidRPr="00F50C10">
        <w:rPr>
          <w:rFonts w:cs="Times New Roman"/>
          <w:szCs w:val="24"/>
          <w:lang w:val="tr-TR"/>
        </w:rPr>
        <w:t xml:space="preserve"> ve siyanür kristallerini kurutmak için </w:t>
      </w:r>
      <w:r w:rsidR="00797478" w:rsidRPr="00F50C10">
        <w:rPr>
          <w:rFonts w:cs="Times New Roman"/>
          <w:szCs w:val="24"/>
          <w:lang w:val="tr-TR"/>
        </w:rPr>
        <w:t>yakmadan</w:t>
      </w:r>
      <w:r w:rsidRPr="00F50C10">
        <w:rPr>
          <w:rFonts w:cs="Times New Roman"/>
          <w:szCs w:val="24"/>
          <w:lang w:val="tr-TR"/>
        </w:rPr>
        <w:t xml:space="preserve"> elde edilen enerji</w:t>
      </w:r>
      <w:r w:rsidR="00797478" w:rsidRPr="00F50C10">
        <w:rPr>
          <w:rFonts w:cs="Times New Roman"/>
          <w:szCs w:val="24"/>
          <w:lang w:val="tr-TR"/>
        </w:rPr>
        <w:t>nin</w:t>
      </w:r>
      <w:r w:rsidRPr="00F50C10">
        <w:rPr>
          <w:rFonts w:cs="Times New Roman"/>
          <w:szCs w:val="24"/>
          <w:lang w:val="tr-TR"/>
        </w:rPr>
        <w:t xml:space="preserve"> yeniden </w:t>
      </w:r>
      <w:r w:rsidR="00797478" w:rsidRPr="00F50C10">
        <w:rPr>
          <w:rFonts w:cs="Times New Roman"/>
          <w:szCs w:val="24"/>
          <w:lang w:val="tr-TR"/>
        </w:rPr>
        <w:t>kullanılması ile</w:t>
      </w:r>
      <w:r w:rsidRPr="00F50C10">
        <w:rPr>
          <w:rFonts w:cs="Times New Roman"/>
          <w:szCs w:val="24"/>
          <w:lang w:val="tr-TR"/>
        </w:rPr>
        <w:t>, kurutma adımında açığa çıkan UOB emisyonları en aza düşürül</w:t>
      </w:r>
      <w:r w:rsidR="00797478" w:rsidRPr="00F50C10">
        <w:rPr>
          <w:rFonts w:cs="Times New Roman"/>
          <w:szCs w:val="24"/>
          <w:lang w:val="tr-TR"/>
        </w:rPr>
        <w:t>ü</w:t>
      </w:r>
      <w:r w:rsidRPr="00F50C10">
        <w:rPr>
          <w:rFonts w:cs="Times New Roman"/>
          <w:szCs w:val="24"/>
          <w:lang w:val="tr-TR"/>
        </w:rPr>
        <w:t>r.</w:t>
      </w:r>
      <w:r w:rsidR="00BA376B" w:rsidRPr="00BA376B">
        <w:rPr>
          <w:rFonts w:cs="Times New Roman"/>
          <w:szCs w:val="24"/>
        </w:rPr>
        <w:t xml:space="preserve"> </w:t>
      </w:r>
      <w:r w:rsidR="00BA376B">
        <w:rPr>
          <w:rFonts w:cs="Times New Roman"/>
          <w:szCs w:val="24"/>
        </w:rPr>
        <w:t>(</w:t>
      </w:r>
      <w:r w:rsidR="00BA376B" w:rsidRPr="00BC3A2D">
        <w:rPr>
          <w:rFonts w:cs="Times New Roman"/>
          <w:szCs w:val="24"/>
        </w:rPr>
        <w:t xml:space="preserve">Detaylı bilgi için Özel İnorganik Kimyasalların Üretimi İçin MET Referans Belgesinin </w:t>
      </w:r>
      <w:r w:rsidR="00BA376B">
        <w:rPr>
          <w:rFonts w:cs="Times New Roman"/>
          <w:szCs w:val="24"/>
        </w:rPr>
        <w:t xml:space="preserve">6.5.4.2 </w:t>
      </w:r>
      <w:r w:rsidR="00BA376B" w:rsidRPr="00BC3A2D">
        <w:rPr>
          <w:rFonts w:cs="Times New Roman"/>
          <w:szCs w:val="24"/>
        </w:rPr>
        <w:t>kıs</w:t>
      </w:r>
      <w:r w:rsidR="00BA376B">
        <w:rPr>
          <w:rFonts w:cs="Times New Roman"/>
          <w:szCs w:val="24"/>
        </w:rPr>
        <w:t>mını</w:t>
      </w:r>
      <w:r w:rsidR="00BA376B" w:rsidRPr="00BC3A2D">
        <w:rPr>
          <w:rFonts w:cs="Times New Roman"/>
          <w:szCs w:val="24"/>
        </w:rPr>
        <w:t xml:space="preserve"> inceleyiniz.)</w:t>
      </w:r>
    </w:p>
    <w:p w14:paraId="16BC37F3" w14:textId="7702CB56" w:rsidR="00B83A5B" w:rsidRPr="00F50C10" w:rsidRDefault="00B83A5B" w:rsidP="000B206D">
      <w:pPr>
        <w:spacing w:before="240" w:line="276" w:lineRule="auto"/>
        <w:rPr>
          <w:rFonts w:cs="Times New Roman"/>
          <w:szCs w:val="24"/>
          <w:lang w:val="tr-TR"/>
        </w:rPr>
      </w:pPr>
      <w:r w:rsidRPr="00F50C10">
        <w:rPr>
          <w:rFonts w:cs="Times New Roman"/>
          <w:b/>
          <w:bCs/>
          <w:szCs w:val="24"/>
          <w:lang w:val="tr-TR"/>
        </w:rPr>
        <w:t xml:space="preserve">MET </w:t>
      </w:r>
      <w:r w:rsidR="00805E08">
        <w:rPr>
          <w:rFonts w:cs="Times New Roman"/>
          <w:b/>
          <w:bCs/>
          <w:szCs w:val="24"/>
          <w:lang w:val="tr-TR"/>
        </w:rPr>
        <w:t>4</w:t>
      </w:r>
      <w:r w:rsidRPr="00F50C10">
        <w:rPr>
          <w:rFonts w:cs="Times New Roman"/>
          <w:b/>
          <w:bCs/>
          <w:szCs w:val="24"/>
          <w:lang w:val="tr-TR"/>
        </w:rPr>
        <w:t xml:space="preserve">: </w:t>
      </w:r>
      <w:r w:rsidRPr="00F50C10">
        <w:rPr>
          <w:rFonts w:cs="Times New Roman"/>
          <w:szCs w:val="24"/>
          <w:lang w:val="tr-TR"/>
        </w:rPr>
        <w:t>HCN ve NH</w:t>
      </w:r>
      <w:r w:rsidRPr="00F50C10">
        <w:rPr>
          <w:rFonts w:cs="Times New Roman"/>
          <w:szCs w:val="24"/>
          <w:vertAlign w:val="subscript"/>
          <w:lang w:val="tr-TR"/>
        </w:rPr>
        <w:t xml:space="preserve">3 </w:t>
      </w:r>
      <w:r w:rsidRPr="00F50C10">
        <w:rPr>
          <w:rFonts w:cs="Times New Roman"/>
          <w:szCs w:val="24"/>
          <w:lang w:val="tr-TR"/>
        </w:rPr>
        <w:t>emisyonlar</w:t>
      </w:r>
      <w:r w:rsidR="00797478" w:rsidRPr="00F50C10">
        <w:rPr>
          <w:rFonts w:cs="Times New Roman"/>
          <w:szCs w:val="24"/>
          <w:lang w:val="tr-TR"/>
        </w:rPr>
        <w:t>ı (örneğin, HCN’nin azaltımı için NaOH çözeltili bir alkali yıkayıcı ve NH</w:t>
      </w:r>
      <w:r w:rsidR="00797478" w:rsidRPr="00F50C10">
        <w:rPr>
          <w:rFonts w:cs="Times New Roman"/>
          <w:szCs w:val="24"/>
          <w:vertAlign w:val="subscript"/>
          <w:lang w:val="tr-TR"/>
        </w:rPr>
        <w:t>3</w:t>
      </w:r>
      <w:r w:rsidR="00797478" w:rsidRPr="00F50C10">
        <w:rPr>
          <w:rFonts w:cs="Times New Roman"/>
          <w:szCs w:val="24"/>
          <w:lang w:val="tr-TR"/>
        </w:rPr>
        <w:t>’ün azaltımı için H</w:t>
      </w:r>
      <w:r w:rsidR="00797478" w:rsidRPr="00F50C10">
        <w:rPr>
          <w:rFonts w:cs="Times New Roman"/>
          <w:szCs w:val="24"/>
          <w:vertAlign w:val="subscript"/>
          <w:lang w:val="tr-TR"/>
        </w:rPr>
        <w:t>2</w:t>
      </w:r>
      <w:r w:rsidR="00797478" w:rsidRPr="00F50C10">
        <w:rPr>
          <w:rFonts w:cs="Times New Roman"/>
          <w:szCs w:val="24"/>
          <w:lang w:val="tr-TR"/>
        </w:rPr>
        <w:t>SO</w:t>
      </w:r>
      <w:r w:rsidR="00797478" w:rsidRPr="00F50C10">
        <w:rPr>
          <w:rFonts w:cs="Times New Roman"/>
          <w:szCs w:val="24"/>
          <w:vertAlign w:val="subscript"/>
          <w:lang w:val="tr-TR"/>
        </w:rPr>
        <w:t>4</w:t>
      </w:r>
      <w:r w:rsidR="00797478" w:rsidRPr="00F50C10">
        <w:rPr>
          <w:rFonts w:cs="Times New Roman"/>
          <w:szCs w:val="24"/>
          <w:lang w:val="tr-TR"/>
        </w:rPr>
        <w:t xml:space="preserve"> çözeltili bir asidik yıkayıcı kullanarak)</w:t>
      </w:r>
      <w:r w:rsidRPr="00F50C10">
        <w:rPr>
          <w:rFonts w:cs="Times New Roman"/>
          <w:szCs w:val="24"/>
          <w:lang w:val="tr-TR"/>
        </w:rPr>
        <w:t xml:space="preserve"> en aza düşürül</w:t>
      </w:r>
      <w:r w:rsidR="00797478" w:rsidRPr="00F50C10">
        <w:rPr>
          <w:rFonts w:cs="Times New Roman"/>
          <w:szCs w:val="24"/>
          <w:lang w:val="tr-TR"/>
        </w:rPr>
        <w:t>ür</w:t>
      </w:r>
      <w:r w:rsidR="00797478" w:rsidRPr="00F50C10">
        <w:rPr>
          <w:rFonts w:cs="Times New Roman"/>
          <w:szCs w:val="24"/>
        </w:rPr>
        <w:t xml:space="preserve"> ve Tablo 2</w:t>
      </w:r>
      <w:r w:rsidRPr="00F50C10">
        <w:rPr>
          <w:rFonts w:cs="Times New Roman"/>
          <w:szCs w:val="24"/>
          <w:lang w:val="tr-TR"/>
        </w:rPr>
        <w:t>’de verilen emisyon seviyeleri elde edilir.</w:t>
      </w:r>
      <w:r w:rsidR="00144210" w:rsidRPr="00144210">
        <w:rPr>
          <w:rFonts w:cs="Times New Roman"/>
          <w:szCs w:val="24"/>
        </w:rPr>
        <w:t xml:space="preserve"> </w:t>
      </w:r>
      <w:r w:rsidR="00144210">
        <w:rPr>
          <w:rFonts w:cs="Times New Roman"/>
          <w:szCs w:val="24"/>
        </w:rPr>
        <w:t>(</w:t>
      </w:r>
      <w:r w:rsidR="00144210" w:rsidRPr="00BC3A2D">
        <w:rPr>
          <w:rFonts w:cs="Times New Roman"/>
          <w:szCs w:val="24"/>
        </w:rPr>
        <w:t xml:space="preserve">Detaylı bilgi için Özel İnorganik Kimyasalların Üretimi İçin MET Referans Belgesinin </w:t>
      </w:r>
      <w:r w:rsidR="00144210">
        <w:rPr>
          <w:rFonts w:cs="Times New Roman"/>
          <w:szCs w:val="24"/>
        </w:rPr>
        <w:t xml:space="preserve">6.5.4.4 </w:t>
      </w:r>
      <w:r w:rsidR="00144210" w:rsidRPr="00BC3A2D">
        <w:rPr>
          <w:rFonts w:cs="Times New Roman"/>
          <w:szCs w:val="24"/>
        </w:rPr>
        <w:t>kıs</w:t>
      </w:r>
      <w:r w:rsidR="00144210">
        <w:rPr>
          <w:rFonts w:cs="Times New Roman"/>
          <w:szCs w:val="24"/>
        </w:rPr>
        <w:t>mını</w:t>
      </w:r>
      <w:r w:rsidR="00144210" w:rsidRPr="00BC3A2D">
        <w:rPr>
          <w:rFonts w:cs="Times New Roman"/>
          <w:szCs w:val="24"/>
        </w:rPr>
        <w:t xml:space="preserve"> inceleyiniz.)</w:t>
      </w:r>
    </w:p>
    <w:p w14:paraId="4DBB1ED2" w14:textId="106355AC" w:rsidR="00B83A5B" w:rsidRPr="00F50C10" w:rsidRDefault="00B83A5B" w:rsidP="000B206D">
      <w:pPr>
        <w:spacing w:before="240" w:line="276" w:lineRule="auto"/>
        <w:rPr>
          <w:rFonts w:cs="Times New Roman"/>
          <w:b/>
          <w:bCs/>
          <w:szCs w:val="24"/>
          <w:lang w:val="tr-TR"/>
        </w:rPr>
      </w:pPr>
      <w:r w:rsidRPr="00F50C10">
        <w:rPr>
          <w:rFonts w:cs="Times New Roman"/>
          <w:b/>
          <w:bCs/>
          <w:szCs w:val="24"/>
          <w:lang w:val="tr-TR"/>
        </w:rPr>
        <w:t xml:space="preserve">MET </w:t>
      </w:r>
      <w:r w:rsidR="00805E08">
        <w:rPr>
          <w:rFonts w:cs="Times New Roman"/>
          <w:b/>
          <w:bCs/>
          <w:szCs w:val="24"/>
          <w:lang w:val="tr-TR"/>
        </w:rPr>
        <w:t>5</w:t>
      </w:r>
      <w:r w:rsidRPr="00F50C10">
        <w:rPr>
          <w:rFonts w:cs="Times New Roman"/>
          <w:b/>
          <w:bCs/>
          <w:szCs w:val="24"/>
          <w:lang w:val="tr-TR"/>
        </w:rPr>
        <w:t xml:space="preserve">: </w:t>
      </w:r>
      <w:r w:rsidRPr="00F50C10">
        <w:rPr>
          <w:rFonts w:cs="Times New Roman"/>
          <w:szCs w:val="24"/>
          <w:lang w:val="tr-TR"/>
        </w:rPr>
        <w:t>Aşağıdaki tekniklerin bir kombinasyonu kullan</w:t>
      </w:r>
      <w:r w:rsidR="00797478" w:rsidRPr="00F50C10">
        <w:rPr>
          <w:rFonts w:cs="Times New Roman"/>
          <w:szCs w:val="24"/>
          <w:lang w:val="tr-TR"/>
        </w:rPr>
        <w:t>ıl</w:t>
      </w:r>
      <w:r w:rsidRPr="00F50C10">
        <w:rPr>
          <w:rFonts w:cs="Times New Roman"/>
          <w:szCs w:val="24"/>
          <w:lang w:val="tr-TR"/>
        </w:rPr>
        <w:t>arak NO</w:t>
      </w:r>
      <w:r w:rsidRPr="00F50C10">
        <w:rPr>
          <w:rFonts w:cs="Times New Roman"/>
          <w:szCs w:val="24"/>
          <w:vertAlign w:val="subscript"/>
          <w:lang w:val="tr-TR"/>
        </w:rPr>
        <w:t xml:space="preserve">x </w:t>
      </w:r>
      <w:r w:rsidRPr="00F50C10">
        <w:rPr>
          <w:rFonts w:cs="Times New Roman"/>
          <w:szCs w:val="24"/>
          <w:lang w:val="tr-TR"/>
        </w:rPr>
        <w:t>emisyonları en aza düşürül</w:t>
      </w:r>
      <w:r w:rsidR="00797478" w:rsidRPr="00F50C10">
        <w:rPr>
          <w:rFonts w:cs="Times New Roman"/>
          <w:szCs w:val="24"/>
          <w:lang w:val="tr-TR"/>
        </w:rPr>
        <w:t>ü</w:t>
      </w:r>
      <w:r w:rsidRPr="00F50C10">
        <w:rPr>
          <w:rFonts w:cs="Times New Roman"/>
          <w:szCs w:val="24"/>
          <w:lang w:val="tr-TR"/>
        </w:rPr>
        <w:t>r:</w:t>
      </w:r>
      <w:r w:rsidR="00144210" w:rsidRPr="00144210">
        <w:rPr>
          <w:rFonts w:cs="Times New Roman"/>
          <w:szCs w:val="24"/>
        </w:rPr>
        <w:t xml:space="preserve"> </w:t>
      </w:r>
      <w:r w:rsidR="00144210">
        <w:rPr>
          <w:rFonts w:cs="Times New Roman"/>
          <w:szCs w:val="24"/>
        </w:rPr>
        <w:t>(</w:t>
      </w:r>
      <w:r w:rsidR="00144210" w:rsidRPr="00BC3A2D">
        <w:rPr>
          <w:rFonts w:cs="Times New Roman"/>
          <w:szCs w:val="24"/>
        </w:rPr>
        <w:t xml:space="preserve">Detaylı bilgi için Özel İnorganik Kimyasalların Üretimi İçin MET Referans Belgesinin </w:t>
      </w:r>
      <w:r w:rsidR="00144210">
        <w:rPr>
          <w:rFonts w:cs="Times New Roman"/>
          <w:szCs w:val="24"/>
        </w:rPr>
        <w:t xml:space="preserve">6.5.3.4 </w:t>
      </w:r>
      <w:r w:rsidR="00144210" w:rsidRPr="00BC3A2D">
        <w:rPr>
          <w:rFonts w:cs="Times New Roman"/>
          <w:szCs w:val="24"/>
        </w:rPr>
        <w:t>kıs</w:t>
      </w:r>
      <w:r w:rsidR="00144210">
        <w:rPr>
          <w:rFonts w:cs="Times New Roman"/>
          <w:szCs w:val="24"/>
        </w:rPr>
        <w:t>mını</w:t>
      </w:r>
      <w:r w:rsidR="00144210" w:rsidRPr="00BC3A2D">
        <w:rPr>
          <w:rFonts w:cs="Times New Roman"/>
          <w:szCs w:val="24"/>
        </w:rPr>
        <w:t xml:space="preserve"> inceleyiniz.)</w:t>
      </w:r>
    </w:p>
    <w:p w14:paraId="1E9A4B50" w14:textId="40AFE636" w:rsidR="00B83A5B" w:rsidRPr="00F50C10" w:rsidRDefault="00B83A5B" w:rsidP="00A654AE">
      <w:pPr>
        <w:pStyle w:val="ListeParagraf"/>
        <w:numPr>
          <w:ilvl w:val="0"/>
          <w:numId w:val="128"/>
        </w:numPr>
        <w:spacing w:before="240" w:line="276" w:lineRule="auto"/>
        <w:rPr>
          <w:rFonts w:cs="Times New Roman"/>
          <w:szCs w:val="24"/>
        </w:rPr>
      </w:pPr>
      <w:r w:rsidRPr="00F50C10">
        <w:rPr>
          <w:rFonts w:cs="Times New Roman"/>
          <w:szCs w:val="24"/>
          <w:lang w:val="tr-TR"/>
        </w:rPr>
        <w:t xml:space="preserve">brülör </w:t>
      </w:r>
      <w:r w:rsidR="00797478" w:rsidRPr="00F50C10">
        <w:rPr>
          <w:rFonts w:cs="Times New Roman"/>
          <w:szCs w:val="24"/>
          <w:lang w:val="tr-TR"/>
        </w:rPr>
        <w:t>yapısının</w:t>
      </w:r>
      <w:r w:rsidRPr="00F50C10">
        <w:rPr>
          <w:rFonts w:cs="Times New Roman"/>
          <w:szCs w:val="24"/>
          <w:lang w:val="tr-TR"/>
        </w:rPr>
        <w:t xml:space="preserve"> optimizasyonu,</w:t>
      </w:r>
    </w:p>
    <w:p w14:paraId="2047FA8E" w14:textId="77777777" w:rsidR="00B83A5B" w:rsidRPr="00F50C10" w:rsidRDefault="00B83A5B" w:rsidP="00A654AE">
      <w:pPr>
        <w:pStyle w:val="ListeParagraf"/>
        <w:numPr>
          <w:ilvl w:val="0"/>
          <w:numId w:val="128"/>
        </w:numPr>
        <w:spacing w:before="240" w:line="276" w:lineRule="auto"/>
        <w:rPr>
          <w:rFonts w:cs="Times New Roman"/>
          <w:szCs w:val="24"/>
        </w:rPr>
      </w:pPr>
      <w:r w:rsidRPr="00F50C10">
        <w:rPr>
          <w:rFonts w:cs="Times New Roman"/>
          <w:szCs w:val="24"/>
        </w:rPr>
        <w:t>proses gazlarındaki azot bileşiklerinin indirgenmesi,</w:t>
      </w:r>
    </w:p>
    <w:p w14:paraId="0463DFCC" w14:textId="77777777" w:rsidR="00B83A5B" w:rsidRPr="00F50C10" w:rsidRDefault="00B83A5B" w:rsidP="00A654AE">
      <w:pPr>
        <w:pStyle w:val="ListeParagraf"/>
        <w:numPr>
          <w:ilvl w:val="0"/>
          <w:numId w:val="128"/>
        </w:numPr>
        <w:spacing w:before="240" w:line="276" w:lineRule="auto"/>
        <w:rPr>
          <w:rFonts w:cs="Times New Roman"/>
          <w:szCs w:val="24"/>
        </w:rPr>
      </w:pPr>
      <w:r w:rsidRPr="00F50C10">
        <w:rPr>
          <w:rFonts w:cs="Times New Roman"/>
          <w:szCs w:val="24"/>
        </w:rPr>
        <w:t>UOB yoğunlukları yüksek olan gaz akışlarının UOB kontaminasyonu içermeyen gaz akışlarından ayrılması,</w:t>
      </w:r>
    </w:p>
    <w:p w14:paraId="068D5028" w14:textId="77777777" w:rsidR="00B83A5B" w:rsidRPr="00F50C10" w:rsidRDefault="00B83A5B" w:rsidP="00A654AE">
      <w:pPr>
        <w:pStyle w:val="ListeParagraf"/>
        <w:numPr>
          <w:ilvl w:val="0"/>
          <w:numId w:val="128"/>
        </w:numPr>
        <w:spacing w:before="240" w:line="276" w:lineRule="auto"/>
        <w:rPr>
          <w:rFonts w:cs="Times New Roman"/>
          <w:szCs w:val="24"/>
        </w:rPr>
      </w:pPr>
      <w:r w:rsidRPr="00F50C10">
        <w:rPr>
          <w:rFonts w:cs="Times New Roman"/>
          <w:szCs w:val="24"/>
        </w:rPr>
        <w:t>debinin düşürülmesi.</w:t>
      </w:r>
    </w:p>
    <w:p w14:paraId="7648C719" w14:textId="77777777" w:rsidR="00B83A5B" w:rsidRPr="00F50C10" w:rsidRDefault="00B83A5B" w:rsidP="00A654AE">
      <w:pPr>
        <w:pStyle w:val="Balk3"/>
        <w:numPr>
          <w:ilvl w:val="2"/>
          <w:numId w:val="137"/>
        </w:numPr>
        <w:spacing w:before="0" w:line="276" w:lineRule="auto"/>
        <w:rPr>
          <w:rFonts w:cs="Times New Roman"/>
        </w:rPr>
      </w:pPr>
      <w:bookmarkStart w:id="306" w:name="_Toc136866714"/>
      <w:r w:rsidRPr="00F50C10">
        <w:rPr>
          <w:rFonts w:cs="Times New Roman"/>
        </w:rPr>
        <w:t>Atık Su Yönetimi</w:t>
      </w:r>
      <w:bookmarkEnd w:id="306"/>
    </w:p>
    <w:p w14:paraId="610B0F9A" w14:textId="6E5BC954" w:rsidR="00B83A5B" w:rsidRPr="00F50C10" w:rsidRDefault="00B83A5B" w:rsidP="000B206D">
      <w:pPr>
        <w:spacing w:after="120" w:line="276" w:lineRule="auto"/>
        <w:rPr>
          <w:rFonts w:cs="Times New Roman"/>
          <w:szCs w:val="24"/>
          <w:lang w:val="nl-NL"/>
        </w:rPr>
      </w:pPr>
      <w:r w:rsidRPr="00F50C10">
        <w:rPr>
          <w:rFonts w:cs="Times New Roman"/>
          <w:b/>
          <w:bCs/>
          <w:szCs w:val="24"/>
          <w:lang w:val="nl-NL"/>
        </w:rPr>
        <w:t xml:space="preserve">MET </w:t>
      </w:r>
      <w:r w:rsidR="00805E08">
        <w:rPr>
          <w:rFonts w:cs="Times New Roman"/>
          <w:b/>
          <w:bCs/>
          <w:szCs w:val="24"/>
          <w:lang w:val="nl-NL"/>
        </w:rPr>
        <w:t>6</w:t>
      </w:r>
      <w:r w:rsidRPr="00F50C10">
        <w:rPr>
          <w:rFonts w:cs="Times New Roman"/>
          <w:b/>
          <w:bCs/>
          <w:szCs w:val="24"/>
          <w:lang w:val="nl-NL"/>
        </w:rPr>
        <w:t xml:space="preserve">: </w:t>
      </w:r>
      <w:r w:rsidR="00797478" w:rsidRPr="00F50C10">
        <w:rPr>
          <w:rFonts w:cs="Times New Roman"/>
          <w:szCs w:val="24"/>
          <w:lang w:val="nl-NL"/>
        </w:rPr>
        <w:t>Tablo 3’te v</w:t>
      </w:r>
      <w:r w:rsidRPr="00F50C10">
        <w:rPr>
          <w:rFonts w:cs="Times New Roman"/>
          <w:szCs w:val="24"/>
          <w:lang w:val="nl-NL"/>
        </w:rPr>
        <w:t>erilen deşarj seviyelerinin elde edilir.</w:t>
      </w:r>
      <w:r w:rsidR="00144210" w:rsidRPr="00144210">
        <w:rPr>
          <w:rFonts w:cs="Times New Roman"/>
          <w:szCs w:val="24"/>
        </w:rPr>
        <w:t xml:space="preserve"> </w:t>
      </w:r>
      <w:r w:rsidR="00144210">
        <w:rPr>
          <w:rFonts w:cs="Times New Roman"/>
          <w:szCs w:val="24"/>
        </w:rPr>
        <w:t>(</w:t>
      </w:r>
      <w:r w:rsidR="00144210" w:rsidRPr="00BC3A2D">
        <w:rPr>
          <w:rFonts w:cs="Times New Roman"/>
          <w:szCs w:val="24"/>
        </w:rPr>
        <w:t xml:space="preserve">Detaylı bilgi için Özel İnorganik Kimyasalların Üretimi İçin MET Referans Belgesinin </w:t>
      </w:r>
      <w:r w:rsidR="00144210">
        <w:rPr>
          <w:rFonts w:cs="Times New Roman"/>
          <w:szCs w:val="24"/>
        </w:rPr>
        <w:t xml:space="preserve">6.5.3.5 </w:t>
      </w:r>
      <w:r w:rsidR="00144210" w:rsidRPr="00BC3A2D">
        <w:rPr>
          <w:rFonts w:cs="Times New Roman"/>
          <w:szCs w:val="24"/>
        </w:rPr>
        <w:t>kıs</w:t>
      </w:r>
      <w:r w:rsidR="00144210">
        <w:rPr>
          <w:rFonts w:cs="Times New Roman"/>
          <w:szCs w:val="24"/>
        </w:rPr>
        <w:t>mını</w:t>
      </w:r>
      <w:r w:rsidR="00144210" w:rsidRPr="00BC3A2D">
        <w:rPr>
          <w:rFonts w:cs="Times New Roman"/>
          <w:szCs w:val="24"/>
        </w:rPr>
        <w:t xml:space="preserve"> inceleyiniz.)</w:t>
      </w:r>
    </w:p>
    <w:p w14:paraId="5D1BA32B" w14:textId="601C5FE3" w:rsidR="00B83A5B" w:rsidRPr="00F50C10" w:rsidRDefault="00797478" w:rsidP="000B206D">
      <w:pPr>
        <w:pStyle w:val="ResimYazs"/>
        <w:spacing w:after="120" w:line="276" w:lineRule="auto"/>
        <w:rPr>
          <w:rFonts w:cs="Times New Roman"/>
          <w:szCs w:val="24"/>
          <w:lang w:val="nl-NL"/>
        </w:rPr>
      </w:pPr>
      <w:r w:rsidRPr="00F50C10">
        <w:rPr>
          <w:rFonts w:cs="Times New Roman"/>
          <w:szCs w:val="24"/>
          <w:lang w:val="nl-NL"/>
        </w:rPr>
        <w:t xml:space="preserve">Tablo 3. </w:t>
      </w:r>
      <w:r w:rsidR="00B83A5B" w:rsidRPr="00F50C10">
        <w:rPr>
          <w:rFonts w:cs="Times New Roman"/>
          <w:szCs w:val="24"/>
          <w:lang w:val="nl-NL"/>
        </w:rPr>
        <w:t>Siyanürlerin üretiminde MET ile ilişkili olarak atık su arıtma tesisinin girişinde suya yapılan deşarj seviyeleri (MET-İES’ler)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4"/>
        <w:gridCol w:w="6266"/>
      </w:tblGrid>
      <w:tr w:rsidR="00B83A5B" w:rsidRPr="00F50C10" w14:paraId="7A863AD9" w14:textId="77777777" w:rsidTr="008F1C36">
        <w:trPr>
          <w:trHeight w:val="230"/>
        </w:trPr>
        <w:tc>
          <w:tcPr>
            <w:tcW w:w="1635" w:type="pct"/>
            <w:vMerge w:val="restart"/>
            <w:vAlign w:val="center"/>
          </w:tcPr>
          <w:p w14:paraId="084F8935" w14:textId="77777777" w:rsidR="00B83A5B" w:rsidRPr="00F50C10" w:rsidRDefault="00B83A5B" w:rsidP="000B206D">
            <w:pPr>
              <w:pStyle w:val="TableParagraph"/>
              <w:spacing w:line="276" w:lineRule="auto"/>
              <w:ind w:left="74" w:right="74"/>
              <w:jc w:val="center"/>
              <w:rPr>
                <w:b/>
                <w:szCs w:val="24"/>
              </w:rPr>
            </w:pPr>
            <w:r w:rsidRPr="00F50C10">
              <w:rPr>
                <w:b/>
                <w:bCs/>
                <w:szCs w:val="24"/>
              </w:rPr>
              <w:t>Kirletici</w:t>
            </w:r>
          </w:p>
        </w:tc>
        <w:tc>
          <w:tcPr>
            <w:tcW w:w="3365" w:type="pct"/>
          </w:tcPr>
          <w:p w14:paraId="6E4F7D49" w14:textId="77777777" w:rsidR="00B83A5B" w:rsidRPr="00F50C10" w:rsidRDefault="00B83A5B" w:rsidP="000B206D">
            <w:pPr>
              <w:pStyle w:val="TableParagraph"/>
              <w:spacing w:line="276" w:lineRule="auto"/>
              <w:ind w:left="74" w:right="74"/>
              <w:jc w:val="center"/>
              <w:rPr>
                <w:b/>
                <w:szCs w:val="24"/>
              </w:rPr>
            </w:pPr>
            <w:r w:rsidRPr="00F50C10">
              <w:rPr>
                <w:b/>
                <w:bCs/>
                <w:szCs w:val="24"/>
              </w:rPr>
              <w:t>Atık su arıtma tesisine giden emisyonlar</w:t>
            </w:r>
          </w:p>
        </w:tc>
      </w:tr>
      <w:tr w:rsidR="00B83A5B" w:rsidRPr="00F50C10" w14:paraId="6FD8BA6F" w14:textId="77777777" w:rsidTr="008F1C36">
        <w:trPr>
          <w:trHeight w:val="230"/>
        </w:trPr>
        <w:tc>
          <w:tcPr>
            <w:tcW w:w="1635" w:type="pct"/>
            <w:vMerge/>
            <w:tcBorders>
              <w:top w:val="nil"/>
            </w:tcBorders>
          </w:tcPr>
          <w:p w14:paraId="0A8C953D" w14:textId="77777777" w:rsidR="00B83A5B" w:rsidRPr="00F50C10" w:rsidRDefault="00B83A5B" w:rsidP="000B206D">
            <w:pPr>
              <w:spacing w:line="276" w:lineRule="auto"/>
              <w:ind w:left="74" w:right="74"/>
              <w:rPr>
                <w:rFonts w:cs="Times New Roman"/>
                <w:szCs w:val="24"/>
                <w:lang w:val="tr-TR"/>
              </w:rPr>
            </w:pPr>
          </w:p>
        </w:tc>
        <w:tc>
          <w:tcPr>
            <w:tcW w:w="3365" w:type="pct"/>
          </w:tcPr>
          <w:p w14:paraId="4E46091F" w14:textId="77777777" w:rsidR="00B83A5B" w:rsidRPr="00F50C10" w:rsidRDefault="00B83A5B" w:rsidP="000B206D">
            <w:pPr>
              <w:pStyle w:val="TableParagraph"/>
              <w:spacing w:line="276" w:lineRule="auto"/>
              <w:ind w:left="74" w:right="74"/>
              <w:jc w:val="center"/>
              <w:rPr>
                <w:szCs w:val="24"/>
              </w:rPr>
            </w:pPr>
            <w:r w:rsidRPr="00F50C10">
              <w:rPr>
                <w:szCs w:val="24"/>
              </w:rPr>
              <w:t>%100 NaCN veya KCN’de g/t</w:t>
            </w:r>
          </w:p>
        </w:tc>
      </w:tr>
      <w:tr w:rsidR="00B83A5B" w:rsidRPr="00F50C10" w14:paraId="0E99D5D3" w14:textId="77777777" w:rsidTr="008F1C36">
        <w:trPr>
          <w:trHeight w:val="230"/>
        </w:trPr>
        <w:tc>
          <w:tcPr>
            <w:tcW w:w="1635" w:type="pct"/>
          </w:tcPr>
          <w:p w14:paraId="68751BCC" w14:textId="77777777" w:rsidR="00B83A5B" w:rsidRPr="00F50C10" w:rsidRDefault="00B83A5B" w:rsidP="000B206D">
            <w:pPr>
              <w:pStyle w:val="TableParagraph"/>
              <w:spacing w:line="276" w:lineRule="auto"/>
              <w:ind w:left="74" w:right="74"/>
              <w:jc w:val="both"/>
              <w:rPr>
                <w:szCs w:val="24"/>
              </w:rPr>
            </w:pPr>
            <w:r w:rsidRPr="00F50C10">
              <w:rPr>
                <w:szCs w:val="24"/>
              </w:rPr>
              <w:t xml:space="preserve">NH </w:t>
            </w:r>
            <w:r w:rsidRPr="00F50C10">
              <w:rPr>
                <w:szCs w:val="24"/>
                <w:vertAlign w:val="superscript"/>
              </w:rPr>
              <w:t>(+)</w:t>
            </w:r>
            <w:r w:rsidRPr="00F50C10">
              <w:rPr>
                <w:szCs w:val="24"/>
              </w:rPr>
              <w:t>-N</w:t>
            </w:r>
            <w:r w:rsidRPr="00F50C10">
              <w:rPr>
                <w:szCs w:val="24"/>
                <w:vertAlign w:val="subscript"/>
              </w:rPr>
              <w:t>4</w:t>
            </w:r>
          </w:p>
        </w:tc>
        <w:tc>
          <w:tcPr>
            <w:tcW w:w="3365" w:type="pct"/>
          </w:tcPr>
          <w:p w14:paraId="6FB85B77" w14:textId="77777777" w:rsidR="00B83A5B" w:rsidRPr="00F50C10" w:rsidRDefault="00B83A5B" w:rsidP="000B206D">
            <w:pPr>
              <w:pStyle w:val="TableParagraph"/>
              <w:spacing w:line="276" w:lineRule="auto"/>
              <w:ind w:left="74" w:right="74"/>
              <w:jc w:val="center"/>
              <w:rPr>
                <w:szCs w:val="24"/>
              </w:rPr>
            </w:pPr>
            <w:r w:rsidRPr="00F50C10">
              <w:rPr>
                <w:szCs w:val="24"/>
              </w:rPr>
              <w:t>400 – 2000</w:t>
            </w:r>
          </w:p>
        </w:tc>
      </w:tr>
      <w:tr w:rsidR="00B83A5B" w:rsidRPr="00F50C10" w14:paraId="5201523A" w14:textId="77777777" w:rsidTr="008F1C36">
        <w:trPr>
          <w:trHeight w:val="230"/>
        </w:trPr>
        <w:tc>
          <w:tcPr>
            <w:tcW w:w="1635" w:type="pct"/>
          </w:tcPr>
          <w:p w14:paraId="3EACC137" w14:textId="77777777" w:rsidR="00B83A5B" w:rsidRPr="00F50C10" w:rsidRDefault="00B83A5B" w:rsidP="000B206D">
            <w:pPr>
              <w:pStyle w:val="TableParagraph"/>
              <w:spacing w:line="276" w:lineRule="auto"/>
              <w:ind w:left="74" w:right="74"/>
              <w:jc w:val="both"/>
              <w:rPr>
                <w:szCs w:val="24"/>
              </w:rPr>
            </w:pPr>
            <w:r w:rsidRPr="00F50C10">
              <w:rPr>
                <w:szCs w:val="24"/>
              </w:rPr>
              <w:t>KOİ</w:t>
            </w:r>
          </w:p>
        </w:tc>
        <w:tc>
          <w:tcPr>
            <w:tcW w:w="3365" w:type="pct"/>
          </w:tcPr>
          <w:p w14:paraId="047D325A" w14:textId="77777777" w:rsidR="00B83A5B" w:rsidRPr="00F50C10" w:rsidRDefault="00B83A5B" w:rsidP="000B206D">
            <w:pPr>
              <w:pStyle w:val="TableParagraph"/>
              <w:spacing w:line="276" w:lineRule="auto"/>
              <w:ind w:left="74" w:right="74"/>
              <w:jc w:val="center"/>
              <w:rPr>
                <w:szCs w:val="24"/>
              </w:rPr>
            </w:pPr>
            <w:r w:rsidRPr="00F50C10">
              <w:rPr>
                <w:szCs w:val="24"/>
              </w:rPr>
              <w:t>800 – 4000</w:t>
            </w:r>
          </w:p>
        </w:tc>
      </w:tr>
      <w:tr w:rsidR="00B83A5B" w:rsidRPr="00F50C10" w14:paraId="035128F8" w14:textId="77777777" w:rsidTr="008F1C36">
        <w:trPr>
          <w:trHeight w:val="227"/>
        </w:trPr>
        <w:tc>
          <w:tcPr>
            <w:tcW w:w="1635" w:type="pct"/>
          </w:tcPr>
          <w:p w14:paraId="17BC695E" w14:textId="77777777" w:rsidR="00B83A5B" w:rsidRPr="00F50C10" w:rsidRDefault="00B83A5B" w:rsidP="000B206D">
            <w:pPr>
              <w:pStyle w:val="TableParagraph"/>
              <w:spacing w:line="276" w:lineRule="auto"/>
              <w:ind w:left="74" w:right="74"/>
              <w:jc w:val="both"/>
              <w:rPr>
                <w:szCs w:val="24"/>
              </w:rPr>
            </w:pPr>
            <w:r w:rsidRPr="00F50C10">
              <w:rPr>
                <w:szCs w:val="24"/>
              </w:rPr>
              <w:t>CN</w:t>
            </w:r>
            <w:r w:rsidRPr="00F50C10">
              <w:rPr>
                <w:szCs w:val="24"/>
                <w:vertAlign w:val="superscript"/>
              </w:rPr>
              <w:t>-</w:t>
            </w:r>
          </w:p>
        </w:tc>
        <w:tc>
          <w:tcPr>
            <w:tcW w:w="3365" w:type="pct"/>
          </w:tcPr>
          <w:p w14:paraId="3222FD03" w14:textId="77777777" w:rsidR="00B83A5B" w:rsidRPr="00F50C10" w:rsidRDefault="00B83A5B" w:rsidP="000B206D">
            <w:pPr>
              <w:pStyle w:val="TableParagraph"/>
              <w:spacing w:line="276" w:lineRule="auto"/>
              <w:ind w:left="74" w:right="74"/>
              <w:jc w:val="center"/>
              <w:rPr>
                <w:szCs w:val="24"/>
              </w:rPr>
            </w:pPr>
            <w:r w:rsidRPr="00F50C10">
              <w:rPr>
                <w:szCs w:val="24"/>
              </w:rPr>
              <w:t>0,4 – 6</w:t>
            </w:r>
          </w:p>
        </w:tc>
      </w:tr>
      <w:tr w:rsidR="00B83A5B" w:rsidRPr="00F50C10" w14:paraId="397D1D2C" w14:textId="77777777" w:rsidTr="008F1C36">
        <w:trPr>
          <w:trHeight w:val="232"/>
        </w:trPr>
        <w:tc>
          <w:tcPr>
            <w:tcW w:w="1635" w:type="pct"/>
          </w:tcPr>
          <w:p w14:paraId="5B9D7381" w14:textId="77777777" w:rsidR="00B83A5B" w:rsidRPr="00F50C10" w:rsidRDefault="00B83A5B" w:rsidP="000B206D">
            <w:pPr>
              <w:pStyle w:val="TableParagraph"/>
              <w:spacing w:line="276" w:lineRule="auto"/>
              <w:ind w:left="74" w:right="74"/>
              <w:jc w:val="both"/>
              <w:rPr>
                <w:szCs w:val="24"/>
              </w:rPr>
            </w:pPr>
            <w:r w:rsidRPr="00F50C10">
              <w:rPr>
                <w:szCs w:val="24"/>
              </w:rPr>
              <w:t>TOK</w:t>
            </w:r>
          </w:p>
        </w:tc>
        <w:tc>
          <w:tcPr>
            <w:tcW w:w="3365" w:type="pct"/>
          </w:tcPr>
          <w:p w14:paraId="42650BA9" w14:textId="77777777" w:rsidR="00B83A5B" w:rsidRPr="00F50C10" w:rsidRDefault="00B83A5B" w:rsidP="000B206D">
            <w:pPr>
              <w:pStyle w:val="TableParagraph"/>
              <w:spacing w:line="276" w:lineRule="auto"/>
              <w:ind w:left="74" w:right="74"/>
              <w:jc w:val="center"/>
              <w:rPr>
                <w:szCs w:val="24"/>
              </w:rPr>
            </w:pPr>
            <w:r w:rsidRPr="00F50C10">
              <w:rPr>
                <w:szCs w:val="24"/>
              </w:rPr>
              <w:t>300 – 1500</w:t>
            </w:r>
          </w:p>
        </w:tc>
      </w:tr>
    </w:tbl>
    <w:p w14:paraId="0FD50577" w14:textId="65AD9A7A" w:rsidR="00B83A5B" w:rsidRPr="00F50C10" w:rsidRDefault="00B83A5B" w:rsidP="000B206D">
      <w:pPr>
        <w:spacing w:after="120" w:line="276" w:lineRule="auto"/>
        <w:rPr>
          <w:rFonts w:cs="Times New Roman"/>
          <w:b/>
          <w:bCs/>
          <w:szCs w:val="24"/>
          <w:lang w:val="nl-NL"/>
        </w:rPr>
      </w:pPr>
      <w:r w:rsidRPr="00F50C10">
        <w:rPr>
          <w:rFonts w:cs="Times New Roman"/>
          <w:b/>
          <w:bCs/>
          <w:szCs w:val="24"/>
          <w:lang w:val="nl-NL"/>
        </w:rPr>
        <w:t xml:space="preserve">MET </w:t>
      </w:r>
      <w:r w:rsidR="00805E08">
        <w:rPr>
          <w:rFonts w:cs="Times New Roman"/>
          <w:b/>
          <w:bCs/>
          <w:szCs w:val="24"/>
          <w:lang w:val="nl-NL"/>
        </w:rPr>
        <w:t>7</w:t>
      </w:r>
      <w:r w:rsidRPr="00F50C10">
        <w:rPr>
          <w:rFonts w:cs="Times New Roman"/>
          <w:b/>
          <w:bCs/>
          <w:szCs w:val="24"/>
          <w:lang w:val="nl-NL"/>
        </w:rPr>
        <w:t xml:space="preserve">: </w:t>
      </w:r>
      <w:r w:rsidRPr="00F50C10">
        <w:rPr>
          <w:rFonts w:cs="Times New Roman"/>
          <w:szCs w:val="24"/>
          <w:lang w:val="nl-NL"/>
        </w:rPr>
        <w:t>Siyanürleri oksitleyen tekniklerden yararlanarak (örneğin H</w:t>
      </w:r>
      <w:r w:rsidRPr="00F50C10">
        <w:rPr>
          <w:rFonts w:cs="Times New Roman"/>
          <w:szCs w:val="24"/>
          <w:vertAlign w:val="subscript"/>
          <w:lang w:val="nl-NL"/>
        </w:rPr>
        <w:t>2</w:t>
      </w:r>
      <w:r w:rsidRPr="00F50C10">
        <w:rPr>
          <w:rFonts w:cs="Times New Roman"/>
          <w:szCs w:val="24"/>
          <w:lang w:val="nl-NL"/>
        </w:rPr>
        <w:t>O</w:t>
      </w:r>
      <w:r w:rsidRPr="00F50C10">
        <w:rPr>
          <w:rFonts w:cs="Times New Roman"/>
          <w:szCs w:val="24"/>
          <w:vertAlign w:val="subscript"/>
          <w:lang w:val="nl-NL"/>
        </w:rPr>
        <w:t>2</w:t>
      </w:r>
      <w:r w:rsidRPr="00F50C10">
        <w:rPr>
          <w:rFonts w:cs="Times New Roman"/>
          <w:szCs w:val="24"/>
          <w:lang w:val="nl-NL"/>
        </w:rPr>
        <w:t xml:space="preserve"> gibi peroksitleri kullanarak</w:t>
      </w:r>
      <w:r w:rsidR="00144210">
        <w:rPr>
          <w:rFonts w:cs="Times New Roman"/>
          <w:szCs w:val="24"/>
          <w:lang w:val="nl-NL"/>
        </w:rPr>
        <w:t>,</w:t>
      </w:r>
      <w:r w:rsidR="00144210" w:rsidRPr="00144210">
        <w:rPr>
          <w:rFonts w:cs="Times New Roman"/>
          <w:szCs w:val="24"/>
        </w:rPr>
        <w:t xml:space="preserve"> </w:t>
      </w:r>
      <w:r w:rsidR="00144210">
        <w:rPr>
          <w:rFonts w:cs="Times New Roman"/>
          <w:szCs w:val="24"/>
        </w:rPr>
        <w:t>(</w:t>
      </w:r>
      <w:r w:rsidR="00144210" w:rsidRPr="00BC3A2D">
        <w:rPr>
          <w:rFonts w:cs="Times New Roman"/>
          <w:szCs w:val="24"/>
        </w:rPr>
        <w:t xml:space="preserve">Detaylı bilgi için Özel İnorganik Kimyasalların Üretimi İçin MET Referans Belgesinin </w:t>
      </w:r>
      <w:r w:rsidR="00144210">
        <w:rPr>
          <w:rFonts w:cs="Times New Roman"/>
          <w:szCs w:val="24"/>
        </w:rPr>
        <w:t xml:space="preserve">6.5.4.1 </w:t>
      </w:r>
      <w:r w:rsidR="00144210" w:rsidRPr="00BC3A2D">
        <w:rPr>
          <w:rFonts w:cs="Times New Roman"/>
          <w:szCs w:val="24"/>
        </w:rPr>
        <w:t>kıs</w:t>
      </w:r>
      <w:r w:rsidR="00144210">
        <w:rPr>
          <w:rFonts w:cs="Times New Roman"/>
          <w:szCs w:val="24"/>
        </w:rPr>
        <w:t>mını</w:t>
      </w:r>
      <w:r w:rsidR="00144210" w:rsidRPr="00BC3A2D">
        <w:rPr>
          <w:rFonts w:cs="Times New Roman"/>
          <w:szCs w:val="24"/>
        </w:rPr>
        <w:t xml:space="preserve"> inceleyiniz.)</w:t>
      </w:r>
      <w:r w:rsidRPr="00F50C10">
        <w:rPr>
          <w:rFonts w:cs="Times New Roman"/>
          <w:szCs w:val="24"/>
          <w:lang w:val="nl-NL"/>
        </w:rPr>
        <w:t>), suya salınan siyanür emisyonları en aza düşürül</w:t>
      </w:r>
      <w:r w:rsidR="00797478" w:rsidRPr="00F50C10">
        <w:rPr>
          <w:rFonts w:cs="Times New Roman"/>
          <w:szCs w:val="24"/>
          <w:lang w:val="nl-NL"/>
        </w:rPr>
        <w:t>ü</w:t>
      </w:r>
      <w:r w:rsidRPr="00F50C10">
        <w:rPr>
          <w:rFonts w:cs="Times New Roman"/>
          <w:szCs w:val="24"/>
          <w:lang w:val="nl-NL"/>
        </w:rPr>
        <w:t>r. Siyanürlü atık su akışında organik madde bulunmayan ve oksidasyon tepkimesinin ardından atık suda serbest hipoklorit kalmadığı durumlarda, hipoklorit kullanımı da MET</w:t>
      </w:r>
      <w:r w:rsidR="00797478" w:rsidRPr="00F50C10">
        <w:rPr>
          <w:rFonts w:cs="Times New Roman"/>
          <w:szCs w:val="24"/>
          <w:lang w:val="nl-NL"/>
        </w:rPr>
        <w:t xml:space="preserve"> kabul edilir</w:t>
      </w:r>
      <w:r w:rsidRPr="00F50C10">
        <w:rPr>
          <w:rFonts w:cs="Times New Roman"/>
          <w:szCs w:val="24"/>
          <w:lang w:val="nl-NL"/>
        </w:rPr>
        <w:t>.</w:t>
      </w:r>
    </w:p>
    <w:p w14:paraId="7A3F6FF5" w14:textId="27B81C71" w:rsidR="00B83A5B" w:rsidRPr="00F50C10" w:rsidRDefault="00B83A5B" w:rsidP="000B206D">
      <w:pPr>
        <w:spacing w:after="120" w:line="276" w:lineRule="auto"/>
        <w:rPr>
          <w:rFonts w:cs="Times New Roman"/>
          <w:b/>
          <w:bCs/>
          <w:szCs w:val="24"/>
          <w:lang w:val="nl-NL"/>
        </w:rPr>
      </w:pPr>
      <w:r w:rsidRPr="00F50C10">
        <w:rPr>
          <w:rFonts w:cs="Times New Roman"/>
          <w:b/>
          <w:bCs/>
          <w:szCs w:val="24"/>
          <w:lang w:val="nl-NL"/>
        </w:rPr>
        <w:t xml:space="preserve">MET </w:t>
      </w:r>
      <w:r w:rsidR="00805E08">
        <w:rPr>
          <w:rFonts w:cs="Times New Roman"/>
          <w:b/>
          <w:bCs/>
          <w:szCs w:val="24"/>
          <w:lang w:val="nl-NL"/>
        </w:rPr>
        <w:t>8</w:t>
      </w:r>
      <w:r w:rsidRPr="00F50C10">
        <w:rPr>
          <w:rFonts w:cs="Times New Roman"/>
          <w:b/>
          <w:bCs/>
          <w:szCs w:val="24"/>
          <w:lang w:val="nl-NL"/>
        </w:rPr>
        <w:t xml:space="preserve">: </w:t>
      </w:r>
      <w:r w:rsidRPr="00F50C10">
        <w:rPr>
          <w:rFonts w:cs="Times New Roman"/>
          <w:szCs w:val="24"/>
          <w:lang w:val="nl-NL"/>
        </w:rPr>
        <w:t xml:space="preserve">Teknik olarak mümkün olması durumunda, hammaddeleri ikame etmek için siyanür içeren sulu atıkları yeniden </w:t>
      </w:r>
      <w:r w:rsidR="007D5D53" w:rsidRPr="00F50C10">
        <w:rPr>
          <w:rFonts w:cs="Times New Roman"/>
          <w:szCs w:val="24"/>
          <w:lang w:val="nl-NL"/>
        </w:rPr>
        <w:t>işleyerek</w:t>
      </w:r>
      <w:r w:rsidRPr="00F50C10">
        <w:rPr>
          <w:rFonts w:cs="Times New Roman"/>
          <w:szCs w:val="24"/>
          <w:lang w:val="nl-NL"/>
        </w:rPr>
        <w:t xml:space="preserve"> hammadde tüketimi en aza indirilir.</w:t>
      </w:r>
      <w:r w:rsidR="00144210" w:rsidRPr="00144210">
        <w:rPr>
          <w:rFonts w:cs="Times New Roman"/>
          <w:szCs w:val="24"/>
        </w:rPr>
        <w:t xml:space="preserve"> </w:t>
      </w:r>
      <w:r w:rsidR="00144210">
        <w:rPr>
          <w:rFonts w:cs="Times New Roman"/>
          <w:szCs w:val="24"/>
        </w:rPr>
        <w:t>(</w:t>
      </w:r>
      <w:r w:rsidR="00144210" w:rsidRPr="00BC3A2D">
        <w:rPr>
          <w:rFonts w:cs="Times New Roman"/>
          <w:szCs w:val="24"/>
        </w:rPr>
        <w:t xml:space="preserve">Detaylı bilgi için Özel İnorganik Kimyasalların Üretimi İçin MET Referans Belgesinin </w:t>
      </w:r>
      <w:r w:rsidR="00144210">
        <w:rPr>
          <w:rFonts w:cs="Times New Roman"/>
          <w:szCs w:val="24"/>
        </w:rPr>
        <w:t xml:space="preserve">6.5.4.1 </w:t>
      </w:r>
      <w:r w:rsidR="00144210" w:rsidRPr="00BC3A2D">
        <w:rPr>
          <w:rFonts w:cs="Times New Roman"/>
          <w:szCs w:val="24"/>
        </w:rPr>
        <w:t>kıs</w:t>
      </w:r>
      <w:r w:rsidR="00144210">
        <w:rPr>
          <w:rFonts w:cs="Times New Roman"/>
          <w:szCs w:val="24"/>
        </w:rPr>
        <w:t>mını</w:t>
      </w:r>
      <w:r w:rsidR="00144210" w:rsidRPr="00BC3A2D">
        <w:rPr>
          <w:rFonts w:cs="Times New Roman"/>
          <w:szCs w:val="24"/>
        </w:rPr>
        <w:t xml:space="preserve"> inceleyiniz.)</w:t>
      </w:r>
    </w:p>
    <w:p w14:paraId="6EB70003" w14:textId="77777777" w:rsidR="00B83A5B" w:rsidRPr="00F50C10" w:rsidRDefault="00B83A5B" w:rsidP="00A654AE">
      <w:pPr>
        <w:pStyle w:val="Balk3"/>
        <w:numPr>
          <w:ilvl w:val="2"/>
          <w:numId w:val="137"/>
        </w:numPr>
        <w:spacing w:before="0" w:line="276" w:lineRule="auto"/>
        <w:rPr>
          <w:rFonts w:cs="Times New Roman"/>
          <w:lang w:val="nl-NL"/>
        </w:rPr>
      </w:pPr>
      <w:bookmarkStart w:id="307" w:name="_Toc136866715"/>
      <w:r w:rsidRPr="00F50C10">
        <w:rPr>
          <w:rFonts w:cs="Times New Roman"/>
          <w:lang w:val="nl-NL"/>
        </w:rPr>
        <w:t>Toprak Kirliliğinin Önlenmesi</w:t>
      </w:r>
      <w:bookmarkEnd w:id="307"/>
    </w:p>
    <w:p w14:paraId="7D887696" w14:textId="20B25E97" w:rsidR="00B83A5B" w:rsidRPr="00F50C10" w:rsidRDefault="00B83A5B" w:rsidP="000B206D">
      <w:pPr>
        <w:spacing w:after="120" w:line="276" w:lineRule="auto"/>
        <w:rPr>
          <w:rFonts w:cs="Times New Roman"/>
          <w:b/>
          <w:bCs/>
          <w:szCs w:val="24"/>
          <w:lang w:val="nl-NL"/>
        </w:rPr>
      </w:pPr>
      <w:r w:rsidRPr="00F50C10">
        <w:rPr>
          <w:rFonts w:cs="Times New Roman"/>
          <w:b/>
          <w:bCs/>
          <w:szCs w:val="24"/>
          <w:lang w:val="nl-NL"/>
        </w:rPr>
        <w:t xml:space="preserve">MET </w:t>
      </w:r>
      <w:r w:rsidR="00805E08">
        <w:rPr>
          <w:rFonts w:cs="Times New Roman"/>
          <w:b/>
          <w:bCs/>
          <w:szCs w:val="24"/>
          <w:lang w:val="nl-NL"/>
        </w:rPr>
        <w:t>9</w:t>
      </w:r>
      <w:r w:rsidRPr="00F50C10">
        <w:rPr>
          <w:rFonts w:cs="Times New Roman"/>
          <w:b/>
          <w:bCs/>
          <w:szCs w:val="24"/>
          <w:lang w:val="nl-NL"/>
        </w:rPr>
        <w:t xml:space="preserve">: </w:t>
      </w:r>
      <w:r w:rsidRPr="00F50C10">
        <w:rPr>
          <w:rFonts w:cs="Times New Roman"/>
          <w:szCs w:val="24"/>
          <w:lang w:val="nl-NL"/>
        </w:rPr>
        <w:t>Siyanürlerin üretiminde toprağın korunması sağlanı</w:t>
      </w:r>
      <w:r w:rsidR="007D5D53" w:rsidRPr="00F50C10">
        <w:rPr>
          <w:rFonts w:cs="Times New Roman"/>
          <w:szCs w:val="24"/>
          <w:lang w:val="nl-NL"/>
        </w:rPr>
        <w:t>r</w:t>
      </w:r>
      <w:r w:rsidRPr="00F50C10">
        <w:rPr>
          <w:rFonts w:cs="Times New Roman"/>
          <w:szCs w:val="24"/>
          <w:lang w:val="nl-NL"/>
        </w:rPr>
        <w:t xml:space="preserve"> ve tamamen kapalı sistemler kullanılır</w:t>
      </w:r>
      <w:r w:rsidRPr="00F50C10">
        <w:rPr>
          <w:rFonts w:cs="Times New Roman"/>
          <w:szCs w:val="24"/>
          <w:lang w:val="tr-TR"/>
        </w:rPr>
        <w:t>.</w:t>
      </w:r>
      <w:r w:rsidR="00144210" w:rsidRPr="00144210">
        <w:rPr>
          <w:rFonts w:cs="Times New Roman"/>
          <w:szCs w:val="24"/>
        </w:rPr>
        <w:t xml:space="preserve"> </w:t>
      </w:r>
      <w:r w:rsidR="00144210">
        <w:rPr>
          <w:rFonts w:cs="Times New Roman"/>
          <w:szCs w:val="24"/>
        </w:rPr>
        <w:t>(</w:t>
      </w:r>
      <w:r w:rsidR="00144210" w:rsidRPr="00BC3A2D">
        <w:rPr>
          <w:rFonts w:cs="Times New Roman"/>
          <w:szCs w:val="24"/>
        </w:rPr>
        <w:t xml:space="preserve">Detaylı bilgi için Özel İnorganik Kimyasalların Üretimi İçin MET Referans Belgesinin </w:t>
      </w:r>
      <w:r w:rsidR="00144210">
        <w:rPr>
          <w:rFonts w:cs="Times New Roman"/>
          <w:szCs w:val="24"/>
        </w:rPr>
        <w:t xml:space="preserve">6.5.2.11 </w:t>
      </w:r>
      <w:r w:rsidR="00144210" w:rsidRPr="00BC3A2D">
        <w:rPr>
          <w:rFonts w:cs="Times New Roman"/>
          <w:szCs w:val="24"/>
        </w:rPr>
        <w:t>kıs</w:t>
      </w:r>
      <w:r w:rsidR="00144210">
        <w:rPr>
          <w:rFonts w:cs="Times New Roman"/>
          <w:szCs w:val="24"/>
        </w:rPr>
        <w:t>mını</w:t>
      </w:r>
      <w:r w:rsidR="00144210" w:rsidRPr="00BC3A2D">
        <w:rPr>
          <w:rFonts w:cs="Times New Roman"/>
          <w:szCs w:val="24"/>
        </w:rPr>
        <w:t xml:space="preserve"> inceleyiniz.)</w:t>
      </w:r>
    </w:p>
    <w:p w14:paraId="773A504D" w14:textId="7E8AAABB" w:rsidR="00B83A5B" w:rsidRPr="00F50C10" w:rsidRDefault="00B83A5B" w:rsidP="000B206D">
      <w:pPr>
        <w:spacing w:after="120" w:line="276" w:lineRule="auto"/>
        <w:rPr>
          <w:rFonts w:cs="Times New Roman"/>
          <w:szCs w:val="24"/>
          <w:lang w:val="nl-NL"/>
        </w:rPr>
      </w:pPr>
      <w:r w:rsidRPr="00F50C10">
        <w:rPr>
          <w:rFonts w:cs="Times New Roman"/>
          <w:b/>
          <w:bCs/>
          <w:szCs w:val="24"/>
          <w:lang w:val="nl-NL"/>
        </w:rPr>
        <w:t xml:space="preserve">MET </w:t>
      </w:r>
      <w:r w:rsidR="00805E08">
        <w:rPr>
          <w:rFonts w:cs="Times New Roman"/>
          <w:b/>
          <w:bCs/>
          <w:szCs w:val="24"/>
          <w:lang w:val="nl-NL"/>
        </w:rPr>
        <w:t>10</w:t>
      </w:r>
      <w:r w:rsidRPr="00F50C10">
        <w:rPr>
          <w:rFonts w:cs="Times New Roman"/>
          <w:b/>
          <w:bCs/>
          <w:szCs w:val="24"/>
          <w:lang w:val="nl-NL"/>
        </w:rPr>
        <w:t xml:space="preserve">: </w:t>
      </w:r>
      <w:r w:rsidRPr="00F50C10">
        <w:rPr>
          <w:rFonts w:cs="Times New Roman"/>
          <w:szCs w:val="24"/>
          <w:lang w:val="nl-NL"/>
        </w:rPr>
        <w:t xml:space="preserve">Siyanürlerin depolanması için kapsamlı emniyet ve yangın güvenliği sistemleri ile </w:t>
      </w:r>
      <w:r w:rsidR="007D5D53" w:rsidRPr="00F50C10">
        <w:rPr>
          <w:rFonts w:cs="Times New Roman"/>
          <w:szCs w:val="24"/>
          <w:lang w:val="nl-NL"/>
        </w:rPr>
        <w:t>donatılmış</w:t>
      </w:r>
      <w:r w:rsidRPr="00F50C10">
        <w:rPr>
          <w:rFonts w:cs="Times New Roman"/>
          <w:szCs w:val="24"/>
          <w:lang w:val="nl-NL"/>
        </w:rPr>
        <w:t xml:space="preserve"> özel </w:t>
      </w:r>
      <w:r w:rsidR="007D5D53" w:rsidRPr="00F50C10">
        <w:rPr>
          <w:rFonts w:cs="Times New Roman"/>
          <w:szCs w:val="24"/>
          <w:lang w:val="nl-NL"/>
        </w:rPr>
        <w:t xml:space="preserve">bir </w:t>
      </w:r>
      <w:r w:rsidRPr="00F50C10">
        <w:rPr>
          <w:rFonts w:cs="Times New Roman"/>
          <w:szCs w:val="24"/>
          <w:lang w:val="nl-NL"/>
        </w:rPr>
        <w:t>kapalı alan</w:t>
      </w:r>
      <w:r w:rsidR="007D5D53" w:rsidRPr="00F50C10">
        <w:rPr>
          <w:rFonts w:cs="Times New Roman"/>
          <w:szCs w:val="24"/>
          <w:lang w:val="nl-NL"/>
        </w:rPr>
        <w:t>ın</w:t>
      </w:r>
      <w:r w:rsidRPr="00F50C10">
        <w:rPr>
          <w:rFonts w:cs="Times New Roman"/>
          <w:szCs w:val="24"/>
          <w:lang w:val="nl-NL"/>
        </w:rPr>
        <w:t xml:space="preserve"> kullanılması sağlanır</w:t>
      </w:r>
      <w:r w:rsidRPr="00F50C10">
        <w:rPr>
          <w:rFonts w:cs="Times New Roman"/>
          <w:szCs w:val="24"/>
          <w:lang w:val="tr-TR"/>
        </w:rPr>
        <w:t>.</w:t>
      </w:r>
      <w:r w:rsidR="00144210" w:rsidRPr="00144210">
        <w:rPr>
          <w:rFonts w:cs="Times New Roman"/>
          <w:szCs w:val="24"/>
        </w:rPr>
        <w:t xml:space="preserve"> </w:t>
      </w:r>
      <w:r w:rsidR="00144210">
        <w:rPr>
          <w:rFonts w:cs="Times New Roman"/>
          <w:szCs w:val="24"/>
        </w:rPr>
        <w:t>(</w:t>
      </w:r>
      <w:r w:rsidR="00144210" w:rsidRPr="00BC3A2D">
        <w:rPr>
          <w:rFonts w:cs="Times New Roman"/>
          <w:szCs w:val="24"/>
        </w:rPr>
        <w:t xml:space="preserve">Detaylı bilgi için Özel İnorganik Kimyasalların Üretimi İçin MET Referans Belgesinin </w:t>
      </w:r>
      <w:r w:rsidR="00144210">
        <w:rPr>
          <w:rFonts w:cs="Times New Roman"/>
          <w:szCs w:val="24"/>
        </w:rPr>
        <w:t xml:space="preserve">6.5.2.10 </w:t>
      </w:r>
      <w:r w:rsidR="00144210" w:rsidRPr="00BC3A2D">
        <w:rPr>
          <w:rFonts w:cs="Times New Roman"/>
          <w:szCs w:val="24"/>
        </w:rPr>
        <w:t>kıs</w:t>
      </w:r>
      <w:r w:rsidR="00144210">
        <w:rPr>
          <w:rFonts w:cs="Times New Roman"/>
          <w:szCs w:val="24"/>
        </w:rPr>
        <w:t>mını</w:t>
      </w:r>
      <w:r w:rsidR="00144210" w:rsidRPr="00BC3A2D">
        <w:rPr>
          <w:rFonts w:cs="Times New Roman"/>
          <w:szCs w:val="24"/>
        </w:rPr>
        <w:t xml:space="preserve"> inceleyiniz.)</w:t>
      </w:r>
    </w:p>
    <w:p w14:paraId="132784E6" w14:textId="69EB482B" w:rsidR="00B83A5B" w:rsidRPr="00F50C10" w:rsidRDefault="00B83A5B" w:rsidP="000B206D">
      <w:pPr>
        <w:spacing w:after="120" w:line="276" w:lineRule="auto"/>
        <w:rPr>
          <w:rFonts w:cs="Times New Roman"/>
          <w:szCs w:val="24"/>
          <w:lang w:val="nl-NL"/>
        </w:rPr>
      </w:pPr>
      <w:r w:rsidRPr="00F50C10">
        <w:rPr>
          <w:rFonts w:cs="Times New Roman"/>
          <w:b/>
          <w:bCs/>
          <w:szCs w:val="24"/>
          <w:lang w:val="nl-NL"/>
        </w:rPr>
        <w:t xml:space="preserve">MET </w:t>
      </w:r>
      <w:r w:rsidR="00805E08">
        <w:rPr>
          <w:rFonts w:cs="Times New Roman"/>
          <w:b/>
          <w:bCs/>
          <w:szCs w:val="24"/>
          <w:lang w:val="nl-NL"/>
        </w:rPr>
        <w:t>11</w:t>
      </w:r>
      <w:r w:rsidRPr="00F50C10">
        <w:rPr>
          <w:rFonts w:cs="Times New Roman"/>
          <w:b/>
          <w:bCs/>
          <w:szCs w:val="24"/>
          <w:lang w:val="nl-NL"/>
        </w:rPr>
        <w:t xml:space="preserve">: </w:t>
      </w:r>
      <w:r w:rsidRPr="00F50C10">
        <w:rPr>
          <w:rFonts w:cs="Times New Roman"/>
          <w:szCs w:val="24"/>
          <w:lang w:val="nl-NL"/>
        </w:rPr>
        <w:t xml:space="preserve">Zemin için çift koruma ve üretim ve depolama alanlarında çukurların bulunması sağlanır. </w:t>
      </w:r>
      <w:r w:rsidR="00144210">
        <w:rPr>
          <w:rFonts w:cs="Times New Roman"/>
          <w:szCs w:val="24"/>
        </w:rPr>
        <w:t>(</w:t>
      </w:r>
      <w:r w:rsidR="00144210" w:rsidRPr="00BC3A2D">
        <w:rPr>
          <w:rFonts w:cs="Times New Roman"/>
          <w:szCs w:val="24"/>
        </w:rPr>
        <w:t xml:space="preserve">Detaylı bilgi için Özel İnorganik Kimyasalların Üretimi İçin MET Referans Belgesinin </w:t>
      </w:r>
      <w:r w:rsidR="00144210">
        <w:rPr>
          <w:rFonts w:cs="Times New Roman"/>
          <w:szCs w:val="24"/>
        </w:rPr>
        <w:t xml:space="preserve">6.5.4.7 </w:t>
      </w:r>
      <w:r w:rsidR="00144210" w:rsidRPr="00BC3A2D">
        <w:rPr>
          <w:rFonts w:cs="Times New Roman"/>
          <w:szCs w:val="24"/>
        </w:rPr>
        <w:t>kıs</w:t>
      </w:r>
      <w:r w:rsidR="00144210">
        <w:rPr>
          <w:rFonts w:cs="Times New Roman"/>
          <w:szCs w:val="24"/>
        </w:rPr>
        <w:t>mını</w:t>
      </w:r>
      <w:r w:rsidR="00144210" w:rsidRPr="00BC3A2D">
        <w:rPr>
          <w:rFonts w:cs="Times New Roman"/>
          <w:szCs w:val="24"/>
        </w:rPr>
        <w:t xml:space="preserve"> inceleyiniz.)</w:t>
      </w:r>
      <w:r w:rsidR="00144210">
        <w:rPr>
          <w:rFonts w:cs="Times New Roman"/>
          <w:szCs w:val="24"/>
        </w:rPr>
        <w:t xml:space="preserve"> </w:t>
      </w:r>
      <w:r w:rsidRPr="00F50C10">
        <w:rPr>
          <w:rFonts w:cs="Times New Roman"/>
          <w:szCs w:val="24"/>
          <w:lang w:val="nl-NL"/>
        </w:rPr>
        <w:t>Bu kapsamda aşağıdakilerin her ikisi de yer almaktadır:</w:t>
      </w:r>
    </w:p>
    <w:p w14:paraId="6E2226D2" w14:textId="77777777" w:rsidR="00B83A5B" w:rsidRPr="00F50C10" w:rsidRDefault="00B83A5B" w:rsidP="00A654AE">
      <w:pPr>
        <w:pStyle w:val="ListeParagraf"/>
        <w:numPr>
          <w:ilvl w:val="0"/>
          <w:numId w:val="129"/>
        </w:numPr>
        <w:spacing w:after="120" w:line="276" w:lineRule="auto"/>
        <w:rPr>
          <w:rFonts w:cs="Times New Roman"/>
          <w:szCs w:val="24"/>
          <w:lang w:val="nl-NL"/>
        </w:rPr>
      </w:pPr>
      <w:r w:rsidRPr="00F50C10">
        <w:rPr>
          <w:rFonts w:cs="Times New Roman"/>
          <w:szCs w:val="24"/>
          <w:lang w:val="nl-NL"/>
        </w:rPr>
        <w:t>binadaki en büyük ekipmanın hacmini kapsayacak şekilde boyutlandırılan muhafaza sisteminin temini,</w:t>
      </w:r>
    </w:p>
    <w:p w14:paraId="2F383A21" w14:textId="77777777" w:rsidR="00B83A5B" w:rsidRPr="00F50C10" w:rsidRDefault="00B83A5B" w:rsidP="00A654AE">
      <w:pPr>
        <w:pStyle w:val="ListeParagraf"/>
        <w:numPr>
          <w:ilvl w:val="0"/>
          <w:numId w:val="129"/>
        </w:numPr>
        <w:spacing w:after="120" w:line="276" w:lineRule="auto"/>
        <w:rPr>
          <w:rFonts w:cs="Times New Roman"/>
          <w:szCs w:val="24"/>
          <w:lang w:val="nl-NL"/>
        </w:rPr>
      </w:pPr>
      <w:r w:rsidRPr="00F50C10">
        <w:rPr>
          <w:rFonts w:cs="Times New Roman"/>
          <w:szCs w:val="24"/>
          <w:lang w:val="nl-NL"/>
        </w:rPr>
        <w:t>muhafaza amacıyla siyanürlere karşı tamamen dayanıklı olan çelik, paslanmaz çelik veya özel plastik malzemelerin kullanımı.</w:t>
      </w:r>
    </w:p>
    <w:p w14:paraId="1B1AD6F0" w14:textId="77777777" w:rsidR="00B83A5B" w:rsidRPr="00F50C10" w:rsidRDefault="00B83A5B" w:rsidP="00A654AE">
      <w:pPr>
        <w:pStyle w:val="Balk3"/>
        <w:numPr>
          <w:ilvl w:val="2"/>
          <w:numId w:val="137"/>
        </w:numPr>
        <w:spacing w:before="0" w:line="276" w:lineRule="auto"/>
        <w:rPr>
          <w:rFonts w:cs="Times New Roman"/>
          <w:lang w:val="nl-NL"/>
        </w:rPr>
      </w:pPr>
      <w:bookmarkStart w:id="308" w:name="_Toc136866716"/>
      <w:r w:rsidRPr="00F50C10">
        <w:rPr>
          <w:rFonts w:cs="Times New Roman"/>
          <w:lang w:val="nl-NL"/>
        </w:rPr>
        <w:t>Enerji</w:t>
      </w:r>
      <w:bookmarkEnd w:id="308"/>
    </w:p>
    <w:p w14:paraId="6FB46B95" w14:textId="63BF5DF3" w:rsidR="00B83A5B" w:rsidRPr="00F50C10" w:rsidRDefault="00B83A5B" w:rsidP="000B206D">
      <w:pPr>
        <w:spacing w:after="120" w:line="276" w:lineRule="auto"/>
        <w:rPr>
          <w:rFonts w:cs="Times New Roman"/>
          <w:b/>
          <w:bCs/>
          <w:szCs w:val="24"/>
          <w:lang w:val="nl-NL"/>
        </w:rPr>
      </w:pPr>
      <w:r w:rsidRPr="00F50C10">
        <w:rPr>
          <w:rFonts w:cs="Times New Roman"/>
          <w:b/>
          <w:bCs/>
          <w:szCs w:val="24"/>
          <w:lang w:val="nl-NL"/>
        </w:rPr>
        <w:t xml:space="preserve">MET </w:t>
      </w:r>
      <w:r w:rsidR="00805E08">
        <w:rPr>
          <w:rFonts w:cs="Times New Roman"/>
          <w:b/>
          <w:bCs/>
          <w:szCs w:val="24"/>
          <w:lang w:val="nl-NL"/>
        </w:rPr>
        <w:t>12</w:t>
      </w:r>
      <w:r w:rsidRPr="00F50C10">
        <w:rPr>
          <w:rFonts w:cs="Times New Roman"/>
          <w:b/>
          <w:bCs/>
          <w:szCs w:val="24"/>
          <w:lang w:val="nl-NL"/>
        </w:rPr>
        <w:t xml:space="preserve">: </w:t>
      </w:r>
      <w:r w:rsidR="007D5D53" w:rsidRPr="00F50C10">
        <w:rPr>
          <w:rFonts w:cs="Times New Roman"/>
          <w:szCs w:val="24"/>
          <w:lang w:val="nl-NL"/>
        </w:rPr>
        <w:t>N</w:t>
      </w:r>
      <w:r w:rsidRPr="00F50C10">
        <w:rPr>
          <w:rFonts w:cs="Times New Roman"/>
          <w:szCs w:val="24"/>
          <w:lang w:val="nl-NL"/>
        </w:rPr>
        <w:t>ötralizasyon tepkimesinde açığa çıkan ısı,</w:t>
      </w:r>
      <w:r w:rsidR="007D5D53" w:rsidRPr="00F50C10">
        <w:rPr>
          <w:rFonts w:cs="Times New Roman"/>
          <w:szCs w:val="24"/>
          <w:lang w:val="nl-NL"/>
        </w:rPr>
        <w:t xml:space="preserve"> takip eden kristalizasyon adımındaki</w:t>
      </w:r>
      <w:r w:rsidRPr="00F50C10">
        <w:rPr>
          <w:rFonts w:cs="Times New Roman"/>
          <w:szCs w:val="24"/>
          <w:lang w:val="nl-NL"/>
        </w:rPr>
        <w:t xml:space="preserve"> suyu buharlaştır</w:t>
      </w:r>
      <w:r w:rsidR="007D5D53" w:rsidRPr="00F50C10">
        <w:rPr>
          <w:rFonts w:cs="Times New Roman"/>
          <w:szCs w:val="24"/>
          <w:lang w:val="nl-NL"/>
        </w:rPr>
        <w:t xml:space="preserve">mak </w:t>
      </w:r>
      <w:r w:rsidRPr="00F50C10">
        <w:rPr>
          <w:rFonts w:cs="Times New Roman"/>
          <w:szCs w:val="24"/>
          <w:lang w:val="nl-NL"/>
        </w:rPr>
        <w:t>için geri dönüştür</w:t>
      </w:r>
      <w:r w:rsidR="007D5D53" w:rsidRPr="00F50C10">
        <w:rPr>
          <w:rFonts w:cs="Times New Roman"/>
          <w:szCs w:val="24"/>
          <w:lang w:val="nl-NL"/>
        </w:rPr>
        <w:t>ül</w:t>
      </w:r>
      <w:r w:rsidRPr="00F50C10">
        <w:rPr>
          <w:rFonts w:cs="Times New Roman"/>
          <w:szCs w:val="24"/>
          <w:lang w:val="nl-NL"/>
        </w:rPr>
        <w:t>erek, enerji tüketimi en aza indirilir</w:t>
      </w:r>
      <w:r w:rsidRPr="00F50C10">
        <w:rPr>
          <w:rFonts w:cs="Times New Roman"/>
          <w:szCs w:val="24"/>
          <w:lang w:val="tr-TR"/>
        </w:rPr>
        <w:t>.</w:t>
      </w:r>
      <w:r w:rsidR="00467072" w:rsidRPr="00467072">
        <w:rPr>
          <w:rFonts w:cs="Times New Roman"/>
          <w:szCs w:val="24"/>
        </w:rPr>
        <w:t xml:space="preserve"> </w:t>
      </w:r>
      <w:r w:rsidR="00467072">
        <w:rPr>
          <w:rFonts w:cs="Times New Roman"/>
          <w:szCs w:val="24"/>
        </w:rPr>
        <w:t>(</w:t>
      </w:r>
      <w:r w:rsidR="00467072" w:rsidRPr="00BC3A2D">
        <w:rPr>
          <w:rFonts w:cs="Times New Roman"/>
          <w:szCs w:val="24"/>
        </w:rPr>
        <w:t xml:space="preserve">Detaylı bilgi için Özel İnorganik Kimyasalların Üretimi İçin MET Referans Belgesinin </w:t>
      </w:r>
      <w:r w:rsidR="00467072">
        <w:rPr>
          <w:rFonts w:cs="Times New Roman"/>
          <w:szCs w:val="24"/>
        </w:rPr>
        <w:t xml:space="preserve">6.5.2.4 </w:t>
      </w:r>
      <w:r w:rsidR="00467072" w:rsidRPr="00BC3A2D">
        <w:rPr>
          <w:rFonts w:cs="Times New Roman"/>
          <w:szCs w:val="24"/>
        </w:rPr>
        <w:t>kıs</w:t>
      </w:r>
      <w:r w:rsidR="00467072">
        <w:rPr>
          <w:rFonts w:cs="Times New Roman"/>
          <w:szCs w:val="24"/>
        </w:rPr>
        <w:t>mını</w:t>
      </w:r>
      <w:r w:rsidR="00467072" w:rsidRPr="00BC3A2D">
        <w:rPr>
          <w:rFonts w:cs="Times New Roman"/>
          <w:szCs w:val="24"/>
        </w:rPr>
        <w:t xml:space="preserve"> inceleyiniz.)</w:t>
      </w:r>
    </w:p>
    <w:p w14:paraId="77902E62" w14:textId="77777777" w:rsidR="00B83A5B" w:rsidRPr="00F50C10" w:rsidRDefault="00B83A5B" w:rsidP="00A654AE">
      <w:pPr>
        <w:pStyle w:val="Balk3"/>
        <w:numPr>
          <w:ilvl w:val="2"/>
          <w:numId w:val="137"/>
        </w:numPr>
        <w:spacing w:before="0" w:line="276" w:lineRule="auto"/>
        <w:rPr>
          <w:rFonts w:cs="Times New Roman"/>
          <w:lang w:val="nl-NL"/>
        </w:rPr>
      </w:pPr>
      <w:bookmarkStart w:id="309" w:name="_Toc136866717"/>
      <w:r w:rsidRPr="00F50C10">
        <w:rPr>
          <w:rFonts w:cs="Times New Roman"/>
          <w:lang w:val="nl-NL"/>
        </w:rPr>
        <w:t>Su Tüketimi</w:t>
      </w:r>
      <w:bookmarkEnd w:id="309"/>
    </w:p>
    <w:p w14:paraId="71505E29" w14:textId="0BFCB006" w:rsidR="00B83A5B" w:rsidRPr="00F50C10" w:rsidRDefault="00B83A5B" w:rsidP="000B206D">
      <w:pPr>
        <w:spacing w:after="120" w:line="276" w:lineRule="auto"/>
        <w:rPr>
          <w:rFonts w:cs="Times New Roman"/>
          <w:szCs w:val="24"/>
          <w:lang w:val="nl-NL"/>
        </w:rPr>
      </w:pPr>
      <w:r w:rsidRPr="00F50C10">
        <w:rPr>
          <w:rFonts w:cs="Times New Roman"/>
          <w:b/>
          <w:bCs/>
          <w:szCs w:val="24"/>
          <w:lang w:val="nl-NL"/>
        </w:rPr>
        <w:t xml:space="preserve">MET </w:t>
      </w:r>
      <w:r w:rsidR="00805E08">
        <w:rPr>
          <w:rFonts w:cs="Times New Roman"/>
          <w:b/>
          <w:bCs/>
          <w:szCs w:val="24"/>
          <w:lang w:val="nl-NL"/>
        </w:rPr>
        <w:t>13</w:t>
      </w:r>
      <w:r w:rsidRPr="00F50C10">
        <w:rPr>
          <w:rFonts w:cs="Times New Roman"/>
          <w:b/>
          <w:bCs/>
          <w:szCs w:val="24"/>
          <w:lang w:val="nl-NL"/>
        </w:rPr>
        <w:t xml:space="preserve">: </w:t>
      </w:r>
      <w:r w:rsidRPr="00F50C10">
        <w:rPr>
          <w:rFonts w:cs="Times New Roman"/>
          <w:szCs w:val="24"/>
          <w:lang w:val="nl-NL"/>
        </w:rPr>
        <w:t>Aşağıdaki önlemlerin kombinasyonu ile su kullanımı en aza düşürül</w:t>
      </w:r>
      <w:r w:rsidR="007D5D53" w:rsidRPr="00F50C10">
        <w:rPr>
          <w:rFonts w:cs="Times New Roman"/>
          <w:szCs w:val="24"/>
          <w:lang w:val="nl-NL"/>
        </w:rPr>
        <w:t>ü</w:t>
      </w:r>
      <w:r w:rsidRPr="00F50C10">
        <w:rPr>
          <w:rFonts w:cs="Times New Roman"/>
          <w:szCs w:val="24"/>
          <w:lang w:val="nl-NL"/>
        </w:rPr>
        <w:t>r:</w:t>
      </w:r>
    </w:p>
    <w:p w14:paraId="33392EC6" w14:textId="6328BE83" w:rsidR="00B83A5B" w:rsidRPr="00F50C10" w:rsidRDefault="00B83A5B" w:rsidP="00A654AE">
      <w:pPr>
        <w:pStyle w:val="ListeParagraf"/>
        <w:numPr>
          <w:ilvl w:val="0"/>
          <w:numId w:val="130"/>
        </w:numPr>
        <w:spacing w:after="120" w:line="276" w:lineRule="auto"/>
        <w:rPr>
          <w:rFonts w:cs="Times New Roman"/>
          <w:szCs w:val="24"/>
          <w:lang w:val="nl-NL"/>
        </w:rPr>
      </w:pPr>
      <w:r w:rsidRPr="00F50C10">
        <w:rPr>
          <w:rFonts w:cs="Times New Roman"/>
          <w:szCs w:val="24"/>
          <w:lang w:val="nl-NL"/>
        </w:rPr>
        <w:t>filtrasyon adımından gelen süzüntüyü kristalizatörde yeniden kullanmak</w:t>
      </w:r>
      <w:r w:rsidRPr="00F50C10">
        <w:rPr>
          <w:rFonts w:cs="Times New Roman"/>
          <w:szCs w:val="24"/>
          <w:lang w:val="tr-TR"/>
        </w:rPr>
        <w:t>,</w:t>
      </w:r>
      <w:r w:rsidR="00467072" w:rsidRPr="00467072">
        <w:rPr>
          <w:rFonts w:cs="Times New Roman"/>
          <w:szCs w:val="24"/>
        </w:rPr>
        <w:t xml:space="preserve"> </w:t>
      </w:r>
      <w:r w:rsidR="00467072">
        <w:rPr>
          <w:rFonts w:cs="Times New Roman"/>
          <w:szCs w:val="24"/>
        </w:rPr>
        <w:t>(</w:t>
      </w:r>
      <w:r w:rsidR="00467072" w:rsidRPr="00BC3A2D">
        <w:rPr>
          <w:rFonts w:cs="Times New Roman"/>
          <w:szCs w:val="24"/>
        </w:rPr>
        <w:t xml:space="preserve">Detaylı bilgi için Özel İnorganik Kimyasalların Üretimi İçin MET Referans Belgesinin </w:t>
      </w:r>
      <w:r w:rsidR="00467072">
        <w:rPr>
          <w:rFonts w:cs="Times New Roman"/>
          <w:szCs w:val="24"/>
        </w:rPr>
        <w:t xml:space="preserve">6.5.2.5 </w:t>
      </w:r>
      <w:r w:rsidR="00467072" w:rsidRPr="00BC3A2D">
        <w:rPr>
          <w:rFonts w:cs="Times New Roman"/>
          <w:szCs w:val="24"/>
        </w:rPr>
        <w:t>kıs</w:t>
      </w:r>
      <w:r w:rsidR="00467072">
        <w:rPr>
          <w:rFonts w:cs="Times New Roman"/>
          <w:szCs w:val="24"/>
        </w:rPr>
        <w:t>mını</w:t>
      </w:r>
      <w:r w:rsidR="00467072" w:rsidRPr="00BC3A2D">
        <w:rPr>
          <w:rFonts w:cs="Times New Roman"/>
          <w:szCs w:val="24"/>
        </w:rPr>
        <w:t xml:space="preserve"> inceleyiniz.)</w:t>
      </w:r>
    </w:p>
    <w:p w14:paraId="33C440B7" w14:textId="5CFACBE2" w:rsidR="00B83A5B" w:rsidRPr="00F50C10" w:rsidRDefault="00B83A5B" w:rsidP="00A654AE">
      <w:pPr>
        <w:pStyle w:val="ListeParagraf"/>
        <w:numPr>
          <w:ilvl w:val="0"/>
          <w:numId w:val="130"/>
        </w:numPr>
        <w:spacing w:after="120" w:line="276" w:lineRule="auto"/>
        <w:rPr>
          <w:rFonts w:cs="Times New Roman"/>
          <w:szCs w:val="24"/>
          <w:lang w:val="nl-NL"/>
        </w:rPr>
      </w:pPr>
      <w:r w:rsidRPr="00F50C10">
        <w:rPr>
          <w:rFonts w:cs="Times New Roman"/>
          <w:szCs w:val="24"/>
          <w:lang w:val="nl-NL"/>
        </w:rPr>
        <w:t>temizleme suyunu üretim prosesinde yeniden kullanmak</w:t>
      </w:r>
      <w:r w:rsidRPr="00F50C10">
        <w:rPr>
          <w:rFonts w:cs="Times New Roman"/>
          <w:szCs w:val="24"/>
          <w:lang w:val="tr-TR"/>
        </w:rPr>
        <w:t>,</w:t>
      </w:r>
      <w:r w:rsidR="00467072" w:rsidRPr="00467072">
        <w:rPr>
          <w:rFonts w:cs="Times New Roman"/>
          <w:szCs w:val="24"/>
        </w:rPr>
        <w:t xml:space="preserve"> </w:t>
      </w:r>
      <w:r w:rsidR="00467072">
        <w:rPr>
          <w:rFonts w:cs="Times New Roman"/>
          <w:szCs w:val="24"/>
        </w:rPr>
        <w:t>(</w:t>
      </w:r>
      <w:r w:rsidR="00467072" w:rsidRPr="00BC3A2D">
        <w:rPr>
          <w:rFonts w:cs="Times New Roman"/>
          <w:szCs w:val="24"/>
        </w:rPr>
        <w:t xml:space="preserve">Detaylı bilgi için Özel İnorganik Kimyasalların Üretimi İçin MET Referans Belgesinin </w:t>
      </w:r>
      <w:r w:rsidR="00467072">
        <w:rPr>
          <w:rFonts w:cs="Times New Roman"/>
          <w:szCs w:val="24"/>
        </w:rPr>
        <w:t xml:space="preserve">6.5.4.3 </w:t>
      </w:r>
      <w:r w:rsidR="00467072" w:rsidRPr="00BC3A2D">
        <w:rPr>
          <w:rFonts w:cs="Times New Roman"/>
          <w:szCs w:val="24"/>
        </w:rPr>
        <w:t>kıs</w:t>
      </w:r>
      <w:r w:rsidR="00467072">
        <w:rPr>
          <w:rFonts w:cs="Times New Roman"/>
          <w:szCs w:val="24"/>
        </w:rPr>
        <w:t>mını</w:t>
      </w:r>
      <w:r w:rsidR="00467072" w:rsidRPr="00BC3A2D">
        <w:rPr>
          <w:rFonts w:cs="Times New Roman"/>
          <w:szCs w:val="24"/>
        </w:rPr>
        <w:t xml:space="preserve"> inceleyiniz.)</w:t>
      </w:r>
    </w:p>
    <w:p w14:paraId="0AF37DB5" w14:textId="10B2572D" w:rsidR="00B83A5B" w:rsidRPr="00F50C10" w:rsidRDefault="00B83A5B" w:rsidP="00A654AE">
      <w:pPr>
        <w:pStyle w:val="ListeParagraf"/>
        <w:numPr>
          <w:ilvl w:val="0"/>
          <w:numId w:val="130"/>
        </w:numPr>
        <w:spacing w:after="120" w:line="276" w:lineRule="auto"/>
        <w:rPr>
          <w:rFonts w:cs="Times New Roman"/>
          <w:szCs w:val="24"/>
        </w:rPr>
      </w:pPr>
      <w:r w:rsidRPr="00F50C10">
        <w:rPr>
          <w:rFonts w:cs="Times New Roman"/>
          <w:szCs w:val="24"/>
        </w:rPr>
        <w:t>yerinde temizleme sistemini kullanmak</w:t>
      </w:r>
      <w:r w:rsidRPr="00F50C10">
        <w:rPr>
          <w:rFonts w:cs="Times New Roman"/>
          <w:szCs w:val="24"/>
          <w:lang w:val="tr-TR"/>
        </w:rPr>
        <w:t>.</w:t>
      </w:r>
      <w:r w:rsidR="00467072" w:rsidRPr="00467072">
        <w:rPr>
          <w:rFonts w:cs="Times New Roman"/>
          <w:szCs w:val="24"/>
        </w:rPr>
        <w:t xml:space="preserve"> </w:t>
      </w:r>
      <w:r w:rsidR="00467072">
        <w:rPr>
          <w:rFonts w:cs="Times New Roman"/>
          <w:szCs w:val="24"/>
        </w:rPr>
        <w:t>(</w:t>
      </w:r>
      <w:r w:rsidR="00467072" w:rsidRPr="00BC3A2D">
        <w:rPr>
          <w:rFonts w:cs="Times New Roman"/>
          <w:szCs w:val="24"/>
        </w:rPr>
        <w:t xml:space="preserve">Detaylı bilgi için Özel İnorganik Kimyasalların Üretimi İçin MET Referans Belgesinin </w:t>
      </w:r>
      <w:r w:rsidR="00467072">
        <w:rPr>
          <w:rFonts w:cs="Times New Roman"/>
          <w:szCs w:val="24"/>
        </w:rPr>
        <w:t xml:space="preserve">6.5.4.3 </w:t>
      </w:r>
      <w:r w:rsidR="00467072" w:rsidRPr="00BC3A2D">
        <w:rPr>
          <w:rFonts w:cs="Times New Roman"/>
          <w:szCs w:val="24"/>
        </w:rPr>
        <w:t>kıs</w:t>
      </w:r>
      <w:r w:rsidR="00467072">
        <w:rPr>
          <w:rFonts w:cs="Times New Roman"/>
          <w:szCs w:val="24"/>
        </w:rPr>
        <w:t>mını</w:t>
      </w:r>
      <w:r w:rsidR="00467072" w:rsidRPr="00BC3A2D">
        <w:rPr>
          <w:rFonts w:cs="Times New Roman"/>
          <w:szCs w:val="24"/>
        </w:rPr>
        <w:t xml:space="preserve"> inceleyiniz.)</w:t>
      </w:r>
    </w:p>
    <w:p w14:paraId="3A2A3856" w14:textId="77777777" w:rsidR="00B83A5B" w:rsidRPr="00F50C10" w:rsidRDefault="00B83A5B" w:rsidP="00A654AE">
      <w:pPr>
        <w:pStyle w:val="Balk3"/>
        <w:numPr>
          <w:ilvl w:val="2"/>
          <w:numId w:val="137"/>
        </w:numPr>
        <w:spacing w:line="276" w:lineRule="auto"/>
        <w:rPr>
          <w:rFonts w:cs="Times New Roman"/>
        </w:rPr>
      </w:pPr>
      <w:bookmarkStart w:id="310" w:name="_Toc136866718"/>
      <w:r w:rsidRPr="00F50C10">
        <w:rPr>
          <w:rFonts w:cs="Times New Roman"/>
        </w:rPr>
        <w:t>Ürünlerin Depolanması ve Ambalajlanması</w:t>
      </w:r>
      <w:bookmarkEnd w:id="310"/>
    </w:p>
    <w:p w14:paraId="00BFFBD6" w14:textId="33EFCAA9" w:rsidR="00B83A5B" w:rsidRPr="00F50C10" w:rsidRDefault="00B83A5B" w:rsidP="000B206D">
      <w:pPr>
        <w:spacing w:before="240" w:line="276" w:lineRule="auto"/>
        <w:rPr>
          <w:rFonts w:cs="Times New Roman"/>
          <w:b/>
          <w:bCs/>
          <w:szCs w:val="24"/>
        </w:rPr>
      </w:pPr>
      <w:r w:rsidRPr="00F50C10">
        <w:rPr>
          <w:rFonts w:cs="Times New Roman"/>
          <w:b/>
          <w:bCs/>
          <w:szCs w:val="24"/>
        </w:rPr>
        <w:t xml:space="preserve">MET </w:t>
      </w:r>
      <w:r w:rsidR="00805E08">
        <w:rPr>
          <w:rFonts w:cs="Times New Roman"/>
          <w:b/>
          <w:bCs/>
          <w:szCs w:val="24"/>
        </w:rPr>
        <w:t>14</w:t>
      </w:r>
      <w:r w:rsidRPr="00F50C10">
        <w:rPr>
          <w:rFonts w:cs="Times New Roman"/>
          <w:b/>
          <w:bCs/>
          <w:szCs w:val="24"/>
        </w:rPr>
        <w:t xml:space="preserve">: </w:t>
      </w:r>
      <w:r w:rsidRPr="00F50C10">
        <w:rPr>
          <w:rFonts w:cs="Times New Roman"/>
          <w:szCs w:val="24"/>
        </w:rPr>
        <w:t>Siyanürler</w:t>
      </w:r>
      <w:r w:rsidR="00AC2F0D" w:rsidRPr="00F50C10">
        <w:rPr>
          <w:rFonts w:cs="Times New Roman"/>
          <w:szCs w:val="24"/>
        </w:rPr>
        <w:t>i</w:t>
      </w:r>
      <w:r w:rsidRPr="00F50C10">
        <w:rPr>
          <w:rFonts w:cs="Times New Roman"/>
          <w:szCs w:val="24"/>
        </w:rPr>
        <w:t xml:space="preserve"> güçlü oksidanların (örneğin nitratlar, kloratlar, nitrik asit, peroksitler), suyun veya su içeren ürünlerin depolandığı alanlardan ayrılmış bölümlerde depolayarak, kaza riski en aza düşürül</w:t>
      </w:r>
      <w:r w:rsidR="00AC2F0D" w:rsidRPr="00F50C10">
        <w:rPr>
          <w:rFonts w:cs="Times New Roman"/>
          <w:szCs w:val="24"/>
        </w:rPr>
        <w:t>ür</w:t>
      </w:r>
      <w:r w:rsidRPr="00F50C10">
        <w:rPr>
          <w:rFonts w:cs="Times New Roman"/>
          <w:szCs w:val="24"/>
          <w:lang w:val="tr-TR"/>
        </w:rPr>
        <w:t>.</w:t>
      </w:r>
      <w:r w:rsidR="00467072" w:rsidRPr="00467072">
        <w:rPr>
          <w:rFonts w:cs="Times New Roman"/>
          <w:szCs w:val="24"/>
        </w:rPr>
        <w:t xml:space="preserve"> </w:t>
      </w:r>
      <w:r w:rsidR="00467072">
        <w:rPr>
          <w:rFonts w:cs="Times New Roman"/>
          <w:szCs w:val="24"/>
        </w:rPr>
        <w:t>(</w:t>
      </w:r>
      <w:r w:rsidR="00467072" w:rsidRPr="00BC3A2D">
        <w:rPr>
          <w:rFonts w:cs="Times New Roman"/>
          <w:szCs w:val="24"/>
        </w:rPr>
        <w:t xml:space="preserve">Detaylı bilgi için Özel İnorganik Kimyasalların Üretimi İçin MET Referans Belgesinin </w:t>
      </w:r>
      <w:r w:rsidR="00467072">
        <w:rPr>
          <w:rFonts w:cs="Times New Roman"/>
          <w:szCs w:val="24"/>
        </w:rPr>
        <w:t xml:space="preserve">6.5.2.11 </w:t>
      </w:r>
      <w:r w:rsidR="00467072" w:rsidRPr="00BC3A2D">
        <w:rPr>
          <w:rFonts w:cs="Times New Roman"/>
          <w:szCs w:val="24"/>
        </w:rPr>
        <w:t>kıs</w:t>
      </w:r>
      <w:r w:rsidR="00467072">
        <w:rPr>
          <w:rFonts w:cs="Times New Roman"/>
          <w:szCs w:val="24"/>
        </w:rPr>
        <w:t>mını</w:t>
      </w:r>
      <w:r w:rsidR="00467072" w:rsidRPr="00BC3A2D">
        <w:rPr>
          <w:rFonts w:cs="Times New Roman"/>
          <w:szCs w:val="24"/>
        </w:rPr>
        <w:t xml:space="preserve"> inceleyiniz.)</w:t>
      </w:r>
    </w:p>
    <w:p w14:paraId="602CE3E2" w14:textId="0ABBD7ED" w:rsidR="00B83A5B" w:rsidRPr="00F50C10" w:rsidRDefault="00B83A5B" w:rsidP="000B206D">
      <w:pPr>
        <w:spacing w:before="240" w:line="276" w:lineRule="auto"/>
        <w:rPr>
          <w:rFonts w:cs="Times New Roman"/>
          <w:szCs w:val="24"/>
        </w:rPr>
      </w:pPr>
      <w:r w:rsidRPr="00F50C10">
        <w:rPr>
          <w:rFonts w:cs="Times New Roman"/>
          <w:b/>
          <w:bCs/>
          <w:szCs w:val="24"/>
        </w:rPr>
        <w:t xml:space="preserve">MET </w:t>
      </w:r>
      <w:r w:rsidR="00805E08">
        <w:rPr>
          <w:rFonts w:cs="Times New Roman"/>
          <w:b/>
          <w:bCs/>
          <w:szCs w:val="24"/>
        </w:rPr>
        <w:t>15</w:t>
      </w:r>
      <w:r w:rsidRPr="00F50C10">
        <w:rPr>
          <w:rFonts w:cs="Times New Roman"/>
          <w:b/>
          <w:bCs/>
          <w:szCs w:val="24"/>
        </w:rPr>
        <w:t xml:space="preserve">: </w:t>
      </w:r>
      <w:r w:rsidRPr="00F50C10">
        <w:rPr>
          <w:rFonts w:cs="Times New Roman"/>
          <w:szCs w:val="24"/>
        </w:rPr>
        <w:t>Katı siyanürlerin taşınması için iade edilebilir ambalajların kullanılması yoluyla katı atıkların miktarı en aza düşürül</w:t>
      </w:r>
      <w:r w:rsidR="00AC2F0D" w:rsidRPr="00F50C10">
        <w:rPr>
          <w:rFonts w:cs="Times New Roman"/>
          <w:szCs w:val="24"/>
        </w:rPr>
        <w:t>ü</w:t>
      </w:r>
      <w:r w:rsidRPr="00F50C10">
        <w:rPr>
          <w:rFonts w:cs="Times New Roman"/>
          <w:szCs w:val="24"/>
        </w:rPr>
        <w:t>r</w:t>
      </w:r>
      <w:r w:rsidRPr="00F50C10">
        <w:rPr>
          <w:rFonts w:cs="Times New Roman"/>
          <w:szCs w:val="24"/>
          <w:lang w:val="tr-TR"/>
        </w:rPr>
        <w:t>.</w:t>
      </w:r>
      <w:r w:rsidR="00467072" w:rsidRPr="00467072">
        <w:rPr>
          <w:rFonts w:cs="Times New Roman"/>
          <w:szCs w:val="24"/>
        </w:rPr>
        <w:t xml:space="preserve"> </w:t>
      </w:r>
      <w:r w:rsidR="00467072">
        <w:rPr>
          <w:rFonts w:cs="Times New Roman"/>
          <w:szCs w:val="24"/>
        </w:rPr>
        <w:t>(</w:t>
      </w:r>
      <w:r w:rsidR="00467072" w:rsidRPr="00BC3A2D">
        <w:rPr>
          <w:rFonts w:cs="Times New Roman"/>
          <w:szCs w:val="24"/>
        </w:rPr>
        <w:t xml:space="preserve">Detaylı bilgi için Özel İnorganik Kimyasalların Üretimi İçin MET Referans Belgesinin </w:t>
      </w:r>
      <w:r w:rsidR="00467072">
        <w:rPr>
          <w:rFonts w:cs="Times New Roman"/>
          <w:szCs w:val="24"/>
        </w:rPr>
        <w:t xml:space="preserve">6.5.4.5 </w:t>
      </w:r>
      <w:r w:rsidR="00467072" w:rsidRPr="00BC3A2D">
        <w:rPr>
          <w:rFonts w:cs="Times New Roman"/>
          <w:szCs w:val="24"/>
        </w:rPr>
        <w:t>kıs</w:t>
      </w:r>
      <w:r w:rsidR="00467072">
        <w:rPr>
          <w:rFonts w:cs="Times New Roman"/>
          <w:szCs w:val="24"/>
        </w:rPr>
        <w:t>mını</w:t>
      </w:r>
      <w:r w:rsidR="00467072" w:rsidRPr="00BC3A2D">
        <w:rPr>
          <w:rFonts w:cs="Times New Roman"/>
          <w:szCs w:val="24"/>
        </w:rPr>
        <w:t xml:space="preserve"> inceleyiniz.)</w:t>
      </w:r>
    </w:p>
    <w:p w14:paraId="352F3636" w14:textId="77777777" w:rsidR="00B83A5B" w:rsidRPr="00F50C10" w:rsidRDefault="00B83A5B" w:rsidP="00A654AE">
      <w:pPr>
        <w:pStyle w:val="Balk3"/>
        <w:numPr>
          <w:ilvl w:val="2"/>
          <w:numId w:val="137"/>
        </w:numPr>
        <w:spacing w:line="276" w:lineRule="auto"/>
        <w:rPr>
          <w:rFonts w:cs="Times New Roman"/>
        </w:rPr>
      </w:pPr>
      <w:bookmarkStart w:id="311" w:name="_Toc136866719"/>
      <w:r w:rsidRPr="00F50C10">
        <w:rPr>
          <w:rFonts w:cs="Times New Roman"/>
        </w:rPr>
        <w:t>Katı Siyanürlerin Depolanması</w:t>
      </w:r>
      <w:bookmarkEnd w:id="311"/>
    </w:p>
    <w:p w14:paraId="6F3F8424" w14:textId="023B7631" w:rsidR="00B83A5B" w:rsidRPr="00F50C10" w:rsidRDefault="00B83A5B" w:rsidP="000B206D">
      <w:pPr>
        <w:spacing w:before="240" w:line="276" w:lineRule="auto"/>
        <w:rPr>
          <w:rFonts w:cs="Times New Roman"/>
          <w:szCs w:val="24"/>
        </w:rPr>
      </w:pPr>
      <w:r w:rsidRPr="00F50C10">
        <w:rPr>
          <w:rFonts w:cs="Times New Roman"/>
          <w:b/>
          <w:bCs/>
          <w:szCs w:val="24"/>
        </w:rPr>
        <w:t xml:space="preserve">MET </w:t>
      </w:r>
      <w:r w:rsidR="00805E08">
        <w:rPr>
          <w:rFonts w:cs="Times New Roman"/>
          <w:b/>
          <w:bCs/>
          <w:szCs w:val="24"/>
        </w:rPr>
        <w:t>16</w:t>
      </w:r>
      <w:r w:rsidRPr="00F50C10">
        <w:rPr>
          <w:rFonts w:cs="Times New Roman"/>
          <w:b/>
          <w:bCs/>
          <w:szCs w:val="24"/>
        </w:rPr>
        <w:t xml:space="preserve">: </w:t>
      </w:r>
      <w:r w:rsidRPr="00F50C10">
        <w:rPr>
          <w:rFonts w:cs="Times New Roman"/>
          <w:szCs w:val="24"/>
        </w:rPr>
        <w:t>Katı siyanürlerin kapalı, çitle çevrili ve kilitli depolama binalarında muhafaza edilmesidir. Bu kapsamda aşağıdakilerin her ikisi de yer almaktadır:</w:t>
      </w:r>
      <w:r w:rsidR="004F707B" w:rsidRPr="004F707B">
        <w:rPr>
          <w:rFonts w:cs="Times New Roman"/>
          <w:szCs w:val="24"/>
        </w:rPr>
        <w:t xml:space="preserve"> </w:t>
      </w:r>
      <w:r w:rsidR="004F707B">
        <w:rPr>
          <w:rFonts w:cs="Times New Roman"/>
          <w:szCs w:val="24"/>
        </w:rPr>
        <w:t>(</w:t>
      </w:r>
      <w:r w:rsidR="004F707B" w:rsidRPr="00BC3A2D">
        <w:rPr>
          <w:rFonts w:cs="Times New Roman"/>
          <w:szCs w:val="24"/>
        </w:rPr>
        <w:t xml:space="preserve">Detaylı bilgi için Özel İnorganik Kimyasalların Üretimi İçin MET Referans Belgesinin </w:t>
      </w:r>
      <w:r w:rsidR="004F707B">
        <w:rPr>
          <w:rFonts w:cs="Times New Roman"/>
          <w:szCs w:val="24"/>
        </w:rPr>
        <w:t xml:space="preserve">6.5.4.9 </w:t>
      </w:r>
      <w:r w:rsidR="004F707B" w:rsidRPr="00BC3A2D">
        <w:rPr>
          <w:rFonts w:cs="Times New Roman"/>
          <w:szCs w:val="24"/>
        </w:rPr>
        <w:t>kıs</w:t>
      </w:r>
      <w:r w:rsidR="004F707B">
        <w:rPr>
          <w:rFonts w:cs="Times New Roman"/>
          <w:szCs w:val="24"/>
        </w:rPr>
        <w:t>mını</w:t>
      </w:r>
      <w:r w:rsidR="004F707B" w:rsidRPr="00BC3A2D">
        <w:rPr>
          <w:rFonts w:cs="Times New Roman"/>
          <w:szCs w:val="24"/>
        </w:rPr>
        <w:t xml:space="preserve"> inceleyiniz.)</w:t>
      </w:r>
    </w:p>
    <w:p w14:paraId="72BD40B4" w14:textId="77777777" w:rsidR="00B83A5B" w:rsidRPr="00F50C10" w:rsidRDefault="00B83A5B" w:rsidP="00A654AE">
      <w:pPr>
        <w:pStyle w:val="ListeParagraf"/>
        <w:numPr>
          <w:ilvl w:val="0"/>
          <w:numId w:val="131"/>
        </w:numPr>
        <w:spacing w:before="240" w:line="276" w:lineRule="auto"/>
        <w:rPr>
          <w:rFonts w:cs="Times New Roman"/>
          <w:szCs w:val="24"/>
        </w:rPr>
      </w:pPr>
      <w:r w:rsidRPr="00F50C10">
        <w:rPr>
          <w:rFonts w:cs="Times New Roman"/>
          <w:szCs w:val="24"/>
        </w:rPr>
        <w:t>binalara yağmur ve yüzey suyu girişinin önlenmesi,</w:t>
      </w:r>
    </w:p>
    <w:p w14:paraId="61681B52" w14:textId="77777777" w:rsidR="00B83A5B" w:rsidRPr="00F50C10" w:rsidRDefault="00B83A5B" w:rsidP="00A654AE">
      <w:pPr>
        <w:pStyle w:val="ListeParagraf"/>
        <w:numPr>
          <w:ilvl w:val="0"/>
          <w:numId w:val="131"/>
        </w:numPr>
        <w:spacing w:before="240" w:line="276" w:lineRule="auto"/>
        <w:rPr>
          <w:rFonts w:cs="Times New Roman"/>
          <w:szCs w:val="24"/>
        </w:rPr>
      </w:pPr>
      <w:r w:rsidRPr="00F50C10">
        <w:rPr>
          <w:rFonts w:cs="Times New Roman"/>
          <w:szCs w:val="24"/>
        </w:rPr>
        <w:t>yangın durumunda kullanılmak üzere, depolama binalarında yangın söndürme maddesi olarak alkali köpüklerin bulundurulması.</w:t>
      </w:r>
    </w:p>
    <w:p w14:paraId="71ED0236" w14:textId="77777777" w:rsidR="00B83A5B" w:rsidRPr="00F50C10" w:rsidRDefault="00B83A5B" w:rsidP="00A654AE">
      <w:pPr>
        <w:pStyle w:val="Balk3"/>
        <w:numPr>
          <w:ilvl w:val="2"/>
          <w:numId w:val="137"/>
        </w:numPr>
        <w:spacing w:line="276" w:lineRule="auto"/>
        <w:rPr>
          <w:rFonts w:cs="Times New Roman"/>
          <w:lang w:val="nl-NL"/>
        </w:rPr>
      </w:pPr>
      <w:bookmarkStart w:id="312" w:name="_Toc136866720"/>
      <w:r w:rsidRPr="00F50C10">
        <w:rPr>
          <w:rFonts w:cs="Times New Roman"/>
          <w:lang w:val="nl-NL"/>
        </w:rPr>
        <w:t>Tesis İşletimi</w:t>
      </w:r>
      <w:bookmarkEnd w:id="312"/>
    </w:p>
    <w:p w14:paraId="2C7AC143" w14:textId="6FB628F9" w:rsidR="00B83A5B" w:rsidRPr="00F50C10" w:rsidRDefault="00B83A5B" w:rsidP="000B206D">
      <w:pPr>
        <w:spacing w:before="240" w:line="276" w:lineRule="auto"/>
        <w:rPr>
          <w:rFonts w:cs="Times New Roman"/>
          <w:szCs w:val="24"/>
          <w:lang w:val="nl-NL"/>
        </w:rPr>
      </w:pPr>
      <w:r w:rsidRPr="00F50C10">
        <w:rPr>
          <w:rFonts w:cs="Times New Roman"/>
          <w:b/>
          <w:bCs/>
          <w:szCs w:val="24"/>
          <w:lang w:val="nl-NL"/>
        </w:rPr>
        <w:t xml:space="preserve">MET </w:t>
      </w:r>
      <w:r w:rsidR="00805E08">
        <w:rPr>
          <w:rFonts w:cs="Times New Roman"/>
          <w:b/>
          <w:bCs/>
          <w:szCs w:val="24"/>
          <w:lang w:val="nl-NL"/>
        </w:rPr>
        <w:t>1</w:t>
      </w:r>
      <w:r w:rsidR="004F707B">
        <w:rPr>
          <w:rFonts w:cs="Times New Roman"/>
          <w:b/>
          <w:bCs/>
          <w:szCs w:val="24"/>
          <w:lang w:val="nl-NL"/>
        </w:rPr>
        <w:t>7</w:t>
      </w:r>
      <w:r w:rsidRPr="00F50C10">
        <w:rPr>
          <w:rFonts w:cs="Times New Roman"/>
          <w:b/>
          <w:bCs/>
          <w:szCs w:val="24"/>
          <w:lang w:val="nl-NL"/>
        </w:rPr>
        <w:t xml:space="preserve">: </w:t>
      </w:r>
      <w:r w:rsidRPr="00F50C10">
        <w:rPr>
          <w:rFonts w:cs="Times New Roman"/>
          <w:szCs w:val="24"/>
          <w:lang w:val="nl-NL"/>
        </w:rPr>
        <w:t>Tesis işletiminde bilgisayarlı kontrol sisteminden yararlanıl</w:t>
      </w:r>
      <w:r w:rsidR="00604B1F" w:rsidRPr="00F50C10">
        <w:rPr>
          <w:rFonts w:cs="Times New Roman"/>
          <w:szCs w:val="24"/>
          <w:lang w:val="nl-NL"/>
        </w:rPr>
        <w:t>ır</w:t>
      </w:r>
      <w:r w:rsidRPr="00F50C10">
        <w:rPr>
          <w:rFonts w:cs="Times New Roman"/>
          <w:szCs w:val="24"/>
          <w:lang w:val="nl-NL"/>
        </w:rPr>
        <w:t>.</w:t>
      </w:r>
      <w:r w:rsidR="004F707B" w:rsidRPr="004F707B">
        <w:rPr>
          <w:rFonts w:cs="Times New Roman"/>
          <w:szCs w:val="24"/>
        </w:rPr>
        <w:t xml:space="preserve"> </w:t>
      </w:r>
      <w:r w:rsidR="004F707B">
        <w:rPr>
          <w:rFonts w:cs="Times New Roman"/>
          <w:szCs w:val="24"/>
        </w:rPr>
        <w:t>(</w:t>
      </w:r>
      <w:r w:rsidR="004F707B" w:rsidRPr="00BC3A2D">
        <w:rPr>
          <w:rFonts w:cs="Times New Roman"/>
          <w:szCs w:val="24"/>
        </w:rPr>
        <w:t xml:space="preserve">Detaylı bilgi için Özel İnorganik Kimyasalların Üretimi İçin MET Referans Belgesinin </w:t>
      </w:r>
      <w:r w:rsidR="004F707B">
        <w:rPr>
          <w:rFonts w:cs="Times New Roman"/>
          <w:szCs w:val="24"/>
        </w:rPr>
        <w:t xml:space="preserve">6.5.4.6 </w:t>
      </w:r>
      <w:r w:rsidR="004F707B" w:rsidRPr="00BC3A2D">
        <w:rPr>
          <w:rFonts w:cs="Times New Roman"/>
          <w:szCs w:val="24"/>
        </w:rPr>
        <w:t>kıs</w:t>
      </w:r>
      <w:r w:rsidR="004F707B">
        <w:rPr>
          <w:rFonts w:cs="Times New Roman"/>
          <w:szCs w:val="24"/>
        </w:rPr>
        <w:t>mını</w:t>
      </w:r>
      <w:r w:rsidR="004F707B" w:rsidRPr="00BC3A2D">
        <w:rPr>
          <w:rFonts w:cs="Times New Roman"/>
          <w:szCs w:val="24"/>
        </w:rPr>
        <w:t xml:space="preserve"> inceleyiniz.)</w:t>
      </w:r>
    </w:p>
    <w:p w14:paraId="7C54F3B0" w14:textId="33425A08" w:rsidR="00B83A5B" w:rsidRPr="00F50C10" w:rsidRDefault="00B83A5B" w:rsidP="000B206D">
      <w:pPr>
        <w:spacing w:before="240" w:line="276" w:lineRule="auto"/>
        <w:rPr>
          <w:rFonts w:cs="Times New Roman"/>
          <w:szCs w:val="24"/>
          <w:lang w:val="nl-NL"/>
        </w:rPr>
      </w:pPr>
      <w:r w:rsidRPr="00F50C10">
        <w:rPr>
          <w:rFonts w:cs="Times New Roman"/>
          <w:b/>
          <w:bCs/>
          <w:szCs w:val="24"/>
          <w:lang w:val="nl-NL"/>
        </w:rPr>
        <w:t xml:space="preserve">MET </w:t>
      </w:r>
      <w:r w:rsidR="00805E08">
        <w:rPr>
          <w:rFonts w:cs="Times New Roman"/>
          <w:b/>
          <w:bCs/>
          <w:szCs w:val="24"/>
          <w:lang w:val="nl-NL"/>
        </w:rPr>
        <w:t>1</w:t>
      </w:r>
      <w:r w:rsidR="004F707B">
        <w:rPr>
          <w:rFonts w:cs="Times New Roman"/>
          <w:b/>
          <w:bCs/>
          <w:szCs w:val="24"/>
          <w:lang w:val="nl-NL"/>
        </w:rPr>
        <w:t>8</w:t>
      </w:r>
      <w:r w:rsidRPr="00F50C10">
        <w:rPr>
          <w:rFonts w:cs="Times New Roman"/>
          <w:b/>
          <w:bCs/>
          <w:szCs w:val="24"/>
          <w:lang w:val="nl-NL"/>
        </w:rPr>
        <w:t xml:space="preserve">: </w:t>
      </w:r>
      <w:r w:rsidRPr="00F50C10">
        <w:rPr>
          <w:rFonts w:cs="Times New Roman"/>
          <w:szCs w:val="24"/>
          <w:lang w:val="nl-NL"/>
        </w:rPr>
        <w:t>Uluslararası Siyanür Yönetim Kodu ilkeleri uygulan</w:t>
      </w:r>
      <w:r w:rsidR="00604B1F" w:rsidRPr="00F50C10">
        <w:rPr>
          <w:rFonts w:cs="Times New Roman"/>
          <w:szCs w:val="24"/>
          <w:lang w:val="nl-NL"/>
        </w:rPr>
        <w:t>ı</w:t>
      </w:r>
      <w:r w:rsidRPr="00F50C10">
        <w:rPr>
          <w:rFonts w:cs="Times New Roman"/>
          <w:szCs w:val="24"/>
          <w:lang w:val="nl-NL"/>
        </w:rPr>
        <w:t xml:space="preserve">r. </w:t>
      </w:r>
      <w:r w:rsidR="004F707B">
        <w:rPr>
          <w:rFonts w:cs="Times New Roman"/>
          <w:szCs w:val="24"/>
        </w:rPr>
        <w:t>(</w:t>
      </w:r>
      <w:r w:rsidR="004F707B" w:rsidRPr="00BC3A2D">
        <w:rPr>
          <w:rFonts w:cs="Times New Roman"/>
          <w:szCs w:val="24"/>
        </w:rPr>
        <w:t xml:space="preserve">Detaylı bilgi için Özel İnorganik Kimyasalların Üretimi İçin MET Referans Belgesinin </w:t>
      </w:r>
      <w:r w:rsidR="004F707B">
        <w:rPr>
          <w:rFonts w:cs="Times New Roman"/>
          <w:szCs w:val="24"/>
        </w:rPr>
        <w:t xml:space="preserve">6.5.4.8 </w:t>
      </w:r>
      <w:r w:rsidR="004F707B" w:rsidRPr="00BC3A2D">
        <w:rPr>
          <w:rFonts w:cs="Times New Roman"/>
          <w:szCs w:val="24"/>
        </w:rPr>
        <w:t>kıs</w:t>
      </w:r>
      <w:r w:rsidR="004F707B">
        <w:rPr>
          <w:rFonts w:cs="Times New Roman"/>
          <w:szCs w:val="24"/>
        </w:rPr>
        <w:t>mını</w:t>
      </w:r>
      <w:r w:rsidR="004F707B" w:rsidRPr="00BC3A2D">
        <w:rPr>
          <w:rFonts w:cs="Times New Roman"/>
          <w:szCs w:val="24"/>
        </w:rPr>
        <w:t xml:space="preserve"> inceleyiniz.)</w:t>
      </w:r>
      <w:r w:rsidR="004F707B">
        <w:rPr>
          <w:rFonts w:cs="Times New Roman"/>
          <w:szCs w:val="24"/>
        </w:rPr>
        <w:t xml:space="preserve"> </w:t>
      </w:r>
      <w:r w:rsidRPr="00F50C10">
        <w:rPr>
          <w:rFonts w:cs="Times New Roman"/>
          <w:szCs w:val="24"/>
          <w:lang w:val="nl-NL"/>
        </w:rPr>
        <w:t>Bu kapsamda aşağıdakilerin her ikisi de yer almaktadır:</w:t>
      </w:r>
    </w:p>
    <w:p w14:paraId="6215AAA9" w14:textId="77777777" w:rsidR="00B83A5B" w:rsidRPr="00F50C10" w:rsidRDefault="00B83A5B" w:rsidP="00A654AE">
      <w:pPr>
        <w:pStyle w:val="ListeParagraf"/>
        <w:numPr>
          <w:ilvl w:val="0"/>
          <w:numId w:val="132"/>
        </w:numPr>
        <w:spacing w:after="120" w:line="276" w:lineRule="auto"/>
        <w:rPr>
          <w:rFonts w:cs="Times New Roman"/>
          <w:szCs w:val="24"/>
          <w:lang w:val="nl-NL"/>
        </w:rPr>
      </w:pPr>
      <w:r w:rsidRPr="00F50C10">
        <w:rPr>
          <w:rFonts w:cs="Times New Roman"/>
          <w:szCs w:val="24"/>
          <w:lang w:val="nl-NL"/>
        </w:rPr>
        <w:t>siyanürlerin üretiminde güvenlik, çevre ve kalite açısından oldukça yüksek standartların uygulanması,</w:t>
      </w:r>
    </w:p>
    <w:p w14:paraId="7440FBD2" w14:textId="77777777" w:rsidR="00B83A5B" w:rsidRPr="00F50C10" w:rsidRDefault="00B83A5B" w:rsidP="00A654AE">
      <w:pPr>
        <w:pStyle w:val="ListeParagraf"/>
        <w:numPr>
          <w:ilvl w:val="0"/>
          <w:numId w:val="132"/>
        </w:numPr>
        <w:spacing w:after="120" w:line="276" w:lineRule="auto"/>
        <w:rPr>
          <w:rFonts w:cs="Times New Roman"/>
          <w:szCs w:val="24"/>
        </w:rPr>
      </w:pPr>
      <w:r w:rsidRPr="00F50C10">
        <w:rPr>
          <w:rFonts w:cs="Times New Roman"/>
          <w:szCs w:val="24"/>
        </w:rPr>
        <w:t>denetim, sertifikalandırma ve tesis personelinin eğitimi gibi faaliyetlerin yürütülmesi.</w:t>
      </w:r>
    </w:p>
    <w:p w14:paraId="7C098CBD" w14:textId="6E14E845" w:rsidR="00B83A5B" w:rsidRPr="00F50C10" w:rsidRDefault="00594F88" w:rsidP="00A654AE">
      <w:pPr>
        <w:pStyle w:val="Balk3"/>
        <w:numPr>
          <w:ilvl w:val="2"/>
          <w:numId w:val="137"/>
        </w:numPr>
        <w:spacing w:before="0" w:line="276" w:lineRule="auto"/>
        <w:rPr>
          <w:rFonts w:cs="Times New Roman"/>
          <w:lang w:val="nl-NL"/>
        </w:rPr>
      </w:pPr>
      <w:bookmarkStart w:id="313" w:name="_Toc136866721"/>
      <w:r w:rsidRPr="00F50C10">
        <w:rPr>
          <w:rFonts w:cs="Times New Roman"/>
          <w:lang w:val="nl-NL"/>
        </w:rPr>
        <w:t xml:space="preserve"> </w:t>
      </w:r>
      <w:r w:rsidR="00B83A5B" w:rsidRPr="00F50C10">
        <w:rPr>
          <w:rFonts w:cs="Times New Roman"/>
          <w:lang w:val="nl-NL"/>
        </w:rPr>
        <w:t>Personel Eğitimi</w:t>
      </w:r>
      <w:bookmarkEnd w:id="313"/>
    </w:p>
    <w:p w14:paraId="15692CC4" w14:textId="277685DC" w:rsidR="00B83A5B" w:rsidRPr="00F50C10" w:rsidRDefault="00B83A5B" w:rsidP="000B206D">
      <w:pPr>
        <w:spacing w:after="120" w:line="276" w:lineRule="auto"/>
        <w:rPr>
          <w:rFonts w:cs="Times New Roman"/>
          <w:b/>
          <w:bCs/>
          <w:szCs w:val="24"/>
          <w:lang w:val="nl-NL"/>
        </w:rPr>
      </w:pPr>
      <w:r w:rsidRPr="00F50C10">
        <w:rPr>
          <w:rFonts w:cs="Times New Roman"/>
          <w:b/>
          <w:bCs/>
          <w:szCs w:val="24"/>
          <w:lang w:val="nl-NL"/>
        </w:rPr>
        <w:t xml:space="preserve">MET </w:t>
      </w:r>
      <w:r w:rsidR="00805E08">
        <w:rPr>
          <w:rFonts w:cs="Times New Roman"/>
          <w:b/>
          <w:bCs/>
          <w:szCs w:val="24"/>
          <w:lang w:val="nl-NL"/>
        </w:rPr>
        <w:t>1</w:t>
      </w:r>
      <w:r w:rsidR="004F707B">
        <w:rPr>
          <w:rFonts w:cs="Times New Roman"/>
          <w:b/>
          <w:bCs/>
          <w:szCs w:val="24"/>
          <w:lang w:val="nl-NL"/>
        </w:rPr>
        <w:t>9</w:t>
      </w:r>
      <w:r w:rsidRPr="00F50C10">
        <w:rPr>
          <w:rFonts w:cs="Times New Roman"/>
          <w:b/>
          <w:bCs/>
          <w:szCs w:val="24"/>
          <w:lang w:val="nl-NL"/>
        </w:rPr>
        <w:t xml:space="preserve">: </w:t>
      </w:r>
      <w:r w:rsidRPr="004F707B">
        <w:rPr>
          <w:rFonts w:cs="Times New Roman"/>
          <w:szCs w:val="24"/>
          <w:lang w:val="nl-NL"/>
        </w:rPr>
        <w:t xml:space="preserve">Personele üst düzey ve sürekli eğitim verilmesidir. </w:t>
      </w:r>
      <w:r w:rsidR="004F707B" w:rsidRPr="004F707B">
        <w:rPr>
          <w:rFonts w:cs="Times New Roman"/>
          <w:szCs w:val="24"/>
        </w:rPr>
        <w:t>(Detaylı bilgi için Özel İnorganik Kimyasalların Üretimi İçin MET Referans Belgesinin 6.5.4.11 kısmını inceleyiniz.)</w:t>
      </w:r>
      <w:r w:rsidRPr="004F707B">
        <w:rPr>
          <w:rFonts w:cs="Times New Roman"/>
          <w:szCs w:val="24"/>
          <w:lang w:val="nl-NL"/>
        </w:rPr>
        <w:t>Bu kapsamda aşağıdakilerin tamamı yer almaktadır</w:t>
      </w:r>
      <w:r w:rsidRPr="00F50C10">
        <w:rPr>
          <w:rFonts w:cs="Times New Roman"/>
          <w:b/>
          <w:bCs/>
          <w:szCs w:val="24"/>
          <w:lang w:val="nl-NL"/>
        </w:rPr>
        <w:t>:</w:t>
      </w:r>
    </w:p>
    <w:p w14:paraId="7EE729A6" w14:textId="77777777" w:rsidR="00B83A5B" w:rsidRPr="00F50C10" w:rsidRDefault="00B83A5B" w:rsidP="00A654AE">
      <w:pPr>
        <w:pStyle w:val="ListeParagraf"/>
        <w:numPr>
          <w:ilvl w:val="0"/>
          <w:numId w:val="133"/>
        </w:numPr>
        <w:spacing w:after="120" w:line="276" w:lineRule="auto"/>
        <w:rPr>
          <w:rFonts w:cs="Times New Roman"/>
          <w:szCs w:val="24"/>
          <w:lang w:val="nl-NL"/>
        </w:rPr>
      </w:pPr>
      <w:r w:rsidRPr="00F50C10">
        <w:rPr>
          <w:rFonts w:cs="Times New Roman"/>
          <w:szCs w:val="24"/>
          <w:lang w:val="nl-NL"/>
        </w:rPr>
        <w:t>kimya mühendisliği ve operasyonlar açısından personele iyi temel eğitimin verilmesi,</w:t>
      </w:r>
    </w:p>
    <w:p w14:paraId="0535CC54" w14:textId="77777777" w:rsidR="00B83A5B" w:rsidRPr="00F50C10" w:rsidRDefault="00B83A5B" w:rsidP="00A654AE">
      <w:pPr>
        <w:pStyle w:val="ListeParagraf"/>
        <w:numPr>
          <w:ilvl w:val="0"/>
          <w:numId w:val="133"/>
        </w:numPr>
        <w:spacing w:after="120" w:line="276" w:lineRule="auto"/>
        <w:rPr>
          <w:rFonts w:cs="Times New Roman"/>
          <w:szCs w:val="24"/>
        </w:rPr>
      </w:pPr>
      <w:r w:rsidRPr="00F50C10">
        <w:rPr>
          <w:rFonts w:cs="Times New Roman"/>
          <w:szCs w:val="24"/>
          <w:lang w:val="nl-NL"/>
        </w:rPr>
        <w:t>tesis personeline işleri hakkında sürekli eğitim verilmesi,</w:t>
      </w:r>
    </w:p>
    <w:p w14:paraId="1AE87F97" w14:textId="77777777" w:rsidR="00604B1F" w:rsidRPr="00F50C10" w:rsidRDefault="00B83A5B" w:rsidP="00A654AE">
      <w:pPr>
        <w:pStyle w:val="ListeParagraf"/>
        <w:numPr>
          <w:ilvl w:val="0"/>
          <w:numId w:val="133"/>
        </w:numPr>
        <w:spacing w:after="120" w:line="276" w:lineRule="auto"/>
        <w:rPr>
          <w:rFonts w:cs="Times New Roman"/>
          <w:szCs w:val="24"/>
        </w:rPr>
      </w:pPr>
      <w:r w:rsidRPr="00F50C10">
        <w:rPr>
          <w:rFonts w:cs="Times New Roman"/>
          <w:szCs w:val="24"/>
        </w:rPr>
        <w:t xml:space="preserve">personelin performansının </w:t>
      </w:r>
      <w:r w:rsidR="00604B1F" w:rsidRPr="00F50C10">
        <w:rPr>
          <w:rFonts w:cs="Times New Roman"/>
          <w:szCs w:val="24"/>
        </w:rPr>
        <w:t>düzenli</w:t>
      </w:r>
      <w:r w:rsidRPr="00F50C10">
        <w:rPr>
          <w:rFonts w:cs="Times New Roman"/>
          <w:szCs w:val="24"/>
        </w:rPr>
        <w:t xml:space="preserve"> olarak değerlendirilmesi ve kaydedilmesi,</w:t>
      </w:r>
    </w:p>
    <w:p w14:paraId="2CE24A6A" w14:textId="5B2ED458" w:rsidR="00A52778" w:rsidRDefault="00B83A5B" w:rsidP="00A654AE">
      <w:pPr>
        <w:pStyle w:val="ListeParagraf"/>
        <w:numPr>
          <w:ilvl w:val="0"/>
          <w:numId w:val="133"/>
        </w:numPr>
        <w:spacing w:after="120" w:line="276" w:lineRule="auto"/>
        <w:rPr>
          <w:rFonts w:cs="Times New Roman"/>
          <w:szCs w:val="24"/>
        </w:rPr>
      </w:pPr>
      <w:r w:rsidRPr="00F50C10">
        <w:rPr>
          <w:rFonts w:cs="Times New Roman"/>
          <w:szCs w:val="24"/>
        </w:rPr>
        <w:t>personel</w:t>
      </w:r>
      <w:r w:rsidR="00604B1F" w:rsidRPr="00F50C10">
        <w:rPr>
          <w:rFonts w:cs="Times New Roman"/>
          <w:szCs w:val="24"/>
        </w:rPr>
        <w:t xml:space="preserve">in acil </w:t>
      </w:r>
      <w:r w:rsidRPr="00F50C10">
        <w:rPr>
          <w:rFonts w:cs="Times New Roman"/>
          <w:szCs w:val="24"/>
        </w:rPr>
        <w:t>acil durumlara</w:t>
      </w:r>
      <w:r w:rsidR="00604B1F" w:rsidRPr="00F50C10">
        <w:rPr>
          <w:rFonts w:cs="Times New Roman"/>
          <w:szCs w:val="24"/>
        </w:rPr>
        <w:t xml:space="preserve"> nasıl</w:t>
      </w:r>
      <w:r w:rsidRPr="00F50C10">
        <w:rPr>
          <w:rFonts w:cs="Times New Roman"/>
          <w:szCs w:val="24"/>
        </w:rPr>
        <w:t xml:space="preserve"> müdahale</w:t>
      </w:r>
      <w:r w:rsidR="00604B1F" w:rsidRPr="00F50C10">
        <w:rPr>
          <w:rFonts w:cs="Times New Roman"/>
          <w:szCs w:val="24"/>
        </w:rPr>
        <w:t xml:space="preserve"> edileceği</w:t>
      </w:r>
      <w:r w:rsidRPr="00F50C10">
        <w:rPr>
          <w:rFonts w:cs="Times New Roman"/>
          <w:szCs w:val="24"/>
        </w:rPr>
        <w:t>, iş sağlığı ve güvenliği</w:t>
      </w:r>
      <w:r w:rsidR="00604B1F" w:rsidRPr="00F50C10">
        <w:rPr>
          <w:rFonts w:cs="Times New Roman"/>
          <w:szCs w:val="24"/>
        </w:rPr>
        <w:t>, ürün ve nakliye güvenliği yönetmelikleri konusunda düzenli olarak eğitilmesi.</w:t>
      </w:r>
    </w:p>
    <w:p w14:paraId="2E952AA8" w14:textId="77777777" w:rsidR="00A52778" w:rsidRDefault="00A52778">
      <w:pPr>
        <w:spacing w:after="160" w:line="259" w:lineRule="auto"/>
        <w:jc w:val="left"/>
        <w:rPr>
          <w:rFonts w:cs="Times New Roman"/>
          <w:szCs w:val="24"/>
        </w:rPr>
      </w:pPr>
      <w:r>
        <w:rPr>
          <w:rFonts w:cs="Times New Roman"/>
          <w:szCs w:val="24"/>
        </w:rPr>
        <w:br w:type="page"/>
      </w:r>
    </w:p>
    <w:p w14:paraId="725241C5" w14:textId="2C809A35" w:rsidR="00A52778" w:rsidRPr="00F50C10" w:rsidRDefault="00A52778" w:rsidP="00A52778">
      <w:pPr>
        <w:spacing w:line="276" w:lineRule="auto"/>
        <w:ind w:left="7788" w:firstLine="708"/>
        <w:rPr>
          <w:rFonts w:cs="Times New Roman"/>
          <w:b/>
          <w:bCs/>
          <w:szCs w:val="24"/>
        </w:rPr>
      </w:pPr>
      <w:r w:rsidRPr="00F50C10">
        <w:rPr>
          <w:rFonts w:cs="Times New Roman"/>
          <w:b/>
          <w:bCs/>
          <w:szCs w:val="24"/>
        </w:rPr>
        <w:t>EK-</w:t>
      </w:r>
      <w:r>
        <w:rPr>
          <w:rFonts w:cs="Times New Roman"/>
          <w:b/>
          <w:bCs/>
          <w:szCs w:val="24"/>
        </w:rPr>
        <w:t>8</w:t>
      </w:r>
    </w:p>
    <w:p w14:paraId="25C375C0" w14:textId="76E3191F" w:rsidR="00A52778" w:rsidRDefault="00A52778" w:rsidP="00A52778">
      <w:pPr>
        <w:pStyle w:val="ResimYazs"/>
        <w:spacing w:line="276" w:lineRule="auto"/>
        <w:jc w:val="center"/>
        <w:rPr>
          <w:rFonts w:cs="Times New Roman"/>
          <w:szCs w:val="24"/>
        </w:rPr>
      </w:pPr>
      <w:r w:rsidRPr="00A52778">
        <w:rPr>
          <w:rFonts w:cs="Times New Roman"/>
          <w:szCs w:val="24"/>
        </w:rPr>
        <w:t xml:space="preserve">KİMYA SEKTÖRÜNDE </w:t>
      </w:r>
      <w:r>
        <w:rPr>
          <w:rFonts w:cs="Times New Roman"/>
          <w:szCs w:val="24"/>
        </w:rPr>
        <w:t>ORTAK</w:t>
      </w:r>
      <w:r w:rsidRPr="00A52778">
        <w:rPr>
          <w:rFonts w:cs="Times New Roman"/>
          <w:szCs w:val="24"/>
        </w:rPr>
        <w:t xml:space="preserve"> ATIK GAZ YÖNETİMİ VE ARITMA SİSTEMLERİ İÇİ</w:t>
      </w:r>
      <w:r>
        <w:rPr>
          <w:rFonts w:cs="Times New Roman"/>
          <w:szCs w:val="24"/>
        </w:rPr>
        <w:t>N MEVCUT EN İYİ TEKNİKLER</w:t>
      </w:r>
    </w:p>
    <w:p w14:paraId="635A36BB" w14:textId="57E1233F" w:rsidR="00A52778" w:rsidRDefault="00A52778" w:rsidP="00A52778"/>
    <w:p w14:paraId="6BB9E676" w14:textId="77777777" w:rsidR="00A52778" w:rsidRPr="001450E5" w:rsidRDefault="00A52778" w:rsidP="00A52778">
      <w:pPr>
        <w:pStyle w:val="GvdeMetni"/>
        <w:spacing w:before="8"/>
        <w:jc w:val="center"/>
        <w:rPr>
          <w:b/>
          <w:szCs w:val="24"/>
        </w:rPr>
      </w:pPr>
      <w:r w:rsidRPr="001450E5">
        <w:rPr>
          <w:b/>
          <w:szCs w:val="24"/>
        </w:rPr>
        <w:t>Genel MET’ler, Sektörel MET’ler ve Emisyon Seviyeleri</w:t>
      </w:r>
    </w:p>
    <w:p w14:paraId="55CB337A" w14:textId="77777777" w:rsidR="00A52778" w:rsidRPr="001450E5" w:rsidRDefault="00A52778" w:rsidP="00A52778">
      <w:pPr>
        <w:pStyle w:val="GvdeMetni"/>
        <w:spacing w:before="8"/>
        <w:jc w:val="center"/>
        <w:rPr>
          <w:b/>
          <w:szCs w:val="24"/>
        </w:rPr>
      </w:pPr>
    </w:p>
    <w:p w14:paraId="6F82BDD6" w14:textId="77777777" w:rsidR="00A52778" w:rsidRPr="001450E5" w:rsidRDefault="00A52778" w:rsidP="00A52778">
      <w:pPr>
        <w:rPr>
          <w:b/>
        </w:rPr>
      </w:pPr>
      <w:bookmarkStart w:id="314" w:name="_Toc134453364"/>
      <w:r w:rsidRPr="001450E5">
        <w:rPr>
          <w:b/>
        </w:rPr>
        <w:t>2.1  Genel MET’ler</w:t>
      </w:r>
      <w:bookmarkEnd w:id="314"/>
    </w:p>
    <w:p w14:paraId="05B9B7E0" w14:textId="77777777" w:rsidR="00A52778" w:rsidRPr="00460F9E" w:rsidRDefault="00A52778" w:rsidP="00A52778">
      <w:pPr>
        <w:spacing w:line="256" w:lineRule="exact"/>
        <w:rPr>
          <w:rFonts w:eastAsia="Times New Roman" w:cs="Times New Roman"/>
        </w:rPr>
      </w:pPr>
    </w:p>
    <w:p w14:paraId="40CFCD0A" w14:textId="77777777" w:rsidR="00A52778" w:rsidRPr="00460F9E" w:rsidRDefault="00A52778" w:rsidP="00A52778">
      <w:pPr>
        <w:pStyle w:val="AralkYok"/>
      </w:pPr>
      <w:r w:rsidRPr="00460F9E">
        <w:t xml:space="preserve">2.1.1 </w:t>
      </w:r>
      <w:r w:rsidRPr="00460F9E">
        <w:rPr>
          <w:rFonts w:eastAsia="Times New Roman"/>
        </w:rPr>
        <w:tab/>
      </w:r>
      <w:r w:rsidRPr="00460F9E">
        <w:t>Çevresel yönetim sistemleri</w:t>
      </w:r>
    </w:p>
    <w:p w14:paraId="7EF9C91A" w14:textId="77777777" w:rsidR="00A52778" w:rsidRPr="00460F9E" w:rsidRDefault="00A52778" w:rsidP="00A52778">
      <w:pPr>
        <w:spacing w:line="304" w:lineRule="exact"/>
        <w:rPr>
          <w:rFonts w:eastAsia="Times New Roman" w:cs="Times New Roman"/>
        </w:rPr>
      </w:pPr>
    </w:p>
    <w:p w14:paraId="4FA4EDCB" w14:textId="77777777" w:rsidR="00A52778" w:rsidRPr="00460F9E" w:rsidRDefault="00A52778" w:rsidP="00A52778">
      <w:pPr>
        <w:spacing w:line="236" w:lineRule="auto"/>
        <w:ind w:right="826"/>
        <w:rPr>
          <w:rFonts w:eastAsia="Times New Roman" w:cs="Times New Roman"/>
          <w:b/>
        </w:rPr>
      </w:pPr>
      <w:r>
        <w:rPr>
          <w:rFonts w:eastAsia="Times New Roman" w:cs="Times New Roman"/>
        </w:rPr>
        <w:t>MET 1: G</w:t>
      </w:r>
      <w:r w:rsidRPr="00460F9E">
        <w:rPr>
          <w:rFonts w:eastAsia="Times New Roman" w:cs="Times New Roman"/>
        </w:rPr>
        <w:t>enel çevre performansını iyileştirmek için aşağıdaki özelliklerin tümünü içeren bir çevre yönetim sistemi (ÇYS) hazırlamak ve uygulamaktır:</w:t>
      </w:r>
    </w:p>
    <w:p w14:paraId="05436EA0" w14:textId="77777777" w:rsidR="00A52778" w:rsidRPr="00460F9E" w:rsidRDefault="00A52778" w:rsidP="00A52778">
      <w:pPr>
        <w:spacing w:line="300" w:lineRule="exact"/>
        <w:rPr>
          <w:rFonts w:eastAsia="Times New Roman" w:cs="Times New Roman"/>
          <w:b/>
        </w:rPr>
      </w:pPr>
    </w:p>
    <w:p w14:paraId="06F7967E" w14:textId="77777777" w:rsidR="00A52778" w:rsidRPr="00460F9E" w:rsidRDefault="00A52778" w:rsidP="00A52778">
      <w:pPr>
        <w:numPr>
          <w:ilvl w:val="0"/>
          <w:numId w:val="204"/>
        </w:numPr>
        <w:tabs>
          <w:tab w:val="left" w:pos="980"/>
        </w:tabs>
        <w:spacing w:line="235" w:lineRule="auto"/>
        <w:ind w:left="980" w:right="826" w:hanging="536"/>
        <w:jc w:val="left"/>
        <w:rPr>
          <w:rFonts w:eastAsia="Times New Roman" w:cs="Times New Roman"/>
          <w:b/>
        </w:rPr>
      </w:pPr>
      <w:r w:rsidRPr="00460F9E">
        <w:rPr>
          <w:rFonts w:eastAsia="Times New Roman" w:cs="Times New Roman"/>
        </w:rPr>
        <w:t>Etkin bir ÇYS' nin uygulanması için üst yönetim de dahil olmak üzere yönetimin taahhüdü, liderliği ve hesap verebilirliği;</w:t>
      </w:r>
    </w:p>
    <w:p w14:paraId="6355133F" w14:textId="77777777" w:rsidR="00A52778" w:rsidRPr="00460F9E" w:rsidRDefault="00A52778" w:rsidP="00A52778">
      <w:pPr>
        <w:spacing w:line="10" w:lineRule="exact"/>
        <w:rPr>
          <w:rFonts w:eastAsia="Times New Roman" w:cs="Times New Roman"/>
          <w:b/>
        </w:rPr>
      </w:pPr>
    </w:p>
    <w:p w14:paraId="51D04FEC" w14:textId="77777777" w:rsidR="00A52778" w:rsidRPr="00460F9E" w:rsidRDefault="00A52778" w:rsidP="00A52778">
      <w:pPr>
        <w:numPr>
          <w:ilvl w:val="0"/>
          <w:numId w:val="204"/>
        </w:numPr>
        <w:tabs>
          <w:tab w:val="left" w:pos="980"/>
        </w:tabs>
        <w:spacing w:line="237" w:lineRule="auto"/>
        <w:ind w:left="980" w:right="826" w:hanging="598"/>
        <w:rPr>
          <w:rFonts w:eastAsia="Times New Roman" w:cs="Times New Roman"/>
          <w:b/>
        </w:rPr>
      </w:pPr>
      <w:r w:rsidRPr="00460F9E">
        <w:rPr>
          <w:rFonts w:eastAsia="Times New Roman" w:cs="Times New Roman"/>
        </w:rPr>
        <w:t>Kuruluşun bağlamının belirlenmesini, ilgili tarafların ihtiyaç ve beklentilerinin tanımlanmasını, tesisin çevre (veya insan sağlığı) için olası risklerle ilişkili özelliklerinin ve çevreyle ilgili geçerli yasal gerekliliklerin tanımlanmasını içeren bir analiz;</w:t>
      </w:r>
    </w:p>
    <w:p w14:paraId="3F96EA20" w14:textId="77777777" w:rsidR="00A52778" w:rsidRPr="00460F9E" w:rsidRDefault="00A52778" w:rsidP="00A52778">
      <w:pPr>
        <w:spacing w:line="15" w:lineRule="exact"/>
        <w:rPr>
          <w:rFonts w:eastAsia="Times New Roman" w:cs="Times New Roman"/>
          <w:b/>
        </w:rPr>
      </w:pPr>
    </w:p>
    <w:p w14:paraId="1BA09BDA" w14:textId="77777777" w:rsidR="00A52778" w:rsidRPr="00460F9E" w:rsidRDefault="00A52778" w:rsidP="00A52778">
      <w:pPr>
        <w:numPr>
          <w:ilvl w:val="0"/>
          <w:numId w:val="204"/>
        </w:numPr>
        <w:tabs>
          <w:tab w:val="left" w:pos="980"/>
        </w:tabs>
        <w:spacing w:line="234" w:lineRule="auto"/>
        <w:ind w:left="980" w:right="826" w:hanging="658"/>
        <w:jc w:val="left"/>
        <w:rPr>
          <w:rFonts w:eastAsia="Times New Roman" w:cs="Times New Roman"/>
          <w:b/>
        </w:rPr>
      </w:pPr>
      <w:r w:rsidRPr="00460F9E">
        <w:rPr>
          <w:rFonts w:eastAsia="Times New Roman" w:cs="Times New Roman"/>
        </w:rPr>
        <w:t>Tesisin çevresel performansının sürekli iyileştirilmesini içeren bir çevre politikasının geliştirilmesi;</w:t>
      </w:r>
    </w:p>
    <w:p w14:paraId="7B87C5F2" w14:textId="77777777" w:rsidR="00A52778" w:rsidRPr="00460F9E" w:rsidRDefault="00A52778" w:rsidP="00A52778">
      <w:pPr>
        <w:spacing w:line="13" w:lineRule="exact"/>
        <w:rPr>
          <w:rFonts w:eastAsia="Times New Roman" w:cs="Times New Roman"/>
          <w:b/>
        </w:rPr>
      </w:pPr>
    </w:p>
    <w:p w14:paraId="22C1C742" w14:textId="77777777" w:rsidR="00A52778" w:rsidRPr="00460F9E" w:rsidRDefault="00A52778" w:rsidP="00A52778">
      <w:pPr>
        <w:numPr>
          <w:ilvl w:val="0"/>
          <w:numId w:val="204"/>
        </w:numPr>
        <w:tabs>
          <w:tab w:val="left" w:pos="980"/>
        </w:tabs>
        <w:spacing w:line="236" w:lineRule="auto"/>
        <w:ind w:left="980" w:right="826" w:hanging="646"/>
        <w:rPr>
          <w:rFonts w:eastAsia="Times New Roman" w:cs="Times New Roman"/>
          <w:b/>
        </w:rPr>
      </w:pPr>
      <w:r w:rsidRPr="00460F9E">
        <w:rPr>
          <w:rFonts w:eastAsia="Times New Roman" w:cs="Times New Roman"/>
        </w:rPr>
        <w:t>Yürürlükteki yasal gerekliliklere uyumun güvence altına alınması da dahil olmak üzere, önemli çevresel hususlara ilişkin hedeflerin ve performans göstergelerinin oluşturulması;</w:t>
      </w:r>
    </w:p>
    <w:p w14:paraId="7F05E9A4" w14:textId="77777777" w:rsidR="00A52778" w:rsidRPr="00460F9E" w:rsidRDefault="00A52778" w:rsidP="00A52778">
      <w:pPr>
        <w:spacing w:line="12" w:lineRule="exact"/>
        <w:rPr>
          <w:rFonts w:eastAsia="Times New Roman" w:cs="Times New Roman"/>
          <w:b/>
        </w:rPr>
      </w:pPr>
    </w:p>
    <w:p w14:paraId="20E14166" w14:textId="77777777" w:rsidR="00A52778" w:rsidRPr="00460F9E" w:rsidRDefault="00A52778" w:rsidP="00A52778">
      <w:pPr>
        <w:numPr>
          <w:ilvl w:val="0"/>
          <w:numId w:val="204"/>
        </w:numPr>
        <w:tabs>
          <w:tab w:val="left" w:pos="980"/>
        </w:tabs>
        <w:spacing w:line="236" w:lineRule="auto"/>
        <w:ind w:left="980" w:right="826" w:hanging="586"/>
        <w:rPr>
          <w:rFonts w:eastAsia="Times New Roman" w:cs="Times New Roman"/>
          <w:b/>
        </w:rPr>
      </w:pPr>
      <w:r w:rsidRPr="00460F9E">
        <w:rPr>
          <w:rFonts w:eastAsia="Times New Roman" w:cs="Times New Roman"/>
        </w:rPr>
        <w:t>Çevresel hedeflere ulaşmak ve çevresel risklerden kaçınmak için gerekli prosedürleri ve eylemleri (gerektiğinde düzeltici ve önleyici eylemler dahil) planlamak ve uygulamak;</w:t>
      </w:r>
    </w:p>
    <w:p w14:paraId="7C96B39A" w14:textId="77777777" w:rsidR="00A52778" w:rsidRPr="00460F9E" w:rsidRDefault="00A52778" w:rsidP="00A52778">
      <w:pPr>
        <w:spacing w:line="12" w:lineRule="exact"/>
        <w:rPr>
          <w:rFonts w:eastAsia="Times New Roman" w:cs="Times New Roman"/>
          <w:b/>
        </w:rPr>
      </w:pPr>
    </w:p>
    <w:p w14:paraId="3C751B13" w14:textId="77777777" w:rsidR="00A52778" w:rsidRPr="00460F9E" w:rsidRDefault="00A52778" w:rsidP="00A52778">
      <w:pPr>
        <w:numPr>
          <w:ilvl w:val="0"/>
          <w:numId w:val="204"/>
        </w:numPr>
        <w:tabs>
          <w:tab w:val="left" w:pos="980"/>
        </w:tabs>
        <w:spacing w:line="235" w:lineRule="auto"/>
        <w:ind w:left="980" w:right="826" w:hanging="646"/>
        <w:jc w:val="left"/>
        <w:rPr>
          <w:rFonts w:eastAsia="Times New Roman" w:cs="Times New Roman"/>
          <w:b/>
        </w:rPr>
      </w:pPr>
      <w:r w:rsidRPr="00460F9E">
        <w:rPr>
          <w:rFonts w:eastAsia="Times New Roman" w:cs="Times New Roman"/>
        </w:rPr>
        <w:t>çevresel boyutlar ve hedeflerle ilgili yapıların, rollerin ve sorumlulukların belirlenmesi ve ihtiyaç duyulan mali ve insan kaynaklarının sağlanması.;</w:t>
      </w:r>
    </w:p>
    <w:p w14:paraId="739C72C1" w14:textId="77777777" w:rsidR="00A52778" w:rsidRPr="00460F9E" w:rsidRDefault="00A52778" w:rsidP="00A52778">
      <w:pPr>
        <w:spacing w:line="10" w:lineRule="exact"/>
        <w:rPr>
          <w:rFonts w:eastAsia="Times New Roman" w:cs="Times New Roman"/>
          <w:b/>
        </w:rPr>
      </w:pPr>
    </w:p>
    <w:p w14:paraId="53EB418F" w14:textId="77777777" w:rsidR="00A52778" w:rsidRPr="00460F9E" w:rsidRDefault="00A52778" w:rsidP="00A52778">
      <w:pPr>
        <w:numPr>
          <w:ilvl w:val="0"/>
          <w:numId w:val="204"/>
        </w:numPr>
        <w:tabs>
          <w:tab w:val="left" w:pos="980"/>
        </w:tabs>
        <w:spacing w:line="236" w:lineRule="auto"/>
        <w:ind w:left="980" w:right="826" w:hanging="706"/>
        <w:rPr>
          <w:rFonts w:eastAsia="Times New Roman" w:cs="Times New Roman"/>
          <w:b/>
        </w:rPr>
      </w:pPr>
      <w:r w:rsidRPr="00460F9E">
        <w:rPr>
          <w:rFonts w:eastAsia="Times New Roman" w:cs="Times New Roman"/>
        </w:rPr>
        <w:t>çalışmaları tesisin çevresel performansını etkileyebilecek personelin gerekli yetkinlik ve farkındalığa sahip olmasını sağlamak (örn. bilgi ve eğitim sağlayarak);</w:t>
      </w:r>
    </w:p>
    <w:p w14:paraId="033EF713" w14:textId="77777777" w:rsidR="00A52778" w:rsidRPr="00460F9E" w:rsidRDefault="00A52778" w:rsidP="00A52778">
      <w:pPr>
        <w:spacing w:line="1" w:lineRule="exact"/>
        <w:rPr>
          <w:rFonts w:eastAsia="Times New Roman" w:cs="Times New Roman"/>
          <w:b/>
        </w:rPr>
      </w:pPr>
    </w:p>
    <w:p w14:paraId="21994B80" w14:textId="77777777" w:rsidR="00A52778" w:rsidRPr="00460F9E" w:rsidRDefault="00A52778" w:rsidP="00A52778">
      <w:pPr>
        <w:numPr>
          <w:ilvl w:val="0"/>
          <w:numId w:val="204"/>
        </w:numPr>
        <w:tabs>
          <w:tab w:val="left" w:pos="980"/>
        </w:tabs>
        <w:spacing w:line="0" w:lineRule="atLeast"/>
        <w:ind w:left="980" w:hanging="768"/>
        <w:jc w:val="left"/>
        <w:rPr>
          <w:rFonts w:eastAsia="Times New Roman" w:cs="Times New Roman"/>
          <w:b/>
        </w:rPr>
      </w:pPr>
      <w:r w:rsidRPr="00460F9E">
        <w:rPr>
          <w:rFonts w:eastAsia="Times New Roman" w:cs="Times New Roman"/>
        </w:rPr>
        <w:t>dahi̇li̇ ve hari̇ci̇ i̇leti̇şi̇m;</w:t>
      </w:r>
    </w:p>
    <w:p w14:paraId="10F23ECE" w14:textId="77777777" w:rsidR="00A52778" w:rsidRPr="00460F9E" w:rsidRDefault="00A52778" w:rsidP="00A52778">
      <w:pPr>
        <w:numPr>
          <w:ilvl w:val="0"/>
          <w:numId w:val="204"/>
        </w:numPr>
        <w:tabs>
          <w:tab w:val="left" w:pos="980"/>
        </w:tabs>
        <w:spacing w:line="0" w:lineRule="atLeast"/>
        <w:ind w:left="980" w:hanging="646"/>
        <w:jc w:val="left"/>
        <w:rPr>
          <w:rFonts w:eastAsia="Times New Roman" w:cs="Times New Roman"/>
          <w:b/>
        </w:rPr>
      </w:pPr>
      <w:r w:rsidRPr="00460F9E">
        <w:rPr>
          <w:rFonts w:eastAsia="Times New Roman" w:cs="Times New Roman"/>
        </w:rPr>
        <w:t>çalışanların sağlam çevresel yönetim uygulamalarına katılımını teşvik etmek;</w:t>
      </w:r>
    </w:p>
    <w:p w14:paraId="38600C06" w14:textId="77777777" w:rsidR="00A52778" w:rsidRPr="00460F9E" w:rsidRDefault="00A52778" w:rsidP="00A52778">
      <w:pPr>
        <w:spacing w:line="10" w:lineRule="exact"/>
        <w:rPr>
          <w:rFonts w:eastAsia="Times New Roman" w:cs="Times New Roman"/>
          <w:b/>
        </w:rPr>
      </w:pPr>
    </w:p>
    <w:p w14:paraId="57BA1BF1" w14:textId="77777777" w:rsidR="00A52778" w:rsidRPr="00460F9E" w:rsidRDefault="00A52778" w:rsidP="00A52778">
      <w:pPr>
        <w:numPr>
          <w:ilvl w:val="0"/>
          <w:numId w:val="204"/>
        </w:numPr>
        <w:tabs>
          <w:tab w:val="left" w:pos="980"/>
        </w:tabs>
        <w:spacing w:line="235" w:lineRule="auto"/>
        <w:ind w:left="980" w:right="826" w:hanging="586"/>
        <w:jc w:val="left"/>
        <w:rPr>
          <w:rFonts w:eastAsia="Times New Roman" w:cs="Times New Roman"/>
          <w:b/>
        </w:rPr>
      </w:pPr>
      <w:r w:rsidRPr="00460F9E">
        <w:rPr>
          <w:rFonts w:eastAsia="Times New Roman" w:cs="Times New Roman"/>
        </w:rPr>
        <w:t>önemli çevresel etkiye sahip faaliyetleri ve ilgili kayıtları kontrol etmek için bir yönetim el kitabı ve yazılı prosedürler oluşturmak ve sürdürmek;</w:t>
      </w:r>
    </w:p>
    <w:p w14:paraId="19CEDD9F" w14:textId="77777777" w:rsidR="00A52778" w:rsidRPr="00460F9E" w:rsidRDefault="00A52778" w:rsidP="00A52778">
      <w:pPr>
        <w:numPr>
          <w:ilvl w:val="0"/>
          <w:numId w:val="204"/>
        </w:numPr>
        <w:tabs>
          <w:tab w:val="left" w:pos="980"/>
        </w:tabs>
        <w:spacing w:line="0" w:lineRule="atLeast"/>
        <w:ind w:left="980" w:hanging="646"/>
        <w:jc w:val="left"/>
        <w:rPr>
          <w:rFonts w:eastAsia="Times New Roman" w:cs="Times New Roman"/>
          <w:b/>
        </w:rPr>
      </w:pPr>
      <w:r w:rsidRPr="00460F9E">
        <w:rPr>
          <w:rFonts w:eastAsia="Times New Roman" w:cs="Times New Roman"/>
        </w:rPr>
        <w:t>etkin operasyonel planlama ve proses kontrolü;</w:t>
      </w:r>
    </w:p>
    <w:p w14:paraId="3018D3E9" w14:textId="77777777" w:rsidR="00A52778" w:rsidRPr="00460F9E" w:rsidRDefault="00A52778" w:rsidP="00A52778">
      <w:pPr>
        <w:numPr>
          <w:ilvl w:val="0"/>
          <w:numId w:val="204"/>
        </w:numPr>
        <w:tabs>
          <w:tab w:val="left" w:pos="980"/>
        </w:tabs>
        <w:spacing w:line="0" w:lineRule="atLeast"/>
        <w:ind w:left="980" w:hanging="706"/>
        <w:jc w:val="left"/>
        <w:rPr>
          <w:rFonts w:eastAsia="Times New Roman" w:cs="Times New Roman"/>
          <w:b/>
        </w:rPr>
      </w:pPr>
      <w:r w:rsidRPr="00460F9E">
        <w:rPr>
          <w:rFonts w:eastAsia="Times New Roman" w:cs="Times New Roman"/>
        </w:rPr>
        <w:t>uygun bakım programlarının yürürlüğe konması;</w:t>
      </w:r>
    </w:p>
    <w:p w14:paraId="43865F7F" w14:textId="77777777" w:rsidR="00A52778" w:rsidRPr="00460F9E" w:rsidRDefault="00A52778" w:rsidP="00A52778">
      <w:pPr>
        <w:spacing w:line="11" w:lineRule="exact"/>
        <w:rPr>
          <w:rFonts w:eastAsia="Times New Roman" w:cs="Times New Roman"/>
          <w:b/>
        </w:rPr>
      </w:pPr>
    </w:p>
    <w:p w14:paraId="150A5A6A" w14:textId="77777777" w:rsidR="00A52778" w:rsidRPr="00460F9E" w:rsidRDefault="00A52778" w:rsidP="00A52778">
      <w:pPr>
        <w:numPr>
          <w:ilvl w:val="0"/>
          <w:numId w:val="204"/>
        </w:numPr>
        <w:tabs>
          <w:tab w:val="left" w:pos="980"/>
        </w:tabs>
        <w:spacing w:line="234" w:lineRule="auto"/>
        <w:ind w:left="980" w:right="826" w:hanging="768"/>
        <w:jc w:val="left"/>
        <w:rPr>
          <w:rFonts w:eastAsia="Times New Roman" w:cs="Times New Roman"/>
          <w:b/>
        </w:rPr>
      </w:pPr>
      <w:r w:rsidRPr="00460F9E">
        <w:rPr>
          <w:rFonts w:eastAsia="Times New Roman" w:cs="Times New Roman"/>
        </w:rPr>
        <w:t>acil durumların olumsuz (çevresel) etkilerinin önlenmesi ve/veya azaltılması da dahil olmak üzere acil durumlara hazırlık ve müdahale protokolleri;</w:t>
      </w:r>
    </w:p>
    <w:p w14:paraId="493B4EBA" w14:textId="77777777" w:rsidR="00A52778" w:rsidRPr="00460F9E" w:rsidRDefault="00A52778" w:rsidP="00A52778">
      <w:pPr>
        <w:spacing w:line="13" w:lineRule="exact"/>
        <w:rPr>
          <w:rFonts w:eastAsia="Times New Roman" w:cs="Times New Roman"/>
          <w:b/>
        </w:rPr>
      </w:pPr>
    </w:p>
    <w:p w14:paraId="03481495" w14:textId="77777777" w:rsidR="00A52778" w:rsidRPr="00460F9E" w:rsidRDefault="00A52778" w:rsidP="00A52778">
      <w:pPr>
        <w:numPr>
          <w:ilvl w:val="0"/>
          <w:numId w:val="204"/>
        </w:numPr>
        <w:tabs>
          <w:tab w:val="left" w:pos="980"/>
        </w:tabs>
        <w:spacing w:line="235" w:lineRule="auto"/>
        <w:ind w:left="980" w:right="826" w:hanging="756"/>
        <w:rPr>
          <w:rFonts w:eastAsia="Times New Roman" w:cs="Times New Roman"/>
          <w:b/>
        </w:rPr>
      </w:pPr>
      <w:r w:rsidRPr="00460F9E">
        <w:rPr>
          <w:rFonts w:eastAsia="Times New Roman" w:cs="Times New Roman"/>
        </w:rPr>
        <w:t>(yeni) bir tesis veya tesisin bir parçası (yeniden) tasarlanırken, inşaat, bakım, işletme ve tesisi hizmetten çıkarmayı içeren ömür boyu sürecek çevresel etkilerinin dikkate alınması;</w:t>
      </w:r>
    </w:p>
    <w:p w14:paraId="7F4A57E4" w14:textId="77777777" w:rsidR="00A52778" w:rsidRPr="00460F9E" w:rsidRDefault="00A52778" w:rsidP="00A52778">
      <w:pPr>
        <w:spacing w:line="15" w:lineRule="exact"/>
        <w:rPr>
          <w:rFonts w:eastAsia="Times New Roman" w:cs="Times New Roman"/>
          <w:b/>
        </w:rPr>
      </w:pPr>
    </w:p>
    <w:p w14:paraId="621AB5C6" w14:textId="77777777" w:rsidR="00A52778" w:rsidRPr="00460F9E" w:rsidRDefault="00A52778" w:rsidP="00A52778">
      <w:pPr>
        <w:numPr>
          <w:ilvl w:val="0"/>
          <w:numId w:val="204"/>
        </w:numPr>
        <w:tabs>
          <w:tab w:val="left" w:pos="980"/>
        </w:tabs>
        <w:spacing w:line="236" w:lineRule="auto"/>
        <w:ind w:left="980" w:right="826" w:hanging="694"/>
        <w:rPr>
          <w:rFonts w:eastAsia="Times New Roman" w:cs="Times New Roman"/>
          <w:b/>
        </w:rPr>
      </w:pPr>
      <w:r w:rsidRPr="00460F9E">
        <w:rPr>
          <w:rFonts w:eastAsia="Times New Roman" w:cs="Times New Roman"/>
        </w:rPr>
        <w:t>Bir izleme ve ölçüm programının uygulanması; gerekli olması halinde, EED Tesislerinden Havaya ve Suya Salınan Emisyonların İzlenmesine ilişkin Referans Raporda bilgi bulunabilir;</w:t>
      </w:r>
    </w:p>
    <w:p w14:paraId="35BC45B8" w14:textId="77777777" w:rsidR="00A52778" w:rsidRPr="00460F9E" w:rsidRDefault="00A52778" w:rsidP="00A52778">
      <w:pPr>
        <w:spacing w:line="1" w:lineRule="exact"/>
        <w:rPr>
          <w:rFonts w:eastAsia="Times New Roman" w:cs="Times New Roman"/>
          <w:b/>
        </w:rPr>
      </w:pPr>
    </w:p>
    <w:p w14:paraId="12CB870D" w14:textId="77777777" w:rsidR="00A52778" w:rsidRPr="00460F9E" w:rsidRDefault="00A52778" w:rsidP="00A52778">
      <w:pPr>
        <w:numPr>
          <w:ilvl w:val="0"/>
          <w:numId w:val="204"/>
        </w:numPr>
        <w:tabs>
          <w:tab w:val="left" w:pos="980"/>
        </w:tabs>
        <w:spacing w:line="0" w:lineRule="atLeast"/>
        <w:ind w:left="980" w:hanging="756"/>
        <w:jc w:val="left"/>
        <w:rPr>
          <w:rFonts w:eastAsia="Times New Roman" w:cs="Times New Roman"/>
          <w:b/>
        </w:rPr>
      </w:pPr>
      <w:r w:rsidRPr="00460F9E">
        <w:rPr>
          <w:rFonts w:eastAsia="Times New Roman" w:cs="Times New Roman"/>
        </w:rPr>
        <w:t>sektörel kıyaslamanın düzenli olarak uygulanması;</w:t>
      </w:r>
    </w:p>
    <w:p w14:paraId="2508C415" w14:textId="77777777" w:rsidR="00A52778" w:rsidRPr="00460F9E" w:rsidRDefault="00A52778" w:rsidP="00A52778">
      <w:pPr>
        <w:spacing w:line="9" w:lineRule="exact"/>
        <w:rPr>
          <w:rFonts w:eastAsia="Times New Roman" w:cs="Times New Roman"/>
          <w:b/>
        </w:rPr>
      </w:pPr>
    </w:p>
    <w:p w14:paraId="5C57229C" w14:textId="77777777" w:rsidR="00A52778" w:rsidRPr="00460F9E" w:rsidRDefault="00A52778" w:rsidP="00A52778">
      <w:pPr>
        <w:numPr>
          <w:ilvl w:val="0"/>
          <w:numId w:val="204"/>
        </w:numPr>
        <w:tabs>
          <w:tab w:val="left" w:pos="980"/>
        </w:tabs>
        <w:spacing w:line="237" w:lineRule="auto"/>
        <w:ind w:left="980" w:right="826" w:hanging="816"/>
        <w:rPr>
          <w:rFonts w:eastAsia="Times New Roman" w:cs="Times New Roman"/>
          <w:b/>
        </w:rPr>
      </w:pPr>
      <w:r w:rsidRPr="00460F9E">
        <w:rPr>
          <w:rFonts w:eastAsia="Times New Roman" w:cs="Times New Roman"/>
        </w:rPr>
        <w:t>çevresel performansı değerlendirmek ve ÇYS' nin planlanan düzenlemelere uygun olup olmadığını, uygun şekilde uygulandığını ve uygulamanın sürdürülüp sürdürülmediğini belirlemek için periyodik olarak bağımsız (mümkün olduğunca) iç denetim ve periyodik olarak bağımsız dış denetim;</w:t>
      </w:r>
    </w:p>
    <w:p w14:paraId="15D7915E" w14:textId="77777777" w:rsidR="00A52778" w:rsidRPr="00460F9E" w:rsidRDefault="00A52778" w:rsidP="00A52778">
      <w:pPr>
        <w:spacing w:line="14" w:lineRule="exact"/>
        <w:rPr>
          <w:rFonts w:eastAsia="Times New Roman" w:cs="Times New Roman"/>
          <w:b/>
        </w:rPr>
      </w:pPr>
    </w:p>
    <w:p w14:paraId="09F07CB2" w14:textId="77777777" w:rsidR="00A52778" w:rsidRPr="00460F9E" w:rsidRDefault="00A52778" w:rsidP="00A52778">
      <w:pPr>
        <w:numPr>
          <w:ilvl w:val="0"/>
          <w:numId w:val="204"/>
        </w:numPr>
        <w:tabs>
          <w:tab w:val="left" w:pos="980"/>
        </w:tabs>
        <w:spacing w:line="236" w:lineRule="auto"/>
        <w:ind w:left="980" w:right="826" w:hanging="879"/>
        <w:rPr>
          <w:rFonts w:eastAsia="Times New Roman" w:cs="Times New Roman"/>
          <w:b/>
        </w:rPr>
      </w:pPr>
      <w:r w:rsidRPr="00460F9E">
        <w:rPr>
          <w:rFonts w:eastAsia="Times New Roman" w:cs="Times New Roman"/>
        </w:rPr>
        <w:t>uygunsuzlukların nedenlerinin değerlendirilmesi, uygunsuzluklara yanıt olarak düzeltici faaliyetlerin uygulanması, düzeltici faaliyetlerin etkinliğinin gözden geçirilmesi ve benzer uygunsuzlukların mevcut olup olmadığının veya potansiyel olarak meydana gelip gelmeyeceğinin belirlenmesi;</w:t>
      </w:r>
    </w:p>
    <w:p w14:paraId="69EC7F52" w14:textId="77777777" w:rsidR="00A52778" w:rsidRPr="00460F9E" w:rsidRDefault="00A52778" w:rsidP="00A52778">
      <w:pPr>
        <w:spacing w:line="12" w:lineRule="exact"/>
        <w:rPr>
          <w:rFonts w:eastAsia="Times New Roman" w:cs="Times New Roman"/>
          <w:b/>
        </w:rPr>
      </w:pPr>
    </w:p>
    <w:p w14:paraId="30DD51A5" w14:textId="77777777" w:rsidR="00A52778" w:rsidRPr="00460F9E" w:rsidRDefault="00A52778" w:rsidP="00A52778">
      <w:pPr>
        <w:numPr>
          <w:ilvl w:val="0"/>
          <w:numId w:val="204"/>
        </w:numPr>
        <w:tabs>
          <w:tab w:val="left" w:pos="980"/>
        </w:tabs>
        <w:spacing w:line="235" w:lineRule="auto"/>
        <w:ind w:left="980" w:right="826" w:hanging="756"/>
        <w:jc w:val="left"/>
        <w:rPr>
          <w:rFonts w:eastAsia="Times New Roman" w:cs="Times New Roman"/>
          <w:b/>
        </w:rPr>
      </w:pPr>
      <w:r w:rsidRPr="00460F9E">
        <w:rPr>
          <w:rFonts w:eastAsia="Times New Roman" w:cs="Times New Roman"/>
        </w:rPr>
        <w:t>ÇYS' nin ve devam eden uygunluğunun, yeterliliğinin ve etkinliğinin üst yönetim tarafından periyodik olarak gözden geçirilmesi;</w:t>
      </w:r>
    </w:p>
    <w:p w14:paraId="3591ED26" w14:textId="77777777" w:rsidR="00A52778" w:rsidRPr="00460F9E" w:rsidRDefault="00A52778" w:rsidP="00A52778">
      <w:pPr>
        <w:pStyle w:val="ListeParagraf"/>
        <w:rPr>
          <w:rFonts w:eastAsia="Times New Roman" w:cs="Times New Roman"/>
          <w:b/>
        </w:rPr>
      </w:pPr>
    </w:p>
    <w:p w14:paraId="3A43AC36" w14:textId="77777777" w:rsidR="00A52778" w:rsidRPr="00460F9E" w:rsidRDefault="00A52778" w:rsidP="00A52778">
      <w:pPr>
        <w:tabs>
          <w:tab w:val="left" w:pos="980"/>
        </w:tabs>
        <w:spacing w:line="235" w:lineRule="auto"/>
        <w:ind w:left="980" w:right="826"/>
        <w:rPr>
          <w:rFonts w:eastAsia="Times New Roman" w:cs="Times New Roman"/>
          <w:b/>
        </w:rPr>
      </w:pPr>
    </w:p>
    <w:p w14:paraId="5132728D" w14:textId="77777777" w:rsidR="00A52778" w:rsidRPr="00460F9E" w:rsidRDefault="00A52778" w:rsidP="00A52778">
      <w:pPr>
        <w:spacing w:line="0" w:lineRule="atLeast"/>
        <w:rPr>
          <w:rFonts w:eastAsia="Times New Roman" w:cs="Times New Roman"/>
          <w:b/>
        </w:rPr>
      </w:pPr>
      <w:bookmarkStart w:id="315" w:name="page295"/>
      <w:bookmarkEnd w:id="315"/>
      <w:r w:rsidRPr="00460F9E">
        <w:rPr>
          <w:rFonts w:eastAsia="Times New Roman" w:cs="Times New Roman"/>
        </w:rPr>
        <w:t>Özellikle kimya sektörü için MET, ÇYS' ye aşağıdaki özellikleri de dahil edecektir:</w:t>
      </w:r>
    </w:p>
    <w:p w14:paraId="17616A62" w14:textId="77777777" w:rsidR="00A52778" w:rsidRPr="00460F9E" w:rsidRDefault="00A52778" w:rsidP="00A52778">
      <w:pPr>
        <w:spacing w:line="254" w:lineRule="exact"/>
        <w:rPr>
          <w:rFonts w:eastAsia="Times New Roman" w:cs="Times New Roman"/>
          <w:b/>
        </w:rPr>
      </w:pPr>
    </w:p>
    <w:p w14:paraId="0F3AFF4E" w14:textId="77777777" w:rsidR="00A52778" w:rsidRPr="00460F9E" w:rsidRDefault="00A52778" w:rsidP="00A52778">
      <w:pPr>
        <w:numPr>
          <w:ilvl w:val="0"/>
          <w:numId w:val="205"/>
        </w:numPr>
        <w:tabs>
          <w:tab w:val="left" w:pos="1820"/>
        </w:tabs>
        <w:spacing w:line="0" w:lineRule="atLeast"/>
        <w:ind w:left="1820" w:hanging="761"/>
        <w:jc w:val="left"/>
        <w:rPr>
          <w:rFonts w:eastAsia="Times New Roman" w:cs="Times New Roman"/>
          <w:b/>
        </w:rPr>
      </w:pPr>
      <w:r w:rsidRPr="00460F9E">
        <w:rPr>
          <w:rFonts w:eastAsia="Times New Roman" w:cs="Times New Roman"/>
        </w:rPr>
        <w:t>havaya kanalize edilen ve yayılı emisyonların bir envanteri (bkz. MET 2)</w:t>
      </w:r>
      <w:hyperlink w:anchor="page295" w:history="1">
        <w:r w:rsidRPr="00460F9E">
          <w:rPr>
            <w:rFonts w:eastAsia="Times New Roman" w:cs="Times New Roman"/>
          </w:rPr>
          <w:t>;</w:t>
        </w:r>
      </w:hyperlink>
    </w:p>
    <w:p w14:paraId="656114AC" w14:textId="77777777" w:rsidR="00A52778" w:rsidRPr="00460F9E" w:rsidRDefault="00A52778" w:rsidP="00A52778">
      <w:pPr>
        <w:numPr>
          <w:ilvl w:val="0"/>
          <w:numId w:val="205"/>
        </w:numPr>
        <w:tabs>
          <w:tab w:val="left" w:pos="1820"/>
        </w:tabs>
        <w:spacing w:line="0" w:lineRule="atLeast"/>
        <w:ind w:left="1820" w:hanging="821"/>
        <w:jc w:val="left"/>
        <w:rPr>
          <w:rFonts w:eastAsia="Times New Roman" w:cs="Times New Roman"/>
          <w:b/>
        </w:rPr>
      </w:pPr>
      <w:r w:rsidRPr="00460F9E">
        <w:rPr>
          <w:rFonts w:eastAsia="Times New Roman" w:cs="Times New Roman"/>
        </w:rPr>
        <w:t xml:space="preserve">havaya salınan emisyonlar için bir OTNOC yönetim planı (bkz. </w:t>
      </w:r>
      <w:hyperlink w:anchor="page296" w:history="1">
        <w:r w:rsidRPr="00460F9E">
          <w:rPr>
            <w:rFonts w:eastAsia="Times New Roman" w:cs="Times New Roman"/>
          </w:rPr>
          <w:t>MET 3);</w:t>
        </w:r>
      </w:hyperlink>
    </w:p>
    <w:p w14:paraId="5862F34F" w14:textId="77777777" w:rsidR="00A52778" w:rsidRPr="00460F9E" w:rsidRDefault="00A52778" w:rsidP="00A52778">
      <w:pPr>
        <w:spacing w:line="11" w:lineRule="exact"/>
        <w:rPr>
          <w:rFonts w:eastAsia="Times New Roman" w:cs="Times New Roman"/>
          <w:b/>
        </w:rPr>
      </w:pPr>
    </w:p>
    <w:p w14:paraId="671CFBF5" w14:textId="77777777" w:rsidR="00A52778" w:rsidRPr="00460F9E" w:rsidRDefault="00A52778" w:rsidP="00A52778">
      <w:pPr>
        <w:numPr>
          <w:ilvl w:val="0"/>
          <w:numId w:val="205"/>
        </w:numPr>
        <w:tabs>
          <w:tab w:val="left" w:pos="1820"/>
        </w:tabs>
        <w:spacing w:line="234" w:lineRule="auto"/>
        <w:ind w:left="1820" w:right="20" w:hanging="884"/>
        <w:jc w:val="left"/>
        <w:rPr>
          <w:rFonts w:eastAsia="Times New Roman" w:cs="Times New Roman"/>
          <w:b/>
        </w:rPr>
      </w:pPr>
      <w:r w:rsidRPr="00460F9E">
        <w:rPr>
          <w:rFonts w:eastAsia="Times New Roman" w:cs="Times New Roman"/>
        </w:rPr>
        <w:t xml:space="preserve">havaya kanalize edilen emisyonlar için entegre bir atık gaz yönetimi ve arıtma stratejisi (bkz. </w:t>
      </w:r>
      <w:hyperlink w:anchor="page297" w:history="1">
        <w:r w:rsidRPr="00460F9E">
          <w:rPr>
            <w:rFonts w:eastAsia="Times New Roman" w:cs="Times New Roman"/>
          </w:rPr>
          <w:t>MET 4);</w:t>
        </w:r>
      </w:hyperlink>
    </w:p>
    <w:p w14:paraId="5DFAD32C" w14:textId="77777777" w:rsidR="00A52778" w:rsidRPr="00460F9E" w:rsidRDefault="00A52778" w:rsidP="00A52778">
      <w:pPr>
        <w:numPr>
          <w:ilvl w:val="0"/>
          <w:numId w:val="205"/>
        </w:numPr>
        <w:tabs>
          <w:tab w:val="left" w:pos="1820"/>
        </w:tabs>
        <w:spacing w:line="0" w:lineRule="atLeast"/>
        <w:ind w:left="1820" w:hanging="872"/>
        <w:jc w:val="left"/>
        <w:rPr>
          <w:rFonts w:eastAsia="Times New Roman" w:cs="Times New Roman"/>
          <w:b/>
        </w:rPr>
      </w:pPr>
      <w:r w:rsidRPr="00460F9E">
        <w:rPr>
          <w:rFonts w:eastAsia="Times New Roman" w:cs="Times New Roman"/>
        </w:rPr>
        <w:t xml:space="preserve">havaya yayılı VOC emisyonları için bir yönetim sistemi (bkz. </w:t>
      </w:r>
      <w:hyperlink w:anchor="page311" w:history="1">
        <w:r w:rsidRPr="00460F9E">
          <w:rPr>
            <w:rFonts w:eastAsia="Times New Roman" w:cs="Times New Roman"/>
          </w:rPr>
          <w:t>MET19);</w:t>
        </w:r>
      </w:hyperlink>
    </w:p>
    <w:p w14:paraId="7A8431C5" w14:textId="77777777" w:rsidR="00A52778" w:rsidRPr="00460F9E" w:rsidRDefault="00A52778" w:rsidP="00A52778">
      <w:pPr>
        <w:spacing w:line="11" w:lineRule="exact"/>
        <w:rPr>
          <w:rFonts w:eastAsia="Times New Roman" w:cs="Times New Roman"/>
          <w:b/>
        </w:rPr>
      </w:pPr>
    </w:p>
    <w:p w14:paraId="3C765D42" w14:textId="77777777" w:rsidR="00A52778" w:rsidRPr="00460F9E" w:rsidRDefault="00A52778" w:rsidP="00A52778">
      <w:pPr>
        <w:numPr>
          <w:ilvl w:val="0"/>
          <w:numId w:val="205"/>
        </w:numPr>
        <w:tabs>
          <w:tab w:val="left" w:pos="1820"/>
        </w:tabs>
        <w:spacing w:line="238" w:lineRule="auto"/>
        <w:ind w:left="1820" w:hanging="809"/>
        <w:rPr>
          <w:rFonts w:eastAsia="Times New Roman" w:cs="Times New Roman"/>
          <w:b/>
        </w:rPr>
      </w:pPr>
      <w:r w:rsidRPr="00460F9E">
        <w:rPr>
          <w:rFonts w:eastAsia="Times New Roman" w:cs="Times New Roman"/>
        </w:rPr>
        <w:t>proses(ler)de kullanılan tehlikeli maddelerin ve çok yüksek önem arz eden maddelerin envanterini içeren bir kimyasal yönetim sistemi; bu envanterde listelenen maddelerin ikame edilme potansiyeli, hammaddeler dışındaki maddelere odaklanarak, çevresel etkileri olmayan veya daha düşük endişe yaratan olası yeni mevcut ve daha güvenli alternatifleri belirlemek amacıyla periyodik olarak (örneğin yıllık olarak) analiz edilmesi.</w:t>
      </w:r>
    </w:p>
    <w:p w14:paraId="23E48F36" w14:textId="77777777" w:rsidR="00A52778" w:rsidRPr="00460F9E" w:rsidRDefault="00A52778" w:rsidP="00A52778">
      <w:pPr>
        <w:spacing w:line="259" w:lineRule="exact"/>
        <w:rPr>
          <w:rFonts w:eastAsia="Times New Roman" w:cs="Times New Roman"/>
          <w:b/>
        </w:rPr>
      </w:pPr>
    </w:p>
    <w:p w14:paraId="1256C31E" w14:textId="77777777" w:rsidR="00A52778" w:rsidRPr="00460F9E" w:rsidRDefault="00A52778" w:rsidP="00A52778">
      <w:pPr>
        <w:spacing w:line="0" w:lineRule="atLeast"/>
        <w:ind w:left="820"/>
        <w:rPr>
          <w:rFonts w:eastAsia="Times New Roman" w:cs="Times New Roman"/>
        </w:rPr>
      </w:pPr>
      <w:r w:rsidRPr="00460F9E">
        <w:rPr>
          <w:rFonts w:eastAsia="Times New Roman" w:cs="Times New Roman"/>
        </w:rPr>
        <w:t>Not</w:t>
      </w:r>
    </w:p>
    <w:p w14:paraId="258807BA" w14:textId="77777777" w:rsidR="00A52778" w:rsidRPr="00460F9E" w:rsidRDefault="00A52778" w:rsidP="00A52778">
      <w:pPr>
        <w:spacing w:line="6" w:lineRule="exact"/>
        <w:rPr>
          <w:rFonts w:eastAsia="Times New Roman" w:cs="Times New Roman"/>
          <w:b/>
        </w:rPr>
      </w:pPr>
    </w:p>
    <w:p w14:paraId="6E9D3C64" w14:textId="77777777" w:rsidR="00A52778" w:rsidRPr="00460F9E" w:rsidRDefault="00A52778" w:rsidP="00A52778">
      <w:pPr>
        <w:spacing w:line="236" w:lineRule="auto"/>
        <w:ind w:left="820"/>
        <w:rPr>
          <w:rFonts w:eastAsia="Times New Roman" w:cs="Times New Roman"/>
          <w:b/>
        </w:rPr>
      </w:pPr>
      <w:r w:rsidRPr="00460F9E">
        <w:rPr>
          <w:rFonts w:eastAsia="Times New Roman" w:cs="Times New Roman"/>
        </w:rPr>
        <w:t>Avrupa Parlamentosu ve Konseyi' nin (EC) 1221/2009 sayılı Tüzüğü</w:t>
      </w:r>
      <w:r w:rsidRPr="00460F9E">
        <w:rPr>
          <w:rFonts w:eastAsia="Times New Roman" w:cs="Times New Roman"/>
          <w:vertAlign w:val="superscript"/>
        </w:rPr>
        <w:t>5</w:t>
      </w:r>
      <w:r w:rsidRPr="00460F9E">
        <w:rPr>
          <w:rFonts w:eastAsia="Times New Roman" w:cs="Times New Roman"/>
        </w:rPr>
        <w:t xml:space="preserve"> Avrupa Birliği eko-yönetim ve denetim planını (EMAS) oluşturmaktadır ve bu MET ile uyumlu bir ÇYS örneğidir.</w:t>
      </w:r>
    </w:p>
    <w:p w14:paraId="2122AFA8" w14:textId="77777777" w:rsidR="00A52778" w:rsidRPr="00460F9E" w:rsidRDefault="00A52778" w:rsidP="00A52778">
      <w:pPr>
        <w:spacing w:line="260" w:lineRule="exact"/>
        <w:rPr>
          <w:rFonts w:eastAsia="Times New Roman" w:cs="Times New Roman"/>
          <w:b/>
        </w:rPr>
      </w:pPr>
    </w:p>
    <w:p w14:paraId="4AB98617" w14:textId="77777777" w:rsidR="00A52778" w:rsidRPr="00460F9E" w:rsidRDefault="00A52778" w:rsidP="00A52778">
      <w:pPr>
        <w:spacing w:line="0" w:lineRule="atLeast"/>
        <w:rPr>
          <w:rFonts w:eastAsia="Times New Roman" w:cs="Times New Roman"/>
        </w:rPr>
      </w:pPr>
      <w:r w:rsidRPr="00460F9E">
        <w:rPr>
          <w:rFonts w:eastAsia="Times New Roman" w:cs="Times New Roman"/>
        </w:rPr>
        <w:t>Uygulanabilirlik</w:t>
      </w:r>
    </w:p>
    <w:p w14:paraId="4A59F3D3" w14:textId="77777777" w:rsidR="00A52778" w:rsidRPr="00460F9E" w:rsidRDefault="00A52778" w:rsidP="00A52778">
      <w:pPr>
        <w:spacing w:line="6" w:lineRule="exact"/>
        <w:rPr>
          <w:rFonts w:eastAsia="Times New Roman" w:cs="Times New Roman"/>
          <w:b/>
        </w:rPr>
      </w:pPr>
    </w:p>
    <w:p w14:paraId="77EBCCD3" w14:textId="77777777" w:rsidR="00A52778" w:rsidRPr="00460F9E" w:rsidRDefault="00A52778" w:rsidP="00A52778">
      <w:pPr>
        <w:spacing w:line="236" w:lineRule="auto"/>
        <w:rPr>
          <w:rFonts w:eastAsia="Times New Roman" w:cs="Times New Roman"/>
          <w:b/>
        </w:rPr>
      </w:pPr>
      <w:r w:rsidRPr="00460F9E">
        <w:rPr>
          <w:rFonts w:eastAsia="Times New Roman" w:cs="Times New Roman"/>
        </w:rPr>
        <w:t>ÇYS' nin ayrıntı düzeyi ve resmileştirme derecesi genellikle tesisin niteliği, büyüklüğü ve karmaşıklığı ve sahip olabileceği çevresel etkilerin çeşitliliği ile ilgili olacaktır.</w:t>
      </w:r>
    </w:p>
    <w:p w14:paraId="2C1DBF6D" w14:textId="77777777" w:rsidR="00A52778" w:rsidRPr="00460F9E" w:rsidRDefault="00A52778" w:rsidP="00A52778">
      <w:pPr>
        <w:spacing w:line="200" w:lineRule="exact"/>
        <w:rPr>
          <w:rFonts w:eastAsia="Times New Roman" w:cs="Times New Roman"/>
          <w:b/>
        </w:rPr>
      </w:pPr>
    </w:p>
    <w:p w14:paraId="0C458D58" w14:textId="77777777" w:rsidR="00A52778" w:rsidRPr="00460F9E" w:rsidRDefault="00A52778" w:rsidP="00A52778">
      <w:pPr>
        <w:spacing w:line="364" w:lineRule="exact"/>
        <w:rPr>
          <w:rFonts w:eastAsia="Times New Roman" w:cs="Times New Roman"/>
          <w:b/>
        </w:rPr>
      </w:pPr>
    </w:p>
    <w:p w14:paraId="634C2D27" w14:textId="77777777" w:rsidR="00A52778" w:rsidRPr="00460F9E" w:rsidRDefault="00A52778" w:rsidP="00A52778">
      <w:pPr>
        <w:spacing w:line="237" w:lineRule="auto"/>
        <w:rPr>
          <w:rFonts w:eastAsia="Times New Roman" w:cs="Times New Roman"/>
        </w:rPr>
      </w:pPr>
      <w:r>
        <w:rPr>
          <w:rFonts w:eastAsia="Times New Roman" w:cs="Times New Roman"/>
        </w:rPr>
        <w:t xml:space="preserve">MET 2: </w:t>
      </w:r>
      <w:r w:rsidRPr="00460F9E">
        <w:rPr>
          <w:rFonts w:eastAsia="Times New Roman" w:cs="Times New Roman"/>
        </w:rPr>
        <w:t>Havaya salınan emisyonların azaltılmasını kolaylaştırmak için MET, çevresel yönetim sisteminin bir parçası olarak (bkz. MET 1), havaya kanalize edilen ve yayılı emisyonların bir envanterini oluşturmak, sürdürmek ve düzenli olarak gözden geçirmektir (önemli bir değişikliğin meydana geldiği zamanlar dahil) ve aşağıdaki özelliklerin tümünü içerir:</w:t>
      </w:r>
    </w:p>
    <w:p w14:paraId="7C6D163E" w14:textId="77777777" w:rsidR="00A52778" w:rsidRPr="00460F9E" w:rsidRDefault="00A52778" w:rsidP="00A52778">
      <w:pPr>
        <w:spacing w:line="300" w:lineRule="exact"/>
        <w:rPr>
          <w:rFonts w:eastAsia="Times New Roman" w:cs="Times New Roman"/>
          <w:b/>
        </w:rPr>
      </w:pPr>
    </w:p>
    <w:p w14:paraId="7FFB49FF" w14:textId="77777777" w:rsidR="00A52778" w:rsidRPr="00460F9E" w:rsidRDefault="00A52778" w:rsidP="00A52778">
      <w:pPr>
        <w:numPr>
          <w:ilvl w:val="0"/>
          <w:numId w:val="206"/>
        </w:numPr>
        <w:tabs>
          <w:tab w:val="left" w:pos="1540"/>
        </w:tabs>
        <w:spacing w:line="235" w:lineRule="auto"/>
        <w:ind w:left="1540" w:hanging="479"/>
        <w:jc w:val="left"/>
        <w:rPr>
          <w:rFonts w:eastAsia="Times New Roman" w:cs="Times New Roman"/>
          <w:b/>
        </w:rPr>
      </w:pPr>
      <w:r w:rsidRPr="00460F9E">
        <w:rPr>
          <w:rFonts w:eastAsia="Times New Roman" w:cs="Times New Roman"/>
        </w:rPr>
        <w:t>kimyasal üretim proses(ler)i hakkında, mümkün olduğunca kapsamlı şekilde, aşağıda verilen şu bilgiler:</w:t>
      </w:r>
    </w:p>
    <w:p w14:paraId="6652B70B" w14:textId="77777777" w:rsidR="00A52778" w:rsidRPr="00460F9E" w:rsidRDefault="00A52778" w:rsidP="00A52778">
      <w:pPr>
        <w:numPr>
          <w:ilvl w:val="1"/>
          <w:numId w:val="206"/>
        </w:numPr>
        <w:tabs>
          <w:tab w:val="left" w:pos="1900"/>
        </w:tabs>
        <w:spacing w:line="0" w:lineRule="atLeast"/>
        <w:ind w:left="1900" w:hanging="364"/>
        <w:jc w:val="left"/>
        <w:rPr>
          <w:rFonts w:eastAsia="Times New Roman" w:cs="Times New Roman"/>
          <w:b/>
        </w:rPr>
      </w:pPr>
      <w:r w:rsidRPr="00460F9E">
        <w:rPr>
          <w:rFonts w:eastAsia="Times New Roman" w:cs="Times New Roman"/>
        </w:rPr>
        <w:t>yan ürünleri de gösteren kimyasal reaksiyon denklemleri;</w:t>
      </w:r>
    </w:p>
    <w:p w14:paraId="0E450122" w14:textId="77777777" w:rsidR="00A52778" w:rsidRPr="00460F9E" w:rsidRDefault="00A52778" w:rsidP="00A52778">
      <w:pPr>
        <w:numPr>
          <w:ilvl w:val="1"/>
          <w:numId w:val="206"/>
        </w:numPr>
        <w:tabs>
          <w:tab w:val="left" w:pos="1900"/>
        </w:tabs>
        <w:spacing w:line="0" w:lineRule="atLeast"/>
        <w:ind w:left="1900" w:hanging="364"/>
        <w:jc w:val="left"/>
        <w:rPr>
          <w:rFonts w:eastAsia="Times New Roman" w:cs="Times New Roman"/>
          <w:b/>
        </w:rPr>
      </w:pPr>
      <w:r w:rsidRPr="00460F9E">
        <w:rPr>
          <w:rFonts w:eastAsia="Times New Roman" w:cs="Times New Roman"/>
        </w:rPr>
        <w:t>emisyonların kaynağını gösteren basitleştirilmiş proses akış şemaları;</w:t>
      </w:r>
    </w:p>
    <w:p w14:paraId="08492A8E" w14:textId="77777777" w:rsidR="00A52778" w:rsidRPr="00460F9E" w:rsidRDefault="00A52778" w:rsidP="00A52778">
      <w:pPr>
        <w:spacing w:line="264" w:lineRule="exact"/>
        <w:rPr>
          <w:rFonts w:eastAsia="Times New Roman" w:cs="Times New Roman"/>
          <w:b/>
        </w:rPr>
      </w:pPr>
    </w:p>
    <w:p w14:paraId="79F23BB6" w14:textId="77777777" w:rsidR="00A52778" w:rsidRPr="00460F9E" w:rsidRDefault="00A52778" w:rsidP="00A52778">
      <w:pPr>
        <w:numPr>
          <w:ilvl w:val="0"/>
          <w:numId w:val="207"/>
        </w:numPr>
        <w:tabs>
          <w:tab w:val="left" w:pos="1540"/>
        </w:tabs>
        <w:spacing w:line="235" w:lineRule="auto"/>
        <w:ind w:left="1540" w:hanging="539"/>
        <w:jc w:val="left"/>
        <w:rPr>
          <w:rFonts w:eastAsia="Times New Roman" w:cs="Times New Roman"/>
          <w:b/>
        </w:rPr>
      </w:pPr>
      <w:r w:rsidRPr="00460F9E">
        <w:rPr>
          <w:rFonts w:eastAsia="Times New Roman" w:cs="Times New Roman"/>
        </w:rPr>
        <w:t>havaya kanalize edilen emisyonlar hakkında mümkün olduğunca kapsamlı bilgiler, örneğin:</w:t>
      </w:r>
    </w:p>
    <w:p w14:paraId="5CE9A2D0" w14:textId="77777777" w:rsidR="00A52778" w:rsidRPr="00460F9E" w:rsidRDefault="00A52778" w:rsidP="00A52778">
      <w:pPr>
        <w:numPr>
          <w:ilvl w:val="1"/>
          <w:numId w:val="207"/>
        </w:numPr>
        <w:tabs>
          <w:tab w:val="left" w:pos="1900"/>
        </w:tabs>
        <w:spacing w:line="0" w:lineRule="atLeast"/>
        <w:ind w:left="1900" w:hanging="364"/>
        <w:jc w:val="left"/>
        <w:rPr>
          <w:rFonts w:eastAsia="Times New Roman" w:cs="Times New Roman"/>
          <w:b/>
        </w:rPr>
      </w:pPr>
      <w:r w:rsidRPr="00460F9E">
        <w:rPr>
          <w:rFonts w:eastAsia="Times New Roman" w:cs="Times New Roman"/>
        </w:rPr>
        <w:t>emisyon noktası(noktaları);</w:t>
      </w:r>
    </w:p>
    <w:p w14:paraId="0A17DC68" w14:textId="77777777" w:rsidR="00A52778" w:rsidRPr="00460F9E" w:rsidRDefault="00A52778" w:rsidP="00A52778">
      <w:pPr>
        <w:numPr>
          <w:ilvl w:val="1"/>
          <w:numId w:val="207"/>
        </w:numPr>
        <w:tabs>
          <w:tab w:val="left" w:pos="1900"/>
        </w:tabs>
        <w:spacing w:line="0" w:lineRule="atLeast"/>
        <w:ind w:left="1900" w:hanging="364"/>
        <w:jc w:val="left"/>
        <w:rPr>
          <w:rFonts w:eastAsia="Times New Roman" w:cs="Times New Roman"/>
          <w:b/>
        </w:rPr>
      </w:pPr>
      <w:r w:rsidRPr="00460F9E">
        <w:rPr>
          <w:rFonts w:eastAsia="Times New Roman" w:cs="Times New Roman"/>
        </w:rPr>
        <w:t>akış ve sıcaklığın ortalama değerleri ve değişkenliği;</w:t>
      </w:r>
    </w:p>
    <w:p w14:paraId="506F4943" w14:textId="77777777" w:rsidR="00A52778" w:rsidRPr="00460F9E" w:rsidRDefault="00A52778" w:rsidP="00A52778">
      <w:pPr>
        <w:spacing w:line="11" w:lineRule="exact"/>
        <w:rPr>
          <w:rFonts w:eastAsia="Times New Roman" w:cs="Times New Roman"/>
          <w:b/>
        </w:rPr>
      </w:pPr>
    </w:p>
    <w:p w14:paraId="585A741E" w14:textId="77777777" w:rsidR="00A52778" w:rsidRPr="00460F9E" w:rsidRDefault="00A52778" w:rsidP="00A52778">
      <w:pPr>
        <w:numPr>
          <w:ilvl w:val="1"/>
          <w:numId w:val="207"/>
        </w:numPr>
        <w:tabs>
          <w:tab w:val="left" w:pos="1900"/>
        </w:tabs>
        <w:spacing w:line="235" w:lineRule="auto"/>
        <w:ind w:left="1900" w:right="20" w:hanging="364"/>
        <w:jc w:val="left"/>
        <w:rPr>
          <w:rFonts w:eastAsia="Times New Roman" w:cs="Times New Roman"/>
          <w:b/>
        </w:rPr>
      </w:pPr>
      <w:r w:rsidRPr="00460F9E">
        <w:rPr>
          <w:rFonts w:eastAsia="Times New Roman" w:cs="Times New Roman"/>
        </w:rPr>
        <w:t>ilgili maddelerin/parametrelerin ortalama konsantrasyon ve kütlesel akış değerleri ve bunların değişkenlikleri (örn. TVOC, CO, NO</w:t>
      </w:r>
      <w:r w:rsidRPr="00460F9E">
        <w:rPr>
          <w:rFonts w:eastAsia="Times New Roman" w:cs="Times New Roman"/>
          <w:sz w:val="13"/>
        </w:rPr>
        <w:t>X</w:t>
      </w:r>
      <w:r w:rsidRPr="00460F9E">
        <w:rPr>
          <w:rFonts w:eastAsia="Times New Roman" w:cs="Times New Roman"/>
        </w:rPr>
        <w:t>, SO</w:t>
      </w:r>
      <w:r w:rsidRPr="00460F9E">
        <w:rPr>
          <w:rFonts w:eastAsia="Times New Roman" w:cs="Times New Roman"/>
          <w:sz w:val="13"/>
        </w:rPr>
        <w:t>X</w:t>
      </w:r>
      <w:r w:rsidRPr="00460F9E">
        <w:rPr>
          <w:rFonts w:eastAsia="Times New Roman" w:cs="Times New Roman"/>
        </w:rPr>
        <w:t>, Cl</w:t>
      </w:r>
      <w:r w:rsidRPr="00460F9E">
        <w:rPr>
          <w:rFonts w:eastAsia="Times New Roman" w:cs="Times New Roman"/>
          <w:sz w:val="13"/>
        </w:rPr>
        <w:t>2</w:t>
      </w:r>
      <w:r w:rsidRPr="00460F9E">
        <w:rPr>
          <w:rFonts w:eastAsia="Times New Roman" w:cs="Times New Roman"/>
        </w:rPr>
        <w:t>, HCl);</w:t>
      </w:r>
    </w:p>
    <w:p w14:paraId="21258881" w14:textId="77777777" w:rsidR="00A52778" w:rsidRPr="00460F9E" w:rsidRDefault="00A52778" w:rsidP="00A52778">
      <w:pPr>
        <w:spacing w:line="10" w:lineRule="exact"/>
        <w:rPr>
          <w:rFonts w:eastAsia="Times New Roman" w:cs="Times New Roman"/>
          <w:b/>
        </w:rPr>
      </w:pPr>
    </w:p>
    <w:p w14:paraId="37F27C07" w14:textId="77777777" w:rsidR="00A52778" w:rsidRPr="00460F9E" w:rsidRDefault="00A52778" w:rsidP="00A52778">
      <w:pPr>
        <w:numPr>
          <w:ilvl w:val="1"/>
          <w:numId w:val="207"/>
        </w:numPr>
        <w:tabs>
          <w:tab w:val="left" w:pos="1900"/>
        </w:tabs>
        <w:spacing w:line="234" w:lineRule="auto"/>
        <w:ind w:left="1900" w:right="20" w:hanging="364"/>
        <w:jc w:val="left"/>
        <w:rPr>
          <w:rFonts w:eastAsia="Times New Roman" w:cs="Times New Roman"/>
          <w:b/>
        </w:rPr>
      </w:pPr>
      <w:r w:rsidRPr="00460F9E">
        <w:rPr>
          <w:rFonts w:eastAsia="Times New Roman" w:cs="Times New Roman"/>
        </w:rPr>
        <w:t>atık gaz arıtma sistem(ler)ini veya tesis güvenliğini etkileyebilecek diğer maddelerin varlığı (örn. oksijen, azot, su buharı, toz);</w:t>
      </w:r>
    </w:p>
    <w:p w14:paraId="6C8CF71A" w14:textId="77777777" w:rsidR="00A52778" w:rsidRPr="00460F9E" w:rsidRDefault="00A52778" w:rsidP="00A52778">
      <w:pPr>
        <w:numPr>
          <w:ilvl w:val="1"/>
          <w:numId w:val="207"/>
        </w:numPr>
        <w:tabs>
          <w:tab w:val="left" w:pos="1900"/>
        </w:tabs>
        <w:spacing w:line="0" w:lineRule="atLeast"/>
        <w:ind w:left="1900" w:hanging="364"/>
        <w:jc w:val="left"/>
        <w:rPr>
          <w:rFonts w:eastAsia="Times New Roman" w:cs="Times New Roman"/>
          <w:b/>
        </w:rPr>
      </w:pPr>
      <w:r w:rsidRPr="00460F9E">
        <w:rPr>
          <w:rFonts w:eastAsia="Times New Roman" w:cs="Times New Roman"/>
        </w:rPr>
        <w:t>havaya kanalize edilen emisyonları önlemek ve/veya azaltmak için kullanılan teknikler;</w:t>
      </w:r>
    </w:p>
    <w:p w14:paraId="76F0831F" w14:textId="77777777" w:rsidR="00A52778" w:rsidRPr="00460F9E" w:rsidRDefault="00A52778" w:rsidP="00A52778">
      <w:pPr>
        <w:spacing w:line="1" w:lineRule="exact"/>
        <w:rPr>
          <w:rFonts w:eastAsia="Times New Roman" w:cs="Times New Roman"/>
          <w:b/>
        </w:rPr>
      </w:pPr>
    </w:p>
    <w:p w14:paraId="03E34503" w14:textId="77777777" w:rsidR="00A52778" w:rsidRPr="00460F9E" w:rsidRDefault="00A52778" w:rsidP="00A52778">
      <w:pPr>
        <w:numPr>
          <w:ilvl w:val="1"/>
          <w:numId w:val="207"/>
        </w:numPr>
        <w:tabs>
          <w:tab w:val="left" w:pos="1900"/>
        </w:tabs>
        <w:spacing w:line="0" w:lineRule="atLeast"/>
        <w:ind w:left="1900" w:hanging="364"/>
        <w:jc w:val="left"/>
        <w:rPr>
          <w:rFonts w:eastAsia="Times New Roman" w:cs="Times New Roman"/>
          <w:b/>
        </w:rPr>
      </w:pPr>
      <w:r w:rsidRPr="00460F9E">
        <w:rPr>
          <w:rFonts w:eastAsia="Times New Roman" w:cs="Times New Roman"/>
        </w:rPr>
        <w:t>yanıcılık, patlama ile ilgili alt ve üst limitler, reaktivite;</w:t>
      </w:r>
    </w:p>
    <w:p w14:paraId="40DB243C" w14:textId="77777777" w:rsidR="00A52778" w:rsidRDefault="00A52778" w:rsidP="00A52778">
      <w:pPr>
        <w:numPr>
          <w:ilvl w:val="1"/>
          <w:numId w:val="207"/>
        </w:numPr>
        <w:tabs>
          <w:tab w:val="left" w:pos="1900"/>
        </w:tabs>
        <w:spacing w:line="0" w:lineRule="atLeast"/>
        <w:ind w:left="1900" w:hanging="364"/>
        <w:jc w:val="left"/>
        <w:rPr>
          <w:rFonts w:eastAsia="Times New Roman" w:cs="Times New Roman"/>
          <w:b/>
        </w:rPr>
      </w:pPr>
      <w:r w:rsidRPr="00460F9E">
        <w:rPr>
          <w:rFonts w:eastAsia="Times New Roman" w:cs="Times New Roman"/>
        </w:rPr>
        <w:t xml:space="preserve">izleme metotları (bkz </w:t>
      </w:r>
      <w:hyperlink w:anchor="page298" w:history="1">
        <w:r w:rsidRPr="00460F9E">
          <w:rPr>
            <w:rFonts w:eastAsia="Times New Roman" w:cs="Times New Roman"/>
          </w:rPr>
          <w:t>MET 8);</w:t>
        </w:r>
      </w:hyperlink>
    </w:p>
    <w:p w14:paraId="3209E8B7" w14:textId="77777777" w:rsidR="00A52778" w:rsidRPr="00460F9E" w:rsidRDefault="00A52778" w:rsidP="00BF2B30">
      <w:pPr>
        <w:numPr>
          <w:ilvl w:val="1"/>
          <w:numId w:val="208"/>
        </w:numPr>
        <w:tabs>
          <w:tab w:val="left" w:pos="1060"/>
        </w:tabs>
        <w:spacing w:line="236" w:lineRule="auto"/>
        <w:ind w:left="2007" w:right="826" w:hanging="360"/>
        <w:rPr>
          <w:rFonts w:eastAsia="Times New Roman" w:cs="Times New Roman"/>
          <w:b/>
        </w:rPr>
      </w:pPr>
      <w:r w:rsidRPr="00460F9E">
        <w:rPr>
          <w:rFonts w:eastAsia="Times New Roman" w:cs="Times New Roman"/>
        </w:rPr>
        <w:t>CMR 1A, CMR 1B veya CMR 2 olarak sınıflandırılan maddelerin varlığı; bu tür maddelerin varlığı örneğin sınıflandırma, etiketleme ve ambalajlamaya (CLP) ilişkin (EC) 1272/2008 sayılı Tüzük kriterlerine göre değerlendirilebilir.</w:t>
      </w:r>
    </w:p>
    <w:p w14:paraId="413182EE" w14:textId="77777777" w:rsidR="00A52778" w:rsidRPr="00460F9E" w:rsidRDefault="00A52778" w:rsidP="00A52778">
      <w:pPr>
        <w:spacing w:line="266" w:lineRule="exact"/>
        <w:rPr>
          <w:rFonts w:eastAsia="Times New Roman" w:cs="Times New Roman"/>
          <w:b/>
        </w:rPr>
      </w:pPr>
    </w:p>
    <w:p w14:paraId="2378C51F" w14:textId="77777777" w:rsidR="00A52778" w:rsidRPr="00460F9E" w:rsidRDefault="00A52778" w:rsidP="00BF2B30">
      <w:pPr>
        <w:numPr>
          <w:ilvl w:val="0"/>
          <w:numId w:val="209"/>
        </w:numPr>
        <w:tabs>
          <w:tab w:val="left" w:pos="700"/>
        </w:tabs>
        <w:spacing w:line="235" w:lineRule="auto"/>
        <w:ind w:left="432" w:right="826" w:hanging="432"/>
        <w:jc w:val="left"/>
        <w:rPr>
          <w:rFonts w:eastAsia="Times New Roman" w:cs="Times New Roman"/>
          <w:b/>
        </w:rPr>
      </w:pPr>
      <w:r w:rsidRPr="00460F9E">
        <w:rPr>
          <w:rFonts w:eastAsia="Times New Roman" w:cs="Times New Roman"/>
        </w:rPr>
        <w:t>havaya yayılı emisyonlar hakkında mümkün olduğunca kapsamlı bilgi, örneğin:</w:t>
      </w:r>
    </w:p>
    <w:p w14:paraId="6B2EF5E0" w14:textId="77777777" w:rsidR="00A52778" w:rsidRPr="00460F9E" w:rsidRDefault="00A52778" w:rsidP="00BF2B30">
      <w:pPr>
        <w:numPr>
          <w:ilvl w:val="1"/>
          <w:numId w:val="209"/>
        </w:numPr>
        <w:tabs>
          <w:tab w:val="left" w:pos="1060"/>
        </w:tabs>
        <w:spacing w:line="0" w:lineRule="atLeast"/>
        <w:ind w:left="666" w:hanging="576"/>
        <w:jc w:val="left"/>
        <w:rPr>
          <w:rFonts w:eastAsia="Times New Roman" w:cs="Times New Roman"/>
          <w:b/>
        </w:rPr>
      </w:pPr>
      <w:r w:rsidRPr="00460F9E">
        <w:rPr>
          <w:rFonts w:eastAsia="Times New Roman" w:cs="Times New Roman"/>
        </w:rPr>
        <w:t>emisyon kaynak(lar)ının tanımlanması;</w:t>
      </w:r>
    </w:p>
    <w:p w14:paraId="039B7463" w14:textId="77777777" w:rsidR="00A52778" w:rsidRPr="00460F9E" w:rsidRDefault="00A52778" w:rsidP="00A52778">
      <w:pPr>
        <w:spacing w:line="9" w:lineRule="exact"/>
        <w:rPr>
          <w:rFonts w:eastAsia="Times New Roman" w:cs="Times New Roman"/>
          <w:b/>
        </w:rPr>
      </w:pPr>
    </w:p>
    <w:p w14:paraId="7DCC9D8D" w14:textId="77777777" w:rsidR="00A52778" w:rsidRPr="00460F9E" w:rsidRDefault="00A52778" w:rsidP="00BF2B30">
      <w:pPr>
        <w:numPr>
          <w:ilvl w:val="1"/>
          <w:numId w:val="209"/>
        </w:numPr>
        <w:tabs>
          <w:tab w:val="left" w:pos="1060"/>
        </w:tabs>
        <w:spacing w:line="236" w:lineRule="auto"/>
        <w:ind w:left="666" w:right="826" w:hanging="576"/>
        <w:rPr>
          <w:rFonts w:eastAsia="Times New Roman" w:cs="Times New Roman"/>
          <w:b/>
        </w:rPr>
      </w:pPr>
      <w:r w:rsidRPr="00460F9E">
        <w:rPr>
          <w:rFonts w:eastAsia="Times New Roman" w:cs="Times New Roman"/>
        </w:rPr>
        <w:t>her bir emisyon kaynağının özellikleri (örneğin kaçak veya kaçak olmayan; statik veya hareketli; emisyon kaynağının erişilebilirliği; bir LDAR programına dahil olup olmadığı);</w:t>
      </w:r>
    </w:p>
    <w:p w14:paraId="2DC53524" w14:textId="77777777" w:rsidR="00A52778" w:rsidRPr="00460F9E" w:rsidRDefault="00A52778" w:rsidP="00A52778">
      <w:pPr>
        <w:spacing w:line="14" w:lineRule="exact"/>
        <w:rPr>
          <w:rFonts w:eastAsia="Times New Roman" w:cs="Times New Roman"/>
          <w:b/>
        </w:rPr>
      </w:pPr>
    </w:p>
    <w:p w14:paraId="019476EE" w14:textId="77777777" w:rsidR="00A52778" w:rsidRPr="00460F9E" w:rsidRDefault="00A52778" w:rsidP="00BF2B30">
      <w:pPr>
        <w:numPr>
          <w:ilvl w:val="1"/>
          <w:numId w:val="209"/>
        </w:numPr>
        <w:tabs>
          <w:tab w:val="left" w:pos="1060"/>
        </w:tabs>
        <w:spacing w:line="234" w:lineRule="auto"/>
        <w:ind w:left="666" w:right="826" w:hanging="576"/>
        <w:jc w:val="left"/>
        <w:rPr>
          <w:rFonts w:eastAsia="Times New Roman" w:cs="Times New Roman"/>
          <w:b/>
        </w:rPr>
      </w:pPr>
      <w:r w:rsidRPr="00460F9E">
        <w:rPr>
          <w:rFonts w:eastAsia="Times New Roman" w:cs="Times New Roman"/>
        </w:rPr>
        <w:t>emisyon kaynağı/kaynakları ile temas halinde olan gaz veya sıvının özellikleri, aşağıdakiler dahil:</w:t>
      </w:r>
    </w:p>
    <w:p w14:paraId="37A33B90" w14:textId="77777777" w:rsidR="00A52778" w:rsidRPr="00460F9E" w:rsidRDefault="00A52778" w:rsidP="00BF2B30">
      <w:pPr>
        <w:numPr>
          <w:ilvl w:val="2"/>
          <w:numId w:val="209"/>
        </w:numPr>
        <w:tabs>
          <w:tab w:val="left" w:pos="1700"/>
        </w:tabs>
        <w:spacing w:line="0" w:lineRule="atLeast"/>
        <w:ind w:left="720" w:hanging="720"/>
        <w:jc w:val="left"/>
        <w:rPr>
          <w:rFonts w:eastAsia="Times New Roman" w:cs="Times New Roman"/>
          <w:b/>
        </w:rPr>
      </w:pPr>
      <w:r w:rsidRPr="00460F9E">
        <w:rPr>
          <w:rFonts w:eastAsia="Times New Roman" w:cs="Times New Roman"/>
        </w:rPr>
        <w:t>fiziki durum;</w:t>
      </w:r>
    </w:p>
    <w:p w14:paraId="0C30D883" w14:textId="77777777" w:rsidR="00A52778" w:rsidRPr="00460F9E" w:rsidRDefault="00A52778" w:rsidP="00BF2B30">
      <w:pPr>
        <w:numPr>
          <w:ilvl w:val="2"/>
          <w:numId w:val="209"/>
        </w:numPr>
        <w:tabs>
          <w:tab w:val="left" w:pos="1700"/>
        </w:tabs>
        <w:spacing w:line="0" w:lineRule="atLeast"/>
        <w:ind w:left="720" w:hanging="720"/>
        <w:jc w:val="left"/>
        <w:rPr>
          <w:rFonts w:eastAsia="Times New Roman" w:cs="Times New Roman"/>
          <w:b/>
        </w:rPr>
      </w:pPr>
      <w:r w:rsidRPr="00460F9E">
        <w:rPr>
          <w:rFonts w:eastAsia="Times New Roman" w:cs="Times New Roman"/>
        </w:rPr>
        <w:t>sıvıdaki madde(ler)in buhar basıncı, gazın basıncı;</w:t>
      </w:r>
    </w:p>
    <w:p w14:paraId="48EEC652" w14:textId="77777777" w:rsidR="00A52778" w:rsidRPr="00460F9E" w:rsidRDefault="00A52778" w:rsidP="00BF2B30">
      <w:pPr>
        <w:numPr>
          <w:ilvl w:val="2"/>
          <w:numId w:val="209"/>
        </w:numPr>
        <w:tabs>
          <w:tab w:val="left" w:pos="1700"/>
        </w:tabs>
        <w:spacing w:line="0" w:lineRule="atLeast"/>
        <w:ind w:left="720" w:hanging="720"/>
        <w:jc w:val="left"/>
        <w:rPr>
          <w:rFonts w:eastAsia="Times New Roman" w:cs="Times New Roman"/>
          <w:b/>
        </w:rPr>
      </w:pPr>
      <w:r w:rsidRPr="00460F9E">
        <w:rPr>
          <w:rFonts w:eastAsia="Times New Roman" w:cs="Times New Roman"/>
        </w:rPr>
        <w:t>sıcaklık;</w:t>
      </w:r>
    </w:p>
    <w:p w14:paraId="0B3B227E" w14:textId="77777777" w:rsidR="00A52778" w:rsidRPr="00460F9E" w:rsidRDefault="00A52778" w:rsidP="00BF2B30">
      <w:pPr>
        <w:numPr>
          <w:ilvl w:val="2"/>
          <w:numId w:val="209"/>
        </w:numPr>
        <w:tabs>
          <w:tab w:val="left" w:pos="1700"/>
        </w:tabs>
        <w:spacing w:line="0" w:lineRule="atLeast"/>
        <w:ind w:left="720" w:hanging="720"/>
        <w:jc w:val="left"/>
        <w:rPr>
          <w:rFonts w:eastAsia="Times New Roman" w:cs="Times New Roman"/>
          <w:b/>
        </w:rPr>
      </w:pPr>
      <w:r w:rsidRPr="00460F9E">
        <w:rPr>
          <w:rFonts w:eastAsia="Times New Roman" w:cs="Times New Roman"/>
        </w:rPr>
        <w:t>kompozisyon (sıvılar için ağırlıkça ve gazlar için hacimce);</w:t>
      </w:r>
    </w:p>
    <w:p w14:paraId="76A6E20F" w14:textId="77777777" w:rsidR="00A52778" w:rsidRPr="00460F9E" w:rsidRDefault="00A52778" w:rsidP="00A52778">
      <w:pPr>
        <w:spacing w:line="11" w:lineRule="exact"/>
        <w:rPr>
          <w:rFonts w:eastAsia="Times New Roman" w:cs="Times New Roman"/>
          <w:b/>
        </w:rPr>
      </w:pPr>
    </w:p>
    <w:p w14:paraId="7B3B52AE" w14:textId="77777777" w:rsidR="00A52778" w:rsidRPr="00460F9E" w:rsidRDefault="00A52778" w:rsidP="00BF2B30">
      <w:pPr>
        <w:numPr>
          <w:ilvl w:val="2"/>
          <w:numId w:val="209"/>
        </w:numPr>
        <w:tabs>
          <w:tab w:val="left" w:pos="1700"/>
        </w:tabs>
        <w:spacing w:line="234" w:lineRule="auto"/>
        <w:ind w:left="720" w:right="826" w:hanging="720"/>
        <w:jc w:val="left"/>
        <w:rPr>
          <w:rFonts w:eastAsia="Times New Roman" w:cs="Times New Roman"/>
          <w:b/>
        </w:rPr>
      </w:pPr>
      <w:r w:rsidRPr="00460F9E">
        <w:rPr>
          <w:rFonts w:eastAsia="Times New Roman" w:cs="Times New Roman"/>
        </w:rPr>
        <w:t>CMR 1A, CMR 1B veya CMR 2 olarak sınıflandırılan maddeler veya karışımlar dahil olmak üzere maddelerin veya karışımların tehlikeli özellikleri;</w:t>
      </w:r>
    </w:p>
    <w:p w14:paraId="2DDFD985" w14:textId="77777777" w:rsidR="00A52778" w:rsidRPr="00460F9E" w:rsidRDefault="00A52778" w:rsidP="00A52778">
      <w:pPr>
        <w:spacing w:line="1" w:lineRule="exact"/>
        <w:rPr>
          <w:rFonts w:eastAsia="Times New Roman" w:cs="Times New Roman"/>
          <w:b/>
        </w:rPr>
      </w:pPr>
    </w:p>
    <w:p w14:paraId="7FA883FA" w14:textId="77777777" w:rsidR="00A52778" w:rsidRDefault="00A52778" w:rsidP="00BF2B30">
      <w:pPr>
        <w:numPr>
          <w:ilvl w:val="1"/>
          <w:numId w:val="209"/>
        </w:numPr>
        <w:tabs>
          <w:tab w:val="left" w:pos="1060"/>
        </w:tabs>
        <w:spacing w:line="0" w:lineRule="atLeast"/>
        <w:ind w:left="666" w:hanging="576"/>
        <w:jc w:val="left"/>
        <w:rPr>
          <w:rFonts w:eastAsia="Times New Roman" w:cs="Times New Roman"/>
          <w:b/>
        </w:rPr>
      </w:pPr>
      <w:r w:rsidRPr="00460F9E">
        <w:rPr>
          <w:rFonts w:eastAsia="Times New Roman" w:cs="Times New Roman"/>
        </w:rPr>
        <w:t>havaya yayılı emisyonları önlemek ve/veya azaltmak için kullanılan teknikler;</w:t>
      </w:r>
    </w:p>
    <w:p w14:paraId="7EDC04A7" w14:textId="77777777" w:rsidR="00A52778" w:rsidRDefault="00A52778" w:rsidP="00BF2B30">
      <w:pPr>
        <w:numPr>
          <w:ilvl w:val="1"/>
          <w:numId w:val="209"/>
        </w:numPr>
        <w:tabs>
          <w:tab w:val="left" w:pos="1060"/>
        </w:tabs>
        <w:spacing w:line="0" w:lineRule="atLeast"/>
        <w:ind w:left="666" w:hanging="576"/>
        <w:jc w:val="left"/>
        <w:rPr>
          <w:rFonts w:eastAsia="Times New Roman" w:cs="Times New Roman"/>
          <w:b/>
        </w:rPr>
      </w:pPr>
      <w:r w:rsidRPr="00460F9E">
        <w:rPr>
          <w:rFonts w:eastAsia="Times New Roman" w:cs="Times New Roman"/>
        </w:rPr>
        <w:t xml:space="preserve">izleme (bkz. </w:t>
      </w:r>
      <w:hyperlink w:anchor="page312" w:history="1">
        <w:r w:rsidRPr="00460F9E">
          <w:rPr>
            <w:rFonts w:eastAsia="Times New Roman" w:cs="Times New Roman"/>
          </w:rPr>
          <w:t xml:space="preserve">MET 20, </w:t>
        </w:r>
      </w:hyperlink>
      <w:hyperlink w:anchor="page313" w:history="1">
        <w:r w:rsidRPr="00460F9E">
          <w:rPr>
            <w:rFonts w:eastAsia="Times New Roman" w:cs="Times New Roman"/>
          </w:rPr>
          <w:t xml:space="preserve">MET 21 </w:t>
        </w:r>
      </w:hyperlink>
      <w:r w:rsidRPr="00460F9E">
        <w:rPr>
          <w:rFonts w:eastAsia="Times New Roman" w:cs="Times New Roman"/>
        </w:rPr>
        <w:t xml:space="preserve">ve </w:t>
      </w:r>
      <w:hyperlink w:anchor="page314" w:history="1">
        <w:r w:rsidRPr="00460F9E">
          <w:rPr>
            <w:rFonts w:eastAsia="Times New Roman" w:cs="Times New Roman"/>
          </w:rPr>
          <w:t>MET 22)</w:t>
        </w:r>
      </w:hyperlink>
    </w:p>
    <w:p w14:paraId="54B227DF" w14:textId="77777777" w:rsidR="00A52778" w:rsidRPr="00460F9E" w:rsidRDefault="00A52778" w:rsidP="00A52778">
      <w:pPr>
        <w:spacing w:line="20" w:lineRule="exact"/>
        <w:rPr>
          <w:rFonts w:eastAsia="Times New Roman" w:cs="Times New Roman"/>
          <w:b/>
        </w:rPr>
      </w:pPr>
    </w:p>
    <w:p w14:paraId="51B071F3" w14:textId="77777777" w:rsidR="00A52778" w:rsidRPr="00460F9E" w:rsidRDefault="00A52778" w:rsidP="00A52778">
      <w:pPr>
        <w:spacing w:line="273" w:lineRule="exact"/>
        <w:rPr>
          <w:rFonts w:eastAsia="Times New Roman" w:cs="Times New Roman"/>
          <w:b/>
        </w:rPr>
      </w:pPr>
    </w:p>
    <w:p w14:paraId="79104C3E" w14:textId="77777777" w:rsidR="00A52778" w:rsidRPr="00460F9E" w:rsidRDefault="00A52778" w:rsidP="00BF2B30">
      <w:pPr>
        <w:pStyle w:val="ListeParagraf"/>
        <w:numPr>
          <w:ilvl w:val="0"/>
          <w:numId w:val="224"/>
        </w:numPr>
        <w:tabs>
          <w:tab w:val="left" w:pos="951"/>
        </w:tabs>
        <w:spacing w:line="0" w:lineRule="atLeast"/>
        <w:contextualSpacing w:val="0"/>
        <w:rPr>
          <w:rFonts w:eastAsia="Times New Roman" w:cs="Times New Roman"/>
          <w:b/>
        </w:rPr>
        <w:sectPr w:rsidR="00A52778" w:rsidRPr="00460F9E">
          <w:pgSz w:w="11900" w:h="16838"/>
          <w:pgMar w:top="718" w:right="1440" w:bottom="145" w:left="1140" w:header="0" w:footer="0" w:gutter="0"/>
          <w:cols w:space="0" w:equalWidth="0">
            <w:col w:w="9326"/>
          </w:cols>
          <w:docGrid w:linePitch="360"/>
        </w:sectPr>
      </w:pPr>
      <w:r w:rsidRPr="00460F9E">
        <w:rPr>
          <w:rFonts w:eastAsia="Times New Roman" w:cs="Times New Roman"/>
        </w:rPr>
        <w:t>(EC) 761/2001 sayılı Tüzük ile 2001/681/EC ve 2006/193/EC sayılı Komisyon Kararlarını yürürlükten kaldıran, kuruluşların Topluluğun eko-yönetim ve denetim programına (EMAS) gönüllü katılımlarına ilişkin 25 Kasım 2009 tarihli ve (EC) 1221/2009 sayılı Avrupa Parlamentosu ve Konsey Tüzüğü (OJ L 342, 22.12.2009, s. 1).</w:t>
      </w:r>
      <w:r w:rsidRPr="00460F9E">
        <w:rPr>
          <w:rFonts w:eastAsia="Times New Roman" w:cs="Times New Roman"/>
          <w:color w:val="0000FF"/>
        </w:rPr>
        <w:t xml:space="preserve"> </w:t>
      </w:r>
      <w:bookmarkStart w:id="316" w:name="page296"/>
      <w:bookmarkEnd w:id="316"/>
    </w:p>
    <w:p w14:paraId="0149E5FB" w14:textId="77777777" w:rsidR="00A52778" w:rsidRPr="00460F9E" w:rsidRDefault="00A52778" w:rsidP="00A52778">
      <w:pPr>
        <w:spacing w:line="200" w:lineRule="exact"/>
        <w:rPr>
          <w:rFonts w:eastAsia="Times New Roman" w:cs="Times New Roman"/>
          <w:b/>
        </w:rPr>
      </w:pPr>
    </w:p>
    <w:p w14:paraId="0B08809D" w14:textId="77777777" w:rsidR="00A52778" w:rsidRPr="00460F9E" w:rsidRDefault="00A52778" w:rsidP="00A52778">
      <w:pPr>
        <w:spacing w:line="257" w:lineRule="exact"/>
        <w:rPr>
          <w:rFonts w:eastAsia="Times New Roman" w:cs="Times New Roman"/>
          <w:b/>
        </w:rPr>
      </w:pPr>
    </w:p>
    <w:p w14:paraId="603AC3E0" w14:textId="77777777" w:rsidR="00A52778" w:rsidRPr="00460F9E" w:rsidRDefault="00A52778" w:rsidP="00A52778">
      <w:pPr>
        <w:spacing w:line="0" w:lineRule="atLeast"/>
        <w:rPr>
          <w:rFonts w:eastAsia="Times New Roman" w:cs="Times New Roman"/>
        </w:rPr>
      </w:pPr>
      <w:r w:rsidRPr="00460F9E">
        <w:rPr>
          <w:rFonts w:eastAsia="Times New Roman" w:cs="Times New Roman"/>
        </w:rPr>
        <w:t>Yayılı emisyonlar için not</w:t>
      </w:r>
    </w:p>
    <w:p w14:paraId="49796099" w14:textId="77777777" w:rsidR="00A52778" w:rsidRPr="00460F9E" w:rsidRDefault="00A52778" w:rsidP="00A52778">
      <w:pPr>
        <w:spacing w:line="6" w:lineRule="exact"/>
        <w:rPr>
          <w:rFonts w:eastAsia="Times New Roman" w:cs="Times New Roman"/>
          <w:b/>
        </w:rPr>
      </w:pPr>
    </w:p>
    <w:p w14:paraId="507BA53F" w14:textId="77777777" w:rsidR="00A52778" w:rsidRPr="00460F9E" w:rsidRDefault="00A52778" w:rsidP="00A52778">
      <w:pPr>
        <w:spacing w:line="236" w:lineRule="auto"/>
        <w:ind w:right="826"/>
        <w:rPr>
          <w:rFonts w:eastAsia="Times New Roman" w:cs="Times New Roman"/>
          <w:b/>
        </w:rPr>
      </w:pPr>
      <w:r w:rsidRPr="00460F9E">
        <w:rPr>
          <w:rFonts w:eastAsia="Times New Roman" w:cs="Times New Roman"/>
        </w:rPr>
        <w:t>Havaya yayılı emisyonlar hakkındaki bilgiler özellikle büyük miktarlarda organik madde veya karışım kullanan faaliyetler için önemlidir (örneğin ilaç üretimi, büyük hacimlerde organik kimyasal veya polimer üretimi).</w:t>
      </w:r>
    </w:p>
    <w:p w14:paraId="327F4FA8" w14:textId="77777777" w:rsidR="00A52778" w:rsidRPr="00460F9E" w:rsidRDefault="00A52778" w:rsidP="00A52778">
      <w:pPr>
        <w:spacing w:line="267" w:lineRule="exact"/>
        <w:rPr>
          <w:rFonts w:eastAsia="Times New Roman" w:cs="Times New Roman"/>
          <w:b/>
        </w:rPr>
      </w:pPr>
    </w:p>
    <w:p w14:paraId="591FBDD7" w14:textId="77777777" w:rsidR="00A52778" w:rsidRPr="00460F9E" w:rsidRDefault="00A52778" w:rsidP="00A52778">
      <w:pPr>
        <w:spacing w:line="235" w:lineRule="auto"/>
        <w:ind w:right="826"/>
        <w:rPr>
          <w:rFonts w:eastAsia="Times New Roman" w:cs="Times New Roman"/>
          <w:b/>
        </w:rPr>
      </w:pPr>
      <w:r w:rsidRPr="00460F9E">
        <w:rPr>
          <w:rFonts w:eastAsia="Times New Roman" w:cs="Times New Roman"/>
        </w:rPr>
        <w:t>Kaçak emisyonlarla ilgili bilgiler, 293,15 K' de 0,3 kPa' dan daha yüksek buhar basıncına sahip organik maddelerle temas halindeki tüm emisyon kaynaklarını kapsar.</w:t>
      </w:r>
    </w:p>
    <w:p w14:paraId="31C2CAD5" w14:textId="77777777" w:rsidR="00A52778" w:rsidRPr="00460F9E" w:rsidRDefault="00A52778" w:rsidP="00A52778">
      <w:pPr>
        <w:spacing w:line="263" w:lineRule="exact"/>
        <w:rPr>
          <w:rFonts w:eastAsia="Times New Roman" w:cs="Times New Roman"/>
          <w:b/>
        </w:rPr>
      </w:pPr>
    </w:p>
    <w:p w14:paraId="18EC0C2C" w14:textId="77777777" w:rsidR="00A52778" w:rsidRPr="00460F9E" w:rsidRDefault="00A52778" w:rsidP="00A52778">
      <w:pPr>
        <w:spacing w:line="235" w:lineRule="auto"/>
        <w:ind w:right="826"/>
        <w:rPr>
          <w:rFonts w:eastAsia="Times New Roman" w:cs="Times New Roman"/>
          <w:b/>
        </w:rPr>
      </w:pPr>
      <w:r w:rsidRPr="00460F9E">
        <w:rPr>
          <w:rFonts w:eastAsia="Times New Roman" w:cs="Times New Roman"/>
        </w:rPr>
        <w:t>Çapı küçük olan (örneğin 12,7 mm' den, yani 0,5 inçten küçük) borulara bağlı kaçak emisyon kaynakları envanter dışında tutulabilir.</w:t>
      </w:r>
    </w:p>
    <w:p w14:paraId="329BAFB4" w14:textId="77777777" w:rsidR="00A52778" w:rsidRPr="00460F9E" w:rsidRDefault="00A52778" w:rsidP="00A52778">
      <w:pPr>
        <w:spacing w:line="254" w:lineRule="exact"/>
        <w:rPr>
          <w:rFonts w:eastAsia="Times New Roman" w:cs="Times New Roman"/>
          <w:b/>
        </w:rPr>
      </w:pPr>
    </w:p>
    <w:p w14:paraId="19B05D51" w14:textId="77777777" w:rsidR="00A52778" w:rsidRPr="00460F9E" w:rsidRDefault="00A52778" w:rsidP="00A52778">
      <w:pPr>
        <w:spacing w:line="0" w:lineRule="atLeast"/>
        <w:rPr>
          <w:rFonts w:eastAsia="Times New Roman" w:cs="Times New Roman"/>
          <w:b/>
        </w:rPr>
      </w:pPr>
      <w:r w:rsidRPr="00460F9E">
        <w:rPr>
          <w:rFonts w:eastAsia="Times New Roman" w:cs="Times New Roman"/>
        </w:rPr>
        <w:t>Atmosferaltı basınç altında çalışan ekipmanlar envanterden çıkarılabilir.</w:t>
      </w:r>
    </w:p>
    <w:p w14:paraId="1DF8A67F" w14:textId="77777777" w:rsidR="00A52778" w:rsidRPr="00460F9E" w:rsidRDefault="00A52778" w:rsidP="00A52778">
      <w:pPr>
        <w:spacing w:line="234" w:lineRule="exact"/>
        <w:rPr>
          <w:rFonts w:eastAsia="Times New Roman" w:cs="Times New Roman"/>
          <w:b/>
        </w:rPr>
      </w:pPr>
    </w:p>
    <w:p w14:paraId="67182735" w14:textId="77777777" w:rsidR="00A52778" w:rsidRPr="00460F9E" w:rsidRDefault="00A52778" w:rsidP="00A52778">
      <w:pPr>
        <w:spacing w:line="0" w:lineRule="atLeast"/>
        <w:rPr>
          <w:rFonts w:eastAsia="Times New Roman" w:cs="Times New Roman"/>
        </w:rPr>
      </w:pPr>
      <w:r w:rsidRPr="00460F9E">
        <w:rPr>
          <w:rFonts w:eastAsia="Times New Roman" w:cs="Times New Roman"/>
        </w:rPr>
        <w:t>Uygulanabilirlik</w:t>
      </w:r>
    </w:p>
    <w:p w14:paraId="24A50AA0" w14:textId="77777777" w:rsidR="00A52778" w:rsidRPr="00460F9E" w:rsidRDefault="00A52778" w:rsidP="00A52778">
      <w:pPr>
        <w:spacing w:line="6" w:lineRule="exact"/>
        <w:rPr>
          <w:rFonts w:eastAsia="Times New Roman" w:cs="Times New Roman"/>
          <w:b/>
        </w:rPr>
      </w:pPr>
    </w:p>
    <w:p w14:paraId="6A9564F4" w14:textId="77777777" w:rsidR="00A52778" w:rsidRPr="00460F9E" w:rsidRDefault="00A52778" w:rsidP="00A52778">
      <w:pPr>
        <w:spacing w:line="236" w:lineRule="auto"/>
        <w:ind w:right="826"/>
        <w:rPr>
          <w:rFonts w:eastAsia="Times New Roman" w:cs="Times New Roman"/>
          <w:b/>
        </w:rPr>
      </w:pPr>
      <w:r w:rsidRPr="00460F9E">
        <w:rPr>
          <w:rFonts w:eastAsia="Times New Roman" w:cs="Times New Roman"/>
        </w:rPr>
        <w:t>Envanterin ayrıntı düzeyi ve resmileştirme derecesi genellikle tesisin niteliği, büyüklüğü ve karmaşıklığı ve sahip olabileceği çevresel etkilerin çeşitliliği ile ilgili olacaktır.</w:t>
      </w:r>
    </w:p>
    <w:p w14:paraId="004ED3C3" w14:textId="77777777" w:rsidR="00A52778" w:rsidRPr="00460F9E" w:rsidRDefault="00A52778" w:rsidP="00A52778">
      <w:pPr>
        <w:spacing w:line="200" w:lineRule="exact"/>
        <w:rPr>
          <w:rFonts w:eastAsia="Times New Roman" w:cs="Times New Roman"/>
          <w:b/>
        </w:rPr>
      </w:pPr>
    </w:p>
    <w:p w14:paraId="6B1EA1A0" w14:textId="77777777" w:rsidR="00A52778" w:rsidRPr="00460F9E" w:rsidRDefault="00A52778" w:rsidP="00A52778">
      <w:pPr>
        <w:spacing w:line="312" w:lineRule="exact"/>
        <w:rPr>
          <w:rFonts w:eastAsia="Times New Roman" w:cs="Times New Roman"/>
          <w:b/>
        </w:rPr>
      </w:pPr>
    </w:p>
    <w:p w14:paraId="112B6367" w14:textId="77777777" w:rsidR="00A52778" w:rsidRPr="00460F9E" w:rsidRDefault="00A52778" w:rsidP="00A52778">
      <w:pPr>
        <w:pStyle w:val="AralkYok"/>
      </w:pPr>
      <w:r w:rsidRPr="00460F9E">
        <w:t>2.1.2</w:t>
      </w:r>
      <w:r w:rsidRPr="00460F9E">
        <w:tab/>
        <w:t>Normal çalışma koşullarının dışında (OTNOC)</w:t>
      </w:r>
    </w:p>
    <w:p w14:paraId="4891140D" w14:textId="77777777" w:rsidR="00A52778" w:rsidRPr="00460F9E" w:rsidRDefault="00A52778" w:rsidP="00A52778">
      <w:pPr>
        <w:spacing w:line="307" w:lineRule="exact"/>
        <w:rPr>
          <w:rFonts w:eastAsia="Times New Roman" w:cs="Times New Roman"/>
          <w:b/>
        </w:rPr>
      </w:pPr>
    </w:p>
    <w:p w14:paraId="00BB01F4" w14:textId="77777777" w:rsidR="00A52778" w:rsidRPr="00460F9E" w:rsidRDefault="00A52778" w:rsidP="00A52778">
      <w:pPr>
        <w:spacing w:line="236" w:lineRule="auto"/>
        <w:ind w:right="826"/>
        <w:rPr>
          <w:rFonts w:eastAsia="Times New Roman" w:cs="Times New Roman"/>
        </w:rPr>
      </w:pPr>
      <w:r>
        <w:rPr>
          <w:rFonts w:eastAsia="Times New Roman" w:cs="Times New Roman"/>
        </w:rPr>
        <w:t xml:space="preserve">MET 3: </w:t>
      </w:r>
      <w:r w:rsidRPr="00460F9E">
        <w:rPr>
          <w:rFonts w:eastAsia="Times New Roman" w:cs="Times New Roman"/>
        </w:rPr>
        <w:t>OTNOC' un meydana gelme sıklığını düşürmek ve OTNOC sırasında havaya salınan emisyonları düşürmek için MET, çevresel yönetim sisteminin bir parçası olarak aşağıdaki özelliklerin tümünü içeren risk tabanlı bir OTNOC yönetim planı oluşturmak ve uygulamaktır (bkz. MET 1):</w:t>
      </w:r>
    </w:p>
    <w:p w14:paraId="2146AF35" w14:textId="77777777" w:rsidR="00A52778" w:rsidRPr="00460F9E" w:rsidRDefault="00A52778" w:rsidP="00A52778">
      <w:pPr>
        <w:spacing w:line="304" w:lineRule="exact"/>
        <w:rPr>
          <w:rFonts w:eastAsia="Times New Roman" w:cs="Times New Roman"/>
          <w:b/>
        </w:rPr>
      </w:pPr>
    </w:p>
    <w:p w14:paraId="2FBC3542" w14:textId="77777777" w:rsidR="00A52778" w:rsidRPr="00460F9E" w:rsidRDefault="00A52778" w:rsidP="00BF2B30">
      <w:pPr>
        <w:numPr>
          <w:ilvl w:val="0"/>
          <w:numId w:val="210"/>
        </w:numPr>
        <w:tabs>
          <w:tab w:val="left" w:pos="980"/>
        </w:tabs>
        <w:spacing w:line="237" w:lineRule="auto"/>
        <w:ind w:left="720" w:right="826" w:hanging="360"/>
        <w:rPr>
          <w:rFonts w:eastAsia="Times New Roman" w:cs="Times New Roman"/>
          <w:b/>
        </w:rPr>
      </w:pPr>
      <w:r w:rsidRPr="00460F9E">
        <w:rPr>
          <w:rFonts w:eastAsia="Times New Roman" w:cs="Times New Roman"/>
        </w:rPr>
        <w:t>Potansiyel OTNOC' un (örneğin havaya kanalize edilen emisyonların kontrolü için kritik ekipmanların arızalanması veya emisyonların havaya salınmasına yol açabilecek kazaların ya da olayların önlenmesi için kritik ekipmanlar (ʻkritik ekipmanlarʼ), bunların temel nedenlerinin ve potansiyel sonuçlarının belirlenmesi;</w:t>
      </w:r>
    </w:p>
    <w:p w14:paraId="6254025F" w14:textId="77777777" w:rsidR="00A52778" w:rsidRPr="00460F9E" w:rsidRDefault="00A52778" w:rsidP="00A52778">
      <w:pPr>
        <w:spacing w:line="11" w:lineRule="exact"/>
        <w:rPr>
          <w:rFonts w:eastAsia="Times New Roman" w:cs="Times New Roman"/>
          <w:b/>
        </w:rPr>
      </w:pPr>
    </w:p>
    <w:p w14:paraId="4BEBF374" w14:textId="77777777" w:rsidR="00A52778" w:rsidRPr="00460F9E" w:rsidRDefault="00A52778" w:rsidP="00BF2B30">
      <w:pPr>
        <w:numPr>
          <w:ilvl w:val="0"/>
          <w:numId w:val="210"/>
        </w:numPr>
        <w:tabs>
          <w:tab w:val="left" w:pos="980"/>
        </w:tabs>
        <w:spacing w:line="236" w:lineRule="auto"/>
        <w:ind w:left="720" w:right="826" w:hanging="360"/>
        <w:rPr>
          <w:rFonts w:eastAsia="Times New Roman" w:cs="Times New Roman"/>
          <w:b/>
        </w:rPr>
      </w:pPr>
      <w:r w:rsidRPr="00460F9E">
        <w:rPr>
          <w:rFonts w:eastAsia="Times New Roman" w:cs="Times New Roman"/>
        </w:rPr>
        <w:t>Kritik ekipmanların uygun tasarımı (örn. ekipmanın modüler olması ve bölümlere ayırılabilmesi, yedekleme sistemlerine haiz olması, başlatma ve kapatma sırasında atık gaz arıtımını baypas etme ihtiyacını ortadan kaldıran teknikler, yüksek bütünlüklü ekipmanlar, vb.);</w:t>
      </w:r>
    </w:p>
    <w:p w14:paraId="35E791BE" w14:textId="77FEEBB8" w:rsidR="0058666E" w:rsidRDefault="0058666E" w:rsidP="00A52778">
      <w:pPr>
        <w:spacing w:line="14" w:lineRule="exact"/>
        <w:rPr>
          <w:rFonts w:eastAsia="Times New Roman" w:cs="Times New Roman"/>
          <w:b/>
        </w:rPr>
      </w:pPr>
    </w:p>
    <w:p w14:paraId="09A5EA68" w14:textId="77777777" w:rsidR="00A52778" w:rsidRPr="0058666E" w:rsidRDefault="00A52778" w:rsidP="0058666E">
      <w:pPr>
        <w:jc w:val="right"/>
        <w:rPr>
          <w:rFonts w:eastAsia="Times New Roman" w:cs="Times New Roman"/>
        </w:rPr>
      </w:pPr>
    </w:p>
    <w:p w14:paraId="0FCEEF62" w14:textId="77777777" w:rsidR="00A52778" w:rsidRPr="00460F9E" w:rsidRDefault="00A52778" w:rsidP="00BF2B30">
      <w:pPr>
        <w:numPr>
          <w:ilvl w:val="0"/>
          <w:numId w:val="210"/>
        </w:numPr>
        <w:tabs>
          <w:tab w:val="left" w:pos="980"/>
        </w:tabs>
        <w:spacing w:line="234" w:lineRule="auto"/>
        <w:ind w:left="720" w:right="826" w:hanging="360"/>
        <w:jc w:val="left"/>
        <w:rPr>
          <w:rFonts w:eastAsia="Times New Roman" w:cs="Times New Roman"/>
          <w:b/>
        </w:rPr>
      </w:pPr>
      <w:r w:rsidRPr="00460F9E">
        <w:rPr>
          <w:rFonts w:eastAsia="Times New Roman" w:cs="Times New Roman"/>
        </w:rPr>
        <w:t xml:space="preserve">Kritik ekipmanlar için bir önleyici bakım planının oluşturulması ve uygulanması (bkz. </w:t>
      </w:r>
      <w:hyperlink w:anchor="page294" w:history="1">
        <w:r w:rsidRPr="00460F9E">
          <w:rPr>
            <w:rFonts w:eastAsia="Times New Roman" w:cs="Times New Roman"/>
          </w:rPr>
          <w:t xml:space="preserve">MET 1 </w:t>
        </w:r>
      </w:hyperlink>
      <w:r w:rsidRPr="00460F9E">
        <w:rPr>
          <w:rFonts w:eastAsia="Times New Roman" w:cs="Times New Roman"/>
        </w:rPr>
        <w:t xml:space="preserve">xii.);    </w:t>
      </w:r>
    </w:p>
    <w:p w14:paraId="10C22F69" w14:textId="77777777" w:rsidR="00A52778" w:rsidRPr="00460F9E" w:rsidRDefault="00A52778" w:rsidP="00A52778">
      <w:pPr>
        <w:spacing w:line="20" w:lineRule="exact"/>
        <w:rPr>
          <w:rFonts w:eastAsia="Times New Roman" w:cs="Times New Roman"/>
          <w:b/>
        </w:rPr>
      </w:pPr>
    </w:p>
    <w:p w14:paraId="04A19A74" w14:textId="77777777" w:rsidR="00A52778" w:rsidRPr="00460F9E" w:rsidRDefault="00A52778" w:rsidP="00A52778">
      <w:pPr>
        <w:spacing w:line="20" w:lineRule="exact"/>
        <w:rPr>
          <w:rFonts w:eastAsia="Times New Roman" w:cs="Times New Roman"/>
          <w:b/>
        </w:rPr>
        <w:sectPr w:rsidR="00A52778" w:rsidRPr="00460F9E">
          <w:type w:val="continuous"/>
          <w:pgSz w:w="11900" w:h="16838"/>
          <w:pgMar w:top="718" w:right="1440" w:bottom="145" w:left="1140" w:header="0" w:footer="0" w:gutter="0"/>
          <w:cols w:space="0" w:equalWidth="0">
            <w:col w:w="9326"/>
          </w:cols>
          <w:docGrid w:linePitch="360"/>
        </w:sectPr>
      </w:pPr>
    </w:p>
    <w:p w14:paraId="46AEF64F" w14:textId="77777777" w:rsidR="00A52778" w:rsidRPr="00460F9E" w:rsidRDefault="00A52778" w:rsidP="00A52778">
      <w:pPr>
        <w:spacing w:line="0" w:lineRule="atLeast"/>
        <w:ind w:left="8480"/>
        <w:rPr>
          <w:rFonts w:eastAsia="Times New Roman" w:cs="Times New Roman"/>
          <w:b/>
          <w:color w:val="0000FF"/>
          <w:sz w:val="19"/>
        </w:rPr>
      </w:pPr>
      <w:bookmarkStart w:id="317" w:name="page297"/>
      <w:bookmarkEnd w:id="317"/>
    </w:p>
    <w:p w14:paraId="412C07F2" w14:textId="77777777" w:rsidR="00A52778" w:rsidRPr="00460F9E" w:rsidRDefault="00A52778" w:rsidP="00A52778">
      <w:pPr>
        <w:spacing w:line="20" w:lineRule="exact"/>
        <w:rPr>
          <w:rFonts w:eastAsia="Times New Roman" w:cs="Times New Roman"/>
          <w:b/>
        </w:rPr>
      </w:pPr>
    </w:p>
    <w:p w14:paraId="5139A12F" w14:textId="77777777" w:rsidR="00A52778" w:rsidRPr="00460F9E" w:rsidRDefault="00A52778" w:rsidP="00A52778">
      <w:pPr>
        <w:spacing w:line="180" w:lineRule="exact"/>
        <w:rPr>
          <w:rFonts w:eastAsia="Times New Roman" w:cs="Times New Roman"/>
          <w:b/>
        </w:rPr>
      </w:pPr>
    </w:p>
    <w:p w14:paraId="2AE972D9" w14:textId="77777777" w:rsidR="00A52778" w:rsidRPr="00460F9E" w:rsidRDefault="00A52778" w:rsidP="00BF2B30">
      <w:pPr>
        <w:numPr>
          <w:ilvl w:val="0"/>
          <w:numId w:val="211"/>
        </w:numPr>
        <w:tabs>
          <w:tab w:val="left" w:pos="1820"/>
        </w:tabs>
        <w:spacing w:line="235" w:lineRule="auto"/>
        <w:ind w:left="107" w:hanging="226"/>
        <w:jc w:val="left"/>
        <w:rPr>
          <w:rFonts w:eastAsia="Times New Roman" w:cs="Times New Roman"/>
          <w:b/>
        </w:rPr>
      </w:pPr>
      <w:r w:rsidRPr="00460F9E">
        <w:rPr>
          <w:rFonts w:eastAsia="Times New Roman" w:cs="Times New Roman"/>
        </w:rPr>
        <w:t>İzleme (yani OTNOC sırasında emisyonların ve ilgili durumların tahmin edilmesi veya bunun mümkün olduğu durumlarda ölçülmesi) ve kaydedilmesi;</w:t>
      </w:r>
    </w:p>
    <w:p w14:paraId="58E7C273" w14:textId="77777777" w:rsidR="00A52778" w:rsidRPr="00460F9E" w:rsidRDefault="00A52778" w:rsidP="00A52778">
      <w:pPr>
        <w:spacing w:line="11" w:lineRule="exact"/>
        <w:rPr>
          <w:rFonts w:eastAsia="Times New Roman" w:cs="Times New Roman"/>
          <w:b/>
        </w:rPr>
      </w:pPr>
    </w:p>
    <w:p w14:paraId="4E1BAAE4" w14:textId="77777777" w:rsidR="00A52778" w:rsidRPr="00460F9E" w:rsidRDefault="00A52778" w:rsidP="00BF2B30">
      <w:pPr>
        <w:numPr>
          <w:ilvl w:val="0"/>
          <w:numId w:val="211"/>
        </w:numPr>
        <w:tabs>
          <w:tab w:val="left" w:pos="1820"/>
        </w:tabs>
        <w:spacing w:line="236" w:lineRule="auto"/>
        <w:ind w:left="107" w:hanging="226"/>
        <w:rPr>
          <w:rFonts w:eastAsia="Times New Roman" w:cs="Times New Roman"/>
          <w:b/>
        </w:rPr>
      </w:pPr>
      <w:r w:rsidRPr="00460F9E">
        <w:rPr>
          <w:rFonts w:eastAsia="Times New Roman" w:cs="Times New Roman"/>
        </w:rPr>
        <w:t>OTNOC sırasında meydana gelen emisyonların periyodik olarak değerlendirilmesi (örn. olayların sıklığı, süresi, madde iv' de kaydedildiği gibi çıkış yapan kirleticilerin miktarı) ve gerekirse düzeltici faaliyetlerin uygulanması;</w:t>
      </w:r>
    </w:p>
    <w:p w14:paraId="1677C300" w14:textId="77777777" w:rsidR="00A52778" w:rsidRPr="00460F9E" w:rsidRDefault="00A52778" w:rsidP="00A52778">
      <w:pPr>
        <w:spacing w:line="14" w:lineRule="exact"/>
        <w:rPr>
          <w:rFonts w:eastAsia="Times New Roman" w:cs="Times New Roman"/>
          <w:b/>
        </w:rPr>
      </w:pPr>
    </w:p>
    <w:p w14:paraId="0B808622" w14:textId="77777777" w:rsidR="00A52778" w:rsidRPr="00460F9E" w:rsidRDefault="00A52778" w:rsidP="00BF2B30">
      <w:pPr>
        <w:numPr>
          <w:ilvl w:val="0"/>
          <w:numId w:val="211"/>
        </w:numPr>
        <w:tabs>
          <w:tab w:val="left" w:pos="1820"/>
        </w:tabs>
        <w:spacing w:line="234" w:lineRule="auto"/>
        <w:ind w:left="107" w:right="20" w:hanging="226"/>
        <w:jc w:val="left"/>
        <w:rPr>
          <w:rFonts w:eastAsia="Times New Roman" w:cs="Times New Roman"/>
          <w:b/>
        </w:rPr>
      </w:pPr>
      <w:r w:rsidRPr="00460F9E">
        <w:rPr>
          <w:rFonts w:eastAsia="Times New Roman" w:cs="Times New Roman"/>
        </w:rPr>
        <w:t xml:space="preserve">v. maddenin periyodik değerlendirmesini takiben i. madde kapsamında belirlenen OTNOC listesinin düzenli olarak gözden geçirilmesi ve güncellenmesi; </w:t>
      </w:r>
    </w:p>
    <w:p w14:paraId="5CA6837E" w14:textId="77777777" w:rsidR="00A52778" w:rsidRPr="00460F9E" w:rsidRDefault="00A52778" w:rsidP="00BF2B30">
      <w:pPr>
        <w:numPr>
          <w:ilvl w:val="0"/>
          <w:numId w:val="211"/>
        </w:numPr>
        <w:tabs>
          <w:tab w:val="left" w:pos="1820"/>
        </w:tabs>
        <w:spacing w:line="0" w:lineRule="atLeast"/>
        <w:ind w:left="107" w:hanging="226"/>
        <w:jc w:val="left"/>
        <w:rPr>
          <w:rFonts w:eastAsia="Times New Roman" w:cs="Times New Roman"/>
          <w:b/>
        </w:rPr>
      </w:pPr>
      <w:r w:rsidRPr="00460F9E">
        <w:rPr>
          <w:rFonts w:eastAsia="Times New Roman" w:cs="Times New Roman"/>
        </w:rPr>
        <w:t>Yedekleme sistemlerinin düzenli olarak test edilmesi.</w:t>
      </w:r>
    </w:p>
    <w:p w14:paraId="7B0F5B00" w14:textId="77777777" w:rsidR="00A52778" w:rsidRPr="00460F9E" w:rsidRDefault="00A52778" w:rsidP="00A52778">
      <w:pPr>
        <w:spacing w:line="200" w:lineRule="exact"/>
        <w:rPr>
          <w:rFonts w:eastAsia="Times New Roman" w:cs="Times New Roman"/>
          <w:b/>
        </w:rPr>
      </w:pPr>
    </w:p>
    <w:p w14:paraId="1723143A" w14:textId="77777777" w:rsidR="00A52778" w:rsidRPr="00460F9E" w:rsidRDefault="00A52778" w:rsidP="00A52778">
      <w:pPr>
        <w:spacing w:line="312" w:lineRule="exact"/>
        <w:rPr>
          <w:rFonts w:eastAsia="Times New Roman" w:cs="Times New Roman"/>
          <w:b/>
        </w:rPr>
      </w:pPr>
    </w:p>
    <w:p w14:paraId="37CBA70C" w14:textId="77777777" w:rsidR="00A52778" w:rsidRPr="00460F9E" w:rsidRDefault="00A52778" w:rsidP="00A52778">
      <w:pPr>
        <w:pStyle w:val="AralkYok"/>
      </w:pPr>
      <w:r>
        <w:t>2.</w:t>
      </w:r>
      <w:r w:rsidRPr="00460F9E">
        <w:t>1.3</w:t>
      </w:r>
      <w:r w:rsidRPr="00460F9E">
        <w:rPr>
          <w:rFonts w:eastAsia="Times New Roman"/>
        </w:rPr>
        <w:tab/>
      </w:r>
      <w:r w:rsidRPr="00460F9E">
        <w:t>Havaya kanalize edilen emisyonlar</w:t>
      </w:r>
    </w:p>
    <w:p w14:paraId="1AD4571F" w14:textId="77777777" w:rsidR="00A52778" w:rsidRPr="00460F9E" w:rsidRDefault="00A52778" w:rsidP="00A52778">
      <w:pPr>
        <w:spacing w:line="249" w:lineRule="exact"/>
        <w:rPr>
          <w:rFonts w:eastAsia="Times New Roman" w:cs="Times New Roman"/>
        </w:rPr>
      </w:pPr>
    </w:p>
    <w:p w14:paraId="5F1EF8FB" w14:textId="77777777" w:rsidR="00A52778" w:rsidRPr="00460F9E" w:rsidRDefault="00A52778" w:rsidP="00A52778">
      <w:pPr>
        <w:tabs>
          <w:tab w:val="left" w:pos="2220"/>
        </w:tabs>
        <w:spacing w:line="0" w:lineRule="atLeast"/>
        <w:ind w:left="820"/>
        <w:rPr>
          <w:rFonts w:eastAsia="Arial" w:cs="Times New Roman"/>
        </w:rPr>
      </w:pPr>
      <w:r>
        <w:rPr>
          <w:rFonts w:eastAsia="Arial" w:cs="Times New Roman"/>
        </w:rPr>
        <w:t>2</w:t>
      </w:r>
      <w:r w:rsidRPr="00460F9E">
        <w:rPr>
          <w:rFonts w:eastAsia="Arial" w:cs="Times New Roman"/>
        </w:rPr>
        <w:t>.1.3.1</w:t>
      </w:r>
      <w:r w:rsidRPr="00460F9E">
        <w:rPr>
          <w:rFonts w:eastAsia="Times New Roman" w:cs="Times New Roman"/>
        </w:rPr>
        <w:tab/>
      </w:r>
      <w:r w:rsidRPr="00460F9E">
        <w:rPr>
          <w:rFonts w:eastAsia="Arial" w:cs="Times New Roman"/>
        </w:rPr>
        <w:t>Genel teknikler</w:t>
      </w:r>
    </w:p>
    <w:p w14:paraId="4242A248" w14:textId="77777777" w:rsidR="00A52778" w:rsidRPr="00460F9E" w:rsidRDefault="00A52778" w:rsidP="00A52778">
      <w:pPr>
        <w:spacing w:line="308" w:lineRule="exact"/>
        <w:rPr>
          <w:rFonts w:eastAsia="Times New Roman" w:cs="Times New Roman"/>
          <w:b/>
        </w:rPr>
      </w:pPr>
    </w:p>
    <w:p w14:paraId="1158699E" w14:textId="77777777" w:rsidR="00A52778" w:rsidRPr="00460F9E" w:rsidRDefault="00A52778" w:rsidP="00A52778">
      <w:pPr>
        <w:spacing w:line="235" w:lineRule="auto"/>
        <w:rPr>
          <w:rFonts w:eastAsia="Times New Roman" w:cs="Times New Roman"/>
        </w:rPr>
      </w:pPr>
      <w:r>
        <w:rPr>
          <w:rFonts w:eastAsia="Times New Roman" w:cs="Times New Roman"/>
        </w:rPr>
        <w:t>MET 4:</w:t>
      </w:r>
      <w:r w:rsidRPr="00460F9E">
        <w:rPr>
          <w:rFonts w:eastAsia="Times New Roman" w:cs="Times New Roman"/>
        </w:rPr>
        <w:t xml:space="preserve"> Havaya kanalize edilen emisyonları düşürmek için MET, öncelik sırasına göre sürece entegre geri kazanım ve azaltma tekniklerini içeren entegre bir atık gaz yönetimi ve arıtma stratejisi kullanmaktır.</w:t>
      </w:r>
    </w:p>
    <w:p w14:paraId="07D8947D" w14:textId="77777777" w:rsidR="00A52778" w:rsidRPr="00460F9E" w:rsidRDefault="00A52778" w:rsidP="00A52778">
      <w:pPr>
        <w:spacing w:line="297" w:lineRule="exact"/>
        <w:rPr>
          <w:rFonts w:eastAsia="Times New Roman" w:cs="Times New Roman"/>
        </w:rPr>
      </w:pPr>
    </w:p>
    <w:p w14:paraId="1AC53AD5" w14:textId="77777777" w:rsidR="00A52778" w:rsidRPr="00460F9E" w:rsidRDefault="00A52778" w:rsidP="00A52778">
      <w:pPr>
        <w:spacing w:line="0" w:lineRule="atLeast"/>
        <w:rPr>
          <w:rFonts w:eastAsia="Times New Roman" w:cs="Times New Roman"/>
        </w:rPr>
      </w:pPr>
      <w:r w:rsidRPr="00460F9E">
        <w:rPr>
          <w:rFonts w:eastAsia="Times New Roman" w:cs="Times New Roman"/>
        </w:rPr>
        <w:t>Tanımlama</w:t>
      </w:r>
    </w:p>
    <w:p w14:paraId="1B6EB26E" w14:textId="77777777" w:rsidR="00A52778" w:rsidRPr="00460F9E" w:rsidRDefault="00A52778" w:rsidP="00A52778">
      <w:pPr>
        <w:spacing w:line="6" w:lineRule="exact"/>
        <w:rPr>
          <w:rFonts w:eastAsia="Times New Roman" w:cs="Times New Roman"/>
          <w:b/>
        </w:rPr>
      </w:pPr>
    </w:p>
    <w:p w14:paraId="00BFF085" w14:textId="77777777" w:rsidR="00A52778" w:rsidRPr="00460F9E" w:rsidRDefault="00A52778" w:rsidP="00A52778">
      <w:pPr>
        <w:spacing w:line="236" w:lineRule="auto"/>
        <w:rPr>
          <w:rFonts w:eastAsia="Times New Roman" w:cs="Times New Roman"/>
          <w:b/>
        </w:rPr>
      </w:pPr>
      <w:r w:rsidRPr="00460F9E">
        <w:rPr>
          <w:rFonts w:eastAsia="Times New Roman" w:cs="Times New Roman"/>
        </w:rPr>
        <w:t>Entegre atık gaz yönetimi ve arıtma stratejisi MET 2' deki envantere dayanmaktadır. Sera gazı emisyonları ve farklı tekniklerin kullanımıyla ilişkili enerji, su ve maddelerin tüketimi veya yeniden kullanımı gibi faktörleri dikkate almaktadır.</w:t>
      </w:r>
    </w:p>
    <w:p w14:paraId="5E7AC787" w14:textId="77777777" w:rsidR="00A52778" w:rsidRPr="00460F9E" w:rsidRDefault="00A52778" w:rsidP="00A52778">
      <w:pPr>
        <w:spacing w:line="200" w:lineRule="exact"/>
        <w:rPr>
          <w:rFonts w:eastAsia="Times New Roman" w:cs="Times New Roman"/>
          <w:b/>
        </w:rPr>
      </w:pPr>
    </w:p>
    <w:p w14:paraId="27455C23" w14:textId="77777777" w:rsidR="00A52778" w:rsidRPr="00460F9E" w:rsidRDefault="00A52778" w:rsidP="00A52778">
      <w:pPr>
        <w:spacing w:line="364" w:lineRule="exact"/>
        <w:rPr>
          <w:rFonts w:eastAsia="Times New Roman" w:cs="Times New Roman"/>
        </w:rPr>
      </w:pPr>
    </w:p>
    <w:p w14:paraId="2AEC84B5" w14:textId="77777777" w:rsidR="00A52778" w:rsidRPr="00460F9E" w:rsidRDefault="00A52778" w:rsidP="00A52778">
      <w:pPr>
        <w:spacing w:line="235" w:lineRule="auto"/>
        <w:rPr>
          <w:rFonts w:eastAsia="Times New Roman" w:cs="Times New Roman"/>
        </w:rPr>
      </w:pPr>
      <w:r>
        <w:rPr>
          <w:rFonts w:eastAsia="Times New Roman" w:cs="Times New Roman"/>
        </w:rPr>
        <w:t>MET 5:</w:t>
      </w:r>
      <w:r w:rsidRPr="00460F9E">
        <w:rPr>
          <w:rFonts w:eastAsia="Times New Roman" w:cs="Times New Roman"/>
        </w:rPr>
        <w:t xml:space="preserve"> Maddelerin geri kazanımını kolaylaştırmak ve havaya kanalize edilen emisyonları azaltmak ve enerji verimliliğini artırmak için MET, benzer özelliklere sahip atık gaz akışlarını birleştirmek ve böylece emisyon noktalarının sayısını en aza indirmektir.</w:t>
      </w:r>
    </w:p>
    <w:p w14:paraId="4EABCD00" w14:textId="77777777" w:rsidR="00A52778" w:rsidRPr="00460F9E" w:rsidRDefault="00A52778" w:rsidP="00A52778">
      <w:pPr>
        <w:spacing w:line="297" w:lineRule="exact"/>
        <w:rPr>
          <w:rFonts w:eastAsia="Times New Roman" w:cs="Times New Roman"/>
          <w:b/>
        </w:rPr>
      </w:pPr>
    </w:p>
    <w:p w14:paraId="2FE44A26" w14:textId="77777777" w:rsidR="00A52778" w:rsidRPr="00460F9E" w:rsidRDefault="00A52778" w:rsidP="00A52778">
      <w:pPr>
        <w:spacing w:line="0" w:lineRule="atLeast"/>
        <w:rPr>
          <w:rFonts w:eastAsia="Times New Roman" w:cs="Times New Roman"/>
        </w:rPr>
      </w:pPr>
      <w:r w:rsidRPr="00460F9E">
        <w:rPr>
          <w:rFonts w:eastAsia="Times New Roman" w:cs="Times New Roman"/>
        </w:rPr>
        <w:t>Tanımlama</w:t>
      </w:r>
    </w:p>
    <w:p w14:paraId="63FD62C7" w14:textId="77777777" w:rsidR="00A52778" w:rsidRPr="00460F9E" w:rsidRDefault="00A52778" w:rsidP="00A52778">
      <w:pPr>
        <w:spacing w:line="6" w:lineRule="exact"/>
        <w:rPr>
          <w:rFonts w:eastAsia="Times New Roman" w:cs="Times New Roman"/>
          <w:b/>
        </w:rPr>
      </w:pPr>
    </w:p>
    <w:p w14:paraId="0AC3575E" w14:textId="77777777" w:rsidR="00A52778" w:rsidRPr="00460F9E" w:rsidRDefault="00A52778" w:rsidP="00A52778">
      <w:pPr>
        <w:spacing w:line="238" w:lineRule="auto"/>
        <w:rPr>
          <w:rFonts w:eastAsia="Times New Roman" w:cs="Times New Roman"/>
          <w:b/>
        </w:rPr>
      </w:pPr>
      <w:r w:rsidRPr="00460F9E">
        <w:rPr>
          <w:rFonts w:eastAsia="Times New Roman" w:cs="Times New Roman"/>
        </w:rPr>
        <w:t>Benzer özelliklere sahip atık gazların kombine arıtımı, tek tek atık gaz akışlarının ayrı ayrı arıtımına kıyasla daha etkili ve verimli bir arıtma sağlar. Atık gazların kombinasyonu tesis güvenliği (örn. alt/üst patlama sınırına yakın konsantrasyonlardan kaçınma), teknik (örn. münferit atık gaz akışlarının uyumluluğu, ilgili maddelerin konsantrasyonu), çevresel (örn. maddelerin geri kazanımını veya kirletici azaltımını en üst düzeye çıkarma) ve ekonomik faktörler (örn. farklı üretim birimleri arasındaki mesafe) dikkate alınarak gerçekleştirilir.</w:t>
      </w:r>
    </w:p>
    <w:p w14:paraId="02FB7A48" w14:textId="77777777" w:rsidR="00A52778" w:rsidRDefault="00A52778" w:rsidP="00A52778">
      <w:pPr>
        <w:spacing w:line="256" w:lineRule="exact"/>
        <w:rPr>
          <w:rFonts w:eastAsia="Times New Roman" w:cs="Times New Roman"/>
          <w:b/>
        </w:rPr>
      </w:pPr>
    </w:p>
    <w:p w14:paraId="048EDA6D" w14:textId="77777777" w:rsidR="00A52778" w:rsidRPr="00460F9E" w:rsidRDefault="00A52778" w:rsidP="00A52778">
      <w:pPr>
        <w:spacing w:line="256" w:lineRule="exact"/>
        <w:rPr>
          <w:rFonts w:eastAsia="Times New Roman" w:cs="Times New Roman"/>
          <w:b/>
        </w:rPr>
      </w:pPr>
    </w:p>
    <w:p w14:paraId="775E38E6" w14:textId="77777777" w:rsidR="00A52778" w:rsidRPr="00460F9E" w:rsidRDefault="00A52778" w:rsidP="00A52778">
      <w:pPr>
        <w:spacing w:line="0" w:lineRule="atLeast"/>
        <w:rPr>
          <w:rFonts w:eastAsia="Times New Roman" w:cs="Times New Roman"/>
          <w:b/>
        </w:rPr>
      </w:pPr>
      <w:r w:rsidRPr="00460F9E">
        <w:rPr>
          <w:rFonts w:eastAsia="Times New Roman" w:cs="Times New Roman"/>
        </w:rPr>
        <w:t>Atık gazların bir araya gelmesinin emisyonların seyrelmesine yol açmamasına dikkat edilir.</w:t>
      </w:r>
    </w:p>
    <w:p w14:paraId="74B9D451" w14:textId="77777777" w:rsidR="00A52778" w:rsidRPr="00460F9E" w:rsidRDefault="00A52778" w:rsidP="00A52778">
      <w:pPr>
        <w:spacing w:line="200" w:lineRule="exact"/>
        <w:rPr>
          <w:rFonts w:eastAsia="Times New Roman" w:cs="Times New Roman"/>
          <w:b/>
        </w:rPr>
      </w:pPr>
    </w:p>
    <w:p w14:paraId="18131366" w14:textId="77777777" w:rsidR="00A52778" w:rsidRPr="00460F9E" w:rsidRDefault="00A52778" w:rsidP="00A52778">
      <w:pPr>
        <w:spacing w:line="365" w:lineRule="exact"/>
        <w:rPr>
          <w:rFonts w:eastAsia="Times New Roman" w:cs="Times New Roman"/>
          <w:b/>
        </w:rPr>
      </w:pPr>
    </w:p>
    <w:p w14:paraId="2EDC0028" w14:textId="77777777" w:rsidR="00A52778" w:rsidRPr="00460F9E" w:rsidRDefault="00A52778" w:rsidP="00A52778">
      <w:pPr>
        <w:spacing w:line="237" w:lineRule="auto"/>
        <w:ind w:right="20"/>
        <w:rPr>
          <w:rFonts w:eastAsia="Times New Roman" w:cs="Times New Roman"/>
        </w:rPr>
      </w:pPr>
      <w:r>
        <w:rPr>
          <w:rFonts w:eastAsia="Times New Roman" w:cs="Times New Roman"/>
        </w:rPr>
        <w:t>MET 6:</w:t>
      </w:r>
      <w:r w:rsidRPr="00460F9E">
        <w:rPr>
          <w:rFonts w:eastAsia="Times New Roman" w:cs="Times New Roman"/>
        </w:rPr>
        <w:t xml:space="preserve"> Havaya kanalize edilen emisyonları azaltmak için MET, atık gaz arıtma sistemlerinin uygun şekilde tasarlanmasını (örneğin maksimum akış hızı ve kirletici konsantrasyonları dikkate alınarak), tasarım aralıkları dahilinde çalıştırılmasını ve ekipmanların optimum düzeyde kullanılabilirliklerini, etkinliklerini ve verimlerini sağlamak için bakımlarının (önleyici, düzeltici, düzenli ve plansız bakım yoluyla) yapılmasını yerine getirmektir.</w:t>
      </w:r>
    </w:p>
    <w:p w14:paraId="48FEB8AD" w14:textId="77777777" w:rsidR="00A52778" w:rsidRPr="00460F9E" w:rsidRDefault="00A52778" w:rsidP="00A52778">
      <w:pPr>
        <w:spacing w:line="200" w:lineRule="exact"/>
        <w:rPr>
          <w:rFonts w:eastAsia="Times New Roman" w:cs="Times New Roman"/>
          <w:b/>
        </w:rPr>
      </w:pPr>
    </w:p>
    <w:p w14:paraId="6EFF9CE3" w14:textId="77777777" w:rsidR="00A52778" w:rsidRPr="00460F9E" w:rsidRDefault="00A52778" w:rsidP="00A52778">
      <w:pPr>
        <w:spacing w:line="345" w:lineRule="exact"/>
        <w:rPr>
          <w:rFonts w:eastAsia="Times New Roman" w:cs="Times New Roman"/>
          <w:b/>
        </w:rPr>
      </w:pPr>
    </w:p>
    <w:p w14:paraId="5F329AB6" w14:textId="77777777" w:rsidR="00A52778" w:rsidRPr="00460F9E" w:rsidRDefault="00A52778" w:rsidP="00A52778">
      <w:pPr>
        <w:tabs>
          <w:tab w:val="left" w:pos="2220"/>
        </w:tabs>
        <w:spacing w:line="0" w:lineRule="atLeast"/>
        <w:rPr>
          <w:rFonts w:eastAsia="Arial" w:cs="Times New Roman"/>
        </w:rPr>
      </w:pPr>
      <w:r>
        <w:rPr>
          <w:rFonts w:eastAsia="Arial" w:cs="Times New Roman"/>
        </w:rPr>
        <w:t>2</w:t>
      </w:r>
      <w:r w:rsidRPr="00460F9E">
        <w:rPr>
          <w:rFonts w:eastAsia="Arial" w:cs="Times New Roman"/>
        </w:rPr>
        <w:t>.1.3.2</w:t>
      </w:r>
      <w:r>
        <w:rPr>
          <w:rFonts w:eastAsia="Times New Roman" w:cs="Times New Roman"/>
        </w:rPr>
        <w:t xml:space="preserve"> </w:t>
      </w:r>
      <w:r w:rsidRPr="00460F9E">
        <w:rPr>
          <w:rFonts w:eastAsia="Arial" w:cs="Times New Roman"/>
        </w:rPr>
        <w:t>İzleme</w:t>
      </w:r>
    </w:p>
    <w:p w14:paraId="336627D6" w14:textId="77777777" w:rsidR="00A52778" w:rsidRPr="00460F9E" w:rsidRDefault="00A52778" w:rsidP="00A52778">
      <w:pPr>
        <w:spacing w:line="308" w:lineRule="exact"/>
        <w:rPr>
          <w:rFonts w:eastAsia="Times New Roman" w:cs="Times New Roman"/>
        </w:rPr>
      </w:pPr>
    </w:p>
    <w:p w14:paraId="71130FE9" w14:textId="77777777" w:rsidR="00A52778" w:rsidRPr="00460F9E" w:rsidRDefault="00A52778" w:rsidP="00A52778">
      <w:pPr>
        <w:spacing w:line="234" w:lineRule="auto"/>
        <w:ind w:right="20"/>
        <w:rPr>
          <w:rFonts w:eastAsia="Times New Roman" w:cs="Times New Roman"/>
        </w:rPr>
      </w:pPr>
      <w:r>
        <w:rPr>
          <w:rFonts w:eastAsia="Times New Roman" w:cs="Times New Roman"/>
        </w:rPr>
        <w:t>MET 7: Ö</w:t>
      </w:r>
      <w:r w:rsidRPr="00460F9E">
        <w:rPr>
          <w:rFonts w:eastAsia="Times New Roman" w:cs="Times New Roman"/>
        </w:rPr>
        <w:t>n arıtmaya ve/veya nihai arıtmaya gönderilen atık gaz akışlarının temel proses parametrelerini (örn. atık gaz akışı ve sıcaklığı) sürekli olarak izlemektir.</w:t>
      </w:r>
    </w:p>
    <w:p w14:paraId="03564F51" w14:textId="77777777" w:rsidR="00A52778" w:rsidRPr="00460F9E" w:rsidRDefault="00A52778" w:rsidP="00A52778">
      <w:pPr>
        <w:spacing w:line="225" w:lineRule="exact"/>
        <w:rPr>
          <w:rFonts w:eastAsia="Times New Roman" w:cs="Times New Roman"/>
          <w:b/>
        </w:rPr>
      </w:pPr>
    </w:p>
    <w:p w14:paraId="212D78AC" w14:textId="77777777" w:rsidR="00A52778" w:rsidRPr="00460F9E" w:rsidRDefault="00A52778" w:rsidP="00A52778">
      <w:pPr>
        <w:spacing w:line="237" w:lineRule="auto"/>
        <w:ind w:right="826"/>
        <w:rPr>
          <w:rFonts w:eastAsia="Times New Roman" w:cs="Times New Roman"/>
        </w:rPr>
      </w:pPr>
      <w:r>
        <w:rPr>
          <w:rFonts w:eastAsia="Times New Roman" w:cs="Times New Roman"/>
        </w:rPr>
        <w:t>MET 8: H</w:t>
      </w:r>
      <w:r w:rsidRPr="00460F9E">
        <w:rPr>
          <w:rFonts w:eastAsia="Times New Roman" w:cs="Times New Roman"/>
        </w:rPr>
        <w:t>avaya kanalize edilen emisyonları en azından, yani hiç değilse, aşağıda verilen sıklıkta ve EN standartlarına uygun olarak izlemektir. EN standartlarının mevcut olmaması halinde MET, eşdeğer bilimsel kalitede verilerin sağlanmasını temin eden ISO, ulusal veya diğer uluslararası standartları kullanacaktır.</w:t>
      </w:r>
    </w:p>
    <w:p w14:paraId="687B1255" w14:textId="77777777" w:rsidR="00A52778" w:rsidRPr="00460F9E" w:rsidRDefault="00A52778" w:rsidP="00A52778">
      <w:pPr>
        <w:spacing w:line="200" w:lineRule="exact"/>
        <w:rPr>
          <w:rFonts w:eastAsia="Times New Roman" w:cs="Times New Roman"/>
        </w:rPr>
      </w:pPr>
    </w:p>
    <w:tbl>
      <w:tblPr>
        <w:tblW w:w="0" w:type="auto"/>
        <w:tblInd w:w="10" w:type="dxa"/>
        <w:tblCellMar>
          <w:left w:w="0" w:type="dxa"/>
          <w:right w:w="0" w:type="dxa"/>
        </w:tblCellMar>
        <w:tblLook w:val="0000" w:firstRow="0" w:lastRow="0" w:firstColumn="0" w:lastColumn="0" w:noHBand="0" w:noVBand="0"/>
      </w:tblPr>
      <w:tblGrid>
        <w:gridCol w:w="560"/>
        <w:gridCol w:w="520"/>
        <w:gridCol w:w="760"/>
        <w:gridCol w:w="1879"/>
        <w:gridCol w:w="1240"/>
        <w:gridCol w:w="1920"/>
        <w:gridCol w:w="1260"/>
        <w:gridCol w:w="1380"/>
      </w:tblGrid>
      <w:tr w:rsidR="00A52778" w:rsidRPr="00460F9E" w14:paraId="6460909A" w14:textId="77777777" w:rsidTr="00FC3F8E">
        <w:trPr>
          <w:trHeight w:val="812"/>
        </w:trPr>
        <w:tc>
          <w:tcPr>
            <w:tcW w:w="1840" w:type="dxa"/>
            <w:gridSpan w:val="3"/>
            <w:tcBorders>
              <w:top w:val="single" w:sz="8" w:space="0" w:color="auto"/>
              <w:left w:val="single" w:sz="8" w:space="0" w:color="auto"/>
              <w:right w:val="single" w:sz="8" w:space="0" w:color="auto"/>
            </w:tcBorders>
            <w:shd w:val="clear" w:color="auto" w:fill="auto"/>
            <w:vAlign w:val="center"/>
          </w:tcPr>
          <w:p w14:paraId="547B3B64" w14:textId="77777777" w:rsidR="00A52778" w:rsidRPr="00460F9E" w:rsidRDefault="00A52778" w:rsidP="00FC3F8E">
            <w:pPr>
              <w:spacing w:line="0" w:lineRule="atLeast"/>
              <w:jc w:val="center"/>
              <w:rPr>
                <w:rFonts w:eastAsia="Times New Roman" w:cs="Times New Roman"/>
                <w:w w:val="99"/>
              </w:rPr>
            </w:pPr>
            <w:r w:rsidRPr="00460F9E">
              <w:rPr>
                <w:rFonts w:eastAsia="Times New Roman" w:cs="Times New Roman"/>
                <w:w w:val="99"/>
              </w:rPr>
              <w:t>Maddeler/</w:t>
            </w:r>
          </w:p>
          <w:p w14:paraId="16A2567A" w14:textId="77777777" w:rsidR="00A52778" w:rsidRPr="00460F9E" w:rsidRDefault="00A52778" w:rsidP="00FC3F8E">
            <w:pPr>
              <w:spacing w:line="0" w:lineRule="atLeast"/>
              <w:jc w:val="center"/>
              <w:rPr>
                <w:rFonts w:eastAsia="Times New Roman" w:cs="Times New Roman"/>
                <w:w w:val="99"/>
              </w:rPr>
            </w:pPr>
            <w:r w:rsidRPr="00460F9E">
              <w:rPr>
                <w:rFonts w:eastAsia="Times New Roman" w:cs="Times New Roman"/>
                <w:w w:val="98"/>
              </w:rPr>
              <w:t>Parametreler (</w:t>
            </w:r>
            <w:r w:rsidRPr="00460F9E">
              <w:rPr>
                <w:rFonts w:eastAsia="Times New Roman" w:cs="Times New Roman"/>
                <w:w w:val="98"/>
                <w:sz w:val="25"/>
                <w:vertAlign w:val="superscript"/>
              </w:rPr>
              <w:t>1</w:t>
            </w:r>
            <w:r w:rsidRPr="00460F9E">
              <w:rPr>
                <w:rFonts w:eastAsia="Times New Roman" w:cs="Times New Roman"/>
                <w:w w:val="98"/>
              </w:rPr>
              <w:t>)</w:t>
            </w:r>
          </w:p>
        </w:tc>
        <w:tc>
          <w:tcPr>
            <w:tcW w:w="1640" w:type="dxa"/>
            <w:tcBorders>
              <w:top w:val="single" w:sz="8" w:space="0" w:color="auto"/>
              <w:right w:val="single" w:sz="8" w:space="0" w:color="auto"/>
            </w:tcBorders>
            <w:shd w:val="clear" w:color="auto" w:fill="auto"/>
            <w:vAlign w:val="center"/>
          </w:tcPr>
          <w:p w14:paraId="6CDC566B" w14:textId="77777777" w:rsidR="00A52778" w:rsidRPr="00460F9E" w:rsidRDefault="00A52778" w:rsidP="00FC3F8E">
            <w:pPr>
              <w:spacing w:line="0" w:lineRule="atLeast"/>
              <w:jc w:val="center"/>
              <w:rPr>
                <w:rFonts w:eastAsia="Times New Roman" w:cs="Times New Roman"/>
                <w:w w:val="99"/>
              </w:rPr>
            </w:pPr>
            <w:r w:rsidRPr="00460F9E">
              <w:rPr>
                <w:rFonts w:eastAsia="Times New Roman" w:cs="Times New Roman"/>
                <w:w w:val="99"/>
              </w:rPr>
              <w:t>Proses(ler)/</w:t>
            </w:r>
          </w:p>
          <w:p w14:paraId="5BEC2761" w14:textId="77777777" w:rsidR="00A52778" w:rsidRPr="00460F9E" w:rsidRDefault="00A52778" w:rsidP="00FC3F8E">
            <w:pPr>
              <w:spacing w:line="0" w:lineRule="atLeast"/>
              <w:jc w:val="center"/>
              <w:rPr>
                <w:rFonts w:eastAsia="Times New Roman" w:cs="Times New Roman"/>
                <w:w w:val="99"/>
              </w:rPr>
            </w:pPr>
            <w:r w:rsidRPr="00460F9E">
              <w:rPr>
                <w:rFonts w:eastAsia="Times New Roman" w:cs="Times New Roman"/>
                <w:w w:val="99"/>
              </w:rPr>
              <w:t>Kaynak(lar)</w:t>
            </w:r>
          </w:p>
        </w:tc>
        <w:tc>
          <w:tcPr>
            <w:tcW w:w="1240" w:type="dxa"/>
            <w:tcBorders>
              <w:top w:val="single" w:sz="8" w:space="0" w:color="auto"/>
              <w:right w:val="single" w:sz="8" w:space="0" w:color="auto"/>
            </w:tcBorders>
            <w:shd w:val="clear" w:color="auto" w:fill="auto"/>
            <w:vAlign w:val="center"/>
          </w:tcPr>
          <w:p w14:paraId="0DAF8C48" w14:textId="77777777" w:rsidR="00A52778" w:rsidRPr="00460F9E" w:rsidRDefault="00A52778" w:rsidP="00FC3F8E">
            <w:pPr>
              <w:spacing w:line="0" w:lineRule="atLeast"/>
              <w:jc w:val="center"/>
              <w:rPr>
                <w:rFonts w:eastAsia="Times New Roman" w:cs="Times New Roman"/>
              </w:rPr>
            </w:pPr>
            <w:r w:rsidRPr="00460F9E">
              <w:rPr>
                <w:rFonts w:eastAsia="Times New Roman" w:cs="Times New Roman"/>
              </w:rPr>
              <w:t>Emisyon</w:t>
            </w:r>
          </w:p>
          <w:p w14:paraId="22A56A0B" w14:textId="77777777" w:rsidR="00A52778" w:rsidRPr="00460F9E" w:rsidRDefault="00A52778" w:rsidP="00FC3F8E">
            <w:pPr>
              <w:spacing w:line="0" w:lineRule="atLeast"/>
              <w:jc w:val="center"/>
              <w:rPr>
                <w:rFonts w:eastAsia="Times New Roman" w:cs="Times New Roman"/>
              </w:rPr>
            </w:pPr>
            <w:r w:rsidRPr="00460F9E">
              <w:rPr>
                <w:rFonts w:eastAsia="Times New Roman" w:cs="Times New Roman"/>
                <w:w w:val="99"/>
              </w:rPr>
              <w:t>noktaları</w:t>
            </w:r>
          </w:p>
        </w:tc>
        <w:tc>
          <w:tcPr>
            <w:tcW w:w="1920" w:type="dxa"/>
            <w:tcBorders>
              <w:top w:val="single" w:sz="8" w:space="0" w:color="auto"/>
              <w:right w:val="single" w:sz="8" w:space="0" w:color="auto"/>
            </w:tcBorders>
            <w:shd w:val="clear" w:color="auto" w:fill="auto"/>
            <w:vAlign w:val="center"/>
          </w:tcPr>
          <w:p w14:paraId="3EE1F134" w14:textId="77777777" w:rsidR="00A52778" w:rsidRPr="00460F9E" w:rsidRDefault="00A52778" w:rsidP="00FC3F8E">
            <w:pPr>
              <w:spacing w:line="0" w:lineRule="atLeast"/>
              <w:jc w:val="center"/>
              <w:rPr>
                <w:rFonts w:eastAsia="Times New Roman" w:cs="Times New Roman"/>
                <w:w w:val="98"/>
              </w:rPr>
            </w:pPr>
            <w:r w:rsidRPr="00460F9E">
              <w:rPr>
                <w:rFonts w:eastAsia="Times New Roman" w:cs="Times New Roman"/>
                <w:w w:val="98"/>
              </w:rPr>
              <w:t>Standard(lar)</w:t>
            </w:r>
          </w:p>
          <w:p w14:paraId="7CEF1D1F" w14:textId="77777777" w:rsidR="00A52778" w:rsidRPr="00460F9E" w:rsidRDefault="00A52778" w:rsidP="00FC3F8E">
            <w:pPr>
              <w:spacing w:line="0" w:lineRule="atLeast"/>
              <w:jc w:val="center"/>
              <w:rPr>
                <w:rFonts w:eastAsia="Times New Roman" w:cs="Times New Roman"/>
                <w:w w:val="98"/>
              </w:rPr>
            </w:pPr>
            <w:r w:rsidRPr="00460F9E">
              <w:rPr>
                <w:rFonts w:eastAsia="Times New Roman" w:cs="Times New Roman"/>
                <w:w w:val="92"/>
              </w:rPr>
              <w:t>(</w:t>
            </w:r>
            <w:r w:rsidRPr="00460F9E">
              <w:rPr>
                <w:rFonts w:eastAsia="Times New Roman" w:cs="Times New Roman"/>
                <w:w w:val="92"/>
                <w:sz w:val="25"/>
                <w:vertAlign w:val="superscript"/>
              </w:rPr>
              <w:t>2</w:t>
            </w:r>
            <w:r w:rsidRPr="00460F9E">
              <w:rPr>
                <w:rFonts w:eastAsia="Times New Roman" w:cs="Times New Roman"/>
                <w:w w:val="92"/>
              </w:rPr>
              <w:t>)</w:t>
            </w:r>
          </w:p>
        </w:tc>
        <w:tc>
          <w:tcPr>
            <w:tcW w:w="1260" w:type="dxa"/>
            <w:vMerge w:val="restart"/>
            <w:tcBorders>
              <w:top w:val="single" w:sz="8" w:space="0" w:color="auto"/>
              <w:bottom w:val="nil"/>
              <w:right w:val="single" w:sz="8" w:space="0" w:color="auto"/>
            </w:tcBorders>
            <w:shd w:val="clear" w:color="auto" w:fill="auto"/>
            <w:vAlign w:val="center"/>
          </w:tcPr>
          <w:p w14:paraId="7C3D282B" w14:textId="77777777" w:rsidR="00A52778" w:rsidRPr="00460F9E" w:rsidRDefault="00A52778" w:rsidP="00FC3F8E">
            <w:pPr>
              <w:spacing w:line="0" w:lineRule="atLeast"/>
              <w:jc w:val="center"/>
              <w:rPr>
                <w:rFonts w:eastAsia="Times New Roman" w:cs="Times New Roman"/>
              </w:rPr>
            </w:pPr>
            <w:r w:rsidRPr="00460F9E">
              <w:rPr>
                <w:rFonts w:eastAsia="Times New Roman" w:cs="Times New Roman"/>
              </w:rPr>
              <w:t>Minimum</w:t>
            </w:r>
          </w:p>
          <w:p w14:paraId="513AE7D7" w14:textId="77777777" w:rsidR="00A52778" w:rsidRPr="00460F9E" w:rsidRDefault="00A52778" w:rsidP="00FC3F8E">
            <w:pPr>
              <w:spacing w:line="0" w:lineRule="atLeast"/>
              <w:jc w:val="center"/>
              <w:rPr>
                <w:rFonts w:eastAsia="Times New Roman" w:cs="Times New Roman"/>
              </w:rPr>
            </w:pPr>
            <w:r w:rsidRPr="00460F9E">
              <w:rPr>
                <w:rFonts w:eastAsia="Times New Roman" w:cs="Times New Roman"/>
              </w:rPr>
              <w:t>izleme</w:t>
            </w:r>
          </w:p>
          <w:p w14:paraId="5BDD0470" w14:textId="77777777" w:rsidR="00A52778" w:rsidRPr="00460F9E" w:rsidRDefault="00A52778" w:rsidP="00FC3F8E">
            <w:pPr>
              <w:spacing w:line="0" w:lineRule="atLeast"/>
              <w:jc w:val="center"/>
              <w:rPr>
                <w:rFonts w:eastAsia="Times New Roman" w:cs="Times New Roman"/>
              </w:rPr>
            </w:pPr>
            <w:r w:rsidRPr="00460F9E">
              <w:rPr>
                <w:rFonts w:eastAsia="Times New Roman" w:cs="Times New Roman"/>
              </w:rPr>
              <w:t>sıklıkları</w:t>
            </w:r>
          </w:p>
        </w:tc>
        <w:tc>
          <w:tcPr>
            <w:tcW w:w="1380" w:type="dxa"/>
            <w:vMerge w:val="restart"/>
            <w:tcBorders>
              <w:top w:val="single" w:sz="8" w:space="0" w:color="auto"/>
              <w:bottom w:val="nil"/>
              <w:right w:val="single" w:sz="8" w:space="0" w:color="auto"/>
            </w:tcBorders>
            <w:shd w:val="clear" w:color="auto" w:fill="auto"/>
            <w:vAlign w:val="center"/>
          </w:tcPr>
          <w:p w14:paraId="490014A7" w14:textId="77777777" w:rsidR="00A52778" w:rsidRPr="00460F9E" w:rsidRDefault="00A52778" w:rsidP="00FC3F8E">
            <w:pPr>
              <w:spacing w:line="0" w:lineRule="atLeast"/>
              <w:jc w:val="center"/>
              <w:rPr>
                <w:rFonts w:eastAsia="Times New Roman" w:cs="Times New Roman"/>
                <w:w w:val="99"/>
              </w:rPr>
            </w:pPr>
            <w:r w:rsidRPr="00460F9E">
              <w:rPr>
                <w:rFonts w:eastAsia="Times New Roman" w:cs="Times New Roman"/>
                <w:w w:val="99"/>
              </w:rPr>
              <w:t>İlişkili</w:t>
            </w:r>
          </w:p>
          <w:p w14:paraId="23252DF3" w14:textId="77777777" w:rsidR="00A52778" w:rsidRPr="00460F9E" w:rsidRDefault="00A52778" w:rsidP="00FC3F8E">
            <w:pPr>
              <w:spacing w:line="0" w:lineRule="atLeast"/>
              <w:jc w:val="center"/>
              <w:rPr>
                <w:rFonts w:eastAsia="Times New Roman" w:cs="Times New Roman"/>
              </w:rPr>
            </w:pPr>
            <w:r w:rsidRPr="00460F9E">
              <w:rPr>
                <w:rFonts w:eastAsia="Times New Roman" w:cs="Times New Roman"/>
              </w:rPr>
              <w:t>izleme</w:t>
            </w:r>
          </w:p>
        </w:tc>
      </w:tr>
      <w:tr w:rsidR="00A52778" w:rsidRPr="00460F9E" w14:paraId="4B894CB6" w14:textId="77777777" w:rsidTr="00FC3F8E">
        <w:trPr>
          <w:trHeight w:val="65"/>
        </w:trPr>
        <w:tc>
          <w:tcPr>
            <w:tcW w:w="560" w:type="dxa"/>
            <w:tcBorders>
              <w:left w:val="single" w:sz="8" w:space="0" w:color="auto"/>
              <w:bottom w:val="single" w:sz="8" w:space="0" w:color="auto"/>
            </w:tcBorders>
            <w:shd w:val="clear" w:color="auto" w:fill="auto"/>
            <w:vAlign w:val="bottom"/>
          </w:tcPr>
          <w:p w14:paraId="67984F2A" w14:textId="77777777" w:rsidR="00A52778" w:rsidRPr="00460F9E" w:rsidRDefault="00A52778" w:rsidP="00FC3F8E">
            <w:pPr>
              <w:spacing w:line="0" w:lineRule="atLeast"/>
              <w:rPr>
                <w:rFonts w:eastAsia="Times New Roman" w:cs="Times New Roman"/>
                <w:b/>
                <w:sz w:val="3"/>
              </w:rPr>
            </w:pPr>
          </w:p>
        </w:tc>
        <w:tc>
          <w:tcPr>
            <w:tcW w:w="520" w:type="dxa"/>
            <w:tcBorders>
              <w:bottom w:val="single" w:sz="8" w:space="0" w:color="auto"/>
            </w:tcBorders>
            <w:shd w:val="clear" w:color="auto" w:fill="auto"/>
            <w:vAlign w:val="bottom"/>
          </w:tcPr>
          <w:p w14:paraId="5921FBB0" w14:textId="77777777" w:rsidR="00A52778" w:rsidRPr="00460F9E" w:rsidRDefault="00A52778" w:rsidP="00FC3F8E">
            <w:pPr>
              <w:spacing w:line="0" w:lineRule="atLeast"/>
              <w:rPr>
                <w:rFonts w:eastAsia="Times New Roman" w:cs="Times New Roman"/>
                <w:b/>
                <w:sz w:val="3"/>
              </w:rPr>
            </w:pPr>
          </w:p>
        </w:tc>
        <w:tc>
          <w:tcPr>
            <w:tcW w:w="760" w:type="dxa"/>
            <w:tcBorders>
              <w:bottom w:val="single" w:sz="8" w:space="0" w:color="auto"/>
              <w:right w:val="single" w:sz="8" w:space="0" w:color="auto"/>
            </w:tcBorders>
            <w:shd w:val="clear" w:color="auto" w:fill="auto"/>
            <w:vAlign w:val="bottom"/>
          </w:tcPr>
          <w:p w14:paraId="07C16B54" w14:textId="77777777" w:rsidR="00A52778" w:rsidRPr="00460F9E" w:rsidRDefault="00A52778" w:rsidP="00FC3F8E">
            <w:pPr>
              <w:spacing w:line="0" w:lineRule="atLeast"/>
              <w:rPr>
                <w:rFonts w:eastAsia="Times New Roman" w:cs="Times New Roman"/>
                <w:b/>
                <w:sz w:val="3"/>
              </w:rPr>
            </w:pPr>
          </w:p>
        </w:tc>
        <w:tc>
          <w:tcPr>
            <w:tcW w:w="1640" w:type="dxa"/>
            <w:tcBorders>
              <w:bottom w:val="single" w:sz="8" w:space="0" w:color="auto"/>
              <w:right w:val="single" w:sz="8" w:space="0" w:color="auto"/>
            </w:tcBorders>
            <w:shd w:val="clear" w:color="auto" w:fill="auto"/>
            <w:vAlign w:val="bottom"/>
          </w:tcPr>
          <w:p w14:paraId="223F2792" w14:textId="77777777" w:rsidR="00A52778" w:rsidRPr="00460F9E" w:rsidRDefault="00A52778" w:rsidP="00FC3F8E">
            <w:pPr>
              <w:spacing w:line="0" w:lineRule="atLeast"/>
              <w:rPr>
                <w:rFonts w:eastAsia="Times New Roman" w:cs="Times New Roman"/>
                <w:b/>
                <w:sz w:val="3"/>
              </w:rPr>
            </w:pPr>
          </w:p>
        </w:tc>
        <w:tc>
          <w:tcPr>
            <w:tcW w:w="1240" w:type="dxa"/>
            <w:tcBorders>
              <w:bottom w:val="single" w:sz="8" w:space="0" w:color="auto"/>
              <w:right w:val="single" w:sz="8" w:space="0" w:color="auto"/>
            </w:tcBorders>
            <w:shd w:val="clear" w:color="auto" w:fill="auto"/>
            <w:vAlign w:val="bottom"/>
          </w:tcPr>
          <w:p w14:paraId="6BDDCC66" w14:textId="77777777" w:rsidR="00A52778" w:rsidRPr="00460F9E" w:rsidRDefault="00A52778" w:rsidP="00FC3F8E">
            <w:pPr>
              <w:spacing w:line="0" w:lineRule="atLeast"/>
              <w:rPr>
                <w:rFonts w:eastAsia="Times New Roman" w:cs="Times New Roman"/>
                <w:b/>
                <w:sz w:val="3"/>
              </w:rPr>
            </w:pPr>
          </w:p>
        </w:tc>
        <w:tc>
          <w:tcPr>
            <w:tcW w:w="1920" w:type="dxa"/>
            <w:tcBorders>
              <w:bottom w:val="single" w:sz="8" w:space="0" w:color="auto"/>
              <w:right w:val="single" w:sz="8" w:space="0" w:color="auto"/>
            </w:tcBorders>
            <w:shd w:val="clear" w:color="auto" w:fill="auto"/>
            <w:vAlign w:val="bottom"/>
          </w:tcPr>
          <w:p w14:paraId="36F76662" w14:textId="77777777" w:rsidR="00A52778" w:rsidRPr="00460F9E" w:rsidRDefault="00A52778" w:rsidP="00FC3F8E">
            <w:pPr>
              <w:spacing w:line="0" w:lineRule="atLeast"/>
              <w:rPr>
                <w:rFonts w:eastAsia="Times New Roman" w:cs="Times New Roman"/>
                <w:b/>
                <w:sz w:val="3"/>
              </w:rPr>
            </w:pPr>
          </w:p>
        </w:tc>
        <w:tc>
          <w:tcPr>
            <w:tcW w:w="1260" w:type="dxa"/>
            <w:vMerge/>
            <w:tcBorders>
              <w:bottom w:val="single" w:sz="8" w:space="0" w:color="auto"/>
              <w:right w:val="single" w:sz="8" w:space="0" w:color="auto"/>
            </w:tcBorders>
            <w:shd w:val="clear" w:color="auto" w:fill="auto"/>
            <w:vAlign w:val="bottom"/>
          </w:tcPr>
          <w:p w14:paraId="4C1F84DC" w14:textId="77777777" w:rsidR="00A52778" w:rsidRPr="00460F9E" w:rsidRDefault="00A52778" w:rsidP="00FC3F8E">
            <w:pPr>
              <w:spacing w:line="0" w:lineRule="atLeast"/>
              <w:rPr>
                <w:rFonts w:eastAsia="Times New Roman" w:cs="Times New Roman"/>
                <w:b/>
                <w:sz w:val="3"/>
              </w:rPr>
            </w:pPr>
          </w:p>
        </w:tc>
        <w:tc>
          <w:tcPr>
            <w:tcW w:w="1380" w:type="dxa"/>
            <w:vMerge/>
            <w:tcBorders>
              <w:bottom w:val="single" w:sz="8" w:space="0" w:color="auto"/>
              <w:right w:val="single" w:sz="8" w:space="0" w:color="auto"/>
            </w:tcBorders>
            <w:shd w:val="clear" w:color="auto" w:fill="auto"/>
            <w:vAlign w:val="bottom"/>
          </w:tcPr>
          <w:p w14:paraId="7038BBCB" w14:textId="77777777" w:rsidR="00A52778" w:rsidRPr="00460F9E" w:rsidRDefault="00A52778" w:rsidP="00FC3F8E">
            <w:pPr>
              <w:spacing w:line="0" w:lineRule="atLeast"/>
              <w:rPr>
                <w:rFonts w:eastAsia="Times New Roman" w:cs="Times New Roman"/>
                <w:b/>
                <w:sz w:val="3"/>
              </w:rPr>
            </w:pPr>
          </w:p>
        </w:tc>
      </w:tr>
      <w:tr w:rsidR="00A52778" w:rsidRPr="00460F9E" w14:paraId="3CED8B43" w14:textId="77777777" w:rsidTr="00FC3F8E">
        <w:trPr>
          <w:trHeight w:hRule="exact" w:val="75"/>
        </w:trPr>
        <w:tc>
          <w:tcPr>
            <w:tcW w:w="1840" w:type="dxa"/>
            <w:gridSpan w:val="3"/>
            <w:vMerge w:val="restart"/>
            <w:tcBorders>
              <w:left w:val="single" w:sz="8" w:space="0" w:color="auto"/>
              <w:right w:val="single" w:sz="8" w:space="0" w:color="auto"/>
            </w:tcBorders>
            <w:shd w:val="clear" w:color="auto" w:fill="auto"/>
            <w:vAlign w:val="center"/>
          </w:tcPr>
          <w:p w14:paraId="6D50C698"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rPr>
              <w:t>Amonyak (NH</w:t>
            </w:r>
            <w:r w:rsidRPr="00460F9E">
              <w:rPr>
                <w:rFonts w:eastAsia="Times New Roman" w:cs="Times New Roman"/>
                <w:sz w:val="12"/>
              </w:rPr>
              <w:t>3</w:t>
            </w:r>
            <w:r w:rsidRPr="00460F9E">
              <w:rPr>
                <w:rFonts w:eastAsia="Times New Roman" w:cs="Times New Roman"/>
              </w:rPr>
              <w:t>)</w:t>
            </w:r>
          </w:p>
        </w:tc>
        <w:tc>
          <w:tcPr>
            <w:tcW w:w="1640" w:type="dxa"/>
            <w:vMerge w:val="restart"/>
            <w:tcBorders>
              <w:left w:val="single" w:sz="8" w:space="0" w:color="auto"/>
              <w:right w:val="single" w:sz="8" w:space="0" w:color="auto"/>
            </w:tcBorders>
            <w:shd w:val="clear" w:color="auto" w:fill="auto"/>
            <w:vAlign w:val="bottom"/>
          </w:tcPr>
          <w:p w14:paraId="4EDFA550" w14:textId="77777777" w:rsidR="00A52778" w:rsidRPr="00460F9E" w:rsidRDefault="00A52778" w:rsidP="00FC3F8E">
            <w:pPr>
              <w:spacing w:line="214" w:lineRule="exact"/>
              <w:jc w:val="center"/>
              <w:rPr>
                <w:rFonts w:eastAsia="Times New Roman" w:cs="Times New Roman"/>
                <w:b/>
              </w:rPr>
            </w:pPr>
            <w:r w:rsidRPr="00460F9E">
              <w:rPr>
                <w:rFonts w:cs="Times New Roman"/>
              </w:rPr>
              <w:t>SCR/SNCR    kullanımı</w:t>
            </w:r>
          </w:p>
          <w:p w14:paraId="74D5BDB5" w14:textId="77777777" w:rsidR="00A52778" w:rsidRPr="00460F9E" w:rsidRDefault="00A52778" w:rsidP="00FC3F8E">
            <w:pPr>
              <w:jc w:val="center"/>
              <w:rPr>
                <w:rFonts w:eastAsia="Times New Roman" w:cs="Times New Roman"/>
                <w:b/>
                <w:sz w:val="4"/>
                <w:szCs w:val="4"/>
              </w:rPr>
            </w:pPr>
          </w:p>
        </w:tc>
        <w:tc>
          <w:tcPr>
            <w:tcW w:w="1240" w:type="dxa"/>
            <w:tcBorders>
              <w:right w:val="single" w:sz="8" w:space="0" w:color="auto"/>
            </w:tcBorders>
            <w:shd w:val="clear" w:color="auto" w:fill="auto"/>
            <w:vAlign w:val="bottom"/>
          </w:tcPr>
          <w:p w14:paraId="46DBCC2E" w14:textId="77777777" w:rsidR="00A52778" w:rsidRPr="00460F9E" w:rsidRDefault="00A52778" w:rsidP="00FC3F8E">
            <w:pPr>
              <w:spacing w:line="0" w:lineRule="atLeast"/>
              <w:rPr>
                <w:rFonts w:eastAsia="Times New Roman" w:cs="Times New Roman"/>
                <w:b/>
                <w:sz w:val="18"/>
              </w:rPr>
            </w:pPr>
          </w:p>
        </w:tc>
        <w:tc>
          <w:tcPr>
            <w:tcW w:w="1920" w:type="dxa"/>
            <w:tcBorders>
              <w:right w:val="single" w:sz="8" w:space="0" w:color="auto"/>
            </w:tcBorders>
            <w:shd w:val="clear" w:color="auto" w:fill="auto"/>
            <w:vAlign w:val="bottom"/>
          </w:tcPr>
          <w:p w14:paraId="7934CB43" w14:textId="77777777" w:rsidR="00A52778" w:rsidRPr="00460F9E" w:rsidRDefault="00A52778" w:rsidP="00FC3F8E">
            <w:pPr>
              <w:spacing w:line="0" w:lineRule="atLeast"/>
              <w:rPr>
                <w:rFonts w:eastAsia="Times New Roman" w:cs="Times New Roman"/>
                <w:b/>
                <w:sz w:val="18"/>
              </w:rPr>
            </w:pPr>
          </w:p>
        </w:tc>
        <w:tc>
          <w:tcPr>
            <w:tcW w:w="1260" w:type="dxa"/>
            <w:vMerge w:val="restart"/>
            <w:tcBorders>
              <w:right w:val="single" w:sz="8" w:space="0" w:color="auto"/>
            </w:tcBorders>
            <w:shd w:val="clear" w:color="auto" w:fill="auto"/>
            <w:vAlign w:val="center"/>
          </w:tcPr>
          <w:p w14:paraId="7966BF46" w14:textId="77777777" w:rsidR="00A52778" w:rsidRPr="00460F9E" w:rsidRDefault="00A52778" w:rsidP="00FC3F8E">
            <w:pPr>
              <w:spacing w:line="228" w:lineRule="exact"/>
              <w:jc w:val="center"/>
              <w:rPr>
                <w:rFonts w:eastAsia="Times New Roman" w:cs="Times New Roman"/>
                <w:b/>
              </w:rPr>
            </w:pPr>
            <w:r w:rsidRPr="00460F9E">
              <w:rPr>
                <w:rFonts w:eastAsia="Times New Roman" w:cs="Times New Roman"/>
              </w:rPr>
              <w:t>Her 6 ayda    bir kere</w:t>
            </w:r>
          </w:p>
          <w:p w14:paraId="75C4DD08"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w w:val="90"/>
              </w:rPr>
              <w:t>(</w:t>
            </w:r>
            <w:r w:rsidRPr="00460F9E">
              <w:rPr>
                <w:rFonts w:eastAsia="Times New Roman" w:cs="Times New Roman"/>
                <w:w w:val="90"/>
                <w:sz w:val="25"/>
                <w:vertAlign w:val="superscript"/>
              </w:rPr>
              <w:t>3</w:t>
            </w:r>
            <w:r w:rsidRPr="00460F9E">
              <w:rPr>
                <w:rFonts w:eastAsia="Times New Roman" w:cs="Times New Roman"/>
                <w:w w:val="90"/>
              </w:rPr>
              <w:t>) (</w:t>
            </w:r>
            <w:r w:rsidRPr="00460F9E">
              <w:rPr>
                <w:rFonts w:eastAsia="Times New Roman" w:cs="Times New Roman"/>
                <w:w w:val="90"/>
                <w:sz w:val="25"/>
                <w:vertAlign w:val="superscript"/>
              </w:rPr>
              <w:t>4</w:t>
            </w:r>
            <w:r w:rsidRPr="00460F9E">
              <w:rPr>
                <w:rFonts w:eastAsia="Times New Roman" w:cs="Times New Roman"/>
                <w:w w:val="90"/>
              </w:rPr>
              <w:t>)</w:t>
            </w:r>
          </w:p>
        </w:tc>
        <w:tc>
          <w:tcPr>
            <w:tcW w:w="1380" w:type="dxa"/>
            <w:vMerge w:val="restart"/>
            <w:tcBorders>
              <w:right w:val="single" w:sz="8" w:space="0" w:color="auto"/>
            </w:tcBorders>
            <w:shd w:val="clear" w:color="auto" w:fill="auto"/>
            <w:vAlign w:val="center"/>
          </w:tcPr>
          <w:p w14:paraId="1C607ECF" w14:textId="77777777" w:rsidR="00A52778" w:rsidRPr="00460F9E" w:rsidRDefault="002A1746" w:rsidP="00FC3F8E">
            <w:pPr>
              <w:spacing w:line="0" w:lineRule="atLeast"/>
              <w:jc w:val="center"/>
              <w:rPr>
                <w:rFonts w:eastAsia="Times New Roman" w:cs="Times New Roman"/>
                <w:b/>
              </w:rPr>
            </w:pPr>
            <w:hyperlink w:anchor="page308" w:history="1">
              <w:r w:rsidR="00A52778" w:rsidRPr="00460F9E">
                <w:rPr>
                  <w:rFonts w:eastAsia="Times New Roman" w:cs="Times New Roman"/>
                </w:rPr>
                <w:t>MET 17</w:t>
              </w:r>
            </w:hyperlink>
          </w:p>
        </w:tc>
      </w:tr>
      <w:tr w:rsidR="00A52778" w:rsidRPr="00460F9E" w14:paraId="53726531" w14:textId="77777777" w:rsidTr="00FC3F8E">
        <w:trPr>
          <w:trHeight w:val="120"/>
        </w:trPr>
        <w:tc>
          <w:tcPr>
            <w:tcW w:w="1840" w:type="dxa"/>
            <w:gridSpan w:val="3"/>
            <w:vMerge/>
            <w:tcBorders>
              <w:left w:val="single" w:sz="8" w:space="0" w:color="auto"/>
              <w:right w:val="single" w:sz="8" w:space="0" w:color="auto"/>
            </w:tcBorders>
            <w:shd w:val="clear" w:color="auto" w:fill="auto"/>
            <w:vAlign w:val="bottom"/>
          </w:tcPr>
          <w:p w14:paraId="00046ECC" w14:textId="77777777" w:rsidR="00A52778" w:rsidRPr="00460F9E" w:rsidRDefault="00A52778" w:rsidP="00FC3F8E">
            <w:pPr>
              <w:spacing w:line="0" w:lineRule="atLeast"/>
              <w:rPr>
                <w:rFonts w:eastAsia="Times New Roman" w:cs="Times New Roman"/>
                <w:b/>
                <w:sz w:val="10"/>
              </w:rPr>
            </w:pPr>
          </w:p>
        </w:tc>
        <w:tc>
          <w:tcPr>
            <w:tcW w:w="1640" w:type="dxa"/>
            <w:vMerge/>
            <w:tcBorders>
              <w:left w:val="single" w:sz="8" w:space="0" w:color="auto"/>
              <w:right w:val="single" w:sz="8" w:space="0" w:color="auto"/>
            </w:tcBorders>
            <w:shd w:val="clear" w:color="auto" w:fill="auto"/>
          </w:tcPr>
          <w:p w14:paraId="451B3956" w14:textId="77777777" w:rsidR="00A52778" w:rsidRPr="00460F9E" w:rsidRDefault="00A52778" w:rsidP="00FC3F8E">
            <w:pPr>
              <w:spacing w:line="228" w:lineRule="exact"/>
              <w:jc w:val="center"/>
              <w:rPr>
                <w:rFonts w:eastAsia="Times New Roman" w:cs="Times New Roman"/>
                <w:b/>
              </w:rPr>
            </w:pPr>
          </w:p>
        </w:tc>
        <w:tc>
          <w:tcPr>
            <w:tcW w:w="1240" w:type="dxa"/>
            <w:tcBorders>
              <w:right w:val="single" w:sz="8" w:space="0" w:color="auto"/>
            </w:tcBorders>
            <w:shd w:val="clear" w:color="auto" w:fill="auto"/>
            <w:vAlign w:val="bottom"/>
          </w:tcPr>
          <w:p w14:paraId="40737F0C" w14:textId="77777777" w:rsidR="00A52778" w:rsidRPr="00460F9E" w:rsidRDefault="00A52778" w:rsidP="00FC3F8E">
            <w:pPr>
              <w:spacing w:line="0" w:lineRule="atLeast"/>
              <w:rPr>
                <w:rFonts w:eastAsia="Times New Roman" w:cs="Times New Roman"/>
                <w:b/>
                <w:sz w:val="10"/>
              </w:rPr>
            </w:pPr>
          </w:p>
        </w:tc>
        <w:tc>
          <w:tcPr>
            <w:tcW w:w="1920" w:type="dxa"/>
            <w:vMerge w:val="restart"/>
            <w:tcBorders>
              <w:right w:val="single" w:sz="8" w:space="0" w:color="auto"/>
            </w:tcBorders>
            <w:shd w:val="clear" w:color="auto" w:fill="auto"/>
            <w:vAlign w:val="center"/>
          </w:tcPr>
          <w:p w14:paraId="29DDB8CA" w14:textId="77777777" w:rsidR="00A52778" w:rsidRPr="00460F9E" w:rsidRDefault="00A52778" w:rsidP="00FC3F8E">
            <w:pPr>
              <w:spacing w:line="228" w:lineRule="exact"/>
              <w:jc w:val="center"/>
              <w:rPr>
                <w:rFonts w:eastAsia="Times New Roman" w:cs="Times New Roman"/>
                <w:b/>
                <w:sz w:val="10"/>
              </w:rPr>
            </w:pPr>
            <w:r w:rsidRPr="00460F9E">
              <w:rPr>
                <w:rFonts w:eastAsia="Times New Roman" w:cs="Times New Roman"/>
                <w:w w:val="97"/>
              </w:rPr>
              <w:t>EN 21877</w:t>
            </w:r>
          </w:p>
        </w:tc>
        <w:tc>
          <w:tcPr>
            <w:tcW w:w="1260" w:type="dxa"/>
            <w:vMerge/>
            <w:tcBorders>
              <w:right w:val="single" w:sz="8" w:space="0" w:color="auto"/>
            </w:tcBorders>
            <w:shd w:val="clear" w:color="auto" w:fill="auto"/>
            <w:vAlign w:val="bottom"/>
          </w:tcPr>
          <w:p w14:paraId="3A06F786" w14:textId="77777777" w:rsidR="00A52778" w:rsidRPr="00460F9E" w:rsidRDefault="00A52778" w:rsidP="00FC3F8E">
            <w:pPr>
              <w:spacing w:line="0" w:lineRule="atLeast"/>
              <w:jc w:val="center"/>
              <w:rPr>
                <w:rFonts w:eastAsia="Times New Roman" w:cs="Times New Roman"/>
                <w:b/>
                <w:sz w:val="10"/>
              </w:rPr>
            </w:pPr>
          </w:p>
        </w:tc>
        <w:tc>
          <w:tcPr>
            <w:tcW w:w="1380" w:type="dxa"/>
            <w:vMerge/>
            <w:tcBorders>
              <w:right w:val="single" w:sz="8" w:space="0" w:color="auto"/>
            </w:tcBorders>
            <w:shd w:val="clear" w:color="auto" w:fill="auto"/>
            <w:vAlign w:val="bottom"/>
          </w:tcPr>
          <w:p w14:paraId="385296DD" w14:textId="77777777" w:rsidR="00A52778" w:rsidRPr="00460F9E" w:rsidRDefault="00A52778" w:rsidP="00FC3F8E">
            <w:pPr>
              <w:spacing w:line="0" w:lineRule="atLeast"/>
              <w:rPr>
                <w:rFonts w:eastAsia="Times New Roman" w:cs="Times New Roman"/>
                <w:b/>
                <w:sz w:val="10"/>
              </w:rPr>
            </w:pPr>
          </w:p>
        </w:tc>
      </w:tr>
      <w:tr w:rsidR="00A52778" w:rsidRPr="00460F9E" w14:paraId="6BCF303D" w14:textId="77777777" w:rsidTr="00FC3F8E">
        <w:trPr>
          <w:trHeight w:val="436"/>
        </w:trPr>
        <w:tc>
          <w:tcPr>
            <w:tcW w:w="1840" w:type="dxa"/>
            <w:gridSpan w:val="3"/>
            <w:vMerge/>
            <w:tcBorders>
              <w:left w:val="single" w:sz="8" w:space="0" w:color="auto"/>
              <w:right w:val="single" w:sz="8" w:space="0" w:color="auto"/>
            </w:tcBorders>
            <w:shd w:val="clear" w:color="auto" w:fill="auto"/>
            <w:vAlign w:val="bottom"/>
          </w:tcPr>
          <w:p w14:paraId="66A0D886" w14:textId="77777777" w:rsidR="00A52778" w:rsidRPr="00460F9E" w:rsidRDefault="00A52778" w:rsidP="00FC3F8E">
            <w:pPr>
              <w:spacing w:line="0" w:lineRule="atLeast"/>
              <w:jc w:val="center"/>
              <w:rPr>
                <w:rFonts w:eastAsia="Times New Roman" w:cs="Times New Roman"/>
                <w:b/>
              </w:rPr>
            </w:pPr>
          </w:p>
        </w:tc>
        <w:tc>
          <w:tcPr>
            <w:tcW w:w="1640" w:type="dxa"/>
            <w:vMerge/>
            <w:tcBorders>
              <w:bottom w:val="single" w:sz="8" w:space="0" w:color="auto"/>
              <w:right w:val="single" w:sz="8" w:space="0" w:color="auto"/>
            </w:tcBorders>
            <w:shd w:val="clear" w:color="auto" w:fill="auto"/>
            <w:vAlign w:val="bottom"/>
          </w:tcPr>
          <w:p w14:paraId="439F70B6" w14:textId="77777777" w:rsidR="00A52778" w:rsidRPr="00460F9E" w:rsidRDefault="00A52778" w:rsidP="00FC3F8E">
            <w:pPr>
              <w:spacing w:line="0" w:lineRule="atLeast"/>
              <w:rPr>
                <w:rFonts w:eastAsia="Times New Roman" w:cs="Times New Roman"/>
                <w:b/>
                <w:sz w:val="9"/>
              </w:rPr>
            </w:pPr>
          </w:p>
        </w:tc>
        <w:tc>
          <w:tcPr>
            <w:tcW w:w="1240" w:type="dxa"/>
            <w:vMerge w:val="restart"/>
            <w:tcBorders>
              <w:right w:val="single" w:sz="8" w:space="0" w:color="auto"/>
            </w:tcBorders>
            <w:shd w:val="clear" w:color="auto" w:fill="auto"/>
            <w:vAlign w:val="bottom"/>
          </w:tcPr>
          <w:p w14:paraId="56B3BC66" w14:textId="77777777" w:rsidR="00A52778" w:rsidRPr="00460F9E" w:rsidRDefault="00A52778" w:rsidP="00FC3F8E">
            <w:pPr>
              <w:spacing w:line="228" w:lineRule="exact"/>
              <w:jc w:val="center"/>
              <w:rPr>
                <w:rFonts w:eastAsia="Times New Roman" w:cs="Times New Roman"/>
                <w:b/>
                <w:w w:val="99"/>
              </w:rPr>
            </w:pPr>
            <w:r w:rsidRPr="00460F9E">
              <w:rPr>
                <w:rFonts w:eastAsia="Times New Roman" w:cs="Times New Roman"/>
                <w:w w:val="99"/>
              </w:rPr>
              <w:t>Herhangi bir</w:t>
            </w:r>
          </w:p>
          <w:p w14:paraId="484F7D6E" w14:textId="77777777" w:rsidR="00A52778" w:rsidRPr="00460F9E" w:rsidRDefault="00A52778" w:rsidP="00FC3F8E">
            <w:pPr>
              <w:spacing w:line="228" w:lineRule="exact"/>
              <w:jc w:val="center"/>
              <w:rPr>
                <w:rFonts w:eastAsia="Times New Roman" w:cs="Times New Roman"/>
                <w:b/>
                <w:w w:val="99"/>
              </w:rPr>
            </w:pPr>
            <w:r w:rsidRPr="00460F9E">
              <w:rPr>
                <w:rFonts w:eastAsia="Times New Roman" w:cs="Times New Roman"/>
                <w:w w:val="99"/>
              </w:rPr>
              <w:t>baca</w:t>
            </w:r>
          </w:p>
        </w:tc>
        <w:tc>
          <w:tcPr>
            <w:tcW w:w="1920" w:type="dxa"/>
            <w:vMerge/>
            <w:tcBorders>
              <w:right w:val="single" w:sz="8" w:space="0" w:color="auto"/>
            </w:tcBorders>
            <w:shd w:val="clear" w:color="auto" w:fill="auto"/>
            <w:vAlign w:val="bottom"/>
          </w:tcPr>
          <w:p w14:paraId="2C8BBFC7" w14:textId="77777777" w:rsidR="00A52778" w:rsidRPr="00460F9E" w:rsidRDefault="00A52778" w:rsidP="00FC3F8E">
            <w:pPr>
              <w:spacing w:line="228" w:lineRule="exact"/>
              <w:jc w:val="center"/>
              <w:rPr>
                <w:rFonts w:eastAsia="Times New Roman" w:cs="Times New Roman"/>
                <w:b/>
                <w:w w:val="97"/>
              </w:rPr>
            </w:pPr>
          </w:p>
        </w:tc>
        <w:tc>
          <w:tcPr>
            <w:tcW w:w="1260" w:type="dxa"/>
            <w:vMerge/>
            <w:tcBorders>
              <w:right w:val="single" w:sz="8" w:space="0" w:color="auto"/>
            </w:tcBorders>
            <w:shd w:val="clear" w:color="auto" w:fill="auto"/>
            <w:vAlign w:val="bottom"/>
          </w:tcPr>
          <w:p w14:paraId="0848EE78" w14:textId="77777777" w:rsidR="00A52778" w:rsidRPr="00460F9E" w:rsidRDefault="00A52778" w:rsidP="00FC3F8E">
            <w:pPr>
              <w:spacing w:line="0" w:lineRule="atLeast"/>
              <w:jc w:val="center"/>
              <w:rPr>
                <w:rFonts w:eastAsia="Times New Roman" w:cs="Times New Roman"/>
                <w:b/>
              </w:rPr>
            </w:pPr>
          </w:p>
        </w:tc>
        <w:tc>
          <w:tcPr>
            <w:tcW w:w="1380" w:type="dxa"/>
            <w:vMerge/>
            <w:tcBorders>
              <w:bottom w:val="single" w:sz="8" w:space="0" w:color="auto"/>
              <w:right w:val="single" w:sz="8" w:space="0" w:color="auto"/>
            </w:tcBorders>
            <w:shd w:val="clear" w:color="auto" w:fill="auto"/>
            <w:vAlign w:val="bottom"/>
          </w:tcPr>
          <w:p w14:paraId="70F11568" w14:textId="77777777" w:rsidR="00A52778" w:rsidRPr="00460F9E" w:rsidRDefault="00A52778" w:rsidP="00FC3F8E">
            <w:pPr>
              <w:spacing w:line="0" w:lineRule="atLeast"/>
              <w:rPr>
                <w:rFonts w:eastAsia="Times New Roman" w:cs="Times New Roman"/>
                <w:b/>
                <w:sz w:val="9"/>
              </w:rPr>
            </w:pPr>
          </w:p>
        </w:tc>
      </w:tr>
      <w:tr w:rsidR="00A52778" w:rsidRPr="00460F9E" w14:paraId="5DDFAC0F" w14:textId="77777777" w:rsidTr="00FC3F8E">
        <w:trPr>
          <w:trHeight w:val="252"/>
        </w:trPr>
        <w:tc>
          <w:tcPr>
            <w:tcW w:w="1840" w:type="dxa"/>
            <w:gridSpan w:val="3"/>
            <w:vMerge/>
            <w:tcBorders>
              <w:left w:val="single" w:sz="8" w:space="0" w:color="auto"/>
              <w:right w:val="single" w:sz="8" w:space="0" w:color="auto"/>
            </w:tcBorders>
            <w:shd w:val="clear" w:color="auto" w:fill="auto"/>
            <w:vAlign w:val="bottom"/>
          </w:tcPr>
          <w:p w14:paraId="067A7EF0" w14:textId="77777777" w:rsidR="00A52778" w:rsidRPr="00460F9E" w:rsidRDefault="00A52778" w:rsidP="00FC3F8E">
            <w:pPr>
              <w:spacing w:line="0" w:lineRule="atLeast"/>
              <w:rPr>
                <w:rFonts w:eastAsia="Times New Roman" w:cs="Times New Roman"/>
                <w:b/>
                <w:sz w:val="8"/>
              </w:rPr>
            </w:pPr>
          </w:p>
        </w:tc>
        <w:tc>
          <w:tcPr>
            <w:tcW w:w="1640" w:type="dxa"/>
            <w:vMerge w:val="restart"/>
            <w:tcBorders>
              <w:right w:val="single" w:sz="8" w:space="0" w:color="auto"/>
            </w:tcBorders>
            <w:shd w:val="clear" w:color="auto" w:fill="auto"/>
            <w:vAlign w:val="bottom"/>
          </w:tcPr>
          <w:p w14:paraId="24646A85" w14:textId="77777777" w:rsidR="00A52778" w:rsidRPr="00460F9E" w:rsidRDefault="00A52778" w:rsidP="00FC3F8E">
            <w:pPr>
              <w:spacing w:line="220" w:lineRule="exact"/>
              <w:jc w:val="center"/>
              <w:rPr>
                <w:rFonts w:eastAsia="Times New Roman" w:cs="Times New Roman"/>
                <w:b/>
              </w:rPr>
            </w:pPr>
            <w:r w:rsidRPr="00460F9E">
              <w:rPr>
                <w:rFonts w:eastAsia="Times New Roman" w:cs="Times New Roman"/>
              </w:rPr>
              <w:t>Diğer tüm</w:t>
            </w:r>
          </w:p>
        </w:tc>
        <w:tc>
          <w:tcPr>
            <w:tcW w:w="1240" w:type="dxa"/>
            <w:vMerge/>
            <w:tcBorders>
              <w:right w:val="single" w:sz="8" w:space="0" w:color="auto"/>
            </w:tcBorders>
            <w:shd w:val="clear" w:color="auto" w:fill="auto"/>
            <w:vAlign w:val="bottom"/>
          </w:tcPr>
          <w:p w14:paraId="3B574609" w14:textId="77777777" w:rsidR="00A52778" w:rsidRPr="00460F9E" w:rsidRDefault="00A52778" w:rsidP="00FC3F8E">
            <w:pPr>
              <w:spacing w:line="0" w:lineRule="atLeast"/>
              <w:rPr>
                <w:rFonts w:eastAsia="Times New Roman" w:cs="Times New Roman"/>
                <w:b/>
                <w:sz w:val="8"/>
              </w:rPr>
            </w:pPr>
          </w:p>
        </w:tc>
        <w:tc>
          <w:tcPr>
            <w:tcW w:w="1920" w:type="dxa"/>
            <w:vMerge/>
            <w:tcBorders>
              <w:right w:val="single" w:sz="8" w:space="0" w:color="auto"/>
            </w:tcBorders>
            <w:shd w:val="clear" w:color="auto" w:fill="auto"/>
            <w:vAlign w:val="bottom"/>
          </w:tcPr>
          <w:p w14:paraId="1E269952" w14:textId="77777777" w:rsidR="00A52778" w:rsidRPr="00460F9E" w:rsidRDefault="00A52778" w:rsidP="00FC3F8E">
            <w:pPr>
              <w:spacing w:line="0" w:lineRule="atLeast"/>
              <w:rPr>
                <w:rFonts w:eastAsia="Times New Roman" w:cs="Times New Roman"/>
                <w:b/>
                <w:sz w:val="8"/>
              </w:rPr>
            </w:pPr>
          </w:p>
        </w:tc>
        <w:tc>
          <w:tcPr>
            <w:tcW w:w="1260" w:type="dxa"/>
            <w:vMerge/>
            <w:tcBorders>
              <w:right w:val="single" w:sz="8" w:space="0" w:color="auto"/>
            </w:tcBorders>
            <w:shd w:val="clear" w:color="auto" w:fill="auto"/>
            <w:vAlign w:val="bottom"/>
          </w:tcPr>
          <w:p w14:paraId="49D48E4B" w14:textId="77777777" w:rsidR="00A52778" w:rsidRPr="00460F9E" w:rsidRDefault="00A52778" w:rsidP="00FC3F8E">
            <w:pPr>
              <w:spacing w:line="0" w:lineRule="atLeast"/>
              <w:jc w:val="center"/>
              <w:rPr>
                <w:rFonts w:eastAsia="Times New Roman" w:cs="Times New Roman"/>
                <w:b/>
                <w:sz w:val="8"/>
              </w:rPr>
            </w:pPr>
          </w:p>
        </w:tc>
        <w:tc>
          <w:tcPr>
            <w:tcW w:w="1380" w:type="dxa"/>
            <w:vMerge w:val="restart"/>
            <w:tcBorders>
              <w:right w:val="single" w:sz="8" w:space="0" w:color="auto"/>
            </w:tcBorders>
            <w:shd w:val="clear" w:color="auto" w:fill="auto"/>
            <w:vAlign w:val="center"/>
          </w:tcPr>
          <w:p w14:paraId="7A63B33A" w14:textId="77777777" w:rsidR="00A52778" w:rsidRPr="00460F9E" w:rsidRDefault="002A1746" w:rsidP="00FC3F8E">
            <w:pPr>
              <w:spacing w:line="0" w:lineRule="atLeast"/>
              <w:jc w:val="center"/>
              <w:rPr>
                <w:rFonts w:eastAsia="Times New Roman" w:cs="Times New Roman"/>
                <w:b/>
                <w:sz w:val="8"/>
              </w:rPr>
            </w:pPr>
            <w:hyperlink w:anchor="page309" w:history="1">
              <w:r w:rsidR="00A52778" w:rsidRPr="00460F9E">
                <w:rPr>
                  <w:rFonts w:cs="Times New Roman"/>
                </w:rPr>
                <w:t xml:space="preserve"> </w:t>
              </w:r>
              <w:r w:rsidR="00A52778" w:rsidRPr="00460F9E">
                <w:rPr>
                  <w:rFonts w:eastAsia="Times New Roman" w:cs="Times New Roman"/>
                </w:rPr>
                <w:t>MET 18</w:t>
              </w:r>
            </w:hyperlink>
          </w:p>
        </w:tc>
      </w:tr>
      <w:tr w:rsidR="00A52778" w:rsidRPr="00460F9E" w14:paraId="252CCAD6" w14:textId="77777777" w:rsidTr="00FC3F8E">
        <w:trPr>
          <w:trHeight w:val="117"/>
        </w:trPr>
        <w:tc>
          <w:tcPr>
            <w:tcW w:w="1840" w:type="dxa"/>
            <w:gridSpan w:val="3"/>
            <w:vMerge/>
            <w:tcBorders>
              <w:left w:val="single" w:sz="8" w:space="0" w:color="auto"/>
              <w:right w:val="single" w:sz="8" w:space="0" w:color="auto"/>
            </w:tcBorders>
            <w:shd w:val="clear" w:color="auto" w:fill="auto"/>
            <w:vAlign w:val="bottom"/>
          </w:tcPr>
          <w:p w14:paraId="68D89C2E" w14:textId="77777777" w:rsidR="00A52778" w:rsidRPr="00460F9E" w:rsidRDefault="00A52778" w:rsidP="00FC3F8E">
            <w:pPr>
              <w:spacing w:line="0" w:lineRule="atLeast"/>
              <w:rPr>
                <w:rFonts w:eastAsia="Times New Roman" w:cs="Times New Roman"/>
                <w:b/>
                <w:sz w:val="10"/>
              </w:rPr>
            </w:pPr>
          </w:p>
        </w:tc>
        <w:tc>
          <w:tcPr>
            <w:tcW w:w="1640" w:type="dxa"/>
            <w:vMerge/>
            <w:tcBorders>
              <w:left w:val="single" w:sz="8" w:space="0" w:color="auto"/>
              <w:right w:val="single" w:sz="8" w:space="0" w:color="auto"/>
            </w:tcBorders>
            <w:shd w:val="clear" w:color="auto" w:fill="auto"/>
            <w:vAlign w:val="bottom"/>
          </w:tcPr>
          <w:p w14:paraId="58EC7DA8" w14:textId="77777777" w:rsidR="00A52778" w:rsidRPr="00460F9E" w:rsidRDefault="00A52778" w:rsidP="00FC3F8E">
            <w:pPr>
              <w:spacing w:line="0" w:lineRule="atLeast"/>
              <w:rPr>
                <w:rFonts w:eastAsia="Times New Roman" w:cs="Times New Roman"/>
                <w:b/>
                <w:sz w:val="10"/>
              </w:rPr>
            </w:pPr>
          </w:p>
        </w:tc>
        <w:tc>
          <w:tcPr>
            <w:tcW w:w="1240" w:type="dxa"/>
            <w:tcBorders>
              <w:right w:val="single" w:sz="8" w:space="0" w:color="auto"/>
            </w:tcBorders>
            <w:shd w:val="clear" w:color="auto" w:fill="auto"/>
            <w:vAlign w:val="bottom"/>
          </w:tcPr>
          <w:p w14:paraId="039D73EC" w14:textId="77777777" w:rsidR="00A52778" w:rsidRPr="00460F9E" w:rsidRDefault="00A52778" w:rsidP="00FC3F8E">
            <w:pPr>
              <w:spacing w:line="0" w:lineRule="atLeast"/>
              <w:rPr>
                <w:rFonts w:eastAsia="Times New Roman" w:cs="Times New Roman"/>
                <w:b/>
                <w:sz w:val="10"/>
              </w:rPr>
            </w:pPr>
          </w:p>
        </w:tc>
        <w:tc>
          <w:tcPr>
            <w:tcW w:w="1920" w:type="dxa"/>
            <w:vMerge/>
            <w:tcBorders>
              <w:right w:val="single" w:sz="8" w:space="0" w:color="auto"/>
            </w:tcBorders>
            <w:shd w:val="clear" w:color="auto" w:fill="auto"/>
            <w:vAlign w:val="bottom"/>
          </w:tcPr>
          <w:p w14:paraId="4A74C8B3" w14:textId="77777777" w:rsidR="00A52778" w:rsidRPr="00460F9E" w:rsidRDefault="00A52778" w:rsidP="00FC3F8E">
            <w:pPr>
              <w:spacing w:line="0" w:lineRule="atLeast"/>
              <w:rPr>
                <w:rFonts w:eastAsia="Times New Roman" w:cs="Times New Roman"/>
                <w:b/>
                <w:sz w:val="10"/>
              </w:rPr>
            </w:pPr>
          </w:p>
        </w:tc>
        <w:tc>
          <w:tcPr>
            <w:tcW w:w="1260" w:type="dxa"/>
            <w:vMerge/>
            <w:tcBorders>
              <w:right w:val="single" w:sz="8" w:space="0" w:color="auto"/>
            </w:tcBorders>
            <w:shd w:val="clear" w:color="auto" w:fill="auto"/>
            <w:vAlign w:val="bottom"/>
          </w:tcPr>
          <w:p w14:paraId="7D445C0E" w14:textId="77777777" w:rsidR="00A52778" w:rsidRPr="00460F9E" w:rsidRDefault="00A52778" w:rsidP="00FC3F8E">
            <w:pPr>
              <w:spacing w:line="0" w:lineRule="atLeast"/>
              <w:jc w:val="center"/>
              <w:rPr>
                <w:rFonts w:eastAsia="Times New Roman" w:cs="Times New Roman"/>
                <w:b/>
                <w:w w:val="90"/>
              </w:rPr>
            </w:pPr>
          </w:p>
        </w:tc>
        <w:tc>
          <w:tcPr>
            <w:tcW w:w="1380" w:type="dxa"/>
            <w:vMerge/>
            <w:tcBorders>
              <w:right w:val="single" w:sz="8" w:space="0" w:color="auto"/>
            </w:tcBorders>
            <w:shd w:val="clear" w:color="auto" w:fill="auto"/>
            <w:vAlign w:val="bottom"/>
          </w:tcPr>
          <w:p w14:paraId="428C8DE8" w14:textId="77777777" w:rsidR="00A52778" w:rsidRPr="00460F9E" w:rsidRDefault="00A52778" w:rsidP="00FC3F8E">
            <w:pPr>
              <w:spacing w:line="0" w:lineRule="atLeast"/>
              <w:jc w:val="center"/>
              <w:rPr>
                <w:rFonts w:eastAsia="Times New Roman" w:cs="Times New Roman"/>
                <w:b/>
              </w:rPr>
            </w:pPr>
          </w:p>
        </w:tc>
      </w:tr>
      <w:tr w:rsidR="00A52778" w:rsidRPr="00460F9E" w14:paraId="2D759C90" w14:textId="77777777" w:rsidTr="00FC3F8E">
        <w:trPr>
          <w:trHeight w:val="188"/>
        </w:trPr>
        <w:tc>
          <w:tcPr>
            <w:tcW w:w="1840" w:type="dxa"/>
            <w:gridSpan w:val="3"/>
            <w:vMerge/>
            <w:tcBorders>
              <w:left w:val="single" w:sz="8" w:space="0" w:color="auto"/>
              <w:right w:val="single" w:sz="8" w:space="0" w:color="auto"/>
            </w:tcBorders>
            <w:shd w:val="clear" w:color="auto" w:fill="auto"/>
            <w:vAlign w:val="bottom"/>
          </w:tcPr>
          <w:p w14:paraId="426E2725" w14:textId="77777777" w:rsidR="00A52778" w:rsidRPr="00460F9E" w:rsidRDefault="00A52778" w:rsidP="00FC3F8E">
            <w:pPr>
              <w:spacing w:line="0" w:lineRule="atLeast"/>
              <w:rPr>
                <w:rFonts w:eastAsia="Times New Roman" w:cs="Times New Roman"/>
                <w:b/>
                <w:sz w:val="16"/>
              </w:rPr>
            </w:pPr>
          </w:p>
        </w:tc>
        <w:tc>
          <w:tcPr>
            <w:tcW w:w="1640" w:type="dxa"/>
            <w:vMerge w:val="restart"/>
            <w:tcBorders>
              <w:left w:val="single" w:sz="8" w:space="0" w:color="auto"/>
              <w:right w:val="single" w:sz="8" w:space="0" w:color="auto"/>
            </w:tcBorders>
            <w:shd w:val="clear" w:color="auto" w:fill="auto"/>
            <w:vAlign w:val="bottom"/>
          </w:tcPr>
          <w:p w14:paraId="16E08126"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prosesler/kaynaklar</w:t>
            </w:r>
          </w:p>
        </w:tc>
        <w:tc>
          <w:tcPr>
            <w:tcW w:w="1240" w:type="dxa"/>
            <w:tcBorders>
              <w:right w:val="single" w:sz="8" w:space="0" w:color="auto"/>
            </w:tcBorders>
            <w:shd w:val="clear" w:color="auto" w:fill="auto"/>
            <w:vAlign w:val="bottom"/>
          </w:tcPr>
          <w:p w14:paraId="3DC745F4" w14:textId="77777777" w:rsidR="00A52778" w:rsidRPr="00460F9E" w:rsidRDefault="00A52778" w:rsidP="00FC3F8E">
            <w:pPr>
              <w:spacing w:line="0" w:lineRule="atLeast"/>
              <w:rPr>
                <w:rFonts w:eastAsia="Times New Roman" w:cs="Times New Roman"/>
                <w:b/>
                <w:sz w:val="16"/>
              </w:rPr>
            </w:pPr>
          </w:p>
        </w:tc>
        <w:tc>
          <w:tcPr>
            <w:tcW w:w="1920" w:type="dxa"/>
            <w:vMerge/>
            <w:tcBorders>
              <w:right w:val="single" w:sz="8" w:space="0" w:color="auto"/>
            </w:tcBorders>
            <w:shd w:val="clear" w:color="auto" w:fill="auto"/>
            <w:vAlign w:val="bottom"/>
          </w:tcPr>
          <w:p w14:paraId="20D36F7E" w14:textId="77777777" w:rsidR="00A52778" w:rsidRPr="00460F9E" w:rsidRDefault="00A52778" w:rsidP="00FC3F8E">
            <w:pPr>
              <w:spacing w:line="0" w:lineRule="atLeast"/>
              <w:rPr>
                <w:rFonts w:eastAsia="Times New Roman" w:cs="Times New Roman"/>
                <w:b/>
                <w:sz w:val="16"/>
              </w:rPr>
            </w:pPr>
          </w:p>
        </w:tc>
        <w:tc>
          <w:tcPr>
            <w:tcW w:w="1260" w:type="dxa"/>
            <w:vMerge/>
            <w:tcBorders>
              <w:right w:val="single" w:sz="8" w:space="0" w:color="auto"/>
            </w:tcBorders>
            <w:shd w:val="clear" w:color="auto" w:fill="auto"/>
            <w:vAlign w:val="bottom"/>
          </w:tcPr>
          <w:p w14:paraId="6A69040C" w14:textId="77777777" w:rsidR="00A52778" w:rsidRPr="00460F9E" w:rsidRDefault="00A52778" w:rsidP="00FC3F8E">
            <w:pPr>
              <w:spacing w:line="0" w:lineRule="atLeast"/>
              <w:rPr>
                <w:rFonts w:eastAsia="Times New Roman" w:cs="Times New Roman"/>
                <w:b/>
                <w:sz w:val="16"/>
              </w:rPr>
            </w:pPr>
          </w:p>
        </w:tc>
        <w:tc>
          <w:tcPr>
            <w:tcW w:w="1380" w:type="dxa"/>
            <w:vMerge/>
            <w:tcBorders>
              <w:right w:val="single" w:sz="8" w:space="0" w:color="auto"/>
            </w:tcBorders>
            <w:shd w:val="clear" w:color="auto" w:fill="auto"/>
            <w:vAlign w:val="bottom"/>
          </w:tcPr>
          <w:p w14:paraId="59CD20F1" w14:textId="77777777" w:rsidR="00A52778" w:rsidRPr="00460F9E" w:rsidRDefault="00A52778" w:rsidP="00FC3F8E">
            <w:pPr>
              <w:spacing w:line="0" w:lineRule="atLeast"/>
              <w:rPr>
                <w:rFonts w:eastAsia="Times New Roman" w:cs="Times New Roman"/>
                <w:b/>
                <w:sz w:val="16"/>
              </w:rPr>
            </w:pPr>
          </w:p>
        </w:tc>
      </w:tr>
      <w:tr w:rsidR="00A52778" w:rsidRPr="00460F9E" w14:paraId="7BFDD794" w14:textId="77777777" w:rsidTr="00FC3F8E">
        <w:trPr>
          <w:trHeight w:val="45"/>
        </w:trPr>
        <w:tc>
          <w:tcPr>
            <w:tcW w:w="560" w:type="dxa"/>
            <w:tcBorders>
              <w:left w:val="single" w:sz="8" w:space="0" w:color="auto"/>
              <w:bottom w:val="single" w:sz="8" w:space="0" w:color="auto"/>
            </w:tcBorders>
            <w:shd w:val="clear" w:color="auto" w:fill="auto"/>
            <w:vAlign w:val="bottom"/>
          </w:tcPr>
          <w:p w14:paraId="14040014" w14:textId="77777777" w:rsidR="00A52778" w:rsidRPr="00460F9E" w:rsidRDefault="00A52778" w:rsidP="00FC3F8E">
            <w:pPr>
              <w:spacing w:line="0" w:lineRule="atLeast"/>
              <w:rPr>
                <w:rFonts w:eastAsia="Times New Roman" w:cs="Times New Roman"/>
                <w:b/>
                <w:sz w:val="3"/>
              </w:rPr>
            </w:pPr>
          </w:p>
        </w:tc>
        <w:tc>
          <w:tcPr>
            <w:tcW w:w="520" w:type="dxa"/>
            <w:tcBorders>
              <w:bottom w:val="single" w:sz="8" w:space="0" w:color="auto"/>
            </w:tcBorders>
            <w:shd w:val="clear" w:color="auto" w:fill="auto"/>
            <w:vAlign w:val="bottom"/>
          </w:tcPr>
          <w:p w14:paraId="7883C8D8" w14:textId="77777777" w:rsidR="00A52778" w:rsidRPr="00460F9E" w:rsidRDefault="00A52778" w:rsidP="00FC3F8E">
            <w:pPr>
              <w:spacing w:line="0" w:lineRule="atLeast"/>
              <w:rPr>
                <w:rFonts w:eastAsia="Times New Roman" w:cs="Times New Roman"/>
                <w:b/>
                <w:sz w:val="3"/>
              </w:rPr>
            </w:pPr>
          </w:p>
        </w:tc>
        <w:tc>
          <w:tcPr>
            <w:tcW w:w="760" w:type="dxa"/>
            <w:tcBorders>
              <w:bottom w:val="single" w:sz="8" w:space="0" w:color="auto"/>
              <w:right w:val="single" w:sz="8" w:space="0" w:color="auto"/>
            </w:tcBorders>
            <w:shd w:val="clear" w:color="auto" w:fill="auto"/>
            <w:vAlign w:val="bottom"/>
          </w:tcPr>
          <w:p w14:paraId="72BCEE8B" w14:textId="77777777" w:rsidR="00A52778" w:rsidRPr="00460F9E" w:rsidRDefault="00A52778" w:rsidP="00FC3F8E">
            <w:pPr>
              <w:spacing w:line="0" w:lineRule="atLeast"/>
              <w:rPr>
                <w:rFonts w:eastAsia="Times New Roman" w:cs="Times New Roman"/>
                <w:b/>
                <w:sz w:val="3"/>
              </w:rPr>
            </w:pPr>
          </w:p>
        </w:tc>
        <w:tc>
          <w:tcPr>
            <w:tcW w:w="1640" w:type="dxa"/>
            <w:vMerge/>
            <w:tcBorders>
              <w:bottom w:val="single" w:sz="8" w:space="0" w:color="auto"/>
              <w:right w:val="single" w:sz="8" w:space="0" w:color="auto"/>
            </w:tcBorders>
            <w:shd w:val="clear" w:color="auto" w:fill="auto"/>
            <w:vAlign w:val="bottom"/>
          </w:tcPr>
          <w:p w14:paraId="55182FE0" w14:textId="77777777" w:rsidR="00A52778" w:rsidRPr="00460F9E" w:rsidRDefault="00A52778" w:rsidP="00FC3F8E">
            <w:pPr>
              <w:spacing w:line="0" w:lineRule="atLeast"/>
              <w:rPr>
                <w:rFonts w:eastAsia="Times New Roman" w:cs="Times New Roman"/>
                <w:b/>
                <w:sz w:val="3"/>
              </w:rPr>
            </w:pPr>
          </w:p>
        </w:tc>
        <w:tc>
          <w:tcPr>
            <w:tcW w:w="1240" w:type="dxa"/>
            <w:tcBorders>
              <w:bottom w:val="single" w:sz="8" w:space="0" w:color="auto"/>
              <w:right w:val="single" w:sz="8" w:space="0" w:color="auto"/>
            </w:tcBorders>
            <w:shd w:val="clear" w:color="auto" w:fill="auto"/>
            <w:vAlign w:val="bottom"/>
          </w:tcPr>
          <w:p w14:paraId="1BF17513" w14:textId="77777777" w:rsidR="00A52778" w:rsidRPr="00460F9E" w:rsidRDefault="00A52778" w:rsidP="00FC3F8E">
            <w:pPr>
              <w:spacing w:line="0" w:lineRule="atLeast"/>
              <w:rPr>
                <w:rFonts w:eastAsia="Times New Roman" w:cs="Times New Roman"/>
                <w:b/>
                <w:sz w:val="3"/>
              </w:rPr>
            </w:pPr>
          </w:p>
        </w:tc>
        <w:tc>
          <w:tcPr>
            <w:tcW w:w="1920" w:type="dxa"/>
            <w:tcBorders>
              <w:bottom w:val="single" w:sz="8" w:space="0" w:color="auto"/>
              <w:right w:val="single" w:sz="8" w:space="0" w:color="auto"/>
            </w:tcBorders>
            <w:shd w:val="clear" w:color="auto" w:fill="auto"/>
            <w:vAlign w:val="bottom"/>
          </w:tcPr>
          <w:p w14:paraId="1925256F" w14:textId="77777777" w:rsidR="00A52778" w:rsidRPr="00460F9E" w:rsidRDefault="00A52778" w:rsidP="00FC3F8E">
            <w:pPr>
              <w:spacing w:line="0" w:lineRule="atLeast"/>
              <w:rPr>
                <w:rFonts w:eastAsia="Times New Roman" w:cs="Times New Roman"/>
                <w:b/>
                <w:sz w:val="3"/>
              </w:rPr>
            </w:pPr>
          </w:p>
        </w:tc>
        <w:tc>
          <w:tcPr>
            <w:tcW w:w="1260" w:type="dxa"/>
            <w:tcBorders>
              <w:bottom w:val="single" w:sz="8" w:space="0" w:color="auto"/>
              <w:right w:val="single" w:sz="8" w:space="0" w:color="auto"/>
            </w:tcBorders>
            <w:shd w:val="clear" w:color="auto" w:fill="auto"/>
            <w:vAlign w:val="bottom"/>
          </w:tcPr>
          <w:p w14:paraId="4119CA66" w14:textId="77777777" w:rsidR="00A52778" w:rsidRPr="00460F9E" w:rsidRDefault="00A52778" w:rsidP="00FC3F8E">
            <w:pPr>
              <w:spacing w:line="0" w:lineRule="atLeast"/>
              <w:rPr>
                <w:rFonts w:eastAsia="Times New Roman" w:cs="Times New Roman"/>
                <w:b/>
                <w:sz w:val="3"/>
              </w:rPr>
            </w:pPr>
          </w:p>
        </w:tc>
        <w:tc>
          <w:tcPr>
            <w:tcW w:w="1380" w:type="dxa"/>
            <w:vMerge/>
            <w:tcBorders>
              <w:bottom w:val="single" w:sz="8" w:space="0" w:color="auto"/>
              <w:right w:val="single" w:sz="8" w:space="0" w:color="auto"/>
            </w:tcBorders>
            <w:shd w:val="clear" w:color="auto" w:fill="auto"/>
            <w:vAlign w:val="bottom"/>
          </w:tcPr>
          <w:p w14:paraId="157671F1" w14:textId="77777777" w:rsidR="00A52778" w:rsidRPr="00460F9E" w:rsidRDefault="00A52778" w:rsidP="00FC3F8E">
            <w:pPr>
              <w:spacing w:line="0" w:lineRule="atLeast"/>
              <w:rPr>
                <w:rFonts w:eastAsia="Times New Roman" w:cs="Times New Roman"/>
                <w:b/>
                <w:sz w:val="3"/>
              </w:rPr>
            </w:pPr>
          </w:p>
        </w:tc>
      </w:tr>
      <w:tr w:rsidR="00A52778" w:rsidRPr="00460F9E" w14:paraId="5EB86A75" w14:textId="77777777" w:rsidTr="00FC3F8E">
        <w:trPr>
          <w:trHeight w:val="217"/>
        </w:trPr>
        <w:tc>
          <w:tcPr>
            <w:tcW w:w="1840" w:type="dxa"/>
            <w:gridSpan w:val="3"/>
            <w:vMerge w:val="restart"/>
            <w:tcBorders>
              <w:left w:val="single" w:sz="8" w:space="0" w:color="auto"/>
              <w:right w:val="single" w:sz="8" w:space="0" w:color="auto"/>
            </w:tcBorders>
            <w:shd w:val="clear" w:color="auto" w:fill="auto"/>
            <w:vAlign w:val="center"/>
          </w:tcPr>
          <w:p w14:paraId="54444F56" w14:textId="77777777" w:rsidR="00A52778" w:rsidRPr="00460F9E" w:rsidRDefault="00A52778" w:rsidP="00FC3F8E">
            <w:pPr>
              <w:spacing w:line="0" w:lineRule="atLeast"/>
              <w:ind w:right="460"/>
              <w:jc w:val="center"/>
              <w:rPr>
                <w:rFonts w:eastAsia="Times New Roman" w:cs="Times New Roman"/>
                <w:b/>
                <w:sz w:val="18"/>
              </w:rPr>
            </w:pPr>
            <w:r w:rsidRPr="00460F9E">
              <w:rPr>
                <w:rFonts w:eastAsia="Times New Roman" w:cs="Times New Roman"/>
                <w:w w:val="98"/>
              </w:rPr>
              <w:t xml:space="preserve">      Benzen</w:t>
            </w:r>
          </w:p>
        </w:tc>
        <w:tc>
          <w:tcPr>
            <w:tcW w:w="1640" w:type="dxa"/>
            <w:vMerge w:val="restart"/>
            <w:tcBorders>
              <w:left w:val="single" w:sz="8" w:space="0" w:color="auto"/>
              <w:right w:val="single" w:sz="8" w:space="0" w:color="auto"/>
            </w:tcBorders>
            <w:shd w:val="clear" w:color="auto" w:fill="auto"/>
            <w:vAlign w:val="center"/>
          </w:tcPr>
          <w:p w14:paraId="5BA478C6"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Tüm</w:t>
            </w:r>
          </w:p>
          <w:p w14:paraId="4FBA184C"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w w:val="99"/>
              </w:rPr>
              <w:t>prosesler /kaynaklar</w:t>
            </w:r>
          </w:p>
        </w:tc>
        <w:tc>
          <w:tcPr>
            <w:tcW w:w="1240" w:type="dxa"/>
            <w:tcBorders>
              <w:right w:val="single" w:sz="8" w:space="0" w:color="auto"/>
            </w:tcBorders>
            <w:shd w:val="clear" w:color="auto" w:fill="auto"/>
            <w:vAlign w:val="bottom"/>
          </w:tcPr>
          <w:p w14:paraId="314309AE" w14:textId="77777777" w:rsidR="00A52778" w:rsidRPr="00460F9E" w:rsidRDefault="00A52778" w:rsidP="00FC3F8E">
            <w:pPr>
              <w:spacing w:line="0" w:lineRule="atLeast"/>
              <w:rPr>
                <w:rFonts w:eastAsia="Times New Roman" w:cs="Times New Roman"/>
                <w:b/>
                <w:sz w:val="18"/>
              </w:rPr>
            </w:pPr>
          </w:p>
        </w:tc>
        <w:tc>
          <w:tcPr>
            <w:tcW w:w="1920" w:type="dxa"/>
            <w:vMerge w:val="restart"/>
            <w:tcBorders>
              <w:right w:val="single" w:sz="8" w:space="0" w:color="auto"/>
            </w:tcBorders>
            <w:shd w:val="clear" w:color="auto" w:fill="auto"/>
            <w:vAlign w:val="center"/>
          </w:tcPr>
          <w:p w14:paraId="73D72B87"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 xml:space="preserve">EN standardı </w:t>
            </w:r>
          </w:p>
          <w:p w14:paraId="20ADD9A6"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mevcut değil</w:t>
            </w:r>
          </w:p>
        </w:tc>
        <w:tc>
          <w:tcPr>
            <w:tcW w:w="1260" w:type="dxa"/>
            <w:vMerge w:val="restart"/>
            <w:tcBorders>
              <w:right w:val="single" w:sz="8" w:space="0" w:color="auto"/>
            </w:tcBorders>
            <w:shd w:val="clear" w:color="auto" w:fill="auto"/>
            <w:vAlign w:val="center"/>
          </w:tcPr>
          <w:p w14:paraId="488375AB"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Her 6 ayda    bir kere</w:t>
            </w:r>
          </w:p>
          <w:p w14:paraId="7645FC15" w14:textId="77777777" w:rsidR="00A52778" w:rsidRPr="00460F9E" w:rsidRDefault="00A52778" w:rsidP="00FC3F8E">
            <w:pPr>
              <w:spacing w:line="236" w:lineRule="exact"/>
              <w:jc w:val="center"/>
              <w:rPr>
                <w:rFonts w:eastAsia="Times New Roman" w:cs="Times New Roman"/>
                <w:b/>
              </w:rPr>
            </w:pPr>
            <w:r w:rsidRPr="00460F9E">
              <w:rPr>
                <w:rFonts w:eastAsia="Times New Roman" w:cs="Times New Roman"/>
                <w:w w:val="92"/>
              </w:rPr>
              <w:t>(</w:t>
            </w:r>
            <w:r w:rsidRPr="00460F9E">
              <w:rPr>
                <w:rFonts w:eastAsia="Times New Roman" w:cs="Times New Roman"/>
                <w:w w:val="92"/>
                <w:sz w:val="25"/>
                <w:vertAlign w:val="superscript"/>
              </w:rPr>
              <w:t>3</w:t>
            </w:r>
            <w:r w:rsidRPr="00460F9E">
              <w:rPr>
                <w:rFonts w:eastAsia="Times New Roman" w:cs="Times New Roman"/>
                <w:w w:val="92"/>
              </w:rPr>
              <w:t>)</w:t>
            </w:r>
          </w:p>
        </w:tc>
        <w:tc>
          <w:tcPr>
            <w:tcW w:w="1380" w:type="dxa"/>
            <w:vMerge w:val="restart"/>
            <w:tcBorders>
              <w:right w:val="single" w:sz="8" w:space="0" w:color="auto"/>
            </w:tcBorders>
            <w:shd w:val="clear" w:color="auto" w:fill="auto"/>
            <w:vAlign w:val="center"/>
          </w:tcPr>
          <w:p w14:paraId="75E49F19" w14:textId="77777777" w:rsidR="00A52778" w:rsidRPr="00460F9E" w:rsidRDefault="002A1746" w:rsidP="00FC3F8E">
            <w:pPr>
              <w:spacing w:line="0" w:lineRule="atLeast"/>
              <w:jc w:val="center"/>
              <w:rPr>
                <w:rFonts w:eastAsia="Times New Roman" w:cs="Times New Roman"/>
                <w:b/>
                <w:sz w:val="18"/>
              </w:rPr>
            </w:pPr>
            <w:hyperlink w:anchor="page302" w:history="1">
              <w:r w:rsidR="00A52778" w:rsidRPr="00460F9E">
                <w:rPr>
                  <w:rFonts w:cs="Times New Roman"/>
                </w:rPr>
                <w:t xml:space="preserve"> </w:t>
              </w:r>
              <w:r w:rsidR="00A52778" w:rsidRPr="00460F9E">
                <w:rPr>
                  <w:rFonts w:eastAsia="Times New Roman" w:cs="Times New Roman"/>
                </w:rPr>
                <w:t>MET 11</w:t>
              </w:r>
            </w:hyperlink>
          </w:p>
        </w:tc>
      </w:tr>
      <w:tr w:rsidR="00A52778" w:rsidRPr="00460F9E" w14:paraId="5EA625F4" w14:textId="77777777" w:rsidTr="00FC3F8E">
        <w:trPr>
          <w:trHeight w:val="458"/>
        </w:trPr>
        <w:tc>
          <w:tcPr>
            <w:tcW w:w="1840" w:type="dxa"/>
            <w:gridSpan w:val="3"/>
            <w:vMerge/>
            <w:tcBorders>
              <w:left w:val="single" w:sz="8" w:space="0" w:color="auto"/>
              <w:bottom w:val="nil"/>
              <w:right w:val="single" w:sz="8" w:space="0" w:color="auto"/>
            </w:tcBorders>
            <w:shd w:val="clear" w:color="auto" w:fill="auto"/>
            <w:vAlign w:val="bottom"/>
          </w:tcPr>
          <w:p w14:paraId="63D8E564" w14:textId="77777777" w:rsidR="00A52778" w:rsidRPr="00460F9E" w:rsidRDefault="00A52778" w:rsidP="00FC3F8E">
            <w:pPr>
              <w:spacing w:line="0" w:lineRule="atLeast"/>
              <w:ind w:right="460"/>
              <w:jc w:val="center"/>
              <w:rPr>
                <w:rFonts w:eastAsia="Times New Roman" w:cs="Times New Roman"/>
                <w:b/>
                <w:w w:val="98"/>
              </w:rPr>
            </w:pPr>
          </w:p>
        </w:tc>
        <w:tc>
          <w:tcPr>
            <w:tcW w:w="1640" w:type="dxa"/>
            <w:vMerge/>
            <w:tcBorders>
              <w:left w:val="single" w:sz="8" w:space="0" w:color="auto"/>
              <w:bottom w:val="nil"/>
              <w:right w:val="single" w:sz="8" w:space="0" w:color="auto"/>
            </w:tcBorders>
            <w:shd w:val="clear" w:color="auto" w:fill="auto"/>
            <w:vAlign w:val="bottom"/>
          </w:tcPr>
          <w:p w14:paraId="12E513D5" w14:textId="77777777" w:rsidR="00A52778" w:rsidRPr="00460F9E" w:rsidRDefault="00A52778" w:rsidP="00FC3F8E">
            <w:pPr>
              <w:spacing w:line="0" w:lineRule="atLeast"/>
              <w:jc w:val="center"/>
              <w:rPr>
                <w:rFonts w:eastAsia="Times New Roman" w:cs="Times New Roman"/>
                <w:b/>
                <w:sz w:val="10"/>
              </w:rPr>
            </w:pPr>
          </w:p>
        </w:tc>
        <w:tc>
          <w:tcPr>
            <w:tcW w:w="1240" w:type="dxa"/>
            <w:tcBorders>
              <w:bottom w:val="nil"/>
              <w:right w:val="single" w:sz="8" w:space="0" w:color="auto"/>
            </w:tcBorders>
            <w:shd w:val="clear" w:color="auto" w:fill="auto"/>
            <w:vAlign w:val="bottom"/>
          </w:tcPr>
          <w:p w14:paraId="7936986F" w14:textId="77777777" w:rsidR="00A52778" w:rsidRPr="00460F9E" w:rsidRDefault="00A52778" w:rsidP="00FC3F8E">
            <w:pPr>
              <w:spacing w:line="228" w:lineRule="exact"/>
              <w:jc w:val="center"/>
              <w:rPr>
                <w:rFonts w:eastAsia="Times New Roman" w:cs="Times New Roman"/>
                <w:b/>
                <w:w w:val="99"/>
              </w:rPr>
            </w:pPr>
            <w:r w:rsidRPr="00460F9E">
              <w:rPr>
                <w:rFonts w:eastAsia="Times New Roman" w:cs="Times New Roman"/>
                <w:w w:val="99"/>
              </w:rPr>
              <w:t>Herhangi bir</w:t>
            </w:r>
          </w:p>
          <w:p w14:paraId="3E82D428"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baca</w:t>
            </w:r>
          </w:p>
        </w:tc>
        <w:tc>
          <w:tcPr>
            <w:tcW w:w="1920" w:type="dxa"/>
            <w:vMerge/>
            <w:tcBorders>
              <w:bottom w:val="nil"/>
              <w:right w:val="single" w:sz="8" w:space="0" w:color="auto"/>
            </w:tcBorders>
            <w:shd w:val="clear" w:color="auto" w:fill="auto"/>
            <w:vAlign w:val="bottom"/>
          </w:tcPr>
          <w:p w14:paraId="3C11E9DC" w14:textId="77777777" w:rsidR="00A52778" w:rsidRPr="00460F9E" w:rsidRDefault="00A52778" w:rsidP="00FC3F8E">
            <w:pPr>
              <w:spacing w:line="0" w:lineRule="atLeast"/>
              <w:jc w:val="center"/>
              <w:rPr>
                <w:rFonts w:eastAsia="Times New Roman" w:cs="Times New Roman"/>
                <w:b/>
                <w:sz w:val="10"/>
              </w:rPr>
            </w:pPr>
          </w:p>
        </w:tc>
        <w:tc>
          <w:tcPr>
            <w:tcW w:w="1260" w:type="dxa"/>
            <w:vMerge/>
            <w:tcBorders>
              <w:right w:val="single" w:sz="8" w:space="0" w:color="auto"/>
            </w:tcBorders>
            <w:shd w:val="clear" w:color="auto" w:fill="auto"/>
            <w:vAlign w:val="bottom"/>
          </w:tcPr>
          <w:p w14:paraId="164562E8" w14:textId="77777777" w:rsidR="00A52778" w:rsidRPr="00460F9E" w:rsidRDefault="00A52778" w:rsidP="00FC3F8E">
            <w:pPr>
              <w:spacing w:line="236" w:lineRule="exact"/>
              <w:jc w:val="center"/>
              <w:rPr>
                <w:rFonts w:eastAsia="Times New Roman" w:cs="Times New Roman"/>
                <w:b/>
              </w:rPr>
            </w:pPr>
          </w:p>
        </w:tc>
        <w:tc>
          <w:tcPr>
            <w:tcW w:w="1380" w:type="dxa"/>
            <w:vMerge/>
            <w:tcBorders>
              <w:right w:val="single" w:sz="8" w:space="0" w:color="auto"/>
            </w:tcBorders>
            <w:shd w:val="clear" w:color="auto" w:fill="auto"/>
            <w:vAlign w:val="bottom"/>
          </w:tcPr>
          <w:p w14:paraId="7EF02AC8" w14:textId="77777777" w:rsidR="00A52778" w:rsidRPr="00460F9E" w:rsidRDefault="00A52778" w:rsidP="00FC3F8E">
            <w:pPr>
              <w:spacing w:line="0" w:lineRule="atLeast"/>
              <w:jc w:val="center"/>
              <w:rPr>
                <w:rFonts w:eastAsia="Times New Roman" w:cs="Times New Roman"/>
                <w:b/>
              </w:rPr>
            </w:pPr>
          </w:p>
        </w:tc>
      </w:tr>
      <w:tr w:rsidR="00A52778" w:rsidRPr="00460F9E" w14:paraId="45AA4FC7" w14:textId="77777777" w:rsidTr="00FC3F8E">
        <w:trPr>
          <w:trHeight w:val="115"/>
        </w:trPr>
        <w:tc>
          <w:tcPr>
            <w:tcW w:w="1840" w:type="dxa"/>
            <w:gridSpan w:val="3"/>
            <w:vMerge/>
            <w:tcBorders>
              <w:left w:val="single" w:sz="8" w:space="0" w:color="auto"/>
              <w:right w:val="single" w:sz="8" w:space="0" w:color="auto"/>
            </w:tcBorders>
            <w:shd w:val="clear" w:color="auto" w:fill="auto"/>
            <w:vAlign w:val="bottom"/>
          </w:tcPr>
          <w:p w14:paraId="270ADFAD" w14:textId="77777777" w:rsidR="00A52778" w:rsidRPr="00460F9E" w:rsidRDefault="00A52778" w:rsidP="00FC3F8E">
            <w:pPr>
              <w:spacing w:line="0" w:lineRule="atLeast"/>
              <w:rPr>
                <w:rFonts w:eastAsia="Times New Roman" w:cs="Times New Roman"/>
                <w:b/>
                <w:sz w:val="10"/>
              </w:rPr>
            </w:pPr>
          </w:p>
        </w:tc>
        <w:tc>
          <w:tcPr>
            <w:tcW w:w="1640" w:type="dxa"/>
            <w:vMerge/>
            <w:tcBorders>
              <w:left w:val="single" w:sz="8" w:space="0" w:color="auto"/>
              <w:right w:val="single" w:sz="8" w:space="0" w:color="auto"/>
            </w:tcBorders>
            <w:shd w:val="clear" w:color="auto" w:fill="auto"/>
            <w:vAlign w:val="bottom"/>
          </w:tcPr>
          <w:p w14:paraId="6733C81C" w14:textId="77777777" w:rsidR="00A52778" w:rsidRPr="00460F9E" w:rsidRDefault="00A52778" w:rsidP="00FC3F8E">
            <w:pPr>
              <w:spacing w:line="0" w:lineRule="atLeast"/>
              <w:rPr>
                <w:rFonts w:eastAsia="Times New Roman" w:cs="Times New Roman"/>
                <w:b/>
                <w:sz w:val="10"/>
              </w:rPr>
            </w:pPr>
          </w:p>
        </w:tc>
        <w:tc>
          <w:tcPr>
            <w:tcW w:w="1240" w:type="dxa"/>
            <w:tcBorders>
              <w:right w:val="single" w:sz="8" w:space="0" w:color="auto"/>
            </w:tcBorders>
            <w:shd w:val="clear" w:color="auto" w:fill="auto"/>
            <w:vAlign w:val="bottom"/>
          </w:tcPr>
          <w:p w14:paraId="4890D953" w14:textId="77777777" w:rsidR="00A52778" w:rsidRPr="00460F9E" w:rsidRDefault="00A52778" w:rsidP="00FC3F8E">
            <w:pPr>
              <w:spacing w:line="0" w:lineRule="atLeast"/>
              <w:rPr>
                <w:rFonts w:eastAsia="Times New Roman" w:cs="Times New Roman"/>
                <w:b/>
                <w:sz w:val="10"/>
              </w:rPr>
            </w:pPr>
          </w:p>
        </w:tc>
        <w:tc>
          <w:tcPr>
            <w:tcW w:w="1920" w:type="dxa"/>
            <w:vMerge/>
            <w:tcBorders>
              <w:right w:val="single" w:sz="8" w:space="0" w:color="auto"/>
            </w:tcBorders>
            <w:shd w:val="clear" w:color="auto" w:fill="auto"/>
            <w:vAlign w:val="bottom"/>
          </w:tcPr>
          <w:p w14:paraId="77EE285B" w14:textId="77777777" w:rsidR="00A52778" w:rsidRPr="00460F9E" w:rsidRDefault="00A52778" w:rsidP="00FC3F8E">
            <w:pPr>
              <w:spacing w:line="0" w:lineRule="atLeast"/>
              <w:rPr>
                <w:rFonts w:eastAsia="Times New Roman" w:cs="Times New Roman"/>
                <w:b/>
                <w:sz w:val="10"/>
              </w:rPr>
            </w:pPr>
          </w:p>
        </w:tc>
        <w:tc>
          <w:tcPr>
            <w:tcW w:w="1260" w:type="dxa"/>
            <w:vMerge/>
            <w:tcBorders>
              <w:right w:val="single" w:sz="8" w:space="0" w:color="auto"/>
            </w:tcBorders>
            <w:shd w:val="clear" w:color="auto" w:fill="auto"/>
            <w:vAlign w:val="bottom"/>
          </w:tcPr>
          <w:p w14:paraId="068F17C9" w14:textId="77777777" w:rsidR="00A52778" w:rsidRPr="00460F9E" w:rsidRDefault="00A52778" w:rsidP="00FC3F8E">
            <w:pPr>
              <w:spacing w:line="236" w:lineRule="exact"/>
              <w:jc w:val="center"/>
              <w:rPr>
                <w:rFonts w:eastAsia="Times New Roman" w:cs="Times New Roman"/>
                <w:b/>
                <w:w w:val="92"/>
              </w:rPr>
            </w:pPr>
          </w:p>
        </w:tc>
        <w:tc>
          <w:tcPr>
            <w:tcW w:w="1380" w:type="dxa"/>
            <w:vMerge/>
            <w:tcBorders>
              <w:right w:val="single" w:sz="8" w:space="0" w:color="auto"/>
            </w:tcBorders>
            <w:shd w:val="clear" w:color="auto" w:fill="auto"/>
            <w:vAlign w:val="bottom"/>
          </w:tcPr>
          <w:p w14:paraId="3A901CB6" w14:textId="77777777" w:rsidR="00A52778" w:rsidRPr="00460F9E" w:rsidRDefault="00A52778" w:rsidP="00FC3F8E">
            <w:pPr>
              <w:spacing w:line="0" w:lineRule="atLeast"/>
              <w:rPr>
                <w:rFonts w:eastAsia="Times New Roman" w:cs="Times New Roman"/>
                <w:b/>
                <w:sz w:val="10"/>
              </w:rPr>
            </w:pPr>
          </w:p>
        </w:tc>
      </w:tr>
      <w:tr w:rsidR="00A52778" w:rsidRPr="00460F9E" w14:paraId="26854A5D" w14:textId="77777777" w:rsidTr="00FC3F8E">
        <w:trPr>
          <w:trHeight w:val="121"/>
        </w:trPr>
        <w:tc>
          <w:tcPr>
            <w:tcW w:w="1840" w:type="dxa"/>
            <w:gridSpan w:val="3"/>
            <w:vMerge/>
            <w:tcBorders>
              <w:left w:val="single" w:sz="8" w:space="0" w:color="auto"/>
              <w:bottom w:val="single" w:sz="8" w:space="0" w:color="auto"/>
              <w:right w:val="single" w:sz="8" w:space="0" w:color="auto"/>
            </w:tcBorders>
            <w:shd w:val="clear" w:color="auto" w:fill="auto"/>
            <w:vAlign w:val="bottom"/>
          </w:tcPr>
          <w:p w14:paraId="31C36115" w14:textId="77777777" w:rsidR="00A52778" w:rsidRPr="00460F9E" w:rsidRDefault="00A52778" w:rsidP="00FC3F8E">
            <w:pPr>
              <w:spacing w:line="0" w:lineRule="atLeast"/>
              <w:rPr>
                <w:rFonts w:eastAsia="Times New Roman" w:cs="Times New Roman"/>
                <w:b/>
                <w:sz w:val="10"/>
              </w:rPr>
            </w:pPr>
          </w:p>
        </w:tc>
        <w:tc>
          <w:tcPr>
            <w:tcW w:w="1640" w:type="dxa"/>
            <w:vMerge/>
            <w:tcBorders>
              <w:left w:val="single" w:sz="8" w:space="0" w:color="auto"/>
              <w:bottom w:val="single" w:sz="8" w:space="0" w:color="auto"/>
              <w:right w:val="single" w:sz="8" w:space="0" w:color="auto"/>
            </w:tcBorders>
            <w:shd w:val="clear" w:color="auto" w:fill="auto"/>
            <w:vAlign w:val="bottom"/>
          </w:tcPr>
          <w:p w14:paraId="2F7029AA" w14:textId="77777777" w:rsidR="00A52778" w:rsidRPr="00460F9E" w:rsidRDefault="00A52778" w:rsidP="00FC3F8E">
            <w:pPr>
              <w:spacing w:line="0" w:lineRule="atLeast"/>
              <w:rPr>
                <w:rFonts w:eastAsia="Times New Roman" w:cs="Times New Roman"/>
                <w:b/>
                <w:sz w:val="10"/>
              </w:rPr>
            </w:pPr>
          </w:p>
        </w:tc>
        <w:tc>
          <w:tcPr>
            <w:tcW w:w="1240" w:type="dxa"/>
            <w:tcBorders>
              <w:bottom w:val="single" w:sz="8" w:space="0" w:color="auto"/>
              <w:right w:val="single" w:sz="8" w:space="0" w:color="auto"/>
            </w:tcBorders>
            <w:shd w:val="clear" w:color="auto" w:fill="auto"/>
            <w:vAlign w:val="bottom"/>
          </w:tcPr>
          <w:p w14:paraId="7CFB19B9" w14:textId="77777777" w:rsidR="00A52778" w:rsidRPr="00460F9E" w:rsidRDefault="00A52778" w:rsidP="00FC3F8E">
            <w:pPr>
              <w:spacing w:line="0" w:lineRule="atLeast"/>
              <w:rPr>
                <w:rFonts w:eastAsia="Times New Roman" w:cs="Times New Roman"/>
                <w:b/>
                <w:sz w:val="10"/>
              </w:rPr>
            </w:pPr>
          </w:p>
        </w:tc>
        <w:tc>
          <w:tcPr>
            <w:tcW w:w="1920" w:type="dxa"/>
            <w:vMerge/>
            <w:tcBorders>
              <w:bottom w:val="single" w:sz="8" w:space="0" w:color="auto"/>
              <w:right w:val="single" w:sz="8" w:space="0" w:color="auto"/>
            </w:tcBorders>
            <w:shd w:val="clear" w:color="auto" w:fill="auto"/>
            <w:vAlign w:val="bottom"/>
          </w:tcPr>
          <w:p w14:paraId="4816CC89" w14:textId="77777777" w:rsidR="00A52778" w:rsidRPr="00460F9E" w:rsidRDefault="00A52778" w:rsidP="00FC3F8E">
            <w:pPr>
              <w:spacing w:line="0" w:lineRule="atLeast"/>
              <w:rPr>
                <w:rFonts w:eastAsia="Times New Roman" w:cs="Times New Roman"/>
                <w:b/>
                <w:sz w:val="10"/>
              </w:rPr>
            </w:pPr>
          </w:p>
        </w:tc>
        <w:tc>
          <w:tcPr>
            <w:tcW w:w="1260" w:type="dxa"/>
            <w:vMerge/>
            <w:tcBorders>
              <w:bottom w:val="single" w:sz="8" w:space="0" w:color="auto"/>
              <w:right w:val="single" w:sz="8" w:space="0" w:color="auto"/>
            </w:tcBorders>
            <w:shd w:val="clear" w:color="auto" w:fill="auto"/>
            <w:vAlign w:val="bottom"/>
          </w:tcPr>
          <w:p w14:paraId="2DB18733" w14:textId="77777777" w:rsidR="00A52778" w:rsidRPr="00460F9E" w:rsidRDefault="00A52778" w:rsidP="00FC3F8E">
            <w:pPr>
              <w:spacing w:line="0" w:lineRule="atLeast"/>
              <w:rPr>
                <w:rFonts w:eastAsia="Times New Roman" w:cs="Times New Roman"/>
                <w:b/>
                <w:sz w:val="10"/>
              </w:rPr>
            </w:pPr>
          </w:p>
        </w:tc>
        <w:tc>
          <w:tcPr>
            <w:tcW w:w="1380" w:type="dxa"/>
            <w:vMerge/>
            <w:tcBorders>
              <w:bottom w:val="single" w:sz="8" w:space="0" w:color="auto"/>
              <w:right w:val="single" w:sz="8" w:space="0" w:color="auto"/>
            </w:tcBorders>
            <w:shd w:val="clear" w:color="auto" w:fill="auto"/>
            <w:vAlign w:val="bottom"/>
          </w:tcPr>
          <w:p w14:paraId="0E9C8ACB" w14:textId="77777777" w:rsidR="00A52778" w:rsidRPr="00460F9E" w:rsidRDefault="00A52778" w:rsidP="00FC3F8E">
            <w:pPr>
              <w:spacing w:line="0" w:lineRule="atLeast"/>
              <w:rPr>
                <w:rFonts w:eastAsia="Times New Roman" w:cs="Times New Roman"/>
                <w:b/>
                <w:sz w:val="10"/>
              </w:rPr>
            </w:pPr>
          </w:p>
        </w:tc>
      </w:tr>
      <w:tr w:rsidR="00A52778" w:rsidRPr="00460F9E" w14:paraId="0E422DEA" w14:textId="77777777" w:rsidTr="00FC3F8E">
        <w:trPr>
          <w:trHeight w:val="214"/>
        </w:trPr>
        <w:tc>
          <w:tcPr>
            <w:tcW w:w="560" w:type="dxa"/>
            <w:tcBorders>
              <w:left w:val="single" w:sz="8" w:space="0" w:color="auto"/>
            </w:tcBorders>
            <w:shd w:val="clear" w:color="auto" w:fill="auto"/>
            <w:vAlign w:val="bottom"/>
          </w:tcPr>
          <w:p w14:paraId="6282A999" w14:textId="77777777" w:rsidR="00A52778" w:rsidRPr="00460F9E" w:rsidRDefault="00A52778" w:rsidP="00FC3F8E">
            <w:pPr>
              <w:spacing w:line="0" w:lineRule="atLeast"/>
              <w:rPr>
                <w:rFonts w:eastAsia="Times New Roman" w:cs="Times New Roman"/>
                <w:b/>
                <w:sz w:val="18"/>
              </w:rPr>
            </w:pPr>
          </w:p>
        </w:tc>
        <w:tc>
          <w:tcPr>
            <w:tcW w:w="520" w:type="dxa"/>
            <w:shd w:val="clear" w:color="auto" w:fill="auto"/>
            <w:vAlign w:val="bottom"/>
          </w:tcPr>
          <w:p w14:paraId="49B14E4A" w14:textId="77777777" w:rsidR="00A52778" w:rsidRPr="00460F9E" w:rsidRDefault="00A52778" w:rsidP="00FC3F8E">
            <w:pPr>
              <w:spacing w:line="0" w:lineRule="atLeast"/>
              <w:rPr>
                <w:rFonts w:eastAsia="Times New Roman" w:cs="Times New Roman"/>
                <w:b/>
                <w:sz w:val="18"/>
              </w:rPr>
            </w:pPr>
          </w:p>
        </w:tc>
        <w:tc>
          <w:tcPr>
            <w:tcW w:w="760" w:type="dxa"/>
            <w:tcBorders>
              <w:right w:val="single" w:sz="8" w:space="0" w:color="auto"/>
            </w:tcBorders>
            <w:shd w:val="clear" w:color="auto" w:fill="auto"/>
            <w:vAlign w:val="bottom"/>
          </w:tcPr>
          <w:p w14:paraId="32154274" w14:textId="77777777" w:rsidR="00A52778" w:rsidRPr="00460F9E" w:rsidRDefault="00A52778" w:rsidP="00FC3F8E">
            <w:pPr>
              <w:spacing w:line="0" w:lineRule="atLeast"/>
              <w:rPr>
                <w:rFonts w:eastAsia="Times New Roman" w:cs="Times New Roman"/>
                <w:b/>
                <w:sz w:val="18"/>
              </w:rPr>
            </w:pPr>
          </w:p>
        </w:tc>
        <w:tc>
          <w:tcPr>
            <w:tcW w:w="1640" w:type="dxa"/>
            <w:vMerge w:val="restart"/>
            <w:tcBorders>
              <w:right w:val="single" w:sz="8" w:space="0" w:color="auto"/>
            </w:tcBorders>
            <w:shd w:val="clear" w:color="auto" w:fill="auto"/>
            <w:vAlign w:val="center"/>
          </w:tcPr>
          <w:p w14:paraId="74A3203F"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Tüm</w:t>
            </w:r>
          </w:p>
          <w:p w14:paraId="3119155C"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w w:val="99"/>
              </w:rPr>
              <w:t>prosesler /kaynaklar</w:t>
            </w:r>
          </w:p>
        </w:tc>
        <w:tc>
          <w:tcPr>
            <w:tcW w:w="1240" w:type="dxa"/>
            <w:tcBorders>
              <w:right w:val="single" w:sz="8" w:space="0" w:color="auto"/>
            </w:tcBorders>
            <w:shd w:val="clear" w:color="auto" w:fill="auto"/>
            <w:vAlign w:val="bottom"/>
          </w:tcPr>
          <w:p w14:paraId="2A5549A8" w14:textId="77777777" w:rsidR="00A52778" w:rsidRPr="00460F9E" w:rsidRDefault="00A52778" w:rsidP="00FC3F8E">
            <w:pPr>
              <w:spacing w:line="0" w:lineRule="atLeast"/>
              <w:rPr>
                <w:rFonts w:eastAsia="Times New Roman" w:cs="Times New Roman"/>
                <w:b/>
                <w:sz w:val="18"/>
              </w:rPr>
            </w:pPr>
          </w:p>
        </w:tc>
        <w:tc>
          <w:tcPr>
            <w:tcW w:w="1920" w:type="dxa"/>
            <w:vMerge w:val="restart"/>
            <w:tcBorders>
              <w:right w:val="single" w:sz="8" w:space="0" w:color="auto"/>
            </w:tcBorders>
            <w:shd w:val="clear" w:color="auto" w:fill="auto"/>
            <w:vAlign w:val="center"/>
          </w:tcPr>
          <w:p w14:paraId="24F786B4"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 xml:space="preserve">EN standardı </w:t>
            </w:r>
          </w:p>
          <w:p w14:paraId="46F7649B"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mevcut değil</w:t>
            </w:r>
          </w:p>
        </w:tc>
        <w:tc>
          <w:tcPr>
            <w:tcW w:w="1260" w:type="dxa"/>
            <w:vMerge w:val="restart"/>
            <w:tcBorders>
              <w:right w:val="single" w:sz="8" w:space="0" w:color="auto"/>
            </w:tcBorders>
            <w:shd w:val="clear" w:color="auto" w:fill="auto"/>
            <w:vAlign w:val="center"/>
          </w:tcPr>
          <w:p w14:paraId="1BDB7783"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Her 6 ayda    bir kere</w:t>
            </w:r>
          </w:p>
          <w:p w14:paraId="4D8490F7" w14:textId="77777777" w:rsidR="00A52778" w:rsidRPr="00460F9E" w:rsidRDefault="00A52778" w:rsidP="00FC3F8E">
            <w:pPr>
              <w:spacing w:line="236" w:lineRule="exact"/>
              <w:jc w:val="center"/>
              <w:rPr>
                <w:rFonts w:eastAsia="Times New Roman" w:cs="Times New Roman"/>
                <w:b/>
              </w:rPr>
            </w:pPr>
            <w:r w:rsidRPr="00460F9E">
              <w:rPr>
                <w:rFonts w:eastAsia="Times New Roman" w:cs="Times New Roman"/>
                <w:w w:val="92"/>
              </w:rPr>
              <w:t>(</w:t>
            </w:r>
            <w:r w:rsidRPr="00460F9E">
              <w:rPr>
                <w:rFonts w:eastAsia="Times New Roman" w:cs="Times New Roman"/>
                <w:w w:val="92"/>
                <w:sz w:val="25"/>
                <w:vertAlign w:val="superscript"/>
              </w:rPr>
              <w:t>3</w:t>
            </w:r>
            <w:r w:rsidRPr="00460F9E">
              <w:rPr>
                <w:rFonts w:eastAsia="Times New Roman" w:cs="Times New Roman"/>
                <w:w w:val="92"/>
              </w:rPr>
              <w:t>)</w:t>
            </w:r>
          </w:p>
        </w:tc>
        <w:tc>
          <w:tcPr>
            <w:tcW w:w="1380" w:type="dxa"/>
            <w:vMerge w:val="restart"/>
            <w:tcBorders>
              <w:right w:val="single" w:sz="8" w:space="0" w:color="auto"/>
            </w:tcBorders>
            <w:shd w:val="clear" w:color="auto" w:fill="auto"/>
            <w:vAlign w:val="center"/>
          </w:tcPr>
          <w:p w14:paraId="71BA2C4B" w14:textId="77777777" w:rsidR="00A52778" w:rsidRPr="00460F9E" w:rsidRDefault="002A1746" w:rsidP="00FC3F8E">
            <w:pPr>
              <w:spacing w:line="0" w:lineRule="atLeast"/>
              <w:jc w:val="center"/>
              <w:rPr>
                <w:rFonts w:eastAsia="Times New Roman" w:cs="Times New Roman"/>
                <w:b/>
                <w:sz w:val="18"/>
              </w:rPr>
            </w:pPr>
            <w:hyperlink w:anchor="page302" w:history="1">
              <w:r w:rsidR="00A52778" w:rsidRPr="00460F9E">
                <w:rPr>
                  <w:rFonts w:cs="Times New Roman"/>
                </w:rPr>
                <w:t xml:space="preserve"> </w:t>
              </w:r>
              <w:r w:rsidR="00A52778" w:rsidRPr="00460F9E">
                <w:rPr>
                  <w:rFonts w:eastAsia="Times New Roman" w:cs="Times New Roman"/>
                </w:rPr>
                <w:t>MET 11</w:t>
              </w:r>
            </w:hyperlink>
          </w:p>
        </w:tc>
      </w:tr>
      <w:tr w:rsidR="00A52778" w:rsidRPr="00460F9E" w14:paraId="4F525DCE" w14:textId="77777777" w:rsidTr="00FC3F8E">
        <w:trPr>
          <w:trHeight w:val="458"/>
        </w:trPr>
        <w:tc>
          <w:tcPr>
            <w:tcW w:w="1840" w:type="dxa"/>
            <w:gridSpan w:val="3"/>
            <w:tcBorders>
              <w:left w:val="single" w:sz="8" w:space="0" w:color="auto"/>
              <w:bottom w:val="nil"/>
              <w:right w:val="single" w:sz="8" w:space="0" w:color="auto"/>
            </w:tcBorders>
            <w:shd w:val="clear" w:color="auto" w:fill="auto"/>
            <w:vAlign w:val="bottom"/>
          </w:tcPr>
          <w:p w14:paraId="1BE81671"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1,3-Bütadien</w:t>
            </w:r>
          </w:p>
        </w:tc>
        <w:tc>
          <w:tcPr>
            <w:tcW w:w="1640" w:type="dxa"/>
            <w:vMerge/>
            <w:tcBorders>
              <w:bottom w:val="nil"/>
              <w:right w:val="single" w:sz="8" w:space="0" w:color="auto"/>
            </w:tcBorders>
            <w:shd w:val="clear" w:color="auto" w:fill="auto"/>
            <w:vAlign w:val="bottom"/>
          </w:tcPr>
          <w:p w14:paraId="31B1BBE0" w14:textId="77777777" w:rsidR="00A52778" w:rsidRPr="00460F9E" w:rsidRDefault="00A52778" w:rsidP="00FC3F8E">
            <w:pPr>
              <w:spacing w:line="0" w:lineRule="atLeast"/>
              <w:jc w:val="center"/>
              <w:rPr>
                <w:rFonts w:eastAsia="Times New Roman" w:cs="Times New Roman"/>
                <w:b/>
                <w:sz w:val="10"/>
              </w:rPr>
            </w:pPr>
          </w:p>
        </w:tc>
        <w:tc>
          <w:tcPr>
            <w:tcW w:w="1240" w:type="dxa"/>
            <w:tcBorders>
              <w:bottom w:val="nil"/>
              <w:right w:val="single" w:sz="8" w:space="0" w:color="auto"/>
            </w:tcBorders>
            <w:shd w:val="clear" w:color="auto" w:fill="auto"/>
            <w:vAlign w:val="bottom"/>
          </w:tcPr>
          <w:p w14:paraId="0A815D84" w14:textId="77777777" w:rsidR="00A52778" w:rsidRPr="00460F9E" w:rsidRDefault="00A52778" w:rsidP="00FC3F8E">
            <w:pPr>
              <w:spacing w:line="228" w:lineRule="exact"/>
              <w:jc w:val="center"/>
              <w:rPr>
                <w:rFonts w:eastAsia="Times New Roman" w:cs="Times New Roman"/>
                <w:b/>
                <w:w w:val="99"/>
              </w:rPr>
            </w:pPr>
            <w:r w:rsidRPr="00460F9E">
              <w:rPr>
                <w:rFonts w:eastAsia="Times New Roman" w:cs="Times New Roman"/>
                <w:w w:val="99"/>
              </w:rPr>
              <w:t>Herhangi bir</w:t>
            </w:r>
          </w:p>
          <w:p w14:paraId="1FED3BF7"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baca</w:t>
            </w:r>
          </w:p>
        </w:tc>
        <w:tc>
          <w:tcPr>
            <w:tcW w:w="1920" w:type="dxa"/>
            <w:vMerge/>
            <w:tcBorders>
              <w:bottom w:val="nil"/>
              <w:right w:val="single" w:sz="8" w:space="0" w:color="auto"/>
            </w:tcBorders>
            <w:shd w:val="clear" w:color="auto" w:fill="auto"/>
            <w:vAlign w:val="bottom"/>
          </w:tcPr>
          <w:p w14:paraId="6B22303F" w14:textId="77777777" w:rsidR="00A52778" w:rsidRPr="00460F9E" w:rsidRDefault="00A52778" w:rsidP="00FC3F8E">
            <w:pPr>
              <w:spacing w:line="0" w:lineRule="atLeast"/>
              <w:jc w:val="center"/>
              <w:rPr>
                <w:rFonts w:eastAsia="Times New Roman" w:cs="Times New Roman"/>
                <w:b/>
                <w:sz w:val="10"/>
              </w:rPr>
            </w:pPr>
          </w:p>
        </w:tc>
        <w:tc>
          <w:tcPr>
            <w:tcW w:w="1260" w:type="dxa"/>
            <w:vMerge/>
            <w:tcBorders>
              <w:right w:val="single" w:sz="8" w:space="0" w:color="auto"/>
            </w:tcBorders>
            <w:shd w:val="clear" w:color="auto" w:fill="auto"/>
            <w:vAlign w:val="bottom"/>
          </w:tcPr>
          <w:p w14:paraId="19A1BF99" w14:textId="77777777" w:rsidR="00A52778" w:rsidRPr="00460F9E" w:rsidRDefault="00A52778" w:rsidP="00FC3F8E">
            <w:pPr>
              <w:spacing w:line="236" w:lineRule="exact"/>
              <w:jc w:val="center"/>
              <w:rPr>
                <w:rFonts w:eastAsia="Times New Roman" w:cs="Times New Roman"/>
                <w:b/>
              </w:rPr>
            </w:pPr>
          </w:p>
        </w:tc>
        <w:tc>
          <w:tcPr>
            <w:tcW w:w="1380" w:type="dxa"/>
            <w:vMerge/>
            <w:tcBorders>
              <w:right w:val="single" w:sz="8" w:space="0" w:color="auto"/>
            </w:tcBorders>
            <w:shd w:val="clear" w:color="auto" w:fill="auto"/>
            <w:vAlign w:val="bottom"/>
          </w:tcPr>
          <w:p w14:paraId="6D401AD5" w14:textId="77777777" w:rsidR="00A52778" w:rsidRPr="00460F9E" w:rsidRDefault="00A52778" w:rsidP="00FC3F8E">
            <w:pPr>
              <w:spacing w:line="0" w:lineRule="atLeast"/>
              <w:jc w:val="center"/>
              <w:rPr>
                <w:rFonts w:eastAsia="Times New Roman" w:cs="Times New Roman"/>
                <w:b/>
              </w:rPr>
            </w:pPr>
          </w:p>
        </w:tc>
      </w:tr>
      <w:tr w:rsidR="00A52778" w:rsidRPr="00460F9E" w14:paraId="17C0F25C" w14:textId="77777777" w:rsidTr="00FC3F8E">
        <w:trPr>
          <w:trHeight w:val="115"/>
        </w:trPr>
        <w:tc>
          <w:tcPr>
            <w:tcW w:w="560" w:type="dxa"/>
            <w:tcBorders>
              <w:left w:val="single" w:sz="8" w:space="0" w:color="auto"/>
            </w:tcBorders>
            <w:shd w:val="clear" w:color="auto" w:fill="auto"/>
            <w:vAlign w:val="bottom"/>
          </w:tcPr>
          <w:p w14:paraId="25E58E91" w14:textId="77777777" w:rsidR="00A52778" w:rsidRPr="00460F9E" w:rsidRDefault="00A52778" w:rsidP="00FC3F8E">
            <w:pPr>
              <w:spacing w:line="0" w:lineRule="atLeast"/>
              <w:rPr>
                <w:rFonts w:eastAsia="Times New Roman" w:cs="Times New Roman"/>
                <w:b/>
                <w:sz w:val="10"/>
              </w:rPr>
            </w:pPr>
          </w:p>
        </w:tc>
        <w:tc>
          <w:tcPr>
            <w:tcW w:w="520" w:type="dxa"/>
            <w:shd w:val="clear" w:color="auto" w:fill="auto"/>
            <w:vAlign w:val="bottom"/>
          </w:tcPr>
          <w:p w14:paraId="729B0546" w14:textId="77777777" w:rsidR="00A52778" w:rsidRPr="00460F9E" w:rsidRDefault="00A52778" w:rsidP="00FC3F8E">
            <w:pPr>
              <w:spacing w:line="0" w:lineRule="atLeast"/>
              <w:rPr>
                <w:rFonts w:eastAsia="Times New Roman" w:cs="Times New Roman"/>
                <w:b/>
                <w:sz w:val="10"/>
              </w:rPr>
            </w:pPr>
          </w:p>
        </w:tc>
        <w:tc>
          <w:tcPr>
            <w:tcW w:w="760" w:type="dxa"/>
            <w:tcBorders>
              <w:right w:val="single" w:sz="8" w:space="0" w:color="auto"/>
            </w:tcBorders>
            <w:shd w:val="clear" w:color="auto" w:fill="auto"/>
            <w:vAlign w:val="bottom"/>
          </w:tcPr>
          <w:p w14:paraId="40263BE6" w14:textId="77777777" w:rsidR="00A52778" w:rsidRPr="00460F9E" w:rsidRDefault="00A52778" w:rsidP="00FC3F8E">
            <w:pPr>
              <w:spacing w:line="0" w:lineRule="atLeast"/>
              <w:rPr>
                <w:rFonts w:eastAsia="Times New Roman" w:cs="Times New Roman"/>
                <w:b/>
                <w:sz w:val="10"/>
              </w:rPr>
            </w:pPr>
          </w:p>
        </w:tc>
        <w:tc>
          <w:tcPr>
            <w:tcW w:w="1640" w:type="dxa"/>
            <w:vMerge/>
            <w:tcBorders>
              <w:right w:val="single" w:sz="8" w:space="0" w:color="auto"/>
            </w:tcBorders>
            <w:shd w:val="clear" w:color="auto" w:fill="auto"/>
            <w:vAlign w:val="bottom"/>
          </w:tcPr>
          <w:p w14:paraId="15D4CEEF" w14:textId="77777777" w:rsidR="00A52778" w:rsidRPr="00460F9E" w:rsidRDefault="00A52778" w:rsidP="00FC3F8E">
            <w:pPr>
              <w:spacing w:line="0" w:lineRule="atLeast"/>
              <w:rPr>
                <w:rFonts w:eastAsia="Times New Roman" w:cs="Times New Roman"/>
                <w:b/>
                <w:sz w:val="10"/>
              </w:rPr>
            </w:pPr>
          </w:p>
        </w:tc>
        <w:tc>
          <w:tcPr>
            <w:tcW w:w="1240" w:type="dxa"/>
            <w:tcBorders>
              <w:right w:val="single" w:sz="8" w:space="0" w:color="auto"/>
            </w:tcBorders>
            <w:shd w:val="clear" w:color="auto" w:fill="auto"/>
            <w:vAlign w:val="bottom"/>
          </w:tcPr>
          <w:p w14:paraId="20135B47" w14:textId="77777777" w:rsidR="00A52778" w:rsidRPr="00460F9E" w:rsidRDefault="00A52778" w:rsidP="00FC3F8E">
            <w:pPr>
              <w:spacing w:line="0" w:lineRule="atLeast"/>
              <w:rPr>
                <w:rFonts w:eastAsia="Times New Roman" w:cs="Times New Roman"/>
                <w:b/>
                <w:sz w:val="10"/>
              </w:rPr>
            </w:pPr>
          </w:p>
        </w:tc>
        <w:tc>
          <w:tcPr>
            <w:tcW w:w="1920" w:type="dxa"/>
            <w:vMerge/>
            <w:tcBorders>
              <w:right w:val="single" w:sz="8" w:space="0" w:color="auto"/>
            </w:tcBorders>
            <w:shd w:val="clear" w:color="auto" w:fill="auto"/>
            <w:vAlign w:val="bottom"/>
          </w:tcPr>
          <w:p w14:paraId="21A16BF7" w14:textId="77777777" w:rsidR="00A52778" w:rsidRPr="00460F9E" w:rsidRDefault="00A52778" w:rsidP="00FC3F8E">
            <w:pPr>
              <w:spacing w:line="0" w:lineRule="atLeast"/>
              <w:rPr>
                <w:rFonts w:eastAsia="Times New Roman" w:cs="Times New Roman"/>
                <w:b/>
                <w:sz w:val="10"/>
              </w:rPr>
            </w:pPr>
          </w:p>
        </w:tc>
        <w:tc>
          <w:tcPr>
            <w:tcW w:w="1260" w:type="dxa"/>
            <w:vMerge/>
            <w:tcBorders>
              <w:right w:val="single" w:sz="8" w:space="0" w:color="auto"/>
            </w:tcBorders>
            <w:shd w:val="clear" w:color="auto" w:fill="auto"/>
            <w:vAlign w:val="bottom"/>
          </w:tcPr>
          <w:p w14:paraId="48B7ACE9" w14:textId="77777777" w:rsidR="00A52778" w:rsidRPr="00460F9E" w:rsidRDefault="00A52778" w:rsidP="00FC3F8E">
            <w:pPr>
              <w:spacing w:line="236" w:lineRule="exact"/>
              <w:jc w:val="center"/>
              <w:rPr>
                <w:rFonts w:eastAsia="Times New Roman" w:cs="Times New Roman"/>
                <w:b/>
                <w:w w:val="92"/>
              </w:rPr>
            </w:pPr>
          </w:p>
        </w:tc>
        <w:tc>
          <w:tcPr>
            <w:tcW w:w="1380" w:type="dxa"/>
            <w:vMerge/>
            <w:tcBorders>
              <w:right w:val="single" w:sz="8" w:space="0" w:color="auto"/>
            </w:tcBorders>
            <w:shd w:val="clear" w:color="auto" w:fill="auto"/>
            <w:vAlign w:val="bottom"/>
          </w:tcPr>
          <w:p w14:paraId="497139BD" w14:textId="77777777" w:rsidR="00A52778" w:rsidRPr="00460F9E" w:rsidRDefault="00A52778" w:rsidP="00FC3F8E">
            <w:pPr>
              <w:spacing w:line="0" w:lineRule="atLeast"/>
              <w:rPr>
                <w:rFonts w:eastAsia="Times New Roman" w:cs="Times New Roman"/>
                <w:b/>
                <w:sz w:val="10"/>
              </w:rPr>
            </w:pPr>
          </w:p>
        </w:tc>
      </w:tr>
      <w:tr w:rsidR="00A52778" w:rsidRPr="00460F9E" w14:paraId="21DF2725" w14:textId="77777777" w:rsidTr="00FC3F8E">
        <w:trPr>
          <w:trHeight w:val="121"/>
        </w:trPr>
        <w:tc>
          <w:tcPr>
            <w:tcW w:w="560" w:type="dxa"/>
            <w:tcBorders>
              <w:left w:val="single" w:sz="8" w:space="0" w:color="auto"/>
              <w:bottom w:val="single" w:sz="8" w:space="0" w:color="auto"/>
            </w:tcBorders>
            <w:shd w:val="clear" w:color="auto" w:fill="auto"/>
            <w:vAlign w:val="bottom"/>
          </w:tcPr>
          <w:p w14:paraId="601E8012" w14:textId="77777777" w:rsidR="00A52778" w:rsidRPr="00460F9E" w:rsidRDefault="00A52778" w:rsidP="00FC3F8E">
            <w:pPr>
              <w:spacing w:line="0" w:lineRule="atLeast"/>
              <w:rPr>
                <w:rFonts w:eastAsia="Times New Roman" w:cs="Times New Roman"/>
                <w:b/>
                <w:sz w:val="10"/>
              </w:rPr>
            </w:pPr>
          </w:p>
        </w:tc>
        <w:tc>
          <w:tcPr>
            <w:tcW w:w="520" w:type="dxa"/>
            <w:tcBorders>
              <w:bottom w:val="single" w:sz="8" w:space="0" w:color="auto"/>
            </w:tcBorders>
            <w:shd w:val="clear" w:color="auto" w:fill="auto"/>
            <w:vAlign w:val="bottom"/>
          </w:tcPr>
          <w:p w14:paraId="0D242BC7" w14:textId="77777777" w:rsidR="00A52778" w:rsidRPr="00460F9E" w:rsidRDefault="00A52778" w:rsidP="00FC3F8E">
            <w:pPr>
              <w:spacing w:line="0" w:lineRule="atLeast"/>
              <w:rPr>
                <w:rFonts w:eastAsia="Times New Roman" w:cs="Times New Roman"/>
                <w:b/>
                <w:sz w:val="10"/>
              </w:rPr>
            </w:pPr>
          </w:p>
        </w:tc>
        <w:tc>
          <w:tcPr>
            <w:tcW w:w="760" w:type="dxa"/>
            <w:tcBorders>
              <w:bottom w:val="single" w:sz="8" w:space="0" w:color="auto"/>
              <w:right w:val="single" w:sz="8" w:space="0" w:color="auto"/>
            </w:tcBorders>
            <w:shd w:val="clear" w:color="auto" w:fill="auto"/>
            <w:vAlign w:val="bottom"/>
          </w:tcPr>
          <w:p w14:paraId="3FB020B9" w14:textId="77777777" w:rsidR="00A52778" w:rsidRPr="00460F9E" w:rsidRDefault="00A52778" w:rsidP="00FC3F8E">
            <w:pPr>
              <w:spacing w:line="0" w:lineRule="atLeast"/>
              <w:rPr>
                <w:rFonts w:eastAsia="Times New Roman" w:cs="Times New Roman"/>
                <w:b/>
                <w:sz w:val="10"/>
              </w:rPr>
            </w:pPr>
          </w:p>
        </w:tc>
        <w:tc>
          <w:tcPr>
            <w:tcW w:w="1640" w:type="dxa"/>
            <w:vMerge/>
            <w:tcBorders>
              <w:bottom w:val="single" w:sz="8" w:space="0" w:color="auto"/>
              <w:right w:val="single" w:sz="8" w:space="0" w:color="auto"/>
            </w:tcBorders>
            <w:shd w:val="clear" w:color="auto" w:fill="auto"/>
            <w:vAlign w:val="bottom"/>
          </w:tcPr>
          <w:p w14:paraId="62E43238" w14:textId="77777777" w:rsidR="00A52778" w:rsidRPr="00460F9E" w:rsidRDefault="00A52778" w:rsidP="00FC3F8E">
            <w:pPr>
              <w:spacing w:line="0" w:lineRule="atLeast"/>
              <w:rPr>
                <w:rFonts w:eastAsia="Times New Roman" w:cs="Times New Roman"/>
                <w:b/>
                <w:sz w:val="10"/>
              </w:rPr>
            </w:pPr>
          </w:p>
        </w:tc>
        <w:tc>
          <w:tcPr>
            <w:tcW w:w="1240" w:type="dxa"/>
            <w:tcBorders>
              <w:bottom w:val="single" w:sz="8" w:space="0" w:color="auto"/>
              <w:right w:val="single" w:sz="8" w:space="0" w:color="auto"/>
            </w:tcBorders>
            <w:shd w:val="clear" w:color="auto" w:fill="auto"/>
            <w:vAlign w:val="bottom"/>
          </w:tcPr>
          <w:p w14:paraId="67678674" w14:textId="77777777" w:rsidR="00A52778" w:rsidRPr="00460F9E" w:rsidRDefault="00A52778" w:rsidP="00FC3F8E">
            <w:pPr>
              <w:spacing w:line="0" w:lineRule="atLeast"/>
              <w:rPr>
                <w:rFonts w:eastAsia="Times New Roman" w:cs="Times New Roman"/>
                <w:b/>
                <w:sz w:val="10"/>
              </w:rPr>
            </w:pPr>
          </w:p>
        </w:tc>
        <w:tc>
          <w:tcPr>
            <w:tcW w:w="1920" w:type="dxa"/>
            <w:vMerge/>
            <w:tcBorders>
              <w:bottom w:val="single" w:sz="8" w:space="0" w:color="auto"/>
              <w:right w:val="single" w:sz="8" w:space="0" w:color="auto"/>
            </w:tcBorders>
            <w:shd w:val="clear" w:color="auto" w:fill="auto"/>
            <w:vAlign w:val="bottom"/>
          </w:tcPr>
          <w:p w14:paraId="099DF081" w14:textId="77777777" w:rsidR="00A52778" w:rsidRPr="00460F9E" w:rsidRDefault="00A52778" w:rsidP="00FC3F8E">
            <w:pPr>
              <w:spacing w:line="0" w:lineRule="atLeast"/>
              <w:rPr>
                <w:rFonts w:eastAsia="Times New Roman" w:cs="Times New Roman"/>
                <w:b/>
                <w:sz w:val="10"/>
              </w:rPr>
            </w:pPr>
          </w:p>
        </w:tc>
        <w:tc>
          <w:tcPr>
            <w:tcW w:w="1260" w:type="dxa"/>
            <w:vMerge/>
            <w:tcBorders>
              <w:bottom w:val="single" w:sz="8" w:space="0" w:color="auto"/>
              <w:right w:val="single" w:sz="8" w:space="0" w:color="auto"/>
            </w:tcBorders>
            <w:shd w:val="clear" w:color="auto" w:fill="auto"/>
            <w:vAlign w:val="bottom"/>
          </w:tcPr>
          <w:p w14:paraId="0B20289C" w14:textId="77777777" w:rsidR="00A52778" w:rsidRPr="00460F9E" w:rsidRDefault="00A52778" w:rsidP="00FC3F8E">
            <w:pPr>
              <w:spacing w:line="0" w:lineRule="atLeast"/>
              <w:rPr>
                <w:rFonts w:eastAsia="Times New Roman" w:cs="Times New Roman"/>
                <w:b/>
                <w:sz w:val="10"/>
              </w:rPr>
            </w:pPr>
          </w:p>
        </w:tc>
        <w:tc>
          <w:tcPr>
            <w:tcW w:w="1380" w:type="dxa"/>
            <w:vMerge/>
            <w:tcBorders>
              <w:bottom w:val="single" w:sz="8" w:space="0" w:color="auto"/>
              <w:right w:val="single" w:sz="8" w:space="0" w:color="auto"/>
            </w:tcBorders>
            <w:shd w:val="clear" w:color="auto" w:fill="auto"/>
            <w:vAlign w:val="bottom"/>
          </w:tcPr>
          <w:p w14:paraId="6BC28E6F" w14:textId="77777777" w:rsidR="00A52778" w:rsidRPr="00460F9E" w:rsidRDefault="00A52778" w:rsidP="00FC3F8E">
            <w:pPr>
              <w:spacing w:line="0" w:lineRule="atLeast"/>
              <w:rPr>
                <w:rFonts w:eastAsia="Times New Roman" w:cs="Times New Roman"/>
                <w:b/>
                <w:sz w:val="10"/>
              </w:rPr>
            </w:pPr>
          </w:p>
        </w:tc>
      </w:tr>
      <w:tr w:rsidR="00A52778" w:rsidRPr="00460F9E" w14:paraId="3CE5AE19" w14:textId="77777777" w:rsidTr="00FC3F8E">
        <w:trPr>
          <w:trHeight w:val="212"/>
        </w:trPr>
        <w:tc>
          <w:tcPr>
            <w:tcW w:w="1840" w:type="dxa"/>
            <w:gridSpan w:val="3"/>
            <w:vMerge w:val="restart"/>
            <w:tcBorders>
              <w:left w:val="single" w:sz="8" w:space="0" w:color="auto"/>
              <w:right w:val="single" w:sz="8" w:space="0" w:color="auto"/>
            </w:tcBorders>
            <w:shd w:val="clear" w:color="auto" w:fill="auto"/>
            <w:vAlign w:val="center"/>
          </w:tcPr>
          <w:p w14:paraId="08ED82CC"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Karbon monoksit</w:t>
            </w:r>
          </w:p>
          <w:p w14:paraId="1ABF831C" w14:textId="77777777" w:rsidR="00A52778" w:rsidRPr="00460F9E" w:rsidRDefault="00A52778" w:rsidP="00FC3F8E">
            <w:pPr>
              <w:spacing w:line="208" w:lineRule="exact"/>
              <w:ind w:right="480"/>
              <w:jc w:val="center"/>
              <w:rPr>
                <w:rFonts w:eastAsia="Times New Roman" w:cs="Times New Roman"/>
                <w:b/>
                <w:sz w:val="18"/>
              </w:rPr>
            </w:pPr>
            <w:r w:rsidRPr="00460F9E">
              <w:rPr>
                <w:rFonts w:eastAsia="Times New Roman" w:cs="Times New Roman"/>
              </w:rPr>
              <w:t>(CO)</w:t>
            </w:r>
          </w:p>
        </w:tc>
        <w:tc>
          <w:tcPr>
            <w:tcW w:w="1640" w:type="dxa"/>
            <w:tcBorders>
              <w:left w:val="single" w:sz="8" w:space="0" w:color="auto"/>
              <w:right w:val="single" w:sz="8" w:space="0" w:color="auto"/>
            </w:tcBorders>
            <w:shd w:val="clear" w:color="auto" w:fill="auto"/>
            <w:vAlign w:val="bottom"/>
          </w:tcPr>
          <w:p w14:paraId="40158916" w14:textId="77777777" w:rsidR="00A52778" w:rsidRPr="00460F9E" w:rsidRDefault="00A52778" w:rsidP="00FC3F8E">
            <w:pPr>
              <w:spacing w:line="0" w:lineRule="atLeast"/>
              <w:rPr>
                <w:rFonts w:eastAsia="Times New Roman" w:cs="Times New Roman"/>
                <w:b/>
                <w:sz w:val="18"/>
              </w:rPr>
            </w:pPr>
          </w:p>
        </w:tc>
        <w:tc>
          <w:tcPr>
            <w:tcW w:w="1240" w:type="dxa"/>
            <w:vMerge w:val="restart"/>
            <w:tcBorders>
              <w:right w:val="single" w:sz="8" w:space="0" w:color="auto"/>
            </w:tcBorders>
            <w:shd w:val="clear" w:color="auto" w:fill="auto"/>
            <w:vAlign w:val="bottom"/>
          </w:tcPr>
          <w:p w14:paraId="1538E883" w14:textId="77777777" w:rsidR="00A52778" w:rsidRPr="00460F9E" w:rsidRDefault="00A52778" w:rsidP="00FC3F8E">
            <w:pPr>
              <w:spacing w:line="219" w:lineRule="exact"/>
              <w:jc w:val="center"/>
              <w:rPr>
                <w:rFonts w:eastAsia="Times New Roman" w:cs="Times New Roman"/>
                <w:b/>
                <w:w w:val="99"/>
              </w:rPr>
            </w:pPr>
            <w:r w:rsidRPr="00460F9E">
              <w:rPr>
                <w:rFonts w:eastAsia="Times New Roman" w:cs="Times New Roman"/>
                <w:w w:val="99"/>
              </w:rPr>
              <w:t>CO kütle akışı 2 kg/saat olan herhangi bir baca</w:t>
            </w:r>
          </w:p>
        </w:tc>
        <w:tc>
          <w:tcPr>
            <w:tcW w:w="1920" w:type="dxa"/>
            <w:vMerge w:val="restart"/>
            <w:tcBorders>
              <w:right w:val="single" w:sz="8" w:space="0" w:color="auto"/>
            </w:tcBorders>
            <w:shd w:val="clear" w:color="auto" w:fill="auto"/>
            <w:vAlign w:val="center"/>
          </w:tcPr>
          <w:p w14:paraId="433CA30F"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Genel EN</w:t>
            </w:r>
          </w:p>
          <w:p w14:paraId="08485C81" w14:textId="77777777" w:rsidR="00A52778" w:rsidRPr="00460F9E" w:rsidRDefault="00A52778" w:rsidP="00FC3F8E">
            <w:pPr>
              <w:spacing w:line="226" w:lineRule="exact"/>
              <w:jc w:val="center"/>
              <w:rPr>
                <w:rFonts w:eastAsia="Times New Roman" w:cs="Times New Roman"/>
                <w:b/>
                <w:sz w:val="18"/>
              </w:rPr>
            </w:pPr>
            <w:r w:rsidRPr="00460F9E">
              <w:rPr>
                <w:rFonts w:eastAsia="Times New Roman" w:cs="Times New Roman"/>
                <w:w w:val="97"/>
              </w:rPr>
              <w:t>standartları (</w:t>
            </w:r>
            <w:r w:rsidRPr="00460F9E">
              <w:rPr>
                <w:rFonts w:eastAsia="Times New Roman" w:cs="Times New Roman"/>
                <w:w w:val="97"/>
                <w:vertAlign w:val="superscript"/>
              </w:rPr>
              <w:t>5</w:t>
            </w:r>
            <w:r w:rsidRPr="00460F9E">
              <w:rPr>
                <w:rFonts w:eastAsia="Times New Roman" w:cs="Times New Roman"/>
                <w:w w:val="97"/>
              </w:rPr>
              <w:t>)</w:t>
            </w:r>
          </w:p>
        </w:tc>
        <w:tc>
          <w:tcPr>
            <w:tcW w:w="1260" w:type="dxa"/>
            <w:vMerge w:val="restart"/>
            <w:tcBorders>
              <w:right w:val="single" w:sz="8" w:space="0" w:color="auto"/>
            </w:tcBorders>
            <w:shd w:val="clear" w:color="auto" w:fill="auto"/>
            <w:vAlign w:val="center"/>
          </w:tcPr>
          <w:p w14:paraId="5B118379"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9"/>
              </w:rPr>
              <w:t>Sürekli</w:t>
            </w:r>
          </w:p>
        </w:tc>
        <w:tc>
          <w:tcPr>
            <w:tcW w:w="1380" w:type="dxa"/>
            <w:vMerge w:val="restart"/>
            <w:tcBorders>
              <w:right w:val="single" w:sz="8" w:space="0" w:color="auto"/>
            </w:tcBorders>
            <w:shd w:val="clear" w:color="auto" w:fill="auto"/>
            <w:vAlign w:val="center"/>
          </w:tcPr>
          <w:p w14:paraId="49EDA527" w14:textId="77777777" w:rsidR="00A52778" w:rsidRPr="00460F9E" w:rsidRDefault="002A1746" w:rsidP="00FC3F8E">
            <w:pPr>
              <w:spacing w:line="0" w:lineRule="atLeast"/>
              <w:jc w:val="center"/>
              <w:rPr>
                <w:rFonts w:eastAsia="Times New Roman" w:cs="Times New Roman"/>
                <w:b/>
                <w:sz w:val="18"/>
              </w:rPr>
            </w:pPr>
            <w:hyperlink w:anchor="page307" w:history="1">
              <w:r w:rsidR="00A52778" w:rsidRPr="00460F9E">
                <w:rPr>
                  <w:rFonts w:cs="Times New Roman"/>
                </w:rPr>
                <w:t xml:space="preserve"> </w:t>
              </w:r>
              <w:r w:rsidR="00A52778" w:rsidRPr="00460F9E">
                <w:rPr>
                  <w:rFonts w:eastAsia="Times New Roman" w:cs="Times New Roman"/>
                </w:rPr>
                <w:t>MET 16</w:t>
              </w:r>
            </w:hyperlink>
          </w:p>
        </w:tc>
      </w:tr>
      <w:tr w:rsidR="00A52778" w:rsidRPr="00460F9E" w14:paraId="6E242330" w14:textId="77777777" w:rsidTr="00FC3F8E">
        <w:trPr>
          <w:trHeight w:val="238"/>
        </w:trPr>
        <w:tc>
          <w:tcPr>
            <w:tcW w:w="1840" w:type="dxa"/>
            <w:gridSpan w:val="3"/>
            <w:vMerge/>
            <w:tcBorders>
              <w:left w:val="single" w:sz="8" w:space="0" w:color="auto"/>
              <w:right w:val="single" w:sz="8" w:space="0" w:color="auto"/>
            </w:tcBorders>
            <w:shd w:val="clear" w:color="auto" w:fill="auto"/>
            <w:vAlign w:val="bottom"/>
          </w:tcPr>
          <w:p w14:paraId="5254C242" w14:textId="77777777" w:rsidR="00A52778" w:rsidRPr="00460F9E" w:rsidRDefault="00A52778" w:rsidP="00FC3F8E">
            <w:pPr>
              <w:spacing w:line="208" w:lineRule="exact"/>
              <w:ind w:right="480"/>
              <w:jc w:val="center"/>
              <w:rPr>
                <w:rFonts w:eastAsia="Times New Roman" w:cs="Times New Roman"/>
                <w:b/>
              </w:rPr>
            </w:pPr>
          </w:p>
        </w:tc>
        <w:tc>
          <w:tcPr>
            <w:tcW w:w="1640" w:type="dxa"/>
            <w:tcBorders>
              <w:left w:val="single" w:sz="8" w:space="0" w:color="auto"/>
              <w:right w:val="single" w:sz="8" w:space="0" w:color="auto"/>
            </w:tcBorders>
            <w:shd w:val="clear" w:color="auto" w:fill="auto"/>
            <w:vAlign w:val="bottom"/>
          </w:tcPr>
          <w:p w14:paraId="18AD3B44" w14:textId="77777777" w:rsidR="00A52778" w:rsidRPr="00460F9E" w:rsidRDefault="00A52778" w:rsidP="00FC3F8E">
            <w:pPr>
              <w:spacing w:line="0" w:lineRule="atLeast"/>
              <w:rPr>
                <w:rFonts w:eastAsia="Times New Roman" w:cs="Times New Roman"/>
                <w:b/>
              </w:rPr>
            </w:pPr>
          </w:p>
        </w:tc>
        <w:tc>
          <w:tcPr>
            <w:tcW w:w="1240" w:type="dxa"/>
            <w:vMerge/>
            <w:tcBorders>
              <w:right w:val="single" w:sz="8" w:space="0" w:color="auto"/>
            </w:tcBorders>
            <w:shd w:val="clear" w:color="auto" w:fill="auto"/>
            <w:vAlign w:val="bottom"/>
          </w:tcPr>
          <w:p w14:paraId="48C758A6" w14:textId="77777777" w:rsidR="00A52778" w:rsidRPr="00460F9E" w:rsidRDefault="00A52778" w:rsidP="00FC3F8E">
            <w:pPr>
              <w:spacing w:line="219" w:lineRule="exact"/>
              <w:jc w:val="center"/>
              <w:rPr>
                <w:rFonts w:eastAsia="Times New Roman" w:cs="Times New Roman"/>
                <w:b/>
                <w:w w:val="99"/>
              </w:rPr>
            </w:pPr>
          </w:p>
        </w:tc>
        <w:tc>
          <w:tcPr>
            <w:tcW w:w="1920" w:type="dxa"/>
            <w:vMerge/>
            <w:tcBorders>
              <w:right w:val="single" w:sz="8" w:space="0" w:color="auto"/>
            </w:tcBorders>
            <w:shd w:val="clear" w:color="auto" w:fill="auto"/>
            <w:vAlign w:val="bottom"/>
          </w:tcPr>
          <w:p w14:paraId="22A0B3F2" w14:textId="77777777" w:rsidR="00A52778" w:rsidRPr="00460F9E" w:rsidRDefault="00A52778" w:rsidP="00FC3F8E">
            <w:pPr>
              <w:spacing w:line="226" w:lineRule="exact"/>
              <w:jc w:val="center"/>
              <w:rPr>
                <w:rFonts w:eastAsia="Times New Roman" w:cs="Times New Roman"/>
                <w:b/>
              </w:rPr>
            </w:pPr>
          </w:p>
        </w:tc>
        <w:tc>
          <w:tcPr>
            <w:tcW w:w="1260" w:type="dxa"/>
            <w:vMerge/>
            <w:tcBorders>
              <w:right w:val="single" w:sz="8" w:space="0" w:color="auto"/>
            </w:tcBorders>
            <w:shd w:val="clear" w:color="auto" w:fill="auto"/>
            <w:vAlign w:val="bottom"/>
          </w:tcPr>
          <w:p w14:paraId="0A240403" w14:textId="77777777" w:rsidR="00A52778" w:rsidRPr="00460F9E" w:rsidRDefault="00A52778" w:rsidP="00FC3F8E">
            <w:pPr>
              <w:spacing w:line="0" w:lineRule="atLeast"/>
              <w:jc w:val="center"/>
              <w:rPr>
                <w:rFonts w:eastAsia="Times New Roman" w:cs="Times New Roman"/>
                <w:b/>
                <w:w w:val="99"/>
              </w:rPr>
            </w:pPr>
          </w:p>
        </w:tc>
        <w:tc>
          <w:tcPr>
            <w:tcW w:w="1380" w:type="dxa"/>
            <w:vMerge/>
            <w:tcBorders>
              <w:right w:val="single" w:sz="8" w:space="0" w:color="auto"/>
            </w:tcBorders>
            <w:shd w:val="clear" w:color="auto" w:fill="auto"/>
            <w:vAlign w:val="bottom"/>
          </w:tcPr>
          <w:p w14:paraId="22BAAA4D" w14:textId="77777777" w:rsidR="00A52778" w:rsidRPr="00460F9E" w:rsidRDefault="00A52778" w:rsidP="00FC3F8E">
            <w:pPr>
              <w:spacing w:line="0" w:lineRule="atLeast"/>
              <w:jc w:val="center"/>
              <w:rPr>
                <w:rFonts w:eastAsia="Times New Roman" w:cs="Times New Roman"/>
                <w:b/>
              </w:rPr>
            </w:pPr>
          </w:p>
        </w:tc>
      </w:tr>
      <w:tr w:rsidR="00A52778" w:rsidRPr="00460F9E" w14:paraId="4E74ED6F" w14:textId="77777777" w:rsidTr="00FC3F8E">
        <w:trPr>
          <w:trHeight w:val="115"/>
        </w:trPr>
        <w:tc>
          <w:tcPr>
            <w:tcW w:w="1840" w:type="dxa"/>
            <w:gridSpan w:val="3"/>
            <w:vMerge/>
            <w:tcBorders>
              <w:left w:val="single" w:sz="8" w:space="0" w:color="auto"/>
              <w:right w:val="single" w:sz="8" w:space="0" w:color="auto"/>
            </w:tcBorders>
            <w:shd w:val="clear" w:color="auto" w:fill="auto"/>
            <w:vAlign w:val="bottom"/>
          </w:tcPr>
          <w:p w14:paraId="7B66D2C2" w14:textId="77777777" w:rsidR="00A52778" w:rsidRPr="00460F9E" w:rsidRDefault="00A52778" w:rsidP="00FC3F8E">
            <w:pPr>
              <w:spacing w:line="208" w:lineRule="exact"/>
              <w:ind w:right="480"/>
              <w:jc w:val="center"/>
              <w:rPr>
                <w:rFonts w:eastAsia="Times New Roman" w:cs="Times New Roman"/>
                <w:b/>
                <w:sz w:val="10"/>
              </w:rPr>
            </w:pPr>
          </w:p>
        </w:tc>
        <w:tc>
          <w:tcPr>
            <w:tcW w:w="1640" w:type="dxa"/>
            <w:tcBorders>
              <w:left w:val="single" w:sz="8" w:space="0" w:color="auto"/>
              <w:right w:val="single" w:sz="8" w:space="0" w:color="auto"/>
            </w:tcBorders>
            <w:shd w:val="clear" w:color="auto" w:fill="auto"/>
            <w:vAlign w:val="bottom"/>
          </w:tcPr>
          <w:p w14:paraId="32B05317" w14:textId="77777777" w:rsidR="00A52778" w:rsidRPr="00460F9E" w:rsidRDefault="00A52778" w:rsidP="00FC3F8E">
            <w:pPr>
              <w:spacing w:line="0" w:lineRule="atLeast"/>
              <w:rPr>
                <w:rFonts w:eastAsia="Times New Roman" w:cs="Times New Roman"/>
                <w:b/>
                <w:sz w:val="10"/>
              </w:rPr>
            </w:pPr>
          </w:p>
        </w:tc>
        <w:tc>
          <w:tcPr>
            <w:tcW w:w="1240" w:type="dxa"/>
            <w:vMerge/>
            <w:tcBorders>
              <w:right w:val="single" w:sz="8" w:space="0" w:color="auto"/>
            </w:tcBorders>
            <w:shd w:val="clear" w:color="auto" w:fill="auto"/>
            <w:vAlign w:val="bottom"/>
          </w:tcPr>
          <w:p w14:paraId="31706183" w14:textId="77777777" w:rsidR="00A52778" w:rsidRPr="00460F9E" w:rsidRDefault="00A52778" w:rsidP="00FC3F8E">
            <w:pPr>
              <w:spacing w:line="219" w:lineRule="exact"/>
              <w:jc w:val="center"/>
              <w:rPr>
                <w:rFonts w:eastAsia="Times New Roman" w:cs="Times New Roman"/>
                <w:b/>
              </w:rPr>
            </w:pPr>
          </w:p>
        </w:tc>
        <w:tc>
          <w:tcPr>
            <w:tcW w:w="1920" w:type="dxa"/>
            <w:vMerge/>
            <w:tcBorders>
              <w:right w:val="single" w:sz="8" w:space="0" w:color="auto"/>
            </w:tcBorders>
            <w:shd w:val="clear" w:color="auto" w:fill="auto"/>
            <w:vAlign w:val="bottom"/>
          </w:tcPr>
          <w:p w14:paraId="3F59B55B" w14:textId="77777777" w:rsidR="00A52778" w:rsidRPr="00460F9E" w:rsidRDefault="00A52778" w:rsidP="00FC3F8E">
            <w:pPr>
              <w:spacing w:line="226" w:lineRule="exact"/>
              <w:jc w:val="center"/>
              <w:rPr>
                <w:rFonts w:eastAsia="Times New Roman" w:cs="Times New Roman"/>
                <w:b/>
                <w:w w:val="97"/>
              </w:rPr>
            </w:pPr>
          </w:p>
        </w:tc>
        <w:tc>
          <w:tcPr>
            <w:tcW w:w="1260" w:type="dxa"/>
            <w:vMerge/>
            <w:tcBorders>
              <w:right w:val="single" w:sz="8" w:space="0" w:color="auto"/>
            </w:tcBorders>
            <w:shd w:val="clear" w:color="auto" w:fill="auto"/>
            <w:vAlign w:val="bottom"/>
          </w:tcPr>
          <w:p w14:paraId="6F8F4AEF" w14:textId="77777777" w:rsidR="00A52778" w:rsidRPr="00460F9E" w:rsidRDefault="00A52778" w:rsidP="00FC3F8E">
            <w:pPr>
              <w:spacing w:line="0" w:lineRule="atLeast"/>
              <w:rPr>
                <w:rFonts w:eastAsia="Times New Roman" w:cs="Times New Roman"/>
                <w:b/>
                <w:sz w:val="10"/>
              </w:rPr>
            </w:pPr>
          </w:p>
        </w:tc>
        <w:tc>
          <w:tcPr>
            <w:tcW w:w="1380" w:type="dxa"/>
            <w:vMerge/>
            <w:tcBorders>
              <w:right w:val="single" w:sz="8" w:space="0" w:color="auto"/>
            </w:tcBorders>
            <w:shd w:val="clear" w:color="auto" w:fill="auto"/>
            <w:vAlign w:val="bottom"/>
          </w:tcPr>
          <w:p w14:paraId="673A9BB9" w14:textId="77777777" w:rsidR="00A52778" w:rsidRPr="00460F9E" w:rsidRDefault="00A52778" w:rsidP="00FC3F8E">
            <w:pPr>
              <w:spacing w:line="0" w:lineRule="atLeast"/>
              <w:jc w:val="center"/>
              <w:rPr>
                <w:rFonts w:eastAsia="Times New Roman" w:cs="Times New Roman"/>
                <w:b/>
                <w:sz w:val="10"/>
              </w:rPr>
            </w:pPr>
          </w:p>
        </w:tc>
      </w:tr>
      <w:tr w:rsidR="00A52778" w:rsidRPr="00460F9E" w14:paraId="6537F038" w14:textId="77777777" w:rsidTr="00FC3F8E">
        <w:trPr>
          <w:trHeight w:val="111"/>
        </w:trPr>
        <w:tc>
          <w:tcPr>
            <w:tcW w:w="1840" w:type="dxa"/>
            <w:gridSpan w:val="3"/>
            <w:vMerge/>
            <w:tcBorders>
              <w:left w:val="single" w:sz="8" w:space="0" w:color="auto"/>
              <w:right w:val="single" w:sz="8" w:space="0" w:color="auto"/>
            </w:tcBorders>
            <w:shd w:val="clear" w:color="auto" w:fill="auto"/>
            <w:vAlign w:val="bottom"/>
          </w:tcPr>
          <w:p w14:paraId="76C5A45F" w14:textId="77777777" w:rsidR="00A52778" w:rsidRPr="00460F9E" w:rsidRDefault="00A52778" w:rsidP="00FC3F8E">
            <w:pPr>
              <w:spacing w:line="208" w:lineRule="exact"/>
              <w:ind w:right="480"/>
              <w:jc w:val="center"/>
              <w:rPr>
                <w:rFonts w:eastAsia="Times New Roman" w:cs="Times New Roman"/>
                <w:b/>
                <w:sz w:val="9"/>
              </w:rPr>
            </w:pPr>
          </w:p>
        </w:tc>
        <w:tc>
          <w:tcPr>
            <w:tcW w:w="1640" w:type="dxa"/>
            <w:tcBorders>
              <w:left w:val="single" w:sz="8" w:space="0" w:color="auto"/>
              <w:right w:val="single" w:sz="8" w:space="0" w:color="auto"/>
            </w:tcBorders>
            <w:shd w:val="clear" w:color="auto" w:fill="auto"/>
            <w:vAlign w:val="bottom"/>
          </w:tcPr>
          <w:p w14:paraId="173FC3AE" w14:textId="77777777" w:rsidR="00A52778" w:rsidRPr="00460F9E" w:rsidRDefault="00A52778" w:rsidP="00FC3F8E">
            <w:pPr>
              <w:spacing w:line="0" w:lineRule="atLeast"/>
              <w:rPr>
                <w:rFonts w:eastAsia="Times New Roman" w:cs="Times New Roman"/>
                <w:b/>
                <w:sz w:val="9"/>
              </w:rPr>
            </w:pPr>
          </w:p>
        </w:tc>
        <w:tc>
          <w:tcPr>
            <w:tcW w:w="1240" w:type="dxa"/>
            <w:vMerge/>
            <w:tcBorders>
              <w:right w:val="single" w:sz="8" w:space="0" w:color="auto"/>
            </w:tcBorders>
            <w:shd w:val="clear" w:color="auto" w:fill="auto"/>
            <w:vAlign w:val="bottom"/>
          </w:tcPr>
          <w:p w14:paraId="0442A4BC" w14:textId="77777777" w:rsidR="00A52778" w:rsidRPr="00460F9E" w:rsidRDefault="00A52778" w:rsidP="00FC3F8E">
            <w:pPr>
              <w:spacing w:line="219" w:lineRule="exact"/>
              <w:jc w:val="center"/>
              <w:rPr>
                <w:rFonts w:eastAsia="Times New Roman" w:cs="Times New Roman"/>
                <w:b/>
                <w:sz w:val="9"/>
              </w:rPr>
            </w:pPr>
          </w:p>
        </w:tc>
        <w:tc>
          <w:tcPr>
            <w:tcW w:w="1920" w:type="dxa"/>
            <w:vMerge/>
            <w:tcBorders>
              <w:right w:val="single" w:sz="8" w:space="0" w:color="auto"/>
            </w:tcBorders>
            <w:shd w:val="clear" w:color="auto" w:fill="auto"/>
            <w:vAlign w:val="bottom"/>
          </w:tcPr>
          <w:p w14:paraId="0BB66E75" w14:textId="77777777" w:rsidR="00A52778" w:rsidRPr="00460F9E" w:rsidRDefault="00A52778" w:rsidP="00FC3F8E">
            <w:pPr>
              <w:spacing w:line="0" w:lineRule="atLeast"/>
              <w:rPr>
                <w:rFonts w:eastAsia="Times New Roman" w:cs="Times New Roman"/>
                <w:b/>
                <w:sz w:val="9"/>
              </w:rPr>
            </w:pPr>
          </w:p>
        </w:tc>
        <w:tc>
          <w:tcPr>
            <w:tcW w:w="1260" w:type="dxa"/>
            <w:vMerge/>
            <w:tcBorders>
              <w:right w:val="single" w:sz="8" w:space="0" w:color="auto"/>
            </w:tcBorders>
            <w:shd w:val="clear" w:color="auto" w:fill="auto"/>
            <w:vAlign w:val="bottom"/>
          </w:tcPr>
          <w:p w14:paraId="70B82DC8" w14:textId="77777777" w:rsidR="00A52778" w:rsidRPr="00460F9E" w:rsidRDefault="00A52778" w:rsidP="00FC3F8E">
            <w:pPr>
              <w:spacing w:line="0" w:lineRule="atLeast"/>
              <w:rPr>
                <w:rFonts w:eastAsia="Times New Roman" w:cs="Times New Roman"/>
                <w:b/>
                <w:sz w:val="9"/>
              </w:rPr>
            </w:pPr>
          </w:p>
        </w:tc>
        <w:tc>
          <w:tcPr>
            <w:tcW w:w="1380" w:type="dxa"/>
            <w:vMerge/>
            <w:tcBorders>
              <w:right w:val="single" w:sz="8" w:space="0" w:color="auto"/>
            </w:tcBorders>
            <w:shd w:val="clear" w:color="auto" w:fill="auto"/>
            <w:vAlign w:val="bottom"/>
          </w:tcPr>
          <w:p w14:paraId="64C14319" w14:textId="77777777" w:rsidR="00A52778" w:rsidRPr="00460F9E" w:rsidRDefault="00A52778" w:rsidP="00FC3F8E">
            <w:pPr>
              <w:spacing w:line="0" w:lineRule="atLeast"/>
              <w:jc w:val="center"/>
              <w:rPr>
                <w:rFonts w:eastAsia="Times New Roman" w:cs="Times New Roman"/>
                <w:b/>
                <w:sz w:val="9"/>
              </w:rPr>
            </w:pPr>
          </w:p>
        </w:tc>
      </w:tr>
      <w:tr w:rsidR="00A52778" w:rsidRPr="00460F9E" w14:paraId="58D52333" w14:textId="77777777" w:rsidTr="00FC3F8E">
        <w:trPr>
          <w:trHeight w:val="242"/>
        </w:trPr>
        <w:tc>
          <w:tcPr>
            <w:tcW w:w="1840" w:type="dxa"/>
            <w:gridSpan w:val="3"/>
            <w:vMerge/>
            <w:tcBorders>
              <w:left w:val="single" w:sz="8" w:space="0" w:color="auto"/>
              <w:right w:val="single" w:sz="8" w:space="0" w:color="auto"/>
            </w:tcBorders>
            <w:shd w:val="clear" w:color="auto" w:fill="auto"/>
            <w:vAlign w:val="bottom"/>
          </w:tcPr>
          <w:p w14:paraId="2E0781E4" w14:textId="77777777" w:rsidR="00A52778" w:rsidRPr="00460F9E" w:rsidRDefault="00A52778" w:rsidP="00FC3F8E">
            <w:pPr>
              <w:spacing w:line="208" w:lineRule="exact"/>
              <w:ind w:right="480"/>
              <w:jc w:val="center"/>
              <w:rPr>
                <w:rFonts w:eastAsia="Times New Roman" w:cs="Times New Roman"/>
                <w:b/>
                <w:sz w:val="21"/>
              </w:rPr>
            </w:pPr>
          </w:p>
        </w:tc>
        <w:tc>
          <w:tcPr>
            <w:tcW w:w="1640" w:type="dxa"/>
            <w:tcBorders>
              <w:left w:val="single" w:sz="8" w:space="0" w:color="auto"/>
              <w:right w:val="single" w:sz="8" w:space="0" w:color="auto"/>
            </w:tcBorders>
            <w:shd w:val="clear" w:color="auto" w:fill="auto"/>
            <w:vAlign w:val="bottom"/>
          </w:tcPr>
          <w:p w14:paraId="710ED0BB" w14:textId="77777777" w:rsidR="00A52778" w:rsidRPr="00460F9E" w:rsidRDefault="00A52778" w:rsidP="00FC3F8E">
            <w:pPr>
              <w:spacing w:line="0" w:lineRule="atLeast"/>
              <w:jc w:val="center"/>
              <w:rPr>
                <w:rFonts w:eastAsia="Times New Roman" w:cs="Times New Roman"/>
                <w:b/>
                <w:w w:val="97"/>
              </w:rPr>
            </w:pPr>
            <w:r w:rsidRPr="00460F9E">
              <w:rPr>
                <w:rFonts w:eastAsia="Times New Roman" w:cs="Times New Roman"/>
                <w:w w:val="97"/>
              </w:rPr>
              <w:t>Isıl</w:t>
            </w:r>
          </w:p>
        </w:tc>
        <w:tc>
          <w:tcPr>
            <w:tcW w:w="1240" w:type="dxa"/>
            <w:vMerge/>
            <w:tcBorders>
              <w:bottom w:val="single" w:sz="8" w:space="0" w:color="auto"/>
              <w:right w:val="single" w:sz="8" w:space="0" w:color="auto"/>
            </w:tcBorders>
            <w:shd w:val="clear" w:color="auto" w:fill="auto"/>
            <w:vAlign w:val="bottom"/>
          </w:tcPr>
          <w:p w14:paraId="606A8C05" w14:textId="77777777" w:rsidR="00A52778" w:rsidRPr="00460F9E" w:rsidRDefault="00A52778" w:rsidP="00FC3F8E">
            <w:pPr>
              <w:spacing w:line="219" w:lineRule="exact"/>
              <w:jc w:val="center"/>
              <w:rPr>
                <w:rFonts w:eastAsia="Times New Roman" w:cs="Times New Roman"/>
                <w:b/>
              </w:rPr>
            </w:pPr>
          </w:p>
        </w:tc>
        <w:tc>
          <w:tcPr>
            <w:tcW w:w="1920" w:type="dxa"/>
            <w:vMerge/>
            <w:tcBorders>
              <w:bottom w:val="single" w:sz="8" w:space="0" w:color="auto"/>
              <w:right w:val="single" w:sz="8" w:space="0" w:color="auto"/>
            </w:tcBorders>
            <w:shd w:val="clear" w:color="auto" w:fill="auto"/>
            <w:vAlign w:val="bottom"/>
          </w:tcPr>
          <w:p w14:paraId="728A7FD8" w14:textId="77777777" w:rsidR="00A52778" w:rsidRPr="00460F9E" w:rsidRDefault="00A52778" w:rsidP="00FC3F8E">
            <w:pPr>
              <w:spacing w:line="0" w:lineRule="atLeast"/>
              <w:rPr>
                <w:rFonts w:eastAsia="Times New Roman" w:cs="Times New Roman"/>
                <w:b/>
                <w:sz w:val="21"/>
              </w:rPr>
            </w:pPr>
          </w:p>
        </w:tc>
        <w:tc>
          <w:tcPr>
            <w:tcW w:w="1260" w:type="dxa"/>
            <w:vMerge/>
            <w:tcBorders>
              <w:bottom w:val="single" w:sz="8" w:space="0" w:color="auto"/>
              <w:right w:val="single" w:sz="8" w:space="0" w:color="auto"/>
            </w:tcBorders>
            <w:shd w:val="clear" w:color="auto" w:fill="auto"/>
            <w:vAlign w:val="bottom"/>
          </w:tcPr>
          <w:p w14:paraId="46576E1D" w14:textId="77777777" w:rsidR="00A52778" w:rsidRPr="00460F9E" w:rsidRDefault="00A52778" w:rsidP="00FC3F8E">
            <w:pPr>
              <w:spacing w:line="0" w:lineRule="atLeast"/>
              <w:rPr>
                <w:rFonts w:eastAsia="Times New Roman" w:cs="Times New Roman"/>
                <w:b/>
                <w:sz w:val="21"/>
              </w:rPr>
            </w:pPr>
          </w:p>
        </w:tc>
        <w:tc>
          <w:tcPr>
            <w:tcW w:w="1380" w:type="dxa"/>
            <w:vMerge/>
            <w:tcBorders>
              <w:right w:val="single" w:sz="8" w:space="0" w:color="auto"/>
            </w:tcBorders>
            <w:shd w:val="clear" w:color="auto" w:fill="auto"/>
            <w:vAlign w:val="bottom"/>
          </w:tcPr>
          <w:p w14:paraId="23283710" w14:textId="77777777" w:rsidR="00A52778" w:rsidRPr="00460F9E" w:rsidRDefault="00A52778" w:rsidP="00FC3F8E">
            <w:pPr>
              <w:spacing w:line="0" w:lineRule="atLeast"/>
              <w:jc w:val="center"/>
              <w:rPr>
                <w:rFonts w:eastAsia="Times New Roman" w:cs="Times New Roman"/>
                <w:b/>
              </w:rPr>
            </w:pPr>
          </w:p>
        </w:tc>
      </w:tr>
      <w:tr w:rsidR="00A52778" w:rsidRPr="00460F9E" w14:paraId="091B98BC" w14:textId="77777777" w:rsidTr="00FC3F8E">
        <w:trPr>
          <w:trHeight w:val="93"/>
        </w:trPr>
        <w:tc>
          <w:tcPr>
            <w:tcW w:w="1840" w:type="dxa"/>
            <w:gridSpan w:val="3"/>
            <w:vMerge/>
            <w:tcBorders>
              <w:left w:val="single" w:sz="8" w:space="0" w:color="auto"/>
              <w:right w:val="single" w:sz="8" w:space="0" w:color="auto"/>
            </w:tcBorders>
            <w:shd w:val="clear" w:color="auto" w:fill="auto"/>
            <w:vAlign w:val="bottom"/>
          </w:tcPr>
          <w:p w14:paraId="03B432D3" w14:textId="77777777" w:rsidR="00A52778" w:rsidRPr="00460F9E" w:rsidRDefault="00A52778" w:rsidP="00FC3F8E">
            <w:pPr>
              <w:spacing w:line="208" w:lineRule="exact"/>
              <w:ind w:right="480"/>
              <w:jc w:val="center"/>
              <w:rPr>
                <w:rFonts w:eastAsia="Times New Roman" w:cs="Times New Roman"/>
                <w:b/>
                <w:sz w:val="8"/>
              </w:rPr>
            </w:pPr>
          </w:p>
        </w:tc>
        <w:tc>
          <w:tcPr>
            <w:tcW w:w="1640" w:type="dxa"/>
            <w:vMerge w:val="restart"/>
            <w:tcBorders>
              <w:left w:val="single" w:sz="8" w:space="0" w:color="auto"/>
              <w:right w:val="single" w:sz="8" w:space="0" w:color="auto"/>
            </w:tcBorders>
            <w:shd w:val="clear" w:color="auto" w:fill="auto"/>
            <w:vAlign w:val="bottom"/>
          </w:tcPr>
          <w:p w14:paraId="330E6D38" w14:textId="77777777" w:rsidR="00A52778" w:rsidRPr="00460F9E" w:rsidRDefault="00A52778" w:rsidP="00FC3F8E">
            <w:pPr>
              <w:spacing w:line="208" w:lineRule="exact"/>
              <w:jc w:val="center"/>
              <w:rPr>
                <w:rFonts w:eastAsia="Times New Roman" w:cs="Times New Roman"/>
                <w:b/>
              </w:rPr>
            </w:pPr>
            <w:r w:rsidRPr="00460F9E">
              <w:rPr>
                <w:rFonts w:eastAsia="Times New Roman" w:cs="Times New Roman"/>
              </w:rPr>
              <w:t>işlem</w:t>
            </w:r>
          </w:p>
        </w:tc>
        <w:tc>
          <w:tcPr>
            <w:tcW w:w="1240" w:type="dxa"/>
            <w:vMerge w:val="restart"/>
            <w:tcBorders>
              <w:right w:val="single" w:sz="8" w:space="0" w:color="auto"/>
            </w:tcBorders>
            <w:shd w:val="clear" w:color="auto" w:fill="auto"/>
            <w:vAlign w:val="bottom"/>
          </w:tcPr>
          <w:p w14:paraId="4B80C965"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CO kütle akışı &lt; 2 kg/saat olan herhangi bir baca</w:t>
            </w:r>
          </w:p>
        </w:tc>
        <w:tc>
          <w:tcPr>
            <w:tcW w:w="1920" w:type="dxa"/>
            <w:tcBorders>
              <w:right w:val="single" w:sz="8" w:space="0" w:color="auto"/>
            </w:tcBorders>
            <w:shd w:val="clear" w:color="auto" w:fill="auto"/>
            <w:vAlign w:val="bottom"/>
          </w:tcPr>
          <w:p w14:paraId="26BB0F8B" w14:textId="77777777" w:rsidR="00A52778" w:rsidRPr="00460F9E" w:rsidRDefault="00A52778" w:rsidP="00FC3F8E">
            <w:pPr>
              <w:spacing w:line="0" w:lineRule="atLeast"/>
              <w:rPr>
                <w:rFonts w:eastAsia="Times New Roman" w:cs="Times New Roman"/>
                <w:b/>
                <w:sz w:val="8"/>
              </w:rPr>
            </w:pPr>
          </w:p>
        </w:tc>
        <w:tc>
          <w:tcPr>
            <w:tcW w:w="1260" w:type="dxa"/>
            <w:vMerge w:val="restart"/>
            <w:tcBorders>
              <w:right w:val="single" w:sz="8" w:space="0" w:color="auto"/>
            </w:tcBorders>
            <w:shd w:val="clear" w:color="auto" w:fill="auto"/>
            <w:vAlign w:val="center"/>
          </w:tcPr>
          <w:p w14:paraId="715017E4"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Her 6 ayda    bir kere</w:t>
            </w:r>
          </w:p>
          <w:p w14:paraId="28B18236"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w w:val="90"/>
              </w:rPr>
              <w:t>(</w:t>
            </w:r>
            <w:r w:rsidRPr="00460F9E">
              <w:rPr>
                <w:rFonts w:eastAsia="Times New Roman" w:cs="Times New Roman"/>
                <w:w w:val="90"/>
                <w:sz w:val="25"/>
                <w:vertAlign w:val="superscript"/>
              </w:rPr>
              <w:t>3</w:t>
            </w:r>
            <w:r w:rsidRPr="00460F9E">
              <w:rPr>
                <w:rFonts w:eastAsia="Times New Roman" w:cs="Times New Roman"/>
                <w:w w:val="90"/>
              </w:rPr>
              <w:t>) (</w:t>
            </w:r>
            <w:r w:rsidRPr="00460F9E">
              <w:rPr>
                <w:rFonts w:eastAsia="Times New Roman" w:cs="Times New Roman"/>
                <w:w w:val="90"/>
                <w:sz w:val="25"/>
                <w:vertAlign w:val="superscript"/>
              </w:rPr>
              <w:t>4</w:t>
            </w:r>
            <w:r w:rsidRPr="00460F9E">
              <w:rPr>
                <w:rFonts w:eastAsia="Times New Roman" w:cs="Times New Roman"/>
                <w:w w:val="90"/>
              </w:rPr>
              <w:t>)</w:t>
            </w:r>
          </w:p>
        </w:tc>
        <w:tc>
          <w:tcPr>
            <w:tcW w:w="1380" w:type="dxa"/>
            <w:vMerge/>
            <w:tcBorders>
              <w:right w:val="single" w:sz="8" w:space="0" w:color="auto"/>
            </w:tcBorders>
            <w:shd w:val="clear" w:color="auto" w:fill="auto"/>
            <w:vAlign w:val="bottom"/>
          </w:tcPr>
          <w:p w14:paraId="3CDD192D" w14:textId="77777777" w:rsidR="00A52778" w:rsidRPr="00460F9E" w:rsidRDefault="00A52778" w:rsidP="00FC3F8E">
            <w:pPr>
              <w:spacing w:line="0" w:lineRule="atLeast"/>
              <w:rPr>
                <w:rFonts w:eastAsia="Times New Roman" w:cs="Times New Roman"/>
                <w:b/>
                <w:sz w:val="8"/>
              </w:rPr>
            </w:pPr>
          </w:p>
        </w:tc>
      </w:tr>
      <w:tr w:rsidR="00A52778" w:rsidRPr="00460F9E" w14:paraId="5473F896" w14:textId="77777777" w:rsidTr="00FC3F8E">
        <w:trPr>
          <w:trHeight w:val="127"/>
        </w:trPr>
        <w:tc>
          <w:tcPr>
            <w:tcW w:w="1840" w:type="dxa"/>
            <w:gridSpan w:val="3"/>
            <w:vMerge/>
            <w:tcBorders>
              <w:left w:val="single" w:sz="8" w:space="0" w:color="auto"/>
              <w:right w:val="single" w:sz="8" w:space="0" w:color="auto"/>
            </w:tcBorders>
            <w:shd w:val="clear" w:color="auto" w:fill="auto"/>
            <w:vAlign w:val="bottom"/>
          </w:tcPr>
          <w:p w14:paraId="02BF1F6B" w14:textId="77777777" w:rsidR="00A52778" w:rsidRPr="00460F9E" w:rsidRDefault="00A52778" w:rsidP="00FC3F8E">
            <w:pPr>
              <w:spacing w:line="208" w:lineRule="exact"/>
              <w:ind w:right="480"/>
              <w:jc w:val="center"/>
              <w:rPr>
                <w:rFonts w:eastAsia="Times New Roman" w:cs="Times New Roman"/>
                <w:b/>
                <w:sz w:val="11"/>
              </w:rPr>
            </w:pPr>
          </w:p>
        </w:tc>
        <w:tc>
          <w:tcPr>
            <w:tcW w:w="1640" w:type="dxa"/>
            <w:vMerge/>
            <w:tcBorders>
              <w:left w:val="single" w:sz="8" w:space="0" w:color="auto"/>
              <w:right w:val="single" w:sz="8" w:space="0" w:color="auto"/>
            </w:tcBorders>
            <w:shd w:val="clear" w:color="auto" w:fill="auto"/>
            <w:vAlign w:val="bottom"/>
          </w:tcPr>
          <w:p w14:paraId="79250B68" w14:textId="77777777" w:rsidR="00A52778" w:rsidRPr="00460F9E" w:rsidRDefault="00A52778" w:rsidP="00FC3F8E">
            <w:pPr>
              <w:spacing w:line="0" w:lineRule="atLeast"/>
              <w:rPr>
                <w:rFonts w:eastAsia="Times New Roman" w:cs="Times New Roman"/>
                <w:b/>
                <w:sz w:val="11"/>
              </w:rPr>
            </w:pPr>
          </w:p>
        </w:tc>
        <w:tc>
          <w:tcPr>
            <w:tcW w:w="1240" w:type="dxa"/>
            <w:vMerge/>
            <w:tcBorders>
              <w:right w:val="single" w:sz="8" w:space="0" w:color="auto"/>
            </w:tcBorders>
            <w:shd w:val="clear" w:color="auto" w:fill="auto"/>
            <w:vAlign w:val="bottom"/>
          </w:tcPr>
          <w:p w14:paraId="1D339630" w14:textId="77777777" w:rsidR="00A52778" w:rsidRPr="00460F9E" w:rsidRDefault="00A52778" w:rsidP="00FC3F8E">
            <w:pPr>
              <w:spacing w:line="0" w:lineRule="atLeast"/>
              <w:jc w:val="center"/>
              <w:rPr>
                <w:rFonts w:eastAsia="Times New Roman" w:cs="Times New Roman"/>
                <w:b/>
                <w:sz w:val="11"/>
              </w:rPr>
            </w:pPr>
          </w:p>
        </w:tc>
        <w:tc>
          <w:tcPr>
            <w:tcW w:w="1920" w:type="dxa"/>
            <w:tcBorders>
              <w:right w:val="single" w:sz="8" w:space="0" w:color="auto"/>
            </w:tcBorders>
            <w:shd w:val="clear" w:color="auto" w:fill="auto"/>
            <w:vAlign w:val="bottom"/>
          </w:tcPr>
          <w:p w14:paraId="5F156E27" w14:textId="77777777" w:rsidR="00A52778" w:rsidRPr="00460F9E" w:rsidRDefault="00A52778" w:rsidP="00FC3F8E">
            <w:pPr>
              <w:spacing w:line="0" w:lineRule="atLeast"/>
              <w:rPr>
                <w:rFonts w:eastAsia="Times New Roman" w:cs="Times New Roman"/>
                <w:b/>
                <w:sz w:val="11"/>
              </w:rPr>
            </w:pPr>
          </w:p>
        </w:tc>
        <w:tc>
          <w:tcPr>
            <w:tcW w:w="1260" w:type="dxa"/>
            <w:vMerge/>
            <w:tcBorders>
              <w:right w:val="single" w:sz="8" w:space="0" w:color="auto"/>
            </w:tcBorders>
            <w:shd w:val="clear" w:color="auto" w:fill="auto"/>
            <w:vAlign w:val="bottom"/>
          </w:tcPr>
          <w:p w14:paraId="542FA948" w14:textId="77777777" w:rsidR="00A52778" w:rsidRPr="00460F9E" w:rsidRDefault="00A52778" w:rsidP="00FC3F8E">
            <w:pPr>
              <w:spacing w:line="0" w:lineRule="atLeast"/>
              <w:jc w:val="center"/>
              <w:rPr>
                <w:rFonts w:eastAsia="Times New Roman" w:cs="Times New Roman"/>
                <w:b/>
                <w:sz w:val="11"/>
              </w:rPr>
            </w:pPr>
          </w:p>
        </w:tc>
        <w:tc>
          <w:tcPr>
            <w:tcW w:w="1380" w:type="dxa"/>
            <w:vMerge/>
            <w:tcBorders>
              <w:right w:val="single" w:sz="8" w:space="0" w:color="auto"/>
            </w:tcBorders>
            <w:shd w:val="clear" w:color="auto" w:fill="auto"/>
            <w:vAlign w:val="bottom"/>
          </w:tcPr>
          <w:p w14:paraId="437E0433" w14:textId="77777777" w:rsidR="00A52778" w:rsidRPr="00460F9E" w:rsidRDefault="00A52778" w:rsidP="00FC3F8E">
            <w:pPr>
              <w:spacing w:line="0" w:lineRule="atLeast"/>
              <w:rPr>
                <w:rFonts w:eastAsia="Times New Roman" w:cs="Times New Roman"/>
                <w:b/>
                <w:sz w:val="11"/>
              </w:rPr>
            </w:pPr>
          </w:p>
        </w:tc>
      </w:tr>
      <w:tr w:rsidR="00A52778" w:rsidRPr="00460F9E" w14:paraId="7A9426A2" w14:textId="77777777" w:rsidTr="00FC3F8E">
        <w:trPr>
          <w:trHeight w:val="115"/>
        </w:trPr>
        <w:tc>
          <w:tcPr>
            <w:tcW w:w="1840" w:type="dxa"/>
            <w:gridSpan w:val="3"/>
            <w:vMerge/>
            <w:tcBorders>
              <w:left w:val="single" w:sz="8" w:space="0" w:color="auto"/>
              <w:right w:val="single" w:sz="8" w:space="0" w:color="auto"/>
            </w:tcBorders>
            <w:shd w:val="clear" w:color="auto" w:fill="auto"/>
            <w:vAlign w:val="bottom"/>
          </w:tcPr>
          <w:p w14:paraId="00146717" w14:textId="77777777" w:rsidR="00A52778" w:rsidRPr="00460F9E" w:rsidRDefault="00A52778" w:rsidP="00FC3F8E">
            <w:pPr>
              <w:spacing w:line="208" w:lineRule="exact"/>
              <w:ind w:right="480"/>
              <w:jc w:val="center"/>
              <w:rPr>
                <w:rFonts w:eastAsia="Times New Roman" w:cs="Times New Roman"/>
                <w:b/>
                <w:sz w:val="10"/>
              </w:rPr>
            </w:pPr>
          </w:p>
        </w:tc>
        <w:tc>
          <w:tcPr>
            <w:tcW w:w="1640" w:type="dxa"/>
            <w:tcBorders>
              <w:left w:val="single" w:sz="8" w:space="0" w:color="auto"/>
              <w:right w:val="single" w:sz="8" w:space="0" w:color="auto"/>
            </w:tcBorders>
            <w:shd w:val="clear" w:color="auto" w:fill="auto"/>
            <w:vAlign w:val="bottom"/>
          </w:tcPr>
          <w:p w14:paraId="29C3939B" w14:textId="77777777" w:rsidR="00A52778" w:rsidRPr="00460F9E" w:rsidRDefault="00A52778" w:rsidP="00FC3F8E">
            <w:pPr>
              <w:spacing w:line="0" w:lineRule="atLeast"/>
              <w:rPr>
                <w:rFonts w:eastAsia="Times New Roman" w:cs="Times New Roman"/>
                <w:b/>
                <w:sz w:val="10"/>
              </w:rPr>
            </w:pPr>
          </w:p>
        </w:tc>
        <w:tc>
          <w:tcPr>
            <w:tcW w:w="1240" w:type="dxa"/>
            <w:vMerge/>
            <w:tcBorders>
              <w:right w:val="single" w:sz="8" w:space="0" w:color="auto"/>
            </w:tcBorders>
            <w:shd w:val="clear" w:color="auto" w:fill="auto"/>
            <w:vAlign w:val="bottom"/>
          </w:tcPr>
          <w:p w14:paraId="4F026844" w14:textId="77777777" w:rsidR="00A52778" w:rsidRPr="00460F9E" w:rsidRDefault="00A52778" w:rsidP="00FC3F8E">
            <w:pPr>
              <w:spacing w:line="0" w:lineRule="atLeast"/>
              <w:jc w:val="center"/>
              <w:rPr>
                <w:rFonts w:eastAsia="Times New Roman" w:cs="Times New Roman"/>
                <w:b/>
                <w:w w:val="99"/>
              </w:rPr>
            </w:pPr>
          </w:p>
        </w:tc>
        <w:tc>
          <w:tcPr>
            <w:tcW w:w="1920" w:type="dxa"/>
            <w:tcBorders>
              <w:right w:val="single" w:sz="8" w:space="0" w:color="auto"/>
            </w:tcBorders>
            <w:shd w:val="clear" w:color="auto" w:fill="auto"/>
            <w:vAlign w:val="bottom"/>
          </w:tcPr>
          <w:p w14:paraId="2A66E0B5" w14:textId="77777777" w:rsidR="00A52778" w:rsidRPr="00460F9E" w:rsidRDefault="00A52778" w:rsidP="00FC3F8E">
            <w:pPr>
              <w:spacing w:line="0" w:lineRule="atLeast"/>
              <w:rPr>
                <w:rFonts w:eastAsia="Times New Roman" w:cs="Times New Roman"/>
                <w:b/>
                <w:sz w:val="10"/>
              </w:rPr>
            </w:pPr>
          </w:p>
        </w:tc>
        <w:tc>
          <w:tcPr>
            <w:tcW w:w="1260" w:type="dxa"/>
            <w:vMerge/>
            <w:tcBorders>
              <w:right w:val="single" w:sz="8" w:space="0" w:color="auto"/>
            </w:tcBorders>
            <w:shd w:val="clear" w:color="auto" w:fill="auto"/>
            <w:vAlign w:val="bottom"/>
          </w:tcPr>
          <w:p w14:paraId="47C737BA" w14:textId="77777777" w:rsidR="00A52778" w:rsidRPr="00460F9E" w:rsidRDefault="00A52778" w:rsidP="00FC3F8E">
            <w:pPr>
              <w:spacing w:line="0" w:lineRule="atLeast"/>
              <w:jc w:val="center"/>
              <w:rPr>
                <w:rFonts w:eastAsia="Times New Roman" w:cs="Times New Roman"/>
                <w:b/>
                <w:sz w:val="10"/>
              </w:rPr>
            </w:pPr>
          </w:p>
        </w:tc>
        <w:tc>
          <w:tcPr>
            <w:tcW w:w="1380" w:type="dxa"/>
            <w:vMerge/>
            <w:tcBorders>
              <w:right w:val="single" w:sz="8" w:space="0" w:color="auto"/>
            </w:tcBorders>
            <w:shd w:val="clear" w:color="auto" w:fill="auto"/>
            <w:vAlign w:val="bottom"/>
          </w:tcPr>
          <w:p w14:paraId="40B1A859" w14:textId="77777777" w:rsidR="00A52778" w:rsidRPr="00460F9E" w:rsidRDefault="00A52778" w:rsidP="00FC3F8E">
            <w:pPr>
              <w:spacing w:line="0" w:lineRule="atLeast"/>
              <w:rPr>
                <w:rFonts w:eastAsia="Times New Roman" w:cs="Times New Roman"/>
                <w:b/>
                <w:sz w:val="10"/>
              </w:rPr>
            </w:pPr>
          </w:p>
        </w:tc>
      </w:tr>
      <w:tr w:rsidR="00A52778" w:rsidRPr="00460F9E" w14:paraId="31B3046B" w14:textId="77777777" w:rsidTr="00FC3F8E">
        <w:trPr>
          <w:trHeight w:val="115"/>
        </w:trPr>
        <w:tc>
          <w:tcPr>
            <w:tcW w:w="1840" w:type="dxa"/>
            <w:gridSpan w:val="3"/>
            <w:vMerge/>
            <w:tcBorders>
              <w:left w:val="single" w:sz="8" w:space="0" w:color="auto"/>
              <w:right w:val="single" w:sz="8" w:space="0" w:color="auto"/>
            </w:tcBorders>
            <w:shd w:val="clear" w:color="auto" w:fill="auto"/>
            <w:vAlign w:val="bottom"/>
          </w:tcPr>
          <w:p w14:paraId="209B1FEC" w14:textId="77777777" w:rsidR="00A52778" w:rsidRPr="00460F9E" w:rsidRDefault="00A52778" w:rsidP="00FC3F8E">
            <w:pPr>
              <w:spacing w:line="208" w:lineRule="exact"/>
              <w:ind w:right="480"/>
              <w:jc w:val="center"/>
              <w:rPr>
                <w:rFonts w:eastAsia="Times New Roman" w:cs="Times New Roman"/>
                <w:b/>
                <w:sz w:val="10"/>
              </w:rPr>
            </w:pPr>
          </w:p>
        </w:tc>
        <w:tc>
          <w:tcPr>
            <w:tcW w:w="1640" w:type="dxa"/>
            <w:tcBorders>
              <w:left w:val="single" w:sz="8" w:space="0" w:color="auto"/>
              <w:right w:val="single" w:sz="8" w:space="0" w:color="auto"/>
            </w:tcBorders>
            <w:shd w:val="clear" w:color="auto" w:fill="auto"/>
            <w:vAlign w:val="bottom"/>
          </w:tcPr>
          <w:p w14:paraId="7A245901" w14:textId="77777777" w:rsidR="00A52778" w:rsidRPr="00460F9E" w:rsidRDefault="00A52778" w:rsidP="00FC3F8E">
            <w:pPr>
              <w:spacing w:line="0" w:lineRule="atLeast"/>
              <w:rPr>
                <w:rFonts w:eastAsia="Times New Roman" w:cs="Times New Roman"/>
                <w:b/>
                <w:sz w:val="10"/>
              </w:rPr>
            </w:pPr>
          </w:p>
        </w:tc>
        <w:tc>
          <w:tcPr>
            <w:tcW w:w="1240" w:type="dxa"/>
            <w:vMerge/>
            <w:tcBorders>
              <w:right w:val="single" w:sz="8" w:space="0" w:color="auto"/>
            </w:tcBorders>
            <w:shd w:val="clear" w:color="auto" w:fill="auto"/>
            <w:vAlign w:val="bottom"/>
          </w:tcPr>
          <w:p w14:paraId="5F776503" w14:textId="77777777" w:rsidR="00A52778" w:rsidRPr="00460F9E" w:rsidRDefault="00A52778" w:rsidP="00FC3F8E">
            <w:pPr>
              <w:spacing w:line="0" w:lineRule="atLeast"/>
              <w:jc w:val="center"/>
              <w:rPr>
                <w:rFonts w:eastAsia="Times New Roman" w:cs="Times New Roman"/>
                <w:b/>
                <w:sz w:val="10"/>
              </w:rPr>
            </w:pPr>
          </w:p>
        </w:tc>
        <w:tc>
          <w:tcPr>
            <w:tcW w:w="1920" w:type="dxa"/>
            <w:vMerge w:val="restart"/>
            <w:tcBorders>
              <w:right w:val="single" w:sz="8" w:space="0" w:color="auto"/>
            </w:tcBorders>
            <w:shd w:val="clear" w:color="auto" w:fill="auto"/>
            <w:vAlign w:val="bottom"/>
          </w:tcPr>
          <w:p w14:paraId="026B026E" w14:textId="77777777" w:rsidR="00A52778" w:rsidRPr="00460F9E" w:rsidRDefault="00A52778" w:rsidP="00FC3F8E">
            <w:pPr>
              <w:spacing w:line="0" w:lineRule="atLeast"/>
              <w:jc w:val="center"/>
              <w:rPr>
                <w:rFonts w:eastAsia="Times New Roman" w:cs="Times New Roman"/>
                <w:b/>
                <w:w w:val="97"/>
              </w:rPr>
            </w:pPr>
            <w:r w:rsidRPr="00460F9E">
              <w:rPr>
                <w:rFonts w:eastAsia="Times New Roman" w:cs="Times New Roman"/>
                <w:w w:val="97"/>
              </w:rPr>
              <w:t>EN 15058</w:t>
            </w:r>
          </w:p>
        </w:tc>
        <w:tc>
          <w:tcPr>
            <w:tcW w:w="1260" w:type="dxa"/>
            <w:vMerge/>
            <w:tcBorders>
              <w:right w:val="single" w:sz="8" w:space="0" w:color="auto"/>
            </w:tcBorders>
            <w:shd w:val="clear" w:color="auto" w:fill="auto"/>
            <w:vAlign w:val="bottom"/>
          </w:tcPr>
          <w:p w14:paraId="5E48DD5F" w14:textId="77777777" w:rsidR="00A52778" w:rsidRPr="00460F9E" w:rsidRDefault="00A52778" w:rsidP="00FC3F8E">
            <w:pPr>
              <w:spacing w:line="0" w:lineRule="atLeast"/>
              <w:jc w:val="center"/>
              <w:rPr>
                <w:rFonts w:eastAsia="Times New Roman" w:cs="Times New Roman"/>
                <w:b/>
              </w:rPr>
            </w:pPr>
          </w:p>
        </w:tc>
        <w:tc>
          <w:tcPr>
            <w:tcW w:w="1380" w:type="dxa"/>
            <w:vMerge/>
            <w:tcBorders>
              <w:right w:val="single" w:sz="8" w:space="0" w:color="auto"/>
            </w:tcBorders>
            <w:shd w:val="clear" w:color="auto" w:fill="auto"/>
            <w:vAlign w:val="bottom"/>
          </w:tcPr>
          <w:p w14:paraId="2C61742F" w14:textId="77777777" w:rsidR="00A52778" w:rsidRPr="00460F9E" w:rsidRDefault="00A52778" w:rsidP="00FC3F8E">
            <w:pPr>
              <w:spacing w:line="0" w:lineRule="atLeast"/>
              <w:rPr>
                <w:rFonts w:eastAsia="Times New Roman" w:cs="Times New Roman"/>
                <w:b/>
                <w:sz w:val="10"/>
              </w:rPr>
            </w:pPr>
          </w:p>
        </w:tc>
      </w:tr>
      <w:tr w:rsidR="00A52778" w:rsidRPr="00460F9E" w14:paraId="04B39738" w14:textId="77777777" w:rsidTr="00FC3F8E">
        <w:trPr>
          <w:trHeight w:val="115"/>
        </w:trPr>
        <w:tc>
          <w:tcPr>
            <w:tcW w:w="1840" w:type="dxa"/>
            <w:gridSpan w:val="3"/>
            <w:vMerge/>
            <w:tcBorders>
              <w:left w:val="single" w:sz="8" w:space="0" w:color="auto"/>
              <w:right w:val="single" w:sz="8" w:space="0" w:color="auto"/>
            </w:tcBorders>
            <w:shd w:val="clear" w:color="auto" w:fill="auto"/>
            <w:vAlign w:val="bottom"/>
          </w:tcPr>
          <w:p w14:paraId="3BBD5271" w14:textId="77777777" w:rsidR="00A52778" w:rsidRPr="00460F9E" w:rsidRDefault="00A52778" w:rsidP="00FC3F8E">
            <w:pPr>
              <w:spacing w:line="208" w:lineRule="exact"/>
              <w:ind w:right="480"/>
              <w:jc w:val="center"/>
              <w:rPr>
                <w:rFonts w:eastAsia="Times New Roman" w:cs="Times New Roman"/>
                <w:b/>
                <w:sz w:val="10"/>
              </w:rPr>
            </w:pPr>
          </w:p>
        </w:tc>
        <w:tc>
          <w:tcPr>
            <w:tcW w:w="1640" w:type="dxa"/>
            <w:tcBorders>
              <w:left w:val="single" w:sz="8" w:space="0" w:color="auto"/>
              <w:right w:val="single" w:sz="8" w:space="0" w:color="auto"/>
            </w:tcBorders>
            <w:shd w:val="clear" w:color="auto" w:fill="auto"/>
            <w:vAlign w:val="bottom"/>
          </w:tcPr>
          <w:p w14:paraId="69107D29" w14:textId="77777777" w:rsidR="00A52778" w:rsidRPr="00460F9E" w:rsidRDefault="00A52778" w:rsidP="00FC3F8E">
            <w:pPr>
              <w:spacing w:line="0" w:lineRule="atLeast"/>
              <w:rPr>
                <w:rFonts w:eastAsia="Times New Roman" w:cs="Times New Roman"/>
                <w:b/>
                <w:sz w:val="10"/>
              </w:rPr>
            </w:pPr>
          </w:p>
        </w:tc>
        <w:tc>
          <w:tcPr>
            <w:tcW w:w="1240" w:type="dxa"/>
            <w:vMerge/>
            <w:tcBorders>
              <w:right w:val="single" w:sz="8" w:space="0" w:color="auto"/>
            </w:tcBorders>
            <w:shd w:val="clear" w:color="auto" w:fill="auto"/>
            <w:vAlign w:val="bottom"/>
          </w:tcPr>
          <w:p w14:paraId="389E6C01" w14:textId="77777777" w:rsidR="00A52778" w:rsidRPr="00460F9E" w:rsidRDefault="00A52778" w:rsidP="00FC3F8E">
            <w:pPr>
              <w:spacing w:line="0" w:lineRule="atLeast"/>
              <w:jc w:val="center"/>
              <w:rPr>
                <w:rFonts w:eastAsia="Times New Roman" w:cs="Times New Roman"/>
                <w:b/>
              </w:rPr>
            </w:pPr>
          </w:p>
        </w:tc>
        <w:tc>
          <w:tcPr>
            <w:tcW w:w="1920" w:type="dxa"/>
            <w:vMerge/>
            <w:tcBorders>
              <w:right w:val="single" w:sz="8" w:space="0" w:color="auto"/>
            </w:tcBorders>
            <w:shd w:val="clear" w:color="auto" w:fill="auto"/>
            <w:vAlign w:val="bottom"/>
          </w:tcPr>
          <w:p w14:paraId="30A24199" w14:textId="77777777" w:rsidR="00A52778" w:rsidRPr="00460F9E" w:rsidRDefault="00A52778" w:rsidP="00FC3F8E">
            <w:pPr>
              <w:spacing w:line="0" w:lineRule="atLeast"/>
              <w:rPr>
                <w:rFonts w:eastAsia="Times New Roman" w:cs="Times New Roman"/>
                <w:b/>
                <w:sz w:val="10"/>
              </w:rPr>
            </w:pPr>
          </w:p>
        </w:tc>
        <w:tc>
          <w:tcPr>
            <w:tcW w:w="1260" w:type="dxa"/>
            <w:vMerge/>
            <w:tcBorders>
              <w:right w:val="single" w:sz="8" w:space="0" w:color="auto"/>
            </w:tcBorders>
            <w:shd w:val="clear" w:color="auto" w:fill="auto"/>
            <w:vAlign w:val="bottom"/>
          </w:tcPr>
          <w:p w14:paraId="5BBB5F40" w14:textId="77777777" w:rsidR="00A52778" w:rsidRPr="00460F9E" w:rsidRDefault="00A52778" w:rsidP="00FC3F8E">
            <w:pPr>
              <w:spacing w:line="0" w:lineRule="atLeast"/>
              <w:jc w:val="center"/>
              <w:rPr>
                <w:rFonts w:eastAsia="Times New Roman" w:cs="Times New Roman"/>
                <w:b/>
                <w:sz w:val="10"/>
              </w:rPr>
            </w:pPr>
          </w:p>
        </w:tc>
        <w:tc>
          <w:tcPr>
            <w:tcW w:w="1380" w:type="dxa"/>
            <w:vMerge/>
            <w:tcBorders>
              <w:right w:val="single" w:sz="8" w:space="0" w:color="auto"/>
            </w:tcBorders>
            <w:shd w:val="clear" w:color="auto" w:fill="auto"/>
            <w:vAlign w:val="bottom"/>
          </w:tcPr>
          <w:p w14:paraId="3E41FDD5" w14:textId="77777777" w:rsidR="00A52778" w:rsidRPr="00460F9E" w:rsidRDefault="00A52778" w:rsidP="00FC3F8E">
            <w:pPr>
              <w:spacing w:line="0" w:lineRule="atLeast"/>
              <w:rPr>
                <w:rFonts w:eastAsia="Times New Roman" w:cs="Times New Roman"/>
                <w:b/>
                <w:sz w:val="10"/>
              </w:rPr>
            </w:pPr>
          </w:p>
        </w:tc>
      </w:tr>
      <w:tr w:rsidR="00A52778" w:rsidRPr="00460F9E" w14:paraId="4CE8EF37" w14:textId="77777777" w:rsidTr="00FC3F8E">
        <w:trPr>
          <w:trHeight w:val="115"/>
        </w:trPr>
        <w:tc>
          <w:tcPr>
            <w:tcW w:w="1840" w:type="dxa"/>
            <w:gridSpan w:val="3"/>
            <w:vMerge/>
            <w:tcBorders>
              <w:left w:val="single" w:sz="8" w:space="0" w:color="auto"/>
              <w:right w:val="single" w:sz="8" w:space="0" w:color="auto"/>
            </w:tcBorders>
            <w:shd w:val="clear" w:color="auto" w:fill="auto"/>
            <w:vAlign w:val="bottom"/>
          </w:tcPr>
          <w:p w14:paraId="78BCF3B7" w14:textId="77777777" w:rsidR="00A52778" w:rsidRPr="00460F9E" w:rsidRDefault="00A52778" w:rsidP="00FC3F8E">
            <w:pPr>
              <w:spacing w:line="208" w:lineRule="exact"/>
              <w:ind w:right="480"/>
              <w:jc w:val="center"/>
              <w:rPr>
                <w:rFonts w:eastAsia="Times New Roman" w:cs="Times New Roman"/>
                <w:b/>
                <w:sz w:val="10"/>
              </w:rPr>
            </w:pPr>
          </w:p>
        </w:tc>
        <w:tc>
          <w:tcPr>
            <w:tcW w:w="1640" w:type="dxa"/>
            <w:tcBorders>
              <w:left w:val="single" w:sz="8" w:space="0" w:color="auto"/>
              <w:right w:val="single" w:sz="8" w:space="0" w:color="auto"/>
            </w:tcBorders>
            <w:shd w:val="clear" w:color="auto" w:fill="auto"/>
            <w:vAlign w:val="bottom"/>
          </w:tcPr>
          <w:p w14:paraId="03DEB26A" w14:textId="77777777" w:rsidR="00A52778" w:rsidRPr="00460F9E" w:rsidRDefault="00A52778" w:rsidP="00FC3F8E">
            <w:pPr>
              <w:spacing w:line="0" w:lineRule="atLeast"/>
              <w:rPr>
                <w:rFonts w:eastAsia="Times New Roman" w:cs="Times New Roman"/>
                <w:b/>
                <w:sz w:val="10"/>
              </w:rPr>
            </w:pPr>
          </w:p>
        </w:tc>
        <w:tc>
          <w:tcPr>
            <w:tcW w:w="1240" w:type="dxa"/>
            <w:vMerge/>
            <w:tcBorders>
              <w:right w:val="single" w:sz="8" w:space="0" w:color="auto"/>
            </w:tcBorders>
            <w:shd w:val="clear" w:color="auto" w:fill="auto"/>
            <w:vAlign w:val="bottom"/>
          </w:tcPr>
          <w:p w14:paraId="116F3499" w14:textId="77777777" w:rsidR="00A52778" w:rsidRPr="00460F9E" w:rsidRDefault="00A52778" w:rsidP="00FC3F8E">
            <w:pPr>
              <w:spacing w:line="0" w:lineRule="atLeast"/>
              <w:jc w:val="center"/>
              <w:rPr>
                <w:rFonts w:eastAsia="Times New Roman" w:cs="Times New Roman"/>
                <w:b/>
                <w:sz w:val="10"/>
              </w:rPr>
            </w:pPr>
          </w:p>
        </w:tc>
        <w:tc>
          <w:tcPr>
            <w:tcW w:w="1920" w:type="dxa"/>
            <w:tcBorders>
              <w:right w:val="single" w:sz="8" w:space="0" w:color="auto"/>
            </w:tcBorders>
            <w:shd w:val="clear" w:color="auto" w:fill="auto"/>
            <w:vAlign w:val="bottom"/>
          </w:tcPr>
          <w:p w14:paraId="72418BE0" w14:textId="77777777" w:rsidR="00A52778" w:rsidRPr="00460F9E" w:rsidRDefault="00A52778" w:rsidP="00FC3F8E">
            <w:pPr>
              <w:spacing w:line="0" w:lineRule="atLeast"/>
              <w:rPr>
                <w:rFonts w:eastAsia="Times New Roman" w:cs="Times New Roman"/>
                <w:b/>
                <w:sz w:val="10"/>
              </w:rPr>
            </w:pPr>
          </w:p>
        </w:tc>
        <w:tc>
          <w:tcPr>
            <w:tcW w:w="1260" w:type="dxa"/>
            <w:vMerge/>
            <w:tcBorders>
              <w:right w:val="single" w:sz="8" w:space="0" w:color="auto"/>
            </w:tcBorders>
            <w:shd w:val="clear" w:color="auto" w:fill="auto"/>
            <w:vAlign w:val="bottom"/>
          </w:tcPr>
          <w:p w14:paraId="579FF65A" w14:textId="77777777" w:rsidR="00A52778" w:rsidRPr="00460F9E" w:rsidRDefault="00A52778" w:rsidP="00FC3F8E">
            <w:pPr>
              <w:spacing w:line="0" w:lineRule="atLeast"/>
              <w:jc w:val="center"/>
              <w:rPr>
                <w:rFonts w:eastAsia="Times New Roman" w:cs="Times New Roman"/>
                <w:b/>
                <w:w w:val="90"/>
              </w:rPr>
            </w:pPr>
          </w:p>
        </w:tc>
        <w:tc>
          <w:tcPr>
            <w:tcW w:w="1380" w:type="dxa"/>
            <w:vMerge/>
            <w:tcBorders>
              <w:right w:val="single" w:sz="8" w:space="0" w:color="auto"/>
            </w:tcBorders>
            <w:shd w:val="clear" w:color="auto" w:fill="auto"/>
            <w:vAlign w:val="bottom"/>
          </w:tcPr>
          <w:p w14:paraId="2EBABCC7" w14:textId="77777777" w:rsidR="00A52778" w:rsidRPr="00460F9E" w:rsidRDefault="00A52778" w:rsidP="00FC3F8E">
            <w:pPr>
              <w:spacing w:line="0" w:lineRule="atLeast"/>
              <w:rPr>
                <w:rFonts w:eastAsia="Times New Roman" w:cs="Times New Roman"/>
                <w:b/>
                <w:sz w:val="10"/>
              </w:rPr>
            </w:pPr>
          </w:p>
        </w:tc>
      </w:tr>
      <w:tr w:rsidR="00A52778" w:rsidRPr="00460F9E" w14:paraId="2C55A459" w14:textId="77777777" w:rsidTr="00FC3F8E">
        <w:trPr>
          <w:trHeight w:val="188"/>
        </w:trPr>
        <w:tc>
          <w:tcPr>
            <w:tcW w:w="1840" w:type="dxa"/>
            <w:gridSpan w:val="3"/>
            <w:vMerge/>
            <w:tcBorders>
              <w:left w:val="single" w:sz="8" w:space="0" w:color="auto"/>
              <w:right w:val="single" w:sz="8" w:space="0" w:color="auto"/>
            </w:tcBorders>
            <w:shd w:val="clear" w:color="auto" w:fill="auto"/>
            <w:vAlign w:val="bottom"/>
          </w:tcPr>
          <w:p w14:paraId="1F2DF16A" w14:textId="77777777" w:rsidR="00A52778" w:rsidRPr="00460F9E" w:rsidRDefault="00A52778" w:rsidP="00FC3F8E">
            <w:pPr>
              <w:spacing w:line="208" w:lineRule="exact"/>
              <w:ind w:right="480"/>
              <w:jc w:val="center"/>
              <w:rPr>
                <w:rFonts w:eastAsia="Times New Roman" w:cs="Times New Roman"/>
                <w:b/>
                <w:sz w:val="16"/>
              </w:rPr>
            </w:pPr>
          </w:p>
        </w:tc>
        <w:tc>
          <w:tcPr>
            <w:tcW w:w="1640" w:type="dxa"/>
            <w:tcBorders>
              <w:left w:val="single" w:sz="8" w:space="0" w:color="auto"/>
              <w:right w:val="single" w:sz="8" w:space="0" w:color="auto"/>
            </w:tcBorders>
            <w:shd w:val="clear" w:color="auto" w:fill="auto"/>
            <w:vAlign w:val="bottom"/>
          </w:tcPr>
          <w:p w14:paraId="40934095" w14:textId="77777777" w:rsidR="00A52778" w:rsidRPr="00460F9E" w:rsidRDefault="00A52778" w:rsidP="00FC3F8E">
            <w:pPr>
              <w:spacing w:line="0" w:lineRule="atLeast"/>
              <w:rPr>
                <w:rFonts w:eastAsia="Times New Roman" w:cs="Times New Roman"/>
                <w:b/>
                <w:sz w:val="16"/>
              </w:rPr>
            </w:pPr>
          </w:p>
        </w:tc>
        <w:tc>
          <w:tcPr>
            <w:tcW w:w="1240" w:type="dxa"/>
            <w:vMerge/>
            <w:tcBorders>
              <w:right w:val="single" w:sz="8" w:space="0" w:color="auto"/>
            </w:tcBorders>
            <w:shd w:val="clear" w:color="auto" w:fill="auto"/>
            <w:vAlign w:val="bottom"/>
          </w:tcPr>
          <w:p w14:paraId="6C215C22" w14:textId="77777777" w:rsidR="00A52778" w:rsidRPr="00460F9E" w:rsidRDefault="00A52778" w:rsidP="00FC3F8E">
            <w:pPr>
              <w:spacing w:line="0" w:lineRule="atLeast"/>
              <w:jc w:val="center"/>
              <w:rPr>
                <w:rFonts w:eastAsia="Times New Roman" w:cs="Times New Roman"/>
                <w:b/>
                <w:w w:val="99"/>
              </w:rPr>
            </w:pPr>
          </w:p>
        </w:tc>
        <w:tc>
          <w:tcPr>
            <w:tcW w:w="1920" w:type="dxa"/>
            <w:tcBorders>
              <w:right w:val="single" w:sz="8" w:space="0" w:color="auto"/>
            </w:tcBorders>
            <w:shd w:val="clear" w:color="auto" w:fill="auto"/>
            <w:vAlign w:val="bottom"/>
          </w:tcPr>
          <w:p w14:paraId="56D8738B" w14:textId="77777777" w:rsidR="00A52778" w:rsidRPr="00460F9E" w:rsidRDefault="00A52778" w:rsidP="00FC3F8E">
            <w:pPr>
              <w:spacing w:line="0" w:lineRule="atLeast"/>
              <w:rPr>
                <w:rFonts w:eastAsia="Times New Roman" w:cs="Times New Roman"/>
                <w:b/>
                <w:sz w:val="16"/>
              </w:rPr>
            </w:pPr>
          </w:p>
        </w:tc>
        <w:tc>
          <w:tcPr>
            <w:tcW w:w="1260" w:type="dxa"/>
            <w:vMerge/>
            <w:tcBorders>
              <w:right w:val="single" w:sz="8" w:space="0" w:color="auto"/>
            </w:tcBorders>
            <w:shd w:val="clear" w:color="auto" w:fill="auto"/>
            <w:vAlign w:val="bottom"/>
          </w:tcPr>
          <w:p w14:paraId="48D58A9D" w14:textId="77777777" w:rsidR="00A52778" w:rsidRPr="00460F9E" w:rsidRDefault="00A52778" w:rsidP="00FC3F8E">
            <w:pPr>
              <w:spacing w:line="0" w:lineRule="atLeast"/>
              <w:rPr>
                <w:rFonts w:eastAsia="Times New Roman" w:cs="Times New Roman"/>
                <w:b/>
                <w:sz w:val="16"/>
              </w:rPr>
            </w:pPr>
          </w:p>
        </w:tc>
        <w:tc>
          <w:tcPr>
            <w:tcW w:w="1380" w:type="dxa"/>
            <w:vMerge/>
            <w:tcBorders>
              <w:right w:val="single" w:sz="8" w:space="0" w:color="auto"/>
            </w:tcBorders>
            <w:shd w:val="clear" w:color="auto" w:fill="auto"/>
            <w:vAlign w:val="bottom"/>
          </w:tcPr>
          <w:p w14:paraId="43339130" w14:textId="77777777" w:rsidR="00A52778" w:rsidRPr="00460F9E" w:rsidRDefault="00A52778" w:rsidP="00FC3F8E">
            <w:pPr>
              <w:spacing w:line="0" w:lineRule="atLeast"/>
              <w:rPr>
                <w:rFonts w:eastAsia="Times New Roman" w:cs="Times New Roman"/>
                <w:b/>
                <w:sz w:val="16"/>
              </w:rPr>
            </w:pPr>
          </w:p>
        </w:tc>
      </w:tr>
      <w:tr w:rsidR="00A52778" w:rsidRPr="00460F9E" w14:paraId="583A31D5" w14:textId="77777777" w:rsidTr="00FC3F8E">
        <w:trPr>
          <w:trHeight w:val="45"/>
        </w:trPr>
        <w:tc>
          <w:tcPr>
            <w:tcW w:w="1840" w:type="dxa"/>
            <w:gridSpan w:val="3"/>
            <w:vMerge/>
            <w:tcBorders>
              <w:left w:val="single" w:sz="8" w:space="0" w:color="auto"/>
              <w:right w:val="single" w:sz="8" w:space="0" w:color="auto"/>
            </w:tcBorders>
            <w:shd w:val="clear" w:color="auto" w:fill="auto"/>
            <w:vAlign w:val="bottom"/>
          </w:tcPr>
          <w:p w14:paraId="6C8EAFDD" w14:textId="77777777" w:rsidR="00A52778" w:rsidRPr="00460F9E" w:rsidRDefault="00A52778" w:rsidP="00FC3F8E">
            <w:pPr>
              <w:spacing w:line="208" w:lineRule="exact"/>
              <w:ind w:right="480"/>
              <w:jc w:val="center"/>
              <w:rPr>
                <w:rFonts w:eastAsia="Times New Roman" w:cs="Times New Roman"/>
                <w:b/>
                <w:sz w:val="3"/>
              </w:rPr>
            </w:pPr>
          </w:p>
        </w:tc>
        <w:tc>
          <w:tcPr>
            <w:tcW w:w="1640" w:type="dxa"/>
            <w:tcBorders>
              <w:left w:val="single" w:sz="8" w:space="0" w:color="auto"/>
              <w:bottom w:val="single" w:sz="8" w:space="0" w:color="auto"/>
              <w:right w:val="single" w:sz="8" w:space="0" w:color="auto"/>
            </w:tcBorders>
            <w:shd w:val="clear" w:color="auto" w:fill="auto"/>
            <w:vAlign w:val="bottom"/>
          </w:tcPr>
          <w:p w14:paraId="38FDA0B4" w14:textId="77777777" w:rsidR="00A52778" w:rsidRPr="00460F9E" w:rsidRDefault="00A52778" w:rsidP="00FC3F8E">
            <w:pPr>
              <w:spacing w:line="0" w:lineRule="atLeast"/>
              <w:rPr>
                <w:rFonts w:eastAsia="Times New Roman" w:cs="Times New Roman"/>
                <w:b/>
                <w:sz w:val="3"/>
              </w:rPr>
            </w:pPr>
          </w:p>
        </w:tc>
        <w:tc>
          <w:tcPr>
            <w:tcW w:w="1240" w:type="dxa"/>
            <w:vMerge/>
            <w:tcBorders>
              <w:bottom w:val="single" w:sz="8" w:space="0" w:color="auto"/>
              <w:right w:val="single" w:sz="8" w:space="0" w:color="auto"/>
            </w:tcBorders>
            <w:shd w:val="clear" w:color="auto" w:fill="auto"/>
            <w:vAlign w:val="bottom"/>
          </w:tcPr>
          <w:p w14:paraId="750AF71F" w14:textId="77777777" w:rsidR="00A52778" w:rsidRPr="00460F9E" w:rsidRDefault="00A52778" w:rsidP="00FC3F8E">
            <w:pPr>
              <w:spacing w:line="0" w:lineRule="atLeast"/>
              <w:rPr>
                <w:rFonts w:eastAsia="Times New Roman" w:cs="Times New Roman"/>
                <w:b/>
                <w:sz w:val="3"/>
              </w:rPr>
            </w:pPr>
          </w:p>
        </w:tc>
        <w:tc>
          <w:tcPr>
            <w:tcW w:w="1920" w:type="dxa"/>
            <w:tcBorders>
              <w:bottom w:val="single" w:sz="8" w:space="0" w:color="auto"/>
              <w:right w:val="single" w:sz="8" w:space="0" w:color="auto"/>
            </w:tcBorders>
            <w:shd w:val="clear" w:color="auto" w:fill="auto"/>
            <w:vAlign w:val="bottom"/>
          </w:tcPr>
          <w:p w14:paraId="40B76961" w14:textId="77777777" w:rsidR="00A52778" w:rsidRPr="00460F9E" w:rsidRDefault="00A52778" w:rsidP="00FC3F8E">
            <w:pPr>
              <w:spacing w:line="0" w:lineRule="atLeast"/>
              <w:rPr>
                <w:rFonts w:eastAsia="Times New Roman" w:cs="Times New Roman"/>
                <w:b/>
                <w:sz w:val="3"/>
              </w:rPr>
            </w:pPr>
          </w:p>
        </w:tc>
        <w:tc>
          <w:tcPr>
            <w:tcW w:w="1260" w:type="dxa"/>
            <w:vMerge/>
            <w:tcBorders>
              <w:bottom w:val="single" w:sz="8" w:space="0" w:color="auto"/>
              <w:right w:val="single" w:sz="8" w:space="0" w:color="auto"/>
            </w:tcBorders>
            <w:shd w:val="clear" w:color="auto" w:fill="auto"/>
            <w:vAlign w:val="bottom"/>
          </w:tcPr>
          <w:p w14:paraId="575297A9" w14:textId="77777777" w:rsidR="00A52778" w:rsidRPr="00460F9E" w:rsidRDefault="00A52778" w:rsidP="00FC3F8E">
            <w:pPr>
              <w:spacing w:line="0" w:lineRule="atLeast"/>
              <w:rPr>
                <w:rFonts w:eastAsia="Times New Roman" w:cs="Times New Roman"/>
                <w:b/>
                <w:sz w:val="3"/>
              </w:rPr>
            </w:pPr>
          </w:p>
        </w:tc>
        <w:tc>
          <w:tcPr>
            <w:tcW w:w="1380" w:type="dxa"/>
            <w:vMerge/>
            <w:tcBorders>
              <w:bottom w:val="single" w:sz="8" w:space="0" w:color="auto"/>
              <w:right w:val="single" w:sz="8" w:space="0" w:color="auto"/>
            </w:tcBorders>
            <w:shd w:val="clear" w:color="auto" w:fill="auto"/>
            <w:vAlign w:val="bottom"/>
          </w:tcPr>
          <w:p w14:paraId="16911E0A" w14:textId="77777777" w:rsidR="00A52778" w:rsidRPr="00460F9E" w:rsidRDefault="00A52778" w:rsidP="00FC3F8E">
            <w:pPr>
              <w:spacing w:line="0" w:lineRule="atLeast"/>
              <w:rPr>
                <w:rFonts w:eastAsia="Times New Roman" w:cs="Times New Roman"/>
                <w:b/>
                <w:sz w:val="3"/>
              </w:rPr>
            </w:pPr>
          </w:p>
        </w:tc>
      </w:tr>
      <w:tr w:rsidR="00A52778" w:rsidRPr="00460F9E" w14:paraId="1D4767A9" w14:textId="77777777" w:rsidTr="00FC3F8E">
        <w:trPr>
          <w:trHeight w:val="920"/>
        </w:trPr>
        <w:tc>
          <w:tcPr>
            <w:tcW w:w="1840" w:type="dxa"/>
            <w:gridSpan w:val="3"/>
            <w:vMerge/>
            <w:tcBorders>
              <w:left w:val="single" w:sz="8" w:space="0" w:color="auto"/>
              <w:bottom w:val="nil"/>
              <w:right w:val="single" w:sz="8" w:space="0" w:color="auto"/>
            </w:tcBorders>
            <w:shd w:val="clear" w:color="auto" w:fill="auto"/>
            <w:vAlign w:val="bottom"/>
          </w:tcPr>
          <w:p w14:paraId="4B96AE2A" w14:textId="77777777" w:rsidR="00A52778" w:rsidRPr="00460F9E" w:rsidRDefault="00A52778" w:rsidP="00FC3F8E">
            <w:pPr>
              <w:spacing w:line="208" w:lineRule="exact"/>
              <w:ind w:right="480"/>
              <w:jc w:val="center"/>
              <w:rPr>
                <w:rFonts w:eastAsia="Times New Roman" w:cs="Times New Roman"/>
                <w:b/>
                <w:sz w:val="18"/>
              </w:rPr>
            </w:pPr>
          </w:p>
        </w:tc>
        <w:tc>
          <w:tcPr>
            <w:tcW w:w="1640" w:type="dxa"/>
            <w:vMerge w:val="restart"/>
            <w:tcBorders>
              <w:left w:val="single" w:sz="8" w:space="0" w:color="auto"/>
              <w:bottom w:val="nil"/>
              <w:right w:val="single" w:sz="8" w:space="0" w:color="auto"/>
            </w:tcBorders>
            <w:shd w:val="clear" w:color="auto" w:fill="auto"/>
            <w:vAlign w:val="center"/>
          </w:tcPr>
          <w:p w14:paraId="6EA46FC6" w14:textId="77777777" w:rsidR="00A52778" w:rsidRPr="00460F9E" w:rsidRDefault="00A52778" w:rsidP="00FC3F8E">
            <w:pPr>
              <w:spacing w:line="0" w:lineRule="atLeast"/>
              <w:jc w:val="center"/>
              <w:rPr>
                <w:rFonts w:eastAsia="Times New Roman" w:cs="Times New Roman"/>
                <w:b/>
                <w:w w:val="98"/>
              </w:rPr>
            </w:pPr>
            <w:r w:rsidRPr="00460F9E">
              <w:rPr>
                <w:rFonts w:eastAsia="Times New Roman" w:cs="Times New Roman"/>
                <w:w w:val="98"/>
              </w:rPr>
              <w:t>Proses</w:t>
            </w:r>
          </w:p>
          <w:p w14:paraId="3560FC10" w14:textId="77777777" w:rsidR="00A52778" w:rsidRPr="00460F9E" w:rsidRDefault="00A52778" w:rsidP="00FC3F8E">
            <w:pPr>
              <w:spacing w:line="208" w:lineRule="exact"/>
              <w:jc w:val="center"/>
              <w:rPr>
                <w:rFonts w:eastAsia="Times New Roman" w:cs="Times New Roman"/>
                <w:b/>
                <w:sz w:val="18"/>
              </w:rPr>
            </w:pPr>
            <w:r w:rsidRPr="00460F9E">
              <w:rPr>
                <w:rFonts w:eastAsia="Times New Roman" w:cs="Times New Roman"/>
                <w:w w:val="98"/>
              </w:rPr>
              <w:t>fırınları/ısıtıcıları</w:t>
            </w:r>
          </w:p>
        </w:tc>
        <w:tc>
          <w:tcPr>
            <w:tcW w:w="1240" w:type="dxa"/>
            <w:tcBorders>
              <w:bottom w:val="single" w:sz="4" w:space="0" w:color="auto"/>
              <w:right w:val="single" w:sz="8" w:space="0" w:color="auto"/>
            </w:tcBorders>
            <w:shd w:val="clear" w:color="auto" w:fill="auto"/>
            <w:vAlign w:val="bottom"/>
          </w:tcPr>
          <w:p w14:paraId="64B2B279" w14:textId="77777777" w:rsidR="00A52778" w:rsidRPr="00460F9E" w:rsidRDefault="00A52778" w:rsidP="00FC3F8E">
            <w:pPr>
              <w:spacing w:line="219" w:lineRule="exact"/>
              <w:jc w:val="center"/>
              <w:rPr>
                <w:rFonts w:eastAsia="Times New Roman" w:cs="Times New Roman"/>
                <w:b/>
                <w:w w:val="99"/>
              </w:rPr>
            </w:pPr>
            <w:r w:rsidRPr="00460F9E">
              <w:rPr>
                <w:rFonts w:eastAsia="Times New Roman" w:cs="Times New Roman"/>
                <w:w w:val="99"/>
              </w:rPr>
              <w:t>CO kütle akışı 2 kg/saat olan herhangi bir baca</w:t>
            </w:r>
          </w:p>
        </w:tc>
        <w:tc>
          <w:tcPr>
            <w:tcW w:w="1920" w:type="dxa"/>
            <w:tcBorders>
              <w:bottom w:val="single" w:sz="4" w:space="0" w:color="auto"/>
              <w:right w:val="single" w:sz="8" w:space="0" w:color="auto"/>
            </w:tcBorders>
            <w:shd w:val="clear" w:color="auto" w:fill="auto"/>
            <w:vAlign w:val="center"/>
          </w:tcPr>
          <w:p w14:paraId="3675C2CB"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Genel EN</w:t>
            </w:r>
          </w:p>
          <w:p w14:paraId="5EBEC2BB" w14:textId="77777777" w:rsidR="00A52778" w:rsidRPr="00460F9E" w:rsidRDefault="00A52778" w:rsidP="00FC3F8E">
            <w:pPr>
              <w:spacing w:line="223" w:lineRule="exact"/>
              <w:jc w:val="center"/>
              <w:rPr>
                <w:rFonts w:eastAsia="Times New Roman" w:cs="Times New Roman"/>
                <w:b/>
                <w:sz w:val="18"/>
              </w:rPr>
            </w:pPr>
            <w:r w:rsidRPr="00460F9E">
              <w:rPr>
                <w:rFonts w:eastAsia="Times New Roman" w:cs="Times New Roman"/>
                <w:w w:val="97"/>
              </w:rPr>
              <w:t>standartları (</w:t>
            </w:r>
            <w:r w:rsidRPr="00460F9E">
              <w:rPr>
                <w:rFonts w:eastAsia="Times New Roman" w:cs="Times New Roman"/>
                <w:w w:val="97"/>
                <w:vertAlign w:val="superscript"/>
              </w:rPr>
              <w:t>5</w:t>
            </w:r>
            <w:r w:rsidRPr="00460F9E">
              <w:rPr>
                <w:rFonts w:eastAsia="Times New Roman" w:cs="Times New Roman"/>
                <w:w w:val="97"/>
              </w:rPr>
              <w:t>)</w:t>
            </w:r>
          </w:p>
        </w:tc>
        <w:tc>
          <w:tcPr>
            <w:tcW w:w="1260" w:type="dxa"/>
            <w:tcBorders>
              <w:bottom w:val="single" w:sz="4" w:space="0" w:color="auto"/>
              <w:right w:val="single" w:sz="8" w:space="0" w:color="auto"/>
            </w:tcBorders>
            <w:shd w:val="clear" w:color="auto" w:fill="auto"/>
            <w:vAlign w:val="center"/>
          </w:tcPr>
          <w:p w14:paraId="574169BB"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Sürekli</w:t>
            </w:r>
          </w:p>
          <w:p w14:paraId="0382170F" w14:textId="77777777" w:rsidR="00A52778" w:rsidRPr="00460F9E" w:rsidRDefault="00A52778" w:rsidP="00FC3F8E">
            <w:pPr>
              <w:spacing w:line="223" w:lineRule="exact"/>
              <w:jc w:val="center"/>
              <w:rPr>
                <w:rFonts w:eastAsia="Times New Roman" w:cs="Times New Roman"/>
                <w:b/>
                <w:sz w:val="18"/>
              </w:rPr>
            </w:pPr>
            <w:r w:rsidRPr="00460F9E">
              <w:rPr>
                <w:rFonts w:eastAsia="Times New Roman" w:cs="Times New Roman"/>
                <w:w w:val="92"/>
              </w:rPr>
              <w:t>(</w:t>
            </w:r>
            <w:r w:rsidRPr="00460F9E">
              <w:rPr>
                <w:rFonts w:eastAsia="Times New Roman" w:cs="Times New Roman"/>
                <w:w w:val="92"/>
                <w:sz w:val="25"/>
                <w:vertAlign w:val="superscript"/>
              </w:rPr>
              <w:t>6</w:t>
            </w:r>
            <w:r w:rsidRPr="00460F9E">
              <w:rPr>
                <w:rFonts w:eastAsia="Times New Roman" w:cs="Times New Roman"/>
                <w:w w:val="92"/>
              </w:rPr>
              <w:t>)</w:t>
            </w:r>
          </w:p>
        </w:tc>
        <w:tc>
          <w:tcPr>
            <w:tcW w:w="1380" w:type="dxa"/>
            <w:vMerge w:val="restart"/>
            <w:tcBorders>
              <w:bottom w:val="nil"/>
              <w:right w:val="single" w:sz="8" w:space="0" w:color="auto"/>
            </w:tcBorders>
            <w:shd w:val="clear" w:color="auto" w:fill="auto"/>
            <w:vAlign w:val="center"/>
          </w:tcPr>
          <w:p w14:paraId="30BB520C" w14:textId="77777777" w:rsidR="00A52778" w:rsidRPr="00460F9E" w:rsidRDefault="002A1746" w:rsidP="00FC3F8E">
            <w:pPr>
              <w:spacing w:line="0" w:lineRule="atLeast"/>
              <w:jc w:val="center"/>
              <w:rPr>
                <w:rFonts w:eastAsia="Times New Roman" w:cs="Times New Roman"/>
                <w:b/>
                <w:sz w:val="18"/>
              </w:rPr>
            </w:pPr>
            <w:hyperlink w:anchor="page329" w:history="1">
              <w:r w:rsidR="00A52778" w:rsidRPr="00460F9E">
                <w:rPr>
                  <w:rFonts w:cs="Times New Roman"/>
                </w:rPr>
                <w:t xml:space="preserve"> </w:t>
              </w:r>
              <w:r w:rsidR="00A52778" w:rsidRPr="00460F9E">
                <w:rPr>
                  <w:rFonts w:eastAsia="Times New Roman" w:cs="Times New Roman"/>
                </w:rPr>
                <w:t>MET 36</w:t>
              </w:r>
            </w:hyperlink>
          </w:p>
        </w:tc>
      </w:tr>
      <w:tr w:rsidR="00A52778" w:rsidRPr="00460F9E" w14:paraId="7400078B" w14:textId="77777777" w:rsidTr="00FC3F8E">
        <w:trPr>
          <w:trHeight w:val="93"/>
        </w:trPr>
        <w:tc>
          <w:tcPr>
            <w:tcW w:w="1840" w:type="dxa"/>
            <w:gridSpan w:val="3"/>
            <w:vMerge/>
            <w:tcBorders>
              <w:left w:val="single" w:sz="8" w:space="0" w:color="auto"/>
              <w:right w:val="single" w:sz="8" w:space="0" w:color="auto"/>
            </w:tcBorders>
            <w:shd w:val="clear" w:color="auto" w:fill="auto"/>
            <w:vAlign w:val="bottom"/>
          </w:tcPr>
          <w:p w14:paraId="576074F1" w14:textId="77777777" w:rsidR="00A52778" w:rsidRPr="00460F9E" w:rsidRDefault="00A52778" w:rsidP="00FC3F8E">
            <w:pPr>
              <w:spacing w:line="208" w:lineRule="exact"/>
              <w:ind w:right="480"/>
              <w:jc w:val="center"/>
              <w:rPr>
                <w:rFonts w:eastAsia="Times New Roman" w:cs="Times New Roman"/>
                <w:b/>
              </w:rPr>
            </w:pPr>
          </w:p>
        </w:tc>
        <w:tc>
          <w:tcPr>
            <w:tcW w:w="1640" w:type="dxa"/>
            <w:vMerge/>
            <w:tcBorders>
              <w:left w:val="single" w:sz="8" w:space="0" w:color="auto"/>
              <w:right w:val="single" w:sz="8" w:space="0" w:color="auto"/>
            </w:tcBorders>
            <w:shd w:val="clear" w:color="auto" w:fill="auto"/>
            <w:vAlign w:val="bottom"/>
          </w:tcPr>
          <w:p w14:paraId="2A732462" w14:textId="77777777" w:rsidR="00A52778" w:rsidRPr="00460F9E" w:rsidRDefault="00A52778" w:rsidP="00FC3F8E">
            <w:pPr>
              <w:spacing w:line="208" w:lineRule="exact"/>
              <w:jc w:val="center"/>
              <w:rPr>
                <w:rFonts w:eastAsia="Times New Roman" w:cs="Times New Roman"/>
                <w:b/>
                <w:w w:val="98"/>
              </w:rPr>
            </w:pPr>
          </w:p>
        </w:tc>
        <w:tc>
          <w:tcPr>
            <w:tcW w:w="1240" w:type="dxa"/>
            <w:vMerge w:val="restart"/>
            <w:tcBorders>
              <w:top w:val="single" w:sz="4" w:space="0" w:color="auto"/>
              <w:right w:val="single" w:sz="8" w:space="0" w:color="auto"/>
            </w:tcBorders>
            <w:shd w:val="clear" w:color="auto" w:fill="auto"/>
            <w:vAlign w:val="bottom"/>
          </w:tcPr>
          <w:p w14:paraId="1E478D7C"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CO kütle akışı &lt; 2 kg/saat olan herhangi bir baca</w:t>
            </w:r>
          </w:p>
        </w:tc>
        <w:tc>
          <w:tcPr>
            <w:tcW w:w="1920" w:type="dxa"/>
            <w:tcBorders>
              <w:top w:val="single" w:sz="4" w:space="0" w:color="auto"/>
              <w:right w:val="single" w:sz="8" w:space="0" w:color="auto"/>
            </w:tcBorders>
            <w:shd w:val="clear" w:color="auto" w:fill="auto"/>
            <w:vAlign w:val="bottom"/>
          </w:tcPr>
          <w:p w14:paraId="3A0B8545" w14:textId="77777777" w:rsidR="00A52778" w:rsidRPr="00460F9E" w:rsidRDefault="00A52778" w:rsidP="00FC3F8E">
            <w:pPr>
              <w:spacing w:line="0" w:lineRule="atLeast"/>
              <w:rPr>
                <w:rFonts w:eastAsia="Times New Roman" w:cs="Times New Roman"/>
                <w:b/>
                <w:sz w:val="8"/>
              </w:rPr>
            </w:pPr>
          </w:p>
        </w:tc>
        <w:tc>
          <w:tcPr>
            <w:tcW w:w="1260" w:type="dxa"/>
            <w:vMerge w:val="restart"/>
            <w:tcBorders>
              <w:top w:val="single" w:sz="4" w:space="0" w:color="auto"/>
              <w:right w:val="single" w:sz="8" w:space="0" w:color="auto"/>
            </w:tcBorders>
            <w:shd w:val="clear" w:color="auto" w:fill="auto"/>
            <w:vAlign w:val="center"/>
          </w:tcPr>
          <w:p w14:paraId="67047CE2"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Her 6 ayda    bir kere</w:t>
            </w:r>
          </w:p>
          <w:p w14:paraId="3237DB9E"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w w:val="90"/>
              </w:rPr>
              <w:t>(</w:t>
            </w:r>
            <w:r w:rsidRPr="00460F9E">
              <w:rPr>
                <w:rFonts w:eastAsia="Times New Roman" w:cs="Times New Roman"/>
                <w:w w:val="90"/>
                <w:sz w:val="25"/>
                <w:vertAlign w:val="superscript"/>
              </w:rPr>
              <w:t>3</w:t>
            </w:r>
            <w:r w:rsidRPr="00460F9E">
              <w:rPr>
                <w:rFonts w:eastAsia="Times New Roman" w:cs="Times New Roman"/>
                <w:w w:val="90"/>
              </w:rPr>
              <w:t>) (</w:t>
            </w:r>
            <w:r w:rsidRPr="00460F9E">
              <w:rPr>
                <w:rFonts w:eastAsia="Times New Roman" w:cs="Times New Roman"/>
                <w:w w:val="90"/>
                <w:sz w:val="25"/>
                <w:vertAlign w:val="superscript"/>
              </w:rPr>
              <w:t>4</w:t>
            </w:r>
            <w:r w:rsidRPr="00460F9E">
              <w:rPr>
                <w:rFonts w:eastAsia="Times New Roman" w:cs="Times New Roman"/>
                <w:w w:val="90"/>
              </w:rPr>
              <w:t>)</w:t>
            </w:r>
          </w:p>
        </w:tc>
        <w:tc>
          <w:tcPr>
            <w:tcW w:w="1380" w:type="dxa"/>
            <w:vMerge/>
            <w:tcBorders>
              <w:right w:val="single" w:sz="8" w:space="0" w:color="auto"/>
            </w:tcBorders>
            <w:shd w:val="clear" w:color="auto" w:fill="auto"/>
            <w:vAlign w:val="bottom"/>
          </w:tcPr>
          <w:p w14:paraId="23F11D5C" w14:textId="77777777" w:rsidR="00A52778" w:rsidRPr="00460F9E" w:rsidRDefault="00A52778" w:rsidP="00FC3F8E">
            <w:pPr>
              <w:spacing w:line="0" w:lineRule="atLeast"/>
              <w:rPr>
                <w:rFonts w:eastAsia="Times New Roman" w:cs="Times New Roman"/>
                <w:b/>
                <w:sz w:val="8"/>
              </w:rPr>
            </w:pPr>
          </w:p>
        </w:tc>
      </w:tr>
      <w:tr w:rsidR="00A52778" w:rsidRPr="00460F9E" w14:paraId="1C1B7F95" w14:textId="77777777" w:rsidTr="00FC3F8E">
        <w:trPr>
          <w:trHeight w:val="127"/>
        </w:trPr>
        <w:tc>
          <w:tcPr>
            <w:tcW w:w="1840" w:type="dxa"/>
            <w:gridSpan w:val="3"/>
            <w:vMerge/>
            <w:tcBorders>
              <w:left w:val="single" w:sz="8" w:space="0" w:color="auto"/>
              <w:right w:val="single" w:sz="8" w:space="0" w:color="auto"/>
            </w:tcBorders>
            <w:shd w:val="clear" w:color="auto" w:fill="auto"/>
            <w:vAlign w:val="bottom"/>
          </w:tcPr>
          <w:p w14:paraId="402E5762" w14:textId="77777777" w:rsidR="00A52778" w:rsidRPr="00460F9E" w:rsidRDefault="00A52778" w:rsidP="00FC3F8E">
            <w:pPr>
              <w:spacing w:line="0" w:lineRule="atLeast"/>
              <w:rPr>
                <w:rFonts w:eastAsia="Times New Roman" w:cs="Times New Roman"/>
                <w:b/>
                <w:sz w:val="11"/>
              </w:rPr>
            </w:pPr>
          </w:p>
        </w:tc>
        <w:tc>
          <w:tcPr>
            <w:tcW w:w="1640" w:type="dxa"/>
            <w:vMerge/>
            <w:tcBorders>
              <w:left w:val="single" w:sz="8" w:space="0" w:color="auto"/>
              <w:right w:val="single" w:sz="8" w:space="0" w:color="auto"/>
            </w:tcBorders>
            <w:shd w:val="clear" w:color="auto" w:fill="auto"/>
            <w:vAlign w:val="bottom"/>
          </w:tcPr>
          <w:p w14:paraId="4CDB160E" w14:textId="77777777" w:rsidR="00A52778" w:rsidRPr="00460F9E" w:rsidRDefault="00A52778" w:rsidP="00FC3F8E">
            <w:pPr>
              <w:spacing w:line="0" w:lineRule="atLeast"/>
              <w:rPr>
                <w:rFonts w:eastAsia="Times New Roman" w:cs="Times New Roman"/>
                <w:b/>
                <w:sz w:val="11"/>
              </w:rPr>
            </w:pPr>
          </w:p>
        </w:tc>
        <w:tc>
          <w:tcPr>
            <w:tcW w:w="1240" w:type="dxa"/>
            <w:vMerge/>
            <w:tcBorders>
              <w:right w:val="single" w:sz="8" w:space="0" w:color="auto"/>
            </w:tcBorders>
            <w:shd w:val="clear" w:color="auto" w:fill="auto"/>
            <w:vAlign w:val="bottom"/>
          </w:tcPr>
          <w:p w14:paraId="0BE9ED8F" w14:textId="77777777" w:rsidR="00A52778" w:rsidRPr="00460F9E" w:rsidRDefault="00A52778" w:rsidP="00FC3F8E">
            <w:pPr>
              <w:spacing w:line="0" w:lineRule="atLeast"/>
              <w:jc w:val="center"/>
              <w:rPr>
                <w:rFonts w:eastAsia="Times New Roman" w:cs="Times New Roman"/>
                <w:b/>
                <w:sz w:val="11"/>
              </w:rPr>
            </w:pPr>
          </w:p>
        </w:tc>
        <w:tc>
          <w:tcPr>
            <w:tcW w:w="1920" w:type="dxa"/>
            <w:tcBorders>
              <w:right w:val="single" w:sz="8" w:space="0" w:color="auto"/>
            </w:tcBorders>
            <w:shd w:val="clear" w:color="auto" w:fill="auto"/>
            <w:vAlign w:val="bottom"/>
          </w:tcPr>
          <w:p w14:paraId="284B2B97" w14:textId="77777777" w:rsidR="00A52778" w:rsidRPr="00460F9E" w:rsidRDefault="00A52778" w:rsidP="00FC3F8E">
            <w:pPr>
              <w:spacing w:line="0" w:lineRule="atLeast"/>
              <w:rPr>
                <w:rFonts w:eastAsia="Times New Roman" w:cs="Times New Roman"/>
                <w:b/>
                <w:sz w:val="11"/>
              </w:rPr>
            </w:pPr>
          </w:p>
        </w:tc>
        <w:tc>
          <w:tcPr>
            <w:tcW w:w="1260" w:type="dxa"/>
            <w:vMerge/>
            <w:tcBorders>
              <w:right w:val="single" w:sz="8" w:space="0" w:color="auto"/>
            </w:tcBorders>
            <w:shd w:val="clear" w:color="auto" w:fill="auto"/>
            <w:vAlign w:val="bottom"/>
          </w:tcPr>
          <w:p w14:paraId="66D412E0" w14:textId="77777777" w:rsidR="00A52778" w:rsidRPr="00460F9E" w:rsidRDefault="00A52778" w:rsidP="00FC3F8E">
            <w:pPr>
              <w:spacing w:line="0" w:lineRule="atLeast"/>
              <w:jc w:val="center"/>
              <w:rPr>
                <w:rFonts w:eastAsia="Times New Roman" w:cs="Times New Roman"/>
                <w:b/>
                <w:sz w:val="11"/>
              </w:rPr>
            </w:pPr>
          </w:p>
        </w:tc>
        <w:tc>
          <w:tcPr>
            <w:tcW w:w="1380" w:type="dxa"/>
            <w:vMerge/>
            <w:tcBorders>
              <w:right w:val="single" w:sz="8" w:space="0" w:color="auto"/>
            </w:tcBorders>
            <w:shd w:val="clear" w:color="auto" w:fill="auto"/>
            <w:vAlign w:val="bottom"/>
          </w:tcPr>
          <w:p w14:paraId="70E4FF1A" w14:textId="77777777" w:rsidR="00A52778" w:rsidRPr="00460F9E" w:rsidRDefault="00A52778" w:rsidP="00FC3F8E">
            <w:pPr>
              <w:spacing w:line="0" w:lineRule="atLeast"/>
              <w:rPr>
                <w:rFonts w:eastAsia="Times New Roman" w:cs="Times New Roman"/>
                <w:b/>
                <w:sz w:val="11"/>
              </w:rPr>
            </w:pPr>
          </w:p>
        </w:tc>
      </w:tr>
      <w:tr w:rsidR="00A52778" w:rsidRPr="00460F9E" w14:paraId="0C1E78B8" w14:textId="77777777" w:rsidTr="00FC3F8E">
        <w:trPr>
          <w:trHeight w:val="115"/>
        </w:trPr>
        <w:tc>
          <w:tcPr>
            <w:tcW w:w="1840" w:type="dxa"/>
            <w:gridSpan w:val="3"/>
            <w:vMerge/>
            <w:tcBorders>
              <w:left w:val="single" w:sz="8" w:space="0" w:color="auto"/>
              <w:right w:val="single" w:sz="8" w:space="0" w:color="auto"/>
            </w:tcBorders>
            <w:shd w:val="clear" w:color="auto" w:fill="auto"/>
            <w:vAlign w:val="bottom"/>
          </w:tcPr>
          <w:p w14:paraId="65FA49C6" w14:textId="77777777" w:rsidR="00A52778" w:rsidRPr="00460F9E" w:rsidRDefault="00A52778" w:rsidP="00FC3F8E">
            <w:pPr>
              <w:spacing w:line="0" w:lineRule="atLeast"/>
              <w:rPr>
                <w:rFonts w:eastAsia="Times New Roman" w:cs="Times New Roman"/>
                <w:b/>
                <w:sz w:val="10"/>
              </w:rPr>
            </w:pPr>
          </w:p>
        </w:tc>
        <w:tc>
          <w:tcPr>
            <w:tcW w:w="1640" w:type="dxa"/>
            <w:vMerge/>
            <w:tcBorders>
              <w:left w:val="single" w:sz="8" w:space="0" w:color="auto"/>
              <w:right w:val="single" w:sz="8" w:space="0" w:color="auto"/>
            </w:tcBorders>
            <w:shd w:val="clear" w:color="auto" w:fill="auto"/>
            <w:vAlign w:val="bottom"/>
          </w:tcPr>
          <w:p w14:paraId="4DED182E" w14:textId="77777777" w:rsidR="00A52778" w:rsidRPr="00460F9E" w:rsidRDefault="00A52778" w:rsidP="00FC3F8E">
            <w:pPr>
              <w:spacing w:line="0" w:lineRule="atLeast"/>
              <w:rPr>
                <w:rFonts w:eastAsia="Times New Roman" w:cs="Times New Roman"/>
                <w:b/>
                <w:sz w:val="10"/>
              </w:rPr>
            </w:pPr>
          </w:p>
        </w:tc>
        <w:tc>
          <w:tcPr>
            <w:tcW w:w="1240" w:type="dxa"/>
            <w:vMerge/>
            <w:tcBorders>
              <w:right w:val="single" w:sz="8" w:space="0" w:color="auto"/>
            </w:tcBorders>
            <w:shd w:val="clear" w:color="auto" w:fill="auto"/>
            <w:vAlign w:val="bottom"/>
          </w:tcPr>
          <w:p w14:paraId="1BC58217" w14:textId="77777777" w:rsidR="00A52778" w:rsidRPr="00460F9E" w:rsidRDefault="00A52778" w:rsidP="00FC3F8E">
            <w:pPr>
              <w:spacing w:line="0" w:lineRule="atLeast"/>
              <w:jc w:val="center"/>
              <w:rPr>
                <w:rFonts w:eastAsia="Times New Roman" w:cs="Times New Roman"/>
                <w:b/>
                <w:w w:val="99"/>
              </w:rPr>
            </w:pPr>
          </w:p>
        </w:tc>
        <w:tc>
          <w:tcPr>
            <w:tcW w:w="1920" w:type="dxa"/>
            <w:tcBorders>
              <w:right w:val="single" w:sz="8" w:space="0" w:color="auto"/>
            </w:tcBorders>
            <w:shd w:val="clear" w:color="auto" w:fill="auto"/>
            <w:vAlign w:val="bottom"/>
          </w:tcPr>
          <w:p w14:paraId="031C7CFB" w14:textId="77777777" w:rsidR="00A52778" w:rsidRPr="00460F9E" w:rsidRDefault="00A52778" w:rsidP="00FC3F8E">
            <w:pPr>
              <w:spacing w:line="0" w:lineRule="atLeast"/>
              <w:rPr>
                <w:rFonts w:eastAsia="Times New Roman" w:cs="Times New Roman"/>
                <w:b/>
                <w:sz w:val="10"/>
              </w:rPr>
            </w:pPr>
          </w:p>
        </w:tc>
        <w:tc>
          <w:tcPr>
            <w:tcW w:w="1260" w:type="dxa"/>
            <w:vMerge/>
            <w:tcBorders>
              <w:right w:val="single" w:sz="8" w:space="0" w:color="auto"/>
            </w:tcBorders>
            <w:shd w:val="clear" w:color="auto" w:fill="auto"/>
            <w:vAlign w:val="bottom"/>
          </w:tcPr>
          <w:p w14:paraId="76F36DBD" w14:textId="77777777" w:rsidR="00A52778" w:rsidRPr="00460F9E" w:rsidRDefault="00A52778" w:rsidP="00FC3F8E">
            <w:pPr>
              <w:spacing w:line="0" w:lineRule="atLeast"/>
              <w:jc w:val="center"/>
              <w:rPr>
                <w:rFonts w:eastAsia="Times New Roman" w:cs="Times New Roman"/>
                <w:b/>
                <w:sz w:val="10"/>
              </w:rPr>
            </w:pPr>
          </w:p>
        </w:tc>
        <w:tc>
          <w:tcPr>
            <w:tcW w:w="1380" w:type="dxa"/>
            <w:vMerge/>
            <w:tcBorders>
              <w:right w:val="single" w:sz="8" w:space="0" w:color="auto"/>
            </w:tcBorders>
            <w:shd w:val="clear" w:color="auto" w:fill="auto"/>
            <w:vAlign w:val="bottom"/>
          </w:tcPr>
          <w:p w14:paraId="73C5F394" w14:textId="77777777" w:rsidR="00A52778" w:rsidRPr="00460F9E" w:rsidRDefault="00A52778" w:rsidP="00FC3F8E">
            <w:pPr>
              <w:spacing w:line="0" w:lineRule="atLeast"/>
              <w:rPr>
                <w:rFonts w:eastAsia="Times New Roman" w:cs="Times New Roman"/>
                <w:b/>
                <w:sz w:val="10"/>
              </w:rPr>
            </w:pPr>
          </w:p>
        </w:tc>
      </w:tr>
      <w:tr w:rsidR="00A52778" w:rsidRPr="00460F9E" w14:paraId="08426E07" w14:textId="77777777" w:rsidTr="00FC3F8E">
        <w:trPr>
          <w:trHeight w:val="231"/>
        </w:trPr>
        <w:tc>
          <w:tcPr>
            <w:tcW w:w="1840" w:type="dxa"/>
            <w:gridSpan w:val="3"/>
            <w:vMerge/>
            <w:tcBorders>
              <w:left w:val="single" w:sz="8" w:space="0" w:color="auto"/>
              <w:bottom w:val="nil"/>
              <w:right w:val="single" w:sz="8" w:space="0" w:color="auto"/>
            </w:tcBorders>
            <w:shd w:val="clear" w:color="auto" w:fill="auto"/>
            <w:vAlign w:val="bottom"/>
          </w:tcPr>
          <w:p w14:paraId="0809D961" w14:textId="77777777" w:rsidR="00A52778" w:rsidRPr="00460F9E" w:rsidRDefault="00A52778" w:rsidP="00FC3F8E">
            <w:pPr>
              <w:spacing w:line="0" w:lineRule="atLeast"/>
              <w:rPr>
                <w:rFonts w:eastAsia="Times New Roman" w:cs="Times New Roman"/>
                <w:b/>
                <w:sz w:val="10"/>
              </w:rPr>
            </w:pPr>
          </w:p>
        </w:tc>
        <w:tc>
          <w:tcPr>
            <w:tcW w:w="1640" w:type="dxa"/>
            <w:vMerge/>
            <w:tcBorders>
              <w:left w:val="single" w:sz="8" w:space="0" w:color="auto"/>
              <w:bottom w:val="nil"/>
              <w:right w:val="single" w:sz="8" w:space="0" w:color="auto"/>
            </w:tcBorders>
            <w:shd w:val="clear" w:color="auto" w:fill="auto"/>
            <w:vAlign w:val="bottom"/>
          </w:tcPr>
          <w:p w14:paraId="7CE509FE" w14:textId="77777777" w:rsidR="00A52778" w:rsidRPr="00460F9E" w:rsidRDefault="00A52778" w:rsidP="00FC3F8E">
            <w:pPr>
              <w:spacing w:line="0" w:lineRule="atLeast"/>
              <w:rPr>
                <w:rFonts w:eastAsia="Times New Roman" w:cs="Times New Roman"/>
                <w:b/>
                <w:sz w:val="10"/>
              </w:rPr>
            </w:pPr>
          </w:p>
        </w:tc>
        <w:tc>
          <w:tcPr>
            <w:tcW w:w="1240" w:type="dxa"/>
            <w:vMerge/>
            <w:tcBorders>
              <w:bottom w:val="nil"/>
              <w:right w:val="single" w:sz="8" w:space="0" w:color="auto"/>
            </w:tcBorders>
            <w:shd w:val="clear" w:color="auto" w:fill="auto"/>
            <w:vAlign w:val="bottom"/>
          </w:tcPr>
          <w:p w14:paraId="79BD5878" w14:textId="77777777" w:rsidR="00A52778" w:rsidRPr="00460F9E" w:rsidRDefault="00A52778" w:rsidP="00FC3F8E">
            <w:pPr>
              <w:spacing w:line="0" w:lineRule="atLeast"/>
              <w:jc w:val="center"/>
              <w:rPr>
                <w:rFonts w:eastAsia="Times New Roman" w:cs="Times New Roman"/>
                <w:b/>
                <w:sz w:val="10"/>
              </w:rPr>
            </w:pPr>
          </w:p>
        </w:tc>
        <w:tc>
          <w:tcPr>
            <w:tcW w:w="1920" w:type="dxa"/>
            <w:tcBorders>
              <w:bottom w:val="nil"/>
              <w:right w:val="single" w:sz="8" w:space="0" w:color="auto"/>
            </w:tcBorders>
            <w:shd w:val="clear" w:color="auto" w:fill="auto"/>
            <w:vAlign w:val="bottom"/>
          </w:tcPr>
          <w:p w14:paraId="6FF7F5E4" w14:textId="77777777" w:rsidR="00A52778" w:rsidRPr="00460F9E" w:rsidRDefault="00A52778" w:rsidP="00FC3F8E">
            <w:pPr>
              <w:spacing w:line="0" w:lineRule="atLeast"/>
              <w:jc w:val="center"/>
              <w:rPr>
                <w:rFonts w:eastAsia="Times New Roman" w:cs="Times New Roman"/>
                <w:b/>
                <w:w w:val="97"/>
              </w:rPr>
            </w:pPr>
            <w:r w:rsidRPr="00460F9E">
              <w:rPr>
                <w:rFonts w:eastAsia="Times New Roman" w:cs="Times New Roman"/>
                <w:w w:val="97"/>
              </w:rPr>
              <w:t>EN 15058</w:t>
            </w:r>
          </w:p>
        </w:tc>
        <w:tc>
          <w:tcPr>
            <w:tcW w:w="1260" w:type="dxa"/>
            <w:vMerge/>
            <w:tcBorders>
              <w:bottom w:val="nil"/>
              <w:right w:val="single" w:sz="8" w:space="0" w:color="auto"/>
            </w:tcBorders>
            <w:shd w:val="clear" w:color="auto" w:fill="auto"/>
            <w:vAlign w:val="bottom"/>
          </w:tcPr>
          <w:p w14:paraId="16A1273D" w14:textId="77777777" w:rsidR="00A52778" w:rsidRPr="00460F9E" w:rsidRDefault="00A52778" w:rsidP="00FC3F8E">
            <w:pPr>
              <w:spacing w:line="0" w:lineRule="atLeast"/>
              <w:jc w:val="center"/>
              <w:rPr>
                <w:rFonts w:eastAsia="Times New Roman" w:cs="Times New Roman"/>
                <w:b/>
              </w:rPr>
            </w:pPr>
          </w:p>
        </w:tc>
        <w:tc>
          <w:tcPr>
            <w:tcW w:w="1380" w:type="dxa"/>
            <w:vMerge/>
            <w:tcBorders>
              <w:bottom w:val="nil"/>
              <w:right w:val="single" w:sz="8" w:space="0" w:color="auto"/>
            </w:tcBorders>
            <w:shd w:val="clear" w:color="auto" w:fill="auto"/>
            <w:vAlign w:val="bottom"/>
          </w:tcPr>
          <w:p w14:paraId="3F6B08EE" w14:textId="77777777" w:rsidR="00A52778" w:rsidRPr="00460F9E" w:rsidRDefault="00A52778" w:rsidP="00FC3F8E">
            <w:pPr>
              <w:spacing w:line="0" w:lineRule="atLeast"/>
              <w:rPr>
                <w:rFonts w:eastAsia="Times New Roman" w:cs="Times New Roman"/>
                <w:b/>
                <w:sz w:val="10"/>
              </w:rPr>
            </w:pPr>
          </w:p>
        </w:tc>
      </w:tr>
      <w:tr w:rsidR="00A52778" w:rsidRPr="00460F9E" w14:paraId="40B75BF4" w14:textId="77777777" w:rsidTr="00FC3F8E">
        <w:trPr>
          <w:trHeight w:val="115"/>
        </w:trPr>
        <w:tc>
          <w:tcPr>
            <w:tcW w:w="1840" w:type="dxa"/>
            <w:gridSpan w:val="3"/>
            <w:vMerge/>
            <w:tcBorders>
              <w:left w:val="single" w:sz="8" w:space="0" w:color="auto"/>
              <w:right w:val="single" w:sz="8" w:space="0" w:color="auto"/>
            </w:tcBorders>
            <w:shd w:val="clear" w:color="auto" w:fill="auto"/>
            <w:vAlign w:val="bottom"/>
          </w:tcPr>
          <w:p w14:paraId="7783B4AB" w14:textId="77777777" w:rsidR="00A52778" w:rsidRPr="00460F9E" w:rsidRDefault="00A52778" w:rsidP="00FC3F8E">
            <w:pPr>
              <w:spacing w:line="0" w:lineRule="atLeast"/>
              <w:rPr>
                <w:rFonts w:eastAsia="Times New Roman" w:cs="Times New Roman"/>
                <w:b/>
                <w:sz w:val="10"/>
              </w:rPr>
            </w:pPr>
          </w:p>
        </w:tc>
        <w:tc>
          <w:tcPr>
            <w:tcW w:w="1640" w:type="dxa"/>
            <w:vMerge/>
            <w:tcBorders>
              <w:left w:val="single" w:sz="8" w:space="0" w:color="auto"/>
              <w:right w:val="single" w:sz="8" w:space="0" w:color="auto"/>
            </w:tcBorders>
            <w:shd w:val="clear" w:color="auto" w:fill="auto"/>
            <w:vAlign w:val="bottom"/>
          </w:tcPr>
          <w:p w14:paraId="12B6F1D2" w14:textId="77777777" w:rsidR="00A52778" w:rsidRPr="00460F9E" w:rsidRDefault="00A52778" w:rsidP="00FC3F8E">
            <w:pPr>
              <w:spacing w:line="0" w:lineRule="atLeast"/>
              <w:rPr>
                <w:rFonts w:eastAsia="Times New Roman" w:cs="Times New Roman"/>
                <w:b/>
                <w:sz w:val="10"/>
              </w:rPr>
            </w:pPr>
          </w:p>
        </w:tc>
        <w:tc>
          <w:tcPr>
            <w:tcW w:w="1240" w:type="dxa"/>
            <w:vMerge/>
            <w:tcBorders>
              <w:right w:val="single" w:sz="8" w:space="0" w:color="auto"/>
            </w:tcBorders>
            <w:shd w:val="clear" w:color="auto" w:fill="auto"/>
            <w:vAlign w:val="bottom"/>
          </w:tcPr>
          <w:p w14:paraId="0F67B5C5" w14:textId="77777777" w:rsidR="00A52778" w:rsidRPr="00460F9E" w:rsidRDefault="00A52778" w:rsidP="00FC3F8E">
            <w:pPr>
              <w:spacing w:line="0" w:lineRule="atLeast"/>
              <w:jc w:val="center"/>
              <w:rPr>
                <w:rFonts w:eastAsia="Times New Roman" w:cs="Times New Roman"/>
                <w:b/>
                <w:sz w:val="10"/>
              </w:rPr>
            </w:pPr>
          </w:p>
        </w:tc>
        <w:tc>
          <w:tcPr>
            <w:tcW w:w="1920" w:type="dxa"/>
            <w:tcBorders>
              <w:right w:val="single" w:sz="8" w:space="0" w:color="auto"/>
            </w:tcBorders>
            <w:shd w:val="clear" w:color="auto" w:fill="auto"/>
            <w:vAlign w:val="bottom"/>
          </w:tcPr>
          <w:p w14:paraId="18B50E0D" w14:textId="77777777" w:rsidR="00A52778" w:rsidRPr="00460F9E" w:rsidRDefault="00A52778" w:rsidP="00FC3F8E">
            <w:pPr>
              <w:spacing w:line="0" w:lineRule="atLeast"/>
              <w:rPr>
                <w:rFonts w:eastAsia="Times New Roman" w:cs="Times New Roman"/>
                <w:b/>
                <w:sz w:val="10"/>
              </w:rPr>
            </w:pPr>
          </w:p>
        </w:tc>
        <w:tc>
          <w:tcPr>
            <w:tcW w:w="1260" w:type="dxa"/>
            <w:vMerge/>
            <w:tcBorders>
              <w:right w:val="single" w:sz="8" w:space="0" w:color="auto"/>
            </w:tcBorders>
            <w:shd w:val="clear" w:color="auto" w:fill="auto"/>
            <w:vAlign w:val="bottom"/>
          </w:tcPr>
          <w:p w14:paraId="74E8C723" w14:textId="77777777" w:rsidR="00A52778" w:rsidRPr="00460F9E" w:rsidRDefault="00A52778" w:rsidP="00FC3F8E">
            <w:pPr>
              <w:spacing w:line="0" w:lineRule="atLeast"/>
              <w:jc w:val="center"/>
              <w:rPr>
                <w:rFonts w:eastAsia="Times New Roman" w:cs="Times New Roman"/>
                <w:b/>
                <w:w w:val="90"/>
              </w:rPr>
            </w:pPr>
          </w:p>
        </w:tc>
        <w:tc>
          <w:tcPr>
            <w:tcW w:w="1380" w:type="dxa"/>
            <w:vMerge/>
            <w:tcBorders>
              <w:right w:val="single" w:sz="8" w:space="0" w:color="auto"/>
            </w:tcBorders>
            <w:shd w:val="clear" w:color="auto" w:fill="auto"/>
            <w:vAlign w:val="bottom"/>
          </w:tcPr>
          <w:p w14:paraId="212C6F52" w14:textId="77777777" w:rsidR="00A52778" w:rsidRPr="00460F9E" w:rsidRDefault="00A52778" w:rsidP="00FC3F8E">
            <w:pPr>
              <w:spacing w:line="0" w:lineRule="atLeast"/>
              <w:rPr>
                <w:rFonts w:eastAsia="Times New Roman" w:cs="Times New Roman"/>
                <w:b/>
                <w:sz w:val="10"/>
              </w:rPr>
            </w:pPr>
          </w:p>
        </w:tc>
      </w:tr>
      <w:tr w:rsidR="00A52778" w:rsidRPr="00460F9E" w14:paraId="7E4C1EFC" w14:textId="77777777" w:rsidTr="00FC3F8E">
        <w:trPr>
          <w:trHeight w:val="188"/>
        </w:trPr>
        <w:tc>
          <w:tcPr>
            <w:tcW w:w="1840" w:type="dxa"/>
            <w:gridSpan w:val="3"/>
            <w:vMerge/>
            <w:tcBorders>
              <w:left w:val="single" w:sz="8" w:space="0" w:color="auto"/>
              <w:right w:val="single" w:sz="8" w:space="0" w:color="auto"/>
            </w:tcBorders>
            <w:shd w:val="clear" w:color="auto" w:fill="auto"/>
            <w:vAlign w:val="bottom"/>
          </w:tcPr>
          <w:p w14:paraId="554F7E33" w14:textId="77777777" w:rsidR="00A52778" w:rsidRPr="00460F9E" w:rsidRDefault="00A52778" w:rsidP="00FC3F8E">
            <w:pPr>
              <w:spacing w:line="0" w:lineRule="atLeast"/>
              <w:rPr>
                <w:rFonts w:eastAsia="Times New Roman" w:cs="Times New Roman"/>
                <w:b/>
                <w:sz w:val="16"/>
              </w:rPr>
            </w:pPr>
          </w:p>
        </w:tc>
        <w:tc>
          <w:tcPr>
            <w:tcW w:w="1640" w:type="dxa"/>
            <w:vMerge/>
            <w:tcBorders>
              <w:left w:val="single" w:sz="8" w:space="0" w:color="auto"/>
              <w:right w:val="single" w:sz="8" w:space="0" w:color="auto"/>
            </w:tcBorders>
            <w:shd w:val="clear" w:color="auto" w:fill="auto"/>
            <w:vAlign w:val="bottom"/>
          </w:tcPr>
          <w:p w14:paraId="65A94D35" w14:textId="77777777" w:rsidR="00A52778" w:rsidRPr="00460F9E" w:rsidRDefault="00A52778" w:rsidP="00FC3F8E">
            <w:pPr>
              <w:spacing w:line="0" w:lineRule="atLeast"/>
              <w:rPr>
                <w:rFonts w:eastAsia="Times New Roman" w:cs="Times New Roman"/>
                <w:b/>
                <w:sz w:val="16"/>
              </w:rPr>
            </w:pPr>
          </w:p>
        </w:tc>
        <w:tc>
          <w:tcPr>
            <w:tcW w:w="1240" w:type="dxa"/>
            <w:vMerge/>
            <w:tcBorders>
              <w:right w:val="single" w:sz="8" w:space="0" w:color="auto"/>
            </w:tcBorders>
            <w:shd w:val="clear" w:color="auto" w:fill="auto"/>
            <w:vAlign w:val="bottom"/>
          </w:tcPr>
          <w:p w14:paraId="2B03CC90" w14:textId="77777777" w:rsidR="00A52778" w:rsidRPr="00460F9E" w:rsidRDefault="00A52778" w:rsidP="00FC3F8E">
            <w:pPr>
              <w:spacing w:line="0" w:lineRule="atLeast"/>
              <w:jc w:val="center"/>
              <w:rPr>
                <w:rFonts w:eastAsia="Times New Roman" w:cs="Times New Roman"/>
                <w:b/>
                <w:w w:val="99"/>
              </w:rPr>
            </w:pPr>
          </w:p>
        </w:tc>
        <w:tc>
          <w:tcPr>
            <w:tcW w:w="1920" w:type="dxa"/>
            <w:tcBorders>
              <w:right w:val="single" w:sz="8" w:space="0" w:color="auto"/>
            </w:tcBorders>
            <w:shd w:val="clear" w:color="auto" w:fill="auto"/>
            <w:vAlign w:val="bottom"/>
          </w:tcPr>
          <w:p w14:paraId="4BCB6FC7" w14:textId="77777777" w:rsidR="00A52778" w:rsidRPr="00460F9E" w:rsidRDefault="00A52778" w:rsidP="00FC3F8E">
            <w:pPr>
              <w:spacing w:line="0" w:lineRule="atLeast"/>
              <w:rPr>
                <w:rFonts w:eastAsia="Times New Roman" w:cs="Times New Roman"/>
                <w:b/>
                <w:sz w:val="16"/>
              </w:rPr>
            </w:pPr>
          </w:p>
        </w:tc>
        <w:tc>
          <w:tcPr>
            <w:tcW w:w="1260" w:type="dxa"/>
            <w:vMerge/>
            <w:tcBorders>
              <w:right w:val="single" w:sz="8" w:space="0" w:color="auto"/>
            </w:tcBorders>
            <w:shd w:val="clear" w:color="auto" w:fill="auto"/>
            <w:vAlign w:val="bottom"/>
          </w:tcPr>
          <w:p w14:paraId="568BF95D" w14:textId="77777777" w:rsidR="00A52778" w:rsidRPr="00460F9E" w:rsidRDefault="00A52778" w:rsidP="00FC3F8E">
            <w:pPr>
              <w:spacing w:line="0" w:lineRule="atLeast"/>
              <w:rPr>
                <w:rFonts w:eastAsia="Times New Roman" w:cs="Times New Roman"/>
                <w:b/>
                <w:sz w:val="16"/>
              </w:rPr>
            </w:pPr>
          </w:p>
        </w:tc>
        <w:tc>
          <w:tcPr>
            <w:tcW w:w="1380" w:type="dxa"/>
            <w:vMerge/>
            <w:tcBorders>
              <w:right w:val="single" w:sz="8" w:space="0" w:color="auto"/>
            </w:tcBorders>
            <w:shd w:val="clear" w:color="auto" w:fill="auto"/>
            <w:vAlign w:val="bottom"/>
          </w:tcPr>
          <w:p w14:paraId="52EA36FB" w14:textId="77777777" w:rsidR="00A52778" w:rsidRPr="00460F9E" w:rsidRDefault="00A52778" w:rsidP="00FC3F8E">
            <w:pPr>
              <w:spacing w:line="0" w:lineRule="atLeast"/>
              <w:rPr>
                <w:rFonts w:eastAsia="Times New Roman" w:cs="Times New Roman"/>
                <w:b/>
                <w:sz w:val="16"/>
              </w:rPr>
            </w:pPr>
          </w:p>
        </w:tc>
      </w:tr>
      <w:tr w:rsidR="00A52778" w:rsidRPr="00460F9E" w14:paraId="7135DA93" w14:textId="77777777" w:rsidTr="00FC3F8E">
        <w:trPr>
          <w:trHeight w:val="45"/>
        </w:trPr>
        <w:tc>
          <w:tcPr>
            <w:tcW w:w="1840" w:type="dxa"/>
            <w:gridSpan w:val="3"/>
            <w:vMerge/>
            <w:tcBorders>
              <w:left w:val="single" w:sz="8" w:space="0" w:color="auto"/>
              <w:right w:val="single" w:sz="8" w:space="0" w:color="auto"/>
            </w:tcBorders>
            <w:shd w:val="clear" w:color="auto" w:fill="auto"/>
            <w:vAlign w:val="bottom"/>
          </w:tcPr>
          <w:p w14:paraId="494DA7A7" w14:textId="77777777" w:rsidR="00A52778" w:rsidRPr="00460F9E" w:rsidRDefault="00A52778" w:rsidP="00FC3F8E">
            <w:pPr>
              <w:spacing w:line="0" w:lineRule="atLeast"/>
              <w:rPr>
                <w:rFonts w:eastAsia="Times New Roman" w:cs="Times New Roman"/>
                <w:b/>
                <w:sz w:val="3"/>
              </w:rPr>
            </w:pPr>
          </w:p>
        </w:tc>
        <w:tc>
          <w:tcPr>
            <w:tcW w:w="1640" w:type="dxa"/>
            <w:vMerge/>
            <w:tcBorders>
              <w:left w:val="single" w:sz="8" w:space="0" w:color="auto"/>
              <w:bottom w:val="single" w:sz="8" w:space="0" w:color="auto"/>
              <w:right w:val="single" w:sz="8" w:space="0" w:color="auto"/>
            </w:tcBorders>
            <w:shd w:val="clear" w:color="auto" w:fill="auto"/>
            <w:vAlign w:val="bottom"/>
          </w:tcPr>
          <w:p w14:paraId="4325801E" w14:textId="77777777" w:rsidR="00A52778" w:rsidRPr="00460F9E" w:rsidRDefault="00A52778" w:rsidP="00FC3F8E">
            <w:pPr>
              <w:spacing w:line="0" w:lineRule="atLeast"/>
              <w:rPr>
                <w:rFonts w:eastAsia="Times New Roman" w:cs="Times New Roman"/>
                <w:b/>
                <w:sz w:val="3"/>
              </w:rPr>
            </w:pPr>
          </w:p>
        </w:tc>
        <w:tc>
          <w:tcPr>
            <w:tcW w:w="1240" w:type="dxa"/>
            <w:vMerge/>
            <w:tcBorders>
              <w:bottom w:val="single" w:sz="8" w:space="0" w:color="auto"/>
              <w:right w:val="single" w:sz="8" w:space="0" w:color="auto"/>
            </w:tcBorders>
            <w:shd w:val="clear" w:color="auto" w:fill="auto"/>
            <w:vAlign w:val="bottom"/>
          </w:tcPr>
          <w:p w14:paraId="10B0DF8F" w14:textId="77777777" w:rsidR="00A52778" w:rsidRPr="00460F9E" w:rsidRDefault="00A52778" w:rsidP="00FC3F8E">
            <w:pPr>
              <w:spacing w:line="0" w:lineRule="atLeast"/>
              <w:rPr>
                <w:rFonts w:eastAsia="Times New Roman" w:cs="Times New Roman"/>
                <w:b/>
                <w:sz w:val="3"/>
              </w:rPr>
            </w:pPr>
          </w:p>
        </w:tc>
        <w:tc>
          <w:tcPr>
            <w:tcW w:w="1920" w:type="dxa"/>
            <w:tcBorders>
              <w:bottom w:val="single" w:sz="8" w:space="0" w:color="auto"/>
              <w:right w:val="single" w:sz="8" w:space="0" w:color="auto"/>
            </w:tcBorders>
            <w:shd w:val="clear" w:color="auto" w:fill="auto"/>
            <w:vAlign w:val="bottom"/>
          </w:tcPr>
          <w:p w14:paraId="6C7D3090" w14:textId="77777777" w:rsidR="00A52778" w:rsidRPr="00460F9E" w:rsidRDefault="00A52778" w:rsidP="00FC3F8E">
            <w:pPr>
              <w:spacing w:line="0" w:lineRule="atLeast"/>
              <w:rPr>
                <w:rFonts w:eastAsia="Times New Roman" w:cs="Times New Roman"/>
                <w:b/>
                <w:sz w:val="3"/>
              </w:rPr>
            </w:pPr>
          </w:p>
        </w:tc>
        <w:tc>
          <w:tcPr>
            <w:tcW w:w="1260" w:type="dxa"/>
            <w:tcBorders>
              <w:bottom w:val="single" w:sz="8" w:space="0" w:color="auto"/>
              <w:right w:val="single" w:sz="8" w:space="0" w:color="auto"/>
            </w:tcBorders>
            <w:shd w:val="clear" w:color="auto" w:fill="auto"/>
            <w:vAlign w:val="bottom"/>
          </w:tcPr>
          <w:p w14:paraId="19BCE652" w14:textId="77777777" w:rsidR="00A52778" w:rsidRPr="00460F9E" w:rsidRDefault="00A52778" w:rsidP="00FC3F8E">
            <w:pPr>
              <w:spacing w:line="0" w:lineRule="atLeast"/>
              <w:rPr>
                <w:rFonts w:eastAsia="Times New Roman" w:cs="Times New Roman"/>
                <w:b/>
                <w:sz w:val="3"/>
              </w:rPr>
            </w:pPr>
          </w:p>
        </w:tc>
        <w:tc>
          <w:tcPr>
            <w:tcW w:w="1380" w:type="dxa"/>
            <w:vMerge/>
            <w:tcBorders>
              <w:bottom w:val="single" w:sz="8" w:space="0" w:color="auto"/>
              <w:right w:val="single" w:sz="8" w:space="0" w:color="auto"/>
            </w:tcBorders>
            <w:shd w:val="clear" w:color="auto" w:fill="auto"/>
            <w:vAlign w:val="bottom"/>
          </w:tcPr>
          <w:p w14:paraId="7EDCA1BD" w14:textId="77777777" w:rsidR="00A52778" w:rsidRPr="00460F9E" w:rsidRDefault="00A52778" w:rsidP="00FC3F8E">
            <w:pPr>
              <w:spacing w:line="0" w:lineRule="atLeast"/>
              <w:rPr>
                <w:rFonts w:eastAsia="Times New Roman" w:cs="Times New Roman"/>
                <w:b/>
                <w:sz w:val="3"/>
              </w:rPr>
            </w:pPr>
          </w:p>
        </w:tc>
      </w:tr>
      <w:tr w:rsidR="00A52778" w:rsidRPr="00460F9E" w14:paraId="1059697A" w14:textId="77777777" w:rsidTr="00FC3F8E">
        <w:trPr>
          <w:trHeight w:val="923"/>
        </w:trPr>
        <w:tc>
          <w:tcPr>
            <w:tcW w:w="1840" w:type="dxa"/>
            <w:gridSpan w:val="3"/>
            <w:vMerge/>
            <w:tcBorders>
              <w:left w:val="single" w:sz="8" w:space="0" w:color="auto"/>
              <w:right w:val="single" w:sz="8" w:space="0" w:color="auto"/>
            </w:tcBorders>
            <w:shd w:val="clear" w:color="auto" w:fill="auto"/>
            <w:vAlign w:val="bottom"/>
          </w:tcPr>
          <w:p w14:paraId="3A0F309D" w14:textId="77777777" w:rsidR="00A52778" w:rsidRPr="00460F9E" w:rsidRDefault="00A52778" w:rsidP="00FC3F8E">
            <w:pPr>
              <w:spacing w:line="0" w:lineRule="atLeast"/>
              <w:rPr>
                <w:rFonts w:eastAsia="Times New Roman" w:cs="Times New Roman"/>
                <w:b/>
                <w:sz w:val="18"/>
              </w:rPr>
            </w:pPr>
          </w:p>
        </w:tc>
        <w:tc>
          <w:tcPr>
            <w:tcW w:w="1640" w:type="dxa"/>
            <w:vMerge w:val="restart"/>
            <w:tcBorders>
              <w:left w:val="single" w:sz="8" w:space="0" w:color="auto"/>
              <w:right w:val="single" w:sz="8" w:space="0" w:color="auto"/>
            </w:tcBorders>
            <w:shd w:val="clear" w:color="auto" w:fill="auto"/>
            <w:vAlign w:val="center"/>
          </w:tcPr>
          <w:p w14:paraId="73C8D092"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Diğer tüm</w:t>
            </w:r>
          </w:p>
          <w:p w14:paraId="79F67390" w14:textId="77777777" w:rsidR="00A52778" w:rsidRPr="00460F9E" w:rsidRDefault="00A52778" w:rsidP="00FC3F8E">
            <w:pPr>
              <w:spacing w:line="206" w:lineRule="exact"/>
              <w:jc w:val="center"/>
              <w:rPr>
                <w:rFonts w:eastAsia="Times New Roman" w:cs="Times New Roman"/>
                <w:b/>
                <w:sz w:val="18"/>
              </w:rPr>
            </w:pPr>
            <w:r w:rsidRPr="00460F9E">
              <w:rPr>
                <w:rFonts w:eastAsia="Times New Roman" w:cs="Times New Roman"/>
                <w:w w:val="99"/>
              </w:rPr>
              <w:t>prosesler /kaynaklar</w:t>
            </w:r>
          </w:p>
        </w:tc>
        <w:tc>
          <w:tcPr>
            <w:tcW w:w="1240" w:type="dxa"/>
            <w:tcBorders>
              <w:bottom w:val="single" w:sz="4" w:space="0" w:color="auto"/>
              <w:right w:val="single" w:sz="8" w:space="0" w:color="auto"/>
            </w:tcBorders>
            <w:shd w:val="clear" w:color="auto" w:fill="auto"/>
            <w:vAlign w:val="bottom"/>
          </w:tcPr>
          <w:p w14:paraId="7EBC4555" w14:textId="77777777" w:rsidR="00A52778" w:rsidRPr="00460F9E" w:rsidRDefault="00A52778" w:rsidP="00FC3F8E">
            <w:pPr>
              <w:spacing w:line="219" w:lineRule="exact"/>
              <w:jc w:val="center"/>
              <w:rPr>
                <w:rFonts w:eastAsia="Times New Roman" w:cs="Times New Roman"/>
                <w:b/>
                <w:w w:val="99"/>
              </w:rPr>
            </w:pPr>
            <w:r w:rsidRPr="00460F9E">
              <w:rPr>
                <w:rFonts w:eastAsia="Times New Roman" w:cs="Times New Roman"/>
                <w:w w:val="99"/>
              </w:rPr>
              <w:t>CO kütle akışı 2 kg/saat olan herhangi bir baca</w:t>
            </w:r>
          </w:p>
        </w:tc>
        <w:tc>
          <w:tcPr>
            <w:tcW w:w="1920" w:type="dxa"/>
            <w:tcBorders>
              <w:bottom w:val="single" w:sz="4" w:space="0" w:color="auto"/>
              <w:right w:val="single" w:sz="8" w:space="0" w:color="auto"/>
            </w:tcBorders>
            <w:shd w:val="clear" w:color="auto" w:fill="auto"/>
            <w:vAlign w:val="center"/>
          </w:tcPr>
          <w:p w14:paraId="17BCCEFC"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Genel EN</w:t>
            </w:r>
          </w:p>
          <w:p w14:paraId="415D4BD3" w14:textId="77777777" w:rsidR="00A52778" w:rsidRPr="00460F9E" w:rsidRDefault="00A52778" w:rsidP="00FC3F8E">
            <w:pPr>
              <w:spacing w:line="226" w:lineRule="exact"/>
              <w:jc w:val="center"/>
              <w:rPr>
                <w:rFonts w:eastAsia="Times New Roman" w:cs="Times New Roman"/>
                <w:b/>
                <w:sz w:val="18"/>
              </w:rPr>
            </w:pPr>
            <w:r w:rsidRPr="00460F9E">
              <w:rPr>
                <w:rFonts w:eastAsia="Times New Roman" w:cs="Times New Roman"/>
                <w:w w:val="97"/>
              </w:rPr>
              <w:t>standartları (</w:t>
            </w:r>
            <w:r w:rsidRPr="00460F9E">
              <w:rPr>
                <w:rFonts w:eastAsia="Times New Roman" w:cs="Times New Roman"/>
                <w:w w:val="97"/>
                <w:vertAlign w:val="superscript"/>
              </w:rPr>
              <w:t>5</w:t>
            </w:r>
            <w:r w:rsidRPr="00460F9E">
              <w:rPr>
                <w:rFonts w:eastAsia="Times New Roman" w:cs="Times New Roman"/>
                <w:w w:val="97"/>
              </w:rPr>
              <w:t>)</w:t>
            </w:r>
          </w:p>
        </w:tc>
        <w:tc>
          <w:tcPr>
            <w:tcW w:w="1260" w:type="dxa"/>
            <w:tcBorders>
              <w:bottom w:val="single" w:sz="4" w:space="0" w:color="auto"/>
              <w:right w:val="single" w:sz="8" w:space="0" w:color="auto"/>
            </w:tcBorders>
            <w:shd w:val="clear" w:color="auto" w:fill="auto"/>
            <w:vAlign w:val="center"/>
          </w:tcPr>
          <w:p w14:paraId="3332B2EC"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9"/>
              </w:rPr>
              <w:t>Sürekli</w:t>
            </w:r>
          </w:p>
        </w:tc>
        <w:tc>
          <w:tcPr>
            <w:tcW w:w="1380" w:type="dxa"/>
            <w:vMerge w:val="restart"/>
            <w:tcBorders>
              <w:right w:val="single" w:sz="8" w:space="0" w:color="auto"/>
            </w:tcBorders>
            <w:shd w:val="clear" w:color="auto" w:fill="auto"/>
            <w:vAlign w:val="center"/>
          </w:tcPr>
          <w:p w14:paraId="3B06D656" w14:textId="77777777" w:rsidR="00A52778" w:rsidRPr="00460F9E" w:rsidRDefault="002A1746" w:rsidP="00FC3F8E">
            <w:pPr>
              <w:spacing w:line="0" w:lineRule="atLeast"/>
              <w:jc w:val="center"/>
              <w:rPr>
                <w:rFonts w:eastAsia="Times New Roman" w:cs="Times New Roman"/>
                <w:b/>
                <w:sz w:val="18"/>
              </w:rPr>
            </w:pPr>
            <w:hyperlink w:anchor="page309" w:history="1">
              <w:r w:rsidR="00A52778" w:rsidRPr="00460F9E">
                <w:rPr>
                  <w:rFonts w:cs="Times New Roman"/>
                </w:rPr>
                <w:t xml:space="preserve"> </w:t>
              </w:r>
              <w:r w:rsidR="00A52778" w:rsidRPr="00460F9E">
                <w:rPr>
                  <w:rFonts w:eastAsia="Times New Roman" w:cs="Times New Roman"/>
                </w:rPr>
                <w:t>MET 18</w:t>
              </w:r>
            </w:hyperlink>
          </w:p>
        </w:tc>
      </w:tr>
      <w:tr w:rsidR="00A52778" w:rsidRPr="00460F9E" w14:paraId="4E5F0433" w14:textId="77777777" w:rsidTr="00FC3F8E">
        <w:trPr>
          <w:trHeight w:val="93"/>
        </w:trPr>
        <w:tc>
          <w:tcPr>
            <w:tcW w:w="1840" w:type="dxa"/>
            <w:gridSpan w:val="3"/>
            <w:vMerge/>
            <w:tcBorders>
              <w:left w:val="single" w:sz="8" w:space="0" w:color="auto"/>
              <w:right w:val="single" w:sz="8" w:space="0" w:color="auto"/>
            </w:tcBorders>
            <w:shd w:val="clear" w:color="auto" w:fill="auto"/>
            <w:vAlign w:val="bottom"/>
          </w:tcPr>
          <w:p w14:paraId="513024B1" w14:textId="77777777" w:rsidR="00A52778" w:rsidRPr="00460F9E" w:rsidRDefault="00A52778" w:rsidP="00FC3F8E">
            <w:pPr>
              <w:spacing w:line="0" w:lineRule="atLeast"/>
              <w:rPr>
                <w:rFonts w:eastAsia="Times New Roman" w:cs="Times New Roman"/>
                <w:b/>
                <w:sz w:val="8"/>
              </w:rPr>
            </w:pPr>
          </w:p>
        </w:tc>
        <w:tc>
          <w:tcPr>
            <w:tcW w:w="1640" w:type="dxa"/>
            <w:vMerge/>
            <w:tcBorders>
              <w:left w:val="single" w:sz="8" w:space="0" w:color="auto"/>
              <w:right w:val="single" w:sz="8" w:space="0" w:color="auto"/>
            </w:tcBorders>
            <w:shd w:val="clear" w:color="auto" w:fill="auto"/>
            <w:vAlign w:val="bottom"/>
          </w:tcPr>
          <w:p w14:paraId="3EFC7D0F" w14:textId="77777777" w:rsidR="00A52778" w:rsidRPr="00460F9E" w:rsidRDefault="00A52778" w:rsidP="00FC3F8E">
            <w:pPr>
              <w:spacing w:line="206" w:lineRule="exact"/>
              <w:jc w:val="center"/>
              <w:rPr>
                <w:rFonts w:eastAsia="Times New Roman" w:cs="Times New Roman"/>
                <w:b/>
                <w:w w:val="99"/>
              </w:rPr>
            </w:pPr>
          </w:p>
        </w:tc>
        <w:tc>
          <w:tcPr>
            <w:tcW w:w="1240" w:type="dxa"/>
            <w:vMerge w:val="restart"/>
            <w:tcBorders>
              <w:top w:val="single" w:sz="4" w:space="0" w:color="auto"/>
              <w:right w:val="single" w:sz="8" w:space="0" w:color="auto"/>
            </w:tcBorders>
            <w:shd w:val="clear" w:color="auto" w:fill="auto"/>
            <w:vAlign w:val="bottom"/>
          </w:tcPr>
          <w:p w14:paraId="77566B5B"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CO kütle akışı &lt; 2 kg/saat olan herhangi bir baca</w:t>
            </w:r>
          </w:p>
        </w:tc>
        <w:tc>
          <w:tcPr>
            <w:tcW w:w="1920" w:type="dxa"/>
            <w:tcBorders>
              <w:top w:val="single" w:sz="4" w:space="0" w:color="auto"/>
              <w:right w:val="single" w:sz="8" w:space="0" w:color="auto"/>
            </w:tcBorders>
            <w:shd w:val="clear" w:color="auto" w:fill="auto"/>
            <w:vAlign w:val="bottom"/>
          </w:tcPr>
          <w:p w14:paraId="49618A21" w14:textId="77777777" w:rsidR="00A52778" w:rsidRPr="00460F9E" w:rsidRDefault="00A52778" w:rsidP="00FC3F8E">
            <w:pPr>
              <w:spacing w:line="0" w:lineRule="atLeast"/>
              <w:rPr>
                <w:rFonts w:eastAsia="Times New Roman" w:cs="Times New Roman"/>
                <w:b/>
                <w:sz w:val="8"/>
              </w:rPr>
            </w:pPr>
          </w:p>
        </w:tc>
        <w:tc>
          <w:tcPr>
            <w:tcW w:w="1260" w:type="dxa"/>
            <w:vMerge w:val="restart"/>
            <w:tcBorders>
              <w:top w:val="single" w:sz="4" w:space="0" w:color="auto"/>
              <w:right w:val="single" w:sz="8" w:space="0" w:color="auto"/>
            </w:tcBorders>
            <w:shd w:val="clear" w:color="auto" w:fill="auto"/>
            <w:vAlign w:val="bottom"/>
          </w:tcPr>
          <w:p w14:paraId="3DFCE86F" w14:textId="77777777" w:rsidR="00A52778" w:rsidRPr="00460F9E" w:rsidRDefault="00A52778" w:rsidP="00FC3F8E">
            <w:pPr>
              <w:spacing w:line="228" w:lineRule="exact"/>
              <w:jc w:val="center"/>
              <w:rPr>
                <w:rFonts w:eastAsia="Times New Roman" w:cs="Times New Roman"/>
                <w:b/>
              </w:rPr>
            </w:pPr>
            <w:r w:rsidRPr="00460F9E">
              <w:rPr>
                <w:rFonts w:eastAsia="Times New Roman" w:cs="Times New Roman"/>
              </w:rPr>
              <w:t>Her 6 ayda    bir kere</w:t>
            </w:r>
          </w:p>
        </w:tc>
        <w:tc>
          <w:tcPr>
            <w:tcW w:w="1380" w:type="dxa"/>
            <w:vMerge/>
            <w:tcBorders>
              <w:right w:val="single" w:sz="8" w:space="0" w:color="auto"/>
            </w:tcBorders>
            <w:shd w:val="clear" w:color="auto" w:fill="auto"/>
            <w:vAlign w:val="bottom"/>
          </w:tcPr>
          <w:p w14:paraId="2A6DB900" w14:textId="77777777" w:rsidR="00A52778" w:rsidRPr="00460F9E" w:rsidRDefault="00A52778" w:rsidP="00FC3F8E">
            <w:pPr>
              <w:spacing w:line="0" w:lineRule="atLeast"/>
              <w:rPr>
                <w:rFonts w:eastAsia="Times New Roman" w:cs="Times New Roman"/>
                <w:b/>
                <w:sz w:val="8"/>
              </w:rPr>
            </w:pPr>
          </w:p>
        </w:tc>
      </w:tr>
      <w:tr w:rsidR="00A52778" w:rsidRPr="00460F9E" w14:paraId="551ED2F6" w14:textId="77777777" w:rsidTr="00FC3F8E">
        <w:trPr>
          <w:trHeight w:val="127"/>
        </w:trPr>
        <w:tc>
          <w:tcPr>
            <w:tcW w:w="1840" w:type="dxa"/>
            <w:gridSpan w:val="3"/>
            <w:vMerge/>
            <w:tcBorders>
              <w:left w:val="single" w:sz="8" w:space="0" w:color="auto"/>
              <w:right w:val="single" w:sz="8" w:space="0" w:color="auto"/>
            </w:tcBorders>
            <w:shd w:val="clear" w:color="auto" w:fill="auto"/>
            <w:vAlign w:val="bottom"/>
          </w:tcPr>
          <w:p w14:paraId="2E30F225" w14:textId="77777777" w:rsidR="00A52778" w:rsidRPr="00460F9E" w:rsidRDefault="00A52778" w:rsidP="00FC3F8E">
            <w:pPr>
              <w:spacing w:line="0" w:lineRule="atLeast"/>
              <w:rPr>
                <w:rFonts w:eastAsia="Times New Roman" w:cs="Times New Roman"/>
                <w:b/>
                <w:sz w:val="11"/>
              </w:rPr>
            </w:pPr>
          </w:p>
        </w:tc>
        <w:tc>
          <w:tcPr>
            <w:tcW w:w="1640" w:type="dxa"/>
            <w:vMerge/>
            <w:tcBorders>
              <w:left w:val="single" w:sz="8" w:space="0" w:color="auto"/>
              <w:right w:val="single" w:sz="8" w:space="0" w:color="auto"/>
            </w:tcBorders>
            <w:shd w:val="clear" w:color="auto" w:fill="auto"/>
            <w:vAlign w:val="bottom"/>
          </w:tcPr>
          <w:p w14:paraId="26C63236" w14:textId="77777777" w:rsidR="00A52778" w:rsidRPr="00460F9E" w:rsidRDefault="00A52778" w:rsidP="00FC3F8E">
            <w:pPr>
              <w:spacing w:line="0" w:lineRule="atLeast"/>
              <w:rPr>
                <w:rFonts w:eastAsia="Times New Roman" w:cs="Times New Roman"/>
                <w:b/>
                <w:sz w:val="11"/>
              </w:rPr>
            </w:pPr>
          </w:p>
        </w:tc>
        <w:tc>
          <w:tcPr>
            <w:tcW w:w="1240" w:type="dxa"/>
            <w:vMerge/>
            <w:tcBorders>
              <w:right w:val="single" w:sz="8" w:space="0" w:color="auto"/>
            </w:tcBorders>
            <w:shd w:val="clear" w:color="auto" w:fill="auto"/>
            <w:vAlign w:val="bottom"/>
          </w:tcPr>
          <w:p w14:paraId="1C810102" w14:textId="77777777" w:rsidR="00A52778" w:rsidRPr="00460F9E" w:rsidRDefault="00A52778" w:rsidP="00FC3F8E">
            <w:pPr>
              <w:spacing w:line="0" w:lineRule="atLeast"/>
              <w:jc w:val="center"/>
              <w:rPr>
                <w:rFonts w:eastAsia="Times New Roman" w:cs="Times New Roman"/>
                <w:b/>
                <w:sz w:val="11"/>
              </w:rPr>
            </w:pPr>
          </w:p>
        </w:tc>
        <w:tc>
          <w:tcPr>
            <w:tcW w:w="1920" w:type="dxa"/>
            <w:tcBorders>
              <w:right w:val="single" w:sz="8" w:space="0" w:color="auto"/>
            </w:tcBorders>
            <w:shd w:val="clear" w:color="auto" w:fill="auto"/>
            <w:vAlign w:val="bottom"/>
          </w:tcPr>
          <w:p w14:paraId="1C1076D5" w14:textId="77777777" w:rsidR="00A52778" w:rsidRPr="00460F9E" w:rsidRDefault="00A52778" w:rsidP="00FC3F8E">
            <w:pPr>
              <w:spacing w:line="0" w:lineRule="atLeast"/>
              <w:rPr>
                <w:rFonts w:eastAsia="Times New Roman" w:cs="Times New Roman"/>
                <w:b/>
                <w:sz w:val="11"/>
              </w:rPr>
            </w:pPr>
          </w:p>
        </w:tc>
        <w:tc>
          <w:tcPr>
            <w:tcW w:w="1260" w:type="dxa"/>
            <w:vMerge/>
            <w:tcBorders>
              <w:right w:val="single" w:sz="8" w:space="0" w:color="auto"/>
            </w:tcBorders>
            <w:shd w:val="clear" w:color="auto" w:fill="auto"/>
            <w:vAlign w:val="bottom"/>
          </w:tcPr>
          <w:p w14:paraId="3EAB7955" w14:textId="77777777" w:rsidR="00A52778" w:rsidRPr="00460F9E" w:rsidRDefault="00A52778" w:rsidP="00FC3F8E">
            <w:pPr>
              <w:spacing w:line="228" w:lineRule="exact"/>
              <w:jc w:val="center"/>
              <w:rPr>
                <w:rFonts w:eastAsia="Times New Roman" w:cs="Times New Roman"/>
                <w:b/>
                <w:sz w:val="11"/>
              </w:rPr>
            </w:pPr>
          </w:p>
        </w:tc>
        <w:tc>
          <w:tcPr>
            <w:tcW w:w="1380" w:type="dxa"/>
            <w:vMerge/>
            <w:tcBorders>
              <w:right w:val="single" w:sz="8" w:space="0" w:color="auto"/>
            </w:tcBorders>
            <w:shd w:val="clear" w:color="auto" w:fill="auto"/>
            <w:vAlign w:val="bottom"/>
          </w:tcPr>
          <w:p w14:paraId="535A954F" w14:textId="77777777" w:rsidR="00A52778" w:rsidRPr="00460F9E" w:rsidRDefault="00A52778" w:rsidP="00FC3F8E">
            <w:pPr>
              <w:spacing w:line="0" w:lineRule="atLeast"/>
              <w:rPr>
                <w:rFonts w:eastAsia="Times New Roman" w:cs="Times New Roman"/>
                <w:b/>
                <w:sz w:val="11"/>
              </w:rPr>
            </w:pPr>
          </w:p>
        </w:tc>
      </w:tr>
      <w:tr w:rsidR="00A52778" w:rsidRPr="00460F9E" w14:paraId="25D79D0C" w14:textId="77777777" w:rsidTr="00FC3F8E">
        <w:trPr>
          <w:trHeight w:val="115"/>
        </w:trPr>
        <w:tc>
          <w:tcPr>
            <w:tcW w:w="1840" w:type="dxa"/>
            <w:gridSpan w:val="3"/>
            <w:vMerge/>
            <w:tcBorders>
              <w:left w:val="single" w:sz="8" w:space="0" w:color="auto"/>
              <w:right w:val="single" w:sz="8" w:space="0" w:color="auto"/>
            </w:tcBorders>
            <w:shd w:val="clear" w:color="auto" w:fill="auto"/>
            <w:vAlign w:val="bottom"/>
          </w:tcPr>
          <w:p w14:paraId="1A900A5A" w14:textId="77777777" w:rsidR="00A52778" w:rsidRPr="00460F9E" w:rsidRDefault="00A52778" w:rsidP="00FC3F8E">
            <w:pPr>
              <w:spacing w:line="0" w:lineRule="atLeast"/>
              <w:rPr>
                <w:rFonts w:eastAsia="Times New Roman" w:cs="Times New Roman"/>
                <w:b/>
                <w:sz w:val="10"/>
              </w:rPr>
            </w:pPr>
          </w:p>
        </w:tc>
        <w:tc>
          <w:tcPr>
            <w:tcW w:w="1640" w:type="dxa"/>
            <w:vMerge/>
            <w:tcBorders>
              <w:left w:val="single" w:sz="8" w:space="0" w:color="auto"/>
              <w:right w:val="single" w:sz="8" w:space="0" w:color="auto"/>
            </w:tcBorders>
            <w:shd w:val="clear" w:color="auto" w:fill="auto"/>
            <w:vAlign w:val="bottom"/>
          </w:tcPr>
          <w:p w14:paraId="22E9D026" w14:textId="77777777" w:rsidR="00A52778" w:rsidRPr="00460F9E" w:rsidRDefault="00A52778" w:rsidP="00FC3F8E">
            <w:pPr>
              <w:spacing w:line="0" w:lineRule="atLeast"/>
              <w:rPr>
                <w:rFonts w:eastAsia="Times New Roman" w:cs="Times New Roman"/>
                <w:b/>
                <w:sz w:val="10"/>
              </w:rPr>
            </w:pPr>
          </w:p>
        </w:tc>
        <w:tc>
          <w:tcPr>
            <w:tcW w:w="1240" w:type="dxa"/>
            <w:vMerge/>
            <w:tcBorders>
              <w:right w:val="single" w:sz="8" w:space="0" w:color="auto"/>
            </w:tcBorders>
            <w:shd w:val="clear" w:color="auto" w:fill="auto"/>
            <w:vAlign w:val="bottom"/>
          </w:tcPr>
          <w:p w14:paraId="7EE31725" w14:textId="77777777" w:rsidR="00A52778" w:rsidRPr="00460F9E" w:rsidRDefault="00A52778" w:rsidP="00FC3F8E">
            <w:pPr>
              <w:spacing w:line="0" w:lineRule="atLeast"/>
              <w:jc w:val="center"/>
              <w:rPr>
                <w:rFonts w:eastAsia="Times New Roman" w:cs="Times New Roman"/>
                <w:b/>
                <w:w w:val="99"/>
              </w:rPr>
            </w:pPr>
          </w:p>
        </w:tc>
        <w:tc>
          <w:tcPr>
            <w:tcW w:w="1920" w:type="dxa"/>
            <w:tcBorders>
              <w:right w:val="single" w:sz="8" w:space="0" w:color="auto"/>
            </w:tcBorders>
            <w:shd w:val="clear" w:color="auto" w:fill="auto"/>
            <w:vAlign w:val="bottom"/>
          </w:tcPr>
          <w:p w14:paraId="68FBE25F" w14:textId="77777777" w:rsidR="00A52778" w:rsidRPr="00460F9E" w:rsidRDefault="00A52778" w:rsidP="00FC3F8E">
            <w:pPr>
              <w:spacing w:line="0" w:lineRule="atLeast"/>
              <w:rPr>
                <w:rFonts w:eastAsia="Times New Roman" w:cs="Times New Roman"/>
                <w:b/>
                <w:sz w:val="10"/>
              </w:rPr>
            </w:pPr>
          </w:p>
        </w:tc>
        <w:tc>
          <w:tcPr>
            <w:tcW w:w="1260" w:type="dxa"/>
            <w:vMerge/>
            <w:tcBorders>
              <w:right w:val="single" w:sz="8" w:space="0" w:color="auto"/>
            </w:tcBorders>
            <w:shd w:val="clear" w:color="auto" w:fill="auto"/>
            <w:vAlign w:val="bottom"/>
          </w:tcPr>
          <w:p w14:paraId="22284123" w14:textId="77777777" w:rsidR="00A52778" w:rsidRPr="00460F9E" w:rsidRDefault="00A52778" w:rsidP="00FC3F8E">
            <w:pPr>
              <w:spacing w:line="228" w:lineRule="exact"/>
              <w:jc w:val="center"/>
              <w:rPr>
                <w:rFonts w:eastAsia="Times New Roman" w:cs="Times New Roman"/>
                <w:b/>
                <w:sz w:val="10"/>
              </w:rPr>
            </w:pPr>
          </w:p>
        </w:tc>
        <w:tc>
          <w:tcPr>
            <w:tcW w:w="1380" w:type="dxa"/>
            <w:vMerge/>
            <w:tcBorders>
              <w:right w:val="single" w:sz="8" w:space="0" w:color="auto"/>
            </w:tcBorders>
            <w:shd w:val="clear" w:color="auto" w:fill="auto"/>
            <w:vAlign w:val="bottom"/>
          </w:tcPr>
          <w:p w14:paraId="7D57A165" w14:textId="77777777" w:rsidR="00A52778" w:rsidRPr="00460F9E" w:rsidRDefault="00A52778" w:rsidP="00FC3F8E">
            <w:pPr>
              <w:spacing w:line="0" w:lineRule="atLeast"/>
              <w:rPr>
                <w:rFonts w:eastAsia="Times New Roman" w:cs="Times New Roman"/>
                <w:b/>
                <w:sz w:val="10"/>
              </w:rPr>
            </w:pPr>
          </w:p>
        </w:tc>
      </w:tr>
      <w:tr w:rsidR="00A52778" w:rsidRPr="00460F9E" w14:paraId="51C5DF0C" w14:textId="77777777" w:rsidTr="00FC3F8E">
        <w:trPr>
          <w:trHeight w:val="228"/>
        </w:trPr>
        <w:tc>
          <w:tcPr>
            <w:tcW w:w="1840" w:type="dxa"/>
            <w:gridSpan w:val="3"/>
            <w:vMerge/>
            <w:tcBorders>
              <w:left w:val="single" w:sz="8" w:space="0" w:color="auto"/>
              <w:bottom w:val="nil"/>
              <w:right w:val="single" w:sz="8" w:space="0" w:color="auto"/>
            </w:tcBorders>
            <w:shd w:val="clear" w:color="auto" w:fill="auto"/>
            <w:vAlign w:val="bottom"/>
          </w:tcPr>
          <w:p w14:paraId="5BB0AADA" w14:textId="77777777" w:rsidR="00A52778" w:rsidRPr="00460F9E" w:rsidRDefault="00A52778" w:rsidP="00FC3F8E">
            <w:pPr>
              <w:spacing w:line="0" w:lineRule="atLeast"/>
              <w:rPr>
                <w:rFonts w:eastAsia="Times New Roman" w:cs="Times New Roman"/>
                <w:b/>
                <w:sz w:val="9"/>
              </w:rPr>
            </w:pPr>
          </w:p>
        </w:tc>
        <w:tc>
          <w:tcPr>
            <w:tcW w:w="1640" w:type="dxa"/>
            <w:vMerge/>
            <w:tcBorders>
              <w:left w:val="single" w:sz="8" w:space="0" w:color="auto"/>
              <w:bottom w:val="nil"/>
              <w:right w:val="single" w:sz="8" w:space="0" w:color="auto"/>
            </w:tcBorders>
            <w:shd w:val="clear" w:color="auto" w:fill="auto"/>
            <w:vAlign w:val="bottom"/>
          </w:tcPr>
          <w:p w14:paraId="239750B4" w14:textId="77777777" w:rsidR="00A52778" w:rsidRPr="00460F9E" w:rsidRDefault="00A52778" w:rsidP="00FC3F8E">
            <w:pPr>
              <w:spacing w:line="0" w:lineRule="atLeast"/>
              <w:rPr>
                <w:rFonts w:eastAsia="Times New Roman" w:cs="Times New Roman"/>
                <w:b/>
                <w:sz w:val="9"/>
              </w:rPr>
            </w:pPr>
          </w:p>
        </w:tc>
        <w:tc>
          <w:tcPr>
            <w:tcW w:w="1240" w:type="dxa"/>
            <w:vMerge/>
            <w:tcBorders>
              <w:bottom w:val="nil"/>
              <w:right w:val="single" w:sz="8" w:space="0" w:color="auto"/>
            </w:tcBorders>
            <w:shd w:val="clear" w:color="auto" w:fill="auto"/>
            <w:vAlign w:val="bottom"/>
          </w:tcPr>
          <w:p w14:paraId="7EFFC541" w14:textId="77777777" w:rsidR="00A52778" w:rsidRPr="00460F9E" w:rsidRDefault="00A52778" w:rsidP="00FC3F8E">
            <w:pPr>
              <w:spacing w:line="0" w:lineRule="atLeast"/>
              <w:jc w:val="center"/>
              <w:rPr>
                <w:rFonts w:eastAsia="Times New Roman" w:cs="Times New Roman"/>
                <w:b/>
                <w:sz w:val="9"/>
              </w:rPr>
            </w:pPr>
          </w:p>
        </w:tc>
        <w:tc>
          <w:tcPr>
            <w:tcW w:w="1920" w:type="dxa"/>
            <w:tcBorders>
              <w:bottom w:val="nil"/>
              <w:right w:val="single" w:sz="8" w:space="0" w:color="auto"/>
            </w:tcBorders>
            <w:shd w:val="clear" w:color="auto" w:fill="auto"/>
            <w:vAlign w:val="bottom"/>
          </w:tcPr>
          <w:p w14:paraId="353F53D6" w14:textId="77777777" w:rsidR="00A52778" w:rsidRPr="00460F9E" w:rsidRDefault="00A52778" w:rsidP="00FC3F8E">
            <w:pPr>
              <w:spacing w:line="228" w:lineRule="exact"/>
              <w:jc w:val="center"/>
              <w:rPr>
                <w:rFonts w:eastAsia="Times New Roman" w:cs="Times New Roman"/>
                <w:b/>
                <w:w w:val="97"/>
              </w:rPr>
            </w:pPr>
            <w:r w:rsidRPr="00460F9E">
              <w:rPr>
                <w:rFonts w:eastAsia="Times New Roman" w:cs="Times New Roman"/>
                <w:w w:val="97"/>
              </w:rPr>
              <w:t>EN 15058</w:t>
            </w:r>
          </w:p>
        </w:tc>
        <w:tc>
          <w:tcPr>
            <w:tcW w:w="1260" w:type="dxa"/>
            <w:vMerge/>
            <w:tcBorders>
              <w:bottom w:val="nil"/>
              <w:right w:val="single" w:sz="8" w:space="0" w:color="auto"/>
            </w:tcBorders>
            <w:shd w:val="clear" w:color="auto" w:fill="auto"/>
            <w:vAlign w:val="bottom"/>
          </w:tcPr>
          <w:p w14:paraId="59801115" w14:textId="77777777" w:rsidR="00A52778" w:rsidRPr="00460F9E" w:rsidRDefault="00A52778" w:rsidP="00FC3F8E">
            <w:pPr>
              <w:spacing w:line="228" w:lineRule="exact"/>
              <w:jc w:val="center"/>
              <w:rPr>
                <w:rFonts w:eastAsia="Times New Roman" w:cs="Times New Roman"/>
                <w:b/>
                <w:w w:val="98"/>
              </w:rPr>
            </w:pPr>
          </w:p>
        </w:tc>
        <w:tc>
          <w:tcPr>
            <w:tcW w:w="1380" w:type="dxa"/>
            <w:vMerge/>
            <w:tcBorders>
              <w:bottom w:val="nil"/>
              <w:right w:val="single" w:sz="8" w:space="0" w:color="auto"/>
            </w:tcBorders>
            <w:shd w:val="clear" w:color="auto" w:fill="auto"/>
            <w:vAlign w:val="bottom"/>
          </w:tcPr>
          <w:p w14:paraId="211C3264" w14:textId="77777777" w:rsidR="00A52778" w:rsidRPr="00460F9E" w:rsidRDefault="00A52778" w:rsidP="00FC3F8E">
            <w:pPr>
              <w:spacing w:line="0" w:lineRule="atLeast"/>
              <w:rPr>
                <w:rFonts w:eastAsia="Times New Roman" w:cs="Times New Roman"/>
                <w:b/>
                <w:sz w:val="9"/>
              </w:rPr>
            </w:pPr>
          </w:p>
        </w:tc>
      </w:tr>
      <w:tr w:rsidR="00A52778" w:rsidRPr="00460F9E" w14:paraId="08AAE5ED" w14:textId="77777777" w:rsidTr="00FC3F8E">
        <w:trPr>
          <w:trHeight w:val="115"/>
        </w:trPr>
        <w:tc>
          <w:tcPr>
            <w:tcW w:w="1840" w:type="dxa"/>
            <w:gridSpan w:val="3"/>
            <w:vMerge/>
            <w:tcBorders>
              <w:left w:val="single" w:sz="8" w:space="0" w:color="auto"/>
              <w:right w:val="single" w:sz="8" w:space="0" w:color="auto"/>
            </w:tcBorders>
            <w:shd w:val="clear" w:color="auto" w:fill="auto"/>
            <w:vAlign w:val="bottom"/>
          </w:tcPr>
          <w:p w14:paraId="2F0ABC75" w14:textId="77777777" w:rsidR="00A52778" w:rsidRPr="00460F9E" w:rsidRDefault="00A52778" w:rsidP="00FC3F8E">
            <w:pPr>
              <w:spacing w:line="0" w:lineRule="atLeast"/>
              <w:rPr>
                <w:rFonts w:eastAsia="Times New Roman" w:cs="Times New Roman"/>
                <w:b/>
                <w:sz w:val="10"/>
              </w:rPr>
            </w:pPr>
          </w:p>
        </w:tc>
        <w:tc>
          <w:tcPr>
            <w:tcW w:w="1640" w:type="dxa"/>
            <w:vMerge/>
            <w:tcBorders>
              <w:left w:val="single" w:sz="8" w:space="0" w:color="auto"/>
              <w:right w:val="single" w:sz="8" w:space="0" w:color="auto"/>
            </w:tcBorders>
            <w:shd w:val="clear" w:color="auto" w:fill="auto"/>
            <w:vAlign w:val="bottom"/>
          </w:tcPr>
          <w:p w14:paraId="49EC99F6" w14:textId="77777777" w:rsidR="00A52778" w:rsidRPr="00460F9E" w:rsidRDefault="00A52778" w:rsidP="00FC3F8E">
            <w:pPr>
              <w:spacing w:line="0" w:lineRule="atLeast"/>
              <w:rPr>
                <w:rFonts w:eastAsia="Times New Roman" w:cs="Times New Roman"/>
                <w:b/>
                <w:sz w:val="10"/>
              </w:rPr>
            </w:pPr>
          </w:p>
        </w:tc>
        <w:tc>
          <w:tcPr>
            <w:tcW w:w="1240" w:type="dxa"/>
            <w:vMerge/>
            <w:tcBorders>
              <w:right w:val="single" w:sz="8" w:space="0" w:color="auto"/>
            </w:tcBorders>
            <w:shd w:val="clear" w:color="auto" w:fill="auto"/>
            <w:vAlign w:val="bottom"/>
          </w:tcPr>
          <w:p w14:paraId="14DB5AD2" w14:textId="77777777" w:rsidR="00A52778" w:rsidRPr="00460F9E" w:rsidRDefault="00A52778" w:rsidP="00FC3F8E">
            <w:pPr>
              <w:spacing w:line="0" w:lineRule="atLeast"/>
              <w:jc w:val="center"/>
              <w:rPr>
                <w:rFonts w:eastAsia="Times New Roman" w:cs="Times New Roman"/>
                <w:b/>
                <w:sz w:val="10"/>
              </w:rPr>
            </w:pPr>
          </w:p>
        </w:tc>
        <w:tc>
          <w:tcPr>
            <w:tcW w:w="1920" w:type="dxa"/>
            <w:tcBorders>
              <w:right w:val="single" w:sz="8" w:space="0" w:color="auto"/>
            </w:tcBorders>
            <w:shd w:val="clear" w:color="auto" w:fill="auto"/>
            <w:vAlign w:val="bottom"/>
          </w:tcPr>
          <w:p w14:paraId="3E37E5B5" w14:textId="77777777" w:rsidR="00A52778" w:rsidRPr="00460F9E" w:rsidRDefault="00A52778" w:rsidP="00FC3F8E">
            <w:pPr>
              <w:spacing w:line="0" w:lineRule="atLeast"/>
              <w:rPr>
                <w:rFonts w:eastAsia="Times New Roman" w:cs="Times New Roman"/>
                <w:b/>
                <w:sz w:val="10"/>
              </w:rPr>
            </w:pPr>
          </w:p>
        </w:tc>
        <w:tc>
          <w:tcPr>
            <w:tcW w:w="1260" w:type="dxa"/>
            <w:vMerge w:val="restart"/>
            <w:tcBorders>
              <w:right w:val="single" w:sz="8" w:space="0" w:color="auto"/>
            </w:tcBorders>
            <w:shd w:val="clear" w:color="auto" w:fill="auto"/>
            <w:vAlign w:val="bottom"/>
          </w:tcPr>
          <w:p w14:paraId="01742C2C" w14:textId="77777777" w:rsidR="00A52778" w:rsidRPr="00460F9E" w:rsidRDefault="00A52778" w:rsidP="00FC3F8E">
            <w:pPr>
              <w:spacing w:line="0" w:lineRule="atLeast"/>
              <w:jc w:val="center"/>
              <w:rPr>
                <w:rFonts w:eastAsia="Times New Roman" w:cs="Times New Roman"/>
                <w:b/>
                <w:w w:val="90"/>
              </w:rPr>
            </w:pPr>
            <w:r w:rsidRPr="00460F9E">
              <w:rPr>
                <w:rFonts w:eastAsia="Times New Roman" w:cs="Times New Roman"/>
                <w:w w:val="90"/>
              </w:rPr>
              <w:t>(</w:t>
            </w:r>
            <w:r w:rsidRPr="00460F9E">
              <w:rPr>
                <w:rFonts w:eastAsia="Times New Roman" w:cs="Times New Roman"/>
                <w:w w:val="90"/>
                <w:sz w:val="25"/>
                <w:vertAlign w:val="superscript"/>
              </w:rPr>
              <w:t>3</w:t>
            </w:r>
            <w:r w:rsidRPr="00460F9E">
              <w:rPr>
                <w:rFonts w:eastAsia="Times New Roman" w:cs="Times New Roman"/>
                <w:w w:val="90"/>
              </w:rPr>
              <w:t>) (</w:t>
            </w:r>
            <w:r w:rsidRPr="00460F9E">
              <w:rPr>
                <w:rFonts w:eastAsia="Times New Roman" w:cs="Times New Roman"/>
                <w:w w:val="90"/>
                <w:sz w:val="25"/>
                <w:vertAlign w:val="superscript"/>
              </w:rPr>
              <w:t>7</w:t>
            </w:r>
            <w:r w:rsidRPr="00460F9E">
              <w:rPr>
                <w:rFonts w:eastAsia="Times New Roman" w:cs="Times New Roman"/>
                <w:w w:val="90"/>
              </w:rPr>
              <w:t>)</w:t>
            </w:r>
          </w:p>
        </w:tc>
        <w:tc>
          <w:tcPr>
            <w:tcW w:w="1380" w:type="dxa"/>
            <w:vMerge/>
            <w:tcBorders>
              <w:right w:val="single" w:sz="8" w:space="0" w:color="auto"/>
            </w:tcBorders>
            <w:shd w:val="clear" w:color="auto" w:fill="auto"/>
            <w:vAlign w:val="bottom"/>
          </w:tcPr>
          <w:p w14:paraId="60CF382C" w14:textId="77777777" w:rsidR="00A52778" w:rsidRPr="00460F9E" w:rsidRDefault="00A52778" w:rsidP="00FC3F8E">
            <w:pPr>
              <w:spacing w:line="0" w:lineRule="atLeast"/>
              <w:rPr>
                <w:rFonts w:eastAsia="Times New Roman" w:cs="Times New Roman"/>
                <w:b/>
                <w:sz w:val="10"/>
              </w:rPr>
            </w:pPr>
          </w:p>
        </w:tc>
      </w:tr>
      <w:tr w:rsidR="00A52778" w:rsidRPr="00460F9E" w14:paraId="7C17FE82" w14:textId="77777777" w:rsidTr="00FC3F8E">
        <w:trPr>
          <w:trHeight w:val="188"/>
        </w:trPr>
        <w:tc>
          <w:tcPr>
            <w:tcW w:w="1840" w:type="dxa"/>
            <w:gridSpan w:val="3"/>
            <w:vMerge/>
            <w:tcBorders>
              <w:left w:val="single" w:sz="8" w:space="0" w:color="auto"/>
              <w:right w:val="single" w:sz="8" w:space="0" w:color="auto"/>
            </w:tcBorders>
            <w:shd w:val="clear" w:color="auto" w:fill="auto"/>
            <w:vAlign w:val="bottom"/>
          </w:tcPr>
          <w:p w14:paraId="1F43704B" w14:textId="77777777" w:rsidR="00A52778" w:rsidRPr="00460F9E" w:rsidRDefault="00A52778" w:rsidP="00FC3F8E">
            <w:pPr>
              <w:spacing w:line="0" w:lineRule="atLeast"/>
              <w:rPr>
                <w:rFonts w:eastAsia="Times New Roman" w:cs="Times New Roman"/>
                <w:b/>
                <w:sz w:val="16"/>
              </w:rPr>
            </w:pPr>
          </w:p>
        </w:tc>
        <w:tc>
          <w:tcPr>
            <w:tcW w:w="1640" w:type="dxa"/>
            <w:vMerge/>
            <w:tcBorders>
              <w:left w:val="single" w:sz="8" w:space="0" w:color="auto"/>
              <w:right w:val="single" w:sz="8" w:space="0" w:color="auto"/>
            </w:tcBorders>
            <w:shd w:val="clear" w:color="auto" w:fill="auto"/>
            <w:vAlign w:val="bottom"/>
          </w:tcPr>
          <w:p w14:paraId="7937B3C0" w14:textId="77777777" w:rsidR="00A52778" w:rsidRPr="00460F9E" w:rsidRDefault="00A52778" w:rsidP="00FC3F8E">
            <w:pPr>
              <w:spacing w:line="0" w:lineRule="atLeast"/>
              <w:rPr>
                <w:rFonts w:eastAsia="Times New Roman" w:cs="Times New Roman"/>
                <w:b/>
                <w:sz w:val="16"/>
              </w:rPr>
            </w:pPr>
          </w:p>
        </w:tc>
        <w:tc>
          <w:tcPr>
            <w:tcW w:w="1240" w:type="dxa"/>
            <w:vMerge/>
            <w:tcBorders>
              <w:right w:val="single" w:sz="8" w:space="0" w:color="auto"/>
            </w:tcBorders>
            <w:shd w:val="clear" w:color="auto" w:fill="auto"/>
            <w:vAlign w:val="bottom"/>
          </w:tcPr>
          <w:p w14:paraId="68F7CA07" w14:textId="77777777" w:rsidR="00A52778" w:rsidRPr="00460F9E" w:rsidRDefault="00A52778" w:rsidP="00FC3F8E">
            <w:pPr>
              <w:spacing w:line="0" w:lineRule="atLeast"/>
              <w:jc w:val="center"/>
              <w:rPr>
                <w:rFonts w:eastAsia="Times New Roman" w:cs="Times New Roman"/>
                <w:b/>
                <w:w w:val="99"/>
              </w:rPr>
            </w:pPr>
          </w:p>
        </w:tc>
        <w:tc>
          <w:tcPr>
            <w:tcW w:w="1920" w:type="dxa"/>
            <w:tcBorders>
              <w:right w:val="single" w:sz="8" w:space="0" w:color="auto"/>
            </w:tcBorders>
            <w:shd w:val="clear" w:color="auto" w:fill="auto"/>
            <w:vAlign w:val="bottom"/>
          </w:tcPr>
          <w:p w14:paraId="050E635C" w14:textId="77777777" w:rsidR="00A52778" w:rsidRPr="00460F9E" w:rsidRDefault="00A52778" w:rsidP="00FC3F8E">
            <w:pPr>
              <w:spacing w:line="0" w:lineRule="atLeast"/>
              <w:rPr>
                <w:rFonts w:eastAsia="Times New Roman" w:cs="Times New Roman"/>
                <w:b/>
                <w:sz w:val="16"/>
              </w:rPr>
            </w:pPr>
          </w:p>
        </w:tc>
        <w:tc>
          <w:tcPr>
            <w:tcW w:w="1260" w:type="dxa"/>
            <w:vMerge/>
            <w:tcBorders>
              <w:right w:val="single" w:sz="8" w:space="0" w:color="auto"/>
            </w:tcBorders>
            <w:shd w:val="clear" w:color="auto" w:fill="auto"/>
            <w:vAlign w:val="bottom"/>
          </w:tcPr>
          <w:p w14:paraId="14067AB8" w14:textId="77777777" w:rsidR="00A52778" w:rsidRPr="00460F9E" w:rsidRDefault="00A52778" w:rsidP="00FC3F8E">
            <w:pPr>
              <w:spacing w:line="0" w:lineRule="atLeast"/>
              <w:rPr>
                <w:rFonts w:eastAsia="Times New Roman" w:cs="Times New Roman"/>
                <w:b/>
                <w:sz w:val="16"/>
              </w:rPr>
            </w:pPr>
          </w:p>
        </w:tc>
        <w:tc>
          <w:tcPr>
            <w:tcW w:w="1380" w:type="dxa"/>
            <w:vMerge/>
            <w:tcBorders>
              <w:right w:val="single" w:sz="8" w:space="0" w:color="auto"/>
            </w:tcBorders>
            <w:shd w:val="clear" w:color="auto" w:fill="auto"/>
            <w:vAlign w:val="bottom"/>
          </w:tcPr>
          <w:p w14:paraId="579EA475" w14:textId="77777777" w:rsidR="00A52778" w:rsidRPr="00460F9E" w:rsidRDefault="00A52778" w:rsidP="00FC3F8E">
            <w:pPr>
              <w:spacing w:line="0" w:lineRule="atLeast"/>
              <w:rPr>
                <w:rFonts w:eastAsia="Times New Roman" w:cs="Times New Roman"/>
                <w:b/>
                <w:sz w:val="16"/>
              </w:rPr>
            </w:pPr>
          </w:p>
        </w:tc>
      </w:tr>
      <w:tr w:rsidR="00A52778" w:rsidRPr="00460F9E" w14:paraId="7E968A16" w14:textId="77777777" w:rsidTr="00FC3F8E">
        <w:trPr>
          <w:trHeight w:val="45"/>
        </w:trPr>
        <w:tc>
          <w:tcPr>
            <w:tcW w:w="560" w:type="dxa"/>
            <w:tcBorders>
              <w:left w:val="single" w:sz="8" w:space="0" w:color="auto"/>
              <w:bottom w:val="single" w:sz="8" w:space="0" w:color="auto"/>
            </w:tcBorders>
            <w:shd w:val="clear" w:color="auto" w:fill="auto"/>
            <w:vAlign w:val="bottom"/>
          </w:tcPr>
          <w:p w14:paraId="3F8BB18B" w14:textId="77777777" w:rsidR="00A52778" w:rsidRPr="00460F9E" w:rsidRDefault="00A52778" w:rsidP="00FC3F8E">
            <w:pPr>
              <w:spacing w:line="0" w:lineRule="atLeast"/>
              <w:rPr>
                <w:rFonts w:eastAsia="Times New Roman" w:cs="Times New Roman"/>
                <w:b/>
                <w:sz w:val="3"/>
              </w:rPr>
            </w:pPr>
          </w:p>
        </w:tc>
        <w:tc>
          <w:tcPr>
            <w:tcW w:w="520" w:type="dxa"/>
            <w:tcBorders>
              <w:bottom w:val="single" w:sz="8" w:space="0" w:color="auto"/>
            </w:tcBorders>
            <w:shd w:val="clear" w:color="auto" w:fill="auto"/>
            <w:vAlign w:val="bottom"/>
          </w:tcPr>
          <w:p w14:paraId="6D27061F" w14:textId="77777777" w:rsidR="00A52778" w:rsidRPr="00460F9E" w:rsidRDefault="00A52778" w:rsidP="00FC3F8E">
            <w:pPr>
              <w:spacing w:line="0" w:lineRule="atLeast"/>
              <w:rPr>
                <w:rFonts w:eastAsia="Times New Roman" w:cs="Times New Roman"/>
                <w:b/>
                <w:sz w:val="3"/>
              </w:rPr>
            </w:pPr>
          </w:p>
        </w:tc>
        <w:tc>
          <w:tcPr>
            <w:tcW w:w="760" w:type="dxa"/>
            <w:tcBorders>
              <w:bottom w:val="single" w:sz="8" w:space="0" w:color="auto"/>
              <w:right w:val="single" w:sz="8" w:space="0" w:color="auto"/>
            </w:tcBorders>
            <w:shd w:val="clear" w:color="auto" w:fill="auto"/>
            <w:vAlign w:val="bottom"/>
          </w:tcPr>
          <w:p w14:paraId="0D22D14B" w14:textId="77777777" w:rsidR="00A52778" w:rsidRPr="00460F9E" w:rsidRDefault="00A52778" w:rsidP="00FC3F8E">
            <w:pPr>
              <w:spacing w:line="0" w:lineRule="atLeast"/>
              <w:rPr>
                <w:rFonts w:eastAsia="Times New Roman" w:cs="Times New Roman"/>
                <w:b/>
                <w:sz w:val="3"/>
              </w:rPr>
            </w:pPr>
          </w:p>
        </w:tc>
        <w:tc>
          <w:tcPr>
            <w:tcW w:w="1640" w:type="dxa"/>
            <w:vMerge/>
            <w:tcBorders>
              <w:bottom w:val="single" w:sz="8" w:space="0" w:color="auto"/>
              <w:right w:val="single" w:sz="8" w:space="0" w:color="auto"/>
            </w:tcBorders>
            <w:shd w:val="clear" w:color="auto" w:fill="auto"/>
            <w:vAlign w:val="bottom"/>
          </w:tcPr>
          <w:p w14:paraId="0BC3F1CE" w14:textId="77777777" w:rsidR="00A52778" w:rsidRPr="00460F9E" w:rsidRDefault="00A52778" w:rsidP="00FC3F8E">
            <w:pPr>
              <w:spacing w:line="0" w:lineRule="atLeast"/>
              <w:rPr>
                <w:rFonts w:eastAsia="Times New Roman" w:cs="Times New Roman"/>
                <w:b/>
                <w:sz w:val="3"/>
              </w:rPr>
            </w:pPr>
          </w:p>
        </w:tc>
        <w:tc>
          <w:tcPr>
            <w:tcW w:w="1240" w:type="dxa"/>
            <w:vMerge/>
            <w:tcBorders>
              <w:bottom w:val="single" w:sz="8" w:space="0" w:color="auto"/>
              <w:right w:val="single" w:sz="8" w:space="0" w:color="auto"/>
            </w:tcBorders>
            <w:shd w:val="clear" w:color="auto" w:fill="auto"/>
            <w:vAlign w:val="bottom"/>
          </w:tcPr>
          <w:p w14:paraId="77203137" w14:textId="77777777" w:rsidR="00A52778" w:rsidRPr="00460F9E" w:rsidRDefault="00A52778" w:rsidP="00FC3F8E">
            <w:pPr>
              <w:spacing w:line="0" w:lineRule="atLeast"/>
              <w:rPr>
                <w:rFonts w:eastAsia="Times New Roman" w:cs="Times New Roman"/>
                <w:b/>
                <w:sz w:val="3"/>
              </w:rPr>
            </w:pPr>
          </w:p>
        </w:tc>
        <w:tc>
          <w:tcPr>
            <w:tcW w:w="1920" w:type="dxa"/>
            <w:tcBorders>
              <w:bottom w:val="single" w:sz="8" w:space="0" w:color="auto"/>
              <w:right w:val="single" w:sz="8" w:space="0" w:color="auto"/>
            </w:tcBorders>
            <w:shd w:val="clear" w:color="auto" w:fill="auto"/>
            <w:vAlign w:val="bottom"/>
          </w:tcPr>
          <w:p w14:paraId="290D12D4" w14:textId="77777777" w:rsidR="00A52778" w:rsidRPr="00460F9E" w:rsidRDefault="00A52778" w:rsidP="00FC3F8E">
            <w:pPr>
              <w:spacing w:line="0" w:lineRule="atLeast"/>
              <w:rPr>
                <w:rFonts w:eastAsia="Times New Roman" w:cs="Times New Roman"/>
                <w:b/>
                <w:sz w:val="3"/>
              </w:rPr>
            </w:pPr>
          </w:p>
        </w:tc>
        <w:tc>
          <w:tcPr>
            <w:tcW w:w="1260" w:type="dxa"/>
            <w:tcBorders>
              <w:bottom w:val="single" w:sz="8" w:space="0" w:color="auto"/>
              <w:right w:val="single" w:sz="8" w:space="0" w:color="auto"/>
            </w:tcBorders>
            <w:shd w:val="clear" w:color="auto" w:fill="auto"/>
            <w:vAlign w:val="bottom"/>
          </w:tcPr>
          <w:p w14:paraId="75980EA0" w14:textId="77777777" w:rsidR="00A52778" w:rsidRPr="00460F9E" w:rsidRDefault="00A52778" w:rsidP="00FC3F8E">
            <w:pPr>
              <w:spacing w:line="0" w:lineRule="atLeast"/>
              <w:rPr>
                <w:rFonts w:eastAsia="Times New Roman" w:cs="Times New Roman"/>
                <w:b/>
                <w:sz w:val="3"/>
              </w:rPr>
            </w:pPr>
          </w:p>
        </w:tc>
        <w:tc>
          <w:tcPr>
            <w:tcW w:w="1380" w:type="dxa"/>
            <w:tcBorders>
              <w:bottom w:val="single" w:sz="8" w:space="0" w:color="auto"/>
              <w:right w:val="single" w:sz="8" w:space="0" w:color="auto"/>
            </w:tcBorders>
            <w:shd w:val="clear" w:color="auto" w:fill="auto"/>
            <w:vAlign w:val="bottom"/>
          </w:tcPr>
          <w:p w14:paraId="6576187E" w14:textId="77777777" w:rsidR="00A52778" w:rsidRPr="00460F9E" w:rsidRDefault="00A52778" w:rsidP="00FC3F8E">
            <w:pPr>
              <w:spacing w:line="0" w:lineRule="atLeast"/>
              <w:rPr>
                <w:rFonts w:eastAsia="Times New Roman" w:cs="Times New Roman"/>
                <w:b/>
                <w:sz w:val="3"/>
              </w:rPr>
            </w:pPr>
          </w:p>
        </w:tc>
      </w:tr>
      <w:tr w:rsidR="00A52778" w:rsidRPr="00460F9E" w14:paraId="38926B53" w14:textId="77777777" w:rsidTr="00FC3F8E">
        <w:trPr>
          <w:trHeight w:val="45"/>
        </w:trPr>
        <w:tc>
          <w:tcPr>
            <w:tcW w:w="560" w:type="dxa"/>
            <w:tcBorders>
              <w:left w:val="single" w:sz="8" w:space="0" w:color="auto"/>
            </w:tcBorders>
            <w:shd w:val="clear" w:color="auto" w:fill="auto"/>
            <w:vAlign w:val="bottom"/>
          </w:tcPr>
          <w:p w14:paraId="703C78E8" w14:textId="77777777" w:rsidR="00A52778" w:rsidRPr="00460F9E" w:rsidRDefault="00A52778" w:rsidP="00FC3F8E">
            <w:pPr>
              <w:spacing w:line="0" w:lineRule="atLeast"/>
              <w:rPr>
                <w:rFonts w:eastAsia="Times New Roman" w:cs="Times New Roman"/>
                <w:b/>
                <w:sz w:val="18"/>
              </w:rPr>
            </w:pPr>
          </w:p>
        </w:tc>
        <w:tc>
          <w:tcPr>
            <w:tcW w:w="520" w:type="dxa"/>
            <w:shd w:val="clear" w:color="auto" w:fill="auto"/>
            <w:vAlign w:val="bottom"/>
          </w:tcPr>
          <w:p w14:paraId="5AF7537E" w14:textId="77777777" w:rsidR="00A52778" w:rsidRPr="00460F9E" w:rsidRDefault="00A52778" w:rsidP="00FC3F8E">
            <w:pPr>
              <w:spacing w:line="0" w:lineRule="atLeast"/>
              <w:rPr>
                <w:rFonts w:eastAsia="Times New Roman" w:cs="Times New Roman"/>
                <w:b/>
                <w:sz w:val="18"/>
              </w:rPr>
            </w:pPr>
          </w:p>
        </w:tc>
        <w:tc>
          <w:tcPr>
            <w:tcW w:w="760" w:type="dxa"/>
            <w:tcBorders>
              <w:right w:val="single" w:sz="8" w:space="0" w:color="auto"/>
            </w:tcBorders>
            <w:shd w:val="clear" w:color="auto" w:fill="auto"/>
            <w:vAlign w:val="bottom"/>
          </w:tcPr>
          <w:p w14:paraId="5D4AE250" w14:textId="77777777" w:rsidR="00A52778" w:rsidRPr="00460F9E" w:rsidRDefault="00A52778" w:rsidP="00FC3F8E">
            <w:pPr>
              <w:spacing w:line="0" w:lineRule="atLeast"/>
              <w:rPr>
                <w:rFonts w:eastAsia="Times New Roman" w:cs="Times New Roman"/>
                <w:b/>
                <w:sz w:val="18"/>
              </w:rPr>
            </w:pPr>
          </w:p>
        </w:tc>
        <w:tc>
          <w:tcPr>
            <w:tcW w:w="1640" w:type="dxa"/>
            <w:vMerge w:val="restart"/>
            <w:tcBorders>
              <w:right w:val="single" w:sz="8" w:space="0" w:color="auto"/>
            </w:tcBorders>
            <w:shd w:val="clear" w:color="auto" w:fill="auto"/>
            <w:vAlign w:val="center"/>
          </w:tcPr>
          <w:p w14:paraId="1CD8F33A"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Tüm</w:t>
            </w:r>
          </w:p>
          <w:p w14:paraId="49F7BB95"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w w:val="99"/>
              </w:rPr>
              <w:t>prosesler /kaynaklar</w:t>
            </w:r>
          </w:p>
        </w:tc>
        <w:tc>
          <w:tcPr>
            <w:tcW w:w="1240" w:type="dxa"/>
            <w:tcBorders>
              <w:right w:val="single" w:sz="8" w:space="0" w:color="auto"/>
            </w:tcBorders>
            <w:shd w:val="clear" w:color="auto" w:fill="auto"/>
            <w:vAlign w:val="bottom"/>
          </w:tcPr>
          <w:p w14:paraId="3FE40FDB" w14:textId="77777777" w:rsidR="00A52778" w:rsidRPr="00460F9E" w:rsidRDefault="00A52778" w:rsidP="00FC3F8E">
            <w:pPr>
              <w:spacing w:line="0" w:lineRule="atLeast"/>
              <w:rPr>
                <w:rFonts w:eastAsia="Times New Roman" w:cs="Times New Roman"/>
                <w:b/>
                <w:sz w:val="18"/>
              </w:rPr>
            </w:pPr>
          </w:p>
        </w:tc>
        <w:tc>
          <w:tcPr>
            <w:tcW w:w="1920" w:type="dxa"/>
            <w:vMerge w:val="restart"/>
            <w:tcBorders>
              <w:right w:val="single" w:sz="8" w:space="0" w:color="auto"/>
            </w:tcBorders>
            <w:shd w:val="clear" w:color="auto" w:fill="auto"/>
            <w:vAlign w:val="center"/>
          </w:tcPr>
          <w:p w14:paraId="2B411E66"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 xml:space="preserve">EN standardı </w:t>
            </w:r>
          </w:p>
          <w:p w14:paraId="7C3800B9"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mevcut değil</w:t>
            </w:r>
          </w:p>
        </w:tc>
        <w:tc>
          <w:tcPr>
            <w:tcW w:w="1260" w:type="dxa"/>
            <w:vMerge w:val="restart"/>
            <w:tcBorders>
              <w:right w:val="single" w:sz="8" w:space="0" w:color="auto"/>
            </w:tcBorders>
            <w:shd w:val="clear" w:color="auto" w:fill="auto"/>
            <w:vAlign w:val="center"/>
          </w:tcPr>
          <w:p w14:paraId="0B80B8F7"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Her 6 ayda    bir kere</w:t>
            </w:r>
          </w:p>
          <w:p w14:paraId="644483AA" w14:textId="77777777" w:rsidR="00A52778" w:rsidRPr="00460F9E" w:rsidRDefault="00A52778" w:rsidP="00FC3F8E">
            <w:pPr>
              <w:spacing w:line="236" w:lineRule="exact"/>
              <w:jc w:val="center"/>
              <w:rPr>
                <w:rFonts w:eastAsia="Times New Roman" w:cs="Times New Roman"/>
                <w:b/>
              </w:rPr>
            </w:pPr>
            <w:r w:rsidRPr="00460F9E">
              <w:rPr>
                <w:rFonts w:eastAsia="Times New Roman" w:cs="Times New Roman"/>
                <w:w w:val="92"/>
              </w:rPr>
              <w:t>(</w:t>
            </w:r>
            <w:r w:rsidRPr="00460F9E">
              <w:rPr>
                <w:rFonts w:eastAsia="Times New Roman" w:cs="Times New Roman"/>
                <w:w w:val="92"/>
                <w:sz w:val="25"/>
                <w:vertAlign w:val="superscript"/>
              </w:rPr>
              <w:t>3</w:t>
            </w:r>
            <w:r w:rsidRPr="00460F9E">
              <w:rPr>
                <w:rFonts w:eastAsia="Times New Roman" w:cs="Times New Roman"/>
                <w:w w:val="92"/>
              </w:rPr>
              <w:t>)</w:t>
            </w:r>
          </w:p>
        </w:tc>
        <w:tc>
          <w:tcPr>
            <w:tcW w:w="1380" w:type="dxa"/>
            <w:vMerge w:val="restart"/>
            <w:tcBorders>
              <w:right w:val="single" w:sz="8" w:space="0" w:color="auto"/>
            </w:tcBorders>
            <w:shd w:val="clear" w:color="auto" w:fill="auto"/>
            <w:vAlign w:val="center"/>
          </w:tcPr>
          <w:p w14:paraId="337C09D8" w14:textId="77777777" w:rsidR="00A52778" w:rsidRPr="00460F9E" w:rsidRDefault="002A1746" w:rsidP="00FC3F8E">
            <w:pPr>
              <w:spacing w:line="0" w:lineRule="atLeast"/>
              <w:jc w:val="center"/>
              <w:rPr>
                <w:rFonts w:eastAsia="Times New Roman" w:cs="Times New Roman"/>
                <w:b/>
                <w:sz w:val="18"/>
              </w:rPr>
            </w:pPr>
            <w:hyperlink w:anchor="page302" w:history="1">
              <w:r w:rsidR="00A52778" w:rsidRPr="00460F9E">
                <w:rPr>
                  <w:rFonts w:cs="Times New Roman"/>
                </w:rPr>
                <w:t xml:space="preserve"> </w:t>
              </w:r>
              <w:r w:rsidR="00A52778" w:rsidRPr="00460F9E">
                <w:rPr>
                  <w:rFonts w:eastAsia="Times New Roman" w:cs="Times New Roman"/>
                </w:rPr>
                <w:t>MET 11</w:t>
              </w:r>
            </w:hyperlink>
          </w:p>
        </w:tc>
      </w:tr>
      <w:tr w:rsidR="00A52778" w:rsidRPr="00460F9E" w14:paraId="6645CBA1" w14:textId="77777777" w:rsidTr="00FC3F8E">
        <w:trPr>
          <w:trHeight w:val="458"/>
        </w:trPr>
        <w:tc>
          <w:tcPr>
            <w:tcW w:w="1840" w:type="dxa"/>
            <w:gridSpan w:val="3"/>
            <w:tcBorders>
              <w:left w:val="single" w:sz="8" w:space="0" w:color="auto"/>
              <w:bottom w:val="nil"/>
              <w:right w:val="single" w:sz="8" w:space="0" w:color="auto"/>
            </w:tcBorders>
            <w:shd w:val="clear" w:color="auto" w:fill="auto"/>
            <w:vAlign w:val="bottom"/>
          </w:tcPr>
          <w:p w14:paraId="642C3068" w14:textId="77777777" w:rsidR="00A52778" w:rsidRPr="00460F9E" w:rsidRDefault="00A52778" w:rsidP="00FC3F8E">
            <w:pPr>
              <w:spacing w:line="0" w:lineRule="atLeast"/>
              <w:jc w:val="center"/>
              <w:rPr>
                <w:rFonts w:eastAsia="Times New Roman" w:cs="Times New Roman"/>
                <w:b/>
                <w:w w:val="98"/>
              </w:rPr>
            </w:pPr>
            <w:r w:rsidRPr="00460F9E">
              <w:rPr>
                <w:rFonts w:eastAsia="Times New Roman" w:cs="Times New Roman"/>
                <w:w w:val="98"/>
              </w:rPr>
              <w:t>Klorometan</w:t>
            </w:r>
          </w:p>
        </w:tc>
        <w:tc>
          <w:tcPr>
            <w:tcW w:w="1640" w:type="dxa"/>
            <w:vMerge/>
            <w:tcBorders>
              <w:bottom w:val="nil"/>
              <w:right w:val="single" w:sz="8" w:space="0" w:color="auto"/>
            </w:tcBorders>
            <w:shd w:val="clear" w:color="auto" w:fill="auto"/>
            <w:vAlign w:val="bottom"/>
          </w:tcPr>
          <w:p w14:paraId="0E49FD25" w14:textId="77777777" w:rsidR="00A52778" w:rsidRPr="00460F9E" w:rsidRDefault="00A52778" w:rsidP="00FC3F8E">
            <w:pPr>
              <w:spacing w:line="0" w:lineRule="atLeast"/>
              <w:jc w:val="center"/>
              <w:rPr>
                <w:rFonts w:eastAsia="Times New Roman" w:cs="Times New Roman"/>
                <w:b/>
                <w:sz w:val="10"/>
              </w:rPr>
            </w:pPr>
          </w:p>
        </w:tc>
        <w:tc>
          <w:tcPr>
            <w:tcW w:w="1240" w:type="dxa"/>
            <w:tcBorders>
              <w:bottom w:val="nil"/>
              <w:right w:val="single" w:sz="8" w:space="0" w:color="auto"/>
            </w:tcBorders>
            <w:shd w:val="clear" w:color="auto" w:fill="auto"/>
            <w:vAlign w:val="bottom"/>
          </w:tcPr>
          <w:p w14:paraId="4781357B" w14:textId="77777777" w:rsidR="00A52778" w:rsidRPr="00460F9E" w:rsidRDefault="00A52778" w:rsidP="00FC3F8E">
            <w:pPr>
              <w:spacing w:line="228" w:lineRule="exact"/>
              <w:jc w:val="center"/>
              <w:rPr>
                <w:rFonts w:eastAsia="Times New Roman" w:cs="Times New Roman"/>
                <w:b/>
                <w:w w:val="99"/>
              </w:rPr>
            </w:pPr>
            <w:r w:rsidRPr="00460F9E">
              <w:rPr>
                <w:rFonts w:eastAsia="Times New Roman" w:cs="Times New Roman"/>
                <w:w w:val="99"/>
              </w:rPr>
              <w:t>Herhangi bir</w:t>
            </w:r>
          </w:p>
          <w:p w14:paraId="42ED7CA3"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baca</w:t>
            </w:r>
          </w:p>
        </w:tc>
        <w:tc>
          <w:tcPr>
            <w:tcW w:w="1920" w:type="dxa"/>
            <w:vMerge/>
            <w:tcBorders>
              <w:bottom w:val="nil"/>
              <w:right w:val="single" w:sz="8" w:space="0" w:color="auto"/>
            </w:tcBorders>
            <w:shd w:val="clear" w:color="auto" w:fill="auto"/>
            <w:vAlign w:val="bottom"/>
          </w:tcPr>
          <w:p w14:paraId="2BD34199" w14:textId="77777777" w:rsidR="00A52778" w:rsidRPr="00460F9E" w:rsidRDefault="00A52778" w:rsidP="00FC3F8E">
            <w:pPr>
              <w:spacing w:line="0" w:lineRule="atLeast"/>
              <w:jc w:val="center"/>
              <w:rPr>
                <w:rFonts w:eastAsia="Times New Roman" w:cs="Times New Roman"/>
                <w:b/>
                <w:sz w:val="10"/>
              </w:rPr>
            </w:pPr>
          </w:p>
        </w:tc>
        <w:tc>
          <w:tcPr>
            <w:tcW w:w="1260" w:type="dxa"/>
            <w:vMerge/>
            <w:tcBorders>
              <w:right w:val="single" w:sz="8" w:space="0" w:color="auto"/>
            </w:tcBorders>
            <w:shd w:val="clear" w:color="auto" w:fill="auto"/>
            <w:vAlign w:val="bottom"/>
          </w:tcPr>
          <w:p w14:paraId="62884FE4" w14:textId="77777777" w:rsidR="00A52778" w:rsidRPr="00460F9E" w:rsidRDefault="00A52778" w:rsidP="00FC3F8E">
            <w:pPr>
              <w:spacing w:line="236" w:lineRule="exact"/>
              <w:jc w:val="center"/>
              <w:rPr>
                <w:rFonts w:eastAsia="Times New Roman" w:cs="Times New Roman"/>
                <w:b/>
              </w:rPr>
            </w:pPr>
          </w:p>
        </w:tc>
        <w:tc>
          <w:tcPr>
            <w:tcW w:w="1380" w:type="dxa"/>
            <w:vMerge/>
            <w:tcBorders>
              <w:right w:val="single" w:sz="8" w:space="0" w:color="auto"/>
            </w:tcBorders>
            <w:shd w:val="clear" w:color="auto" w:fill="auto"/>
            <w:vAlign w:val="bottom"/>
          </w:tcPr>
          <w:p w14:paraId="226DB858" w14:textId="77777777" w:rsidR="00A52778" w:rsidRPr="00460F9E" w:rsidRDefault="00A52778" w:rsidP="00FC3F8E">
            <w:pPr>
              <w:spacing w:line="0" w:lineRule="atLeast"/>
              <w:jc w:val="center"/>
              <w:rPr>
                <w:rFonts w:eastAsia="Times New Roman" w:cs="Times New Roman"/>
                <w:b/>
              </w:rPr>
            </w:pPr>
          </w:p>
        </w:tc>
      </w:tr>
      <w:tr w:rsidR="00A52778" w:rsidRPr="00460F9E" w14:paraId="52F1E966" w14:textId="77777777" w:rsidTr="00FC3F8E">
        <w:trPr>
          <w:trHeight w:val="115"/>
        </w:trPr>
        <w:tc>
          <w:tcPr>
            <w:tcW w:w="560" w:type="dxa"/>
            <w:tcBorders>
              <w:left w:val="single" w:sz="8" w:space="0" w:color="auto"/>
            </w:tcBorders>
            <w:shd w:val="clear" w:color="auto" w:fill="auto"/>
            <w:vAlign w:val="bottom"/>
          </w:tcPr>
          <w:p w14:paraId="1EA1BA27" w14:textId="77777777" w:rsidR="00A52778" w:rsidRPr="00460F9E" w:rsidRDefault="00A52778" w:rsidP="00FC3F8E">
            <w:pPr>
              <w:spacing w:line="0" w:lineRule="atLeast"/>
              <w:rPr>
                <w:rFonts w:eastAsia="Times New Roman" w:cs="Times New Roman"/>
                <w:b/>
                <w:sz w:val="10"/>
              </w:rPr>
            </w:pPr>
          </w:p>
        </w:tc>
        <w:tc>
          <w:tcPr>
            <w:tcW w:w="520" w:type="dxa"/>
            <w:shd w:val="clear" w:color="auto" w:fill="auto"/>
            <w:vAlign w:val="bottom"/>
          </w:tcPr>
          <w:p w14:paraId="3D6F3BC4" w14:textId="77777777" w:rsidR="00A52778" w:rsidRPr="00460F9E" w:rsidRDefault="00A52778" w:rsidP="00FC3F8E">
            <w:pPr>
              <w:spacing w:line="0" w:lineRule="atLeast"/>
              <w:rPr>
                <w:rFonts w:eastAsia="Times New Roman" w:cs="Times New Roman"/>
                <w:b/>
                <w:sz w:val="10"/>
              </w:rPr>
            </w:pPr>
          </w:p>
        </w:tc>
        <w:tc>
          <w:tcPr>
            <w:tcW w:w="760" w:type="dxa"/>
            <w:tcBorders>
              <w:right w:val="single" w:sz="8" w:space="0" w:color="auto"/>
            </w:tcBorders>
            <w:shd w:val="clear" w:color="auto" w:fill="auto"/>
            <w:vAlign w:val="bottom"/>
          </w:tcPr>
          <w:p w14:paraId="6F54A09F" w14:textId="77777777" w:rsidR="00A52778" w:rsidRPr="00460F9E" w:rsidRDefault="00A52778" w:rsidP="00FC3F8E">
            <w:pPr>
              <w:spacing w:line="0" w:lineRule="atLeast"/>
              <w:rPr>
                <w:rFonts w:eastAsia="Times New Roman" w:cs="Times New Roman"/>
                <w:b/>
                <w:sz w:val="10"/>
              </w:rPr>
            </w:pPr>
          </w:p>
        </w:tc>
        <w:tc>
          <w:tcPr>
            <w:tcW w:w="1640" w:type="dxa"/>
            <w:vMerge/>
            <w:tcBorders>
              <w:right w:val="single" w:sz="8" w:space="0" w:color="auto"/>
            </w:tcBorders>
            <w:shd w:val="clear" w:color="auto" w:fill="auto"/>
            <w:vAlign w:val="bottom"/>
          </w:tcPr>
          <w:p w14:paraId="1CA2EC79" w14:textId="77777777" w:rsidR="00A52778" w:rsidRPr="00460F9E" w:rsidRDefault="00A52778" w:rsidP="00FC3F8E">
            <w:pPr>
              <w:spacing w:line="0" w:lineRule="atLeast"/>
              <w:rPr>
                <w:rFonts w:eastAsia="Times New Roman" w:cs="Times New Roman"/>
                <w:b/>
                <w:sz w:val="10"/>
              </w:rPr>
            </w:pPr>
          </w:p>
        </w:tc>
        <w:tc>
          <w:tcPr>
            <w:tcW w:w="1240" w:type="dxa"/>
            <w:tcBorders>
              <w:right w:val="single" w:sz="8" w:space="0" w:color="auto"/>
            </w:tcBorders>
            <w:shd w:val="clear" w:color="auto" w:fill="auto"/>
            <w:vAlign w:val="bottom"/>
          </w:tcPr>
          <w:p w14:paraId="3156A969" w14:textId="77777777" w:rsidR="00A52778" w:rsidRPr="00460F9E" w:rsidRDefault="00A52778" w:rsidP="00FC3F8E">
            <w:pPr>
              <w:spacing w:line="0" w:lineRule="atLeast"/>
              <w:rPr>
                <w:rFonts w:eastAsia="Times New Roman" w:cs="Times New Roman"/>
                <w:b/>
                <w:sz w:val="10"/>
              </w:rPr>
            </w:pPr>
          </w:p>
        </w:tc>
        <w:tc>
          <w:tcPr>
            <w:tcW w:w="1920" w:type="dxa"/>
            <w:vMerge/>
            <w:tcBorders>
              <w:right w:val="single" w:sz="8" w:space="0" w:color="auto"/>
            </w:tcBorders>
            <w:shd w:val="clear" w:color="auto" w:fill="auto"/>
            <w:vAlign w:val="bottom"/>
          </w:tcPr>
          <w:p w14:paraId="64ADF79C" w14:textId="77777777" w:rsidR="00A52778" w:rsidRPr="00460F9E" w:rsidRDefault="00A52778" w:rsidP="00FC3F8E">
            <w:pPr>
              <w:spacing w:line="0" w:lineRule="atLeast"/>
              <w:rPr>
                <w:rFonts w:eastAsia="Times New Roman" w:cs="Times New Roman"/>
                <w:b/>
                <w:sz w:val="10"/>
              </w:rPr>
            </w:pPr>
          </w:p>
        </w:tc>
        <w:tc>
          <w:tcPr>
            <w:tcW w:w="1260" w:type="dxa"/>
            <w:vMerge/>
            <w:tcBorders>
              <w:right w:val="single" w:sz="8" w:space="0" w:color="auto"/>
            </w:tcBorders>
            <w:shd w:val="clear" w:color="auto" w:fill="auto"/>
            <w:vAlign w:val="bottom"/>
          </w:tcPr>
          <w:p w14:paraId="01010D0B" w14:textId="77777777" w:rsidR="00A52778" w:rsidRPr="00460F9E" w:rsidRDefault="00A52778" w:rsidP="00FC3F8E">
            <w:pPr>
              <w:spacing w:line="236" w:lineRule="exact"/>
              <w:jc w:val="center"/>
              <w:rPr>
                <w:rFonts w:eastAsia="Times New Roman" w:cs="Times New Roman"/>
                <w:b/>
                <w:w w:val="92"/>
              </w:rPr>
            </w:pPr>
          </w:p>
        </w:tc>
        <w:tc>
          <w:tcPr>
            <w:tcW w:w="1380" w:type="dxa"/>
            <w:vMerge/>
            <w:tcBorders>
              <w:right w:val="single" w:sz="8" w:space="0" w:color="auto"/>
            </w:tcBorders>
            <w:shd w:val="clear" w:color="auto" w:fill="auto"/>
            <w:vAlign w:val="bottom"/>
          </w:tcPr>
          <w:p w14:paraId="205E0BA8" w14:textId="77777777" w:rsidR="00A52778" w:rsidRPr="00460F9E" w:rsidRDefault="00A52778" w:rsidP="00FC3F8E">
            <w:pPr>
              <w:spacing w:line="0" w:lineRule="atLeast"/>
              <w:rPr>
                <w:rFonts w:eastAsia="Times New Roman" w:cs="Times New Roman"/>
                <w:b/>
                <w:sz w:val="10"/>
              </w:rPr>
            </w:pPr>
          </w:p>
        </w:tc>
      </w:tr>
      <w:tr w:rsidR="00A52778" w:rsidRPr="00460F9E" w14:paraId="2FD1599E" w14:textId="77777777" w:rsidTr="00FC3F8E">
        <w:trPr>
          <w:trHeight w:val="121"/>
        </w:trPr>
        <w:tc>
          <w:tcPr>
            <w:tcW w:w="560" w:type="dxa"/>
            <w:tcBorders>
              <w:left w:val="single" w:sz="8" w:space="0" w:color="auto"/>
              <w:bottom w:val="single" w:sz="8" w:space="0" w:color="auto"/>
            </w:tcBorders>
            <w:shd w:val="clear" w:color="auto" w:fill="auto"/>
            <w:vAlign w:val="bottom"/>
          </w:tcPr>
          <w:p w14:paraId="2593CA55" w14:textId="77777777" w:rsidR="00A52778" w:rsidRPr="00460F9E" w:rsidRDefault="00A52778" w:rsidP="00FC3F8E">
            <w:pPr>
              <w:spacing w:line="0" w:lineRule="atLeast"/>
              <w:rPr>
                <w:rFonts w:eastAsia="Times New Roman" w:cs="Times New Roman"/>
                <w:b/>
                <w:sz w:val="10"/>
              </w:rPr>
            </w:pPr>
          </w:p>
        </w:tc>
        <w:tc>
          <w:tcPr>
            <w:tcW w:w="520" w:type="dxa"/>
            <w:tcBorders>
              <w:bottom w:val="single" w:sz="8" w:space="0" w:color="auto"/>
            </w:tcBorders>
            <w:shd w:val="clear" w:color="auto" w:fill="auto"/>
            <w:vAlign w:val="bottom"/>
          </w:tcPr>
          <w:p w14:paraId="31C5D9A0" w14:textId="77777777" w:rsidR="00A52778" w:rsidRPr="00460F9E" w:rsidRDefault="00A52778" w:rsidP="00FC3F8E">
            <w:pPr>
              <w:spacing w:line="0" w:lineRule="atLeast"/>
              <w:rPr>
                <w:rFonts w:eastAsia="Times New Roman" w:cs="Times New Roman"/>
                <w:b/>
                <w:sz w:val="10"/>
              </w:rPr>
            </w:pPr>
          </w:p>
        </w:tc>
        <w:tc>
          <w:tcPr>
            <w:tcW w:w="760" w:type="dxa"/>
            <w:tcBorders>
              <w:bottom w:val="single" w:sz="8" w:space="0" w:color="auto"/>
              <w:right w:val="single" w:sz="8" w:space="0" w:color="auto"/>
            </w:tcBorders>
            <w:shd w:val="clear" w:color="auto" w:fill="auto"/>
            <w:vAlign w:val="bottom"/>
          </w:tcPr>
          <w:p w14:paraId="0E3A9230" w14:textId="77777777" w:rsidR="00A52778" w:rsidRPr="00460F9E" w:rsidRDefault="00A52778" w:rsidP="00FC3F8E">
            <w:pPr>
              <w:spacing w:line="0" w:lineRule="atLeast"/>
              <w:rPr>
                <w:rFonts w:eastAsia="Times New Roman" w:cs="Times New Roman"/>
                <w:b/>
                <w:sz w:val="10"/>
              </w:rPr>
            </w:pPr>
          </w:p>
        </w:tc>
        <w:tc>
          <w:tcPr>
            <w:tcW w:w="1640" w:type="dxa"/>
            <w:vMerge/>
            <w:tcBorders>
              <w:bottom w:val="single" w:sz="8" w:space="0" w:color="auto"/>
              <w:right w:val="single" w:sz="8" w:space="0" w:color="auto"/>
            </w:tcBorders>
            <w:shd w:val="clear" w:color="auto" w:fill="auto"/>
            <w:vAlign w:val="bottom"/>
          </w:tcPr>
          <w:p w14:paraId="780704B7" w14:textId="77777777" w:rsidR="00A52778" w:rsidRPr="00460F9E" w:rsidRDefault="00A52778" w:rsidP="00FC3F8E">
            <w:pPr>
              <w:spacing w:line="0" w:lineRule="atLeast"/>
              <w:rPr>
                <w:rFonts w:eastAsia="Times New Roman" w:cs="Times New Roman"/>
                <w:b/>
                <w:sz w:val="10"/>
              </w:rPr>
            </w:pPr>
          </w:p>
        </w:tc>
        <w:tc>
          <w:tcPr>
            <w:tcW w:w="1240" w:type="dxa"/>
            <w:tcBorders>
              <w:bottom w:val="single" w:sz="8" w:space="0" w:color="auto"/>
              <w:right w:val="single" w:sz="8" w:space="0" w:color="auto"/>
            </w:tcBorders>
            <w:shd w:val="clear" w:color="auto" w:fill="auto"/>
            <w:vAlign w:val="bottom"/>
          </w:tcPr>
          <w:p w14:paraId="404CD30C" w14:textId="77777777" w:rsidR="00A52778" w:rsidRPr="00460F9E" w:rsidRDefault="00A52778" w:rsidP="00FC3F8E">
            <w:pPr>
              <w:spacing w:line="0" w:lineRule="atLeast"/>
              <w:rPr>
                <w:rFonts w:eastAsia="Times New Roman" w:cs="Times New Roman"/>
                <w:b/>
                <w:sz w:val="10"/>
              </w:rPr>
            </w:pPr>
          </w:p>
        </w:tc>
        <w:tc>
          <w:tcPr>
            <w:tcW w:w="1920" w:type="dxa"/>
            <w:vMerge/>
            <w:tcBorders>
              <w:bottom w:val="single" w:sz="8" w:space="0" w:color="auto"/>
              <w:right w:val="single" w:sz="8" w:space="0" w:color="auto"/>
            </w:tcBorders>
            <w:shd w:val="clear" w:color="auto" w:fill="auto"/>
            <w:vAlign w:val="bottom"/>
          </w:tcPr>
          <w:p w14:paraId="5E4942DB" w14:textId="77777777" w:rsidR="00A52778" w:rsidRPr="00460F9E" w:rsidRDefault="00A52778" w:rsidP="00FC3F8E">
            <w:pPr>
              <w:spacing w:line="0" w:lineRule="atLeast"/>
              <w:rPr>
                <w:rFonts w:eastAsia="Times New Roman" w:cs="Times New Roman"/>
                <w:b/>
                <w:sz w:val="10"/>
              </w:rPr>
            </w:pPr>
          </w:p>
        </w:tc>
        <w:tc>
          <w:tcPr>
            <w:tcW w:w="1260" w:type="dxa"/>
            <w:vMerge/>
            <w:tcBorders>
              <w:bottom w:val="single" w:sz="8" w:space="0" w:color="auto"/>
              <w:right w:val="single" w:sz="8" w:space="0" w:color="auto"/>
            </w:tcBorders>
            <w:shd w:val="clear" w:color="auto" w:fill="auto"/>
            <w:vAlign w:val="bottom"/>
          </w:tcPr>
          <w:p w14:paraId="3B96C10C" w14:textId="77777777" w:rsidR="00A52778" w:rsidRPr="00460F9E" w:rsidRDefault="00A52778" w:rsidP="00FC3F8E">
            <w:pPr>
              <w:spacing w:line="0" w:lineRule="atLeast"/>
              <w:rPr>
                <w:rFonts w:eastAsia="Times New Roman" w:cs="Times New Roman"/>
                <w:b/>
                <w:sz w:val="10"/>
              </w:rPr>
            </w:pPr>
          </w:p>
        </w:tc>
        <w:tc>
          <w:tcPr>
            <w:tcW w:w="1380" w:type="dxa"/>
            <w:vMerge/>
            <w:tcBorders>
              <w:bottom w:val="single" w:sz="8" w:space="0" w:color="auto"/>
              <w:right w:val="single" w:sz="8" w:space="0" w:color="auto"/>
            </w:tcBorders>
            <w:shd w:val="clear" w:color="auto" w:fill="auto"/>
            <w:vAlign w:val="bottom"/>
          </w:tcPr>
          <w:p w14:paraId="2178BC02" w14:textId="77777777" w:rsidR="00A52778" w:rsidRPr="00460F9E" w:rsidRDefault="00A52778" w:rsidP="00FC3F8E">
            <w:pPr>
              <w:spacing w:line="0" w:lineRule="atLeast"/>
              <w:rPr>
                <w:rFonts w:eastAsia="Times New Roman" w:cs="Times New Roman"/>
                <w:b/>
                <w:sz w:val="10"/>
              </w:rPr>
            </w:pPr>
          </w:p>
        </w:tc>
      </w:tr>
      <w:tr w:rsidR="00A52778" w:rsidRPr="00460F9E" w14:paraId="59225C68" w14:textId="77777777" w:rsidTr="00FC3F8E">
        <w:trPr>
          <w:trHeight w:val="57"/>
        </w:trPr>
        <w:tc>
          <w:tcPr>
            <w:tcW w:w="1840" w:type="dxa"/>
            <w:gridSpan w:val="3"/>
            <w:vMerge w:val="restart"/>
            <w:tcBorders>
              <w:left w:val="single" w:sz="8" w:space="0" w:color="auto"/>
              <w:right w:val="single" w:sz="8" w:space="0" w:color="auto"/>
            </w:tcBorders>
            <w:shd w:val="clear" w:color="auto" w:fill="auto"/>
            <w:vAlign w:val="center"/>
          </w:tcPr>
          <w:p w14:paraId="0D67C16B"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Bu tablonun başka</w:t>
            </w:r>
          </w:p>
          <w:p w14:paraId="6073D021"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yerlerinde kapsanan</w:t>
            </w:r>
          </w:p>
          <w:p w14:paraId="56046CE9"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CMR maddeleri     </w:t>
            </w:r>
          </w:p>
          <w:p w14:paraId="02D30835"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haricindeki CMR</w:t>
            </w:r>
          </w:p>
          <w:p w14:paraId="74EE7965"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maddeleri</w:t>
            </w:r>
          </w:p>
        </w:tc>
        <w:tc>
          <w:tcPr>
            <w:tcW w:w="1640" w:type="dxa"/>
            <w:vMerge w:val="restart"/>
            <w:tcBorders>
              <w:left w:val="single" w:sz="8" w:space="0" w:color="auto"/>
              <w:right w:val="single" w:sz="8" w:space="0" w:color="auto"/>
            </w:tcBorders>
            <w:shd w:val="clear" w:color="auto" w:fill="auto"/>
            <w:vAlign w:val="center"/>
          </w:tcPr>
          <w:p w14:paraId="7BB414F8"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Diğer tüm</w:t>
            </w:r>
          </w:p>
          <w:p w14:paraId="469579FC"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9"/>
              </w:rPr>
              <w:t>prosesler /kaynaklar</w:t>
            </w:r>
          </w:p>
        </w:tc>
        <w:tc>
          <w:tcPr>
            <w:tcW w:w="1240" w:type="dxa"/>
            <w:tcBorders>
              <w:right w:val="single" w:sz="8" w:space="0" w:color="auto"/>
            </w:tcBorders>
            <w:shd w:val="clear" w:color="auto" w:fill="auto"/>
            <w:vAlign w:val="bottom"/>
          </w:tcPr>
          <w:p w14:paraId="6F75972E" w14:textId="77777777" w:rsidR="00A52778" w:rsidRPr="00460F9E" w:rsidRDefault="00A52778" w:rsidP="00FC3F8E">
            <w:pPr>
              <w:spacing w:line="0" w:lineRule="atLeast"/>
              <w:rPr>
                <w:rFonts w:eastAsia="Times New Roman" w:cs="Times New Roman"/>
                <w:b/>
                <w:sz w:val="18"/>
              </w:rPr>
            </w:pPr>
          </w:p>
        </w:tc>
        <w:tc>
          <w:tcPr>
            <w:tcW w:w="1920" w:type="dxa"/>
            <w:vMerge w:val="restart"/>
            <w:tcBorders>
              <w:right w:val="single" w:sz="8" w:space="0" w:color="auto"/>
            </w:tcBorders>
            <w:shd w:val="clear" w:color="auto" w:fill="auto"/>
            <w:vAlign w:val="center"/>
          </w:tcPr>
          <w:p w14:paraId="0D35A95D"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 xml:space="preserve">EN standardı </w:t>
            </w:r>
          </w:p>
          <w:p w14:paraId="5EAF0CC1"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9"/>
              </w:rPr>
              <w:t>mevcut değil</w:t>
            </w:r>
          </w:p>
        </w:tc>
        <w:tc>
          <w:tcPr>
            <w:tcW w:w="1260" w:type="dxa"/>
            <w:vMerge w:val="restart"/>
            <w:tcBorders>
              <w:right w:val="single" w:sz="8" w:space="0" w:color="auto"/>
            </w:tcBorders>
            <w:shd w:val="clear" w:color="auto" w:fill="auto"/>
            <w:vAlign w:val="center"/>
          </w:tcPr>
          <w:p w14:paraId="7C893C40" w14:textId="77777777" w:rsidR="00A52778" w:rsidRPr="00460F9E" w:rsidRDefault="00A52778" w:rsidP="00FC3F8E">
            <w:pPr>
              <w:spacing w:line="228" w:lineRule="exact"/>
              <w:jc w:val="center"/>
              <w:rPr>
                <w:rFonts w:eastAsia="Times New Roman" w:cs="Times New Roman"/>
                <w:b/>
              </w:rPr>
            </w:pPr>
            <w:r w:rsidRPr="00460F9E">
              <w:rPr>
                <w:rFonts w:eastAsia="Times New Roman" w:cs="Times New Roman"/>
              </w:rPr>
              <w:t>Her 6 ayda    bir kere</w:t>
            </w:r>
          </w:p>
          <w:p w14:paraId="37D951EB" w14:textId="77777777" w:rsidR="00A52778" w:rsidRPr="00460F9E" w:rsidRDefault="00A52778" w:rsidP="00FC3F8E">
            <w:pPr>
              <w:spacing w:line="235" w:lineRule="exact"/>
              <w:jc w:val="center"/>
              <w:rPr>
                <w:rFonts w:eastAsia="Times New Roman" w:cs="Times New Roman"/>
                <w:b/>
                <w:sz w:val="18"/>
              </w:rPr>
            </w:pPr>
            <w:r w:rsidRPr="00460F9E">
              <w:rPr>
                <w:rFonts w:eastAsia="Times New Roman" w:cs="Times New Roman"/>
                <w:w w:val="82"/>
              </w:rPr>
              <w:t>(</w:t>
            </w:r>
            <w:r w:rsidRPr="00460F9E">
              <w:rPr>
                <w:rFonts w:eastAsia="Times New Roman" w:cs="Times New Roman"/>
                <w:w w:val="82"/>
                <w:sz w:val="25"/>
                <w:vertAlign w:val="superscript"/>
              </w:rPr>
              <w:t>3</w:t>
            </w:r>
            <w:r w:rsidRPr="00460F9E">
              <w:rPr>
                <w:rFonts w:eastAsia="Times New Roman" w:cs="Times New Roman"/>
                <w:w w:val="82"/>
              </w:rPr>
              <w:t>)</w:t>
            </w:r>
          </w:p>
        </w:tc>
        <w:tc>
          <w:tcPr>
            <w:tcW w:w="1380" w:type="dxa"/>
            <w:vMerge w:val="restart"/>
            <w:tcBorders>
              <w:right w:val="single" w:sz="8" w:space="0" w:color="auto"/>
            </w:tcBorders>
            <w:shd w:val="clear" w:color="auto" w:fill="auto"/>
            <w:vAlign w:val="center"/>
          </w:tcPr>
          <w:p w14:paraId="27288927" w14:textId="77777777" w:rsidR="00A52778" w:rsidRPr="00460F9E" w:rsidRDefault="002A1746" w:rsidP="00FC3F8E">
            <w:pPr>
              <w:spacing w:line="228" w:lineRule="exact"/>
              <w:jc w:val="center"/>
              <w:rPr>
                <w:rFonts w:eastAsia="Times New Roman" w:cs="Times New Roman"/>
                <w:b/>
                <w:sz w:val="18"/>
              </w:rPr>
            </w:pPr>
            <w:hyperlink w:anchor="page302" w:history="1">
              <w:r w:rsidR="00A52778" w:rsidRPr="00460F9E">
                <w:rPr>
                  <w:rFonts w:cs="Times New Roman"/>
                </w:rPr>
                <w:t xml:space="preserve"> </w:t>
              </w:r>
              <w:r w:rsidR="00A52778" w:rsidRPr="00460F9E">
                <w:rPr>
                  <w:rFonts w:eastAsia="Times New Roman" w:cs="Times New Roman"/>
                </w:rPr>
                <w:t>MET 11</w:t>
              </w:r>
            </w:hyperlink>
          </w:p>
        </w:tc>
      </w:tr>
      <w:tr w:rsidR="00A52778" w:rsidRPr="00460F9E" w14:paraId="08C0C2DF" w14:textId="77777777" w:rsidTr="00FC3F8E">
        <w:trPr>
          <w:trHeight w:val="231"/>
        </w:trPr>
        <w:tc>
          <w:tcPr>
            <w:tcW w:w="1840" w:type="dxa"/>
            <w:gridSpan w:val="3"/>
            <w:vMerge/>
            <w:tcBorders>
              <w:left w:val="single" w:sz="8" w:space="0" w:color="auto"/>
              <w:right w:val="single" w:sz="8" w:space="0" w:color="auto"/>
            </w:tcBorders>
            <w:shd w:val="clear" w:color="auto" w:fill="auto"/>
            <w:vAlign w:val="bottom"/>
          </w:tcPr>
          <w:p w14:paraId="163FE750" w14:textId="77777777" w:rsidR="00A52778" w:rsidRPr="00460F9E" w:rsidRDefault="00A52778" w:rsidP="00FC3F8E">
            <w:pPr>
              <w:spacing w:line="0" w:lineRule="atLeast"/>
              <w:rPr>
                <w:rFonts w:eastAsia="Times New Roman" w:cs="Times New Roman"/>
                <w:b/>
              </w:rPr>
            </w:pPr>
          </w:p>
        </w:tc>
        <w:tc>
          <w:tcPr>
            <w:tcW w:w="1640" w:type="dxa"/>
            <w:vMerge/>
            <w:tcBorders>
              <w:left w:val="single" w:sz="8" w:space="0" w:color="auto"/>
              <w:right w:val="single" w:sz="8" w:space="0" w:color="auto"/>
            </w:tcBorders>
            <w:shd w:val="clear" w:color="auto" w:fill="auto"/>
            <w:vAlign w:val="bottom"/>
          </w:tcPr>
          <w:p w14:paraId="2C99A043" w14:textId="77777777" w:rsidR="00A52778" w:rsidRPr="00460F9E" w:rsidRDefault="00A52778" w:rsidP="00FC3F8E">
            <w:pPr>
              <w:spacing w:line="0" w:lineRule="atLeast"/>
              <w:jc w:val="center"/>
              <w:rPr>
                <w:rFonts w:eastAsia="Times New Roman" w:cs="Times New Roman"/>
                <w:b/>
              </w:rPr>
            </w:pPr>
          </w:p>
        </w:tc>
        <w:tc>
          <w:tcPr>
            <w:tcW w:w="1240" w:type="dxa"/>
            <w:tcBorders>
              <w:right w:val="single" w:sz="8" w:space="0" w:color="auto"/>
            </w:tcBorders>
            <w:shd w:val="clear" w:color="auto" w:fill="auto"/>
            <w:vAlign w:val="bottom"/>
          </w:tcPr>
          <w:p w14:paraId="1CA5E6A9" w14:textId="77777777" w:rsidR="00A52778" w:rsidRPr="00460F9E" w:rsidRDefault="00A52778" w:rsidP="00FC3F8E">
            <w:pPr>
              <w:spacing w:line="0" w:lineRule="atLeast"/>
              <w:rPr>
                <w:rFonts w:eastAsia="Times New Roman" w:cs="Times New Roman"/>
                <w:b/>
              </w:rPr>
            </w:pPr>
          </w:p>
        </w:tc>
        <w:tc>
          <w:tcPr>
            <w:tcW w:w="1920" w:type="dxa"/>
            <w:vMerge/>
            <w:tcBorders>
              <w:right w:val="single" w:sz="8" w:space="0" w:color="auto"/>
            </w:tcBorders>
            <w:shd w:val="clear" w:color="auto" w:fill="auto"/>
            <w:vAlign w:val="bottom"/>
          </w:tcPr>
          <w:p w14:paraId="238E9D57" w14:textId="77777777" w:rsidR="00A52778" w:rsidRPr="00460F9E" w:rsidRDefault="00A52778" w:rsidP="00FC3F8E">
            <w:pPr>
              <w:spacing w:line="0" w:lineRule="atLeast"/>
              <w:jc w:val="center"/>
              <w:rPr>
                <w:rFonts w:eastAsia="Times New Roman" w:cs="Times New Roman"/>
                <w:b/>
                <w:w w:val="99"/>
              </w:rPr>
            </w:pPr>
          </w:p>
        </w:tc>
        <w:tc>
          <w:tcPr>
            <w:tcW w:w="1260" w:type="dxa"/>
            <w:vMerge/>
            <w:tcBorders>
              <w:right w:val="single" w:sz="8" w:space="0" w:color="auto"/>
            </w:tcBorders>
            <w:shd w:val="clear" w:color="auto" w:fill="auto"/>
            <w:vAlign w:val="bottom"/>
          </w:tcPr>
          <w:p w14:paraId="3136D212" w14:textId="77777777" w:rsidR="00A52778" w:rsidRPr="00460F9E" w:rsidRDefault="00A52778" w:rsidP="00FC3F8E">
            <w:pPr>
              <w:spacing w:line="235" w:lineRule="exact"/>
              <w:jc w:val="center"/>
              <w:rPr>
                <w:rFonts w:eastAsia="Times New Roman" w:cs="Times New Roman"/>
                <w:b/>
              </w:rPr>
            </w:pPr>
          </w:p>
        </w:tc>
        <w:tc>
          <w:tcPr>
            <w:tcW w:w="1380" w:type="dxa"/>
            <w:vMerge/>
            <w:tcBorders>
              <w:right w:val="single" w:sz="8" w:space="0" w:color="auto"/>
            </w:tcBorders>
            <w:shd w:val="clear" w:color="auto" w:fill="auto"/>
            <w:vAlign w:val="bottom"/>
          </w:tcPr>
          <w:p w14:paraId="1F25D09C" w14:textId="77777777" w:rsidR="00A52778" w:rsidRPr="00460F9E" w:rsidRDefault="00A52778" w:rsidP="00FC3F8E">
            <w:pPr>
              <w:spacing w:line="228" w:lineRule="exact"/>
              <w:jc w:val="center"/>
              <w:rPr>
                <w:rFonts w:eastAsia="Times New Roman" w:cs="Times New Roman"/>
                <w:b/>
              </w:rPr>
            </w:pPr>
          </w:p>
        </w:tc>
      </w:tr>
      <w:tr w:rsidR="00A52778" w:rsidRPr="00460F9E" w14:paraId="29B0196F" w14:textId="77777777" w:rsidTr="00FC3F8E">
        <w:trPr>
          <w:trHeight w:val="456"/>
        </w:trPr>
        <w:tc>
          <w:tcPr>
            <w:tcW w:w="1840" w:type="dxa"/>
            <w:gridSpan w:val="3"/>
            <w:vMerge/>
            <w:tcBorders>
              <w:left w:val="single" w:sz="8" w:space="0" w:color="auto"/>
              <w:bottom w:val="nil"/>
              <w:right w:val="single" w:sz="8" w:space="0" w:color="auto"/>
            </w:tcBorders>
            <w:shd w:val="clear" w:color="auto" w:fill="auto"/>
            <w:vAlign w:val="bottom"/>
          </w:tcPr>
          <w:p w14:paraId="6600A273" w14:textId="77777777" w:rsidR="00A52778" w:rsidRPr="00460F9E" w:rsidRDefault="00A52778" w:rsidP="00FC3F8E">
            <w:pPr>
              <w:spacing w:line="0" w:lineRule="atLeast"/>
              <w:rPr>
                <w:rFonts w:eastAsia="Times New Roman" w:cs="Times New Roman"/>
                <w:b/>
                <w:w w:val="97"/>
              </w:rPr>
            </w:pPr>
          </w:p>
        </w:tc>
        <w:tc>
          <w:tcPr>
            <w:tcW w:w="1640" w:type="dxa"/>
            <w:vMerge/>
            <w:tcBorders>
              <w:left w:val="single" w:sz="8" w:space="0" w:color="auto"/>
              <w:bottom w:val="nil"/>
              <w:right w:val="single" w:sz="8" w:space="0" w:color="auto"/>
            </w:tcBorders>
            <w:shd w:val="clear" w:color="auto" w:fill="auto"/>
            <w:vAlign w:val="bottom"/>
          </w:tcPr>
          <w:p w14:paraId="416513E2" w14:textId="77777777" w:rsidR="00A52778" w:rsidRPr="00460F9E" w:rsidRDefault="00A52778" w:rsidP="00FC3F8E">
            <w:pPr>
              <w:spacing w:line="0" w:lineRule="atLeast"/>
              <w:jc w:val="center"/>
              <w:rPr>
                <w:rFonts w:eastAsia="Times New Roman" w:cs="Times New Roman"/>
                <w:b/>
                <w:sz w:val="9"/>
              </w:rPr>
            </w:pPr>
          </w:p>
        </w:tc>
        <w:tc>
          <w:tcPr>
            <w:tcW w:w="1240" w:type="dxa"/>
            <w:tcBorders>
              <w:bottom w:val="nil"/>
              <w:right w:val="single" w:sz="8" w:space="0" w:color="auto"/>
            </w:tcBorders>
            <w:shd w:val="clear" w:color="auto" w:fill="auto"/>
            <w:vAlign w:val="bottom"/>
          </w:tcPr>
          <w:p w14:paraId="5DB8937A" w14:textId="77777777" w:rsidR="00A52778" w:rsidRPr="00460F9E" w:rsidRDefault="00A52778" w:rsidP="00FC3F8E">
            <w:pPr>
              <w:spacing w:line="228" w:lineRule="exact"/>
              <w:jc w:val="center"/>
              <w:rPr>
                <w:rFonts w:eastAsia="Times New Roman" w:cs="Times New Roman"/>
                <w:b/>
                <w:w w:val="99"/>
              </w:rPr>
            </w:pPr>
            <w:r w:rsidRPr="00460F9E">
              <w:rPr>
                <w:rFonts w:eastAsia="Times New Roman" w:cs="Times New Roman"/>
                <w:w w:val="99"/>
              </w:rPr>
              <w:t>Herhangi bir</w:t>
            </w:r>
          </w:p>
          <w:p w14:paraId="0CFE8903" w14:textId="77777777" w:rsidR="00A52778" w:rsidRPr="00460F9E" w:rsidRDefault="00A52778" w:rsidP="00FC3F8E">
            <w:pPr>
              <w:spacing w:line="228" w:lineRule="exact"/>
              <w:jc w:val="center"/>
              <w:rPr>
                <w:rFonts w:eastAsia="Times New Roman" w:cs="Times New Roman"/>
                <w:b/>
                <w:w w:val="99"/>
              </w:rPr>
            </w:pPr>
            <w:r w:rsidRPr="00460F9E">
              <w:rPr>
                <w:rFonts w:eastAsia="Times New Roman" w:cs="Times New Roman"/>
                <w:w w:val="99"/>
              </w:rPr>
              <w:t>baca</w:t>
            </w:r>
          </w:p>
        </w:tc>
        <w:tc>
          <w:tcPr>
            <w:tcW w:w="1920" w:type="dxa"/>
            <w:vMerge/>
            <w:tcBorders>
              <w:bottom w:val="nil"/>
              <w:right w:val="single" w:sz="8" w:space="0" w:color="auto"/>
            </w:tcBorders>
            <w:shd w:val="clear" w:color="auto" w:fill="auto"/>
            <w:vAlign w:val="bottom"/>
          </w:tcPr>
          <w:p w14:paraId="1BDAFBD4" w14:textId="77777777" w:rsidR="00A52778" w:rsidRPr="00460F9E" w:rsidRDefault="00A52778" w:rsidP="00FC3F8E">
            <w:pPr>
              <w:spacing w:line="0" w:lineRule="atLeast"/>
              <w:jc w:val="center"/>
              <w:rPr>
                <w:rFonts w:eastAsia="Times New Roman" w:cs="Times New Roman"/>
                <w:b/>
                <w:sz w:val="9"/>
              </w:rPr>
            </w:pPr>
          </w:p>
        </w:tc>
        <w:tc>
          <w:tcPr>
            <w:tcW w:w="1260" w:type="dxa"/>
            <w:vMerge/>
            <w:tcBorders>
              <w:right w:val="single" w:sz="8" w:space="0" w:color="auto"/>
            </w:tcBorders>
            <w:shd w:val="clear" w:color="auto" w:fill="auto"/>
            <w:vAlign w:val="bottom"/>
          </w:tcPr>
          <w:p w14:paraId="3AFBAF49" w14:textId="77777777" w:rsidR="00A52778" w:rsidRPr="00460F9E" w:rsidRDefault="00A52778" w:rsidP="00FC3F8E">
            <w:pPr>
              <w:spacing w:line="235" w:lineRule="exact"/>
              <w:jc w:val="center"/>
              <w:rPr>
                <w:rFonts w:eastAsia="Times New Roman" w:cs="Times New Roman"/>
                <w:b/>
              </w:rPr>
            </w:pPr>
          </w:p>
        </w:tc>
        <w:tc>
          <w:tcPr>
            <w:tcW w:w="1380" w:type="dxa"/>
            <w:vMerge/>
            <w:tcBorders>
              <w:right w:val="single" w:sz="8" w:space="0" w:color="auto"/>
            </w:tcBorders>
            <w:shd w:val="clear" w:color="auto" w:fill="auto"/>
            <w:vAlign w:val="bottom"/>
          </w:tcPr>
          <w:p w14:paraId="648050FE" w14:textId="77777777" w:rsidR="00A52778" w:rsidRPr="00460F9E" w:rsidRDefault="00A52778" w:rsidP="00FC3F8E">
            <w:pPr>
              <w:spacing w:line="228" w:lineRule="exact"/>
              <w:jc w:val="center"/>
              <w:rPr>
                <w:rFonts w:eastAsia="Times New Roman" w:cs="Times New Roman"/>
                <w:b/>
              </w:rPr>
            </w:pPr>
          </w:p>
        </w:tc>
      </w:tr>
      <w:tr w:rsidR="00A52778" w:rsidRPr="00460F9E" w14:paraId="56A6FEA4" w14:textId="77777777" w:rsidTr="00FC3F8E">
        <w:trPr>
          <w:trHeight w:val="115"/>
        </w:trPr>
        <w:tc>
          <w:tcPr>
            <w:tcW w:w="1840" w:type="dxa"/>
            <w:gridSpan w:val="3"/>
            <w:vMerge/>
            <w:tcBorders>
              <w:left w:val="single" w:sz="8" w:space="0" w:color="auto"/>
              <w:right w:val="single" w:sz="8" w:space="0" w:color="auto"/>
            </w:tcBorders>
            <w:shd w:val="clear" w:color="auto" w:fill="auto"/>
            <w:vAlign w:val="bottom"/>
          </w:tcPr>
          <w:p w14:paraId="63CC8626" w14:textId="77777777" w:rsidR="00A52778" w:rsidRPr="00460F9E" w:rsidRDefault="00A52778" w:rsidP="00FC3F8E">
            <w:pPr>
              <w:spacing w:line="0" w:lineRule="atLeast"/>
              <w:rPr>
                <w:rFonts w:eastAsia="Times New Roman" w:cs="Times New Roman"/>
                <w:b/>
              </w:rPr>
            </w:pPr>
          </w:p>
        </w:tc>
        <w:tc>
          <w:tcPr>
            <w:tcW w:w="1640" w:type="dxa"/>
            <w:vMerge/>
            <w:tcBorders>
              <w:left w:val="single" w:sz="8" w:space="0" w:color="auto"/>
              <w:right w:val="single" w:sz="8" w:space="0" w:color="auto"/>
            </w:tcBorders>
            <w:shd w:val="clear" w:color="auto" w:fill="auto"/>
            <w:vAlign w:val="bottom"/>
          </w:tcPr>
          <w:p w14:paraId="38433CF1" w14:textId="77777777" w:rsidR="00A52778" w:rsidRPr="00460F9E" w:rsidRDefault="00A52778" w:rsidP="00FC3F8E">
            <w:pPr>
              <w:spacing w:line="0" w:lineRule="atLeast"/>
              <w:rPr>
                <w:rFonts w:eastAsia="Times New Roman" w:cs="Times New Roman"/>
                <w:b/>
                <w:sz w:val="10"/>
              </w:rPr>
            </w:pPr>
          </w:p>
        </w:tc>
        <w:tc>
          <w:tcPr>
            <w:tcW w:w="1240" w:type="dxa"/>
            <w:tcBorders>
              <w:right w:val="single" w:sz="8" w:space="0" w:color="auto"/>
            </w:tcBorders>
            <w:shd w:val="clear" w:color="auto" w:fill="auto"/>
            <w:vAlign w:val="bottom"/>
          </w:tcPr>
          <w:p w14:paraId="0685BAED" w14:textId="77777777" w:rsidR="00A52778" w:rsidRPr="00460F9E" w:rsidRDefault="00A52778" w:rsidP="00FC3F8E">
            <w:pPr>
              <w:spacing w:line="0" w:lineRule="atLeast"/>
              <w:rPr>
                <w:rFonts w:eastAsia="Times New Roman" w:cs="Times New Roman"/>
                <w:b/>
                <w:sz w:val="10"/>
              </w:rPr>
            </w:pPr>
          </w:p>
        </w:tc>
        <w:tc>
          <w:tcPr>
            <w:tcW w:w="1920" w:type="dxa"/>
            <w:vMerge/>
            <w:tcBorders>
              <w:right w:val="single" w:sz="8" w:space="0" w:color="auto"/>
            </w:tcBorders>
            <w:shd w:val="clear" w:color="auto" w:fill="auto"/>
            <w:vAlign w:val="bottom"/>
          </w:tcPr>
          <w:p w14:paraId="5360D39D" w14:textId="77777777" w:rsidR="00A52778" w:rsidRPr="00460F9E" w:rsidRDefault="00A52778" w:rsidP="00FC3F8E">
            <w:pPr>
              <w:spacing w:line="0" w:lineRule="atLeast"/>
              <w:rPr>
                <w:rFonts w:eastAsia="Times New Roman" w:cs="Times New Roman"/>
                <w:b/>
                <w:sz w:val="10"/>
              </w:rPr>
            </w:pPr>
          </w:p>
        </w:tc>
        <w:tc>
          <w:tcPr>
            <w:tcW w:w="1260" w:type="dxa"/>
            <w:vMerge/>
            <w:tcBorders>
              <w:right w:val="single" w:sz="8" w:space="0" w:color="auto"/>
            </w:tcBorders>
            <w:shd w:val="clear" w:color="auto" w:fill="auto"/>
            <w:vAlign w:val="bottom"/>
          </w:tcPr>
          <w:p w14:paraId="44A30CBF" w14:textId="77777777" w:rsidR="00A52778" w:rsidRPr="00460F9E" w:rsidRDefault="00A52778" w:rsidP="00FC3F8E">
            <w:pPr>
              <w:spacing w:line="235" w:lineRule="exact"/>
              <w:jc w:val="center"/>
              <w:rPr>
                <w:rFonts w:eastAsia="Times New Roman" w:cs="Times New Roman"/>
                <w:b/>
                <w:w w:val="82"/>
              </w:rPr>
            </w:pPr>
          </w:p>
        </w:tc>
        <w:tc>
          <w:tcPr>
            <w:tcW w:w="1380" w:type="dxa"/>
            <w:vMerge/>
            <w:tcBorders>
              <w:right w:val="single" w:sz="8" w:space="0" w:color="auto"/>
            </w:tcBorders>
            <w:shd w:val="clear" w:color="auto" w:fill="auto"/>
            <w:vAlign w:val="bottom"/>
          </w:tcPr>
          <w:p w14:paraId="3E2CC5A4" w14:textId="77777777" w:rsidR="00A52778" w:rsidRPr="00460F9E" w:rsidRDefault="00A52778" w:rsidP="00FC3F8E">
            <w:pPr>
              <w:spacing w:line="0" w:lineRule="atLeast"/>
              <w:rPr>
                <w:rFonts w:eastAsia="Times New Roman" w:cs="Times New Roman"/>
                <w:b/>
                <w:sz w:val="10"/>
              </w:rPr>
            </w:pPr>
          </w:p>
        </w:tc>
      </w:tr>
      <w:tr w:rsidR="00A52778" w:rsidRPr="00460F9E" w14:paraId="37D517F4" w14:textId="77777777" w:rsidTr="00FC3F8E">
        <w:trPr>
          <w:trHeight w:val="120"/>
        </w:trPr>
        <w:tc>
          <w:tcPr>
            <w:tcW w:w="1840" w:type="dxa"/>
            <w:gridSpan w:val="3"/>
            <w:vMerge/>
            <w:tcBorders>
              <w:left w:val="single" w:sz="8" w:space="0" w:color="auto"/>
              <w:right w:val="single" w:sz="8" w:space="0" w:color="auto"/>
            </w:tcBorders>
            <w:shd w:val="clear" w:color="auto" w:fill="auto"/>
            <w:vAlign w:val="bottom"/>
          </w:tcPr>
          <w:p w14:paraId="5F83C027" w14:textId="77777777" w:rsidR="00A52778" w:rsidRPr="00460F9E" w:rsidRDefault="00A52778" w:rsidP="00FC3F8E">
            <w:pPr>
              <w:spacing w:line="0" w:lineRule="atLeast"/>
              <w:rPr>
                <w:rFonts w:eastAsia="Times New Roman" w:cs="Times New Roman"/>
                <w:b/>
                <w:sz w:val="10"/>
              </w:rPr>
            </w:pPr>
          </w:p>
        </w:tc>
        <w:tc>
          <w:tcPr>
            <w:tcW w:w="1640" w:type="dxa"/>
            <w:vMerge/>
            <w:tcBorders>
              <w:left w:val="single" w:sz="8" w:space="0" w:color="auto"/>
              <w:right w:val="single" w:sz="8" w:space="0" w:color="auto"/>
            </w:tcBorders>
            <w:shd w:val="clear" w:color="auto" w:fill="auto"/>
            <w:vAlign w:val="bottom"/>
          </w:tcPr>
          <w:p w14:paraId="5C6F8B8E" w14:textId="77777777" w:rsidR="00A52778" w:rsidRPr="00460F9E" w:rsidRDefault="00A52778" w:rsidP="00FC3F8E">
            <w:pPr>
              <w:spacing w:line="0" w:lineRule="atLeast"/>
              <w:rPr>
                <w:rFonts w:eastAsia="Times New Roman" w:cs="Times New Roman"/>
                <w:b/>
                <w:sz w:val="10"/>
              </w:rPr>
            </w:pPr>
          </w:p>
        </w:tc>
        <w:tc>
          <w:tcPr>
            <w:tcW w:w="1240" w:type="dxa"/>
            <w:tcBorders>
              <w:right w:val="single" w:sz="8" w:space="0" w:color="auto"/>
            </w:tcBorders>
            <w:shd w:val="clear" w:color="auto" w:fill="auto"/>
            <w:vAlign w:val="bottom"/>
          </w:tcPr>
          <w:p w14:paraId="3E49BC4C" w14:textId="77777777" w:rsidR="00A52778" w:rsidRPr="00460F9E" w:rsidRDefault="00A52778" w:rsidP="00FC3F8E">
            <w:pPr>
              <w:spacing w:line="0" w:lineRule="atLeast"/>
              <w:rPr>
                <w:rFonts w:eastAsia="Times New Roman" w:cs="Times New Roman"/>
                <w:b/>
                <w:sz w:val="10"/>
              </w:rPr>
            </w:pPr>
          </w:p>
        </w:tc>
        <w:tc>
          <w:tcPr>
            <w:tcW w:w="1920" w:type="dxa"/>
            <w:vMerge/>
            <w:tcBorders>
              <w:right w:val="single" w:sz="8" w:space="0" w:color="auto"/>
            </w:tcBorders>
            <w:shd w:val="clear" w:color="auto" w:fill="auto"/>
            <w:vAlign w:val="bottom"/>
          </w:tcPr>
          <w:p w14:paraId="2DC99729" w14:textId="77777777" w:rsidR="00A52778" w:rsidRPr="00460F9E" w:rsidRDefault="00A52778" w:rsidP="00FC3F8E">
            <w:pPr>
              <w:spacing w:line="0" w:lineRule="atLeast"/>
              <w:rPr>
                <w:rFonts w:eastAsia="Times New Roman" w:cs="Times New Roman"/>
                <w:b/>
                <w:sz w:val="10"/>
              </w:rPr>
            </w:pPr>
          </w:p>
        </w:tc>
        <w:tc>
          <w:tcPr>
            <w:tcW w:w="1260" w:type="dxa"/>
            <w:vMerge/>
            <w:tcBorders>
              <w:right w:val="single" w:sz="8" w:space="0" w:color="auto"/>
            </w:tcBorders>
            <w:shd w:val="clear" w:color="auto" w:fill="auto"/>
            <w:vAlign w:val="bottom"/>
          </w:tcPr>
          <w:p w14:paraId="29B8DAC9" w14:textId="77777777" w:rsidR="00A52778" w:rsidRPr="00460F9E" w:rsidRDefault="00A52778" w:rsidP="00FC3F8E">
            <w:pPr>
              <w:spacing w:line="0" w:lineRule="atLeast"/>
              <w:rPr>
                <w:rFonts w:eastAsia="Times New Roman" w:cs="Times New Roman"/>
                <w:b/>
                <w:sz w:val="10"/>
              </w:rPr>
            </w:pPr>
          </w:p>
        </w:tc>
        <w:tc>
          <w:tcPr>
            <w:tcW w:w="1380" w:type="dxa"/>
            <w:vMerge/>
            <w:tcBorders>
              <w:right w:val="single" w:sz="8" w:space="0" w:color="auto"/>
            </w:tcBorders>
            <w:shd w:val="clear" w:color="auto" w:fill="auto"/>
            <w:vAlign w:val="bottom"/>
          </w:tcPr>
          <w:p w14:paraId="33AE1129" w14:textId="77777777" w:rsidR="00A52778" w:rsidRPr="00460F9E" w:rsidRDefault="00A52778" w:rsidP="00FC3F8E">
            <w:pPr>
              <w:spacing w:line="0" w:lineRule="atLeast"/>
              <w:rPr>
                <w:rFonts w:eastAsia="Times New Roman" w:cs="Times New Roman"/>
                <w:b/>
                <w:sz w:val="10"/>
              </w:rPr>
            </w:pPr>
          </w:p>
        </w:tc>
      </w:tr>
      <w:tr w:rsidR="00A52778" w:rsidRPr="00460F9E" w14:paraId="3707DE05" w14:textId="77777777" w:rsidTr="00FC3F8E">
        <w:trPr>
          <w:trHeight w:val="132"/>
        </w:trPr>
        <w:tc>
          <w:tcPr>
            <w:tcW w:w="1840" w:type="dxa"/>
            <w:gridSpan w:val="3"/>
            <w:vMerge/>
            <w:tcBorders>
              <w:left w:val="single" w:sz="8" w:space="0" w:color="auto"/>
              <w:bottom w:val="single" w:sz="8" w:space="0" w:color="auto"/>
              <w:right w:val="single" w:sz="8" w:space="0" w:color="auto"/>
            </w:tcBorders>
            <w:shd w:val="clear" w:color="auto" w:fill="auto"/>
            <w:vAlign w:val="bottom"/>
          </w:tcPr>
          <w:p w14:paraId="0504BF1D" w14:textId="77777777" w:rsidR="00A52778" w:rsidRPr="00460F9E" w:rsidRDefault="00A52778" w:rsidP="00FC3F8E">
            <w:pPr>
              <w:spacing w:line="0" w:lineRule="atLeast"/>
              <w:rPr>
                <w:rFonts w:eastAsia="Times New Roman" w:cs="Times New Roman"/>
                <w:b/>
              </w:rPr>
            </w:pPr>
          </w:p>
        </w:tc>
        <w:tc>
          <w:tcPr>
            <w:tcW w:w="1640" w:type="dxa"/>
            <w:vMerge/>
            <w:tcBorders>
              <w:left w:val="single" w:sz="8" w:space="0" w:color="auto"/>
              <w:bottom w:val="single" w:sz="8" w:space="0" w:color="auto"/>
              <w:right w:val="single" w:sz="8" w:space="0" w:color="auto"/>
            </w:tcBorders>
            <w:shd w:val="clear" w:color="auto" w:fill="auto"/>
            <w:vAlign w:val="bottom"/>
          </w:tcPr>
          <w:p w14:paraId="22247C5A" w14:textId="77777777" w:rsidR="00A52778" w:rsidRPr="00460F9E" w:rsidRDefault="00A52778" w:rsidP="00FC3F8E">
            <w:pPr>
              <w:spacing w:line="0" w:lineRule="atLeast"/>
              <w:rPr>
                <w:rFonts w:eastAsia="Times New Roman" w:cs="Times New Roman"/>
                <w:b/>
              </w:rPr>
            </w:pPr>
          </w:p>
        </w:tc>
        <w:tc>
          <w:tcPr>
            <w:tcW w:w="1240" w:type="dxa"/>
            <w:tcBorders>
              <w:bottom w:val="single" w:sz="8" w:space="0" w:color="auto"/>
              <w:right w:val="single" w:sz="8" w:space="0" w:color="auto"/>
            </w:tcBorders>
            <w:shd w:val="clear" w:color="auto" w:fill="auto"/>
            <w:vAlign w:val="bottom"/>
          </w:tcPr>
          <w:p w14:paraId="6CC340BD" w14:textId="77777777" w:rsidR="00A52778" w:rsidRPr="00460F9E" w:rsidRDefault="00A52778" w:rsidP="00FC3F8E">
            <w:pPr>
              <w:spacing w:line="0" w:lineRule="atLeast"/>
              <w:rPr>
                <w:rFonts w:eastAsia="Times New Roman" w:cs="Times New Roman"/>
                <w:b/>
              </w:rPr>
            </w:pPr>
          </w:p>
        </w:tc>
        <w:tc>
          <w:tcPr>
            <w:tcW w:w="1920" w:type="dxa"/>
            <w:vMerge/>
            <w:tcBorders>
              <w:bottom w:val="single" w:sz="8" w:space="0" w:color="auto"/>
              <w:right w:val="single" w:sz="8" w:space="0" w:color="auto"/>
            </w:tcBorders>
            <w:shd w:val="clear" w:color="auto" w:fill="auto"/>
            <w:vAlign w:val="bottom"/>
          </w:tcPr>
          <w:p w14:paraId="19978DC5" w14:textId="77777777" w:rsidR="00A52778" w:rsidRPr="00460F9E" w:rsidRDefault="00A52778" w:rsidP="00FC3F8E">
            <w:pPr>
              <w:spacing w:line="0" w:lineRule="atLeast"/>
              <w:rPr>
                <w:rFonts w:eastAsia="Times New Roman" w:cs="Times New Roman"/>
                <w:b/>
              </w:rPr>
            </w:pPr>
          </w:p>
        </w:tc>
        <w:tc>
          <w:tcPr>
            <w:tcW w:w="1260" w:type="dxa"/>
            <w:vMerge/>
            <w:tcBorders>
              <w:bottom w:val="single" w:sz="8" w:space="0" w:color="auto"/>
              <w:right w:val="single" w:sz="8" w:space="0" w:color="auto"/>
            </w:tcBorders>
            <w:shd w:val="clear" w:color="auto" w:fill="auto"/>
            <w:vAlign w:val="bottom"/>
          </w:tcPr>
          <w:p w14:paraId="662682D3" w14:textId="77777777" w:rsidR="00A52778" w:rsidRPr="00460F9E" w:rsidRDefault="00A52778" w:rsidP="00FC3F8E">
            <w:pPr>
              <w:spacing w:line="0" w:lineRule="atLeast"/>
              <w:rPr>
                <w:rFonts w:eastAsia="Times New Roman" w:cs="Times New Roman"/>
                <w:b/>
              </w:rPr>
            </w:pPr>
          </w:p>
        </w:tc>
        <w:tc>
          <w:tcPr>
            <w:tcW w:w="1380" w:type="dxa"/>
            <w:vMerge/>
            <w:tcBorders>
              <w:bottom w:val="single" w:sz="8" w:space="0" w:color="auto"/>
              <w:right w:val="single" w:sz="8" w:space="0" w:color="auto"/>
            </w:tcBorders>
            <w:shd w:val="clear" w:color="auto" w:fill="auto"/>
            <w:vAlign w:val="bottom"/>
          </w:tcPr>
          <w:p w14:paraId="6E75C4B2" w14:textId="77777777" w:rsidR="00A52778" w:rsidRPr="00460F9E" w:rsidRDefault="00A52778" w:rsidP="00FC3F8E">
            <w:pPr>
              <w:spacing w:line="0" w:lineRule="atLeast"/>
              <w:rPr>
                <w:rFonts w:eastAsia="Times New Roman" w:cs="Times New Roman"/>
                <w:b/>
              </w:rPr>
            </w:pPr>
          </w:p>
        </w:tc>
      </w:tr>
      <w:tr w:rsidR="00A52778" w:rsidRPr="00460F9E" w14:paraId="7D177C1E" w14:textId="77777777" w:rsidTr="00FC3F8E">
        <w:trPr>
          <w:trHeight w:val="214"/>
        </w:trPr>
        <w:tc>
          <w:tcPr>
            <w:tcW w:w="560" w:type="dxa"/>
            <w:tcBorders>
              <w:left w:val="single" w:sz="8" w:space="0" w:color="auto"/>
            </w:tcBorders>
            <w:shd w:val="clear" w:color="auto" w:fill="auto"/>
            <w:vAlign w:val="bottom"/>
          </w:tcPr>
          <w:p w14:paraId="43DD3B4F" w14:textId="77777777" w:rsidR="00A52778" w:rsidRPr="00460F9E" w:rsidRDefault="00A52778" w:rsidP="00FC3F8E">
            <w:pPr>
              <w:spacing w:line="0" w:lineRule="atLeast"/>
              <w:rPr>
                <w:rFonts w:eastAsia="Times New Roman" w:cs="Times New Roman"/>
                <w:b/>
                <w:sz w:val="18"/>
              </w:rPr>
            </w:pPr>
          </w:p>
        </w:tc>
        <w:tc>
          <w:tcPr>
            <w:tcW w:w="520" w:type="dxa"/>
            <w:shd w:val="clear" w:color="auto" w:fill="auto"/>
            <w:vAlign w:val="bottom"/>
          </w:tcPr>
          <w:p w14:paraId="19392935" w14:textId="77777777" w:rsidR="00A52778" w:rsidRPr="00460F9E" w:rsidRDefault="00A52778" w:rsidP="00FC3F8E">
            <w:pPr>
              <w:spacing w:line="0" w:lineRule="atLeast"/>
              <w:rPr>
                <w:rFonts w:eastAsia="Times New Roman" w:cs="Times New Roman"/>
                <w:b/>
                <w:sz w:val="18"/>
              </w:rPr>
            </w:pPr>
          </w:p>
        </w:tc>
        <w:tc>
          <w:tcPr>
            <w:tcW w:w="760" w:type="dxa"/>
            <w:tcBorders>
              <w:right w:val="single" w:sz="8" w:space="0" w:color="auto"/>
            </w:tcBorders>
            <w:shd w:val="clear" w:color="auto" w:fill="auto"/>
            <w:vAlign w:val="bottom"/>
          </w:tcPr>
          <w:p w14:paraId="40EE921F" w14:textId="77777777" w:rsidR="00A52778" w:rsidRPr="00460F9E" w:rsidRDefault="00A52778" w:rsidP="00FC3F8E">
            <w:pPr>
              <w:spacing w:line="0" w:lineRule="atLeast"/>
              <w:rPr>
                <w:rFonts w:eastAsia="Times New Roman" w:cs="Times New Roman"/>
                <w:b/>
                <w:sz w:val="18"/>
              </w:rPr>
            </w:pPr>
          </w:p>
        </w:tc>
        <w:tc>
          <w:tcPr>
            <w:tcW w:w="1640" w:type="dxa"/>
            <w:vMerge w:val="restart"/>
            <w:tcBorders>
              <w:right w:val="single" w:sz="8" w:space="0" w:color="auto"/>
            </w:tcBorders>
            <w:shd w:val="clear" w:color="auto" w:fill="auto"/>
            <w:vAlign w:val="center"/>
          </w:tcPr>
          <w:p w14:paraId="1B688E20"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Tüm</w:t>
            </w:r>
          </w:p>
          <w:p w14:paraId="15211375"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w w:val="99"/>
              </w:rPr>
              <w:t>prosesler /kaynaklar</w:t>
            </w:r>
          </w:p>
        </w:tc>
        <w:tc>
          <w:tcPr>
            <w:tcW w:w="1240" w:type="dxa"/>
            <w:tcBorders>
              <w:right w:val="single" w:sz="8" w:space="0" w:color="auto"/>
            </w:tcBorders>
            <w:shd w:val="clear" w:color="auto" w:fill="auto"/>
            <w:vAlign w:val="bottom"/>
          </w:tcPr>
          <w:p w14:paraId="30F41AF7" w14:textId="77777777" w:rsidR="00A52778" w:rsidRPr="00460F9E" w:rsidRDefault="00A52778" w:rsidP="00FC3F8E">
            <w:pPr>
              <w:spacing w:line="0" w:lineRule="atLeast"/>
              <w:rPr>
                <w:rFonts w:eastAsia="Times New Roman" w:cs="Times New Roman"/>
                <w:b/>
                <w:sz w:val="18"/>
              </w:rPr>
            </w:pPr>
          </w:p>
        </w:tc>
        <w:tc>
          <w:tcPr>
            <w:tcW w:w="1920" w:type="dxa"/>
            <w:vMerge w:val="restart"/>
            <w:tcBorders>
              <w:right w:val="single" w:sz="8" w:space="0" w:color="auto"/>
            </w:tcBorders>
            <w:shd w:val="clear" w:color="auto" w:fill="auto"/>
            <w:vAlign w:val="center"/>
          </w:tcPr>
          <w:p w14:paraId="1FBB36B2"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 xml:space="preserve">EN standardı </w:t>
            </w:r>
          </w:p>
          <w:p w14:paraId="6C2E10A5"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mevcut değil</w:t>
            </w:r>
          </w:p>
        </w:tc>
        <w:tc>
          <w:tcPr>
            <w:tcW w:w="1260" w:type="dxa"/>
            <w:vMerge w:val="restart"/>
            <w:tcBorders>
              <w:right w:val="single" w:sz="8" w:space="0" w:color="auto"/>
            </w:tcBorders>
            <w:shd w:val="clear" w:color="auto" w:fill="auto"/>
            <w:vAlign w:val="center"/>
          </w:tcPr>
          <w:p w14:paraId="3E417CCF"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Her 6 ayda    bir kere</w:t>
            </w:r>
          </w:p>
          <w:p w14:paraId="715DD635" w14:textId="77777777" w:rsidR="00A52778" w:rsidRPr="00460F9E" w:rsidRDefault="00A52778" w:rsidP="00FC3F8E">
            <w:pPr>
              <w:spacing w:line="236" w:lineRule="exact"/>
              <w:jc w:val="center"/>
              <w:rPr>
                <w:rFonts w:eastAsia="Times New Roman" w:cs="Times New Roman"/>
                <w:b/>
              </w:rPr>
            </w:pPr>
            <w:r w:rsidRPr="00460F9E">
              <w:rPr>
                <w:rFonts w:eastAsia="Times New Roman" w:cs="Times New Roman"/>
                <w:w w:val="92"/>
              </w:rPr>
              <w:t>(</w:t>
            </w:r>
            <w:r w:rsidRPr="00460F9E">
              <w:rPr>
                <w:rFonts w:eastAsia="Times New Roman" w:cs="Times New Roman"/>
                <w:w w:val="92"/>
                <w:sz w:val="25"/>
                <w:vertAlign w:val="superscript"/>
              </w:rPr>
              <w:t>3</w:t>
            </w:r>
            <w:r w:rsidRPr="00460F9E">
              <w:rPr>
                <w:rFonts w:eastAsia="Times New Roman" w:cs="Times New Roman"/>
                <w:w w:val="92"/>
              </w:rPr>
              <w:t>)</w:t>
            </w:r>
          </w:p>
        </w:tc>
        <w:tc>
          <w:tcPr>
            <w:tcW w:w="1380" w:type="dxa"/>
            <w:vMerge w:val="restart"/>
            <w:tcBorders>
              <w:right w:val="single" w:sz="8" w:space="0" w:color="auto"/>
            </w:tcBorders>
            <w:shd w:val="clear" w:color="auto" w:fill="auto"/>
            <w:vAlign w:val="center"/>
          </w:tcPr>
          <w:p w14:paraId="37EF9442" w14:textId="77777777" w:rsidR="00A52778" w:rsidRPr="00460F9E" w:rsidRDefault="002A1746" w:rsidP="00FC3F8E">
            <w:pPr>
              <w:spacing w:line="0" w:lineRule="atLeast"/>
              <w:jc w:val="center"/>
              <w:rPr>
                <w:rFonts w:eastAsia="Times New Roman" w:cs="Times New Roman"/>
                <w:b/>
                <w:sz w:val="18"/>
              </w:rPr>
            </w:pPr>
            <w:hyperlink w:anchor="page302" w:history="1">
              <w:r w:rsidR="00A52778" w:rsidRPr="00460F9E">
                <w:rPr>
                  <w:rFonts w:cs="Times New Roman"/>
                </w:rPr>
                <w:t xml:space="preserve"> </w:t>
              </w:r>
              <w:r w:rsidR="00A52778" w:rsidRPr="00460F9E">
                <w:rPr>
                  <w:rFonts w:eastAsia="Times New Roman" w:cs="Times New Roman"/>
                </w:rPr>
                <w:t>MET 11</w:t>
              </w:r>
            </w:hyperlink>
          </w:p>
        </w:tc>
      </w:tr>
      <w:tr w:rsidR="00A52778" w:rsidRPr="00460F9E" w14:paraId="1DE658D2" w14:textId="77777777" w:rsidTr="00FC3F8E">
        <w:trPr>
          <w:trHeight w:val="458"/>
        </w:trPr>
        <w:tc>
          <w:tcPr>
            <w:tcW w:w="1840" w:type="dxa"/>
            <w:gridSpan w:val="3"/>
            <w:tcBorders>
              <w:left w:val="single" w:sz="8" w:space="0" w:color="auto"/>
              <w:bottom w:val="nil"/>
              <w:right w:val="single" w:sz="8" w:space="0" w:color="auto"/>
            </w:tcBorders>
            <w:shd w:val="clear" w:color="auto" w:fill="auto"/>
            <w:vAlign w:val="bottom"/>
          </w:tcPr>
          <w:p w14:paraId="09018A6E"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Diklorometan</w:t>
            </w:r>
          </w:p>
        </w:tc>
        <w:tc>
          <w:tcPr>
            <w:tcW w:w="1640" w:type="dxa"/>
            <w:vMerge/>
            <w:tcBorders>
              <w:bottom w:val="nil"/>
              <w:right w:val="single" w:sz="8" w:space="0" w:color="auto"/>
            </w:tcBorders>
            <w:shd w:val="clear" w:color="auto" w:fill="auto"/>
            <w:vAlign w:val="bottom"/>
          </w:tcPr>
          <w:p w14:paraId="1B28576F" w14:textId="77777777" w:rsidR="00A52778" w:rsidRPr="00460F9E" w:rsidRDefault="00A52778" w:rsidP="00FC3F8E">
            <w:pPr>
              <w:spacing w:line="0" w:lineRule="atLeast"/>
              <w:jc w:val="center"/>
              <w:rPr>
                <w:rFonts w:eastAsia="Times New Roman" w:cs="Times New Roman"/>
                <w:b/>
                <w:sz w:val="10"/>
              </w:rPr>
            </w:pPr>
          </w:p>
        </w:tc>
        <w:tc>
          <w:tcPr>
            <w:tcW w:w="1240" w:type="dxa"/>
            <w:tcBorders>
              <w:bottom w:val="nil"/>
              <w:right w:val="single" w:sz="8" w:space="0" w:color="auto"/>
            </w:tcBorders>
            <w:shd w:val="clear" w:color="auto" w:fill="auto"/>
            <w:vAlign w:val="bottom"/>
          </w:tcPr>
          <w:p w14:paraId="75AEFD03" w14:textId="77777777" w:rsidR="00A52778" w:rsidRPr="00460F9E" w:rsidRDefault="00A52778" w:rsidP="00FC3F8E">
            <w:pPr>
              <w:spacing w:line="228" w:lineRule="exact"/>
              <w:jc w:val="center"/>
              <w:rPr>
                <w:rFonts w:eastAsia="Times New Roman" w:cs="Times New Roman"/>
                <w:b/>
                <w:w w:val="99"/>
              </w:rPr>
            </w:pPr>
            <w:r w:rsidRPr="00460F9E">
              <w:rPr>
                <w:rFonts w:eastAsia="Times New Roman" w:cs="Times New Roman"/>
                <w:w w:val="99"/>
              </w:rPr>
              <w:t>Herhangi bir</w:t>
            </w:r>
          </w:p>
          <w:p w14:paraId="552D4510"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baca</w:t>
            </w:r>
          </w:p>
        </w:tc>
        <w:tc>
          <w:tcPr>
            <w:tcW w:w="1920" w:type="dxa"/>
            <w:vMerge/>
            <w:tcBorders>
              <w:bottom w:val="nil"/>
              <w:right w:val="single" w:sz="8" w:space="0" w:color="auto"/>
            </w:tcBorders>
            <w:shd w:val="clear" w:color="auto" w:fill="auto"/>
            <w:vAlign w:val="bottom"/>
          </w:tcPr>
          <w:p w14:paraId="44BF6315" w14:textId="77777777" w:rsidR="00A52778" w:rsidRPr="00460F9E" w:rsidRDefault="00A52778" w:rsidP="00FC3F8E">
            <w:pPr>
              <w:spacing w:line="0" w:lineRule="atLeast"/>
              <w:jc w:val="center"/>
              <w:rPr>
                <w:rFonts w:eastAsia="Times New Roman" w:cs="Times New Roman"/>
                <w:b/>
                <w:sz w:val="10"/>
              </w:rPr>
            </w:pPr>
          </w:p>
        </w:tc>
        <w:tc>
          <w:tcPr>
            <w:tcW w:w="1260" w:type="dxa"/>
            <w:vMerge/>
            <w:tcBorders>
              <w:right w:val="single" w:sz="8" w:space="0" w:color="auto"/>
            </w:tcBorders>
            <w:shd w:val="clear" w:color="auto" w:fill="auto"/>
            <w:vAlign w:val="bottom"/>
          </w:tcPr>
          <w:p w14:paraId="7D490886" w14:textId="77777777" w:rsidR="00A52778" w:rsidRPr="00460F9E" w:rsidRDefault="00A52778" w:rsidP="00FC3F8E">
            <w:pPr>
              <w:spacing w:line="236" w:lineRule="exact"/>
              <w:jc w:val="center"/>
              <w:rPr>
                <w:rFonts w:eastAsia="Times New Roman" w:cs="Times New Roman"/>
                <w:b/>
              </w:rPr>
            </w:pPr>
          </w:p>
        </w:tc>
        <w:tc>
          <w:tcPr>
            <w:tcW w:w="1380" w:type="dxa"/>
            <w:vMerge/>
            <w:tcBorders>
              <w:right w:val="single" w:sz="8" w:space="0" w:color="auto"/>
            </w:tcBorders>
            <w:shd w:val="clear" w:color="auto" w:fill="auto"/>
            <w:vAlign w:val="bottom"/>
          </w:tcPr>
          <w:p w14:paraId="75D8EC18" w14:textId="77777777" w:rsidR="00A52778" w:rsidRPr="00460F9E" w:rsidRDefault="00A52778" w:rsidP="00FC3F8E">
            <w:pPr>
              <w:spacing w:line="0" w:lineRule="atLeast"/>
              <w:jc w:val="center"/>
              <w:rPr>
                <w:rFonts w:eastAsia="Times New Roman" w:cs="Times New Roman"/>
                <w:b/>
              </w:rPr>
            </w:pPr>
          </w:p>
        </w:tc>
      </w:tr>
      <w:tr w:rsidR="00A52778" w:rsidRPr="00460F9E" w14:paraId="4E285A6E" w14:textId="77777777" w:rsidTr="00FC3F8E">
        <w:trPr>
          <w:trHeight w:val="115"/>
        </w:trPr>
        <w:tc>
          <w:tcPr>
            <w:tcW w:w="560" w:type="dxa"/>
            <w:tcBorders>
              <w:left w:val="single" w:sz="8" w:space="0" w:color="auto"/>
            </w:tcBorders>
            <w:shd w:val="clear" w:color="auto" w:fill="auto"/>
            <w:vAlign w:val="bottom"/>
          </w:tcPr>
          <w:p w14:paraId="28EA2CC2" w14:textId="77777777" w:rsidR="00A52778" w:rsidRPr="00460F9E" w:rsidRDefault="00A52778" w:rsidP="00FC3F8E">
            <w:pPr>
              <w:spacing w:line="0" w:lineRule="atLeast"/>
              <w:rPr>
                <w:rFonts w:eastAsia="Times New Roman" w:cs="Times New Roman"/>
                <w:b/>
                <w:sz w:val="10"/>
              </w:rPr>
            </w:pPr>
          </w:p>
        </w:tc>
        <w:tc>
          <w:tcPr>
            <w:tcW w:w="520" w:type="dxa"/>
            <w:shd w:val="clear" w:color="auto" w:fill="auto"/>
            <w:vAlign w:val="bottom"/>
          </w:tcPr>
          <w:p w14:paraId="3AC3D85B" w14:textId="77777777" w:rsidR="00A52778" w:rsidRPr="00460F9E" w:rsidRDefault="00A52778" w:rsidP="00FC3F8E">
            <w:pPr>
              <w:spacing w:line="0" w:lineRule="atLeast"/>
              <w:rPr>
                <w:rFonts w:eastAsia="Times New Roman" w:cs="Times New Roman"/>
                <w:b/>
                <w:sz w:val="10"/>
              </w:rPr>
            </w:pPr>
          </w:p>
        </w:tc>
        <w:tc>
          <w:tcPr>
            <w:tcW w:w="760" w:type="dxa"/>
            <w:tcBorders>
              <w:right w:val="single" w:sz="8" w:space="0" w:color="auto"/>
            </w:tcBorders>
            <w:shd w:val="clear" w:color="auto" w:fill="auto"/>
            <w:vAlign w:val="bottom"/>
          </w:tcPr>
          <w:p w14:paraId="064FF8A6" w14:textId="77777777" w:rsidR="00A52778" w:rsidRPr="00460F9E" w:rsidRDefault="00A52778" w:rsidP="00FC3F8E">
            <w:pPr>
              <w:spacing w:line="0" w:lineRule="atLeast"/>
              <w:rPr>
                <w:rFonts w:eastAsia="Times New Roman" w:cs="Times New Roman"/>
                <w:b/>
                <w:sz w:val="10"/>
              </w:rPr>
            </w:pPr>
          </w:p>
        </w:tc>
        <w:tc>
          <w:tcPr>
            <w:tcW w:w="1640" w:type="dxa"/>
            <w:vMerge/>
            <w:tcBorders>
              <w:right w:val="single" w:sz="8" w:space="0" w:color="auto"/>
            </w:tcBorders>
            <w:shd w:val="clear" w:color="auto" w:fill="auto"/>
            <w:vAlign w:val="bottom"/>
          </w:tcPr>
          <w:p w14:paraId="4502A6C3" w14:textId="77777777" w:rsidR="00A52778" w:rsidRPr="00460F9E" w:rsidRDefault="00A52778" w:rsidP="00FC3F8E">
            <w:pPr>
              <w:spacing w:line="0" w:lineRule="atLeast"/>
              <w:rPr>
                <w:rFonts w:eastAsia="Times New Roman" w:cs="Times New Roman"/>
                <w:b/>
                <w:sz w:val="10"/>
              </w:rPr>
            </w:pPr>
          </w:p>
        </w:tc>
        <w:tc>
          <w:tcPr>
            <w:tcW w:w="1240" w:type="dxa"/>
            <w:tcBorders>
              <w:right w:val="single" w:sz="8" w:space="0" w:color="auto"/>
            </w:tcBorders>
            <w:shd w:val="clear" w:color="auto" w:fill="auto"/>
            <w:vAlign w:val="bottom"/>
          </w:tcPr>
          <w:p w14:paraId="11C451FF" w14:textId="77777777" w:rsidR="00A52778" w:rsidRPr="00460F9E" w:rsidRDefault="00A52778" w:rsidP="00FC3F8E">
            <w:pPr>
              <w:spacing w:line="0" w:lineRule="atLeast"/>
              <w:rPr>
                <w:rFonts w:eastAsia="Times New Roman" w:cs="Times New Roman"/>
                <w:b/>
                <w:sz w:val="10"/>
              </w:rPr>
            </w:pPr>
          </w:p>
        </w:tc>
        <w:tc>
          <w:tcPr>
            <w:tcW w:w="1920" w:type="dxa"/>
            <w:vMerge/>
            <w:tcBorders>
              <w:right w:val="single" w:sz="8" w:space="0" w:color="auto"/>
            </w:tcBorders>
            <w:shd w:val="clear" w:color="auto" w:fill="auto"/>
            <w:vAlign w:val="bottom"/>
          </w:tcPr>
          <w:p w14:paraId="338A5E3B" w14:textId="77777777" w:rsidR="00A52778" w:rsidRPr="00460F9E" w:rsidRDefault="00A52778" w:rsidP="00FC3F8E">
            <w:pPr>
              <w:spacing w:line="0" w:lineRule="atLeast"/>
              <w:rPr>
                <w:rFonts w:eastAsia="Times New Roman" w:cs="Times New Roman"/>
                <w:b/>
                <w:sz w:val="10"/>
              </w:rPr>
            </w:pPr>
          </w:p>
        </w:tc>
        <w:tc>
          <w:tcPr>
            <w:tcW w:w="1260" w:type="dxa"/>
            <w:vMerge/>
            <w:tcBorders>
              <w:right w:val="single" w:sz="8" w:space="0" w:color="auto"/>
            </w:tcBorders>
            <w:shd w:val="clear" w:color="auto" w:fill="auto"/>
            <w:vAlign w:val="bottom"/>
          </w:tcPr>
          <w:p w14:paraId="5E4DD8EB" w14:textId="77777777" w:rsidR="00A52778" w:rsidRPr="00460F9E" w:rsidRDefault="00A52778" w:rsidP="00FC3F8E">
            <w:pPr>
              <w:spacing w:line="236" w:lineRule="exact"/>
              <w:jc w:val="center"/>
              <w:rPr>
                <w:rFonts w:eastAsia="Times New Roman" w:cs="Times New Roman"/>
                <w:b/>
                <w:w w:val="92"/>
              </w:rPr>
            </w:pPr>
          </w:p>
        </w:tc>
        <w:tc>
          <w:tcPr>
            <w:tcW w:w="1380" w:type="dxa"/>
            <w:vMerge/>
            <w:tcBorders>
              <w:right w:val="single" w:sz="8" w:space="0" w:color="auto"/>
            </w:tcBorders>
            <w:shd w:val="clear" w:color="auto" w:fill="auto"/>
            <w:vAlign w:val="bottom"/>
          </w:tcPr>
          <w:p w14:paraId="6B87A741" w14:textId="77777777" w:rsidR="00A52778" w:rsidRPr="00460F9E" w:rsidRDefault="00A52778" w:rsidP="00FC3F8E">
            <w:pPr>
              <w:spacing w:line="0" w:lineRule="atLeast"/>
              <w:rPr>
                <w:rFonts w:eastAsia="Times New Roman" w:cs="Times New Roman"/>
                <w:b/>
                <w:sz w:val="10"/>
              </w:rPr>
            </w:pPr>
          </w:p>
        </w:tc>
      </w:tr>
      <w:tr w:rsidR="00A52778" w:rsidRPr="00460F9E" w14:paraId="267DA58E" w14:textId="77777777" w:rsidTr="00FC3F8E">
        <w:trPr>
          <w:trHeight w:val="121"/>
        </w:trPr>
        <w:tc>
          <w:tcPr>
            <w:tcW w:w="560" w:type="dxa"/>
            <w:tcBorders>
              <w:left w:val="single" w:sz="8" w:space="0" w:color="auto"/>
              <w:bottom w:val="single" w:sz="8" w:space="0" w:color="auto"/>
            </w:tcBorders>
            <w:shd w:val="clear" w:color="auto" w:fill="auto"/>
            <w:vAlign w:val="bottom"/>
          </w:tcPr>
          <w:p w14:paraId="7D220480" w14:textId="77777777" w:rsidR="00A52778" w:rsidRPr="00460F9E" w:rsidRDefault="00A52778" w:rsidP="00FC3F8E">
            <w:pPr>
              <w:spacing w:line="0" w:lineRule="atLeast"/>
              <w:rPr>
                <w:rFonts w:eastAsia="Times New Roman" w:cs="Times New Roman"/>
                <w:b/>
                <w:sz w:val="10"/>
              </w:rPr>
            </w:pPr>
          </w:p>
        </w:tc>
        <w:tc>
          <w:tcPr>
            <w:tcW w:w="520" w:type="dxa"/>
            <w:tcBorders>
              <w:bottom w:val="single" w:sz="8" w:space="0" w:color="auto"/>
            </w:tcBorders>
            <w:shd w:val="clear" w:color="auto" w:fill="auto"/>
            <w:vAlign w:val="bottom"/>
          </w:tcPr>
          <w:p w14:paraId="1D139AD6" w14:textId="77777777" w:rsidR="00A52778" w:rsidRPr="00460F9E" w:rsidRDefault="00A52778" w:rsidP="00FC3F8E">
            <w:pPr>
              <w:spacing w:line="0" w:lineRule="atLeast"/>
              <w:rPr>
                <w:rFonts w:eastAsia="Times New Roman" w:cs="Times New Roman"/>
                <w:b/>
                <w:sz w:val="10"/>
              </w:rPr>
            </w:pPr>
          </w:p>
        </w:tc>
        <w:tc>
          <w:tcPr>
            <w:tcW w:w="760" w:type="dxa"/>
            <w:tcBorders>
              <w:bottom w:val="single" w:sz="8" w:space="0" w:color="auto"/>
              <w:right w:val="single" w:sz="8" w:space="0" w:color="auto"/>
            </w:tcBorders>
            <w:shd w:val="clear" w:color="auto" w:fill="auto"/>
            <w:vAlign w:val="bottom"/>
          </w:tcPr>
          <w:p w14:paraId="1427D2CB" w14:textId="77777777" w:rsidR="00A52778" w:rsidRPr="00460F9E" w:rsidRDefault="00A52778" w:rsidP="00FC3F8E">
            <w:pPr>
              <w:spacing w:line="0" w:lineRule="atLeast"/>
              <w:rPr>
                <w:rFonts w:eastAsia="Times New Roman" w:cs="Times New Roman"/>
                <w:b/>
                <w:sz w:val="10"/>
              </w:rPr>
            </w:pPr>
          </w:p>
        </w:tc>
        <w:tc>
          <w:tcPr>
            <w:tcW w:w="1640" w:type="dxa"/>
            <w:vMerge/>
            <w:tcBorders>
              <w:bottom w:val="single" w:sz="8" w:space="0" w:color="auto"/>
              <w:right w:val="single" w:sz="8" w:space="0" w:color="auto"/>
            </w:tcBorders>
            <w:shd w:val="clear" w:color="auto" w:fill="auto"/>
            <w:vAlign w:val="bottom"/>
          </w:tcPr>
          <w:p w14:paraId="56CE816C" w14:textId="77777777" w:rsidR="00A52778" w:rsidRPr="00460F9E" w:rsidRDefault="00A52778" w:rsidP="00FC3F8E">
            <w:pPr>
              <w:spacing w:line="0" w:lineRule="atLeast"/>
              <w:rPr>
                <w:rFonts w:eastAsia="Times New Roman" w:cs="Times New Roman"/>
                <w:b/>
                <w:sz w:val="10"/>
              </w:rPr>
            </w:pPr>
          </w:p>
        </w:tc>
        <w:tc>
          <w:tcPr>
            <w:tcW w:w="1240" w:type="dxa"/>
            <w:tcBorders>
              <w:bottom w:val="single" w:sz="8" w:space="0" w:color="auto"/>
              <w:right w:val="single" w:sz="8" w:space="0" w:color="auto"/>
            </w:tcBorders>
            <w:shd w:val="clear" w:color="auto" w:fill="auto"/>
            <w:vAlign w:val="bottom"/>
          </w:tcPr>
          <w:p w14:paraId="4B47F79B" w14:textId="77777777" w:rsidR="00A52778" w:rsidRPr="00460F9E" w:rsidRDefault="00A52778" w:rsidP="00FC3F8E">
            <w:pPr>
              <w:spacing w:line="0" w:lineRule="atLeast"/>
              <w:rPr>
                <w:rFonts w:eastAsia="Times New Roman" w:cs="Times New Roman"/>
                <w:b/>
                <w:sz w:val="10"/>
              </w:rPr>
            </w:pPr>
          </w:p>
        </w:tc>
        <w:tc>
          <w:tcPr>
            <w:tcW w:w="1920" w:type="dxa"/>
            <w:vMerge/>
            <w:tcBorders>
              <w:bottom w:val="single" w:sz="8" w:space="0" w:color="auto"/>
              <w:right w:val="single" w:sz="8" w:space="0" w:color="auto"/>
            </w:tcBorders>
            <w:shd w:val="clear" w:color="auto" w:fill="auto"/>
            <w:vAlign w:val="bottom"/>
          </w:tcPr>
          <w:p w14:paraId="22F2DA50" w14:textId="77777777" w:rsidR="00A52778" w:rsidRPr="00460F9E" w:rsidRDefault="00A52778" w:rsidP="00FC3F8E">
            <w:pPr>
              <w:spacing w:line="0" w:lineRule="atLeast"/>
              <w:rPr>
                <w:rFonts w:eastAsia="Times New Roman" w:cs="Times New Roman"/>
                <w:b/>
                <w:sz w:val="10"/>
              </w:rPr>
            </w:pPr>
          </w:p>
        </w:tc>
        <w:tc>
          <w:tcPr>
            <w:tcW w:w="1260" w:type="dxa"/>
            <w:vMerge/>
            <w:tcBorders>
              <w:bottom w:val="single" w:sz="8" w:space="0" w:color="auto"/>
              <w:right w:val="single" w:sz="8" w:space="0" w:color="auto"/>
            </w:tcBorders>
            <w:shd w:val="clear" w:color="auto" w:fill="auto"/>
            <w:vAlign w:val="bottom"/>
          </w:tcPr>
          <w:p w14:paraId="59AE0335" w14:textId="77777777" w:rsidR="00A52778" w:rsidRPr="00460F9E" w:rsidRDefault="00A52778" w:rsidP="00FC3F8E">
            <w:pPr>
              <w:spacing w:line="0" w:lineRule="atLeast"/>
              <w:rPr>
                <w:rFonts w:eastAsia="Times New Roman" w:cs="Times New Roman"/>
                <w:b/>
                <w:sz w:val="10"/>
              </w:rPr>
            </w:pPr>
          </w:p>
        </w:tc>
        <w:tc>
          <w:tcPr>
            <w:tcW w:w="1380" w:type="dxa"/>
            <w:vMerge/>
            <w:tcBorders>
              <w:bottom w:val="single" w:sz="8" w:space="0" w:color="auto"/>
              <w:right w:val="single" w:sz="8" w:space="0" w:color="auto"/>
            </w:tcBorders>
            <w:shd w:val="clear" w:color="auto" w:fill="auto"/>
            <w:vAlign w:val="bottom"/>
          </w:tcPr>
          <w:p w14:paraId="03BDE16C" w14:textId="77777777" w:rsidR="00A52778" w:rsidRPr="00460F9E" w:rsidRDefault="00A52778" w:rsidP="00FC3F8E">
            <w:pPr>
              <w:spacing w:line="0" w:lineRule="atLeast"/>
              <w:rPr>
                <w:rFonts w:eastAsia="Times New Roman" w:cs="Times New Roman"/>
                <w:b/>
                <w:sz w:val="10"/>
              </w:rPr>
            </w:pPr>
          </w:p>
        </w:tc>
      </w:tr>
      <w:tr w:rsidR="00A52778" w:rsidRPr="00460F9E" w14:paraId="0A20DAB6" w14:textId="77777777" w:rsidTr="00FC3F8E">
        <w:trPr>
          <w:trHeight w:val="214"/>
        </w:trPr>
        <w:tc>
          <w:tcPr>
            <w:tcW w:w="560" w:type="dxa"/>
            <w:tcBorders>
              <w:left w:val="single" w:sz="8" w:space="0" w:color="auto"/>
            </w:tcBorders>
            <w:shd w:val="clear" w:color="auto" w:fill="auto"/>
            <w:vAlign w:val="bottom"/>
          </w:tcPr>
          <w:p w14:paraId="3D4510B4" w14:textId="77777777" w:rsidR="00A52778" w:rsidRPr="00460F9E" w:rsidRDefault="00A52778" w:rsidP="00FC3F8E">
            <w:pPr>
              <w:spacing w:line="0" w:lineRule="atLeast"/>
              <w:rPr>
                <w:rFonts w:eastAsia="Times New Roman" w:cs="Times New Roman"/>
                <w:b/>
                <w:sz w:val="18"/>
              </w:rPr>
            </w:pPr>
          </w:p>
        </w:tc>
        <w:tc>
          <w:tcPr>
            <w:tcW w:w="520" w:type="dxa"/>
            <w:shd w:val="clear" w:color="auto" w:fill="auto"/>
            <w:vAlign w:val="bottom"/>
          </w:tcPr>
          <w:p w14:paraId="1D9E943F" w14:textId="77777777" w:rsidR="00A52778" w:rsidRPr="00460F9E" w:rsidRDefault="00A52778" w:rsidP="00FC3F8E">
            <w:pPr>
              <w:spacing w:line="0" w:lineRule="atLeast"/>
              <w:rPr>
                <w:rFonts w:eastAsia="Times New Roman" w:cs="Times New Roman"/>
                <w:b/>
                <w:sz w:val="18"/>
              </w:rPr>
            </w:pPr>
          </w:p>
        </w:tc>
        <w:tc>
          <w:tcPr>
            <w:tcW w:w="760" w:type="dxa"/>
            <w:tcBorders>
              <w:right w:val="single" w:sz="8" w:space="0" w:color="auto"/>
            </w:tcBorders>
            <w:shd w:val="clear" w:color="auto" w:fill="auto"/>
            <w:vAlign w:val="bottom"/>
          </w:tcPr>
          <w:p w14:paraId="67A9F9F8" w14:textId="77777777" w:rsidR="00A52778" w:rsidRPr="00460F9E" w:rsidRDefault="00A52778" w:rsidP="00FC3F8E">
            <w:pPr>
              <w:spacing w:line="0" w:lineRule="atLeast"/>
              <w:rPr>
                <w:rFonts w:eastAsia="Times New Roman" w:cs="Times New Roman"/>
                <w:b/>
                <w:sz w:val="18"/>
              </w:rPr>
            </w:pPr>
          </w:p>
        </w:tc>
        <w:tc>
          <w:tcPr>
            <w:tcW w:w="1640" w:type="dxa"/>
            <w:tcBorders>
              <w:right w:val="single" w:sz="8" w:space="0" w:color="auto"/>
            </w:tcBorders>
            <w:shd w:val="clear" w:color="auto" w:fill="auto"/>
            <w:vAlign w:val="bottom"/>
          </w:tcPr>
          <w:p w14:paraId="7EE78B10" w14:textId="77777777" w:rsidR="00A52778" w:rsidRPr="00460F9E" w:rsidRDefault="00A52778" w:rsidP="00FC3F8E">
            <w:pPr>
              <w:spacing w:line="0" w:lineRule="atLeast"/>
              <w:rPr>
                <w:rFonts w:eastAsia="Times New Roman" w:cs="Times New Roman"/>
                <w:b/>
                <w:sz w:val="18"/>
              </w:rPr>
            </w:pPr>
          </w:p>
        </w:tc>
        <w:tc>
          <w:tcPr>
            <w:tcW w:w="1240" w:type="dxa"/>
            <w:vMerge w:val="restart"/>
            <w:tcBorders>
              <w:right w:val="single" w:sz="8" w:space="0" w:color="auto"/>
            </w:tcBorders>
            <w:shd w:val="clear" w:color="auto" w:fill="auto"/>
            <w:vAlign w:val="bottom"/>
          </w:tcPr>
          <w:p w14:paraId="13CEDB34" w14:textId="77777777" w:rsidR="00A52778" w:rsidRPr="00460F9E" w:rsidRDefault="00A52778" w:rsidP="00FC3F8E">
            <w:pPr>
              <w:spacing w:line="219" w:lineRule="exact"/>
              <w:jc w:val="center"/>
              <w:rPr>
                <w:rFonts w:eastAsia="Times New Roman" w:cs="Times New Roman"/>
                <w:b/>
                <w:w w:val="99"/>
              </w:rPr>
            </w:pPr>
            <w:r w:rsidRPr="00460F9E">
              <w:rPr>
                <w:rFonts w:eastAsia="Times New Roman" w:cs="Times New Roman"/>
                <w:w w:val="99"/>
              </w:rPr>
              <w:t>Toz kütle akışı ≥ 3 kg/saat olan herhangi bir baca</w:t>
            </w:r>
          </w:p>
        </w:tc>
        <w:tc>
          <w:tcPr>
            <w:tcW w:w="1920" w:type="dxa"/>
            <w:vMerge w:val="restart"/>
            <w:tcBorders>
              <w:right w:val="single" w:sz="8" w:space="0" w:color="auto"/>
            </w:tcBorders>
            <w:shd w:val="clear" w:color="auto" w:fill="auto"/>
            <w:vAlign w:val="bottom"/>
          </w:tcPr>
          <w:p w14:paraId="01BC0D12"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Genel EN</w:t>
            </w:r>
          </w:p>
          <w:p w14:paraId="264E2157" w14:textId="77777777" w:rsidR="00A52778" w:rsidRPr="00460F9E" w:rsidRDefault="00A52778" w:rsidP="00FC3F8E">
            <w:pPr>
              <w:spacing w:line="233" w:lineRule="exact"/>
              <w:jc w:val="center"/>
              <w:rPr>
                <w:rFonts w:eastAsia="Times New Roman" w:cs="Times New Roman"/>
                <w:b/>
                <w:w w:val="96"/>
              </w:rPr>
            </w:pPr>
            <w:r w:rsidRPr="00460F9E">
              <w:rPr>
                <w:rFonts w:eastAsia="Times New Roman" w:cs="Times New Roman"/>
                <w:w w:val="96"/>
              </w:rPr>
              <w:t>standartları (</w:t>
            </w:r>
            <w:r w:rsidRPr="00460F9E">
              <w:rPr>
                <w:rFonts w:eastAsia="Times New Roman" w:cs="Times New Roman"/>
                <w:w w:val="96"/>
                <w:sz w:val="25"/>
                <w:vertAlign w:val="superscript"/>
              </w:rPr>
              <w:t>5</w:t>
            </w:r>
            <w:r w:rsidRPr="00460F9E">
              <w:rPr>
                <w:rFonts w:eastAsia="Times New Roman" w:cs="Times New Roman"/>
                <w:w w:val="96"/>
              </w:rPr>
              <w:t>),</w:t>
            </w:r>
          </w:p>
          <w:p w14:paraId="1E61CA1F" w14:textId="77777777" w:rsidR="00A52778" w:rsidRPr="00460F9E" w:rsidRDefault="00A52778" w:rsidP="00FC3F8E">
            <w:pPr>
              <w:spacing w:line="226" w:lineRule="exact"/>
              <w:jc w:val="center"/>
              <w:rPr>
                <w:rFonts w:eastAsia="Times New Roman" w:cs="Times New Roman"/>
                <w:b/>
                <w:w w:val="99"/>
              </w:rPr>
            </w:pPr>
            <w:r w:rsidRPr="00460F9E">
              <w:rPr>
                <w:rFonts w:eastAsia="Times New Roman" w:cs="Times New Roman"/>
                <w:w w:val="99"/>
              </w:rPr>
              <w:t>EN 13284-1 ve</w:t>
            </w:r>
          </w:p>
          <w:p w14:paraId="2893C4A1" w14:textId="77777777" w:rsidR="00A52778" w:rsidRPr="00460F9E" w:rsidRDefault="00A52778" w:rsidP="00FC3F8E">
            <w:pPr>
              <w:spacing w:line="219" w:lineRule="exact"/>
              <w:jc w:val="center"/>
              <w:rPr>
                <w:rFonts w:eastAsia="Times New Roman" w:cs="Times New Roman"/>
                <w:b/>
              </w:rPr>
            </w:pPr>
            <w:r w:rsidRPr="00460F9E">
              <w:rPr>
                <w:rFonts w:eastAsia="Times New Roman" w:cs="Times New Roman"/>
              </w:rPr>
              <w:t>EN 13284-2</w:t>
            </w:r>
          </w:p>
        </w:tc>
        <w:tc>
          <w:tcPr>
            <w:tcW w:w="1260" w:type="dxa"/>
            <w:vMerge w:val="restart"/>
            <w:tcBorders>
              <w:right w:val="single" w:sz="8" w:space="0" w:color="auto"/>
            </w:tcBorders>
            <w:shd w:val="clear" w:color="auto" w:fill="auto"/>
            <w:vAlign w:val="center"/>
          </w:tcPr>
          <w:p w14:paraId="47EB2543"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Sürekli</w:t>
            </w:r>
          </w:p>
          <w:p w14:paraId="23014DD7" w14:textId="77777777" w:rsidR="00A52778" w:rsidRPr="00460F9E" w:rsidRDefault="00A52778" w:rsidP="00FC3F8E">
            <w:pPr>
              <w:spacing w:line="236" w:lineRule="exact"/>
              <w:jc w:val="center"/>
              <w:rPr>
                <w:rFonts w:eastAsia="Times New Roman" w:cs="Times New Roman"/>
                <w:b/>
                <w:sz w:val="18"/>
              </w:rPr>
            </w:pPr>
            <w:r w:rsidRPr="00460F9E">
              <w:rPr>
                <w:rFonts w:eastAsia="Times New Roman" w:cs="Times New Roman"/>
                <w:w w:val="92"/>
              </w:rPr>
              <w:t>(</w:t>
            </w:r>
            <w:r w:rsidRPr="00460F9E">
              <w:rPr>
                <w:rFonts w:eastAsia="Times New Roman" w:cs="Times New Roman"/>
                <w:w w:val="92"/>
                <w:sz w:val="25"/>
                <w:vertAlign w:val="superscript"/>
              </w:rPr>
              <w:t>8</w:t>
            </w:r>
            <w:r w:rsidRPr="00460F9E">
              <w:rPr>
                <w:rFonts w:eastAsia="Times New Roman" w:cs="Times New Roman"/>
                <w:w w:val="92"/>
              </w:rPr>
              <w:t>)</w:t>
            </w:r>
          </w:p>
        </w:tc>
        <w:tc>
          <w:tcPr>
            <w:tcW w:w="1380" w:type="dxa"/>
            <w:vMerge w:val="restart"/>
            <w:tcBorders>
              <w:right w:val="single" w:sz="8" w:space="0" w:color="auto"/>
            </w:tcBorders>
            <w:shd w:val="clear" w:color="auto" w:fill="auto"/>
            <w:vAlign w:val="center"/>
          </w:tcPr>
          <w:p w14:paraId="0413E410" w14:textId="77777777" w:rsidR="00A52778" w:rsidRPr="00460F9E" w:rsidRDefault="002A1746" w:rsidP="00FC3F8E">
            <w:pPr>
              <w:spacing w:line="0" w:lineRule="atLeast"/>
              <w:jc w:val="center"/>
              <w:rPr>
                <w:rFonts w:eastAsia="Times New Roman" w:cs="Times New Roman"/>
                <w:b/>
                <w:sz w:val="18"/>
              </w:rPr>
            </w:pPr>
            <w:hyperlink w:anchor="page305" w:history="1">
              <w:r w:rsidR="00A52778" w:rsidRPr="00460F9E">
                <w:rPr>
                  <w:rFonts w:cs="Times New Roman"/>
                </w:rPr>
                <w:t xml:space="preserve"> </w:t>
              </w:r>
              <w:r w:rsidR="00A52778" w:rsidRPr="00460F9E">
                <w:rPr>
                  <w:rFonts w:eastAsia="Times New Roman" w:cs="Times New Roman"/>
                </w:rPr>
                <w:t>MET 14</w:t>
              </w:r>
            </w:hyperlink>
          </w:p>
        </w:tc>
      </w:tr>
      <w:tr w:rsidR="00A52778" w:rsidRPr="00460F9E" w14:paraId="4C3EA608" w14:textId="77777777" w:rsidTr="00FC3F8E">
        <w:trPr>
          <w:trHeight w:val="233"/>
        </w:trPr>
        <w:tc>
          <w:tcPr>
            <w:tcW w:w="560" w:type="dxa"/>
            <w:tcBorders>
              <w:left w:val="single" w:sz="8" w:space="0" w:color="auto"/>
            </w:tcBorders>
            <w:shd w:val="clear" w:color="auto" w:fill="auto"/>
            <w:vAlign w:val="bottom"/>
          </w:tcPr>
          <w:p w14:paraId="297321A1" w14:textId="77777777" w:rsidR="00A52778" w:rsidRPr="00460F9E" w:rsidRDefault="00A52778" w:rsidP="00FC3F8E">
            <w:pPr>
              <w:spacing w:line="0" w:lineRule="atLeast"/>
              <w:rPr>
                <w:rFonts w:eastAsia="Times New Roman" w:cs="Times New Roman"/>
                <w:b/>
              </w:rPr>
            </w:pPr>
          </w:p>
        </w:tc>
        <w:tc>
          <w:tcPr>
            <w:tcW w:w="1280" w:type="dxa"/>
            <w:gridSpan w:val="2"/>
            <w:vMerge w:val="restart"/>
            <w:tcBorders>
              <w:right w:val="single" w:sz="8" w:space="0" w:color="auto"/>
            </w:tcBorders>
            <w:shd w:val="clear" w:color="auto" w:fill="auto"/>
            <w:vAlign w:val="bottom"/>
          </w:tcPr>
          <w:p w14:paraId="40DDE917" w14:textId="77777777" w:rsidR="00A52778" w:rsidRPr="00460F9E" w:rsidRDefault="00A52778" w:rsidP="00FC3F8E">
            <w:pPr>
              <w:spacing w:line="0" w:lineRule="atLeast"/>
              <w:ind w:right="480"/>
              <w:jc w:val="center"/>
              <w:rPr>
                <w:rFonts w:eastAsia="Times New Roman" w:cs="Times New Roman"/>
                <w:b/>
              </w:rPr>
            </w:pPr>
            <w:r w:rsidRPr="00460F9E">
              <w:rPr>
                <w:rFonts w:eastAsia="Times New Roman" w:cs="Times New Roman"/>
              </w:rPr>
              <w:t>Toz</w:t>
            </w:r>
          </w:p>
        </w:tc>
        <w:tc>
          <w:tcPr>
            <w:tcW w:w="1640" w:type="dxa"/>
            <w:tcBorders>
              <w:right w:val="single" w:sz="8" w:space="0" w:color="auto"/>
            </w:tcBorders>
            <w:shd w:val="clear" w:color="auto" w:fill="auto"/>
            <w:vAlign w:val="bottom"/>
          </w:tcPr>
          <w:p w14:paraId="1C43FBC3"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Tüm</w:t>
            </w:r>
          </w:p>
        </w:tc>
        <w:tc>
          <w:tcPr>
            <w:tcW w:w="1240" w:type="dxa"/>
            <w:vMerge/>
            <w:tcBorders>
              <w:right w:val="single" w:sz="8" w:space="0" w:color="auto"/>
            </w:tcBorders>
            <w:shd w:val="clear" w:color="auto" w:fill="auto"/>
            <w:vAlign w:val="bottom"/>
          </w:tcPr>
          <w:p w14:paraId="771E2A99" w14:textId="77777777" w:rsidR="00A52778" w:rsidRPr="00460F9E" w:rsidRDefault="00A52778" w:rsidP="00FC3F8E">
            <w:pPr>
              <w:spacing w:line="219" w:lineRule="exact"/>
              <w:jc w:val="center"/>
              <w:rPr>
                <w:rFonts w:eastAsia="Times New Roman" w:cs="Times New Roman"/>
                <w:b/>
              </w:rPr>
            </w:pPr>
          </w:p>
        </w:tc>
        <w:tc>
          <w:tcPr>
            <w:tcW w:w="1920" w:type="dxa"/>
            <w:vMerge/>
            <w:tcBorders>
              <w:right w:val="single" w:sz="8" w:space="0" w:color="auto"/>
            </w:tcBorders>
            <w:shd w:val="clear" w:color="auto" w:fill="auto"/>
            <w:vAlign w:val="bottom"/>
          </w:tcPr>
          <w:p w14:paraId="5B5529B7" w14:textId="77777777" w:rsidR="00A52778" w:rsidRPr="00460F9E" w:rsidRDefault="00A52778" w:rsidP="00FC3F8E">
            <w:pPr>
              <w:spacing w:line="219" w:lineRule="exact"/>
              <w:jc w:val="center"/>
              <w:rPr>
                <w:rFonts w:eastAsia="Times New Roman" w:cs="Times New Roman"/>
                <w:b/>
                <w:w w:val="96"/>
              </w:rPr>
            </w:pPr>
          </w:p>
        </w:tc>
        <w:tc>
          <w:tcPr>
            <w:tcW w:w="1260" w:type="dxa"/>
            <w:vMerge/>
            <w:tcBorders>
              <w:right w:val="single" w:sz="8" w:space="0" w:color="auto"/>
            </w:tcBorders>
            <w:shd w:val="clear" w:color="auto" w:fill="auto"/>
            <w:vAlign w:val="bottom"/>
          </w:tcPr>
          <w:p w14:paraId="6D2E2E50" w14:textId="77777777" w:rsidR="00A52778" w:rsidRPr="00460F9E" w:rsidRDefault="00A52778" w:rsidP="00FC3F8E">
            <w:pPr>
              <w:spacing w:line="236" w:lineRule="exact"/>
              <w:jc w:val="center"/>
              <w:rPr>
                <w:rFonts w:eastAsia="Times New Roman" w:cs="Times New Roman"/>
                <w:b/>
                <w:w w:val="99"/>
              </w:rPr>
            </w:pPr>
          </w:p>
        </w:tc>
        <w:tc>
          <w:tcPr>
            <w:tcW w:w="1380" w:type="dxa"/>
            <w:vMerge/>
            <w:tcBorders>
              <w:right w:val="single" w:sz="8" w:space="0" w:color="auto"/>
            </w:tcBorders>
            <w:shd w:val="clear" w:color="auto" w:fill="auto"/>
            <w:vAlign w:val="bottom"/>
          </w:tcPr>
          <w:p w14:paraId="1FB3B54A" w14:textId="77777777" w:rsidR="00A52778" w:rsidRPr="00460F9E" w:rsidRDefault="00A52778" w:rsidP="00FC3F8E">
            <w:pPr>
              <w:spacing w:line="0" w:lineRule="atLeast"/>
              <w:jc w:val="center"/>
              <w:rPr>
                <w:rFonts w:eastAsia="Times New Roman" w:cs="Times New Roman"/>
                <w:b/>
              </w:rPr>
            </w:pPr>
          </w:p>
        </w:tc>
      </w:tr>
      <w:tr w:rsidR="00A52778" w:rsidRPr="00460F9E" w14:paraId="10B45368" w14:textId="77777777" w:rsidTr="00FC3F8E">
        <w:trPr>
          <w:trHeight w:val="110"/>
        </w:trPr>
        <w:tc>
          <w:tcPr>
            <w:tcW w:w="560" w:type="dxa"/>
            <w:tcBorders>
              <w:left w:val="single" w:sz="8" w:space="0" w:color="auto"/>
            </w:tcBorders>
            <w:shd w:val="clear" w:color="auto" w:fill="auto"/>
            <w:vAlign w:val="bottom"/>
          </w:tcPr>
          <w:p w14:paraId="1A746C0E" w14:textId="77777777" w:rsidR="00A52778" w:rsidRPr="00460F9E" w:rsidRDefault="00A52778" w:rsidP="00FC3F8E">
            <w:pPr>
              <w:spacing w:line="0" w:lineRule="atLeast"/>
              <w:rPr>
                <w:rFonts w:eastAsia="Times New Roman" w:cs="Times New Roman"/>
                <w:b/>
                <w:sz w:val="9"/>
              </w:rPr>
            </w:pPr>
          </w:p>
        </w:tc>
        <w:tc>
          <w:tcPr>
            <w:tcW w:w="1280" w:type="dxa"/>
            <w:gridSpan w:val="2"/>
            <w:vMerge/>
            <w:tcBorders>
              <w:right w:val="single" w:sz="8" w:space="0" w:color="auto"/>
            </w:tcBorders>
            <w:shd w:val="clear" w:color="auto" w:fill="auto"/>
            <w:vAlign w:val="bottom"/>
          </w:tcPr>
          <w:p w14:paraId="7F62252E" w14:textId="77777777" w:rsidR="00A52778" w:rsidRPr="00460F9E" w:rsidRDefault="00A52778" w:rsidP="00FC3F8E">
            <w:pPr>
              <w:spacing w:line="0" w:lineRule="atLeast"/>
              <w:rPr>
                <w:rFonts w:eastAsia="Times New Roman" w:cs="Times New Roman"/>
                <w:b/>
                <w:sz w:val="9"/>
              </w:rPr>
            </w:pPr>
          </w:p>
        </w:tc>
        <w:tc>
          <w:tcPr>
            <w:tcW w:w="1640" w:type="dxa"/>
            <w:vMerge w:val="restart"/>
            <w:tcBorders>
              <w:right w:val="single" w:sz="8" w:space="0" w:color="auto"/>
            </w:tcBorders>
            <w:shd w:val="clear" w:color="auto" w:fill="auto"/>
            <w:vAlign w:val="bottom"/>
          </w:tcPr>
          <w:p w14:paraId="73395C94" w14:textId="77777777" w:rsidR="00A52778" w:rsidRPr="00460F9E" w:rsidRDefault="00A52778" w:rsidP="00FC3F8E">
            <w:pPr>
              <w:spacing w:line="226" w:lineRule="exact"/>
              <w:jc w:val="center"/>
              <w:rPr>
                <w:rFonts w:eastAsia="Times New Roman" w:cs="Times New Roman"/>
                <w:b/>
                <w:w w:val="99"/>
              </w:rPr>
            </w:pPr>
            <w:r w:rsidRPr="00460F9E">
              <w:rPr>
                <w:rFonts w:eastAsia="Times New Roman" w:cs="Times New Roman"/>
                <w:w w:val="99"/>
              </w:rPr>
              <w:t>prosesler /kaynaklar</w:t>
            </w:r>
          </w:p>
        </w:tc>
        <w:tc>
          <w:tcPr>
            <w:tcW w:w="1240" w:type="dxa"/>
            <w:vMerge/>
            <w:tcBorders>
              <w:right w:val="single" w:sz="8" w:space="0" w:color="auto"/>
            </w:tcBorders>
            <w:shd w:val="clear" w:color="auto" w:fill="auto"/>
            <w:vAlign w:val="bottom"/>
          </w:tcPr>
          <w:p w14:paraId="7AA1982B" w14:textId="77777777" w:rsidR="00A52778" w:rsidRPr="00460F9E" w:rsidRDefault="00A52778" w:rsidP="00FC3F8E">
            <w:pPr>
              <w:spacing w:line="219" w:lineRule="exact"/>
              <w:jc w:val="center"/>
              <w:rPr>
                <w:rFonts w:eastAsia="Times New Roman" w:cs="Times New Roman"/>
                <w:b/>
              </w:rPr>
            </w:pPr>
          </w:p>
        </w:tc>
        <w:tc>
          <w:tcPr>
            <w:tcW w:w="1920" w:type="dxa"/>
            <w:vMerge/>
            <w:tcBorders>
              <w:right w:val="single" w:sz="8" w:space="0" w:color="auto"/>
            </w:tcBorders>
            <w:shd w:val="clear" w:color="auto" w:fill="auto"/>
            <w:vAlign w:val="bottom"/>
          </w:tcPr>
          <w:p w14:paraId="245793F2" w14:textId="77777777" w:rsidR="00A52778" w:rsidRPr="00460F9E" w:rsidRDefault="00A52778" w:rsidP="00FC3F8E">
            <w:pPr>
              <w:spacing w:line="219" w:lineRule="exact"/>
              <w:jc w:val="center"/>
              <w:rPr>
                <w:rFonts w:eastAsia="Times New Roman" w:cs="Times New Roman"/>
                <w:b/>
                <w:w w:val="99"/>
              </w:rPr>
            </w:pPr>
          </w:p>
        </w:tc>
        <w:tc>
          <w:tcPr>
            <w:tcW w:w="1260" w:type="dxa"/>
            <w:vMerge/>
            <w:tcBorders>
              <w:right w:val="single" w:sz="8" w:space="0" w:color="auto"/>
            </w:tcBorders>
            <w:shd w:val="clear" w:color="auto" w:fill="auto"/>
            <w:vAlign w:val="bottom"/>
          </w:tcPr>
          <w:p w14:paraId="4ED37B29" w14:textId="77777777" w:rsidR="00A52778" w:rsidRPr="00460F9E" w:rsidRDefault="00A52778" w:rsidP="00FC3F8E">
            <w:pPr>
              <w:spacing w:line="236" w:lineRule="exact"/>
              <w:jc w:val="center"/>
              <w:rPr>
                <w:rFonts w:eastAsia="Times New Roman" w:cs="Times New Roman"/>
                <w:b/>
                <w:w w:val="92"/>
              </w:rPr>
            </w:pPr>
          </w:p>
        </w:tc>
        <w:tc>
          <w:tcPr>
            <w:tcW w:w="1380" w:type="dxa"/>
            <w:vMerge/>
            <w:tcBorders>
              <w:right w:val="single" w:sz="8" w:space="0" w:color="auto"/>
            </w:tcBorders>
            <w:shd w:val="clear" w:color="auto" w:fill="auto"/>
            <w:vAlign w:val="bottom"/>
          </w:tcPr>
          <w:p w14:paraId="2228C257" w14:textId="77777777" w:rsidR="00A52778" w:rsidRPr="00460F9E" w:rsidRDefault="00A52778" w:rsidP="00FC3F8E">
            <w:pPr>
              <w:spacing w:line="0" w:lineRule="atLeast"/>
              <w:rPr>
                <w:rFonts w:eastAsia="Times New Roman" w:cs="Times New Roman"/>
                <w:b/>
                <w:sz w:val="9"/>
              </w:rPr>
            </w:pPr>
          </w:p>
        </w:tc>
      </w:tr>
      <w:tr w:rsidR="00A52778" w:rsidRPr="00460F9E" w14:paraId="2265ADFF" w14:textId="77777777" w:rsidTr="00FC3F8E">
        <w:trPr>
          <w:trHeight w:val="126"/>
        </w:trPr>
        <w:tc>
          <w:tcPr>
            <w:tcW w:w="560" w:type="dxa"/>
            <w:tcBorders>
              <w:left w:val="single" w:sz="8" w:space="0" w:color="auto"/>
            </w:tcBorders>
            <w:shd w:val="clear" w:color="auto" w:fill="auto"/>
            <w:vAlign w:val="bottom"/>
          </w:tcPr>
          <w:p w14:paraId="70F0816A" w14:textId="77777777" w:rsidR="00A52778" w:rsidRPr="00460F9E" w:rsidRDefault="00A52778" w:rsidP="00FC3F8E">
            <w:pPr>
              <w:spacing w:line="0" w:lineRule="atLeast"/>
              <w:rPr>
                <w:rFonts w:eastAsia="Times New Roman" w:cs="Times New Roman"/>
                <w:b/>
                <w:sz w:val="10"/>
              </w:rPr>
            </w:pPr>
          </w:p>
        </w:tc>
        <w:tc>
          <w:tcPr>
            <w:tcW w:w="520" w:type="dxa"/>
            <w:shd w:val="clear" w:color="auto" w:fill="auto"/>
            <w:vAlign w:val="bottom"/>
          </w:tcPr>
          <w:p w14:paraId="55A1A808" w14:textId="77777777" w:rsidR="00A52778" w:rsidRPr="00460F9E" w:rsidRDefault="00A52778" w:rsidP="00FC3F8E">
            <w:pPr>
              <w:spacing w:line="0" w:lineRule="atLeast"/>
              <w:rPr>
                <w:rFonts w:eastAsia="Times New Roman" w:cs="Times New Roman"/>
                <w:b/>
                <w:sz w:val="10"/>
              </w:rPr>
            </w:pPr>
          </w:p>
        </w:tc>
        <w:tc>
          <w:tcPr>
            <w:tcW w:w="760" w:type="dxa"/>
            <w:tcBorders>
              <w:right w:val="single" w:sz="8" w:space="0" w:color="auto"/>
            </w:tcBorders>
            <w:shd w:val="clear" w:color="auto" w:fill="auto"/>
            <w:vAlign w:val="bottom"/>
          </w:tcPr>
          <w:p w14:paraId="35B823BB" w14:textId="77777777" w:rsidR="00A52778" w:rsidRPr="00460F9E" w:rsidRDefault="00A52778" w:rsidP="00FC3F8E">
            <w:pPr>
              <w:spacing w:line="0" w:lineRule="atLeast"/>
              <w:rPr>
                <w:rFonts w:eastAsia="Times New Roman" w:cs="Times New Roman"/>
                <w:b/>
                <w:sz w:val="10"/>
              </w:rPr>
            </w:pPr>
          </w:p>
        </w:tc>
        <w:tc>
          <w:tcPr>
            <w:tcW w:w="1640" w:type="dxa"/>
            <w:vMerge/>
            <w:tcBorders>
              <w:right w:val="single" w:sz="8" w:space="0" w:color="auto"/>
            </w:tcBorders>
            <w:shd w:val="clear" w:color="auto" w:fill="auto"/>
            <w:vAlign w:val="bottom"/>
          </w:tcPr>
          <w:p w14:paraId="743F9B31" w14:textId="77777777" w:rsidR="00A52778" w:rsidRPr="00460F9E" w:rsidRDefault="00A52778" w:rsidP="00FC3F8E">
            <w:pPr>
              <w:spacing w:line="0" w:lineRule="atLeast"/>
              <w:rPr>
                <w:rFonts w:eastAsia="Times New Roman" w:cs="Times New Roman"/>
                <w:b/>
                <w:sz w:val="10"/>
              </w:rPr>
            </w:pPr>
          </w:p>
        </w:tc>
        <w:tc>
          <w:tcPr>
            <w:tcW w:w="1240" w:type="dxa"/>
            <w:vMerge/>
            <w:tcBorders>
              <w:right w:val="single" w:sz="8" w:space="0" w:color="auto"/>
            </w:tcBorders>
            <w:shd w:val="clear" w:color="auto" w:fill="auto"/>
            <w:vAlign w:val="bottom"/>
          </w:tcPr>
          <w:p w14:paraId="473193F9" w14:textId="77777777" w:rsidR="00A52778" w:rsidRPr="00460F9E" w:rsidRDefault="00A52778" w:rsidP="00FC3F8E">
            <w:pPr>
              <w:spacing w:line="219" w:lineRule="exact"/>
              <w:jc w:val="center"/>
              <w:rPr>
                <w:rFonts w:eastAsia="Times New Roman" w:cs="Times New Roman"/>
                <w:b/>
                <w:sz w:val="10"/>
              </w:rPr>
            </w:pPr>
          </w:p>
        </w:tc>
        <w:tc>
          <w:tcPr>
            <w:tcW w:w="1920" w:type="dxa"/>
            <w:vMerge/>
            <w:tcBorders>
              <w:right w:val="single" w:sz="8" w:space="0" w:color="auto"/>
            </w:tcBorders>
            <w:shd w:val="clear" w:color="auto" w:fill="auto"/>
            <w:vAlign w:val="bottom"/>
          </w:tcPr>
          <w:p w14:paraId="540683F5" w14:textId="77777777" w:rsidR="00A52778" w:rsidRPr="00460F9E" w:rsidRDefault="00A52778" w:rsidP="00FC3F8E">
            <w:pPr>
              <w:spacing w:line="219" w:lineRule="exact"/>
              <w:jc w:val="center"/>
              <w:rPr>
                <w:rFonts w:eastAsia="Times New Roman" w:cs="Times New Roman"/>
                <w:b/>
                <w:sz w:val="10"/>
              </w:rPr>
            </w:pPr>
          </w:p>
        </w:tc>
        <w:tc>
          <w:tcPr>
            <w:tcW w:w="1260" w:type="dxa"/>
            <w:vMerge/>
            <w:tcBorders>
              <w:right w:val="single" w:sz="8" w:space="0" w:color="auto"/>
            </w:tcBorders>
            <w:shd w:val="clear" w:color="auto" w:fill="auto"/>
            <w:vAlign w:val="bottom"/>
          </w:tcPr>
          <w:p w14:paraId="1901394E" w14:textId="77777777" w:rsidR="00A52778" w:rsidRPr="00460F9E" w:rsidRDefault="00A52778" w:rsidP="00FC3F8E">
            <w:pPr>
              <w:spacing w:line="0" w:lineRule="atLeast"/>
              <w:rPr>
                <w:rFonts w:eastAsia="Times New Roman" w:cs="Times New Roman"/>
                <w:b/>
                <w:sz w:val="10"/>
              </w:rPr>
            </w:pPr>
          </w:p>
        </w:tc>
        <w:tc>
          <w:tcPr>
            <w:tcW w:w="1380" w:type="dxa"/>
            <w:vMerge/>
            <w:tcBorders>
              <w:right w:val="single" w:sz="8" w:space="0" w:color="auto"/>
            </w:tcBorders>
            <w:shd w:val="clear" w:color="auto" w:fill="auto"/>
            <w:vAlign w:val="bottom"/>
          </w:tcPr>
          <w:p w14:paraId="5F001D02" w14:textId="77777777" w:rsidR="00A52778" w:rsidRPr="00460F9E" w:rsidRDefault="00A52778" w:rsidP="00FC3F8E">
            <w:pPr>
              <w:spacing w:line="0" w:lineRule="atLeast"/>
              <w:rPr>
                <w:rFonts w:eastAsia="Times New Roman" w:cs="Times New Roman"/>
                <w:b/>
                <w:sz w:val="10"/>
              </w:rPr>
            </w:pPr>
          </w:p>
        </w:tc>
      </w:tr>
      <w:tr w:rsidR="00A52778" w:rsidRPr="00460F9E" w14:paraId="69F6607E" w14:textId="77777777" w:rsidTr="00FC3F8E">
        <w:trPr>
          <w:trHeight w:val="224"/>
        </w:trPr>
        <w:tc>
          <w:tcPr>
            <w:tcW w:w="560" w:type="dxa"/>
            <w:tcBorders>
              <w:left w:val="single" w:sz="8" w:space="0" w:color="auto"/>
              <w:bottom w:val="single" w:sz="8" w:space="0" w:color="auto"/>
            </w:tcBorders>
            <w:shd w:val="clear" w:color="auto" w:fill="auto"/>
            <w:vAlign w:val="bottom"/>
          </w:tcPr>
          <w:p w14:paraId="31D0C211" w14:textId="77777777" w:rsidR="00A52778" w:rsidRPr="00460F9E" w:rsidRDefault="00A52778" w:rsidP="00FC3F8E">
            <w:pPr>
              <w:spacing w:line="0" w:lineRule="atLeast"/>
              <w:rPr>
                <w:rFonts w:eastAsia="Times New Roman" w:cs="Times New Roman"/>
                <w:b/>
                <w:sz w:val="19"/>
              </w:rPr>
            </w:pPr>
          </w:p>
        </w:tc>
        <w:tc>
          <w:tcPr>
            <w:tcW w:w="520" w:type="dxa"/>
            <w:tcBorders>
              <w:bottom w:val="single" w:sz="8" w:space="0" w:color="auto"/>
            </w:tcBorders>
            <w:shd w:val="clear" w:color="auto" w:fill="auto"/>
            <w:vAlign w:val="bottom"/>
          </w:tcPr>
          <w:p w14:paraId="30B1C305" w14:textId="77777777" w:rsidR="00A52778" w:rsidRPr="00460F9E" w:rsidRDefault="00A52778" w:rsidP="00FC3F8E">
            <w:pPr>
              <w:spacing w:line="0" w:lineRule="atLeast"/>
              <w:rPr>
                <w:rFonts w:eastAsia="Times New Roman" w:cs="Times New Roman"/>
                <w:b/>
                <w:sz w:val="19"/>
              </w:rPr>
            </w:pPr>
          </w:p>
        </w:tc>
        <w:tc>
          <w:tcPr>
            <w:tcW w:w="760" w:type="dxa"/>
            <w:tcBorders>
              <w:bottom w:val="single" w:sz="8" w:space="0" w:color="auto"/>
              <w:right w:val="single" w:sz="8" w:space="0" w:color="auto"/>
            </w:tcBorders>
            <w:shd w:val="clear" w:color="auto" w:fill="auto"/>
            <w:vAlign w:val="bottom"/>
          </w:tcPr>
          <w:p w14:paraId="2E935D2D" w14:textId="77777777" w:rsidR="00A52778" w:rsidRPr="00460F9E" w:rsidRDefault="00A52778" w:rsidP="00FC3F8E">
            <w:pPr>
              <w:spacing w:line="0" w:lineRule="atLeast"/>
              <w:rPr>
                <w:rFonts w:eastAsia="Times New Roman" w:cs="Times New Roman"/>
                <w:b/>
                <w:sz w:val="19"/>
              </w:rPr>
            </w:pPr>
          </w:p>
        </w:tc>
        <w:tc>
          <w:tcPr>
            <w:tcW w:w="1640" w:type="dxa"/>
            <w:tcBorders>
              <w:bottom w:val="single" w:sz="8" w:space="0" w:color="auto"/>
              <w:right w:val="single" w:sz="8" w:space="0" w:color="auto"/>
            </w:tcBorders>
            <w:shd w:val="clear" w:color="auto" w:fill="auto"/>
            <w:vAlign w:val="bottom"/>
          </w:tcPr>
          <w:p w14:paraId="666A5053" w14:textId="77777777" w:rsidR="00A52778" w:rsidRPr="00460F9E" w:rsidRDefault="00A52778" w:rsidP="00FC3F8E">
            <w:pPr>
              <w:spacing w:line="0" w:lineRule="atLeast"/>
              <w:rPr>
                <w:rFonts w:eastAsia="Times New Roman" w:cs="Times New Roman"/>
                <w:b/>
                <w:sz w:val="19"/>
              </w:rPr>
            </w:pPr>
          </w:p>
        </w:tc>
        <w:tc>
          <w:tcPr>
            <w:tcW w:w="1240" w:type="dxa"/>
            <w:vMerge/>
            <w:tcBorders>
              <w:bottom w:val="single" w:sz="8" w:space="0" w:color="auto"/>
              <w:right w:val="single" w:sz="8" w:space="0" w:color="auto"/>
            </w:tcBorders>
            <w:shd w:val="clear" w:color="auto" w:fill="auto"/>
            <w:vAlign w:val="bottom"/>
          </w:tcPr>
          <w:p w14:paraId="17987D36" w14:textId="77777777" w:rsidR="00A52778" w:rsidRPr="00460F9E" w:rsidRDefault="00A52778" w:rsidP="00FC3F8E">
            <w:pPr>
              <w:spacing w:line="219" w:lineRule="exact"/>
              <w:jc w:val="center"/>
              <w:rPr>
                <w:rFonts w:eastAsia="Times New Roman" w:cs="Times New Roman"/>
                <w:b/>
                <w:w w:val="99"/>
              </w:rPr>
            </w:pPr>
          </w:p>
        </w:tc>
        <w:tc>
          <w:tcPr>
            <w:tcW w:w="1920" w:type="dxa"/>
            <w:vMerge/>
            <w:tcBorders>
              <w:bottom w:val="single" w:sz="8" w:space="0" w:color="auto"/>
              <w:right w:val="single" w:sz="8" w:space="0" w:color="auto"/>
            </w:tcBorders>
            <w:shd w:val="clear" w:color="auto" w:fill="auto"/>
            <w:vAlign w:val="bottom"/>
          </w:tcPr>
          <w:p w14:paraId="50083A29" w14:textId="77777777" w:rsidR="00A52778" w:rsidRPr="00460F9E" w:rsidRDefault="00A52778" w:rsidP="00FC3F8E">
            <w:pPr>
              <w:spacing w:line="219" w:lineRule="exact"/>
              <w:jc w:val="center"/>
              <w:rPr>
                <w:rFonts w:eastAsia="Times New Roman" w:cs="Times New Roman"/>
                <w:b/>
              </w:rPr>
            </w:pPr>
          </w:p>
        </w:tc>
        <w:tc>
          <w:tcPr>
            <w:tcW w:w="1260" w:type="dxa"/>
            <w:vMerge/>
            <w:tcBorders>
              <w:bottom w:val="single" w:sz="8" w:space="0" w:color="auto"/>
              <w:right w:val="single" w:sz="8" w:space="0" w:color="auto"/>
            </w:tcBorders>
            <w:shd w:val="clear" w:color="auto" w:fill="auto"/>
            <w:vAlign w:val="bottom"/>
          </w:tcPr>
          <w:p w14:paraId="66AC23EA" w14:textId="77777777" w:rsidR="00A52778" w:rsidRPr="00460F9E" w:rsidRDefault="00A52778" w:rsidP="00FC3F8E">
            <w:pPr>
              <w:spacing w:line="0" w:lineRule="atLeast"/>
              <w:rPr>
                <w:rFonts w:eastAsia="Times New Roman" w:cs="Times New Roman"/>
                <w:b/>
                <w:sz w:val="19"/>
              </w:rPr>
            </w:pPr>
          </w:p>
        </w:tc>
        <w:tc>
          <w:tcPr>
            <w:tcW w:w="1380" w:type="dxa"/>
            <w:vMerge/>
            <w:tcBorders>
              <w:bottom w:val="single" w:sz="8" w:space="0" w:color="auto"/>
              <w:right w:val="single" w:sz="8" w:space="0" w:color="auto"/>
            </w:tcBorders>
            <w:shd w:val="clear" w:color="auto" w:fill="auto"/>
            <w:vAlign w:val="bottom"/>
          </w:tcPr>
          <w:p w14:paraId="74EAACDC" w14:textId="77777777" w:rsidR="00A52778" w:rsidRPr="00460F9E" w:rsidRDefault="00A52778" w:rsidP="00FC3F8E">
            <w:pPr>
              <w:spacing w:line="0" w:lineRule="atLeast"/>
              <w:rPr>
                <w:rFonts w:eastAsia="Times New Roman" w:cs="Times New Roman"/>
                <w:b/>
                <w:sz w:val="19"/>
              </w:rPr>
            </w:pPr>
          </w:p>
        </w:tc>
      </w:tr>
    </w:tbl>
    <w:p w14:paraId="2BE0A342" w14:textId="77777777" w:rsidR="00A52778" w:rsidRPr="00460F9E" w:rsidRDefault="00A52778" w:rsidP="00A52778">
      <w:pPr>
        <w:spacing w:line="20" w:lineRule="exact"/>
        <w:rPr>
          <w:rFonts w:eastAsia="Times New Roman" w:cs="Times New Roman"/>
          <w:b/>
        </w:rPr>
      </w:pPr>
    </w:p>
    <w:p w14:paraId="63E3DA84" w14:textId="77777777" w:rsidR="00A52778" w:rsidRPr="00460F9E" w:rsidRDefault="00A52778" w:rsidP="00A52778">
      <w:pPr>
        <w:spacing w:line="20" w:lineRule="exact"/>
        <w:rPr>
          <w:rFonts w:eastAsia="Times New Roman" w:cs="Times New Roman"/>
          <w:b/>
        </w:rPr>
        <w:sectPr w:rsidR="00A52778" w:rsidRPr="00460F9E">
          <w:pgSz w:w="11900" w:h="16838"/>
          <w:pgMar w:top="707" w:right="1440" w:bottom="145" w:left="760" w:header="0" w:footer="0" w:gutter="0"/>
          <w:cols w:space="0" w:equalWidth="0">
            <w:col w:w="9706"/>
          </w:cols>
          <w:docGrid w:linePitch="360"/>
        </w:sectPr>
      </w:pPr>
    </w:p>
    <w:p w14:paraId="3742D4FE" w14:textId="77777777" w:rsidR="00A52778" w:rsidRPr="00460F9E" w:rsidRDefault="00A52778" w:rsidP="00A52778">
      <w:pPr>
        <w:spacing w:line="200" w:lineRule="exact"/>
        <w:rPr>
          <w:rFonts w:eastAsia="Times New Roman" w:cs="Times New Roman"/>
          <w:b/>
        </w:rPr>
      </w:pPr>
    </w:p>
    <w:p w14:paraId="19F1E25A" w14:textId="77777777" w:rsidR="00A52778" w:rsidRPr="00460F9E" w:rsidRDefault="00A52778" w:rsidP="00A52778">
      <w:pPr>
        <w:tabs>
          <w:tab w:val="left" w:pos="2700"/>
        </w:tabs>
        <w:spacing w:line="0" w:lineRule="atLeast"/>
        <w:rPr>
          <w:rFonts w:eastAsia="Times New Roman" w:cs="Times New Roman"/>
          <w:b/>
          <w:color w:val="0000FF"/>
        </w:rPr>
        <w:sectPr w:rsidR="00A52778" w:rsidRPr="00460F9E">
          <w:type w:val="continuous"/>
          <w:pgSz w:w="11900" w:h="16838"/>
          <w:pgMar w:top="707" w:right="1440" w:bottom="145" w:left="760" w:header="0" w:footer="0" w:gutter="0"/>
          <w:cols w:space="0" w:equalWidth="0">
            <w:col w:w="9706"/>
          </w:cols>
          <w:docGrid w:linePitch="360"/>
        </w:sectPr>
      </w:pPr>
    </w:p>
    <w:p w14:paraId="6F855482" w14:textId="77777777" w:rsidR="00A52778" w:rsidRPr="00460F9E" w:rsidRDefault="00A52778" w:rsidP="00A52778">
      <w:pPr>
        <w:spacing w:line="156" w:lineRule="exact"/>
        <w:rPr>
          <w:rFonts w:eastAsia="Times New Roman" w:cs="Times New Roman"/>
          <w:b/>
        </w:rPr>
      </w:pPr>
      <w:bookmarkStart w:id="318" w:name="page299"/>
      <w:bookmarkEnd w:id="318"/>
    </w:p>
    <w:p w14:paraId="6907F9CF" w14:textId="77777777" w:rsidR="00A52778" w:rsidRPr="00460F9E" w:rsidRDefault="00A52778" w:rsidP="00A52778">
      <w:pPr>
        <w:spacing w:line="20" w:lineRule="exact"/>
        <w:rPr>
          <w:rFonts w:eastAsia="Times New Roman" w:cs="Times New Roman"/>
          <w:b/>
        </w:rPr>
      </w:pPr>
    </w:p>
    <w:p w14:paraId="72075A54" w14:textId="77777777" w:rsidR="00A52778" w:rsidRPr="00460F9E" w:rsidRDefault="00A52778" w:rsidP="00A52778">
      <w:pPr>
        <w:spacing w:line="20" w:lineRule="exact"/>
        <w:rPr>
          <w:rFonts w:eastAsia="Times New Roman" w:cs="Times New Roman"/>
          <w:b/>
        </w:rPr>
        <w:sectPr w:rsidR="00A52778" w:rsidRPr="00460F9E">
          <w:pgSz w:w="11900" w:h="16838"/>
          <w:pgMar w:top="707" w:right="746" w:bottom="145" w:left="1440" w:header="0" w:footer="0" w:gutter="0"/>
          <w:cols w:space="0" w:equalWidth="0">
            <w:col w:w="9720"/>
          </w:cols>
          <w:docGrid w:linePitch="360"/>
        </w:sectPr>
      </w:pPr>
    </w:p>
    <w:tbl>
      <w:tblPr>
        <w:tblW w:w="9356" w:type="dxa"/>
        <w:tblInd w:w="-577" w:type="dxa"/>
        <w:tblLayout w:type="fixed"/>
        <w:tblCellMar>
          <w:left w:w="0" w:type="dxa"/>
          <w:right w:w="0" w:type="dxa"/>
        </w:tblCellMar>
        <w:tblLook w:val="0000" w:firstRow="0" w:lastRow="0" w:firstColumn="0" w:lastColumn="0" w:noHBand="0" w:noVBand="0"/>
      </w:tblPr>
      <w:tblGrid>
        <w:gridCol w:w="1701"/>
        <w:gridCol w:w="1985"/>
        <w:gridCol w:w="1134"/>
        <w:gridCol w:w="1984"/>
        <w:gridCol w:w="1276"/>
        <w:gridCol w:w="1276"/>
      </w:tblGrid>
      <w:tr w:rsidR="00A52778" w:rsidRPr="00460F9E" w14:paraId="486A6B94" w14:textId="77777777" w:rsidTr="00FC3F8E">
        <w:trPr>
          <w:trHeight w:val="234"/>
        </w:trPr>
        <w:tc>
          <w:tcPr>
            <w:tcW w:w="1701" w:type="dxa"/>
            <w:tcBorders>
              <w:top w:val="single" w:sz="8" w:space="0" w:color="auto"/>
              <w:left w:val="single" w:sz="8" w:space="0" w:color="auto"/>
              <w:right w:val="single" w:sz="8" w:space="0" w:color="auto"/>
            </w:tcBorders>
            <w:shd w:val="clear" w:color="auto" w:fill="auto"/>
            <w:vAlign w:val="bottom"/>
          </w:tcPr>
          <w:p w14:paraId="1F214A72" w14:textId="77777777" w:rsidR="00A52778" w:rsidRPr="00460F9E" w:rsidRDefault="00A52778" w:rsidP="00FC3F8E">
            <w:pPr>
              <w:spacing w:line="0" w:lineRule="atLeast"/>
              <w:rPr>
                <w:rFonts w:eastAsia="Times New Roman" w:cs="Times New Roman"/>
                <w:b/>
                <w:highlight w:val="yellow"/>
              </w:rPr>
            </w:pPr>
          </w:p>
        </w:tc>
        <w:tc>
          <w:tcPr>
            <w:tcW w:w="1985" w:type="dxa"/>
            <w:tcBorders>
              <w:top w:val="single" w:sz="8" w:space="0" w:color="auto"/>
              <w:right w:val="single" w:sz="8" w:space="0" w:color="auto"/>
            </w:tcBorders>
            <w:shd w:val="clear" w:color="auto" w:fill="auto"/>
            <w:vAlign w:val="bottom"/>
          </w:tcPr>
          <w:p w14:paraId="5B31A9B1" w14:textId="77777777" w:rsidR="00A52778" w:rsidRPr="00460F9E" w:rsidRDefault="00A52778" w:rsidP="00FC3F8E">
            <w:pPr>
              <w:spacing w:line="0" w:lineRule="atLeast"/>
              <w:rPr>
                <w:rFonts w:eastAsia="Times New Roman" w:cs="Times New Roman"/>
                <w:b/>
                <w:highlight w:val="yellow"/>
              </w:rPr>
            </w:pPr>
          </w:p>
        </w:tc>
        <w:tc>
          <w:tcPr>
            <w:tcW w:w="1134" w:type="dxa"/>
            <w:vMerge w:val="restart"/>
            <w:tcBorders>
              <w:top w:val="single" w:sz="8" w:space="0" w:color="auto"/>
              <w:right w:val="single" w:sz="8" w:space="0" w:color="auto"/>
            </w:tcBorders>
            <w:shd w:val="clear" w:color="auto" w:fill="auto"/>
            <w:vAlign w:val="bottom"/>
          </w:tcPr>
          <w:p w14:paraId="1B47C092" w14:textId="77777777" w:rsidR="00A52778" w:rsidRPr="00460F9E" w:rsidRDefault="00A52778" w:rsidP="00FC3F8E">
            <w:pPr>
              <w:spacing w:line="222" w:lineRule="exact"/>
              <w:jc w:val="center"/>
              <w:rPr>
                <w:rFonts w:eastAsia="Times New Roman" w:cs="Times New Roman"/>
                <w:b/>
                <w:w w:val="99"/>
                <w:highlight w:val="yellow"/>
              </w:rPr>
            </w:pPr>
            <w:r w:rsidRPr="00460F9E">
              <w:rPr>
                <w:rFonts w:eastAsia="Times New Roman" w:cs="Times New Roman"/>
                <w:w w:val="99"/>
              </w:rPr>
              <w:t>Toz kütle akışı                        3 kg/saat olan herhangi bir baca</w:t>
            </w:r>
          </w:p>
        </w:tc>
        <w:tc>
          <w:tcPr>
            <w:tcW w:w="1984" w:type="dxa"/>
            <w:tcBorders>
              <w:top w:val="single" w:sz="8" w:space="0" w:color="auto"/>
              <w:right w:val="single" w:sz="8" w:space="0" w:color="auto"/>
            </w:tcBorders>
            <w:shd w:val="clear" w:color="auto" w:fill="auto"/>
            <w:vAlign w:val="bottom"/>
          </w:tcPr>
          <w:p w14:paraId="2AB36FA4" w14:textId="77777777" w:rsidR="00A52778" w:rsidRPr="00460F9E" w:rsidRDefault="00A52778" w:rsidP="00FC3F8E">
            <w:pPr>
              <w:spacing w:line="0" w:lineRule="atLeast"/>
              <w:rPr>
                <w:rFonts w:eastAsia="Times New Roman" w:cs="Times New Roman"/>
                <w:b/>
                <w:highlight w:val="yellow"/>
              </w:rPr>
            </w:pPr>
          </w:p>
        </w:tc>
        <w:tc>
          <w:tcPr>
            <w:tcW w:w="1276" w:type="dxa"/>
            <w:vMerge w:val="restart"/>
            <w:tcBorders>
              <w:top w:val="single" w:sz="8" w:space="0" w:color="auto"/>
              <w:right w:val="single" w:sz="8" w:space="0" w:color="auto"/>
            </w:tcBorders>
            <w:shd w:val="clear" w:color="auto" w:fill="auto"/>
            <w:vAlign w:val="center"/>
          </w:tcPr>
          <w:p w14:paraId="40CEAECF" w14:textId="77777777" w:rsidR="00A52778" w:rsidRPr="00460F9E" w:rsidRDefault="00A52778" w:rsidP="00FC3F8E">
            <w:pPr>
              <w:spacing w:line="0" w:lineRule="atLeast"/>
              <w:jc w:val="center"/>
              <w:rPr>
                <w:rFonts w:eastAsia="Times New Roman" w:cs="Times New Roman"/>
                <w:b/>
                <w:highlight w:val="yellow"/>
              </w:rPr>
            </w:pPr>
            <w:r w:rsidRPr="00460F9E">
              <w:rPr>
                <w:rFonts w:eastAsia="Times New Roman" w:cs="Times New Roman"/>
              </w:rPr>
              <w:t xml:space="preserve">Her yıl                        1 kere              </w:t>
            </w:r>
            <w:r w:rsidRPr="00460F9E">
              <w:rPr>
                <w:rFonts w:eastAsia="Times New Roman" w:cs="Times New Roman"/>
                <w:w w:val="90"/>
              </w:rPr>
              <w:t>(</w:t>
            </w:r>
            <w:r w:rsidRPr="00460F9E">
              <w:rPr>
                <w:rFonts w:eastAsia="Times New Roman" w:cs="Times New Roman"/>
                <w:w w:val="90"/>
                <w:sz w:val="25"/>
                <w:vertAlign w:val="superscript"/>
              </w:rPr>
              <w:t>3</w:t>
            </w:r>
            <w:r w:rsidRPr="00460F9E">
              <w:rPr>
                <w:rFonts w:eastAsia="Times New Roman" w:cs="Times New Roman"/>
                <w:w w:val="90"/>
              </w:rPr>
              <w:t>) (</w:t>
            </w:r>
            <w:r w:rsidRPr="00460F9E">
              <w:rPr>
                <w:rFonts w:eastAsia="Times New Roman" w:cs="Times New Roman"/>
                <w:w w:val="90"/>
                <w:sz w:val="25"/>
                <w:vertAlign w:val="superscript"/>
              </w:rPr>
              <w:t>7</w:t>
            </w:r>
            <w:r w:rsidRPr="00460F9E">
              <w:rPr>
                <w:rFonts w:eastAsia="Times New Roman" w:cs="Times New Roman"/>
                <w:w w:val="90"/>
              </w:rPr>
              <w:t>)</w:t>
            </w:r>
          </w:p>
        </w:tc>
        <w:tc>
          <w:tcPr>
            <w:tcW w:w="1276" w:type="dxa"/>
            <w:tcBorders>
              <w:top w:val="single" w:sz="8" w:space="0" w:color="auto"/>
              <w:right w:val="single" w:sz="8" w:space="0" w:color="auto"/>
            </w:tcBorders>
            <w:shd w:val="clear" w:color="auto" w:fill="auto"/>
            <w:vAlign w:val="bottom"/>
          </w:tcPr>
          <w:p w14:paraId="541518EF" w14:textId="77777777" w:rsidR="00A52778" w:rsidRPr="00460F9E" w:rsidRDefault="00A52778" w:rsidP="00FC3F8E">
            <w:pPr>
              <w:spacing w:line="0" w:lineRule="atLeast"/>
              <w:rPr>
                <w:rFonts w:eastAsia="Times New Roman" w:cs="Times New Roman"/>
                <w:b/>
                <w:highlight w:val="yellow"/>
              </w:rPr>
            </w:pPr>
          </w:p>
        </w:tc>
      </w:tr>
      <w:tr w:rsidR="00A52778" w:rsidRPr="00460F9E" w14:paraId="15B26D68" w14:textId="77777777" w:rsidTr="00FC3F8E">
        <w:trPr>
          <w:trHeight w:val="125"/>
        </w:trPr>
        <w:tc>
          <w:tcPr>
            <w:tcW w:w="1701" w:type="dxa"/>
            <w:tcBorders>
              <w:left w:val="single" w:sz="8" w:space="0" w:color="auto"/>
              <w:right w:val="single" w:sz="8" w:space="0" w:color="auto"/>
            </w:tcBorders>
            <w:shd w:val="clear" w:color="auto" w:fill="auto"/>
            <w:vAlign w:val="bottom"/>
          </w:tcPr>
          <w:p w14:paraId="35ADF60A" w14:textId="77777777" w:rsidR="00A52778" w:rsidRPr="00460F9E" w:rsidRDefault="00A52778" w:rsidP="00FC3F8E">
            <w:pPr>
              <w:spacing w:line="0" w:lineRule="atLeast"/>
              <w:rPr>
                <w:rFonts w:eastAsia="Times New Roman" w:cs="Times New Roman"/>
                <w:b/>
                <w:sz w:val="10"/>
                <w:highlight w:val="yellow"/>
              </w:rPr>
            </w:pPr>
          </w:p>
        </w:tc>
        <w:tc>
          <w:tcPr>
            <w:tcW w:w="1985" w:type="dxa"/>
            <w:tcBorders>
              <w:right w:val="single" w:sz="8" w:space="0" w:color="auto"/>
            </w:tcBorders>
            <w:shd w:val="clear" w:color="auto" w:fill="auto"/>
            <w:vAlign w:val="bottom"/>
          </w:tcPr>
          <w:p w14:paraId="6DC4BF56"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right w:val="single" w:sz="8" w:space="0" w:color="auto"/>
            </w:tcBorders>
            <w:shd w:val="clear" w:color="auto" w:fill="auto"/>
            <w:vAlign w:val="bottom"/>
          </w:tcPr>
          <w:p w14:paraId="2FED410D" w14:textId="77777777" w:rsidR="00A52778" w:rsidRPr="00460F9E" w:rsidRDefault="00A52778" w:rsidP="00FC3F8E">
            <w:pPr>
              <w:spacing w:line="222" w:lineRule="exact"/>
              <w:jc w:val="center"/>
              <w:rPr>
                <w:rFonts w:eastAsia="Times New Roman" w:cs="Times New Roman"/>
                <w:b/>
                <w:highlight w:val="yellow"/>
              </w:rPr>
            </w:pPr>
          </w:p>
        </w:tc>
        <w:tc>
          <w:tcPr>
            <w:tcW w:w="1984" w:type="dxa"/>
            <w:tcBorders>
              <w:right w:val="single" w:sz="8" w:space="0" w:color="auto"/>
            </w:tcBorders>
            <w:shd w:val="clear" w:color="auto" w:fill="auto"/>
            <w:vAlign w:val="bottom"/>
          </w:tcPr>
          <w:p w14:paraId="3BE55E79"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right w:val="single" w:sz="8" w:space="0" w:color="auto"/>
            </w:tcBorders>
            <w:shd w:val="clear" w:color="auto" w:fill="auto"/>
            <w:vAlign w:val="bottom"/>
          </w:tcPr>
          <w:p w14:paraId="69661E1F" w14:textId="77777777" w:rsidR="00A52778" w:rsidRPr="00460F9E" w:rsidRDefault="00A52778" w:rsidP="00FC3F8E">
            <w:pPr>
              <w:spacing w:line="0" w:lineRule="atLeast"/>
              <w:jc w:val="center"/>
              <w:rPr>
                <w:rFonts w:eastAsia="Times New Roman" w:cs="Times New Roman"/>
                <w:b/>
                <w:sz w:val="10"/>
                <w:highlight w:val="yellow"/>
              </w:rPr>
            </w:pPr>
          </w:p>
        </w:tc>
        <w:tc>
          <w:tcPr>
            <w:tcW w:w="1276" w:type="dxa"/>
            <w:tcBorders>
              <w:right w:val="single" w:sz="8" w:space="0" w:color="auto"/>
            </w:tcBorders>
            <w:shd w:val="clear" w:color="auto" w:fill="auto"/>
            <w:vAlign w:val="bottom"/>
          </w:tcPr>
          <w:p w14:paraId="0D9E871F" w14:textId="77777777" w:rsidR="00A52778" w:rsidRPr="00460F9E" w:rsidRDefault="00A52778" w:rsidP="00FC3F8E">
            <w:pPr>
              <w:spacing w:line="0" w:lineRule="atLeast"/>
              <w:rPr>
                <w:rFonts w:eastAsia="Times New Roman" w:cs="Times New Roman"/>
                <w:b/>
                <w:sz w:val="10"/>
                <w:highlight w:val="yellow"/>
              </w:rPr>
            </w:pPr>
          </w:p>
        </w:tc>
      </w:tr>
      <w:tr w:rsidR="00A52778" w:rsidRPr="00460F9E" w14:paraId="320197BB" w14:textId="77777777" w:rsidTr="00FC3F8E">
        <w:trPr>
          <w:trHeight w:val="106"/>
        </w:trPr>
        <w:tc>
          <w:tcPr>
            <w:tcW w:w="1701" w:type="dxa"/>
            <w:tcBorders>
              <w:left w:val="single" w:sz="8" w:space="0" w:color="auto"/>
              <w:right w:val="single" w:sz="8" w:space="0" w:color="auto"/>
            </w:tcBorders>
            <w:shd w:val="clear" w:color="auto" w:fill="auto"/>
            <w:vAlign w:val="bottom"/>
          </w:tcPr>
          <w:p w14:paraId="791BEAA5" w14:textId="77777777" w:rsidR="00A52778" w:rsidRPr="00460F9E" w:rsidRDefault="00A52778" w:rsidP="00FC3F8E">
            <w:pPr>
              <w:spacing w:line="0" w:lineRule="atLeast"/>
              <w:rPr>
                <w:rFonts w:eastAsia="Times New Roman" w:cs="Times New Roman"/>
                <w:b/>
                <w:sz w:val="9"/>
                <w:highlight w:val="yellow"/>
              </w:rPr>
            </w:pPr>
          </w:p>
        </w:tc>
        <w:tc>
          <w:tcPr>
            <w:tcW w:w="1985" w:type="dxa"/>
            <w:tcBorders>
              <w:right w:val="single" w:sz="8" w:space="0" w:color="auto"/>
            </w:tcBorders>
            <w:shd w:val="clear" w:color="auto" w:fill="auto"/>
            <w:vAlign w:val="bottom"/>
          </w:tcPr>
          <w:p w14:paraId="3F05C12A" w14:textId="77777777" w:rsidR="00A52778" w:rsidRPr="00460F9E" w:rsidRDefault="00A52778" w:rsidP="00FC3F8E">
            <w:pPr>
              <w:spacing w:line="0" w:lineRule="atLeast"/>
              <w:rPr>
                <w:rFonts w:eastAsia="Times New Roman" w:cs="Times New Roman"/>
                <w:b/>
                <w:sz w:val="9"/>
                <w:highlight w:val="yellow"/>
              </w:rPr>
            </w:pPr>
          </w:p>
        </w:tc>
        <w:tc>
          <w:tcPr>
            <w:tcW w:w="1134" w:type="dxa"/>
            <w:vMerge/>
            <w:tcBorders>
              <w:right w:val="single" w:sz="8" w:space="0" w:color="auto"/>
            </w:tcBorders>
            <w:shd w:val="clear" w:color="auto" w:fill="auto"/>
            <w:vAlign w:val="bottom"/>
          </w:tcPr>
          <w:p w14:paraId="5AD04099" w14:textId="77777777" w:rsidR="00A52778" w:rsidRPr="00460F9E" w:rsidRDefault="00A52778" w:rsidP="00FC3F8E">
            <w:pPr>
              <w:spacing w:line="222" w:lineRule="exact"/>
              <w:jc w:val="center"/>
              <w:rPr>
                <w:rFonts w:eastAsia="Times New Roman" w:cs="Times New Roman"/>
                <w:b/>
                <w:sz w:val="9"/>
                <w:highlight w:val="yellow"/>
              </w:rPr>
            </w:pPr>
          </w:p>
        </w:tc>
        <w:tc>
          <w:tcPr>
            <w:tcW w:w="1984" w:type="dxa"/>
            <w:vMerge w:val="restart"/>
            <w:tcBorders>
              <w:right w:val="single" w:sz="8" w:space="0" w:color="auto"/>
            </w:tcBorders>
            <w:shd w:val="clear" w:color="auto" w:fill="auto"/>
            <w:vAlign w:val="bottom"/>
          </w:tcPr>
          <w:p w14:paraId="024B0D58" w14:textId="77777777" w:rsidR="00A52778" w:rsidRPr="00460F9E" w:rsidRDefault="00A52778" w:rsidP="00FC3F8E">
            <w:pPr>
              <w:spacing w:line="228" w:lineRule="exact"/>
              <w:jc w:val="center"/>
              <w:rPr>
                <w:rFonts w:eastAsia="Times New Roman" w:cs="Times New Roman"/>
                <w:b/>
                <w:w w:val="99"/>
                <w:highlight w:val="yellow"/>
              </w:rPr>
            </w:pPr>
            <w:r w:rsidRPr="00460F9E">
              <w:rPr>
                <w:rFonts w:eastAsia="Times New Roman" w:cs="Times New Roman"/>
                <w:w w:val="99"/>
              </w:rPr>
              <w:t>EN 13284-1</w:t>
            </w:r>
          </w:p>
        </w:tc>
        <w:tc>
          <w:tcPr>
            <w:tcW w:w="1276" w:type="dxa"/>
            <w:vMerge/>
            <w:tcBorders>
              <w:right w:val="single" w:sz="8" w:space="0" w:color="auto"/>
            </w:tcBorders>
            <w:shd w:val="clear" w:color="auto" w:fill="auto"/>
            <w:vAlign w:val="bottom"/>
          </w:tcPr>
          <w:p w14:paraId="144BA1B1" w14:textId="77777777" w:rsidR="00A52778" w:rsidRPr="00460F9E" w:rsidRDefault="00A52778" w:rsidP="00FC3F8E">
            <w:pPr>
              <w:spacing w:line="0" w:lineRule="atLeast"/>
              <w:jc w:val="center"/>
              <w:rPr>
                <w:rFonts w:eastAsia="Times New Roman" w:cs="Times New Roman"/>
                <w:b/>
                <w:w w:val="98"/>
                <w:highlight w:val="yellow"/>
              </w:rPr>
            </w:pPr>
          </w:p>
        </w:tc>
        <w:tc>
          <w:tcPr>
            <w:tcW w:w="1276" w:type="dxa"/>
            <w:tcBorders>
              <w:right w:val="single" w:sz="8" w:space="0" w:color="auto"/>
            </w:tcBorders>
            <w:shd w:val="clear" w:color="auto" w:fill="auto"/>
            <w:vAlign w:val="bottom"/>
          </w:tcPr>
          <w:p w14:paraId="3486CA09" w14:textId="77777777" w:rsidR="00A52778" w:rsidRPr="00460F9E" w:rsidRDefault="00A52778" w:rsidP="00FC3F8E">
            <w:pPr>
              <w:spacing w:line="0" w:lineRule="atLeast"/>
              <w:rPr>
                <w:rFonts w:eastAsia="Times New Roman" w:cs="Times New Roman"/>
                <w:b/>
                <w:sz w:val="9"/>
                <w:highlight w:val="yellow"/>
              </w:rPr>
            </w:pPr>
          </w:p>
        </w:tc>
      </w:tr>
      <w:tr w:rsidR="00A52778" w:rsidRPr="00460F9E" w14:paraId="32BDDF43" w14:textId="77777777" w:rsidTr="00FC3F8E">
        <w:trPr>
          <w:trHeight w:val="353"/>
        </w:trPr>
        <w:tc>
          <w:tcPr>
            <w:tcW w:w="1701" w:type="dxa"/>
            <w:tcBorders>
              <w:left w:val="single" w:sz="8" w:space="0" w:color="auto"/>
              <w:right w:val="single" w:sz="8" w:space="0" w:color="auto"/>
            </w:tcBorders>
            <w:shd w:val="clear" w:color="auto" w:fill="auto"/>
            <w:vAlign w:val="bottom"/>
          </w:tcPr>
          <w:p w14:paraId="0226C052" w14:textId="77777777" w:rsidR="00A52778" w:rsidRPr="00460F9E" w:rsidRDefault="00A52778" w:rsidP="00FC3F8E">
            <w:pPr>
              <w:spacing w:line="0" w:lineRule="atLeast"/>
              <w:rPr>
                <w:rFonts w:eastAsia="Times New Roman" w:cs="Times New Roman"/>
                <w:b/>
                <w:sz w:val="10"/>
                <w:highlight w:val="yellow"/>
              </w:rPr>
            </w:pPr>
          </w:p>
        </w:tc>
        <w:tc>
          <w:tcPr>
            <w:tcW w:w="1985" w:type="dxa"/>
            <w:tcBorders>
              <w:right w:val="single" w:sz="8" w:space="0" w:color="auto"/>
            </w:tcBorders>
            <w:shd w:val="clear" w:color="auto" w:fill="auto"/>
            <w:vAlign w:val="bottom"/>
          </w:tcPr>
          <w:p w14:paraId="23ACC609"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right w:val="single" w:sz="8" w:space="0" w:color="auto"/>
            </w:tcBorders>
            <w:shd w:val="clear" w:color="auto" w:fill="auto"/>
            <w:vAlign w:val="bottom"/>
          </w:tcPr>
          <w:p w14:paraId="3635FC3F" w14:textId="77777777" w:rsidR="00A52778" w:rsidRPr="00460F9E" w:rsidRDefault="00A52778" w:rsidP="00FC3F8E">
            <w:pPr>
              <w:spacing w:line="222" w:lineRule="exact"/>
              <w:jc w:val="center"/>
              <w:rPr>
                <w:rFonts w:eastAsia="Times New Roman" w:cs="Times New Roman"/>
                <w:b/>
                <w:w w:val="97"/>
                <w:highlight w:val="yellow"/>
              </w:rPr>
            </w:pPr>
          </w:p>
        </w:tc>
        <w:tc>
          <w:tcPr>
            <w:tcW w:w="1984" w:type="dxa"/>
            <w:vMerge/>
            <w:tcBorders>
              <w:right w:val="single" w:sz="8" w:space="0" w:color="auto"/>
            </w:tcBorders>
            <w:shd w:val="clear" w:color="auto" w:fill="auto"/>
            <w:vAlign w:val="bottom"/>
          </w:tcPr>
          <w:p w14:paraId="501AD779"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right w:val="single" w:sz="8" w:space="0" w:color="auto"/>
            </w:tcBorders>
            <w:shd w:val="clear" w:color="auto" w:fill="auto"/>
            <w:vAlign w:val="bottom"/>
          </w:tcPr>
          <w:p w14:paraId="30C92DF3" w14:textId="77777777" w:rsidR="00A52778" w:rsidRPr="00460F9E" w:rsidRDefault="00A52778" w:rsidP="00FC3F8E">
            <w:pPr>
              <w:spacing w:line="0" w:lineRule="atLeast"/>
              <w:jc w:val="center"/>
              <w:rPr>
                <w:rFonts w:eastAsia="Times New Roman" w:cs="Times New Roman"/>
                <w:b/>
                <w:sz w:val="10"/>
                <w:highlight w:val="yellow"/>
              </w:rPr>
            </w:pPr>
          </w:p>
        </w:tc>
        <w:tc>
          <w:tcPr>
            <w:tcW w:w="1276" w:type="dxa"/>
            <w:tcBorders>
              <w:right w:val="single" w:sz="8" w:space="0" w:color="auto"/>
            </w:tcBorders>
            <w:shd w:val="clear" w:color="auto" w:fill="auto"/>
            <w:vAlign w:val="bottom"/>
          </w:tcPr>
          <w:p w14:paraId="30F499D2" w14:textId="77777777" w:rsidR="00A52778" w:rsidRPr="00460F9E" w:rsidRDefault="00A52778" w:rsidP="00FC3F8E">
            <w:pPr>
              <w:spacing w:line="0" w:lineRule="atLeast"/>
              <w:rPr>
                <w:rFonts w:eastAsia="Times New Roman" w:cs="Times New Roman"/>
                <w:b/>
                <w:sz w:val="10"/>
                <w:highlight w:val="yellow"/>
              </w:rPr>
            </w:pPr>
          </w:p>
        </w:tc>
      </w:tr>
      <w:tr w:rsidR="00A52778" w:rsidRPr="00460F9E" w14:paraId="2DE96530" w14:textId="77777777" w:rsidTr="00FC3F8E">
        <w:trPr>
          <w:trHeight w:val="108"/>
        </w:trPr>
        <w:tc>
          <w:tcPr>
            <w:tcW w:w="1701" w:type="dxa"/>
            <w:tcBorders>
              <w:left w:val="single" w:sz="8" w:space="0" w:color="auto"/>
              <w:right w:val="single" w:sz="8" w:space="0" w:color="auto"/>
            </w:tcBorders>
            <w:shd w:val="clear" w:color="auto" w:fill="auto"/>
            <w:vAlign w:val="bottom"/>
          </w:tcPr>
          <w:p w14:paraId="392ADC3D" w14:textId="77777777" w:rsidR="00A52778" w:rsidRPr="00460F9E" w:rsidRDefault="00A52778" w:rsidP="00FC3F8E">
            <w:pPr>
              <w:spacing w:line="0" w:lineRule="atLeast"/>
              <w:rPr>
                <w:rFonts w:eastAsia="Times New Roman" w:cs="Times New Roman"/>
                <w:b/>
                <w:sz w:val="9"/>
                <w:highlight w:val="yellow"/>
              </w:rPr>
            </w:pPr>
          </w:p>
        </w:tc>
        <w:tc>
          <w:tcPr>
            <w:tcW w:w="1985" w:type="dxa"/>
            <w:tcBorders>
              <w:right w:val="single" w:sz="8" w:space="0" w:color="auto"/>
            </w:tcBorders>
            <w:shd w:val="clear" w:color="auto" w:fill="auto"/>
            <w:vAlign w:val="bottom"/>
          </w:tcPr>
          <w:p w14:paraId="3C4FF444" w14:textId="77777777" w:rsidR="00A52778" w:rsidRPr="00460F9E" w:rsidRDefault="00A52778" w:rsidP="00FC3F8E">
            <w:pPr>
              <w:spacing w:line="0" w:lineRule="atLeast"/>
              <w:rPr>
                <w:rFonts w:eastAsia="Times New Roman" w:cs="Times New Roman"/>
                <w:b/>
                <w:sz w:val="9"/>
                <w:highlight w:val="yellow"/>
              </w:rPr>
            </w:pPr>
          </w:p>
        </w:tc>
        <w:tc>
          <w:tcPr>
            <w:tcW w:w="1134" w:type="dxa"/>
            <w:vMerge/>
            <w:tcBorders>
              <w:right w:val="single" w:sz="8" w:space="0" w:color="auto"/>
            </w:tcBorders>
            <w:shd w:val="clear" w:color="auto" w:fill="auto"/>
            <w:vAlign w:val="bottom"/>
          </w:tcPr>
          <w:p w14:paraId="625AA1F4" w14:textId="77777777" w:rsidR="00A52778" w:rsidRPr="00460F9E" w:rsidRDefault="00A52778" w:rsidP="00FC3F8E">
            <w:pPr>
              <w:spacing w:line="222" w:lineRule="exact"/>
              <w:jc w:val="center"/>
              <w:rPr>
                <w:rFonts w:eastAsia="Times New Roman" w:cs="Times New Roman"/>
                <w:b/>
                <w:sz w:val="9"/>
                <w:highlight w:val="yellow"/>
              </w:rPr>
            </w:pPr>
          </w:p>
        </w:tc>
        <w:tc>
          <w:tcPr>
            <w:tcW w:w="1984" w:type="dxa"/>
            <w:tcBorders>
              <w:right w:val="single" w:sz="8" w:space="0" w:color="auto"/>
            </w:tcBorders>
            <w:shd w:val="clear" w:color="auto" w:fill="auto"/>
            <w:vAlign w:val="bottom"/>
          </w:tcPr>
          <w:p w14:paraId="4A03F1E5" w14:textId="77777777" w:rsidR="00A52778" w:rsidRPr="00460F9E" w:rsidRDefault="00A52778" w:rsidP="00FC3F8E">
            <w:pPr>
              <w:spacing w:line="0" w:lineRule="atLeast"/>
              <w:rPr>
                <w:rFonts w:eastAsia="Times New Roman" w:cs="Times New Roman"/>
                <w:b/>
                <w:sz w:val="9"/>
                <w:highlight w:val="yellow"/>
              </w:rPr>
            </w:pPr>
          </w:p>
        </w:tc>
        <w:tc>
          <w:tcPr>
            <w:tcW w:w="1276" w:type="dxa"/>
            <w:vMerge/>
            <w:tcBorders>
              <w:right w:val="single" w:sz="8" w:space="0" w:color="auto"/>
            </w:tcBorders>
            <w:shd w:val="clear" w:color="auto" w:fill="auto"/>
            <w:vAlign w:val="bottom"/>
          </w:tcPr>
          <w:p w14:paraId="1463B962" w14:textId="77777777" w:rsidR="00A52778" w:rsidRPr="00460F9E" w:rsidRDefault="00A52778" w:rsidP="00FC3F8E">
            <w:pPr>
              <w:spacing w:line="0" w:lineRule="atLeast"/>
              <w:jc w:val="center"/>
              <w:rPr>
                <w:rFonts w:eastAsia="Times New Roman" w:cs="Times New Roman"/>
                <w:b/>
                <w:w w:val="95"/>
                <w:highlight w:val="yellow"/>
              </w:rPr>
            </w:pPr>
          </w:p>
        </w:tc>
        <w:tc>
          <w:tcPr>
            <w:tcW w:w="1276" w:type="dxa"/>
            <w:tcBorders>
              <w:right w:val="single" w:sz="8" w:space="0" w:color="auto"/>
            </w:tcBorders>
            <w:shd w:val="clear" w:color="auto" w:fill="auto"/>
            <w:vAlign w:val="bottom"/>
          </w:tcPr>
          <w:p w14:paraId="50CB9A40" w14:textId="77777777" w:rsidR="00A52778" w:rsidRPr="00460F9E" w:rsidRDefault="00A52778" w:rsidP="00FC3F8E">
            <w:pPr>
              <w:spacing w:line="0" w:lineRule="atLeast"/>
              <w:rPr>
                <w:rFonts w:eastAsia="Times New Roman" w:cs="Times New Roman"/>
                <w:b/>
                <w:sz w:val="9"/>
                <w:highlight w:val="yellow"/>
              </w:rPr>
            </w:pPr>
          </w:p>
        </w:tc>
      </w:tr>
      <w:tr w:rsidR="00A52778" w:rsidRPr="00460F9E" w14:paraId="1A812883" w14:textId="77777777" w:rsidTr="00FC3F8E">
        <w:trPr>
          <w:trHeight w:val="202"/>
        </w:trPr>
        <w:tc>
          <w:tcPr>
            <w:tcW w:w="1701" w:type="dxa"/>
            <w:tcBorders>
              <w:left w:val="single" w:sz="8" w:space="0" w:color="auto"/>
              <w:right w:val="single" w:sz="8" w:space="0" w:color="auto"/>
            </w:tcBorders>
            <w:shd w:val="clear" w:color="auto" w:fill="auto"/>
            <w:vAlign w:val="bottom"/>
          </w:tcPr>
          <w:p w14:paraId="6DDBB767" w14:textId="77777777" w:rsidR="00A52778" w:rsidRPr="00460F9E" w:rsidRDefault="00A52778" w:rsidP="00FC3F8E">
            <w:pPr>
              <w:spacing w:line="0" w:lineRule="atLeast"/>
              <w:rPr>
                <w:rFonts w:eastAsia="Times New Roman" w:cs="Times New Roman"/>
                <w:b/>
                <w:sz w:val="17"/>
                <w:highlight w:val="yellow"/>
              </w:rPr>
            </w:pPr>
          </w:p>
        </w:tc>
        <w:tc>
          <w:tcPr>
            <w:tcW w:w="1985" w:type="dxa"/>
            <w:tcBorders>
              <w:right w:val="single" w:sz="8" w:space="0" w:color="auto"/>
            </w:tcBorders>
            <w:shd w:val="clear" w:color="auto" w:fill="auto"/>
            <w:vAlign w:val="bottom"/>
          </w:tcPr>
          <w:p w14:paraId="2117E9E0" w14:textId="77777777" w:rsidR="00A52778" w:rsidRPr="00460F9E" w:rsidRDefault="00A52778" w:rsidP="00FC3F8E">
            <w:pPr>
              <w:spacing w:line="0" w:lineRule="atLeast"/>
              <w:rPr>
                <w:rFonts w:eastAsia="Times New Roman" w:cs="Times New Roman"/>
                <w:b/>
                <w:sz w:val="17"/>
                <w:highlight w:val="yellow"/>
              </w:rPr>
            </w:pPr>
          </w:p>
        </w:tc>
        <w:tc>
          <w:tcPr>
            <w:tcW w:w="1134" w:type="dxa"/>
            <w:vMerge/>
            <w:tcBorders>
              <w:right w:val="single" w:sz="8" w:space="0" w:color="auto"/>
            </w:tcBorders>
            <w:shd w:val="clear" w:color="auto" w:fill="auto"/>
            <w:vAlign w:val="bottom"/>
          </w:tcPr>
          <w:p w14:paraId="2D73E8CE" w14:textId="77777777" w:rsidR="00A52778" w:rsidRPr="00460F9E" w:rsidRDefault="00A52778" w:rsidP="00FC3F8E">
            <w:pPr>
              <w:spacing w:line="222" w:lineRule="exact"/>
              <w:jc w:val="center"/>
              <w:rPr>
                <w:rFonts w:eastAsia="Times New Roman" w:cs="Times New Roman"/>
                <w:b/>
                <w:highlight w:val="yellow"/>
              </w:rPr>
            </w:pPr>
          </w:p>
        </w:tc>
        <w:tc>
          <w:tcPr>
            <w:tcW w:w="1984" w:type="dxa"/>
            <w:tcBorders>
              <w:right w:val="single" w:sz="8" w:space="0" w:color="auto"/>
            </w:tcBorders>
            <w:shd w:val="clear" w:color="auto" w:fill="auto"/>
            <w:vAlign w:val="bottom"/>
          </w:tcPr>
          <w:p w14:paraId="52B6E3AD" w14:textId="77777777" w:rsidR="00A52778" w:rsidRPr="00460F9E" w:rsidRDefault="00A52778" w:rsidP="00FC3F8E">
            <w:pPr>
              <w:spacing w:line="0" w:lineRule="atLeast"/>
              <w:rPr>
                <w:rFonts w:eastAsia="Times New Roman" w:cs="Times New Roman"/>
                <w:b/>
                <w:sz w:val="17"/>
                <w:highlight w:val="yellow"/>
              </w:rPr>
            </w:pPr>
          </w:p>
        </w:tc>
        <w:tc>
          <w:tcPr>
            <w:tcW w:w="1276" w:type="dxa"/>
            <w:vMerge/>
            <w:tcBorders>
              <w:right w:val="single" w:sz="8" w:space="0" w:color="auto"/>
            </w:tcBorders>
            <w:shd w:val="clear" w:color="auto" w:fill="auto"/>
            <w:vAlign w:val="bottom"/>
          </w:tcPr>
          <w:p w14:paraId="4D495091" w14:textId="77777777" w:rsidR="00A52778" w:rsidRPr="00460F9E" w:rsidRDefault="00A52778" w:rsidP="00FC3F8E">
            <w:pPr>
              <w:spacing w:line="0" w:lineRule="atLeast"/>
              <w:rPr>
                <w:rFonts w:eastAsia="Times New Roman" w:cs="Times New Roman"/>
                <w:b/>
                <w:sz w:val="17"/>
                <w:highlight w:val="yellow"/>
              </w:rPr>
            </w:pPr>
          </w:p>
        </w:tc>
        <w:tc>
          <w:tcPr>
            <w:tcW w:w="1276" w:type="dxa"/>
            <w:tcBorders>
              <w:right w:val="single" w:sz="8" w:space="0" w:color="auto"/>
            </w:tcBorders>
            <w:shd w:val="clear" w:color="auto" w:fill="auto"/>
            <w:vAlign w:val="bottom"/>
          </w:tcPr>
          <w:p w14:paraId="10A4BA06" w14:textId="77777777" w:rsidR="00A52778" w:rsidRPr="00460F9E" w:rsidRDefault="00A52778" w:rsidP="00FC3F8E">
            <w:pPr>
              <w:spacing w:line="0" w:lineRule="atLeast"/>
              <w:rPr>
                <w:rFonts w:eastAsia="Times New Roman" w:cs="Times New Roman"/>
                <w:b/>
                <w:sz w:val="17"/>
                <w:highlight w:val="yellow"/>
              </w:rPr>
            </w:pPr>
          </w:p>
        </w:tc>
      </w:tr>
      <w:tr w:rsidR="00A52778" w:rsidRPr="00460F9E" w14:paraId="4E6F3B6B" w14:textId="77777777" w:rsidTr="00FC3F8E">
        <w:trPr>
          <w:trHeight w:val="46"/>
        </w:trPr>
        <w:tc>
          <w:tcPr>
            <w:tcW w:w="1701" w:type="dxa"/>
            <w:tcBorders>
              <w:left w:val="single" w:sz="8" w:space="0" w:color="auto"/>
              <w:bottom w:val="single" w:sz="8" w:space="0" w:color="auto"/>
              <w:right w:val="single" w:sz="8" w:space="0" w:color="auto"/>
            </w:tcBorders>
            <w:shd w:val="clear" w:color="auto" w:fill="auto"/>
            <w:vAlign w:val="bottom"/>
          </w:tcPr>
          <w:p w14:paraId="67FBE322" w14:textId="77777777" w:rsidR="00A52778" w:rsidRPr="00460F9E" w:rsidRDefault="00A52778" w:rsidP="00FC3F8E">
            <w:pPr>
              <w:spacing w:line="0" w:lineRule="atLeast"/>
              <w:rPr>
                <w:rFonts w:eastAsia="Times New Roman" w:cs="Times New Roman"/>
                <w:b/>
                <w:sz w:val="3"/>
                <w:highlight w:val="yellow"/>
              </w:rPr>
            </w:pPr>
          </w:p>
        </w:tc>
        <w:tc>
          <w:tcPr>
            <w:tcW w:w="1985" w:type="dxa"/>
            <w:tcBorders>
              <w:bottom w:val="single" w:sz="8" w:space="0" w:color="auto"/>
              <w:right w:val="single" w:sz="8" w:space="0" w:color="auto"/>
            </w:tcBorders>
            <w:shd w:val="clear" w:color="auto" w:fill="auto"/>
            <w:vAlign w:val="bottom"/>
          </w:tcPr>
          <w:p w14:paraId="45457C5F" w14:textId="77777777" w:rsidR="00A52778" w:rsidRPr="00460F9E" w:rsidRDefault="00A52778" w:rsidP="00FC3F8E">
            <w:pPr>
              <w:spacing w:line="0" w:lineRule="atLeast"/>
              <w:rPr>
                <w:rFonts w:eastAsia="Times New Roman" w:cs="Times New Roman"/>
                <w:b/>
                <w:sz w:val="3"/>
                <w:highlight w:val="yellow"/>
              </w:rPr>
            </w:pPr>
          </w:p>
        </w:tc>
        <w:tc>
          <w:tcPr>
            <w:tcW w:w="1134" w:type="dxa"/>
            <w:vMerge/>
            <w:tcBorders>
              <w:bottom w:val="single" w:sz="8" w:space="0" w:color="auto"/>
              <w:right w:val="single" w:sz="8" w:space="0" w:color="auto"/>
            </w:tcBorders>
            <w:shd w:val="clear" w:color="auto" w:fill="auto"/>
            <w:vAlign w:val="bottom"/>
          </w:tcPr>
          <w:p w14:paraId="15C12D5E" w14:textId="77777777" w:rsidR="00A52778" w:rsidRPr="00460F9E" w:rsidRDefault="00A52778" w:rsidP="00FC3F8E">
            <w:pPr>
              <w:spacing w:line="0" w:lineRule="atLeast"/>
              <w:rPr>
                <w:rFonts w:eastAsia="Times New Roman" w:cs="Times New Roman"/>
                <w:b/>
                <w:sz w:val="3"/>
                <w:highlight w:val="yellow"/>
              </w:rPr>
            </w:pPr>
          </w:p>
        </w:tc>
        <w:tc>
          <w:tcPr>
            <w:tcW w:w="1984" w:type="dxa"/>
            <w:tcBorders>
              <w:bottom w:val="single" w:sz="8" w:space="0" w:color="auto"/>
              <w:right w:val="single" w:sz="8" w:space="0" w:color="auto"/>
            </w:tcBorders>
            <w:shd w:val="clear" w:color="auto" w:fill="auto"/>
            <w:vAlign w:val="bottom"/>
          </w:tcPr>
          <w:p w14:paraId="2EF6355C" w14:textId="77777777" w:rsidR="00A52778" w:rsidRPr="00460F9E" w:rsidRDefault="00A52778" w:rsidP="00FC3F8E">
            <w:pPr>
              <w:spacing w:line="0" w:lineRule="atLeast"/>
              <w:rPr>
                <w:rFonts w:eastAsia="Times New Roman" w:cs="Times New Roman"/>
                <w:b/>
                <w:sz w:val="3"/>
                <w:highlight w:val="yellow"/>
              </w:rPr>
            </w:pPr>
          </w:p>
        </w:tc>
        <w:tc>
          <w:tcPr>
            <w:tcW w:w="1276" w:type="dxa"/>
            <w:tcBorders>
              <w:bottom w:val="single" w:sz="8" w:space="0" w:color="auto"/>
              <w:right w:val="single" w:sz="8" w:space="0" w:color="auto"/>
            </w:tcBorders>
            <w:shd w:val="clear" w:color="auto" w:fill="auto"/>
            <w:vAlign w:val="bottom"/>
          </w:tcPr>
          <w:p w14:paraId="3669C577" w14:textId="77777777" w:rsidR="00A52778" w:rsidRPr="00460F9E" w:rsidRDefault="00A52778" w:rsidP="00FC3F8E">
            <w:pPr>
              <w:spacing w:line="0" w:lineRule="atLeast"/>
              <w:rPr>
                <w:rFonts w:eastAsia="Times New Roman" w:cs="Times New Roman"/>
                <w:b/>
                <w:sz w:val="3"/>
                <w:highlight w:val="yellow"/>
              </w:rPr>
            </w:pPr>
          </w:p>
        </w:tc>
        <w:tc>
          <w:tcPr>
            <w:tcW w:w="1276" w:type="dxa"/>
            <w:tcBorders>
              <w:bottom w:val="single" w:sz="8" w:space="0" w:color="auto"/>
              <w:right w:val="single" w:sz="8" w:space="0" w:color="auto"/>
            </w:tcBorders>
            <w:shd w:val="clear" w:color="auto" w:fill="auto"/>
            <w:vAlign w:val="bottom"/>
          </w:tcPr>
          <w:p w14:paraId="12C9452B" w14:textId="77777777" w:rsidR="00A52778" w:rsidRPr="00460F9E" w:rsidRDefault="00A52778" w:rsidP="00FC3F8E">
            <w:pPr>
              <w:spacing w:line="0" w:lineRule="atLeast"/>
              <w:rPr>
                <w:rFonts w:eastAsia="Times New Roman" w:cs="Times New Roman"/>
                <w:b/>
                <w:sz w:val="3"/>
                <w:highlight w:val="yellow"/>
              </w:rPr>
            </w:pPr>
          </w:p>
        </w:tc>
      </w:tr>
      <w:tr w:rsidR="00A52778" w:rsidRPr="00460F9E" w14:paraId="3902C55E" w14:textId="77777777" w:rsidTr="00FC3F8E">
        <w:trPr>
          <w:trHeight w:val="217"/>
        </w:trPr>
        <w:tc>
          <w:tcPr>
            <w:tcW w:w="1701" w:type="dxa"/>
            <w:vMerge w:val="restart"/>
            <w:tcBorders>
              <w:left w:val="single" w:sz="8" w:space="0" w:color="auto"/>
              <w:right w:val="single" w:sz="8" w:space="0" w:color="auto"/>
            </w:tcBorders>
            <w:shd w:val="clear" w:color="auto" w:fill="auto"/>
            <w:vAlign w:val="bottom"/>
          </w:tcPr>
          <w:p w14:paraId="1C474593" w14:textId="77777777" w:rsidR="00A52778" w:rsidRPr="00460F9E" w:rsidRDefault="00A52778" w:rsidP="00FC3F8E">
            <w:pPr>
              <w:spacing w:line="0" w:lineRule="atLeast"/>
              <w:jc w:val="center"/>
              <w:rPr>
                <w:rFonts w:eastAsia="Times New Roman" w:cs="Times New Roman"/>
                <w:b/>
                <w:w w:val="98"/>
              </w:rPr>
            </w:pPr>
            <w:r w:rsidRPr="00460F9E">
              <w:rPr>
                <w:rFonts w:eastAsia="Times New Roman" w:cs="Times New Roman"/>
                <w:w w:val="98"/>
              </w:rPr>
              <w:t>Elementel klor</w:t>
            </w:r>
          </w:p>
        </w:tc>
        <w:tc>
          <w:tcPr>
            <w:tcW w:w="1985" w:type="dxa"/>
            <w:vMerge w:val="restart"/>
            <w:tcBorders>
              <w:right w:val="single" w:sz="8" w:space="0" w:color="auto"/>
            </w:tcBorders>
            <w:shd w:val="clear" w:color="auto" w:fill="auto"/>
            <w:vAlign w:val="center"/>
          </w:tcPr>
          <w:p w14:paraId="7544D9BD" w14:textId="77777777" w:rsidR="00A52778" w:rsidRPr="00460F9E" w:rsidRDefault="00A52778" w:rsidP="00FC3F8E">
            <w:pPr>
              <w:spacing w:line="0" w:lineRule="atLeast"/>
              <w:jc w:val="center"/>
              <w:rPr>
                <w:rFonts w:eastAsia="Times New Roman" w:cs="Times New Roman"/>
                <w:b/>
                <w:w w:val="93"/>
                <w:highlight w:val="yellow"/>
              </w:rPr>
            </w:pPr>
            <w:r w:rsidRPr="00460F9E">
              <w:rPr>
                <w:rFonts w:eastAsia="Times New Roman" w:cs="Times New Roman"/>
                <w:w w:val="93"/>
              </w:rPr>
              <w:t xml:space="preserve">Tüm              </w:t>
            </w:r>
            <w:r w:rsidRPr="00460F9E">
              <w:rPr>
                <w:rFonts w:eastAsia="Times New Roman" w:cs="Times New Roman"/>
                <w:w w:val="99"/>
              </w:rPr>
              <w:t>prosesler</w:t>
            </w:r>
            <w:r w:rsidRPr="00460F9E">
              <w:rPr>
                <w:rFonts w:eastAsia="Times New Roman" w:cs="Times New Roman"/>
                <w:w w:val="93"/>
              </w:rPr>
              <w:t xml:space="preserve"> /kaynaklar</w:t>
            </w:r>
          </w:p>
        </w:tc>
        <w:tc>
          <w:tcPr>
            <w:tcW w:w="1134" w:type="dxa"/>
            <w:vMerge w:val="restart"/>
            <w:tcBorders>
              <w:right w:val="single" w:sz="8" w:space="0" w:color="auto"/>
            </w:tcBorders>
            <w:shd w:val="clear" w:color="auto" w:fill="auto"/>
            <w:vAlign w:val="center"/>
          </w:tcPr>
          <w:p w14:paraId="6D62107B" w14:textId="77777777" w:rsidR="00A52778" w:rsidRPr="00460F9E" w:rsidRDefault="00A52778" w:rsidP="00FC3F8E">
            <w:pPr>
              <w:spacing w:line="0" w:lineRule="atLeast"/>
              <w:jc w:val="center"/>
              <w:rPr>
                <w:rFonts w:eastAsia="Times New Roman" w:cs="Times New Roman"/>
                <w:b/>
                <w:sz w:val="18"/>
                <w:highlight w:val="yellow"/>
              </w:rPr>
            </w:pPr>
            <w:r w:rsidRPr="00460F9E">
              <w:rPr>
                <w:rFonts w:eastAsia="Times New Roman" w:cs="Times New Roman"/>
                <w:w w:val="99"/>
              </w:rPr>
              <w:t>Herhangi bir baca</w:t>
            </w:r>
          </w:p>
        </w:tc>
        <w:tc>
          <w:tcPr>
            <w:tcW w:w="1984" w:type="dxa"/>
            <w:vMerge w:val="restart"/>
            <w:tcBorders>
              <w:right w:val="single" w:sz="8" w:space="0" w:color="auto"/>
            </w:tcBorders>
            <w:shd w:val="clear" w:color="auto" w:fill="auto"/>
            <w:vAlign w:val="center"/>
          </w:tcPr>
          <w:p w14:paraId="661F4361"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 xml:space="preserve">EN standardı </w:t>
            </w:r>
          </w:p>
          <w:p w14:paraId="5868D473" w14:textId="77777777" w:rsidR="00A52778" w:rsidRPr="00460F9E" w:rsidRDefault="00A52778" w:rsidP="00FC3F8E">
            <w:pPr>
              <w:spacing w:line="0" w:lineRule="atLeast"/>
              <w:jc w:val="center"/>
              <w:rPr>
                <w:rFonts w:eastAsia="Times New Roman" w:cs="Times New Roman"/>
                <w:b/>
                <w:highlight w:val="yellow"/>
              </w:rPr>
            </w:pPr>
            <w:r w:rsidRPr="00460F9E">
              <w:rPr>
                <w:rFonts w:eastAsia="Times New Roman" w:cs="Times New Roman"/>
                <w:w w:val="99"/>
              </w:rPr>
              <w:t>mevcut değil</w:t>
            </w:r>
          </w:p>
        </w:tc>
        <w:tc>
          <w:tcPr>
            <w:tcW w:w="1276" w:type="dxa"/>
            <w:vMerge w:val="restart"/>
            <w:tcBorders>
              <w:right w:val="single" w:sz="8" w:space="0" w:color="auto"/>
            </w:tcBorders>
            <w:shd w:val="clear" w:color="auto" w:fill="auto"/>
            <w:vAlign w:val="center"/>
          </w:tcPr>
          <w:p w14:paraId="48AB356A" w14:textId="77777777" w:rsidR="00A52778" w:rsidRPr="00460F9E" w:rsidRDefault="00A52778" w:rsidP="00FC3F8E">
            <w:pPr>
              <w:spacing w:line="236" w:lineRule="exact"/>
              <w:jc w:val="center"/>
              <w:rPr>
                <w:rFonts w:eastAsia="Times New Roman" w:cs="Times New Roman"/>
                <w:b/>
              </w:rPr>
            </w:pPr>
            <w:r w:rsidRPr="00460F9E">
              <w:rPr>
                <w:rFonts w:eastAsia="Times New Roman" w:cs="Times New Roman"/>
              </w:rPr>
              <w:t xml:space="preserve">Her yıl                        1 kere              </w:t>
            </w:r>
            <w:r w:rsidRPr="00460F9E">
              <w:rPr>
                <w:rFonts w:eastAsia="Times New Roman" w:cs="Times New Roman"/>
                <w:w w:val="90"/>
              </w:rPr>
              <w:t>(</w:t>
            </w:r>
            <w:r w:rsidRPr="00460F9E">
              <w:rPr>
                <w:rFonts w:eastAsia="Times New Roman" w:cs="Times New Roman"/>
                <w:w w:val="90"/>
                <w:sz w:val="25"/>
                <w:vertAlign w:val="superscript"/>
              </w:rPr>
              <w:t>3</w:t>
            </w:r>
            <w:r w:rsidRPr="00460F9E">
              <w:rPr>
                <w:rFonts w:eastAsia="Times New Roman" w:cs="Times New Roman"/>
                <w:w w:val="90"/>
              </w:rPr>
              <w:t>) (</w:t>
            </w:r>
            <w:r w:rsidRPr="00460F9E">
              <w:rPr>
                <w:rFonts w:eastAsia="Times New Roman" w:cs="Times New Roman"/>
                <w:w w:val="90"/>
                <w:sz w:val="25"/>
                <w:vertAlign w:val="superscript"/>
              </w:rPr>
              <w:t>7</w:t>
            </w:r>
            <w:r w:rsidRPr="00460F9E">
              <w:rPr>
                <w:rFonts w:eastAsia="Times New Roman" w:cs="Times New Roman"/>
                <w:w w:val="90"/>
              </w:rPr>
              <w:t>)</w:t>
            </w:r>
          </w:p>
        </w:tc>
        <w:tc>
          <w:tcPr>
            <w:tcW w:w="1276" w:type="dxa"/>
            <w:tcBorders>
              <w:right w:val="single" w:sz="8" w:space="0" w:color="auto"/>
            </w:tcBorders>
            <w:shd w:val="clear" w:color="auto" w:fill="auto"/>
            <w:vAlign w:val="bottom"/>
          </w:tcPr>
          <w:p w14:paraId="6B2D0417" w14:textId="77777777" w:rsidR="00A52778" w:rsidRPr="00460F9E" w:rsidRDefault="00A52778" w:rsidP="00FC3F8E">
            <w:pPr>
              <w:spacing w:line="0" w:lineRule="atLeast"/>
              <w:rPr>
                <w:rFonts w:eastAsia="Times New Roman" w:cs="Times New Roman"/>
                <w:b/>
                <w:sz w:val="18"/>
              </w:rPr>
            </w:pPr>
          </w:p>
        </w:tc>
      </w:tr>
      <w:tr w:rsidR="00A52778" w:rsidRPr="00460F9E" w14:paraId="36B2FB34" w14:textId="77777777" w:rsidTr="00FC3F8E">
        <w:trPr>
          <w:trHeight w:val="275"/>
        </w:trPr>
        <w:tc>
          <w:tcPr>
            <w:tcW w:w="1701" w:type="dxa"/>
            <w:vMerge/>
            <w:tcBorders>
              <w:left w:val="single" w:sz="8" w:space="0" w:color="auto"/>
              <w:right w:val="single" w:sz="8" w:space="0" w:color="auto"/>
            </w:tcBorders>
            <w:shd w:val="clear" w:color="auto" w:fill="auto"/>
            <w:vAlign w:val="bottom"/>
          </w:tcPr>
          <w:p w14:paraId="3A5A66EA" w14:textId="77777777" w:rsidR="00A52778" w:rsidRPr="00460F9E" w:rsidRDefault="00A52778" w:rsidP="00FC3F8E">
            <w:pPr>
              <w:spacing w:line="0" w:lineRule="atLeast"/>
              <w:rPr>
                <w:rFonts w:eastAsia="Times New Roman" w:cs="Times New Roman"/>
                <w:b/>
                <w:sz w:val="10"/>
              </w:rPr>
            </w:pPr>
          </w:p>
        </w:tc>
        <w:tc>
          <w:tcPr>
            <w:tcW w:w="1985" w:type="dxa"/>
            <w:vMerge/>
            <w:tcBorders>
              <w:right w:val="single" w:sz="8" w:space="0" w:color="auto"/>
            </w:tcBorders>
            <w:shd w:val="clear" w:color="auto" w:fill="auto"/>
            <w:vAlign w:val="bottom"/>
          </w:tcPr>
          <w:p w14:paraId="392AE897" w14:textId="77777777" w:rsidR="00A52778" w:rsidRPr="00460F9E" w:rsidRDefault="00A52778" w:rsidP="00FC3F8E">
            <w:pPr>
              <w:spacing w:line="0" w:lineRule="atLeast"/>
              <w:jc w:val="center"/>
              <w:rPr>
                <w:rFonts w:eastAsia="Times New Roman" w:cs="Times New Roman"/>
                <w:b/>
                <w:sz w:val="10"/>
                <w:highlight w:val="yellow"/>
              </w:rPr>
            </w:pPr>
          </w:p>
        </w:tc>
        <w:tc>
          <w:tcPr>
            <w:tcW w:w="1134" w:type="dxa"/>
            <w:vMerge/>
            <w:tcBorders>
              <w:right w:val="single" w:sz="8" w:space="0" w:color="auto"/>
            </w:tcBorders>
            <w:shd w:val="clear" w:color="auto" w:fill="auto"/>
            <w:vAlign w:val="bottom"/>
          </w:tcPr>
          <w:p w14:paraId="3E29AA91" w14:textId="77777777" w:rsidR="00A52778" w:rsidRPr="00460F9E" w:rsidRDefault="00A52778" w:rsidP="00FC3F8E">
            <w:pPr>
              <w:spacing w:line="0" w:lineRule="atLeast"/>
              <w:jc w:val="center"/>
              <w:rPr>
                <w:rFonts w:eastAsia="Times New Roman" w:cs="Times New Roman"/>
                <w:b/>
                <w:w w:val="99"/>
                <w:highlight w:val="yellow"/>
              </w:rPr>
            </w:pPr>
          </w:p>
        </w:tc>
        <w:tc>
          <w:tcPr>
            <w:tcW w:w="1984" w:type="dxa"/>
            <w:vMerge/>
            <w:tcBorders>
              <w:right w:val="single" w:sz="8" w:space="0" w:color="auto"/>
            </w:tcBorders>
            <w:shd w:val="clear" w:color="auto" w:fill="auto"/>
            <w:vAlign w:val="bottom"/>
          </w:tcPr>
          <w:p w14:paraId="5F8161FA" w14:textId="77777777" w:rsidR="00A52778" w:rsidRPr="00460F9E" w:rsidRDefault="00A52778" w:rsidP="00FC3F8E">
            <w:pPr>
              <w:spacing w:line="0" w:lineRule="atLeast"/>
              <w:jc w:val="center"/>
              <w:rPr>
                <w:rFonts w:eastAsia="Times New Roman" w:cs="Times New Roman"/>
                <w:b/>
                <w:sz w:val="10"/>
                <w:highlight w:val="yellow"/>
              </w:rPr>
            </w:pPr>
          </w:p>
        </w:tc>
        <w:tc>
          <w:tcPr>
            <w:tcW w:w="1276" w:type="dxa"/>
            <w:vMerge/>
            <w:tcBorders>
              <w:right w:val="single" w:sz="8" w:space="0" w:color="auto"/>
            </w:tcBorders>
            <w:shd w:val="clear" w:color="auto" w:fill="auto"/>
            <w:vAlign w:val="bottom"/>
          </w:tcPr>
          <w:p w14:paraId="0198A3D8" w14:textId="77777777" w:rsidR="00A52778" w:rsidRPr="00460F9E" w:rsidRDefault="00A52778" w:rsidP="00FC3F8E">
            <w:pPr>
              <w:spacing w:line="236" w:lineRule="exact"/>
              <w:jc w:val="center"/>
              <w:rPr>
                <w:rFonts w:eastAsia="Times New Roman" w:cs="Times New Roman"/>
                <w:b/>
                <w:w w:val="98"/>
              </w:rPr>
            </w:pPr>
          </w:p>
        </w:tc>
        <w:tc>
          <w:tcPr>
            <w:tcW w:w="1276" w:type="dxa"/>
            <w:vMerge w:val="restart"/>
            <w:tcBorders>
              <w:right w:val="single" w:sz="8" w:space="0" w:color="auto"/>
            </w:tcBorders>
            <w:shd w:val="clear" w:color="auto" w:fill="auto"/>
            <w:vAlign w:val="bottom"/>
          </w:tcPr>
          <w:p w14:paraId="57D237C9" w14:textId="77777777" w:rsidR="00A52778" w:rsidRPr="00460F9E" w:rsidRDefault="002A1746" w:rsidP="00FC3F8E">
            <w:pPr>
              <w:spacing w:line="0" w:lineRule="atLeast"/>
              <w:jc w:val="center"/>
              <w:rPr>
                <w:rFonts w:eastAsia="Times New Roman" w:cs="Times New Roman"/>
                <w:b/>
              </w:rPr>
            </w:pPr>
            <w:hyperlink w:anchor="page309" w:history="1">
              <w:r w:rsidR="00A52778" w:rsidRPr="00460F9E">
                <w:rPr>
                  <w:rFonts w:eastAsia="Times New Roman" w:cs="Times New Roman"/>
                </w:rPr>
                <w:t>MET 18</w:t>
              </w:r>
            </w:hyperlink>
          </w:p>
        </w:tc>
      </w:tr>
      <w:tr w:rsidR="00A52778" w:rsidRPr="00460F9E" w14:paraId="05461C8D" w14:textId="77777777" w:rsidTr="00FC3F8E">
        <w:trPr>
          <w:trHeight w:val="436"/>
        </w:trPr>
        <w:tc>
          <w:tcPr>
            <w:tcW w:w="1701" w:type="dxa"/>
            <w:vMerge w:val="restart"/>
            <w:tcBorders>
              <w:left w:val="single" w:sz="8" w:space="0" w:color="auto"/>
              <w:right w:val="single" w:sz="8" w:space="0" w:color="auto"/>
            </w:tcBorders>
            <w:shd w:val="clear" w:color="auto" w:fill="auto"/>
            <w:vAlign w:val="bottom"/>
          </w:tcPr>
          <w:p w14:paraId="0B5BCF63"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(Cl</w:t>
            </w:r>
            <w:r w:rsidRPr="00460F9E">
              <w:rPr>
                <w:rFonts w:eastAsia="Times New Roman" w:cs="Times New Roman"/>
                <w:w w:val="99"/>
                <w:sz w:val="12"/>
              </w:rPr>
              <w:t>2</w:t>
            </w:r>
            <w:r w:rsidRPr="00460F9E">
              <w:rPr>
                <w:rFonts w:eastAsia="Times New Roman" w:cs="Times New Roman"/>
                <w:w w:val="99"/>
              </w:rPr>
              <w:t>)</w:t>
            </w:r>
          </w:p>
        </w:tc>
        <w:tc>
          <w:tcPr>
            <w:tcW w:w="1985" w:type="dxa"/>
            <w:vMerge/>
            <w:tcBorders>
              <w:right w:val="single" w:sz="8" w:space="0" w:color="auto"/>
            </w:tcBorders>
            <w:shd w:val="clear" w:color="auto" w:fill="auto"/>
            <w:vAlign w:val="bottom"/>
          </w:tcPr>
          <w:p w14:paraId="5C2FC61B" w14:textId="77777777" w:rsidR="00A52778" w:rsidRPr="00460F9E" w:rsidRDefault="00A52778" w:rsidP="00FC3F8E">
            <w:pPr>
              <w:spacing w:line="0" w:lineRule="atLeast"/>
              <w:jc w:val="center"/>
              <w:rPr>
                <w:rFonts w:eastAsia="Times New Roman" w:cs="Times New Roman"/>
                <w:b/>
                <w:w w:val="99"/>
                <w:highlight w:val="yellow"/>
              </w:rPr>
            </w:pPr>
          </w:p>
        </w:tc>
        <w:tc>
          <w:tcPr>
            <w:tcW w:w="1134" w:type="dxa"/>
            <w:vMerge/>
            <w:tcBorders>
              <w:right w:val="single" w:sz="8" w:space="0" w:color="auto"/>
            </w:tcBorders>
            <w:shd w:val="clear" w:color="auto" w:fill="auto"/>
            <w:vAlign w:val="bottom"/>
          </w:tcPr>
          <w:p w14:paraId="2FCFDC0A" w14:textId="77777777" w:rsidR="00A52778" w:rsidRPr="00460F9E" w:rsidRDefault="00A52778" w:rsidP="00FC3F8E">
            <w:pPr>
              <w:spacing w:line="0" w:lineRule="atLeast"/>
              <w:rPr>
                <w:rFonts w:eastAsia="Times New Roman" w:cs="Times New Roman"/>
                <w:b/>
                <w:sz w:val="10"/>
                <w:highlight w:val="yellow"/>
              </w:rPr>
            </w:pPr>
          </w:p>
        </w:tc>
        <w:tc>
          <w:tcPr>
            <w:tcW w:w="1984" w:type="dxa"/>
            <w:vMerge/>
            <w:tcBorders>
              <w:right w:val="single" w:sz="8" w:space="0" w:color="auto"/>
            </w:tcBorders>
            <w:shd w:val="clear" w:color="auto" w:fill="auto"/>
            <w:vAlign w:val="bottom"/>
          </w:tcPr>
          <w:p w14:paraId="54394A7E" w14:textId="77777777" w:rsidR="00A52778" w:rsidRPr="00460F9E" w:rsidRDefault="00A52778" w:rsidP="00FC3F8E">
            <w:pPr>
              <w:spacing w:line="0" w:lineRule="atLeast"/>
              <w:jc w:val="center"/>
              <w:rPr>
                <w:rFonts w:eastAsia="Times New Roman" w:cs="Times New Roman"/>
                <w:b/>
                <w:w w:val="99"/>
                <w:highlight w:val="yellow"/>
              </w:rPr>
            </w:pPr>
          </w:p>
        </w:tc>
        <w:tc>
          <w:tcPr>
            <w:tcW w:w="1276" w:type="dxa"/>
            <w:vMerge/>
            <w:tcBorders>
              <w:right w:val="single" w:sz="8" w:space="0" w:color="auto"/>
            </w:tcBorders>
            <w:shd w:val="clear" w:color="auto" w:fill="auto"/>
            <w:vAlign w:val="bottom"/>
          </w:tcPr>
          <w:p w14:paraId="34EB9BF7" w14:textId="77777777" w:rsidR="00A52778" w:rsidRPr="00460F9E" w:rsidRDefault="00A52778" w:rsidP="00FC3F8E">
            <w:pPr>
              <w:spacing w:line="236" w:lineRule="exact"/>
              <w:jc w:val="center"/>
              <w:rPr>
                <w:rFonts w:eastAsia="Times New Roman" w:cs="Times New Roman"/>
                <w:b/>
                <w:sz w:val="10"/>
              </w:rPr>
            </w:pPr>
          </w:p>
        </w:tc>
        <w:tc>
          <w:tcPr>
            <w:tcW w:w="1276" w:type="dxa"/>
            <w:vMerge/>
            <w:tcBorders>
              <w:right w:val="single" w:sz="8" w:space="0" w:color="auto"/>
            </w:tcBorders>
            <w:shd w:val="clear" w:color="auto" w:fill="auto"/>
            <w:vAlign w:val="bottom"/>
          </w:tcPr>
          <w:p w14:paraId="4DCB248D" w14:textId="77777777" w:rsidR="00A52778" w:rsidRPr="00460F9E" w:rsidRDefault="00A52778" w:rsidP="00FC3F8E">
            <w:pPr>
              <w:spacing w:line="0" w:lineRule="atLeast"/>
              <w:rPr>
                <w:rFonts w:eastAsia="Times New Roman" w:cs="Times New Roman"/>
                <w:b/>
                <w:sz w:val="10"/>
              </w:rPr>
            </w:pPr>
          </w:p>
        </w:tc>
      </w:tr>
      <w:tr w:rsidR="00A52778" w:rsidRPr="00460F9E" w14:paraId="4CFBC73F" w14:textId="77777777" w:rsidTr="00FC3F8E">
        <w:trPr>
          <w:trHeight w:val="118"/>
        </w:trPr>
        <w:tc>
          <w:tcPr>
            <w:tcW w:w="1701" w:type="dxa"/>
            <w:vMerge/>
            <w:tcBorders>
              <w:left w:val="single" w:sz="8" w:space="0" w:color="auto"/>
              <w:right w:val="single" w:sz="8" w:space="0" w:color="auto"/>
            </w:tcBorders>
            <w:shd w:val="clear" w:color="auto" w:fill="auto"/>
            <w:vAlign w:val="bottom"/>
          </w:tcPr>
          <w:p w14:paraId="6DC21334" w14:textId="77777777" w:rsidR="00A52778" w:rsidRPr="00460F9E" w:rsidRDefault="00A52778" w:rsidP="00FC3F8E">
            <w:pPr>
              <w:spacing w:line="0" w:lineRule="atLeast"/>
              <w:rPr>
                <w:rFonts w:eastAsia="Times New Roman" w:cs="Times New Roman"/>
                <w:b/>
                <w:sz w:val="10"/>
              </w:rPr>
            </w:pPr>
          </w:p>
        </w:tc>
        <w:tc>
          <w:tcPr>
            <w:tcW w:w="1985" w:type="dxa"/>
            <w:vMerge/>
            <w:tcBorders>
              <w:right w:val="single" w:sz="8" w:space="0" w:color="auto"/>
            </w:tcBorders>
            <w:shd w:val="clear" w:color="auto" w:fill="auto"/>
            <w:vAlign w:val="bottom"/>
          </w:tcPr>
          <w:p w14:paraId="4967A4C1"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right w:val="single" w:sz="8" w:space="0" w:color="auto"/>
            </w:tcBorders>
            <w:shd w:val="clear" w:color="auto" w:fill="auto"/>
            <w:vAlign w:val="bottom"/>
          </w:tcPr>
          <w:p w14:paraId="28286B7D" w14:textId="77777777" w:rsidR="00A52778" w:rsidRPr="00460F9E" w:rsidRDefault="00A52778" w:rsidP="00FC3F8E">
            <w:pPr>
              <w:spacing w:line="0" w:lineRule="atLeast"/>
              <w:rPr>
                <w:rFonts w:eastAsia="Times New Roman" w:cs="Times New Roman"/>
                <w:b/>
                <w:sz w:val="10"/>
                <w:highlight w:val="yellow"/>
              </w:rPr>
            </w:pPr>
          </w:p>
        </w:tc>
        <w:tc>
          <w:tcPr>
            <w:tcW w:w="1984" w:type="dxa"/>
            <w:vMerge/>
            <w:tcBorders>
              <w:right w:val="single" w:sz="8" w:space="0" w:color="auto"/>
            </w:tcBorders>
            <w:shd w:val="clear" w:color="auto" w:fill="auto"/>
            <w:vAlign w:val="bottom"/>
          </w:tcPr>
          <w:p w14:paraId="31B0590D"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right w:val="single" w:sz="8" w:space="0" w:color="auto"/>
            </w:tcBorders>
            <w:shd w:val="clear" w:color="auto" w:fill="auto"/>
            <w:vAlign w:val="bottom"/>
          </w:tcPr>
          <w:p w14:paraId="55551BDE" w14:textId="77777777" w:rsidR="00A52778" w:rsidRPr="00460F9E" w:rsidRDefault="00A52778" w:rsidP="00FC3F8E">
            <w:pPr>
              <w:spacing w:line="236" w:lineRule="exact"/>
              <w:jc w:val="center"/>
              <w:rPr>
                <w:rFonts w:eastAsia="Times New Roman" w:cs="Times New Roman"/>
                <w:b/>
                <w:w w:val="95"/>
              </w:rPr>
            </w:pPr>
          </w:p>
        </w:tc>
        <w:tc>
          <w:tcPr>
            <w:tcW w:w="1276" w:type="dxa"/>
            <w:tcBorders>
              <w:right w:val="single" w:sz="8" w:space="0" w:color="auto"/>
            </w:tcBorders>
            <w:shd w:val="clear" w:color="auto" w:fill="auto"/>
            <w:vAlign w:val="bottom"/>
          </w:tcPr>
          <w:p w14:paraId="3D1AECD0" w14:textId="77777777" w:rsidR="00A52778" w:rsidRPr="00460F9E" w:rsidRDefault="00A52778" w:rsidP="00FC3F8E">
            <w:pPr>
              <w:spacing w:line="0" w:lineRule="atLeast"/>
              <w:rPr>
                <w:rFonts w:eastAsia="Times New Roman" w:cs="Times New Roman"/>
                <w:b/>
                <w:sz w:val="10"/>
              </w:rPr>
            </w:pPr>
          </w:p>
        </w:tc>
      </w:tr>
      <w:tr w:rsidR="00A52778" w:rsidRPr="00460F9E" w14:paraId="732D5B39" w14:textId="77777777" w:rsidTr="00FC3F8E">
        <w:trPr>
          <w:trHeight w:val="118"/>
        </w:trPr>
        <w:tc>
          <w:tcPr>
            <w:tcW w:w="1701" w:type="dxa"/>
            <w:tcBorders>
              <w:left w:val="single" w:sz="8" w:space="0" w:color="auto"/>
              <w:bottom w:val="single" w:sz="8" w:space="0" w:color="auto"/>
              <w:right w:val="single" w:sz="8" w:space="0" w:color="auto"/>
            </w:tcBorders>
            <w:shd w:val="clear" w:color="auto" w:fill="auto"/>
            <w:vAlign w:val="bottom"/>
          </w:tcPr>
          <w:p w14:paraId="72179400" w14:textId="77777777" w:rsidR="00A52778" w:rsidRPr="00460F9E" w:rsidRDefault="00A52778" w:rsidP="00FC3F8E">
            <w:pPr>
              <w:spacing w:line="0" w:lineRule="atLeast"/>
              <w:rPr>
                <w:rFonts w:eastAsia="Times New Roman" w:cs="Times New Roman"/>
                <w:b/>
                <w:sz w:val="10"/>
              </w:rPr>
            </w:pPr>
          </w:p>
        </w:tc>
        <w:tc>
          <w:tcPr>
            <w:tcW w:w="1985" w:type="dxa"/>
            <w:vMerge/>
            <w:tcBorders>
              <w:bottom w:val="single" w:sz="8" w:space="0" w:color="auto"/>
              <w:right w:val="single" w:sz="8" w:space="0" w:color="auto"/>
            </w:tcBorders>
            <w:shd w:val="clear" w:color="auto" w:fill="auto"/>
            <w:vAlign w:val="bottom"/>
          </w:tcPr>
          <w:p w14:paraId="0D95B538"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bottom w:val="single" w:sz="8" w:space="0" w:color="auto"/>
              <w:right w:val="single" w:sz="8" w:space="0" w:color="auto"/>
            </w:tcBorders>
            <w:shd w:val="clear" w:color="auto" w:fill="auto"/>
            <w:vAlign w:val="bottom"/>
          </w:tcPr>
          <w:p w14:paraId="4355EA81" w14:textId="77777777" w:rsidR="00A52778" w:rsidRPr="00460F9E" w:rsidRDefault="00A52778" w:rsidP="00FC3F8E">
            <w:pPr>
              <w:spacing w:line="0" w:lineRule="atLeast"/>
              <w:rPr>
                <w:rFonts w:eastAsia="Times New Roman" w:cs="Times New Roman"/>
                <w:b/>
                <w:sz w:val="10"/>
                <w:highlight w:val="yellow"/>
              </w:rPr>
            </w:pPr>
          </w:p>
        </w:tc>
        <w:tc>
          <w:tcPr>
            <w:tcW w:w="1984" w:type="dxa"/>
            <w:vMerge/>
            <w:tcBorders>
              <w:bottom w:val="single" w:sz="8" w:space="0" w:color="auto"/>
              <w:right w:val="single" w:sz="8" w:space="0" w:color="auto"/>
            </w:tcBorders>
            <w:shd w:val="clear" w:color="auto" w:fill="auto"/>
            <w:vAlign w:val="bottom"/>
          </w:tcPr>
          <w:p w14:paraId="52122370"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bottom w:val="single" w:sz="8" w:space="0" w:color="auto"/>
              <w:right w:val="single" w:sz="8" w:space="0" w:color="auto"/>
            </w:tcBorders>
            <w:shd w:val="clear" w:color="auto" w:fill="auto"/>
            <w:vAlign w:val="bottom"/>
          </w:tcPr>
          <w:p w14:paraId="1CE671F5" w14:textId="77777777" w:rsidR="00A52778" w:rsidRPr="00460F9E" w:rsidRDefault="00A52778" w:rsidP="00FC3F8E">
            <w:pPr>
              <w:spacing w:line="0" w:lineRule="atLeast"/>
              <w:rPr>
                <w:rFonts w:eastAsia="Times New Roman" w:cs="Times New Roman"/>
                <w:b/>
                <w:sz w:val="10"/>
              </w:rPr>
            </w:pPr>
          </w:p>
        </w:tc>
        <w:tc>
          <w:tcPr>
            <w:tcW w:w="1276" w:type="dxa"/>
            <w:tcBorders>
              <w:bottom w:val="single" w:sz="8" w:space="0" w:color="auto"/>
              <w:right w:val="single" w:sz="8" w:space="0" w:color="auto"/>
            </w:tcBorders>
            <w:shd w:val="clear" w:color="auto" w:fill="auto"/>
            <w:vAlign w:val="bottom"/>
          </w:tcPr>
          <w:p w14:paraId="4FAE778E" w14:textId="77777777" w:rsidR="00A52778" w:rsidRPr="00460F9E" w:rsidRDefault="00A52778" w:rsidP="00FC3F8E">
            <w:pPr>
              <w:spacing w:line="0" w:lineRule="atLeast"/>
              <w:rPr>
                <w:rFonts w:eastAsia="Times New Roman" w:cs="Times New Roman"/>
                <w:b/>
                <w:sz w:val="10"/>
              </w:rPr>
            </w:pPr>
          </w:p>
        </w:tc>
      </w:tr>
      <w:tr w:rsidR="00A52778" w:rsidRPr="00460F9E" w14:paraId="285F6680" w14:textId="77777777" w:rsidTr="00FC3F8E">
        <w:trPr>
          <w:trHeight w:val="214"/>
        </w:trPr>
        <w:tc>
          <w:tcPr>
            <w:tcW w:w="1701" w:type="dxa"/>
            <w:vMerge w:val="restart"/>
            <w:tcBorders>
              <w:left w:val="single" w:sz="8" w:space="0" w:color="auto"/>
              <w:right w:val="single" w:sz="8" w:space="0" w:color="auto"/>
            </w:tcBorders>
            <w:shd w:val="clear" w:color="auto" w:fill="auto"/>
            <w:vAlign w:val="bottom"/>
          </w:tcPr>
          <w:p w14:paraId="2E119557" w14:textId="77777777" w:rsidR="00A52778" w:rsidRPr="00460F9E" w:rsidRDefault="00A52778" w:rsidP="00FC3F8E">
            <w:pPr>
              <w:spacing w:line="0" w:lineRule="atLeast"/>
              <w:jc w:val="center"/>
              <w:rPr>
                <w:rFonts w:eastAsia="Times New Roman" w:cs="Times New Roman"/>
                <w:b/>
                <w:highlight w:val="yellow"/>
              </w:rPr>
            </w:pPr>
            <w:r w:rsidRPr="00460F9E">
              <w:rPr>
                <w:rFonts w:eastAsia="Times New Roman" w:cs="Times New Roman"/>
              </w:rPr>
              <w:t>Etilen diklorür    (EDC)</w:t>
            </w:r>
          </w:p>
        </w:tc>
        <w:tc>
          <w:tcPr>
            <w:tcW w:w="1985" w:type="dxa"/>
            <w:vMerge w:val="restart"/>
            <w:tcBorders>
              <w:right w:val="single" w:sz="8" w:space="0" w:color="auto"/>
            </w:tcBorders>
            <w:shd w:val="clear" w:color="auto" w:fill="auto"/>
            <w:vAlign w:val="center"/>
          </w:tcPr>
          <w:p w14:paraId="739AF95A" w14:textId="77777777" w:rsidR="00A52778" w:rsidRPr="00460F9E" w:rsidRDefault="00A52778" w:rsidP="00FC3F8E">
            <w:pPr>
              <w:spacing w:line="0" w:lineRule="atLeast"/>
              <w:jc w:val="center"/>
              <w:rPr>
                <w:rFonts w:eastAsia="Times New Roman" w:cs="Times New Roman"/>
                <w:b/>
                <w:w w:val="93"/>
                <w:highlight w:val="yellow"/>
              </w:rPr>
            </w:pPr>
            <w:r w:rsidRPr="00460F9E">
              <w:rPr>
                <w:rFonts w:eastAsia="Times New Roman" w:cs="Times New Roman"/>
                <w:w w:val="93"/>
              </w:rPr>
              <w:t xml:space="preserve">Tüm                </w:t>
            </w:r>
            <w:r w:rsidRPr="00460F9E">
              <w:rPr>
                <w:rFonts w:eastAsia="Times New Roman" w:cs="Times New Roman"/>
                <w:w w:val="99"/>
              </w:rPr>
              <w:t>prosesler</w:t>
            </w:r>
            <w:r w:rsidRPr="00460F9E">
              <w:rPr>
                <w:rFonts w:eastAsia="Times New Roman" w:cs="Times New Roman"/>
                <w:w w:val="93"/>
              </w:rPr>
              <w:t xml:space="preserve"> /kaynaklar</w:t>
            </w:r>
          </w:p>
        </w:tc>
        <w:tc>
          <w:tcPr>
            <w:tcW w:w="1134" w:type="dxa"/>
            <w:vMerge w:val="restart"/>
            <w:tcBorders>
              <w:right w:val="single" w:sz="8" w:space="0" w:color="auto"/>
            </w:tcBorders>
            <w:shd w:val="clear" w:color="auto" w:fill="auto"/>
            <w:vAlign w:val="center"/>
          </w:tcPr>
          <w:p w14:paraId="1B5CEE3B" w14:textId="77777777" w:rsidR="00A52778" w:rsidRPr="00460F9E" w:rsidRDefault="00A52778" w:rsidP="00FC3F8E">
            <w:pPr>
              <w:spacing w:line="0" w:lineRule="atLeast"/>
              <w:jc w:val="center"/>
              <w:rPr>
                <w:rFonts w:eastAsia="Times New Roman" w:cs="Times New Roman"/>
                <w:b/>
                <w:sz w:val="18"/>
                <w:highlight w:val="yellow"/>
              </w:rPr>
            </w:pPr>
            <w:r w:rsidRPr="00460F9E">
              <w:rPr>
                <w:rFonts w:eastAsia="Times New Roman" w:cs="Times New Roman"/>
                <w:w w:val="99"/>
              </w:rPr>
              <w:t>Herhangi bir baca</w:t>
            </w:r>
          </w:p>
        </w:tc>
        <w:tc>
          <w:tcPr>
            <w:tcW w:w="1984" w:type="dxa"/>
            <w:vMerge w:val="restart"/>
            <w:tcBorders>
              <w:right w:val="single" w:sz="8" w:space="0" w:color="auto"/>
            </w:tcBorders>
            <w:shd w:val="clear" w:color="auto" w:fill="auto"/>
            <w:vAlign w:val="center"/>
          </w:tcPr>
          <w:p w14:paraId="572BFCB6"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 xml:space="preserve">EN standardı </w:t>
            </w:r>
          </w:p>
          <w:p w14:paraId="4D8AC38F" w14:textId="77777777" w:rsidR="00A52778" w:rsidRPr="00460F9E" w:rsidRDefault="00A52778" w:rsidP="00FC3F8E">
            <w:pPr>
              <w:spacing w:line="0" w:lineRule="atLeast"/>
              <w:jc w:val="center"/>
              <w:rPr>
                <w:rFonts w:eastAsia="Times New Roman" w:cs="Times New Roman"/>
                <w:b/>
                <w:highlight w:val="yellow"/>
              </w:rPr>
            </w:pPr>
            <w:r w:rsidRPr="00460F9E">
              <w:rPr>
                <w:rFonts w:eastAsia="Times New Roman" w:cs="Times New Roman"/>
                <w:w w:val="99"/>
              </w:rPr>
              <w:t>mevcut değil</w:t>
            </w:r>
          </w:p>
        </w:tc>
        <w:tc>
          <w:tcPr>
            <w:tcW w:w="1276" w:type="dxa"/>
            <w:vMerge w:val="restart"/>
            <w:tcBorders>
              <w:right w:val="single" w:sz="8" w:space="0" w:color="auto"/>
            </w:tcBorders>
            <w:shd w:val="clear" w:color="auto" w:fill="auto"/>
            <w:vAlign w:val="center"/>
          </w:tcPr>
          <w:p w14:paraId="5F7D1EF0"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Her 6 ayda</w:t>
            </w:r>
          </w:p>
          <w:p w14:paraId="5E18BCCB"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1 kere</w:t>
            </w:r>
          </w:p>
          <w:p w14:paraId="760FAF41" w14:textId="77777777" w:rsidR="00A52778" w:rsidRPr="00460F9E" w:rsidRDefault="00A52778" w:rsidP="00FC3F8E">
            <w:pPr>
              <w:spacing w:line="236" w:lineRule="exact"/>
              <w:jc w:val="center"/>
              <w:rPr>
                <w:rFonts w:eastAsia="Times New Roman" w:cs="Times New Roman"/>
                <w:b/>
              </w:rPr>
            </w:pPr>
            <w:r w:rsidRPr="00460F9E">
              <w:rPr>
                <w:rFonts w:eastAsia="Times New Roman" w:cs="Times New Roman"/>
                <w:w w:val="92"/>
              </w:rPr>
              <w:t>(</w:t>
            </w:r>
            <w:r w:rsidRPr="00460F9E">
              <w:rPr>
                <w:rFonts w:eastAsia="Times New Roman" w:cs="Times New Roman"/>
                <w:w w:val="92"/>
                <w:sz w:val="25"/>
                <w:vertAlign w:val="superscript"/>
              </w:rPr>
              <w:t>3</w:t>
            </w:r>
            <w:r w:rsidRPr="00460F9E">
              <w:rPr>
                <w:rFonts w:eastAsia="Times New Roman" w:cs="Times New Roman"/>
                <w:w w:val="92"/>
              </w:rPr>
              <w:t>)</w:t>
            </w:r>
          </w:p>
        </w:tc>
        <w:tc>
          <w:tcPr>
            <w:tcW w:w="1276" w:type="dxa"/>
            <w:tcBorders>
              <w:right w:val="single" w:sz="8" w:space="0" w:color="auto"/>
            </w:tcBorders>
            <w:shd w:val="clear" w:color="auto" w:fill="auto"/>
            <w:vAlign w:val="bottom"/>
          </w:tcPr>
          <w:p w14:paraId="52C345F3" w14:textId="77777777" w:rsidR="00A52778" w:rsidRPr="00460F9E" w:rsidRDefault="00A52778" w:rsidP="00FC3F8E">
            <w:pPr>
              <w:spacing w:line="0" w:lineRule="atLeast"/>
              <w:rPr>
                <w:rFonts w:eastAsia="Times New Roman" w:cs="Times New Roman"/>
                <w:b/>
                <w:sz w:val="18"/>
              </w:rPr>
            </w:pPr>
          </w:p>
        </w:tc>
      </w:tr>
      <w:tr w:rsidR="00A52778" w:rsidRPr="00460F9E" w14:paraId="0228489A" w14:textId="77777777" w:rsidTr="00FC3F8E">
        <w:trPr>
          <w:trHeight w:val="345"/>
        </w:trPr>
        <w:tc>
          <w:tcPr>
            <w:tcW w:w="1701" w:type="dxa"/>
            <w:vMerge/>
            <w:tcBorders>
              <w:left w:val="single" w:sz="8" w:space="0" w:color="auto"/>
              <w:bottom w:val="nil"/>
              <w:right w:val="single" w:sz="8" w:space="0" w:color="auto"/>
            </w:tcBorders>
            <w:shd w:val="clear" w:color="auto" w:fill="auto"/>
            <w:vAlign w:val="bottom"/>
          </w:tcPr>
          <w:p w14:paraId="6EEC1390" w14:textId="77777777" w:rsidR="00A52778" w:rsidRPr="00460F9E" w:rsidRDefault="00A52778" w:rsidP="00FC3F8E">
            <w:pPr>
              <w:spacing w:line="0" w:lineRule="atLeast"/>
              <w:jc w:val="center"/>
              <w:rPr>
                <w:rFonts w:eastAsia="Times New Roman" w:cs="Times New Roman"/>
                <w:b/>
                <w:sz w:val="10"/>
                <w:highlight w:val="yellow"/>
              </w:rPr>
            </w:pPr>
          </w:p>
        </w:tc>
        <w:tc>
          <w:tcPr>
            <w:tcW w:w="1985" w:type="dxa"/>
            <w:vMerge/>
            <w:tcBorders>
              <w:bottom w:val="nil"/>
              <w:right w:val="single" w:sz="8" w:space="0" w:color="auto"/>
            </w:tcBorders>
            <w:shd w:val="clear" w:color="auto" w:fill="auto"/>
            <w:vAlign w:val="bottom"/>
          </w:tcPr>
          <w:p w14:paraId="71B77E0F" w14:textId="77777777" w:rsidR="00A52778" w:rsidRPr="00460F9E" w:rsidRDefault="00A52778" w:rsidP="00FC3F8E">
            <w:pPr>
              <w:spacing w:line="0" w:lineRule="atLeast"/>
              <w:jc w:val="center"/>
              <w:rPr>
                <w:rFonts w:eastAsia="Times New Roman" w:cs="Times New Roman"/>
                <w:b/>
                <w:sz w:val="10"/>
                <w:highlight w:val="yellow"/>
              </w:rPr>
            </w:pPr>
          </w:p>
        </w:tc>
        <w:tc>
          <w:tcPr>
            <w:tcW w:w="1134" w:type="dxa"/>
            <w:vMerge/>
            <w:tcBorders>
              <w:bottom w:val="nil"/>
              <w:right w:val="single" w:sz="8" w:space="0" w:color="auto"/>
            </w:tcBorders>
            <w:shd w:val="clear" w:color="auto" w:fill="auto"/>
            <w:vAlign w:val="bottom"/>
          </w:tcPr>
          <w:p w14:paraId="276C044E" w14:textId="77777777" w:rsidR="00A52778" w:rsidRPr="00460F9E" w:rsidRDefault="00A52778" w:rsidP="00FC3F8E">
            <w:pPr>
              <w:spacing w:line="0" w:lineRule="atLeast"/>
              <w:jc w:val="center"/>
              <w:rPr>
                <w:rFonts w:eastAsia="Times New Roman" w:cs="Times New Roman"/>
                <w:b/>
                <w:w w:val="99"/>
                <w:highlight w:val="yellow"/>
              </w:rPr>
            </w:pPr>
          </w:p>
        </w:tc>
        <w:tc>
          <w:tcPr>
            <w:tcW w:w="1984" w:type="dxa"/>
            <w:vMerge/>
            <w:tcBorders>
              <w:bottom w:val="nil"/>
              <w:right w:val="single" w:sz="8" w:space="0" w:color="auto"/>
            </w:tcBorders>
            <w:shd w:val="clear" w:color="auto" w:fill="auto"/>
            <w:vAlign w:val="bottom"/>
          </w:tcPr>
          <w:p w14:paraId="75EDEBBD" w14:textId="77777777" w:rsidR="00A52778" w:rsidRPr="00460F9E" w:rsidRDefault="00A52778" w:rsidP="00FC3F8E">
            <w:pPr>
              <w:spacing w:line="0" w:lineRule="atLeast"/>
              <w:jc w:val="center"/>
              <w:rPr>
                <w:rFonts w:eastAsia="Times New Roman" w:cs="Times New Roman"/>
                <w:b/>
                <w:sz w:val="10"/>
                <w:highlight w:val="yellow"/>
              </w:rPr>
            </w:pPr>
          </w:p>
        </w:tc>
        <w:tc>
          <w:tcPr>
            <w:tcW w:w="1276" w:type="dxa"/>
            <w:vMerge/>
            <w:tcBorders>
              <w:right w:val="single" w:sz="8" w:space="0" w:color="auto"/>
            </w:tcBorders>
            <w:shd w:val="clear" w:color="auto" w:fill="auto"/>
            <w:vAlign w:val="bottom"/>
          </w:tcPr>
          <w:p w14:paraId="4379B5D5" w14:textId="77777777" w:rsidR="00A52778" w:rsidRPr="00460F9E" w:rsidRDefault="00A52778" w:rsidP="00FC3F8E">
            <w:pPr>
              <w:spacing w:line="236" w:lineRule="exact"/>
              <w:jc w:val="center"/>
              <w:rPr>
                <w:rFonts w:eastAsia="Times New Roman" w:cs="Times New Roman"/>
                <w:b/>
              </w:rPr>
            </w:pPr>
          </w:p>
        </w:tc>
        <w:tc>
          <w:tcPr>
            <w:tcW w:w="1276" w:type="dxa"/>
            <w:tcBorders>
              <w:bottom w:val="nil"/>
              <w:right w:val="single" w:sz="8" w:space="0" w:color="auto"/>
            </w:tcBorders>
            <w:shd w:val="clear" w:color="auto" w:fill="auto"/>
            <w:vAlign w:val="bottom"/>
          </w:tcPr>
          <w:p w14:paraId="2F41961B" w14:textId="77777777" w:rsidR="00A52778" w:rsidRPr="00460F9E" w:rsidRDefault="002A1746" w:rsidP="00FC3F8E">
            <w:pPr>
              <w:spacing w:line="0" w:lineRule="atLeast"/>
              <w:jc w:val="center"/>
              <w:rPr>
                <w:rFonts w:eastAsia="Times New Roman" w:cs="Times New Roman"/>
                <w:b/>
              </w:rPr>
            </w:pPr>
            <w:hyperlink w:anchor="page302" w:history="1">
              <w:r w:rsidR="00A52778" w:rsidRPr="00460F9E">
                <w:rPr>
                  <w:rFonts w:cs="Times New Roman"/>
                </w:rPr>
                <w:t xml:space="preserve"> </w:t>
              </w:r>
              <w:r w:rsidR="00A52778" w:rsidRPr="00460F9E">
                <w:rPr>
                  <w:rFonts w:eastAsia="Times New Roman" w:cs="Times New Roman"/>
                </w:rPr>
                <w:t>MET 11</w:t>
              </w:r>
            </w:hyperlink>
          </w:p>
        </w:tc>
      </w:tr>
      <w:tr w:rsidR="00A52778" w:rsidRPr="00460F9E" w14:paraId="0760A179" w14:textId="77777777" w:rsidTr="00FC3F8E">
        <w:trPr>
          <w:trHeight w:val="115"/>
        </w:trPr>
        <w:tc>
          <w:tcPr>
            <w:tcW w:w="1701" w:type="dxa"/>
            <w:vMerge/>
            <w:tcBorders>
              <w:left w:val="single" w:sz="8" w:space="0" w:color="auto"/>
              <w:right w:val="single" w:sz="8" w:space="0" w:color="auto"/>
            </w:tcBorders>
            <w:shd w:val="clear" w:color="auto" w:fill="auto"/>
            <w:vAlign w:val="bottom"/>
          </w:tcPr>
          <w:p w14:paraId="5E75F7A9"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right w:val="single" w:sz="8" w:space="0" w:color="auto"/>
            </w:tcBorders>
            <w:shd w:val="clear" w:color="auto" w:fill="auto"/>
            <w:vAlign w:val="bottom"/>
          </w:tcPr>
          <w:p w14:paraId="6EAB05AE"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right w:val="single" w:sz="8" w:space="0" w:color="auto"/>
            </w:tcBorders>
            <w:shd w:val="clear" w:color="auto" w:fill="auto"/>
            <w:vAlign w:val="bottom"/>
          </w:tcPr>
          <w:p w14:paraId="3205DBA6" w14:textId="77777777" w:rsidR="00A52778" w:rsidRPr="00460F9E" w:rsidRDefault="00A52778" w:rsidP="00FC3F8E">
            <w:pPr>
              <w:spacing w:line="0" w:lineRule="atLeast"/>
              <w:rPr>
                <w:rFonts w:eastAsia="Times New Roman" w:cs="Times New Roman"/>
                <w:b/>
                <w:sz w:val="10"/>
                <w:highlight w:val="yellow"/>
              </w:rPr>
            </w:pPr>
          </w:p>
        </w:tc>
        <w:tc>
          <w:tcPr>
            <w:tcW w:w="1984" w:type="dxa"/>
            <w:vMerge/>
            <w:tcBorders>
              <w:right w:val="single" w:sz="8" w:space="0" w:color="auto"/>
            </w:tcBorders>
            <w:shd w:val="clear" w:color="auto" w:fill="auto"/>
            <w:vAlign w:val="bottom"/>
          </w:tcPr>
          <w:p w14:paraId="25C83776"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right w:val="single" w:sz="8" w:space="0" w:color="auto"/>
            </w:tcBorders>
            <w:shd w:val="clear" w:color="auto" w:fill="auto"/>
            <w:vAlign w:val="bottom"/>
          </w:tcPr>
          <w:p w14:paraId="0D0480A3" w14:textId="77777777" w:rsidR="00A52778" w:rsidRPr="00460F9E" w:rsidRDefault="00A52778" w:rsidP="00FC3F8E">
            <w:pPr>
              <w:spacing w:line="236" w:lineRule="exact"/>
              <w:jc w:val="center"/>
              <w:rPr>
                <w:rFonts w:eastAsia="Times New Roman" w:cs="Times New Roman"/>
                <w:b/>
                <w:w w:val="92"/>
              </w:rPr>
            </w:pPr>
          </w:p>
        </w:tc>
        <w:tc>
          <w:tcPr>
            <w:tcW w:w="1276" w:type="dxa"/>
            <w:tcBorders>
              <w:right w:val="single" w:sz="8" w:space="0" w:color="auto"/>
            </w:tcBorders>
            <w:shd w:val="clear" w:color="auto" w:fill="auto"/>
            <w:vAlign w:val="bottom"/>
          </w:tcPr>
          <w:p w14:paraId="00C7ADBB" w14:textId="77777777" w:rsidR="00A52778" w:rsidRPr="00460F9E" w:rsidRDefault="00A52778" w:rsidP="00FC3F8E">
            <w:pPr>
              <w:spacing w:line="0" w:lineRule="atLeast"/>
              <w:rPr>
                <w:rFonts w:eastAsia="Times New Roman" w:cs="Times New Roman"/>
                <w:b/>
                <w:sz w:val="10"/>
              </w:rPr>
            </w:pPr>
          </w:p>
        </w:tc>
      </w:tr>
      <w:tr w:rsidR="00A52778" w:rsidRPr="00460F9E" w14:paraId="61D0A2CD" w14:textId="77777777" w:rsidTr="00FC3F8E">
        <w:trPr>
          <w:trHeight w:val="121"/>
        </w:trPr>
        <w:tc>
          <w:tcPr>
            <w:tcW w:w="1701" w:type="dxa"/>
            <w:tcBorders>
              <w:left w:val="single" w:sz="8" w:space="0" w:color="auto"/>
              <w:bottom w:val="single" w:sz="8" w:space="0" w:color="auto"/>
              <w:right w:val="single" w:sz="8" w:space="0" w:color="auto"/>
            </w:tcBorders>
            <w:shd w:val="clear" w:color="auto" w:fill="auto"/>
            <w:vAlign w:val="bottom"/>
          </w:tcPr>
          <w:p w14:paraId="211F5DD3"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bottom w:val="single" w:sz="8" w:space="0" w:color="auto"/>
              <w:right w:val="single" w:sz="8" w:space="0" w:color="auto"/>
            </w:tcBorders>
            <w:shd w:val="clear" w:color="auto" w:fill="auto"/>
            <w:vAlign w:val="bottom"/>
          </w:tcPr>
          <w:p w14:paraId="4B5F35D7"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bottom w:val="single" w:sz="8" w:space="0" w:color="auto"/>
              <w:right w:val="single" w:sz="8" w:space="0" w:color="auto"/>
            </w:tcBorders>
            <w:shd w:val="clear" w:color="auto" w:fill="auto"/>
            <w:vAlign w:val="bottom"/>
          </w:tcPr>
          <w:p w14:paraId="1EA1548F" w14:textId="77777777" w:rsidR="00A52778" w:rsidRPr="00460F9E" w:rsidRDefault="00A52778" w:rsidP="00FC3F8E">
            <w:pPr>
              <w:spacing w:line="0" w:lineRule="atLeast"/>
              <w:rPr>
                <w:rFonts w:eastAsia="Times New Roman" w:cs="Times New Roman"/>
                <w:b/>
                <w:sz w:val="10"/>
                <w:highlight w:val="yellow"/>
              </w:rPr>
            </w:pPr>
          </w:p>
        </w:tc>
        <w:tc>
          <w:tcPr>
            <w:tcW w:w="1984" w:type="dxa"/>
            <w:vMerge/>
            <w:tcBorders>
              <w:bottom w:val="single" w:sz="8" w:space="0" w:color="auto"/>
              <w:right w:val="single" w:sz="8" w:space="0" w:color="auto"/>
            </w:tcBorders>
            <w:shd w:val="clear" w:color="auto" w:fill="auto"/>
            <w:vAlign w:val="bottom"/>
          </w:tcPr>
          <w:p w14:paraId="2E35ACD8"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bottom w:val="single" w:sz="8" w:space="0" w:color="auto"/>
              <w:right w:val="single" w:sz="8" w:space="0" w:color="auto"/>
            </w:tcBorders>
            <w:shd w:val="clear" w:color="auto" w:fill="auto"/>
            <w:vAlign w:val="bottom"/>
          </w:tcPr>
          <w:p w14:paraId="5C34AB77" w14:textId="77777777" w:rsidR="00A52778" w:rsidRPr="00460F9E" w:rsidRDefault="00A52778" w:rsidP="00FC3F8E">
            <w:pPr>
              <w:spacing w:line="0" w:lineRule="atLeast"/>
              <w:rPr>
                <w:rFonts w:eastAsia="Times New Roman" w:cs="Times New Roman"/>
                <w:b/>
                <w:sz w:val="10"/>
              </w:rPr>
            </w:pPr>
          </w:p>
        </w:tc>
        <w:tc>
          <w:tcPr>
            <w:tcW w:w="1276" w:type="dxa"/>
            <w:tcBorders>
              <w:bottom w:val="single" w:sz="8" w:space="0" w:color="auto"/>
              <w:right w:val="single" w:sz="8" w:space="0" w:color="auto"/>
            </w:tcBorders>
            <w:shd w:val="clear" w:color="auto" w:fill="auto"/>
            <w:vAlign w:val="bottom"/>
          </w:tcPr>
          <w:p w14:paraId="6BA2DBA1" w14:textId="77777777" w:rsidR="00A52778" w:rsidRPr="00460F9E" w:rsidRDefault="00A52778" w:rsidP="00FC3F8E">
            <w:pPr>
              <w:spacing w:line="0" w:lineRule="atLeast"/>
              <w:rPr>
                <w:rFonts w:eastAsia="Times New Roman" w:cs="Times New Roman"/>
                <w:b/>
                <w:sz w:val="10"/>
              </w:rPr>
            </w:pPr>
          </w:p>
        </w:tc>
      </w:tr>
      <w:tr w:rsidR="00A52778" w:rsidRPr="00460F9E" w14:paraId="37745CEE" w14:textId="77777777" w:rsidTr="00FC3F8E">
        <w:trPr>
          <w:trHeight w:val="214"/>
        </w:trPr>
        <w:tc>
          <w:tcPr>
            <w:tcW w:w="1701" w:type="dxa"/>
            <w:vMerge w:val="restart"/>
            <w:tcBorders>
              <w:left w:val="single" w:sz="8" w:space="0" w:color="auto"/>
              <w:right w:val="single" w:sz="8" w:space="0" w:color="auto"/>
            </w:tcBorders>
            <w:shd w:val="clear" w:color="auto" w:fill="auto"/>
            <w:vAlign w:val="center"/>
          </w:tcPr>
          <w:p w14:paraId="1C02814B" w14:textId="77777777" w:rsidR="00A52778" w:rsidRPr="00460F9E" w:rsidRDefault="00A52778" w:rsidP="00FC3F8E">
            <w:pPr>
              <w:spacing w:line="228" w:lineRule="exact"/>
              <w:jc w:val="center"/>
              <w:rPr>
                <w:rFonts w:eastAsia="Times New Roman" w:cs="Times New Roman"/>
                <w:b/>
                <w:sz w:val="18"/>
                <w:highlight w:val="yellow"/>
              </w:rPr>
            </w:pPr>
            <w:r w:rsidRPr="00460F9E">
              <w:rPr>
                <w:rFonts w:eastAsia="Times New Roman" w:cs="Times New Roman"/>
                <w:w w:val="99"/>
              </w:rPr>
              <w:t>Etilen oksit</w:t>
            </w:r>
          </w:p>
        </w:tc>
        <w:tc>
          <w:tcPr>
            <w:tcW w:w="1985" w:type="dxa"/>
            <w:vMerge w:val="restart"/>
            <w:tcBorders>
              <w:right w:val="single" w:sz="8" w:space="0" w:color="auto"/>
            </w:tcBorders>
            <w:shd w:val="clear" w:color="auto" w:fill="auto"/>
            <w:vAlign w:val="center"/>
          </w:tcPr>
          <w:p w14:paraId="2726E686" w14:textId="77777777" w:rsidR="00A52778" w:rsidRPr="00460F9E" w:rsidRDefault="00A52778" w:rsidP="00FC3F8E">
            <w:pPr>
              <w:spacing w:line="0" w:lineRule="atLeast"/>
              <w:jc w:val="center"/>
              <w:rPr>
                <w:rFonts w:eastAsia="Times New Roman" w:cs="Times New Roman"/>
                <w:b/>
                <w:w w:val="93"/>
                <w:highlight w:val="yellow"/>
              </w:rPr>
            </w:pPr>
            <w:r w:rsidRPr="00460F9E">
              <w:rPr>
                <w:rFonts w:eastAsia="Times New Roman" w:cs="Times New Roman"/>
                <w:w w:val="93"/>
              </w:rPr>
              <w:t xml:space="preserve">Tüm              </w:t>
            </w:r>
            <w:r w:rsidRPr="00460F9E">
              <w:rPr>
                <w:rFonts w:eastAsia="Times New Roman" w:cs="Times New Roman"/>
                <w:w w:val="99"/>
              </w:rPr>
              <w:t>prosesler</w:t>
            </w:r>
            <w:r w:rsidRPr="00460F9E">
              <w:rPr>
                <w:rFonts w:eastAsia="Times New Roman" w:cs="Times New Roman"/>
                <w:w w:val="93"/>
              </w:rPr>
              <w:t xml:space="preserve"> /kaynaklar</w:t>
            </w:r>
          </w:p>
        </w:tc>
        <w:tc>
          <w:tcPr>
            <w:tcW w:w="1134" w:type="dxa"/>
            <w:vMerge w:val="restart"/>
            <w:tcBorders>
              <w:right w:val="single" w:sz="8" w:space="0" w:color="auto"/>
            </w:tcBorders>
            <w:shd w:val="clear" w:color="auto" w:fill="auto"/>
            <w:vAlign w:val="center"/>
          </w:tcPr>
          <w:p w14:paraId="1A667913" w14:textId="77777777" w:rsidR="00A52778" w:rsidRPr="00460F9E" w:rsidRDefault="00A52778" w:rsidP="00FC3F8E">
            <w:pPr>
              <w:spacing w:line="228" w:lineRule="exact"/>
              <w:jc w:val="center"/>
              <w:rPr>
                <w:rFonts w:eastAsia="Times New Roman" w:cs="Times New Roman"/>
                <w:b/>
                <w:sz w:val="18"/>
                <w:highlight w:val="yellow"/>
              </w:rPr>
            </w:pPr>
            <w:r w:rsidRPr="00460F9E">
              <w:rPr>
                <w:rFonts w:eastAsia="Times New Roman" w:cs="Times New Roman"/>
                <w:w w:val="99"/>
              </w:rPr>
              <w:t>Herhangi bir baca</w:t>
            </w:r>
          </w:p>
        </w:tc>
        <w:tc>
          <w:tcPr>
            <w:tcW w:w="1984" w:type="dxa"/>
            <w:vMerge w:val="restart"/>
            <w:tcBorders>
              <w:right w:val="single" w:sz="8" w:space="0" w:color="auto"/>
            </w:tcBorders>
            <w:shd w:val="clear" w:color="auto" w:fill="auto"/>
            <w:vAlign w:val="center"/>
          </w:tcPr>
          <w:p w14:paraId="683F91EF"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 xml:space="preserve">EN standardı </w:t>
            </w:r>
          </w:p>
          <w:p w14:paraId="69CE7B54" w14:textId="77777777" w:rsidR="00A52778" w:rsidRPr="00460F9E" w:rsidRDefault="00A52778" w:rsidP="00FC3F8E">
            <w:pPr>
              <w:spacing w:line="0" w:lineRule="atLeast"/>
              <w:jc w:val="center"/>
              <w:rPr>
                <w:rFonts w:eastAsia="Times New Roman" w:cs="Times New Roman"/>
                <w:b/>
                <w:highlight w:val="yellow"/>
              </w:rPr>
            </w:pPr>
            <w:r w:rsidRPr="00460F9E">
              <w:rPr>
                <w:rFonts w:eastAsia="Times New Roman" w:cs="Times New Roman"/>
                <w:w w:val="99"/>
              </w:rPr>
              <w:t>mevcut değil</w:t>
            </w:r>
          </w:p>
        </w:tc>
        <w:tc>
          <w:tcPr>
            <w:tcW w:w="1276" w:type="dxa"/>
            <w:vMerge w:val="restart"/>
            <w:tcBorders>
              <w:right w:val="single" w:sz="8" w:space="0" w:color="auto"/>
            </w:tcBorders>
            <w:shd w:val="clear" w:color="auto" w:fill="auto"/>
            <w:vAlign w:val="center"/>
          </w:tcPr>
          <w:p w14:paraId="315E28DF"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Her 6 ayda</w:t>
            </w:r>
          </w:p>
          <w:p w14:paraId="0452C74F"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1 kere</w:t>
            </w:r>
          </w:p>
          <w:p w14:paraId="76B4E26F" w14:textId="77777777" w:rsidR="00A52778" w:rsidRPr="00460F9E" w:rsidRDefault="00A52778" w:rsidP="00FC3F8E">
            <w:pPr>
              <w:spacing w:line="236" w:lineRule="exact"/>
              <w:jc w:val="center"/>
              <w:rPr>
                <w:rFonts w:eastAsia="Times New Roman" w:cs="Times New Roman"/>
                <w:b/>
              </w:rPr>
            </w:pPr>
            <w:r w:rsidRPr="00460F9E">
              <w:rPr>
                <w:rFonts w:eastAsia="Times New Roman" w:cs="Times New Roman"/>
                <w:w w:val="92"/>
              </w:rPr>
              <w:t>(</w:t>
            </w:r>
            <w:r w:rsidRPr="00460F9E">
              <w:rPr>
                <w:rFonts w:eastAsia="Times New Roman" w:cs="Times New Roman"/>
                <w:w w:val="92"/>
                <w:sz w:val="25"/>
                <w:vertAlign w:val="superscript"/>
              </w:rPr>
              <w:t>3</w:t>
            </w:r>
            <w:r w:rsidRPr="00460F9E">
              <w:rPr>
                <w:rFonts w:eastAsia="Times New Roman" w:cs="Times New Roman"/>
                <w:w w:val="92"/>
              </w:rPr>
              <w:t>)</w:t>
            </w:r>
          </w:p>
        </w:tc>
        <w:tc>
          <w:tcPr>
            <w:tcW w:w="1276" w:type="dxa"/>
            <w:tcBorders>
              <w:right w:val="single" w:sz="8" w:space="0" w:color="auto"/>
            </w:tcBorders>
            <w:shd w:val="clear" w:color="auto" w:fill="auto"/>
            <w:vAlign w:val="bottom"/>
          </w:tcPr>
          <w:p w14:paraId="145FBA22" w14:textId="77777777" w:rsidR="00A52778" w:rsidRPr="00460F9E" w:rsidRDefault="00A52778" w:rsidP="00FC3F8E">
            <w:pPr>
              <w:spacing w:line="0" w:lineRule="atLeast"/>
              <w:rPr>
                <w:rFonts w:eastAsia="Times New Roman" w:cs="Times New Roman"/>
                <w:b/>
                <w:sz w:val="18"/>
              </w:rPr>
            </w:pPr>
          </w:p>
        </w:tc>
      </w:tr>
      <w:tr w:rsidR="00A52778" w:rsidRPr="00460F9E" w14:paraId="16FD7A7C" w14:textId="77777777" w:rsidTr="00FC3F8E">
        <w:trPr>
          <w:trHeight w:val="343"/>
        </w:trPr>
        <w:tc>
          <w:tcPr>
            <w:tcW w:w="1701" w:type="dxa"/>
            <w:vMerge/>
            <w:tcBorders>
              <w:left w:val="single" w:sz="8" w:space="0" w:color="auto"/>
              <w:bottom w:val="nil"/>
              <w:right w:val="single" w:sz="8" w:space="0" w:color="auto"/>
            </w:tcBorders>
            <w:shd w:val="clear" w:color="auto" w:fill="auto"/>
            <w:vAlign w:val="bottom"/>
          </w:tcPr>
          <w:p w14:paraId="061DE13E" w14:textId="77777777" w:rsidR="00A52778" w:rsidRPr="00460F9E" w:rsidRDefault="00A52778" w:rsidP="00FC3F8E">
            <w:pPr>
              <w:spacing w:line="228" w:lineRule="exact"/>
              <w:jc w:val="center"/>
              <w:rPr>
                <w:rFonts w:eastAsia="Times New Roman" w:cs="Times New Roman"/>
                <w:b/>
                <w:w w:val="99"/>
                <w:highlight w:val="yellow"/>
              </w:rPr>
            </w:pPr>
          </w:p>
        </w:tc>
        <w:tc>
          <w:tcPr>
            <w:tcW w:w="1985" w:type="dxa"/>
            <w:vMerge/>
            <w:tcBorders>
              <w:bottom w:val="nil"/>
              <w:right w:val="single" w:sz="8" w:space="0" w:color="auto"/>
            </w:tcBorders>
            <w:shd w:val="clear" w:color="auto" w:fill="auto"/>
            <w:vAlign w:val="bottom"/>
          </w:tcPr>
          <w:p w14:paraId="4356C5A4" w14:textId="77777777" w:rsidR="00A52778" w:rsidRPr="00460F9E" w:rsidRDefault="00A52778" w:rsidP="00FC3F8E">
            <w:pPr>
              <w:spacing w:line="0" w:lineRule="atLeast"/>
              <w:jc w:val="center"/>
              <w:rPr>
                <w:rFonts w:eastAsia="Times New Roman" w:cs="Times New Roman"/>
                <w:b/>
                <w:sz w:val="9"/>
                <w:highlight w:val="yellow"/>
              </w:rPr>
            </w:pPr>
          </w:p>
        </w:tc>
        <w:tc>
          <w:tcPr>
            <w:tcW w:w="1134" w:type="dxa"/>
            <w:vMerge/>
            <w:tcBorders>
              <w:bottom w:val="nil"/>
              <w:right w:val="single" w:sz="8" w:space="0" w:color="auto"/>
            </w:tcBorders>
            <w:shd w:val="clear" w:color="auto" w:fill="auto"/>
            <w:vAlign w:val="bottom"/>
          </w:tcPr>
          <w:p w14:paraId="72E8EE4E" w14:textId="77777777" w:rsidR="00A52778" w:rsidRPr="00460F9E" w:rsidRDefault="00A52778" w:rsidP="00FC3F8E">
            <w:pPr>
              <w:spacing w:line="228" w:lineRule="exact"/>
              <w:jc w:val="center"/>
              <w:rPr>
                <w:rFonts w:eastAsia="Times New Roman" w:cs="Times New Roman"/>
                <w:b/>
                <w:w w:val="99"/>
                <w:highlight w:val="yellow"/>
              </w:rPr>
            </w:pPr>
          </w:p>
        </w:tc>
        <w:tc>
          <w:tcPr>
            <w:tcW w:w="1984" w:type="dxa"/>
            <w:vMerge/>
            <w:tcBorders>
              <w:bottom w:val="nil"/>
              <w:right w:val="single" w:sz="8" w:space="0" w:color="auto"/>
            </w:tcBorders>
            <w:shd w:val="clear" w:color="auto" w:fill="auto"/>
            <w:vAlign w:val="bottom"/>
          </w:tcPr>
          <w:p w14:paraId="6D0B1C58" w14:textId="77777777" w:rsidR="00A52778" w:rsidRPr="00460F9E" w:rsidRDefault="00A52778" w:rsidP="00FC3F8E">
            <w:pPr>
              <w:spacing w:line="0" w:lineRule="atLeast"/>
              <w:jc w:val="center"/>
              <w:rPr>
                <w:rFonts w:eastAsia="Times New Roman" w:cs="Times New Roman"/>
                <w:b/>
                <w:sz w:val="9"/>
                <w:highlight w:val="yellow"/>
              </w:rPr>
            </w:pPr>
          </w:p>
        </w:tc>
        <w:tc>
          <w:tcPr>
            <w:tcW w:w="1276" w:type="dxa"/>
            <w:vMerge/>
            <w:tcBorders>
              <w:right w:val="single" w:sz="8" w:space="0" w:color="auto"/>
            </w:tcBorders>
            <w:shd w:val="clear" w:color="auto" w:fill="auto"/>
            <w:vAlign w:val="bottom"/>
          </w:tcPr>
          <w:p w14:paraId="5E4B5F77" w14:textId="77777777" w:rsidR="00A52778" w:rsidRPr="00460F9E" w:rsidRDefault="00A52778" w:rsidP="00FC3F8E">
            <w:pPr>
              <w:spacing w:line="236" w:lineRule="exact"/>
              <w:jc w:val="center"/>
              <w:rPr>
                <w:rFonts w:eastAsia="Times New Roman" w:cs="Times New Roman"/>
                <w:b/>
              </w:rPr>
            </w:pPr>
          </w:p>
        </w:tc>
        <w:tc>
          <w:tcPr>
            <w:tcW w:w="1276" w:type="dxa"/>
            <w:tcBorders>
              <w:bottom w:val="nil"/>
              <w:right w:val="single" w:sz="8" w:space="0" w:color="auto"/>
            </w:tcBorders>
            <w:shd w:val="clear" w:color="auto" w:fill="auto"/>
            <w:vAlign w:val="bottom"/>
          </w:tcPr>
          <w:p w14:paraId="0C9A500B" w14:textId="77777777" w:rsidR="00A52778" w:rsidRPr="00460F9E" w:rsidRDefault="002A1746" w:rsidP="00FC3F8E">
            <w:pPr>
              <w:spacing w:line="228" w:lineRule="exact"/>
              <w:jc w:val="center"/>
              <w:rPr>
                <w:rFonts w:eastAsia="Times New Roman" w:cs="Times New Roman"/>
                <w:b/>
              </w:rPr>
            </w:pPr>
            <w:hyperlink w:anchor="page302" w:history="1">
              <w:r w:rsidR="00A52778" w:rsidRPr="00460F9E">
                <w:rPr>
                  <w:rFonts w:cs="Times New Roman"/>
                </w:rPr>
                <w:t xml:space="preserve"> </w:t>
              </w:r>
              <w:r w:rsidR="00A52778" w:rsidRPr="00460F9E">
                <w:rPr>
                  <w:rFonts w:eastAsia="Times New Roman" w:cs="Times New Roman"/>
                </w:rPr>
                <w:t>MET 11</w:t>
              </w:r>
            </w:hyperlink>
          </w:p>
        </w:tc>
      </w:tr>
      <w:tr w:rsidR="00A52778" w:rsidRPr="00460F9E" w14:paraId="1CAF60C0" w14:textId="77777777" w:rsidTr="00FC3F8E">
        <w:trPr>
          <w:trHeight w:val="115"/>
        </w:trPr>
        <w:tc>
          <w:tcPr>
            <w:tcW w:w="1701" w:type="dxa"/>
            <w:vMerge/>
            <w:tcBorders>
              <w:left w:val="single" w:sz="8" w:space="0" w:color="auto"/>
              <w:right w:val="single" w:sz="8" w:space="0" w:color="auto"/>
            </w:tcBorders>
            <w:shd w:val="clear" w:color="auto" w:fill="auto"/>
            <w:vAlign w:val="bottom"/>
          </w:tcPr>
          <w:p w14:paraId="15509B46"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right w:val="single" w:sz="8" w:space="0" w:color="auto"/>
            </w:tcBorders>
            <w:shd w:val="clear" w:color="auto" w:fill="auto"/>
            <w:vAlign w:val="bottom"/>
          </w:tcPr>
          <w:p w14:paraId="5061970F"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right w:val="single" w:sz="8" w:space="0" w:color="auto"/>
            </w:tcBorders>
            <w:shd w:val="clear" w:color="auto" w:fill="auto"/>
            <w:vAlign w:val="bottom"/>
          </w:tcPr>
          <w:p w14:paraId="4AECF0FE" w14:textId="77777777" w:rsidR="00A52778" w:rsidRPr="00460F9E" w:rsidRDefault="00A52778" w:rsidP="00FC3F8E">
            <w:pPr>
              <w:spacing w:line="0" w:lineRule="atLeast"/>
              <w:rPr>
                <w:rFonts w:eastAsia="Times New Roman" w:cs="Times New Roman"/>
                <w:b/>
                <w:sz w:val="10"/>
                <w:highlight w:val="yellow"/>
              </w:rPr>
            </w:pPr>
          </w:p>
        </w:tc>
        <w:tc>
          <w:tcPr>
            <w:tcW w:w="1984" w:type="dxa"/>
            <w:vMerge/>
            <w:tcBorders>
              <w:right w:val="single" w:sz="8" w:space="0" w:color="auto"/>
            </w:tcBorders>
            <w:shd w:val="clear" w:color="auto" w:fill="auto"/>
            <w:vAlign w:val="bottom"/>
          </w:tcPr>
          <w:p w14:paraId="7EE6123E"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right w:val="single" w:sz="8" w:space="0" w:color="auto"/>
            </w:tcBorders>
            <w:shd w:val="clear" w:color="auto" w:fill="auto"/>
            <w:vAlign w:val="bottom"/>
          </w:tcPr>
          <w:p w14:paraId="5B56C9C9" w14:textId="77777777" w:rsidR="00A52778" w:rsidRPr="00460F9E" w:rsidRDefault="00A52778" w:rsidP="00FC3F8E">
            <w:pPr>
              <w:spacing w:line="236" w:lineRule="exact"/>
              <w:jc w:val="center"/>
              <w:rPr>
                <w:rFonts w:eastAsia="Times New Roman" w:cs="Times New Roman"/>
                <w:b/>
                <w:w w:val="92"/>
              </w:rPr>
            </w:pPr>
          </w:p>
        </w:tc>
        <w:tc>
          <w:tcPr>
            <w:tcW w:w="1276" w:type="dxa"/>
            <w:tcBorders>
              <w:right w:val="single" w:sz="8" w:space="0" w:color="auto"/>
            </w:tcBorders>
            <w:shd w:val="clear" w:color="auto" w:fill="auto"/>
            <w:vAlign w:val="bottom"/>
          </w:tcPr>
          <w:p w14:paraId="2B880833" w14:textId="77777777" w:rsidR="00A52778" w:rsidRPr="00460F9E" w:rsidRDefault="00A52778" w:rsidP="00FC3F8E">
            <w:pPr>
              <w:spacing w:line="0" w:lineRule="atLeast"/>
              <w:rPr>
                <w:rFonts w:eastAsia="Times New Roman" w:cs="Times New Roman"/>
                <w:b/>
                <w:sz w:val="10"/>
              </w:rPr>
            </w:pPr>
          </w:p>
        </w:tc>
      </w:tr>
      <w:tr w:rsidR="00A52778" w:rsidRPr="00460F9E" w14:paraId="1455CBD5" w14:textId="77777777" w:rsidTr="00FC3F8E">
        <w:trPr>
          <w:trHeight w:val="121"/>
        </w:trPr>
        <w:tc>
          <w:tcPr>
            <w:tcW w:w="1701" w:type="dxa"/>
            <w:vMerge/>
            <w:tcBorders>
              <w:left w:val="single" w:sz="8" w:space="0" w:color="auto"/>
              <w:bottom w:val="single" w:sz="8" w:space="0" w:color="auto"/>
              <w:right w:val="single" w:sz="8" w:space="0" w:color="auto"/>
            </w:tcBorders>
            <w:shd w:val="clear" w:color="auto" w:fill="auto"/>
            <w:vAlign w:val="bottom"/>
          </w:tcPr>
          <w:p w14:paraId="0F1F5F86"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bottom w:val="single" w:sz="8" w:space="0" w:color="auto"/>
              <w:right w:val="single" w:sz="8" w:space="0" w:color="auto"/>
            </w:tcBorders>
            <w:shd w:val="clear" w:color="auto" w:fill="auto"/>
            <w:vAlign w:val="bottom"/>
          </w:tcPr>
          <w:p w14:paraId="41A04CE1"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bottom w:val="single" w:sz="8" w:space="0" w:color="auto"/>
              <w:right w:val="single" w:sz="8" w:space="0" w:color="auto"/>
            </w:tcBorders>
            <w:shd w:val="clear" w:color="auto" w:fill="auto"/>
            <w:vAlign w:val="bottom"/>
          </w:tcPr>
          <w:p w14:paraId="3DB22C3B" w14:textId="77777777" w:rsidR="00A52778" w:rsidRPr="00460F9E" w:rsidRDefault="00A52778" w:rsidP="00FC3F8E">
            <w:pPr>
              <w:spacing w:line="0" w:lineRule="atLeast"/>
              <w:rPr>
                <w:rFonts w:eastAsia="Times New Roman" w:cs="Times New Roman"/>
                <w:b/>
                <w:sz w:val="10"/>
                <w:highlight w:val="yellow"/>
              </w:rPr>
            </w:pPr>
          </w:p>
        </w:tc>
        <w:tc>
          <w:tcPr>
            <w:tcW w:w="1984" w:type="dxa"/>
            <w:vMerge/>
            <w:tcBorders>
              <w:bottom w:val="single" w:sz="8" w:space="0" w:color="auto"/>
              <w:right w:val="single" w:sz="8" w:space="0" w:color="auto"/>
            </w:tcBorders>
            <w:shd w:val="clear" w:color="auto" w:fill="auto"/>
            <w:vAlign w:val="bottom"/>
          </w:tcPr>
          <w:p w14:paraId="77579AC3"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bottom w:val="single" w:sz="8" w:space="0" w:color="auto"/>
              <w:right w:val="single" w:sz="8" w:space="0" w:color="auto"/>
            </w:tcBorders>
            <w:shd w:val="clear" w:color="auto" w:fill="auto"/>
            <w:vAlign w:val="bottom"/>
          </w:tcPr>
          <w:p w14:paraId="76D9280B" w14:textId="77777777" w:rsidR="00A52778" w:rsidRPr="00460F9E" w:rsidRDefault="00A52778" w:rsidP="00FC3F8E">
            <w:pPr>
              <w:spacing w:line="0" w:lineRule="atLeast"/>
              <w:rPr>
                <w:rFonts w:eastAsia="Times New Roman" w:cs="Times New Roman"/>
                <w:b/>
                <w:sz w:val="10"/>
              </w:rPr>
            </w:pPr>
          </w:p>
        </w:tc>
        <w:tc>
          <w:tcPr>
            <w:tcW w:w="1276" w:type="dxa"/>
            <w:tcBorders>
              <w:bottom w:val="single" w:sz="8" w:space="0" w:color="auto"/>
              <w:right w:val="single" w:sz="8" w:space="0" w:color="auto"/>
            </w:tcBorders>
            <w:shd w:val="clear" w:color="auto" w:fill="auto"/>
            <w:vAlign w:val="bottom"/>
          </w:tcPr>
          <w:p w14:paraId="03E21BEB" w14:textId="77777777" w:rsidR="00A52778" w:rsidRPr="00460F9E" w:rsidRDefault="00A52778" w:rsidP="00FC3F8E">
            <w:pPr>
              <w:spacing w:line="0" w:lineRule="atLeast"/>
              <w:rPr>
                <w:rFonts w:eastAsia="Times New Roman" w:cs="Times New Roman"/>
                <w:b/>
                <w:sz w:val="10"/>
              </w:rPr>
            </w:pPr>
          </w:p>
        </w:tc>
      </w:tr>
      <w:tr w:rsidR="00A52778" w:rsidRPr="00460F9E" w14:paraId="5BBEF041" w14:textId="77777777" w:rsidTr="00FC3F8E">
        <w:trPr>
          <w:trHeight w:val="214"/>
        </w:trPr>
        <w:tc>
          <w:tcPr>
            <w:tcW w:w="1701" w:type="dxa"/>
            <w:vMerge w:val="restart"/>
            <w:tcBorders>
              <w:left w:val="single" w:sz="8" w:space="0" w:color="auto"/>
              <w:right w:val="single" w:sz="8" w:space="0" w:color="auto"/>
            </w:tcBorders>
            <w:shd w:val="clear" w:color="auto" w:fill="auto"/>
            <w:vAlign w:val="center"/>
          </w:tcPr>
          <w:p w14:paraId="3A796C77" w14:textId="77777777" w:rsidR="00A52778" w:rsidRPr="00460F9E" w:rsidRDefault="00A52778" w:rsidP="00FC3F8E">
            <w:pPr>
              <w:spacing w:line="0" w:lineRule="atLeast"/>
              <w:jc w:val="center"/>
              <w:rPr>
                <w:rFonts w:eastAsia="Times New Roman" w:cs="Times New Roman"/>
                <w:b/>
                <w:sz w:val="18"/>
                <w:highlight w:val="yellow"/>
              </w:rPr>
            </w:pPr>
            <w:r w:rsidRPr="00460F9E">
              <w:rPr>
                <w:rFonts w:eastAsia="Times New Roman" w:cs="Times New Roman"/>
                <w:w w:val="98"/>
              </w:rPr>
              <w:t>Formaldehid</w:t>
            </w:r>
          </w:p>
        </w:tc>
        <w:tc>
          <w:tcPr>
            <w:tcW w:w="1985" w:type="dxa"/>
            <w:vMerge w:val="restart"/>
            <w:tcBorders>
              <w:right w:val="single" w:sz="8" w:space="0" w:color="auto"/>
            </w:tcBorders>
            <w:shd w:val="clear" w:color="auto" w:fill="auto"/>
            <w:vAlign w:val="center"/>
          </w:tcPr>
          <w:p w14:paraId="5F42F303" w14:textId="77777777" w:rsidR="00A52778" w:rsidRPr="00460F9E" w:rsidRDefault="00A52778" w:rsidP="00FC3F8E">
            <w:pPr>
              <w:spacing w:line="0" w:lineRule="atLeast"/>
              <w:jc w:val="center"/>
              <w:rPr>
                <w:rFonts w:eastAsia="Times New Roman" w:cs="Times New Roman"/>
                <w:b/>
                <w:w w:val="93"/>
                <w:highlight w:val="yellow"/>
              </w:rPr>
            </w:pPr>
            <w:r w:rsidRPr="00460F9E">
              <w:rPr>
                <w:rFonts w:eastAsia="Times New Roman" w:cs="Times New Roman"/>
                <w:w w:val="93"/>
              </w:rPr>
              <w:t xml:space="preserve">Tüm              </w:t>
            </w:r>
            <w:r w:rsidRPr="00460F9E">
              <w:rPr>
                <w:rFonts w:eastAsia="Times New Roman" w:cs="Times New Roman"/>
                <w:w w:val="99"/>
              </w:rPr>
              <w:t>prosesler</w:t>
            </w:r>
            <w:r w:rsidRPr="00460F9E">
              <w:rPr>
                <w:rFonts w:eastAsia="Times New Roman" w:cs="Times New Roman"/>
                <w:w w:val="93"/>
              </w:rPr>
              <w:t xml:space="preserve"> /kaynaklar</w:t>
            </w:r>
          </w:p>
        </w:tc>
        <w:tc>
          <w:tcPr>
            <w:tcW w:w="1134" w:type="dxa"/>
            <w:vMerge w:val="restart"/>
            <w:tcBorders>
              <w:right w:val="single" w:sz="8" w:space="0" w:color="auto"/>
            </w:tcBorders>
            <w:shd w:val="clear" w:color="auto" w:fill="auto"/>
            <w:vAlign w:val="center"/>
          </w:tcPr>
          <w:p w14:paraId="26719581" w14:textId="77777777" w:rsidR="00A52778" w:rsidRPr="00460F9E" w:rsidRDefault="00A52778" w:rsidP="00FC3F8E">
            <w:pPr>
              <w:spacing w:line="0" w:lineRule="atLeast"/>
              <w:jc w:val="center"/>
              <w:rPr>
                <w:rFonts w:eastAsia="Times New Roman" w:cs="Times New Roman"/>
                <w:b/>
                <w:sz w:val="18"/>
                <w:highlight w:val="yellow"/>
              </w:rPr>
            </w:pPr>
            <w:r w:rsidRPr="00460F9E">
              <w:rPr>
                <w:rFonts w:eastAsia="Times New Roman" w:cs="Times New Roman"/>
                <w:w w:val="99"/>
              </w:rPr>
              <w:t>Herhangi bir baca</w:t>
            </w:r>
          </w:p>
        </w:tc>
        <w:tc>
          <w:tcPr>
            <w:tcW w:w="1984" w:type="dxa"/>
            <w:vMerge w:val="restart"/>
            <w:tcBorders>
              <w:right w:val="single" w:sz="8" w:space="0" w:color="auto"/>
            </w:tcBorders>
            <w:shd w:val="clear" w:color="auto" w:fill="auto"/>
            <w:vAlign w:val="center"/>
          </w:tcPr>
          <w:p w14:paraId="6E81406A"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 xml:space="preserve">EN standardı geliştirilme </w:t>
            </w:r>
          </w:p>
          <w:p w14:paraId="6F911871" w14:textId="77777777" w:rsidR="00A52778" w:rsidRPr="00460F9E" w:rsidRDefault="00A52778" w:rsidP="00FC3F8E">
            <w:pPr>
              <w:spacing w:line="0" w:lineRule="atLeast"/>
              <w:jc w:val="center"/>
              <w:rPr>
                <w:rFonts w:eastAsia="Times New Roman" w:cs="Times New Roman"/>
                <w:b/>
                <w:w w:val="99"/>
                <w:highlight w:val="yellow"/>
              </w:rPr>
            </w:pPr>
            <w:r w:rsidRPr="00460F9E">
              <w:rPr>
                <w:rFonts w:eastAsia="Times New Roman" w:cs="Times New Roman"/>
                <w:w w:val="99"/>
              </w:rPr>
              <w:t>aşamasında</w:t>
            </w:r>
          </w:p>
        </w:tc>
        <w:tc>
          <w:tcPr>
            <w:tcW w:w="1276" w:type="dxa"/>
            <w:vMerge w:val="restart"/>
            <w:tcBorders>
              <w:right w:val="single" w:sz="8" w:space="0" w:color="auto"/>
            </w:tcBorders>
            <w:shd w:val="clear" w:color="auto" w:fill="auto"/>
            <w:vAlign w:val="center"/>
          </w:tcPr>
          <w:p w14:paraId="2C63A3A8"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Her 6 ayda</w:t>
            </w:r>
          </w:p>
          <w:p w14:paraId="058A4092"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1 kere</w:t>
            </w:r>
          </w:p>
          <w:p w14:paraId="23DBE108" w14:textId="77777777" w:rsidR="00A52778" w:rsidRPr="00460F9E" w:rsidRDefault="00A52778" w:rsidP="00FC3F8E">
            <w:pPr>
              <w:spacing w:line="236" w:lineRule="exact"/>
              <w:jc w:val="center"/>
              <w:rPr>
                <w:rFonts w:eastAsia="Times New Roman" w:cs="Times New Roman"/>
                <w:b/>
              </w:rPr>
            </w:pPr>
            <w:r w:rsidRPr="00460F9E">
              <w:rPr>
                <w:rFonts w:eastAsia="Times New Roman" w:cs="Times New Roman"/>
                <w:w w:val="92"/>
              </w:rPr>
              <w:t>(</w:t>
            </w:r>
            <w:r w:rsidRPr="00460F9E">
              <w:rPr>
                <w:rFonts w:eastAsia="Times New Roman" w:cs="Times New Roman"/>
                <w:w w:val="92"/>
                <w:sz w:val="25"/>
                <w:vertAlign w:val="superscript"/>
              </w:rPr>
              <w:t>3</w:t>
            </w:r>
            <w:r w:rsidRPr="00460F9E">
              <w:rPr>
                <w:rFonts w:eastAsia="Times New Roman" w:cs="Times New Roman"/>
                <w:w w:val="92"/>
              </w:rPr>
              <w:t>)</w:t>
            </w:r>
          </w:p>
        </w:tc>
        <w:tc>
          <w:tcPr>
            <w:tcW w:w="1276" w:type="dxa"/>
            <w:tcBorders>
              <w:right w:val="single" w:sz="8" w:space="0" w:color="auto"/>
            </w:tcBorders>
            <w:shd w:val="clear" w:color="auto" w:fill="auto"/>
            <w:vAlign w:val="bottom"/>
          </w:tcPr>
          <w:p w14:paraId="4554A807" w14:textId="77777777" w:rsidR="00A52778" w:rsidRPr="00460F9E" w:rsidRDefault="00A52778" w:rsidP="00FC3F8E">
            <w:pPr>
              <w:spacing w:line="0" w:lineRule="atLeast"/>
              <w:rPr>
                <w:rFonts w:eastAsia="Times New Roman" w:cs="Times New Roman"/>
                <w:b/>
                <w:sz w:val="18"/>
              </w:rPr>
            </w:pPr>
          </w:p>
        </w:tc>
      </w:tr>
      <w:tr w:rsidR="00A52778" w:rsidRPr="00460F9E" w14:paraId="03B1DCAD" w14:textId="77777777" w:rsidTr="00FC3F8E">
        <w:trPr>
          <w:trHeight w:val="345"/>
        </w:trPr>
        <w:tc>
          <w:tcPr>
            <w:tcW w:w="1701" w:type="dxa"/>
            <w:vMerge/>
            <w:tcBorders>
              <w:left w:val="single" w:sz="8" w:space="0" w:color="auto"/>
              <w:bottom w:val="nil"/>
              <w:right w:val="single" w:sz="8" w:space="0" w:color="auto"/>
            </w:tcBorders>
            <w:shd w:val="clear" w:color="auto" w:fill="auto"/>
            <w:vAlign w:val="bottom"/>
          </w:tcPr>
          <w:p w14:paraId="4713D40A" w14:textId="77777777" w:rsidR="00A52778" w:rsidRPr="00460F9E" w:rsidRDefault="00A52778" w:rsidP="00FC3F8E">
            <w:pPr>
              <w:spacing w:line="0" w:lineRule="atLeast"/>
              <w:jc w:val="center"/>
              <w:rPr>
                <w:rFonts w:eastAsia="Times New Roman" w:cs="Times New Roman"/>
                <w:b/>
                <w:w w:val="98"/>
                <w:highlight w:val="yellow"/>
              </w:rPr>
            </w:pPr>
          </w:p>
        </w:tc>
        <w:tc>
          <w:tcPr>
            <w:tcW w:w="1985" w:type="dxa"/>
            <w:vMerge/>
            <w:tcBorders>
              <w:bottom w:val="nil"/>
              <w:right w:val="single" w:sz="8" w:space="0" w:color="auto"/>
            </w:tcBorders>
            <w:shd w:val="clear" w:color="auto" w:fill="auto"/>
            <w:vAlign w:val="bottom"/>
          </w:tcPr>
          <w:p w14:paraId="5EBA6916" w14:textId="77777777" w:rsidR="00A52778" w:rsidRPr="00460F9E" w:rsidRDefault="00A52778" w:rsidP="00FC3F8E">
            <w:pPr>
              <w:spacing w:line="0" w:lineRule="atLeast"/>
              <w:jc w:val="center"/>
              <w:rPr>
                <w:rFonts w:eastAsia="Times New Roman" w:cs="Times New Roman"/>
                <w:b/>
                <w:sz w:val="10"/>
                <w:highlight w:val="yellow"/>
              </w:rPr>
            </w:pPr>
          </w:p>
        </w:tc>
        <w:tc>
          <w:tcPr>
            <w:tcW w:w="1134" w:type="dxa"/>
            <w:vMerge/>
            <w:tcBorders>
              <w:bottom w:val="nil"/>
              <w:right w:val="single" w:sz="8" w:space="0" w:color="auto"/>
            </w:tcBorders>
            <w:shd w:val="clear" w:color="auto" w:fill="auto"/>
            <w:vAlign w:val="bottom"/>
          </w:tcPr>
          <w:p w14:paraId="305E4896" w14:textId="77777777" w:rsidR="00A52778" w:rsidRPr="00460F9E" w:rsidRDefault="00A52778" w:rsidP="00FC3F8E">
            <w:pPr>
              <w:spacing w:line="0" w:lineRule="atLeast"/>
              <w:jc w:val="center"/>
              <w:rPr>
                <w:rFonts w:eastAsia="Times New Roman" w:cs="Times New Roman"/>
                <w:b/>
                <w:w w:val="99"/>
                <w:highlight w:val="yellow"/>
              </w:rPr>
            </w:pPr>
          </w:p>
        </w:tc>
        <w:tc>
          <w:tcPr>
            <w:tcW w:w="1984" w:type="dxa"/>
            <w:vMerge/>
            <w:tcBorders>
              <w:bottom w:val="nil"/>
              <w:right w:val="single" w:sz="8" w:space="0" w:color="auto"/>
            </w:tcBorders>
            <w:shd w:val="clear" w:color="auto" w:fill="auto"/>
            <w:vAlign w:val="bottom"/>
          </w:tcPr>
          <w:p w14:paraId="2C1362EF" w14:textId="77777777" w:rsidR="00A52778" w:rsidRPr="00460F9E" w:rsidRDefault="00A52778" w:rsidP="00FC3F8E">
            <w:pPr>
              <w:spacing w:line="0" w:lineRule="atLeast"/>
              <w:jc w:val="center"/>
              <w:rPr>
                <w:rFonts w:eastAsia="Times New Roman" w:cs="Times New Roman"/>
                <w:b/>
                <w:sz w:val="10"/>
                <w:highlight w:val="yellow"/>
              </w:rPr>
            </w:pPr>
          </w:p>
        </w:tc>
        <w:tc>
          <w:tcPr>
            <w:tcW w:w="1276" w:type="dxa"/>
            <w:vMerge/>
            <w:tcBorders>
              <w:right w:val="single" w:sz="8" w:space="0" w:color="auto"/>
            </w:tcBorders>
            <w:shd w:val="clear" w:color="auto" w:fill="auto"/>
            <w:vAlign w:val="bottom"/>
          </w:tcPr>
          <w:p w14:paraId="7EC72664" w14:textId="77777777" w:rsidR="00A52778" w:rsidRPr="00460F9E" w:rsidRDefault="00A52778" w:rsidP="00FC3F8E">
            <w:pPr>
              <w:spacing w:line="236" w:lineRule="exact"/>
              <w:jc w:val="center"/>
              <w:rPr>
                <w:rFonts w:eastAsia="Times New Roman" w:cs="Times New Roman"/>
                <w:b/>
              </w:rPr>
            </w:pPr>
          </w:p>
        </w:tc>
        <w:tc>
          <w:tcPr>
            <w:tcW w:w="1276" w:type="dxa"/>
            <w:tcBorders>
              <w:bottom w:val="nil"/>
              <w:right w:val="single" w:sz="8" w:space="0" w:color="auto"/>
            </w:tcBorders>
            <w:shd w:val="clear" w:color="auto" w:fill="auto"/>
            <w:vAlign w:val="bottom"/>
          </w:tcPr>
          <w:p w14:paraId="3918B3AE" w14:textId="77777777" w:rsidR="00A52778" w:rsidRPr="00460F9E" w:rsidRDefault="002A1746" w:rsidP="00FC3F8E">
            <w:pPr>
              <w:spacing w:line="0" w:lineRule="atLeast"/>
              <w:jc w:val="center"/>
              <w:rPr>
                <w:rFonts w:eastAsia="Times New Roman" w:cs="Times New Roman"/>
                <w:b/>
              </w:rPr>
            </w:pPr>
            <w:hyperlink w:anchor="page302" w:history="1">
              <w:r w:rsidR="00A52778" w:rsidRPr="00460F9E">
                <w:rPr>
                  <w:rFonts w:eastAsia="Times New Roman" w:cs="Times New Roman"/>
                </w:rPr>
                <w:t>MET 11</w:t>
              </w:r>
            </w:hyperlink>
          </w:p>
        </w:tc>
      </w:tr>
      <w:tr w:rsidR="00A52778" w:rsidRPr="00460F9E" w14:paraId="323E7577" w14:textId="77777777" w:rsidTr="00FC3F8E">
        <w:trPr>
          <w:trHeight w:val="115"/>
        </w:trPr>
        <w:tc>
          <w:tcPr>
            <w:tcW w:w="1701" w:type="dxa"/>
            <w:vMerge/>
            <w:tcBorders>
              <w:left w:val="single" w:sz="8" w:space="0" w:color="auto"/>
              <w:right w:val="single" w:sz="8" w:space="0" w:color="auto"/>
            </w:tcBorders>
            <w:shd w:val="clear" w:color="auto" w:fill="auto"/>
            <w:vAlign w:val="bottom"/>
          </w:tcPr>
          <w:p w14:paraId="596B90BE"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right w:val="single" w:sz="8" w:space="0" w:color="auto"/>
            </w:tcBorders>
            <w:shd w:val="clear" w:color="auto" w:fill="auto"/>
            <w:vAlign w:val="bottom"/>
          </w:tcPr>
          <w:p w14:paraId="0E9CB633"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right w:val="single" w:sz="8" w:space="0" w:color="auto"/>
            </w:tcBorders>
            <w:shd w:val="clear" w:color="auto" w:fill="auto"/>
            <w:vAlign w:val="bottom"/>
          </w:tcPr>
          <w:p w14:paraId="2D066898" w14:textId="77777777" w:rsidR="00A52778" w:rsidRPr="00460F9E" w:rsidRDefault="00A52778" w:rsidP="00FC3F8E">
            <w:pPr>
              <w:spacing w:line="0" w:lineRule="atLeast"/>
              <w:rPr>
                <w:rFonts w:eastAsia="Times New Roman" w:cs="Times New Roman"/>
                <w:b/>
                <w:sz w:val="10"/>
                <w:highlight w:val="yellow"/>
              </w:rPr>
            </w:pPr>
          </w:p>
        </w:tc>
        <w:tc>
          <w:tcPr>
            <w:tcW w:w="1984" w:type="dxa"/>
            <w:vMerge/>
            <w:tcBorders>
              <w:right w:val="single" w:sz="8" w:space="0" w:color="auto"/>
            </w:tcBorders>
            <w:shd w:val="clear" w:color="auto" w:fill="auto"/>
            <w:vAlign w:val="bottom"/>
          </w:tcPr>
          <w:p w14:paraId="69E74D2F"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right w:val="single" w:sz="8" w:space="0" w:color="auto"/>
            </w:tcBorders>
            <w:shd w:val="clear" w:color="auto" w:fill="auto"/>
            <w:vAlign w:val="bottom"/>
          </w:tcPr>
          <w:p w14:paraId="6988E63A" w14:textId="77777777" w:rsidR="00A52778" w:rsidRPr="00460F9E" w:rsidRDefault="00A52778" w:rsidP="00FC3F8E">
            <w:pPr>
              <w:spacing w:line="236" w:lineRule="exact"/>
              <w:jc w:val="center"/>
              <w:rPr>
                <w:rFonts w:eastAsia="Times New Roman" w:cs="Times New Roman"/>
                <w:b/>
                <w:w w:val="92"/>
              </w:rPr>
            </w:pPr>
          </w:p>
        </w:tc>
        <w:tc>
          <w:tcPr>
            <w:tcW w:w="1276" w:type="dxa"/>
            <w:tcBorders>
              <w:right w:val="single" w:sz="8" w:space="0" w:color="auto"/>
            </w:tcBorders>
            <w:shd w:val="clear" w:color="auto" w:fill="auto"/>
            <w:vAlign w:val="bottom"/>
          </w:tcPr>
          <w:p w14:paraId="43F53D53" w14:textId="77777777" w:rsidR="00A52778" w:rsidRPr="00460F9E" w:rsidRDefault="00A52778" w:rsidP="00FC3F8E">
            <w:pPr>
              <w:spacing w:line="0" w:lineRule="atLeast"/>
              <w:rPr>
                <w:rFonts w:eastAsia="Times New Roman" w:cs="Times New Roman"/>
                <w:b/>
                <w:sz w:val="10"/>
              </w:rPr>
            </w:pPr>
          </w:p>
        </w:tc>
      </w:tr>
      <w:tr w:rsidR="00A52778" w:rsidRPr="00460F9E" w14:paraId="189148B5" w14:textId="77777777" w:rsidTr="00FC3F8E">
        <w:trPr>
          <w:trHeight w:val="121"/>
        </w:trPr>
        <w:tc>
          <w:tcPr>
            <w:tcW w:w="1701" w:type="dxa"/>
            <w:vMerge/>
            <w:tcBorders>
              <w:left w:val="single" w:sz="8" w:space="0" w:color="auto"/>
              <w:bottom w:val="single" w:sz="8" w:space="0" w:color="auto"/>
              <w:right w:val="single" w:sz="8" w:space="0" w:color="auto"/>
            </w:tcBorders>
            <w:shd w:val="clear" w:color="auto" w:fill="auto"/>
            <w:vAlign w:val="bottom"/>
          </w:tcPr>
          <w:p w14:paraId="212D27AE"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bottom w:val="single" w:sz="8" w:space="0" w:color="auto"/>
              <w:right w:val="single" w:sz="8" w:space="0" w:color="auto"/>
            </w:tcBorders>
            <w:shd w:val="clear" w:color="auto" w:fill="auto"/>
            <w:vAlign w:val="bottom"/>
          </w:tcPr>
          <w:p w14:paraId="5C5802B2"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bottom w:val="single" w:sz="8" w:space="0" w:color="auto"/>
              <w:right w:val="single" w:sz="8" w:space="0" w:color="auto"/>
            </w:tcBorders>
            <w:shd w:val="clear" w:color="auto" w:fill="auto"/>
            <w:vAlign w:val="bottom"/>
          </w:tcPr>
          <w:p w14:paraId="376C4141" w14:textId="77777777" w:rsidR="00A52778" w:rsidRPr="00460F9E" w:rsidRDefault="00A52778" w:rsidP="00FC3F8E">
            <w:pPr>
              <w:spacing w:line="0" w:lineRule="atLeast"/>
              <w:rPr>
                <w:rFonts w:eastAsia="Times New Roman" w:cs="Times New Roman"/>
                <w:b/>
                <w:sz w:val="10"/>
                <w:highlight w:val="yellow"/>
              </w:rPr>
            </w:pPr>
          </w:p>
        </w:tc>
        <w:tc>
          <w:tcPr>
            <w:tcW w:w="1984" w:type="dxa"/>
            <w:vMerge/>
            <w:tcBorders>
              <w:bottom w:val="single" w:sz="8" w:space="0" w:color="auto"/>
              <w:right w:val="single" w:sz="8" w:space="0" w:color="auto"/>
            </w:tcBorders>
            <w:shd w:val="clear" w:color="auto" w:fill="auto"/>
            <w:vAlign w:val="bottom"/>
          </w:tcPr>
          <w:p w14:paraId="4F10253E"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bottom w:val="single" w:sz="8" w:space="0" w:color="auto"/>
              <w:right w:val="single" w:sz="8" w:space="0" w:color="auto"/>
            </w:tcBorders>
            <w:shd w:val="clear" w:color="auto" w:fill="auto"/>
            <w:vAlign w:val="bottom"/>
          </w:tcPr>
          <w:p w14:paraId="39719211" w14:textId="77777777" w:rsidR="00A52778" w:rsidRPr="00460F9E" w:rsidRDefault="00A52778" w:rsidP="00FC3F8E">
            <w:pPr>
              <w:spacing w:line="0" w:lineRule="atLeast"/>
              <w:rPr>
                <w:rFonts w:eastAsia="Times New Roman" w:cs="Times New Roman"/>
                <w:b/>
                <w:sz w:val="10"/>
              </w:rPr>
            </w:pPr>
          </w:p>
        </w:tc>
        <w:tc>
          <w:tcPr>
            <w:tcW w:w="1276" w:type="dxa"/>
            <w:tcBorders>
              <w:bottom w:val="single" w:sz="8" w:space="0" w:color="auto"/>
              <w:right w:val="single" w:sz="8" w:space="0" w:color="auto"/>
            </w:tcBorders>
            <w:shd w:val="clear" w:color="auto" w:fill="auto"/>
            <w:vAlign w:val="bottom"/>
          </w:tcPr>
          <w:p w14:paraId="54FD6825" w14:textId="77777777" w:rsidR="00A52778" w:rsidRPr="00460F9E" w:rsidRDefault="00A52778" w:rsidP="00FC3F8E">
            <w:pPr>
              <w:spacing w:line="0" w:lineRule="atLeast"/>
              <w:rPr>
                <w:rFonts w:eastAsia="Times New Roman" w:cs="Times New Roman"/>
                <w:b/>
                <w:sz w:val="10"/>
              </w:rPr>
            </w:pPr>
          </w:p>
        </w:tc>
      </w:tr>
      <w:tr w:rsidR="00A52778" w:rsidRPr="00460F9E" w14:paraId="273B562B" w14:textId="77777777" w:rsidTr="00FC3F8E">
        <w:trPr>
          <w:trHeight w:val="214"/>
        </w:trPr>
        <w:tc>
          <w:tcPr>
            <w:tcW w:w="1701" w:type="dxa"/>
            <w:vMerge w:val="restart"/>
            <w:tcBorders>
              <w:left w:val="single" w:sz="8" w:space="0" w:color="auto"/>
              <w:right w:val="single" w:sz="8" w:space="0" w:color="auto"/>
            </w:tcBorders>
            <w:shd w:val="clear" w:color="auto" w:fill="auto"/>
            <w:vAlign w:val="center"/>
          </w:tcPr>
          <w:p w14:paraId="189F057F" w14:textId="77777777" w:rsidR="00A52778" w:rsidRPr="00460F9E" w:rsidRDefault="00A52778" w:rsidP="00FC3F8E">
            <w:pPr>
              <w:spacing w:line="0" w:lineRule="atLeast"/>
              <w:jc w:val="center"/>
              <w:rPr>
                <w:rFonts w:eastAsia="Times New Roman" w:cs="Times New Roman"/>
                <w:b/>
                <w:sz w:val="18"/>
                <w:highlight w:val="yellow"/>
              </w:rPr>
            </w:pPr>
            <w:r w:rsidRPr="00460F9E">
              <w:rPr>
                <w:rFonts w:eastAsia="Times New Roman" w:cs="Times New Roman"/>
                <w:w w:val="99"/>
              </w:rPr>
              <w:t>Gaz halindeki klorürler</w:t>
            </w:r>
          </w:p>
        </w:tc>
        <w:tc>
          <w:tcPr>
            <w:tcW w:w="1985" w:type="dxa"/>
            <w:vMerge w:val="restart"/>
            <w:tcBorders>
              <w:right w:val="single" w:sz="8" w:space="0" w:color="auto"/>
            </w:tcBorders>
            <w:shd w:val="clear" w:color="auto" w:fill="auto"/>
            <w:vAlign w:val="center"/>
          </w:tcPr>
          <w:p w14:paraId="27A2A664" w14:textId="77777777" w:rsidR="00A52778" w:rsidRPr="00460F9E" w:rsidRDefault="00A52778" w:rsidP="00FC3F8E">
            <w:pPr>
              <w:spacing w:line="0" w:lineRule="atLeast"/>
              <w:jc w:val="center"/>
              <w:rPr>
                <w:rFonts w:eastAsia="Times New Roman" w:cs="Times New Roman"/>
                <w:b/>
                <w:w w:val="93"/>
                <w:highlight w:val="yellow"/>
              </w:rPr>
            </w:pPr>
            <w:r w:rsidRPr="00460F9E">
              <w:rPr>
                <w:rFonts w:eastAsia="Times New Roman" w:cs="Times New Roman"/>
                <w:w w:val="93"/>
              </w:rPr>
              <w:t xml:space="preserve">Tüm              </w:t>
            </w:r>
            <w:r w:rsidRPr="00460F9E">
              <w:rPr>
                <w:rFonts w:eastAsia="Times New Roman" w:cs="Times New Roman"/>
                <w:w w:val="99"/>
              </w:rPr>
              <w:t>prosesler</w:t>
            </w:r>
            <w:r w:rsidRPr="00460F9E">
              <w:rPr>
                <w:rFonts w:eastAsia="Times New Roman" w:cs="Times New Roman"/>
                <w:w w:val="93"/>
              </w:rPr>
              <w:t xml:space="preserve"> /kaynaklar</w:t>
            </w:r>
          </w:p>
        </w:tc>
        <w:tc>
          <w:tcPr>
            <w:tcW w:w="1134" w:type="dxa"/>
            <w:vMerge w:val="restart"/>
            <w:tcBorders>
              <w:right w:val="single" w:sz="8" w:space="0" w:color="auto"/>
            </w:tcBorders>
            <w:shd w:val="clear" w:color="auto" w:fill="auto"/>
            <w:vAlign w:val="center"/>
          </w:tcPr>
          <w:p w14:paraId="25D60839" w14:textId="77777777" w:rsidR="00A52778" w:rsidRPr="00460F9E" w:rsidRDefault="00A52778" w:rsidP="00FC3F8E">
            <w:pPr>
              <w:spacing w:line="0" w:lineRule="atLeast"/>
              <w:jc w:val="center"/>
              <w:rPr>
                <w:rFonts w:eastAsia="Times New Roman" w:cs="Times New Roman"/>
                <w:b/>
                <w:sz w:val="18"/>
                <w:highlight w:val="yellow"/>
              </w:rPr>
            </w:pPr>
            <w:r w:rsidRPr="00460F9E">
              <w:rPr>
                <w:rFonts w:eastAsia="Times New Roman" w:cs="Times New Roman"/>
                <w:w w:val="99"/>
              </w:rPr>
              <w:t>Herhangi bir baca</w:t>
            </w:r>
          </w:p>
        </w:tc>
        <w:tc>
          <w:tcPr>
            <w:tcW w:w="1984" w:type="dxa"/>
            <w:tcBorders>
              <w:right w:val="single" w:sz="8" w:space="0" w:color="auto"/>
            </w:tcBorders>
            <w:shd w:val="clear" w:color="auto" w:fill="auto"/>
            <w:vAlign w:val="bottom"/>
          </w:tcPr>
          <w:p w14:paraId="1F062789" w14:textId="77777777" w:rsidR="00A52778" w:rsidRPr="00460F9E" w:rsidRDefault="00A52778" w:rsidP="00FC3F8E">
            <w:pPr>
              <w:spacing w:line="0" w:lineRule="atLeast"/>
              <w:rPr>
                <w:rFonts w:eastAsia="Times New Roman" w:cs="Times New Roman"/>
                <w:b/>
                <w:sz w:val="18"/>
                <w:highlight w:val="yellow"/>
              </w:rPr>
            </w:pPr>
          </w:p>
        </w:tc>
        <w:tc>
          <w:tcPr>
            <w:tcW w:w="1276" w:type="dxa"/>
            <w:vMerge w:val="restart"/>
            <w:tcBorders>
              <w:right w:val="single" w:sz="8" w:space="0" w:color="auto"/>
            </w:tcBorders>
            <w:shd w:val="clear" w:color="auto" w:fill="auto"/>
            <w:vAlign w:val="center"/>
          </w:tcPr>
          <w:p w14:paraId="4A27686B" w14:textId="77777777" w:rsidR="00A52778" w:rsidRPr="00460F9E" w:rsidRDefault="00A52778" w:rsidP="00FC3F8E">
            <w:pPr>
              <w:spacing w:line="234" w:lineRule="exact"/>
              <w:jc w:val="center"/>
              <w:rPr>
                <w:rFonts w:eastAsia="Times New Roman" w:cs="Times New Roman"/>
                <w:b/>
              </w:rPr>
            </w:pPr>
            <w:r w:rsidRPr="00460F9E">
              <w:rPr>
                <w:rFonts w:eastAsia="Times New Roman" w:cs="Times New Roman"/>
              </w:rPr>
              <w:t xml:space="preserve">Her yıl                        1 kere              </w:t>
            </w:r>
            <w:r w:rsidRPr="00460F9E">
              <w:rPr>
                <w:rFonts w:eastAsia="Times New Roman" w:cs="Times New Roman"/>
                <w:w w:val="90"/>
              </w:rPr>
              <w:t>(</w:t>
            </w:r>
            <w:r w:rsidRPr="00460F9E">
              <w:rPr>
                <w:rFonts w:eastAsia="Times New Roman" w:cs="Times New Roman"/>
                <w:w w:val="90"/>
                <w:sz w:val="25"/>
                <w:vertAlign w:val="superscript"/>
              </w:rPr>
              <w:t>3</w:t>
            </w:r>
            <w:r w:rsidRPr="00460F9E">
              <w:rPr>
                <w:rFonts w:eastAsia="Times New Roman" w:cs="Times New Roman"/>
                <w:w w:val="90"/>
              </w:rPr>
              <w:t>) (</w:t>
            </w:r>
            <w:r w:rsidRPr="00460F9E">
              <w:rPr>
                <w:rFonts w:eastAsia="Times New Roman" w:cs="Times New Roman"/>
                <w:w w:val="90"/>
                <w:sz w:val="25"/>
                <w:vertAlign w:val="superscript"/>
              </w:rPr>
              <w:t>7</w:t>
            </w:r>
            <w:r w:rsidRPr="00460F9E">
              <w:rPr>
                <w:rFonts w:eastAsia="Times New Roman" w:cs="Times New Roman"/>
                <w:w w:val="90"/>
              </w:rPr>
              <w:t>)</w:t>
            </w:r>
          </w:p>
        </w:tc>
        <w:tc>
          <w:tcPr>
            <w:tcW w:w="1276" w:type="dxa"/>
            <w:tcBorders>
              <w:right w:val="single" w:sz="8" w:space="0" w:color="auto"/>
            </w:tcBorders>
            <w:shd w:val="clear" w:color="auto" w:fill="auto"/>
            <w:vAlign w:val="bottom"/>
          </w:tcPr>
          <w:p w14:paraId="64DDACCE" w14:textId="77777777" w:rsidR="00A52778" w:rsidRPr="00460F9E" w:rsidRDefault="00A52778" w:rsidP="00FC3F8E">
            <w:pPr>
              <w:spacing w:line="0" w:lineRule="atLeast"/>
              <w:rPr>
                <w:rFonts w:eastAsia="Times New Roman" w:cs="Times New Roman"/>
                <w:b/>
                <w:sz w:val="18"/>
              </w:rPr>
            </w:pPr>
          </w:p>
        </w:tc>
      </w:tr>
      <w:tr w:rsidR="00A52778" w:rsidRPr="00460F9E" w14:paraId="72EBD339" w14:textId="77777777" w:rsidTr="00FC3F8E">
        <w:trPr>
          <w:trHeight w:val="345"/>
        </w:trPr>
        <w:tc>
          <w:tcPr>
            <w:tcW w:w="1701" w:type="dxa"/>
            <w:vMerge/>
            <w:tcBorders>
              <w:left w:val="single" w:sz="8" w:space="0" w:color="auto"/>
              <w:bottom w:val="nil"/>
              <w:right w:val="single" w:sz="8" w:space="0" w:color="auto"/>
            </w:tcBorders>
            <w:shd w:val="clear" w:color="auto" w:fill="auto"/>
            <w:vAlign w:val="bottom"/>
          </w:tcPr>
          <w:p w14:paraId="2A6588B6" w14:textId="77777777" w:rsidR="00A52778" w:rsidRPr="00460F9E" w:rsidRDefault="00A52778" w:rsidP="00FC3F8E">
            <w:pPr>
              <w:spacing w:line="0" w:lineRule="atLeast"/>
              <w:jc w:val="center"/>
              <w:rPr>
                <w:rFonts w:eastAsia="Times New Roman" w:cs="Times New Roman"/>
                <w:b/>
                <w:w w:val="99"/>
                <w:highlight w:val="yellow"/>
              </w:rPr>
            </w:pPr>
          </w:p>
        </w:tc>
        <w:tc>
          <w:tcPr>
            <w:tcW w:w="1985" w:type="dxa"/>
            <w:vMerge/>
            <w:tcBorders>
              <w:bottom w:val="nil"/>
              <w:right w:val="single" w:sz="8" w:space="0" w:color="auto"/>
            </w:tcBorders>
            <w:shd w:val="clear" w:color="auto" w:fill="auto"/>
            <w:vAlign w:val="bottom"/>
          </w:tcPr>
          <w:p w14:paraId="143A86D6" w14:textId="77777777" w:rsidR="00A52778" w:rsidRPr="00460F9E" w:rsidRDefault="00A52778" w:rsidP="00FC3F8E">
            <w:pPr>
              <w:spacing w:line="0" w:lineRule="atLeast"/>
              <w:jc w:val="center"/>
              <w:rPr>
                <w:rFonts w:eastAsia="Times New Roman" w:cs="Times New Roman"/>
                <w:b/>
                <w:sz w:val="10"/>
                <w:highlight w:val="yellow"/>
              </w:rPr>
            </w:pPr>
          </w:p>
        </w:tc>
        <w:tc>
          <w:tcPr>
            <w:tcW w:w="1134" w:type="dxa"/>
            <w:vMerge/>
            <w:tcBorders>
              <w:right w:val="single" w:sz="8" w:space="0" w:color="auto"/>
            </w:tcBorders>
            <w:shd w:val="clear" w:color="auto" w:fill="auto"/>
            <w:vAlign w:val="bottom"/>
          </w:tcPr>
          <w:p w14:paraId="2453759E" w14:textId="77777777" w:rsidR="00A52778" w:rsidRPr="00460F9E" w:rsidRDefault="00A52778" w:rsidP="00FC3F8E">
            <w:pPr>
              <w:spacing w:line="0" w:lineRule="atLeast"/>
              <w:jc w:val="center"/>
              <w:rPr>
                <w:rFonts w:eastAsia="Times New Roman" w:cs="Times New Roman"/>
                <w:b/>
                <w:w w:val="99"/>
                <w:highlight w:val="yellow"/>
              </w:rPr>
            </w:pPr>
          </w:p>
        </w:tc>
        <w:tc>
          <w:tcPr>
            <w:tcW w:w="1984" w:type="dxa"/>
            <w:tcBorders>
              <w:bottom w:val="nil"/>
              <w:right w:val="single" w:sz="8" w:space="0" w:color="auto"/>
            </w:tcBorders>
            <w:shd w:val="clear" w:color="auto" w:fill="auto"/>
            <w:vAlign w:val="bottom"/>
          </w:tcPr>
          <w:p w14:paraId="30D3F8E1" w14:textId="77777777" w:rsidR="00A52778" w:rsidRPr="00460F9E" w:rsidRDefault="00A52778" w:rsidP="00FC3F8E">
            <w:pPr>
              <w:spacing w:line="0" w:lineRule="atLeast"/>
              <w:jc w:val="center"/>
              <w:rPr>
                <w:rFonts w:eastAsia="Times New Roman" w:cs="Times New Roman"/>
                <w:b/>
                <w:highlight w:val="yellow"/>
              </w:rPr>
            </w:pPr>
            <w:r w:rsidRPr="00460F9E">
              <w:rPr>
                <w:rFonts w:eastAsia="Times New Roman" w:cs="Times New Roman"/>
              </w:rPr>
              <w:t>EN 1911</w:t>
            </w:r>
          </w:p>
        </w:tc>
        <w:tc>
          <w:tcPr>
            <w:tcW w:w="1276" w:type="dxa"/>
            <w:vMerge/>
            <w:tcBorders>
              <w:bottom w:val="nil"/>
              <w:right w:val="single" w:sz="8" w:space="0" w:color="auto"/>
            </w:tcBorders>
            <w:shd w:val="clear" w:color="auto" w:fill="auto"/>
            <w:vAlign w:val="bottom"/>
          </w:tcPr>
          <w:p w14:paraId="4EFF9858" w14:textId="77777777" w:rsidR="00A52778" w:rsidRPr="00460F9E" w:rsidRDefault="00A52778" w:rsidP="00FC3F8E">
            <w:pPr>
              <w:spacing w:line="234" w:lineRule="exact"/>
              <w:jc w:val="center"/>
              <w:rPr>
                <w:rFonts w:eastAsia="Times New Roman" w:cs="Times New Roman"/>
                <w:b/>
                <w:w w:val="98"/>
              </w:rPr>
            </w:pPr>
          </w:p>
        </w:tc>
        <w:tc>
          <w:tcPr>
            <w:tcW w:w="1276" w:type="dxa"/>
            <w:tcBorders>
              <w:bottom w:val="nil"/>
              <w:right w:val="single" w:sz="8" w:space="0" w:color="auto"/>
            </w:tcBorders>
            <w:shd w:val="clear" w:color="auto" w:fill="auto"/>
            <w:vAlign w:val="bottom"/>
          </w:tcPr>
          <w:p w14:paraId="3E84422F" w14:textId="77777777" w:rsidR="00A52778" w:rsidRPr="00460F9E" w:rsidRDefault="002A1746" w:rsidP="00FC3F8E">
            <w:pPr>
              <w:spacing w:line="0" w:lineRule="atLeast"/>
              <w:jc w:val="center"/>
              <w:rPr>
                <w:rFonts w:eastAsia="Times New Roman" w:cs="Times New Roman"/>
                <w:b/>
              </w:rPr>
            </w:pPr>
            <w:hyperlink w:anchor="page309" w:history="1">
              <w:r w:rsidR="00A52778" w:rsidRPr="00460F9E">
                <w:rPr>
                  <w:rFonts w:cs="Times New Roman"/>
                </w:rPr>
                <w:t xml:space="preserve"> </w:t>
              </w:r>
              <w:r w:rsidR="00A52778" w:rsidRPr="00460F9E">
                <w:rPr>
                  <w:rFonts w:eastAsia="Times New Roman" w:cs="Times New Roman"/>
                </w:rPr>
                <w:t>MET 18</w:t>
              </w:r>
            </w:hyperlink>
          </w:p>
        </w:tc>
      </w:tr>
      <w:tr w:rsidR="00A52778" w:rsidRPr="00460F9E" w14:paraId="5352D269" w14:textId="77777777" w:rsidTr="00FC3F8E">
        <w:trPr>
          <w:trHeight w:val="116"/>
        </w:trPr>
        <w:tc>
          <w:tcPr>
            <w:tcW w:w="1701" w:type="dxa"/>
            <w:vMerge/>
            <w:tcBorders>
              <w:left w:val="single" w:sz="8" w:space="0" w:color="auto"/>
              <w:right w:val="single" w:sz="8" w:space="0" w:color="auto"/>
            </w:tcBorders>
            <w:shd w:val="clear" w:color="auto" w:fill="auto"/>
            <w:vAlign w:val="bottom"/>
          </w:tcPr>
          <w:p w14:paraId="5C131CDA"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right w:val="single" w:sz="8" w:space="0" w:color="auto"/>
            </w:tcBorders>
            <w:shd w:val="clear" w:color="auto" w:fill="auto"/>
            <w:vAlign w:val="bottom"/>
          </w:tcPr>
          <w:p w14:paraId="6446CDCE"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right w:val="single" w:sz="8" w:space="0" w:color="auto"/>
            </w:tcBorders>
            <w:shd w:val="clear" w:color="auto" w:fill="auto"/>
            <w:vAlign w:val="bottom"/>
          </w:tcPr>
          <w:p w14:paraId="0B524649" w14:textId="77777777" w:rsidR="00A52778" w:rsidRPr="00460F9E" w:rsidRDefault="00A52778" w:rsidP="00FC3F8E">
            <w:pPr>
              <w:spacing w:line="0" w:lineRule="atLeast"/>
              <w:rPr>
                <w:rFonts w:eastAsia="Times New Roman" w:cs="Times New Roman"/>
                <w:b/>
                <w:sz w:val="10"/>
                <w:highlight w:val="yellow"/>
              </w:rPr>
            </w:pPr>
          </w:p>
        </w:tc>
        <w:tc>
          <w:tcPr>
            <w:tcW w:w="1984" w:type="dxa"/>
            <w:tcBorders>
              <w:right w:val="single" w:sz="8" w:space="0" w:color="auto"/>
            </w:tcBorders>
            <w:shd w:val="clear" w:color="auto" w:fill="auto"/>
            <w:vAlign w:val="bottom"/>
          </w:tcPr>
          <w:p w14:paraId="6E5F07F4"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right w:val="single" w:sz="8" w:space="0" w:color="auto"/>
            </w:tcBorders>
            <w:shd w:val="clear" w:color="auto" w:fill="auto"/>
            <w:vAlign w:val="bottom"/>
          </w:tcPr>
          <w:p w14:paraId="4EC106A3" w14:textId="77777777" w:rsidR="00A52778" w:rsidRPr="00460F9E" w:rsidRDefault="00A52778" w:rsidP="00FC3F8E">
            <w:pPr>
              <w:spacing w:line="234" w:lineRule="exact"/>
              <w:jc w:val="center"/>
              <w:rPr>
                <w:rFonts w:eastAsia="Times New Roman" w:cs="Times New Roman"/>
                <w:b/>
                <w:w w:val="95"/>
              </w:rPr>
            </w:pPr>
          </w:p>
        </w:tc>
        <w:tc>
          <w:tcPr>
            <w:tcW w:w="1276" w:type="dxa"/>
            <w:tcBorders>
              <w:right w:val="single" w:sz="8" w:space="0" w:color="auto"/>
            </w:tcBorders>
            <w:shd w:val="clear" w:color="auto" w:fill="auto"/>
            <w:vAlign w:val="bottom"/>
          </w:tcPr>
          <w:p w14:paraId="5E2883BD" w14:textId="77777777" w:rsidR="00A52778" w:rsidRPr="00460F9E" w:rsidRDefault="00A52778" w:rsidP="00FC3F8E">
            <w:pPr>
              <w:spacing w:line="0" w:lineRule="atLeast"/>
              <w:rPr>
                <w:rFonts w:eastAsia="Times New Roman" w:cs="Times New Roman"/>
                <w:b/>
                <w:sz w:val="10"/>
              </w:rPr>
            </w:pPr>
          </w:p>
        </w:tc>
      </w:tr>
      <w:tr w:rsidR="00A52778" w:rsidRPr="00460F9E" w14:paraId="568A72E1" w14:textId="77777777" w:rsidTr="00FC3F8E">
        <w:trPr>
          <w:trHeight w:val="119"/>
        </w:trPr>
        <w:tc>
          <w:tcPr>
            <w:tcW w:w="1701" w:type="dxa"/>
            <w:vMerge/>
            <w:tcBorders>
              <w:left w:val="single" w:sz="8" w:space="0" w:color="auto"/>
              <w:bottom w:val="single" w:sz="8" w:space="0" w:color="auto"/>
              <w:right w:val="single" w:sz="8" w:space="0" w:color="auto"/>
            </w:tcBorders>
            <w:shd w:val="clear" w:color="auto" w:fill="auto"/>
            <w:vAlign w:val="bottom"/>
          </w:tcPr>
          <w:p w14:paraId="2B5EDD70"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bottom w:val="single" w:sz="8" w:space="0" w:color="auto"/>
              <w:right w:val="single" w:sz="8" w:space="0" w:color="auto"/>
            </w:tcBorders>
            <w:shd w:val="clear" w:color="auto" w:fill="auto"/>
            <w:vAlign w:val="bottom"/>
          </w:tcPr>
          <w:p w14:paraId="7161DC9D"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bottom w:val="single" w:sz="8" w:space="0" w:color="auto"/>
              <w:right w:val="single" w:sz="8" w:space="0" w:color="auto"/>
            </w:tcBorders>
            <w:shd w:val="clear" w:color="auto" w:fill="auto"/>
            <w:vAlign w:val="bottom"/>
          </w:tcPr>
          <w:p w14:paraId="52596573" w14:textId="77777777" w:rsidR="00A52778" w:rsidRPr="00460F9E" w:rsidRDefault="00A52778" w:rsidP="00FC3F8E">
            <w:pPr>
              <w:spacing w:line="0" w:lineRule="atLeast"/>
              <w:rPr>
                <w:rFonts w:eastAsia="Times New Roman" w:cs="Times New Roman"/>
                <w:b/>
                <w:sz w:val="10"/>
                <w:highlight w:val="yellow"/>
              </w:rPr>
            </w:pPr>
          </w:p>
        </w:tc>
        <w:tc>
          <w:tcPr>
            <w:tcW w:w="1984" w:type="dxa"/>
            <w:tcBorders>
              <w:bottom w:val="single" w:sz="8" w:space="0" w:color="auto"/>
              <w:right w:val="single" w:sz="8" w:space="0" w:color="auto"/>
            </w:tcBorders>
            <w:shd w:val="clear" w:color="auto" w:fill="auto"/>
            <w:vAlign w:val="bottom"/>
          </w:tcPr>
          <w:p w14:paraId="4A95D4B4"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bottom w:val="single" w:sz="8" w:space="0" w:color="auto"/>
              <w:right w:val="single" w:sz="8" w:space="0" w:color="auto"/>
            </w:tcBorders>
            <w:shd w:val="clear" w:color="auto" w:fill="auto"/>
            <w:vAlign w:val="bottom"/>
          </w:tcPr>
          <w:p w14:paraId="710DD4C1" w14:textId="77777777" w:rsidR="00A52778" w:rsidRPr="00460F9E" w:rsidRDefault="00A52778" w:rsidP="00FC3F8E">
            <w:pPr>
              <w:spacing w:line="0" w:lineRule="atLeast"/>
              <w:rPr>
                <w:rFonts w:eastAsia="Times New Roman" w:cs="Times New Roman"/>
                <w:b/>
                <w:sz w:val="10"/>
              </w:rPr>
            </w:pPr>
          </w:p>
        </w:tc>
        <w:tc>
          <w:tcPr>
            <w:tcW w:w="1276" w:type="dxa"/>
            <w:tcBorders>
              <w:bottom w:val="single" w:sz="8" w:space="0" w:color="auto"/>
              <w:right w:val="single" w:sz="8" w:space="0" w:color="auto"/>
            </w:tcBorders>
            <w:shd w:val="clear" w:color="auto" w:fill="auto"/>
            <w:vAlign w:val="bottom"/>
          </w:tcPr>
          <w:p w14:paraId="3AA7E860" w14:textId="77777777" w:rsidR="00A52778" w:rsidRPr="00460F9E" w:rsidRDefault="00A52778" w:rsidP="00FC3F8E">
            <w:pPr>
              <w:spacing w:line="0" w:lineRule="atLeast"/>
              <w:rPr>
                <w:rFonts w:eastAsia="Times New Roman" w:cs="Times New Roman"/>
                <w:b/>
                <w:sz w:val="10"/>
              </w:rPr>
            </w:pPr>
          </w:p>
        </w:tc>
      </w:tr>
      <w:tr w:rsidR="00A52778" w:rsidRPr="00460F9E" w14:paraId="6163FFA1" w14:textId="77777777" w:rsidTr="00FC3F8E">
        <w:trPr>
          <w:trHeight w:val="214"/>
        </w:trPr>
        <w:tc>
          <w:tcPr>
            <w:tcW w:w="1701" w:type="dxa"/>
            <w:vMerge w:val="restart"/>
            <w:tcBorders>
              <w:left w:val="single" w:sz="8" w:space="0" w:color="auto"/>
              <w:right w:val="single" w:sz="8" w:space="0" w:color="auto"/>
            </w:tcBorders>
            <w:shd w:val="clear" w:color="auto" w:fill="auto"/>
            <w:vAlign w:val="center"/>
          </w:tcPr>
          <w:p w14:paraId="186610EF" w14:textId="77777777" w:rsidR="00A52778" w:rsidRPr="00460F9E" w:rsidRDefault="00A52778" w:rsidP="00FC3F8E">
            <w:pPr>
              <w:spacing w:line="0" w:lineRule="atLeast"/>
              <w:jc w:val="center"/>
              <w:rPr>
                <w:rFonts w:eastAsia="Times New Roman" w:cs="Times New Roman"/>
                <w:b/>
                <w:sz w:val="18"/>
                <w:highlight w:val="yellow"/>
              </w:rPr>
            </w:pPr>
            <w:r w:rsidRPr="00460F9E">
              <w:rPr>
                <w:rFonts w:eastAsia="Times New Roman" w:cs="Times New Roman"/>
              </w:rPr>
              <w:t>Gaz halindeki   florürler</w:t>
            </w:r>
          </w:p>
        </w:tc>
        <w:tc>
          <w:tcPr>
            <w:tcW w:w="1985" w:type="dxa"/>
            <w:vMerge w:val="restart"/>
            <w:tcBorders>
              <w:right w:val="single" w:sz="8" w:space="0" w:color="auto"/>
            </w:tcBorders>
            <w:shd w:val="clear" w:color="auto" w:fill="auto"/>
            <w:vAlign w:val="center"/>
          </w:tcPr>
          <w:p w14:paraId="1EA46995" w14:textId="77777777" w:rsidR="00A52778" w:rsidRPr="00460F9E" w:rsidRDefault="00A52778" w:rsidP="00FC3F8E">
            <w:pPr>
              <w:spacing w:line="0" w:lineRule="atLeast"/>
              <w:jc w:val="center"/>
              <w:rPr>
                <w:rFonts w:eastAsia="Times New Roman" w:cs="Times New Roman"/>
                <w:b/>
                <w:w w:val="93"/>
                <w:highlight w:val="yellow"/>
              </w:rPr>
            </w:pPr>
            <w:r w:rsidRPr="00460F9E">
              <w:rPr>
                <w:rFonts w:eastAsia="Times New Roman" w:cs="Times New Roman"/>
                <w:w w:val="93"/>
              </w:rPr>
              <w:t xml:space="preserve">Tüm              </w:t>
            </w:r>
            <w:r w:rsidRPr="00460F9E">
              <w:rPr>
                <w:rFonts w:eastAsia="Times New Roman" w:cs="Times New Roman"/>
                <w:w w:val="99"/>
              </w:rPr>
              <w:t>prosesler</w:t>
            </w:r>
            <w:r w:rsidRPr="00460F9E">
              <w:rPr>
                <w:rFonts w:eastAsia="Times New Roman" w:cs="Times New Roman"/>
                <w:w w:val="93"/>
              </w:rPr>
              <w:t xml:space="preserve"> /kaynaklar</w:t>
            </w:r>
          </w:p>
        </w:tc>
        <w:tc>
          <w:tcPr>
            <w:tcW w:w="1134" w:type="dxa"/>
            <w:vMerge w:val="restart"/>
            <w:tcBorders>
              <w:right w:val="single" w:sz="8" w:space="0" w:color="auto"/>
            </w:tcBorders>
            <w:shd w:val="clear" w:color="auto" w:fill="auto"/>
            <w:vAlign w:val="center"/>
          </w:tcPr>
          <w:p w14:paraId="24733AEB" w14:textId="77777777" w:rsidR="00A52778" w:rsidRPr="00460F9E" w:rsidRDefault="00A52778" w:rsidP="00FC3F8E">
            <w:pPr>
              <w:spacing w:line="0" w:lineRule="atLeast"/>
              <w:jc w:val="center"/>
              <w:rPr>
                <w:rFonts w:eastAsia="Times New Roman" w:cs="Times New Roman"/>
                <w:b/>
                <w:sz w:val="18"/>
                <w:highlight w:val="yellow"/>
              </w:rPr>
            </w:pPr>
            <w:r w:rsidRPr="00460F9E">
              <w:rPr>
                <w:rFonts w:eastAsia="Times New Roman" w:cs="Times New Roman"/>
                <w:w w:val="99"/>
              </w:rPr>
              <w:t>Herhangi bir baca</w:t>
            </w:r>
          </w:p>
        </w:tc>
        <w:tc>
          <w:tcPr>
            <w:tcW w:w="1984" w:type="dxa"/>
            <w:vMerge w:val="restart"/>
            <w:tcBorders>
              <w:right w:val="single" w:sz="8" w:space="0" w:color="auto"/>
            </w:tcBorders>
            <w:shd w:val="clear" w:color="auto" w:fill="auto"/>
            <w:vAlign w:val="center"/>
          </w:tcPr>
          <w:p w14:paraId="73A80F47"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 xml:space="preserve">EN standardı </w:t>
            </w:r>
          </w:p>
          <w:p w14:paraId="115F02B1" w14:textId="77777777" w:rsidR="00A52778" w:rsidRPr="00460F9E" w:rsidRDefault="00A52778" w:rsidP="00FC3F8E">
            <w:pPr>
              <w:spacing w:line="0" w:lineRule="atLeast"/>
              <w:jc w:val="center"/>
              <w:rPr>
                <w:rFonts w:eastAsia="Times New Roman" w:cs="Times New Roman"/>
                <w:b/>
                <w:highlight w:val="yellow"/>
              </w:rPr>
            </w:pPr>
            <w:r w:rsidRPr="00460F9E">
              <w:rPr>
                <w:rFonts w:eastAsia="Times New Roman" w:cs="Times New Roman"/>
                <w:w w:val="99"/>
              </w:rPr>
              <w:t>mevcut değil</w:t>
            </w:r>
          </w:p>
        </w:tc>
        <w:tc>
          <w:tcPr>
            <w:tcW w:w="1276" w:type="dxa"/>
            <w:vMerge w:val="restart"/>
            <w:tcBorders>
              <w:right w:val="single" w:sz="8" w:space="0" w:color="auto"/>
            </w:tcBorders>
            <w:shd w:val="clear" w:color="auto" w:fill="auto"/>
            <w:vAlign w:val="center"/>
          </w:tcPr>
          <w:p w14:paraId="04F7095C" w14:textId="77777777" w:rsidR="00A52778" w:rsidRPr="00460F9E" w:rsidRDefault="00A52778" w:rsidP="00FC3F8E">
            <w:pPr>
              <w:spacing w:line="236" w:lineRule="exact"/>
              <w:jc w:val="center"/>
              <w:rPr>
                <w:rFonts w:eastAsia="Times New Roman" w:cs="Times New Roman"/>
                <w:b/>
              </w:rPr>
            </w:pPr>
            <w:r w:rsidRPr="00460F9E">
              <w:rPr>
                <w:rFonts w:eastAsia="Times New Roman" w:cs="Times New Roman"/>
              </w:rPr>
              <w:t xml:space="preserve">Her yıl                        1 kere              </w:t>
            </w:r>
            <w:r w:rsidRPr="00460F9E">
              <w:rPr>
                <w:rFonts w:eastAsia="Times New Roman" w:cs="Times New Roman"/>
                <w:w w:val="90"/>
              </w:rPr>
              <w:t>(</w:t>
            </w:r>
            <w:r w:rsidRPr="00460F9E">
              <w:rPr>
                <w:rFonts w:eastAsia="Times New Roman" w:cs="Times New Roman"/>
                <w:w w:val="90"/>
                <w:sz w:val="25"/>
                <w:vertAlign w:val="superscript"/>
              </w:rPr>
              <w:t>3</w:t>
            </w:r>
            <w:r w:rsidRPr="00460F9E">
              <w:rPr>
                <w:rFonts w:eastAsia="Times New Roman" w:cs="Times New Roman"/>
                <w:w w:val="90"/>
              </w:rPr>
              <w:t>) (</w:t>
            </w:r>
            <w:r w:rsidRPr="00460F9E">
              <w:rPr>
                <w:rFonts w:eastAsia="Times New Roman" w:cs="Times New Roman"/>
                <w:w w:val="90"/>
                <w:sz w:val="25"/>
                <w:vertAlign w:val="superscript"/>
              </w:rPr>
              <w:t>7</w:t>
            </w:r>
            <w:r w:rsidRPr="00460F9E">
              <w:rPr>
                <w:rFonts w:eastAsia="Times New Roman" w:cs="Times New Roman"/>
                <w:w w:val="90"/>
              </w:rPr>
              <w:t>)</w:t>
            </w:r>
          </w:p>
        </w:tc>
        <w:tc>
          <w:tcPr>
            <w:tcW w:w="1276" w:type="dxa"/>
            <w:tcBorders>
              <w:right w:val="single" w:sz="8" w:space="0" w:color="auto"/>
            </w:tcBorders>
            <w:shd w:val="clear" w:color="auto" w:fill="auto"/>
            <w:vAlign w:val="bottom"/>
          </w:tcPr>
          <w:p w14:paraId="142EC5B9" w14:textId="77777777" w:rsidR="00A52778" w:rsidRPr="00460F9E" w:rsidRDefault="00A52778" w:rsidP="00FC3F8E">
            <w:pPr>
              <w:spacing w:line="0" w:lineRule="atLeast"/>
              <w:rPr>
                <w:rFonts w:eastAsia="Times New Roman" w:cs="Times New Roman"/>
                <w:b/>
                <w:sz w:val="18"/>
              </w:rPr>
            </w:pPr>
          </w:p>
        </w:tc>
      </w:tr>
      <w:tr w:rsidR="00A52778" w:rsidRPr="00460F9E" w14:paraId="1ECDD787" w14:textId="77777777" w:rsidTr="00FC3F8E">
        <w:trPr>
          <w:trHeight w:val="345"/>
        </w:trPr>
        <w:tc>
          <w:tcPr>
            <w:tcW w:w="1701" w:type="dxa"/>
            <w:vMerge/>
            <w:tcBorders>
              <w:left w:val="single" w:sz="8" w:space="0" w:color="auto"/>
              <w:bottom w:val="nil"/>
              <w:right w:val="single" w:sz="8" w:space="0" w:color="auto"/>
            </w:tcBorders>
            <w:shd w:val="clear" w:color="auto" w:fill="auto"/>
            <w:vAlign w:val="bottom"/>
          </w:tcPr>
          <w:p w14:paraId="5452B0E2" w14:textId="77777777" w:rsidR="00A52778" w:rsidRPr="00460F9E" w:rsidRDefault="00A52778" w:rsidP="00FC3F8E">
            <w:pPr>
              <w:spacing w:line="0" w:lineRule="atLeast"/>
              <w:jc w:val="center"/>
              <w:rPr>
                <w:rFonts w:eastAsia="Times New Roman" w:cs="Times New Roman"/>
                <w:b/>
                <w:highlight w:val="yellow"/>
              </w:rPr>
            </w:pPr>
          </w:p>
        </w:tc>
        <w:tc>
          <w:tcPr>
            <w:tcW w:w="1985" w:type="dxa"/>
            <w:vMerge/>
            <w:tcBorders>
              <w:bottom w:val="nil"/>
              <w:right w:val="single" w:sz="8" w:space="0" w:color="auto"/>
            </w:tcBorders>
            <w:shd w:val="clear" w:color="auto" w:fill="auto"/>
            <w:vAlign w:val="bottom"/>
          </w:tcPr>
          <w:p w14:paraId="0358AF70" w14:textId="77777777" w:rsidR="00A52778" w:rsidRPr="00460F9E" w:rsidRDefault="00A52778" w:rsidP="00FC3F8E">
            <w:pPr>
              <w:spacing w:line="0" w:lineRule="atLeast"/>
              <w:jc w:val="center"/>
              <w:rPr>
                <w:rFonts w:eastAsia="Times New Roman" w:cs="Times New Roman"/>
                <w:b/>
                <w:sz w:val="10"/>
                <w:highlight w:val="yellow"/>
              </w:rPr>
            </w:pPr>
          </w:p>
        </w:tc>
        <w:tc>
          <w:tcPr>
            <w:tcW w:w="1134" w:type="dxa"/>
            <w:vMerge/>
            <w:tcBorders>
              <w:bottom w:val="nil"/>
              <w:right w:val="single" w:sz="8" w:space="0" w:color="auto"/>
            </w:tcBorders>
            <w:shd w:val="clear" w:color="auto" w:fill="auto"/>
            <w:vAlign w:val="center"/>
          </w:tcPr>
          <w:p w14:paraId="7C4F0D49" w14:textId="77777777" w:rsidR="00A52778" w:rsidRPr="00460F9E" w:rsidRDefault="00A52778" w:rsidP="00FC3F8E">
            <w:pPr>
              <w:spacing w:line="0" w:lineRule="atLeast"/>
              <w:jc w:val="center"/>
              <w:rPr>
                <w:rFonts w:eastAsia="Times New Roman" w:cs="Times New Roman"/>
                <w:b/>
                <w:w w:val="99"/>
                <w:highlight w:val="yellow"/>
              </w:rPr>
            </w:pPr>
          </w:p>
        </w:tc>
        <w:tc>
          <w:tcPr>
            <w:tcW w:w="1984" w:type="dxa"/>
            <w:vMerge/>
            <w:tcBorders>
              <w:bottom w:val="nil"/>
              <w:right w:val="single" w:sz="8" w:space="0" w:color="auto"/>
            </w:tcBorders>
            <w:shd w:val="clear" w:color="auto" w:fill="auto"/>
            <w:vAlign w:val="bottom"/>
          </w:tcPr>
          <w:p w14:paraId="7FBDB329" w14:textId="77777777" w:rsidR="00A52778" w:rsidRPr="00460F9E" w:rsidRDefault="00A52778" w:rsidP="00FC3F8E">
            <w:pPr>
              <w:spacing w:line="0" w:lineRule="atLeast"/>
              <w:jc w:val="center"/>
              <w:rPr>
                <w:rFonts w:eastAsia="Times New Roman" w:cs="Times New Roman"/>
                <w:b/>
                <w:sz w:val="10"/>
                <w:highlight w:val="yellow"/>
              </w:rPr>
            </w:pPr>
          </w:p>
        </w:tc>
        <w:tc>
          <w:tcPr>
            <w:tcW w:w="1276" w:type="dxa"/>
            <w:vMerge/>
            <w:tcBorders>
              <w:bottom w:val="nil"/>
              <w:right w:val="single" w:sz="8" w:space="0" w:color="auto"/>
            </w:tcBorders>
            <w:shd w:val="clear" w:color="auto" w:fill="auto"/>
            <w:vAlign w:val="bottom"/>
          </w:tcPr>
          <w:p w14:paraId="2B8F1FA9" w14:textId="77777777" w:rsidR="00A52778" w:rsidRPr="00460F9E" w:rsidRDefault="00A52778" w:rsidP="00FC3F8E">
            <w:pPr>
              <w:spacing w:line="236" w:lineRule="exact"/>
              <w:jc w:val="center"/>
              <w:rPr>
                <w:rFonts w:eastAsia="Times New Roman" w:cs="Times New Roman"/>
                <w:b/>
                <w:w w:val="98"/>
              </w:rPr>
            </w:pPr>
          </w:p>
        </w:tc>
        <w:tc>
          <w:tcPr>
            <w:tcW w:w="1276" w:type="dxa"/>
            <w:tcBorders>
              <w:bottom w:val="nil"/>
              <w:right w:val="single" w:sz="8" w:space="0" w:color="auto"/>
            </w:tcBorders>
            <w:shd w:val="clear" w:color="auto" w:fill="auto"/>
            <w:vAlign w:val="bottom"/>
          </w:tcPr>
          <w:p w14:paraId="2CBE624C" w14:textId="77777777" w:rsidR="00A52778" w:rsidRPr="00460F9E" w:rsidRDefault="002A1746" w:rsidP="00FC3F8E">
            <w:pPr>
              <w:spacing w:line="0" w:lineRule="atLeast"/>
              <w:jc w:val="center"/>
              <w:rPr>
                <w:rFonts w:eastAsia="Times New Roman" w:cs="Times New Roman"/>
                <w:b/>
              </w:rPr>
            </w:pPr>
            <w:hyperlink w:anchor="page309" w:history="1">
              <w:r w:rsidR="00A52778" w:rsidRPr="00460F9E">
                <w:rPr>
                  <w:rFonts w:cs="Times New Roman"/>
                </w:rPr>
                <w:t xml:space="preserve"> </w:t>
              </w:r>
              <w:r w:rsidR="00A52778" w:rsidRPr="00460F9E">
                <w:rPr>
                  <w:rFonts w:eastAsia="Times New Roman" w:cs="Times New Roman"/>
                </w:rPr>
                <w:t>MET 18</w:t>
              </w:r>
            </w:hyperlink>
          </w:p>
        </w:tc>
      </w:tr>
      <w:tr w:rsidR="00A52778" w:rsidRPr="00460F9E" w14:paraId="55DF03E9" w14:textId="77777777" w:rsidTr="00FC3F8E">
        <w:trPr>
          <w:trHeight w:val="115"/>
        </w:trPr>
        <w:tc>
          <w:tcPr>
            <w:tcW w:w="1701" w:type="dxa"/>
            <w:vMerge/>
            <w:tcBorders>
              <w:left w:val="single" w:sz="8" w:space="0" w:color="auto"/>
              <w:right w:val="single" w:sz="8" w:space="0" w:color="auto"/>
            </w:tcBorders>
            <w:shd w:val="clear" w:color="auto" w:fill="auto"/>
            <w:vAlign w:val="bottom"/>
          </w:tcPr>
          <w:p w14:paraId="59D20852"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right w:val="single" w:sz="8" w:space="0" w:color="auto"/>
            </w:tcBorders>
            <w:shd w:val="clear" w:color="auto" w:fill="auto"/>
            <w:vAlign w:val="bottom"/>
          </w:tcPr>
          <w:p w14:paraId="6996070E"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right w:val="single" w:sz="8" w:space="0" w:color="auto"/>
            </w:tcBorders>
            <w:shd w:val="clear" w:color="auto" w:fill="auto"/>
            <w:vAlign w:val="center"/>
          </w:tcPr>
          <w:p w14:paraId="3B99990D" w14:textId="77777777" w:rsidR="00A52778" w:rsidRPr="00460F9E" w:rsidRDefault="00A52778" w:rsidP="00FC3F8E">
            <w:pPr>
              <w:spacing w:line="0" w:lineRule="atLeast"/>
              <w:jc w:val="center"/>
              <w:rPr>
                <w:rFonts w:eastAsia="Times New Roman" w:cs="Times New Roman"/>
                <w:b/>
                <w:sz w:val="10"/>
                <w:highlight w:val="yellow"/>
              </w:rPr>
            </w:pPr>
          </w:p>
        </w:tc>
        <w:tc>
          <w:tcPr>
            <w:tcW w:w="1984" w:type="dxa"/>
            <w:vMerge/>
            <w:tcBorders>
              <w:right w:val="single" w:sz="8" w:space="0" w:color="auto"/>
            </w:tcBorders>
            <w:shd w:val="clear" w:color="auto" w:fill="auto"/>
            <w:vAlign w:val="bottom"/>
          </w:tcPr>
          <w:p w14:paraId="0E914FF5"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right w:val="single" w:sz="8" w:space="0" w:color="auto"/>
            </w:tcBorders>
            <w:shd w:val="clear" w:color="auto" w:fill="auto"/>
            <w:vAlign w:val="bottom"/>
          </w:tcPr>
          <w:p w14:paraId="77B5215F" w14:textId="77777777" w:rsidR="00A52778" w:rsidRPr="00460F9E" w:rsidRDefault="00A52778" w:rsidP="00FC3F8E">
            <w:pPr>
              <w:spacing w:line="236" w:lineRule="exact"/>
              <w:jc w:val="center"/>
              <w:rPr>
                <w:rFonts w:eastAsia="Times New Roman" w:cs="Times New Roman"/>
                <w:b/>
                <w:w w:val="95"/>
              </w:rPr>
            </w:pPr>
          </w:p>
        </w:tc>
        <w:tc>
          <w:tcPr>
            <w:tcW w:w="1276" w:type="dxa"/>
            <w:tcBorders>
              <w:right w:val="single" w:sz="8" w:space="0" w:color="auto"/>
            </w:tcBorders>
            <w:shd w:val="clear" w:color="auto" w:fill="auto"/>
            <w:vAlign w:val="bottom"/>
          </w:tcPr>
          <w:p w14:paraId="7ACE42A1" w14:textId="77777777" w:rsidR="00A52778" w:rsidRPr="00460F9E" w:rsidRDefault="00A52778" w:rsidP="00FC3F8E">
            <w:pPr>
              <w:spacing w:line="0" w:lineRule="atLeast"/>
              <w:rPr>
                <w:rFonts w:eastAsia="Times New Roman" w:cs="Times New Roman"/>
                <w:b/>
                <w:sz w:val="10"/>
              </w:rPr>
            </w:pPr>
          </w:p>
        </w:tc>
      </w:tr>
      <w:tr w:rsidR="00A52778" w:rsidRPr="00460F9E" w14:paraId="48716475" w14:textId="77777777" w:rsidTr="00FC3F8E">
        <w:trPr>
          <w:trHeight w:val="121"/>
        </w:trPr>
        <w:tc>
          <w:tcPr>
            <w:tcW w:w="1701" w:type="dxa"/>
            <w:vMerge/>
            <w:tcBorders>
              <w:left w:val="single" w:sz="8" w:space="0" w:color="auto"/>
              <w:bottom w:val="single" w:sz="8" w:space="0" w:color="auto"/>
              <w:right w:val="single" w:sz="8" w:space="0" w:color="auto"/>
            </w:tcBorders>
            <w:shd w:val="clear" w:color="auto" w:fill="auto"/>
            <w:vAlign w:val="bottom"/>
          </w:tcPr>
          <w:p w14:paraId="67A5F15C"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bottom w:val="single" w:sz="8" w:space="0" w:color="auto"/>
              <w:right w:val="single" w:sz="8" w:space="0" w:color="auto"/>
            </w:tcBorders>
            <w:shd w:val="clear" w:color="auto" w:fill="auto"/>
            <w:vAlign w:val="bottom"/>
          </w:tcPr>
          <w:p w14:paraId="64294FF4"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bottom w:val="single" w:sz="8" w:space="0" w:color="auto"/>
              <w:right w:val="single" w:sz="8" w:space="0" w:color="auto"/>
            </w:tcBorders>
            <w:shd w:val="clear" w:color="auto" w:fill="auto"/>
            <w:vAlign w:val="center"/>
          </w:tcPr>
          <w:p w14:paraId="1FED354F" w14:textId="77777777" w:rsidR="00A52778" w:rsidRPr="00460F9E" w:rsidRDefault="00A52778" w:rsidP="00FC3F8E">
            <w:pPr>
              <w:spacing w:line="0" w:lineRule="atLeast"/>
              <w:jc w:val="center"/>
              <w:rPr>
                <w:rFonts w:eastAsia="Times New Roman" w:cs="Times New Roman"/>
                <w:b/>
                <w:sz w:val="10"/>
                <w:highlight w:val="yellow"/>
              </w:rPr>
            </w:pPr>
          </w:p>
        </w:tc>
        <w:tc>
          <w:tcPr>
            <w:tcW w:w="1984" w:type="dxa"/>
            <w:vMerge/>
            <w:tcBorders>
              <w:bottom w:val="single" w:sz="8" w:space="0" w:color="auto"/>
              <w:right w:val="single" w:sz="8" w:space="0" w:color="auto"/>
            </w:tcBorders>
            <w:shd w:val="clear" w:color="auto" w:fill="auto"/>
            <w:vAlign w:val="bottom"/>
          </w:tcPr>
          <w:p w14:paraId="6A22E03A"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bottom w:val="single" w:sz="8" w:space="0" w:color="auto"/>
              <w:right w:val="single" w:sz="8" w:space="0" w:color="auto"/>
            </w:tcBorders>
            <w:shd w:val="clear" w:color="auto" w:fill="auto"/>
            <w:vAlign w:val="bottom"/>
          </w:tcPr>
          <w:p w14:paraId="57010AAE" w14:textId="77777777" w:rsidR="00A52778" w:rsidRPr="00460F9E" w:rsidRDefault="00A52778" w:rsidP="00FC3F8E">
            <w:pPr>
              <w:spacing w:line="0" w:lineRule="atLeast"/>
              <w:rPr>
                <w:rFonts w:eastAsia="Times New Roman" w:cs="Times New Roman"/>
                <w:b/>
                <w:sz w:val="10"/>
              </w:rPr>
            </w:pPr>
          </w:p>
        </w:tc>
        <w:tc>
          <w:tcPr>
            <w:tcW w:w="1276" w:type="dxa"/>
            <w:tcBorders>
              <w:bottom w:val="single" w:sz="8" w:space="0" w:color="auto"/>
              <w:right w:val="single" w:sz="8" w:space="0" w:color="auto"/>
            </w:tcBorders>
            <w:shd w:val="clear" w:color="auto" w:fill="auto"/>
            <w:vAlign w:val="bottom"/>
          </w:tcPr>
          <w:p w14:paraId="5E03877B" w14:textId="77777777" w:rsidR="00A52778" w:rsidRPr="00460F9E" w:rsidRDefault="00A52778" w:rsidP="00FC3F8E">
            <w:pPr>
              <w:spacing w:line="0" w:lineRule="atLeast"/>
              <w:rPr>
                <w:rFonts w:eastAsia="Times New Roman" w:cs="Times New Roman"/>
                <w:b/>
                <w:sz w:val="10"/>
              </w:rPr>
            </w:pPr>
          </w:p>
        </w:tc>
      </w:tr>
      <w:tr w:rsidR="00A52778" w:rsidRPr="00460F9E" w14:paraId="61623A01" w14:textId="77777777" w:rsidTr="00FC3F8E">
        <w:trPr>
          <w:trHeight w:val="214"/>
        </w:trPr>
        <w:tc>
          <w:tcPr>
            <w:tcW w:w="1701" w:type="dxa"/>
            <w:vMerge w:val="restart"/>
            <w:tcBorders>
              <w:left w:val="single" w:sz="8" w:space="0" w:color="auto"/>
              <w:right w:val="single" w:sz="8" w:space="0" w:color="auto"/>
            </w:tcBorders>
            <w:shd w:val="clear" w:color="auto" w:fill="auto"/>
            <w:vAlign w:val="center"/>
          </w:tcPr>
          <w:p w14:paraId="4127B020" w14:textId="77777777" w:rsidR="00A52778" w:rsidRPr="00460F9E" w:rsidRDefault="00A52778" w:rsidP="00FC3F8E">
            <w:pPr>
              <w:spacing w:line="0" w:lineRule="atLeast"/>
              <w:jc w:val="center"/>
              <w:rPr>
                <w:rFonts w:eastAsia="Times New Roman" w:cs="Times New Roman"/>
                <w:b/>
                <w:w w:val="99"/>
                <w:highlight w:val="yellow"/>
              </w:rPr>
            </w:pPr>
            <w:r w:rsidRPr="00460F9E">
              <w:rPr>
                <w:rFonts w:eastAsia="Times New Roman" w:cs="Times New Roman"/>
                <w:w w:val="99"/>
              </w:rPr>
              <w:t>Hidrojen siyanür                 (HCN)</w:t>
            </w:r>
          </w:p>
        </w:tc>
        <w:tc>
          <w:tcPr>
            <w:tcW w:w="1985" w:type="dxa"/>
            <w:vMerge w:val="restart"/>
            <w:tcBorders>
              <w:right w:val="single" w:sz="8" w:space="0" w:color="auto"/>
            </w:tcBorders>
            <w:shd w:val="clear" w:color="auto" w:fill="auto"/>
            <w:vAlign w:val="center"/>
          </w:tcPr>
          <w:p w14:paraId="2A9C8A60" w14:textId="77777777" w:rsidR="00A52778" w:rsidRPr="00460F9E" w:rsidRDefault="00A52778" w:rsidP="00FC3F8E">
            <w:pPr>
              <w:spacing w:line="0" w:lineRule="atLeast"/>
              <w:jc w:val="center"/>
              <w:rPr>
                <w:rFonts w:eastAsia="Times New Roman" w:cs="Times New Roman"/>
                <w:b/>
                <w:w w:val="93"/>
                <w:highlight w:val="yellow"/>
              </w:rPr>
            </w:pPr>
            <w:r w:rsidRPr="00460F9E">
              <w:rPr>
                <w:rFonts w:eastAsia="Times New Roman" w:cs="Times New Roman"/>
                <w:w w:val="93"/>
              </w:rPr>
              <w:t xml:space="preserve">Tüm              </w:t>
            </w:r>
            <w:r w:rsidRPr="00460F9E">
              <w:rPr>
                <w:rFonts w:eastAsia="Times New Roman" w:cs="Times New Roman"/>
                <w:w w:val="99"/>
              </w:rPr>
              <w:t>prosesler</w:t>
            </w:r>
            <w:r w:rsidRPr="00460F9E">
              <w:rPr>
                <w:rFonts w:eastAsia="Times New Roman" w:cs="Times New Roman"/>
                <w:w w:val="93"/>
              </w:rPr>
              <w:t xml:space="preserve"> /kaynaklar</w:t>
            </w:r>
          </w:p>
        </w:tc>
        <w:tc>
          <w:tcPr>
            <w:tcW w:w="1134" w:type="dxa"/>
            <w:vMerge w:val="restart"/>
            <w:tcBorders>
              <w:right w:val="single" w:sz="8" w:space="0" w:color="auto"/>
            </w:tcBorders>
            <w:shd w:val="clear" w:color="auto" w:fill="auto"/>
            <w:vAlign w:val="center"/>
          </w:tcPr>
          <w:p w14:paraId="52755B0B" w14:textId="77777777" w:rsidR="00A52778" w:rsidRPr="00460F9E" w:rsidRDefault="00A52778" w:rsidP="00FC3F8E">
            <w:pPr>
              <w:spacing w:line="0" w:lineRule="atLeast"/>
              <w:jc w:val="center"/>
              <w:rPr>
                <w:rFonts w:eastAsia="Times New Roman" w:cs="Times New Roman"/>
                <w:b/>
                <w:sz w:val="18"/>
                <w:highlight w:val="yellow"/>
              </w:rPr>
            </w:pPr>
            <w:r w:rsidRPr="00460F9E">
              <w:rPr>
                <w:rFonts w:eastAsia="Times New Roman" w:cs="Times New Roman"/>
                <w:w w:val="99"/>
              </w:rPr>
              <w:t>Herhangi bir baca</w:t>
            </w:r>
          </w:p>
        </w:tc>
        <w:tc>
          <w:tcPr>
            <w:tcW w:w="1984" w:type="dxa"/>
            <w:vMerge w:val="restart"/>
            <w:tcBorders>
              <w:right w:val="single" w:sz="8" w:space="0" w:color="auto"/>
            </w:tcBorders>
            <w:shd w:val="clear" w:color="auto" w:fill="auto"/>
            <w:vAlign w:val="center"/>
          </w:tcPr>
          <w:p w14:paraId="7B328A7C"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 xml:space="preserve">EN standardı </w:t>
            </w:r>
          </w:p>
          <w:p w14:paraId="5CF7C0EA" w14:textId="77777777" w:rsidR="00A52778" w:rsidRPr="00460F9E" w:rsidRDefault="00A52778" w:rsidP="00FC3F8E">
            <w:pPr>
              <w:spacing w:line="0" w:lineRule="atLeast"/>
              <w:jc w:val="center"/>
              <w:rPr>
                <w:rFonts w:eastAsia="Times New Roman" w:cs="Times New Roman"/>
                <w:b/>
                <w:highlight w:val="yellow"/>
              </w:rPr>
            </w:pPr>
            <w:r w:rsidRPr="00460F9E">
              <w:rPr>
                <w:rFonts w:eastAsia="Times New Roman" w:cs="Times New Roman"/>
                <w:w w:val="99"/>
              </w:rPr>
              <w:t>mevcut değil</w:t>
            </w:r>
          </w:p>
        </w:tc>
        <w:tc>
          <w:tcPr>
            <w:tcW w:w="1276" w:type="dxa"/>
            <w:vMerge w:val="restart"/>
            <w:tcBorders>
              <w:right w:val="single" w:sz="8" w:space="0" w:color="auto"/>
            </w:tcBorders>
            <w:shd w:val="clear" w:color="auto" w:fill="auto"/>
            <w:vAlign w:val="center"/>
          </w:tcPr>
          <w:p w14:paraId="27B0B33E" w14:textId="77777777" w:rsidR="00A52778" w:rsidRPr="00460F9E" w:rsidRDefault="00A52778" w:rsidP="00FC3F8E">
            <w:pPr>
              <w:spacing w:line="236" w:lineRule="exact"/>
              <w:jc w:val="center"/>
              <w:rPr>
                <w:rFonts w:eastAsia="Times New Roman" w:cs="Times New Roman"/>
                <w:b/>
              </w:rPr>
            </w:pPr>
            <w:r w:rsidRPr="00460F9E">
              <w:rPr>
                <w:rFonts w:eastAsia="Times New Roman" w:cs="Times New Roman"/>
              </w:rPr>
              <w:t xml:space="preserve">Her yıl                        1 kere              </w:t>
            </w:r>
            <w:r w:rsidRPr="00460F9E">
              <w:rPr>
                <w:rFonts w:eastAsia="Times New Roman" w:cs="Times New Roman"/>
                <w:w w:val="90"/>
              </w:rPr>
              <w:t>(</w:t>
            </w:r>
            <w:r w:rsidRPr="00460F9E">
              <w:rPr>
                <w:rFonts w:eastAsia="Times New Roman" w:cs="Times New Roman"/>
                <w:w w:val="90"/>
                <w:sz w:val="25"/>
                <w:vertAlign w:val="superscript"/>
              </w:rPr>
              <w:t>3</w:t>
            </w:r>
            <w:r w:rsidRPr="00460F9E">
              <w:rPr>
                <w:rFonts w:eastAsia="Times New Roman" w:cs="Times New Roman"/>
                <w:w w:val="90"/>
              </w:rPr>
              <w:t>) (</w:t>
            </w:r>
            <w:r w:rsidRPr="00460F9E">
              <w:rPr>
                <w:rFonts w:eastAsia="Times New Roman" w:cs="Times New Roman"/>
                <w:w w:val="90"/>
                <w:sz w:val="25"/>
                <w:vertAlign w:val="superscript"/>
              </w:rPr>
              <w:t>7</w:t>
            </w:r>
            <w:r w:rsidRPr="00460F9E">
              <w:rPr>
                <w:rFonts w:eastAsia="Times New Roman" w:cs="Times New Roman"/>
                <w:w w:val="90"/>
              </w:rPr>
              <w:t>)</w:t>
            </w:r>
          </w:p>
        </w:tc>
        <w:tc>
          <w:tcPr>
            <w:tcW w:w="1276" w:type="dxa"/>
            <w:tcBorders>
              <w:right w:val="single" w:sz="8" w:space="0" w:color="auto"/>
            </w:tcBorders>
            <w:shd w:val="clear" w:color="auto" w:fill="auto"/>
            <w:vAlign w:val="bottom"/>
          </w:tcPr>
          <w:p w14:paraId="40D90A05" w14:textId="77777777" w:rsidR="00A52778" w:rsidRPr="00460F9E" w:rsidRDefault="00A52778" w:rsidP="00FC3F8E">
            <w:pPr>
              <w:spacing w:line="0" w:lineRule="atLeast"/>
              <w:rPr>
                <w:rFonts w:eastAsia="Times New Roman" w:cs="Times New Roman"/>
                <w:b/>
                <w:sz w:val="18"/>
              </w:rPr>
            </w:pPr>
          </w:p>
        </w:tc>
      </w:tr>
      <w:tr w:rsidR="00A52778" w:rsidRPr="00460F9E" w14:paraId="700F0DE0" w14:textId="77777777" w:rsidTr="00FC3F8E">
        <w:trPr>
          <w:trHeight w:val="345"/>
        </w:trPr>
        <w:tc>
          <w:tcPr>
            <w:tcW w:w="1701" w:type="dxa"/>
            <w:vMerge/>
            <w:tcBorders>
              <w:left w:val="single" w:sz="8" w:space="0" w:color="auto"/>
              <w:bottom w:val="nil"/>
              <w:right w:val="single" w:sz="8" w:space="0" w:color="auto"/>
            </w:tcBorders>
            <w:shd w:val="clear" w:color="auto" w:fill="auto"/>
            <w:vAlign w:val="bottom"/>
          </w:tcPr>
          <w:p w14:paraId="1058308D" w14:textId="77777777" w:rsidR="00A52778" w:rsidRPr="00460F9E" w:rsidRDefault="00A52778" w:rsidP="00FC3F8E">
            <w:pPr>
              <w:spacing w:line="0" w:lineRule="atLeast"/>
              <w:jc w:val="center"/>
              <w:rPr>
                <w:rFonts w:eastAsia="Times New Roman" w:cs="Times New Roman"/>
                <w:b/>
                <w:sz w:val="10"/>
                <w:highlight w:val="yellow"/>
              </w:rPr>
            </w:pPr>
          </w:p>
        </w:tc>
        <w:tc>
          <w:tcPr>
            <w:tcW w:w="1985" w:type="dxa"/>
            <w:vMerge/>
            <w:tcBorders>
              <w:bottom w:val="nil"/>
              <w:right w:val="single" w:sz="8" w:space="0" w:color="auto"/>
            </w:tcBorders>
            <w:shd w:val="clear" w:color="auto" w:fill="auto"/>
            <w:vAlign w:val="bottom"/>
          </w:tcPr>
          <w:p w14:paraId="224B5230" w14:textId="77777777" w:rsidR="00A52778" w:rsidRPr="00460F9E" w:rsidRDefault="00A52778" w:rsidP="00FC3F8E">
            <w:pPr>
              <w:spacing w:line="0" w:lineRule="atLeast"/>
              <w:jc w:val="center"/>
              <w:rPr>
                <w:rFonts w:eastAsia="Times New Roman" w:cs="Times New Roman"/>
                <w:b/>
                <w:sz w:val="10"/>
                <w:highlight w:val="yellow"/>
              </w:rPr>
            </w:pPr>
          </w:p>
        </w:tc>
        <w:tc>
          <w:tcPr>
            <w:tcW w:w="1134" w:type="dxa"/>
            <w:vMerge/>
            <w:tcBorders>
              <w:bottom w:val="nil"/>
              <w:right w:val="single" w:sz="8" w:space="0" w:color="auto"/>
            </w:tcBorders>
            <w:shd w:val="clear" w:color="auto" w:fill="auto"/>
            <w:vAlign w:val="bottom"/>
          </w:tcPr>
          <w:p w14:paraId="3E9CC16C" w14:textId="77777777" w:rsidR="00A52778" w:rsidRPr="00460F9E" w:rsidRDefault="00A52778" w:rsidP="00FC3F8E">
            <w:pPr>
              <w:spacing w:line="0" w:lineRule="atLeast"/>
              <w:jc w:val="center"/>
              <w:rPr>
                <w:rFonts w:eastAsia="Times New Roman" w:cs="Times New Roman"/>
                <w:b/>
                <w:w w:val="99"/>
                <w:highlight w:val="yellow"/>
              </w:rPr>
            </w:pPr>
          </w:p>
        </w:tc>
        <w:tc>
          <w:tcPr>
            <w:tcW w:w="1984" w:type="dxa"/>
            <w:vMerge/>
            <w:tcBorders>
              <w:bottom w:val="nil"/>
              <w:right w:val="single" w:sz="8" w:space="0" w:color="auto"/>
            </w:tcBorders>
            <w:shd w:val="clear" w:color="auto" w:fill="auto"/>
            <w:vAlign w:val="bottom"/>
          </w:tcPr>
          <w:p w14:paraId="1EB518BD" w14:textId="77777777" w:rsidR="00A52778" w:rsidRPr="00460F9E" w:rsidRDefault="00A52778" w:rsidP="00FC3F8E">
            <w:pPr>
              <w:spacing w:line="0" w:lineRule="atLeast"/>
              <w:jc w:val="center"/>
              <w:rPr>
                <w:rFonts w:eastAsia="Times New Roman" w:cs="Times New Roman"/>
                <w:b/>
                <w:sz w:val="10"/>
                <w:highlight w:val="yellow"/>
              </w:rPr>
            </w:pPr>
          </w:p>
        </w:tc>
        <w:tc>
          <w:tcPr>
            <w:tcW w:w="1276" w:type="dxa"/>
            <w:vMerge/>
            <w:tcBorders>
              <w:bottom w:val="nil"/>
              <w:right w:val="single" w:sz="8" w:space="0" w:color="auto"/>
            </w:tcBorders>
            <w:shd w:val="clear" w:color="auto" w:fill="auto"/>
            <w:vAlign w:val="bottom"/>
          </w:tcPr>
          <w:p w14:paraId="2482CF99" w14:textId="77777777" w:rsidR="00A52778" w:rsidRPr="00460F9E" w:rsidRDefault="00A52778" w:rsidP="00FC3F8E">
            <w:pPr>
              <w:spacing w:line="236" w:lineRule="exact"/>
              <w:jc w:val="center"/>
              <w:rPr>
                <w:rFonts w:eastAsia="Times New Roman" w:cs="Times New Roman"/>
                <w:b/>
                <w:w w:val="98"/>
              </w:rPr>
            </w:pPr>
          </w:p>
        </w:tc>
        <w:tc>
          <w:tcPr>
            <w:tcW w:w="1276" w:type="dxa"/>
            <w:tcBorders>
              <w:bottom w:val="nil"/>
              <w:right w:val="single" w:sz="8" w:space="0" w:color="auto"/>
            </w:tcBorders>
            <w:shd w:val="clear" w:color="auto" w:fill="auto"/>
            <w:vAlign w:val="bottom"/>
          </w:tcPr>
          <w:p w14:paraId="4962D841" w14:textId="77777777" w:rsidR="00A52778" w:rsidRPr="00460F9E" w:rsidRDefault="002A1746" w:rsidP="00FC3F8E">
            <w:pPr>
              <w:spacing w:line="0" w:lineRule="atLeast"/>
              <w:jc w:val="center"/>
              <w:rPr>
                <w:rFonts w:eastAsia="Times New Roman" w:cs="Times New Roman"/>
                <w:b/>
              </w:rPr>
            </w:pPr>
            <w:hyperlink w:anchor="page309" w:history="1">
              <w:r w:rsidR="00A52778" w:rsidRPr="00460F9E">
                <w:rPr>
                  <w:rFonts w:cs="Times New Roman"/>
                </w:rPr>
                <w:t xml:space="preserve"> </w:t>
              </w:r>
              <w:r w:rsidR="00A52778" w:rsidRPr="00460F9E">
                <w:rPr>
                  <w:rFonts w:eastAsia="Times New Roman" w:cs="Times New Roman"/>
                </w:rPr>
                <w:t>MET 18</w:t>
              </w:r>
            </w:hyperlink>
          </w:p>
        </w:tc>
      </w:tr>
      <w:tr w:rsidR="00A52778" w:rsidRPr="00460F9E" w14:paraId="1F0E5172" w14:textId="77777777" w:rsidTr="00FC3F8E">
        <w:trPr>
          <w:trHeight w:val="115"/>
        </w:trPr>
        <w:tc>
          <w:tcPr>
            <w:tcW w:w="1701" w:type="dxa"/>
            <w:vMerge/>
            <w:tcBorders>
              <w:left w:val="single" w:sz="8" w:space="0" w:color="auto"/>
              <w:right w:val="single" w:sz="8" w:space="0" w:color="auto"/>
            </w:tcBorders>
            <w:shd w:val="clear" w:color="auto" w:fill="auto"/>
            <w:vAlign w:val="bottom"/>
          </w:tcPr>
          <w:p w14:paraId="0C944988"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right w:val="single" w:sz="8" w:space="0" w:color="auto"/>
            </w:tcBorders>
            <w:shd w:val="clear" w:color="auto" w:fill="auto"/>
            <w:vAlign w:val="bottom"/>
          </w:tcPr>
          <w:p w14:paraId="2FD5A353"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right w:val="single" w:sz="8" w:space="0" w:color="auto"/>
            </w:tcBorders>
            <w:shd w:val="clear" w:color="auto" w:fill="auto"/>
            <w:vAlign w:val="bottom"/>
          </w:tcPr>
          <w:p w14:paraId="31E7747B" w14:textId="77777777" w:rsidR="00A52778" w:rsidRPr="00460F9E" w:rsidRDefault="00A52778" w:rsidP="00FC3F8E">
            <w:pPr>
              <w:spacing w:line="0" w:lineRule="atLeast"/>
              <w:rPr>
                <w:rFonts w:eastAsia="Times New Roman" w:cs="Times New Roman"/>
                <w:b/>
                <w:sz w:val="10"/>
                <w:highlight w:val="yellow"/>
              </w:rPr>
            </w:pPr>
          </w:p>
        </w:tc>
        <w:tc>
          <w:tcPr>
            <w:tcW w:w="1984" w:type="dxa"/>
            <w:vMerge/>
            <w:tcBorders>
              <w:right w:val="single" w:sz="8" w:space="0" w:color="auto"/>
            </w:tcBorders>
            <w:shd w:val="clear" w:color="auto" w:fill="auto"/>
            <w:vAlign w:val="bottom"/>
          </w:tcPr>
          <w:p w14:paraId="176C578C"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right w:val="single" w:sz="8" w:space="0" w:color="auto"/>
            </w:tcBorders>
            <w:shd w:val="clear" w:color="auto" w:fill="auto"/>
            <w:vAlign w:val="bottom"/>
          </w:tcPr>
          <w:p w14:paraId="32674690" w14:textId="77777777" w:rsidR="00A52778" w:rsidRPr="00460F9E" w:rsidRDefault="00A52778" w:rsidP="00FC3F8E">
            <w:pPr>
              <w:spacing w:line="236" w:lineRule="exact"/>
              <w:jc w:val="center"/>
              <w:rPr>
                <w:rFonts w:eastAsia="Times New Roman" w:cs="Times New Roman"/>
                <w:b/>
                <w:w w:val="95"/>
              </w:rPr>
            </w:pPr>
          </w:p>
        </w:tc>
        <w:tc>
          <w:tcPr>
            <w:tcW w:w="1276" w:type="dxa"/>
            <w:tcBorders>
              <w:right w:val="single" w:sz="8" w:space="0" w:color="auto"/>
            </w:tcBorders>
            <w:shd w:val="clear" w:color="auto" w:fill="auto"/>
            <w:vAlign w:val="bottom"/>
          </w:tcPr>
          <w:p w14:paraId="3F0ADEB3" w14:textId="77777777" w:rsidR="00A52778" w:rsidRPr="00460F9E" w:rsidRDefault="00A52778" w:rsidP="00FC3F8E">
            <w:pPr>
              <w:spacing w:line="0" w:lineRule="atLeast"/>
              <w:rPr>
                <w:rFonts w:eastAsia="Times New Roman" w:cs="Times New Roman"/>
                <w:b/>
                <w:sz w:val="10"/>
              </w:rPr>
            </w:pPr>
          </w:p>
        </w:tc>
      </w:tr>
      <w:tr w:rsidR="00A52778" w:rsidRPr="00460F9E" w14:paraId="3C85A63A" w14:textId="77777777" w:rsidTr="00FC3F8E">
        <w:trPr>
          <w:trHeight w:val="121"/>
        </w:trPr>
        <w:tc>
          <w:tcPr>
            <w:tcW w:w="1701" w:type="dxa"/>
            <w:vMerge/>
            <w:tcBorders>
              <w:left w:val="single" w:sz="8" w:space="0" w:color="auto"/>
              <w:bottom w:val="single" w:sz="8" w:space="0" w:color="auto"/>
              <w:right w:val="single" w:sz="8" w:space="0" w:color="auto"/>
            </w:tcBorders>
            <w:shd w:val="clear" w:color="auto" w:fill="auto"/>
            <w:vAlign w:val="bottom"/>
          </w:tcPr>
          <w:p w14:paraId="035742C8"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bottom w:val="single" w:sz="8" w:space="0" w:color="auto"/>
              <w:right w:val="single" w:sz="8" w:space="0" w:color="auto"/>
            </w:tcBorders>
            <w:shd w:val="clear" w:color="auto" w:fill="auto"/>
            <w:vAlign w:val="bottom"/>
          </w:tcPr>
          <w:p w14:paraId="45A9A742"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bottom w:val="single" w:sz="8" w:space="0" w:color="auto"/>
              <w:right w:val="single" w:sz="8" w:space="0" w:color="auto"/>
            </w:tcBorders>
            <w:shd w:val="clear" w:color="auto" w:fill="auto"/>
            <w:vAlign w:val="bottom"/>
          </w:tcPr>
          <w:p w14:paraId="18825616" w14:textId="77777777" w:rsidR="00A52778" w:rsidRPr="00460F9E" w:rsidRDefault="00A52778" w:rsidP="00FC3F8E">
            <w:pPr>
              <w:spacing w:line="0" w:lineRule="atLeast"/>
              <w:rPr>
                <w:rFonts w:eastAsia="Times New Roman" w:cs="Times New Roman"/>
                <w:b/>
                <w:sz w:val="10"/>
                <w:highlight w:val="yellow"/>
              </w:rPr>
            </w:pPr>
          </w:p>
        </w:tc>
        <w:tc>
          <w:tcPr>
            <w:tcW w:w="1984" w:type="dxa"/>
            <w:vMerge/>
            <w:tcBorders>
              <w:bottom w:val="single" w:sz="8" w:space="0" w:color="auto"/>
              <w:right w:val="single" w:sz="8" w:space="0" w:color="auto"/>
            </w:tcBorders>
            <w:shd w:val="clear" w:color="auto" w:fill="auto"/>
            <w:vAlign w:val="bottom"/>
          </w:tcPr>
          <w:p w14:paraId="5B2D4BEE"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bottom w:val="single" w:sz="8" w:space="0" w:color="auto"/>
              <w:right w:val="single" w:sz="8" w:space="0" w:color="auto"/>
            </w:tcBorders>
            <w:shd w:val="clear" w:color="auto" w:fill="auto"/>
            <w:vAlign w:val="bottom"/>
          </w:tcPr>
          <w:p w14:paraId="73C6BD4E" w14:textId="77777777" w:rsidR="00A52778" w:rsidRPr="00460F9E" w:rsidRDefault="00A52778" w:rsidP="00FC3F8E">
            <w:pPr>
              <w:spacing w:line="0" w:lineRule="atLeast"/>
              <w:rPr>
                <w:rFonts w:eastAsia="Times New Roman" w:cs="Times New Roman"/>
                <w:b/>
                <w:sz w:val="10"/>
              </w:rPr>
            </w:pPr>
          </w:p>
        </w:tc>
        <w:tc>
          <w:tcPr>
            <w:tcW w:w="1276" w:type="dxa"/>
            <w:tcBorders>
              <w:bottom w:val="single" w:sz="8" w:space="0" w:color="auto"/>
              <w:right w:val="single" w:sz="8" w:space="0" w:color="auto"/>
            </w:tcBorders>
            <w:shd w:val="clear" w:color="auto" w:fill="auto"/>
            <w:vAlign w:val="bottom"/>
          </w:tcPr>
          <w:p w14:paraId="2A593CFE" w14:textId="77777777" w:rsidR="00A52778" w:rsidRPr="00460F9E" w:rsidRDefault="00A52778" w:rsidP="00FC3F8E">
            <w:pPr>
              <w:spacing w:line="0" w:lineRule="atLeast"/>
              <w:rPr>
                <w:rFonts w:eastAsia="Times New Roman" w:cs="Times New Roman"/>
                <w:b/>
                <w:sz w:val="10"/>
              </w:rPr>
            </w:pPr>
          </w:p>
        </w:tc>
      </w:tr>
      <w:tr w:rsidR="00A52778" w:rsidRPr="00460F9E" w14:paraId="4697E434" w14:textId="77777777" w:rsidTr="00FC3F8E">
        <w:trPr>
          <w:trHeight w:val="214"/>
        </w:trPr>
        <w:tc>
          <w:tcPr>
            <w:tcW w:w="1701" w:type="dxa"/>
            <w:vMerge w:val="restart"/>
            <w:tcBorders>
              <w:left w:val="single" w:sz="8" w:space="0" w:color="auto"/>
              <w:right w:val="single" w:sz="8" w:space="0" w:color="auto"/>
            </w:tcBorders>
            <w:shd w:val="clear" w:color="auto" w:fill="auto"/>
            <w:vAlign w:val="center"/>
          </w:tcPr>
          <w:p w14:paraId="6E46E39F" w14:textId="77777777" w:rsidR="00A52778" w:rsidRPr="00460F9E" w:rsidRDefault="00A52778" w:rsidP="00FC3F8E">
            <w:pPr>
              <w:spacing w:line="228" w:lineRule="exact"/>
              <w:jc w:val="center"/>
              <w:rPr>
                <w:rFonts w:eastAsia="Times New Roman" w:cs="Times New Roman"/>
                <w:b/>
                <w:highlight w:val="yellow"/>
              </w:rPr>
            </w:pPr>
            <w:r w:rsidRPr="00460F9E">
              <w:rPr>
                <w:rFonts w:eastAsia="Times New Roman" w:cs="Times New Roman"/>
              </w:rPr>
              <w:t>Kurşun                           ve bileşikleri</w:t>
            </w:r>
          </w:p>
        </w:tc>
        <w:tc>
          <w:tcPr>
            <w:tcW w:w="1985" w:type="dxa"/>
            <w:vMerge w:val="restart"/>
            <w:tcBorders>
              <w:right w:val="single" w:sz="8" w:space="0" w:color="auto"/>
            </w:tcBorders>
            <w:shd w:val="clear" w:color="auto" w:fill="auto"/>
            <w:vAlign w:val="center"/>
          </w:tcPr>
          <w:p w14:paraId="309741D3" w14:textId="77777777" w:rsidR="00A52778" w:rsidRPr="00460F9E" w:rsidRDefault="00A52778" w:rsidP="00FC3F8E">
            <w:pPr>
              <w:spacing w:line="228" w:lineRule="exact"/>
              <w:jc w:val="center"/>
              <w:rPr>
                <w:rFonts w:eastAsia="Times New Roman" w:cs="Times New Roman"/>
                <w:b/>
                <w:w w:val="93"/>
                <w:highlight w:val="yellow"/>
              </w:rPr>
            </w:pPr>
            <w:r w:rsidRPr="00460F9E">
              <w:rPr>
                <w:rFonts w:eastAsia="Times New Roman" w:cs="Times New Roman"/>
                <w:w w:val="93"/>
              </w:rPr>
              <w:t xml:space="preserve">Tüm              </w:t>
            </w:r>
            <w:r w:rsidRPr="00460F9E">
              <w:rPr>
                <w:rFonts w:eastAsia="Times New Roman" w:cs="Times New Roman"/>
                <w:w w:val="99"/>
              </w:rPr>
              <w:t>prosesler</w:t>
            </w:r>
            <w:r w:rsidRPr="00460F9E">
              <w:rPr>
                <w:rFonts w:eastAsia="Times New Roman" w:cs="Times New Roman"/>
                <w:w w:val="93"/>
              </w:rPr>
              <w:t xml:space="preserve"> /kaynaklar</w:t>
            </w:r>
          </w:p>
        </w:tc>
        <w:tc>
          <w:tcPr>
            <w:tcW w:w="1134" w:type="dxa"/>
            <w:vMerge w:val="restart"/>
            <w:tcBorders>
              <w:right w:val="single" w:sz="8" w:space="0" w:color="auto"/>
            </w:tcBorders>
            <w:shd w:val="clear" w:color="auto" w:fill="auto"/>
            <w:vAlign w:val="center"/>
          </w:tcPr>
          <w:p w14:paraId="35C50742" w14:textId="77777777" w:rsidR="00A52778" w:rsidRPr="00460F9E" w:rsidRDefault="00A52778" w:rsidP="00FC3F8E">
            <w:pPr>
              <w:spacing w:line="0" w:lineRule="atLeast"/>
              <w:jc w:val="center"/>
              <w:rPr>
                <w:rFonts w:eastAsia="Times New Roman" w:cs="Times New Roman"/>
                <w:b/>
                <w:sz w:val="18"/>
                <w:highlight w:val="yellow"/>
              </w:rPr>
            </w:pPr>
            <w:r w:rsidRPr="00460F9E">
              <w:rPr>
                <w:rFonts w:eastAsia="Times New Roman" w:cs="Times New Roman"/>
                <w:w w:val="99"/>
              </w:rPr>
              <w:t>Herhangi bir baca</w:t>
            </w:r>
          </w:p>
        </w:tc>
        <w:tc>
          <w:tcPr>
            <w:tcW w:w="1984" w:type="dxa"/>
            <w:tcBorders>
              <w:right w:val="single" w:sz="8" w:space="0" w:color="auto"/>
            </w:tcBorders>
            <w:shd w:val="clear" w:color="auto" w:fill="auto"/>
            <w:vAlign w:val="bottom"/>
          </w:tcPr>
          <w:p w14:paraId="62B42D04" w14:textId="77777777" w:rsidR="00A52778" w:rsidRPr="00460F9E" w:rsidRDefault="00A52778" w:rsidP="00FC3F8E">
            <w:pPr>
              <w:spacing w:line="0" w:lineRule="atLeast"/>
              <w:rPr>
                <w:rFonts w:eastAsia="Times New Roman" w:cs="Times New Roman"/>
                <w:b/>
                <w:sz w:val="18"/>
                <w:highlight w:val="yellow"/>
              </w:rPr>
            </w:pPr>
          </w:p>
        </w:tc>
        <w:tc>
          <w:tcPr>
            <w:tcW w:w="1276" w:type="dxa"/>
            <w:vMerge w:val="restart"/>
            <w:tcBorders>
              <w:right w:val="single" w:sz="8" w:space="0" w:color="auto"/>
            </w:tcBorders>
            <w:shd w:val="clear" w:color="auto" w:fill="auto"/>
            <w:vAlign w:val="center"/>
          </w:tcPr>
          <w:p w14:paraId="352FDB94"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Her 6 ayda</w:t>
            </w:r>
          </w:p>
          <w:p w14:paraId="0807908A"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1 kere</w:t>
            </w:r>
          </w:p>
          <w:p w14:paraId="2540B475" w14:textId="77777777" w:rsidR="00A52778" w:rsidRPr="00460F9E" w:rsidRDefault="00A52778" w:rsidP="00FC3F8E">
            <w:pPr>
              <w:spacing w:line="234" w:lineRule="exact"/>
              <w:jc w:val="center"/>
              <w:rPr>
                <w:rFonts w:eastAsia="Times New Roman" w:cs="Times New Roman"/>
                <w:b/>
              </w:rPr>
            </w:pPr>
            <w:r w:rsidRPr="00460F9E">
              <w:rPr>
                <w:rFonts w:eastAsia="Times New Roman" w:cs="Times New Roman"/>
                <w:w w:val="95"/>
              </w:rPr>
              <w:t>(</w:t>
            </w:r>
            <w:r w:rsidRPr="00460F9E">
              <w:rPr>
                <w:rFonts w:eastAsia="Times New Roman" w:cs="Times New Roman"/>
                <w:w w:val="95"/>
                <w:sz w:val="25"/>
                <w:vertAlign w:val="superscript"/>
              </w:rPr>
              <w:t>3</w:t>
            </w:r>
            <w:r w:rsidRPr="00460F9E">
              <w:rPr>
                <w:rFonts w:eastAsia="Times New Roman" w:cs="Times New Roman"/>
                <w:w w:val="95"/>
              </w:rPr>
              <w:t>) (</w:t>
            </w:r>
            <w:r w:rsidRPr="00460F9E">
              <w:rPr>
                <w:rFonts w:eastAsia="Times New Roman" w:cs="Times New Roman"/>
                <w:w w:val="95"/>
                <w:sz w:val="25"/>
                <w:vertAlign w:val="superscript"/>
              </w:rPr>
              <w:t>9</w:t>
            </w:r>
            <w:r w:rsidRPr="00460F9E">
              <w:rPr>
                <w:rFonts w:eastAsia="Times New Roman" w:cs="Times New Roman"/>
                <w:w w:val="95"/>
              </w:rPr>
              <w:t>)</w:t>
            </w:r>
          </w:p>
        </w:tc>
        <w:tc>
          <w:tcPr>
            <w:tcW w:w="1276" w:type="dxa"/>
            <w:tcBorders>
              <w:right w:val="single" w:sz="8" w:space="0" w:color="auto"/>
            </w:tcBorders>
            <w:shd w:val="clear" w:color="auto" w:fill="auto"/>
            <w:vAlign w:val="bottom"/>
          </w:tcPr>
          <w:p w14:paraId="3E57BA6E" w14:textId="77777777" w:rsidR="00A52778" w:rsidRPr="00460F9E" w:rsidRDefault="00A52778" w:rsidP="00FC3F8E">
            <w:pPr>
              <w:spacing w:line="0" w:lineRule="atLeast"/>
              <w:rPr>
                <w:rFonts w:eastAsia="Times New Roman" w:cs="Times New Roman"/>
                <w:b/>
                <w:sz w:val="18"/>
              </w:rPr>
            </w:pPr>
          </w:p>
        </w:tc>
      </w:tr>
      <w:tr w:rsidR="00A52778" w:rsidRPr="00460F9E" w14:paraId="1BC471CE" w14:textId="77777777" w:rsidTr="00FC3F8E">
        <w:trPr>
          <w:trHeight w:val="456"/>
        </w:trPr>
        <w:tc>
          <w:tcPr>
            <w:tcW w:w="1701" w:type="dxa"/>
            <w:vMerge/>
            <w:tcBorders>
              <w:left w:val="single" w:sz="8" w:space="0" w:color="auto"/>
              <w:bottom w:val="nil"/>
              <w:right w:val="single" w:sz="8" w:space="0" w:color="auto"/>
            </w:tcBorders>
            <w:shd w:val="clear" w:color="auto" w:fill="auto"/>
            <w:vAlign w:val="bottom"/>
          </w:tcPr>
          <w:p w14:paraId="4C1A7B5A" w14:textId="77777777" w:rsidR="00A52778" w:rsidRPr="00460F9E" w:rsidRDefault="00A52778" w:rsidP="00FC3F8E">
            <w:pPr>
              <w:spacing w:line="228" w:lineRule="exact"/>
              <w:jc w:val="center"/>
              <w:rPr>
                <w:rFonts w:eastAsia="Times New Roman" w:cs="Times New Roman"/>
                <w:b/>
                <w:sz w:val="10"/>
                <w:highlight w:val="yellow"/>
              </w:rPr>
            </w:pPr>
          </w:p>
        </w:tc>
        <w:tc>
          <w:tcPr>
            <w:tcW w:w="1985" w:type="dxa"/>
            <w:vMerge/>
            <w:tcBorders>
              <w:bottom w:val="nil"/>
              <w:right w:val="single" w:sz="8" w:space="0" w:color="auto"/>
            </w:tcBorders>
            <w:shd w:val="clear" w:color="auto" w:fill="auto"/>
            <w:vAlign w:val="bottom"/>
          </w:tcPr>
          <w:p w14:paraId="2EFB0B15" w14:textId="77777777" w:rsidR="00A52778" w:rsidRPr="00460F9E" w:rsidRDefault="00A52778" w:rsidP="00FC3F8E">
            <w:pPr>
              <w:spacing w:line="228" w:lineRule="exact"/>
              <w:jc w:val="center"/>
              <w:rPr>
                <w:rFonts w:eastAsia="Times New Roman" w:cs="Times New Roman"/>
                <w:b/>
                <w:sz w:val="10"/>
                <w:highlight w:val="yellow"/>
              </w:rPr>
            </w:pPr>
          </w:p>
        </w:tc>
        <w:tc>
          <w:tcPr>
            <w:tcW w:w="1134" w:type="dxa"/>
            <w:vMerge/>
            <w:tcBorders>
              <w:right w:val="single" w:sz="8" w:space="0" w:color="auto"/>
            </w:tcBorders>
            <w:shd w:val="clear" w:color="auto" w:fill="auto"/>
            <w:vAlign w:val="center"/>
          </w:tcPr>
          <w:p w14:paraId="6FE4E0DE" w14:textId="77777777" w:rsidR="00A52778" w:rsidRPr="00460F9E" w:rsidRDefault="00A52778" w:rsidP="00FC3F8E">
            <w:pPr>
              <w:spacing w:line="0" w:lineRule="atLeast"/>
              <w:jc w:val="center"/>
              <w:rPr>
                <w:rFonts w:eastAsia="Times New Roman" w:cs="Times New Roman"/>
                <w:b/>
                <w:w w:val="99"/>
                <w:highlight w:val="yellow"/>
              </w:rPr>
            </w:pPr>
          </w:p>
        </w:tc>
        <w:tc>
          <w:tcPr>
            <w:tcW w:w="1984" w:type="dxa"/>
            <w:tcBorders>
              <w:bottom w:val="nil"/>
              <w:right w:val="single" w:sz="8" w:space="0" w:color="auto"/>
            </w:tcBorders>
            <w:shd w:val="clear" w:color="auto" w:fill="auto"/>
            <w:vAlign w:val="bottom"/>
          </w:tcPr>
          <w:p w14:paraId="3A93A65A" w14:textId="77777777" w:rsidR="00A52778" w:rsidRPr="00460F9E" w:rsidRDefault="00A52778" w:rsidP="00FC3F8E">
            <w:pPr>
              <w:spacing w:line="0" w:lineRule="atLeast"/>
              <w:jc w:val="center"/>
              <w:rPr>
                <w:rFonts w:eastAsia="Times New Roman" w:cs="Times New Roman"/>
                <w:b/>
                <w:highlight w:val="yellow"/>
              </w:rPr>
            </w:pPr>
            <w:r w:rsidRPr="00460F9E">
              <w:rPr>
                <w:rFonts w:eastAsia="Times New Roman" w:cs="Times New Roman"/>
              </w:rPr>
              <w:t>EN 14385</w:t>
            </w:r>
          </w:p>
        </w:tc>
        <w:tc>
          <w:tcPr>
            <w:tcW w:w="1276" w:type="dxa"/>
            <w:vMerge/>
            <w:tcBorders>
              <w:right w:val="single" w:sz="8" w:space="0" w:color="auto"/>
            </w:tcBorders>
            <w:shd w:val="clear" w:color="auto" w:fill="auto"/>
            <w:vAlign w:val="center"/>
          </w:tcPr>
          <w:p w14:paraId="4D618E5B" w14:textId="77777777" w:rsidR="00A52778" w:rsidRPr="00460F9E" w:rsidRDefault="00A52778" w:rsidP="00FC3F8E">
            <w:pPr>
              <w:spacing w:line="234" w:lineRule="exact"/>
              <w:jc w:val="center"/>
              <w:rPr>
                <w:rFonts w:eastAsia="Times New Roman" w:cs="Times New Roman"/>
                <w:b/>
              </w:rPr>
            </w:pPr>
          </w:p>
        </w:tc>
        <w:tc>
          <w:tcPr>
            <w:tcW w:w="1276" w:type="dxa"/>
            <w:tcBorders>
              <w:bottom w:val="nil"/>
              <w:right w:val="single" w:sz="8" w:space="0" w:color="auto"/>
            </w:tcBorders>
            <w:shd w:val="clear" w:color="auto" w:fill="auto"/>
            <w:vAlign w:val="bottom"/>
          </w:tcPr>
          <w:p w14:paraId="329F13B9" w14:textId="77777777" w:rsidR="00A52778" w:rsidRPr="00460F9E" w:rsidRDefault="002A1746" w:rsidP="00FC3F8E">
            <w:pPr>
              <w:spacing w:line="0" w:lineRule="atLeast"/>
              <w:jc w:val="center"/>
              <w:rPr>
                <w:rFonts w:eastAsia="Times New Roman" w:cs="Times New Roman"/>
                <w:b/>
              </w:rPr>
            </w:pPr>
            <w:hyperlink w:anchor="page305" w:history="1">
              <w:r w:rsidR="00A52778" w:rsidRPr="00460F9E">
                <w:rPr>
                  <w:rFonts w:cs="Times New Roman"/>
                </w:rPr>
                <w:t xml:space="preserve"> </w:t>
              </w:r>
              <w:r w:rsidR="00A52778" w:rsidRPr="00460F9E">
                <w:rPr>
                  <w:rFonts w:eastAsia="Times New Roman" w:cs="Times New Roman"/>
                </w:rPr>
                <w:t>MET 14</w:t>
              </w:r>
            </w:hyperlink>
          </w:p>
        </w:tc>
      </w:tr>
      <w:tr w:rsidR="00A52778" w:rsidRPr="00460F9E" w14:paraId="73FB96D9" w14:textId="77777777" w:rsidTr="00FC3F8E">
        <w:trPr>
          <w:trHeight w:val="113"/>
        </w:trPr>
        <w:tc>
          <w:tcPr>
            <w:tcW w:w="1701" w:type="dxa"/>
            <w:vMerge/>
            <w:tcBorders>
              <w:left w:val="single" w:sz="8" w:space="0" w:color="auto"/>
              <w:right w:val="single" w:sz="8" w:space="0" w:color="auto"/>
            </w:tcBorders>
            <w:shd w:val="clear" w:color="auto" w:fill="auto"/>
            <w:vAlign w:val="bottom"/>
          </w:tcPr>
          <w:p w14:paraId="5A4EBE41" w14:textId="77777777" w:rsidR="00A52778" w:rsidRPr="00460F9E" w:rsidRDefault="00A52778" w:rsidP="00FC3F8E">
            <w:pPr>
              <w:spacing w:line="0" w:lineRule="atLeast"/>
              <w:rPr>
                <w:rFonts w:eastAsia="Times New Roman" w:cs="Times New Roman"/>
                <w:b/>
                <w:sz w:val="9"/>
                <w:highlight w:val="yellow"/>
              </w:rPr>
            </w:pPr>
          </w:p>
        </w:tc>
        <w:tc>
          <w:tcPr>
            <w:tcW w:w="1985" w:type="dxa"/>
            <w:vMerge/>
            <w:tcBorders>
              <w:right w:val="single" w:sz="8" w:space="0" w:color="auto"/>
            </w:tcBorders>
            <w:shd w:val="clear" w:color="auto" w:fill="auto"/>
            <w:vAlign w:val="bottom"/>
          </w:tcPr>
          <w:p w14:paraId="19E5BC53" w14:textId="77777777" w:rsidR="00A52778" w:rsidRPr="00460F9E" w:rsidRDefault="00A52778" w:rsidP="00FC3F8E">
            <w:pPr>
              <w:spacing w:line="0" w:lineRule="atLeast"/>
              <w:rPr>
                <w:rFonts w:eastAsia="Times New Roman" w:cs="Times New Roman"/>
                <w:b/>
                <w:sz w:val="9"/>
                <w:highlight w:val="yellow"/>
              </w:rPr>
            </w:pPr>
          </w:p>
        </w:tc>
        <w:tc>
          <w:tcPr>
            <w:tcW w:w="1134" w:type="dxa"/>
            <w:vMerge/>
            <w:tcBorders>
              <w:right w:val="single" w:sz="8" w:space="0" w:color="auto"/>
            </w:tcBorders>
            <w:shd w:val="clear" w:color="auto" w:fill="auto"/>
            <w:vAlign w:val="center"/>
          </w:tcPr>
          <w:p w14:paraId="1D768788" w14:textId="77777777" w:rsidR="00A52778" w:rsidRPr="00460F9E" w:rsidRDefault="00A52778" w:rsidP="00FC3F8E">
            <w:pPr>
              <w:spacing w:line="0" w:lineRule="atLeast"/>
              <w:jc w:val="center"/>
              <w:rPr>
                <w:rFonts w:eastAsia="Times New Roman" w:cs="Times New Roman"/>
                <w:b/>
                <w:sz w:val="9"/>
                <w:highlight w:val="yellow"/>
              </w:rPr>
            </w:pPr>
          </w:p>
        </w:tc>
        <w:tc>
          <w:tcPr>
            <w:tcW w:w="1984" w:type="dxa"/>
            <w:tcBorders>
              <w:right w:val="single" w:sz="8" w:space="0" w:color="auto"/>
            </w:tcBorders>
            <w:shd w:val="clear" w:color="auto" w:fill="auto"/>
            <w:vAlign w:val="bottom"/>
          </w:tcPr>
          <w:p w14:paraId="673A3BE7" w14:textId="77777777" w:rsidR="00A52778" w:rsidRPr="00460F9E" w:rsidRDefault="00A52778" w:rsidP="00FC3F8E">
            <w:pPr>
              <w:spacing w:line="0" w:lineRule="atLeast"/>
              <w:rPr>
                <w:rFonts w:eastAsia="Times New Roman" w:cs="Times New Roman"/>
                <w:b/>
                <w:sz w:val="9"/>
                <w:highlight w:val="yellow"/>
              </w:rPr>
            </w:pPr>
          </w:p>
        </w:tc>
        <w:tc>
          <w:tcPr>
            <w:tcW w:w="1276" w:type="dxa"/>
            <w:vMerge/>
            <w:tcBorders>
              <w:right w:val="single" w:sz="8" w:space="0" w:color="auto"/>
            </w:tcBorders>
            <w:shd w:val="clear" w:color="auto" w:fill="auto"/>
            <w:vAlign w:val="center"/>
          </w:tcPr>
          <w:p w14:paraId="40190268" w14:textId="77777777" w:rsidR="00A52778" w:rsidRPr="00460F9E" w:rsidRDefault="00A52778" w:rsidP="00FC3F8E">
            <w:pPr>
              <w:spacing w:line="234" w:lineRule="exact"/>
              <w:jc w:val="center"/>
              <w:rPr>
                <w:rFonts w:eastAsia="Times New Roman" w:cs="Times New Roman"/>
                <w:b/>
                <w:w w:val="95"/>
              </w:rPr>
            </w:pPr>
          </w:p>
        </w:tc>
        <w:tc>
          <w:tcPr>
            <w:tcW w:w="1276" w:type="dxa"/>
            <w:tcBorders>
              <w:right w:val="single" w:sz="8" w:space="0" w:color="auto"/>
            </w:tcBorders>
            <w:shd w:val="clear" w:color="auto" w:fill="auto"/>
            <w:vAlign w:val="bottom"/>
          </w:tcPr>
          <w:p w14:paraId="1A7E226E" w14:textId="77777777" w:rsidR="00A52778" w:rsidRPr="00460F9E" w:rsidRDefault="00A52778" w:rsidP="00FC3F8E">
            <w:pPr>
              <w:spacing w:line="0" w:lineRule="atLeast"/>
              <w:rPr>
                <w:rFonts w:eastAsia="Times New Roman" w:cs="Times New Roman"/>
                <w:b/>
                <w:sz w:val="9"/>
              </w:rPr>
            </w:pPr>
          </w:p>
        </w:tc>
      </w:tr>
      <w:tr w:rsidR="00A52778" w:rsidRPr="00460F9E" w14:paraId="57A17992" w14:textId="77777777" w:rsidTr="00FC3F8E">
        <w:trPr>
          <w:trHeight w:val="121"/>
        </w:trPr>
        <w:tc>
          <w:tcPr>
            <w:tcW w:w="1701" w:type="dxa"/>
            <w:vMerge/>
            <w:tcBorders>
              <w:left w:val="single" w:sz="8" w:space="0" w:color="auto"/>
              <w:bottom w:val="single" w:sz="8" w:space="0" w:color="auto"/>
              <w:right w:val="single" w:sz="8" w:space="0" w:color="auto"/>
            </w:tcBorders>
            <w:shd w:val="clear" w:color="auto" w:fill="auto"/>
            <w:vAlign w:val="bottom"/>
          </w:tcPr>
          <w:p w14:paraId="15D6E837"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bottom w:val="single" w:sz="8" w:space="0" w:color="auto"/>
              <w:right w:val="single" w:sz="8" w:space="0" w:color="auto"/>
            </w:tcBorders>
            <w:shd w:val="clear" w:color="auto" w:fill="auto"/>
            <w:vAlign w:val="bottom"/>
          </w:tcPr>
          <w:p w14:paraId="70973050"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bottom w:val="single" w:sz="8" w:space="0" w:color="auto"/>
              <w:right w:val="single" w:sz="8" w:space="0" w:color="auto"/>
            </w:tcBorders>
            <w:shd w:val="clear" w:color="auto" w:fill="auto"/>
            <w:vAlign w:val="center"/>
          </w:tcPr>
          <w:p w14:paraId="73255EF3" w14:textId="77777777" w:rsidR="00A52778" w:rsidRPr="00460F9E" w:rsidRDefault="00A52778" w:rsidP="00FC3F8E">
            <w:pPr>
              <w:spacing w:line="0" w:lineRule="atLeast"/>
              <w:jc w:val="center"/>
              <w:rPr>
                <w:rFonts w:eastAsia="Times New Roman" w:cs="Times New Roman"/>
                <w:b/>
                <w:sz w:val="10"/>
                <w:highlight w:val="yellow"/>
              </w:rPr>
            </w:pPr>
          </w:p>
        </w:tc>
        <w:tc>
          <w:tcPr>
            <w:tcW w:w="1984" w:type="dxa"/>
            <w:tcBorders>
              <w:bottom w:val="single" w:sz="8" w:space="0" w:color="auto"/>
              <w:right w:val="single" w:sz="8" w:space="0" w:color="auto"/>
            </w:tcBorders>
            <w:shd w:val="clear" w:color="auto" w:fill="auto"/>
            <w:vAlign w:val="bottom"/>
          </w:tcPr>
          <w:p w14:paraId="7BB89413"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bottom w:val="single" w:sz="8" w:space="0" w:color="auto"/>
              <w:right w:val="single" w:sz="8" w:space="0" w:color="auto"/>
            </w:tcBorders>
            <w:shd w:val="clear" w:color="auto" w:fill="auto"/>
            <w:vAlign w:val="bottom"/>
          </w:tcPr>
          <w:p w14:paraId="73158A38" w14:textId="77777777" w:rsidR="00A52778" w:rsidRPr="00460F9E" w:rsidRDefault="00A52778" w:rsidP="00FC3F8E">
            <w:pPr>
              <w:spacing w:line="0" w:lineRule="atLeast"/>
              <w:rPr>
                <w:rFonts w:eastAsia="Times New Roman" w:cs="Times New Roman"/>
                <w:b/>
                <w:sz w:val="10"/>
              </w:rPr>
            </w:pPr>
          </w:p>
        </w:tc>
        <w:tc>
          <w:tcPr>
            <w:tcW w:w="1276" w:type="dxa"/>
            <w:tcBorders>
              <w:bottom w:val="single" w:sz="8" w:space="0" w:color="auto"/>
              <w:right w:val="single" w:sz="8" w:space="0" w:color="auto"/>
            </w:tcBorders>
            <w:shd w:val="clear" w:color="auto" w:fill="auto"/>
            <w:vAlign w:val="bottom"/>
          </w:tcPr>
          <w:p w14:paraId="1C648726" w14:textId="77777777" w:rsidR="00A52778" w:rsidRPr="00460F9E" w:rsidRDefault="00A52778" w:rsidP="00FC3F8E">
            <w:pPr>
              <w:spacing w:line="0" w:lineRule="atLeast"/>
              <w:rPr>
                <w:rFonts w:eastAsia="Times New Roman" w:cs="Times New Roman"/>
                <w:b/>
                <w:sz w:val="10"/>
              </w:rPr>
            </w:pPr>
          </w:p>
        </w:tc>
      </w:tr>
      <w:tr w:rsidR="00A52778" w:rsidRPr="00460F9E" w14:paraId="422BF2C8" w14:textId="77777777" w:rsidTr="00FC3F8E">
        <w:trPr>
          <w:trHeight w:val="214"/>
        </w:trPr>
        <w:tc>
          <w:tcPr>
            <w:tcW w:w="1701" w:type="dxa"/>
            <w:vMerge w:val="restart"/>
            <w:tcBorders>
              <w:left w:val="single" w:sz="8" w:space="0" w:color="auto"/>
              <w:right w:val="single" w:sz="8" w:space="0" w:color="auto"/>
            </w:tcBorders>
            <w:shd w:val="clear" w:color="auto" w:fill="auto"/>
            <w:vAlign w:val="center"/>
          </w:tcPr>
          <w:p w14:paraId="68C1BBCA" w14:textId="77777777" w:rsidR="00A52778" w:rsidRPr="00460F9E" w:rsidRDefault="00A52778" w:rsidP="00FC3F8E">
            <w:pPr>
              <w:spacing w:line="0" w:lineRule="atLeast"/>
              <w:jc w:val="center"/>
              <w:rPr>
                <w:rFonts w:eastAsia="Times New Roman" w:cs="Times New Roman"/>
                <w:b/>
                <w:w w:val="98"/>
                <w:highlight w:val="yellow"/>
              </w:rPr>
            </w:pPr>
            <w:r w:rsidRPr="00460F9E">
              <w:rPr>
                <w:rFonts w:eastAsia="Times New Roman" w:cs="Times New Roman"/>
              </w:rPr>
              <w:t>Nikel                           ve bileşikleri</w:t>
            </w:r>
          </w:p>
        </w:tc>
        <w:tc>
          <w:tcPr>
            <w:tcW w:w="1985" w:type="dxa"/>
            <w:vMerge w:val="restart"/>
            <w:tcBorders>
              <w:right w:val="single" w:sz="8" w:space="0" w:color="auto"/>
            </w:tcBorders>
            <w:shd w:val="clear" w:color="auto" w:fill="auto"/>
            <w:vAlign w:val="center"/>
          </w:tcPr>
          <w:p w14:paraId="6B4E27D8" w14:textId="77777777" w:rsidR="00A52778" w:rsidRPr="00460F9E" w:rsidRDefault="00A52778" w:rsidP="00FC3F8E">
            <w:pPr>
              <w:spacing w:line="0" w:lineRule="atLeast"/>
              <w:jc w:val="center"/>
              <w:rPr>
                <w:rFonts w:eastAsia="Times New Roman" w:cs="Times New Roman"/>
                <w:b/>
                <w:w w:val="93"/>
                <w:highlight w:val="yellow"/>
              </w:rPr>
            </w:pPr>
            <w:r w:rsidRPr="00460F9E">
              <w:rPr>
                <w:rFonts w:eastAsia="Times New Roman" w:cs="Times New Roman"/>
                <w:w w:val="93"/>
              </w:rPr>
              <w:t xml:space="preserve">Tüm              </w:t>
            </w:r>
            <w:r w:rsidRPr="00460F9E">
              <w:rPr>
                <w:rFonts w:eastAsia="Times New Roman" w:cs="Times New Roman"/>
                <w:w w:val="99"/>
              </w:rPr>
              <w:t>prosesler</w:t>
            </w:r>
            <w:r w:rsidRPr="00460F9E">
              <w:rPr>
                <w:rFonts w:eastAsia="Times New Roman" w:cs="Times New Roman"/>
                <w:w w:val="93"/>
              </w:rPr>
              <w:t xml:space="preserve"> /kaynaklar</w:t>
            </w:r>
          </w:p>
        </w:tc>
        <w:tc>
          <w:tcPr>
            <w:tcW w:w="1134" w:type="dxa"/>
            <w:vMerge w:val="restart"/>
            <w:tcBorders>
              <w:right w:val="single" w:sz="8" w:space="0" w:color="auto"/>
            </w:tcBorders>
            <w:shd w:val="clear" w:color="auto" w:fill="auto"/>
            <w:vAlign w:val="center"/>
          </w:tcPr>
          <w:p w14:paraId="305B8627" w14:textId="77777777" w:rsidR="00A52778" w:rsidRPr="00460F9E" w:rsidRDefault="00A52778" w:rsidP="00FC3F8E">
            <w:pPr>
              <w:spacing w:line="0" w:lineRule="atLeast"/>
              <w:jc w:val="center"/>
              <w:rPr>
                <w:rFonts w:eastAsia="Times New Roman" w:cs="Times New Roman"/>
                <w:b/>
                <w:sz w:val="18"/>
                <w:highlight w:val="yellow"/>
              </w:rPr>
            </w:pPr>
            <w:r w:rsidRPr="00460F9E">
              <w:rPr>
                <w:rFonts w:eastAsia="Times New Roman" w:cs="Times New Roman"/>
                <w:w w:val="99"/>
              </w:rPr>
              <w:t>Herhangi bir baca</w:t>
            </w:r>
          </w:p>
        </w:tc>
        <w:tc>
          <w:tcPr>
            <w:tcW w:w="1984" w:type="dxa"/>
            <w:tcBorders>
              <w:right w:val="single" w:sz="8" w:space="0" w:color="auto"/>
            </w:tcBorders>
            <w:shd w:val="clear" w:color="auto" w:fill="auto"/>
            <w:vAlign w:val="bottom"/>
          </w:tcPr>
          <w:p w14:paraId="4236433C" w14:textId="77777777" w:rsidR="00A52778" w:rsidRPr="00460F9E" w:rsidRDefault="00A52778" w:rsidP="00FC3F8E">
            <w:pPr>
              <w:spacing w:line="0" w:lineRule="atLeast"/>
              <w:rPr>
                <w:rFonts w:eastAsia="Times New Roman" w:cs="Times New Roman"/>
                <w:b/>
                <w:sz w:val="18"/>
                <w:highlight w:val="yellow"/>
              </w:rPr>
            </w:pPr>
          </w:p>
        </w:tc>
        <w:tc>
          <w:tcPr>
            <w:tcW w:w="1276" w:type="dxa"/>
            <w:vMerge w:val="restart"/>
            <w:tcBorders>
              <w:right w:val="single" w:sz="8" w:space="0" w:color="auto"/>
            </w:tcBorders>
            <w:shd w:val="clear" w:color="auto" w:fill="auto"/>
            <w:vAlign w:val="center"/>
          </w:tcPr>
          <w:p w14:paraId="36BE300F"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Her 6 ayda</w:t>
            </w:r>
          </w:p>
          <w:p w14:paraId="3946926E"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1 kere</w:t>
            </w:r>
          </w:p>
          <w:p w14:paraId="636C5DC6" w14:textId="77777777" w:rsidR="00A52778" w:rsidRPr="00460F9E" w:rsidRDefault="00A52778" w:rsidP="00FC3F8E">
            <w:pPr>
              <w:spacing w:line="236" w:lineRule="exact"/>
              <w:jc w:val="center"/>
              <w:rPr>
                <w:rFonts w:eastAsia="Times New Roman" w:cs="Times New Roman"/>
                <w:b/>
              </w:rPr>
            </w:pPr>
            <w:r w:rsidRPr="00460F9E">
              <w:rPr>
                <w:rFonts w:eastAsia="Times New Roman" w:cs="Times New Roman"/>
                <w:w w:val="95"/>
              </w:rPr>
              <w:t>(</w:t>
            </w:r>
            <w:r w:rsidRPr="00460F9E">
              <w:rPr>
                <w:rFonts w:eastAsia="Times New Roman" w:cs="Times New Roman"/>
                <w:w w:val="95"/>
                <w:sz w:val="25"/>
                <w:vertAlign w:val="superscript"/>
              </w:rPr>
              <w:t>3</w:t>
            </w:r>
            <w:r w:rsidRPr="00460F9E">
              <w:rPr>
                <w:rFonts w:eastAsia="Times New Roman" w:cs="Times New Roman"/>
                <w:w w:val="95"/>
              </w:rPr>
              <w:t>) (</w:t>
            </w:r>
            <w:r w:rsidRPr="00460F9E">
              <w:rPr>
                <w:rFonts w:eastAsia="Times New Roman" w:cs="Times New Roman"/>
                <w:w w:val="95"/>
                <w:sz w:val="25"/>
                <w:vertAlign w:val="superscript"/>
              </w:rPr>
              <w:t>9</w:t>
            </w:r>
            <w:r w:rsidRPr="00460F9E">
              <w:rPr>
                <w:rFonts w:eastAsia="Times New Roman" w:cs="Times New Roman"/>
                <w:w w:val="95"/>
              </w:rPr>
              <w:t>)</w:t>
            </w:r>
          </w:p>
        </w:tc>
        <w:tc>
          <w:tcPr>
            <w:tcW w:w="1276" w:type="dxa"/>
            <w:tcBorders>
              <w:right w:val="single" w:sz="8" w:space="0" w:color="auto"/>
            </w:tcBorders>
            <w:shd w:val="clear" w:color="auto" w:fill="auto"/>
            <w:vAlign w:val="bottom"/>
          </w:tcPr>
          <w:p w14:paraId="4F5670A3" w14:textId="77777777" w:rsidR="00A52778" w:rsidRPr="00460F9E" w:rsidRDefault="00A52778" w:rsidP="00FC3F8E">
            <w:pPr>
              <w:spacing w:line="0" w:lineRule="atLeast"/>
              <w:rPr>
                <w:rFonts w:eastAsia="Times New Roman" w:cs="Times New Roman"/>
                <w:b/>
                <w:sz w:val="18"/>
              </w:rPr>
            </w:pPr>
          </w:p>
        </w:tc>
      </w:tr>
      <w:tr w:rsidR="00A52778" w:rsidRPr="00460F9E" w14:paraId="674B42EF" w14:textId="77777777" w:rsidTr="00FC3F8E">
        <w:trPr>
          <w:trHeight w:val="345"/>
        </w:trPr>
        <w:tc>
          <w:tcPr>
            <w:tcW w:w="1701" w:type="dxa"/>
            <w:vMerge/>
            <w:tcBorders>
              <w:left w:val="single" w:sz="8" w:space="0" w:color="auto"/>
              <w:bottom w:val="nil"/>
              <w:right w:val="single" w:sz="8" w:space="0" w:color="auto"/>
            </w:tcBorders>
            <w:shd w:val="clear" w:color="auto" w:fill="auto"/>
            <w:vAlign w:val="bottom"/>
          </w:tcPr>
          <w:p w14:paraId="2B0DCD22" w14:textId="77777777" w:rsidR="00A52778" w:rsidRPr="00460F9E" w:rsidRDefault="00A52778" w:rsidP="00FC3F8E">
            <w:pPr>
              <w:spacing w:line="0" w:lineRule="atLeast"/>
              <w:jc w:val="center"/>
              <w:rPr>
                <w:rFonts w:eastAsia="Times New Roman" w:cs="Times New Roman"/>
                <w:b/>
                <w:sz w:val="10"/>
                <w:highlight w:val="yellow"/>
              </w:rPr>
            </w:pPr>
          </w:p>
        </w:tc>
        <w:tc>
          <w:tcPr>
            <w:tcW w:w="1985" w:type="dxa"/>
            <w:vMerge/>
            <w:tcBorders>
              <w:bottom w:val="nil"/>
              <w:right w:val="single" w:sz="8" w:space="0" w:color="auto"/>
            </w:tcBorders>
            <w:shd w:val="clear" w:color="auto" w:fill="auto"/>
            <w:vAlign w:val="bottom"/>
          </w:tcPr>
          <w:p w14:paraId="4B834919" w14:textId="77777777" w:rsidR="00A52778" w:rsidRPr="00460F9E" w:rsidRDefault="00A52778" w:rsidP="00FC3F8E">
            <w:pPr>
              <w:spacing w:line="0" w:lineRule="atLeast"/>
              <w:jc w:val="center"/>
              <w:rPr>
                <w:rFonts w:eastAsia="Times New Roman" w:cs="Times New Roman"/>
                <w:b/>
                <w:sz w:val="10"/>
                <w:highlight w:val="yellow"/>
              </w:rPr>
            </w:pPr>
          </w:p>
        </w:tc>
        <w:tc>
          <w:tcPr>
            <w:tcW w:w="1134" w:type="dxa"/>
            <w:vMerge/>
            <w:tcBorders>
              <w:right w:val="single" w:sz="8" w:space="0" w:color="auto"/>
            </w:tcBorders>
            <w:shd w:val="clear" w:color="auto" w:fill="auto"/>
            <w:vAlign w:val="center"/>
          </w:tcPr>
          <w:p w14:paraId="06982352" w14:textId="77777777" w:rsidR="00A52778" w:rsidRPr="00460F9E" w:rsidRDefault="00A52778" w:rsidP="00FC3F8E">
            <w:pPr>
              <w:spacing w:line="0" w:lineRule="atLeast"/>
              <w:jc w:val="center"/>
              <w:rPr>
                <w:rFonts w:eastAsia="Times New Roman" w:cs="Times New Roman"/>
                <w:b/>
                <w:w w:val="99"/>
                <w:highlight w:val="yellow"/>
              </w:rPr>
            </w:pPr>
          </w:p>
        </w:tc>
        <w:tc>
          <w:tcPr>
            <w:tcW w:w="1984" w:type="dxa"/>
            <w:tcBorders>
              <w:bottom w:val="nil"/>
              <w:right w:val="single" w:sz="8" w:space="0" w:color="auto"/>
            </w:tcBorders>
            <w:shd w:val="clear" w:color="auto" w:fill="auto"/>
            <w:vAlign w:val="bottom"/>
          </w:tcPr>
          <w:p w14:paraId="158FAF19" w14:textId="77777777" w:rsidR="00A52778" w:rsidRPr="00460F9E" w:rsidRDefault="00A52778" w:rsidP="00FC3F8E">
            <w:pPr>
              <w:spacing w:line="0" w:lineRule="atLeast"/>
              <w:jc w:val="center"/>
              <w:rPr>
                <w:rFonts w:eastAsia="Times New Roman" w:cs="Times New Roman"/>
                <w:b/>
                <w:highlight w:val="yellow"/>
              </w:rPr>
            </w:pPr>
            <w:r w:rsidRPr="00460F9E">
              <w:rPr>
                <w:rFonts w:eastAsia="Times New Roman" w:cs="Times New Roman"/>
              </w:rPr>
              <w:t>EN 14385</w:t>
            </w:r>
          </w:p>
        </w:tc>
        <w:tc>
          <w:tcPr>
            <w:tcW w:w="1276" w:type="dxa"/>
            <w:vMerge/>
            <w:tcBorders>
              <w:right w:val="single" w:sz="8" w:space="0" w:color="auto"/>
            </w:tcBorders>
            <w:shd w:val="clear" w:color="auto" w:fill="auto"/>
            <w:vAlign w:val="bottom"/>
          </w:tcPr>
          <w:p w14:paraId="443D0F4C" w14:textId="77777777" w:rsidR="00A52778" w:rsidRPr="00460F9E" w:rsidRDefault="00A52778" w:rsidP="00FC3F8E">
            <w:pPr>
              <w:spacing w:line="236" w:lineRule="exact"/>
              <w:jc w:val="center"/>
              <w:rPr>
                <w:rFonts w:eastAsia="Times New Roman" w:cs="Times New Roman"/>
                <w:b/>
              </w:rPr>
            </w:pPr>
          </w:p>
        </w:tc>
        <w:tc>
          <w:tcPr>
            <w:tcW w:w="1276" w:type="dxa"/>
            <w:tcBorders>
              <w:bottom w:val="nil"/>
              <w:right w:val="single" w:sz="8" w:space="0" w:color="auto"/>
            </w:tcBorders>
            <w:shd w:val="clear" w:color="auto" w:fill="auto"/>
            <w:vAlign w:val="bottom"/>
          </w:tcPr>
          <w:p w14:paraId="7580BFCE" w14:textId="77777777" w:rsidR="00A52778" w:rsidRPr="00460F9E" w:rsidRDefault="002A1746" w:rsidP="00FC3F8E">
            <w:pPr>
              <w:spacing w:line="0" w:lineRule="atLeast"/>
              <w:jc w:val="center"/>
              <w:rPr>
                <w:rFonts w:eastAsia="Times New Roman" w:cs="Times New Roman"/>
                <w:b/>
              </w:rPr>
            </w:pPr>
            <w:hyperlink w:anchor="page305" w:history="1">
              <w:r w:rsidR="00A52778" w:rsidRPr="00460F9E">
                <w:rPr>
                  <w:rFonts w:cs="Times New Roman"/>
                </w:rPr>
                <w:t xml:space="preserve"> </w:t>
              </w:r>
              <w:r w:rsidR="00A52778" w:rsidRPr="00460F9E">
                <w:rPr>
                  <w:rFonts w:eastAsia="Times New Roman" w:cs="Times New Roman"/>
                </w:rPr>
                <w:t>MET 14</w:t>
              </w:r>
            </w:hyperlink>
          </w:p>
        </w:tc>
      </w:tr>
      <w:tr w:rsidR="00A52778" w:rsidRPr="00460F9E" w14:paraId="2B4E8976" w14:textId="77777777" w:rsidTr="00FC3F8E">
        <w:trPr>
          <w:trHeight w:val="115"/>
        </w:trPr>
        <w:tc>
          <w:tcPr>
            <w:tcW w:w="1701" w:type="dxa"/>
            <w:vMerge/>
            <w:tcBorders>
              <w:left w:val="single" w:sz="8" w:space="0" w:color="auto"/>
              <w:right w:val="single" w:sz="8" w:space="0" w:color="auto"/>
            </w:tcBorders>
            <w:shd w:val="clear" w:color="auto" w:fill="auto"/>
            <w:vAlign w:val="bottom"/>
          </w:tcPr>
          <w:p w14:paraId="4D53C9D4"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right w:val="single" w:sz="8" w:space="0" w:color="auto"/>
            </w:tcBorders>
            <w:shd w:val="clear" w:color="auto" w:fill="auto"/>
            <w:vAlign w:val="bottom"/>
          </w:tcPr>
          <w:p w14:paraId="22729F49"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right w:val="single" w:sz="8" w:space="0" w:color="auto"/>
            </w:tcBorders>
            <w:shd w:val="clear" w:color="auto" w:fill="auto"/>
            <w:vAlign w:val="center"/>
          </w:tcPr>
          <w:p w14:paraId="2255821F" w14:textId="77777777" w:rsidR="00A52778" w:rsidRPr="00460F9E" w:rsidRDefault="00A52778" w:rsidP="00FC3F8E">
            <w:pPr>
              <w:spacing w:line="0" w:lineRule="atLeast"/>
              <w:jc w:val="center"/>
              <w:rPr>
                <w:rFonts w:eastAsia="Times New Roman" w:cs="Times New Roman"/>
                <w:b/>
                <w:sz w:val="10"/>
                <w:highlight w:val="yellow"/>
              </w:rPr>
            </w:pPr>
          </w:p>
        </w:tc>
        <w:tc>
          <w:tcPr>
            <w:tcW w:w="1984" w:type="dxa"/>
            <w:tcBorders>
              <w:right w:val="single" w:sz="8" w:space="0" w:color="auto"/>
            </w:tcBorders>
            <w:shd w:val="clear" w:color="auto" w:fill="auto"/>
            <w:vAlign w:val="bottom"/>
          </w:tcPr>
          <w:p w14:paraId="456DA77E"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right w:val="single" w:sz="8" w:space="0" w:color="auto"/>
            </w:tcBorders>
            <w:shd w:val="clear" w:color="auto" w:fill="auto"/>
            <w:vAlign w:val="bottom"/>
          </w:tcPr>
          <w:p w14:paraId="1ABF6A83" w14:textId="77777777" w:rsidR="00A52778" w:rsidRPr="00460F9E" w:rsidRDefault="00A52778" w:rsidP="00FC3F8E">
            <w:pPr>
              <w:spacing w:line="236" w:lineRule="exact"/>
              <w:jc w:val="center"/>
              <w:rPr>
                <w:rFonts w:eastAsia="Times New Roman" w:cs="Times New Roman"/>
                <w:b/>
                <w:w w:val="95"/>
              </w:rPr>
            </w:pPr>
          </w:p>
        </w:tc>
        <w:tc>
          <w:tcPr>
            <w:tcW w:w="1276" w:type="dxa"/>
            <w:tcBorders>
              <w:right w:val="single" w:sz="8" w:space="0" w:color="auto"/>
            </w:tcBorders>
            <w:shd w:val="clear" w:color="auto" w:fill="auto"/>
            <w:vAlign w:val="bottom"/>
          </w:tcPr>
          <w:p w14:paraId="3C65DFFC" w14:textId="77777777" w:rsidR="00A52778" w:rsidRPr="00460F9E" w:rsidRDefault="00A52778" w:rsidP="00FC3F8E">
            <w:pPr>
              <w:spacing w:line="0" w:lineRule="atLeast"/>
              <w:rPr>
                <w:rFonts w:eastAsia="Times New Roman" w:cs="Times New Roman"/>
                <w:b/>
                <w:sz w:val="10"/>
              </w:rPr>
            </w:pPr>
          </w:p>
        </w:tc>
      </w:tr>
      <w:tr w:rsidR="00A52778" w:rsidRPr="00460F9E" w14:paraId="076DEE99" w14:textId="77777777" w:rsidTr="00FC3F8E">
        <w:trPr>
          <w:trHeight w:val="121"/>
        </w:trPr>
        <w:tc>
          <w:tcPr>
            <w:tcW w:w="1701" w:type="dxa"/>
            <w:vMerge/>
            <w:tcBorders>
              <w:left w:val="single" w:sz="8" w:space="0" w:color="auto"/>
              <w:bottom w:val="single" w:sz="8" w:space="0" w:color="auto"/>
              <w:right w:val="single" w:sz="8" w:space="0" w:color="auto"/>
            </w:tcBorders>
            <w:shd w:val="clear" w:color="auto" w:fill="auto"/>
            <w:vAlign w:val="bottom"/>
          </w:tcPr>
          <w:p w14:paraId="7EFC2F35"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bottom w:val="single" w:sz="8" w:space="0" w:color="auto"/>
              <w:right w:val="single" w:sz="8" w:space="0" w:color="auto"/>
            </w:tcBorders>
            <w:shd w:val="clear" w:color="auto" w:fill="auto"/>
            <w:vAlign w:val="bottom"/>
          </w:tcPr>
          <w:p w14:paraId="2BABFF10"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bottom w:val="single" w:sz="8" w:space="0" w:color="auto"/>
              <w:right w:val="single" w:sz="8" w:space="0" w:color="auto"/>
            </w:tcBorders>
            <w:shd w:val="clear" w:color="auto" w:fill="auto"/>
            <w:vAlign w:val="center"/>
          </w:tcPr>
          <w:p w14:paraId="0064D791" w14:textId="77777777" w:rsidR="00A52778" w:rsidRPr="00460F9E" w:rsidRDefault="00A52778" w:rsidP="00FC3F8E">
            <w:pPr>
              <w:spacing w:line="0" w:lineRule="atLeast"/>
              <w:jc w:val="center"/>
              <w:rPr>
                <w:rFonts w:eastAsia="Times New Roman" w:cs="Times New Roman"/>
                <w:b/>
                <w:sz w:val="10"/>
                <w:highlight w:val="yellow"/>
              </w:rPr>
            </w:pPr>
          </w:p>
        </w:tc>
        <w:tc>
          <w:tcPr>
            <w:tcW w:w="1984" w:type="dxa"/>
            <w:tcBorders>
              <w:bottom w:val="single" w:sz="8" w:space="0" w:color="auto"/>
              <w:right w:val="single" w:sz="8" w:space="0" w:color="auto"/>
            </w:tcBorders>
            <w:shd w:val="clear" w:color="auto" w:fill="auto"/>
            <w:vAlign w:val="bottom"/>
          </w:tcPr>
          <w:p w14:paraId="37AE857B"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bottom w:val="single" w:sz="8" w:space="0" w:color="auto"/>
              <w:right w:val="single" w:sz="8" w:space="0" w:color="auto"/>
            </w:tcBorders>
            <w:shd w:val="clear" w:color="auto" w:fill="auto"/>
            <w:vAlign w:val="bottom"/>
          </w:tcPr>
          <w:p w14:paraId="3D43952E" w14:textId="77777777" w:rsidR="00A52778" w:rsidRPr="00460F9E" w:rsidRDefault="00A52778" w:rsidP="00FC3F8E">
            <w:pPr>
              <w:spacing w:line="0" w:lineRule="atLeast"/>
              <w:rPr>
                <w:rFonts w:eastAsia="Times New Roman" w:cs="Times New Roman"/>
                <w:b/>
                <w:sz w:val="10"/>
              </w:rPr>
            </w:pPr>
          </w:p>
        </w:tc>
        <w:tc>
          <w:tcPr>
            <w:tcW w:w="1276" w:type="dxa"/>
            <w:tcBorders>
              <w:bottom w:val="single" w:sz="8" w:space="0" w:color="auto"/>
              <w:right w:val="single" w:sz="8" w:space="0" w:color="auto"/>
            </w:tcBorders>
            <w:shd w:val="clear" w:color="auto" w:fill="auto"/>
            <w:vAlign w:val="bottom"/>
          </w:tcPr>
          <w:p w14:paraId="64BED13D" w14:textId="77777777" w:rsidR="00A52778" w:rsidRPr="00460F9E" w:rsidRDefault="00A52778" w:rsidP="00FC3F8E">
            <w:pPr>
              <w:spacing w:line="0" w:lineRule="atLeast"/>
              <w:rPr>
                <w:rFonts w:eastAsia="Times New Roman" w:cs="Times New Roman"/>
                <w:b/>
                <w:sz w:val="10"/>
              </w:rPr>
            </w:pPr>
          </w:p>
        </w:tc>
      </w:tr>
      <w:tr w:rsidR="00A52778" w:rsidRPr="00460F9E" w14:paraId="7469E0B6" w14:textId="77777777" w:rsidTr="00FC3F8E">
        <w:trPr>
          <w:trHeight w:val="214"/>
        </w:trPr>
        <w:tc>
          <w:tcPr>
            <w:tcW w:w="1701" w:type="dxa"/>
            <w:vMerge w:val="restart"/>
            <w:tcBorders>
              <w:left w:val="single" w:sz="8" w:space="0" w:color="auto"/>
              <w:right w:val="single" w:sz="8" w:space="0" w:color="auto"/>
            </w:tcBorders>
            <w:shd w:val="clear" w:color="auto" w:fill="auto"/>
            <w:vAlign w:val="center"/>
          </w:tcPr>
          <w:p w14:paraId="1F672A77" w14:textId="77777777" w:rsidR="00A52778" w:rsidRPr="00460F9E" w:rsidRDefault="00A52778" w:rsidP="00FC3F8E">
            <w:pPr>
              <w:spacing w:line="0" w:lineRule="atLeast"/>
              <w:jc w:val="center"/>
              <w:rPr>
                <w:rFonts w:eastAsia="Times New Roman" w:cs="Times New Roman"/>
                <w:b/>
                <w:highlight w:val="yellow"/>
              </w:rPr>
            </w:pPr>
            <w:r w:rsidRPr="00460F9E">
              <w:rPr>
                <w:rFonts w:eastAsia="Times New Roman" w:cs="Times New Roman"/>
              </w:rPr>
              <w:t xml:space="preserve">Azot oksit               </w:t>
            </w:r>
            <w:r w:rsidRPr="00460F9E">
              <w:rPr>
                <w:rFonts w:eastAsia="Times New Roman" w:cs="Times New Roman"/>
                <w:highlight w:val="yellow"/>
              </w:rPr>
              <w:t xml:space="preserve"> </w:t>
            </w:r>
            <w:r w:rsidRPr="00460F9E">
              <w:rPr>
                <w:rFonts w:eastAsia="Times New Roman" w:cs="Times New Roman"/>
              </w:rPr>
              <w:t>(N</w:t>
            </w:r>
            <w:r w:rsidRPr="00460F9E">
              <w:rPr>
                <w:rFonts w:eastAsia="Times New Roman" w:cs="Times New Roman"/>
                <w:sz w:val="12"/>
              </w:rPr>
              <w:t>2</w:t>
            </w:r>
            <w:r w:rsidRPr="00460F9E">
              <w:rPr>
                <w:rFonts w:eastAsia="Times New Roman" w:cs="Times New Roman"/>
              </w:rPr>
              <w:t>O)</w:t>
            </w:r>
          </w:p>
        </w:tc>
        <w:tc>
          <w:tcPr>
            <w:tcW w:w="1985" w:type="dxa"/>
            <w:vMerge w:val="restart"/>
            <w:tcBorders>
              <w:right w:val="single" w:sz="8" w:space="0" w:color="auto"/>
            </w:tcBorders>
            <w:shd w:val="clear" w:color="auto" w:fill="auto"/>
            <w:vAlign w:val="center"/>
          </w:tcPr>
          <w:p w14:paraId="53D4EAA0" w14:textId="77777777" w:rsidR="00A52778" w:rsidRPr="00460F9E" w:rsidRDefault="00A52778" w:rsidP="00FC3F8E">
            <w:pPr>
              <w:spacing w:line="0" w:lineRule="atLeast"/>
              <w:jc w:val="center"/>
              <w:rPr>
                <w:rFonts w:eastAsia="Times New Roman" w:cs="Times New Roman"/>
                <w:b/>
                <w:w w:val="93"/>
                <w:highlight w:val="yellow"/>
              </w:rPr>
            </w:pPr>
            <w:r w:rsidRPr="00460F9E">
              <w:rPr>
                <w:rFonts w:eastAsia="Times New Roman" w:cs="Times New Roman"/>
                <w:w w:val="93"/>
              </w:rPr>
              <w:t xml:space="preserve">Tüm              </w:t>
            </w:r>
            <w:r w:rsidRPr="00460F9E">
              <w:rPr>
                <w:rFonts w:eastAsia="Times New Roman" w:cs="Times New Roman"/>
                <w:w w:val="99"/>
              </w:rPr>
              <w:t>prosesler</w:t>
            </w:r>
            <w:r w:rsidRPr="00460F9E">
              <w:rPr>
                <w:rFonts w:eastAsia="Times New Roman" w:cs="Times New Roman"/>
                <w:w w:val="93"/>
              </w:rPr>
              <w:t xml:space="preserve"> /kaynaklar</w:t>
            </w:r>
          </w:p>
        </w:tc>
        <w:tc>
          <w:tcPr>
            <w:tcW w:w="1134" w:type="dxa"/>
            <w:vMerge w:val="restart"/>
            <w:tcBorders>
              <w:right w:val="single" w:sz="8" w:space="0" w:color="auto"/>
            </w:tcBorders>
            <w:shd w:val="clear" w:color="auto" w:fill="auto"/>
            <w:vAlign w:val="center"/>
          </w:tcPr>
          <w:p w14:paraId="2A39DC56" w14:textId="77777777" w:rsidR="00A52778" w:rsidRPr="00460F9E" w:rsidRDefault="00A52778" w:rsidP="00FC3F8E">
            <w:pPr>
              <w:spacing w:line="0" w:lineRule="atLeast"/>
              <w:jc w:val="center"/>
              <w:rPr>
                <w:rFonts w:eastAsia="Times New Roman" w:cs="Times New Roman"/>
                <w:b/>
                <w:sz w:val="18"/>
                <w:highlight w:val="yellow"/>
              </w:rPr>
            </w:pPr>
            <w:r w:rsidRPr="00460F9E">
              <w:rPr>
                <w:rFonts w:eastAsia="Times New Roman" w:cs="Times New Roman"/>
                <w:w w:val="99"/>
              </w:rPr>
              <w:t>Herhangi bir baca</w:t>
            </w:r>
          </w:p>
        </w:tc>
        <w:tc>
          <w:tcPr>
            <w:tcW w:w="1984" w:type="dxa"/>
            <w:tcBorders>
              <w:right w:val="single" w:sz="8" w:space="0" w:color="auto"/>
            </w:tcBorders>
            <w:shd w:val="clear" w:color="auto" w:fill="auto"/>
            <w:vAlign w:val="bottom"/>
          </w:tcPr>
          <w:p w14:paraId="08C68B6A" w14:textId="77777777" w:rsidR="00A52778" w:rsidRPr="00460F9E" w:rsidRDefault="00A52778" w:rsidP="00FC3F8E">
            <w:pPr>
              <w:spacing w:line="0" w:lineRule="atLeast"/>
              <w:rPr>
                <w:rFonts w:eastAsia="Times New Roman" w:cs="Times New Roman"/>
                <w:b/>
                <w:sz w:val="18"/>
                <w:highlight w:val="yellow"/>
              </w:rPr>
            </w:pPr>
          </w:p>
        </w:tc>
        <w:tc>
          <w:tcPr>
            <w:tcW w:w="1276" w:type="dxa"/>
            <w:vMerge w:val="restart"/>
            <w:tcBorders>
              <w:right w:val="single" w:sz="8" w:space="0" w:color="auto"/>
            </w:tcBorders>
            <w:shd w:val="clear" w:color="auto" w:fill="auto"/>
            <w:vAlign w:val="center"/>
          </w:tcPr>
          <w:p w14:paraId="43DF0F84" w14:textId="77777777" w:rsidR="00A52778" w:rsidRPr="00460F9E" w:rsidRDefault="00A52778" w:rsidP="00FC3F8E">
            <w:pPr>
              <w:spacing w:line="236" w:lineRule="exact"/>
              <w:jc w:val="center"/>
              <w:rPr>
                <w:rFonts w:eastAsia="Times New Roman" w:cs="Times New Roman"/>
                <w:b/>
              </w:rPr>
            </w:pPr>
            <w:r w:rsidRPr="00460F9E">
              <w:rPr>
                <w:rFonts w:eastAsia="Times New Roman" w:cs="Times New Roman"/>
              </w:rPr>
              <w:t xml:space="preserve">Her yıl                        1 kere              </w:t>
            </w:r>
            <w:r w:rsidRPr="00460F9E">
              <w:rPr>
                <w:rFonts w:eastAsia="Times New Roman" w:cs="Times New Roman"/>
                <w:w w:val="90"/>
              </w:rPr>
              <w:t>(</w:t>
            </w:r>
            <w:r w:rsidRPr="00460F9E">
              <w:rPr>
                <w:rFonts w:eastAsia="Times New Roman" w:cs="Times New Roman"/>
                <w:w w:val="90"/>
                <w:sz w:val="25"/>
                <w:vertAlign w:val="superscript"/>
              </w:rPr>
              <w:t>3</w:t>
            </w:r>
            <w:r w:rsidRPr="00460F9E">
              <w:rPr>
                <w:rFonts w:eastAsia="Times New Roman" w:cs="Times New Roman"/>
                <w:w w:val="90"/>
              </w:rPr>
              <w:t>) (</w:t>
            </w:r>
            <w:r w:rsidRPr="00460F9E">
              <w:rPr>
                <w:rFonts w:eastAsia="Times New Roman" w:cs="Times New Roman"/>
                <w:w w:val="90"/>
                <w:sz w:val="25"/>
                <w:vertAlign w:val="superscript"/>
              </w:rPr>
              <w:t>7</w:t>
            </w:r>
            <w:r w:rsidRPr="00460F9E">
              <w:rPr>
                <w:rFonts w:eastAsia="Times New Roman" w:cs="Times New Roman"/>
                <w:w w:val="90"/>
              </w:rPr>
              <w:t>)</w:t>
            </w:r>
          </w:p>
        </w:tc>
        <w:tc>
          <w:tcPr>
            <w:tcW w:w="1276" w:type="dxa"/>
            <w:tcBorders>
              <w:right w:val="single" w:sz="8" w:space="0" w:color="auto"/>
            </w:tcBorders>
            <w:shd w:val="clear" w:color="auto" w:fill="auto"/>
            <w:vAlign w:val="bottom"/>
          </w:tcPr>
          <w:p w14:paraId="5F6302A8" w14:textId="77777777" w:rsidR="00A52778" w:rsidRPr="00460F9E" w:rsidRDefault="00A52778" w:rsidP="00FC3F8E">
            <w:pPr>
              <w:spacing w:line="0" w:lineRule="atLeast"/>
              <w:rPr>
                <w:rFonts w:eastAsia="Times New Roman" w:cs="Times New Roman"/>
                <w:b/>
                <w:sz w:val="18"/>
              </w:rPr>
            </w:pPr>
          </w:p>
        </w:tc>
      </w:tr>
      <w:tr w:rsidR="00A52778" w:rsidRPr="00460F9E" w14:paraId="150E27ED" w14:textId="77777777" w:rsidTr="00FC3F8E">
        <w:trPr>
          <w:trHeight w:val="345"/>
        </w:trPr>
        <w:tc>
          <w:tcPr>
            <w:tcW w:w="1701" w:type="dxa"/>
            <w:vMerge/>
            <w:tcBorders>
              <w:left w:val="single" w:sz="8" w:space="0" w:color="auto"/>
              <w:bottom w:val="nil"/>
              <w:right w:val="single" w:sz="8" w:space="0" w:color="auto"/>
            </w:tcBorders>
            <w:shd w:val="clear" w:color="auto" w:fill="auto"/>
            <w:vAlign w:val="bottom"/>
          </w:tcPr>
          <w:p w14:paraId="1CDEA5B9" w14:textId="77777777" w:rsidR="00A52778" w:rsidRPr="00460F9E" w:rsidRDefault="00A52778" w:rsidP="00FC3F8E">
            <w:pPr>
              <w:spacing w:line="0" w:lineRule="atLeast"/>
              <w:jc w:val="center"/>
              <w:rPr>
                <w:rFonts w:eastAsia="Times New Roman" w:cs="Times New Roman"/>
                <w:b/>
                <w:sz w:val="10"/>
                <w:highlight w:val="yellow"/>
              </w:rPr>
            </w:pPr>
          </w:p>
        </w:tc>
        <w:tc>
          <w:tcPr>
            <w:tcW w:w="1985" w:type="dxa"/>
            <w:vMerge/>
            <w:tcBorders>
              <w:bottom w:val="nil"/>
              <w:right w:val="single" w:sz="8" w:space="0" w:color="auto"/>
            </w:tcBorders>
            <w:shd w:val="clear" w:color="auto" w:fill="auto"/>
            <w:vAlign w:val="bottom"/>
          </w:tcPr>
          <w:p w14:paraId="24886A93" w14:textId="77777777" w:rsidR="00A52778" w:rsidRPr="00460F9E" w:rsidRDefault="00A52778" w:rsidP="00FC3F8E">
            <w:pPr>
              <w:spacing w:line="0" w:lineRule="atLeast"/>
              <w:jc w:val="center"/>
              <w:rPr>
                <w:rFonts w:eastAsia="Times New Roman" w:cs="Times New Roman"/>
                <w:b/>
                <w:sz w:val="10"/>
                <w:highlight w:val="yellow"/>
              </w:rPr>
            </w:pPr>
          </w:p>
        </w:tc>
        <w:tc>
          <w:tcPr>
            <w:tcW w:w="1134" w:type="dxa"/>
            <w:vMerge/>
            <w:tcBorders>
              <w:right w:val="single" w:sz="8" w:space="0" w:color="auto"/>
            </w:tcBorders>
            <w:shd w:val="clear" w:color="auto" w:fill="auto"/>
            <w:vAlign w:val="center"/>
          </w:tcPr>
          <w:p w14:paraId="206D3E01" w14:textId="77777777" w:rsidR="00A52778" w:rsidRPr="00460F9E" w:rsidRDefault="00A52778" w:rsidP="00FC3F8E">
            <w:pPr>
              <w:spacing w:line="0" w:lineRule="atLeast"/>
              <w:jc w:val="center"/>
              <w:rPr>
                <w:rFonts w:eastAsia="Times New Roman" w:cs="Times New Roman"/>
                <w:b/>
                <w:w w:val="99"/>
                <w:highlight w:val="yellow"/>
              </w:rPr>
            </w:pPr>
          </w:p>
        </w:tc>
        <w:tc>
          <w:tcPr>
            <w:tcW w:w="1984" w:type="dxa"/>
            <w:tcBorders>
              <w:bottom w:val="nil"/>
              <w:right w:val="single" w:sz="8" w:space="0" w:color="auto"/>
            </w:tcBorders>
            <w:shd w:val="clear" w:color="auto" w:fill="auto"/>
            <w:vAlign w:val="bottom"/>
          </w:tcPr>
          <w:p w14:paraId="19F07379" w14:textId="77777777" w:rsidR="00A52778" w:rsidRPr="00460F9E" w:rsidRDefault="00A52778" w:rsidP="00FC3F8E">
            <w:pPr>
              <w:spacing w:line="0" w:lineRule="atLeast"/>
              <w:jc w:val="center"/>
              <w:rPr>
                <w:rFonts w:eastAsia="Times New Roman" w:cs="Times New Roman"/>
                <w:b/>
                <w:w w:val="99"/>
                <w:highlight w:val="yellow"/>
              </w:rPr>
            </w:pPr>
            <w:r w:rsidRPr="00460F9E">
              <w:rPr>
                <w:rFonts w:eastAsia="Times New Roman" w:cs="Times New Roman"/>
                <w:w w:val="99"/>
              </w:rPr>
              <w:t>EN ISO 21258</w:t>
            </w:r>
          </w:p>
        </w:tc>
        <w:tc>
          <w:tcPr>
            <w:tcW w:w="1276" w:type="dxa"/>
            <w:vMerge/>
            <w:tcBorders>
              <w:bottom w:val="nil"/>
              <w:right w:val="single" w:sz="8" w:space="0" w:color="auto"/>
            </w:tcBorders>
            <w:shd w:val="clear" w:color="auto" w:fill="auto"/>
            <w:vAlign w:val="bottom"/>
          </w:tcPr>
          <w:p w14:paraId="388AAAE5" w14:textId="77777777" w:rsidR="00A52778" w:rsidRPr="00460F9E" w:rsidRDefault="00A52778" w:rsidP="00FC3F8E">
            <w:pPr>
              <w:spacing w:line="236" w:lineRule="exact"/>
              <w:jc w:val="center"/>
              <w:rPr>
                <w:rFonts w:eastAsia="Times New Roman" w:cs="Times New Roman"/>
                <w:b/>
                <w:w w:val="98"/>
              </w:rPr>
            </w:pPr>
          </w:p>
        </w:tc>
        <w:tc>
          <w:tcPr>
            <w:tcW w:w="1276" w:type="dxa"/>
            <w:tcBorders>
              <w:bottom w:val="nil"/>
              <w:right w:val="single" w:sz="8" w:space="0" w:color="auto"/>
            </w:tcBorders>
            <w:shd w:val="clear" w:color="auto" w:fill="auto"/>
            <w:vAlign w:val="bottom"/>
          </w:tcPr>
          <w:p w14:paraId="3ACAE709"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w:t>
            </w:r>
          </w:p>
        </w:tc>
      </w:tr>
      <w:tr w:rsidR="00A52778" w:rsidRPr="00460F9E" w14:paraId="6268C6A1" w14:textId="77777777" w:rsidTr="00FC3F8E">
        <w:trPr>
          <w:trHeight w:val="119"/>
        </w:trPr>
        <w:tc>
          <w:tcPr>
            <w:tcW w:w="1701" w:type="dxa"/>
            <w:vMerge/>
            <w:tcBorders>
              <w:left w:val="single" w:sz="8" w:space="0" w:color="auto"/>
              <w:right w:val="single" w:sz="8" w:space="0" w:color="auto"/>
            </w:tcBorders>
            <w:shd w:val="clear" w:color="auto" w:fill="auto"/>
            <w:vAlign w:val="bottom"/>
          </w:tcPr>
          <w:p w14:paraId="5B1E78E7"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right w:val="single" w:sz="8" w:space="0" w:color="auto"/>
            </w:tcBorders>
            <w:shd w:val="clear" w:color="auto" w:fill="auto"/>
            <w:vAlign w:val="bottom"/>
          </w:tcPr>
          <w:p w14:paraId="3B110C89"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right w:val="single" w:sz="8" w:space="0" w:color="auto"/>
            </w:tcBorders>
            <w:shd w:val="clear" w:color="auto" w:fill="auto"/>
            <w:vAlign w:val="center"/>
          </w:tcPr>
          <w:p w14:paraId="181ABCB6" w14:textId="77777777" w:rsidR="00A52778" w:rsidRPr="00460F9E" w:rsidRDefault="00A52778" w:rsidP="00FC3F8E">
            <w:pPr>
              <w:spacing w:line="0" w:lineRule="atLeast"/>
              <w:jc w:val="center"/>
              <w:rPr>
                <w:rFonts w:eastAsia="Times New Roman" w:cs="Times New Roman"/>
                <w:b/>
                <w:sz w:val="10"/>
                <w:highlight w:val="yellow"/>
              </w:rPr>
            </w:pPr>
          </w:p>
        </w:tc>
        <w:tc>
          <w:tcPr>
            <w:tcW w:w="1984" w:type="dxa"/>
            <w:tcBorders>
              <w:right w:val="single" w:sz="8" w:space="0" w:color="auto"/>
            </w:tcBorders>
            <w:shd w:val="clear" w:color="auto" w:fill="auto"/>
            <w:vAlign w:val="bottom"/>
          </w:tcPr>
          <w:p w14:paraId="54C65CE5"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right w:val="single" w:sz="8" w:space="0" w:color="auto"/>
            </w:tcBorders>
            <w:shd w:val="clear" w:color="auto" w:fill="auto"/>
            <w:vAlign w:val="bottom"/>
          </w:tcPr>
          <w:p w14:paraId="58E6A1AB" w14:textId="77777777" w:rsidR="00A52778" w:rsidRPr="00460F9E" w:rsidRDefault="00A52778" w:rsidP="00FC3F8E">
            <w:pPr>
              <w:spacing w:line="236" w:lineRule="exact"/>
              <w:jc w:val="center"/>
              <w:rPr>
                <w:rFonts w:eastAsia="Times New Roman" w:cs="Times New Roman"/>
                <w:b/>
                <w:w w:val="95"/>
              </w:rPr>
            </w:pPr>
          </w:p>
        </w:tc>
        <w:tc>
          <w:tcPr>
            <w:tcW w:w="1276" w:type="dxa"/>
            <w:tcBorders>
              <w:right w:val="single" w:sz="8" w:space="0" w:color="auto"/>
            </w:tcBorders>
            <w:shd w:val="clear" w:color="auto" w:fill="auto"/>
            <w:vAlign w:val="bottom"/>
          </w:tcPr>
          <w:p w14:paraId="22D50D37" w14:textId="77777777" w:rsidR="00A52778" w:rsidRPr="00460F9E" w:rsidRDefault="00A52778" w:rsidP="00FC3F8E">
            <w:pPr>
              <w:spacing w:line="0" w:lineRule="atLeast"/>
              <w:rPr>
                <w:rFonts w:eastAsia="Times New Roman" w:cs="Times New Roman"/>
                <w:b/>
                <w:sz w:val="10"/>
              </w:rPr>
            </w:pPr>
          </w:p>
        </w:tc>
      </w:tr>
      <w:tr w:rsidR="00A52778" w:rsidRPr="00460F9E" w14:paraId="6FA63F16" w14:textId="77777777" w:rsidTr="00FC3F8E">
        <w:trPr>
          <w:trHeight w:val="118"/>
        </w:trPr>
        <w:tc>
          <w:tcPr>
            <w:tcW w:w="1701" w:type="dxa"/>
            <w:vMerge/>
            <w:tcBorders>
              <w:left w:val="single" w:sz="8" w:space="0" w:color="auto"/>
              <w:bottom w:val="single" w:sz="8" w:space="0" w:color="auto"/>
              <w:right w:val="single" w:sz="8" w:space="0" w:color="auto"/>
            </w:tcBorders>
            <w:shd w:val="clear" w:color="auto" w:fill="auto"/>
            <w:vAlign w:val="bottom"/>
          </w:tcPr>
          <w:p w14:paraId="6898EB8C"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bottom w:val="single" w:sz="8" w:space="0" w:color="auto"/>
              <w:right w:val="single" w:sz="8" w:space="0" w:color="auto"/>
            </w:tcBorders>
            <w:shd w:val="clear" w:color="auto" w:fill="auto"/>
            <w:vAlign w:val="bottom"/>
          </w:tcPr>
          <w:p w14:paraId="4D914AA0" w14:textId="77777777" w:rsidR="00A52778" w:rsidRPr="00460F9E" w:rsidRDefault="00A52778" w:rsidP="00FC3F8E">
            <w:pPr>
              <w:spacing w:line="0" w:lineRule="atLeast"/>
              <w:rPr>
                <w:rFonts w:eastAsia="Times New Roman" w:cs="Times New Roman"/>
                <w:b/>
                <w:sz w:val="10"/>
                <w:highlight w:val="yellow"/>
              </w:rPr>
            </w:pPr>
          </w:p>
        </w:tc>
        <w:tc>
          <w:tcPr>
            <w:tcW w:w="1134" w:type="dxa"/>
            <w:vMerge/>
            <w:tcBorders>
              <w:bottom w:val="single" w:sz="8" w:space="0" w:color="auto"/>
              <w:right w:val="single" w:sz="8" w:space="0" w:color="auto"/>
            </w:tcBorders>
            <w:shd w:val="clear" w:color="auto" w:fill="auto"/>
            <w:vAlign w:val="center"/>
          </w:tcPr>
          <w:p w14:paraId="59E8C420" w14:textId="77777777" w:rsidR="00A52778" w:rsidRPr="00460F9E" w:rsidRDefault="00A52778" w:rsidP="00FC3F8E">
            <w:pPr>
              <w:spacing w:line="0" w:lineRule="atLeast"/>
              <w:jc w:val="center"/>
              <w:rPr>
                <w:rFonts w:eastAsia="Times New Roman" w:cs="Times New Roman"/>
                <w:b/>
                <w:sz w:val="10"/>
                <w:highlight w:val="yellow"/>
              </w:rPr>
            </w:pPr>
          </w:p>
        </w:tc>
        <w:tc>
          <w:tcPr>
            <w:tcW w:w="1984" w:type="dxa"/>
            <w:tcBorders>
              <w:bottom w:val="single" w:sz="8" w:space="0" w:color="auto"/>
              <w:right w:val="single" w:sz="8" w:space="0" w:color="auto"/>
            </w:tcBorders>
            <w:shd w:val="clear" w:color="auto" w:fill="auto"/>
            <w:vAlign w:val="bottom"/>
          </w:tcPr>
          <w:p w14:paraId="51B8DDF5"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bottom w:val="single" w:sz="8" w:space="0" w:color="auto"/>
              <w:right w:val="single" w:sz="8" w:space="0" w:color="auto"/>
            </w:tcBorders>
            <w:shd w:val="clear" w:color="auto" w:fill="auto"/>
            <w:vAlign w:val="bottom"/>
          </w:tcPr>
          <w:p w14:paraId="3C27F425" w14:textId="77777777" w:rsidR="00A52778" w:rsidRPr="00460F9E" w:rsidRDefault="00A52778" w:rsidP="00FC3F8E">
            <w:pPr>
              <w:spacing w:line="0" w:lineRule="atLeast"/>
              <w:rPr>
                <w:rFonts w:eastAsia="Times New Roman" w:cs="Times New Roman"/>
                <w:b/>
                <w:sz w:val="10"/>
              </w:rPr>
            </w:pPr>
          </w:p>
        </w:tc>
        <w:tc>
          <w:tcPr>
            <w:tcW w:w="1276" w:type="dxa"/>
            <w:tcBorders>
              <w:bottom w:val="single" w:sz="8" w:space="0" w:color="auto"/>
              <w:right w:val="single" w:sz="8" w:space="0" w:color="auto"/>
            </w:tcBorders>
            <w:shd w:val="clear" w:color="auto" w:fill="auto"/>
            <w:vAlign w:val="bottom"/>
          </w:tcPr>
          <w:p w14:paraId="63CDF7BF" w14:textId="77777777" w:rsidR="00A52778" w:rsidRPr="00460F9E" w:rsidRDefault="00A52778" w:rsidP="00FC3F8E">
            <w:pPr>
              <w:spacing w:line="0" w:lineRule="atLeast"/>
              <w:rPr>
                <w:rFonts w:eastAsia="Times New Roman" w:cs="Times New Roman"/>
                <w:b/>
                <w:sz w:val="10"/>
              </w:rPr>
            </w:pPr>
          </w:p>
        </w:tc>
      </w:tr>
      <w:tr w:rsidR="00A52778" w:rsidRPr="00460F9E" w14:paraId="56759A5F" w14:textId="77777777" w:rsidTr="00FC3F8E">
        <w:trPr>
          <w:trHeight w:val="214"/>
        </w:trPr>
        <w:tc>
          <w:tcPr>
            <w:tcW w:w="1701" w:type="dxa"/>
            <w:tcBorders>
              <w:left w:val="single" w:sz="8" w:space="0" w:color="auto"/>
              <w:right w:val="single" w:sz="8" w:space="0" w:color="auto"/>
            </w:tcBorders>
            <w:shd w:val="clear" w:color="auto" w:fill="auto"/>
            <w:vAlign w:val="bottom"/>
          </w:tcPr>
          <w:p w14:paraId="57CF33FD" w14:textId="77777777" w:rsidR="00A52778" w:rsidRPr="00460F9E" w:rsidRDefault="00A52778" w:rsidP="00FC3F8E">
            <w:pPr>
              <w:spacing w:line="0" w:lineRule="atLeast"/>
              <w:rPr>
                <w:rFonts w:eastAsia="Times New Roman" w:cs="Times New Roman"/>
                <w:b/>
                <w:sz w:val="18"/>
                <w:highlight w:val="yellow"/>
              </w:rPr>
            </w:pPr>
          </w:p>
        </w:tc>
        <w:tc>
          <w:tcPr>
            <w:tcW w:w="1985" w:type="dxa"/>
            <w:vMerge w:val="restart"/>
            <w:tcBorders>
              <w:right w:val="single" w:sz="8" w:space="0" w:color="auto"/>
            </w:tcBorders>
            <w:shd w:val="clear" w:color="auto" w:fill="auto"/>
            <w:vAlign w:val="center"/>
          </w:tcPr>
          <w:p w14:paraId="430A5AA2"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Isıl</w:t>
            </w:r>
          </w:p>
          <w:p w14:paraId="7F43DE00" w14:textId="77777777" w:rsidR="00A52778" w:rsidRPr="00460F9E" w:rsidRDefault="00A52778" w:rsidP="00FC3F8E">
            <w:pPr>
              <w:spacing w:line="208" w:lineRule="exact"/>
              <w:jc w:val="center"/>
              <w:rPr>
                <w:rFonts w:eastAsia="Times New Roman" w:cs="Times New Roman"/>
                <w:b/>
                <w:sz w:val="18"/>
                <w:highlight w:val="yellow"/>
              </w:rPr>
            </w:pPr>
            <w:r w:rsidRPr="00460F9E">
              <w:rPr>
                <w:rFonts w:eastAsia="Times New Roman" w:cs="Times New Roman"/>
              </w:rPr>
              <w:t>işlem</w:t>
            </w:r>
          </w:p>
        </w:tc>
        <w:tc>
          <w:tcPr>
            <w:tcW w:w="1134" w:type="dxa"/>
            <w:vMerge w:val="restart"/>
            <w:tcBorders>
              <w:right w:val="single" w:sz="8" w:space="0" w:color="auto"/>
            </w:tcBorders>
            <w:shd w:val="clear" w:color="auto" w:fill="auto"/>
            <w:vAlign w:val="center"/>
          </w:tcPr>
          <w:p w14:paraId="69A8AE71" w14:textId="77777777" w:rsidR="00A52778" w:rsidRPr="00460F9E" w:rsidRDefault="00A52778" w:rsidP="00FC3F8E">
            <w:pPr>
              <w:spacing w:line="222" w:lineRule="exact"/>
              <w:jc w:val="center"/>
              <w:rPr>
                <w:rFonts w:eastAsia="Times New Roman" w:cs="Times New Roman"/>
                <w:b/>
                <w:w w:val="99"/>
                <w:highlight w:val="yellow"/>
              </w:rPr>
            </w:pPr>
            <w:r w:rsidRPr="00460F9E">
              <w:rPr>
                <w:rFonts w:eastAsia="Times New Roman" w:cs="Times New Roman"/>
                <w:w w:val="99"/>
              </w:rPr>
              <w:t>NO</w:t>
            </w:r>
            <w:r w:rsidRPr="00460F9E">
              <w:rPr>
                <w:rFonts w:eastAsia="Times New Roman" w:cs="Times New Roman"/>
                <w:w w:val="99"/>
                <w:sz w:val="12"/>
              </w:rPr>
              <w:t>X</w:t>
            </w:r>
            <w:r w:rsidRPr="00460F9E">
              <w:rPr>
                <w:rFonts w:eastAsia="Times New Roman" w:cs="Times New Roman"/>
                <w:w w:val="99"/>
              </w:rPr>
              <w:t xml:space="preserve"> kütle akışı 2,5 kg/saat olan herhangi bir baca</w:t>
            </w:r>
          </w:p>
        </w:tc>
        <w:tc>
          <w:tcPr>
            <w:tcW w:w="1984" w:type="dxa"/>
            <w:vMerge w:val="restart"/>
            <w:tcBorders>
              <w:right w:val="single" w:sz="8" w:space="0" w:color="auto"/>
            </w:tcBorders>
            <w:shd w:val="clear" w:color="auto" w:fill="auto"/>
            <w:vAlign w:val="center"/>
          </w:tcPr>
          <w:p w14:paraId="07391C6A"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Genel EN</w:t>
            </w:r>
          </w:p>
          <w:p w14:paraId="3503CF8C" w14:textId="77777777" w:rsidR="00A52778" w:rsidRPr="00460F9E" w:rsidRDefault="00A52778" w:rsidP="00FC3F8E">
            <w:pPr>
              <w:spacing w:line="0" w:lineRule="atLeast"/>
              <w:jc w:val="center"/>
              <w:rPr>
                <w:rFonts w:eastAsia="Times New Roman" w:cs="Times New Roman"/>
                <w:b/>
                <w:sz w:val="18"/>
                <w:highlight w:val="yellow"/>
              </w:rPr>
            </w:pPr>
            <w:r w:rsidRPr="00460F9E">
              <w:rPr>
                <w:rFonts w:eastAsia="Times New Roman" w:cs="Times New Roman"/>
                <w:w w:val="97"/>
              </w:rPr>
              <w:t>standartları (</w:t>
            </w:r>
            <w:r w:rsidRPr="00460F9E">
              <w:rPr>
                <w:rFonts w:eastAsia="Times New Roman" w:cs="Times New Roman"/>
                <w:w w:val="97"/>
                <w:vertAlign w:val="superscript"/>
              </w:rPr>
              <w:t>5</w:t>
            </w:r>
            <w:r w:rsidRPr="00460F9E">
              <w:rPr>
                <w:rFonts w:eastAsia="Times New Roman" w:cs="Times New Roman"/>
                <w:w w:val="97"/>
              </w:rPr>
              <w:t>)</w:t>
            </w:r>
          </w:p>
        </w:tc>
        <w:tc>
          <w:tcPr>
            <w:tcW w:w="1276" w:type="dxa"/>
            <w:tcBorders>
              <w:right w:val="single" w:sz="8" w:space="0" w:color="auto"/>
            </w:tcBorders>
            <w:shd w:val="clear" w:color="auto" w:fill="auto"/>
            <w:vAlign w:val="bottom"/>
          </w:tcPr>
          <w:p w14:paraId="6E3DFACF" w14:textId="77777777" w:rsidR="00A52778" w:rsidRPr="00460F9E" w:rsidRDefault="00A52778" w:rsidP="00FC3F8E">
            <w:pPr>
              <w:spacing w:line="0" w:lineRule="atLeast"/>
              <w:rPr>
                <w:rFonts w:eastAsia="Times New Roman" w:cs="Times New Roman"/>
                <w:b/>
                <w:sz w:val="18"/>
              </w:rPr>
            </w:pPr>
          </w:p>
        </w:tc>
        <w:tc>
          <w:tcPr>
            <w:tcW w:w="1276" w:type="dxa"/>
            <w:tcBorders>
              <w:right w:val="single" w:sz="8" w:space="0" w:color="auto"/>
            </w:tcBorders>
            <w:shd w:val="clear" w:color="auto" w:fill="auto"/>
            <w:vAlign w:val="bottom"/>
          </w:tcPr>
          <w:p w14:paraId="5ACBC5F1" w14:textId="77777777" w:rsidR="00A52778" w:rsidRPr="00460F9E" w:rsidRDefault="00A52778" w:rsidP="00FC3F8E">
            <w:pPr>
              <w:spacing w:line="0" w:lineRule="atLeast"/>
              <w:rPr>
                <w:rFonts w:eastAsia="Times New Roman" w:cs="Times New Roman"/>
                <w:b/>
                <w:sz w:val="18"/>
              </w:rPr>
            </w:pPr>
          </w:p>
        </w:tc>
      </w:tr>
      <w:tr w:rsidR="00A52778" w:rsidRPr="00460F9E" w14:paraId="51FE2E86" w14:textId="77777777" w:rsidTr="00FC3F8E">
        <w:trPr>
          <w:trHeight w:val="231"/>
        </w:trPr>
        <w:tc>
          <w:tcPr>
            <w:tcW w:w="1701" w:type="dxa"/>
            <w:tcBorders>
              <w:left w:val="single" w:sz="8" w:space="0" w:color="auto"/>
              <w:right w:val="single" w:sz="8" w:space="0" w:color="auto"/>
            </w:tcBorders>
            <w:shd w:val="clear" w:color="auto" w:fill="auto"/>
            <w:vAlign w:val="bottom"/>
          </w:tcPr>
          <w:p w14:paraId="78B016F5" w14:textId="77777777" w:rsidR="00A52778" w:rsidRPr="00460F9E" w:rsidRDefault="00A52778" w:rsidP="00FC3F8E">
            <w:pPr>
              <w:spacing w:line="0" w:lineRule="atLeast"/>
              <w:rPr>
                <w:rFonts w:eastAsia="Times New Roman" w:cs="Times New Roman"/>
                <w:b/>
                <w:highlight w:val="yellow"/>
              </w:rPr>
            </w:pPr>
          </w:p>
        </w:tc>
        <w:tc>
          <w:tcPr>
            <w:tcW w:w="1985" w:type="dxa"/>
            <w:vMerge/>
            <w:tcBorders>
              <w:right w:val="single" w:sz="8" w:space="0" w:color="auto"/>
            </w:tcBorders>
            <w:shd w:val="clear" w:color="auto" w:fill="auto"/>
            <w:vAlign w:val="bottom"/>
          </w:tcPr>
          <w:p w14:paraId="166DBD27" w14:textId="77777777" w:rsidR="00A52778" w:rsidRPr="00460F9E" w:rsidRDefault="00A52778" w:rsidP="00FC3F8E">
            <w:pPr>
              <w:spacing w:line="208" w:lineRule="exact"/>
              <w:jc w:val="center"/>
              <w:rPr>
                <w:rFonts w:eastAsia="Times New Roman" w:cs="Times New Roman"/>
                <w:b/>
                <w:highlight w:val="yellow"/>
              </w:rPr>
            </w:pPr>
          </w:p>
        </w:tc>
        <w:tc>
          <w:tcPr>
            <w:tcW w:w="1134" w:type="dxa"/>
            <w:vMerge/>
            <w:tcBorders>
              <w:right w:val="single" w:sz="8" w:space="0" w:color="auto"/>
            </w:tcBorders>
            <w:shd w:val="clear" w:color="auto" w:fill="auto"/>
            <w:vAlign w:val="bottom"/>
          </w:tcPr>
          <w:p w14:paraId="0AFE364C" w14:textId="77777777" w:rsidR="00A52778" w:rsidRPr="00460F9E" w:rsidRDefault="00A52778" w:rsidP="00FC3F8E">
            <w:pPr>
              <w:spacing w:line="222" w:lineRule="exact"/>
              <w:jc w:val="center"/>
              <w:rPr>
                <w:rFonts w:eastAsia="Times New Roman" w:cs="Times New Roman"/>
                <w:b/>
                <w:w w:val="99"/>
                <w:sz w:val="12"/>
                <w:highlight w:val="yellow"/>
              </w:rPr>
            </w:pPr>
          </w:p>
        </w:tc>
        <w:tc>
          <w:tcPr>
            <w:tcW w:w="1984" w:type="dxa"/>
            <w:vMerge/>
            <w:tcBorders>
              <w:right w:val="single" w:sz="8" w:space="0" w:color="auto"/>
            </w:tcBorders>
            <w:shd w:val="clear" w:color="auto" w:fill="auto"/>
            <w:vAlign w:val="bottom"/>
          </w:tcPr>
          <w:p w14:paraId="5575ACC4" w14:textId="77777777" w:rsidR="00A52778" w:rsidRPr="00460F9E" w:rsidRDefault="00A52778" w:rsidP="00FC3F8E">
            <w:pPr>
              <w:spacing w:line="0" w:lineRule="atLeast"/>
              <w:jc w:val="center"/>
              <w:rPr>
                <w:rFonts w:eastAsia="Times New Roman" w:cs="Times New Roman"/>
                <w:b/>
                <w:w w:val="98"/>
                <w:highlight w:val="yellow"/>
              </w:rPr>
            </w:pPr>
          </w:p>
        </w:tc>
        <w:tc>
          <w:tcPr>
            <w:tcW w:w="1276" w:type="dxa"/>
            <w:tcBorders>
              <w:right w:val="single" w:sz="8" w:space="0" w:color="auto"/>
            </w:tcBorders>
            <w:shd w:val="clear" w:color="auto" w:fill="auto"/>
            <w:vAlign w:val="bottom"/>
          </w:tcPr>
          <w:p w14:paraId="1E71CD06" w14:textId="77777777" w:rsidR="00A52778" w:rsidRPr="00460F9E" w:rsidRDefault="00A52778" w:rsidP="00FC3F8E">
            <w:pPr>
              <w:spacing w:line="0" w:lineRule="atLeast"/>
              <w:rPr>
                <w:rFonts w:eastAsia="Times New Roman" w:cs="Times New Roman"/>
                <w:b/>
              </w:rPr>
            </w:pPr>
          </w:p>
        </w:tc>
        <w:tc>
          <w:tcPr>
            <w:tcW w:w="1276" w:type="dxa"/>
            <w:tcBorders>
              <w:right w:val="single" w:sz="8" w:space="0" w:color="auto"/>
            </w:tcBorders>
            <w:shd w:val="clear" w:color="auto" w:fill="auto"/>
            <w:vAlign w:val="bottom"/>
          </w:tcPr>
          <w:p w14:paraId="0ED30F49" w14:textId="77777777" w:rsidR="00A52778" w:rsidRPr="00460F9E" w:rsidRDefault="00A52778" w:rsidP="00FC3F8E">
            <w:pPr>
              <w:spacing w:line="0" w:lineRule="atLeast"/>
              <w:rPr>
                <w:rFonts w:eastAsia="Times New Roman" w:cs="Times New Roman"/>
                <w:b/>
              </w:rPr>
            </w:pPr>
          </w:p>
        </w:tc>
      </w:tr>
      <w:tr w:rsidR="00A52778" w:rsidRPr="00460F9E" w14:paraId="649ADB2D" w14:textId="77777777" w:rsidTr="00FC3F8E">
        <w:trPr>
          <w:trHeight w:val="122"/>
        </w:trPr>
        <w:tc>
          <w:tcPr>
            <w:tcW w:w="1701" w:type="dxa"/>
            <w:tcBorders>
              <w:left w:val="single" w:sz="8" w:space="0" w:color="auto"/>
              <w:right w:val="single" w:sz="8" w:space="0" w:color="auto"/>
            </w:tcBorders>
            <w:shd w:val="clear" w:color="auto" w:fill="auto"/>
            <w:vAlign w:val="bottom"/>
          </w:tcPr>
          <w:p w14:paraId="1F4B9DB4"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right w:val="single" w:sz="8" w:space="0" w:color="auto"/>
            </w:tcBorders>
            <w:shd w:val="clear" w:color="auto" w:fill="auto"/>
            <w:vAlign w:val="bottom"/>
          </w:tcPr>
          <w:p w14:paraId="32EDBFC2" w14:textId="77777777" w:rsidR="00A52778" w:rsidRPr="00460F9E" w:rsidRDefault="00A52778" w:rsidP="00FC3F8E">
            <w:pPr>
              <w:spacing w:line="208" w:lineRule="exact"/>
              <w:jc w:val="center"/>
              <w:rPr>
                <w:rFonts w:eastAsia="Times New Roman" w:cs="Times New Roman"/>
                <w:b/>
                <w:sz w:val="10"/>
                <w:highlight w:val="yellow"/>
              </w:rPr>
            </w:pPr>
          </w:p>
        </w:tc>
        <w:tc>
          <w:tcPr>
            <w:tcW w:w="1134" w:type="dxa"/>
            <w:vMerge/>
            <w:tcBorders>
              <w:right w:val="single" w:sz="8" w:space="0" w:color="auto"/>
            </w:tcBorders>
            <w:shd w:val="clear" w:color="auto" w:fill="auto"/>
            <w:vAlign w:val="bottom"/>
          </w:tcPr>
          <w:p w14:paraId="65E2463F" w14:textId="77777777" w:rsidR="00A52778" w:rsidRPr="00460F9E" w:rsidRDefault="00A52778" w:rsidP="00FC3F8E">
            <w:pPr>
              <w:spacing w:line="222" w:lineRule="exact"/>
              <w:jc w:val="center"/>
              <w:rPr>
                <w:rFonts w:eastAsia="Times New Roman" w:cs="Times New Roman"/>
                <w:b/>
                <w:w w:val="97"/>
                <w:highlight w:val="yellow"/>
              </w:rPr>
            </w:pPr>
          </w:p>
        </w:tc>
        <w:tc>
          <w:tcPr>
            <w:tcW w:w="1984" w:type="dxa"/>
            <w:vMerge/>
            <w:tcBorders>
              <w:right w:val="single" w:sz="8" w:space="0" w:color="auto"/>
            </w:tcBorders>
            <w:shd w:val="clear" w:color="auto" w:fill="auto"/>
            <w:vAlign w:val="bottom"/>
          </w:tcPr>
          <w:p w14:paraId="34ADD7BF" w14:textId="77777777" w:rsidR="00A52778" w:rsidRPr="00460F9E" w:rsidRDefault="00A52778" w:rsidP="00FC3F8E">
            <w:pPr>
              <w:spacing w:line="0" w:lineRule="atLeast"/>
              <w:jc w:val="center"/>
              <w:rPr>
                <w:rFonts w:eastAsia="Times New Roman" w:cs="Times New Roman"/>
                <w:b/>
                <w:sz w:val="10"/>
                <w:highlight w:val="yellow"/>
              </w:rPr>
            </w:pPr>
          </w:p>
        </w:tc>
        <w:tc>
          <w:tcPr>
            <w:tcW w:w="1276" w:type="dxa"/>
            <w:vMerge w:val="restart"/>
            <w:tcBorders>
              <w:right w:val="single" w:sz="8" w:space="0" w:color="auto"/>
            </w:tcBorders>
            <w:shd w:val="clear" w:color="auto" w:fill="auto"/>
            <w:vAlign w:val="bottom"/>
          </w:tcPr>
          <w:p w14:paraId="0C3A93B4"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Sürekli</w:t>
            </w:r>
          </w:p>
        </w:tc>
        <w:tc>
          <w:tcPr>
            <w:tcW w:w="1276" w:type="dxa"/>
            <w:tcBorders>
              <w:right w:val="single" w:sz="8" w:space="0" w:color="auto"/>
            </w:tcBorders>
            <w:shd w:val="clear" w:color="auto" w:fill="auto"/>
            <w:vAlign w:val="bottom"/>
          </w:tcPr>
          <w:p w14:paraId="3E4127A6" w14:textId="77777777" w:rsidR="00A52778" w:rsidRPr="00460F9E" w:rsidRDefault="00A52778" w:rsidP="00FC3F8E">
            <w:pPr>
              <w:spacing w:line="0" w:lineRule="atLeast"/>
              <w:rPr>
                <w:rFonts w:eastAsia="Times New Roman" w:cs="Times New Roman"/>
                <w:b/>
                <w:sz w:val="10"/>
              </w:rPr>
            </w:pPr>
          </w:p>
        </w:tc>
      </w:tr>
      <w:tr w:rsidR="00A52778" w:rsidRPr="00460F9E" w14:paraId="67B68DAB" w14:textId="77777777" w:rsidTr="00FC3F8E">
        <w:trPr>
          <w:trHeight w:val="113"/>
        </w:trPr>
        <w:tc>
          <w:tcPr>
            <w:tcW w:w="1701" w:type="dxa"/>
            <w:tcBorders>
              <w:left w:val="single" w:sz="8" w:space="0" w:color="auto"/>
              <w:right w:val="single" w:sz="8" w:space="0" w:color="auto"/>
            </w:tcBorders>
            <w:shd w:val="clear" w:color="auto" w:fill="auto"/>
            <w:vAlign w:val="bottom"/>
          </w:tcPr>
          <w:p w14:paraId="23D73F51" w14:textId="77777777" w:rsidR="00A52778" w:rsidRPr="00460F9E" w:rsidRDefault="00A52778" w:rsidP="00FC3F8E">
            <w:pPr>
              <w:spacing w:line="0" w:lineRule="atLeast"/>
              <w:rPr>
                <w:rFonts w:eastAsia="Times New Roman" w:cs="Times New Roman"/>
                <w:b/>
                <w:sz w:val="9"/>
                <w:highlight w:val="yellow"/>
              </w:rPr>
            </w:pPr>
          </w:p>
        </w:tc>
        <w:tc>
          <w:tcPr>
            <w:tcW w:w="1985" w:type="dxa"/>
            <w:vMerge/>
            <w:tcBorders>
              <w:right w:val="single" w:sz="8" w:space="0" w:color="auto"/>
            </w:tcBorders>
            <w:shd w:val="clear" w:color="auto" w:fill="auto"/>
            <w:vAlign w:val="bottom"/>
          </w:tcPr>
          <w:p w14:paraId="13A4C478" w14:textId="77777777" w:rsidR="00A52778" w:rsidRPr="00460F9E" w:rsidRDefault="00A52778" w:rsidP="00FC3F8E">
            <w:pPr>
              <w:spacing w:line="208" w:lineRule="exact"/>
              <w:jc w:val="center"/>
              <w:rPr>
                <w:rFonts w:eastAsia="Times New Roman" w:cs="Times New Roman"/>
                <w:b/>
                <w:sz w:val="9"/>
                <w:highlight w:val="yellow"/>
              </w:rPr>
            </w:pPr>
          </w:p>
        </w:tc>
        <w:tc>
          <w:tcPr>
            <w:tcW w:w="1134" w:type="dxa"/>
            <w:vMerge/>
            <w:tcBorders>
              <w:right w:val="single" w:sz="8" w:space="0" w:color="auto"/>
            </w:tcBorders>
            <w:shd w:val="clear" w:color="auto" w:fill="auto"/>
            <w:vAlign w:val="bottom"/>
          </w:tcPr>
          <w:p w14:paraId="3311F25B" w14:textId="77777777" w:rsidR="00A52778" w:rsidRPr="00460F9E" w:rsidRDefault="00A52778" w:rsidP="00FC3F8E">
            <w:pPr>
              <w:spacing w:line="222" w:lineRule="exact"/>
              <w:jc w:val="center"/>
              <w:rPr>
                <w:rFonts w:eastAsia="Times New Roman" w:cs="Times New Roman"/>
                <w:b/>
                <w:sz w:val="9"/>
                <w:highlight w:val="yellow"/>
              </w:rPr>
            </w:pPr>
          </w:p>
        </w:tc>
        <w:tc>
          <w:tcPr>
            <w:tcW w:w="1984" w:type="dxa"/>
            <w:vMerge/>
            <w:tcBorders>
              <w:right w:val="single" w:sz="8" w:space="0" w:color="auto"/>
            </w:tcBorders>
            <w:shd w:val="clear" w:color="auto" w:fill="auto"/>
            <w:vAlign w:val="bottom"/>
          </w:tcPr>
          <w:p w14:paraId="528B60D4" w14:textId="77777777" w:rsidR="00A52778" w:rsidRPr="00460F9E" w:rsidRDefault="00A52778" w:rsidP="00FC3F8E">
            <w:pPr>
              <w:spacing w:line="0" w:lineRule="atLeast"/>
              <w:jc w:val="center"/>
              <w:rPr>
                <w:rFonts w:eastAsia="Times New Roman" w:cs="Times New Roman"/>
                <w:b/>
                <w:w w:val="97"/>
                <w:highlight w:val="yellow"/>
              </w:rPr>
            </w:pPr>
          </w:p>
        </w:tc>
        <w:tc>
          <w:tcPr>
            <w:tcW w:w="1276" w:type="dxa"/>
            <w:vMerge/>
            <w:tcBorders>
              <w:right w:val="single" w:sz="8" w:space="0" w:color="auto"/>
            </w:tcBorders>
            <w:shd w:val="clear" w:color="auto" w:fill="auto"/>
            <w:vAlign w:val="bottom"/>
          </w:tcPr>
          <w:p w14:paraId="480E81B4" w14:textId="77777777" w:rsidR="00A52778" w:rsidRPr="00460F9E" w:rsidRDefault="00A52778" w:rsidP="00FC3F8E">
            <w:pPr>
              <w:spacing w:line="0" w:lineRule="atLeast"/>
              <w:rPr>
                <w:rFonts w:eastAsia="Times New Roman" w:cs="Times New Roman"/>
                <w:b/>
                <w:sz w:val="9"/>
              </w:rPr>
            </w:pPr>
          </w:p>
        </w:tc>
        <w:tc>
          <w:tcPr>
            <w:tcW w:w="1276" w:type="dxa"/>
            <w:tcBorders>
              <w:right w:val="single" w:sz="8" w:space="0" w:color="auto"/>
            </w:tcBorders>
            <w:shd w:val="clear" w:color="auto" w:fill="auto"/>
            <w:vAlign w:val="bottom"/>
          </w:tcPr>
          <w:p w14:paraId="6F92A450" w14:textId="77777777" w:rsidR="00A52778" w:rsidRPr="00460F9E" w:rsidRDefault="00A52778" w:rsidP="00FC3F8E">
            <w:pPr>
              <w:spacing w:line="0" w:lineRule="atLeast"/>
              <w:rPr>
                <w:rFonts w:eastAsia="Times New Roman" w:cs="Times New Roman"/>
                <w:b/>
                <w:sz w:val="9"/>
              </w:rPr>
            </w:pPr>
          </w:p>
        </w:tc>
      </w:tr>
      <w:tr w:rsidR="00A52778" w:rsidRPr="00460F9E" w14:paraId="20E267D5" w14:textId="77777777" w:rsidTr="00FC3F8E">
        <w:trPr>
          <w:trHeight w:val="181"/>
        </w:trPr>
        <w:tc>
          <w:tcPr>
            <w:tcW w:w="1701" w:type="dxa"/>
            <w:tcBorders>
              <w:left w:val="single" w:sz="8" w:space="0" w:color="auto"/>
              <w:right w:val="single" w:sz="8" w:space="0" w:color="auto"/>
            </w:tcBorders>
            <w:shd w:val="clear" w:color="auto" w:fill="auto"/>
            <w:vAlign w:val="bottom"/>
          </w:tcPr>
          <w:p w14:paraId="6165B5A8" w14:textId="77777777" w:rsidR="00A52778" w:rsidRPr="00460F9E" w:rsidRDefault="00A52778" w:rsidP="00FC3F8E">
            <w:pPr>
              <w:spacing w:line="0" w:lineRule="atLeast"/>
              <w:rPr>
                <w:rFonts w:eastAsia="Times New Roman" w:cs="Times New Roman"/>
                <w:b/>
                <w:sz w:val="15"/>
                <w:highlight w:val="yellow"/>
              </w:rPr>
            </w:pPr>
          </w:p>
        </w:tc>
        <w:tc>
          <w:tcPr>
            <w:tcW w:w="1985" w:type="dxa"/>
            <w:vMerge/>
            <w:tcBorders>
              <w:right w:val="single" w:sz="8" w:space="0" w:color="auto"/>
            </w:tcBorders>
            <w:shd w:val="clear" w:color="auto" w:fill="auto"/>
            <w:vAlign w:val="bottom"/>
          </w:tcPr>
          <w:p w14:paraId="15F6D463" w14:textId="77777777" w:rsidR="00A52778" w:rsidRPr="00460F9E" w:rsidRDefault="00A52778" w:rsidP="00FC3F8E">
            <w:pPr>
              <w:spacing w:line="208" w:lineRule="exact"/>
              <w:jc w:val="center"/>
              <w:rPr>
                <w:rFonts w:eastAsia="Times New Roman" w:cs="Times New Roman"/>
                <w:b/>
                <w:sz w:val="15"/>
                <w:highlight w:val="yellow"/>
              </w:rPr>
            </w:pPr>
          </w:p>
        </w:tc>
        <w:tc>
          <w:tcPr>
            <w:tcW w:w="1134" w:type="dxa"/>
            <w:vMerge/>
            <w:tcBorders>
              <w:right w:val="single" w:sz="8" w:space="0" w:color="auto"/>
            </w:tcBorders>
            <w:shd w:val="clear" w:color="auto" w:fill="auto"/>
            <w:vAlign w:val="bottom"/>
          </w:tcPr>
          <w:p w14:paraId="393E9216" w14:textId="77777777" w:rsidR="00A52778" w:rsidRPr="00460F9E" w:rsidRDefault="00A52778" w:rsidP="00FC3F8E">
            <w:pPr>
              <w:spacing w:line="222" w:lineRule="exact"/>
              <w:jc w:val="center"/>
              <w:rPr>
                <w:rFonts w:eastAsia="Times New Roman" w:cs="Times New Roman"/>
                <w:b/>
                <w:w w:val="95"/>
                <w:highlight w:val="yellow"/>
              </w:rPr>
            </w:pPr>
          </w:p>
        </w:tc>
        <w:tc>
          <w:tcPr>
            <w:tcW w:w="1984" w:type="dxa"/>
            <w:vMerge/>
            <w:tcBorders>
              <w:right w:val="single" w:sz="8" w:space="0" w:color="auto"/>
            </w:tcBorders>
            <w:shd w:val="clear" w:color="auto" w:fill="auto"/>
            <w:vAlign w:val="bottom"/>
          </w:tcPr>
          <w:p w14:paraId="307731B5" w14:textId="77777777" w:rsidR="00A52778" w:rsidRPr="00460F9E" w:rsidRDefault="00A52778" w:rsidP="00FC3F8E">
            <w:pPr>
              <w:spacing w:line="0" w:lineRule="atLeast"/>
              <w:rPr>
                <w:rFonts w:eastAsia="Times New Roman" w:cs="Times New Roman"/>
                <w:b/>
                <w:sz w:val="15"/>
                <w:highlight w:val="yellow"/>
              </w:rPr>
            </w:pPr>
          </w:p>
        </w:tc>
        <w:tc>
          <w:tcPr>
            <w:tcW w:w="1276" w:type="dxa"/>
            <w:tcBorders>
              <w:right w:val="single" w:sz="8" w:space="0" w:color="auto"/>
            </w:tcBorders>
            <w:shd w:val="clear" w:color="auto" w:fill="auto"/>
            <w:vAlign w:val="bottom"/>
          </w:tcPr>
          <w:p w14:paraId="67BAACD1" w14:textId="77777777" w:rsidR="00A52778" w:rsidRPr="00460F9E" w:rsidRDefault="00A52778" w:rsidP="00FC3F8E">
            <w:pPr>
              <w:spacing w:line="0" w:lineRule="atLeast"/>
              <w:rPr>
                <w:rFonts w:eastAsia="Times New Roman" w:cs="Times New Roman"/>
                <w:b/>
                <w:sz w:val="15"/>
              </w:rPr>
            </w:pPr>
          </w:p>
        </w:tc>
        <w:tc>
          <w:tcPr>
            <w:tcW w:w="1276" w:type="dxa"/>
            <w:tcBorders>
              <w:right w:val="single" w:sz="8" w:space="0" w:color="auto"/>
            </w:tcBorders>
            <w:shd w:val="clear" w:color="auto" w:fill="auto"/>
            <w:vAlign w:val="bottom"/>
          </w:tcPr>
          <w:p w14:paraId="7F84B360" w14:textId="77777777" w:rsidR="00A52778" w:rsidRPr="00460F9E" w:rsidRDefault="00A52778" w:rsidP="00FC3F8E">
            <w:pPr>
              <w:spacing w:line="0" w:lineRule="atLeast"/>
              <w:rPr>
                <w:rFonts w:eastAsia="Times New Roman" w:cs="Times New Roman"/>
                <w:b/>
                <w:sz w:val="15"/>
              </w:rPr>
            </w:pPr>
          </w:p>
        </w:tc>
      </w:tr>
      <w:tr w:rsidR="00A52778" w:rsidRPr="00460F9E" w14:paraId="5BCF9973" w14:textId="77777777" w:rsidTr="00FC3F8E">
        <w:trPr>
          <w:trHeight w:val="42"/>
        </w:trPr>
        <w:tc>
          <w:tcPr>
            <w:tcW w:w="1701" w:type="dxa"/>
            <w:tcBorders>
              <w:left w:val="single" w:sz="8" w:space="0" w:color="auto"/>
              <w:right w:val="single" w:sz="8" w:space="0" w:color="auto"/>
            </w:tcBorders>
            <w:shd w:val="clear" w:color="auto" w:fill="auto"/>
            <w:vAlign w:val="bottom"/>
          </w:tcPr>
          <w:p w14:paraId="28B616E5" w14:textId="77777777" w:rsidR="00A52778" w:rsidRPr="00460F9E" w:rsidRDefault="00A52778" w:rsidP="00FC3F8E">
            <w:pPr>
              <w:spacing w:line="0" w:lineRule="atLeast"/>
              <w:rPr>
                <w:rFonts w:eastAsia="Times New Roman" w:cs="Times New Roman"/>
                <w:b/>
                <w:sz w:val="3"/>
                <w:highlight w:val="yellow"/>
              </w:rPr>
            </w:pPr>
          </w:p>
        </w:tc>
        <w:tc>
          <w:tcPr>
            <w:tcW w:w="1985" w:type="dxa"/>
            <w:vMerge/>
            <w:tcBorders>
              <w:right w:val="single" w:sz="8" w:space="0" w:color="auto"/>
            </w:tcBorders>
            <w:shd w:val="clear" w:color="auto" w:fill="auto"/>
            <w:vAlign w:val="bottom"/>
          </w:tcPr>
          <w:p w14:paraId="6C9911BA" w14:textId="77777777" w:rsidR="00A52778" w:rsidRPr="00460F9E" w:rsidRDefault="00A52778" w:rsidP="00FC3F8E">
            <w:pPr>
              <w:spacing w:line="208" w:lineRule="exact"/>
              <w:jc w:val="center"/>
              <w:rPr>
                <w:rFonts w:eastAsia="Times New Roman" w:cs="Times New Roman"/>
                <w:b/>
                <w:sz w:val="3"/>
                <w:highlight w:val="yellow"/>
              </w:rPr>
            </w:pPr>
          </w:p>
        </w:tc>
        <w:tc>
          <w:tcPr>
            <w:tcW w:w="1134" w:type="dxa"/>
            <w:vMerge/>
            <w:tcBorders>
              <w:right w:val="single" w:sz="8" w:space="0" w:color="auto"/>
            </w:tcBorders>
            <w:shd w:val="clear" w:color="auto" w:fill="auto"/>
            <w:vAlign w:val="bottom"/>
          </w:tcPr>
          <w:p w14:paraId="4749F1CC" w14:textId="77777777" w:rsidR="00A52778" w:rsidRPr="00460F9E" w:rsidRDefault="00A52778" w:rsidP="00FC3F8E">
            <w:pPr>
              <w:spacing w:line="222" w:lineRule="exact"/>
              <w:jc w:val="center"/>
              <w:rPr>
                <w:rFonts w:eastAsia="Times New Roman" w:cs="Times New Roman"/>
                <w:b/>
                <w:sz w:val="3"/>
                <w:highlight w:val="yellow"/>
              </w:rPr>
            </w:pPr>
          </w:p>
        </w:tc>
        <w:tc>
          <w:tcPr>
            <w:tcW w:w="1984" w:type="dxa"/>
            <w:vMerge/>
            <w:tcBorders>
              <w:right w:val="single" w:sz="8" w:space="0" w:color="auto"/>
            </w:tcBorders>
            <w:shd w:val="clear" w:color="auto" w:fill="auto"/>
            <w:vAlign w:val="bottom"/>
          </w:tcPr>
          <w:p w14:paraId="7ACE083B" w14:textId="77777777" w:rsidR="00A52778" w:rsidRPr="00460F9E" w:rsidRDefault="00A52778" w:rsidP="00FC3F8E">
            <w:pPr>
              <w:spacing w:line="0" w:lineRule="atLeast"/>
              <w:rPr>
                <w:rFonts w:eastAsia="Times New Roman" w:cs="Times New Roman"/>
                <w:b/>
                <w:sz w:val="3"/>
                <w:highlight w:val="yellow"/>
              </w:rPr>
            </w:pPr>
          </w:p>
        </w:tc>
        <w:tc>
          <w:tcPr>
            <w:tcW w:w="1276" w:type="dxa"/>
            <w:tcBorders>
              <w:right w:val="single" w:sz="8" w:space="0" w:color="auto"/>
            </w:tcBorders>
            <w:shd w:val="clear" w:color="auto" w:fill="auto"/>
            <w:vAlign w:val="bottom"/>
          </w:tcPr>
          <w:p w14:paraId="4D1EB991" w14:textId="77777777" w:rsidR="00A52778" w:rsidRPr="00460F9E" w:rsidRDefault="00A52778" w:rsidP="00FC3F8E">
            <w:pPr>
              <w:spacing w:line="0" w:lineRule="atLeast"/>
              <w:rPr>
                <w:rFonts w:eastAsia="Times New Roman" w:cs="Times New Roman"/>
                <w:b/>
                <w:sz w:val="3"/>
              </w:rPr>
            </w:pPr>
          </w:p>
        </w:tc>
        <w:tc>
          <w:tcPr>
            <w:tcW w:w="1276" w:type="dxa"/>
            <w:tcBorders>
              <w:right w:val="single" w:sz="8" w:space="0" w:color="auto"/>
            </w:tcBorders>
            <w:shd w:val="clear" w:color="auto" w:fill="auto"/>
            <w:vAlign w:val="bottom"/>
          </w:tcPr>
          <w:p w14:paraId="2EC1CC83" w14:textId="77777777" w:rsidR="00A52778" w:rsidRPr="00460F9E" w:rsidRDefault="00A52778" w:rsidP="00FC3F8E">
            <w:pPr>
              <w:spacing w:line="0" w:lineRule="atLeast"/>
              <w:rPr>
                <w:rFonts w:eastAsia="Times New Roman" w:cs="Times New Roman"/>
                <w:b/>
                <w:sz w:val="3"/>
              </w:rPr>
            </w:pPr>
          </w:p>
        </w:tc>
      </w:tr>
      <w:tr w:rsidR="00A52778" w:rsidRPr="00460F9E" w14:paraId="34A6188F" w14:textId="77777777" w:rsidTr="00FC3F8E">
        <w:trPr>
          <w:trHeight w:val="245"/>
        </w:trPr>
        <w:tc>
          <w:tcPr>
            <w:tcW w:w="1701" w:type="dxa"/>
            <w:tcBorders>
              <w:left w:val="single" w:sz="8" w:space="0" w:color="auto"/>
              <w:right w:val="single" w:sz="8" w:space="0" w:color="auto"/>
            </w:tcBorders>
            <w:shd w:val="clear" w:color="auto" w:fill="auto"/>
            <w:vAlign w:val="bottom"/>
          </w:tcPr>
          <w:p w14:paraId="463EC524" w14:textId="77777777" w:rsidR="00A52778" w:rsidRPr="00460F9E" w:rsidRDefault="00A52778" w:rsidP="00FC3F8E">
            <w:pPr>
              <w:spacing w:line="0" w:lineRule="atLeast"/>
              <w:rPr>
                <w:rFonts w:eastAsia="Times New Roman" w:cs="Times New Roman"/>
                <w:b/>
                <w:sz w:val="21"/>
                <w:highlight w:val="yellow"/>
              </w:rPr>
            </w:pPr>
          </w:p>
        </w:tc>
        <w:tc>
          <w:tcPr>
            <w:tcW w:w="1985" w:type="dxa"/>
            <w:vMerge/>
            <w:tcBorders>
              <w:right w:val="single" w:sz="8" w:space="0" w:color="auto"/>
            </w:tcBorders>
            <w:shd w:val="clear" w:color="auto" w:fill="auto"/>
            <w:vAlign w:val="bottom"/>
          </w:tcPr>
          <w:p w14:paraId="711DD349" w14:textId="77777777" w:rsidR="00A52778" w:rsidRPr="00460F9E" w:rsidRDefault="00A52778" w:rsidP="00FC3F8E">
            <w:pPr>
              <w:spacing w:line="208" w:lineRule="exact"/>
              <w:jc w:val="center"/>
              <w:rPr>
                <w:rFonts w:eastAsia="Times New Roman" w:cs="Times New Roman"/>
                <w:b/>
              </w:rPr>
            </w:pPr>
          </w:p>
        </w:tc>
        <w:tc>
          <w:tcPr>
            <w:tcW w:w="1134" w:type="dxa"/>
            <w:vMerge/>
            <w:tcBorders>
              <w:bottom w:val="single" w:sz="8" w:space="0" w:color="auto"/>
              <w:right w:val="single" w:sz="8" w:space="0" w:color="auto"/>
            </w:tcBorders>
            <w:shd w:val="clear" w:color="auto" w:fill="auto"/>
            <w:vAlign w:val="bottom"/>
          </w:tcPr>
          <w:p w14:paraId="203F963A" w14:textId="77777777" w:rsidR="00A52778" w:rsidRPr="00460F9E" w:rsidRDefault="00A52778" w:rsidP="00FC3F8E">
            <w:pPr>
              <w:spacing w:line="222" w:lineRule="exact"/>
              <w:jc w:val="center"/>
              <w:rPr>
                <w:rFonts w:eastAsia="Times New Roman" w:cs="Times New Roman"/>
                <w:b/>
                <w:highlight w:val="yellow"/>
              </w:rPr>
            </w:pPr>
          </w:p>
        </w:tc>
        <w:tc>
          <w:tcPr>
            <w:tcW w:w="1984" w:type="dxa"/>
            <w:vMerge/>
            <w:tcBorders>
              <w:bottom w:val="single" w:sz="8" w:space="0" w:color="auto"/>
              <w:right w:val="single" w:sz="8" w:space="0" w:color="auto"/>
            </w:tcBorders>
            <w:shd w:val="clear" w:color="auto" w:fill="auto"/>
            <w:vAlign w:val="bottom"/>
          </w:tcPr>
          <w:p w14:paraId="4272E88A" w14:textId="77777777" w:rsidR="00A52778" w:rsidRPr="00460F9E" w:rsidRDefault="00A52778" w:rsidP="00FC3F8E">
            <w:pPr>
              <w:spacing w:line="0" w:lineRule="atLeast"/>
              <w:rPr>
                <w:rFonts w:eastAsia="Times New Roman" w:cs="Times New Roman"/>
                <w:b/>
                <w:sz w:val="21"/>
                <w:highlight w:val="yellow"/>
              </w:rPr>
            </w:pPr>
          </w:p>
        </w:tc>
        <w:tc>
          <w:tcPr>
            <w:tcW w:w="1276" w:type="dxa"/>
            <w:tcBorders>
              <w:bottom w:val="single" w:sz="8" w:space="0" w:color="auto"/>
              <w:right w:val="single" w:sz="8" w:space="0" w:color="auto"/>
            </w:tcBorders>
            <w:shd w:val="clear" w:color="auto" w:fill="auto"/>
            <w:vAlign w:val="bottom"/>
          </w:tcPr>
          <w:p w14:paraId="4D4FDC2F" w14:textId="77777777" w:rsidR="00A52778" w:rsidRPr="00460F9E" w:rsidRDefault="00A52778" w:rsidP="00FC3F8E">
            <w:pPr>
              <w:spacing w:line="0" w:lineRule="atLeast"/>
              <w:rPr>
                <w:rFonts w:eastAsia="Times New Roman" w:cs="Times New Roman"/>
                <w:b/>
                <w:sz w:val="21"/>
              </w:rPr>
            </w:pPr>
          </w:p>
        </w:tc>
        <w:tc>
          <w:tcPr>
            <w:tcW w:w="1276" w:type="dxa"/>
            <w:vMerge w:val="restart"/>
            <w:tcBorders>
              <w:right w:val="single" w:sz="8" w:space="0" w:color="auto"/>
            </w:tcBorders>
            <w:shd w:val="clear" w:color="auto" w:fill="auto"/>
            <w:vAlign w:val="bottom"/>
          </w:tcPr>
          <w:p w14:paraId="0BBEE00D" w14:textId="77777777" w:rsidR="00A52778" w:rsidRPr="00460F9E" w:rsidRDefault="002A1746" w:rsidP="00FC3F8E">
            <w:pPr>
              <w:spacing w:line="0" w:lineRule="atLeast"/>
              <w:jc w:val="center"/>
              <w:rPr>
                <w:rFonts w:eastAsia="Times New Roman" w:cs="Times New Roman"/>
                <w:b/>
              </w:rPr>
            </w:pPr>
            <w:hyperlink w:anchor="page307" w:history="1">
              <w:r w:rsidR="00A52778" w:rsidRPr="00460F9E">
                <w:rPr>
                  <w:rFonts w:cs="Times New Roman"/>
                </w:rPr>
                <w:t xml:space="preserve"> </w:t>
              </w:r>
              <w:r w:rsidR="00A52778" w:rsidRPr="00460F9E">
                <w:rPr>
                  <w:rFonts w:eastAsia="Times New Roman" w:cs="Times New Roman"/>
                </w:rPr>
                <w:t>MET 16</w:t>
              </w:r>
            </w:hyperlink>
          </w:p>
        </w:tc>
      </w:tr>
      <w:tr w:rsidR="00A52778" w:rsidRPr="00460F9E" w14:paraId="6A3627D6" w14:textId="77777777" w:rsidTr="00FC3F8E">
        <w:trPr>
          <w:trHeight w:val="93"/>
        </w:trPr>
        <w:tc>
          <w:tcPr>
            <w:tcW w:w="1701" w:type="dxa"/>
            <w:tcBorders>
              <w:left w:val="single" w:sz="8" w:space="0" w:color="auto"/>
              <w:right w:val="single" w:sz="8" w:space="0" w:color="auto"/>
            </w:tcBorders>
            <w:shd w:val="clear" w:color="auto" w:fill="auto"/>
            <w:vAlign w:val="bottom"/>
          </w:tcPr>
          <w:p w14:paraId="6308E483" w14:textId="77777777" w:rsidR="00A52778" w:rsidRPr="00460F9E" w:rsidRDefault="00A52778" w:rsidP="00FC3F8E">
            <w:pPr>
              <w:spacing w:line="0" w:lineRule="atLeast"/>
              <w:rPr>
                <w:rFonts w:eastAsia="Times New Roman" w:cs="Times New Roman"/>
                <w:b/>
                <w:sz w:val="8"/>
                <w:highlight w:val="yellow"/>
              </w:rPr>
            </w:pPr>
          </w:p>
        </w:tc>
        <w:tc>
          <w:tcPr>
            <w:tcW w:w="1985" w:type="dxa"/>
            <w:vMerge/>
            <w:tcBorders>
              <w:right w:val="single" w:sz="8" w:space="0" w:color="auto"/>
            </w:tcBorders>
            <w:shd w:val="clear" w:color="auto" w:fill="auto"/>
            <w:vAlign w:val="bottom"/>
          </w:tcPr>
          <w:p w14:paraId="67336921" w14:textId="77777777" w:rsidR="00A52778" w:rsidRPr="00460F9E" w:rsidRDefault="00A52778" w:rsidP="00FC3F8E">
            <w:pPr>
              <w:spacing w:line="208" w:lineRule="exact"/>
              <w:jc w:val="center"/>
              <w:rPr>
                <w:rFonts w:eastAsia="Times New Roman" w:cs="Times New Roman"/>
                <w:b/>
              </w:rPr>
            </w:pPr>
          </w:p>
        </w:tc>
        <w:tc>
          <w:tcPr>
            <w:tcW w:w="1134" w:type="dxa"/>
            <w:vMerge w:val="restart"/>
            <w:tcBorders>
              <w:right w:val="single" w:sz="8" w:space="0" w:color="auto"/>
            </w:tcBorders>
            <w:shd w:val="clear" w:color="auto" w:fill="auto"/>
            <w:vAlign w:val="center"/>
          </w:tcPr>
          <w:p w14:paraId="3A54F446" w14:textId="77777777" w:rsidR="00A52778" w:rsidRPr="00460F9E" w:rsidRDefault="00A52778" w:rsidP="00FC3F8E">
            <w:pPr>
              <w:spacing w:line="219" w:lineRule="exact"/>
              <w:jc w:val="center"/>
              <w:rPr>
                <w:rFonts w:eastAsia="Times New Roman" w:cs="Times New Roman"/>
                <w:b/>
                <w:w w:val="99"/>
                <w:highlight w:val="yellow"/>
              </w:rPr>
            </w:pPr>
            <w:r w:rsidRPr="00460F9E">
              <w:rPr>
                <w:rFonts w:eastAsia="Times New Roman" w:cs="Times New Roman"/>
                <w:w w:val="99"/>
              </w:rPr>
              <w:t>NO</w:t>
            </w:r>
            <w:r w:rsidRPr="00460F9E">
              <w:rPr>
                <w:rFonts w:eastAsia="Times New Roman" w:cs="Times New Roman"/>
                <w:w w:val="99"/>
                <w:sz w:val="12"/>
              </w:rPr>
              <w:t>X</w:t>
            </w:r>
            <w:r w:rsidRPr="00460F9E">
              <w:rPr>
                <w:rFonts w:eastAsia="Times New Roman" w:cs="Times New Roman"/>
                <w:w w:val="99"/>
              </w:rPr>
              <w:t xml:space="preserve"> kütle akışı &lt; 2,5 kg/saat olan herhangi bir baca</w:t>
            </w:r>
          </w:p>
        </w:tc>
        <w:tc>
          <w:tcPr>
            <w:tcW w:w="1984" w:type="dxa"/>
            <w:tcBorders>
              <w:right w:val="single" w:sz="8" w:space="0" w:color="auto"/>
            </w:tcBorders>
            <w:shd w:val="clear" w:color="auto" w:fill="auto"/>
            <w:vAlign w:val="bottom"/>
          </w:tcPr>
          <w:p w14:paraId="682C00BD" w14:textId="77777777" w:rsidR="00A52778" w:rsidRPr="00460F9E" w:rsidRDefault="00A52778" w:rsidP="00FC3F8E">
            <w:pPr>
              <w:spacing w:line="0" w:lineRule="atLeast"/>
              <w:rPr>
                <w:rFonts w:eastAsia="Times New Roman" w:cs="Times New Roman"/>
                <w:b/>
                <w:sz w:val="8"/>
                <w:highlight w:val="yellow"/>
              </w:rPr>
            </w:pPr>
          </w:p>
        </w:tc>
        <w:tc>
          <w:tcPr>
            <w:tcW w:w="1276" w:type="dxa"/>
            <w:vMerge w:val="restart"/>
            <w:tcBorders>
              <w:right w:val="single" w:sz="8" w:space="0" w:color="auto"/>
            </w:tcBorders>
            <w:shd w:val="clear" w:color="auto" w:fill="auto"/>
            <w:vAlign w:val="center"/>
          </w:tcPr>
          <w:p w14:paraId="7B252E4B"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Her 6 ayda</w:t>
            </w:r>
          </w:p>
          <w:p w14:paraId="5C6DF911"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1 kere</w:t>
            </w:r>
          </w:p>
          <w:p w14:paraId="01F8EAE7" w14:textId="77777777" w:rsidR="00A52778" w:rsidRPr="00460F9E" w:rsidRDefault="00A52778" w:rsidP="00FC3F8E">
            <w:pPr>
              <w:spacing w:line="241" w:lineRule="exact"/>
              <w:jc w:val="center"/>
              <w:rPr>
                <w:rFonts w:eastAsia="Times New Roman" w:cs="Times New Roman"/>
                <w:b/>
                <w:sz w:val="8"/>
              </w:rPr>
            </w:pPr>
            <w:r w:rsidRPr="00460F9E">
              <w:rPr>
                <w:rFonts w:eastAsia="Times New Roman" w:cs="Times New Roman"/>
                <w:w w:val="95"/>
              </w:rPr>
              <w:t>(</w:t>
            </w:r>
            <w:r w:rsidRPr="00460F9E">
              <w:rPr>
                <w:rFonts w:eastAsia="Times New Roman" w:cs="Times New Roman"/>
                <w:w w:val="95"/>
                <w:sz w:val="25"/>
                <w:vertAlign w:val="superscript"/>
              </w:rPr>
              <w:t>3</w:t>
            </w:r>
            <w:r w:rsidRPr="00460F9E">
              <w:rPr>
                <w:rFonts w:eastAsia="Times New Roman" w:cs="Times New Roman"/>
                <w:w w:val="95"/>
              </w:rPr>
              <w:t>) (</w:t>
            </w:r>
            <w:r w:rsidRPr="00460F9E">
              <w:rPr>
                <w:rFonts w:eastAsia="Times New Roman" w:cs="Times New Roman"/>
                <w:w w:val="95"/>
                <w:sz w:val="25"/>
                <w:vertAlign w:val="superscript"/>
              </w:rPr>
              <w:t>4</w:t>
            </w:r>
            <w:r w:rsidRPr="00460F9E">
              <w:rPr>
                <w:rFonts w:eastAsia="Times New Roman" w:cs="Times New Roman"/>
                <w:w w:val="95"/>
              </w:rPr>
              <w:t>)</w:t>
            </w:r>
          </w:p>
        </w:tc>
        <w:tc>
          <w:tcPr>
            <w:tcW w:w="1276" w:type="dxa"/>
            <w:vMerge/>
            <w:tcBorders>
              <w:right w:val="single" w:sz="8" w:space="0" w:color="auto"/>
            </w:tcBorders>
            <w:shd w:val="clear" w:color="auto" w:fill="auto"/>
            <w:vAlign w:val="bottom"/>
          </w:tcPr>
          <w:p w14:paraId="45585EB5" w14:textId="77777777" w:rsidR="00A52778" w:rsidRPr="00460F9E" w:rsidRDefault="00A52778" w:rsidP="00FC3F8E">
            <w:pPr>
              <w:spacing w:line="0" w:lineRule="atLeast"/>
              <w:rPr>
                <w:rFonts w:eastAsia="Times New Roman" w:cs="Times New Roman"/>
                <w:b/>
                <w:sz w:val="8"/>
              </w:rPr>
            </w:pPr>
          </w:p>
        </w:tc>
      </w:tr>
      <w:tr w:rsidR="00A52778" w:rsidRPr="00460F9E" w14:paraId="42BF69D6" w14:textId="77777777" w:rsidTr="00FC3F8E">
        <w:trPr>
          <w:trHeight w:val="127"/>
        </w:trPr>
        <w:tc>
          <w:tcPr>
            <w:tcW w:w="1701" w:type="dxa"/>
            <w:tcBorders>
              <w:left w:val="single" w:sz="8" w:space="0" w:color="auto"/>
              <w:right w:val="single" w:sz="8" w:space="0" w:color="auto"/>
            </w:tcBorders>
            <w:shd w:val="clear" w:color="auto" w:fill="auto"/>
            <w:vAlign w:val="bottom"/>
          </w:tcPr>
          <w:p w14:paraId="3AA324AB" w14:textId="77777777" w:rsidR="00A52778" w:rsidRPr="00460F9E" w:rsidRDefault="00A52778" w:rsidP="00FC3F8E">
            <w:pPr>
              <w:spacing w:line="0" w:lineRule="atLeast"/>
              <w:rPr>
                <w:rFonts w:eastAsia="Times New Roman" w:cs="Times New Roman"/>
                <w:b/>
                <w:sz w:val="11"/>
                <w:highlight w:val="yellow"/>
              </w:rPr>
            </w:pPr>
          </w:p>
        </w:tc>
        <w:tc>
          <w:tcPr>
            <w:tcW w:w="1985" w:type="dxa"/>
            <w:vMerge/>
            <w:tcBorders>
              <w:right w:val="single" w:sz="8" w:space="0" w:color="auto"/>
            </w:tcBorders>
            <w:shd w:val="clear" w:color="auto" w:fill="auto"/>
            <w:vAlign w:val="bottom"/>
          </w:tcPr>
          <w:p w14:paraId="1FC28B7D" w14:textId="77777777" w:rsidR="00A52778" w:rsidRPr="00460F9E" w:rsidRDefault="00A52778" w:rsidP="00FC3F8E">
            <w:pPr>
              <w:spacing w:line="0" w:lineRule="atLeast"/>
              <w:rPr>
                <w:rFonts w:eastAsia="Times New Roman" w:cs="Times New Roman"/>
                <w:b/>
                <w:sz w:val="11"/>
                <w:highlight w:val="yellow"/>
              </w:rPr>
            </w:pPr>
          </w:p>
        </w:tc>
        <w:tc>
          <w:tcPr>
            <w:tcW w:w="1134" w:type="dxa"/>
            <w:vMerge/>
            <w:tcBorders>
              <w:right w:val="single" w:sz="8" w:space="0" w:color="auto"/>
            </w:tcBorders>
            <w:shd w:val="clear" w:color="auto" w:fill="auto"/>
            <w:vAlign w:val="bottom"/>
          </w:tcPr>
          <w:p w14:paraId="056E0C50" w14:textId="77777777" w:rsidR="00A52778" w:rsidRPr="00460F9E" w:rsidRDefault="00A52778" w:rsidP="00FC3F8E">
            <w:pPr>
              <w:spacing w:line="219" w:lineRule="exact"/>
              <w:jc w:val="center"/>
              <w:rPr>
                <w:rFonts w:eastAsia="Times New Roman" w:cs="Times New Roman"/>
                <w:b/>
                <w:sz w:val="11"/>
                <w:highlight w:val="yellow"/>
              </w:rPr>
            </w:pPr>
          </w:p>
        </w:tc>
        <w:tc>
          <w:tcPr>
            <w:tcW w:w="1984" w:type="dxa"/>
            <w:tcBorders>
              <w:right w:val="single" w:sz="8" w:space="0" w:color="auto"/>
            </w:tcBorders>
            <w:shd w:val="clear" w:color="auto" w:fill="auto"/>
            <w:vAlign w:val="bottom"/>
          </w:tcPr>
          <w:p w14:paraId="69DAFAA1" w14:textId="77777777" w:rsidR="00A52778" w:rsidRPr="00460F9E" w:rsidRDefault="00A52778" w:rsidP="00FC3F8E">
            <w:pPr>
              <w:spacing w:line="0" w:lineRule="atLeast"/>
              <w:rPr>
                <w:rFonts w:eastAsia="Times New Roman" w:cs="Times New Roman"/>
                <w:b/>
                <w:sz w:val="11"/>
                <w:highlight w:val="yellow"/>
              </w:rPr>
            </w:pPr>
          </w:p>
        </w:tc>
        <w:tc>
          <w:tcPr>
            <w:tcW w:w="1276" w:type="dxa"/>
            <w:vMerge/>
            <w:tcBorders>
              <w:right w:val="single" w:sz="8" w:space="0" w:color="auto"/>
            </w:tcBorders>
            <w:shd w:val="clear" w:color="auto" w:fill="auto"/>
            <w:vAlign w:val="bottom"/>
          </w:tcPr>
          <w:p w14:paraId="10CDDAB7" w14:textId="77777777" w:rsidR="00A52778" w:rsidRPr="00460F9E" w:rsidRDefault="00A52778" w:rsidP="00FC3F8E">
            <w:pPr>
              <w:spacing w:line="241" w:lineRule="exact"/>
              <w:jc w:val="center"/>
              <w:rPr>
                <w:rFonts w:eastAsia="Times New Roman" w:cs="Times New Roman"/>
                <w:b/>
                <w:sz w:val="11"/>
              </w:rPr>
            </w:pPr>
          </w:p>
        </w:tc>
        <w:tc>
          <w:tcPr>
            <w:tcW w:w="1276" w:type="dxa"/>
            <w:tcBorders>
              <w:right w:val="single" w:sz="8" w:space="0" w:color="auto"/>
            </w:tcBorders>
            <w:shd w:val="clear" w:color="auto" w:fill="auto"/>
            <w:vAlign w:val="bottom"/>
          </w:tcPr>
          <w:p w14:paraId="444C6B5B" w14:textId="77777777" w:rsidR="00A52778" w:rsidRPr="00460F9E" w:rsidRDefault="00A52778" w:rsidP="00FC3F8E">
            <w:pPr>
              <w:spacing w:line="0" w:lineRule="atLeast"/>
              <w:rPr>
                <w:rFonts w:eastAsia="Times New Roman" w:cs="Times New Roman"/>
                <w:b/>
                <w:sz w:val="11"/>
              </w:rPr>
            </w:pPr>
          </w:p>
        </w:tc>
      </w:tr>
      <w:tr w:rsidR="00A52778" w:rsidRPr="00460F9E" w14:paraId="336254F9" w14:textId="77777777" w:rsidTr="00FC3F8E">
        <w:trPr>
          <w:trHeight w:val="234"/>
        </w:trPr>
        <w:tc>
          <w:tcPr>
            <w:tcW w:w="1701" w:type="dxa"/>
            <w:tcBorders>
              <w:left w:val="single" w:sz="8" w:space="0" w:color="auto"/>
              <w:right w:val="single" w:sz="8" w:space="0" w:color="auto"/>
            </w:tcBorders>
            <w:shd w:val="clear" w:color="auto" w:fill="auto"/>
            <w:vAlign w:val="bottom"/>
          </w:tcPr>
          <w:p w14:paraId="444C002C" w14:textId="77777777" w:rsidR="00A52778" w:rsidRPr="00460F9E" w:rsidRDefault="00A52778" w:rsidP="00FC3F8E">
            <w:pPr>
              <w:spacing w:line="0" w:lineRule="atLeast"/>
              <w:rPr>
                <w:rFonts w:eastAsia="Times New Roman" w:cs="Times New Roman"/>
                <w:b/>
                <w:highlight w:val="yellow"/>
              </w:rPr>
            </w:pPr>
          </w:p>
        </w:tc>
        <w:tc>
          <w:tcPr>
            <w:tcW w:w="1985" w:type="dxa"/>
            <w:vMerge/>
            <w:tcBorders>
              <w:right w:val="single" w:sz="8" w:space="0" w:color="auto"/>
            </w:tcBorders>
            <w:shd w:val="clear" w:color="auto" w:fill="auto"/>
            <w:vAlign w:val="bottom"/>
          </w:tcPr>
          <w:p w14:paraId="32AF7220" w14:textId="77777777" w:rsidR="00A52778" w:rsidRPr="00460F9E" w:rsidRDefault="00A52778" w:rsidP="00FC3F8E">
            <w:pPr>
              <w:spacing w:line="0" w:lineRule="atLeast"/>
              <w:rPr>
                <w:rFonts w:eastAsia="Times New Roman" w:cs="Times New Roman"/>
                <w:b/>
                <w:highlight w:val="yellow"/>
              </w:rPr>
            </w:pPr>
          </w:p>
        </w:tc>
        <w:tc>
          <w:tcPr>
            <w:tcW w:w="1134" w:type="dxa"/>
            <w:vMerge/>
            <w:tcBorders>
              <w:right w:val="single" w:sz="8" w:space="0" w:color="auto"/>
            </w:tcBorders>
            <w:shd w:val="clear" w:color="auto" w:fill="auto"/>
            <w:vAlign w:val="bottom"/>
          </w:tcPr>
          <w:p w14:paraId="0FB9FCCF" w14:textId="77777777" w:rsidR="00A52778" w:rsidRPr="00460F9E" w:rsidRDefault="00A52778" w:rsidP="00FC3F8E">
            <w:pPr>
              <w:spacing w:line="219" w:lineRule="exact"/>
              <w:jc w:val="center"/>
              <w:rPr>
                <w:rFonts w:eastAsia="Times New Roman" w:cs="Times New Roman"/>
                <w:b/>
                <w:w w:val="99"/>
                <w:sz w:val="12"/>
                <w:highlight w:val="yellow"/>
              </w:rPr>
            </w:pPr>
          </w:p>
        </w:tc>
        <w:tc>
          <w:tcPr>
            <w:tcW w:w="1984" w:type="dxa"/>
            <w:tcBorders>
              <w:right w:val="single" w:sz="8" w:space="0" w:color="auto"/>
            </w:tcBorders>
            <w:shd w:val="clear" w:color="auto" w:fill="auto"/>
            <w:vAlign w:val="bottom"/>
          </w:tcPr>
          <w:p w14:paraId="6D245A1A" w14:textId="77777777" w:rsidR="00A52778" w:rsidRPr="00460F9E" w:rsidRDefault="00A52778" w:rsidP="00FC3F8E">
            <w:pPr>
              <w:spacing w:line="0" w:lineRule="atLeast"/>
              <w:rPr>
                <w:rFonts w:eastAsia="Times New Roman" w:cs="Times New Roman"/>
                <w:b/>
                <w:highlight w:val="yellow"/>
              </w:rPr>
            </w:pPr>
          </w:p>
        </w:tc>
        <w:tc>
          <w:tcPr>
            <w:tcW w:w="1276" w:type="dxa"/>
            <w:vMerge/>
            <w:tcBorders>
              <w:right w:val="single" w:sz="8" w:space="0" w:color="auto"/>
            </w:tcBorders>
            <w:shd w:val="clear" w:color="auto" w:fill="auto"/>
            <w:vAlign w:val="bottom"/>
          </w:tcPr>
          <w:p w14:paraId="26A18D89" w14:textId="77777777" w:rsidR="00A52778" w:rsidRPr="00460F9E" w:rsidRDefault="00A52778" w:rsidP="00FC3F8E">
            <w:pPr>
              <w:spacing w:line="241" w:lineRule="exact"/>
              <w:jc w:val="center"/>
              <w:rPr>
                <w:rFonts w:eastAsia="Times New Roman" w:cs="Times New Roman"/>
                <w:b/>
              </w:rPr>
            </w:pPr>
          </w:p>
        </w:tc>
        <w:tc>
          <w:tcPr>
            <w:tcW w:w="1276" w:type="dxa"/>
            <w:tcBorders>
              <w:right w:val="single" w:sz="8" w:space="0" w:color="auto"/>
            </w:tcBorders>
            <w:shd w:val="clear" w:color="auto" w:fill="auto"/>
            <w:vAlign w:val="bottom"/>
          </w:tcPr>
          <w:p w14:paraId="1EBF7E70" w14:textId="77777777" w:rsidR="00A52778" w:rsidRPr="00460F9E" w:rsidRDefault="00A52778" w:rsidP="00FC3F8E">
            <w:pPr>
              <w:spacing w:line="0" w:lineRule="atLeast"/>
              <w:rPr>
                <w:rFonts w:eastAsia="Times New Roman" w:cs="Times New Roman"/>
                <w:b/>
              </w:rPr>
            </w:pPr>
          </w:p>
        </w:tc>
      </w:tr>
      <w:tr w:rsidR="00A52778" w:rsidRPr="00460F9E" w14:paraId="4AC91C8D" w14:textId="77777777" w:rsidTr="00FC3F8E">
        <w:trPr>
          <w:trHeight w:val="227"/>
        </w:trPr>
        <w:tc>
          <w:tcPr>
            <w:tcW w:w="1701" w:type="dxa"/>
            <w:tcBorders>
              <w:left w:val="single" w:sz="8" w:space="0" w:color="auto"/>
              <w:right w:val="single" w:sz="8" w:space="0" w:color="auto"/>
            </w:tcBorders>
            <w:shd w:val="clear" w:color="auto" w:fill="auto"/>
            <w:vAlign w:val="bottom"/>
          </w:tcPr>
          <w:p w14:paraId="5E629678" w14:textId="77777777" w:rsidR="00A52778" w:rsidRPr="00460F9E" w:rsidRDefault="00A52778" w:rsidP="00FC3F8E">
            <w:pPr>
              <w:spacing w:line="0" w:lineRule="atLeast"/>
              <w:rPr>
                <w:rFonts w:eastAsia="Times New Roman" w:cs="Times New Roman"/>
                <w:b/>
                <w:sz w:val="19"/>
                <w:highlight w:val="yellow"/>
              </w:rPr>
            </w:pPr>
          </w:p>
        </w:tc>
        <w:tc>
          <w:tcPr>
            <w:tcW w:w="1985" w:type="dxa"/>
            <w:vMerge/>
            <w:tcBorders>
              <w:right w:val="single" w:sz="8" w:space="0" w:color="auto"/>
            </w:tcBorders>
            <w:shd w:val="clear" w:color="auto" w:fill="auto"/>
            <w:vAlign w:val="bottom"/>
          </w:tcPr>
          <w:p w14:paraId="07335469" w14:textId="77777777" w:rsidR="00A52778" w:rsidRPr="00460F9E" w:rsidRDefault="00A52778" w:rsidP="00FC3F8E">
            <w:pPr>
              <w:spacing w:line="0" w:lineRule="atLeast"/>
              <w:rPr>
                <w:rFonts w:eastAsia="Times New Roman" w:cs="Times New Roman"/>
                <w:b/>
                <w:sz w:val="19"/>
                <w:highlight w:val="yellow"/>
              </w:rPr>
            </w:pPr>
          </w:p>
        </w:tc>
        <w:tc>
          <w:tcPr>
            <w:tcW w:w="1134" w:type="dxa"/>
            <w:vMerge/>
            <w:tcBorders>
              <w:right w:val="single" w:sz="8" w:space="0" w:color="auto"/>
            </w:tcBorders>
            <w:shd w:val="clear" w:color="auto" w:fill="auto"/>
            <w:vAlign w:val="bottom"/>
          </w:tcPr>
          <w:p w14:paraId="5739F950" w14:textId="77777777" w:rsidR="00A52778" w:rsidRPr="00460F9E" w:rsidRDefault="00A52778" w:rsidP="00FC3F8E">
            <w:pPr>
              <w:spacing w:line="219" w:lineRule="exact"/>
              <w:jc w:val="center"/>
              <w:rPr>
                <w:rFonts w:eastAsia="Times New Roman" w:cs="Times New Roman"/>
                <w:b/>
                <w:w w:val="97"/>
                <w:highlight w:val="yellow"/>
              </w:rPr>
            </w:pPr>
          </w:p>
        </w:tc>
        <w:tc>
          <w:tcPr>
            <w:tcW w:w="1984" w:type="dxa"/>
            <w:tcBorders>
              <w:right w:val="single" w:sz="8" w:space="0" w:color="auto"/>
            </w:tcBorders>
            <w:shd w:val="clear" w:color="auto" w:fill="auto"/>
            <w:vAlign w:val="bottom"/>
          </w:tcPr>
          <w:p w14:paraId="661E629A" w14:textId="77777777" w:rsidR="00A52778" w:rsidRPr="00460F9E" w:rsidRDefault="00A52778" w:rsidP="00FC3F8E">
            <w:pPr>
              <w:spacing w:line="228" w:lineRule="exact"/>
              <w:jc w:val="center"/>
              <w:rPr>
                <w:rFonts w:eastAsia="Times New Roman" w:cs="Times New Roman"/>
                <w:b/>
                <w:highlight w:val="yellow"/>
              </w:rPr>
            </w:pPr>
            <w:r w:rsidRPr="00460F9E">
              <w:rPr>
                <w:rFonts w:eastAsia="Times New Roman" w:cs="Times New Roman"/>
              </w:rPr>
              <w:t>EN 14792</w:t>
            </w:r>
          </w:p>
        </w:tc>
        <w:tc>
          <w:tcPr>
            <w:tcW w:w="1276" w:type="dxa"/>
            <w:vMerge/>
            <w:tcBorders>
              <w:right w:val="single" w:sz="8" w:space="0" w:color="auto"/>
            </w:tcBorders>
            <w:shd w:val="clear" w:color="auto" w:fill="auto"/>
            <w:vAlign w:val="bottom"/>
          </w:tcPr>
          <w:p w14:paraId="36B9A768" w14:textId="77777777" w:rsidR="00A52778" w:rsidRPr="00460F9E" w:rsidRDefault="00A52778" w:rsidP="00FC3F8E">
            <w:pPr>
              <w:spacing w:line="241" w:lineRule="exact"/>
              <w:jc w:val="center"/>
              <w:rPr>
                <w:rFonts w:eastAsia="Times New Roman" w:cs="Times New Roman"/>
                <w:b/>
              </w:rPr>
            </w:pPr>
          </w:p>
        </w:tc>
        <w:tc>
          <w:tcPr>
            <w:tcW w:w="1276" w:type="dxa"/>
            <w:tcBorders>
              <w:right w:val="single" w:sz="8" w:space="0" w:color="auto"/>
            </w:tcBorders>
            <w:shd w:val="clear" w:color="auto" w:fill="auto"/>
            <w:vAlign w:val="bottom"/>
          </w:tcPr>
          <w:p w14:paraId="0B58051F" w14:textId="77777777" w:rsidR="00A52778" w:rsidRPr="00460F9E" w:rsidRDefault="00A52778" w:rsidP="00FC3F8E">
            <w:pPr>
              <w:spacing w:line="0" w:lineRule="atLeast"/>
              <w:rPr>
                <w:rFonts w:eastAsia="Times New Roman" w:cs="Times New Roman"/>
                <w:b/>
                <w:sz w:val="19"/>
              </w:rPr>
            </w:pPr>
          </w:p>
        </w:tc>
      </w:tr>
      <w:tr w:rsidR="00A52778" w:rsidRPr="00460F9E" w14:paraId="07517457" w14:textId="77777777" w:rsidTr="00FC3F8E">
        <w:trPr>
          <w:trHeight w:val="242"/>
        </w:trPr>
        <w:tc>
          <w:tcPr>
            <w:tcW w:w="1701" w:type="dxa"/>
            <w:tcBorders>
              <w:left w:val="single" w:sz="8" w:space="0" w:color="auto"/>
              <w:right w:val="single" w:sz="8" w:space="0" w:color="auto"/>
            </w:tcBorders>
            <w:shd w:val="clear" w:color="auto" w:fill="auto"/>
            <w:vAlign w:val="bottom"/>
          </w:tcPr>
          <w:p w14:paraId="20592018" w14:textId="77777777" w:rsidR="00A52778" w:rsidRPr="00460F9E" w:rsidRDefault="00A52778" w:rsidP="00FC3F8E">
            <w:pPr>
              <w:spacing w:line="0" w:lineRule="atLeast"/>
              <w:rPr>
                <w:rFonts w:eastAsia="Times New Roman" w:cs="Times New Roman"/>
                <w:b/>
                <w:sz w:val="21"/>
                <w:highlight w:val="yellow"/>
              </w:rPr>
            </w:pPr>
          </w:p>
        </w:tc>
        <w:tc>
          <w:tcPr>
            <w:tcW w:w="1985" w:type="dxa"/>
            <w:vMerge/>
            <w:tcBorders>
              <w:right w:val="single" w:sz="8" w:space="0" w:color="auto"/>
            </w:tcBorders>
            <w:shd w:val="clear" w:color="auto" w:fill="auto"/>
            <w:vAlign w:val="bottom"/>
          </w:tcPr>
          <w:p w14:paraId="16310E84" w14:textId="77777777" w:rsidR="00A52778" w:rsidRPr="00460F9E" w:rsidRDefault="00A52778" w:rsidP="00FC3F8E">
            <w:pPr>
              <w:spacing w:line="0" w:lineRule="atLeast"/>
              <w:rPr>
                <w:rFonts w:eastAsia="Times New Roman" w:cs="Times New Roman"/>
                <w:b/>
                <w:sz w:val="21"/>
                <w:highlight w:val="yellow"/>
              </w:rPr>
            </w:pPr>
          </w:p>
        </w:tc>
        <w:tc>
          <w:tcPr>
            <w:tcW w:w="1134" w:type="dxa"/>
            <w:vMerge/>
            <w:tcBorders>
              <w:right w:val="single" w:sz="8" w:space="0" w:color="auto"/>
            </w:tcBorders>
            <w:shd w:val="clear" w:color="auto" w:fill="auto"/>
            <w:vAlign w:val="bottom"/>
          </w:tcPr>
          <w:p w14:paraId="7306909A" w14:textId="77777777" w:rsidR="00A52778" w:rsidRPr="00460F9E" w:rsidRDefault="00A52778" w:rsidP="00FC3F8E">
            <w:pPr>
              <w:spacing w:line="219" w:lineRule="exact"/>
              <w:jc w:val="center"/>
              <w:rPr>
                <w:rFonts w:eastAsia="Times New Roman" w:cs="Times New Roman"/>
                <w:b/>
                <w:w w:val="95"/>
                <w:highlight w:val="yellow"/>
              </w:rPr>
            </w:pPr>
          </w:p>
        </w:tc>
        <w:tc>
          <w:tcPr>
            <w:tcW w:w="1984" w:type="dxa"/>
            <w:tcBorders>
              <w:right w:val="single" w:sz="8" w:space="0" w:color="auto"/>
            </w:tcBorders>
            <w:shd w:val="clear" w:color="auto" w:fill="auto"/>
            <w:vAlign w:val="bottom"/>
          </w:tcPr>
          <w:p w14:paraId="5DE65C0E" w14:textId="77777777" w:rsidR="00A52778" w:rsidRPr="00460F9E" w:rsidRDefault="00A52778" w:rsidP="00FC3F8E">
            <w:pPr>
              <w:spacing w:line="0" w:lineRule="atLeast"/>
              <w:rPr>
                <w:rFonts w:eastAsia="Times New Roman" w:cs="Times New Roman"/>
                <w:b/>
                <w:sz w:val="21"/>
                <w:highlight w:val="yellow"/>
              </w:rPr>
            </w:pPr>
          </w:p>
        </w:tc>
        <w:tc>
          <w:tcPr>
            <w:tcW w:w="1276" w:type="dxa"/>
            <w:vMerge/>
            <w:tcBorders>
              <w:right w:val="single" w:sz="8" w:space="0" w:color="auto"/>
            </w:tcBorders>
            <w:shd w:val="clear" w:color="auto" w:fill="auto"/>
            <w:vAlign w:val="bottom"/>
          </w:tcPr>
          <w:p w14:paraId="69666584" w14:textId="77777777" w:rsidR="00A52778" w:rsidRPr="00460F9E" w:rsidRDefault="00A52778" w:rsidP="00FC3F8E">
            <w:pPr>
              <w:spacing w:line="241" w:lineRule="exact"/>
              <w:jc w:val="center"/>
              <w:rPr>
                <w:rFonts w:eastAsia="Times New Roman" w:cs="Times New Roman"/>
                <w:b/>
                <w:w w:val="95"/>
              </w:rPr>
            </w:pPr>
          </w:p>
        </w:tc>
        <w:tc>
          <w:tcPr>
            <w:tcW w:w="1276" w:type="dxa"/>
            <w:tcBorders>
              <w:right w:val="single" w:sz="8" w:space="0" w:color="auto"/>
            </w:tcBorders>
            <w:shd w:val="clear" w:color="auto" w:fill="auto"/>
            <w:vAlign w:val="bottom"/>
          </w:tcPr>
          <w:p w14:paraId="18517064" w14:textId="77777777" w:rsidR="00A52778" w:rsidRPr="00460F9E" w:rsidRDefault="00A52778" w:rsidP="00FC3F8E">
            <w:pPr>
              <w:spacing w:line="0" w:lineRule="atLeast"/>
              <w:rPr>
                <w:rFonts w:eastAsia="Times New Roman" w:cs="Times New Roman"/>
                <w:b/>
                <w:sz w:val="21"/>
              </w:rPr>
            </w:pPr>
          </w:p>
        </w:tc>
      </w:tr>
      <w:tr w:rsidR="00A52778" w:rsidRPr="00460F9E" w14:paraId="4BF4B03C" w14:textId="77777777" w:rsidTr="00FC3F8E">
        <w:trPr>
          <w:trHeight w:val="222"/>
        </w:trPr>
        <w:tc>
          <w:tcPr>
            <w:tcW w:w="1701" w:type="dxa"/>
            <w:tcBorders>
              <w:left w:val="single" w:sz="8" w:space="0" w:color="auto"/>
              <w:right w:val="single" w:sz="8" w:space="0" w:color="auto"/>
            </w:tcBorders>
            <w:shd w:val="clear" w:color="auto" w:fill="auto"/>
            <w:vAlign w:val="bottom"/>
          </w:tcPr>
          <w:p w14:paraId="5AE8D012" w14:textId="77777777" w:rsidR="00A52778" w:rsidRPr="00460F9E" w:rsidRDefault="00A52778" w:rsidP="00FC3F8E">
            <w:pPr>
              <w:spacing w:line="0" w:lineRule="atLeast"/>
              <w:rPr>
                <w:rFonts w:eastAsia="Times New Roman" w:cs="Times New Roman"/>
                <w:b/>
                <w:sz w:val="19"/>
                <w:highlight w:val="yellow"/>
              </w:rPr>
            </w:pPr>
          </w:p>
        </w:tc>
        <w:tc>
          <w:tcPr>
            <w:tcW w:w="1985" w:type="dxa"/>
            <w:vMerge/>
            <w:tcBorders>
              <w:bottom w:val="single" w:sz="8" w:space="0" w:color="auto"/>
              <w:right w:val="single" w:sz="8" w:space="0" w:color="auto"/>
            </w:tcBorders>
            <w:shd w:val="clear" w:color="auto" w:fill="auto"/>
            <w:vAlign w:val="bottom"/>
          </w:tcPr>
          <w:p w14:paraId="308331A9" w14:textId="77777777" w:rsidR="00A52778" w:rsidRPr="00460F9E" w:rsidRDefault="00A52778" w:rsidP="00FC3F8E">
            <w:pPr>
              <w:spacing w:line="0" w:lineRule="atLeast"/>
              <w:rPr>
                <w:rFonts w:eastAsia="Times New Roman" w:cs="Times New Roman"/>
                <w:b/>
                <w:sz w:val="19"/>
                <w:highlight w:val="yellow"/>
              </w:rPr>
            </w:pPr>
          </w:p>
        </w:tc>
        <w:tc>
          <w:tcPr>
            <w:tcW w:w="1134" w:type="dxa"/>
            <w:vMerge/>
            <w:tcBorders>
              <w:bottom w:val="single" w:sz="8" w:space="0" w:color="auto"/>
              <w:right w:val="single" w:sz="8" w:space="0" w:color="auto"/>
            </w:tcBorders>
            <w:shd w:val="clear" w:color="auto" w:fill="auto"/>
            <w:vAlign w:val="bottom"/>
          </w:tcPr>
          <w:p w14:paraId="3414E22F" w14:textId="77777777" w:rsidR="00A52778" w:rsidRPr="00460F9E" w:rsidRDefault="00A52778" w:rsidP="00FC3F8E">
            <w:pPr>
              <w:spacing w:line="219" w:lineRule="exact"/>
              <w:jc w:val="center"/>
              <w:rPr>
                <w:rFonts w:eastAsia="Times New Roman" w:cs="Times New Roman"/>
                <w:b/>
                <w:highlight w:val="yellow"/>
              </w:rPr>
            </w:pPr>
          </w:p>
        </w:tc>
        <w:tc>
          <w:tcPr>
            <w:tcW w:w="1984" w:type="dxa"/>
            <w:tcBorders>
              <w:bottom w:val="single" w:sz="8" w:space="0" w:color="auto"/>
              <w:right w:val="single" w:sz="8" w:space="0" w:color="auto"/>
            </w:tcBorders>
            <w:shd w:val="clear" w:color="auto" w:fill="auto"/>
            <w:vAlign w:val="bottom"/>
          </w:tcPr>
          <w:p w14:paraId="2035EAFC" w14:textId="77777777" w:rsidR="00A52778" w:rsidRPr="00460F9E" w:rsidRDefault="00A52778" w:rsidP="00FC3F8E">
            <w:pPr>
              <w:spacing w:line="0" w:lineRule="atLeast"/>
              <w:rPr>
                <w:rFonts w:eastAsia="Times New Roman" w:cs="Times New Roman"/>
                <w:b/>
                <w:sz w:val="19"/>
                <w:highlight w:val="yellow"/>
              </w:rPr>
            </w:pPr>
          </w:p>
        </w:tc>
        <w:tc>
          <w:tcPr>
            <w:tcW w:w="1276" w:type="dxa"/>
            <w:vMerge/>
            <w:tcBorders>
              <w:bottom w:val="single" w:sz="8" w:space="0" w:color="auto"/>
              <w:right w:val="single" w:sz="8" w:space="0" w:color="auto"/>
            </w:tcBorders>
            <w:shd w:val="clear" w:color="auto" w:fill="auto"/>
            <w:vAlign w:val="bottom"/>
          </w:tcPr>
          <w:p w14:paraId="4F848B14" w14:textId="77777777" w:rsidR="00A52778" w:rsidRPr="00460F9E" w:rsidRDefault="00A52778" w:rsidP="00FC3F8E">
            <w:pPr>
              <w:spacing w:line="0" w:lineRule="atLeast"/>
              <w:rPr>
                <w:rFonts w:eastAsia="Times New Roman" w:cs="Times New Roman"/>
                <w:b/>
                <w:sz w:val="19"/>
              </w:rPr>
            </w:pPr>
          </w:p>
        </w:tc>
        <w:tc>
          <w:tcPr>
            <w:tcW w:w="1276" w:type="dxa"/>
            <w:tcBorders>
              <w:bottom w:val="single" w:sz="8" w:space="0" w:color="auto"/>
              <w:right w:val="single" w:sz="8" w:space="0" w:color="auto"/>
            </w:tcBorders>
            <w:shd w:val="clear" w:color="auto" w:fill="auto"/>
            <w:vAlign w:val="bottom"/>
          </w:tcPr>
          <w:p w14:paraId="2AD86DB0" w14:textId="77777777" w:rsidR="00A52778" w:rsidRPr="00460F9E" w:rsidRDefault="00A52778" w:rsidP="00FC3F8E">
            <w:pPr>
              <w:spacing w:line="0" w:lineRule="atLeast"/>
              <w:rPr>
                <w:rFonts w:eastAsia="Times New Roman" w:cs="Times New Roman"/>
                <w:b/>
                <w:sz w:val="19"/>
              </w:rPr>
            </w:pPr>
          </w:p>
        </w:tc>
      </w:tr>
      <w:tr w:rsidR="00A52778" w:rsidRPr="00460F9E" w14:paraId="01D0108E" w14:textId="77777777" w:rsidTr="00FC3F8E">
        <w:trPr>
          <w:trHeight w:val="215"/>
        </w:trPr>
        <w:tc>
          <w:tcPr>
            <w:tcW w:w="1701" w:type="dxa"/>
            <w:tcBorders>
              <w:left w:val="single" w:sz="8" w:space="0" w:color="auto"/>
              <w:right w:val="single" w:sz="8" w:space="0" w:color="auto"/>
            </w:tcBorders>
            <w:shd w:val="clear" w:color="auto" w:fill="auto"/>
            <w:vAlign w:val="bottom"/>
          </w:tcPr>
          <w:p w14:paraId="0519C997" w14:textId="77777777" w:rsidR="00A52778" w:rsidRPr="00460F9E" w:rsidRDefault="00A52778" w:rsidP="00FC3F8E">
            <w:pPr>
              <w:spacing w:line="0" w:lineRule="atLeast"/>
              <w:rPr>
                <w:rFonts w:eastAsia="Times New Roman" w:cs="Times New Roman"/>
                <w:b/>
                <w:sz w:val="18"/>
                <w:highlight w:val="yellow"/>
              </w:rPr>
            </w:pPr>
          </w:p>
        </w:tc>
        <w:tc>
          <w:tcPr>
            <w:tcW w:w="1985" w:type="dxa"/>
            <w:vMerge w:val="restart"/>
            <w:tcBorders>
              <w:right w:val="single" w:sz="8" w:space="0" w:color="auto"/>
            </w:tcBorders>
            <w:shd w:val="clear" w:color="auto" w:fill="auto"/>
            <w:vAlign w:val="center"/>
          </w:tcPr>
          <w:p w14:paraId="49574686" w14:textId="77777777" w:rsidR="00A52778" w:rsidRPr="00460F9E" w:rsidRDefault="00A52778" w:rsidP="00FC3F8E">
            <w:pPr>
              <w:spacing w:line="0" w:lineRule="atLeast"/>
              <w:jc w:val="center"/>
              <w:rPr>
                <w:rFonts w:eastAsia="Times New Roman" w:cs="Times New Roman"/>
                <w:b/>
                <w:w w:val="98"/>
              </w:rPr>
            </w:pPr>
            <w:r w:rsidRPr="00460F9E">
              <w:rPr>
                <w:rFonts w:eastAsia="Times New Roman" w:cs="Times New Roman"/>
                <w:w w:val="98"/>
              </w:rPr>
              <w:t>Proses</w:t>
            </w:r>
          </w:p>
          <w:p w14:paraId="34396403" w14:textId="77777777" w:rsidR="00A52778" w:rsidRPr="00460F9E" w:rsidRDefault="00A52778" w:rsidP="00FC3F8E">
            <w:pPr>
              <w:spacing w:line="208" w:lineRule="exact"/>
              <w:jc w:val="center"/>
              <w:rPr>
                <w:rFonts w:eastAsia="Times New Roman" w:cs="Times New Roman"/>
                <w:b/>
                <w:sz w:val="18"/>
                <w:highlight w:val="yellow"/>
              </w:rPr>
            </w:pPr>
            <w:r w:rsidRPr="00460F9E">
              <w:rPr>
                <w:rFonts w:eastAsia="Times New Roman" w:cs="Times New Roman"/>
                <w:w w:val="98"/>
              </w:rPr>
              <w:t>fırınları/ısıtıcıları</w:t>
            </w:r>
          </w:p>
        </w:tc>
        <w:tc>
          <w:tcPr>
            <w:tcW w:w="1134" w:type="dxa"/>
            <w:vMerge w:val="restart"/>
            <w:tcBorders>
              <w:right w:val="single" w:sz="8" w:space="0" w:color="auto"/>
            </w:tcBorders>
            <w:shd w:val="clear" w:color="auto" w:fill="auto"/>
            <w:vAlign w:val="center"/>
          </w:tcPr>
          <w:p w14:paraId="18BE9F0F" w14:textId="77777777" w:rsidR="00A52778" w:rsidRPr="00460F9E" w:rsidRDefault="00A52778" w:rsidP="00FC3F8E">
            <w:pPr>
              <w:spacing w:line="223" w:lineRule="exact"/>
              <w:jc w:val="center"/>
              <w:rPr>
                <w:rFonts w:eastAsia="Times New Roman" w:cs="Times New Roman"/>
                <w:b/>
                <w:w w:val="99"/>
                <w:highlight w:val="yellow"/>
              </w:rPr>
            </w:pPr>
            <w:r w:rsidRPr="00460F9E">
              <w:rPr>
                <w:rFonts w:eastAsia="Times New Roman" w:cs="Times New Roman"/>
                <w:w w:val="99"/>
              </w:rPr>
              <w:t>NO</w:t>
            </w:r>
            <w:r w:rsidRPr="00460F9E">
              <w:rPr>
                <w:rFonts w:eastAsia="Times New Roman" w:cs="Times New Roman"/>
                <w:w w:val="99"/>
                <w:sz w:val="12"/>
              </w:rPr>
              <w:t>X</w:t>
            </w:r>
            <w:r w:rsidRPr="00460F9E">
              <w:rPr>
                <w:rFonts w:eastAsia="Times New Roman" w:cs="Times New Roman"/>
                <w:w w:val="99"/>
              </w:rPr>
              <w:t xml:space="preserve"> kütle akışı 2,5 kg/saat olan herhangi bir baca</w:t>
            </w:r>
          </w:p>
        </w:tc>
        <w:tc>
          <w:tcPr>
            <w:tcW w:w="1984" w:type="dxa"/>
            <w:vMerge w:val="restart"/>
            <w:tcBorders>
              <w:right w:val="single" w:sz="8" w:space="0" w:color="auto"/>
            </w:tcBorders>
            <w:shd w:val="clear" w:color="auto" w:fill="auto"/>
            <w:vAlign w:val="center"/>
          </w:tcPr>
          <w:p w14:paraId="63E8BF5D"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Genel EN</w:t>
            </w:r>
          </w:p>
          <w:p w14:paraId="73024679" w14:textId="77777777" w:rsidR="00A52778" w:rsidRPr="00460F9E" w:rsidRDefault="00A52778" w:rsidP="00FC3F8E">
            <w:pPr>
              <w:spacing w:line="0" w:lineRule="atLeast"/>
              <w:jc w:val="center"/>
              <w:rPr>
                <w:rFonts w:eastAsia="Times New Roman" w:cs="Times New Roman"/>
                <w:b/>
                <w:sz w:val="18"/>
                <w:highlight w:val="yellow"/>
              </w:rPr>
            </w:pPr>
            <w:r w:rsidRPr="00460F9E">
              <w:rPr>
                <w:rFonts w:eastAsia="Times New Roman" w:cs="Times New Roman"/>
                <w:w w:val="97"/>
              </w:rPr>
              <w:t>standartları (</w:t>
            </w:r>
            <w:r w:rsidRPr="00460F9E">
              <w:rPr>
                <w:rFonts w:eastAsia="Times New Roman" w:cs="Times New Roman"/>
                <w:w w:val="97"/>
                <w:vertAlign w:val="superscript"/>
              </w:rPr>
              <w:t>5</w:t>
            </w:r>
            <w:r w:rsidRPr="00460F9E">
              <w:rPr>
                <w:rFonts w:eastAsia="Times New Roman" w:cs="Times New Roman"/>
                <w:w w:val="97"/>
              </w:rPr>
              <w:t>)</w:t>
            </w:r>
          </w:p>
        </w:tc>
        <w:tc>
          <w:tcPr>
            <w:tcW w:w="1276" w:type="dxa"/>
            <w:tcBorders>
              <w:right w:val="single" w:sz="8" w:space="0" w:color="auto"/>
            </w:tcBorders>
            <w:shd w:val="clear" w:color="auto" w:fill="auto"/>
            <w:vAlign w:val="bottom"/>
          </w:tcPr>
          <w:p w14:paraId="39567B2E" w14:textId="77777777" w:rsidR="00A52778" w:rsidRPr="00460F9E" w:rsidRDefault="00A52778" w:rsidP="00FC3F8E">
            <w:pPr>
              <w:spacing w:line="0" w:lineRule="atLeast"/>
              <w:rPr>
                <w:rFonts w:eastAsia="Times New Roman" w:cs="Times New Roman"/>
                <w:b/>
                <w:sz w:val="18"/>
              </w:rPr>
            </w:pPr>
          </w:p>
        </w:tc>
        <w:tc>
          <w:tcPr>
            <w:tcW w:w="1276" w:type="dxa"/>
            <w:tcBorders>
              <w:right w:val="single" w:sz="8" w:space="0" w:color="auto"/>
            </w:tcBorders>
            <w:shd w:val="clear" w:color="auto" w:fill="auto"/>
            <w:vAlign w:val="bottom"/>
          </w:tcPr>
          <w:p w14:paraId="45C06ADA" w14:textId="77777777" w:rsidR="00A52778" w:rsidRPr="00460F9E" w:rsidRDefault="00A52778" w:rsidP="00FC3F8E">
            <w:pPr>
              <w:spacing w:line="0" w:lineRule="atLeast"/>
              <w:rPr>
                <w:rFonts w:eastAsia="Times New Roman" w:cs="Times New Roman"/>
                <w:b/>
                <w:sz w:val="18"/>
              </w:rPr>
            </w:pPr>
          </w:p>
        </w:tc>
      </w:tr>
      <w:tr w:rsidR="00A52778" w:rsidRPr="00460F9E" w14:paraId="5DEE3810" w14:textId="77777777" w:rsidTr="00FC3F8E">
        <w:trPr>
          <w:trHeight w:val="234"/>
        </w:trPr>
        <w:tc>
          <w:tcPr>
            <w:tcW w:w="1701" w:type="dxa"/>
            <w:vMerge w:val="restart"/>
            <w:tcBorders>
              <w:left w:val="single" w:sz="8" w:space="0" w:color="auto"/>
              <w:right w:val="single" w:sz="8" w:space="0" w:color="auto"/>
            </w:tcBorders>
            <w:shd w:val="clear" w:color="auto" w:fill="auto"/>
            <w:vAlign w:val="bottom"/>
          </w:tcPr>
          <w:p w14:paraId="2617C585"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Azot oksitleri</w:t>
            </w:r>
          </w:p>
        </w:tc>
        <w:tc>
          <w:tcPr>
            <w:tcW w:w="1985" w:type="dxa"/>
            <w:vMerge/>
            <w:tcBorders>
              <w:right w:val="single" w:sz="8" w:space="0" w:color="auto"/>
            </w:tcBorders>
            <w:shd w:val="clear" w:color="auto" w:fill="auto"/>
            <w:vAlign w:val="bottom"/>
          </w:tcPr>
          <w:p w14:paraId="7901400E" w14:textId="77777777" w:rsidR="00A52778" w:rsidRPr="00460F9E" w:rsidRDefault="00A52778" w:rsidP="00FC3F8E">
            <w:pPr>
              <w:spacing w:line="208" w:lineRule="exact"/>
              <w:jc w:val="center"/>
              <w:rPr>
                <w:rFonts w:eastAsia="Times New Roman" w:cs="Times New Roman"/>
                <w:b/>
                <w:highlight w:val="yellow"/>
              </w:rPr>
            </w:pPr>
          </w:p>
        </w:tc>
        <w:tc>
          <w:tcPr>
            <w:tcW w:w="1134" w:type="dxa"/>
            <w:vMerge/>
            <w:tcBorders>
              <w:right w:val="single" w:sz="8" w:space="0" w:color="auto"/>
            </w:tcBorders>
            <w:shd w:val="clear" w:color="auto" w:fill="auto"/>
            <w:vAlign w:val="bottom"/>
          </w:tcPr>
          <w:p w14:paraId="40034788" w14:textId="77777777" w:rsidR="00A52778" w:rsidRPr="00460F9E" w:rsidRDefault="00A52778" w:rsidP="00FC3F8E">
            <w:pPr>
              <w:spacing w:line="223" w:lineRule="exact"/>
              <w:jc w:val="center"/>
              <w:rPr>
                <w:rFonts w:eastAsia="Times New Roman" w:cs="Times New Roman"/>
                <w:b/>
                <w:w w:val="99"/>
                <w:sz w:val="12"/>
                <w:highlight w:val="yellow"/>
              </w:rPr>
            </w:pPr>
          </w:p>
        </w:tc>
        <w:tc>
          <w:tcPr>
            <w:tcW w:w="1984" w:type="dxa"/>
            <w:vMerge/>
            <w:tcBorders>
              <w:right w:val="single" w:sz="8" w:space="0" w:color="auto"/>
            </w:tcBorders>
            <w:shd w:val="clear" w:color="auto" w:fill="auto"/>
            <w:vAlign w:val="bottom"/>
          </w:tcPr>
          <w:p w14:paraId="58DBFC5B" w14:textId="77777777" w:rsidR="00A52778" w:rsidRPr="00460F9E" w:rsidRDefault="00A52778" w:rsidP="00FC3F8E">
            <w:pPr>
              <w:spacing w:line="0" w:lineRule="atLeast"/>
              <w:jc w:val="center"/>
              <w:rPr>
                <w:rFonts w:eastAsia="Times New Roman" w:cs="Times New Roman"/>
                <w:b/>
                <w:w w:val="98"/>
                <w:highlight w:val="yellow"/>
              </w:rPr>
            </w:pPr>
          </w:p>
        </w:tc>
        <w:tc>
          <w:tcPr>
            <w:tcW w:w="1276" w:type="dxa"/>
            <w:vMerge w:val="restart"/>
            <w:tcBorders>
              <w:right w:val="single" w:sz="8" w:space="0" w:color="auto"/>
            </w:tcBorders>
            <w:shd w:val="clear" w:color="auto" w:fill="auto"/>
            <w:vAlign w:val="bottom"/>
          </w:tcPr>
          <w:p w14:paraId="0A6D01A2"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Sürekli</w:t>
            </w:r>
          </w:p>
        </w:tc>
        <w:tc>
          <w:tcPr>
            <w:tcW w:w="1276" w:type="dxa"/>
            <w:tcBorders>
              <w:right w:val="single" w:sz="8" w:space="0" w:color="auto"/>
            </w:tcBorders>
            <w:shd w:val="clear" w:color="auto" w:fill="auto"/>
            <w:vAlign w:val="bottom"/>
          </w:tcPr>
          <w:p w14:paraId="12E45DC6" w14:textId="77777777" w:rsidR="00A52778" w:rsidRPr="00460F9E" w:rsidRDefault="00A52778" w:rsidP="00FC3F8E">
            <w:pPr>
              <w:spacing w:line="0" w:lineRule="atLeast"/>
              <w:rPr>
                <w:rFonts w:eastAsia="Times New Roman" w:cs="Times New Roman"/>
                <w:b/>
              </w:rPr>
            </w:pPr>
          </w:p>
        </w:tc>
      </w:tr>
      <w:tr w:rsidR="00A52778" w:rsidRPr="00460F9E" w14:paraId="30BDC2DE" w14:textId="77777777" w:rsidTr="00FC3F8E">
        <w:trPr>
          <w:trHeight w:val="119"/>
        </w:trPr>
        <w:tc>
          <w:tcPr>
            <w:tcW w:w="1701" w:type="dxa"/>
            <w:vMerge/>
            <w:tcBorders>
              <w:left w:val="single" w:sz="8" w:space="0" w:color="auto"/>
              <w:right w:val="single" w:sz="8" w:space="0" w:color="auto"/>
            </w:tcBorders>
            <w:shd w:val="clear" w:color="auto" w:fill="auto"/>
            <w:vAlign w:val="bottom"/>
          </w:tcPr>
          <w:p w14:paraId="16E9B46D" w14:textId="77777777" w:rsidR="00A52778" w:rsidRPr="00460F9E" w:rsidRDefault="00A52778" w:rsidP="00FC3F8E">
            <w:pPr>
              <w:spacing w:line="0" w:lineRule="atLeast"/>
              <w:rPr>
                <w:rFonts w:eastAsia="Times New Roman" w:cs="Times New Roman"/>
                <w:b/>
                <w:sz w:val="10"/>
              </w:rPr>
            </w:pPr>
          </w:p>
        </w:tc>
        <w:tc>
          <w:tcPr>
            <w:tcW w:w="1985" w:type="dxa"/>
            <w:vMerge/>
            <w:tcBorders>
              <w:right w:val="single" w:sz="8" w:space="0" w:color="auto"/>
            </w:tcBorders>
            <w:shd w:val="clear" w:color="auto" w:fill="auto"/>
            <w:vAlign w:val="bottom"/>
          </w:tcPr>
          <w:p w14:paraId="1EBB81AE" w14:textId="77777777" w:rsidR="00A52778" w:rsidRPr="00460F9E" w:rsidRDefault="00A52778" w:rsidP="00FC3F8E">
            <w:pPr>
              <w:spacing w:line="208" w:lineRule="exact"/>
              <w:jc w:val="center"/>
              <w:rPr>
                <w:rFonts w:eastAsia="Times New Roman" w:cs="Times New Roman"/>
                <w:b/>
                <w:sz w:val="10"/>
                <w:highlight w:val="yellow"/>
              </w:rPr>
            </w:pPr>
          </w:p>
        </w:tc>
        <w:tc>
          <w:tcPr>
            <w:tcW w:w="1134" w:type="dxa"/>
            <w:vMerge/>
            <w:tcBorders>
              <w:right w:val="single" w:sz="8" w:space="0" w:color="auto"/>
            </w:tcBorders>
            <w:shd w:val="clear" w:color="auto" w:fill="auto"/>
            <w:vAlign w:val="bottom"/>
          </w:tcPr>
          <w:p w14:paraId="1A6AC003" w14:textId="77777777" w:rsidR="00A52778" w:rsidRPr="00460F9E" w:rsidRDefault="00A52778" w:rsidP="00FC3F8E">
            <w:pPr>
              <w:spacing w:line="223" w:lineRule="exact"/>
              <w:jc w:val="center"/>
              <w:rPr>
                <w:rFonts w:eastAsia="Times New Roman" w:cs="Times New Roman"/>
                <w:b/>
                <w:w w:val="97"/>
                <w:highlight w:val="yellow"/>
              </w:rPr>
            </w:pPr>
          </w:p>
        </w:tc>
        <w:tc>
          <w:tcPr>
            <w:tcW w:w="1984" w:type="dxa"/>
            <w:vMerge/>
            <w:tcBorders>
              <w:right w:val="single" w:sz="8" w:space="0" w:color="auto"/>
            </w:tcBorders>
            <w:shd w:val="clear" w:color="auto" w:fill="auto"/>
            <w:vAlign w:val="bottom"/>
          </w:tcPr>
          <w:p w14:paraId="0C54F7BA" w14:textId="77777777" w:rsidR="00A52778" w:rsidRPr="00460F9E" w:rsidRDefault="00A52778" w:rsidP="00FC3F8E">
            <w:pPr>
              <w:spacing w:line="0" w:lineRule="atLeast"/>
              <w:jc w:val="center"/>
              <w:rPr>
                <w:rFonts w:eastAsia="Times New Roman" w:cs="Times New Roman"/>
                <w:b/>
                <w:sz w:val="10"/>
                <w:highlight w:val="yellow"/>
              </w:rPr>
            </w:pPr>
          </w:p>
        </w:tc>
        <w:tc>
          <w:tcPr>
            <w:tcW w:w="1276" w:type="dxa"/>
            <w:vMerge/>
            <w:tcBorders>
              <w:right w:val="single" w:sz="8" w:space="0" w:color="auto"/>
            </w:tcBorders>
            <w:shd w:val="clear" w:color="auto" w:fill="auto"/>
            <w:vAlign w:val="bottom"/>
          </w:tcPr>
          <w:p w14:paraId="32B05CBC" w14:textId="77777777" w:rsidR="00A52778" w:rsidRPr="00460F9E" w:rsidRDefault="00A52778" w:rsidP="00FC3F8E">
            <w:pPr>
              <w:spacing w:line="0" w:lineRule="atLeast"/>
              <w:rPr>
                <w:rFonts w:eastAsia="Times New Roman" w:cs="Times New Roman"/>
                <w:b/>
                <w:sz w:val="10"/>
              </w:rPr>
            </w:pPr>
          </w:p>
        </w:tc>
        <w:tc>
          <w:tcPr>
            <w:tcW w:w="1276" w:type="dxa"/>
            <w:tcBorders>
              <w:right w:val="single" w:sz="8" w:space="0" w:color="auto"/>
            </w:tcBorders>
            <w:shd w:val="clear" w:color="auto" w:fill="auto"/>
            <w:vAlign w:val="bottom"/>
          </w:tcPr>
          <w:p w14:paraId="32E25AAF" w14:textId="77777777" w:rsidR="00A52778" w:rsidRPr="00460F9E" w:rsidRDefault="00A52778" w:rsidP="00FC3F8E">
            <w:pPr>
              <w:spacing w:line="0" w:lineRule="atLeast"/>
              <w:rPr>
                <w:rFonts w:eastAsia="Times New Roman" w:cs="Times New Roman"/>
                <w:b/>
                <w:sz w:val="10"/>
              </w:rPr>
            </w:pPr>
          </w:p>
        </w:tc>
      </w:tr>
      <w:tr w:rsidR="00A52778" w:rsidRPr="00460F9E" w14:paraId="2A45454A" w14:textId="77777777" w:rsidTr="00FC3F8E">
        <w:trPr>
          <w:trHeight w:val="108"/>
        </w:trPr>
        <w:tc>
          <w:tcPr>
            <w:tcW w:w="1701" w:type="dxa"/>
            <w:vMerge w:val="restart"/>
            <w:tcBorders>
              <w:left w:val="single" w:sz="8" w:space="0" w:color="auto"/>
              <w:right w:val="single" w:sz="8" w:space="0" w:color="auto"/>
            </w:tcBorders>
            <w:shd w:val="clear" w:color="auto" w:fill="auto"/>
            <w:vAlign w:val="bottom"/>
          </w:tcPr>
          <w:p w14:paraId="7AE98993"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(NO</w:t>
            </w:r>
            <w:r w:rsidRPr="00460F9E">
              <w:rPr>
                <w:rFonts w:eastAsia="Times New Roman" w:cs="Times New Roman"/>
                <w:sz w:val="12"/>
              </w:rPr>
              <w:t>X</w:t>
            </w:r>
            <w:r w:rsidRPr="00460F9E">
              <w:rPr>
                <w:rFonts w:eastAsia="Times New Roman" w:cs="Times New Roman"/>
              </w:rPr>
              <w:t>)</w:t>
            </w:r>
          </w:p>
        </w:tc>
        <w:tc>
          <w:tcPr>
            <w:tcW w:w="1985" w:type="dxa"/>
            <w:vMerge/>
            <w:tcBorders>
              <w:right w:val="single" w:sz="8" w:space="0" w:color="auto"/>
            </w:tcBorders>
            <w:shd w:val="clear" w:color="auto" w:fill="auto"/>
            <w:vAlign w:val="bottom"/>
          </w:tcPr>
          <w:p w14:paraId="6C4FBED1" w14:textId="77777777" w:rsidR="00A52778" w:rsidRPr="00460F9E" w:rsidRDefault="00A52778" w:rsidP="00FC3F8E">
            <w:pPr>
              <w:spacing w:line="208" w:lineRule="exact"/>
              <w:jc w:val="center"/>
              <w:rPr>
                <w:rFonts w:eastAsia="Times New Roman" w:cs="Times New Roman"/>
                <w:b/>
                <w:sz w:val="9"/>
                <w:highlight w:val="yellow"/>
              </w:rPr>
            </w:pPr>
          </w:p>
        </w:tc>
        <w:tc>
          <w:tcPr>
            <w:tcW w:w="1134" w:type="dxa"/>
            <w:vMerge/>
            <w:tcBorders>
              <w:right w:val="single" w:sz="8" w:space="0" w:color="auto"/>
            </w:tcBorders>
            <w:shd w:val="clear" w:color="auto" w:fill="auto"/>
            <w:vAlign w:val="bottom"/>
          </w:tcPr>
          <w:p w14:paraId="4A583FDA" w14:textId="77777777" w:rsidR="00A52778" w:rsidRPr="00460F9E" w:rsidRDefault="00A52778" w:rsidP="00FC3F8E">
            <w:pPr>
              <w:spacing w:line="223" w:lineRule="exact"/>
              <w:jc w:val="center"/>
              <w:rPr>
                <w:rFonts w:eastAsia="Times New Roman" w:cs="Times New Roman"/>
                <w:b/>
                <w:sz w:val="9"/>
                <w:highlight w:val="yellow"/>
              </w:rPr>
            </w:pPr>
          </w:p>
        </w:tc>
        <w:tc>
          <w:tcPr>
            <w:tcW w:w="1984" w:type="dxa"/>
            <w:vMerge/>
            <w:tcBorders>
              <w:right w:val="single" w:sz="8" w:space="0" w:color="auto"/>
            </w:tcBorders>
            <w:shd w:val="clear" w:color="auto" w:fill="auto"/>
            <w:vAlign w:val="bottom"/>
          </w:tcPr>
          <w:p w14:paraId="369665A3" w14:textId="77777777" w:rsidR="00A52778" w:rsidRPr="00460F9E" w:rsidRDefault="00A52778" w:rsidP="00FC3F8E">
            <w:pPr>
              <w:spacing w:line="0" w:lineRule="atLeast"/>
              <w:jc w:val="center"/>
              <w:rPr>
                <w:rFonts w:eastAsia="Times New Roman" w:cs="Times New Roman"/>
                <w:b/>
                <w:w w:val="97"/>
                <w:highlight w:val="yellow"/>
              </w:rPr>
            </w:pPr>
          </w:p>
        </w:tc>
        <w:tc>
          <w:tcPr>
            <w:tcW w:w="1276" w:type="dxa"/>
            <w:vMerge w:val="restart"/>
            <w:tcBorders>
              <w:right w:val="single" w:sz="8" w:space="0" w:color="auto"/>
            </w:tcBorders>
            <w:shd w:val="clear" w:color="auto" w:fill="auto"/>
            <w:vAlign w:val="bottom"/>
          </w:tcPr>
          <w:p w14:paraId="42C5F714" w14:textId="77777777" w:rsidR="00A52778" w:rsidRPr="00460F9E" w:rsidRDefault="00A52778" w:rsidP="00FC3F8E">
            <w:pPr>
              <w:spacing w:line="0" w:lineRule="atLeast"/>
              <w:jc w:val="center"/>
              <w:rPr>
                <w:rFonts w:eastAsia="Times New Roman" w:cs="Times New Roman"/>
                <w:b/>
                <w:w w:val="92"/>
              </w:rPr>
            </w:pPr>
            <w:r w:rsidRPr="00460F9E">
              <w:rPr>
                <w:rFonts w:eastAsia="Times New Roman" w:cs="Times New Roman"/>
                <w:w w:val="92"/>
              </w:rPr>
              <w:t>(</w:t>
            </w:r>
            <w:r w:rsidRPr="00460F9E">
              <w:rPr>
                <w:rFonts w:eastAsia="Times New Roman" w:cs="Times New Roman"/>
                <w:w w:val="92"/>
                <w:sz w:val="25"/>
                <w:vertAlign w:val="superscript"/>
              </w:rPr>
              <w:t>6</w:t>
            </w:r>
            <w:r w:rsidRPr="00460F9E">
              <w:rPr>
                <w:rFonts w:eastAsia="Times New Roman" w:cs="Times New Roman"/>
                <w:w w:val="92"/>
              </w:rPr>
              <w:t>)</w:t>
            </w:r>
          </w:p>
        </w:tc>
        <w:tc>
          <w:tcPr>
            <w:tcW w:w="1276" w:type="dxa"/>
            <w:tcBorders>
              <w:right w:val="single" w:sz="8" w:space="0" w:color="auto"/>
            </w:tcBorders>
            <w:shd w:val="clear" w:color="auto" w:fill="auto"/>
            <w:vAlign w:val="bottom"/>
          </w:tcPr>
          <w:p w14:paraId="3FA4A470" w14:textId="77777777" w:rsidR="00A52778" w:rsidRPr="00460F9E" w:rsidRDefault="00A52778" w:rsidP="00FC3F8E">
            <w:pPr>
              <w:spacing w:line="0" w:lineRule="atLeast"/>
              <w:rPr>
                <w:rFonts w:eastAsia="Times New Roman" w:cs="Times New Roman"/>
                <w:b/>
                <w:sz w:val="9"/>
              </w:rPr>
            </w:pPr>
          </w:p>
        </w:tc>
      </w:tr>
      <w:tr w:rsidR="00A52778" w:rsidRPr="00460F9E" w14:paraId="53016155" w14:textId="77777777" w:rsidTr="00FC3F8E">
        <w:trPr>
          <w:trHeight w:val="188"/>
        </w:trPr>
        <w:tc>
          <w:tcPr>
            <w:tcW w:w="1701" w:type="dxa"/>
            <w:vMerge/>
            <w:tcBorders>
              <w:left w:val="single" w:sz="8" w:space="0" w:color="auto"/>
              <w:right w:val="single" w:sz="8" w:space="0" w:color="auto"/>
            </w:tcBorders>
            <w:shd w:val="clear" w:color="auto" w:fill="auto"/>
            <w:vAlign w:val="bottom"/>
          </w:tcPr>
          <w:p w14:paraId="3E7FF13D" w14:textId="77777777" w:rsidR="00A52778" w:rsidRPr="00460F9E" w:rsidRDefault="00A52778" w:rsidP="00FC3F8E">
            <w:pPr>
              <w:spacing w:line="0" w:lineRule="atLeast"/>
              <w:rPr>
                <w:rFonts w:eastAsia="Times New Roman" w:cs="Times New Roman"/>
                <w:b/>
                <w:sz w:val="16"/>
                <w:highlight w:val="yellow"/>
              </w:rPr>
            </w:pPr>
          </w:p>
        </w:tc>
        <w:tc>
          <w:tcPr>
            <w:tcW w:w="1985" w:type="dxa"/>
            <w:vMerge/>
            <w:tcBorders>
              <w:right w:val="single" w:sz="8" w:space="0" w:color="auto"/>
            </w:tcBorders>
            <w:shd w:val="clear" w:color="auto" w:fill="auto"/>
            <w:vAlign w:val="bottom"/>
          </w:tcPr>
          <w:p w14:paraId="4D568454" w14:textId="77777777" w:rsidR="00A52778" w:rsidRPr="00460F9E" w:rsidRDefault="00A52778" w:rsidP="00FC3F8E">
            <w:pPr>
              <w:spacing w:line="208" w:lineRule="exact"/>
              <w:jc w:val="center"/>
              <w:rPr>
                <w:rFonts w:eastAsia="Times New Roman" w:cs="Times New Roman"/>
                <w:b/>
                <w:sz w:val="16"/>
                <w:highlight w:val="yellow"/>
              </w:rPr>
            </w:pPr>
          </w:p>
        </w:tc>
        <w:tc>
          <w:tcPr>
            <w:tcW w:w="1134" w:type="dxa"/>
            <w:vMerge/>
            <w:tcBorders>
              <w:right w:val="single" w:sz="8" w:space="0" w:color="auto"/>
            </w:tcBorders>
            <w:shd w:val="clear" w:color="auto" w:fill="auto"/>
            <w:vAlign w:val="bottom"/>
          </w:tcPr>
          <w:p w14:paraId="0B1F7C2F" w14:textId="77777777" w:rsidR="00A52778" w:rsidRPr="00460F9E" w:rsidRDefault="00A52778" w:rsidP="00FC3F8E">
            <w:pPr>
              <w:spacing w:line="223" w:lineRule="exact"/>
              <w:jc w:val="center"/>
              <w:rPr>
                <w:rFonts w:eastAsia="Times New Roman" w:cs="Times New Roman"/>
                <w:b/>
                <w:w w:val="95"/>
                <w:highlight w:val="yellow"/>
              </w:rPr>
            </w:pPr>
          </w:p>
        </w:tc>
        <w:tc>
          <w:tcPr>
            <w:tcW w:w="1984" w:type="dxa"/>
            <w:vMerge/>
            <w:tcBorders>
              <w:right w:val="single" w:sz="8" w:space="0" w:color="auto"/>
            </w:tcBorders>
            <w:shd w:val="clear" w:color="auto" w:fill="auto"/>
            <w:vAlign w:val="bottom"/>
          </w:tcPr>
          <w:p w14:paraId="51EBDF9B" w14:textId="77777777" w:rsidR="00A52778" w:rsidRPr="00460F9E" w:rsidRDefault="00A52778" w:rsidP="00FC3F8E">
            <w:pPr>
              <w:spacing w:line="0" w:lineRule="atLeast"/>
              <w:rPr>
                <w:rFonts w:eastAsia="Times New Roman" w:cs="Times New Roman"/>
                <w:b/>
                <w:sz w:val="16"/>
                <w:highlight w:val="yellow"/>
              </w:rPr>
            </w:pPr>
          </w:p>
        </w:tc>
        <w:tc>
          <w:tcPr>
            <w:tcW w:w="1276" w:type="dxa"/>
            <w:vMerge/>
            <w:tcBorders>
              <w:right w:val="single" w:sz="8" w:space="0" w:color="auto"/>
            </w:tcBorders>
            <w:shd w:val="clear" w:color="auto" w:fill="auto"/>
            <w:vAlign w:val="bottom"/>
          </w:tcPr>
          <w:p w14:paraId="60EE108D" w14:textId="77777777" w:rsidR="00A52778" w:rsidRPr="00460F9E" w:rsidRDefault="00A52778" w:rsidP="00FC3F8E">
            <w:pPr>
              <w:spacing w:line="0" w:lineRule="atLeast"/>
              <w:rPr>
                <w:rFonts w:eastAsia="Times New Roman" w:cs="Times New Roman"/>
                <w:b/>
                <w:sz w:val="16"/>
              </w:rPr>
            </w:pPr>
          </w:p>
        </w:tc>
        <w:tc>
          <w:tcPr>
            <w:tcW w:w="1276" w:type="dxa"/>
            <w:tcBorders>
              <w:right w:val="single" w:sz="8" w:space="0" w:color="auto"/>
            </w:tcBorders>
            <w:shd w:val="clear" w:color="auto" w:fill="auto"/>
            <w:vAlign w:val="bottom"/>
          </w:tcPr>
          <w:p w14:paraId="27FDE9DC" w14:textId="77777777" w:rsidR="00A52778" w:rsidRPr="00460F9E" w:rsidRDefault="00A52778" w:rsidP="00FC3F8E">
            <w:pPr>
              <w:spacing w:line="0" w:lineRule="atLeast"/>
              <w:rPr>
                <w:rFonts w:eastAsia="Times New Roman" w:cs="Times New Roman"/>
                <w:b/>
                <w:sz w:val="16"/>
              </w:rPr>
            </w:pPr>
          </w:p>
        </w:tc>
      </w:tr>
      <w:tr w:rsidR="00A52778" w:rsidRPr="00460F9E" w14:paraId="40DF938C" w14:textId="77777777" w:rsidTr="00FC3F8E">
        <w:trPr>
          <w:trHeight w:val="42"/>
        </w:trPr>
        <w:tc>
          <w:tcPr>
            <w:tcW w:w="1701" w:type="dxa"/>
            <w:tcBorders>
              <w:left w:val="single" w:sz="8" w:space="0" w:color="auto"/>
              <w:right w:val="single" w:sz="8" w:space="0" w:color="auto"/>
            </w:tcBorders>
            <w:shd w:val="clear" w:color="auto" w:fill="auto"/>
            <w:vAlign w:val="bottom"/>
          </w:tcPr>
          <w:p w14:paraId="76FFCD7F" w14:textId="77777777" w:rsidR="00A52778" w:rsidRPr="00460F9E" w:rsidRDefault="00A52778" w:rsidP="00FC3F8E">
            <w:pPr>
              <w:spacing w:line="0" w:lineRule="atLeast"/>
              <w:rPr>
                <w:rFonts w:eastAsia="Times New Roman" w:cs="Times New Roman"/>
                <w:b/>
                <w:sz w:val="3"/>
                <w:highlight w:val="yellow"/>
              </w:rPr>
            </w:pPr>
          </w:p>
        </w:tc>
        <w:tc>
          <w:tcPr>
            <w:tcW w:w="1985" w:type="dxa"/>
            <w:vMerge/>
            <w:tcBorders>
              <w:right w:val="single" w:sz="8" w:space="0" w:color="auto"/>
            </w:tcBorders>
            <w:shd w:val="clear" w:color="auto" w:fill="auto"/>
            <w:vAlign w:val="bottom"/>
          </w:tcPr>
          <w:p w14:paraId="4E7B7640" w14:textId="77777777" w:rsidR="00A52778" w:rsidRPr="00460F9E" w:rsidRDefault="00A52778" w:rsidP="00FC3F8E">
            <w:pPr>
              <w:spacing w:line="208" w:lineRule="exact"/>
              <w:jc w:val="center"/>
              <w:rPr>
                <w:rFonts w:eastAsia="Times New Roman" w:cs="Times New Roman"/>
                <w:b/>
                <w:sz w:val="3"/>
                <w:highlight w:val="yellow"/>
              </w:rPr>
            </w:pPr>
          </w:p>
        </w:tc>
        <w:tc>
          <w:tcPr>
            <w:tcW w:w="1134" w:type="dxa"/>
            <w:vMerge/>
            <w:tcBorders>
              <w:right w:val="single" w:sz="8" w:space="0" w:color="auto"/>
            </w:tcBorders>
            <w:shd w:val="clear" w:color="auto" w:fill="auto"/>
            <w:vAlign w:val="bottom"/>
          </w:tcPr>
          <w:p w14:paraId="71744B7D" w14:textId="77777777" w:rsidR="00A52778" w:rsidRPr="00460F9E" w:rsidRDefault="00A52778" w:rsidP="00FC3F8E">
            <w:pPr>
              <w:spacing w:line="223" w:lineRule="exact"/>
              <w:jc w:val="center"/>
              <w:rPr>
                <w:rFonts w:eastAsia="Times New Roman" w:cs="Times New Roman"/>
                <w:b/>
                <w:sz w:val="3"/>
                <w:highlight w:val="yellow"/>
              </w:rPr>
            </w:pPr>
          </w:p>
        </w:tc>
        <w:tc>
          <w:tcPr>
            <w:tcW w:w="1984" w:type="dxa"/>
            <w:vMerge/>
            <w:tcBorders>
              <w:right w:val="single" w:sz="8" w:space="0" w:color="auto"/>
            </w:tcBorders>
            <w:shd w:val="clear" w:color="auto" w:fill="auto"/>
            <w:vAlign w:val="bottom"/>
          </w:tcPr>
          <w:p w14:paraId="1580FD3D" w14:textId="77777777" w:rsidR="00A52778" w:rsidRPr="00460F9E" w:rsidRDefault="00A52778" w:rsidP="00FC3F8E">
            <w:pPr>
              <w:spacing w:line="0" w:lineRule="atLeast"/>
              <w:rPr>
                <w:rFonts w:eastAsia="Times New Roman" w:cs="Times New Roman"/>
                <w:b/>
                <w:sz w:val="3"/>
                <w:highlight w:val="yellow"/>
              </w:rPr>
            </w:pPr>
          </w:p>
        </w:tc>
        <w:tc>
          <w:tcPr>
            <w:tcW w:w="1276" w:type="dxa"/>
            <w:tcBorders>
              <w:right w:val="single" w:sz="8" w:space="0" w:color="auto"/>
            </w:tcBorders>
            <w:shd w:val="clear" w:color="auto" w:fill="auto"/>
            <w:vAlign w:val="bottom"/>
          </w:tcPr>
          <w:p w14:paraId="107FC655" w14:textId="77777777" w:rsidR="00A52778" w:rsidRPr="00460F9E" w:rsidRDefault="00A52778" w:rsidP="00FC3F8E">
            <w:pPr>
              <w:spacing w:line="0" w:lineRule="atLeast"/>
              <w:rPr>
                <w:rFonts w:eastAsia="Times New Roman" w:cs="Times New Roman"/>
                <w:b/>
                <w:sz w:val="3"/>
              </w:rPr>
            </w:pPr>
          </w:p>
        </w:tc>
        <w:tc>
          <w:tcPr>
            <w:tcW w:w="1276" w:type="dxa"/>
            <w:tcBorders>
              <w:right w:val="single" w:sz="8" w:space="0" w:color="auto"/>
            </w:tcBorders>
            <w:shd w:val="clear" w:color="auto" w:fill="auto"/>
            <w:vAlign w:val="bottom"/>
          </w:tcPr>
          <w:p w14:paraId="10E87510" w14:textId="77777777" w:rsidR="00A52778" w:rsidRPr="00460F9E" w:rsidRDefault="00A52778" w:rsidP="00FC3F8E">
            <w:pPr>
              <w:spacing w:line="0" w:lineRule="atLeast"/>
              <w:rPr>
                <w:rFonts w:eastAsia="Times New Roman" w:cs="Times New Roman"/>
                <w:b/>
                <w:sz w:val="3"/>
              </w:rPr>
            </w:pPr>
          </w:p>
        </w:tc>
      </w:tr>
      <w:tr w:rsidR="00A52778" w:rsidRPr="00460F9E" w14:paraId="4861E066" w14:textId="77777777" w:rsidTr="00FC3F8E">
        <w:trPr>
          <w:trHeight w:val="245"/>
        </w:trPr>
        <w:tc>
          <w:tcPr>
            <w:tcW w:w="1701" w:type="dxa"/>
            <w:tcBorders>
              <w:left w:val="single" w:sz="8" w:space="0" w:color="auto"/>
              <w:right w:val="single" w:sz="8" w:space="0" w:color="auto"/>
            </w:tcBorders>
            <w:shd w:val="clear" w:color="auto" w:fill="auto"/>
            <w:vAlign w:val="bottom"/>
          </w:tcPr>
          <w:p w14:paraId="5C2C2631" w14:textId="77777777" w:rsidR="00A52778" w:rsidRPr="00460F9E" w:rsidRDefault="00A52778" w:rsidP="00FC3F8E">
            <w:pPr>
              <w:spacing w:line="0" w:lineRule="atLeast"/>
              <w:rPr>
                <w:rFonts w:eastAsia="Times New Roman" w:cs="Times New Roman"/>
                <w:b/>
                <w:sz w:val="21"/>
                <w:highlight w:val="yellow"/>
              </w:rPr>
            </w:pPr>
          </w:p>
        </w:tc>
        <w:tc>
          <w:tcPr>
            <w:tcW w:w="1985" w:type="dxa"/>
            <w:vMerge/>
            <w:tcBorders>
              <w:right w:val="single" w:sz="8" w:space="0" w:color="auto"/>
            </w:tcBorders>
            <w:shd w:val="clear" w:color="auto" w:fill="auto"/>
            <w:vAlign w:val="bottom"/>
          </w:tcPr>
          <w:p w14:paraId="24C218D1" w14:textId="77777777" w:rsidR="00A52778" w:rsidRPr="00460F9E" w:rsidRDefault="00A52778" w:rsidP="00FC3F8E">
            <w:pPr>
              <w:spacing w:line="208" w:lineRule="exact"/>
              <w:jc w:val="center"/>
              <w:rPr>
                <w:rFonts w:eastAsia="Times New Roman" w:cs="Times New Roman"/>
                <w:b/>
                <w:w w:val="98"/>
                <w:highlight w:val="yellow"/>
              </w:rPr>
            </w:pPr>
          </w:p>
        </w:tc>
        <w:tc>
          <w:tcPr>
            <w:tcW w:w="1134" w:type="dxa"/>
            <w:vMerge/>
            <w:tcBorders>
              <w:bottom w:val="single" w:sz="8" w:space="0" w:color="auto"/>
              <w:right w:val="single" w:sz="8" w:space="0" w:color="auto"/>
            </w:tcBorders>
            <w:shd w:val="clear" w:color="auto" w:fill="auto"/>
            <w:vAlign w:val="bottom"/>
          </w:tcPr>
          <w:p w14:paraId="453EDCCC" w14:textId="77777777" w:rsidR="00A52778" w:rsidRPr="00460F9E" w:rsidRDefault="00A52778" w:rsidP="00FC3F8E">
            <w:pPr>
              <w:spacing w:line="223" w:lineRule="exact"/>
              <w:jc w:val="center"/>
              <w:rPr>
                <w:rFonts w:eastAsia="Times New Roman" w:cs="Times New Roman"/>
                <w:b/>
                <w:highlight w:val="yellow"/>
              </w:rPr>
            </w:pPr>
          </w:p>
        </w:tc>
        <w:tc>
          <w:tcPr>
            <w:tcW w:w="1984" w:type="dxa"/>
            <w:vMerge/>
            <w:tcBorders>
              <w:bottom w:val="single" w:sz="8" w:space="0" w:color="auto"/>
              <w:right w:val="single" w:sz="8" w:space="0" w:color="auto"/>
            </w:tcBorders>
            <w:shd w:val="clear" w:color="auto" w:fill="auto"/>
            <w:vAlign w:val="bottom"/>
          </w:tcPr>
          <w:p w14:paraId="17A953E8" w14:textId="77777777" w:rsidR="00A52778" w:rsidRPr="00460F9E" w:rsidRDefault="00A52778" w:rsidP="00FC3F8E">
            <w:pPr>
              <w:spacing w:line="0" w:lineRule="atLeast"/>
              <w:rPr>
                <w:rFonts w:eastAsia="Times New Roman" w:cs="Times New Roman"/>
                <w:b/>
                <w:sz w:val="21"/>
                <w:highlight w:val="yellow"/>
              </w:rPr>
            </w:pPr>
          </w:p>
        </w:tc>
        <w:tc>
          <w:tcPr>
            <w:tcW w:w="1276" w:type="dxa"/>
            <w:tcBorders>
              <w:bottom w:val="single" w:sz="8" w:space="0" w:color="auto"/>
              <w:right w:val="single" w:sz="8" w:space="0" w:color="auto"/>
            </w:tcBorders>
            <w:shd w:val="clear" w:color="auto" w:fill="auto"/>
            <w:vAlign w:val="bottom"/>
          </w:tcPr>
          <w:p w14:paraId="56049DEF" w14:textId="77777777" w:rsidR="00A52778" w:rsidRPr="00460F9E" w:rsidRDefault="00A52778" w:rsidP="00FC3F8E">
            <w:pPr>
              <w:spacing w:line="0" w:lineRule="atLeast"/>
              <w:rPr>
                <w:rFonts w:eastAsia="Times New Roman" w:cs="Times New Roman"/>
                <w:b/>
                <w:sz w:val="21"/>
              </w:rPr>
            </w:pPr>
          </w:p>
        </w:tc>
        <w:tc>
          <w:tcPr>
            <w:tcW w:w="1276" w:type="dxa"/>
            <w:vMerge w:val="restart"/>
            <w:tcBorders>
              <w:right w:val="single" w:sz="8" w:space="0" w:color="auto"/>
            </w:tcBorders>
            <w:shd w:val="clear" w:color="auto" w:fill="auto"/>
            <w:vAlign w:val="bottom"/>
          </w:tcPr>
          <w:p w14:paraId="0A2BAB93" w14:textId="77777777" w:rsidR="00A52778" w:rsidRPr="00460F9E" w:rsidRDefault="002A1746" w:rsidP="00FC3F8E">
            <w:pPr>
              <w:spacing w:line="0" w:lineRule="atLeast"/>
              <w:jc w:val="center"/>
              <w:rPr>
                <w:rFonts w:eastAsia="Times New Roman" w:cs="Times New Roman"/>
                <w:b/>
              </w:rPr>
            </w:pPr>
            <w:hyperlink w:anchor="page329" w:history="1">
              <w:r w:rsidR="00A52778" w:rsidRPr="00460F9E">
                <w:rPr>
                  <w:rFonts w:cs="Times New Roman"/>
                </w:rPr>
                <w:t xml:space="preserve"> </w:t>
              </w:r>
              <w:r w:rsidR="00A52778" w:rsidRPr="00460F9E">
                <w:rPr>
                  <w:rFonts w:eastAsia="Times New Roman" w:cs="Times New Roman"/>
                </w:rPr>
                <w:t>MET 36</w:t>
              </w:r>
            </w:hyperlink>
          </w:p>
        </w:tc>
      </w:tr>
      <w:tr w:rsidR="00A52778" w:rsidRPr="00460F9E" w14:paraId="549413F4" w14:textId="77777777" w:rsidTr="00FC3F8E">
        <w:trPr>
          <w:trHeight w:val="93"/>
        </w:trPr>
        <w:tc>
          <w:tcPr>
            <w:tcW w:w="1701" w:type="dxa"/>
            <w:tcBorders>
              <w:left w:val="single" w:sz="8" w:space="0" w:color="auto"/>
              <w:right w:val="single" w:sz="8" w:space="0" w:color="auto"/>
            </w:tcBorders>
            <w:shd w:val="clear" w:color="auto" w:fill="auto"/>
            <w:vAlign w:val="bottom"/>
          </w:tcPr>
          <w:p w14:paraId="6DEA7328" w14:textId="77777777" w:rsidR="00A52778" w:rsidRPr="00460F9E" w:rsidRDefault="00A52778" w:rsidP="00FC3F8E">
            <w:pPr>
              <w:spacing w:line="0" w:lineRule="atLeast"/>
              <w:rPr>
                <w:rFonts w:eastAsia="Times New Roman" w:cs="Times New Roman"/>
                <w:b/>
                <w:sz w:val="8"/>
                <w:highlight w:val="yellow"/>
              </w:rPr>
            </w:pPr>
          </w:p>
        </w:tc>
        <w:tc>
          <w:tcPr>
            <w:tcW w:w="1985" w:type="dxa"/>
            <w:vMerge/>
            <w:tcBorders>
              <w:right w:val="single" w:sz="8" w:space="0" w:color="auto"/>
            </w:tcBorders>
            <w:shd w:val="clear" w:color="auto" w:fill="auto"/>
            <w:vAlign w:val="bottom"/>
          </w:tcPr>
          <w:p w14:paraId="5650B805" w14:textId="77777777" w:rsidR="00A52778" w:rsidRPr="00460F9E" w:rsidRDefault="00A52778" w:rsidP="00FC3F8E">
            <w:pPr>
              <w:spacing w:line="208" w:lineRule="exact"/>
              <w:jc w:val="center"/>
              <w:rPr>
                <w:rFonts w:eastAsia="Times New Roman" w:cs="Times New Roman"/>
                <w:b/>
                <w:w w:val="98"/>
                <w:highlight w:val="yellow"/>
              </w:rPr>
            </w:pPr>
          </w:p>
        </w:tc>
        <w:tc>
          <w:tcPr>
            <w:tcW w:w="1134" w:type="dxa"/>
            <w:vMerge w:val="restart"/>
            <w:tcBorders>
              <w:right w:val="single" w:sz="8" w:space="0" w:color="auto"/>
            </w:tcBorders>
            <w:shd w:val="clear" w:color="auto" w:fill="auto"/>
            <w:vAlign w:val="center"/>
          </w:tcPr>
          <w:p w14:paraId="71B086A2" w14:textId="77777777" w:rsidR="00A52778" w:rsidRPr="00460F9E" w:rsidRDefault="00A52778" w:rsidP="00FC3F8E">
            <w:pPr>
              <w:spacing w:line="219" w:lineRule="exact"/>
              <w:jc w:val="center"/>
              <w:rPr>
                <w:rFonts w:eastAsia="Times New Roman" w:cs="Times New Roman"/>
                <w:b/>
                <w:w w:val="99"/>
                <w:highlight w:val="yellow"/>
              </w:rPr>
            </w:pPr>
            <w:r w:rsidRPr="00460F9E">
              <w:rPr>
                <w:rFonts w:eastAsia="Times New Roman" w:cs="Times New Roman"/>
                <w:w w:val="99"/>
              </w:rPr>
              <w:t>NO</w:t>
            </w:r>
            <w:r w:rsidRPr="00460F9E">
              <w:rPr>
                <w:rFonts w:eastAsia="Times New Roman" w:cs="Times New Roman"/>
                <w:w w:val="99"/>
                <w:sz w:val="12"/>
              </w:rPr>
              <w:t>X</w:t>
            </w:r>
            <w:r w:rsidRPr="00460F9E">
              <w:rPr>
                <w:rFonts w:eastAsia="Times New Roman" w:cs="Times New Roman"/>
                <w:w w:val="99"/>
              </w:rPr>
              <w:t xml:space="preserve"> kütle akışı &lt; 2,5 kg/saat olan herhangi bir baca</w:t>
            </w:r>
          </w:p>
        </w:tc>
        <w:tc>
          <w:tcPr>
            <w:tcW w:w="1984" w:type="dxa"/>
            <w:tcBorders>
              <w:right w:val="single" w:sz="8" w:space="0" w:color="auto"/>
            </w:tcBorders>
            <w:shd w:val="clear" w:color="auto" w:fill="auto"/>
            <w:vAlign w:val="bottom"/>
          </w:tcPr>
          <w:p w14:paraId="1C29E77F" w14:textId="77777777" w:rsidR="00A52778" w:rsidRPr="00460F9E" w:rsidRDefault="00A52778" w:rsidP="00FC3F8E">
            <w:pPr>
              <w:spacing w:line="0" w:lineRule="atLeast"/>
              <w:rPr>
                <w:rFonts w:eastAsia="Times New Roman" w:cs="Times New Roman"/>
                <w:b/>
                <w:sz w:val="8"/>
                <w:highlight w:val="yellow"/>
              </w:rPr>
            </w:pPr>
          </w:p>
        </w:tc>
        <w:tc>
          <w:tcPr>
            <w:tcW w:w="1276" w:type="dxa"/>
            <w:tcBorders>
              <w:right w:val="single" w:sz="8" w:space="0" w:color="auto"/>
            </w:tcBorders>
            <w:shd w:val="clear" w:color="auto" w:fill="auto"/>
            <w:vAlign w:val="bottom"/>
          </w:tcPr>
          <w:p w14:paraId="0EA2A352" w14:textId="77777777" w:rsidR="00A52778" w:rsidRPr="00460F9E" w:rsidRDefault="00A52778" w:rsidP="00FC3F8E">
            <w:pPr>
              <w:spacing w:line="0" w:lineRule="atLeast"/>
              <w:rPr>
                <w:rFonts w:eastAsia="Times New Roman" w:cs="Times New Roman"/>
                <w:b/>
                <w:sz w:val="8"/>
              </w:rPr>
            </w:pPr>
          </w:p>
        </w:tc>
        <w:tc>
          <w:tcPr>
            <w:tcW w:w="1276" w:type="dxa"/>
            <w:vMerge/>
            <w:tcBorders>
              <w:right w:val="single" w:sz="8" w:space="0" w:color="auto"/>
            </w:tcBorders>
            <w:shd w:val="clear" w:color="auto" w:fill="auto"/>
            <w:vAlign w:val="bottom"/>
          </w:tcPr>
          <w:p w14:paraId="10602C67" w14:textId="77777777" w:rsidR="00A52778" w:rsidRPr="00460F9E" w:rsidRDefault="00A52778" w:rsidP="00FC3F8E">
            <w:pPr>
              <w:spacing w:line="0" w:lineRule="atLeast"/>
              <w:rPr>
                <w:rFonts w:eastAsia="Times New Roman" w:cs="Times New Roman"/>
                <w:b/>
                <w:sz w:val="8"/>
              </w:rPr>
            </w:pPr>
          </w:p>
        </w:tc>
      </w:tr>
      <w:tr w:rsidR="00A52778" w:rsidRPr="00460F9E" w14:paraId="7605C514" w14:textId="77777777" w:rsidTr="00FC3F8E">
        <w:trPr>
          <w:trHeight w:val="127"/>
        </w:trPr>
        <w:tc>
          <w:tcPr>
            <w:tcW w:w="1701" w:type="dxa"/>
            <w:tcBorders>
              <w:left w:val="single" w:sz="8" w:space="0" w:color="auto"/>
              <w:right w:val="single" w:sz="8" w:space="0" w:color="auto"/>
            </w:tcBorders>
            <w:shd w:val="clear" w:color="auto" w:fill="auto"/>
            <w:vAlign w:val="bottom"/>
          </w:tcPr>
          <w:p w14:paraId="4FCE5BBF" w14:textId="77777777" w:rsidR="00A52778" w:rsidRPr="00460F9E" w:rsidRDefault="00A52778" w:rsidP="00FC3F8E">
            <w:pPr>
              <w:spacing w:line="0" w:lineRule="atLeast"/>
              <w:rPr>
                <w:rFonts w:eastAsia="Times New Roman" w:cs="Times New Roman"/>
                <w:b/>
                <w:sz w:val="11"/>
                <w:highlight w:val="yellow"/>
              </w:rPr>
            </w:pPr>
          </w:p>
        </w:tc>
        <w:tc>
          <w:tcPr>
            <w:tcW w:w="1985" w:type="dxa"/>
            <w:vMerge/>
            <w:tcBorders>
              <w:right w:val="single" w:sz="8" w:space="0" w:color="auto"/>
            </w:tcBorders>
            <w:shd w:val="clear" w:color="auto" w:fill="auto"/>
            <w:vAlign w:val="bottom"/>
          </w:tcPr>
          <w:p w14:paraId="3AA27BA3" w14:textId="77777777" w:rsidR="00A52778" w:rsidRPr="00460F9E" w:rsidRDefault="00A52778" w:rsidP="00FC3F8E">
            <w:pPr>
              <w:spacing w:line="0" w:lineRule="atLeast"/>
              <w:rPr>
                <w:rFonts w:eastAsia="Times New Roman" w:cs="Times New Roman"/>
                <w:b/>
                <w:sz w:val="11"/>
                <w:highlight w:val="yellow"/>
              </w:rPr>
            </w:pPr>
          </w:p>
        </w:tc>
        <w:tc>
          <w:tcPr>
            <w:tcW w:w="1134" w:type="dxa"/>
            <w:vMerge/>
            <w:tcBorders>
              <w:right w:val="single" w:sz="8" w:space="0" w:color="auto"/>
            </w:tcBorders>
            <w:shd w:val="clear" w:color="auto" w:fill="auto"/>
            <w:vAlign w:val="bottom"/>
          </w:tcPr>
          <w:p w14:paraId="066E0079" w14:textId="77777777" w:rsidR="00A52778" w:rsidRPr="00460F9E" w:rsidRDefault="00A52778" w:rsidP="00FC3F8E">
            <w:pPr>
              <w:spacing w:line="219" w:lineRule="exact"/>
              <w:jc w:val="center"/>
              <w:rPr>
                <w:rFonts w:eastAsia="Times New Roman" w:cs="Times New Roman"/>
                <w:b/>
                <w:sz w:val="11"/>
                <w:highlight w:val="yellow"/>
              </w:rPr>
            </w:pPr>
          </w:p>
        </w:tc>
        <w:tc>
          <w:tcPr>
            <w:tcW w:w="1984" w:type="dxa"/>
            <w:tcBorders>
              <w:right w:val="single" w:sz="8" w:space="0" w:color="auto"/>
            </w:tcBorders>
            <w:shd w:val="clear" w:color="auto" w:fill="auto"/>
            <w:vAlign w:val="bottom"/>
          </w:tcPr>
          <w:p w14:paraId="4514D6C8" w14:textId="77777777" w:rsidR="00A52778" w:rsidRPr="00460F9E" w:rsidRDefault="00A52778" w:rsidP="00FC3F8E">
            <w:pPr>
              <w:spacing w:line="0" w:lineRule="atLeast"/>
              <w:rPr>
                <w:rFonts w:eastAsia="Times New Roman" w:cs="Times New Roman"/>
                <w:b/>
                <w:sz w:val="11"/>
                <w:highlight w:val="yellow"/>
              </w:rPr>
            </w:pPr>
          </w:p>
        </w:tc>
        <w:tc>
          <w:tcPr>
            <w:tcW w:w="1276" w:type="dxa"/>
            <w:vMerge w:val="restart"/>
            <w:tcBorders>
              <w:right w:val="single" w:sz="8" w:space="0" w:color="auto"/>
            </w:tcBorders>
            <w:shd w:val="clear" w:color="auto" w:fill="auto"/>
            <w:vAlign w:val="center"/>
          </w:tcPr>
          <w:p w14:paraId="4B8092AB"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Her 6 ayda</w:t>
            </w:r>
          </w:p>
          <w:p w14:paraId="1E87860F"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1 kere</w:t>
            </w:r>
          </w:p>
          <w:p w14:paraId="502EC26B" w14:textId="77777777" w:rsidR="00A52778" w:rsidRPr="00460F9E" w:rsidRDefault="00A52778" w:rsidP="00FC3F8E">
            <w:pPr>
              <w:spacing w:line="239" w:lineRule="exact"/>
              <w:jc w:val="center"/>
              <w:rPr>
                <w:rFonts w:eastAsia="Times New Roman" w:cs="Times New Roman"/>
                <w:b/>
                <w:sz w:val="11"/>
              </w:rPr>
            </w:pPr>
            <w:r w:rsidRPr="00460F9E">
              <w:rPr>
                <w:rFonts w:eastAsia="Times New Roman" w:cs="Times New Roman"/>
                <w:w w:val="95"/>
              </w:rPr>
              <w:t>(</w:t>
            </w:r>
            <w:r w:rsidRPr="00460F9E">
              <w:rPr>
                <w:rFonts w:eastAsia="Times New Roman" w:cs="Times New Roman"/>
                <w:w w:val="95"/>
                <w:sz w:val="25"/>
                <w:vertAlign w:val="superscript"/>
              </w:rPr>
              <w:t>3</w:t>
            </w:r>
            <w:r w:rsidRPr="00460F9E">
              <w:rPr>
                <w:rFonts w:eastAsia="Times New Roman" w:cs="Times New Roman"/>
                <w:w w:val="95"/>
              </w:rPr>
              <w:t>) (</w:t>
            </w:r>
            <w:r w:rsidRPr="00460F9E">
              <w:rPr>
                <w:rFonts w:eastAsia="Times New Roman" w:cs="Times New Roman"/>
                <w:w w:val="95"/>
                <w:sz w:val="25"/>
                <w:vertAlign w:val="superscript"/>
              </w:rPr>
              <w:t>4</w:t>
            </w:r>
            <w:r w:rsidRPr="00460F9E">
              <w:rPr>
                <w:rFonts w:eastAsia="Times New Roman" w:cs="Times New Roman"/>
                <w:w w:val="95"/>
              </w:rPr>
              <w:t>)</w:t>
            </w:r>
          </w:p>
        </w:tc>
        <w:tc>
          <w:tcPr>
            <w:tcW w:w="1276" w:type="dxa"/>
            <w:tcBorders>
              <w:right w:val="single" w:sz="8" w:space="0" w:color="auto"/>
            </w:tcBorders>
            <w:shd w:val="clear" w:color="auto" w:fill="auto"/>
            <w:vAlign w:val="bottom"/>
          </w:tcPr>
          <w:p w14:paraId="2CE55BF6" w14:textId="77777777" w:rsidR="00A52778" w:rsidRPr="00460F9E" w:rsidRDefault="00A52778" w:rsidP="00FC3F8E">
            <w:pPr>
              <w:spacing w:line="0" w:lineRule="atLeast"/>
              <w:rPr>
                <w:rFonts w:eastAsia="Times New Roman" w:cs="Times New Roman"/>
                <w:b/>
                <w:sz w:val="11"/>
              </w:rPr>
            </w:pPr>
          </w:p>
        </w:tc>
      </w:tr>
      <w:tr w:rsidR="00A52778" w:rsidRPr="00460F9E" w14:paraId="4A8EEBD0" w14:textId="77777777" w:rsidTr="00FC3F8E">
        <w:trPr>
          <w:trHeight w:val="234"/>
        </w:trPr>
        <w:tc>
          <w:tcPr>
            <w:tcW w:w="1701" w:type="dxa"/>
            <w:tcBorders>
              <w:left w:val="single" w:sz="8" w:space="0" w:color="auto"/>
              <w:right w:val="single" w:sz="8" w:space="0" w:color="auto"/>
            </w:tcBorders>
            <w:shd w:val="clear" w:color="auto" w:fill="auto"/>
            <w:vAlign w:val="bottom"/>
          </w:tcPr>
          <w:p w14:paraId="566692DD" w14:textId="77777777" w:rsidR="00A52778" w:rsidRPr="00460F9E" w:rsidRDefault="00A52778" w:rsidP="00FC3F8E">
            <w:pPr>
              <w:spacing w:line="0" w:lineRule="atLeast"/>
              <w:rPr>
                <w:rFonts w:eastAsia="Times New Roman" w:cs="Times New Roman"/>
                <w:b/>
                <w:highlight w:val="yellow"/>
              </w:rPr>
            </w:pPr>
          </w:p>
        </w:tc>
        <w:tc>
          <w:tcPr>
            <w:tcW w:w="1985" w:type="dxa"/>
            <w:vMerge/>
            <w:tcBorders>
              <w:right w:val="single" w:sz="8" w:space="0" w:color="auto"/>
            </w:tcBorders>
            <w:shd w:val="clear" w:color="auto" w:fill="auto"/>
            <w:vAlign w:val="bottom"/>
          </w:tcPr>
          <w:p w14:paraId="381D1934" w14:textId="77777777" w:rsidR="00A52778" w:rsidRPr="00460F9E" w:rsidRDefault="00A52778" w:rsidP="00FC3F8E">
            <w:pPr>
              <w:spacing w:line="0" w:lineRule="atLeast"/>
              <w:rPr>
                <w:rFonts w:eastAsia="Times New Roman" w:cs="Times New Roman"/>
                <w:b/>
                <w:highlight w:val="yellow"/>
              </w:rPr>
            </w:pPr>
          </w:p>
        </w:tc>
        <w:tc>
          <w:tcPr>
            <w:tcW w:w="1134" w:type="dxa"/>
            <w:vMerge/>
            <w:tcBorders>
              <w:right w:val="single" w:sz="8" w:space="0" w:color="auto"/>
            </w:tcBorders>
            <w:shd w:val="clear" w:color="auto" w:fill="auto"/>
            <w:vAlign w:val="bottom"/>
          </w:tcPr>
          <w:p w14:paraId="4F5CAF77" w14:textId="77777777" w:rsidR="00A52778" w:rsidRPr="00460F9E" w:rsidRDefault="00A52778" w:rsidP="00FC3F8E">
            <w:pPr>
              <w:spacing w:line="219" w:lineRule="exact"/>
              <w:jc w:val="center"/>
              <w:rPr>
                <w:rFonts w:eastAsia="Times New Roman" w:cs="Times New Roman"/>
                <w:b/>
                <w:w w:val="99"/>
                <w:sz w:val="12"/>
                <w:highlight w:val="yellow"/>
              </w:rPr>
            </w:pPr>
          </w:p>
        </w:tc>
        <w:tc>
          <w:tcPr>
            <w:tcW w:w="1984" w:type="dxa"/>
            <w:tcBorders>
              <w:right w:val="single" w:sz="8" w:space="0" w:color="auto"/>
            </w:tcBorders>
            <w:shd w:val="clear" w:color="auto" w:fill="auto"/>
            <w:vAlign w:val="bottom"/>
          </w:tcPr>
          <w:p w14:paraId="31C43E53" w14:textId="77777777" w:rsidR="00A52778" w:rsidRPr="00460F9E" w:rsidRDefault="00A52778" w:rsidP="00FC3F8E">
            <w:pPr>
              <w:spacing w:line="0" w:lineRule="atLeast"/>
              <w:rPr>
                <w:rFonts w:eastAsia="Times New Roman" w:cs="Times New Roman"/>
                <w:b/>
                <w:highlight w:val="yellow"/>
              </w:rPr>
            </w:pPr>
          </w:p>
        </w:tc>
        <w:tc>
          <w:tcPr>
            <w:tcW w:w="1276" w:type="dxa"/>
            <w:vMerge/>
            <w:tcBorders>
              <w:right w:val="single" w:sz="8" w:space="0" w:color="auto"/>
            </w:tcBorders>
            <w:shd w:val="clear" w:color="auto" w:fill="auto"/>
            <w:vAlign w:val="bottom"/>
          </w:tcPr>
          <w:p w14:paraId="5097C4AD" w14:textId="77777777" w:rsidR="00A52778" w:rsidRPr="00460F9E" w:rsidRDefault="00A52778" w:rsidP="00FC3F8E">
            <w:pPr>
              <w:spacing w:line="239" w:lineRule="exact"/>
              <w:jc w:val="center"/>
              <w:rPr>
                <w:rFonts w:eastAsia="Times New Roman" w:cs="Times New Roman"/>
                <w:b/>
              </w:rPr>
            </w:pPr>
          </w:p>
        </w:tc>
        <w:tc>
          <w:tcPr>
            <w:tcW w:w="1276" w:type="dxa"/>
            <w:tcBorders>
              <w:right w:val="single" w:sz="8" w:space="0" w:color="auto"/>
            </w:tcBorders>
            <w:shd w:val="clear" w:color="auto" w:fill="auto"/>
            <w:vAlign w:val="bottom"/>
          </w:tcPr>
          <w:p w14:paraId="69610879" w14:textId="77777777" w:rsidR="00A52778" w:rsidRPr="00460F9E" w:rsidRDefault="00A52778" w:rsidP="00FC3F8E">
            <w:pPr>
              <w:spacing w:line="0" w:lineRule="atLeast"/>
              <w:rPr>
                <w:rFonts w:eastAsia="Times New Roman" w:cs="Times New Roman"/>
                <w:b/>
              </w:rPr>
            </w:pPr>
          </w:p>
        </w:tc>
      </w:tr>
      <w:tr w:rsidR="00A52778" w:rsidRPr="00460F9E" w14:paraId="018217EB" w14:textId="77777777" w:rsidTr="00FC3F8E">
        <w:trPr>
          <w:trHeight w:val="227"/>
        </w:trPr>
        <w:tc>
          <w:tcPr>
            <w:tcW w:w="1701" w:type="dxa"/>
            <w:tcBorders>
              <w:left w:val="single" w:sz="8" w:space="0" w:color="auto"/>
              <w:right w:val="single" w:sz="8" w:space="0" w:color="auto"/>
            </w:tcBorders>
            <w:shd w:val="clear" w:color="auto" w:fill="auto"/>
            <w:vAlign w:val="bottom"/>
          </w:tcPr>
          <w:p w14:paraId="67F96CF1" w14:textId="77777777" w:rsidR="00A52778" w:rsidRPr="00460F9E" w:rsidRDefault="00A52778" w:rsidP="00FC3F8E">
            <w:pPr>
              <w:spacing w:line="0" w:lineRule="atLeast"/>
              <w:rPr>
                <w:rFonts w:eastAsia="Times New Roman" w:cs="Times New Roman"/>
                <w:b/>
                <w:sz w:val="19"/>
                <w:highlight w:val="yellow"/>
              </w:rPr>
            </w:pPr>
          </w:p>
        </w:tc>
        <w:tc>
          <w:tcPr>
            <w:tcW w:w="1985" w:type="dxa"/>
            <w:vMerge/>
            <w:tcBorders>
              <w:right w:val="single" w:sz="8" w:space="0" w:color="auto"/>
            </w:tcBorders>
            <w:shd w:val="clear" w:color="auto" w:fill="auto"/>
            <w:vAlign w:val="bottom"/>
          </w:tcPr>
          <w:p w14:paraId="66D54658" w14:textId="77777777" w:rsidR="00A52778" w:rsidRPr="00460F9E" w:rsidRDefault="00A52778" w:rsidP="00FC3F8E">
            <w:pPr>
              <w:spacing w:line="0" w:lineRule="atLeast"/>
              <w:rPr>
                <w:rFonts w:eastAsia="Times New Roman" w:cs="Times New Roman"/>
                <w:b/>
                <w:sz w:val="19"/>
                <w:highlight w:val="yellow"/>
              </w:rPr>
            </w:pPr>
          </w:p>
        </w:tc>
        <w:tc>
          <w:tcPr>
            <w:tcW w:w="1134" w:type="dxa"/>
            <w:vMerge/>
            <w:tcBorders>
              <w:right w:val="single" w:sz="8" w:space="0" w:color="auto"/>
            </w:tcBorders>
            <w:shd w:val="clear" w:color="auto" w:fill="auto"/>
            <w:vAlign w:val="bottom"/>
          </w:tcPr>
          <w:p w14:paraId="1EF89448" w14:textId="77777777" w:rsidR="00A52778" w:rsidRPr="00460F9E" w:rsidRDefault="00A52778" w:rsidP="00FC3F8E">
            <w:pPr>
              <w:spacing w:line="219" w:lineRule="exact"/>
              <w:jc w:val="center"/>
              <w:rPr>
                <w:rFonts w:eastAsia="Times New Roman" w:cs="Times New Roman"/>
                <w:b/>
                <w:w w:val="97"/>
                <w:highlight w:val="yellow"/>
              </w:rPr>
            </w:pPr>
          </w:p>
        </w:tc>
        <w:tc>
          <w:tcPr>
            <w:tcW w:w="1984" w:type="dxa"/>
            <w:tcBorders>
              <w:right w:val="single" w:sz="8" w:space="0" w:color="auto"/>
            </w:tcBorders>
            <w:shd w:val="clear" w:color="auto" w:fill="auto"/>
            <w:vAlign w:val="bottom"/>
          </w:tcPr>
          <w:p w14:paraId="415D60BA" w14:textId="77777777" w:rsidR="00A52778" w:rsidRPr="00460F9E" w:rsidRDefault="00A52778" w:rsidP="00FC3F8E">
            <w:pPr>
              <w:spacing w:line="228" w:lineRule="exact"/>
              <w:jc w:val="center"/>
              <w:rPr>
                <w:rFonts w:eastAsia="Times New Roman" w:cs="Times New Roman"/>
                <w:b/>
                <w:highlight w:val="yellow"/>
              </w:rPr>
            </w:pPr>
            <w:r w:rsidRPr="00460F9E">
              <w:rPr>
                <w:rFonts w:eastAsia="Times New Roman" w:cs="Times New Roman"/>
              </w:rPr>
              <w:t>EN 14792</w:t>
            </w:r>
          </w:p>
        </w:tc>
        <w:tc>
          <w:tcPr>
            <w:tcW w:w="1276" w:type="dxa"/>
            <w:vMerge/>
            <w:tcBorders>
              <w:right w:val="single" w:sz="8" w:space="0" w:color="auto"/>
            </w:tcBorders>
            <w:shd w:val="clear" w:color="auto" w:fill="auto"/>
            <w:vAlign w:val="bottom"/>
          </w:tcPr>
          <w:p w14:paraId="36549FDB" w14:textId="77777777" w:rsidR="00A52778" w:rsidRPr="00460F9E" w:rsidRDefault="00A52778" w:rsidP="00FC3F8E">
            <w:pPr>
              <w:spacing w:line="239" w:lineRule="exact"/>
              <w:jc w:val="center"/>
              <w:rPr>
                <w:rFonts w:eastAsia="Times New Roman" w:cs="Times New Roman"/>
                <w:b/>
              </w:rPr>
            </w:pPr>
          </w:p>
        </w:tc>
        <w:tc>
          <w:tcPr>
            <w:tcW w:w="1276" w:type="dxa"/>
            <w:tcBorders>
              <w:right w:val="single" w:sz="8" w:space="0" w:color="auto"/>
            </w:tcBorders>
            <w:shd w:val="clear" w:color="auto" w:fill="auto"/>
            <w:vAlign w:val="bottom"/>
          </w:tcPr>
          <w:p w14:paraId="678557B1" w14:textId="77777777" w:rsidR="00A52778" w:rsidRPr="00460F9E" w:rsidRDefault="00A52778" w:rsidP="00FC3F8E">
            <w:pPr>
              <w:spacing w:line="0" w:lineRule="atLeast"/>
              <w:rPr>
                <w:rFonts w:eastAsia="Times New Roman" w:cs="Times New Roman"/>
                <w:b/>
                <w:sz w:val="19"/>
              </w:rPr>
            </w:pPr>
          </w:p>
        </w:tc>
      </w:tr>
      <w:tr w:rsidR="00A52778" w:rsidRPr="00460F9E" w14:paraId="0A51BC0C" w14:textId="77777777" w:rsidTr="00FC3F8E">
        <w:trPr>
          <w:trHeight w:val="239"/>
        </w:trPr>
        <w:tc>
          <w:tcPr>
            <w:tcW w:w="1701" w:type="dxa"/>
            <w:tcBorders>
              <w:left w:val="single" w:sz="8" w:space="0" w:color="auto"/>
              <w:right w:val="single" w:sz="8" w:space="0" w:color="auto"/>
            </w:tcBorders>
            <w:shd w:val="clear" w:color="auto" w:fill="auto"/>
            <w:vAlign w:val="bottom"/>
          </w:tcPr>
          <w:p w14:paraId="76DC3416" w14:textId="77777777" w:rsidR="00A52778" w:rsidRPr="00460F9E" w:rsidRDefault="00A52778" w:rsidP="00FC3F8E">
            <w:pPr>
              <w:spacing w:line="0" w:lineRule="atLeast"/>
              <w:rPr>
                <w:rFonts w:eastAsia="Times New Roman" w:cs="Times New Roman"/>
                <w:b/>
                <w:highlight w:val="yellow"/>
              </w:rPr>
            </w:pPr>
          </w:p>
        </w:tc>
        <w:tc>
          <w:tcPr>
            <w:tcW w:w="1985" w:type="dxa"/>
            <w:vMerge/>
            <w:tcBorders>
              <w:right w:val="single" w:sz="8" w:space="0" w:color="auto"/>
            </w:tcBorders>
            <w:shd w:val="clear" w:color="auto" w:fill="auto"/>
            <w:vAlign w:val="bottom"/>
          </w:tcPr>
          <w:p w14:paraId="78C72627" w14:textId="77777777" w:rsidR="00A52778" w:rsidRPr="00460F9E" w:rsidRDefault="00A52778" w:rsidP="00FC3F8E">
            <w:pPr>
              <w:spacing w:line="0" w:lineRule="atLeast"/>
              <w:rPr>
                <w:rFonts w:eastAsia="Times New Roman" w:cs="Times New Roman"/>
                <w:b/>
                <w:highlight w:val="yellow"/>
              </w:rPr>
            </w:pPr>
          </w:p>
        </w:tc>
        <w:tc>
          <w:tcPr>
            <w:tcW w:w="1134" w:type="dxa"/>
            <w:vMerge/>
            <w:tcBorders>
              <w:right w:val="single" w:sz="8" w:space="0" w:color="auto"/>
            </w:tcBorders>
            <w:shd w:val="clear" w:color="auto" w:fill="auto"/>
            <w:vAlign w:val="bottom"/>
          </w:tcPr>
          <w:p w14:paraId="0B0F9CC8" w14:textId="77777777" w:rsidR="00A52778" w:rsidRPr="00460F9E" w:rsidRDefault="00A52778" w:rsidP="00FC3F8E">
            <w:pPr>
              <w:spacing w:line="219" w:lineRule="exact"/>
              <w:jc w:val="center"/>
              <w:rPr>
                <w:rFonts w:eastAsia="Times New Roman" w:cs="Times New Roman"/>
                <w:b/>
                <w:w w:val="95"/>
                <w:highlight w:val="yellow"/>
              </w:rPr>
            </w:pPr>
          </w:p>
        </w:tc>
        <w:tc>
          <w:tcPr>
            <w:tcW w:w="1984" w:type="dxa"/>
            <w:tcBorders>
              <w:right w:val="single" w:sz="8" w:space="0" w:color="auto"/>
            </w:tcBorders>
            <w:shd w:val="clear" w:color="auto" w:fill="auto"/>
            <w:vAlign w:val="bottom"/>
          </w:tcPr>
          <w:p w14:paraId="70FE6CCF" w14:textId="77777777" w:rsidR="00A52778" w:rsidRPr="00460F9E" w:rsidRDefault="00A52778" w:rsidP="00FC3F8E">
            <w:pPr>
              <w:spacing w:line="0" w:lineRule="atLeast"/>
              <w:rPr>
                <w:rFonts w:eastAsia="Times New Roman" w:cs="Times New Roman"/>
                <w:b/>
                <w:highlight w:val="yellow"/>
              </w:rPr>
            </w:pPr>
          </w:p>
        </w:tc>
        <w:tc>
          <w:tcPr>
            <w:tcW w:w="1276" w:type="dxa"/>
            <w:vMerge/>
            <w:tcBorders>
              <w:right w:val="single" w:sz="8" w:space="0" w:color="auto"/>
            </w:tcBorders>
            <w:shd w:val="clear" w:color="auto" w:fill="auto"/>
            <w:vAlign w:val="bottom"/>
          </w:tcPr>
          <w:p w14:paraId="6BA13E54" w14:textId="77777777" w:rsidR="00A52778" w:rsidRPr="00460F9E" w:rsidRDefault="00A52778" w:rsidP="00FC3F8E">
            <w:pPr>
              <w:spacing w:line="239" w:lineRule="exact"/>
              <w:jc w:val="center"/>
              <w:rPr>
                <w:rFonts w:eastAsia="Times New Roman" w:cs="Times New Roman"/>
                <w:b/>
                <w:w w:val="95"/>
              </w:rPr>
            </w:pPr>
          </w:p>
        </w:tc>
        <w:tc>
          <w:tcPr>
            <w:tcW w:w="1276" w:type="dxa"/>
            <w:tcBorders>
              <w:right w:val="single" w:sz="8" w:space="0" w:color="auto"/>
            </w:tcBorders>
            <w:shd w:val="clear" w:color="auto" w:fill="auto"/>
            <w:vAlign w:val="bottom"/>
          </w:tcPr>
          <w:p w14:paraId="23E1038B" w14:textId="77777777" w:rsidR="00A52778" w:rsidRPr="00460F9E" w:rsidRDefault="00A52778" w:rsidP="00FC3F8E">
            <w:pPr>
              <w:spacing w:line="0" w:lineRule="atLeast"/>
              <w:rPr>
                <w:rFonts w:eastAsia="Times New Roman" w:cs="Times New Roman"/>
                <w:b/>
              </w:rPr>
            </w:pPr>
          </w:p>
        </w:tc>
      </w:tr>
      <w:tr w:rsidR="00A52778" w:rsidRPr="00460F9E" w14:paraId="0C4D387B" w14:textId="77777777" w:rsidTr="00FC3F8E">
        <w:trPr>
          <w:trHeight w:val="222"/>
        </w:trPr>
        <w:tc>
          <w:tcPr>
            <w:tcW w:w="1701" w:type="dxa"/>
            <w:tcBorders>
              <w:left w:val="single" w:sz="8" w:space="0" w:color="auto"/>
              <w:right w:val="single" w:sz="8" w:space="0" w:color="auto"/>
            </w:tcBorders>
            <w:shd w:val="clear" w:color="auto" w:fill="auto"/>
            <w:vAlign w:val="bottom"/>
          </w:tcPr>
          <w:p w14:paraId="7CA7D5F2" w14:textId="77777777" w:rsidR="00A52778" w:rsidRPr="00460F9E" w:rsidRDefault="00A52778" w:rsidP="00FC3F8E">
            <w:pPr>
              <w:spacing w:line="0" w:lineRule="atLeast"/>
              <w:rPr>
                <w:rFonts w:eastAsia="Times New Roman" w:cs="Times New Roman"/>
                <w:b/>
                <w:sz w:val="19"/>
                <w:highlight w:val="yellow"/>
              </w:rPr>
            </w:pPr>
          </w:p>
        </w:tc>
        <w:tc>
          <w:tcPr>
            <w:tcW w:w="1985" w:type="dxa"/>
            <w:vMerge/>
            <w:tcBorders>
              <w:bottom w:val="single" w:sz="8" w:space="0" w:color="auto"/>
              <w:right w:val="single" w:sz="8" w:space="0" w:color="auto"/>
            </w:tcBorders>
            <w:shd w:val="clear" w:color="auto" w:fill="auto"/>
            <w:vAlign w:val="bottom"/>
          </w:tcPr>
          <w:p w14:paraId="4DC7B0F4" w14:textId="77777777" w:rsidR="00A52778" w:rsidRPr="00460F9E" w:rsidRDefault="00A52778" w:rsidP="00FC3F8E">
            <w:pPr>
              <w:spacing w:line="0" w:lineRule="atLeast"/>
              <w:rPr>
                <w:rFonts w:eastAsia="Times New Roman" w:cs="Times New Roman"/>
                <w:b/>
                <w:sz w:val="19"/>
                <w:highlight w:val="yellow"/>
              </w:rPr>
            </w:pPr>
          </w:p>
        </w:tc>
        <w:tc>
          <w:tcPr>
            <w:tcW w:w="1134" w:type="dxa"/>
            <w:vMerge/>
            <w:tcBorders>
              <w:bottom w:val="single" w:sz="8" w:space="0" w:color="auto"/>
              <w:right w:val="single" w:sz="8" w:space="0" w:color="auto"/>
            </w:tcBorders>
            <w:shd w:val="clear" w:color="auto" w:fill="auto"/>
            <w:vAlign w:val="bottom"/>
          </w:tcPr>
          <w:p w14:paraId="00DC6D37" w14:textId="77777777" w:rsidR="00A52778" w:rsidRPr="00460F9E" w:rsidRDefault="00A52778" w:rsidP="00FC3F8E">
            <w:pPr>
              <w:spacing w:line="219" w:lineRule="exact"/>
              <w:jc w:val="center"/>
              <w:rPr>
                <w:rFonts w:eastAsia="Times New Roman" w:cs="Times New Roman"/>
                <w:b/>
                <w:highlight w:val="yellow"/>
              </w:rPr>
            </w:pPr>
          </w:p>
        </w:tc>
        <w:tc>
          <w:tcPr>
            <w:tcW w:w="1984" w:type="dxa"/>
            <w:tcBorders>
              <w:bottom w:val="single" w:sz="8" w:space="0" w:color="auto"/>
              <w:right w:val="single" w:sz="8" w:space="0" w:color="auto"/>
            </w:tcBorders>
            <w:shd w:val="clear" w:color="auto" w:fill="auto"/>
            <w:vAlign w:val="bottom"/>
          </w:tcPr>
          <w:p w14:paraId="23569207" w14:textId="77777777" w:rsidR="00A52778" w:rsidRPr="00460F9E" w:rsidRDefault="00A52778" w:rsidP="00FC3F8E">
            <w:pPr>
              <w:spacing w:line="0" w:lineRule="atLeast"/>
              <w:rPr>
                <w:rFonts w:eastAsia="Times New Roman" w:cs="Times New Roman"/>
                <w:b/>
                <w:sz w:val="19"/>
                <w:highlight w:val="yellow"/>
              </w:rPr>
            </w:pPr>
          </w:p>
        </w:tc>
        <w:tc>
          <w:tcPr>
            <w:tcW w:w="1276" w:type="dxa"/>
            <w:vMerge/>
            <w:tcBorders>
              <w:bottom w:val="single" w:sz="8" w:space="0" w:color="auto"/>
              <w:right w:val="single" w:sz="8" w:space="0" w:color="auto"/>
            </w:tcBorders>
            <w:shd w:val="clear" w:color="auto" w:fill="auto"/>
            <w:vAlign w:val="bottom"/>
          </w:tcPr>
          <w:p w14:paraId="4B2CCF1D" w14:textId="77777777" w:rsidR="00A52778" w:rsidRPr="00460F9E" w:rsidRDefault="00A52778" w:rsidP="00FC3F8E">
            <w:pPr>
              <w:spacing w:line="0" w:lineRule="atLeast"/>
              <w:rPr>
                <w:rFonts w:eastAsia="Times New Roman" w:cs="Times New Roman"/>
                <w:b/>
                <w:sz w:val="19"/>
              </w:rPr>
            </w:pPr>
          </w:p>
        </w:tc>
        <w:tc>
          <w:tcPr>
            <w:tcW w:w="1276" w:type="dxa"/>
            <w:tcBorders>
              <w:bottom w:val="single" w:sz="8" w:space="0" w:color="auto"/>
              <w:right w:val="single" w:sz="8" w:space="0" w:color="auto"/>
            </w:tcBorders>
            <w:shd w:val="clear" w:color="auto" w:fill="auto"/>
            <w:vAlign w:val="bottom"/>
          </w:tcPr>
          <w:p w14:paraId="11127633" w14:textId="77777777" w:rsidR="00A52778" w:rsidRPr="00460F9E" w:rsidRDefault="00A52778" w:rsidP="00FC3F8E">
            <w:pPr>
              <w:spacing w:line="0" w:lineRule="atLeast"/>
              <w:rPr>
                <w:rFonts w:eastAsia="Times New Roman" w:cs="Times New Roman"/>
                <w:b/>
                <w:sz w:val="19"/>
              </w:rPr>
            </w:pPr>
          </w:p>
        </w:tc>
      </w:tr>
      <w:tr w:rsidR="00A52778" w:rsidRPr="00460F9E" w14:paraId="47C39C46" w14:textId="77777777" w:rsidTr="00FC3F8E">
        <w:trPr>
          <w:trHeight w:val="217"/>
        </w:trPr>
        <w:tc>
          <w:tcPr>
            <w:tcW w:w="1701" w:type="dxa"/>
            <w:tcBorders>
              <w:left w:val="single" w:sz="8" w:space="0" w:color="auto"/>
              <w:right w:val="single" w:sz="8" w:space="0" w:color="auto"/>
            </w:tcBorders>
            <w:shd w:val="clear" w:color="auto" w:fill="auto"/>
            <w:vAlign w:val="bottom"/>
          </w:tcPr>
          <w:p w14:paraId="097C71C5" w14:textId="77777777" w:rsidR="00A52778" w:rsidRPr="00460F9E" w:rsidRDefault="00A52778" w:rsidP="00FC3F8E">
            <w:pPr>
              <w:spacing w:line="0" w:lineRule="atLeast"/>
              <w:rPr>
                <w:rFonts w:eastAsia="Times New Roman" w:cs="Times New Roman"/>
                <w:b/>
                <w:sz w:val="18"/>
                <w:highlight w:val="yellow"/>
              </w:rPr>
            </w:pPr>
          </w:p>
        </w:tc>
        <w:tc>
          <w:tcPr>
            <w:tcW w:w="1985" w:type="dxa"/>
            <w:vMerge w:val="restart"/>
            <w:tcBorders>
              <w:right w:val="single" w:sz="8" w:space="0" w:color="auto"/>
            </w:tcBorders>
            <w:shd w:val="clear" w:color="auto" w:fill="auto"/>
            <w:vAlign w:val="center"/>
          </w:tcPr>
          <w:p w14:paraId="0625570E" w14:textId="77777777" w:rsidR="00A52778" w:rsidRPr="00460F9E" w:rsidRDefault="00A52778" w:rsidP="00FC3F8E">
            <w:pPr>
              <w:spacing w:line="0" w:lineRule="atLeast"/>
              <w:jc w:val="center"/>
              <w:rPr>
                <w:rFonts w:eastAsia="Times New Roman" w:cs="Times New Roman"/>
                <w:b/>
                <w:sz w:val="18"/>
                <w:highlight w:val="yellow"/>
              </w:rPr>
            </w:pPr>
            <w:r w:rsidRPr="00460F9E">
              <w:rPr>
                <w:rFonts w:eastAsia="Times New Roman" w:cs="Times New Roman"/>
              </w:rPr>
              <w:t>Diğer tüm                             prosesler/kaynaklar</w:t>
            </w:r>
          </w:p>
        </w:tc>
        <w:tc>
          <w:tcPr>
            <w:tcW w:w="1134" w:type="dxa"/>
            <w:vMerge w:val="restart"/>
            <w:tcBorders>
              <w:right w:val="single" w:sz="8" w:space="0" w:color="auto"/>
            </w:tcBorders>
            <w:shd w:val="clear" w:color="auto" w:fill="auto"/>
            <w:vAlign w:val="center"/>
          </w:tcPr>
          <w:p w14:paraId="6189684F" w14:textId="77777777" w:rsidR="00A52778" w:rsidRPr="00460F9E" w:rsidRDefault="00A52778" w:rsidP="00FC3F8E">
            <w:pPr>
              <w:spacing w:line="222" w:lineRule="exact"/>
              <w:jc w:val="center"/>
              <w:rPr>
                <w:rFonts w:eastAsia="Times New Roman" w:cs="Times New Roman"/>
                <w:b/>
                <w:w w:val="99"/>
                <w:highlight w:val="yellow"/>
              </w:rPr>
            </w:pPr>
            <w:r w:rsidRPr="00460F9E">
              <w:rPr>
                <w:rFonts w:eastAsia="Times New Roman" w:cs="Times New Roman"/>
                <w:w w:val="99"/>
              </w:rPr>
              <w:t>NO</w:t>
            </w:r>
            <w:r w:rsidRPr="00460F9E">
              <w:rPr>
                <w:rFonts w:eastAsia="Times New Roman" w:cs="Times New Roman"/>
                <w:w w:val="99"/>
                <w:sz w:val="12"/>
              </w:rPr>
              <w:t>X</w:t>
            </w:r>
            <w:r w:rsidRPr="00460F9E">
              <w:rPr>
                <w:rFonts w:eastAsia="Times New Roman" w:cs="Times New Roman"/>
                <w:w w:val="99"/>
              </w:rPr>
              <w:t xml:space="preserve"> kütle akışı 2,5 kg/saat olan herhangi bir baca</w:t>
            </w:r>
          </w:p>
        </w:tc>
        <w:tc>
          <w:tcPr>
            <w:tcW w:w="1984" w:type="dxa"/>
            <w:vMerge w:val="restart"/>
            <w:tcBorders>
              <w:right w:val="single" w:sz="8" w:space="0" w:color="auto"/>
            </w:tcBorders>
            <w:shd w:val="clear" w:color="auto" w:fill="auto"/>
            <w:vAlign w:val="center"/>
          </w:tcPr>
          <w:p w14:paraId="6F738FB0"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Genel EN</w:t>
            </w:r>
          </w:p>
          <w:p w14:paraId="3F5C4FD8" w14:textId="77777777" w:rsidR="00A52778" w:rsidRPr="00460F9E" w:rsidRDefault="00A52778" w:rsidP="00FC3F8E">
            <w:pPr>
              <w:spacing w:line="0" w:lineRule="atLeast"/>
              <w:jc w:val="center"/>
              <w:rPr>
                <w:rFonts w:eastAsia="Times New Roman" w:cs="Times New Roman"/>
                <w:b/>
                <w:sz w:val="18"/>
                <w:highlight w:val="yellow"/>
              </w:rPr>
            </w:pPr>
            <w:r w:rsidRPr="00460F9E">
              <w:rPr>
                <w:rFonts w:eastAsia="Times New Roman" w:cs="Times New Roman"/>
                <w:w w:val="97"/>
              </w:rPr>
              <w:t>standartları (</w:t>
            </w:r>
            <w:r w:rsidRPr="00460F9E">
              <w:rPr>
                <w:rFonts w:eastAsia="Times New Roman" w:cs="Times New Roman"/>
                <w:w w:val="97"/>
                <w:vertAlign w:val="superscript"/>
              </w:rPr>
              <w:t>5</w:t>
            </w:r>
            <w:r w:rsidRPr="00460F9E">
              <w:rPr>
                <w:rFonts w:eastAsia="Times New Roman" w:cs="Times New Roman"/>
                <w:w w:val="97"/>
              </w:rPr>
              <w:t>)</w:t>
            </w:r>
          </w:p>
        </w:tc>
        <w:tc>
          <w:tcPr>
            <w:tcW w:w="1276" w:type="dxa"/>
            <w:tcBorders>
              <w:right w:val="single" w:sz="8" w:space="0" w:color="auto"/>
            </w:tcBorders>
            <w:shd w:val="clear" w:color="auto" w:fill="auto"/>
            <w:vAlign w:val="bottom"/>
          </w:tcPr>
          <w:p w14:paraId="536FE384" w14:textId="77777777" w:rsidR="00A52778" w:rsidRPr="00460F9E" w:rsidRDefault="00A52778" w:rsidP="00FC3F8E">
            <w:pPr>
              <w:spacing w:line="0" w:lineRule="atLeast"/>
              <w:rPr>
                <w:rFonts w:eastAsia="Times New Roman" w:cs="Times New Roman"/>
                <w:b/>
                <w:sz w:val="18"/>
              </w:rPr>
            </w:pPr>
          </w:p>
        </w:tc>
        <w:tc>
          <w:tcPr>
            <w:tcW w:w="1276" w:type="dxa"/>
            <w:tcBorders>
              <w:right w:val="single" w:sz="8" w:space="0" w:color="auto"/>
            </w:tcBorders>
            <w:shd w:val="clear" w:color="auto" w:fill="auto"/>
            <w:vAlign w:val="bottom"/>
          </w:tcPr>
          <w:p w14:paraId="067814D3" w14:textId="77777777" w:rsidR="00A52778" w:rsidRPr="00460F9E" w:rsidRDefault="00A52778" w:rsidP="00FC3F8E">
            <w:pPr>
              <w:spacing w:line="0" w:lineRule="atLeast"/>
              <w:rPr>
                <w:rFonts w:eastAsia="Times New Roman" w:cs="Times New Roman"/>
                <w:b/>
                <w:sz w:val="18"/>
              </w:rPr>
            </w:pPr>
          </w:p>
        </w:tc>
      </w:tr>
      <w:tr w:rsidR="00A52778" w:rsidRPr="00460F9E" w14:paraId="7CD510CE" w14:textId="77777777" w:rsidTr="00FC3F8E">
        <w:trPr>
          <w:trHeight w:val="234"/>
        </w:trPr>
        <w:tc>
          <w:tcPr>
            <w:tcW w:w="1701" w:type="dxa"/>
            <w:tcBorders>
              <w:left w:val="single" w:sz="8" w:space="0" w:color="auto"/>
              <w:right w:val="single" w:sz="8" w:space="0" w:color="auto"/>
            </w:tcBorders>
            <w:shd w:val="clear" w:color="auto" w:fill="auto"/>
            <w:vAlign w:val="bottom"/>
          </w:tcPr>
          <w:p w14:paraId="364EF70E" w14:textId="77777777" w:rsidR="00A52778" w:rsidRPr="00460F9E" w:rsidRDefault="00A52778" w:rsidP="00FC3F8E">
            <w:pPr>
              <w:spacing w:line="0" w:lineRule="atLeast"/>
              <w:rPr>
                <w:rFonts w:eastAsia="Times New Roman" w:cs="Times New Roman"/>
                <w:b/>
                <w:highlight w:val="yellow"/>
              </w:rPr>
            </w:pPr>
          </w:p>
        </w:tc>
        <w:tc>
          <w:tcPr>
            <w:tcW w:w="1985" w:type="dxa"/>
            <w:vMerge/>
            <w:tcBorders>
              <w:right w:val="single" w:sz="8" w:space="0" w:color="auto"/>
            </w:tcBorders>
            <w:shd w:val="clear" w:color="auto" w:fill="auto"/>
            <w:vAlign w:val="bottom"/>
          </w:tcPr>
          <w:p w14:paraId="0E68B4D2" w14:textId="77777777" w:rsidR="00A52778" w:rsidRPr="00460F9E" w:rsidRDefault="00A52778" w:rsidP="00FC3F8E">
            <w:pPr>
              <w:spacing w:line="0" w:lineRule="atLeast"/>
              <w:jc w:val="center"/>
              <w:rPr>
                <w:rFonts w:eastAsia="Times New Roman" w:cs="Times New Roman"/>
                <w:b/>
                <w:highlight w:val="yellow"/>
              </w:rPr>
            </w:pPr>
          </w:p>
        </w:tc>
        <w:tc>
          <w:tcPr>
            <w:tcW w:w="1134" w:type="dxa"/>
            <w:vMerge/>
            <w:tcBorders>
              <w:right w:val="single" w:sz="8" w:space="0" w:color="auto"/>
            </w:tcBorders>
            <w:shd w:val="clear" w:color="auto" w:fill="auto"/>
            <w:vAlign w:val="center"/>
          </w:tcPr>
          <w:p w14:paraId="61EDA2DF" w14:textId="77777777" w:rsidR="00A52778" w:rsidRPr="00460F9E" w:rsidRDefault="00A52778" w:rsidP="00FC3F8E">
            <w:pPr>
              <w:spacing w:line="222" w:lineRule="exact"/>
              <w:jc w:val="center"/>
              <w:rPr>
                <w:rFonts w:eastAsia="Times New Roman" w:cs="Times New Roman"/>
                <w:b/>
                <w:w w:val="99"/>
                <w:sz w:val="12"/>
                <w:highlight w:val="yellow"/>
              </w:rPr>
            </w:pPr>
          </w:p>
        </w:tc>
        <w:tc>
          <w:tcPr>
            <w:tcW w:w="1984" w:type="dxa"/>
            <w:vMerge/>
            <w:tcBorders>
              <w:right w:val="single" w:sz="8" w:space="0" w:color="auto"/>
            </w:tcBorders>
            <w:shd w:val="clear" w:color="auto" w:fill="auto"/>
            <w:vAlign w:val="bottom"/>
          </w:tcPr>
          <w:p w14:paraId="748E22E5" w14:textId="77777777" w:rsidR="00A52778" w:rsidRPr="00460F9E" w:rsidRDefault="00A52778" w:rsidP="00FC3F8E">
            <w:pPr>
              <w:spacing w:line="0" w:lineRule="atLeast"/>
              <w:jc w:val="center"/>
              <w:rPr>
                <w:rFonts w:eastAsia="Times New Roman" w:cs="Times New Roman"/>
                <w:b/>
                <w:w w:val="98"/>
                <w:highlight w:val="yellow"/>
              </w:rPr>
            </w:pPr>
          </w:p>
        </w:tc>
        <w:tc>
          <w:tcPr>
            <w:tcW w:w="1276" w:type="dxa"/>
            <w:tcBorders>
              <w:right w:val="single" w:sz="8" w:space="0" w:color="auto"/>
            </w:tcBorders>
            <w:shd w:val="clear" w:color="auto" w:fill="auto"/>
            <w:vAlign w:val="bottom"/>
          </w:tcPr>
          <w:p w14:paraId="0BDD9BE3" w14:textId="77777777" w:rsidR="00A52778" w:rsidRPr="00460F9E" w:rsidRDefault="00A52778" w:rsidP="00FC3F8E">
            <w:pPr>
              <w:spacing w:line="0" w:lineRule="atLeast"/>
              <w:rPr>
                <w:rFonts w:eastAsia="Times New Roman" w:cs="Times New Roman"/>
                <w:b/>
              </w:rPr>
            </w:pPr>
          </w:p>
        </w:tc>
        <w:tc>
          <w:tcPr>
            <w:tcW w:w="1276" w:type="dxa"/>
            <w:tcBorders>
              <w:right w:val="single" w:sz="8" w:space="0" w:color="auto"/>
            </w:tcBorders>
            <w:shd w:val="clear" w:color="auto" w:fill="auto"/>
            <w:vAlign w:val="bottom"/>
          </w:tcPr>
          <w:p w14:paraId="4FB20E22" w14:textId="77777777" w:rsidR="00A52778" w:rsidRPr="00460F9E" w:rsidRDefault="00A52778" w:rsidP="00FC3F8E">
            <w:pPr>
              <w:spacing w:line="0" w:lineRule="atLeast"/>
              <w:rPr>
                <w:rFonts w:eastAsia="Times New Roman" w:cs="Times New Roman"/>
                <w:b/>
              </w:rPr>
            </w:pPr>
          </w:p>
        </w:tc>
      </w:tr>
      <w:tr w:rsidR="00A52778" w:rsidRPr="00460F9E" w14:paraId="46E1E990" w14:textId="77777777" w:rsidTr="00FC3F8E">
        <w:trPr>
          <w:trHeight w:val="119"/>
        </w:trPr>
        <w:tc>
          <w:tcPr>
            <w:tcW w:w="1701" w:type="dxa"/>
            <w:tcBorders>
              <w:left w:val="single" w:sz="8" w:space="0" w:color="auto"/>
              <w:right w:val="single" w:sz="8" w:space="0" w:color="auto"/>
            </w:tcBorders>
            <w:shd w:val="clear" w:color="auto" w:fill="auto"/>
            <w:vAlign w:val="bottom"/>
          </w:tcPr>
          <w:p w14:paraId="14F2A29A"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right w:val="single" w:sz="8" w:space="0" w:color="auto"/>
            </w:tcBorders>
            <w:shd w:val="clear" w:color="auto" w:fill="auto"/>
            <w:vAlign w:val="bottom"/>
          </w:tcPr>
          <w:p w14:paraId="3B54B9D9" w14:textId="77777777" w:rsidR="00A52778" w:rsidRPr="00460F9E" w:rsidRDefault="00A52778" w:rsidP="00FC3F8E">
            <w:pPr>
              <w:spacing w:line="0" w:lineRule="atLeast"/>
              <w:jc w:val="center"/>
              <w:rPr>
                <w:rFonts w:eastAsia="Times New Roman" w:cs="Times New Roman"/>
                <w:b/>
                <w:sz w:val="10"/>
                <w:highlight w:val="yellow"/>
              </w:rPr>
            </w:pPr>
          </w:p>
        </w:tc>
        <w:tc>
          <w:tcPr>
            <w:tcW w:w="1134" w:type="dxa"/>
            <w:vMerge/>
            <w:tcBorders>
              <w:right w:val="single" w:sz="8" w:space="0" w:color="auto"/>
            </w:tcBorders>
            <w:shd w:val="clear" w:color="auto" w:fill="auto"/>
            <w:vAlign w:val="center"/>
          </w:tcPr>
          <w:p w14:paraId="3C6A93BF" w14:textId="77777777" w:rsidR="00A52778" w:rsidRPr="00460F9E" w:rsidRDefault="00A52778" w:rsidP="00FC3F8E">
            <w:pPr>
              <w:spacing w:line="222" w:lineRule="exact"/>
              <w:jc w:val="center"/>
              <w:rPr>
                <w:rFonts w:eastAsia="Times New Roman" w:cs="Times New Roman"/>
                <w:b/>
                <w:w w:val="97"/>
                <w:highlight w:val="yellow"/>
              </w:rPr>
            </w:pPr>
          </w:p>
        </w:tc>
        <w:tc>
          <w:tcPr>
            <w:tcW w:w="1984" w:type="dxa"/>
            <w:vMerge/>
            <w:tcBorders>
              <w:right w:val="single" w:sz="8" w:space="0" w:color="auto"/>
            </w:tcBorders>
            <w:shd w:val="clear" w:color="auto" w:fill="auto"/>
            <w:vAlign w:val="bottom"/>
          </w:tcPr>
          <w:p w14:paraId="5FB2DF06" w14:textId="77777777" w:rsidR="00A52778" w:rsidRPr="00460F9E" w:rsidRDefault="00A52778" w:rsidP="00FC3F8E">
            <w:pPr>
              <w:spacing w:line="0" w:lineRule="atLeast"/>
              <w:jc w:val="center"/>
              <w:rPr>
                <w:rFonts w:eastAsia="Times New Roman" w:cs="Times New Roman"/>
                <w:b/>
                <w:sz w:val="10"/>
                <w:highlight w:val="yellow"/>
              </w:rPr>
            </w:pPr>
          </w:p>
        </w:tc>
        <w:tc>
          <w:tcPr>
            <w:tcW w:w="1276" w:type="dxa"/>
            <w:vMerge w:val="restart"/>
            <w:tcBorders>
              <w:right w:val="single" w:sz="8" w:space="0" w:color="auto"/>
            </w:tcBorders>
            <w:shd w:val="clear" w:color="auto" w:fill="auto"/>
            <w:vAlign w:val="bottom"/>
          </w:tcPr>
          <w:p w14:paraId="6C22E4CF"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Sürekli</w:t>
            </w:r>
          </w:p>
        </w:tc>
        <w:tc>
          <w:tcPr>
            <w:tcW w:w="1276" w:type="dxa"/>
            <w:vMerge w:val="restart"/>
            <w:tcBorders>
              <w:right w:val="single" w:sz="8" w:space="0" w:color="auto"/>
            </w:tcBorders>
            <w:shd w:val="clear" w:color="auto" w:fill="auto"/>
            <w:vAlign w:val="bottom"/>
          </w:tcPr>
          <w:p w14:paraId="11B0CE2A" w14:textId="77777777" w:rsidR="00A52778" w:rsidRPr="00460F9E" w:rsidRDefault="002A1746" w:rsidP="00FC3F8E">
            <w:pPr>
              <w:spacing w:line="0" w:lineRule="atLeast"/>
              <w:jc w:val="center"/>
              <w:rPr>
                <w:rFonts w:eastAsia="Times New Roman" w:cs="Times New Roman"/>
                <w:b/>
              </w:rPr>
            </w:pPr>
            <w:hyperlink w:anchor="page309" w:history="1">
              <w:r w:rsidR="00A52778" w:rsidRPr="00460F9E">
                <w:rPr>
                  <w:rFonts w:cs="Times New Roman"/>
                </w:rPr>
                <w:t xml:space="preserve"> </w:t>
              </w:r>
              <w:r w:rsidR="00A52778" w:rsidRPr="00460F9E">
                <w:rPr>
                  <w:rFonts w:eastAsia="Times New Roman" w:cs="Times New Roman"/>
                </w:rPr>
                <w:t>MET 18</w:t>
              </w:r>
            </w:hyperlink>
          </w:p>
        </w:tc>
      </w:tr>
      <w:tr w:rsidR="00A52778" w:rsidRPr="00460F9E" w14:paraId="58226D73" w14:textId="77777777" w:rsidTr="00FC3F8E">
        <w:trPr>
          <w:trHeight w:val="115"/>
        </w:trPr>
        <w:tc>
          <w:tcPr>
            <w:tcW w:w="1701" w:type="dxa"/>
            <w:tcBorders>
              <w:left w:val="single" w:sz="8" w:space="0" w:color="auto"/>
              <w:right w:val="single" w:sz="8" w:space="0" w:color="auto"/>
            </w:tcBorders>
            <w:shd w:val="clear" w:color="auto" w:fill="auto"/>
            <w:vAlign w:val="bottom"/>
          </w:tcPr>
          <w:p w14:paraId="63CA1E04" w14:textId="77777777" w:rsidR="00A52778" w:rsidRPr="00460F9E" w:rsidRDefault="00A52778" w:rsidP="00FC3F8E">
            <w:pPr>
              <w:spacing w:line="0" w:lineRule="atLeast"/>
              <w:rPr>
                <w:rFonts w:eastAsia="Times New Roman" w:cs="Times New Roman"/>
                <w:b/>
                <w:sz w:val="10"/>
                <w:highlight w:val="yellow"/>
              </w:rPr>
            </w:pPr>
          </w:p>
        </w:tc>
        <w:tc>
          <w:tcPr>
            <w:tcW w:w="1985" w:type="dxa"/>
            <w:vMerge/>
            <w:tcBorders>
              <w:right w:val="single" w:sz="8" w:space="0" w:color="auto"/>
            </w:tcBorders>
            <w:shd w:val="clear" w:color="auto" w:fill="auto"/>
            <w:vAlign w:val="bottom"/>
          </w:tcPr>
          <w:p w14:paraId="5BEE5E16" w14:textId="77777777" w:rsidR="00A52778" w:rsidRPr="00460F9E" w:rsidRDefault="00A52778" w:rsidP="00FC3F8E">
            <w:pPr>
              <w:spacing w:line="0" w:lineRule="atLeast"/>
              <w:jc w:val="center"/>
              <w:rPr>
                <w:rFonts w:eastAsia="Times New Roman" w:cs="Times New Roman"/>
                <w:b/>
                <w:w w:val="99"/>
                <w:highlight w:val="yellow"/>
              </w:rPr>
            </w:pPr>
          </w:p>
        </w:tc>
        <w:tc>
          <w:tcPr>
            <w:tcW w:w="1134" w:type="dxa"/>
            <w:vMerge/>
            <w:tcBorders>
              <w:right w:val="single" w:sz="8" w:space="0" w:color="auto"/>
            </w:tcBorders>
            <w:shd w:val="clear" w:color="auto" w:fill="auto"/>
            <w:vAlign w:val="center"/>
          </w:tcPr>
          <w:p w14:paraId="629C5BA4" w14:textId="77777777" w:rsidR="00A52778" w:rsidRPr="00460F9E" w:rsidRDefault="00A52778" w:rsidP="00FC3F8E">
            <w:pPr>
              <w:spacing w:line="222" w:lineRule="exact"/>
              <w:jc w:val="center"/>
              <w:rPr>
                <w:rFonts w:eastAsia="Times New Roman" w:cs="Times New Roman"/>
                <w:b/>
                <w:sz w:val="10"/>
                <w:highlight w:val="yellow"/>
              </w:rPr>
            </w:pPr>
          </w:p>
        </w:tc>
        <w:tc>
          <w:tcPr>
            <w:tcW w:w="1984" w:type="dxa"/>
            <w:vMerge/>
            <w:tcBorders>
              <w:right w:val="single" w:sz="8" w:space="0" w:color="auto"/>
            </w:tcBorders>
            <w:shd w:val="clear" w:color="auto" w:fill="auto"/>
            <w:vAlign w:val="bottom"/>
          </w:tcPr>
          <w:p w14:paraId="237480C4" w14:textId="77777777" w:rsidR="00A52778" w:rsidRPr="00460F9E" w:rsidRDefault="00A52778" w:rsidP="00FC3F8E">
            <w:pPr>
              <w:spacing w:line="0" w:lineRule="atLeast"/>
              <w:jc w:val="center"/>
              <w:rPr>
                <w:rFonts w:eastAsia="Times New Roman" w:cs="Times New Roman"/>
                <w:b/>
                <w:w w:val="97"/>
                <w:highlight w:val="yellow"/>
              </w:rPr>
            </w:pPr>
          </w:p>
        </w:tc>
        <w:tc>
          <w:tcPr>
            <w:tcW w:w="1276" w:type="dxa"/>
            <w:vMerge/>
            <w:tcBorders>
              <w:right w:val="single" w:sz="8" w:space="0" w:color="auto"/>
            </w:tcBorders>
            <w:shd w:val="clear" w:color="auto" w:fill="auto"/>
            <w:vAlign w:val="bottom"/>
          </w:tcPr>
          <w:p w14:paraId="477C9F0B" w14:textId="77777777" w:rsidR="00A52778" w:rsidRPr="00460F9E" w:rsidRDefault="00A52778" w:rsidP="00FC3F8E">
            <w:pPr>
              <w:spacing w:line="0" w:lineRule="atLeast"/>
              <w:rPr>
                <w:rFonts w:eastAsia="Times New Roman" w:cs="Times New Roman"/>
                <w:b/>
                <w:sz w:val="10"/>
                <w:highlight w:val="yellow"/>
              </w:rPr>
            </w:pPr>
          </w:p>
        </w:tc>
        <w:tc>
          <w:tcPr>
            <w:tcW w:w="1276" w:type="dxa"/>
            <w:vMerge/>
            <w:tcBorders>
              <w:right w:val="single" w:sz="8" w:space="0" w:color="auto"/>
            </w:tcBorders>
            <w:shd w:val="clear" w:color="auto" w:fill="auto"/>
            <w:vAlign w:val="bottom"/>
          </w:tcPr>
          <w:p w14:paraId="12EE398C" w14:textId="77777777" w:rsidR="00A52778" w:rsidRPr="00460F9E" w:rsidRDefault="00A52778" w:rsidP="00FC3F8E">
            <w:pPr>
              <w:spacing w:line="0" w:lineRule="atLeast"/>
              <w:rPr>
                <w:rFonts w:eastAsia="Times New Roman" w:cs="Times New Roman"/>
                <w:b/>
                <w:sz w:val="10"/>
                <w:highlight w:val="yellow"/>
              </w:rPr>
            </w:pPr>
          </w:p>
        </w:tc>
      </w:tr>
      <w:tr w:rsidR="00A52778" w:rsidRPr="00460F9E" w14:paraId="37AE0E15" w14:textId="77777777" w:rsidTr="00FC3F8E">
        <w:trPr>
          <w:trHeight w:val="181"/>
        </w:trPr>
        <w:tc>
          <w:tcPr>
            <w:tcW w:w="1701" w:type="dxa"/>
            <w:tcBorders>
              <w:left w:val="single" w:sz="8" w:space="0" w:color="auto"/>
              <w:right w:val="single" w:sz="8" w:space="0" w:color="auto"/>
            </w:tcBorders>
            <w:shd w:val="clear" w:color="auto" w:fill="auto"/>
            <w:vAlign w:val="bottom"/>
          </w:tcPr>
          <w:p w14:paraId="3BCDBA75" w14:textId="77777777" w:rsidR="00A52778" w:rsidRPr="00460F9E" w:rsidRDefault="00A52778" w:rsidP="00FC3F8E">
            <w:pPr>
              <w:spacing w:line="0" w:lineRule="atLeast"/>
              <w:rPr>
                <w:rFonts w:eastAsia="Times New Roman" w:cs="Times New Roman"/>
                <w:b/>
                <w:sz w:val="15"/>
                <w:highlight w:val="yellow"/>
              </w:rPr>
            </w:pPr>
          </w:p>
        </w:tc>
        <w:tc>
          <w:tcPr>
            <w:tcW w:w="1985" w:type="dxa"/>
            <w:vMerge/>
            <w:tcBorders>
              <w:right w:val="single" w:sz="8" w:space="0" w:color="auto"/>
            </w:tcBorders>
            <w:shd w:val="clear" w:color="auto" w:fill="auto"/>
            <w:vAlign w:val="bottom"/>
          </w:tcPr>
          <w:p w14:paraId="5E76E0A3" w14:textId="77777777" w:rsidR="00A52778" w:rsidRPr="00460F9E" w:rsidRDefault="00A52778" w:rsidP="00FC3F8E">
            <w:pPr>
              <w:spacing w:line="0" w:lineRule="atLeast"/>
              <w:rPr>
                <w:rFonts w:eastAsia="Times New Roman" w:cs="Times New Roman"/>
                <w:b/>
                <w:sz w:val="15"/>
                <w:highlight w:val="yellow"/>
              </w:rPr>
            </w:pPr>
          </w:p>
        </w:tc>
        <w:tc>
          <w:tcPr>
            <w:tcW w:w="1134" w:type="dxa"/>
            <w:vMerge/>
            <w:tcBorders>
              <w:right w:val="single" w:sz="8" w:space="0" w:color="auto"/>
            </w:tcBorders>
            <w:shd w:val="clear" w:color="auto" w:fill="auto"/>
            <w:vAlign w:val="center"/>
          </w:tcPr>
          <w:p w14:paraId="1194A7A8" w14:textId="77777777" w:rsidR="00A52778" w:rsidRPr="00460F9E" w:rsidRDefault="00A52778" w:rsidP="00FC3F8E">
            <w:pPr>
              <w:spacing w:line="222" w:lineRule="exact"/>
              <w:jc w:val="center"/>
              <w:rPr>
                <w:rFonts w:eastAsia="Times New Roman" w:cs="Times New Roman"/>
                <w:b/>
                <w:w w:val="95"/>
                <w:highlight w:val="yellow"/>
              </w:rPr>
            </w:pPr>
          </w:p>
        </w:tc>
        <w:tc>
          <w:tcPr>
            <w:tcW w:w="1984" w:type="dxa"/>
            <w:vMerge/>
            <w:tcBorders>
              <w:right w:val="single" w:sz="8" w:space="0" w:color="auto"/>
            </w:tcBorders>
            <w:shd w:val="clear" w:color="auto" w:fill="auto"/>
            <w:vAlign w:val="bottom"/>
          </w:tcPr>
          <w:p w14:paraId="0EF094BA" w14:textId="77777777" w:rsidR="00A52778" w:rsidRPr="00460F9E" w:rsidRDefault="00A52778" w:rsidP="00FC3F8E">
            <w:pPr>
              <w:spacing w:line="0" w:lineRule="atLeast"/>
              <w:rPr>
                <w:rFonts w:eastAsia="Times New Roman" w:cs="Times New Roman"/>
                <w:b/>
                <w:sz w:val="15"/>
                <w:highlight w:val="yellow"/>
              </w:rPr>
            </w:pPr>
          </w:p>
        </w:tc>
        <w:tc>
          <w:tcPr>
            <w:tcW w:w="1276" w:type="dxa"/>
            <w:tcBorders>
              <w:right w:val="single" w:sz="8" w:space="0" w:color="auto"/>
            </w:tcBorders>
            <w:shd w:val="clear" w:color="auto" w:fill="auto"/>
            <w:vAlign w:val="bottom"/>
          </w:tcPr>
          <w:p w14:paraId="3E865BFE" w14:textId="77777777" w:rsidR="00A52778" w:rsidRPr="00460F9E" w:rsidRDefault="00A52778" w:rsidP="00FC3F8E">
            <w:pPr>
              <w:spacing w:line="0" w:lineRule="atLeast"/>
              <w:rPr>
                <w:rFonts w:eastAsia="Times New Roman" w:cs="Times New Roman"/>
                <w:b/>
                <w:sz w:val="15"/>
                <w:highlight w:val="yellow"/>
              </w:rPr>
            </w:pPr>
          </w:p>
        </w:tc>
        <w:tc>
          <w:tcPr>
            <w:tcW w:w="1276" w:type="dxa"/>
            <w:tcBorders>
              <w:right w:val="single" w:sz="8" w:space="0" w:color="auto"/>
            </w:tcBorders>
            <w:shd w:val="clear" w:color="auto" w:fill="auto"/>
            <w:vAlign w:val="bottom"/>
          </w:tcPr>
          <w:p w14:paraId="4383F07F" w14:textId="77777777" w:rsidR="00A52778" w:rsidRPr="00460F9E" w:rsidRDefault="00A52778" w:rsidP="00FC3F8E">
            <w:pPr>
              <w:spacing w:line="0" w:lineRule="atLeast"/>
              <w:rPr>
                <w:rFonts w:eastAsia="Times New Roman" w:cs="Times New Roman"/>
                <w:b/>
                <w:sz w:val="15"/>
                <w:highlight w:val="yellow"/>
              </w:rPr>
            </w:pPr>
          </w:p>
        </w:tc>
      </w:tr>
      <w:tr w:rsidR="00A52778" w:rsidRPr="00460F9E" w14:paraId="6A9A6CA7" w14:textId="77777777" w:rsidTr="00FC3F8E">
        <w:trPr>
          <w:trHeight w:val="42"/>
        </w:trPr>
        <w:tc>
          <w:tcPr>
            <w:tcW w:w="1701" w:type="dxa"/>
            <w:tcBorders>
              <w:left w:val="single" w:sz="8" w:space="0" w:color="auto"/>
              <w:right w:val="single" w:sz="8" w:space="0" w:color="auto"/>
            </w:tcBorders>
            <w:shd w:val="clear" w:color="auto" w:fill="auto"/>
            <w:vAlign w:val="bottom"/>
          </w:tcPr>
          <w:p w14:paraId="2B5EFC38" w14:textId="77777777" w:rsidR="00A52778" w:rsidRPr="00460F9E" w:rsidRDefault="00A52778" w:rsidP="00FC3F8E">
            <w:pPr>
              <w:spacing w:line="0" w:lineRule="atLeast"/>
              <w:rPr>
                <w:rFonts w:eastAsia="Times New Roman" w:cs="Times New Roman"/>
                <w:b/>
                <w:sz w:val="3"/>
                <w:highlight w:val="yellow"/>
              </w:rPr>
            </w:pPr>
          </w:p>
        </w:tc>
        <w:tc>
          <w:tcPr>
            <w:tcW w:w="1985" w:type="dxa"/>
            <w:vMerge/>
            <w:tcBorders>
              <w:right w:val="single" w:sz="8" w:space="0" w:color="auto"/>
            </w:tcBorders>
            <w:shd w:val="clear" w:color="auto" w:fill="auto"/>
            <w:vAlign w:val="bottom"/>
          </w:tcPr>
          <w:p w14:paraId="75FEB9D8" w14:textId="77777777" w:rsidR="00A52778" w:rsidRPr="00460F9E" w:rsidRDefault="00A52778" w:rsidP="00FC3F8E">
            <w:pPr>
              <w:spacing w:line="0" w:lineRule="atLeast"/>
              <w:rPr>
                <w:rFonts w:eastAsia="Times New Roman" w:cs="Times New Roman"/>
                <w:b/>
                <w:sz w:val="3"/>
                <w:highlight w:val="yellow"/>
              </w:rPr>
            </w:pPr>
          </w:p>
        </w:tc>
        <w:tc>
          <w:tcPr>
            <w:tcW w:w="1134" w:type="dxa"/>
            <w:vMerge/>
            <w:tcBorders>
              <w:right w:val="single" w:sz="8" w:space="0" w:color="auto"/>
            </w:tcBorders>
            <w:shd w:val="clear" w:color="auto" w:fill="auto"/>
            <w:vAlign w:val="center"/>
          </w:tcPr>
          <w:p w14:paraId="482C9AF0" w14:textId="77777777" w:rsidR="00A52778" w:rsidRPr="00460F9E" w:rsidRDefault="00A52778" w:rsidP="00FC3F8E">
            <w:pPr>
              <w:spacing w:line="222" w:lineRule="exact"/>
              <w:jc w:val="center"/>
              <w:rPr>
                <w:rFonts w:eastAsia="Times New Roman" w:cs="Times New Roman"/>
                <w:b/>
                <w:sz w:val="3"/>
                <w:highlight w:val="yellow"/>
              </w:rPr>
            </w:pPr>
          </w:p>
        </w:tc>
        <w:tc>
          <w:tcPr>
            <w:tcW w:w="1984" w:type="dxa"/>
            <w:vMerge/>
            <w:tcBorders>
              <w:right w:val="single" w:sz="8" w:space="0" w:color="auto"/>
            </w:tcBorders>
            <w:shd w:val="clear" w:color="auto" w:fill="auto"/>
            <w:vAlign w:val="bottom"/>
          </w:tcPr>
          <w:p w14:paraId="7240D29C" w14:textId="77777777" w:rsidR="00A52778" w:rsidRPr="00460F9E" w:rsidRDefault="00A52778" w:rsidP="00FC3F8E">
            <w:pPr>
              <w:spacing w:line="0" w:lineRule="atLeast"/>
              <w:rPr>
                <w:rFonts w:eastAsia="Times New Roman" w:cs="Times New Roman"/>
                <w:b/>
                <w:sz w:val="3"/>
                <w:highlight w:val="yellow"/>
              </w:rPr>
            </w:pPr>
          </w:p>
        </w:tc>
        <w:tc>
          <w:tcPr>
            <w:tcW w:w="1276" w:type="dxa"/>
            <w:tcBorders>
              <w:right w:val="single" w:sz="8" w:space="0" w:color="auto"/>
            </w:tcBorders>
            <w:shd w:val="clear" w:color="auto" w:fill="auto"/>
            <w:vAlign w:val="bottom"/>
          </w:tcPr>
          <w:p w14:paraId="3BDC9A51" w14:textId="77777777" w:rsidR="00A52778" w:rsidRPr="00460F9E" w:rsidRDefault="00A52778" w:rsidP="00FC3F8E">
            <w:pPr>
              <w:spacing w:line="0" w:lineRule="atLeast"/>
              <w:rPr>
                <w:rFonts w:eastAsia="Times New Roman" w:cs="Times New Roman"/>
                <w:b/>
                <w:sz w:val="3"/>
                <w:highlight w:val="yellow"/>
              </w:rPr>
            </w:pPr>
          </w:p>
        </w:tc>
        <w:tc>
          <w:tcPr>
            <w:tcW w:w="1276" w:type="dxa"/>
            <w:tcBorders>
              <w:right w:val="single" w:sz="8" w:space="0" w:color="auto"/>
            </w:tcBorders>
            <w:shd w:val="clear" w:color="auto" w:fill="auto"/>
            <w:vAlign w:val="bottom"/>
          </w:tcPr>
          <w:p w14:paraId="1918E1C8" w14:textId="77777777" w:rsidR="00A52778" w:rsidRPr="00460F9E" w:rsidRDefault="00A52778" w:rsidP="00FC3F8E">
            <w:pPr>
              <w:spacing w:line="0" w:lineRule="atLeast"/>
              <w:rPr>
                <w:rFonts w:eastAsia="Times New Roman" w:cs="Times New Roman"/>
                <w:b/>
                <w:sz w:val="3"/>
                <w:highlight w:val="yellow"/>
              </w:rPr>
            </w:pPr>
          </w:p>
        </w:tc>
      </w:tr>
      <w:tr w:rsidR="00A52778" w:rsidRPr="00460F9E" w14:paraId="09ED0A96" w14:textId="77777777" w:rsidTr="00FC3F8E">
        <w:trPr>
          <w:trHeight w:val="65"/>
        </w:trPr>
        <w:tc>
          <w:tcPr>
            <w:tcW w:w="1701" w:type="dxa"/>
            <w:tcBorders>
              <w:left w:val="single" w:sz="8" w:space="0" w:color="auto"/>
              <w:bottom w:val="single" w:sz="8" w:space="0" w:color="auto"/>
              <w:right w:val="single" w:sz="8" w:space="0" w:color="auto"/>
            </w:tcBorders>
            <w:shd w:val="clear" w:color="auto" w:fill="auto"/>
            <w:vAlign w:val="bottom"/>
          </w:tcPr>
          <w:p w14:paraId="414728F2" w14:textId="77777777" w:rsidR="00A52778" w:rsidRPr="00460F9E" w:rsidRDefault="00A52778" w:rsidP="00FC3F8E">
            <w:pPr>
              <w:spacing w:line="0" w:lineRule="atLeast"/>
              <w:rPr>
                <w:rFonts w:eastAsia="Times New Roman" w:cs="Times New Roman"/>
                <w:b/>
                <w:sz w:val="21"/>
                <w:highlight w:val="yellow"/>
              </w:rPr>
            </w:pPr>
          </w:p>
        </w:tc>
        <w:tc>
          <w:tcPr>
            <w:tcW w:w="1985" w:type="dxa"/>
            <w:vMerge/>
            <w:tcBorders>
              <w:bottom w:val="single" w:sz="8" w:space="0" w:color="auto"/>
              <w:right w:val="single" w:sz="8" w:space="0" w:color="auto"/>
            </w:tcBorders>
            <w:shd w:val="clear" w:color="auto" w:fill="auto"/>
            <w:vAlign w:val="bottom"/>
          </w:tcPr>
          <w:p w14:paraId="61FAA36E" w14:textId="77777777" w:rsidR="00A52778" w:rsidRPr="00460F9E" w:rsidRDefault="00A52778" w:rsidP="00FC3F8E">
            <w:pPr>
              <w:spacing w:line="0" w:lineRule="atLeast"/>
              <w:rPr>
                <w:rFonts w:eastAsia="Times New Roman" w:cs="Times New Roman"/>
                <w:b/>
                <w:sz w:val="21"/>
                <w:highlight w:val="yellow"/>
              </w:rPr>
            </w:pPr>
          </w:p>
        </w:tc>
        <w:tc>
          <w:tcPr>
            <w:tcW w:w="1134" w:type="dxa"/>
            <w:vMerge/>
            <w:tcBorders>
              <w:bottom w:val="single" w:sz="8" w:space="0" w:color="auto"/>
              <w:right w:val="single" w:sz="8" w:space="0" w:color="auto"/>
            </w:tcBorders>
            <w:shd w:val="clear" w:color="auto" w:fill="auto"/>
            <w:vAlign w:val="center"/>
          </w:tcPr>
          <w:p w14:paraId="675C92CB" w14:textId="77777777" w:rsidR="00A52778" w:rsidRPr="00460F9E" w:rsidRDefault="00A52778" w:rsidP="00FC3F8E">
            <w:pPr>
              <w:spacing w:line="222" w:lineRule="exact"/>
              <w:jc w:val="center"/>
              <w:rPr>
                <w:rFonts w:eastAsia="Times New Roman" w:cs="Times New Roman"/>
                <w:b/>
                <w:highlight w:val="yellow"/>
              </w:rPr>
            </w:pPr>
          </w:p>
        </w:tc>
        <w:tc>
          <w:tcPr>
            <w:tcW w:w="1984" w:type="dxa"/>
            <w:vMerge/>
            <w:tcBorders>
              <w:bottom w:val="single" w:sz="8" w:space="0" w:color="auto"/>
              <w:right w:val="single" w:sz="8" w:space="0" w:color="auto"/>
            </w:tcBorders>
            <w:shd w:val="clear" w:color="auto" w:fill="auto"/>
            <w:vAlign w:val="bottom"/>
          </w:tcPr>
          <w:p w14:paraId="65785BCC" w14:textId="77777777" w:rsidR="00A52778" w:rsidRPr="00460F9E" w:rsidRDefault="00A52778" w:rsidP="00FC3F8E">
            <w:pPr>
              <w:spacing w:line="0" w:lineRule="atLeast"/>
              <w:rPr>
                <w:rFonts w:eastAsia="Times New Roman" w:cs="Times New Roman"/>
                <w:b/>
                <w:sz w:val="21"/>
                <w:highlight w:val="yellow"/>
              </w:rPr>
            </w:pPr>
          </w:p>
        </w:tc>
        <w:tc>
          <w:tcPr>
            <w:tcW w:w="1276" w:type="dxa"/>
            <w:tcBorders>
              <w:bottom w:val="single" w:sz="8" w:space="0" w:color="auto"/>
              <w:right w:val="single" w:sz="8" w:space="0" w:color="auto"/>
            </w:tcBorders>
            <w:shd w:val="clear" w:color="auto" w:fill="auto"/>
            <w:vAlign w:val="bottom"/>
          </w:tcPr>
          <w:p w14:paraId="55668A15" w14:textId="77777777" w:rsidR="00A52778" w:rsidRPr="00460F9E" w:rsidRDefault="00A52778" w:rsidP="00FC3F8E">
            <w:pPr>
              <w:spacing w:line="0" w:lineRule="atLeast"/>
              <w:rPr>
                <w:rFonts w:eastAsia="Times New Roman" w:cs="Times New Roman"/>
                <w:b/>
                <w:sz w:val="21"/>
                <w:highlight w:val="yellow"/>
              </w:rPr>
            </w:pPr>
          </w:p>
        </w:tc>
        <w:tc>
          <w:tcPr>
            <w:tcW w:w="1276" w:type="dxa"/>
            <w:tcBorders>
              <w:bottom w:val="single" w:sz="8" w:space="0" w:color="auto"/>
              <w:right w:val="single" w:sz="8" w:space="0" w:color="auto"/>
            </w:tcBorders>
            <w:shd w:val="clear" w:color="auto" w:fill="auto"/>
            <w:vAlign w:val="bottom"/>
          </w:tcPr>
          <w:p w14:paraId="59CC33D3" w14:textId="77777777" w:rsidR="00A52778" w:rsidRPr="00460F9E" w:rsidRDefault="00A52778" w:rsidP="00FC3F8E">
            <w:pPr>
              <w:spacing w:line="0" w:lineRule="atLeast"/>
              <w:rPr>
                <w:rFonts w:eastAsia="Times New Roman" w:cs="Times New Roman"/>
                <w:b/>
                <w:sz w:val="21"/>
                <w:highlight w:val="yellow"/>
              </w:rPr>
            </w:pPr>
          </w:p>
        </w:tc>
      </w:tr>
    </w:tbl>
    <w:p w14:paraId="65BBC34E" w14:textId="77777777" w:rsidR="00A52778" w:rsidRPr="00460F9E" w:rsidRDefault="00A52778" w:rsidP="00A52778">
      <w:pPr>
        <w:tabs>
          <w:tab w:val="left" w:pos="9020"/>
        </w:tabs>
        <w:spacing w:line="0" w:lineRule="atLeast"/>
        <w:ind w:left="820"/>
        <w:rPr>
          <w:rFonts w:eastAsia="Times New Roman" w:cs="Times New Roman"/>
          <w:b/>
          <w:color w:val="0000FF"/>
        </w:rPr>
      </w:pPr>
    </w:p>
    <w:p w14:paraId="6F40649E" w14:textId="77777777" w:rsidR="00A52778" w:rsidRPr="00460F9E" w:rsidRDefault="00A52778" w:rsidP="00A52778">
      <w:pPr>
        <w:tabs>
          <w:tab w:val="left" w:pos="9020"/>
        </w:tabs>
        <w:spacing w:line="0" w:lineRule="atLeast"/>
        <w:ind w:left="820"/>
        <w:rPr>
          <w:rFonts w:eastAsia="Times New Roman" w:cs="Times New Roman"/>
          <w:b/>
          <w:color w:val="0000FF"/>
        </w:rPr>
        <w:sectPr w:rsidR="00A52778" w:rsidRPr="00460F9E" w:rsidSect="00460F9E">
          <w:type w:val="continuous"/>
          <w:pgSz w:w="11900" w:h="16838"/>
          <w:pgMar w:top="707" w:right="746" w:bottom="142" w:left="1440" w:header="0" w:footer="0" w:gutter="0"/>
          <w:cols w:space="0" w:equalWidth="0">
            <w:col w:w="9720"/>
          </w:cols>
          <w:docGrid w:linePitch="360"/>
        </w:sectPr>
      </w:pPr>
      <w:r w:rsidRPr="00460F9E">
        <w:rPr>
          <w:rFonts w:eastAsia="Times New Roman" w:cs="Times New Roman"/>
        </w:rPr>
        <w:tab/>
      </w:r>
    </w:p>
    <w:p w14:paraId="14610713" w14:textId="77777777" w:rsidR="00A52778" w:rsidRPr="00460F9E" w:rsidRDefault="00A52778" w:rsidP="00A52778">
      <w:pPr>
        <w:spacing w:line="0" w:lineRule="atLeast"/>
        <w:ind w:left="380"/>
        <w:rPr>
          <w:rFonts w:eastAsia="Times New Roman" w:cs="Times New Roman"/>
          <w:b/>
          <w:color w:val="0000FF"/>
        </w:rPr>
      </w:pPr>
      <w:bookmarkStart w:id="319" w:name="page300"/>
      <w:bookmarkEnd w:id="319"/>
    </w:p>
    <w:p w14:paraId="6959192D" w14:textId="77777777" w:rsidR="00A52778" w:rsidRPr="00460F9E" w:rsidRDefault="00A52778" w:rsidP="00A52778">
      <w:pPr>
        <w:spacing w:line="20" w:lineRule="exact"/>
        <w:rPr>
          <w:rFonts w:eastAsia="Times New Roman" w:cs="Times New Roman"/>
          <w:b/>
        </w:rPr>
      </w:pPr>
    </w:p>
    <w:p w14:paraId="1A27B2CF" w14:textId="77777777" w:rsidR="00A52778" w:rsidRPr="00460F9E" w:rsidRDefault="00A52778" w:rsidP="00A52778">
      <w:pPr>
        <w:spacing w:line="156" w:lineRule="exact"/>
        <w:rPr>
          <w:rFonts w:eastAsia="Times New Roman" w:cs="Times New Roman"/>
          <w:b/>
        </w:rPr>
      </w:pPr>
    </w:p>
    <w:tbl>
      <w:tblPr>
        <w:tblW w:w="0" w:type="auto"/>
        <w:tblInd w:w="10" w:type="dxa"/>
        <w:tblLayout w:type="fixed"/>
        <w:tblCellMar>
          <w:left w:w="0" w:type="dxa"/>
          <w:right w:w="0" w:type="dxa"/>
        </w:tblCellMar>
        <w:tblLook w:val="0000" w:firstRow="0" w:lastRow="0" w:firstColumn="0" w:lastColumn="0" w:noHBand="0" w:noVBand="0"/>
      </w:tblPr>
      <w:tblGrid>
        <w:gridCol w:w="1840"/>
        <w:gridCol w:w="1640"/>
        <w:gridCol w:w="1240"/>
        <w:gridCol w:w="1920"/>
        <w:gridCol w:w="1260"/>
        <w:gridCol w:w="1380"/>
      </w:tblGrid>
      <w:tr w:rsidR="00A52778" w:rsidRPr="00460F9E" w14:paraId="39CAF0B1" w14:textId="77777777" w:rsidTr="00FC3F8E">
        <w:trPr>
          <w:trHeight w:val="234"/>
        </w:trPr>
        <w:tc>
          <w:tcPr>
            <w:tcW w:w="1840" w:type="dxa"/>
            <w:tcBorders>
              <w:top w:val="single" w:sz="8" w:space="0" w:color="auto"/>
              <w:left w:val="single" w:sz="8" w:space="0" w:color="auto"/>
              <w:right w:val="single" w:sz="8" w:space="0" w:color="auto"/>
            </w:tcBorders>
            <w:shd w:val="clear" w:color="auto" w:fill="auto"/>
            <w:vAlign w:val="bottom"/>
          </w:tcPr>
          <w:p w14:paraId="0003726A" w14:textId="77777777" w:rsidR="00A52778" w:rsidRPr="00460F9E" w:rsidRDefault="00A52778" w:rsidP="00FC3F8E">
            <w:pPr>
              <w:spacing w:line="0" w:lineRule="atLeast"/>
              <w:rPr>
                <w:rFonts w:eastAsia="Times New Roman" w:cs="Times New Roman"/>
                <w:b/>
              </w:rPr>
            </w:pPr>
          </w:p>
        </w:tc>
        <w:tc>
          <w:tcPr>
            <w:tcW w:w="1640" w:type="dxa"/>
            <w:tcBorders>
              <w:top w:val="single" w:sz="8" w:space="0" w:color="auto"/>
              <w:right w:val="single" w:sz="8" w:space="0" w:color="auto"/>
            </w:tcBorders>
            <w:shd w:val="clear" w:color="auto" w:fill="auto"/>
            <w:vAlign w:val="bottom"/>
          </w:tcPr>
          <w:p w14:paraId="1F48FD5D" w14:textId="77777777" w:rsidR="00A52778" w:rsidRPr="00460F9E" w:rsidRDefault="00A52778" w:rsidP="00FC3F8E">
            <w:pPr>
              <w:spacing w:line="0" w:lineRule="atLeast"/>
              <w:rPr>
                <w:rFonts w:eastAsia="Times New Roman" w:cs="Times New Roman"/>
                <w:b/>
              </w:rPr>
            </w:pPr>
          </w:p>
        </w:tc>
        <w:tc>
          <w:tcPr>
            <w:tcW w:w="1240" w:type="dxa"/>
            <w:vMerge w:val="restart"/>
            <w:tcBorders>
              <w:top w:val="single" w:sz="8" w:space="0" w:color="auto"/>
              <w:right w:val="single" w:sz="8" w:space="0" w:color="auto"/>
            </w:tcBorders>
            <w:shd w:val="clear" w:color="auto" w:fill="auto"/>
            <w:vAlign w:val="center"/>
          </w:tcPr>
          <w:p w14:paraId="4E2C9CBF" w14:textId="77777777" w:rsidR="00A52778" w:rsidRPr="00460F9E" w:rsidRDefault="00A52778" w:rsidP="00FC3F8E">
            <w:pPr>
              <w:spacing w:line="219" w:lineRule="exact"/>
              <w:jc w:val="center"/>
              <w:rPr>
                <w:rFonts w:eastAsia="Times New Roman" w:cs="Times New Roman"/>
                <w:b/>
                <w:w w:val="99"/>
              </w:rPr>
            </w:pPr>
            <w:r w:rsidRPr="00460F9E">
              <w:rPr>
                <w:rFonts w:eastAsia="Times New Roman" w:cs="Times New Roman"/>
                <w:w w:val="99"/>
              </w:rPr>
              <w:t>NO</w:t>
            </w:r>
            <w:r w:rsidRPr="00460F9E">
              <w:rPr>
                <w:rFonts w:eastAsia="Times New Roman" w:cs="Times New Roman"/>
                <w:w w:val="99"/>
                <w:sz w:val="12"/>
              </w:rPr>
              <w:t>X</w:t>
            </w:r>
            <w:r w:rsidRPr="00460F9E">
              <w:rPr>
                <w:rFonts w:eastAsia="Times New Roman" w:cs="Times New Roman"/>
                <w:w w:val="99"/>
              </w:rPr>
              <w:t xml:space="preserve"> kütle akışı &lt; 2.5 kg/saat olan herhangi bir baca</w:t>
            </w:r>
          </w:p>
        </w:tc>
        <w:tc>
          <w:tcPr>
            <w:tcW w:w="1920" w:type="dxa"/>
            <w:tcBorders>
              <w:top w:val="single" w:sz="8" w:space="0" w:color="auto"/>
              <w:right w:val="single" w:sz="8" w:space="0" w:color="auto"/>
            </w:tcBorders>
            <w:shd w:val="clear" w:color="auto" w:fill="auto"/>
            <w:vAlign w:val="bottom"/>
          </w:tcPr>
          <w:p w14:paraId="20862963" w14:textId="77777777" w:rsidR="00A52778" w:rsidRPr="00460F9E" w:rsidRDefault="00A52778" w:rsidP="00FC3F8E">
            <w:pPr>
              <w:spacing w:line="0" w:lineRule="atLeast"/>
              <w:rPr>
                <w:rFonts w:eastAsia="Times New Roman" w:cs="Times New Roman"/>
                <w:b/>
              </w:rPr>
            </w:pPr>
          </w:p>
        </w:tc>
        <w:tc>
          <w:tcPr>
            <w:tcW w:w="1260" w:type="dxa"/>
            <w:vMerge w:val="restart"/>
            <w:tcBorders>
              <w:top w:val="single" w:sz="8" w:space="0" w:color="auto"/>
              <w:right w:val="single" w:sz="8" w:space="0" w:color="auto"/>
            </w:tcBorders>
            <w:shd w:val="clear" w:color="auto" w:fill="auto"/>
            <w:vAlign w:val="center"/>
          </w:tcPr>
          <w:p w14:paraId="55EE7C9A"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Her 6 ayda</w:t>
            </w:r>
          </w:p>
          <w:p w14:paraId="392EFE48" w14:textId="77777777" w:rsidR="00A52778" w:rsidRPr="00460F9E" w:rsidRDefault="00A52778" w:rsidP="00FC3F8E">
            <w:pPr>
              <w:spacing w:line="241" w:lineRule="exact"/>
              <w:jc w:val="center"/>
              <w:rPr>
                <w:rFonts w:eastAsia="Times New Roman" w:cs="Times New Roman"/>
                <w:b/>
              </w:rPr>
            </w:pPr>
            <w:r w:rsidRPr="00460F9E">
              <w:rPr>
                <w:rFonts w:eastAsia="Times New Roman" w:cs="Times New Roman"/>
              </w:rPr>
              <w:t>1 kere</w:t>
            </w:r>
          </w:p>
          <w:p w14:paraId="5ADDDDEE" w14:textId="77777777" w:rsidR="00A52778" w:rsidRPr="00460F9E" w:rsidRDefault="00A52778" w:rsidP="00FC3F8E">
            <w:pPr>
              <w:spacing w:line="241" w:lineRule="exact"/>
              <w:jc w:val="center"/>
              <w:rPr>
                <w:rFonts w:eastAsia="Times New Roman" w:cs="Times New Roman"/>
                <w:b/>
              </w:rPr>
            </w:pPr>
            <w:r w:rsidRPr="00460F9E">
              <w:rPr>
                <w:rFonts w:eastAsia="Times New Roman" w:cs="Times New Roman"/>
                <w:w w:val="90"/>
              </w:rPr>
              <w:t xml:space="preserve"> (</w:t>
            </w:r>
            <w:r w:rsidRPr="00460F9E">
              <w:rPr>
                <w:rFonts w:eastAsia="Times New Roman" w:cs="Times New Roman"/>
                <w:w w:val="90"/>
                <w:sz w:val="25"/>
                <w:vertAlign w:val="superscript"/>
              </w:rPr>
              <w:t>3</w:t>
            </w:r>
            <w:r w:rsidRPr="00460F9E">
              <w:rPr>
                <w:rFonts w:eastAsia="Times New Roman" w:cs="Times New Roman"/>
                <w:w w:val="90"/>
              </w:rPr>
              <w:t>) (</w:t>
            </w:r>
            <w:r w:rsidRPr="00460F9E">
              <w:rPr>
                <w:rFonts w:eastAsia="Times New Roman" w:cs="Times New Roman"/>
                <w:w w:val="90"/>
                <w:sz w:val="25"/>
                <w:vertAlign w:val="superscript"/>
              </w:rPr>
              <w:t>4</w:t>
            </w:r>
            <w:r w:rsidRPr="00460F9E">
              <w:rPr>
                <w:rFonts w:eastAsia="Times New Roman" w:cs="Times New Roman"/>
                <w:w w:val="90"/>
              </w:rPr>
              <w:t>)</w:t>
            </w:r>
          </w:p>
        </w:tc>
        <w:tc>
          <w:tcPr>
            <w:tcW w:w="1380" w:type="dxa"/>
            <w:tcBorders>
              <w:top w:val="single" w:sz="8" w:space="0" w:color="auto"/>
              <w:right w:val="single" w:sz="8" w:space="0" w:color="auto"/>
            </w:tcBorders>
            <w:shd w:val="clear" w:color="auto" w:fill="auto"/>
            <w:vAlign w:val="bottom"/>
          </w:tcPr>
          <w:p w14:paraId="0C97E222" w14:textId="77777777" w:rsidR="00A52778" w:rsidRPr="00460F9E" w:rsidRDefault="00A52778" w:rsidP="00FC3F8E">
            <w:pPr>
              <w:spacing w:line="0" w:lineRule="atLeast"/>
              <w:rPr>
                <w:rFonts w:eastAsia="Times New Roman" w:cs="Times New Roman"/>
                <w:b/>
              </w:rPr>
            </w:pPr>
          </w:p>
        </w:tc>
      </w:tr>
      <w:tr w:rsidR="00A52778" w:rsidRPr="00460F9E" w14:paraId="166265CD" w14:textId="77777777" w:rsidTr="00FC3F8E">
        <w:trPr>
          <w:trHeight w:val="234"/>
        </w:trPr>
        <w:tc>
          <w:tcPr>
            <w:tcW w:w="1840" w:type="dxa"/>
            <w:tcBorders>
              <w:left w:val="single" w:sz="8" w:space="0" w:color="auto"/>
              <w:right w:val="single" w:sz="8" w:space="0" w:color="auto"/>
            </w:tcBorders>
            <w:shd w:val="clear" w:color="auto" w:fill="auto"/>
            <w:vAlign w:val="bottom"/>
          </w:tcPr>
          <w:p w14:paraId="398094F0" w14:textId="77777777" w:rsidR="00A52778" w:rsidRPr="00460F9E" w:rsidRDefault="00A52778" w:rsidP="00FC3F8E">
            <w:pPr>
              <w:spacing w:line="0" w:lineRule="atLeast"/>
              <w:rPr>
                <w:rFonts w:eastAsia="Times New Roman" w:cs="Times New Roman"/>
                <w:b/>
              </w:rPr>
            </w:pPr>
          </w:p>
        </w:tc>
        <w:tc>
          <w:tcPr>
            <w:tcW w:w="1640" w:type="dxa"/>
            <w:tcBorders>
              <w:right w:val="single" w:sz="8" w:space="0" w:color="auto"/>
            </w:tcBorders>
            <w:shd w:val="clear" w:color="auto" w:fill="auto"/>
            <w:vAlign w:val="bottom"/>
          </w:tcPr>
          <w:p w14:paraId="14DE7E7A" w14:textId="77777777" w:rsidR="00A52778" w:rsidRPr="00460F9E" w:rsidRDefault="00A52778" w:rsidP="00FC3F8E">
            <w:pPr>
              <w:spacing w:line="0" w:lineRule="atLeast"/>
              <w:rPr>
                <w:rFonts w:eastAsia="Times New Roman" w:cs="Times New Roman"/>
                <w:b/>
              </w:rPr>
            </w:pPr>
          </w:p>
        </w:tc>
        <w:tc>
          <w:tcPr>
            <w:tcW w:w="1240" w:type="dxa"/>
            <w:vMerge/>
            <w:tcBorders>
              <w:right w:val="single" w:sz="8" w:space="0" w:color="auto"/>
            </w:tcBorders>
            <w:shd w:val="clear" w:color="auto" w:fill="auto"/>
            <w:vAlign w:val="bottom"/>
          </w:tcPr>
          <w:p w14:paraId="36A6C625" w14:textId="77777777" w:rsidR="00A52778" w:rsidRPr="00460F9E" w:rsidRDefault="00A52778" w:rsidP="00FC3F8E">
            <w:pPr>
              <w:spacing w:line="219" w:lineRule="exact"/>
              <w:jc w:val="center"/>
              <w:rPr>
                <w:rFonts w:eastAsia="Times New Roman" w:cs="Times New Roman"/>
                <w:b/>
                <w:w w:val="99"/>
                <w:sz w:val="12"/>
              </w:rPr>
            </w:pPr>
          </w:p>
        </w:tc>
        <w:tc>
          <w:tcPr>
            <w:tcW w:w="1920" w:type="dxa"/>
            <w:tcBorders>
              <w:right w:val="single" w:sz="8" w:space="0" w:color="auto"/>
            </w:tcBorders>
            <w:shd w:val="clear" w:color="auto" w:fill="auto"/>
            <w:vAlign w:val="bottom"/>
          </w:tcPr>
          <w:p w14:paraId="370C3948" w14:textId="77777777" w:rsidR="00A52778" w:rsidRPr="00460F9E" w:rsidRDefault="00A52778" w:rsidP="00FC3F8E">
            <w:pPr>
              <w:spacing w:line="0" w:lineRule="atLeast"/>
              <w:rPr>
                <w:rFonts w:eastAsia="Times New Roman" w:cs="Times New Roman"/>
                <w:b/>
              </w:rPr>
            </w:pPr>
          </w:p>
        </w:tc>
        <w:tc>
          <w:tcPr>
            <w:tcW w:w="1260" w:type="dxa"/>
            <w:vMerge/>
            <w:tcBorders>
              <w:right w:val="single" w:sz="8" w:space="0" w:color="auto"/>
            </w:tcBorders>
            <w:shd w:val="clear" w:color="auto" w:fill="auto"/>
            <w:vAlign w:val="bottom"/>
          </w:tcPr>
          <w:p w14:paraId="6AFE4FB4" w14:textId="77777777" w:rsidR="00A52778" w:rsidRPr="00460F9E" w:rsidRDefault="00A52778" w:rsidP="00FC3F8E">
            <w:pPr>
              <w:spacing w:line="241" w:lineRule="exact"/>
              <w:jc w:val="center"/>
              <w:rPr>
                <w:rFonts w:eastAsia="Times New Roman" w:cs="Times New Roman"/>
                <w:b/>
              </w:rPr>
            </w:pPr>
          </w:p>
        </w:tc>
        <w:tc>
          <w:tcPr>
            <w:tcW w:w="1380" w:type="dxa"/>
            <w:tcBorders>
              <w:right w:val="single" w:sz="8" w:space="0" w:color="auto"/>
            </w:tcBorders>
            <w:shd w:val="clear" w:color="auto" w:fill="auto"/>
            <w:vAlign w:val="bottom"/>
          </w:tcPr>
          <w:p w14:paraId="39449059" w14:textId="77777777" w:rsidR="00A52778" w:rsidRPr="00460F9E" w:rsidRDefault="00A52778" w:rsidP="00FC3F8E">
            <w:pPr>
              <w:spacing w:line="0" w:lineRule="atLeast"/>
              <w:rPr>
                <w:rFonts w:eastAsia="Times New Roman" w:cs="Times New Roman"/>
                <w:b/>
              </w:rPr>
            </w:pPr>
          </w:p>
        </w:tc>
      </w:tr>
      <w:tr w:rsidR="00A52778" w:rsidRPr="00460F9E" w14:paraId="02048016" w14:textId="77777777" w:rsidTr="00FC3F8E">
        <w:trPr>
          <w:trHeight w:val="228"/>
        </w:trPr>
        <w:tc>
          <w:tcPr>
            <w:tcW w:w="1840" w:type="dxa"/>
            <w:tcBorders>
              <w:left w:val="single" w:sz="8" w:space="0" w:color="auto"/>
              <w:right w:val="single" w:sz="8" w:space="0" w:color="auto"/>
            </w:tcBorders>
            <w:shd w:val="clear" w:color="auto" w:fill="auto"/>
            <w:vAlign w:val="bottom"/>
          </w:tcPr>
          <w:p w14:paraId="57E8172E" w14:textId="77777777" w:rsidR="00A52778" w:rsidRPr="00460F9E" w:rsidRDefault="00A52778" w:rsidP="00FC3F8E">
            <w:pPr>
              <w:spacing w:line="0" w:lineRule="atLeast"/>
              <w:rPr>
                <w:rFonts w:eastAsia="Times New Roman" w:cs="Times New Roman"/>
                <w:b/>
                <w:sz w:val="19"/>
              </w:rPr>
            </w:pPr>
          </w:p>
        </w:tc>
        <w:tc>
          <w:tcPr>
            <w:tcW w:w="1640" w:type="dxa"/>
            <w:tcBorders>
              <w:right w:val="single" w:sz="8" w:space="0" w:color="auto"/>
            </w:tcBorders>
            <w:shd w:val="clear" w:color="auto" w:fill="auto"/>
            <w:vAlign w:val="bottom"/>
          </w:tcPr>
          <w:p w14:paraId="7DCE11E7" w14:textId="77777777" w:rsidR="00A52778" w:rsidRPr="00460F9E" w:rsidRDefault="00A52778" w:rsidP="00FC3F8E">
            <w:pPr>
              <w:spacing w:line="0" w:lineRule="atLeast"/>
              <w:rPr>
                <w:rFonts w:eastAsia="Times New Roman" w:cs="Times New Roman"/>
                <w:b/>
                <w:sz w:val="19"/>
              </w:rPr>
            </w:pPr>
          </w:p>
        </w:tc>
        <w:tc>
          <w:tcPr>
            <w:tcW w:w="1240" w:type="dxa"/>
            <w:vMerge/>
            <w:tcBorders>
              <w:right w:val="single" w:sz="8" w:space="0" w:color="auto"/>
            </w:tcBorders>
            <w:shd w:val="clear" w:color="auto" w:fill="auto"/>
            <w:vAlign w:val="bottom"/>
          </w:tcPr>
          <w:p w14:paraId="6591D515" w14:textId="77777777" w:rsidR="00A52778" w:rsidRPr="00460F9E" w:rsidRDefault="00A52778" w:rsidP="00FC3F8E">
            <w:pPr>
              <w:spacing w:line="219" w:lineRule="exact"/>
              <w:jc w:val="center"/>
              <w:rPr>
                <w:rFonts w:eastAsia="Times New Roman" w:cs="Times New Roman"/>
                <w:b/>
              </w:rPr>
            </w:pPr>
          </w:p>
        </w:tc>
        <w:tc>
          <w:tcPr>
            <w:tcW w:w="1920" w:type="dxa"/>
            <w:tcBorders>
              <w:right w:val="single" w:sz="8" w:space="0" w:color="auto"/>
            </w:tcBorders>
            <w:shd w:val="clear" w:color="auto" w:fill="auto"/>
            <w:vAlign w:val="bottom"/>
          </w:tcPr>
          <w:p w14:paraId="26A884BC" w14:textId="77777777" w:rsidR="00A52778" w:rsidRPr="00460F9E" w:rsidRDefault="00A52778" w:rsidP="00FC3F8E">
            <w:pPr>
              <w:spacing w:line="228" w:lineRule="exact"/>
              <w:jc w:val="center"/>
              <w:rPr>
                <w:rFonts w:eastAsia="Times New Roman" w:cs="Times New Roman"/>
                <w:b/>
                <w:w w:val="97"/>
              </w:rPr>
            </w:pPr>
            <w:r w:rsidRPr="00460F9E">
              <w:rPr>
                <w:rFonts w:eastAsia="Times New Roman" w:cs="Times New Roman"/>
                <w:w w:val="97"/>
              </w:rPr>
              <w:t>EN 14792</w:t>
            </w:r>
          </w:p>
        </w:tc>
        <w:tc>
          <w:tcPr>
            <w:tcW w:w="1260" w:type="dxa"/>
            <w:vMerge/>
            <w:tcBorders>
              <w:right w:val="single" w:sz="8" w:space="0" w:color="auto"/>
            </w:tcBorders>
            <w:shd w:val="clear" w:color="auto" w:fill="auto"/>
            <w:vAlign w:val="bottom"/>
          </w:tcPr>
          <w:p w14:paraId="29F8EEAC" w14:textId="77777777" w:rsidR="00A52778" w:rsidRPr="00460F9E" w:rsidRDefault="00A52778" w:rsidP="00FC3F8E">
            <w:pPr>
              <w:spacing w:line="241" w:lineRule="exact"/>
              <w:jc w:val="center"/>
              <w:rPr>
                <w:rFonts w:eastAsia="Times New Roman" w:cs="Times New Roman"/>
                <w:b/>
              </w:rPr>
            </w:pPr>
          </w:p>
        </w:tc>
        <w:tc>
          <w:tcPr>
            <w:tcW w:w="1380" w:type="dxa"/>
            <w:tcBorders>
              <w:right w:val="single" w:sz="8" w:space="0" w:color="auto"/>
            </w:tcBorders>
            <w:shd w:val="clear" w:color="auto" w:fill="auto"/>
            <w:vAlign w:val="bottom"/>
          </w:tcPr>
          <w:p w14:paraId="4DE9162C" w14:textId="77777777" w:rsidR="00A52778" w:rsidRPr="00460F9E" w:rsidRDefault="00A52778" w:rsidP="00FC3F8E">
            <w:pPr>
              <w:spacing w:line="0" w:lineRule="atLeast"/>
              <w:rPr>
                <w:rFonts w:eastAsia="Times New Roman" w:cs="Times New Roman"/>
                <w:b/>
                <w:sz w:val="19"/>
              </w:rPr>
            </w:pPr>
          </w:p>
        </w:tc>
      </w:tr>
      <w:tr w:rsidR="00A52778" w:rsidRPr="00460F9E" w14:paraId="4172F4D0" w14:textId="77777777" w:rsidTr="00FC3F8E">
        <w:trPr>
          <w:trHeight w:val="242"/>
        </w:trPr>
        <w:tc>
          <w:tcPr>
            <w:tcW w:w="1840" w:type="dxa"/>
            <w:tcBorders>
              <w:left w:val="single" w:sz="8" w:space="0" w:color="auto"/>
              <w:right w:val="single" w:sz="8" w:space="0" w:color="auto"/>
            </w:tcBorders>
            <w:shd w:val="clear" w:color="auto" w:fill="auto"/>
            <w:vAlign w:val="bottom"/>
          </w:tcPr>
          <w:p w14:paraId="01B28744" w14:textId="77777777" w:rsidR="00A52778" w:rsidRPr="00460F9E" w:rsidRDefault="00A52778" w:rsidP="00FC3F8E">
            <w:pPr>
              <w:spacing w:line="0" w:lineRule="atLeast"/>
              <w:rPr>
                <w:rFonts w:eastAsia="Times New Roman" w:cs="Times New Roman"/>
                <w:b/>
                <w:sz w:val="21"/>
              </w:rPr>
            </w:pPr>
          </w:p>
        </w:tc>
        <w:tc>
          <w:tcPr>
            <w:tcW w:w="1640" w:type="dxa"/>
            <w:tcBorders>
              <w:right w:val="single" w:sz="8" w:space="0" w:color="auto"/>
            </w:tcBorders>
            <w:shd w:val="clear" w:color="auto" w:fill="auto"/>
            <w:vAlign w:val="bottom"/>
          </w:tcPr>
          <w:p w14:paraId="38FBE2D2" w14:textId="77777777" w:rsidR="00A52778" w:rsidRPr="00460F9E" w:rsidRDefault="00A52778" w:rsidP="00FC3F8E">
            <w:pPr>
              <w:spacing w:line="0" w:lineRule="atLeast"/>
              <w:rPr>
                <w:rFonts w:eastAsia="Times New Roman" w:cs="Times New Roman"/>
                <w:b/>
                <w:sz w:val="21"/>
              </w:rPr>
            </w:pPr>
          </w:p>
        </w:tc>
        <w:tc>
          <w:tcPr>
            <w:tcW w:w="1240" w:type="dxa"/>
            <w:vMerge/>
            <w:tcBorders>
              <w:right w:val="single" w:sz="8" w:space="0" w:color="auto"/>
            </w:tcBorders>
            <w:shd w:val="clear" w:color="auto" w:fill="auto"/>
            <w:vAlign w:val="bottom"/>
          </w:tcPr>
          <w:p w14:paraId="323955B9" w14:textId="77777777" w:rsidR="00A52778" w:rsidRPr="00460F9E" w:rsidRDefault="00A52778" w:rsidP="00FC3F8E">
            <w:pPr>
              <w:spacing w:line="219" w:lineRule="exact"/>
              <w:jc w:val="center"/>
              <w:rPr>
                <w:rFonts w:eastAsia="Times New Roman" w:cs="Times New Roman"/>
                <w:b/>
                <w:w w:val="95"/>
              </w:rPr>
            </w:pPr>
          </w:p>
        </w:tc>
        <w:tc>
          <w:tcPr>
            <w:tcW w:w="1920" w:type="dxa"/>
            <w:tcBorders>
              <w:right w:val="single" w:sz="8" w:space="0" w:color="auto"/>
            </w:tcBorders>
            <w:shd w:val="clear" w:color="auto" w:fill="auto"/>
            <w:vAlign w:val="bottom"/>
          </w:tcPr>
          <w:p w14:paraId="5C9A5852" w14:textId="77777777" w:rsidR="00A52778" w:rsidRPr="00460F9E" w:rsidRDefault="00A52778" w:rsidP="00FC3F8E">
            <w:pPr>
              <w:spacing w:line="0" w:lineRule="atLeast"/>
              <w:rPr>
                <w:rFonts w:eastAsia="Times New Roman" w:cs="Times New Roman"/>
                <w:b/>
                <w:sz w:val="21"/>
              </w:rPr>
            </w:pPr>
          </w:p>
        </w:tc>
        <w:tc>
          <w:tcPr>
            <w:tcW w:w="1260" w:type="dxa"/>
            <w:vMerge/>
            <w:tcBorders>
              <w:right w:val="single" w:sz="8" w:space="0" w:color="auto"/>
            </w:tcBorders>
            <w:shd w:val="clear" w:color="auto" w:fill="auto"/>
            <w:vAlign w:val="bottom"/>
          </w:tcPr>
          <w:p w14:paraId="283B31E2" w14:textId="77777777" w:rsidR="00A52778" w:rsidRPr="00460F9E" w:rsidRDefault="00A52778" w:rsidP="00FC3F8E">
            <w:pPr>
              <w:spacing w:line="241" w:lineRule="exact"/>
              <w:jc w:val="center"/>
              <w:rPr>
                <w:rFonts w:eastAsia="Times New Roman" w:cs="Times New Roman"/>
                <w:b/>
                <w:w w:val="90"/>
              </w:rPr>
            </w:pPr>
          </w:p>
        </w:tc>
        <w:tc>
          <w:tcPr>
            <w:tcW w:w="1380" w:type="dxa"/>
            <w:tcBorders>
              <w:right w:val="single" w:sz="8" w:space="0" w:color="auto"/>
            </w:tcBorders>
            <w:shd w:val="clear" w:color="auto" w:fill="auto"/>
            <w:vAlign w:val="bottom"/>
          </w:tcPr>
          <w:p w14:paraId="01F57AC1" w14:textId="77777777" w:rsidR="00A52778" w:rsidRPr="00460F9E" w:rsidRDefault="00A52778" w:rsidP="00FC3F8E">
            <w:pPr>
              <w:spacing w:line="0" w:lineRule="atLeast"/>
              <w:rPr>
                <w:rFonts w:eastAsia="Times New Roman" w:cs="Times New Roman"/>
                <w:b/>
                <w:sz w:val="21"/>
              </w:rPr>
            </w:pPr>
          </w:p>
        </w:tc>
      </w:tr>
      <w:tr w:rsidR="00A52778" w:rsidRPr="00460F9E" w14:paraId="2050B722" w14:textId="77777777" w:rsidTr="00FC3F8E">
        <w:trPr>
          <w:trHeight w:val="222"/>
        </w:trPr>
        <w:tc>
          <w:tcPr>
            <w:tcW w:w="1840" w:type="dxa"/>
            <w:tcBorders>
              <w:left w:val="single" w:sz="8" w:space="0" w:color="auto"/>
              <w:bottom w:val="single" w:sz="8" w:space="0" w:color="auto"/>
              <w:right w:val="single" w:sz="8" w:space="0" w:color="auto"/>
            </w:tcBorders>
            <w:shd w:val="clear" w:color="auto" w:fill="auto"/>
            <w:vAlign w:val="bottom"/>
          </w:tcPr>
          <w:p w14:paraId="722699F7" w14:textId="77777777" w:rsidR="00A52778" w:rsidRPr="00460F9E" w:rsidRDefault="00A52778" w:rsidP="00FC3F8E">
            <w:pPr>
              <w:spacing w:line="0" w:lineRule="atLeast"/>
              <w:rPr>
                <w:rFonts w:eastAsia="Times New Roman" w:cs="Times New Roman"/>
                <w:b/>
                <w:sz w:val="19"/>
              </w:rPr>
            </w:pPr>
          </w:p>
        </w:tc>
        <w:tc>
          <w:tcPr>
            <w:tcW w:w="1640" w:type="dxa"/>
            <w:tcBorders>
              <w:bottom w:val="single" w:sz="8" w:space="0" w:color="auto"/>
              <w:right w:val="single" w:sz="8" w:space="0" w:color="auto"/>
            </w:tcBorders>
            <w:shd w:val="clear" w:color="auto" w:fill="auto"/>
            <w:vAlign w:val="bottom"/>
          </w:tcPr>
          <w:p w14:paraId="4DED97BC" w14:textId="77777777" w:rsidR="00A52778" w:rsidRPr="00460F9E" w:rsidRDefault="00A52778" w:rsidP="00FC3F8E">
            <w:pPr>
              <w:spacing w:line="0" w:lineRule="atLeast"/>
              <w:rPr>
                <w:rFonts w:eastAsia="Times New Roman" w:cs="Times New Roman"/>
                <w:b/>
                <w:sz w:val="19"/>
              </w:rPr>
            </w:pPr>
          </w:p>
        </w:tc>
        <w:tc>
          <w:tcPr>
            <w:tcW w:w="1240" w:type="dxa"/>
            <w:vMerge/>
            <w:tcBorders>
              <w:bottom w:val="single" w:sz="8" w:space="0" w:color="auto"/>
              <w:right w:val="single" w:sz="8" w:space="0" w:color="auto"/>
            </w:tcBorders>
            <w:shd w:val="clear" w:color="auto" w:fill="auto"/>
            <w:vAlign w:val="bottom"/>
          </w:tcPr>
          <w:p w14:paraId="2EE2DCA4" w14:textId="77777777" w:rsidR="00A52778" w:rsidRPr="00460F9E" w:rsidRDefault="00A52778" w:rsidP="00FC3F8E">
            <w:pPr>
              <w:spacing w:line="219" w:lineRule="exact"/>
              <w:jc w:val="center"/>
              <w:rPr>
                <w:rFonts w:eastAsia="Times New Roman" w:cs="Times New Roman"/>
                <w:b/>
              </w:rPr>
            </w:pPr>
          </w:p>
        </w:tc>
        <w:tc>
          <w:tcPr>
            <w:tcW w:w="1920" w:type="dxa"/>
            <w:tcBorders>
              <w:bottom w:val="single" w:sz="8" w:space="0" w:color="auto"/>
              <w:right w:val="single" w:sz="8" w:space="0" w:color="auto"/>
            </w:tcBorders>
            <w:shd w:val="clear" w:color="auto" w:fill="auto"/>
            <w:vAlign w:val="bottom"/>
          </w:tcPr>
          <w:p w14:paraId="50375525" w14:textId="77777777" w:rsidR="00A52778" w:rsidRPr="00460F9E" w:rsidRDefault="00A52778" w:rsidP="00FC3F8E">
            <w:pPr>
              <w:spacing w:line="0" w:lineRule="atLeast"/>
              <w:rPr>
                <w:rFonts w:eastAsia="Times New Roman" w:cs="Times New Roman"/>
                <w:b/>
                <w:sz w:val="19"/>
              </w:rPr>
            </w:pPr>
          </w:p>
        </w:tc>
        <w:tc>
          <w:tcPr>
            <w:tcW w:w="1260" w:type="dxa"/>
            <w:vMerge/>
            <w:tcBorders>
              <w:bottom w:val="single" w:sz="8" w:space="0" w:color="auto"/>
              <w:right w:val="single" w:sz="8" w:space="0" w:color="auto"/>
            </w:tcBorders>
            <w:shd w:val="clear" w:color="auto" w:fill="auto"/>
            <w:vAlign w:val="bottom"/>
          </w:tcPr>
          <w:p w14:paraId="75CA56E9" w14:textId="77777777" w:rsidR="00A52778" w:rsidRPr="00460F9E" w:rsidRDefault="00A52778" w:rsidP="00FC3F8E">
            <w:pPr>
              <w:spacing w:line="0" w:lineRule="atLeast"/>
              <w:rPr>
                <w:rFonts w:eastAsia="Times New Roman" w:cs="Times New Roman"/>
                <w:b/>
                <w:sz w:val="19"/>
              </w:rPr>
            </w:pPr>
          </w:p>
        </w:tc>
        <w:tc>
          <w:tcPr>
            <w:tcW w:w="1380" w:type="dxa"/>
            <w:tcBorders>
              <w:bottom w:val="single" w:sz="8" w:space="0" w:color="auto"/>
              <w:right w:val="single" w:sz="8" w:space="0" w:color="auto"/>
            </w:tcBorders>
            <w:shd w:val="clear" w:color="auto" w:fill="auto"/>
            <w:vAlign w:val="bottom"/>
          </w:tcPr>
          <w:p w14:paraId="6E752D1E" w14:textId="77777777" w:rsidR="00A52778" w:rsidRPr="00460F9E" w:rsidRDefault="00A52778" w:rsidP="00FC3F8E">
            <w:pPr>
              <w:spacing w:line="0" w:lineRule="atLeast"/>
              <w:rPr>
                <w:rFonts w:eastAsia="Times New Roman" w:cs="Times New Roman"/>
                <w:b/>
                <w:sz w:val="19"/>
              </w:rPr>
            </w:pPr>
          </w:p>
        </w:tc>
      </w:tr>
      <w:tr w:rsidR="00A52778" w:rsidRPr="00460F9E" w14:paraId="131ABDFE" w14:textId="77777777" w:rsidTr="00FC3F8E">
        <w:trPr>
          <w:trHeight w:val="217"/>
        </w:trPr>
        <w:tc>
          <w:tcPr>
            <w:tcW w:w="1840" w:type="dxa"/>
            <w:tcBorders>
              <w:left w:val="single" w:sz="8" w:space="0" w:color="auto"/>
              <w:right w:val="single" w:sz="8" w:space="0" w:color="auto"/>
            </w:tcBorders>
            <w:shd w:val="clear" w:color="auto" w:fill="auto"/>
            <w:vAlign w:val="bottom"/>
          </w:tcPr>
          <w:p w14:paraId="538E6818" w14:textId="77777777" w:rsidR="00A52778" w:rsidRPr="00460F9E" w:rsidRDefault="00A52778" w:rsidP="00FC3F8E">
            <w:pPr>
              <w:spacing w:line="0" w:lineRule="atLeast"/>
              <w:rPr>
                <w:rFonts w:eastAsia="Times New Roman" w:cs="Times New Roman"/>
                <w:b/>
                <w:sz w:val="18"/>
              </w:rPr>
            </w:pPr>
          </w:p>
        </w:tc>
        <w:tc>
          <w:tcPr>
            <w:tcW w:w="1640" w:type="dxa"/>
            <w:vMerge w:val="restart"/>
            <w:tcBorders>
              <w:right w:val="single" w:sz="8" w:space="0" w:color="auto"/>
            </w:tcBorders>
            <w:shd w:val="clear" w:color="auto" w:fill="auto"/>
            <w:vAlign w:val="center"/>
          </w:tcPr>
          <w:p w14:paraId="193C4B45" w14:textId="77777777" w:rsidR="00A52778" w:rsidRPr="00460F9E" w:rsidRDefault="00A52778" w:rsidP="00FC3F8E">
            <w:pPr>
              <w:spacing w:line="0" w:lineRule="atLeast"/>
              <w:jc w:val="center"/>
              <w:rPr>
                <w:rFonts w:eastAsia="Times New Roman" w:cs="Times New Roman"/>
                <w:b/>
                <w:w w:val="97"/>
              </w:rPr>
            </w:pPr>
            <w:r w:rsidRPr="00460F9E">
              <w:rPr>
                <w:rFonts w:eastAsia="Times New Roman" w:cs="Times New Roman"/>
                <w:w w:val="97"/>
              </w:rPr>
              <w:t>Isıl                      işlem</w:t>
            </w:r>
          </w:p>
        </w:tc>
        <w:tc>
          <w:tcPr>
            <w:tcW w:w="1240" w:type="dxa"/>
            <w:vMerge w:val="restart"/>
            <w:tcBorders>
              <w:right w:val="single" w:sz="8" w:space="0" w:color="auto"/>
            </w:tcBorders>
            <w:shd w:val="clear" w:color="auto" w:fill="auto"/>
            <w:vAlign w:val="center"/>
          </w:tcPr>
          <w:p w14:paraId="392054C8"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9"/>
              </w:rPr>
              <w:t>Herhangi bir baca</w:t>
            </w:r>
          </w:p>
        </w:tc>
        <w:tc>
          <w:tcPr>
            <w:tcW w:w="1920" w:type="dxa"/>
            <w:vMerge w:val="restart"/>
            <w:tcBorders>
              <w:right w:val="single" w:sz="8" w:space="0" w:color="auto"/>
            </w:tcBorders>
            <w:shd w:val="clear" w:color="auto" w:fill="auto"/>
            <w:vAlign w:val="bottom"/>
          </w:tcPr>
          <w:p w14:paraId="286157C5"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EN 1948-1, EN</w:t>
            </w:r>
          </w:p>
        </w:tc>
        <w:tc>
          <w:tcPr>
            <w:tcW w:w="1260" w:type="dxa"/>
            <w:vMerge w:val="restart"/>
            <w:tcBorders>
              <w:right w:val="single" w:sz="8" w:space="0" w:color="auto"/>
            </w:tcBorders>
            <w:shd w:val="clear" w:color="auto" w:fill="auto"/>
            <w:vAlign w:val="center"/>
          </w:tcPr>
          <w:p w14:paraId="3970F59C"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Her 6 ayda</w:t>
            </w:r>
          </w:p>
          <w:p w14:paraId="3D8B41BB" w14:textId="77777777" w:rsidR="00A52778" w:rsidRPr="00460F9E" w:rsidRDefault="00A52778" w:rsidP="00FC3F8E">
            <w:pPr>
              <w:spacing w:line="232" w:lineRule="exact"/>
              <w:ind w:right="280"/>
              <w:jc w:val="center"/>
              <w:rPr>
                <w:rFonts w:eastAsia="Times New Roman" w:cs="Times New Roman"/>
                <w:b/>
              </w:rPr>
            </w:pPr>
            <w:r w:rsidRPr="00460F9E">
              <w:rPr>
                <w:rFonts w:eastAsia="Times New Roman" w:cs="Times New Roman"/>
              </w:rPr>
              <w:t xml:space="preserve">     1 kere</w:t>
            </w:r>
          </w:p>
          <w:p w14:paraId="22657788" w14:textId="77777777" w:rsidR="00A52778" w:rsidRPr="00460F9E" w:rsidRDefault="00A52778" w:rsidP="00FC3F8E">
            <w:pPr>
              <w:spacing w:line="232" w:lineRule="exact"/>
              <w:ind w:right="280"/>
              <w:jc w:val="center"/>
              <w:rPr>
                <w:rFonts w:eastAsia="Times New Roman" w:cs="Times New Roman"/>
                <w:b/>
              </w:rPr>
            </w:pPr>
            <w:r w:rsidRPr="00460F9E">
              <w:rPr>
                <w:rFonts w:eastAsia="Times New Roman" w:cs="Times New Roman"/>
              </w:rPr>
              <w:t xml:space="preserve">     (</w:t>
            </w:r>
            <w:r w:rsidRPr="00460F9E">
              <w:rPr>
                <w:rFonts w:eastAsia="Times New Roman" w:cs="Times New Roman"/>
                <w:sz w:val="25"/>
                <w:vertAlign w:val="superscript"/>
              </w:rPr>
              <w:t>3</w:t>
            </w:r>
            <w:r w:rsidRPr="00460F9E">
              <w:rPr>
                <w:rFonts w:eastAsia="Times New Roman" w:cs="Times New Roman"/>
              </w:rPr>
              <w:t>) (</w:t>
            </w:r>
            <w:r w:rsidRPr="00460F9E">
              <w:rPr>
                <w:rFonts w:eastAsia="Times New Roman" w:cs="Times New Roman"/>
                <w:sz w:val="25"/>
                <w:vertAlign w:val="superscript"/>
              </w:rPr>
              <w:t>9</w:t>
            </w:r>
            <w:r w:rsidRPr="00460F9E">
              <w:rPr>
                <w:rFonts w:eastAsia="Times New Roman" w:cs="Times New Roman"/>
              </w:rPr>
              <w:t>)</w:t>
            </w:r>
          </w:p>
        </w:tc>
        <w:tc>
          <w:tcPr>
            <w:tcW w:w="1380" w:type="dxa"/>
            <w:vMerge w:val="restart"/>
            <w:tcBorders>
              <w:right w:val="single" w:sz="8" w:space="0" w:color="auto"/>
            </w:tcBorders>
            <w:shd w:val="clear" w:color="auto" w:fill="auto"/>
            <w:vAlign w:val="bottom"/>
          </w:tcPr>
          <w:p w14:paraId="29A752A8" w14:textId="77777777" w:rsidR="00A52778" w:rsidRPr="00460F9E" w:rsidRDefault="002A1746" w:rsidP="00FC3F8E">
            <w:pPr>
              <w:spacing w:line="0" w:lineRule="atLeast"/>
              <w:jc w:val="center"/>
              <w:rPr>
                <w:rFonts w:eastAsia="Times New Roman" w:cs="Times New Roman"/>
                <w:b/>
              </w:rPr>
            </w:pPr>
            <w:hyperlink w:anchor="page304" w:history="1">
              <w:r w:rsidR="00A52778" w:rsidRPr="00460F9E">
                <w:rPr>
                  <w:rFonts w:eastAsia="Times New Roman" w:cs="Times New Roman"/>
                </w:rPr>
                <w:t>MET 12</w:t>
              </w:r>
            </w:hyperlink>
          </w:p>
        </w:tc>
      </w:tr>
      <w:tr w:rsidR="00A52778" w:rsidRPr="00460F9E" w14:paraId="74AFA7D1" w14:textId="77777777" w:rsidTr="00FC3F8E">
        <w:trPr>
          <w:trHeight w:val="436"/>
        </w:trPr>
        <w:tc>
          <w:tcPr>
            <w:tcW w:w="1840" w:type="dxa"/>
            <w:vMerge w:val="restart"/>
            <w:tcBorders>
              <w:left w:val="single" w:sz="8" w:space="0" w:color="auto"/>
              <w:right w:val="single" w:sz="8" w:space="0" w:color="auto"/>
            </w:tcBorders>
            <w:shd w:val="clear" w:color="auto" w:fill="auto"/>
            <w:vAlign w:val="bottom"/>
          </w:tcPr>
          <w:p w14:paraId="03F76D47"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PCDD/F</w:t>
            </w:r>
          </w:p>
        </w:tc>
        <w:tc>
          <w:tcPr>
            <w:tcW w:w="1640" w:type="dxa"/>
            <w:vMerge/>
            <w:tcBorders>
              <w:right w:val="single" w:sz="8" w:space="0" w:color="auto"/>
            </w:tcBorders>
            <w:shd w:val="clear" w:color="auto" w:fill="auto"/>
            <w:vAlign w:val="bottom"/>
          </w:tcPr>
          <w:p w14:paraId="4627F284" w14:textId="77777777" w:rsidR="00A52778" w:rsidRPr="00460F9E" w:rsidRDefault="00A52778" w:rsidP="00FC3F8E">
            <w:pPr>
              <w:spacing w:line="0" w:lineRule="atLeast"/>
              <w:jc w:val="center"/>
              <w:rPr>
                <w:rFonts w:eastAsia="Times New Roman" w:cs="Times New Roman"/>
                <w:b/>
                <w:sz w:val="10"/>
              </w:rPr>
            </w:pPr>
          </w:p>
        </w:tc>
        <w:tc>
          <w:tcPr>
            <w:tcW w:w="1240" w:type="dxa"/>
            <w:vMerge/>
            <w:tcBorders>
              <w:right w:val="single" w:sz="8" w:space="0" w:color="auto"/>
            </w:tcBorders>
            <w:shd w:val="clear" w:color="auto" w:fill="auto"/>
            <w:vAlign w:val="bottom"/>
          </w:tcPr>
          <w:p w14:paraId="058F94DD" w14:textId="77777777" w:rsidR="00A52778" w:rsidRPr="00460F9E" w:rsidRDefault="00A52778" w:rsidP="00FC3F8E">
            <w:pPr>
              <w:spacing w:line="0" w:lineRule="atLeast"/>
              <w:jc w:val="center"/>
              <w:rPr>
                <w:rFonts w:eastAsia="Times New Roman" w:cs="Times New Roman"/>
                <w:b/>
                <w:w w:val="99"/>
              </w:rPr>
            </w:pPr>
          </w:p>
        </w:tc>
        <w:tc>
          <w:tcPr>
            <w:tcW w:w="1920" w:type="dxa"/>
            <w:vMerge/>
            <w:tcBorders>
              <w:right w:val="single" w:sz="8" w:space="0" w:color="auto"/>
            </w:tcBorders>
            <w:shd w:val="clear" w:color="auto" w:fill="auto"/>
            <w:vAlign w:val="bottom"/>
          </w:tcPr>
          <w:p w14:paraId="704E8CC4" w14:textId="77777777" w:rsidR="00A52778" w:rsidRPr="00460F9E" w:rsidRDefault="00A52778" w:rsidP="00FC3F8E">
            <w:pPr>
              <w:spacing w:line="0" w:lineRule="atLeast"/>
              <w:rPr>
                <w:rFonts w:eastAsia="Times New Roman" w:cs="Times New Roman"/>
                <w:b/>
                <w:sz w:val="10"/>
              </w:rPr>
            </w:pPr>
          </w:p>
        </w:tc>
        <w:tc>
          <w:tcPr>
            <w:tcW w:w="1260" w:type="dxa"/>
            <w:vMerge/>
            <w:tcBorders>
              <w:right w:val="single" w:sz="8" w:space="0" w:color="auto"/>
            </w:tcBorders>
            <w:shd w:val="clear" w:color="auto" w:fill="auto"/>
            <w:vAlign w:val="bottom"/>
          </w:tcPr>
          <w:p w14:paraId="107B3B09" w14:textId="77777777" w:rsidR="00A52778" w:rsidRPr="00460F9E" w:rsidRDefault="00A52778" w:rsidP="00FC3F8E">
            <w:pPr>
              <w:spacing w:line="232" w:lineRule="exact"/>
              <w:ind w:right="280"/>
              <w:jc w:val="center"/>
              <w:rPr>
                <w:rFonts w:eastAsia="Times New Roman" w:cs="Times New Roman"/>
                <w:b/>
              </w:rPr>
            </w:pPr>
          </w:p>
        </w:tc>
        <w:tc>
          <w:tcPr>
            <w:tcW w:w="1380" w:type="dxa"/>
            <w:vMerge/>
            <w:tcBorders>
              <w:right w:val="single" w:sz="8" w:space="0" w:color="auto"/>
            </w:tcBorders>
            <w:shd w:val="clear" w:color="auto" w:fill="auto"/>
            <w:vAlign w:val="bottom"/>
          </w:tcPr>
          <w:p w14:paraId="6294773F" w14:textId="77777777" w:rsidR="00A52778" w:rsidRPr="00460F9E" w:rsidRDefault="00A52778" w:rsidP="00FC3F8E">
            <w:pPr>
              <w:spacing w:line="0" w:lineRule="atLeast"/>
              <w:rPr>
                <w:rFonts w:eastAsia="Times New Roman" w:cs="Times New Roman"/>
                <w:b/>
                <w:sz w:val="10"/>
              </w:rPr>
            </w:pPr>
          </w:p>
        </w:tc>
      </w:tr>
      <w:tr w:rsidR="00A52778" w:rsidRPr="00460F9E" w14:paraId="6EDD2694" w14:textId="77777777" w:rsidTr="00FC3F8E">
        <w:trPr>
          <w:trHeight w:val="275"/>
        </w:trPr>
        <w:tc>
          <w:tcPr>
            <w:tcW w:w="1840" w:type="dxa"/>
            <w:vMerge/>
            <w:tcBorders>
              <w:left w:val="single" w:sz="8" w:space="0" w:color="auto"/>
              <w:right w:val="single" w:sz="8" w:space="0" w:color="auto"/>
            </w:tcBorders>
            <w:shd w:val="clear" w:color="auto" w:fill="auto"/>
            <w:vAlign w:val="bottom"/>
          </w:tcPr>
          <w:p w14:paraId="11C5E767" w14:textId="77777777" w:rsidR="00A52778" w:rsidRPr="00460F9E" w:rsidRDefault="00A52778" w:rsidP="00FC3F8E">
            <w:pPr>
              <w:spacing w:line="0" w:lineRule="atLeast"/>
              <w:rPr>
                <w:rFonts w:eastAsia="Times New Roman" w:cs="Times New Roman"/>
                <w:b/>
                <w:sz w:val="10"/>
              </w:rPr>
            </w:pPr>
          </w:p>
        </w:tc>
        <w:tc>
          <w:tcPr>
            <w:tcW w:w="1640" w:type="dxa"/>
            <w:vMerge/>
            <w:tcBorders>
              <w:right w:val="single" w:sz="8" w:space="0" w:color="auto"/>
            </w:tcBorders>
            <w:shd w:val="clear" w:color="auto" w:fill="auto"/>
            <w:vAlign w:val="bottom"/>
          </w:tcPr>
          <w:p w14:paraId="704B123D" w14:textId="77777777" w:rsidR="00A52778" w:rsidRPr="00460F9E" w:rsidRDefault="00A52778" w:rsidP="00FC3F8E">
            <w:pPr>
              <w:spacing w:line="0" w:lineRule="atLeast"/>
              <w:jc w:val="center"/>
              <w:rPr>
                <w:rFonts w:eastAsia="Times New Roman" w:cs="Times New Roman"/>
                <w:b/>
              </w:rPr>
            </w:pPr>
          </w:p>
        </w:tc>
        <w:tc>
          <w:tcPr>
            <w:tcW w:w="1240" w:type="dxa"/>
            <w:vMerge/>
            <w:tcBorders>
              <w:right w:val="single" w:sz="8" w:space="0" w:color="auto"/>
            </w:tcBorders>
            <w:shd w:val="clear" w:color="auto" w:fill="auto"/>
            <w:vAlign w:val="bottom"/>
          </w:tcPr>
          <w:p w14:paraId="0B07945E" w14:textId="77777777" w:rsidR="00A52778" w:rsidRPr="00460F9E" w:rsidRDefault="00A52778" w:rsidP="00FC3F8E">
            <w:pPr>
              <w:spacing w:line="0" w:lineRule="atLeast"/>
              <w:rPr>
                <w:rFonts w:eastAsia="Times New Roman" w:cs="Times New Roman"/>
                <w:b/>
                <w:sz w:val="10"/>
              </w:rPr>
            </w:pPr>
          </w:p>
        </w:tc>
        <w:tc>
          <w:tcPr>
            <w:tcW w:w="1920" w:type="dxa"/>
            <w:vMerge w:val="restart"/>
            <w:tcBorders>
              <w:right w:val="single" w:sz="8" w:space="0" w:color="auto"/>
            </w:tcBorders>
            <w:shd w:val="clear" w:color="auto" w:fill="auto"/>
            <w:vAlign w:val="bottom"/>
          </w:tcPr>
          <w:p w14:paraId="3CD38455"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1948-2, EN 1948-3</w:t>
            </w:r>
          </w:p>
        </w:tc>
        <w:tc>
          <w:tcPr>
            <w:tcW w:w="1260" w:type="dxa"/>
            <w:vMerge/>
            <w:tcBorders>
              <w:right w:val="single" w:sz="8" w:space="0" w:color="auto"/>
            </w:tcBorders>
            <w:shd w:val="clear" w:color="auto" w:fill="auto"/>
            <w:vAlign w:val="bottom"/>
          </w:tcPr>
          <w:p w14:paraId="198894D6" w14:textId="77777777" w:rsidR="00A52778" w:rsidRPr="00460F9E" w:rsidRDefault="00A52778" w:rsidP="00FC3F8E">
            <w:pPr>
              <w:spacing w:line="232" w:lineRule="exact"/>
              <w:ind w:right="280"/>
              <w:jc w:val="center"/>
              <w:rPr>
                <w:rFonts w:eastAsia="Times New Roman" w:cs="Times New Roman"/>
                <w:b/>
                <w:sz w:val="10"/>
              </w:rPr>
            </w:pPr>
          </w:p>
        </w:tc>
        <w:tc>
          <w:tcPr>
            <w:tcW w:w="1380" w:type="dxa"/>
            <w:vMerge/>
            <w:tcBorders>
              <w:right w:val="single" w:sz="8" w:space="0" w:color="auto"/>
            </w:tcBorders>
            <w:shd w:val="clear" w:color="auto" w:fill="auto"/>
            <w:vAlign w:val="bottom"/>
          </w:tcPr>
          <w:p w14:paraId="27C2950F" w14:textId="77777777" w:rsidR="00A52778" w:rsidRPr="00460F9E" w:rsidRDefault="00A52778" w:rsidP="00FC3F8E">
            <w:pPr>
              <w:spacing w:line="0" w:lineRule="atLeast"/>
              <w:rPr>
                <w:rFonts w:eastAsia="Times New Roman" w:cs="Times New Roman"/>
                <w:b/>
                <w:sz w:val="10"/>
              </w:rPr>
            </w:pPr>
          </w:p>
        </w:tc>
      </w:tr>
      <w:tr w:rsidR="00A52778" w:rsidRPr="00460F9E" w14:paraId="4FA4D17F" w14:textId="77777777" w:rsidTr="00FC3F8E">
        <w:trPr>
          <w:trHeight w:val="113"/>
        </w:trPr>
        <w:tc>
          <w:tcPr>
            <w:tcW w:w="1840" w:type="dxa"/>
            <w:tcBorders>
              <w:left w:val="single" w:sz="8" w:space="0" w:color="auto"/>
              <w:right w:val="single" w:sz="8" w:space="0" w:color="auto"/>
            </w:tcBorders>
            <w:shd w:val="clear" w:color="auto" w:fill="auto"/>
            <w:vAlign w:val="bottom"/>
          </w:tcPr>
          <w:p w14:paraId="351DFC91" w14:textId="77777777" w:rsidR="00A52778" w:rsidRPr="00460F9E" w:rsidRDefault="00A52778" w:rsidP="00FC3F8E">
            <w:pPr>
              <w:spacing w:line="0" w:lineRule="atLeast"/>
              <w:rPr>
                <w:rFonts w:eastAsia="Times New Roman" w:cs="Times New Roman"/>
                <w:b/>
                <w:sz w:val="9"/>
              </w:rPr>
            </w:pPr>
          </w:p>
        </w:tc>
        <w:tc>
          <w:tcPr>
            <w:tcW w:w="1640" w:type="dxa"/>
            <w:vMerge/>
            <w:tcBorders>
              <w:right w:val="single" w:sz="8" w:space="0" w:color="auto"/>
            </w:tcBorders>
            <w:shd w:val="clear" w:color="auto" w:fill="auto"/>
            <w:vAlign w:val="bottom"/>
          </w:tcPr>
          <w:p w14:paraId="5A6F29CE" w14:textId="77777777" w:rsidR="00A52778" w:rsidRPr="00460F9E" w:rsidRDefault="00A52778" w:rsidP="00FC3F8E">
            <w:pPr>
              <w:spacing w:line="0" w:lineRule="atLeast"/>
              <w:rPr>
                <w:rFonts w:eastAsia="Times New Roman" w:cs="Times New Roman"/>
                <w:b/>
                <w:sz w:val="9"/>
              </w:rPr>
            </w:pPr>
          </w:p>
        </w:tc>
        <w:tc>
          <w:tcPr>
            <w:tcW w:w="1240" w:type="dxa"/>
            <w:vMerge/>
            <w:tcBorders>
              <w:right w:val="single" w:sz="8" w:space="0" w:color="auto"/>
            </w:tcBorders>
            <w:shd w:val="clear" w:color="auto" w:fill="auto"/>
            <w:vAlign w:val="bottom"/>
          </w:tcPr>
          <w:p w14:paraId="75A3A996" w14:textId="77777777" w:rsidR="00A52778" w:rsidRPr="00460F9E" w:rsidRDefault="00A52778" w:rsidP="00FC3F8E">
            <w:pPr>
              <w:spacing w:line="0" w:lineRule="atLeast"/>
              <w:rPr>
                <w:rFonts w:eastAsia="Times New Roman" w:cs="Times New Roman"/>
                <w:b/>
                <w:sz w:val="9"/>
              </w:rPr>
            </w:pPr>
          </w:p>
        </w:tc>
        <w:tc>
          <w:tcPr>
            <w:tcW w:w="1920" w:type="dxa"/>
            <w:vMerge/>
            <w:tcBorders>
              <w:right w:val="single" w:sz="8" w:space="0" w:color="auto"/>
            </w:tcBorders>
            <w:shd w:val="clear" w:color="auto" w:fill="auto"/>
            <w:vAlign w:val="bottom"/>
          </w:tcPr>
          <w:p w14:paraId="22ADD2F5" w14:textId="77777777" w:rsidR="00A52778" w:rsidRPr="00460F9E" w:rsidRDefault="00A52778" w:rsidP="00FC3F8E">
            <w:pPr>
              <w:spacing w:line="0" w:lineRule="atLeast"/>
              <w:rPr>
                <w:rFonts w:eastAsia="Times New Roman" w:cs="Times New Roman"/>
                <w:b/>
                <w:sz w:val="9"/>
              </w:rPr>
            </w:pPr>
          </w:p>
        </w:tc>
        <w:tc>
          <w:tcPr>
            <w:tcW w:w="1260" w:type="dxa"/>
            <w:vMerge/>
            <w:tcBorders>
              <w:right w:val="single" w:sz="8" w:space="0" w:color="auto"/>
            </w:tcBorders>
            <w:shd w:val="clear" w:color="auto" w:fill="auto"/>
            <w:vAlign w:val="bottom"/>
          </w:tcPr>
          <w:p w14:paraId="0182D766" w14:textId="77777777" w:rsidR="00A52778" w:rsidRPr="00460F9E" w:rsidRDefault="00A52778" w:rsidP="00FC3F8E">
            <w:pPr>
              <w:spacing w:line="232" w:lineRule="exact"/>
              <w:ind w:right="280"/>
              <w:jc w:val="center"/>
              <w:rPr>
                <w:rFonts w:eastAsia="Times New Roman" w:cs="Times New Roman"/>
                <w:b/>
              </w:rPr>
            </w:pPr>
          </w:p>
        </w:tc>
        <w:tc>
          <w:tcPr>
            <w:tcW w:w="1380" w:type="dxa"/>
            <w:tcBorders>
              <w:right w:val="single" w:sz="8" w:space="0" w:color="auto"/>
            </w:tcBorders>
            <w:shd w:val="clear" w:color="auto" w:fill="auto"/>
            <w:vAlign w:val="bottom"/>
          </w:tcPr>
          <w:p w14:paraId="138E2818" w14:textId="77777777" w:rsidR="00A52778" w:rsidRPr="00460F9E" w:rsidRDefault="00A52778" w:rsidP="00FC3F8E">
            <w:pPr>
              <w:spacing w:line="0" w:lineRule="atLeast"/>
              <w:rPr>
                <w:rFonts w:eastAsia="Times New Roman" w:cs="Times New Roman"/>
                <w:b/>
                <w:sz w:val="9"/>
              </w:rPr>
            </w:pPr>
          </w:p>
        </w:tc>
      </w:tr>
      <w:tr w:rsidR="00A52778" w:rsidRPr="00460F9E" w14:paraId="6E16B78D" w14:textId="77777777" w:rsidTr="00FC3F8E">
        <w:trPr>
          <w:trHeight w:val="119"/>
        </w:trPr>
        <w:tc>
          <w:tcPr>
            <w:tcW w:w="1840" w:type="dxa"/>
            <w:tcBorders>
              <w:left w:val="single" w:sz="8" w:space="0" w:color="auto"/>
              <w:bottom w:val="single" w:sz="8" w:space="0" w:color="auto"/>
              <w:right w:val="single" w:sz="8" w:space="0" w:color="auto"/>
            </w:tcBorders>
            <w:shd w:val="clear" w:color="auto" w:fill="auto"/>
            <w:vAlign w:val="bottom"/>
          </w:tcPr>
          <w:p w14:paraId="0105E3FF" w14:textId="77777777" w:rsidR="00A52778" w:rsidRPr="00460F9E" w:rsidRDefault="00A52778" w:rsidP="00FC3F8E">
            <w:pPr>
              <w:spacing w:line="0" w:lineRule="atLeast"/>
              <w:rPr>
                <w:rFonts w:eastAsia="Times New Roman" w:cs="Times New Roman"/>
                <w:b/>
                <w:sz w:val="10"/>
              </w:rPr>
            </w:pPr>
          </w:p>
        </w:tc>
        <w:tc>
          <w:tcPr>
            <w:tcW w:w="1640" w:type="dxa"/>
            <w:vMerge/>
            <w:tcBorders>
              <w:bottom w:val="single" w:sz="8" w:space="0" w:color="auto"/>
              <w:right w:val="single" w:sz="8" w:space="0" w:color="auto"/>
            </w:tcBorders>
            <w:shd w:val="clear" w:color="auto" w:fill="auto"/>
            <w:vAlign w:val="bottom"/>
          </w:tcPr>
          <w:p w14:paraId="5A086A2D" w14:textId="77777777" w:rsidR="00A52778" w:rsidRPr="00460F9E" w:rsidRDefault="00A52778" w:rsidP="00FC3F8E">
            <w:pPr>
              <w:spacing w:line="0" w:lineRule="atLeast"/>
              <w:rPr>
                <w:rFonts w:eastAsia="Times New Roman" w:cs="Times New Roman"/>
                <w:b/>
                <w:sz w:val="10"/>
              </w:rPr>
            </w:pPr>
          </w:p>
        </w:tc>
        <w:tc>
          <w:tcPr>
            <w:tcW w:w="1240" w:type="dxa"/>
            <w:vMerge/>
            <w:tcBorders>
              <w:bottom w:val="single" w:sz="8" w:space="0" w:color="auto"/>
              <w:right w:val="single" w:sz="8" w:space="0" w:color="auto"/>
            </w:tcBorders>
            <w:shd w:val="clear" w:color="auto" w:fill="auto"/>
            <w:vAlign w:val="bottom"/>
          </w:tcPr>
          <w:p w14:paraId="0FDE3790" w14:textId="77777777" w:rsidR="00A52778" w:rsidRPr="00460F9E" w:rsidRDefault="00A52778" w:rsidP="00FC3F8E">
            <w:pPr>
              <w:spacing w:line="0" w:lineRule="atLeast"/>
              <w:rPr>
                <w:rFonts w:eastAsia="Times New Roman" w:cs="Times New Roman"/>
                <w:b/>
                <w:sz w:val="10"/>
              </w:rPr>
            </w:pPr>
          </w:p>
        </w:tc>
        <w:tc>
          <w:tcPr>
            <w:tcW w:w="1920" w:type="dxa"/>
            <w:tcBorders>
              <w:bottom w:val="single" w:sz="8" w:space="0" w:color="auto"/>
              <w:right w:val="single" w:sz="8" w:space="0" w:color="auto"/>
            </w:tcBorders>
            <w:shd w:val="clear" w:color="auto" w:fill="auto"/>
            <w:vAlign w:val="bottom"/>
          </w:tcPr>
          <w:p w14:paraId="5B064DE0" w14:textId="77777777" w:rsidR="00A52778" w:rsidRPr="00460F9E" w:rsidRDefault="00A52778" w:rsidP="00FC3F8E">
            <w:pPr>
              <w:spacing w:line="0" w:lineRule="atLeast"/>
              <w:rPr>
                <w:rFonts w:eastAsia="Times New Roman" w:cs="Times New Roman"/>
                <w:b/>
                <w:sz w:val="10"/>
              </w:rPr>
            </w:pPr>
          </w:p>
        </w:tc>
        <w:tc>
          <w:tcPr>
            <w:tcW w:w="1260" w:type="dxa"/>
            <w:vMerge/>
            <w:tcBorders>
              <w:bottom w:val="single" w:sz="8" w:space="0" w:color="auto"/>
              <w:right w:val="single" w:sz="8" w:space="0" w:color="auto"/>
            </w:tcBorders>
            <w:shd w:val="clear" w:color="auto" w:fill="auto"/>
            <w:vAlign w:val="bottom"/>
          </w:tcPr>
          <w:p w14:paraId="1BE67DEB" w14:textId="77777777" w:rsidR="00A52778" w:rsidRPr="00460F9E" w:rsidRDefault="00A52778" w:rsidP="00FC3F8E">
            <w:pPr>
              <w:spacing w:line="0" w:lineRule="atLeast"/>
              <w:rPr>
                <w:rFonts w:eastAsia="Times New Roman" w:cs="Times New Roman"/>
                <w:b/>
                <w:sz w:val="10"/>
              </w:rPr>
            </w:pPr>
          </w:p>
        </w:tc>
        <w:tc>
          <w:tcPr>
            <w:tcW w:w="1380" w:type="dxa"/>
            <w:tcBorders>
              <w:bottom w:val="single" w:sz="8" w:space="0" w:color="auto"/>
              <w:right w:val="single" w:sz="8" w:space="0" w:color="auto"/>
            </w:tcBorders>
            <w:shd w:val="clear" w:color="auto" w:fill="auto"/>
            <w:vAlign w:val="bottom"/>
          </w:tcPr>
          <w:p w14:paraId="7479574A" w14:textId="77777777" w:rsidR="00A52778" w:rsidRPr="00460F9E" w:rsidRDefault="00A52778" w:rsidP="00FC3F8E">
            <w:pPr>
              <w:spacing w:line="0" w:lineRule="atLeast"/>
              <w:rPr>
                <w:rFonts w:eastAsia="Times New Roman" w:cs="Times New Roman"/>
                <w:b/>
                <w:sz w:val="10"/>
              </w:rPr>
            </w:pPr>
          </w:p>
        </w:tc>
      </w:tr>
      <w:tr w:rsidR="00A52778" w:rsidRPr="00460F9E" w14:paraId="06CDD0A8" w14:textId="77777777" w:rsidTr="00FC3F8E">
        <w:trPr>
          <w:trHeight w:val="214"/>
        </w:trPr>
        <w:tc>
          <w:tcPr>
            <w:tcW w:w="1840" w:type="dxa"/>
            <w:tcBorders>
              <w:left w:val="single" w:sz="8" w:space="0" w:color="auto"/>
              <w:right w:val="single" w:sz="8" w:space="0" w:color="auto"/>
            </w:tcBorders>
            <w:shd w:val="clear" w:color="auto" w:fill="auto"/>
            <w:vAlign w:val="bottom"/>
          </w:tcPr>
          <w:p w14:paraId="788C9E38" w14:textId="77777777" w:rsidR="00A52778" w:rsidRPr="00460F9E" w:rsidRDefault="00A52778" w:rsidP="00FC3F8E">
            <w:pPr>
              <w:spacing w:line="0" w:lineRule="atLeast"/>
              <w:rPr>
                <w:rFonts w:eastAsia="Times New Roman" w:cs="Times New Roman"/>
                <w:b/>
                <w:sz w:val="18"/>
              </w:rPr>
            </w:pPr>
          </w:p>
        </w:tc>
        <w:tc>
          <w:tcPr>
            <w:tcW w:w="1640" w:type="dxa"/>
            <w:vMerge w:val="restart"/>
            <w:tcBorders>
              <w:right w:val="single" w:sz="8" w:space="0" w:color="auto"/>
            </w:tcBorders>
            <w:shd w:val="clear" w:color="auto" w:fill="auto"/>
            <w:vAlign w:val="center"/>
          </w:tcPr>
          <w:p w14:paraId="459ED03E"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w w:val="93"/>
              </w:rPr>
              <w:t xml:space="preserve">Tüm              </w:t>
            </w:r>
            <w:r w:rsidRPr="00460F9E">
              <w:rPr>
                <w:rFonts w:eastAsia="Times New Roman" w:cs="Times New Roman"/>
                <w:w w:val="99"/>
              </w:rPr>
              <w:t>prosesler</w:t>
            </w:r>
            <w:r w:rsidRPr="00460F9E">
              <w:rPr>
                <w:rFonts w:eastAsia="Times New Roman" w:cs="Times New Roman"/>
                <w:w w:val="93"/>
              </w:rPr>
              <w:t xml:space="preserve"> /kaynaklar</w:t>
            </w:r>
          </w:p>
        </w:tc>
        <w:tc>
          <w:tcPr>
            <w:tcW w:w="1240" w:type="dxa"/>
            <w:vMerge w:val="restart"/>
            <w:tcBorders>
              <w:right w:val="single" w:sz="8" w:space="0" w:color="auto"/>
            </w:tcBorders>
            <w:shd w:val="clear" w:color="auto" w:fill="auto"/>
            <w:vAlign w:val="center"/>
          </w:tcPr>
          <w:p w14:paraId="78A7A4C6"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9"/>
              </w:rPr>
              <w:t>Herhangi bir baca</w:t>
            </w:r>
          </w:p>
        </w:tc>
        <w:tc>
          <w:tcPr>
            <w:tcW w:w="1920" w:type="dxa"/>
            <w:tcBorders>
              <w:right w:val="single" w:sz="8" w:space="0" w:color="auto"/>
            </w:tcBorders>
            <w:shd w:val="clear" w:color="auto" w:fill="auto"/>
            <w:vAlign w:val="bottom"/>
          </w:tcPr>
          <w:p w14:paraId="5269405B" w14:textId="77777777" w:rsidR="00A52778" w:rsidRPr="00460F9E" w:rsidRDefault="00A52778" w:rsidP="00FC3F8E">
            <w:pPr>
              <w:spacing w:line="0" w:lineRule="atLeast"/>
              <w:rPr>
                <w:rFonts w:eastAsia="Times New Roman" w:cs="Times New Roman"/>
                <w:b/>
                <w:sz w:val="18"/>
              </w:rPr>
            </w:pPr>
          </w:p>
        </w:tc>
        <w:tc>
          <w:tcPr>
            <w:tcW w:w="1260" w:type="dxa"/>
            <w:vMerge w:val="restart"/>
            <w:tcBorders>
              <w:right w:val="single" w:sz="8" w:space="0" w:color="auto"/>
            </w:tcBorders>
            <w:shd w:val="clear" w:color="auto" w:fill="auto"/>
            <w:vAlign w:val="center"/>
          </w:tcPr>
          <w:p w14:paraId="2AD6C9C9" w14:textId="77777777" w:rsidR="00A52778" w:rsidRPr="00460F9E" w:rsidRDefault="00A52778" w:rsidP="00FC3F8E">
            <w:pPr>
              <w:spacing w:line="233" w:lineRule="exact"/>
              <w:jc w:val="center"/>
              <w:rPr>
                <w:rFonts w:eastAsia="Times New Roman" w:cs="Times New Roman"/>
                <w:b/>
              </w:rPr>
            </w:pPr>
            <w:r w:rsidRPr="00460F9E">
              <w:rPr>
                <w:rFonts w:eastAsia="Times New Roman" w:cs="Times New Roman"/>
              </w:rPr>
              <w:t xml:space="preserve">Her yıl                        1 kere              </w:t>
            </w:r>
            <w:r w:rsidRPr="00460F9E">
              <w:rPr>
                <w:rFonts w:eastAsia="Times New Roman" w:cs="Times New Roman"/>
                <w:w w:val="90"/>
              </w:rPr>
              <w:t>(</w:t>
            </w:r>
            <w:r w:rsidRPr="00460F9E">
              <w:rPr>
                <w:rFonts w:eastAsia="Times New Roman" w:cs="Times New Roman"/>
                <w:w w:val="90"/>
                <w:sz w:val="25"/>
                <w:vertAlign w:val="superscript"/>
              </w:rPr>
              <w:t>3</w:t>
            </w:r>
            <w:r w:rsidRPr="00460F9E">
              <w:rPr>
                <w:rFonts w:eastAsia="Times New Roman" w:cs="Times New Roman"/>
                <w:w w:val="90"/>
              </w:rPr>
              <w:t>) (</w:t>
            </w:r>
            <w:r w:rsidRPr="00460F9E">
              <w:rPr>
                <w:rFonts w:eastAsia="Times New Roman" w:cs="Times New Roman"/>
                <w:w w:val="90"/>
                <w:sz w:val="25"/>
                <w:vertAlign w:val="superscript"/>
              </w:rPr>
              <w:t>7</w:t>
            </w:r>
            <w:r w:rsidRPr="00460F9E">
              <w:rPr>
                <w:rFonts w:eastAsia="Times New Roman" w:cs="Times New Roman"/>
                <w:w w:val="90"/>
              </w:rPr>
              <w:t>)</w:t>
            </w:r>
          </w:p>
        </w:tc>
        <w:tc>
          <w:tcPr>
            <w:tcW w:w="1380" w:type="dxa"/>
            <w:tcBorders>
              <w:right w:val="single" w:sz="8" w:space="0" w:color="auto"/>
            </w:tcBorders>
            <w:shd w:val="clear" w:color="auto" w:fill="auto"/>
            <w:vAlign w:val="bottom"/>
          </w:tcPr>
          <w:p w14:paraId="0D07FEFC" w14:textId="77777777" w:rsidR="00A52778" w:rsidRPr="00460F9E" w:rsidRDefault="00A52778" w:rsidP="00FC3F8E">
            <w:pPr>
              <w:spacing w:line="0" w:lineRule="atLeast"/>
              <w:rPr>
                <w:rFonts w:eastAsia="Times New Roman" w:cs="Times New Roman"/>
                <w:b/>
                <w:sz w:val="18"/>
              </w:rPr>
            </w:pPr>
          </w:p>
        </w:tc>
      </w:tr>
      <w:tr w:rsidR="00A52778" w:rsidRPr="00460F9E" w14:paraId="313082C1" w14:textId="77777777" w:rsidTr="00FC3F8E">
        <w:trPr>
          <w:trHeight w:val="256"/>
        </w:trPr>
        <w:tc>
          <w:tcPr>
            <w:tcW w:w="1840" w:type="dxa"/>
            <w:tcBorders>
              <w:left w:val="single" w:sz="8" w:space="0" w:color="auto"/>
              <w:bottom w:val="nil"/>
              <w:right w:val="single" w:sz="8" w:space="0" w:color="auto"/>
            </w:tcBorders>
            <w:shd w:val="clear" w:color="auto" w:fill="auto"/>
            <w:vAlign w:val="bottom"/>
          </w:tcPr>
          <w:p w14:paraId="20CA7EF8" w14:textId="77777777" w:rsidR="00A52778" w:rsidRPr="00460F9E" w:rsidRDefault="00A52778" w:rsidP="00FC3F8E">
            <w:pPr>
              <w:spacing w:line="0" w:lineRule="atLeast"/>
              <w:jc w:val="center"/>
              <w:rPr>
                <w:rFonts w:eastAsia="Times New Roman" w:cs="Times New Roman"/>
                <w:b/>
                <w:sz w:val="12"/>
              </w:rPr>
            </w:pPr>
            <w:r w:rsidRPr="00460F9E">
              <w:rPr>
                <w:rFonts w:eastAsia="Times New Roman" w:cs="Times New Roman"/>
              </w:rPr>
              <w:t>F</w:t>
            </w:r>
          </w:p>
        </w:tc>
        <w:tc>
          <w:tcPr>
            <w:tcW w:w="1640" w:type="dxa"/>
            <w:vMerge/>
            <w:tcBorders>
              <w:bottom w:val="nil"/>
              <w:right w:val="single" w:sz="8" w:space="0" w:color="auto"/>
            </w:tcBorders>
            <w:shd w:val="clear" w:color="auto" w:fill="auto"/>
            <w:vAlign w:val="bottom"/>
          </w:tcPr>
          <w:p w14:paraId="1375C3F1" w14:textId="77777777" w:rsidR="00A52778" w:rsidRPr="00460F9E" w:rsidRDefault="00A52778" w:rsidP="00FC3F8E">
            <w:pPr>
              <w:spacing w:line="0" w:lineRule="atLeast"/>
              <w:jc w:val="center"/>
              <w:rPr>
                <w:rFonts w:eastAsia="Times New Roman" w:cs="Times New Roman"/>
                <w:b/>
                <w:sz w:val="10"/>
              </w:rPr>
            </w:pPr>
          </w:p>
        </w:tc>
        <w:tc>
          <w:tcPr>
            <w:tcW w:w="1240" w:type="dxa"/>
            <w:vMerge/>
            <w:tcBorders>
              <w:bottom w:val="nil"/>
              <w:right w:val="single" w:sz="8" w:space="0" w:color="auto"/>
            </w:tcBorders>
            <w:shd w:val="clear" w:color="auto" w:fill="auto"/>
            <w:vAlign w:val="bottom"/>
          </w:tcPr>
          <w:p w14:paraId="27EAB1D8" w14:textId="77777777" w:rsidR="00A52778" w:rsidRPr="00460F9E" w:rsidRDefault="00A52778" w:rsidP="00FC3F8E">
            <w:pPr>
              <w:spacing w:line="0" w:lineRule="atLeast"/>
              <w:jc w:val="center"/>
              <w:rPr>
                <w:rFonts w:eastAsia="Times New Roman" w:cs="Times New Roman"/>
                <w:b/>
                <w:w w:val="99"/>
              </w:rPr>
            </w:pPr>
          </w:p>
        </w:tc>
        <w:tc>
          <w:tcPr>
            <w:tcW w:w="1920" w:type="dxa"/>
            <w:tcBorders>
              <w:bottom w:val="nil"/>
              <w:right w:val="single" w:sz="8" w:space="0" w:color="auto"/>
            </w:tcBorders>
            <w:shd w:val="clear" w:color="auto" w:fill="auto"/>
            <w:vAlign w:val="bottom"/>
          </w:tcPr>
          <w:p w14:paraId="71B57545"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EN ISO 23210</w:t>
            </w:r>
          </w:p>
        </w:tc>
        <w:tc>
          <w:tcPr>
            <w:tcW w:w="1260" w:type="dxa"/>
            <w:vMerge/>
            <w:tcBorders>
              <w:right w:val="single" w:sz="8" w:space="0" w:color="auto"/>
            </w:tcBorders>
            <w:shd w:val="clear" w:color="auto" w:fill="auto"/>
            <w:vAlign w:val="center"/>
          </w:tcPr>
          <w:p w14:paraId="5960D50C" w14:textId="77777777" w:rsidR="00A52778" w:rsidRPr="00460F9E" w:rsidRDefault="00A52778" w:rsidP="00FC3F8E">
            <w:pPr>
              <w:spacing w:line="233" w:lineRule="exact"/>
              <w:jc w:val="center"/>
              <w:rPr>
                <w:rFonts w:eastAsia="Times New Roman" w:cs="Times New Roman"/>
                <w:b/>
                <w:w w:val="98"/>
              </w:rPr>
            </w:pPr>
          </w:p>
        </w:tc>
        <w:tc>
          <w:tcPr>
            <w:tcW w:w="1380" w:type="dxa"/>
            <w:tcBorders>
              <w:bottom w:val="nil"/>
              <w:right w:val="single" w:sz="8" w:space="0" w:color="auto"/>
            </w:tcBorders>
            <w:shd w:val="clear" w:color="auto" w:fill="auto"/>
            <w:vAlign w:val="bottom"/>
          </w:tcPr>
          <w:p w14:paraId="72DA064C" w14:textId="77777777" w:rsidR="00A52778" w:rsidRPr="00460F9E" w:rsidRDefault="002A1746" w:rsidP="00FC3F8E">
            <w:pPr>
              <w:spacing w:line="0" w:lineRule="atLeast"/>
              <w:jc w:val="center"/>
              <w:rPr>
                <w:rFonts w:eastAsia="Times New Roman" w:cs="Times New Roman"/>
                <w:b/>
              </w:rPr>
            </w:pPr>
            <w:hyperlink w:anchor="page305" w:history="1">
              <w:r w:rsidR="00A52778" w:rsidRPr="00460F9E">
                <w:rPr>
                  <w:rFonts w:eastAsia="Times New Roman" w:cs="Times New Roman"/>
                </w:rPr>
                <w:t>MET 14</w:t>
              </w:r>
            </w:hyperlink>
          </w:p>
        </w:tc>
      </w:tr>
      <w:tr w:rsidR="00A52778" w:rsidRPr="00460F9E" w14:paraId="1EC60E3C" w14:textId="77777777" w:rsidTr="00FC3F8E">
        <w:trPr>
          <w:trHeight w:val="112"/>
        </w:trPr>
        <w:tc>
          <w:tcPr>
            <w:tcW w:w="1840" w:type="dxa"/>
            <w:tcBorders>
              <w:left w:val="single" w:sz="8" w:space="0" w:color="auto"/>
              <w:right w:val="single" w:sz="8" w:space="0" w:color="auto"/>
            </w:tcBorders>
            <w:shd w:val="clear" w:color="auto" w:fill="auto"/>
            <w:vAlign w:val="bottom"/>
          </w:tcPr>
          <w:p w14:paraId="2D14E461" w14:textId="77777777" w:rsidR="00A52778" w:rsidRPr="00460F9E" w:rsidRDefault="00A52778" w:rsidP="00FC3F8E">
            <w:pPr>
              <w:spacing w:line="0" w:lineRule="atLeast"/>
              <w:rPr>
                <w:rFonts w:eastAsia="Times New Roman" w:cs="Times New Roman"/>
                <w:b/>
                <w:sz w:val="9"/>
              </w:rPr>
            </w:pPr>
          </w:p>
        </w:tc>
        <w:tc>
          <w:tcPr>
            <w:tcW w:w="1640" w:type="dxa"/>
            <w:vMerge/>
            <w:tcBorders>
              <w:right w:val="single" w:sz="8" w:space="0" w:color="auto"/>
            </w:tcBorders>
            <w:shd w:val="clear" w:color="auto" w:fill="auto"/>
            <w:vAlign w:val="bottom"/>
          </w:tcPr>
          <w:p w14:paraId="158A34E8" w14:textId="77777777" w:rsidR="00A52778" w:rsidRPr="00460F9E" w:rsidRDefault="00A52778" w:rsidP="00FC3F8E">
            <w:pPr>
              <w:spacing w:line="0" w:lineRule="atLeast"/>
              <w:rPr>
                <w:rFonts w:eastAsia="Times New Roman" w:cs="Times New Roman"/>
                <w:b/>
                <w:sz w:val="9"/>
              </w:rPr>
            </w:pPr>
          </w:p>
        </w:tc>
        <w:tc>
          <w:tcPr>
            <w:tcW w:w="1240" w:type="dxa"/>
            <w:vMerge/>
            <w:tcBorders>
              <w:right w:val="single" w:sz="8" w:space="0" w:color="auto"/>
            </w:tcBorders>
            <w:shd w:val="clear" w:color="auto" w:fill="auto"/>
            <w:vAlign w:val="bottom"/>
          </w:tcPr>
          <w:p w14:paraId="721C6FAF" w14:textId="77777777" w:rsidR="00A52778" w:rsidRPr="00460F9E" w:rsidRDefault="00A52778" w:rsidP="00FC3F8E">
            <w:pPr>
              <w:spacing w:line="0" w:lineRule="atLeast"/>
              <w:rPr>
                <w:rFonts w:eastAsia="Times New Roman" w:cs="Times New Roman"/>
                <w:b/>
                <w:sz w:val="9"/>
              </w:rPr>
            </w:pPr>
          </w:p>
        </w:tc>
        <w:tc>
          <w:tcPr>
            <w:tcW w:w="1920" w:type="dxa"/>
            <w:tcBorders>
              <w:right w:val="single" w:sz="8" w:space="0" w:color="auto"/>
            </w:tcBorders>
            <w:shd w:val="clear" w:color="auto" w:fill="auto"/>
            <w:vAlign w:val="bottom"/>
          </w:tcPr>
          <w:p w14:paraId="47F590BF" w14:textId="77777777" w:rsidR="00A52778" w:rsidRPr="00460F9E" w:rsidRDefault="00A52778" w:rsidP="00FC3F8E">
            <w:pPr>
              <w:spacing w:line="0" w:lineRule="atLeast"/>
              <w:rPr>
                <w:rFonts w:eastAsia="Times New Roman" w:cs="Times New Roman"/>
                <w:b/>
                <w:sz w:val="9"/>
              </w:rPr>
            </w:pPr>
          </w:p>
        </w:tc>
        <w:tc>
          <w:tcPr>
            <w:tcW w:w="1260" w:type="dxa"/>
            <w:vMerge/>
            <w:tcBorders>
              <w:right w:val="single" w:sz="8" w:space="0" w:color="auto"/>
            </w:tcBorders>
            <w:shd w:val="clear" w:color="auto" w:fill="auto"/>
            <w:vAlign w:val="center"/>
          </w:tcPr>
          <w:p w14:paraId="32BED91D" w14:textId="77777777" w:rsidR="00A52778" w:rsidRPr="00460F9E" w:rsidRDefault="00A52778" w:rsidP="00FC3F8E">
            <w:pPr>
              <w:spacing w:line="233" w:lineRule="exact"/>
              <w:jc w:val="center"/>
              <w:rPr>
                <w:rFonts w:eastAsia="Times New Roman" w:cs="Times New Roman"/>
                <w:b/>
                <w:w w:val="90"/>
              </w:rPr>
            </w:pPr>
          </w:p>
        </w:tc>
        <w:tc>
          <w:tcPr>
            <w:tcW w:w="1380" w:type="dxa"/>
            <w:tcBorders>
              <w:right w:val="single" w:sz="8" w:space="0" w:color="auto"/>
            </w:tcBorders>
            <w:shd w:val="clear" w:color="auto" w:fill="auto"/>
            <w:vAlign w:val="bottom"/>
          </w:tcPr>
          <w:p w14:paraId="5E9BEC53" w14:textId="77777777" w:rsidR="00A52778" w:rsidRPr="00460F9E" w:rsidRDefault="00A52778" w:rsidP="00FC3F8E">
            <w:pPr>
              <w:spacing w:line="0" w:lineRule="atLeast"/>
              <w:rPr>
                <w:rFonts w:eastAsia="Times New Roman" w:cs="Times New Roman"/>
                <w:b/>
                <w:sz w:val="9"/>
              </w:rPr>
            </w:pPr>
          </w:p>
        </w:tc>
      </w:tr>
      <w:tr w:rsidR="00A52778" w:rsidRPr="00460F9E" w14:paraId="2835575E" w14:textId="77777777" w:rsidTr="00FC3F8E">
        <w:trPr>
          <w:trHeight w:val="121"/>
        </w:trPr>
        <w:tc>
          <w:tcPr>
            <w:tcW w:w="1840" w:type="dxa"/>
            <w:tcBorders>
              <w:left w:val="single" w:sz="8" w:space="0" w:color="auto"/>
              <w:bottom w:val="single" w:sz="8" w:space="0" w:color="auto"/>
              <w:right w:val="single" w:sz="8" w:space="0" w:color="auto"/>
            </w:tcBorders>
            <w:shd w:val="clear" w:color="auto" w:fill="auto"/>
            <w:vAlign w:val="bottom"/>
          </w:tcPr>
          <w:p w14:paraId="2F1CE4B9" w14:textId="77777777" w:rsidR="00A52778" w:rsidRPr="00460F9E" w:rsidRDefault="00A52778" w:rsidP="00FC3F8E">
            <w:pPr>
              <w:spacing w:line="0" w:lineRule="atLeast"/>
              <w:rPr>
                <w:rFonts w:eastAsia="Times New Roman" w:cs="Times New Roman"/>
                <w:b/>
                <w:sz w:val="10"/>
              </w:rPr>
            </w:pPr>
          </w:p>
        </w:tc>
        <w:tc>
          <w:tcPr>
            <w:tcW w:w="1640" w:type="dxa"/>
            <w:vMerge/>
            <w:tcBorders>
              <w:bottom w:val="single" w:sz="8" w:space="0" w:color="auto"/>
              <w:right w:val="single" w:sz="8" w:space="0" w:color="auto"/>
            </w:tcBorders>
            <w:shd w:val="clear" w:color="auto" w:fill="auto"/>
            <w:vAlign w:val="bottom"/>
          </w:tcPr>
          <w:p w14:paraId="027F4748" w14:textId="77777777" w:rsidR="00A52778" w:rsidRPr="00460F9E" w:rsidRDefault="00A52778" w:rsidP="00FC3F8E">
            <w:pPr>
              <w:spacing w:line="0" w:lineRule="atLeast"/>
              <w:rPr>
                <w:rFonts w:eastAsia="Times New Roman" w:cs="Times New Roman"/>
                <w:b/>
                <w:sz w:val="10"/>
              </w:rPr>
            </w:pPr>
          </w:p>
        </w:tc>
        <w:tc>
          <w:tcPr>
            <w:tcW w:w="1240" w:type="dxa"/>
            <w:vMerge/>
            <w:tcBorders>
              <w:bottom w:val="single" w:sz="8" w:space="0" w:color="auto"/>
              <w:right w:val="single" w:sz="8" w:space="0" w:color="auto"/>
            </w:tcBorders>
            <w:shd w:val="clear" w:color="auto" w:fill="auto"/>
            <w:vAlign w:val="bottom"/>
          </w:tcPr>
          <w:p w14:paraId="67DE3FDD" w14:textId="77777777" w:rsidR="00A52778" w:rsidRPr="00460F9E" w:rsidRDefault="00A52778" w:rsidP="00FC3F8E">
            <w:pPr>
              <w:spacing w:line="0" w:lineRule="atLeast"/>
              <w:rPr>
                <w:rFonts w:eastAsia="Times New Roman" w:cs="Times New Roman"/>
                <w:b/>
                <w:sz w:val="10"/>
              </w:rPr>
            </w:pPr>
          </w:p>
        </w:tc>
        <w:tc>
          <w:tcPr>
            <w:tcW w:w="1920" w:type="dxa"/>
            <w:tcBorders>
              <w:bottom w:val="single" w:sz="8" w:space="0" w:color="auto"/>
              <w:right w:val="single" w:sz="8" w:space="0" w:color="auto"/>
            </w:tcBorders>
            <w:shd w:val="clear" w:color="auto" w:fill="auto"/>
            <w:vAlign w:val="bottom"/>
          </w:tcPr>
          <w:p w14:paraId="5444EFA8" w14:textId="77777777" w:rsidR="00A52778" w:rsidRPr="00460F9E" w:rsidRDefault="00A52778" w:rsidP="00FC3F8E">
            <w:pPr>
              <w:spacing w:line="0" w:lineRule="atLeast"/>
              <w:rPr>
                <w:rFonts w:eastAsia="Times New Roman" w:cs="Times New Roman"/>
                <w:b/>
                <w:sz w:val="10"/>
              </w:rPr>
            </w:pPr>
          </w:p>
        </w:tc>
        <w:tc>
          <w:tcPr>
            <w:tcW w:w="1260" w:type="dxa"/>
            <w:vMerge/>
            <w:tcBorders>
              <w:bottom w:val="single" w:sz="8" w:space="0" w:color="auto"/>
              <w:right w:val="single" w:sz="8" w:space="0" w:color="auto"/>
            </w:tcBorders>
            <w:shd w:val="clear" w:color="auto" w:fill="auto"/>
            <w:vAlign w:val="bottom"/>
          </w:tcPr>
          <w:p w14:paraId="73AADFDD" w14:textId="77777777" w:rsidR="00A52778" w:rsidRPr="00460F9E" w:rsidRDefault="00A52778" w:rsidP="00FC3F8E">
            <w:pPr>
              <w:spacing w:line="0" w:lineRule="atLeast"/>
              <w:rPr>
                <w:rFonts w:eastAsia="Times New Roman" w:cs="Times New Roman"/>
                <w:b/>
                <w:sz w:val="10"/>
              </w:rPr>
            </w:pPr>
          </w:p>
        </w:tc>
        <w:tc>
          <w:tcPr>
            <w:tcW w:w="1380" w:type="dxa"/>
            <w:tcBorders>
              <w:bottom w:val="single" w:sz="8" w:space="0" w:color="auto"/>
              <w:right w:val="single" w:sz="8" w:space="0" w:color="auto"/>
            </w:tcBorders>
            <w:shd w:val="clear" w:color="auto" w:fill="auto"/>
            <w:vAlign w:val="bottom"/>
          </w:tcPr>
          <w:p w14:paraId="7D5B0756" w14:textId="77777777" w:rsidR="00A52778" w:rsidRPr="00460F9E" w:rsidRDefault="00A52778" w:rsidP="00FC3F8E">
            <w:pPr>
              <w:spacing w:line="0" w:lineRule="atLeast"/>
              <w:rPr>
                <w:rFonts w:eastAsia="Times New Roman" w:cs="Times New Roman"/>
                <w:b/>
                <w:sz w:val="10"/>
              </w:rPr>
            </w:pPr>
          </w:p>
        </w:tc>
      </w:tr>
      <w:tr w:rsidR="00A52778" w:rsidRPr="00460F9E" w14:paraId="0C6EEE13" w14:textId="77777777" w:rsidTr="00FC3F8E">
        <w:trPr>
          <w:trHeight w:val="214"/>
        </w:trPr>
        <w:tc>
          <w:tcPr>
            <w:tcW w:w="1840" w:type="dxa"/>
            <w:tcBorders>
              <w:left w:val="single" w:sz="8" w:space="0" w:color="auto"/>
              <w:right w:val="single" w:sz="8" w:space="0" w:color="auto"/>
            </w:tcBorders>
            <w:shd w:val="clear" w:color="auto" w:fill="auto"/>
            <w:vAlign w:val="bottom"/>
          </w:tcPr>
          <w:p w14:paraId="216584FF" w14:textId="77777777" w:rsidR="00A52778" w:rsidRPr="00460F9E" w:rsidRDefault="00A52778" w:rsidP="00FC3F8E">
            <w:pPr>
              <w:spacing w:line="0" w:lineRule="atLeast"/>
              <w:rPr>
                <w:rFonts w:eastAsia="Times New Roman" w:cs="Times New Roman"/>
                <w:b/>
                <w:sz w:val="18"/>
              </w:rPr>
            </w:pPr>
          </w:p>
        </w:tc>
        <w:tc>
          <w:tcPr>
            <w:tcW w:w="1640" w:type="dxa"/>
            <w:vMerge w:val="restart"/>
            <w:tcBorders>
              <w:right w:val="single" w:sz="8" w:space="0" w:color="auto"/>
            </w:tcBorders>
            <w:shd w:val="clear" w:color="auto" w:fill="auto"/>
            <w:vAlign w:val="center"/>
          </w:tcPr>
          <w:p w14:paraId="4EABE7ED"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w w:val="93"/>
              </w:rPr>
              <w:t xml:space="preserve">Tüm              </w:t>
            </w:r>
            <w:r w:rsidRPr="00460F9E">
              <w:rPr>
                <w:rFonts w:eastAsia="Times New Roman" w:cs="Times New Roman"/>
                <w:w w:val="99"/>
              </w:rPr>
              <w:t>prosesler</w:t>
            </w:r>
            <w:r w:rsidRPr="00460F9E">
              <w:rPr>
                <w:rFonts w:eastAsia="Times New Roman" w:cs="Times New Roman"/>
                <w:w w:val="93"/>
              </w:rPr>
              <w:t xml:space="preserve"> /kaynaklar</w:t>
            </w:r>
          </w:p>
        </w:tc>
        <w:tc>
          <w:tcPr>
            <w:tcW w:w="1240" w:type="dxa"/>
            <w:vMerge w:val="restart"/>
            <w:tcBorders>
              <w:right w:val="single" w:sz="8" w:space="0" w:color="auto"/>
            </w:tcBorders>
            <w:shd w:val="clear" w:color="auto" w:fill="auto"/>
            <w:vAlign w:val="center"/>
          </w:tcPr>
          <w:p w14:paraId="33ED5F44"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9"/>
              </w:rPr>
              <w:t>Herhangi bir baca</w:t>
            </w:r>
          </w:p>
        </w:tc>
        <w:tc>
          <w:tcPr>
            <w:tcW w:w="1920" w:type="dxa"/>
            <w:vMerge w:val="restart"/>
            <w:tcBorders>
              <w:right w:val="single" w:sz="8" w:space="0" w:color="auto"/>
            </w:tcBorders>
            <w:shd w:val="clear" w:color="auto" w:fill="auto"/>
            <w:vAlign w:val="center"/>
          </w:tcPr>
          <w:p w14:paraId="346C8A52"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 xml:space="preserve">EN standardı </w:t>
            </w:r>
          </w:p>
          <w:p w14:paraId="430344BB"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mevcut değil</w:t>
            </w:r>
          </w:p>
        </w:tc>
        <w:tc>
          <w:tcPr>
            <w:tcW w:w="1260" w:type="dxa"/>
            <w:vMerge w:val="restart"/>
            <w:tcBorders>
              <w:right w:val="single" w:sz="8" w:space="0" w:color="auto"/>
            </w:tcBorders>
            <w:shd w:val="clear" w:color="auto" w:fill="auto"/>
            <w:vAlign w:val="center"/>
          </w:tcPr>
          <w:p w14:paraId="6F7084B6"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Her 6 ayda</w:t>
            </w:r>
          </w:p>
          <w:p w14:paraId="4AA01E99" w14:textId="77777777" w:rsidR="00A52778" w:rsidRPr="00460F9E" w:rsidRDefault="00A52778" w:rsidP="00FC3F8E">
            <w:pPr>
              <w:spacing w:line="232" w:lineRule="exact"/>
              <w:ind w:right="280"/>
              <w:jc w:val="center"/>
              <w:rPr>
                <w:rFonts w:eastAsia="Times New Roman" w:cs="Times New Roman"/>
                <w:b/>
              </w:rPr>
            </w:pPr>
            <w:r w:rsidRPr="00460F9E">
              <w:rPr>
                <w:rFonts w:eastAsia="Times New Roman" w:cs="Times New Roman"/>
              </w:rPr>
              <w:t xml:space="preserve">     1 kere</w:t>
            </w:r>
          </w:p>
          <w:p w14:paraId="7BC29D62" w14:textId="77777777" w:rsidR="00A52778" w:rsidRPr="00460F9E" w:rsidRDefault="00A52778" w:rsidP="00FC3F8E">
            <w:pPr>
              <w:spacing w:line="236" w:lineRule="exact"/>
              <w:ind w:right="400"/>
              <w:jc w:val="center"/>
              <w:rPr>
                <w:rFonts w:eastAsia="Times New Roman" w:cs="Times New Roman"/>
                <w:b/>
              </w:rPr>
            </w:pPr>
            <w:r w:rsidRPr="00460F9E">
              <w:rPr>
                <w:rFonts w:eastAsia="Times New Roman" w:cs="Times New Roman"/>
              </w:rPr>
              <w:t xml:space="preserve">       (</w:t>
            </w:r>
            <w:r w:rsidRPr="00460F9E">
              <w:rPr>
                <w:rFonts w:eastAsia="Times New Roman" w:cs="Times New Roman"/>
                <w:sz w:val="25"/>
                <w:vertAlign w:val="superscript"/>
              </w:rPr>
              <w:t>3</w:t>
            </w:r>
            <w:r w:rsidRPr="00460F9E">
              <w:rPr>
                <w:rFonts w:eastAsia="Times New Roman" w:cs="Times New Roman"/>
              </w:rPr>
              <w:t>)</w:t>
            </w:r>
          </w:p>
        </w:tc>
        <w:tc>
          <w:tcPr>
            <w:tcW w:w="1380" w:type="dxa"/>
            <w:tcBorders>
              <w:right w:val="single" w:sz="8" w:space="0" w:color="auto"/>
            </w:tcBorders>
            <w:shd w:val="clear" w:color="auto" w:fill="auto"/>
            <w:vAlign w:val="bottom"/>
          </w:tcPr>
          <w:p w14:paraId="741CB594" w14:textId="77777777" w:rsidR="00A52778" w:rsidRPr="00460F9E" w:rsidRDefault="00A52778" w:rsidP="00FC3F8E">
            <w:pPr>
              <w:spacing w:line="0" w:lineRule="atLeast"/>
              <w:rPr>
                <w:rFonts w:eastAsia="Times New Roman" w:cs="Times New Roman"/>
                <w:b/>
                <w:sz w:val="18"/>
              </w:rPr>
            </w:pPr>
          </w:p>
        </w:tc>
      </w:tr>
      <w:tr w:rsidR="00A52778" w:rsidRPr="00460F9E" w14:paraId="486D4508" w14:textId="77777777" w:rsidTr="00FC3F8E">
        <w:trPr>
          <w:trHeight w:val="345"/>
        </w:trPr>
        <w:tc>
          <w:tcPr>
            <w:tcW w:w="1840" w:type="dxa"/>
            <w:tcBorders>
              <w:left w:val="single" w:sz="8" w:space="0" w:color="auto"/>
              <w:bottom w:val="nil"/>
              <w:right w:val="single" w:sz="8" w:space="0" w:color="auto"/>
            </w:tcBorders>
            <w:shd w:val="clear" w:color="auto" w:fill="auto"/>
            <w:vAlign w:val="bottom"/>
          </w:tcPr>
          <w:p w14:paraId="16AFF365"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Propilen oksit</w:t>
            </w:r>
          </w:p>
        </w:tc>
        <w:tc>
          <w:tcPr>
            <w:tcW w:w="1640" w:type="dxa"/>
            <w:vMerge/>
            <w:tcBorders>
              <w:bottom w:val="nil"/>
              <w:right w:val="single" w:sz="8" w:space="0" w:color="auto"/>
            </w:tcBorders>
            <w:shd w:val="clear" w:color="auto" w:fill="auto"/>
            <w:vAlign w:val="bottom"/>
          </w:tcPr>
          <w:p w14:paraId="77192EC6" w14:textId="77777777" w:rsidR="00A52778" w:rsidRPr="00460F9E" w:rsidRDefault="00A52778" w:rsidP="00FC3F8E">
            <w:pPr>
              <w:spacing w:line="0" w:lineRule="atLeast"/>
              <w:jc w:val="center"/>
              <w:rPr>
                <w:rFonts w:eastAsia="Times New Roman" w:cs="Times New Roman"/>
                <w:b/>
                <w:sz w:val="10"/>
              </w:rPr>
            </w:pPr>
          </w:p>
        </w:tc>
        <w:tc>
          <w:tcPr>
            <w:tcW w:w="1240" w:type="dxa"/>
            <w:vMerge/>
            <w:tcBorders>
              <w:bottom w:val="nil"/>
              <w:right w:val="single" w:sz="8" w:space="0" w:color="auto"/>
            </w:tcBorders>
            <w:shd w:val="clear" w:color="auto" w:fill="auto"/>
            <w:vAlign w:val="bottom"/>
          </w:tcPr>
          <w:p w14:paraId="1C244DE7" w14:textId="77777777" w:rsidR="00A52778" w:rsidRPr="00460F9E" w:rsidRDefault="00A52778" w:rsidP="00FC3F8E">
            <w:pPr>
              <w:spacing w:line="0" w:lineRule="atLeast"/>
              <w:jc w:val="center"/>
              <w:rPr>
                <w:rFonts w:eastAsia="Times New Roman" w:cs="Times New Roman"/>
                <w:b/>
                <w:w w:val="99"/>
              </w:rPr>
            </w:pPr>
          </w:p>
        </w:tc>
        <w:tc>
          <w:tcPr>
            <w:tcW w:w="1920" w:type="dxa"/>
            <w:vMerge/>
            <w:tcBorders>
              <w:bottom w:val="nil"/>
              <w:right w:val="single" w:sz="8" w:space="0" w:color="auto"/>
            </w:tcBorders>
            <w:shd w:val="clear" w:color="auto" w:fill="auto"/>
            <w:vAlign w:val="bottom"/>
          </w:tcPr>
          <w:p w14:paraId="37CD6704" w14:textId="77777777" w:rsidR="00A52778" w:rsidRPr="00460F9E" w:rsidRDefault="00A52778" w:rsidP="00FC3F8E">
            <w:pPr>
              <w:spacing w:line="0" w:lineRule="atLeast"/>
              <w:jc w:val="center"/>
              <w:rPr>
                <w:rFonts w:eastAsia="Times New Roman" w:cs="Times New Roman"/>
                <w:b/>
                <w:sz w:val="10"/>
              </w:rPr>
            </w:pPr>
          </w:p>
        </w:tc>
        <w:tc>
          <w:tcPr>
            <w:tcW w:w="1260" w:type="dxa"/>
            <w:vMerge/>
            <w:tcBorders>
              <w:right w:val="single" w:sz="8" w:space="0" w:color="auto"/>
            </w:tcBorders>
            <w:shd w:val="clear" w:color="auto" w:fill="auto"/>
            <w:vAlign w:val="bottom"/>
          </w:tcPr>
          <w:p w14:paraId="5DF5E4F6" w14:textId="77777777" w:rsidR="00A52778" w:rsidRPr="00460F9E" w:rsidRDefault="00A52778" w:rsidP="00FC3F8E">
            <w:pPr>
              <w:spacing w:line="236" w:lineRule="exact"/>
              <w:ind w:right="400"/>
              <w:jc w:val="center"/>
              <w:rPr>
                <w:rFonts w:eastAsia="Times New Roman" w:cs="Times New Roman"/>
                <w:b/>
              </w:rPr>
            </w:pPr>
          </w:p>
        </w:tc>
        <w:tc>
          <w:tcPr>
            <w:tcW w:w="1380" w:type="dxa"/>
            <w:tcBorders>
              <w:bottom w:val="nil"/>
              <w:right w:val="single" w:sz="8" w:space="0" w:color="auto"/>
            </w:tcBorders>
            <w:shd w:val="clear" w:color="auto" w:fill="auto"/>
            <w:vAlign w:val="bottom"/>
          </w:tcPr>
          <w:p w14:paraId="3D5D8969" w14:textId="77777777" w:rsidR="00A52778" w:rsidRPr="00460F9E" w:rsidRDefault="002A1746" w:rsidP="00FC3F8E">
            <w:pPr>
              <w:spacing w:line="0" w:lineRule="atLeast"/>
              <w:jc w:val="center"/>
              <w:rPr>
                <w:rFonts w:eastAsia="Times New Roman" w:cs="Times New Roman"/>
                <w:b/>
              </w:rPr>
            </w:pPr>
            <w:hyperlink w:anchor="page302" w:history="1">
              <w:r w:rsidR="00A52778" w:rsidRPr="00460F9E">
                <w:rPr>
                  <w:rFonts w:eastAsia="Times New Roman" w:cs="Times New Roman"/>
                </w:rPr>
                <w:t>MET 11</w:t>
              </w:r>
            </w:hyperlink>
          </w:p>
        </w:tc>
      </w:tr>
      <w:tr w:rsidR="00A52778" w:rsidRPr="00460F9E" w14:paraId="7B0B7D9B" w14:textId="77777777" w:rsidTr="00FC3F8E">
        <w:trPr>
          <w:trHeight w:val="115"/>
        </w:trPr>
        <w:tc>
          <w:tcPr>
            <w:tcW w:w="1840" w:type="dxa"/>
            <w:tcBorders>
              <w:left w:val="single" w:sz="8" w:space="0" w:color="auto"/>
              <w:right w:val="single" w:sz="8" w:space="0" w:color="auto"/>
            </w:tcBorders>
            <w:shd w:val="clear" w:color="auto" w:fill="auto"/>
            <w:vAlign w:val="bottom"/>
          </w:tcPr>
          <w:p w14:paraId="22FE0D1D" w14:textId="77777777" w:rsidR="00A52778" w:rsidRPr="00460F9E" w:rsidRDefault="00A52778" w:rsidP="00FC3F8E">
            <w:pPr>
              <w:spacing w:line="0" w:lineRule="atLeast"/>
              <w:rPr>
                <w:rFonts w:eastAsia="Times New Roman" w:cs="Times New Roman"/>
                <w:b/>
                <w:sz w:val="10"/>
              </w:rPr>
            </w:pPr>
          </w:p>
        </w:tc>
        <w:tc>
          <w:tcPr>
            <w:tcW w:w="1640" w:type="dxa"/>
            <w:vMerge/>
            <w:tcBorders>
              <w:right w:val="single" w:sz="8" w:space="0" w:color="auto"/>
            </w:tcBorders>
            <w:shd w:val="clear" w:color="auto" w:fill="auto"/>
            <w:vAlign w:val="bottom"/>
          </w:tcPr>
          <w:p w14:paraId="0749D6C6" w14:textId="77777777" w:rsidR="00A52778" w:rsidRPr="00460F9E" w:rsidRDefault="00A52778" w:rsidP="00FC3F8E">
            <w:pPr>
              <w:spacing w:line="0" w:lineRule="atLeast"/>
              <w:rPr>
                <w:rFonts w:eastAsia="Times New Roman" w:cs="Times New Roman"/>
                <w:b/>
                <w:sz w:val="10"/>
              </w:rPr>
            </w:pPr>
          </w:p>
        </w:tc>
        <w:tc>
          <w:tcPr>
            <w:tcW w:w="1240" w:type="dxa"/>
            <w:vMerge/>
            <w:tcBorders>
              <w:right w:val="single" w:sz="8" w:space="0" w:color="auto"/>
            </w:tcBorders>
            <w:shd w:val="clear" w:color="auto" w:fill="auto"/>
            <w:vAlign w:val="bottom"/>
          </w:tcPr>
          <w:p w14:paraId="36C1171D" w14:textId="77777777" w:rsidR="00A52778" w:rsidRPr="00460F9E" w:rsidRDefault="00A52778" w:rsidP="00FC3F8E">
            <w:pPr>
              <w:spacing w:line="0" w:lineRule="atLeast"/>
              <w:rPr>
                <w:rFonts w:eastAsia="Times New Roman" w:cs="Times New Roman"/>
                <w:b/>
                <w:sz w:val="10"/>
              </w:rPr>
            </w:pPr>
          </w:p>
        </w:tc>
        <w:tc>
          <w:tcPr>
            <w:tcW w:w="1920" w:type="dxa"/>
            <w:vMerge/>
            <w:tcBorders>
              <w:right w:val="single" w:sz="8" w:space="0" w:color="auto"/>
            </w:tcBorders>
            <w:shd w:val="clear" w:color="auto" w:fill="auto"/>
            <w:vAlign w:val="bottom"/>
          </w:tcPr>
          <w:p w14:paraId="28A07B51" w14:textId="77777777" w:rsidR="00A52778" w:rsidRPr="00460F9E" w:rsidRDefault="00A52778" w:rsidP="00FC3F8E">
            <w:pPr>
              <w:spacing w:line="0" w:lineRule="atLeast"/>
              <w:rPr>
                <w:rFonts w:eastAsia="Times New Roman" w:cs="Times New Roman"/>
                <w:b/>
                <w:sz w:val="10"/>
              </w:rPr>
            </w:pPr>
          </w:p>
        </w:tc>
        <w:tc>
          <w:tcPr>
            <w:tcW w:w="1260" w:type="dxa"/>
            <w:vMerge/>
            <w:tcBorders>
              <w:right w:val="single" w:sz="8" w:space="0" w:color="auto"/>
            </w:tcBorders>
            <w:shd w:val="clear" w:color="auto" w:fill="auto"/>
            <w:vAlign w:val="bottom"/>
          </w:tcPr>
          <w:p w14:paraId="2FA7ACB7" w14:textId="77777777" w:rsidR="00A52778" w:rsidRPr="00460F9E" w:rsidRDefault="00A52778" w:rsidP="00FC3F8E">
            <w:pPr>
              <w:spacing w:line="236" w:lineRule="exact"/>
              <w:ind w:right="400"/>
              <w:jc w:val="center"/>
              <w:rPr>
                <w:rFonts w:eastAsia="Times New Roman" w:cs="Times New Roman"/>
                <w:b/>
              </w:rPr>
            </w:pPr>
          </w:p>
        </w:tc>
        <w:tc>
          <w:tcPr>
            <w:tcW w:w="1380" w:type="dxa"/>
            <w:tcBorders>
              <w:right w:val="single" w:sz="8" w:space="0" w:color="auto"/>
            </w:tcBorders>
            <w:shd w:val="clear" w:color="auto" w:fill="auto"/>
            <w:vAlign w:val="bottom"/>
          </w:tcPr>
          <w:p w14:paraId="4E99BD99" w14:textId="77777777" w:rsidR="00A52778" w:rsidRPr="00460F9E" w:rsidRDefault="00A52778" w:rsidP="00FC3F8E">
            <w:pPr>
              <w:spacing w:line="0" w:lineRule="atLeast"/>
              <w:rPr>
                <w:rFonts w:eastAsia="Times New Roman" w:cs="Times New Roman"/>
                <w:b/>
                <w:sz w:val="10"/>
              </w:rPr>
            </w:pPr>
          </w:p>
        </w:tc>
      </w:tr>
      <w:tr w:rsidR="00A52778" w:rsidRPr="00460F9E" w14:paraId="1BAC30AB" w14:textId="77777777" w:rsidTr="00FC3F8E">
        <w:trPr>
          <w:trHeight w:val="121"/>
        </w:trPr>
        <w:tc>
          <w:tcPr>
            <w:tcW w:w="1840" w:type="dxa"/>
            <w:tcBorders>
              <w:left w:val="single" w:sz="8" w:space="0" w:color="auto"/>
              <w:bottom w:val="single" w:sz="8" w:space="0" w:color="auto"/>
              <w:right w:val="single" w:sz="8" w:space="0" w:color="auto"/>
            </w:tcBorders>
            <w:shd w:val="clear" w:color="auto" w:fill="auto"/>
            <w:vAlign w:val="bottom"/>
          </w:tcPr>
          <w:p w14:paraId="02DE9A26" w14:textId="77777777" w:rsidR="00A52778" w:rsidRPr="00460F9E" w:rsidRDefault="00A52778" w:rsidP="00FC3F8E">
            <w:pPr>
              <w:spacing w:line="0" w:lineRule="atLeast"/>
              <w:rPr>
                <w:rFonts w:eastAsia="Times New Roman" w:cs="Times New Roman"/>
                <w:b/>
                <w:sz w:val="10"/>
              </w:rPr>
            </w:pPr>
          </w:p>
        </w:tc>
        <w:tc>
          <w:tcPr>
            <w:tcW w:w="1640" w:type="dxa"/>
            <w:vMerge/>
            <w:tcBorders>
              <w:bottom w:val="single" w:sz="8" w:space="0" w:color="auto"/>
              <w:right w:val="single" w:sz="8" w:space="0" w:color="auto"/>
            </w:tcBorders>
            <w:shd w:val="clear" w:color="auto" w:fill="auto"/>
            <w:vAlign w:val="bottom"/>
          </w:tcPr>
          <w:p w14:paraId="30CC5A94" w14:textId="77777777" w:rsidR="00A52778" w:rsidRPr="00460F9E" w:rsidRDefault="00A52778" w:rsidP="00FC3F8E">
            <w:pPr>
              <w:spacing w:line="0" w:lineRule="atLeast"/>
              <w:rPr>
                <w:rFonts w:eastAsia="Times New Roman" w:cs="Times New Roman"/>
                <w:b/>
                <w:sz w:val="10"/>
              </w:rPr>
            </w:pPr>
          </w:p>
        </w:tc>
        <w:tc>
          <w:tcPr>
            <w:tcW w:w="1240" w:type="dxa"/>
            <w:vMerge/>
            <w:tcBorders>
              <w:bottom w:val="single" w:sz="8" w:space="0" w:color="auto"/>
              <w:right w:val="single" w:sz="8" w:space="0" w:color="auto"/>
            </w:tcBorders>
            <w:shd w:val="clear" w:color="auto" w:fill="auto"/>
            <w:vAlign w:val="bottom"/>
          </w:tcPr>
          <w:p w14:paraId="2ABBB124" w14:textId="77777777" w:rsidR="00A52778" w:rsidRPr="00460F9E" w:rsidRDefault="00A52778" w:rsidP="00FC3F8E">
            <w:pPr>
              <w:spacing w:line="0" w:lineRule="atLeast"/>
              <w:rPr>
                <w:rFonts w:eastAsia="Times New Roman" w:cs="Times New Roman"/>
                <w:b/>
                <w:sz w:val="10"/>
              </w:rPr>
            </w:pPr>
          </w:p>
        </w:tc>
        <w:tc>
          <w:tcPr>
            <w:tcW w:w="1920" w:type="dxa"/>
            <w:vMerge/>
            <w:tcBorders>
              <w:bottom w:val="single" w:sz="8" w:space="0" w:color="auto"/>
              <w:right w:val="single" w:sz="8" w:space="0" w:color="auto"/>
            </w:tcBorders>
            <w:shd w:val="clear" w:color="auto" w:fill="auto"/>
            <w:vAlign w:val="bottom"/>
          </w:tcPr>
          <w:p w14:paraId="7D878698" w14:textId="77777777" w:rsidR="00A52778" w:rsidRPr="00460F9E" w:rsidRDefault="00A52778" w:rsidP="00FC3F8E">
            <w:pPr>
              <w:spacing w:line="0" w:lineRule="atLeast"/>
              <w:rPr>
                <w:rFonts w:eastAsia="Times New Roman" w:cs="Times New Roman"/>
                <w:b/>
                <w:sz w:val="10"/>
              </w:rPr>
            </w:pPr>
          </w:p>
        </w:tc>
        <w:tc>
          <w:tcPr>
            <w:tcW w:w="1260" w:type="dxa"/>
            <w:vMerge/>
            <w:tcBorders>
              <w:bottom w:val="single" w:sz="8" w:space="0" w:color="auto"/>
              <w:right w:val="single" w:sz="8" w:space="0" w:color="auto"/>
            </w:tcBorders>
            <w:shd w:val="clear" w:color="auto" w:fill="auto"/>
            <w:vAlign w:val="bottom"/>
          </w:tcPr>
          <w:p w14:paraId="53437139" w14:textId="77777777" w:rsidR="00A52778" w:rsidRPr="00460F9E" w:rsidRDefault="00A52778" w:rsidP="00FC3F8E">
            <w:pPr>
              <w:spacing w:line="0" w:lineRule="atLeast"/>
              <w:rPr>
                <w:rFonts w:eastAsia="Times New Roman" w:cs="Times New Roman"/>
                <w:b/>
                <w:sz w:val="10"/>
              </w:rPr>
            </w:pPr>
          </w:p>
        </w:tc>
        <w:tc>
          <w:tcPr>
            <w:tcW w:w="1380" w:type="dxa"/>
            <w:tcBorders>
              <w:bottom w:val="single" w:sz="8" w:space="0" w:color="auto"/>
              <w:right w:val="single" w:sz="8" w:space="0" w:color="auto"/>
            </w:tcBorders>
            <w:shd w:val="clear" w:color="auto" w:fill="auto"/>
            <w:vAlign w:val="bottom"/>
          </w:tcPr>
          <w:p w14:paraId="5D5B8939" w14:textId="77777777" w:rsidR="00A52778" w:rsidRPr="00460F9E" w:rsidRDefault="00A52778" w:rsidP="00FC3F8E">
            <w:pPr>
              <w:spacing w:line="0" w:lineRule="atLeast"/>
              <w:rPr>
                <w:rFonts w:eastAsia="Times New Roman" w:cs="Times New Roman"/>
                <w:b/>
                <w:sz w:val="10"/>
              </w:rPr>
            </w:pPr>
          </w:p>
        </w:tc>
      </w:tr>
      <w:tr w:rsidR="00A52778" w:rsidRPr="00460F9E" w14:paraId="08844C45" w14:textId="77777777" w:rsidTr="00FC3F8E">
        <w:trPr>
          <w:trHeight w:val="214"/>
        </w:trPr>
        <w:tc>
          <w:tcPr>
            <w:tcW w:w="1840" w:type="dxa"/>
            <w:tcBorders>
              <w:left w:val="single" w:sz="8" w:space="0" w:color="auto"/>
              <w:right w:val="single" w:sz="8" w:space="0" w:color="auto"/>
            </w:tcBorders>
            <w:shd w:val="clear" w:color="auto" w:fill="auto"/>
            <w:vAlign w:val="bottom"/>
          </w:tcPr>
          <w:p w14:paraId="37D3C53F" w14:textId="77777777" w:rsidR="00A52778" w:rsidRPr="00460F9E" w:rsidRDefault="00A52778" w:rsidP="00FC3F8E">
            <w:pPr>
              <w:spacing w:line="0" w:lineRule="atLeast"/>
              <w:rPr>
                <w:rFonts w:eastAsia="Times New Roman" w:cs="Times New Roman"/>
                <w:b/>
                <w:sz w:val="18"/>
              </w:rPr>
            </w:pPr>
          </w:p>
        </w:tc>
        <w:tc>
          <w:tcPr>
            <w:tcW w:w="1640" w:type="dxa"/>
            <w:vMerge w:val="restart"/>
            <w:tcBorders>
              <w:right w:val="single" w:sz="8" w:space="0" w:color="auto"/>
            </w:tcBorders>
            <w:shd w:val="clear" w:color="auto" w:fill="auto"/>
            <w:vAlign w:val="center"/>
          </w:tcPr>
          <w:p w14:paraId="5242D368" w14:textId="77777777" w:rsidR="00A52778" w:rsidRPr="00460F9E" w:rsidRDefault="00A52778" w:rsidP="00FC3F8E">
            <w:pPr>
              <w:spacing w:line="208" w:lineRule="exact"/>
              <w:jc w:val="center"/>
              <w:rPr>
                <w:rFonts w:eastAsia="Times New Roman" w:cs="Times New Roman"/>
                <w:b/>
                <w:sz w:val="18"/>
              </w:rPr>
            </w:pPr>
            <w:r w:rsidRPr="00460F9E">
              <w:rPr>
                <w:rFonts w:eastAsia="Times New Roman" w:cs="Times New Roman"/>
                <w:w w:val="97"/>
              </w:rPr>
              <w:t>Isıl                         işlem</w:t>
            </w:r>
          </w:p>
        </w:tc>
        <w:tc>
          <w:tcPr>
            <w:tcW w:w="1240" w:type="dxa"/>
            <w:vMerge w:val="restart"/>
            <w:tcBorders>
              <w:right w:val="single" w:sz="8" w:space="0" w:color="auto"/>
            </w:tcBorders>
            <w:shd w:val="clear" w:color="auto" w:fill="auto"/>
            <w:vAlign w:val="center"/>
          </w:tcPr>
          <w:p w14:paraId="68B52E98" w14:textId="77777777" w:rsidR="00A52778" w:rsidRPr="00460F9E" w:rsidRDefault="00A52778" w:rsidP="00FC3F8E">
            <w:pPr>
              <w:spacing w:line="223" w:lineRule="exact"/>
              <w:jc w:val="center"/>
              <w:rPr>
                <w:rFonts w:eastAsia="Times New Roman" w:cs="Times New Roman"/>
                <w:b/>
                <w:w w:val="99"/>
              </w:rPr>
            </w:pPr>
            <w:r w:rsidRPr="00460F9E">
              <w:rPr>
                <w:rFonts w:eastAsia="Times New Roman" w:cs="Times New Roman"/>
                <w:w w:val="99"/>
              </w:rPr>
              <w:t>SO</w:t>
            </w:r>
            <w:r w:rsidRPr="00460F9E">
              <w:rPr>
                <w:rFonts w:eastAsia="Times New Roman" w:cs="Times New Roman"/>
                <w:w w:val="99"/>
                <w:sz w:val="12"/>
              </w:rPr>
              <w:t>2</w:t>
            </w:r>
            <w:r w:rsidRPr="00460F9E">
              <w:rPr>
                <w:rFonts w:eastAsia="Times New Roman" w:cs="Times New Roman"/>
                <w:w w:val="99"/>
              </w:rPr>
              <w:t xml:space="preserve"> kütle akışı 2,5 kg/saat olan herhangi bir baca</w:t>
            </w:r>
          </w:p>
        </w:tc>
        <w:tc>
          <w:tcPr>
            <w:tcW w:w="1920" w:type="dxa"/>
            <w:vMerge w:val="restart"/>
            <w:tcBorders>
              <w:right w:val="single" w:sz="8" w:space="0" w:color="auto"/>
            </w:tcBorders>
            <w:shd w:val="clear" w:color="auto" w:fill="auto"/>
            <w:vAlign w:val="center"/>
          </w:tcPr>
          <w:p w14:paraId="09C97A0E"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Genel EN</w:t>
            </w:r>
          </w:p>
          <w:p w14:paraId="115C0FBB"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7"/>
              </w:rPr>
              <w:t>standartları (</w:t>
            </w:r>
            <w:r w:rsidRPr="00460F9E">
              <w:rPr>
                <w:rFonts w:eastAsia="Times New Roman" w:cs="Times New Roman"/>
                <w:w w:val="97"/>
                <w:vertAlign w:val="superscript"/>
              </w:rPr>
              <w:t>5</w:t>
            </w:r>
            <w:r w:rsidRPr="00460F9E">
              <w:rPr>
                <w:rFonts w:eastAsia="Times New Roman" w:cs="Times New Roman"/>
                <w:w w:val="97"/>
              </w:rPr>
              <w:t>)</w:t>
            </w:r>
          </w:p>
        </w:tc>
        <w:tc>
          <w:tcPr>
            <w:tcW w:w="1260" w:type="dxa"/>
            <w:vMerge w:val="restart"/>
            <w:tcBorders>
              <w:right w:val="single" w:sz="8" w:space="0" w:color="auto"/>
            </w:tcBorders>
            <w:shd w:val="clear" w:color="auto" w:fill="auto"/>
            <w:vAlign w:val="center"/>
          </w:tcPr>
          <w:p w14:paraId="13D42598"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9"/>
              </w:rPr>
              <w:t>Sürekli</w:t>
            </w:r>
          </w:p>
        </w:tc>
        <w:tc>
          <w:tcPr>
            <w:tcW w:w="1380" w:type="dxa"/>
            <w:tcBorders>
              <w:right w:val="single" w:sz="8" w:space="0" w:color="auto"/>
            </w:tcBorders>
            <w:shd w:val="clear" w:color="auto" w:fill="auto"/>
            <w:vAlign w:val="bottom"/>
          </w:tcPr>
          <w:p w14:paraId="4CB2F596" w14:textId="77777777" w:rsidR="00A52778" w:rsidRPr="00460F9E" w:rsidRDefault="00A52778" w:rsidP="00FC3F8E">
            <w:pPr>
              <w:spacing w:line="0" w:lineRule="atLeast"/>
              <w:rPr>
                <w:rFonts w:eastAsia="Times New Roman" w:cs="Times New Roman"/>
                <w:b/>
                <w:sz w:val="18"/>
              </w:rPr>
            </w:pPr>
          </w:p>
        </w:tc>
      </w:tr>
      <w:tr w:rsidR="00A52778" w:rsidRPr="00460F9E" w14:paraId="3389BCA1" w14:textId="77777777" w:rsidTr="00FC3F8E">
        <w:trPr>
          <w:trHeight w:val="234"/>
        </w:trPr>
        <w:tc>
          <w:tcPr>
            <w:tcW w:w="1840" w:type="dxa"/>
            <w:tcBorders>
              <w:left w:val="single" w:sz="8" w:space="0" w:color="auto"/>
              <w:right w:val="single" w:sz="8" w:space="0" w:color="auto"/>
            </w:tcBorders>
            <w:shd w:val="clear" w:color="auto" w:fill="auto"/>
            <w:vAlign w:val="bottom"/>
          </w:tcPr>
          <w:p w14:paraId="566E9F33" w14:textId="77777777" w:rsidR="00A52778" w:rsidRPr="00460F9E" w:rsidRDefault="00A52778" w:rsidP="00FC3F8E">
            <w:pPr>
              <w:spacing w:line="0" w:lineRule="atLeast"/>
              <w:rPr>
                <w:rFonts w:eastAsia="Times New Roman" w:cs="Times New Roman"/>
                <w:b/>
              </w:rPr>
            </w:pPr>
          </w:p>
        </w:tc>
        <w:tc>
          <w:tcPr>
            <w:tcW w:w="1640" w:type="dxa"/>
            <w:vMerge/>
            <w:tcBorders>
              <w:right w:val="single" w:sz="8" w:space="0" w:color="auto"/>
            </w:tcBorders>
            <w:shd w:val="clear" w:color="auto" w:fill="auto"/>
            <w:vAlign w:val="bottom"/>
          </w:tcPr>
          <w:p w14:paraId="6CDE40D7" w14:textId="77777777" w:rsidR="00A52778" w:rsidRPr="00460F9E" w:rsidRDefault="00A52778" w:rsidP="00FC3F8E">
            <w:pPr>
              <w:spacing w:line="208" w:lineRule="exact"/>
              <w:jc w:val="center"/>
              <w:rPr>
                <w:rFonts w:eastAsia="Times New Roman" w:cs="Times New Roman"/>
                <w:b/>
              </w:rPr>
            </w:pPr>
          </w:p>
        </w:tc>
        <w:tc>
          <w:tcPr>
            <w:tcW w:w="1240" w:type="dxa"/>
            <w:vMerge/>
            <w:tcBorders>
              <w:right w:val="single" w:sz="8" w:space="0" w:color="auto"/>
            </w:tcBorders>
            <w:shd w:val="clear" w:color="auto" w:fill="auto"/>
            <w:vAlign w:val="bottom"/>
          </w:tcPr>
          <w:p w14:paraId="256A65BA" w14:textId="77777777" w:rsidR="00A52778" w:rsidRPr="00460F9E" w:rsidRDefault="00A52778" w:rsidP="00FC3F8E">
            <w:pPr>
              <w:spacing w:line="223" w:lineRule="exact"/>
              <w:jc w:val="center"/>
              <w:rPr>
                <w:rFonts w:eastAsia="Times New Roman" w:cs="Times New Roman"/>
                <w:b/>
                <w:w w:val="99"/>
                <w:sz w:val="12"/>
              </w:rPr>
            </w:pPr>
          </w:p>
        </w:tc>
        <w:tc>
          <w:tcPr>
            <w:tcW w:w="1920" w:type="dxa"/>
            <w:vMerge/>
            <w:tcBorders>
              <w:right w:val="single" w:sz="8" w:space="0" w:color="auto"/>
            </w:tcBorders>
            <w:shd w:val="clear" w:color="auto" w:fill="auto"/>
            <w:vAlign w:val="bottom"/>
          </w:tcPr>
          <w:p w14:paraId="7DCD6084" w14:textId="77777777" w:rsidR="00A52778" w:rsidRPr="00460F9E" w:rsidRDefault="00A52778" w:rsidP="00FC3F8E">
            <w:pPr>
              <w:spacing w:line="0" w:lineRule="atLeast"/>
              <w:jc w:val="center"/>
              <w:rPr>
                <w:rFonts w:eastAsia="Times New Roman" w:cs="Times New Roman"/>
                <w:b/>
              </w:rPr>
            </w:pPr>
          </w:p>
        </w:tc>
        <w:tc>
          <w:tcPr>
            <w:tcW w:w="1260" w:type="dxa"/>
            <w:vMerge/>
            <w:tcBorders>
              <w:right w:val="single" w:sz="8" w:space="0" w:color="auto"/>
            </w:tcBorders>
            <w:shd w:val="clear" w:color="auto" w:fill="auto"/>
            <w:vAlign w:val="bottom"/>
          </w:tcPr>
          <w:p w14:paraId="4AFCA0E3" w14:textId="77777777" w:rsidR="00A52778" w:rsidRPr="00460F9E" w:rsidRDefault="00A52778" w:rsidP="00FC3F8E">
            <w:pPr>
              <w:spacing w:line="0" w:lineRule="atLeast"/>
              <w:jc w:val="center"/>
              <w:rPr>
                <w:rFonts w:eastAsia="Times New Roman" w:cs="Times New Roman"/>
                <w:b/>
              </w:rPr>
            </w:pPr>
          </w:p>
        </w:tc>
        <w:tc>
          <w:tcPr>
            <w:tcW w:w="1380" w:type="dxa"/>
            <w:tcBorders>
              <w:right w:val="single" w:sz="8" w:space="0" w:color="auto"/>
            </w:tcBorders>
            <w:shd w:val="clear" w:color="auto" w:fill="auto"/>
            <w:vAlign w:val="bottom"/>
          </w:tcPr>
          <w:p w14:paraId="58B504E5" w14:textId="77777777" w:rsidR="00A52778" w:rsidRPr="00460F9E" w:rsidRDefault="00A52778" w:rsidP="00FC3F8E">
            <w:pPr>
              <w:spacing w:line="0" w:lineRule="atLeast"/>
              <w:rPr>
                <w:rFonts w:eastAsia="Times New Roman" w:cs="Times New Roman"/>
                <w:b/>
              </w:rPr>
            </w:pPr>
          </w:p>
        </w:tc>
      </w:tr>
      <w:tr w:rsidR="00A52778" w:rsidRPr="00460F9E" w14:paraId="298061A3" w14:textId="77777777" w:rsidTr="00FC3F8E">
        <w:trPr>
          <w:trHeight w:val="119"/>
        </w:trPr>
        <w:tc>
          <w:tcPr>
            <w:tcW w:w="1840" w:type="dxa"/>
            <w:tcBorders>
              <w:left w:val="single" w:sz="8" w:space="0" w:color="auto"/>
              <w:right w:val="single" w:sz="8" w:space="0" w:color="auto"/>
            </w:tcBorders>
            <w:shd w:val="clear" w:color="auto" w:fill="auto"/>
            <w:vAlign w:val="bottom"/>
          </w:tcPr>
          <w:p w14:paraId="4616347F" w14:textId="77777777" w:rsidR="00A52778" w:rsidRPr="00460F9E" w:rsidRDefault="00A52778" w:rsidP="00FC3F8E">
            <w:pPr>
              <w:spacing w:line="0" w:lineRule="atLeast"/>
              <w:rPr>
                <w:rFonts w:eastAsia="Times New Roman" w:cs="Times New Roman"/>
                <w:b/>
                <w:sz w:val="10"/>
              </w:rPr>
            </w:pPr>
          </w:p>
        </w:tc>
        <w:tc>
          <w:tcPr>
            <w:tcW w:w="1640" w:type="dxa"/>
            <w:vMerge/>
            <w:tcBorders>
              <w:right w:val="single" w:sz="8" w:space="0" w:color="auto"/>
            </w:tcBorders>
            <w:shd w:val="clear" w:color="auto" w:fill="auto"/>
            <w:vAlign w:val="bottom"/>
          </w:tcPr>
          <w:p w14:paraId="5CE8B4F7" w14:textId="77777777" w:rsidR="00A52778" w:rsidRPr="00460F9E" w:rsidRDefault="00A52778" w:rsidP="00FC3F8E">
            <w:pPr>
              <w:spacing w:line="208" w:lineRule="exact"/>
              <w:jc w:val="center"/>
              <w:rPr>
                <w:rFonts w:eastAsia="Times New Roman" w:cs="Times New Roman"/>
                <w:b/>
                <w:sz w:val="10"/>
              </w:rPr>
            </w:pPr>
          </w:p>
        </w:tc>
        <w:tc>
          <w:tcPr>
            <w:tcW w:w="1240" w:type="dxa"/>
            <w:vMerge/>
            <w:tcBorders>
              <w:right w:val="single" w:sz="8" w:space="0" w:color="auto"/>
            </w:tcBorders>
            <w:shd w:val="clear" w:color="auto" w:fill="auto"/>
            <w:vAlign w:val="bottom"/>
          </w:tcPr>
          <w:p w14:paraId="667356D9" w14:textId="77777777" w:rsidR="00A52778" w:rsidRPr="00460F9E" w:rsidRDefault="00A52778" w:rsidP="00FC3F8E">
            <w:pPr>
              <w:spacing w:line="223" w:lineRule="exact"/>
              <w:jc w:val="center"/>
              <w:rPr>
                <w:rFonts w:eastAsia="Times New Roman" w:cs="Times New Roman"/>
                <w:b/>
              </w:rPr>
            </w:pPr>
          </w:p>
        </w:tc>
        <w:tc>
          <w:tcPr>
            <w:tcW w:w="1920" w:type="dxa"/>
            <w:vMerge/>
            <w:tcBorders>
              <w:right w:val="single" w:sz="8" w:space="0" w:color="auto"/>
            </w:tcBorders>
            <w:shd w:val="clear" w:color="auto" w:fill="auto"/>
            <w:vAlign w:val="bottom"/>
          </w:tcPr>
          <w:p w14:paraId="71D7AAFB" w14:textId="77777777" w:rsidR="00A52778" w:rsidRPr="00460F9E" w:rsidRDefault="00A52778" w:rsidP="00FC3F8E">
            <w:pPr>
              <w:spacing w:line="0" w:lineRule="atLeast"/>
              <w:jc w:val="center"/>
              <w:rPr>
                <w:rFonts w:eastAsia="Times New Roman" w:cs="Times New Roman"/>
                <w:b/>
                <w:sz w:val="10"/>
              </w:rPr>
            </w:pPr>
          </w:p>
        </w:tc>
        <w:tc>
          <w:tcPr>
            <w:tcW w:w="1260" w:type="dxa"/>
            <w:vMerge/>
            <w:tcBorders>
              <w:right w:val="single" w:sz="8" w:space="0" w:color="auto"/>
            </w:tcBorders>
            <w:shd w:val="clear" w:color="auto" w:fill="auto"/>
            <w:vAlign w:val="bottom"/>
          </w:tcPr>
          <w:p w14:paraId="79C74B74" w14:textId="77777777" w:rsidR="00A52778" w:rsidRPr="00460F9E" w:rsidRDefault="00A52778" w:rsidP="00FC3F8E">
            <w:pPr>
              <w:spacing w:line="0" w:lineRule="atLeast"/>
              <w:jc w:val="center"/>
              <w:rPr>
                <w:rFonts w:eastAsia="Times New Roman" w:cs="Times New Roman"/>
                <w:b/>
                <w:w w:val="99"/>
              </w:rPr>
            </w:pPr>
          </w:p>
        </w:tc>
        <w:tc>
          <w:tcPr>
            <w:tcW w:w="1380" w:type="dxa"/>
            <w:tcBorders>
              <w:right w:val="single" w:sz="8" w:space="0" w:color="auto"/>
            </w:tcBorders>
            <w:shd w:val="clear" w:color="auto" w:fill="auto"/>
            <w:vAlign w:val="bottom"/>
          </w:tcPr>
          <w:p w14:paraId="6DA68D1C" w14:textId="77777777" w:rsidR="00A52778" w:rsidRPr="00460F9E" w:rsidRDefault="00A52778" w:rsidP="00FC3F8E">
            <w:pPr>
              <w:spacing w:line="0" w:lineRule="atLeast"/>
              <w:rPr>
                <w:rFonts w:eastAsia="Times New Roman" w:cs="Times New Roman"/>
                <w:b/>
                <w:sz w:val="10"/>
              </w:rPr>
            </w:pPr>
          </w:p>
        </w:tc>
      </w:tr>
      <w:tr w:rsidR="00A52778" w:rsidRPr="00460F9E" w14:paraId="4FBD6C4D" w14:textId="77777777" w:rsidTr="00FC3F8E">
        <w:trPr>
          <w:trHeight w:val="113"/>
        </w:trPr>
        <w:tc>
          <w:tcPr>
            <w:tcW w:w="1840" w:type="dxa"/>
            <w:tcBorders>
              <w:left w:val="single" w:sz="8" w:space="0" w:color="auto"/>
              <w:right w:val="single" w:sz="8" w:space="0" w:color="auto"/>
            </w:tcBorders>
            <w:shd w:val="clear" w:color="auto" w:fill="auto"/>
            <w:vAlign w:val="bottom"/>
          </w:tcPr>
          <w:p w14:paraId="3D2E646F" w14:textId="77777777" w:rsidR="00A52778" w:rsidRPr="00460F9E" w:rsidRDefault="00A52778" w:rsidP="00FC3F8E">
            <w:pPr>
              <w:spacing w:line="0" w:lineRule="atLeast"/>
              <w:rPr>
                <w:rFonts w:eastAsia="Times New Roman" w:cs="Times New Roman"/>
                <w:b/>
                <w:sz w:val="9"/>
              </w:rPr>
            </w:pPr>
          </w:p>
        </w:tc>
        <w:tc>
          <w:tcPr>
            <w:tcW w:w="1640" w:type="dxa"/>
            <w:vMerge/>
            <w:tcBorders>
              <w:right w:val="single" w:sz="8" w:space="0" w:color="auto"/>
            </w:tcBorders>
            <w:shd w:val="clear" w:color="auto" w:fill="auto"/>
            <w:vAlign w:val="bottom"/>
          </w:tcPr>
          <w:p w14:paraId="37CFD556" w14:textId="77777777" w:rsidR="00A52778" w:rsidRPr="00460F9E" w:rsidRDefault="00A52778" w:rsidP="00FC3F8E">
            <w:pPr>
              <w:spacing w:line="208" w:lineRule="exact"/>
              <w:jc w:val="center"/>
              <w:rPr>
                <w:rFonts w:eastAsia="Times New Roman" w:cs="Times New Roman"/>
                <w:b/>
                <w:sz w:val="9"/>
              </w:rPr>
            </w:pPr>
          </w:p>
        </w:tc>
        <w:tc>
          <w:tcPr>
            <w:tcW w:w="1240" w:type="dxa"/>
            <w:vMerge/>
            <w:tcBorders>
              <w:right w:val="single" w:sz="8" w:space="0" w:color="auto"/>
            </w:tcBorders>
            <w:shd w:val="clear" w:color="auto" w:fill="auto"/>
            <w:vAlign w:val="bottom"/>
          </w:tcPr>
          <w:p w14:paraId="3B380402" w14:textId="77777777" w:rsidR="00A52778" w:rsidRPr="00460F9E" w:rsidRDefault="00A52778" w:rsidP="00FC3F8E">
            <w:pPr>
              <w:spacing w:line="223" w:lineRule="exact"/>
              <w:jc w:val="center"/>
              <w:rPr>
                <w:rFonts w:eastAsia="Times New Roman" w:cs="Times New Roman"/>
                <w:b/>
                <w:sz w:val="9"/>
              </w:rPr>
            </w:pPr>
          </w:p>
        </w:tc>
        <w:tc>
          <w:tcPr>
            <w:tcW w:w="1920" w:type="dxa"/>
            <w:vMerge/>
            <w:tcBorders>
              <w:right w:val="single" w:sz="8" w:space="0" w:color="auto"/>
            </w:tcBorders>
            <w:shd w:val="clear" w:color="auto" w:fill="auto"/>
            <w:vAlign w:val="bottom"/>
          </w:tcPr>
          <w:p w14:paraId="6EFE8A4E" w14:textId="77777777" w:rsidR="00A52778" w:rsidRPr="00460F9E" w:rsidRDefault="00A52778" w:rsidP="00FC3F8E">
            <w:pPr>
              <w:spacing w:line="0" w:lineRule="atLeast"/>
              <w:jc w:val="center"/>
              <w:rPr>
                <w:rFonts w:eastAsia="Times New Roman" w:cs="Times New Roman"/>
                <w:b/>
                <w:w w:val="97"/>
              </w:rPr>
            </w:pPr>
          </w:p>
        </w:tc>
        <w:tc>
          <w:tcPr>
            <w:tcW w:w="1260" w:type="dxa"/>
            <w:vMerge/>
            <w:tcBorders>
              <w:right w:val="single" w:sz="8" w:space="0" w:color="auto"/>
            </w:tcBorders>
            <w:shd w:val="clear" w:color="auto" w:fill="auto"/>
            <w:vAlign w:val="bottom"/>
          </w:tcPr>
          <w:p w14:paraId="360CBA6A" w14:textId="77777777" w:rsidR="00A52778" w:rsidRPr="00460F9E" w:rsidRDefault="00A52778" w:rsidP="00FC3F8E">
            <w:pPr>
              <w:spacing w:line="0" w:lineRule="atLeast"/>
              <w:rPr>
                <w:rFonts w:eastAsia="Times New Roman" w:cs="Times New Roman"/>
                <w:b/>
                <w:sz w:val="9"/>
              </w:rPr>
            </w:pPr>
          </w:p>
        </w:tc>
        <w:tc>
          <w:tcPr>
            <w:tcW w:w="1380" w:type="dxa"/>
            <w:tcBorders>
              <w:right w:val="single" w:sz="8" w:space="0" w:color="auto"/>
            </w:tcBorders>
            <w:shd w:val="clear" w:color="auto" w:fill="auto"/>
            <w:vAlign w:val="bottom"/>
          </w:tcPr>
          <w:p w14:paraId="21583386" w14:textId="77777777" w:rsidR="00A52778" w:rsidRPr="00460F9E" w:rsidRDefault="00A52778" w:rsidP="00FC3F8E">
            <w:pPr>
              <w:spacing w:line="0" w:lineRule="atLeast"/>
              <w:rPr>
                <w:rFonts w:eastAsia="Times New Roman" w:cs="Times New Roman"/>
                <w:b/>
                <w:sz w:val="9"/>
              </w:rPr>
            </w:pPr>
          </w:p>
        </w:tc>
      </w:tr>
      <w:tr w:rsidR="00A52778" w:rsidRPr="00460F9E" w14:paraId="5AB6C6C6" w14:textId="77777777" w:rsidTr="00FC3F8E">
        <w:trPr>
          <w:trHeight w:val="181"/>
        </w:trPr>
        <w:tc>
          <w:tcPr>
            <w:tcW w:w="1840" w:type="dxa"/>
            <w:tcBorders>
              <w:left w:val="single" w:sz="8" w:space="0" w:color="auto"/>
              <w:right w:val="single" w:sz="8" w:space="0" w:color="auto"/>
            </w:tcBorders>
            <w:shd w:val="clear" w:color="auto" w:fill="auto"/>
            <w:vAlign w:val="bottom"/>
          </w:tcPr>
          <w:p w14:paraId="30F0B0E6" w14:textId="77777777" w:rsidR="00A52778" w:rsidRPr="00460F9E" w:rsidRDefault="00A52778" w:rsidP="00FC3F8E">
            <w:pPr>
              <w:spacing w:line="0" w:lineRule="atLeast"/>
              <w:rPr>
                <w:rFonts w:eastAsia="Times New Roman" w:cs="Times New Roman"/>
                <w:b/>
                <w:sz w:val="15"/>
              </w:rPr>
            </w:pPr>
          </w:p>
        </w:tc>
        <w:tc>
          <w:tcPr>
            <w:tcW w:w="1640" w:type="dxa"/>
            <w:vMerge/>
            <w:tcBorders>
              <w:right w:val="single" w:sz="8" w:space="0" w:color="auto"/>
            </w:tcBorders>
            <w:shd w:val="clear" w:color="auto" w:fill="auto"/>
            <w:vAlign w:val="bottom"/>
          </w:tcPr>
          <w:p w14:paraId="1CBF22C0" w14:textId="77777777" w:rsidR="00A52778" w:rsidRPr="00460F9E" w:rsidRDefault="00A52778" w:rsidP="00FC3F8E">
            <w:pPr>
              <w:spacing w:line="208" w:lineRule="exact"/>
              <w:jc w:val="center"/>
              <w:rPr>
                <w:rFonts w:eastAsia="Times New Roman" w:cs="Times New Roman"/>
                <w:b/>
                <w:sz w:val="15"/>
              </w:rPr>
            </w:pPr>
          </w:p>
        </w:tc>
        <w:tc>
          <w:tcPr>
            <w:tcW w:w="1240" w:type="dxa"/>
            <w:vMerge/>
            <w:tcBorders>
              <w:right w:val="single" w:sz="8" w:space="0" w:color="auto"/>
            </w:tcBorders>
            <w:shd w:val="clear" w:color="auto" w:fill="auto"/>
            <w:vAlign w:val="bottom"/>
          </w:tcPr>
          <w:p w14:paraId="6BA4E641" w14:textId="77777777" w:rsidR="00A52778" w:rsidRPr="00460F9E" w:rsidRDefault="00A52778" w:rsidP="00FC3F8E">
            <w:pPr>
              <w:spacing w:line="223" w:lineRule="exact"/>
              <w:jc w:val="center"/>
              <w:rPr>
                <w:rFonts w:eastAsia="Times New Roman" w:cs="Times New Roman"/>
                <w:b/>
                <w:w w:val="95"/>
              </w:rPr>
            </w:pPr>
          </w:p>
        </w:tc>
        <w:tc>
          <w:tcPr>
            <w:tcW w:w="1920" w:type="dxa"/>
            <w:vMerge/>
            <w:tcBorders>
              <w:right w:val="single" w:sz="8" w:space="0" w:color="auto"/>
            </w:tcBorders>
            <w:shd w:val="clear" w:color="auto" w:fill="auto"/>
            <w:vAlign w:val="bottom"/>
          </w:tcPr>
          <w:p w14:paraId="302248E5" w14:textId="77777777" w:rsidR="00A52778" w:rsidRPr="00460F9E" w:rsidRDefault="00A52778" w:rsidP="00FC3F8E">
            <w:pPr>
              <w:spacing w:line="0" w:lineRule="atLeast"/>
              <w:rPr>
                <w:rFonts w:eastAsia="Times New Roman" w:cs="Times New Roman"/>
                <w:b/>
                <w:sz w:val="15"/>
              </w:rPr>
            </w:pPr>
          </w:p>
        </w:tc>
        <w:tc>
          <w:tcPr>
            <w:tcW w:w="1260" w:type="dxa"/>
            <w:vMerge/>
            <w:tcBorders>
              <w:right w:val="single" w:sz="8" w:space="0" w:color="auto"/>
            </w:tcBorders>
            <w:shd w:val="clear" w:color="auto" w:fill="auto"/>
            <w:vAlign w:val="bottom"/>
          </w:tcPr>
          <w:p w14:paraId="2E5347A5" w14:textId="77777777" w:rsidR="00A52778" w:rsidRPr="00460F9E" w:rsidRDefault="00A52778" w:rsidP="00FC3F8E">
            <w:pPr>
              <w:spacing w:line="0" w:lineRule="atLeast"/>
              <w:rPr>
                <w:rFonts w:eastAsia="Times New Roman" w:cs="Times New Roman"/>
                <w:b/>
                <w:sz w:val="15"/>
              </w:rPr>
            </w:pPr>
          </w:p>
        </w:tc>
        <w:tc>
          <w:tcPr>
            <w:tcW w:w="1380" w:type="dxa"/>
            <w:tcBorders>
              <w:right w:val="single" w:sz="8" w:space="0" w:color="auto"/>
            </w:tcBorders>
            <w:shd w:val="clear" w:color="auto" w:fill="auto"/>
            <w:vAlign w:val="bottom"/>
          </w:tcPr>
          <w:p w14:paraId="4BF03F3C" w14:textId="77777777" w:rsidR="00A52778" w:rsidRPr="00460F9E" w:rsidRDefault="00A52778" w:rsidP="00FC3F8E">
            <w:pPr>
              <w:spacing w:line="0" w:lineRule="atLeast"/>
              <w:rPr>
                <w:rFonts w:eastAsia="Times New Roman" w:cs="Times New Roman"/>
                <w:b/>
                <w:sz w:val="15"/>
              </w:rPr>
            </w:pPr>
          </w:p>
        </w:tc>
      </w:tr>
      <w:tr w:rsidR="00A52778" w:rsidRPr="00460F9E" w14:paraId="0937A137" w14:textId="77777777" w:rsidTr="00FC3F8E">
        <w:trPr>
          <w:trHeight w:val="42"/>
        </w:trPr>
        <w:tc>
          <w:tcPr>
            <w:tcW w:w="1840" w:type="dxa"/>
            <w:tcBorders>
              <w:left w:val="single" w:sz="8" w:space="0" w:color="auto"/>
              <w:right w:val="single" w:sz="8" w:space="0" w:color="auto"/>
            </w:tcBorders>
            <w:shd w:val="clear" w:color="auto" w:fill="auto"/>
            <w:vAlign w:val="bottom"/>
          </w:tcPr>
          <w:p w14:paraId="30F47BF0" w14:textId="77777777" w:rsidR="00A52778" w:rsidRPr="00460F9E" w:rsidRDefault="00A52778" w:rsidP="00FC3F8E">
            <w:pPr>
              <w:spacing w:line="0" w:lineRule="atLeast"/>
              <w:rPr>
                <w:rFonts w:eastAsia="Times New Roman" w:cs="Times New Roman"/>
                <w:b/>
                <w:sz w:val="3"/>
              </w:rPr>
            </w:pPr>
          </w:p>
        </w:tc>
        <w:tc>
          <w:tcPr>
            <w:tcW w:w="1640" w:type="dxa"/>
            <w:vMerge/>
            <w:tcBorders>
              <w:right w:val="single" w:sz="8" w:space="0" w:color="auto"/>
            </w:tcBorders>
            <w:shd w:val="clear" w:color="auto" w:fill="auto"/>
            <w:vAlign w:val="bottom"/>
          </w:tcPr>
          <w:p w14:paraId="2E437025" w14:textId="77777777" w:rsidR="00A52778" w:rsidRPr="00460F9E" w:rsidRDefault="00A52778" w:rsidP="00FC3F8E">
            <w:pPr>
              <w:spacing w:line="208" w:lineRule="exact"/>
              <w:jc w:val="center"/>
              <w:rPr>
                <w:rFonts w:eastAsia="Times New Roman" w:cs="Times New Roman"/>
                <w:b/>
                <w:sz w:val="3"/>
              </w:rPr>
            </w:pPr>
          </w:p>
        </w:tc>
        <w:tc>
          <w:tcPr>
            <w:tcW w:w="1240" w:type="dxa"/>
            <w:vMerge/>
            <w:tcBorders>
              <w:right w:val="single" w:sz="8" w:space="0" w:color="auto"/>
            </w:tcBorders>
            <w:shd w:val="clear" w:color="auto" w:fill="auto"/>
            <w:vAlign w:val="bottom"/>
          </w:tcPr>
          <w:p w14:paraId="6C31F9A1" w14:textId="77777777" w:rsidR="00A52778" w:rsidRPr="00460F9E" w:rsidRDefault="00A52778" w:rsidP="00FC3F8E">
            <w:pPr>
              <w:spacing w:line="223" w:lineRule="exact"/>
              <w:jc w:val="center"/>
              <w:rPr>
                <w:rFonts w:eastAsia="Times New Roman" w:cs="Times New Roman"/>
                <w:b/>
                <w:sz w:val="3"/>
              </w:rPr>
            </w:pPr>
          </w:p>
        </w:tc>
        <w:tc>
          <w:tcPr>
            <w:tcW w:w="1920" w:type="dxa"/>
            <w:vMerge/>
            <w:tcBorders>
              <w:right w:val="single" w:sz="8" w:space="0" w:color="auto"/>
            </w:tcBorders>
            <w:shd w:val="clear" w:color="auto" w:fill="auto"/>
            <w:vAlign w:val="bottom"/>
          </w:tcPr>
          <w:p w14:paraId="54428C8C" w14:textId="77777777" w:rsidR="00A52778" w:rsidRPr="00460F9E" w:rsidRDefault="00A52778" w:rsidP="00FC3F8E">
            <w:pPr>
              <w:spacing w:line="0" w:lineRule="atLeast"/>
              <w:rPr>
                <w:rFonts w:eastAsia="Times New Roman" w:cs="Times New Roman"/>
                <w:b/>
                <w:sz w:val="3"/>
              </w:rPr>
            </w:pPr>
          </w:p>
        </w:tc>
        <w:tc>
          <w:tcPr>
            <w:tcW w:w="1260" w:type="dxa"/>
            <w:vMerge/>
            <w:tcBorders>
              <w:right w:val="single" w:sz="8" w:space="0" w:color="auto"/>
            </w:tcBorders>
            <w:shd w:val="clear" w:color="auto" w:fill="auto"/>
            <w:vAlign w:val="bottom"/>
          </w:tcPr>
          <w:p w14:paraId="1816C8D4" w14:textId="77777777" w:rsidR="00A52778" w:rsidRPr="00460F9E" w:rsidRDefault="00A52778" w:rsidP="00FC3F8E">
            <w:pPr>
              <w:spacing w:line="0" w:lineRule="atLeast"/>
              <w:rPr>
                <w:rFonts w:eastAsia="Times New Roman" w:cs="Times New Roman"/>
                <w:b/>
                <w:sz w:val="3"/>
              </w:rPr>
            </w:pPr>
          </w:p>
        </w:tc>
        <w:tc>
          <w:tcPr>
            <w:tcW w:w="1380" w:type="dxa"/>
            <w:tcBorders>
              <w:right w:val="single" w:sz="8" w:space="0" w:color="auto"/>
            </w:tcBorders>
            <w:shd w:val="clear" w:color="auto" w:fill="auto"/>
            <w:vAlign w:val="bottom"/>
          </w:tcPr>
          <w:p w14:paraId="3D232B0F" w14:textId="77777777" w:rsidR="00A52778" w:rsidRPr="00460F9E" w:rsidRDefault="00A52778" w:rsidP="00FC3F8E">
            <w:pPr>
              <w:spacing w:line="0" w:lineRule="atLeast"/>
              <w:rPr>
                <w:rFonts w:eastAsia="Times New Roman" w:cs="Times New Roman"/>
                <w:b/>
                <w:sz w:val="3"/>
              </w:rPr>
            </w:pPr>
          </w:p>
        </w:tc>
      </w:tr>
      <w:tr w:rsidR="00A52778" w:rsidRPr="00460F9E" w14:paraId="6BCB7F0C" w14:textId="77777777" w:rsidTr="00FC3F8E">
        <w:trPr>
          <w:trHeight w:val="245"/>
        </w:trPr>
        <w:tc>
          <w:tcPr>
            <w:tcW w:w="1840" w:type="dxa"/>
            <w:tcBorders>
              <w:left w:val="single" w:sz="8" w:space="0" w:color="auto"/>
              <w:right w:val="single" w:sz="8" w:space="0" w:color="auto"/>
            </w:tcBorders>
            <w:shd w:val="clear" w:color="auto" w:fill="auto"/>
            <w:vAlign w:val="bottom"/>
          </w:tcPr>
          <w:p w14:paraId="36306863" w14:textId="77777777" w:rsidR="00A52778" w:rsidRPr="00460F9E" w:rsidRDefault="00A52778" w:rsidP="00FC3F8E">
            <w:pPr>
              <w:spacing w:line="0" w:lineRule="atLeast"/>
              <w:rPr>
                <w:rFonts w:eastAsia="Times New Roman" w:cs="Times New Roman"/>
                <w:b/>
                <w:sz w:val="21"/>
              </w:rPr>
            </w:pPr>
          </w:p>
        </w:tc>
        <w:tc>
          <w:tcPr>
            <w:tcW w:w="1640" w:type="dxa"/>
            <w:vMerge/>
            <w:tcBorders>
              <w:right w:val="single" w:sz="8" w:space="0" w:color="auto"/>
            </w:tcBorders>
            <w:shd w:val="clear" w:color="auto" w:fill="auto"/>
            <w:vAlign w:val="bottom"/>
          </w:tcPr>
          <w:p w14:paraId="7A217AA6" w14:textId="77777777" w:rsidR="00A52778" w:rsidRPr="00460F9E" w:rsidRDefault="00A52778" w:rsidP="00FC3F8E">
            <w:pPr>
              <w:spacing w:line="208" w:lineRule="exact"/>
              <w:jc w:val="center"/>
              <w:rPr>
                <w:rFonts w:eastAsia="Times New Roman" w:cs="Times New Roman"/>
                <w:b/>
                <w:w w:val="97"/>
              </w:rPr>
            </w:pPr>
          </w:p>
        </w:tc>
        <w:tc>
          <w:tcPr>
            <w:tcW w:w="1240" w:type="dxa"/>
            <w:vMerge/>
            <w:tcBorders>
              <w:bottom w:val="single" w:sz="8" w:space="0" w:color="auto"/>
              <w:right w:val="single" w:sz="8" w:space="0" w:color="auto"/>
            </w:tcBorders>
            <w:shd w:val="clear" w:color="auto" w:fill="auto"/>
            <w:vAlign w:val="bottom"/>
          </w:tcPr>
          <w:p w14:paraId="716B2697" w14:textId="77777777" w:rsidR="00A52778" w:rsidRPr="00460F9E" w:rsidRDefault="00A52778" w:rsidP="00FC3F8E">
            <w:pPr>
              <w:spacing w:line="223" w:lineRule="exact"/>
              <w:jc w:val="center"/>
              <w:rPr>
                <w:rFonts w:eastAsia="Times New Roman" w:cs="Times New Roman"/>
                <w:b/>
              </w:rPr>
            </w:pPr>
          </w:p>
        </w:tc>
        <w:tc>
          <w:tcPr>
            <w:tcW w:w="1920" w:type="dxa"/>
            <w:vMerge/>
            <w:tcBorders>
              <w:bottom w:val="single" w:sz="8" w:space="0" w:color="auto"/>
              <w:right w:val="single" w:sz="8" w:space="0" w:color="auto"/>
            </w:tcBorders>
            <w:shd w:val="clear" w:color="auto" w:fill="auto"/>
            <w:vAlign w:val="bottom"/>
          </w:tcPr>
          <w:p w14:paraId="36B46B76" w14:textId="77777777" w:rsidR="00A52778" w:rsidRPr="00460F9E" w:rsidRDefault="00A52778" w:rsidP="00FC3F8E">
            <w:pPr>
              <w:spacing w:line="0" w:lineRule="atLeast"/>
              <w:rPr>
                <w:rFonts w:eastAsia="Times New Roman" w:cs="Times New Roman"/>
                <w:b/>
                <w:sz w:val="21"/>
              </w:rPr>
            </w:pPr>
          </w:p>
        </w:tc>
        <w:tc>
          <w:tcPr>
            <w:tcW w:w="1260" w:type="dxa"/>
            <w:vMerge/>
            <w:tcBorders>
              <w:bottom w:val="single" w:sz="8" w:space="0" w:color="auto"/>
              <w:right w:val="single" w:sz="8" w:space="0" w:color="auto"/>
            </w:tcBorders>
            <w:shd w:val="clear" w:color="auto" w:fill="auto"/>
            <w:vAlign w:val="bottom"/>
          </w:tcPr>
          <w:p w14:paraId="428B6A67" w14:textId="77777777" w:rsidR="00A52778" w:rsidRPr="00460F9E" w:rsidRDefault="00A52778" w:rsidP="00FC3F8E">
            <w:pPr>
              <w:spacing w:line="0" w:lineRule="atLeast"/>
              <w:rPr>
                <w:rFonts w:eastAsia="Times New Roman" w:cs="Times New Roman"/>
                <w:b/>
                <w:sz w:val="21"/>
              </w:rPr>
            </w:pPr>
          </w:p>
        </w:tc>
        <w:tc>
          <w:tcPr>
            <w:tcW w:w="1380" w:type="dxa"/>
            <w:vMerge w:val="restart"/>
            <w:tcBorders>
              <w:right w:val="single" w:sz="8" w:space="0" w:color="auto"/>
            </w:tcBorders>
            <w:shd w:val="clear" w:color="auto" w:fill="auto"/>
            <w:vAlign w:val="bottom"/>
          </w:tcPr>
          <w:p w14:paraId="797DD7C4" w14:textId="77777777" w:rsidR="00A52778" w:rsidRPr="00460F9E" w:rsidRDefault="002A1746" w:rsidP="00FC3F8E">
            <w:pPr>
              <w:spacing w:line="0" w:lineRule="atLeast"/>
              <w:jc w:val="center"/>
              <w:rPr>
                <w:rFonts w:eastAsia="Times New Roman" w:cs="Times New Roman"/>
                <w:b/>
              </w:rPr>
            </w:pPr>
            <w:hyperlink w:anchor="page307" w:history="1">
              <w:r w:rsidR="00A52778" w:rsidRPr="00460F9E">
                <w:rPr>
                  <w:rFonts w:eastAsia="Times New Roman" w:cs="Times New Roman"/>
                </w:rPr>
                <w:t>MET 16</w:t>
              </w:r>
            </w:hyperlink>
          </w:p>
        </w:tc>
      </w:tr>
      <w:tr w:rsidR="00A52778" w:rsidRPr="00460F9E" w14:paraId="675BB1CE" w14:textId="77777777" w:rsidTr="00FC3F8E">
        <w:trPr>
          <w:trHeight w:val="93"/>
        </w:trPr>
        <w:tc>
          <w:tcPr>
            <w:tcW w:w="1840" w:type="dxa"/>
            <w:tcBorders>
              <w:left w:val="single" w:sz="8" w:space="0" w:color="auto"/>
              <w:right w:val="single" w:sz="8" w:space="0" w:color="auto"/>
            </w:tcBorders>
            <w:shd w:val="clear" w:color="auto" w:fill="auto"/>
            <w:vAlign w:val="bottom"/>
          </w:tcPr>
          <w:p w14:paraId="78D5F182" w14:textId="77777777" w:rsidR="00A52778" w:rsidRPr="00460F9E" w:rsidRDefault="00A52778" w:rsidP="00FC3F8E">
            <w:pPr>
              <w:spacing w:line="0" w:lineRule="atLeast"/>
              <w:rPr>
                <w:rFonts w:eastAsia="Times New Roman" w:cs="Times New Roman"/>
                <w:b/>
                <w:sz w:val="8"/>
              </w:rPr>
            </w:pPr>
          </w:p>
        </w:tc>
        <w:tc>
          <w:tcPr>
            <w:tcW w:w="1640" w:type="dxa"/>
            <w:vMerge/>
            <w:tcBorders>
              <w:right w:val="single" w:sz="8" w:space="0" w:color="auto"/>
            </w:tcBorders>
            <w:shd w:val="clear" w:color="auto" w:fill="auto"/>
            <w:vAlign w:val="bottom"/>
          </w:tcPr>
          <w:p w14:paraId="429EF5B2" w14:textId="77777777" w:rsidR="00A52778" w:rsidRPr="00460F9E" w:rsidRDefault="00A52778" w:rsidP="00FC3F8E">
            <w:pPr>
              <w:spacing w:line="208" w:lineRule="exact"/>
              <w:jc w:val="center"/>
              <w:rPr>
                <w:rFonts w:eastAsia="Times New Roman" w:cs="Times New Roman"/>
                <w:b/>
              </w:rPr>
            </w:pPr>
          </w:p>
        </w:tc>
        <w:tc>
          <w:tcPr>
            <w:tcW w:w="1240" w:type="dxa"/>
            <w:vMerge w:val="restart"/>
            <w:tcBorders>
              <w:right w:val="single" w:sz="8" w:space="0" w:color="auto"/>
            </w:tcBorders>
            <w:shd w:val="clear" w:color="auto" w:fill="auto"/>
            <w:vAlign w:val="center"/>
          </w:tcPr>
          <w:p w14:paraId="67449609" w14:textId="77777777" w:rsidR="00A52778" w:rsidRPr="00460F9E" w:rsidRDefault="00A52778" w:rsidP="00FC3F8E">
            <w:pPr>
              <w:spacing w:line="219" w:lineRule="exact"/>
              <w:jc w:val="center"/>
              <w:rPr>
                <w:rFonts w:eastAsia="Times New Roman" w:cs="Times New Roman"/>
                <w:b/>
                <w:w w:val="99"/>
              </w:rPr>
            </w:pPr>
            <w:r w:rsidRPr="00460F9E">
              <w:rPr>
                <w:rFonts w:eastAsia="Times New Roman" w:cs="Times New Roman"/>
                <w:w w:val="99"/>
              </w:rPr>
              <w:t>SO</w:t>
            </w:r>
            <w:r w:rsidRPr="00460F9E">
              <w:rPr>
                <w:rFonts w:eastAsia="Times New Roman" w:cs="Times New Roman"/>
                <w:w w:val="99"/>
                <w:sz w:val="12"/>
              </w:rPr>
              <w:t>2</w:t>
            </w:r>
            <w:r w:rsidRPr="00460F9E">
              <w:rPr>
                <w:rFonts w:eastAsia="Times New Roman" w:cs="Times New Roman"/>
                <w:w w:val="99"/>
              </w:rPr>
              <w:t xml:space="preserve"> kütle akışı &lt; 2,5 kg/saat olan herhangi bir baca</w:t>
            </w:r>
          </w:p>
        </w:tc>
        <w:tc>
          <w:tcPr>
            <w:tcW w:w="1920" w:type="dxa"/>
            <w:tcBorders>
              <w:right w:val="single" w:sz="8" w:space="0" w:color="auto"/>
            </w:tcBorders>
            <w:shd w:val="clear" w:color="auto" w:fill="auto"/>
            <w:vAlign w:val="bottom"/>
          </w:tcPr>
          <w:p w14:paraId="4D3CD872" w14:textId="77777777" w:rsidR="00A52778" w:rsidRPr="00460F9E" w:rsidRDefault="00A52778" w:rsidP="00FC3F8E">
            <w:pPr>
              <w:spacing w:line="0" w:lineRule="atLeast"/>
              <w:rPr>
                <w:rFonts w:eastAsia="Times New Roman" w:cs="Times New Roman"/>
                <w:b/>
                <w:sz w:val="8"/>
              </w:rPr>
            </w:pPr>
          </w:p>
        </w:tc>
        <w:tc>
          <w:tcPr>
            <w:tcW w:w="1260" w:type="dxa"/>
            <w:vMerge w:val="restart"/>
            <w:tcBorders>
              <w:right w:val="single" w:sz="8" w:space="0" w:color="auto"/>
            </w:tcBorders>
            <w:shd w:val="clear" w:color="auto" w:fill="auto"/>
            <w:vAlign w:val="center"/>
          </w:tcPr>
          <w:p w14:paraId="32486CF3"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Her 6 ayda</w:t>
            </w:r>
          </w:p>
          <w:p w14:paraId="1F887075" w14:textId="77777777" w:rsidR="00A52778" w:rsidRPr="00460F9E" w:rsidRDefault="00A52778" w:rsidP="00FC3F8E">
            <w:pPr>
              <w:spacing w:line="232" w:lineRule="exact"/>
              <w:ind w:right="280"/>
              <w:jc w:val="center"/>
              <w:rPr>
                <w:rFonts w:eastAsia="Times New Roman" w:cs="Times New Roman"/>
                <w:b/>
              </w:rPr>
            </w:pPr>
            <w:r w:rsidRPr="00460F9E">
              <w:rPr>
                <w:rFonts w:eastAsia="Times New Roman" w:cs="Times New Roman"/>
              </w:rPr>
              <w:t xml:space="preserve">     1 kere</w:t>
            </w:r>
          </w:p>
          <w:p w14:paraId="504F0B99" w14:textId="77777777" w:rsidR="00A52778" w:rsidRPr="00460F9E" w:rsidRDefault="00A52778" w:rsidP="00FC3F8E">
            <w:pPr>
              <w:spacing w:line="241" w:lineRule="exact"/>
              <w:jc w:val="center"/>
              <w:rPr>
                <w:rFonts w:eastAsia="Times New Roman" w:cs="Times New Roman"/>
                <w:b/>
                <w:sz w:val="8"/>
              </w:rPr>
            </w:pPr>
            <w:r w:rsidRPr="00460F9E">
              <w:rPr>
                <w:rFonts w:eastAsia="Times New Roman" w:cs="Times New Roman"/>
                <w:w w:val="90"/>
              </w:rPr>
              <w:t>(</w:t>
            </w:r>
            <w:r w:rsidRPr="00460F9E">
              <w:rPr>
                <w:rFonts w:eastAsia="Times New Roman" w:cs="Times New Roman"/>
                <w:w w:val="90"/>
                <w:sz w:val="25"/>
                <w:vertAlign w:val="superscript"/>
              </w:rPr>
              <w:t>3</w:t>
            </w:r>
            <w:r w:rsidRPr="00460F9E">
              <w:rPr>
                <w:rFonts w:eastAsia="Times New Roman" w:cs="Times New Roman"/>
                <w:w w:val="90"/>
              </w:rPr>
              <w:t>) (</w:t>
            </w:r>
            <w:r w:rsidRPr="00460F9E">
              <w:rPr>
                <w:rFonts w:eastAsia="Times New Roman" w:cs="Times New Roman"/>
                <w:w w:val="90"/>
                <w:sz w:val="25"/>
                <w:vertAlign w:val="superscript"/>
              </w:rPr>
              <w:t>4</w:t>
            </w:r>
            <w:r w:rsidRPr="00460F9E">
              <w:rPr>
                <w:rFonts w:eastAsia="Times New Roman" w:cs="Times New Roman"/>
                <w:w w:val="90"/>
              </w:rPr>
              <w:t>)</w:t>
            </w:r>
          </w:p>
        </w:tc>
        <w:tc>
          <w:tcPr>
            <w:tcW w:w="1380" w:type="dxa"/>
            <w:vMerge/>
            <w:tcBorders>
              <w:right w:val="single" w:sz="8" w:space="0" w:color="auto"/>
            </w:tcBorders>
            <w:shd w:val="clear" w:color="auto" w:fill="auto"/>
            <w:vAlign w:val="bottom"/>
          </w:tcPr>
          <w:p w14:paraId="037CD749" w14:textId="77777777" w:rsidR="00A52778" w:rsidRPr="00460F9E" w:rsidRDefault="00A52778" w:rsidP="00FC3F8E">
            <w:pPr>
              <w:spacing w:line="0" w:lineRule="atLeast"/>
              <w:rPr>
                <w:rFonts w:eastAsia="Times New Roman" w:cs="Times New Roman"/>
                <w:b/>
                <w:sz w:val="8"/>
              </w:rPr>
            </w:pPr>
          </w:p>
        </w:tc>
      </w:tr>
      <w:tr w:rsidR="00A52778" w:rsidRPr="00460F9E" w14:paraId="6020A6DB" w14:textId="77777777" w:rsidTr="00FC3F8E">
        <w:trPr>
          <w:trHeight w:val="127"/>
        </w:trPr>
        <w:tc>
          <w:tcPr>
            <w:tcW w:w="1840" w:type="dxa"/>
            <w:tcBorders>
              <w:left w:val="single" w:sz="8" w:space="0" w:color="auto"/>
              <w:right w:val="single" w:sz="8" w:space="0" w:color="auto"/>
            </w:tcBorders>
            <w:shd w:val="clear" w:color="auto" w:fill="auto"/>
            <w:vAlign w:val="bottom"/>
          </w:tcPr>
          <w:p w14:paraId="43C12512" w14:textId="77777777" w:rsidR="00A52778" w:rsidRPr="00460F9E" w:rsidRDefault="00A52778" w:rsidP="00FC3F8E">
            <w:pPr>
              <w:spacing w:line="0" w:lineRule="atLeast"/>
              <w:rPr>
                <w:rFonts w:eastAsia="Times New Roman" w:cs="Times New Roman"/>
                <w:b/>
                <w:sz w:val="11"/>
              </w:rPr>
            </w:pPr>
          </w:p>
        </w:tc>
        <w:tc>
          <w:tcPr>
            <w:tcW w:w="1640" w:type="dxa"/>
            <w:vMerge/>
            <w:tcBorders>
              <w:right w:val="single" w:sz="8" w:space="0" w:color="auto"/>
            </w:tcBorders>
            <w:shd w:val="clear" w:color="auto" w:fill="auto"/>
            <w:vAlign w:val="bottom"/>
          </w:tcPr>
          <w:p w14:paraId="63B7F955" w14:textId="77777777" w:rsidR="00A52778" w:rsidRPr="00460F9E" w:rsidRDefault="00A52778" w:rsidP="00FC3F8E">
            <w:pPr>
              <w:spacing w:line="0" w:lineRule="atLeast"/>
              <w:rPr>
                <w:rFonts w:eastAsia="Times New Roman" w:cs="Times New Roman"/>
                <w:b/>
                <w:sz w:val="11"/>
              </w:rPr>
            </w:pPr>
          </w:p>
        </w:tc>
        <w:tc>
          <w:tcPr>
            <w:tcW w:w="1240" w:type="dxa"/>
            <w:vMerge/>
            <w:tcBorders>
              <w:right w:val="single" w:sz="8" w:space="0" w:color="auto"/>
            </w:tcBorders>
            <w:shd w:val="clear" w:color="auto" w:fill="auto"/>
            <w:vAlign w:val="bottom"/>
          </w:tcPr>
          <w:p w14:paraId="23E50AE5" w14:textId="77777777" w:rsidR="00A52778" w:rsidRPr="00460F9E" w:rsidRDefault="00A52778" w:rsidP="00FC3F8E">
            <w:pPr>
              <w:spacing w:line="219" w:lineRule="exact"/>
              <w:jc w:val="center"/>
              <w:rPr>
                <w:rFonts w:eastAsia="Times New Roman" w:cs="Times New Roman"/>
                <w:b/>
                <w:sz w:val="11"/>
              </w:rPr>
            </w:pPr>
          </w:p>
        </w:tc>
        <w:tc>
          <w:tcPr>
            <w:tcW w:w="1920" w:type="dxa"/>
            <w:tcBorders>
              <w:right w:val="single" w:sz="8" w:space="0" w:color="auto"/>
            </w:tcBorders>
            <w:shd w:val="clear" w:color="auto" w:fill="auto"/>
            <w:vAlign w:val="bottom"/>
          </w:tcPr>
          <w:p w14:paraId="24DFC4F1" w14:textId="77777777" w:rsidR="00A52778" w:rsidRPr="00460F9E" w:rsidRDefault="00A52778" w:rsidP="00FC3F8E">
            <w:pPr>
              <w:spacing w:line="0" w:lineRule="atLeast"/>
              <w:rPr>
                <w:rFonts w:eastAsia="Times New Roman" w:cs="Times New Roman"/>
                <w:b/>
                <w:sz w:val="11"/>
              </w:rPr>
            </w:pPr>
          </w:p>
        </w:tc>
        <w:tc>
          <w:tcPr>
            <w:tcW w:w="1260" w:type="dxa"/>
            <w:vMerge/>
            <w:tcBorders>
              <w:right w:val="single" w:sz="8" w:space="0" w:color="auto"/>
            </w:tcBorders>
            <w:shd w:val="clear" w:color="auto" w:fill="auto"/>
            <w:vAlign w:val="bottom"/>
          </w:tcPr>
          <w:p w14:paraId="37930B8C" w14:textId="77777777" w:rsidR="00A52778" w:rsidRPr="00460F9E" w:rsidRDefault="00A52778" w:rsidP="00FC3F8E">
            <w:pPr>
              <w:spacing w:line="241" w:lineRule="exact"/>
              <w:jc w:val="center"/>
              <w:rPr>
                <w:rFonts w:eastAsia="Times New Roman" w:cs="Times New Roman"/>
                <w:b/>
                <w:sz w:val="11"/>
              </w:rPr>
            </w:pPr>
          </w:p>
        </w:tc>
        <w:tc>
          <w:tcPr>
            <w:tcW w:w="1380" w:type="dxa"/>
            <w:tcBorders>
              <w:right w:val="single" w:sz="8" w:space="0" w:color="auto"/>
            </w:tcBorders>
            <w:shd w:val="clear" w:color="auto" w:fill="auto"/>
            <w:vAlign w:val="bottom"/>
          </w:tcPr>
          <w:p w14:paraId="1F2EC3F7" w14:textId="77777777" w:rsidR="00A52778" w:rsidRPr="00460F9E" w:rsidRDefault="00A52778" w:rsidP="00FC3F8E">
            <w:pPr>
              <w:spacing w:line="0" w:lineRule="atLeast"/>
              <w:rPr>
                <w:rFonts w:eastAsia="Times New Roman" w:cs="Times New Roman"/>
                <w:b/>
                <w:sz w:val="11"/>
              </w:rPr>
            </w:pPr>
          </w:p>
        </w:tc>
      </w:tr>
      <w:tr w:rsidR="00A52778" w:rsidRPr="00460F9E" w14:paraId="57236E9A" w14:textId="77777777" w:rsidTr="00FC3F8E">
        <w:trPr>
          <w:trHeight w:val="234"/>
        </w:trPr>
        <w:tc>
          <w:tcPr>
            <w:tcW w:w="1840" w:type="dxa"/>
            <w:tcBorders>
              <w:left w:val="single" w:sz="8" w:space="0" w:color="auto"/>
              <w:right w:val="single" w:sz="8" w:space="0" w:color="auto"/>
            </w:tcBorders>
            <w:shd w:val="clear" w:color="auto" w:fill="auto"/>
            <w:vAlign w:val="bottom"/>
          </w:tcPr>
          <w:p w14:paraId="5FAE0E60" w14:textId="77777777" w:rsidR="00A52778" w:rsidRPr="00460F9E" w:rsidRDefault="00A52778" w:rsidP="00FC3F8E">
            <w:pPr>
              <w:spacing w:line="0" w:lineRule="atLeast"/>
              <w:rPr>
                <w:rFonts w:eastAsia="Times New Roman" w:cs="Times New Roman"/>
                <w:b/>
              </w:rPr>
            </w:pPr>
          </w:p>
        </w:tc>
        <w:tc>
          <w:tcPr>
            <w:tcW w:w="1640" w:type="dxa"/>
            <w:vMerge/>
            <w:tcBorders>
              <w:right w:val="single" w:sz="8" w:space="0" w:color="auto"/>
            </w:tcBorders>
            <w:shd w:val="clear" w:color="auto" w:fill="auto"/>
            <w:vAlign w:val="bottom"/>
          </w:tcPr>
          <w:p w14:paraId="336A6B84" w14:textId="77777777" w:rsidR="00A52778" w:rsidRPr="00460F9E" w:rsidRDefault="00A52778" w:rsidP="00FC3F8E">
            <w:pPr>
              <w:spacing w:line="0" w:lineRule="atLeast"/>
              <w:rPr>
                <w:rFonts w:eastAsia="Times New Roman" w:cs="Times New Roman"/>
                <w:b/>
              </w:rPr>
            </w:pPr>
          </w:p>
        </w:tc>
        <w:tc>
          <w:tcPr>
            <w:tcW w:w="1240" w:type="dxa"/>
            <w:vMerge/>
            <w:tcBorders>
              <w:right w:val="single" w:sz="8" w:space="0" w:color="auto"/>
            </w:tcBorders>
            <w:shd w:val="clear" w:color="auto" w:fill="auto"/>
            <w:vAlign w:val="bottom"/>
          </w:tcPr>
          <w:p w14:paraId="14AB7D59" w14:textId="77777777" w:rsidR="00A52778" w:rsidRPr="00460F9E" w:rsidRDefault="00A52778" w:rsidP="00FC3F8E">
            <w:pPr>
              <w:spacing w:line="219" w:lineRule="exact"/>
              <w:jc w:val="center"/>
              <w:rPr>
                <w:rFonts w:eastAsia="Times New Roman" w:cs="Times New Roman"/>
                <w:b/>
                <w:w w:val="99"/>
                <w:sz w:val="12"/>
              </w:rPr>
            </w:pPr>
          </w:p>
        </w:tc>
        <w:tc>
          <w:tcPr>
            <w:tcW w:w="1920" w:type="dxa"/>
            <w:tcBorders>
              <w:right w:val="single" w:sz="8" w:space="0" w:color="auto"/>
            </w:tcBorders>
            <w:shd w:val="clear" w:color="auto" w:fill="auto"/>
            <w:vAlign w:val="bottom"/>
          </w:tcPr>
          <w:p w14:paraId="11F4835F" w14:textId="77777777" w:rsidR="00A52778" w:rsidRPr="00460F9E" w:rsidRDefault="00A52778" w:rsidP="00FC3F8E">
            <w:pPr>
              <w:spacing w:line="0" w:lineRule="atLeast"/>
              <w:rPr>
                <w:rFonts w:eastAsia="Times New Roman" w:cs="Times New Roman"/>
                <w:b/>
              </w:rPr>
            </w:pPr>
          </w:p>
        </w:tc>
        <w:tc>
          <w:tcPr>
            <w:tcW w:w="1260" w:type="dxa"/>
            <w:vMerge/>
            <w:tcBorders>
              <w:right w:val="single" w:sz="8" w:space="0" w:color="auto"/>
            </w:tcBorders>
            <w:shd w:val="clear" w:color="auto" w:fill="auto"/>
            <w:vAlign w:val="bottom"/>
          </w:tcPr>
          <w:p w14:paraId="6C60844A" w14:textId="77777777" w:rsidR="00A52778" w:rsidRPr="00460F9E" w:rsidRDefault="00A52778" w:rsidP="00FC3F8E">
            <w:pPr>
              <w:spacing w:line="241" w:lineRule="exact"/>
              <w:jc w:val="center"/>
              <w:rPr>
                <w:rFonts w:eastAsia="Times New Roman" w:cs="Times New Roman"/>
                <w:b/>
              </w:rPr>
            </w:pPr>
          </w:p>
        </w:tc>
        <w:tc>
          <w:tcPr>
            <w:tcW w:w="1380" w:type="dxa"/>
            <w:tcBorders>
              <w:right w:val="single" w:sz="8" w:space="0" w:color="auto"/>
            </w:tcBorders>
            <w:shd w:val="clear" w:color="auto" w:fill="auto"/>
            <w:vAlign w:val="bottom"/>
          </w:tcPr>
          <w:p w14:paraId="4DBFEE3D" w14:textId="77777777" w:rsidR="00A52778" w:rsidRPr="00460F9E" w:rsidRDefault="00A52778" w:rsidP="00FC3F8E">
            <w:pPr>
              <w:spacing w:line="0" w:lineRule="atLeast"/>
              <w:rPr>
                <w:rFonts w:eastAsia="Times New Roman" w:cs="Times New Roman"/>
                <w:b/>
              </w:rPr>
            </w:pPr>
          </w:p>
        </w:tc>
      </w:tr>
      <w:tr w:rsidR="00A52778" w:rsidRPr="00460F9E" w14:paraId="428278D5" w14:textId="77777777" w:rsidTr="00FC3F8E">
        <w:trPr>
          <w:trHeight w:val="227"/>
        </w:trPr>
        <w:tc>
          <w:tcPr>
            <w:tcW w:w="1840" w:type="dxa"/>
            <w:tcBorders>
              <w:left w:val="single" w:sz="8" w:space="0" w:color="auto"/>
              <w:right w:val="single" w:sz="8" w:space="0" w:color="auto"/>
            </w:tcBorders>
            <w:shd w:val="clear" w:color="auto" w:fill="auto"/>
            <w:vAlign w:val="bottom"/>
          </w:tcPr>
          <w:p w14:paraId="0556FEFD" w14:textId="77777777" w:rsidR="00A52778" w:rsidRPr="00460F9E" w:rsidRDefault="00A52778" w:rsidP="00FC3F8E">
            <w:pPr>
              <w:spacing w:line="0" w:lineRule="atLeast"/>
              <w:rPr>
                <w:rFonts w:eastAsia="Times New Roman" w:cs="Times New Roman"/>
                <w:b/>
                <w:sz w:val="19"/>
              </w:rPr>
            </w:pPr>
          </w:p>
        </w:tc>
        <w:tc>
          <w:tcPr>
            <w:tcW w:w="1640" w:type="dxa"/>
            <w:vMerge/>
            <w:tcBorders>
              <w:right w:val="single" w:sz="8" w:space="0" w:color="auto"/>
            </w:tcBorders>
            <w:shd w:val="clear" w:color="auto" w:fill="auto"/>
            <w:vAlign w:val="bottom"/>
          </w:tcPr>
          <w:p w14:paraId="7580D8BE" w14:textId="77777777" w:rsidR="00A52778" w:rsidRPr="00460F9E" w:rsidRDefault="00A52778" w:rsidP="00FC3F8E">
            <w:pPr>
              <w:spacing w:line="0" w:lineRule="atLeast"/>
              <w:rPr>
                <w:rFonts w:eastAsia="Times New Roman" w:cs="Times New Roman"/>
                <w:b/>
                <w:sz w:val="19"/>
              </w:rPr>
            </w:pPr>
          </w:p>
        </w:tc>
        <w:tc>
          <w:tcPr>
            <w:tcW w:w="1240" w:type="dxa"/>
            <w:vMerge/>
            <w:tcBorders>
              <w:right w:val="single" w:sz="8" w:space="0" w:color="auto"/>
            </w:tcBorders>
            <w:shd w:val="clear" w:color="auto" w:fill="auto"/>
            <w:vAlign w:val="bottom"/>
          </w:tcPr>
          <w:p w14:paraId="6B07F100" w14:textId="77777777" w:rsidR="00A52778" w:rsidRPr="00460F9E" w:rsidRDefault="00A52778" w:rsidP="00FC3F8E">
            <w:pPr>
              <w:spacing w:line="219" w:lineRule="exact"/>
              <w:jc w:val="center"/>
              <w:rPr>
                <w:rFonts w:eastAsia="Times New Roman" w:cs="Times New Roman"/>
                <w:b/>
              </w:rPr>
            </w:pPr>
          </w:p>
        </w:tc>
        <w:tc>
          <w:tcPr>
            <w:tcW w:w="1920" w:type="dxa"/>
            <w:tcBorders>
              <w:right w:val="single" w:sz="8" w:space="0" w:color="auto"/>
            </w:tcBorders>
            <w:shd w:val="clear" w:color="auto" w:fill="auto"/>
            <w:vAlign w:val="bottom"/>
          </w:tcPr>
          <w:p w14:paraId="2AB57022" w14:textId="77777777" w:rsidR="00A52778" w:rsidRPr="00460F9E" w:rsidRDefault="00A52778" w:rsidP="00FC3F8E">
            <w:pPr>
              <w:spacing w:line="228" w:lineRule="exact"/>
              <w:jc w:val="center"/>
              <w:rPr>
                <w:rFonts w:eastAsia="Times New Roman" w:cs="Times New Roman"/>
                <w:b/>
              </w:rPr>
            </w:pPr>
            <w:r w:rsidRPr="00460F9E">
              <w:rPr>
                <w:rFonts w:eastAsia="Times New Roman" w:cs="Times New Roman"/>
              </w:rPr>
              <w:t>EN 14791</w:t>
            </w:r>
          </w:p>
        </w:tc>
        <w:tc>
          <w:tcPr>
            <w:tcW w:w="1260" w:type="dxa"/>
            <w:vMerge/>
            <w:tcBorders>
              <w:right w:val="single" w:sz="8" w:space="0" w:color="auto"/>
            </w:tcBorders>
            <w:shd w:val="clear" w:color="auto" w:fill="auto"/>
            <w:vAlign w:val="bottom"/>
          </w:tcPr>
          <w:p w14:paraId="0D9B87D2" w14:textId="77777777" w:rsidR="00A52778" w:rsidRPr="00460F9E" w:rsidRDefault="00A52778" w:rsidP="00FC3F8E">
            <w:pPr>
              <w:spacing w:line="241" w:lineRule="exact"/>
              <w:jc w:val="center"/>
              <w:rPr>
                <w:rFonts w:eastAsia="Times New Roman" w:cs="Times New Roman"/>
                <w:b/>
              </w:rPr>
            </w:pPr>
          </w:p>
        </w:tc>
        <w:tc>
          <w:tcPr>
            <w:tcW w:w="1380" w:type="dxa"/>
            <w:tcBorders>
              <w:right w:val="single" w:sz="8" w:space="0" w:color="auto"/>
            </w:tcBorders>
            <w:shd w:val="clear" w:color="auto" w:fill="auto"/>
            <w:vAlign w:val="bottom"/>
          </w:tcPr>
          <w:p w14:paraId="22B630FF" w14:textId="77777777" w:rsidR="00A52778" w:rsidRPr="00460F9E" w:rsidRDefault="00A52778" w:rsidP="00FC3F8E">
            <w:pPr>
              <w:spacing w:line="0" w:lineRule="atLeast"/>
              <w:rPr>
                <w:rFonts w:eastAsia="Times New Roman" w:cs="Times New Roman"/>
                <w:b/>
                <w:sz w:val="19"/>
              </w:rPr>
            </w:pPr>
          </w:p>
        </w:tc>
      </w:tr>
      <w:tr w:rsidR="00A52778" w:rsidRPr="00460F9E" w14:paraId="730B7741" w14:textId="77777777" w:rsidTr="00FC3F8E">
        <w:trPr>
          <w:trHeight w:val="242"/>
        </w:trPr>
        <w:tc>
          <w:tcPr>
            <w:tcW w:w="1840" w:type="dxa"/>
            <w:tcBorders>
              <w:left w:val="single" w:sz="8" w:space="0" w:color="auto"/>
              <w:right w:val="single" w:sz="8" w:space="0" w:color="auto"/>
            </w:tcBorders>
            <w:shd w:val="clear" w:color="auto" w:fill="auto"/>
            <w:vAlign w:val="bottom"/>
          </w:tcPr>
          <w:p w14:paraId="2262672F" w14:textId="77777777" w:rsidR="00A52778" w:rsidRPr="00460F9E" w:rsidRDefault="00A52778" w:rsidP="00FC3F8E">
            <w:pPr>
              <w:spacing w:line="0" w:lineRule="atLeast"/>
              <w:rPr>
                <w:rFonts w:eastAsia="Times New Roman" w:cs="Times New Roman"/>
                <w:b/>
                <w:sz w:val="21"/>
              </w:rPr>
            </w:pPr>
          </w:p>
        </w:tc>
        <w:tc>
          <w:tcPr>
            <w:tcW w:w="1640" w:type="dxa"/>
            <w:vMerge/>
            <w:tcBorders>
              <w:right w:val="single" w:sz="8" w:space="0" w:color="auto"/>
            </w:tcBorders>
            <w:shd w:val="clear" w:color="auto" w:fill="auto"/>
            <w:vAlign w:val="bottom"/>
          </w:tcPr>
          <w:p w14:paraId="341D4DD1" w14:textId="77777777" w:rsidR="00A52778" w:rsidRPr="00460F9E" w:rsidRDefault="00A52778" w:rsidP="00FC3F8E">
            <w:pPr>
              <w:spacing w:line="0" w:lineRule="atLeast"/>
              <w:rPr>
                <w:rFonts w:eastAsia="Times New Roman" w:cs="Times New Roman"/>
                <w:b/>
                <w:sz w:val="21"/>
              </w:rPr>
            </w:pPr>
          </w:p>
        </w:tc>
        <w:tc>
          <w:tcPr>
            <w:tcW w:w="1240" w:type="dxa"/>
            <w:vMerge/>
            <w:tcBorders>
              <w:right w:val="single" w:sz="8" w:space="0" w:color="auto"/>
            </w:tcBorders>
            <w:shd w:val="clear" w:color="auto" w:fill="auto"/>
            <w:vAlign w:val="bottom"/>
          </w:tcPr>
          <w:p w14:paraId="633F194D" w14:textId="77777777" w:rsidR="00A52778" w:rsidRPr="00460F9E" w:rsidRDefault="00A52778" w:rsidP="00FC3F8E">
            <w:pPr>
              <w:spacing w:line="219" w:lineRule="exact"/>
              <w:jc w:val="center"/>
              <w:rPr>
                <w:rFonts w:eastAsia="Times New Roman" w:cs="Times New Roman"/>
                <w:b/>
                <w:w w:val="95"/>
              </w:rPr>
            </w:pPr>
          </w:p>
        </w:tc>
        <w:tc>
          <w:tcPr>
            <w:tcW w:w="1920" w:type="dxa"/>
            <w:tcBorders>
              <w:right w:val="single" w:sz="8" w:space="0" w:color="auto"/>
            </w:tcBorders>
            <w:shd w:val="clear" w:color="auto" w:fill="auto"/>
            <w:vAlign w:val="bottom"/>
          </w:tcPr>
          <w:p w14:paraId="06BA78AA" w14:textId="77777777" w:rsidR="00A52778" w:rsidRPr="00460F9E" w:rsidRDefault="00A52778" w:rsidP="00FC3F8E">
            <w:pPr>
              <w:spacing w:line="0" w:lineRule="atLeast"/>
              <w:rPr>
                <w:rFonts w:eastAsia="Times New Roman" w:cs="Times New Roman"/>
                <w:b/>
                <w:sz w:val="21"/>
              </w:rPr>
            </w:pPr>
          </w:p>
        </w:tc>
        <w:tc>
          <w:tcPr>
            <w:tcW w:w="1260" w:type="dxa"/>
            <w:vMerge/>
            <w:tcBorders>
              <w:right w:val="single" w:sz="8" w:space="0" w:color="auto"/>
            </w:tcBorders>
            <w:shd w:val="clear" w:color="auto" w:fill="auto"/>
            <w:vAlign w:val="bottom"/>
          </w:tcPr>
          <w:p w14:paraId="3AB3D57E" w14:textId="77777777" w:rsidR="00A52778" w:rsidRPr="00460F9E" w:rsidRDefault="00A52778" w:rsidP="00FC3F8E">
            <w:pPr>
              <w:spacing w:line="241" w:lineRule="exact"/>
              <w:jc w:val="center"/>
              <w:rPr>
                <w:rFonts w:eastAsia="Times New Roman" w:cs="Times New Roman"/>
                <w:b/>
                <w:w w:val="90"/>
              </w:rPr>
            </w:pPr>
          </w:p>
        </w:tc>
        <w:tc>
          <w:tcPr>
            <w:tcW w:w="1380" w:type="dxa"/>
            <w:tcBorders>
              <w:right w:val="single" w:sz="8" w:space="0" w:color="auto"/>
            </w:tcBorders>
            <w:shd w:val="clear" w:color="auto" w:fill="auto"/>
            <w:vAlign w:val="bottom"/>
          </w:tcPr>
          <w:p w14:paraId="20122468" w14:textId="77777777" w:rsidR="00A52778" w:rsidRPr="00460F9E" w:rsidRDefault="00A52778" w:rsidP="00FC3F8E">
            <w:pPr>
              <w:spacing w:line="0" w:lineRule="atLeast"/>
              <w:rPr>
                <w:rFonts w:eastAsia="Times New Roman" w:cs="Times New Roman"/>
                <w:b/>
                <w:sz w:val="21"/>
              </w:rPr>
            </w:pPr>
          </w:p>
        </w:tc>
      </w:tr>
      <w:tr w:rsidR="00A52778" w:rsidRPr="00460F9E" w14:paraId="054BF00C" w14:textId="77777777" w:rsidTr="00FC3F8E">
        <w:trPr>
          <w:trHeight w:val="222"/>
        </w:trPr>
        <w:tc>
          <w:tcPr>
            <w:tcW w:w="1840" w:type="dxa"/>
            <w:tcBorders>
              <w:left w:val="single" w:sz="8" w:space="0" w:color="auto"/>
              <w:right w:val="single" w:sz="8" w:space="0" w:color="auto"/>
            </w:tcBorders>
            <w:shd w:val="clear" w:color="auto" w:fill="auto"/>
            <w:vAlign w:val="bottom"/>
          </w:tcPr>
          <w:p w14:paraId="19EAF1C6" w14:textId="77777777" w:rsidR="00A52778" w:rsidRPr="00460F9E" w:rsidRDefault="00A52778" w:rsidP="00FC3F8E">
            <w:pPr>
              <w:spacing w:line="0" w:lineRule="atLeast"/>
              <w:rPr>
                <w:rFonts w:eastAsia="Times New Roman" w:cs="Times New Roman"/>
                <w:b/>
                <w:sz w:val="19"/>
              </w:rPr>
            </w:pPr>
          </w:p>
        </w:tc>
        <w:tc>
          <w:tcPr>
            <w:tcW w:w="1640" w:type="dxa"/>
            <w:vMerge/>
            <w:tcBorders>
              <w:bottom w:val="single" w:sz="8" w:space="0" w:color="auto"/>
              <w:right w:val="single" w:sz="8" w:space="0" w:color="auto"/>
            </w:tcBorders>
            <w:shd w:val="clear" w:color="auto" w:fill="auto"/>
            <w:vAlign w:val="bottom"/>
          </w:tcPr>
          <w:p w14:paraId="654A07D4" w14:textId="77777777" w:rsidR="00A52778" w:rsidRPr="00460F9E" w:rsidRDefault="00A52778" w:rsidP="00FC3F8E">
            <w:pPr>
              <w:spacing w:line="0" w:lineRule="atLeast"/>
              <w:rPr>
                <w:rFonts w:eastAsia="Times New Roman" w:cs="Times New Roman"/>
                <w:b/>
                <w:sz w:val="19"/>
              </w:rPr>
            </w:pPr>
          </w:p>
        </w:tc>
        <w:tc>
          <w:tcPr>
            <w:tcW w:w="1240" w:type="dxa"/>
            <w:vMerge/>
            <w:tcBorders>
              <w:bottom w:val="single" w:sz="8" w:space="0" w:color="auto"/>
              <w:right w:val="single" w:sz="8" w:space="0" w:color="auto"/>
            </w:tcBorders>
            <w:shd w:val="clear" w:color="auto" w:fill="auto"/>
            <w:vAlign w:val="bottom"/>
          </w:tcPr>
          <w:p w14:paraId="641B341E" w14:textId="77777777" w:rsidR="00A52778" w:rsidRPr="00460F9E" w:rsidRDefault="00A52778" w:rsidP="00FC3F8E">
            <w:pPr>
              <w:spacing w:line="219" w:lineRule="exact"/>
              <w:jc w:val="center"/>
              <w:rPr>
                <w:rFonts w:eastAsia="Times New Roman" w:cs="Times New Roman"/>
                <w:b/>
              </w:rPr>
            </w:pPr>
          </w:p>
        </w:tc>
        <w:tc>
          <w:tcPr>
            <w:tcW w:w="1920" w:type="dxa"/>
            <w:tcBorders>
              <w:bottom w:val="single" w:sz="8" w:space="0" w:color="auto"/>
              <w:right w:val="single" w:sz="8" w:space="0" w:color="auto"/>
            </w:tcBorders>
            <w:shd w:val="clear" w:color="auto" w:fill="auto"/>
            <w:vAlign w:val="bottom"/>
          </w:tcPr>
          <w:p w14:paraId="02AB5684" w14:textId="77777777" w:rsidR="00A52778" w:rsidRPr="00460F9E" w:rsidRDefault="00A52778" w:rsidP="00FC3F8E">
            <w:pPr>
              <w:spacing w:line="0" w:lineRule="atLeast"/>
              <w:rPr>
                <w:rFonts w:eastAsia="Times New Roman" w:cs="Times New Roman"/>
                <w:b/>
                <w:sz w:val="19"/>
              </w:rPr>
            </w:pPr>
          </w:p>
        </w:tc>
        <w:tc>
          <w:tcPr>
            <w:tcW w:w="1260" w:type="dxa"/>
            <w:vMerge/>
            <w:tcBorders>
              <w:bottom w:val="single" w:sz="8" w:space="0" w:color="auto"/>
              <w:right w:val="single" w:sz="8" w:space="0" w:color="auto"/>
            </w:tcBorders>
            <w:shd w:val="clear" w:color="auto" w:fill="auto"/>
            <w:vAlign w:val="bottom"/>
          </w:tcPr>
          <w:p w14:paraId="0222C3D9" w14:textId="77777777" w:rsidR="00A52778" w:rsidRPr="00460F9E" w:rsidRDefault="00A52778" w:rsidP="00FC3F8E">
            <w:pPr>
              <w:spacing w:line="0" w:lineRule="atLeast"/>
              <w:rPr>
                <w:rFonts w:eastAsia="Times New Roman" w:cs="Times New Roman"/>
                <w:b/>
                <w:sz w:val="19"/>
              </w:rPr>
            </w:pPr>
          </w:p>
        </w:tc>
        <w:tc>
          <w:tcPr>
            <w:tcW w:w="1380" w:type="dxa"/>
            <w:tcBorders>
              <w:bottom w:val="single" w:sz="8" w:space="0" w:color="auto"/>
              <w:right w:val="single" w:sz="8" w:space="0" w:color="auto"/>
            </w:tcBorders>
            <w:shd w:val="clear" w:color="auto" w:fill="auto"/>
            <w:vAlign w:val="bottom"/>
          </w:tcPr>
          <w:p w14:paraId="0AC010AA" w14:textId="77777777" w:rsidR="00A52778" w:rsidRPr="00460F9E" w:rsidRDefault="00A52778" w:rsidP="00FC3F8E">
            <w:pPr>
              <w:spacing w:line="0" w:lineRule="atLeast"/>
              <w:rPr>
                <w:rFonts w:eastAsia="Times New Roman" w:cs="Times New Roman"/>
                <w:b/>
                <w:sz w:val="19"/>
              </w:rPr>
            </w:pPr>
          </w:p>
        </w:tc>
      </w:tr>
      <w:tr w:rsidR="00A52778" w:rsidRPr="00460F9E" w14:paraId="6B878759" w14:textId="77777777" w:rsidTr="00FC3F8E">
        <w:trPr>
          <w:trHeight w:val="217"/>
        </w:trPr>
        <w:tc>
          <w:tcPr>
            <w:tcW w:w="1840" w:type="dxa"/>
            <w:tcBorders>
              <w:left w:val="single" w:sz="8" w:space="0" w:color="auto"/>
              <w:right w:val="single" w:sz="8" w:space="0" w:color="auto"/>
            </w:tcBorders>
            <w:shd w:val="clear" w:color="auto" w:fill="auto"/>
            <w:vAlign w:val="bottom"/>
          </w:tcPr>
          <w:p w14:paraId="4D44A13E" w14:textId="77777777" w:rsidR="00A52778" w:rsidRPr="00460F9E" w:rsidRDefault="00A52778" w:rsidP="00FC3F8E">
            <w:pPr>
              <w:spacing w:line="0" w:lineRule="atLeast"/>
              <w:rPr>
                <w:rFonts w:eastAsia="Times New Roman" w:cs="Times New Roman"/>
                <w:b/>
                <w:sz w:val="18"/>
              </w:rPr>
            </w:pPr>
          </w:p>
        </w:tc>
        <w:tc>
          <w:tcPr>
            <w:tcW w:w="1640" w:type="dxa"/>
            <w:vMerge w:val="restart"/>
            <w:tcBorders>
              <w:right w:val="single" w:sz="8" w:space="0" w:color="auto"/>
            </w:tcBorders>
            <w:shd w:val="clear" w:color="auto" w:fill="auto"/>
            <w:vAlign w:val="center"/>
          </w:tcPr>
          <w:p w14:paraId="5CEAA799" w14:textId="77777777" w:rsidR="00A52778" w:rsidRPr="00460F9E" w:rsidRDefault="00A52778" w:rsidP="00FC3F8E">
            <w:pPr>
              <w:spacing w:line="0" w:lineRule="atLeast"/>
              <w:jc w:val="center"/>
              <w:rPr>
                <w:rFonts w:eastAsia="Times New Roman" w:cs="Times New Roman"/>
                <w:b/>
                <w:w w:val="98"/>
              </w:rPr>
            </w:pPr>
            <w:r w:rsidRPr="00460F9E">
              <w:rPr>
                <w:rFonts w:eastAsia="Times New Roman" w:cs="Times New Roman"/>
                <w:w w:val="98"/>
              </w:rPr>
              <w:t>Proses</w:t>
            </w:r>
          </w:p>
          <w:p w14:paraId="312C8BAC" w14:textId="77777777" w:rsidR="00A52778" w:rsidRPr="00460F9E" w:rsidRDefault="00A52778" w:rsidP="00FC3F8E">
            <w:pPr>
              <w:spacing w:line="208" w:lineRule="exact"/>
              <w:jc w:val="center"/>
              <w:rPr>
                <w:rFonts w:eastAsia="Times New Roman" w:cs="Times New Roman"/>
                <w:b/>
                <w:sz w:val="18"/>
              </w:rPr>
            </w:pPr>
            <w:r w:rsidRPr="00460F9E">
              <w:rPr>
                <w:rFonts w:eastAsia="Times New Roman" w:cs="Times New Roman"/>
                <w:w w:val="98"/>
              </w:rPr>
              <w:t>fırınları/ısıtıcıları</w:t>
            </w:r>
          </w:p>
        </w:tc>
        <w:tc>
          <w:tcPr>
            <w:tcW w:w="1240" w:type="dxa"/>
            <w:vMerge w:val="restart"/>
            <w:tcBorders>
              <w:right w:val="single" w:sz="8" w:space="0" w:color="auto"/>
            </w:tcBorders>
            <w:shd w:val="clear" w:color="auto" w:fill="auto"/>
            <w:vAlign w:val="center"/>
          </w:tcPr>
          <w:p w14:paraId="14F71F54" w14:textId="77777777" w:rsidR="00A52778" w:rsidRPr="00460F9E" w:rsidRDefault="00A52778" w:rsidP="00FC3F8E">
            <w:pPr>
              <w:spacing w:line="222" w:lineRule="exact"/>
              <w:jc w:val="center"/>
              <w:rPr>
                <w:rFonts w:eastAsia="Times New Roman" w:cs="Times New Roman"/>
                <w:b/>
                <w:w w:val="99"/>
              </w:rPr>
            </w:pPr>
            <w:r w:rsidRPr="00460F9E">
              <w:rPr>
                <w:rFonts w:eastAsia="Times New Roman" w:cs="Times New Roman"/>
                <w:w w:val="99"/>
              </w:rPr>
              <w:t>SO</w:t>
            </w:r>
            <w:r w:rsidRPr="00460F9E">
              <w:rPr>
                <w:rFonts w:eastAsia="Times New Roman" w:cs="Times New Roman"/>
                <w:w w:val="99"/>
                <w:sz w:val="12"/>
              </w:rPr>
              <w:t>2</w:t>
            </w:r>
            <w:r w:rsidRPr="00460F9E">
              <w:rPr>
                <w:rFonts w:eastAsia="Times New Roman" w:cs="Times New Roman"/>
                <w:w w:val="99"/>
              </w:rPr>
              <w:t xml:space="preserve"> kütle akışı 2,5 kg/saat olan herhangi bir baca</w:t>
            </w:r>
          </w:p>
        </w:tc>
        <w:tc>
          <w:tcPr>
            <w:tcW w:w="1920" w:type="dxa"/>
            <w:vMerge w:val="restart"/>
            <w:tcBorders>
              <w:right w:val="single" w:sz="8" w:space="0" w:color="auto"/>
            </w:tcBorders>
            <w:shd w:val="clear" w:color="auto" w:fill="auto"/>
            <w:vAlign w:val="center"/>
          </w:tcPr>
          <w:p w14:paraId="677984D2"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Genel EN</w:t>
            </w:r>
          </w:p>
          <w:p w14:paraId="3BE96C0B"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7"/>
              </w:rPr>
              <w:t>standartları (</w:t>
            </w:r>
            <w:r w:rsidRPr="00460F9E">
              <w:rPr>
                <w:rFonts w:eastAsia="Times New Roman" w:cs="Times New Roman"/>
                <w:w w:val="97"/>
                <w:vertAlign w:val="superscript"/>
              </w:rPr>
              <w:t>5</w:t>
            </w:r>
            <w:r w:rsidRPr="00460F9E">
              <w:rPr>
                <w:rFonts w:eastAsia="Times New Roman" w:cs="Times New Roman"/>
                <w:w w:val="97"/>
              </w:rPr>
              <w:t>)</w:t>
            </w:r>
          </w:p>
        </w:tc>
        <w:tc>
          <w:tcPr>
            <w:tcW w:w="1260" w:type="dxa"/>
            <w:vMerge w:val="restart"/>
            <w:tcBorders>
              <w:right w:val="single" w:sz="8" w:space="0" w:color="auto"/>
            </w:tcBorders>
            <w:shd w:val="clear" w:color="auto" w:fill="auto"/>
            <w:vAlign w:val="center"/>
          </w:tcPr>
          <w:p w14:paraId="04E2B03A"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Sürekli</w:t>
            </w:r>
          </w:p>
          <w:p w14:paraId="078F4677"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2"/>
              </w:rPr>
              <w:t>(</w:t>
            </w:r>
            <w:r w:rsidRPr="00460F9E">
              <w:rPr>
                <w:rFonts w:eastAsia="Times New Roman" w:cs="Times New Roman"/>
                <w:w w:val="92"/>
                <w:sz w:val="25"/>
                <w:vertAlign w:val="superscript"/>
              </w:rPr>
              <w:t>6</w:t>
            </w:r>
            <w:r w:rsidRPr="00460F9E">
              <w:rPr>
                <w:rFonts w:eastAsia="Times New Roman" w:cs="Times New Roman"/>
                <w:w w:val="92"/>
              </w:rPr>
              <w:t>)</w:t>
            </w:r>
          </w:p>
        </w:tc>
        <w:tc>
          <w:tcPr>
            <w:tcW w:w="1380" w:type="dxa"/>
            <w:tcBorders>
              <w:right w:val="single" w:sz="8" w:space="0" w:color="auto"/>
            </w:tcBorders>
            <w:shd w:val="clear" w:color="auto" w:fill="auto"/>
            <w:vAlign w:val="bottom"/>
          </w:tcPr>
          <w:p w14:paraId="1E8EE8D9" w14:textId="77777777" w:rsidR="00A52778" w:rsidRPr="00460F9E" w:rsidRDefault="00A52778" w:rsidP="00FC3F8E">
            <w:pPr>
              <w:spacing w:line="0" w:lineRule="atLeast"/>
              <w:rPr>
                <w:rFonts w:eastAsia="Times New Roman" w:cs="Times New Roman"/>
                <w:b/>
                <w:sz w:val="18"/>
              </w:rPr>
            </w:pPr>
          </w:p>
        </w:tc>
      </w:tr>
      <w:tr w:rsidR="00A52778" w:rsidRPr="00460F9E" w14:paraId="4930DD6B" w14:textId="77777777" w:rsidTr="00FC3F8E">
        <w:trPr>
          <w:trHeight w:val="231"/>
        </w:trPr>
        <w:tc>
          <w:tcPr>
            <w:tcW w:w="1840" w:type="dxa"/>
            <w:tcBorders>
              <w:left w:val="single" w:sz="8" w:space="0" w:color="auto"/>
              <w:right w:val="single" w:sz="8" w:space="0" w:color="auto"/>
            </w:tcBorders>
            <w:shd w:val="clear" w:color="auto" w:fill="auto"/>
            <w:vAlign w:val="bottom"/>
          </w:tcPr>
          <w:p w14:paraId="49605C37" w14:textId="77777777" w:rsidR="00A52778" w:rsidRPr="00460F9E" w:rsidRDefault="00A52778" w:rsidP="00FC3F8E">
            <w:pPr>
              <w:spacing w:line="0" w:lineRule="atLeast"/>
              <w:rPr>
                <w:rFonts w:eastAsia="Times New Roman" w:cs="Times New Roman"/>
                <w:b/>
              </w:rPr>
            </w:pPr>
          </w:p>
        </w:tc>
        <w:tc>
          <w:tcPr>
            <w:tcW w:w="1640" w:type="dxa"/>
            <w:vMerge/>
            <w:tcBorders>
              <w:right w:val="single" w:sz="8" w:space="0" w:color="auto"/>
            </w:tcBorders>
            <w:shd w:val="clear" w:color="auto" w:fill="auto"/>
            <w:vAlign w:val="bottom"/>
          </w:tcPr>
          <w:p w14:paraId="10BE7FA0" w14:textId="77777777" w:rsidR="00A52778" w:rsidRPr="00460F9E" w:rsidRDefault="00A52778" w:rsidP="00FC3F8E">
            <w:pPr>
              <w:spacing w:line="208" w:lineRule="exact"/>
              <w:jc w:val="center"/>
              <w:rPr>
                <w:rFonts w:eastAsia="Times New Roman" w:cs="Times New Roman"/>
                <w:b/>
              </w:rPr>
            </w:pPr>
          </w:p>
        </w:tc>
        <w:tc>
          <w:tcPr>
            <w:tcW w:w="1240" w:type="dxa"/>
            <w:vMerge/>
            <w:tcBorders>
              <w:right w:val="single" w:sz="8" w:space="0" w:color="auto"/>
            </w:tcBorders>
            <w:shd w:val="clear" w:color="auto" w:fill="auto"/>
            <w:vAlign w:val="bottom"/>
          </w:tcPr>
          <w:p w14:paraId="7732E833" w14:textId="77777777" w:rsidR="00A52778" w:rsidRPr="00460F9E" w:rsidRDefault="00A52778" w:rsidP="00FC3F8E">
            <w:pPr>
              <w:spacing w:line="222" w:lineRule="exact"/>
              <w:jc w:val="center"/>
              <w:rPr>
                <w:rFonts w:eastAsia="Times New Roman" w:cs="Times New Roman"/>
                <w:b/>
                <w:w w:val="99"/>
                <w:sz w:val="12"/>
              </w:rPr>
            </w:pPr>
          </w:p>
        </w:tc>
        <w:tc>
          <w:tcPr>
            <w:tcW w:w="1920" w:type="dxa"/>
            <w:vMerge/>
            <w:tcBorders>
              <w:right w:val="single" w:sz="8" w:space="0" w:color="auto"/>
            </w:tcBorders>
            <w:shd w:val="clear" w:color="auto" w:fill="auto"/>
            <w:vAlign w:val="center"/>
          </w:tcPr>
          <w:p w14:paraId="7702ECE0" w14:textId="77777777" w:rsidR="00A52778" w:rsidRPr="00460F9E" w:rsidRDefault="00A52778" w:rsidP="00FC3F8E">
            <w:pPr>
              <w:spacing w:line="0" w:lineRule="atLeast"/>
              <w:jc w:val="center"/>
              <w:rPr>
                <w:rFonts w:eastAsia="Times New Roman" w:cs="Times New Roman"/>
                <w:b/>
              </w:rPr>
            </w:pPr>
          </w:p>
        </w:tc>
        <w:tc>
          <w:tcPr>
            <w:tcW w:w="1260" w:type="dxa"/>
            <w:vMerge/>
            <w:tcBorders>
              <w:right w:val="single" w:sz="8" w:space="0" w:color="auto"/>
            </w:tcBorders>
            <w:shd w:val="clear" w:color="auto" w:fill="auto"/>
            <w:vAlign w:val="bottom"/>
          </w:tcPr>
          <w:p w14:paraId="4646536C" w14:textId="77777777" w:rsidR="00A52778" w:rsidRPr="00460F9E" w:rsidRDefault="00A52778" w:rsidP="00FC3F8E">
            <w:pPr>
              <w:spacing w:line="0" w:lineRule="atLeast"/>
              <w:jc w:val="center"/>
              <w:rPr>
                <w:rFonts w:eastAsia="Times New Roman" w:cs="Times New Roman"/>
                <w:b/>
                <w:w w:val="99"/>
              </w:rPr>
            </w:pPr>
          </w:p>
        </w:tc>
        <w:tc>
          <w:tcPr>
            <w:tcW w:w="1380" w:type="dxa"/>
            <w:tcBorders>
              <w:right w:val="single" w:sz="8" w:space="0" w:color="auto"/>
            </w:tcBorders>
            <w:shd w:val="clear" w:color="auto" w:fill="auto"/>
            <w:vAlign w:val="bottom"/>
          </w:tcPr>
          <w:p w14:paraId="12FB2E6E" w14:textId="77777777" w:rsidR="00A52778" w:rsidRPr="00460F9E" w:rsidRDefault="00A52778" w:rsidP="00FC3F8E">
            <w:pPr>
              <w:spacing w:line="0" w:lineRule="atLeast"/>
              <w:rPr>
                <w:rFonts w:eastAsia="Times New Roman" w:cs="Times New Roman"/>
                <w:b/>
              </w:rPr>
            </w:pPr>
          </w:p>
        </w:tc>
      </w:tr>
      <w:tr w:rsidR="00A52778" w:rsidRPr="00460F9E" w14:paraId="2401CB58" w14:textId="77777777" w:rsidTr="00FC3F8E">
        <w:trPr>
          <w:trHeight w:val="119"/>
        </w:trPr>
        <w:tc>
          <w:tcPr>
            <w:tcW w:w="1840" w:type="dxa"/>
            <w:tcBorders>
              <w:left w:val="single" w:sz="8" w:space="0" w:color="auto"/>
              <w:right w:val="single" w:sz="8" w:space="0" w:color="auto"/>
            </w:tcBorders>
            <w:shd w:val="clear" w:color="auto" w:fill="auto"/>
            <w:vAlign w:val="bottom"/>
          </w:tcPr>
          <w:p w14:paraId="72AB3932" w14:textId="77777777" w:rsidR="00A52778" w:rsidRPr="00460F9E" w:rsidRDefault="00A52778" w:rsidP="00FC3F8E">
            <w:pPr>
              <w:spacing w:line="0" w:lineRule="atLeast"/>
              <w:rPr>
                <w:rFonts w:eastAsia="Times New Roman" w:cs="Times New Roman"/>
                <w:b/>
                <w:sz w:val="10"/>
              </w:rPr>
            </w:pPr>
          </w:p>
        </w:tc>
        <w:tc>
          <w:tcPr>
            <w:tcW w:w="1640" w:type="dxa"/>
            <w:vMerge/>
            <w:tcBorders>
              <w:right w:val="single" w:sz="8" w:space="0" w:color="auto"/>
            </w:tcBorders>
            <w:shd w:val="clear" w:color="auto" w:fill="auto"/>
            <w:vAlign w:val="bottom"/>
          </w:tcPr>
          <w:p w14:paraId="2DBE1F83" w14:textId="77777777" w:rsidR="00A52778" w:rsidRPr="00460F9E" w:rsidRDefault="00A52778" w:rsidP="00FC3F8E">
            <w:pPr>
              <w:spacing w:line="208" w:lineRule="exact"/>
              <w:jc w:val="center"/>
              <w:rPr>
                <w:rFonts w:eastAsia="Times New Roman" w:cs="Times New Roman"/>
                <w:b/>
                <w:sz w:val="10"/>
              </w:rPr>
            </w:pPr>
          </w:p>
        </w:tc>
        <w:tc>
          <w:tcPr>
            <w:tcW w:w="1240" w:type="dxa"/>
            <w:vMerge/>
            <w:tcBorders>
              <w:right w:val="single" w:sz="8" w:space="0" w:color="auto"/>
            </w:tcBorders>
            <w:shd w:val="clear" w:color="auto" w:fill="auto"/>
            <w:vAlign w:val="bottom"/>
          </w:tcPr>
          <w:p w14:paraId="71CBB13D" w14:textId="77777777" w:rsidR="00A52778" w:rsidRPr="00460F9E" w:rsidRDefault="00A52778" w:rsidP="00FC3F8E">
            <w:pPr>
              <w:spacing w:line="222" w:lineRule="exact"/>
              <w:jc w:val="center"/>
              <w:rPr>
                <w:rFonts w:eastAsia="Times New Roman" w:cs="Times New Roman"/>
                <w:b/>
              </w:rPr>
            </w:pPr>
          </w:p>
        </w:tc>
        <w:tc>
          <w:tcPr>
            <w:tcW w:w="1920" w:type="dxa"/>
            <w:vMerge/>
            <w:tcBorders>
              <w:right w:val="single" w:sz="8" w:space="0" w:color="auto"/>
            </w:tcBorders>
            <w:shd w:val="clear" w:color="auto" w:fill="auto"/>
            <w:vAlign w:val="center"/>
          </w:tcPr>
          <w:p w14:paraId="2E5B6A65" w14:textId="77777777" w:rsidR="00A52778" w:rsidRPr="00460F9E" w:rsidRDefault="00A52778" w:rsidP="00FC3F8E">
            <w:pPr>
              <w:spacing w:line="0" w:lineRule="atLeast"/>
              <w:jc w:val="center"/>
              <w:rPr>
                <w:rFonts w:eastAsia="Times New Roman" w:cs="Times New Roman"/>
                <w:b/>
                <w:sz w:val="10"/>
              </w:rPr>
            </w:pPr>
          </w:p>
        </w:tc>
        <w:tc>
          <w:tcPr>
            <w:tcW w:w="1260" w:type="dxa"/>
            <w:vMerge/>
            <w:tcBorders>
              <w:right w:val="single" w:sz="8" w:space="0" w:color="auto"/>
            </w:tcBorders>
            <w:shd w:val="clear" w:color="auto" w:fill="auto"/>
            <w:vAlign w:val="bottom"/>
          </w:tcPr>
          <w:p w14:paraId="040D7AA3" w14:textId="77777777" w:rsidR="00A52778" w:rsidRPr="00460F9E" w:rsidRDefault="00A52778" w:rsidP="00FC3F8E">
            <w:pPr>
              <w:spacing w:line="0" w:lineRule="atLeast"/>
              <w:jc w:val="center"/>
              <w:rPr>
                <w:rFonts w:eastAsia="Times New Roman" w:cs="Times New Roman"/>
                <w:b/>
                <w:sz w:val="10"/>
              </w:rPr>
            </w:pPr>
          </w:p>
        </w:tc>
        <w:tc>
          <w:tcPr>
            <w:tcW w:w="1380" w:type="dxa"/>
            <w:tcBorders>
              <w:right w:val="single" w:sz="8" w:space="0" w:color="auto"/>
            </w:tcBorders>
            <w:shd w:val="clear" w:color="auto" w:fill="auto"/>
            <w:vAlign w:val="bottom"/>
          </w:tcPr>
          <w:p w14:paraId="14267FCE" w14:textId="77777777" w:rsidR="00A52778" w:rsidRPr="00460F9E" w:rsidRDefault="00A52778" w:rsidP="00FC3F8E">
            <w:pPr>
              <w:spacing w:line="0" w:lineRule="atLeast"/>
              <w:rPr>
                <w:rFonts w:eastAsia="Times New Roman" w:cs="Times New Roman"/>
                <w:b/>
                <w:sz w:val="10"/>
              </w:rPr>
            </w:pPr>
          </w:p>
        </w:tc>
      </w:tr>
      <w:tr w:rsidR="00A52778" w:rsidRPr="00460F9E" w14:paraId="07A92BBC" w14:textId="77777777" w:rsidTr="00FC3F8E">
        <w:trPr>
          <w:trHeight w:val="108"/>
        </w:trPr>
        <w:tc>
          <w:tcPr>
            <w:tcW w:w="1840" w:type="dxa"/>
            <w:tcBorders>
              <w:left w:val="single" w:sz="8" w:space="0" w:color="auto"/>
              <w:right w:val="single" w:sz="8" w:space="0" w:color="auto"/>
            </w:tcBorders>
            <w:shd w:val="clear" w:color="auto" w:fill="auto"/>
            <w:vAlign w:val="bottom"/>
          </w:tcPr>
          <w:p w14:paraId="73E2A9B6" w14:textId="77777777" w:rsidR="00A52778" w:rsidRPr="00460F9E" w:rsidRDefault="00A52778" w:rsidP="00FC3F8E">
            <w:pPr>
              <w:spacing w:line="0" w:lineRule="atLeast"/>
              <w:rPr>
                <w:rFonts w:eastAsia="Times New Roman" w:cs="Times New Roman"/>
                <w:b/>
                <w:sz w:val="9"/>
              </w:rPr>
            </w:pPr>
          </w:p>
        </w:tc>
        <w:tc>
          <w:tcPr>
            <w:tcW w:w="1640" w:type="dxa"/>
            <w:vMerge/>
            <w:tcBorders>
              <w:right w:val="single" w:sz="8" w:space="0" w:color="auto"/>
            </w:tcBorders>
            <w:shd w:val="clear" w:color="auto" w:fill="auto"/>
            <w:vAlign w:val="bottom"/>
          </w:tcPr>
          <w:p w14:paraId="5995948A" w14:textId="77777777" w:rsidR="00A52778" w:rsidRPr="00460F9E" w:rsidRDefault="00A52778" w:rsidP="00FC3F8E">
            <w:pPr>
              <w:spacing w:line="208" w:lineRule="exact"/>
              <w:jc w:val="center"/>
              <w:rPr>
                <w:rFonts w:eastAsia="Times New Roman" w:cs="Times New Roman"/>
                <w:b/>
                <w:sz w:val="9"/>
              </w:rPr>
            </w:pPr>
          </w:p>
        </w:tc>
        <w:tc>
          <w:tcPr>
            <w:tcW w:w="1240" w:type="dxa"/>
            <w:vMerge/>
            <w:tcBorders>
              <w:right w:val="single" w:sz="8" w:space="0" w:color="auto"/>
            </w:tcBorders>
            <w:shd w:val="clear" w:color="auto" w:fill="auto"/>
            <w:vAlign w:val="bottom"/>
          </w:tcPr>
          <w:p w14:paraId="5A7061D9" w14:textId="77777777" w:rsidR="00A52778" w:rsidRPr="00460F9E" w:rsidRDefault="00A52778" w:rsidP="00FC3F8E">
            <w:pPr>
              <w:spacing w:line="222" w:lineRule="exact"/>
              <w:jc w:val="center"/>
              <w:rPr>
                <w:rFonts w:eastAsia="Times New Roman" w:cs="Times New Roman"/>
                <w:b/>
                <w:sz w:val="9"/>
              </w:rPr>
            </w:pPr>
          </w:p>
        </w:tc>
        <w:tc>
          <w:tcPr>
            <w:tcW w:w="1920" w:type="dxa"/>
            <w:vMerge/>
            <w:tcBorders>
              <w:right w:val="single" w:sz="8" w:space="0" w:color="auto"/>
            </w:tcBorders>
            <w:shd w:val="clear" w:color="auto" w:fill="auto"/>
            <w:vAlign w:val="center"/>
          </w:tcPr>
          <w:p w14:paraId="2466BB5E" w14:textId="77777777" w:rsidR="00A52778" w:rsidRPr="00460F9E" w:rsidRDefault="00A52778" w:rsidP="00FC3F8E">
            <w:pPr>
              <w:spacing w:line="0" w:lineRule="atLeast"/>
              <w:jc w:val="center"/>
              <w:rPr>
                <w:rFonts w:eastAsia="Times New Roman" w:cs="Times New Roman"/>
                <w:b/>
                <w:w w:val="97"/>
              </w:rPr>
            </w:pPr>
          </w:p>
        </w:tc>
        <w:tc>
          <w:tcPr>
            <w:tcW w:w="1260" w:type="dxa"/>
            <w:vMerge/>
            <w:tcBorders>
              <w:right w:val="single" w:sz="8" w:space="0" w:color="auto"/>
            </w:tcBorders>
            <w:shd w:val="clear" w:color="auto" w:fill="auto"/>
            <w:vAlign w:val="bottom"/>
          </w:tcPr>
          <w:p w14:paraId="142ED074" w14:textId="77777777" w:rsidR="00A52778" w:rsidRPr="00460F9E" w:rsidRDefault="00A52778" w:rsidP="00FC3F8E">
            <w:pPr>
              <w:spacing w:line="0" w:lineRule="atLeast"/>
              <w:jc w:val="center"/>
              <w:rPr>
                <w:rFonts w:eastAsia="Times New Roman" w:cs="Times New Roman"/>
                <w:b/>
                <w:w w:val="92"/>
              </w:rPr>
            </w:pPr>
          </w:p>
        </w:tc>
        <w:tc>
          <w:tcPr>
            <w:tcW w:w="1380" w:type="dxa"/>
            <w:tcBorders>
              <w:right w:val="single" w:sz="8" w:space="0" w:color="auto"/>
            </w:tcBorders>
            <w:shd w:val="clear" w:color="auto" w:fill="auto"/>
            <w:vAlign w:val="bottom"/>
          </w:tcPr>
          <w:p w14:paraId="62FFBAAB" w14:textId="77777777" w:rsidR="00A52778" w:rsidRPr="00460F9E" w:rsidRDefault="00A52778" w:rsidP="00FC3F8E">
            <w:pPr>
              <w:spacing w:line="0" w:lineRule="atLeast"/>
              <w:rPr>
                <w:rFonts w:eastAsia="Times New Roman" w:cs="Times New Roman"/>
                <w:b/>
                <w:sz w:val="9"/>
              </w:rPr>
            </w:pPr>
          </w:p>
        </w:tc>
      </w:tr>
      <w:tr w:rsidR="00A52778" w:rsidRPr="00460F9E" w14:paraId="5F165159" w14:textId="77777777" w:rsidTr="00FC3F8E">
        <w:trPr>
          <w:trHeight w:val="188"/>
        </w:trPr>
        <w:tc>
          <w:tcPr>
            <w:tcW w:w="1840" w:type="dxa"/>
            <w:tcBorders>
              <w:left w:val="single" w:sz="8" w:space="0" w:color="auto"/>
              <w:right w:val="single" w:sz="8" w:space="0" w:color="auto"/>
            </w:tcBorders>
            <w:shd w:val="clear" w:color="auto" w:fill="auto"/>
            <w:vAlign w:val="bottom"/>
          </w:tcPr>
          <w:p w14:paraId="7FFF7734" w14:textId="77777777" w:rsidR="00A52778" w:rsidRPr="00460F9E" w:rsidRDefault="00A52778" w:rsidP="00FC3F8E">
            <w:pPr>
              <w:spacing w:line="0" w:lineRule="atLeast"/>
              <w:rPr>
                <w:rFonts w:eastAsia="Times New Roman" w:cs="Times New Roman"/>
                <w:b/>
                <w:sz w:val="16"/>
              </w:rPr>
            </w:pPr>
          </w:p>
        </w:tc>
        <w:tc>
          <w:tcPr>
            <w:tcW w:w="1640" w:type="dxa"/>
            <w:vMerge/>
            <w:tcBorders>
              <w:right w:val="single" w:sz="8" w:space="0" w:color="auto"/>
            </w:tcBorders>
            <w:shd w:val="clear" w:color="auto" w:fill="auto"/>
            <w:vAlign w:val="bottom"/>
          </w:tcPr>
          <w:p w14:paraId="068CF0AB" w14:textId="77777777" w:rsidR="00A52778" w:rsidRPr="00460F9E" w:rsidRDefault="00A52778" w:rsidP="00FC3F8E">
            <w:pPr>
              <w:spacing w:line="208" w:lineRule="exact"/>
              <w:jc w:val="center"/>
              <w:rPr>
                <w:rFonts w:eastAsia="Times New Roman" w:cs="Times New Roman"/>
                <w:b/>
                <w:sz w:val="16"/>
              </w:rPr>
            </w:pPr>
          </w:p>
        </w:tc>
        <w:tc>
          <w:tcPr>
            <w:tcW w:w="1240" w:type="dxa"/>
            <w:vMerge/>
            <w:tcBorders>
              <w:right w:val="single" w:sz="8" w:space="0" w:color="auto"/>
            </w:tcBorders>
            <w:shd w:val="clear" w:color="auto" w:fill="auto"/>
            <w:vAlign w:val="bottom"/>
          </w:tcPr>
          <w:p w14:paraId="67F97D73" w14:textId="77777777" w:rsidR="00A52778" w:rsidRPr="00460F9E" w:rsidRDefault="00A52778" w:rsidP="00FC3F8E">
            <w:pPr>
              <w:spacing w:line="222" w:lineRule="exact"/>
              <w:jc w:val="center"/>
              <w:rPr>
                <w:rFonts w:eastAsia="Times New Roman" w:cs="Times New Roman"/>
                <w:b/>
                <w:w w:val="95"/>
              </w:rPr>
            </w:pPr>
          </w:p>
        </w:tc>
        <w:tc>
          <w:tcPr>
            <w:tcW w:w="1920" w:type="dxa"/>
            <w:vMerge/>
            <w:tcBorders>
              <w:right w:val="single" w:sz="8" w:space="0" w:color="auto"/>
            </w:tcBorders>
            <w:shd w:val="clear" w:color="auto" w:fill="auto"/>
            <w:vAlign w:val="center"/>
          </w:tcPr>
          <w:p w14:paraId="694EA0DB" w14:textId="77777777" w:rsidR="00A52778" w:rsidRPr="00460F9E" w:rsidRDefault="00A52778" w:rsidP="00FC3F8E">
            <w:pPr>
              <w:spacing w:line="0" w:lineRule="atLeast"/>
              <w:jc w:val="center"/>
              <w:rPr>
                <w:rFonts w:eastAsia="Times New Roman" w:cs="Times New Roman"/>
                <w:b/>
                <w:sz w:val="16"/>
              </w:rPr>
            </w:pPr>
          </w:p>
        </w:tc>
        <w:tc>
          <w:tcPr>
            <w:tcW w:w="1260" w:type="dxa"/>
            <w:vMerge/>
            <w:tcBorders>
              <w:right w:val="single" w:sz="8" w:space="0" w:color="auto"/>
            </w:tcBorders>
            <w:shd w:val="clear" w:color="auto" w:fill="auto"/>
            <w:vAlign w:val="bottom"/>
          </w:tcPr>
          <w:p w14:paraId="087DE9F9" w14:textId="77777777" w:rsidR="00A52778" w:rsidRPr="00460F9E" w:rsidRDefault="00A52778" w:rsidP="00FC3F8E">
            <w:pPr>
              <w:spacing w:line="0" w:lineRule="atLeast"/>
              <w:rPr>
                <w:rFonts w:eastAsia="Times New Roman" w:cs="Times New Roman"/>
                <w:b/>
                <w:sz w:val="16"/>
              </w:rPr>
            </w:pPr>
          </w:p>
        </w:tc>
        <w:tc>
          <w:tcPr>
            <w:tcW w:w="1380" w:type="dxa"/>
            <w:tcBorders>
              <w:right w:val="single" w:sz="8" w:space="0" w:color="auto"/>
            </w:tcBorders>
            <w:shd w:val="clear" w:color="auto" w:fill="auto"/>
            <w:vAlign w:val="bottom"/>
          </w:tcPr>
          <w:p w14:paraId="6185A4F6" w14:textId="77777777" w:rsidR="00A52778" w:rsidRPr="00460F9E" w:rsidRDefault="00A52778" w:rsidP="00FC3F8E">
            <w:pPr>
              <w:spacing w:line="0" w:lineRule="atLeast"/>
              <w:rPr>
                <w:rFonts w:eastAsia="Times New Roman" w:cs="Times New Roman"/>
                <w:b/>
                <w:sz w:val="16"/>
              </w:rPr>
            </w:pPr>
          </w:p>
        </w:tc>
      </w:tr>
      <w:tr w:rsidR="00A52778" w:rsidRPr="00460F9E" w14:paraId="346C3F18" w14:textId="77777777" w:rsidTr="00FC3F8E">
        <w:trPr>
          <w:trHeight w:val="42"/>
        </w:trPr>
        <w:tc>
          <w:tcPr>
            <w:tcW w:w="1840" w:type="dxa"/>
            <w:tcBorders>
              <w:left w:val="single" w:sz="8" w:space="0" w:color="auto"/>
              <w:right w:val="single" w:sz="8" w:space="0" w:color="auto"/>
            </w:tcBorders>
            <w:shd w:val="clear" w:color="auto" w:fill="auto"/>
            <w:vAlign w:val="bottom"/>
          </w:tcPr>
          <w:p w14:paraId="763BB751" w14:textId="77777777" w:rsidR="00A52778" w:rsidRPr="00460F9E" w:rsidRDefault="00A52778" w:rsidP="00FC3F8E">
            <w:pPr>
              <w:spacing w:line="0" w:lineRule="atLeast"/>
              <w:rPr>
                <w:rFonts w:eastAsia="Times New Roman" w:cs="Times New Roman"/>
                <w:b/>
                <w:sz w:val="3"/>
              </w:rPr>
            </w:pPr>
          </w:p>
        </w:tc>
        <w:tc>
          <w:tcPr>
            <w:tcW w:w="1640" w:type="dxa"/>
            <w:vMerge/>
            <w:tcBorders>
              <w:right w:val="single" w:sz="8" w:space="0" w:color="auto"/>
            </w:tcBorders>
            <w:shd w:val="clear" w:color="auto" w:fill="auto"/>
            <w:vAlign w:val="bottom"/>
          </w:tcPr>
          <w:p w14:paraId="6BF4A585" w14:textId="77777777" w:rsidR="00A52778" w:rsidRPr="00460F9E" w:rsidRDefault="00A52778" w:rsidP="00FC3F8E">
            <w:pPr>
              <w:spacing w:line="208" w:lineRule="exact"/>
              <w:jc w:val="center"/>
              <w:rPr>
                <w:rFonts w:eastAsia="Times New Roman" w:cs="Times New Roman"/>
                <w:b/>
                <w:sz w:val="3"/>
              </w:rPr>
            </w:pPr>
          </w:p>
        </w:tc>
        <w:tc>
          <w:tcPr>
            <w:tcW w:w="1240" w:type="dxa"/>
            <w:vMerge/>
            <w:tcBorders>
              <w:right w:val="single" w:sz="8" w:space="0" w:color="auto"/>
            </w:tcBorders>
            <w:shd w:val="clear" w:color="auto" w:fill="auto"/>
            <w:vAlign w:val="bottom"/>
          </w:tcPr>
          <w:p w14:paraId="237ECC57" w14:textId="77777777" w:rsidR="00A52778" w:rsidRPr="00460F9E" w:rsidRDefault="00A52778" w:rsidP="00FC3F8E">
            <w:pPr>
              <w:spacing w:line="222" w:lineRule="exact"/>
              <w:jc w:val="center"/>
              <w:rPr>
                <w:rFonts w:eastAsia="Times New Roman" w:cs="Times New Roman"/>
                <w:b/>
                <w:sz w:val="3"/>
              </w:rPr>
            </w:pPr>
          </w:p>
        </w:tc>
        <w:tc>
          <w:tcPr>
            <w:tcW w:w="1920" w:type="dxa"/>
            <w:vMerge/>
            <w:tcBorders>
              <w:right w:val="single" w:sz="8" w:space="0" w:color="auto"/>
            </w:tcBorders>
            <w:shd w:val="clear" w:color="auto" w:fill="auto"/>
            <w:vAlign w:val="center"/>
          </w:tcPr>
          <w:p w14:paraId="5271E42B" w14:textId="77777777" w:rsidR="00A52778" w:rsidRPr="00460F9E" w:rsidRDefault="00A52778" w:rsidP="00FC3F8E">
            <w:pPr>
              <w:spacing w:line="0" w:lineRule="atLeast"/>
              <w:jc w:val="center"/>
              <w:rPr>
                <w:rFonts w:eastAsia="Times New Roman" w:cs="Times New Roman"/>
                <w:b/>
                <w:sz w:val="3"/>
              </w:rPr>
            </w:pPr>
          </w:p>
        </w:tc>
        <w:tc>
          <w:tcPr>
            <w:tcW w:w="1260" w:type="dxa"/>
            <w:vMerge/>
            <w:tcBorders>
              <w:right w:val="single" w:sz="8" w:space="0" w:color="auto"/>
            </w:tcBorders>
            <w:shd w:val="clear" w:color="auto" w:fill="auto"/>
            <w:vAlign w:val="bottom"/>
          </w:tcPr>
          <w:p w14:paraId="764B3928" w14:textId="77777777" w:rsidR="00A52778" w:rsidRPr="00460F9E" w:rsidRDefault="00A52778" w:rsidP="00FC3F8E">
            <w:pPr>
              <w:spacing w:line="0" w:lineRule="atLeast"/>
              <w:rPr>
                <w:rFonts w:eastAsia="Times New Roman" w:cs="Times New Roman"/>
                <w:b/>
                <w:sz w:val="3"/>
              </w:rPr>
            </w:pPr>
          </w:p>
        </w:tc>
        <w:tc>
          <w:tcPr>
            <w:tcW w:w="1380" w:type="dxa"/>
            <w:tcBorders>
              <w:right w:val="single" w:sz="8" w:space="0" w:color="auto"/>
            </w:tcBorders>
            <w:shd w:val="clear" w:color="auto" w:fill="auto"/>
            <w:vAlign w:val="bottom"/>
          </w:tcPr>
          <w:p w14:paraId="3EDCB72E" w14:textId="77777777" w:rsidR="00A52778" w:rsidRPr="00460F9E" w:rsidRDefault="00A52778" w:rsidP="00FC3F8E">
            <w:pPr>
              <w:spacing w:line="0" w:lineRule="atLeast"/>
              <w:rPr>
                <w:rFonts w:eastAsia="Times New Roman" w:cs="Times New Roman"/>
                <w:b/>
                <w:sz w:val="3"/>
              </w:rPr>
            </w:pPr>
          </w:p>
        </w:tc>
      </w:tr>
      <w:tr w:rsidR="00A52778" w:rsidRPr="00460F9E" w14:paraId="213405B1" w14:textId="77777777" w:rsidTr="00FC3F8E">
        <w:trPr>
          <w:trHeight w:val="245"/>
        </w:trPr>
        <w:tc>
          <w:tcPr>
            <w:tcW w:w="1840" w:type="dxa"/>
            <w:tcBorders>
              <w:left w:val="single" w:sz="8" w:space="0" w:color="auto"/>
              <w:right w:val="single" w:sz="8" w:space="0" w:color="auto"/>
            </w:tcBorders>
            <w:shd w:val="clear" w:color="auto" w:fill="auto"/>
            <w:vAlign w:val="bottom"/>
          </w:tcPr>
          <w:p w14:paraId="37BD5E53"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Sülfür dioksit</w:t>
            </w:r>
          </w:p>
        </w:tc>
        <w:tc>
          <w:tcPr>
            <w:tcW w:w="1640" w:type="dxa"/>
            <w:vMerge/>
            <w:tcBorders>
              <w:right w:val="single" w:sz="8" w:space="0" w:color="auto"/>
            </w:tcBorders>
            <w:shd w:val="clear" w:color="auto" w:fill="auto"/>
            <w:vAlign w:val="bottom"/>
          </w:tcPr>
          <w:p w14:paraId="76D8717D" w14:textId="77777777" w:rsidR="00A52778" w:rsidRPr="00460F9E" w:rsidRDefault="00A52778" w:rsidP="00FC3F8E">
            <w:pPr>
              <w:spacing w:line="208" w:lineRule="exact"/>
              <w:jc w:val="center"/>
              <w:rPr>
                <w:rFonts w:eastAsia="Times New Roman" w:cs="Times New Roman"/>
                <w:b/>
              </w:rPr>
            </w:pPr>
          </w:p>
        </w:tc>
        <w:tc>
          <w:tcPr>
            <w:tcW w:w="1240" w:type="dxa"/>
            <w:vMerge/>
            <w:tcBorders>
              <w:bottom w:val="single" w:sz="8" w:space="0" w:color="auto"/>
              <w:right w:val="single" w:sz="8" w:space="0" w:color="auto"/>
            </w:tcBorders>
            <w:shd w:val="clear" w:color="auto" w:fill="auto"/>
            <w:vAlign w:val="bottom"/>
          </w:tcPr>
          <w:p w14:paraId="6886B25B" w14:textId="77777777" w:rsidR="00A52778" w:rsidRPr="00460F9E" w:rsidRDefault="00A52778" w:rsidP="00FC3F8E">
            <w:pPr>
              <w:spacing w:line="222" w:lineRule="exact"/>
              <w:jc w:val="center"/>
              <w:rPr>
                <w:rFonts w:eastAsia="Times New Roman" w:cs="Times New Roman"/>
                <w:b/>
              </w:rPr>
            </w:pPr>
          </w:p>
        </w:tc>
        <w:tc>
          <w:tcPr>
            <w:tcW w:w="1920" w:type="dxa"/>
            <w:vMerge/>
            <w:tcBorders>
              <w:bottom w:val="single" w:sz="8" w:space="0" w:color="auto"/>
              <w:right w:val="single" w:sz="8" w:space="0" w:color="auto"/>
            </w:tcBorders>
            <w:shd w:val="clear" w:color="auto" w:fill="auto"/>
            <w:vAlign w:val="center"/>
          </w:tcPr>
          <w:p w14:paraId="12754745" w14:textId="77777777" w:rsidR="00A52778" w:rsidRPr="00460F9E" w:rsidRDefault="00A52778" w:rsidP="00FC3F8E">
            <w:pPr>
              <w:spacing w:line="0" w:lineRule="atLeast"/>
              <w:jc w:val="center"/>
              <w:rPr>
                <w:rFonts w:eastAsia="Times New Roman" w:cs="Times New Roman"/>
                <w:b/>
                <w:sz w:val="21"/>
              </w:rPr>
            </w:pPr>
          </w:p>
        </w:tc>
        <w:tc>
          <w:tcPr>
            <w:tcW w:w="1260" w:type="dxa"/>
            <w:vMerge/>
            <w:tcBorders>
              <w:bottom w:val="single" w:sz="8" w:space="0" w:color="auto"/>
              <w:right w:val="single" w:sz="8" w:space="0" w:color="auto"/>
            </w:tcBorders>
            <w:shd w:val="clear" w:color="auto" w:fill="auto"/>
            <w:vAlign w:val="bottom"/>
          </w:tcPr>
          <w:p w14:paraId="383BDF5C" w14:textId="77777777" w:rsidR="00A52778" w:rsidRPr="00460F9E" w:rsidRDefault="00A52778" w:rsidP="00FC3F8E">
            <w:pPr>
              <w:spacing w:line="0" w:lineRule="atLeast"/>
              <w:rPr>
                <w:rFonts w:eastAsia="Times New Roman" w:cs="Times New Roman"/>
                <w:b/>
                <w:sz w:val="21"/>
              </w:rPr>
            </w:pPr>
          </w:p>
        </w:tc>
        <w:tc>
          <w:tcPr>
            <w:tcW w:w="1380" w:type="dxa"/>
            <w:tcBorders>
              <w:right w:val="single" w:sz="8" w:space="0" w:color="auto"/>
            </w:tcBorders>
            <w:shd w:val="clear" w:color="auto" w:fill="auto"/>
            <w:vAlign w:val="bottom"/>
          </w:tcPr>
          <w:p w14:paraId="6BF49639" w14:textId="77777777" w:rsidR="00A52778" w:rsidRPr="00460F9E" w:rsidRDefault="002A1746" w:rsidP="00FC3F8E">
            <w:pPr>
              <w:spacing w:line="0" w:lineRule="atLeast"/>
              <w:jc w:val="center"/>
              <w:rPr>
                <w:rFonts w:eastAsia="Times New Roman" w:cs="Times New Roman"/>
                <w:b/>
                <w:w w:val="99"/>
              </w:rPr>
            </w:pPr>
            <w:hyperlink w:anchor="page309" w:history="1">
              <w:r w:rsidR="00A52778" w:rsidRPr="00460F9E">
                <w:rPr>
                  <w:rFonts w:eastAsia="Times New Roman" w:cs="Times New Roman"/>
                  <w:w w:val="99"/>
                </w:rPr>
                <w:t>MET 18,</w:t>
              </w:r>
            </w:hyperlink>
          </w:p>
        </w:tc>
      </w:tr>
      <w:tr w:rsidR="00A52778" w:rsidRPr="00460F9E" w14:paraId="7E0EF0E8" w14:textId="77777777" w:rsidTr="00FC3F8E">
        <w:trPr>
          <w:trHeight w:val="220"/>
        </w:trPr>
        <w:tc>
          <w:tcPr>
            <w:tcW w:w="1840" w:type="dxa"/>
            <w:tcBorders>
              <w:left w:val="single" w:sz="8" w:space="0" w:color="auto"/>
              <w:right w:val="single" w:sz="8" w:space="0" w:color="auto"/>
            </w:tcBorders>
            <w:shd w:val="clear" w:color="auto" w:fill="auto"/>
            <w:vAlign w:val="bottom"/>
          </w:tcPr>
          <w:p w14:paraId="63CB09E0" w14:textId="77777777" w:rsidR="00A52778" w:rsidRPr="00460F9E" w:rsidRDefault="00A52778" w:rsidP="00FC3F8E">
            <w:pPr>
              <w:spacing w:line="211" w:lineRule="exact"/>
              <w:jc w:val="center"/>
              <w:rPr>
                <w:rFonts w:eastAsia="Times New Roman" w:cs="Times New Roman"/>
                <w:b/>
              </w:rPr>
            </w:pPr>
            <w:r w:rsidRPr="00460F9E">
              <w:rPr>
                <w:rFonts w:eastAsia="Times New Roman" w:cs="Times New Roman"/>
              </w:rPr>
              <w:t>(SO</w:t>
            </w:r>
            <w:r w:rsidRPr="00460F9E">
              <w:rPr>
                <w:rFonts w:eastAsia="Times New Roman" w:cs="Times New Roman"/>
                <w:sz w:val="12"/>
              </w:rPr>
              <w:t>2</w:t>
            </w:r>
            <w:r w:rsidRPr="00460F9E">
              <w:rPr>
                <w:rFonts w:eastAsia="Times New Roman" w:cs="Times New Roman"/>
              </w:rPr>
              <w:t>)</w:t>
            </w:r>
          </w:p>
        </w:tc>
        <w:tc>
          <w:tcPr>
            <w:tcW w:w="1640" w:type="dxa"/>
            <w:vMerge/>
            <w:tcBorders>
              <w:right w:val="single" w:sz="8" w:space="0" w:color="auto"/>
            </w:tcBorders>
            <w:shd w:val="clear" w:color="auto" w:fill="auto"/>
            <w:vAlign w:val="bottom"/>
          </w:tcPr>
          <w:p w14:paraId="7F46C783" w14:textId="77777777" w:rsidR="00A52778" w:rsidRPr="00460F9E" w:rsidRDefault="00A52778" w:rsidP="00FC3F8E">
            <w:pPr>
              <w:spacing w:line="208" w:lineRule="exact"/>
              <w:jc w:val="center"/>
              <w:rPr>
                <w:rFonts w:eastAsia="Times New Roman" w:cs="Times New Roman"/>
                <w:b/>
              </w:rPr>
            </w:pPr>
          </w:p>
        </w:tc>
        <w:tc>
          <w:tcPr>
            <w:tcW w:w="1240" w:type="dxa"/>
            <w:vMerge w:val="restart"/>
            <w:tcBorders>
              <w:right w:val="single" w:sz="8" w:space="0" w:color="auto"/>
            </w:tcBorders>
            <w:shd w:val="clear" w:color="auto" w:fill="auto"/>
            <w:vAlign w:val="center"/>
          </w:tcPr>
          <w:p w14:paraId="5960F76E" w14:textId="77777777" w:rsidR="00A52778" w:rsidRPr="00460F9E" w:rsidRDefault="00A52778" w:rsidP="00FC3F8E">
            <w:pPr>
              <w:spacing w:line="219" w:lineRule="exact"/>
              <w:jc w:val="center"/>
              <w:rPr>
                <w:rFonts w:eastAsia="Times New Roman" w:cs="Times New Roman"/>
                <w:b/>
                <w:w w:val="99"/>
              </w:rPr>
            </w:pPr>
            <w:r w:rsidRPr="00460F9E">
              <w:rPr>
                <w:rFonts w:eastAsia="Times New Roman" w:cs="Times New Roman"/>
                <w:w w:val="99"/>
              </w:rPr>
              <w:t>SO</w:t>
            </w:r>
            <w:r w:rsidRPr="00460F9E">
              <w:rPr>
                <w:rFonts w:eastAsia="Times New Roman" w:cs="Times New Roman"/>
                <w:w w:val="99"/>
                <w:sz w:val="12"/>
              </w:rPr>
              <w:t>2</w:t>
            </w:r>
            <w:r w:rsidRPr="00460F9E">
              <w:rPr>
                <w:rFonts w:eastAsia="Times New Roman" w:cs="Times New Roman"/>
                <w:w w:val="99"/>
              </w:rPr>
              <w:t xml:space="preserve"> kütle akışı &lt; 2,5 kg/saat olan herhangi bir baca</w:t>
            </w:r>
            <w:r w:rsidRPr="00460F9E">
              <w:rPr>
                <w:rFonts w:eastAsia="Times New Roman" w:cs="Times New Roman"/>
              </w:rPr>
              <w:t xml:space="preserve"> </w:t>
            </w:r>
          </w:p>
        </w:tc>
        <w:tc>
          <w:tcPr>
            <w:tcW w:w="1920" w:type="dxa"/>
            <w:tcBorders>
              <w:right w:val="single" w:sz="8" w:space="0" w:color="auto"/>
            </w:tcBorders>
            <w:shd w:val="clear" w:color="auto" w:fill="auto"/>
            <w:vAlign w:val="bottom"/>
          </w:tcPr>
          <w:p w14:paraId="78012720" w14:textId="77777777" w:rsidR="00A52778" w:rsidRPr="00460F9E" w:rsidRDefault="00A52778" w:rsidP="00FC3F8E">
            <w:pPr>
              <w:spacing w:line="0" w:lineRule="atLeast"/>
              <w:rPr>
                <w:rFonts w:eastAsia="Times New Roman" w:cs="Times New Roman"/>
                <w:b/>
                <w:sz w:val="19"/>
              </w:rPr>
            </w:pPr>
          </w:p>
        </w:tc>
        <w:tc>
          <w:tcPr>
            <w:tcW w:w="1260" w:type="dxa"/>
            <w:vMerge w:val="restart"/>
            <w:tcBorders>
              <w:right w:val="single" w:sz="8" w:space="0" w:color="auto"/>
            </w:tcBorders>
            <w:shd w:val="clear" w:color="auto" w:fill="auto"/>
            <w:vAlign w:val="center"/>
          </w:tcPr>
          <w:p w14:paraId="5F46F39B"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Her 6 ayda</w:t>
            </w:r>
          </w:p>
          <w:p w14:paraId="3FFC5A40" w14:textId="77777777" w:rsidR="00A52778" w:rsidRPr="00460F9E" w:rsidRDefault="00A52778" w:rsidP="00FC3F8E">
            <w:pPr>
              <w:spacing w:line="232" w:lineRule="exact"/>
              <w:ind w:right="280"/>
              <w:jc w:val="center"/>
              <w:rPr>
                <w:rFonts w:eastAsia="Times New Roman" w:cs="Times New Roman"/>
                <w:b/>
              </w:rPr>
            </w:pPr>
            <w:r w:rsidRPr="00460F9E">
              <w:rPr>
                <w:rFonts w:eastAsia="Times New Roman" w:cs="Times New Roman"/>
              </w:rPr>
              <w:t xml:space="preserve">     1 kere</w:t>
            </w:r>
          </w:p>
          <w:p w14:paraId="4F1F1407" w14:textId="77777777" w:rsidR="00A52778" w:rsidRPr="00460F9E" w:rsidRDefault="00A52778" w:rsidP="00FC3F8E">
            <w:pPr>
              <w:spacing w:line="240" w:lineRule="exact"/>
              <w:jc w:val="center"/>
              <w:rPr>
                <w:rFonts w:eastAsia="Times New Roman" w:cs="Times New Roman"/>
                <w:b/>
                <w:sz w:val="19"/>
              </w:rPr>
            </w:pPr>
            <w:r w:rsidRPr="00460F9E">
              <w:rPr>
                <w:rFonts w:eastAsia="Times New Roman" w:cs="Times New Roman"/>
                <w:w w:val="90"/>
              </w:rPr>
              <w:t>(</w:t>
            </w:r>
            <w:r w:rsidRPr="00460F9E">
              <w:rPr>
                <w:rFonts w:eastAsia="Times New Roman" w:cs="Times New Roman"/>
                <w:w w:val="90"/>
                <w:sz w:val="25"/>
                <w:vertAlign w:val="superscript"/>
              </w:rPr>
              <w:t>3</w:t>
            </w:r>
            <w:r w:rsidRPr="00460F9E">
              <w:rPr>
                <w:rFonts w:eastAsia="Times New Roman" w:cs="Times New Roman"/>
                <w:w w:val="90"/>
              </w:rPr>
              <w:t>) (</w:t>
            </w:r>
            <w:r w:rsidRPr="00460F9E">
              <w:rPr>
                <w:rFonts w:eastAsia="Times New Roman" w:cs="Times New Roman"/>
                <w:w w:val="90"/>
                <w:sz w:val="25"/>
                <w:vertAlign w:val="superscript"/>
              </w:rPr>
              <w:t>4</w:t>
            </w:r>
            <w:r w:rsidRPr="00460F9E">
              <w:rPr>
                <w:rFonts w:eastAsia="Times New Roman" w:cs="Times New Roman"/>
                <w:w w:val="90"/>
              </w:rPr>
              <w:t>)</w:t>
            </w:r>
          </w:p>
        </w:tc>
        <w:tc>
          <w:tcPr>
            <w:tcW w:w="1380" w:type="dxa"/>
            <w:tcBorders>
              <w:right w:val="single" w:sz="8" w:space="0" w:color="auto"/>
            </w:tcBorders>
            <w:shd w:val="clear" w:color="auto" w:fill="auto"/>
            <w:vAlign w:val="bottom"/>
          </w:tcPr>
          <w:p w14:paraId="76503505" w14:textId="77777777" w:rsidR="00A52778" w:rsidRPr="00460F9E" w:rsidRDefault="002A1746" w:rsidP="00FC3F8E">
            <w:pPr>
              <w:spacing w:line="208" w:lineRule="exact"/>
              <w:jc w:val="center"/>
              <w:rPr>
                <w:rFonts w:eastAsia="Times New Roman" w:cs="Times New Roman"/>
                <w:b/>
              </w:rPr>
            </w:pPr>
            <w:hyperlink w:anchor="page329" w:history="1">
              <w:r w:rsidR="00A52778" w:rsidRPr="00460F9E">
                <w:rPr>
                  <w:rFonts w:eastAsia="Times New Roman" w:cs="Times New Roman"/>
                </w:rPr>
                <w:t>MET 36</w:t>
              </w:r>
            </w:hyperlink>
          </w:p>
        </w:tc>
      </w:tr>
      <w:tr w:rsidR="00A52778" w:rsidRPr="00460F9E" w14:paraId="6037D641" w14:textId="77777777" w:rsidTr="00FC3F8E">
        <w:trPr>
          <w:trHeight w:val="234"/>
        </w:trPr>
        <w:tc>
          <w:tcPr>
            <w:tcW w:w="1840" w:type="dxa"/>
            <w:tcBorders>
              <w:left w:val="single" w:sz="8" w:space="0" w:color="auto"/>
              <w:right w:val="single" w:sz="8" w:space="0" w:color="auto"/>
            </w:tcBorders>
            <w:shd w:val="clear" w:color="auto" w:fill="auto"/>
            <w:vAlign w:val="bottom"/>
          </w:tcPr>
          <w:p w14:paraId="1E3CEA4C" w14:textId="77777777" w:rsidR="00A52778" w:rsidRPr="00460F9E" w:rsidRDefault="00A52778" w:rsidP="00FC3F8E">
            <w:pPr>
              <w:spacing w:line="0" w:lineRule="atLeast"/>
              <w:rPr>
                <w:rFonts w:eastAsia="Times New Roman" w:cs="Times New Roman"/>
                <w:b/>
              </w:rPr>
            </w:pPr>
          </w:p>
        </w:tc>
        <w:tc>
          <w:tcPr>
            <w:tcW w:w="1640" w:type="dxa"/>
            <w:vMerge/>
            <w:tcBorders>
              <w:right w:val="single" w:sz="8" w:space="0" w:color="auto"/>
            </w:tcBorders>
            <w:shd w:val="clear" w:color="auto" w:fill="auto"/>
            <w:vAlign w:val="bottom"/>
          </w:tcPr>
          <w:p w14:paraId="21F51C62" w14:textId="77777777" w:rsidR="00A52778" w:rsidRPr="00460F9E" w:rsidRDefault="00A52778" w:rsidP="00FC3F8E">
            <w:pPr>
              <w:spacing w:line="0" w:lineRule="atLeast"/>
              <w:rPr>
                <w:rFonts w:eastAsia="Times New Roman" w:cs="Times New Roman"/>
                <w:b/>
              </w:rPr>
            </w:pPr>
          </w:p>
        </w:tc>
        <w:tc>
          <w:tcPr>
            <w:tcW w:w="1240" w:type="dxa"/>
            <w:vMerge/>
            <w:tcBorders>
              <w:right w:val="single" w:sz="8" w:space="0" w:color="auto"/>
            </w:tcBorders>
            <w:shd w:val="clear" w:color="auto" w:fill="auto"/>
            <w:vAlign w:val="bottom"/>
          </w:tcPr>
          <w:p w14:paraId="534EACF9" w14:textId="77777777" w:rsidR="00A52778" w:rsidRPr="00460F9E" w:rsidRDefault="00A52778" w:rsidP="00FC3F8E">
            <w:pPr>
              <w:spacing w:line="219" w:lineRule="exact"/>
              <w:jc w:val="center"/>
              <w:rPr>
                <w:rFonts w:eastAsia="Times New Roman" w:cs="Times New Roman"/>
                <w:b/>
                <w:w w:val="99"/>
                <w:sz w:val="12"/>
              </w:rPr>
            </w:pPr>
          </w:p>
        </w:tc>
        <w:tc>
          <w:tcPr>
            <w:tcW w:w="1920" w:type="dxa"/>
            <w:tcBorders>
              <w:right w:val="single" w:sz="8" w:space="0" w:color="auto"/>
            </w:tcBorders>
            <w:shd w:val="clear" w:color="auto" w:fill="auto"/>
            <w:vAlign w:val="bottom"/>
          </w:tcPr>
          <w:p w14:paraId="0C4EB057" w14:textId="77777777" w:rsidR="00A52778" w:rsidRPr="00460F9E" w:rsidRDefault="00A52778" w:rsidP="00FC3F8E">
            <w:pPr>
              <w:spacing w:line="0" w:lineRule="atLeast"/>
              <w:rPr>
                <w:rFonts w:eastAsia="Times New Roman" w:cs="Times New Roman"/>
                <w:b/>
              </w:rPr>
            </w:pPr>
          </w:p>
        </w:tc>
        <w:tc>
          <w:tcPr>
            <w:tcW w:w="1260" w:type="dxa"/>
            <w:vMerge/>
            <w:tcBorders>
              <w:right w:val="single" w:sz="8" w:space="0" w:color="auto"/>
            </w:tcBorders>
            <w:shd w:val="clear" w:color="auto" w:fill="auto"/>
            <w:vAlign w:val="center"/>
          </w:tcPr>
          <w:p w14:paraId="41CFB1F4" w14:textId="77777777" w:rsidR="00A52778" w:rsidRPr="00460F9E" w:rsidRDefault="00A52778" w:rsidP="00FC3F8E">
            <w:pPr>
              <w:spacing w:line="240" w:lineRule="exact"/>
              <w:jc w:val="center"/>
              <w:rPr>
                <w:rFonts w:eastAsia="Times New Roman" w:cs="Times New Roman"/>
                <w:b/>
              </w:rPr>
            </w:pPr>
          </w:p>
        </w:tc>
        <w:tc>
          <w:tcPr>
            <w:tcW w:w="1380" w:type="dxa"/>
            <w:tcBorders>
              <w:right w:val="single" w:sz="8" w:space="0" w:color="auto"/>
            </w:tcBorders>
            <w:shd w:val="clear" w:color="auto" w:fill="auto"/>
            <w:vAlign w:val="bottom"/>
          </w:tcPr>
          <w:p w14:paraId="57EAA7E5" w14:textId="77777777" w:rsidR="00A52778" w:rsidRPr="00460F9E" w:rsidRDefault="00A52778" w:rsidP="00FC3F8E">
            <w:pPr>
              <w:spacing w:line="0" w:lineRule="atLeast"/>
              <w:rPr>
                <w:rFonts w:eastAsia="Times New Roman" w:cs="Times New Roman"/>
                <w:b/>
              </w:rPr>
            </w:pPr>
          </w:p>
        </w:tc>
      </w:tr>
      <w:tr w:rsidR="00A52778" w:rsidRPr="00460F9E" w14:paraId="26C03AD5" w14:textId="77777777" w:rsidTr="00FC3F8E">
        <w:trPr>
          <w:trHeight w:val="227"/>
        </w:trPr>
        <w:tc>
          <w:tcPr>
            <w:tcW w:w="1840" w:type="dxa"/>
            <w:tcBorders>
              <w:left w:val="single" w:sz="8" w:space="0" w:color="auto"/>
              <w:right w:val="single" w:sz="8" w:space="0" w:color="auto"/>
            </w:tcBorders>
            <w:shd w:val="clear" w:color="auto" w:fill="auto"/>
            <w:vAlign w:val="bottom"/>
          </w:tcPr>
          <w:p w14:paraId="59236230" w14:textId="77777777" w:rsidR="00A52778" w:rsidRPr="00460F9E" w:rsidRDefault="00A52778" w:rsidP="00FC3F8E">
            <w:pPr>
              <w:spacing w:line="0" w:lineRule="atLeast"/>
              <w:rPr>
                <w:rFonts w:eastAsia="Times New Roman" w:cs="Times New Roman"/>
                <w:b/>
                <w:sz w:val="19"/>
              </w:rPr>
            </w:pPr>
          </w:p>
        </w:tc>
        <w:tc>
          <w:tcPr>
            <w:tcW w:w="1640" w:type="dxa"/>
            <w:vMerge/>
            <w:tcBorders>
              <w:right w:val="single" w:sz="8" w:space="0" w:color="auto"/>
            </w:tcBorders>
            <w:shd w:val="clear" w:color="auto" w:fill="auto"/>
            <w:vAlign w:val="bottom"/>
          </w:tcPr>
          <w:p w14:paraId="3D7ABED4" w14:textId="77777777" w:rsidR="00A52778" w:rsidRPr="00460F9E" w:rsidRDefault="00A52778" w:rsidP="00FC3F8E">
            <w:pPr>
              <w:spacing w:line="0" w:lineRule="atLeast"/>
              <w:rPr>
                <w:rFonts w:eastAsia="Times New Roman" w:cs="Times New Roman"/>
                <w:b/>
                <w:sz w:val="19"/>
              </w:rPr>
            </w:pPr>
          </w:p>
        </w:tc>
        <w:tc>
          <w:tcPr>
            <w:tcW w:w="1240" w:type="dxa"/>
            <w:vMerge/>
            <w:tcBorders>
              <w:right w:val="single" w:sz="8" w:space="0" w:color="auto"/>
            </w:tcBorders>
            <w:shd w:val="clear" w:color="auto" w:fill="auto"/>
            <w:vAlign w:val="bottom"/>
          </w:tcPr>
          <w:p w14:paraId="28F79A5E" w14:textId="77777777" w:rsidR="00A52778" w:rsidRPr="00460F9E" w:rsidRDefault="00A52778" w:rsidP="00FC3F8E">
            <w:pPr>
              <w:spacing w:line="219" w:lineRule="exact"/>
              <w:jc w:val="center"/>
              <w:rPr>
                <w:rFonts w:eastAsia="Times New Roman" w:cs="Times New Roman"/>
                <w:b/>
              </w:rPr>
            </w:pPr>
          </w:p>
        </w:tc>
        <w:tc>
          <w:tcPr>
            <w:tcW w:w="1920" w:type="dxa"/>
            <w:tcBorders>
              <w:right w:val="single" w:sz="8" w:space="0" w:color="auto"/>
            </w:tcBorders>
            <w:shd w:val="clear" w:color="auto" w:fill="auto"/>
            <w:vAlign w:val="bottom"/>
          </w:tcPr>
          <w:p w14:paraId="3DE9C956" w14:textId="77777777" w:rsidR="00A52778" w:rsidRPr="00460F9E" w:rsidRDefault="00A52778" w:rsidP="00FC3F8E">
            <w:pPr>
              <w:spacing w:line="228" w:lineRule="exact"/>
              <w:jc w:val="center"/>
              <w:rPr>
                <w:rFonts w:eastAsia="Times New Roman" w:cs="Times New Roman"/>
                <w:b/>
              </w:rPr>
            </w:pPr>
            <w:r w:rsidRPr="00460F9E">
              <w:rPr>
                <w:rFonts w:eastAsia="Times New Roman" w:cs="Times New Roman"/>
              </w:rPr>
              <w:t>EN 14791</w:t>
            </w:r>
          </w:p>
        </w:tc>
        <w:tc>
          <w:tcPr>
            <w:tcW w:w="1260" w:type="dxa"/>
            <w:vMerge/>
            <w:tcBorders>
              <w:right w:val="single" w:sz="8" w:space="0" w:color="auto"/>
            </w:tcBorders>
            <w:shd w:val="clear" w:color="auto" w:fill="auto"/>
            <w:vAlign w:val="center"/>
          </w:tcPr>
          <w:p w14:paraId="4CDDC321" w14:textId="77777777" w:rsidR="00A52778" w:rsidRPr="00460F9E" w:rsidRDefault="00A52778" w:rsidP="00FC3F8E">
            <w:pPr>
              <w:spacing w:line="240" w:lineRule="exact"/>
              <w:jc w:val="center"/>
              <w:rPr>
                <w:rFonts w:eastAsia="Times New Roman" w:cs="Times New Roman"/>
                <w:b/>
              </w:rPr>
            </w:pPr>
          </w:p>
        </w:tc>
        <w:tc>
          <w:tcPr>
            <w:tcW w:w="1380" w:type="dxa"/>
            <w:tcBorders>
              <w:right w:val="single" w:sz="8" w:space="0" w:color="auto"/>
            </w:tcBorders>
            <w:shd w:val="clear" w:color="auto" w:fill="auto"/>
            <w:vAlign w:val="bottom"/>
          </w:tcPr>
          <w:p w14:paraId="7293AF7D" w14:textId="77777777" w:rsidR="00A52778" w:rsidRPr="00460F9E" w:rsidRDefault="00A52778" w:rsidP="00FC3F8E">
            <w:pPr>
              <w:spacing w:line="0" w:lineRule="atLeast"/>
              <w:rPr>
                <w:rFonts w:eastAsia="Times New Roman" w:cs="Times New Roman"/>
                <w:b/>
                <w:sz w:val="19"/>
              </w:rPr>
            </w:pPr>
          </w:p>
        </w:tc>
      </w:tr>
      <w:tr w:rsidR="00A52778" w:rsidRPr="00460F9E" w14:paraId="66637FBD" w14:textId="77777777" w:rsidTr="00FC3F8E">
        <w:trPr>
          <w:trHeight w:val="240"/>
        </w:trPr>
        <w:tc>
          <w:tcPr>
            <w:tcW w:w="1840" w:type="dxa"/>
            <w:tcBorders>
              <w:left w:val="single" w:sz="8" w:space="0" w:color="auto"/>
              <w:right w:val="single" w:sz="8" w:space="0" w:color="auto"/>
            </w:tcBorders>
            <w:shd w:val="clear" w:color="auto" w:fill="auto"/>
            <w:vAlign w:val="bottom"/>
          </w:tcPr>
          <w:p w14:paraId="379DD0ED" w14:textId="77777777" w:rsidR="00A52778" w:rsidRPr="00460F9E" w:rsidRDefault="00A52778" w:rsidP="00FC3F8E">
            <w:pPr>
              <w:spacing w:line="0" w:lineRule="atLeast"/>
              <w:rPr>
                <w:rFonts w:eastAsia="Times New Roman" w:cs="Times New Roman"/>
                <w:b/>
              </w:rPr>
            </w:pPr>
          </w:p>
        </w:tc>
        <w:tc>
          <w:tcPr>
            <w:tcW w:w="1640" w:type="dxa"/>
            <w:vMerge/>
            <w:tcBorders>
              <w:right w:val="single" w:sz="8" w:space="0" w:color="auto"/>
            </w:tcBorders>
            <w:shd w:val="clear" w:color="auto" w:fill="auto"/>
            <w:vAlign w:val="bottom"/>
          </w:tcPr>
          <w:p w14:paraId="3C64DBE1" w14:textId="77777777" w:rsidR="00A52778" w:rsidRPr="00460F9E" w:rsidRDefault="00A52778" w:rsidP="00FC3F8E">
            <w:pPr>
              <w:spacing w:line="0" w:lineRule="atLeast"/>
              <w:rPr>
                <w:rFonts w:eastAsia="Times New Roman" w:cs="Times New Roman"/>
                <w:b/>
              </w:rPr>
            </w:pPr>
          </w:p>
        </w:tc>
        <w:tc>
          <w:tcPr>
            <w:tcW w:w="1240" w:type="dxa"/>
            <w:vMerge/>
            <w:tcBorders>
              <w:right w:val="single" w:sz="8" w:space="0" w:color="auto"/>
            </w:tcBorders>
            <w:shd w:val="clear" w:color="auto" w:fill="auto"/>
            <w:vAlign w:val="bottom"/>
          </w:tcPr>
          <w:p w14:paraId="04542108" w14:textId="77777777" w:rsidR="00A52778" w:rsidRPr="00460F9E" w:rsidRDefault="00A52778" w:rsidP="00FC3F8E">
            <w:pPr>
              <w:spacing w:line="219" w:lineRule="exact"/>
              <w:jc w:val="center"/>
              <w:rPr>
                <w:rFonts w:eastAsia="Times New Roman" w:cs="Times New Roman"/>
                <w:b/>
                <w:w w:val="95"/>
              </w:rPr>
            </w:pPr>
          </w:p>
        </w:tc>
        <w:tc>
          <w:tcPr>
            <w:tcW w:w="1920" w:type="dxa"/>
            <w:tcBorders>
              <w:right w:val="single" w:sz="8" w:space="0" w:color="auto"/>
            </w:tcBorders>
            <w:shd w:val="clear" w:color="auto" w:fill="auto"/>
            <w:vAlign w:val="bottom"/>
          </w:tcPr>
          <w:p w14:paraId="2A83DEAA" w14:textId="77777777" w:rsidR="00A52778" w:rsidRPr="00460F9E" w:rsidRDefault="00A52778" w:rsidP="00FC3F8E">
            <w:pPr>
              <w:spacing w:line="0" w:lineRule="atLeast"/>
              <w:rPr>
                <w:rFonts w:eastAsia="Times New Roman" w:cs="Times New Roman"/>
                <w:b/>
              </w:rPr>
            </w:pPr>
          </w:p>
        </w:tc>
        <w:tc>
          <w:tcPr>
            <w:tcW w:w="1260" w:type="dxa"/>
            <w:vMerge/>
            <w:tcBorders>
              <w:right w:val="single" w:sz="8" w:space="0" w:color="auto"/>
            </w:tcBorders>
            <w:shd w:val="clear" w:color="auto" w:fill="auto"/>
            <w:vAlign w:val="center"/>
          </w:tcPr>
          <w:p w14:paraId="2001E06C" w14:textId="77777777" w:rsidR="00A52778" w:rsidRPr="00460F9E" w:rsidRDefault="00A52778" w:rsidP="00FC3F8E">
            <w:pPr>
              <w:spacing w:line="240" w:lineRule="exact"/>
              <w:jc w:val="center"/>
              <w:rPr>
                <w:rFonts w:eastAsia="Times New Roman" w:cs="Times New Roman"/>
                <w:b/>
                <w:w w:val="90"/>
              </w:rPr>
            </w:pPr>
          </w:p>
        </w:tc>
        <w:tc>
          <w:tcPr>
            <w:tcW w:w="1380" w:type="dxa"/>
            <w:tcBorders>
              <w:right w:val="single" w:sz="8" w:space="0" w:color="auto"/>
            </w:tcBorders>
            <w:shd w:val="clear" w:color="auto" w:fill="auto"/>
            <w:vAlign w:val="bottom"/>
          </w:tcPr>
          <w:p w14:paraId="030B5FB6" w14:textId="77777777" w:rsidR="00A52778" w:rsidRPr="00460F9E" w:rsidRDefault="00A52778" w:rsidP="00FC3F8E">
            <w:pPr>
              <w:spacing w:line="0" w:lineRule="atLeast"/>
              <w:rPr>
                <w:rFonts w:eastAsia="Times New Roman" w:cs="Times New Roman"/>
                <w:b/>
              </w:rPr>
            </w:pPr>
          </w:p>
        </w:tc>
      </w:tr>
      <w:tr w:rsidR="00A52778" w:rsidRPr="00460F9E" w14:paraId="3AC0E8EC" w14:textId="77777777" w:rsidTr="00FC3F8E">
        <w:trPr>
          <w:trHeight w:val="222"/>
        </w:trPr>
        <w:tc>
          <w:tcPr>
            <w:tcW w:w="1840" w:type="dxa"/>
            <w:tcBorders>
              <w:left w:val="single" w:sz="8" w:space="0" w:color="auto"/>
              <w:right w:val="single" w:sz="8" w:space="0" w:color="auto"/>
            </w:tcBorders>
            <w:shd w:val="clear" w:color="auto" w:fill="auto"/>
            <w:vAlign w:val="bottom"/>
          </w:tcPr>
          <w:p w14:paraId="12285F77" w14:textId="77777777" w:rsidR="00A52778" w:rsidRPr="00460F9E" w:rsidRDefault="00A52778" w:rsidP="00FC3F8E">
            <w:pPr>
              <w:spacing w:line="0" w:lineRule="atLeast"/>
              <w:rPr>
                <w:rFonts w:eastAsia="Times New Roman" w:cs="Times New Roman"/>
                <w:b/>
                <w:sz w:val="19"/>
              </w:rPr>
            </w:pPr>
          </w:p>
        </w:tc>
        <w:tc>
          <w:tcPr>
            <w:tcW w:w="1640" w:type="dxa"/>
            <w:vMerge/>
            <w:tcBorders>
              <w:bottom w:val="single" w:sz="8" w:space="0" w:color="auto"/>
              <w:right w:val="single" w:sz="8" w:space="0" w:color="auto"/>
            </w:tcBorders>
            <w:shd w:val="clear" w:color="auto" w:fill="auto"/>
            <w:vAlign w:val="bottom"/>
          </w:tcPr>
          <w:p w14:paraId="31E30EA1" w14:textId="77777777" w:rsidR="00A52778" w:rsidRPr="00460F9E" w:rsidRDefault="00A52778" w:rsidP="00FC3F8E">
            <w:pPr>
              <w:spacing w:line="0" w:lineRule="atLeast"/>
              <w:rPr>
                <w:rFonts w:eastAsia="Times New Roman" w:cs="Times New Roman"/>
                <w:b/>
                <w:sz w:val="19"/>
              </w:rPr>
            </w:pPr>
          </w:p>
        </w:tc>
        <w:tc>
          <w:tcPr>
            <w:tcW w:w="1240" w:type="dxa"/>
            <w:vMerge/>
            <w:tcBorders>
              <w:bottom w:val="single" w:sz="8" w:space="0" w:color="auto"/>
              <w:right w:val="single" w:sz="8" w:space="0" w:color="auto"/>
            </w:tcBorders>
            <w:shd w:val="clear" w:color="auto" w:fill="auto"/>
            <w:vAlign w:val="bottom"/>
          </w:tcPr>
          <w:p w14:paraId="6EB50B61" w14:textId="77777777" w:rsidR="00A52778" w:rsidRPr="00460F9E" w:rsidRDefault="00A52778" w:rsidP="00FC3F8E">
            <w:pPr>
              <w:spacing w:line="219" w:lineRule="exact"/>
              <w:jc w:val="center"/>
              <w:rPr>
                <w:rFonts w:eastAsia="Times New Roman" w:cs="Times New Roman"/>
                <w:b/>
              </w:rPr>
            </w:pPr>
          </w:p>
        </w:tc>
        <w:tc>
          <w:tcPr>
            <w:tcW w:w="1920" w:type="dxa"/>
            <w:tcBorders>
              <w:bottom w:val="single" w:sz="8" w:space="0" w:color="auto"/>
              <w:right w:val="single" w:sz="8" w:space="0" w:color="auto"/>
            </w:tcBorders>
            <w:shd w:val="clear" w:color="auto" w:fill="auto"/>
            <w:vAlign w:val="bottom"/>
          </w:tcPr>
          <w:p w14:paraId="328280B9" w14:textId="77777777" w:rsidR="00A52778" w:rsidRPr="00460F9E" w:rsidRDefault="00A52778" w:rsidP="00FC3F8E">
            <w:pPr>
              <w:spacing w:line="0" w:lineRule="atLeast"/>
              <w:rPr>
                <w:rFonts w:eastAsia="Times New Roman" w:cs="Times New Roman"/>
                <w:b/>
                <w:sz w:val="19"/>
              </w:rPr>
            </w:pPr>
          </w:p>
        </w:tc>
        <w:tc>
          <w:tcPr>
            <w:tcW w:w="1260" w:type="dxa"/>
            <w:vMerge/>
            <w:tcBorders>
              <w:bottom w:val="single" w:sz="8" w:space="0" w:color="auto"/>
              <w:right w:val="single" w:sz="8" w:space="0" w:color="auto"/>
            </w:tcBorders>
            <w:shd w:val="clear" w:color="auto" w:fill="auto"/>
            <w:vAlign w:val="center"/>
          </w:tcPr>
          <w:p w14:paraId="5391160B" w14:textId="77777777" w:rsidR="00A52778" w:rsidRPr="00460F9E" w:rsidRDefault="00A52778" w:rsidP="00FC3F8E">
            <w:pPr>
              <w:spacing w:line="0" w:lineRule="atLeast"/>
              <w:jc w:val="center"/>
              <w:rPr>
                <w:rFonts w:eastAsia="Times New Roman" w:cs="Times New Roman"/>
                <w:b/>
                <w:sz w:val="19"/>
              </w:rPr>
            </w:pPr>
          </w:p>
        </w:tc>
        <w:tc>
          <w:tcPr>
            <w:tcW w:w="1380" w:type="dxa"/>
            <w:tcBorders>
              <w:bottom w:val="single" w:sz="8" w:space="0" w:color="auto"/>
              <w:right w:val="single" w:sz="8" w:space="0" w:color="auto"/>
            </w:tcBorders>
            <w:shd w:val="clear" w:color="auto" w:fill="auto"/>
            <w:vAlign w:val="bottom"/>
          </w:tcPr>
          <w:p w14:paraId="00077FDD" w14:textId="77777777" w:rsidR="00A52778" w:rsidRPr="00460F9E" w:rsidRDefault="00A52778" w:rsidP="00FC3F8E">
            <w:pPr>
              <w:spacing w:line="0" w:lineRule="atLeast"/>
              <w:rPr>
                <w:rFonts w:eastAsia="Times New Roman" w:cs="Times New Roman"/>
                <w:b/>
                <w:sz w:val="19"/>
              </w:rPr>
            </w:pPr>
          </w:p>
        </w:tc>
      </w:tr>
      <w:tr w:rsidR="00A52778" w:rsidRPr="00460F9E" w14:paraId="5C21E30F" w14:textId="77777777" w:rsidTr="00FC3F8E">
        <w:trPr>
          <w:trHeight w:val="217"/>
        </w:trPr>
        <w:tc>
          <w:tcPr>
            <w:tcW w:w="1840" w:type="dxa"/>
            <w:tcBorders>
              <w:left w:val="single" w:sz="8" w:space="0" w:color="auto"/>
              <w:right w:val="single" w:sz="8" w:space="0" w:color="auto"/>
            </w:tcBorders>
            <w:shd w:val="clear" w:color="auto" w:fill="auto"/>
            <w:vAlign w:val="bottom"/>
          </w:tcPr>
          <w:p w14:paraId="15B482F3" w14:textId="77777777" w:rsidR="00A52778" w:rsidRPr="00460F9E" w:rsidRDefault="00A52778" w:rsidP="00FC3F8E">
            <w:pPr>
              <w:spacing w:line="0" w:lineRule="atLeast"/>
              <w:rPr>
                <w:rFonts w:eastAsia="Times New Roman" w:cs="Times New Roman"/>
                <w:b/>
                <w:sz w:val="18"/>
              </w:rPr>
            </w:pPr>
          </w:p>
        </w:tc>
        <w:tc>
          <w:tcPr>
            <w:tcW w:w="1640" w:type="dxa"/>
            <w:vMerge w:val="restart"/>
            <w:tcBorders>
              <w:right w:val="single" w:sz="8" w:space="0" w:color="auto"/>
            </w:tcBorders>
            <w:shd w:val="clear" w:color="auto" w:fill="auto"/>
            <w:vAlign w:val="center"/>
          </w:tcPr>
          <w:p w14:paraId="491063E4" w14:textId="77777777" w:rsidR="00A52778" w:rsidRPr="00460F9E" w:rsidRDefault="00A52778" w:rsidP="00FC3F8E">
            <w:pPr>
              <w:spacing w:line="208" w:lineRule="exact"/>
              <w:jc w:val="center"/>
              <w:rPr>
                <w:rFonts w:eastAsia="Times New Roman" w:cs="Times New Roman"/>
                <w:b/>
                <w:sz w:val="18"/>
              </w:rPr>
            </w:pPr>
            <w:r w:rsidRPr="00460F9E">
              <w:rPr>
                <w:rFonts w:eastAsia="Times New Roman" w:cs="Times New Roman"/>
              </w:rPr>
              <w:t>Diğer tüm                             prosesler/kaynaklar</w:t>
            </w:r>
          </w:p>
        </w:tc>
        <w:tc>
          <w:tcPr>
            <w:tcW w:w="1240" w:type="dxa"/>
            <w:vMerge w:val="restart"/>
            <w:tcBorders>
              <w:right w:val="single" w:sz="8" w:space="0" w:color="auto"/>
            </w:tcBorders>
            <w:shd w:val="clear" w:color="auto" w:fill="auto"/>
            <w:vAlign w:val="center"/>
          </w:tcPr>
          <w:p w14:paraId="14D503D6" w14:textId="77777777" w:rsidR="00A52778" w:rsidRPr="00460F9E" w:rsidRDefault="00A52778" w:rsidP="00FC3F8E">
            <w:pPr>
              <w:spacing w:line="222" w:lineRule="exact"/>
              <w:jc w:val="center"/>
              <w:rPr>
                <w:rFonts w:eastAsia="Times New Roman" w:cs="Times New Roman"/>
                <w:b/>
                <w:w w:val="99"/>
              </w:rPr>
            </w:pPr>
            <w:r w:rsidRPr="00460F9E">
              <w:rPr>
                <w:rFonts w:eastAsia="Times New Roman" w:cs="Times New Roman"/>
                <w:w w:val="99"/>
              </w:rPr>
              <w:t>SO</w:t>
            </w:r>
            <w:r w:rsidRPr="00460F9E">
              <w:rPr>
                <w:rFonts w:eastAsia="Times New Roman" w:cs="Times New Roman"/>
                <w:w w:val="99"/>
                <w:sz w:val="12"/>
              </w:rPr>
              <w:t>2</w:t>
            </w:r>
            <w:r w:rsidRPr="00460F9E">
              <w:rPr>
                <w:rFonts w:eastAsia="Times New Roman" w:cs="Times New Roman"/>
                <w:w w:val="99"/>
              </w:rPr>
              <w:t xml:space="preserve"> kütle akışı 2,5 kg/saat olan herhangi bir baca</w:t>
            </w:r>
          </w:p>
        </w:tc>
        <w:tc>
          <w:tcPr>
            <w:tcW w:w="1920" w:type="dxa"/>
            <w:vMerge w:val="restart"/>
            <w:tcBorders>
              <w:right w:val="single" w:sz="8" w:space="0" w:color="auto"/>
            </w:tcBorders>
            <w:shd w:val="clear" w:color="auto" w:fill="auto"/>
            <w:vAlign w:val="center"/>
          </w:tcPr>
          <w:p w14:paraId="4B00F2B2"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Genel EN</w:t>
            </w:r>
          </w:p>
          <w:p w14:paraId="7E6B7B37"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7"/>
              </w:rPr>
              <w:t>standartları (</w:t>
            </w:r>
            <w:r w:rsidRPr="00460F9E">
              <w:rPr>
                <w:rFonts w:eastAsia="Times New Roman" w:cs="Times New Roman"/>
                <w:w w:val="97"/>
                <w:vertAlign w:val="superscript"/>
              </w:rPr>
              <w:t>5</w:t>
            </w:r>
            <w:r w:rsidRPr="00460F9E">
              <w:rPr>
                <w:rFonts w:eastAsia="Times New Roman" w:cs="Times New Roman"/>
                <w:w w:val="97"/>
              </w:rPr>
              <w:t>)</w:t>
            </w:r>
          </w:p>
        </w:tc>
        <w:tc>
          <w:tcPr>
            <w:tcW w:w="1260" w:type="dxa"/>
            <w:vMerge w:val="restart"/>
            <w:tcBorders>
              <w:right w:val="single" w:sz="8" w:space="0" w:color="auto"/>
            </w:tcBorders>
            <w:shd w:val="clear" w:color="auto" w:fill="auto"/>
            <w:vAlign w:val="center"/>
          </w:tcPr>
          <w:p w14:paraId="7C62E40A"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9"/>
              </w:rPr>
              <w:t>Sürekli</w:t>
            </w:r>
          </w:p>
        </w:tc>
        <w:tc>
          <w:tcPr>
            <w:tcW w:w="1380" w:type="dxa"/>
            <w:tcBorders>
              <w:right w:val="single" w:sz="8" w:space="0" w:color="auto"/>
            </w:tcBorders>
            <w:shd w:val="clear" w:color="auto" w:fill="auto"/>
            <w:vAlign w:val="bottom"/>
          </w:tcPr>
          <w:p w14:paraId="78D34598" w14:textId="77777777" w:rsidR="00A52778" w:rsidRPr="00460F9E" w:rsidRDefault="00A52778" w:rsidP="00FC3F8E">
            <w:pPr>
              <w:spacing w:line="0" w:lineRule="atLeast"/>
              <w:rPr>
                <w:rFonts w:eastAsia="Times New Roman" w:cs="Times New Roman"/>
                <w:b/>
                <w:sz w:val="18"/>
              </w:rPr>
            </w:pPr>
          </w:p>
        </w:tc>
      </w:tr>
      <w:tr w:rsidR="00A52778" w:rsidRPr="00460F9E" w14:paraId="7A46ED7F" w14:textId="77777777" w:rsidTr="00FC3F8E">
        <w:trPr>
          <w:trHeight w:val="234"/>
        </w:trPr>
        <w:tc>
          <w:tcPr>
            <w:tcW w:w="1840" w:type="dxa"/>
            <w:tcBorders>
              <w:left w:val="single" w:sz="8" w:space="0" w:color="auto"/>
              <w:right w:val="single" w:sz="8" w:space="0" w:color="auto"/>
            </w:tcBorders>
            <w:shd w:val="clear" w:color="auto" w:fill="auto"/>
            <w:vAlign w:val="bottom"/>
          </w:tcPr>
          <w:p w14:paraId="1B10A69F" w14:textId="77777777" w:rsidR="00A52778" w:rsidRPr="00460F9E" w:rsidRDefault="00A52778" w:rsidP="00FC3F8E">
            <w:pPr>
              <w:spacing w:line="0" w:lineRule="atLeast"/>
              <w:rPr>
                <w:rFonts w:eastAsia="Times New Roman" w:cs="Times New Roman"/>
                <w:b/>
              </w:rPr>
            </w:pPr>
          </w:p>
        </w:tc>
        <w:tc>
          <w:tcPr>
            <w:tcW w:w="1640" w:type="dxa"/>
            <w:vMerge/>
            <w:tcBorders>
              <w:right w:val="single" w:sz="8" w:space="0" w:color="auto"/>
            </w:tcBorders>
            <w:shd w:val="clear" w:color="auto" w:fill="auto"/>
            <w:vAlign w:val="bottom"/>
          </w:tcPr>
          <w:p w14:paraId="68D4D203" w14:textId="77777777" w:rsidR="00A52778" w:rsidRPr="00460F9E" w:rsidRDefault="00A52778" w:rsidP="00FC3F8E">
            <w:pPr>
              <w:spacing w:line="208" w:lineRule="exact"/>
              <w:jc w:val="center"/>
              <w:rPr>
                <w:rFonts w:eastAsia="Times New Roman" w:cs="Times New Roman"/>
                <w:b/>
              </w:rPr>
            </w:pPr>
          </w:p>
        </w:tc>
        <w:tc>
          <w:tcPr>
            <w:tcW w:w="1240" w:type="dxa"/>
            <w:vMerge/>
            <w:tcBorders>
              <w:right w:val="single" w:sz="8" w:space="0" w:color="auto"/>
            </w:tcBorders>
            <w:shd w:val="clear" w:color="auto" w:fill="auto"/>
            <w:vAlign w:val="bottom"/>
          </w:tcPr>
          <w:p w14:paraId="4789BC65" w14:textId="77777777" w:rsidR="00A52778" w:rsidRPr="00460F9E" w:rsidRDefault="00A52778" w:rsidP="00FC3F8E">
            <w:pPr>
              <w:spacing w:line="222" w:lineRule="exact"/>
              <w:jc w:val="center"/>
              <w:rPr>
                <w:rFonts w:eastAsia="Times New Roman" w:cs="Times New Roman"/>
                <w:b/>
                <w:w w:val="99"/>
                <w:sz w:val="12"/>
              </w:rPr>
            </w:pPr>
          </w:p>
        </w:tc>
        <w:tc>
          <w:tcPr>
            <w:tcW w:w="1920" w:type="dxa"/>
            <w:vMerge/>
            <w:tcBorders>
              <w:right w:val="single" w:sz="8" w:space="0" w:color="auto"/>
            </w:tcBorders>
            <w:shd w:val="clear" w:color="auto" w:fill="auto"/>
            <w:vAlign w:val="bottom"/>
          </w:tcPr>
          <w:p w14:paraId="0A0D3979" w14:textId="77777777" w:rsidR="00A52778" w:rsidRPr="00460F9E" w:rsidRDefault="00A52778" w:rsidP="00FC3F8E">
            <w:pPr>
              <w:spacing w:line="0" w:lineRule="atLeast"/>
              <w:jc w:val="center"/>
              <w:rPr>
                <w:rFonts w:eastAsia="Times New Roman" w:cs="Times New Roman"/>
                <w:b/>
              </w:rPr>
            </w:pPr>
          </w:p>
        </w:tc>
        <w:tc>
          <w:tcPr>
            <w:tcW w:w="1260" w:type="dxa"/>
            <w:vMerge/>
            <w:tcBorders>
              <w:right w:val="single" w:sz="8" w:space="0" w:color="auto"/>
            </w:tcBorders>
            <w:shd w:val="clear" w:color="auto" w:fill="auto"/>
            <w:vAlign w:val="center"/>
          </w:tcPr>
          <w:p w14:paraId="38629513" w14:textId="77777777" w:rsidR="00A52778" w:rsidRPr="00460F9E" w:rsidRDefault="00A52778" w:rsidP="00FC3F8E">
            <w:pPr>
              <w:spacing w:line="0" w:lineRule="atLeast"/>
              <w:jc w:val="center"/>
              <w:rPr>
                <w:rFonts w:eastAsia="Times New Roman" w:cs="Times New Roman"/>
                <w:b/>
              </w:rPr>
            </w:pPr>
          </w:p>
        </w:tc>
        <w:tc>
          <w:tcPr>
            <w:tcW w:w="1380" w:type="dxa"/>
            <w:tcBorders>
              <w:right w:val="single" w:sz="8" w:space="0" w:color="auto"/>
            </w:tcBorders>
            <w:shd w:val="clear" w:color="auto" w:fill="auto"/>
            <w:vAlign w:val="bottom"/>
          </w:tcPr>
          <w:p w14:paraId="38FDC3A2" w14:textId="77777777" w:rsidR="00A52778" w:rsidRPr="00460F9E" w:rsidRDefault="00A52778" w:rsidP="00FC3F8E">
            <w:pPr>
              <w:spacing w:line="0" w:lineRule="atLeast"/>
              <w:rPr>
                <w:rFonts w:eastAsia="Times New Roman" w:cs="Times New Roman"/>
                <w:b/>
              </w:rPr>
            </w:pPr>
          </w:p>
        </w:tc>
      </w:tr>
      <w:tr w:rsidR="00A52778" w:rsidRPr="00460F9E" w14:paraId="2A2AC633" w14:textId="77777777" w:rsidTr="00FC3F8E">
        <w:trPr>
          <w:trHeight w:val="119"/>
        </w:trPr>
        <w:tc>
          <w:tcPr>
            <w:tcW w:w="1840" w:type="dxa"/>
            <w:tcBorders>
              <w:left w:val="single" w:sz="8" w:space="0" w:color="auto"/>
              <w:right w:val="single" w:sz="8" w:space="0" w:color="auto"/>
            </w:tcBorders>
            <w:shd w:val="clear" w:color="auto" w:fill="auto"/>
            <w:vAlign w:val="bottom"/>
          </w:tcPr>
          <w:p w14:paraId="0E122490" w14:textId="77777777" w:rsidR="00A52778" w:rsidRPr="00460F9E" w:rsidRDefault="00A52778" w:rsidP="00FC3F8E">
            <w:pPr>
              <w:spacing w:line="0" w:lineRule="atLeast"/>
              <w:rPr>
                <w:rFonts w:eastAsia="Times New Roman" w:cs="Times New Roman"/>
                <w:b/>
                <w:sz w:val="10"/>
              </w:rPr>
            </w:pPr>
          </w:p>
        </w:tc>
        <w:tc>
          <w:tcPr>
            <w:tcW w:w="1640" w:type="dxa"/>
            <w:vMerge/>
            <w:tcBorders>
              <w:right w:val="single" w:sz="8" w:space="0" w:color="auto"/>
            </w:tcBorders>
            <w:shd w:val="clear" w:color="auto" w:fill="auto"/>
            <w:vAlign w:val="bottom"/>
          </w:tcPr>
          <w:p w14:paraId="691172DD" w14:textId="77777777" w:rsidR="00A52778" w:rsidRPr="00460F9E" w:rsidRDefault="00A52778" w:rsidP="00FC3F8E">
            <w:pPr>
              <w:spacing w:line="208" w:lineRule="exact"/>
              <w:jc w:val="center"/>
              <w:rPr>
                <w:rFonts w:eastAsia="Times New Roman" w:cs="Times New Roman"/>
                <w:b/>
                <w:sz w:val="10"/>
              </w:rPr>
            </w:pPr>
          </w:p>
        </w:tc>
        <w:tc>
          <w:tcPr>
            <w:tcW w:w="1240" w:type="dxa"/>
            <w:vMerge/>
            <w:tcBorders>
              <w:right w:val="single" w:sz="8" w:space="0" w:color="auto"/>
            </w:tcBorders>
            <w:shd w:val="clear" w:color="auto" w:fill="auto"/>
            <w:vAlign w:val="bottom"/>
          </w:tcPr>
          <w:p w14:paraId="5D707E39" w14:textId="77777777" w:rsidR="00A52778" w:rsidRPr="00460F9E" w:rsidRDefault="00A52778" w:rsidP="00FC3F8E">
            <w:pPr>
              <w:spacing w:line="222" w:lineRule="exact"/>
              <w:jc w:val="center"/>
              <w:rPr>
                <w:rFonts w:eastAsia="Times New Roman" w:cs="Times New Roman"/>
                <w:b/>
              </w:rPr>
            </w:pPr>
          </w:p>
        </w:tc>
        <w:tc>
          <w:tcPr>
            <w:tcW w:w="1920" w:type="dxa"/>
            <w:vMerge/>
            <w:tcBorders>
              <w:right w:val="single" w:sz="8" w:space="0" w:color="auto"/>
            </w:tcBorders>
            <w:shd w:val="clear" w:color="auto" w:fill="auto"/>
            <w:vAlign w:val="bottom"/>
          </w:tcPr>
          <w:p w14:paraId="3FA726CD" w14:textId="77777777" w:rsidR="00A52778" w:rsidRPr="00460F9E" w:rsidRDefault="00A52778" w:rsidP="00FC3F8E">
            <w:pPr>
              <w:spacing w:line="0" w:lineRule="atLeast"/>
              <w:jc w:val="center"/>
              <w:rPr>
                <w:rFonts w:eastAsia="Times New Roman" w:cs="Times New Roman"/>
                <w:b/>
                <w:sz w:val="10"/>
              </w:rPr>
            </w:pPr>
          </w:p>
        </w:tc>
        <w:tc>
          <w:tcPr>
            <w:tcW w:w="1260" w:type="dxa"/>
            <w:vMerge/>
            <w:tcBorders>
              <w:right w:val="single" w:sz="8" w:space="0" w:color="auto"/>
            </w:tcBorders>
            <w:shd w:val="clear" w:color="auto" w:fill="auto"/>
            <w:vAlign w:val="center"/>
          </w:tcPr>
          <w:p w14:paraId="0A885500" w14:textId="77777777" w:rsidR="00A52778" w:rsidRPr="00460F9E" w:rsidRDefault="00A52778" w:rsidP="00FC3F8E">
            <w:pPr>
              <w:spacing w:line="0" w:lineRule="atLeast"/>
              <w:jc w:val="center"/>
              <w:rPr>
                <w:rFonts w:eastAsia="Times New Roman" w:cs="Times New Roman"/>
                <w:b/>
                <w:w w:val="99"/>
              </w:rPr>
            </w:pPr>
          </w:p>
        </w:tc>
        <w:tc>
          <w:tcPr>
            <w:tcW w:w="1380" w:type="dxa"/>
            <w:tcBorders>
              <w:right w:val="single" w:sz="8" w:space="0" w:color="auto"/>
            </w:tcBorders>
            <w:shd w:val="clear" w:color="auto" w:fill="auto"/>
            <w:vAlign w:val="bottom"/>
          </w:tcPr>
          <w:p w14:paraId="2B31A244" w14:textId="77777777" w:rsidR="00A52778" w:rsidRPr="00460F9E" w:rsidRDefault="00A52778" w:rsidP="00FC3F8E">
            <w:pPr>
              <w:spacing w:line="0" w:lineRule="atLeast"/>
              <w:rPr>
                <w:rFonts w:eastAsia="Times New Roman" w:cs="Times New Roman"/>
                <w:b/>
                <w:sz w:val="10"/>
              </w:rPr>
            </w:pPr>
          </w:p>
        </w:tc>
      </w:tr>
      <w:tr w:rsidR="00A52778" w:rsidRPr="00460F9E" w14:paraId="54AF3FF3" w14:textId="77777777" w:rsidTr="00FC3F8E">
        <w:trPr>
          <w:trHeight w:val="115"/>
        </w:trPr>
        <w:tc>
          <w:tcPr>
            <w:tcW w:w="1840" w:type="dxa"/>
            <w:tcBorders>
              <w:left w:val="single" w:sz="8" w:space="0" w:color="auto"/>
              <w:right w:val="single" w:sz="8" w:space="0" w:color="auto"/>
            </w:tcBorders>
            <w:shd w:val="clear" w:color="auto" w:fill="auto"/>
            <w:vAlign w:val="bottom"/>
          </w:tcPr>
          <w:p w14:paraId="46024E8B" w14:textId="77777777" w:rsidR="00A52778" w:rsidRPr="00460F9E" w:rsidRDefault="00A52778" w:rsidP="00FC3F8E">
            <w:pPr>
              <w:spacing w:line="0" w:lineRule="atLeast"/>
              <w:rPr>
                <w:rFonts w:eastAsia="Times New Roman" w:cs="Times New Roman"/>
                <w:b/>
                <w:sz w:val="10"/>
              </w:rPr>
            </w:pPr>
          </w:p>
        </w:tc>
        <w:tc>
          <w:tcPr>
            <w:tcW w:w="1640" w:type="dxa"/>
            <w:vMerge/>
            <w:tcBorders>
              <w:right w:val="single" w:sz="8" w:space="0" w:color="auto"/>
            </w:tcBorders>
            <w:shd w:val="clear" w:color="auto" w:fill="auto"/>
            <w:vAlign w:val="bottom"/>
          </w:tcPr>
          <w:p w14:paraId="618C174A" w14:textId="77777777" w:rsidR="00A52778" w:rsidRPr="00460F9E" w:rsidRDefault="00A52778" w:rsidP="00FC3F8E">
            <w:pPr>
              <w:spacing w:line="208" w:lineRule="exact"/>
              <w:jc w:val="center"/>
              <w:rPr>
                <w:rFonts w:eastAsia="Times New Roman" w:cs="Times New Roman"/>
                <w:b/>
                <w:sz w:val="10"/>
              </w:rPr>
            </w:pPr>
          </w:p>
        </w:tc>
        <w:tc>
          <w:tcPr>
            <w:tcW w:w="1240" w:type="dxa"/>
            <w:vMerge/>
            <w:tcBorders>
              <w:right w:val="single" w:sz="8" w:space="0" w:color="auto"/>
            </w:tcBorders>
            <w:shd w:val="clear" w:color="auto" w:fill="auto"/>
            <w:vAlign w:val="bottom"/>
          </w:tcPr>
          <w:p w14:paraId="56666832" w14:textId="77777777" w:rsidR="00A52778" w:rsidRPr="00460F9E" w:rsidRDefault="00A52778" w:rsidP="00FC3F8E">
            <w:pPr>
              <w:spacing w:line="222" w:lineRule="exact"/>
              <w:jc w:val="center"/>
              <w:rPr>
                <w:rFonts w:eastAsia="Times New Roman" w:cs="Times New Roman"/>
                <w:b/>
                <w:sz w:val="10"/>
              </w:rPr>
            </w:pPr>
          </w:p>
        </w:tc>
        <w:tc>
          <w:tcPr>
            <w:tcW w:w="1920" w:type="dxa"/>
            <w:vMerge/>
            <w:tcBorders>
              <w:right w:val="single" w:sz="8" w:space="0" w:color="auto"/>
            </w:tcBorders>
            <w:shd w:val="clear" w:color="auto" w:fill="auto"/>
            <w:vAlign w:val="bottom"/>
          </w:tcPr>
          <w:p w14:paraId="31B818BC" w14:textId="77777777" w:rsidR="00A52778" w:rsidRPr="00460F9E" w:rsidRDefault="00A52778" w:rsidP="00FC3F8E">
            <w:pPr>
              <w:spacing w:line="0" w:lineRule="atLeast"/>
              <w:jc w:val="center"/>
              <w:rPr>
                <w:rFonts w:eastAsia="Times New Roman" w:cs="Times New Roman"/>
                <w:b/>
                <w:w w:val="97"/>
              </w:rPr>
            </w:pPr>
          </w:p>
        </w:tc>
        <w:tc>
          <w:tcPr>
            <w:tcW w:w="1260" w:type="dxa"/>
            <w:vMerge/>
            <w:tcBorders>
              <w:right w:val="single" w:sz="8" w:space="0" w:color="auto"/>
            </w:tcBorders>
            <w:shd w:val="clear" w:color="auto" w:fill="auto"/>
            <w:vAlign w:val="center"/>
          </w:tcPr>
          <w:p w14:paraId="7E99C494" w14:textId="77777777" w:rsidR="00A52778" w:rsidRPr="00460F9E" w:rsidRDefault="00A52778" w:rsidP="00FC3F8E">
            <w:pPr>
              <w:spacing w:line="0" w:lineRule="atLeast"/>
              <w:jc w:val="center"/>
              <w:rPr>
                <w:rFonts w:eastAsia="Times New Roman" w:cs="Times New Roman"/>
                <w:b/>
                <w:sz w:val="10"/>
              </w:rPr>
            </w:pPr>
          </w:p>
        </w:tc>
        <w:tc>
          <w:tcPr>
            <w:tcW w:w="1380" w:type="dxa"/>
            <w:tcBorders>
              <w:right w:val="single" w:sz="8" w:space="0" w:color="auto"/>
            </w:tcBorders>
            <w:shd w:val="clear" w:color="auto" w:fill="auto"/>
            <w:vAlign w:val="bottom"/>
          </w:tcPr>
          <w:p w14:paraId="6C174B43" w14:textId="77777777" w:rsidR="00A52778" w:rsidRPr="00460F9E" w:rsidRDefault="00A52778" w:rsidP="00FC3F8E">
            <w:pPr>
              <w:spacing w:line="0" w:lineRule="atLeast"/>
              <w:rPr>
                <w:rFonts w:eastAsia="Times New Roman" w:cs="Times New Roman"/>
                <w:b/>
                <w:sz w:val="10"/>
              </w:rPr>
            </w:pPr>
          </w:p>
        </w:tc>
      </w:tr>
      <w:tr w:rsidR="00A52778" w:rsidRPr="00460F9E" w14:paraId="5FC444AD" w14:textId="77777777" w:rsidTr="00FC3F8E">
        <w:trPr>
          <w:trHeight w:val="181"/>
        </w:trPr>
        <w:tc>
          <w:tcPr>
            <w:tcW w:w="1840" w:type="dxa"/>
            <w:tcBorders>
              <w:left w:val="single" w:sz="8" w:space="0" w:color="auto"/>
              <w:right w:val="single" w:sz="8" w:space="0" w:color="auto"/>
            </w:tcBorders>
            <w:shd w:val="clear" w:color="auto" w:fill="auto"/>
            <w:vAlign w:val="bottom"/>
          </w:tcPr>
          <w:p w14:paraId="62353BCB" w14:textId="77777777" w:rsidR="00A52778" w:rsidRPr="00460F9E" w:rsidRDefault="00A52778" w:rsidP="00FC3F8E">
            <w:pPr>
              <w:spacing w:line="0" w:lineRule="atLeast"/>
              <w:rPr>
                <w:rFonts w:eastAsia="Times New Roman" w:cs="Times New Roman"/>
                <w:b/>
                <w:sz w:val="15"/>
              </w:rPr>
            </w:pPr>
          </w:p>
        </w:tc>
        <w:tc>
          <w:tcPr>
            <w:tcW w:w="1640" w:type="dxa"/>
            <w:vMerge/>
            <w:tcBorders>
              <w:right w:val="single" w:sz="8" w:space="0" w:color="auto"/>
            </w:tcBorders>
            <w:shd w:val="clear" w:color="auto" w:fill="auto"/>
            <w:vAlign w:val="bottom"/>
          </w:tcPr>
          <w:p w14:paraId="2F43D7E1" w14:textId="77777777" w:rsidR="00A52778" w:rsidRPr="00460F9E" w:rsidRDefault="00A52778" w:rsidP="00FC3F8E">
            <w:pPr>
              <w:spacing w:line="208" w:lineRule="exact"/>
              <w:jc w:val="center"/>
              <w:rPr>
                <w:rFonts w:eastAsia="Times New Roman" w:cs="Times New Roman"/>
                <w:b/>
                <w:sz w:val="15"/>
              </w:rPr>
            </w:pPr>
          </w:p>
        </w:tc>
        <w:tc>
          <w:tcPr>
            <w:tcW w:w="1240" w:type="dxa"/>
            <w:vMerge/>
            <w:tcBorders>
              <w:right w:val="single" w:sz="8" w:space="0" w:color="auto"/>
            </w:tcBorders>
            <w:shd w:val="clear" w:color="auto" w:fill="auto"/>
            <w:vAlign w:val="bottom"/>
          </w:tcPr>
          <w:p w14:paraId="58BD9340" w14:textId="77777777" w:rsidR="00A52778" w:rsidRPr="00460F9E" w:rsidRDefault="00A52778" w:rsidP="00FC3F8E">
            <w:pPr>
              <w:spacing w:line="222" w:lineRule="exact"/>
              <w:jc w:val="center"/>
              <w:rPr>
                <w:rFonts w:eastAsia="Times New Roman" w:cs="Times New Roman"/>
                <w:b/>
                <w:w w:val="95"/>
              </w:rPr>
            </w:pPr>
          </w:p>
        </w:tc>
        <w:tc>
          <w:tcPr>
            <w:tcW w:w="1920" w:type="dxa"/>
            <w:vMerge/>
            <w:tcBorders>
              <w:right w:val="single" w:sz="8" w:space="0" w:color="auto"/>
            </w:tcBorders>
            <w:shd w:val="clear" w:color="auto" w:fill="auto"/>
            <w:vAlign w:val="bottom"/>
          </w:tcPr>
          <w:p w14:paraId="7BC6E725" w14:textId="77777777" w:rsidR="00A52778" w:rsidRPr="00460F9E" w:rsidRDefault="00A52778" w:rsidP="00FC3F8E">
            <w:pPr>
              <w:spacing w:line="0" w:lineRule="atLeast"/>
              <w:rPr>
                <w:rFonts w:eastAsia="Times New Roman" w:cs="Times New Roman"/>
                <w:b/>
                <w:sz w:val="15"/>
              </w:rPr>
            </w:pPr>
          </w:p>
        </w:tc>
        <w:tc>
          <w:tcPr>
            <w:tcW w:w="1260" w:type="dxa"/>
            <w:vMerge/>
            <w:tcBorders>
              <w:right w:val="single" w:sz="8" w:space="0" w:color="auto"/>
            </w:tcBorders>
            <w:shd w:val="clear" w:color="auto" w:fill="auto"/>
            <w:vAlign w:val="center"/>
          </w:tcPr>
          <w:p w14:paraId="189E8209" w14:textId="77777777" w:rsidR="00A52778" w:rsidRPr="00460F9E" w:rsidRDefault="00A52778" w:rsidP="00FC3F8E">
            <w:pPr>
              <w:spacing w:line="0" w:lineRule="atLeast"/>
              <w:jc w:val="center"/>
              <w:rPr>
                <w:rFonts w:eastAsia="Times New Roman" w:cs="Times New Roman"/>
                <w:b/>
                <w:sz w:val="15"/>
              </w:rPr>
            </w:pPr>
          </w:p>
        </w:tc>
        <w:tc>
          <w:tcPr>
            <w:tcW w:w="1380" w:type="dxa"/>
            <w:tcBorders>
              <w:right w:val="single" w:sz="8" w:space="0" w:color="auto"/>
            </w:tcBorders>
            <w:shd w:val="clear" w:color="auto" w:fill="auto"/>
            <w:vAlign w:val="bottom"/>
          </w:tcPr>
          <w:p w14:paraId="13EF5609" w14:textId="77777777" w:rsidR="00A52778" w:rsidRPr="00460F9E" w:rsidRDefault="00A52778" w:rsidP="00FC3F8E">
            <w:pPr>
              <w:spacing w:line="0" w:lineRule="atLeast"/>
              <w:rPr>
                <w:rFonts w:eastAsia="Times New Roman" w:cs="Times New Roman"/>
                <w:b/>
                <w:sz w:val="15"/>
              </w:rPr>
            </w:pPr>
          </w:p>
        </w:tc>
      </w:tr>
      <w:tr w:rsidR="00A52778" w:rsidRPr="00460F9E" w14:paraId="7EA5894D" w14:textId="77777777" w:rsidTr="00FC3F8E">
        <w:trPr>
          <w:trHeight w:val="42"/>
        </w:trPr>
        <w:tc>
          <w:tcPr>
            <w:tcW w:w="1840" w:type="dxa"/>
            <w:tcBorders>
              <w:left w:val="single" w:sz="8" w:space="0" w:color="auto"/>
              <w:right w:val="single" w:sz="8" w:space="0" w:color="auto"/>
            </w:tcBorders>
            <w:shd w:val="clear" w:color="auto" w:fill="auto"/>
            <w:vAlign w:val="bottom"/>
          </w:tcPr>
          <w:p w14:paraId="078B7D8A" w14:textId="77777777" w:rsidR="00A52778" w:rsidRPr="00460F9E" w:rsidRDefault="00A52778" w:rsidP="00FC3F8E">
            <w:pPr>
              <w:spacing w:line="0" w:lineRule="atLeast"/>
              <w:rPr>
                <w:rFonts w:eastAsia="Times New Roman" w:cs="Times New Roman"/>
                <w:b/>
                <w:sz w:val="3"/>
              </w:rPr>
            </w:pPr>
          </w:p>
        </w:tc>
        <w:tc>
          <w:tcPr>
            <w:tcW w:w="1640" w:type="dxa"/>
            <w:vMerge/>
            <w:tcBorders>
              <w:right w:val="single" w:sz="8" w:space="0" w:color="auto"/>
            </w:tcBorders>
            <w:shd w:val="clear" w:color="auto" w:fill="auto"/>
            <w:vAlign w:val="bottom"/>
          </w:tcPr>
          <w:p w14:paraId="0D5BBEB3" w14:textId="77777777" w:rsidR="00A52778" w:rsidRPr="00460F9E" w:rsidRDefault="00A52778" w:rsidP="00FC3F8E">
            <w:pPr>
              <w:spacing w:line="208" w:lineRule="exact"/>
              <w:jc w:val="center"/>
              <w:rPr>
                <w:rFonts w:eastAsia="Times New Roman" w:cs="Times New Roman"/>
                <w:b/>
                <w:sz w:val="3"/>
              </w:rPr>
            </w:pPr>
          </w:p>
        </w:tc>
        <w:tc>
          <w:tcPr>
            <w:tcW w:w="1240" w:type="dxa"/>
            <w:vMerge/>
            <w:tcBorders>
              <w:right w:val="single" w:sz="8" w:space="0" w:color="auto"/>
            </w:tcBorders>
            <w:shd w:val="clear" w:color="auto" w:fill="auto"/>
            <w:vAlign w:val="bottom"/>
          </w:tcPr>
          <w:p w14:paraId="13AF88E9" w14:textId="77777777" w:rsidR="00A52778" w:rsidRPr="00460F9E" w:rsidRDefault="00A52778" w:rsidP="00FC3F8E">
            <w:pPr>
              <w:spacing w:line="222" w:lineRule="exact"/>
              <w:jc w:val="center"/>
              <w:rPr>
                <w:rFonts w:eastAsia="Times New Roman" w:cs="Times New Roman"/>
                <w:b/>
                <w:sz w:val="3"/>
              </w:rPr>
            </w:pPr>
          </w:p>
        </w:tc>
        <w:tc>
          <w:tcPr>
            <w:tcW w:w="1920" w:type="dxa"/>
            <w:vMerge/>
            <w:tcBorders>
              <w:right w:val="single" w:sz="8" w:space="0" w:color="auto"/>
            </w:tcBorders>
            <w:shd w:val="clear" w:color="auto" w:fill="auto"/>
            <w:vAlign w:val="bottom"/>
          </w:tcPr>
          <w:p w14:paraId="502408BE" w14:textId="77777777" w:rsidR="00A52778" w:rsidRPr="00460F9E" w:rsidRDefault="00A52778" w:rsidP="00FC3F8E">
            <w:pPr>
              <w:spacing w:line="0" w:lineRule="atLeast"/>
              <w:rPr>
                <w:rFonts w:eastAsia="Times New Roman" w:cs="Times New Roman"/>
                <w:b/>
                <w:sz w:val="3"/>
              </w:rPr>
            </w:pPr>
          </w:p>
        </w:tc>
        <w:tc>
          <w:tcPr>
            <w:tcW w:w="1260" w:type="dxa"/>
            <w:vMerge/>
            <w:tcBorders>
              <w:right w:val="single" w:sz="8" w:space="0" w:color="auto"/>
            </w:tcBorders>
            <w:shd w:val="clear" w:color="auto" w:fill="auto"/>
            <w:vAlign w:val="center"/>
          </w:tcPr>
          <w:p w14:paraId="11704069" w14:textId="77777777" w:rsidR="00A52778" w:rsidRPr="00460F9E" w:rsidRDefault="00A52778" w:rsidP="00FC3F8E">
            <w:pPr>
              <w:spacing w:line="0" w:lineRule="atLeast"/>
              <w:jc w:val="center"/>
              <w:rPr>
                <w:rFonts w:eastAsia="Times New Roman" w:cs="Times New Roman"/>
                <w:b/>
                <w:sz w:val="3"/>
              </w:rPr>
            </w:pPr>
          </w:p>
        </w:tc>
        <w:tc>
          <w:tcPr>
            <w:tcW w:w="1380" w:type="dxa"/>
            <w:tcBorders>
              <w:right w:val="single" w:sz="8" w:space="0" w:color="auto"/>
            </w:tcBorders>
            <w:shd w:val="clear" w:color="auto" w:fill="auto"/>
            <w:vAlign w:val="bottom"/>
          </w:tcPr>
          <w:p w14:paraId="1A63B864" w14:textId="77777777" w:rsidR="00A52778" w:rsidRPr="00460F9E" w:rsidRDefault="00A52778" w:rsidP="00FC3F8E">
            <w:pPr>
              <w:spacing w:line="0" w:lineRule="atLeast"/>
              <w:rPr>
                <w:rFonts w:eastAsia="Times New Roman" w:cs="Times New Roman"/>
                <w:b/>
                <w:sz w:val="3"/>
              </w:rPr>
            </w:pPr>
          </w:p>
        </w:tc>
      </w:tr>
      <w:tr w:rsidR="00A52778" w:rsidRPr="00460F9E" w14:paraId="1A51F607" w14:textId="77777777" w:rsidTr="00FC3F8E">
        <w:trPr>
          <w:trHeight w:val="245"/>
        </w:trPr>
        <w:tc>
          <w:tcPr>
            <w:tcW w:w="1840" w:type="dxa"/>
            <w:tcBorders>
              <w:left w:val="single" w:sz="8" w:space="0" w:color="auto"/>
              <w:right w:val="single" w:sz="8" w:space="0" w:color="auto"/>
            </w:tcBorders>
            <w:shd w:val="clear" w:color="auto" w:fill="auto"/>
            <w:vAlign w:val="bottom"/>
          </w:tcPr>
          <w:p w14:paraId="2F9138EC" w14:textId="77777777" w:rsidR="00A52778" w:rsidRPr="00460F9E" w:rsidRDefault="00A52778" w:rsidP="00FC3F8E">
            <w:pPr>
              <w:spacing w:line="0" w:lineRule="atLeast"/>
              <w:rPr>
                <w:rFonts w:eastAsia="Times New Roman" w:cs="Times New Roman"/>
                <w:b/>
                <w:sz w:val="21"/>
              </w:rPr>
            </w:pPr>
          </w:p>
        </w:tc>
        <w:tc>
          <w:tcPr>
            <w:tcW w:w="1640" w:type="dxa"/>
            <w:vMerge/>
            <w:tcBorders>
              <w:right w:val="single" w:sz="8" w:space="0" w:color="auto"/>
            </w:tcBorders>
            <w:shd w:val="clear" w:color="auto" w:fill="auto"/>
            <w:vAlign w:val="bottom"/>
          </w:tcPr>
          <w:p w14:paraId="71418994" w14:textId="77777777" w:rsidR="00A52778" w:rsidRPr="00460F9E" w:rsidRDefault="00A52778" w:rsidP="00FC3F8E">
            <w:pPr>
              <w:spacing w:line="208" w:lineRule="exact"/>
              <w:jc w:val="center"/>
              <w:rPr>
                <w:rFonts w:eastAsia="Times New Roman" w:cs="Times New Roman"/>
                <w:b/>
              </w:rPr>
            </w:pPr>
          </w:p>
        </w:tc>
        <w:tc>
          <w:tcPr>
            <w:tcW w:w="1240" w:type="dxa"/>
            <w:vMerge/>
            <w:tcBorders>
              <w:bottom w:val="single" w:sz="8" w:space="0" w:color="auto"/>
              <w:right w:val="single" w:sz="8" w:space="0" w:color="auto"/>
            </w:tcBorders>
            <w:shd w:val="clear" w:color="auto" w:fill="auto"/>
            <w:vAlign w:val="bottom"/>
          </w:tcPr>
          <w:p w14:paraId="7A47D66B" w14:textId="77777777" w:rsidR="00A52778" w:rsidRPr="00460F9E" w:rsidRDefault="00A52778" w:rsidP="00FC3F8E">
            <w:pPr>
              <w:spacing w:line="222" w:lineRule="exact"/>
              <w:jc w:val="center"/>
              <w:rPr>
                <w:rFonts w:eastAsia="Times New Roman" w:cs="Times New Roman"/>
                <w:b/>
              </w:rPr>
            </w:pPr>
          </w:p>
        </w:tc>
        <w:tc>
          <w:tcPr>
            <w:tcW w:w="1920" w:type="dxa"/>
            <w:vMerge/>
            <w:tcBorders>
              <w:bottom w:val="single" w:sz="8" w:space="0" w:color="auto"/>
              <w:right w:val="single" w:sz="8" w:space="0" w:color="auto"/>
            </w:tcBorders>
            <w:shd w:val="clear" w:color="auto" w:fill="auto"/>
            <w:vAlign w:val="bottom"/>
          </w:tcPr>
          <w:p w14:paraId="30F9B731" w14:textId="77777777" w:rsidR="00A52778" w:rsidRPr="00460F9E" w:rsidRDefault="00A52778" w:rsidP="00FC3F8E">
            <w:pPr>
              <w:spacing w:line="0" w:lineRule="atLeast"/>
              <w:rPr>
                <w:rFonts w:eastAsia="Times New Roman" w:cs="Times New Roman"/>
                <w:b/>
                <w:sz w:val="21"/>
              </w:rPr>
            </w:pPr>
          </w:p>
        </w:tc>
        <w:tc>
          <w:tcPr>
            <w:tcW w:w="1260" w:type="dxa"/>
            <w:vMerge/>
            <w:tcBorders>
              <w:bottom w:val="single" w:sz="8" w:space="0" w:color="auto"/>
              <w:right w:val="single" w:sz="8" w:space="0" w:color="auto"/>
            </w:tcBorders>
            <w:shd w:val="clear" w:color="auto" w:fill="auto"/>
            <w:vAlign w:val="center"/>
          </w:tcPr>
          <w:p w14:paraId="76F59110" w14:textId="77777777" w:rsidR="00A52778" w:rsidRPr="00460F9E" w:rsidRDefault="00A52778" w:rsidP="00FC3F8E">
            <w:pPr>
              <w:spacing w:line="0" w:lineRule="atLeast"/>
              <w:jc w:val="center"/>
              <w:rPr>
                <w:rFonts w:eastAsia="Times New Roman" w:cs="Times New Roman"/>
                <w:b/>
                <w:sz w:val="21"/>
              </w:rPr>
            </w:pPr>
          </w:p>
        </w:tc>
        <w:tc>
          <w:tcPr>
            <w:tcW w:w="1380" w:type="dxa"/>
            <w:vMerge w:val="restart"/>
            <w:tcBorders>
              <w:right w:val="single" w:sz="8" w:space="0" w:color="auto"/>
            </w:tcBorders>
            <w:shd w:val="clear" w:color="auto" w:fill="auto"/>
            <w:vAlign w:val="bottom"/>
          </w:tcPr>
          <w:p w14:paraId="45CB10D8" w14:textId="77777777" w:rsidR="00A52778" w:rsidRPr="00460F9E" w:rsidRDefault="002A1746" w:rsidP="00FC3F8E">
            <w:pPr>
              <w:spacing w:line="0" w:lineRule="atLeast"/>
              <w:jc w:val="center"/>
              <w:rPr>
                <w:rFonts w:eastAsia="Times New Roman" w:cs="Times New Roman"/>
                <w:b/>
              </w:rPr>
            </w:pPr>
            <w:hyperlink w:anchor="page309" w:history="1">
              <w:r w:rsidR="00A52778" w:rsidRPr="00460F9E">
                <w:rPr>
                  <w:rFonts w:eastAsia="Times New Roman" w:cs="Times New Roman"/>
                </w:rPr>
                <w:t>MET 18</w:t>
              </w:r>
            </w:hyperlink>
          </w:p>
        </w:tc>
      </w:tr>
      <w:tr w:rsidR="00A52778" w:rsidRPr="00460F9E" w14:paraId="3D416740" w14:textId="77777777" w:rsidTr="00FC3F8E">
        <w:trPr>
          <w:trHeight w:val="93"/>
        </w:trPr>
        <w:tc>
          <w:tcPr>
            <w:tcW w:w="1840" w:type="dxa"/>
            <w:tcBorders>
              <w:left w:val="single" w:sz="8" w:space="0" w:color="auto"/>
              <w:right w:val="single" w:sz="8" w:space="0" w:color="auto"/>
            </w:tcBorders>
            <w:shd w:val="clear" w:color="auto" w:fill="auto"/>
            <w:vAlign w:val="bottom"/>
          </w:tcPr>
          <w:p w14:paraId="55582FED" w14:textId="77777777" w:rsidR="00A52778" w:rsidRPr="00460F9E" w:rsidRDefault="00A52778" w:rsidP="00FC3F8E">
            <w:pPr>
              <w:spacing w:line="0" w:lineRule="atLeast"/>
              <w:rPr>
                <w:rFonts w:eastAsia="Times New Roman" w:cs="Times New Roman"/>
                <w:b/>
                <w:sz w:val="8"/>
              </w:rPr>
            </w:pPr>
          </w:p>
        </w:tc>
        <w:tc>
          <w:tcPr>
            <w:tcW w:w="1640" w:type="dxa"/>
            <w:vMerge/>
            <w:tcBorders>
              <w:right w:val="single" w:sz="8" w:space="0" w:color="auto"/>
            </w:tcBorders>
            <w:shd w:val="clear" w:color="auto" w:fill="auto"/>
            <w:vAlign w:val="bottom"/>
          </w:tcPr>
          <w:p w14:paraId="33337895" w14:textId="77777777" w:rsidR="00A52778" w:rsidRPr="00460F9E" w:rsidRDefault="00A52778" w:rsidP="00FC3F8E">
            <w:pPr>
              <w:spacing w:line="208" w:lineRule="exact"/>
              <w:jc w:val="center"/>
              <w:rPr>
                <w:rFonts w:eastAsia="Times New Roman" w:cs="Times New Roman"/>
                <w:b/>
                <w:w w:val="99"/>
              </w:rPr>
            </w:pPr>
          </w:p>
        </w:tc>
        <w:tc>
          <w:tcPr>
            <w:tcW w:w="1240" w:type="dxa"/>
            <w:vMerge w:val="restart"/>
            <w:tcBorders>
              <w:right w:val="single" w:sz="8" w:space="0" w:color="auto"/>
            </w:tcBorders>
            <w:shd w:val="clear" w:color="auto" w:fill="auto"/>
            <w:vAlign w:val="center"/>
          </w:tcPr>
          <w:p w14:paraId="58A5ABAB" w14:textId="77777777" w:rsidR="00A52778" w:rsidRPr="00460F9E" w:rsidRDefault="00A52778" w:rsidP="00FC3F8E">
            <w:pPr>
              <w:spacing w:line="219" w:lineRule="exact"/>
              <w:jc w:val="center"/>
              <w:rPr>
                <w:rFonts w:eastAsia="Times New Roman" w:cs="Times New Roman"/>
                <w:b/>
                <w:w w:val="99"/>
              </w:rPr>
            </w:pPr>
            <w:r w:rsidRPr="00460F9E">
              <w:rPr>
                <w:rFonts w:eastAsia="Times New Roman" w:cs="Times New Roman"/>
                <w:w w:val="99"/>
              </w:rPr>
              <w:t>SO</w:t>
            </w:r>
            <w:r w:rsidRPr="00460F9E">
              <w:rPr>
                <w:rFonts w:eastAsia="Times New Roman" w:cs="Times New Roman"/>
                <w:w w:val="99"/>
                <w:sz w:val="12"/>
              </w:rPr>
              <w:t>2</w:t>
            </w:r>
            <w:r w:rsidRPr="00460F9E">
              <w:rPr>
                <w:rFonts w:eastAsia="Times New Roman" w:cs="Times New Roman"/>
                <w:w w:val="99"/>
              </w:rPr>
              <w:t xml:space="preserve"> kütle akışı &lt; 2,5 kg/saat olan herhangi bir baca</w:t>
            </w:r>
            <w:r w:rsidRPr="00460F9E">
              <w:rPr>
                <w:rFonts w:eastAsia="Times New Roman" w:cs="Times New Roman"/>
              </w:rPr>
              <w:t xml:space="preserve"> </w:t>
            </w:r>
          </w:p>
        </w:tc>
        <w:tc>
          <w:tcPr>
            <w:tcW w:w="1920" w:type="dxa"/>
            <w:tcBorders>
              <w:right w:val="single" w:sz="8" w:space="0" w:color="auto"/>
            </w:tcBorders>
            <w:shd w:val="clear" w:color="auto" w:fill="auto"/>
            <w:vAlign w:val="bottom"/>
          </w:tcPr>
          <w:p w14:paraId="66B79A28" w14:textId="77777777" w:rsidR="00A52778" w:rsidRPr="00460F9E" w:rsidRDefault="00A52778" w:rsidP="00FC3F8E">
            <w:pPr>
              <w:spacing w:line="0" w:lineRule="atLeast"/>
              <w:rPr>
                <w:rFonts w:eastAsia="Times New Roman" w:cs="Times New Roman"/>
                <w:b/>
                <w:sz w:val="8"/>
              </w:rPr>
            </w:pPr>
          </w:p>
        </w:tc>
        <w:tc>
          <w:tcPr>
            <w:tcW w:w="1260" w:type="dxa"/>
            <w:vMerge w:val="restart"/>
            <w:tcBorders>
              <w:right w:val="single" w:sz="8" w:space="0" w:color="auto"/>
            </w:tcBorders>
            <w:shd w:val="clear" w:color="auto" w:fill="auto"/>
            <w:vAlign w:val="center"/>
          </w:tcPr>
          <w:p w14:paraId="2CA1E4F9"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Her 6 ayda</w:t>
            </w:r>
          </w:p>
          <w:p w14:paraId="59D9E246" w14:textId="77777777" w:rsidR="00A52778" w:rsidRPr="00460F9E" w:rsidRDefault="00A52778" w:rsidP="00FC3F8E">
            <w:pPr>
              <w:spacing w:line="232" w:lineRule="exact"/>
              <w:ind w:right="280"/>
              <w:jc w:val="center"/>
              <w:rPr>
                <w:rFonts w:eastAsia="Times New Roman" w:cs="Times New Roman"/>
                <w:b/>
              </w:rPr>
            </w:pPr>
            <w:r w:rsidRPr="00460F9E">
              <w:rPr>
                <w:rFonts w:eastAsia="Times New Roman" w:cs="Times New Roman"/>
              </w:rPr>
              <w:t xml:space="preserve">     1 kere</w:t>
            </w:r>
          </w:p>
          <w:p w14:paraId="16CA6BA7" w14:textId="77777777" w:rsidR="00A52778" w:rsidRPr="00460F9E" w:rsidRDefault="00A52778" w:rsidP="00FC3F8E">
            <w:pPr>
              <w:spacing w:line="239" w:lineRule="exact"/>
              <w:jc w:val="center"/>
              <w:rPr>
                <w:rFonts w:eastAsia="Times New Roman" w:cs="Times New Roman"/>
                <w:b/>
                <w:sz w:val="8"/>
              </w:rPr>
            </w:pPr>
            <w:r w:rsidRPr="00460F9E">
              <w:rPr>
                <w:rFonts w:eastAsia="Times New Roman" w:cs="Times New Roman"/>
                <w:w w:val="90"/>
              </w:rPr>
              <w:t>(</w:t>
            </w:r>
            <w:r w:rsidRPr="00460F9E">
              <w:rPr>
                <w:rFonts w:eastAsia="Times New Roman" w:cs="Times New Roman"/>
                <w:w w:val="90"/>
                <w:sz w:val="25"/>
                <w:vertAlign w:val="superscript"/>
              </w:rPr>
              <w:t>3</w:t>
            </w:r>
            <w:r w:rsidRPr="00460F9E">
              <w:rPr>
                <w:rFonts w:eastAsia="Times New Roman" w:cs="Times New Roman"/>
                <w:w w:val="90"/>
              </w:rPr>
              <w:t>) (</w:t>
            </w:r>
            <w:r w:rsidRPr="00460F9E">
              <w:rPr>
                <w:rFonts w:eastAsia="Times New Roman" w:cs="Times New Roman"/>
                <w:w w:val="90"/>
                <w:sz w:val="25"/>
                <w:vertAlign w:val="superscript"/>
              </w:rPr>
              <w:t>4</w:t>
            </w:r>
            <w:r w:rsidRPr="00460F9E">
              <w:rPr>
                <w:rFonts w:eastAsia="Times New Roman" w:cs="Times New Roman"/>
                <w:w w:val="90"/>
              </w:rPr>
              <w:t>)</w:t>
            </w:r>
          </w:p>
        </w:tc>
        <w:tc>
          <w:tcPr>
            <w:tcW w:w="1380" w:type="dxa"/>
            <w:vMerge/>
            <w:tcBorders>
              <w:right w:val="single" w:sz="8" w:space="0" w:color="auto"/>
            </w:tcBorders>
            <w:shd w:val="clear" w:color="auto" w:fill="auto"/>
            <w:vAlign w:val="bottom"/>
          </w:tcPr>
          <w:p w14:paraId="6E909F6F" w14:textId="77777777" w:rsidR="00A52778" w:rsidRPr="00460F9E" w:rsidRDefault="00A52778" w:rsidP="00FC3F8E">
            <w:pPr>
              <w:spacing w:line="0" w:lineRule="atLeast"/>
              <w:rPr>
                <w:rFonts w:eastAsia="Times New Roman" w:cs="Times New Roman"/>
                <w:b/>
                <w:sz w:val="8"/>
              </w:rPr>
            </w:pPr>
          </w:p>
        </w:tc>
      </w:tr>
      <w:tr w:rsidR="00A52778" w:rsidRPr="00460F9E" w14:paraId="0DC97D5F" w14:textId="77777777" w:rsidTr="00FC3F8E">
        <w:trPr>
          <w:trHeight w:val="127"/>
        </w:trPr>
        <w:tc>
          <w:tcPr>
            <w:tcW w:w="1840" w:type="dxa"/>
            <w:tcBorders>
              <w:left w:val="single" w:sz="8" w:space="0" w:color="auto"/>
              <w:right w:val="single" w:sz="8" w:space="0" w:color="auto"/>
            </w:tcBorders>
            <w:shd w:val="clear" w:color="auto" w:fill="auto"/>
            <w:vAlign w:val="bottom"/>
          </w:tcPr>
          <w:p w14:paraId="1122DAE5" w14:textId="77777777" w:rsidR="00A52778" w:rsidRPr="00460F9E" w:rsidRDefault="00A52778" w:rsidP="00FC3F8E">
            <w:pPr>
              <w:spacing w:line="0" w:lineRule="atLeast"/>
              <w:rPr>
                <w:rFonts w:eastAsia="Times New Roman" w:cs="Times New Roman"/>
                <w:b/>
                <w:sz w:val="11"/>
              </w:rPr>
            </w:pPr>
          </w:p>
        </w:tc>
        <w:tc>
          <w:tcPr>
            <w:tcW w:w="1640" w:type="dxa"/>
            <w:vMerge/>
            <w:tcBorders>
              <w:right w:val="single" w:sz="8" w:space="0" w:color="auto"/>
            </w:tcBorders>
            <w:shd w:val="clear" w:color="auto" w:fill="auto"/>
            <w:vAlign w:val="bottom"/>
          </w:tcPr>
          <w:p w14:paraId="0134321A" w14:textId="77777777" w:rsidR="00A52778" w:rsidRPr="00460F9E" w:rsidRDefault="00A52778" w:rsidP="00FC3F8E">
            <w:pPr>
              <w:spacing w:line="0" w:lineRule="atLeast"/>
              <w:rPr>
                <w:rFonts w:eastAsia="Times New Roman" w:cs="Times New Roman"/>
                <w:b/>
                <w:sz w:val="11"/>
              </w:rPr>
            </w:pPr>
          </w:p>
        </w:tc>
        <w:tc>
          <w:tcPr>
            <w:tcW w:w="1240" w:type="dxa"/>
            <w:vMerge/>
            <w:tcBorders>
              <w:right w:val="single" w:sz="8" w:space="0" w:color="auto"/>
            </w:tcBorders>
            <w:shd w:val="clear" w:color="auto" w:fill="auto"/>
            <w:vAlign w:val="bottom"/>
          </w:tcPr>
          <w:p w14:paraId="4A72B7AE" w14:textId="77777777" w:rsidR="00A52778" w:rsidRPr="00460F9E" w:rsidRDefault="00A52778" w:rsidP="00FC3F8E">
            <w:pPr>
              <w:spacing w:line="219" w:lineRule="exact"/>
              <w:jc w:val="center"/>
              <w:rPr>
                <w:rFonts w:eastAsia="Times New Roman" w:cs="Times New Roman"/>
                <w:b/>
                <w:sz w:val="11"/>
              </w:rPr>
            </w:pPr>
          </w:p>
        </w:tc>
        <w:tc>
          <w:tcPr>
            <w:tcW w:w="1920" w:type="dxa"/>
            <w:tcBorders>
              <w:right w:val="single" w:sz="8" w:space="0" w:color="auto"/>
            </w:tcBorders>
            <w:shd w:val="clear" w:color="auto" w:fill="auto"/>
            <w:vAlign w:val="bottom"/>
          </w:tcPr>
          <w:p w14:paraId="2DFD7CCF" w14:textId="77777777" w:rsidR="00A52778" w:rsidRPr="00460F9E" w:rsidRDefault="00A52778" w:rsidP="00FC3F8E">
            <w:pPr>
              <w:spacing w:line="0" w:lineRule="atLeast"/>
              <w:rPr>
                <w:rFonts w:eastAsia="Times New Roman" w:cs="Times New Roman"/>
                <w:b/>
                <w:sz w:val="11"/>
              </w:rPr>
            </w:pPr>
          </w:p>
        </w:tc>
        <w:tc>
          <w:tcPr>
            <w:tcW w:w="1260" w:type="dxa"/>
            <w:vMerge/>
            <w:tcBorders>
              <w:right w:val="single" w:sz="8" w:space="0" w:color="auto"/>
            </w:tcBorders>
            <w:shd w:val="clear" w:color="auto" w:fill="auto"/>
            <w:vAlign w:val="center"/>
          </w:tcPr>
          <w:p w14:paraId="70A9D408" w14:textId="77777777" w:rsidR="00A52778" w:rsidRPr="00460F9E" w:rsidRDefault="00A52778" w:rsidP="00FC3F8E">
            <w:pPr>
              <w:spacing w:line="239" w:lineRule="exact"/>
              <w:jc w:val="center"/>
              <w:rPr>
                <w:rFonts w:eastAsia="Times New Roman" w:cs="Times New Roman"/>
                <w:b/>
                <w:sz w:val="11"/>
              </w:rPr>
            </w:pPr>
          </w:p>
        </w:tc>
        <w:tc>
          <w:tcPr>
            <w:tcW w:w="1380" w:type="dxa"/>
            <w:tcBorders>
              <w:right w:val="single" w:sz="8" w:space="0" w:color="auto"/>
            </w:tcBorders>
            <w:shd w:val="clear" w:color="auto" w:fill="auto"/>
            <w:vAlign w:val="bottom"/>
          </w:tcPr>
          <w:p w14:paraId="3E383802" w14:textId="77777777" w:rsidR="00A52778" w:rsidRPr="00460F9E" w:rsidRDefault="00A52778" w:rsidP="00FC3F8E">
            <w:pPr>
              <w:spacing w:line="0" w:lineRule="atLeast"/>
              <w:rPr>
                <w:rFonts w:eastAsia="Times New Roman" w:cs="Times New Roman"/>
                <w:b/>
                <w:sz w:val="11"/>
              </w:rPr>
            </w:pPr>
          </w:p>
        </w:tc>
      </w:tr>
      <w:tr w:rsidR="00A52778" w:rsidRPr="00460F9E" w14:paraId="6851E992" w14:textId="77777777" w:rsidTr="00FC3F8E">
        <w:trPr>
          <w:trHeight w:val="234"/>
        </w:trPr>
        <w:tc>
          <w:tcPr>
            <w:tcW w:w="1840" w:type="dxa"/>
            <w:tcBorders>
              <w:left w:val="single" w:sz="8" w:space="0" w:color="auto"/>
              <w:right w:val="single" w:sz="8" w:space="0" w:color="auto"/>
            </w:tcBorders>
            <w:shd w:val="clear" w:color="auto" w:fill="auto"/>
            <w:vAlign w:val="bottom"/>
          </w:tcPr>
          <w:p w14:paraId="05DB546C" w14:textId="77777777" w:rsidR="00A52778" w:rsidRPr="00460F9E" w:rsidRDefault="00A52778" w:rsidP="00FC3F8E">
            <w:pPr>
              <w:spacing w:line="0" w:lineRule="atLeast"/>
              <w:rPr>
                <w:rFonts w:eastAsia="Times New Roman" w:cs="Times New Roman"/>
                <w:b/>
              </w:rPr>
            </w:pPr>
          </w:p>
        </w:tc>
        <w:tc>
          <w:tcPr>
            <w:tcW w:w="1640" w:type="dxa"/>
            <w:vMerge/>
            <w:tcBorders>
              <w:right w:val="single" w:sz="8" w:space="0" w:color="auto"/>
            </w:tcBorders>
            <w:shd w:val="clear" w:color="auto" w:fill="auto"/>
            <w:vAlign w:val="bottom"/>
          </w:tcPr>
          <w:p w14:paraId="4A425B78" w14:textId="77777777" w:rsidR="00A52778" w:rsidRPr="00460F9E" w:rsidRDefault="00A52778" w:rsidP="00FC3F8E">
            <w:pPr>
              <w:spacing w:line="0" w:lineRule="atLeast"/>
              <w:rPr>
                <w:rFonts w:eastAsia="Times New Roman" w:cs="Times New Roman"/>
                <w:b/>
              </w:rPr>
            </w:pPr>
          </w:p>
        </w:tc>
        <w:tc>
          <w:tcPr>
            <w:tcW w:w="1240" w:type="dxa"/>
            <w:vMerge/>
            <w:tcBorders>
              <w:right w:val="single" w:sz="8" w:space="0" w:color="auto"/>
            </w:tcBorders>
            <w:shd w:val="clear" w:color="auto" w:fill="auto"/>
            <w:vAlign w:val="bottom"/>
          </w:tcPr>
          <w:p w14:paraId="6EBBF92F" w14:textId="77777777" w:rsidR="00A52778" w:rsidRPr="00460F9E" w:rsidRDefault="00A52778" w:rsidP="00FC3F8E">
            <w:pPr>
              <w:spacing w:line="219" w:lineRule="exact"/>
              <w:jc w:val="center"/>
              <w:rPr>
                <w:rFonts w:eastAsia="Times New Roman" w:cs="Times New Roman"/>
                <w:b/>
                <w:w w:val="99"/>
                <w:sz w:val="12"/>
              </w:rPr>
            </w:pPr>
          </w:p>
        </w:tc>
        <w:tc>
          <w:tcPr>
            <w:tcW w:w="1920" w:type="dxa"/>
            <w:tcBorders>
              <w:right w:val="single" w:sz="8" w:space="0" w:color="auto"/>
            </w:tcBorders>
            <w:shd w:val="clear" w:color="auto" w:fill="auto"/>
            <w:vAlign w:val="bottom"/>
          </w:tcPr>
          <w:p w14:paraId="3C53842C" w14:textId="77777777" w:rsidR="00A52778" w:rsidRPr="00460F9E" w:rsidRDefault="00A52778" w:rsidP="00FC3F8E">
            <w:pPr>
              <w:spacing w:line="0" w:lineRule="atLeast"/>
              <w:rPr>
                <w:rFonts w:eastAsia="Times New Roman" w:cs="Times New Roman"/>
                <w:b/>
              </w:rPr>
            </w:pPr>
          </w:p>
        </w:tc>
        <w:tc>
          <w:tcPr>
            <w:tcW w:w="1260" w:type="dxa"/>
            <w:vMerge/>
            <w:tcBorders>
              <w:right w:val="single" w:sz="8" w:space="0" w:color="auto"/>
            </w:tcBorders>
            <w:shd w:val="clear" w:color="auto" w:fill="auto"/>
            <w:vAlign w:val="center"/>
          </w:tcPr>
          <w:p w14:paraId="6B026ED0" w14:textId="77777777" w:rsidR="00A52778" w:rsidRPr="00460F9E" w:rsidRDefault="00A52778" w:rsidP="00FC3F8E">
            <w:pPr>
              <w:spacing w:line="239" w:lineRule="exact"/>
              <w:jc w:val="center"/>
              <w:rPr>
                <w:rFonts w:eastAsia="Times New Roman" w:cs="Times New Roman"/>
                <w:b/>
              </w:rPr>
            </w:pPr>
          </w:p>
        </w:tc>
        <w:tc>
          <w:tcPr>
            <w:tcW w:w="1380" w:type="dxa"/>
            <w:tcBorders>
              <w:right w:val="single" w:sz="8" w:space="0" w:color="auto"/>
            </w:tcBorders>
            <w:shd w:val="clear" w:color="auto" w:fill="auto"/>
            <w:vAlign w:val="bottom"/>
          </w:tcPr>
          <w:p w14:paraId="576211CE" w14:textId="77777777" w:rsidR="00A52778" w:rsidRPr="00460F9E" w:rsidRDefault="00A52778" w:rsidP="00FC3F8E">
            <w:pPr>
              <w:spacing w:line="0" w:lineRule="atLeast"/>
              <w:rPr>
                <w:rFonts w:eastAsia="Times New Roman" w:cs="Times New Roman"/>
                <w:b/>
              </w:rPr>
            </w:pPr>
          </w:p>
        </w:tc>
      </w:tr>
      <w:tr w:rsidR="00A52778" w:rsidRPr="00460F9E" w14:paraId="677DF17D" w14:textId="77777777" w:rsidTr="00FC3F8E">
        <w:trPr>
          <w:trHeight w:val="227"/>
        </w:trPr>
        <w:tc>
          <w:tcPr>
            <w:tcW w:w="1840" w:type="dxa"/>
            <w:tcBorders>
              <w:left w:val="single" w:sz="8" w:space="0" w:color="auto"/>
              <w:right w:val="single" w:sz="8" w:space="0" w:color="auto"/>
            </w:tcBorders>
            <w:shd w:val="clear" w:color="auto" w:fill="auto"/>
            <w:vAlign w:val="bottom"/>
          </w:tcPr>
          <w:p w14:paraId="297A68CC" w14:textId="77777777" w:rsidR="00A52778" w:rsidRPr="00460F9E" w:rsidRDefault="00A52778" w:rsidP="00FC3F8E">
            <w:pPr>
              <w:spacing w:line="0" w:lineRule="atLeast"/>
              <w:rPr>
                <w:rFonts w:eastAsia="Times New Roman" w:cs="Times New Roman"/>
                <w:b/>
                <w:sz w:val="19"/>
              </w:rPr>
            </w:pPr>
          </w:p>
        </w:tc>
        <w:tc>
          <w:tcPr>
            <w:tcW w:w="1640" w:type="dxa"/>
            <w:vMerge/>
            <w:tcBorders>
              <w:right w:val="single" w:sz="8" w:space="0" w:color="auto"/>
            </w:tcBorders>
            <w:shd w:val="clear" w:color="auto" w:fill="auto"/>
            <w:vAlign w:val="bottom"/>
          </w:tcPr>
          <w:p w14:paraId="58131D05" w14:textId="77777777" w:rsidR="00A52778" w:rsidRPr="00460F9E" w:rsidRDefault="00A52778" w:rsidP="00FC3F8E">
            <w:pPr>
              <w:spacing w:line="0" w:lineRule="atLeast"/>
              <w:rPr>
                <w:rFonts w:eastAsia="Times New Roman" w:cs="Times New Roman"/>
                <w:b/>
                <w:sz w:val="19"/>
              </w:rPr>
            </w:pPr>
          </w:p>
        </w:tc>
        <w:tc>
          <w:tcPr>
            <w:tcW w:w="1240" w:type="dxa"/>
            <w:vMerge/>
            <w:tcBorders>
              <w:right w:val="single" w:sz="8" w:space="0" w:color="auto"/>
            </w:tcBorders>
            <w:shd w:val="clear" w:color="auto" w:fill="auto"/>
            <w:vAlign w:val="bottom"/>
          </w:tcPr>
          <w:p w14:paraId="704D2A85" w14:textId="77777777" w:rsidR="00A52778" w:rsidRPr="00460F9E" w:rsidRDefault="00A52778" w:rsidP="00FC3F8E">
            <w:pPr>
              <w:spacing w:line="219" w:lineRule="exact"/>
              <w:jc w:val="center"/>
              <w:rPr>
                <w:rFonts w:eastAsia="Times New Roman" w:cs="Times New Roman"/>
                <w:b/>
              </w:rPr>
            </w:pPr>
          </w:p>
        </w:tc>
        <w:tc>
          <w:tcPr>
            <w:tcW w:w="1920" w:type="dxa"/>
            <w:tcBorders>
              <w:right w:val="single" w:sz="8" w:space="0" w:color="auto"/>
            </w:tcBorders>
            <w:shd w:val="clear" w:color="auto" w:fill="auto"/>
            <w:vAlign w:val="bottom"/>
          </w:tcPr>
          <w:p w14:paraId="5B652B1F" w14:textId="77777777" w:rsidR="00A52778" w:rsidRPr="00460F9E" w:rsidRDefault="00A52778" w:rsidP="00FC3F8E">
            <w:pPr>
              <w:spacing w:line="228" w:lineRule="exact"/>
              <w:jc w:val="center"/>
              <w:rPr>
                <w:rFonts w:eastAsia="Times New Roman" w:cs="Times New Roman"/>
                <w:b/>
              </w:rPr>
            </w:pPr>
            <w:r w:rsidRPr="00460F9E">
              <w:rPr>
                <w:rFonts w:eastAsia="Times New Roman" w:cs="Times New Roman"/>
              </w:rPr>
              <w:t>EN 14791</w:t>
            </w:r>
          </w:p>
        </w:tc>
        <w:tc>
          <w:tcPr>
            <w:tcW w:w="1260" w:type="dxa"/>
            <w:vMerge/>
            <w:tcBorders>
              <w:right w:val="single" w:sz="8" w:space="0" w:color="auto"/>
            </w:tcBorders>
            <w:shd w:val="clear" w:color="auto" w:fill="auto"/>
            <w:vAlign w:val="center"/>
          </w:tcPr>
          <w:p w14:paraId="53343960" w14:textId="77777777" w:rsidR="00A52778" w:rsidRPr="00460F9E" w:rsidRDefault="00A52778" w:rsidP="00FC3F8E">
            <w:pPr>
              <w:spacing w:line="239" w:lineRule="exact"/>
              <w:jc w:val="center"/>
              <w:rPr>
                <w:rFonts w:eastAsia="Times New Roman" w:cs="Times New Roman"/>
                <w:b/>
              </w:rPr>
            </w:pPr>
          </w:p>
        </w:tc>
        <w:tc>
          <w:tcPr>
            <w:tcW w:w="1380" w:type="dxa"/>
            <w:tcBorders>
              <w:right w:val="single" w:sz="8" w:space="0" w:color="auto"/>
            </w:tcBorders>
            <w:shd w:val="clear" w:color="auto" w:fill="auto"/>
            <w:vAlign w:val="bottom"/>
          </w:tcPr>
          <w:p w14:paraId="1589EE0C" w14:textId="77777777" w:rsidR="00A52778" w:rsidRPr="00460F9E" w:rsidRDefault="00A52778" w:rsidP="00FC3F8E">
            <w:pPr>
              <w:spacing w:line="0" w:lineRule="atLeast"/>
              <w:rPr>
                <w:rFonts w:eastAsia="Times New Roman" w:cs="Times New Roman"/>
                <w:b/>
                <w:sz w:val="19"/>
              </w:rPr>
            </w:pPr>
          </w:p>
        </w:tc>
      </w:tr>
      <w:tr w:rsidR="00A52778" w:rsidRPr="00460F9E" w14:paraId="65953FEC" w14:textId="77777777" w:rsidTr="00FC3F8E">
        <w:trPr>
          <w:trHeight w:val="239"/>
        </w:trPr>
        <w:tc>
          <w:tcPr>
            <w:tcW w:w="1840" w:type="dxa"/>
            <w:tcBorders>
              <w:left w:val="single" w:sz="8" w:space="0" w:color="auto"/>
              <w:right w:val="single" w:sz="8" w:space="0" w:color="auto"/>
            </w:tcBorders>
            <w:shd w:val="clear" w:color="auto" w:fill="auto"/>
            <w:vAlign w:val="bottom"/>
          </w:tcPr>
          <w:p w14:paraId="65A62BEA" w14:textId="77777777" w:rsidR="00A52778" w:rsidRPr="00460F9E" w:rsidRDefault="00A52778" w:rsidP="00FC3F8E">
            <w:pPr>
              <w:spacing w:line="0" w:lineRule="atLeast"/>
              <w:rPr>
                <w:rFonts w:eastAsia="Times New Roman" w:cs="Times New Roman"/>
                <w:b/>
              </w:rPr>
            </w:pPr>
          </w:p>
        </w:tc>
        <w:tc>
          <w:tcPr>
            <w:tcW w:w="1640" w:type="dxa"/>
            <w:vMerge/>
            <w:tcBorders>
              <w:right w:val="single" w:sz="8" w:space="0" w:color="auto"/>
            </w:tcBorders>
            <w:shd w:val="clear" w:color="auto" w:fill="auto"/>
            <w:vAlign w:val="bottom"/>
          </w:tcPr>
          <w:p w14:paraId="32EF923D" w14:textId="77777777" w:rsidR="00A52778" w:rsidRPr="00460F9E" w:rsidRDefault="00A52778" w:rsidP="00FC3F8E">
            <w:pPr>
              <w:spacing w:line="0" w:lineRule="atLeast"/>
              <w:rPr>
                <w:rFonts w:eastAsia="Times New Roman" w:cs="Times New Roman"/>
                <w:b/>
              </w:rPr>
            </w:pPr>
          </w:p>
        </w:tc>
        <w:tc>
          <w:tcPr>
            <w:tcW w:w="1240" w:type="dxa"/>
            <w:vMerge/>
            <w:tcBorders>
              <w:right w:val="single" w:sz="8" w:space="0" w:color="auto"/>
            </w:tcBorders>
            <w:shd w:val="clear" w:color="auto" w:fill="auto"/>
            <w:vAlign w:val="bottom"/>
          </w:tcPr>
          <w:p w14:paraId="2BCA0D05" w14:textId="77777777" w:rsidR="00A52778" w:rsidRPr="00460F9E" w:rsidRDefault="00A52778" w:rsidP="00FC3F8E">
            <w:pPr>
              <w:spacing w:line="219" w:lineRule="exact"/>
              <w:jc w:val="center"/>
              <w:rPr>
                <w:rFonts w:eastAsia="Times New Roman" w:cs="Times New Roman"/>
                <w:b/>
                <w:w w:val="95"/>
              </w:rPr>
            </w:pPr>
          </w:p>
        </w:tc>
        <w:tc>
          <w:tcPr>
            <w:tcW w:w="1920" w:type="dxa"/>
            <w:tcBorders>
              <w:right w:val="single" w:sz="8" w:space="0" w:color="auto"/>
            </w:tcBorders>
            <w:shd w:val="clear" w:color="auto" w:fill="auto"/>
            <w:vAlign w:val="bottom"/>
          </w:tcPr>
          <w:p w14:paraId="01625103" w14:textId="77777777" w:rsidR="00A52778" w:rsidRPr="00460F9E" w:rsidRDefault="00A52778" w:rsidP="00FC3F8E">
            <w:pPr>
              <w:spacing w:line="0" w:lineRule="atLeast"/>
              <w:rPr>
                <w:rFonts w:eastAsia="Times New Roman" w:cs="Times New Roman"/>
                <w:b/>
              </w:rPr>
            </w:pPr>
          </w:p>
        </w:tc>
        <w:tc>
          <w:tcPr>
            <w:tcW w:w="1260" w:type="dxa"/>
            <w:vMerge/>
            <w:tcBorders>
              <w:right w:val="single" w:sz="8" w:space="0" w:color="auto"/>
            </w:tcBorders>
            <w:shd w:val="clear" w:color="auto" w:fill="auto"/>
            <w:vAlign w:val="center"/>
          </w:tcPr>
          <w:p w14:paraId="33CA8B8D" w14:textId="77777777" w:rsidR="00A52778" w:rsidRPr="00460F9E" w:rsidRDefault="00A52778" w:rsidP="00FC3F8E">
            <w:pPr>
              <w:spacing w:line="239" w:lineRule="exact"/>
              <w:jc w:val="center"/>
              <w:rPr>
                <w:rFonts w:eastAsia="Times New Roman" w:cs="Times New Roman"/>
                <w:b/>
                <w:w w:val="90"/>
              </w:rPr>
            </w:pPr>
          </w:p>
        </w:tc>
        <w:tc>
          <w:tcPr>
            <w:tcW w:w="1380" w:type="dxa"/>
            <w:tcBorders>
              <w:right w:val="single" w:sz="8" w:space="0" w:color="auto"/>
            </w:tcBorders>
            <w:shd w:val="clear" w:color="auto" w:fill="auto"/>
            <w:vAlign w:val="bottom"/>
          </w:tcPr>
          <w:p w14:paraId="7C58612F" w14:textId="77777777" w:rsidR="00A52778" w:rsidRPr="00460F9E" w:rsidRDefault="00A52778" w:rsidP="00FC3F8E">
            <w:pPr>
              <w:spacing w:line="0" w:lineRule="atLeast"/>
              <w:rPr>
                <w:rFonts w:eastAsia="Times New Roman" w:cs="Times New Roman"/>
                <w:b/>
              </w:rPr>
            </w:pPr>
          </w:p>
        </w:tc>
      </w:tr>
      <w:tr w:rsidR="00A52778" w:rsidRPr="00460F9E" w14:paraId="0F339362" w14:textId="77777777" w:rsidTr="00FC3F8E">
        <w:trPr>
          <w:trHeight w:val="222"/>
        </w:trPr>
        <w:tc>
          <w:tcPr>
            <w:tcW w:w="1840" w:type="dxa"/>
            <w:tcBorders>
              <w:left w:val="single" w:sz="8" w:space="0" w:color="auto"/>
              <w:bottom w:val="single" w:sz="8" w:space="0" w:color="auto"/>
              <w:right w:val="single" w:sz="8" w:space="0" w:color="auto"/>
            </w:tcBorders>
            <w:shd w:val="clear" w:color="auto" w:fill="auto"/>
            <w:vAlign w:val="bottom"/>
          </w:tcPr>
          <w:p w14:paraId="29C21BEC" w14:textId="77777777" w:rsidR="00A52778" w:rsidRPr="00460F9E" w:rsidRDefault="00A52778" w:rsidP="00FC3F8E">
            <w:pPr>
              <w:spacing w:line="0" w:lineRule="atLeast"/>
              <w:rPr>
                <w:rFonts w:eastAsia="Times New Roman" w:cs="Times New Roman"/>
                <w:b/>
                <w:sz w:val="19"/>
              </w:rPr>
            </w:pPr>
          </w:p>
        </w:tc>
        <w:tc>
          <w:tcPr>
            <w:tcW w:w="1640" w:type="dxa"/>
            <w:vMerge/>
            <w:tcBorders>
              <w:bottom w:val="single" w:sz="8" w:space="0" w:color="auto"/>
              <w:right w:val="single" w:sz="8" w:space="0" w:color="auto"/>
            </w:tcBorders>
            <w:shd w:val="clear" w:color="auto" w:fill="auto"/>
            <w:vAlign w:val="bottom"/>
          </w:tcPr>
          <w:p w14:paraId="16B608C0" w14:textId="77777777" w:rsidR="00A52778" w:rsidRPr="00460F9E" w:rsidRDefault="00A52778" w:rsidP="00FC3F8E">
            <w:pPr>
              <w:spacing w:line="0" w:lineRule="atLeast"/>
              <w:rPr>
                <w:rFonts w:eastAsia="Times New Roman" w:cs="Times New Roman"/>
                <w:b/>
                <w:sz w:val="19"/>
              </w:rPr>
            </w:pPr>
          </w:p>
        </w:tc>
        <w:tc>
          <w:tcPr>
            <w:tcW w:w="1240" w:type="dxa"/>
            <w:vMerge/>
            <w:tcBorders>
              <w:bottom w:val="single" w:sz="8" w:space="0" w:color="auto"/>
              <w:right w:val="single" w:sz="8" w:space="0" w:color="auto"/>
            </w:tcBorders>
            <w:shd w:val="clear" w:color="auto" w:fill="auto"/>
            <w:vAlign w:val="bottom"/>
          </w:tcPr>
          <w:p w14:paraId="607A6352" w14:textId="77777777" w:rsidR="00A52778" w:rsidRPr="00460F9E" w:rsidRDefault="00A52778" w:rsidP="00FC3F8E">
            <w:pPr>
              <w:spacing w:line="219" w:lineRule="exact"/>
              <w:jc w:val="center"/>
              <w:rPr>
                <w:rFonts w:eastAsia="Times New Roman" w:cs="Times New Roman"/>
                <w:b/>
              </w:rPr>
            </w:pPr>
          </w:p>
        </w:tc>
        <w:tc>
          <w:tcPr>
            <w:tcW w:w="1920" w:type="dxa"/>
            <w:tcBorders>
              <w:bottom w:val="single" w:sz="8" w:space="0" w:color="auto"/>
              <w:right w:val="single" w:sz="8" w:space="0" w:color="auto"/>
            </w:tcBorders>
            <w:shd w:val="clear" w:color="auto" w:fill="auto"/>
            <w:vAlign w:val="bottom"/>
          </w:tcPr>
          <w:p w14:paraId="52413C1F" w14:textId="77777777" w:rsidR="00A52778" w:rsidRPr="00460F9E" w:rsidRDefault="00A52778" w:rsidP="00FC3F8E">
            <w:pPr>
              <w:spacing w:line="0" w:lineRule="atLeast"/>
              <w:rPr>
                <w:rFonts w:eastAsia="Times New Roman" w:cs="Times New Roman"/>
                <w:b/>
                <w:sz w:val="19"/>
              </w:rPr>
            </w:pPr>
          </w:p>
        </w:tc>
        <w:tc>
          <w:tcPr>
            <w:tcW w:w="1260" w:type="dxa"/>
            <w:vMerge/>
            <w:tcBorders>
              <w:bottom w:val="single" w:sz="8" w:space="0" w:color="auto"/>
              <w:right w:val="single" w:sz="8" w:space="0" w:color="auto"/>
            </w:tcBorders>
            <w:shd w:val="clear" w:color="auto" w:fill="auto"/>
            <w:vAlign w:val="center"/>
          </w:tcPr>
          <w:p w14:paraId="2BAC4A5A" w14:textId="77777777" w:rsidR="00A52778" w:rsidRPr="00460F9E" w:rsidRDefault="00A52778" w:rsidP="00FC3F8E">
            <w:pPr>
              <w:spacing w:line="0" w:lineRule="atLeast"/>
              <w:jc w:val="center"/>
              <w:rPr>
                <w:rFonts w:eastAsia="Times New Roman" w:cs="Times New Roman"/>
                <w:b/>
                <w:sz w:val="19"/>
              </w:rPr>
            </w:pPr>
          </w:p>
        </w:tc>
        <w:tc>
          <w:tcPr>
            <w:tcW w:w="1380" w:type="dxa"/>
            <w:tcBorders>
              <w:bottom w:val="single" w:sz="8" w:space="0" w:color="auto"/>
              <w:right w:val="single" w:sz="8" w:space="0" w:color="auto"/>
            </w:tcBorders>
            <w:shd w:val="clear" w:color="auto" w:fill="auto"/>
            <w:vAlign w:val="bottom"/>
          </w:tcPr>
          <w:p w14:paraId="0BAD376A" w14:textId="77777777" w:rsidR="00A52778" w:rsidRPr="00460F9E" w:rsidRDefault="00A52778" w:rsidP="00FC3F8E">
            <w:pPr>
              <w:spacing w:line="0" w:lineRule="atLeast"/>
              <w:rPr>
                <w:rFonts w:eastAsia="Times New Roman" w:cs="Times New Roman"/>
                <w:b/>
                <w:sz w:val="19"/>
              </w:rPr>
            </w:pPr>
          </w:p>
        </w:tc>
      </w:tr>
      <w:tr w:rsidR="00A52778" w:rsidRPr="00460F9E" w14:paraId="2B74168B" w14:textId="77777777" w:rsidTr="00FC3F8E">
        <w:trPr>
          <w:trHeight w:val="217"/>
        </w:trPr>
        <w:tc>
          <w:tcPr>
            <w:tcW w:w="1840" w:type="dxa"/>
            <w:tcBorders>
              <w:left w:val="single" w:sz="8" w:space="0" w:color="auto"/>
              <w:right w:val="single" w:sz="8" w:space="0" w:color="auto"/>
            </w:tcBorders>
            <w:shd w:val="clear" w:color="auto" w:fill="auto"/>
            <w:vAlign w:val="bottom"/>
          </w:tcPr>
          <w:p w14:paraId="48A9E115" w14:textId="77777777" w:rsidR="00A52778" w:rsidRPr="00460F9E" w:rsidRDefault="00A52778" w:rsidP="00FC3F8E">
            <w:pPr>
              <w:spacing w:line="0" w:lineRule="atLeast"/>
              <w:rPr>
                <w:rFonts w:eastAsia="Times New Roman" w:cs="Times New Roman"/>
                <w:b/>
                <w:sz w:val="18"/>
              </w:rPr>
            </w:pPr>
          </w:p>
        </w:tc>
        <w:tc>
          <w:tcPr>
            <w:tcW w:w="1640" w:type="dxa"/>
            <w:vMerge w:val="restart"/>
            <w:tcBorders>
              <w:right w:val="single" w:sz="8" w:space="0" w:color="auto"/>
            </w:tcBorders>
            <w:shd w:val="clear" w:color="auto" w:fill="auto"/>
            <w:vAlign w:val="center"/>
          </w:tcPr>
          <w:p w14:paraId="382CAB3C"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w w:val="93"/>
              </w:rPr>
              <w:t xml:space="preserve">Tüm              </w:t>
            </w:r>
            <w:r w:rsidRPr="00460F9E">
              <w:rPr>
                <w:rFonts w:eastAsia="Times New Roman" w:cs="Times New Roman"/>
                <w:w w:val="99"/>
              </w:rPr>
              <w:t>prosesler</w:t>
            </w:r>
            <w:r w:rsidRPr="00460F9E">
              <w:rPr>
                <w:rFonts w:eastAsia="Times New Roman" w:cs="Times New Roman"/>
                <w:w w:val="93"/>
              </w:rPr>
              <w:t xml:space="preserve"> /kaynaklar</w:t>
            </w:r>
          </w:p>
        </w:tc>
        <w:tc>
          <w:tcPr>
            <w:tcW w:w="1240" w:type="dxa"/>
            <w:vMerge w:val="restart"/>
            <w:tcBorders>
              <w:right w:val="single" w:sz="8" w:space="0" w:color="auto"/>
            </w:tcBorders>
            <w:shd w:val="clear" w:color="auto" w:fill="auto"/>
            <w:vAlign w:val="center"/>
          </w:tcPr>
          <w:p w14:paraId="24B1F703"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9"/>
              </w:rPr>
              <w:t>Herhangi bir baca</w:t>
            </w:r>
          </w:p>
        </w:tc>
        <w:tc>
          <w:tcPr>
            <w:tcW w:w="1920" w:type="dxa"/>
            <w:vMerge w:val="restart"/>
            <w:tcBorders>
              <w:right w:val="single" w:sz="8" w:space="0" w:color="auto"/>
            </w:tcBorders>
            <w:shd w:val="clear" w:color="auto" w:fill="auto"/>
            <w:vAlign w:val="center"/>
          </w:tcPr>
          <w:p w14:paraId="5A5DFC3D"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 xml:space="preserve">EN standardı </w:t>
            </w:r>
          </w:p>
          <w:p w14:paraId="62A29B4E"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mevcut değil</w:t>
            </w:r>
          </w:p>
        </w:tc>
        <w:tc>
          <w:tcPr>
            <w:tcW w:w="1260" w:type="dxa"/>
            <w:vMerge w:val="restart"/>
            <w:tcBorders>
              <w:right w:val="single" w:sz="8" w:space="0" w:color="auto"/>
            </w:tcBorders>
            <w:shd w:val="clear" w:color="auto" w:fill="auto"/>
            <w:vAlign w:val="center"/>
          </w:tcPr>
          <w:p w14:paraId="132CF5CD"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Her 6 ayda</w:t>
            </w:r>
          </w:p>
          <w:p w14:paraId="3EDE739E" w14:textId="77777777" w:rsidR="00A52778" w:rsidRPr="00460F9E" w:rsidRDefault="00A52778" w:rsidP="00FC3F8E">
            <w:pPr>
              <w:spacing w:line="232" w:lineRule="exact"/>
              <w:ind w:right="280"/>
              <w:jc w:val="center"/>
              <w:rPr>
                <w:rFonts w:eastAsia="Times New Roman" w:cs="Times New Roman"/>
                <w:b/>
              </w:rPr>
            </w:pPr>
            <w:r w:rsidRPr="00460F9E">
              <w:rPr>
                <w:rFonts w:eastAsia="Times New Roman" w:cs="Times New Roman"/>
              </w:rPr>
              <w:t xml:space="preserve">     1 kere</w:t>
            </w:r>
          </w:p>
          <w:p w14:paraId="77064C70" w14:textId="77777777" w:rsidR="00A52778" w:rsidRPr="00460F9E" w:rsidRDefault="00A52778" w:rsidP="00FC3F8E">
            <w:pPr>
              <w:spacing w:line="236" w:lineRule="exact"/>
              <w:jc w:val="center"/>
              <w:rPr>
                <w:rFonts w:eastAsia="Times New Roman" w:cs="Times New Roman"/>
                <w:b/>
              </w:rPr>
            </w:pPr>
            <w:r w:rsidRPr="00460F9E">
              <w:rPr>
                <w:rFonts w:eastAsia="Times New Roman" w:cs="Times New Roman"/>
                <w:w w:val="92"/>
              </w:rPr>
              <w:t>(</w:t>
            </w:r>
            <w:r w:rsidRPr="00460F9E">
              <w:rPr>
                <w:rFonts w:eastAsia="Times New Roman" w:cs="Times New Roman"/>
                <w:w w:val="92"/>
                <w:sz w:val="25"/>
                <w:vertAlign w:val="superscript"/>
              </w:rPr>
              <w:t>3</w:t>
            </w:r>
            <w:r w:rsidRPr="00460F9E">
              <w:rPr>
                <w:rFonts w:eastAsia="Times New Roman" w:cs="Times New Roman"/>
                <w:w w:val="92"/>
              </w:rPr>
              <w:t>)</w:t>
            </w:r>
          </w:p>
        </w:tc>
        <w:tc>
          <w:tcPr>
            <w:tcW w:w="1380" w:type="dxa"/>
            <w:tcBorders>
              <w:right w:val="single" w:sz="8" w:space="0" w:color="auto"/>
            </w:tcBorders>
            <w:shd w:val="clear" w:color="auto" w:fill="auto"/>
            <w:vAlign w:val="bottom"/>
          </w:tcPr>
          <w:p w14:paraId="47AF4EF0" w14:textId="77777777" w:rsidR="00A52778" w:rsidRPr="00460F9E" w:rsidRDefault="00A52778" w:rsidP="00FC3F8E">
            <w:pPr>
              <w:spacing w:line="0" w:lineRule="atLeast"/>
              <w:rPr>
                <w:rFonts w:eastAsia="Times New Roman" w:cs="Times New Roman"/>
                <w:b/>
                <w:sz w:val="18"/>
              </w:rPr>
            </w:pPr>
          </w:p>
        </w:tc>
      </w:tr>
      <w:tr w:rsidR="00A52778" w:rsidRPr="00460F9E" w14:paraId="6389EEF8" w14:textId="77777777" w:rsidTr="00FC3F8E">
        <w:trPr>
          <w:trHeight w:val="345"/>
        </w:trPr>
        <w:tc>
          <w:tcPr>
            <w:tcW w:w="1840" w:type="dxa"/>
            <w:tcBorders>
              <w:left w:val="single" w:sz="8" w:space="0" w:color="auto"/>
              <w:bottom w:val="nil"/>
              <w:right w:val="single" w:sz="8" w:space="0" w:color="auto"/>
            </w:tcBorders>
            <w:shd w:val="clear" w:color="auto" w:fill="auto"/>
            <w:vAlign w:val="bottom"/>
          </w:tcPr>
          <w:p w14:paraId="1F91A5AB"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Tetraklorometan</w:t>
            </w:r>
          </w:p>
        </w:tc>
        <w:tc>
          <w:tcPr>
            <w:tcW w:w="1640" w:type="dxa"/>
            <w:vMerge/>
            <w:tcBorders>
              <w:bottom w:val="nil"/>
              <w:right w:val="single" w:sz="8" w:space="0" w:color="auto"/>
            </w:tcBorders>
            <w:shd w:val="clear" w:color="auto" w:fill="auto"/>
            <w:vAlign w:val="bottom"/>
          </w:tcPr>
          <w:p w14:paraId="318D5C6D" w14:textId="77777777" w:rsidR="00A52778" w:rsidRPr="00460F9E" w:rsidRDefault="00A52778" w:rsidP="00FC3F8E">
            <w:pPr>
              <w:spacing w:line="0" w:lineRule="atLeast"/>
              <w:jc w:val="center"/>
              <w:rPr>
                <w:rFonts w:eastAsia="Times New Roman" w:cs="Times New Roman"/>
                <w:b/>
                <w:sz w:val="10"/>
              </w:rPr>
            </w:pPr>
          </w:p>
        </w:tc>
        <w:tc>
          <w:tcPr>
            <w:tcW w:w="1240" w:type="dxa"/>
            <w:vMerge/>
            <w:tcBorders>
              <w:bottom w:val="nil"/>
              <w:right w:val="single" w:sz="8" w:space="0" w:color="auto"/>
            </w:tcBorders>
            <w:shd w:val="clear" w:color="auto" w:fill="auto"/>
            <w:vAlign w:val="bottom"/>
          </w:tcPr>
          <w:p w14:paraId="171F8A22" w14:textId="77777777" w:rsidR="00A52778" w:rsidRPr="00460F9E" w:rsidRDefault="00A52778" w:rsidP="00FC3F8E">
            <w:pPr>
              <w:spacing w:line="0" w:lineRule="atLeast"/>
              <w:jc w:val="center"/>
              <w:rPr>
                <w:rFonts w:eastAsia="Times New Roman" w:cs="Times New Roman"/>
                <w:b/>
                <w:w w:val="99"/>
              </w:rPr>
            </w:pPr>
          </w:p>
        </w:tc>
        <w:tc>
          <w:tcPr>
            <w:tcW w:w="1920" w:type="dxa"/>
            <w:vMerge/>
            <w:tcBorders>
              <w:bottom w:val="nil"/>
              <w:right w:val="single" w:sz="8" w:space="0" w:color="auto"/>
            </w:tcBorders>
            <w:shd w:val="clear" w:color="auto" w:fill="auto"/>
            <w:vAlign w:val="bottom"/>
          </w:tcPr>
          <w:p w14:paraId="3002E73C" w14:textId="77777777" w:rsidR="00A52778" w:rsidRPr="00460F9E" w:rsidRDefault="00A52778" w:rsidP="00FC3F8E">
            <w:pPr>
              <w:spacing w:line="0" w:lineRule="atLeast"/>
              <w:jc w:val="center"/>
              <w:rPr>
                <w:rFonts w:eastAsia="Times New Roman" w:cs="Times New Roman"/>
                <w:b/>
                <w:sz w:val="10"/>
              </w:rPr>
            </w:pPr>
          </w:p>
        </w:tc>
        <w:tc>
          <w:tcPr>
            <w:tcW w:w="1260" w:type="dxa"/>
            <w:vMerge/>
            <w:tcBorders>
              <w:right w:val="single" w:sz="8" w:space="0" w:color="auto"/>
            </w:tcBorders>
            <w:shd w:val="clear" w:color="auto" w:fill="auto"/>
            <w:vAlign w:val="center"/>
          </w:tcPr>
          <w:p w14:paraId="7A6DBB11" w14:textId="77777777" w:rsidR="00A52778" w:rsidRPr="00460F9E" w:rsidRDefault="00A52778" w:rsidP="00FC3F8E">
            <w:pPr>
              <w:spacing w:line="236" w:lineRule="exact"/>
              <w:jc w:val="center"/>
              <w:rPr>
                <w:rFonts w:eastAsia="Times New Roman" w:cs="Times New Roman"/>
                <w:b/>
              </w:rPr>
            </w:pPr>
          </w:p>
        </w:tc>
        <w:tc>
          <w:tcPr>
            <w:tcW w:w="1380" w:type="dxa"/>
            <w:tcBorders>
              <w:bottom w:val="nil"/>
              <w:right w:val="single" w:sz="8" w:space="0" w:color="auto"/>
            </w:tcBorders>
            <w:shd w:val="clear" w:color="auto" w:fill="auto"/>
            <w:vAlign w:val="bottom"/>
          </w:tcPr>
          <w:p w14:paraId="5EAE65F2" w14:textId="77777777" w:rsidR="00A52778" w:rsidRPr="00460F9E" w:rsidRDefault="002A1746" w:rsidP="00FC3F8E">
            <w:pPr>
              <w:spacing w:line="0" w:lineRule="atLeast"/>
              <w:jc w:val="center"/>
              <w:rPr>
                <w:rFonts w:eastAsia="Times New Roman" w:cs="Times New Roman"/>
                <w:b/>
              </w:rPr>
            </w:pPr>
            <w:hyperlink w:anchor="page302" w:history="1">
              <w:r w:rsidR="00A52778" w:rsidRPr="00460F9E">
                <w:rPr>
                  <w:rFonts w:eastAsia="Times New Roman" w:cs="Times New Roman"/>
                </w:rPr>
                <w:t>MET 11</w:t>
              </w:r>
            </w:hyperlink>
          </w:p>
        </w:tc>
      </w:tr>
      <w:tr w:rsidR="00A52778" w:rsidRPr="00460F9E" w14:paraId="5DBF3178" w14:textId="77777777" w:rsidTr="00FC3F8E">
        <w:trPr>
          <w:trHeight w:val="115"/>
        </w:trPr>
        <w:tc>
          <w:tcPr>
            <w:tcW w:w="1840" w:type="dxa"/>
            <w:tcBorders>
              <w:left w:val="single" w:sz="8" w:space="0" w:color="auto"/>
              <w:right w:val="single" w:sz="8" w:space="0" w:color="auto"/>
            </w:tcBorders>
            <w:shd w:val="clear" w:color="auto" w:fill="auto"/>
            <w:vAlign w:val="bottom"/>
          </w:tcPr>
          <w:p w14:paraId="3DA19C2D" w14:textId="77777777" w:rsidR="00A52778" w:rsidRPr="00460F9E" w:rsidRDefault="00A52778" w:rsidP="00FC3F8E">
            <w:pPr>
              <w:spacing w:line="0" w:lineRule="atLeast"/>
              <w:rPr>
                <w:rFonts w:eastAsia="Times New Roman" w:cs="Times New Roman"/>
                <w:b/>
                <w:sz w:val="10"/>
              </w:rPr>
            </w:pPr>
          </w:p>
        </w:tc>
        <w:tc>
          <w:tcPr>
            <w:tcW w:w="1640" w:type="dxa"/>
            <w:vMerge/>
            <w:tcBorders>
              <w:right w:val="single" w:sz="8" w:space="0" w:color="auto"/>
            </w:tcBorders>
            <w:shd w:val="clear" w:color="auto" w:fill="auto"/>
            <w:vAlign w:val="bottom"/>
          </w:tcPr>
          <w:p w14:paraId="7BF13C64" w14:textId="77777777" w:rsidR="00A52778" w:rsidRPr="00460F9E" w:rsidRDefault="00A52778" w:rsidP="00FC3F8E">
            <w:pPr>
              <w:spacing w:line="0" w:lineRule="atLeast"/>
              <w:rPr>
                <w:rFonts w:eastAsia="Times New Roman" w:cs="Times New Roman"/>
                <w:b/>
                <w:sz w:val="10"/>
              </w:rPr>
            </w:pPr>
          </w:p>
        </w:tc>
        <w:tc>
          <w:tcPr>
            <w:tcW w:w="1240" w:type="dxa"/>
            <w:vMerge/>
            <w:tcBorders>
              <w:right w:val="single" w:sz="8" w:space="0" w:color="auto"/>
            </w:tcBorders>
            <w:shd w:val="clear" w:color="auto" w:fill="auto"/>
            <w:vAlign w:val="bottom"/>
          </w:tcPr>
          <w:p w14:paraId="70A6C48E" w14:textId="77777777" w:rsidR="00A52778" w:rsidRPr="00460F9E" w:rsidRDefault="00A52778" w:rsidP="00FC3F8E">
            <w:pPr>
              <w:spacing w:line="0" w:lineRule="atLeast"/>
              <w:rPr>
                <w:rFonts w:eastAsia="Times New Roman" w:cs="Times New Roman"/>
                <w:b/>
                <w:sz w:val="10"/>
              </w:rPr>
            </w:pPr>
          </w:p>
        </w:tc>
        <w:tc>
          <w:tcPr>
            <w:tcW w:w="1920" w:type="dxa"/>
            <w:vMerge/>
            <w:tcBorders>
              <w:right w:val="single" w:sz="8" w:space="0" w:color="auto"/>
            </w:tcBorders>
            <w:shd w:val="clear" w:color="auto" w:fill="auto"/>
            <w:vAlign w:val="bottom"/>
          </w:tcPr>
          <w:p w14:paraId="48CF8215" w14:textId="77777777" w:rsidR="00A52778" w:rsidRPr="00460F9E" w:rsidRDefault="00A52778" w:rsidP="00FC3F8E">
            <w:pPr>
              <w:spacing w:line="0" w:lineRule="atLeast"/>
              <w:rPr>
                <w:rFonts w:eastAsia="Times New Roman" w:cs="Times New Roman"/>
                <w:b/>
                <w:sz w:val="10"/>
              </w:rPr>
            </w:pPr>
          </w:p>
        </w:tc>
        <w:tc>
          <w:tcPr>
            <w:tcW w:w="1260" w:type="dxa"/>
            <w:vMerge/>
            <w:tcBorders>
              <w:right w:val="single" w:sz="8" w:space="0" w:color="auto"/>
            </w:tcBorders>
            <w:shd w:val="clear" w:color="auto" w:fill="auto"/>
            <w:vAlign w:val="center"/>
          </w:tcPr>
          <w:p w14:paraId="5BBE3B44" w14:textId="77777777" w:rsidR="00A52778" w:rsidRPr="00460F9E" w:rsidRDefault="00A52778" w:rsidP="00FC3F8E">
            <w:pPr>
              <w:spacing w:line="236" w:lineRule="exact"/>
              <w:jc w:val="center"/>
              <w:rPr>
                <w:rFonts w:eastAsia="Times New Roman" w:cs="Times New Roman"/>
                <w:b/>
                <w:w w:val="92"/>
              </w:rPr>
            </w:pPr>
          </w:p>
        </w:tc>
        <w:tc>
          <w:tcPr>
            <w:tcW w:w="1380" w:type="dxa"/>
            <w:tcBorders>
              <w:right w:val="single" w:sz="8" w:space="0" w:color="auto"/>
            </w:tcBorders>
            <w:shd w:val="clear" w:color="auto" w:fill="auto"/>
            <w:vAlign w:val="bottom"/>
          </w:tcPr>
          <w:p w14:paraId="2BF47F2A" w14:textId="77777777" w:rsidR="00A52778" w:rsidRPr="00460F9E" w:rsidRDefault="00A52778" w:rsidP="00FC3F8E">
            <w:pPr>
              <w:spacing w:line="0" w:lineRule="atLeast"/>
              <w:rPr>
                <w:rFonts w:eastAsia="Times New Roman" w:cs="Times New Roman"/>
                <w:b/>
                <w:sz w:val="10"/>
              </w:rPr>
            </w:pPr>
          </w:p>
        </w:tc>
      </w:tr>
      <w:tr w:rsidR="00A52778" w:rsidRPr="00460F9E" w14:paraId="12E2CFAF" w14:textId="77777777" w:rsidTr="00FC3F8E">
        <w:trPr>
          <w:trHeight w:val="121"/>
        </w:trPr>
        <w:tc>
          <w:tcPr>
            <w:tcW w:w="1840" w:type="dxa"/>
            <w:tcBorders>
              <w:left w:val="single" w:sz="8" w:space="0" w:color="auto"/>
              <w:bottom w:val="single" w:sz="8" w:space="0" w:color="auto"/>
              <w:right w:val="single" w:sz="8" w:space="0" w:color="auto"/>
            </w:tcBorders>
            <w:shd w:val="clear" w:color="auto" w:fill="auto"/>
            <w:vAlign w:val="bottom"/>
          </w:tcPr>
          <w:p w14:paraId="0AD99FD0" w14:textId="77777777" w:rsidR="00A52778" w:rsidRPr="00460F9E" w:rsidRDefault="00A52778" w:rsidP="00FC3F8E">
            <w:pPr>
              <w:spacing w:line="0" w:lineRule="atLeast"/>
              <w:rPr>
                <w:rFonts w:eastAsia="Times New Roman" w:cs="Times New Roman"/>
                <w:b/>
                <w:sz w:val="10"/>
              </w:rPr>
            </w:pPr>
          </w:p>
        </w:tc>
        <w:tc>
          <w:tcPr>
            <w:tcW w:w="1640" w:type="dxa"/>
            <w:vMerge/>
            <w:tcBorders>
              <w:bottom w:val="single" w:sz="8" w:space="0" w:color="auto"/>
              <w:right w:val="single" w:sz="8" w:space="0" w:color="auto"/>
            </w:tcBorders>
            <w:shd w:val="clear" w:color="auto" w:fill="auto"/>
            <w:vAlign w:val="bottom"/>
          </w:tcPr>
          <w:p w14:paraId="59D4B285" w14:textId="77777777" w:rsidR="00A52778" w:rsidRPr="00460F9E" w:rsidRDefault="00A52778" w:rsidP="00FC3F8E">
            <w:pPr>
              <w:spacing w:line="0" w:lineRule="atLeast"/>
              <w:rPr>
                <w:rFonts w:eastAsia="Times New Roman" w:cs="Times New Roman"/>
                <w:b/>
                <w:sz w:val="10"/>
              </w:rPr>
            </w:pPr>
          </w:p>
        </w:tc>
        <w:tc>
          <w:tcPr>
            <w:tcW w:w="1240" w:type="dxa"/>
            <w:vMerge/>
            <w:tcBorders>
              <w:bottom w:val="single" w:sz="8" w:space="0" w:color="auto"/>
              <w:right w:val="single" w:sz="8" w:space="0" w:color="auto"/>
            </w:tcBorders>
            <w:shd w:val="clear" w:color="auto" w:fill="auto"/>
            <w:vAlign w:val="bottom"/>
          </w:tcPr>
          <w:p w14:paraId="4FD18EDA" w14:textId="77777777" w:rsidR="00A52778" w:rsidRPr="00460F9E" w:rsidRDefault="00A52778" w:rsidP="00FC3F8E">
            <w:pPr>
              <w:spacing w:line="0" w:lineRule="atLeast"/>
              <w:rPr>
                <w:rFonts w:eastAsia="Times New Roman" w:cs="Times New Roman"/>
                <w:b/>
                <w:sz w:val="10"/>
              </w:rPr>
            </w:pPr>
          </w:p>
        </w:tc>
        <w:tc>
          <w:tcPr>
            <w:tcW w:w="1920" w:type="dxa"/>
            <w:vMerge/>
            <w:tcBorders>
              <w:bottom w:val="single" w:sz="8" w:space="0" w:color="auto"/>
              <w:right w:val="single" w:sz="8" w:space="0" w:color="auto"/>
            </w:tcBorders>
            <w:shd w:val="clear" w:color="auto" w:fill="auto"/>
            <w:vAlign w:val="bottom"/>
          </w:tcPr>
          <w:p w14:paraId="356228AC" w14:textId="77777777" w:rsidR="00A52778" w:rsidRPr="00460F9E" w:rsidRDefault="00A52778" w:rsidP="00FC3F8E">
            <w:pPr>
              <w:spacing w:line="0" w:lineRule="atLeast"/>
              <w:rPr>
                <w:rFonts w:eastAsia="Times New Roman" w:cs="Times New Roman"/>
                <w:b/>
                <w:sz w:val="10"/>
              </w:rPr>
            </w:pPr>
          </w:p>
        </w:tc>
        <w:tc>
          <w:tcPr>
            <w:tcW w:w="1260" w:type="dxa"/>
            <w:vMerge/>
            <w:tcBorders>
              <w:bottom w:val="single" w:sz="8" w:space="0" w:color="auto"/>
              <w:right w:val="single" w:sz="8" w:space="0" w:color="auto"/>
            </w:tcBorders>
            <w:shd w:val="clear" w:color="auto" w:fill="auto"/>
            <w:vAlign w:val="bottom"/>
          </w:tcPr>
          <w:p w14:paraId="11BF2268" w14:textId="77777777" w:rsidR="00A52778" w:rsidRPr="00460F9E" w:rsidRDefault="00A52778" w:rsidP="00FC3F8E">
            <w:pPr>
              <w:spacing w:line="0" w:lineRule="atLeast"/>
              <w:rPr>
                <w:rFonts w:eastAsia="Times New Roman" w:cs="Times New Roman"/>
                <w:b/>
                <w:sz w:val="10"/>
              </w:rPr>
            </w:pPr>
          </w:p>
        </w:tc>
        <w:tc>
          <w:tcPr>
            <w:tcW w:w="1380" w:type="dxa"/>
            <w:tcBorders>
              <w:bottom w:val="single" w:sz="8" w:space="0" w:color="auto"/>
              <w:right w:val="single" w:sz="8" w:space="0" w:color="auto"/>
            </w:tcBorders>
            <w:shd w:val="clear" w:color="auto" w:fill="auto"/>
            <w:vAlign w:val="bottom"/>
          </w:tcPr>
          <w:p w14:paraId="6C97B40A" w14:textId="77777777" w:rsidR="00A52778" w:rsidRPr="00460F9E" w:rsidRDefault="00A52778" w:rsidP="00FC3F8E">
            <w:pPr>
              <w:spacing w:line="0" w:lineRule="atLeast"/>
              <w:rPr>
                <w:rFonts w:eastAsia="Times New Roman" w:cs="Times New Roman"/>
                <w:b/>
                <w:sz w:val="10"/>
              </w:rPr>
            </w:pPr>
          </w:p>
        </w:tc>
      </w:tr>
      <w:tr w:rsidR="00A52778" w:rsidRPr="00460F9E" w14:paraId="296B85D9" w14:textId="77777777" w:rsidTr="00FC3F8E">
        <w:trPr>
          <w:trHeight w:val="214"/>
        </w:trPr>
        <w:tc>
          <w:tcPr>
            <w:tcW w:w="1840" w:type="dxa"/>
            <w:tcBorders>
              <w:left w:val="single" w:sz="8" w:space="0" w:color="auto"/>
              <w:right w:val="single" w:sz="8" w:space="0" w:color="auto"/>
            </w:tcBorders>
            <w:shd w:val="clear" w:color="auto" w:fill="auto"/>
            <w:vAlign w:val="bottom"/>
          </w:tcPr>
          <w:p w14:paraId="22461D5B" w14:textId="77777777" w:rsidR="00A52778" w:rsidRPr="00460F9E" w:rsidRDefault="00A52778" w:rsidP="00FC3F8E">
            <w:pPr>
              <w:spacing w:line="0" w:lineRule="atLeast"/>
              <w:rPr>
                <w:rFonts w:eastAsia="Times New Roman" w:cs="Times New Roman"/>
                <w:b/>
                <w:sz w:val="18"/>
              </w:rPr>
            </w:pPr>
          </w:p>
        </w:tc>
        <w:tc>
          <w:tcPr>
            <w:tcW w:w="1640" w:type="dxa"/>
            <w:vMerge w:val="restart"/>
            <w:tcBorders>
              <w:right w:val="single" w:sz="8" w:space="0" w:color="auto"/>
            </w:tcBorders>
            <w:shd w:val="clear" w:color="auto" w:fill="auto"/>
            <w:vAlign w:val="center"/>
          </w:tcPr>
          <w:p w14:paraId="76E0E90C"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w w:val="93"/>
              </w:rPr>
              <w:t xml:space="preserve">Tüm              </w:t>
            </w:r>
            <w:r w:rsidRPr="00460F9E">
              <w:rPr>
                <w:rFonts w:eastAsia="Times New Roman" w:cs="Times New Roman"/>
                <w:w w:val="99"/>
              </w:rPr>
              <w:t>prosesler</w:t>
            </w:r>
            <w:r w:rsidRPr="00460F9E">
              <w:rPr>
                <w:rFonts w:eastAsia="Times New Roman" w:cs="Times New Roman"/>
                <w:w w:val="93"/>
              </w:rPr>
              <w:t xml:space="preserve"> /kaynaklar</w:t>
            </w:r>
          </w:p>
        </w:tc>
        <w:tc>
          <w:tcPr>
            <w:tcW w:w="1240" w:type="dxa"/>
            <w:vMerge w:val="restart"/>
            <w:tcBorders>
              <w:right w:val="single" w:sz="8" w:space="0" w:color="auto"/>
            </w:tcBorders>
            <w:shd w:val="clear" w:color="auto" w:fill="auto"/>
            <w:vAlign w:val="center"/>
          </w:tcPr>
          <w:p w14:paraId="2D596C05"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9"/>
              </w:rPr>
              <w:t>Herhangi bir baca</w:t>
            </w:r>
          </w:p>
        </w:tc>
        <w:tc>
          <w:tcPr>
            <w:tcW w:w="1920" w:type="dxa"/>
            <w:vMerge w:val="restart"/>
            <w:tcBorders>
              <w:right w:val="single" w:sz="8" w:space="0" w:color="auto"/>
            </w:tcBorders>
            <w:shd w:val="clear" w:color="auto" w:fill="auto"/>
            <w:vAlign w:val="center"/>
          </w:tcPr>
          <w:p w14:paraId="5A91BCA1"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 xml:space="preserve">EN standardı </w:t>
            </w:r>
          </w:p>
          <w:p w14:paraId="23FE4AE6"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mevcut değil</w:t>
            </w:r>
          </w:p>
        </w:tc>
        <w:tc>
          <w:tcPr>
            <w:tcW w:w="1260" w:type="dxa"/>
            <w:vMerge w:val="restart"/>
            <w:tcBorders>
              <w:right w:val="single" w:sz="8" w:space="0" w:color="auto"/>
            </w:tcBorders>
            <w:shd w:val="clear" w:color="auto" w:fill="auto"/>
            <w:vAlign w:val="center"/>
          </w:tcPr>
          <w:p w14:paraId="6D8C2E4C"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Her 6 ayda</w:t>
            </w:r>
          </w:p>
          <w:p w14:paraId="35D90429" w14:textId="77777777" w:rsidR="00A52778" w:rsidRPr="00460F9E" w:rsidRDefault="00A52778" w:rsidP="00FC3F8E">
            <w:pPr>
              <w:spacing w:line="232" w:lineRule="exact"/>
              <w:ind w:right="280"/>
              <w:jc w:val="center"/>
              <w:rPr>
                <w:rFonts w:eastAsia="Times New Roman" w:cs="Times New Roman"/>
                <w:b/>
              </w:rPr>
            </w:pPr>
            <w:r w:rsidRPr="00460F9E">
              <w:rPr>
                <w:rFonts w:eastAsia="Times New Roman" w:cs="Times New Roman"/>
              </w:rPr>
              <w:t xml:space="preserve">     1 kere</w:t>
            </w:r>
          </w:p>
          <w:p w14:paraId="618157C2" w14:textId="77777777" w:rsidR="00A52778" w:rsidRPr="00460F9E" w:rsidRDefault="00A52778" w:rsidP="00FC3F8E">
            <w:pPr>
              <w:spacing w:line="236" w:lineRule="exact"/>
              <w:jc w:val="center"/>
              <w:rPr>
                <w:rFonts w:eastAsia="Times New Roman" w:cs="Times New Roman"/>
                <w:b/>
              </w:rPr>
            </w:pPr>
            <w:r w:rsidRPr="00460F9E">
              <w:rPr>
                <w:rFonts w:eastAsia="Times New Roman" w:cs="Times New Roman"/>
                <w:w w:val="92"/>
              </w:rPr>
              <w:t>(</w:t>
            </w:r>
            <w:r w:rsidRPr="00460F9E">
              <w:rPr>
                <w:rFonts w:eastAsia="Times New Roman" w:cs="Times New Roman"/>
                <w:w w:val="92"/>
                <w:sz w:val="25"/>
                <w:vertAlign w:val="superscript"/>
              </w:rPr>
              <w:t>3</w:t>
            </w:r>
            <w:r w:rsidRPr="00460F9E">
              <w:rPr>
                <w:rFonts w:eastAsia="Times New Roman" w:cs="Times New Roman"/>
                <w:w w:val="92"/>
              </w:rPr>
              <w:t>)</w:t>
            </w:r>
          </w:p>
        </w:tc>
        <w:tc>
          <w:tcPr>
            <w:tcW w:w="1380" w:type="dxa"/>
            <w:tcBorders>
              <w:right w:val="single" w:sz="8" w:space="0" w:color="auto"/>
            </w:tcBorders>
            <w:shd w:val="clear" w:color="auto" w:fill="auto"/>
            <w:vAlign w:val="bottom"/>
          </w:tcPr>
          <w:p w14:paraId="3A109687" w14:textId="77777777" w:rsidR="00A52778" w:rsidRPr="00460F9E" w:rsidRDefault="00A52778" w:rsidP="00FC3F8E">
            <w:pPr>
              <w:spacing w:line="0" w:lineRule="atLeast"/>
              <w:rPr>
                <w:rFonts w:eastAsia="Times New Roman" w:cs="Times New Roman"/>
                <w:b/>
                <w:sz w:val="18"/>
              </w:rPr>
            </w:pPr>
          </w:p>
        </w:tc>
      </w:tr>
      <w:tr w:rsidR="00A52778" w:rsidRPr="00460F9E" w14:paraId="106F6F54" w14:textId="77777777" w:rsidTr="00FC3F8E">
        <w:trPr>
          <w:trHeight w:val="346"/>
        </w:trPr>
        <w:tc>
          <w:tcPr>
            <w:tcW w:w="1840" w:type="dxa"/>
            <w:tcBorders>
              <w:left w:val="single" w:sz="8" w:space="0" w:color="auto"/>
              <w:bottom w:val="nil"/>
              <w:right w:val="single" w:sz="8" w:space="0" w:color="auto"/>
            </w:tcBorders>
            <w:shd w:val="clear" w:color="auto" w:fill="auto"/>
            <w:vAlign w:val="bottom"/>
          </w:tcPr>
          <w:p w14:paraId="1CFA9047"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Toluen</w:t>
            </w:r>
          </w:p>
        </w:tc>
        <w:tc>
          <w:tcPr>
            <w:tcW w:w="1640" w:type="dxa"/>
            <w:vMerge/>
            <w:tcBorders>
              <w:bottom w:val="nil"/>
              <w:right w:val="single" w:sz="8" w:space="0" w:color="auto"/>
            </w:tcBorders>
            <w:shd w:val="clear" w:color="auto" w:fill="auto"/>
            <w:vAlign w:val="bottom"/>
          </w:tcPr>
          <w:p w14:paraId="537DC158" w14:textId="77777777" w:rsidR="00A52778" w:rsidRPr="00460F9E" w:rsidRDefault="00A52778" w:rsidP="00FC3F8E">
            <w:pPr>
              <w:spacing w:line="0" w:lineRule="atLeast"/>
              <w:jc w:val="center"/>
              <w:rPr>
                <w:rFonts w:eastAsia="Times New Roman" w:cs="Times New Roman"/>
                <w:b/>
                <w:sz w:val="10"/>
              </w:rPr>
            </w:pPr>
          </w:p>
        </w:tc>
        <w:tc>
          <w:tcPr>
            <w:tcW w:w="1240" w:type="dxa"/>
            <w:vMerge/>
            <w:tcBorders>
              <w:bottom w:val="nil"/>
              <w:right w:val="single" w:sz="8" w:space="0" w:color="auto"/>
            </w:tcBorders>
            <w:shd w:val="clear" w:color="auto" w:fill="auto"/>
            <w:vAlign w:val="center"/>
          </w:tcPr>
          <w:p w14:paraId="1A6F26BC" w14:textId="77777777" w:rsidR="00A52778" w:rsidRPr="00460F9E" w:rsidRDefault="00A52778" w:rsidP="00FC3F8E">
            <w:pPr>
              <w:spacing w:line="0" w:lineRule="atLeast"/>
              <w:jc w:val="center"/>
              <w:rPr>
                <w:rFonts w:eastAsia="Times New Roman" w:cs="Times New Roman"/>
                <w:b/>
                <w:w w:val="99"/>
              </w:rPr>
            </w:pPr>
          </w:p>
        </w:tc>
        <w:tc>
          <w:tcPr>
            <w:tcW w:w="1920" w:type="dxa"/>
            <w:vMerge/>
            <w:tcBorders>
              <w:bottom w:val="nil"/>
              <w:right w:val="single" w:sz="8" w:space="0" w:color="auto"/>
            </w:tcBorders>
            <w:shd w:val="clear" w:color="auto" w:fill="auto"/>
            <w:vAlign w:val="bottom"/>
          </w:tcPr>
          <w:p w14:paraId="352DC500" w14:textId="77777777" w:rsidR="00A52778" w:rsidRPr="00460F9E" w:rsidRDefault="00A52778" w:rsidP="00FC3F8E">
            <w:pPr>
              <w:spacing w:line="0" w:lineRule="atLeast"/>
              <w:jc w:val="center"/>
              <w:rPr>
                <w:rFonts w:eastAsia="Times New Roman" w:cs="Times New Roman"/>
                <w:b/>
                <w:sz w:val="10"/>
              </w:rPr>
            </w:pPr>
          </w:p>
        </w:tc>
        <w:tc>
          <w:tcPr>
            <w:tcW w:w="1260" w:type="dxa"/>
            <w:vMerge/>
            <w:tcBorders>
              <w:right w:val="single" w:sz="8" w:space="0" w:color="auto"/>
            </w:tcBorders>
            <w:shd w:val="clear" w:color="auto" w:fill="auto"/>
            <w:vAlign w:val="bottom"/>
          </w:tcPr>
          <w:p w14:paraId="37EB6E83" w14:textId="77777777" w:rsidR="00A52778" w:rsidRPr="00460F9E" w:rsidRDefault="00A52778" w:rsidP="00FC3F8E">
            <w:pPr>
              <w:spacing w:line="236" w:lineRule="exact"/>
              <w:jc w:val="center"/>
              <w:rPr>
                <w:rFonts w:eastAsia="Times New Roman" w:cs="Times New Roman"/>
                <w:b/>
              </w:rPr>
            </w:pPr>
          </w:p>
        </w:tc>
        <w:tc>
          <w:tcPr>
            <w:tcW w:w="1380" w:type="dxa"/>
            <w:tcBorders>
              <w:bottom w:val="nil"/>
              <w:right w:val="single" w:sz="8" w:space="0" w:color="auto"/>
            </w:tcBorders>
            <w:shd w:val="clear" w:color="auto" w:fill="auto"/>
            <w:vAlign w:val="bottom"/>
          </w:tcPr>
          <w:p w14:paraId="5DFB6570" w14:textId="77777777" w:rsidR="00A52778" w:rsidRPr="00460F9E" w:rsidRDefault="002A1746" w:rsidP="00FC3F8E">
            <w:pPr>
              <w:spacing w:line="0" w:lineRule="atLeast"/>
              <w:jc w:val="center"/>
              <w:rPr>
                <w:rFonts w:eastAsia="Times New Roman" w:cs="Times New Roman"/>
                <w:b/>
              </w:rPr>
            </w:pPr>
            <w:hyperlink w:anchor="page302" w:history="1">
              <w:r w:rsidR="00A52778" w:rsidRPr="00460F9E">
                <w:rPr>
                  <w:rFonts w:eastAsia="Times New Roman" w:cs="Times New Roman"/>
                </w:rPr>
                <w:t>MET 11</w:t>
              </w:r>
            </w:hyperlink>
          </w:p>
        </w:tc>
      </w:tr>
      <w:tr w:rsidR="00A52778" w:rsidRPr="00460F9E" w14:paraId="38104AF4" w14:textId="77777777" w:rsidTr="00FC3F8E">
        <w:trPr>
          <w:trHeight w:val="115"/>
        </w:trPr>
        <w:tc>
          <w:tcPr>
            <w:tcW w:w="1840" w:type="dxa"/>
            <w:tcBorders>
              <w:left w:val="single" w:sz="8" w:space="0" w:color="auto"/>
              <w:right w:val="single" w:sz="8" w:space="0" w:color="auto"/>
            </w:tcBorders>
            <w:shd w:val="clear" w:color="auto" w:fill="auto"/>
            <w:vAlign w:val="bottom"/>
          </w:tcPr>
          <w:p w14:paraId="1E0EA3BD" w14:textId="77777777" w:rsidR="00A52778" w:rsidRPr="00460F9E" w:rsidRDefault="00A52778" w:rsidP="00FC3F8E">
            <w:pPr>
              <w:spacing w:line="0" w:lineRule="atLeast"/>
              <w:rPr>
                <w:rFonts w:eastAsia="Times New Roman" w:cs="Times New Roman"/>
                <w:b/>
                <w:sz w:val="10"/>
              </w:rPr>
            </w:pPr>
          </w:p>
        </w:tc>
        <w:tc>
          <w:tcPr>
            <w:tcW w:w="1640" w:type="dxa"/>
            <w:vMerge/>
            <w:tcBorders>
              <w:right w:val="single" w:sz="8" w:space="0" w:color="auto"/>
            </w:tcBorders>
            <w:shd w:val="clear" w:color="auto" w:fill="auto"/>
            <w:vAlign w:val="bottom"/>
          </w:tcPr>
          <w:p w14:paraId="32AC424F" w14:textId="77777777" w:rsidR="00A52778" w:rsidRPr="00460F9E" w:rsidRDefault="00A52778" w:rsidP="00FC3F8E">
            <w:pPr>
              <w:spacing w:line="0" w:lineRule="atLeast"/>
              <w:rPr>
                <w:rFonts w:eastAsia="Times New Roman" w:cs="Times New Roman"/>
                <w:b/>
                <w:sz w:val="10"/>
              </w:rPr>
            </w:pPr>
          </w:p>
        </w:tc>
        <w:tc>
          <w:tcPr>
            <w:tcW w:w="1240" w:type="dxa"/>
            <w:vMerge/>
            <w:tcBorders>
              <w:right w:val="single" w:sz="8" w:space="0" w:color="auto"/>
            </w:tcBorders>
            <w:shd w:val="clear" w:color="auto" w:fill="auto"/>
            <w:vAlign w:val="center"/>
          </w:tcPr>
          <w:p w14:paraId="15789077" w14:textId="77777777" w:rsidR="00A52778" w:rsidRPr="00460F9E" w:rsidRDefault="00A52778" w:rsidP="00FC3F8E">
            <w:pPr>
              <w:spacing w:line="0" w:lineRule="atLeast"/>
              <w:jc w:val="center"/>
              <w:rPr>
                <w:rFonts w:eastAsia="Times New Roman" w:cs="Times New Roman"/>
                <w:b/>
                <w:sz w:val="10"/>
              </w:rPr>
            </w:pPr>
          </w:p>
        </w:tc>
        <w:tc>
          <w:tcPr>
            <w:tcW w:w="1920" w:type="dxa"/>
            <w:vMerge/>
            <w:tcBorders>
              <w:right w:val="single" w:sz="8" w:space="0" w:color="auto"/>
            </w:tcBorders>
            <w:shd w:val="clear" w:color="auto" w:fill="auto"/>
            <w:vAlign w:val="bottom"/>
          </w:tcPr>
          <w:p w14:paraId="4D4AEECF" w14:textId="77777777" w:rsidR="00A52778" w:rsidRPr="00460F9E" w:rsidRDefault="00A52778" w:rsidP="00FC3F8E">
            <w:pPr>
              <w:spacing w:line="0" w:lineRule="atLeast"/>
              <w:rPr>
                <w:rFonts w:eastAsia="Times New Roman" w:cs="Times New Roman"/>
                <w:b/>
                <w:sz w:val="10"/>
              </w:rPr>
            </w:pPr>
          </w:p>
        </w:tc>
        <w:tc>
          <w:tcPr>
            <w:tcW w:w="1260" w:type="dxa"/>
            <w:vMerge/>
            <w:tcBorders>
              <w:right w:val="single" w:sz="8" w:space="0" w:color="auto"/>
            </w:tcBorders>
            <w:shd w:val="clear" w:color="auto" w:fill="auto"/>
            <w:vAlign w:val="bottom"/>
          </w:tcPr>
          <w:p w14:paraId="4EB86346" w14:textId="77777777" w:rsidR="00A52778" w:rsidRPr="00460F9E" w:rsidRDefault="00A52778" w:rsidP="00FC3F8E">
            <w:pPr>
              <w:spacing w:line="236" w:lineRule="exact"/>
              <w:jc w:val="center"/>
              <w:rPr>
                <w:rFonts w:eastAsia="Times New Roman" w:cs="Times New Roman"/>
                <w:b/>
                <w:w w:val="92"/>
              </w:rPr>
            </w:pPr>
          </w:p>
        </w:tc>
        <w:tc>
          <w:tcPr>
            <w:tcW w:w="1380" w:type="dxa"/>
            <w:tcBorders>
              <w:right w:val="single" w:sz="8" w:space="0" w:color="auto"/>
            </w:tcBorders>
            <w:shd w:val="clear" w:color="auto" w:fill="auto"/>
            <w:vAlign w:val="bottom"/>
          </w:tcPr>
          <w:p w14:paraId="12C559BC" w14:textId="77777777" w:rsidR="00A52778" w:rsidRPr="00460F9E" w:rsidRDefault="00A52778" w:rsidP="00FC3F8E">
            <w:pPr>
              <w:spacing w:line="0" w:lineRule="atLeast"/>
              <w:rPr>
                <w:rFonts w:eastAsia="Times New Roman" w:cs="Times New Roman"/>
                <w:b/>
                <w:sz w:val="10"/>
              </w:rPr>
            </w:pPr>
          </w:p>
        </w:tc>
      </w:tr>
      <w:tr w:rsidR="00A52778" w:rsidRPr="00460F9E" w14:paraId="56AD8CE3" w14:textId="77777777" w:rsidTr="00FC3F8E">
        <w:trPr>
          <w:trHeight w:val="121"/>
        </w:trPr>
        <w:tc>
          <w:tcPr>
            <w:tcW w:w="1840" w:type="dxa"/>
            <w:tcBorders>
              <w:left w:val="single" w:sz="8" w:space="0" w:color="auto"/>
              <w:bottom w:val="single" w:sz="8" w:space="0" w:color="auto"/>
              <w:right w:val="single" w:sz="8" w:space="0" w:color="auto"/>
            </w:tcBorders>
            <w:shd w:val="clear" w:color="auto" w:fill="auto"/>
            <w:vAlign w:val="bottom"/>
          </w:tcPr>
          <w:p w14:paraId="64183B52" w14:textId="77777777" w:rsidR="00A52778" w:rsidRPr="00460F9E" w:rsidRDefault="00A52778" w:rsidP="00FC3F8E">
            <w:pPr>
              <w:spacing w:line="0" w:lineRule="atLeast"/>
              <w:rPr>
                <w:rFonts w:eastAsia="Times New Roman" w:cs="Times New Roman"/>
                <w:b/>
                <w:sz w:val="10"/>
              </w:rPr>
            </w:pPr>
          </w:p>
        </w:tc>
        <w:tc>
          <w:tcPr>
            <w:tcW w:w="1640" w:type="dxa"/>
            <w:vMerge/>
            <w:tcBorders>
              <w:bottom w:val="single" w:sz="8" w:space="0" w:color="auto"/>
              <w:right w:val="single" w:sz="8" w:space="0" w:color="auto"/>
            </w:tcBorders>
            <w:shd w:val="clear" w:color="auto" w:fill="auto"/>
            <w:vAlign w:val="bottom"/>
          </w:tcPr>
          <w:p w14:paraId="10A899F9" w14:textId="77777777" w:rsidR="00A52778" w:rsidRPr="00460F9E" w:rsidRDefault="00A52778" w:rsidP="00FC3F8E">
            <w:pPr>
              <w:spacing w:line="0" w:lineRule="atLeast"/>
              <w:rPr>
                <w:rFonts w:eastAsia="Times New Roman" w:cs="Times New Roman"/>
                <w:b/>
                <w:sz w:val="10"/>
              </w:rPr>
            </w:pPr>
          </w:p>
        </w:tc>
        <w:tc>
          <w:tcPr>
            <w:tcW w:w="1240" w:type="dxa"/>
            <w:vMerge/>
            <w:tcBorders>
              <w:bottom w:val="single" w:sz="8" w:space="0" w:color="auto"/>
              <w:right w:val="single" w:sz="8" w:space="0" w:color="auto"/>
            </w:tcBorders>
            <w:shd w:val="clear" w:color="auto" w:fill="auto"/>
            <w:vAlign w:val="center"/>
          </w:tcPr>
          <w:p w14:paraId="2F27AF7D" w14:textId="77777777" w:rsidR="00A52778" w:rsidRPr="00460F9E" w:rsidRDefault="00A52778" w:rsidP="00FC3F8E">
            <w:pPr>
              <w:spacing w:line="0" w:lineRule="atLeast"/>
              <w:jc w:val="center"/>
              <w:rPr>
                <w:rFonts w:eastAsia="Times New Roman" w:cs="Times New Roman"/>
                <w:b/>
                <w:sz w:val="10"/>
              </w:rPr>
            </w:pPr>
          </w:p>
        </w:tc>
        <w:tc>
          <w:tcPr>
            <w:tcW w:w="1920" w:type="dxa"/>
            <w:vMerge/>
            <w:tcBorders>
              <w:bottom w:val="single" w:sz="8" w:space="0" w:color="auto"/>
              <w:right w:val="single" w:sz="8" w:space="0" w:color="auto"/>
            </w:tcBorders>
            <w:shd w:val="clear" w:color="auto" w:fill="auto"/>
            <w:vAlign w:val="bottom"/>
          </w:tcPr>
          <w:p w14:paraId="20841392" w14:textId="77777777" w:rsidR="00A52778" w:rsidRPr="00460F9E" w:rsidRDefault="00A52778" w:rsidP="00FC3F8E">
            <w:pPr>
              <w:spacing w:line="0" w:lineRule="atLeast"/>
              <w:rPr>
                <w:rFonts w:eastAsia="Times New Roman" w:cs="Times New Roman"/>
                <w:b/>
                <w:sz w:val="10"/>
              </w:rPr>
            </w:pPr>
          </w:p>
        </w:tc>
        <w:tc>
          <w:tcPr>
            <w:tcW w:w="1260" w:type="dxa"/>
            <w:vMerge/>
            <w:tcBorders>
              <w:bottom w:val="single" w:sz="8" w:space="0" w:color="auto"/>
              <w:right w:val="single" w:sz="8" w:space="0" w:color="auto"/>
            </w:tcBorders>
            <w:shd w:val="clear" w:color="auto" w:fill="auto"/>
            <w:vAlign w:val="bottom"/>
          </w:tcPr>
          <w:p w14:paraId="05EF949F" w14:textId="77777777" w:rsidR="00A52778" w:rsidRPr="00460F9E" w:rsidRDefault="00A52778" w:rsidP="00FC3F8E">
            <w:pPr>
              <w:spacing w:line="0" w:lineRule="atLeast"/>
              <w:rPr>
                <w:rFonts w:eastAsia="Times New Roman" w:cs="Times New Roman"/>
                <w:b/>
                <w:sz w:val="10"/>
              </w:rPr>
            </w:pPr>
          </w:p>
        </w:tc>
        <w:tc>
          <w:tcPr>
            <w:tcW w:w="1380" w:type="dxa"/>
            <w:tcBorders>
              <w:bottom w:val="single" w:sz="8" w:space="0" w:color="auto"/>
              <w:right w:val="single" w:sz="8" w:space="0" w:color="auto"/>
            </w:tcBorders>
            <w:shd w:val="clear" w:color="auto" w:fill="auto"/>
            <w:vAlign w:val="bottom"/>
          </w:tcPr>
          <w:p w14:paraId="53253D4D" w14:textId="77777777" w:rsidR="00A52778" w:rsidRPr="00460F9E" w:rsidRDefault="00A52778" w:rsidP="00FC3F8E">
            <w:pPr>
              <w:spacing w:line="0" w:lineRule="atLeast"/>
              <w:rPr>
                <w:rFonts w:eastAsia="Times New Roman" w:cs="Times New Roman"/>
                <w:b/>
                <w:sz w:val="10"/>
              </w:rPr>
            </w:pPr>
          </w:p>
        </w:tc>
      </w:tr>
      <w:tr w:rsidR="00A52778" w:rsidRPr="00460F9E" w14:paraId="192ED528" w14:textId="77777777" w:rsidTr="00FC3F8E">
        <w:trPr>
          <w:trHeight w:val="214"/>
        </w:trPr>
        <w:tc>
          <w:tcPr>
            <w:tcW w:w="1840" w:type="dxa"/>
            <w:tcBorders>
              <w:left w:val="single" w:sz="8" w:space="0" w:color="auto"/>
              <w:right w:val="single" w:sz="8" w:space="0" w:color="auto"/>
            </w:tcBorders>
            <w:shd w:val="clear" w:color="auto" w:fill="auto"/>
            <w:vAlign w:val="bottom"/>
          </w:tcPr>
          <w:p w14:paraId="5B02B91B" w14:textId="77777777" w:rsidR="00A52778" w:rsidRPr="00460F9E" w:rsidRDefault="00A52778" w:rsidP="00FC3F8E">
            <w:pPr>
              <w:spacing w:line="0" w:lineRule="atLeast"/>
              <w:rPr>
                <w:rFonts w:eastAsia="Times New Roman" w:cs="Times New Roman"/>
                <w:b/>
                <w:sz w:val="18"/>
              </w:rPr>
            </w:pPr>
          </w:p>
        </w:tc>
        <w:tc>
          <w:tcPr>
            <w:tcW w:w="1640" w:type="dxa"/>
            <w:vMerge w:val="restart"/>
            <w:tcBorders>
              <w:right w:val="single" w:sz="8" w:space="0" w:color="auto"/>
            </w:tcBorders>
            <w:shd w:val="clear" w:color="auto" w:fill="auto"/>
            <w:vAlign w:val="center"/>
          </w:tcPr>
          <w:p w14:paraId="12841615"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w w:val="93"/>
              </w:rPr>
              <w:t xml:space="preserve">Tüm              </w:t>
            </w:r>
            <w:r w:rsidRPr="00460F9E">
              <w:rPr>
                <w:rFonts w:eastAsia="Times New Roman" w:cs="Times New Roman"/>
                <w:w w:val="99"/>
              </w:rPr>
              <w:t>prosesler</w:t>
            </w:r>
            <w:r w:rsidRPr="00460F9E">
              <w:rPr>
                <w:rFonts w:eastAsia="Times New Roman" w:cs="Times New Roman"/>
                <w:w w:val="93"/>
              </w:rPr>
              <w:t xml:space="preserve"> /kaynaklar</w:t>
            </w:r>
          </w:p>
        </w:tc>
        <w:tc>
          <w:tcPr>
            <w:tcW w:w="1240" w:type="dxa"/>
            <w:vMerge w:val="restart"/>
            <w:tcBorders>
              <w:right w:val="single" w:sz="8" w:space="0" w:color="auto"/>
            </w:tcBorders>
            <w:shd w:val="clear" w:color="auto" w:fill="auto"/>
            <w:vAlign w:val="center"/>
          </w:tcPr>
          <w:p w14:paraId="704FCBDD" w14:textId="77777777" w:rsidR="00A52778" w:rsidRPr="00460F9E" w:rsidRDefault="00A52778" w:rsidP="00FC3F8E">
            <w:pPr>
              <w:spacing w:line="228" w:lineRule="exact"/>
              <w:jc w:val="center"/>
              <w:rPr>
                <w:rFonts w:eastAsia="Times New Roman" w:cs="Times New Roman"/>
                <w:b/>
                <w:sz w:val="18"/>
              </w:rPr>
            </w:pPr>
            <w:r w:rsidRPr="00460F9E">
              <w:rPr>
                <w:rFonts w:eastAsia="Times New Roman" w:cs="Times New Roman"/>
                <w:w w:val="99"/>
              </w:rPr>
              <w:t>Herhangi bir baca</w:t>
            </w:r>
          </w:p>
        </w:tc>
        <w:tc>
          <w:tcPr>
            <w:tcW w:w="1920" w:type="dxa"/>
            <w:vMerge w:val="restart"/>
            <w:tcBorders>
              <w:right w:val="single" w:sz="8" w:space="0" w:color="auto"/>
            </w:tcBorders>
            <w:shd w:val="clear" w:color="auto" w:fill="auto"/>
            <w:vAlign w:val="center"/>
          </w:tcPr>
          <w:p w14:paraId="404CCBE1"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 xml:space="preserve">EN standardı </w:t>
            </w:r>
          </w:p>
          <w:p w14:paraId="5D365479"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mevcut değil</w:t>
            </w:r>
          </w:p>
        </w:tc>
        <w:tc>
          <w:tcPr>
            <w:tcW w:w="1260" w:type="dxa"/>
            <w:vMerge w:val="restart"/>
            <w:tcBorders>
              <w:right w:val="single" w:sz="8" w:space="0" w:color="auto"/>
            </w:tcBorders>
            <w:shd w:val="clear" w:color="auto" w:fill="auto"/>
            <w:vAlign w:val="center"/>
          </w:tcPr>
          <w:p w14:paraId="085388B7"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Her 6 ayda</w:t>
            </w:r>
          </w:p>
          <w:p w14:paraId="07B09765" w14:textId="77777777" w:rsidR="00A52778" w:rsidRPr="00460F9E" w:rsidRDefault="00A52778" w:rsidP="00FC3F8E">
            <w:pPr>
              <w:spacing w:line="232" w:lineRule="exact"/>
              <w:ind w:right="280"/>
              <w:jc w:val="center"/>
              <w:rPr>
                <w:rFonts w:eastAsia="Times New Roman" w:cs="Times New Roman"/>
                <w:b/>
              </w:rPr>
            </w:pPr>
            <w:r w:rsidRPr="00460F9E">
              <w:rPr>
                <w:rFonts w:eastAsia="Times New Roman" w:cs="Times New Roman"/>
              </w:rPr>
              <w:t xml:space="preserve">     1 kere</w:t>
            </w:r>
          </w:p>
          <w:p w14:paraId="1CACB909" w14:textId="77777777" w:rsidR="00A52778" w:rsidRPr="00460F9E" w:rsidRDefault="00A52778" w:rsidP="00FC3F8E">
            <w:pPr>
              <w:spacing w:line="236" w:lineRule="exact"/>
              <w:jc w:val="center"/>
              <w:rPr>
                <w:rFonts w:eastAsia="Times New Roman" w:cs="Times New Roman"/>
                <w:b/>
              </w:rPr>
            </w:pPr>
            <w:r w:rsidRPr="00460F9E">
              <w:rPr>
                <w:rFonts w:eastAsia="Times New Roman" w:cs="Times New Roman"/>
                <w:w w:val="92"/>
              </w:rPr>
              <w:t>(</w:t>
            </w:r>
            <w:r w:rsidRPr="00460F9E">
              <w:rPr>
                <w:rFonts w:eastAsia="Times New Roman" w:cs="Times New Roman"/>
                <w:w w:val="92"/>
                <w:sz w:val="25"/>
                <w:vertAlign w:val="superscript"/>
              </w:rPr>
              <w:t>3</w:t>
            </w:r>
            <w:r w:rsidRPr="00460F9E">
              <w:rPr>
                <w:rFonts w:eastAsia="Times New Roman" w:cs="Times New Roman"/>
                <w:w w:val="92"/>
              </w:rPr>
              <w:t>)</w:t>
            </w:r>
          </w:p>
        </w:tc>
        <w:tc>
          <w:tcPr>
            <w:tcW w:w="1380" w:type="dxa"/>
            <w:tcBorders>
              <w:right w:val="single" w:sz="8" w:space="0" w:color="auto"/>
            </w:tcBorders>
            <w:shd w:val="clear" w:color="auto" w:fill="auto"/>
            <w:vAlign w:val="bottom"/>
          </w:tcPr>
          <w:p w14:paraId="294362B7" w14:textId="77777777" w:rsidR="00A52778" w:rsidRPr="00460F9E" w:rsidRDefault="00A52778" w:rsidP="00FC3F8E">
            <w:pPr>
              <w:spacing w:line="0" w:lineRule="atLeast"/>
              <w:rPr>
                <w:rFonts w:eastAsia="Times New Roman" w:cs="Times New Roman"/>
                <w:b/>
                <w:sz w:val="18"/>
              </w:rPr>
            </w:pPr>
          </w:p>
        </w:tc>
      </w:tr>
      <w:tr w:rsidR="00A52778" w:rsidRPr="00460F9E" w14:paraId="002E8CCC" w14:textId="77777777" w:rsidTr="00FC3F8E">
        <w:trPr>
          <w:trHeight w:val="343"/>
        </w:trPr>
        <w:tc>
          <w:tcPr>
            <w:tcW w:w="1840" w:type="dxa"/>
            <w:tcBorders>
              <w:left w:val="single" w:sz="8" w:space="0" w:color="auto"/>
              <w:bottom w:val="nil"/>
              <w:right w:val="single" w:sz="8" w:space="0" w:color="auto"/>
            </w:tcBorders>
            <w:shd w:val="clear" w:color="auto" w:fill="auto"/>
            <w:vAlign w:val="bottom"/>
          </w:tcPr>
          <w:p w14:paraId="34B42EBB" w14:textId="77777777" w:rsidR="00A52778" w:rsidRPr="00460F9E" w:rsidRDefault="00A52778" w:rsidP="00FC3F8E">
            <w:pPr>
              <w:spacing w:line="228" w:lineRule="exact"/>
              <w:jc w:val="center"/>
              <w:rPr>
                <w:rFonts w:eastAsia="Times New Roman" w:cs="Times New Roman"/>
                <w:b/>
                <w:w w:val="99"/>
              </w:rPr>
            </w:pPr>
            <w:r w:rsidRPr="00460F9E">
              <w:rPr>
                <w:rFonts w:eastAsia="Times New Roman" w:cs="Times New Roman"/>
                <w:w w:val="99"/>
              </w:rPr>
              <w:t>Triklorometan</w:t>
            </w:r>
          </w:p>
        </w:tc>
        <w:tc>
          <w:tcPr>
            <w:tcW w:w="1640" w:type="dxa"/>
            <w:vMerge/>
            <w:tcBorders>
              <w:bottom w:val="nil"/>
              <w:right w:val="single" w:sz="8" w:space="0" w:color="auto"/>
            </w:tcBorders>
            <w:shd w:val="clear" w:color="auto" w:fill="auto"/>
            <w:vAlign w:val="bottom"/>
          </w:tcPr>
          <w:p w14:paraId="7F71958B" w14:textId="77777777" w:rsidR="00A52778" w:rsidRPr="00460F9E" w:rsidRDefault="00A52778" w:rsidP="00FC3F8E">
            <w:pPr>
              <w:spacing w:line="0" w:lineRule="atLeast"/>
              <w:jc w:val="center"/>
              <w:rPr>
                <w:rFonts w:eastAsia="Times New Roman" w:cs="Times New Roman"/>
                <w:b/>
                <w:sz w:val="9"/>
              </w:rPr>
            </w:pPr>
          </w:p>
        </w:tc>
        <w:tc>
          <w:tcPr>
            <w:tcW w:w="1240" w:type="dxa"/>
            <w:vMerge/>
            <w:tcBorders>
              <w:bottom w:val="nil"/>
              <w:right w:val="single" w:sz="8" w:space="0" w:color="auto"/>
            </w:tcBorders>
            <w:shd w:val="clear" w:color="auto" w:fill="auto"/>
            <w:vAlign w:val="bottom"/>
          </w:tcPr>
          <w:p w14:paraId="4382FEFD" w14:textId="77777777" w:rsidR="00A52778" w:rsidRPr="00460F9E" w:rsidRDefault="00A52778" w:rsidP="00FC3F8E">
            <w:pPr>
              <w:spacing w:line="228" w:lineRule="exact"/>
              <w:jc w:val="center"/>
              <w:rPr>
                <w:rFonts w:eastAsia="Times New Roman" w:cs="Times New Roman"/>
                <w:b/>
                <w:w w:val="99"/>
              </w:rPr>
            </w:pPr>
          </w:p>
        </w:tc>
        <w:tc>
          <w:tcPr>
            <w:tcW w:w="1920" w:type="dxa"/>
            <w:vMerge/>
            <w:tcBorders>
              <w:bottom w:val="nil"/>
              <w:right w:val="single" w:sz="8" w:space="0" w:color="auto"/>
            </w:tcBorders>
            <w:shd w:val="clear" w:color="auto" w:fill="auto"/>
            <w:vAlign w:val="bottom"/>
          </w:tcPr>
          <w:p w14:paraId="137D15BE" w14:textId="77777777" w:rsidR="00A52778" w:rsidRPr="00460F9E" w:rsidRDefault="00A52778" w:rsidP="00FC3F8E">
            <w:pPr>
              <w:spacing w:line="0" w:lineRule="atLeast"/>
              <w:jc w:val="center"/>
              <w:rPr>
                <w:rFonts w:eastAsia="Times New Roman" w:cs="Times New Roman"/>
                <w:b/>
                <w:sz w:val="9"/>
              </w:rPr>
            </w:pPr>
          </w:p>
        </w:tc>
        <w:tc>
          <w:tcPr>
            <w:tcW w:w="1260" w:type="dxa"/>
            <w:vMerge/>
            <w:tcBorders>
              <w:right w:val="single" w:sz="8" w:space="0" w:color="auto"/>
            </w:tcBorders>
            <w:shd w:val="clear" w:color="auto" w:fill="auto"/>
            <w:vAlign w:val="center"/>
          </w:tcPr>
          <w:p w14:paraId="40B7C7BB" w14:textId="77777777" w:rsidR="00A52778" w:rsidRPr="00460F9E" w:rsidRDefault="00A52778" w:rsidP="00FC3F8E">
            <w:pPr>
              <w:spacing w:line="236" w:lineRule="exact"/>
              <w:jc w:val="center"/>
              <w:rPr>
                <w:rFonts w:eastAsia="Times New Roman" w:cs="Times New Roman"/>
                <w:b/>
              </w:rPr>
            </w:pPr>
          </w:p>
        </w:tc>
        <w:tc>
          <w:tcPr>
            <w:tcW w:w="1380" w:type="dxa"/>
            <w:tcBorders>
              <w:bottom w:val="nil"/>
              <w:right w:val="single" w:sz="8" w:space="0" w:color="auto"/>
            </w:tcBorders>
            <w:shd w:val="clear" w:color="auto" w:fill="auto"/>
            <w:vAlign w:val="bottom"/>
          </w:tcPr>
          <w:p w14:paraId="65762321" w14:textId="77777777" w:rsidR="00A52778" w:rsidRPr="00460F9E" w:rsidRDefault="002A1746" w:rsidP="00FC3F8E">
            <w:pPr>
              <w:spacing w:line="228" w:lineRule="exact"/>
              <w:jc w:val="center"/>
              <w:rPr>
                <w:rFonts w:eastAsia="Times New Roman" w:cs="Times New Roman"/>
                <w:b/>
              </w:rPr>
            </w:pPr>
            <w:hyperlink w:anchor="page302" w:history="1">
              <w:r w:rsidR="00A52778" w:rsidRPr="00460F9E">
                <w:rPr>
                  <w:rFonts w:eastAsia="Times New Roman" w:cs="Times New Roman"/>
                </w:rPr>
                <w:t>MET 11</w:t>
              </w:r>
            </w:hyperlink>
          </w:p>
        </w:tc>
      </w:tr>
      <w:tr w:rsidR="00A52778" w:rsidRPr="00460F9E" w14:paraId="6D11909F" w14:textId="77777777" w:rsidTr="00FC3F8E">
        <w:trPr>
          <w:trHeight w:val="115"/>
        </w:trPr>
        <w:tc>
          <w:tcPr>
            <w:tcW w:w="1840" w:type="dxa"/>
            <w:tcBorders>
              <w:left w:val="single" w:sz="8" w:space="0" w:color="auto"/>
              <w:right w:val="single" w:sz="8" w:space="0" w:color="auto"/>
            </w:tcBorders>
            <w:shd w:val="clear" w:color="auto" w:fill="auto"/>
            <w:vAlign w:val="bottom"/>
          </w:tcPr>
          <w:p w14:paraId="14DC1F7D" w14:textId="77777777" w:rsidR="00A52778" w:rsidRPr="00460F9E" w:rsidRDefault="00A52778" w:rsidP="00FC3F8E">
            <w:pPr>
              <w:spacing w:line="0" w:lineRule="atLeast"/>
              <w:rPr>
                <w:rFonts w:eastAsia="Times New Roman" w:cs="Times New Roman"/>
                <w:b/>
                <w:sz w:val="10"/>
              </w:rPr>
            </w:pPr>
          </w:p>
        </w:tc>
        <w:tc>
          <w:tcPr>
            <w:tcW w:w="1640" w:type="dxa"/>
            <w:vMerge/>
            <w:tcBorders>
              <w:right w:val="single" w:sz="8" w:space="0" w:color="auto"/>
            </w:tcBorders>
            <w:shd w:val="clear" w:color="auto" w:fill="auto"/>
            <w:vAlign w:val="bottom"/>
          </w:tcPr>
          <w:p w14:paraId="5BB0CCC9" w14:textId="77777777" w:rsidR="00A52778" w:rsidRPr="00460F9E" w:rsidRDefault="00A52778" w:rsidP="00FC3F8E">
            <w:pPr>
              <w:spacing w:line="0" w:lineRule="atLeast"/>
              <w:rPr>
                <w:rFonts w:eastAsia="Times New Roman" w:cs="Times New Roman"/>
                <w:b/>
                <w:sz w:val="10"/>
              </w:rPr>
            </w:pPr>
          </w:p>
        </w:tc>
        <w:tc>
          <w:tcPr>
            <w:tcW w:w="1240" w:type="dxa"/>
            <w:vMerge/>
            <w:tcBorders>
              <w:right w:val="single" w:sz="8" w:space="0" w:color="auto"/>
            </w:tcBorders>
            <w:shd w:val="clear" w:color="auto" w:fill="auto"/>
            <w:vAlign w:val="bottom"/>
          </w:tcPr>
          <w:p w14:paraId="28AD2314" w14:textId="77777777" w:rsidR="00A52778" w:rsidRPr="00460F9E" w:rsidRDefault="00A52778" w:rsidP="00FC3F8E">
            <w:pPr>
              <w:spacing w:line="0" w:lineRule="atLeast"/>
              <w:rPr>
                <w:rFonts w:eastAsia="Times New Roman" w:cs="Times New Roman"/>
                <w:b/>
                <w:sz w:val="10"/>
              </w:rPr>
            </w:pPr>
          </w:p>
        </w:tc>
        <w:tc>
          <w:tcPr>
            <w:tcW w:w="1920" w:type="dxa"/>
            <w:vMerge/>
            <w:tcBorders>
              <w:right w:val="single" w:sz="8" w:space="0" w:color="auto"/>
            </w:tcBorders>
            <w:shd w:val="clear" w:color="auto" w:fill="auto"/>
            <w:vAlign w:val="bottom"/>
          </w:tcPr>
          <w:p w14:paraId="15277D13" w14:textId="77777777" w:rsidR="00A52778" w:rsidRPr="00460F9E" w:rsidRDefault="00A52778" w:rsidP="00FC3F8E">
            <w:pPr>
              <w:spacing w:line="0" w:lineRule="atLeast"/>
              <w:rPr>
                <w:rFonts w:eastAsia="Times New Roman" w:cs="Times New Roman"/>
                <w:b/>
                <w:sz w:val="10"/>
              </w:rPr>
            </w:pPr>
          </w:p>
        </w:tc>
        <w:tc>
          <w:tcPr>
            <w:tcW w:w="1260" w:type="dxa"/>
            <w:vMerge/>
            <w:tcBorders>
              <w:right w:val="single" w:sz="8" w:space="0" w:color="auto"/>
            </w:tcBorders>
            <w:shd w:val="clear" w:color="auto" w:fill="auto"/>
            <w:vAlign w:val="center"/>
          </w:tcPr>
          <w:p w14:paraId="26F60E55" w14:textId="77777777" w:rsidR="00A52778" w:rsidRPr="00460F9E" w:rsidRDefault="00A52778" w:rsidP="00FC3F8E">
            <w:pPr>
              <w:spacing w:line="236" w:lineRule="exact"/>
              <w:jc w:val="center"/>
              <w:rPr>
                <w:rFonts w:eastAsia="Times New Roman" w:cs="Times New Roman"/>
                <w:b/>
                <w:w w:val="92"/>
              </w:rPr>
            </w:pPr>
          </w:p>
        </w:tc>
        <w:tc>
          <w:tcPr>
            <w:tcW w:w="1380" w:type="dxa"/>
            <w:tcBorders>
              <w:right w:val="single" w:sz="8" w:space="0" w:color="auto"/>
            </w:tcBorders>
            <w:shd w:val="clear" w:color="auto" w:fill="auto"/>
            <w:vAlign w:val="bottom"/>
          </w:tcPr>
          <w:p w14:paraId="489090D8" w14:textId="77777777" w:rsidR="00A52778" w:rsidRPr="00460F9E" w:rsidRDefault="00A52778" w:rsidP="00FC3F8E">
            <w:pPr>
              <w:spacing w:line="0" w:lineRule="atLeast"/>
              <w:rPr>
                <w:rFonts w:eastAsia="Times New Roman" w:cs="Times New Roman"/>
                <w:b/>
                <w:sz w:val="10"/>
              </w:rPr>
            </w:pPr>
          </w:p>
        </w:tc>
      </w:tr>
      <w:tr w:rsidR="00A52778" w:rsidRPr="00460F9E" w14:paraId="5822FA42" w14:textId="77777777" w:rsidTr="00FC3F8E">
        <w:trPr>
          <w:trHeight w:val="121"/>
        </w:trPr>
        <w:tc>
          <w:tcPr>
            <w:tcW w:w="1840" w:type="dxa"/>
            <w:tcBorders>
              <w:left w:val="single" w:sz="8" w:space="0" w:color="auto"/>
              <w:bottom w:val="single" w:sz="8" w:space="0" w:color="auto"/>
              <w:right w:val="single" w:sz="8" w:space="0" w:color="auto"/>
            </w:tcBorders>
            <w:shd w:val="clear" w:color="auto" w:fill="auto"/>
            <w:vAlign w:val="bottom"/>
          </w:tcPr>
          <w:p w14:paraId="55E62204" w14:textId="77777777" w:rsidR="00A52778" w:rsidRPr="00460F9E" w:rsidRDefault="00A52778" w:rsidP="00FC3F8E">
            <w:pPr>
              <w:spacing w:line="0" w:lineRule="atLeast"/>
              <w:rPr>
                <w:rFonts w:eastAsia="Times New Roman" w:cs="Times New Roman"/>
                <w:b/>
                <w:sz w:val="10"/>
              </w:rPr>
            </w:pPr>
          </w:p>
        </w:tc>
        <w:tc>
          <w:tcPr>
            <w:tcW w:w="1640" w:type="dxa"/>
            <w:vMerge/>
            <w:tcBorders>
              <w:bottom w:val="single" w:sz="8" w:space="0" w:color="auto"/>
              <w:right w:val="single" w:sz="8" w:space="0" w:color="auto"/>
            </w:tcBorders>
            <w:shd w:val="clear" w:color="auto" w:fill="auto"/>
            <w:vAlign w:val="bottom"/>
          </w:tcPr>
          <w:p w14:paraId="78B3CFD6" w14:textId="77777777" w:rsidR="00A52778" w:rsidRPr="00460F9E" w:rsidRDefault="00A52778" w:rsidP="00FC3F8E">
            <w:pPr>
              <w:spacing w:line="0" w:lineRule="atLeast"/>
              <w:rPr>
                <w:rFonts w:eastAsia="Times New Roman" w:cs="Times New Roman"/>
                <w:b/>
                <w:sz w:val="10"/>
              </w:rPr>
            </w:pPr>
          </w:p>
        </w:tc>
        <w:tc>
          <w:tcPr>
            <w:tcW w:w="1240" w:type="dxa"/>
            <w:vMerge/>
            <w:tcBorders>
              <w:bottom w:val="single" w:sz="8" w:space="0" w:color="auto"/>
              <w:right w:val="single" w:sz="8" w:space="0" w:color="auto"/>
            </w:tcBorders>
            <w:shd w:val="clear" w:color="auto" w:fill="auto"/>
            <w:vAlign w:val="bottom"/>
          </w:tcPr>
          <w:p w14:paraId="25394386" w14:textId="77777777" w:rsidR="00A52778" w:rsidRPr="00460F9E" w:rsidRDefault="00A52778" w:rsidP="00FC3F8E">
            <w:pPr>
              <w:spacing w:line="0" w:lineRule="atLeast"/>
              <w:rPr>
                <w:rFonts w:eastAsia="Times New Roman" w:cs="Times New Roman"/>
                <w:b/>
                <w:sz w:val="10"/>
              </w:rPr>
            </w:pPr>
          </w:p>
        </w:tc>
        <w:tc>
          <w:tcPr>
            <w:tcW w:w="1920" w:type="dxa"/>
            <w:vMerge/>
            <w:tcBorders>
              <w:bottom w:val="single" w:sz="8" w:space="0" w:color="auto"/>
              <w:right w:val="single" w:sz="8" w:space="0" w:color="auto"/>
            </w:tcBorders>
            <w:shd w:val="clear" w:color="auto" w:fill="auto"/>
            <w:vAlign w:val="bottom"/>
          </w:tcPr>
          <w:p w14:paraId="20E02C0C" w14:textId="77777777" w:rsidR="00A52778" w:rsidRPr="00460F9E" w:rsidRDefault="00A52778" w:rsidP="00FC3F8E">
            <w:pPr>
              <w:spacing w:line="0" w:lineRule="atLeast"/>
              <w:rPr>
                <w:rFonts w:eastAsia="Times New Roman" w:cs="Times New Roman"/>
                <w:b/>
                <w:sz w:val="10"/>
              </w:rPr>
            </w:pPr>
          </w:p>
        </w:tc>
        <w:tc>
          <w:tcPr>
            <w:tcW w:w="1260" w:type="dxa"/>
            <w:vMerge/>
            <w:tcBorders>
              <w:bottom w:val="single" w:sz="8" w:space="0" w:color="auto"/>
              <w:right w:val="single" w:sz="8" w:space="0" w:color="auto"/>
            </w:tcBorders>
            <w:shd w:val="clear" w:color="auto" w:fill="auto"/>
            <w:vAlign w:val="bottom"/>
          </w:tcPr>
          <w:p w14:paraId="53067CF5" w14:textId="77777777" w:rsidR="00A52778" w:rsidRPr="00460F9E" w:rsidRDefault="00A52778" w:rsidP="00FC3F8E">
            <w:pPr>
              <w:spacing w:line="0" w:lineRule="atLeast"/>
              <w:rPr>
                <w:rFonts w:eastAsia="Times New Roman" w:cs="Times New Roman"/>
                <w:b/>
                <w:sz w:val="10"/>
              </w:rPr>
            </w:pPr>
          </w:p>
        </w:tc>
        <w:tc>
          <w:tcPr>
            <w:tcW w:w="1380" w:type="dxa"/>
            <w:tcBorders>
              <w:bottom w:val="single" w:sz="8" w:space="0" w:color="auto"/>
              <w:right w:val="single" w:sz="8" w:space="0" w:color="auto"/>
            </w:tcBorders>
            <w:shd w:val="clear" w:color="auto" w:fill="auto"/>
            <w:vAlign w:val="bottom"/>
          </w:tcPr>
          <w:p w14:paraId="3AF4B07A" w14:textId="77777777" w:rsidR="00A52778" w:rsidRPr="00460F9E" w:rsidRDefault="00A52778" w:rsidP="00FC3F8E">
            <w:pPr>
              <w:spacing w:line="0" w:lineRule="atLeast"/>
              <w:rPr>
                <w:rFonts w:eastAsia="Times New Roman" w:cs="Times New Roman"/>
                <w:b/>
                <w:sz w:val="10"/>
              </w:rPr>
            </w:pPr>
          </w:p>
        </w:tc>
      </w:tr>
      <w:tr w:rsidR="00A52778" w:rsidRPr="00460F9E" w14:paraId="0F10DBFB" w14:textId="77777777" w:rsidTr="00FC3F8E">
        <w:trPr>
          <w:trHeight w:val="1380"/>
        </w:trPr>
        <w:tc>
          <w:tcPr>
            <w:tcW w:w="1840" w:type="dxa"/>
            <w:tcBorders>
              <w:left w:val="single" w:sz="8" w:space="0" w:color="auto"/>
              <w:bottom w:val="single" w:sz="4" w:space="0" w:color="auto"/>
              <w:right w:val="single" w:sz="8" w:space="0" w:color="auto"/>
            </w:tcBorders>
            <w:shd w:val="clear" w:color="auto" w:fill="auto"/>
            <w:vAlign w:val="center"/>
          </w:tcPr>
          <w:p w14:paraId="50E789D2" w14:textId="77777777" w:rsidR="00A52778" w:rsidRPr="00460F9E" w:rsidRDefault="00A52778" w:rsidP="00FC3F8E">
            <w:pPr>
              <w:spacing w:line="226" w:lineRule="exact"/>
              <w:jc w:val="center"/>
              <w:rPr>
                <w:rFonts w:eastAsia="Times New Roman" w:cs="Times New Roman"/>
                <w:b/>
                <w:sz w:val="18"/>
              </w:rPr>
            </w:pPr>
            <w:r w:rsidRPr="00460F9E">
              <w:rPr>
                <w:rFonts w:eastAsia="Times New Roman" w:cs="Times New Roman"/>
                <w:w w:val="98"/>
              </w:rPr>
              <w:t xml:space="preserve">Toplam uçucu    organik karbon               </w:t>
            </w:r>
            <w:r w:rsidRPr="00460F9E">
              <w:rPr>
                <w:rFonts w:eastAsia="Times New Roman" w:cs="Times New Roman"/>
              </w:rPr>
              <w:t>(TVOC)</w:t>
            </w:r>
          </w:p>
        </w:tc>
        <w:tc>
          <w:tcPr>
            <w:tcW w:w="1640" w:type="dxa"/>
            <w:tcBorders>
              <w:bottom w:val="single" w:sz="4" w:space="0" w:color="auto"/>
              <w:right w:val="single" w:sz="8" w:space="0" w:color="auto"/>
            </w:tcBorders>
            <w:shd w:val="clear" w:color="auto" w:fill="auto"/>
            <w:vAlign w:val="center"/>
          </w:tcPr>
          <w:p w14:paraId="5D9F20F1" w14:textId="77777777" w:rsidR="00A52778" w:rsidRPr="00460F9E" w:rsidRDefault="00A52778" w:rsidP="00FC3F8E">
            <w:pPr>
              <w:spacing w:line="226" w:lineRule="exact"/>
              <w:jc w:val="center"/>
              <w:rPr>
                <w:rFonts w:eastAsia="Times New Roman" w:cs="Times New Roman"/>
                <w:b/>
              </w:rPr>
            </w:pPr>
            <w:r w:rsidRPr="00460F9E">
              <w:rPr>
                <w:rFonts w:eastAsia="Times New Roman" w:cs="Times New Roman"/>
              </w:rPr>
              <w:t xml:space="preserve">Poliolefinlerin üretimi </w:t>
            </w:r>
          </w:p>
          <w:p w14:paraId="3CBFADB8" w14:textId="77777777" w:rsidR="00A52778" w:rsidRPr="00460F9E" w:rsidRDefault="00A52778" w:rsidP="00FC3F8E">
            <w:pPr>
              <w:spacing w:line="226" w:lineRule="exact"/>
              <w:jc w:val="center"/>
              <w:rPr>
                <w:rFonts w:eastAsia="Times New Roman" w:cs="Times New Roman"/>
                <w:b/>
                <w:sz w:val="18"/>
              </w:rPr>
            </w:pPr>
            <w:r w:rsidRPr="00460F9E">
              <w:rPr>
                <w:rFonts w:eastAsia="Times New Roman" w:cs="Times New Roman"/>
                <w:sz w:val="26"/>
                <w:vertAlign w:val="subscript"/>
              </w:rPr>
              <w:t>(</w:t>
            </w:r>
            <w:r w:rsidRPr="00460F9E">
              <w:rPr>
                <w:rFonts w:eastAsia="Times New Roman" w:cs="Times New Roman"/>
                <w:sz w:val="10"/>
              </w:rPr>
              <w:t>10</w:t>
            </w:r>
            <w:r w:rsidRPr="00460F9E">
              <w:rPr>
                <w:rFonts w:eastAsia="Times New Roman" w:cs="Times New Roman"/>
                <w:sz w:val="26"/>
                <w:vertAlign w:val="subscript"/>
              </w:rPr>
              <w:t>)</w:t>
            </w:r>
          </w:p>
        </w:tc>
        <w:tc>
          <w:tcPr>
            <w:tcW w:w="1240" w:type="dxa"/>
            <w:tcBorders>
              <w:bottom w:val="single" w:sz="4" w:space="0" w:color="auto"/>
              <w:right w:val="single" w:sz="8" w:space="0" w:color="auto"/>
            </w:tcBorders>
            <w:shd w:val="clear" w:color="auto" w:fill="auto"/>
            <w:vAlign w:val="center"/>
          </w:tcPr>
          <w:p w14:paraId="20784277" w14:textId="77777777" w:rsidR="00A52778" w:rsidRPr="00460F9E" w:rsidRDefault="00A52778" w:rsidP="00FC3F8E">
            <w:pPr>
              <w:spacing w:line="219" w:lineRule="exact"/>
              <w:jc w:val="center"/>
              <w:rPr>
                <w:rFonts w:eastAsia="Times New Roman" w:cs="Times New Roman"/>
                <w:b/>
                <w:w w:val="99"/>
              </w:rPr>
            </w:pPr>
            <w:r w:rsidRPr="00460F9E">
              <w:rPr>
                <w:rFonts w:eastAsia="Times New Roman" w:cs="Times New Roman"/>
                <w:w w:val="99"/>
              </w:rPr>
              <w:t>TVOC kütle akışı 2,5 C/saat olan herhangi bir baca</w:t>
            </w:r>
          </w:p>
        </w:tc>
        <w:tc>
          <w:tcPr>
            <w:tcW w:w="1920" w:type="dxa"/>
            <w:tcBorders>
              <w:bottom w:val="single" w:sz="4" w:space="0" w:color="auto"/>
              <w:right w:val="single" w:sz="8" w:space="0" w:color="auto"/>
            </w:tcBorders>
            <w:shd w:val="clear" w:color="auto" w:fill="auto"/>
            <w:vAlign w:val="center"/>
          </w:tcPr>
          <w:p w14:paraId="409A81CF"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Genel EN</w:t>
            </w:r>
          </w:p>
          <w:p w14:paraId="0272ACFB"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7"/>
              </w:rPr>
              <w:t>standartları (</w:t>
            </w:r>
            <w:r w:rsidRPr="00460F9E">
              <w:rPr>
                <w:rFonts w:eastAsia="Times New Roman" w:cs="Times New Roman"/>
                <w:w w:val="97"/>
                <w:vertAlign w:val="superscript"/>
              </w:rPr>
              <w:t>5</w:t>
            </w:r>
            <w:r w:rsidRPr="00460F9E">
              <w:rPr>
                <w:rFonts w:eastAsia="Times New Roman" w:cs="Times New Roman"/>
                <w:w w:val="97"/>
              </w:rPr>
              <w:t>)</w:t>
            </w:r>
          </w:p>
        </w:tc>
        <w:tc>
          <w:tcPr>
            <w:tcW w:w="1260" w:type="dxa"/>
            <w:tcBorders>
              <w:bottom w:val="single" w:sz="4" w:space="0" w:color="auto"/>
              <w:right w:val="single" w:sz="8" w:space="0" w:color="auto"/>
            </w:tcBorders>
            <w:shd w:val="clear" w:color="auto" w:fill="auto"/>
            <w:vAlign w:val="center"/>
          </w:tcPr>
          <w:p w14:paraId="0462D74E"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9"/>
              </w:rPr>
              <w:t>Sürekli</w:t>
            </w:r>
          </w:p>
        </w:tc>
        <w:tc>
          <w:tcPr>
            <w:tcW w:w="1380" w:type="dxa"/>
            <w:tcBorders>
              <w:bottom w:val="single" w:sz="4" w:space="0" w:color="auto"/>
              <w:right w:val="single" w:sz="8" w:space="0" w:color="auto"/>
            </w:tcBorders>
            <w:shd w:val="clear" w:color="auto" w:fill="auto"/>
            <w:vAlign w:val="center"/>
          </w:tcPr>
          <w:p w14:paraId="5EEA6EB4" w14:textId="77777777" w:rsidR="00A52778" w:rsidRPr="00460F9E" w:rsidRDefault="002A1746" w:rsidP="00FC3F8E">
            <w:pPr>
              <w:spacing w:line="0" w:lineRule="atLeast"/>
              <w:jc w:val="center"/>
              <w:rPr>
                <w:rFonts w:eastAsia="Times New Roman" w:cs="Times New Roman"/>
                <w:b/>
                <w:w w:val="99"/>
              </w:rPr>
            </w:pPr>
            <w:hyperlink w:anchor="page302" w:history="1">
              <w:r w:rsidR="00A52778" w:rsidRPr="00460F9E">
                <w:rPr>
                  <w:rFonts w:eastAsia="Times New Roman" w:cs="Times New Roman"/>
                  <w:w w:val="99"/>
                </w:rPr>
                <w:t>MET 11,</w:t>
              </w:r>
            </w:hyperlink>
          </w:p>
          <w:p w14:paraId="62A5D608" w14:textId="77777777" w:rsidR="00A52778" w:rsidRPr="00460F9E" w:rsidRDefault="002A1746" w:rsidP="00FC3F8E">
            <w:pPr>
              <w:spacing w:line="0" w:lineRule="atLeast"/>
              <w:jc w:val="center"/>
              <w:rPr>
                <w:rFonts w:eastAsia="Times New Roman" w:cs="Times New Roman"/>
                <w:b/>
                <w:sz w:val="18"/>
              </w:rPr>
            </w:pPr>
            <w:hyperlink w:anchor="page321" w:history="1">
              <w:r w:rsidR="00A52778" w:rsidRPr="00460F9E">
                <w:rPr>
                  <w:rFonts w:eastAsia="Times New Roman" w:cs="Times New Roman"/>
                </w:rPr>
                <w:t>MET 25</w:t>
              </w:r>
            </w:hyperlink>
          </w:p>
        </w:tc>
      </w:tr>
    </w:tbl>
    <w:p w14:paraId="14D3F551" w14:textId="77777777" w:rsidR="00A52778" w:rsidRPr="00460F9E" w:rsidRDefault="00A52778" w:rsidP="00A52778">
      <w:pPr>
        <w:tabs>
          <w:tab w:val="left" w:pos="2700"/>
        </w:tabs>
        <w:spacing w:line="0" w:lineRule="atLeast"/>
        <w:rPr>
          <w:rFonts w:eastAsia="Times New Roman" w:cs="Times New Roman"/>
          <w:b/>
          <w:color w:val="0000FF"/>
        </w:rPr>
      </w:pPr>
    </w:p>
    <w:p w14:paraId="2276E2B1" w14:textId="77777777" w:rsidR="00A52778" w:rsidRPr="00460F9E" w:rsidRDefault="00A52778" w:rsidP="00A52778">
      <w:pPr>
        <w:spacing w:line="20" w:lineRule="exact"/>
        <w:rPr>
          <w:rFonts w:eastAsia="Times New Roman" w:cs="Times New Roman"/>
          <w:b/>
        </w:rPr>
      </w:pPr>
    </w:p>
    <w:p w14:paraId="45E377F8" w14:textId="77777777" w:rsidR="00A52778" w:rsidRPr="00460F9E" w:rsidRDefault="00A52778" w:rsidP="00A52778">
      <w:pPr>
        <w:spacing w:line="156" w:lineRule="exact"/>
        <w:rPr>
          <w:rFonts w:eastAsia="Times New Roman" w:cs="Times New Roman"/>
          <w:b/>
        </w:rPr>
      </w:pPr>
    </w:p>
    <w:tbl>
      <w:tblPr>
        <w:tblW w:w="9214" w:type="dxa"/>
        <w:tblInd w:w="-5" w:type="dxa"/>
        <w:tblLayout w:type="fixed"/>
        <w:tblCellMar>
          <w:left w:w="0" w:type="dxa"/>
          <w:right w:w="0" w:type="dxa"/>
        </w:tblCellMar>
        <w:tblLook w:val="0000" w:firstRow="0" w:lastRow="0" w:firstColumn="0" w:lastColumn="0" w:noHBand="0" w:noVBand="0"/>
      </w:tblPr>
      <w:tblGrid>
        <w:gridCol w:w="1843"/>
        <w:gridCol w:w="1701"/>
        <w:gridCol w:w="1134"/>
        <w:gridCol w:w="1985"/>
        <w:gridCol w:w="1275"/>
        <w:gridCol w:w="1276"/>
      </w:tblGrid>
      <w:tr w:rsidR="00A52778" w:rsidRPr="00460F9E" w14:paraId="75C2715F" w14:textId="77777777" w:rsidTr="00FC3F8E">
        <w:trPr>
          <w:trHeight w:val="234"/>
        </w:trPr>
        <w:tc>
          <w:tcPr>
            <w:tcW w:w="1843" w:type="dxa"/>
            <w:tcBorders>
              <w:top w:val="single" w:sz="8" w:space="0" w:color="auto"/>
              <w:left w:val="single" w:sz="4" w:space="0" w:color="auto"/>
              <w:right w:val="single" w:sz="8" w:space="0" w:color="auto"/>
            </w:tcBorders>
            <w:shd w:val="clear" w:color="auto" w:fill="auto"/>
            <w:vAlign w:val="bottom"/>
          </w:tcPr>
          <w:p w14:paraId="427E2C80" w14:textId="77777777" w:rsidR="00A52778" w:rsidRPr="00460F9E" w:rsidRDefault="00A52778" w:rsidP="00FC3F8E">
            <w:pPr>
              <w:spacing w:line="0" w:lineRule="atLeast"/>
              <w:rPr>
                <w:rFonts w:eastAsia="Times New Roman" w:cs="Times New Roman"/>
                <w:b/>
              </w:rPr>
            </w:pPr>
          </w:p>
        </w:tc>
        <w:tc>
          <w:tcPr>
            <w:tcW w:w="1701" w:type="dxa"/>
            <w:tcBorders>
              <w:top w:val="single" w:sz="8" w:space="0" w:color="auto"/>
              <w:right w:val="single" w:sz="8" w:space="0" w:color="auto"/>
            </w:tcBorders>
            <w:shd w:val="clear" w:color="auto" w:fill="auto"/>
            <w:vAlign w:val="bottom"/>
          </w:tcPr>
          <w:p w14:paraId="7D7E084F" w14:textId="77777777" w:rsidR="00A52778" w:rsidRPr="00460F9E" w:rsidRDefault="00A52778" w:rsidP="00FC3F8E">
            <w:pPr>
              <w:spacing w:line="0" w:lineRule="atLeast"/>
              <w:rPr>
                <w:rFonts w:eastAsia="Times New Roman" w:cs="Times New Roman"/>
                <w:b/>
              </w:rPr>
            </w:pPr>
          </w:p>
        </w:tc>
        <w:tc>
          <w:tcPr>
            <w:tcW w:w="1134" w:type="dxa"/>
            <w:vMerge w:val="restart"/>
            <w:tcBorders>
              <w:top w:val="single" w:sz="8" w:space="0" w:color="auto"/>
              <w:right w:val="single" w:sz="8" w:space="0" w:color="auto"/>
            </w:tcBorders>
            <w:shd w:val="clear" w:color="auto" w:fill="auto"/>
            <w:vAlign w:val="center"/>
          </w:tcPr>
          <w:p w14:paraId="6711A86C" w14:textId="77777777" w:rsidR="00A52778" w:rsidRPr="00460F9E" w:rsidRDefault="00A52778" w:rsidP="00FC3F8E">
            <w:pPr>
              <w:spacing w:line="219" w:lineRule="exact"/>
              <w:jc w:val="center"/>
              <w:rPr>
                <w:rFonts w:eastAsia="Times New Roman" w:cs="Times New Roman"/>
                <w:b/>
                <w:w w:val="99"/>
              </w:rPr>
            </w:pPr>
            <w:r w:rsidRPr="00460F9E">
              <w:rPr>
                <w:rFonts w:eastAsia="Times New Roman" w:cs="Times New Roman"/>
                <w:w w:val="99"/>
              </w:rPr>
              <w:t>TVOC kütle akışı &lt; 2,5 C/saat olan herhangi bir baca</w:t>
            </w:r>
          </w:p>
        </w:tc>
        <w:tc>
          <w:tcPr>
            <w:tcW w:w="1985" w:type="dxa"/>
            <w:vMerge w:val="restart"/>
            <w:tcBorders>
              <w:top w:val="single" w:sz="8" w:space="0" w:color="auto"/>
              <w:right w:val="single" w:sz="8" w:space="0" w:color="auto"/>
            </w:tcBorders>
            <w:shd w:val="clear" w:color="auto" w:fill="auto"/>
            <w:vAlign w:val="center"/>
          </w:tcPr>
          <w:p w14:paraId="2B771C77"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EN 12619</w:t>
            </w:r>
          </w:p>
        </w:tc>
        <w:tc>
          <w:tcPr>
            <w:tcW w:w="1275" w:type="dxa"/>
            <w:vMerge w:val="restart"/>
            <w:tcBorders>
              <w:top w:val="single" w:sz="8" w:space="0" w:color="auto"/>
              <w:right w:val="single" w:sz="8" w:space="0" w:color="auto"/>
            </w:tcBorders>
            <w:shd w:val="clear" w:color="auto" w:fill="auto"/>
            <w:vAlign w:val="center"/>
          </w:tcPr>
          <w:p w14:paraId="138BC3EB"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Her 6 ayda</w:t>
            </w:r>
          </w:p>
          <w:p w14:paraId="73E7DB2B" w14:textId="77777777" w:rsidR="00A52778" w:rsidRPr="00460F9E" w:rsidRDefault="00A52778" w:rsidP="00FC3F8E">
            <w:pPr>
              <w:spacing w:line="232" w:lineRule="exact"/>
              <w:ind w:right="280"/>
              <w:jc w:val="center"/>
              <w:rPr>
                <w:rFonts w:eastAsia="Times New Roman" w:cs="Times New Roman"/>
                <w:b/>
              </w:rPr>
            </w:pPr>
            <w:r w:rsidRPr="00460F9E">
              <w:rPr>
                <w:rFonts w:eastAsia="Times New Roman" w:cs="Times New Roman"/>
              </w:rPr>
              <w:t xml:space="preserve">     1 kere</w:t>
            </w:r>
          </w:p>
          <w:p w14:paraId="20D007CB" w14:textId="77777777" w:rsidR="00A52778" w:rsidRPr="00460F9E" w:rsidRDefault="00A52778" w:rsidP="00FC3F8E">
            <w:pPr>
              <w:spacing w:line="241" w:lineRule="exact"/>
              <w:jc w:val="center"/>
              <w:rPr>
                <w:rFonts w:eastAsia="Times New Roman" w:cs="Times New Roman"/>
                <w:b/>
              </w:rPr>
            </w:pPr>
            <w:r w:rsidRPr="00460F9E">
              <w:rPr>
                <w:rFonts w:eastAsia="Times New Roman" w:cs="Times New Roman"/>
                <w:w w:val="95"/>
              </w:rPr>
              <w:t>(</w:t>
            </w:r>
            <w:r w:rsidRPr="00460F9E">
              <w:rPr>
                <w:rFonts w:eastAsia="Times New Roman" w:cs="Times New Roman"/>
                <w:w w:val="95"/>
                <w:sz w:val="25"/>
                <w:vertAlign w:val="superscript"/>
              </w:rPr>
              <w:t>3</w:t>
            </w:r>
            <w:r w:rsidRPr="00460F9E">
              <w:rPr>
                <w:rFonts w:eastAsia="Times New Roman" w:cs="Times New Roman"/>
                <w:w w:val="95"/>
              </w:rPr>
              <w:t>) (</w:t>
            </w:r>
            <w:r w:rsidRPr="00460F9E">
              <w:rPr>
                <w:rFonts w:eastAsia="Times New Roman" w:cs="Times New Roman"/>
                <w:w w:val="95"/>
                <w:sz w:val="25"/>
                <w:vertAlign w:val="superscript"/>
              </w:rPr>
              <w:t>4</w:t>
            </w:r>
            <w:r w:rsidRPr="00460F9E">
              <w:rPr>
                <w:rFonts w:eastAsia="Times New Roman" w:cs="Times New Roman"/>
                <w:w w:val="95"/>
              </w:rPr>
              <w:t>)</w:t>
            </w:r>
          </w:p>
        </w:tc>
        <w:tc>
          <w:tcPr>
            <w:tcW w:w="1276" w:type="dxa"/>
            <w:tcBorders>
              <w:top w:val="single" w:sz="8" w:space="0" w:color="auto"/>
              <w:right w:val="single" w:sz="4" w:space="0" w:color="auto"/>
            </w:tcBorders>
            <w:shd w:val="clear" w:color="auto" w:fill="auto"/>
            <w:vAlign w:val="bottom"/>
          </w:tcPr>
          <w:p w14:paraId="67C7C44B" w14:textId="77777777" w:rsidR="00A52778" w:rsidRPr="00460F9E" w:rsidRDefault="00A52778" w:rsidP="00FC3F8E">
            <w:pPr>
              <w:spacing w:line="0" w:lineRule="atLeast"/>
              <w:rPr>
                <w:rFonts w:eastAsia="Times New Roman" w:cs="Times New Roman"/>
                <w:b/>
              </w:rPr>
            </w:pPr>
          </w:p>
        </w:tc>
      </w:tr>
      <w:tr w:rsidR="00A52778" w:rsidRPr="00460F9E" w14:paraId="1402F8B7" w14:textId="77777777" w:rsidTr="00FC3F8E">
        <w:trPr>
          <w:trHeight w:val="230"/>
        </w:trPr>
        <w:tc>
          <w:tcPr>
            <w:tcW w:w="1843" w:type="dxa"/>
            <w:tcBorders>
              <w:left w:val="single" w:sz="4" w:space="0" w:color="auto"/>
              <w:right w:val="single" w:sz="8" w:space="0" w:color="auto"/>
            </w:tcBorders>
            <w:shd w:val="clear" w:color="auto" w:fill="auto"/>
            <w:vAlign w:val="bottom"/>
          </w:tcPr>
          <w:p w14:paraId="3F843A94" w14:textId="77777777" w:rsidR="00A52778" w:rsidRPr="00460F9E" w:rsidRDefault="00A52778" w:rsidP="00FC3F8E">
            <w:pPr>
              <w:spacing w:line="0" w:lineRule="atLeast"/>
              <w:rPr>
                <w:rFonts w:eastAsia="Times New Roman" w:cs="Times New Roman"/>
                <w:b/>
              </w:rPr>
            </w:pPr>
          </w:p>
        </w:tc>
        <w:tc>
          <w:tcPr>
            <w:tcW w:w="1701" w:type="dxa"/>
            <w:tcBorders>
              <w:right w:val="single" w:sz="8" w:space="0" w:color="auto"/>
            </w:tcBorders>
            <w:shd w:val="clear" w:color="auto" w:fill="auto"/>
            <w:vAlign w:val="bottom"/>
          </w:tcPr>
          <w:p w14:paraId="4EC81D5A" w14:textId="77777777" w:rsidR="00A52778" w:rsidRPr="00460F9E" w:rsidRDefault="00A52778" w:rsidP="00FC3F8E">
            <w:pPr>
              <w:spacing w:line="0" w:lineRule="atLeast"/>
              <w:rPr>
                <w:rFonts w:eastAsia="Times New Roman" w:cs="Times New Roman"/>
                <w:b/>
              </w:rPr>
            </w:pPr>
          </w:p>
        </w:tc>
        <w:tc>
          <w:tcPr>
            <w:tcW w:w="1134" w:type="dxa"/>
            <w:vMerge/>
            <w:tcBorders>
              <w:right w:val="single" w:sz="8" w:space="0" w:color="auto"/>
            </w:tcBorders>
            <w:shd w:val="clear" w:color="auto" w:fill="auto"/>
            <w:vAlign w:val="bottom"/>
          </w:tcPr>
          <w:p w14:paraId="6E1ADA83" w14:textId="77777777" w:rsidR="00A52778" w:rsidRPr="00460F9E" w:rsidRDefault="00A52778" w:rsidP="00FC3F8E">
            <w:pPr>
              <w:spacing w:line="219" w:lineRule="exact"/>
              <w:jc w:val="center"/>
              <w:rPr>
                <w:rFonts w:eastAsia="Times New Roman" w:cs="Times New Roman"/>
                <w:b/>
                <w:w w:val="96"/>
              </w:rPr>
            </w:pPr>
          </w:p>
        </w:tc>
        <w:tc>
          <w:tcPr>
            <w:tcW w:w="1985" w:type="dxa"/>
            <w:vMerge/>
            <w:tcBorders>
              <w:right w:val="single" w:sz="8" w:space="0" w:color="auto"/>
            </w:tcBorders>
            <w:shd w:val="clear" w:color="auto" w:fill="auto"/>
            <w:vAlign w:val="bottom"/>
          </w:tcPr>
          <w:p w14:paraId="173DC51C" w14:textId="77777777" w:rsidR="00A52778" w:rsidRPr="00460F9E" w:rsidRDefault="00A52778" w:rsidP="00FC3F8E">
            <w:pPr>
              <w:spacing w:line="0" w:lineRule="atLeast"/>
              <w:jc w:val="center"/>
              <w:rPr>
                <w:rFonts w:eastAsia="Times New Roman" w:cs="Times New Roman"/>
                <w:b/>
              </w:rPr>
            </w:pPr>
          </w:p>
        </w:tc>
        <w:tc>
          <w:tcPr>
            <w:tcW w:w="1275" w:type="dxa"/>
            <w:vMerge/>
            <w:tcBorders>
              <w:right w:val="single" w:sz="8" w:space="0" w:color="auto"/>
            </w:tcBorders>
            <w:shd w:val="clear" w:color="auto" w:fill="auto"/>
            <w:vAlign w:val="bottom"/>
          </w:tcPr>
          <w:p w14:paraId="37BF7DD7" w14:textId="77777777" w:rsidR="00A52778" w:rsidRPr="00460F9E" w:rsidRDefault="00A52778" w:rsidP="00FC3F8E">
            <w:pPr>
              <w:spacing w:line="241" w:lineRule="exact"/>
              <w:jc w:val="center"/>
              <w:rPr>
                <w:rFonts w:eastAsia="Times New Roman" w:cs="Times New Roman"/>
                <w:b/>
              </w:rPr>
            </w:pPr>
          </w:p>
        </w:tc>
        <w:tc>
          <w:tcPr>
            <w:tcW w:w="1276" w:type="dxa"/>
            <w:tcBorders>
              <w:right w:val="single" w:sz="4" w:space="0" w:color="auto"/>
            </w:tcBorders>
            <w:shd w:val="clear" w:color="auto" w:fill="auto"/>
            <w:vAlign w:val="bottom"/>
          </w:tcPr>
          <w:p w14:paraId="484B8390" w14:textId="77777777" w:rsidR="00A52778" w:rsidRPr="00460F9E" w:rsidRDefault="00A52778" w:rsidP="00FC3F8E">
            <w:pPr>
              <w:spacing w:line="0" w:lineRule="atLeast"/>
              <w:rPr>
                <w:rFonts w:eastAsia="Times New Roman" w:cs="Times New Roman"/>
                <w:b/>
              </w:rPr>
            </w:pPr>
          </w:p>
        </w:tc>
      </w:tr>
      <w:tr w:rsidR="00A52778" w:rsidRPr="00460F9E" w14:paraId="131C815F" w14:textId="77777777" w:rsidTr="00FC3F8E">
        <w:trPr>
          <w:trHeight w:val="231"/>
        </w:trPr>
        <w:tc>
          <w:tcPr>
            <w:tcW w:w="1843" w:type="dxa"/>
            <w:tcBorders>
              <w:left w:val="single" w:sz="4" w:space="0" w:color="auto"/>
              <w:right w:val="single" w:sz="8" w:space="0" w:color="auto"/>
            </w:tcBorders>
            <w:shd w:val="clear" w:color="auto" w:fill="auto"/>
            <w:vAlign w:val="bottom"/>
          </w:tcPr>
          <w:p w14:paraId="510C504F" w14:textId="77777777" w:rsidR="00A52778" w:rsidRPr="00460F9E" w:rsidRDefault="00A52778" w:rsidP="00FC3F8E">
            <w:pPr>
              <w:spacing w:line="0" w:lineRule="atLeast"/>
              <w:rPr>
                <w:rFonts w:eastAsia="Times New Roman" w:cs="Times New Roman"/>
                <w:b/>
              </w:rPr>
            </w:pPr>
          </w:p>
        </w:tc>
        <w:tc>
          <w:tcPr>
            <w:tcW w:w="1701" w:type="dxa"/>
            <w:tcBorders>
              <w:right w:val="single" w:sz="8" w:space="0" w:color="auto"/>
            </w:tcBorders>
            <w:shd w:val="clear" w:color="auto" w:fill="auto"/>
            <w:vAlign w:val="bottom"/>
          </w:tcPr>
          <w:p w14:paraId="6071B9A5" w14:textId="77777777" w:rsidR="00A52778" w:rsidRPr="00460F9E" w:rsidRDefault="00A52778" w:rsidP="00FC3F8E">
            <w:pPr>
              <w:spacing w:line="0" w:lineRule="atLeast"/>
              <w:rPr>
                <w:rFonts w:eastAsia="Times New Roman" w:cs="Times New Roman"/>
                <w:b/>
              </w:rPr>
            </w:pPr>
          </w:p>
        </w:tc>
        <w:tc>
          <w:tcPr>
            <w:tcW w:w="1134" w:type="dxa"/>
            <w:vMerge/>
            <w:tcBorders>
              <w:right w:val="single" w:sz="8" w:space="0" w:color="auto"/>
            </w:tcBorders>
            <w:shd w:val="clear" w:color="auto" w:fill="auto"/>
            <w:vAlign w:val="bottom"/>
          </w:tcPr>
          <w:p w14:paraId="05EBCBB5" w14:textId="77777777" w:rsidR="00A52778" w:rsidRPr="00460F9E" w:rsidRDefault="00A52778" w:rsidP="00FC3F8E">
            <w:pPr>
              <w:spacing w:line="219" w:lineRule="exact"/>
              <w:jc w:val="center"/>
              <w:rPr>
                <w:rFonts w:eastAsia="Times New Roman" w:cs="Times New Roman"/>
                <w:b/>
              </w:rPr>
            </w:pPr>
          </w:p>
        </w:tc>
        <w:tc>
          <w:tcPr>
            <w:tcW w:w="1985" w:type="dxa"/>
            <w:vMerge/>
            <w:tcBorders>
              <w:right w:val="single" w:sz="8" w:space="0" w:color="auto"/>
            </w:tcBorders>
            <w:shd w:val="clear" w:color="auto" w:fill="auto"/>
            <w:vAlign w:val="bottom"/>
          </w:tcPr>
          <w:p w14:paraId="41F28D49" w14:textId="77777777" w:rsidR="00A52778" w:rsidRPr="00460F9E" w:rsidRDefault="00A52778" w:rsidP="00FC3F8E">
            <w:pPr>
              <w:spacing w:line="0" w:lineRule="atLeast"/>
              <w:jc w:val="center"/>
              <w:rPr>
                <w:rFonts w:eastAsia="Times New Roman" w:cs="Times New Roman"/>
                <w:b/>
              </w:rPr>
            </w:pPr>
          </w:p>
        </w:tc>
        <w:tc>
          <w:tcPr>
            <w:tcW w:w="1275" w:type="dxa"/>
            <w:vMerge/>
            <w:tcBorders>
              <w:right w:val="single" w:sz="8" w:space="0" w:color="auto"/>
            </w:tcBorders>
            <w:shd w:val="clear" w:color="auto" w:fill="auto"/>
            <w:vAlign w:val="bottom"/>
          </w:tcPr>
          <w:p w14:paraId="1122FBA5" w14:textId="77777777" w:rsidR="00A52778" w:rsidRPr="00460F9E" w:rsidRDefault="00A52778" w:rsidP="00FC3F8E">
            <w:pPr>
              <w:spacing w:line="241" w:lineRule="exact"/>
              <w:jc w:val="center"/>
              <w:rPr>
                <w:rFonts w:eastAsia="Times New Roman" w:cs="Times New Roman"/>
                <w:b/>
              </w:rPr>
            </w:pPr>
          </w:p>
        </w:tc>
        <w:tc>
          <w:tcPr>
            <w:tcW w:w="1276" w:type="dxa"/>
            <w:tcBorders>
              <w:right w:val="single" w:sz="4" w:space="0" w:color="auto"/>
            </w:tcBorders>
            <w:shd w:val="clear" w:color="auto" w:fill="auto"/>
            <w:vAlign w:val="bottom"/>
          </w:tcPr>
          <w:p w14:paraId="061C9F6B" w14:textId="77777777" w:rsidR="00A52778" w:rsidRPr="00460F9E" w:rsidRDefault="00A52778" w:rsidP="00FC3F8E">
            <w:pPr>
              <w:spacing w:line="0" w:lineRule="atLeast"/>
              <w:rPr>
                <w:rFonts w:eastAsia="Times New Roman" w:cs="Times New Roman"/>
                <w:b/>
              </w:rPr>
            </w:pPr>
          </w:p>
        </w:tc>
      </w:tr>
      <w:tr w:rsidR="00A52778" w:rsidRPr="00460F9E" w14:paraId="6B472769" w14:textId="77777777" w:rsidTr="00FC3F8E">
        <w:trPr>
          <w:trHeight w:val="242"/>
        </w:trPr>
        <w:tc>
          <w:tcPr>
            <w:tcW w:w="1843" w:type="dxa"/>
            <w:tcBorders>
              <w:left w:val="single" w:sz="4" w:space="0" w:color="auto"/>
              <w:right w:val="single" w:sz="8" w:space="0" w:color="auto"/>
            </w:tcBorders>
            <w:shd w:val="clear" w:color="auto" w:fill="auto"/>
            <w:vAlign w:val="bottom"/>
          </w:tcPr>
          <w:p w14:paraId="479BE783" w14:textId="77777777" w:rsidR="00A52778" w:rsidRPr="00460F9E" w:rsidRDefault="00A52778" w:rsidP="00FC3F8E">
            <w:pPr>
              <w:spacing w:line="0" w:lineRule="atLeast"/>
              <w:rPr>
                <w:rFonts w:eastAsia="Times New Roman" w:cs="Times New Roman"/>
                <w:b/>
                <w:sz w:val="21"/>
              </w:rPr>
            </w:pPr>
          </w:p>
        </w:tc>
        <w:tc>
          <w:tcPr>
            <w:tcW w:w="1701" w:type="dxa"/>
            <w:tcBorders>
              <w:right w:val="single" w:sz="8" w:space="0" w:color="auto"/>
            </w:tcBorders>
            <w:shd w:val="clear" w:color="auto" w:fill="auto"/>
            <w:vAlign w:val="bottom"/>
          </w:tcPr>
          <w:p w14:paraId="430D69CD" w14:textId="77777777" w:rsidR="00A52778" w:rsidRPr="00460F9E" w:rsidRDefault="00A52778" w:rsidP="00FC3F8E">
            <w:pPr>
              <w:spacing w:line="0" w:lineRule="atLeast"/>
              <w:rPr>
                <w:rFonts w:eastAsia="Times New Roman" w:cs="Times New Roman"/>
                <w:b/>
                <w:sz w:val="21"/>
              </w:rPr>
            </w:pPr>
          </w:p>
        </w:tc>
        <w:tc>
          <w:tcPr>
            <w:tcW w:w="1134" w:type="dxa"/>
            <w:vMerge/>
            <w:tcBorders>
              <w:right w:val="single" w:sz="8" w:space="0" w:color="auto"/>
            </w:tcBorders>
            <w:shd w:val="clear" w:color="auto" w:fill="auto"/>
            <w:vAlign w:val="bottom"/>
          </w:tcPr>
          <w:p w14:paraId="74A0B5CF" w14:textId="77777777" w:rsidR="00A52778" w:rsidRPr="00460F9E" w:rsidRDefault="00A52778" w:rsidP="00FC3F8E">
            <w:pPr>
              <w:spacing w:line="219" w:lineRule="exact"/>
              <w:jc w:val="center"/>
              <w:rPr>
                <w:rFonts w:eastAsia="Times New Roman" w:cs="Times New Roman"/>
                <w:b/>
                <w:w w:val="99"/>
              </w:rPr>
            </w:pPr>
          </w:p>
        </w:tc>
        <w:tc>
          <w:tcPr>
            <w:tcW w:w="1985" w:type="dxa"/>
            <w:vMerge/>
            <w:tcBorders>
              <w:right w:val="single" w:sz="8" w:space="0" w:color="auto"/>
            </w:tcBorders>
            <w:shd w:val="clear" w:color="auto" w:fill="auto"/>
            <w:vAlign w:val="bottom"/>
          </w:tcPr>
          <w:p w14:paraId="546BCC52" w14:textId="77777777" w:rsidR="00A52778" w:rsidRPr="00460F9E" w:rsidRDefault="00A52778" w:rsidP="00FC3F8E">
            <w:pPr>
              <w:spacing w:line="0" w:lineRule="atLeast"/>
              <w:rPr>
                <w:rFonts w:eastAsia="Times New Roman" w:cs="Times New Roman"/>
                <w:b/>
                <w:sz w:val="21"/>
              </w:rPr>
            </w:pPr>
          </w:p>
        </w:tc>
        <w:tc>
          <w:tcPr>
            <w:tcW w:w="1275" w:type="dxa"/>
            <w:vMerge/>
            <w:tcBorders>
              <w:right w:val="single" w:sz="8" w:space="0" w:color="auto"/>
            </w:tcBorders>
            <w:shd w:val="clear" w:color="auto" w:fill="auto"/>
            <w:vAlign w:val="bottom"/>
          </w:tcPr>
          <w:p w14:paraId="468A4506" w14:textId="77777777" w:rsidR="00A52778" w:rsidRPr="00460F9E" w:rsidRDefault="00A52778" w:rsidP="00FC3F8E">
            <w:pPr>
              <w:spacing w:line="241" w:lineRule="exact"/>
              <w:jc w:val="center"/>
              <w:rPr>
                <w:rFonts w:eastAsia="Times New Roman" w:cs="Times New Roman"/>
                <w:b/>
                <w:w w:val="95"/>
              </w:rPr>
            </w:pPr>
          </w:p>
        </w:tc>
        <w:tc>
          <w:tcPr>
            <w:tcW w:w="1276" w:type="dxa"/>
            <w:tcBorders>
              <w:right w:val="single" w:sz="4" w:space="0" w:color="auto"/>
            </w:tcBorders>
            <w:shd w:val="clear" w:color="auto" w:fill="auto"/>
            <w:vAlign w:val="bottom"/>
          </w:tcPr>
          <w:p w14:paraId="4186CBD9" w14:textId="77777777" w:rsidR="00A52778" w:rsidRPr="00460F9E" w:rsidRDefault="00A52778" w:rsidP="00FC3F8E">
            <w:pPr>
              <w:spacing w:line="0" w:lineRule="atLeast"/>
              <w:rPr>
                <w:rFonts w:eastAsia="Times New Roman" w:cs="Times New Roman"/>
                <w:b/>
                <w:sz w:val="21"/>
              </w:rPr>
            </w:pPr>
          </w:p>
        </w:tc>
      </w:tr>
      <w:tr w:rsidR="00A52778" w:rsidRPr="00460F9E" w14:paraId="18E38086" w14:textId="77777777" w:rsidTr="00FC3F8E">
        <w:trPr>
          <w:trHeight w:val="222"/>
        </w:trPr>
        <w:tc>
          <w:tcPr>
            <w:tcW w:w="1843" w:type="dxa"/>
            <w:tcBorders>
              <w:left w:val="single" w:sz="4" w:space="0" w:color="auto"/>
              <w:right w:val="single" w:sz="8" w:space="0" w:color="auto"/>
            </w:tcBorders>
            <w:shd w:val="clear" w:color="auto" w:fill="auto"/>
            <w:vAlign w:val="bottom"/>
          </w:tcPr>
          <w:p w14:paraId="23BFD059" w14:textId="77777777" w:rsidR="00A52778" w:rsidRPr="00460F9E" w:rsidRDefault="00A52778" w:rsidP="00FC3F8E">
            <w:pPr>
              <w:spacing w:line="0" w:lineRule="atLeast"/>
              <w:rPr>
                <w:rFonts w:eastAsia="Times New Roman" w:cs="Times New Roman"/>
                <w:b/>
                <w:sz w:val="19"/>
              </w:rPr>
            </w:pPr>
          </w:p>
        </w:tc>
        <w:tc>
          <w:tcPr>
            <w:tcW w:w="1701" w:type="dxa"/>
            <w:tcBorders>
              <w:bottom w:val="single" w:sz="8" w:space="0" w:color="auto"/>
              <w:right w:val="single" w:sz="8" w:space="0" w:color="auto"/>
            </w:tcBorders>
            <w:shd w:val="clear" w:color="auto" w:fill="auto"/>
            <w:vAlign w:val="bottom"/>
          </w:tcPr>
          <w:p w14:paraId="10A89AB6" w14:textId="77777777" w:rsidR="00A52778" w:rsidRPr="00460F9E" w:rsidRDefault="00A52778" w:rsidP="00FC3F8E">
            <w:pPr>
              <w:spacing w:line="0" w:lineRule="atLeast"/>
              <w:rPr>
                <w:rFonts w:eastAsia="Times New Roman" w:cs="Times New Roman"/>
                <w:b/>
                <w:sz w:val="19"/>
              </w:rPr>
            </w:pPr>
          </w:p>
        </w:tc>
        <w:tc>
          <w:tcPr>
            <w:tcW w:w="1134" w:type="dxa"/>
            <w:vMerge/>
            <w:tcBorders>
              <w:bottom w:val="single" w:sz="8" w:space="0" w:color="auto"/>
              <w:right w:val="single" w:sz="8" w:space="0" w:color="auto"/>
            </w:tcBorders>
            <w:shd w:val="clear" w:color="auto" w:fill="auto"/>
            <w:vAlign w:val="bottom"/>
          </w:tcPr>
          <w:p w14:paraId="2F43EA52" w14:textId="77777777" w:rsidR="00A52778" w:rsidRPr="00460F9E" w:rsidRDefault="00A52778" w:rsidP="00FC3F8E">
            <w:pPr>
              <w:spacing w:line="219" w:lineRule="exact"/>
              <w:jc w:val="center"/>
              <w:rPr>
                <w:rFonts w:eastAsia="Times New Roman" w:cs="Times New Roman"/>
                <w:b/>
                <w:w w:val="98"/>
              </w:rPr>
            </w:pPr>
          </w:p>
        </w:tc>
        <w:tc>
          <w:tcPr>
            <w:tcW w:w="1985" w:type="dxa"/>
            <w:vMerge/>
            <w:tcBorders>
              <w:bottom w:val="single" w:sz="8" w:space="0" w:color="auto"/>
              <w:right w:val="single" w:sz="8" w:space="0" w:color="auto"/>
            </w:tcBorders>
            <w:shd w:val="clear" w:color="auto" w:fill="auto"/>
            <w:vAlign w:val="bottom"/>
          </w:tcPr>
          <w:p w14:paraId="5B811A16" w14:textId="77777777" w:rsidR="00A52778" w:rsidRPr="00460F9E" w:rsidRDefault="00A52778" w:rsidP="00FC3F8E">
            <w:pPr>
              <w:spacing w:line="0" w:lineRule="atLeast"/>
              <w:rPr>
                <w:rFonts w:eastAsia="Times New Roman" w:cs="Times New Roman"/>
                <w:b/>
                <w:sz w:val="19"/>
              </w:rPr>
            </w:pPr>
          </w:p>
        </w:tc>
        <w:tc>
          <w:tcPr>
            <w:tcW w:w="1275" w:type="dxa"/>
            <w:vMerge/>
            <w:tcBorders>
              <w:bottom w:val="single" w:sz="8" w:space="0" w:color="auto"/>
              <w:right w:val="single" w:sz="8" w:space="0" w:color="auto"/>
            </w:tcBorders>
            <w:shd w:val="clear" w:color="auto" w:fill="auto"/>
            <w:vAlign w:val="bottom"/>
          </w:tcPr>
          <w:p w14:paraId="02D2B715" w14:textId="77777777" w:rsidR="00A52778" w:rsidRPr="00460F9E" w:rsidRDefault="00A52778" w:rsidP="00FC3F8E">
            <w:pPr>
              <w:spacing w:line="0" w:lineRule="atLeast"/>
              <w:rPr>
                <w:rFonts w:eastAsia="Times New Roman" w:cs="Times New Roman"/>
                <w:b/>
                <w:sz w:val="19"/>
              </w:rPr>
            </w:pPr>
          </w:p>
        </w:tc>
        <w:tc>
          <w:tcPr>
            <w:tcW w:w="1276" w:type="dxa"/>
            <w:tcBorders>
              <w:bottom w:val="single" w:sz="8" w:space="0" w:color="auto"/>
              <w:right w:val="single" w:sz="4" w:space="0" w:color="auto"/>
            </w:tcBorders>
            <w:shd w:val="clear" w:color="auto" w:fill="auto"/>
            <w:vAlign w:val="bottom"/>
          </w:tcPr>
          <w:p w14:paraId="68C6421F" w14:textId="77777777" w:rsidR="00A52778" w:rsidRPr="00460F9E" w:rsidRDefault="00A52778" w:rsidP="00FC3F8E">
            <w:pPr>
              <w:spacing w:line="0" w:lineRule="atLeast"/>
              <w:rPr>
                <w:rFonts w:eastAsia="Times New Roman" w:cs="Times New Roman"/>
                <w:b/>
                <w:sz w:val="19"/>
              </w:rPr>
            </w:pPr>
          </w:p>
        </w:tc>
      </w:tr>
      <w:tr w:rsidR="00A52778" w:rsidRPr="00460F9E" w14:paraId="47352D78" w14:textId="77777777" w:rsidTr="00FC3F8E">
        <w:trPr>
          <w:trHeight w:val="217"/>
        </w:trPr>
        <w:tc>
          <w:tcPr>
            <w:tcW w:w="1843" w:type="dxa"/>
            <w:tcBorders>
              <w:left w:val="single" w:sz="4" w:space="0" w:color="auto"/>
              <w:right w:val="single" w:sz="8" w:space="0" w:color="auto"/>
            </w:tcBorders>
            <w:shd w:val="clear" w:color="auto" w:fill="auto"/>
            <w:vAlign w:val="bottom"/>
          </w:tcPr>
          <w:p w14:paraId="6AC65651" w14:textId="77777777" w:rsidR="00A52778" w:rsidRPr="00460F9E" w:rsidRDefault="00A52778" w:rsidP="00FC3F8E">
            <w:pPr>
              <w:spacing w:line="0" w:lineRule="atLeast"/>
              <w:rPr>
                <w:rFonts w:eastAsia="Times New Roman" w:cs="Times New Roman"/>
                <w:b/>
                <w:sz w:val="18"/>
              </w:rPr>
            </w:pPr>
          </w:p>
        </w:tc>
        <w:tc>
          <w:tcPr>
            <w:tcW w:w="1701" w:type="dxa"/>
            <w:vMerge w:val="restart"/>
            <w:tcBorders>
              <w:right w:val="single" w:sz="8" w:space="0" w:color="auto"/>
            </w:tcBorders>
            <w:shd w:val="clear" w:color="auto" w:fill="auto"/>
            <w:vAlign w:val="center"/>
          </w:tcPr>
          <w:p w14:paraId="55EA3FC2" w14:textId="77777777" w:rsidR="00A52778" w:rsidRPr="00460F9E" w:rsidRDefault="00A52778" w:rsidP="00FC3F8E">
            <w:pPr>
              <w:spacing w:line="147" w:lineRule="exact"/>
              <w:jc w:val="center"/>
              <w:rPr>
                <w:rFonts w:eastAsia="Times New Roman" w:cs="Times New Roman"/>
                <w:b/>
                <w:w w:val="98"/>
              </w:rPr>
            </w:pPr>
            <w:r w:rsidRPr="00460F9E">
              <w:rPr>
                <w:rFonts w:eastAsia="Times New Roman" w:cs="Times New Roman"/>
                <w:w w:val="98"/>
              </w:rPr>
              <w:t>Sentetik    kauçukların    üretimi</w:t>
            </w:r>
          </w:p>
          <w:p w14:paraId="169CE9B1" w14:textId="77777777" w:rsidR="00A52778" w:rsidRPr="00460F9E" w:rsidRDefault="00A52778" w:rsidP="00FC3F8E">
            <w:pPr>
              <w:spacing w:line="147" w:lineRule="exact"/>
              <w:jc w:val="center"/>
              <w:rPr>
                <w:rFonts w:eastAsia="Times New Roman" w:cs="Times New Roman"/>
                <w:b/>
                <w:sz w:val="18"/>
              </w:rPr>
            </w:pPr>
            <w:r w:rsidRPr="00460F9E">
              <w:rPr>
                <w:rFonts w:eastAsia="Times New Roman" w:cs="Times New Roman"/>
                <w:w w:val="98"/>
              </w:rPr>
              <w:t xml:space="preserve"> </w:t>
            </w:r>
            <w:r w:rsidRPr="00460F9E">
              <w:rPr>
                <w:rFonts w:eastAsia="Times New Roman" w:cs="Times New Roman"/>
                <w:sz w:val="13"/>
              </w:rPr>
              <w:t>(</w:t>
            </w:r>
            <w:r w:rsidRPr="00460F9E">
              <w:rPr>
                <w:rFonts w:eastAsia="Times New Roman" w:cs="Times New Roman"/>
                <w:sz w:val="16"/>
                <w:vertAlign w:val="superscript"/>
              </w:rPr>
              <w:t>11</w:t>
            </w:r>
            <w:r w:rsidRPr="00460F9E">
              <w:rPr>
                <w:rFonts w:eastAsia="Times New Roman" w:cs="Times New Roman"/>
                <w:sz w:val="13"/>
              </w:rPr>
              <w:t>)</w:t>
            </w:r>
          </w:p>
        </w:tc>
        <w:tc>
          <w:tcPr>
            <w:tcW w:w="1134" w:type="dxa"/>
            <w:vMerge w:val="restart"/>
            <w:tcBorders>
              <w:right w:val="single" w:sz="8" w:space="0" w:color="auto"/>
            </w:tcBorders>
            <w:shd w:val="clear" w:color="auto" w:fill="auto"/>
            <w:vAlign w:val="center"/>
          </w:tcPr>
          <w:p w14:paraId="1CBDFA94" w14:textId="77777777" w:rsidR="00A52778" w:rsidRPr="00460F9E" w:rsidRDefault="00A52778" w:rsidP="00FC3F8E">
            <w:pPr>
              <w:spacing w:line="222" w:lineRule="exact"/>
              <w:jc w:val="center"/>
              <w:rPr>
                <w:rFonts w:eastAsia="Times New Roman" w:cs="Times New Roman"/>
                <w:b/>
                <w:w w:val="99"/>
              </w:rPr>
            </w:pPr>
            <w:r w:rsidRPr="00460F9E">
              <w:rPr>
                <w:rFonts w:eastAsia="Times New Roman" w:cs="Times New Roman"/>
                <w:w w:val="99"/>
              </w:rPr>
              <w:t>TVOC kütle akışı 2,5 C/saat olan herhangi bir baca</w:t>
            </w:r>
          </w:p>
        </w:tc>
        <w:tc>
          <w:tcPr>
            <w:tcW w:w="1985" w:type="dxa"/>
            <w:vMerge w:val="restart"/>
            <w:tcBorders>
              <w:right w:val="single" w:sz="8" w:space="0" w:color="auto"/>
            </w:tcBorders>
            <w:shd w:val="clear" w:color="auto" w:fill="auto"/>
            <w:vAlign w:val="center"/>
          </w:tcPr>
          <w:p w14:paraId="3F42B9FC"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Genel EN</w:t>
            </w:r>
          </w:p>
          <w:p w14:paraId="7DE5D78D" w14:textId="77777777" w:rsidR="00A52778" w:rsidRPr="00460F9E" w:rsidRDefault="00A52778" w:rsidP="00FC3F8E">
            <w:pPr>
              <w:spacing w:line="244" w:lineRule="exact"/>
              <w:jc w:val="center"/>
              <w:rPr>
                <w:rFonts w:eastAsia="Times New Roman" w:cs="Times New Roman"/>
                <w:b/>
                <w:sz w:val="18"/>
              </w:rPr>
            </w:pPr>
            <w:r w:rsidRPr="00460F9E">
              <w:rPr>
                <w:rFonts w:eastAsia="Times New Roman" w:cs="Times New Roman"/>
                <w:w w:val="97"/>
              </w:rPr>
              <w:t>standartları</w:t>
            </w:r>
          </w:p>
        </w:tc>
        <w:tc>
          <w:tcPr>
            <w:tcW w:w="1275" w:type="dxa"/>
            <w:vMerge w:val="restart"/>
            <w:tcBorders>
              <w:right w:val="single" w:sz="8" w:space="0" w:color="auto"/>
            </w:tcBorders>
            <w:shd w:val="clear" w:color="auto" w:fill="auto"/>
            <w:vAlign w:val="center"/>
          </w:tcPr>
          <w:p w14:paraId="758B48B6"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9"/>
              </w:rPr>
              <w:t>Sürekli</w:t>
            </w:r>
          </w:p>
        </w:tc>
        <w:tc>
          <w:tcPr>
            <w:tcW w:w="1276" w:type="dxa"/>
            <w:tcBorders>
              <w:right w:val="single" w:sz="4" w:space="0" w:color="auto"/>
            </w:tcBorders>
            <w:shd w:val="clear" w:color="auto" w:fill="auto"/>
            <w:vAlign w:val="bottom"/>
          </w:tcPr>
          <w:p w14:paraId="7B715E22" w14:textId="77777777" w:rsidR="00A52778" w:rsidRPr="00460F9E" w:rsidRDefault="00A52778" w:rsidP="00FC3F8E">
            <w:pPr>
              <w:spacing w:line="0" w:lineRule="atLeast"/>
              <w:rPr>
                <w:rFonts w:eastAsia="Times New Roman" w:cs="Times New Roman"/>
                <w:b/>
                <w:sz w:val="18"/>
              </w:rPr>
            </w:pPr>
          </w:p>
        </w:tc>
      </w:tr>
      <w:tr w:rsidR="00A52778" w:rsidRPr="00460F9E" w14:paraId="45BADEBE" w14:textId="77777777" w:rsidTr="00FC3F8E">
        <w:trPr>
          <w:trHeight w:val="230"/>
        </w:trPr>
        <w:tc>
          <w:tcPr>
            <w:tcW w:w="1843" w:type="dxa"/>
            <w:tcBorders>
              <w:left w:val="single" w:sz="4" w:space="0" w:color="auto"/>
              <w:right w:val="single" w:sz="8" w:space="0" w:color="auto"/>
            </w:tcBorders>
            <w:shd w:val="clear" w:color="auto" w:fill="auto"/>
            <w:vAlign w:val="bottom"/>
          </w:tcPr>
          <w:p w14:paraId="5E1E3CD1" w14:textId="77777777" w:rsidR="00A52778" w:rsidRPr="00460F9E" w:rsidRDefault="00A52778" w:rsidP="00FC3F8E">
            <w:pPr>
              <w:spacing w:line="0" w:lineRule="atLeast"/>
              <w:rPr>
                <w:rFonts w:eastAsia="Times New Roman" w:cs="Times New Roman"/>
                <w:b/>
              </w:rPr>
            </w:pPr>
          </w:p>
        </w:tc>
        <w:tc>
          <w:tcPr>
            <w:tcW w:w="1701" w:type="dxa"/>
            <w:vMerge/>
            <w:tcBorders>
              <w:right w:val="single" w:sz="8" w:space="0" w:color="auto"/>
            </w:tcBorders>
            <w:shd w:val="clear" w:color="auto" w:fill="auto"/>
            <w:vAlign w:val="bottom"/>
          </w:tcPr>
          <w:p w14:paraId="4910112A" w14:textId="77777777" w:rsidR="00A52778" w:rsidRPr="00460F9E" w:rsidRDefault="00A52778" w:rsidP="00FC3F8E">
            <w:pPr>
              <w:spacing w:line="147" w:lineRule="exact"/>
              <w:jc w:val="center"/>
              <w:rPr>
                <w:rFonts w:eastAsia="Times New Roman" w:cs="Times New Roman"/>
                <w:b/>
              </w:rPr>
            </w:pPr>
          </w:p>
        </w:tc>
        <w:tc>
          <w:tcPr>
            <w:tcW w:w="1134" w:type="dxa"/>
            <w:vMerge/>
            <w:tcBorders>
              <w:right w:val="single" w:sz="8" w:space="0" w:color="auto"/>
            </w:tcBorders>
            <w:shd w:val="clear" w:color="auto" w:fill="auto"/>
            <w:vAlign w:val="bottom"/>
          </w:tcPr>
          <w:p w14:paraId="086F600A" w14:textId="77777777" w:rsidR="00A52778" w:rsidRPr="00460F9E" w:rsidRDefault="00A52778" w:rsidP="00FC3F8E">
            <w:pPr>
              <w:spacing w:line="222" w:lineRule="exact"/>
              <w:jc w:val="center"/>
              <w:rPr>
                <w:rFonts w:eastAsia="Times New Roman" w:cs="Times New Roman"/>
                <w:b/>
                <w:w w:val="96"/>
              </w:rPr>
            </w:pPr>
          </w:p>
        </w:tc>
        <w:tc>
          <w:tcPr>
            <w:tcW w:w="1985" w:type="dxa"/>
            <w:vMerge/>
            <w:tcBorders>
              <w:right w:val="single" w:sz="8" w:space="0" w:color="auto"/>
            </w:tcBorders>
            <w:shd w:val="clear" w:color="auto" w:fill="auto"/>
            <w:vAlign w:val="bottom"/>
          </w:tcPr>
          <w:p w14:paraId="33C402B3" w14:textId="77777777" w:rsidR="00A52778" w:rsidRPr="00460F9E" w:rsidRDefault="00A52778" w:rsidP="00FC3F8E">
            <w:pPr>
              <w:spacing w:line="244" w:lineRule="exact"/>
              <w:jc w:val="center"/>
              <w:rPr>
                <w:rFonts w:eastAsia="Times New Roman" w:cs="Times New Roman"/>
                <w:b/>
                <w:w w:val="98"/>
              </w:rPr>
            </w:pPr>
          </w:p>
        </w:tc>
        <w:tc>
          <w:tcPr>
            <w:tcW w:w="1275" w:type="dxa"/>
            <w:vMerge/>
            <w:tcBorders>
              <w:right w:val="single" w:sz="8" w:space="0" w:color="auto"/>
            </w:tcBorders>
            <w:shd w:val="clear" w:color="auto" w:fill="auto"/>
            <w:vAlign w:val="bottom"/>
          </w:tcPr>
          <w:p w14:paraId="01A8672C" w14:textId="77777777" w:rsidR="00A52778" w:rsidRPr="00460F9E" w:rsidRDefault="00A52778" w:rsidP="00FC3F8E">
            <w:pPr>
              <w:spacing w:line="0" w:lineRule="atLeast"/>
              <w:jc w:val="center"/>
              <w:rPr>
                <w:rFonts w:eastAsia="Times New Roman" w:cs="Times New Roman"/>
                <w:b/>
              </w:rPr>
            </w:pPr>
          </w:p>
        </w:tc>
        <w:tc>
          <w:tcPr>
            <w:tcW w:w="1276" w:type="dxa"/>
            <w:tcBorders>
              <w:right w:val="single" w:sz="4" w:space="0" w:color="auto"/>
            </w:tcBorders>
            <w:shd w:val="clear" w:color="auto" w:fill="auto"/>
            <w:vAlign w:val="bottom"/>
          </w:tcPr>
          <w:p w14:paraId="348AA3CE" w14:textId="77777777" w:rsidR="00A52778" w:rsidRPr="00460F9E" w:rsidRDefault="00A52778" w:rsidP="00FC3F8E">
            <w:pPr>
              <w:spacing w:line="0" w:lineRule="atLeast"/>
              <w:rPr>
                <w:rFonts w:eastAsia="Times New Roman" w:cs="Times New Roman"/>
                <w:b/>
              </w:rPr>
            </w:pPr>
          </w:p>
        </w:tc>
      </w:tr>
      <w:tr w:rsidR="00A52778" w:rsidRPr="00460F9E" w14:paraId="35EFF76F" w14:textId="77777777" w:rsidTr="00FC3F8E">
        <w:trPr>
          <w:trHeight w:val="122"/>
        </w:trPr>
        <w:tc>
          <w:tcPr>
            <w:tcW w:w="1843" w:type="dxa"/>
            <w:tcBorders>
              <w:left w:val="single" w:sz="4" w:space="0" w:color="auto"/>
              <w:right w:val="single" w:sz="8" w:space="0" w:color="auto"/>
            </w:tcBorders>
            <w:shd w:val="clear" w:color="auto" w:fill="auto"/>
            <w:vAlign w:val="bottom"/>
          </w:tcPr>
          <w:p w14:paraId="2CFFFA40" w14:textId="77777777" w:rsidR="00A52778" w:rsidRPr="00460F9E" w:rsidRDefault="00A52778" w:rsidP="00FC3F8E">
            <w:pPr>
              <w:spacing w:line="0" w:lineRule="atLeast"/>
              <w:rPr>
                <w:rFonts w:eastAsia="Times New Roman" w:cs="Times New Roman"/>
                <w:b/>
                <w:sz w:val="10"/>
              </w:rPr>
            </w:pPr>
          </w:p>
        </w:tc>
        <w:tc>
          <w:tcPr>
            <w:tcW w:w="1701" w:type="dxa"/>
            <w:vMerge/>
            <w:tcBorders>
              <w:right w:val="single" w:sz="8" w:space="0" w:color="auto"/>
            </w:tcBorders>
            <w:shd w:val="clear" w:color="auto" w:fill="auto"/>
            <w:vAlign w:val="bottom"/>
          </w:tcPr>
          <w:p w14:paraId="73303586" w14:textId="77777777" w:rsidR="00A52778" w:rsidRPr="00460F9E" w:rsidRDefault="00A52778" w:rsidP="00FC3F8E">
            <w:pPr>
              <w:spacing w:line="147" w:lineRule="exact"/>
              <w:jc w:val="center"/>
              <w:rPr>
                <w:rFonts w:eastAsia="Times New Roman" w:cs="Times New Roman"/>
                <w:b/>
                <w:sz w:val="10"/>
              </w:rPr>
            </w:pPr>
          </w:p>
        </w:tc>
        <w:tc>
          <w:tcPr>
            <w:tcW w:w="1134" w:type="dxa"/>
            <w:vMerge/>
            <w:tcBorders>
              <w:right w:val="single" w:sz="8" w:space="0" w:color="auto"/>
            </w:tcBorders>
            <w:shd w:val="clear" w:color="auto" w:fill="auto"/>
            <w:vAlign w:val="bottom"/>
          </w:tcPr>
          <w:p w14:paraId="1B825270" w14:textId="77777777" w:rsidR="00A52778" w:rsidRPr="00460F9E" w:rsidRDefault="00A52778" w:rsidP="00FC3F8E">
            <w:pPr>
              <w:spacing w:line="222" w:lineRule="exact"/>
              <w:jc w:val="center"/>
              <w:rPr>
                <w:rFonts w:eastAsia="Times New Roman" w:cs="Times New Roman"/>
                <w:b/>
              </w:rPr>
            </w:pPr>
          </w:p>
        </w:tc>
        <w:tc>
          <w:tcPr>
            <w:tcW w:w="1985" w:type="dxa"/>
            <w:vMerge/>
            <w:tcBorders>
              <w:right w:val="single" w:sz="8" w:space="0" w:color="auto"/>
            </w:tcBorders>
            <w:shd w:val="clear" w:color="auto" w:fill="auto"/>
            <w:vAlign w:val="bottom"/>
          </w:tcPr>
          <w:p w14:paraId="71A156CB" w14:textId="77777777" w:rsidR="00A52778" w:rsidRPr="00460F9E" w:rsidRDefault="00A52778" w:rsidP="00FC3F8E">
            <w:pPr>
              <w:spacing w:line="244" w:lineRule="exact"/>
              <w:jc w:val="center"/>
              <w:rPr>
                <w:rFonts w:eastAsia="Times New Roman" w:cs="Times New Roman"/>
                <w:b/>
                <w:sz w:val="10"/>
              </w:rPr>
            </w:pPr>
          </w:p>
        </w:tc>
        <w:tc>
          <w:tcPr>
            <w:tcW w:w="1275" w:type="dxa"/>
            <w:vMerge/>
            <w:tcBorders>
              <w:right w:val="single" w:sz="8" w:space="0" w:color="auto"/>
            </w:tcBorders>
            <w:shd w:val="clear" w:color="auto" w:fill="auto"/>
            <w:vAlign w:val="bottom"/>
          </w:tcPr>
          <w:p w14:paraId="558BAE38" w14:textId="77777777" w:rsidR="00A52778" w:rsidRPr="00460F9E" w:rsidRDefault="00A52778" w:rsidP="00FC3F8E">
            <w:pPr>
              <w:spacing w:line="0" w:lineRule="atLeast"/>
              <w:jc w:val="center"/>
              <w:rPr>
                <w:rFonts w:eastAsia="Times New Roman" w:cs="Times New Roman"/>
                <w:b/>
                <w:w w:val="99"/>
              </w:rPr>
            </w:pPr>
          </w:p>
        </w:tc>
        <w:tc>
          <w:tcPr>
            <w:tcW w:w="1276" w:type="dxa"/>
            <w:tcBorders>
              <w:right w:val="single" w:sz="4" w:space="0" w:color="auto"/>
            </w:tcBorders>
            <w:shd w:val="clear" w:color="auto" w:fill="auto"/>
            <w:vAlign w:val="bottom"/>
          </w:tcPr>
          <w:p w14:paraId="6AA77993" w14:textId="77777777" w:rsidR="00A52778" w:rsidRPr="00460F9E" w:rsidRDefault="00A52778" w:rsidP="00FC3F8E">
            <w:pPr>
              <w:spacing w:line="0" w:lineRule="atLeast"/>
              <w:rPr>
                <w:rFonts w:eastAsia="Times New Roman" w:cs="Times New Roman"/>
                <w:b/>
                <w:sz w:val="10"/>
              </w:rPr>
            </w:pPr>
          </w:p>
        </w:tc>
      </w:tr>
      <w:tr w:rsidR="00A52778" w:rsidRPr="00460F9E" w14:paraId="1766F336" w14:textId="77777777" w:rsidTr="00FC3F8E">
        <w:trPr>
          <w:trHeight w:val="115"/>
        </w:trPr>
        <w:tc>
          <w:tcPr>
            <w:tcW w:w="1843" w:type="dxa"/>
            <w:tcBorders>
              <w:left w:val="single" w:sz="4" w:space="0" w:color="auto"/>
              <w:right w:val="single" w:sz="8" w:space="0" w:color="auto"/>
            </w:tcBorders>
            <w:shd w:val="clear" w:color="auto" w:fill="auto"/>
            <w:vAlign w:val="bottom"/>
          </w:tcPr>
          <w:p w14:paraId="51F440E7" w14:textId="77777777" w:rsidR="00A52778" w:rsidRPr="00460F9E" w:rsidRDefault="00A52778" w:rsidP="00FC3F8E">
            <w:pPr>
              <w:spacing w:line="0" w:lineRule="atLeast"/>
              <w:rPr>
                <w:rFonts w:eastAsia="Times New Roman" w:cs="Times New Roman"/>
                <w:b/>
                <w:sz w:val="10"/>
              </w:rPr>
            </w:pPr>
          </w:p>
        </w:tc>
        <w:tc>
          <w:tcPr>
            <w:tcW w:w="1701" w:type="dxa"/>
            <w:vMerge/>
            <w:tcBorders>
              <w:right w:val="single" w:sz="8" w:space="0" w:color="auto"/>
            </w:tcBorders>
            <w:shd w:val="clear" w:color="auto" w:fill="auto"/>
            <w:vAlign w:val="bottom"/>
          </w:tcPr>
          <w:p w14:paraId="226AC71F" w14:textId="77777777" w:rsidR="00A52778" w:rsidRPr="00460F9E" w:rsidRDefault="00A52778" w:rsidP="00FC3F8E">
            <w:pPr>
              <w:spacing w:line="147" w:lineRule="exact"/>
              <w:jc w:val="center"/>
              <w:rPr>
                <w:rFonts w:eastAsia="Times New Roman" w:cs="Times New Roman"/>
                <w:b/>
                <w:sz w:val="10"/>
              </w:rPr>
            </w:pPr>
          </w:p>
        </w:tc>
        <w:tc>
          <w:tcPr>
            <w:tcW w:w="1134" w:type="dxa"/>
            <w:vMerge/>
            <w:tcBorders>
              <w:right w:val="single" w:sz="8" w:space="0" w:color="auto"/>
            </w:tcBorders>
            <w:shd w:val="clear" w:color="auto" w:fill="auto"/>
            <w:vAlign w:val="bottom"/>
          </w:tcPr>
          <w:p w14:paraId="7565A4A2" w14:textId="77777777" w:rsidR="00A52778" w:rsidRPr="00460F9E" w:rsidRDefault="00A52778" w:rsidP="00FC3F8E">
            <w:pPr>
              <w:spacing w:line="222" w:lineRule="exact"/>
              <w:jc w:val="center"/>
              <w:rPr>
                <w:rFonts w:eastAsia="Times New Roman" w:cs="Times New Roman"/>
                <w:b/>
                <w:sz w:val="10"/>
              </w:rPr>
            </w:pPr>
          </w:p>
        </w:tc>
        <w:tc>
          <w:tcPr>
            <w:tcW w:w="1985" w:type="dxa"/>
            <w:vMerge/>
            <w:tcBorders>
              <w:right w:val="single" w:sz="8" w:space="0" w:color="auto"/>
            </w:tcBorders>
            <w:shd w:val="clear" w:color="auto" w:fill="auto"/>
            <w:vAlign w:val="bottom"/>
          </w:tcPr>
          <w:p w14:paraId="5769D9C7" w14:textId="77777777" w:rsidR="00A52778" w:rsidRPr="00460F9E" w:rsidRDefault="00A52778" w:rsidP="00FC3F8E">
            <w:pPr>
              <w:spacing w:line="244" w:lineRule="exact"/>
              <w:jc w:val="center"/>
              <w:rPr>
                <w:rFonts w:eastAsia="Times New Roman" w:cs="Times New Roman"/>
                <w:b/>
                <w:w w:val="97"/>
              </w:rPr>
            </w:pPr>
          </w:p>
        </w:tc>
        <w:tc>
          <w:tcPr>
            <w:tcW w:w="1275" w:type="dxa"/>
            <w:vMerge/>
            <w:tcBorders>
              <w:right w:val="single" w:sz="8" w:space="0" w:color="auto"/>
            </w:tcBorders>
            <w:shd w:val="clear" w:color="auto" w:fill="auto"/>
            <w:vAlign w:val="bottom"/>
          </w:tcPr>
          <w:p w14:paraId="12D49C1C" w14:textId="77777777" w:rsidR="00A52778" w:rsidRPr="00460F9E" w:rsidRDefault="00A52778" w:rsidP="00FC3F8E">
            <w:pPr>
              <w:spacing w:line="0" w:lineRule="atLeast"/>
              <w:rPr>
                <w:rFonts w:eastAsia="Times New Roman" w:cs="Times New Roman"/>
                <w:b/>
                <w:sz w:val="10"/>
              </w:rPr>
            </w:pPr>
          </w:p>
        </w:tc>
        <w:tc>
          <w:tcPr>
            <w:tcW w:w="1276" w:type="dxa"/>
            <w:tcBorders>
              <w:right w:val="single" w:sz="4" w:space="0" w:color="auto"/>
            </w:tcBorders>
            <w:shd w:val="clear" w:color="auto" w:fill="auto"/>
            <w:vAlign w:val="bottom"/>
          </w:tcPr>
          <w:p w14:paraId="01759878" w14:textId="77777777" w:rsidR="00A52778" w:rsidRPr="00460F9E" w:rsidRDefault="00A52778" w:rsidP="00FC3F8E">
            <w:pPr>
              <w:spacing w:line="0" w:lineRule="atLeast"/>
              <w:rPr>
                <w:rFonts w:eastAsia="Times New Roman" w:cs="Times New Roman"/>
                <w:b/>
                <w:sz w:val="10"/>
              </w:rPr>
            </w:pPr>
          </w:p>
        </w:tc>
      </w:tr>
      <w:tr w:rsidR="00A52778" w:rsidRPr="00460F9E" w14:paraId="5E3CA752" w14:textId="77777777" w:rsidTr="00FC3F8E">
        <w:trPr>
          <w:trHeight w:val="129"/>
        </w:trPr>
        <w:tc>
          <w:tcPr>
            <w:tcW w:w="1843" w:type="dxa"/>
            <w:tcBorders>
              <w:left w:val="single" w:sz="4" w:space="0" w:color="auto"/>
              <w:right w:val="single" w:sz="8" w:space="0" w:color="auto"/>
            </w:tcBorders>
            <w:shd w:val="clear" w:color="auto" w:fill="auto"/>
            <w:vAlign w:val="bottom"/>
          </w:tcPr>
          <w:p w14:paraId="638D1A42" w14:textId="77777777" w:rsidR="00A52778" w:rsidRPr="00460F9E" w:rsidRDefault="00A52778" w:rsidP="00FC3F8E">
            <w:pPr>
              <w:spacing w:line="0" w:lineRule="atLeast"/>
              <w:rPr>
                <w:rFonts w:eastAsia="Times New Roman" w:cs="Times New Roman"/>
                <w:b/>
                <w:sz w:val="11"/>
              </w:rPr>
            </w:pPr>
          </w:p>
        </w:tc>
        <w:tc>
          <w:tcPr>
            <w:tcW w:w="1701" w:type="dxa"/>
            <w:vMerge/>
            <w:tcBorders>
              <w:right w:val="single" w:sz="8" w:space="0" w:color="auto"/>
            </w:tcBorders>
            <w:shd w:val="clear" w:color="auto" w:fill="auto"/>
            <w:vAlign w:val="bottom"/>
          </w:tcPr>
          <w:p w14:paraId="373551CC" w14:textId="77777777" w:rsidR="00A52778" w:rsidRPr="00460F9E" w:rsidRDefault="00A52778" w:rsidP="00FC3F8E">
            <w:pPr>
              <w:spacing w:line="147" w:lineRule="exact"/>
              <w:jc w:val="center"/>
              <w:rPr>
                <w:rFonts w:eastAsia="Times New Roman" w:cs="Times New Roman"/>
                <w:b/>
                <w:sz w:val="11"/>
              </w:rPr>
            </w:pPr>
          </w:p>
        </w:tc>
        <w:tc>
          <w:tcPr>
            <w:tcW w:w="1134" w:type="dxa"/>
            <w:vMerge/>
            <w:tcBorders>
              <w:right w:val="single" w:sz="8" w:space="0" w:color="auto"/>
            </w:tcBorders>
            <w:shd w:val="clear" w:color="auto" w:fill="auto"/>
            <w:vAlign w:val="bottom"/>
          </w:tcPr>
          <w:p w14:paraId="138FCBFD" w14:textId="77777777" w:rsidR="00A52778" w:rsidRPr="00460F9E" w:rsidRDefault="00A52778" w:rsidP="00FC3F8E">
            <w:pPr>
              <w:spacing w:line="222" w:lineRule="exact"/>
              <w:jc w:val="center"/>
              <w:rPr>
                <w:rFonts w:eastAsia="Times New Roman" w:cs="Times New Roman"/>
                <w:b/>
                <w:w w:val="99"/>
              </w:rPr>
            </w:pPr>
          </w:p>
        </w:tc>
        <w:tc>
          <w:tcPr>
            <w:tcW w:w="1985" w:type="dxa"/>
            <w:vMerge/>
            <w:tcBorders>
              <w:right w:val="single" w:sz="8" w:space="0" w:color="auto"/>
            </w:tcBorders>
            <w:shd w:val="clear" w:color="auto" w:fill="auto"/>
            <w:vAlign w:val="bottom"/>
          </w:tcPr>
          <w:p w14:paraId="0E916A53" w14:textId="77777777" w:rsidR="00A52778" w:rsidRPr="00460F9E" w:rsidRDefault="00A52778" w:rsidP="00FC3F8E">
            <w:pPr>
              <w:spacing w:line="0" w:lineRule="atLeast"/>
              <w:rPr>
                <w:rFonts w:eastAsia="Times New Roman" w:cs="Times New Roman"/>
                <w:b/>
                <w:sz w:val="11"/>
              </w:rPr>
            </w:pPr>
          </w:p>
        </w:tc>
        <w:tc>
          <w:tcPr>
            <w:tcW w:w="1275" w:type="dxa"/>
            <w:vMerge/>
            <w:tcBorders>
              <w:right w:val="single" w:sz="8" w:space="0" w:color="auto"/>
            </w:tcBorders>
            <w:shd w:val="clear" w:color="auto" w:fill="auto"/>
            <w:vAlign w:val="bottom"/>
          </w:tcPr>
          <w:p w14:paraId="7BA8BB94" w14:textId="77777777" w:rsidR="00A52778" w:rsidRPr="00460F9E" w:rsidRDefault="00A52778" w:rsidP="00FC3F8E">
            <w:pPr>
              <w:spacing w:line="0" w:lineRule="atLeast"/>
              <w:rPr>
                <w:rFonts w:eastAsia="Times New Roman" w:cs="Times New Roman"/>
                <w:b/>
                <w:sz w:val="11"/>
              </w:rPr>
            </w:pPr>
          </w:p>
        </w:tc>
        <w:tc>
          <w:tcPr>
            <w:tcW w:w="1276" w:type="dxa"/>
            <w:tcBorders>
              <w:right w:val="single" w:sz="4" w:space="0" w:color="auto"/>
            </w:tcBorders>
            <w:shd w:val="clear" w:color="auto" w:fill="auto"/>
            <w:vAlign w:val="bottom"/>
          </w:tcPr>
          <w:p w14:paraId="13311D45" w14:textId="77777777" w:rsidR="00A52778" w:rsidRPr="00460F9E" w:rsidRDefault="00A52778" w:rsidP="00FC3F8E">
            <w:pPr>
              <w:spacing w:line="0" w:lineRule="atLeast"/>
              <w:rPr>
                <w:rFonts w:eastAsia="Times New Roman" w:cs="Times New Roman"/>
                <w:b/>
                <w:sz w:val="11"/>
              </w:rPr>
            </w:pPr>
          </w:p>
        </w:tc>
      </w:tr>
      <w:tr w:rsidR="00A52778" w:rsidRPr="00460F9E" w14:paraId="371A8082" w14:textId="77777777" w:rsidTr="00FC3F8E">
        <w:trPr>
          <w:trHeight w:val="92"/>
        </w:trPr>
        <w:tc>
          <w:tcPr>
            <w:tcW w:w="1843" w:type="dxa"/>
            <w:tcBorders>
              <w:left w:val="single" w:sz="4" w:space="0" w:color="auto"/>
              <w:right w:val="single" w:sz="8" w:space="0" w:color="auto"/>
            </w:tcBorders>
            <w:shd w:val="clear" w:color="auto" w:fill="auto"/>
            <w:vAlign w:val="bottom"/>
          </w:tcPr>
          <w:p w14:paraId="57EBEB06" w14:textId="77777777" w:rsidR="00A52778" w:rsidRPr="00460F9E" w:rsidRDefault="00A52778" w:rsidP="00FC3F8E">
            <w:pPr>
              <w:spacing w:line="0" w:lineRule="atLeast"/>
              <w:rPr>
                <w:rFonts w:eastAsia="Times New Roman" w:cs="Times New Roman"/>
                <w:b/>
                <w:sz w:val="7"/>
              </w:rPr>
            </w:pPr>
          </w:p>
        </w:tc>
        <w:tc>
          <w:tcPr>
            <w:tcW w:w="1701" w:type="dxa"/>
            <w:vMerge/>
            <w:tcBorders>
              <w:right w:val="single" w:sz="8" w:space="0" w:color="auto"/>
            </w:tcBorders>
            <w:shd w:val="clear" w:color="auto" w:fill="auto"/>
            <w:vAlign w:val="bottom"/>
          </w:tcPr>
          <w:p w14:paraId="10A43726" w14:textId="77777777" w:rsidR="00A52778" w:rsidRPr="00460F9E" w:rsidRDefault="00A52778" w:rsidP="00FC3F8E">
            <w:pPr>
              <w:spacing w:line="147" w:lineRule="exact"/>
              <w:jc w:val="center"/>
              <w:rPr>
                <w:rFonts w:eastAsia="Times New Roman" w:cs="Times New Roman"/>
                <w:b/>
                <w:w w:val="98"/>
              </w:rPr>
            </w:pPr>
          </w:p>
        </w:tc>
        <w:tc>
          <w:tcPr>
            <w:tcW w:w="1134" w:type="dxa"/>
            <w:vMerge/>
            <w:tcBorders>
              <w:right w:val="single" w:sz="8" w:space="0" w:color="auto"/>
            </w:tcBorders>
            <w:shd w:val="clear" w:color="auto" w:fill="auto"/>
            <w:vAlign w:val="bottom"/>
          </w:tcPr>
          <w:p w14:paraId="06E46AD9" w14:textId="77777777" w:rsidR="00A52778" w:rsidRPr="00460F9E" w:rsidRDefault="00A52778" w:rsidP="00FC3F8E">
            <w:pPr>
              <w:spacing w:line="222" w:lineRule="exact"/>
              <w:jc w:val="center"/>
              <w:rPr>
                <w:rFonts w:eastAsia="Times New Roman" w:cs="Times New Roman"/>
                <w:b/>
                <w:sz w:val="7"/>
              </w:rPr>
            </w:pPr>
          </w:p>
        </w:tc>
        <w:tc>
          <w:tcPr>
            <w:tcW w:w="1985" w:type="dxa"/>
            <w:vMerge/>
            <w:tcBorders>
              <w:right w:val="single" w:sz="8" w:space="0" w:color="auto"/>
            </w:tcBorders>
            <w:shd w:val="clear" w:color="auto" w:fill="auto"/>
            <w:vAlign w:val="bottom"/>
          </w:tcPr>
          <w:p w14:paraId="03E3C999" w14:textId="77777777" w:rsidR="00A52778" w:rsidRPr="00460F9E" w:rsidRDefault="00A52778" w:rsidP="00FC3F8E">
            <w:pPr>
              <w:spacing w:line="0" w:lineRule="atLeast"/>
              <w:rPr>
                <w:rFonts w:eastAsia="Times New Roman" w:cs="Times New Roman"/>
                <w:b/>
                <w:sz w:val="7"/>
              </w:rPr>
            </w:pPr>
          </w:p>
        </w:tc>
        <w:tc>
          <w:tcPr>
            <w:tcW w:w="1275" w:type="dxa"/>
            <w:vMerge/>
            <w:tcBorders>
              <w:right w:val="single" w:sz="8" w:space="0" w:color="auto"/>
            </w:tcBorders>
            <w:shd w:val="clear" w:color="auto" w:fill="auto"/>
            <w:vAlign w:val="bottom"/>
          </w:tcPr>
          <w:p w14:paraId="54B99FFD" w14:textId="77777777" w:rsidR="00A52778" w:rsidRPr="00460F9E" w:rsidRDefault="00A52778" w:rsidP="00FC3F8E">
            <w:pPr>
              <w:spacing w:line="0" w:lineRule="atLeast"/>
              <w:rPr>
                <w:rFonts w:eastAsia="Times New Roman" w:cs="Times New Roman"/>
                <w:b/>
                <w:sz w:val="7"/>
              </w:rPr>
            </w:pPr>
          </w:p>
        </w:tc>
        <w:tc>
          <w:tcPr>
            <w:tcW w:w="1276" w:type="dxa"/>
            <w:tcBorders>
              <w:right w:val="single" w:sz="4" w:space="0" w:color="auto"/>
            </w:tcBorders>
            <w:shd w:val="clear" w:color="auto" w:fill="auto"/>
            <w:vAlign w:val="bottom"/>
          </w:tcPr>
          <w:p w14:paraId="703B8998" w14:textId="77777777" w:rsidR="00A52778" w:rsidRPr="00460F9E" w:rsidRDefault="00A52778" w:rsidP="00FC3F8E">
            <w:pPr>
              <w:spacing w:line="0" w:lineRule="atLeast"/>
              <w:rPr>
                <w:rFonts w:eastAsia="Times New Roman" w:cs="Times New Roman"/>
                <w:b/>
                <w:sz w:val="7"/>
              </w:rPr>
            </w:pPr>
          </w:p>
        </w:tc>
      </w:tr>
      <w:tr w:rsidR="00A52778" w:rsidRPr="00460F9E" w14:paraId="73B69F7D" w14:textId="77777777" w:rsidTr="00FC3F8E">
        <w:trPr>
          <w:trHeight w:val="127"/>
        </w:trPr>
        <w:tc>
          <w:tcPr>
            <w:tcW w:w="1843" w:type="dxa"/>
            <w:tcBorders>
              <w:left w:val="single" w:sz="4" w:space="0" w:color="auto"/>
              <w:right w:val="single" w:sz="8" w:space="0" w:color="auto"/>
            </w:tcBorders>
            <w:shd w:val="clear" w:color="auto" w:fill="auto"/>
            <w:vAlign w:val="bottom"/>
          </w:tcPr>
          <w:p w14:paraId="0EC0D179" w14:textId="77777777" w:rsidR="00A52778" w:rsidRPr="00460F9E" w:rsidRDefault="00A52778" w:rsidP="00FC3F8E">
            <w:pPr>
              <w:spacing w:line="0" w:lineRule="atLeast"/>
              <w:rPr>
                <w:rFonts w:eastAsia="Times New Roman" w:cs="Times New Roman"/>
                <w:b/>
                <w:sz w:val="11"/>
              </w:rPr>
            </w:pPr>
          </w:p>
        </w:tc>
        <w:tc>
          <w:tcPr>
            <w:tcW w:w="1701" w:type="dxa"/>
            <w:vMerge/>
            <w:tcBorders>
              <w:right w:val="single" w:sz="8" w:space="0" w:color="auto"/>
            </w:tcBorders>
            <w:shd w:val="clear" w:color="auto" w:fill="auto"/>
            <w:vAlign w:val="bottom"/>
          </w:tcPr>
          <w:p w14:paraId="1630C50F" w14:textId="77777777" w:rsidR="00A52778" w:rsidRPr="00460F9E" w:rsidRDefault="00A52778" w:rsidP="00FC3F8E">
            <w:pPr>
              <w:spacing w:line="147" w:lineRule="exact"/>
              <w:jc w:val="center"/>
              <w:rPr>
                <w:rFonts w:eastAsia="Times New Roman" w:cs="Times New Roman"/>
                <w:b/>
                <w:sz w:val="11"/>
              </w:rPr>
            </w:pPr>
          </w:p>
        </w:tc>
        <w:tc>
          <w:tcPr>
            <w:tcW w:w="1134" w:type="dxa"/>
            <w:vMerge/>
            <w:tcBorders>
              <w:right w:val="single" w:sz="8" w:space="0" w:color="auto"/>
            </w:tcBorders>
            <w:shd w:val="clear" w:color="auto" w:fill="auto"/>
            <w:vAlign w:val="bottom"/>
          </w:tcPr>
          <w:p w14:paraId="68048978" w14:textId="77777777" w:rsidR="00A52778" w:rsidRPr="00460F9E" w:rsidRDefault="00A52778" w:rsidP="00FC3F8E">
            <w:pPr>
              <w:spacing w:line="222" w:lineRule="exact"/>
              <w:jc w:val="center"/>
              <w:rPr>
                <w:rFonts w:eastAsia="Times New Roman" w:cs="Times New Roman"/>
                <w:b/>
              </w:rPr>
            </w:pPr>
          </w:p>
        </w:tc>
        <w:tc>
          <w:tcPr>
            <w:tcW w:w="1985" w:type="dxa"/>
            <w:vMerge/>
            <w:tcBorders>
              <w:right w:val="single" w:sz="8" w:space="0" w:color="auto"/>
            </w:tcBorders>
            <w:shd w:val="clear" w:color="auto" w:fill="auto"/>
            <w:vAlign w:val="bottom"/>
          </w:tcPr>
          <w:p w14:paraId="111AA334" w14:textId="77777777" w:rsidR="00A52778" w:rsidRPr="00460F9E" w:rsidRDefault="00A52778" w:rsidP="00FC3F8E">
            <w:pPr>
              <w:spacing w:line="0" w:lineRule="atLeast"/>
              <w:rPr>
                <w:rFonts w:eastAsia="Times New Roman" w:cs="Times New Roman"/>
                <w:b/>
                <w:sz w:val="11"/>
              </w:rPr>
            </w:pPr>
          </w:p>
        </w:tc>
        <w:tc>
          <w:tcPr>
            <w:tcW w:w="1275" w:type="dxa"/>
            <w:vMerge/>
            <w:tcBorders>
              <w:right w:val="single" w:sz="8" w:space="0" w:color="auto"/>
            </w:tcBorders>
            <w:shd w:val="clear" w:color="auto" w:fill="auto"/>
            <w:vAlign w:val="bottom"/>
          </w:tcPr>
          <w:p w14:paraId="45F3B6DD" w14:textId="77777777" w:rsidR="00A52778" w:rsidRPr="00460F9E" w:rsidRDefault="00A52778" w:rsidP="00FC3F8E">
            <w:pPr>
              <w:spacing w:line="0" w:lineRule="atLeast"/>
              <w:rPr>
                <w:rFonts w:eastAsia="Times New Roman" w:cs="Times New Roman"/>
                <w:b/>
                <w:sz w:val="11"/>
              </w:rPr>
            </w:pPr>
          </w:p>
        </w:tc>
        <w:tc>
          <w:tcPr>
            <w:tcW w:w="1276" w:type="dxa"/>
            <w:vMerge w:val="restart"/>
            <w:tcBorders>
              <w:right w:val="single" w:sz="4" w:space="0" w:color="auto"/>
            </w:tcBorders>
            <w:shd w:val="clear" w:color="auto" w:fill="auto"/>
            <w:vAlign w:val="bottom"/>
          </w:tcPr>
          <w:p w14:paraId="31BB263C" w14:textId="77777777" w:rsidR="00A52778" w:rsidRPr="00460F9E" w:rsidRDefault="002A1746" w:rsidP="00FC3F8E">
            <w:pPr>
              <w:spacing w:line="0" w:lineRule="atLeast"/>
              <w:ind w:left="320"/>
              <w:rPr>
                <w:rFonts w:eastAsia="Times New Roman" w:cs="Times New Roman"/>
                <w:b/>
              </w:rPr>
            </w:pPr>
            <w:hyperlink w:anchor="page302" w:history="1">
              <w:r w:rsidR="00A52778" w:rsidRPr="00460F9E">
                <w:rPr>
                  <w:rFonts w:eastAsia="Times New Roman" w:cs="Times New Roman"/>
                </w:rPr>
                <w:t>MET 11,</w:t>
              </w:r>
            </w:hyperlink>
          </w:p>
        </w:tc>
      </w:tr>
      <w:tr w:rsidR="00A52778" w:rsidRPr="00460F9E" w14:paraId="1D1C4D7E" w14:textId="77777777" w:rsidTr="00FC3F8E">
        <w:trPr>
          <w:trHeight w:val="118"/>
        </w:trPr>
        <w:tc>
          <w:tcPr>
            <w:tcW w:w="1843" w:type="dxa"/>
            <w:tcBorders>
              <w:left w:val="single" w:sz="4" w:space="0" w:color="auto"/>
              <w:right w:val="single" w:sz="8" w:space="0" w:color="auto"/>
            </w:tcBorders>
            <w:shd w:val="clear" w:color="auto" w:fill="auto"/>
            <w:vAlign w:val="bottom"/>
          </w:tcPr>
          <w:p w14:paraId="40117A7E" w14:textId="77777777" w:rsidR="00A52778" w:rsidRPr="00460F9E" w:rsidRDefault="00A52778" w:rsidP="00FC3F8E">
            <w:pPr>
              <w:spacing w:line="0" w:lineRule="atLeast"/>
              <w:rPr>
                <w:rFonts w:eastAsia="Times New Roman" w:cs="Times New Roman"/>
                <w:b/>
                <w:sz w:val="10"/>
              </w:rPr>
            </w:pPr>
          </w:p>
        </w:tc>
        <w:tc>
          <w:tcPr>
            <w:tcW w:w="1701" w:type="dxa"/>
            <w:vMerge/>
            <w:tcBorders>
              <w:right w:val="single" w:sz="8" w:space="0" w:color="auto"/>
            </w:tcBorders>
            <w:shd w:val="clear" w:color="auto" w:fill="auto"/>
            <w:vAlign w:val="bottom"/>
          </w:tcPr>
          <w:p w14:paraId="799505D1" w14:textId="77777777" w:rsidR="00A52778" w:rsidRPr="00460F9E" w:rsidRDefault="00A52778" w:rsidP="00FC3F8E">
            <w:pPr>
              <w:spacing w:line="147" w:lineRule="exact"/>
              <w:jc w:val="center"/>
              <w:rPr>
                <w:rFonts w:eastAsia="Times New Roman" w:cs="Times New Roman"/>
                <w:b/>
                <w:w w:val="99"/>
              </w:rPr>
            </w:pPr>
          </w:p>
        </w:tc>
        <w:tc>
          <w:tcPr>
            <w:tcW w:w="1134" w:type="dxa"/>
            <w:vMerge/>
            <w:tcBorders>
              <w:bottom w:val="single" w:sz="8" w:space="0" w:color="auto"/>
              <w:right w:val="single" w:sz="8" w:space="0" w:color="auto"/>
            </w:tcBorders>
            <w:shd w:val="clear" w:color="auto" w:fill="auto"/>
            <w:vAlign w:val="bottom"/>
          </w:tcPr>
          <w:p w14:paraId="650D1F28" w14:textId="77777777" w:rsidR="00A52778" w:rsidRPr="00460F9E" w:rsidRDefault="00A52778" w:rsidP="00FC3F8E">
            <w:pPr>
              <w:spacing w:line="0" w:lineRule="atLeast"/>
              <w:rPr>
                <w:rFonts w:eastAsia="Times New Roman" w:cs="Times New Roman"/>
                <w:b/>
                <w:sz w:val="10"/>
              </w:rPr>
            </w:pPr>
          </w:p>
        </w:tc>
        <w:tc>
          <w:tcPr>
            <w:tcW w:w="1985" w:type="dxa"/>
            <w:vMerge/>
            <w:tcBorders>
              <w:bottom w:val="single" w:sz="8" w:space="0" w:color="auto"/>
              <w:right w:val="single" w:sz="8" w:space="0" w:color="auto"/>
            </w:tcBorders>
            <w:shd w:val="clear" w:color="auto" w:fill="auto"/>
            <w:vAlign w:val="bottom"/>
          </w:tcPr>
          <w:p w14:paraId="437121AA" w14:textId="77777777" w:rsidR="00A52778" w:rsidRPr="00460F9E" w:rsidRDefault="00A52778" w:rsidP="00FC3F8E">
            <w:pPr>
              <w:spacing w:line="0" w:lineRule="atLeast"/>
              <w:rPr>
                <w:rFonts w:eastAsia="Times New Roman" w:cs="Times New Roman"/>
                <w:b/>
                <w:sz w:val="10"/>
              </w:rPr>
            </w:pPr>
          </w:p>
        </w:tc>
        <w:tc>
          <w:tcPr>
            <w:tcW w:w="1275" w:type="dxa"/>
            <w:vMerge/>
            <w:tcBorders>
              <w:bottom w:val="single" w:sz="8" w:space="0" w:color="auto"/>
              <w:right w:val="single" w:sz="8" w:space="0" w:color="auto"/>
            </w:tcBorders>
            <w:shd w:val="clear" w:color="auto" w:fill="auto"/>
            <w:vAlign w:val="bottom"/>
          </w:tcPr>
          <w:p w14:paraId="66255251" w14:textId="77777777" w:rsidR="00A52778" w:rsidRPr="00460F9E" w:rsidRDefault="00A52778" w:rsidP="00FC3F8E">
            <w:pPr>
              <w:spacing w:line="0" w:lineRule="atLeast"/>
              <w:rPr>
                <w:rFonts w:eastAsia="Times New Roman" w:cs="Times New Roman"/>
                <w:b/>
                <w:sz w:val="10"/>
              </w:rPr>
            </w:pPr>
          </w:p>
        </w:tc>
        <w:tc>
          <w:tcPr>
            <w:tcW w:w="1276" w:type="dxa"/>
            <w:vMerge/>
            <w:tcBorders>
              <w:right w:val="single" w:sz="4" w:space="0" w:color="auto"/>
            </w:tcBorders>
            <w:shd w:val="clear" w:color="auto" w:fill="auto"/>
            <w:vAlign w:val="bottom"/>
          </w:tcPr>
          <w:p w14:paraId="40D3EC48" w14:textId="77777777" w:rsidR="00A52778" w:rsidRPr="00460F9E" w:rsidRDefault="00A52778" w:rsidP="00FC3F8E">
            <w:pPr>
              <w:spacing w:line="0" w:lineRule="atLeast"/>
              <w:rPr>
                <w:rFonts w:eastAsia="Times New Roman" w:cs="Times New Roman"/>
                <w:b/>
                <w:sz w:val="10"/>
              </w:rPr>
            </w:pPr>
          </w:p>
        </w:tc>
      </w:tr>
      <w:tr w:rsidR="00A52778" w:rsidRPr="00460F9E" w14:paraId="0B1B52C4" w14:textId="77777777" w:rsidTr="00FC3F8E">
        <w:trPr>
          <w:trHeight w:val="93"/>
        </w:trPr>
        <w:tc>
          <w:tcPr>
            <w:tcW w:w="1843" w:type="dxa"/>
            <w:tcBorders>
              <w:left w:val="single" w:sz="4" w:space="0" w:color="auto"/>
              <w:right w:val="single" w:sz="8" w:space="0" w:color="auto"/>
            </w:tcBorders>
            <w:shd w:val="clear" w:color="auto" w:fill="auto"/>
            <w:vAlign w:val="bottom"/>
          </w:tcPr>
          <w:p w14:paraId="61D58B40" w14:textId="77777777" w:rsidR="00A52778" w:rsidRPr="00460F9E" w:rsidRDefault="00A52778" w:rsidP="00FC3F8E">
            <w:pPr>
              <w:spacing w:line="0" w:lineRule="atLeast"/>
              <w:rPr>
                <w:rFonts w:eastAsia="Times New Roman" w:cs="Times New Roman"/>
                <w:b/>
                <w:sz w:val="8"/>
              </w:rPr>
            </w:pPr>
          </w:p>
        </w:tc>
        <w:tc>
          <w:tcPr>
            <w:tcW w:w="1701" w:type="dxa"/>
            <w:vMerge/>
            <w:tcBorders>
              <w:right w:val="single" w:sz="8" w:space="0" w:color="auto"/>
            </w:tcBorders>
            <w:shd w:val="clear" w:color="auto" w:fill="auto"/>
            <w:vAlign w:val="bottom"/>
          </w:tcPr>
          <w:p w14:paraId="584C0418" w14:textId="77777777" w:rsidR="00A52778" w:rsidRPr="00460F9E" w:rsidRDefault="00A52778" w:rsidP="00FC3F8E">
            <w:pPr>
              <w:spacing w:line="147" w:lineRule="exact"/>
              <w:jc w:val="center"/>
              <w:rPr>
                <w:rFonts w:eastAsia="Times New Roman" w:cs="Times New Roman"/>
                <w:b/>
                <w:sz w:val="8"/>
              </w:rPr>
            </w:pPr>
          </w:p>
        </w:tc>
        <w:tc>
          <w:tcPr>
            <w:tcW w:w="1134" w:type="dxa"/>
            <w:vMerge w:val="restart"/>
            <w:tcBorders>
              <w:right w:val="single" w:sz="8" w:space="0" w:color="auto"/>
            </w:tcBorders>
            <w:shd w:val="clear" w:color="auto" w:fill="auto"/>
            <w:vAlign w:val="center"/>
          </w:tcPr>
          <w:p w14:paraId="7745F17F" w14:textId="77777777" w:rsidR="00A52778" w:rsidRPr="00460F9E" w:rsidRDefault="00A52778" w:rsidP="00FC3F8E">
            <w:pPr>
              <w:spacing w:line="219" w:lineRule="exact"/>
              <w:jc w:val="center"/>
              <w:rPr>
                <w:rFonts w:eastAsia="Times New Roman" w:cs="Times New Roman"/>
                <w:b/>
                <w:w w:val="99"/>
              </w:rPr>
            </w:pPr>
            <w:r w:rsidRPr="00460F9E">
              <w:rPr>
                <w:rFonts w:eastAsia="Times New Roman" w:cs="Times New Roman"/>
                <w:w w:val="99"/>
              </w:rPr>
              <w:t>TVOC kütle akışı &lt; 2,5 C/saat olan herhangi bir baca</w:t>
            </w:r>
          </w:p>
        </w:tc>
        <w:tc>
          <w:tcPr>
            <w:tcW w:w="1985" w:type="dxa"/>
            <w:tcBorders>
              <w:right w:val="single" w:sz="8" w:space="0" w:color="auto"/>
            </w:tcBorders>
            <w:shd w:val="clear" w:color="auto" w:fill="auto"/>
            <w:vAlign w:val="bottom"/>
          </w:tcPr>
          <w:p w14:paraId="514E7ABD" w14:textId="77777777" w:rsidR="00A52778" w:rsidRPr="00460F9E" w:rsidRDefault="00A52778" w:rsidP="00FC3F8E">
            <w:pPr>
              <w:spacing w:line="0" w:lineRule="atLeast"/>
              <w:rPr>
                <w:rFonts w:eastAsia="Times New Roman" w:cs="Times New Roman"/>
                <w:b/>
                <w:sz w:val="8"/>
              </w:rPr>
            </w:pPr>
          </w:p>
        </w:tc>
        <w:tc>
          <w:tcPr>
            <w:tcW w:w="1275" w:type="dxa"/>
            <w:vMerge w:val="restart"/>
            <w:tcBorders>
              <w:right w:val="single" w:sz="8" w:space="0" w:color="auto"/>
            </w:tcBorders>
            <w:shd w:val="clear" w:color="auto" w:fill="auto"/>
            <w:vAlign w:val="center"/>
          </w:tcPr>
          <w:p w14:paraId="4AC78A30"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Her 6 ayda</w:t>
            </w:r>
          </w:p>
          <w:p w14:paraId="640D31FF" w14:textId="77777777" w:rsidR="00A52778" w:rsidRPr="00460F9E" w:rsidRDefault="00A52778" w:rsidP="00FC3F8E">
            <w:pPr>
              <w:spacing w:line="232" w:lineRule="exact"/>
              <w:ind w:right="280"/>
              <w:jc w:val="center"/>
              <w:rPr>
                <w:rFonts w:eastAsia="Times New Roman" w:cs="Times New Roman"/>
                <w:b/>
              </w:rPr>
            </w:pPr>
            <w:r w:rsidRPr="00460F9E">
              <w:rPr>
                <w:rFonts w:eastAsia="Times New Roman" w:cs="Times New Roman"/>
              </w:rPr>
              <w:t xml:space="preserve">     1 kere</w:t>
            </w:r>
          </w:p>
          <w:p w14:paraId="6943E651" w14:textId="77777777" w:rsidR="00A52778" w:rsidRPr="00460F9E" w:rsidRDefault="00A52778" w:rsidP="00FC3F8E">
            <w:pPr>
              <w:spacing w:line="241" w:lineRule="exact"/>
              <w:jc w:val="center"/>
              <w:rPr>
                <w:rFonts w:eastAsia="Times New Roman" w:cs="Times New Roman"/>
                <w:b/>
                <w:sz w:val="8"/>
              </w:rPr>
            </w:pPr>
            <w:r w:rsidRPr="00460F9E">
              <w:rPr>
                <w:rFonts w:eastAsia="Times New Roman" w:cs="Times New Roman"/>
                <w:w w:val="95"/>
              </w:rPr>
              <w:t>(</w:t>
            </w:r>
            <w:r w:rsidRPr="00460F9E">
              <w:rPr>
                <w:rFonts w:eastAsia="Times New Roman" w:cs="Times New Roman"/>
                <w:w w:val="95"/>
                <w:sz w:val="25"/>
                <w:vertAlign w:val="superscript"/>
              </w:rPr>
              <w:t>3</w:t>
            </w:r>
            <w:r w:rsidRPr="00460F9E">
              <w:rPr>
                <w:rFonts w:eastAsia="Times New Roman" w:cs="Times New Roman"/>
                <w:w w:val="95"/>
              </w:rPr>
              <w:t>) (</w:t>
            </w:r>
            <w:r w:rsidRPr="00460F9E">
              <w:rPr>
                <w:rFonts w:eastAsia="Times New Roman" w:cs="Times New Roman"/>
                <w:w w:val="95"/>
                <w:sz w:val="25"/>
                <w:vertAlign w:val="superscript"/>
              </w:rPr>
              <w:t>4</w:t>
            </w:r>
            <w:r w:rsidRPr="00460F9E">
              <w:rPr>
                <w:rFonts w:eastAsia="Times New Roman" w:cs="Times New Roman"/>
                <w:w w:val="95"/>
              </w:rPr>
              <w:t>)</w:t>
            </w:r>
          </w:p>
        </w:tc>
        <w:tc>
          <w:tcPr>
            <w:tcW w:w="1276" w:type="dxa"/>
            <w:vMerge w:val="restart"/>
            <w:tcBorders>
              <w:right w:val="single" w:sz="4" w:space="0" w:color="auto"/>
            </w:tcBorders>
            <w:shd w:val="clear" w:color="auto" w:fill="auto"/>
            <w:vAlign w:val="bottom"/>
          </w:tcPr>
          <w:p w14:paraId="6CE793BB" w14:textId="77777777" w:rsidR="00A52778" w:rsidRPr="00460F9E" w:rsidRDefault="002A1746" w:rsidP="00FC3F8E">
            <w:pPr>
              <w:spacing w:line="208" w:lineRule="exact"/>
              <w:ind w:left="340"/>
              <w:rPr>
                <w:rFonts w:eastAsia="Times New Roman" w:cs="Times New Roman"/>
                <w:b/>
              </w:rPr>
            </w:pPr>
            <w:hyperlink w:anchor="page325" w:history="1">
              <w:r w:rsidR="00A52778" w:rsidRPr="00460F9E">
                <w:rPr>
                  <w:rFonts w:eastAsia="Times New Roman" w:cs="Times New Roman"/>
                </w:rPr>
                <w:t>MET 32</w:t>
              </w:r>
            </w:hyperlink>
          </w:p>
        </w:tc>
      </w:tr>
      <w:tr w:rsidR="00A52778" w:rsidRPr="00460F9E" w14:paraId="2BE4E980" w14:textId="77777777" w:rsidTr="00FC3F8E">
        <w:trPr>
          <w:trHeight w:val="115"/>
        </w:trPr>
        <w:tc>
          <w:tcPr>
            <w:tcW w:w="1843" w:type="dxa"/>
            <w:tcBorders>
              <w:left w:val="single" w:sz="4" w:space="0" w:color="auto"/>
              <w:right w:val="single" w:sz="8" w:space="0" w:color="auto"/>
            </w:tcBorders>
            <w:shd w:val="clear" w:color="auto" w:fill="auto"/>
            <w:vAlign w:val="bottom"/>
          </w:tcPr>
          <w:p w14:paraId="3242D6FC" w14:textId="77777777" w:rsidR="00A52778" w:rsidRPr="00460F9E" w:rsidRDefault="00A52778" w:rsidP="00FC3F8E">
            <w:pPr>
              <w:spacing w:line="0" w:lineRule="atLeast"/>
              <w:rPr>
                <w:rFonts w:eastAsia="Times New Roman" w:cs="Times New Roman"/>
                <w:b/>
                <w:sz w:val="10"/>
              </w:rPr>
            </w:pPr>
          </w:p>
        </w:tc>
        <w:tc>
          <w:tcPr>
            <w:tcW w:w="1701" w:type="dxa"/>
            <w:vMerge/>
            <w:tcBorders>
              <w:right w:val="single" w:sz="8" w:space="0" w:color="auto"/>
            </w:tcBorders>
            <w:shd w:val="clear" w:color="auto" w:fill="auto"/>
            <w:vAlign w:val="bottom"/>
          </w:tcPr>
          <w:p w14:paraId="493E5AB6" w14:textId="77777777" w:rsidR="00A52778" w:rsidRPr="00460F9E" w:rsidRDefault="00A52778" w:rsidP="00FC3F8E">
            <w:pPr>
              <w:spacing w:line="147" w:lineRule="exact"/>
              <w:jc w:val="center"/>
              <w:rPr>
                <w:rFonts w:eastAsia="Times New Roman" w:cs="Times New Roman"/>
                <w:b/>
                <w:sz w:val="13"/>
              </w:rPr>
            </w:pPr>
          </w:p>
        </w:tc>
        <w:tc>
          <w:tcPr>
            <w:tcW w:w="1134" w:type="dxa"/>
            <w:vMerge/>
            <w:tcBorders>
              <w:right w:val="single" w:sz="8" w:space="0" w:color="auto"/>
            </w:tcBorders>
            <w:shd w:val="clear" w:color="auto" w:fill="auto"/>
            <w:vAlign w:val="bottom"/>
          </w:tcPr>
          <w:p w14:paraId="782AD7CC" w14:textId="77777777" w:rsidR="00A52778" w:rsidRPr="00460F9E" w:rsidRDefault="00A52778" w:rsidP="00FC3F8E">
            <w:pPr>
              <w:spacing w:line="219" w:lineRule="exact"/>
              <w:jc w:val="center"/>
              <w:rPr>
                <w:rFonts w:eastAsia="Times New Roman" w:cs="Times New Roman"/>
                <w:b/>
                <w:sz w:val="10"/>
              </w:rPr>
            </w:pPr>
          </w:p>
        </w:tc>
        <w:tc>
          <w:tcPr>
            <w:tcW w:w="1985" w:type="dxa"/>
            <w:tcBorders>
              <w:right w:val="single" w:sz="8" w:space="0" w:color="auto"/>
            </w:tcBorders>
            <w:shd w:val="clear" w:color="auto" w:fill="auto"/>
            <w:vAlign w:val="bottom"/>
          </w:tcPr>
          <w:p w14:paraId="1EA5AB97" w14:textId="77777777" w:rsidR="00A52778" w:rsidRPr="00460F9E" w:rsidRDefault="00A52778" w:rsidP="00FC3F8E">
            <w:pPr>
              <w:spacing w:line="0" w:lineRule="atLeast"/>
              <w:rPr>
                <w:rFonts w:eastAsia="Times New Roman" w:cs="Times New Roman"/>
                <w:b/>
                <w:sz w:val="10"/>
              </w:rPr>
            </w:pPr>
          </w:p>
        </w:tc>
        <w:tc>
          <w:tcPr>
            <w:tcW w:w="1275" w:type="dxa"/>
            <w:vMerge/>
            <w:tcBorders>
              <w:right w:val="single" w:sz="8" w:space="0" w:color="auto"/>
            </w:tcBorders>
            <w:shd w:val="clear" w:color="auto" w:fill="auto"/>
            <w:vAlign w:val="bottom"/>
          </w:tcPr>
          <w:p w14:paraId="54B48AB5" w14:textId="77777777" w:rsidR="00A52778" w:rsidRPr="00460F9E" w:rsidRDefault="00A52778" w:rsidP="00FC3F8E">
            <w:pPr>
              <w:spacing w:line="241" w:lineRule="exact"/>
              <w:jc w:val="center"/>
              <w:rPr>
                <w:rFonts w:eastAsia="Times New Roman" w:cs="Times New Roman"/>
                <w:b/>
                <w:sz w:val="10"/>
              </w:rPr>
            </w:pPr>
          </w:p>
        </w:tc>
        <w:tc>
          <w:tcPr>
            <w:tcW w:w="1276" w:type="dxa"/>
            <w:vMerge/>
            <w:tcBorders>
              <w:right w:val="single" w:sz="4" w:space="0" w:color="auto"/>
            </w:tcBorders>
            <w:shd w:val="clear" w:color="auto" w:fill="auto"/>
            <w:vAlign w:val="bottom"/>
          </w:tcPr>
          <w:p w14:paraId="2D3A2D34" w14:textId="77777777" w:rsidR="00A52778" w:rsidRPr="00460F9E" w:rsidRDefault="00A52778" w:rsidP="00FC3F8E">
            <w:pPr>
              <w:spacing w:line="0" w:lineRule="atLeast"/>
              <w:rPr>
                <w:rFonts w:eastAsia="Times New Roman" w:cs="Times New Roman"/>
                <w:b/>
                <w:sz w:val="10"/>
              </w:rPr>
            </w:pPr>
          </w:p>
        </w:tc>
      </w:tr>
      <w:tr w:rsidR="00A52778" w:rsidRPr="00460F9E" w14:paraId="7B895D58" w14:textId="77777777" w:rsidTr="00FC3F8E">
        <w:trPr>
          <w:trHeight w:val="31"/>
        </w:trPr>
        <w:tc>
          <w:tcPr>
            <w:tcW w:w="1843" w:type="dxa"/>
            <w:tcBorders>
              <w:left w:val="single" w:sz="4" w:space="0" w:color="auto"/>
              <w:right w:val="single" w:sz="8" w:space="0" w:color="auto"/>
            </w:tcBorders>
            <w:shd w:val="clear" w:color="auto" w:fill="auto"/>
            <w:vAlign w:val="bottom"/>
          </w:tcPr>
          <w:p w14:paraId="07DEA387" w14:textId="77777777" w:rsidR="00A52778" w:rsidRPr="00460F9E" w:rsidRDefault="00A52778" w:rsidP="00FC3F8E">
            <w:pPr>
              <w:spacing w:line="0" w:lineRule="atLeast"/>
              <w:rPr>
                <w:rFonts w:eastAsia="Times New Roman" w:cs="Times New Roman"/>
                <w:b/>
                <w:sz w:val="2"/>
              </w:rPr>
            </w:pPr>
          </w:p>
        </w:tc>
        <w:tc>
          <w:tcPr>
            <w:tcW w:w="1701" w:type="dxa"/>
            <w:vMerge/>
            <w:tcBorders>
              <w:right w:val="single" w:sz="8" w:space="0" w:color="auto"/>
            </w:tcBorders>
            <w:shd w:val="clear" w:color="auto" w:fill="auto"/>
            <w:vAlign w:val="bottom"/>
          </w:tcPr>
          <w:p w14:paraId="03342539" w14:textId="77777777" w:rsidR="00A52778" w:rsidRPr="00460F9E" w:rsidRDefault="00A52778" w:rsidP="00FC3F8E">
            <w:pPr>
              <w:spacing w:line="0" w:lineRule="atLeast"/>
              <w:rPr>
                <w:rFonts w:eastAsia="Times New Roman" w:cs="Times New Roman"/>
                <w:b/>
                <w:sz w:val="2"/>
              </w:rPr>
            </w:pPr>
          </w:p>
        </w:tc>
        <w:tc>
          <w:tcPr>
            <w:tcW w:w="1134" w:type="dxa"/>
            <w:vMerge/>
            <w:tcBorders>
              <w:right w:val="single" w:sz="8" w:space="0" w:color="auto"/>
            </w:tcBorders>
            <w:shd w:val="clear" w:color="auto" w:fill="auto"/>
            <w:vAlign w:val="bottom"/>
          </w:tcPr>
          <w:p w14:paraId="0284B182" w14:textId="77777777" w:rsidR="00A52778" w:rsidRPr="00460F9E" w:rsidRDefault="00A52778" w:rsidP="00FC3F8E">
            <w:pPr>
              <w:spacing w:line="219" w:lineRule="exact"/>
              <w:jc w:val="center"/>
              <w:rPr>
                <w:rFonts w:eastAsia="Times New Roman" w:cs="Times New Roman"/>
                <w:b/>
                <w:sz w:val="2"/>
              </w:rPr>
            </w:pPr>
          </w:p>
        </w:tc>
        <w:tc>
          <w:tcPr>
            <w:tcW w:w="1985" w:type="dxa"/>
            <w:tcBorders>
              <w:right w:val="single" w:sz="8" w:space="0" w:color="auto"/>
            </w:tcBorders>
            <w:shd w:val="clear" w:color="auto" w:fill="auto"/>
            <w:vAlign w:val="bottom"/>
          </w:tcPr>
          <w:p w14:paraId="379A8BBD" w14:textId="77777777" w:rsidR="00A52778" w:rsidRPr="00460F9E" w:rsidRDefault="00A52778" w:rsidP="00FC3F8E">
            <w:pPr>
              <w:spacing w:line="0" w:lineRule="atLeast"/>
              <w:rPr>
                <w:rFonts w:eastAsia="Times New Roman" w:cs="Times New Roman"/>
                <w:b/>
                <w:sz w:val="2"/>
              </w:rPr>
            </w:pPr>
          </w:p>
        </w:tc>
        <w:tc>
          <w:tcPr>
            <w:tcW w:w="1275" w:type="dxa"/>
            <w:vMerge/>
            <w:tcBorders>
              <w:right w:val="single" w:sz="8" w:space="0" w:color="auto"/>
            </w:tcBorders>
            <w:shd w:val="clear" w:color="auto" w:fill="auto"/>
            <w:vAlign w:val="bottom"/>
          </w:tcPr>
          <w:p w14:paraId="3EEFB563" w14:textId="77777777" w:rsidR="00A52778" w:rsidRPr="00460F9E" w:rsidRDefault="00A52778" w:rsidP="00FC3F8E">
            <w:pPr>
              <w:spacing w:line="241" w:lineRule="exact"/>
              <w:jc w:val="center"/>
              <w:rPr>
                <w:rFonts w:eastAsia="Times New Roman" w:cs="Times New Roman"/>
                <w:b/>
              </w:rPr>
            </w:pPr>
          </w:p>
        </w:tc>
        <w:tc>
          <w:tcPr>
            <w:tcW w:w="1276" w:type="dxa"/>
            <w:tcBorders>
              <w:right w:val="single" w:sz="4" w:space="0" w:color="auto"/>
            </w:tcBorders>
            <w:shd w:val="clear" w:color="auto" w:fill="auto"/>
            <w:vAlign w:val="bottom"/>
          </w:tcPr>
          <w:p w14:paraId="0D0E6019" w14:textId="77777777" w:rsidR="00A52778" w:rsidRPr="00460F9E" w:rsidRDefault="00A52778" w:rsidP="00FC3F8E">
            <w:pPr>
              <w:spacing w:line="0" w:lineRule="atLeast"/>
              <w:rPr>
                <w:rFonts w:eastAsia="Times New Roman" w:cs="Times New Roman"/>
                <w:b/>
                <w:sz w:val="2"/>
              </w:rPr>
            </w:pPr>
          </w:p>
        </w:tc>
      </w:tr>
      <w:tr w:rsidR="00A52778" w:rsidRPr="00460F9E" w14:paraId="54CBDEE0" w14:textId="77777777" w:rsidTr="00FC3F8E">
        <w:trPr>
          <w:trHeight w:val="219"/>
        </w:trPr>
        <w:tc>
          <w:tcPr>
            <w:tcW w:w="1843" w:type="dxa"/>
            <w:tcBorders>
              <w:left w:val="single" w:sz="4" w:space="0" w:color="auto"/>
              <w:right w:val="single" w:sz="8" w:space="0" w:color="auto"/>
            </w:tcBorders>
            <w:shd w:val="clear" w:color="auto" w:fill="auto"/>
            <w:vAlign w:val="bottom"/>
          </w:tcPr>
          <w:p w14:paraId="5FCEF6FF" w14:textId="77777777" w:rsidR="00A52778" w:rsidRPr="00460F9E" w:rsidRDefault="00A52778" w:rsidP="00FC3F8E">
            <w:pPr>
              <w:spacing w:line="0" w:lineRule="atLeast"/>
              <w:rPr>
                <w:rFonts w:eastAsia="Times New Roman" w:cs="Times New Roman"/>
                <w:b/>
                <w:sz w:val="19"/>
              </w:rPr>
            </w:pPr>
          </w:p>
        </w:tc>
        <w:tc>
          <w:tcPr>
            <w:tcW w:w="1701" w:type="dxa"/>
            <w:vMerge/>
            <w:tcBorders>
              <w:right w:val="single" w:sz="8" w:space="0" w:color="auto"/>
            </w:tcBorders>
            <w:shd w:val="clear" w:color="auto" w:fill="auto"/>
            <w:vAlign w:val="bottom"/>
          </w:tcPr>
          <w:p w14:paraId="21E6828F" w14:textId="77777777" w:rsidR="00A52778" w:rsidRPr="00460F9E" w:rsidRDefault="00A52778" w:rsidP="00FC3F8E">
            <w:pPr>
              <w:spacing w:line="0" w:lineRule="atLeast"/>
              <w:rPr>
                <w:rFonts w:eastAsia="Times New Roman" w:cs="Times New Roman"/>
                <w:b/>
                <w:sz w:val="19"/>
              </w:rPr>
            </w:pPr>
          </w:p>
        </w:tc>
        <w:tc>
          <w:tcPr>
            <w:tcW w:w="1134" w:type="dxa"/>
            <w:vMerge/>
            <w:tcBorders>
              <w:right w:val="single" w:sz="8" w:space="0" w:color="auto"/>
            </w:tcBorders>
            <w:shd w:val="clear" w:color="auto" w:fill="auto"/>
            <w:vAlign w:val="bottom"/>
          </w:tcPr>
          <w:p w14:paraId="232B6D56" w14:textId="77777777" w:rsidR="00A52778" w:rsidRPr="00460F9E" w:rsidRDefault="00A52778" w:rsidP="00FC3F8E">
            <w:pPr>
              <w:spacing w:line="219" w:lineRule="exact"/>
              <w:jc w:val="center"/>
              <w:rPr>
                <w:rFonts w:eastAsia="Times New Roman" w:cs="Times New Roman"/>
                <w:b/>
                <w:w w:val="96"/>
              </w:rPr>
            </w:pPr>
          </w:p>
        </w:tc>
        <w:tc>
          <w:tcPr>
            <w:tcW w:w="1985" w:type="dxa"/>
            <w:tcBorders>
              <w:right w:val="single" w:sz="8" w:space="0" w:color="auto"/>
            </w:tcBorders>
            <w:shd w:val="clear" w:color="auto" w:fill="auto"/>
            <w:vAlign w:val="bottom"/>
          </w:tcPr>
          <w:p w14:paraId="540E375C" w14:textId="77777777" w:rsidR="00A52778" w:rsidRPr="00460F9E" w:rsidRDefault="00A52778" w:rsidP="00FC3F8E">
            <w:pPr>
              <w:spacing w:line="0" w:lineRule="atLeast"/>
              <w:rPr>
                <w:rFonts w:eastAsia="Times New Roman" w:cs="Times New Roman"/>
                <w:b/>
                <w:sz w:val="19"/>
              </w:rPr>
            </w:pPr>
          </w:p>
        </w:tc>
        <w:tc>
          <w:tcPr>
            <w:tcW w:w="1275" w:type="dxa"/>
            <w:vMerge/>
            <w:tcBorders>
              <w:right w:val="single" w:sz="8" w:space="0" w:color="auto"/>
            </w:tcBorders>
            <w:shd w:val="clear" w:color="auto" w:fill="auto"/>
            <w:vAlign w:val="bottom"/>
          </w:tcPr>
          <w:p w14:paraId="406EAA53" w14:textId="77777777" w:rsidR="00A52778" w:rsidRPr="00460F9E" w:rsidRDefault="00A52778" w:rsidP="00FC3F8E">
            <w:pPr>
              <w:spacing w:line="241" w:lineRule="exact"/>
              <w:jc w:val="center"/>
              <w:rPr>
                <w:rFonts w:eastAsia="Times New Roman" w:cs="Times New Roman"/>
                <w:b/>
                <w:sz w:val="19"/>
              </w:rPr>
            </w:pPr>
          </w:p>
        </w:tc>
        <w:tc>
          <w:tcPr>
            <w:tcW w:w="1276" w:type="dxa"/>
            <w:tcBorders>
              <w:right w:val="single" w:sz="4" w:space="0" w:color="auto"/>
            </w:tcBorders>
            <w:shd w:val="clear" w:color="auto" w:fill="auto"/>
            <w:vAlign w:val="bottom"/>
          </w:tcPr>
          <w:p w14:paraId="70890D30" w14:textId="77777777" w:rsidR="00A52778" w:rsidRPr="00460F9E" w:rsidRDefault="00A52778" w:rsidP="00FC3F8E">
            <w:pPr>
              <w:spacing w:line="0" w:lineRule="atLeast"/>
              <w:rPr>
                <w:rFonts w:eastAsia="Times New Roman" w:cs="Times New Roman"/>
                <w:b/>
                <w:sz w:val="19"/>
              </w:rPr>
            </w:pPr>
          </w:p>
        </w:tc>
      </w:tr>
      <w:tr w:rsidR="00A52778" w:rsidRPr="00460F9E" w14:paraId="3F9F7C3E" w14:textId="77777777" w:rsidTr="00FC3F8E">
        <w:trPr>
          <w:trHeight w:val="222"/>
        </w:trPr>
        <w:tc>
          <w:tcPr>
            <w:tcW w:w="1843" w:type="dxa"/>
            <w:tcBorders>
              <w:left w:val="single" w:sz="4" w:space="0" w:color="auto"/>
              <w:right w:val="single" w:sz="8" w:space="0" w:color="auto"/>
            </w:tcBorders>
            <w:shd w:val="clear" w:color="auto" w:fill="auto"/>
            <w:vAlign w:val="bottom"/>
          </w:tcPr>
          <w:p w14:paraId="2C321BB5" w14:textId="77777777" w:rsidR="00A52778" w:rsidRPr="00460F9E" w:rsidRDefault="00A52778" w:rsidP="00FC3F8E">
            <w:pPr>
              <w:spacing w:line="0" w:lineRule="atLeast"/>
              <w:rPr>
                <w:rFonts w:eastAsia="Times New Roman" w:cs="Times New Roman"/>
                <w:b/>
                <w:sz w:val="19"/>
              </w:rPr>
            </w:pPr>
          </w:p>
        </w:tc>
        <w:tc>
          <w:tcPr>
            <w:tcW w:w="1701" w:type="dxa"/>
            <w:vMerge/>
            <w:tcBorders>
              <w:right w:val="single" w:sz="8" w:space="0" w:color="auto"/>
            </w:tcBorders>
            <w:shd w:val="clear" w:color="auto" w:fill="auto"/>
            <w:vAlign w:val="bottom"/>
          </w:tcPr>
          <w:p w14:paraId="195DAA8D" w14:textId="77777777" w:rsidR="00A52778" w:rsidRPr="00460F9E" w:rsidRDefault="00A52778" w:rsidP="00FC3F8E">
            <w:pPr>
              <w:spacing w:line="0" w:lineRule="atLeast"/>
              <w:rPr>
                <w:rFonts w:eastAsia="Times New Roman" w:cs="Times New Roman"/>
                <w:b/>
                <w:sz w:val="19"/>
              </w:rPr>
            </w:pPr>
          </w:p>
        </w:tc>
        <w:tc>
          <w:tcPr>
            <w:tcW w:w="1134" w:type="dxa"/>
            <w:vMerge/>
            <w:tcBorders>
              <w:right w:val="single" w:sz="8" w:space="0" w:color="auto"/>
            </w:tcBorders>
            <w:shd w:val="clear" w:color="auto" w:fill="auto"/>
            <w:vAlign w:val="bottom"/>
          </w:tcPr>
          <w:p w14:paraId="396494C0" w14:textId="77777777" w:rsidR="00A52778" w:rsidRPr="00460F9E" w:rsidRDefault="00A52778" w:rsidP="00FC3F8E">
            <w:pPr>
              <w:spacing w:line="219" w:lineRule="exact"/>
              <w:jc w:val="center"/>
              <w:rPr>
                <w:rFonts w:eastAsia="Times New Roman" w:cs="Times New Roman"/>
                <w:b/>
              </w:rPr>
            </w:pPr>
          </w:p>
        </w:tc>
        <w:tc>
          <w:tcPr>
            <w:tcW w:w="1985" w:type="dxa"/>
            <w:tcBorders>
              <w:right w:val="single" w:sz="8" w:space="0" w:color="auto"/>
            </w:tcBorders>
            <w:shd w:val="clear" w:color="auto" w:fill="auto"/>
            <w:vAlign w:val="bottom"/>
          </w:tcPr>
          <w:p w14:paraId="62AB660F" w14:textId="77777777" w:rsidR="00A52778" w:rsidRPr="00460F9E" w:rsidRDefault="00A52778" w:rsidP="00FC3F8E">
            <w:pPr>
              <w:spacing w:line="223" w:lineRule="exact"/>
              <w:jc w:val="center"/>
              <w:rPr>
                <w:rFonts w:eastAsia="Times New Roman" w:cs="Times New Roman"/>
                <w:b/>
              </w:rPr>
            </w:pPr>
            <w:r w:rsidRPr="00460F9E">
              <w:rPr>
                <w:rFonts w:eastAsia="Times New Roman" w:cs="Times New Roman"/>
              </w:rPr>
              <w:t>EN 12619</w:t>
            </w:r>
          </w:p>
        </w:tc>
        <w:tc>
          <w:tcPr>
            <w:tcW w:w="1275" w:type="dxa"/>
            <w:vMerge/>
            <w:tcBorders>
              <w:right w:val="single" w:sz="8" w:space="0" w:color="auto"/>
            </w:tcBorders>
            <w:shd w:val="clear" w:color="auto" w:fill="auto"/>
            <w:vAlign w:val="bottom"/>
          </w:tcPr>
          <w:p w14:paraId="64774542" w14:textId="77777777" w:rsidR="00A52778" w:rsidRPr="00460F9E" w:rsidRDefault="00A52778" w:rsidP="00FC3F8E">
            <w:pPr>
              <w:spacing w:line="241" w:lineRule="exact"/>
              <w:jc w:val="center"/>
              <w:rPr>
                <w:rFonts w:eastAsia="Times New Roman" w:cs="Times New Roman"/>
                <w:b/>
              </w:rPr>
            </w:pPr>
          </w:p>
        </w:tc>
        <w:tc>
          <w:tcPr>
            <w:tcW w:w="1276" w:type="dxa"/>
            <w:tcBorders>
              <w:right w:val="single" w:sz="4" w:space="0" w:color="auto"/>
            </w:tcBorders>
            <w:shd w:val="clear" w:color="auto" w:fill="auto"/>
            <w:vAlign w:val="bottom"/>
          </w:tcPr>
          <w:p w14:paraId="4EA8DFD3" w14:textId="77777777" w:rsidR="00A52778" w:rsidRPr="00460F9E" w:rsidRDefault="00A52778" w:rsidP="00FC3F8E">
            <w:pPr>
              <w:spacing w:line="0" w:lineRule="atLeast"/>
              <w:rPr>
                <w:rFonts w:eastAsia="Times New Roman" w:cs="Times New Roman"/>
                <w:b/>
                <w:sz w:val="19"/>
              </w:rPr>
            </w:pPr>
          </w:p>
        </w:tc>
      </w:tr>
      <w:tr w:rsidR="00A52778" w:rsidRPr="00460F9E" w14:paraId="199FDC24" w14:textId="77777777" w:rsidTr="00FC3F8E">
        <w:trPr>
          <w:trHeight w:val="242"/>
        </w:trPr>
        <w:tc>
          <w:tcPr>
            <w:tcW w:w="1843" w:type="dxa"/>
            <w:tcBorders>
              <w:left w:val="single" w:sz="4" w:space="0" w:color="auto"/>
              <w:right w:val="single" w:sz="8" w:space="0" w:color="auto"/>
            </w:tcBorders>
            <w:shd w:val="clear" w:color="auto" w:fill="auto"/>
            <w:vAlign w:val="bottom"/>
          </w:tcPr>
          <w:p w14:paraId="646E2126" w14:textId="77777777" w:rsidR="00A52778" w:rsidRPr="00460F9E" w:rsidRDefault="00A52778" w:rsidP="00FC3F8E">
            <w:pPr>
              <w:spacing w:line="0" w:lineRule="atLeast"/>
              <w:rPr>
                <w:rFonts w:eastAsia="Times New Roman" w:cs="Times New Roman"/>
                <w:b/>
                <w:sz w:val="21"/>
              </w:rPr>
            </w:pPr>
          </w:p>
        </w:tc>
        <w:tc>
          <w:tcPr>
            <w:tcW w:w="1701" w:type="dxa"/>
            <w:vMerge/>
            <w:tcBorders>
              <w:right w:val="single" w:sz="8" w:space="0" w:color="auto"/>
            </w:tcBorders>
            <w:shd w:val="clear" w:color="auto" w:fill="auto"/>
            <w:vAlign w:val="bottom"/>
          </w:tcPr>
          <w:p w14:paraId="6FFAABB5" w14:textId="77777777" w:rsidR="00A52778" w:rsidRPr="00460F9E" w:rsidRDefault="00A52778" w:rsidP="00FC3F8E">
            <w:pPr>
              <w:spacing w:line="0" w:lineRule="atLeast"/>
              <w:rPr>
                <w:rFonts w:eastAsia="Times New Roman" w:cs="Times New Roman"/>
                <w:b/>
                <w:sz w:val="21"/>
              </w:rPr>
            </w:pPr>
          </w:p>
        </w:tc>
        <w:tc>
          <w:tcPr>
            <w:tcW w:w="1134" w:type="dxa"/>
            <w:vMerge/>
            <w:tcBorders>
              <w:right w:val="single" w:sz="8" w:space="0" w:color="auto"/>
            </w:tcBorders>
            <w:shd w:val="clear" w:color="auto" w:fill="auto"/>
            <w:vAlign w:val="bottom"/>
          </w:tcPr>
          <w:p w14:paraId="7E9A3716" w14:textId="77777777" w:rsidR="00A52778" w:rsidRPr="00460F9E" w:rsidRDefault="00A52778" w:rsidP="00FC3F8E">
            <w:pPr>
              <w:spacing w:line="219" w:lineRule="exact"/>
              <w:jc w:val="center"/>
              <w:rPr>
                <w:rFonts w:eastAsia="Times New Roman" w:cs="Times New Roman"/>
                <w:b/>
                <w:w w:val="99"/>
              </w:rPr>
            </w:pPr>
          </w:p>
        </w:tc>
        <w:tc>
          <w:tcPr>
            <w:tcW w:w="1985" w:type="dxa"/>
            <w:tcBorders>
              <w:right w:val="single" w:sz="8" w:space="0" w:color="auto"/>
            </w:tcBorders>
            <w:shd w:val="clear" w:color="auto" w:fill="auto"/>
            <w:vAlign w:val="bottom"/>
          </w:tcPr>
          <w:p w14:paraId="7D403C67" w14:textId="77777777" w:rsidR="00A52778" w:rsidRPr="00460F9E" w:rsidRDefault="00A52778" w:rsidP="00FC3F8E">
            <w:pPr>
              <w:spacing w:line="0" w:lineRule="atLeast"/>
              <w:rPr>
                <w:rFonts w:eastAsia="Times New Roman" w:cs="Times New Roman"/>
                <w:b/>
                <w:sz w:val="21"/>
              </w:rPr>
            </w:pPr>
          </w:p>
        </w:tc>
        <w:tc>
          <w:tcPr>
            <w:tcW w:w="1275" w:type="dxa"/>
            <w:vMerge/>
            <w:tcBorders>
              <w:right w:val="single" w:sz="8" w:space="0" w:color="auto"/>
            </w:tcBorders>
            <w:shd w:val="clear" w:color="auto" w:fill="auto"/>
            <w:vAlign w:val="bottom"/>
          </w:tcPr>
          <w:p w14:paraId="245A2D89" w14:textId="77777777" w:rsidR="00A52778" w:rsidRPr="00460F9E" w:rsidRDefault="00A52778" w:rsidP="00FC3F8E">
            <w:pPr>
              <w:spacing w:line="241" w:lineRule="exact"/>
              <w:jc w:val="center"/>
              <w:rPr>
                <w:rFonts w:eastAsia="Times New Roman" w:cs="Times New Roman"/>
                <w:b/>
                <w:w w:val="95"/>
              </w:rPr>
            </w:pPr>
          </w:p>
        </w:tc>
        <w:tc>
          <w:tcPr>
            <w:tcW w:w="1276" w:type="dxa"/>
            <w:tcBorders>
              <w:right w:val="single" w:sz="4" w:space="0" w:color="auto"/>
            </w:tcBorders>
            <w:shd w:val="clear" w:color="auto" w:fill="auto"/>
            <w:vAlign w:val="bottom"/>
          </w:tcPr>
          <w:p w14:paraId="3291ACD3" w14:textId="77777777" w:rsidR="00A52778" w:rsidRPr="00460F9E" w:rsidRDefault="00A52778" w:rsidP="00FC3F8E">
            <w:pPr>
              <w:spacing w:line="0" w:lineRule="atLeast"/>
              <w:rPr>
                <w:rFonts w:eastAsia="Times New Roman" w:cs="Times New Roman"/>
                <w:b/>
                <w:sz w:val="21"/>
              </w:rPr>
            </w:pPr>
          </w:p>
        </w:tc>
      </w:tr>
      <w:tr w:rsidR="00A52778" w:rsidRPr="00460F9E" w14:paraId="75E7E5EF" w14:textId="77777777" w:rsidTr="00FC3F8E">
        <w:trPr>
          <w:trHeight w:val="222"/>
        </w:trPr>
        <w:tc>
          <w:tcPr>
            <w:tcW w:w="1843" w:type="dxa"/>
            <w:tcBorders>
              <w:left w:val="single" w:sz="4" w:space="0" w:color="auto"/>
              <w:right w:val="single" w:sz="8" w:space="0" w:color="auto"/>
            </w:tcBorders>
            <w:shd w:val="clear" w:color="auto" w:fill="auto"/>
            <w:vAlign w:val="bottom"/>
          </w:tcPr>
          <w:p w14:paraId="24CD217A" w14:textId="77777777" w:rsidR="00A52778" w:rsidRPr="00460F9E" w:rsidRDefault="00A52778" w:rsidP="00FC3F8E">
            <w:pPr>
              <w:spacing w:line="0" w:lineRule="atLeast"/>
              <w:rPr>
                <w:rFonts w:eastAsia="Times New Roman" w:cs="Times New Roman"/>
                <w:b/>
                <w:sz w:val="19"/>
              </w:rPr>
            </w:pPr>
          </w:p>
        </w:tc>
        <w:tc>
          <w:tcPr>
            <w:tcW w:w="1701" w:type="dxa"/>
            <w:vMerge/>
            <w:tcBorders>
              <w:bottom w:val="single" w:sz="8" w:space="0" w:color="auto"/>
              <w:right w:val="single" w:sz="8" w:space="0" w:color="auto"/>
            </w:tcBorders>
            <w:shd w:val="clear" w:color="auto" w:fill="auto"/>
            <w:vAlign w:val="bottom"/>
          </w:tcPr>
          <w:p w14:paraId="6C8A1B56" w14:textId="77777777" w:rsidR="00A52778" w:rsidRPr="00460F9E" w:rsidRDefault="00A52778" w:rsidP="00FC3F8E">
            <w:pPr>
              <w:spacing w:line="0" w:lineRule="atLeast"/>
              <w:rPr>
                <w:rFonts w:eastAsia="Times New Roman" w:cs="Times New Roman"/>
                <w:b/>
                <w:sz w:val="19"/>
              </w:rPr>
            </w:pPr>
          </w:p>
        </w:tc>
        <w:tc>
          <w:tcPr>
            <w:tcW w:w="1134" w:type="dxa"/>
            <w:vMerge/>
            <w:tcBorders>
              <w:bottom w:val="single" w:sz="8" w:space="0" w:color="auto"/>
              <w:right w:val="single" w:sz="8" w:space="0" w:color="auto"/>
            </w:tcBorders>
            <w:shd w:val="clear" w:color="auto" w:fill="auto"/>
            <w:vAlign w:val="bottom"/>
          </w:tcPr>
          <w:p w14:paraId="0947A02A" w14:textId="77777777" w:rsidR="00A52778" w:rsidRPr="00460F9E" w:rsidRDefault="00A52778" w:rsidP="00FC3F8E">
            <w:pPr>
              <w:spacing w:line="219" w:lineRule="exact"/>
              <w:jc w:val="center"/>
              <w:rPr>
                <w:rFonts w:eastAsia="Times New Roman" w:cs="Times New Roman"/>
                <w:b/>
                <w:w w:val="98"/>
              </w:rPr>
            </w:pPr>
          </w:p>
        </w:tc>
        <w:tc>
          <w:tcPr>
            <w:tcW w:w="1985" w:type="dxa"/>
            <w:tcBorders>
              <w:bottom w:val="single" w:sz="8" w:space="0" w:color="auto"/>
              <w:right w:val="single" w:sz="8" w:space="0" w:color="auto"/>
            </w:tcBorders>
            <w:shd w:val="clear" w:color="auto" w:fill="auto"/>
            <w:vAlign w:val="bottom"/>
          </w:tcPr>
          <w:p w14:paraId="1BD830B8" w14:textId="77777777" w:rsidR="00A52778" w:rsidRPr="00460F9E" w:rsidRDefault="00A52778" w:rsidP="00FC3F8E">
            <w:pPr>
              <w:spacing w:line="0" w:lineRule="atLeast"/>
              <w:rPr>
                <w:rFonts w:eastAsia="Times New Roman" w:cs="Times New Roman"/>
                <w:b/>
                <w:sz w:val="19"/>
              </w:rPr>
            </w:pPr>
          </w:p>
        </w:tc>
        <w:tc>
          <w:tcPr>
            <w:tcW w:w="1275" w:type="dxa"/>
            <w:vMerge/>
            <w:tcBorders>
              <w:bottom w:val="single" w:sz="8" w:space="0" w:color="auto"/>
              <w:right w:val="single" w:sz="8" w:space="0" w:color="auto"/>
            </w:tcBorders>
            <w:shd w:val="clear" w:color="auto" w:fill="auto"/>
            <w:vAlign w:val="bottom"/>
          </w:tcPr>
          <w:p w14:paraId="4FD1C4EE" w14:textId="77777777" w:rsidR="00A52778" w:rsidRPr="00460F9E" w:rsidRDefault="00A52778" w:rsidP="00FC3F8E">
            <w:pPr>
              <w:spacing w:line="0" w:lineRule="atLeast"/>
              <w:rPr>
                <w:rFonts w:eastAsia="Times New Roman" w:cs="Times New Roman"/>
                <w:b/>
                <w:sz w:val="19"/>
              </w:rPr>
            </w:pPr>
          </w:p>
        </w:tc>
        <w:tc>
          <w:tcPr>
            <w:tcW w:w="1276" w:type="dxa"/>
            <w:tcBorders>
              <w:bottom w:val="single" w:sz="8" w:space="0" w:color="auto"/>
              <w:right w:val="single" w:sz="4" w:space="0" w:color="auto"/>
            </w:tcBorders>
            <w:shd w:val="clear" w:color="auto" w:fill="auto"/>
            <w:vAlign w:val="bottom"/>
          </w:tcPr>
          <w:p w14:paraId="3D7CC03E" w14:textId="77777777" w:rsidR="00A52778" w:rsidRPr="00460F9E" w:rsidRDefault="00A52778" w:rsidP="00FC3F8E">
            <w:pPr>
              <w:spacing w:line="0" w:lineRule="atLeast"/>
              <w:rPr>
                <w:rFonts w:eastAsia="Times New Roman" w:cs="Times New Roman"/>
                <w:b/>
                <w:sz w:val="19"/>
              </w:rPr>
            </w:pPr>
          </w:p>
        </w:tc>
      </w:tr>
      <w:tr w:rsidR="00A52778" w:rsidRPr="00460F9E" w14:paraId="5F9874F8" w14:textId="77777777" w:rsidTr="00FC3F8E">
        <w:trPr>
          <w:trHeight w:val="217"/>
        </w:trPr>
        <w:tc>
          <w:tcPr>
            <w:tcW w:w="1843" w:type="dxa"/>
            <w:tcBorders>
              <w:left w:val="single" w:sz="4" w:space="0" w:color="auto"/>
              <w:right w:val="single" w:sz="8" w:space="0" w:color="auto"/>
            </w:tcBorders>
            <w:shd w:val="clear" w:color="auto" w:fill="auto"/>
            <w:vAlign w:val="bottom"/>
          </w:tcPr>
          <w:p w14:paraId="5C6CF2BD" w14:textId="77777777" w:rsidR="00A52778" w:rsidRPr="00460F9E" w:rsidRDefault="00A52778" w:rsidP="00FC3F8E">
            <w:pPr>
              <w:spacing w:line="0" w:lineRule="atLeast"/>
              <w:rPr>
                <w:rFonts w:eastAsia="Times New Roman" w:cs="Times New Roman"/>
                <w:b/>
                <w:sz w:val="18"/>
              </w:rPr>
            </w:pPr>
          </w:p>
        </w:tc>
        <w:tc>
          <w:tcPr>
            <w:tcW w:w="1701" w:type="dxa"/>
            <w:vMerge w:val="restart"/>
            <w:tcBorders>
              <w:right w:val="single" w:sz="8" w:space="0" w:color="auto"/>
            </w:tcBorders>
            <w:shd w:val="clear" w:color="auto" w:fill="auto"/>
            <w:vAlign w:val="center"/>
          </w:tcPr>
          <w:p w14:paraId="5AA932AC" w14:textId="77777777" w:rsidR="00A52778" w:rsidRPr="00460F9E" w:rsidRDefault="00A52778" w:rsidP="00FC3F8E">
            <w:pPr>
              <w:spacing w:line="208" w:lineRule="exact"/>
              <w:jc w:val="center"/>
              <w:rPr>
                <w:rFonts w:eastAsia="Times New Roman" w:cs="Times New Roman"/>
                <w:b/>
                <w:sz w:val="18"/>
              </w:rPr>
            </w:pPr>
            <w:r w:rsidRPr="00460F9E">
              <w:rPr>
                <w:rFonts w:eastAsia="Times New Roman" w:cs="Times New Roman"/>
              </w:rPr>
              <w:t xml:space="preserve">Diğer tüm   </w:t>
            </w:r>
            <w:r w:rsidRPr="00460F9E">
              <w:rPr>
                <w:rFonts w:eastAsia="Times New Roman" w:cs="Times New Roman"/>
                <w:b/>
                <w:noProof/>
                <w:lang w:val="tr-TR" w:eastAsia="tr-TR"/>
              </w:rPr>
              <mc:AlternateContent>
                <mc:Choice Requires="wpc">
                  <w:drawing>
                    <wp:inline distT="0" distB="0" distL="0" distR="0" wp14:anchorId="09FCDE0B" wp14:editId="44DF0E15">
                      <wp:extent cx="1028700" cy="617220"/>
                      <wp:effectExtent l="0" t="0" r="0" b="3810"/>
                      <wp:docPr id="10" name="Tuval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8EEE3BC" id="Tuval 10" o:spid="_x0000_s1026" editas="canvas" style="width:81pt;height:48.6pt;mso-position-horizontal-relative:char;mso-position-vertical-relative:line" coordsize="10287,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87;height:6172;visibility:visible;mso-wrap-style:square">
                        <v:fill o:detectmouseclick="t"/>
                        <v:path o:connecttype="none"/>
                      </v:shape>
                      <w10:anchorlock/>
                    </v:group>
                  </w:pict>
                </mc:Fallback>
              </mc:AlternateContent>
            </w:r>
            <w:r w:rsidRPr="00460F9E">
              <w:rPr>
                <w:rFonts w:eastAsia="Times New Roman" w:cs="Times New Roman"/>
              </w:rPr>
              <w:t xml:space="preserve">                          prosesler/kaynaklar</w:t>
            </w:r>
          </w:p>
        </w:tc>
        <w:tc>
          <w:tcPr>
            <w:tcW w:w="1134" w:type="dxa"/>
            <w:vMerge w:val="restart"/>
            <w:tcBorders>
              <w:right w:val="single" w:sz="8" w:space="0" w:color="auto"/>
            </w:tcBorders>
            <w:shd w:val="clear" w:color="auto" w:fill="auto"/>
            <w:vAlign w:val="center"/>
          </w:tcPr>
          <w:p w14:paraId="2809CD8C" w14:textId="77777777" w:rsidR="00A52778" w:rsidRPr="00460F9E" w:rsidRDefault="00A52778" w:rsidP="00FC3F8E">
            <w:pPr>
              <w:spacing w:line="222" w:lineRule="exact"/>
              <w:jc w:val="center"/>
              <w:rPr>
                <w:rFonts w:eastAsia="Times New Roman" w:cs="Times New Roman"/>
                <w:b/>
                <w:w w:val="99"/>
              </w:rPr>
            </w:pPr>
            <w:r w:rsidRPr="00460F9E">
              <w:rPr>
                <w:rFonts w:eastAsia="Times New Roman" w:cs="Times New Roman"/>
                <w:w w:val="99"/>
              </w:rPr>
              <w:t>TVOC kütle akışı 2,5 C/saat olan herhangi bir baca</w:t>
            </w:r>
          </w:p>
        </w:tc>
        <w:tc>
          <w:tcPr>
            <w:tcW w:w="1985" w:type="dxa"/>
            <w:vMerge w:val="restart"/>
            <w:tcBorders>
              <w:right w:val="single" w:sz="8" w:space="0" w:color="auto"/>
            </w:tcBorders>
            <w:shd w:val="clear" w:color="auto" w:fill="auto"/>
            <w:vAlign w:val="center"/>
          </w:tcPr>
          <w:p w14:paraId="1B1F3E44"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Genel EN</w:t>
            </w:r>
          </w:p>
          <w:p w14:paraId="18A47858"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7"/>
              </w:rPr>
              <w:t>standartları</w:t>
            </w:r>
          </w:p>
        </w:tc>
        <w:tc>
          <w:tcPr>
            <w:tcW w:w="1275" w:type="dxa"/>
            <w:vMerge w:val="restart"/>
            <w:tcBorders>
              <w:right w:val="single" w:sz="8" w:space="0" w:color="auto"/>
            </w:tcBorders>
            <w:shd w:val="clear" w:color="auto" w:fill="auto"/>
            <w:vAlign w:val="center"/>
          </w:tcPr>
          <w:p w14:paraId="78A97FF0"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w w:val="99"/>
              </w:rPr>
              <w:t>Sürekli</w:t>
            </w:r>
          </w:p>
        </w:tc>
        <w:tc>
          <w:tcPr>
            <w:tcW w:w="1276" w:type="dxa"/>
            <w:tcBorders>
              <w:right w:val="single" w:sz="4" w:space="0" w:color="auto"/>
            </w:tcBorders>
            <w:shd w:val="clear" w:color="auto" w:fill="auto"/>
            <w:vAlign w:val="bottom"/>
          </w:tcPr>
          <w:p w14:paraId="199E0E54" w14:textId="77777777" w:rsidR="00A52778" w:rsidRPr="00460F9E" w:rsidRDefault="00A52778" w:rsidP="00FC3F8E">
            <w:pPr>
              <w:spacing w:line="0" w:lineRule="atLeast"/>
              <w:rPr>
                <w:rFonts w:eastAsia="Times New Roman" w:cs="Times New Roman"/>
                <w:b/>
                <w:sz w:val="18"/>
              </w:rPr>
            </w:pPr>
          </w:p>
        </w:tc>
      </w:tr>
      <w:tr w:rsidR="00A52778" w:rsidRPr="00460F9E" w14:paraId="03D56915" w14:textId="77777777" w:rsidTr="00FC3F8E">
        <w:trPr>
          <w:trHeight w:val="228"/>
        </w:trPr>
        <w:tc>
          <w:tcPr>
            <w:tcW w:w="1843" w:type="dxa"/>
            <w:tcBorders>
              <w:left w:val="single" w:sz="4" w:space="0" w:color="auto"/>
              <w:right w:val="single" w:sz="8" w:space="0" w:color="auto"/>
            </w:tcBorders>
            <w:shd w:val="clear" w:color="auto" w:fill="auto"/>
            <w:vAlign w:val="bottom"/>
          </w:tcPr>
          <w:p w14:paraId="76CC40BB" w14:textId="77777777" w:rsidR="00A52778" w:rsidRPr="00460F9E" w:rsidRDefault="00A52778" w:rsidP="00FC3F8E">
            <w:pPr>
              <w:spacing w:line="0" w:lineRule="atLeast"/>
              <w:rPr>
                <w:rFonts w:eastAsia="Times New Roman" w:cs="Times New Roman"/>
                <w:b/>
                <w:sz w:val="19"/>
              </w:rPr>
            </w:pPr>
          </w:p>
        </w:tc>
        <w:tc>
          <w:tcPr>
            <w:tcW w:w="1701" w:type="dxa"/>
            <w:vMerge/>
            <w:tcBorders>
              <w:right w:val="single" w:sz="8" w:space="0" w:color="auto"/>
            </w:tcBorders>
            <w:shd w:val="clear" w:color="auto" w:fill="auto"/>
            <w:vAlign w:val="bottom"/>
          </w:tcPr>
          <w:p w14:paraId="14DC42B1" w14:textId="77777777" w:rsidR="00A52778" w:rsidRPr="00460F9E" w:rsidRDefault="00A52778" w:rsidP="00FC3F8E">
            <w:pPr>
              <w:spacing w:line="208" w:lineRule="exact"/>
              <w:jc w:val="center"/>
              <w:rPr>
                <w:rFonts w:eastAsia="Times New Roman" w:cs="Times New Roman"/>
                <w:b/>
                <w:sz w:val="19"/>
              </w:rPr>
            </w:pPr>
          </w:p>
        </w:tc>
        <w:tc>
          <w:tcPr>
            <w:tcW w:w="1134" w:type="dxa"/>
            <w:vMerge/>
            <w:tcBorders>
              <w:right w:val="single" w:sz="8" w:space="0" w:color="auto"/>
            </w:tcBorders>
            <w:shd w:val="clear" w:color="auto" w:fill="auto"/>
            <w:vAlign w:val="bottom"/>
          </w:tcPr>
          <w:p w14:paraId="60F74469" w14:textId="77777777" w:rsidR="00A52778" w:rsidRPr="00460F9E" w:rsidRDefault="00A52778" w:rsidP="00FC3F8E">
            <w:pPr>
              <w:spacing w:line="222" w:lineRule="exact"/>
              <w:jc w:val="center"/>
              <w:rPr>
                <w:rFonts w:eastAsia="Times New Roman" w:cs="Times New Roman"/>
                <w:b/>
                <w:w w:val="96"/>
              </w:rPr>
            </w:pPr>
          </w:p>
        </w:tc>
        <w:tc>
          <w:tcPr>
            <w:tcW w:w="1985" w:type="dxa"/>
            <w:vMerge/>
            <w:tcBorders>
              <w:right w:val="single" w:sz="8" w:space="0" w:color="auto"/>
            </w:tcBorders>
            <w:shd w:val="clear" w:color="auto" w:fill="auto"/>
            <w:vAlign w:val="bottom"/>
          </w:tcPr>
          <w:p w14:paraId="09084E42" w14:textId="77777777" w:rsidR="00A52778" w:rsidRPr="00460F9E" w:rsidRDefault="00A52778" w:rsidP="00FC3F8E">
            <w:pPr>
              <w:spacing w:line="0" w:lineRule="atLeast"/>
              <w:jc w:val="center"/>
              <w:rPr>
                <w:rFonts w:eastAsia="Times New Roman" w:cs="Times New Roman"/>
                <w:b/>
                <w:w w:val="98"/>
              </w:rPr>
            </w:pPr>
          </w:p>
        </w:tc>
        <w:tc>
          <w:tcPr>
            <w:tcW w:w="1275" w:type="dxa"/>
            <w:vMerge/>
            <w:tcBorders>
              <w:right w:val="single" w:sz="8" w:space="0" w:color="auto"/>
            </w:tcBorders>
            <w:shd w:val="clear" w:color="auto" w:fill="auto"/>
            <w:vAlign w:val="bottom"/>
          </w:tcPr>
          <w:p w14:paraId="1EAEF2D9" w14:textId="77777777" w:rsidR="00A52778" w:rsidRPr="00460F9E" w:rsidRDefault="00A52778" w:rsidP="00FC3F8E">
            <w:pPr>
              <w:spacing w:line="0" w:lineRule="atLeast"/>
              <w:jc w:val="center"/>
              <w:rPr>
                <w:rFonts w:eastAsia="Times New Roman" w:cs="Times New Roman"/>
                <w:b/>
                <w:sz w:val="19"/>
              </w:rPr>
            </w:pPr>
          </w:p>
        </w:tc>
        <w:tc>
          <w:tcPr>
            <w:tcW w:w="1276" w:type="dxa"/>
            <w:tcBorders>
              <w:right w:val="single" w:sz="4" w:space="0" w:color="auto"/>
            </w:tcBorders>
            <w:shd w:val="clear" w:color="auto" w:fill="auto"/>
            <w:vAlign w:val="bottom"/>
          </w:tcPr>
          <w:p w14:paraId="38A74380" w14:textId="77777777" w:rsidR="00A52778" w:rsidRPr="00460F9E" w:rsidRDefault="00A52778" w:rsidP="00FC3F8E">
            <w:pPr>
              <w:spacing w:line="0" w:lineRule="atLeast"/>
              <w:rPr>
                <w:rFonts w:eastAsia="Times New Roman" w:cs="Times New Roman"/>
                <w:b/>
                <w:sz w:val="19"/>
              </w:rPr>
            </w:pPr>
          </w:p>
        </w:tc>
      </w:tr>
      <w:tr w:rsidR="00A52778" w:rsidRPr="00460F9E" w14:paraId="29991270" w14:textId="77777777" w:rsidTr="00FC3F8E">
        <w:trPr>
          <w:trHeight w:val="125"/>
        </w:trPr>
        <w:tc>
          <w:tcPr>
            <w:tcW w:w="1843" w:type="dxa"/>
            <w:tcBorders>
              <w:left w:val="single" w:sz="4" w:space="0" w:color="auto"/>
              <w:right w:val="single" w:sz="8" w:space="0" w:color="auto"/>
            </w:tcBorders>
            <w:shd w:val="clear" w:color="auto" w:fill="auto"/>
            <w:vAlign w:val="bottom"/>
          </w:tcPr>
          <w:p w14:paraId="2D2D0D77" w14:textId="77777777" w:rsidR="00A52778" w:rsidRPr="00460F9E" w:rsidRDefault="00A52778" w:rsidP="00FC3F8E">
            <w:pPr>
              <w:spacing w:line="0" w:lineRule="atLeast"/>
              <w:rPr>
                <w:rFonts w:eastAsia="Times New Roman" w:cs="Times New Roman"/>
                <w:b/>
                <w:sz w:val="10"/>
              </w:rPr>
            </w:pPr>
          </w:p>
        </w:tc>
        <w:tc>
          <w:tcPr>
            <w:tcW w:w="1701" w:type="dxa"/>
            <w:vMerge/>
            <w:tcBorders>
              <w:right w:val="single" w:sz="8" w:space="0" w:color="auto"/>
            </w:tcBorders>
            <w:shd w:val="clear" w:color="auto" w:fill="auto"/>
            <w:vAlign w:val="bottom"/>
          </w:tcPr>
          <w:p w14:paraId="346A68F8" w14:textId="77777777" w:rsidR="00A52778" w:rsidRPr="00460F9E" w:rsidRDefault="00A52778" w:rsidP="00FC3F8E">
            <w:pPr>
              <w:spacing w:line="208" w:lineRule="exact"/>
              <w:jc w:val="center"/>
              <w:rPr>
                <w:rFonts w:eastAsia="Times New Roman" w:cs="Times New Roman"/>
                <w:b/>
                <w:sz w:val="10"/>
              </w:rPr>
            </w:pPr>
          </w:p>
        </w:tc>
        <w:tc>
          <w:tcPr>
            <w:tcW w:w="1134" w:type="dxa"/>
            <w:vMerge/>
            <w:tcBorders>
              <w:right w:val="single" w:sz="8" w:space="0" w:color="auto"/>
            </w:tcBorders>
            <w:shd w:val="clear" w:color="auto" w:fill="auto"/>
            <w:vAlign w:val="bottom"/>
          </w:tcPr>
          <w:p w14:paraId="7149CAA8" w14:textId="77777777" w:rsidR="00A52778" w:rsidRPr="00460F9E" w:rsidRDefault="00A52778" w:rsidP="00FC3F8E">
            <w:pPr>
              <w:spacing w:line="222" w:lineRule="exact"/>
              <w:jc w:val="center"/>
              <w:rPr>
                <w:rFonts w:eastAsia="Times New Roman" w:cs="Times New Roman"/>
                <w:b/>
              </w:rPr>
            </w:pPr>
          </w:p>
        </w:tc>
        <w:tc>
          <w:tcPr>
            <w:tcW w:w="1985" w:type="dxa"/>
            <w:vMerge/>
            <w:tcBorders>
              <w:right w:val="single" w:sz="8" w:space="0" w:color="auto"/>
            </w:tcBorders>
            <w:shd w:val="clear" w:color="auto" w:fill="auto"/>
            <w:vAlign w:val="bottom"/>
          </w:tcPr>
          <w:p w14:paraId="36F083B2" w14:textId="77777777" w:rsidR="00A52778" w:rsidRPr="00460F9E" w:rsidRDefault="00A52778" w:rsidP="00FC3F8E">
            <w:pPr>
              <w:spacing w:line="0" w:lineRule="atLeast"/>
              <w:jc w:val="center"/>
              <w:rPr>
                <w:rFonts w:eastAsia="Times New Roman" w:cs="Times New Roman"/>
                <w:b/>
                <w:sz w:val="10"/>
              </w:rPr>
            </w:pPr>
          </w:p>
        </w:tc>
        <w:tc>
          <w:tcPr>
            <w:tcW w:w="1275" w:type="dxa"/>
            <w:vMerge/>
            <w:tcBorders>
              <w:right w:val="single" w:sz="8" w:space="0" w:color="auto"/>
            </w:tcBorders>
            <w:shd w:val="clear" w:color="auto" w:fill="auto"/>
            <w:vAlign w:val="bottom"/>
          </w:tcPr>
          <w:p w14:paraId="43F91676" w14:textId="77777777" w:rsidR="00A52778" w:rsidRPr="00460F9E" w:rsidRDefault="00A52778" w:rsidP="00FC3F8E">
            <w:pPr>
              <w:spacing w:line="0" w:lineRule="atLeast"/>
              <w:jc w:val="center"/>
              <w:rPr>
                <w:rFonts w:eastAsia="Times New Roman" w:cs="Times New Roman"/>
                <w:b/>
                <w:w w:val="99"/>
              </w:rPr>
            </w:pPr>
          </w:p>
        </w:tc>
        <w:tc>
          <w:tcPr>
            <w:tcW w:w="1276" w:type="dxa"/>
            <w:tcBorders>
              <w:right w:val="single" w:sz="4" w:space="0" w:color="auto"/>
            </w:tcBorders>
            <w:shd w:val="clear" w:color="auto" w:fill="auto"/>
            <w:vAlign w:val="bottom"/>
          </w:tcPr>
          <w:p w14:paraId="45DF7BB1" w14:textId="77777777" w:rsidR="00A52778" w:rsidRPr="00460F9E" w:rsidRDefault="00A52778" w:rsidP="00FC3F8E">
            <w:pPr>
              <w:spacing w:line="0" w:lineRule="atLeast"/>
              <w:rPr>
                <w:rFonts w:eastAsia="Times New Roman" w:cs="Times New Roman"/>
                <w:b/>
                <w:sz w:val="10"/>
              </w:rPr>
            </w:pPr>
          </w:p>
        </w:tc>
      </w:tr>
      <w:tr w:rsidR="00A52778" w:rsidRPr="00460F9E" w14:paraId="340FD170" w14:textId="77777777" w:rsidTr="00FC3F8E">
        <w:trPr>
          <w:trHeight w:val="113"/>
        </w:trPr>
        <w:tc>
          <w:tcPr>
            <w:tcW w:w="1843" w:type="dxa"/>
            <w:tcBorders>
              <w:left w:val="single" w:sz="4" w:space="0" w:color="auto"/>
              <w:right w:val="single" w:sz="8" w:space="0" w:color="auto"/>
            </w:tcBorders>
            <w:shd w:val="clear" w:color="auto" w:fill="auto"/>
            <w:vAlign w:val="bottom"/>
          </w:tcPr>
          <w:p w14:paraId="7065240F" w14:textId="77777777" w:rsidR="00A52778" w:rsidRPr="00460F9E" w:rsidRDefault="00A52778" w:rsidP="00FC3F8E">
            <w:pPr>
              <w:spacing w:line="0" w:lineRule="atLeast"/>
              <w:rPr>
                <w:rFonts w:eastAsia="Times New Roman" w:cs="Times New Roman"/>
                <w:b/>
                <w:sz w:val="9"/>
              </w:rPr>
            </w:pPr>
          </w:p>
        </w:tc>
        <w:tc>
          <w:tcPr>
            <w:tcW w:w="1701" w:type="dxa"/>
            <w:vMerge/>
            <w:tcBorders>
              <w:right w:val="single" w:sz="8" w:space="0" w:color="auto"/>
            </w:tcBorders>
            <w:shd w:val="clear" w:color="auto" w:fill="auto"/>
            <w:vAlign w:val="bottom"/>
          </w:tcPr>
          <w:p w14:paraId="73253753" w14:textId="77777777" w:rsidR="00A52778" w:rsidRPr="00460F9E" w:rsidRDefault="00A52778" w:rsidP="00FC3F8E">
            <w:pPr>
              <w:spacing w:line="208" w:lineRule="exact"/>
              <w:jc w:val="center"/>
              <w:rPr>
                <w:rFonts w:eastAsia="Times New Roman" w:cs="Times New Roman"/>
                <w:b/>
                <w:sz w:val="9"/>
              </w:rPr>
            </w:pPr>
          </w:p>
        </w:tc>
        <w:tc>
          <w:tcPr>
            <w:tcW w:w="1134" w:type="dxa"/>
            <w:vMerge/>
            <w:tcBorders>
              <w:right w:val="single" w:sz="8" w:space="0" w:color="auto"/>
            </w:tcBorders>
            <w:shd w:val="clear" w:color="auto" w:fill="auto"/>
            <w:vAlign w:val="bottom"/>
          </w:tcPr>
          <w:p w14:paraId="75C8704C" w14:textId="77777777" w:rsidR="00A52778" w:rsidRPr="00460F9E" w:rsidRDefault="00A52778" w:rsidP="00FC3F8E">
            <w:pPr>
              <w:spacing w:line="222" w:lineRule="exact"/>
              <w:jc w:val="center"/>
              <w:rPr>
                <w:rFonts w:eastAsia="Times New Roman" w:cs="Times New Roman"/>
                <w:b/>
                <w:sz w:val="9"/>
              </w:rPr>
            </w:pPr>
          </w:p>
        </w:tc>
        <w:tc>
          <w:tcPr>
            <w:tcW w:w="1985" w:type="dxa"/>
            <w:vMerge/>
            <w:tcBorders>
              <w:right w:val="single" w:sz="8" w:space="0" w:color="auto"/>
            </w:tcBorders>
            <w:shd w:val="clear" w:color="auto" w:fill="auto"/>
            <w:vAlign w:val="bottom"/>
          </w:tcPr>
          <w:p w14:paraId="25890B46" w14:textId="77777777" w:rsidR="00A52778" w:rsidRPr="00460F9E" w:rsidRDefault="00A52778" w:rsidP="00FC3F8E">
            <w:pPr>
              <w:spacing w:line="0" w:lineRule="atLeast"/>
              <w:jc w:val="center"/>
              <w:rPr>
                <w:rFonts w:eastAsia="Times New Roman" w:cs="Times New Roman"/>
                <w:b/>
                <w:w w:val="97"/>
              </w:rPr>
            </w:pPr>
          </w:p>
        </w:tc>
        <w:tc>
          <w:tcPr>
            <w:tcW w:w="1275" w:type="dxa"/>
            <w:vMerge/>
            <w:tcBorders>
              <w:right w:val="single" w:sz="8" w:space="0" w:color="auto"/>
            </w:tcBorders>
            <w:shd w:val="clear" w:color="auto" w:fill="auto"/>
            <w:vAlign w:val="bottom"/>
          </w:tcPr>
          <w:p w14:paraId="1582330E" w14:textId="77777777" w:rsidR="00A52778" w:rsidRPr="00460F9E" w:rsidRDefault="00A52778" w:rsidP="00FC3F8E">
            <w:pPr>
              <w:spacing w:line="0" w:lineRule="atLeast"/>
              <w:rPr>
                <w:rFonts w:eastAsia="Times New Roman" w:cs="Times New Roman"/>
                <w:b/>
                <w:sz w:val="9"/>
              </w:rPr>
            </w:pPr>
          </w:p>
        </w:tc>
        <w:tc>
          <w:tcPr>
            <w:tcW w:w="1276" w:type="dxa"/>
            <w:tcBorders>
              <w:right w:val="single" w:sz="4" w:space="0" w:color="auto"/>
            </w:tcBorders>
            <w:shd w:val="clear" w:color="auto" w:fill="auto"/>
            <w:vAlign w:val="bottom"/>
          </w:tcPr>
          <w:p w14:paraId="3EED6386" w14:textId="77777777" w:rsidR="00A52778" w:rsidRPr="00460F9E" w:rsidRDefault="00A52778" w:rsidP="00FC3F8E">
            <w:pPr>
              <w:spacing w:line="0" w:lineRule="atLeast"/>
              <w:rPr>
                <w:rFonts w:eastAsia="Times New Roman" w:cs="Times New Roman"/>
                <w:b/>
                <w:sz w:val="9"/>
              </w:rPr>
            </w:pPr>
          </w:p>
        </w:tc>
      </w:tr>
      <w:tr w:rsidR="00A52778" w:rsidRPr="00460F9E" w14:paraId="02291064" w14:textId="77777777" w:rsidTr="00FC3F8E">
        <w:trPr>
          <w:trHeight w:val="182"/>
        </w:trPr>
        <w:tc>
          <w:tcPr>
            <w:tcW w:w="1843" w:type="dxa"/>
            <w:tcBorders>
              <w:left w:val="single" w:sz="4" w:space="0" w:color="auto"/>
              <w:right w:val="single" w:sz="8" w:space="0" w:color="auto"/>
            </w:tcBorders>
            <w:shd w:val="clear" w:color="auto" w:fill="auto"/>
            <w:vAlign w:val="bottom"/>
          </w:tcPr>
          <w:p w14:paraId="5DE293A5" w14:textId="77777777" w:rsidR="00A52778" w:rsidRPr="00460F9E" w:rsidRDefault="00A52778" w:rsidP="00FC3F8E">
            <w:pPr>
              <w:spacing w:line="0" w:lineRule="atLeast"/>
              <w:rPr>
                <w:rFonts w:eastAsia="Times New Roman" w:cs="Times New Roman"/>
                <w:b/>
                <w:sz w:val="15"/>
              </w:rPr>
            </w:pPr>
          </w:p>
        </w:tc>
        <w:tc>
          <w:tcPr>
            <w:tcW w:w="1701" w:type="dxa"/>
            <w:vMerge/>
            <w:tcBorders>
              <w:right w:val="single" w:sz="8" w:space="0" w:color="auto"/>
            </w:tcBorders>
            <w:shd w:val="clear" w:color="auto" w:fill="auto"/>
            <w:vAlign w:val="bottom"/>
          </w:tcPr>
          <w:p w14:paraId="5847189A" w14:textId="77777777" w:rsidR="00A52778" w:rsidRPr="00460F9E" w:rsidRDefault="00A52778" w:rsidP="00FC3F8E">
            <w:pPr>
              <w:spacing w:line="208" w:lineRule="exact"/>
              <w:jc w:val="center"/>
              <w:rPr>
                <w:rFonts w:eastAsia="Times New Roman" w:cs="Times New Roman"/>
                <w:b/>
                <w:sz w:val="15"/>
              </w:rPr>
            </w:pPr>
          </w:p>
        </w:tc>
        <w:tc>
          <w:tcPr>
            <w:tcW w:w="1134" w:type="dxa"/>
            <w:vMerge/>
            <w:tcBorders>
              <w:right w:val="single" w:sz="8" w:space="0" w:color="auto"/>
            </w:tcBorders>
            <w:shd w:val="clear" w:color="auto" w:fill="auto"/>
            <w:vAlign w:val="bottom"/>
          </w:tcPr>
          <w:p w14:paraId="3A87A8DB" w14:textId="77777777" w:rsidR="00A52778" w:rsidRPr="00460F9E" w:rsidRDefault="00A52778" w:rsidP="00FC3F8E">
            <w:pPr>
              <w:spacing w:line="222" w:lineRule="exact"/>
              <w:jc w:val="center"/>
              <w:rPr>
                <w:rFonts w:eastAsia="Times New Roman" w:cs="Times New Roman"/>
                <w:b/>
                <w:w w:val="99"/>
              </w:rPr>
            </w:pPr>
          </w:p>
        </w:tc>
        <w:tc>
          <w:tcPr>
            <w:tcW w:w="1985" w:type="dxa"/>
            <w:vMerge/>
            <w:tcBorders>
              <w:right w:val="single" w:sz="8" w:space="0" w:color="auto"/>
            </w:tcBorders>
            <w:shd w:val="clear" w:color="auto" w:fill="auto"/>
            <w:vAlign w:val="bottom"/>
          </w:tcPr>
          <w:p w14:paraId="0165BC65" w14:textId="77777777" w:rsidR="00A52778" w:rsidRPr="00460F9E" w:rsidRDefault="00A52778" w:rsidP="00FC3F8E">
            <w:pPr>
              <w:spacing w:line="0" w:lineRule="atLeast"/>
              <w:rPr>
                <w:rFonts w:eastAsia="Times New Roman" w:cs="Times New Roman"/>
                <w:b/>
                <w:sz w:val="15"/>
              </w:rPr>
            </w:pPr>
          </w:p>
        </w:tc>
        <w:tc>
          <w:tcPr>
            <w:tcW w:w="1275" w:type="dxa"/>
            <w:vMerge/>
            <w:tcBorders>
              <w:right w:val="single" w:sz="8" w:space="0" w:color="auto"/>
            </w:tcBorders>
            <w:shd w:val="clear" w:color="auto" w:fill="auto"/>
            <w:vAlign w:val="bottom"/>
          </w:tcPr>
          <w:p w14:paraId="36F91235" w14:textId="77777777" w:rsidR="00A52778" w:rsidRPr="00460F9E" w:rsidRDefault="00A52778" w:rsidP="00FC3F8E">
            <w:pPr>
              <w:spacing w:line="0" w:lineRule="atLeast"/>
              <w:rPr>
                <w:rFonts w:eastAsia="Times New Roman" w:cs="Times New Roman"/>
                <w:b/>
                <w:sz w:val="15"/>
              </w:rPr>
            </w:pPr>
          </w:p>
        </w:tc>
        <w:tc>
          <w:tcPr>
            <w:tcW w:w="1276" w:type="dxa"/>
            <w:tcBorders>
              <w:right w:val="single" w:sz="4" w:space="0" w:color="auto"/>
            </w:tcBorders>
            <w:shd w:val="clear" w:color="auto" w:fill="auto"/>
            <w:vAlign w:val="bottom"/>
          </w:tcPr>
          <w:p w14:paraId="0C3C58D8" w14:textId="77777777" w:rsidR="00A52778" w:rsidRPr="00460F9E" w:rsidRDefault="00A52778" w:rsidP="00FC3F8E">
            <w:pPr>
              <w:spacing w:line="0" w:lineRule="atLeast"/>
              <w:rPr>
                <w:rFonts w:eastAsia="Times New Roman" w:cs="Times New Roman"/>
                <w:b/>
                <w:sz w:val="15"/>
              </w:rPr>
            </w:pPr>
          </w:p>
        </w:tc>
      </w:tr>
      <w:tr w:rsidR="00A52778" w:rsidRPr="00460F9E" w14:paraId="168609EE" w14:textId="77777777" w:rsidTr="00FC3F8E">
        <w:trPr>
          <w:trHeight w:val="42"/>
        </w:trPr>
        <w:tc>
          <w:tcPr>
            <w:tcW w:w="1843" w:type="dxa"/>
            <w:tcBorders>
              <w:left w:val="single" w:sz="4" w:space="0" w:color="auto"/>
              <w:right w:val="single" w:sz="8" w:space="0" w:color="auto"/>
            </w:tcBorders>
            <w:shd w:val="clear" w:color="auto" w:fill="auto"/>
            <w:vAlign w:val="bottom"/>
          </w:tcPr>
          <w:p w14:paraId="7C668F76" w14:textId="77777777" w:rsidR="00A52778" w:rsidRPr="00460F9E" w:rsidRDefault="00A52778" w:rsidP="00FC3F8E">
            <w:pPr>
              <w:spacing w:line="0" w:lineRule="atLeast"/>
              <w:rPr>
                <w:rFonts w:eastAsia="Times New Roman" w:cs="Times New Roman"/>
                <w:b/>
                <w:sz w:val="3"/>
              </w:rPr>
            </w:pPr>
          </w:p>
        </w:tc>
        <w:tc>
          <w:tcPr>
            <w:tcW w:w="1701" w:type="dxa"/>
            <w:vMerge/>
            <w:tcBorders>
              <w:right w:val="single" w:sz="8" w:space="0" w:color="auto"/>
            </w:tcBorders>
            <w:shd w:val="clear" w:color="auto" w:fill="auto"/>
            <w:vAlign w:val="bottom"/>
          </w:tcPr>
          <w:p w14:paraId="059A987C" w14:textId="77777777" w:rsidR="00A52778" w:rsidRPr="00460F9E" w:rsidRDefault="00A52778" w:rsidP="00FC3F8E">
            <w:pPr>
              <w:spacing w:line="208" w:lineRule="exact"/>
              <w:jc w:val="center"/>
              <w:rPr>
                <w:rFonts w:eastAsia="Times New Roman" w:cs="Times New Roman"/>
                <w:b/>
                <w:sz w:val="3"/>
              </w:rPr>
            </w:pPr>
          </w:p>
        </w:tc>
        <w:tc>
          <w:tcPr>
            <w:tcW w:w="1134" w:type="dxa"/>
            <w:vMerge/>
            <w:tcBorders>
              <w:right w:val="single" w:sz="8" w:space="0" w:color="auto"/>
            </w:tcBorders>
            <w:shd w:val="clear" w:color="auto" w:fill="auto"/>
            <w:vAlign w:val="bottom"/>
          </w:tcPr>
          <w:p w14:paraId="16D885C5" w14:textId="77777777" w:rsidR="00A52778" w:rsidRPr="00460F9E" w:rsidRDefault="00A52778" w:rsidP="00FC3F8E">
            <w:pPr>
              <w:spacing w:line="222" w:lineRule="exact"/>
              <w:jc w:val="center"/>
              <w:rPr>
                <w:rFonts w:eastAsia="Times New Roman" w:cs="Times New Roman"/>
                <w:b/>
                <w:sz w:val="3"/>
              </w:rPr>
            </w:pPr>
          </w:p>
        </w:tc>
        <w:tc>
          <w:tcPr>
            <w:tcW w:w="1985" w:type="dxa"/>
            <w:vMerge/>
            <w:tcBorders>
              <w:right w:val="single" w:sz="8" w:space="0" w:color="auto"/>
            </w:tcBorders>
            <w:shd w:val="clear" w:color="auto" w:fill="auto"/>
            <w:vAlign w:val="bottom"/>
          </w:tcPr>
          <w:p w14:paraId="0B909D4D" w14:textId="77777777" w:rsidR="00A52778" w:rsidRPr="00460F9E" w:rsidRDefault="00A52778" w:rsidP="00FC3F8E">
            <w:pPr>
              <w:spacing w:line="0" w:lineRule="atLeast"/>
              <w:rPr>
                <w:rFonts w:eastAsia="Times New Roman" w:cs="Times New Roman"/>
                <w:b/>
                <w:sz w:val="3"/>
              </w:rPr>
            </w:pPr>
          </w:p>
        </w:tc>
        <w:tc>
          <w:tcPr>
            <w:tcW w:w="1275" w:type="dxa"/>
            <w:vMerge/>
            <w:tcBorders>
              <w:right w:val="single" w:sz="8" w:space="0" w:color="auto"/>
            </w:tcBorders>
            <w:shd w:val="clear" w:color="auto" w:fill="auto"/>
            <w:vAlign w:val="bottom"/>
          </w:tcPr>
          <w:p w14:paraId="45EF586E" w14:textId="77777777" w:rsidR="00A52778" w:rsidRPr="00460F9E" w:rsidRDefault="00A52778" w:rsidP="00FC3F8E">
            <w:pPr>
              <w:spacing w:line="0" w:lineRule="atLeast"/>
              <w:rPr>
                <w:rFonts w:eastAsia="Times New Roman" w:cs="Times New Roman"/>
                <w:b/>
                <w:sz w:val="3"/>
              </w:rPr>
            </w:pPr>
          </w:p>
        </w:tc>
        <w:tc>
          <w:tcPr>
            <w:tcW w:w="1276" w:type="dxa"/>
            <w:tcBorders>
              <w:right w:val="single" w:sz="4" w:space="0" w:color="auto"/>
            </w:tcBorders>
            <w:shd w:val="clear" w:color="auto" w:fill="auto"/>
            <w:vAlign w:val="bottom"/>
          </w:tcPr>
          <w:p w14:paraId="0A205C6A" w14:textId="77777777" w:rsidR="00A52778" w:rsidRPr="00460F9E" w:rsidRDefault="00A52778" w:rsidP="00FC3F8E">
            <w:pPr>
              <w:spacing w:line="0" w:lineRule="atLeast"/>
              <w:rPr>
                <w:rFonts w:eastAsia="Times New Roman" w:cs="Times New Roman"/>
                <w:b/>
                <w:sz w:val="3"/>
              </w:rPr>
            </w:pPr>
          </w:p>
        </w:tc>
      </w:tr>
      <w:tr w:rsidR="00A52778" w:rsidRPr="00460F9E" w14:paraId="7C08B500" w14:textId="77777777" w:rsidTr="00FC3F8E">
        <w:trPr>
          <w:trHeight w:val="245"/>
        </w:trPr>
        <w:tc>
          <w:tcPr>
            <w:tcW w:w="1843" w:type="dxa"/>
            <w:tcBorders>
              <w:left w:val="single" w:sz="4" w:space="0" w:color="auto"/>
              <w:right w:val="single" w:sz="8" w:space="0" w:color="auto"/>
            </w:tcBorders>
            <w:shd w:val="clear" w:color="auto" w:fill="auto"/>
            <w:vAlign w:val="bottom"/>
          </w:tcPr>
          <w:p w14:paraId="2F37A483" w14:textId="77777777" w:rsidR="00A52778" w:rsidRPr="00460F9E" w:rsidRDefault="00A52778" w:rsidP="00FC3F8E">
            <w:pPr>
              <w:spacing w:line="0" w:lineRule="atLeast"/>
              <w:rPr>
                <w:rFonts w:eastAsia="Times New Roman" w:cs="Times New Roman"/>
                <w:b/>
                <w:sz w:val="21"/>
              </w:rPr>
            </w:pPr>
          </w:p>
        </w:tc>
        <w:tc>
          <w:tcPr>
            <w:tcW w:w="1701" w:type="dxa"/>
            <w:vMerge/>
            <w:tcBorders>
              <w:right w:val="single" w:sz="8" w:space="0" w:color="auto"/>
            </w:tcBorders>
            <w:shd w:val="clear" w:color="auto" w:fill="auto"/>
            <w:vAlign w:val="bottom"/>
          </w:tcPr>
          <w:p w14:paraId="04AF0026" w14:textId="77777777" w:rsidR="00A52778" w:rsidRPr="00460F9E" w:rsidRDefault="00A52778" w:rsidP="00FC3F8E">
            <w:pPr>
              <w:spacing w:line="208" w:lineRule="exact"/>
              <w:jc w:val="center"/>
              <w:rPr>
                <w:rFonts w:eastAsia="Times New Roman" w:cs="Times New Roman"/>
                <w:b/>
              </w:rPr>
            </w:pPr>
          </w:p>
        </w:tc>
        <w:tc>
          <w:tcPr>
            <w:tcW w:w="1134" w:type="dxa"/>
            <w:vMerge/>
            <w:tcBorders>
              <w:bottom w:val="single" w:sz="8" w:space="0" w:color="auto"/>
              <w:right w:val="single" w:sz="8" w:space="0" w:color="auto"/>
            </w:tcBorders>
            <w:shd w:val="clear" w:color="auto" w:fill="auto"/>
            <w:vAlign w:val="bottom"/>
          </w:tcPr>
          <w:p w14:paraId="48A55B04" w14:textId="77777777" w:rsidR="00A52778" w:rsidRPr="00460F9E" w:rsidRDefault="00A52778" w:rsidP="00FC3F8E">
            <w:pPr>
              <w:spacing w:line="222" w:lineRule="exact"/>
              <w:jc w:val="center"/>
              <w:rPr>
                <w:rFonts w:eastAsia="Times New Roman" w:cs="Times New Roman"/>
                <w:b/>
              </w:rPr>
            </w:pPr>
          </w:p>
        </w:tc>
        <w:tc>
          <w:tcPr>
            <w:tcW w:w="1985" w:type="dxa"/>
            <w:vMerge/>
            <w:tcBorders>
              <w:bottom w:val="single" w:sz="8" w:space="0" w:color="auto"/>
              <w:right w:val="single" w:sz="8" w:space="0" w:color="auto"/>
            </w:tcBorders>
            <w:shd w:val="clear" w:color="auto" w:fill="auto"/>
            <w:vAlign w:val="bottom"/>
          </w:tcPr>
          <w:p w14:paraId="0AA17E8D" w14:textId="77777777" w:rsidR="00A52778" w:rsidRPr="00460F9E" w:rsidRDefault="00A52778" w:rsidP="00FC3F8E">
            <w:pPr>
              <w:spacing w:line="0" w:lineRule="atLeast"/>
              <w:rPr>
                <w:rFonts w:eastAsia="Times New Roman" w:cs="Times New Roman"/>
                <w:b/>
                <w:sz w:val="21"/>
              </w:rPr>
            </w:pPr>
          </w:p>
        </w:tc>
        <w:tc>
          <w:tcPr>
            <w:tcW w:w="1275" w:type="dxa"/>
            <w:vMerge/>
            <w:tcBorders>
              <w:bottom w:val="single" w:sz="8" w:space="0" w:color="auto"/>
              <w:right w:val="single" w:sz="8" w:space="0" w:color="auto"/>
            </w:tcBorders>
            <w:shd w:val="clear" w:color="auto" w:fill="auto"/>
            <w:vAlign w:val="bottom"/>
          </w:tcPr>
          <w:p w14:paraId="70808F62" w14:textId="77777777" w:rsidR="00A52778" w:rsidRPr="00460F9E" w:rsidRDefault="00A52778" w:rsidP="00FC3F8E">
            <w:pPr>
              <w:spacing w:line="0" w:lineRule="atLeast"/>
              <w:rPr>
                <w:rFonts w:eastAsia="Times New Roman" w:cs="Times New Roman"/>
                <w:b/>
                <w:sz w:val="21"/>
              </w:rPr>
            </w:pPr>
          </w:p>
        </w:tc>
        <w:tc>
          <w:tcPr>
            <w:tcW w:w="1276" w:type="dxa"/>
            <w:vMerge w:val="restart"/>
            <w:tcBorders>
              <w:right w:val="single" w:sz="4" w:space="0" w:color="auto"/>
            </w:tcBorders>
            <w:shd w:val="clear" w:color="auto" w:fill="auto"/>
            <w:vAlign w:val="bottom"/>
          </w:tcPr>
          <w:p w14:paraId="0F098A3B" w14:textId="77777777" w:rsidR="00A52778" w:rsidRPr="00460F9E" w:rsidRDefault="002A1746" w:rsidP="00FC3F8E">
            <w:pPr>
              <w:spacing w:line="0" w:lineRule="atLeast"/>
              <w:ind w:left="340"/>
              <w:rPr>
                <w:rFonts w:eastAsia="Times New Roman" w:cs="Times New Roman"/>
                <w:b/>
              </w:rPr>
            </w:pPr>
            <w:hyperlink w:anchor="page302" w:history="1">
              <w:r w:rsidR="00A52778" w:rsidRPr="00460F9E">
                <w:rPr>
                  <w:rFonts w:eastAsia="Times New Roman" w:cs="Times New Roman"/>
                </w:rPr>
                <w:t>MET 11</w:t>
              </w:r>
            </w:hyperlink>
          </w:p>
        </w:tc>
      </w:tr>
      <w:tr w:rsidR="00A52778" w:rsidRPr="00460F9E" w14:paraId="3B8F7444" w14:textId="77777777" w:rsidTr="00FC3F8E">
        <w:trPr>
          <w:trHeight w:val="93"/>
        </w:trPr>
        <w:tc>
          <w:tcPr>
            <w:tcW w:w="1843" w:type="dxa"/>
            <w:tcBorders>
              <w:left w:val="single" w:sz="4" w:space="0" w:color="auto"/>
              <w:right w:val="single" w:sz="8" w:space="0" w:color="auto"/>
            </w:tcBorders>
            <w:shd w:val="clear" w:color="auto" w:fill="auto"/>
            <w:vAlign w:val="bottom"/>
          </w:tcPr>
          <w:p w14:paraId="7514AA59" w14:textId="77777777" w:rsidR="00A52778" w:rsidRPr="00460F9E" w:rsidRDefault="00A52778" w:rsidP="00FC3F8E">
            <w:pPr>
              <w:spacing w:line="0" w:lineRule="atLeast"/>
              <w:rPr>
                <w:rFonts w:eastAsia="Times New Roman" w:cs="Times New Roman"/>
                <w:b/>
                <w:sz w:val="8"/>
              </w:rPr>
            </w:pPr>
          </w:p>
        </w:tc>
        <w:tc>
          <w:tcPr>
            <w:tcW w:w="1701" w:type="dxa"/>
            <w:vMerge/>
            <w:tcBorders>
              <w:right w:val="single" w:sz="8" w:space="0" w:color="auto"/>
            </w:tcBorders>
            <w:shd w:val="clear" w:color="auto" w:fill="auto"/>
            <w:vAlign w:val="bottom"/>
          </w:tcPr>
          <w:p w14:paraId="34D80128" w14:textId="77777777" w:rsidR="00A52778" w:rsidRPr="00460F9E" w:rsidRDefault="00A52778" w:rsidP="00FC3F8E">
            <w:pPr>
              <w:spacing w:line="208" w:lineRule="exact"/>
              <w:jc w:val="center"/>
              <w:rPr>
                <w:rFonts w:eastAsia="Times New Roman" w:cs="Times New Roman"/>
                <w:b/>
                <w:w w:val="99"/>
              </w:rPr>
            </w:pPr>
          </w:p>
        </w:tc>
        <w:tc>
          <w:tcPr>
            <w:tcW w:w="1134" w:type="dxa"/>
            <w:vMerge w:val="restart"/>
            <w:tcBorders>
              <w:right w:val="single" w:sz="8" w:space="0" w:color="auto"/>
            </w:tcBorders>
            <w:shd w:val="clear" w:color="auto" w:fill="auto"/>
            <w:vAlign w:val="center"/>
          </w:tcPr>
          <w:p w14:paraId="5DB139DD" w14:textId="77777777" w:rsidR="00A52778" w:rsidRPr="00460F9E" w:rsidRDefault="00A52778" w:rsidP="00FC3F8E">
            <w:pPr>
              <w:spacing w:line="219" w:lineRule="exact"/>
              <w:jc w:val="center"/>
              <w:rPr>
                <w:rFonts w:eastAsia="Times New Roman" w:cs="Times New Roman"/>
                <w:b/>
                <w:w w:val="99"/>
              </w:rPr>
            </w:pPr>
            <w:r w:rsidRPr="00460F9E">
              <w:rPr>
                <w:rFonts w:eastAsia="Times New Roman" w:cs="Times New Roman"/>
                <w:w w:val="99"/>
              </w:rPr>
              <w:t>TVOC kütle akışı &lt; 2,5 C/saat olan herhangi bir baca</w:t>
            </w:r>
          </w:p>
        </w:tc>
        <w:tc>
          <w:tcPr>
            <w:tcW w:w="1985" w:type="dxa"/>
            <w:tcBorders>
              <w:right w:val="single" w:sz="8" w:space="0" w:color="auto"/>
            </w:tcBorders>
            <w:shd w:val="clear" w:color="auto" w:fill="auto"/>
            <w:vAlign w:val="bottom"/>
          </w:tcPr>
          <w:p w14:paraId="7305C76C" w14:textId="77777777" w:rsidR="00A52778" w:rsidRPr="00460F9E" w:rsidRDefault="00A52778" w:rsidP="00FC3F8E">
            <w:pPr>
              <w:spacing w:line="0" w:lineRule="atLeast"/>
              <w:rPr>
                <w:rFonts w:eastAsia="Times New Roman" w:cs="Times New Roman"/>
                <w:b/>
                <w:sz w:val="8"/>
              </w:rPr>
            </w:pPr>
          </w:p>
        </w:tc>
        <w:tc>
          <w:tcPr>
            <w:tcW w:w="1275" w:type="dxa"/>
            <w:tcBorders>
              <w:right w:val="single" w:sz="8" w:space="0" w:color="auto"/>
            </w:tcBorders>
            <w:shd w:val="clear" w:color="auto" w:fill="auto"/>
            <w:vAlign w:val="bottom"/>
          </w:tcPr>
          <w:p w14:paraId="3FC068E7" w14:textId="77777777" w:rsidR="00A52778" w:rsidRPr="00460F9E" w:rsidRDefault="00A52778" w:rsidP="00FC3F8E">
            <w:pPr>
              <w:spacing w:line="0" w:lineRule="atLeast"/>
              <w:rPr>
                <w:rFonts w:eastAsia="Times New Roman" w:cs="Times New Roman"/>
                <w:b/>
                <w:sz w:val="8"/>
              </w:rPr>
            </w:pPr>
          </w:p>
        </w:tc>
        <w:tc>
          <w:tcPr>
            <w:tcW w:w="1276" w:type="dxa"/>
            <w:vMerge/>
            <w:tcBorders>
              <w:right w:val="single" w:sz="4" w:space="0" w:color="auto"/>
            </w:tcBorders>
            <w:shd w:val="clear" w:color="auto" w:fill="auto"/>
            <w:vAlign w:val="bottom"/>
          </w:tcPr>
          <w:p w14:paraId="53854AB2" w14:textId="77777777" w:rsidR="00A52778" w:rsidRPr="00460F9E" w:rsidRDefault="00A52778" w:rsidP="00FC3F8E">
            <w:pPr>
              <w:spacing w:line="0" w:lineRule="atLeast"/>
              <w:rPr>
                <w:rFonts w:eastAsia="Times New Roman" w:cs="Times New Roman"/>
                <w:b/>
                <w:sz w:val="8"/>
              </w:rPr>
            </w:pPr>
          </w:p>
        </w:tc>
      </w:tr>
      <w:tr w:rsidR="00A52778" w:rsidRPr="00460F9E" w14:paraId="034DE6C5" w14:textId="77777777" w:rsidTr="00FC3F8E">
        <w:trPr>
          <w:trHeight w:val="127"/>
        </w:trPr>
        <w:tc>
          <w:tcPr>
            <w:tcW w:w="1843" w:type="dxa"/>
            <w:tcBorders>
              <w:left w:val="single" w:sz="4" w:space="0" w:color="auto"/>
              <w:right w:val="single" w:sz="8" w:space="0" w:color="auto"/>
            </w:tcBorders>
            <w:shd w:val="clear" w:color="auto" w:fill="auto"/>
            <w:vAlign w:val="bottom"/>
          </w:tcPr>
          <w:p w14:paraId="096C3A3C" w14:textId="77777777" w:rsidR="00A52778" w:rsidRPr="00460F9E" w:rsidRDefault="00A52778" w:rsidP="00FC3F8E">
            <w:pPr>
              <w:spacing w:line="0" w:lineRule="atLeast"/>
              <w:rPr>
                <w:rFonts w:eastAsia="Times New Roman" w:cs="Times New Roman"/>
                <w:b/>
                <w:sz w:val="11"/>
              </w:rPr>
            </w:pPr>
          </w:p>
        </w:tc>
        <w:tc>
          <w:tcPr>
            <w:tcW w:w="1701" w:type="dxa"/>
            <w:vMerge/>
            <w:tcBorders>
              <w:right w:val="single" w:sz="8" w:space="0" w:color="auto"/>
            </w:tcBorders>
            <w:shd w:val="clear" w:color="auto" w:fill="auto"/>
            <w:vAlign w:val="bottom"/>
          </w:tcPr>
          <w:p w14:paraId="1802C7FF" w14:textId="77777777" w:rsidR="00A52778" w:rsidRPr="00460F9E" w:rsidRDefault="00A52778" w:rsidP="00FC3F8E">
            <w:pPr>
              <w:spacing w:line="0" w:lineRule="atLeast"/>
              <w:rPr>
                <w:rFonts w:eastAsia="Times New Roman" w:cs="Times New Roman"/>
                <w:b/>
                <w:sz w:val="11"/>
              </w:rPr>
            </w:pPr>
          </w:p>
        </w:tc>
        <w:tc>
          <w:tcPr>
            <w:tcW w:w="1134" w:type="dxa"/>
            <w:vMerge/>
            <w:tcBorders>
              <w:right w:val="single" w:sz="8" w:space="0" w:color="auto"/>
            </w:tcBorders>
            <w:shd w:val="clear" w:color="auto" w:fill="auto"/>
            <w:vAlign w:val="center"/>
          </w:tcPr>
          <w:p w14:paraId="3DBF3DF4" w14:textId="77777777" w:rsidR="00A52778" w:rsidRPr="00460F9E" w:rsidRDefault="00A52778" w:rsidP="00FC3F8E">
            <w:pPr>
              <w:spacing w:line="219" w:lineRule="exact"/>
              <w:jc w:val="center"/>
              <w:rPr>
                <w:rFonts w:eastAsia="Times New Roman" w:cs="Times New Roman"/>
                <w:b/>
                <w:sz w:val="11"/>
              </w:rPr>
            </w:pPr>
          </w:p>
        </w:tc>
        <w:tc>
          <w:tcPr>
            <w:tcW w:w="1985" w:type="dxa"/>
            <w:tcBorders>
              <w:right w:val="single" w:sz="8" w:space="0" w:color="auto"/>
            </w:tcBorders>
            <w:shd w:val="clear" w:color="auto" w:fill="auto"/>
            <w:vAlign w:val="bottom"/>
          </w:tcPr>
          <w:p w14:paraId="6CB89BF2" w14:textId="77777777" w:rsidR="00A52778" w:rsidRPr="00460F9E" w:rsidRDefault="00A52778" w:rsidP="00FC3F8E">
            <w:pPr>
              <w:spacing w:line="0" w:lineRule="atLeast"/>
              <w:rPr>
                <w:rFonts w:eastAsia="Times New Roman" w:cs="Times New Roman"/>
                <w:b/>
                <w:sz w:val="11"/>
              </w:rPr>
            </w:pPr>
          </w:p>
        </w:tc>
        <w:tc>
          <w:tcPr>
            <w:tcW w:w="1275" w:type="dxa"/>
            <w:vMerge w:val="restart"/>
            <w:tcBorders>
              <w:right w:val="single" w:sz="8" w:space="0" w:color="auto"/>
            </w:tcBorders>
            <w:shd w:val="clear" w:color="auto" w:fill="auto"/>
            <w:vAlign w:val="center"/>
          </w:tcPr>
          <w:p w14:paraId="014378BF" w14:textId="77777777" w:rsidR="00A52778" w:rsidRPr="00460F9E" w:rsidRDefault="00A52778" w:rsidP="00FC3F8E">
            <w:pPr>
              <w:spacing w:line="214" w:lineRule="exact"/>
              <w:jc w:val="center"/>
              <w:rPr>
                <w:rFonts w:eastAsia="Times New Roman" w:cs="Times New Roman"/>
                <w:b/>
              </w:rPr>
            </w:pPr>
            <w:r w:rsidRPr="00460F9E">
              <w:rPr>
                <w:rFonts w:eastAsia="Times New Roman" w:cs="Times New Roman"/>
              </w:rPr>
              <w:t>Her 6 ayda</w:t>
            </w:r>
          </w:p>
          <w:p w14:paraId="147BE52C" w14:textId="77777777" w:rsidR="00A52778" w:rsidRPr="00460F9E" w:rsidRDefault="00A52778" w:rsidP="00FC3F8E">
            <w:pPr>
              <w:spacing w:line="232" w:lineRule="exact"/>
              <w:ind w:right="280"/>
              <w:jc w:val="center"/>
              <w:rPr>
                <w:rFonts w:eastAsia="Times New Roman" w:cs="Times New Roman"/>
                <w:b/>
              </w:rPr>
            </w:pPr>
            <w:r w:rsidRPr="00460F9E">
              <w:rPr>
                <w:rFonts w:eastAsia="Times New Roman" w:cs="Times New Roman"/>
              </w:rPr>
              <w:t xml:space="preserve">     1 kere</w:t>
            </w:r>
          </w:p>
          <w:p w14:paraId="70137BC9" w14:textId="77777777" w:rsidR="00A52778" w:rsidRPr="00460F9E" w:rsidRDefault="00A52778" w:rsidP="00FC3F8E">
            <w:pPr>
              <w:spacing w:line="239" w:lineRule="exact"/>
              <w:jc w:val="center"/>
              <w:rPr>
                <w:rFonts w:eastAsia="Times New Roman" w:cs="Times New Roman"/>
                <w:b/>
                <w:sz w:val="11"/>
              </w:rPr>
            </w:pPr>
            <w:r w:rsidRPr="00460F9E">
              <w:rPr>
                <w:rFonts w:eastAsia="Times New Roman" w:cs="Times New Roman"/>
                <w:w w:val="95"/>
              </w:rPr>
              <w:t>(</w:t>
            </w:r>
            <w:r w:rsidRPr="00460F9E">
              <w:rPr>
                <w:rFonts w:eastAsia="Times New Roman" w:cs="Times New Roman"/>
                <w:w w:val="95"/>
                <w:sz w:val="25"/>
                <w:vertAlign w:val="superscript"/>
              </w:rPr>
              <w:t>3</w:t>
            </w:r>
            <w:r w:rsidRPr="00460F9E">
              <w:rPr>
                <w:rFonts w:eastAsia="Times New Roman" w:cs="Times New Roman"/>
                <w:w w:val="95"/>
              </w:rPr>
              <w:t>) (</w:t>
            </w:r>
            <w:r w:rsidRPr="00460F9E">
              <w:rPr>
                <w:rFonts w:eastAsia="Times New Roman" w:cs="Times New Roman"/>
                <w:w w:val="95"/>
                <w:sz w:val="25"/>
                <w:vertAlign w:val="superscript"/>
              </w:rPr>
              <w:t>4</w:t>
            </w:r>
            <w:r w:rsidRPr="00460F9E">
              <w:rPr>
                <w:rFonts w:eastAsia="Times New Roman" w:cs="Times New Roman"/>
                <w:w w:val="95"/>
              </w:rPr>
              <w:t>)</w:t>
            </w:r>
          </w:p>
        </w:tc>
        <w:tc>
          <w:tcPr>
            <w:tcW w:w="1276" w:type="dxa"/>
            <w:tcBorders>
              <w:right w:val="single" w:sz="4" w:space="0" w:color="auto"/>
            </w:tcBorders>
            <w:shd w:val="clear" w:color="auto" w:fill="auto"/>
            <w:vAlign w:val="bottom"/>
          </w:tcPr>
          <w:p w14:paraId="3680B935" w14:textId="77777777" w:rsidR="00A52778" w:rsidRPr="00460F9E" w:rsidRDefault="00A52778" w:rsidP="00FC3F8E">
            <w:pPr>
              <w:spacing w:line="0" w:lineRule="atLeast"/>
              <w:rPr>
                <w:rFonts w:eastAsia="Times New Roman" w:cs="Times New Roman"/>
                <w:b/>
                <w:sz w:val="11"/>
              </w:rPr>
            </w:pPr>
          </w:p>
        </w:tc>
      </w:tr>
      <w:tr w:rsidR="00A52778" w:rsidRPr="00460F9E" w14:paraId="70D9DDD9" w14:textId="77777777" w:rsidTr="00FC3F8E">
        <w:trPr>
          <w:trHeight w:val="230"/>
        </w:trPr>
        <w:tc>
          <w:tcPr>
            <w:tcW w:w="1843" w:type="dxa"/>
            <w:tcBorders>
              <w:left w:val="single" w:sz="4" w:space="0" w:color="auto"/>
              <w:right w:val="single" w:sz="8" w:space="0" w:color="auto"/>
            </w:tcBorders>
            <w:shd w:val="clear" w:color="auto" w:fill="auto"/>
            <w:vAlign w:val="bottom"/>
          </w:tcPr>
          <w:p w14:paraId="5E9AD61A" w14:textId="77777777" w:rsidR="00A52778" w:rsidRPr="00460F9E" w:rsidRDefault="00A52778" w:rsidP="00FC3F8E">
            <w:pPr>
              <w:spacing w:line="0" w:lineRule="atLeast"/>
              <w:rPr>
                <w:rFonts w:eastAsia="Times New Roman" w:cs="Times New Roman"/>
                <w:b/>
              </w:rPr>
            </w:pPr>
          </w:p>
        </w:tc>
        <w:tc>
          <w:tcPr>
            <w:tcW w:w="1701" w:type="dxa"/>
            <w:vMerge/>
            <w:tcBorders>
              <w:right w:val="single" w:sz="8" w:space="0" w:color="auto"/>
            </w:tcBorders>
            <w:shd w:val="clear" w:color="auto" w:fill="auto"/>
            <w:vAlign w:val="bottom"/>
          </w:tcPr>
          <w:p w14:paraId="751488AC" w14:textId="77777777" w:rsidR="00A52778" w:rsidRPr="00460F9E" w:rsidRDefault="00A52778" w:rsidP="00FC3F8E">
            <w:pPr>
              <w:spacing w:line="0" w:lineRule="atLeast"/>
              <w:rPr>
                <w:rFonts w:eastAsia="Times New Roman" w:cs="Times New Roman"/>
                <w:b/>
              </w:rPr>
            </w:pPr>
          </w:p>
        </w:tc>
        <w:tc>
          <w:tcPr>
            <w:tcW w:w="1134" w:type="dxa"/>
            <w:vMerge/>
            <w:tcBorders>
              <w:right w:val="single" w:sz="8" w:space="0" w:color="auto"/>
            </w:tcBorders>
            <w:shd w:val="clear" w:color="auto" w:fill="auto"/>
            <w:vAlign w:val="center"/>
          </w:tcPr>
          <w:p w14:paraId="2FCC2E8A" w14:textId="77777777" w:rsidR="00A52778" w:rsidRPr="00460F9E" w:rsidRDefault="00A52778" w:rsidP="00FC3F8E">
            <w:pPr>
              <w:spacing w:line="219" w:lineRule="exact"/>
              <w:jc w:val="center"/>
              <w:rPr>
                <w:rFonts w:eastAsia="Times New Roman" w:cs="Times New Roman"/>
                <w:b/>
                <w:w w:val="96"/>
              </w:rPr>
            </w:pPr>
          </w:p>
        </w:tc>
        <w:tc>
          <w:tcPr>
            <w:tcW w:w="1985" w:type="dxa"/>
            <w:tcBorders>
              <w:right w:val="single" w:sz="8" w:space="0" w:color="auto"/>
            </w:tcBorders>
            <w:shd w:val="clear" w:color="auto" w:fill="auto"/>
            <w:vAlign w:val="bottom"/>
          </w:tcPr>
          <w:p w14:paraId="472227F1" w14:textId="77777777" w:rsidR="00A52778" w:rsidRPr="00460F9E" w:rsidRDefault="00A52778" w:rsidP="00FC3F8E">
            <w:pPr>
              <w:spacing w:line="0" w:lineRule="atLeast"/>
              <w:rPr>
                <w:rFonts w:eastAsia="Times New Roman" w:cs="Times New Roman"/>
                <w:b/>
              </w:rPr>
            </w:pPr>
          </w:p>
        </w:tc>
        <w:tc>
          <w:tcPr>
            <w:tcW w:w="1275" w:type="dxa"/>
            <w:vMerge/>
            <w:tcBorders>
              <w:right w:val="single" w:sz="8" w:space="0" w:color="auto"/>
            </w:tcBorders>
            <w:shd w:val="clear" w:color="auto" w:fill="auto"/>
            <w:vAlign w:val="bottom"/>
          </w:tcPr>
          <w:p w14:paraId="04633128" w14:textId="77777777" w:rsidR="00A52778" w:rsidRPr="00460F9E" w:rsidRDefault="00A52778" w:rsidP="00FC3F8E">
            <w:pPr>
              <w:spacing w:line="239" w:lineRule="exact"/>
              <w:jc w:val="center"/>
              <w:rPr>
                <w:rFonts w:eastAsia="Times New Roman" w:cs="Times New Roman"/>
                <w:b/>
              </w:rPr>
            </w:pPr>
          </w:p>
        </w:tc>
        <w:tc>
          <w:tcPr>
            <w:tcW w:w="1276" w:type="dxa"/>
            <w:tcBorders>
              <w:right w:val="single" w:sz="4" w:space="0" w:color="auto"/>
            </w:tcBorders>
            <w:shd w:val="clear" w:color="auto" w:fill="auto"/>
            <w:vAlign w:val="bottom"/>
          </w:tcPr>
          <w:p w14:paraId="6C616E85" w14:textId="77777777" w:rsidR="00A52778" w:rsidRPr="00460F9E" w:rsidRDefault="00A52778" w:rsidP="00FC3F8E">
            <w:pPr>
              <w:spacing w:line="0" w:lineRule="atLeast"/>
              <w:rPr>
                <w:rFonts w:eastAsia="Times New Roman" w:cs="Times New Roman"/>
                <w:b/>
              </w:rPr>
            </w:pPr>
          </w:p>
        </w:tc>
      </w:tr>
      <w:tr w:rsidR="00A52778" w:rsidRPr="00460F9E" w14:paraId="159273BF" w14:textId="77777777" w:rsidTr="00FC3F8E">
        <w:trPr>
          <w:trHeight w:val="230"/>
        </w:trPr>
        <w:tc>
          <w:tcPr>
            <w:tcW w:w="1843" w:type="dxa"/>
            <w:tcBorders>
              <w:left w:val="single" w:sz="4" w:space="0" w:color="auto"/>
              <w:right w:val="single" w:sz="8" w:space="0" w:color="auto"/>
            </w:tcBorders>
            <w:shd w:val="clear" w:color="auto" w:fill="auto"/>
            <w:vAlign w:val="bottom"/>
          </w:tcPr>
          <w:p w14:paraId="7120BFA5" w14:textId="77777777" w:rsidR="00A52778" w:rsidRPr="00460F9E" w:rsidRDefault="00A52778" w:rsidP="00FC3F8E">
            <w:pPr>
              <w:spacing w:line="0" w:lineRule="atLeast"/>
              <w:rPr>
                <w:rFonts w:eastAsia="Times New Roman" w:cs="Times New Roman"/>
                <w:b/>
              </w:rPr>
            </w:pPr>
          </w:p>
        </w:tc>
        <w:tc>
          <w:tcPr>
            <w:tcW w:w="1701" w:type="dxa"/>
            <w:vMerge/>
            <w:tcBorders>
              <w:right w:val="single" w:sz="8" w:space="0" w:color="auto"/>
            </w:tcBorders>
            <w:shd w:val="clear" w:color="auto" w:fill="auto"/>
            <w:vAlign w:val="bottom"/>
          </w:tcPr>
          <w:p w14:paraId="106519DA" w14:textId="77777777" w:rsidR="00A52778" w:rsidRPr="00460F9E" w:rsidRDefault="00A52778" w:rsidP="00FC3F8E">
            <w:pPr>
              <w:spacing w:line="0" w:lineRule="atLeast"/>
              <w:rPr>
                <w:rFonts w:eastAsia="Times New Roman" w:cs="Times New Roman"/>
                <w:b/>
              </w:rPr>
            </w:pPr>
          </w:p>
        </w:tc>
        <w:tc>
          <w:tcPr>
            <w:tcW w:w="1134" w:type="dxa"/>
            <w:vMerge/>
            <w:tcBorders>
              <w:right w:val="single" w:sz="8" w:space="0" w:color="auto"/>
            </w:tcBorders>
            <w:shd w:val="clear" w:color="auto" w:fill="auto"/>
            <w:vAlign w:val="center"/>
          </w:tcPr>
          <w:p w14:paraId="119D6BE2" w14:textId="77777777" w:rsidR="00A52778" w:rsidRPr="00460F9E" w:rsidRDefault="00A52778" w:rsidP="00FC3F8E">
            <w:pPr>
              <w:spacing w:line="219" w:lineRule="exact"/>
              <w:jc w:val="center"/>
              <w:rPr>
                <w:rFonts w:eastAsia="Times New Roman" w:cs="Times New Roman"/>
                <w:b/>
              </w:rPr>
            </w:pPr>
          </w:p>
        </w:tc>
        <w:tc>
          <w:tcPr>
            <w:tcW w:w="1985" w:type="dxa"/>
            <w:tcBorders>
              <w:right w:val="single" w:sz="8" w:space="0" w:color="auto"/>
            </w:tcBorders>
            <w:shd w:val="clear" w:color="auto" w:fill="auto"/>
            <w:vAlign w:val="bottom"/>
          </w:tcPr>
          <w:p w14:paraId="5F406C9B"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EN 12619</w:t>
            </w:r>
          </w:p>
        </w:tc>
        <w:tc>
          <w:tcPr>
            <w:tcW w:w="1275" w:type="dxa"/>
            <w:vMerge/>
            <w:tcBorders>
              <w:right w:val="single" w:sz="8" w:space="0" w:color="auto"/>
            </w:tcBorders>
            <w:shd w:val="clear" w:color="auto" w:fill="auto"/>
            <w:vAlign w:val="bottom"/>
          </w:tcPr>
          <w:p w14:paraId="4593564B" w14:textId="77777777" w:rsidR="00A52778" w:rsidRPr="00460F9E" w:rsidRDefault="00A52778" w:rsidP="00FC3F8E">
            <w:pPr>
              <w:spacing w:line="239" w:lineRule="exact"/>
              <w:jc w:val="center"/>
              <w:rPr>
                <w:rFonts w:eastAsia="Times New Roman" w:cs="Times New Roman"/>
                <w:b/>
              </w:rPr>
            </w:pPr>
          </w:p>
        </w:tc>
        <w:tc>
          <w:tcPr>
            <w:tcW w:w="1276" w:type="dxa"/>
            <w:tcBorders>
              <w:right w:val="single" w:sz="4" w:space="0" w:color="auto"/>
            </w:tcBorders>
            <w:shd w:val="clear" w:color="auto" w:fill="auto"/>
            <w:vAlign w:val="bottom"/>
          </w:tcPr>
          <w:p w14:paraId="406248DF" w14:textId="77777777" w:rsidR="00A52778" w:rsidRPr="00460F9E" w:rsidRDefault="00A52778" w:rsidP="00FC3F8E">
            <w:pPr>
              <w:spacing w:line="0" w:lineRule="atLeast"/>
              <w:rPr>
                <w:rFonts w:eastAsia="Times New Roman" w:cs="Times New Roman"/>
                <w:b/>
              </w:rPr>
            </w:pPr>
          </w:p>
        </w:tc>
      </w:tr>
      <w:tr w:rsidR="00A52778" w:rsidRPr="00460F9E" w14:paraId="1F2C91AE" w14:textId="77777777" w:rsidTr="00FC3F8E">
        <w:trPr>
          <w:trHeight w:val="239"/>
        </w:trPr>
        <w:tc>
          <w:tcPr>
            <w:tcW w:w="1843" w:type="dxa"/>
            <w:tcBorders>
              <w:left w:val="single" w:sz="4" w:space="0" w:color="auto"/>
              <w:right w:val="single" w:sz="8" w:space="0" w:color="auto"/>
            </w:tcBorders>
            <w:shd w:val="clear" w:color="auto" w:fill="auto"/>
            <w:vAlign w:val="bottom"/>
          </w:tcPr>
          <w:p w14:paraId="2E6F2CF8" w14:textId="77777777" w:rsidR="00A52778" w:rsidRPr="00460F9E" w:rsidRDefault="00A52778" w:rsidP="00FC3F8E">
            <w:pPr>
              <w:spacing w:line="0" w:lineRule="atLeast"/>
              <w:rPr>
                <w:rFonts w:eastAsia="Times New Roman" w:cs="Times New Roman"/>
                <w:b/>
              </w:rPr>
            </w:pPr>
          </w:p>
        </w:tc>
        <w:tc>
          <w:tcPr>
            <w:tcW w:w="1701" w:type="dxa"/>
            <w:vMerge/>
            <w:tcBorders>
              <w:right w:val="single" w:sz="8" w:space="0" w:color="auto"/>
            </w:tcBorders>
            <w:shd w:val="clear" w:color="auto" w:fill="auto"/>
            <w:vAlign w:val="bottom"/>
          </w:tcPr>
          <w:p w14:paraId="7A1D03FA" w14:textId="77777777" w:rsidR="00A52778" w:rsidRPr="00460F9E" w:rsidRDefault="00A52778" w:rsidP="00FC3F8E">
            <w:pPr>
              <w:spacing w:line="0" w:lineRule="atLeast"/>
              <w:rPr>
                <w:rFonts w:eastAsia="Times New Roman" w:cs="Times New Roman"/>
                <w:b/>
              </w:rPr>
            </w:pPr>
          </w:p>
        </w:tc>
        <w:tc>
          <w:tcPr>
            <w:tcW w:w="1134" w:type="dxa"/>
            <w:vMerge/>
            <w:tcBorders>
              <w:right w:val="single" w:sz="8" w:space="0" w:color="auto"/>
            </w:tcBorders>
            <w:shd w:val="clear" w:color="auto" w:fill="auto"/>
            <w:vAlign w:val="center"/>
          </w:tcPr>
          <w:p w14:paraId="462E7E83" w14:textId="77777777" w:rsidR="00A52778" w:rsidRPr="00460F9E" w:rsidRDefault="00A52778" w:rsidP="00FC3F8E">
            <w:pPr>
              <w:spacing w:line="219" w:lineRule="exact"/>
              <w:jc w:val="center"/>
              <w:rPr>
                <w:rFonts w:eastAsia="Times New Roman" w:cs="Times New Roman"/>
                <w:b/>
                <w:w w:val="99"/>
              </w:rPr>
            </w:pPr>
          </w:p>
        </w:tc>
        <w:tc>
          <w:tcPr>
            <w:tcW w:w="1985" w:type="dxa"/>
            <w:tcBorders>
              <w:right w:val="single" w:sz="8" w:space="0" w:color="auto"/>
            </w:tcBorders>
            <w:shd w:val="clear" w:color="auto" w:fill="auto"/>
            <w:vAlign w:val="bottom"/>
          </w:tcPr>
          <w:p w14:paraId="00B848A0" w14:textId="77777777" w:rsidR="00A52778" w:rsidRPr="00460F9E" w:rsidRDefault="00A52778" w:rsidP="00FC3F8E">
            <w:pPr>
              <w:spacing w:line="0" w:lineRule="atLeast"/>
              <w:rPr>
                <w:rFonts w:eastAsia="Times New Roman" w:cs="Times New Roman"/>
                <w:b/>
              </w:rPr>
            </w:pPr>
          </w:p>
        </w:tc>
        <w:tc>
          <w:tcPr>
            <w:tcW w:w="1275" w:type="dxa"/>
            <w:vMerge/>
            <w:tcBorders>
              <w:right w:val="single" w:sz="8" w:space="0" w:color="auto"/>
            </w:tcBorders>
            <w:shd w:val="clear" w:color="auto" w:fill="auto"/>
            <w:vAlign w:val="bottom"/>
          </w:tcPr>
          <w:p w14:paraId="38C6DE38" w14:textId="77777777" w:rsidR="00A52778" w:rsidRPr="00460F9E" w:rsidRDefault="00A52778" w:rsidP="00FC3F8E">
            <w:pPr>
              <w:spacing w:line="239" w:lineRule="exact"/>
              <w:jc w:val="center"/>
              <w:rPr>
                <w:rFonts w:eastAsia="Times New Roman" w:cs="Times New Roman"/>
                <w:b/>
                <w:w w:val="95"/>
              </w:rPr>
            </w:pPr>
          </w:p>
        </w:tc>
        <w:tc>
          <w:tcPr>
            <w:tcW w:w="1276" w:type="dxa"/>
            <w:tcBorders>
              <w:right w:val="single" w:sz="4" w:space="0" w:color="auto"/>
            </w:tcBorders>
            <w:shd w:val="clear" w:color="auto" w:fill="auto"/>
            <w:vAlign w:val="bottom"/>
          </w:tcPr>
          <w:p w14:paraId="4047D7BF" w14:textId="77777777" w:rsidR="00A52778" w:rsidRPr="00460F9E" w:rsidRDefault="00A52778" w:rsidP="00FC3F8E">
            <w:pPr>
              <w:spacing w:line="0" w:lineRule="atLeast"/>
              <w:rPr>
                <w:rFonts w:eastAsia="Times New Roman" w:cs="Times New Roman"/>
                <w:b/>
              </w:rPr>
            </w:pPr>
          </w:p>
        </w:tc>
      </w:tr>
      <w:tr w:rsidR="00A52778" w:rsidRPr="00460F9E" w14:paraId="194144C8" w14:textId="77777777" w:rsidTr="00FC3F8E">
        <w:trPr>
          <w:trHeight w:val="222"/>
        </w:trPr>
        <w:tc>
          <w:tcPr>
            <w:tcW w:w="1843" w:type="dxa"/>
            <w:tcBorders>
              <w:left w:val="single" w:sz="4" w:space="0" w:color="auto"/>
              <w:bottom w:val="single" w:sz="8" w:space="0" w:color="auto"/>
              <w:right w:val="single" w:sz="8" w:space="0" w:color="auto"/>
            </w:tcBorders>
            <w:shd w:val="clear" w:color="auto" w:fill="auto"/>
            <w:vAlign w:val="bottom"/>
          </w:tcPr>
          <w:p w14:paraId="0BDD8B25" w14:textId="77777777" w:rsidR="00A52778" w:rsidRPr="00460F9E" w:rsidRDefault="00A52778" w:rsidP="00FC3F8E">
            <w:pPr>
              <w:spacing w:line="0" w:lineRule="atLeast"/>
              <w:rPr>
                <w:rFonts w:eastAsia="Times New Roman" w:cs="Times New Roman"/>
                <w:b/>
                <w:sz w:val="19"/>
              </w:rPr>
            </w:pPr>
          </w:p>
        </w:tc>
        <w:tc>
          <w:tcPr>
            <w:tcW w:w="1701" w:type="dxa"/>
            <w:vMerge/>
            <w:tcBorders>
              <w:bottom w:val="single" w:sz="8" w:space="0" w:color="auto"/>
              <w:right w:val="single" w:sz="8" w:space="0" w:color="auto"/>
            </w:tcBorders>
            <w:shd w:val="clear" w:color="auto" w:fill="auto"/>
            <w:vAlign w:val="bottom"/>
          </w:tcPr>
          <w:p w14:paraId="4D2FB021" w14:textId="77777777" w:rsidR="00A52778" w:rsidRPr="00460F9E" w:rsidRDefault="00A52778" w:rsidP="00FC3F8E">
            <w:pPr>
              <w:spacing w:line="0" w:lineRule="atLeast"/>
              <w:rPr>
                <w:rFonts w:eastAsia="Times New Roman" w:cs="Times New Roman"/>
                <w:b/>
                <w:sz w:val="19"/>
              </w:rPr>
            </w:pPr>
          </w:p>
        </w:tc>
        <w:tc>
          <w:tcPr>
            <w:tcW w:w="1134" w:type="dxa"/>
            <w:vMerge/>
            <w:tcBorders>
              <w:bottom w:val="single" w:sz="8" w:space="0" w:color="auto"/>
              <w:right w:val="single" w:sz="8" w:space="0" w:color="auto"/>
            </w:tcBorders>
            <w:shd w:val="clear" w:color="auto" w:fill="auto"/>
            <w:vAlign w:val="center"/>
          </w:tcPr>
          <w:p w14:paraId="3984C9D7" w14:textId="77777777" w:rsidR="00A52778" w:rsidRPr="00460F9E" w:rsidRDefault="00A52778" w:rsidP="00FC3F8E">
            <w:pPr>
              <w:spacing w:line="219" w:lineRule="exact"/>
              <w:jc w:val="center"/>
              <w:rPr>
                <w:rFonts w:eastAsia="Times New Roman" w:cs="Times New Roman"/>
                <w:b/>
                <w:w w:val="98"/>
              </w:rPr>
            </w:pPr>
          </w:p>
        </w:tc>
        <w:tc>
          <w:tcPr>
            <w:tcW w:w="1985" w:type="dxa"/>
            <w:tcBorders>
              <w:bottom w:val="single" w:sz="8" w:space="0" w:color="auto"/>
              <w:right w:val="single" w:sz="8" w:space="0" w:color="auto"/>
            </w:tcBorders>
            <w:shd w:val="clear" w:color="auto" w:fill="auto"/>
            <w:vAlign w:val="bottom"/>
          </w:tcPr>
          <w:p w14:paraId="36400D81" w14:textId="77777777" w:rsidR="00A52778" w:rsidRPr="00460F9E" w:rsidRDefault="00A52778" w:rsidP="00FC3F8E">
            <w:pPr>
              <w:spacing w:line="0" w:lineRule="atLeast"/>
              <w:rPr>
                <w:rFonts w:eastAsia="Times New Roman" w:cs="Times New Roman"/>
                <w:b/>
                <w:sz w:val="19"/>
              </w:rPr>
            </w:pPr>
          </w:p>
        </w:tc>
        <w:tc>
          <w:tcPr>
            <w:tcW w:w="1275" w:type="dxa"/>
            <w:vMerge/>
            <w:tcBorders>
              <w:bottom w:val="single" w:sz="8" w:space="0" w:color="auto"/>
              <w:right w:val="single" w:sz="8" w:space="0" w:color="auto"/>
            </w:tcBorders>
            <w:shd w:val="clear" w:color="auto" w:fill="auto"/>
            <w:vAlign w:val="bottom"/>
          </w:tcPr>
          <w:p w14:paraId="5252E3E1" w14:textId="77777777" w:rsidR="00A52778" w:rsidRPr="00460F9E" w:rsidRDefault="00A52778" w:rsidP="00FC3F8E">
            <w:pPr>
              <w:spacing w:line="0" w:lineRule="atLeast"/>
              <w:rPr>
                <w:rFonts w:eastAsia="Times New Roman" w:cs="Times New Roman"/>
                <w:b/>
                <w:sz w:val="19"/>
              </w:rPr>
            </w:pPr>
          </w:p>
        </w:tc>
        <w:tc>
          <w:tcPr>
            <w:tcW w:w="1276" w:type="dxa"/>
            <w:tcBorders>
              <w:bottom w:val="single" w:sz="8" w:space="0" w:color="auto"/>
              <w:right w:val="single" w:sz="4" w:space="0" w:color="auto"/>
            </w:tcBorders>
            <w:shd w:val="clear" w:color="auto" w:fill="auto"/>
            <w:vAlign w:val="bottom"/>
          </w:tcPr>
          <w:p w14:paraId="50FD1CA8" w14:textId="77777777" w:rsidR="00A52778" w:rsidRPr="00460F9E" w:rsidRDefault="00A52778" w:rsidP="00FC3F8E">
            <w:pPr>
              <w:spacing w:line="0" w:lineRule="atLeast"/>
              <w:rPr>
                <w:rFonts w:eastAsia="Times New Roman" w:cs="Times New Roman"/>
                <w:b/>
                <w:sz w:val="19"/>
              </w:rPr>
            </w:pPr>
          </w:p>
        </w:tc>
      </w:tr>
    </w:tbl>
    <w:p w14:paraId="77F867C6" w14:textId="77777777" w:rsidR="00A52778" w:rsidRPr="00460F9E" w:rsidRDefault="00A52778" w:rsidP="00A52778">
      <w:pPr>
        <w:spacing w:line="20" w:lineRule="exact"/>
        <w:rPr>
          <w:rFonts w:eastAsia="Times New Roman" w:cs="Times New Roman"/>
          <w:b/>
        </w:rPr>
      </w:pPr>
      <w:r w:rsidRPr="00460F9E">
        <w:rPr>
          <w:rFonts w:eastAsia="Times New Roman" w:cs="Times New Roman"/>
          <w:b/>
          <w:noProof/>
          <w:sz w:val="18"/>
          <w:lang w:val="tr-TR" w:eastAsia="tr-TR"/>
        </w:rPr>
        <mc:AlternateContent>
          <mc:Choice Requires="wps">
            <w:drawing>
              <wp:anchor distT="0" distB="0" distL="114300" distR="114300" simplePos="0" relativeHeight="251661312" behindDoc="1" locked="0" layoutInCell="1" allowOverlap="1" wp14:anchorId="3C2C1D69" wp14:editId="03712090">
                <wp:simplePos x="0" y="0"/>
                <wp:positionH relativeFrom="column">
                  <wp:posOffset>285115</wp:posOffset>
                </wp:positionH>
                <wp:positionV relativeFrom="paragraph">
                  <wp:posOffset>6350</wp:posOffset>
                </wp:positionV>
                <wp:extent cx="5882005" cy="12700"/>
                <wp:effectExtent l="0" t="0" r="0" b="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00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CE853" id="Dikdörtgen 5" o:spid="_x0000_s1026" style="position:absolute;margin-left:22.45pt;margin-top:.5pt;width:463.1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" fillcolor="black" strokecolor="white"/>
            </w:pict>
          </mc:Fallback>
        </mc:AlternateContent>
      </w:r>
    </w:p>
    <w:tbl>
      <w:tblPr>
        <w:tblStyle w:val="TabloKlavuzu"/>
        <w:tblW w:w="0" w:type="auto"/>
        <w:tblLook w:val="04A0" w:firstRow="1" w:lastRow="0" w:firstColumn="1" w:lastColumn="0" w:noHBand="0" w:noVBand="1"/>
      </w:tblPr>
      <w:tblGrid>
        <w:gridCol w:w="9436"/>
      </w:tblGrid>
      <w:tr w:rsidR="00A52778" w14:paraId="44817D66" w14:textId="77777777" w:rsidTr="00FC3F8E">
        <w:tc>
          <w:tcPr>
            <w:tcW w:w="9704" w:type="dxa"/>
          </w:tcPr>
          <w:p w14:paraId="0FB1FCD6" w14:textId="77777777" w:rsidR="00A52778" w:rsidRPr="00460F9E" w:rsidRDefault="00A52778" w:rsidP="00FC3F8E">
            <w:pPr>
              <w:spacing w:line="203" w:lineRule="auto"/>
              <w:ind w:left="860" w:right="120" w:hanging="287"/>
              <w:rPr>
                <w:rFonts w:eastAsia="Times New Roman" w:cs="Times New Roman"/>
                <w:b/>
                <w:sz w:val="18"/>
              </w:rPr>
            </w:pPr>
            <w:r w:rsidRPr="00460F9E">
              <w:rPr>
                <w:rFonts w:eastAsia="Times New Roman" w:cs="Times New Roman"/>
                <w:vertAlign w:val="superscript"/>
              </w:rPr>
              <w:t>1</w:t>
            </w:r>
            <w:r w:rsidRPr="00460F9E">
              <w:rPr>
                <w:rFonts w:eastAsia="Times New Roman" w:cs="Times New Roman"/>
                <w:sz w:val="18"/>
              </w:rPr>
              <w:t>) İzleme, yalnızca ilgili madde/parametrenin MET 2' de verilen envantere dayalı olarak atık gaz akışıyla ilgili olduğu tespit  edildiğinde uygulanır.</w:t>
            </w:r>
          </w:p>
          <w:p w14:paraId="3A3D526B" w14:textId="77777777" w:rsidR="00A52778" w:rsidRPr="00C67F07" w:rsidRDefault="00A52778" w:rsidP="00FC3F8E">
            <w:pPr>
              <w:spacing w:line="186" w:lineRule="auto"/>
              <w:ind w:left="560"/>
              <w:rPr>
                <w:rFonts w:eastAsia="Times New Roman" w:cs="Times New Roman"/>
                <w:b/>
                <w:highlight w:val="yellow"/>
              </w:rPr>
            </w:pPr>
            <w:r w:rsidRPr="00460F9E">
              <w:rPr>
                <w:rFonts w:eastAsia="Times New Roman" w:cs="Times New Roman"/>
                <w:sz w:val="18"/>
              </w:rPr>
              <w:t>(</w:t>
            </w:r>
            <w:r w:rsidRPr="00460F9E">
              <w:rPr>
                <w:rFonts w:eastAsia="Times New Roman" w:cs="Times New Roman"/>
                <w:vertAlign w:val="superscript"/>
              </w:rPr>
              <w:t>2</w:t>
            </w:r>
            <w:r w:rsidRPr="00460F9E">
              <w:rPr>
                <w:rFonts w:eastAsia="Times New Roman" w:cs="Times New Roman"/>
                <w:sz w:val="18"/>
              </w:rPr>
              <w:t xml:space="preserve">)  </w:t>
            </w:r>
            <w:r w:rsidRPr="00C67F07">
              <w:rPr>
                <w:rFonts w:eastAsia="Times New Roman" w:cs="Times New Roman"/>
                <w:sz w:val="18"/>
                <w:highlight w:val="yellow"/>
              </w:rPr>
              <w:t>Ölçümler EN 15259' a göre yapılır.</w:t>
            </w:r>
          </w:p>
          <w:p w14:paraId="5D8FA0F2" w14:textId="77777777" w:rsidR="00A52778" w:rsidRPr="00C67F07" w:rsidRDefault="00A52778" w:rsidP="00FC3F8E">
            <w:pPr>
              <w:spacing w:line="203" w:lineRule="auto"/>
              <w:ind w:left="860" w:right="120" w:hanging="287"/>
              <w:rPr>
                <w:rFonts w:eastAsia="Times New Roman" w:cs="Times New Roman"/>
                <w:b/>
                <w:sz w:val="18"/>
                <w:highlight w:val="yellow"/>
              </w:rPr>
            </w:pPr>
            <w:r w:rsidRPr="00C67F07">
              <w:rPr>
                <w:rFonts w:eastAsia="Times New Roman" w:cs="Times New Roman"/>
                <w:sz w:val="18"/>
                <w:highlight w:val="yellow"/>
              </w:rPr>
              <w:t>(</w:t>
            </w:r>
            <w:r w:rsidRPr="00C67F07">
              <w:rPr>
                <w:rFonts w:eastAsia="Times New Roman" w:cs="Times New Roman"/>
                <w:highlight w:val="yellow"/>
                <w:vertAlign w:val="superscript"/>
              </w:rPr>
              <w:t>3</w:t>
            </w:r>
            <w:r w:rsidRPr="00C67F07">
              <w:rPr>
                <w:rFonts w:eastAsia="Times New Roman" w:cs="Times New Roman"/>
                <w:sz w:val="18"/>
                <w:highlight w:val="yellow"/>
              </w:rPr>
              <w:t>) Mümkün olduğunca, ölçümler normal çalışma koşulları altında beklenen en yüksek emisyon durumunda gerçekleştirilir.</w:t>
            </w:r>
          </w:p>
          <w:p w14:paraId="6A1E4817" w14:textId="77777777" w:rsidR="00A52778" w:rsidRPr="00C67F07" w:rsidRDefault="00A52778" w:rsidP="00FC3F8E">
            <w:pPr>
              <w:spacing w:line="3" w:lineRule="exact"/>
              <w:rPr>
                <w:rFonts w:eastAsia="Times New Roman" w:cs="Times New Roman"/>
                <w:b/>
                <w:highlight w:val="yellow"/>
              </w:rPr>
            </w:pPr>
          </w:p>
          <w:p w14:paraId="26C094F1" w14:textId="77777777" w:rsidR="00A52778" w:rsidRPr="00C67F07" w:rsidRDefault="00A52778" w:rsidP="00FC3F8E">
            <w:pPr>
              <w:spacing w:line="203" w:lineRule="auto"/>
              <w:ind w:left="860" w:right="120" w:hanging="287"/>
              <w:rPr>
                <w:rFonts w:eastAsia="Times New Roman" w:cs="Times New Roman"/>
                <w:b/>
                <w:sz w:val="18"/>
                <w:highlight w:val="yellow"/>
              </w:rPr>
            </w:pPr>
            <w:r w:rsidRPr="00C67F07">
              <w:rPr>
                <w:rFonts w:eastAsia="Times New Roman" w:cs="Times New Roman"/>
                <w:sz w:val="18"/>
                <w:highlight w:val="yellow"/>
              </w:rPr>
              <w:t>(</w:t>
            </w:r>
            <w:r w:rsidRPr="00C67F07">
              <w:rPr>
                <w:rFonts w:eastAsia="Times New Roman" w:cs="Times New Roman"/>
                <w:highlight w:val="yellow"/>
                <w:vertAlign w:val="superscript"/>
              </w:rPr>
              <w:t>4</w:t>
            </w:r>
            <w:r w:rsidRPr="00C67F07">
              <w:rPr>
                <w:rFonts w:eastAsia="Times New Roman" w:cs="Times New Roman"/>
                <w:sz w:val="18"/>
                <w:highlight w:val="yellow"/>
              </w:rPr>
              <w:t>) Emisyon seviyelerinin yeterince istikrarlı olduğu kanıtlanırsa minimum izleme sıklığı yılda bire veya 3 yılda bire indirilebilir.</w:t>
            </w:r>
          </w:p>
          <w:p w14:paraId="451E9B52" w14:textId="77777777" w:rsidR="00A52778" w:rsidRPr="00C67F07" w:rsidRDefault="00A52778" w:rsidP="00FC3F8E">
            <w:pPr>
              <w:spacing w:line="188" w:lineRule="auto"/>
              <w:ind w:left="560"/>
              <w:rPr>
                <w:rFonts w:eastAsia="Times New Roman" w:cs="Times New Roman"/>
                <w:b/>
                <w:sz w:val="18"/>
                <w:highlight w:val="yellow"/>
              </w:rPr>
            </w:pPr>
            <w:r w:rsidRPr="00C67F07">
              <w:rPr>
                <w:rFonts w:eastAsia="Times New Roman" w:cs="Times New Roman"/>
                <w:sz w:val="18"/>
                <w:highlight w:val="yellow"/>
              </w:rPr>
              <w:t>(</w:t>
            </w:r>
            <w:r w:rsidRPr="00C67F07">
              <w:rPr>
                <w:rFonts w:eastAsia="Times New Roman" w:cs="Times New Roman"/>
                <w:highlight w:val="yellow"/>
                <w:vertAlign w:val="superscript"/>
              </w:rPr>
              <w:t>5</w:t>
            </w:r>
            <w:r w:rsidRPr="00C67F07">
              <w:rPr>
                <w:rFonts w:eastAsia="Times New Roman" w:cs="Times New Roman"/>
                <w:sz w:val="18"/>
                <w:highlight w:val="yellow"/>
              </w:rPr>
              <w:t>)  Sürekli ölçümler için genel EN standartları EN 14181, EN 15267-1, EN 15267-2 ve EN 15267-3' tür.</w:t>
            </w:r>
          </w:p>
          <w:p w14:paraId="4239745A" w14:textId="77777777" w:rsidR="00A52778" w:rsidRPr="00C67F07" w:rsidRDefault="00A52778" w:rsidP="00FC3F8E">
            <w:pPr>
              <w:spacing w:line="1" w:lineRule="exact"/>
              <w:rPr>
                <w:rFonts w:eastAsia="Times New Roman" w:cs="Times New Roman"/>
                <w:b/>
                <w:highlight w:val="yellow"/>
              </w:rPr>
            </w:pPr>
          </w:p>
          <w:p w14:paraId="31317930" w14:textId="77777777" w:rsidR="00A52778" w:rsidRPr="00C67F07" w:rsidRDefault="00A52778" w:rsidP="00FC3F8E">
            <w:pPr>
              <w:spacing w:line="202" w:lineRule="auto"/>
              <w:ind w:left="860" w:right="120" w:hanging="287"/>
              <w:rPr>
                <w:rFonts w:eastAsia="Times New Roman" w:cs="Times New Roman"/>
                <w:b/>
                <w:highlight w:val="yellow"/>
              </w:rPr>
            </w:pPr>
            <w:r w:rsidRPr="00C67F07">
              <w:rPr>
                <w:rFonts w:eastAsia="Times New Roman" w:cs="Times New Roman"/>
                <w:sz w:val="18"/>
                <w:highlight w:val="yellow"/>
              </w:rPr>
              <w:t>(</w:t>
            </w:r>
            <w:r w:rsidRPr="00C67F07">
              <w:rPr>
                <w:rFonts w:eastAsia="Times New Roman" w:cs="Times New Roman"/>
                <w:highlight w:val="yellow"/>
                <w:vertAlign w:val="superscript"/>
              </w:rPr>
              <w:t>6</w:t>
            </w:r>
            <w:r w:rsidRPr="00C67F07">
              <w:rPr>
                <w:rFonts w:eastAsia="Times New Roman" w:cs="Times New Roman"/>
                <w:sz w:val="18"/>
                <w:highlight w:val="yellow"/>
              </w:rPr>
              <w:t>) Toplam nominal ısıl girdisi 100 MW' tan az olan ve yılda 500 saatten az çalıştırılan proses fırınları/ısıtıcıları söz konusu olduğunda, minimum izleme sıklığı yılda bire düşürülebilir.</w:t>
            </w:r>
          </w:p>
          <w:p w14:paraId="5202EDC5" w14:textId="77777777" w:rsidR="00A52778" w:rsidRPr="00C67F07" w:rsidRDefault="00A52778" w:rsidP="00FC3F8E">
            <w:pPr>
              <w:spacing w:line="203" w:lineRule="auto"/>
              <w:ind w:left="860" w:right="120" w:hanging="287"/>
              <w:rPr>
                <w:rFonts w:eastAsia="Times New Roman" w:cs="Times New Roman"/>
                <w:b/>
                <w:highlight w:val="yellow"/>
              </w:rPr>
            </w:pPr>
            <w:r w:rsidRPr="00C67F07">
              <w:rPr>
                <w:rFonts w:eastAsia="Times New Roman" w:cs="Times New Roman"/>
                <w:sz w:val="18"/>
                <w:highlight w:val="yellow"/>
              </w:rPr>
              <w:t>(</w:t>
            </w:r>
            <w:r w:rsidRPr="00C67F07">
              <w:rPr>
                <w:rFonts w:eastAsia="Times New Roman" w:cs="Times New Roman"/>
                <w:highlight w:val="yellow"/>
                <w:vertAlign w:val="superscript"/>
              </w:rPr>
              <w:t>7</w:t>
            </w:r>
            <w:r w:rsidRPr="00C67F07">
              <w:rPr>
                <w:rFonts w:eastAsia="Times New Roman" w:cs="Times New Roman"/>
                <w:sz w:val="18"/>
                <w:highlight w:val="yellow"/>
              </w:rPr>
              <w:t>) Emisyon seviyelerinin yeterince istikrarlı olduğu kanıtlanırsa minimum izleme sıklığı 3 yılda bire indirilebilir.</w:t>
            </w:r>
          </w:p>
          <w:p w14:paraId="55687568" w14:textId="77777777" w:rsidR="00A52778" w:rsidRPr="00C67F07" w:rsidRDefault="00A52778" w:rsidP="00FC3F8E">
            <w:pPr>
              <w:tabs>
                <w:tab w:val="left" w:pos="820"/>
              </w:tabs>
              <w:spacing w:line="233" w:lineRule="auto"/>
              <w:ind w:left="840" w:right="120" w:hanging="301"/>
              <w:rPr>
                <w:rFonts w:eastAsia="Times New Roman" w:cs="Times New Roman"/>
                <w:b/>
                <w:sz w:val="18"/>
                <w:highlight w:val="yellow"/>
              </w:rPr>
            </w:pPr>
            <w:r w:rsidRPr="00C67F07">
              <w:rPr>
                <w:rFonts w:eastAsia="Times New Roman" w:cs="Times New Roman"/>
                <w:sz w:val="18"/>
                <w:highlight w:val="yellow"/>
              </w:rPr>
              <w:t xml:space="preserve"> (</w:t>
            </w:r>
            <w:r w:rsidRPr="00C67F07">
              <w:rPr>
                <w:rFonts w:eastAsia="Times New Roman" w:cs="Times New Roman"/>
                <w:highlight w:val="yellow"/>
                <w:vertAlign w:val="superscript"/>
              </w:rPr>
              <w:t>8</w:t>
            </w:r>
            <w:r w:rsidRPr="00C67F07">
              <w:rPr>
                <w:rFonts w:eastAsia="Times New Roman" w:cs="Times New Roman"/>
                <w:sz w:val="18"/>
                <w:highlight w:val="yellow"/>
              </w:rPr>
              <w:t>)</w:t>
            </w:r>
            <w:r w:rsidRPr="00C67F07">
              <w:rPr>
                <w:rFonts w:eastAsia="Times New Roman" w:cs="Times New Roman"/>
                <w:sz w:val="18"/>
                <w:highlight w:val="yellow"/>
              </w:rPr>
              <w:tab/>
              <w:t>Emisyon seviyelerinin yeterince istikrarlı olduğu kanıtlanırsa minimum izleme sıklığı 6 ayda bire düşürülebilir.</w:t>
            </w:r>
          </w:p>
          <w:p w14:paraId="236D04A1" w14:textId="77777777" w:rsidR="00A52778" w:rsidRPr="00C67F07" w:rsidRDefault="00A52778" w:rsidP="00FC3F8E">
            <w:pPr>
              <w:spacing w:line="11" w:lineRule="exact"/>
              <w:rPr>
                <w:rFonts w:eastAsia="Times New Roman" w:cs="Times New Roman"/>
                <w:b/>
                <w:highlight w:val="yellow"/>
              </w:rPr>
            </w:pPr>
          </w:p>
          <w:p w14:paraId="285752E8" w14:textId="77777777" w:rsidR="00A52778" w:rsidRPr="00C67F07" w:rsidRDefault="00A52778" w:rsidP="00FC3F8E">
            <w:pPr>
              <w:tabs>
                <w:tab w:val="left" w:pos="820"/>
              </w:tabs>
              <w:spacing w:line="233" w:lineRule="auto"/>
              <w:ind w:left="840" w:right="120" w:hanging="301"/>
              <w:rPr>
                <w:rFonts w:eastAsia="Times New Roman" w:cs="Times New Roman"/>
                <w:b/>
                <w:sz w:val="18"/>
                <w:highlight w:val="yellow"/>
              </w:rPr>
            </w:pPr>
            <w:r w:rsidRPr="00C67F07">
              <w:rPr>
                <w:rFonts w:eastAsia="Times New Roman" w:cs="Times New Roman"/>
                <w:sz w:val="18"/>
                <w:highlight w:val="yellow"/>
              </w:rPr>
              <w:t>(</w:t>
            </w:r>
            <w:r w:rsidRPr="00C67F07">
              <w:rPr>
                <w:rFonts w:eastAsia="Times New Roman" w:cs="Times New Roman"/>
                <w:highlight w:val="yellow"/>
                <w:vertAlign w:val="superscript"/>
              </w:rPr>
              <w:t>9</w:t>
            </w:r>
            <w:r w:rsidRPr="00C67F07">
              <w:rPr>
                <w:rFonts w:eastAsia="Times New Roman" w:cs="Times New Roman"/>
                <w:sz w:val="18"/>
                <w:highlight w:val="yellow"/>
              </w:rPr>
              <w:t>)</w:t>
            </w:r>
            <w:r w:rsidRPr="00C67F07">
              <w:rPr>
                <w:rFonts w:eastAsia="Times New Roman" w:cs="Times New Roman"/>
                <w:sz w:val="18"/>
                <w:highlight w:val="yellow"/>
              </w:rPr>
              <w:tab/>
              <w:t>Emisyon seviyelerinin yeterince istikrarlı olduğu kanıtlanırsa minimum izleme sıklığı yılda bire düşürülebilir.</w:t>
            </w:r>
            <w:r w:rsidRPr="00740EA6">
              <w:rPr>
                <w:rFonts w:eastAsia="Times New Roman" w:cs="Times New Roman"/>
                <w:noProof/>
                <w:sz w:val="18"/>
              </w:rPr>
              <w:t xml:space="preserve"> </w:t>
            </w:r>
          </w:p>
          <w:p w14:paraId="39144D85" w14:textId="77777777" w:rsidR="00A52778" w:rsidRPr="00C67F07" w:rsidRDefault="00A52778" w:rsidP="00FC3F8E">
            <w:pPr>
              <w:spacing w:line="13" w:lineRule="exact"/>
              <w:rPr>
                <w:rFonts w:eastAsia="Times New Roman" w:cs="Times New Roman"/>
                <w:b/>
                <w:highlight w:val="yellow"/>
              </w:rPr>
            </w:pPr>
          </w:p>
          <w:p w14:paraId="5AEECCD8" w14:textId="77777777" w:rsidR="00A52778" w:rsidRPr="00C67F07" w:rsidRDefault="00A52778" w:rsidP="00FC3F8E">
            <w:pPr>
              <w:spacing w:line="214" w:lineRule="auto"/>
              <w:ind w:left="860" w:right="120" w:hanging="287"/>
              <w:rPr>
                <w:rFonts w:eastAsia="Times New Roman" w:cs="Times New Roman"/>
                <w:b/>
                <w:sz w:val="18"/>
                <w:highlight w:val="yellow"/>
              </w:rPr>
            </w:pPr>
            <w:r w:rsidRPr="00C67F07">
              <w:rPr>
                <w:rFonts w:eastAsia="Times New Roman" w:cs="Times New Roman"/>
                <w:sz w:val="18"/>
                <w:highlight w:val="yellow"/>
              </w:rPr>
              <w:t>(</w:t>
            </w:r>
            <w:r w:rsidRPr="00C67F07">
              <w:rPr>
                <w:rFonts w:eastAsia="Times New Roman" w:cs="Times New Roman"/>
                <w:highlight w:val="yellow"/>
                <w:vertAlign w:val="superscript"/>
              </w:rPr>
              <w:t>10</w:t>
            </w:r>
            <w:r w:rsidRPr="00C67F07">
              <w:rPr>
                <w:rFonts w:eastAsia="Times New Roman" w:cs="Times New Roman"/>
                <w:sz w:val="18"/>
                <w:highlight w:val="yellow"/>
              </w:rPr>
              <w:t>) Poliolefinlerin üretimi söz konusu olduğunda, TVOC emisyonlarının daha iyi bir temsilini sağlıyorsa, son işlem adımlarından (örn. kurutma, harmanlama) ve polimer depolamadan kaynaklanan TVOC emisyonlarının izlenmesi MET 24' teki izleme ile tamamlanabilir.</w:t>
            </w:r>
          </w:p>
          <w:p w14:paraId="16355908" w14:textId="77777777" w:rsidR="00A52778" w:rsidRPr="00C67F07" w:rsidRDefault="00A52778" w:rsidP="00FC3F8E">
            <w:pPr>
              <w:spacing w:line="4" w:lineRule="exact"/>
              <w:rPr>
                <w:rFonts w:eastAsia="Times New Roman" w:cs="Times New Roman"/>
                <w:b/>
                <w:highlight w:val="yellow"/>
              </w:rPr>
            </w:pPr>
          </w:p>
          <w:p w14:paraId="17A5443A" w14:textId="77777777" w:rsidR="00A52778" w:rsidRPr="00C67F07" w:rsidRDefault="00A52778" w:rsidP="00FC3F8E">
            <w:pPr>
              <w:spacing w:line="215" w:lineRule="auto"/>
              <w:ind w:left="860" w:right="120" w:hanging="287"/>
              <w:rPr>
                <w:rFonts w:eastAsia="Times New Roman" w:cs="Times New Roman"/>
                <w:b/>
                <w:sz w:val="18"/>
                <w:highlight w:val="yellow"/>
              </w:rPr>
            </w:pPr>
            <w:r w:rsidRPr="00C67F07">
              <w:rPr>
                <w:rFonts w:eastAsia="Times New Roman" w:cs="Times New Roman"/>
                <w:sz w:val="18"/>
                <w:highlight w:val="yellow"/>
              </w:rPr>
              <w:t>(</w:t>
            </w:r>
            <w:r w:rsidRPr="00C67F07">
              <w:rPr>
                <w:rFonts w:eastAsia="Times New Roman" w:cs="Times New Roman"/>
                <w:highlight w:val="yellow"/>
                <w:vertAlign w:val="superscript"/>
              </w:rPr>
              <w:t>11</w:t>
            </w:r>
            <w:r w:rsidRPr="00C67F07">
              <w:rPr>
                <w:rFonts w:eastAsia="Times New Roman" w:cs="Times New Roman"/>
                <w:sz w:val="18"/>
                <w:highlight w:val="yellow"/>
              </w:rPr>
              <w:t>) Sentetik kauçukların üretimi söz konusu olduğunda, TVOC emisyonlarının daha iyi bir temsilini sağlıyorsa, son işlem adımlarından (örn. ekstrüzyon, kurutma, harmanlama) ve sentetik kauçuk depolamadan kaynaklanan TVOC emisyonlarının izlenmesi MET 31' deki izleme ile tamamlanabilir.</w:t>
            </w:r>
          </w:p>
          <w:p w14:paraId="3A372103" w14:textId="77777777" w:rsidR="00A52778" w:rsidRPr="00C67F07" w:rsidRDefault="00A52778" w:rsidP="00FC3F8E">
            <w:pPr>
              <w:spacing w:line="4" w:lineRule="exact"/>
              <w:rPr>
                <w:rFonts w:eastAsia="Times New Roman" w:cs="Times New Roman"/>
                <w:b/>
                <w:highlight w:val="yellow"/>
              </w:rPr>
            </w:pPr>
          </w:p>
          <w:p w14:paraId="6FFA55EA" w14:textId="77777777" w:rsidR="00A52778" w:rsidRPr="00460F9E" w:rsidRDefault="00A52778" w:rsidP="00FC3F8E">
            <w:pPr>
              <w:spacing w:line="233" w:lineRule="auto"/>
              <w:ind w:left="860" w:right="120" w:hanging="287"/>
              <w:rPr>
                <w:rFonts w:eastAsia="Times New Roman" w:cs="Times New Roman"/>
                <w:b/>
                <w:sz w:val="18"/>
              </w:rPr>
            </w:pPr>
            <w:r w:rsidRPr="00C67F07">
              <w:rPr>
                <w:rFonts w:eastAsia="Times New Roman" w:cs="Times New Roman"/>
                <w:sz w:val="18"/>
                <w:highlight w:val="yellow"/>
              </w:rPr>
              <w:t>(</w:t>
            </w:r>
            <w:r w:rsidRPr="00C67F07">
              <w:rPr>
                <w:rFonts w:eastAsia="Times New Roman" w:cs="Times New Roman"/>
                <w:highlight w:val="yellow"/>
                <w:vertAlign w:val="superscript"/>
              </w:rPr>
              <w:t>12</w:t>
            </w:r>
            <w:r w:rsidRPr="00C67F07">
              <w:rPr>
                <w:rFonts w:eastAsia="Times New Roman" w:cs="Times New Roman"/>
                <w:sz w:val="18"/>
                <w:highlight w:val="yellow"/>
              </w:rPr>
              <w:t>) yani benzen, 1,3-bütadien, klorometan, diklorometan, etilen diklorür, etilen oksit, formaldehit, propilen oksit, tetraklorometan, toluen, triklorometan dışında.</w:t>
            </w:r>
          </w:p>
          <w:p w14:paraId="71BEEC70" w14:textId="77777777" w:rsidR="00A52778" w:rsidRDefault="00A52778" w:rsidP="00FC3F8E">
            <w:pPr>
              <w:spacing w:line="368" w:lineRule="exact"/>
              <w:rPr>
                <w:rFonts w:eastAsia="Times New Roman" w:cs="Times New Roman"/>
                <w:b/>
              </w:rPr>
            </w:pPr>
          </w:p>
        </w:tc>
      </w:tr>
    </w:tbl>
    <w:p w14:paraId="36B47D82" w14:textId="77777777" w:rsidR="00A52778" w:rsidRPr="00460F9E" w:rsidRDefault="00A52778" w:rsidP="00A52778">
      <w:pPr>
        <w:spacing w:line="368" w:lineRule="exact"/>
        <w:rPr>
          <w:rFonts w:eastAsia="Times New Roman" w:cs="Times New Roman"/>
          <w:b/>
        </w:rPr>
      </w:pPr>
    </w:p>
    <w:p w14:paraId="453FBAB2" w14:textId="77777777" w:rsidR="00A52778" w:rsidRPr="00460F9E" w:rsidRDefault="00A52778" w:rsidP="00A52778">
      <w:pPr>
        <w:pStyle w:val="GvdeMetni"/>
        <w:rPr>
          <w:rFonts w:eastAsia="Arial"/>
        </w:rPr>
      </w:pPr>
      <w:r>
        <w:rPr>
          <w:rFonts w:eastAsia="Arial"/>
        </w:rPr>
        <w:t>2</w:t>
      </w:r>
      <w:r w:rsidRPr="00460F9E">
        <w:rPr>
          <w:rFonts w:eastAsia="Arial"/>
        </w:rPr>
        <w:t>.1.3.3</w:t>
      </w:r>
      <w:r w:rsidRPr="00460F9E">
        <w:tab/>
      </w:r>
      <w:r w:rsidRPr="00460F9E">
        <w:rPr>
          <w:rFonts w:eastAsia="Arial"/>
        </w:rPr>
        <w:t>Organik bileşikler</w:t>
      </w:r>
    </w:p>
    <w:p w14:paraId="38EA09AB" w14:textId="77777777" w:rsidR="00A52778" w:rsidRPr="00460F9E" w:rsidRDefault="00A52778" w:rsidP="00A52778">
      <w:pPr>
        <w:spacing w:line="263" w:lineRule="exact"/>
        <w:rPr>
          <w:rFonts w:eastAsia="Times New Roman" w:cs="Times New Roman"/>
          <w:b/>
        </w:rPr>
      </w:pPr>
    </w:p>
    <w:p w14:paraId="0581B825" w14:textId="77777777" w:rsidR="00A52778" w:rsidRPr="00C67F07" w:rsidRDefault="00A52778" w:rsidP="00A52778">
      <w:pPr>
        <w:spacing w:line="236" w:lineRule="auto"/>
        <w:ind w:left="820" w:right="380"/>
        <w:rPr>
          <w:rFonts w:eastAsia="Times New Roman" w:cs="Times New Roman"/>
        </w:rPr>
      </w:pPr>
      <w:r w:rsidRPr="00C67F07">
        <w:rPr>
          <w:rFonts w:eastAsia="Times New Roman" w:cs="Times New Roman"/>
        </w:rPr>
        <w:t>MET 9</w:t>
      </w:r>
      <w:r>
        <w:rPr>
          <w:rFonts w:eastAsia="Times New Roman" w:cs="Times New Roman"/>
        </w:rPr>
        <w:t>:</w:t>
      </w:r>
      <w:r w:rsidRPr="00C67F07">
        <w:rPr>
          <w:rFonts w:eastAsia="Times New Roman" w:cs="Times New Roman"/>
        </w:rPr>
        <w:t xml:space="preserve"> Kaynak verimini artırmak ve nihai atık gaz arıtımına gönderilen organik bileşiklerin kütlesel akışını azaltmak için MET, aşağıda verilen tekniklerden birini veya bunların bir kombinasyonunu kullanarak proses çıkış gazlarından organik bileşikleri geri kazanmak ve bunları yeniden kullanmaktır.</w:t>
      </w:r>
    </w:p>
    <w:p w14:paraId="5C8220CE" w14:textId="77777777" w:rsidR="00A52778" w:rsidRPr="00460F9E" w:rsidRDefault="00A52778" w:rsidP="00A52778">
      <w:pPr>
        <w:spacing w:line="395" w:lineRule="exact"/>
        <w:rPr>
          <w:rFonts w:eastAsia="Times New Roman" w:cs="Times New Roman"/>
          <w:b/>
        </w:rPr>
      </w:pPr>
    </w:p>
    <w:tbl>
      <w:tblPr>
        <w:tblW w:w="0" w:type="auto"/>
        <w:tblInd w:w="730" w:type="dxa"/>
        <w:tblLayout w:type="fixed"/>
        <w:tblCellMar>
          <w:left w:w="0" w:type="dxa"/>
          <w:right w:w="0" w:type="dxa"/>
        </w:tblCellMar>
        <w:tblLook w:val="0000" w:firstRow="0" w:lastRow="0" w:firstColumn="0" w:lastColumn="0" w:noHBand="0" w:noVBand="0"/>
      </w:tblPr>
      <w:tblGrid>
        <w:gridCol w:w="80"/>
        <w:gridCol w:w="300"/>
        <w:gridCol w:w="3840"/>
        <w:gridCol w:w="3520"/>
        <w:gridCol w:w="900"/>
        <w:gridCol w:w="120"/>
      </w:tblGrid>
      <w:tr w:rsidR="00A52778" w:rsidRPr="00460F9E" w14:paraId="6243BD88" w14:textId="77777777" w:rsidTr="00FC3F8E">
        <w:trPr>
          <w:trHeight w:val="299"/>
        </w:trPr>
        <w:tc>
          <w:tcPr>
            <w:tcW w:w="80" w:type="dxa"/>
            <w:tcBorders>
              <w:top w:val="single" w:sz="8" w:space="0" w:color="auto"/>
              <w:left w:val="single" w:sz="8" w:space="0" w:color="auto"/>
            </w:tcBorders>
            <w:shd w:val="clear" w:color="auto" w:fill="auto"/>
            <w:vAlign w:val="bottom"/>
          </w:tcPr>
          <w:p w14:paraId="073175FA" w14:textId="77777777" w:rsidR="00A52778" w:rsidRPr="00460F9E" w:rsidRDefault="00A52778" w:rsidP="00FC3F8E">
            <w:pPr>
              <w:spacing w:line="0" w:lineRule="atLeast"/>
              <w:rPr>
                <w:rFonts w:eastAsia="Times New Roman" w:cs="Times New Roman"/>
                <w:b/>
              </w:rPr>
            </w:pPr>
          </w:p>
        </w:tc>
        <w:tc>
          <w:tcPr>
            <w:tcW w:w="300" w:type="dxa"/>
            <w:tcBorders>
              <w:top w:val="single" w:sz="8" w:space="0" w:color="auto"/>
            </w:tcBorders>
            <w:shd w:val="clear" w:color="auto" w:fill="auto"/>
            <w:vAlign w:val="bottom"/>
          </w:tcPr>
          <w:p w14:paraId="0F87A3F5" w14:textId="77777777" w:rsidR="00A52778" w:rsidRPr="00460F9E" w:rsidRDefault="00A52778" w:rsidP="00FC3F8E">
            <w:pPr>
              <w:spacing w:line="0" w:lineRule="atLeast"/>
              <w:rPr>
                <w:rFonts w:eastAsia="Times New Roman" w:cs="Times New Roman"/>
                <w:b/>
              </w:rPr>
            </w:pPr>
          </w:p>
        </w:tc>
        <w:tc>
          <w:tcPr>
            <w:tcW w:w="3840" w:type="dxa"/>
            <w:tcBorders>
              <w:top w:val="single" w:sz="8" w:space="0" w:color="auto"/>
              <w:right w:val="single" w:sz="8" w:space="0" w:color="auto"/>
            </w:tcBorders>
            <w:shd w:val="clear" w:color="auto" w:fill="auto"/>
            <w:vAlign w:val="bottom"/>
          </w:tcPr>
          <w:p w14:paraId="61A9A0F4" w14:textId="77777777" w:rsidR="00A52778" w:rsidRPr="00C67F07" w:rsidRDefault="00A52778" w:rsidP="00FC3F8E">
            <w:pPr>
              <w:spacing w:line="0" w:lineRule="atLeast"/>
              <w:ind w:left="1260"/>
              <w:rPr>
                <w:rFonts w:eastAsia="Times New Roman" w:cs="Times New Roman"/>
              </w:rPr>
            </w:pPr>
            <w:r w:rsidRPr="00C67F07">
              <w:rPr>
                <w:rFonts w:eastAsia="Times New Roman" w:cs="Times New Roman"/>
              </w:rPr>
              <w:t>Teknikler</w:t>
            </w:r>
          </w:p>
        </w:tc>
        <w:tc>
          <w:tcPr>
            <w:tcW w:w="3520" w:type="dxa"/>
            <w:tcBorders>
              <w:top w:val="single" w:sz="8" w:space="0" w:color="auto"/>
            </w:tcBorders>
            <w:shd w:val="clear" w:color="auto" w:fill="auto"/>
            <w:vAlign w:val="bottom"/>
          </w:tcPr>
          <w:p w14:paraId="43909E43" w14:textId="77777777" w:rsidR="00A52778" w:rsidRPr="00C67F07" w:rsidRDefault="00A52778" w:rsidP="00FC3F8E">
            <w:pPr>
              <w:spacing w:line="0" w:lineRule="atLeast"/>
              <w:ind w:left="860"/>
              <w:jc w:val="center"/>
              <w:rPr>
                <w:rFonts w:eastAsia="Times New Roman" w:cs="Times New Roman"/>
              </w:rPr>
            </w:pPr>
            <w:r w:rsidRPr="00C67F07">
              <w:rPr>
                <w:rFonts w:eastAsia="Times New Roman" w:cs="Times New Roman"/>
              </w:rPr>
              <w:t>Tanımlamalar</w:t>
            </w:r>
          </w:p>
        </w:tc>
        <w:tc>
          <w:tcPr>
            <w:tcW w:w="900" w:type="dxa"/>
            <w:tcBorders>
              <w:top w:val="single" w:sz="8" w:space="0" w:color="auto"/>
            </w:tcBorders>
            <w:shd w:val="clear" w:color="auto" w:fill="auto"/>
            <w:vAlign w:val="bottom"/>
          </w:tcPr>
          <w:p w14:paraId="1E144037" w14:textId="77777777" w:rsidR="00A52778" w:rsidRPr="00460F9E" w:rsidRDefault="00A52778" w:rsidP="00FC3F8E">
            <w:pPr>
              <w:spacing w:line="0" w:lineRule="atLeast"/>
              <w:rPr>
                <w:rFonts w:eastAsia="Times New Roman" w:cs="Times New Roman"/>
                <w:b/>
              </w:rPr>
            </w:pPr>
          </w:p>
        </w:tc>
        <w:tc>
          <w:tcPr>
            <w:tcW w:w="120" w:type="dxa"/>
            <w:tcBorders>
              <w:top w:val="single" w:sz="8" w:space="0" w:color="auto"/>
              <w:right w:val="single" w:sz="8" w:space="0" w:color="auto"/>
            </w:tcBorders>
            <w:shd w:val="clear" w:color="auto" w:fill="auto"/>
            <w:vAlign w:val="bottom"/>
          </w:tcPr>
          <w:p w14:paraId="09F04996" w14:textId="77777777" w:rsidR="00A52778" w:rsidRPr="00460F9E" w:rsidRDefault="00A52778" w:rsidP="00FC3F8E">
            <w:pPr>
              <w:spacing w:line="0" w:lineRule="atLeast"/>
              <w:rPr>
                <w:rFonts w:eastAsia="Times New Roman" w:cs="Times New Roman"/>
                <w:b/>
              </w:rPr>
            </w:pPr>
          </w:p>
        </w:tc>
      </w:tr>
      <w:tr w:rsidR="00A52778" w:rsidRPr="00460F9E" w14:paraId="595AA1E8" w14:textId="77777777" w:rsidTr="00FC3F8E">
        <w:trPr>
          <w:trHeight w:val="61"/>
        </w:trPr>
        <w:tc>
          <w:tcPr>
            <w:tcW w:w="80" w:type="dxa"/>
            <w:tcBorders>
              <w:left w:val="single" w:sz="8" w:space="0" w:color="auto"/>
              <w:bottom w:val="single" w:sz="8" w:space="0" w:color="auto"/>
            </w:tcBorders>
            <w:shd w:val="clear" w:color="auto" w:fill="auto"/>
            <w:vAlign w:val="bottom"/>
          </w:tcPr>
          <w:p w14:paraId="5BCAF387" w14:textId="77777777" w:rsidR="00A52778" w:rsidRPr="00460F9E" w:rsidRDefault="00A52778" w:rsidP="00FC3F8E">
            <w:pPr>
              <w:spacing w:line="0" w:lineRule="atLeast"/>
              <w:rPr>
                <w:rFonts w:eastAsia="Times New Roman" w:cs="Times New Roman"/>
                <w:b/>
                <w:sz w:val="5"/>
              </w:rPr>
            </w:pPr>
          </w:p>
        </w:tc>
        <w:tc>
          <w:tcPr>
            <w:tcW w:w="300" w:type="dxa"/>
            <w:tcBorders>
              <w:bottom w:val="single" w:sz="8" w:space="0" w:color="auto"/>
            </w:tcBorders>
            <w:shd w:val="clear" w:color="auto" w:fill="auto"/>
            <w:vAlign w:val="bottom"/>
          </w:tcPr>
          <w:p w14:paraId="13ED7C2E" w14:textId="77777777" w:rsidR="00A52778" w:rsidRPr="00460F9E" w:rsidRDefault="00A52778" w:rsidP="00FC3F8E">
            <w:pPr>
              <w:spacing w:line="0" w:lineRule="atLeast"/>
              <w:rPr>
                <w:rFonts w:eastAsia="Times New Roman" w:cs="Times New Roman"/>
                <w:b/>
                <w:sz w:val="5"/>
              </w:rPr>
            </w:pPr>
          </w:p>
        </w:tc>
        <w:tc>
          <w:tcPr>
            <w:tcW w:w="3840" w:type="dxa"/>
            <w:tcBorders>
              <w:bottom w:val="single" w:sz="8" w:space="0" w:color="auto"/>
              <w:right w:val="single" w:sz="8" w:space="0" w:color="auto"/>
            </w:tcBorders>
            <w:shd w:val="clear" w:color="auto" w:fill="auto"/>
            <w:vAlign w:val="bottom"/>
          </w:tcPr>
          <w:p w14:paraId="18C1A709" w14:textId="77777777" w:rsidR="00A52778" w:rsidRPr="00460F9E" w:rsidRDefault="00A52778" w:rsidP="00FC3F8E">
            <w:pPr>
              <w:spacing w:line="0" w:lineRule="atLeast"/>
              <w:rPr>
                <w:rFonts w:eastAsia="Times New Roman" w:cs="Times New Roman"/>
                <w:b/>
                <w:sz w:val="5"/>
              </w:rPr>
            </w:pPr>
          </w:p>
        </w:tc>
        <w:tc>
          <w:tcPr>
            <w:tcW w:w="3520" w:type="dxa"/>
            <w:tcBorders>
              <w:bottom w:val="single" w:sz="8" w:space="0" w:color="auto"/>
            </w:tcBorders>
            <w:shd w:val="clear" w:color="auto" w:fill="auto"/>
            <w:vAlign w:val="bottom"/>
          </w:tcPr>
          <w:p w14:paraId="5831D232" w14:textId="77777777" w:rsidR="00A52778" w:rsidRPr="00460F9E" w:rsidRDefault="00A52778" w:rsidP="00FC3F8E">
            <w:pPr>
              <w:spacing w:line="0" w:lineRule="atLeast"/>
              <w:rPr>
                <w:rFonts w:eastAsia="Times New Roman" w:cs="Times New Roman"/>
                <w:b/>
                <w:sz w:val="5"/>
              </w:rPr>
            </w:pPr>
          </w:p>
        </w:tc>
        <w:tc>
          <w:tcPr>
            <w:tcW w:w="900" w:type="dxa"/>
            <w:tcBorders>
              <w:bottom w:val="single" w:sz="8" w:space="0" w:color="auto"/>
            </w:tcBorders>
            <w:shd w:val="clear" w:color="auto" w:fill="auto"/>
            <w:vAlign w:val="bottom"/>
          </w:tcPr>
          <w:p w14:paraId="0A599E69" w14:textId="77777777" w:rsidR="00A52778" w:rsidRPr="00460F9E" w:rsidRDefault="00A52778" w:rsidP="00FC3F8E">
            <w:pPr>
              <w:spacing w:line="0" w:lineRule="atLeast"/>
              <w:rPr>
                <w:rFonts w:eastAsia="Times New Roman" w:cs="Times New Roman"/>
                <w:b/>
                <w:sz w:val="5"/>
              </w:rPr>
            </w:pPr>
          </w:p>
        </w:tc>
        <w:tc>
          <w:tcPr>
            <w:tcW w:w="120" w:type="dxa"/>
            <w:tcBorders>
              <w:bottom w:val="single" w:sz="8" w:space="0" w:color="auto"/>
              <w:right w:val="single" w:sz="8" w:space="0" w:color="auto"/>
            </w:tcBorders>
            <w:shd w:val="clear" w:color="auto" w:fill="auto"/>
            <w:vAlign w:val="bottom"/>
          </w:tcPr>
          <w:p w14:paraId="2B1ED83F" w14:textId="77777777" w:rsidR="00A52778" w:rsidRPr="00460F9E" w:rsidRDefault="00A52778" w:rsidP="00FC3F8E">
            <w:pPr>
              <w:spacing w:line="0" w:lineRule="atLeast"/>
              <w:rPr>
                <w:rFonts w:eastAsia="Times New Roman" w:cs="Times New Roman"/>
                <w:b/>
                <w:sz w:val="5"/>
              </w:rPr>
            </w:pPr>
          </w:p>
        </w:tc>
      </w:tr>
      <w:tr w:rsidR="00A52778" w:rsidRPr="00460F9E" w14:paraId="6AA7B06B" w14:textId="77777777" w:rsidTr="00FC3F8E">
        <w:trPr>
          <w:trHeight w:val="274"/>
        </w:trPr>
        <w:tc>
          <w:tcPr>
            <w:tcW w:w="80" w:type="dxa"/>
            <w:tcBorders>
              <w:left w:val="single" w:sz="8" w:space="0" w:color="auto"/>
            </w:tcBorders>
            <w:shd w:val="clear" w:color="auto" w:fill="auto"/>
            <w:vAlign w:val="bottom"/>
          </w:tcPr>
          <w:p w14:paraId="050223E4" w14:textId="77777777" w:rsidR="00A52778" w:rsidRPr="00460F9E" w:rsidRDefault="00A52778" w:rsidP="00FC3F8E">
            <w:pPr>
              <w:spacing w:line="0" w:lineRule="atLeast"/>
              <w:rPr>
                <w:rFonts w:eastAsia="Times New Roman" w:cs="Times New Roman"/>
                <w:b/>
                <w:sz w:val="23"/>
              </w:rPr>
            </w:pPr>
          </w:p>
        </w:tc>
        <w:tc>
          <w:tcPr>
            <w:tcW w:w="300" w:type="dxa"/>
            <w:tcBorders>
              <w:right w:val="single" w:sz="8" w:space="0" w:color="auto"/>
            </w:tcBorders>
            <w:shd w:val="clear" w:color="auto" w:fill="auto"/>
            <w:vAlign w:val="bottom"/>
          </w:tcPr>
          <w:p w14:paraId="3E2796CE" w14:textId="77777777" w:rsidR="00A52778" w:rsidRPr="00460F9E" w:rsidRDefault="00A52778" w:rsidP="00FC3F8E">
            <w:pPr>
              <w:spacing w:line="0" w:lineRule="atLeast"/>
              <w:ind w:left="20"/>
              <w:rPr>
                <w:rFonts w:eastAsia="Times New Roman" w:cs="Times New Roman"/>
                <w:b/>
              </w:rPr>
            </w:pPr>
            <w:r w:rsidRPr="00460F9E">
              <w:rPr>
                <w:rFonts w:eastAsia="Times New Roman" w:cs="Times New Roman"/>
              </w:rPr>
              <w:t>a.</w:t>
            </w:r>
          </w:p>
        </w:tc>
        <w:tc>
          <w:tcPr>
            <w:tcW w:w="3840" w:type="dxa"/>
            <w:tcBorders>
              <w:right w:val="single" w:sz="8" w:space="0" w:color="auto"/>
            </w:tcBorders>
            <w:shd w:val="clear" w:color="auto" w:fill="auto"/>
            <w:vAlign w:val="bottom"/>
          </w:tcPr>
          <w:p w14:paraId="0FD1206D"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Absorpsiyon (rejeneratif)</w:t>
            </w:r>
          </w:p>
        </w:tc>
        <w:tc>
          <w:tcPr>
            <w:tcW w:w="3520" w:type="dxa"/>
            <w:shd w:val="clear" w:color="auto" w:fill="auto"/>
            <w:vAlign w:val="bottom"/>
          </w:tcPr>
          <w:p w14:paraId="64D5A2ED" w14:textId="77777777" w:rsidR="00A52778" w:rsidRPr="00460F9E" w:rsidRDefault="00A52778" w:rsidP="00FC3F8E">
            <w:pPr>
              <w:spacing w:line="0" w:lineRule="atLeast"/>
              <w:ind w:left="860"/>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900" w:type="dxa"/>
            <w:shd w:val="clear" w:color="auto" w:fill="auto"/>
            <w:vAlign w:val="bottom"/>
          </w:tcPr>
          <w:p w14:paraId="72D85A2D" w14:textId="77777777" w:rsidR="00A52778" w:rsidRPr="00460F9E" w:rsidRDefault="00A52778" w:rsidP="00FC3F8E">
            <w:pPr>
              <w:spacing w:line="0" w:lineRule="atLeast"/>
              <w:rPr>
                <w:rFonts w:eastAsia="Times New Roman" w:cs="Times New Roman"/>
                <w:b/>
                <w:sz w:val="23"/>
              </w:rPr>
            </w:pPr>
          </w:p>
        </w:tc>
        <w:tc>
          <w:tcPr>
            <w:tcW w:w="120" w:type="dxa"/>
            <w:tcBorders>
              <w:right w:val="single" w:sz="8" w:space="0" w:color="auto"/>
            </w:tcBorders>
            <w:shd w:val="clear" w:color="auto" w:fill="auto"/>
            <w:vAlign w:val="bottom"/>
          </w:tcPr>
          <w:p w14:paraId="710868C1" w14:textId="77777777" w:rsidR="00A52778" w:rsidRPr="00460F9E" w:rsidRDefault="00A52778" w:rsidP="00FC3F8E">
            <w:pPr>
              <w:spacing w:line="0" w:lineRule="atLeast"/>
              <w:rPr>
                <w:rFonts w:eastAsia="Times New Roman" w:cs="Times New Roman"/>
                <w:b/>
                <w:sz w:val="23"/>
              </w:rPr>
            </w:pPr>
          </w:p>
        </w:tc>
      </w:tr>
      <w:tr w:rsidR="00A52778" w:rsidRPr="00460F9E" w14:paraId="37BC9734" w14:textId="77777777" w:rsidTr="00FC3F8E">
        <w:trPr>
          <w:trHeight w:val="66"/>
        </w:trPr>
        <w:tc>
          <w:tcPr>
            <w:tcW w:w="80" w:type="dxa"/>
            <w:tcBorders>
              <w:left w:val="single" w:sz="8" w:space="0" w:color="auto"/>
              <w:bottom w:val="single" w:sz="8" w:space="0" w:color="auto"/>
            </w:tcBorders>
            <w:shd w:val="clear" w:color="auto" w:fill="auto"/>
            <w:vAlign w:val="bottom"/>
          </w:tcPr>
          <w:p w14:paraId="3E27DFE6" w14:textId="77777777" w:rsidR="00A52778" w:rsidRPr="00460F9E" w:rsidRDefault="00A52778" w:rsidP="00FC3F8E">
            <w:pPr>
              <w:spacing w:line="0" w:lineRule="atLeast"/>
              <w:rPr>
                <w:rFonts w:eastAsia="Times New Roman" w:cs="Times New Roman"/>
                <w:b/>
                <w:sz w:val="5"/>
              </w:rPr>
            </w:pPr>
          </w:p>
        </w:tc>
        <w:tc>
          <w:tcPr>
            <w:tcW w:w="300" w:type="dxa"/>
            <w:tcBorders>
              <w:bottom w:val="single" w:sz="8" w:space="0" w:color="auto"/>
              <w:right w:val="single" w:sz="8" w:space="0" w:color="auto"/>
            </w:tcBorders>
            <w:shd w:val="clear" w:color="auto" w:fill="auto"/>
            <w:vAlign w:val="bottom"/>
          </w:tcPr>
          <w:p w14:paraId="1AC54B08" w14:textId="77777777" w:rsidR="00A52778" w:rsidRPr="00460F9E" w:rsidRDefault="00A52778" w:rsidP="00FC3F8E">
            <w:pPr>
              <w:spacing w:line="0" w:lineRule="atLeast"/>
              <w:rPr>
                <w:rFonts w:eastAsia="Times New Roman" w:cs="Times New Roman"/>
                <w:b/>
                <w:sz w:val="5"/>
              </w:rPr>
            </w:pPr>
          </w:p>
        </w:tc>
        <w:tc>
          <w:tcPr>
            <w:tcW w:w="3840" w:type="dxa"/>
            <w:tcBorders>
              <w:bottom w:val="single" w:sz="8" w:space="0" w:color="auto"/>
              <w:right w:val="single" w:sz="8" w:space="0" w:color="auto"/>
            </w:tcBorders>
            <w:shd w:val="clear" w:color="auto" w:fill="auto"/>
            <w:vAlign w:val="bottom"/>
          </w:tcPr>
          <w:p w14:paraId="1DDC2888" w14:textId="77777777" w:rsidR="00A52778" w:rsidRPr="00460F9E" w:rsidRDefault="00A52778" w:rsidP="00FC3F8E">
            <w:pPr>
              <w:spacing w:line="0" w:lineRule="atLeast"/>
              <w:rPr>
                <w:rFonts w:eastAsia="Times New Roman" w:cs="Times New Roman"/>
                <w:b/>
                <w:sz w:val="5"/>
              </w:rPr>
            </w:pPr>
          </w:p>
        </w:tc>
        <w:tc>
          <w:tcPr>
            <w:tcW w:w="3520" w:type="dxa"/>
            <w:tcBorders>
              <w:bottom w:val="single" w:sz="8" w:space="0" w:color="auto"/>
            </w:tcBorders>
            <w:shd w:val="clear" w:color="auto" w:fill="auto"/>
            <w:vAlign w:val="bottom"/>
          </w:tcPr>
          <w:p w14:paraId="220BACD8" w14:textId="77777777" w:rsidR="00A52778" w:rsidRPr="00460F9E" w:rsidRDefault="00A52778" w:rsidP="00FC3F8E">
            <w:pPr>
              <w:spacing w:line="0" w:lineRule="atLeast"/>
              <w:rPr>
                <w:rFonts w:eastAsia="Times New Roman" w:cs="Times New Roman"/>
                <w:b/>
                <w:sz w:val="5"/>
              </w:rPr>
            </w:pPr>
          </w:p>
        </w:tc>
        <w:tc>
          <w:tcPr>
            <w:tcW w:w="900" w:type="dxa"/>
            <w:tcBorders>
              <w:bottom w:val="single" w:sz="8" w:space="0" w:color="auto"/>
            </w:tcBorders>
            <w:shd w:val="clear" w:color="auto" w:fill="auto"/>
            <w:vAlign w:val="bottom"/>
          </w:tcPr>
          <w:p w14:paraId="34F2A03A" w14:textId="77777777" w:rsidR="00A52778" w:rsidRPr="00460F9E" w:rsidRDefault="00A52778" w:rsidP="00FC3F8E">
            <w:pPr>
              <w:spacing w:line="0" w:lineRule="atLeast"/>
              <w:rPr>
                <w:rFonts w:eastAsia="Times New Roman" w:cs="Times New Roman"/>
                <w:b/>
                <w:sz w:val="5"/>
              </w:rPr>
            </w:pPr>
          </w:p>
        </w:tc>
        <w:tc>
          <w:tcPr>
            <w:tcW w:w="120" w:type="dxa"/>
            <w:tcBorders>
              <w:bottom w:val="single" w:sz="8" w:space="0" w:color="auto"/>
              <w:right w:val="single" w:sz="8" w:space="0" w:color="auto"/>
            </w:tcBorders>
            <w:shd w:val="clear" w:color="auto" w:fill="auto"/>
            <w:vAlign w:val="bottom"/>
          </w:tcPr>
          <w:p w14:paraId="5AF9AF07" w14:textId="77777777" w:rsidR="00A52778" w:rsidRPr="00460F9E" w:rsidRDefault="00A52778" w:rsidP="00FC3F8E">
            <w:pPr>
              <w:spacing w:line="0" w:lineRule="atLeast"/>
              <w:rPr>
                <w:rFonts w:eastAsia="Times New Roman" w:cs="Times New Roman"/>
                <w:b/>
                <w:sz w:val="5"/>
              </w:rPr>
            </w:pPr>
          </w:p>
        </w:tc>
      </w:tr>
      <w:tr w:rsidR="00A52778" w:rsidRPr="00460F9E" w14:paraId="1980A1BC" w14:textId="77777777" w:rsidTr="00FC3F8E">
        <w:trPr>
          <w:trHeight w:val="274"/>
        </w:trPr>
        <w:tc>
          <w:tcPr>
            <w:tcW w:w="80" w:type="dxa"/>
            <w:tcBorders>
              <w:left w:val="single" w:sz="8" w:space="0" w:color="auto"/>
            </w:tcBorders>
            <w:shd w:val="clear" w:color="auto" w:fill="auto"/>
            <w:vAlign w:val="bottom"/>
          </w:tcPr>
          <w:p w14:paraId="590182CD" w14:textId="77777777" w:rsidR="00A52778" w:rsidRPr="00460F9E" w:rsidRDefault="00A52778" w:rsidP="00FC3F8E">
            <w:pPr>
              <w:spacing w:line="0" w:lineRule="atLeast"/>
              <w:rPr>
                <w:rFonts w:eastAsia="Times New Roman" w:cs="Times New Roman"/>
                <w:b/>
                <w:sz w:val="23"/>
              </w:rPr>
            </w:pPr>
          </w:p>
        </w:tc>
        <w:tc>
          <w:tcPr>
            <w:tcW w:w="300" w:type="dxa"/>
            <w:tcBorders>
              <w:right w:val="single" w:sz="8" w:space="0" w:color="auto"/>
            </w:tcBorders>
            <w:shd w:val="clear" w:color="auto" w:fill="auto"/>
            <w:vAlign w:val="bottom"/>
          </w:tcPr>
          <w:p w14:paraId="2A03D54E" w14:textId="77777777" w:rsidR="00A52778" w:rsidRPr="00460F9E" w:rsidRDefault="00A52778" w:rsidP="00FC3F8E">
            <w:pPr>
              <w:spacing w:line="0" w:lineRule="atLeast"/>
              <w:ind w:left="20"/>
              <w:rPr>
                <w:rFonts w:eastAsia="Times New Roman" w:cs="Times New Roman"/>
                <w:b/>
              </w:rPr>
            </w:pPr>
            <w:r w:rsidRPr="00460F9E">
              <w:rPr>
                <w:rFonts w:eastAsia="Times New Roman" w:cs="Times New Roman"/>
              </w:rPr>
              <w:t>b.</w:t>
            </w:r>
          </w:p>
        </w:tc>
        <w:tc>
          <w:tcPr>
            <w:tcW w:w="3840" w:type="dxa"/>
            <w:tcBorders>
              <w:right w:val="single" w:sz="8" w:space="0" w:color="auto"/>
            </w:tcBorders>
            <w:shd w:val="clear" w:color="auto" w:fill="auto"/>
            <w:vAlign w:val="bottom"/>
          </w:tcPr>
          <w:p w14:paraId="701ADB36"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Adsorpsiyon (rejeneratif)</w:t>
            </w:r>
          </w:p>
        </w:tc>
        <w:tc>
          <w:tcPr>
            <w:tcW w:w="3520" w:type="dxa"/>
            <w:shd w:val="clear" w:color="auto" w:fill="auto"/>
            <w:vAlign w:val="bottom"/>
          </w:tcPr>
          <w:p w14:paraId="5158AA91" w14:textId="77777777" w:rsidR="00A52778" w:rsidRPr="00460F9E" w:rsidRDefault="00A52778" w:rsidP="00FC3F8E">
            <w:pPr>
              <w:spacing w:line="0" w:lineRule="atLeast"/>
              <w:ind w:left="860"/>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900" w:type="dxa"/>
            <w:shd w:val="clear" w:color="auto" w:fill="auto"/>
            <w:vAlign w:val="bottom"/>
          </w:tcPr>
          <w:p w14:paraId="51945192" w14:textId="77777777" w:rsidR="00A52778" w:rsidRPr="00460F9E" w:rsidRDefault="00A52778" w:rsidP="00FC3F8E">
            <w:pPr>
              <w:spacing w:line="0" w:lineRule="atLeast"/>
              <w:rPr>
                <w:rFonts w:eastAsia="Times New Roman" w:cs="Times New Roman"/>
                <w:b/>
                <w:sz w:val="23"/>
              </w:rPr>
            </w:pPr>
          </w:p>
        </w:tc>
        <w:tc>
          <w:tcPr>
            <w:tcW w:w="120" w:type="dxa"/>
            <w:tcBorders>
              <w:right w:val="single" w:sz="8" w:space="0" w:color="auto"/>
            </w:tcBorders>
            <w:shd w:val="clear" w:color="auto" w:fill="auto"/>
            <w:vAlign w:val="bottom"/>
          </w:tcPr>
          <w:p w14:paraId="420A2029" w14:textId="77777777" w:rsidR="00A52778" w:rsidRPr="00460F9E" w:rsidRDefault="00A52778" w:rsidP="00FC3F8E">
            <w:pPr>
              <w:spacing w:line="0" w:lineRule="atLeast"/>
              <w:rPr>
                <w:rFonts w:eastAsia="Times New Roman" w:cs="Times New Roman"/>
                <w:b/>
                <w:sz w:val="23"/>
              </w:rPr>
            </w:pPr>
          </w:p>
        </w:tc>
      </w:tr>
      <w:tr w:rsidR="00A52778" w:rsidRPr="00460F9E" w14:paraId="5D8D131F" w14:textId="77777777" w:rsidTr="00FC3F8E">
        <w:trPr>
          <w:trHeight w:val="66"/>
        </w:trPr>
        <w:tc>
          <w:tcPr>
            <w:tcW w:w="80" w:type="dxa"/>
            <w:tcBorders>
              <w:left w:val="single" w:sz="8" w:space="0" w:color="auto"/>
              <w:bottom w:val="single" w:sz="8" w:space="0" w:color="auto"/>
            </w:tcBorders>
            <w:shd w:val="clear" w:color="auto" w:fill="auto"/>
            <w:vAlign w:val="bottom"/>
          </w:tcPr>
          <w:p w14:paraId="76C95ECB" w14:textId="77777777" w:rsidR="00A52778" w:rsidRPr="00460F9E" w:rsidRDefault="00A52778" w:rsidP="00FC3F8E">
            <w:pPr>
              <w:spacing w:line="0" w:lineRule="atLeast"/>
              <w:rPr>
                <w:rFonts w:eastAsia="Times New Roman" w:cs="Times New Roman"/>
                <w:b/>
                <w:sz w:val="5"/>
              </w:rPr>
            </w:pPr>
          </w:p>
        </w:tc>
        <w:tc>
          <w:tcPr>
            <w:tcW w:w="300" w:type="dxa"/>
            <w:tcBorders>
              <w:bottom w:val="single" w:sz="8" w:space="0" w:color="auto"/>
              <w:right w:val="single" w:sz="8" w:space="0" w:color="auto"/>
            </w:tcBorders>
            <w:shd w:val="clear" w:color="auto" w:fill="auto"/>
            <w:vAlign w:val="bottom"/>
          </w:tcPr>
          <w:p w14:paraId="2646861D" w14:textId="77777777" w:rsidR="00A52778" w:rsidRPr="00460F9E" w:rsidRDefault="00A52778" w:rsidP="00FC3F8E">
            <w:pPr>
              <w:spacing w:line="0" w:lineRule="atLeast"/>
              <w:rPr>
                <w:rFonts w:eastAsia="Times New Roman" w:cs="Times New Roman"/>
                <w:b/>
                <w:sz w:val="5"/>
              </w:rPr>
            </w:pPr>
          </w:p>
        </w:tc>
        <w:tc>
          <w:tcPr>
            <w:tcW w:w="3840" w:type="dxa"/>
            <w:tcBorders>
              <w:bottom w:val="single" w:sz="8" w:space="0" w:color="auto"/>
              <w:right w:val="single" w:sz="8" w:space="0" w:color="auto"/>
            </w:tcBorders>
            <w:shd w:val="clear" w:color="auto" w:fill="auto"/>
            <w:vAlign w:val="bottom"/>
          </w:tcPr>
          <w:p w14:paraId="7A93BD74" w14:textId="77777777" w:rsidR="00A52778" w:rsidRPr="00460F9E" w:rsidRDefault="00A52778" w:rsidP="00FC3F8E">
            <w:pPr>
              <w:spacing w:line="0" w:lineRule="atLeast"/>
              <w:rPr>
                <w:rFonts w:eastAsia="Times New Roman" w:cs="Times New Roman"/>
                <w:b/>
                <w:sz w:val="5"/>
              </w:rPr>
            </w:pPr>
          </w:p>
        </w:tc>
        <w:tc>
          <w:tcPr>
            <w:tcW w:w="3520" w:type="dxa"/>
            <w:tcBorders>
              <w:bottom w:val="single" w:sz="8" w:space="0" w:color="auto"/>
            </w:tcBorders>
            <w:shd w:val="clear" w:color="auto" w:fill="auto"/>
            <w:vAlign w:val="bottom"/>
          </w:tcPr>
          <w:p w14:paraId="10D810D1" w14:textId="77777777" w:rsidR="00A52778" w:rsidRPr="00460F9E" w:rsidRDefault="00A52778" w:rsidP="00FC3F8E">
            <w:pPr>
              <w:spacing w:line="0" w:lineRule="atLeast"/>
              <w:rPr>
                <w:rFonts w:eastAsia="Times New Roman" w:cs="Times New Roman"/>
                <w:b/>
                <w:sz w:val="5"/>
              </w:rPr>
            </w:pPr>
          </w:p>
        </w:tc>
        <w:tc>
          <w:tcPr>
            <w:tcW w:w="900" w:type="dxa"/>
            <w:tcBorders>
              <w:bottom w:val="single" w:sz="8" w:space="0" w:color="auto"/>
            </w:tcBorders>
            <w:shd w:val="clear" w:color="auto" w:fill="auto"/>
            <w:vAlign w:val="bottom"/>
          </w:tcPr>
          <w:p w14:paraId="4C09D733" w14:textId="77777777" w:rsidR="00A52778" w:rsidRPr="00460F9E" w:rsidRDefault="00A52778" w:rsidP="00FC3F8E">
            <w:pPr>
              <w:spacing w:line="0" w:lineRule="atLeast"/>
              <w:rPr>
                <w:rFonts w:eastAsia="Times New Roman" w:cs="Times New Roman"/>
                <w:b/>
                <w:sz w:val="5"/>
              </w:rPr>
            </w:pPr>
          </w:p>
        </w:tc>
        <w:tc>
          <w:tcPr>
            <w:tcW w:w="120" w:type="dxa"/>
            <w:tcBorders>
              <w:bottom w:val="single" w:sz="8" w:space="0" w:color="auto"/>
              <w:right w:val="single" w:sz="8" w:space="0" w:color="auto"/>
            </w:tcBorders>
            <w:shd w:val="clear" w:color="auto" w:fill="auto"/>
            <w:vAlign w:val="bottom"/>
          </w:tcPr>
          <w:p w14:paraId="30919EFD" w14:textId="77777777" w:rsidR="00A52778" w:rsidRPr="00460F9E" w:rsidRDefault="00A52778" w:rsidP="00FC3F8E">
            <w:pPr>
              <w:spacing w:line="0" w:lineRule="atLeast"/>
              <w:rPr>
                <w:rFonts w:eastAsia="Times New Roman" w:cs="Times New Roman"/>
                <w:b/>
                <w:sz w:val="5"/>
              </w:rPr>
            </w:pPr>
          </w:p>
        </w:tc>
      </w:tr>
      <w:tr w:rsidR="00A52778" w:rsidRPr="00460F9E" w14:paraId="182F4546" w14:textId="77777777" w:rsidTr="00FC3F8E">
        <w:trPr>
          <w:trHeight w:val="274"/>
        </w:trPr>
        <w:tc>
          <w:tcPr>
            <w:tcW w:w="80" w:type="dxa"/>
            <w:tcBorders>
              <w:left w:val="single" w:sz="8" w:space="0" w:color="auto"/>
            </w:tcBorders>
            <w:shd w:val="clear" w:color="auto" w:fill="auto"/>
            <w:vAlign w:val="bottom"/>
          </w:tcPr>
          <w:p w14:paraId="0823637B" w14:textId="77777777" w:rsidR="00A52778" w:rsidRPr="00460F9E" w:rsidRDefault="00A52778" w:rsidP="00FC3F8E">
            <w:pPr>
              <w:spacing w:line="0" w:lineRule="atLeast"/>
              <w:rPr>
                <w:rFonts w:eastAsia="Times New Roman" w:cs="Times New Roman"/>
                <w:b/>
                <w:sz w:val="23"/>
              </w:rPr>
            </w:pPr>
          </w:p>
        </w:tc>
        <w:tc>
          <w:tcPr>
            <w:tcW w:w="300" w:type="dxa"/>
            <w:tcBorders>
              <w:right w:val="single" w:sz="8" w:space="0" w:color="auto"/>
            </w:tcBorders>
            <w:shd w:val="clear" w:color="auto" w:fill="auto"/>
            <w:vAlign w:val="bottom"/>
          </w:tcPr>
          <w:p w14:paraId="50AC29A5" w14:textId="77777777" w:rsidR="00A52778" w:rsidRPr="00460F9E" w:rsidRDefault="00A52778" w:rsidP="00FC3F8E">
            <w:pPr>
              <w:spacing w:line="0" w:lineRule="atLeast"/>
              <w:ind w:left="20"/>
              <w:rPr>
                <w:rFonts w:eastAsia="Times New Roman" w:cs="Times New Roman"/>
                <w:b/>
              </w:rPr>
            </w:pPr>
            <w:r w:rsidRPr="00460F9E">
              <w:rPr>
                <w:rFonts w:eastAsia="Times New Roman" w:cs="Times New Roman"/>
              </w:rPr>
              <w:t>c.</w:t>
            </w:r>
          </w:p>
        </w:tc>
        <w:tc>
          <w:tcPr>
            <w:tcW w:w="3840" w:type="dxa"/>
            <w:tcBorders>
              <w:right w:val="single" w:sz="8" w:space="0" w:color="auto"/>
            </w:tcBorders>
            <w:shd w:val="clear" w:color="auto" w:fill="auto"/>
            <w:vAlign w:val="bottom"/>
          </w:tcPr>
          <w:p w14:paraId="77C66F1D"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Yoğuşturma</w:t>
            </w:r>
          </w:p>
        </w:tc>
        <w:tc>
          <w:tcPr>
            <w:tcW w:w="3520" w:type="dxa"/>
            <w:shd w:val="clear" w:color="auto" w:fill="auto"/>
            <w:vAlign w:val="bottom"/>
          </w:tcPr>
          <w:p w14:paraId="12A19304" w14:textId="77777777" w:rsidR="00A52778" w:rsidRPr="00460F9E" w:rsidRDefault="00A52778" w:rsidP="00FC3F8E">
            <w:pPr>
              <w:spacing w:line="0" w:lineRule="atLeast"/>
              <w:ind w:left="860"/>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900" w:type="dxa"/>
            <w:shd w:val="clear" w:color="auto" w:fill="auto"/>
            <w:vAlign w:val="bottom"/>
          </w:tcPr>
          <w:p w14:paraId="5B91AE15" w14:textId="77777777" w:rsidR="00A52778" w:rsidRPr="00460F9E" w:rsidRDefault="00A52778" w:rsidP="00FC3F8E">
            <w:pPr>
              <w:spacing w:line="0" w:lineRule="atLeast"/>
              <w:rPr>
                <w:rFonts w:eastAsia="Times New Roman" w:cs="Times New Roman"/>
                <w:b/>
                <w:sz w:val="23"/>
              </w:rPr>
            </w:pPr>
          </w:p>
        </w:tc>
        <w:tc>
          <w:tcPr>
            <w:tcW w:w="120" w:type="dxa"/>
            <w:tcBorders>
              <w:right w:val="single" w:sz="8" w:space="0" w:color="auto"/>
            </w:tcBorders>
            <w:shd w:val="clear" w:color="auto" w:fill="auto"/>
            <w:vAlign w:val="bottom"/>
          </w:tcPr>
          <w:p w14:paraId="7ED04D37" w14:textId="77777777" w:rsidR="00A52778" w:rsidRPr="00460F9E" w:rsidRDefault="00A52778" w:rsidP="00FC3F8E">
            <w:pPr>
              <w:spacing w:line="0" w:lineRule="atLeast"/>
              <w:rPr>
                <w:rFonts w:eastAsia="Times New Roman" w:cs="Times New Roman"/>
                <w:b/>
                <w:sz w:val="23"/>
              </w:rPr>
            </w:pPr>
          </w:p>
        </w:tc>
      </w:tr>
      <w:tr w:rsidR="00A52778" w:rsidRPr="00460F9E" w14:paraId="20EEF2F6" w14:textId="77777777" w:rsidTr="00FC3F8E">
        <w:trPr>
          <w:trHeight w:val="66"/>
        </w:trPr>
        <w:tc>
          <w:tcPr>
            <w:tcW w:w="80" w:type="dxa"/>
            <w:tcBorders>
              <w:left w:val="single" w:sz="8" w:space="0" w:color="auto"/>
              <w:bottom w:val="single" w:sz="8" w:space="0" w:color="auto"/>
            </w:tcBorders>
            <w:shd w:val="clear" w:color="auto" w:fill="auto"/>
            <w:vAlign w:val="bottom"/>
          </w:tcPr>
          <w:p w14:paraId="68813F81" w14:textId="77777777" w:rsidR="00A52778" w:rsidRPr="00460F9E" w:rsidRDefault="00A52778" w:rsidP="00FC3F8E">
            <w:pPr>
              <w:spacing w:line="0" w:lineRule="atLeast"/>
              <w:rPr>
                <w:rFonts w:eastAsia="Times New Roman" w:cs="Times New Roman"/>
                <w:b/>
                <w:sz w:val="5"/>
              </w:rPr>
            </w:pPr>
          </w:p>
        </w:tc>
        <w:tc>
          <w:tcPr>
            <w:tcW w:w="300" w:type="dxa"/>
            <w:tcBorders>
              <w:bottom w:val="single" w:sz="8" w:space="0" w:color="auto"/>
              <w:right w:val="single" w:sz="8" w:space="0" w:color="auto"/>
            </w:tcBorders>
            <w:shd w:val="clear" w:color="auto" w:fill="auto"/>
            <w:vAlign w:val="bottom"/>
          </w:tcPr>
          <w:p w14:paraId="416E3717" w14:textId="77777777" w:rsidR="00A52778" w:rsidRPr="00460F9E" w:rsidRDefault="00A52778" w:rsidP="00FC3F8E">
            <w:pPr>
              <w:spacing w:line="0" w:lineRule="atLeast"/>
              <w:rPr>
                <w:rFonts w:eastAsia="Times New Roman" w:cs="Times New Roman"/>
                <w:b/>
                <w:sz w:val="5"/>
              </w:rPr>
            </w:pPr>
          </w:p>
        </w:tc>
        <w:tc>
          <w:tcPr>
            <w:tcW w:w="3840" w:type="dxa"/>
            <w:tcBorders>
              <w:bottom w:val="single" w:sz="8" w:space="0" w:color="auto"/>
              <w:right w:val="single" w:sz="8" w:space="0" w:color="auto"/>
            </w:tcBorders>
            <w:shd w:val="clear" w:color="auto" w:fill="auto"/>
            <w:vAlign w:val="bottom"/>
          </w:tcPr>
          <w:p w14:paraId="3C445788" w14:textId="77777777" w:rsidR="00A52778" w:rsidRPr="00460F9E" w:rsidRDefault="00A52778" w:rsidP="00FC3F8E">
            <w:pPr>
              <w:spacing w:line="0" w:lineRule="atLeast"/>
              <w:rPr>
                <w:rFonts w:eastAsia="Times New Roman" w:cs="Times New Roman"/>
                <w:b/>
                <w:sz w:val="5"/>
              </w:rPr>
            </w:pPr>
          </w:p>
        </w:tc>
        <w:tc>
          <w:tcPr>
            <w:tcW w:w="3520" w:type="dxa"/>
            <w:tcBorders>
              <w:bottom w:val="single" w:sz="8" w:space="0" w:color="auto"/>
            </w:tcBorders>
            <w:shd w:val="clear" w:color="auto" w:fill="auto"/>
            <w:vAlign w:val="bottom"/>
          </w:tcPr>
          <w:p w14:paraId="24DEBEA5" w14:textId="77777777" w:rsidR="00A52778" w:rsidRPr="00460F9E" w:rsidRDefault="00A52778" w:rsidP="00FC3F8E">
            <w:pPr>
              <w:spacing w:line="0" w:lineRule="atLeast"/>
              <w:rPr>
                <w:rFonts w:eastAsia="Times New Roman" w:cs="Times New Roman"/>
                <w:b/>
                <w:sz w:val="5"/>
              </w:rPr>
            </w:pPr>
          </w:p>
        </w:tc>
        <w:tc>
          <w:tcPr>
            <w:tcW w:w="900" w:type="dxa"/>
            <w:tcBorders>
              <w:bottom w:val="single" w:sz="8" w:space="0" w:color="auto"/>
            </w:tcBorders>
            <w:shd w:val="clear" w:color="auto" w:fill="auto"/>
            <w:vAlign w:val="bottom"/>
          </w:tcPr>
          <w:p w14:paraId="1044894D" w14:textId="77777777" w:rsidR="00A52778" w:rsidRPr="00460F9E" w:rsidRDefault="00A52778" w:rsidP="00FC3F8E">
            <w:pPr>
              <w:spacing w:line="0" w:lineRule="atLeast"/>
              <w:rPr>
                <w:rFonts w:eastAsia="Times New Roman" w:cs="Times New Roman"/>
                <w:b/>
                <w:sz w:val="5"/>
              </w:rPr>
            </w:pPr>
          </w:p>
        </w:tc>
        <w:tc>
          <w:tcPr>
            <w:tcW w:w="120" w:type="dxa"/>
            <w:tcBorders>
              <w:bottom w:val="single" w:sz="8" w:space="0" w:color="auto"/>
              <w:right w:val="single" w:sz="8" w:space="0" w:color="auto"/>
            </w:tcBorders>
            <w:shd w:val="clear" w:color="auto" w:fill="auto"/>
            <w:vAlign w:val="bottom"/>
          </w:tcPr>
          <w:p w14:paraId="3053FBC8" w14:textId="77777777" w:rsidR="00A52778" w:rsidRPr="00460F9E" w:rsidRDefault="00A52778" w:rsidP="00FC3F8E">
            <w:pPr>
              <w:spacing w:line="0" w:lineRule="atLeast"/>
              <w:rPr>
                <w:rFonts w:eastAsia="Times New Roman" w:cs="Times New Roman"/>
                <w:b/>
                <w:sz w:val="5"/>
              </w:rPr>
            </w:pPr>
          </w:p>
        </w:tc>
      </w:tr>
    </w:tbl>
    <w:p w14:paraId="09EB8FE7" w14:textId="77777777" w:rsidR="00A52778" w:rsidRPr="00460F9E" w:rsidRDefault="00A52778" w:rsidP="00A52778">
      <w:pPr>
        <w:spacing w:line="0" w:lineRule="atLeast"/>
        <w:ind w:left="120"/>
        <w:rPr>
          <w:rFonts w:eastAsia="Times New Roman" w:cs="Times New Roman"/>
          <w:b/>
          <w:color w:val="0000FF"/>
        </w:rPr>
      </w:pPr>
      <w:bookmarkStart w:id="320" w:name="page302"/>
      <w:bookmarkEnd w:id="320"/>
    </w:p>
    <w:p w14:paraId="2CFC3DCD" w14:textId="77777777" w:rsidR="00A52778" w:rsidRPr="00460F9E" w:rsidRDefault="00A52778" w:rsidP="00A52778">
      <w:pPr>
        <w:spacing w:line="20" w:lineRule="exact"/>
        <w:rPr>
          <w:rFonts w:eastAsia="Times New Roman" w:cs="Times New Roman"/>
          <w:b/>
        </w:rPr>
      </w:pPr>
    </w:p>
    <w:p w14:paraId="63DBB3BE" w14:textId="77777777" w:rsidR="00A52778" w:rsidRPr="00460F9E" w:rsidRDefault="00A52778" w:rsidP="00A52778">
      <w:pPr>
        <w:spacing w:line="173" w:lineRule="exact"/>
        <w:rPr>
          <w:rFonts w:eastAsia="Times New Roman" w:cs="Times New Roman"/>
          <w:b/>
        </w:rPr>
      </w:pPr>
    </w:p>
    <w:p w14:paraId="7E8B6ACB" w14:textId="77777777" w:rsidR="00A52778" w:rsidRPr="00C67F07" w:rsidRDefault="00A52778" w:rsidP="00A52778">
      <w:pPr>
        <w:spacing w:line="0" w:lineRule="atLeast"/>
        <w:ind w:left="120"/>
        <w:rPr>
          <w:rFonts w:eastAsia="Times New Roman" w:cs="Times New Roman"/>
        </w:rPr>
      </w:pPr>
      <w:r w:rsidRPr="00C67F07">
        <w:rPr>
          <w:rFonts w:eastAsia="Times New Roman" w:cs="Times New Roman"/>
        </w:rPr>
        <w:t>Uygulanabilirlik</w:t>
      </w:r>
    </w:p>
    <w:p w14:paraId="458CE7BB" w14:textId="77777777" w:rsidR="00A52778" w:rsidRPr="00460F9E" w:rsidRDefault="00A52778" w:rsidP="00A52778">
      <w:pPr>
        <w:spacing w:line="8" w:lineRule="exact"/>
        <w:rPr>
          <w:rFonts w:eastAsia="Times New Roman" w:cs="Times New Roman"/>
          <w:b/>
        </w:rPr>
      </w:pPr>
    </w:p>
    <w:p w14:paraId="49A2BFAF" w14:textId="77777777" w:rsidR="00A52778" w:rsidRPr="00460F9E" w:rsidRDefault="00A52778" w:rsidP="00A52778">
      <w:pPr>
        <w:spacing w:line="236" w:lineRule="auto"/>
        <w:ind w:left="120" w:right="826"/>
        <w:rPr>
          <w:rFonts w:eastAsia="Times New Roman" w:cs="Times New Roman"/>
          <w:b/>
        </w:rPr>
      </w:pPr>
      <w:r w:rsidRPr="00460F9E">
        <w:rPr>
          <w:rFonts w:eastAsia="Times New Roman" w:cs="Times New Roman"/>
        </w:rPr>
        <w:t>Çıkan gaz(lar) prosesinde ilgili bileşik(ler)in düşük konsantrasyonu nedeniyle enerji talebinin aşırı olduğu durumlarda geri kazanım kısıtlanabilir. Ayrıca, ürün kalitesi spesifikasyonları nedeniyle yeniden kullanım kısıtlanabilir.</w:t>
      </w:r>
    </w:p>
    <w:p w14:paraId="03A072BF" w14:textId="77777777" w:rsidR="00A52778" w:rsidRPr="00460F9E" w:rsidRDefault="00A52778" w:rsidP="00A52778">
      <w:pPr>
        <w:spacing w:line="200" w:lineRule="exact"/>
        <w:rPr>
          <w:rFonts w:eastAsia="Times New Roman" w:cs="Times New Roman"/>
          <w:b/>
        </w:rPr>
      </w:pPr>
    </w:p>
    <w:p w14:paraId="3D5EB884" w14:textId="77777777" w:rsidR="00A52778" w:rsidRPr="00460F9E" w:rsidRDefault="00A52778" w:rsidP="00A52778">
      <w:pPr>
        <w:spacing w:line="365" w:lineRule="exact"/>
        <w:rPr>
          <w:rFonts w:eastAsia="Times New Roman" w:cs="Times New Roman"/>
          <w:b/>
        </w:rPr>
      </w:pPr>
    </w:p>
    <w:p w14:paraId="75D98374" w14:textId="77777777" w:rsidR="00A52778" w:rsidRPr="00C67F07" w:rsidRDefault="00A52778" w:rsidP="00A52778">
      <w:pPr>
        <w:spacing w:line="237" w:lineRule="auto"/>
        <w:ind w:left="120" w:right="826"/>
        <w:rPr>
          <w:rFonts w:eastAsia="Times New Roman" w:cs="Times New Roman"/>
        </w:rPr>
      </w:pPr>
      <w:r>
        <w:rPr>
          <w:rFonts w:eastAsia="Times New Roman" w:cs="Times New Roman"/>
        </w:rPr>
        <w:t xml:space="preserve">MET 10: </w:t>
      </w:r>
      <w:r w:rsidRPr="00C67F07">
        <w:rPr>
          <w:rFonts w:eastAsia="Times New Roman" w:cs="Times New Roman"/>
        </w:rPr>
        <w:t>Enerji verimini artırmak ve nihai atık gaz arıtımına gönderilen organik bileşiklerin kütlesel akışını azaltmak için MET, yeterli kalorifik değere sahip proses çıkış gazlarını, teknik olarak mümkünse ısı geri kazanımı ile birleştirilen bir yakma ünitesine göndermektir. Bu nedenle MET 9, proses çıkış gazlarının bir yakma ünitesine gönderilmesi konusunda önceliğe sahiptir.</w:t>
      </w:r>
    </w:p>
    <w:p w14:paraId="349501BC" w14:textId="77777777" w:rsidR="00A52778" w:rsidRPr="00460F9E" w:rsidRDefault="00A52778" w:rsidP="00A52778">
      <w:pPr>
        <w:spacing w:line="333" w:lineRule="exact"/>
        <w:rPr>
          <w:rFonts w:eastAsia="Times New Roman" w:cs="Times New Roman"/>
          <w:b/>
        </w:rPr>
      </w:pPr>
    </w:p>
    <w:p w14:paraId="5370683B" w14:textId="77777777" w:rsidR="00A52778" w:rsidRPr="00C67F07" w:rsidRDefault="00A52778" w:rsidP="00A52778">
      <w:pPr>
        <w:spacing w:line="0" w:lineRule="atLeast"/>
        <w:ind w:left="120"/>
        <w:rPr>
          <w:rFonts w:eastAsia="Times New Roman" w:cs="Times New Roman"/>
        </w:rPr>
      </w:pPr>
      <w:r w:rsidRPr="00C67F07">
        <w:rPr>
          <w:rFonts w:eastAsia="Times New Roman" w:cs="Times New Roman"/>
        </w:rPr>
        <w:t>Tanımlama</w:t>
      </w:r>
    </w:p>
    <w:p w14:paraId="1A5B7E98" w14:textId="77777777" w:rsidR="00A52778" w:rsidRPr="00460F9E" w:rsidRDefault="00A52778" w:rsidP="00A52778">
      <w:pPr>
        <w:spacing w:line="6" w:lineRule="exact"/>
        <w:rPr>
          <w:rFonts w:eastAsia="Times New Roman" w:cs="Times New Roman"/>
          <w:b/>
        </w:rPr>
      </w:pPr>
    </w:p>
    <w:p w14:paraId="43145AEB" w14:textId="77777777" w:rsidR="00A52778" w:rsidRPr="00460F9E" w:rsidRDefault="00A52778" w:rsidP="00A52778">
      <w:pPr>
        <w:spacing w:line="236" w:lineRule="auto"/>
        <w:ind w:left="120" w:right="826"/>
        <w:rPr>
          <w:rFonts w:eastAsia="Times New Roman" w:cs="Times New Roman"/>
          <w:b/>
        </w:rPr>
      </w:pPr>
      <w:r w:rsidRPr="00460F9E">
        <w:rPr>
          <w:rFonts w:eastAsia="Times New Roman" w:cs="Times New Roman"/>
        </w:rPr>
        <w:t>Yüksek kalorifik değere sahip proses çıkış gazları, bir yakma ünitesinde (gaz motoru, kazan, proses ısıtıcısı veya fırını) yakıt olarak yakılır ve ısı buhar olarak veya elektrik üretimi için ya da prosese ısı sağlamak için geri kazanılır.</w:t>
      </w:r>
    </w:p>
    <w:p w14:paraId="7EF0D111" w14:textId="77777777" w:rsidR="00A52778" w:rsidRPr="00460F9E" w:rsidRDefault="00A52778" w:rsidP="00A52778">
      <w:pPr>
        <w:spacing w:line="261" w:lineRule="exact"/>
        <w:rPr>
          <w:rFonts w:eastAsia="Times New Roman" w:cs="Times New Roman"/>
          <w:b/>
        </w:rPr>
      </w:pPr>
    </w:p>
    <w:p w14:paraId="7791885C" w14:textId="77777777" w:rsidR="00A52778" w:rsidRPr="00460F9E" w:rsidRDefault="00A52778" w:rsidP="00A52778">
      <w:pPr>
        <w:spacing w:line="220" w:lineRule="auto"/>
        <w:ind w:left="120" w:right="826"/>
        <w:rPr>
          <w:rFonts w:eastAsia="Times New Roman" w:cs="Times New Roman"/>
          <w:b/>
        </w:rPr>
      </w:pPr>
      <w:r w:rsidRPr="00460F9E">
        <w:rPr>
          <w:rFonts w:eastAsia="Times New Roman" w:cs="Times New Roman"/>
        </w:rPr>
        <w:t>Düşük VOC konsantrasyonlarına (örn. &lt;1 g/Nm</w:t>
      </w:r>
      <w:r w:rsidRPr="00460F9E">
        <w:rPr>
          <w:rFonts w:eastAsia="Times New Roman" w:cs="Times New Roman"/>
          <w:szCs w:val="24"/>
          <w:vertAlign w:val="superscript"/>
        </w:rPr>
        <w:t>3</w:t>
      </w:r>
      <w:r w:rsidRPr="00460F9E">
        <w:rPr>
          <w:rFonts w:eastAsia="Times New Roman" w:cs="Times New Roman"/>
        </w:rPr>
        <w:t>) sahip proses çıkış gazları için, proses çıkış gazlarının kalorifik değerini artırmak amacıyla adsorpsiyon (rotor veya sabit yatak, aktif karbon veya zeolitlerle) kullanılarak ön konsantrasyon adımları uygulanabilir.</w:t>
      </w:r>
    </w:p>
    <w:p w14:paraId="2529361F" w14:textId="77777777" w:rsidR="00A52778" w:rsidRPr="00460F9E" w:rsidRDefault="00A52778" w:rsidP="00A52778">
      <w:pPr>
        <w:spacing w:line="268" w:lineRule="exact"/>
        <w:rPr>
          <w:rFonts w:eastAsia="Times New Roman" w:cs="Times New Roman"/>
          <w:b/>
        </w:rPr>
      </w:pPr>
    </w:p>
    <w:p w14:paraId="390E111D" w14:textId="77777777" w:rsidR="00A52778" w:rsidRPr="00460F9E" w:rsidRDefault="00A52778" w:rsidP="00A52778">
      <w:pPr>
        <w:spacing w:line="235" w:lineRule="auto"/>
        <w:ind w:left="120" w:right="886"/>
        <w:rPr>
          <w:rFonts w:eastAsia="Times New Roman" w:cs="Times New Roman"/>
          <w:b/>
        </w:rPr>
      </w:pPr>
      <w:r w:rsidRPr="00460F9E">
        <w:rPr>
          <w:rFonts w:eastAsia="Times New Roman" w:cs="Times New Roman"/>
        </w:rPr>
        <w:t>Tipik olarak zeolitlerden oluşan moleküler elekler ('yumuşatıcılar'), proses çıkış gazlarındaki VOC konsantrasyonlarının yüksek varyasyonlarını (örneğin konsantrasyon pikleri) dengelemek için kullanılabilir.</w:t>
      </w:r>
    </w:p>
    <w:p w14:paraId="6BB354CF" w14:textId="77777777" w:rsidR="00A52778" w:rsidRPr="00460F9E" w:rsidRDefault="00A52778" w:rsidP="00A52778">
      <w:pPr>
        <w:spacing w:line="256" w:lineRule="exact"/>
        <w:rPr>
          <w:rFonts w:eastAsia="Times New Roman" w:cs="Times New Roman"/>
          <w:b/>
        </w:rPr>
      </w:pPr>
    </w:p>
    <w:p w14:paraId="59C969C8" w14:textId="77777777" w:rsidR="00A52778" w:rsidRPr="00C67F07" w:rsidRDefault="00A52778" w:rsidP="00A52778">
      <w:pPr>
        <w:spacing w:line="0" w:lineRule="atLeast"/>
        <w:ind w:left="120"/>
        <w:rPr>
          <w:rFonts w:eastAsia="Times New Roman" w:cs="Times New Roman"/>
        </w:rPr>
      </w:pPr>
      <w:r w:rsidRPr="00C67F07">
        <w:rPr>
          <w:rFonts w:eastAsia="Times New Roman" w:cs="Times New Roman"/>
        </w:rPr>
        <w:t>Uygulanabilirlik</w:t>
      </w:r>
    </w:p>
    <w:p w14:paraId="1EEBFCBE" w14:textId="77777777" w:rsidR="00A52778" w:rsidRPr="00460F9E" w:rsidRDefault="00A52778" w:rsidP="00A52778">
      <w:pPr>
        <w:spacing w:line="234" w:lineRule="auto"/>
        <w:ind w:left="120" w:right="826"/>
        <w:rPr>
          <w:rFonts w:eastAsia="Times New Roman" w:cs="Times New Roman"/>
          <w:b/>
        </w:rPr>
      </w:pPr>
      <w:r w:rsidRPr="00460F9E">
        <w:rPr>
          <w:rFonts w:eastAsia="Times New Roman" w:cs="Times New Roman"/>
        </w:rPr>
        <w:t>Proses çıkış gazlarının bir yakma ünitesine gönderilmesi kirletici maddelerin varlığı veya güvenlik hususları nedeniyle kısıtlanabilir.</w:t>
      </w:r>
    </w:p>
    <w:p w14:paraId="5E4BCBC1" w14:textId="77777777" w:rsidR="00A52778" w:rsidRPr="00C67F07" w:rsidRDefault="00A52778" w:rsidP="00A52778">
      <w:pPr>
        <w:rPr>
          <w:rFonts w:cs="Times New Roman"/>
        </w:rPr>
      </w:pPr>
    </w:p>
    <w:p w14:paraId="1CD496F0" w14:textId="77777777" w:rsidR="00A52778" w:rsidRPr="00C67F07" w:rsidRDefault="00A52778" w:rsidP="00A52778">
      <w:pPr>
        <w:spacing w:line="234" w:lineRule="auto"/>
        <w:ind w:left="120" w:right="826"/>
        <w:rPr>
          <w:rFonts w:eastAsia="Times New Roman" w:cs="Times New Roman"/>
        </w:rPr>
      </w:pPr>
      <w:r w:rsidRPr="00C67F07">
        <w:rPr>
          <w:rFonts w:eastAsia="Times New Roman" w:cs="Times New Roman"/>
        </w:rPr>
        <w:t>MET 11. Organik bileşiklerin havaya kanalize emisyonlarını azaltmak için MET, aşağıda verilen tekniklerin birinin veya birkaçının kullanılmasıdır.</w:t>
      </w:r>
    </w:p>
    <w:p w14:paraId="22AF3747" w14:textId="77777777" w:rsidR="00A52778" w:rsidRPr="00460F9E" w:rsidRDefault="00A52778" w:rsidP="00A52778">
      <w:pPr>
        <w:spacing w:line="200" w:lineRule="exact"/>
        <w:rPr>
          <w:rFonts w:eastAsia="Times New Roman" w:cs="Times New Roman"/>
          <w:b/>
        </w:rPr>
      </w:pPr>
    </w:p>
    <w:p w14:paraId="36E85A36" w14:textId="77777777" w:rsidR="00A52778" w:rsidRPr="00460F9E" w:rsidRDefault="00A52778" w:rsidP="00A52778">
      <w:pPr>
        <w:spacing w:line="330" w:lineRule="exact"/>
        <w:rPr>
          <w:rFonts w:eastAsia="Times New Roman" w:cs="Times New Roman"/>
          <w:b/>
        </w:rPr>
      </w:pPr>
    </w:p>
    <w:tbl>
      <w:tblPr>
        <w:tblW w:w="0" w:type="auto"/>
        <w:tblInd w:w="10" w:type="dxa"/>
        <w:tblLayout w:type="fixed"/>
        <w:tblCellMar>
          <w:left w:w="0" w:type="dxa"/>
          <w:right w:w="0" w:type="dxa"/>
        </w:tblCellMar>
        <w:tblLook w:val="0000" w:firstRow="0" w:lastRow="0" w:firstColumn="0" w:lastColumn="0" w:noHBand="0" w:noVBand="0"/>
      </w:tblPr>
      <w:tblGrid>
        <w:gridCol w:w="380"/>
        <w:gridCol w:w="2580"/>
        <w:gridCol w:w="2140"/>
        <w:gridCol w:w="1200"/>
        <w:gridCol w:w="660"/>
        <w:gridCol w:w="520"/>
        <w:gridCol w:w="820"/>
        <w:gridCol w:w="460"/>
      </w:tblGrid>
      <w:tr w:rsidR="00A52778" w:rsidRPr="00460F9E" w14:paraId="39187EF8" w14:textId="77777777" w:rsidTr="00FC3F8E">
        <w:trPr>
          <w:trHeight w:val="299"/>
        </w:trPr>
        <w:tc>
          <w:tcPr>
            <w:tcW w:w="380" w:type="dxa"/>
            <w:tcBorders>
              <w:top w:val="single" w:sz="8" w:space="0" w:color="auto"/>
              <w:left w:val="single" w:sz="8" w:space="0" w:color="auto"/>
            </w:tcBorders>
            <w:shd w:val="clear" w:color="auto" w:fill="auto"/>
            <w:vAlign w:val="bottom"/>
          </w:tcPr>
          <w:p w14:paraId="0AD9A509" w14:textId="77777777" w:rsidR="00A52778" w:rsidRPr="00460F9E" w:rsidRDefault="00A52778" w:rsidP="00FC3F8E">
            <w:pPr>
              <w:spacing w:line="0" w:lineRule="atLeast"/>
              <w:rPr>
                <w:rFonts w:eastAsia="Times New Roman" w:cs="Times New Roman"/>
                <w:b/>
              </w:rPr>
            </w:pPr>
          </w:p>
        </w:tc>
        <w:tc>
          <w:tcPr>
            <w:tcW w:w="2580" w:type="dxa"/>
            <w:tcBorders>
              <w:top w:val="single" w:sz="8" w:space="0" w:color="auto"/>
              <w:right w:val="single" w:sz="8" w:space="0" w:color="auto"/>
            </w:tcBorders>
            <w:shd w:val="clear" w:color="auto" w:fill="auto"/>
            <w:vAlign w:val="bottom"/>
          </w:tcPr>
          <w:p w14:paraId="5A9CEE75" w14:textId="77777777" w:rsidR="00A52778" w:rsidRPr="00C67F07" w:rsidRDefault="00A52778" w:rsidP="00FC3F8E">
            <w:pPr>
              <w:spacing w:line="0" w:lineRule="atLeast"/>
              <w:ind w:left="640"/>
              <w:rPr>
                <w:rFonts w:eastAsia="Times New Roman" w:cs="Times New Roman"/>
              </w:rPr>
            </w:pPr>
            <w:r w:rsidRPr="00C67F07">
              <w:rPr>
                <w:rFonts w:eastAsia="Times New Roman" w:cs="Times New Roman"/>
              </w:rPr>
              <w:t>Teknikler</w:t>
            </w:r>
          </w:p>
        </w:tc>
        <w:tc>
          <w:tcPr>
            <w:tcW w:w="2140" w:type="dxa"/>
            <w:tcBorders>
              <w:top w:val="single" w:sz="8" w:space="0" w:color="auto"/>
              <w:right w:val="single" w:sz="8" w:space="0" w:color="auto"/>
            </w:tcBorders>
            <w:shd w:val="clear" w:color="auto" w:fill="auto"/>
            <w:vAlign w:val="bottom"/>
          </w:tcPr>
          <w:p w14:paraId="5174F471" w14:textId="77777777" w:rsidR="00A52778" w:rsidRPr="00C67F07" w:rsidRDefault="00A52778" w:rsidP="00FC3F8E">
            <w:pPr>
              <w:spacing w:line="0" w:lineRule="atLeast"/>
              <w:jc w:val="center"/>
              <w:rPr>
                <w:rFonts w:eastAsia="Times New Roman" w:cs="Times New Roman"/>
                <w:w w:val="99"/>
              </w:rPr>
            </w:pPr>
            <w:r w:rsidRPr="00C67F07">
              <w:rPr>
                <w:rFonts w:eastAsia="Times New Roman" w:cs="Times New Roman"/>
                <w:w w:val="99"/>
              </w:rPr>
              <w:t>Tanımlamalar</w:t>
            </w:r>
          </w:p>
        </w:tc>
        <w:tc>
          <w:tcPr>
            <w:tcW w:w="3660" w:type="dxa"/>
            <w:gridSpan w:val="5"/>
            <w:tcBorders>
              <w:top w:val="single" w:sz="8" w:space="0" w:color="auto"/>
              <w:right w:val="single" w:sz="8" w:space="0" w:color="auto"/>
            </w:tcBorders>
            <w:shd w:val="clear" w:color="auto" w:fill="auto"/>
            <w:vAlign w:val="center"/>
          </w:tcPr>
          <w:p w14:paraId="0ED26926" w14:textId="77777777" w:rsidR="00A52778" w:rsidRPr="00C67F07" w:rsidRDefault="00A52778" w:rsidP="00FC3F8E">
            <w:pPr>
              <w:spacing w:line="0" w:lineRule="atLeast"/>
              <w:jc w:val="center"/>
              <w:rPr>
                <w:rFonts w:eastAsia="Times New Roman" w:cs="Times New Roman"/>
              </w:rPr>
            </w:pPr>
            <w:r w:rsidRPr="00C67F07">
              <w:rPr>
                <w:rFonts w:eastAsia="Times New Roman" w:cs="Times New Roman"/>
              </w:rPr>
              <w:t>Uygulanabilirlik</w:t>
            </w:r>
          </w:p>
        </w:tc>
      </w:tr>
      <w:tr w:rsidR="00A52778" w:rsidRPr="00460F9E" w14:paraId="082F760D" w14:textId="77777777" w:rsidTr="00FC3F8E">
        <w:trPr>
          <w:trHeight w:val="61"/>
        </w:trPr>
        <w:tc>
          <w:tcPr>
            <w:tcW w:w="380" w:type="dxa"/>
            <w:tcBorders>
              <w:left w:val="single" w:sz="8" w:space="0" w:color="auto"/>
              <w:bottom w:val="single" w:sz="8" w:space="0" w:color="auto"/>
            </w:tcBorders>
            <w:shd w:val="clear" w:color="auto" w:fill="auto"/>
            <w:vAlign w:val="bottom"/>
          </w:tcPr>
          <w:p w14:paraId="7BCBB15A" w14:textId="77777777" w:rsidR="00A52778" w:rsidRPr="00460F9E" w:rsidRDefault="00A52778" w:rsidP="00FC3F8E">
            <w:pPr>
              <w:spacing w:line="0" w:lineRule="atLeast"/>
              <w:rPr>
                <w:rFonts w:eastAsia="Times New Roman" w:cs="Times New Roman"/>
                <w:b/>
                <w:sz w:val="5"/>
              </w:rPr>
            </w:pPr>
          </w:p>
        </w:tc>
        <w:tc>
          <w:tcPr>
            <w:tcW w:w="2580" w:type="dxa"/>
            <w:tcBorders>
              <w:bottom w:val="single" w:sz="8" w:space="0" w:color="auto"/>
              <w:right w:val="single" w:sz="8" w:space="0" w:color="auto"/>
            </w:tcBorders>
            <w:shd w:val="clear" w:color="auto" w:fill="auto"/>
            <w:vAlign w:val="bottom"/>
          </w:tcPr>
          <w:p w14:paraId="505FD1EA" w14:textId="77777777" w:rsidR="00A52778" w:rsidRPr="00460F9E" w:rsidRDefault="00A52778" w:rsidP="00FC3F8E">
            <w:pPr>
              <w:spacing w:line="0" w:lineRule="atLeast"/>
              <w:rPr>
                <w:rFonts w:eastAsia="Times New Roman" w:cs="Times New Roman"/>
                <w:b/>
                <w:sz w:val="5"/>
              </w:rPr>
            </w:pPr>
          </w:p>
        </w:tc>
        <w:tc>
          <w:tcPr>
            <w:tcW w:w="2140" w:type="dxa"/>
            <w:tcBorders>
              <w:bottom w:val="single" w:sz="8" w:space="0" w:color="auto"/>
              <w:right w:val="single" w:sz="8" w:space="0" w:color="auto"/>
            </w:tcBorders>
            <w:shd w:val="clear" w:color="auto" w:fill="auto"/>
            <w:vAlign w:val="bottom"/>
          </w:tcPr>
          <w:p w14:paraId="0704E08B" w14:textId="77777777" w:rsidR="00A52778" w:rsidRPr="00460F9E" w:rsidRDefault="00A52778" w:rsidP="00FC3F8E">
            <w:pPr>
              <w:spacing w:line="0" w:lineRule="atLeast"/>
              <w:rPr>
                <w:rFonts w:eastAsia="Times New Roman" w:cs="Times New Roman"/>
                <w:b/>
                <w:sz w:val="5"/>
              </w:rPr>
            </w:pPr>
          </w:p>
        </w:tc>
        <w:tc>
          <w:tcPr>
            <w:tcW w:w="1860" w:type="dxa"/>
            <w:gridSpan w:val="2"/>
            <w:tcBorders>
              <w:bottom w:val="single" w:sz="8" w:space="0" w:color="auto"/>
            </w:tcBorders>
            <w:shd w:val="clear" w:color="auto" w:fill="auto"/>
            <w:vAlign w:val="bottom"/>
          </w:tcPr>
          <w:p w14:paraId="6126E280" w14:textId="77777777" w:rsidR="00A52778" w:rsidRPr="00460F9E" w:rsidRDefault="00A52778" w:rsidP="00FC3F8E">
            <w:pPr>
              <w:spacing w:line="0" w:lineRule="atLeast"/>
              <w:rPr>
                <w:rFonts w:eastAsia="Times New Roman" w:cs="Times New Roman"/>
                <w:b/>
                <w:sz w:val="5"/>
              </w:rPr>
            </w:pPr>
          </w:p>
        </w:tc>
        <w:tc>
          <w:tcPr>
            <w:tcW w:w="520" w:type="dxa"/>
            <w:tcBorders>
              <w:bottom w:val="single" w:sz="8" w:space="0" w:color="auto"/>
            </w:tcBorders>
            <w:shd w:val="clear" w:color="auto" w:fill="auto"/>
            <w:vAlign w:val="bottom"/>
          </w:tcPr>
          <w:p w14:paraId="2BCC3692" w14:textId="77777777" w:rsidR="00A52778" w:rsidRPr="00460F9E" w:rsidRDefault="00A52778" w:rsidP="00FC3F8E">
            <w:pPr>
              <w:spacing w:line="0" w:lineRule="atLeast"/>
              <w:rPr>
                <w:rFonts w:eastAsia="Times New Roman" w:cs="Times New Roman"/>
                <w:b/>
                <w:sz w:val="5"/>
              </w:rPr>
            </w:pPr>
          </w:p>
        </w:tc>
        <w:tc>
          <w:tcPr>
            <w:tcW w:w="820" w:type="dxa"/>
            <w:tcBorders>
              <w:bottom w:val="single" w:sz="8" w:space="0" w:color="auto"/>
            </w:tcBorders>
            <w:shd w:val="clear" w:color="auto" w:fill="auto"/>
            <w:vAlign w:val="bottom"/>
          </w:tcPr>
          <w:p w14:paraId="5456525C" w14:textId="77777777" w:rsidR="00A52778" w:rsidRPr="00460F9E" w:rsidRDefault="00A52778" w:rsidP="00FC3F8E">
            <w:pPr>
              <w:spacing w:line="0" w:lineRule="atLeast"/>
              <w:rPr>
                <w:rFonts w:eastAsia="Times New Roman" w:cs="Times New Roman"/>
                <w:b/>
                <w:sz w:val="5"/>
              </w:rPr>
            </w:pPr>
          </w:p>
        </w:tc>
        <w:tc>
          <w:tcPr>
            <w:tcW w:w="460" w:type="dxa"/>
            <w:tcBorders>
              <w:bottom w:val="single" w:sz="8" w:space="0" w:color="auto"/>
              <w:right w:val="single" w:sz="8" w:space="0" w:color="auto"/>
            </w:tcBorders>
            <w:shd w:val="clear" w:color="auto" w:fill="auto"/>
            <w:vAlign w:val="bottom"/>
          </w:tcPr>
          <w:p w14:paraId="0EA26CAA" w14:textId="77777777" w:rsidR="00A52778" w:rsidRPr="00460F9E" w:rsidRDefault="00A52778" w:rsidP="00FC3F8E">
            <w:pPr>
              <w:spacing w:line="0" w:lineRule="atLeast"/>
              <w:rPr>
                <w:rFonts w:eastAsia="Times New Roman" w:cs="Times New Roman"/>
                <w:b/>
                <w:sz w:val="5"/>
              </w:rPr>
            </w:pPr>
          </w:p>
        </w:tc>
      </w:tr>
      <w:tr w:rsidR="00A52778" w:rsidRPr="00460F9E" w14:paraId="619F228D" w14:textId="77777777" w:rsidTr="00FC3F8E">
        <w:trPr>
          <w:trHeight w:val="296"/>
        </w:trPr>
        <w:tc>
          <w:tcPr>
            <w:tcW w:w="380" w:type="dxa"/>
            <w:tcBorders>
              <w:left w:val="single" w:sz="8" w:space="0" w:color="auto"/>
              <w:right w:val="single" w:sz="8" w:space="0" w:color="auto"/>
            </w:tcBorders>
            <w:shd w:val="clear" w:color="auto" w:fill="auto"/>
            <w:vAlign w:val="bottom"/>
          </w:tcPr>
          <w:p w14:paraId="1FD07E5B"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a.</w:t>
            </w:r>
          </w:p>
        </w:tc>
        <w:tc>
          <w:tcPr>
            <w:tcW w:w="2580" w:type="dxa"/>
            <w:tcBorders>
              <w:right w:val="single" w:sz="8" w:space="0" w:color="auto"/>
            </w:tcBorders>
            <w:shd w:val="clear" w:color="auto" w:fill="auto"/>
            <w:vAlign w:val="bottom"/>
          </w:tcPr>
          <w:p w14:paraId="1C8C344A"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Adsorpsiyon</w:t>
            </w:r>
          </w:p>
        </w:tc>
        <w:tc>
          <w:tcPr>
            <w:tcW w:w="2140" w:type="dxa"/>
            <w:tcBorders>
              <w:right w:val="single" w:sz="8" w:space="0" w:color="auto"/>
            </w:tcBorders>
            <w:shd w:val="clear" w:color="auto" w:fill="auto"/>
            <w:vAlign w:val="bottom"/>
          </w:tcPr>
          <w:p w14:paraId="49BEBC72"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660" w:type="dxa"/>
            <w:gridSpan w:val="5"/>
            <w:tcBorders>
              <w:right w:val="single" w:sz="8" w:space="0" w:color="auto"/>
            </w:tcBorders>
            <w:shd w:val="clear" w:color="auto" w:fill="auto"/>
            <w:vAlign w:val="bottom"/>
          </w:tcPr>
          <w:p w14:paraId="355038C8"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Genel olarak uygulanabilir.</w:t>
            </w:r>
          </w:p>
        </w:tc>
      </w:tr>
      <w:tr w:rsidR="00A52778" w:rsidRPr="00460F9E" w14:paraId="2FAF7FBA" w14:textId="77777777" w:rsidTr="00FC3F8E">
        <w:trPr>
          <w:trHeight w:val="88"/>
        </w:trPr>
        <w:tc>
          <w:tcPr>
            <w:tcW w:w="380" w:type="dxa"/>
            <w:tcBorders>
              <w:left w:val="single" w:sz="8" w:space="0" w:color="auto"/>
              <w:bottom w:val="single" w:sz="8" w:space="0" w:color="auto"/>
              <w:right w:val="single" w:sz="8" w:space="0" w:color="auto"/>
            </w:tcBorders>
            <w:shd w:val="clear" w:color="auto" w:fill="auto"/>
            <w:vAlign w:val="bottom"/>
          </w:tcPr>
          <w:p w14:paraId="30FD6985" w14:textId="77777777" w:rsidR="00A52778" w:rsidRPr="00460F9E" w:rsidRDefault="00A52778" w:rsidP="00FC3F8E">
            <w:pPr>
              <w:spacing w:line="0" w:lineRule="atLeast"/>
              <w:rPr>
                <w:rFonts w:eastAsia="Times New Roman" w:cs="Times New Roman"/>
                <w:b/>
                <w:sz w:val="7"/>
              </w:rPr>
            </w:pPr>
          </w:p>
        </w:tc>
        <w:tc>
          <w:tcPr>
            <w:tcW w:w="2580" w:type="dxa"/>
            <w:tcBorders>
              <w:bottom w:val="single" w:sz="8" w:space="0" w:color="auto"/>
              <w:right w:val="single" w:sz="8" w:space="0" w:color="auto"/>
            </w:tcBorders>
            <w:shd w:val="clear" w:color="auto" w:fill="auto"/>
            <w:vAlign w:val="bottom"/>
          </w:tcPr>
          <w:p w14:paraId="04C5D52F" w14:textId="77777777" w:rsidR="00A52778" w:rsidRPr="00460F9E" w:rsidRDefault="00A52778" w:rsidP="00FC3F8E">
            <w:pPr>
              <w:spacing w:line="0" w:lineRule="atLeast"/>
              <w:rPr>
                <w:rFonts w:eastAsia="Times New Roman" w:cs="Times New Roman"/>
                <w:b/>
                <w:sz w:val="7"/>
              </w:rPr>
            </w:pPr>
          </w:p>
        </w:tc>
        <w:tc>
          <w:tcPr>
            <w:tcW w:w="2140" w:type="dxa"/>
            <w:tcBorders>
              <w:bottom w:val="single" w:sz="8" w:space="0" w:color="auto"/>
              <w:right w:val="single" w:sz="8" w:space="0" w:color="auto"/>
            </w:tcBorders>
            <w:shd w:val="clear" w:color="auto" w:fill="auto"/>
            <w:vAlign w:val="bottom"/>
          </w:tcPr>
          <w:p w14:paraId="34901297" w14:textId="77777777" w:rsidR="00A52778" w:rsidRPr="00460F9E" w:rsidRDefault="00A52778" w:rsidP="00FC3F8E">
            <w:pPr>
              <w:spacing w:line="0" w:lineRule="atLeast"/>
              <w:rPr>
                <w:rFonts w:eastAsia="Times New Roman" w:cs="Times New Roman"/>
                <w:b/>
                <w:sz w:val="7"/>
              </w:rPr>
            </w:pPr>
          </w:p>
        </w:tc>
        <w:tc>
          <w:tcPr>
            <w:tcW w:w="1860" w:type="dxa"/>
            <w:gridSpan w:val="2"/>
            <w:tcBorders>
              <w:bottom w:val="single" w:sz="8" w:space="0" w:color="auto"/>
            </w:tcBorders>
            <w:shd w:val="clear" w:color="auto" w:fill="auto"/>
            <w:vAlign w:val="bottom"/>
          </w:tcPr>
          <w:p w14:paraId="1625EC45" w14:textId="77777777" w:rsidR="00A52778" w:rsidRPr="00460F9E" w:rsidRDefault="00A52778" w:rsidP="00FC3F8E">
            <w:pPr>
              <w:spacing w:line="0" w:lineRule="atLeast"/>
              <w:rPr>
                <w:rFonts w:eastAsia="Times New Roman" w:cs="Times New Roman"/>
                <w:b/>
                <w:sz w:val="7"/>
              </w:rPr>
            </w:pPr>
          </w:p>
        </w:tc>
        <w:tc>
          <w:tcPr>
            <w:tcW w:w="520" w:type="dxa"/>
            <w:tcBorders>
              <w:bottom w:val="single" w:sz="8" w:space="0" w:color="auto"/>
            </w:tcBorders>
            <w:shd w:val="clear" w:color="auto" w:fill="auto"/>
            <w:vAlign w:val="bottom"/>
          </w:tcPr>
          <w:p w14:paraId="47E5DC7F" w14:textId="77777777" w:rsidR="00A52778" w:rsidRPr="00460F9E" w:rsidRDefault="00A52778" w:rsidP="00FC3F8E">
            <w:pPr>
              <w:spacing w:line="0" w:lineRule="atLeast"/>
              <w:rPr>
                <w:rFonts w:eastAsia="Times New Roman" w:cs="Times New Roman"/>
                <w:b/>
                <w:sz w:val="7"/>
              </w:rPr>
            </w:pPr>
          </w:p>
        </w:tc>
        <w:tc>
          <w:tcPr>
            <w:tcW w:w="820" w:type="dxa"/>
            <w:tcBorders>
              <w:bottom w:val="single" w:sz="8" w:space="0" w:color="auto"/>
            </w:tcBorders>
            <w:shd w:val="clear" w:color="auto" w:fill="auto"/>
            <w:vAlign w:val="bottom"/>
          </w:tcPr>
          <w:p w14:paraId="5848CE46" w14:textId="77777777" w:rsidR="00A52778" w:rsidRPr="00460F9E" w:rsidRDefault="00A52778" w:rsidP="00FC3F8E">
            <w:pPr>
              <w:spacing w:line="0" w:lineRule="atLeast"/>
              <w:rPr>
                <w:rFonts w:eastAsia="Times New Roman" w:cs="Times New Roman"/>
                <w:b/>
                <w:sz w:val="7"/>
              </w:rPr>
            </w:pPr>
          </w:p>
        </w:tc>
        <w:tc>
          <w:tcPr>
            <w:tcW w:w="460" w:type="dxa"/>
            <w:tcBorders>
              <w:bottom w:val="single" w:sz="8" w:space="0" w:color="auto"/>
              <w:right w:val="single" w:sz="8" w:space="0" w:color="auto"/>
            </w:tcBorders>
            <w:shd w:val="clear" w:color="auto" w:fill="auto"/>
            <w:vAlign w:val="bottom"/>
          </w:tcPr>
          <w:p w14:paraId="7C1E40F9" w14:textId="77777777" w:rsidR="00A52778" w:rsidRPr="00460F9E" w:rsidRDefault="00A52778" w:rsidP="00FC3F8E">
            <w:pPr>
              <w:spacing w:line="0" w:lineRule="atLeast"/>
              <w:rPr>
                <w:rFonts w:eastAsia="Times New Roman" w:cs="Times New Roman"/>
                <w:b/>
                <w:sz w:val="7"/>
              </w:rPr>
            </w:pPr>
          </w:p>
        </w:tc>
      </w:tr>
      <w:tr w:rsidR="00A52778" w:rsidRPr="00460F9E" w14:paraId="4958C3FA" w14:textId="77777777" w:rsidTr="00FC3F8E">
        <w:trPr>
          <w:trHeight w:val="305"/>
        </w:trPr>
        <w:tc>
          <w:tcPr>
            <w:tcW w:w="380" w:type="dxa"/>
            <w:tcBorders>
              <w:left w:val="single" w:sz="8" w:space="0" w:color="auto"/>
              <w:right w:val="single" w:sz="8" w:space="0" w:color="auto"/>
            </w:tcBorders>
            <w:shd w:val="clear" w:color="auto" w:fill="auto"/>
            <w:vAlign w:val="bottom"/>
          </w:tcPr>
          <w:p w14:paraId="7AC3D25E"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b.</w:t>
            </w:r>
          </w:p>
        </w:tc>
        <w:tc>
          <w:tcPr>
            <w:tcW w:w="2580" w:type="dxa"/>
            <w:tcBorders>
              <w:right w:val="single" w:sz="8" w:space="0" w:color="auto"/>
            </w:tcBorders>
            <w:shd w:val="clear" w:color="auto" w:fill="auto"/>
            <w:vAlign w:val="bottom"/>
          </w:tcPr>
          <w:p w14:paraId="456A4B25"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Absorpsiyon</w:t>
            </w:r>
          </w:p>
        </w:tc>
        <w:tc>
          <w:tcPr>
            <w:tcW w:w="2140" w:type="dxa"/>
            <w:tcBorders>
              <w:right w:val="single" w:sz="8" w:space="0" w:color="auto"/>
            </w:tcBorders>
            <w:shd w:val="clear" w:color="auto" w:fill="auto"/>
            <w:vAlign w:val="bottom"/>
          </w:tcPr>
          <w:p w14:paraId="19D1B2F8"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660" w:type="dxa"/>
            <w:gridSpan w:val="5"/>
            <w:tcBorders>
              <w:right w:val="single" w:sz="8" w:space="0" w:color="auto"/>
            </w:tcBorders>
            <w:shd w:val="clear" w:color="auto" w:fill="auto"/>
            <w:vAlign w:val="bottom"/>
          </w:tcPr>
          <w:p w14:paraId="1CCB967C"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Genel olarak uygulanabilir.</w:t>
            </w:r>
          </w:p>
        </w:tc>
      </w:tr>
      <w:tr w:rsidR="00A52778" w:rsidRPr="00460F9E" w14:paraId="3C1BAE22" w14:textId="77777777" w:rsidTr="00FC3F8E">
        <w:trPr>
          <w:trHeight w:val="97"/>
        </w:trPr>
        <w:tc>
          <w:tcPr>
            <w:tcW w:w="380" w:type="dxa"/>
            <w:tcBorders>
              <w:left w:val="single" w:sz="8" w:space="0" w:color="auto"/>
              <w:bottom w:val="single" w:sz="8" w:space="0" w:color="auto"/>
              <w:right w:val="single" w:sz="8" w:space="0" w:color="auto"/>
            </w:tcBorders>
            <w:shd w:val="clear" w:color="auto" w:fill="auto"/>
            <w:vAlign w:val="bottom"/>
          </w:tcPr>
          <w:p w14:paraId="6D6318BF" w14:textId="77777777" w:rsidR="00A52778" w:rsidRPr="00460F9E" w:rsidRDefault="00A52778" w:rsidP="00FC3F8E">
            <w:pPr>
              <w:spacing w:line="0" w:lineRule="atLeast"/>
              <w:rPr>
                <w:rFonts w:eastAsia="Times New Roman" w:cs="Times New Roman"/>
                <w:b/>
                <w:sz w:val="8"/>
              </w:rPr>
            </w:pPr>
          </w:p>
        </w:tc>
        <w:tc>
          <w:tcPr>
            <w:tcW w:w="2580" w:type="dxa"/>
            <w:tcBorders>
              <w:bottom w:val="single" w:sz="8" w:space="0" w:color="auto"/>
              <w:right w:val="single" w:sz="8" w:space="0" w:color="auto"/>
            </w:tcBorders>
            <w:shd w:val="clear" w:color="auto" w:fill="auto"/>
            <w:vAlign w:val="bottom"/>
          </w:tcPr>
          <w:p w14:paraId="0DB949CE" w14:textId="77777777" w:rsidR="00A52778" w:rsidRPr="00460F9E" w:rsidRDefault="00A52778" w:rsidP="00FC3F8E">
            <w:pPr>
              <w:spacing w:line="0" w:lineRule="atLeast"/>
              <w:rPr>
                <w:rFonts w:eastAsia="Times New Roman" w:cs="Times New Roman"/>
                <w:b/>
                <w:sz w:val="8"/>
              </w:rPr>
            </w:pPr>
          </w:p>
        </w:tc>
        <w:tc>
          <w:tcPr>
            <w:tcW w:w="2140" w:type="dxa"/>
            <w:tcBorders>
              <w:bottom w:val="single" w:sz="8" w:space="0" w:color="auto"/>
              <w:right w:val="single" w:sz="8" w:space="0" w:color="auto"/>
            </w:tcBorders>
            <w:shd w:val="clear" w:color="auto" w:fill="auto"/>
            <w:vAlign w:val="bottom"/>
          </w:tcPr>
          <w:p w14:paraId="18512567" w14:textId="77777777" w:rsidR="00A52778" w:rsidRPr="00460F9E" w:rsidRDefault="00A52778" w:rsidP="00FC3F8E">
            <w:pPr>
              <w:spacing w:line="0" w:lineRule="atLeast"/>
              <w:rPr>
                <w:rFonts w:eastAsia="Times New Roman" w:cs="Times New Roman"/>
                <w:b/>
                <w:sz w:val="8"/>
              </w:rPr>
            </w:pPr>
          </w:p>
        </w:tc>
        <w:tc>
          <w:tcPr>
            <w:tcW w:w="3660" w:type="dxa"/>
            <w:gridSpan w:val="5"/>
            <w:tcBorders>
              <w:bottom w:val="single" w:sz="8" w:space="0" w:color="auto"/>
              <w:right w:val="single" w:sz="8" w:space="0" w:color="auto"/>
            </w:tcBorders>
            <w:shd w:val="clear" w:color="auto" w:fill="auto"/>
            <w:vAlign w:val="bottom"/>
          </w:tcPr>
          <w:p w14:paraId="7C14916B" w14:textId="77777777" w:rsidR="00A52778" w:rsidRPr="00460F9E" w:rsidRDefault="00A52778" w:rsidP="00FC3F8E">
            <w:pPr>
              <w:spacing w:line="0" w:lineRule="atLeast"/>
              <w:rPr>
                <w:rFonts w:eastAsia="Times New Roman" w:cs="Times New Roman"/>
                <w:b/>
                <w:sz w:val="8"/>
              </w:rPr>
            </w:pPr>
          </w:p>
        </w:tc>
      </w:tr>
      <w:tr w:rsidR="00A52778" w:rsidRPr="00460F9E" w14:paraId="1C24F2A3" w14:textId="77777777" w:rsidTr="00FC3F8E">
        <w:trPr>
          <w:trHeight w:val="274"/>
        </w:trPr>
        <w:tc>
          <w:tcPr>
            <w:tcW w:w="380" w:type="dxa"/>
            <w:tcBorders>
              <w:left w:val="single" w:sz="8" w:space="0" w:color="auto"/>
              <w:right w:val="single" w:sz="8" w:space="0" w:color="auto"/>
            </w:tcBorders>
            <w:shd w:val="clear" w:color="auto" w:fill="auto"/>
            <w:vAlign w:val="bottom"/>
          </w:tcPr>
          <w:p w14:paraId="0CF4165C" w14:textId="77777777" w:rsidR="00A52778" w:rsidRPr="00460F9E" w:rsidRDefault="00A52778" w:rsidP="00FC3F8E">
            <w:pPr>
              <w:spacing w:line="0" w:lineRule="atLeast"/>
              <w:rPr>
                <w:rFonts w:eastAsia="Times New Roman" w:cs="Times New Roman"/>
                <w:b/>
                <w:sz w:val="23"/>
              </w:rPr>
            </w:pPr>
          </w:p>
        </w:tc>
        <w:tc>
          <w:tcPr>
            <w:tcW w:w="2580" w:type="dxa"/>
            <w:tcBorders>
              <w:right w:val="single" w:sz="8" w:space="0" w:color="auto"/>
            </w:tcBorders>
            <w:shd w:val="clear" w:color="auto" w:fill="auto"/>
            <w:vAlign w:val="bottom"/>
          </w:tcPr>
          <w:p w14:paraId="0B0A9041" w14:textId="77777777" w:rsidR="00A52778" w:rsidRPr="00460F9E" w:rsidRDefault="00A52778" w:rsidP="00FC3F8E">
            <w:pPr>
              <w:spacing w:line="0" w:lineRule="atLeast"/>
              <w:rPr>
                <w:rFonts w:eastAsia="Times New Roman" w:cs="Times New Roman"/>
                <w:b/>
                <w:sz w:val="23"/>
              </w:rPr>
            </w:pPr>
          </w:p>
        </w:tc>
        <w:tc>
          <w:tcPr>
            <w:tcW w:w="2140" w:type="dxa"/>
            <w:tcBorders>
              <w:right w:val="single" w:sz="8" w:space="0" w:color="auto"/>
            </w:tcBorders>
            <w:shd w:val="clear" w:color="auto" w:fill="auto"/>
            <w:vAlign w:val="bottom"/>
          </w:tcPr>
          <w:p w14:paraId="2F4CD65F" w14:textId="77777777" w:rsidR="00A52778" w:rsidRPr="00460F9E" w:rsidRDefault="00A52778" w:rsidP="00FC3F8E">
            <w:pPr>
              <w:spacing w:line="0" w:lineRule="atLeast"/>
              <w:rPr>
                <w:rFonts w:eastAsia="Times New Roman" w:cs="Times New Roman"/>
                <w:b/>
                <w:sz w:val="23"/>
              </w:rPr>
            </w:pPr>
          </w:p>
        </w:tc>
        <w:tc>
          <w:tcPr>
            <w:tcW w:w="3660" w:type="dxa"/>
            <w:gridSpan w:val="5"/>
            <w:vMerge w:val="restart"/>
            <w:tcBorders>
              <w:right w:val="single" w:sz="8" w:space="0" w:color="auto"/>
            </w:tcBorders>
            <w:shd w:val="clear" w:color="auto" w:fill="auto"/>
            <w:vAlign w:val="center"/>
          </w:tcPr>
          <w:p w14:paraId="31C8BC4D"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Uygulanabilirliği atık gazlardaki katalizör  </w:t>
            </w:r>
          </w:p>
          <w:p w14:paraId="7CEC9BE1"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zehirlerinin varlığı nedeniyle kısıtlanabilir.</w:t>
            </w:r>
          </w:p>
        </w:tc>
      </w:tr>
      <w:tr w:rsidR="00A52778" w:rsidRPr="00460F9E" w14:paraId="614C6A57" w14:textId="77777777" w:rsidTr="00FC3F8E">
        <w:trPr>
          <w:trHeight w:val="230"/>
        </w:trPr>
        <w:tc>
          <w:tcPr>
            <w:tcW w:w="380" w:type="dxa"/>
            <w:tcBorders>
              <w:left w:val="single" w:sz="8" w:space="0" w:color="auto"/>
              <w:right w:val="single" w:sz="8" w:space="0" w:color="auto"/>
            </w:tcBorders>
            <w:shd w:val="clear" w:color="auto" w:fill="auto"/>
            <w:vAlign w:val="bottom"/>
          </w:tcPr>
          <w:p w14:paraId="507D2045"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c.</w:t>
            </w:r>
          </w:p>
        </w:tc>
        <w:tc>
          <w:tcPr>
            <w:tcW w:w="2580" w:type="dxa"/>
            <w:tcBorders>
              <w:right w:val="single" w:sz="8" w:space="0" w:color="auto"/>
            </w:tcBorders>
            <w:shd w:val="clear" w:color="auto" w:fill="auto"/>
            <w:vAlign w:val="bottom"/>
          </w:tcPr>
          <w:p w14:paraId="6B4BD4B9"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Katalitik oksidasyon</w:t>
            </w:r>
          </w:p>
        </w:tc>
        <w:tc>
          <w:tcPr>
            <w:tcW w:w="2140" w:type="dxa"/>
            <w:tcBorders>
              <w:right w:val="single" w:sz="8" w:space="0" w:color="auto"/>
            </w:tcBorders>
            <w:shd w:val="clear" w:color="auto" w:fill="auto"/>
            <w:vAlign w:val="bottom"/>
          </w:tcPr>
          <w:p w14:paraId="572CBF5B"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660" w:type="dxa"/>
            <w:gridSpan w:val="5"/>
            <w:vMerge/>
            <w:tcBorders>
              <w:right w:val="single" w:sz="8" w:space="0" w:color="auto"/>
            </w:tcBorders>
            <w:shd w:val="clear" w:color="auto" w:fill="auto"/>
            <w:vAlign w:val="bottom"/>
          </w:tcPr>
          <w:p w14:paraId="6AB5F387" w14:textId="77777777" w:rsidR="00A52778" w:rsidRPr="00460F9E" w:rsidRDefault="00A52778" w:rsidP="00FC3F8E">
            <w:pPr>
              <w:spacing w:line="0" w:lineRule="atLeast"/>
              <w:rPr>
                <w:rFonts w:eastAsia="Times New Roman" w:cs="Times New Roman"/>
                <w:b/>
              </w:rPr>
            </w:pPr>
          </w:p>
        </w:tc>
      </w:tr>
      <w:tr w:rsidR="00A52778" w:rsidRPr="00460F9E" w14:paraId="6F3B6E2C" w14:textId="77777777" w:rsidTr="00FC3F8E">
        <w:trPr>
          <w:trHeight w:val="230"/>
        </w:trPr>
        <w:tc>
          <w:tcPr>
            <w:tcW w:w="380" w:type="dxa"/>
            <w:tcBorders>
              <w:left w:val="single" w:sz="8" w:space="0" w:color="auto"/>
              <w:right w:val="single" w:sz="8" w:space="0" w:color="auto"/>
            </w:tcBorders>
            <w:shd w:val="clear" w:color="auto" w:fill="auto"/>
            <w:vAlign w:val="bottom"/>
          </w:tcPr>
          <w:p w14:paraId="4B9885D0" w14:textId="77777777" w:rsidR="00A52778" w:rsidRPr="00460F9E" w:rsidRDefault="00A52778" w:rsidP="00FC3F8E">
            <w:pPr>
              <w:spacing w:line="0" w:lineRule="atLeast"/>
              <w:rPr>
                <w:rFonts w:eastAsia="Times New Roman" w:cs="Times New Roman"/>
                <w:b/>
              </w:rPr>
            </w:pPr>
          </w:p>
        </w:tc>
        <w:tc>
          <w:tcPr>
            <w:tcW w:w="2580" w:type="dxa"/>
            <w:tcBorders>
              <w:right w:val="single" w:sz="8" w:space="0" w:color="auto"/>
            </w:tcBorders>
            <w:shd w:val="clear" w:color="auto" w:fill="auto"/>
            <w:vAlign w:val="bottom"/>
          </w:tcPr>
          <w:p w14:paraId="35526038" w14:textId="77777777" w:rsidR="00A52778" w:rsidRPr="00460F9E" w:rsidRDefault="00A52778" w:rsidP="00FC3F8E">
            <w:pPr>
              <w:spacing w:line="0" w:lineRule="atLeast"/>
              <w:rPr>
                <w:rFonts w:eastAsia="Times New Roman" w:cs="Times New Roman"/>
                <w:b/>
              </w:rPr>
            </w:pPr>
          </w:p>
        </w:tc>
        <w:tc>
          <w:tcPr>
            <w:tcW w:w="2140" w:type="dxa"/>
            <w:tcBorders>
              <w:right w:val="single" w:sz="8" w:space="0" w:color="auto"/>
            </w:tcBorders>
            <w:shd w:val="clear" w:color="auto" w:fill="auto"/>
            <w:vAlign w:val="bottom"/>
          </w:tcPr>
          <w:p w14:paraId="34420E26" w14:textId="77777777" w:rsidR="00A52778" w:rsidRPr="00460F9E" w:rsidRDefault="00A52778" w:rsidP="00FC3F8E">
            <w:pPr>
              <w:spacing w:line="0" w:lineRule="atLeast"/>
              <w:rPr>
                <w:rFonts w:eastAsia="Times New Roman" w:cs="Times New Roman"/>
                <w:b/>
              </w:rPr>
            </w:pPr>
          </w:p>
        </w:tc>
        <w:tc>
          <w:tcPr>
            <w:tcW w:w="3660" w:type="dxa"/>
            <w:gridSpan w:val="5"/>
            <w:vMerge/>
            <w:tcBorders>
              <w:right w:val="single" w:sz="8" w:space="0" w:color="auto"/>
            </w:tcBorders>
            <w:shd w:val="clear" w:color="auto" w:fill="auto"/>
            <w:vAlign w:val="bottom"/>
          </w:tcPr>
          <w:p w14:paraId="65259E6B" w14:textId="77777777" w:rsidR="00A52778" w:rsidRPr="00460F9E" w:rsidRDefault="00A52778" w:rsidP="00FC3F8E">
            <w:pPr>
              <w:spacing w:line="0" w:lineRule="atLeast"/>
              <w:rPr>
                <w:rFonts w:eastAsia="Times New Roman" w:cs="Times New Roman"/>
                <w:b/>
              </w:rPr>
            </w:pPr>
          </w:p>
        </w:tc>
      </w:tr>
      <w:tr w:rsidR="00A52778" w:rsidRPr="00460F9E" w14:paraId="70AB3B1F" w14:textId="77777777" w:rsidTr="00FC3F8E">
        <w:trPr>
          <w:trHeight w:val="66"/>
        </w:trPr>
        <w:tc>
          <w:tcPr>
            <w:tcW w:w="380" w:type="dxa"/>
            <w:tcBorders>
              <w:left w:val="single" w:sz="8" w:space="0" w:color="auto"/>
              <w:bottom w:val="single" w:sz="8" w:space="0" w:color="auto"/>
              <w:right w:val="single" w:sz="8" w:space="0" w:color="auto"/>
            </w:tcBorders>
            <w:shd w:val="clear" w:color="auto" w:fill="auto"/>
            <w:vAlign w:val="bottom"/>
          </w:tcPr>
          <w:p w14:paraId="55FE7F20" w14:textId="77777777" w:rsidR="00A52778" w:rsidRPr="00460F9E" w:rsidRDefault="00A52778" w:rsidP="00FC3F8E">
            <w:pPr>
              <w:spacing w:line="0" w:lineRule="atLeast"/>
              <w:rPr>
                <w:rFonts w:eastAsia="Times New Roman" w:cs="Times New Roman"/>
                <w:b/>
                <w:sz w:val="5"/>
              </w:rPr>
            </w:pPr>
          </w:p>
        </w:tc>
        <w:tc>
          <w:tcPr>
            <w:tcW w:w="2580" w:type="dxa"/>
            <w:tcBorders>
              <w:bottom w:val="single" w:sz="8" w:space="0" w:color="auto"/>
              <w:right w:val="single" w:sz="8" w:space="0" w:color="auto"/>
            </w:tcBorders>
            <w:shd w:val="clear" w:color="auto" w:fill="auto"/>
            <w:vAlign w:val="bottom"/>
          </w:tcPr>
          <w:p w14:paraId="1F5FD342" w14:textId="77777777" w:rsidR="00A52778" w:rsidRPr="00460F9E" w:rsidRDefault="00A52778" w:rsidP="00FC3F8E">
            <w:pPr>
              <w:spacing w:line="0" w:lineRule="atLeast"/>
              <w:rPr>
                <w:rFonts w:eastAsia="Times New Roman" w:cs="Times New Roman"/>
                <w:b/>
                <w:sz w:val="5"/>
              </w:rPr>
            </w:pPr>
          </w:p>
        </w:tc>
        <w:tc>
          <w:tcPr>
            <w:tcW w:w="2140" w:type="dxa"/>
            <w:tcBorders>
              <w:bottom w:val="single" w:sz="8" w:space="0" w:color="auto"/>
              <w:right w:val="single" w:sz="8" w:space="0" w:color="auto"/>
            </w:tcBorders>
            <w:shd w:val="clear" w:color="auto" w:fill="auto"/>
            <w:vAlign w:val="bottom"/>
          </w:tcPr>
          <w:p w14:paraId="3A383C48" w14:textId="77777777" w:rsidR="00A52778" w:rsidRPr="00460F9E" w:rsidRDefault="00A52778" w:rsidP="00FC3F8E">
            <w:pPr>
              <w:spacing w:line="0" w:lineRule="atLeast"/>
              <w:rPr>
                <w:rFonts w:eastAsia="Times New Roman" w:cs="Times New Roman"/>
                <w:b/>
                <w:sz w:val="5"/>
              </w:rPr>
            </w:pPr>
          </w:p>
        </w:tc>
        <w:tc>
          <w:tcPr>
            <w:tcW w:w="3660" w:type="dxa"/>
            <w:gridSpan w:val="5"/>
            <w:vMerge/>
            <w:tcBorders>
              <w:bottom w:val="single" w:sz="8" w:space="0" w:color="auto"/>
              <w:right w:val="single" w:sz="8" w:space="0" w:color="auto"/>
            </w:tcBorders>
            <w:shd w:val="clear" w:color="auto" w:fill="auto"/>
            <w:vAlign w:val="bottom"/>
          </w:tcPr>
          <w:p w14:paraId="1A6D5D91" w14:textId="77777777" w:rsidR="00A52778" w:rsidRPr="00460F9E" w:rsidRDefault="00A52778" w:rsidP="00FC3F8E">
            <w:pPr>
              <w:spacing w:line="0" w:lineRule="atLeast"/>
              <w:rPr>
                <w:rFonts w:eastAsia="Times New Roman" w:cs="Times New Roman"/>
                <w:b/>
                <w:sz w:val="5"/>
              </w:rPr>
            </w:pPr>
          </w:p>
        </w:tc>
      </w:tr>
      <w:tr w:rsidR="00A52778" w:rsidRPr="00460F9E" w14:paraId="3AA21C1E" w14:textId="77777777" w:rsidTr="00FC3F8E">
        <w:trPr>
          <w:trHeight w:val="322"/>
        </w:trPr>
        <w:tc>
          <w:tcPr>
            <w:tcW w:w="380" w:type="dxa"/>
            <w:tcBorders>
              <w:left w:val="single" w:sz="8" w:space="0" w:color="auto"/>
              <w:right w:val="single" w:sz="8" w:space="0" w:color="auto"/>
            </w:tcBorders>
            <w:shd w:val="clear" w:color="auto" w:fill="auto"/>
            <w:vAlign w:val="bottom"/>
          </w:tcPr>
          <w:p w14:paraId="7407FDFC" w14:textId="77777777" w:rsidR="00A52778" w:rsidRPr="00460F9E" w:rsidRDefault="00A52778" w:rsidP="00FC3F8E">
            <w:pPr>
              <w:spacing w:line="0" w:lineRule="atLeast"/>
              <w:ind w:left="120"/>
              <w:rPr>
                <w:rFonts w:eastAsia="Times New Roman" w:cs="Times New Roman"/>
                <w:b/>
              </w:rPr>
            </w:pPr>
            <w:r>
              <w:rPr>
                <w:rFonts w:eastAsia="Times New Roman" w:cs="Times New Roman"/>
              </w:rPr>
              <w:t>ç</w:t>
            </w:r>
            <w:r w:rsidRPr="00460F9E">
              <w:rPr>
                <w:rFonts w:eastAsia="Times New Roman" w:cs="Times New Roman"/>
              </w:rPr>
              <w:t>.</w:t>
            </w:r>
          </w:p>
        </w:tc>
        <w:tc>
          <w:tcPr>
            <w:tcW w:w="2580" w:type="dxa"/>
            <w:tcBorders>
              <w:right w:val="single" w:sz="8" w:space="0" w:color="auto"/>
            </w:tcBorders>
            <w:shd w:val="clear" w:color="auto" w:fill="auto"/>
            <w:vAlign w:val="bottom"/>
          </w:tcPr>
          <w:p w14:paraId="71A791C6"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Yoğuşturma</w:t>
            </w:r>
          </w:p>
        </w:tc>
        <w:tc>
          <w:tcPr>
            <w:tcW w:w="2140" w:type="dxa"/>
            <w:tcBorders>
              <w:right w:val="single" w:sz="8" w:space="0" w:color="auto"/>
            </w:tcBorders>
            <w:shd w:val="clear" w:color="auto" w:fill="auto"/>
            <w:vAlign w:val="bottom"/>
          </w:tcPr>
          <w:p w14:paraId="4490420E"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660" w:type="dxa"/>
            <w:gridSpan w:val="5"/>
            <w:tcBorders>
              <w:right w:val="single" w:sz="8" w:space="0" w:color="auto"/>
            </w:tcBorders>
            <w:shd w:val="clear" w:color="auto" w:fill="auto"/>
            <w:vAlign w:val="bottom"/>
          </w:tcPr>
          <w:p w14:paraId="6D42E6EE"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Genel olarak uygulanabilir.</w:t>
            </w:r>
          </w:p>
        </w:tc>
      </w:tr>
      <w:tr w:rsidR="00A52778" w:rsidRPr="00460F9E" w14:paraId="5BA3B606" w14:textId="77777777" w:rsidTr="00FC3F8E">
        <w:trPr>
          <w:trHeight w:val="114"/>
        </w:trPr>
        <w:tc>
          <w:tcPr>
            <w:tcW w:w="380" w:type="dxa"/>
            <w:tcBorders>
              <w:left w:val="single" w:sz="8" w:space="0" w:color="auto"/>
              <w:bottom w:val="single" w:sz="8" w:space="0" w:color="auto"/>
              <w:right w:val="single" w:sz="8" w:space="0" w:color="auto"/>
            </w:tcBorders>
            <w:shd w:val="clear" w:color="auto" w:fill="auto"/>
            <w:vAlign w:val="bottom"/>
          </w:tcPr>
          <w:p w14:paraId="781D74D9" w14:textId="77777777" w:rsidR="00A52778" w:rsidRPr="00460F9E" w:rsidRDefault="00A52778" w:rsidP="00FC3F8E">
            <w:pPr>
              <w:spacing w:line="0" w:lineRule="atLeast"/>
              <w:rPr>
                <w:rFonts w:eastAsia="Times New Roman" w:cs="Times New Roman"/>
                <w:b/>
                <w:sz w:val="9"/>
              </w:rPr>
            </w:pPr>
          </w:p>
        </w:tc>
        <w:tc>
          <w:tcPr>
            <w:tcW w:w="2580" w:type="dxa"/>
            <w:tcBorders>
              <w:bottom w:val="single" w:sz="8" w:space="0" w:color="auto"/>
              <w:right w:val="single" w:sz="8" w:space="0" w:color="auto"/>
            </w:tcBorders>
            <w:shd w:val="clear" w:color="auto" w:fill="auto"/>
            <w:vAlign w:val="bottom"/>
          </w:tcPr>
          <w:p w14:paraId="1D18B3C0" w14:textId="77777777" w:rsidR="00A52778" w:rsidRPr="00460F9E" w:rsidRDefault="00A52778" w:rsidP="00FC3F8E">
            <w:pPr>
              <w:spacing w:line="0" w:lineRule="atLeast"/>
              <w:rPr>
                <w:rFonts w:eastAsia="Times New Roman" w:cs="Times New Roman"/>
                <w:b/>
                <w:sz w:val="9"/>
              </w:rPr>
            </w:pPr>
          </w:p>
        </w:tc>
        <w:tc>
          <w:tcPr>
            <w:tcW w:w="2140" w:type="dxa"/>
            <w:tcBorders>
              <w:bottom w:val="single" w:sz="8" w:space="0" w:color="auto"/>
              <w:right w:val="single" w:sz="8" w:space="0" w:color="auto"/>
            </w:tcBorders>
            <w:shd w:val="clear" w:color="auto" w:fill="auto"/>
            <w:vAlign w:val="bottom"/>
          </w:tcPr>
          <w:p w14:paraId="57B49D99" w14:textId="77777777" w:rsidR="00A52778" w:rsidRPr="00460F9E" w:rsidRDefault="00A52778" w:rsidP="00FC3F8E">
            <w:pPr>
              <w:spacing w:line="0" w:lineRule="atLeast"/>
              <w:rPr>
                <w:rFonts w:eastAsia="Times New Roman" w:cs="Times New Roman"/>
                <w:b/>
                <w:sz w:val="9"/>
              </w:rPr>
            </w:pPr>
          </w:p>
        </w:tc>
        <w:tc>
          <w:tcPr>
            <w:tcW w:w="1200" w:type="dxa"/>
            <w:tcBorders>
              <w:bottom w:val="single" w:sz="8" w:space="0" w:color="auto"/>
            </w:tcBorders>
            <w:shd w:val="clear" w:color="auto" w:fill="auto"/>
            <w:vAlign w:val="bottom"/>
          </w:tcPr>
          <w:p w14:paraId="470ED00C" w14:textId="77777777" w:rsidR="00A52778" w:rsidRPr="00460F9E" w:rsidRDefault="00A52778" w:rsidP="00FC3F8E">
            <w:pPr>
              <w:spacing w:line="0" w:lineRule="atLeast"/>
              <w:rPr>
                <w:rFonts w:eastAsia="Times New Roman" w:cs="Times New Roman"/>
                <w:b/>
                <w:sz w:val="9"/>
              </w:rPr>
            </w:pPr>
          </w:p>
        </w:tc>
        <w:tc>
          <w:tcPr>
            <w:tcW w:w="660" w:type="dxa"/>
            <w:tcBorders>
              <w:bottom w:val="single" w:sz="8" w:space="0" w:color="auto"/>
            </w:tcBorders>
            <w:shd w:val="clear" w:color="auto" w:fill="auto"/>
            <w:vAlign w:val="bottom"/>
          </w:tcPr>
          <w:p w14:paraId="1E50318E" w14:textId="77777777" w:rsidR="00A52778" w:rsidRPr="00460F9E" w:rsidRDefault="00A52778" w:rsidP="00FC3F8E">
            <w:pPr>
              <w:spacing w:line="0" w:lineRule="atLeast"/>
              <w:rPr>
                <w:rFonts w:eastAsia="Times New Roman" w:cs="Times New Roman"/>
                <w:b/>
                <w:sz w:val="9"/>
              </w:rPr>
            </w:pPr>
          </w:p>
        </w:tc>
        <w:tc>
          <w:tcPr>
            <w:tcW w:w="1340" w:type="dxa"/>
            <w:gridSpan w:val="2"/>
            <w:tcBorders>
              <w:bottom w:val="single" w:sz="8" w:space="0" w:color="auto"/>
            </w:tcBorders>
            <w:shd w:val="clear" w:color="auto" w:fill="auto"/>
            <w:vAlign w:val="bottom"/>
          </w:tcPr>
          <w:p w14:paraId="0589DC39" w14:textId="77777777" w:rsidR="00A52778" w:rsidRPr="00460F9E" w:rsidRDefault="00A52778" w:rsidP="00FC3F8E">
            <w:pPr>
              <w:spacing w:line="0" w:lineRule="atLeast"/>
              <w:rPr>
                <w:rFonts w:eastAsia="Times New Roman" w:cs="Times New Roman"/>
                <w:b/>
                <w:sz w:val="9"/>
              </w:rPr>
            </w:pPr>
          </w:p>
        </w:tc>
        <w:tc>
          <w:tcPr>
            <w:tcW w:w="460" w:type="dxa"/>
            <w:tcBorders>
              <w:bottom w:val="single" w:sz="8" w:space="0" w:color="auto"/>
              <w:right w:val="single" w:sz="8" w:space="0" w:color="auto"/>
            </w:tcBorders>
            <w:shd w:val="clear" w:color="auto" w:fill="auto"/>
            <w:vAlign w:val="bottom"/>
          </w:tcPr>
          <w:p w14:paraId="14D21CB3" w14:textId="77777777" w:rsidR="00A52778" w:rsidRPr="00460F9E" w:rsidRDefault="00A52778" w:rsidP="00FC3F8E">
            <w:pPr>
              <w:spacing w:line="0" w:lineRule="atLeast"/>
              <w:rPr>
                <w:rFonts w:eastAsia="Times New Roman" w:cs="Times New Roman"/>
                <w:b/>
                <w:sz w:val="9"/>
              </w:rPr>
            </w:pPr>
          </w:p>
        </w:tc>
      </w:tr>
      <w:tr w:rsidR="00A52778" w:rsidRPr="00460F9E" w14:paraId="43C6C33C" w14:textId="77777777" w:rsidTr="00FC3F8E">
        <w:trPr>
          <w:trHeight w:val="214"/>
        </w:trPr>
        <w:tc>
          <w:tcPr>
            <w:tcW w:w="380" w:type="dxa"/>
            <w:tcBorders>
              <w:left w:val="single" w:sz="8" w:space="0" w:color="auto"/>
              <w:right w:val="single" w:sz="8" w:space="0" w:color="auto"/>
            </w:tcBorders>
            <w:shd w:val="clear" w:color="auto" w:fill="auto"/>
            <w:vAlign w:val="bottom"/>
          </w:tcPr>
          <w:p w14:paraId="328AEA75" w14:textId="77777777" w:rsidR="00A52778" w:rsidRPr="00460F9E" w:rsidRDefault="00A52778" w:rsidP="00FC3F8E">
            <w:pPr>
              <w:spacing w:line="0" w:lineRule="atLeast"/>
              <w:rPr>
                <w:rFonts w:eastAsia="Times New Roman" w:cs="Times New Roman"/>
                <w:b/>
                <w:sz w:val="18"/>
              </w:rPr>
            </w:pPr>
          </w:p>
        </w:tc>
        <w:tc>
          <w:tcPr>
            <w:tcW w:w="2580" w:type="dxa"/>
            <w:tcBorders>
              <w:right w:val="single" w:sz="8" w:space="0" w:color="auto"/>
            </w:tcBorders>
            <w:shd w:val="clear" w:color="auto" w:fill="auto"/>
            <w:vAlign w:val="bottom"/>
          </w:tcPr>
          <w:p w14:paraId="16516206" w14:textId="77777777" w:rsidR="00A52778" w:rsidRPr="00460F9E" w:rsidRDefault="00A52778" w:rsidP="00FC3F8E">
            <w:pPr>
              <w:spacing w:line="0" w:lineRule="atLeast"/>
              <w:rPr>
                <w:rFonts w:eastAsia="Times New Roman" w:cs="Times New Roman"/>
                <w:b/>
                <w:sz w:val="18"/>
              </w:rPr>
            </w:pPr>
          </w:p>
        </w:tc>
        <w:tc>
          <w:tcPr>
            <w:tcW w:w="2140" w:type="dxa"/>
            <w:tcBorders>
              <w:right w:val="single" w:sz="8" w:space="0" w:color="auto"/>
            </w:tcBorders>
            <w:shd w:val="clear" w:color="auto" w:fill="auto"/>
            <w:vAlign w:val="bottom"/>
          </w:tcPr>
          <w:p w14:paraId="4B2A39A6" w14:textId="77777777" w:rsidR="00A52778" w:rsidRPr="00460F9E" w:rsidRDefault="00A52778" w:rsidP="00FC3F8E">
            <w:pPr>
              <w:spacing w:line="0" w:lineRule="atLeast"/>
              <w:rPr>
                <w:rFonts w:eastAsia="Times New Roman" w:cs="Times New Roman"/>
                <w:b/>
                <w:sz w:val="18"/>
              </w:rPr>
            </w:pPr>
          </w:p>
        </w:tc>
        <w:tc>
          <w:tcPr>
            <w:tcW w:w="3660" w:type="dxa"/>
            <w:gridSpan w:val="5"/>
            <w:vMerge w:val="restart"/>
            <w:tcBorders>
              <w:right w:val="single" w:sz="8" w:space="0" w:color="auto"/>
            </w:tcBorders>
            <w:shd w:val="clear" w:color="auto" w:fill="auto"/>
            <w:vAlign w:val="center"/>
          </w:tcPr>
          <w:p w14:paraId="2DF27B5C" w14:textId="77777777" w:rsidR="00A52778" w:rsidRPr="00460F9E" w:rsidRDefault="00A52778" w:rsidP="00FC3F8E">
            <w:pPr>
              <w:spacing w:line="214" w:lineRule="exact"/>
              <w:ind w:right="20"/>
              <w:rPr>
                <w:rFonts w:eastAsia="Times New Roman" w:cs="Times New Roman"/>
                <w:b/>
              </w:rPr>
            </w:pPr>
            <w:r w:rsidRPr="00460F9E">
              <w:rPr>
                <w:rFonts w:eastAsia="Times New Roman" w:cs="Times New Roman"/>
              </w:rPr>
              <w:t xml:space="preserve"> Reküperatif ve rejeneratif termal</w:t>
            </w:r>
          </w:p>
          <w:p w14:paraId="4A733B08" w14:textId="77777777" w:rsidR="00A52778" w:rsidRPr="00460F9E" w:rsidRDefault="00A52778" w:rsidP="00FC3F8E">
            <w:pPr>
              <w:spacing w:line="214" w:lineRule="exact"/>
              <w:ind w:right="20"/>
              <w:rPr>
                <w:rFonts w:eastAsia="Times New Roman" w:cs="Times New Roman"/>
                <w:b/>
              </w:rPr>
            </w:pPr>
            <w:r w:rsidRPr="00460F9E">
              <w:rPr>
                <w:rFonts w:eastAsia="Times New Roman" w:cs="Times New Roman"/>
              </w:rPr>
              <w:t xml:space="preserve"> oksidasyonun mevcut olduğu tesislere      </w:t>
            </w:r>
          </w:p>
          <w:p w14:paraId="41AC8E1A" w14:textId="77777777" w:rsidR="00A52778" w:rsidRPr="00460F9E" w:rsidRDefault="00A52778" w:rsidP="00FC3F8E">
            <w:pPr>
              <w:spacing w:line="214" w:lineRule="exact"/>
              <w:ind w:right="20"/>
              <w:rPr>
                <w:rFonts w:eastAsia="Times New Roman" w:cs="Times New Roman"/>
                <w:b/>
              </w:rPr>
            </w:pPr>
            <w:r w:rsidRPr="00460F9E">
              <w:rPr>
                <w:rFonts w:eastAsia="Times New Roman" w:cs="Times New Roman"/>
              </w:rPr>
              <w:t xml:space="preserve"> uygulanabilirliği tasarım ve/veya işletme  </w:t>
            </w:r>
          </w:p>
          <w:p w14:paraId="13D46060" w14:textId="77777777" w:rsidR="00A52778" w:rsidRPr="00460F9E" w:rsidRDefault="00A52778" w:rsidP="00FC3F8E">
            <w:pPr>
              <w:spacing w:line="214" w:lineRule="exact"/>
              <w:ind w:right="20"/>
              <w:rPr>
                <w:rFonts w:eastAsia="Times New Roman" w:cs="Times New Roman"/>
                <w:b/>
              </w:rPr>
            </w:pPr>
            <w:r w:rsidRPr="00460F9E">
              <w:rPr>
                <w:rFonts w:eastAsia="Times New Roman" w:cs="Times New Roman"/>
              </w:rPr>
              <w:t xml:space="preserve"> kısıtlamaları nedeniyle kısıtlanabilir.</w:t>
            </w:r>
          </w:p>
          <w:p w14:paraId="5582100D" w14:textId="77777777" w:rsidR="00A52778" w:rsidRPr="00460F9E" w:rsidRDefault="00A52778" w:rsidP="00FC3F8E">
            <w:pPr>
              <w:spacing w:line="214" w:lineRule="exact"/>
              <w:ind w:right="20"/>
              <w:rPr>
                <w:rFonts w:eastAsia="Times New Roman" w:cs="Times New Roman"/>
                <w:b/>
              </w:rPr>
            </w:pPr>
          </w:p>
          <w:p w14:paraId="79AEA001" w14:textId="77777777" w:rsidR="00A52778" w:rsidRPr="00460F9E" w:rsidRDefault="00A52778" w:rsidP="00FC3F8E">
            <w:pPr>
              <w:spacing w:line="214" w:lineRule="exact"/>
              <w:ind w:right="20"/>
              <w:rPr>
                <w:rFonts w:eastAsia="Times New Roman" w:cs="Times New Roman"/>
                <w:b/>
              </w:rPr>
            </w:pPr>
            <w:r w:rsidRPr="00460F9E">
              <w:rPr>
                <w:rFonts w:eastAsia="Times New Roman" w:cs="Times New Roman"/>
              </w:rPr>
              <w:t xml:space="preserve"> Proses gazlarında, ilgili bileşik(ler)in düşük  </w:t>
            </w:r>
          </w:p>
          <w:p w14:paraId="3B3D4C09" w14:textId="77777777" w:rsidR="00A52778" w:rsidRPr="00460F9E" w:rsidRDefault="00A52778" w:rsidP="00FC3F8E">
            <w:pPr>
              <w:spacing w:line="214" w:lineRule="exact"/>
              <w:ind w:right="20"/>
              <w:rPr>
                <w:rFonts w:eastAsia="Times New Roman" w:cs="Times New Roman"/>
                <w:b/>
              </w:rPr>
            </w:pPr>
            <w:r w:rsidRPr="00460F9E">
              <w:rPr>
                <w:rFonts w:eastAsia="Times New Roman" w:cs="Times New Roman"/>
              </w:rPr>
              <w:t xml:space="preserve"> konsantrasyonu nedeniyle enerji talebinin </w:t>
            </w:r>
          </w:p>
          <w:p w14:paraId="399AD0E8" w14:textId="77777777" w:rsidR="00A52778" w:rsidRPr="00460F9E" w:rsidRDefault="00A52778" w:rsidP="00FC3F8E">
            <w:pPr>
              <w:spacing w:line="214" w:lineRule="exact"/>
              <w:ind w:right="20"/>
              <w:rPr>
                <w:rFonts w:eastAsia="Times New Roman" w:cs="Times New Roman"/>
                <w:b/>
              </w:rPr>
            </w:pPr>
            <w:r w:rsidRPr="00460F9E">
              <w:rPr>
                <w:rFonts w:eastAsia="Times New Roman" w:cs="Times New Roman"/>
              </w:rPr>
              <w:t xml:space="preserve"> aşırı olduğu durumlarda uygulanabilirliği </w:t>
            </w:r>
          </w:p>
          <w:p w14:paraId="034D33BE" w14:textId="77777777" w:rsidR="00A52778" w:rsidRPr="00460F9E" w:rsidRDefault="00A52778" w:rsidP="00FC3F8E">
            <w:pPr>
              <w:spacing w:line="214" w:lineRule="exact"/>
              <w:ind w:right="20"/>
              <w:rPr>
                <w:rFonts w:eastAsia="Times New Roman" w:cs="Times New Roman"/>
                <w:b/>
              </w:rPr>
            </w:pPr>
            <w:r w:rsidRPr="00460F9E">
              <w:rPr>
                <w:rFonts w:eastAsia="Times New Roman" w:cs="Times New Roman"/>
              </w:rPr>
              <w:t xml:space="preserve"> kısıtlanabilir.</w:t>
            </w:r>
          </w:p>
        </w:tc>
      </w:tr>
      <w:tr w:rsidR="00A52778" w:rsidRPr="00460F9E" w14:paraId="6189331B" w14:textId="77777777" w:rsidTr="00FC3F8E">
        <w:trPr>
          <w:trHeight w:val="228"/>
        </w:trPr>
        <w:tc>
          <w:tcPr>
            <w:tcW w:w="380" w:type="dxa"/>
            <w:tcBorders>
              <w:left w:val="single" w:sz="8" w:space="0" w:color="auto"/>
              <w:right w:val="single" w:sz="8" w:space="0" w:color="auto"/>
            </w:tcBorders>
            <w:shd w:val="clear" w:color="auto" w:fill="auto"/>
            <w:vAlign w:val="bottom"/>
          </w:tcPr>
          <w:p w14:paraId="3B3CAC04" w14:textId="77777777" w:rsidR="00A52778" w:rsidRPr="00460F9E" w:rsidRDefault="00A52778" w:rsidP="00FC3F8E">
            <w:pPr>
              <w:spacing w:line="0" w:lineRule="atLeast"/>
              <w:rPr>
                <w:rFonts w:eastAsia="Times New Roman" w:cs="Times New Roman"/>
                <w:b/>
                <w:sz w:val="19"/>
              </w:rPr>
            </w:pPr>
          </w:p>
        </w:tc>
        <w:tc>
          <w:tcPr>
            <w:tcW w:w="2580" w:type="dxa"/>
            <w:tcBorders>
              <w:right w:val="single" w:sz="8" w:space="0" w:color="auto"/>
            </w:tcBorders>
            <w:shd w:val="clear" w:color="auto" w:fill="auto"/>
            <w:vAlign w:val="bottom"/>
          </w:tcPr>
          <w:p w14:paraId="219FF06B" w14:textId="77777777" w:rsidR="00A52778" w:rsidRPr="00460F9E" w:rsidRDefault="00A52778" w:rsidP="00FC3F8E">
            <w:pPr>
              <w:spacing w:line="0" w:lineRule="atLeast"/>
              <w:rPr>
                <w:rFonts w:eastAsia="Times New Roman" w:cs="Times New Roman"/>
                <w:b/>
                <w:sz w:val="19"/>
              </w:rPr>
            </w:pPr>
          </w:p>
        </w:tc>
        <w:tc>
          <w:tcPr>
            <w:tcW w:w="2140" w:type="dxa"/>
            <w:tcBorders>
              <w:right w:val="single" w:sz="8" w:space="0" w:color="auto"/>
            </w:tcBorders>
            <w:shd w:val="clear" w:color="auto" w:fill="auto"/>
            <w:vAlign w:val="bottom"/>
          </w:tcPr>
          <w:p w14:paraId="0FD6FFFB" w14:textId="77777777" w:rsidR="00A52778" w:rsidRPr="00460F9E" w:rsidRDefault="00A52778" w:rsidP="00FC3F8E">
            <w:pPr>
              <w:spacing w:line="0" w:lineRule="atLeast"/>
              <w:rPr>
                <w:rFonts w:eastAsia="Times New Roman" w:cs="Times New Roman"/>
                <w:b/>
                <w:sz w:val="19"/>
              </w:rPr>
            </w:pPr>
          </w:p>
        </w:tc>
        <w:tc>
          <w:tcPr>
            <w:tcW w:w="3660" w:type="dxa"/>
            <w:gridSpan w:val="5"/>
            <w:vMerge/>
            <w:tcBorders>
              <w:right w:val="single" w:sz="8" w:space="0" w:color="auto"/>
            </w:tcBorders>
            <w:shd w:val="clear" w:color="auto" w:fill="auto"/>
            <w:vAlign w:val="bottom"/>
          </w:tcPr>
          <w:p w14:paraId="4627021F" w14:textId="77777777" w:rsidR="00A52778" w:rsidRPr="00460F9E" w:rsidRDefault="00A52778" w:rsidP="00FC3F8E">
            <w:pPr>
              <w:spacing w:line="228" w:lineRule="exact"/>
              <w:ind w:left="80"/>
              <w:rPr>
                <w:rFonts w:eastAsia="Times New Roman" w:cs="Times New Roman"/>
                <w:b/>
              </w:rPr>
            </w:pPr>
          </w:p>
        </w:tc>
      </w:tr>
      <w:tr w:rsidR="00A52778" w:rsidRPr="00460F9E" w14:paraId="390C018F" w14:textId="77777777" w:rsidTr="00FC3F8E">
        <w:trPr>
          <w:trHeight w:val="231"/>
        </w:trPr>
        <w:tc>
          <w:tcPr>
            <w:tcW w:w="380" w:type="dxa"/>
            <w:tcBorders>
              <w:left w:val="single" w:sz="8" w:space="0" w:color="auto"/>
              <w:right w:val="single" w:sz="8" w:space="0" w:color="auto"/>
            </w:tcBorders>
            <w:shd w:val="clear" w:color="auto" w:fill="auto"/>
            <w:vAlign w:val="bottom"/>
          </w:tcPr>
          <w:p w14:paraId="677A7676" w14:textId="77777777" w:rsidR="00A52778" w:rsidRPr="00460F9E" w:rsidRDefault="00A52778" w:rsidP="00FC3F8E">
            <w:pPr>
              <w:spacing w:line="0" w:lineRule="atLeast"/>
              <w:rPr>
                <w:rFonts w:eastAsia="Times New Roman" w:cs="Times New Roman"/>
                <w:b/>
              </w:rPr>
            </w:pPr>
          </w:p>
        </w:tc>
        <w:tc>
          <w:tcPr>
            <w:tcW w:w="2580" w:type="dxa"/>
            <w:tcBorders>
              <w:right w:val="single" w:sz="8" w:space="0" w:color="auto"/>
            </w:tcBorders>
            <w:shd w:val="clear" w:color="auto" w:fill="auto"/>
            <w:vAlign w:val="bottom"/>
          </w:tcPr>
          <w:p w14:paraId="601F7D09" w14:textId="77777777" w:rsidR="00A52778" w:rsidRPr="00460F9E" w:rsidRDefault="00A52778" w:rsidP="00FC3F8E">
            <w:pPr>
              <w:spacing w:line="0" w:lineRule="atLeast"/>
              <w:rPr>
                <w:rFonts w:eastAsia="Times New Roman" w:cs="Times New Roman"/>
                <w:b/>
              </w:rPr>
            </w:pPr>
          </w:p>
        </w:tc>
        <w:tc>
          <w:tcPr>
            <w:tcW w:w="2140" w:type="dxa"/>
            <w:tcBorders>
              <w:right w:val="single" w:sz="8" w:space="0" w:color="auto"/>
            </w:tcBorders>
            <w:shd w:val="clear" w:color="auto" w:fill="auto"/>
            <w:vAlign w:val="bottom"/>
          </w:tcPr>
          <w:p w14:paraId="330C98E3" w14:textId="77777777" w:rsidR="00A52778" w:rsidRPr="00460F9E" w:rsidRDefault="00A52778" w:rsidP="00FC3F8E">
            <w:pPr>
              <w:spacing w:line="0" w:lineRule="atLeast"/>
              <w:rPr>
                <w:rFonts w:eastAsia="Times New Roman" w:cs="Times New Roman"/>
                <w:b/>
              </w:rPr>
            </w:pPr>
          </w:p>
        </w:tc>
        <w:tc>
          <w:tcPr>
            <w:tcW w:w="3660" w:type="dxa"/>
            <w:gridSpan w:val="5"/>
            <w:vMerge/>
            <w:tcBorders>
              <w:right w:val="single" w:sz="8" w:space="0" w:color="auto"/>
            </w:tcBorders>
            <w:shd w:val="clear" w:color="auto" w:fill="auto"/>
            <w:vAlign w:val="bottom"/>
          </w:tcPr>
          <w:p w14:paraId="05521569" w14:textId="77777777" w:rsidR="00A52778" w:rsidRPr="00460F9E" w:rsidRDefault="00A52778" w:rsidP="00FC3F8E">
            <w:pPr>
              <w:spacing w:line="0" w:lineRule="atLeast"/>
              <w:ind w:left="80"/>
              <w:rPr>
                <w:rFonts w:eastAsia="Times New Roman" w:cs="Times New Roman"/>
                <w:b/>
              </w:rPr>
            </w:pPr>
          </w:p>
        </w:tc>
      </w:tr>
      <w:tr w:rsidR="00A52778" w:rsidRPr="00460F9E" w14:paraId="5C8673F4" w14:textId="77777777" w:rsidTr="00FC3F8E">
        <w:trPr>
          <w:trHeight w:val="345"/>
        </w:trPr>
        <w:tc>
          <w:tcPr>
            <w:tcW w:w="380" w:type="dxa"/>
            <w:tcBorders>
              <w:left w:val="single" w:sz="8" w:space="0" w:color="auto"/>
              <w:bottom w:val="nil"/>
              <w:right w:val="single" w:sz="8" w:space="0" w:color="auto"/>
            </w:tcBorders>
            <w:shd w:val="clear" w:color="auto" w:fill="auto"/>
            <w:vAlign w:val="bottom"/>
          </w:tcPr>
          <w:p w14:paraId="1CA4AF6E" w14:textId="77777777" w:rsidR="00A52778" w:rsidRPr="00460F9E" w:rsidRDefault="00A52778" w:rsidP="00FC3F8E">
            <w:pPr>
              <w:spacing w:line="0" w:lineRule="atLeast"/>
              <w:ind w:left="120"/>
              <w:rPr>
                <w:rFonts w:eastAsia="Times New Roman" w:cs="Times New Roman"/>
                <w:b/>
              </w:rPr>
            </w:pPr>
            <w:r>
              <w:rPr>
                <w:rFonts w:eastAsia="Times New Roman" w:cs="Times New Roman"/>
              </w:rPr>
              <w:t>d</w:t>
            </w:r>
            <w:r w:rsidRPr="00460F9E">
              <w:rPr>
                <w:rFonts w:eastAsia="Times New Roman" w:cs="Times New Roman"/>
              </w:rPr>
              <w:t>.</w:t>
            </w:r>
          </w:p>
        </w:tc>
        <w:tc>
          <w:tcPr>
            <w:tcW w:w="2580" w:type="dxa"/>
            <w:tcBorders>
              <w:bottom w:val="nil"/>
              <w:right w:val="single" w:sz="8" w:space="0" w:color="auto"/>
            </w:tcBorders>
            <w:shd w:val="clear" w:color="auto" w:fill="auto"/>
            <w:vAlign w:val="bottom"/>
          </w:tcPr>
          <w:p w14:paraId="74EAD8B0"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Termal oksidasyon</w:t>
            </w:r>
          </w:p>
        </w:tc>
        <w:tc>
          <w:tcPr>
            <w:tcW w:w="2140" w:type="dxa"/>
            <w:tcBorders>
              <w:bottom w:val="nil"/>
              <w:right w:val="single" w:sz="8" w:space="0" w:color="auto"/>
            </w:tcBorders>
            <w:shd w:val="clear" w:color="auto" w:fill="auto"/>
            <w:vAlign w:val="bottom"/>
          </w:tcPr>
          <w:p w14:paraId="7087CDF2"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660" w:type="dxa"/>
            <w:gridSpan w:val="5"/>
            <w:vMerge/>
            <w:tcBorders>
              <w:bottom w:val="nil"/>
              <w:right w:val="single" w:sz="8" w:space="0" w:color="auto"/>
            </w:tcBorders>
            <w:shd w:val="clear" w:color="auto" w:fill="auto"/>
            <w:vAlign w:val="bottom"/>
          </w:tcPr>
          <w:p w14:paraId="24F4C06A" w14:textId="77777777" w:rsidR="00A52778" w:rsidRPr="00460F9E" w:rsidRDefault="00A52778" w:rsidP="00FC3F8E">
            <w:pPr>
              <w:spacing w:line="0" w:lineRule="atLeast"/>
              <w:rPr>
                <w:rFonts w:eastAsia="Times New Roman" w:cs="Times New Roman"/>
                <w:b/>
              </w:rPr>
            </w:pPr>
          </w:p>
        </w:tc>
      </w:tr>
      <w:tr w:rsidR="00A52778" w:rsidRPr="00460F9E" w14:paraId="39EF29F4" w14:textId="77777777" w:rsidTr="00FC3F8E">
        <w:trPr>
          <w:trHeight w:val="115"/>
        </w:trPr>
        <w:tc>
          <w:tcPr>
            <w:tcW w:w="380" w:type="dxa"/>
            <w:tcBorders>
              <w:left w:val="single" w:sz="8" w:space="0" w:color="auto"/>
              <w:right w:val="single" w:sz="8" w:space="0" w:color="auto"/>
            </w:tcBorders>
            <w:shd w:val="clear" w:color="auto" w:fill="auto"/>
            <w:vAlign w:val="bottom"/>
          </w:tcPr>
          <w:p w14:paraId="2D1B427D" w14:textId="77777777" w:rsidR="00A52778" w:rsidRPr="00460F9E" w:rsidRDefault="00A52778" w:rsidP="00FC3F8E">
            <w:pPr>
              <w:spacing w:line="0" w:lineRule="atLeast"/>
              <w:rPr>
                <w:rFonts w:eastAsia="Times New Roman" w:cs="Times New Roman"/>
                <w:b/>
                <w:sz w:val="10"/>
              </w:rPr>
            </w:pPr>
          </w:p>
        </w:tc>
        <w:tc>
          <w:tcPr>
            <w:tcW w:w="2580" w:type="dxa"/>
            <w:tcBorders>
              <w:right w:val="single" w:sz="8" w:space="0" w:color="auto"/>
            </w:tcBorders>
            <w:shd w:val="clear" w:color="auto" w:fill="auto"/>
            <w:vAlign w:val="bottom"/>
          </w:tcPr>
          <w:p w14:paraId="09D29001" w14:textId="77777777" w:rsidR="00A52778" w:rsidRPr="00460F9E" w:rsidRDefault="00A52778" w:rsidP="00FC3F8E">
            <w:pPr>
              <w:spacing w:line="0" w:lineRule="atLeast"/>
              <w:rPr>
                <w:rFonts w:eastAsia="Times New Roman" w:cs="Times New Roman"/>
                <w:b/>
                <w:sz w:val="10"/>
              </w:rPr>
            </w:pPr>
          </w:p>
        </w:tc>
        <w:tc>
          <w:tcPr>
            <w:tcW w:w="2140" w:type="dxa"/>
            <w:tcBorders>
              <w:right w:val="single" w:sz="8" w:space="0" w:color="auto"/>
            </w:tcBorders>
            <w:shd w:val="clear" w:color="auto" w:fill="auto"/>
            <w:vAlign w:val="bottom"/>
          </w:tcPr>
          <w:p w14:paraId="6DEB1AA0" w14:textId="77777777" w:rsidR="00A52778" w:rsidRPr="00460F9E" w:rsidRDefault="00A52778" w:rsidP="00FC3F8E">
            <w:pPr>
              <w:spacing w:line="0" w:lineRule="atLeast"/>
              <w:rPr>
                <w:rFonts w:eastAsia="Times New Roman" w:cs="Times New Roman"/>
                <w:b/>
                <w:sz w:val="10"/>
              </w:rPr>
            </w:pPr>
          </w:p>
        </w:tc>
        <w:tc>
          <w:tcPr>
            <w:tcW w:w="3660" w:type="dxa"/>
            <w:gridSpan w:val="5"/>
            <w:vMerge/>
            <w:tcBorders>
              <w:right w:val="single" w:sz="8" w:space="0" w:color="auto"/>
            </w:tcBorders>
            <w:shd w:val="clear" w:color="auto" w:fill="auto"/>
            <w:vAlign w:val="bottom"/>
          </w:tcPr>
          <w:p w14:paraId="6F696907" w14:textId="77777777" w:rsidR="00A52778" w:rsidRPr="00460F9E" w:rsidRDefault="00A52778" w:rsidP="00FC3F8E">
            <w:pPr>
              <w:spacing w:line="0" w:lineRule="atLeast"/>
              <w:rPr>
                <w:rFonts w:eastAsia="Times New Roman" w:cs="Times New Roman"/>
                <w:b/>
                <w:sz w:val="10"/>
              </w:rPr>
            </w:pPr>
          </w:p>
        </w:tc>
      </w:tr>
      <w:tr w:rsidR="00A52778" w:rsidRPr="00460F9E" w14:paraId="143FCFCD" w14:textId="77777777" w:rsidTr="00FC3F8E">
        <w:trPr>
          <w:trHeight w:val="230"/>
        </w:trPr>
        <w:tc>
          <w:tcPr>
            <w:tcW w:w="380" w:type="dxa"/>
            <w:tcBorders>
              <w:left w:val="single" w:sz="8" w:space="0" w:color="auto"/>
              <w:right w:val="single" w:sz="8" w:space="0" w:color="auto"/>
            </w:tcBorders>
            <w:shd w:val="clear" w:color="auto" w:fill="auto"/>
            <w:vAlign w:val="bottom"/>
          </w:tcPr>
          <w:p w14:paraId="27294B96" w14:textId="77777777" w:rsidR="00A52778" w:rsidRPr="00460F9E" w:rsidRDefault="00A52778" w:rsidP="00FC3F8E">
            <w:pPr>
              <w:spacing w:line="0" w:lineRule="atLeast"/>
              <w:rPr>
                <w:rFonts w:eastAsia="Times New Roman" w:cs="Times New Roman"/>
                <w:b/>
              </w:rPr>
            </w:pPr>
          </w:p>
        </w:tc>
        <w:tc>
          <w:tcPr>
            <w:tcW w:w="2580" w:type="dxa"/>
            <w:tcBorders>
              <w:right w:val="single" w:sz="8" w:space="0" w:color="auto"/>
            </w:tcBorders>
            <w:shd w:val="clear" w:color="auto" w:fill="auto"/>
            <w:vAlign w:val="bottom"/>
          </w:tcPr>
          <w:p w14:paraId="76457A14" w14:textId="77777777" w:rsidR="00A52778" w:rsidRPr="00460F9E" w:rsidRDefault="00A52778" w:rsidP="00FC3F8E">
            <w:pPr>
              <w:spacing w:line="0" w:lineRule="atLeast"/>
              <w:rPr>
                <w:rFonts w:eastAsia="Times New Roman" w:cs="Times New Roman"/>
                <w:b/>
              </w:rPr>
            </w:pPr>
          </w:p>
        </w:tc>
        <w:tc>
          <w:tcPr>
            <w:tcW w:w="2140" w:type="dxa"/>
            <w:tcBorders>
              <w:right w:val="single" w:sz="8" w:space="0" w:color="auto"/>
            </w:tcBorders>
            <w:shd w:val="clear" w:color="auto" w:fill="auto"/>
            <w:vAlign w:val="bottom"/>
          </w:tcPr>
          <w:p w14:paraId="62694122" w14:textId="77777777" w:rsidR="00A52778" w:rsidRPr="00460F9E" w:rsidRDefault="00A52778" w:rsidP="00FC3F8E">
            <w:pPr>
              <w:spacing w:line="0" w:lineRule="atLeast"/>
              <w:rPr>
                <w:rFonts w:eastAsia="Times New Roman" w:cs="Times New Roman"/>
                <w:b/>
              </w:rPr>
            </w:pPr>
          </w:p>
        </w:tc>
        <w:tc>
          <w:tcPr>
            <w:tcW w:w="3660" w:type="dxa"/>
            <w:gridSpan w:val="5"/>
            <w:vMerge/>
            <w:tcBorders>
              <w:right w:val="single" w:sz="8" w:space="0" w:color="auto"/>
            </w:tcBorders>
            <w:shd w:val="clear" w:color="auto" w:fill="auto"/>
            <w:vAlign w:val="bottom"/>
          </w:tcPr>
          <w:p w14:paraId="7AF49688" w14:textId="77777777" w:rsidR="00A52778" w:rsidRPr="00460F9E" w:rsidRDefault="00A52778" w:rsidP="00FC3F8E">
            <w:pPr>
              <w:spacing w:line="0" w:lineRule="atLeast"/>
              <w:ind w:left="80"/>
              <w:rPr>
                <w:rFonts w:eastAsia="Times New Roman" w:cs="Times New Roman"/>
                <w:b/>
              </w:rPr>
            </w:pPr>
          </w:p>
        </w:tc>
      </w:tr>
      <w:tr w:rsidR="00A52778" w:rsidRPr="00460F9E" w14:paraId="4D0036F3" w14:textId="77777777" w:rsidTr="00FC3F8E">
        <w:trPr>
          <w:trHeight w:val="230"/>
        </w:trPr>
        <w:tc>
          <w:tcPr>
            <w:tcW w:w="380" w:type="dxa"/>
            <w:tcBorders>
              <w:left w:val="single" w:sz="8" w:space="0" w:color="auto"/>
              <w:right w:val="single" w:sz="8" w:space="0" w:color="auto"/>
            </w:tcBorders>
            <w:shd w:val="clear" w:color="auto" w:fill="auto"/>
            <w:vAlign w:val="bottom"/>
          </w:tcPr>
          <w:p w14:paraId="6F13B0A1" w14:textId="77777777" w:rsidR="00A52778" w:rsidRPr="00460F9E" w:rsidRDefault="00A52778" w:rsidP="00FC3F8E">
            <w:pPr>
              <w:spacing w:line="0" w:lineRule="atLeast"/>
              <w:rPr>
                <w:rFonts w:eastAsia="Times New Roman" w:cs="Times New Roman"/>
                <w:b/>
              </w:rPr>
            </w:pPr>
          </w:p>
        </w:tc>
        <w:tc>
          <w:tcPr>
            <w:tcW w:w="2580" w:type="dxa"/>
            <w:tcBorders>
              <w:right w:val="single" w:sz="8" w:space="0" w:color="auto"/>
            </w:tcBorders>
            <w:shd w:val="clear" w:color="auto" w:fill="auto"/>
            <w:vAlign w:val="bottom"/>
          </w:tcPr>
          <w:p w14:paraId="616C036D" w14:textId="77777777" w:rsidR="00A52778" w:rsidRPr="00460F9E" w:rsidRDefault="00A52778" w:rsidP="00FC3F8E">
            <w:pPr>
              <w:spacing w:line="0" w:lineRule="atLeast"/>
              <w:rPr>
                <w:rFonts w:eastAsia="Times New Roman" w:cs="Times New Roman"/>
                <w:b/>
              </w:rPr>
            </w:pPr>
          </w:p>
        </w:tc>
        <w:tc>
          <w:tcPr>
            <w:tcW w:w="2140" w:type="dxa"/>
            <w:tcBorders>
              <w:right w:val="single" w:sz="8" w:space="0" w:color="auto"/>
            </w:tcBorders>
            <w:shd w:val="clear" w:color="auto" w:fill="auto"/>
            <w:vAlign w:val="bottom"/>
          </w:tcPr>
          <w:p w14:paraId="07CC5F04" w14:textId="77777777" w:rsidR="00A52778" w:rsidRPr="00460F9E" w:rsidRDefault="00A52778" w:rsidP="00FC3F8E">
            <w:pPr>
              <w:spacing w:line="0" w:lineRule="atLeast"/>
              <w:rPr>
                <w:rFonts w:eastAsia="Times New Roman" w:cs="Times New Roman"/>
                <w:b/>
              </w:rPr>
            </w:pPr>
          </w:p>
        </w:tc>
        <w:tc>
          <w:tcPr>
            <w:tcW w:w="3660" w:type="dxa"/>
            <w:gridSpan w:val="5"/>
            <w:vMerge/>
            <w:tcBorders>
              <w:right w:val="single" w:sz="8" w:space="0" w:color="auto"/>
            </w:tcBorders>
            <w:shd w:val="clear" w:color="auto" w:fill="auto"/>
            <w:vAlign w:val="bottom"/>
          </w:tcPr>
          <w:p w14:paraId="4665DDF1" w14:textId="77777777" w:rsidR="00A52778" w:rsidRPr="00460F9E" w:rsidRDefault="00A52778" w:rsidP="00FC3F8E">
            <w:pPr>
              <w:spacing w:line="0" w:lineRule="atLeast"/>
              <w:ind w:right="20"/>
              <w:jc w:val="right"/>
              <w:rPr>
                <w:rFonts w:eastAsia="Times New Roman" w:cs="Times New Roman"/>
                <w:b/>
              </w:rPr>
            </w:pPr>
          </w:p>
        </w:tc>
      </w:tr>
      <w:tr w:rsidR="00A52778" w:rsidRPr="00460F9E" w14:paraId="5B84135F" w14:textId="77777777" w:rsidTr="00FC3F8E">
        <w:trPr>
          <w:trHeight w:val="231"/>
        </w:trPr>
        <w:tc>
          <w:tcPr>
            <w:tcW w:w="380" w:type="dxa"/>
            <w:tcBorders>
              <w:left w:val="single" w:sz="8" w:space="0" w:color="auto"/>
              <w:bottom w:val="single" w:sz="8" w:space="0" w:color="auto"/>
              <w:right w:val="single" w:sz="8" w:space="0" w:color="auto"/>
            </w:tcBorders>
            <w:shd w:val="clear" w:color="auto" w:fill="auto"/>
            <w:vAlign w:val="bottom"/>
          </w:tcPr>
          <w:p w14:paraId="1C48DE4C" w14:textId="77777777" w:rsidR="00A52778" w:rsidRPr="00460F9E" w:rsidRDefault="00A52778" w:rsidP="00FC3F8E">
            <w:pPr>
              <w:spacing w:line="0" w:lineRule="atLeast"/>
              <w:rPr>
                <w:rFonts w:eastAsia="Times New Roman" w:cs="Times New Roman"/>
                <w:b/>
              </w:rPr>
            </w:pPr>
          </w:p>
        </w:tc>
        <w:tc>
          <w:tcPr>
            <w:tcW w:w="2580" w:type="dxa"/>
            <w:tcBorders>
              <w:bottom w:val="single" w:sz="8" w:space="0" w:color="auto"/>
              <w:right w:val="single" w:sz="8" w:space="0" w:color="auto"/>
            </w:tcBorders>
            <w:shd w:val="clear" w:color="auto" w:fill="auto"/>
            <w:vAlign w:val="bottom"/>
          </w:tcPr>
          <w:p w14:paraId="3284D12B" w14:textId="77777777" w:rsidR="00A52778" w:rsidRPr="00460F9E" w:rsidRDefault="00A52778" w:rsidP="00FC3F8E">
            <w:pPr>
              <w:spacing w:line="0" w:lineRule="atLeast"/>
              <w:rPr>
                <w:rFonts w:eastAsia="Times New Roman" w:cs="Times New Roman"/>
                <w:b/>
              </w:rPr>
            </w:pPr>
          </w:p>
        </w:tc>
        <w:tc>
          <w:tcPr>
            <w:tcW w:w="2140" w:type="dxa"/>
            <w:tcBorders>
              <w:bottom w:val="single" w:sz="8" w:space="0" w:color="auto"/>
              <w:right w:val="single" w:sz="8" w:space="0" w:color="auto"/>
            </w:tcBorders>
            <w:shd w:val="clear" w:color="auto" w:fill="auto"/>
            <w:vAlign w:val="bottom"/>
          </w:tcPr>
          <w:p w14:paraId="2C592402" w14:textId="77777777" w:rsidR="00A52778" w:rsidRPr="00460F9E" w:rsidRDefault="00A52778" w:rsidP="00FC3F8E">
            <w:pPr>
              <w:spacing w:line="0" w:lineRule="atLeast"/>
              <w:rPr>
                <w:rFonts w:eastAsia="Times New Roman" w:cs="Times New Roman"/>
                <w:b/>
              </w:rPr>
            </w:pPr>
          </w:p>
        </w:tc>
        <w:tc>
          <w:tcPr>
            <w:tcW w:w="3660" w:type="dxa"/>
            <w:gridSpan w:val="5"/>
            <w:vMerge/>
            <w:tcBorders>
              <w:bottom w:val="single" w:sz="8" w:space="0" w:color="auto"/>
              <w:right w:val="single" w:sz="8" w:space="0" w:color="auto"/>
            </w:tcBorders>
            <w:shd w:val="clear" w:color="auto" w:fill="auto"/>
            <w:vAlign w:val="bottom"/>
          </w:tcPr>
          <w:p w14:paraId="72C71BD8" w14:textId="77777777" w:rsidR="00A52778" w:rsidRPr="00460F9E" w:rsidRDefault="00A52778" w:rsidP="00FC3F8E">
            <w:pPr>
              <w:spacing w:line="0" w:lineRule="atLeast"/>
              <w:rPr>
                <w:rFonts w:eastAsia="Times New Roman" w:cs="Times New Roman"/>
                <w:b/>
              </w:rPr>
            </w:pPr>
          </w:p>
        </w:tc>
      </w:tr>
      <w:tr w:rsidR="00A52778" w:rsidRPr="00460F9E" w14:paraId="13CAE089" w14:textId="77777777" w:rsidTr="00FC3F8E">
        <w:trPr>
          <w:trHeight w:val="385"/>
        </w:trPr>
        <w:tc>
          <w:tcPr>
            <w:tcW w:w="380" w:type="dxa"/>
            <w:tcBorders>
              <w:left w:val="single" w:sz="8" w:space="0" w:color="auto"/>
              <w:bottom w:val="nil"/>
              <w:right w:val="single" w:sz="8" w:space="0" w:color="auto"/>
            </w:tcBorders>
            <w:shd w:val="clear" w:color="auto" w:fill="auto"/>
            <w:vAlign w:val="bottom"/>
          </w:tcPr>
          <w:p w14:paraId="74E7FE8C" w14:textId="77777777" w:rsidR="00A52778" w:rsidRPr="00460F9E" w:rsidRDefault="00A52778" w:rsidP="00FC3F8E">
            <w:pPr>
              <w:spacing w:line="0" w:lineRule="atLeast"/>
              <w:ind w:left="120"/>
              <w:rPr>
                <w:rFonts w:eastAsia="Times New Roman" w:cs="Times New Roman"/>
                <w:b/>
              </w:rPr>
            </w:pPr>
            <w:r>
              <w:rPr>
                <w:rFonts w:eastAsia="Times New Roman" w:cs="Times New Roman"/>
              </w:rPr>
              <w:t>e</w:t>
            </w:r>
            <w:r w:rsidRPr="00460F9E">
              <w:rPr>
                <w:rFonts w:eastAsia="Times New Roman" w:cs="Times New Roman"/>
              </w:rPr>
              <w:t>.</w:t>
            </w:r>
          </w:p>
        </w:tc>
        <w:tc>
          <w:tcPr>
            <w:tcW w:w="2580" w:type="dxa"/>
            <w:tcBorders>
              <w:bottom w:val="nil"/>
              <w:right w:val="single" w:sz="8" w:space="0" w:color="auto"/>
            </w:tcBorders>
            <w:shd w:val="clear" w:color="auto" w:fill="auto"/>
            <w:vAlign w:val="bottom"/>
          </w:tcPr>
          <w:p w14:paraId="031D354D"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Biyoprosesler</w:t>
            </w:r>
          </w:p>
        </w:tc>
        <w:tc>
          <w:tcPr>
            <w:tcW w:w="2140" w:type="dxa"/>
            <w:tcBorders>
              <w:bottom w:val="nil"/>
              <w:right w:val="single" w:sz="8" w:space="0" w:color="auto"/>
            </w:tcBorders>
            <w:shd w:val="clear" w:color="auto" w:fill="auto"/>
            <w:vAlign w:val="bottom"/>
          </w:tcPr>
          <w:p w14:paraId="129288F1"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660" w:type="dxa"/>
            <w:gridSpan w:val="5"/>
            <w:vMerge w:val="restart"/>
            <w:tcBorders>
              <w:bottom w:val="nil"/>
              <w:right w:val="single" w:sz="8" w:space="0" w:color="auto"/>
            </w:tcBorders>
            <w:shd w:val="clear" w:color="auto" w:fill="auto"/>
            <w:vAlign w:val="center"/>
          </w:tcPr>
          <w:p w14:paraId="1A9C4159" w14:textId="77777777" w:rsidR="00A52778" w:rsidRPr="00460F9E" w:rsidRDefault="00A52778" w:rsidP="00FC3F8E">
            <w:pPr>
              <w:spacing w:line="0" w:lineRule="atLeast"/>
              <w:ind w:right="20"/>
              <w:rPr>
                <w:rFonts w:eastAsia="Times New Roman" w:cs="Times New Roman"/>
                <w:b/>
              </w:rPr>
            </w:pPr>
            <w:r w:rsidRPr="00460F9E">
              <w:rPr>
                <w:rFonts w:eastAsia="Times New Roman" w:cs="Times New Roman"/>
              </w:rPr>
              <w:t xml:space="preserve"> Sadece biyolojik olarak parçalanabilen </w:t>
            </w:r>
          </w:p>
          <w:p w14:paraId="7783BBDC" w14:textId="77777777" w:rsidR="00A52778" w:rsidRPr="00460F9E" w:rsidRDefault="00A52778" w:rsidP="00FC3F8E">
            <w:pPr>
              <w:spacing w:line="0" w:lineRule="atLeast"/>
              <w:ind w:right="20"/>
              <w:rPr>
                <w:rFonts w:eastAsia="Times New Roman" w:cs="Times New Roman"/>
                <w:b/>
              </w:rPr>
            </w:pPr>
            <w:r w:rsidRPr="00460F9E">
              <w:rPr>
                <w:rFonts w:eastAsia="Times New Roman" w:cs="Times New Roman"/>
              </w:rPr>
              <w:t xml:space="preserve"> bileşiklerin arıtılması için geçerlidir.</w:t>
            </w:r>
          </w:p>
        </w:tc>
      </w:tr>
      <w:tr w:rsidR="00A52778" w:rsidRPr="00460F9E" w14:paraId="0D29453C" w14:textId="77777777" w:rsidTr="00FC3F8E">
        <w:trPr>
          <w:trHeight w:val="115"/>
        </w:trPr>
        <w:tc>
          <w:tcPr>
            <w:tcW w:w="380" w:type="dxa"/>
            <w:tcBorders>
              <w:left w:val="single" w:sz="8" w:space="0" w:color="auto"/>
              <w:right w:val="single" w:sz="8" w:space="0" w:color="auto"/>
            </w:tcBorders>
            <w:shd w:val="clear" w:color="auto" w:fill="auto"/>
            <w:vAlign w:val="bottom"/>
          </w:tcPr>
          <w:p w14:paraId="691493C0" w14:textId="77777777" w:rsidR="00A52778" w:rsidRPr="00460F9E" w:rsidRDefault="00A52778" w:rsidP="00FC3F8E">
            <w:pPr>
              <w:spacing w:line="0" w:lineRule="atLeast"/>
              <w:rPr>
                <w:rFonts w:eastAsia="Times New Roman" w:cs="Times New Roman"/>
                <w:b/>
                <w:sz w:val="10"/>
              </w:rPr>
            </w:pPr>
          </w:p>
        </w:tc>
        <w:tc>
          <w:tcPr>
            <w:tcW w:w="2580" w:type="dxa"/>
            <w:tcBorders>
              <w:right w:val="single" w:sz="8" w:space="0" w:color="auto"/>
            </w:tcBorders>
            <w:shd w:val="clear" w:color="auto" w:fill="auto"/>
            <w:vAlign w:val="bottom"/>
          </w:tcPr>
          <w:p w14:paraId="55751E7D" w14:textId="77777777" w:rsidR="00A52778" w:rsidRPr="00460F9E" w:rsidRDefault="00A52778" w:rsidP="00FC3F8E">
            <w:pPr>
              <w:spacing w:line="0" w:lineRule="atLeast"/>
              <w:rPr>
                <w:rFonts w:eastAsia="Times New Roman" w:cs="Times New Roman"/>
                <w:b/>
                <w:sz w:val="10"/>
              </w:rPr>
            </w:pPr>
          </w:p>
        </w:tc>
        <w:tc>
          <w:tcPr>
            <w:tcW w:w="2140" w:type="dxa"/>
            <w:tcBorders>
              <w:right w:val="single" w:sz="8" w:space="0" w:color="auto"/>
            </w:tcBorders>
            <w:shd w:val="clear" w:color="auto" w:fill="auto"/>
            <w:vAlign w:val="bottom"/>
          </w:tcPr>
          <w:p w14:paraId="091F9747" w14:textId="77777777" w:rsidR="00A52778" w:rsidRPr="00460F9E" w:rsidRDefault="00A52778" w:rsidP="00FC3F8E">
            <w:pPr>
              <w:spacing w:line="0" w:lineRule="atLeast"/>
              <w:rPr>
                <w:rFonts w:eastAsia="Times New Roman" w:cs="Times New Roman"/>
                <w:b/>
                <w:sz w:val="10"/>
              </w:rPr>
            </w:pPr>
          </w:p>
        </w:tc>
        <w:tc>
          <w:tcPr>
            <w:tcW w:w="3660" w:type="dxa"/>
            <w:gridSpan w:val="5"/>
            <w:vMerge/>
            <w:tcBorders>
              <w:right w:val="single" w:sz="8" w:space="0" w:color="auto"/>
            </w:tcBorders>
            <w:shd w:val="clear" w:color="auto" w:fill="auto"/>
            <w:vAlign w:val="bottom"/>
          </w:tcPr>
          <w:p w14:paraId="1BFB278E" w14:textId="77777777" w:rsidR="00A52778" w:rsidRPr="00460F9E" w:rsidRDefault="00A52778" w:rsidP="00FC3F8E">
            <w:pPr>
              <w:spacing w:line="0" w:lineRule="atLeast"/>
              <w:rPr>
                <w:rFonts w:eastAsia="Times New Roman" w:cs="Times New Roman"/>
                <w:b/>
                <w:sz w:val="10"/>
              </w:rPr>
            </w:pPr>
          </w:p>
        </w:tc>
      </w:tr>
      <w:tr w:rsidR="00A52778" w:rsidRPr="00460F9E" w14:paraId="2F4CCFDA" w14:textId="77777777" w:rsidTr="00FC3F8E">
        <w:trPr>
          <w:trHeight w:val="59"/>
        </w:trPr>
        <w:tc>
          <w:tcPr>
            <w:tcW w:w="380" w:type="dxa"/>
            <w:tcBorders>
              <w:left w:val="single" w:sz="8" w:space="0" w:color="auto"/>
              <w:bottom w:val="single" w:sz="8" w:space="0" w:color="auto"/>
              <w:right w:val="single" w:sz="8" w:space="0" w:color="auto"/>
            </w:tcBorders>
            <w:shd w:val="clear" w:color="auto" w:fill="auto"/>
            <w:vAlign w:val="bottom"/>
          </w:tcPr>
          <w:p w14:paraId="0351CFB0" w14:textId="77777777" w:rsidR="00A52778" w:rsidRPr="00460F9E" w:rsidRDefault="00A52778" w:rsidP="00FC3F8E">
            <w:pPr>
              <w:spacing w:line="0" w:lineRule="atLeast"/>
              <w:rPr>
                <w:rFonts w:eastAsia="Times New Roman" w:cs="Times New Roman"/>
                <w:b/>
                <w:sz w:val="5"/>
              </w:rPr>
            </w:pPr>
          </w:p>
        </w:tc>
        <w:tc>
          <w:tcPr>
            <w:tcW w:w="2580" w:type="dxa"/>
            <w:tcBorders>
              <w:bottom w:val="single" w:sz="8" w:space="0" w:color="auto"/>
              <w:right w:val="single" w:sz="8" w:space="0" w:color="auto"/>
            </w:tcBorders>
            <w:shd w:val="clear" w:color="auto" w:fill="auto"/>
            <w:vAlign w:val="bottom"/>
          </w:tcPr>
          <w:p w14:paraId="749951F3" w14:textId="77777777" w:rsidR="00A52778" w:rsidRPr="00460F9E" w:rsidRDefault="00A52778" w:rsidP="00FC3F8E">
            <w:pPr>
              <w:spacing w:line="0" w:lineRule="atLeast"/>
              <w:rPr>
                <w:rFonts w:eastAsia="Times New Roman" w:cs="Times New Roman"/>
                <w:b/>
                <w:sz w:val="5"/>
              </w:rPr>
            </w:pPr>
          </w:p>
        </w:tc>
        <w:tc>
          <w:tcPr>
            <w:tcW w:w="2140" w:type="dxa"/>
            <w:tcBorders>
              <w:bottom w:val="single" w:sz="8" w:space="0" w:color="auto"/>
              <w:right w:val="single" w:sz="8" w:space="0" w:color="auto"/>
            </w:tcBorders>
            <w:shd w:val="clear" w:color="auto" w:fill="auto"/>
            <w:vAlign w:val="bottom"/>
          </w:tcPr>
          <w:p w14:paraId="38E9CE44" w14:textId="77777777" w:rsidR="00A52778" w:rsidRPr="00460F9E" w:rsidRDefault="00A52778" w:rsidP="00FC3F8E">
            <w:pPr>
              <w:spacing w:line="0" w:lineRule="atLeast"/>
              <w:rPr>
                <w:rFonts w:eastAsia="Times New Roman" w:cs="Times New Roman"/>
                <w:b/>
                <w:sz w:val="5"/>
              </w:rPr>
            </w:pPr>
          </w:p>
        </w:tc>
        <w:tc>
          <w:tcPr>
            <w:tcW w:w="1200" w:type="dxa"/>
            <w:tcBorders>
              <w:bottom w:val="single" w:sz="8" w:space="0" w:color="auto"/>
            </w:tcBorders>
            <w:shd w:val="clear" w:color="auto" w:fill="auto"/>
            <w:vAlign w:val="bottom"/>
          </w:tcPr>
          <w:p w14:paraId="7C9AE256" w14:textId="77777777" w:rsidR="00A52778" w:rsidRPr="00460F9E" w:rsidRDefault="00A52778" w:rsidP="00FC3F8E">
            <w:pPr>
              <w:spacing w:line="0" w:lineRule="atLeast"/>
              <w:rPr>
                <w:rFonts w:eastAsia="Times New Roman" w:cs="Times New Roman"/>
                <w:b/>
                <w:sz w:val="5"/>
              </w:rPr>
            </w:pPr>
          </w:p>
        </w:tc>
        <w:tc>
          <w:tcPr>
            <w:tcW w:w="660" w:type="dxa"/>
            <w:tcBorders>
              <w:bottom w:val="single" w:sz="8" w:space="0" w:color="auto"/>
            </w:tcBorders>
            <w:shd w:val="clear" w:color="auto" w:fill="auto"/>
            <w:vAlign w:val="bottom"/>
          </w:tcPr>
          <w:p w14:paraId="5CEA0310" w14:textId="77777777" w:rsidR="00A52778" w:rsidRPr="00460F9E" w:rsidRDefault="00A52778" w:rsidP="00FC3F8E">
            <w:pPr>
              <w:spacing w:line="0" w:lineRule="atLeast"/>
              <w:rPr>
                <w:rFonts w:eastAsia="Times New Roman" w:cs="Times New Roman"/>
                <w:b/>
                <w:sz w:val="5"/>
              </w:rPr>
            </w:pPr>
          </w:p>
        </w:tc>
        <w:tc>
          <w:tcPr>
            <w:tcW w:w="520" w:type="dxa"/>
            <w:tcBorders>
              <w:bottom w:val="single" w:sz="8" w:space="0" w:color="auto"/>
            </w:tcBorders>
            <w:shd w:val="clear" w:color="auto" w:fill="auto"/>
            <w:vAlign w:val="bottom"/>
          </w:tcPr>
          <w:p w14:paraId="1884668A" w14:textId="77777777" w:rsidR="00A52778" w:rsidRPr="00460F9E" w:rsidRDefault="00A52778" w:rsidP="00FC3F8E">
            <w:pPr>
              <w:spacing w:line="0" w:lineRule="atLeast"/>
              <w:rPr>
                <w:rFonts w:eastAsia="Times New Roman" w:cs="Times New Roman"/>
                <w:b/>
                <w:sz w:val="5"/>
              </w:rPr>
            </w:pPr>
          </w:p>
        </w:tc>
        <w:tc>
          <w:tcPr>
            <w:tcW w:w="820" w:type="dxa"/>
            <w:tcBorders>
              <w:bottom w:val="single" w:sz="8" w:space="0" w:color="auto"/>
            </w:tcBorders>
            <w:shd w:val="clear" w:color="auto" w:fill="auto"/>
            <w:vAlign w:val="bottom"/>
          </w:tcPr>
          <w:p w14:paraId="2A5E7AED" w14:textId="77777777" w:rsidR="00A52778" w:rsidRPr="00460F9E" w:rsidRDefault="00A52778" w:rsidP="00FC3F8E">
            <w:pPr>
              <w:spacing w:line="0" w:lineRule="atLeast"/>
              <w:rPr>
                <w:rFonts w:eastAsia="Times New Roman" w:cs="Times New Roman"/>
                <w:b/>
                <w:sz w:val="5"/>
              </w:rPr>
            </w:pPr>
          </w:p>
        </w:tc>
        <w:tc>
          <w:tcPr>
            <w:tcW w:w="460" w:type="dxa"/>
            <w:tcBorders>
              <w:bottom w:val="single" w:sz="8" w:space="0" w:color="auto"/>
              <w:right w:val="single" w:sz="8" w:space="0" w:color="auto"/>
            </w:tcBorders>
            <w:shd w:val="clear" w:color="auto" w:fill="auto"/>
            <w:vAlign w:val="bottom"/>
          </w:tcPr>
          <w:p w14:paraId="059E91D2" w14:textId="77777777" w:rsidR="00A52778" w:rsidRPr="00460F9E" w:rsidRDefault="00A52778" w:rsidP="00FC3F8E">
            <w:pPr>
              <w:spacing w:line="0" w:lineRule="atLeast"/>
              <w:rPr>
                <w:rFonts w:eastAsia="Times New Roman" w:cs="Times New Roman"/>
                <w:b/>
                <w:sz w:val="5"/>
              </w:rPr>
            </w:pPr>
          </w:p>
        </w:tc>
      </w:tr>
    </w:tbl>
    <w:p w14:paraId="30CE9844" w14:textId="77777777" w:rsidR="00A52778" w:rsidRPr="00460F9E" w:rsidRDefault="00A52778" w:rsidP="00A52778">
      <w:pPr>
        <w:spacing w:line="20" w:lineRule="exact"/>
        <w:rPr>
          <w:rFonts w:eastAsia="Times New Roman" w:cs="Times New Roman"/>
          <w:b/>
        </w:rPr>
      </w:pPr>
    </w:p>
    <w:p w14:paraId="00B439C8" w14:textId="77777777" w:rsidR="00A52778" w:rsidRPr="00460F9E" w:rsidRDefault="00A52778" w:rsidP="00A52778">
      <w:pPr>
        <w:spacing w:line="20" w:lineRule="exact"/>
        <w:rPr>
          <w:rFonts w:eastAsia="Times New Roman" w:cs="Times New Roman"/>
          <w:b/>
        </w:rPr>
        <w:sectPr w:rsidR="00A52778" w:rsidRPr="00460F9E">
          <w:pgSz w:w="11900" w:h="16838"/>
          <w:pgMar w:top="707" w:right="1440" w:bottom="145" w:left="1020" w:header="0" w:footer="0" w:gutter="0"/>
          <w:cols w:space="0" w:equalWidth="0">
            <w:col w:w="9446"/>
          </w:cols>
          <w:docGrid w:linePitch="360"/>
        </w:sectPr>
      </w:pPr>
    </w:p>
    <w:p w14:paraId="1D194F4D" w14:textId="77777777" w:rsidR="00A52778" w:rsidRPr="00460F9E" w:rsidRDefault="00A52778" w:rsidP="00A52778">
      <w:pPr>
        <w:spacing w:line="200" w:lineRule="exact"/>
        <w:rPr>
          <w:rFonts w:eastAsia="Times New Roman" w:cs="Times New Roman"/>
          <w:b/>
        </w:rPr>
      </w:pPr>
    </w:p>
    <w:p w14:paraId="6F0405CD" w14:textId="77777777" w:rsidR="00A52778" w:rsidRPr="00460F9E" w:rsidRDefault="00A52778" w:rsidP="00A52778">
      <w:pPr>
        <w:spacing w:line="200" w:lineRule="exact"/>
        <w:rPr>
          <w:rFonts w:eastAsia="Times New Roman" w:cs="Times New Roman"/>
          <w:b/>
        </w:rPr>
      </w:pPr>
    </w:p>
    <w:p w14:paraId="085F8419" w14:textId="77777777" w:rsidR="00A52778" w:rsidRPr="00C67F07" w:rsidRDefault="00A52778" w:rsidP="00A52778">
      <w:pPr>
        <w:tabs>
          <w:tab w:val="left" w:pos="1940"/>
        </w:tabs>
        <w:spacing w:line="234" w:lineRule="auto"/>
        <w:ind w:right="40"/>
        <w:rPr>
          <w:rFonts w:eastAsia="Times New Roman" w:cs="Times New Roman"/>
        </w:rPr>
      </w:pPr>
      <w:r w:rsidRPr="00C67F07">
        <w:rPr>
          <w:rFonts w:eastAsia="Times New Roman" w:cs="Times New Roman"/>
        </w:rPr>
        <w:t>Organik bileşiklerin havaya kanalize edilen emisyonları için MET-ilişkili emisyon seviyeleri (MET-AEL' ler)</w:t>
      </w:r>
    </w:p>
    <w:p w14:paraId="535B5D44" w14:textId="77777777" w:rsidR="00A52778" w:rsidRPr="00460F9E" w:rsidRDefault="00A52778" w:rsidP="00A52778">
      <w:pPr>
        <w:spacing w:line="20" w:lineRule="exact"/>
        <w:rPr>
          <w:rFonts w:eastAsia="Times New Roman" w:cs="Times New Roman"/>
          <w:b/>
        </w:rPr>
      </w:pPr>
      <w:r w:rsidRPr="00460F9E">
        <w:rPr>
          <w:rFonts w:eastAsia="Times New Roman" w:cs="Times New Roman"/>
          <w:b/>
          <w:noProof/>
          <w:lang w:val="tr-TR" w:eastAsia="tr-TR"/>
        </w:rPr>
        <mc:AlternateContent>
          <mc:Choice Requires="wps">
            <w:drawing>
              <wp:anchor distT="0" distB="0" distL="114300" distR="114300" simplePos="0" relativeHeight="251662336" behindDoc="1" locked="0" layoutInCell="1" allowOverlap="1" wp14:anchorId="25FAD881" wp14:editId="23509C70">
                <wp:simplePos x="0" y="0"/>
                <wp:positionH relativeFrom="column">
                  <wp:posOffset>506095</wp:posOffset>
                </wp:positionH>
                <wp:positionV relativeFrom="paragraph">
                  <wp:posOffset>77470</wp:posOffset>
                </wp:positionV>
                <wp:extent cx="0" cy="5981065"/>
                <wp:effectExtent l="10795" t="11430" r="8255" b="8255"/>
                <wp:wrapNone/>
                <wp:docPr id="68" name="Düz Bağlayıcı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8106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FB139" id="Düz Bağlayıcı 6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6.1pt" to="39.85pt,4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" strokeweight=".72pt"/>
            </w:pict>
          </mc:Fallback>
        </mc:AlternateContent>
      </w:r>
      <w:r w:rsidRPr="00460F9E">
        <w:rPr>
          <w:rFonts w:eastAsia="Times New Roman" w:cs="Times New Roman"/>
          <w:b/>
          <w:noProof/>
          <w:lang w:val="tr-TR" w:eastAsia="tr-TR"/>
        </w:rPr>
        <mc:AlternateContent>
          <mc:Choice Requires="wps">
            <w:drawing>
              <wp:anchor distT="0" distB="0" distL="114300" distR="114300" simplePos="0" relativeHeight="251664384" behindDoc="1" locked="0" layoutInCell="1" allowOverlap="1" wp14:anchorId="668E4AC7" wp14:editId="7BD7A92E">
                <wp:simplePos x="0" y="0"/>
                <wp:positionH relativeFrom="column">
                  <wp:posOffset>5946140</wp:posOffset>
                </wp:positionH>
                <wp:positionV relativeFrom="paragraph">
                  <wp:posOffset>77470</wp:posOffset>
                </wp:positionV>
                <wp:extent cx="0" cy="5981065"/>
                <wp:effectExtent l="12065" t="11430" r="6985" b="8255"/>
                <wp:wrapNone/>
                <wp:docPr id="67" name="Düz Bağlayıcı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8106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CC47B" id="Düz Bağlayıcı 6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2pt,6.1pt" to="468.2pt,4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" strokeweight=".25397mm"/>
            </w:pict>
          </mc:Fallback>
        </mc:AlternateContent>
      </w:r>
    </w:p>
    <w:p w14:paraId="7315DDA8" w14:textId="77777777" w:rsidR="00A52778" w:rsidRPr="00460F9E" w:rsidRDefault="00A52778" w:rsidP="00A52778">
      <w:pPr>
        <w:spacing w:line="82" w:lineRule="exact"/>
        <w:rPr>
          <w:rFonts w:eastAsia="Times New Roman" w:cs="Times New Roman"/>
          <w:b/>
        </w:rPr>
      </w:pPr>
      <w:r w:rsidRPr="00460F9E">
        <w:rPr>
          <w:rFonts w:eastAsia="Times New Roman" w:cs="Times New Roman"/>
          <w:b/>
          <w:noProof/>
          <w:lang w:val="tr-TR" w:eastAsia="tr-TR"/>
        </w:rPr>
        <mc:AlternateContent>
          <mc:Choice Requires="wps">
            <w:drawing>
              <wp:anchor distT="0" distB="0" distL="114300" distR="114300" simplePos="0" relativeHeight="251713536" behindDoc="1" locked="0" layoutInCell="1" allowOverlap="1" wp14:anchorId="1B823157" wp14:editId="6CAB922C">
                <wp:simplePos x="0" y="0"/>
                <wp:positionH relativeFrom="column">
                  <wp:posOffset>509431</wp:posOffset>
                </wp:positionH>
                <wp:positionV relativeFrom="paragraph">
                  <wp:posOffset>7935505</wp:posOffset>
                </wp:positionV>
                <wp:extent cx="931" cy="1052372"/>
                <wp:effectExtent l="0" t="0" r="37465" b="14605"/>
                <wp:wrapNone/>
                <wp:docPr id="148" name="Düz Bağlayıcı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1" cy="105237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B4F8F" id="Düz Bağlayıcı 148" o:spid="_x0000_s1026" style="position:absolute;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624.85pt" to="40.15pt,7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" strokeweight=".72pt"/>
            </w:pict>
          </mc:Fallback>
        </mc:AlternateContent>
      </w:r>
    </w:p>
    <w:tbl>
      <w:tblPr>
        <w:tblW w:w="8600" w:type="dxa"/>
        <w:tblInd w:w="800" w:type="dxa"/>
        <w:tblLayout w:type="fixed"/>
        <w:tblCellMar>
          <w:left w:w="0" w:type="dxa"/>
          <w:right w:w="0" w:type="dxa"/>
        </w:tblCellMar>
        <w:tblLook w:val="0000" w:firstRow="0" w:lastRow="0" w:firstColumn="0" w:lastColumn="0" w:noHBand="0" w:noVBand="0"/>
      </w:tblPr>
      <w:tblGrid>
        <w:gridCol w:w="400"/>
        <w:gridCol w:w="220"/>
        <w:gridCol w:w="3620"/>
        <w:gridCol w:w="4360"/>
      </w:tblGrid>
      <w:tr w:rsidR="00A52778" w:rsidRPr="00460F9E" w14:paraId="349E9044" w14:textId="77777777" w:rsidTr="00FC3F8E">
        <w:trPr>
          <w:trHeight w:val="255"/>
        </w:trPr>
        <w:tc>
          <w:tcPr>
            <w:tcW w:w="400" w:type="dxa"/>
            <w:tcBorders>
              <w:top w:val="single" w:sz="8" w:space="0" w:color="auto"/>
            </w:tcBorders>
            <w:shd w:val="clear" w:color="auto" w:fill="auto"/>
            <w:vAlign w:val="bottom"/>
          </w:tcPr>
          <w:p w14:paraId="28E55BB6" w14:textId="77777777" w:rsidR="00A52778" w:rsidRPr="00460F9E" w:rsidRDefault="00A52778" w:rsidP="00FC3F8E">
            <w:pPr>
              <w:spacing w:line="0" w:lineRule="atLeast"/>
              <w:rPr>
                <w:rFonts w:eastAsia="Times New Roman" w:cs="Times New Roman"/>
                <w:b/>
              </w:rPr>
            </w:pPr>
          </w:p>
        </w:tc>
        <w:tc>
          <w:tcPr>
            <w:tcW w:w="220" w:type="dxa"/>
            <w:tcBorders>
              <w:top w:val="single" w:sz="8" w:space="0" w:color="auto"/>
            </w:tcBorders>
            <w:shd w:val="clear" w:color="auto" w:fill="auto"/>
            <w:vAlign w:val="bottom"/>
          </w:tcPr>
          <w:p w14:paraId="01FC1B54" w14:textId="77777777" w:rsidR="00A52778" w:rsidRPr="00460F9E" w:rsidRDefault="00A52778" w:rsidP="00FC3F8E">
            <w:pPr>
              <w:spacing w:line="0" w:lineRule="atLeast"/>
              <w:rPr>
                <w:rFonts w:eastAsia="Times New Roman" w:cs="Times New Roman"/>
                <w:b/>
              </w:rPr>
            </w:pPr>
          </w:p>
        </w:tc>
        <w:tc>
          <w:tcPr>
            <w:tcW w:w="3620" w:type="dxa"/>
            <w:tcBorders>
              <w:top w:val="single" w:sz="8" w:space="0" w:color="auto"/>
              <w:right w:val="single" w:sz="8" w:space="0" w:color="auto"/>
            </w:tcBorders>
            <w:shd w:val="clear" w:color="auto" w:fill="auto"/>
            <w:vAlign w:val="bottom"/>
          </w:tcPr>
          <w:p w14:paraId="3FB1208F" w14:textId="77777777" w:rsidR="00A52778" w:rsidRPr="00460F9E" w:rsidRDefault="00A52778" w:rsidP="00FC3F8E">
            <w:pPr>
              <w:spacing w:line="0" w:lineRule="atLeast"/>
              <w:rPr>
                <w:rFonts w:eastAsia="Times New Roman" w:cs="Times New Roman"/>
                <w:b/>
              </w:rPr>
            </w:pPr>
          </w:p>
        </w:tc>
        <w:tc>
          <w:tcPr>
            <w:tcW w:w="4360" w:type="dxa"/>
            <w:tcBorders>
              <w:top w:val="single" w:sz="8" w:space="0" w:color="auto"/>
            </w:tcBorders>
            <w:shd w:val="clear" w:color="auto" w:fill="auto"/>
            <w:vAlign w:val="bottom"/>
          </w:tcPr>
          <w:p w14:paraId="093AECE4" w14:textId="77777777" w:rsidR="00A52778" w:rsidRPr="00460F9E" w:rsidRDefault="00A52778" w:rsidP="00FC3F8E">
            <w:pPr>
              <w:spacing w:line="256" w:lineRule="exact"/>
              <w:ind w:left="720"/>
              <w:jc w:val="center"/>
              <w:rPr>
                <w:rFonts w:eastAsia="Times New Roman" w:cs="Times New Roman"/>
                <w:b/>
                <w:w w:val="99"/>
              </w:rPr>
            </w:pPr>
            <w:r w:rsidRPr="00460F9E">
              <w:rPr>
                <w:rFonts w:eastAsia="Times New Roman" w:cs="Times New Roman"/>
                <w:w w:val="99"/>
              </w:rPr>
              <w:t>MET-AEL (mg/Nm</w:t>
            </w:r>
            <w:r w:rsidRPr="00460F9E">
              <w:rPr>
                <w:rFonts w:eastAsia="Times New Roman" w:cs="Times New Roman"/>
                <w:w w:val="99"/>
                <w:sz w:val="25"/>
                <w:vertAlign w:val="superscript"/>
              </w:rPr>
              <w:t>3</w:t>
            </w:r>
            <w:r w:rsidRPr="00460F9E">
              <w:rPr>
                <w:rFonts w:eastAsia="Times New Roman" w:cs="Times New Roman"/>
                <w:w w:val="99"/>
              </w:rPr>
              <w:t>)</w:t>
            </w:r>
          </w:p>
        </w:tc>
      </w:tr>
      <w:tr w:rsidR="00A52778" w:rsidRPr="00460F9E" w14:paraId="56FF11C0" w14:textId="77777777" w:rsidTr="00FC3F8E">
        <w:trPr>
          <w:trHeight w:val="219"/>
        </w:trPr>
        <w:tc>
          <w:tcPr>
            <w:tcW w:w="400" w:type="dxa"/>
            <w:shd w:val="clear" w:color="auto" w:fill="auto"/>
            <w:vAlign w:val="bottom"/>
          </w:tcPr>
          <w:p w14:paraId="42114556" w14:textId="77777777" w:rsidR="00A52778" w:rsidRPr="00460F9E" w:rsidRDefault="00A52778" w:rsidP="00FC3F8E">
            <w:pPr>
              <w:spacing w:line="0" w:lineRule="atLeast"/>
              <w:rPr>
                <w:rFonts w:eastAsia="Times New Roman" w:cs="Times New Roman"/>
                <w:b/>
                <w:sz w:val="19"/>
              </w:rPr>
            </w:pPr>
          </w:p>
        </w:tc>
        <w:tc>
          <w:tcPr>
            <w:tcW w:w="220" w:type="dxa"/>
            <w:shd w:val="clear" w:color="auto" w:fill="auto"/>
            <w:vAlign w:val="bottom"/>
          </w:tcPr>
          <w:p w14:paraId="2B9DDCC5" w14:textId="77777777" w:rsidR="00A52778" w:rsidRPr="00460F9E" w:rsidRDefault="00A52778" w:rsidP="00FC3F8E">
            <w:pPr>
              <w:spacing w:line="0" w:lineRule="atLeast"/>
              <w:rPr>
                <w:rFonts w:eastAsia="Times New Roman" w:cs="Times New Roman"/>
                <w:b/>
                <w:sz w:val="19"/>
              </w:rPr>
            </w:pPr>
          </w:p>
        </w:tc>
        <w:tc>
          <w:tcPr>
            <w:tcW w:w="3620" w:type="dxa"/>
            <w:tcBorders>
              <w:right w:val="single" w:sz="8" w:space="0" w:color="auto"/>
            </w:tcBorders>
            <w:shd w:val="clear" w:color="auto" w:fill="auto"/>
            <w:vAlign w:val="bottom"/>
          </w:tcPr>
          <w:p w14:paraId="622B33F3" w14:textId="77777777" w:rsidR="00A52778" w:rsidRPr="00460F9E" w:rsidRDefault="00A52778" w:rsidP="00FC3F8E">
            <w:pPr>
              <w:spacing w:line="219" w:lineRule="exact"/>
              <w:ind w:left="580"/>
              <w:rPr>
                <w:rFonts w:eastAsia="Times New Roman" w:cs="Times New Roman"/>
                <w:b/>
              </w:rPr>
            </w:pPr>
            <w:r w:rsidRPr="00460F9E">
              <w:rPr>
                <w:rFonts w:eastAsia="Times New Roman" w:cs="Times New Roman"/>
              </w:rPr>
              <w:t>Maddeler/Parametreler</w:t>
            </w:r>
          </w:p>
        </w:tc>
        <w:tc>
          <w:tcPr>
            <w:tcW w:w="4360" w:type="dxa"/>
            <w:shd w:val="clear" w:color="auto" w:fill="auto"/>
            <w:vAlign w:val="bottom"/>
          </w:tcPr>
          <w:p w14:paraId="2E74EEEF" w14:textId="77777777" w:rsidR="00A52778" w:rsidRPr="00460F9E" w:rsidRDefault="00A52778" w:rsidP="00FC3F8E">
            <w:pPr>
              <w:spacing w:line="219" w:lineRule="exact"/>
              <w:jc w:val="center"/>
              <w:rPr>
                <w:rFonts w:eastAsia="Times New Roman" w:cs="Times New Roman"/>
                <w:b/>
                <w:w w:val="99"/>
              </w:rPr>
            </w:pPr>
            <w:r w:rsidRPr="00460F9E">
              <w:rPr>
                <w:rFonts w:eastAsia="Times New Roman" w:cs="Times New Roman"/>
                <w:w w:val="99"/>
              </w:rPr>
              <w:t xml:space="preserve">(Günlük ortalama veya örnekleme dönemi </w:t>
            </w:r>
          </w:p>
        </w:tc>
      </w:tr>
      <w:tr w:rsidR="00A52778" w:rsidRPr="00460F9E" w14:paraId="599AE7E0" w14:textId="77777777" w:rsidTr="00FC3F8E">
        <w:trPr>
          <w:trHeight w:val="232"/>
        </w:trPr>
        <w:tc>
          <w:tcPr>
            <w:tcW w:w="400" w:type="dxa"/>
            <w:tcBorders>
              <w:bottom w:val="single" w:sz="8" w:space="0" w:color="auto"/>
            </w:tcBorders>
            <w:shd w:val="clear" w:color="auto" w:fill="auto"/>
            <w:vAlign w:val="bottom"/>
          </w:tcPr>
          <w:p w14:paraId="1258E52B" w14:textId="77777777" w:rsidR="00A52778" w:rsidRPr="00460F9E" w:rsidRDefault="00A52778" w:rsidP="00FC3F8E">
            <w:pPr>
              <w:spacing w:line="0" w:lineRule="atLeast"/>
              <w:rPr>
                <w:rFonts w:eastAsia="Times New Roman" w:cs="Times New Roman"/>
                <w:b/>
              </w:rPr>
            </w:pPr>
          </w:p>
        </w:tc>
        <w:tc>
          <w:tcPr>
            <w:tcW w:w="220" w:type="dxa"/>
            <w:tcBorders>
              <w:bottom w:val="single" w:sz="8" w:space="0" w:color="auto"/>
            </w:tcBorders>
            <w:shd w:val="clear" w:color="auto" w:fill="auto"/>
            <w:vAlign w:val="bottom"/>
          </w:tcPr>
          <w:p w14:paraId="775C641B" w14:textId="77777777" w:rsidR="00A52778" w:rsidRPr="00460F9E" w:rsidRDefault="00A52778" w:rsidP="00FC3F8E">
            <w:pPr>
              <w:spacing w:line="0" w:lineRule="atLeast"/>
              <w:rPr>
                <w:rFonts w:eastAsia="Times New Roman" w:cs="Times New Roman"/>
                <w:b/>
              </w:rPr>
            </w:pPr>
          </w:p>
        </w:tc>
        <w:tc>
          <w:tcPr>
            <w:tcW w:w="3620" w:type="dxa"/>
            <w:tcBorders>
              <w:bottom w:val="single" w:sz="8" w:space="0" w:color="auto"/>
              <w:right w:val="single" w:sz="8" w:space="0" w:color="auto"/>
            </w:tcBorders>
            <w:shd w:val="clear" w:color="auto" w:fill="auto"/>
            <w:vAlign w:val="bottom"/>
          </w:tcPr>
          <w:p w14:paraId="2E795692" w14:textId="77777777" w:rsidR="00A52778" w:rsidRPr="00460F9E" w:rsidRDefault="00A52778" w:rsidP="00FC3F8E">
            <w:pPr>
              <w:spacing w:line="0" w:lineRule="atLeast"/>
              <w:rPr>
                <w:rFonts w:eastAsia="Times New Roman" w:cs="Times New Roman"/>
                <w:b/>
              </w:rPr>
            </w:pPr>
          </w:p>
        </w:tc>
        <w:tc>
          <w:tcPr>
            <w:tcW w:w="4360" w:type="dxa"/>
            <w:tcBorders>
              <w:bottom w:val="single" w:sz="8" w:space="0" w:color="auto"/>
            </w:tcBorders>
            <w:shd w:val="clear" w:color="auto" w:fill="auto"/>
            <w:vAlign w:val="bottom"/>
          </w:tcPr>
          <w:p w14:paraId="7FFAF521" w14:textId="77777777" w:rsidR="00A52778" w:rsidRPr="00460F9E" w:rsidRDefault="00A52778" w:rsidP="00FC3F8E">
            <w:pPr>
              <w:spacing w:line="232" w:lineRule="exact"/>
              <w:jc w:val="center"/>
              <w:rPr>
                <w:rFonts w:eastAsia="Times New Roman" w:cs="Times New Roman"/>
                <w:b/>
                <w:w w:val="96"/>
              </w:rPr>
            </w:pPr>
            <w:r w:rsidRPr="00460F9E">
              <w:rPr>
                <w:rFonts w:eastAsia="Times New Roman" w:cs="Times New Roman"/>
                <w:w w:val="96"/>
              </w:rPr>
              <w:t>boyunca ortalama) (</w:t>
            </w:r>
            <w:r w:rsidRPr="00460F9E">
              <w:rPr>
                <w:rFonts w:eastAsia="Times New Roman" w:cs="Times New Roman"/>
                <w:w w:val="96"/>
                <w:sz w:val="25"/>
                <w:vertAlign w:val="superscript"/>
              </w:rPr>
              <w:t>1</w:t>
            </w:r>
            <w:r w:rsidRPr="00460F9E">
              <w:rPr>
                <w:rFonts w:eastAsia="Times New Roman" w:cs="Times New Roman"/>
                <w:w w:val="96"/>
              </w:rPr>
              <w:t>)</w:t>
            </w:r>
          </w:p>
        </w:tc>
      </w:tr>
      <w:tr w:rsidR="00A52778" w:rsidRPr="00460F9E" w14:paraId="6F91F4F0" w14:textId="77777777" w:rsidTr="00FC3F8E">
        <w:trPr>
          <w:trHeight w:val="421"/>
        </w:trPr>
        <w:tc>
          <w:tcPr>
            <w:tcW w:w="4240" w:type="dxa"/>
            <w:gridSpan w:val="3"/>
            <w:tcBorders>
              <w:right w:val="single" w:sz="8" w:space="0" w:color="auto"/>
            </w:tcBorders>
            <w:shd w:val="clear" w:color="auto" w:fill="auto"/>
            <w:vAlign w:val="center"/>
          </w:tcPr>
          <w:p w14:paraId="26BE6401" w14:textId="77777777" w:rsidR="00A52778" w:rsidRPr="00460F9E" w:rsidRDefault="00A52778" w:rsidP="00FC3F8E">
            <w:pPr>
              <w:spacing w:line="0" w:lineRule="atLeast"/>
              <w:ind w:left="180"/>
              <w:rPr>
                <w:rFonts w:eastAsia="Times New Roman" w:cs="Times New Roman"/>
                <w:b/>
              </w:rPr>
            </w:pPr>
            <w:r w:rsidRPr="00460F9E">
              <w:rPr>
                <w:rFonts w:eastAsia="Times New Roman" w:cs="Times New Roman"/>
              </w:rPr>
              <w:t>Toplam uçucu organik karbon (TVOC)</w:t>
            </w:r>
          </w:p>
        </w:tc>
        <w:tc>
          <w:tcPr>
            <w:tcW w:w="4360" w:type="dxa"/>
            <w:shd w:val="clear" w:color="auto" w:fill="auto"/>
            <w:vAlign w:val="center"/>
          </w:tcPr>
          <w:p w14:paraId="710F35DB" w14:textId="77777777" w:rsidR="00A52778" w:rsidRPr="00460F9E" w:rsidRDefault="00A52778" w:rsidP="00FC3F8E">
            <w:pPr>
              <w:spacing w:line="0" w:lineRule="atLeast"/>
              <w:jc w:val="center"/>
              <w:rPr>
                <w:rFonts w:eastAsia="Times New Roman" w:cs="Times New Roman"/>
                <w:b/>
                <w:w w:val="95"/>
              </w:rPr>
            </w:pPr>
            <w:r w:rsidRPr="00460F9E">
              <w:rPr>
                <w:rFonts w:eastAsia="Times New Roman" w:cs="Times New Roman"/>
                <w:w w:val="95"/>
              </w:rPr>
              <w:t>&lt; 1-20 (</w:t>
            </w:r>
            <w:r w:rsidRPr="00460F9E">
              <w:rPr>
                <w:rFonts w:eastAsia="Times New Roman" w:cs="Times New Roman"/>
                <w:w w:val="95"/>
                <w:sz w:val="25"/>
                <w:vertAlign w:val="superscript"/>
              </w:rPr>
              <w:t>2</w:t>
            </w:r>
            <w:r w:rsidRPr="00460F9E">
              <w:rPr>
                <w:rFonts w:eastAsia="Times New Roman" w:cs="Times New Roman"/>
                <w:w w:val="95"/>
              </w:rPr>
              <w:t>) (</w:t>
            </w:r>
            <w:r w:rsidRPr="00460F9E">
              <w:rPr>
                <w:rFonts w:eastAsia="Times New Roman" w:cs="Times New Roman"/>
                <w:w w:val="95"/>
                <w:sz w:val="25"/>
                <w:vertAlign w:val="superscript"/>
              </w:rPr>
              <w:t>3</w:t>
            </w:r>
            <w:r w:rsidRPr="00460F9E">
              <w:rPr>
                <w:rFonts w:eastAsia="Times New Roman" w:cs="Times New Roman"/>
                <w:w w:val="95"/>
              </w:rPr>
              <w:t>) (</w:t>
            </w:r>
            <w:r w:rsidRPr="00460F9E">
              <w:rPr>
                <w:rFonts w:eastAsia="Times New Roman" w:cs="Times New Roman"/>
                <w:w w:val="95"/>
                <w:sz w:val="25"/>
                <w:vertAlign w:val="superscript"/>
              </w:rPr>
              <w:t>4</w:t>
            </w:r>
            <w:r w:rsidRPr="00460F9E">
              <w:rPr>
                <w:rFonts w:eastAsia="Times New Roman" w:cs="Times New Roman"/>
                <w:w w:val="95"/>
              </w:rPr>
              <w:t>) (</w:t>
            </w:r>
            <w:r w:rsidRPr="00460F9E">
              <w:rPr>
                <w:rFonts w:eastAsia="Times New Roman" w:cs="Times New Roman"/>
                <w:w w:val="95"/>
                <w:sz w:val="25"/>
                <w:vertAlign w:val="superscript"/>
              </w:rPr>
              <w:t>5</w:t>
            </w:r>
            <w:r w:rsidRPr="00460F9E">
              <w:rPr>
                <w:rFonts w:eastAsia="Times New Roman" w:cs="Times New Roman"/>
                <w:w w:val="95"/>
              </w:rPr>
              <w:t>)</w:t>
            </w:r>
          </w:p>
        </w:tc>
      </w:tr>
      <w:tr w:rsidR="00A52778" w:rsidRPr="00460F9E" w14:paraId="0B0D8A79" w14:textId="77777777" w:rsidTr="00FC3F8E">
        <w:trPr>
          <w:trHeight w:val="49"/>
        </w:trPr>
        <w:tc>
          <w:tcPr>
            <w:tcW w:w="4240" w:type="dxa"/>
            <w:gridSpan w:val="3"/>
            <w:tcBorders>
              <w:bottom w:val="single" w:sz="8" w:space="0" w:color="auto"/>
              <w:right w:val="single" w:sz="8" w:space="0" w:color="auto"/>
            </w:tcBorders>
            <w:shd w:val="clear" w:color="auto" w:fill="auto"/>
            <w:vAlign w:val="bottom"/>
          </w:tcPr>
          <w:p w14:paraId="4D6E880F" w14:textId="77777777" w:rsidR="00A52778" w:rsidRPr="00460F9E" w:rsidRDefault="00A52778" w:rsidP="00FC3F8E">
            <w:pPr>
              <w:spacing w:line="0" w:lineRule="atLeast"/>
              <w:rPr>
                <w:rFonts w:eastAsia="Times New Roman" w:cs="Times New Roman"/>
                <w:b/>
                <w:sz w:val="4"/>
              </w:rPr>
            </w:pPr>
          </w:p>
        </w:tc>
        <w:tc>
          <w:tcPr>
            <w:tcW w:w="4360" w:type="dxa"/>
            <w:tcBorders>
              <w:bottom w:val="single" w:sz="8" w:space="0" w:color="auto"/>
            </w:tcBorders>
            <w:shd w:val="clear" w:color="auto" w:fill="auto"/>
            <w:vAlign w:val="bottom"/>
          </w:tcPr>
          <w:p w14:paraId="24667E71" w14:textId="77777777" w:rsidR="00A52778" w:rsidRPr="00460F9E" w:rsidRDefault="00A52778" w:rsidP="00FC3F8E">
            <w:pPr>
              <w:spacing w:line="0" w:lineRule="atLeast"/>
              <w:rPr>
                <w:rFonts w:eastAsia="Times New Roman" w:cs="Times New Roman"/>
                <w:b/>
                <w:sz w:val="4"/>
              </w:rPr>
            </w:pPr>
          </w:p>
        </w:tc>
      </w:tr>
      <w:tr w:rsidR="00A52778" w:rsidRPr="00460F9E" w14:paraId="5868AA17" w14:textId="77777777" w:rsidTr="00FC3F8E">
        <w:trPr>
          <w:trHeight w:val="225"/>
        </w:trPr>
        <w:tc>
          <w:tcPr>
            <w:tcW w:w="4240" w:type="dxa"/>
            <w:gridSpan w:val="3"/>
            <w:tcBorders>
              <w:bottom w:val="single" w:sz="8" w:space="0" w:color="auto"/>
              <w:right w:val="single" w:sz="8" w:space="0" w:color="auto"/>
            </w:tcBorders>
            <w:shd w:val="clear" w:color="auto" w:fill="auto"/>
            <w:vAlign w:val="bottom"/>
          </w:tcPr>
          <w:p w14:paraId="2185FA22" w14:textId="77777777" w:rsidR="00A52778" w:rsidRPr="00460F9E" w:rsidRDefault="00A52778" w:rsidP="00FC3F8E">
            <w:pPr>
              <w:spacing w:line="219" w:lineRule="exact"/>
              <w:ind w:left="180"/>
              <w:rPr>
                <w:rFonts w:eastAsia="Times New Roman" w:cs="Times New Roman"/>
                <w:b/>
              </w:rPr>
            </w:pPr>
            <w:r w:rsidRPr="00460F9E">
              <w:rPr>
                <w:rFonts w:eastAsia="Times New Roman" w:cs="Times New Roman"/>
              </w:rPr>
              <w:t>CMR 1A veya 1B olarak sınıflandırılan VOC' lerin toplamı</w:t>
            </w:r>
          </w:p>
        </w:tc>
        <w:tc>
          <w:tcPr>
            <w:tcW w:w="4360" w:type="dxa"/>
            <w:tcBorders>
              <w:bottom w:val="single" w:sz="8" w:space="0" w:color="auto"/>
            </w:tcBorders>
            <w:shd w:val="clear" w:color="auto" w:fill="auto"/>
            <w:vAlign w:val="center"/>
          </w:tcPr>
          <w:p w14:paraId="2BD9AA58" w14:textId="77777777" w:rsidR="00A52778" w:rsidRPr="00460F9E" w:rsidRDefault="00A52778" w:rsidP="00FC3F8E">
            <w:pPr>
              <w:spacing w:line="224" w:lineRule="exact"/>
              <w:jc w:val="center"/>
              <w:rPr>
                <w:rFonts w:eastAsia="Times New Roman" w:cs="Times New Roman"/>
                <w:b/>
                <w:w w:val="97"/>
              </w:rPr>
            </w:pPr>
            <w:r w:rsidRPr="00460F9E">
              <w:rPr>
                <w:rFonts w:eastAsia="Times New Roman" w:cs="Times New Roman"/>
                <w:w w:val="97"/>
              </w:rPr>
              <w:t>&lt; 1-5 (</w:t>
            </w:r>
            <w:r w:rsidRPr="00460F9E">
              <w:rPr>
                <w:rFonts w:eastAsia="Times New Roman" w:cs="Times New Roman"/>
                <w:w w:val="97"/>
                <w:sz w:val="25"/>
                <w:vertAlign w:val="superscript"/>
              </w:rPr>
              <w:t>6</w:t>
            </w:r>
            <w:r w:rsidRPr="00460F9E">
              <w:rPr>
                <w:rFonts w:eastAsia="Times New Roman" w:cs="Times New Roman"/>
                <w:w w:val="97"/>
              </w:rPr>
              <w:t>)</w:t>
            </w:r>
          </w:p>
        </w:tc>
      </w:tr>
      <w:tr w:rsidR="00A52778" w:rsidRPr="00460F9E" w14:paraId="52EAF366" w14:textId="77777777" w:rsidTr="00FC3F8E">
        <w:trPr>
          <w:trHeight w:val="225"/>
        </w:trPr>
        <w:tc>
          <w:tcPr>
            <w:tcW w:w="4240" w:type="dxa"/>
            <w:gridSpan w:val="3"/>
            <w:tcBorders>
              <w:bottom w:val="single" w:sz="8" w:space="0" w:color="auto"/>
              <w:right w:val="single" w:sz="8" w:space="0" w:color="auto"/>
            </w:tcBorders>
            <w:shd w:val="clear" w:color="auto" w:fill="auto"/>
            <w:vAlign w:val="bottom"/>
          </w:tcPr>
          <w:p w14:paraId="42521011" w14:textId="77777777" w:rsidR="00A52778" w:rsidRPr="00460F9E" w:rsidRDefault="00A52778" w:rsidP="00FC3F8E">
            <w:pPr>
              <w:spacing w:line="219" w:lineRule="exact"/>
              <w:ind w:left="180"/>
              <w:rPr>
                <w:rFonts w:eastAsia="Times New Roman" w:cs="Times New Roman"/>
                <w:b/>
              </w:rPr>
            </w:pPr>
            <w:r w:rsidRPr="00460F9E">
              <w:rPr>
                <w:rFonts w:eastAsia="Times New Roman" w:cs="Times New Roman"/>
              </w:rPr>
              <w:t>CMR 2 olarak sınıflandırılan VOC' lerin toplamı</w:t>
            </w:r>
          </w:p>
        </w:tc>
        <w:tc>
          <w:tcPr>
            <w:tcW w:w="4360" w:type="dxa"/>
            <w:tcBorders>
              <w:bottom w:val="single" w:sz="8" w:space="0" w:color="auto"/>
            </w:tcBorders>
            <w:shd w:val="clear" w:color="auto" w:fill="auto"/>
            <w:vAlign w:val="bottom"/>
          </w:tcPr>
          <w:p w14:paraId="613F429A" w14:textId="77777777" w:rsidR="00A52778" w:rsidRPr="00460F9E" w:rsidRDefault="00A52778" w:rsidP="00FC3F8E">
            <w:pPr>
              <w:spacing w:line="224" w:lineRule="exact"/>
              <w:jc w:val="center"/>
              <w:rPr>
                <w:rFonts w:eastAsia="Times New Roman" w:cs="Times New Roman"/>
                <w:b/>
                <w:w w:val="97"/>
              </w:rPr>
            </w:pPr>
            <w:r w:rsidRPr="00460F9E">
              <w:rPr>
                <w:rFonts w:eastAsia="Times New Roman" w:cs="Times New Roman"/>
                <w:w w:val="97"/>
              </w:rPr>
              <w:t>&lt; 1-10 (</w:t>
            </w:r>
            <w:r w:rsidRPr="00460F9E">
              <w:rPr>
                <w:rFonts w:eastAsia="Times New Roman" w:cs="Times New Roman"/>
                <w:w w:val="97"/>
                <w:sz w:val="25"/>
                <w:vertAlign w:val="superscript"/>
              </w:rPr>
              <w:t>7</w:t>
            </w:r>
            <w:r w:rsidRPr="00460F9E">
              <w:rPr>
                <w:rFonts w:eastAsia="Times New Roman" w:cs="Times New Roman"/>
                <w:w w:val="97"/>
              </w:rPr>
              <w:t>)</w:t>
            </w:r>
          </w:p>
        </w:tc>
      </w:tr>
      <w:tr w:rsidR="00A52778" w:rsidRPr="00460F9E" w14:paraId="6FB859F4" w14:textId="77777777" w:rsidTr="00FC3F8E">
        <w:trPr>
          <w:trHeight w:val="225"/>
        </w:trPr>
        <w:tc>
          <w:tcPr>
            <w:tcW w:w="4240" w:type="dxa"/>
            <w:gridSpan w:val="3"/>
            <w:tcBorders>
              <w:bottom w:val="single" w:sz="8" w:space="0" w:color="auto"/>
              <w:right w:val="single" w:sz="8" w:space="0" w:color="auto"/>
            </w:tcBorders>
            <w:shd w:val="clear" w:color="auto" w:fill="auto"/>
            <w:vAlign w:val="bottom"/>
          </w:tcPr>
          <w:p w14:paraId="1A8867A6" w14:textId="77777777" w:rsidR="00A52778" w:rsidRPr="00460F9E" w:rsidRDefault="00A52778" w:rsidP="00FC3F8E">
            <w:pPr>
              <w:spacing w:line="219" w:lineRule="exact"/>
              <w:ind w:left="180"/>
              <w:rPr>
                <w:rFonts w:eastAsia="Times New Roman" w:cs="Times New Roman"/>
                <w:b/>
              </w:rPr>
            </w:pPr>
            <w:r w:rsidRPr="00460F9E">
              <w:rPr>
                <w:rFonts w:eastAsia="Times New Roman" w:cs="Times New Roman"/>
              </w:rPr>
              <w:t>Benzen</w:t>
            </w:r>
          </w:p>
        </w:tc>
        <w:tc>
          <w:tcPr>
            <w:tcW w:w="4360" w:type="dxa"/>
            <w:tcBorders>
              <w:bottom w:val="single" w:sz="8" w:space="0" w:color="auto"/>
            </w:tcBorders>
            <w:shd w:val="clear" w:color="auto" w:fill="auto"/>
            <w:vAlign w:val="bottom"/>
          </w:tcPr>
          <w:p w14:paraId="7DFD0BBD" w14:textId="77777777" w:rsidR="00A52778" w:rsidRPr="00460F9E" w:rsidRDefault="00A52778" w:rsidP="00FC3F8E">
            <w:pPr>
              <w:spacing w:line="224" w:lineRule="exact"/>
              <w:jc w:val="center"/>
              <w:rPr>
                <w:rFonts w:eastAsia="Times New Roman" w:cs="Times New Roman"/>
                <w:b/>
                <w:w w:val="96"/>
              </w:rPr>
            </w:pPr>
            <w:r w:rsidRPr="00460F9E">
              <w:rPr>
                <w:rFonts w:eastAsia="Times New Roman" w:cs="Times New Roman"/>
                <w:w w:val="96"/>
              </w:rPr>
              <w:t>&lt; 0,5-1 (</w:t>
            </w:r>
            <w:r w:rsidRPr="00460F9E">
              <w:rPr>
                <w:rFonts w:eastAsia="Times New Roman" w:cs="Times New Roman"/>
                <w:w w:val="96"/>
                <w:sz w:val="25"/>
                <w:vertAlign w:val="superscript"/>
              </w:rPr>
              <w:t>8</w:t>
            </w:r>
            <w:r w:rsidRPr="00460F9E">
              <w:rPr>
                <w:rFonts w:eastAsia="Times New Roman" w:cs="Times New Roman"/>
                <w:w w:val="96"/>
              </w:rPr>
              <w:t>)</w:t>
            </w:r>
          </w:p>
        </w:tc>
      </w:tr>
      <w:tr w:rsidR="00A52778" w:rsidRPr="00460F9E" w14:paraId="2C5D9C94" w14:textId="77777777" w:rsidTr="00FC3F8E">
        <w:trPr>
          <w:trHeight w:val="225"/>
        </w:trPr>
        <w:tc>
          <w:tcPr>
            <w:tcW w:w="4240" w:type="dxa"/>
            <w:gridSpan w:val="3"/>
            <w:tcBorders>
              <w:bottom w:val="single" w:sz="8" w:space="0" w:color="auto"/>
              <w:right w:val="single" w:sz="8" w:space="0" w:color="auto"/>
            </w:tcBorders>
            <w:shd w:val="clear" w:color="auto" w:fill="auto"/>
            <w:vAlign w:val="bottom"/>
          </w:tcPr>
          <w:p w14:paraId="0E5FCF11" w14:textId="77777777" w:rsidR="00A52778" w:rsidRPr="00460F9E" w:rsidRDefault="00A52778" w:rsidP="00FC3F8E">
            <w:pPr>
              <w:spacing w:line="219" w:lineRule="exact"/>
              <w:ind w:left="180"/>
              <w:rPr>
                <w:rFonts w:eastAsia="Times New Roman" w:cs="Times New Roman"/>
                <w:b/>
              </w:rPr>
            </w:pPr>
            <w:r w:rsidRPr="00460F9E">
              <w:rPr>
                <w:rFonts w:eastAsia="Times New Roman" w:cs="Times New Roman"/>
              </w:rPr>
              <w:t>1,3-Bütadien</w:t>
            </w:r>
          </w:p>
        </w:tc>
        <w:tc>
          <w:tcPr>
            <w:tcW w:w="4360" w:type="dxa"/>
            <w:tcBorders>
              <w:bottom w:val="single" w:sz="8" w:space="0" w:color="auto"/>
            </w:tcBorders>
            <w:shd w:val="clear" w:color="auto" w:fill="auto"/>
            <w:vAlign w:val="bottom"/>
          </w:tcPr>
          <w:p w14:paraId="0C978889" w14:textId="77777777" w:rsidR="00A52778" w:rsidRPr="00460F9E" w:rsidRDefault="00A52778" w:rsidP="00FC3F8E">
            <w:pPr>
              <w:spacing w:line="224" w:lineRule="exact"/>
              <w:jc w:val="center"/>
              <w:rPr>
                <w:rFonts w:eastAsia="Times New Roman" w:cs="Times New Roman"/>
                <w:b/>
                <w:w w:val="96"/>
              </w:rPr>
            </w:pPr>
            <w:r w:rsidRPr="00460F9E">
              <w:rPr>
                <w:rFonts w:eastAsia="Times New Roman" w:cs="Times New Roman"/>
                <w:w w:val="96"/>
              </w:rPr>
              <w:t>&lt; 0,5-1 (</w:t>
            </w:r>
            <w:r w:rsidRPr="00460F9E">
              <w:rPr>
                <w:rFonts w:eastAsia="Times New Roman" w:cs="Times New Roman"/>
                <w:w w:val="96"/>
                <w:sz w:val="25"/>
                <w:vertAlign w:val="superscript"/>
              </w:rPr>
              <w:t>8</w:t>
            </w:r>
            <w:r w:rsidRPr="00460F9E">
              <w:rPr>
                <w:rFonts w:eastAsia="Times New Roman" w:cs="Times New Roman"/>
                <w:w w:val="96"/>
              </w:rPr>
              <w:t>)</w:t>
            </w:r>
          </w:p>
        </w:tc>
      </w:tr>
      <w:tr w:rsidR="00A52778" w:rsidRPr="00460F9E" w14:paraId="36EFC1C9" w14:textId="77777777" w:rsidTr="00FC3F8E">
        <w:trPr>
          <w:trHeight w:val="225"/>
        </w:trPr>
        <w:tc>
          <w:tcPr>
            <w:tcW w:w="4240" w:type="dxa"/>
            <w:gridSpan w:val="3"/>
            <w:tcBorders>
              <w:bottom w:val="single" w:sz="8" w:space="0" w:color="auto"/>
              <w:right w:val="single" w:sz="8" w:space="0" w:color="auto"/>
            </w:tcBorders>
            <w:shd w:val="clear" w:color="auto" w:fill="auto"/>
            <w:vAlign w:val="bottom"/>
          </w:tcPr>
          <w:p w14:paraId="1E4CA512" w14:textId="77777777" w:rsidR="00A52778" w:rsidRPr="00460F9E" w:rsidRDefault="00A52778" w:rsidP="00FC3F8E">
            <w:pPr>
              <w:spacing w:line="219" w:lineRule="exact"/>
              <w:ind w:left="180"/>
              <w:rPr>
                <w:rFonts w:eastAsia="Times New Roman" w:cs="Times New Roman"/>
                <w:b/>
              </w:rPr>
            </w:pPr>
            <w:r w:rsidRPr="00460F9E">
              <w:rPr>
                <w:rFonts w:eastAsia="Times New Roman" w:cs="Times New Roman"/>
              </w:rPr>
              <w:t>Etilen diklorür</w:t>
            </w:r>
          </w:p>
        </w:tc>
        <w:tc>
          <w:tcPr>
            <w:tcW w:w="4360" w:type="dxa"/>
            <w:tcBorders>
              <w:bottom w:val="single" w:sz="8" w:space="0" w:color="auto"/>
            </w:tcBorders>
            <w:shd w:val="clear" w:color="auto" w:fill="auto"/>
            <w:vAlign w:val="bottom"/>
          </w:tcPr>
          <w:p w14:paraId="7D656C11" w14:textId="77777777" w:rsidR="00A52778" w:rsidRPr="00460F9E" w:rsidRDefault="00A52778" w:rsidP="00FC3F8E">
            <w:pPr>
              <w:spacing w:line="224" w:lineRule="exact"/>
              <w:jc w:val="center"/>
              <w:rPr>
                <w:rFonts w:eastAsia="Times New Roman" w:cs="Times New Roman"/>
                <w:b/>
                <w:w w:val="96"/>
              </w:rPr>
            </w:pPr>
            <w:r w:rsidRPr="00460F9E">
              <w:rPr>
                <w:rFonts w:eastAsia="Times New Roman" w:cs="Times New Roman"/>
                <w:w w:val="96"/>
              </w:rPr>
              <w:t>&lt; 0,5-1 (</w:t>
            </w:r>
            <w:r w:rsidRPr="00460F9E">
              <w:rPr>
                <w:rFonts w:eastAsia="Times New Roman" w:cs="Times New Roman"/>
                <w:w w:val="96"/>
                <w:sz w:val="25"/>
                <w:vertAlign w:val="superscript"/>
              </w:rPr>
              <w:t>8</w:t>
            </w:r>
            <w:r w:rsidRPr="00460F9E">
              <w:rPr>
                <w:rFonts w:eastAsia="Times New Roman" w:cs="Times New Roman"/>
                <w:w w:val="96"/>
              </w:rPr>
              <w:t>)</w:t>
            </w:r>
          </w:p>
        </w:tc>
      </w:tr>
      <w:tr w:rsidR="00A52778" w:rsidRPr="00460F9E" w14:paraId="3D65C58B" w14:textId="77777777" w:rsidTr="00FC3F8E">
        <w:trPr>
          <w:trHeight w:val="225"/>
        </w:trPr>
        <w:tc>
          <w:tcPr>
            <w:tcW w:w="4240" w:type="dxa"/>
            <w:gridSpan w:val="3"/>
            <w:tcBorders>
              <w:bottom w:val="single" w:sz="8" w:space="0" w:color="auto"/>
              <w:right w:val="single" w:sz="8" w:space="0" w:color="auto"/>
            </w:tcBorders>
            <w:shd w:val="clear" w:color="auto" w:fill="auto"/>
            <w:vAlign w:val="bottom"/>
          </w:tcPr>
          <w:p w14:paraId="26EA0E5E" w14:textId="77777777" w:rsidR="00A52778" w:rsidRPr="00460F9E" w:rsidRDefault="00A52778" w:rsidP="00FC3F8E">
            <w:pPr>
              <w:spacing w:line="219" w:lineRule="exact"/>
              <w:ind w:left="180"/>
              <w:rPr>
                <w:rFonts w:eastAsia="Times New Roman" w:cs="Times New Roman"/>
                <w:b/>
              </w:rPr>
            </w:pPr>
            <w:r w:rsidRPr="00460F9E">
              <w:rPr>
                <w:rFonts w:eastAsia="Times New Roman" w:cs="Times New Roman"/>
              </w:rPr>
              <w:t>Etilen oksit</w:t>
            </w:r>
          </w:p>
        </w:tc>
        <w:tc>
          <w:tcPr>
            <w:tcW w:w="4360" w:type="dxa"/>
            <w:tcBorders>
              <w:bottom w:val="single" w:sz="8" w:space="0" w:color="auto"/>
            </w:tcBorders>
            <w:shd w:val="clear" w:color="auto" w:fill="auto"/>
            <w:vAlign w:val="bottom"/>
          </w:tcPr>
          <w:p w14:paraId="7C35F786" w14:textId="77777777" w:rsidR="00A52778" w:rsidRPr="00460F9E" w:rsidRDefault="00A52778" w:rsidP="00FC3F8E">
            <w:pPr>
              <w:spacing w:line="224" w:lineRule="exact"/>
              <w:jc w:val="center"/>
              <w:rPr>
                <w:rFonts w:eastAsia="Times New Roman" w:cs="Times New Roman"/>
                <w:b/>
                <w:w w:val="96"/>
              </w:rPr>
            </w:pPr>
            <w:r w:rsidRPr="00460F9E">
              <w:rPr>
                <w:rFonts w:eastAsia="Times New Roman" w:cs="Times New Roman"/>
                <w:w w:val="96"/>
              </w:rPr>
              <w:t>&lt; 0,5-1 (</w:t>
            </w:r>
            <w:r w:rsidRPr="00460F9E">
              <w:rPr>
                <w:rFonts w:eastAsia="Times New Roman" w:cs="Times New Roman"/>
                <w:w w:val="96"/>
                <w:sz w:val="25"/>
                <w:vertAlign w:val="superscript"/>
              </w:rPr>
              <w:t>8</w:t>
            </w:r>
            <w:r w:rsidRPr="00460F9E">
              <w:rPr>
                <w:rFonts w:eastAsia="Times New Roman" w:cs="Times New Roman"/>
                <w:w w:val="96"/>
              </w:rPr>
              <w:t>)</w:t>
            </w:r>
          </w:p>
        </w:tc>
      </w:tr>
      <w:tr w:rsidR="00A52778" w:rsidRPr="00460F9E" w14:paraId="29FC08ED" w14:textId="77777777" w:rsidTr="00FC3F8E">
        <w:trPr>
          <w:trHeight w:val="225"/>
        </w:trPr>
        <w:tc>
          <w:tcPr>
            <w:tcW w:w="4240" w:type="dxa"/>
            <w:gridSpan w:val="3"/>
            <w:tcBorders>
              <w:bottom w:val="single" w:sz="8" w:space="0" w:color="auto"/>
              <w:right w:val="single" w:sz="8" w:space="0" w:color="auto"/>
            </w:tcBorders>
            <w:shd w:val="clear" w:color="auto" w:fill="auto"/>
            <w:vAlign w:val="bottom"/>
          </w:tcPr>
          <w:p w14:paraId="045834B3" w14:textId="77777777" w:rsidR="00A52778" w:rsidRPr="00460F9E" w:rsidRDefault="00A52778" w:rsidP="00FC3F8E">
            <w:pPr>
              <w:spacing w:line="219" w:lineRule="exact"/>
              <w:ind w:left="180"/>
              <w:rPr>
                <w:rFonts w:eastAsia="Times New Roman" w:cs="Times New Roman"/>
                <w:b/>
              </w:rPr>
            </w:pPr>
            <w:r w:rsidRPr="00460F9E">
              <w:rPr>
                <w:rFonts w:eastAsia="Times New Roman" w:cs="Times New Roman"/>
              </w:rPr>
              <w:t>Propilen oksit</w:t>
            </w:r>
          </w:p>
        </w:tc>
        <w:tc>
          <w:tcPr>
            <w:tcW w:w="4360" w:type="dxa"/>
            <w:tcBorders>
              <w:bottom w:val="single" w:sz="8" w:space="0" w:color="auto"/>
            </w:tcBorders>
            <w:shd w:val="clear" w:color="auto" w:fill="auto"/>
            <w:vAlign w:val="bottom"/>
          </w:tcPr>
          <w:p w14:paraId="46EA6A47" w14:textId="77777777" w:rsidR="00A52778" w:rsidRPr="00460F9E" w:rsidRDefault="00A52778" w:rsidP="00FC3F8E">
            <w:pPr>
              <w:spacing w:line="224" w:lineRule="exact"/>
              <w:jc w:val="center"/>
              <w:rPr>
                <w:rFonts w:eastAsia="Times New Roman" w:cs="Times New Roman"/>
                <w:b/>
                <w:w w:val="96"/>
              </w:rPr>
            </w:pPr>
            <w:r w:rsidRPr="00460F9E">
              <w:rPr>
                <w:rFonts w:eastAsia="Times New Roman" w:cs="Times New Roman"/>
                <w:w w:val="96"/>
              </w:rPr>
              <w:t>&lt; 0,5-1 (</w:t>
            </w:r>
            <w:r w:rsidRPr="00460F9E">
              <w:rPr>
                <w:rFonts w:eastAsia="Times New Roman" w:cs="Times New Roman"/>
                <w:w w:val="96"/>
                <w:sz w:val="25"/>
                <w:vertAlign w:val="superscript"/>
              </w:rPr>
              <w:t>8</w:t>
            </w:r>
            <w:r w:rsidRPr="00460F9E">
              <w:rPr>
                <w:rFonts w:eastAsia="Times New Roman" w:cs="Times New Roman"/>
                <w:w w:val="96"/>
              </w:rPr>
              <w:t>)</w:t>
            </w:r>
          </w:p>
        </w:tc>
      </w:tr>
      <w:tr w:rsidR="00A52778" w:rsidRPr="00460F9E" w14:paraId="6B4CA2E8" w14:textId="77777777" w:rsidTr="00FC3F8E">
        <w:trPr>
          <w:trHeight w:val="225"/>
        </w:trPr>
        <w:tc>
          <w:tcPr>
            <w:tcW w:w="4240" w:type="dxa"/>
            <w:gridSpan w:val="3"/>
            <w:tcBorders>
              <w:bottom w:val="single" w:sz="8" w:space="0" w:color="auto"/>
              <w:right w:val="single" w:sz="8" w:space="0" w:color="auto"/>
            </w:tcBorders>
            <w:shd w:val="clear" w:color="auto" w:fill="auto"/>
            <w:vAlign w:val="bottom"/>
          </w:tcPr>
          <w:p w14:paraId="44EF2B7D" w14:textId="77777777" w:rsidR="00A52778" w:rsidRPr="00460F9E" w:rsidRDefault="00A52778" w:rsidP="00FC3F8E">
            <w:pPr>
              <w:spacing w:line="219" w:lineRule="exact"/>
              <w:ind w:left="180"/>
              <w:rPr>
                <w:rFonts w:eastAsia="Times New Roman" w:cs="Times New Roman"/>
                <w:b/>
              </w:rPr>
            </w:pPr>
            <w:r w:rsidRPr="00460F9E">
              <w:rPr>
                <w:rFonts w:eastAsia="Times New Roman" w:cs="Times New Roman"/>
              </w:rPr>
              <w:t>Formaldehid</w:t>
            </w:r>
          </w:p>
        </w:tc>
        <w:tc>
          <w:tcPr>
            <w:tcW w:w="4360" w:type="dxa"/>
            <w:tcBorders>
              <w:bottom w:val="single" w:sz="8" w:space="0" w:color="auto"/>
            </w:tcBorders>
            <w:shd w:val="clear" w:color="auto" w:fill="auto"/>
            <w:vAlign w:val="bottom"/>
          </w:tcPr>
          <w:p w14:paraId="26642783" w14:textId="77777777" w:rsidR="00A52778" w:rsidRPr="00460F9E" w:rsidRDefault="00A52778" w:rsidP="00FC3F8E">
            <w:pPr>
              <w:spacing w:line="224" w:lineRule="exact"/>
              <w:jc w:val="center"/>
              <w:rPr>
                <w:rFonts w:eastAsia="Times New Roman" w:cs="Times New Roman"/>
                <w:b/>
                <w:w w:val="93"/>
              </w:rPr>
            </w:pPr>
            <w:r w:rsidRPr="00460F9E">
              <w:rPr>
                <w:rFonts w:eastAsia="Times New Roman" w:cs="Times New Roman"/>
                <w:w w:val="93"/>
              </w:rPr>
              <w:t>1-5 (</w:t>
            </w:r>
            <w:r w:rsidRPr="00460F9E">
              <w:rPr>
                <w:rFonts w:eastAsia="Times New Roman" w:cs="Times New Roman"/>
                <w:w w:val="93"/>
                <w:sz w:val="25"/>
                <w:vertAlign w:val="superscript"/>
              </w:rPr>
              <w:t>8</w:t>
            </w:r>
            <w:r w:rsidRPr="00460F9E">
              <w:rPr>
                <w:rFonts w:eastAsia="Times New Roman" w:cs="Times New Roman"/>
                <w:w w:val="93"/>
              </w:rPr>
              <w:t>)</w:t>
            </w:r>
          </w:p>
        </w:tc>
      </w:tr>
      <w:tr w:rsidR="00A52778" w:rsidRPr="00460F9E" w14:paraId="0A5C922B" w14:textId="77777777" w:rsidTr="00FC3F8E">
        <w:trPr>
          <w:trHeight w:val="227"/>
        </w:trPr>
        <w:tc>
          <w:tcPr>
            <w:tcW w:w="4240" w:type="dxa"/>
            <w:gridSpan w:val="3"/>
            <w:tcBorders>
              <w:bottom w:val="single" w:sz="8" w:space="0" w:color="auto"/>
              <w:right w:val="single" w:sz="8" w:space="0" w:color="auto"/>
            </w:tcBorders>
            <w:shd w:val="clear" w:color="auto" w:fill="auto"/>
            <w:vAlign w:val="bottom"/>
          </w:tcPr>
          <w:p w14:paraId="761281B5" w14:textId="77777777" w:rsidR="00A52778" w:rsidRPr="00460F9E" w:rsidRDefault="00A52778" w:rsidP="00FC3F8E">
            <w:pPr>
              <w:spacing w:line="221" w:lineRule="exact"/>
              <w:ind w:left="180"/>
              <w:rPr>
                <w:rFonts w:eastAsia="Times New Roman" w:cs="Times New Roman"/>
                <w:b/>
              </w:rPr>
            </w:pPr>
            <w:r w:rsidRPr="00460F9E">
              <w:rPr>
                <w:rFonts w:eastAsia="Times New Roman" w:cs="Times New Roman"/>
              </w:rPr>
              <w:t>Klorometan</w:t>
            </w:r>
          </w:p>
        </w:tc>
        <w:tc>
          <w:tcPr>
            <w:tcW w:w="4360" w:type="dxa"/>
            <w:tcBorders>
              <w:bottom w:val="single" w:sz="8" w:space="0" w:color="auto"/>
            </w:tcBorders>
            <w:shd w:val="clear" w:color="auto" w:fill="auto"/>
            <w:vAlign w:val="bottom"/>
          </w:tcPr>
          <w:p w14:paraId="3F06FE75" w14:textId="77777777" w:rsidR="00A52778" w:rsidRPr="00460F9E" w:rsidRDefault="00A52778" w:rsidP="00FC3F8E">
            <w:pPr>
              <w:spacing w:line="227" w:lineRule="exact"/>
              <w:jc w:val="center"/>
              <w:rPr>
                <w:rFonts w:eastAsia="Times New Roman" w:cs="Times New Roman"/>
                <w:b/>
                <w:w w:val="95"/>
              </w:rPr>
            </w:pPr>
            <w:r w:rsidRPr="00460F9E">
              <w:rPr>
                <w:rFonts w:eastAsia="Times New Roman" w:cs="Times New Roman"/>
                <w:w w:val="95"/>
              </w:rPr>
              <w:t>&lt; 0,5-1 (</w:t>
            </w:r>
            <w:r w:rsidRPr="00460F9E">
              <w:rPr>
                <w:rFonts w:eastAsia="Times New Roman" w:cs="Times New Roman"/>
                <w:w w:val="95"/>
                <w:sz w:val="25"/>
                <w:vertAlign w:val="superscript"/>
              </w:rPr>
              <w:t>9</w:t>
            </w:r>
            <w:r w:rsidRPr="00460F9E">
              <w:rPr>
                <w:rFonts w:eastAsia="Times New Roman" w:cs="Times New Roman"/>
                <w:w w:val="95"/>
              </w:rPr>
              <w:t>) (</w:t>
            </w:r>
            <w:r w:rsidRPr="00460F9E">
              <w:rPr>
                <w:rFonts w:eastAsia="Times New Roman" w:cs="Times New Roman"/>
                <w:w w:val="95"/>
                <w:sz w:val="25"/>
                <w:vertAlign w:val="superscript"/>
              </w:rPr>
              <w:t>10</w:t>
            </w:r>
            <w:r w:rsidRPr="00460F9E">
              <w:rPr>
                <w:rFonts w:eastAsia="Times New Roman" w:cs="Times New Roman"/>
                <w:w w:val="95"/>
              </w:rPr>
              <w:t>)</w:t>
            </w:r>
          </w:p>
        </w:tc>
      </w:tr>
      <w:tr w:rsidR="00A52778" w:rsidRPr="00460F9E" w14:paraId="7DCC894C" w14:textId="77777777" w:rsidTr="00FC3F8E">
        <w:trPr>
          <w:trHeight w:val="225"/>
        </w:trPr>
        <w:tc>
          <w:tcPr>
            <w:tcW w:w="4240" w:type="dxa"/>
            <w:gridSpan w:val="3"/>
            <w:tcBorders>
              <w:bottom w:val="single" w:sz="8" w:space="0" w:color="auto"/>
              <w:right w:val="single" w:sz="8" w:space="0" w:color="auto"/>
            </w:tcBorders>
            <w:shd w:val="clear" w:color="auto" w:fill="auto"/>
            <w:vAlign w:val="bottom"/>
          </w:tcPr>
          <w:p w14:paraId="1C602FEC" w14:textId="77777777" w:rsidR="00A52778" w:rsidRPr="00460F9E" w:rsidRDefault="00A52778" w:rsidP="00FC3F8E">
            <w:pPr>
              <w:spacing w:line="219" w:lineRule="exact"/>
              <w:ind w:left="180"/>
              <w:rPr>
                <w:rFonts w:eastAsia="Times New Roman" w:cs="Times New Roman"/>
                <w:b/>
              </w:rPr>
            </w:pPr>
            <w:r w:rsidRPr="00460F9E">
              <w:rPr>
                <w:rFonts w:eastAsia="Times New Roman" w:cs="Times New Roman"/>
              </w:rPr>
              <w:t>Diklorometan</w:t>
            </w:r>
          </w:p>
        </w:tc>
        <w:tc>
          <w:tcPr>
            <w:tcW w:w="4360" w:type="dxa"/>
            <w:tcBorders>
              <w:bottom w:val="single" w:sz="8" w:space="0" w:color="auto"/>
            </w:tcBorders>
            <w:shd w:val="clear" w:color="auto" w:fill="auto"/>
            <w:vAlign w:val="bottom"/>
          </w:tcPr>
          <w:p w14:paraId="311B4255" w14:textId="77777777" w:rsidR="00A52778" w:rsidRPr="00460F9E" w:rsidRDefault="00A52778" w:rsidP="00FC3F8E">
            <w:pPr>
              <w:spacing w:line="226" w:lineRule="exact"/>
              <w:jc w:val="center"/>
              <w:rPr>
                <w:rFonts w:eastAsia="Times New Roman" w:cs="Times New Roman"/>
                <w:b/>
                <w:w w:val="95"/>
              </w:rPr>
            </w:pPr>
            <w:r w:rsidRPr="00460F9E">
              <w:rPr>
                <w:rFonts w:eastAsia="Times New Roman" w:cs="Times New Roman"/>
                <w:w w:val="95"/>
              </w:rPr>
              <w:t>&lt; 0,5-1 (</w:t>
            </w:r>
            <w:r w:rsidRPr="00460F9E">
              <w:rPr>
                <w:rFonts w:eastAsia="Times New Roman" w:cs="Times New Roman"/>
                <w:w w:val="95"/>
                <w:sz w:val="25"/>
                <w:vertAlign w:val="superscript"/>
              </w:rPr>
              <w:t>9</w:t>
            </w:r>
            <w:r w:rsidRPr="00460F9E">
              <w:rPr>
                <w:rFonts w:eastAsia="Times New Roman" w:cs="Times New Roman"/>
                <w:w w:val="95"/>
              </w:rPr>
              <w:t>) (</w:t>
            </w:r>
            <w:r w:rsidRPr="00460F9E">
              <w:rPr>
                <w:rFonts w:eastAsia="Times New Roman" w:cs="Times New Roman"/>
                <w:w w:val="95"/>
                <w:sz w:val="25"/>
                <w:vertAlign w:val="superscript"/>
              </w:rPr>
              <w:t>10</w:t>
            </w:r>
            <w:r w:rsidRPr="00460F9E">
              <w:rPr>
                <w:rFonts w:eastAsia="Times New Roman" w:cs="Times New Roman"/>
                <w:w w:val="95"/>
              </w:rPr>
              <w:t>)</w:t>
            </w:r>
          </w:p>
        </w:tc>
      </w:tr>
      <w:tr w:rsidR="00A52778" w:rsidRPr="00460F9E" w14:paraId="3D63AAFE" w14:textId="77777777" w:rsidTr="00FC3F8E">
        <w:trPr>
          <w:trHeight w:val="225"/>
        </w:trPr>
        <w:tc>
          <w:tcPr>
            <w:tcW w:w="4240" w:type="dxa"/>
            <w:gridSpan w:val="3"/>
            <w:tcBorders>
              <w:bottom w:val="single" w:sz="8" w:space="0" w:color="auto"/>
              <w:right w:val="single" w:sz="8" w:space="0" w:color="auto"/>
            </w:tcBorders>
            <w:shd w:val="clear" w:color="auto" w:fill="auto"/>
            <w:vAlign w:val="bottom"/>
          </w:tcPr>
          <w:p w14:paraId="2ABC2152" w14:textId="77777777" w:rsidR="00A52778" w:rsidRPr="00460F9E" w:rsidRDefault="00A52778" w:rsidP="00FC3F8E">
            <w:pPr>
              <w:spacing w:line="219" w:lineRule="exact"/>
              <w:ind w:left="180"/>
              <w:rPr>
                <w:rFonts w:eastAsia="Times New Roman" w:cs="Times New Roman"/>
                <w:b/>
              </w:rPr>
            </w:pPr>
            <w:r w:rsidRPr="00460F9E">
              <w:rPr>
                <w:rFonts w:eastAsia="Times New Roman" w:cs="Times New Roman"/>
              </w:rPr>
              <w:t>Tetraklorometan</w:t>
            </w:r>
          </w:p>
        </w:tc>
        <w:tc>
          <w:tcPr>
            <w:tcW w:w="4360" w:type="dxa"/>
            <w:tcBorders>
              <w:bottom w:val="single" w:sz="8" w:space="0" w:color="auto"/>
            </w:tcBorders>
            <w:shd w:val="clear" w:color="auto" w:fill="auto"/>
            <w:vAlign w:val="bottom"/>
          </w:tcPr>
          <w:p w14:paraId="0E57123F" w14:textId="77777777" w:rsidR="00A52778" w:rsidRPr="00460F9E" w:rsidRDefault="00A52778" w:rsidP="00FC3F8E">
            <w:pPr>
              <w:spacing w:line="224" w:lineRule="exact"/>
              <w:jc w:val="center"/>
              <w:rPr>
                <w:rFonts w:eastAsia="Times New Roman" w:cs="Times New Roman"/>
                <w:b/>
                <w:w w:val="95"/>
              </w:rPr>
            </w:pPr>
            <w:r w:rsidRPr="00460F9E">
              <w:rPr>
                <w:rFonts w:eastAsia="Times New Roman" w:cs="Times New Roman"/>
                <w:w w:val="95"/>
              </w:rPr>
              <w:t>&lt; 0,5-1 (</w:t>
            </w:r>
            <w:r w:rsidRPr="00460F9E">
              <w:rPr>
                <w:rFonts w:eastAsia="Times New Roman" w:cs="Times New Roman"/>
                <w:w w:val="95"/>
                <w:sz w:val="25"/>
                <w:vertAlign w:val="superscript"/>
              </w:rPr>
              <w:t>9</w:t>
            </w:r>
            <w:r w:rsidRPr="00460F9E">
              <w:rPr>
                <w:rFonts w:eastAsia="Times New Roman" w:cs="Times New Roman"/>
                <w:w w:val="95"/>
              </w:rPr>
              <w:t>) (</w:t>
            </w:r>
            <w:r w:rsidRPr="00460F9E">
              <w:rPr>
                <w:rFonts w:eastAsia="Times New Roman" w:cs="Times New Roman"/>
                <w:w w:val="95"/>
                <w:sz w:val="25"/>
                <w:vertAlign w:val="superscript"/>
              </w:rPr>
              <w:t>10</w:t>
            </w:r>
            <w:r w:rsidRPr="00460F9E">
              <w:rPr>
                <w:rFonts w:eastAsia="Times New Roman" w:cs="Times New Roman"/>
                <w:w w:val="95"/>
              </w:rPr>
              <w:t>)</w:t>
            </w:r>
          </w:p>
        </w:tc>
      </w:tr>
      <w:tr w:rsidR="00A52778" w:rsidRPr="00460F9E" w14:paraId="6795324A" w14:textId="77777777" w:rsidTr="00FC3F8E">
        <w:trPr>
          <w:trHeight w:val="225"/>
        </w:trPr>
        <w:tc>
          <w:tcPr>
            <w:tcW w:w="4240" w:type="dxa"/>
            <w:gridSpan w:val="3"/>
            <w:tcBorders>
              <w:bottom w:val="single" w:sz="8" w:space="0" w:color="auto"/>
              <w:right w:val="single" w:sz="8" w:space="0" w:color="auto"/>
            </w:tcBorders>
            <w:shd w:val="clear" w:color="auto" w:fill="auto"/>
            <w:vAlign w:val="bottom"/>
          </w:tcPr>
          <w:p w14:paraId="33A39D47" w14:textId="77777777" w:rsidR="00A52778" w:rsidRPr="00460F9E" w:rsidRDefault="00A52778" w:rsidP="00FC3F8E">
            <w:pPr>
              <w:spacing w:line="219" w:lineRule="exact"/>
              <w:ind w:left="180"/>
              <w:rPr>
                <w:rFonts w:eastAsia="Times New Roman" w:cs="Times New Roman"/>
                <w:b/>
              </w:rPr>
            </w:pPr>
            <w:r w:rsidRPr="00460F9E">
              <w:rPr>
                <w:rFonts w:eastAsia="Times New Roman" w:cs="Times New Roman"/>
              </w:rPr>
              <w:t>Toluen</w:t>
            </w:r>
          </w:p>
        </w:tc>
        <w:tc>
          <w:tcPr>
            <w:tcW w:w="4360" w:type="dxa"/>
            <w:tcBorders>
              <w:bottom w:val="single" w:sz="8" w:space="0" w:color="auto"/>
            </w:tcBorders>
            <w:shd w:val="clear" w:color="auto" w:fill="auto"/>
            <w:vAlign w:val="bottom"/>
          </w:tcPr>
          <w:p w14:paraId="26D57FD1" w14:textId="77777777" w:rsidR="00A52778" w:rsidRPr="00460F9E" w:rsidRDefault="00A52778" w:rsidP="00FC3F8E">
            <w:pPr>
              <w:spacing w:line="224" w:lineRule="exact"/>
              <w:jc w:val="center"/>
              <w:rPr>
                <w:rFonts w:eastAsia="Times New Roman" w:cs="Times New Roman"/>
                <w:b/>
                <w:w w:val="95"/>
              </w:rPr>
            </w:pPr>
            <w:r w:rsidRPr="00460F9E">
              <w:rPr>
                <w:rFonts w:eastAsia="Times New Roman" w:cs="Times New Roman"/>
                <w:w w:val="95"/>
              </w:rPr>
              <w:t>&lt; 0,5-1 (</w:t>
            </w:r>
            <w:r w:rsidRPr="00460F9E">
              <w:rPr>
                <w:rFonts w:eastAsia="Times New Roman" w:cs="Times New Roman"/>
                <w:w w:val="95"/>
                <w:sz w:val="25"/>
                <w:vertAlign w:val="superscript"/>
              </w:rPr>
              <w:t>9</w:t>
            </w:r>
            <w:r w:rsidRPr="00460F9E">
              <w:rPr>
                <w:rFonts w:eastAsia="Times New Roman" w:cs="Times New Roman"/>
                <w:w w:val="95"/>
              </w:rPr>
              <w:t>) (</w:t>
            </w:r>
            <w:r w:rsidRPr="00460F9E">
              <w:rPr>
                <w:rFonts w:eastAsia="Times New Roman" w:cs="Times New Roman"/>
                <w:w w:val="95"/>
                <w:sz w:val="25"/>
                <w:vertAlign w:val="superscript"/>
              </w:rPr>
              <w:t>11</w:t>
            </w:r>
            <w:r w:rsidRPr="00460F9E">
              <w:rPr>
                <w:rFonts w:eastAsia="Times New Roman" w:cs="Times New Roman"/>
                <w:w w:val="95"/>
              </w:rPr>
              <w:t>)</w:t>
            </w:r>
          </w:p>
        </w:tc>
      </w:tr>
      <w:tr w:rsidR="00A52778" w:rsidRPr="00460F9E" w14:paraId="37E5D861" w14:textId="77777777" w:rsidTr="00FC3F8E">
        <w:trPr>
          <w:trHeight w:val="225"/>
        </w:trPr>
        <w:tc>
          <w:tcPr>
            <w:tcW w:w="4240" w:type="dxa"/>
            <w:gridSpan w:val="3"/>
            <w:tcBorders>
              <w:bottom w:val="single" w:sz="8" w:space="0" w:color="auto"/>
              <w:right w:val="single" w:sz="8" w:space="0" w:color="auto"/>
            </w:tcBorders>
            <w:shd w:val="clear" w:color="auto" w:fill="auto"/>
            <w:vAlign w:val="bottom"/>
          </w:tcPr>
          <w:p w14:paraId="61B73804" w14:textId="77777777" w:rsidR="00A52778" w:rsidRPr="00460F9E" w:rsidRDefault="00A52778" w:rsidP="00FC3F8E">
            <w:pPr>
              <w:spacing w:line="219" w:lineRule="exact"/>
              <w:ind w:left="180"/>
              <w:rPr>
                <w:rFonts w:eastAsia="Times New Roman" w:cs="Times New Roman"/>
                <w:b/>
              </w:rPr>
            </w:pPr>
            <w:r w:rsidRPr="00460F9E">
              <w:rPr>
                <w:rFonts w:eastAsia="Times New Roman" w:cs="Times New Roman"/>
              </w:rPr>
              <w:t>Triklorometan</w:t>
            </w:r>
          </w:p>
        </w:tc>
        <w:tc>
          <w:tcPr>
            <w:tcW w:w="4360" w:type="dxa"/>
            <w:tcBorders>
              <w:bottom w:val="single" w:sz="8" w:space="0" w:color="auto"/>
            </w:tcBorders>
            <w:shd w:val="clear" w:color="auto" w:fill="auto"/>
            <w:vAlign w:val="bottom"/>
          </w:tcPr>
          <w:p w14:paraId="4CECEA50" w14:textId="77777777" w:rsidR="00A52778" w:rsidRPr="00460F9E" w:rsidRDefault="00A52778" w:rsidP="00FC3F8E">
            <w:pPr>
              <w:spacing w:line="224" w:lineRule="exact"/>
              <w:jc w:val="center"/>
              <w:rPr>
                <w:rFonts w:eastAsia="Times New Roman" w:cs="Times New Roman"/>
                <w:b/>
                <w:w w:val="95"/>
              </w:rPr>
            </w:pPr>
            <w:r w:rsidRPr="00460F9E">
              <w:rPr>
                <w:rFonts w:eastAsia="Times New Roman" w:cs="Times New Roman"/>
                <w:w w:val="95"/>
              </w:rPr>
              <w:t>&lt; 0,5-1 (</w:t>
            </w:r>
            <w:r w:rsidRPr="00460F9E">
              <w:rPr>
                <w:rFonts w:eastAsia="Times New Roman" w:cs="Times New Roman"/>
                <w:w w:val="95"/>
                <w:sz w:val="25"/>
                <w:vertAlign w:val="superscript"/>
              </w:rPr>
              <w:t>9</w:t>
            </w:r>
            <w:r w:rsidRPr="00460F9E">
              <w:rPr>
                <w:rFonts w:eastAsia="Times New Roman" w:cs="Times New Roman"/>
                <w:w w:val="95"/>
              </w:rPr>
              <w:t>) (</w:t>
            </w:r>
            <w:r w:rsidRPr="00460F9E">
              <w:rPr>
                <w:rFonts w:eastAsia="Times New Roman" w:cs="Times New Roman"/>
                <w:w w:val="95"/>
                <w:sz w:val="25"/>
                <w:vertAlign w:val="superscript"/>
              </w:rPr>
              <w:t>10</w:t>
            </w:r>
            <w:r w:rsidRPr="00460F9E">
              <w:rPr>
                <w:rFonts w:eastAsia="Times New Roman" w:cs="Times New Roman"/>
                <w:w w:val="95"/>
              </w:rPr>
              <w:t>)</w:t>
            </w:r>
          </w:p>
        </w:tc>
      </w:tr>
      <w:tr w:rsidR="00A52778" w:rsidRPr="009F3A70" w14:paraId="026DBEB2" w14:textId="77777777" w:rsidTr="00FC3F8E">
        <w:trPr>
          <w:trHeight w:val="170"/>
        </w:trPr>
        <w:tc>
          <w:tcPr>
            <w:tcW w:w="400" w:type="dxa"/>
            <w:shd w:val="clear" w:color="auto" w:fill="auto"/>
            <w:vAlign w:val="bottom"/>
          </w:tcPr>
          <w:p w14:paraId="07AAC880" w14:textId="77777777" w:rsidR="00A52778" w:rsidRPr="009F3A70" w:rsidRDefault="00A52778" w:rsidP="00FC3F8E">
            <w:pPr>
              <w:spacing w:line="205" w:lineRule="exact"/>
              <w:ind w:left="180"/>
              <w:rPr>
                <w:rFonts w:eastAsia="Times New Roman" w:cs="Times New Roman"/>
                <w:b/>
                <w:sz w:val="17"/>
              </w:rPr>
            </w:pPr>
            <w:r w:rsidRPr="009F3A70">
              <w:rPr>
                <w:rFonts w:eastAsia="Times New Roman" w:cs="Times New Roman"/>
                <w:sz w:val="17"/>
              </w:rPr>
              <w:t>(</w:t>
            </w:r>
            <w:r w:rsidRPr="009F3A70">
              <w:rPr>
                <w:rFonts w:eastAsia="Times New Roman" w:cs="Times New Roman"/>
                <w:sz w:val="23"/>
                <w:vertAlign w:val="superscript"/>
              </w:rPr>
              <w:t>1</w:t>
            </w:r>
            <w:r w:rsidRPr="009F3A70">
              <w:rPr>
                <w:rFonts w:eastAsia="Times New Roman" w:cs="Times New Roman"/>
                <w:sz w:val="17"/>
              </w:rPr>
              <w:t>)</w:t>
            </w:r>
          </w:p>
        </w:tc>
        <w:tc>
          <w:tcPr>
            <w:tcW w:w="8200" w:type="dxa"/>
            <w:gridSpan w:val="3"/>
            <w:vMerge w:val="restart"/>
            <w:shd w:val="clear" w:color="auto" w:fill="auto"/>
          </w:tcPr>
          <w:p w14:paraId="3DDA8003" w14:textId="77777777" w:rsidR="00A52778" w:rsidRPr="009F3A70" w:rsidRDefault="00A52778" w:rsidP="00FC3F8E">
            <w:pPr>
              <w:spacing w:line="197" w:lineRule="exact"/>
              <w:ind w:left="60"/>
              <w:rPr>
                <w:rFonts w:eastAsia="Times New Roman" w:cs="Times New Roman"/>
                <w:b/>
                <w:sz w:val="18"/>
              </w:rPr>
            </w:pPr>
            <w:r w:rsidRPr="009F3A70">
              <w:rPr>
                <w:rFonts w:eastAsia="Times New Roman" w:cs="Times New Roman"/>
                <w:sz w:val="18"/>
              </w:rPr>
              <w:t xml:space="preserve">IED Ek VII Kısım 1, Madde 8 ve 10 altında listelenen faaliyetler için MET-AEL aralıkları, IED Ek VII Kısım 2 ve 4' teki emisyon sınır değerlerinden daha düşük emisyon seviyelerine yol açtıkları ölçüde geçerlidir. </w:t>
            </w:r>
          </w:p>
        </w:tc>
      </w:tr>
      <w:tr w:rsidR="00A52778" w:rsidRPr="009F3A70" w14:paraId="47F2BCBA" w14:textId="77777777" w:rsidTr="00FC3F8E">
        <w:trPr>
          <w:trHeight w:val="197"/>
        </w:trPr>
        <w:tc>
          <w:tcPr>
            <w:tcW w:w="400" w:type="dxa"/>
            <w:shd w:val="clear" w:color="auto" w:fill="auto"/>
            <w:vAlign w:val="bottom"/>
          </w:tcPr>
          <w:p w14:paraId="473970B4" w14:textId="77777777" w:rsidR="00A52778" w:rsidRPr="009F3A70" w:rsidRDefault="00A52778" w:rsidP="00FC3F8E">
            <w:pPr>
              <w:spacing w:line="0" w:lineRule="atLeast"/>
              <w:rPr>
                <w:rFonts w:eastAsia="Times New Roman" w:cs="Times New Roman"/>
                <w:b/>
                <w:sz w:val="17"/>
              </w:rPr>
            </w:pPr>
          </w:p>
        </w:tc>
        <w:tc>
          <w:tcPr>
            <w:tcW w:w="8200" w:type="dxa"/>
            <w:gridSpan w:val="3"/>
            <w:vMerge/>
            <w:shd w:val="clear" w:color="auto" w:fill="auto"/>
            <w:vAlign w:val="bottom"/>
          </w:tcPr>
          <w:p w14:paraId="01A59286" w14:textId="77777777" w:rsidR="00A52778" w:rsidRPr="009F3A70" w:rsidRDefault="00A52778" w:rsidP="00FC3F8E">
            <w:pPr>
              <w:spacing w:line="197" w:lineRule="exact"/>
              <w:ind w:left="60"/>
              <w:rPr>
                <w:rFonts w:eastAsia="Times New Roman" w:cs="Times New Roman"/>
                <w:b/>
                <w:sz w:val="18"/>
              </w:rPr>
            </w:pPr>
          </w:p>
        </w:tc>
      </w:tr>
      <w:tr w:rsidR="00A52778" w:rsidRPr="009F3A70" w14:paraId="2984A72B" w14:textId="77777777" w:rsidTr="00FC3F8E">
        <w:trPr>
          <w:trHeight w:val="209"/>
        </w:trPr>
        <w:tc>
          <w:tcPr>
            <w:tcW w:w="400" w:type="dxa"/>
            <w:shd w:val="clear" w:color="auto" w:fill="auto"/>
            <w:vAlign w:val="bottom"/>
          </w:tcPr>
          <w:p w14:paraId="463EFF31" w14:textId="77777777" w:rsidR="00A52778" w:rsidRPr="009F3A70" w:rsidRDefault="00A52778" w:rsidP="00FC3F8E">
            <w:pPr>
              <w:spacing w:line="209" w:lineRule="exact"/>
              <w:ind w:left="180"/>
              <w:rPr>
                <w:rFonts w:eastAsia="Times New Roman" w:cs="Times New Roman"/>
                <w:b/>
                <w:w w:val="99"/>
                <w:sz w:val="18"/>
              </w:rPr>
            </w:pPr>
            <w:r w:rsidRPr="009F3A70">
              <w:rPr>
                <w:rFonts w:eastAsia="Times New Roman" w:cs="Times New Roman"/>
                <w:w w:val="99"/>
                <w:sz w:val="18"/>
              </w:rPr>
              <w:t>(</w:t>
            </w:r>
            <w:r w:rsidRPr="009F3A70">
              <w:rPr>
                <w:rFonts w:eastAsia="Times New Roman" w:cs="Times New Roman"/>
                <w:w w:val="99"/>
                <w:vertAlign w:val="superscript"/>
              </w:rPr>
              <w:t>2</w:t>
            </w:r>
            <w:r w:rsidRPr="009F3A70">
              <w:rPr>
                <w:rFonts w:eastAsia="Times New Roman" w:cs="Times New Roman"/>
                <w:w w:val="99"/>
                <w:sz w:val="18"/>
              </w:rPr>
              <w:t>)</w:t>
            </w:r>
          </w:p>
        </w:tc>
        <w:tc>
          <w:tcPr>
            <w:tcW w:w="3840" w:type="dxa"/>
            <w:gridSpan w:val="2"/>
            <w:shd w:val="clear" w:color="auto" w:fill="auto"/>
            <w:vAlign w:val="bottom"/>
          </w:tcPr>
          <w:p w14:paraId="79D0D503" w14:textId="77777777" w:rsidR="00A52778" w:rsidRPr="009F3A70" w:rsidRDefault="00A52778" w:rsidP="00FC3F8E">
            <w:pPr>
              <w:spacing w:line="209" w:lineRule="exact"/>
              <w:ind w:left="60"/>
              <w:rPr>
                <w:rFonts w:eastAsia="Times New Roman" w:cs="Times New Roman"/>
                <w:b/>
                <w:sz w:val="18"/>
              </w:rPr>
            </w:pPr>
            <w:r w:rsidRPr="009F3A70">
              <w:rPr>
                <w:rFonts w:eastAsia="Times New Roman" w:cs="Times New Roman"/>
                <w:sz w:val="18"/>
              </w:rPr>
              <w:t>TVOC, C/Nm</w:t>
            </w:r>
            <w:r w:rsidRPr="009F3A70">
              <w:rPr>
                <w:rFonts w:eastAsia="Times New Roman" w:cs="Times New Roman"/>
                <w:vertAlign w:val="superscript"/>
              </w:rPr>
              <w:t>3</w:t>
            </w:r>
            <w:r w:rsidRPr="009F3A70">
              <w:rPr>
                <w:rFonts w:eastAsia="Times New Roman" w:cs="Times New Roman"/>
                <w:sz w:val="18"/>
              </w:rPr>
              <w:t xml:space="preserve"> cinsinden ifade edilir.</w:t>
            </w:r>
          </w:p>
        </w:tc>
        <w:tc>
          <w:tcPr>
            <w:tcW w:w="4360" w:type="dxa"/>
            <w:shd w:val="clear" w:color="auto" w:fill="auto"/>
            <w:vAlign w:val="bottom"/>
          </w:tcPr>
          <w:p w14:paraId="5B88C89A" w14:textId="77777777" w:rsidR="00A52778" w:rsidRPr="009F3A70" w:rsidRDefault="00A52778" w:rsidP="00FC3F8E">
            <w:pPr>
              <w:spacing w:line="0" w:lineRule="atLeast"/>
              <w:rPr>
                <w:rFonts w:eastAsia="Times New Roman" w:cs="Times New Roman"/>
                <w:b/>
                <w:sz w:val="18"/>
              </w:rPr>
            </w:pPr>
          </w:p>
        </w:tc>
      </w:tr>
      <w:tr w:rsidR="00A52778" w:rsidRPr="009F3A70" w14:paraId="5539A467" w14:textId="77777777" w:rsidTr="00FC3F8E">
        <w:trPr>
          <w:trHeight w:val="410"/>
        </w:trPr>
        <w:tc>
          <w:tcPr>
            <w:tcW w:w="8600" w:type="dxa"/>
            <w:gridSpan w:val="4"/>
            <w:tcBorders>
              <w:left w:val="single" w:sz="4" w:space="0" w:color="auto"/>
              <w:right w:val="single" w:sz="4" w:space="0" w:color="auto"/>
            </w:tcBorders>
            <w:shd w:val="clear" w:color="auto" w:fill="auto"/>
            <w:vAlign w:val="bottom"/>
          </w:tcPr>
          <w:p w14:paraId="610DF3B0" w14:textId="77777777" w:rsidR="00A52778" w:rsidRPr="009F3A70" w:rsidRDefault="00A52778" w:rsidP="00FC3F8E">
            <w:pPr>
              <w:spacing w:line="213" w:lineRule="exact"/>
              <w:ind w:left="180" w:right="-98"/>
              <w:rPr>
                <w:rFonts w:eastAsia="Times New Roman" w:cs="Times New Roman"/>
                <w:b/>
                <w:w w:val="95"/>
                <w:sz w:val="18"/>
              </w:rPr>
            </w:pPr>
            <w:r w:rsidRPr="009F3A70">
              <w:rPr>
                <w:rFonts w:eastAsia="Times New Roman" w:cs="Times New Roman"/>
                <w:w w:val="95"/>
                <w:sz w:val="18"/>
              </w:rPr>
              <w:t>(</w:t>
            </w:r>
            <w:r w:rsidRPr="009F3A70">
              <w:rPr>
                <w:rFonts w:eastAsia="Times New Roman" w:cs="Times New Roman"/>
                <w:w w:val="95"/>
                <w:vertAlign w:val="superscript"/>
              </w:rPr>
              <w:t>3</w:t>
            </w:r>
            <w:r w:rsidRPr="009F3A70">
              <w:rPr>
                <w:rFonts w:eastAsia="Times New Roman" w:cs="Times New Roman"/>
                <w:w w:val="95"/>
                <w:sz w:val="18"/>
              </w:rPr>
              <w:t xml:space="preserve">)  Polimer üretimi söz konusu olduğunda, MET-AEL sonlandırma aşamalarından (örn. ekstrüzyon, kurutma,               </w:t>
            </w:r>
          </w:p>
          <w:p w14:paraId="6F4A8352" w14:textId="77777777" w:rsidR="00A52778" w:rsidRPr="009F3A70" w:rsidRDefault="00A52778" w:rsidP="00FC3F8E">
            <w:pPr>
              <w:spacing w:line="213" w:lineRule="exact"/>
              <w:ind w:left="180" w:right="-98"/>
              <w:rPr>
                <w:rFonts w:eastAsia="Times New Roman" w:cs="Times New Roman"/>
                <w:b/>
                <w:sz w:val="18"/>
              </w:rPr>
            </w:pPr>
            <w:r w:rsidRPr="009F3A70">
              <w:rPr>
                <w:rFonts w:eastAsia="Times New Roman" w:cs="Times New Roman"/>
                <w:w w:val="95"/>
                <w:sz w:val="18"/>
              </w:rPr>
              <w:t xml:space="preserve">       harmanlama) ve polimer depolamadan kaynaklanan emisyonlar için geçerli olmayabilir.</w:t>
            </w:r>
          </w:p>
          <w:p w14:paraId="189CDF92" w14:textId="77777777" w:rsidR="00A52778" w:rsidRPr="009F3A70" w:rsidRDefault="00A52778" w:rsidP="00FC3F8E">
            <w:pPr>
              <w:spacing w:line="20" w:lineRule="exact"/>
              <w:ind w:left="60"/>
              <w:rPr>
                <w:rFonts w:eastAsia="Times New Roman" w:cs="Times New Roman"/>
                <w:b/>
                <w:sz w:val="18"/>
              </w:rPr>
            </w:pPr>
            <w:r w:rsidRPr="009F3A70">
              <w:rPr>
                <w:rFonts w:eastAsia="Times New Roman" w:cs="Times New Roman"/>
                <w:sz w:val="18"/>
              </w:rPr>
              <w:t xml:space="preserve">                      </w:t>
            </w:r>
          </w:p>
        </w:tc>
      </w:tr>
      <w:tr w:rsidR="00A52778" w:rsidRPr="009F3A70" w14:paraId="47BE340E" w14:textId="77777777" w:rsidTr="00FC3F8E">
        <w:trPr>
          <w:trHeight w:val="218"/>
        </w:trPr>
        <w:tc>
          <w:tcPr>
            <w:tcW w:w="400" w:type="dxa"/>
            <w:tcBorders>
              <w:left w:val="single" w:sz="4" w:space="0" w:color="auto"/>
            </w:tcBorders>
            <w:shd w:val="clear" w:color="auto" w:fill="auto"/>
            <w:vAlign w:val="bottom"/>
          </w:tcPr>
          <w:p w14:paraId="1F64DE62" w14:textId="77777777" w:rsidR="00A52778" w:rsidRPr="009F3A70" w:rsidRDefault="00A52778" w:rsidP="00FC3F8E">
            <w:pPr>
              <w:spacing w:line="218" w:lineRule="exact"/>
              <w:ind w:left="180"/>
              <w:rPr>
                <w:rFonts w:eastAsia="Times New Roman" w:cs="Times New Roman"/>
                <w:b/>
                <w:w w:val="99"/>
                <w:sz w:val="18"/>
              </w:rPr>
            </w:pPr>
            <w:r w:rsidRPr="009F3A70">
              <w:rPr>
                <w:rFonts w:eastAsia="Times New Roman" w:cs="Times New Roman"/>
                <w:w w:val="99"/>
                <w:sz w:val="18"/>
              </w:rPr>
              <w:t>(</w:t>
            </w:r>
            <w:r w:rsidRPr="009F3A70">
              <w:rPr>
                <w:rFonts w:eastAsia="Times New Roman" w:cs="Times New Roman"/>
                <w:w w:val="99"/>
                <w:vertAlign w:val="superscript"/>
              </w:rPr>
              <w:t>4</w:t>
            </w:r>
            <w:r w:rsidRPr="009F3A70">
              <w:rPr>
                <w:rFonts w:eastAsia="Times New Roman" w:cs="Times New Roman"/>
                <w:w w:val="99"/>
                <w:sz w:val="18"/>
              </w:rPr>
              <w:t>)</w:t>
            </w:r>
          </w:p>
        </w:tc>
        <w:tc>
          <w:tcPr>
            <w:tcW w:w="8200" w:type="dxa"/>
            <w:gridSpan w:val="3"/>
            <w:vMerge w:val="restart"/>
            <w:tcBorders>
              <w:right w:val="single" w:sz="4" w:space="0" w:color="auto"/>
            </w:tcBorders>
            <w:shd w:val="clear" w:color="auto" w:fill="auto"/>
            <w:vAlign w:val="center"/>
          </w:tcPr>
          <w:p w14:paraId="7BB41CB5" w14:textId="77777777" w:rsidR="00A52778" w:rsidRPr="009F3A70" w:rsidRDefault="00A52778" w:rsidP="00FC3F8E">
            <w:pPr>
              <w:spacing w:line="197" w:lineRule="exact"/>
              <w:ind w:left="60"/>
              <w:rPr>
                <w:rFonts w:eastAsia="Times New Roman" w:cs="Times New Roman"/>
                <w:b/>
                <w:sz w:val="18"/>
              </w:rPr>
            </w:pPr>
            <w:r w:rsidRPr="009F3A70">
              <w:rPr>
                <w:rFonts w:eastAsia="Times New Roman" w:cs="Times New Roman"/>
                <w:sz w:val="18"/>
              </w:rPr>
              <w:t>MET-AEL, MET 2' de verilen envantere göre atık gaz akışıyla ilgili olarak hiçbir CMR maddesi tespit edilmemişse, küçük emisyonlar (yani TVOC kütle akışı örneğin 100 g C/saat’ in altında olduğunda) için geçerli değildir.</w:t>
            </w:r>
          </w:p>
        </w:tc>
      </w:tr>
      <w:tr w:rsidR="00A52778" w:rsidRPr="009F3A70" w14:paraId="63132EB3" w14:textId="77777777" w:rsidTr="00FC3F8E">
        <w:trPr>
          <w:trHeight w:val="197"/>
        </w:trPr>
        <w:tc>
          <w:tcPr>
            <w:tcW w:w="400" w:type="dxa"/>
            <w:tcBorders>
              <w:left w:val="single" w:sz="4" w:space="0" w:color="auto"/>
            </w:tcBorders>
            <w:shd w:val="clear" w:color="auto" w:fill="auto"/>
            <w:vAlign w:val="bottom"/>
          </w:tcPr>
          <w:p w14:paraId="66DFD0EE" w14:textId="77777777" w:rsidR="00A52778" w:rsidRPr="009F3A70" w:rsidRDefault="00A52778" w:rsidP="00FC3F8E">
            <w:pPr>
              <w:spacing w:line="0" w:lineRule="atLeast"/>
              <w:rPr>
                <w:rFonts w:eastAsia="Times New Roman" w:cs="Times New Roman"/>
                <w:b/>
                <w:sz w:val="17"/>
              </w:rPr>
            </w:pPr>
          </w:p>
        </w:tc>
        <w:tc>
          <w:tcPr>
            <w:tcW w:w="8200" w:type="dxa"/>
            <w:gridSpan w:val="3"/>
            <w:vMerge/>
            <w:tcBorders>
              <w:right w:val="single" w:sz="4" w:space="0" w:color="auto"/>
            </w:tcBorders>
            <w:shd w:val="clear" w:color="auto" w:fill="auto"/>
            <w:vAlign w:val="bottom"/>
          </w:tcPr>
          <w:p w14:paraId="335F1E1E" w14:textId="77777777" w:rsidR="00A52778" w:rsidRPr="009F3A70" w:rsidRDefault="00A52778" w:rsidP="00FC3F8E">
            <w:pPr>
              <w:spacing w:line="197" w:lineRule="exact"/>
              <w:ind w:left="60"/>
              <w:rPr>
                <w:rFonts w:eastAsia="Times New Roman" w:cs="Times New Roman"/>
                <w:b/>
                <w:sz w:val="18"/>
              </w:rPr>
            </w:pPr>
          </w:p>
        </w:tc>
      </w:tr>
      <w:tr w:rsidR="00A52778" w:rsidRPr="009F3A70" w14:paraId="1E8D11FA" w14:textId="77777777" w:rsidTr="00FC3F8E">
        <w:trPr>
          <w:trHeight w:val="216"/>
        </w:trPr>
        <w:tc>
          <w:tcPr>
            <w:tcW w:w="400" w:type="dxa"/>
            <w:tcBorders>
              <w:left w:val="single" w:sz="4" w:space="0" w:color="auto"/>
            </w:tcBorders>
            <w:shd w:val="clear" w:color="auto" w:fill="auto"/>
            <w:vAlign w:val="bottom"/>
          </w:tcPr>
          <w:p w14:paraId="71F38601" w14:textId="77777777" w:rsidR="00A52778" w:rsidRPr="009F3A70" w:rsidRDefault="00A52778" w:rsidP="00FC3F8E">
            <w:pPr>
              <w:spacing w:line="216" w:lineRule="exact"/>
              <w:ind w:left="180"/>
              <w:rPr>
                <w:rFonts w:eastAsia="Times New Roman" w:cs="Times New Roman"/>
                <w:b/>
                <w:w w:val="99"/>
                <w:sz w:val="18"/>
              </w:rPr>
            </w:pPr>
            <w:r w:rsidRPr="009F3A70">
              <w:rPr>
                <w:rFonts w:eastAsia="Times New Roman" w:cs="Times New Roman"/>
                <w:w w:val="99"/>
                <w:sz w:val="18"/>
              </w:rPr>
              <w:t>(</w:t>
            </w:r>
            <w:r w:rsidRPr="009F3A70">
              <w:rPr>
                <w:rFonts w:eastAsia="Times New Roman" w:cs="Times New Roman"/>
                <w:w w:val="99"/>
                <w:vertAlign w:val="superscript"/>
              </w:rPr>
              <w:t>5</w:t>
            </w:r>
            <w:r w:rsidRPr="009F3A70">
              <w:rPr>
                <w:rFonts w:eastAsia="Times New Roman" w:cs="Times New Roman"/>
                <w:w w:val="99"/>
                <w:sz w:val="18"/>
              </w:rPr>
              <w:t>)</w:t>
            </w:r>
          </w:p>
        </w:tc>
        <w:tc>
          <w:tcPr>
            <w:tcW w:w="8200" w:type="dxa"/>
            <w:gridSpan w:val="3"/>
            <w:vMerge w:val="restart"/>
            <w:tcBorders>
              <w:right w:val="single" w:sz="4" w:space="0" w:color="auto"/>
            </w:tcBorders>
            <w:shd w:val="clear" w:color="auto" w:fill="auto"/>
          </w:tcPr>
          <w:p w14:paraId="2668D3AB" w14:textId="77777777" w:rsidR="00A52778" w:rsidRPr="009F3A70" w:rsidRDefault="00A52778" w:rsidP="00FC3F8E">
            <w:pPr>
              <w:spacing w:line="197" w:lineRule="exact"/>
              <w:ind w:left="60"/>
              <w:rPr>
                <w:rFonts w:eastAsia="Times New Roman" w:cs="Times New Roman"/>
                <w:b/>
                <w:sz w:val="18"/>
              </w:rPr>
            </w:pPr>
            <w:r w:rsidRPr="009F3A70">
              <w:rPr>
                <w:rFonts w:eastAsia="Times New Roman" w:cs="Times New Roman"/>
                <w:sz w:val="18"/>
              </w:rPr>
              <w:t>MET-AEL aralığının üst sınırı, aşağıdaki koşulların her ikisinin de yerine getirilmesi halinde, maddeleri geri kazanma teknikleri kullanıldığında (örn. solventler, bkz. MET 9) daha yüksek olabilir ve 30 mg C/ Nm</w:t>
            </w:r>
            <w:r w:rsidRPr="009F3A70">
              <w:rPr>
                <w:rFonts w:eastAsia="Times New Roman" w:cs="Times New Roman"/>
                <w:vertAlign w:val="superscript"/>
              </w:rPr>
              <w:t>3</w:t>
            </w:r>
            <w:r w:rsidRPr="009F3A70">
              <w:rPr>
                <w:rFonts w:eastAsia="Times New Roman" w:cs="Times New Roman"/>
                <w:sz w:val="18"/>
              </w:rPr>
              <w:t xml:space="preserve"> ' e   kadar çıkabilir:</w:t>
            </w:r>
          </w:p>
        </w:tc>
      </w:tr>
      <w:tr w:rsidR="00A52778" w:rsidRPr="009F3A70" w14:paraId="4FD267DA" w14:textId="77777777" w:rsidTr="00FC3F8E">
        <w:trPr>
          <w:trHeight w:val="197"/>
        </w:trPr>
        <w:tc>
          <w:tcPr>
            <w:tcW w:w="400" w:type="dxa"/>
            <w:tcBorders>
              <w:left w:val="single" w:sz="4" w:space="0" w:color="auto"/>
            </w:tcBorders>
            <w:shd w:val="clear" w:color="auto" w:fill="auto"/>
            <w:vAlign w:val="bottom"/>
          </w:tcPr>
          <w:p w14:paraId="24F768E8" w14:textId="77777777" w:rsidR="00A52778" w:rsidRPr="009F3A70" w:rsidRDefault="00A52778" w:rsidP="00FC3F8E">
            <w:pPr>
              <w:spacing w:line="0" w:lineRule="atLeast"/>
              <w:rPr>
                <w:rFonts w:eastAsia="Times New Roman" w:cs="Times New Roman"/>
                <w:b/>
                <w:sz w:val="17"/>
              </w:rPr>
            </w:pPr>
          </w:p>
        </w:tc>
        <w:tc>
          <w:tcPr>
            <w:tcW w:w="8200" w:type="dxa"/>
            <w:gridSpan w:val="3"/>
            <w:vMerge/>
            <w:tcBorders>
              <w:right w:val="single" w:sz="4" w:space="0" w:color="auto"/>
            </w:tcBorders>
            <w:shd w:val="clear" w:color="auto" w:fill="auto"/>
            <w:vAlign w:val="bottom"/>
          </w:tcPr>
          <w:p w14:paraId="428051E4" w14:textId="77777777" w:rsidR="00A52778" w:rsidRPr="009F3A70" w:rsidRDefault="00A52778" w:rsidP="00FC3F8E">
            <w:pPr>
              <w:spacing w:line="197" w:lineRule="exact"/>
              <w:ind w:left="60"/>
              <w:rPr>
                <w:rFonts w:eastAsia="Times New Roman" w:cs="Times New Roman"/>
                <w:b/>
                <w:sz w:val="18"/>
              </w:rPr>
            </w:pPr>
          </w:p>
        </w:tc>
      </w:tr>
      <w:tr w:rsidR="00A52778" w:rsidRPr="009F3A70" w14:paraId="6F8E8791" w14:textId="77777777" w:rsidTr="00FC3F8E">
        <w:tblPrEx>
          <w:tblCellMar>
            <w:left w:w="70" w:type="dxa"/>
            <w:right w:w="70" w:type="dxa"/>
          </w:tblCellMar>
        </w:tblPrEx>
        <w:trPr>
          <w:trHeight w:val="209"/>
        </w:trPr>
        <w:tc>
          <w:tcPr>
            <w:tcW w:w="400" w:type="dxa"/>
            <w:tcBorders>
              <w:left w:val="single" w:sz="4" w:space="0" w:color="auto"/>
            </w:tcBorders>
            <w:shd w:val="clear" w:color="auto" w:fill="auto"/>
            <w:vAlign w:val="bottom"/>
          </w:tcPr>
          <w:p w14:paraId="55E6EFBC" w14:textId="77777777" w:rsidR="00A52778" w:rsidRPr="009F3A70" w:rsidRDefault="00A52778" w:rsidP="00FC3F8E">
            <w:pPr>
              <w:spacing w:line="0" w:lineRule="atLeast"/>
              <w:rPr>
                <w:rFonts w:eastAsia="Times New Roman" w:cs="Times New Roman"/>
                <w:b/>
                <w:sz w:val="18"/>
              </w:rPr>
            </w:pPr>
          </w:p>
        </w:tc>
        <w:tc>
          <w:tcPr>
            <w:tcW w:w="220" w:type="dxa"/>
            <w:shd w:val="clear" w:color="auto" w:fill="auto"/>
            <w:vAlign w:val="bottom"/>
          </w:tcPr>
          <w:p w14:paraId="1787DB76" w14:textId="77777777" w:rsidR="00A52778" w:rsidRPr="009F3A70" w:rsidRDefault="00A52778" w:rsidP="00FC3F8E">
            <w:pPr>
              <w:spacing w:line="0" w:lineRule="atLeast"/>
              <w:rPr>
                <w:rFonts w:eastAsia="Times New Roman" w:cs="Times New Roman"/>
                <w:b/>
                <w:sz w:val="18"/>
              </w:rPr>
            </w:pPr>
          </w:p>
        </w:tc>
        <w:tc>
          <w:tcPr>
            <w:tcW w:w="7980" w:type="dxa"/>
            <w:gridSpan w:val="2"/>
            <w:tcBorders>
              <w:right w:val="single" w:sz="4" w:space="0" w:color="auto"/>
            </w:tcBorders>
            <w:shd w:val="clear" w:color="auto" w:fill="auto"/>
            <w:vAlign w:val="bottom"/>
          </w:tcPr>
          <w:p w14:paraId="51FB0160" w14:textId="77777777" w:rsidR="00A52778" w:rsidRPr="009F3A70" w:rsidRDefault="00A52778" w:rsidP="00FC3F8E">
            <w:pPr>
              <w:spacing w:line="0" w:lineRule="atLeast"/>
              <w:rPr>
                <w:rFonts w:eastAsia="Times New Roman" w:cs="Times New Roman"/>
                <w:b/>
                <w:sz w:val="18"/>
              </w:rPr>
            </w:pPr>
            <w:r w:rsidRPr="009F3A70">
              <w:rPr>
                <w:rFonts w:eastAsia="Times New Roman" w:cs="Times New Roman"/>
                <w:sz w:val="18"/>
              </w:rPr>
              <w:t xml:space="preserve">CMR 1A/1B veya CMR 2 olarak sınıflandırılan maddelerin varlığını ilgili olmadığı belirlenmiştir </w:t>
            </w:r>
          </w:p>
          <w:p w14:paraId="2570B2F8" w14:textId="77777777" w:rsidR="00A52778" w:rsidRPr="009F3A70" w:rsidRDefault="00A52778" w:rsidP="00FC3F8E">
            <w:pPr>
              <w:spacing w:line="0" w:lineRule="atLeast"/>
              <w:rPr>
                <w:rFonts w:eastAsia="Times New Roman" w:cs="Times New Roman"/>
                <w:b/>
                <w:sz w:val="18"/>
              </w:rPr>
            </w:pPr>
            <w:r w:rsidRPr="009F3A70">
              <w:rPr>
                <w:rFonts w:eastAsia="Times New Roman" w:cs="Times New Roman"/>
                <w:sz w:val="18"/>
              </w:rPr>
              <w:t xml:space="preserve">(bkz. </w:t>
            </w:r>
            <w:hyperlink w:anchor="page295" w:history="1">
              <w:r w:rsidRPr="009F3A70">
                <w:rPr>
                  <w:rFonts w:eastAsia="Times New Roman" w:cs="Times New Roman"/>
                  <w:sz w:val="18"/>
                </w:rPr>
                <w:t>MET 2);</w:t>
              </w:r>
            </w:hyperlink>
            <w:r w:rsidRPr="009F3A70">
              <w:rPr>
                <w:rFonts w:cs="Times New Roman"/>
                <w:noProof/>
              </w:rPr>
              <w:t xml:space="preserve"> </w:t>
            </w:r>
          </w:p>
        </w:tc>
      </w:tr>
      <w:tr w:rsidR="00A52778" w:rsidRPr="009F3A70" w14:paraId="54098EAC" w14:textId="77777777" w:rsidTr="00FC3F8E">
        <w:trPr>
          <w:trHeight w:val="221"/>
        </w:trPr>
        <w:tc>
          <w:tcPr>
            <w:tcW w:w="400" w:type="dxa"/>
            <w:tcBorders>
              <w:left w:val="single" w:sz="4" w:space="0" w:color="auto"/>
            </w:tcBorders>
            <w:shd w:val="clear" w:color="auto" w:fill="auto"/>
            <w:vAlign w:val="bottom"/>
          </w:tcPr>
          <w:p w14:paraId="49F3BDB6" w14:textId="77777777" w:rsidR="00A52778" w:rsidRPr="009F3A70" w:rsidRDefault="00A52778" w:rsidP="00FC3F8E">
            <w:pPr>
              <w:spacing w:line="0" w:lineRule="atLeast"/>
              <w:rPr>
                <w:rFonts w:eastAsia="Times New Roman" w:cs="Times New Roman"/>
                <w:b/>
                <w:sz w:val="19"/>
              </w:rPr>
            </w:pPr>
          </w:p>
        </w:tc>
        <w:tc>
          <w:tcPr>
            <w:tcW w:w="220" w:type="dxa"/>
            <w:shd w:val="clear" w:color="auto" w:fill="auto"/>
            <w:vAlign w:val="bottom"/>
          </w:tcPr>
          <w:p w14:paraId="26C1C8A9" w14:textId="77777777" w:rsidR="00A52778" w:rsidRPr="009F3A70" w:rsidRDefault="00A52778" w:rsidP="00FC3F8E">
            <w:pPr>
              <w:spacing w:line="0" w:lineRule="atLeast"/>
              <w:rPr>
                <w:rFonts w:eastAsia="Times New Roman" w:cs="Times New Roman"/>
                <w:b/>
                <w:sz w:val="19"/>
              </w:rPr>
            </w:pPr>
          </w:p>
        </w:tc>
        <w:tc>
          <w:tcPr>
            <w:tcW w:w="7980" w:type="dxa"/>
            <w:gridSpan w:val="2"/>
            <w:tcBorders>
              <w:right w:val="single" w:sz="4" w:space="0" w:color="auto"/>
            </w:tcBorders>
            <w:shd w:val="clear" w:color="auto" w:fill="auto"/>
            <w:vAlign w:val="bottom"/>
          </w:tcPr>
          <w:p w14:paraId="733BB131" w14:textId="77777777" w:rsidR="00A52778" w:rsidRPr="009F3A70" w:rsidRDefault="00A52778" w:rsidP="00FC3F8E">
            <w:pPr>
              <w:spacing w:line="199" w:lineRule="exact"/>
              <w:rPr>
                <w:rFonts w:eastAsia="Times New Roman" w:cs="Times New Roman"/>
                <w:b/>
                <w:sz w:val="18"/>
              </w:rPr>
            </w:pPr>
            <w:r w:rsidRPr="009F3A70">
              <w:rPr>
                <w:rFonts w:eastAsia="Times New Roman" w:cs="Times New Roman"/>
                <w:b/>
                <w:noProof/>
                <w:lang w:val="tr-TR" w:eastAsia="tr-TR"/>
              </w:rPr>
              <mc:AlternateContent>
                <mc:Choice Requires="wps">
                  <w:drawing>
                    <wp:anchor distT="0" distB="0" distL="114300" distR="114300" simplePos="0" relativeHeight="251714560" behindDoc="1" locked="0" layoutInCell="1" allowOverlap="1" wp14:anchorId="0D138B56" wp14:editId="41D524B4">
                      <wp:simplePos x="0" y="0"/>
                      <wp:positionH relativeFrom="column">
                        <wp:posOffset>5039360</wp:posOffset>
                      </wp:positionH>
                      <wp:positionV relativeFrom="paragraph">
                        <wp:posOffset>216535</wp:posOffset>
                      </wp:positionV>
                      <wp:extent cx="0" cy="1041400"/>
                      <wp:effectExtent l="0" t="0" r="19050" b="25400"/>
                      <wp:wrapNone/>
                      <wp:docPr id="146" name="Düz Bağlayıcı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414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354D1" id="Düz Bağlayıcı 146" o:spid="_x0000_s1026" style="position:absolute;flip:x 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8pt,17.05pt" to="396.8pt,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" strokeweight=".72pt"/>
                  </w:pict>
                </mc:Fallback>
              </mc:AlternateContent>
            </w:r>
            <w:r w:rsidRPr="009F3A70">
              <w:rPr>
                <w:rFonts w:eastAsia="Times New Roman" w:cs="Times New Roman"/>
                <w:sz w:val="18"/>
              </w:rPr>
              <w:t xml:space="preserve">  Atık gaz arıtma sisteminin TVOC azaltma verimi %95' tir.</w:t>
            </w:r>
            <w:r w:rsidRPr="009F3A70">
              <w:rPr>
                <w:rFonts w:eastAsia="Times New Roman" w:cs="Times New Roman"/>
                <w:noProof/>
                <w:lang w:eastAsia="tr-TR"/>
              </w:rPr>
              <w:t xml:space="preserve"> </w:t>
            </w:r>
          </w:p>
        </w:tc>
      </w:tr>
      <w:tr w:rsidR="00A52778" w:rsidRPr="009F3A70" w14:paraId="3303741D" w14:textId="77777777" w:rsidTr="00FC3F8E">
        <w:tblPrEx>
          <w:tblBorders>
            <w:top w:val="single" w:sz="4" w:space="0" w:color="auto"/>
          </w:tblBorders>
          <w:tblCellMar>
            <w:left w:w="70" w:type="dxa"/>
            <w:right w:w="70" w:type="dxa"/>
          </w:tblCellMar>
        </w:tblPrEx>
        <w:trPr>
          <w:trHeight w:val="100"/>
        </w:trPr>
        <w:tc>
          <w:tcPr>
            <w:tcW w:w="8600" w:type="dxa"/>
            <w:gridSpan w:val="4"/>
          </w:tcPr>
          <w:p w14:paraId="0DB34FA7" w14:textId="77777777" w:rsidR="00A52778" w:rsidRPr="009F3A70" w:rsidRDefault="00A52778" w:rsidP="00FC3F8E">
            <w:pPr>
              <w:spacing w:line="3" w:lineRule="exact"/>
              <w:rPr>
                <w:rFonts w:eastAsia="Times New Roman" w:cs="Times New Roman"/>
                <w:b/>
              </w:rPr>
            </w:pPr>
          </w:p>
        </w:tc>
      </w:tr>
    </w:tbl>
    <w:p w14:paraId="268A4A16" w14:textId="77777777" w:rsidR="00A52778" w:rsidRPr="009F3A70" w:rsidRDefault="00A52778" w:rsidP="00A52778">
      <w:pPr>
        <w:spacing w:line="3" w:lineRule="exact"/>
        <w:rPr>
          <w:rFonts w:eastAsia="Times New Roman" w:cs="Times New Roman"/>
          <w:b/>
        </w:rPr>
      </w:pPr>
    </w:p>
    <w:p w14:paraId="224907C2" w14:textId="77777777" w:rsidR="00A52778" w:rsidRPr="009F3A70" w:rsidRDefault="00A52778" w:rsidP="00A52778">
      <w:pPr>
        <w:spacing w:line="204" w:lineRule="auto"/>
        <w:ind w:left="1260" w:right="40" w:hanging="285"/>
        <w:rPr>
          <w:rFonts w:eastAsia="Times New Roman" w:cs="Times New Roman"/>
          <w:b/>
          <w:sz w:val="18"/>
        </w:rPr>
      </w:pPr>
      <w:r w:rsidRPr="009F3A70">
        <w:rPr>
          <w:rFonts w:eastAsia="Times New Roman" w:cs="Times New Roman"/>
          <w:sz w:val="18"/>
        </w:rPr>
        <w:t>(</w:t>
      </w:r>
      <w:r w:rsidRPr="009F3A70">
        <w:rPr>
          <w:rFonts w:eastAsia="Times New Roman" w:cs="Times New Roman"/>
          <w:vertAlign w:val="superscript"/>
        </w:rPr>
        <w:t>6</w:t>
      </w:r>
      <w:r w:rsidRPr="009F3A70">
        <w:rPr>
          <w:rFonts w:eastAsia="Times New Roman" w:cs="Times New Roman"/>
          <w:sz w:val="18"/>
        </w:rPr>
        <w:t>) MET-AEL küçük emisyonlar için geçerli değildir (yani CMR 1A veya 1B olarak sınıflandırılan VOC' lerin toplamının kütle akışı örneğin 1 g/saat’ in altında olduğunda).</w:t>
      </w:r>
    </w:p>
    <w:p w14:paraId="66BB682E" w14:textId="77777777" w:rsidR="00A52778" w:rsidRPr="009F3A70" w:rsidRDefault="00A52778" w:rsidP="00A52778">
      <w:pPr>
        <w:spacing w:line="3" w:lineRule="exact"/>
        <w:rPr>
          <w:rFonts w:eastAsia="Times New Roman" w:cs="Times New Roman"/>
          <w:b/>
        </w:rPr>
      </w:pPr>
    </w:p>
    <w:p w14:paraId="3E988A39" w14:textId="77777777" w:rsidR="00A52778" w:rsidRPr="009F3A70" w:rsidRDefault="00A52778" w:rsidP="00A52778">
      <w:pPr>
        <w:spacing w:line="203" w:lineRule="auto"/>
        <w:ind w:left="1260" w:right="60" w:hanging="285"/>
        <w:rPr>
          <w:rFonts w:eastAsia="Times New Roman" w:cs="Times New Roman"/>
          <w:b/>
          <w:sz w:val="18"/>
        </w:rPr>
      </w:pPr>
      <w:r w:rsidRPr="009F3A70">
        <w:rPr>
          <w:rFonts w:eastAsia="Times New Roman" w:cs="Times New Roman"/>
          <w:sz w:val="18"/>
        </w:rPr>
        <w:t>(</w:t>
      </w:r>
      <w:r w:rsidRPr="009F3A70">
        <w:rPr>
          <w:rFonts w:eastAsia="Times New Roman" w:cs="Times New Roman"/>
          <w:vertAlign w:val="superscript"/>
        </w:rPr>
        <w:t>7</w:t>
      </w:r>
      <w:r w:rsidRPr="009F3A70">
        <w:rPr>
          <w:rFonts w:eastAsia="Times New Roman" w:cs="Times New Roman"/>
          <w:sz w:val="18"/>
        </w:rPr>
        <w:t>) MET-AEL küçük emisyonlar için geçerli değildir (yani CMR 2 olarak sınıflandırılan VOC' lerin toplamının kütle akışı örneğin 50 g/saat’ in altında olduğunda).</w:t>
      </w:r>
    </w:p>
    <w:p w14:paraId="7CFB7A8E" w14:textId="77777777" w:rsidR="00A52778" w:rsidRPr="009F3A70" w:rsidRDefault="00A52778" w:rsidP="00A52778">
      <w:pPr>
        <w:spacing w:line="7" w:lineRule="exact"/>
        <w:rPr>
          <w:rFonts w:eastAsia="Times New Roman" w:cs="Times New Roman"/>
          <w:b/>
        </w:rPr>
      </w:pPr>
    </w:p>
    <w:p w14:paraId="56998F39" w14:textId="77777777" w:rsidR="00A52778" w:rsidRPr="009F3A70" w:rsidRDefault="00A52778" w:rsidP="00A52778">
      <w:pPr>
        <w:spacing w:line="203" w:lineRule="auto"/>
        <w:ind w:left="1260" w:right="40" w:hanging="285"/>
        <w:rPr>
          <w:rFonts w:eastAsia="Times New Roman" w:cs="Times New Roman"/>
          <w:b/>
          <w:sz w:val="18"/>
        </w:rPr>
      </w:pPr>
      <w:r w:rsidRPr="009F3A70">
        <w:rPr>
          <w:rFonts w:eastAsia="Times New Roman" w:cs="Times New Roman"/>
          <w:b/>
          <w:noProof/>
          <w:lang w:val="tr-TR" w:eastAsia="tr-TR"/>
        </w:rPr>
        <mc:AlternateContent>
          <mc:Choice Requires="wps">
            <w:drawing>
              <wp:anchor distT="0" distB="0" distL="114300" distR="114300" simplePos="0" relativeHeight="251712512" behindDoc="1" locked="0" layoutInCell="1" allowOverlap="1" wp14:anchorId="28EDEBA7" wp14:editId="4A762C7A">
                <wp:simplePos x="0" y="0"/>
                <wp:positionH relativeFrom="column">
                  <wp:posOffset>5943600</wp:posOffset>
                </wp:positionH>
                <wp:positionV relativeFrom="paragraph">
                  <wp:posOffset>-183132</wp:posOffset>
                </wp:positionV>
                <wp:extent cx="265" cy="2190307"/>
                <wp:effectExtent l="0" t="0" r="19050" b="19685"/>
                <wp:wrapNone/>
                <wp:docPr id="147" name="Düz Bağlayıcı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5" cy="219030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1A858" id="Düz Bağlayıcı 147" o:spid="_x0000_s1026" style="position:absolute;flip:x 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4.4pt" to="468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" strokeweight=".72pt"/>
            </w:pict>
          </mc:Fallback>
        </mc:AlternateContent>
      </w:r>
      <w:r w:rsidRPr="009F3A70">
        <w:rPr>
          <w:rFonts w:eastAsia="Times New Roman" w:cs="Times New Roman"/>
          <w:b/>
          <w:noProof/>
          <w:lang w:val="tr-TR" w:eastAsia="tr-TR"/>
        </w:rPr>
        <mc:AlternateContent>
          <mc:Choice Requires="wps">
            <w:drawing>
              <wp:anchor distT="0" distB="0" distL="114300" distR="114300" simplePos="0" relativeHeight="251711488" behindDoc="1" locked="0" layoutInCell="1" allowOverlap="1" wp14:anchorId="329510C0" wp14:editId="1BB053B8">
                <wp:simplePos x="0" y="0"/>
                <wp:positionH relativeFrom="column">
                  <wp:posOffset>499730</wp:posOffset>
                </wp:positionH>
                <wp:positionV relativeFrom="paragraph">
                  <wp:posOffset>-374517</wp:posOffset>
                </wp:positionV>
                <wp:extent cx="9540" cy="1626781"/>
                <wp:effectExtent l="0" t="0" r="28575" b="12065"/>
                <wp:wrapNone/>
                <wp:docPr id="145" name="Düz Bağlayıcı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40" cy="162678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1CC3E" id="Düz Bağlayıcı 145" o:spid="_x0000_s1026" style="position:absolute;flip:y;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29.5pt" to="40.1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" strokeweight=".72pt"/>
            </w:pict>
          </mc:Fallback>
        </mc:AlternateContent>
      </w:r>
      <w:r w:rsidRPr="009F3A70">
        <w:rPr>
          <w:rFonts w:eastAsia="Times New Roman" w:cs="Times New Roman"/>
          <w:sz w:val="18"/>
        </w:rPr>
        <w:t>(</w:t>
      </w:r>
      <w:r w:rsidRPr="009F3A70">
        <w:rPr>
          <w:rFonts w:eastAsia="Times New Roman" w:cs="Times New Roman"/>
          <w:vertAlign w:val="superscript"/>
        </w:rPr>
        <w:t>8</w:t>
      </w:r>
      <w:r w:rsidRPr="009F3A70">
        <w:rPr>
          <w:rFonts w:eastAsia="Times New Roman" w:cs="Times New Roman"/>
          <w:sz w:val="18"/>
        </w:rPr>
        <w:t>) MET-AEL küçük emisyonlar için geçerli değildir (yani ilgili maddenin kütle akışı örneğin 1 g/saat’ in altında olduğunda).</w:t>
      </w:r>
    </w:p>
    <w:p w14:paraId="5C185E70" w14:textId="77777777" w:rsidR="00A52778" w:rsidRPr="009F3A70" w:rsidRDefault="00A52778" w:rsidP="00A52778">
      <w:pPr>
        <w:spacing w:line="4" w:lineRule="exact"/>
        <w:rPr>
          <w:rFonts w:eastAsia="Times New Roman" w:cs="Times New Roman"/>
          <w:b/>
        </w:rPr>
      </w:pPr>
    </w:p>
    <w:p w14:paraId="2DEBDBA2" w14:textId="77777777" w:rsidR="00A52778" w:rsidRPr="009F3A70" w:rsidRDefault="00A52778" w:rsidP="00A52778">
      <w:pPr>
        <w:spacing w:line="203" w:lineRule="auto"/>
        <w:ind w:left="1260" w:right="60" w:hanging="285"/>
        <w:rPr>
          <w:rFonts w:eastAsia="Times New Roman" w:cs="Times New Roman"/>
          <w:b/>
          <w:sz w:val="18"/>
        </w:rPr>
      </w:pPr>
      <w:r w:rsidRPr="009F3A70">
        <w:rPr>
          <w:rFonts w:eastAsia="Times New Roman" w:cs="Times New Roman"/>
          <w:sz w:val="18"/>
        </w:rPr>
        <w:t>(</w:t>
      </w:r>
      <w:r w:rsidRPr="009F3A70">
        <w:rPr>
          <w:rFonts w:eastAsia="Times New Roman" w:cs="Times New Roman"/>
          <w:vertAlign w:val="superscript"/>
        </w:rPr>
        <w:t>9</w:t>
      </w:r>
      <w:r w:rsidRPr="009F3A70">
        <w:rPr>
          <w:rFonts w:eastAsia="Times New Roman" w:cs="Times New Roman"/>
          <w:sz w:val="18"/>
        </w:rPr>
        <w:t>) MET-AEL küçük emisyonlar için geçerli değildir (yani ilgili maddenin kütle akışı örneğin 50 g/saat’ in altında olduğunda).</w:t>
      </w:r>
    </w:p>
    <w:p w14:paraId="4C55B3BC" w14:textId="77777777" w:rsidR="00A52778" w:rsidRPr="009F3A70" w:rsidRDefault="00A52778" w:rsidP="00A52778">
      <w:pPr>
        <w:spacing w:line="7" w:lineRule="exact"/>
        <w:rPr>
          <w:rFonts w:eastAsia="Times New Roman" w:cs="Times New Roman"/>
          <w:b/>
        </w:rPr>
      </w:pPr>
      <w:r w:rsidRPr="009F3A70">
        <w:rPr>
          <w:rFonts w:eastAsia="Times New Roman" w:cs="Times New Roman"/>
          <w:b/>
          <w:noProof/>
          <w:lang w:val="tr-TR" w:eastAsia="tr-TR"/>
        </w:rPr>
        <mc:AlternateContent>
          <mc:Choice Requires="wps">
            <w:drawing>
              <wp:anchor distT="0" distB="0" distL="114300" distR="114300" simplePos="0" relativeHeight="251674624" behindDoc="0" locked="0" layoutInCell="1" allowOverlap="1" wp14:anchorId="568875A3" wp14:editId="4C15C61B">
                <wp:simplePos x="0" y="0"/>
                <wp:positionH relativeFrom="column">
                  <wp:posOffset>506095</wp:posOffset>
                </wp:positionH>
                <wp:positionV relativeFrom="paragraph">
                  <wp:posOffset>-3175</wp:posOffset>
                </wp:positionV>
                <wp:extent cx="0" cy="776605"/>
                <wp:effectExtent l="1270" t="0" r="0" b="0"/>
                <wp:wrapNone/>
                <wp:docPr id="66" name="Düz Ok Bağlayıcısı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766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6424921" id="_x0000_t32" coordsize="21600,21600" o:spt="32" o:oned="t" path="m,l21600,21600e" filled="f">
                <v:path arrowok="t" fillok="f" o:connecttype="none"/>
                <o:lock v:ext="edit" shapetype="t"/>
              </v:shapetype>
              <v:shape id="Düz Ok Bağlayıcısı 66" o:spid="_x0000_s1026" type="#_x0000_t32" style="position:absolute;margin-left:39.85pt;margin-top:-.25pt;width:0;height:61.1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" stroked="f"/>
            </w:pict>
          </mc:Fallback>
        </mc:AlternateContent>
      </w:r>
      <w:r w:rsidRPr="009F3A70">
        <w:rPr>
          <w:rFonts w:eastAsia="Times New Roman" w:cs="Times New Roman"/>
          <w:b/>
          <w:noProof/>
          <w:lang w:val="tr-TR" w:eastAsia="tr-TR"/>
        </w:rPr>
        <mc:AlternateContent>
          <mc:Choice Requires="wps">
            <w:drawing>
              <wp:anchor distT="0" distB="0" distL="114300" distR="114300" simplePos="0" relativeHeight="251673600" behindDoc="0" locked="0" layoutInCell="1" allowOverlap="1" wp14:anchorId="7A5DD61E" wp14:editId="7CEC34B5">
                <wp:simplePos x="0" y="0"/>
                <wp:positionH relativeFrom="column">
                  <wp:posOffset>506095</wp:posOffset>
                </wp:positionH>
                <wp:positionV relativeFrom="paragraph">
                  <wp:posOffset>-3175</wp:posOffset>
                </wp:positionV>
                <wp:extent cx="635" cy="776605"/>
                <wp:effectExtent l="1270" t="0" r="0" b="0"/>
                <wp:wrapNone/>
                <wp:docPr id="65" name="Düz Ok Bağlayıcısı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766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4B2E39" id="Düz Ok Bağlayıcısı 65" o:spid="_x0000_s1026" type="#_x0000_t32" style="position:absolute;margin-left:39.85pt;margin-top:-.25pt;width:.05pt;height:6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" stroked="f"/>
            </w:pict>
          </mc:Fallback>
        </mc:AlternateContent>
      </w:r>
    </w:p>
    <w:p w14:paraId="0EDD23FE" w14:textId="77777777" w:rsidR="00A52778" w:rsidRPr="009F3A70" w:rsidRDefault="00A52778" w:rsidP="00A52778">
      <w:pPr>
        <w:spacing w:line="211" w:lineRule="auto"/>
        <w:ind w:left="1260" w:right="40" w:hanging="285"/>
        <w:rPr>
          <w:rFonts w:eastAsia="Times New Roman" w:cs="Times New Roman"/>
          <w:b/>
          <w:sz w:val="18"/>
        </w:rPr>
      </w:pPr>
      <w:r w:rsidRPr="009F3A70">
        <w:rPr>
          <w:rFonts w:cs="Times New Roman"/>
          <w:b/>
          <w:noProof/>
          <w:lang w:val="tr-TR" w:eastAsia="tr-TR"/>
        </w:rPr>
        <mc:AlternateContent>
          <mc:Choice Requires="wps">
            <w:drawing>
              <wp:anchor distT="0" distB="0" distL="114300" distR="114300" simplePos="0" relativeHeight="251676672" behindDoc="0" locked="0" layoutInCell="1" allowOverlap="1" wp14:anchorId="0CAEEEAE" wp14:editId="2E07447B">
                <wp:simplePos x="0" y="0"/>
                <wp:positionH relativeFrom="column">
                  <wp:posOffset>499730</wp:posOffset>
                </wp:positionH>
                <wp:positionV relativeFrom="paragraph">
                  <wp:posOffset>33005</wp:posOffset>
                </wp:positionV>
                <wp:extent cx="10160" cy="1041799"/>
                <wp:effectExtent l="0" t="0" r="27940" b="25400"/>
                <wp:wrapNone/>
                <wp:docPr id="63" name="Düz Bağlayıcı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1041799"/>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90808" id="Düz Bağlayıcı 6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2.6pt" to="40.1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" strokeweight=".5pt">
                <v:stroke joinstyle="miter"/>
              </v:line>
            </w:pict>
          </mc:Fallback>
        </mc:AlternateContent>
      </w:r>
      <w:r w:rsidRPr="009F3A70">
        <w:rPr>
          <w:rFonts w:cs="Times New Roman"/>
          <w:b/>
          <w:noProof/>
          <w:lang w:val="tr-TR" w:eastAsia="tr-TR"/>
        </w:rPr>
        <mc:AlternateContent>
          <mc:Choice Requires="wps">
            <w:drawing>
              <wp:anchor distT="0" distB="0" distL="114300" distR="114300" simplePos="0" relativeHeight="251677696" behindDoc="0" locked="0" layoutInCell="1" allowOverlap="1" wp14:anchorId="67DAF028" wp14:editId="553C27B0">
                <wp:simplePos x="0" y="0"/>
                <wp:positionH relativeFrom="column">
                  <wp:posOffset>5934710</wp:posOffset>
                </wp:positionH>
                <wp:positionV relativeFrom="paragraph">
                  <wp:posOffset>34290</wp:posOffset>
                </wp:positionV>
                <wp:extent cx="10160" cy="734695"/>
                <wp:effectExtent l="10160" t="8890" r="8255" b="8890"/>
                <wp:wrapNone/>
                <wp:docPr id="64" name="Düz Bağlayıcı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73469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BF78C" id="Düz Bağlayıcı 64"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3pt,2.7pt" to="468.1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" strokeweight=".5pt">
                <v:stroke joinstyle="miter"/>
              </v:line>
            </w:pict>
          </mc:Fallback>
        </mc:AlternateContent>
      </w:r>
      <w:r w:rsidRPr="009F3A70">
        <w:rPr>
          <w:rFonts w:eastAsia="Times New Roman" w:cs="Times New Roman"/>
          <w:sz w:val="18"/>
        </w:rPr>
        <w:t>(</w:t>
      </w:r>
      <w:r w:rsidRPr="009F3A70">
        <w:rPr>
          <w:rFonts w:eastAsia="Times New Roman" w:cs="Times New Roman"/>
          <w:vertAlign w:val="superscript"/>
        </w:rPr>
        <w:t>10</w:t>
      </w:r>
      <w:r w:rsidRPr="009F3A70">
        <w:rPr>
          <w:rFonts w:eastAsia="Times New Roman" w:cs="Times New Roman"/>
          <w:sz w:val="18"/>
        </w:rPr>
        <w:t>) Atık gaz arıtma sisteminin azaltma verimi %95 ise, maddelerin geri kazanımı için teknikler kullanıldığında (örn. solventler, bkz. MET 9) MET-AEL aralığının üst ucu daha yüksek olabilir ve 15 mg/ Nm</w:t>
      </w:r>
      <w:r w:rsidRPr="009F3A70">
        <w:rPr>
          <w:rFonts w:eastAsia="Times New Roman" w:cs="Times New Roman"/>
          <w:vertAlign w:val="superscript"/>
        </w:rPr>
        <w:t xml:space="preserve">3 </w:t>
      </w:r>
      <w:r w:rsidRPr="009F3A70">
        <w:rPr>
          <w:rFonts w:eastAsia="Times New Roman" w:cs="Times New Roman"/>
          <w:sz w:val="18"/>
        </w:rPr>
        <w:t>seviyesine kadar çıkabilir.</w:t>
      </w:r>
    </w:p>
    <w:p w14:paraId="54BA81F1" w14:textId="77777777" w:rsidR="00A52778" w:rsidRPr="009F3A70" w:rsidRDefault="00A52778" w:rsidP="00A52778">
      <w:pPr>
        <w:spacing w:line="3" w:lineRule="exact"/>
        <w:rPr>
          <w:rFonts w:eastAsia="Times New Roman" w:cs="Times New Roman"/>
          <w:b/>
        </w:rPr>
      </w:pPr>
    </w:p>
    <w:p w14:paraId="1217DD02" w14:textId="77777777" w:rsidR="00A52778" w:rsidRPr="00460F9E" w:rsidRDefault="00A52778" w:rsidP="00A52778">
      <w:pPr>
        <w:spacing w:line="211" w:lineRule="auto"/>
        <w:ind w:left="1260" w:right="40" w:hanging="285"/>
        <w:rPr>
          <w:rFonts w:eastAsia="Times New Roman" w:cs="Times New Roman"/>
          <w:b/>
        </w:rPr>
      </w:pPr>
      <w:r w:rsidRPr="009F3A70">
        <w:rPr>
          <w:rFonts w:eastAsia="Times New Roman" w:cs="Times New Roman"/>
          <w:sz w:val="18"/>
        </w:rPr>
        <w:t>(</w:t>
      </w:r>
      <w:r w:rsidRPr="009F3A70">
        <w:rPr>
          <w:rFonts w:eastAsia="Times New Roman" w:cs="Times New Roman"/>
          <w:vertAlign w:val="superscript"/>
        </w:rPr>
        <w:t>11</w:t>
      </w:r>
      <w:r w:rsidRPr="009F3A70">
        <w:rPr>
          <w:rFonts w:eastAsia="Times New Roman" w:cs="Times New Roman"/>
          <w:sz w:val="18"/>
        </w:rPr>
        <w:t>) Atık gaz arıtma sisteminin azaltma verimi %95 ise, toluen geri kazanım teknikleri kullanıldığında (bkz. MET 9) MET-AEL aralığının üst ucu daha yüksek olabilir ve 20 mg/Nm</w:t>
      </w:r>
      <w:r w:rsidRPr="009F3A70">
        <w:rPr>
          <w:rFonts w:eastAsia="Times New Roman" w:cs="Times New Roman"/>
          <w:vertAlign w:val="superscript"/>
        </w:rPr>
        <w:t>3</w:t>
      </w:r>
      <w:r w:rsidRPr="009F3A70">
        <w:rPr>
          <w:rFonts w:eastAsia="Times New Roman" w:cs="Times New Roman"/>
          <w:sz w:val="18"/>
        </w:rPr>
        <w:t xml:space="preserve"> seviyesine kadar çıkabilir.</w:t>
      </w:r>
    </w:p>
    <w:p w14:paraId="38866321" w14:textId="77777777" w:rsidR="00A52778" w:rsidRPr="00460F9E" w:rsidRDefault="00A52778" w:rsidP="00A52778">
      <w:pPr>
        <w:spacing w:line="318" w:lineRule="exact"/>
        <w:rPr>
          <w:rFonts w:eastAsia="Times New Roman" w:cs="Times New Roman"/>
          <w:b/>
        </w:rPr>
      </w:pPr>
      <w:r w:rsidRPr="00460F9E">
        <w:rPr>
          <w:rFonts w:eastAsia="Times New Roman" w:cs="Times New Roman"/>
          <w:b/>
          <w:noProof/>
          <w:lang w:val="tr-TR" w:eastAsia="tr-TR"/>
        </w:rPr>
        <mc:AlternateContent>
          <mc:Choice Requires="wps">
            <w:drawing>
              <wp:anchor distT="0" distB="0" distL="114300" distR="114300" simplePos="0" relativeHeight="251663360" behindDoc="1" locked="0" layoutInCell="1" allowOverlap="1" wp14:anchorId="7FCB801F" wp14:editId="3CFF28C3">
                <wp:simplePos x="0" y="0"/>
                <wp:positionH relativeFrom="column">
                  <wp:posOffset>506095</wp:posOffset>
                </wp:positionH>
                <wp:positionV relativeFrom="paragraph">
                  <wp:posOffset>37332</wp:posOffset>
                </wp:positionV>
                <wp:extent cx="5448935" cy="0"/>
                <wp:effectExtent l="10160" t="6985" r="8255" b="12065"/>
                <wp:wrapNone/>
                <wp:docPr id="62" name="Düz Bağlayıcı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E2D36" id="Düz Bağlayıcı 6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2.95pt" to="468.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" strokeweight=".72pt"/>
            </w:pict>
          </mc:Fallback>
        </mc:AlternateContent>
      </w:r>
    </w:p>
    <w:p w14:paraId="1695B4D2" w14:textId="77777777" w:rsidR="00A52778" w:rsidRPr="00460F9E" w:rsidRDefault="00A52778" w:rsidP="00A52778">
      <w:pPr>
        <w:spacing w:line="0" w:lineRule="atLeast"/>
        <w:ind w:left="820"/>
        <w:rPr>
          <w:rFonts w:eastAsia="Times New Roman" w:cs="Times New Roman"/>
          <w:b/>
        </w:rPr>
      </w:pPr>
      <w:r w:rsidRPr="00460F9E">
        <w:rPr>
          <w:rFonts w:eastAsia="Times New Roman" w:cs="Times New Roman"/>
        </w:rPr>
        <w:t>İlişkili izleme MET 8' de verilmişt</w:t>
      </w:r>
      <w:r w:rsidRPr="00460F9E">
        <w:rPr>
          <w:rFonts w:cs="Times New Roman"/>
          <w:b/>
          <w:noProof/>
          <w:lang w:val="tr-TR" w:eastAsia="tr-TR"/>
        </w:rPr>
        <mc:AlternateContent>
          <mc:Choice Requires="wps">
            <w:drawing>
              <wp:anchor distT="0" distB="0" distL="114299" distR="114299" simplePos="0" relativeHeight="251675648" behindDoc="0" locked="0" layoutInCell="1" allowOverlap="1" wp14:anchorId="23CB924A" wp14:editId="53B7E55E">
                <wp:simplePos x="0" y="0"/>
                <wp:positionH relativeFrom="column">
                  <wp:posOffset>10861039</wp:posOffset>
                </wp:positionH>
                <wp:positionV relativeFrom="paragraph">
                  <wp:posOffset>2218690</wp:posOffset>
                </wp:positionV>
                <wp:extent cx="0" cy="1347470"/>
                <wp:effectExtent l="0" t="0" r="19050" b="24130"/>
                <wp:wrapNone/>
                <wp:docPr id="61" name="Düz Bağlayıcı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4747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16A4B1" id="Düz Bağlayıcı 61"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55.2pt,174.7pt" to="855.2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" strokecolor="windowText" strokeweight=".5pt">
                <v:stroke joinstyle="miter"/>
                <o:lock v:ext="edit" shapetype="f"/>
              </v:line>
            </w:pict>
          </mc:Fallback>
        </mc:AlternateContent>
      </w:r>
      <w:r w:rsidRPr="00460F9E">
        <w:rPr>
          <w:rFonts w:eastAsia="Times New Roman" w:cs="Times New Roman"/>
        </w:rPr>
        <w:t>ir.</w:t>
      </w:r>
      <w:r w:rsidRPr="009F3A70">
        <w:rPr>
          <w:rFonts w:eastAsia="Times New Roman" w:cs="Times New Roman"/>
          <w:noProof/>
          <w:lang w:eastAsia="tr-TR"/>
        </w:rPr>
        <w:t xml:space="preserve"> </w:t>
      </w:r>
    </w:p>
    <w:p w14:paraId="084688E0" w14:textId="77777777" w:rsidR="00A52778" w:rsidRPr="00460F9E" w:rsidRDefault="00A52778" w:rsidP="00A52778">
      <w:pPr>
        <w:spacing w:line="20" w:lineRule="exact"/>
        <w:rPr>
          <w:rFonts w:eastAsia="Times New Roman" w:cs="Times New Roman"/>
          <w:b/>
        </w:rPr>
      </w:pPr>
    </w:p>
    <w:p w14:paraId="14FDAFC7" w14:textId="77777777" w:rsidR="00A52778" w:rsidRPr="00460F9E" w:rsidRDefault="00A52778" w:rsidP="00A52778">
      <w:pPr>
        <w:spacing w:line="20" w:lineRule="exact"/>
        <w:rPr>
          <w:rFonts w:eastAsia="Times New Roman" w:cs="Times New Roman"/>
          <w:b/>
        </w:rPr>
        <w:sectPr w:rsidR="00A52778" w:rsidRPr="00460F9E">
          <w:pgSz w:w="11900" w:h="16838"/>
          <w:pgMar w:top="707" w:right="1086" w:bottom="145" w:left="1440" w:header="0" w:footer="0" w:gutter="0"/>
          <w:cols w:space="0" w:equalWidth="0">
            <w:col w:w="9380"/>
          </w:cols>
          <w:docGrid w:linePitch="360"/>
        </w:sectPr>
      </w:pPr>
    </w:p>
    <w:p w14:paraId="634D13D2" w14:textId="77777777" w:rsidR="00A52778" w:rsidRPr="00460F9E" w:rsidRDefault="00A52778" w:rsidP="00A52778">
      <w:pPr>
        <w:spacing w:line="200" w:lineRule="exact"/>
        <w:rPr>
          <w:rFonts w:eastAsia="Times New Roman" w:cs="Times New Roman"/>
          <w:b/>
        </w:rPr>
      </w:pPr>
    </w:p>
    <w:p w14:paraId="1EFE57C7" w14:textId="77777777" w:rsidR="00A52778" w:rsidRPr="00460F9E" w:rsidRDefault="00A52778" w:rsidP="00A52778">
      <w:pPr>
        <w:spacing w:line="200" w:lineRule="exact"/>
        <w:rPr>
          <w:rFonts w:eastAsia="Times New Roman" w:cs="Times New Roman"/>
          <w:b/>
        </w:rPr>
      </w:pPr>
    </w:p>
    <w:p w14:paraId="1E7A23C5" w14:textId="77777777" w:rsidR="00A52778" w:rsidRPr="00460F9E" w:rsidRDefault="00A52778" w:rsidP="00A52778">
      <w:pPr>
        <w:spacing w:line="200" w:lineRule="exact"/>
        <w:rPr>
          <w:rFonts w:eastAsia="Times New Roman" w:cs="Times New Roman"/>
          <w:b/>
        </w:rPr>
      </w:pPr>
    </w:p>
    <w:p w14:paraId="4EBAF211" w14:textId="77777777" w:rsidR="00A52778" w:rsidRPr="00460F9E" w:rsidRDefault="00A52778" w:rsidP="00A52778">
      <w:pPr>
        <w:spacing w:line="200" w:lineRule="exact"/>
        <w:rPr>
          <w:rFonts w:eastAsia="Times New Roman" w:cs="Times New Roman"/>
          <w:b/>
        </w:rPr>
      </w:pPr>
    </w:p>
    <w:p w14:paraId="74E5442C" w14:textId="77777777" w:rsidR="00A52778" w:rsidRPr="00460F9E" w:rsidRDefault="00A52778" w:rsidP="00A52778">
      <w:pPr>
        <w:spacing w:line="200" w:lineRule="exact"/>
        <w:rPr>
          <w:rFonts w:eastAsia="Times New Roman" w:cs="Times New Roman"/>
          <w:b/>
        </w:rPr>
      </w:pPr>
    </w:p>
    <w:p w14:paraId="1A754F90" w14:textId="77777777" w:rsidR="00A52778" w:rsidRPr="00460F9E" w:rsidRDefault="00A52778" w:rsidP="00A52778">
      <w:pPr>
        <w:spacing w:line="200" w:lineRule="exact"/>
        <w:rPr>
          <w:rFonts w:eastAsia="Times New Roman" w:cs="Times New Roman"/>
          <w:b/>
        </w:rPr>
      </w:pPr>
    </w:p>
    <w:p w14:paraId="2179F94B" w14:textId="77777777" w:rsidR="00A52778" w:rsidRPr="00460F9E" w:rsidRDefault="00A52778" w:rsidP="00A52778">
      <w:pPr>
        <w:spacing w:line="200" w:lineRule="exact"/>
        <w:rPr>
          <w:rFonts w:eastAsia="Times New Roman" w:cs="Times New Roman"/>
          <w:b/>
        </w:rPr>
      </w:pPr>
    </w:p>
    <w:p w14:paraId="5F5D6BA4" w14:textId="77777777" w:rsidR="00A52778" w:rsidRPr="00460F9E" w:rsidRDefault="00A52778" w:rsidP="00A52778">
      <w:pPr>
        <w:spacing w:line="200" w:lineRule="exact"/>
        <w:rPr>
          <w:rFonts w:eastAsia="Times New Roman" w:cs="Times New Roman"/>
          <w:b/>
        </w:rPr>
      </w:pPr>
    </w:p>
    <w:p w14:paraId="1DF751AA" w14:textId="77777777" w:rsidR="00A52778" w:rsidRPr="00460F9E" w:rsidRDefault="00A52778" w:rsidP="00A52778">
      <w:pPr>
        <w:spacing w:line="200" w:lineRule="exact"/>
        <w:rPr>
          <w:rFonts w:eastAsia="Times New Roman" w:cs="Times New Roman"/>
          <w:b/>
        </w:rPr>
      </w:pPr>
    </w:p>
    <w:p w14:paraId="3404AD7E" w14:textId="77777777" w:rsidR="00A52778" w:rsidRPr="00460F9E" w:rsidRDefault="00A52778" w:rsidP="00A52778">
      <w:pPr>
        <w:spacing w:line="200" w:lineRule="exact"/>
        <w:rPr>
          <w:rFonts w:eastAsia="Times New Roman" w:cs="Times New Roman"/>
          <w:b/>
        </w:rPr>
      </w:pPr>
    </w:p>
    <w:p w14:paraId="3280803C" w14:textId="77777777" w:rsidR="00A52778" w:rsidRPr="00460F9E" w:rsidRDefault="00A52778" w:rsidP="00A52778">
      <w:pPr>
        <w:spacing w:line="200" w:lineRule="exact"/>
        <w:rPr>
          <w:rFonts w:eastAsia="Times New Roman" w:cs="Times New Roman"/>
          <w:b/>
        </w:rPr>
      </w:pPr>
    </w:p>
    <w:p w14:paraId="06C43FE3" w14:textId="77777777" w:rsidR="00A52778" w:rsidRPr="00460F9E" w:rsidRDefault="00A52778" w:rsidP="00A52778">
      <w:pPr>
        <w:spacing w:line="200" w:lineRule="exact"/>
        <w:rPr>
          <w:rFonts w:eastAsia="Times New Roman" w:cs="Times New Roman"/>
          <w:b/>
        </w:rPr>
      </w:pPr>
    </w:p>
    <w:p w14:paraId="31D3A2E2" w14:textId="77777777" w:rsidR="00A52778" w:rsidRPr="00460F9E" w:rsidRDefault="00A52778" w:rsidP="00A52778">
      <w:pPr>
        <w:spacing w:line="200" w:lineRule="exact"/>
        <w:rPr>
          <w:rFonts w:eastAsia="Times New Roman" w:cs="Times New Roman"/>
          <w:b/>
        </w:rPr>
      </w:pPr>
    </w:p>
    <w:p w14:paraId="1F1C9384" w14:textId="77777777" w:rsidR="00A52778" w:rsidRPr="00460F9E" w:rsidRDefault="00A52778" w:rsidP="00A52778">
      <w:pPr>
        <w:spacing w:line="200" w:lineRule="exact"/>
        <w:rPr>
          <w:rFonts w:eastAsia="Times New Roman" w:cs="Times New Roman"/>
          <w:b/>
        </w:rPr>
      </w:pPr>
    </w:p>
    <w:p w14:paraId="2653F982" w14:textId="77777777" w:rsidR="00A52778" w:rsidRPr="00460F9E" w:rsidRDefault="00A52778" w:rsidP="00A52778">
      <w:pPr>
        <w:spacing w:line="200" w:lineRule="exact"/>
        <w:rPr>
          <w:rFonts w:eastAsia="Times New Roman" w:cs="Times New Roman"/>
          <w:b/>
        </w:rPr>
      </w:pPr>
    </w:p>
    <w:p w14:paraId="7E97BFCC" w14:textId="77777777" w:rsidR="00A52778" w:rsidRPr="00460F9E" w:rsidRDefault="00A52778" w:rsidP="00A52778">
      <w:pPr>
        <w:spacing w:line="200" w:lineRule="exact"/>
        <w:rPr>
          <w:rFonts w:eastAsia="Times New Roman" w:cs="Times New Roman"/>
          <w:b/>
        </w:rPr>
      </w:pPr>
    </w:p>
    <w:p w14:paraId="1EA5F191" w14:textId="77777777" w:rsidR="00A52778" w:rsidRPr="00460F9E" w:rsidRDefault="00A52778" w:rsidP="00A52778">
      <w:pPr>
        <w:spacing w:line="200" w:lineRule="exact"/>
        <w:rPr>
          <w:rFonts w:eastAsia="Times New Roman" w:cs="Times New Roman"/>
          <w:b/>
        </w:rPr>
      </w:pPr>
    </w:p>
    <w:p w14:paraId="5F311646" w14:textId="77777777" w:rsidR="00A52778" w:rsidRPr="00460F9E" w:rsidRDefault="00A52778" w:rsidP="00A52778">
      <w:pPr>
        <w:spacing w:line="215" w:lineRule="exact"/>
        <w:rPr>
          <w:rFonts w:eastAsia="Times New Roman" w:cs="Times New Roman"/>
          <w:b/>
        </w:rPr>
      </w:pPr>
    </w:p>
    <w:p w14:paraId="79306A05" w14:textId="77777777" w:rsidR="00A52778" w:rsidRPr="00460F9E" w:rsidRDefault="00A52778" w:rsidP="00A52778">
      <w:pPr>
        <w:tabs>
          <w:tab w:val="left" w:pos="9020"/>
        </w:tabs>
        <w:spacing w:line="0" w:lineRule="atLeast"/>
        <w:ind w:left="820"/>
        <w:rPr>
          <w:rFonts w:eastAsia="Times New Roman" w:cs="Times New Roman"/>
          <w:b/>
          <w:color w:val="0000FF"/>
        </w:rPr>
        <w:sectPr w:rsidR="00A52778" w:rsidRPr="00460F9E">
          <w:type w:val="continuous"/>
          <w:pgSz w:w="11900" w:h="16838"/>
          <w:pgMar w:top="707" w:right="1086" w:bottom="145" w:left="1440" w:header="0" w:footer="0" w:gutter="0"/>
          <w:cols w:space="0" w:equalWidth="0">
            <w:col w:w="9380"/>
          </w:cols>
          <w:docGrid w:linePitch="360"/>
        </w:sectPr>
      </w:pPr>
      <w:r w:rsidRPr="00460F9E">
        <w:rPr>
          <w:rFonts w:eastAsia="Times New Roman" w:cs="Times New Roman"/>
        </w:rPr>
        <w:tab/>
      </w:r>
    </w:p>
    <w:p w14:paraId="516045EA" w14:textId="77777777" w:rsidR="00A52778" w:rsidRPr="00460F9E" w:rsidRDefault="00A52778" w:rsidP="00A52778">
      <w:pPr>
        <w:spacing w:line="0" w:lineRule="atLeast"/>
        <w:ind w:left="120"/>
        <w:rPr>
          <w:rFonts w:eastAsia="Times New Roman" w:cs="Times New Roman"/>
          <w:b/>
          <w:color w:val="0000FF"/>
        </w:rPr>
      </w:pPr>
      <w:bookmarkStart w:id="321" w:name="page304"/>
      <w:bookmarkEnd w:id="321"/>
    </w:p>
    <w:p w14:paraId="756704D6" w14:textId="77777777" w:rsidR="00A52778" w:rsidRPr="00460F9E" w:rsidRDefault="00A52778" w:rsidP="00A52778">
      <w:pPr>
        <w:spacing w:line="20" w:lineRule="exact"/>
        <w:rPr>
          <w:rFonts w:eastAsia="Times New Roman" w:cs="Times New Roman"/>
          <w:b/>
        </w:rPr>
      </w:pPr>
    </w:p>
    <w:p w14:paraId="0C3175FD" w14:textId="77777777" w:rsidR="00A52778" w:rsidRPr="00460F9E" w:rsidRDefault="00A52778" w:rsidP="00A52778">
      <w:pPr>
        <w:spacing w:line="225" w:lineRule="exact"/>
        <w:rPr>
          <w:rFonts w:eastAsia="Times New Roman" w:cs="Times New Roman"/>
          <w:b/>
        </w:rPr>
      </w:pPr>
    </w:p>
    <w:p w14:paraId="60882248" w14:textId="77777777" w:rsidR="00A52778" w:rsidRPr="00357659" w:rsidRDefault="00A52778" w:rsidP="00A52778">
      <w:pPr>
        <w:spacing w:line="236" w:lineRule="auto"/>
        <w:ind w:left="120" w:right="826"/>
        <w:rPr>
          <w:rFonts w:eastAsia="Times New Roman" w:cs="Times New Roman"/>
        </w:rPr>
      </w:pPr>
      <w:r>
        <w:rPr>
          <w:rFonts w:eastAsia="Times New Roman" w:cs="Times New Roman"/>
        </w:rPr>
        <w:t xml:space="preserve">MET 12: </w:t>
      </w:r>
      <w:r w:rsidRPr="00357659">
        <w:rPr>
          <w:rFonts w:eastAsia="Times New Roman" w:cs="Times New Roman"/>
        </w:rPr>
        <w:t>Klor ve/veya klorlu bileşikler içeren atık gazların ısıl işleminden kaynaklanan PCDD/F' nin havaya kanalize edilen emisyonlarını azaltmak için MET, aşağıda verilen a. ve b. tekniklerini ve c.’ den e.’ ye kadarki tekniklerinden birini veya bir kombinasyonunu kullanmaktır.</w:t>
      </w:r>
    </w:p>
    <w:p w14:paraId="619806E9" w14:textId="77777777" w:rsidR="00A52778" w:rsidRPr="00460F9E" w:rsidRDefault="00A52778" w:rsidP="00A52778">
      <w:pPr>
        <w:spacing w:line="200" w:lineRule="exact"/>
        <w:rPr>
          <w:rFonts w:eastAsia="Times New Roman" w:cs="Times New Roman"/>
          <w:b/>
        </w:rPr>
      </w:pPr>
    </w:p>
    <w:p w14:paraId="204E01EC" w14:textId="77777777" w:rsidR="00A52778" w:rsidRPr="00460F9E" w:rsidRDefault="00A52778" w:rsidP="00A52778">
      <w:pPr>
        <w:spacing w:line="331" w:lineRule="exact"/>
        <w:rPr>
          <w:rFonts w:eastAsia="Times New Roman" w:cs="Times New Roman"/>
          <w:b/>
        </w:rPr>
      </w:pPr>
    </w:p>
    <w:tbl>
      <w:tblPr>
        <w:tblW w:w="0" w:type="auto"/>
        <w:tblInd w:w="10" w:type="dxa"/>
        <w:tblLayout w:type="fixed"/>
        <w:tblCellMar>
          <w:left w:w="0" w:type="dxa"/>
          <w:right w:w="0" w:type="dxa"/>
        </w:tblCellMar>
        <w:tblLook w:val="0000" w:firstRow="0" w:lastRow="0" w:firstColumn="0" w:lastColumn="0" w:noHBand="0" w:noVBand="0"/>
      </w:tblPr>
      <w:tblGrid>
        <w:gridCol w:w="400"/>
        <w:gridCol w:w="1080"/>
        <w:gridCol w:w="1360"/>
        <w:gridCol w:w="2140"/>
        <w:gridCol w:w="260"/>
        <w:gridCol w:w="714"/>
        <w:gridCol w:w="1046"/>
        <w:gridCol w:w="840"/>
        <w:gridCol w:w="260"/>
        <w:gridCol w:w="972"/>
      </w:tblGrid>
      <w:tr w:rsidR="00A52778" w:rsidRPr="00460F9E" w14:paraId="0070C26C" w14:textId="77777777" w:rsidTr="00FC3F8E">
        <w:trPr>
          <w:trHeight w:val="299"/>
        </w:trPr>
        <w:tc>
          <w:tcPr>
            <w:tcW w:w="400" w:type="dxa"/>
            <w:tcBorders>
              <w:top w:val="single" w:sz="8" w:space="0" w:color="auto"/>
              <w:left w:val="single" w:sz="8" w:space="0" w:color="auto"/>
            </w:tcBorders>
            <w:shd w:val="clear" w:color="auto" w:fill="auto"/>
            <w:vAlign w:val="bottom"/>
          </w:tcPr>
          <w:p w14:paraId="6BAC7613" w14:textId="77777777" w:rsidR="00A52778" w:rsidRPr="00460F9E" w:rsidRDefault="00A52778" w:rsidP="00FC3F8E">
            <w:pPr>
              <w:spacing w:line="0" w:lineRule="atLeast"/>
              <w:rPr>
                <w:rFonts w:eastAsia="Times New Roman" w:cs="Times New Roman"/>
                <w:b/>
              </w:rPr>
            </w:pPr>
          </w:p>
        </w:tc>
        <w:tc>
          <w:tcPr>
            <w:tcW w:w="2440" w:type="dxa"/>
            <w:gridSpan w:val="2"/>
            <w:tcBorders>
              <w:top w:val="single" w:sz="8" w:space="0" w:color="auto"/>
              <w:right w:val="single" w:sz="8" w:space="0" w:color="auto"/>
            </w:tcBorders>
            <w:shd w:val="clear" w:color="auto" w:fill="auto"/>
            <w:vAlign w:val="bottom"/>
          </w:tcPr>
          <w:p w14:paraId="523AB1B6" w14:textId="77777777" w:rsidR="00A52778" w:rsidRPr="00357659" w:rsidRDefault="00A52778" w:rsidP="00FC3F8E">
            <w:pPr>
              <w:spacing w:line="0" w:lineRule="atLeast"/>
              <w:ind w:left="540"/>
              <w:rPr>
                <w:rFonts w:eastAsia="Times New Roman" w:cs="Times New Roman"/>
              </w:rPr>
            </w:pPr>
            <w:r w:rsidRPr="00357659">
              <w:rPr>
                <w:rFonts w:eastAsia="Times New Roman" w:cs="Times New Roman"/>
              </w:rPr>
              <w:t>Teknikler</w:t>
            </w:r>
          </w:p>
        </w:tc>
        <w:tc>
          <w:tcPr>
            <w:tcW w:w="3114" w:type="dxa"/>
            <w:gridSpan w:val="3"/>
            <w:vMerge w:val="restart"/>
            <w:tcBorders>
              <w:top w:val="single" w:sz="8" w:space="0" w:color="auto"/>
              <w:right w:val="single" w:sz="8" w:space="0" w:color="auto"/>
            </w:tcBorders>
            <w:shd w:val="clear" w:color="auto" w:fill="auto"/>
            <w:vAlign w:val="center"/>
          </w:tcPr>
          <w:p w14:paraId="30C061DE" w14:textId="77777777" w:rsidR="00A52778" w:rsidRPr="00357659" w:rsidRDefault="00A52778" w:rsidP="00FC3F8E">
            <w:pPr>
              <w:spacing w:line="0" w:lineRule="atLeast"/>
              <w:jc w:val="center"/>
              <w:rPr>
                <w:rFonts w:eastAsia="Times New Roman" w:cs="Times New Roman"/>
              </w:rPr>
            </w:pPr>
            <w:r w:rsidRPr="00357659">
              <w:rPr>
                <w:rFonts w:eastAsia="Times New Roman" w:cs="Times New Roman"/>
              </w:rPr>
              <w:t>Tanımlamalar</w:t>
            </w:r>
          </w:p>
        </w:tc>
        <w:tc>
          <w:tcPr>
            <w:tcW w:w="3118" w:type="dxa"/>
            <w:gridSpan w:val="4"/>
            <w:tcBorders>
              <w:top w:val="single" w:sz="8" w:space="0" w:color="auto"/>
              <w:left w:val="single" w:sz="8" w:space="0" w:color="auto"/>
              <w:right w:val="single" w:sz="8" w:space="0" w:color="auto"/>
            </w:tcBorders>
            <w:shd w:val="clear" w:color="auto" w:fill="auto"/>
            <w:vAlign w:val="center"/>
          </w:tcPr>
          <w:p w14:paraId="5F7757D0" w14:textId="77777777" w:rsidR="00A52778" w:rsidRPr="00357659" w:rsidRDefault="00A52778" w:rsidP="00FC3F8E">
            <w:pPr>
              <w:spacing w:line="0" w:lineRule="atLeast"/>
              <w:jc w:val="center"/>
              <w:rPr>
                <w:rFonts w:eastAsia="Times New Roman" w:cs="Times New Roman"/>
              </w:rPr>
            </w:pPr>
            <w:r w:rsidRPr="00357659">
              <w:rPr>
                <w:rFonts w:eastAsia="Times New Roman" w:cs="Times New Roman"/>
              </w:rPr>
              <w:t>Uygulanabilirlik</w:t>
            </w:r>
          </w:p>
        </w:tc>
      </w:tr>
      <w:tr w:rsidR="00A52778" w:rsidRPr="00460F9E" w14:paraId="3F1A98F4" w14:textId="77777777" w:rsidTr="00FC3F8E">
        <w:trPr>
          <w:trHeight w:val="61"/>
        </w:trPr>
        <w:tc>
          <w:tcPr>
            <w:tcW w:w="400" w:type="dxa"/>
            <w:tcBorders>
              <w:left w:val="single" w:sz="8" w:space="0" w:color="auto"/>
              <w:bottom w:val="single" w:sz="8" w:space="0" w:color="auto"/>
            </w:tcBorders>
            <w:shd w:val="clear" w:color="auto" w:fill="auto"/>
            <w:vAlign w:val="bottom"/>
          </w:tcPr>
          <w:p w14:paraId="00DF6661" w14:textId="77777777" w:rsidR="00A52778" w:rsidRPr="00460F9E" w:rsidRDefault="00A52778" w:rsidP="00FC3F8E">
            <w:pPr>
              <w:spacing w:line="0" w:lineRule="atLeast"/>
              <w:rPr>
                <w:rFonts w:eastAsia="Times New Roman" w:cs="Times New Roman"/>
                <w:b/>
                <w:sz w:val="5"/>
              </w:rPr>
            </w:pPr>
          </w:p>
        </w:tc>
        <w:tc>
          <w:tcPr>
            <w:tcW w:w="2440" w:type="dxa"/>
            <w:gridSpan w:val="2"/>
            <w:tcBorders>
              <w:bottom w:val="single" w:sz="8" w:space="0" w:color="auto"/>
              <w:right w:val="single" w:sz="8" w:space="0" w:color="auto"/>
            </w:tcBorders>
            <w:shd w:val="clear" w:color="auto" w:fill="auto"/>
            <w:vAlign w:val="bottom"/>
          </w:tcPr>
          <w:p w14:paraId="1567531C" w14:textId="77777777" w:rsidR="00A52778" w:rsidRPr="00460F9E" w:rsidRDefault="00A52778" w:rsidP="00FC3F8E">
            <w:pPr>
              <w:spacing w:line="0" w:lineRule="atLeast"/>
              <w:rPr>
                <w:rFonts w:eastAsia="Times New Roman" w:cs="Times New Roman"/>
                <w:b/>
                <w:sz w:val="5"/>
              </w:rPr>
            </w:pPr>
          </w:p>
        </w:tc>
        <w:tc>
          <w:tcPr>
            <w:tcW w:w="3114" w:type="dxa"/>
            <w:gridSpan w:val="3"/>
            <w:vMerge/>
            <w:tcBorders>
              <w:bottom w:val="single" w:sz="8" w:space="0" w:color="auto"/>
              <w:right w:val="single" w:sz="8" w:space="0" w:color="auto"/>
            </w:tcBorders>
            <w:shd w:val="clear" w:color="auto" w:fill="auto"/>
            <w:vAlign w:val="bottom"/>
          </w:tcPr>
          <w:p w14:paraId="37EC1D2B" w14:textId="77777777" w:rsidR="00A52778" w:rsidRPr="00460F9E" w:rsidRDefault="00A52778" w:rsidP="00FC3F8E">
            <w:pPr>
              <w:spacing w:line="0" w:lineRule="atLeast"/>
              <w:rPr>
                <w:rFonts w:eastAsia="Times New Roman" w:cs="Times New Roman"/>
                <w:b/>
                <w:sz w:val="5"/>
              </w:rPr>
            </w:pPr>
          </w:p>
        </w:tc>
        <w:tc>
          <w:tcPr>
            <w:tcW w:w="1046" w:type="dxa"/>
            <w:tcBorders>
              <w:left w:val="single" w:sz="8" w:space="0" w:color="auto"/>
              <w:bottom w:val="single" w:sz="8" w:space="0" w:color="auto"/>
            </w:tcBorders>
            <w:shd w:val="clear" w:color="auto" w:fill="auto"/>
            <w:vAlign w:val="bottom"/>
          </w:tcPr>
          <w:p w14:paraId="7827CA74" w14:textId="77777777" w:rsidR="00A52778" w:rsidRPr="00460F9E" w:rsidRDefault="00A52778" w:rsidP="00FC3F8E">
            <w:pPr>
              <w:spacing w:line="0" w:lineRule="atLeast"/>
              <w:rPr>
                <w:rFonts w:eastAsia="Times New Roman" w:cs="Times New Roman"/>
                <w:b/>
                <w:sz w:val="5"/>
              </w:rPr>
            </w:pPr>
          </w:p>
        </w:tc>
        <w:tc>
          <w:tcPr>
            <w:tcW w:w="840" w:type="dxa"/>
            <w:tcBorders>
              <w:bottom w:val="single" w:sz="8" w:space="0" w:color="auto"/>
            </w:tcBorders>
            <w:shd w:val="clear" w:color="auto" w:fill="auto"/>
            <w:vAlign w:val="bottom"/>
          </w:tcPr>
          <w:p w14:paraId="298EC5C5" w14:textId="77777777" w:rsidR="00A52778" w:rsidRPr="00460F9E" w:rsidRDefault="00A52778" w:rsidP="00FC3F8E">
            <w:pPr>
              <w:spacing w:line="0" w:lineRule="atLeast"/>
              <w:rPr>
                <w:rFonts w:eastAsia="Times New Roman" w:cs="Times New Roman"/>
                <w:b/>
                <w:sz w:val="5"/>
              </w:rPr>
            </w:pPr>
          </w:p>
        </w:tc>
        <w:tc>
          <w:tcPr>
            <w:tcW w:w="260" w:type="dxa"/>
            <w:tcBorders>
              <w:bottom w:val="single" w:sz="8" w:space="0" w:color="auto"/>
            </w:tcBorders>
            <w:shd w:val="clear" w:color="auto" w:fill="auto"/>
            <w:vAlign w:val="bottom"/>
          </w:tcPr>
          <w:p w14:paraId="6545D355" w14:textId="77777777" w:rsidR="00A52778" w:rsidRPr="00460F9E" w:rsidRDefault="00A52778" w:rsidP="00FC3F8E">
            <w:pPr>
              <w:spacing w:line="0" w:lineRule="atLeast"/>
              <w:rPr>
                <w:rFonts w:eastAsia="Times New Roman" w:cs="Times New Roman"/>
                <w:b/>
                <w:sz w:val="5"/>
              </w:rPr>
            </w:pPr>
          </w:p>
        </w:tc>
        <w:tc>
          <w:tcPr>
            <w:tcW w:w="972" w:type="dxa"/>
            <w:tcBorders>
              <w:bottom w:val="single" w:sz="8" w:space="0" w:color="auto"/>
              <w:right w:val="single" w:sz="8" w:space="0" w:color="auto"/>
            </w:tcBorders>
            <w:shd w:val="clear" w:color="auto" w:fill="auto"/>
            <w:vAlign w:val="bottom"/>
          </w:tcPr>
          <w:p w14:paraId="42C949A2" w14:textId="77777777" w:rsidR="00A52778" w:rsidRPr="00460F9E" w:rsidRDefault="00A52778" w:rsidP="00FC3F8E">
            <w:pPr>
              <w:spacing w:line="0" w:lineRule="atLeast"/>
              <w:rPr>
                <w:rFonts w:eastAsia="Times New Roman" w:cs="Times New Roman"/>
                <w:b/>
                <w:sz w:val="5"/>
              </w:rPr>
            </w:pPr>
          </w:p>
        </w:tc>
      </w:tr>
      <w:tr w:rsidR="00A52778" w:rsidRPr="00460F9E" w14:paraId="6761006F" w14:textId="77777777" w:rsidTr="00FC3F8E">
        <w:trPr>
          <w:trHeight w:val="274"/>
        </w:trPr>
        <w:tc>
          <w:tcPr>
            <w:tcW w:w="9072" w:type="dxa"/>
            <w:gridSpan w:val="10"/>
            <w:tcBorders>
              <w:left w:val="single" w:sz="8" w:space="0" w:color="auto"/>
              <w:right w:val="single" w:sz="8" w:space="0" w:color="auto"/>
            </w:tcBorders>
            <w:shd w:val="clear" w:color="auto" w:fill="auto"/>
            <w:vAlign w:val="bottom"/>
          </w:tcPr>
          <w:p w14:paraId="7A6A9EF4" w14:textId="77777777" w:rsidR="00A52778" w:rsidRPr="00460F9E" w:rsidRDefault="00A52778" w:rsidP="00FC3F8E">
            <w:pPr>
              <w:spacing w:line="0" w:lineRule="atLeast"/>
              <w:rPr>
                <w:rFonts w:eastAsia="Times New Roman" w:cs="Times New Roman"/>
                <w:b/>
                <w:sz w:val="23"/>
              </w:rPr>
            </w:pPr>
            <w:r w:rsidRPr="00460F9E">
              <w:rPr>
                <w:rFonts w:eastAsia="Times New Roman" w:cs="Times New Roman"/>
                <w:i/>
              </w:rPr>
              <w:t xml:space="preserve">  PCDD/F emisyonlarını azaltmaya yönelik spesifik teknikler</w:t>
            </w:r>
          </w:p>
        </w:tc>
      </w:tr>
      <w:tr w:rsidR="00A52778" w:rsidRPr="00460F9E" w14:paraId="5B8F0A2F" w14:textId="77777777" w:rsidTr="00FC3F8E">
        <w:trPr>
          <w:trHeight w:val="66"/>
        </w:trPr>
        <w:tc>
          <w:tcPr>
            <w:tcW w:w="400" w:type="dxa"/>
            <w:tcBorders>
              <w:left w:val="single" w:sz="8" w:space="0" w:color="auto"/>
              <w:bottom w:val="single" w:sz="8" w:space="0" w:color="auto"/>
            </w:tcBorders>
            <w:shd w:val="clear" w:color="auto" w:fill="auto"/>
            <w:vAlign w:val="bottom"/>
          </w:tcPr>
          <w:p w14:paraId="0F5A7DAA" w14:textId="77777777" w:rsidR="00A52778" w:rsidRPr="00460F9E" w:rsidRDefault="00A52778" w:rsidP="00FC3F8E">
            <w:pPr>
              <w:spacing w:line="0" w:lineRule="atLeast"/>
              <w:rPr>
                <w:rFonts w:eastAsia="Times New Roman" w:cs="Times New Roman"/>
                <w:b/>
                <w:sz w:val="5"/>
              </w:rPr>
            </w:pPr>
          </w:p>
        </w:tc>
        <w:tc>
          <w:tcPr>
            <w:tcW w:w="1080" w:type="dxa"/>
            <w:tcBorders>
              <w:bottom w:val="single" w:sz="8" w:space="0" w:color="auto"/>
            </w:tcBorders>
            <w:shd w:val="clear" w:color="auto" w:fill="auto"/>
            <w:vAlign w:val="bottom"/>
          </w:tcPr>
          <w:p w14:paraId="1D93A658" w14:textId="77777777" w:rsidR="00A52778" w:rsidRPr="00460F9E" w:rsidRDefault="00A52778" w:rsidP="00FC3F8E">
            <w:pPr>
              <w:spacing w:line="0" w:lineRule="atLeast"/>
              <w:rPr>
                <w:rFonts w:eastAsia="Times New Roman" w:cs="Times New Roman"/>
                <w:b/>
                <w:sz w:val="5"/>
              </w:rPr>
            </w:pPr>
          </w:p>
        </w:tc>
        <w:tc>
          <w:tcPr>
            <w:tcW w:w="1360" w:type="dxa"/>
            <w:tcBorders>
              <w:bottom w:val="single" w:sz="8" w:space="0" w:color="auto"/>
            </w:tcBorders>
            <w:shd w:val="clear" w:color="auto" w:fill="auto"/>
            <w:vAlign w:val="bottom"/>
          </w:tcPr>
          <w:p w14:paraId="446151AA" w14:textId="77777777" w:rsidR="00A52778" w:rsidRPr="00460F9E" w:rsidRDefault="00A52778" w:rsidP="00FC3F8E">
            <w:pPr>
              <w:spacing w:line="0" w:lineRule="atLeast"/>
              <w:rPr>
                <w:rFonts w:eastAsia="Times New Roman" w:cs="Times New Roman"/>
                <w:b/>
                <w:sz w:val="5"/>
              </w:rPr>
            </w:pPr>
          </w:p>
        </w:tc>
        <w:tc>
          <w:tcPr>
            <w:tcW w:w="2140" w:type="dxa"/>
            <w:tcBorders>
              <w:bottom w:val="single" w:sz="8" w:space="0" w:color="auto"/>
            </w:tcBorders>
            <w:shd w:val="clear" w:color="auto" w:fill="auto"/>
            <w:vAlign w:val="bottom"/>
          </w:tcPr>
          <w:p w14:paraId="6486BC79" w14:textId="77777777" w:rsidR="00A52778" w:rsidRPr="00460F9E" w:rsidRDefault="00A52778" w:rsidP="00FC3F8E">
            <w:pPr>
              <w:spacing w:line="0" w:lineRule="atLeast"/>
              <w:rPr>
                <w:rFonts w:eastAsia="Times New Roman" w:cs="Times New Roman"/>
                <w:b/>
                <w:sz w:val="5"/>
              </w:rPr>
            </w:pPr>
          </w:p>
        </w:tc>
        <w:tc>
          <w:tcPr>
            <w:tcW w:w="260" w:type="dxa"/>
            <w:tcBorders>
              <w:bottom w:val="single" w:sz="8" w:space="0" w:color="auto"/>
            </w:tcBorders>
            <w:shd w:val="clear" w:color="auto" w:fill="auto"/>
            <w:vAlign w:val="bottom"/>
          </w:tcPr>
          <w:p w14:paraId="1FF9665E" w14:textId="77777777" w:rsidR="00A52778" w:rsidRPr="00460F9E" w:rsidRDefault="00A52778" w:rsidP="00FC3F8E">
            <w:pPr>
              <w:spacing w:line="0" w:lineRule="atLeast"/>
              <w:rPr>
                <w:rFonts w:eastAsia="Times New Roman" w:cs="Times New Roman"/>
                <w:b/>
                <w:sz w:val="5"/>
              </w:rPr>
            </w:pPr>
          </w:p>
        </w:tc>
        <w:tc>
          <w:tcPr>
            <w:tcW w:w="714" w:type="dxa"/>
            <w:tcBorders>
              <w:bottom w:val="single" w:sz="8" w:space="0" w:color="auto"/>
            </w:tcBorders>
            <w:shd w:val="clear" w:color="auto" w:fill="auto"/>
            <w:vAlign w:val="bottom"/>
          </w:tcPr>
          <w:p w14:paraId="3DD8FA04" w14:textId="77777777" w:rsidR="00A52778" w:rsidRPr="00460F9E" w:rsidRDefault="00A52778" w:rsidP="00FC3F8E">
            <w:pPr>
              <w:spacing w:line="0" w:lineRule="atLeast"/>
              <w:rPr>
                <w:rFonts w:eastAsia="Times New Roman" w:cs="Times New Roman"/>
                <w:b/>
                <w:sz w:val="5"/>
              </w:rPr>
            </w:pPr>
          </w:p>
        </w:tc>
        <w:tc>
          <w:tcPr>
            <w:tcW w:w="1046" w:type="dxa"/>
            <w:tcBorders>
              <w:bottom w:val="single" w:sz="8" w:space="0" w:color="auto"/>
            </w:tcBorders>
            <w:shd w:val="clear" w:color="auto" w:fill="auto"/>
            <w:vAlign w:val="bottom"/>
          </w:tcPr>
          <w:p w14:paraId="47FC4B70" w14:textId="77777777" w:rsidR="00A52778" w:rsidRPr="00460F9E" w:rsidRDefault="00A52778" w:rsidP="00FC3F8E">
            <w:pPr>
              <w:spacing w:line="0" w:lineRule="atLeast"/>
              <w:rPr>
                <w:rFonts w:eastAsia="Times New Roman" w:cs="Times New Roman"/>
                <w:b/>
                <w:sz w:val="5"/>
              </w:rPr>
            </w:pPr>
          </w:p>
        </w:tc>
        <w:tc>
          <w:tcPr>
            <w:tcW w:w="840" w:type="dxa"/>
            <w:tcBorders>
              <w:bottom w:val="single" w:sz="8" w:space="0" w:color="auto"/>
            </w:tcBorders>
            <w:shd w:val="clear" w:color="auto" w:fill="auto"/>
            <w:vAlign w:val="bottom"/>
          </w:tcPr>
          <w:p w14:paraId="34E6D550" w14:textId="77777777" w:rsidR="00A52778" w:rsidRPr="00460F9E" w:rsidRDefault="00A52778" w:rsidP="00FC3F8E">
            <w:pPr>
              <w:spacing w:line="0" w:lineRule="atLeast"/>
              <w:rPr>
                <w:rFonts w:eastAsia="Times New Roman" w:cs="Times New Roman"/>
                <w:b/>
                <w:sz w:val="5"/>
              </w:rPr>
            </w:pPr>
          </w:p>
        </w:tc>
        <w:tc>
          <w:tcPr>
            <w:tcW w:w="260" w:type="dxa"/>
            <w:tcBorders>
              <w:bottom w:val="single" w:sz="8" w:space="0" w:color="auto"/>
            </w:tcBorders>
            <w:shd w:val="clear" w:color="auto" w:fill="auto"/>
            <w:vAlign w:val="bottom"/>
          </w:tcPr>
          <w:p w14:paraId="16923ECC" w14:textId="77777777" w:rsidR="00A52778" w:rsidRPr="00460F9E" w:rsidRDefault="00A52778" w:rsidP="00FC3F8E">
            <w:pPr>
              <w:spacing w:line="0" w:lineRule="atLeast"/>
              <w:rPr>
                <w:rFonts w:eastAsia="Times New Roman" w:cs="Times New Roman"/>
                <w:b/>
                <w:sz w:val="5"/>
              </w:rPr>
            </w:pPr>
          </w:p>
        </w:tc>
        <w:tc>
          <w:tcPr>
            <w:tcW w:w="972" w:type="dxa"/>
            <w:tcBorders>
              <w:bottom w:val="single" w:sz="8" w:space="0" w:color="auto"/>
              <w:right w:val="single" w:sz="8" w:space="0" w:color="auto"/>
            </w:tcBorders>
            <w:shd w:val="clear" w:color="auto" w:fill="auto"/>
            <w:vAlign w:val="bottom"/>
          </w:tcPr>
          <w:p w14:paraId="037FDEB2" w14:textId="77777777" w:rsidR="00A52778" w:rsidRPr="00460F9E" w:rsidRDefault="00A52778" w:rsidP="00FC3F8E">
            <w:pPr>
              <w:spacing w:line="0" w:lineRule="atLeast"/>
              <w:rPr>
                <w:rFonts w:eastAsia="Times New Roman" w:cs="Times New Roman"/>
                <w:b/>
                <w:sz w:val="5"/>
              </w:rPr>
            </w:pPr>
          </w:p>
        </w:tc>
      </w:tr>
      <w:tr w:rsidR="00A52778" w:rsidRPr="00460F9E" w14:paraId="2ADF4435" w14:textId="77777777" w:rsidTr="00FC3F8E">
        <w:trPr>
          <w:trHeight w:val="274"/>
        </w:trPr>
        <w:tc>
          <w:tcPr>
            <w:tcW w:w="400" w:type="dxa"/>
            <w:vMerge w:val="restart"/>
            <w:tcBorders>
              <w:left w:val="single" w:sz="8" w:space="0" w:color="auto"/>
              <w:right w:val="single" w:sz="8" w:space="0" w:color="auto"/>
            </w:tcBorders>
            <w:shd w:val="clear" w:color="auto" w:fill="auto"/>
            <w:vAlign w:val="bottom"/>
          </w:tcPr>
          <w:p w14:paraId="19869DC5"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a.</w:t>
            </w:r>
          </w:p>
        </w:tc>
        <w:tc>
          <w:tcPr>
            <w:tcW w:w="2440" w:type="dxa"/>
            <w:gridSpan w:val="2"/>
            <w:vMerge w:val="restart"/>
            <w:tcBorders>
              <w:right w:val="single" w:sz="8" w:space="0" w:color="auto"/>
            </w:tcBorders>
            <w:shd w:val="clear" w:color="auto" w:fill="auto"/>
            <w:vAlign w:val="center"/>
          </w:tcPr>
          <w:p w14:paraId="5C5F493C"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Optimize edilmiş katalitik veya termal oksidasyon</w:t>
            </w:r>
          </w:p>
        </w:tc>
        <w:tc>
          <w:tcPr>
            <w:tcW w:w="2140" w:type="dxa"/>
            <w:vMerge w:val="restart"/>
            <w:tcBorders>
              <w:left w:val="single" w:sz="8" w:space="0" w:color="auto"/>
            </w:tcBorders>
            <w:shd w:val="clear" w:color="auto" w:fill="auto"/>
            <w:vAlign w:val="bottom"/>
          </w:tcPr>
          <w:p w14:paraId="4E896541" w14:textId="77777777" w:rsidR="00A52778" w:rsidRPr="00460F9E" w:rsidRDefault="00A52778" w:rsidP="00FC3F8E">
            <w:pPr>
              <w:spacing w:line="0" w:lineRule="atLeast"/>
              <w:ind w:left="6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260" w:type="dxa"/>
            <w:shd w:val="clear" w:color="auto" w:fill="auto"/>
            <w:vAlign w:val="bottom"/>
          </w:tcPr>
          <w:p w14:paraId="07FE3C05" w14:textId="77777777" w:rsidR="00A52778" w:rsidRPr="00460F9E" w:rsidRDefault="00A52778" w:rsidP="00FC3F8E">
            <w:pPr>
              <w:spacing w:line="0" w:lineRule="atLeast"/>
              <w:rPr>
                <w:rFonts w:eastAsia="Times New Roman" w:cs="Times New Roman"/>
                <w:b/>
                <w:sz w:val="23"/>
              </w:rPr>
            </w:pPr>
          </w:p>
        </w:tc>
        <w:tc>
          <w:tcPr>
            <w:tcW w:w="714" w:type="dxa"/>
            <w:tcBorders>
              <w:right w:val="single" w:sz="8" w:space="0" w:color="auto"/>
            </w:tcBorders>
            <w:shd w:val="clear" w:color="auto" w:fill="auto"/>
            <w:vAlign w:val="bottom"/>
          </w:tcPr>
          <w:p w14:paraId="3F513148" w14:textId="77777777" w:rsidR="00A52778" w:rsidRPr="00460F9E" w:rsidRDefault="00A52778" w:rsidP="00FC3F8E">
            <w:pPr>
              <w:spacing w:line="0" w:lineRule="atLeast"/>
              <w:rPr>
                <w:rFonts w:eastAsia="Times New Roman" w:cs="Times New Roman"/>
                <w:b/>
                <w:sz w:val="23"/>
              </w:rPr>
            </w:pPr>
          </w:p>
        </w:tc>
        <w:tc>
          <w:tcPr>
            <w:tcW w:w="3118" w:type="dxa"/>
            <w:gridSpan w:val="4"/>
            <w:vMerge w:val="restart"/>
            <w:tcBorders>
              <w:right w:val="single" w:sz="8" w:space="0" w:color="auto"/>
            </w:tcBorders>
            <w:shd w:val="clear" w:color="auto" w:fill="auto"/>
            <w:vAlign w:val="center"/>
          </w:tcPr>
          <w:p w14:paraId="28DC6A1B" w14:textId="77777777" w:rsidR="00A52778" w:rsidRPr="00460F9E" w:rsidRDefault="00A52778" w:rsidP="00FC3F8E">
            <w:pPr>
              <w:spacing w:line="0" w:lineRule="atLeast"/>
              <w:rPr>
                <w:rFonts w:eastAsia="Times New Roman" w:cs="Times New Roman"/>
                <w:b/>
                <w:sz w:val="23"/>
              </w:rPr>
            </w:pPr>
            <w:r w:rsidRPr="00460F9E">
              <w:rPr>
                <w:rFonts w:eastAsia="Times New Roman" w:cs="Times New Roman"/>
              </w:rPr>
              <w:t xml:space="preserve">  Genel olarak uygulanabilir.</w:t>
            </w:r>
          </w:p>
        </w:tc>
      </w:tr>
      <w:tr w:rsidR="00A52778" w:rsidRPr="00460F9E" w14:paraId="08496766" w14:textId="77777777" w:rsidTr="00FC3F8E">
        <w:trPr>
          <w:trHeight w:val="115"/>
        </w:trPr>
        <w:tc>
          <w:tcPr>
            <w:tcW w:w="400" w:type="dxa"/>
            <w:vMerge/>
            <w:tcBorders>
              <w:left w:val="single" w:sz="8" w:space="0" w:color="auto"/>
              <w:right w:val="single" w:sz="8" w:space="0" w:color="auto"/>
            </w:tcBorders>
            <w:shd w:val="clear" w:color="auto" w:fill="auto"/>
            <w:vAlign w:val="bottom"/>
          </w:tcPr>
          <w:p w14:paraId="52487A26" w14:textId="77777777" w:rsidR="00A52778" w:rsidRPr="00460F9E" w:rsidRDefault="00A52778" w:rsidP="00FC3F8E">
            <w:pPr>
              <w:spacing w:line="0" w:lineRule="atLeast"/>
              <w:rPr>
                <w:rFonts w:eastAsia="Times New Roman" w:cs="Times New Roman"/>
                <w:b/>
                <w:sz w:val="10"/>
              </w:rPr>
            </w:pPr>
          </w:p>
        </w:tc>
        <w:tc>
          <w:tcPr>
            <w:tcW w:w="2440" w:type="dxa"/>
            <w:gridSpan w:val="2"/>
            <w:vMerge/>
            <w:tcBorders>
              <w:right w:val="single" w:sz="8" w:space="0" w:color="auto"/>
            </w:tcBorders>
            <w:shd w:val="clear" w:color="auto" w:fill="auto"/>
            <w:vAlign w:val="bottom"/>
          </w:tcPr>
          <w:p w14:paraId="4182D5ED" w14:textId="77777777" w:rsidR="00A52778" w:rsidRPr="00460F9E" w:rsidRDefault="00A52778" w:rsidP="00FC3F8E">
            <w:pPr>
              <w:spacing w:line="0" w:lineRule="atLeast"/>
              <w:ind w:left="100"/>
              <w:rPr>
                <w:rFonts w:eastAsia="Times New Roman" w:cs="Times New Roman"/>
                <w:b/>
              </w:rPr>
            </w:pPr>
          </w:p>
        </w:tc>
        <w:tc>
          <w:tcPr>
            <w:tcW w:w="2140" w:type="dxa"/>
            <w:vMerge/>
            <w:shd w:val="clear" w:color="auto" w:fill="auto"/>
            <w:vAlign w:val="bottom"/>
          </w:tcPr>
          <w:p w14:paraId="5355C1EF" w14:textId="77777777" w:rsidR="00A52778" w:rsidRPr="00460F9E" w:rsidRDefault="00A52778" w:rsidP="00FC3F8E">
            <w:pPr>
              <w:spacing w:line="0" w:lineRule="atLeast"/>
              <w:rPr>
                <w:rFonts w:eastAsia="Times New Roman" w:cs="Times New Roman"/>
                <w:b/>
                <w:sz w:val="10"/>
              </w:rPr>
            </w:pPr>
          </w:p>
        </w:tc>
        <w:tc>
          <w:tcPr>
            <w:tcW w:w="260" w:type="dxa"/>
            <w:shd w:val="clear" w:color="auto" w:fill="auto"/>
            <w:vAlign w:val="bottom"/>
          </w:tcPr>
          <w:p w14:paraId="1BFDC9B0" w14:textId="77777777" w:rsidR="00A52778" w:rsidRPr="00460F9E" w:rsidRDefault="00A52778" w:rsidP="00FC3F8E">
            <w:pPr>
              <w:spacing w:line="0" w:lineRule="atLeast"/>
              <w:rPr>
                <w:rFonts w:eastAsia="Times New Roman" w:cs="Times New Roman"/>
                <w:b/>
                <w:sz w:val="10"/>
              </w:rPr>
            </w:pPr>
          </w:p>
        </w:tc>
        <w:tc>
          <w:tcPr>
            <w:tcW w:w="714" w:type="dxa"/>
            <w:tcBorders>
              <w:right w:val="single" w:sz="8" w:space="0" w:color="auto"/>
            </w:tcBorders>
            <w:shd w:val="clear" w:color="auto" w:fill="auto"/>
            <w:vAlign w:val="bottom"/>
          </w:tcPr>
          <w:p w14:paraId="722F32EF" w14:textId="77777777" w:rsidR="00A52778" w:rsidRPr="00460F9E" w:rsidRDefault="00A52778" w:rsidP="00FC3F8E">
            <w:pPr>
              <w:spacing w:line="0" w:lineRule="atLeast"/>
              <w:rPr>
                <w:rFonts w:eastAsia="Times New Roman" w:cs="Times New Roman"/>
                <w:b/>
                <w:sz w:val="10"/>
              </w:rPr>
            </w:pPr>
          </w:p>
        </w:tc>
        <w:tc>
          <w:tcPr>
            <w:tcW w:w="3118" w:type="dxa"/>
            <w:gridSpan w:val="4"/>
            <w:vMerge/>
            <w:tcBorders>
              <w:right w:val="single" w:sz="8" w:space="0" w:color="auto"/>
            </w:tcBorders>
            <w:shd w:val="clear" w:color="auto" w:fill="auto"/>
            <w:vAlign w:val="bottom"/>
          </w:tcPr>
          <w:p w14:paraId="17C1FE67" w14:textId="77777777" w:rsidR="00A52778" w:rsidRPr="00460F9E" w:rsidRDefault="00A52778" w:rsidP="00FC3F8E">
            <w:pPr>
              <w:spacing w:line="0" w:lineRule="atLeast"/>
              <w:rPr>
                <w:rFonts w:eastAsia="Times New Roman" w:cs="Times New Roman"/>
                <w:b/>
                <w:sz w:val="10"/>
              </w:rPr>
            </w:pPr>
          </w:p>
        </w:tc>
      </w:tr>
      <w:tr w:rsidR="00A52778" w:rsidRPr="00460F9E" w14:paraId="6621FED9" w14:textId="77777777" w:rsidTr="00FC3F8E">
        <w:trPr>
          <w:trHeight w:val="115"/>
        </w:trPr>
        <w:tc>
          <w:tcPr>
            <w:tcW w:w="400" w:type="dxa"/>
            <w:tcBorders>
              <w:left w:val="single" w:sz="8" w:space="0" w:color="auto"/>
              <w:right w:val="single" w:sz="8" w:space="0" w:color="auto"/>
            </w:tcBorders>
            <w:shd w:val="clear" w:color="auto" w:fill="auto"/>
            <w:vAlign w:val="bottom"/>
          </w:tcPr>
          <w:p w14:paraId="03106D74" w14:textId="77777777" w:rsidR="00A52778" w:rsidRPr="00460F9E" w:rsidRDefault="00A52778" w:rsidP="00FC3F8E">
            <w:pPr>
              <w:spacing w:line="0" w:lineRule="atLeast"/>
              <w:rPr>
                <w:rFonts w:eastAsia="Times New Roman" w:cs="Times New Roman"/>
                <w:b/>
                <w:sz w:val="10"/>
              </w:rPr>
            </w:pPr>
          </w:p>
        </w:tc>
        <w:tc>
          <w:tcPr>
            <w:tcW w:w="2440" w:type="dxa"/>
            <w:gridSpan w:val="2"/>
            <w:vMerge/>
            <w:tcBorders>
              <w:right w:val="single" w:sz="8" w:space="0" w:color="auto"/>
            </w:tcBorders>
            <w:shd w:val="clear" w:color="auto" w:fill="auto"/>
            <w:vAlign w:val="bottom"/>
          </w:tcPr>
          <w:p w14:paraId="2843B3DD" w14:textId="77777777" w:rsidR="00A52778" w:rsidRPr="00460F9E" w:rsidRDefault="00A52778" w:rsidP="00FC3F8E">
            <w:pPr>
              <w:spacing w:line="0" w:lineRule="atLeast"/>
              <w:rPr>
                <w:rFonts w:eastAsia="Times New Roman" w:cs="Times New Roman"/>
                <w:b/>
                <w:sz w:val="10"/>
              </w:rPr>
            </w:pPr>
          </w:p>
        </w:tc>
        <w:tc>
          <w:tcPr>
            <w:tcW w:w="2140" w:type="dxa"/>
            <w:shd w:val="clear" w:color="auto" w:fill="auto"/>
            <w:vAlign w:val="bottom"/>
          </w:tcPr>
          <w:p w14:paraId="4857EC05" w14:textId="77777777" w:rsidR="00A52778" w:rsidRPr="00460F9E" w:rsidRDefault="00A52778" w:rsidP="00FC3F8E">
            <w:pPr>
              <w:spacing w:line="0" w:lineRule="atLeast"/>
              <w:rPr>
                <w:rFonts w:eastAsia="Times New Roman" w:cs="Times New Roman"/>
                <w:b/>
                <w:sz w:val="10"/>
              </w:rPr>
            </w:pPr>
          </w:p>
        </w:tc>
        <w:tc>
          <w:tcPr>
            <w:tcW w:w="260" w:type="dxa"/>
            <w:shd w:val="clear" w:color="auto" w:fill="auto"/>
            <w:vAlign w:val="bottom"/>
          </w:tcPr>
          <w:p w14:paraId="70065846" w14:textId="77777777" w:rsidR="00A52778" w:rsidRPr="00460F9E" w:rsidRDefault="00A52778" w:rsidP="00FC3F8E">
            <w:pPr>
              <w:spacing w:line="0" w:lineRule="atLeast"/>
              <w:rPr>
                <w:rFonts w:eastAsia="Times New Roman" w:cs="Times New Roman"/>
                <w:b/>
                <w:sz w:val="10"/>
              </w:rPr>
            </w:pPr>
          </w:p>
        </w:tc>
        <w:tc>
          <w:tcPr>
            <w:tcW w:w="714" w:type="dxa"/>
            <w:tcBorders>
              <w:right w:val="single" w:sz="8" w:space="0" w:color="auto"/>
            </w:tcBorders>
            <w:shd w:val="clear" w:color="auto" w:fill="auto"/>
            <w:vAlign w:val="bottom"/>
          </w:tcPr>
          <w:p w14:paraId="3E757B2D" w14:textId="77777777" w:rsidR="00A52778" w:rsidRPr="00460F9E" w:rsidRDefault="00A52778" w:rsidP="00FC3F8E">
            <w:pPr>
              <w:spacing w:line="0" w:lineRule="atLeast"/>
              <w:rPr>
                <w:rFonts w:eastAsia="Times New Roman" w:cs="Times New Roman"/>
                <w:b/>
                <w:sz w:val="10"/>
              </w:rPr>
            </w:pPr>
          </w:p>
        </w:tc>
        <w:tc>
          <w:tcPr>
            <w:tcW w:w="3118" w:type="dxa"/>
            <w:gridSpan w:val="4"/>
            <w:vMerge/>
            <w:tcBorders>
              <w:right w:val="single" w:sz="8" w:space="0" w:color="auto"/>
            </w:tcBorders>
            <w:shd w:val="clear" w:color="auto" w:fill="auto"/>
            <w:vAlign w:val="bottom"/>
          </w:tcPr>
          <w:p w14:paraId="3C035007" w14:textId="77777777" w:rsidR="00A52778" w:rsidRPr="00460F9E" w:rsidRDefault="00A52778" w:rsidP="00FC3F8E">
            <w:pPr>
              <w:spacing w:line="0" w:lineRule="atLeast"/>
              <w:rPr>
                <w:rFonts w:eastAsia="Times New Roman" w:cs="Times New Roman"/>
                <w:b/>
                <w:sz w:val="10"/>
              </w:rPr>
            </w:pPr>
          </w:p>
        </w:tc>
      </w:tr>
      <w:tr w:rsidR="00A52778" w:rsidRPr="00460F9E" w14:paraId="185CD737" w14:textId="77777777" w:rsidTr="00FC3F8E">
        <w:trPr>
          <w:trHeight w:val="64"/>
        </w:trPr>
        <w:tc>
          <w:tcPr>
            <w:tcW w:w="400" w:type="dxa"/>
            <w:tcBorders>
              <w:left w:val="single" w:sz="8" w:space="0" w:color="auto"/>
              <w:bottom w:val="single" w:sz="8" w:space="0" w:color="auto"/>
              <w:right w:val="single" w:sz="8" w:space="0" w:color="auto"/>
            </w:tcBorders>
            <w:shd w:val="clear" w:color="auto" w:fill="auto"/>
            <w:vAlign w:val="bottom"/>
          </w:tcPr>
          <w:p w14:paraId="413AB0A9" w14:textId="77777777" w:rsidR="00A52778" w:rsidRPr="00460F9E" w:rsidRDefault="00A52778" w:rsidP="00FC3F8E">
            <w:pPr>
              <w:spacing w:line="0" w:lineRule="atLeast"/>
              <w:rPr>
                <w:rFonts w:eastAsia="Times New Roman" w:cs="Times New Roman"/>
                <w:b/>
                <w:sz w:val="5"/>
              </w:rPr>
            </w:pPr>
          </w:p>
        </w:tc>
        <w:tc>
          <w:tcPr>
            <w:tcW w:w="2440" w:type="dxa"/>
            <w:gridSpan w:val="2"/>
            <w:vMerge/>
            <w:tcBorders>
              <w:bottom w:val="single" w:sz="8" w:space="0" w:color="auto"/>
              <w:right w:val="single" w:sz="8" w:space="0" w:color="auto"/>
            </w:tcBorders>
            <w:shd w:val="clear" w:color="auto" w:fill="auto"/>
            <w:vAlign w:val="bottom"/>
          </w:tcPr>
          <w:p w14:paraId="03981778" w14:textId="77777777" w:rsidR="00A52778" w:rsidRPr="00460F9E" w:rsidRDefault="00A52778" w:rsidP="00FC3F8E">
            <w:pPr>
              <w:spacing w:line="0" w:lineRule="atLeast"/>
              <w:rPr>
                <w:rFonts w:eastAsia="Times New Roman" w:cs="Times New Roman"/>
                <w:b/>
                <w:sz w:val="5"/>
              </w:rPr>
            </w:pPr>
          </w:p>
        </w:tc>
        <w:tc>
          <w:tcPr>
            <w:tcW w:w="3114" w:type="dxa"/>
            <w:gridSpan w:val="3"/>
            <w:tcBorders>
              <w:left w:val="single" w:sz="8" w:space="0" w:color="auto"/>
              <w:bottom w:val="single" w:sz="8" w:space="0" w:color="auto"/>
              <w:right w:val="single" w:sz="8" w:space="0" w:color="auto"/>
            </w:tcBorders>
            <w:shd w:val="clear" w:color="auto" w:fill="auto"/>
            <w:vAlign w:val="bottom"/>
          </w:tcPr>
          <w:p w14:paraId="7CC9026C" w14:textId="77777777" w:rsidR="00A52778" w:rsidRPr="00460F9E" w:rsidRDefault="00A52778" w:rsidP="00FC3F8E">
            <w:pPr>
              <w:spacing w:line="0" w:lineRule="atLeast"/>
              <w:rPr>
                <w:rFonts w:eastAsia="Times New Roman" w:cs="Times New Roman"/>
                <w:b/>
                <w:sz w:val="5"/>
              </w:rPr>
            </w:pPr>
          </w:p>
        </w:tc>
        <w:tc>
          <w:tcPr>
            <w:tcW w:w="1046" w:type="dxa"/>
            <w:tcBorders>
              <w:bottom w:val="single" w:sz="8" w:space="0" w:color="auto"/>
            </w:tcBorders>
            <w:shd w:val="clear" w:color="auto" w:fill="auto"/>
            <w:vAlign w:val="bottom"/>
          </w:tcPr>
          <w:p w14:paraId="466EF367" w14:textId="77777777" w:rsidR="00A52778" w:rsidRPr="00460F9E" w:rsidRDefault="00A52778" w:rsidP="00FC3F8E">
            <w:pPr>
              <w:spacing w:line="0" w:lineRule="atLeast"/>
              <w:rPr>
                <w:rFonts w:eastAsia="Times New Roman" w:cs="Times New Roman"/>
                <w:b/>
                <w:sz w:val="5"/>
              </w:rPr>
            </w:pPr>
          </w:p>
        </w:tc>
        <w:tc>
          <w:tcPr>
            <w:tcW w:w="840" w:type="dxa"/>
            <w:tcBorders>
              <w:bottom w:val="single" w:sz="8" w:space="0" w:color="auto"/>
            </w:tcBorders>
            <w:shd w:val="clear" w:color="auto" w:fill="auto"/>
            <w:vAlign w:val="bottom"/>
          </w:tcPr>
          <w:p w14:paraId="297C8E29" w14:textId="77777777" w:rsidR="00A52778" w:rsidRPr="00460F9E" w:rsidRDefault="00A52778" w:rsidP="00FC3F8E">
            <w:pPr>
              <w:spacing w:line="0" w:lineRule="atLeast"/>
              <w:rPr>
                <w:rFonts w:eastAsia="Times New Roman" w:cs="Times New Roman"/>
                <w:b/>
                <w:sz w:val="5"/>
              </w:rPr>
            </w:pPr>
          </w:p>
        </w:tc>
        <w:tc>
          <w:tcPr>
            <w:tcW w:w="260" w:type="dxa"/>
            <w:tcBorders>
              <w:bottom w:val="single" w:sz="8" w:space="0" w:color="auto"/>
            </w:tcBorders>
            <w:shd w:val="clear" w:color="auto" w:fill="auto"/>
            <w:vAlign w:val="bottom"/>
          </w:tcPr>
          <w:p w14:paraId="2A668945" w14:textId="77777777" w:rsidR="00A52778" w:rsidRPr="00460F9E" w:rsidRDefault="00A52778" w:rsidP="00FC3F8E">
            <w:pPr>
              <w:spacing w:line="0" w:lineRule="atLeast"/>
              <w:rPr>
                <w:rFonts w:eastAsia="Times New Roman" w:cs="Times New Roman"/>
                <w:b/>
                <w:sz w:val="5"/>
              </w:rPr>
            </w:pPr>
          </w:p>
        </w:tc>
        <w:tc>
          <w:tcPr>
            <w:tcW w:w="972" w:type="dxa"/>
            <w:tcBorders>
              <w:bottom w:val="single" w:sz="8" w:space="0" w:color="auto"/>
              <w:right w:val="single" w:sz="8" w:space="0" w:color="auto"/>
            </w:tcBorders>
            <w:shd w:val="clear" w:color="auto" w:fill="auto"/>
            <w:vAlign w:val="bottom"/>
          </w:tcPr>
          <w:p w14:paraId="3AACF5C2" w14:textId="77777777" w:rsidR="00A52778" w:rsidRPr="00460F9E" w:rsidRDefault="00A52778" w:rsidP="00FC3F8E">
            <w:pPr>
              <w:spacing w:line="0" w:lineRule="atLeast"/>
              <w:rPr>
                <w:rFonts w:eastAsia="Times New Roman" w:cs="Times New Roman"/>
                <w:b/>
                <w:sz w:val="5"/>
              </w:rPr>
            </w:pPr>
          </w:p>
        </w:tc>
      </w:tr>
      <w:tr w:rsidR="00A52778" w:rsidRPr="00460F9E" w14:paraId="3352DABE" w14:textId="77777777" w:rsidTr="00FC3F8E">
        <w:trPr>
          <w:trHeight w:val="274"/>
        </w:trPr>
        <w:tc>
          <w:tcPr>
            <w:tcW w:w="400" w:type="dxa"/>
            <w:tcBorders>
              <w:left w:val="single" w:sz="8" w:space="0" w:color="auto"/>
              <w:right w:val="single" w:sz="8" w:space="0" w:color="auto"/>
            </w:tcBorders>
            <w:shd w:val="clear" w:color="auto" w:fill="auto"/>
            <w:vAlign w:val="bottom"/>
          </w:tcPr>
          <w:p w14:paraId="3CB91440" w14:textId="77777777" w:rsidR="00A52778" w:rsidRPr="00460F9E" w:rsidRDefault="00A52778" w:rsidP="00FC3F8E">
            <w:pPr>
              <w:spacing w:line="0" w:lineRule="atLeast"/>
              <w:rPr>
                <w:rFonts w:eastAsia="Times New Roman" w:cs="Times New Roman"/>
                <w:b/>
                <w:sz w:val="23"/>
              </w:rPr>
            </w:pPr>
          </w:p>
        </w:tc>
        <w:tc>
          <w:tcPr>
            <w:tcW w:w="2440" w:type="dxa"/>
            <w:gridSpan w:val="2"/>
            <w:vMerge w:val="restart"/>
            <w:tcBorders>
              <w:right w:val="single" w:sz="8" w:space="0" w:color="auto"/>
            </w:tcBorders>
            <w:shd w:val="clear" w:color="auto" w:fill="auto"/>
            <w:vAlign w:val="center"/>
          </w:tcPr>
          <w:p w14:paraId="234AA8BA" w14:textId="77777777" w:rsidR="00A52778" w:rsidRPr="00460F9E" w:rsidRDefault="00A52778" w:rsidP="00FC3F8E">
            <w:pPr>
              <w:spacing w:line="0" w:lineRule="atLeast"/>
              <w:ind w:left="100"/>
              <w:rPr>
                <w:rFonts w:eastAsia="Times New Roman" w:cs="Times New Roman"/>
                <w:b/>
                <w:sz w:val="23"/>
              </w:rPr>
            </w:pPr>
            <w:r w:rsidRPr="00460F9E">
              <w:rPr>
                <w:rFonts w:eastAsia="Times New Roman" w:cs="Times New Roman"/>
              </w:rPr>
              <w:t>Hızlı atık gaz soğutması</w:t>
            </w:r>
          </w:p>
        </w:tc>
        <w:tc>
          <w:tcPr>
            <w:tcW w:w="3114" w:type="dxa"/>
            <w:gridSpan w:val="3"/>
            <w:vMerge w:val="restart"/>
            <w:tcBorders>
              <w:left w:val="single" w:sz="8" w:space="0" w:color="auto"/>
              <w:right w:val="single" w:sz="8" w:space="0" w:color="auto"/>
            </w:tcBorders>
            <w:shd w:val="clear" w:color="auto" w:fill="auto"/>
            <w:vAlign w:val="center"/>
          </w:tcPr>
          <w:p w14:paraId="0237BA5F"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PCDD/F' nin de novo sentezini  </w:t>
            </w:r>
          </w:p>
          <w:p w14:paraId="2EF576F9"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önlemek için atık gazların 400 °C' nin  </w:t>
            </w:r>
          </w:p>
          <w:p w14:paraId="19E20B99"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üzerindeki sıcaklıklardan 250 °C' nin </w:t>
            </w:r>
          </w:p>
          <w:p w14:paraId="0FE3AE99"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altına hızlı bir şekilde soğutulması.</w:t>
            </w:r>
          </w:p>
        </w:tc>
        <w:tc>
          <w:tcPr>
            <w:tcW w:w="1046" w:type="dxa"/>
            <w:shd w:val="clear" w:color="auto" w:fill="auto"/>
            <w:vAlign w:val="bottom"/>
          </w:tcPr>
          <w:p w14:paraId="2CADD809" w14:textId="77777777" w:rsidR="00A52778" w:rsidRPr="00460F9E" w:rsidRDefault="00A52778" w:rsidP="00FC3F8E">
            <w:pPr>
              <w:spacing w:line="0" w:lineRule="atLeast"/>
              <w:rPr>
                <w:rFonts w:eastAsia="Times New Roman" w:cs="Times New Roman"/>
                <w:b/>
                <w:sz w:val="23"/>
              </w:rPr>
            </w:pPr>
          </w:p>
        </w:tc>
        <w:tc>
          <w:tcPr>
            <w:tcW w:w="840" w:type="dxa"/>
            <w:shd w:val="clear" w:color="auto" w:fill="auto"/>
            <w:vAlign w:val="bottom"/>
          </w:tcPr>
          <w:p w14:paraId="24458A71" w14:textId="77777777" w:rsidR="00A52778" w:rsidRPr="00460F9E" w:rsidRDefault="00A52778" w:rsidP="00FC3F8E">
            <w:pPr>
              <w:spacing w:line="0" w:lineRule="atLeast"/>
              <w:rPr>
                <w:rFonts w:eastAsia="Times New Roman" w:cs="Times New Roman"/>
                <w:b/>
                <w:sz w:val="23"/>
              </w:rPr>
            </w:pPr>
          </w:p>
        </w:tc>
        <w:tc>
          <w:tcPr>
            <w:tcW w:w="260" w:type="dxa"/>
            <w:shd w:val="clear" w:color="auto" w:fill="auto"/>
            <w:vAlign w:val="bottom"/>
          </w:tcPr>
          <w:p w14:paraId="1ADCDB3B" w14:textId="77777777" w:rsidR="00A52778" w:rsidRPr="00460F9E" w:rsidRDefault="00A52778" w:rsidP="00FC3F8E">
            <w:pPr>
              <w:spacing w:line="0" w:lineRule="atLeast"/>
              <w:rPr>
                <w:rFonts w:eastAsia="Times New Roman" w:cs="Times New Roman"/>
                <w:b/>
                <w:sz w:val="23"/>
              </w:rPr>
            </w:pPr>
          </w:p>
        </w:tc>
        <w:tc>
          <w:tcPr>
            <w:tcW w:w="972" w:type="dxa"/>
            <w:tcBorders>
              <w:right w:val="single" w:sz="8" w:space="0" w:color="auto"/>
            </w:tcBorders>
            <w:shd w:val="clear" w:color="auto" w:fill="auto"/>
            <w:vAlign w:val="bottom"/>
          </w:tcPr>
          <w:p w14:paraId="25D33988" w14:textId="77777777" w:rsidR="00A52778" w:rsidRPr="00460F9E" w:rsidRDefault="00A52778" w:rsidP="00FC3F8E">
            <w:pPr>
              <w:spacing w:line="0" w:lineRule="atLeast"/>
              <w:rPr>
                <w:rFonts w:eastAsia="Times New Roman" w:cs="Times New Roman"/>
                <w:b/>
                <w:sz w:val="23"/>
              </w:rPr>
            </w:pPr>
          </w:p>
        </w:tc>
      </w:tr>
      <w:tr w:rsidR="00A52778" w:rsidRPr="00460F9E" w14:paraId="68BFA12E" w14:textId="77777777" w:rsidTr="00FC3F8E">
        <w:trPr>
          <w:trHeight w:val="345"/>
        </w:trPr>
        <w:tc>
          <w:tcPr>
            <w:tcW w:w="400" w:type="dxa"/>
            <w:tcBorders>
              <w:left w:val="single" w:sz="8" w:space="0" w:color="auto"/>
              <w:right w:val="single" w:sz="8" w:space="0" w:color="auto"/>
            </w:tcBorders>
            <w:shd w:val="clear" w:color="auto" w:fill="auto"/>
            <w:vAlign w:val="bottom"/>
          </w:tcPr>
          <w:p w14:paraId="0C9E77AE"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b.</w:t>
            </w:r>
          </w:p>
        </w:tc>
        <w:tc>
          <w:tcPr>
            <w:tcW w:w="2440" w:type="dxa"/>
            <w:gridSpan w:val="2"/>
            <w:vMerge/>
            <w:tcBorders>
              <w:right w:val="single" w:sz="8" w:space="0" w:color="auto"/>
            </w:tcBorders>
            <w:shd w:val="clear" w:color="auto" w:fill="auto"/>
            <w:vAlign w:val="bottom"/>
          </w:tcPr>
          <w:p w14:paraId="3661FAB8" w14:textId="77777777" w:rsidR="00A52778" w:rsidRPr="00460F9E" w:rsidRDefault="00A52778" w:rsidP="00FC3F8E">
            <w:pPr>
              <w:spacing w:line="0" w:lineRule="atLeast"/>
              <w:ind w:left="100"/>
              <w:rPr>
                <w:rFonts w:eastAsia="Times New Roman" w:cs="Times New Roman"/>
                <w:b/>
              </w:rPr>
            </w:pPr>
          </w:p>
        </w:tc>
        <w:tc>
          <w:tcPr>
            <w:tcW w:w="3114" w:type="dxa"/>
            <w:gridSpan w:val="3"/>
            <w:vMerge/>
            <w:tcBorders>
              <w:left w:val="single" w:sz="8" w:space="0" w:color="auto"/>
              <w:right w:val="single" w:sz="8" w:space="0" w:color="auto"/>
            </w:tcBorders>
            <w:shd w:val="clear" w:color="auto" w:fill="auto"/>
            <w:vAlign w:val="bottom"/>
          </w:tcPr>
          <w:p w14:paraId="67DC3AA2" w14:textId="77777777" w:rsidR="00A52778" w:rsidRPr="00460F9E" w:rsidRDefault="00A52778" w:rsidP="00FC3F8E">
            <w:pPr>
              <w:spacing w:line="0" w:lineRule="atLeast"/>
              <w:rPr>
                <w:rFonts w:eastAsia="Times New Roman" w:cs="Times New Roman"/>
                <w:b/>
              </w:rPr>
            </w:pPr>
          </w:p>
        </w:tc>
        <w:tc>
          <w:tcPr>
            <w:tcW w:w="3118" w:type="dxa"/>
            <w:gridSpan w:val="4"/>
            <w:tcBorders>
              <w:right w:val="single" w:sz="8" w:space="0" w:color="auto"/>
            </w:tcBorders>
            <w:shd w:val="clear" w:color="auto" w:fill="auto"/>
            <w:vAlign w:val="bottom"/>
          </w:tcPr>
          <w:p w14:paraId="06C2583C"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Genel olarak uygulanabilir.</w:t>
            </w:r>
          </w:p>
        </w:tc>
      </w:tr>
      <w:tr w:rsidR="00A52778" w:rsidRPr="00460F9E" w14:paraId="118C5749" w14:textId="77777777" w:rsidTr="00FC3F8E">
        <w:trPr>
          <w:trHeight w:val="115"/>
        </w:trPr>
        <w:tc>
          <w:tcPr>
            <w:tcW w:w="400" w:type="dxa"/>
            <w:tcBorders>
              <w:left w:val="single" w:sz="8" w:space="0" w:color="auto"/>
              <w:right w:val="single" w:sz="8" w:space="0" w:color="auto"/>
            </w:tcBorders>
            <w:shd w:val="clear" w:color="auto" w:fill="auto"/>
            <w:vAlign w:val="bottom"/>
          </w:tcPr>
          <w:p w14:paraId="1A974212" w14:textId="77777777" w:rsidR="00A52778" w:rsidRPr="00460F9E" w:rsidRDefault="00A52778" w:rsidP="00FC3F8E">
            <w:pPr>
              <w:spacing w:line="0" w:lineRule="atLeast"/>
              <w:rPr>
                <w:rFonts w:eastAsia="Times New Roman" w:cs="Times New Roman"/>
                <w:b/>
                <w:sz w:val="10"/>
              </w:rPr>
            </w:pPr>
          </w:p>
        </w:tc>
        <w:tc>
          <w:tcPr>
            <w:tcW w:w="2440" w:type="dxa"/>
            <w:gridSpan w:val="2"/>
            <w:vMerge/>
            <w:tcBorders>
              <w:right w:val="single" w:sz="8" w:space="0" w:color="auto"/>
            </w:tcBorders>
            <w:shd w:val="clear" w:color="auto" w:fill="auto"/>
            <w:vAlign w:val="bottom"/>
          </w:tcPr>
          <w:p w14:paraId="37CE76A5" w14:textId="77777777" w:rsidR="00A52778" w:rsidRPr="00460F9E" w:rsidRDefault="00A52778" w:rsidP="00FC3F8E">
            <w:pPr>
              <w:spacing w:line="0" w:lineRule="atLeast"/>
              <w:rPr>
                <w:rFonts w:eastAsia="Times New Roman" w:cs="Times New Roman"/>
                <w:b/>
                <w:sz w:val="10"/>
              </w:rPr>
            </w:pPr>
          </w:p>
        </w:tc>
        <w:tc>
          <w:tcPr>
            <w:tcW w:w="3114" w:type="dxa"/>
            <w:gridSpan w:val="3"/>
            <w:vMerge/>
            <w:tcBorders>
              <w:left w:val="single" w:sz="8" w:space="0" w:color="auto"/>
              <w:right w:val="single" w:sz="8" w:space="0" w:color="auto"/>
            </w:tcBorders>
            <w:shd w:val="clear" w:color="auto" w:fill="auto"/>
            <w:vAlign w:val="bottom"/>
          </w:tcPr>
          <w:p w14:paraId="06AA6413" w14:textId="77777777" w:rsidR="00A52778" w:rsidRPr="00460F9E" w:rsidRDefault="00A52778" w:rsidP="00FC3F8E">
            <w:pPr>
              <w:spacing w:line="0" w:lineRule="atLeast"/>
              <w:rPr>
                <w:rFonts w:eastAsia="Times New Roman" w:cs="Times New Roman"/>
                <w:b/>
                <w:sz w:val="10"/>
              </w:rPr>
            </w:pPr>
          </w:p>
        </w:tc>
        <w:tc>
          <w:tcPr>
            <w:tcW w:w="1046" w:type="dxa"/>
            <w:shd w:val="clear" w:color="auto" w:fill="auto"/>
            <w:vAlign w:val="bottom"/>
          </w:tcPr>
          <w:p w14:paraId="51CDCEFE" w14:textId="77777777" w:rsidR="00A52778" w:rsidRPr="00460F9E" w:rsidRDefault="00A52778" w:rsidP="00FC3F8E">
            <w:pPr>
              <w:spacing w:line="0" w:lineRule="atLeast"/>
              <w:rPr>
                <w:rFonts w:eastAsia="Times New Roman" w:cs="Times New Roman"/>
                <w:b/>
                <w:sz w:val="10"/>
              </w:rPr>
            </w:pPr>
          </w:p>
        </w:tc>
        <w:tc>
          <w:tcPr>
            <w:tcW w:w="840" w:type="dxa"/>
            <w:shd w:val="clear" w:color="auto" w:fill="auto"/>
            <w:vAlign w:val="bottom"/>
          </w:tcPr>
          <w:p w14:paraId="5F8AD8EA" w14:textId="77777777" w:rsidR="00A52778" w:rsidRPr="00460F9E" w:rsidRDefault="00A52778" w:rsidP="00FC3F8E">
            <w:pPr>
              <w:spacing w:line="0" w:lineRule="atLeast"/>
              <w:rPr>
                <w:rFonts w:eastAsia="Times New Roman" w:cs="Times New Roman"/>
                <w:b/>
                <w:sz w:val="10"/>
              </w:rPr>
            </w:pPr>
          </w:p>
        </w:tc>
        <w:tc>
          <w:tcPr>
            <w:tcW w:w="260" w:type="dxa"/>
            <w:shd w:val="clear" w:color="auto" w:fill="auto"/>
            <w:vAlign w:val="bottom"/>
          </w:tcPr>
          <w:p w14:paraId="6CB05F66" w14:textId="77777777" w:rsidR="00A52778" w:rsidRPr="00460F9E" w:rsidRDefault="00A52778" w:rsidP="00FC3F8E">
            <w:pPr>
              <w:spacing w:line="0" w:lineRule="atLeast"/>
              <w:rPr>
                <w:rFonts w:eastAsia="Times New Roman" w:cs="Times New Roman"/>
                <w:b/>
                <w:sz w:val="10"/>
              </w:rPr>
            </w:pPr>
          </w:p>
        </w:tc>
        <w:tc>
          <w:tcPr>
            <w:tcW w:w="972" w:type="dxa"/>
            <w:tcBorders>
              <w:right w:val="single" w:sz="8" w:space="0" w:color="auto"/>
            </w:tcBorders>
            <w:shd w:val="clear" w:color="auto" w:fill="auto"/>
            <w:vAlign w:val="bottom"/>
          </w:tcPr>
          <w:p w14:paraId="4548B674" w14:textId="77777777" w:rsidR="00A52778" w:rsidRPr="00460F9E" w:rsidRDefault="00A52778" w:rsidP="00FC3F8E">
            <w:pPr>
              <w:spacing w:line="0" w:lineRule="atLeast"/>
              <w:rPr>
                <w:rFonts w:eastAsia="Times New Roman" w:cs="Times New Roman"/>
                <w:b/>
                <w:sz w:val="10"/>
              </w:rPr>
            </w:pPr>
          </w:p>
        </w:tc>
      </w:tr>
      <w:tr w:rsidR="00A52778" w:rsidRPr="00460F9E" w14:paraId="236DD28F" w14:textId="77777777" w:rsidTr="00FC3F8E">
        <w:trPr>
          <w:trHeight w:val="230"/>
        </w:trPr>
        <w:tc>
          <w:tcPr>
            <w:tcW w:w="400" w:type="dxa"/>
            <w:tcBorders>
              <w:left w:val="single" w:sz="8" w:space="0" w:color="auto"/>
              <w:right w:val="single" w:sz="8" w:space="0" w:color="auto"/>
            </w:tcBorders>
            <w:shd w:val="clear" w:color="auto" w:fill="auto"/>
            <w:vAlign w:val="bottom"/>
          </w:tcPr>
          <w:p w14:paraId="4FFD4883" w14:textId="77777777" w:rsidR="00A52778" w:rsidRPr="00460F9E" w:rsidRDefault="00A52778" w:rsidP="00FC3F8E">
            <w:pPr>
              <w:spacing w:line="0" w:lineRule="atLeast"/>
              <w:rPr>
                <w:rFonts w:eastAsia="Times New Roman" w:cs="Times New Roman"/>
                <w:b/>
              </w:rPr>
            </w:pPr>
          </w:p>
        </w:tc>
        <w:tc>
          <w:tcPr>
            <w:tcW w:w="2440" w:type="dxa"/>
            <w:gridSpan w:val="2"/>
            <w:vMerge/>
            <w:tcBorders>
              <w:right w:val="single" w:sz="8" w:space="0" w:color="auto"/>
            </w:tcBorders>
            <w:shd w:val="clear" w:color="auto" w:fill="auto"/>
            <w:vAlign w:val="bottom"/>
          </w:tcPr>
          <w:p w14:paraId="42D39DE2" w14:textId="77777777" w:rsidR="00A52778" w:rsidRPr="00460F9E" w:rsidRDefault="00A52778" w:rsidP="00FC3F8E">
            <w:pPr>
              <w:spacing w:line="0" w:lineRule="atLeast"/>
              <w:rPr>
                <w:rFonts w:eastAsia="Times New Roman" w:cs="Times New Roman"/>
                <w:b/>
              </w:rPr>
            </w:pPr>
          </w:p>
        </w:tc>
        <w:tc>
          <w:tcPr>
            <w:tcW w:w="3114" w:type="dxa"/>
            <w:gridSpan w:val="3"/>
            <w:vMerge/>
            <w:tcBorders>
              <w:left w:val="single" w:sz="8" w:space="0" w:color="auto"/>
              <w:right w:val="single" w:sz="8" w:space="0" w:color="auto"/>
            </w:tcBorders>
            <w:shd w:val="clear" w:color="auto" w:fill="auto"/>
            <w:vAlign w:val="bottom"/>
          </w:tcPr>
          <w:p w14:paraId="4B5CCE34" w14:textId="77777777" w:rsidR="00A52778" w:rsidRPr="00460F9E" w:rsidRDefault="00A52778" w:rsidP="00FC3F8E">
            <w:pPr>
              <w:spacing w:line="0" w:lineRule="atLeast"/>
              <w:rPr>
                <w:rFonts w:eastAsia="Times New Roman" w:cs="Times New Roman"/>
                <w:b/>
              </w:rPr>
            </w:pPr>
          </w:p>
        </w:tc>
        <w:tc>
          <w:tcPr>
            <w:tcW w:w="1046" w:type="dxa"/>
            <w:tcBorders>
              <w:left w:val="single" w:sz="8" w:space="0" w:color="auto"/>
            </w:tcBorders>
            <w:shd w:val="clear" w:color="auto" w:fill="auto"/>
            <w:vAlign w:val="bottom"/>
          </w:tcPr>
          <w:p w14:paraId="425F7855" w14:textId="77777777" w:rsidR="00A52778" w:rsidRPr="00460F9E" w:rsidRDefault="00A52778" w:rsidP="00FC3F8E">
            <w:pPr>
              <w:spacing w:line="0" w:lineRule="atLeast"/>
              <w:rPr>
                <w:rFonts w:eastAsia="Times New Roman" w:cs="Times New Roman"/>
                <w:b/>
              </w:rPr>
            </w:pPr>
          </w:p>
        </w:tc>
        <w:tc>
          <w:tcPr>
            <w:tcW w:w="840" w:type="dxa"/>
            <w:shd w:val="clear" w:color="auto" w:fill="auto"/>
            <w:vAlign w:val="bottom"/>
          </w:tcPr>
          <w:p w14:paraId="63982DBE" w14:textId="77777777" w:rsidR="00A52778" w:rsidRPr="00460F9E" w:rsidRDefault="00A52778" w:rsidP="00FC3F8E">
            <w:pPr>
              <w:spacing w:line="0" w:lineRule="atLeast"/>
              <w:rPr>
                <w:rFonts w:eastAsia="Times New Roman" w:cs="Times New Roman"/>
                <w:b/>
              </w:rPr>
            </w:pPr>
          </w:p>
        </w:tc>
        <w:tc>
          <w:tcPr>
            <w:tcW w:w="260" w:type="dxa"/>
            <w:shd w:val="clear" w:color="auto" w:fill="auto"/>
            <w:vAlign w:val="bottom"/>
          </w:tcPr>
          <w:p w14:paraId="601FBC32" w14:textId="77777777" w:rsidR="00A52778" w:rsidRPr="00460F9E" w:rsidRDefault="00A52778" w:rsidP="00FC3F8E">
            <w:pPr>
              <w:spacing w:line="0" w:lineRule="atLeast"/>
              <w:rPr>
                <w:rFonts w:eastAsia="Times New Roman" w:cs="Times New Roman"/>
                <w:b/>
              </w:rPr>
            </w:pPr>
          </w:p>
        </w:tc>
        <w:tc>
          <w:tcPr>
            <w:tcW w:w="972" w:type="dxa"/>
            <w:tcBorders>
              <w:right w:val="single" w:sz="8" w:space="0" w:color="auto"/>
            </w:tcBorders>
            <w:shd w:val="clear" w:color="auto" w:fill="auto"/>
            <w:vAlign w:val="bottom"/>
          </w:tcPr>
          <w:p w14:paraId="3C83B2C4" w14:textId="77777777" w:rsidR="00A52778" w:rsidRPr="00460F9E" w:rsidRDefault="00A52778" w:rsidP="00FC3F8E">
            <w:pPr>
              <w:spacing w:line="0" w:lineRule="atLeast"/>
              <w:rPr>
                <w:rFonts w:eastAsia="Times New Roman" w:cs="Times New Roman"/>
                <w:b/>
              </w:rPr>
            </w:pPr>
          </w:p>
        </w:tc>
      </w:tr>
      <w:tr w:rsidR="00A52778" w:rsidRPr="00460F9E" w14:paraId="06E442C6" w14:textId="77777777" w:rsidTr="00FC3F8E">
        <w:trPr>
          <w:trHeight w:val="66"/>
        </w:trPr>
        <w:tc>
          <w:tcPr>
            <w:tcW w:w="400" w:type="dxa"/>
            <w:tcBorders>
              <w:left w:val="single" w:sz="8" w:space="0" w:color="auto"/>
              <w:bottom w:val="single" w:sz="8" w:space="0" w:color="auto"/>
              <w:right w:val="single" w:sz="8" w:space="0" w:color="auto"/>
            </w:tcBorders>
            <w:shd w:val="clear" w:color="auto" w:fill="auto"/>
            <w:vAlign w:val="bottom"/>
          </w:tcPr>
          <w:p w14:paraId="47338B1F" w14:textId="77777777" w:rsidR="00A52778" w:rsidRPr="00460F9E" w:rsidRDefault="00A52778" w:rsidP="00FC3F8E">
            <w:pPr>
              <w:spacing w:line="0" w:lineRule="atLeast"/>
              <w:rPr>
                <w:rFonts w:eastAsia="Times New Roman" w:cs="Times New Roman"/>
                <w:b/>
                <w:sz w:val="5"/>
              </w:rPr>
            </w:pPr>
          </w:p>
        </w:tc>
        <w:tc>
          <w:tcPr>
            <w:tcW w:w="2440" w:type="dxa"/>
            <w:gridSpan w:val="2"/>
            <w:tcBorders>
              <w:bottom w:val="single" w:sz="8" w:space="0" w:color="auto"/>
              <w:right w:val="single" w:sz="8" w:space="0" w:color="auto"/>
            </w:tcBorders>
            <w:shd w:val="clear" w:color="auto" w:fill="auto"/>
            <w:vAlign w:val="bottom"/>
          </w:tcPr>
          <w:p w14:paraId="1F6CEF91" w14:textId="77777777" w:rsidR="00A52778" w:rsidRPr="00460F9E" w:rsidRDefault="00A52778" w:rsidP="00FC3F8E">
            <w:pPr>
              <w:spacing w:line="0" w:lineRule="atLeast"/>
              <w:rPr>
                <w:rFonts w:eastAsia="Times New Roman" w:cs="Times New Roman"/>
                <w:b/>
                <w:sz w:val="5"/>
              </w:rPr>
            </w:pPr>
          </w:p>
        </w:tc>
        <w:tc>
          <w:tcPr>
            <w:tcW w:w="2140" w:type="dxa"/>
            <w:tcBorders>
              <w:bottom w:val="single" w:sz="8" w:space="0" w:color="auto"/>
            </w:tcBorders>
            <w:shd w:val="clear" w:color="auto" w:fill="auto"/>
            <w:vAlign w:val="bottom"/>
          </w:tcPr>
          <w:p w14:paraId="312F5635" w14:textId="77777777" w:rsidR="00A52778" w:rsidRPr="00460F9E" w:rsidRDefault="00A52778" w:rsidP="00FC3F8E">
            <w:pPr>
              <w:spacing w:line="0" w:lineRule="atLeast"/>
              <w:rPr>
                <w:rFonts w:eastAsia="Times New Roman" w:cs="Times New Roman"/>
                <w:b/>
                <w:sz w:val="5"/>
              </w:rPr>
            </w:pPr>
          </w:p>
        </w:tc>
        <w:tc>
          <w:tcPr>
            <w:tcW w:w="260" w:type="dxa"/>
            <w:tcBorders>
              <w:bottom w:val="single" w:sz="8" w:space="0" w:color="auto"/>
            </w:tcBorders>
            <w:shd w:val="clear" w:color="auto" w:fill="auto"/>
            <w:vAlign w:val="bottom"/>
          </w:tcPr>
          <w:p w14:paraId="000B0281" w14:textId="77777777" w:rsidR="00A52778" w:rsidRPr="00460F9E" w:rsidRDefault="00A52778" w:rsidP="00FC3F8E">
            <w:pPr>
              <w:spacing w:line="0" w:lineRule="atLeast"/>
              <w:rPr>
                <w:rFonts w:eastAsia="Times New Roman" w:cs="Times New Roman"/>
                <w:b/>
                <w:sz w:val="5"/>
              </w:rPr>
            </w:pPr>
          </w:p>
        </w:tc>
        <w:tc>
          <w:tcPr>
            <w:tcW w:w="714" w:type="dxa"/>
            <w:tcBorders>
              <w:bottom w:val="single" w:sz="8" w:space="0" w:color="auto"/>
              <w:right w:val="single" w:sz="8" w:space="0" w:color="auto"/>
            </w:tcBorders>
            <w:shd w:val="clear" w:color="auto" w:fill="auto"/>
            <w:vAlign w:val="bottom"/>
          </w:tcPr>
          <w:p w14:paraId="416BBAC6" w14:textId="77777777" w:rsidR="00A52778" w:rsidRPr="00460F9E" w:rsidRDefault="00A52778" w:rsidP="00FC3F8E">
            <w:pPr>
              <w:spacing w:line="0" w:lineRule="atLeast"/>
              <w:rPr>
                <w:rFonts w:eastAsia="Times New Roman" w:cs="Times New Roman"/>
                <w:b/>
                <w:sz w:val="5"/>
              </w:rPr>
            </w:pPr>
          </w:p>
        </w:tc>
        <w:tc>
          <w:tcPr>
            <w:tcW w:w="1046" w:type="dxa"/>
            <w:tcBorders>
              <w:bottom w:val="single" w:sz="8" w:space="0" w:color="auto"/>
            </w:tcBorders>
            <w:shd w:val="clear" w:color="auto" w:fill="auto"/>
            <w:vAlign w:val="bottom"/>
          </w:tcPr>
          <w:p w14:paraId="5CE90257" w14:textId="77777777" w:rsidR="00A52778" w:rsidRPr="00460F9E" w:rsidRDefault="00A52778" w:rsidP="00FC3F8E">
            <w:pPr>
              <w:spacing w:line="0" w:lineRule="atLeast"/>
              <w:rPr>
                <w:rFonts w:eastAsia="Times New Roman" w:cs="Times New Roman"/>
                <w:b/>
                <w:sz w:val="5"/>
              </w:rPr>
            </w:pPr>
          </w:p>
        </w:tc>
        <w:tc>
          <w:tcPr>
            <w:tcW w:w="840" w:type="dxa"/>
            <w:tcBorders>
              <w:bottom w:val="single" w:sz="8" w:space="0" w:color="auto"/>
            </w:tcBorders>
            <w:shd w:val="clear" w:color="auto" w:fill="auto"/>
            <w:vAlign w:val="bottom"/>
          </w:tcPr>
          <w:p w14:paraId="720BA4DC" w14:textId="77777777" w:rsidR="00A52778" w:rsidRPr="00460F9E" w:rsidRDefault="00A52778" w:rsidP="00FC3F8E">
            <w:pPr>
              <w:spacing w:line="0" w:lineRule="atLeast"/>
              <w:rPr>
                <w:rFonts w:eastAsia="Times New Roman" w:cs="Times New Roman"/>
                <w:b/>
                <w:sz w:val="5"/>
              </w:rPr>
            </w:pPr>
          </w:p>
        </w:tc>
        <w:tc>
          <w:tcPr>
            <w:tcW w:w="260" w:type="dxa"/>
            <w:tcBorders>
              <w:bottom w:val="single" w:sz="8" w:space="0" w:color="auto"/>
            </w:tcBorders>
            <w:shd w:val="clear" w:color="auto" w:fill="auto"/>
            <w:vAlign w:val="bottom"/>
          </w:tcPr>
          <w:p w14:paraId="43C08348" w14:textId="77777777" w:rsidR="00A52778" w:rsidRPr="00460F9E" w:rsidRDefault="00A52778" w:rsidP="00FC3F8E">
            <w:pPr>
              <w:spacing w:line="0" w:lineRule="atLeast"/>
              <w:rPr>
                <w:rFonts w:eastAsia="Times New Roman" w:cs="Times New Roman"/>
                <w:b/>
                <w:sz w:val="5"/>
              </w:rPr>
            </w:pPr>
          </w:p>
        </w:tc>
        <w:tc>
          <w:tcPr>
            <w:tcW w:w="972" w:type="dxa"/>
            <w:tcBorders>
              <w:bottom w:val="single" w:sz="8" w:space="0" w:color="auto"/>
              <w:right w:val="single" w:sz="8" w:space="0" w:color="auto"/>
            </w:tcBorders>
            <w:shd w:val="clear" w:color="auto" w:fill="auto"/>
            <w:vAlign w:val="bottom"/>
          </w:tcPr>
          <w:p w14:paraId="4B7948A2" w14:textId="77777777" w:rsidR="00A52778" w:rsidRPr="00460F9E" w:rsidRDefault="00A52778" w:rsidP="00FC3F8E">
            <w:pPr>
              <w:spacing w:line="0" w:lineRule="atLeast"/>
              <w:rPr>
                <w:rFonts w:eastAsia="Times New Roman" w:cs="Times New Roman"/>
                <w:b/>
                <w:sz w:val="5"/>
              </w:rPr>
            </w:pPr>
          </w:p>
        </w:tc>
      </w:tr>
      <w:tr w:rsidR="00A52778" w:rsidRPr="00460F9E" w14:paraId="66AE4353" w14:textId="77777777" w:rsidTr="00FC3F8E">
        <w:trPr>
          <w:trHeight w:val="274"/>
        </w:trPr>
        <w:tc>
          <w:tcPr>
            <w:tcW w:w="400" w:type="dxa"/>
            <w:vMerge w:val="restart"/>
            <w:tcBorders>
              <w:left w:val="single" w:sz="8" w:space="0" w:color="auto"/>
              <w:right w:val="single" w:sz="8" w:space="0" w:color="auto"/>
            </w:tcBorders>
            <w:shd w:val="clear" w:color="auto" w:fill="auto"/>
            <w:vAlign w:val="bottom"/>
          </w:tcPr>
          <w:p w14:paraId="7DE26A30"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c.</w:t>
            </w:r>
          </w:p>
        </w:tc>
        <w:tc>
          <w:tcPr>
            <w:tcW w:w="2440" w:type="dxa"/>
            <w:gridSpan w:val="2"/>
            <w:vMerge w:val="restart"/>
            <w:tcBorders>
              <w:right w:val="single" w:sz="8" w:space="0" w:color="auto"/>
            </w:tcBorders>
            <w:shd w:val="clear" w:color="auto" w:fill="auto"/>
            <w:vAlign w:val="center"/>
          </w:tcPr>
          <w:p w14:paraId="72109F7B"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Aktif karbon kullanarak  </w:t>
            </w:r>
          </w:p>
          <w:p w14:paraId="02C32F31"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adsorpsiyon</w:t>
            </w:r>
          </w:p>
        </w:tc>
        <w:tc>
          <w:tcPr>
            <w:tcW w:w="2140" w:type="dxa"/>
            <w:vMerge w:val="restart"/>
            <w:shd w:val="clear" w:color="auto" w:fill="auto"/>
            <w:vAlign w:val="bottom"/>
          </w:tcPr>
          <w:p w14:paraId="14F627DF" w14:textId="77777777" w:rsidR="00A52778" w:rsidRPr="00460F9E" w:rsidRDefault="00A52778" w:rsidP="00FC3F8E">
            <w:pPr>
              <w:spacing w:line="0" w:lineRule="atLeast"/>
              <w:ind w:left="6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260" w:type="dxa"/>
            <w:shd w:val="clear" w:color="auto" w:fill="auto"/>
            <w:vAlign w:val="bottom"/>
          </w:tcPr>
          <w:p w14:paraId="42644AEA" w14:textId="77777777" w:rsidR="00A52778" w:rsidRPr="00460F9E" w:rsidRDefault="00A52778" w:rsidP="00FC3F8E">
            <w:pPr>
              <w:spacing w:line="0" w:lineRule="atLeast"/>
              <w:rPr>
                <w:rFonts w:eastAsia="Times New Roman" w:cs="Times New Roman"/>
                <w:b/>
                <w:sz w:val="23"/>
              </w:rPr>
            </w:pPr>
          </w:p>
        </w:tc>
        <w:tc>
          <w:tcPr>
            <w:tcW w:w="714" w:type="dxa"/>
            <w:tcBorders>
              <w:right w:val="single" w:sz="8" w:space="0" w:color="auto"/>
            </w:tcBorders>
            <w:shd w:val="clear" w:color="auto" w:fill="auto"/>
            <w:vAlign w:val="bottom"/>
          </w:tcPr>
          <w:p w14:paraId="1C9AC6A1" w14:textId="77777777" w:rsidR="00A52778" w:rsidRPr="00460F9E" w:rsidRDefault="00A52778" w:rsidP="00FC3F8E">
            <w:pPr>
              <w:spacing w:line="0" w:lineRule="atLeast"/>
              <w:rPr>
                <w:rFonts w:eastAsia="Times New Roman" w:cs="Times New Roman"/>
                <w:b/>
                <w:sz w:val="23"/>
              </w:rPr>
            </w:pPr>
          </w:p>
        </w:tc>
        <w:tc>
          <w:tcPr>
            <w:tcW w:w="3118" w:type="dxa"/>
            <w:gridSpan w:val="4"/>
            <w:vMerge w:val="restart"/>
            <w:tcBorders>
              <w:right w:val="single" w:sz="8" w:space="0" w:color="auto"/>
            </w:tcBorders>
            <w:shd w:val="clear" w:color="auto" w:fill="auto"/>
            <w:vAlign w:val="bottom"/>
          </w:tcPr>
          <w:p w14:paraId="78C2DD3C" w14:textId="77777777" w:rsidR="00A52778" w:rsidRPr="00460F9E" w:rsidRDefault="00A52778" w:rsidP="00FC3F8E">
            <w:pPr>
              <w:spacing w:line="0" w:lineRule="atLeast"/>
              <w:rPr>
                <w:rFonts w:eastAsia="Times New Roman" w:cs="Times New Roman"/>
                <w:b/>
                <w:sz w:val="23"/>
              </w:rPr>
            </w:pPr>
            <w:r w:rsidRPr="00460F9E">
              <w:rPr>
                <w:rFonts w:eastAsia="Times New Roman" w:cs="Times New Roman"/>
              </w:rPr>
              <w:t xml:space="preserve">  Genel olarak uygulanabilir.</w:t>
            </w:r>
          </w:p>
        </w:tc>
      </w:tr>
      <w:tr w:rsidR="00A52778" w:rsidRPr="00460F9E" w14:paraId="299AB7B0" w14:textId="77777777" w:rsidTr="00FC3F8E">
        <w:trPr>
          <w:trHeight w:val="115"/>
        </w:trPr>
        <w:tc>
          <w:tcPr>
            <w:tcW w:w="400" w:type="dxa"/>
            <w:vMerge/>
            <w:tcBorders>
              <w:left w:val="single" w:sz="8" w:space="0" w:color="auto"/>
              <w:right w:val="single" w:sz="8" w:space="0" w:color="auto"/>
            </w:tcBorders>
            <w:shd w:val="clear" w:color="auto" w:fill="auto"/>
            <w:vAlign w:val="bottom"/>
          </w:tcPr>
          <w:p w14:paraId="4659C329" w14:textId="77777777" w:rsidR="00A52778" w:rsidRPr="00460F9E" w:rsidRDefault="00A52778" w:rsidP="00FC3F8E">
            <w:pPr>
              <w:spacing w:line="0" w:lineRule="atLeast"/>
              <w:rPr>
                <w:rFonts w:eastAsia="Times New Roman" w:cs="Times New Roman"/>
                <w:b/>
                <w:sz w:val="10"/>
              </w:rPr>
            </w:pPr>
          </w:p>
        </w:tc>
        <w:tc>
          <w:tcPr>
            <w:tcW w:w="2440" w:type="dxa"/>
            <w:gridSpan w:val="2"/>
            <w:vMerge/>
            <w:tcBorders>
              <w:right w:val="single" w:sz="8" w:space="0" w:color="auto"/>
            </w:tcBorders>
            <w:shd w:val="clear" w:color="auto" w:fill="auto"/>
            <w:vAlign w:val="bottom"/>
          </w:tcPr>
          <w:p w14:paraId="7CA0C6F8" w14:textId="77777777" w:rsidR="00A52778" w:rsidRPr="00460F9E" w:rsidRDefault="00A52778" w:rsidP="00FC3F8E">
            <w:pPr>
              <w:spacing w:line="0" w:lineRule="atLeast"/>
              <w:rPr>
                <w:rFonts w:eastAsia="Times New Roman" w:cs="Times New Roman"/>
                <w:b/>
                <w:sz w:val="10"/>
              </w:rPr>
            </w:pPr>
          </w:p>
        </w:tc>
        <w:tc>
          <w:tcPr>
            <w:tcW w:w="2140" w:type="dxa"/>
            <w:vMerge/>
            <w:tcBorders>
              <w:left w:val="single" w:sz="8" w:space="0" w:color="auto"/>
            </w:tcBorders>
            <w:shd w:val="clear" w:color="auto" w:fill="auto"/>
            <w:vAlign w:val="bottom"/>
          </w:tcPr>
          <w:p w14:paraId="3EFE1872" w14:textId="77777777" w:rsidR="00A52778" w:rsidRPr="00460F9E" w:rsidRDefault="00A52778" w:rsidP="00FC3F8E">
            <w:pPr>
              <w:spacing w:line="0" w:lineRule="atLeast"/>
              <w:rPr>
                <w:rFonts w:eastAsia="Times New Roman" w:cs="Times New Roman"/>
                <w:b/>
                <w:sz w:val="10"/>
              </w:rPr>
            </w:pPr>
          </w:p>
        </w:tc>
        <w:tc>
          <w:tcPr>
            <w:tcW w:w="260" w:type="dxa"/>
            <w:shd w:val="clear" w:color="auto" w:fill="auto"/>
            <w:vAlign w:val="bottom"/>
          </w:tcPr>
          <w:p w14:paraId="34FCAD19" w14:textId="77777777" w:rsidR="00A52778" w:rsidRPr="00460F9E" w:rsidRDefault="00A52778" w:rsidP="00FC3F8E">
            <w:pPr>
              <w:spacing w:line="0" w:lineRule="atLeast"/>
              <w:rPr>
                <w:rFonts w:eastAsia="Times New Roman" w:cs="Times New Roman"/>
                <w:b/>
                <w:sz w:val="10"/>
              </w:rPr>
            </w:pPr>
          </w:p>
        </w:tc>
        <w:tc>
          <w:tcPr>
            <w:tcW w:w="714" w:type="dxa"/>
            <w:tcBorders>
              <w:right w:val="single" w:sz="8" w:space="0" w:color="auto"/>
            </w:tcBorders>
            <w:shd w:val="clear" w:color="auto" w:fill="auto"/>
            <w:vAlign w:val="bottom"/>
          </w:tcPr>
          <w:p w14:paraId="5C897032" w14:textId="77777777" w:rsidR="00A52778" w:rsidRPr="00460F9E" w:rsidRDefault="00A52778" w:rsidP="00FC3F8E">
            <w:pPr>
              <w:spacing w:line="0" w:lineRule="atLeast"/>
              <w:rPr>
                <w:rFonts w:eastAsia="Times New Roman" w:cs="Times New Roman"/>
                <w:b/>
                <w:sz w:val="10"/>
              </w:rPr>
            </w:pPr>
          </w:p>
        </w:tc>
        <w:tc>
          <w:tcPr>
            <w:tcW w:w="3118" w:type="dxa"/>
            <w:gridSpan w:val="4"/>
            <w:vMerge/>
            <w:tcBorders>
              <w:right w:val="single" w:sz="8" w:space="0" w:color="auto"/>
            </w:tcBorders>
            <w:shd w:val="clear" w:color="auto" w:fill="auto"/>
            <w:vAlign w:val="bottom"/>
          </w:tcPr>
          <w:p w14:paraId="1FA21F62" w14:textId="77777777" w:rsidR="00A52778" w:rsidRPr="00460F9E" w:rsidRDefault="00A52778" w:rsidP="00FC3F8E">
            <w:pPr>
              <w:spacing w:line="0" w:lineRule="atLeast"/>
              <w:rPr>
                <w:rFonts w:eastAsia="Times New Roman" w:cs="Times New Roman"/>
                <w:b/>
                <w:sz w:val="10"/>
              </w:rPr>
            </w:pPr>
          </w:p>
        </w:tc>
      </w:tr>
      <w:tr w:rsidR="00A52778" w:rsidRPr="00460F9E" w14:paraId="1CB9197C" w14:textId="77777777" w:rsidTr="00FC3F8E">
        <w:trPr>
          <w:trHeight w:val="115"/>
        </w:trPr>
        <w:tc>
          <w:tcPr>
            <w:tcW w:w="400" w:type="dxa"/>
            <w:tcBorders>
              <w:left w:val="single" w:sz="8" w:space="0" w:color="auto"/>
              <w:right w:val="single" w:sz="8" w:space="0" w:color="auto"/>
            </w:tcBorders>
            <w:shd w:val="clear" w:color="auto" w:fill="auto"/>
            <w:vAlign w:val="bottom"/>
          </w:tcPr>
          <w:p w14:paraId="2F85A08C" w14:textId="77777777" w:rsidR="00A52778" w:rsidRPr="00460F9E" w:rsidRDefault="00A52778" w:rsidP="00FC3F8E">
            <w:pPr>
              <w:spacing w:line="0" w:lineRule="atLeast"/>
              <w:rPr>
                <w:rFonts w:eastAsia="Times New Roman" w:cs="Times New Roman"/>
                <w:b/>
                <w:sz w:val="10"/>
              </w:rPr>
            </w:pPr>
          </w:p>
        </w:tc>
        <w:tc>
          <w:tcPr>
            <w:tcW w:w="2440" w:type="dxa"/>
            <w:gridSpan w:val="2"/>
            <w:vMerge/>
            <w:tcBorders>
              <w:right w:val="single" w:sz="8" w:space="0" w:color="auto"/>
            </w:tcBorders>
            <w:shd w:val="clear" w:color="auto" w:fill="auto"/>
            <w:vAlign w:val="bottom"/>
          </w:tcPr>
          <w:p w14:paraId="346CEAE2" w14:textId="77777777" w:rsidR="00A52778" w:rsidRPr="00460F9E" w:rsidRDefault="00A52778" w:rsidP="00FC3F8E">
            <w:pPr>
              <w:spacing w:line="0" w:lineRule="atLeast"/>
              <w:rPr>
                <w:rFonts w:eastAsia="Times New Roman" w:cs="Times New Roman"/>
                <w:b/>
                <w:sz w:val="10"/>
              </w:rPr>
            </w:pPr>
          </w:p>
        </w:tc>
        <w:tc>
          <w:tcPr>
            <w:tcW w:w="2140" w:type="dxa"/>
            <w:tcBorders>
              <w:left w:val="single" w:sz="8" w:space="0" w:color="auto"/>
            </w:tcBorders>
            <w:shd w:val="clear" w:color="auto" w:fill="auto"/>
            <w:vAlign w:val="bottom"/>
          </w:tcPr>
          <w:p w14:paraId="517BB9A4" w14:textId="77777777" w:rsidR="00A52778" w:rsidRPr="00460F9E" w:rsidRDefault="00A52778" w:rsidP="00FC3F8E">
            <w:pPr>
              <w:spacing w:line="0" w:lineRule="atLeast"/>
              <w:rPr>
                <w:rFonts w:eastAsia="Times New Roman" w:cs="Times New Roman"/>
                <w:b/>
                <w:sz w:val="10"/>
              </w:rPr>
            </w:pPr>
          </w:p>
        </w:tc>
        <w:tc>
          <w:tcPr>
            <w:tcW w:w="260" w:type="dxa"/>
            <w:shd w:val="clear" w:color="auto" w:fill="auto"/>
            <w:vAlign w:val="bottom"/>
          </w:tcPr>
          <w:p w14:paraId="128DA4BE" w14:textId="77777777" w:rsidR="00A52778" w:rsidRPr="00460F9E" w:rsidRDefault="00A52778" w:rsidP="00FC3F8E">
            <w:pPr>
              <w:spacing w:line="0" w:lineRule="atLeast"/>
              <w:rPr>
                <w:rFonts w:eastAsia="Times New Roman" w:cs="Times New Roman"/>
                <w:b/>
                <w:sz w:val="10"/>
              </w:rPr>
            </w:pPr>
          </w:p>
        </w:tc>
        <w:tc>
          <w:tcPr>
            <w:tcW w:w="714" w:type="dxa"/>
            <w:tcBorders>
              <w:right w:val="single" w:sz="8" w:space="0" w:color="auto"/>
            </w:tcBorders>
            <w:shd w:val="clear" w:color="auto" w:fill="auto"/>
            <w:vAlign w:val="bottom"/>
          </w:tcPr>
          <w:p w14:paraId="5EF5D088" w14:textId="77777777" w:rsidR="00A52778" w:rsidRPr="00460F9E" w:rsidRDefault="00A52778" w:rsidP="00FC3F8E">
            <w:pPr>
              <w:spacing w:line="0" w:lineRule="atLeast"/>
              <w:rPr>
                <w:rFonts w:eastAsia="Times New Roman" w:cs="Times New Roman"/>
                <w:b/>
                <w:sz w:val="10"/>
              </w:rPr>
            </w:pPr>
          </w:p>
        </w:tc>
        <w:tc>
          <w:tcPr>
            <w:tcW w:w="1046" w:type="dxa"/>
            <w:shd w:val="clear" w:color="auto" w:fill="auto"/>
            <w:vAlign w:val="bottom"/>
          </w:tcPr>
          <w:p w14:paraId="174DE480" w14:textId="77777777" w:rsidR="00A52778" w:rsidRPr="00460F9E" w:rsidRDefault="00A52778" w:rsidP="00FC3F8E">
            <w:pPr>
              <w:spacing w:line="0" w:lineRule="atLeast"/>
              <w:rPr>
                <w:rFonts w:eastAsia="Times New Roman" w:cs="Times New Roman"/>
                <w:b/>
                <w:sz w:val="10"/>
              </w:rPr>
            </w:pPr>
          </w:p>
        </w:tc>
        <w:tc>
          <w:tcPr>
            <w:tcW w:w="840" w:type="dxa"/>
            <w:shd w:val="clear" w:color="auto" w:fill="auto"/>
            <w:vAlign w:val="bottom"/>
          </w:tcPr>
          <w:p w14:paraId="2243B5FA" w14:textId="77777777" w:rsidR="00A52778" w:rsidRPr="00460F9E" w:rsidRDefault="00A52778" w:rsidP="00FC3F8E">
            <w:pPr>
              <w:spacing w:line="0" w:lineRule="atLeast"/>
              <w:rPr>
                <w:rFonts w:eastAsia="Times New Roman" w:cs="Times New Roman"/>
                <w:b/>
                <w:sz w:val="10"/>
              </w:rPr>
            </w:pPr>
          </w:p>
        </w:tc>
        <w:tc>
          <w:tcPr>
            <w:tcW w:w="260" w:type="dxa"/>
            <w:shd w:val="clear" w:color="auto" w:fill="auto"/>
            <w:vAlign w:val="bottom"/>
          </w:tcPr>
          <w:p w14:paraId="1AA9097F" w14:textId="77777777" w:rsidR="00A52778" w:rsidRPr="00460F9E" w:rsidRDefault="00A52778" w:rsidP="00FC3F8E">
            <w:pPr>
              <w:spacing w:line="0" w:lineRule="atLeast"/>
              <w:rPr>
                <w:rFonts w:eastAsia="Times New Roman" w:cs="Times New Roman"/>
                <w:b/>
                <w:sz w:val="10"/>
              </w:rPr>
            </w:pPr>
          </w:p>
        </w:tc>
        <w:tc>
          <w:tcPr>
            <w:tcW w:w="972" w:type="dxa"/>
            <w:tcBorders>
              <w:right w:val="single" w:sz="8" w:space="0" w:color="auto"/>
            </w:tcBorders>
            <w:shd w:val="clear" w:color="auto" w:fill="auto"/>
            <w:vAlign w:val="bottom"/>
          </w:tcPr>
          <w:p w14:paraId="61DE0029" w14:textId="77777777" w:rsidR="00A52778" w:rsidRPr="00460F9E" w:rsidRDefault="00A52778" w:rsidP="00FC3F8E">
            <w:pPr>
              <w:spacing w:line="0" w:lineRule="atLeast"/>
              <w:rPr>
                <w:rFonts w:eastAsia="Times New Roman" w:cs="Times New Roman"/>
                <w:b/>
                <w:sz w:val="10"/>
              </w:rPr>
            </w:pPr>
          </w:p>
        </w:tc>
      </w:tr>
      <w:tr w:rsidR="00A52778" w:rsidRPr="00460F9E" w14:paraId="30B0D61B" w14:textId="77777777" w:rsidTr="00FC3F8E">
        <w:trPr>
          <w:trHeight w:val="67"/>
        </w:trPr>
        <w:tc>
          <w:tcPr>
            <w:tcW w:w="400" w:type="dxa"/>
            <w:tcBorders>
              <w:left w:val="single" w:sz="8" w:space="0" w:color="auto"/>
              <w:bottom w:val="single" w:sz="8" w:space="0" w:color="auto"/>
              <w:right w:val="single" w:sz="8" w:space="0" w:color="auto"/>
            </w:tcBorders>
            <w:shd w:val="clear" w:color="auto" w:fill="auto"/>
            <w:vAlign w:val="bottom"/>
          </w:tcPr>
          <w:p w14:paraId="041375CE" w14:textId="77777777" w:rsidR="00A52778" w:rsidRPr="00460F9E" w:rsidRDefault="00A52778" w:rsidP="00FC3F8E">
            <w:pPr>
              <w:spacing w:line="0" w:lineRule="atLeast"/>
              <w:rPr>
                <w:rFonts w:eastAsia="Times New Roman" w:cs="Times New Roman"/>
                <w:b/>
                <w:sz w:val="5"/>
              </w:rPr>
            </w:pPr>
          </w:p>
        </w:tc>
        <w:tc>
          <w:tcPr>
            <w:tcW w:w="2440" w:type="dxa"/>
            <w:gridSpan w:val="2"/>
            <w:vMerge/>
            <w:tcBorders>
              <w:bottom w:val="single" w:sz="8" w:space="0" w:color="auto"/>
              <w:right w:val="single" w:sz="8" w:space="0" w:color="auto"/>
            </w:tcBorders>
            <w:shd w:val="clear" w:color="auto" w:fill="auto"/>
            <w:vAlign w:val="bottom"/>
          </w:tcPr>
          <w:p w14:paraId="799B0572" w14:textId="77777777" w:rsidR="00A52778" w:rsidRPr="00460F9E" w:rsidRDefault="00A52778" w:rsidP="00FC3F8E">
            <w:pPr>
              <w:spacing w:line="0" w:lineRule="atLeast"/>
              <w:rPr>
                <w:rFonts w:eastAsia="Times New Roman" w:cs="Times New Roman"/>
                <w:b/>
                <w:sz w:val="5"/>
              </w:rPr>
            </w:pPr>
          </w:p>
        </w:tc>
        <w:tc>
          <w:tcPr>
            <w:tcW w:w="2140" w:type="dxa"/>
            <w:tcBorders>
              <w:left w:val="single" w:sz="8" w:space="0" w:color="auto"/>
              <w:bottom w:val="single" w:sz="8" w:space="0" w:color="auto"/>
            </w:tcBorders>
            <w:shd w:val="clear" w:color="auto" w:fill="auto"/>
            <w:vAlign w:val="bottom"/>
          </w:tcPr>
          <w:p w14:paraId="4B2CEDA9" w14:textId="77777777" w:rsidR="00A52778" w:rsidRPr="00460F9E" w:rsidRDefault="00A52778" w:rsidP="00FC3F8E">
            <w:pPr>
              <w:spacing w:line="0" w:lineRule="atLeast"/>
              <w:rPr>
                <w:rFonts w:eastAsia="Times New Roman" w:cs="Times New Roman"/>
                <w:b/>
                <w:sz w:val="5"/>
              </w:rPr>
            </w:pPr>
          </w:p>
        </w:tc>
        <w:tc>
          <w:tcPr>
            <w:tcW w:w="260" w:type="dxa"/>
            <w:tcBorders>
              <w:bottom w:val="single" w:sz="8" w:space="0" w:color="auto"/>
            </w:tcBorders>
            <w:shd w:val="clear" w:color="auto" w:fill="auto"/>
            <w:vAlign w:val="bottom"/>
          </w:tcPr>
          <w:p w14:paraId="15A640FE" w14:textId="77777777" w:rsidR="00A52778" w:rsidRPr="00460F9E" w:rsidRDefault="00A52778" w:rsidP="00FC3F8E">
            <w:pPr>
              <w:spacing w:line="0" w:lineRule="atLeast"/>
              <w:rPr>
                <w:rFonts w:eastAsia="Times New Roman" w:cs="Times New Roman"/>
                <w:b/>
                <w:sz w:val="5"/>
              </w:rPr>
            </w:pPr>
          </w:p>
        </w:tc>
        <w:tc>
          <w:tcPr>
            <w:tcW w:w="714" w:type="dxa"/>
            <w:tcBorders>
              <w:bottom w:val="single" w:sz="8" w:space="0" w:color="auto"/>
              <w:right w:val="single" w:sz="8" w:space="0" w:color="auto"/>
            </w:tcBorders>
            <w:shd w:val="clear" w:color="auto" w:fill="auto"/>
            <w:vAlign w:val="bottom"/>
          </w:tcPr>
          <w:p w14:paraId="26180686" w14:textId="77777777" w:rsidR="00A52778" w:rsidRPr="00460F9E" w:rsidRDefault="00A52778" w:rsidP="00FC3F8E">
            <w:pPr>
              <w:spacing w:line="0" w:lineRule="atLeast"/>
              <w:rPr>
                <w:rFonts w:eastAsia="Times New Roman" w:cs="Times New Roman"/>
                <w:b/>
                <w:sz w:val="5"/>
              </w:rPr>
            </w:pPr>
          </w:p>
        </w:tc>
        <w:tc>
          <w:tcPr>
            <w:tcW w:w="1886" w:type="dxa"/>
            <w:gridSpan w:val="2"/>
            <w:tcBorders>
              <w:bottom w:val="single" w:sz="8" w:space="0" w:color="auto"/>
            </w:tcBorders>
            <w:shd w:val="clear" w:color="auto" w:fill="auto"/>
            <w:vAlign w:val="bottom"/>
          </w:tcPr>
          <w:p w14:paraId="02BF09A4" w14:textId="77777777" w:rsidR="00A52778" w:rsidRPr="00460F9E" w:rsidRDefault="00A52778" w:rsidP="00FC3F8E">
            <w:pPr>
              <w:spacing w:line="0" w:lineRule="atLeast"/>
              <w:rPr>
                <w:rFonts w:eastAsia="Times New Roman" w:cs="Times New Roman"/>
                <w:b/>
                <w:sz w:val="5"/>
              </w:rPr>
            </w:pPr>
          </w:p>
        </w:tc>
        <w:tc>
          <w:tcPr>
            <w:tcW w:w="260" w:type="dxa"/>
            <w:tcBorders>
              <w:bottom w:val="single" w:sz="8" w:space="0" w:color="auto"/>
            </w:tcBorders>
            <w:shd w:val="clear" w:color="auto" w:fill="auto"/>
            <w:vAlign w:val="bottom"/>
          </w:tcPr>
          <w:p w14:paraId="75E18C93" w14:textId="77777777" w:rsidR="00A52778" w:rsidRPr="00460F9E" w:rsidRDefault="00A52778" w:rsidP="00FC3F8E">
            <w:pPr>
              <w:spacing w:line="0" w:lineRule="atLeast"/>
              <w:rPr>
                <w:rFonts w:eastAsia="Times New Roman" w:cs="Times New Roman"/>
                <w:b/>
                <w:sz w:val="5"/>
              </w:rPr>
            </w:pPr>
          </w:p>
        </w:tc>
        <w:tc>
          <w:tcPr>
            <w:tcW w:w="972" w:type="dxa"/>
            <w:tcBorders>
              <w:bottom w:val="single" w:sz="8" w:space="0" w:color="auto"/>
              <w:right w:val="single" w:sz="8" w:space="0" w:color="auto"/>
            </w:tcBorders>
            <w:shd w:val="clear" w:color="auto" w:fill="auto"/>
            <w:vAlign w:val="bottom"/>
          </w:tcPr>
          <w:p w14:paraId="68DAE5DA" w14:textId="77777777" w:rsidR="00A52778" w:rsidRPr="00460F9E" w:rsidRDefault="00A52778" w:rsidP="00FC3F8E">
            <w:pPr>
              <w:spacing w:line="0" w:lineRule="atLeast"/>
              <w:rPr>
                <w:rFonts w:eastAsia="Times New Roman" w:cs="Times New Roman"/>
                <w:b/>
                <w:sz w:val="5"/>
              </w:rPr>
            </w:pPr>
          </w:p>
        </w:tc>
      </w:tr>
      <w:tr w:rsidR="00A52778" w:rsidRPr="00460F9E" w14:paraId="5450FE3B" w14:textId="77777777" w:rsidTr="00FC3F8E">
        <w:trPr>
          <w:trHeight w:val="274"/>
        </w:trPr>
        <w:tc>
          <w:tcPr>
            <w:tcW w:w="400" w:type="dxa"/>
            <w:tcBorders>
              <w:left w:val="single" w:sz="8" w:space="0" w:color="auto"/>
              <w:right w:val="single" w:sz="8" w:space="0" w:color="auto"/>
            </w:tcBorders>
            <w:shd w:val="clear" w:color="auto" w:fill="auto"/>
            <w:vAlign w:val="bottom"/>
          </w:tcPr>
          <w:p w14:paraId="0B129198" w14:textId="77777777" w:rsidR="00A52778" w:rsidRPr="00460F9E" w:rsidRDefault="00A52778" w:rsidP="00FC3F8E">
            <w:pPr>
              <w:spacing w:line="0" w:lineRule="atLeast"/>
              <w:ind w:left="120"/>
              <w:rPr>
                <w:rFonts w:eastAsia="Times New Roman" w:cs="Times New Roman"/>
                <w:b/>
              </w:rPr>
            </w:pPr>
            <w:r>
              <w:rPr>
                <w:rFonts w:eastAsia="Times New Roman" w:cs="Times New Roman"/>
              </w:rPr>
              <w:t>ç</w:t>
            </w:r>
            <w:r w:rsidRPr="00460F9E">
              <w:rPr>
                <w:rFonts w:eastAsia="Times New Roman" w:cs="Times New Roman"/>
              </w:rPr>
              <w:t>.</w:t>
            </w:r>
          </w:p>
        </w:tc>
        <w:tc>
          <w:tcPr>
            <w:tcW w:w="2440" w:type="dxa"/>
            <w:gridSpan w:val="2"/>
            <w:vMerge w:val="restart"/>
            <w:tcBorders>
              <w:right w:val="single" w:sz="8" w:space="0" w:color="auto"/>
            </w:tcBorders>
            <w:shd w:val="clear" w:color="auto" w:fill="auto"/>
            <w:vAlign w:val="center"/>
          </w:tcPr>
          <w:p w14:paraId="62682824" w14:textId="77777777" w:rsidR="00A52778" w:rsidRPr="00460F9E" w:rsidRDefault="00A52778" w:rsidP="00FC3F8E">
            <w:pPr>
              <w:spacing w:line="0" w:lineRule="atLeast"/>
              <w:rPr>
                <w:rFonts w:eastAsia="Times New Roman" w:cs="Times New Roman"/>
                <w:b/>
                <w:sz w:val="23"/>
              </w:rPr>
            </w:pPr>
            <w:r w:rsidRPr="00460F9E">
              <w:rPr>
                <w:rFonts w:eastAsia="Times New Roman" w:cs="Times New Roman"/>
              </w:rPr>
              <w:t xml:space="preserve">  Absorpsiyon</w:t>
            </w:r>
          </w:p>
        </w:tc>
        <w:tc>
          <w:tcPr>
            <w:tcW w:w="2140" w:type="dxa"/>
            <w:tcBorders>
              <w:left w:val="single" w:sz="8" w:space="0" w:color="auto"/>
            </w:tcBorders>
            <w:shd w:val="clear" w:color="auto" w:fill="auto"/>
            <w:vAlign w:val="bottom"/>
          </w:tcPr>
          <w:p w14:paraId="50D8E88F" w14:textId="77777777" w:rsidR="00A52778" w:rsidRPr="00460F9E" w:rsidRDefault="00A52778" w:rsidP="00FC3F8E">
            <w:pPr>
              <w:spacing w:line="0" w:lineRule="atLeast"/>
              <w:ind w:left="6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260" w:type="dxa"/>
            <w:shd w:val="clear" w:color="auto" w:fill="auto"/>
            <w:vAlign w:val="bottom"/>
          </w:tcPr>
          <w:p w14:paraId="2C5E9CFA" w14:textId="77777777" w:rsidR="00A52778" w:rsidRPr="00460F9E" w:rsidRDefault="00A52778" w:rsidP="00FC3F8E">
            <w:pPr>
              <w:spacing w:line="0" w:lineRule="atLeast"/>
              <w:rPr>
                <w:rFonts w:eastAsia="Times New Roman" w:cs="Times New Roman"/>
                <w:b/>
                <w:sz w:val="23"/>
              </w:rPr>
            </w:pPr>
          </w:p>
        </w:tc>
        <w:tc>
          <w:tcPr>
            <w:tcW w:w="714" w:type="dxa"/>
            <w:tcBorders>
              <w:right w:val="single" w:sz="8" w:space="0" w:color="auto"/>
            </w:tcBorders>
            <w:shd w:val="clear" w:color="auto" w:fill="auto"/>
            <w:vAlign w:val="bottom"/>
          </w:tcPr>
          <w:p w14:paraId="44B8F34B" w14:textId="77777777" w:rsidR="00A52778" w:rsidRPr="00460F9E" w:rsidRDefault="00A52778" w:rsidP="00FC3F8E">
            <w:pPr>
              <w:spacing w:line="0" w:lineRule="atLeast"/>
              <w:rPr>
                <w:rFonts w:eastAsia="Times New Roman" w:cs="Times New Roman"/>
                <w:b/>
                <w:sz w:val="23"/>
              </w:rPr>
            </w:pPr>
          </w:p>
        </w:tc>
        <w:tc>
          <w:tcPr>
            <w:tcW w:w="3118" w:type="dxa"/>
            <w:gridSpan w:val="4"/>
            <w:tcBorders>
              <w:right w:val="single" w:sz="8" w:space="0" w:color="auto"/>
            </w:tcBorders>
            <w:shd w:val="clear" w:color="auto" w:fill="auto"/>
            <w:vAlign w:val="bottom"/>
          </w:tcPr>
          <w:p w14:paraId="065A613C" w14:textId="77777777" w:rsidR="00A52778" w:rsidRPr="00460F9E" w:rsidRDefault="00A52778" w:rsidP="00FC3F8E">
            <w:pPr>
              <w:spacing w:line="0" w:lineRule="atLeast"/>
              <w:rPr>
                <w:rFonts w:eastAsia="Times New Roman" w:cs="Times New Roman"/>
                <w:b/>
                <w:sz w:val="23"/>
              </w:rPr>
            </w:pPr>
            <w:r w:rsidRPr="00460F9E">
              <w:rPr>
                <w:rFonts w:eastAsia="Times New Roman" w:cs="Times New Roman"/>
              </w:rPr>
              <w:t xml:space="preserve">  Genel olarak uygulanabilir.</w:t>
            </w:r>
          </w:p>
        </w:tc>
      </w:tr>
      <w:tr w:rsidR="00A52778" w:rsidRPr="00460F9E" w14:paraId="539CE162" w14:textId="77777777" w:rsidTr="00FC3F8E">
        <w:trPr>
          <w:trHeight w:val="66"/>
        </w:trPr>
        <w:tc>
          <w:tcPr>
            <w:tcW w:w="400" w:type="dxa"/>
            <w:tcBorders>
              <w:left w:val="single" w:sz="8" w:space="0" w:color="auto"/>
              <w:bottom w:val="single" w:sz="8" w:space="0" w:color="auto"/>
              <w:right w:val="single" w:sz="8" w:space="0" w:color="auto"/>
            </w:tcBorders>
            <w:shd w:val="clear" w:color="auto" w:fill="auto"/>
            <w:vAlign w:val="bottom"/>
          </w:tcPr>
          <w:p w14:paraId="4236098E" w14:textId="77777777" w:rsidR="00A52778" w:rsidRPr="00460F9E" w:rsidRDefault="00A52778" w:rsidP="00FC3F8E">
            <w:pPr>
              <w:spacing w:line="0" w:lineRule="atLeast"/>
              <w:rPr>
                <w:rFonts w:eastAsia="Times New Roman" w:cs="Times New Roman"/>
                <w:b/>
                <w:sz w:val="5"/>
              </w:rPr>
            </w:pPr>
          </w:p>
        </w:tc>
        <w:tc>
          <w:tcPr>
            <w:tcW w:w="2440" w:type="dxa"/>
            <w:gridSpan w:val="2"/>
            <w:vMerge/>
            <w:tcBorders>
              <w:bottom w:val="single" w:sz="8" w:space="0" w:color="auto"/>
              <w:right w:val="single" w:sz="8" w:space="0" w:color="auto"/>
            </w:tcBorders>
            <w:shd w:val="clear" w:color="auto" w:fill="auto"/>
            <w:vAlign w:val="bottom"/>
          </w:tcPr>
          <w:p w14:paraId="2E196A8C" w14:textId="77777777" w:rsidR="00A52778" w:rsidRPr="00460F9E" w:rsidRDefault="00A52778" w:rsidP="00FC3F8E">
            <w:pPr>
              <w:spacing w:line="0" w:lineRule="atLeast"/>
              <w:rPr>
                <w:rFonts w:eastAsia="Times New Roman" w:cs="Times New Roman"/>
                <w:b/>
                <w:sz w:val="5"/>
              </w:rPr>
            </w:pPr>
          </w:p>
        </w:tc>
        <w:tc>
          <w:tcPr>
            <w:tcW w:w="3114" w:type="dxa"/>
            <w:gridSpan w:val="3"/>
            <w:tcBorders>
              <w:bottom w:val="single" w:sz="8" w:space="0" w:color="auto"/>
              <w:right w:val="single" w:sz="8" w:space="0" w:color="auto"/>
            </w:tcBorders>
            <w:shd w:val="clear" w:color="auto" w:fill="auto"/>
            <w:vAlign w:val="bottom"/>
          </w:tcPr>
          <w:p w14:paraId="20194E29" w14:textId="77777777" w:rsidR="00A52778" w:rsidRPr="00460F9E" w:rsidRDefault="00A52778" w:rsidP="00FC3F8E">
            <w:pPr>
              <w:spacing w:line="0" w:lineRule="atLeast"/>
              <w:rPr>
                <w:rFonts w:eastAsia="Times New Roman" w:cs="Times New Roman"/>
                <w:b/>
                <w:sz w:val="5"/>
              </w:rPr>
            </w:pPr>
          </w:p>
        </w:tc>
        <w:tc>
          <w:tcPr>
            <w:tcW w:w="1046" w:type="dxa"/>
            <w:tcBorders>
              <w:bottom w:val="single" w:sz="8" w:space="0" w:color="auto"/>
            </w:tcBorders>
            <w:shd w:val="clear" w:color="auto" w:fill="auto"/>
            <w:vAlign w:val="bottom"/>
          </w:tcPr>
          <w:p w14:paraId="05D83172" w14:textId="77777777" w:rsidR="00A52778" w:rsidRPr="00460F9E" w:rsidRDefault="00A52778" w:rsidP="00FC3F8E">
            <w:pPr>
              <w:spacing w:line="0" w:lineRule="atLeast"/>
              <w:rPr>
                <w:rFonts w:eastAsia="Times New Roman" w:cs="Times New Roman"/>
                <w:b/>
                <w:sz w:val="5"/>
              </w:rPr>
            </w:pPr>
          </w:p>
        </w:tc>
        <w:tc>
          <w:tcPr>
            <w:tcW w:w="840" w:type="dxa"/>
            <w:tcBorders>
              <w:bottom w:val="single" w:sz="8" w:space="0" w:color="auto"/>
            </w:tcBorders>
            <w:shd w:val="clear" w:color="auto" w:fill="auto"/>
            <w:vAlign w:val="bottom"/>
          </w:tcPr>
          <w:p w14:paraId="51ED9EE1" w14:textId="77777777" w:rsidR="00A52778" w:rsidRPr="00460F9E" w:rsidRDefault="00A52778" w:rsidP="00FC3F8E">
            <w:pPr>
              <w:spacing w:line="0" w:lineRule="atLeast"/>
              <w:rPr>
                <w:rFonts w:eastAsia="Times New Roman" w:cs="Times New Roman"/>
                <w:b/>
                <w:sz w:val="5"/>
              </w:rPr>
            </w:pPr>
          </w:p>
        </w:tc>
        <w:tc>
          <w:tcPr>
            <w:tcW w:w="260" w:type="dxa"/>
            <w:tcBorders>
              <w:bottom w:val="single" w:sz="8" w:space="0" w:color="auto"/>
            </w:tcBorders>
            <w:shd w:val="clear" w:color="auto" w:fill="auto"/>
            <w:vAlign w:val="bottom"/>
          </w:tcPr>
          <w:p w14:paraId="23F50DFC" w14:textId="77777777" w:rsidR="00A52778" w:rsidRPr="00460F9E" w:rsidRDefault="00A52778" w:rsidP="00FC3F8E">
            <w:pPr>
              <w:spacing w:line="0" w:lineRule="atLeast"/>
              <w:rPr>
                <w:rFonts w:eastAsia="Times New Roman" w:cs="Times New Roman"/>
                <w:b/>
                <w:sz w:val="5"/>
              </w:rPr>
            </w:pPr>
          </w:p>
        </w:tc>
        <w:tc>
          <w:tcPr>
            <w:tcW w:w="972" w:type="dxa"/>
            <w:tcBorders>
              <w:bottom w:val="single" w:sz="8" w:space="0" w:color="auto"/>
              <w:right w:val="single" w:sz="8" w:space="0" w:color="auto"/>
            </w:tcBorders>
            <w:shd w:val="clear" w:color="auto" w:fill="auto"/>
            <w:vAlign w:val="bottom"/>
          </w:tcPr>
          <w:p w14:paraId="0B2633C6" w14:textId="77777777" w:rsidR="00A52778" w:rsidRPr="00460F9E" w:rsidRDefault="00A52778" w:rsidP="00FC3F8E">
            <w:pPr>
              <w:spacing w:line="0" w:lineRule="atLeast"/>
              <w:rPr>
                <w:rFonts w:eastAsia="Times New Roman" w:cs="Times New Roman"/>
                <w:b/>
                <w:sz w:val="5"/>
              </w:rPr>
            </w:pPr>
          </w:p>
        </w:tc>
      </w:tr>
      <w:tr w:rsidR="00A52778" w:rsidRPr="00460F9E" w14:paraId="654A85DB" w14:textId="77777777" w:rsidTr="00FC3F8E">
        <w:trPr>
          <w:trHeight w:val="274"/>
        </w:trPr>
        <w:tc>
          <w:tcPr>
            <w:tcW w:w="9072" w:type="dxa"/>
            <w:gridSpan w:val="10"/>
            <w:tcBorders>
              <w:left w:val="single" w:sz="8" w:space="0" w:color="auto"/>
              <w:right w:val="single" w:sz="8" w:space="0" w:color="auto"/>
            </w:tcBorders>
            <w:shd w:val="clear" w:color="auto" w:fill="auto"/>
            <w:vAlign w:val="bottom"/>
          </w:tcPr>
          <w:p w14:paraId="447F5E1E" w14:textId="77777777" w:rsidR="00A52778" w:rsidRPr="00460F9E" w:rsidRDefault="00A52778" w:rsidP="00FC3F8E">
            <w:pPr>
              <w:spacing w:line="0" w:lineRule="atLeast"/>
              <w:rPr>
                <w:rFonts w:eastAsia="Times New Roman" w:cs="Times New Roman"/>
                <w:b/>
                <w:sz w:val="23"/>
              </w:rPr>
            </w:pPr>
            <w:r w:rsidRPr="00460F9E">
              <w:rPr>
                <w:rFonts w:eastAsia="Times New Roman" w:cs="Times New Roman"/>
                <w:i/>
              </w:rPr>
              <w:t xml:space="preserve">  PCDD/F emisyonlarını azaltmak için öncelikli olarak kullanılmayan diğer teknikler</w:t>
            </w:r>
          </w:p>
        </w:tc>
      </w:tr>
      <w:tr w:rsidR="00A52778" w:rsidRPr="00460F9E" w14:paraId="666128AD" w14:textId="77777777" w:rsidTr="00FC3F8E">
        <w:trPr>
          <w:trHeight w:val="66"/>
        </w:trPr>
        <w:tc>
          <w:tcPr>
            <w:tcW w:w="400" w:type="dxa"/>
            <w:tcBorders>
              <w:left w:val="single" w:sz="8" w:space="0" w:color="auto"/>
              <w:bottom w:val="single" w:sz="8" w:space="0" w:color="auto"/>
            </w:tcBorders>
            <w:shd w:val="clear" w:color="auto" w:fill="auto"/>
            <w:vAlign w:val="bottom"/>
          </w:tcPr>
          <w:p w14:paraId="76FDFE0B" w14:textId="77777777" w:rsidR="00A52778" w:rsidRPr="00460F9E" w:rsidRDefault="00A52778" w:rsidP="00FC3F8E">
            <w:pPr>
              <w:spacing w:line="0" w:lineRule="atLeast"/>
              <w:rPr>
                <w:rFonts w:eastAsia="Times New Roman" w:cs="Times New Roman"/>
                <w:b/>
                <w:sz w:val="5"/>
              </w:rPr>
            </w:pPr>
          </w:p>
        </w:tc>
        <w:tc>
          <w:tcPr>
            <w:tcW w:w="1080" w:type="dxa"/>
            <w:tcBorders>
              <w:bottom w:val="single" w:sz="8" w:space="0" w:color="auto"/>
            </w:tcBorders>
            <w:shd w:val="clear" w:color="auto" w:fill="auto"/>
            <w:vAlign w:val="bottom"/>
          </w:tcPr>
          <w:p w14:paraId="0907E3E3" w14:textId="77777777" w:rsidR="00A52778" w:rsidRPr="00460F9E" w:rsidRDefault="00A52778" w:rsidP="00FC3F8E">
            <w:pPr>
              <w:spacing w:line="0" w:lineRule="atLeast"/>
              <w:rPr>
                <w:rFonts w:eastAsia="Times New Roman" w:cs="Times New Roman"/>
                <w:b/>
                <w:sz w:val="5"/>
              </w:rPr>
            </w:pPr>
          </w:p>
        </w:tc>
        <w:tc>
          <w:tcPr>
            <w:tcW w:w="1360" w:type="dxa"/>
            <w:tcBorders>
              <w:bottom w:val="single" w:sz="8" w:space="0" w:color="auto"/>
            </w:tcBorders>
            <w:shd w:val="clear" w:color="auto" w:fill="auto"/>
            <w:vAlign w:val="bottom"/>
          </w:tcPr>
          <w:p w14:paraId="0EBE208F" w14:textId="77777777" w:rsidR="00A52778" w:rsidRPr="00460F9E" w:rsidRDefault="00A52778" w:rsidP="00FC3F8E">
            <w:pPr>
              <w:spacing w:line="0" w:lineRule="atLeast"/>
              <w:rPr>
                <w:rFonts w:eastAsia="Times New Roman" w:cs="Times New Roman"/>
                <w:b/>
                <w:sz w:val="5"/>
              </w:rPr>
            </w:pPr>
          </w:p>
        </w:tc>
        <w:tc>
          <w:tcPr>
            <w:tcW w:w="2140" w:type="dxa"/>
            <w:tcBorders>
              <w:bottom w:val="single" w:sz="8" w:space="0" w:color="auto"/>
            </w:tcBorders>
            <w:shd w:val="clear" w:color="auto" w:fill="auto"/>
            <w:vAlign w:val="bottom"/>
          </w:tcPr>
          <w:p w14:paraId="2EF3BE0E" w14:textId="77777777" w:rsidR="00A52778" w:rsidRPr="00460F9E" w:rsidRDefault="00A52778" w:rsidP="00FC3F8E">
            <w:pPr>
              <w:spacing w:line="0" w:lineRule="atLeast"/>
              <w:rPr>
                <w:rFonts w:eastAsia="Times New Roman" w:cs="Times New Roman"/>
                <w:b/>
                <w:sz w:val="5"/>
              </w:rPr>
            </w:pPr>
          </w:p>
        </w:tc>
        <w:tc>
          <w:tcPr>
            <w:tcW w:w="260" w:type="dxa"/>
            <w:tcBorders>
              <w:bottom w:val="single" w:sz="8" w:space="0" w:color="auto"/>
            </w:tcBorders>
            <w:shd w:val="clear" w:color="auto" w:fill="auto"/>
            <w:vAlign w:val="bottom"/>
          </w:tcPr>
          <w:p w14:paraId="57CEEA17" w14:textId="77777777" w:rsidR="00A52778" w:rsidRPr="00460F9E" w:rsidRDefault="00A52778" w:rsidP="00FC3F8E">
            <w:pPr>
              <w:spacing w:line="0" w:lineRule="atLeast"/>
              <w:rPr>
                <w:rFonts w:eastAsia="Times New Roman" w:cs="Times New Roman"/>
                <w:b/>
                <w:sz w:val="5"/>
              </w:rPr>
            </w:pPr>
          </w:p>
        </w:tc>
        <w:tc>
          <w:tcPr>
            <w:tcW w:w="714" w:type="dxa"/>
            <w:tcBorders>
              <w:bottom w:val="single" w:sz="8" w:space="0" w:color="auto"/>
            </w:tcBorders>
            <w:shd w:val="clear" w:color="auto" w:fill="auto"/>
            <w:vAlign w:val="bottom"/>
          </w:tcPr>
          <w:p w14:paraId="37F74760" w14:textId="77777777" w:rsidR="00A52778" w:rsidRPr="00460F9E" w:rsidRDefault="00A52778" w:rsidP="00FC3F8E">
            <w:pPr>
              <w:spacing w:line="0" w:lineRule="atLeast"/>
              <w:rPr>
                <w:rFonts w:eastAsia="Times New Roman" w:cs="Times New Roman"/>
                <w:b/>
                <w:sz w:val="5"/>
              </w:rPr>
            </w:pPr>
          </w:p>
        </w:tc>
        <w:tc>
          <w:tcPr>
            <w:tcW w:w="1046" w:type="dxa"/>
            <w:tcBorders>
              <w:bottom w:val="single" w:sz="8" w:space="0" w:color="auto"/>
            </w:tcBorders>
            <w:shd w:val="clear" w:color="auto" w:fill="auto"/>
            <w:vAlign w:val="bottom"/>
          </w:tcPr>
          <w:p w14:paraId="247A119B" w14:textId="77777777" w:rsidR="00A52778" w:rsidRPr="00460F9E" w:rsidRDefault="00A52778" w:rsidP="00FC3F8E">
            <w:pPr>
              <w:spacing w:line="0" w:lineRule="atLeast"/>
              <w:rPr>
                <w:rFonts w:eastAsia="Times New Roman" w:cs="Times New Roman"/>
                <w:b/>
                <w:sz w:val="5"/>
              </w:rPr>
            </w:pPr>
          </w:p>
        </w:tc>
        <w:tc>
          <w:tcPr>
            <w:tcW w:w="840" w:type="dxa"/>
            <w:tcBorders>
              <w:bottom w:val="single" w:sz="8" w:space="0" w:color="auto"/>
            </w:tcBorders>
            <w:shd w:val="clear" w:color="auto" w:fill="auto"/>
            <w:vAlign w:val="bottom"/>
          </w:tcPr>
          <w:p w14:paraId="7A023814" w14:textId="77777777" w:rsidR="00A52778" w:rsidRPr="00460F9E" w:rsidRDefault="00A52778" w:rsidP="00FC3F8E">
            <w:pPr>
              <w:spacing w:line="0" w:lineRule="atLeast"/>
              <w:rPr>
                <w:rFonts w:eastAsia="Times New Roman" w:cs="Times New Roman"/>
                <w:b/>
                <w:sz w:val="5"/>
              </w:rPr>
            </w:pPr>
          </w:p>
        </w:tc>
        <w:tc>
          <w:tcPr>
            <w:tcW w:w="260" w:type="dxa"/>
            <w:tcBorders>
              <w:bottom w:val="single" w:sz="8" w:space="0" w:color="auto"/>
            </w:tcBorders>
            <w:shd w:val="clear" w:color="auto" w:fill="auto"/>
            <w:vAlign w:val="bottom"/>
          </w:tcPr>
          <w:p w14:paraId="422E5020" w14:textId="77777777" w:rsidR="00A52778" w:rsidRPr="00460F9E" w:rsidRDefault="00A52778" w:rsidP="00FC3F8E">
            <w:pPr>
              <w:spacing w:line="0" w:lineRule="atLeast"/>
              <w:rPr>
                <w:rFonts w:eastAsia="Times New Roman" w:cs="Times New Roman"/>
                <w:b/>
                <w:sz w:val="5"/>
              </w:rPr>
            </w:pPr>
          </w:p>
        </w:tc>
        <w:tc>
          <w:tcPr>
            <w:tcW w:w="972" w:type="dxa"/>
            <w:tcBorders>
              <w:bottom w:val="single" w:sz="8" w:space="0" w:color="auto"/>
              <w:right w:val="single" w:sz="8" w:space="0" w:color="auto"/>
            </w:tcBorders>
            <w:shd w:val="clear" w:color="auto" w:fill="auto"/>
            <w:vAlign w:val="bottom"/>
          </w:tcPr>
          <w:p w14:paraId="05C4B505" w14:textId="77777777" w:rsidR="00A52778" w:rsidRPr="00460F9E" w:rsidRDefault="00A52778" w:rsidP="00FC3F8E">
            <w:pPr>
              <w:spacing w:line="0" w:lineRule="atLeast"/>
              <w:rPr>
                <w:rFonts w:eastAsia="Times New Roman" w:cs="Times New Roman"/>
                <w:b/>
                <w:sz w:val="5"/>
              </w:rPr>
            </w:pPr>
          </w:p>
        </w:tc>
      </w:tr>
      <w:tr w:rsidR="00A52778" w:rsidRPr="00460F9E" w14:paraId="73234703" w14:textId="77777777" w:rsidTr="00FC3F8E">
        <w:trPr>
          <w:trHeight w:val="274"/>
        </w:trPr>
        <w:tc>
          <w:tcPr>
            <w:tcW w:w="400" w:type="dxa"/>
            <w:tcBorders>
              <w:left w:val="single" w:sz="8" w:space="0" w:color="auto"/>
              <w:right w:val="single" w:sz="8" w:space="0" w:color="auto"/>
            </w:tcBorders>
            <w:shd w:val="clear" w:color="auto" w:fill="auto"/>
            <w:vAlign w:val="bottom"/>
          </w:tcPr>
          <w:p w14:paraId="386266F7" w14:textId="77777777" w:rsidR="00A52778" w:rsidRPr="00460F9E" w:rsidRDefault="00A52778" w:rsidP="00FC3F8E">
            <w:pPr>
              <w:spacing w:line="0" w:lineRule="atLeast"/>
              <w:rPr>
                <w:rFonts w:eastAsia="Times New Roman" w:cs="Times New Roman"/>
                <w:b/>
                <w:sz w:val="23"/>
              </w:rPr>
            </w:pPr>
          </w:p>
        </w:tc>
        <w:tc>
          <w:tcPr>
            <w:tcW w:w="2440" w:type="dxa"/>
            <w:gridSpan w:val="2"/>
            <w:vMerge w:val="restart"/>
            <w:tcBorders>
              <w:right w:val="single" w:sz="8" w:space="0" w:color="auto"/>
            </w:tcBorders>
            <w:shd w:val="clear" w:color="auto" w:fill="auto"/>
            <w:vAlign w:val="center"/>
          </w:tcPr>
          <w:p w14:paraId="3214DDB5" w14:textId="77777777" w:rsidR="00A52778" w:rsidRPr="00460F9E" w:rsidRDefault="00A52778" w:rsidP="00FC3F8E">
            <w:pPr>
              <w:spacing w:line="219" w:lineRule="exact"/>
              <w:ind w:left="100"/>
              <w:rPr>
                <w:rFonts w:eastAsia="Times New Roman" w:cs="Times New Roman"/>
                <w:b/>
                <w:sz w:val="23"/>
              </w:rPr>
            </w:pPr>
            <w:r w:rsidRPr="00460F9E">
              <w:rPr>
                <w:rFonts w:eastAsia="Times New Roman" w:cs="Times New Roman"/>
              </w:rPr>
              <w:t>Seçici katalitik indirgeme (SCR)</w:t>
            </w:r>
          </w:p>
        </w:tc>
        <w:tc>
          <w:tcPr>
            <w:tcW w:w="3114" w:type="dxa"/>
            <w:gridSpan w:val="3"/>
            <w:vMerge w:val="restart"/>
            <w:tcBorders>
              <w:left w:val="single" w:sz="8" w:space="0" w:color="auto"/>
              <w:right w:val="single" w:sz="8" w:space="0" w:color="auto"/>
            </w:tcBorders>
            <w:shd w:val="clear" w:color="auto" w:fill="auto"/>
            <w:vAlign w:val="center"/>
          </w:tcPr>
          <w:p w14:paraId="658A49A2" w14:textId="77777777" w:rsidR="00A52778" w:rsidRPr="00460F9E" w:rsidRDefault="00A52778" w:rsidP="00FC3F8E">
            <w:pPr>
              <w:spacing w:line="0" w:lineRule="atLeast"/>
              <w:ind w:left="60"/>
              <w:rPr>
                <w:rFonts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p w14:paraId="0537C6BD" w14:textId="77777777" w:rsidR="00A52778" w:rsidRPr="00460F9E" w:rsidRDefault="00A52778" w:rsidP="00FC3F8E">
            <w:pPr>
              <w:spacing w:line="0" w:lineRule="atLeast"/>
              <w:ind w:left="60"/>
              <w:rPr>
                <w:rFonts w:eastAsia="Times New Roman" w:cs="Times New Roman"/>
                <w:b/>
              </w:rPr>
            </w:pPr>
          </w:p>
          <w:p w14:paraId="47CFEFF1" w14:textId="77777777" w:rsidR="00A52778" w:rsidRPr="00460F9E" w:rsidRDefault="00A52778" w:rsidP="00FC3F8E">
            <w:pPr>
              <w:spacing w:line="0" w:lineRule="atLeast"/>
              <w:rPr>
                <w:rFonts w:eastAsia="Times New Roman" w:cs="Times New Roman"/>
                <w:b/>
              </w:rPr>
            </w:pPr>
            <w:r w:rsidRPr="00460F9E">
              <w:rPr>
                <w:rFonts w:eastAsia="Times New Roman" w:cs="Times New Roman"/>
                <w:sz w:val="23"/>
              </w:rPr>
              <w:t xml:space="preserve"> </w:t>
            </w:r>
            <w:r w:rsidRPr="00460F9E">
              <w:rPr>
                <w:rFonts w:eastAsia="Times New Roman" w:cs="Times New Roman"/>
              </w:rPr>
              <w:t>NO</w:t>
            </w:r>
            <w:r w:rsidRPr="00460F9E">
              <w:rPr>
                <w:rFonts w:eastAsia="Times New Roman" w:cs="Times New Roman"/>
                <w:sz w:val="12"/>
              </w:rPr>
              <w:t>X</w:t>
            </w:r>
            <w:r w:rsidRPr="00460F9E">
              <w:rPr>
                <w:rFonts w:eastAsia="Times New Roman" w:cs="Times New Roman"/>
              </w:rPr>
              <w:t xml:space="preserve"> azaltımı için SCR kullanıldığı </w:t>
            </w:r>
          </w:p>
          <w:p w14:paraId="0F34BBA2"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durumda, SCR sisteminin yeterli bir</w:t>
            </w:r>
          </w:p>
          <w:p w14:paraId="750EE979"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katalizör yüzeyi PCDD/F emisyonla-</w:t>
            </w:r>
          </w:p>
          <w:p w14:paraId="581FCCED"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rının kısmi olarak azaltılmasını da </w:t>
            </w:r>
          </w:p>
          <w:p w14:paraId="5705979B"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sağlar.</w:t>
            </w:r>
          </w:p>
        </w:tc>
        <w:tc>
          <w:tcPr>
            <w:tcW w:w="3118" w:type="dxa"/>
            <w:gridSpan w:val="4"/>
            <w:vMerge w:val="restart"/>
            <w:tcBorders>
              <w:left w:val="single" w:sz="8" w:space="0" w:color="auto"/>
              <w:right w:val="single" w:sz="8" w:space="0" w:color="auto"/>
            </w:tcBorders>
            <w:shd w:val="clear" w:color="auto" w:fill="auto"/>
          </w:tcPr>
          <w:p w14:paraId="0C960AA6"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Mevcut tesislere uygulanabilirliği kurulu alandan dolayı sınırlı olabilir.</w:t>
            </w:r>
          </w:p>
        </w:tc>
      </w:tr>
      <w:tr w:rsidR="00A52778" w:rsidRPr="00460F9E" w14:paraId="3243BBA5" w14:textId="77777777" w:rsidTr="00FC3F8E">
        <w:trPr>
          <w:trHeight w:val="144"/>
        </w:trPr>
        <w:tc>
          <w:tcPr>
            <w:tcW w:w="400" w:type="dxa"/>
            <w:tcBorders>
              <w:left w:val="single" w:sz="8" w:space="0" w:color="auto"/>
              <w:right w:val="single" w:sz="8" w:space="0" w:color="auto"/>
            </w:tcBorders>
            <w:shd w:val="clear" w:color="auto" w:fill="auto"/>
            <w:vAlign w:val="bottom"/>
          </w:tcPr>
          <w:p w14:paraId="2B682D96" w14:textId="77777777" w:rsidR="00A52778" w:rsidRPr="00460F9E" w:rsidRDefault="00A52778" w:rsidP="00FC3F8E">
            <w:pPr>
              <w:spacing w:line="0" w:lineRule="atLeast"/>
              <w:rPr>
                <w:rFonts w:eastAsia="Times New Roman" w:cs="Times New Roman"/>
                <w:b/>
                <w:sz w:val="12"/>
              </w:rPr>
            </w:pPr>
          </w:p>
        </w:tc>
        <w:tc>
          <w:tcPr>
            <w:tcW w:w="2440" w:type="dxa"/>
            <w:gridSpan w:val="2"/>
            <w:vMerge/>
            <w:tcBorders>
              <w:right w:val="single" w:sz="8" w:space="0" w:color="auto"/>
            </w:tcBorders>
            <w:shd w:val="clear" w:color="auto" w:fill="auto"/>
            <w:vAlign w:val="bottom"/>
          </w:tcPr>
          <w:p w14:paraId="56A991C2" w14:textId="77777777" w:rsidR="00A52778" w:rsidRPr="00460F9E" w:rsidRDefault="00A52778" w:rsidP="00FC3F8E">
            <w:pPr>
              <w:spacing w:line="219" w:lineRule="exact"/>
              <w:ind w:left="100"/>
              <w:rPr>
                <w:rFonts w:eastAsia="Times New Roman" w:cs="Times New Roman"/>
                <w:b/>
                <w:sz w:val="12"/>
              </w:rPr>
            </w:pPr>
          </w:p>
        </w:tc>
        <w:tc>
          <w:tcPr>
            <w:tcW w:w="3114" w:type="dxa"/>
            <w:gridSpan w:val="3"/>
            <w:vMerge/>
            <w:tcBorders>
              <w:left w:val="single" w:sz="8" w:space="0" w:color="auto"/>
              <w:right w:val="single" w:sz="8" w:space="0" w:color="auto"/>
            </w:tcBorders>
            <w:shd w:val="clear" w:color="auto" w:fill="auto"/>
            <w:vAlign w:val="bottom"/>
          </w:tcPr>
          <w:p w14:paraId="42499725" w14:textId="77777777" w:rsidR="00A52778" w:rsidRPr="00460F9E" w:rsidRDefault="00A52778" w:rsidP="00FC3F8E">
            <w:pPr>
              <w:spacing w:line="0" w:lineRule="atLeast"/>
              <w:rPr>
                <w:rFonts w:eastAsia="Times New Roman" w:cs="Times New Roman"/>
                <w:b/>
                <w:sz w:val="12"/>
              </w:rPr>
            </w:pPr>
          </w:p>
        </w:tc>
        <w:tc>
          <w:tcPr>
            <w:tcW w:w="3118" w:type="dxa"/>
            <w:gridSpan w:val="4"/>
            <w:vMerge/>
            <w:tcBorders>
              <w:left w:val="single" w:sz="8" w:space="0" w:color="auto"/>
              <w:right w:val="single" w:sz="8" w:space="0" w:color="auto"/>
            </w:tcBorders>
            <w:shd w:val="clear" w:color="auto" w:fill="auto"/>
            <w:vAlign w:val="bottom"/>
          </w:tcPr>
          <w:p w14:paraId="1C382DDA" w14:textId="77777777" w:rsidR="00A52778" w:rsidRPr="00460F9E" w:rsidRDefault="00A52778" w:rsidP="00FC3F8E">
            <w:pPr>
              <w:spacing w:line="0" w:lineRule="atLeast"/>
              <w:ind w:left="80"/>
              <w:rPr>
                <w:rFonts w:eastAsia="Times New Roman" w:cs="Times New Roman"/>
                <w:b/>
                <w:sz w:val="12"/>
              </w:rPr>
            </w:pPr>
          </w:p>
        </w:tc>
      </w:tr>
      <w:tr w:rsidR="00A52778" w:rsidRPr="00460F9E" w14:paraId="7D8FFD0F" w14:textId="77777777" w:rsidTr="00FC3F8E">
        <w:trPr>
          <w:trHeight w:val="150"/>
        </w:trPr>
        <w:tc>
          <w:tcPr>
            <w:tcW w:w="400" w:type="dxa"/>
            <w:tcBorders>
              <w:left w:val="single" w:sz="8" w:space="0" w:color="auto"/>
              <w:right w:val="single" w:sz="8" w:space="0" w:color="auto"/>
            </w:tcBorders>
            <w:shd w:val="clear" w:color="auto" w:fill="auto"/>
            <w:vAlign w:val="bottom"/>
          </w:tcPr>
          <w:p w14:paraId="6B826C4D" w14:textId="77777777" w:rsidR="00A52778" w:rsidRPr="00460F9E" w:rsidRDefault="00A52778" w:rsidP="00FC3F8E">
            <w:pPr>
              <w:spacing w:line="0" w:lineRule="atLeast"/>
              <w:rPr>
                <w:rFonts w:eastAsia="Times New Roman" w:cs="Times New Roman"/>
                <w:b/>
                <w:sz w:val="13"/>
              </w:rPr>
            </w:pPr>
          </w:p>
        </w:tc>
        <w:tc>
          <w:tcPr>
            <w:tcW w:w="2440" w:type="dxa"/>
            <w:gridSpan w:val="2"/>
            <w:vMerge/>
            <w:tcBorders>
              <w:right w:val="single" w:sz="8" w:space="0" w:color="auto"/>
            </w:tcBorders>
            <w:shd w:val="clear" w:color="auto" w:fill="auto"/>
            <w:vAlign w:val="bottom"/>
          </w:tcPr>
          <w:p w14:paraId="0581AB21" w14:textId="77777777" w:rsidR="00A52778" w:rsidRPr="00460F9E" w:rsidRDefault="00A52778" w:rsidP="00FC3F8E">
            <w:pPr>
              <w:spacing w:line="219" w:lineRule="exact"/>
              <w:ind w:left="100"/>
              <w:rPr>
                <w:rFonts w:eastAsia="Times New Roman" w:cs="Times New Roman"/>
                <w:b/>
              </w:rPr>
            </w:pPr>
          </w:p>
        </w:tc>
        <w:tc>
          <w:tcPr>
            <w:tcW w:w="3114" w:type="dxa"/>
            <w:gridSpan w:val="3"/>
            <w:vMerge/>
            <w:tcBorders>
              <w:left w:val="single" w:sz="8" w:space="0" w:color="auto"/>
              <w:right w:val="single" w:sz="8" w:space="0" w:color="auto"/>
            </w:tcBorders>
            <w:shd w:val="clear" w:color="auto" w:fill="auto"/>
            <w:vAlign w:val="bottom"/>
          </w:tcPr>
          <w:p w14:paraId="5A8ECCDB" w14:textId="77777777" w:rsidR="00A52778" w:rsidRPr="00460F9E" w:rsidRDefault="00A52778" w:rsidP="00FC3F8E">
            <w:pPr>
              <w:spacing w:line="0" w:lineRule="atLeast"/>
              <w:rPr>
                <w:rFonts w:eastAsia="Times New Roman" w:cs="Times New Roman"/>
                <w:b/>
                <w:sz w:val="13"/>
              </w:rPr>
            </w:pPr>
          </w:p>
        </w:tc>
        <w:tc>
          <w:tcPr>
            <w:tcW w:w="3118" w:type="dxa"/>
            <w:gridSpan w:val="4"/>
            <w:vMerge/>
            <w:tcBorders>
              <w:left w:val="single" w:sz="8" w:space="0" w:color="auto"/>
              <w:right w:val="single" w:sz="8" w:space="0" w:color="auto"/>
            </w:tcBorders>
            <w:shd w:val="clear" w:color="auto" w:fill="auto"/>
            <w:vAlign w:val="bottom"/>
          </w:tcPr>
          <w:p w14:paraId="3355CC6B" w14:textId="77777777" w:rsidR="00A52778" w:rsidRPr="00460F9E" w:rsidRDefault="00A52778" w:rsidP="00FC3F8E">
            <w:pPr>
              <w:spacing w:line="0" w:lineRule="atLeast"/>
              <w:ind w:left="80"/>
              <w:rPr>
                <w:rFonts w:eastAsia="Times New Roman" w:cs="Times New Roman"/>
                <w:b/>
              </w:rPr>
            </w:pPr>
          </w:p>
        </w:tc>
      </w:tr>
      <w:tr w:rsidR="00A52778" w:rsidRPr="00460F9E" w14:paraId="77A2ABA1" w14:textId="77777777" w:rsidTr="00FC3F8E">
        <w:trPr>
          <w:trHeight w:val="81"/>
        </w:trPr>
        <w:tc>
          <w:tcPr>
            <w:tcW w:w="400" w:type="dxa"/>
            <w:tcBorders>
              <w:left w:val="single" w:sz="8" w:space="0" w:color="auto"/>
              <w:right w:val="single" w:sz="8" w:space="0" w:color="auto"/>
            </w:tcBorders>
            <w:shd w:val="clear" w:color="auto" w:fill="auto"/>
            <w:vAlign w:val="bottom"/>
          </w:tcPr>
          <w:p w14:paraId="17EC20A3" w14:textId="77777777" w:rsidR="00A52778" w:rsidRPr="00460F9E" w:rsidRDefault="00A52778" w:rsidP="00FC3F8E">
            <w:pPr>
              <w:spacing w:line="0" w:lineRule="atLeast"/>
              <w:rPr>
                <w:rFonts w:eastAsia="Times New Roman" w:cs="Times New Roman"/>
                <w:b/>
                <w:sz w:val="7"/>
              </w:rPr>
            </w:pPr>
          </w:p>
        </w:tc>
        <w:tc>
          <w:tcPr>
            <w:tcW w:w="2440" w:type="dxa"/>
            <w:gridSpan w:val="2"/>
            <w:vMerge/>
            <w:tcBorders>
              <w:right w:val="single" w:sz="8" w:space="0" w:color="auto"/>
            </w:tcBorders>
            <w:shd w:val="clear" w:color="auto" w:fill="auto"/>
            <w:vAlign w:val="bottom"/>
          </w:tcPr>
          <w:p w14:paraId="58ACCE2D" w14:textId="77777777" w:rsidR="00A52778" w:rsidRPr="00460F9E" w:rsidRDefault="00A52778" w:rsidP="00FC3F8E">
            <w:pPr>
              <w:spacing w:line="219" w:lineRule="exact"/>
              <w:ind w:left="100"/>
              <w:rPr>
                <w:rFonts w:eastAsia="Times New Roman" w:cs="Times New Roman"/>
                <w:b/>
                <w:sz w:val="7"/>
              </w:rPr>
            </w:pPr>
          </w:p>
        </w:tc>
        <w:tc>
          <w:tcPr>
            <w:tcW w:w="3114" w:type="dxa"/>
            <w:gridSpan w:val="3"/>
            <w:vMerge/>
            <w:tcBorders>
              <w:left w:val="single" w:sz="8" w:space="0" w:color="auto"/>
              <w:right w:val="single" w:sz="8" w:space="0" w:color="auto"/>
            </w:tcBorders>
            <w:shd w:val="clear" w:color="auto" w:fill="auto"/>
            <w:vAlign w:val="bottom"/>
          </w:tcPr>
          <w:p w14:paraId="786E80B1" w14:textId="77777777" w:rsidR="00A52778" w:rsidRPr="00460F9E" w:rsidRDefault="00A52778" w:rsidP="00FC3F8E">
            <w:pPr>
              <w:spacing w:line="0" w:lineRule="atLeast"/>
              <w:rPr>
                <w:rFonts w:eastAsia="Times New Roman" w:cs="Times New Roman"/>
                <w:b/>
              </w:rPr>
            </w:pPr>
          </w:p>
        </w:tc>
        <w:tc>
          <w:tcPr>
            <w:tcW w:w="3118" w:type="dxa"/>
            <w:gridSpan w:val="4"/>
            <w:vMerge/>
            <w:tcBorders>
              <w:left w:val="single" w:sz="8" w:space="0" w:color="auto"/>
              <w:right w:val="single" w:sz="8" w:space="0" w:color="auto"/>
            </w:tcBorders>
            <w:shd w:val="clear" w:color="auto" w:fill="auto"/>
            <w:vAlign w:val="bottom"/>
          </w:tcPr>
          <w:p w14:paraId="424BF92B" w14:textId="77777777" w:rsidR="00A52778" w:rsidRPr="00460F9E" w:rsidRDefault="00A52778" w:rsidP="00FC3F8E">
            <w:pPr>
              <w:spacing w:line="0" w:lineRule="atLeast"/>
              <w:rPr>
                <w:rFonts w:eastAsia="Times New Roman" w:cs="Times New Roman"/>
                <w:b/>
                <w:sz w:val="7"/>
              </w:rPr>
            </w:pPr>
          </w:p>
        </w:tc>
      </w:tr>
      <w:tr w:rsidR="00A52778" w:rsidRPr="00460F9E" w14:paraId="01A89878" w14:textId="77777777" w:rsidTr="00FC3F8E">
        <w:trPr>
          <w:trHeight w:val="334"/>
        </w:trPr>
        <w:tc>
          <w:tcPr>
            <w:tcW w:w="400" w:type="dxa"/>
            <w:tcBorders>
              <w:left w:val="single" w:sz="8" w:space="0" w:color="auto"/>
              <w:bottom w:val="nil"/>
              <w:right w:val="single" w:sz="8" w:space="0" w:color="auto"/>
            </w:tcBorders>
            <w:shd w:val="clear" w:color="auto" w:fill="auto"/>
            <w:vAlign w:val="bottom"/>
          </w:tcPr>
          <w:p w14:paraId="369F247E" w14:textId="77777777" w:rsidR="00A52778" w:rsidRPr="00460F9E" w:rsidRDefault="00A52778" w:rsidP="00FC3F8E">
            <w:pPr>
              <w:spacing w:line="0" w:lineRule="atLeast"/>
              <w:ind w:left="120"/>
              <w:rPr>
                <w:rFonts w:eastAsia="Times New Roman" w:cs="Times New Roman"/>
                <w:b/>
              </w:rPr>
            </w:pPr>
            <w:r>
              <w:rPr>
                <w:rFonts w:eastAsia="Times New Roman" w:cs="Times New Roman"/>
              </w:rPr>
              <w:t>d</w:t>
            </w:r>
            <w:r w:rsidRPr="00460F9E">
              <w:rPr>
                <w:rFonts w:eastAsia="Times New Roman" w:cs="Times New Roman"/>
              </w:rPr>
              <w:t>.</w:t>
            </w:r>
          </w:p>
        </w:tc>
        <w:tc>
          <w:tcPr>
            <w:tcW w:w="2440" w:type="dxa"/>
            <w:gridSpan w:val="2"/>
            <w:vMerge/>
            <w:tcBorders>
              <w:bottom w:val="nil"/>
              <w:right w:val="single" w:sz="8" w:space="0" w:color="auto"/>
            </w:tcBorders>
            <w:shd w:val="clear" w:color="auto" w:fill="auto"/>
            <w:vAlign w:val="bottom"/>
          </w:tcPr>
          <w:p w14:paraId="1247C9EC" w14:textId="77777777" w:rsidR="00A52778" w:rsidRPr="00460F9E" w:rsidRDefault="00A52778" w:rsidP="00FC3F8E">
            <w:pPr>
              <w:spacing w:line="219" w:lineRule="exact"/>
              <w:ind w:left="100"/>
              <w:rPr>
                <w:rFonts w:eastAsia="Times New Roman" w:cs="Times New Roman"/>
                <w:b/>
                <w:sz w:val="10"/>
              </w:rPr>
            </w:pPr>
          </w:p>
        </w:tc>
        <w:tc>
          <w:tcPr>
            <w:tcW w:w="3114" w:type="dxa"/>
            <w:gridSpan w:val="3"/>
            <w:vMerge/>
            <w:tcBorders>
              <w:left w:val="single" w:sz="8" w:space="0" w:color="auto"/>
              <w:bottom w:val="nil"/>
              <w:right w:val="single" w:sz="8" w:space="0" w:color="auto"/>
            </w:tcBorders>
            <w:shd w:val="clear" w:color="auto" w:fill="auto"/>
            <w:vAlign w:val="bottom"/>
          </w:tcPr>
          <w:p w14:paraId="671A1589" w14:textId="77777777" w:rsidR="00A52778" w:rsidRPr="00460F9E" w:rsidRDefault="00A52778" w:rsidP="00FC3F8E">
            <w:pPr>
              <w:spacing w:line="0" w:lineRule="atLeast"/>
              <w:rPr>
                <w:rFonts w:eastAsia="Times New Roman" w:cs="Times New Roman"/>
                <w:b/>
                <w:sz w:val="10"/>
              </w:rPr>
            </w:pPr>
          </w:p>
        </w:tc>
        <w:tc>
          <w:tcPr>
            <w:tcW w:w="3118" w:type="dxa"/>
            <w:gridSpan w:val="4"/>
            <w:vMerge w:val="restart"/>
            <w:tcBorders>
              <w:left w:val="single" w:sz="8" w:space="0" w:color="auto"/>
              <w:right w:val="single" w:sz="8" w:space="0" w:color="auto"/>
            </w:tcBorders>
            <w:shd w:val="clear" w:color="auto" w:fill="auto"/>
          </w:tcPr>
          <w:p w14:paraId="6EB9087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kullanılabilirliği ve/veya atık  </w:t>
            </w:r>
          </w:p>
          <w:p w14:paraId="4B862242"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gazlardaki katalizör zehirlerinin </w:t>
            </w:r>
          </w:p>
          <w:p w14:paraId="73DD08D4"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varlığı.</w:t>
            </w:r>
          </w:p>
        </w:tc>
      </w:tr>
      <w:tr w:rsidR="00A52778" w:rsidRPr="00460F9E" w14:paraId="587A04C6" w14:textId="77777777" w:rsidTr="00FC3F8E">
        <w:trPr>
          <w:trHeight w:val="144"/>
        </w:trPr>
        <w:tc>
          <w:tcPr>
            <w:tcW w:w="400" w:type="dxa"/>
            <w:tcBorders>
              <w:left w:val="single" w:sz="8" w:space="0" w:color="auto"/>
              <w:right w:val="single" w:sz="8" w:space="0" w:color="auto"/>
            </w:tcBorders>
            <w:shd w:val="clear" w:color="auto" w:fill="auto"/>
            <w:vAlign w:val="bottom"/>
          </w:tcPr>
          <w:p w14:paraId="3BEDD2FD" w14:textId="77777777" w:rsidR="00A52778" w:rsidRPr="00460F9E" w:rsidRDefault="00A52778" w:rsidP="00FC3F8E">
            <w:pPr>
              <w:spacing w:line="0" w:lineRule="atLeast"/>
              <w:rPr>
                <w:rFonts w:eastAsia="Times New Roman" w:cs="Times New Roman"/>
                <w:b/>
                <w:sz w:val="12"/>
              </w:rPr>
            </w:pPr>
          </w:p>
        </w:tc>
        <w:tc>
          <w:tcPr>
            <w:tcW w:w="2440" w:type="dxa"/>
            <w:gridSpan w:val="2"/>
            <w:vMerge/>
            <w:tcBorders>
              <w:right w:val="single" w:sz="8" w:space="0" w:color="auto"/>
            </w:tcBorders>
            <w:shd w:val="clear" w:color="auto" w:fill="auto"/>
            <w:vAlign w:val="bottom"/>
          </w:tcPr>
          <w:p w14:paraId="2DC411DF" w14:textId="77777777" w:rsidR="00A52778" w:rsidRPr="00460F9E" w:rsidRDefault="00A52778" w:rsidP="00FC3F8E">
            <w:pPr>
              <w:spacing w:line="0" w:lineRule="atLeast"/>
              <w:rPr>
                <w:rFonts w:eastAsia="Times New Roman" w:cs="Times New Roman"/>
                <w:b/>
                <w:sz w:val="12"/>
              </w:rPr>
            </w:pPr>
          </w:p>
        </w:tc>
        <w:tc>
          <w:tcPr>
            <w:tcW w:w="3114" w:type="dxa"/>
            <w:gridSpan w:val="3"/>
            <w:vMerge/>
            <w:tcBorders>
              <w:left w:val="single" w:sz="8" w:space="0" w:color="auto"/>
              <w:right w:val="single" w:sz="8" w:space="0" w:color="auto"/>
            </w:tcBorders>
            <w:shd w:val="clear" w:color="auto" w:fill="auto"/>
            <w:vAlign w:val="bottom"/>
          </w:tcPr>
          <w:p w14:paraId="55EE74C6" w14:textId="77777777" w:rsidR="00A52778" w:rsidRPr="00460F9E" w:rsidRDefault="00A52778" w:rsidP="00FC3F8E">
            <w:pPr>
              <w:spacing w:line="0" w:lineRule="atLeast"/>
              <w:rPr>
                <w:rFonts w:eastAsia="Times New Roman" w:cs="Times New Roman"/>
                <w:b/>
                <w:sz w:val="12"/>
              </w:rPr>
            </w:pPr>
          </w:p>
        </w:tc>
        <w:tc>
          <w:tcPr>
            <w:tcW w:w="3118" w:type="dxa"/>
            <w:gridSpan w:val="4"/>
            <w:vMerge/>
            <w:tcBorders>
              <w:left w:val="single" w:sz="8" w:space="0" w:color="auto"/>
              <w:right w:val="single" w:sz="8" w:space="0" w:color="auto"/>
            </w:tcBorders>
            <w:shd w:val="clear" w:color="auto" w:fill="auto"/>
            <w:vAlign w:val="bottom"/>
          </w:tcPr>
          <w:p w14:paraId="3802A4D3" w14:textId="77777777" w:rsidR="00A52778" w:rsidRPr="00460F9E" w:rsidRDefault="00A52778" w:rsidP="00FC3F8E">
            <w:pPr>
              <w:spacing w:line="0" w:lineRule="atLeast"/>
              <w:rPr>
                <w:rFonts w:eastAsia="Times New Roman" w:cs="Times New Roman"/>
                <w:b/>
              </w:rPr>
            </w:pPr>
          </w:p>
        </w:tc>
      </w:tr>
      <w:tr w:rsidR="00A52778" w:rsidRPr="00460F9E" w14:paraId="4205224A" w14:textId="77777777" w:rsidTr="00FC3F8E">
        <w:trPr>
          <w:trHeight w:val="86"/>
        </w:trPr>
        <w:tc>
          <w:tcPr>
            <w:tcW w:w="400" w:type="dxa"/>
            <w:tcBorders>
              <w:left w:val="single" w:sz="8" w:space="0" w:color="auto"/>
              <w:right w:val="single" w:sz="8" w:space="0" w:color="auto"/>
            </w:tcBorders>
            <w:shd w:val="clear" w:color="auto" w:fill="auto"/>
            <w:vAlign w:val="bottom"/>
          </w:tcPr>
          <w:p w14:paraId="5C15FCC4" w14:textId="77777777" w:rsidR="00A52778" w:rsidRPr="00460F9E" w:rsidRDefault="00A52778" w:rsidP="00FC3F8E">
            <w:pPr>
              <w:spacing w:line="0" w:lineRule="atLeast"/>
              <w:rPr>
                <w:rFonts w:eastAsia="Times New Roman" w:cs="Times New Roman"/>
                <w:b/>
                <w:sz w:val="7"/>
              </w:rPr>
            </w:pPr>
          </w:p>
        </w:tc>
        <w:tc>
          <w:tcPr>
            <w:tcW w:w="2440" w:type="dxa"/>
            <w:gridSpan w:val="2"/>
            <w:vMerge/>
            <w:tcBorders>
              <w:right w:val="single" w:sz="8" w:space="0" w:color="auto"/>
            </w:tcBorders>
            <w:shd w:val="clear" w:color="auto" w:fill="auto"/>
            <w:vAlign w:val="bottom"/>
          </w:tcPr>
          <w:p w14:paraId="528EC710" w14:textId="77777777" w:rsidR="00A52778" w:rsidRPr="00460F9E" w:rsidRDefault="00A52778" w:rsidP="00FC3F8E">
            <w:pPr>
              <w:spacing w:line="0" w:lineRule="atLeast"/>
              <w:rPr>
                <w:rFonts w:eastAsia="Times New Roman" w:cs="Times New Roman"/>
                <w:b/>
                <w:sz w:val="7"/>
              </w:rPr>
            </w:pPr>
          </w:p>
        </w:tc>
        <w:tc>
          <w:tcPr>
            <w:tcW w:w="3114" w:type="dxa"/>
            <w:gridSpan w:val="3"/>
            <w:vMerge/>
            <w:tcBorders>
              <w:left w:val="single" w:sz="8" w:space="0" w:color="auto"/>
              <w:right w:val="single" w:sz="8" w:space="0" w:color="auto"/>
            </w:tcBorders>
            <w:shd w:val="clear" w:color="auto" w:fill="auto"/>
            <w:vAlign w:val="bottom"/>
          </w:tcPr>
          <w:p w14:paraId="4A77A52D" w14:textId="77777777" w:rsidR="00A52778" w:rsidRPr="00460F9E" w:rsidRDefault="00A52778" w:rsidP="00FC3F8E">
            <w:pPr>
              <w:spacing w:line="0" w:lineRule="atLeast"/>
              <w:rPr>
                <w:rFonts w:eastAsia="Times New Roman" w:cs="Times New Roman"/>
                <w:b/>
              </w:rPr>
            </w:pPr>
          </w:p>
        </w:tc>
        <w:tc>
          <w:tcPr>
            <w:tcW w:w="3118" w:type="dxa"/>
            <w:gridSpan w:val="4"/>
            <w:vMerge/>
            <w:tcBorders>
              <w:left w:val="single" w:sz="8" w:space="0" w:color="auto"/>
              <w:right w:val="single" w:sz="8" w:space="0" w:color="auto"/>
            </w:tcBorders>
            <w:shd w:val="clear" w:color="auto" w:fill="auto"/>
            <w:vAlign w:val="bottom"/>
          </w:tcPr>
          <w:p w14:paraId="6B088C8E" w14:textId="77777777" w:rsidR="00A52778" w:rsidRPr="00460F9E" w:rsidRDefault="00A52778" w:rsidP="00FC3F8E">
            <w:pPr>
              <w:spacing w:line="0" w:lineRule="atLeast"/>
              <w:rPr>
                <w:rFonts w:eastAsia="Times New Roman" w:cs="Times New Roman"/>
                <w:b/>
                <w:sz w:val="7"/>
              </w:rPr>
            </w:pPr>
          </w:p>
        </w:tc>
      </w:tr>
      <w:tr w:rsidR="00A52778" w:rsidRPr="00460F9E" w14:paraId="3E58EC20" w14:textId="77777777" w:rsidTr="00FC3F8E">
        <w:trPr>
          <w:trHeight w:val="144"/>
        </w:trPr>
        <w:tc>
          <w:tcPr>
            <w:tcW w:w="400" w:type="dxa"/>
            <w:tcBorders>
              <w:left w:val="single" w:sz="8" w:space="0" w:color="auto"/>
              <w:right w:val="single" w:sz="8" w:space="0" w:color="auto"/>
            </w:tcBorders>
            <w:shd w:val="clear" w:color="auto" w:fill="auto"/>
            <w:vAlign w:val="bottom"/>
          </w:tcPr>
          <w:p w14:paraId="5A0150B7" w14:textId="77777777" w:rsidR="00A52778" w:rsidRPr="00460F9E" w:rsidRDefault="00A52778" w:rsidP="00FC3F8E">
            <w:pPr>
              <w:spacing w:line="0" w:lineRule="atLeast"/>
              <w:rPr>
                <w:rFonts w:eastAsia="Times New Roman" w:cs="Times New Roman"/>
                <w:b/>
                <w:sz w:val="12"/>
              </w:rPr>
            </w:pPr>
          </w:p>
        </w:tc>
        <w:tc>
          <w:tcPr>
            <w:tcW w:w="2440" w:type="dxa"/>
            <w:gridSpan w:val="2"/>
            <w:vMerge/>
            <w:tcBorders>
              <w:right w:val="single" w:sz="8" w:space="0" w:color="auto"/>
            </w:tcBorders>
            <w:shd w:val="clear" w:color="auto" w:fill="auto"/>
            <w:vAlign w:val="bottom"/>
          </w:tcPr>
          <w:p w14:paraId="7F826287" w14:textId="77777777" w:rsidR="00A52778" w:rsidRPr="00460F9E" w:rsidRDefault="00A52778" w:rsidP="00FC3F8E">
            <w:pPr>
              <w:spacing w:line="0" w:lineRule="atLeast"/>
              <w:rPr>
                <w:rFonts w:eastAsia="Times New Roman" w:cs="Times New Roman"/>
                <w:b/>
                <w:sz w:val="12"/>
              </w:rPr>
            </w:pPr>
          </w:p>
        </w:tc>
        <w:tc>
          <w:tcPr>
            <w:tcW w:w="3114" w:type="dxa"/>
            <w:gridSpan w:val="3"/>
            <w:vMerge/>
            <w:tcBorders>
              <w:left w:val="single" w:sz="8" w:space="0" w:color="auto"/>
              <w:right w:val="single" w:sz="8" w:space="0" w:color="auto"/>
            </w:tcBorders>
            <w:shd w:val="clear" w:color="auto" w:fill="auto"/>
            <w:vAlign w:val="bottom"/>
          </w:tcPr>
          <w:p w14:paraId="480AE461" w14:textId="77777777" w:rsidR="00A52778" w:rsidRPr="00460F9E" w:rsidRDefault="00A52778" w:rsidP="00FC3F8E">
            <w:pPr>
              <w:spacing w:line="0" w:lineRule="atLeast"/>
              <w:rPr>
                <w:rFonts w:eastAsia="Times New Roman" w:cs="Times New Roman"/>
                <w:b/>
                <w:sz w:val="12"/>
              </w:rPr>
            </w:pPr>
          </w:p>
        </w:tc>
        <w:tc>
          <w:tcPr>
            <w:tcW w:w="3118" w:type="dxa"/>
            <w:gridSpan w:val="4"/>
            <w:vMerge/>
            <w:tcBorders>
              <w:left w:val="single" w:sz="8" w:space="0" w:color="auto"/>
              <w:right w:val="single" w:sz="8" w:space="0" w:color="auto"/>
            </w:tcBorders>
            <w:shd w:val="clear" w:color="auto" w:fill="auto"/>
            <w:vAlign w:val="bottom"/>
          </w:tcPr>
          <w:p w14:paraId="64E84982" w14:textId="77777777" w:rsidR="00A52778" w:rsidRPr="00460F9E" w:rsidRDefault="00A52778" w:rsidP="00FC3F8E">
            <w:pPr>
              <w:spacing w:line="0" w:lineRule="atLeast"/>
              <w:rPr>
                <w:rFonts w:eastAsia="Times New Roman" w:cs="Times New Roman"/>
                <w:b/>
                <w:sz w:val="12"/>
              </w:rPr>
            </w:pPr>
          </w:p>
        </w:tc>
      </w:tr>
      <w:tr w:rsidR="00A52778" w:rsidRPr="00460F9E" w14:paraId="632222FA" w14:textId="77777777" w:rsidTr="00FC3F8E">
        <w:trPr>
          <w:trHeight w:val="84"/>
        </w:trPr>
        <w:tc>
          <w:tcPr>
            <w:tcW w:w="400" w:type="dxa"/>
            <w:tcBorders>
              <w:left w:val="single" w:sz="8" w:space="0" w:color="auto"/>
              <w:right w:val="single" w:sz="8" w:space="0" w:color="auto"/>
            </w:tcBorders>
            <w:shd w:val="clear" w:color="auto" w:fill="auto"/>
            <w:vAlign w:val="bottom"/>
          </w:tcPr>
          <w:p w14:paraId="746750AD" w14:textId="77777777" w:rsidR="00A52778" w:rsidRPr="00460F9E" w:rsidRDefault="00A52778" w:rsidP="00FC3F8E">
            <w:pPr>
              <w:spacing w:line="0" w:lineRule="atLeast"/>
              <w:rPr>
                <w:rFonts w:eastAsia="Times New Roman" w:cs="Times New Roman"/>
                <w:b/>
                <w:sz w:val="7"/>
              </w:rPr>
            </w:pPr>
          </w:p>
        </w:tc>
        <w:tc>
          <w:tcPr>
            <w:tcW w:w="2440" w:type="dxa"/>
            <w:gridSpan w:val="2"/>
            <w:vMerge/>
            <w:tcBorders>
              <w:right w:val="single" w:sz="8" w:space="0" w:color="auto"/>
            </w:tcBorders>
            <w:shd w:val="clear" w:color="auto" w:fill="auto"/>
            <w:vAlign w:val="bottom"/>
          </w:tcPr>
          <w:p w14:paraId="3A8F00DF" w14:textId="77777777" w:rsidR="00A52778" w:rsidRPr="00460F9E" w:rsidRDefault="00A52778" w:rsidP="00FC3F8E">
            <w:pPr>
              <w:spacing w:line="0" w:lineRule="atLeast"/>
              <w:rPr>
                <w:rFonts w:eastAsia="Times New Roman" w:cs="Times New Roman"/>
                <w:b/>
                <w:sz w:val="7"/>
              </w:rPr>
            </w:pPr>
          </w:p>
        </w:tc>
        <w:tc>
          <w:tcPr>
            <w:tcW w:w="3114" w:type="dxa"/>
            <w:gridSpan w:val="3"/>
            <w:vMerge/>
            <w:tcBorders>
              <w:left w:val="single" w:sz="8" w:space="0" w:color="auto"/>
              <w:right w:val="single" w:sz="8" w:space="0" w:color="auto"/>
            </w:tcBorders>
            <w:shd w:val="clear" w:color="auto" w:fill="auto"/>
            <w:vAlign w:val="bottom"/>
          </w:tcPr>
          <w:p w14:paraId="1B2146F4" w14:textId="77777777" w:rsidR="00A52778" w:rsidRPr="00460F9E" w:rsidRDefault="00A52778" w:rsidP="00FC3F8E">
            <w:pPr>
              <w:spacing w:line="0" w:lineRule="atLeast"/>
              <w:rPr>
                <w:rFonts w:eastAsia="Times New Roman" w:cs="Times New Roman"/>
                <w:b/>
                <w:sz w:val="7"/>
              </w:rPr>
            </w:pPr>
          </w:p>
        </w:tc>
        <w:tc>
          <w:tcPr>
            <w:tcW w:w="3118" w:type="dxa"/>
            <w:gridSpan w:val="4"/>
            <w:vMerge/>
            <w:tcBorders>
              <w:left w:val="single" w:sz="8" w:space="0" w:color="auto"/>
              <w:right w:val="single" w:sz="8" w:space="0" w:color="auto"/>
            </w:tcBorders>
            <w:shd w:val="clear" w:color="auto" w:fill="auto"/>
            <w:vAlign w:val="bottom"/>
          </w:tcPr>
          <w:p w14:paraId="66ABAD3E" w14:textId="77777777" w:rsidR="00A52778" w:rsidRPr="00460F9E" w:rsidRDefault="00A52778" w:rsidP="00FC3F8E">
            <w:pPr>
              <w:spacing w:line="0" w:lineRule="atLeast"/>
              <w:rPr>
                <w:rFonts w:eastAsia="Times New Roman" w:cs="Times New Roman"/>
                <w:b/>
                <w:sz w:val="7"/>
              </w:rPr>
            </w:pPr>
          </w:p>
        </w:tc>
      </w:tr>
      <w:tr w:rsidR="00A52778" w:rsidRPr="00460F9E" w14:paraId="15FD82A1" w14:textId="77777777" w:rsidTr="00FC3F8E">
        <w:trPr>
          <w:trHeight w:val="146"/>
        </w:trPr>
        <w:tc>
          <w:tcPr>
            <w:tcW w:w="400" w:type="dxa"/>
            <w:tcBorders>
              <w:left w:val="single" w:sz="8" w:space="0" w:color="auto"/>
              <w:right w:val="single" w:sz="8" w:space="0" w:color="auto"/>
            </w:tcBorders>
            <w:shd w:val="clear" w:color="auto" w:fill="auto"/>
            <w:vAlign w:val="bottom"/>
          </w:tcPr>
          <w:p w14:paraId="2FA4A989" w14:textId="77777777" w:rsidR="00A52778" w:rsidRPr="00460F9E" w:rsidRDefault="00A52778" w:rsidP="00FC3F8E">
            <w:pPr>
              <w:spacing w:line="0" w:lineRule="atLeast"/>
              <w:rPr>
                <w:rFonts w:eastAsia="Times New Roman" w:cs="Times New Roman"/>
                <w:b/>
                <w:sz w:val="12"/>
              </w:rPr>
            </w:pPr>
          </w:p>
        </w:tc>
        <w:tc>
          <w:tcPr>
            <w:tcW w:w="2440" w:type="dxa"/>
            <w:gridSpan w:val="2"/>
            <w:vMerge/>
            <w:tcBorders>
              <w:right w:val="single" w:sz="8" w:space="0" w:color="auto"/>
            </w:tcBorders>
            <w:shd w:val="clear" w:color="auto" w:fill="auto"/>
            <w:vAlign w:val="bottom"/>
          </w:tcPr>
          <w:p w14:paraId="5B08C901" w14:textId="77777777" w:rsidR="00A52778" w:rsidRPr="00460F9E" w:rsidRDefault="00A52778" w:rsidP="00FC3F8E">
            <w:pPr>
              <w:spacing w:line="0" w:lineRule="atLeast"/>
              <w:rPr>
                <w:rFonts w:eastAsia="Times New Roman" w:cs="Times New Roman"/>
                <w:b/>
                <w:sz w:val="12"/>
              </w:rPr>
            </w:pPr>
          </w:p>
        </w:tc>
        <w:tc>
          <w:tcPr>
            <w:tcW w:w="3114" w:type="dxa"/>
            <w:gridSpan w:val="3"/>
            <w:vMerge/>
            <w:tcBorders>
              <w:left w:val="single" w:sz="8" w:space="0" w:color="auto"/>
              <w:right w:val="single" w:sz="8" w:space="0" w:color="auto"/>
            </w:tcBorders>
            <w:shd w:val="clear" w:color="auto" w:fill="auto"/>
            <w:vAlign w:val="bottom"/>
          </w:tcPr>
          <w:p w14:paraId="7B141C34" w14:textId="77777777" w:rsidR="00A52778" w:rsidRPr="00460F9E" w:rsidRDefault="00A52778" w:rsidP="00FC3F8E">
            <w:pPr>
              <w:spacing w:line="0" w:lineRule="atLeast"/>
              <w:rPr>
                <w:rFonts w:eastAsia="Times New Roman" w:cs="Times New Roman"/>
                <w:b/>
                <w:sz w:val="12"/>
              </w:rPr>
            </w:pPr>
          </w:p>
        </w:tc>
        <w:tc>
          <w:tcPr>
            <w:tcW w:w="1046" w:type="dxa"/>
            <w:tcBorders>
              <w:left w:val="single" w:sz="8" w:space="0" w:color="auto"/>
            </w:tcBorders>
            <w:shd w:val="clear" w:color="auto" w:fill="auto"/>
            <w:vAlign w:val="bottom"/>
          </w:tcPr>
          <w:p w14:paraId="4D8AE5DC" w14:textId="77777777" w:rsidR="00A52778" w:rsidRPr="00460F9E" w:rsidRDefault="00A52778" w:rsidP="00FC3F8E">
            <w:pPr>
              <w:spacing w:line="0" w:lineRule="atLeast"/>
              <w:rPr>
                <w:rFonts w:eastAsia="Times New Roman" w:cs="Times New Roman"/>
                <w:b/>
                <w:sz w:val="12"/>
              </w:rPr>
            </w:pPr>
          </w:p>
        </w:tc>
        <w:tc>
          <w:tcPr>
            <w:tcW w:w="840" w:type="dxa"/>
            <w:shd w:val="clear" w:color="auto" w:fill="auto"/>
            <w:vAlign w:val="bottom"/>
          </w:tcPr>
          <w:p w14:paraId="64A10335" w14:textId="77777777" w:rsidR="00A52778" w:rsidRPr="00460F9E" w:rsidRDefault="00A52778" w:rsidP="00FC3F8E">
            <w:pPr>
              <w:spacing w:line="0" w:lineRule="atLeast"/>
              <w:rPr>
                <w:rFonts w:eastAsia="Times New Roman" w:cs="Times New Roman"/>
                <w:b/>
                <w:sz w:val="12"/>
              </w:rPr>
            </w:pPr>
          </w:p>
        </w:tc>
        <w:tc>
          <w:tcPr>
            <w:tcW w:w="260" w:type="dxa"/>
            <w:shd w:val="clear" w:color="auto" w:fill="auto"/>
            <w:vAlign w:val="bottom"/>
          </w:tcPr>
          <w:p w14:paraId="100503BD" w14:textId="77777777" w:rsidR="00A52778" w:rsidRPr="00460F9E" w:rsidRDefault="00A52778" w:rsidP="00FC3F8E">
            <w:pPr>
              <w:spacing w:line="0" w:lineRule="atLeast"/>
              <w:rPr>
                <w:rFonts w:eastAsia="Times New Roman" w:cs="Times New Roman"/>
                <w:b/>
                <w:sz w:val="12"/>
              </w:rPr>
            </w:pPr>
          </w:p>
        </w:tc>
        <w:tc>
          <w:tcPr>
            <w:tcW w:w="972" w:type="dxa"/>
            <w:tcBorders>
              <w:right w:val="single" w:sz="8" w:space="0" w:color="auto"/>
            </w:tcBorders>
            <w:shd w:val="clear" w:color="auto" w:fill="auto"/>
            <w:vAlign w:val="bottom"/>
          </w:tcPr>
          <w:p w14:paraId="2B6D2A53" w14:textId="77777777" w:rsidR="00A52778" w:rsidRPr="00460F9E" w:rsidRDefault="00A52778" w:rsidP="00FC3F8E">
            <w:pPr>
              <w:spacing w:line="0" w:lineRule="atLeast"/>
              <w:rPr>
                <w:rFonts w:eastAsia="Times New Roman" w:cs="Times New Roman"/>
                <w:b/>
                <w:sz w:val="12"/>
              </w:rPr>
            </w:pPr>
          </w:p>
        </w:tc>
      </w:tr>
      <w:tr w:rsidR="00A52778" w:rsidRPr="00460F9E" w14:paraId="34BCE82F" w14:textId="77777777" w:rsidTr="00FC3F8E">
        <w:trPr>
          <w:trHeight w:val="66"/>
        </w:trPr>
        <w:tc>
          <w:tcPr>
            <w:tcW w:w="400" w:type="dxa"/>
            <w:tcBorders>
              <w:left w:val="single" w:sz="8" w:space="0" w:color="auto"/>
              <w:bottom w:val="single" w:sz="8" w:space="0" w:color="auto"/>
              <w:right w:val="single" w:sz="8" w:space="0" w:color="auto"/>
            </w:tcBorders>
            <w:shd w:val="clear" w:color="auto" w:fill="auto"/>
            <w:vAlign w:val="bottom"/>
          </w:tcPr>
          <w:p w14:paraId="3989111D" w14:textId="77777777" w:rsidR="00A52778" w:rsidRPr="00460F9E" w:rsidRDefault="00A52778" w:rsidP="00FC3F8E">
            <w:pPr>
              <w:spacing w:line="0" w:lineRule="atLeast"/>
              <w:rPr>
                <w:rFonts w:eastAsia="Times New Roman" w:cs="Times New Roman"/>
                <w:b/>
                <w:sz w:val="5"/>
              </w:rPr>
            </w:pPr>
          </w:p>
        </w:tc>
        <w:tc>
          <w:tcPr>
            <w:tcW w:w="1080" w:type="dxa"/>
            <w:tcBorders>
              <w:bottom w:val="single" w:sz="8" w:space="0" w:color="auto"/>
            </w:tcBorders>
            <w:shd w:val="clear" w:color="auto" w:fill="auto"/>
            <w:vAlign w:val="bottom"/>
          </w:tcPr>
          <w:p w14:paraId="5A6248F8" w14:textId="77777777" w:rsidR="00A52778" w:rsidRPr="00460F9E" w:rsidRDefault="00A52778" w:rsidP="00FC3F8E">
            <w:pPr>
              <w:spacing w:line="0" w:lineRule="atLeast"/>
              <w:rPr>
                <w:rFonts w:eastAsia="Times New Roman" w:cs="Times New Roman"/>
                <w:b/>
                <w:sz w:val="5"/>
              </w:rPr>
            </w:pPr>
          </w:p>
        </w:tc>
        <w:tc>
          <w:tcPr>
            <w:tcW w:w="1360" w:type="dxa"/>
            <w:tcBorders>
              <w:bottom w:val="single" w:sz="8" w:space="0" w:color="auto"/>
              <w:right w:val="single" w:sz="8" w:space="0" w:color="auto"/>
            </w:tcBorders>
            <w:shd w:val="clear" w:color="auto" w:fill="auto"/>
            <w:vAlign w:val="bottom"/>
          </w:tcPr>
          <w:p w14:paraId="07963E38" w14:textId="77777777" w:rsidR="00A52778" w:rsidRPr="00460F9E" w:rsidRDefault="00A52778" w:rsidP="00FC3F8E">
            <w:pPr>
              <w:spacing w:line="0" w:lineRule="atLeast"/>
              <w:rPr>
                <w:rFonts w:eastAsia="Times New Roman" w:cs="Times New Roman"/>
                <w:b/>
                <w:sz w:val="5"/>
              </w:rPr>
            </w:pPr>
          </w:p>
        </w:tc>
        <w:tc>
          <w:tcPr>
            <w:tcW w:w="2140" w:type="dxa"/>
            <w:tcBorders>
              <w:bottom w:val="single" w:sz="8" w:space="0" w:color="auto"/>
            </w:tcBorders>
            <w:shd w:val="clear" w:color="auto" w:fill="auto"/>
            <w:vAlign w:val="bottom"/>
          </w:tcPr>
          <w:p w14:paraId="29DDA1F1" w14:textId="77777777" w:rsidR="00A52778" w:rsidRPr="00460F9E" w:rsidRDefault="00A52778" w:rsidP="00FC3F8E">
            <w:pPr>
              <w:spacing w:line="0" w:lineRule="atLeast"/>
              <w:rPr>
                <w:rFonts w:eastAsia="Times New Roman" w:cs="Times New Roman"/>
                <w:b/>
                <w:sz w:val="5"/>
              </w:rPr>
            </w:pPr>
          </w:p>
        </w:tc>
        <w:tc>
          <w:tcPr>
            <w:tcW w:w="260" w:type="dxa"/>
            <w:tcBorders>
              <w:bottom w:val="single" w:sz="8" w:space="0" w:color="auto"/>
            </w:tcBorders>
            <w:shd w:val="clear" w:color="auto" w:fill="auto"/>
            <w:vAlign w:val="bottom"/>
          </w:tcPr>
          <w:p w14:paraId="369A6BD9" w14:textId="77777777" w:rsidR="00A52778" w:rsidRPr="00460F9E" w:rsidRDefault="00A52778" w:rsidP="00FC3F8E">
            <w:pPr>
              <w:spacing w:line="0" w:lineRule="atLeast"/>
              <w:rPr>
                <w:rFonts w:eastAsia="Times New Roman" w:cs="Times New Roman"/>
                <w:b/>
                <w:sz w:val="5"/>
              </w:rPr>
            </w:pPr>
          </w:p>
        </w:tc>
        <w:tc>
          <w:tcPr>
            <w:tcW w:w="714" w:type="dxa"/>
            <w:tcBorders>
              <w:bottom w:val="single" w:sz="8" w:space="0" w:color="auto"/>
              <w:right w:val="single" w:sz="8" w:space="0" w:color="auto"/>
            </w:tcBorders>
            <w:shd w:val="clear" w:color="auto" w:fill="auto"/>
            <w:vAlign w:val="bottom"/>
          </w:tcPr>
          <w:p w14:paraId="5D2840BE" w14:textId="77777777" w:rsidR="00A52778" w:rsidRPr="00460F9E" w:rsidRDefault="00A52778" w:rsidP="00FC3F8E">
            <w:pPr>
              <w:spacing w:line="0" w:lineRule="atLeast"/>
              <w:rPr>
                <w:rFonts w:eastAsia="Times New Roman" w:cs="Times New Roman"/>
                <w:b/>
                <w:sz w:val="5"/>
              </w:rPr>
            </w:pPr>
          </w:p>
        </w:tc>
        <w:tc>
          <w:tcPr>
            <w:tcW w:w="1046" w:type="dxa"/>
            <w:tcBorders>
              <w:bottom w:val="single" w:sz="8" w:space="0" w:color="auto"/>
            </w:tcBorders>
            <w:shd w:val="clear" w:color="auto" w:fill="auto"/>
            <w:vAlign w:val="bottom"/>
          </w:tcPr>
          <w:p w14:paraId="6C489BDA" w14:textId="77777777" w:rsidR="00A52778" w:rsidRPr="00460F9E" w:rsidRDefault="00A52778" w:rsidP="00FC3F8E">
            <w:pPr>
              <w:spacing w:line="0" w:lineRule="atLeast"/>
              <w:rPr>
                <w:rFonts w:eastAsia="Times New Roman" w:cs="Times New Roman"/>
                <w:b/>
                <w:sz w:val="5"/>
              </w:rPr>
            </w:pPr>
          </w:p>
        </w:tc>
        <w:tc>
          <w:tcPr>
            <w:tcW w:w="840" w:type="dxa"/>
            <w:tcBorders>
              <w:bottom w:val="single" w:sz="8" w:space="0" w:color="auto"/>
            </w:tcBorders>
            <w:shd w:val="clear" w:color="auto" w:fill="auto"/>
            <w:vAlign w:val="bottom"/>
          </w:tcPr>
          <w:p w14:paraId="388FEA70" w14:textId="77777777" w:rsidR="00A52778" w:rsidRPr="00460F9E" w:rsidRDefault="00A52778" w:rsidP="00FC3F8E">
            <w:pPr>
              <w:spacing w:line="0" w:lineRule="atLeast"/>
              <w:rPr>
                <w:rFonts w:eastAsia="Times New Roman" w:cs="Times New Roman"/>
                <w:b/>
                <w:sz w:val="5"/>
              </w:rPr>
            </w:pPr>
          </w:p>
        </w:tc>
        <w:tc>
          <w:tcPr>
            <w:tcW w:w="260" w:type="dxa"/>
            <w:tcBorders>
              <w:bottom w:val="single" w:sz="8" w:space="0" w:color="auto"/>
            </w:tcBorders>
            <w:shd w:val="clear" w:color="auto" w:fill="auto"/>
            <w:vAlign w:val="bottom"/>
          </w:tcPr>
          <w:p w14:paraId="0421A86D" w14:textId="77777777" w:rsidR="00A52778" w:rsidRPr="00460F9E" w:rsidRDefault="00A52778" w:rsidP="00FC3F8E">
            <w:pPr>
              <w:spacing w:line="0" w:lineRule="atLeast"/>
              <w:rPr>
                <w:rFonts w:eastAsia="Times New Roman" w:cs="Times New Roman"/>
                <w:b/>
                <w:sz w:val="5"/>
              </w:rPr>
            </w:pPr>
          </w:p>
        </w:tc>
        <w:tc>
          <w:tcPr>
            <w:tcW w:w="972" w:type="dxa"/>
            <w:tcBorders>
              <w:bottom w:val="single" w:sz="8" w:space="0" w:color="auto"/>
              <w:right w:val="single" w:sz="8" w:space="0" w:color="auto"/>
            </w:tcBorders>
            <w:shd w:val="clear" w:color="auto" w:fill="auto"/>
            <w:vAlign w:val="bottom"/>
          </w:tcPr>
          <w:p w14:paraId="1A4719FE" w14:textId="77777777" w:rsidR="00A52778" w:rsidRPr="00460F9E" w:rsidRDefault="00A52778" w:rsidP="00FC3F8E">
            <w:pPr>
              <w:spacing w:line="0" w:lineRule="atLeast"/>
              <w:rPr>
                <w:rFonts w:eastAsia="Times New Roman" w:cs="Times New Roman"/>
                <w:b/>
                <w:sz w:val="5"/>
              </w:rPr>
            </w:pPr>
          </w:p>
        </w:tc>
      </w:tr>
    </w:tbl>
    <w:p w14:paraId="4E2434C8" w14:textId="77777777" w:rsidR="00A52778" w:rsidRPr="00460F9E" w:rsidRDefault="00A52778" w:rsidP="00A52778">
      <w:pPr>
        <w:spacing w:line="20" w:lineRule="exact"/>
        <w:rPr>
          <w:rFonts w:eastAsia="Times New Roman" w:cs="Times New Roman"/>
          <w:b/>
        </w:rPr>
      </w:pPr>
      <w:r w:rsidRPr="00460F9E">
        <w:rPr>
          <w:rFonts w:eastAsia="Times New Roman" w:cs="Times New Roman"/>
          <w:b/>
          <w:noProof/>
          <w:sz w:val="5"/>
          <w:lang w:val="tr-TR" w:eastAsia="tr-TR"/>
        </w:rPr>
        <mc:AlternateContent>
          <mc:Choice Requires="wps">
            <w:drawing>
              <wp:anchor distT="0" distB="0" distL="114300" distR="114300" simplePos="0" relativeHeight="251665408" behindDoc="1" locked="0" layoutInCell="1" allowOverlap="1" wp14:anchorId="50E721BC" wp14:editId="4E061A4A">
                <wp:simplePos x="0" y="0"/>
                <wp:positionH relativeFrom="column">
                  <wp:posOffset>5534660</wp:posOffset>
                </wp:positionH>
                <wp:positionV relativeFrom="paragraph">
                  <wp:posOffset>-8890</wp:posOffset>
                </wp:positionV>
                <wp:extent cx="12065" cy="12065"/>
                <wp:effectExtent l="635" t="0" r="0" b="0"/>
                <wp:wrapNone/>
                <wp:docPr id="58" name="Dikdörtgen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1BD93" id="Dikdörtgen 58" o:spid="_x0000_s1026" style="position:absolute;margin-left:435.8pt;margin-top:-.7pt;width:.9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" fillcolor="black" strokecolor="white"/>
            </w:pict>
          </mc:Fallback>
        </mc:AlternateContent>
      </w:r>
    </w:p>
    <w:p w14:paraId="5E09B119" w14:textId="77777777" w:rsidR="00A52778" w:rsidRPr="00460F9E" w:rsidRDefault="00A52778" w:rsidP="00A52778">
      <w:pPr>
        <w:spacing w:line="200" w:lineRule="exact"/>
        <w:rPr>
          <w:rFonts w:eastAsia="Times New Roman" w:cs="Times New Roman"/>
          <w:b/>
        </w:rPr>
      </w:pPr>
    </w:p>
    <w:p w14:paraId="34DC011F" w14:textId="77777777" w:rsidR="00A52778" w:rsidRPr="00357659" w:rsidRDefault="00A52778" w:rsidP="00A52778">
      <w:pPr>
        <w:spacing w:line="296" w:lineRule="exact"/>
        <w:rPr>
          <w:rFonts w:eastAsia="Times New Roman" w:cs="Times New Roman"/>
        </w:rPr>
      </w:pPr>
    </w:p>
    <w:p w14:paraId="7723D175" w14:textId="77777777" w:rsidR="00A52778" w:rsidRDefault="00A52778" w:rsidP="00A52778">
      <w:pPr>
        <w:tabs>
          <w:tab w:val="left" w:pos="1220"/>
        </w:tabs>
        <w:spacing w:line="235" w:lineRule="auto"/>
        <w:ind w:left="1240" w:right="826" w:hanging="1132"/>
        <w:rPr>
          <w:rFonts w:eastAsia="Times New Roman" w:cs="Times New Roman"/>
        </w:rPr>
      </w:pPr>
      <w:r w:rsidRPr="00357659">
        <w:rPr>
          <w:rFonts w:eastAsia="Times New Roman" w:cs="Times New Roman"/>
        </w:rPr>
        <w:t>Klor ve/veya klorlu bileşikler içeren atık gazların ısıl işleminden kaynakl</w:t>
      </w:r>
      <w:r>
        <w:rPr>
          <w:rFonts w:eastAsia="Times New Roman" w:cs="Times New Roman"/>
        </w:rPr>
        <w:t xml:space="preserve">anan  </w:t>
      </w:r>
    </w:p>
    <w:p w14:paraId="3427757C" w14:textId="77777777" w:rsidR="00A52778" w:rsidRPr="00357659" w:rsidRDefault="00A52778" w:rsidP="00A52778">
      <w:pPr>
        <w:tabs>
          <w:tab w:val="left" w:pos="1220"/>
        </w:tabs>
        <w:spacing w:line="235" w:lineRule="auto"/>
        <w:ind w:left="108" w:right="826"/>
        <w:rPr>
          <w:rFonts w:eastAsia="Times New Roman" w:cs="Times New Roman"/>
        </w:rPr>
      </w:pPr>
      <w:r w:rsidRPr="00357659">
        <w:rPr>
          <w:rFonts w:eastAsia="Times New Roman" w:cs="Times New Roman"/>
        </w:rPr>
        <w:t>PCDD/F' nin havaya kanalize edilen emisyonları için MET-ilişkili emisyon seviyesi (MET-AEL)</w:t>
      </w:r>
    </w:p>
    <w:p w14:paraId="68D2D2D0" w14:textId="77777777" w:rsidR="00A52778" w:rsidRPr="00460F9E" w:rsidRDefault="00A52778" w:rsidP="00A52778">
      <w:pPr>
        <w:spacing w:line="104" w:lineRule="exact"/>
        <w:rPr>
          <w:rFonts w:eastAsia="Times New Roman" w:cs="Times New Roman"/>
          <w:b/>
        </w:rPr>
      </w:pPr>
    </w:p>
    <w:tbl>
      <w:tblPr>
        <w:tblW w:w="0" w:type="auto"/>
        <w:tblInd w:w="90" w:type="dxa"/>
        <w:tblLayout w:type="fixed"/>
        <w:tblCellMar>
          <w:left w:w="0" w:type="dxa"/>
          <w:right w:w="0" w:type="dxa"/>
        </w:tblCellMar>
        <w:tblLook w:val="0000" w:firstRow="0" w:lastRow="0" w:firstColumn="0" w:lastColumn="0" w:noHBand="0" w:noVBand="0"/>
      </w:tblPr>
      <w:tblGrid>
        <w:gridCol w:w="2735"/>
        <w:gridCol w:w="5865"/>
      </w:tblGrid>
      <w:tr w:rsidR="00A52778" w:rsidRPr="00460F9E" w14:paraId="0A24B470" w14:textId="77777777" w:rsidTr="00FC3F8E">
        <w:trPr>
          <w:trHeight w:val="356"/>
        </w:trPr>
        <w:tc>
          <w:tcPr>
            <w:tcW w:w="2735" w:type="dxa"/>
            <w:vMerge w:val="restart"/>
            <w:tcBorders>
              <w:top w:val="single" w:sz="8" w:space="0" w:color="auto"/>
              <w:left w:val="single" w:sz="8" w:space="0" w:color="auto"/>
              <w:right w:val="single" w:sz="8" w:space="0" w:color="auto"/>
            </w:tcBorders>
            <w:shd w:val="clear" w:color="auto" w:fill="auto"/>
            <w:vAlign w:val="center"/>
          </w:tcPr>
          <w:p w14:paraId="7AEE5B50" w14:textId="77777777" w:rsidR="00A52778" w:rsidRPr="00357659" w:rsidRDefault="00A52778" w:rsidP="00FC3F8E">
            <w:pPr>
              <w:spacing w:line="0" w:lineRule="atLeast"/>
              <w:rPr>
                <w:rFonts w:eastAsia="Times New Roman" w:cs="Times New Roman"/>
              </w:rPr>
            </w:pPr>
            <w:r w:rsidRPr="00357659">
              <w:rPr>
                <w:rFonts w:eastAsia="Times New Roman" w:cs="Times New Roman"/>
              </w:rPr>
              <w:t xml:space="preserve"> Maddeler/Parametreler</w:t>
            </w:r>
          </w:p>
        </w:tc>
        <w:tc>
          <w:tcPr>
            <w:tcW w:w="5865" w:type="dxa"/>
            <w:tcBorders>
              <w:top w:val="single" w:sz="8" w:space="0" w:color="auto"/>
              <w:right w:val="single" w:sz="8" w:space="0" w:color="auto"/>
            </w:tcBorders>
            <w:shd w:val="clear" w:color="auto" w:fill="auto"/>
            <w:vAlign w:val="bottom"/>
          </w:tcPr>
          <w:p w14:paraId="2531FF87" w14:textId="77777777" w:rsidR="00A52778" w:rsidRPr="00357659" w:rsidRDefault="00A52778" w:rsidP="00FC3F8E">
            <w:pPr>
              <w:spacing w:line="0" w:lineRule="atLeast"/>
              <w:jc w:val="center"/>
              <w:rPr>
                <w:rFonts w:eastAsia="Times New Roman" w:cs="Times New Roman"/>
                <w:w w:val="98"/>
              </w:rPr>
            </w:pPr>
            <w:r w:rsidRPr="00357659">
              <w:rPr>
                <w:rFonts w:eastAsia="Times New Roman" w:cs="Times New Roman"/>
                <w:w w:val="98"/>
              </w:rPr>
              <w:t>MET-AEL (ng I-TEQ/Nm</w:t>
            </w:r>
            <w:r w:rsidRPr="00357659">
              <w:rPr>
                <w:rFonts w:eastAsia="Times New Roman" w:cs="Times New Roman"/>
                <w:w w:val="98"/>
                <w:sz w:val="25"/>
                <w:vertAlign w:val="superscript"/>
              </w:rPr>
              <w:t>3</w:t>
            </w:r>
            <w:r w:rsidRPr="00357659">
              <w:rPr>
                <w:rFonts w:eastAsia="Times New Roman" w:cs="Times New Roman"/>
                <w:w w:val="98"/>
              </w:rPr>
              <w:t>)</w:t>
            </w:r>
          </w:p>
        </w:tc>
      </w:tr>
      <w:tr w:rsidR="00A52778" w:rsidRPr="00460F9E" w14:paraId="481CF9B0" w14:textId="77777777" w:rsidTr="00FC3F8E">
        <w:trPr>
          <w:trHeight w:val="219"/>
        </w:trPr>
        <w:tc>
          <w:tcPr>
            <w:tcW w:w="2735" w:type="dxa"/>
            <w:vMerge/>
            <w:tcBorders>
              <w:left w:val="single" w:sz="8" w:space="0" w:color="auto"/>
              <w:bottom w:val="nil"/>
              <w:right w:val="single" w:sz="8" w:space="0" w:color="auto"/>
            </w:tcBorders>
            <w:shd w:val="clear" w:color="auto" w:fill="auto"/>
            <w:vAlign w:val="bottom"/>
          </w:tcPr>
          <w:p w14:paraId="3D2AF0B9" w14:textId="77777777" w:rsidR="00A52778" w:rsidRPr="00357659" w:rsidRDefault="00A52778" w:rsidP="00FC3F8E">
            <w:pPr>
              <w:spacing w:line="0" w:lineRule="atLeast"/>
              <w:rPr>
                <w:rFonts w:eastAsia="Times New Roman" w:cs="Times New Roman"/>
                <w:sz w:val="9"/>
              </w:rPr>
            </w:pPr>
          </w:p>
        </w:tc>
        <w:tc>
          <w:tcPr>
            <w:tcW w:w="5865" w:type="dxa"/>
            <w:tcBorders>
              <w:bottom w:val="nil"/>
              <w:right w:val="single" w:sz="8" w:space="0" w:color="auto"/>
            </w:tcBorders>
            <w:shd w:val="clear" w:color="auto" w:fill="auto"/>
            <w:vAlign w:val="bottom"/>
          </w:tcPr>
          <w:p w14:paraId="3361C05A" w14:textId="77777777" w:rsidR="00A52778" w:rsidRPr="00357659" w:rsidRDefault="00A52778" w:rsidP="00FC3F8E">
            <w:pPr>
              <w:spacing w:line="219" w:lineRule="exact"/>
              <w:jc w:val="center"/>
              <w:rPr>
                <w:rFonts w:eastAsia="Times New Roman" w:cs="Times New Roman"/>
                <w:w w:val="99"/>
              </w:rPr>
            </w:pPr>
            <w:r w:rsidRPr="00357659">
              <w:rPr>
                <w:rFonts w:eastAsia="Times New Roman" w:cs="Times New Roman"/>
                <w:w w:val="99"/>
              </w:rPr>
              <w:t>(Örnekleme dönemi boyunca ortalama)</w:t>
            </w:r>
          </w:p>
        </w:tc>
      </w:tr>
      <w:tr w:rsidR="00A52778" w:rsidRPr="00460F9E" w14:paraId="01801637" w14:textId="77777777" w:rsidTr="00FC3F8E">
        <w:trPr>
          <w:trHeight w:val="104"/>
        </w:trPr>
        <w:tc>
          <w:tcPr>
            <w:tcW w:w="2735" w:type="dxa"/>
            <w:tcBorders>
              <w:left w:val="single" w:sz="8" w:space="0" w:color="auto"/>
              <w:bottom w:val="single" w:sz="8" w:space="0" w:color="auto"/>
              <w:right w:val="single" w:sz="8" w:space="0" w:color="auto"/>
            </w:tcBorders>
            <w:shd w:val="clear" w:color="auto" w:fill="auto"/>
            <w:vAlign w:val="bottom"/>
          </w:tcPr>
          <w:p w14:paraId="1AA3A93C" w14:textId="77777777" w:rsidR="00A52778" w:rsidRPr="00460F9E" w:rsidRDefault="00A52778" w:rsidP="00FC3F8E">
            <w:pPr>
              <w:spacing w:line="0" w:lineRule="atLeast"/>
              <w:rPr>
                <w:rFonts w:eastAsia="Times New Roman" w:cs="Times New Roman"/>
                <w:b/>
                <w:sz w:val="9"/>
              </w:rPr>
            </w:pPr>
          </w:p>
        </w:tc>
        <w:tc>
          <w:tcPr>
            <w:tcW w:w="5865" w:type="dxa"/>
            <w:tcBorders>
              <w:bottom w:val="single" w:sz="8" w:space="0" w:color="auto"/>
              <w:right w:val="single" w:sz="8" w:space="0" w:color="auto"/>
            </w:tcBorders>
            <w:shd w:val="clear" w:color="auto" w:fill="auto"/>
            <w:vAlign w:val="bottom"/>
          </w:tcPr>
          <w:p w14:paraId="13A0238A" w14:textId="77777777" w:rsidR="00A52778" w:rsidRPr="00460F9E" w:rsidRDefault="00A52778" w:rsidP="00FC3F8E">
            <w:pPr>
              <w:spacing w:line="0" w:lineRule="atLeast"/>
              <w:rPr>
                <w:rFonts w:eastAsia="Times New Roman" w:cs="Times New Roman"/>
                <w:b/>
                <w:sz w:val="9"/>
              </w:rPr>
            </w:pPr>
          </w:p>
        </w:tc>
      </w:tr>
      <w:tr w:rsidR="00A52778" w:rsidRPr="00460F9E" w14:paraId="1FF19BAA" w14:textId="77777777" w:rsidTr="00FC3F8E">
        <w:trPr>
          <w:trHeight w:val="341"/>
        </w:trPr>
        <w:tc>
          <w:tcPr>
            <w:tcW w:w="2735" w:type="dxa"/>
            <w:tcBorders>
              <w:left w:val="single" w:sz="8" w:space="0" w:color="auto"/>
              <w:right w:val="single" w:sz="8" w:space="0" w:color="auto"/>
            </w:tcBorders>
            <w:shd w:val="clear" w:color="auto" w:fill="auto"/>
            <w:vAlign w:val="bottom"/>
          </w:tcPr>
          <w:p w14:paraId="29E0EE7C" w14:textId="77777777" w:rsidR="00A52778" w:rsidRPr="00460F9E" w:rsidRDefault="00A52778" w:rsidP="00FC3F8E">
            <w:pPr>
              <w:spacing w:line="0" w:lineRule="atLeast"/>
              <w:ind w:left="180"/>
              <w:rPr>
                <w:rFonts w:eastAsia="Times New Roman" w:cs="Times New Roman"/>
                <w:b/>
              </w:rPr>
            </w:pPr>
            <w:r w:rsidRPr="00460F9E">
              <w:rPr>
                <w:rFonts w:eastAsia="Times New Roman" w:cs="Times New Roman"/>
              </w:rPr>
              <w:t>PCDD/F</w:t>
            </w:r>
          </w:p>
        </w:tc>
        <w:tc>
          <w:tcPr>
            <w:tcW w:w="5865" w:type="dxa"/>
            <w:tcBorders>
              <w:right w:val="single" w:sz="8" w:space="0" w:color="auto"/>
            </w:tcBorders>
            <w:shd w:val="clear" w:color="auto" w:fill="auto"/>
            <w:vAlign w:val="bottom"/>
          </w:tcPr>
          <w:p w14:paraId="3529CEDC"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&lt; 0,01-0,05</w:t>
            </w:r>
          </w:p>
        </w:tc>
      </w:tr>
      <w:tr w:rsidR="00A52778" w:rsidRPr="00460F9E" w14:paraId="560A41A9" w14:textId="77777777" w:rsidTr="00FC3F8E">
        <w:trPr>
          <w:trHeight w:val="128"/>
        </w:trPr>
        <w:tc>
          <w:tcPr>
            <w:tcW w:w="2735" w:type="dxa"/>
            <w:tcBorders>
              <w:left w:val="single" w:sz="8" w:space="0" w:color="auto"/>
              <w:bottom w:val="single" w:sz="8" w:space="0" w:color="auto"/>
              <w:right w:val="single" w:sz="8" w:space="0" w:color="auto"/>
            </w:tcBorders>
            <w:shd w:val="clear" w:color="auto" w:fill="auto"/>
            <w:vAlign w:val="bottom"/>
          </w:tcPr>
          <w:p w14:paraId="12ED7A67" w14:textId="77777777" w:rsidR="00A52778" w:rsidRPr="00460F9E" w:rsidRDefault="00A52778" w:rsidP="00FC3F8E">
            <w:pPr>
              <w:spacing w:line="0" w:lineRule="atLeast"/>
              <w:rPr>
                <w:rFonts w:eastAsia="Times New Roman" w:cs="Times New Roman"/>
                <w:b/>
                <w:sz w:val="11"/>
              </w:rPr>
            </w:pPr>
          </w:p>
        </w:tc>
        <w:tc>
          <w:tcPr>
            <w:tcW w:w="5865" w:type="dxa"/>
            <w:tcBorders>
              <w:bottom w:val="single" w:sz="8" w:space="0" w:color="auto"/>
              <w:right w:val="single" w:sz="8" w:space="0" w:color="auto"/>
            </w:tcBorders>
            <w:shd w:val="clear" w:color="auto" w:fill="auto"/>
            <w:vAlign w:val="bottom"/>
          </w:tcPr>
          <w:p w14:paraId="3B7D6EA3" w14:textId="77777777" w:rsidR="00A52778" w:rsidRPr="00460F9E" w:rsidRDefault="00A52778" w:rsidP="00FC3F8E">
            <w:pPr>
              <w:spacing w:line="0" w:lineRule="atLeast"/>
              <w:rPr>
                <w:rFonts w:eastAsia="Times New Roman" w:cs="Times New Roman"/>
                <w:b/>
                <w:sz w:val="11"/>
              </w:rPr>
            </w:pPr>
          </w:p>
        </w:tc>
      </w:tr>
    </w:tbl>
    <w:p w14:paraId="6285DBD7" w14:textId="77777777" w:rsidR="00A52778" w:rsidRPr="00460F9E" w:rsidRDefault="00A52778" w:rsidP="00A52778">
      <w:pPr>
        <w:spacing w:line="200" w:lineRule="exact"/>
        <w:rPr>
          <w:rFonts w:eastAsia="Times New Roman" w:cs="Times New Roman"/>
          <w:b/>
        </w:rPr>
      </w:pPr>
    </w:p>
    <w:p w14:paraId="444FB314" w14:textId="77777777" w:rsidR="00A52778" w:rsidRPr="00460F9E" w:rsidRDefault="00A52778" w:rsidP="00A52778">
      <w:pPr>
        <w:spacing w:line="299" w:lineRule="exact"/>
        <w:rPr>
          <w:rFonts w:eastAsia="Times New Roman" w:cs="Times New Roman"/>
          <w:b/>
        </w:rPr>
      </w:pPr>
    </w:p>
    <w:p w14:paraId="4095D64A" w14:textId="77777777" w:rsidR="00A52778" w:rsidRPr="00460F9E" w:rsidRDefault="00A52778" w:rsidP="00A52778">
      <w:pPr>
        <w:spacing w:line="0" w:lineRule="atLeast"/>
        <w:ind w:left="120"/>
        <w:rPr>
          <w:rFonts w:eastAsia="Times New Roman" w:cs="Times New Roman"/>
          <w:b/>
        </w:rPr>
      </w:pPr>
      <w:r w:rsidRPr="00460F9E">
        <w:rPr>
          <w:rFonts w:eastAsia="Times New Roman" w:cs="Times New Roman"/>
        </w:rPr>
        <w:t>İlişkili izleme MET 8' de verilmişt</w:t>
      </w:r>
      <w:r w:rsidRPr="00460F9E">
        <w:rPr>
          <w:rFonts w:cs="Times New Roman"/>
          <w:b/>
          <w:noProof/>
          <w:lang w:val="tr-TR" w:eastAsia="tr-TR"/>
        </w:rPr>
        <mc:AlternateContent>
          <mc:Choice Requires="wps">
            <w:drawing>
              <wp:anchor distT="0" distB="0" distL="114299" distR="114299" simplePos="0" relativeHeight="251678720" behindDoc="0" locked="0" layoutInCell="1" allowOverlap="1" wp14:anchorId="5B2B5F6C" wp14:editId="29F8AA92">
                <wp:simplePos x="0" y="0"/>
                <wp:positionH relativeFrom="column">
                  <wp:posOffset>10861039</wp:posOffset>
                </wp:positionH>
                <wp:positionV relativeFrom="paragraph">
                  <wp:posOffset>2218690</wp:posOffset>
                </wp:positionV>
                <wp:extent cx="0" cy="1347470"/>
                <wp:effectExtent l="0" t="0" r="19050" b="24130"/>
                <wp:wrapNone/>
                <wp:docPr id="57" name="Düz Bağlayıcı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4747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980B09" id="Düz Bağlayıcı 57"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55.2pt,174.7pt" to="855.2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" strokecolor="windowText" strokeweight=".5pt">
                <v:stroke joinstyle="miter"/>
                <o:lock v:ext="edit" shapetype="f"/>
              </v:line>
            </w:pict>
          </mc:Fallback>
        </mc:AlternateContent>
      </w:r>
      <w:r w:rsidRPr="00460F9E">
        <w:rPr>
          <w:rFonts w:eastAsia="Times New Roman" w:cs="Times New Roman"/>
        </w:rPr>
        <w:t>ir.</w:t>
      </w:r>
    </w:p>
    <w:p w14:paraId="4F4AAE6C" w14:textId="77777777" w:rsidR="00A52778" w:rsidRPr="00460F9E" w:rsidRDefault="00A52778" w:rsidP="00A52778">
      <w:pPr>
        <w:spacing w:line="20" w:lineRule="exact"/>
        <w:rPr>
          <w:rFonts w:eastAsia="Times New Roman" w:cs="Times New Roman"/>
          <w:b/>
        </w:rPr>
      </w:pPr>
    </w:p>
    <w:p w14:paraId="7F124165" w14:textId="77777777" w:rsidR="00A52778" w:rsidRPr="00460F9E" w:rsidRDefault="00A52778" w:rsidP="00A52778">
      <w:pPr>
        <w:spacing w:line="20" w:lineRule="exact"/>
        <w:rPr>
          <w:rFonts w:eastAsia="Times New Roman" w:cs="Times New Roman"/>
          <w:b/>
        </w:rPr>
        <w:sectPr w:rsidR="00A52778" w:rsidRPr="00460F9E">
          <w:pgSz w:w="11900" w:h="16838"/>
          <w:pgMar w:top="707" w:right="1440" w:bottom="145" w:left="1020" w:header="0" w:footer="0" w:gutter="0"/>
          <w:cols w:space="0" w:equalWidth="0">
            <w:col w:w="9446"/>
          </w:cols>
          <w:docGrid w:linePitch="360"/>
        </w:sectPr>
      </w:pPr>
    </w:p>
    <w:p w14:paraId="7A63A990" w14:textId="77777777" w:rsidR="00A52778" w:rsidRPr="00460F9E" w:rsidRDefault="00A52778" w:rsidP="00A52778">
      <w:pPr>
        <w:spacing w:line="200" w:lineRule="exact"/>
        <w:rPr>
          <w:rFonts w:eastAsia="Times New Roman" w:cs="Times New Roman"/>
          <w:b/>
        </w:rPr>
      </w:pPr>
    </w:p>
    <w:p w14:paraId="5C6CEC7A" w14:textId="77777777" w:rsidR="00A52778" w:rsidRPr="00460F9E" w:rsidRDefault="00A52778" w:rsidP="00A52778">
      <w:pPr>
        <w:spacing w:line="200" w:lineRule="exact"/>
        <w:rPr>
          <w:rFonts w:eastAsia="Times New Roman" w:cs="Times New Roman"/>
          <w:b/>
        </w:rPr>
      </w:pPr>
    </w:p>
    <w:p w14:paraId="59B8E534" w14:textId="77777777" w:rsidR="00A52778" w:rsidRPr="00460F9E" w:rsidRDefault="00A52778" w:rsidP="00A52778">
      <w:pPr>
        <w:spacing w:line="200" w:lineRule="exact"/>
        <w:rPr>
          <w:rFonts w:eastAsia="Times New Roman" w:cs="Times New Roman"/>
          <w:b/>
        </w:rPr>
      </w:pPr>
    </w:p>
    <w:p w14:paraId="253DD069" w14:textId="77777777" w:rsidR="00A52778" w:rsidRPr="00460F9E" w:rsidRDefault="00A52778" w:rsidP="00A52778">
      <w:pPr>
        <w:spacing w:line="200" w:lineRule="exact"/>
        <w:rPr>
          <w:rFonts w:eastAsia="Times New Roman" w:cs="Times New Roman"/>
          <w:b/>
        </w:rPr>
      </w:pPr>
    </w:p>
    <w:p w14:paraId="4F7121C9" w14:textId="77777777" w:rsidR="00A52778" w:rsidRPr="00460F9E" w:rsidRDefault="00A52778" w:rsidP="00A52778">
      <w:pPr>
        <w:spacing w:line="200" w:lineRule="exact"/>
        <w:rPr>
          <w:rFonts w:eastAsia="Times New Roman" w:cs="Times New Roman"/>
          <w:b/>
        </w:rPr>
      </w:pPr>
    </w:p>
    <w:p w14:paraId="422A0D76" w14:textId="77777777" w:rsidR="00A52778" w:rsidRPr="00460F9E" w:rsidRDefault="00A52778" w:rsidP="00A52778">
      <w:pPr>
        <w:spacing w:line="200" w:lineRule="exact"/>
        <w:rPr>
          <w:rFonts w:eastAsia="Times New Roman" w:cs="Times New Roman"/>
          <w:b/>
        </w:rPr>
      </w:pPr>
    </w:p>
    <w:p w14:paraId="625341DB" w14:textId="77777777" w:rsidR="00A52778" w:rsidRPr="00460F9E" w:rsidRDefault="00A52778" w:rsidP="00A52778">
      <w:pPr>
        <w:spacing w:line="200" w:lineRule="exact"/>
        <w:rPr>
          <w:rFonts w:eastAsia="Times New Roman" w:cs="Times New Roman"/>
          <w:b/>
        </w:rPr>
      </w:pPr>
    </w:p>
    <w:p w14:paraId="2F124E2B" w14:textId="77777777" w:rsidR="00A52778" w:rsidRPr="00460F9E" w:rsidRDefault="00A52778" w:rsidP="00A52778">
      <w:pPr>
        <w:spacing w:line="200" w:lineRule="exact"/>
        <w:rPr>
          <w:rFonts w:eastAsia="Times New Roman" w:cs="Times New Roman"/>
          <w:b/>
        </w:rPr>
      </w:pPr>
    </w:p>
    <w:p w14:paraId="6C4D98C4" w14:textId="77777777" w:rsidR="00A52778" w:rsidRPr="00460F9E" w:rsidRDefault="00A52778" w:rsidP="00A52778">
      <w:pPr>
        <w:spacing w:line="200" w:lineRule="exact"/>
        <w:rPr>
          <w:rFonts w:eastAsia="Times New Roman" w:cs="Times New Roman"/>
          <w:b/>
        </w:rPr>
      </w:pPr>
    </w:p>
    <w:p w14:paraId="77EA8C8A" w14:textId="77777777" w:rsidR="00A52778" w:rsidRPr="00460F9E" w:rsidRDefault="00A52778" w:rsidP="00A52778">
      <w:pPr>
        <w:spacing w:line="200" w:lineRule="exact"/>
        <w:rPr>
          <w:rFonts w:eastAsia="Times New Roman" w:cs="Times New Roman"/>
          <w:b/>
        </w:rPr>
      </w:pPr>
    </w:p>
    <w:p w14:paraId="7C1E755A" w14:textId="77777777" w:rsidR="00A52778" w:rsidRPr="00460F9E" w:rsidRDefault="00A52778" w:rsidP="00A52778">
      <w:pPr>
        <w:spacing w:line="200" w:lineRule="exact"/>
        <w:rPr>
          <w:rFonts w:eastAsia="Times New Roman" w:cs="Times New Roman"/>
          <w:b/>
        </w:rPr>
      </w:pPr>
    </w:p>
    <w:p w14:paraId="3788FB33" w14:textId="77777777" w:rsidR="00A52778" w:rsidRPr="00460F9E" w:rsidRDefault="00A52778" w:rsidP="00A52778">
      <w:pPr>
        <w:spacing w:line="200" w:lineRule="exact"/>
        <w:rPr>
          <w:rFonts w:eastAsia="Times New Roman" w:cs="Times New Roman"/>
          <w:b/>
        </w:rPr>
      </w:pPr>
    </w:p>
    <w:p w14:paraId="1D19B6F6" w14:textId="77777777" w:rsidR="00A52778" w:rsidRPr="00460F9E" w:rsidRDefault="00A52778" w:rsidP="00A52778">
      <w:pPr>
        <w:spacing w:line="200" w:lineRule="exact"/>
        <w:rPr>
          <w:rFonts w:eastAsia="Times New Roman" w:cs="Times New Roman"/>
          <w:b/>
        </w:rPr>
      </w:pPr>
    </w:p>
    <w:p w14:paraId="7E8CB043" w14:textId="77777777" w:rsidR="00A52778" w:rsidRPr="00460F9E" w:rsidRDefault="00A52778" w:rsidP="00A52778">
      <w:pPr>
        <w:spacing w:line="200" w:lineRule="exact"/>
        <w:rPr>
          <w:rFonts w:eastAsia="Times New Roman" w:cs="Times New Roman"/>
          <w:b/>
        </w:rPr>
      </w:pPr>
    </w:p>
    <w:p w14:paraId="765303AE" w14:textId="77777777" w:rsidR="00A52778" w:rsidRPr="00460F9E" w:rsidRDefault="00A52778" w:rsidP="00A52778">
      <w:pPr>
        <w:spacing w:line="200" w:lineRule="exact"/>
        <w:rPr>
          <w:rFonts w:eastAsia="Times New Roman" w:cs="Times New Roman"/>
          <w:b/>
        </w:rPr>
      </w:pPr>
    </w:p>
    <w:p w14:paraId="69C12876" w14:textId="77777777" w:rsidR="00A52778" w:rsidRPr="00460F9E" w:rsidRDefault="00A52778" w:rsidP="00A52778">
      <w:pPr>
        <w:spacing w:line="200" w:lineRule="exact"/>
        <w:rPr>
          <w:rFonts w:eastAsia="Times New Roman" w:cs="Times New Roman"/>
          <w:b/>
        </w:rPr>
      </w:pPr>
    </w:p>
    <w:p w14:paraId="323A399E" w14:textId="77777777" w:rsidR="00A52778" w:rsidRPr="00460F9E" w:rsidRDefault="00A52778" w:rsidP="00A52778">
      <w:pPr>
        <w:spacing w:line="200" w:lineRule="exact"/>
        <w:rPr>
          <w:rFonts w:eastAsia="Times New Roman" w:cs="Times New Roman"/>
          <w:b/>
        </w:rPr>
      </w:pPr>
    </w:p>
    <w:p w14:paraId="7EC13ACF" w14:textId="77777777" w:rsidR="00A52778" w:rsidRPr="00460F9E" w:rsidRDefault="00A52778" w:rsidP="00A52778">
      <w:pPr>
        <w:spacing w:line="200" w:lineRule="exact"/>
        <w:rPr>
          <w:rFonts w:eastAsia="Times New Roman" w:cs="Times New Roman"/>
          <w:b/>
        </w:rPr>
      </w:pPr>
    </w:p>
    <w:p w14:paraId="55FA244A" w14:textId="77777777" w:rsidR="00A52778" w:rsidRPr="00460F9E" w:rsidRDefault="00A52778" w:rsidP="00A52778">
      <w:pPr>
        <w:spacing w:line="200" w:lineRule="exact"/>
        <w:rPr>
          <w:rFonts w:eastAsia="Times New Roman" w:cs="Times New Roman"/>
          <w:b/>
        </w:rPr>
      </w:pPr>
    </w:p>
    <w:p w14:paraId="784F05EB" w14:textId="77777777" w:rsidR="00A52778" w:rsidRPr="00460F9E" w:rsidRDefault="00A52778" w:rsidP="00A52778">
      <w:pPr>
        <w:spacing w:line="200" w:lineRule="exact"/>
        <w:rPr>
          <w:rFonts w:eastAsia="Times New Roman" w:cs="Times New Roman"/>
          <w:b/>
        </w:rPr>
      </w:pPr>
    </w:p>
    <w:p w14:paraId="0AA2FCD0" w14:textId="77777777" w:rsidR="00A52778" w:rsidRPr="00460F9E" w:rsidRDefault="00A52778" w:rsidP="00A52778">
      <w:pPr>
        <w:spacing w:line="200" w:lineRule="exact"/>
        <w:rPr>
          <w:rFonts w:eastAsia="Times New Roman" w:cs="Times New Roman"/>
          <w:b/>
        </w:rPr>
      </w:pPr>
    </w:p>
    <w:p w14:paraId="29C97588" w14:textId="77777777" w:rsidR="00A52778" w:rsidRPr="00460F9E" w:rsidRDefault="00A52778" w:rsidP="00A52778">
      <w:pPr>
        <w:spacing w:line="200" w:lineRule="exact"/>
        <w:rPr>
          <w:rFonts w:eastAsia="Times New Roman" w:cs="Times New Roman"/>
          <w:b/>
        </w:rPr>
      </w:pPr>
    </w:p>
    <w:p w14:paraId="30AE9E33" w14:textId="77777777" w:rsidR="00A52778" w:rsidRPr="00460F9E" w:rsidRDefault="00A52778" w:rsidP="00A52778">
      <w:pPr>
        <w:spacing w:line="200" w:lineRule="exact"/>
        <w:rPr>
          <w:rFonts w:eastAsia="Times New Roman" w:cs="Times New Roman"/>
          <w:b/>
        </w:rPr>
      </w:pPr>
    </w:p>
    <w:p w14:paraId="35F7E26B" w14:textId="77777777" w:rsidR="00A52778" w:rsidRPr="00460F9E" w:rsidRDefault="00A52778" w:rsidP="00A52778">
      <w:pPr>
        <w:tabs>
          <w:tab w:val="left" w:pos="2440"/>
        </w:tabs>
        <w:spacing w:line="0" w:lineRule="atLeast"/>
        <w:ind w:left="120"/>
        <w:rPr>
          <w:rFonts w:eastAsia="Times New Roman" w:cs="Times New Roman"/>
          <w:b/>
          <w:color w:val="0000FF"/>
        </w:rPr>
      </w:pPr>
      <w:r w:rsidRPr="00460F9E">
        <w:rPr>
          <w:rFonts w:eastAsia="Times New Roman" w:cs="Times New Roman"/>
        </w:rPr>
        <w:tab/>
      </w:r>
    </w:p>
    <w:p w14:paraId="01B5FF30" w14:textId="77777777" w:rsidR="00A52778" w:rsidRPr="00460F9E" w:rsidRDefault="00A52778" w:rsidP="00A52778">
      <w:pPr>
        <w:tabs>
          <w:tab w:val="left" w:pos="2440"/>
        </w:tabs>
        <w:spacing w:line="0" w:lineRule="atLeast"/>
        <w:ind w:left="120"/>
        <w:rPr>
          <w:rFonts w:eastAsia="Times New Roman" w:cs="Times New Roman"/>
          <w:b/>
          <w:color w:val="0000FF"/>
        </w:rPr>
        <w:sectPr w:rsidR="00A52778" w:rsidRPr="00460F9E">
          <w:type w:val="continuous"/>
          <w:pgSz w:w="11900" w:h="16838"/>
          <w:pgMar w:top="707" w:right="1440" w:bottom="145" w:left="1020" w:header="0" w:footer="0" w:gutter="0"/>
          <w:cols w:space="0" w:equalWidth="0">
            <w:col w:w="9446"/>
          </w:cols>
          <w:docGrid w:linePitch="360"/>
        </w:sectPr>
      </w:pPr>
    </w:p>
    <w:p w14:paraId="3E0B7F86" w14:textId="77777777" w:rsidR="00A52778" w:rsidRPr="00460F9E" w:rsidRDefault="00A52778" w:rsidP="00A52778">
      <w:pPr>
        <w:spacing w:line="0" w:lineRule="atLeast"/>
        <w:ind w:left="8480"/>
        <w:rPr>
          <w:rFonts w:eastAsia="Times New Roman" w:cs="Times New Roman"/>
          <w:b/>
          <w:color w:val="0000FF"/>
        </w:rPr>
      </w:pPr>
      <w:bookmarkStart w:id="322" w:name="page305"/>
      <w:bookmarkEnd w:id="322"/>
    </w:p>
    <w:p w14:paraId="5A27FC2A" w14:textId="77777777" w:rsidR="00A52778" w:rsidRPr="00460F9E" w:rsidRDefault="00A52778" w:rsidP="00A52778">
      <w:pPr>
        <w:spacing w:line="20" w:lineRule="exact"/>
        <w:rPr>
          <w:rFonts w:eastAsia="Times New Roman" w:cs="Times New Roman"/>
          <w:b/>
        </w:rPr>
      </w:pPr>
    </w:p>
    <w:p w14:paraId="4B01C8D9" w14:textId="77777777" w:rsidR="00A52778" w:rsidRPr="00357659" w:rsidRDefault="00A52778" w:rsidP="00A52778">
      <w:pPr>
        <w:pStyle w:val="GvdeMetni"/>
        <w:rPr>
          <w:rFonts w:eastAsia="Arial"/>
        </w:rPr>
      </w:pPr>
      <w:r>
        <w:rPr>
          <w:rFonts w:eastAsia="Arial"/>
        </w:rPr>
        <w:t>2</w:t>
      </w:r>
      <w:r w:rsidRPr="00357659">
        <w:rPr>
          <w:rFonts w:eastAsia="Arial"/>
        </w:rPr>
        <w:t>.1.3.4</w:t>
      </w:r>
      <w:r w:rsidRPr="00357659">
        <w:tab/>
      </w:r>
      <w:r w:rsidRPr="00357659">
        <w:rPr>
          <w:rFonts w:eastAsia="Arial"/>
        </w:rPr>
        <w:t>Toz (PM</w:t>
      </w:r>
      <w:r w:rsidRPr="00357659">
        <w:rPr>
          <w:rFonts w:eastAsia="Arial"/>
          <w:vertAlign w:val="subscript"/>
        </w:rPr>
        <w:t>10</w:t>
      </w:r>
      <w:r w:rsidRPr="00357659">
        <w:rPr>
          <w:rFonts w:eastAsia="Arial"/>
        </w:rPr>
        <w:t xml:space="preserve"> ve PM</w:t>
      </w:r>
      <w:r w:rsidRPr="00357659">
        <w:rPr>
          <w:rFonts w:eastAsia="Arial"/>
          <w:vertAlign w:val="subscript"/>
        </w:rPr>
        <w:t>2.5</w:t>
      </w:r>
      <w:r w:rsidRPr="00357659">
        <w:rPr>
          <w:rFonts w:eastAsia="Arial"/>
        </w:rPr>
        <w:t xml:space="preserve"> dahil) ve partikül bağlı metaller</w:t>
      </w:r>
    </w:p>
    <w:p w14:paraId="1E8314C3" w14:textId="77777777" w:rsidR="00A52778" w:rsidRPr="00460F9E" w:rsidRDefault="00A52778" w:rsidP="00A52778">
      <w:pPr>
        <w:spacing w:line="200" w:lineRule="exact"/>
        <w:rPr>
          <w:rFonts w:eastAsia="Times New Roman" w:cs="Times New Roman"/>
          <w:b/>
        </w:rPr>
      </w:pPr>
    </w:p>
    <w:p w14:paraId="25C02DD8" w14:textId="77777777" w:rsidR="00A52778" w:rsidRPr="00357659" w:rsidRDefault="00A52778" w:rsidP="00A52778">
      <w:r>
        <w:t>MET 13:</w:t>
      </w:r>
      <w:r w:rsidRPr="00357659">
        <w:t xml:space="preserve"> Kaynak verimini artırmak ve nihai atık gaz arıtımına gönderilen toz ve partikül bağlı metallerin kütle akışını azaltmak için MET, aşağıda verilen tekniklerden birini veya bir kombinasyonunu kullanarak proses çıkış gazlarından maddeleri geri kazanmak ve bunları yeniden kullanmaktır.</w:t>
      </w:r>
    </w:p>
    <w:p w14:paraId="58AB895D" w14:textId="77777777" w:rsidR="00A52778" w:rsidRPr="00460F9E" w:rsidRDefault="00A52778" w:rsidP="00A52778">
      <w:pPr>
        <w:spacing w:line="200" w:lineRule="exact"/>
        <w:rPr>
          <w:rFonts w:eastAsia="Times New Roman" w:cs="Times New Roman"/>
          <w:b/>
        </w:rPr>
      </w:pPr>
    </w:p>
    <w:p w14:paraId="47C1A314" w14:textId="77777777" w:rsidR="00A52778" w:rsidRPr="00460F9E" w:rsidRDefault="00A52778" w:rsidP="00A52778">
      <w:pPr>
        <w:spacing w:line="332" w:lineRule="exact"/>
        <w:rPr>
          <w:rFonts w:eastAsia="Times New Roman" w:cs="Times New Roman"/>
          <w:b/>
        </w:rPr>
      </w:pPr>
    </w:p>
    <w:tbl>
      <w:tblPr>
        <w:tblW w:w="0" w:type="auto"/>
        <w:tblInd w:w="730" w:type="dxa"/>
        <w:tblLayout w:type="fixed"/>
        <w:tblCellMar>
          <w:left w:w="0" w:type="dxa"/>
          <w:right w:w="0" w:type="dxa"/>
        </w:tblCellMar>
        <w:tblLook w:val="0000" w:firstRow="0" w:lastRow="0" w:firstColumn="0" w:lastColumn="0" w:noHBand="0" w:noVBand="0"/>
      </w:tblPr>
      <w:tblGrid>
        <w:gridCol w:w="400"/>
        <w:gridCol w:w="3800"/>
        <w:gridCol w:w="4560"/>
      </w:tblGrid>
      <w:tr w:rsidR="00A52778" w:rsidRPr="00460F9E" w14:paraId="4B41CB0F" w14:textId="77777777" w:rsidTr="00FC3F8E">
        <w:trPr>
          <w:trHeight w:val="299"/>
        </w:trPr>
        <w:tc>
          <w:tcPr>
            <w:tcW w:w="400" w:type="dxa"/>
            <w:tcBorders>
              <w:top w:val="single" w:sz="8" w:space="0" w:color="auto"/>
              <w:left w:val="single" w:sz="8" w:space="0" w:color="auto"/>
            </w:tcBorders>
            <w:shd w:val="clear" w:color="auto" w:fill="auto"/>
            <w:vAlign w:val="bottom"/>
          </w:tcPr>
          <w:p w14:paraId="6A9A1E7D" w14:textId="77777777" w:rsidR="00A52778" w:rsidRPr="00460F9E" w:rsidRDefault="00A52778" w:rsidP="00FC3F8E">
            <w:pPr>
              <w:spacing w:line="0" w:lineRule="atLeast"/>
              <w:rPr>
                <w:rFonts w:eastAsia="Times New Roman" w:cs="Times New Roman"/>
                <w:b/>
              </w:rPr>
            </w:pPr>
          </w:p>
        </w:tc>
        <w:tc>
          <w:tcPr>
            <w:tcW w:w="3800" w:type="dxa"/>
            <w:tcBorders>
              <w:top w:val="single" w:sz="8" w:space="0" w:color="auto"/>
              <w:right w:val="single" w:sz="8" w:space="0" w:color="auto"/>
            </w:tcBorders>
            <w:shd w:val="clear" w:color="auto" w:fill="auto"/>
            <w:vAlign w:val="bottom"/>
          </w:tcPr>
          <w:p w14:paraId="359094A7" w14:textId="77777777" w:rsidR="00A52778" w:rsidRPr="00357659" w:rsidRDefault="00A52778" w:rsidP="00FC3F8E">
            <w:pPr>
              <w:spacing w:line="0" w:lineRule="atLeast"/>
              <w:ind w:left="1240"/>
              <w:rPr>
                <w:rFonts w:eastAsia="Times New Roman" w:cs="Times New Roman"/>
              </w:rPr>
            </w:pPr>
            <w:r w:rsidRPr="00357659">
              <w:rPr>
                <w:rFonts w:eastAsia="Times New Roman" w:cs="Times New Roman"/>
              </w:rPr>
              <w:t>Teknikler</w:t>
            </w:r>
          </w:p>
        </w:tc>
        <w:tc>
          <w:tcPr>
            <w:tcW w:w="4560" w:type="dxa"/>
            <w:tcBorders>
              <w:top w:val="single" w:sz="8" w:space="0" w:color="auto"/>
              <w:right w:val="single" w:sz="8" w:space="0" w:color="auto"/>
            </w:tcBorders>
            <w:shd w:val="clear" w:color="auto" w:fill="auto"/>
            <w:vAlign w:val="bottom"/>
          </w:tcPr>
          <w:p w14:paraId="06A38C16" w14:textId="77777777" w:rsidR="00A52778" w:rsidRPr="00357659" w:rsidRDefault="00A52778" w:rsidP="00FC3F8E">
            <w:pPr>
              <w:spacing w:line="0" w:lineRule="atLeast"/>
              <w:ind w:left="1760"/>
              <w:rPr>
                <w:rFonts w:eastAsia="Times New Roman" w:cs="Times New Roman"/>
              </w:rPr>
            </w:pPr>
            <w:r w:rsidRPr="00357659">
              <w:rPr>
                <w:rFonts w:eastAsia="Times New Roman" w:cs="Times New Roman"/>
              </w:rPr>
              <w:t>Tanımlamalar</w:t>
            </w:r>
          </w:p>
        </w:tc>
      </w:tr>
      <w:tr w:rsidR="00A52778" w:rsidRPr="00460F9E" w14:paraId="4FCD85DB" w14:textId="77777777" w:rsidTr="00FC3F8E">
        <w:trPr>
          <w:trHeight w:val="61"/>
        </w:trPr>
        <w:tc>
          <w:tcPr>
            <w:tcW w:w="400" w:type="dxa"/>
            <w:tcBorders>
              <w:left w:val="single" w:sz="8" w:space="0" w:color="auto"/>
              <w:bottom w:val="single" w:sz="8" w:space="0" w:color="auto"/>
            </w:tcBorders>
            <w:shd w:val="clear" w:color="auto" w:fill="auto"/>
            <w:vAlign w:val="bottom"/>
          </w:tcPr>
          <w:p w14:paraId="3617D897" w14:textId="77777777" w:rsidR="00A52778" w:rsidRPr="00460F9E" w:rsidRDefault="00A52778" w:rsidP="00FC3F8E">
            <w:pPr>
              <w:spacing w:line="0" w:lineRule="atLeast"/>
              <w:rPr>
                <w:rFonts w:eastAsia="Times New Roman" w:cs="Times New Roman"/>
                <w:b/>
                <w:sz w:val="5"/>
              </w:rPr>
            </w:pPr>
          </w:p>
        </w:tc>
        <w:tc>
          <w:tcPr>
            <w:tcW w:w="3800" w:type="dxa"/>
            <w:tcBorders>
              <w:bottom w:val="single" w:sz="8" w:space="0" w:color="auto"/>
              <w:right w:val="single" w:sz="8" w:space="0" w:color="auto"/>
            </w:tcBorders>
            <w:shd w:val="clear" w:color="auto" w:fill="auto"/>
            <w:vAlign w:val="bottom"/>
          </w:tcPr>
          <w:p w14:paraId="4BDCE009" w14:textId="77777777" w:rsidR="00A52778" w:rsidRPr="00460F9E" w:rsidRDefault="00A52778" w:rsidP="00FC3F8E">
            <w:pPr>
              <w:spacing w:line="0" w:lineRule="atLeast"/>
              <w:rPr>
                <w:rFonts w:eastAsia="Times New Roman" w:cs="Times New Roman"/>
                <w:b/>
                <w:sz w:val="5"/>
              </w:rPr>
            </w:pPr>
          </w:p>
        </w:tc>
        <w:tc>
          <w:tcPr>
            <w:tcW w:w="4560" w:type="dxa"/>
            <w:tcBorders>
              <w:bottom w:val="single" w:sz="8" w:space="0" w:color="auto"/>
              <w:right w:val="single" w:sz="8" w:space="0" w:color="auto"/>
            </w:tcBorders>
            <w:shd w:val="clear" w:color="auto" w:fill="auto"/>
            <w:vAlign w:val="bottom"/>
          </w:tcPr>
          <w:p w14:paraId="738BA889" w14:textId="77777777" w:rsidR="00A52778" w:rsidRPr="00460F9E" w:rsidRDefault="00A52778" w:rsidP="00FC3F8E">
            <w:pPr>
              <w:spacing w:line="0" w:lineRule="atLeast"/>
              <w:rPr>
                <w:rFonts w:eastAsia="Times New Roman" w:cs="Times New Roman"/>
                <w:b/>
                <w:sz w:val="5"/>
              </w:rPr>
            </w:pPr>
          </w:p>
        </w:tc>
      </w:tr>
      <w:tr w:rsidR="00A52778" w:rsidRPr="00460F9E" w14:paraId="50E2752B" w14:textId="77777777" w:rsidTr="00FC3F8E">
        <w:trPr>
          <w:trHeight w:val="274"/>
        </w:trPr>
        <w:tc>
          <w:tcPr>
            <w:tcW w:w="400" w:type="dxa"/>
            <w:tcBorders>
              <w:left w:val="single" w:sz="8" w:space="0" w:color="auto"/>
              <w:right w:val="single" w:sz="8" w:space="0" w:color="auto"/>
            </w:tcBorders>
            <w:shd w:val="clear" w:color="auto" w:fill="auto"/>
            <w:vAlign w:val="bottom"/>
          </w:tcPr>
          <w:p w14:paraId="1A950697" w14:textId="77777777" w:rsidR="00A52778" w:rsidRPr="00357659" w:rsidRDefault="00A52778" w:rsidP="00FC3F8E">
            <w:pPr>
              <w:spacing w:line="0" w:lineRule="atLeast"/>
              <w:ind w:left="100"/>
              <w:rPr>
                <w:rFonts w:eastAsia="Times New Roman" w:cs="Times New Roman"/>
              </w:rPr>
            </w:pPr>
            <w:r w:rsidRPr="00357659">
              <w:rPr>
                <w:rFonts w:eastAsia="Times New Roman" w:cs="Times New Roman"/>
              </w:rPr>
              <w:t>a.</w:t>
            </w:r>
          </w:p>
        </w:tc>
        <w:tc>
          <w:tcPr>
            <w:tcW w:w="3800" w:type="dxa"/>
            <w:tcBorders>
              <w:right w:val="single" w:sz="8" w:space="0" w:color="auto"/>
            </w:tcBorders>
            <w:shd w:val="clear" w:color="auto" w:fill="auto"/>
            <w:vAlign w:val="bottom"/>
          </w:tcPr>
          <w:p w14:paraId="622A9523"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Siklon</w:t>
            </w:r>
          </w:p>
        </w:tc>
        <w:tc>
          <w:tcPr>
            <w:tcW w:w="4560" w:type="dxa"/>
            <w:tcBorders>
              <w:right w:val="single" w:sz="8" w:space="0" w:color="auto"/>
            </w:tcBorders>
            <w:shd w:val="clear" w:color="auto" w:fill="auto"/>
            <w:vAlign w:val="bottom"/>
          </w:tcPr>
          <w:p w14:paraId="16A84818"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r>
      <w:tr w:rsidR="00A52778" w:rsidRPr="00460F9E" w14:paraId="6B603950" w14:textId="77777777" w:rsidTr="00FC3F8E">
        <w:trPr>
          <w:trHeight w:val="66"/>
        </w:trPr>
        <w:tc>
          <w:tcPr>
            <w:tcW w:w="400" w:type="dxa"/>
            <w:tcBorders>
              <w:left w:val="single" w:sz="8" w:space="0" w:color="auto"/>
              <w:bottom w:val="single" w:sz="8" w:space="0" w:color="auto"/>
              <w:right w:val="single" w:sz="8" w:space="0" w:color="auto"/>
            </w:tcBorders>
            <w:shd w:val="clear" w:color="auto" w:fill="auto"/>
            <w:vAlign w:val="bottom"/>
          </w:tcPr>
          <w:p w14:paraId="1AB5D228" w14:textId="77777777" w:rsidR="00A52778" w:rsidRPr="00357659" w:rsidRDefault="00A52778" w:rsidP="00FC3F8E">
            <w:pPr>
              <w:spacing w:line="0" w:lineRule="atLeast"/>
              <w:rPr>
                <w:rFonts w:eastAsia="Times New Roman" w:cs="Times New Roman"/>
                <w:sz w:val="5"/>
              </w:rPr>
            </w:pPr>
          </w:p>
        </w:tc>
        <w:tc>
          <w:tcPr>
            <w:tcW w:w="3800" w:type="dxa"/>
            <w:tcBorders>
              <w:bottom w:val="single" w:sz="8" w:space="0" w:color="auto"/>
              <w:right w:val="single" w:sz="8" w:space="0" w:color="auto"/>
            </w:tcBorders>
            <w:shd w:val="clear" w:color="auto" w:fill="auto"/>
            <w:vAlign w:val="bottom"/>
          </w:tcPr>
          <w:p w14:paraId="4C4C12B6" w14:textId="77777777" w:rsidR="00A52778" w:rsidRPr="00460F9E" w:rsidRDefault="00A52778" w:rsidP="00FC3F8E">
            <w:pPr>
              <w:spacing w:line="0" w:lineRule="atLeast"/>
              <w:rPr>
                <w:rFonts w:eastAsia="Times New Roman" w:cs="Times New Roman"/>
                <w:b/>
                <w:sz w:val="5"/>
              </w:rPr>
            </w:pPr>
          </w:p>
        </w:tc>
        <w:tc>
          <w:tcPr>
            <w:tcW w:w="4560" w:type="dxa"/>
            <w:tcBorders>
              <w:bottom w:val="single" w:sz="8" w:space="0" w:color="auto"/>
              <w:right w:val="single" w:sz="8" w:space="0" w:color="auto"/>
            </w:tcBorders>
            <w:shd w:val="clear" w:color="auto" w:fill="auto"/>
            <w:vAlign w:val="bottom"/>
          </w:tcPr>
          <w:p w14:paraId="1D76A337" w14:textId="77777777" w:rsidR="00A52778" w:rsidRPr="00460F9E" w:rsidRDefault="00A52778" w:rsidP="00FC3F8E">
            <w:pPr>
              <w:spacing w:line="0" w:lineRule="atLeast"/>
              <w:rPr>
                <w:rFonts w:eastAsia="Times New Roman" w:cs="Times New Roman"/>
                <w:b/>
                <w:sz w:val="5"/>
              </w:rPr>
            </w:pPr>
          </w:p>
        </w:tc>
      </w:tr>
      <w:tr w:rsidR="00A52778" w:rsidRPr="00460F9E" w14:paraId="7CE01D21" w14:textId="77777777" w:rsidTr="00FC3F8E">
        <w:trPr>
          <w:trHeight w:val="274"/>
        </w:trPr>
        <w:tc>
          <w:tcPr>
            <w:tcW w:w="400" w:type="dxa"/>
            <w:tcBorders>
              <w:left w:val="single" w:sz="8" w:space="0" w:color="auto"/>
              <w:right w:val="single" w:sz="8" w:space="0" w:color="auto"/>
            </w:tcBorders>
            <w:shd w:val="clear" w:color="auto" w:fill="auto"/>
            <w:vAlign w:val="bottom"/>
          </w:tcPr>
          <w:p w14:paraId="6583A513" w14:textId="77777777" w:rsidR="00A52778" w:rsidRPr="00357659" w:rsidRDefault="00A52778" w:rsidP="00FC3F8E">
            <w:pPr>
              <w:spacing w:line="0" w:lineRule="atLeast"/>
              <w:ind w:left="100"/>
              <w:rPr>
                <w:rFonts w:eastAsia="Times New Roman" w:cs="Times New Roman"/>
              </w:rPr>
            </w:pPr>
            <w:r w:rsidRPr="00357659">
              <w:rPr>
                <w:rFonts w:eastAsia="Times New Roman" w:cs="Times New Roman"/>
              </w:rPr>
              <w:t>b.</w:t>
            </w:r>
          </w:p>
        </w:tc>
        <w:tc>
          <w:tcPr>
            <w:tcW w:w="3800" w:type="dxa"/>
            <w:tcBorders>
              <w:right w:val="single" w:sz="8" w:space="0" w:color="auto"/>
            </w:tcBorders>
            <w:shd w:val="clear" w:color="auto" w:fill="auto"/>
            <w:vAlign w:val="bottom"/>
          </w:tcPr>
          <w:p w14:paraId="0660C337"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Kumaş filtre</w:t>
            </w:r>
          </w:p>
        </w:tc>
        <w:tc>
          <w:tcPr>
            <w:tcW w:w="4560" w:type="dxa"/>
            <w:tcBorders>
              <w:right w:val="single" w:sz="8" w:space="0" w:color="auto"/>
            </w:tcBorders>
            <w:shd w:val="clear" w:color="auto" w:fill="auto"/>
            <w:vAlign w:val="bottom"/>
          </w:tcPr>
          <w:p w14:paraId="492DCB61"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r>
      <w:tr w:rsidR="00A52778" w:rsidRPr="00460F9E" w14:paraId="380EA6AC" w14:textId="77777777" w:rsidTr="00FC3F8E">
        <w:trPr>
          <w:trHeight w:val="66"/>
        </w:trPr>
        <w:tc>
          <w:tcPr>
            <w:tcW w:w="400" w:type="dxa"/>
            <w:tcBorders>
              <w:left w:val="single" w:sz="8" w:space="0" w:color="auto"/>
              <w:bottom w:val="single" w:sz="8" w:space="0" w:color="auto"/>
              <w:right w:val="single" w:sz="8" w:space="0" w:color="auto"/>
            </w:tcBorders>
            <w:shd w:val="clear" w:color="auto" w:fill="auto"/>
            <w:vAlign w:val="bottom"/>
          </w:tcPr>
          <w:p w14:paraId="3CCA7379" w14:textId="77777777" w:rsidR="00A52778" w:rsidRPr="00357659" w:rsidRDefault="00A52778" w:rsidP="00FC3F8E">
            <w:pPr>
              <w:spacing w:line="0" w:lineRule="atLeast"/>
              <w:rPr>
                <w:rFonts w:eastAsia="Times New Roman" w:cs="Times New Roman"/>
                <w:sz w:val="5"/>
              </w:rPr>
            </w:pPr>
          </w:p>
        </w:tc>
        <w:tc>
          <w:tcPr>
            <w:tcW w:w="3800" w:type="dxa"/>
            <w:tcBorders>
              <w:bottom w:val="single" w:sz="8" w:space="0" w:color="auto"/>
              <w:right w:val="single" w:sz="8" w:space="0" w:color="auto"/>
            </w:tcBorders>
            <w:shd w:val="clear" w:color="auto" w:fill="auto"/>
            <w:vAlign w:val="bottom"/>
          </w:tcPr>
          <w:p w14:paraId="3DBCC5CB" w14:textId="77777777" w:rsidR="00A52778" w:rsidRPr="00460F9E" w:rsidRDefault="00A52778" w:rsidP="00FC3F8E">
            <w:pPr>
              <w:spacing w:line="0" w:lineRule="atLeast"/>
              <w:rPr>
                <w:rFonts w:eastAsia="Times New Roman" w:cs="Times New Roman"/>
                <w:b/>
                <w:sz w:val="5"/>
              </w:rPr>
            </w:pPr>
          </w:p>
        </w:tc>
        <w:tc>
          <w:tcPr>
            <w:tcW w:w="4560" w:type="dxa"/>
            <w:tcBorders>
              <w:bottom w:val="single" w:sz="8" w:space="0" w:color="auto"/>
              <w:right w:val="single" w:sz="8" w:space="0" w:color="auto"/>
            </w:tcBorders>
            <w:shd w:val="clear" w:color="auto" w:fill="auto"/>
            <w:vAlign w:val="bottom"/>
          </w:tcPr>
          <w:p w14:paraId="0DFCD89D" w14:textId="77777777" w:rsidR="00A52778" w:rsidRPr="00460F9E" w:rsidRDefault="00A52778" w:rsidP="00FC3F8E">
            <w:pPr>
              <w:spacing w:line="0" w:lineRule="atLeast"/>
              <w:rPr>
                <w:rFonts w:eastAsia="Times New Roman" w:cs="Times New Roman"/>
                <w:b/>
                <w:sz w:val="5"/>
              </w:rPr>
            </w:pPr>
          </w:p>
        </w:tc>
      </w:tr>
      <w:tr w:rsidR="00A52778" w:rsidRPr="00460F9E" w14:paraId="10C1D459" w14:textId="77777777" w:rsidTr="00FC3F8E">
        <w:trPr>
          <w:trHeight w:val="341"/>
        </w:trPr>
        <w:tc>
          <w:tcPr>
            <w:tcW w:w="400" w:type="dxa"/>
            <w:tcBorders>
              <w:left w:val="single" w:sz="8" w:space="0" w:color="auto"/>
              <w:right w:val="single" w:sz="8" w:space="0" w:color="auto"/>
            </w:tcBorders>
            <w:shd w:val="clear" w:color="auto" w:fill="auto"/>
            <w:vAlign w:val="bottom"/>
          </w:tcPr>
          <w:p w14:paraId="251CF1B2" w14:textId="77777777" w:rsidR="00A52778" w:rsidRPr="00357659" w:rsidRDefault="00A52778" w:rsidP="00FC3F8E">
            <w:pPr>
              <w:spacing w:line="0" w:lineRule="atLeast"/>
              <w:ind w:left="100"/>
              <w:rPr>
                <w:rFonts w:eastAsia="Times New Roman" w:cs="Times New Roman"/>
              </w:rPr>
            </w:pPr>
            <w:r w:rsidRPr="00357659">
              <w:rPr>
                <w:rFonts w:eastAsia="Times New Roman" w:cs="Times New Roman"/>
              </w:rPr>
              <w:t>c.</w:t>
            </w:r>
          </w:p>
        </w:tc>
        <w:tc>
          <w:tcPr>
            <w:tcW w:w="3800" w:type="dxa"/>
            <w:tcBorders>
              <w:right w:val="single" w:sz="8" w:space="0" w:color="auto"/>
            </w:tcBorders>
            <w:shd w:val="clear" w:color="auto" w:fill="auto"/>
            <w:vAlign w:val="bottom"/>
          </w:tcPr>
          <w:p w14:paraId="62711201"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Absorpsiyon</w:t>
            </w:r>
          </w:p>
        </w:tc>
        <w:tc>
          <w:tcPr>
            <w:tcW w:w="4560" w:type="dxa"/>
            <w:tcBorders>
              <w:right w:val="single" w:sz="8" w:space="0" w:color="auto"/>
            </w:tcBorders>
            <w:shd w:val="clear" w:color="auto" w:fill="auto"/>
            <w:vAlign w:val="bottom"/>
          </w:tcPr>
          <w:p w14:paraId="26CC9020"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r>
      <w:tr w:rsidR="00A52778" w:rsidRPr="00460F9E" w14:paraId="791F9C9F" w14:textId="77777777" w:rsidTr="00FC3F8E">
        <w:trPr>
          <w:trHeight w:val="136"/>
        </w:trPr>
        <w:tc>
          <w:tcPr>
            <w:tcW w:w="400" w:type="dxa"/>
            <w:tcBorders>
              <w:left w:val="single" w:sz="8" w:space="0" w:color="auto"/>
              <w:bottom w:val="single" w:sz="8" w:space="0" w:color="auto"/>
              <w:right w:val="single" w:sz="8" w:space="0" w:color="auto"/>
            </w:tcBorders>
            <w:shd w:val="clear" w:color="auto" w:fill="auto"/>
            <w:vAlign w:val="bottom"/>
          </w:tcPr>
          <w:p w14:paraId="76FC2110" w14:textId="77777777" w:rsidR="00A52778" w:rsidRPr="00460F9E" w:rsidRDefault="00A52778" w:rsidP="00FC3F8E">
            <w:pPr>
              <w:spacing w:line="0" w:lineRule="atLeast"/>
              <w:rPr>
                <w:rFonts w:eastAsia="Times New Roman" w:cs="Times New Roman"/>
                <w:b/>
                <w:sz w:val="11"/>
              </w:rPr>
            </w:pPr>
          </w:p>
        </w:tc>
        <w:tc>
          <w:tcPr>
            <w:tcW w:w="3800" w:type="dxa"/>
            <w:tcBorders>
              <w:bottom w:val="single" w:sz="8" w:space="0" w:color="auto"/>
              <w:right w:val="single" w:sz="8" w:space="0" w:color="auto"/>
            </w:tcBorders>
            <w:shd w:val="clear" w:color="auto" w:fill="auto"/>
            <w:vAlign w:val="bottom"/>
          </w:tcPr>
          <w:p w14:paraId="418D4EA2" w14:textId="77777777" w:rsidR="00A52778" w:rsidRPr="00460F9E" w:rsidRDefault="00A52778" w:rsidP="00FC3F8E">
            <w:pPr>
              <w:spacing w:line="0" w:lineRule="atLeast"/>
              <w:rPr>
                <w:rFonts w:eastAsia="Times New Roman" w:cs="Times New Roman"/>
                <w:b/>
                <w:sz w:val="11"/>
              </w:rPr>
            </w:pPr>
          </w:p>
        </w:tc>
        <w:tc>
          <w:tcPr>
            <w:tcW w:w="4560" w:type="dxa"/>
            <w:tcBorders>
              <w:bottom w:val="single" w:sz="8" w:space="0" w:color="auto"/>
              <w:right w:val="single" w:sz="8" w:space="0" w:color="auto"/>
            </w:tcBorders>
            <w:shd w:val="clear" w:color="auto" w:fill="auto"/>
            <w:vAlign w:val="bottom"/>
          </w:tcPr>
          <w:p w14:paraId="650E8560" w14:textId="77777777" w:rsidR="00A52778" w:rsidRPr="00460F9E" w:rsidRDefault="00A52778" w:rsidP="00FC3F8E">
            <w:pPr>
              <w:spacing w:line="0" w:lineRule="atLeast"/>
              <w:rPr>
                <w:rFonts w:eastAsia="Times New Roman" w:cs="Times New Roman"/>
                <w:b/>
                <w:sz w:val="11"/>
              </w:rPr>
            </w:pPr>
          </w:p>
        </w:tc>
      </w:tr>
    </w:tbl>
    <w:p w14:paraId="4CC87D6A" w14:textId="77777777" w:rsidR="00A52778" w:rsidRPr="00460F9E" w:rsidRDefault="00A52778" w:rsidP="00A52778">
      <w:pPr>
        <w:spacing w:line="200" w:lineRule="exact"/>
        <w:rPr>
          <w:rFonts w:eastAsia="Times New Roman" w:cs="Times New Roman"/>
          <w:b/>
        </w:rPr>
      </w:pPr>
    </w:p>
    <w:p w14:paraId="42803CE0" w14:textId="77777777" w:rsidR="00A52778" w:rsidRPr="00460F9E" w:rsidRDefault="00A52778" w:rsidP="00A52778">
      <w:pPr>
        <w:spacing w:line="302" w:lineRule="exact"/>
        <w:rPr>
          <w:rFonts w:eastAsia="Times New Roman" w:cs="Times New Roman"/>
          <w:b/>
        </w:rPr>
      </w:pPr>
    </w:p>
    <w:p w14:paraId="4CAC3065" w14:textId="77777777" w:rsidR="00A52778" w:rsidRPr="00357659" w:rsidRDefault="00A52778" w:rsidP="00A52778">
      <w:pPr>
        <w:spacing w:line="0" w:lineRule="atLeast"/>
        <w:rPr>
          <w:rFonts w:eastAsia="Times New Roman" w:cs="Times New Roman"/>
        </w:rPr>
      </w:pPr>
      <w:r w:rsidRPr="00357659">
        <w:rPr>
          <w:rFonts w:eastAsia="Times New Roman" w:cs="Times New Roman"/>
        </w:rPr>
        <w:t>Uygulanabilirlik</w:t>
      </w:r>
    </w:p>
    <w:p w14:paraId="04C9766D" w14:textId="77777777" w:rsidR="00A52778" w:rsidRPr="00460F9E" w:rsidRDefault="00A52778" w:rsidP="00A52778">
      <w:pPr>
        <w:spacing w:line="8" w:lineRule="exact"/>
        <w:rPr>
          <w:rFonts w:eastAsia="Times New Roman" w:cs="Times New Roman"/>
          <w:b/>
        </w:rPr>
      </w:pPr>
    </w:p>
    <w:p w14:paraId="3FD0DE02" w14:textId="77777777" w:rsidR="00A52778" w:rsidRPr="00460F9E" w:rsidRDefault="00A52778" w:rsidP="00A52778">
      <w:pPr>
        <w:spacing w:line="234" w:lineRule="auto"/>
        <w:ind w:right="100"/>
        <w:rPr>
          <w:rFonts w:eastAsia="Times New Roman" w:cs="Times New Roman"/>
          <w:b/>
        </w:rPr>
      </w:pPr>
      <w:r w:rsidRPr="00460F9E">
        <w:rPr>
          <w:rFonts w:eastAsia="Times New Roman" w:cs="Times New Roman"/>
        </w:rPr>
        <w:t>Toz arıtma veya dekontaminasyon için enerji talebinin aşırı olduğu durumlarda geri kazanım kısıtlanabilir. Ürün kalitesi spesifikasyonları nedeniyle yeniden kullanım kısıtlanabilir.</w:t>
      </w:r>
    </w:p>
    <w:p w14:paraId="4AE1C539" w14:textId="77777777" w:rsidR="00A52778" w:rsidRPr="00460F9E" w:rsidRDefault="00A52778" w:rsidP="00A52778">
      <w:pPr>
        <w:spacing w:line="200" w:lineRule="exact"/>
        <w:rPr>
          <w:rFonts w:eastAsia="Times New Roman" w:cs="Times New Roman"/>
          <w:b/>
        </w:rPr>
      </w:pPr>
    </w:p>
    <w:p w14:paraId="5257F505" w14:textId="77777777" w:rsidR="00A52778" w:rsidRPr="00460F9E" w:rsidRDefault="00A52778" w:rsidP="00A52778"/>
    <w:p w14:paraId="135FAE71" w14:textId="77777777" w:rsidR="00A52778" w:rsidRPr="00460F9E" w:rsidRDefault="00A52778" w:rsidP="00A52778">
      <w:r w:rsidRPr="00357659">
        <w:t>MET 14. Toz ve partiküllere bağlı metallerin havaya kanalize edilen emisyonlarını azaltmak için MET, aşağıda verilen tekniklerden birini veya bir kombinasyonunu kullanmaktır</w:t>
      </w:r>
      <w:r w:rsidRPr="00460F9E">
        <w:t>.</w:t>
      </w:r>
    </w:p>
    <w:p w14:paraId="58B3CE8F" w14:textId="77777777" w:rsidR="00A52778" w:rsidRPr="00460F9E" w:rsidRDefault="00A52778" w:rsidP="00A52778">
      <w:pPr>
        <w:spacing w:line="200" w:lineRule="exact"/>
        <w:rPr>
          <w:rFonts w:eastAsia="Times New Roman" w:cs="Times New Roman"/>
          <w:b/>
        </w:rPr>
      </w:pPr>
    </w:p>
    <w:p w14:paraId="050835EB" w14:textId="77777777" w:rsidR="00A52778" w:rsidRPr="00460F9E" w:rsidRDefault="00A52778" w:rsidP="00A52778">
      <w:pPr>
        <w:spacing w:line="329" w:lineRule="exact"/>
        <w:rPr>
          <w:rFonts w:eastAsia="Times New Roman" w:cs="Times New Roman"/>
          <w:b/>
        </w:rPr>
      </w:pPr>
    </w:p>
    <w:tbl>
      <w:tblPr>
        <w:tblW w:w="0" w:type="auto"/>
        <w:tblInd w:w="770" w:type="dxa"/>
        <w:tblLayout w:type="fixed"/>
        <w:tblCellMar>
          <w:left w:w="0" w:type="dxa"/>
          <w:right w:w="0" w:type="dxa"/>
        </w:tblCellMar>
        <w:tblLook w:val="0000" w:firstRow="0" w:lastRow="0" w:firstColumn="0" w:lastColumn="0" w:noHBand="0" w:noVBand="0"/>
      </w:tblPr>
      <w:tblGrid>
        <w:gridCol w:w="400"/>
        <w:gridCol w:w="2380"/>
        <w:gridCol w:w="1840"/>
        <w:gridCol w:w="4040"/>
      </w:tblGrid>
      <w:tr w:rsidR="00A52778" w:rsidRPr="00460F9E" w14:paraId="15AC08F7" w14:textId="77777777" w:rsidTr="00FC3F8E">
        <w:trPr>
          <w:trHeight w:val="239"/>
        </w:trPr>
        <w:tc>
          <w:tcPr>
            <w:tcW w:w="400" w:type="dxa"/>
            <w:tcBorders>
              <w:top w:val="single" w:sz="8" w:space="0" w:color="auto"/>
              <w:left w:val="single" w:sz="8" w:space="0" w:color="auto"/>
              <w:bottom w:val="single" w:sz="8" w:space="0" w:color="auto"/>
            </w:tcBorders>
            <w:shd w:val="clear" w:color="auto" w:fill="auto"/>
            <w:vAlign w:val="bottom"/>
          </w:tcPr>
          <w:p w14:paraId="2709366A" w14:textId="77777777" w:rsidR="00A52778" w:rsidRPr="00460F9E" w:rsidRDefault="00A52778" w:rsidP="00FC3F8E">
            <w:pPr>
              <w:spacing w:line="0" w:lineRule="atLeast"/>
              <w:rPr>
                <w:rFonts w:eastAsia="Times New Roman" w:cs="Times New Roman"/>
                <w:b/>
              </w:rPr>
            </w:pPr>
          </w:p>
        </w:tc>
        <w:tc>
          <w:tcPr>
            <w:tcW w:w="2380" w:type="dxa"/>
            <w:tcBorders>
              <w:top w:val="single" w:sz="8" w:space="0" w:color="auto"/>
              <w:bottom w:val="single" w:sz="8" w:space="0" w:color="auto"/>
              <w:right w:val="single" w:sz="8" w:space="0" w:color="auto"/>
            </w:tcBorders>
            <w:shd w:val="clear" w:color="auto" w:fill="auto"/>
            <w:vAlign w:val="bottom"/>
          </w:tcPr>
          <w:p w14:paraId="27794345" w14:textId="77777777" w:rsidR="00A52778" w:rsidRPr="00357659" w:rsidRDefault="00A52778" w:rsidP="00FC3F8E">
            <w:pPr>
              <w:spacing w:line="0" w:lineRule="atLeast"/>
              <w:ind w:left="540"/>
              <w:rPr>
                <w:rFonts w:eastAsia="Times New Roman" w:cs="Times New Roman"/>
              </w:rPr>
            </w:pPr>
            <w:r w:rsidRPr="00357659">
              <w:rPr>
                <w:rFonts w:eastAsia="Times New Roman" w:cs="Times New Roman"/>
              </w:rPr>
              <w:t>Teknikler</w:t>
            </w:r>
          </w:p>
        </w:tc>
        <w:tc>
          <w:tcPr>
            <w:tcW w:w="1840" w:type="dxa"/>
            <w:tcBorders>
              <w:top w:val="single" w:sz="8" w:space="0" w:color="auto"/>
              <w:bottom w:val="single" w:sz="8" w:space="0" w:color="auto"/>
              <w:right w:val="single" w:sz="8" w:space="0" w:color="auto"/>
            </w:tcBorders>
            <w:shd w:val="clear" w:color="auto" w:fill="auto"/>
            <w:vAlign w:val="bottom"/>
          </w:tcPr>
          <w:p w14:paraId="721681D5" w14:textId="77777777" w:rsidR="00A52778" w:rsidRPr="00357659" w:rsidRDefault="00A52778" w:rsidP="00FC3F8E">
            <w:pPr>
              <w:spacing w:line="0" w:lineRule="atLeast"/>
              <w:ind w:left="400"/>
              <w:rPr>
                <w:rFonts w:eastAsia="Times New Roman" w:cs="Times New Roman"/>
              </w:rPr>
            </w:pPr>
            <w:r w:rsidRPr="00357659">
              <w:rPr>
                <w:rFonts w:eastAsia="Times New Roman" w:cs="Times New Roman"/>
              </w:rPr>
              <w:t>Tanımlama</w:t>
            </w:r>
          </w:p>
        </w:tc>
        <w:tc>
          <w:tcPr>
            <w:tcW w:w="4040" w:type="dxa"/>
            <w:tcBorders>
              <w:top w:val="single" w:sz="8" w:space="0" w:color="auto"/>
              <w:bottom w:val="single" w:sz="8" w:space="0" w:color="auto"/>
              <w:right w:val="single" w:sz="8" w:space="0" w:color="auto"/>
            </w:tcBorders>
            <w:shd w:val="clear" w:color="auto" w:fill="auto"/>
            <w:vAlign w:val="bottom"/>
          </w:tcPr>
          <w:p w14:paraId="647FCB6D" w14:textId="77777777" w:rsidR="00A52778" w:rsidRPr="00357659" w:rsidRDefault="00A52778" w:rsidP="00FC3F8E">
            <w:pPr>
              <w:spacing w:line="0" w:lineRule="atLeast"/>
              <w:ind w:left="1440"/>
              <w:rPr>
                <w:rFonts w:eastAsia="Times New Roman" w:cs="Times New Roman"/>
              </w:rPr>
            </w:pPr>
            <w:r w:rsidRPr="00357659">
              <w:rPr>
                <w:rFonts w:eastAsia="Times New Roman" w:cs="Times New Roman"/>
              </w:rPr>
              <w:t>Uygulanabilirlik</w:t>
            </w:r>
          </w:p>
        </w:tc>
      </w:tr>
      <w:tr w:rsidR="00A52778" w:rsidRPr="00460F9E" w14:paraId="4E2A7792" w14:textId="77777777" w:rsidTr="00FC3F8E">
        <w:trPr>
          <w:trHeight w:val="215"/>
        </w:trPr>
        <w:tc>
          <w:tcPr>
            <w:tcW w:w="400" w:type="dxa"/>
            <w:tcBorders>
              <w:left w:val="single" w:sz="8" w:space="0" w:color="auto"/>
              <w:right w:val="single" w:sz="8" w:space="0" w:color="auto"/>
            </w:tcBorders>
            <w:shd w:val="clear" w:color="auto" w:fill="auto"/>
            <w:vAlign w:val="bottom"/>
          </w:tcPr>
          <w:p w14:paraId="03E0A295" w14:textId="77777777" w:rsidR="00A52778" w:rsidRPr="00460F9E" w:rsidRDefault="00A52778" w:rsidP="00FC3F8E">
            <w:pPr>
              <w:spacing w:line="0" w:lineRule="atLeast"/>
              <w:rPr>
                <w:rFonts w:eastAsia="Times New Roman" w:cs="Times New Roman"/>
                <w:b/>
                <w:sz w:val="18"/>
              </w:rPr>
            </w:pPr>
          </w:p>
        </w:tc>
        <w:tc>
          <w:tcPr>
            <w:tcW w:w="2380" w:type="dxa"/>
            <w:tcBorders>
              <w:right w:val="single" w:sz="8" w:space="0" w:color="auto"/>
            </w:tcBorders>
            <w:shd w:val="clear" w:color="auto" w:fill="auto"/>
            <w:vAlign w:val="bottom"/>
          </w:tcPr>
          <w:p w14:paraId="5BC9E01B" w14:textId="77777777" w:rsidR="00A52778" w:rsidRPr="00460F9E" w:rsidRDefault="00A52778" w:rsidP="00FC3F8E">
            <w:pPr>
              <w:spacing w:line="0" w:lineRule="atLeast"/>
              <w:rPr>
                <w:rFonts w:eastAsia="Times New Roman" w:cs="Times New Roman"/>
                <w:b/>
                <w:sz w:val="18"/>
              </w:rPr>
            </w:pPr>
          </w:p>
        </w:tc>
        <w:tc>
          <w:tcPr>
            <w:tcW w:w="1840" w:type="dxa"/>
            <w:tcBorders>
              <w:right w:val="single" w:sz="8" w:space="0" w:color="auto"/>
            </w:tcBorders>
            <w:shd w:val="clear" w:color="auto" w:fill="auto"/>
            <w:vAlign w:val="bottom"/>
          </w:tcPr>
          <w:p w14:paraId="6AA74B91" w14:textId="77777777" w:rsidR="00A52778" w:rsidRPr="00460F9E" w:rsidRDefault="00A52778" w:rsidP="00FC3F8E">
            <w:pPr>
              <w:spacing w:line="0" w:lineRule="atLeast"/>
              <w:rPr>
                <w:rFonts w:eastAsia="Times New Roman" w:cs="Times New Roman"/>
                <w:b/>
                <w:sz w:val="18"/>
              </w:rPr>
            </w:pPr>
          </w:p>
        </w:tc>
        <w:tc>
          <w:tcPr>
            <w:tcW w:w="4040" w:type="dxa"/>
            <w:vMerge w:val="restart"/>
            <w:tcBorders>
              <w:right w:val="single" w:sz="8" w:space="0" w:color="auto"/>
            </w:tcBorders>
            <w:shd w:val="clear" w:color="auto" w:fill="auto"/>
            <w:vAlign w:val="bottom"/>
          </w:tcPr>
          <w:p w14:paraId="2F0AD8C3"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Yapışkan toz durumunda veya atık gazların sıcaklığı çiğlenme noktasının altında olduğunda uygulanabilirliği sınırlı olabilir.</w:t>
            </w:r>
          </w:p>
        </w:tc>
      </w:tr>
      <w:tr w:rsidR="00A52778" w:rsidRPr="00460F9E" w14:paraId="4AFD7AF3" w14:textId="77777777" w:rsidTr="00FC3F8E">
        <w:trPr>
          <w:trHeight w:val="230"/>
        </w:trPr>
        <w:tc>
          <w:tcPr>
            <w:tcW w:w="400" w:type="dxa"/>
            <w:tcBorders>
              <w:left w:val="single" w:sz="8" w:space="0" w:color="auto"/>
              <w:right w:val="single" w:sz="8" w:space="0" w:color="auto"/>
            </w:tcBorders>
            <w:shd w:val="clear" w:color="auto" w:fill="auto"/>
            <w:vAlign w:val="bottom"/>
          </w:tcPr>
          <w:p w14:paraId="4E3A07DC"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a.</w:t>
            </w:r>
          </w:p>
        </w:tc>
        <w:tc>
          <w:tcPr>
            <w:tcW w:w="2380" w:type="dxa"/>
            <w:tcBorders>
              <w:right w:val="single" w:sz="8" w:space="0" w:color="auto"/>
            </w:tcBorders>
            <w:shd w:val="clear" w:color="auto" w:fill="auto"/>
            <w:vAlign w:val="bottom"/>
          </w:tcPr>
          <w:p w14:paraId="234C6B60"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Mutlak filtre</w:t>
            </w:r>
          </w:p>
        </w:tc>
        <w:tc>
          <w:tcPr>
            <w:tcW w:w="1840" w:type="dxa"/>
            <w:tcBorders>
              <w:right w:val="single" w:sz="8" w:space="0" w:color="auto"/>
            </w:tcBorders>
            <w:shd w:val="clear" w:color="auto" w:fill="auto"/>
            <w:vAlign w:val="bottom"/>
          </w:tcPr>
          <w:p w14:paraId="45BFFD4B"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4040" w:type="dxa"/>
            <w:vMerge/>
            <w:tcBorders>
              <w:right w:val="single" w:sz="8" w:space="0" w:color="auto"/>
            </w:tcBorders>
            <w:shd w:val="clear" w:color="auto" w:fill="auto"/>
            <w:vAlign w:val="bottom"/>
          </w:tcPr>
          <w:p w14:paraId="716501A8" w14:textId="77777777" w:rsidR="00A52778" w:rsidRPr="00460F9E" w:rsidRDefault="00A52778" w:rsidP="00FC3F8E">
            <w:pPr>
              <w:spacing w:line="0" w:lineRule="atLeast"/>
              <w:ind w:left="100"/>
              <w:rPr>
                <w:rFonts w:eastAsia="Times New Roman" w:cs="Times New Roman"/>
                <w:b/>
              </w:rPr>
            </w:pPr>
          </w:p>
        </w:tc>
      </w:tr>
      <w:tr w:rsidR="00A52778" w:rsidRPr="00460F9E" w14:paraId="5E1158F0" w14:textId="77777777" w:rsidTr="00FC3F8E">
        <w:trPr>
          <w:trHeight w:val="233"/>
        </w:trPr>
        <w:tc>
          <w:tcPr>
            <w:tcW w:w="400" w:type="dxa"/>
            <w:tcBorders>
              <w:left w:val="single" w:sz="8" w:space="0" w:color="auto"/>
              <w:bottom w:val="single" w:sz="8" w:space="0" w:color="auto"/>
              <w:right w:val="single" w:sz="8" w:space="0" w:color="auto"/>
            </w:tcBorders>
            <w:shd w:val="clear" w:color="auto" w:fill="auto"/>
            <w:vAlign w:val="bottom"/>
          </w:tcPr>
          <w:p w14:paraId="79628BEC" w14:textId="77777777" w:rsidR="00A52778" w:rsidRPr="00460F9E" w:rsidRDefault="00A52778" w:rsidP="00FC3F8E">
            <w:pPr>
              <w:spacing w:line="0" w:lineRule="atLeast"/>
              <w:rPr>
                <w:rFonts w:eastAsia="Times New Roman" w:cs="Times New Roman"/>
                <w:b/>
              </w:rPr>
            </w:pPr>
          </w:p>
        </w:tc>
        <w:tc>
          <w:tcPr>
            <w:tcW w:w="2380" w:type="dxa"/>
            <w:tcBorders>
              <w:bottom w:val="single" w:sz="8" w:space="0" w:color="auto"/>
              <w:right w:val="single" w:sz="8" w:space="0" w:color="auto"/>
            </w:tcBorders>
            <w:shd w:val="clear" w:color="auto" w:fill="auto"/>
            <w:vAlign w:val="bottom"/>
          </w:tcPr>
          <w:p w14:paraId="549EE028" w14:textId="77777777" w:rsidR="00A52778" w:rsidRPr="00460F9E" w:rsidRDefault="00A52778" w:rsidP="00FC3F8E">
            <w:pPr>
              <w:spacing w:line="0" w:lineRule="atLeast"/>
              <w:rPr>
                <w:rFonts w:eastAsia="Times New Roman" w:cs="Times New Roman"/>
                <w:b/>
              </w:rPr>
            </w:pPr>
          </w:p>
        </w:tc>
        <w:tc>
          <w:tcPr>
            <w:tcW w:w="1840" w:type="dxa"/>
            <w:tcBorders>
              <w:bottom w:val="single" w:sz="8" w:space="0" w:color="auto"/>
              <w:right w:val="single" w:sz="8" w:space="0" w:color="auto"/>
            </w:tcBorders>
            <w:shd w:val="clear" w:color="auto" w:fill="auto"/>
            <w:vAlign w:val="bottom"/>
          </w:tcPr>
          <w:p w14:paraId="6E0A4F72" w14:textId="77777777" w:rsidR="00A52778" w:rsidRPr="00460F9E" w:rsidRDefault="00A52778" w:rsidP="00FC3F8E">
            <w:pPr>
              <w:spacing w:line="0" w:lineRule="atLeast"/>
              <w:rPr>
                <w:rFonts w:eastAsia="Times New Roman" w:cs="Times New Roman"/>
                <w:b/>
              </w:rPr>
            </w:pPr>
          </w:p>
        </w:tc>
        <w:tc>
          <w:tcPr>
            <w:tcW w:w="4040" w:type="dxa"/>
            <w:vMerge/>
            <w:tcBorders>
              <w:bottom w:val="single" w:sz="8" w:space="0" w:color="auto"/>
              <w:right w:val="single" w:sz="8" w:space="0" w:color="auto"/>
            </w:tcBorders>
            <w:shd w:val="clear" w:color="auto" w:fill="auto"/>
            <w:vAlign w:val="bottom"/>
          </w:tcPr>
          <w:p w14:paraId="1C96BE5B" w14:textId="77777777" w:rsidR="00A52778" w:rsidRPr="00460F9E" w:rsidRDefault="00A52778" w:rsidP="00FC3F8E">
            <w:pPr>
              <w:spacing w:line="0" w:lineRule="atLeast"/>
              <w:ind w:left="100"/>
              <w:rPr>
                <w:rFonts w:eastAsia="Times New Roman" w:cs="Times New Roman"/>
                <w:b/>
              </w:rPr>
            </w:pPr>
          </w:p>
        </w:tc>
      </w:tr>
      <w:tr w:rsidR="00A52778" w:rsidRPr="00460F9E" w14:paraId="4E54B054" w14:textId="77777777" w:rsidTr="00FC3F8E">
        <w:trPr>
          <w:trHeight w:val="297"/>
        </w:trPr>
        <w:tc>
          <w:tcPr>
            <w:tcW w:w="400" w:type="dxa"/>
            <w:tcBorders>
              <w:left w:val="single" w:sz="8" w:space="0" w:color="auto"/>
              <w:right w:val="single" w:sz="8" w:space="0" w:color="auto"/>
            </w:tcBorders>
            <w:shd w:val="clear" w:color="auto" w:fill="auto"/>
            <w:vAlign w:val="bottom"/>
          </w:tcPr>
          <w:p w14:paraId="5A8DCBA6"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b.</w:t>
            </w:r>
          </w:p>
        </w:tc>
        <w:tc>
          <w:tcPr>
            <w:tcW w:w="2380" w:type="dxa"/>
            <w:tcBorders>
              <w:right w:val="single" w:sz="8" w:space="0" w:color="auto"/>
            </w:tcBorders>
            <w:shd w:val="clear" w:color="auto" w:fill="auto"/>
            <w:vAlign w:val="bottom"/>
          </w:tcPr>
          <w:p w14:paraId="0CCA7EB1"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Absorpsiyon</w:t>
            </w:r>
          </w:p>
        </w:tc>
        <w:tc>
          <w:tcPr>
            <w:tcW w:w="1840" w:type="dxa"/>
            <w:tcBorders>
              <w:right w:val="single" w:sz="8" w:space="0" w:color="auto"/>
            </w:tcBorders>
            <w:shd w:val="clear" w:color="auto" w:fill="auto"/>
            <w:vAlign w:val="bottom"/>
          </w:tcPr>
          <w:p w14:paraId="4F6B088B"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4040" w:type="dxa"/>
            <w:tcBorders>
              <w:right w:val="single" w:sz="8" w:space="0" w:color="auto"/>
            </w:tcBorders>
            <w:shd w:val="clear" w:color="auto" w:fill="auto"/>
            <w:vAlign w:val="bottom"/>
          </w:tcPr>
          <w:p w14:paraId="583397D5"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Genel olarak uygulanabilir.</w:t>
            </w:r>
          </w:p>
        </w:tc>
      </w:tr>
      <w:tr w:rsidR="00A52778" w:rsidRPr="00460F9E" w14:paraId="734F99E1" w14:textId="77777777" w:rsidTr="00FC3F8E">
        <w:trPr>
          <w:trHeight w:val="85"/>
        </w:trPr>
        <w:tc>
          <w:tcPr>
            <w:tcW w:w="400" w:type="dxa"/>
            <w:tcBorders>
              <w:left w:val="single" w:sz="8" w:space="0" w:color="auto"/>
              <w:bottom w:val="single" w:sz="8" w:space="0" w:color="auto"/>
              <w:right w:val="single" w:sz="8" w:space="0" w:color="auto"/>
            </w:tcBorders>
            <w:shd w:val="clear" w:color="auto" w:fill="auto"/>
            <w:vAlign w:val="bottom"/>
          </w:tcPr>
          <w:p w14:paraId="21FD5A36" w14:textId="77777777" w:rsidR="00A52778" w:rsidRPr="00460F9E" w:rsidRDefault="00A52778" w:rsidP="00FC3F8E">
            <w:pPr>
              <w:spacing w:line="0" w:lineRule="atLeast"/>
              <w:rPr>
                <w:rFonts w:eastAsia="Times New Roman" w:cs="Times New Roman"/>
                <w:b/>
                <w:sz w:val="7"/>
              </w:rPr>
            </w:pPr>
          </w:p>
        </w:tc>
        <w:tc>
          <w:tcPr>
            <w:tcW w:w="2380" w:type="dxa"/>
            <w:tcBorders>
              <w:bottom w:val="single" w:sz="8" w:space="0" w:color="auto"/>
              <w:right w:val="single" w:sz="8" w:space="0" w:color="auto"/>
            </w:tcBorders>
            <w:shd w:val="clear" w:color="auto" w:fill="auto"/>
            <w:vAlign w:val="bottom"/>
          </w:tcPr>
          <w:p w14:paraId="0F7A9F57" w14:textId="77777777" w:rsidR="00A52778" w:rsidRPr="00460F9E" w:rsidRDefault="00A52778" w:rsidP="00FC3F8E">
            <w:pPr>
              <w:spacing w:line="0" w:lineRule="atLeast"/>
              <w:rPr>
                <w:rFonts w:eastAsia="Times New Roman" w:cs="Times New Roman"/>
                <w:b/>
                <w:sz w:val="7"/>
              </w:rPr>
            </w:pPr>
          </w:p>
        </w:tc>
        <w:tc>
          <w:tcPr>
            <w:tcW w:w="1840" w:type="dxa"/>
            <w:tcBorders>
              <w:bottom w:val="single" w:sz="8" w:space="0" w:color="auto"/>
              <w:right w:val="single" w:sz="8" w:space="0" w:color="auto"/>
            </w:tcBorders>
            <w:shd w:val="clear" w:color="auto" w:fill="auto"/>
            <w:vAlign w:val="bottom"/>
          </w:tcPr>
          <w:p w14:paraId="6E3F7849" w14:textId="77777777" w:rsidR="00A52778" w:rsidRPr="00460F9E" w:rsidRDefault="00A52778" w:rsidP="00FC3F8E">
            <w:pPr>
              <w:spacing w:line="0" w:lineRule="atLeast"/>
              <w:rPr>
                <w:rFonts w:eastAsia="Times New Roman" w:cs="Times New Roman"/>
                <w:b/>
                <w:sz w:val="7"/>
              </w:rPr>
            </w:pPr>
          </w:p>
        </w:tc>
        <w:tc>
          <w:tcPr>
            <w:tcW w:w="4040" w:type="dxa"/>
            <w:tcBorders>
              <w:bottom w:val="single" w:sz="8" w:space="0" w:color="auto"/>
              <w:right w:val="single" w:sz="8" w:space="0" w:color="auto"/>
            </w:tcBorders>
            <w:shd w:val="clear" w:color="auto" w:fill="auto"/>
            <w:vAlign w:val="bottom"/>
          </w:tcPr>
          <w:p w14:paraId="13F684C1" w14:textId="77777777" w:rsidR="00A52778" w:rsidRPr="00460F9E" w:rsidRDefault="00A52778" w:rsidP="00FC3F8E">
            <w:pPr>
              <w:spacing w:line="0" w:lineRule="atLeast"/>
              <w:rPr>
                <w:rFonts w:eastAsia="Times New Roman" w:cs="Times New Roman"/>
                <w:b/>
                <w:sz w:val="7"/>
              </w:rPr>
            </w:pPr>
          </w:p>
        </w:tc>
      </w:tr>
      <w:tr w:rsidR="00A52778" w:rsidRPr="00460F9E" w14:paraId="7E331057" w14:textId="77777777" w:rsidTr="00FC3F8E">
        <w:trPr>
          <w:trHeight w:val="214"/>
        </w:trPr>
        <w:tc>
          <w:tcPr>
            <w:tcW w:w="400" w:type="dxa"/>
            <w:tcBorders>
              <w:left w:val="single" w:sz="8" w:space="0" w:color="auto"/>
              <w:right w:val="single" w:sz="8" w:space="0" w:color="auto"/>
            </w:tcBorders>
            <w:shd w:val="clear" w:color="auto" w:fill="auto"/>
            <w:vAlign w:val="bottom"/>
          </w:tcPr>
          <w:p w14:paraId="4FCF4EAA" w14:textId="77777777" w:rsidR="00A52778" w:rsidRPr="00460F9E" w:rsidRDefault="00A52778" w:rsidP="00FC3F8E">
            <w:pPr>
              <w:spacing w:line="0" w:lineRule="atLeast"/>
              <w:rPr>
                <w:rFonts w:eastAsia="Times New Roman" w:cs="Times New Roman"/>
                <w:b/>
                <w:sz w:val="18"/>
              </w:rPr>
            </w:pPr>
          </w:p>
        </w:tc>
        <w:tc>
          <w:tcPr>
            <w:tcW w:w="2380" w:type="dxa"/>
            <w:tcBorders>
              <w:right w:val="single" w:sz="8" w:space="0" w:color="auto"/>
            </w:tcBorders>
            <w:shd w:val="clear" w:color="auto" w:fill="auto"/>
            <w:vAlign w:val="bottom"/>
          </w:tcPr>
          <w:p w14:paraId="5F09A865" w14:textId="77777777" w:rsidR="00A52778" w:rsidRPr="00460F9E" w:rsidRDefault="00A52778" w:rsidP="00FC3F8E">
            <w:pPr>
              <w:spacing w:line="0" w:lineRule="atLeast"/>
              <w:rPr>
                <w:rFonts w:eastAsia="Times New Roman" w:cs="Times New Roman"/>
                <w:b/>
                <w:sz w:val="18"/>
              </w:rPr>
            </w:pPr>
          </w:p>
        </w:tc>
        <w:tc>
          <w:tcPr>
            <w:tcW w:w="1840" w:type="dxa"/>
            <w:tcBorders>
              <w:right w:val="single" w:sz="8" w:space="0" w:color="auto"/>
            </w:tcBorders>
            <w:shd w:val="clear" w:color="auto" w:fill="auto"/>
            <w:vAlign w:val="bottom"/>
          </w:tcPr>
          <w:p w14:paraId="108E2654" w14:textId="77777777" w:rsidR="00A52778" w:rsidRPr="00460F9E" w:rsidRDefault="00A52778" w:rsidP="00FC3F8E">
            <w:pPr>
              <w:spacing w:line="0" w:lineRule="atLeast"/>
              <w:rPr>
                <w:rFonts w:eastAsia="Times New Roman" w:cs="Times New Roman"/>
                <w:b/>
                <w:sz w:val="18"/>
              </w:rPr>
            </w:pPr>
          </w:p>
        </w:tc>
        <w:tc>
          <w:tcPr>
            <w:tcW w:w="4040" w:type="dxa"/>
            <w:vMerge w:val="restart"/>
            <w:tcBorders>
              <w:right w:val="single" w:sz="8" w:space="0" w:color="auto"/>
            </w:tcBorders>
            <w:shd w:val="clear" w:color="auto" w:fill="auto"/>
            <w:vAlign w:val="bottom"/>
          </w:tcPr>
          <w:p w14:paraId="38610CC1"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Yapışkan toz durumunda veya atık gazların sıcaklığı çiğlenme noktasının altında olduğunda uygulanabilirliği sınırlı olabilir.</w:t>
            </w:r>
          </w:p>
        </w:tc>
      </w:tr>
      <w:tr w:rsidR="00A52778" w:rsidRPr="00460F9E" w14:paraId="54E67915" w14:textId="77777777" w:rsidTr="00FC3F8E">
        <w:trPr>
          <w:trHeight w:val="230"/>
        </w:trPr>
        <w:tc>
          <w:tcPr>
            <w:tcW w:w="400" w:type="dxa"/>
            <w:tcBorders>
              <w:left w:val="single" w:sz="8" w:space="0" w:color="auto"/>
              <w:right w:val="single" w:sz="8" w:space="0" w:color="auto"/>
            </w:tcBorders>
            <w:shd w:val="clear" w:color="auto" w:fill="auto"/>
            <w:vAlign w:val="bottom"/>
          </w:tcPr>
          <w:p w14:paraId="0806DDB5"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c.</w:t>
            </w:r>
          </w:p>
        </w:tc>
        <w:tc>
          <w:tcPr>
            <w:tcW w:w="2380" w:type="dxa"/>
            <w:tcBorders>
              <w:right w:val="single" w:sz="8" w:space="0" w:color="auto"/>
            </w:tcBorders>
            <w:shd w:val="clear" w:color="auto" w:fill="auto"/>
            <w:vAlign w:val="bottom"/>
          </w:tcPr>
          <w:p w14:paraId="0A74253A"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Kumaş filtre</w:t>
            </w:r>
          </w:p>
        </w:tc>
        <w:tc>
          <w:tcPr>
            <w:tcW w:w="1840" w:type="dxa"/>
            <w:tcBorders>
              <w:right w:val="single" w:sz="8" w:space="0" w:color="auto"/>
            </w:tcBorders>
            <w:shd w:val="clear" w:color="auto" w:fill="auto"/>
            <w:vAlign w:val="bottom"/>
          </w:tcPr>
          <w:p w14:paraId="24C4C597"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4040" w:type="dxa"/>
            <w:vMerge/>
            <w:tcBorders>
              <w:right w:val="single" w:sz="8" w:space="0" w:color="auto"/>
            </w:tcBorders>
            <w:shd w:val="clear" w:color="auto" w:fill="auto"/>
            <w:vAlign w:val="bottom"/>
          </w:tcPr>
          <w:p w14:paraId="2BDCE914" w14:textId="77777777" w:rsidR="00A52778" w:rsidRPr="00460F9E" w:rsidRDefault="00A52778" w:rsidP="00FC3F8E">
            <w:pPr>
              <w:spacing w:line="0" w:lineRule="atLeast"/>
              <w:ind w:left="100"/>
              <w:rPr>
                <w:rFonts w:eastAsia="Times New Roman" w:cs="Times New Roman"/>
                <w:b/>
              </w:rPr>
            </w:pPr>
          </w:p>
        </w:tc>
      </w:tr>
      <w:tr w:rsidR="00A52778" w:rsidRPr="00460F9E" w14:paraId="59F10545" w14:textId="77777777" w:rsidTr="00FC3F8E">
        <w:trPr>
          <w:trHeight w:val="233"/>
        </w:trPr>
        <w:tc>
          <w:tcPr>
            <w:tcW w:w="400" w:type="dxa"/>
            <w:tcBorders>
              <w:left w:val="single" w:sz="8" w:space="0" w:color="auto"/>
              <w:bottom w:val="single" w:sz="8" w:space="0" w:color="auto"/>
              <w:right w:val="single" w:sz="8" w:space="0" w:color="auto"/>
            </w:tcBorders>
            <w:shd w:val="clear" w:color="auto" w:fill="auto"/>
            <w:vAlign w:val="bottom"/>
          </w:tcPr>
          <w:p w14:paraId="28C00C26" w14:textId="77777777" w:rsidR="00A52778" w:rsidRPr="00460F9E" w:rsidRDefault="00A52778" w:rsidP="00FC3F8E">
            <w:pPr>
              <w:spacing w:line="0" w:lineRule="atLeast"/>
              <w:rPr>
                <w:rFonts w:eastAsia="Times New Roman" w:cs="Times New Roman"/>
                <w:b/>
              </w:rPr>
            </w:pPr>
          </w:p>
        </w:tc>
        <w:tc>
          <w:tcPr>
            <w:tcW w:w="2380" w:type="dxa"/>
            <w:tcBorders>
              <w:bottom w:val="single" w:sz="8" w:space="0" w:color="auto"/>
              <w:right w:val="single" w:sz="8" w:space="0" w:color="auto"/>
            </w:tcBorders>
            <w:shd w:val="clear" w:color="auto" w:fill="auto"/>
            <w:vAlign w:val="bottom"/>
          </w:tcPr>
          <w:p w14:paraId="6A9EC865" w14:textId="77777777" w:rsidR="00A52778" w:rsidRPr="00460F9E" w:rsidRDefault="00A52778" w:rsidP="00FC3F8E">
            <w:pPr>
              <w:spacing w:line="0" w:lineRule="atLeast"/>
              <w:rPr>
                <w:rFonts w:eastAsia="Times New Roman" w:cs="Times New Roman"/>
                <w:b/>
              </w:rPr>
            </w:pPr>
          </w:p>
        </w:tc>
        <w:tc>
          <w:tcPr>
            <w:tcW w:w="1840" w:type="dxa"/>
            <w:tcBorders>
              <w:bottom w:val="single" w:sz="8" w:space="0" w:color="auto"/>
              <w:right w:val="single" w:sz="8" w:space="0" w:color="auto"/>
            </w:tcBorders>
            <w:shd w:val="clear" w:color="auto" w:fill="auto"/>
            <w:vAlign w:val="bottom"/>
          </w:tcPr>
          <w:p w14:paraId="687ACC8A" w14:textId="77777777" w:rsidR="00A52778" w:rsidRPr="00460F9E" w:rsidRDefault="00A52778" w:rsidP="00FC3F8E">
            <w:pPr>
              <w:spacing w:line="0" w:lineRule="atLeast"/>
              <w:rPr>
                <w:rFonts w:eastAsia="Times New Roman" w:cs="Times New Roman"/>
                <w:b/>
              </w:rPr>
            </w:pPr>
          </w:p>
        </w:tc>
        <w:tc>
          <w:tcPr>
            <w:tcW w:w="4040" w:type="dxa"/>
            <w:vMerge/>
            <w:tcBorders>
              <w:bottom w:val="single" w:sz="8" w:space="0" w:color="auto"/>
              <w:right w:val="single" w:sz="8" w:space="0" w:color="auto"/>
            </w:tcBorders>
            <w:shd w:val="clear" w:color="auto" w:fill="auto"/>
            <w:vAlign w:val="bottom"/>
          </w:tcPr>
          <w:p w14:paraId="4A05C205" w14:textId="77777777" w:rsidR="00A52778" w:rsidRPr="00460F9E" w:rsidRDefault="00A52778" w:rsidP="00FC3F8E">
            <w:pPr>
              <w:spacing w:line="0" w:lineRule="atLeast"/>
              <w:ind w:left="100"/>
              <w:rPr>
                <w:rFonts w:eastAsia="Times New Roman" w:cs="Times New Roman"/>
                <w:b/>
              </w:rPr>
            </w:pPr>
          </w:p>
        </w:tc>
      </w:tr>
      <w:tr w:rsidR="00A52778" w:rsidRPr="00460F9E" w14:paraId="6378597F" w14:textId="77777777" w:rsidTr="00FC3F8E">
        <w:trPr>
          <w:trHeight w:val="296"/>
        </w:trPr>
        <w:tc>
          <w:tcPr>
            <w:tcW w:w="400" w:type="dxa"/>
            <w:tcBorders>
              <w:left w:val="single" w:sz="8" w:space="0" w:color="auto"/>
              <w:right w:val="single" w:sz="8" w:space="0" w:color="auto"/>
            </w:tcBorders>
            <w:shd w:val="clear" w:color="auto" w:fill="auto"/>
            <w:vAlign w:val="bottom"/>
          </w:tcPr>
          <w:p w14:paraId="0E63FE89" w14:textId="77777777" w:rsidR="00A52778" w:rsidRPr="00460F9E" w:rsidRDefault="00A52778" w:rsidP="00FC3F8E">
            <w:pPr>
              <w:spacing w:line="0" w:lineRule="atLeast"/>
              <w:ind w:left="120"/>
              <w:rPr>
                <w:rFonts w:eastAsia="Times New Roman" w:cs="Times New Roman"/>
                <w:b/>
              </w:rPr>
            </w:pPr>
            <w:r>
              <w:rPr>
                <w:rFonts w:eastAsia="Times New Roman" w:cs="Times New Roman"/>
              </w:rPr>
              <w:t>ç</w:t>
            </w:r>
            <w:r w:rsidRPr="00460F9E">
              <w:rPr>
                <w:rFonts w:eastAsia="Times New Roman" w:cs="Times New Roman"/>
              </w:rPr>
              <w:t>.</w:t>
            </w:r>
          </w:p>
        </w:tc>
        <w:tc>
          <w:tcPr>
            <w:tcW w:w="2380" w:type="dxa"/>
            <w:tcBorders>
              <w:right w:val="single" w:sz="8" w:space="0" w:color="auto"/>
            </w:tcBorders>
            <w:shd w:val="clear" w:color="auto" w:fill="auto"/>
            <w:vAlign w:val="bottom"/>
          </w:tcPr>
          <w:p w14:paraId="2D2898C6"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Yüksek verimli hava filtresi</w:t>
            </w:r>
          </w:p>
        </w:tc>
        <w:tc>
          <w:tcPr>
            <w:tcW w:w="1840" w:type="dxa"/>
            <w:tcBorders>
              <w:right w:val="single" w:sz="8" w:space="0" w:color="auto"/>
            </w:tcBorders>
            <w:shd w:val="clear" w:color="auto" w:fill="auto"/>
            <w:vAlign w:val="bottom"/>
          </w:tcPr>
          <w:p w14:paraId="0979B6F4"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4040" w:type="dxa"/>
            <w:tcBorders>
              <w:right w:val="single" w:sz="8" w:space="0" w:color="auto"/>
            </w:tcBorders>
            <w:shd w:val="clear" w:color="auto" w:fill="auto"/>
            <w:vAlign w:val="bottom"/>
          </w:tcPr>
          <w:p w14:paraId="1D6C6C02"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Genel olarak uygulanabilir.</w:t>
            </w:r>
          </w:p>
        </w:tc>
      </w:tr>
      <w:tr w:rsidR="00A52778" w:rsidRPr="00460F9E" w14:paraId="736A1190" w14:textId="77777777" w:rsidTr="00FC3F8E">
        <w:trPr>
          <w:trHeight w:val="85"/>
        </w:trPr>
        <w:tc>
          <w:tcPr>
            <w:tcW w:w="400" w:type="dxa"/>
            <w:tcBorders>
              <w:left w:val="single" w:sz="8" w:space="0" w:color="auto"/>
              <w:bottom w:val="single" w:sz="8" w:space="0" w:color="auto"/>
              <w:right w:val="single" w:sz="8" w:space="0" w:color="auto"/>
            </w:tcBorders>
            <w:shd w:val="clear" w:color="auto" w:fill="auto"/>
            <w:vAlign w:val="bottom"/>
          </w:tcPr>
          <w:p w14:paraId="1B0E5600" w14:textId="77777777" w:rsidR="00A52778" w:rsidRPr="00460F9E" w:rsidRDefault="00A52778" w:rsidP="00FC3F8E">
            <w:pPr>
              <w:spacing w:line="0" w:lineRule="atLeast"/>
              <w:rPr>
                <w:rFonts w:eastAsia="Times New Roman" w:cs="Times New Roman"/>
                <w:b/>
                <w:sz w:val="7"/>
              </w:rPr>
            </w:pPr>
          </w:p>
        </w:tc>
        <w:tc>
          <w:tcPr>
            <w:tcW w:w="2380" w:type="dxa"/>
            <w:tcBorders>
              <w:bottom w:val="single" w:sz="8" w:space="0" w:color="auto"/>
              <w:right w:val="single" w:sz="8" w:space="0" w:color="auto"/>
            </w:tcBorders>
            <w:shd w:val="clear" w:color="auto" w:fill="auto"/>
            <w:vAlign w:val="bottom"/>
          </w:tcPr>
          <w:p w14:paraId="1005F0F4" w14:textId="77777777" w:rsidR="00A52778" w:rsidRPr="00460F9E" w:rsidRDefault="00A52778" w:rsidP="00FC3F8E">
            <w:pPr>
              <w:spacing w:line="0" w:lineRule="atLeast"/>
              <w:rPr>
                <w:rFonts w:eastAsia="Times New Roman" w:cs="Times New Roman"/>
                <w:b/>
                <w:sz w:val="7"/>
              </w:rPr>
            </w:pPr>
          </w:p>
        </w:tc>
        <w:tc>
          <w:tcPr>
            <w:tcW w:w="1840" w:type="dxa"/>
            <w:tcBorders>
              <w:bottom w:val="single" w:sz="8" w:space="0" w:color="auto"/>
              <w:right w:val="single" w:sz="8" w:space="0" w:color="auto"/>
            </w:tcBorders>
            <w:shd w:val="clear" w:color="auto" w:fill="auto"/>
            <w:vAlign w:val="bottom"/>
          </w:tcPr>
          <w:p w14:paraId="4EF987E6" w14:textId="77777777" w:rsidR="00A52778" w:rsidRPr="00460F9E" w:rsidRDefault="00A52778" w:rsidP="00FC3F8E">
            <w:pPr>
              <w:spacing w:line="0" w:lineRule="atLeast"/>
              <w:rPr>
                <w:rFonts w:eastAsia="Times New Roman" w:cs="Times New Roman"/>
                <w:b/>
                <w:sz w:val="7"/>
              </w:rPr>
            </w:pPr>
          </w:p>
        </w:tc>
        <w:tc>
          <w:tcPr>
            <w:tcW w:w="4040" w:type="dxa"/>
            <w:tcBorders>
              <w:bottom w:val="single" w:sz="8" w:space="0" w:color="auto"/>
              <w:right w:val="single" w:sz="8" w:space="0" w:color="auto"/>
            </w:tcBorders>
            <w:shd w:val="clear" w:color="auto" w:fill="auto"/>
            <w:vAlign w:val="bottom"/>
          </w:tcPr>
          <w:p w14:paraId="55DF526D" w14:textId="77777777" w:rsidR="00A52778" w:rsidRPr="00460F9E" w:rsidRDefault="00A52778" w:rsidP="00FC3F8E">
            <w:pPr>
              <w:spacing w:line="0" w:lineRule="atLeast"/>
              <w:rPr>
                <w:rFonts w:eastAsia="Times New Roman" w:cs="Times New Roman"/>
                <w:b/>
                <w:sz w:val="7"/>
              </w:rPr>
            </w:pPr>
          </w:p>
        </w:tc>
      </w:tr>
      <w:tr w:rsidR="00A52778" w:rsidRPr="00460F9E" w14:paraId="14664992" w14:textId="77777777" w:rsidTr="00FC3F8E">
        <w:trPr>
          <w:trHeight w:val="293"/>
        </w:trPr>
        <w:tc>
          <w:tcPr>
            <w:tcW w:w="400" w:type="dxa"/>
            <w:tcBorders>
              <w:left w:val="single" w:sz="8" w:space="0" w:color="auto"/>
              <w:right w:val="single" w:sz="8" w:space="0" w:color="auto"/>
            </w:tcBorders>
            <w:shd w:val="clear" w:color="auto" w:fill="auto"/>
            <w:vAlign w:val="bottom"/>
          </w:tcPr>
          <w:p w14:paraId="4730A5B7" w14:textId="77777777" w:rsidR="00A52778" w:rsidRPr="00460F9E" w:rsidRDefault="00A52778" w:rsidP="00FC3F8E">
            <w:pPr>
              <w:spacing w:line="0" w:lineRule="atLeast"/>
              <w:ind w:left="120"/>
              <w:rPr>
                <w:rFonts w:eastAsia="Times New Roman" w:cs="Times New Roman"/>
                <w:b/>
              </w:rPr>
            </w:pPr>
            <w:r>
              <w:rPr>
                <w:rFonts w:eastAsia="Times New Roman" w:cs="Times New Roman"/>
              </w:rPr>
              <w:t>d</w:t>
            </w:r>
            <w:r w:rsidRPr="00460F9E">
              <w:rPr>
                <w:rFonts w:eastAsia="Times New Roman" w:cs="Times New Roman"/>
              </w:rPr>
              <w:t>.</w:t>
            </w:r>
          </w:p>
        </w:tc>
        <w:tc>
          <w:tcPr>
            <w:tcW w:w="2380" w:type="dxa"/>
            <w:tcBorders>
              <w:right w:val="single" w:sz="8" w:space="0" w:color="auto"/>
            </w:tcBorders>
            <w:shd w:val="clear" w:color="auto" w:fill="auto"/>
            <w:vAlign w:val="bottom"/>
          </w:tcPr>
          <w:p w14:paraId="3052469B"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Siklon</w:t>
            </w:r>
          </w:p>
        </w:tc>
        <w:tc>
          <w:tcPr>
            <w:tcW w:w="1840" w:type="dxa"/>
            <w:tcBorders>
              <w:right w:val="single" w:sz="8" w:space="0" w:color="auto"/>
            </w:tcBorders>
            <w:shd w:val="clear" w:color="auto" w:fill="auto"/>
            <w:vAlign w:val="bottom"/>
          </w:tcPr>
          <w:p w14:paraId="5F6B7C14"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4040" w:type="dxa"/>
            <w:tcBorders>
              <w:right w:val="single" w:sz="8" w:space="0" w:color="auto"/>
            </w:tcBorders>
            <w:shd w:val="clear" w:color="auto" w:fill="auto"/>
            <w:vAlign w:val="bottom"/>
          </w:tcPr>
          <w:p w14:paraId="3983E7F4"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Genel olarak uygulanabilir.</w:t>
            </w:r>
          </w:p>
        </w:tc>
      </w:tr>
      <w:tr w:rsidR="00A52778" w:rsidRPr="00460F9E" w14:paraId="43F5DDC0" w14:textId="77777777" w:rsidTr="00FC3F8E">
        <w:trPr>
          <w:trHeight w:val="85"/>
        </w:trPr>
        <w:tc>
          <w:tcPr>
            <w:tcW w:w="400" w:type="dxa"/>
            <w:tcBorders>
              <w:left w:val="single" w:sz="8" w:space="0" w:color="auto"/>
              <w:bottom w:val="single" w:sz="8" w:space="0" w:color="auto"/>
              <w:right w:val="single" w:sz="8" w:space="0" w:color="auto"/>
            </w:tcBorders>
            <w:shd w:val="clear" w:color="auto" w:fill="auto"/>
            <w:vAlign w:val="bottom"/>
          </w:tcPr>
          <w:p w14:paraId="332115EB" w14:textId="77777777" w:rsidR="00A52778" w:rsidRPr="00460F9E" w:rsidRDefault="00A52778" w:rsidP="00FC3F8E">
            <w:pPr>
              <w:spacing w:line="0" w:lineRule="atLeast"/>
              <w:rPr>
                <w:rFonts w:eastAsia="Times New Roman" w:cs="Times New Roman"/>
                <w:b/>
                <w:sz w:val="7"/>
              </w:rPr>
            </w:pPr>
          </w:p>
        </w:tc>
        <w:tc>
          <w:tcPr>
            <w:tcW w:w="2380" w:type="dxa"/>
            <w:tcBorders>
              <w:bottom w:val="single" w:sz="8" w:space="0" w:color="auto"/>
              <w:right w:val="single" w:sz="8" w:space="0" w:color="auto"/>
            </w:tcBorders>
            <w:shd w:val="clear" w:color="auto" w:fill="auto"/>
            <w:vAlign w:val="bottom"/>
          </w:tcPr>
          <w:p w14:paraId="1752B4D6" w14:textId="77777777" w:rsidR="00A52778" w:rsidRPr="00460F9E" w:rsidRDefault="00A52778" w:rsidP="00FC3F8E">
            <w:pPr>
              <w:spacing w:line="0" w:lineRule="atLeast"/>
              <w:rPr>
                <w:rFonts w:eastAsia="Times New Roman" w:cs="Times New Roman"/>
                <w:b/>
                <w:sz w:val="7"/>
              </w:rPr>
            </w:pPr>
          </w:p>
        </w:tc>
        <w:tc>
          <w:tcPr>
            <w:tcW w:w="1840" w:type="dxa"/>
            <w:tcBorders>
              <w:bottom w:val="single" w:sz="8" w:space="0" w:color="auto"/>
              <w:right w:val="single" w:sz="8" w:space="0" w:color="auto"/>
            </w:tcBorders>
            <w:shd w:val="clear" w:color="auto" w:fill="auto"/>
            <w:vAlign w:val="bottom"/>
          </w:tcPr>
          <w:p w14:paraId="5AF02EC3" w14:textId="77777777" w:rsidR="00A52778" w:rsidRPr="00460F9E" w:rsidRDefault="00A52778" w:rsidP="00FC3F8E">
            <w:pPr>
              <w:spacing w:line="0" w:lineRule="atLeast"/>
              <w:rPr>
                <w:rFonts w:eastAsia="Times New Roman" w:cs="Times New Roman"/>
                <w:b/>
                <w:sz w:val="7"/>
              </w:rPr>
            </w:pPr>
          </w:p>
        </w:tc>
        <w:tc>
          <w:tcPr>
            <w:tcW w:w="4040" w:type="dxa"/>
            <w:tcBorders>
              <w:bottom w:val="single" w:sz="8" w:space="0" w:color="auto"/>
              <w:right w:val="single" w:sz="8" w:space="0" w:color="auto"/>
            </w:tcBorders>
            <w:shd w:val="clear" w:color="auto" w:fill="auto"/>
            <w:vAlign w:val="bottom"/>
          </w:tcPr>
          <w:p w14:paraId="4B3ED172" w14:textId="77777777" w:rsidR="00A52778" w:rsidRPr="00460F9E" w:rsidRDefault="00A52778" w:rsidP="00FC3F8E">
            <w:pPr>
              <w:spacing w:line="0" w:lineRule="atLeast"/>
              <w:rPr>
                <w:rFonts w:eastAsia="Times New Roman" w:cs="Times New Roman"/>
                <w:b/>
                <w:sz w:val="7"/>
              </w:rPr>
            </w:pPr>
          </w:p>
        </w:tc>
      </w:tr>
      <w:tr w:rsidR="00A52778" w:rsidRPr="00460F9E" w14:paraId="32E3D34F" w14:textId="77777777" w:rsidTr="00FC3F8E">
        <w:trPr>
          <w:trHeight w:val="293"/>
        </w:trPr>
        <w:tc>
          <w:tcPr>
            <w:tcW w:w="400" w:type="dxa"/>
            <w:tcBorders>
              <w:left w:val="single" w:sz="8" w:space="0" w:color="auto"/>
              <w:right w:val="single" w:sz="8" w:space="0" w:color="auto"/>
            </w:tcBorders>
            <w:shd w:val="clear" w:color="auto" w:fill="auto"/>
            <w:vAlign w:val="bottom"/>
          </w:tcPr>
          <w:p w14:paraId="4A48F8B3" w14:textId="77777777" w:rsidR="00A52778" w:rsidRPr="00460F9E" w:rsidRDefault="00A52778" w:rsidP="00FC3F8E">
            <w:pPr>
              <w:spacing w:line="0" w:lineRule="atLeast"/>
              <w:ind w:left="140"/>
              <w:rPr>
                <w:rFonts w:eastAsia="Times New Roman" w:cs="Times New Roman"/>
                <w:b/>
              </w:rPr>
            </w:pPr>
            <w:r>
              <w:rPr>
                <w:rFonts w:eastAsia="Times New Roman" w:cs="Times New Roman"/>
              </w:rPr>
              <w:t>e</w:t>
            </w:r>
            <w:r w:rsidRPr="00460F9E">
              <w:rPr>
                <w:rFonts w:eastAsia="Times New Roman" w:cs="Times New Roman"/>
              </w:rPr>
              <w:t>.</w:t>
            </w:r>
          </w:p>
        </w:tc>
        <w:tc>
          <w:tcPr>
            <w:tcW w:w="2380" w:type="dxa"/>
            <w:tcBorders>
              <w:right w:val="single" w:sz="8" w:space="0" w:color="auto"/>
            </w:tcBorders>
            <w:shd w:val="clear" w:color="auto" w:fill="auto"/>
            <w:vAlign w:val="bottom"/>
          </w:tcPr>
          <w:p w14:paraId="6C79BEB8"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Elektrostatik çökeltici</w:t>
            </w:r>
          </w:p>
        </w:tc>
        <w:tc>
          <w:tcPr>
            <w:tcW w:w="1840" w:type="dxa"/>
            <w:tcBorders>
              <w:right w:val="single" w:sz="8" w:space="0" w:color="auto"/>
            </w:tcBorders>
            <w:shd w:val="clear" w:color="auto" w:fill="auto"/>
            <w:vAlign w:val="bottom"/>
          </w:tcPr>
          <w:p w14:paraId="159694EE"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4040" w:type="dxa"/>
            <w:tcBorders>
              <w:right w:val="single" w:sz="8" w:space="0" w:color="auto"/>
            </w:tcBorders>
            <w:shd w:val="clear" w:color="auto" w:fill="auto"/>
            <w:vAlign w:val="bottom"/>
          </w:tcPr>
          <w:p w14:paraId="4CDC1A25"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Genel olarak uygulanabilir.</w:t>
            </w:r>
          </w:p>
        </w:tc>
      </w:tr>
      <w:tr w:rsidR="00A52778" w:rsidRPr="00460F9E" w14:paraId="6A2748C4" w14:textId="77777777" w:rsidTr="00FC3F8E">
        <w:trPr>
          <w:trHeight w:val="88"/>
        </w:trPr>
        <w:tc>
          <w:tcPr>
            <w:tcW w:w="400" w:type="dxa"/>
            <w:tcBorders>
              <w:left w:val="single" w:sz="8" w:space="0" w:color="auto"/>
              <w:bottom w:val="single" w:sz="8" w:space="0" w:color="auto"/>
              <w:right w:val="single" w:sz="8" w:space="0" w:color="auto"/>
            </w:tcBorders>
            <w:shd w:val="clear" w:color="auto" w:fill="auto"/>
            <w:vAlign w:val="bottom"/>
          </w:tcPr>
          <w:p w14:paraId="692E5DAE" w14:textId="77777777" w:rsidR="00A52778" w:rsidRPr="00460F9E" w:rsidRDefault="00A52778" w:rsidP="00FC3F8E">
            <w:pPr>
              <w:spacing w:line="0" w:lineRule="atLeast"/>
              <w:rPr>
                <w:rFonts w:eastAsia="Times New Roman" w:cs="Times New Roman"/>
                <w:b/>
                <w:sz w:val="7"/>
              </w:rPr>
            </w:pPr>
          </w:p>
        </w:tc>
        <w:tc>
          <w:tcPr>
            <w:tcW w:w="2380" w:type="dxa"/>
            <w:tcBorders>
              <w:bottom w:val="single" w:sz="8" w:space="0" w:color="auto"/>
              <w:right w:val="single" w:sz="8" w:space="0" w:color="auto"/>
            </w:tcBorders>
            <w:shd w:val="clear" w:color="auto" w:fill="auto"/>
            <w:vAlign w:val="bottom"/>
          </w:tcPr>
          <w:p w14:paraId="32CCD033" w14:textId="77777777" w:rsidR="00A52778" w:rsidRPr="00460F9E" w:rsidRDefault="00A52778" w:rsidP="00FC3F8E">
            <w:pPr>
              <w:spacing w:line="0" w:lineRule="atLeast"/>
              <w:rPr>
                <w:rFonts w:eastAsia="Times New Roman" w:cs="Times New Roman"/>
                <w:b/>
                <w:sz w:val="7"/>
              </w:rPr>
            </w:pPr>
          </w:p>
        </w:tc>
        <w:tc>
          <w:tcPr>
            <w:tcW w:w="1840" w:type="dxa"/>
            <w:tcBorders>
              <w:bottom w:val="single" w:sz="8" w:space="0" w:color="auto"/>
              <w:right w:val="single" w:sz="8" w:space="0" w:color="auto"/>
            </w:tcBorders>
            <w:shd w:val="clear" w:color="auto" w:fill="auto"/>
            <w:vAlign w:val="bottom"/>
          </w:tcPr>
          <w:p w14:paraId="765C1542" w14:textId="77777777" w:rsidR="00A52778" w:rsidRPr="00460F9E" w:rsidRDefault="00A52778" w:rsidP="00FC3F8E">
            <w:pPr>
              <w:spacing w:line="0" w:lineRule="atLeast"/>
              <w:rPr>
                <w:rFonts w:eastAsia="Times New Roman" w:cs="Times New Roman"/>
                <w:b/>
                <w:sz w:val="7"/>
              </w:rPr>
            </w:pPr>
          </w:p>
        </w:tc>
        <w:tc>
          <w:tcPr>
            <w:tcW w:w="4040" w:type="dxa"/>
            <w:tcBorders>
              <w:bottom w:val="single" w:sz="8" w:space="0" w:color="auto"/>
              <w:right w:val="single" w:sz="8" w:space="0" w:color="auto"/>
            </w:tcBorders>
            <w:shd w:val="clear" w:color="auto" w:fill="auto"/>
            <w:vAlign w:val="bottom"/>
          </w:tcPr>
          <w:p w14:paraId="45A871EC" w14:textId="77777777" w:rsidR="00A52778" w:rsidRPr="00460F9E" w:rsidRDefault="00A52778" w:rsidP="00FC3F8E">
            <w:pPr>
              <w:spacing w:line="0" w:lineRule="atLeast"/>
              <w:rPr>
                <w:rFonts w:eastAsia="Times New Roman" w:cs="Times New Roman"/>
                <w:b/>
                <w:sz w:val="7"/>
              </w:rPr>
            </w:pPr>
          </w:p>
        </w:tc>
      </w:tr>
    </w:tbl>
    <w:p w14:paraId="001F85D6" w14:textId="77777777" w:rsidR="00A52778" w:rsidRPr="00460F9E" w:rsidRDefault="00A52778" w:rsidP="00A52778">
      <w:pPr>
        <w:spacing w:line="20" w:lineRule="exact"/>
        <w:rPr>
          <w:rFonts w:eastAsia="Times New Roman" w:cs="Times New Roman"/>
          <w:b/>
        </w:rPr>
      </w:pPr>
    </w:p>
    <w:p w14:paraId="545E152B" w14:textId="77777777" w:rsidR="00A52778" w:rsidRPr="00460F9E" w:rsidRDefault="00A52778" w:rsidP="00A52778">
      <w:pPr>
        <w:spacing w:line="20" w:lineRule="exact"/>
        <w:rPr>
          <w:rFonts w:eastAsia="Times New Roman" w:cs="Times New Roman"/>
          <w:b/>
        </w:rPr>
        <w:sectPr w:rsidR="00A52778" w:rsidRPr="00460F9E">
          <w:pgSz w:w="11900" w:h="16838"/>
          <w:pgMar w:top="707" w:right="1026" w:bottom="145" w:left="1440" w:header="0" w:footer="0" w:gutter="0"/>
          <w:cols w:space="0" w:equalWidth="0">
            <w:col w:w="9440"/>
          </w:cols>
          <w:docGrid w:linePitch="360"/>
        </w:sectPr>
      </w:pPr>
    </w:p>
    <w:p w14:paraId="385EF5D4" w14:textId="77777777" w:rsidR="00A52778" w:rsidRPr="00460F9E" w:rsidRDefault="00A52778" w:rsidP="00A52778">
      <w:pPr>
        <w:spacing w:line="200" w:lineRule="exact"/>
        <w:rPr>
          <w:rFonts w:eastAsia="Times New Roman" w:cs="Times New Roman"/>
          <w:b/>
        </w:rPr>
      </w:pPr>
    </w:p>
    <w:p w14:paraId="2E099AC3" w14:textId="77777777" w:rsidR="00A52778" w:rsidRPr="00357659" w:rsidRDefault="00A52778" w:rsidP="00A52778">
      <w:pPr>
        <w:tabs>
          <w:tab w:val="left" w:pos="1140"/>
        </w:tabs>
        <w:spacing w:line="234" w:lineRule="auto"/>
        <w:ind w:right="826"/>
        <w:rPr>
          <w:rFonts w:eastAsia="Times New Roman" w:cs="Times New Roman"/>
        </w:rPr>
      </w:pPr>
      <w:bookmarkStart w:id="323" w:name="page306"/>
      <w:bookmarkEnd w:id="323"/>
      <w:r w:rsidRPr="00357659">
        <w:rPr>
          <w:rFonts w:eastAsia="Times New Roman" w:cs="Times New Roman"/>
        </w:rPr>
        <w:t>Havaya kanalize edilen toz, kurşun ve nikel emisyonları için MET-ilişkili emisyon seviyeleri (MET-AEL' ler)</w:t>
      </w:r>
    </w:p>
    <w:p w14:paraId="4182EF06" w14:textId="77777777" w:rsidR="00A52778" w:rsidRPr="00460F9E" w:rsidRDefault="00A52778" w:rsidP="00A52778">
      <w:pPr>
        <w:spacing w:line="102" w:lineRule="exact"/>
        <w:rPr>
          <w:rFonts w:eastAsia="Times New Roman" w:cs="Times New Roman"/>
          <w:b/>
        </w:rPr>
      </w:pPr>
    </w:p>
    <w:tbl>
      <w:tblPr>
        <w:tblW w:w="0" w:type="auto"/>
        <w:tblInd w:w="10" w:type="dxa"/>
        <w:tblLayout w:type="fixed"/>
        <w:tblCellMar>
          <w:left w:w="0" w:type="dxa"/>
          <w:right w:w="0" w:type="dxa"/>
        </w:tblCellMar>
        <w:tblLook w:val="0000" w:firstRow="0" w:lastRow="0" w:firstColumn="0" w:lastColumn="0" w:noHBand="0" w:noVBand="0"/>
      </w:tblPr>
      <w:tblGrid>
        <w:gridCol w:w="400"/>
        <w:gridCol w:w="320"/>
        <w:gridCol w:w="440"/>
        <w:gridCol w:w="340"/>
        <w:gridCol w:w="1457"/>
        <w:gridCol w:w="5643"/>
      </w:tblGrid>
      <w:tr w:rsidR="00A52778" w:rsidRPr="00460F9E" w14:paraId="5BE98A21" w14:textId="77777777" w:rsidTr="00FC3F8E">
        <w:trPr>
          <w:trHeight w:val="356"/>
        </w:trPr>
        <w:tc>
          <w:tcPr>
            <w:tcW w:w="400" w:type="dxa"/>
            <w:tcBorders>
              <w:top w:val="single" w:sz="8" w:space="0" w:color="auto"/>
              <w:left w:val="single" w:sz="8" w:space="0" w:color="auto"/>
            </w:tcBorders>
            <w:shd w:val="clear" w:color="auto" w:fill="auto"/>
            <w:vAlign w:val="bottom"/>
          </w:tcPr>
          <w:p w14:paraId="57189E42" w14:textId="77777777" w:rsidR="00A52778" w:rsidRPr="00460F9E" w:rsidRDefault="00A52778" w:rsidP="00FC3F8E">
            <w:pPr>
              <w:spacing w:line="0" w:lineRule="atLeast"/>
              <w:rPr>
                <w:rFonts w:eastAsia="Times New Roman" w:cs="Times New Roman"/>
                <w:b/>
              </w:rPr>
            </w:pPr>
          </w:p>
        </w:tc>
        <w:tc>
          <w:tcPr>
            <w:tcW w:w="2557" w:type="dxa"/>
            <w:gridSpan w:val="4"/>
            <w:vMerge w:val="restart"/>
            <w:tcBorders>
              <w:top w:val="single" w:sz="8" w:space="0" w:color="auto"/>
              <w:right w:val="single" w:sz="8" w:space="0" w:color="auto"/>
            </w:tcBorders>
            <w:shd w:val="clear" w:color="auto" w:fill="auto"/>
            <w:vAlign w:val="bottom"/>
          </w:tcPr>
          <w:p w14:paraId="667C2516" w14:textId="77777777" w:rsidR="00A52778" w:rsidRPr="00357659" w:rsidRDefault="00A52778" w:rsidP="00FC3F8E">
            <w:pPr>
              <w:spacing w:line="0" w:lineRule="atLeast"/>
              <w:ind w:left="40"/>
              <w:rPr>
                <w:rFonts w:eastAsia="Times New Roman" w:cs="Times New Roman"/>
              </w:rPr>
            </w:pPr>
            <w:r w:rsidRPr="00357659">
              <w:rPr>
                <w:rFonts w:eastAsia="Times New Roman" w:cs="Times New Roman"/>
              </w:rPr>
              <w:t>Maddeler/Parametreler</w:t>
            </w:r>
          </w:p>
        </w:tc>
        <w:tc>
          <w:tcPr>
            <w:tcW w:w="5643" w:type="dxa"/>
            <w:vMerge w:val="restart"/>
            <w:tcBorders>
              <w:top w:val="single" w:sz="8" w:space="0" w:color="auto"/>
              <w:right w:val="single" w:sz="8" w:space="0" w:color="auto"/>
            </w:tcBorders>
            <w:shd w:val="clear" w:color="auto" w:fill="auto"/>
            <w:vAlign w:val="center"/>
          </w:tcPr>
          <w:p w14:paraId="43A7B866" w14:textId="77777777" w:rsidR="00A52778" w:rsidRPr="00357659" w:rsidRDefault="00A52778" w:rsidP="00FC3F8E">
            <w:pPr>
              <w:spacing w:line="0" w:lineRule="atLeast"/>
              <w:jc w:val="center"/>
              <w:rPr>
                <w:rFonts w:eastAsia="Times New Roman" w:cs="Times New Roman"/>
                <w:w w:val="99"/>
              </w:rPr>
            </w:pPr>
            <w:r w:rsidRPr="00357659">
              <w:rPr>
                <w:rFonts w:eastAsia="Times New Roman" w:cs="Times New Roman"/>
                <w:w w:val="99"/>
              </w:rPr>
              <w:t>MET-AEL (mg/Nm</w:t>
            </w:r>
            <w:r w:rsidRPr="00357659">
              <w:rPr>
                <w:rFonts w:eastAsia="Times New Roman" w:cs="Times New Roman"/>
                <w:w w:val="99"/>
                <w:sz w:val="25"/>
                <w:vertAlign w:val="superscript"/>
              </w:rPr>
              <w:t>3</w:t>
            </w:r>
            <w:r w:rsidRPr="00357659">
              <w:rPr>
                <w:rFonts w:eastAsia="Times New Roman" w:cs="Times New Roman"/>
                <w:w w:val="99"/>
              </w:rPr>
              <w:t>)</w:t>
            </w:r>
          </w:p>
          <w:p w14:paraId="145A011E" w14:textId="77777777" w:rsidR="00A52778" w:rsidRPr="00357659" w:rsidRDefault="00A52778" w:rsidP="00FC3F8E">
            <w:pPr>
              <w:spacing w:line="219" w:lineRule="exact"/>
              <w:jc w:val="center"/>
              <w:rPr>
                <w:rFonts w:eastAsia="Times New Roman" w:cs="Times New Roman"/>
                <w:w w:val="99"/>
              </w:rPr>
            </w:pPr>
            <w:r w:rsidRPr="00357659">
              <w:rPr>
                <w:rFonts w:eastAsia="Times New Roman" w:cs="Times New Roman"/>
              </w:rPr>
              <w:t>(</w:t>
            </w:r>
            <w:r w:rsidRPr="00357659">
              <w:rPr>
                <w:rFonts w:eastAsia="Times New Roman" w:cs="Times New Roman"/>
                <w:w w:val="99"/>
              </w:rPr>
              <w:t>Günlük ortalama veya örnekleme dönemi boyunca ortalama</w:t>
            </w:r>
            <w:r w:rsidRPr="00357659">
              <w:rPr>
                <w:rFonts w:eastAsia="Times New Roman" w:cs="Times New Roman"/>
              </w:rPr>
              <w:t>)</w:t>
            </w:r>
          </w:p>
        </w:tc>
      </w:tr>
      <w:tr w:rsidR="00A52778" w:rsidRPr="00460F9E" w14:paraId="6EB7183E" w14:textId="77777777" w:rsidTr="00FC3F8E">
        <w:trPr>
          <w:trHeight w:val="104"/>
        </w:trPr>
        <w:tc>
          <w:tcPr>
            <w:tcW w:w="400" w:type="dxa"/>
            <w:tcBorders>
              <w:left w:val="single" w:sz="8" w:space="0" w:color="auto"/>
            </w:tcBorders>
            <w:shd w:val="clear" w:color="auto" w:fill="auto"/>
            <w:vAlign w:val="bottom"/>
          </w:tcPr>
          <w:p w14:paraId="2964F09A" w14:textId="77777777" w:rsidR="00A52778" w:rsidRPr="00460F9E" w:rsidRDefault="00A52778" w:rsidP="00FC3F8E">
            <w:pPr>
              <w:spacing w:line="0" w:lineRule="atLeast"/>
              <w:rPr>
                <w:rFonts w:eastAsia="Times New Roman" w:cs="Times New Roman"/>
                <w:b/>
                <w:sz w:val="9"/>
              </w:rPr>
            </w:pPr>
          </w:p>
        </w:tc>
        <w:tc>
          <w:tcPr>
            <w:tcW w:w="2557" w:type="dxa"/>
            <w:gridSpan w:val="4"/>
            <w:vMerge/>
            <w:tcBorders>
              <w:right w:val="single" w:sz="8" w:space="0" w:color="auto"/>
            </w:tcBorders>
            <w:shd w:val="clear" w:color="auto" w:fill="auto"/>
            <w:vAlign w:val="bottom"/>
          </w:tcPr>
          <w:p w14:paraId="206F0AE8" w14:textId="77777777" w:rsidR="00A52778" w:rsidRPr="00460F9E" w:rsidRDefault="00A52778" w:rsidP="00FC3F8E">
            <w:pPr>
              <w:spacing w:line="0" w:lineRule="atLeast"/>
              <w:rPr>
                <w:rFonts w:eastAsia="Times New Roman" w:cs="Times New Roman"/>
                <w:b/>
                <w:sz w:val="9"/>
              </w:rPr>
            </w:pPr>
          </w:p>
        </w:tc>
        <w:tc>
          <w:tcPr>
            <w:tcW w:w="5643" w:type="dxa"/>
            <w:vMerge/>
            <w:tcBorders>
              <w:right w:val="single" w:sz="8" w:space="0" w:color="auto"/>
            </w:tcBorders>
            <w:shd w:val="clear" w:color="auto" w:fill="auto"/>
            <w:vAlign w:val="bottom"/>
          </w:tcPr>
          <w:p w14:paraId="5F021A48" w14:textId="77777777" w:rsidR="00A52778" w:rsidRPr="00460F9E" w:rsidRDefault="00A52778" w:rsidP="00FC3F8E">
            <w:pPr>
              <w:spacing w:line="219" w:lineRule="exact"/>
              <w:jc w:val="center"/>
              <w:rPr>
                <w:rFonts w:eastAsia="Times New Roman" w:cs="Times New Roman"/>
                <w:b/>
              </w:rPr>
            </w:pPr>
          </w:p>
        </w:tc>
      </w:tr>
      <w:tr w:rsidR="00A52778" w:rsidRPr="00460F9E" w14:paraId="0B6A1B31" w14:textId="77777777" w:rsidTr="00FC3F8E">
        <w:trPr>
          <w:trHeight w:val="115"/>
        </w:trPr>
        <w:tc>
          <w:tcPr>
            <w:tcW w:w="400" w:type="dxa"/>
            <w:tcBorders>
              <w:left w:val="single" w:sz="8" w:space="0" w:color="auto"/>
            </w:tcBorders>
            <w:shd w:val="clear" w:color="auto" w:fill="auto"/>
            <w:vAlign w:val="bottom"/>
          </w:tcPr>
          <w:p w14:paraId="0129E56F" w14:textId="77777777" w:rsidR="00A52778" w:rsidRPr="00460F9E" w:rsidRDefault="00A52778" w:rsidP="00FC3F8E">
            <w:pPr>
              <w:spacing w:line="0" w:lineRule="atLeast"/>
              <w:rPr>
                <w:rFonts w:eastAsia="Times New Roman" w:cs="Times New Roman"/>
                <w:b/>
                <w:sz w:val="10"/>
              </w:rPr>
            </w:pPr>
          </w:p>
        </w:tc>
        <w:tc>
          <w:tcPr>
            <w:tcW w:w="320" w:type="dxa"/>
            <w:shd w:val="clear" w:color="auto" w:fill="auto"/>
            <w:vAlign w:val="bottom"/>
          </w:tcPr>
          <w:p w14:paraId="3F537DCF" w14:textId="77777777" w:rsidR="00A52778" w:rsidRPr="00460F9E" w:rsidRDefault="00A52778" w:rsidP="00FC3F8E">
            <w:pPr>
              <w:spacing w:line="0" w:lineRule="atLeast"/>
              <w:rPr>
                <w:rFonts w:eastAsia="Times New Roman" w:cs="Times New Roman"/>
                <w:b/>
                <w:sz w:val="10"/>
              </w:rPr>
            </w:pPr>
          </w:p>
        </w:tc>
        <w:tc>
          <w:tcPr>
            <w:tcW w:w="440" w:type="dxa"/>
            <w:shd w:val="clear" w:color="auto" w:fill="auto"/>
            <w:vAlign w:val="bottom"/>
          </w:tcPr>
          <w:p w14:paraId="010E47AB" w14:textId="77777777" w:rsidR="00A52778" w:rsidRPr="00460F9E" w:rsidRDefault="00A52778" w:rsidP="00FC3F8E">
            <w:pPr>
              <w:spacing w:line="0" w:lineRule="atLeast"/>
              <w:rPr>
                <w:rFonts w:eastAsia="Times New Roman" w:cs="Times New Roman"/>
                <w:b/>
                <w:sz w:val="10"/>
              </w:rPr>
            </w:pPr>
          </w:p>
        </w:tc>
        <w:tc>
          <w:tcPr>
            <w:tcW w:w="340" w:type="dxa"/>
            <w:shd w:val="clear" w:color="auto" w:fill="auto"/>
            <w:vAlign w:val="bottom"/>
          </w:tcPr>
          <w:p w14:paraId="1BE0256B" w14:textId="77777777" w:rsidR="00A52778" w:rsidRPr="00460F9E" w:rsidRDefault="00A52778" w:rsidP="00FC3F8E">
            <w:pPr>
              <w:spacing w:line="0" w:lineRule="atLeast"/>
              <w:rPr>
                <w:rFonts w:eastAsia="Times New Roman" w:cs="Times New Roman"/>
                <w:b/>
                <w:sz w:val="10"/>
              </w:rPr>
            </w:pPr>
          </w:p>
        </w:tc>
        <w:tc>
          <w:tcPr>
            <w:tcW w:w="1457" w:type="dxa"/>
            <w:tcBorders>
              <w:right w:val="single" w:sz="8" w:space="0" w:color="auto"/>
            </w:tcBorders>
            <w:shd w:val="clear" w:color="auto" w:fill="auto"/>
            <w:vAlign w:val="bottom"/>
          </w:tcPr>
          <w:p w14:paraId="0108397E" w14:textId="77777777" w:rsidR="00A52778" w:rsidRPr="00460F9E" w:rsidRDefault="00A52778" w:rsidP="00FC3F8E">
            <w:pPr>
              <w:spacing w:line="0" w:lineRule="atLeast"/>
              <w:rPr>
                <w:rFonts w:eastAsia="Times New Roman" w:cs="Times New Roman"/>
                <w:b/>
                <w:sz w:val="10"/>
              </w:rPr>
            </w:pPr>
          </w:p>
        </w:tc>
        <w:tc>
          <w:tcPr>
            <w:tcW w:w="5643" w:type="dxa"/>
            <w:vMerge/>
            <w:tcBorders>
              <w:right w:val="single" w:sz="8" w:space="0" w:color="auto"/>
            </w:tcBorders>
            <w:shd w:val="clear" w:color="auto" w:fill="auto"/>
            <w:vAlign w:val="bottom"/>
          </w:tcPr>
          <w:p w14:paraId="3392378E" w14:textId="77777777" w:rsidR="00A52778" w:rsidRPr="00460F9E" w:rsidRDefault="00A52778" w:rsidP="00FC3F8E">
            <w:pPr>
              <w:spacing w:line="0" w:lineRule="atLeast"/>
              <w:rPr>
                <w:rFonts w:eastAsia="Times New Roman" w:cs="Times New Roman"/>
                <w:b/>
                <w:sz w:val="10"/>
              </w:rPr>
            </w:pPr>
          </w:p>
        </w:tc>
      </w:tr>
      <w:tr w:rsidR="00A52778" w:rsidRPr="00460F9E" w14:paraId="037963E8" w14:textId="77777777" w:rsidTr="00FC3F8E">
        <w:trPr>
          <w:trHeight w:val="104"/>
        </w:trPr>
        <w:tc>
          <w:tcPr>
            <w:tcW w:w="720" w:type="dxa"/>
            <w:gridSpan w:val="2"/>
            <w:tcBorders>
              <w:left w:val="single" w:sz="8" w:space="0" w:color="auto"/>
              <w:bottom w:val="single" w:sz="8" w:space="0" w:color="auto"/>
            </w:tcBorders>
            <w:shd w:val="clear" w:color="auto" w:fill="auto"/>
            <w:vAlign w:val="bottom"/>
          </w:tcPr>
          <w:p w14:paraId="00A1F0E9" w14:textId="77777777" w:rsidR="00A52778" w:rsidRPr="00460F9E" w:rsidRDefault="00A52778" w:rsidP="00FC3F8E">
            <w:pPr>
              <w:spacing w:line="0" w:lineRule="atLeast"/>
              <w:rPr>
                <w:rFonts w:eastAsia="Times New Roman" w:cs="Times New Roman"/>
                <w:b/>
                <w:sz w:val="9"/>
              </w:rPr>
            </w:pPr>
          </w:p>
        </w:tc>
        <w:tc>
          <w:tcPr>
            <w:tcW w:w="440" w:type="dxa"/>
            <w:tcBorders>
              <w:bottom w:val="single" w:sz="8" w:space="0" w:color="auto"/>
            </w:tcBorders>
            <w:shd w:val="clear" w:color="auto" w:fill="auto"/>
            <w:vAlign w:val="bottom"/>
          </w:tcPr>
          <w:p w14:paraId="5FA3C068" w14:textId="77777777" w:rsidR="00A52778" w:rsidRPr="00460F9E" w:rsidRDefault="00A52778" w:rsidP="00FC3F8E">
            <w:pPr>
              <w:spacing w:line="0" w:lineRule="atLeast"/>
              <w:rPr>
                <w:rFonts w:eastAsia="Times New Roman" w:cs="Times New Roman"/>
                <w:b/>
                <w:sz w:val="9"/>
              </w:rPr>
            </w:pPr>
          </w:p>
        </w:tc>
        <w:tc>
          <w:tcPr>
            <w:tcW w:w="340" w:type="dxa"/>
            <w:tcBorders>
              <w:bottom w:val="single" w:sz="8" w:space="0" w:color="auto"/>
            </w:tcBorders>
            <w:shd w:val="clear" w:color="auto" w:fill="auto"/>
            <w:vAlign w:val="bottom"/>
          </w:tcPr>
          <w:p w14:paraId="2819449A" w14:textId="77777777" w:rsidR="00A52778" w:rsidRPr="00460F9E" w:rsidRDefault="00A52778" w:rsidP="00FC3F8E">
            <w:pPr>
              <w:spacing w:line="0" w:lineRule="atLeast"/>
              <w:rPr>
                <w:rFonts w:eastAsia="Times New Roman" w:cs="Times New Roman"/>
                <w:b/>
                <w:sz w:val="9"/>
              </w:rPr>
            </w:pPr>
          </w:p>
        </w:tc>
        <w:tc>
          <w:tcPr>
            <w:tcW w:w="1457" w:type="dxa"/>
            <w:tcBorders>
              <w:bottom w:val="single" w:sz="8" w:space="0" w:color="auto"/>
              <w:right w:val="single" w:sz="8" w:space="0" w:color="auto"/>
            </w:tcBorders>
            <w:shd w:val="clear" w:color="auto" w:fill="auto"/>
            <w:vAlign w:val="bottom"/>
          </w:tcPr>
          <w:p w14:paraId="6C699FAF" w14:textId="77777777" w:rsidR="00A52778" w:rsidRPr="00460F9E" w:rsidRDefault="00A52778" w:rsidP="00FC3F8E">
            <w:pPr>
              <w:spacing w:line="0" w:lineRule="atLeast"/>
              <w:rPr>
                <w:rFonts w:eastAsia="Times New Roman" w:cs="Times New Roman"/>
                <w:b/>
                <w:sz w:val="9"/>
              </w:rPr>
            </w:pPr>
          </w:p>
        </w:tc>
        <w:tc>
          <w:tcPr>
            <w:tcW w:w="5643" w:type="dxa"/>
            <w:tcBorders>
              <w:bottom w:val="single" w:sz="8" w:space="0" w:color="auto"/>
              <w:right w:val="single" w:sz="8" w:space="0" w:color="auto"/>
            </w:tcBorders>
            <w:shd w:val="clear" w:color="auto" w:fill="auto"/>
            <w:vAlign w:val="bottom"/>
          </w:tcPr>
          <w:p w14:paraId="2B1FF150" w14:textId="77777777" w:rsidR="00A52778" w:rsidRPr="00460F9E" w:rsidRDefault="00A52778" w:rsidP="00FC3F8E">
            <w:pPr>
              <w:spacing w:line="0" w:lineRule="atLeast"/>
              <w:rPr>
                <w:rFonts w:eastAsia="Times New Roman" w:cs="Times New Roman"/>
                <w:b/>
                <w:sz w:val="9"/>
              </w:rPr>
            </w:pPr>
          </w:p>
        </w:tc>
      </w:tr>
      <w:tr w:rsidR="00A52778" w:rsidRPr="00460F9E" w14:paraId="68FDA71C" w14:textId="77777777" w:rsidTr="00FC3F8E">
        <w:trPr>
          <w:trHeight w:val="421"/>
        </w:trPr>
        <w:tc>
          <w:tcPr>
            <w:tcW w:w="2957" w:type="dxa"/>
            <w:gridSpan w:val="5"/>
            <w:tcBorders>
              <w:left w:val="single" w:sz="8" w:space="0" w:color="auto"/>
              <w:right w:val="single" w:sz="8" w:space="0" w:color="auto"/>
            </w:tcBorders>
            <w:shd w:val="clear" w:color="auto" w:fill="auto"/>
            <w:vAlign w:val="center"/>
          </w:tcPr>
          <w:p w14:paraId="62FA6697"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Toz</w:t>
            </w:r>
          </w:p>
        </w:tc>
        <w:tc>
          <w:tcPr>
            <w:tcW w:w="5643" w:type="dxa"/>
            <w:tcBorders>
              <w:right w:val="single" w:sz="8" w:space="0" w:color="auto"/>
            </w:tcBorders>
            <w:shd w:val="clear" w:color="auto" w:fill="auto"/>
            <w:vAlign w:val="bottom"/>
          </w:tcPr>
          <w:p w14:paraId="3B3E883F" w14:textId="77777777" w:rsidR="00A52778" w:rsidRPr="00460F9E" w:rsidRDefault="00A52778" w:rsidP="00FC3F8E">
            <w:pPr>
              <w:spacing w:line="0" w:lineRule="atLeast"/>
              <w:jc w:val="center"/>
              <w:rPr>
                <w:rFonts w:eastAsia="Times New Roman" w:cs="Times New Roman"/>
                <w:b/>
                <w:w w:val="94"/>
              </w:rPr>
            </w:pPr>
            <w:r w:rsidRPr="00460F9E">
              <w:rPr>
                <w:rFonts w:eastAsia="Times New Roman" w:cs="Times New Roman"/>
                <w:w w:val="94"/>
              </w:rPr>
              <w:t>&lt; 1-5 (</w:t>
            </w:r>
            <w:r w:rsidRPr="00460F9E">
              <w:rPr>
                <w:rFonts w:eastAsia="Times New Roman" w:cs="Times New Roman"/>
                <w:w w:val="94"/>
                <w:sz w:val="25"/>
                <w:vertAlign w:val="superscript"/>
              </w:rPr>
              <w:t>1</w:t>
            </w:r>
            <w:r w:rsidRPr="00460F9E">
              <w:rPr>
                <w:rFonts w:eastAsia="Times New Roman" w:cs="Times New Roman"/>
                <w:w w:val="94"/>
              </w:rPr>
              <w:t>) (</w:t>
            </w:r>
            <w:r w:rsidRPr="00460F9E">
              <w:rPr>
                <w:rFonts w:eastAsia="Times New Roman" w:cs="Times New Roman"/>
                <w:w w:val="94"/>
                <w:sz w:val="25"/>
                <w:vertAlign w:val="superscript"/>
              </w:rPr>
              <w:t>2</w:t>
            </w:r>
            <w:r w:rsidRPr="00460F9E">
              <w:rPr>
                <w:rFonts w:eastAsia="Times New Roman" w:cs="Times New Roman"/>
                <w:w w:val="94"/>
              </w:rPr>
              <w:t>) (</w:t>
            </w:r>
            <w:r w:rsidRPr="00460F9E">
              <w:rPr>
                <w:rFonts w:eastAsia="Times New Roman" w:cs="Times New Roman"/>
                <w:w w:val="94"/>
                <w:sz w:val="25"/>
                <w:vertAlign w:val="superscript"/>
              </w:rPr>
              <w:t>3</w:t>
            </w:r>
            <w:r w:rsidRPr="00460F9E">
              <w:rPr>
                <w:rFonts w:eastAsia="Times New Roman" w:cs="Times New Roman"/>
                <w:w w:val="94"/>
              </w:rPr>
              <w:t>) (</w:t>
            </w:r>
            <w:r w:rsidRPr="00460F9E">
              <w:rPr>
                <w:rFonts w:eastAsia="Times New Roman" w:cs="Times New Roman"/>
                <w:w w:val="94"/>
                <w:sz w:val="25"/>
                <w:vertAlign w:val="superscript"/>
              </w:rPr>
              <w:t>4</w:t>
            </w:r>
            <w:r w:rsidRPr="00460F9E">
              <w:rPr>
                <w:rFonts w:eastAsia="Times New Roman" w:cs="Times New Roman"/>
                <w:w w:val="94"/>
              </w:rPr>
              <w:t>)</w:t>
            </w:r>
          </w:p>
        </w:tc>
      </w:tr>
      <w:tr w:rsidR="00A52778" w:rsidRPr="00460F9E" w14:paraId="1AE24479" w14:textId="77777777" w:rsidTr="00FC3F8E">
        <w:trPr>
          <w:trHeight w:val="49"/>
        </w:trPr>
        <w:tc>
          <w:tcPr>
            <w:tcW w:w="720" w:type="dxa"/>
            <w:gridSpan w:val="2"/>
            <w:tcBorders>
              <w:left w:val="single" w:sz="8" w:space="0" w:color="auto"/>
              <w:bottom w:val="single" w:sz="8" w:space="0" w:color="auto"/>
            </w:tcBorders>
            <w:shd w:val="clear" w:color="auto" w:fill="auto"/>
            <w:vAlign w:val="bottom"/>
          </w:tcPr>
          <w:p w14:paraId="6600CF49" w14:textId="77777777" w:rsidR="00A52778" w:rsidRPr="00460F9E" w:rsidRDefault="00A52778" w:rsidP="00FC3F8E">
            <w:pPr>
              <w:spacing w:line="0" w:lineRule="atLeast"/>
              <w:rPr>
                <w:rFonts w:eastAsia="Times New Roman" w:cs="Times New Roman"/>
                <w:b/>
                <w:sz w:val="4"/>
              </w:rPr>
            </w:pPr>
          </w:p>
        </w:tc>
        <w:tc>
          <w:tcPr>
            <w:tcW w:w="440" w:type="dxa"/>
            <w:tcBorders>
              <w:bottom w:val="single" w:sz="8" w:space="0" w:color="auto"/>
            </w:tcBorders>
            <w:shd w:val="clear" w:color="auto" w:fill="auto"/>
            <w:vAlign w:val="bottom"/>
          </w:tcPr>
          <w:p w14:paraId="481D15DC" w14:textId="77777777" w:rsidR="00A52778" w:rsidRPr="00460F9E" w:rsidRDefault="00A52778" w:rsidP="00FC3F8E">
            <w:pPr>
              <w:spacing w:line="0" w:lineRule="atLeast"/>
              <w:rPr>
                <w:rFonts w:eastAsia="Times New Roman" w:cs="Times New Roman"/>
                <w:b/>
                <w:sz w:val="4"/>
              </w:rPr>
            </w:pPr>
          </w:p>
        </w:tc>
        <w:tc>
          <w:tcPr>
            <w:tcW w:w="340" w:type="dxa"/>
            <w:tcBorders>
              <w:bottom w:val="single" w:sz="8" w:space="0" w:color="auto"/>
            </w:tcBorders>
            <w:shd w:val="clear" w:color="auto" w:fill="auto"/>
            <w:vAlign w:val="bottom"/>
          </w:tcPr>
          <w:p w14:paraId="1EDC79CE" w14:textId="77777777" w:rsidR="00A52778" w:rsidRPr="00460F9E" w:rsidRDefault="00A52778" w:rsidP="00FC3F8E">
            <w:pPr>
              <w:spacing w:line="0" w:lineRule="atLeast"/>
              <w:rPr>
                <w:rFonts w:eastAsia="Times New Roman" w:cs="Times New Roman"/>
                <w:b/>
                <w:sz w:val="4"/>
              </w:rPr>
            </w:pPr>
          </w:p>
        </w:tc>
        <w:tc>
          <w:tcPr>
            <w:tcW w:w="1457" w:type="dxa"/>
            <w:tcBorders>
              <w:bottom w:val="single" w:sz="8" w:space="0" w:color="auto"/>
              <w:right w:val="single" w:sz="8" w:space="0" w:color="auto"/>
            </w:tcBorders>
            <w:shd w:val="clear" w:color="auto" w:fill="auto"/>
            <w:vAlign w:val="bottom"/>
          </w:tcPr>
          <w:p w14:paraId="0B39A85C" w14:textId="77777777" w:rsidR="00A52778" w:rsidRPr="00460F9E" w:rsidRDefault="00A52778" w:rsidP="00FC3F8E">
            <w:pPr>
              <w:spacing w:line="0" w:lineRule="atLeast"/>
              <w:rPr>
                <w:rFonts w:eastAsia="Times New Roman" w:cs="Times New Roman"/>
                <w:b/>
                <w:sz w:val="4"/>
              </w:rPr>
            </w:pPr>
          </w:p>
        </w:tc>
        <w:tc>
          <w:tcPr>
            <w:tcW w:w="5643" w:type="dxa"/>
            <w:tcBorders>
              <w:bottom w:val="single" w:sz="8" w:space="0" w:color="auto"/>
              <w:right w:val="single" w:sz="8" w:space="0" w:color="auto"/>
            </w:tcBorders>
            <w:shd w:val="clear" w:color="auto" w:fill="auto"/>
            <w:vAlign w:val="bottom"/>
          </w:tcPr>
          <w:p w14:paraId="3DFC80B4" w14:textId="77777777" w:rsidR="00A52778" w:rsidRPr="00460F9E" w:rsidRDefault="00A52778" w:rsidP="00FC3F8E">
            <w:pPr>
              <w:spacing w:line="0" w:lineRule="atLeast"/>
              <w:rPr>
                <w:rFonts w:eastAsia="Times New Roman" w:cs="Times New Roman"/>
                <w:b/>
                <w:sz w:val="4"/>
              </w:rPr>
            </w:pPr>
          </w:p>
        </w:tc>
      </w:tr>
      <w:tr w:rsidR="00A52778" w:rsidRPr="00460F9E" w14:paraId="15B14340" w14:textId="77777777" w:rsidTr="00FC3F8E">
        <w:trPr>
          <w:trHeight w:val="414"/>
        </w:trPr>
        <w:tc>
          <w:tcPr>
            <w:tcW w:w="2957" w:type="dxa"/>
            <w:gridSpan w:val="5"/>
            <w:vMerge w:val="restart"/>
            <w:tcBorders>
              <w:left w:val="single" w:sz="8" w:space="0" w:color="auto"/>
              <w:bottom w:val="nil"/>
              <w:right w:val="single" w:sz="8" w:space="0" w:color="auto"/>
            </w:tcBorders>
            <w:shd w:val="clear" w:color="auto" w:fill="auto"/>
            <w:vAlign w:val="bottom"/>
          </w:tcPr>
          <w:p w14:paraId="75698994"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Pb olarak ifade edilen kurşun </w:t>
            </w:r>
          </w:p>
          <w:p w14:paraId="6CCFF8BC"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ve bileşikleri</w:t>
            </w:r>
          </w:p>
        </w:tc>
        <w:tc>
          <w:tcPr>
            <w:tcW w:w="5643" w:type="dxa"/>
            <w:tcBorders>
              <w:left w:val="single" w:sz="8" w:space="0" w:color="auto"/>
              <w:bottom w:val="nil"/>
              <w:right w:val="single" w:sz="8" w:space="0" w:color="auto"/>
            </w:tcBorders>
            <w:shd w:val="clear" w:color="auto" w:fill="auto"/>
            <w:vAlign w:val="bottom"/>
          </w:tcPr>
          <w:p w14:paraId="01863BD0" w14:textId="77777777" w:rsidR="00A52778" w:rsidRPr="00460F9E" w:rsidRDefault="00A52778" w:rsidP="00FC3F8E">
            <w:pPr>
              <w:spacing w:line="0" w:lineRule="atLeast"/>
              <w:jc w:val="center"/>
              <w:rPr>
                <w:rFonts w:eastAsia="Times New Roman" w:cs="Times New Roman"/>
                <w:b/>
                <w:w w:val="98"/>
              </w:rPr>
            </w:pPr>
            <w:r w:rsidRPr="00460F9E">
              <w:rPr>
                <w:rFonts w:eastAsia="Times New Roman" w:cs="Times New Roman"/>
                <w:w w:val="98"/>
              </w:rPr>
              <w:t>&lt; 0,01-0,1 (</w:t>
            </w:r>
            <w:r w:rsidRPr="00460F9E">
              <w:rPr>
                <w:rFonts w:eastAsia="Times New Roman" w:cs="Times New Roman"/>
                <w:w w:val="98"/>
                <w:sz w:val="25"/>
                <w:vertAlign w:val="superscript"/>
              </w:rPr>
              <w:t>5</w:t>
            </w:r>
            <w:r w:rsidRPr="00460F9E">
              <w:rPr>
                <w:rFonts w:eastAsia="Times New Roman" w:cs="Times New Roman"/>
                <w:w w:val="98"/>
              </w:rPr>
              <w:t>)</w:t>
            </w:r>
          </w:p>
        </w:tc>
      </w:tr>
      <w:tr w:rsidR="00A52778" w:rsidRPr="00460F9E" w14:paraId="38A5B0C9" w14:textId="77777777" w:rsidTr="00FC3F8E">
        <w:trPr>
          <w:trHeight w:val="50"/>
        </w:trPr>
        <w:tc>
          <w:tcPr>
            <w:tcW w:w="2957" w:type="dxa"/>
            <w:gridSpan w:val="5"/>
            <w:vMerge/>
            <w:tcBorders>
              <w:left w:val="single" w:sz="8" w:space="0" w:color="auto"/>
              <w:bottom w:val="single" w:sz="8" w:space="0" w:color="auto"/>
              <w:right w:val="single" w:sz="8" w:space="0" w:color="auto"/>
            </w:tcBorders>
            <w:shd w:val="clear" w:color="auto" w:fill="auto"/>
            <w:vAlign w:val="bottom"/>
          </w:tcPr>
          <w:p w14:paraId="4C6DB9EE" w14:textId="77777777" w:rsidR="00A52778" w:rsidRPr="00460F9E" w:rsidRDefault="00A52778" w:rsidP="00FC3F8E">
            <w:pPr>
              <w:spacing w:line="0" w:lineRule="atLeast"/>
              <w:rPr>
                <w:rFonts w:eastAsia="Times New Roman" w:cs="Times New Roman"/>
                <w:b/>
                <w:sz w:val="4"/>
              </w:rPr>
            </w:pPr>
          </w:p>
        </w:tc>
        <w:tc>
          <w:tcPr>
            <w:tcW w:w="5643" w:type="dxa"/>
            <w:tcBorders>
              <w:left w:val="single" w:sz="8" w:space="0" w:color="auto"/>
              <w:bottom w:val="single" w:sz="8" w:space="0" w:color="auto"/>
              <w:right w:val="single" w:sz="8" w:space="0" w:color="auto"/>
            </w:tcBorders>
            <w:shd w:val="clear" w:color="auto" w:fill="auto"/>
            <w:vAlign w:val="bottom"/>
          </w:tcPr>
          <w:p w14:paraId="2882AFF9" w14:textId="77777777" w:rsidR="00A52778" w:rsidRPr="00460F9E" w:rsidRDefault="00A52778" w:rsidP="00FC3F8E">
            <w:pPr>
              <w:spacing w:line="0" w:lineRule="atLeast"/>
              <w:rPr>
                <w:rFonts w:eastAsia="Times New Roman" w:cs="Times New Roman"/>
                <w:b/>
                <w:sz w:val="4"/>
              </w:rPr>
            </w:pPr>
          </w:p>
        </w:tc>
      </w:tr>
      <w:tr w:rsidR="00A52778" w:rsidRPr="00460F9E" w14:paraId="40C53EDC" w14:textId="77777777" w:rsidTr="00FC3F8E">
        <w:trPr>
          <w:trHeight w:val="232"/>
        </w:trPr>
        <w:tc>
          <w:tcPr>
            <w:tcW w:w="2957" w:type="dxa"/>
            <w:gridSpan w:val="5"/>
            <w:tcBorders>
              <w:left w:val="single" w:sz="8" w:space="0" w:color="auto"/>
              <w:right w:val="single" w:sz="8" w:space="0" w:color="auto"/>
            </w:tcBorders>
            <w:shd w:val="clear" w:color="auto" w:fill="auto"/>
            <w:vAlign w:val="center"/>
          </w:tcPr>
          <w:p w14:paraId="477BD3E1" w14:textId="77777777" w:rsidR="00A52778" w:rsidRPr="00460F9E" w:rsidRDefault="00A52778" w:rsidP="00FC3F8E">
            <w:pPr>
              <w:spacing w:line="0" w:lineRule="atLeast"/>
              <w:rPr>
                <w:rFonts w:eastAsia="Times New Roman" w:cs="Times New Roman"/>
                <w:b/>
              </w:rPr>
            </w:pPr>
          </w:p>
          <w:p w14:paraId="747C35CD"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Ni olarak ifade edilen nikel </w:t>
            </w:r>
          </w:p>
          <w:p w14:paraId="5C28FC39" w14:textId="77777777" w:rsidR="00A52778" w:rsidRPr="00460F9E" w:rsidRDefault="00A52778" w:rsidP="00FC3F8E">
            <w:pPr>
              <w:spacing w:line="0" w:lineRule="atLeast"/>
              <w:ind w:left="40"/>
              <w:rPr>
                <w:rFonts w:eastAsia="Times New Roman" w:cs="Times New Roman"/>
                <w:b/>
              </w:rPr>
            </w:pPr>
            <w:r w:rsidRPr="00460F9E">
              <w:rPr>
                <w:rFonts w:eastAsia="Times New Roman" w:cs="Times New Roman"/>
              </w:rPr>
              <w:t xml:space="preserve">    ve bileşikleri</w:t>
            </w:r>
          </w:p>
        </w:tc>
        <w:tc>
          <w:tcPr>
            <w:tcW w:w="5643" w:type="dxa"/>
            <w:vMerge w:val="restart"/>
            <w:tcBorders>
              <w:right w:val="single" w:sz="8" w:space="0" w:color="auto"/>
            </w:tcBorders>
            <w:shd w:val="clear" w:color="auto" w:fill="auto"/>
            <w:vAlign w:val="center"/>
          </w:tcPr>
          <w:p w14:paraId="2B60EF33" w14:textId="77777777" w:rsidR="00A52778" w:rsidRPr="00460F9E" w:rsidRDefault="00A52778" w:rsidP="00FC3F8E">
            <w:pPr>
              <w:spacing w:line="0" w:lineRule="atLeast"/>
              <w:jc w:val="center"/>
              <w:rPr>
                <w:rFonts w:eastAsia="Times New Roman" w:cs="Times New Roman"/>
                <w:b/>
                <w:w w:val="98"/>
              </w:rPr>
            </w:pPr>
            <w:r w:rsidRPr="00460F9E">
              <w:rPr>
                <w:rFonts w:eastAsia="Times New Roman" w:cs="Times New Roman"/>
                <w:w w:val="98"/>
              </w:rPr>
              <w:t>&lt; 0,02-0,1 (</w:t>
            </w:r>
            <w:r w:rsidRPr="00460F9E">
              <w:rPr>
                <w:rFonts w:eastAsia="Times New Roman" w:cs="Times New Roman"/>
                <w:w w:val="98"/>
                <w:sz w:val="25"/>
                <w:vertAlign w:val="superscript"/>
              </w:rPr>
              <w:t>6</w:t>
            </w:r>
            <w:r w:rsidRPr="00460F9E">
              <w:rPr>
                <w:rFonts w:eastAsia="Times New Roman" w:cs="Times New Roman"/>
                <w:w w:val="98"/>
              </w:rPr>
              <w:t>)</w:t>
            </w:r>
          </w:p>
        </w:tc>
      </w:tr>
      <w:tr w:rsidR="00A52778" w:rsidRPr="00460F9E" w14:paraId="2AB8C24D" w14:textId="77777777" w:rsidTr="00FC3F8E">
        <w:trPr>
          <w:trHeight w:val="188"/>
        </w:trPr>
        <w:tc>
          <w:tcPr>
            <w:tcW w:w="1500" w:type="dxa"/>
            <w:gridSpan w:val="4"/>
            <w:vMerge w:val="restart"/>
            <w:tcBorders>
              <w:left w:val="single" w:sz="8" w:space="0" w:color="auto"/>
            </w:tcBorders>
            <w:shd w:val="clear" w:color="auto" w:fill="auto"/>
            <w:vAlign w:val="bottom"/>
          </w:tcPr>
          <w:p w14:paraId="6A0954C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w:t>
            </w:r>
          </w:p>
        </w:tc>
        <w:tc>
          <w:tcPr>
            <w:tcW w:w="1457" w:type="dxa"/>
            <w:tcBorders>
              <w:right w:val="single" w:sz="8" w:space="0" w:color="auto"/>
            </w:tcBorders>
            <w:shd w:val="clear" w:color="auto" w:fill="auto"/>
            <w:vAlign w:val="bottom"/>
          </w:tcPr>
          <w:p w14:paraId="0305AAB0" w14:textId="77777777" w:rsidR="00A52778" w:rsidRPr="00460F9E" w:rsidRDefault="00A52778" w:rsidP="00FC3F8E">
            <w:pPr>
              <w:spacing w:line="0" w:lineRule="atLeast"/>
              <w:rPr>
                <w:rFonts w:eastAsia="Times New Roman" w:cs="Times New Roman"/>
                <w:b/>
                <w:sz w:val="16"/>
              </w:rPr>
            </w:pPr>
          </w:p>
        </w:tc>
        <w:tc>
          <w:tcPr>
            <w:tcW w:w="5643" w:type="dxa"/>
            <w:vMerge/>
            <w:tcBorders>
              <w:right w:val="single" w:sz="8" w:space="0" w:color="auto"/>
            </w:tcBorders>
            <w:shd w:val="clear" w:color="auto" w:fill="auto"/>
            <w:vAlign w:val="bottom"/>
          </w:tcPr>
          <w:p w14:paraId="0B71E05B" w14:textId="77777777" w:rsidR="00A52778" w:rsidRPr="00460F9E" w:rsidRDefault="00A52778" w:rsidP="00FC3F8E">
            <w:pPr>
              <w:spacing w:line="0" w:lineRule="atLeast"/>
              <w:rPr>
                <w:rFonts w:eastAsia="Times New Roman" w:cs="Times New Roman"/>
                <w:b/>
                <w:sz w:val="16"/>
              </w:rPr>
            </w:pPr>
          </w:p>
        </w:tc>
      </w:tr>
      <w:tr w:rsidR="00A52778" w:rsidRPr="00460F9E" w14:paraId="02B9F9FB" w14:textId="77777777" w:rsidTr="00FC3F8E">
        <w:trPr>
          <w:trHeight w:val="50"/>
        </w:trPr>
        <w:tc>
          <w:tcPr>
            <w:tcW w:w="1500" w:type="dxa"/>
            <w:gridSpan w:val="4"/>
            <w:vMerge/>
            <w:tcBorders>
              <w:left w:val="single" w:sz="8" w:space="0" w:color="auto"/>
              <w:bottom w:val="single" w:sz="8" w:space="0" w:color="auto"/>
            </w:tcBorders>
            <w:shd w:val="clear" w:color="auto" w:fill="auto"/>
            <w:vAlign w:val="bottom"/>
          </w:tcPr>
          <w:p w14:paraId="0D02DA22" w14:textId="77777777" w:rsidR="00A52778" w:rsidRPr="00460F9E" w:rsidRDefault="00A52778" w:rsidP="00FC3F8E">
            <w:pPr>
              <w:spacing w:line="0" w:lineRule="atLeast"/>
              <w:rPr>
                <w:rFonts w:eastAsia="Times New Roman" w:cs="Times New Roman"/>
                <w:b/>
                <w:sz w:val="4"/>
              </w:rPr>
            </w:pPr>
          </w:p>
        </w:tc>
        <w:tc>
          <w:tcPr>
            <w:tcW w:w="1457" w:type="dxa"/>
            <w:tcBorders>
              <w:bottom w:val="single" w:sz="8" w:space="0" w:color="auto"/>
              <w:right w:val="single" w:sz="8" w:space="0" w:color="auto"/>
            </w:tcBorders>
            <w:shd w:val="clear" w:color="auto" w:fill="auto"/>
            <w:vAlign w:val="bottom"/>
          </w:tcPr>
          <w:p w14:paraId="41771099" w14:textId="77777777" w:rsidR="00A52778" w:rsidRPr="00460F9E" w:rsidRDefault="00A52778" w:rsidP="00FC3F8E">
            <w:pPr>
              <w:spacing w:line="0" w:lineRule="atLeast"/>
              <w:rPr>
                <w:rFonts w:eastAsia="Times New Roman" w:cs="Times New Roman"/>
                <w:b/>
                <w:sz w:val="4"/>
              </w:rPr>
            </w:pPr>
          </w:p>
        </w:tc>
        <w:tc>
          <w:tcPr>
            <w:tcW w:w="5643" w:type="dxa"/>
            <w:tcBorders>
              <w:bottom w:val="single" w:sz="8" w:space="0" w:color="auto"/>
              <w:right w:val="single" w:sz="8" w:space="0" w:color="auto"/>
            </w:tcBorders>
            <w:shd w:val="clear" w:color="auto" w:fill="auto"/>
            <w:vAlign w:val="bottom"/>
          </w:tcPr>
          <w:p w14:paraId="0FC48F4B" w14:textId="77777777" w:rsidR="00A52778" w:rsidRPr="00460F9E" w:rsidRDefault="00A52778" w:rsidP="00FC3F8E">
            <w:pPr>
              <w:spacing w:line="0" w:lineRule="atLeast"/>
              <w:rPr>
                <w:rFonts w:eastAsia="Times New Roman" w:cs="Times New Roman"/>
                <w:b/>
                <w:sz w:val="4"/>
              </w:rPr>
            </w:pPr>
          </w:p>
        </w:tc>
      </w:tr>
      <w:tr w:rsidR="00A52778" w:rsidRPr="00460F9E" w14:paraId="4EBB5970" w14:textId="77777777" w:rsidTr="00FC3F8E">
        <w:trPr>
          <w:trHeight w:val="273"/>
        </w:trPr>
        <w:tc>
          <w:tcPr>
            <w:tcW w:w="400" w:type="dxa"/>
            <w:tcBorders>
              <w:left w:val="single" w:sz="8" w:space="0" w:color="auto"/>
            </w:tcBorders>
            <w:shd w:val="clear" w:color="auto" w:fill="auto"/>
            <w:vAlign w:val="bottom"/>
          </w:tcPr>
          <w:p w14:paraId="33B7BB78" w14:textId="77777777" w:rsidR="00A52778" w:rsidRPr="00460F9E" w:rsidRDefault="00A52778" w:rsidP="00FC3F8E">
            <w:pPr>
              <w:spacing w:line="273" w:lineRule="exact"/>
              <w:ind w:left="180"/>
              <w:rPr>
                <w:rFonts w:eastAsia="Times New Roman" w:cs="Times New Roman"/>
                <w:b/>
                <w:w w:val="99"/>
                <w:sz w:val="18"/>
              </w:rPr>
            </w:pPr>
            <w:r w:rsidRPr="00460F9E">
              <w:rPr>
                <w:rFonts w:eastAsia="Times New Roman" w:cs="Times New Roman"/>
                <w:w w:val="99"/>
                <w:sz w:val="18"/>
              </w:rPr>
              <w:t>(</w:t>
            </w:r>
            <w:r w:rsidRPr="00460F9E">
              <w:rPr>
                <w:rFonts w:eastAsia="Times New Roman" w:cs="Times New Roman"/>
                <w:w w:val="99"/>
                <w:vertAlign w:val="superscript"/>
              </w:rPr>
              <w:t>1</w:t>
            </w:r>
            <w:r w:rsidRPr="00460F9E">
              <w:rPr>
                <w:rFonts w:eastAsia="Times New Roman" w:cs="Times New Roman"/>
                <w:w w:val="99"/>
                <w:sz w:val="18"/>
              </w:rPr>
              <w:t>)</w:t>
            </w:r>
          </w:p>
        </w:tc>
        <w:tc>
          <w:tcPr>
            <w:tcW w:w="8200" w:type="dxa"/>
            <w:gridSpan w:val="5"/>
            <w:tcBorders>
              <w:right w:val="single" w:sz="8" w:space="0" w:color="auto"/>
            </w:tcBorders>
            <w:shd w:val="clear" w:color="auto" w:fill="auto"/>
            <w:vAlign w:val="bottom"/>
          </w:tcPr>
          <w:p w14:paraId="2A9FC7A9" w14:textId="77777777" w:rsidR="00A52778" w:rsidRPr="00460F9E" w:rsidRDefault="00A52778" w:rsidP="00FC3F8E">
            <w:pPr>
              <w:spacing w:line="273" w:lineRule="exact"/>
              <w:ind w:left="60"/>
              <w:rPr>
                <w:rFonts w:eastAsia="Times New Roman" w:cs="Times New Roman"/>
                <w:b/>
                <w:sz w:val="18"/>
              </w:rPr>
            </w:pPr>
            <w:r w:rsidRPr="00460F9E">
              <w:rPr>
                <w:rFonts w:eastAsia="Times New Roman" w:cs="Times New Roman"/>
                <w:sz w:val="18"/>
              </w:rPr>
              <w:t>Aralığın üst ucu, ne mutlak ne de kumaş filtre uygulanabilir olduğunda 20 mg/N</w:t>
            </w:r>
            <w:r w:rsidRPr="00460F9E">
              <w:rPr>
                <w:rFonts w:eastAsia="Times New Roman" w:cs="Times New Roman"/>
                <w:bCs/>
                <w:w w:val="99"/>
              </w:rPr>
              <w:t>m</w:t>
            </w:r>
            <w:r w:rsidRPr="00460F9E">
              <w:rPr>
                <w:rFonts w:eastAsia="Times New Roman" w:cs="Times New Roman"/>
                <w:bCs/>
                <w:w w:val="99"/>
                <w:vertAlign w:val="superscript"/>
              </w:rPr>
              <w:t>3</w:t>
            </w:r>
            <w:r w:rsidRPr="00460F9E">
              <w:rPr>
                <w:rFonts w:eastAsia="Times New Roman" w:cs="Times New Roman"/>
                <w:sz w:val="18"/>
              </w:rPr>
              <w:t>' tür.</w:t>
            </w:r>
          </w:p>
        </w:tc>
      </w:tr>
      <w:tr w:rsidR="00A52778" w:rsidRPr="00460F9E" w14:paraId="73B4B16F" w14:textId="77777777" w:rsidTr="00FC3F8E">
        <w:trPr>
          <w:trHeight w:val="213"/>
        </w:trPr>
        <w:tc>
          <w:tcPr>
            <w:tcW w:w="400" w:type="dxa"/>
            <w:tcBorders>
              <w:left w:val="single" w:sz="8" w:space="0" w:color="auto"/>
            </w:tcBorders>
            <w:shd w:val="clear" w:color="auto" w:fill="auto"/>
            <w:vAlign w:val="bottom"/>
          </w:tcPr>
          <w:p w14:paraId="0462FCA0" w14:textId="77777777" w:rsidR="00A52778" w:rsidRPr="00460F9E" w:rsidRDefault="00A52778" w:rsidP="00FC3F8E">
            <w:pPr>
              <w:spacing w:line="213" w:lineRule="exact"/>
              <w:ind w:left="180"/>
              <w:rPr>
                <w:rFonts w:eastAsia="Times New Roman" w:cs="Times New Roman"/>
                <w:b/>
                <w:w w:val="99"/>
                <w:sz w:val="18"/>
              </w:rPr>
            </w:pPr>
            <w:r w:rsidRPr="00460F9E">
              <w:rPr>
                <w:rFonts w:eastAsia="Times New Roman" w:cs="Times New Roman"/>
                <w:w w:val="99"/>
                <w:sz w:val="18"/>
              </w:rPr>
              <w:t>(</w:t>
            </w:r>
            <w:r w:rsidRPr="00460F9E">
              <w:rPr>
                <w:rFonts w:eastAsia="Times New Roman" w:cs="Times New Roman"/>
                <w:w w:val="99"/>
                <w:vertAlign w:val="superscript"/>
              </w:rPr>
              <w:t>2</w:t>
            </w:r>
            <w:r w:rsidRPr="00460F9E">
              <w:rPr>
                <w:rFonts w:eastAsia="Times New Roman" w:cs="Times New Roman"/>
                <w:w w:val="99"/>
                <w:sz w:val="18"/>
              </w:rPr>
              <w:t>)</w:t>
            </w:r>
          </w:p>
        </w:tc>
        <w:tc>
          <w:tcPr>
            <w:tcW w:w="8200" w:type="dxa"/>
            <w:gridSpan w:val="5"/>
            <w:vMerge w:val="restart"/>
            <w:tcBorders>
              <w:right w:val="single" w:sz="8" w:space="0" w:color="auto"/>
            </w:tcBorders>
            <w:shd w:val="clear" w:color="auto" w:fill="auto"/>
            <w:vAlign w:val="bottom"/>
          </w:tcPr>
          <w:p w14:paraId="64823EEB" w14:textId="77777777" w:rsidR="00A52778" w:rsidRPr="00460F9E" w:rsidRDefault="00A52778" w:rsidP="00FC3F8E">
            <w:pPr>
              <w:spacing w:line="197" w:lineRule="exact"/>
              <w:ind w:left="60"/>
              <w:rPr>
                <w:rFonts w:eastAsia="Times New Roman" w:cs="Times New Roman"/>
                <w:b/>
                <w:sz w:val="18"/>
              </w:rPr>
            </w:pPr>
            <w:r w:rsidRPr="00460F9E">
              <w:rPr>
                <w:rFonts w:eastAsia="Times New Roman" w:cs="Times New Roman"/>
                <w:sz w:val="18"/>
              </w:rPr>
              <w:t>MET-AEL, MET 2' de verilen envantere dayalı olarak tozda ilgili CMR maddeleri tespit edilmemişse, küçük emisyonlar (yani toz kütle akışı örneğin 50 g/saat’ in altında olduğunda) için geçerli değildir.</w:t>
            </w:r>
          </w:p>
        </w:tc>
      </w:tr>
      <w:tr w:rsidR="00A52778" w:rsidRPr="00460F9E" w14:paraId="5AAE06B2" w14:textId="77777777" w:rsidTr="00FC3F8E">
        <w:trPr>
          <w:trHeight w:val="197"/>
        </w:trPr>
        <w:tc>
          <w:tcPr>
            <w:tcW w:w="400" w:type="dxa"/>
            <w:tcBorders>
              <w:left w:val="single" w:sz="8" w:space="0" w:color="auto"/>
            </w:tcBorders>
            <w:shd w:val="clear" w:color="auto" w:fill="auto"/>
            <w:vAlign w:val="bottom"/>
          </w:tcPr>
          <w:p w14:paraId="7607D706" w14:textId="77777777" w:rsidR="00A52778" w:rsidRPr="00460F9E" w:rsidRDefault="00A52778" w:rsidP="00FC3F8E">
            <w:pPr>
              <w:spacing w:line="0" w:lineRule="atLeast"/>
              <w:rPr>
                <w:rFonts w:eastAsia="Times New Roman" w:cs="Times New Roman"/>
                <w:b/>
                <w:sz w:val="17"/>
              </w:rPr>
            </w:pPr>
          </w:p>
        </w:tc>
        <w:tc>
          <w:tcPr>
            <w:tcW w:w="8200" w:type="dxa"/>
            <w:gridSpan w:val="5"/>
            <w:vMerge/>
            <w:tcBorders>
              <w:right w:val="single" w:sz="8" w:space="0" w:color="auto"/>
            </w:tcBorders>
            <w:shd w:val="clear" w:color="auto" w:fill="auto"/>
            <w:vAlign w:val="bottom"/>
          </w:tcPr>
          <w:p w14:paraId="25D0EA02" w14:textId="77777777" w:rsidR="00A52778" w:rsidRPr="00460F9E" w:rsidRDefault="00A52778" w:rsidP="00FC3F8E">
            <w:pPr>
              <w:spacing w:line="197" w:lineRule="exact"/>
              <w:ind w:left="60"/>
              <w:rPr>
                <w:rFonts w:eastAsia="Times New Roman" w:cs="Times New Roman"/>
                <w:b/>
                <w:sz w:val="18"/>
              </w:rPr>
            </w:pPr>
          </w:p>
        </w:tc>
      </w:tr>
      <w:tr w:rsidR="00A52778" w:rsidRPr="00460F9E" w14:paraId="140AB2C9" w14:textId="77777777" w:rsidTr="00FC3F8E">
        <w:trPr>
          <w:trHeight w:val="211"/>
        </w:trPr>
        <w:tc>
          <w:tcPr>
            <w:tcW w:w="400" w:type="dxa"/>
            <w:tcBorders>
              <w:left w:val="single" w:sz="8" w:space="0" w:color="auto"/>
            </w:tcBorders>
            <w:shd w:val="clear" w:color="auto" w:fill="auto"/>
            <w:vAlign w:val="bottom"/>
          </w:tcPr>
          <w:p w14:paraId="6143CECD" w14:textId="77777777" w:rsidR="00A52778" w:rsidRPr="00460F9E" w:rsidRDefault="00A52778" w:rsidP="00FC3F8E">
            <w:pPr>
              <w:spacing w:line="211" w:lineRule="exact"/>
              <w:ind w:left="180"/>
              <w:rPr>
                <w:rFonts w:eastAsia="Times New Roman" w:cs="Times New Roman"/>
                <w:b/>
                <w:w w:val="99"/>
                <w:sz w:val="18"/>
              </w:rPr>
            </w:pPr>
            <w:r w:rsidRPr="00460F9E">
              <w:rPr>
                <w:rFonts w:eastAsia="Times New Roman" w:cs="Times New Roman"/>
                <w:w w:val="99"/>
                <w:sz w:val="18"/>
              </w:rPr>
              <w:t>(</w:t>
            </w:r>
            <w:r w:rsidRPr="00460F9E">
              <w:rPr>
                <w:rFonts w:eastAsia="Times New Roman" w:cs="Times New Roman"/>
                <w:w w:val="99"/>
                <w:vertAlign w:val="superscript"/>
              </w:rPr>
              <w:t>3</w:t>
            </w:r>
            <w:r w:rsidRPr="00460F9E">
              <w:rPr>
                <w:rFonts w:eastAsia="Times New Roman" w:cs="Times New Roman"/>
                <w:w w:val="99"/>
                <w:sz w:val="18"/>
              </w:rPr>
              <w:t>)</w:t>
            </w:r>
          </w:p>
        </w:tc>
        <w:tc>
          <w:tcPr>
            <w:tcW w:w="8200" w:type="dxa"/>
            <w:gridSpan w:val="5"/>
            <w:vMerge w:val="restart"/>
            <w:tcBorders>
              <w:right w:val="single" w:sz="8" w:space="0" w:color="auto"/>
            </w:tcBorders>
            <w:shd w:val="clear" w:color="auto" w:fill="auto"/>
            <w:vAlign w:val="bottom"/>
          </w:tcPr>
          <w:p w14:paraId="01617D25" w14:textId="77777777" w:rsidR="00A52778" w:rsidRPr="00460F9E" w:rsidRDefault="00A52778" w:rsidP="00FC3F8E">
            <w:pPr>
              <w:spacing w:line="207" w:lineRule="exact"/>
              <w:ind w:left="60"/>
              <w:rPr>
                <w:rFonts w:eastAsia="Times New Roman" w:cs="Times New Roman"/>
                <w:b/>
                <w:sz w:val="18"/>
              </w:rPr>
            </w:pPr>
            <w:r w:rsidRPr="00460F9E">
              <w:rPr>
                <w:rFonts w:eastAsia="Times New Roman" w:cs="Times New Roman"/>
                <w:sz w:val="18"/>
              </w:rPr>
              <w:t>Doğrudan ısıtma kullanılarak kompleks inorganik pigmentlerin üretilmesi durumunda ve E-PVC üretiminde kurutma aşaması söz konusu olduğunda, MET-AEL aralığının üst ucu daha yüksek olabilir ve 10 mg/ N</w:t>
            </w:r>
            <w:r w:rsidRPr="00460F9E">
              <w:rPr>
                <w:rFonts w:eastAsia="Times New Roman" w:cs="Times New Roman"/>
                <w:bCs/>
                <w:w w:val="99"/>
              </w:rPr>
              <w:t>m</w:t>
            </w:r>
            <w:r w:rsidRPr="00460F9E">
              <w:rPr>
                <w:rFonts w:eastAsia="Times New Roman" w:cs="Times New Roman"/>
                <w:bCs/>
                <w:w w:val="99"/>
                <w:vertAlign w:val="superscript"/>
              </w:rPr>
              <w:t>3</w:t>
            </w:r>
            <w:r w:rsidRPr="00460F9E">
              <w:rPr>
                <w:rFonts w:eastAsia="Times New Roman" w:cs="Times New Roman"/>
                <w:sz w:val="18"/>
              </w:rPr>
              <w:t>' e kadar çıkabilir.</w:t>
            </w:r>
          </w:p>
        </w:tc>
      </w:tr>
      <w:tr w:rsidR="00A52778" w:rsidRPr="00460F9E" w14:paraId="5835C4C7" w14:textId="77777777" w:rsidTr="00FC3F8E">
        <w:trPr>
          <w:trHeight w:val="206"/>
        </w:trPr>
        <w:tc>
          <w:tcPr>
            <w:tcW w:w="400" w:type="dxa"/>
            <w:tcBorders>
              <w:left w:val="single" w:sz="8" w:space="0" w:color="auto"/>
            </w:tcBorders>
            <w:shd w:val="clear" w:color="auto" w:fill="auto"/>
            <w:vAlign w:val="bottom"/>
          </w:tcPr>
          <w:p w14:paraId="7979814A" w14:textId="77777777" w:rsidR="00A52778" w:rsidRPr="00460F9E" w:rsidRDefault="00A52778" w:rsidP="00FC3F8E">
            <w:pPr>
              <w:spacing w:line="0" w:lineRule="atLeast"/>
              <w:rPr>
                <w:rFonts w:eastAsia="Times New Roman" w:cs="Times New Roman"/>
                <w:b/>
                <w:sz w:val="17"/>
              </w:rPr>
            </w:pPr>
          </w:p>
        </w:tc>
        <w:tc>
          <w:tcPr>
            <w:tcW w:w="8200" w:type="dxa"/>
            <w:gridSpan w:val="5"/>
            <w:vMerge/>
            <w:tcBorders>
              <w:right w:val="single" w:sz="8" w:space="0" w:color="auto"/>
            </w:tcBorders>
            <w:shd w:val="clear" w:color="auto" w:fill="auto"/>
            <w:vAlign w:val="bottom"/>
          </w:tcPr>
          <w:p w14:paraId="4561E908" w14:textId="77777777" w:rsidR="00A52778" w:rsidRPr="00460F9E" w:rsidRDefault="00A52778" w:rsidP="00FC3F8E">
            <w:pPr>
              <w:spacing w:line="207" w:lineRule="exact"/>
              <w:ind w:left="60"/>
              <w:rPr>
                <w:rFonts w:eastAsia="Times New Roman" w:cs="Times New Roman"/>
                <w:b/>
                <w:sz w:val="17"/>
              </w:rPr>
            </w:pPr>
          </w:p>
        </w:tc>
      </w:tr>
      <w:tr w:rsidR="00A52778" w:rsidRPr="00460F9E" w14:paraId="3C3B7FD5" w14:textId="77777777" w:rsidTr="00FC3F8E">
        <w:trPr>
          <w:trHeight w:val="214"/>
        </w:trPr>
        <w:tc>
          <w:tcPr>
            <w:tcW w:w="400" w:type="dxa"/>
            <w:tcBorders>
              <w:left w:val="single" w:sz="8" w:space="0" w:color="auto"/>
            </w:tcBorders>
            <w:shd w:val="clear" w:color="auto" w:fill="auto"/>
            <w:vAlign w:val="bottom"/>
          </w:tcPr>
          <w:p w14:paraId="21CADD36" w14:textId="77777777" w:rsidR="00A52778" w:rsidRPr="00460F9E" w:rsidRDefault="00A52778" w:rsidP="00FC3F8E">
            <w:pPr>
              <w:spacing w:line="214" w:lineRule="exact"/>
              <w:ind w:left="180"/>
              <w:rPr>
                <w:rFonts w:eastAsia="Times New Roman" w:cs="Times New Roman"/>
                <w:b/>
                <w:w w:val="99"/>
                <w:sz w:val="18"/>
              </w:rPr>
            </w:pPr>
            <w:r w:rsidRPr="00460F9E">
              <w:rPr>
                <w:rFonts w:eastAsia="Times New Roman" w:cs="Times New Roman"/>
                <w:w w:val="99"/>
                <w:sz w:val="18"/>
              </w:rPr>
              <w:t>(</w:t>
            </w:r>
            <w:r w:rsidRPr="00460F9E">
              <w:rPr>
                <w:rFonts w:eastAsia="Times New Roman" w:cs="Times New Roman"/>
                <w:w w:val="99"/>
                <w:vertAlign w:val="superscript"/>
              </w:rPr>
              <w:t>4</w:t>
            </w:r>
            <w:r w:rsidRPr="00460F9E">
              <w:rPr>
                <w:rFonts w:eastAsia="Times New Roman" w:cs="Times New Roman"/>
                <w:w w:val="99"/>
                <w:sz w:val="18"/>
              </w:rPr>
              <w:t>)</w:t>
            </w:r>
          </w:p>
        </w:tc>
        <w:tc>
          <w:tcPr>
            <w:tcW w:w="8200" w:type="dxa"/>
            <w:gridSpan w:val="5"/>
            <w:vMerge w:val="restart"/>
            <w:tcBorders>
              <w:right w:val="single" w:sz="8" w:space="0" w:color="auto"/>
            </w:tcBorders>
            <w:shd w:val="clear" w:color="auto" w:fill="auto"/>
            <w:vAlign w:val="bottom"/>
          </w:tcPr>
          <w:p w14:paraId="7E952F10" w14:textId="77777777" w:rsidR="00A52778" w:rsidRPr="00460F9E" w:rsidRDefault="00A52778" w:rsidP="00FC3F8E">
            <w:pPr>
              <w:spacing w:line="197" w:lineRule="exact"/>
              <w:ind w:left="60"/>
              <w:rPr>
                <w:rFonts w:eastAsia="Times New Roman" w:cs="Times New Roman"/>
                <w:b/>
                <w:w w:val="99"/>
                <w:sz w:val="18"/>
              </w:rPr>
            </w:pPr>
            <w:r w:rsidRPr="00460F9E">
              <w:rPr>
                <w:rFonts w:eastAsia="Times New Roman" w:cs="Times New Roman"/>
                <w:w w:val="99"/>
                <w:sz w:val="18"/>
              </w:rPr>
              <w:t>Tozda CMR 1A veya 1B veya CMR 2 olarak sınıflandırılan maddelerin varlığı ilgili olarak tanımlandığında, toz emisyonlarının MET-AEL aralığının alt ucuna doğru (örneğin 2,5 mg/</w:t>
            </w:r>
            <w:r w:rsidRPr="00460F9E">
              <w:rPr>
                <w:rFonts w:eastAsia="Times New Roman" w:cs="Times New Roman"/>
                <w:sz w:val="18"/>
              </w:rPr>
              <w:t>N</w:t>
            </w:r>
            <w:r w:rsidRPr="00460F9E">
              <w:rPr>
                <w:rFonts w:eastAsia="Times New Roman" w:cs="Times New Roman"/>
                <w:bCs/>
                <w:w w:val="99"/>
              </w:rPr>
              <w:t>m</w:t>
            </w:r>
            <w:r w:rsidRPr="00460F9E">
              <w:rPr>
                <w:rFonts w:eastAsia="Times New Roman" w:cs="Times New Roman"/>
                <w:bCs/>
                <w:w w:val="99"/>
                <w:vertAlign w:val="superscript"/>
              </w:rPr>
              <w:t>3</w:t>
            </w:r>
            <w:r w:rsidRPr="00460F9E">
              <w:rPr>
                <w:rFonts w:eastAsia="Times New Roman" w:cs="Times New Roman"/>
                <w:w w:val="99"/>
                <w:sz w:val="18"/>
              </w:rPr>
              <w:t>' ün altında) olması beklenmektedir.</w:t>
            </w:r>
          </w:p>
        </w:tc>
      </w:tr>
      <w:tr w:rsidR="00A52778" w:rsidRPr="00460F9E" w14:paraId="70DB0EE9" w14:textId="77777777" w:rsidTr="00FC3F8E">
        <w:trPr>
          <w:trHeight w:val="197"/>
        </w:trPr>
        <w:tc>
          <w:tcPr>
            <w:tcW w:w="400" w:type="dxa"/>
            <w:tcBorders>
              <w:left w:val="single" w:sz="8" w:space="0" w:color="auto"/>
            </w:tcBorders>
            <w:shd w:val="clear" w:color="auto" w:fill="auto"/>
            <w:vAlign w:val="bottom"/>
          </w:tcPr>
          <w:p w14:paraId="51A3F481" w14:textId="77777777" w:rsidR="00A52778" w:rsidRPr="00460F9E" w:rsidRDefault="00A52778" w:rsidP="00FC3F8E">
            <w:pPr>
              <w:spacing w:line="0" w:lineRule="atLeast"/>
              <w:rPr>
                <w:rFonts w:eastAsia="Times New Roman" w:cs="Times New Roman"/>
                <w:b/>
                <w:sz w:val="17"/>
              </w:rPr>
            </w:pPr>
          </w:p>
        </w:tc>
        <w:tc>
          <w:tcPr>
            <w:tcW w:w="8200" w:type="dxa"/>
            <w:gridSpan w:val="5"/>
            <w:vMerge/>
            <w:tcBorders>
              <w:right w:val="single" w:sz="8" w:space="0" w:color="auto"/>
            </w:tcBorders>
            <w:shd w:val="clear" w:color="auto" w:fill="auto"/>
            <w:vAlign w:val="bottom"/>
          </w:tcPr>
          <w:p w14:paraId="19E7E8CF" w14:textId="77777777" w:rsidR="00A52778" w:rsidRPr="00460F9E" w:rsidRDefault="00A52778" w:rsidP="00FC3F8E">
            <w:pPr>
              <w:spacing w:line="197" w:lineRule="exact"/>
              <w:ind w:left="60"/>
              <w:rPr>
                <w:rFonts w:eastAsia="Times New Roman" w:cs="Times New Roman"/>
                <w:b/>
                <w:sz w:val="18"/>
              </w:rPr>
            </w:pPr>
          </w:p>
        </w:tc>
      </w:tr>
      <w:tr w:rsidR="00A52778" w:rsidRPr="00460F9E" w14:paraId="4B164963" w14:textId="77777777" w:rsidTr="00FC3F8E">
        <w:trPr>
          <w:trHeight w:val="209"/>
        </w:trPr>
        <w:tc>
          <w:tcPr>
            <w:tcW w:w="400" w:type="dxa"/>
            <w:tcBorders>
              <w:left w:val="single" w:sz="8" w:space="0" w:color="auto"/>
            </w:tcBorders>
            <w:shd w:val="clear" w:color="auto" w:fill="auto"/>
            <w:vAlign w:val="bottom"/>
          </w:tcPr>
          <w:p w14:paraId="1ED7E5F3" w14:textId="77777777" w:rsidR="00A52778" w:rsidRPr="00460F9E" w:rsidRDefault="00A52778" w:rsidP="00FC3F8E">
            <w:pPr>
              <w:spacing w:line="0" w:lineRule="atLeast"/>
              <w:rPr>
                <w:rFonts w:eastAsia="Times New Roman" w:cs="Times New Roman"/>
                <w:b/>
                <w:sz w:val="18"/>
              </w:rPr>
            </w:pPr>
          </w:p>
        </w:tc>
        <w:tc>
          <w:tcPr>
            <w:tcW w:w="1100" w:type="dxa"/>
            <w:gridSpan w:val="3"/>
            <w:shd w:val="clear" w:color="auto" w:fill="auto"/>
            <w:vAlign w:val="bottom"/>
          </w:tcPr>
          <w:p w14:paraId="5B9D64EE" w14:textId="77777777" w:rsidR="00A52778" w:rsidRPr="00460F9E" w:rsidRDefault="00A52778" w:rsidP="00FC3F8E">
            <w:pPr>
              <w:spacing w:line="0" w:lineRule="atLeast"/>
              <w:ind w:left="60"/>
              <w:rPr>
                <w:rFonts w:eastAsia="Times New Roman" w:cs="Times New Roman"/>
                <w:b/>
                <w:sz w:val="18"/>
              </w:rPr>
            </w:pPr>
            <w:r w:rsidRPr="00460F9E">
              <w:rPr>
                <w:rFonts w:eastAsia="Times New Roman" w:cs="Times New Roman"/>
                <w:sz w:val="18"/>
              </w:rPr>
              <w:t xml:space="preserve">(bkz. </w:t>
            </w:r>
            <w:hyperlink w:anchor="page295" w:history="1">
              <w:r w:rsidRPr="00460F9E">
                <w:rPr>
                  <w:rFonts w:eastAsia="Times New Roman" w:cs="Times New Roman"/>
                  <w:sz w:val="18"/>
                </w:rPr>
                <w:t>MET 2)</w:t>
              </w:r>
            </w:hyperlink>
            <w:r w:rsidRPr="00460F9E">
              <w:rPr>
                <w:rFonts w:eastAsia="Times New Roman" w:cs="Times New Roman"/>
                <w:sz w:val="18"/>
              </w:rPr>
              <w:t>.</w:t>
            </w:r>
          </w:p>
        </w:tc>
        <w:tc>
          <w:tcPr>
            <w:tcW w:w="1457" w:type="dxa"/>
            <w:shd w:val="clear" w:color="auto" w:fill="auto"/>
            <w:vAlign w:val="bottom"/>
          </w:tcPr>
          <w:p w14:paraId="4035ED81" w14:textId="77777777" w:rsidR="00A52778" w:rsidRPr="00460F9E" w:rsidRDefault="00A52778" w:rsidP="00FC3F8E">
            <w:pPr>
              <w:spacing w:line="0" w:lineRule="atLeast"/>
              <w:rPr>
                <w:rFonts w:eastAsia="Times New Roman" w:cs="Times New Roman"/>
                <w:b/>
                <w:sz w:val="18"/>
              </w:rPr>
            </w:pPr>
          </w:p>
        </w:tc>
        <w:tc>
          <w:tcPr>
            <w:tcW w:w="5643" w:type="dxa"/>
            <w:tcBorders>
              <w:right w:val="single" w:sz="8" w:space="0" w:color="auto"/>
            </w:tcBorders>
            <w:shd w:val="clear" w:color="auto" w:fill="auto"/>
            <w:vAlign w:val="bottom"/>
          </w:tcPr>
          <w:p w14:paraId="6FE54F0B" w14:textId="77777777" w:rsidR="00A52778" w:rsidRPr="00460F9E" w:rsidRDefault="00A52778" w:rsidP="00FC3F8E">
            <w:pPr>
              <w:spacing w:line="0" w:lineRule="atLeast"/>
              <w:rPr>
                <w:rFonts w:eastAsia="Times New Roman" w:cs="Times New Roman"/>
                <w:b/>
                <w:sz w:val="18"/>
              </w:rPr>
            </w:pPr>
          </w:p>
        </w:tc>
      </w:tr>
      <w:tr w:rsidR="00A52778" w:rsidRPr="00460F9E" w14:paraId="746FB6CF" w14:textId="77777777" w:rsidTr="00FC3F8E">
        <w:trPr>
          <w:trHeight w:val="209"/>
        </w:trPr>
        <w:tc>
          <w:tcPr>
            <w:tcW w:w="8600" w:type="dxa"/>
            <w:gridSpan w:val="6"/>
            <w:tcBorders>
              <w:left w:val="single" w:sz="8" w:space="0" w:color="auto"/>
              <w:right w:val="single" w:sz="8" w:space="0" w:color="auto"/>
            </w:tcBorders>
            <w:shd w:val="clear" w:color="auto" w:fill="auto"/>
            <w:vAlign w:val="bottom"/>
          </w:tcPr>
          <w:p w14:paraId="310A467D" w14:textId="77777777" w:rsidR="00A52778" w:rsidRPr="00460F9E" w:rsidRDefault="00A52778" w:rsidP="00FC3F8E">
            <w:pPr>
              <w:spacing w:line="209" w:lineRule="exact"/>
              <w:ind w:left="180"/>
              <w:rPr>
                <w:rFonts w:eastAsia="Times New Roman" w:cs="Times New Roman"/>
                <w:b/>
                <w:sz w:val="18"/>
              </w:rPr>
            </w:pPr>
            <w:r w:rsidRPr="00460F9E">
              <w:rPr>
                <w:rFonts w:eastAsia="Times New Roman" w:cs="Times New Roman"/>
                <w:w w:val="99"/>
                <w:sz w:val="18"/>
              </w:rPr>
              <w:t>(</w:t>
            </w:r>
            <w:r w:rsidRPr="00460F9E">
              <w:rPr>
                <w:rFonts w:eastAsia="Times New Roman" w:cs="Times New Roman"/>
                <w:w w:val="99"/>
                <w:vertAlign w:val="superscript"/>
              </w:rPr>
              <w:t>5</w:t>
            </w:r>
            <w:r w:rsidRPr="00460F9E">
              <w:rPr>
                <w:rFonts w:eastAsia="Times New Roman" w:cs="Times New Roman"/>
                <w:w w:val="99"/>
                <w:sz w:val="18"/>
              </w:rPr>
              <w:t xml:space="preserve">)  </w:t>
            </w:r>
            <w:r w:rsidRPr="00460F9E">
              <w:rPr>
                <w:rFonts w:eastAsia="Times New Roman" w:cs="Times New Roman"/>
                <w:sz w:val="18"/>
              </w:rPr>
              <w:t xml:space="preserve">MET-AEL küçük emisyonlar için geçerli değildir (yani kurşun kütle akışı örneğin 0,1 g/saat’ in altında </w:t>
            </w:r>
          </w:p>
          <w:p w14:paraId="723EF5FC" w14:textId="77777777" w:rsidR="00A52778" w:rsidRPr="00460F9E" w:rsidRDefault="00A52778" w:rsidP="00FC3F8E">
            <w:pPr>
              <w:spacing w:line="209" w:lineRule="exact"/>
              <w:ind w:left="180"/>
              <w:rPr>
                <w:rFonts w:eastAsia="Times New Roman" w:cs="Times New Roman"/>
                <w:b/>
                <w:w w:val="99"/>
                <w:sz w:val="18"/>
              </w:rPr>
            </w:pPr>
            <w:r w:rsidRPr="00460F9E">
              <w:rPr>
                <w:rFonts w:eastAsia="Times New Roman" w:cs="Times New Roman"/>
                <w:w w:val="99"/>
                <w:sz w:val="18"/>
              </w:rPr>
              <w:t xml:space="preserve">      </w:t>
            </w:r>
            <w:r w:rsidRPr="00460F9E">
              <w:rPr>
                <w:rFonts w:eastAsia="Times New Roman" w:cs="Times New Roman"/>
                <w:sz w:val="18"/>
              </w:rPr>
              <w:t>olduğunda).</w:t>
            </w:r>
          </w:p>
        </w:tc>
      </w:tr>
      <w:tr w:rsidR="00A52778" w:rsidRPr="00460F9E" w14:paraId="21291779" w14:textId="77777777" w:rsidTr="00FC3F8E">
        <w:trPr>
          <w:trHeight w:val="279"/>
        </w:trPr>
        <w:tc>
          <w:tcPr>
            <w:tcW w:w="8600" w:type="dxa"/>
            <w:gridSpan w:val="6"/>
            <w:tcBorders>
              <w:left w:val="single" w:sz="8" w:space="0" w:color="auto"/>
              <w:bottom w:val="single" w:sz="8" w:space="0" w:color="auto"/>
              <w:right w:val="single" w:sz="8" w:space="0" w:color="auto"/>
            </w:tcBorders>
            <w:shd w:val="clear" w:color="auto" w:fill="auto"/>
            <w:vAlign w:val="bottom"/>
          </w:tcPr>
          <w:p w14:paraId="7CC5238C" w14:textId="77777777" w:rsidR="00A52778" w:rsidRPr="00460F9E" w:rsidRDefault="00A52778" w:rsidP="00FC3F8E">
            <w:pPr>
              <w:spacing w:line="209" w:lineRule="exact"/>
              <w:ind w:left="180"/>
              <w:rPr>
                <w:rFonts w:eastAsia="Times New Roman" w:cs="Times New Roman"/>
                <w:b/>
                <w:sz w:val="18"/>
              </w:rPr>
            </w:pPr>
            <w:r w:rsidRPr="00460F9E">
              <w:rPr>
                <w:rFonts w:eastAsia="Times New Roman" w:cs="Times New Roman"/>
                <w:w w:val="99"/>
                <w:sz w:val="18"/>
              </w:rPr>
              <w:t>(</w:t>
            </w:r>
            <w:r w:rsidRPr="00460F9E">
              <w:rPr>
                <w:rFonts w:eastAsia="Times New Roman" w:cs="Times New Roman"/>
                <w:w w:val="99"/>
                <w:vertAlign w:val="superscript"/>
              </w:rPr>
              <w:t>6</w:t>
            </w:r>
            <w:r w:rsidRPr="00460F9E">
              <w:rPr>
                <w:rFonts w:eastAsia="Times New Roman" w:cs="Times New Roman"/>
                <w:w w:val="99"/>
                <w:sz w:val="18"/>
              </w:rPr>
              <w:t xml:space="preserve">)  </w:t>
            </w:r>
            <w:r w:rsidRPr="00460F9E">
              <w:rPr>
                <w:rFonts w:eastAsia="Times New Roman" w:cs="Times New Roman"/>
                <w:sz w:val="18"/>
              </w:rPr>
              <w:t xml:space="preserve">MET-AEL küçük emisyonlar için geçerli değildir (yani Ni kütle akışı örneğin 0,15 g/saat’ in altında </w:t>
            </w:r>
          </w:p>
          <w:p w14:paraId="31F1B7E8" w14:textId="77777777" w:rsidR="00A52778" w:rsidRPr="00460F9E" w:rsidRDefault="00A52778" w:rsidP="00FC3F8E">
            <w:pPr>
              <w:spacing w:line="0" w:lineRule="atLeast"/>
              <w:ind w:left="180"/>
              <w:rPr>
                <w:rFonts w:eastAsia="Times New Roman" w:cs="Times New Roman"/>
                <w:b/>
                <w:w w:val="99"/>
                <w:sz w:val="18"/>
              </w:rPr>
            </w:pPr>
            <w:r w:rsidRPr="00460F9E">
              <w:rPr>
                <w:rFonts w:eastAsia="Times New Roman" w:cs="Times New Roman"/>
                <w:w w:val="99"/>
                <w:sz w:val="18"/>
              </w:rPr>
              <w:t xml:space="preserve">      </w:t>
            </w:r>
            <w:r w:rsidRPr="00460F9E">
              <w:rPr>
                <w:rFonts w:eastAsia="Times New Roman" w:cs="Times New Roman"/>
                <w:sz w:val="18"/>
              </w:rPr>
              <w:t>olduğunda).</w:t>
            </w:r>
          </w:p>
        </w:tc>
      </w:tr>
    </w:tbl>
    <w:p w14:paraId="40764EC7" w14:textId="77777777" w:rsidR="00A52778" w:rsidRPr="00460F9E" w:rsidRDefault="00A52778" w:rsidP="00A52778">
      <w:pPr>
        <w:spacing w:line="200" w:lineRule="exact"/>
        <w:rPr>
          <w:rFonts w:eastAsia="Times New Roman" w:cs="Times New Roman"/>
          <w:b/>
        </w:rPr>
      </w:pPr>
    </w:p>
    <w:p w14:paraId="15B90F9F" w14:textId="77777777" w:rsidR="00A52778" w:rsidRPr="00460F9E" w:rsidRDefault="00A52778" w:rsidP="00A52778">
      <w:pPr>
        <w:spacing w:line="296" w:lineRule="exact"/>
        <w:rPr>
          <w:rFonts w:eastAsia="Times New Roman" w:cs="Times New Roman"/>
          <w:b/>
        </w:rPr>
      </w:pPr>
    </w:p>
    <w:p w14:paraId="77990CBE" w14:textId="77777777" w:rsidR="00A52778" w:rsidRPr="00460F9E" w:rsidRDefault="00A52778" w:rsidP="00A52778">
      <w:pPr>
        <w:spacing w:line="0" w:lineRule="atLeast"/>
        <w:ind w:left="40"/>
        <w:rPr>
          <w:rFonts w:eastAsia="Times New Roman" w:cs="Times New Roman"/>
          <w:b/>
        </w:rPr>
      </w:pPr>
      <w:r w:rsidRPr="00460F9E">
        <w:rPr>
          <w:rFonts w:eastAsia="Times New Roman" w:cs="Times New Roman"/>
        </w:rPr>
        <w:t>İlişkili izleme MET 8' de verilmişt</w:t>
      </w:r>
      <w:r w:rsidRPr="00460F9E">
        <w:rPr>
          <w:rFonts w:cs="Times New Roman"/>
          <w:b/>
          <w:noProof/>
          <w:lang w:val="tr-TR" w:eastAsia="tr-TR"/>
        </w:rPr>
        <mc:AlternateContent>
          <mc:Choice Requires="wps">
            <w:drawing>
              <wp:anchor distT="0" distB="0" distL="114299" distR="114299" simplePos="0" relativeHeight="251679744" behindDoc="0" locked="0" layoutInCell="1" allowOverlap="1" wp14:anchorId="43B471F0" wp14:editId="7C83E84A">
                <wp:simplePos x="0" y="0"/>
                <wp:positionH relativeFrom="column">
                  <wp:posOffset>10861039</wp:posOffset>
                </wp:positionH>
                <wp:positionV relativeFrom="paragraph">
                  <wp:posOffset>2218690</wp:posOffset>
                </wp:positionV>
                <wp:extent cx="0" cy="1347470"/>
                <wp:effectExtent l="0" t="0" r="19050" b="24130"/>
                <wp:wrapNone/>
                <wp:docPr id="52" name="Düz Bağlayıcı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4747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CE2588" id="Düz Bağlayıcı 52"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55.2pt,174.7pt" to="855.2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" strokecolor="windowText" strokeweight=".5pt">
                <v:stroke joinstyle="miter"/>
                <o:lock v:ext="edit" shapetype="f"/>
              </v:line>
            </w:pict>
          </mc:Fallback>
        </mc:AlternateContent>
      </w:r>
      <w:r w:rsidRPr="00460F9E">
        <w:rPr>
          <w:rFonts w:eastAsia="Times New Roman" w:cs="Times New Roman"/>
        </w:rPr>
        <w:t>ir</w:t>
      </w:r>
      <w:r w:rsidRPr="00460F9E">
        <w:rPr>
          <w:rFonts w:cs="Times New Roman"/>
        </w:rPr>
        <w:t>.</w:t>
      </w:r>
    </w:p>
    <w:p w14:paraId="458AC7E3" w14:textId="77777777" w:rsidR="00A52778" w:rsidRPr="00460F9E" w:rsidRDefault="00A52778" w:rsidP="00A52778">
      <w:pPr>
        <w:spacing w:line="200" w:lineRule="exact"/>
        <w:rPr>
          <w:rFonts w:eastAsia="Times New Roman" w:cs="Times New Roman"/>
          <w:b/>
        </w:rPr>
      </w:pPr>
    </w:p>
    <w:p w14:paraId="78233AD5" w14:textId="77777777" w:rsidR="00A52778" w:rsidRPr="00460F9E" w:rsidRDefault="00A52778" w:rsidP="00A52778">
      <w:pPr>
        <w:spacing w:line="310" w:lineRule="exact"/>
        <w:rPr>
          <w:rFonts w:eastAsia="Times New Roman" w:cs="Times New Roman"/>
          <w:b/>
        </w:rPr>
      </w:pPr>
    </w:p>
    <w:p w14:paraId="7A9508BE" w14:textId="77777777" w:rsidR="00A52778" w:rsidRPr="00357659" w:rsidRDefault="00A52778" w:rsidP="00A52778">
      <w:pPr>
        <w:tabs>
          <w:tab w:val="left" w:pos="1440"/>
        </w:tabs>
        <w:spacing w:line="0" w:lineRule="atLeast"/>
        <w:ind w:left="40"/>
        <w:rPr>
          <w:rFonts w:eastAsia="Arial" w:cs="Times New Roman"/>
        </w:rPr>
      </w:pPr>
      <w:r w:rsidRPr="00357659">
        <w:rPr>
          <w:rFonts w:eastAsia="Arial" w:cs="Times New Roman"/>
        </w:rPr>
        <w:t>2.1.3.5</w:t>
      </w:r>
      <w:r w:rsidRPr="00357659">
        <w:rPr>
          <w:rFonts w:eastAsia="Times New Roman" w:cs="Times New Roman"/>
        </w:rPr>
        <w:tab/>
      </w:r>
      <w:r w:rsidRPr="00357659">
        <w:rPr>
          <w:rFonts w:eastAsia="Arial" w:cs="Times New Roman"/>
        </w:rPr>
        <w:t>İnorganik bileşikler</w:t>
      </w:r>
    </w:p>
    <w:p w14:paraId="427D5B88" w14:textId="77777777" w:rsidR="00A52778" w:rsidRPr="00460F9E" w:rsidRDefault="00A52778" w:rsidP="00A52778">
      <w:pPr>
        <w:spacing w:line="200" w:lineRule="exact"/>
        <w:rPr>
          <w:rFonts w:eastAsia="Times New Roman" w:cs="Times New Roman"/>
          <w:b/>
        </w:rPr>
      </w:pPr>
    </w:p>
    <w:p w14:paraId="5E2D49A5" w14:textId="77777777" w:rsidR="00A52778" w:rsidRPr="00460F9E" w:rsidRDefault="00A52778" w:rsidP="00A52778">
      <w:pPr>
        <w:spacing w:line="360" w:lineRule="exact"/>
        <w:rPr>
          <w:rFonts w:eastAsia="Times New Roman" w:cs="Times New Roman"/>
          <w:b/>
        </w:rPr>
      </w:pPr>
    </w:p>
    <w:p w14:paraId="0A6F2599" w14:textId="77777777" w:rsidR="00A52778" w:rsidRPr="00460F9E" w:rsidRDefault="00A52778" w:rsidP="00A52778">
      <w:pPr>
        <w:spacing w:line="235" w:lineRule="auto"/>
        <w:ind w:left="40" w:right="826"/>
        <w:rPr>
          <w:rFonts w:eastAsia="Times New Roman" w:cs="Times New Roman"/>
          <w:b/>
        </w:rPr>
      </w:pPr>
      <w:r w:rsidRPr="00460F9E">
        <w:rPr>
          <w:rFonts w:eastAsia="Times New Roman" w:cs="Times New Roman"/>
        </w:rPr>
        <w:t>MET 15. Kaynak verimini artırmak ve nihai atık gaz arıtımına gönderilen inorganik bileşiklerin kütlesel akışını azaltmak için MET, absorpsiyon kullanarak proses çıkış gazlarından inorganik bileşikleri geri kazanmak ve bunları yeniden kullanmaktır.</w:t>
      </w:r>
    </w:p>
    <w:p w14:paraId="65020C36" w14:textId="77777777" w:rsidR="00A52778" w:rsidRPr="00460F9E" w:rsidRDefault="00A52778" w:rsidP="00A52778">
      <w:pPr>
        <w:spacing w:line="297" w:lineRule="exact"/>
        <w:rPr>
          <w:rFonts w:eastAsia="Times New Roman" w:cs="Times New Roman"/>
          <w:b/>
        </w:rPr>
      </w:pPr>
    </w:p>
    <w:p w14:paraId="1A9B6536" w14:textId="77777777" w:rsidR="00A52778" w:rsidRDefault="00A52778" w:rsidP="00A52778">
      <w:pPr>
        <w:spacing w:line="0" w:lineRule="atLeast"/>
        <w:ind w:left="40"/>
        <w:rPr>
          <w:rFonts w:eastAsia="Times New Roman" w:cs="Times New Roman"/>
        </w:rPr>
      </w:pPr>
    </w:p>
    <w:p w14:paraId="56868A2E" w14:textId="77777777" w:rsidR="00A52778" w:rsidRPr="00357659" w:rsidRDefault="00A52778" w:rsidP="00A52778">
      <w:pPr>
        <w:spacing w:line="0" w:lineRule="atLeast"/>
        <w:ind w:left="40"/>
        <w:rPr>
          <w:rFonts w:eastAsia="Times New Roman" w:cs="Times New Roman"/>
        </w:rPr>
      </w:pPr>
      <w:r w:rsidRPr="00357659">
        <w:rPr>
          <w:rFonts w:eastAsia="Times New Roman" w:cs="Times New Roman"/>
        </w:rPr>
        <w:t>Tanımlama</w:t>
      </w:r>
    </w:p>
    <w:p w14:paraId="026FDE15" w14:textId="77777777" w:rsidR="00A52778" w:rsidRPr="00460F9E" w:rsidRDefault="00A52778" w:rsidP="00A52778">
      <w:pPr>
        <w:spacing w:line="234" w:lineRule="auto"/>
        <w:ind w:left="4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p w14:paraId="18A7772A" w14:textId="77777777" w:rsidR="00A52778" w:rsidRPr="00357659" w:rsidRDefault="00A52778" w:rsidP="00A52778">
      <w:pPr>
        <w:spacing w:line="259" w:lineRule="exact"/>
        <w:rPr>
          <w:rFonts w:eastAsia="Times New Roman" w:cs="Times New Roman"/>
        </w:rPr>
      </w:pPr>
    </w:p>
    <w:p w14:paraId="6B934E30" w14:textId="77777777" w:rsidR="00A52778" w:rsidRPr="00357659" w:rsidRDefault="00A52778" w:rsidP="00A52778">
      <w:pPr>
        <w:spacing w:line="0" w:lineRule="atLeast"/>
        <w:ind w:left="40"/>
        <w:rPr>
          <w:rFonts w:eastAsia="Times New Roman" w:cs="Times New Roman"/>
        </w:rPr>
      </w:pPr>
      <w:r w:rsidRPr="00357659">
        <w:rPr>
          <w:rFonts w:eastAsia="Times New Roman" w:cs="Times New Roman"/>
        </w:rPr>
        <w:t>Uygulanabilirlik</w:t>
      </w:r>
    </w:p>
    <w:p w14:paraId="0D2B86AB" w14:textId="77777777" w:rsidR="00A52778" w:rsidRPr="00460F9E" w:rsidRDefault="00A52778" w:rsidP="00A52778">
      <w:pPr>
        <w:spacing w:line="6" w:lineRule="exact"/>
        <w:rPr>
          <w:rFonts w:eastAsia="Times New Roman" w:cs="Times New Roman"/>
          <w:b/>
        </w:rPr>
      </w:pPr>
    </w:p>
    <w:p w14:paraId="59DA1214" w14:textId="77777777" w:rsidR="00A52778" w:rsidRDefault="00A52778" w:rsidP="00A52778">
      <w:pPr>
        <w:spacing w:line="236" w:lineRule="auto"/>
        <w:ind w:left="40" w:right="826"/>
        <w:rPr>
          <w:rFonts w:eastAsia="Times New Roman" w:cs="Times New Roman"/>
          <w:b/>
        </w:rPr>
      </w:pPr>
      <w:r w:rsidRPr="00460F9E">
        <w:rPr>
          <w:rFonts w:eastAsia="Times New Roman" w:cs="Times New Roman"/>
        </w:rPr>
        <w:t>Proses çıkış gaz(lar)ında ilgili bileşik(ler)in düşük konsantrasyonu nedeniyle enerji talebinin aşırı olduğu durumlarda geri kazanım kısıtlanabilir. Ürün kalitesi spesifikasyonları nedeniyle y</w:t>
      </w:r>
      <w:r>
        <w:rPr>
          <w:rFonts w:eastAsia="Times New Roman" w:cs="Times New Roman"/>
        </w:rPr>
        <w:t>eniden kullanım kısıtlanabilir</w:t>
      </w:r>
      <w:bookmarkStart w:id="324" w:name="page307"/>
      <w:bookmarkEnd w:id="324"/>
      <w:r>
        <w:rPr>
          <w:rFonts w:eastAsia="Times New Roman" w:cs="Times New Roman"/>
        </w:rPr>
        <w:t>.</w:t>
      </w:r>
    </w:p>
    <w:p w14:paraId="1DF47FCE" w14:textId="77777777" w:rsidR="00A52778" w:rsidRPr="00357659" w:rsidRDefault="00A52778" w:rsidP="00A52778">
      <w:pPr>
        <w:spacing w:line="236" w:lineRule="auto"/>
        <w:ind w:left="40" w:right="826"/>
      </w:pPr>
      <w:r w:rsidRPr="00357659">
        <w:t>MET 16. Isıl işlemden kaynaklanan CO, NO</w:t>
      </w:r>
      <w:r w:rsidRPr="00357659">
        <w:rPr>
          <w:vertAlign w:val="subscript"/>
        </w:rPr>
        <w:t>X</w:t>
      </w:r>
      <w:r w:rsidRPr="00357659">
        <w:t xml:space="preserve"> ve SO</w:t>
      </w:r>
      <w:r w:rsidRPr="00357659">
        <w:rPr>
          <w:vertAlign w:val="subscript"/>
        </w:rPr>
        <w:t>X</w:t>
      </w:r>
      <w:r w:rsidRPr="00357659">
        <w:t>' in havaya kanalize edilen emisyonlarını azaltmak için MET, c. tekniğini ve aşağıda verilen diğer tekniklerden birini veya bir kombinasyonunu kullanmaktır.</w:t>
      </w:r>
    </w:p>
    <w:p w14:paraId="47D7C2F3" w14:textId="77777777" w:rsidR="00A52778" w:rsidRPr="00460F9E" w:rsidRDefault="00A52778" w:rsidP="00A52778">
      <w:pPr>
        <w:spacing w:line="200" w:lineRule="exact"/>
        <w:rPr>
          <w:rFonts w:eastAsia="Times New Roman" w:cs="Times New Roman"/>
          <w:b/>
        </w:rPr>
      </w:pPr>
    </w:p>
    <w:p w14:paraId="3B5EB833" w14:textId="77777777" w:rsidR="00A52778" w:rsidRPr="00460F9E" w:rsidRDefault="00A52778" w:rsidP="00A52778">
      <w:pPr>
        <w:spacing w:line="331" w:lineRule="exact"/>
        <w:rPr>
          <w:rFonts w:eastAsia="Times New Roman" w:cs="Times New Roman"/>
          <w:b/>
        </w:rPr>
      </w:pPr>
    </w:p>
    <w:tbl>
      <w:tblPr>
        <w:tblW w:w="9784" w:type="dxa"/>
        <w:tblInd w:w="-294" w:type="dxa"/>
        <w:tblLayout w:type="fixed"/>
        <w:tblCellMar>
          <w:left w:w="0" w:type="dxa"/>
          <w:right w:w="0" w:type="dxa"/>
        </w:tblCellMar>
        <w:tblLook w:val="0000" w:firstRow="0" w:lastRow="0" w:firstColumn="0" w:lastColumn="0" w:noHBand="0" w:noVBand="0"/>
      </w:tblPr>
      <w:tblGrid>
        <w:gridCol w:w="1404"/>
        <w:gridCol w:w="1240"/>
        <w:gridCol w:w="1200"/>
        <w:gridCol w:w="380"/>
        <w:gridCol w:w="600"/>
        <w:gridCol w:w="740"/>
        <w:gridCol w:w="380"/>
        <w:gridCol w:w="1520"/>
        <w:gridCol w:w="580"/>
        <w:gridCol w:w="840"/>
        <w:gridCol w:w="900"/>
      </w:tblGrid>
      <w:tr w:rsidR="00A52778" w:rsidRPr="00460F9E" w14:paraId="5FED47BB" w14:textId="77777777" w:rsidTr="00FC3F8E">
        <w:trPr>
          <w:trHeight w:val="239"/>
        </w:trPr>
        <w:tc>
          <w:tcPr>
            <w:tcW w:w="1404" w:type="dxa"/>
            <w:tcBorders>
              <w:top w:val="single" w:sz="8" w:space="0" w:color="auto"/>
              <w:left w:val="single" w:sz="8" w:space="0" w:color="auto"/>
            </w:tcBorders>
            <w:shd w:val="clear" w:color="auto" w:fill="auto"/>
            <w:vAlign w:val="bottom"/>
          </w:tcPr>
          <w:p w14:paraId="3BCD40CA" w14:textId="77777777" w:rsidR="00A52778" w:rsidRPr="00460F9E" w:rsidRDefault="00A52778" w:rsidP="00FC3F8E">
            <w:pPr>
              <w:spacing w:line="0" w:lineRule="atLeast"/>
              <w:rPr>
                <w:rFonts w:eastAsia="Times New Roman" w:cs="Times New Roman"/>
                <w:b/>
              </w:rPr>
            </w:pPr>
          </w:p>
        </w:tc>
        <w:tc>
          <w:tcPr>
            <w:tcW w:w="1240" w:type="dxa"/>
            <w:tcBorders>
              <w:top w:val="single" w:sz="8" w:space="0" w:color="auto"/>
            </w:tcBorders>
            <w:shd w:val="clear" w:color="auto" w:fill="auto"/>
            <w:vAlign w:val="bottom"/>
          </w:tcPr>
          <w:p w14:paraId="4C3B4B11" w14:textId="77777777" w:rsidR="00A52778" w:rsidRPr="00357659" w:rsidRDefault="00A52778" w:rsidP="00FC3F8E">
            <w:pPr>
              <w:spacing w:line="0" w:lineRule="atLeast"/>
              <w:rPr>
                <w:rFonts w:eastAsia="Times New Roman" w:cs="Times New Roman"/>
              </w:rPr>
            </w:pPr>
          </w:p>
        </w:tc>
        <w:tc>
          <w:tcPr>
            <w:tcW w:w="1200" w:type="dxa"/>
            <w:tcBorders>
              <w:top w:val="single" w:sz="8" w:space="0" w:color="auto"/>
              <w:right w:val="single" w:sz="8" w:space="0" w:color="auto"/>
            </w:tcBorders>
            <w:shd w:val="clear" w:color="auto" w:fill="auto"/>
            <w:vAlign w:val="bottom"/>
          </w:tcPr>
          <w:p w14:paraId="19BBA22C" w14:textId="77777777" w:rsidR="00A52778" w:rsidRPr="00357659" w:rsidRDefault="00A52778" w:rsidP="00FC3F8E">
            <w:pPr>
              <w:spacing w:line="0" w:lineRule="atLeast"/>
              <w:rPr>
                <w:rFonts w:eastAsia="Times New Roman" w:cs="Times New Roman"/>
              </w:rPr>
            </w:pPr>
          </w:p>
        </w:tc>
        <w:tc>
          <w:tcPr>
            <w:tcW w:w="380" w:type="dxa"/>
            <w:tcBorders>
              <w:top w:val="single" w:sz="8" w:space="0" w:color="auto"/>
            </w:tcBorders>
            <w:shd w:val="clear" w:color="auto" w:fill="auto"/>
            <w:vAlign w:val="bottom"/>
          </w:tcPr>
          <w:p w14:paraId="4E49210A" w14:textId="77777777" w:rsidR="00A52778" w:rsidRPr="00357659" w:rsidRDefault="00A52778" w:rsidP="00FC3F8E">
            <w:pPr>
              <w:spacing w:line="0" w:lineRule="atLeast"/>
              <w:rPr>
                <w:rFonts w:eastAsia="Times New Roman" w:cs="Times New Roman"/>
              </w:rPr>
            </w:pPr>
          </w:p>
        </w:tc>
        <w:tc>
          <w:tcPr>
            <w:tcW w:w="1340" w:type="dxa"/>
            <w:gridSpan w:val="2"/>
            <w:vMerge w:val="restart"/>
            <w:tcBorders>
              <w:top w:val="single" w:sz="8" w:space="0" w:color="auto"/>
            </w:tcBorders>
            <w:shd w:val="clear" w:color="auto" w:fill="auto"/>
            <w:vAlign w:val="center"/>
          </w:tcPr>
          <w:p w14:paraId="6685592B" w14:textId="77777777" w:rsidR="00A52778" w:rsidRPr="00357659" w:rsidRDefault="00A52778" w:rsidP="00FC3F8E">
            <w:pPr>
              <w:spacing w:line="0" w:lineRule="atLeast"/>
              <w:ind w:right="-124"/>
              <w:rPr>
                <w:rFonts w:eastAsia="Times New Roman" w:cs="Times New Roman"/>
              </w:rPr>
            </w:pPr>
            <w:r w:rsidRPr="00357659">
              <w:rPr>
                <w:rFonts w:eastAsia="Times New Roman" w:cs="Times New Roman"/>
              </w:rPr>
              <w:t>Tanımlamalar</w:t>
            </w:r>
          </w:p>
        </w:tc>
        <w:tc>
          <w:tcPr>
            <w:tcW w:w="380" w:type="dxa"/>
            <w:tcBorders>
              <w:top w:val="single" w:sz="8" w:space="0" w:color="auto"/>
              <w:right w:val="single" w:sz="8" w:space="0" w:color="auto"/>
            </w:tcBorders>
            <w:shd w:val="clear" w:color="auto" w:fill="auto"/>
            <w:vAlign w:val="bottom"/>
          </w:tcPr>
          <w:p w14:paraId="24BAACFA" w14:textId="77777777" w:rsidR="00A52778" w:rsidRPr="00357659" w:rsidRDefault="00A52778" w:rsidP="00FC3F8E">
            <w:pPr>
              <w:spacing w:line="0" w:lineRule="atLeast"/>
              <w:rPr>
                <w:rFonts w:eastAsia="Times New Roman" w:cs="Times New Roman"/>
              </w:rPr>
            </w:pPr>
          </w:p>
        </w:tc>
        <w:tc>
          <w:tcPr>
            <w:tcW w:w="1520" w:type="dxa"/>
            <w:vMerge w:val="restart"/>
            <w:tcBorders>
              <w:top w:val="single" w:sz="8" w:space="0" w:color="auto"/>
              <w:right w:val="single" w:sz="8" w:space="0" w:color="auto"/>
            </w:tcBorders>
            <w:shd w:val="clear" w:color="auto" w:fill="auto"/>
            <w:vAlign w:val="center"/>
          </w:tcPr>
          <w:p w14:paraId="288AAAF2" w14:textId="77777777" w:rsidR="00A52778" w:rsidRPr="00357659" w:rsidRDefault="00A52778" w:rsidP="00FC3F8E">
            <w:pPr>
              <w:spacing w:line="0" w:lineRule="atLeast"/>
              <w:jc w:val="center"/>
              <w:rPr>
                <w:rFonts w:eastAsia="Times New Roman" w:cs="Times New Roman"/>
              </w:rPr>
            </w:pPr>
            <w:r w:rsidRPr="00357659">
              <w:rPr>
                <w:rFonts w:eastAsia="Times New Roman" w:cs="Times New Roman"/>
              </w:rPr>
              <w:t>Hedeflenen başlıca inorganik bileşikler</w:t>
            </w:r>
          </w:p>
        </w:tc>
        <w:tc>
          <w:tcPr>
            <w:tcW w:w="580" w:type="dxa"/>
            <w:tcBorders>
              <w:top w:val="single" w:sz="8" w:space="0" w:color="auto"/>
            </w:tcBorders>
            <w:shd w:val="clear" w:color="auto" w:fill="auto"/>
            <w:vAlign w:val="bottom"/>
          </w:tcPr>
          <w:p w14:paraId="6ACCBB43" w14:textId="77777777" w:rsidR="00A52778" w:rsidRPr="00357659" w:rsidRDefault="00A52778" w:rsidP="00FC3F8E">
            <w:pPr>
              <w:spacing w:line="0" w:lineRule="atLeast"/>
              <w:rPr>
                <w:rFonts w:eastAsia="Times New Roman" w:cs="Times New Roman"/>
              </w:rPr>
            </w:pPr>
          </w:p>
        </w:tc>
        <w:tc>
          <w:tcPr>
            <w:tcW w:w="1740" w:type="dxa"/>
            <w:gridSpan w:val="2"/>
            <w:vMerge w:val="restart"/>
            <w:tcBorders>
              <w:top w:val="single" w:sz="8" w:space="0" w:color="auto"/>
              <w:right w:val="single" w:sz="8" w:space="0" w:color="auto"/>
            </w:tcBorders>
            <w:shd w:val="clear" w:color="auto" w:fill="auto"/>
            <w:vAlign w:val="center"/>
          </w:tcPr>
          <w:p w14:paraId="4B38DFC4" w14:textId="77777777" w:rsidR="00A52778" w:rsidRPr="00357659" w:rsidRDefault="00A52778" w:rsidP="00FC3F8E">
            <w:pPr>
              <w:spacing w:line="0" w:lineRule="atLeast"/>
              <w:ind w:right="116"/>
              <w:rPr>
                <w:rFonts w:eastAsia="Times New Roman" w:cs="Times New Roman"/>
              </w:rPr>
            </w:pPr>
            <w:r w:rsidRPr="00357659">
              <w:rPr>
                <w:rFonts w:eastAsia="Times New Roman" w:cs="Times New Roman"/>
                <w:w w:val="97"/>
              </w:rPr>
              <w:t>Uygulanabilirlik</w:t>
            </w:r>
          </w:p>
        </w:tc>
      </w:tr>
      <w:tr w:rsidR="00A52778" w:rsidRPr="00460F9E" w14:paraId="40735EB2" w14:textId="77777777" w:rsidTr="00FC3F8E">
        <w:trPr>
          <w:trHeight w:val="228"/>
        </w:trPr>
        <w:tc>
          <w:tcPr>
            <w:tcW w:w="1404" w:type="dxa"/>
            <w:tcBorders>
              <w:left w:val="single" w:sz="8" w:space="0" w:color="auto"/>
            </w:tcBorders>
            <w:shd w:val="clear" w:color="auto" w:fill="auto"/>
            <w:vAlign w:val="bottom"/>
          </w:tcPr>
          <w:p w14:paraId="2CE5AF7F" w14:textId="77777777" w:rsidR="00A52778" w:rsidRPr="00460F9E" w:rsidRDefault="00A52778" w:rsidP="00FC3F8E">
            <w:pPr>
              <w:spacing w:line="0" w:lineRule="atLeast"/>
              <w:rPr>
                <w:rFonts w:eastAsia="Times New Roman" w:cs="Times New Roman"/>
                <w:b/>
                <w:sz w:val="19"/>
              </w:rPr>
            </w:pPr>
          </w:p>
        </w:tc>
        <w:tc>
          <w:tcPr>
            <w:tcW w:w="2440" w:type="dxa"/>
            <w:gridSpan w:val="2"/>
            <w:vMerge w:val="restart"/>
            <w:tcBorders>
              <w:right w:val="single" w:sz="8" w:space="0" w:color="auto"/>
            </w:tcBorders>
            <w:shd w:val="clear" w:color="auto" w:fill="auto"/>
            <w:vAlign w:val="bottom"/>
          </w:tcPr>
          <w:p w14:paraId="028A5775" w14:textId="77777777" w:rsidR="00A52778" w:rsidRPr="00357659" w:rsidRDefault="00A52778" w:rsidP="00FC3F8E">
            <w:pPr>
              <w:spacing w:line="0" w:lineRule="atLeast"/>
              <w:ind w:left="560"/>
              <w:rPr>
                <w:rFonts w:eastAsia="Times New Roman" w:cs="Times New Roman"/>
              </w:rPr>
            </w:pPr>
            <w:r w:rsidRPr="00357659">
              <w:rPr>
                <w:rFonts w:eastAsia="Times New Roman" w:cs="Times New Roman"/>
              </w:rPr>
              <w:t>Teknikler</w:t>
            </w:r>
          </w:p>
        </w:tc>
        <w:tc>
          <w:tcPr>
            <w:tcW w:w="380" w:type="dxa"/>
            <w:shd w:val="clear" w:color="auto" w:fill="auto"/>
            <w:vAlign w:val="bottom"/>
          </w:tcPr>
          <w:p w14:paraId="1049DF73" w14:textId="77777777" w:rsidR="00A52778" w:rsidRPr="00357659" w:rsidRDefault="00A52778" w:rsidP="00FC3F8E">
            <w:pPr>
              <w:spacing w:line="0" w:lineRule="atLeast"/>
              <w:rPr>
                <w:rFonts w:eastAsia="Times New Roman" w:cs="Times New Roman"/>
                <w:sz w:val="19"/>
              </w:rPr>
            </w:pPr>
          </w:p>
        </w:tc>
        <w:tc>
          <w:tcPr>
            <w:tcW w:w="1340" w:type="dxa"/>
            <w:gridSpan w:val="2"/>
            <w:vMerge/>
            <w:shd w:val="clear" w:color="auto" w:fill="auto"/>
            <w:vAlign w:val="bottom"/>
          </w:tcPr>
          <w:p w14:paraId="7D0DFE3E" w14:textId="77777777" w:rsidR="00A52778" w:rsidRPr="00357659" w:rsidRDefault="00A52778" w:rsidP="00FC3F8E">
            <w:pPr>
              <w:spacing w:line="0" w:lineRule="atLeast"/>
              <w:ind w:left="160"/>
              <w:rPr>
                <w:rFonts w:eastAsia="Times New Roman" w:cs="Times New Roman"/>
              </w:rPr>
            </w:pPr>
          </w:p>
        </w:tc>
        <w:tc>
          <w:tcPr>
            <w:tcW w:w="380" w:type="dxa"/>
            <w:tcBorders>
              <w:right w:val="single" w:sz="8" w:space="0" w:color="auto"/>
            </w:tcBorders>
            <w:shd w:val="clear" w:color="auto" w:fill="auto"/>
            <w:vAlign w:val="bottom"/>
          </w:tcPr>
          <w:p w14:paraId="1CDF7B99" w14:textId="77777777" w:rsidR="00A52778" w:rsidRPr="00357659" w:rsidRDefault="00A52778" w:rsidP="00FC3F8E">
            <w:pPr>
              <w:spacing w:line="0" w:lineRule="atLeast"/>
              <w:rPr>
                <w:rFonts w:eastAsia="Times New Roman" w:cs="Times New Roman"/>
                <w:sz w:val="19"/>
              </w:rPr>
            </w:pPr>
          </w:p>
        </w:tc>
        <w:tc>
          <w:tcPr>
            <w:tcW w:w="1520" w:type="dxa"/>
            <w:vMerge/>
            <w:tcBorders>
              <w:right w:val="single" w:sz="8" w:space="0" w:color="auto"/>
            </w:tcBorders>
            <w:shd w:val="clear" w:color="auto" w:fill="auto"/>
            <w:vAlign w:val="bottom"/>
          </w:tcPr>
          <w:p w14:paraId="449565C9" w14:textId="77777777" w:rsidR="00A52778" w:rsidRPr="00357659" w:rsidRDefault="00A52778" w:rsidP="00FC3F8E">
            <w:pPr>
              <w:spacing w:line="0" w:lineRule="atLeast"/>
              <w:jc w:val="center"/>
              <w:rPr>
                <w:rFonts w:eastAsia="Times New Roman" w:cs="Times New Roman"/>
              </w:rPr>
            </w:pPr>
          </w:p>
        </w:tc>
        <w:tc>
          <w:tcPr>
            <w:tcW w:w="580" w:type="dxa"/>
            <w:shd w:val="clear" w:color="auto" w:fill="auto"/>
            <w:vAlign w:val="bottom"/>
          </w:tcPr>
          <w:p w14:paraId="326EBB9E" w14:textId="77777777" w:rsidR="00A52778" w:rsidRPr="00357659" w:rsidRDefault="00A52778" w:rsidP="00FC3F8E">
            <w:pPr>
              <w:spacing w:line="0" w:lineRule="atLeast"/>
              <w:rPr>
                <w:rFonts w:eastAsia="Times New Roman" w:cs="Times New Roman"/>
                <w:sz w:val="19"/>
              </w:rPr>
            </w:pPr>
          </w:p>
        </w:tc>
        <w:tc>
          <w:tcPr>
            <w:tcW w:w="1740" w:type="dxa"/>
            <w:gridSpan w:val="2"/>
            <w:vMerge/>
            <w:tcBorders>
              <w:right w:val="single" w:sz="8" w:space="0" w:color="auto"/>
            </w:tcBorders>
            <w:shd w:val="clear" w:color="auto" w:fill="auto"/>
            <w:vAlign w:val="bottom"/>
          </w:tcPr>
          <w:p w14:paraId="5D206FF1" w14:textId="77777777" w:rsidR="00A52778" w:rsidRPr="00357659" w:rsidRDefault="00A52778" w:rsidP="00FC3F8E">
            <w:pPr>
              <w:spacing w:line="0" w:lineRule="atLeast"/>
              <w:ind w:right="520"/>
              <w:jc w:val="right"/>
              <w:rPr>
                <w:rFonts w:eastAsia="Times New Roman" w:cs="Times New Roman"/>
                <w:w w:val="97"/>
              </w:rPr>
            </w:pPr>
          </w:p>
        </w:tc>
      </w:tr>
      <w:tr w:rsidR="00A52778" w:rsidRPr="00460F9E" w14:paraId="518E7C57" w14:textId="77777777" w:rsidTr="00FC3F8E">
        <w:trPr>
          <w:trHeight w:val="115"/>
        </w:trPr>
        <w:tc>
          <w:tcPr>
            <w:tcW w:w="1404" w:type="dxa"/>
            <w:tcBorders>
              <w:left w:val="single" w:sz="8" w:space="0" w:color="auto"/>
            </w:tcBorders>
            <w:shd w:val="clear" w:color="auto" w:fill="auto"/>
            <w:vAlign w:val="bottom"/>
          </w:tcPr>
          <w:p w14:paraId="2504ACF4" w14:textId="77777777" w:rsidR="00A52778" w:rsidRPr="00460F9E" w:rsidRDefault="00A52778" w:rsidP="00FC3F8E">
            <w:pPr>
              <w:spacing w:line="0" w:lineRule="atLeast"/>
              <w:rPr>
                <w:rFonts w:eastAsia="Times New Roman" w:cs="Times New Roman"/>
                <w:b/>
                <w:sz w:val="10"/>
              </w:rPr>
            </w:pPr>
          </w:p>
        </w:tc>
        <w:tc>
          <w:tcPr>
            <w:tcW w:w="2440" w:type="dxa"/>
            <w:gridSpan w:val="2"/>
            <w:vMerge/>
            <w:tcBorders>
              <w:right w:val="single" w:sz="8" w:space="0" w:color="auto"/>
            </w:tcBorders>
            <w:shd w:val="clear" w:color="auto" w:fill="auto"/>
            <w:vAlign w:val="bottom"/>
          </w:tcPr>
          <w:p w14:paraId="3F6BE1C2" w14:textId="77777777" w:rsidR="00A52778" w:rsidRPr="00460F9E" w:rsidRDefault="00A52778" w:rsidP="00FC3F8E">
            <w:pPr>
              <w:spacing w:line="0" w:lineRule="atLeast"/>
              <w:rPr>
                <w:rFonts w:eastAsia="Times New Roman" w:cs="Times New Roman"/>
                <w:b/>
                <w:sz w:val="10"/>
              </w:rPr>
            </w:pPr>
          </w:p>
        </w:tc>
        <w:tc>
          <w:tcPr>
            <w:tcW w:w="380" w:type="dxa"/>
            <w:shd w:val="clear" w:color="auto" w:fill="auto"/>
            <w:vAlign w:val="bottom"/>
          </w:tcPr>
          <w:p w14:paraId="28C0B681" w14:textId="77777777" w:rsidR="00A52778" w:rsidRPr="00460F9E" w:rsidRDefault="00A52778" w:rsidP="00FC3F8E">
            <w:pPr>
              <w:spacing w:line="0" w:lineRule="atLeast"/>
              <w:rPr>
                <w:rFonts w:eastAsia="Times New Roman" w:cs="Times New Roman"/>
                <w:b/>
                <w:sz w:val="10"/>
              </w:rPr>
            </w:pPr>
          </w:p>
        </w:tc>
        <w:tc>
          <w:tcPr>
            <w:tcW w:w="1340" w:type="dxa"/>
            <w:gridSpan w:val="2"/>
            <w:vMerge/>
            <w:shd w:val="clear" w:color="auto" w:fill="auto"/>
            <w:vAlign w:val="bottom"/>
          </w:tcPr>
          <w:p w14:paraId="04264357" w14:textId="77777777" w:rsidR="00A52778" w:rsidRPr="00460F9E" w:rsidRDefault="00A52778" w:rsidP="00FC3F8E">
            <w:pPr>
              <w:spacing w:line="0" w:lineRule="atLeast"/>
              <w:rPr>
                <w:rFonts w:eastAsia="Times New Roman" w:cs="Times New Roman"/>
                <w:b/>
                <w:sz w:val="10"/>
              </w:rPr>
            </w:pPr>
          </w:p>
        </w:tc>
        <w:tc>
          <w:tcPr>
            <w:tcW w:w="380" w:type="dxa"/>
            <w:tcBorders>
              <w:right w:val="single" w:sz="8" w:space="0" w:color="auto"/>
            </w:tcBorders>
            <w:shd w:val="clear" w:color="auto" w:fill="auto"/>
            <w:vAlign w:val="bottom"/>
          </w:tcPr>
          <w:p w14:paraId="4AF2173A" w14:textId="77777777" w:rsidR="00A52778" w:rsidRPr="00460F9E" w:rsidRDefault="00A52778" w:rsidP="00FC3F8E">
            <w:pPr>
              <w:spacing w:line="0" w:lineRule="atLeast"/>
              <w:rPr>
                <w:rFonts w:eastAsia="Times New Roman" w:cs="Times New Roman"/>
                <w:b/>
                <w:sz w:val="10"/>
              </w:rPr>
            </w:pPr>
          </w:p>
        </w:tc>
        <w:tc>
          <w:tcPr>
            <w:tcW w:w="1520" w:type="dxa"/>
            <w:vMerge/>
            <w:tcBorders>
              <w:right w:val="single" w:sz="8" w:space="0" w:color="auto"/>
            </w:tcBorders>
            <w:shd w:val="clear" w:color="auto" w:fill="auto"/>
            <w:vAlign w:val="bottom"/>
          </w:tcPr>
          <w:p w14:paraId="4471F5DE" w14:textId="77777777" w:rsidR="00A52778" w:rsidRPr="00460F9E" w:rsidRDefault="00A52778" w:rsidP="00FC3F8E">
            <w:pPr>
              <w:spacing w:line="0" w:lineRule="atLeast"/>
              <w:jc w:val="center"/>
              <w:rPr>
                <w:rFonts w:eastAsia="Times New Roman" w:cs="Times New Roman"/>
                <w:b/>
              </w:rPr>
            </w:pPr>
          </w:p>
        </w:tc>
        <w:tc>
          <w:tcPr>
            <w:tcW w:w="580" w:type="dxa"/>
            <w:shd w:val="clear" w:color="auto" w:fill="auto"/>
            <w:vAlign w:val="bottom"/>
          </w:tcPr>
          <w:p w14:paraId="62F231C5" w14:textId="77777777" w:rsidR="00A52778" w:rsidRPr="00460F9E" w:rsidRDefault="00A52778" w:rsidP="00FC3F8E">
            <w:pPr>
              <w:spacing w:line="0" w:lineRule="atLeast"/>
              <w:rPr>
                <w:rFonts w:eastAsia="Times New Roman" w:cs="Times New Roman"/>
                <w:b/>
                <w:sz w:val="10"/>
              </w:rPr>
            </w:pPr>
          </w:p>
        </w:tc>
        <w:tc>
          <w:tcPr>
            <w:tcW w:w="1740" w:type="dxa"/>
            <w:gridSpan w:val="2"/>
            <w:vMerge/>
            <w:tcBorders>
              <w:right w:val="single" w:sz="8" w:space="0" w:color="auto"/>
            </w:tcBorders>
            <w:shd w:val="clear" w:color="auto" w:fill="auto"/>
            <w:vAlign w:val="bottom"/>
          </w:tcPr>
          <w:p w14:paraId="006C3088" w14:textId="77777777" w:rsidR="00A52778" w:rsidRPr="00460F9E" w:rsidRDefault="00A52778" w:rsidP="00FC3F8E">
            <w:pPr>
              <w:spacing w:line="0" w:lineRule="atLeast"/>
              <w:rPr>
                <w:rFonts w:eastAsia="Times New Roman" w:cs="Times New Roman"/>
                <w:b/>
                <w:sz w:val="10"/>
              </w:rPr>
            </w:pPr>
          </w:p>
        </w:tc>
      </w:tr>
      <w:tr w:rsidR="00A52778" w:rsidRPr="00460F9E" w14:paraId="3E772C1E" w14:textId="77777777" w:rsidTr="00FC3F8E">
        <w:trPr>
          <w:trHeight w:val="115"/>
        </w:trPr>
        <w:tc>
          <w:tcPr>
            <w:tcW w:w="1404" w:type="dxa"/>
            <w:tcBorders>
              <w:left w:val="single" w:sz="8" w:space="0" w:color="auto"/>
            </w:tcBorders>
            <w:shd w:val="clear" w:color="auto" w:fill="auto"/>
            <w:vAlign w:val="bottom"/>
          </w:tcPr>
          <w:p w14:paraId="6244F284" w14:textId="77777777" w:rsidR="00A52778" w:rsidRPr="00460F9E" w:rsidRDefault="00A52778" w:rsidP="00FC3F8E">
            <w:pPr>
              <w:spacing w:line="0" w:lineRule="atLeast"/>
              <w:rPr>
                <w:rFonts w:eastAsia="Times New Roman" w:cs="Times New Roman"/>
                <w:b/>
                <w:sz w:val="10"/>
              </w:rPr>
            </w:pPr>
          </w:p>
        </w:tc>
        <w:tc>
          <w:tcPr>
            <w:tcW w:w="1240" w:type="dxa"/>
            <w:shd w:val="clear" w:color="auto" w:fill="auto"/>
            <w:vAlign w:val="bottom"/>
          </w:tcPr>
          <w:p w14:paraId="0A18A040" w14:textId="77777777" w:rsidR="00A52778" w:rsidRPr="00460F9E" w:rsidRDefault="00A52778" w:rsidP="00FC3F8E">
            <w:pPr>
              <w:spacing w:line="0" w:lineRule="atLeast"/>
              <w:rPr>
                <w:rFonts w:eastAsia="Times New Roman" w:cs="Times New Roman"/>
                <w:b/>
                <w:sz w:val="10"/>
              </w:rPr>
            </w:pPr>
          </w:p>
        </w:tc>
        <w:tc>
          <w:tcPr>
            <w:tcW w:w="1200" w:type="dxa"/>
            <w:tcBorders>
              <w:right w:val="single" w:sz="8" w:space="0" w:color="auto"/>
            </w:tcBorders>
            <w:shd w:val="clear" w:color="auto" w:fill="auto"/>
            <w:vAlign w:val="bottom"/>
          </w:tcPr>
          <w:p w14:paraId="6DC8791C" w14:textId="77777777" w:rsidR="00A52778" w:rsidRPr="00460F9E" w:rsidRDefault="00A52778" w:rsidP="00FC3F8E">
            <w:pPr>
              <w:spacing w:line="0" w:lineRule="atLeast"/>
              <w:rPr>
                <w:rFonts w:eastAsia="Times New Roman" w:cs="Times New Roman"/>
                <w:b/>
                <w:sz w:val="10"/>
              </w:rPr>
            </w:pPr>
          </w:p>
        </w:tc>
        <w:tc>
          <w:tcPr>
            <w:tcW w:w="380" w:type="dxa"/>
            <w:shd w:val="clear" w:color="auto" w:fill="auto"/>
            <w:vAlign w:val="bottom"/>
          </w:tcPr>
          <w:p w14:paraId="3EDB1A69" w14:textId="77777777" w:rsidR="00A52778" w:rsidRPr="00460F9E" w:rsidRDefault="00A52778" w:rsidP="00FC3F8E">
            <w:pPr>
              <w:spacing w:line="0" w:lineRule="atLeast"/>
              <w:rPr>
                <w:rFonts w:eastAsia="Times New Roman" w:cs="Times New Roman"/>
                <w:b/>
                <w:sz w:val="10"/>
              </w:rPr>
            </w:pPr>
          </w:p>
        </w:tc>
        <w:tc>
          <w:tcPr>
            <w:tcW w:w="1340" w:type="dxa"/>
            <w:gridSpan w:val="2"/>
            <w:vMerge/>
            <w:shd w:val="clear" w:color="auto" w:fill="auto"/>
            <w:vAlign w:val="bottom"/>
          </w:tcPr>
          <w:p w14:paraId="76911611" w14:textId="77777777" w:rsidR="00A52778" w:rsidRPr="00460F9E" w:rsidRDefault="00A52778" w:rsidP="00FC3F8E">
            <w:pPr>
              <w:spacing w:line="0" w:lineRule="atLeast"/>
              <w:rPr>
                <w:rFonts w:eastAsia="Times New Roman" w:cs="Times New Roman"/>
                <w:b/>
                <w:sz w:val="10"/>
              </w:rPr>
            </w:pPr>
          </w:p>
        </w:tc>
        <w:tc>
          <w:tcPr>
            <w:tcW w:w="380" w:type="dxa"/>
            <w:tcBorders>
              <w:right w:val="single" w:sz="8" w:space="0" w:color="auto"/>
            </w:tcBorders>
            <w:shd w:val="clear" w:color="auto" w:fill="auto"/>
            <w:vAlign w:val="bottom"/>
          </w:tcPr>
          <w:p w14:paraId="370887E8" w14:textId="77777777" w:rsidR="00A52778" w:rsidRPr="00460F9E" w:rsidRDefault="00A52778" w:rsidP="00FC3F8E">
            <w:pPr>
              <w:spacing w:line="0" w:lineRule="atLeast"/>
              <w:rPr>
                <w:rFonts w:eastAsia="Times New Roman" w:cs="Times New Roman"/>
                <w:b/>
                <w:sz w:val="10"/>
              </w:rPr>
            </w:pPr>
          </w:p>
        </w:tc>
        <w:tc>
          <w:tcPr>
            <w:tcW w:w="1520" w:type="dxa"/>
            <w:vMerge/>
            <w:tcBorders>
              <w:right w:val="single" w:sz="8" w:space="0" w:color="auto"/>
            </w:tcBorders>
            <w:shd w:val="clear" w:color="auto" w:fill="auto"/>
            <w:vAlign w:val="bottom"/>
          </w:tcPr>
          <w:p w14:paraId="5D52A154" w14:textId="77777777" w:rsidR="00A52778" w:rsidRPr="00460F9E" w:rsidRDefault="00A52778" w:rsidP="00FC3F8E">
            <w:pPr>
              <w:spacing w:line="0" w:lineRule="atLeast"/>
              <w:jc w:val="center"/>
              <w:rPr>
                <w:rFonts w:eastAsia="Times New Roman" w:cs="Times New Roman"/>
                <w:b/>
                <w:sz w:val="10"/>
              </w:rPr>
            </w:pPr>
          </w:p>
        </w:tc>
        <w:tc>
          <w:tcPr>
            <w:tcW w:w="580" w:type="dxa"/>
            <w:shd w:val="clear" w:color="auto" w:fill="auto"/>
            <w:vAlign w:val="bottom"/>
          </w:tcPr>
          <w:p w14:paraId="4603E962" w14:textId="77777777" w:rsidR="00A52778" w:rsidRPr="00460F9E" w:rsidRDefault="00A52778" w:rsidP="00FC3F8E">
            <w:pPr>
              <w:spacing w:line="0" w:lineRule="atLeast"/>
              <w:rPr>
                <w:rFonts w:eastAsia="Times New Roman" w:cs="Times New Roman"/>
                <w:b/>
                <w:sz w:val="10"/>
              </w:rPr>
            </w:pPr>
          </w:p>
        </w:tc>
        <w:tc>
          <w:tcPr>
            <w:tcW w:w="1740" w:type="dxa"/>
            <w:gridSpan w:val="2"/>
            <w:vMerge/>
            <w:tcBorders>
              <w:right w:val="single" w:sz="8" w:space="0" w:color="auto"/>
            </w:tcBorders>
            <w:shd w:val="clear" w:color="auto" w:fill="auto"/>
            <w:vAlign w:val="bottom"/>
          </w:tcPr>
          <w:p w14:paraId="1F1D3496" w14:textId="77777777" w:rsidR="00A52778" w:rsidRPr="00460F9E" w:rsidRDefault="00A52778" w:rsidP="00FC3F8E">
            <w:pPr>
              <w:spacing w:line="0" w:lineRule="atLeast"/>
              <w:rPr>
                <w:rFonts w:eastAsia="Times New Roman" w:cs="Times New Roman"/>
                <w:b/>
                <w:sz w:val="10"/>
              </w:rPr>
            </w:pPr>
          </w:p>
        </w:tc>
      </w:tr>
      <w:tr w:rsidR="00A52778" w:rsidRPr="00460F9E" w14:paraId="1CB94FD5" w14:textId="77777777" w:rsidTr="00FC3F8E">
        <w:trPr>
          <w:trHeight w:val="231"/>
        </w:trPr>
        <w:tc>
          <w:tcPr>
            <w:tcW w:w="1404" w:type="dxa"/>
            <w:tcBorders>
              <w:left w:val="single" w:sz="8" w:space="0" w:color="auto"/>
              <w:bottom w:val="single" w:sz="8" w:space="0" w:color="auto"/>
            </w:tcBorders>
            <w:shd w:val="clear" w:color="auto" w:fill="auto"/>
            <w:vAlign w:val="bottom"/>
          </w:tcPr>
          <w:p w14:paraId="7CE45BA1" w14:textId="77777777" w:rsidR="00A52778" w:rsidRPr="00460F9E" w:rsidRDefault="00A52778" w:rsidP="00FC3F8E">
            <w:pPr>
              <w:spacing w:line="0" w:lineRule="atLeast"/>
              <w:rPr>
                <w:rFonts w:eastAsia="Times New Roman" w:cs="Times New Roman"/>
                <w:b/>
              </w:rPr>
            </w:pPr>
          </w:p>
        </w:tc>
        <w:tc>
          <w:tcPr>
            <w:tcW w:w="1240" w:type="dxa"/>
            <w:tcBorders>
              <w:bottom w:val="single" w:sz="8" w:space="0" w:color="auto"/>
            </w:tcBorders>
            <w:shd w:val="clear" w:color="auto" w:fill="auto"/>
            <w:vAlign w:val="bottom"/>
          </w:tcPr>
          <w:p w14:paraId="5F9C1C6F" w14:textId="77777777" w:rsidR="00A52778" w:rsidRPr="00460F9E" w:rsidRDefault="00A52778" w:rsidP="00FC3F8E">
            <w:pPr>
              <w:spacing w:line="0" w:lineRule="atLeast"/>
              <w:rPr>
                <w:rFonts w:eastAsia="Times New Roman" w:cs="Times New Roman"/>
                <w:b/>
              </w:rPr>
            </w:pPr>
          </w:p>
        </w:tc>
        <w:tc>
          <w:tcPr>
            <w:tcW w:w="1200" w:type="dxa"/>
            <w:tcBorders>
              <w:bottom w:val="single" w:sz="8" w:space="0" w:color="auto"/>
              <w:right w:val="single" w:sz="8" w:space="0" w:color="auto"/>
            </w:tcBorders>
            <w:shd w:val="clear" w:color="auto" w:fill="auto"/>
            <w:vAlign w:val="bottom"/>
          </w:tcPr>
          <w:p w14:paraId="02FBAC5D" w14:textId="77777777" w:rsidR="00A52778" w:rsidRPr="00460F9E" w:rsidRDefault="00A52778" w:rsidP="00FC3F8E">
            <w:pPr>
              <w:spacing w:line="0" w:lineRule="atLeast"/>
              <w:rPr>
                <w:rFonts w:eastAsia="Times New Roman" w:cs="Times New Roman"/>
                <w:b/>
              </w:rPr>
            </w:pPr>
          </w:p>
        </w:tc>
        <w:tc>
          <w:tcPr>
            <w:tcW w:w="380" w:type="dxa"/>
            <w:tcBorders>
              <w:bottom w:val="single" w:sz="8" w:space="0" w:color="auto"/>
            </w:tcBorders>
            <w:shd w:val="clear" w:color="auto" w:fill="auto"/>
            <w:vAlign w:val="bottom"/>
          </w:tcPr>
          <w:p w14:paraId="0C101DB1" w14:textId="77777777" w:rsidR="00A52778" w:rsidRPr="00460F9E" w:rsidRDefault="00A52778" w:rsidP="00FC3F8E">
            <w:pPr>
              <w:spacing w:line="0" w:lineRule="atLeast"/>
              <w:rPr>
                <w:rFonts w:eastAsia="Times New Roman" w:cs="Times New Roman"/>
                <w:b/>
              </w:rPr>
            </w:pPr>
          </w:p>
        </w:tc>
        <w:tc>
          <w:tcPr>
            <w:tcW w:w="1340" w:type="dxa"/>
            <w:gridSpan w:val="2"/>
            <w:vMerge/>
            <w:tcBorders>
              <w:bottom w:val="single" w:sz="8" w:space="0" w:color="auto"/>
            </w:tcBorders>
            <w:shd w:val="clear" w:color="auto" w:fill="auto"/>
            <w:vAlign w:val="bottom"/>
          </w:tcPr>
          <w:p w14:paraId="614FC1BA" w14:textId="77777777" w:rsidR="00A52778" w:rsidRPr="00460F9E" w:rsidRDefault="00A52778" w:rsidP="00FC3F8E">
            <w:pPr>
              <w:spacing w:line="0" w:lineRule="atLeast"/>
              <w:rPr>
                <w:rFonts w:eastAsia="Times New Roman" w:cs="Times New Roman"/>
                <w:b/>
              </w:rPr>
            </w:pPr>
          </w:p>
        </w:tc>
        <w:tc>
          <w:tcPr>
            <w:tcW w:w="380" w:type="dxa"/>
            <w:tcBorders>
              <w:bottom w:val="single" w:sz="8" w:space="0" w:color="auto"/>
              <w:right w:val="single" w:sz="8" w:space="0" w:color="auto"/>
            </w:tcBorders>
            <w:shd w:val="clear" w:color="auto" w:fill="auto"/>
            <w:vAlign w:val="bottom"/>
          </w:tcPr>
          <w:p w14:paraId="4BC7F6C5" w14:textId="77777777" w:rsidR="00A52778" w:rsidRPr="00460F9E" w:rsidRDefault="00A52778" w:rsidP="00FC3F8E">
            <w:pPr>
              <w:spacing w:line="0" w:lineRule="atLeast"/>
              <w:rPr>
                <w:rFonts w:eastAsia="Times New Roman" w:cs="Times New Roman"/>
                <w:b/>
              </w:rPr>
            </w:pPr>
          </w:p>
        </w:tc>
        <w:tc>
          <w:tcPr>
            <w:tcW w:w="1520" w:type="dxa"/>
            <w:vMerge/>
            <w:tcBorders>
              <w:bottom w:val="single" w:sz="8" w:space="0" w:color="auto"/>
              <w:right w:val="single" w:sz="8" w:space="0" w:color="auto"/>
            </w:tcBorders>
            <w:shd w:val="clear" w:color="auto" w:fill="auto"/>
            <w:vAlign w:val="bottom"/>
          </w:tcPr>
          <w:p w14:paraId="5152B7EF" w14:textId="77777777" w:rsidR="00A52778" w:rsidRPr="00460F9E" w:rsidRDefault="00A52778" w:rsidP="00FC3F8E">
            <w:pPr>
              <w:spacing w:line="0" w:lineRule="atLeast"/>
              <w:jc w:val="center"/>
              <w:rPr>
                <w:rFonts w:eastAsia="Times New Roman" w:cs="Times New Roman"/>
                <w:b/>
                <w:w w:val="98"/>
              </w:rPr>
            </w:pPr>
          </w:p>
        </w:tc>
        <w:tc>
          <w:tcPr>
            <w:tcW w:w="580" w:type="dxa"/>
            <w:tcBorders>
              <w:bottom w:val="single" w:sz="8" w:space="0" w:color="auto"/>
            </w:tcBorders>
            <w:shd w:val="clear" w:color="auto" w:fill="auto"/>
            <w:vAlign w:val="bottom"/>
          </w:tcPr>
          <w:p w14:paraId="6D6739E4" w14:textId="77777777" w:rsidR="00A52778" w:rsidRPr="00460F9E" w:rsidRDefault="00A52778" w:rsidP="00FC3F8E">
            <w:pPr>
              <w:spacing w:line="0" w:lineRule="atLeast"/>
              <w:rPr>
                <w:rFonts w:eastAsia="Times New Roman" w:cs="Times New Roman"/>
                <w:b/>
              </w:rPr>
            </w:pPr>
          </w:p>
        </w:tc>
        <w:tc>
          <w:tcPr>
            <w:tcW w:w="1740" w:type="dxa"/>
            <w:gridSpan w:val="2"/>
            <w:vMerge/>
            <w:tcBorders>
              <w:bottom w:val="single" w:sz="8" w:space="0" w:color="auto"/>
              <w:right w:val="single" w:sz="8" w:space="0" w:color="auto"/>
            </w:tcBorders>
            <w:shd w:val="clear" w:color="auto" w:fill="auto"/>
            <w:vAlign w:val="bottom"/>
          </w:tcPr>
          <w:p w14:paraId="2C24D983" w14:textId="77777777" w:rsidR="00A52778" w:rsidRPr="00460F9E" w:rsidRDefault="00A52778" w:rsidP="00FC3F8E">
            <w:pPr>
              <w:spacing w:line="0" w:lineRule="atLeast"/>
              <w:rPr>
                <w:rFonts w:eastAsia="Times New Roman" w:cs="Times New Roman"/>
                <w:b/>
              </w:rPr>
            </w:pPr>
          </w:p>
        </w:tc>
      </w:tr>
      <w:tr w:rsidR="00A52778" w:rsidRPr="00460F9E" w14:paraId="633C7384" w14:textId="77777777" w:rsidTr="00FC3F8E">
        <w:trPr>
          <w:trHeight w:val="314"/>
        </w:trPr>
        <w:tc>
          <w:tcPr>
            <w:tcW w:w="1404" w:type="dxa"/>
            <w:tcBorders>
              <w:left w:val="single" w:sz="8" w:space="0" w:color="auto"/>
              <w:right w:val="single" w:sz="8" w:space="0" w:color="auto"/>
            </w:tcBorders>
            <w:shd w:val="clear" w:color="auto" w:fill="auto"/>
            <w:vAlign w:val="bottom"/>
          </w:tcPr>
          <w:p w14:paraId="0C385EAC"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a.</w:t>
            </w:r>
          </w:p>
        </w:tc>
        <w:tc>
          <w:tcPr>
            <w:tcW w:w="1240" w:type="dxa"/>
            <w:shd w:val="clear" w:color="auto" w:fill="auto"/>
            <w:vAlign w:val="bottom"/>
          </w:tcPr>
          <w:p w14:paraId="69949A1D" w14:textId="77777777" w:rsidR="00A52778" w:rsidRPr="00460F9E" w:rsidRDefault="00A52778" w:rsidP="00FC3F8E">
            <w:pPr>
              <w:spacing w:line="0" w:lineRule="atLeast"/>
              <w:ind w:left="100"/>
              <w:rPr>
                <w:rFonts w:eastAsia="Times New Roman" w:cs="Times New Roman"/>
                <w:b/>
                <w:w w:val="97"/>
              </w:rPr>
            </w:pPr>
            <w:r w:rsidRPr="00460F9E">
              <w:rPr>
                <w:rFonts w:eastAsia="Times New Roman" w:cs="Times New Roman"/>
                <w:w w:val="97"/>
              </w:rPr>
              <w:t>Yakıt seçimi</w:t>
            </w:r>
          </w:p>
        </w:tc>
        <w:tc>
          <w:tcPr>
            <w:tcW w:w="1200" w:type="dxa"/>
            <w:tcBorders>
              <w:right w:val="single" w:sz="8" w:space="0" w:color="auto"/>
            </w:tcBorders>
            <w:shd w:val="clear" w:color="auto" w:fill="auto"/>
            <w:vAlign w:val="bottom"/>
          </w:tcPr>
          <w:p w14:paraId="04E93C21" w14:textId="77777777" w:rsidR="00A52778" w:rsidRPr="00460F9E" w:rsidRDefault="00A52778" w:rsidP="00FC3F8E">
            <w:pPr>
              <w:spacing w:line="0" w:lineRule="atLeast"/>
              <w:rPr>
                <w:rFonts w:eastAsia="Times New Roman" w:cs="Times New Roman"/>
                <w:b/>
              </w:rPr>
            </w:pPr>
          </w:p>
        </w:tc>
        <w:tc>
          <w:tcPr>
            <w:tcW w:w="1720" w:type="dxa"/>
            <w:gridSpan w:val="3"/>
            <w:shd w:val="clear" w:color="auto" w:fill="auto"/>
            <w:vAlign w:val="bottom"/>
          </w:tcPr>
          <w:p w14:paraId="02B47F8E"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80" w:type="dxa"/>
            <w:tcBorders>
              <w:right w:val="single" w:sz="8" w:space="0" w:color="auto"/>
            </w:tcBorders>
            <w:shd w:val="clear" w:color="auto" w:fill="auto"/>
            <w:vAlign w:val="bottom"/>
          </w:tcPr>
          <w:p w14:paraId="618E1B96" w14:textId="77777777" w:rsidR="00A52778" w:rsidRPr="00460F9E" w:rsidRDefault="00A52778" w:rsidP="00FC3F8E">
            <w:pPr>
              <w:spacing w:line="0" w:lineRule="atLeast"/>
              <w:rPr>
                <w:rFonts w:eastAsia="Times New Roman" w:cs="Times New Roman"/>
                <w:b/>
              </w:rPr>
            </w:pPr>
          </w:p>
        </w:tc>
        <w:tc>
          <w:tcPr>
            <w:tcW w:w="1520" w:type="dxa"/>
            <w:tcBorders>
              <w:right w:val="single" w:sz="8" w:space="0" w:color="auto"/>
            </w:tcBorders>
            <w:shd w:val="clear" w:color="auto" w:fill="auto"/>
            <w:vAlign w:val="bottom"/>
          </w:tcPr>
          <w:p w14:paraId="23C541C2" w14:textId="77777777" w:rsidR="00A52778" w:rsidRPr="00460F9E" w:rsidRDefault="00A52778" w:rsidP="00FC3F8E">
            <w:pPr>
              <w:spacing w:line="0" w:lineRule="atLeast"/>
              <w:jc w:val="center"/>
              <w:rPr>
                <w:rFonts w:eastAsia="Times New Roman" w:cs="Times New Roman"/>
                <w:b/>
                <w:sz w:val="12"/>
              </w:rPr>
            </w:pPr>
            <w:r w:rsidRPr="00460F9E">
              <w:rPr>
                <w:rFonts w:eastAsia="Times New Roman" w:cs="Times New Roman"/>
              </w:rPr>
              <w:t>NO</w:t>
            </w:r>
            <w:r w:rsidRPr="00460F9E">
              <w:rPr>
                <w:rFonts w:eastAsia="Times New Roman" w:cs="Times New Roman"/>
                <w:sz w:val="12"/>
              </w:rPr>
              <w:t>X</w:t>
            </w:r>
            <w:r w:rsidRPr="00460F9E">
              <w:rPr>
                <w:rFonts w:eastAsia="Times New Roman" w:cs="Times New Roman"/>
              </w:rPr>
              <w:t>, SO</w:t>
            </w:r>
            <w:r w:rsidRPr="00460F9E">
              <w:rPr>
                <w:rFonts w:eastAsia="Times New Roman" w:cs="Times New Roman"/>
                <w:sz w:val="12"/>
              </w:rPr>
              <w:t>X</w:t>
            </w:r>
          </w:p>
        </w:tc>
        <w:tc>
          <w:tcPr>
            <w:tcW w:w="2320" w:type="dxa"/>
            <w:gridSpan w:val="3"/>
            <w:tcBorders>
              <w:right w:val="single" w:sz="8" w:space="0" w:color="auto"/>
            </w:tcBorders>
            <w:shd w:val="clear" w:color="auto" w:fill="auto"/>
            <w:vAlign w:val="bottom"/>
          </w:tcPr>
          <w:p w14:paraId="6178680C"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Genel olarak uygulanabilir.</w:t>
            </w:r>
          </w:p>
        </w:tc>
      </w:tr>
      <w:tr w:rsidR="00A52778" w:rsidRPr="00460F9E" w14:paraId="07D0F59F" w14:textId="77777777" w:rsidTr="00FC3F8E">
        <w:trPr>
          <w:trHeight w:val="101"/>
        </w:trPr>
        <w:tc>
          <w:tcPr>
            <w:tcW w:w="1404" w:type="dxa"/>
            <w:tcBorders>
              <w:left w:val="single" w:sz="8" w:space="0" w:color="auto"/>
              <w:bottom w:val="single" w:sz="8" w:space="0" w:color="auto"/>
              <w:right w:val="single" w:sz="8" w:space="0" w:color="auto"/>
            </w:tcBorders>
            <w:shd w:val="clear" w:color="auto" w:fill="auto"/>
            <w:vAlign w:val="bottom"/>
          </w:tcPr>
          <w:p w14:paraId="21288305" w14:textId="77777777" w:rsidR="00A52778" w:rsidRPr="00460F9E" w:rsidRDefault="00A52778" w:rsidP="00FC3F8E">
            <w:pPr>
              <w:spacing w:line="0" w:lineRule="atLeast"/>
              <w:rPr>
                <w:rFonts w:eastAsia="Times New Roman" w:cs="Times New Roman"/>
                <w:b/>
                <w:sz w:val="8"/>
              </w:rPr>
            </w:pPr>
          </w:p>
        </w:tc>
        <w:tc>
          <w:tcPr>
            <w:tcW w:w="1240" w:type="dxa"/>
            <w:tcBorders>
              <w:bottom w:val="single" w:sz="8" w:space="0" w:color="auto"/>
            </w:tcBorders>
            <w:shd w:val="clear" w:color="auto" w:fill="auto"/>
            <w:vAlign w:val="bottom"/>
          </w:tcPr>
          <w:p w14:paraId="2A371828" w14:textId="77777777" w:rsidR="00A52778" w:rsidRPr="00460F9E" w:rsidRDefault="00A52778" w:rsidP="00FC3F8E">
            <w:pPr>
              <w:spacing w:line="0" w:lineRule="atLeast"/>
              <w:rPr>
                <w:rFonts w:eastAsia="Times New Roman" w:cs="Times New Roman"/>
                <w:b/>
                <w:sz w:val="8"/>
              </w:rPr>
            </w:pPr>
          </w:p>
        </w:tc>
        <w:tc>
          <w:tcPr>
            <w:tcW w:w="1200" w:type="dxa"/>
            <w:tcBorders>
              <w:bottom w:val="single" w:sz="8" w:space="0" w:color="auto"/>
              <w:right w:val="single" w:sz="8" w:space="0" w:color="auto"/>
            </w:tcBorders>
            <w:shd w:val="clear" w:color="auto" w:fill="auto"/>
            <w:vAlign w:val="bottom"/>
          </w:tcPr>
          <w:p w14:paraId="1EA678FF" w14:textId="77777777" w:rsidR="00A52778" w:rsidRPr="00460F9E" w:rsidRDefault="00A52778" w:rsidP="00FC3F8E">
            <w:pPr>
              <w:spacing w:line="0" w:lineRule="atLeast"/>
              <w:rPr>
                <w:rFonts w:eastAsia="Times New Roman" w:cs="Times New Roman"/>
                <w:b/>
                <w:sz w:val="8"/>
              </w:rPr>
            </w:pPr>
          </w:p>
        </w:tc>
        <w:tc>
          <w:tcPr>
            <w:tcW w:w="380" w:type="dxa"/>
            <w:tcBorders>
              <w:bottom w:val="single" w:sz="8" w:space="0" w:color="auto"/>
            </w:tcBorders>
            <w:shd w:val="clear" w:color="auto" w:fill="auto"/>
            <w:vAlign w:val="bottom"/>
          </w:tcPr>
          <w:p w14:paraId="737C8688" w14:textId="77777777" w:rsidR="00A52778" w:rsidRPr="00460F9E" w:rsidRDefault="00A52778" w:rsidP="00FC3F8E">
            <w:pPr>
              <w:spacing w:line="0" w:lineRule="atLeast"/>
              <w:rPr>
                <w:rFonts w:eastAsia="Times New Roman" w:cs="Times New Roman"/>
                <w:b/>
                <w:sz w:val="8"/>
              </w:rPr>
            </w:pPr>
          </w:p>
        </w:tc>
        <w:tc>
          <w:tcPr>
            <w:tcW w:w="600" w:type="dxa"/>
            <w:tcBorders>
              <w:bottom w:val="single" w:sz="8" w:space="0" w:color="auto"/>
            </w:tcBorders>
            <w:shd w:val="clear" w:color="auto" w:fill="auto"/>
            <w:vAlign w:val="bottom"/>
          </w:tcPr>
          <w:p w14:paraId="0B41FC95" w14:textId="77777777" w:rsidR="00A52778" w:rsidRPr="00460F9E" w:rsidRDefault="00A52778" w:rsidP="00FC3F8E">
            <w:pPr>
              <w:spacing w:line="0" w:lineRule="atLeast"/>
              <w:rPr>
                <w:rFonts w:eastAsia="Times New Roman" w:cs="Times New Roman"/>
                <w:b/>
                <w:sz w:val="8"/>
              </w:rPr>
            </w:pPr>
          </w:p>
        </w:tc>
        <w:tc>
          <w:tcPr>
            <w:tcW w:w="740" w:type="dxa"/>
            <w:tcBorders>
              <w:bottom w:val="single" w:sz="8" w:space="0" w:color="auto"/>
            </w:tcBorders>
            <w:shd w:val="clear" w:color="auto" w:fill="auto"/>
            <w:vAlign w:val="bottom"/>
          </w:tcPr>
          <w:p w14:paraId="7D838644" w14:textId="77777777" w:rsidR="00A52778" w:rsidRPr="00460F9E" w:rsidRDefault="00A52778" w:rsidP="00FC3F8E">
            <w:pPr>
              <w:spacing w:line="0" w:lineRule="atLeast"/>
              <w:rPr>
                <w:rFonts w:eastAsia="Times New Roman" w:cs="Times New Roman"/>
                <w:b/>
                <w:sz w:val="8"/>
              </w:rPr>
            </w:pPr>
          </w:p>
        </w:tc>
        <w:tc>
          <w:tcPr>
            <w:tcW w:w="380" w:type="dxa"/>
            <w:tcBorders>
              <w:bottom w:val="single" w:sz="8" w:space="0" w:color="auto"/>
              <w:right w:val="single" w:sz="8" w:space="0" w:color="auto"/>
            </w:tcBorders>
            <w:shd w:val="clear" w:color="auto" w:fill="auto"/>
            <w:vAlign w:val="bottom"/>
          </w:tcPr>
          <w:p w14:paraId="39C2CA00" w14:textId="77777777" w:rsidR="00A52778" w:rsidRPr="00460F9E" w:rsidRDefault="00A52778" w:rsidP="00FC3F8E">
            <w:pPr>
              <w:spacing w:line="0" w:lineRule="atLeast"/>
              <w:rPr>
                <w:rFonts w:eastAsia="Times New Roman" w:cs="Times New Roman"/>
                <w:b/>
                <w:sz w:val="8"/>
              </w:rPr>
            </w:pPr>
          </w:p>
        </w:tc>
        <w:tc>
          <w:tcPr>
            <w:tcW w:w="1520" w:type="dxa"/>
            <w:tcBorders>
              <w:bottom w:val="single" w:sz="8" w:space="0" w:color="auto"/>
              <w:right w:val="single" w:sz="8" w:space="0" w:color="auto"/>
            </w:tcBorders>
            <w:shd w:val="clear" w:color="auto" w:fill="auto"/>
            <w:vAlign w:val="bottom"/>
          </w:tcPr>
          <w:p w14:paraId="00CC400A" w14:textId="77777777" w:rsidR="00A52778" w:rsidRPr="00460F9E" w:rsidRDefault="00A52778" w:rsidP="00FC3F8E">
            <w:pPr>
              <w:spacing w:line="0" w:lineRule="atLeast"/>
              <w:rPr>
                <w:rFonts w:eastAsia="Times New Roman" w:cs="Times New Roman"/>
                <w:b/>
                <w:sz w:val="8"/>
              </w:rPr>
            </w:pPr>
          </w:p>
        </w:tc>
        <w:tc>
          <w:tcPr>
            <w:tcW w:w="1420" w:type="dxa"/>
            <w:gridSpan w:val="2"/>
            <w:tcBorders>
              <w:bottom w:val="single" w:sz="8" w:space="0" w:color="auto"/>
            </w:tcBorders>
            <w:shd w:val="clear" w:color="auto" w:fill="auto"/>
            <w:vAlign w:val="bottom"/>
          </w:tcPr>
          <w:p w14:paraId="36C17189" w14:textId="77777777" w:rsidR="00A52778" w:rsidRPr="00460F9E" w:rsidRDefault="00A52778" w:rsidP="00FC3F8E">
            <w:pPr>
              <w:spacing w:line="0" w:lineRule="atLeast"/>
              <w:rPr>
                <w:rFonts w:eastAsia="Times New Roman" w:cs="Times New Roman"/>
                <w:b/>
                <w:sz w:val="8"/>
              </w:rPr>
            </w:pPr>
          </w:p>
        </w:tc>
        <w:tc>
          <w:tcPr>
            <w:tcW w:w="900" w:type="dxa"/>
            <w:tcBorders>
              <w:bottom w:val="single" w:sz="8" w:space="0" w:color="auto"/>
              <w:right w:val="single" w:sz="8" w:space="0" w:color="auto"/>
            </w:tcBorders>
            <w:shd w:val="clear" w:color="auto" w:fill="auto"/>
            <w:vAlign w:val="bottom"/>
          </w:tcPr>
          <w:p w14:paraId="362D6D90" w14:textId="77777777" w:rsidR="00A52778" w:rsidRPr="00460F9E" w:rsidRDefault="00A52778" w:rsidP="00FC3F8E">
            <w:pPr>
              <w:spacing w:line="0" w:lineRule="atLeast"/>
              <w:rPr>
                <w:rFonts w:eastAsia="Times New Roman" w:cs="Times New Roman"/>
                <w:b/>
                <w:sz w:val="8"/>
              </w:rPr>
            </w:pPr>
          </w:p>
        </w:tc>
      </w:tr>
      <w:tr w:rsidR="00A52778" w:rsidRPr="00460F9E" w14:paraId="2F8F30C6" w14:textId="77777777" w:rsidTr="00FC3F8E">
        <w:trPr>
          <w:trHeight w:val="212"/>
        </w:trPr>
        <w:tc>
          <w:tcPr>
            <w:tcW w:w="1404" w:type="dxa"/>
            <w:tcBorders>
              <w:left w:val="single" w:sz="8" w:space="0" w:color="auto"/>
              <w:right w:val="single" w:sz="8" w:space="0" w:color="auto"/>
            </w:tcBorders>
            <w:shd w:val="clear" w:color="auto" w:fill="auto"/>
            <w:vAlign w:val="bottom"/>
          </w:tcPr>
          <w:p w14:paraId="766B9319" w14:textId="77777777" w:rsidR="00A52778" w:rsidRPr="00460F9E" w:rsidRDefault="00A52778" w:rsidP="00FC3F8E">
            <w:pPr>
              <w:spacing w:line="0" w:lineRule="atLeast"/>
              <w:rPr>
                <w:rFonts w:eastAsia="Times New Roman" w:cs="Times New Roman"/>
                <w:b/>
                <w:sz w:val="18"/>
              </w:rPr>
            </w:pPr>
          </w:p>
        </w:tc>
        <w:tc>
          <w:tcPr>
            <w:tcW w:w="1240" w:type="dxa"/>
            <w:shd w:val="clear" w:color="auto" w:fill="auto"/>
            <w:vAlign w:val="bottom"/>
          </w:tcPr>
          <w:p w14:paraId="17F72B15" w14:textId="77777777" w:rsidR="00A52778" w:rsidRPr="00460F9E" w:rsidRDefault="00A52778" w:rsidP="00FC3F8E">
            <w:pPr>
              <w:spacing w:line="0" w:lineRule="atLeast"/>
              <w:rPr>
                <w:rFonts w:eastAsia="Times New Roman" w:cs="Times New Roman"/>
                <w:b/>
                <w:sz w:val="18"/>
              </w:rPr>
            </w:pPr>
          </w:p>
        </w:tc>
        <w:tc>
          <w:tcPr>
            <w:tcW w:w="1200" w:type="dxa"/>
            <w:tcBorders>
              <w:right w:val="single" w:sz="8" w:space="0" w:color="auto"/>
            </w:tcBorders>
            <w:shd w:val="clear" w:color="auto" w:fill="auto"/>
            <w:vAlign w:val="bottom"/>
          </w:tcPr>
          <w:p w14:paraId="003C87FE" w14:textId="77777777" w:rsidR="00A52778" w:rsidRPr="00460F9E" w:rsidRDefault="00A52778" w:rsidP="00FC3F8E">
            <w:pPr>
              <w:spacing w:line="0" w:lineRule="atLeast"/>
              <w:rPr>
                <w:rFonts w:eastAsia="Times New Roman" w:cs="Times New Roman"/>
                <w:b/>
                <w:sz w:val="18"/>
              </w:rPr>
            </w:pPr>
          </w:p>
        </w:tc>
        <w:tc>
          <w:tcPr>
            <w:tcW w:w="380" w:type="dxa"/>
            <w:shd w:val="clear" w:color="auto" w:fill="auto"/>
            <w:vAlign w:val="bottom"/>
          </w:tcPr>
          <w:p w14:paraId="2D39DA11" w14:textId="77777777" w:rsidR="00A52778" w:rsidRPr="00460F9E" w:rsidRDefault="00A52778" w:rsidP="00FC3F8E">
            <w:pPr>
              <w:spacing w:line="0" w:lineRule="atLeast"/>
              <w:rPr>
                <w:rFonts w:eastAsia="Times New Roman" w:cs="Times New Roman"/>
                <w:b/>
                <w:sz w:val="18"/>
              </w:rPr>
            </w:pPr>
          </w:p>
        </w:tc>
        <w:tc>
          <w:tcPr>
            <w:tcW w:w="600" w:type="dxa"/>
            <w:shd w:val="clear" w:color="auto" w:fill="auto"/>
            <w:vAlign w:val="bottom"/>
          </w:tcPr>
          <w:p w14:paraId="1F6F79E6" w14:textId="77777777" w:rsidR="00A52778" w:rsidRPr="00460F9E" w:rsidRDefault="00A52778" w:rsidP="00FC3F8E">
            <w:pPr>
              <w:spacing w:line="0" w:lineRule="atLeast"/>
              <w:rPr>
                <w:rFonts w:eastAsia="Times New Roman" w:cs="Times New Roman"/>
                <w:b/>
                <w:sz w:val="18"/>
              </w:rPr>
            </w:pPr>
          </w:p>
        </w:tc>
        <w:tc>
          <w:tcPr>
            <w:tcW w:w="740" w:type="dxa"/>
            <w:shd w:val="clear" w:color="auto" w:fill="auto"/>
            <w:vAlign w:val="bottom"/>
          </w:tcPr>
          <w:p w14:paraId="12A42581" w14:textId="77777777" w:rsidR="00A52778" w:rsidRPr="00460F9E" w:rsidRDefault="00A52778" w:rsidP="00FC3F8E">
            <w:pPr>
              <w:spacing w:line="0" w:lineRule="atLeast"/>
              <w:rPr>
                <w:rFonts w:eastAsia="Times New Roman" w:cs="Times New Roman"/>
                <w:b/>
                <w:sz w:val="18"/>
              </w:rPr>
            </w:pPr>
          </w:p>
        </w:tc>
        <w:tc>
          <w:tcPr>
            <w:tcW w:w="380" w:type="dxa"/>
            <w:tcBorders>
              <w:right w:val="single" w:sz="8" w:space="0" w:color="auto"/>
            </w:tcBorders>
            <w:shd w:val="clear" w:color="auto" w:fill="auto"/>
            <w:vAlign w:val="bottom"/>
          </w:tcPr>
          <w:p w14:paraId="3E3F7B23" w14:textId="77777777" w:rsidR="00A52778" w:rsidRPr="00460F9E" w:rsidRDefault="00A52778" w:rsidP="00FC3F8E">
            <w:pPr>
              <w:spacing w:line="0" w:lineRule="atLeast"/>
              <w:rPr>
                <w:rFonts w:eastAsia="Times New Roman" w:cs="Times New Roman"/>
                <w:b/>
                <w:sz w:val="18"/>
              </w:rPr>
            </w:pPr>
          </w:p>
        </w:tc>
        <w:tc>
          <w:tcPr>
            <w:tcW w:w="1520" w:type="dxa"/>
            <w:tcBorders>
              <w:right w:val="single" w:sz="8" w:space="0" w:color="auto"/>
            </w:tcBorders>
            <w:shd w:val="clear" w:color="auto" w:fill="auto"/>
            <w:vAlign w:val="bottom"/>
          </w:tcPr>
          <w:p w14:paraId="2463CD2D" w14:textId="77777777" w:rsidR="00A52778" w:rsidRPr="00460F9E" w:rsidRDefault="00A52778" w:rsidP="00FC3F8E">
            <w:pPr>
              <w:spacing w:line="0" w:lineRule="atLeast"/>
              <w:rPr>
                <w:rFonts w:eastAsia="Times New Roman" w:cs="Times New Roman"/>
                <w:b/>
                <w:sz w:val="18"/>
              </w:rPr>
            </w:pPr>
          </w:p>
        </w:tc>
        <w:tc>
          <w:tcPr>
            <w:tcW w:w="2320" w:type="dxa"/>
            <w:gridSpan w:val="3"/>
            <w:vMerge w:val="restart"/>
            <w:tcBorders>
              <w:right w:val="single" w:sz="8" w:space="0" w:color="auto"/>
            </w:tcBorders>
            <w:shd w:val="clear" w:color="auto" w:fill="auto"/>
          </w:tcPr>
          <w:p w14:paraId="23C2FA8F" w14:textId="77777777" w:rsidR="00A52778" w:rsidRPr="00460F9E" w:rsidRDefault="00A52778" w:rsidP="00FC3F8E">
            <w:pPr>
              <w:spacing w:line="211" w:lineRule="exact"/>
              <w:ind w:right="40"/>
              <w:rPr>
                <w:rFonts w:eastAsia="Times New Roman" w:cs="Times New Roman"/>
                <w:b/>
              </w:rPr>
            </w:pPr>
            <w:r w:rsidRPr="00460F9E">
              <w:rPr>
                <w:rFonts w:eastAsia="Times New Roman" w:cs="Times New Roman"/>
              </w:rPr>
              <w:t xml:space="preserve">  Mevcut tesislere </w:t>
            </w:r>
          </w:p>
          <w:p w14:paraId="0A13172B" w14:textId="77777777" w:rsidR="00A52778" w:rsidRPr="00460F9E" w:rsidRDefault="00A52778" w:rsidP="00FC3F8E">
            <w:pPr>
              <w:spacing w:line="211" w:lineRule="exact"/>
              <w:ind w:right="40"/>
              <w:rPr>
                <w:rFonts w:eastAsia="Times New Roman" w:cs="Times New Roman"/>
                <w:b/>
              </w:rPr>
            </w:pPr>
            <w:r w:rsidRPr="00460F9E">
              <w:rPr>
                <w:rFonts w:eastAsia="Times New Roman" w:cs="Times New Roman"/>
              </w:rPr>
              <w:t xml:space="preserve">  uygulanabilirliği, tasarım </w:t>
            </w:r>
          </w:p>
          <w:p w14:paraId="196C9095" w14:textId="77777777" w:rsidR="00A52778" w:rsidRPr="00460F9E" w:rsidRDefault="00A52778" w:rsidP="00FC3F8E">
            <w:pPr>
              <w:spacing w:line="211" w:lineRule="exact"/>
              <w:ind w:right="40"/>
              <w:rPr>
                <w:rFonts w:eastAsia="Times New Roman" w:cs="Times New Roman"/>
                <w:b/>
              </w:rPr>
            </w:pPr>
            <w:r w:rsidRPr="00460F9E">
              <w:rPr>
                <w:rFonts w:eastAsia="Times New Roman" w:cs="Times New Roman"/>
              </w:rPr>
              <w:t xml:space="preserve">  ve/veya operasyonel </w:t>
            </w:r>
          </w:p>
          <w:p w14:paraId="74F3744D" w14:textId="77777777" w:rsidR="00A52778" w:rsidRPr="00460F9E" w:rsidRDefault="00A52778" w:rsidP="00FC3F8E">
            <w:pPr>
              <w:spacing w:line="211" w:lineRule="exact"/>
              <w:ind w:right="40"/>
              <w:rPr>
                <w:rFonts w:eastAsia="Times New Roman" w:cs="Times New Roman"/>
                <w:b/>
              </w:rPr>
            </w:pPr>
            <w:r w:rsidRPr="00460F9E">
              <w:rPr>
                <w:rFonts w:eastAsia="Times New Roman" w:cs="Times New Roman"/>
              </w:rPr>
              <w:t xml:space="preserve">  kısıtlamalarla </w:t>
            </w:r>
          </w:p>
          <w:p w14:paraId="3AC19573" w14:textId="77777777" w:rsidR="00A52778" w:rsidRPr="00460F9E" w:rsidRDefault="00A52778" w:rsidP="00FC3F8E">
            <w:pPr>
              <w:spacing w:line="211" w:lineRule="exact"/>
              <w:ind w:right="40"/>
              <w:rPr>
                <w:rFonts w:eastAsia="Times New Roman" w:cs="Times New Roman"/>
                <w:b/>
              </w:rPr>
            </w:pPr>
            <w:r w:rsidRPr="00460F9E">
              <w:rPr>
                <w:rFonts w:eastAsia="Times New Roman" w:cs="Times New Roman"/>
              </w:rPr>
              <w:t xml:space="preserve">  sınırlandırılabilir.</w:t>
            </w:r>
          </w:p>
        </w:tc>
      </w:tr>
      <w:tr w:rsidR="00A52778" w:rsidRPr="00460F9E" w14:paraId="30C3C5D4" w14:textId="77777777" w:rsidTr="00FC3F8E">
        <w:trPr>
          <w:trHeight w:val="230"/>
        </w:trPr>
        <w:tc>
          <w:tcPr>
            <w:tcW w:w="1404" w:type="dxa"/>
            <w:vMerge w:val="restart"/>
            <w:tcBorders>
              <w:left w:val="single" w:sz="8" w:space="0" w:color="auto"/>
              <w:right w:val="single" w:sz="8" w:space="0" w:color="auto"/>
            </w:tcBorders>
            <w:shd w:val="clear" w:color="auto" w:fill="auto"/>
            <w:vAlign w:val="bottom"/>
          </w:tcPr>
          <w:p w14:paraId="234EE729"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b.</w:t>
            </w:r>
          </w:p>
        </w:tc>
        <w:tc>
          <w:tcPr>
            <w:tcW w:w="2440" w:type="dxa"/>
            <w:gridSpan w:val="2"/>
            <w:vMerge w:val="restart"/>
            <w:tcBorders>
              <w:right w:val="single" w:sz="8" w:space="0" w:color="auto"/>
            </w:tcBorders>
            <w:shd w:val="clear" w:color="auto" w:fill="auto"/>
            <w:vAlign w:val="bottom"/>
          </w:tcPr>
          <w:p w14:paraId="2506D175"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Düşük-NO</w:t>
            </w:r>
            <w:r w:rsidRPr="00460F9E">
              <w:rPr>
                <w:rFonts w:eastAsia="Times New Roman" w:cs="Times New Roman"/>
                <w:sz w:val="12"/>
              </w:rPr>
              <w:t xml:space="preserve">X </w:t>
            </w:r>
            <w:r w:rsidRPr="00460F9E">
              <w:rPr>
                <w:rFonts w:eastAsia="Times New Roman" w:cs="Times New Roman"/>
              </w:rPr>
              <w:t>‘ e haiz brülör</w:t>
            </w:r>
          </w:p>
        </w:tc>
        <w:tc>
          <w:tcPr>
            <w:tcW w:w="1720" w:type="dxa"/>
            <w:gridSpan w:val="3"/>
            <w:vMerge w:val="restart"/>
            <w:shd w:val="clear" w:color="auto" w:fill="auto"/>
            <w:vAlign w:val="bottom"/>
          </w:tcPr>
          <w:p w14:paraId="119E4CE0"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80" w:type="dxa"/>
            <w:tcBorders>
              <w:right w:val="single" w:sz="8" w:space="0" w:color="auto"/>
            </w:tcBorders>
            <w:shd w:val="clear" w:color="auto" w:fill="auto"/>
            <w:vAlign w:val="bottom"/>
          </w:tcPr>
          <w:p w14:paraId="00F7D8EA" w14:textId="77777777" w:rsidR="00A52778" w:rsidRPr="00460F9E" w:rsidRDefault="00A52778" w:rsidP="00FC3F8E">
            <w:pPr>
              <w:spacing w:line="0" w:lineRule="atLeast"/>
              <w:rPr>
                <w:rFonts w:eastAsia="Times New Roman" w:cs="Times New Roman"/>
                <w:b/>
              </w:rPr>
            </w:pPr>
          </w:p>
        </w:tc>
        <w:tc>
          <w:tcPr>
            <w:tcW w:w="1520" w:type="dxa"/>
            <w:vMerge w:val="restart"/>
            <w:tcBorders>
              <w:right w:val="single" w:sz="8" w:space="0" w:color="auto"/>
            </w:tcBorders>
            <w:shd w:val="clear" w:color="auto" w:fill="auto"/>
            <w:vAlign w:val="bottom"/>
          </w:tcPr>
          <w:p w14:paraId="3F492A93" w14:textId="77777777" w:rsidR="00A52778" w:rsidRPr="00460F9E" w:rsidRDefault="00A52778" w:rsidP="00FC3F8E">
            <w:pPr>
              <w:spacing w:line="0" w:lineRule="atLeast"/>
              <w:jc w:val="center"/>
              <w:rPr>
                <w:rFonts w:eastAsia="Times New Roman" w:cs="Times New Roman"/>
                <w:b/>
                <w:sz w:val="12"/>
              </w:rPr>
            </w:pPr>
            <w:r w:rsidRPr="00460F9E">
              <w:rPr>
                <w:rFonts w:eastAsia="Times New Roman" w:cs="Times New Roman"/>
              </w:rPr>
              <w:t>NO</w:t>
            </w:r>
            <w:r w:rsidRPr="00460F9E">
              <w:rPr>
                <w:rFonts w:eastAsia="Times New Roman" w:cs="Times New Roman"/>
                <w:sz w:val="12"/>
              </w:rPr>
              <w:t>X</w:t>
            </w:r>
          </w:p>
        </w:tc>
        <w:tc>
          <w:tcPr>
            <w:tcW w:w="2320" w:type="dxa"/>
            <w:gridSpan w:val="3"/>
            <w:vMerge/>
            <w:tcBorders>
              <w:right w:val="single" w:sz="8" w:space="0" w:color="auto"/>
            </w:tcBorders>
            <w:shd w:val="clear" w:color="auto" w:fill="auto"/>
            <w:vAlign w:val="bottom"/>
          </w:tcPr>
          <w:p w14:paraId="74F331A0" w14:textId="77777777" w:rsidR="00A52778" w:rsidRPr="00460F9E" w:rsidRDefault="00A52778" w:rsidP="00FC3F8E">
            <w:pPr>
              <w:spacing w:line="0" w:lineRule="atLeast"/>
              <w:ind w:right="40"/>
              <w:jc w:val="right"/>
              <w:rPr>
                <w:rFonts w:eastAsia="Times New Roman" w:cs="Times New Roman"/>
                <w:b/>
                <w:w w:val="96"/>
              </w:rPr>
            </w:pPr>
          </w:p>
        </w:tc>
      </w:tr>
      <w:tr w:rsidR="00A52778" w:rsidRPr="00460F9E" w14:paraId="005DB125" w14:textId="77777777" w:rsidTr="00FC3F8E">
        <w:trPr>
          <w:trHeight w:val="118"/>
        </w:trPr>
        <w:tc>
          <w:tcPr>
            <w:tcW w:w="1404" w:type="dxa"/>
            <w:vMerge/>
            <w:tcBorders>
              <w:left w:val="single" w:sz="8" w:space="0" w:color="auto"/>
              <w:right w:val="single" w:sz="8" w:space="0" w:color="auto"/>
            </w:tcBorders>
            <w:shd w:val="clear" w:color="auto" w:fill="auto"/>
            <w:vAlign w:val="bottom"/>
          </w:tcPr>
          <w:p w14:paraId="618935D9" w14:textId="77777777" w:rsidR="00A52778" w:rsidRPr="00460F9E" w:rsidRDefault="00A52778" w:rsidP="00FC3F8E">
            <w:pPr>
              <w:spacing w:line="0" w:lineRule="atLeast"/>
              <w:rPr>
                <w:rFonts w:eastAsia="Times New Roman" w:cs="Times New Roman"/>
                <w:b/>
                <w:sz w:val="10"/>
              </w:rPr>
            </w:pPr>
          </w:p>
        </w:tc>
        <w:tc>
          <w:tcPr>
            <w:tcW w:w="2440" w:type="dxa"/>
            <w:gridSpan w:val="2"/>
            <w:vMerge/>
            <w:tcBorders>
              <w:right w:val="single" w:sz="8" w:space="0" w:color="auto"/>
            </w:tcBorders>
            <w:shd w:val="clear" w:color="auto" w:fill="auto"/>
            <w:vAlign w:val="bottom"/>
          </w:tcPr>
          <w:p w14:paraId="67E3ABE2" w14:textId="77777777" w:rsidR="00A52778" w:rsidRPr="00460F9E" w:rsidRDefault="00A52778" w:rsidP="00FC3F8E">
            <w:pPr>
              <w:spacing w:line="0" w:lineRule="atLeast"/>
              <w:rPr>
                <w:rFonts w:eastAsia="Times New Roman" w:cs="Times New Roman"/>
                <w:b/>
                <w:sz w:val="10"/>
              </w:rPr>
            </w:pPr>
          </w:p>
        </w:tc>
        <w:tc>
          <w:tcPr>
            <w:tcW w:w="1720" w:type="dxa"/>
            <w:gridSpan w:val="3"/>
            <w:vMerge/>
            <w:shd w:val="clear" w:color="auto" w:fill="auto"/>
            <w:vAlign w:val="bottom"/>
          </w:tcPr>
          <w:p w14:paraId="2445E614" w14:textId="77777777" w:rsidR="00A52778" w:rsidRPr="00460F9E" w:rsidRDefault="00A52778" w:rsidP="00FC3F8E">
            <w:pPr>
              <w:spacing w:line="0" w:lineRule="atLeast"/>
              <w:rPr>
                <w:rFonts w:eastAsia="Times New Roman" w:cs="Times New Roman"/>
                <w:b/>
                <w:sz w:val="10"/>
              </w:rPr>
            </w:pPr>
          </w:p>
        </w:tc>
        <w:tc>
          <w:tcPr>
            <w:tcW w:w="380" w:type="dxa"/>
            <w:tcBorders>
              <w:right w:val="single" w:sz="8" w:space="0" w:color="auto"/>
            </w:tcBorders>
            <w:shd w:val="clear" w:color="auto" w:fill="auto"/>
            <w:vAlign w:val="bottom"/>
          </w:tcPr>
          <w:p w14:paraId="2898531A" w14:textId="77777777" w:rsidR="00A52778" w:rsidRPr="00460F9E" w:rsidRDefault="00A52778" w:rsidP="00FC3F8E">
            <w:pPr>
              <w:spacing w:line="0" w:lineRule="atLeast"/>
              <w:rPr>
                <w:rFonts w:eastAsia="Times New Roman" w:cs="Times New Roman"/>
                <w:b/>
                <w:sz w:val="10"/>
              </w:rPr>
            </w:pPr>
          </w:p>
        </w:tc>
        <w:tc>
          <w:tcPr>
            <w:tcW w:w="1520" w:type="dxa"/>
            <w:vMerge/>
            <w:tcBorders>
              <w:right w:val="single" w:sz="8" w:space="0" w:color="auto"/>
            </w:tcBorders>
            <w:shd w:val="clear" w:color="auto" w:fill="auto"/>
            <w:vAlign w:val="bottom"/>
          </w:tcPr>
          <w:p w14:paraId="76B8CB02" w14:textId="77777777" w:rsidR="00A52778" w:rsidRPr="00460F9E" w:rsidRDefault="00A52778" w:rsidP="00FC3F8E">
            <w:pPr>
              <w:spacing w:line="0" w:lineRule="atLeast"/>
              <w:rPr>
                <w:rFonts w:eastAsia="Times New Roman" w:cs="Times New Roman"/>
                <w:b/>
                <w:sz w:val="10"/>
              </w:rPr>
            </w:pPr>
          </w:p>
        </w:tc>
        <w:tc>
          <w:tcPr>
            <w:tcW w:w="2320" w:type="dxa"/>
            <w:gridSpan w:val="3"/>
            <w:vMerge/>
            <w:tcBorders>
              <w:right w:val="single" w:sz="8" w:space="0" w:color="auto"/>
            </w:tcBorders>
            <w:shd w:val="clear" w:color="auto" w:fill="auto"/>
            <w:vAlign w:val="bottom"/>
          </w:tcPr>
          <w:p w14:paraId="2A50FF45" w14:textId="77777777" w:rsidR="00A52778" w:rsidRPr="00460F9E" w:rsidRDefault="00A52778" w:rsidP="00FC3F8E">
            <w:pPr>
              <w:spacing w:line="0" w:lineRule="atLeast"/>
              <w:ind w:right="20"/>
              <w:jc w:val="right"/>
              <w:rPr>
                <w:rFonts w:eastAsia="Times New Roman" w:cs="Times New Roman"/>
                <w:b/>
              </w:rPr>
            </w:pPr>
          </w:p>
        </w:tc>
      </w:tr>
      <w:tr w:rsidR="00A52778" w:rsidRPr="00460F9E" w14:paraId="7BB4CB60" w14:textId="77777777" w:rsidTr="00FC3F8E">
        <w:trPr>
          <w:trHeight w:val="112"/>
        </w:trPr>
        <w:tc>
          <w:tcPr>
            <w:tcW w:w="1404" w:type="dxa"/>
            <w:tcBorders>
              <w:left w:val="single" w:sz="8" w:space="0" w:color="auto"/>
              <w:right w:val="single" w:sz="8" w:space="0" w:color="auto"/>
            </w:tcBorders>
            <w:shd w:val="clear" w:color="auto" w:fill="auto"/>
            <w:vAlign w:val="bottom"/>
          </w:tcPr>
          <w:p w14:paraId="256178F6" w14:textId="77777777" w:rsidR="00A52778" w:rsidRPr="00460F9E" w:rsidRDefault="00A52778" w:rsidP="00FC3F8E">
            <w:pPr>
              <w:spacing w:line="0" w:lineRule="atLeast"/>
              <w:rPr>
                <w:rFonts w:eastAsia="Times New Roman" w:cs="Times New Roman"/>
                <w:b/>
                <w:sz w:val="9"/>
              </w:rPr>
            </w:pPr>
          </w:p>
        </w:tc>
        <w:tc>
          <w:tcPr>
            <w:tcW w:w="1240" w:type="dxa"/>
            <w:shd w:val="clear" w:color="auto" w:fill="auto"/>
            <w:vAlign w:val="bottom"/>
          </w:tcPr>
          <w:p w14:paraId="276A48C4" w14:textId="77777777" w:rsidR="00A52778" w:rsidRPr="00460F9E" w:rsidRDefault="00A52778" w:rsidP="00FC3F8E">
            <w:pPr>
              <w:spacing w:line="0" w:lineRule="atLeast"/>
              <w:rPr>
                <w:rFonts w:eastAsia="Times New Roman" w:cs="Times New Roman"/>
                <w:b/>
                <w:sz w:val="9"/>
              </w:rPr>
            </w:pPr>
          </w:p>
        </w:tc>
        <w:tc>
          <w:tcPr>
            <w:tcW w:w="1200" w:type="dxa"/>
            <w:tcBorders>
              <w:right w:val="single" w:sz="8" w:space="0" w:color="auto"/>
            </w:tcBorders>
            <w:shd w:val="clear" w:color="auto" w:fill="auto"/>
            <w:vAlign w:val="bottom"/>
          </w:tcPr>
          <w:p w14:paraId="33764F6F" w14:textId="77777777" w:rsidR="00A52778" w:rsidRPr="00460F9E" w:rsidRDefault="00A52778" w:rsidP="00FC3F8E">
            <w:pPr>
              <w:spacing w:line="0" w:lineRule="atLeast"/>
              <w:rPr>
                <w:rFonts w:eastAsia="Times New Roman" w:cs="Times New Roman"/>
                <w:b/>
                <w:sz w:val="9"/>
              </w:rPr>
            </w:pPr>
          </w:p>
        </w:tc>
        <w:tc>
          <w:tcPr>
            <w:tcW w:w="380" w:type="dxa"/>
            <w:shd w:val="clear" w:color="auto" w:fill="auto"/>
            <w:vAlign w:val="bottom"/>
          </w:tcPr>
          <w:p w14:paraId="5CD2330F" w14:textId="77777777" w:rsidR="00A52778" w:rsidRPr="00460F9E" w:rsidRDefault="00A52778" w:rsidP="00FC3F8E">
            <w:pPr>
              <w:spacing w:line="0" w:lineRule="atLeast"/>
              <w:rPr>
                <w:rFonts w:eastAsia="Times New Roman" w:cs="Times New Roman"/>
                <w:b/>
                <w:sz w:val="9"/>
              </w:rPr>
            </w:pPr>
          </w:p>
        </w:tc>
        <w:tc>
          <w:tcPr>
            <w:tcW w:w="600" w:type="dxa"/>
            <w:shd w:val="clear" w:color="auto" w:fill="auto"/>
            <w:vAlign w:val="bottom"/>
          </w:tcPr>
          <w:p w14:paraId="06FDA935" w14:textId="77777777" w:rsidR="00A52778" w:rsidRPr="00460F9E" w:rsidRDefault="00A52778" w:rsidP="00FC3F8E">
            <w:pPr>
              <w:spacing w:line="0" w:lineRule="atLeast"/>
              <w:rPr>
                <w:rFonts w:eastAsia="Times New Roman" w:cs="Times New Roman"/>
                <w:b/>
                <w:sz w:val="9"/>
              </w:rPr>
            </w:pPr>
          </w:p>
        </w:tc>
        <w:tc>
          <w:tcPr>
            <w:tcW w:w="740" w:type="dxa"/>
            <w:shd w:val="clear" w:color="auto" w:fill="auto"/>
            <w:vAlign w:val="bottom"/>
          </w:tcPr>
          <w:p w14:paraId="4C51192A" w14:textId="77777777" w:rsidR="00A52778" w:rsidRPr="00460F9E" w:rsidRDefault="00A52778" w:rsidP="00FC3F8E">
            <w:pPr>
              <w:spacing w:line="0" w:lineRule="atLeast"/>
              <w:rPr>
                <w:rFonts w:eastAsia="Times New Roman" w:cs="Times New Roman"/>
                <w:b/>
                <w:sz w:val="9"/>
              </w:rPr>
            </w:pPr>
          </w:p>
        </w:tc>
        <w:tc>
          <w:tcPr>
            <w:tcW w:w="380" w:type="dxa"/>
            <w:tcBorders>
              <w:right w:val="single" w:sz="8" w:space="0" w:color="auto"/>
            </w:tcBorders>
            <w:shd w:val="clear" w:color="auto" w:fill="auto"/>
            <w:vAlign w:val="bottom"/>
          </w:tcPr>
          <w:p w14:paraId="5E3F41F6" w14:textId="77777777" w:rsidR="00A52778" w:rsidRPr="00460F9E" w:rsidRDefault="00A52778" w:rsidP="00FC3F8E">
            <w:pPr>
              <w:spacing w:line="0" w:lineRule="atLeast"/>
              <w:rPr>
                <w:rFonts w:eastAsia="Times New Roman" w:cs="Times New Roman"/>
                <w:b/>
                <w:sz w:val="9"/>
              </w:rPr>
            </w:pPr>
          </w:p>
        </w:tc>
        <w:tc>
          <w:tcPr>
            <w:tcW w:w="1520" w:type="dxa"/>
            <w:tcBorders>
              <w:right w:val="single" w:sz="8" w:space="0" w:color="auto"/>
            </w:tcBorders>
            <w:shd w:val="clear" w:color="auto" w:fill="auto"/>
            <w:vAlign w:val="bottom"/>
          </w:tcPr>
          <w:p w14:paraId="3BD2752D" w14:textId="77777777" w:rsidR="00A52778" w:rsidRPr="00460F9E" w:rsidRDefault="00A52778" w:rsidP="00FC3F8E">
            <w:pPr>
              <w:spacing w:line="0" w:lineRule="atLeast"/>
              <w:rPr>
                <w:rFonts w:eastAsia="Times New Roman" w:cs="Times New Roman"/>
                <w:b/>
                <w:sz w:val="9"/>
              </w:rPr>
            </w:pPr>
          </w:p>
        </w:tc>
        <w:tc>
          <w:tcPr>
            <w:tcW w:w="2320" w:type="dxa"/>
            <w:gridSpan w:val="3"/>
            <w:vMerge/>
            <w:tcBorders>
              <w:right w:val="single" w:sz="8" w:space="0" w:color="auto"/>
            </w:tcBorders>
            <w:shd w:val="clear" w:color="auto" w:fill="auto"/>
            <w:vAlign w:val="bottom"/>
          </w:tcPr>
          <w:p w14:paraId="13E60E06" w14:textId="77777777" w:rsidR="00A52778" w:rsidRPr="00460F9E" w:rsidRDefault="00A52778" w:rsidP="00FC3F8E">
            <w:pPr>
              <w:spacing w:line="0" w:lineRule="atLeast"/>
              <w:rPr>
                <w:rFonts w:eastAsia="Times New Roman" w:cs="Times New Roman"/>
                <w:b/>
                <w:sz w:val="9"/>
              </w:rPr>
            </w:pPr>
          </w:p>
        </w:tc>
      </w:tr>
      <w:tr w:rsidR="00A52778" w:rsidRPr="00460F9E" w14:paraId="287552E3" w14:textId="77777777" w:rsidTr="00FC3F8E">
        <w:trPr>
          <w:trHeight w:val="233"/>
        </w:trPr>
        <w:tc>
          <w:tcPr>
            <w:tcW w:w="1404" w:type="dxa"/>
            <w:tcBorders>
              <w:left w:val="single" w:sz="8" w:space="0" w:color="auto"/>
              <w:bottom w:val="single" w:sz="8" w:space="0" w:color="auto"/>
              <w:right w:val="single" w:sz="8" w:space="0" w:color="auto"/>
            </w:tcBorders>
            <w:shd w:val="clear" w:color="auto" w:fill="auto"/>
            <w:vAlign w:val="bottom"/>
          </w:tcPr>
          <w:p w14:paraId="61EB21DA" w14:textId="77777777" w:rsidR="00A52778" w:rsidRPr="00460F9E" w:rsidRDefault="00A52778" w:rsidP="00FC3F8E">
            <w:pPr>
              <w:spacing w:line="0" w:lineRule="atLeast"/>
              <w:rPr>
                <w:rFonts w:eastAsia="Times New Roman" w:cs="Times New Roman"/>
                <w:b/>
              </w:rPr>
            </w:pPr>
          </w:p>
        </w:tc>
        <w:tc>
          <w:tcPr>
            <w:tcW w:w="1240" w:type="dxa"/>
            <w:tcBorders>
              <w:bottom w:val="single" w:sz="8" w:space="0" w:color="auto"/>
            </w:tcBorders>
            <w:shd w:val="clear" w:color="auto" w:fill="auto"/>
            <w:vAlign w:val="bottom"/>
          </w:tcPr>
          <w:p w14:paraId="147E8B54" w14:textId="77777777" w:rsidR="00A52778" w:rsidRPr="00460F9E" w:rsidRDefault="00A52778" w:rsidP="00FC3F8E">
            <w:pPr>
              <w:spacing w:line="0" w:lineRule="atLeast"/>
              <w:rPr>
                <w:rFonts w:eastAsia="Times New Roman" w:cs="Times New Roman"/>
                <w:b/>
              </w:rPr>
            </w:pPr>
          </w:p>
        </w:tc>
        <w:tc>
          <w:tcPr>
            <w:tcW w:w="1200" w:type="dxa"/>
            <w:tcBorders>
              <w:bottom w:val="single" w:sz="8" w:space="0" w:color="auto"/>
              <w:right w:val="single" w:sz="8" w:space="0" w:color="auto"/>
            </w:tcBorders>
            <w:shd w:val="clear" w:color="auto" w:fill="auto"/>
            <w:vAlign w:val="bottom"/>
          </w:tcPr>
          <w:p w14:paraId="55B3D4E7" w14:textId="77777777" w:rsidR="00A52778" w:rsidRPr="00460F9E" w:rsidRDefault="00A52778" w:rsidP="00FC3F8E">
            <w:pPr>
              <w:spacing w:line="0" w:lineRule="atLeast"/>
              <w:rPr>
                <w:rFonts w:eastAsia="Times New Roman" w:cs="Times New Roman"/>
                <w:b/>
              </w:rPr>
            </w:pPr>
          </w:p>
        </w:tc>
        <w:tc>
          <w:tcPr>
            <w:tcW w:w="380" w:type="dxa"/>
            <w:tcBorders>
              <w:bottom w:val="single" w:sz="8" w:space="0" w:color="auto"/>
            </w:tcBorders>
            <w:shd w:val="clear" w:color="auto" w:fill="auto"/>
            <w:vAlign w:val="bottom"/>
          </w:tcPr>
          <w:p w14:paraId="6EFB9561" w14:textId="77777777" w:rsidR="00A52778" w:rsidRPr="00460F9E" w:rsidRDefault="00A52778" w:rsidP="00FC3F8E">
            <w:pPr>
              <w:spacing w:line="0" w:lineRule="atLeast"/>
              <w:rPr>
                <w:rFonts w:eastAsia="Times New Roman" w:cs="Times New Roman"/>
                <w:b/>
              </w:rPr>
            </w:pPr>
          </w:p>
        </w:tc>
        <w:tc>
          <w:tcPr>
            <w:tcW w:w="600" w:type="dxa"/>
            <w:tcBorders>
              <w:bottom w:val="single" w:sz="8" w:space="0" w:color="auto"/>
            </w:tcBorders>
            <w:shd w:val="clear" w:color="auto" w:fill="auto"/>
            <w:vAlign w:val="bottom"/>
          </w:tcPr>
          <w:p w14:paraId="449EA6EB" w14:textId="77777777" w:rsidR="00A52778" w:rsidRPr="00460F9E" w:rsidRDefault="00A52778" w:rsidP="00FC3F8E">
            <w:pPr>
              <w:spacing w:line="0" w:lineRule="atLeast"/>
              <w:rPr>
                <w:rFonts w:eastAsia="Times New Roman" w:cs="Times New Roman"/>
                <w:b/>
              </w:rPr>
            </w:pPr>
          </w:p>
        </w:tc>
        <w:tc>
          <w:tcPr>
            <w:tcW w:w="740" w:type="dxa"/>
            <w:tcBorders>
              <w:bottom w:val="single" w:sz="8" w:space="0" w:color="auto"/>
            </w:tcBorders>
            <w:shd w:val="clear" w:color="auto" w:fill="auto"/>
            <w:vAlign w:val="bottom"/>
          </w:tcPr>
          <w:p w14:paraId="157668CE" w14:textId="77777777" w:rsidR="00A52778" w:rsidRPr="00460F9E" w:rsidRDefault="00A52778" w:rsidP="00FC3F8E">
            <w:pPr>
              <w:spacing w:line="0" w:lineRule="atLeast"/>
              <w:rPr>
                <w:rFonts w:eastAsia="Times New Roman" w:cs="Times New Roman"/>
                <w:b/>
              </w:rPr>
            </w:pPr>
          </w:p>
        </w:tc>
        <w:tc>
          <w:tcPr>
            <w:tcW w:w="380" w:type="dxa"/>
            <w:tcBorders>
              <w:bottom w:val="single" w:sz="8" w:space="0" w:color="auto"/>
              <w:right w:val="single" w:sz="8" w:space="0" w:color="auto"/>
            </w:tcBorders>
            <w:shd w:val="clear" w:color="auto" w:fill="auto"/>
            <w:vAlign w:val="bottom"/>
          </w:tcPr>
          <w:p w14:paraId="7A9F5BBB" w14:textId="77777777" w:rsidR="00A52778" w:rsidRPr="00460F9E" w:rsidRDefault="00A52778" w:rsidP="00FC3F8E">
            <w:pPr>
              <w:spacing w:line="0" w:lineRule="atLeast"/>
              <w:rPr>
                <w:rFonts w:eastAsia="Times New Roman" w:cs="Times New Roman"/>
                <w:b/>
              </w:rPr>
            </w:pPr>
          </w:p>
        </w:tc>
        <w:tc>
          <w:tcPr>
            <w:tcW w:w="1520" w:type="dxa"/>
            <w:tcBorders>
              <w:bottom w:val="single" w:sz="8" w:space="0" w:color="auto"/>
              <w:right w:val="single" w:sz="8" w:space="0" w:color="auto"/>
            </w:tcBorders>
            <w:shd w:val="clear" w:color="auto" w:fill="auto"/>
            <w:vAlign w:val="bottom"/>
          </w:tcPr>
          <w:p w14:paraId="4E8F1E47" w14:textId="77777777" w:rsidR="00A52778" w:rsidRPr="00460F9E" w:rsidRDefault="00A52778" w:rsidP="00FC3F8E">
            <w:pPr>
              <w:spacing w:line="0" w:lineRule="atLeast"/>
              <w:rPr>
                <w:rFonts w:eastAsia="Times New Roman" w:cs="Times New Roman"/>
                <w:b/>
              </w:rPr>
            </w:pPr>
          </w:p>
        </w:tc>
        <w:tc>
          <w:tcPr>
            <w:tcW w:w="2320" w:type="dxa"/>
            <w:gridSpan w:val="3"/>
            <w:vMerge/>
            <w:tcBorders>
              <w:bottom w:val="single" w:sz="8" w:space="0" w:color="auto"/>
              <w:right w:val="single" w:sz="8" w:space="0" w:color="auto"/>
            </w:tcBorders>
            <w:shd w:val="clear" w:color="auto" w:fill="auto"/>
            <w:vAlign w:val="bottom"/>
          </w:tcPr>
          <w:p w14:paraId="638961AF" w14:textId="77777777" w:rsidR="00A52778" w:rsidRPr="00460F9E" w:rsidRDefault="00A52778" w:rsidP="00FC3F8E">
            <w:pPr>
              <w:spacing w:line="0" w:lineRule="atLeast"/>
              <w:ind w:left="100"/>
              <w:rPr>
                <w:rFonts w:eastAsia="Times New Roman" w:cs="Times New Roman"/>
                <w:b/>
              </w:rPr>
            </w:pPr>
          </w:p>
        </w:tc>
      </w:tr>
      <w:tr w:rsidR="00A52778" w:rsidRPr="00460F9E" w14:paraId="7BA61174" w14:textId="77777777" w:rsidTr="00FC3F8E">
        <w:trPr>
          <w:trHeight w:val="335"/>
        </w:trPr>
        <w:tc>
          <w:tcPr>
            <w:tcW w:w="1404" w:type="dxa"/>
            <w:tcBorders>
              <w:left w:val="single" w:sz="8" w:space="0" w:color="auto"/>
              <w:bottom w:val="nil"/>
              <w:right w:val="single" w:sz="8" w:space="0" w:color="auto"/>
            </w:tcBorders>
            <w:shd w:val="clear" w:color="auto" w:fill="auto"/>
            <w:vAlign w:val="bottom"/>
          </w:tcPr>
          <w:p w14:paraId="37F99FEA"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c.</w:t>
            </w:r>
          </w:p>
        </w:tc>
        <w:tc>
          <w:tcPr>
            <w:tcW w:w="2440" w:type="dxa"/>
            <w:gridSpan w:val="2"/>
            <w:vMerge w:val="restart"/>
            <w:tcBorders>
              <w:bottom w:val="nil"/>
              <w:right w:val="single" w:sz="8" w:space="0" w:color="auto"/>
            </w:tcBorders>
            <w:shd w:val="clear" w:color="auto" w:fill="auto"/>
            <w:vAlign w:val="bottom"/>
          </w:tcPr>
          <w:p w14:paraId="7E78987D"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Katalitik veya termal oksidasyonun optimizasyonu</w:t>
            </w:r>
          </w:p>
        </w:tc>
        <w:tc>
          <w:tcPr>
            <w:tcW w:w="2100" w:type="dxa"/>
            <w:gridSpan w:val="4"/>
            <w:vMerge w:val="restart"/>
            <w:tcBorders>
              <w:bottom w:val="nil"/>
              <w:right w:val="single" w:sz="8" w:space="0" w:color="auto"/>
            </w:tcBorders>
            <w:shd w:val="clear" w:color="auto" w:fill="auto"/>
            <w:vAlign w:val="center"/>
          </w:tcPr>
          <w:p w14:paraId="737EF45C" w14:textId="77777777" w:rsidR="00A52778" w:rsidRPr="00460F9E" w:rsidRDefault="00A52778" w:rsidP="00FC3F8E">
            <w:pPr>
              <w:spacing w:line="0" w:lineRule="atLeast"/>
              <w:rPr>
                <w:rFonts w:eastAsia="Times New Roman" w:cs="Times New Roman"/>
                <w:b/>
                <w:sz w:val="18"/>
              </w:rPr>
            </w:pPr>
            <w:r w:rsidRPr="00460F9E">
              <w:rPr>
                <w:rFonts w:eastAsia="Times New Roman" w:cs="Times New Roman"/>
              </w:rPr>
              <w:t xml:space="preserve">  Bkz. Bölüm </w:t>
            </w:r>
            <w:hyperlink w:anchor="page331" w:history="1">
              <w:r w:rsidRPr="00460F9E">
                <w:rPr>
                  <w:rFonts w:eastAsia="Times New Roman" w:cs="Times New Roman"/>
                </w:rPr>
                <w:t>4.4.1.</w:t>
              </w:r>
            </w:hyperlink>
          </w:p>
        </w:tc>
        <w:tc>
          <w:tcPr>
            <w:tcW w:w="1520" w:type="dxa"/>
            <w:tcBorders>
              <w:left w:val="single" w:sz="8" w:space="0" w:color="auto"/>
              <w:bottom w:val="nil"/>
              <w:right w:val="single" w:sz="8" w:space="0" w:color="auto"/>
            </w:tcBorders>
            <w:shd w:val="clear" w:color="auto" w:fill="auto"/>
            <w:vAlign w:val="bottom"/>
          </w:tcPr>
          <w:p w14:paraId="68715E7D" w14:textId="77777777" w:rsidR="00A52778" w:rsidRPr="00460F9E" w:rsidRDefault="00A52778" w:rsidP="00FC3F8E">
            <w:pPr>
              <w:spacing w:line="0" w:lineRule="atLeast"/>
              <w:jc w:val="center"/>
              <w:rPr>
                <w:rFonts w:eastAsia="Times New Roman" w:cs="Times New Roman"/>
                <w:b/>
                <w:sz w:val="12"/>
              </w:rPr>
            </w:pPr>
            <w:r w:rsidRPr="00460F9E">
              <w:rPr>
                <w:rFonts w:eastAsia="Times New Roman" w:cs="Times New Roman"/>
              </w:rPr>
              <w:t>CO, NO</w:t>
            </w:r>
            <w:r w:rsidRPr="00460F9E">
              <w:rPr>
                <w:rFonts w:eastAsia="Times New Roman" w:cs="Times New Roman"/>
                <w:sz w:val="12"/>
              </w:rPr>
              <w:t>X</w:t>
            </w:r>
          </w:p>
        </w:tc>
        <w:tc>
          <w:tcPr>
            <w:tcW w:w="2320" w:type="dxa"/>
            <w:gridSpan w:val="3"/>
            <w:vMerge w:val="restart"/>
            <w:tcBorders>
              <w:right w:val="single" w:sz="8" w:space="0" w:color="auto"/>
            </w:tcBorders>
            <w:shd w:val="clear" w:color="auto" w:fill="auto"/>
            <w:vAlign w:val="center"/>
          </w:tcPr>
          <w:p w14:paraId="6042BEFE"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Genel olarak uygulanabilir.</w:t>
            </w:r>
          </w:p>
        </w:tc>
      </w:tr>
      <w:tr w:rsidR="00A52778" w:rsidRPr="00460F9E" w14:paraId="66E2E72E" w14:textId="77777777" w:rsidTr="00FC3F8E">
        <w:trPr>
          <w:trHeight w:val="115"/>
        </w:trPr>
        <w:tc>
          <w:tcPr>
            <w:tcW w:w="1404" w:type="dxa"/>
            <w:tcBorders>
              <w:left w:val="single" w:sz="8" w:space="0" w:color="auto"/>
              <w:bottom w:val="single" w:sz="8" w:space="0" w:color="auto"/>
              <w:right w:val="single" w:sz="8" w:space="0" w:color="auto"/>
            </w:tcBorders>
            <w:shd w:val="clear" w:color="auto" w:fill="auto"/>
            <w:vAlign w:val="bottom"/>
          </w:tcPr>
          <w:p w14:paraId="2CF880A9" w14:textId="77777777" w:rsidR="00A52778" w:rsidRPr="00460F9E" w:rsidRDefault="00A52778" w:rsidP="00FC3F8E">
            <w:pPr>
              <w:spacing w:line="0" w:lineRule="atLeast"/>
              <w:rPr>
                <w:rFonts w:eastAsia="Times New Roman" w:cs="Times New Roman"/>
                <w:b/>
                <w:sz w:val="10"/>
              </w:rPr>
            </w:pPr>
          </w:p>
        </w:tc>
        <w:tc>
          <w:tcPr>
            <w:tcW w:w="2440" w:type="dxa"/>
            <w:gridSpan w:val="2"/>
            <w:vMerge/>
            <w:tcBorders>
              <w:bottom w:val="single" w:sz="8" w:space="0" w:color="auto"/>
              <w:right w:val="single" w:sz="8" w:space="0" w:color="auto"/>
            </w:tcBorders>
            <w:shd w:val="clear" w:color="auto" w:fill="auto"/>
            <w:vAlign w:val="bottom"/>
          </w:tcPr>
          <w:p w14:paraId="546C8E10" w14:textId="77777777" w:rsidR="00A52778" w:rsidRPr="00460F9E" w:rsidRDefault="00A52778" w:rsidP="00FC3F8E">
            <w:pPr>
              <w:spacing w:line="0" w:lineRule="atLeast"/>
              <w:rPr>
                <w:rFonts w:eastAsia="Times New Roman" w:cs="Times New Roman"/>
                <w:b/>
                <w:sz w:val="10"/>
              </w:rPr>
            </w:pPr>
          </w:p>
        </w:tc>
        <w:tc>
          <w:tcPr>
            <w:tcW w:w="2100" w:type="dxa"/>
            <w:gridSpan w:val="4"/>
            <w:vMerge/>
            <w:tcBorders>
              <w:bottom w:val="single" w:sz="8" w:space="0" w:color="auto"/>
              <w:right w:val="single" w:sz="8" w:space="0" w:color="auto"/>
            </w:tcBorders>
            <w:shd w:val="clear" w:color="auto" w:fill="auto"/>
            <w:vAlign w:val="bottom"/>
          </w:tcPr>
          <w:p w14:paraId="6392DE44" w14:textId="77777777" w:rsidR="00A52778" w:rsidRPr="00460F9E" w:rsidRDefault="00A52778" w:rsidP="00FC3F8E">
            <w:pPr>
              <w:spacing w:line="0" w:lineRule="atLeast"/>
              <w:rPr>
                <w:rFonts w:eastAsia="Times New Roman" w:cs="Times New Roman"/>
                <w:b/>
                <w:sz w:val="10"/>
              </w:rPr>
            </w:pPr>
          </w:p>
        </w:tc>
        <w:tc>
          <w:tcPr>
            <w:tcW w:w="1520" w:type="dxa"/>
            <w:tcBorders>
              <w:left w:val="single" w:sz="8" w:space="0" w:color="auto"/>
              <w:bottom w:val="single" w:sz="8" w:space="0" w:color="auto"/>
              <w:right w:val="single" w:sz="8" w:space="0" w:color="auto"/>
            </w:tcBorders>
            <w:shd w:val="clear" w:color="auto" w:fill="auto"/>
            <w:vAlign w:val="bottom"/>
          </w:tcPr>
          <w:p w14:paraId="1465CA78" w14:textId="77777777" w:rsidR="00A52778" w:rsidRPr="00460F9E" w:rsidRDefault="00A52778" w:rsidP="00FC3F8E">
            <w:pPr>
              <w:spacing w:line="0" w:lineRule="atLeast"/>
              <w:rPr>
                <w:rFonts w:eastAsia="Times New Roman" w:cs="Times New Roman"/>
                <w:b/>
                <w:sz w:val="10"/>
              </w:rPr>
            </w:pPr>
          </w:p>
        </w:tc>
        <w:tc>
          <w:tcPr>
            <w:tcW w:w="2320" w:type="dxa"/>
            <w:gridSpan w:val="3"/>
            <w:vMerge/>
            <w:tcBorders>
              <w:bottom w:val="single" w:sz="8" w:space="0" w:color="auto"/>
              <w:right w:val="single" w:sz="8" w:space="0" w:color="auto"/>
            </w:tcBorders>
            <w:shd w:val="clear" w:color="auto" w:fill="auto"/>
            <w:vAlign w:val="bottom"/>
          </w:tcPr>
          <w:p w14:paraId="2015296C" w14:textId="77777777" w:rsidR="00A52778" w:rsidRPr="00460F9E" w:rsidRDefault="00A52778" w:rsidP="00FC3F8E">
            <w:pPr>
              <w:spacing w:line="0" w:lineRule="atLeast"/>
              <w:rPr>
                <w:rFonts w:eastAsia="Times New Roman" w:cs="Times New Roman"/>
                <w:b/>
                <w:sz w:val="10"/>
              </w:rPr>
            </w:pPr>
          </w:p>
        </w:tc>
      </w:tr>
      <w:tr w:rsidR="00A52778" w:rsidRPr="00460F9E" w14:paraId="25322AF9" w14:textId="77777777" w:rsidTr="00FC3F8E">
        <w:trPr>
          <w:trHeight w:val="218"/>
        </w:trPr>
        <w:tc>
          <w:tcPr>
            <w:tcW w:w="1404" w:type="dxa"/>
            <w:tcBorders>
              <w:left w:val="single" w:sz="8" w:space="0" w:color="auto"/>
              <w:right w:val="single" w:sz="8" w:space="0" w:color="auto"/>
            </w:tcBorders>
            <w:shd w:val="clear" w:color="auto" w:fill="auto"/>
            <w:vAlign w:val="bottom"/>
          </w:tcPr>
          <w:p w14:paraId="29CBAC79" w14:textId="77777777" w:rsidR="00A52778" w:rsidRPr="00460F9E" w:rsidRDefault="00A52778" w:rsidP="00FC3F8E">
            <w:pPr>
              <w:spacing w:line="0" w:lineRule="atLeast"/>
              <w:rPr>
                <w:rFonts w:eastAsia="Times New Roman" w:cs="Times New Roman"/>
                <w:b/>
                <w:sz w:val="18"/>
              </w:rPr>
            </w:pPr>
          </w:p>
        </w:tc>
        <w:tc>
          <w:tcPr>
            <w:tcW w:w="2440" w:type="dxa"/>
            <w:gridSpan w:val="2"/>
            <w:vMerge w:val="restart"/>
            <w:tcBorders>
              <w:right w:val="single" w:sz="8" w:space="0" w:color="auto"/>
            </w:tcBorders>
            <w:shd w:val="clear" w:color="auto" w:fill="auto"/>
            <w:vAlign w:val="center"/>
          </w:tcPr>
          <w:p w14:paraId="05A472DB"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Yüksek seviyedeki NO</w:t>
            </w:r>
            <w:r w:rsidRPr="00460F9E">
              <w:rPr>
                <w:rFonts w:eastAsia="Times New Roman" w:cs="Times New Roman"/>
                <w:sz w:val="20"/>
              </w:rPr>
              <w:t>X</w:t>
            </w:r>
            <w:r w:rsidRPr="00460F9E">
              <w:rPr>
                <w:rFonts w:eastAsia="Times New Roman" w:cs="Times New Roman"/>
              </w:rPr>
              <w:t xml:space="preserve"> öncüllerinin giderilmesi</w:t>
            </w:r>
          </w:p>
          <w:p w14:paraId="10D6E752" w14:textId="77777777" w:rsidR="00A52778" w:rsidRPr="00460F9E" w:rsidRDefault="00A52778" w:rsidP="00FC3F8E">
            <w:pPr>
              <w:spacing w:line="0" w:lineRule="atLeast"/>
              <w:ind w:left="100"/>
              <w:rPr>
                <w:rFonts w:eastAsia="Times New Roman" w:cs="Times New Roman"/>
                <w:b/>
                <w:sz w:val="18"/>
              </w:rPr>
            </w:pPr>
          </w:p>
        </w:tc>
        <w:tc>
          <w:tcPr>
            <w:tcW w:w="2100" w:type="dxa"/>
            <w:gridSpan w:val="4"/>
            <w:vMerge w:val="restart"/>
            <w:tcBorders>
              <w:left w:val="single" w:sz="8" w:space="0" w:color="auto"/>
              <w:right w:val="single" w:sz="8" w:space="0" w:color="auto"/>
            </w:tcBorders>
            <w:shd w:val="clear" w:color="auto" w:fill="auto"/>
          </w:tcPr>
          <w:p w14:paraId="1F74EB44"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Termal veya katalitik   </w:t>
            </w:r>
          </w:p>
          <w:p w14:paraId="6372453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oksidasyondan önce </w:t>
            </w:r>
          </w:p>
          <w:p w14:paraId="31D5A9E4"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yüksek seviyedeki NO</w:t>
            </w:r>
            <w:r w:rsidRPr="00460F9E">
              <w:rPr>
                <w:rFonts w:eastAsia="Times New Roman" w:cs="Times New Roman"/>
                <w:sz w:val="12"/>
              </w:rPr>
              <w:t>X</w:t>
            </w:r>
            <w:r w:rsidRPr="00460F9E">
              <w:rPr>
                <w:rFonts w:eastAsia="Times New Roman" w:cs="Times New Roman"/>
              </w:rPr>
              <w:t xml:space="preserve"> </w:t>
            </w:r>
          </w:p>
          <w:p w14:paraId="6CE36D09"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öncüllerini (mümkünse </w:t>
            </w:r>
          </w:p>
          <w:p w14:paraId="6BDAF0F9"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yeniden kullanım için) </w:t>
            </w:r>
          </w:p>
          <w:p w14:paraId="495B604A"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uzaklaştırın, örneğin </w:t>
            </w:r>
          </w:p>
          <w:p w14:paraId="5189DD02"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absorpsiyon, </w:t>
            </w:r>
          </w:p>
          <w:p w14:paraId="30F085AC"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adsorpsiyon veya </w:t>
            </w:r>
          </w:p>
          <w:p w14:paraId="1644D93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yoğuşturma yoluyla.</w:t>
            </w:r>
          </w:p>
        </w:tc>
        <w:tc>
          <w:tcPr>
            <w:tcW w:w="1520" w:type="dxa"/>
            <w:tcBorders>
              <w:right w:val="single" w:sz="8" w:space="0" w:color="auto"/>
            </w:tcBorders>
            <w:shd w:val="clear" w:color="auto" w:fill="auto"/>
            <w:vAlign w:val="bottom"/>
          </w:tcPr>
          <w:p w14:paraId="6A4D3877" w14:textId="77777777" w:rsidR="00A52778" w:rsidRPr="00460F9E" w:rsidRDefault="00A52778" w:rsidP="00FC3F8E">
            <w:pPr>
              <w:spacing w:line="0" w:lineRule="atLeast"/>
              <w:rPr>
                <w:rFonts w:eastAsia="Times New Roman" w:cs="Times New Roman"/>
                <w:b/>
                <w:sz w:val="18"/>
              </w:rPr>
            </w:pPr>
          </w:p>
        </w:tc>
        <w:tc>
          <w:tcPr>
            <w:tcW w:w="580" w:type="dxa"/>
            <w:shd w:val="clear" w:color="auto" w:fill="auto"/>
            <w:vAlign w:val="bottom"/>
          </w:tcPr>
          <w:p w14:paraId="2F7C1D40" w14:textId="77777777" w:rsidR="00A52778" w:rsidRPr="00460F9E" w:rsidRDefault="00A52778" w:rsidP="00FC3F8E">
            <w:pPr>
              <w:spacing w:line="0" w:lineRule="atLeast"/>
              <w:rPr>
                <w:rFonts w:eastAsia="Times New Roman" w:cs="Times New Roman"/>
                <w:b/>
                <w:sz w:val="18"/>
              </w:rPr>
            </w:pPr>
          </w:p>
        </w:tc>
        <w:tc>
          <w:tcPr>
            <w:tcW w:w="840" w:type="dxa"/>
            <w:shd w:val="clear" w:color="auto" w:fill="auto"/>
            <w:vAlign w:val="bottom"/>
          </w:tcPr>
          <w:p w14:paraId="477AE8EE" w14:textId="77777777" w:rsidR="00A52778" w:rsidRPr="00460F9E" w:rsidRDefault="00A52778" w:rsidP="00FC3F8E">
            <w:pPr>
              <w:spacing w:line="0" w:lineRule="atLeast"/>
              <w:rPr>
                <w:rFonts w:eastAsia="Times New Roman" w:cs="Times New Roman"/>
                <w:b/>
                <w:sz w:val="18"/>
              </w:rPr>
            </w:pPr>
          </w:p>
        </w:tc>
        <w:tc>
          <w:tcPr>
            <w:tcW w:w="900" w:type="dxa"/>
            <w:tcBorders>
              <w:right w:val="single" w:sz="8" w:space="0" w:color="auto"/>
            </w:tcBorders>
            <w:shd w:val="clear" w:color="auto" w:fill="auto"/>
            <w:vAlign w:val="bottom"/>
          </w:tcPr>
          <w:p w14:paraId="5146D3A4" w14:textId="77777777" w:rsidR="00A52778" w:rsidRPr="00460F9E" w:rsidRDefault="00A52778" w:rsidP="00FC3F8E">
            <w:pPr>
              <w:spacing w:line="0" w:lineRule="atLeast"/>
              <w:rPr>
                <w:rFonts w:eastAsia="Times New Roman" w:cs="Times New Roman"/>
                <w:b/>
                <w:sz w:val="18"/>
              </w:rPr>
            </w:pPr>
          </w:p>
        </w:tc>
      </w:tr>
      <w:tr w:rsidR="00A52778" w:rsidRPr="00460F9E" w14:paraId="4DD1EC3B" w14:textId="77777777" w:rsidTr="00FC3F8E">
        <w:trPr>
          <w:trHeight w:val="230"/>
        </w:trPr>
        <w:tc>
          <w:tcPr>
            <w:tcW w:w="1404" w:type="dxa"/>
            <w:tcBorders>
              <w:left w:val="single" w:sz="8" w:space="0" w:color="auto"/>
              <w:right w:val="single" w:sz="8" w:space="0" w:color="auto"/>
            </w:tcBorders>
            <w:shd w:val="clear" w:color="auto" w:fill="auto"/>
            <w:vAlign w:val="bottom"/>
          </w:tcPr>
          <w:p w14:paraId="10A7579E" w14:textId="77777777" w:rsidR="00A52778" w:rsidRPr="00460F9E" w:rsidRDefault="00A52778" w:rsidP="00FC3F8E">
            <w:pPr>
              <w:spacing w:line="0" w:lineRule="atLeast"/>
              <w:rPr>
                <w:rFonts w:eastAsia="Times New Roman" w:cs="Times New Roman"/>
                <w:b/>
              </w:rPr>
            </w:pPr>
          </w:p>
        </w:tc>
        <w:tc>
          <w:tcPr>
            <w:tcW w:w="2440" w:type="dxa"/>
            <w:gridSpan w:val="2"/>
            <w:vMerge/>
            <w:tcBorders>
              <w:right w:val="single" w:sz="8" w:space="0" w:color="auto"/>
            </w:tcBorders>
            <w:shd w:val="clear" w:color="auto" w:fill="auto"/>
            <w:vAlign w:val="bottom"/>
          </w:tcPr>
          <w:p w14:paraId="7ED914F9" w14:textId="77777777" w:rsidR="00A52778" w:rsidRPr="00460F9E" w:rsidRDefault="00A52778" w:rsidP="00FC3F8E">
            <w:pPr>
              <w:spacing w:line="0" w:lineRule="atLeast"/>
              <w:ind w:left="100"/>
              <w:rPr>
                <w:rFonts w:eastAsia="Times New Roman" w:cs="Times New Roman"/>
                <w:b/>
              </w:rPr>
            </w:pPr>
          </w:p>
        </w:tc>
        <w:tc>
          <w:tcPr>
            <w:tcW w:w="2100" w:type="dxa"/>
            <w:gridSpan w:val="4"/>
            <w:vMerge/>
            <w:tcBorders>
              <w:left w:val="single" w:sz="8" w:space="0" w:color="auto"/>
              <w:right w:val="single" w:sz="8" w:space="0" w:color="auto"/>
            </w:tcBorders>
            <w:shd w:val="clear" w:color="auto" w:fill="auto"/>
            <w:vAlign w:val="bottom"/>
          </w:tcPr>
          <w:p w14:paraId="690686B8" w14:textId="77777777" w:rsidR="00A52778" w:rsidRPr="00460F9E" w:rsidRDefault="00A52778" w:rsidP="00FC3F8E">
            <w:pPr>
              <w:spacing w:line="0" w:lineRule="atLeast"/>
              <w:rPr>
                <w:rFonts w:eastAsia="Times New Roman" w:cs="Times New Roman"/>
                <w:b/>
              </w:rPr>
            </w:pPr>
          </w:p>
        </w:tc>
        <w:tc>
          <w:tcPr>
            <w:tcW w:w="1520" w:type="dxa"/>
            <w:tcBorders>
              <w:left w:val="single" w:sz="8" w:space="0" w:color="auto"/>
              <w:right w:val="single" w:sz="8" w:space="0" w:color="auto"/>
            </w:tcBorders>
            <w:shd w:val="clear" w:color="auto" w:fill="auto"/>
            <w:vAlign w:val="bottom"/>
          </w:tcPr>
          <w:p w14:paraId="3A6B4132" w14:textId="77777777" w:rsidR="00A52778" w:rsidRPr="00460F9E" w:rsidRDefault="00A52778" w:rsidP="00FC3F8E">
            <w:pPr>
              <w:spacing w:line="0" w:lineRule="atLeast"/>
              <w:rPr>
                <w:rFonts w:eastAsia="Times New Roman" w:cs="Times New Roman"/>
                <w:b/>
              </w:rPr>
            </w:pPr>
          </w:p>
        </w:tc>
        <w:tc>
          <w:tcPr>
            <w:tcW w:w="580" w:type="dxa"/>
            <w:shd w:val="clear" w:color="auto" w:fill="auto"/>
            <w:vAlign w:val="bottom"/>
          </w:tcPr>
          <w:p w14:paraId="3FB0FAC6" w14:textId="77777777" w:rsidR="00A52778" w:rsidRPr="00460F9E" w:rsidRDefault="00A52778" w:rsidP="00FC3F8E">
            <w:pPr>
              <w:spacing w:line="0" w:lineRule="atLeast"/>
              <w:rPr>
                <w:rFonts w:eastAsia="Times New Roman" w:cs="Times New Roman"/>
                <w:b/>
              </w:rPr>
            </w:pPr>
          </w:p>
        </w:tc>
        <w:tc>
          <w:tcPr>
            <w:tcW w:w="840" w:type="dxa"/>
            <w:shd w:val="clear" w:color="auto" w:fill="auto"/>
            <w:vAlign w:val="bottom"/>
          </w:tcPr>
          <w:p w14:paraId="03914F15" w14:textId="77777777" w:rsidR="00A52778" w:rsidRPr="00460F9E" w:rsidRDefault="00A52778" w:rsidP="00FC3F8E">
            <w:pPr>
              <w:spacing w:line="0" w:lineRule="atLeast"/>
              <w:rPr>
                <w:rFonts w:eastAsia="Times New Roman" w:cs="Times New Roman"/>
                <w:b/>
              </w:rPr>
            </w:pPr>
          </w:p>
        </w:tc>
        <w:tc>
          <w:tcPr>
            <w:tcW w:w="900" w:type="dxa"/>
            <w:tcBorders>
              <w:right w:val="single" w:sz="8" w:space="0" w:color="auto"/>
            </w:tcBorders>
            <w:shd w:val="clear" w:color="auto" w:fill="auto"/>
            <w:vAlign w:val="bottom"/>
          </w:tcPr>
          <w:p w14:paraId="7893813D" w14:textId="77777777" w:rsidR="00A52778" w:rsidRPr="00460F9E" w:rsidRDefault="00A52778" w:rsidP="00FC3F8E">
            <w:pPr>
              <w:spacing w:line="0" w:lineRule="atLeast"/>
              <w:rPr>
                <w:rFonts w:eastAsia="Times New Roman" w:cs="Times New Roman"/>
                <w:b/>
              </w:rPr>
            </w:pPr>
          </w:p>
        </w:tc>
      </w:tr>
      <w:tr w:rsidR="00A52778" w:rsidRPr="00460F9E" w14:paraId="2F9CEBB0" w14:textId="77777777" w:rsidTr="00FC3F8E">
        <w:trPr>
          <w:trHeight w:val="231"/>
        </w:trPr>
        <w:tc>
          <w:tcPr>
            <w:tcW w:w="1404" w:type="dxa"/>
            <w:tcBorders>
              <w:left w:val="single" w:sz="8" w:space="0" w:color="auto"/>
              <w:right w:val="single" w:sz="8" w:space="0" w:color="auto"/>
            </w:tcBorders>
            <w:shd w:val="clear" w:color="auto" w:fill="auto"/>
            <w:vAlign w:val="bottom"/>
          </w:tcPr>
          <w:p w14:paraId="09608301" w14:textId="77777777" w:rsidR="00A52778" w:rsidRPr="00460F9E" w:rsidRDefault="00A52778" w:rsidP="00FC3F8E">
            <w:pPr>
              <w:spacing w:line="0" w:lineRule="atLeast"/>
              <w:rPr>
                <w:rFonts w:eastAsia="Times New Roman" w:cs="Times New Roman"/>
                <w:b/>
              </w:rPr>
            </w:pPr>
          </w:p>
        </w:tc>
        <w:tc>
          <w:tcPr>
            <w:tcW w:w="2440" w:type="dxa"/>
            <w:gridSpan w:val="2"/>
            <w:vMerge/>
            <w:tcBorders>
              <w:right w:val="single" w:sz="8" w:space="0" w:color="auto"/>
            </w:tcBorders>
            <w:shd w:val="clear" w:color="auto" w:fill="auto"/>
            <w:vAlign w:val="bottom"/>
          </w:tcPr>
          <w:p w14:paraId="568E8299" w14:textId="77777777" w:rsidR="00A52778" w:rsidRPr="00460F9E" w:rsidRDefault="00A52778" w:rsidP="00FC3F8E">
            <w:pPr>
              <w:spacing w:line="0" w:lineRule="atLeast"/>
              <w:ind w:left="100"/>
              <w:rPr>
                <w:rFonts w:eastAsia="Times New Roman" w:cs="Times New Roman"/>
                <w:b/>
              </w:rPr>
            </w:pPr>
          </w:p>
        </w:tc>
        <w:tc>
          <w:tcPr>
            <w:tcW w:w="2100" w:type="dxa"/>
            <w:gridSpan w:val="4"/>
            <w:vMerge/>
            <w:tcBorders>
              <w:left w:val="single" w:sz="8" w:space="0" w:color="auto"/>
              <w:right w:val="single" w:sz="8" w:space="0" w:color="auto"/>
            </w:tcBorders>
            <w:shd w:val="clear" w:color="auto" w:fill="auto"/>
            <w:vAlign w:val="bottom"/>
          </w:tcPr>
          <w:p w14:paraId="3434FB21" w14:textId="77777777" w:rsidR="00A52778" w:rsidRPr="00460F9E" w:rsidRDefault="00A52778" w:rsidP="00FC3F8E">
            <w:pPr>
              <w:spacing w:line="0" w:lineRule="atLeast"/>
              <w:rPr>
                <w:rFonts w:eastAsia="Times New Roman" w:cs="Times New Roman"/>
                <w:b/>
              </w:rPr>
            </w:pPr>
          </w:p>
        </w:tc>
        <w:tc>
          <w:tcPr>
            <w:tcW w:w="1520" w:type="dxa"/>
            <w:tcBorders>
              <w:left w:val="single" w:sz="8" w:space="0" w:color="auto"/>
              <w:right w:val="single" w:sz="8" w:space="0" w:color="auto"/>
            </w:tcBorders>
            <w:shd w:val="clear" w:color="auto" w:fill="auto"/>
            <w:vAlign w:val="bottom"/>
          </w:tcPr>
          <w:p w14:paraId="6F92E8C4" w14:textId="77777777" w:rsidR="00A52778" w:rsidRPr="00460F9E" w:rsidRDefault="00A52778" w:rsidP="00FC3F8E">
            <w:pPr>
              <w:spacing w:line="0" w:lineRule="atLeast"/>
              <w:rPr>
                <w:rFonts w:eastAsia="Times New Roman" w:cs="Times New Roman"/>
                <w:b/>
              </w:rPr>
            </w:pPr>
          </w:p>
        </w:tc>
        <w:tc>
          <w:tcPr>
            <w:tcW w:w="580" w:type="dxa"/>
            <w:shd w:val="clear" w:color="auto" w:fill="auto"/>
            <w:vAlign w:val="bottom"/>
          </w:tcPr>
          <w:p w14:paraId="71F8A7DA" w14:textId="77777777" w:rsidR="00A52778" w:rsidRPr="00460F9E" w:rsidRDefault="00A52778" w:rsidP="00FC3F8E">
            <w:pPr>
              <w:spacing w:line="0" w:lineRule="atLeast"/>
              <w:rPr>
                <w:rFonts w:eastAsia="Times New Roman" w:cs="Times New Roman"/>
                <w:b/>
              </w:rPr>
            </w:pPr>
          </w:p>
        </w:tc>
        <w:tc>
          <w:tcPr>
            <w:tcW w:w="840" w:type="dxa"/>
            <w:shd w:val="clear" w:color="auto" w:fill="auto"/>
            <w:vAlign w:val="bottom"/>
          </w:tcPr>
          <w:p w14:paraId="6B4C51C0" w14:textId="77777777" w:rsidR="00A52778" w:rsidRPr="00460F9E" w:rsidRDefault="00A52778" w:rsidP="00FC3F8E">
            <w:pPr>
              <w:spacing w:line="0" w:lineRule="atLeast"/>
              <w:rPr>
                <w:rFonts w:eastAsia="Times New Roman" w:cs="Times New Roman"/>
                <w:b/>
              </w:rPr>
            </w:pPr>
          </w:p>
        </w:tc>
        <w:tc>
          <w:tcPr>
            <w:tcW w:w="900" w:type="dxa"/>
            <w:tcBorders>
              <w:right w:val="single" w:sz="8" w:space="0" w:color="auto"/>
            </w:tcBorders>
            <w:shd w:val="clear" w:color="auto" w:fill="auto"/>
            <w:vAlign w:val="bottom"/>
          </w:tcPr>
          <w:p w14:paraId="69E920D1" w14:textId="77777777" w:rsidR="00A52778" w:rsidRPr="00460F9E" w:rsidRDefault="00A52778" w:rsidP="00FC3F8E">
            <w:pPr>
              <w:spacing w:line="0" w:lineRule="atLeast"/>
              <w:rPr>
                <w:rFonts w:eastAsia="Times New Roman" w:cs="Times New Roman"/>
                <w:b/>
              </w:rPr>
            </w:pPr>
          </w:p>
        </w:tc>
      </w:tr>
      <w:tr w:rsidR="00A52778" w:rsidRPr="00460F9E" w14:paraId="150DF030" w14:textId="77777777" w:rsidTr="00FC3F8E">
        <w:trPr>
          <w:trHeight w:val="345"/>
        </w:trPr>
        <w:tc>
          <w:tcPr>
            <w:tcW w:w="1404" w:type="dxa"/>
            <w:tcBorders>
              <w:left w:val="single" w:sz="8" w:space="0" w:color="auto"/>
              <w:bottom w:val="nil"/>
              <w:right w:val="single" w:sz="8" w:space="0" w:color="auto"/>
            </w:tcBorders>
            <w:shd w:val="clear" w:color="auto" w:fill="auto"/>
            <w:vAlign w:val="bottom"/>
          </w:tcPr>
          <w:p w14:paraId="320A78C9" w14:textId="77777777" w:rsidR="00A52778" w:rsidRPr="00460F9E" w:rsidRDefault="00A52778" w:rsidP="00FC3F8E">
            <w:pPr>
              <w:spacing w:line="0" w:lineRule="atLeast"/>
              <w:ind w:left="100"/>
              <w:rPr>
                <w:rFonts w:eastAsia="Times New Roman" w:cs="Times New Roman"/>
                <w:b/>
              </w:rPr>
            </w:pPr>
            <w:r>
              <w:rPr>
                <w:rFonts w:eastAsia="Times New Roman" w:cs="Times New Roman"/>
              </w:rPr>
              <w:t>ç</w:t>
            </w:r>
            <w:r w:rsidRPr="00460F9E">
              <w:rPr>
                <w:rFonts w:eastAsia="Times New Roman" w:cs="Times New Roman"/>
              </w:rPr>
              <w:t>.</w:t>
            </w:r>
          </w:p>
        </w:tc>
        <w:tc>
          <w:tcPr>
            <w:tcW w:w="2440" w:type="dxa"/>
            <w:gridSpan w:val="2"/>
            <w:vMerge/>
            <w:tcBorders>
              <w:bottom w:val="nil"/>
              <w:right w:val="single" w:sz="8" w:space="0" w:color="auto"/>
            </w:tcBorders>
            <w:shd w:val="clear" w:color="auto" w:fill="auto"/>
          </w:tcPr>
          <w:p w14:paraId="56C87330" w14:textId="77777777" w:rsidR="00A52778" w:rsidRPr="00460F9E" w:rsidRDefault="00A52778" w:rsidP="00FC3F8E">
            <w:pPr>
              <w:spacing w:line="0" w:lineRule="atLeast"/>
              <w:ind w:left="100"/>
              <w:rPr>
                <w:rFonts w:eastAsia="Times New Roman" w:cs="Times New Roman"/>
                <w:b/>
              </w:rPr>
            </w:pPr>
          </w:p>
        </w:tc>
        <w:tc>
          <w:tcPr>
            <w:tcW w:w="2100" w:type="dxa"/>
            <w:gridSpan w:val="4"/>
            <w:vMerge/>
            <w:tcBorders>
              <w:left w:val="single" w:sz="8" w:space="0" w:color="auto"/>
              <w:bottom w:val="nil"/>
              <w:right w:val="single" w:sz="8" w:space="0" w:color="auto"/>
            </w:tcBorders>
            <w:shd w:val="clear" w:color="auto" w:fill="auto"/>
            <w:vAlign w:val="bottom"/>
          </w:tcPr>
          <w:p w14:paraId="62F7CCCE" w14:textId="77777777" w:rsidR="00A52778" w:rsidRPr="00460F9E" w:rsidRDefault="00A52778" w:rsidP="00FC3F8E">
            <w:pPr>
              <w:spacing w:line="0" w:lineRule="atLeast"/>
              <w:rPr>
                <w:rFonts w:eastAsia="Times New Roman" w:cs="Times New Roman"/>
                <w:b/>
              </w:rPr>
            </w:pPr>
          </w:p>
        </w:tc>
        <w:tc>
          <w:tcPr>
            <w:tcW w:w="1520" w:type="dxa"/>
            <w:tcBorders>
              <w:left w:val="single" w:sz="8" w:space="0" w:color="auto"/>
              <w:bottom w:val="nil"/>
              <w:right w:val="single" w:sz="8" w:space="0" w:color="auto"/>
            </w:tcBorders>
            <w:shd w:val="clear" w:color="auto" w:fill="auto"/>
            <w:vAlign w:val="bottom"/>
          </w:tcPr>
          <w:p w14:paraId="5778E8E8" w14:textId="77777777" w:rsidR="00A52778" w:rsidRPr="00460F9E" w:rsidRDefault="00A52778" w:rsidP="00FC3F8E">
            <w:pPr>
              <w:spacing w:line="0" w:lineRule="atLeast"/>
              <w:jc w:val="center"/>
              <w:rPr>
                <w:rFonts w:eastAsia="Times New Roman" w:cs="Times New Roman"/>
                <w:b/>
                <w:sz w:val="12"/>
              </w:rPr>
            </w:pPr>
            <w:r w:rsidRPr="00460F9E">
              <w:rPr>
                <w:rFonts w:eastAsia="Times New Roman" w:cs="Times New Roman"/>
              </w:rPr>
              <w:t>NO</w:t>
            </w:r>
            <w:r w:rsidRPr="00460F9E">
              <w:rPr>
                <w:rFonts w:eastAsia="Times New Roman" w:cs="Times New Roman"/>
                <w:sz w:val="12"/>
              </w:rPr>
              <w:t>X</w:t>
            </w:r>
          </w:p>
        </w:tc>
        <w:tc>
          <w:tcPr>
            <w:tcW w:w="2320" w:type="dxa"/>
            <w:gridSpan w:val="3"/>
            <w:tcBorders>
              <w:bottom w:val="nil"/>
              <w:right w:val="single" w:sz="8" w:space="0" w:color="auto"/>
            </w:tcBorders>
            <w:shd w:val="clear" w:color="auto" w:fill="auto"/>
            <w:vAlign w:val="bottom"/>
          </w:tcPr>
          <w:p w14:paraId="548BDF9A"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Genel olarak uygulanabilir.</w:t>
            </w:r>
          </w:p>
        </w:tc>
      </w:tr>
      <w:tr w:rsidR="00A52778" w:rsidRPr="00460F9E" w14:paraId="3C3EECBB" w14:textId="77777777" w:rsidTr="00FC3F8E">
        <w:trPr>
          <w:trHeight w:val="115"/>
        </w:trPr>
        <w:tc>
          <w:tcPr>
            <w:tcW w:w="1404" w:type="dxa"/>
            <w:tcBorders>
              <w:left w:val="single" w:sz="8" w:space="0" w:color="auto"/>
              <w:right w:val="single" w:sz="8" w:space="0" w:color="auto"/>
            </w:tcBorders>
            <w:shd w:val="clear" w:color="auto" w:fill="auto"/>
            <w:vAlign w:val="bottom"/>
          </w:tcPr>
          <w:p w14:paraId="52C421BA" w14:textId="77777777" w:rsidR="00A52778" w:rsidRPr="00460F9E" w:rsidRDefault="00A52778" w:rsidP="00FC3F8E">
            <w:pPr>
              <w:spacing w:line="0" w:lineRule="atLeast"/>
              <w:rPr>
                <w:rFonts w:eastAsia="Times New Roman" w:cs="Times New Roman"/>
                <w:b/>
                <w:sz w:val="10"/>
              </w:rPr>
            </w:pPr>
          </w:p>
        </w:tc>
        <w:tc>
          <w:tcPr>
            <w:tcW w:w="2440" w:type="dxa"/>
            <w:gridSpan w:val="2"/>
            <w:vMerge/>
            <w:tcBorders>
              <w:right w:val="single" w:sz="8" w:space="0" w:color="auto"/>
            </w:tcBorders>
            <w:shd w:val="clear" w:color="auto" w:fill="auto"/>
            <w:vAlign w:val="bottom"/>
          </w:tcPr>
          <w:p w14:paraId="494EB091" w14:textId="77777777" w:rsidR="00A52778" w:rsidRPr="00460F9E" w:rsidRDefault="00A52778" w:rsidP="00FC3F8E">
            <w:pPr>
              <w:spacing w:line="0" w:lineRule="atLeast"/>
              <w:rPr>
                <w:rFonts w:eastAsia="Times New Roman" w:cs="Times New Roman"/>
                <w:b/>
                <w:sz w:val="10"/>
              </w:rPr>
            </w:pPr>
          </w:p>
        </w:tc>
        <w:tc>
          <w:tcPr>
            <w:tcW w:w="2100" w:type="dxa"/>
            <w:gridSpan w:val="4"/>
            <w:vMerge/>
            <w:tcBorders>
              <w:left w:val="single" w:sz="8" w:space="0" w:color="auto"/>
              <w:right w:val="single" w:sz="8" w:space="0" w:color="auto"/>
            </w:tcBorders>
            <w:shd w:val="clear" w:color="auto" w:fill="auto"/>
            <w:vAlign w:val="bottom"/>
          </w:tcPr>
          <w:p w14:paraId="6AD875E7" w14:textId="77777777" w:rsidR="00A52778" w:rsidRPr="00460F9E" w:rsidRDefault="00A52778" w:rsidP="00FC3F8E">
            <w:pPr>
              <w:spacing w:line="0" w:lineRule="atLeast"/>
              <w:rPr>
                <w:rFonts w:eastAsia="Times New Roman" w:cs="Times New Roman"/>
                <w:b/>
                <w:sz w:val="10"/>
              </w:rPr>
            </w:pPr>
          </w:p>
        </w:tc>
        <w:tc>
          <w:tcPr>
            <w:tcW w:w="1520" w:type="dxa"/>
            <w:tcBorders>
              <w:right w:val="single" w:sz="8" w:space="0" w:color="auto"/>
            </w:tcBorders>
            <w:shd w:val="clear" w:color="auto" w:fill="auto"/>
            <w:vAlign w:val="bottom"/>
          </w:tcPr>
          <w:p w14:paraId="0D3006D9" w14:textId="77777777" w:rsidR="00A52778" w:rsidRPr="00460F9E" w:rsidRDefault="00A52778" w:rsidP="00FC3F8E">
            <w:pPr>
              <w:spacing w:line="0" w:lineRule="atLeast"/>
              <w:rPr>
                <w:rFonts w:eastAsia="Times New Roman" w:cs="Times New Roman"/>
                <w:b/>
                <w:sz w:val="10"/>
              </w:rPr>
            </w:pPr>
          </w:p>
        </w:tc>
        <w:tc>
          <w:tcPr>
            <w:tcW w:w="580" w:type="dxa"/>
            <w:shd w:val="clear" w:color="auto" w:fill="auto"/>
            <w:vAlign w:val="bottom"/>
          </w:tcPr>
          <w:p w14:paraId="068363EA" w14:textId="77777777" w:rsidR="00A52778" w:rsidRPr="00460F9E" w:rsidRDefault="00A52778" w:rsidP="00FC3F8E">
            <w:pPr>
              <w:spacing w:line="0" w:lineRule="atLeast"/>
              <w:rPr>
                <w:rFonts w:eastAsia="Times New Roman" w:cs="Times New Roman"/>
                <w:b/>
                <w:sz w:val="10"/>
              </w:rPr>
            </w:pPr>
          </w:p>
        </w:tc>
        <w:tc>
          <w:tcPr>
            <w:tcW w:w="840" w:type="dxa"/>
            <w:shd w:val="clear" w:color="auto" w:fill="auto"/>
            <w:vAlign w:val="bottom"/>
          </w:tcPr>
          <w:p w14:paraId="799CBA82" w14:textId="77777777" w:rsidR="00A52778" w:rsidRPr="00460F9E" w:rsidRDefault="00A52778" w:rsidP="00FC3F8E">
            <w:pPr>
              <w:spacing w:line="0" w:lineRule="atLeast"/>
              <w:rPr>
                <w:rFonts w:eastAsia="Times New Roman" w:cs="Times New Roman"/>
                <w:b/>
                <w:sz w:val="10"/>
              </w:rPr>
            </w:pPr>
          </w:p>
        </w:tc>
        <w:tc>
          <w:tcPr>
            <w:tcW w:w="900" w:type="dxa"/>
            <w:tcBorders>
              <w:right w:val="single" w:sz="8" w:space="0" w:color="auto"/>
            </w:tcBorders>
            <w:shd w:val="clear" w:color="auto" w:fill="auto"/>
            <w:vAlign w:val="bottom"/>
          </w:tcPr>
          <w:p w14:paraId="0CABF767" w14:textId="77777777" w:rsidR="00A52778" w:rsidRPr="00460F9E" w:rsidRDefault="00A52778" w:rsidP="00FC3F8E">
            <w:pPr>
              <w:spacing w:line="0" w:lineRule="atLeast"/>
              <w:rPr>
                <w:rFonts w:eastAsia="Times New Roman" w:cs="Times New Roman"/>
                <w:b/>
                <w:sz w:val="10"/>
              </w:rPr>
            </w:pPr>
          </w:p>
        </w:tc>
      </w:tr>
      <w:tr w:rsidR="00A52778" w:rsidRPr="00460F9E" w14:paraId="1444456B" w14:textId="77777777" w:rsidTr="00FC3F8E">
        <w:trPr>
          <w:trHeight w:val="227"/>
        </w:trPr>
        <w:tc>
          <w:tcPr>
            <w:tcW w:w="1404" w:type="dxa"/>
            <w:tcBorders>
              <w:left w:val="single" w:sz="8" w:space="0" w:color="auto"/>
              <w:right w:val="single" w:sz="8" w:space="0" w:color="auto"/>
            </w:tcBorders>
            <w:shd w:val="clear" w:color="auto" w:fill="auto"/>
            <w:vAlign w:val="bottom"/>
          </w:tcPr>
          <w:p w14:paraId="550C9241" w14:textId="77777777" w:rsidR="00A52778" w:rsidRPr="00460F9E" w:rsidRDefault="00A52778" w:rsidP="00FC3F8E">
            <w:pPr>
              <w:spacing w:line="0" w:lineRule="atLeast"/>
              <w:rPr>
                <w:rFonts w:eastAsia="Times New Roman" w:cs="Times New Roman"/>
                <w:b/>
                <w:sz w:val="19"/>
              </w:rPr>
            </w:pPr>
          </w:p>
        </w:tc>
        <w:tc>
          <w:tcPr>
            <w:tcW w:w="2440" w:type="dxa"/>
            <w:gridSpan w:val="2"/>
            <w:vMerge/>
            <w:tcBorders>
              <w:right w:val="single" w:sz="8" w:space="0" w:color="auto"/>
            </w:tcBorders>
            <w:shd w:val="clear" w:color="auto" w:fill="auto"/>
            <w:vAlign w:val="bottom"/>
          </w:tcPr>
          <w:p w14:paraId="5E53BD06" w14:textId="77777777" w:rsidR="00A52778" w:rsidRPr="00460F9E" w:rsidRDefault="00A52778" w:rsidP="00FC3F8E">
            <w:pPr>
              <w:spacing w:line="0" w:lineRule="atLeast"/>
              <w:rPr>
                <w:rFonts w:eastAsia="Times New Roman" w:cs="Times New Roman"/>
                <w:b/>
                <w:sz w:val="19"/>
              </w:rPr>
            </w:pPr>
          </w:p>
        </w:tc>
        <w:tc>
          <w:tcPr>
            <w:tcW w:w="2100" w:type="dxa"/>
            <w:gridSpan w:val="4"/>
            <w:vMerge/>
            <w:tcBorders>
              <w:left w:val="single" w:sz="8" w:space="0" w:color="auto"/>
              <w:right w:val="single" w:sz="8" w:space="0" w:color="auto"/>
            </w:tcBorders>
            <w:shd w:val="clear" w:color="auto" w:fill="auto"/>
            <w:vAlign w:val="bottom"/>
          </w:tcPr>
          <w:p w14:paraId="4D878138" w14:textId="77777777" w:rsidR="00A52778" w:rsidRPr="00460F9E" w:rsidRDefault="00A52778" w:rsidP="00FC3F8E">
            <w:pPr>
              <w:spacing w:line="0" w:lineRule="atLeast"/>
              <w:rPr>
                <w:rFonts w:eastAsia="Times New Roman" w:cs="Times New Roman"/>
                <w:b/>
              </w:rPr>
            </w:pPr>
          </w:p>
        </w:tc>
        <w:tc>
          <w:tcPr>
            <w:tcW w:w="1520" w:type="dxa"/>
            <w:tcBorders>
              <w:left w:val="single" w:sz="8" w:space="0" w:color="auto"/>
              <w:right w:val="single" w:sz="8" w:space="0" w:color="auto"/>
            </w:tcBorders>
            <w:shd w:val="clear" w:color="auto" w:fill="auto"/>
            <w:vAlign w:val="bottom"/>
          </w:tcPr>
          <w:p w14:paraId="62752CB7" w14:textId="77777777" w:rsidR="00A52778" w:rsidRPr="00460F9E" w:rsidRDefault="00A52778" w:rsidP="00FC3F8E">
            <w:pPr>
              <w:spacing w:line="0" w:lineRule="atLeast"/>
              <w:rPr>
                <w:rFonts w:eastAsia="Times New Roman" w:cs="Times New Roman"/>
                <w:b/>
                <w:sz w:val="19"/>
              </w:rPr>
            </w:pPr>
          </w:p>
        </w:tc>
        <w:tc>
          <w:tcPr>
            <w:tcW w:w="580" w:type="dxa"/>
            <w:shd w:val="clear" w:color="auto" w:fill="auto"/>
            <w:vAlign w:val="bottom"/>
          </w:tcPr>
          <w:p w14:paraId="44414D7C" w14:textId="77777777" w:rsidR="00A52778" w:rsidRPr="00460F9E" w:rsidRDefault="00A52778" w:rsidP="00FC3F8E">
            <w:pPr>
              <w:spacing w:line="0" w:lineRule="atLeast"/>
              <w:rPr>
                <w:rFonts w:eastAsia="Times New Roman" w:cs="Times New Roman"/>
                <w:b/>
                <w:sz w:val="19"/>
              </w:rPr>
            </w:pPr>
          </w:p>
        </w:tc>
        <w:tc>
          <w:tcPr>
            <w:tcW w:w="840" w:type="dxa"/>
            <w:shd w:val="clear" w:color="auto" w:fill="auto"/>
            <w:vAlign w:val="bottom"/>
          </w:tcPr>
          <w:p w14:paraId="18466232" w14:textId="77777777" w:rsidR="00A52778" w:rsidRPr="00460F9E" w:rsidRDefault="00A52778" w:rsidP="00FC3F8E">
            <w:pPr>
              <w:spacing w:line="0" w:lineRule="atLeast"/>
              <w:rPr>
                <w:rFonts w:eastAsia="Times New Roman" w:cs="Times New Roman"/>
                <w:b/>
                <w:sz w:val="19"/>
              </w:rPr>
            </w:pPr>
          </w:p>
        </w:tc>
        <w:tc>
          <w:tcPr>
            <w:tcW w:w="900" w:type="dxa"/>
            <w:tcBorders>
              <w:right w:val="single" w:sz="8" w:space="0" w:color="auto"/>
            </w:tcBorders>
            <w:shd w:val="clear" w:color="auto" w:fill="auto"/>
            <w:vAlign w:val="bottom"/>
          </w:tcPr>
          <w:p w14:paraId="5F31CAF7" w14:textId="77777777" w:rsidR="00A52778" w:rsidRPr="00460F9E" w:rsidRDefault="00A52778" w:rsidP="00FC3F8E">
            <w:pPr>
              <w:spacing w:line="0" w:lineRule="atLeast"/>
              <w:rPr>
                <w:rFonts w:eastAsia="Times New Roman" w:cs="Times New Roman"/>
                <w:b/>
                <w:sz w:val="19"/>
              </w:rPr>
            </w:pPr>
          </w:p>
        </w:tc>
      </w:tr>
      <w:tr w:rsidR="00A52778" w:rsidRPr="00460F9E" w14:paraId="76A9F39F" w14:textId="77777777" w:rsidTr="00FC3F8E">
        <w:trPr>
          <w:trHeight w:val="230"/>
        </w:trPr>
        <w:tc>
          <w:tcPr>
            <w:tcW w:w="1404" w:type="dxa"/>
            <w:tcBorders>
              <w:left w:val="single" w:sz="8" w:space="0" w:color="auto"/>
              <w:right w:val="single" w:sz="8" w:space="0" w:color="auto"/>
            </w:tcBorders>
            <w:shd w:val="clear" w:color="auto" w:fill="auto"/>
            <w:vAlign w:val="bottom"/>
          </w:tcPr>
          <w:p w14:paraId="1A27CBA0" w14:textId="77777777" w:rsidR="00A52778" w:rsidRPr="00460F9E" w:rsidRDefault="00A52778" w:rsidP="00FC3F8E">
            <w:pPr>
              <w:spacing w:line="0" w:lineRule="atLeast"/>
              <w:rPr>
                <w:rFonts w:eastAsia="Times New Roman" w:cs="Times New Roman"/>
                <w:b/>
              </w:rPr>
            </w:pPr>
          </w:p>
        </w:tc>
        <w:tc>
          <w:tcPr>
            <w:tcW w:w="2440" w:type="dxa"/>
            <w:gridSpan w:val="2"/>
            <w:vMerge/>
            <w:tcBorders>
              <w:right w:val="single" w:sz="8" w:space="0" w:color="auto"/>
            </w:tcBorders>
            <w:shd w:val="clear" w:color="auto" w:fill="auto"/>
            <w:vAlign w:val="bottom"/>
          </w:tcPr>
          <w:p w14:paraId="03BB83FB" w14:textId="77777777" w:rsidR="00A52778" w:rsidRPr="00460F9E" w:rsidRDefault="00A52778" w:rsidP="00FC3F8E">
            <w:pPr>
              <w:spacing w:line="0" w:lineRule="atLeast"/>
              <w:rPr>
                <w:rFonts w:eastAsia="Times New Roman" w:cs="Times New Roman"/>
                <w:b/>
              </w:rPr>
            </w:pPr>
          </w:p>
        </w:tc>
        <w:tc>
          <w:tcPr>
            <w:tcW w:w="2100" w:type="dxa"/>
            <w:gridSpan w:val="4"/>
            <w:vMerge/>
            <w:tcBorders>
              <w:left w:val="single" w:sz="8" w:space="0" w:color="auto"/>
              <w:right w:val="single" w:sz="8" w:space="0" w:color="auto"/>
            </w:tcBorders>
            <w:shd w:val="clear" w:color="auto" w:fill="auto"/>
            <w:vAlign w:val="bottom"/>
          </w:tcPr>
          <w:p w14:paraId="4BC2F944" w14:textId="77777777" w:rsidR="00A52778" w:rsidRPr="00460F9E" w:rsidRDefault="00A52778" w:rsidP="00FC3F8E">
            <w:pPr>
              <w:spacing w:line="0" w:lineRule="atLeast"/>
              <w:rPr>
                <w:rFonts w:eastAsia="Times New Roman" w:cs="Times New Roman"/>
                <w:b/>
              </w:rPr>
            </w:pPr>
          </w:p>
        </w:tc>
        <w:tc>
          <w:tcPr>
            <w:tcW w:w="1520" w:type="dxa"/>
            <w:tcBorders>
              <w:left w:val="single" w:sz="8" w:space="0" w:color="auto"/>
              <w:right w:val="single" w:sz="8" w:space="0" w:color="auto"/>
            </w:tcBorders>
            <w:shd w:val="clear" w:color="auto" w:fill="auto"/>
            <w:vAlign w:val="bottom"/>
          </w:tcPr>
          <w:p w14:paraId="11E191AE" w14:textId="77777777" w:rsidR="00A52778" w:rsidRPr="00460F9E" w:rsidRDefault="00A52778" w:rsidP="00FC3F8E">
            <w:pPr>
              <w:spacing w:line="0" w:lineRule="atLeast"/>
              <w:rPr>
                <w:rFonts w:eastAsia="Times New Roman" w:cs="Times New Roman"/>
                <w:b/>
              </w:rPr>
            </w:pPr>
          </w:p>
        </w:tc>
        <w:tc>
          <w:tcPr>
            <w:tcW w:w="580" w:type="dxa"/>
            <w:shd w:val="clear" w:color="auto" w:fill="auto"/>
            <w:vAlign w:val="bottom"/>
          </w:tcPr>
          <w:p w14:paraId="159E69E0" w14:textId="77777777" w:rsidR="00A52778" w:rsidRPr="00460F9E" w:rsidRDefault="00A52778" w:rsidP="00FC3F8E">
            <w:pPr>
              <w:spacing w:line="0" w:lineRule="atLeast"/>
              <w:rPr>
                <w:rFonts w:eastAsia="Times New Roman" w:cs="Times New Roman"/>
                <w:b/>
              </w:rPr>
            </w:pPr>
          </w:p>
        </w:tc>
        <w:tc>
          <w:tcPr>
            <w:tcW w:w="840" w:type="dxa"/>
            <w:shd w:val="clear" w:color="auto" w:fill="auto"/>
            <w:vAlign w:val="bottom"/>
          </w:tcPr>
          <w:p w14:paraId="7950698C" w14:textId="77777777" w:rsidR="00A52778" w:rsidRPr="00460F9E" w:rsidRDefault="00A52778" w:rsidP="00FC3F8E">
            <w:pPr>
              <w:spacing w:line="0" w:lineRule="atLeast"/>
              <w:rPr>
                <w:rFonts w:eastAsia="Times New Roman" w:cs="Times New Roman"/>
                <w:b/>
              </w:rPr>
            </w:pPr>
          </w:p>
        </w:tc>
        <w:tc>
          <w:tcPr>
            <w:tcW w:w="900" w:type="dxa"/>
            <w:tcBorders>
              <w:right w:val="single" w:sz="8" w:space="0" w:color="auto"/>
            </w:tcBorders>
            <w:shd w:val="clear" w:color="auto" w:fill="auto"/>
            <w:vAlign w:val="bottom"/>
          </w:tcPr>
          <w:p w14:paraId="1CEE2263" w14:textId="77777777" w:rsidR="00A52778" w:rsidRPr="00460F9E" w:rsidRDefault="00A52778" w:rsidP="00FC3F8E">
            <w:pPr>
              <w:spacing w:line="0" w:lineRule="atLeast"/>
              <w:rPr>
                <w:rFonts w:eastAsia="Times New Roman" w:cs="Times New Roman"/>
                <w:b/>
              </w:rPr>
            </w:pPr>
          </w:p>
        </w:tc>
      </w:tr>
      <w:tr w:rsidR="00A52778" w:rsidRPr="00460F9E" w14:paraId="7B9D6E84" w14:textId="77777777" w:rsidTr="00FC3F8E">
        <w:trPr>
          <w:trHeight w:val="233"/>
        </w:trPr>
        <w:tc>
          <w:tcPr>
            <w:tcW w:w="1404" w:type="dxa"/>
            <w:tcBorders>
              <w:left w:val="single" w:sz="8" w:space="0" w:color="auto"/>
              <w:bottom w:val="single" w:sz="8" w:space="0" w:color="auto"/>
              <w:right w:val="single" w:sz="8" w:space="0" w:color="auto"/>
            </w:tcBorders>
            <w:shd w:val="clear" w:color="auto" w:fill="auto"/>
            <w:vAlign w:val="bottom"/>
          </w:tcPr>
          <w:p w14:paraId="70F41BC9" w14:textId="77777777" w:rsidR="00A52778" w:rsidRPr="00460F9E" w:rsidRDefault="00A52778" w:rsidP="00FC3F8E">
            <w:pPr>
              <w:spacing w:line="0" w:lineRule="atLeast"/>
              <w:rPr>
                <w:rFonts w:eastAsia="Times New Roman" w:cs="Times New Roman"/>
                <w:b/>
              </w:rPr>
            </w:pPr>
          </w:p>
        </w:tc>
        <w:tc>
          <w:tcPr>
            <w:tcW w:w="2440" w:type="dxa"/>
            <w:gridSpan w:val="2"/>
            <w:vMerge/>
            <w:tcBorders>
              <w:bottom w:val="single" w:sz="8" w:space="0" w:color="auto"/>
              <w:right w:val="single" w:sz="8" w:space="0" w:color="auto"/>
            </w:tcBorders>
            <w:shd w:val="clear" w:color="auto" w:fill="auto"/>
            <w:vAlign w:val="bottom"/>
          </w:tcPr>
          <w:p w14:paraId="5FDAE621" w14:textId="77777777" w:rsidR="00A52778" w:rsidRPr="00460F9E" w:rsidRDefault="00A52778" w:rsidP="00FC3F8E">
            <w:pPr>
              <w:spacing w:line="0" w:lineRule="atLeast"/>
              <w:rPr>
                <w:rFonts w:eastAsia="Times New Roman" w:cs="Times New Roman"/>
                <w:b/>
              </w:rPr>
            </w:pPr>
          </w:p>
        </w:tc>
        <w:tc>
          <w:tcPr>
            <w:tcW w:w="2100" w:type="dxa"/>
            <w:gridSpan w:val="4"/>
            <w:vMerge/>
            <w:tcBorders>
              <w:left w:val="single" w:sz="8" w:space="0" w:color="auto"/>
              <w:bottom w:val="single" w:sz="8" w:space="0" w:color="auto"/>
              <w:right w:val="single" w:sz="8" w:space="0" w:color="auto"/>
            </w:tcBorders>
            <w:shd w:val="clear" w:color="auto" w:fill="auto"/>
            <w:vAlign w:val="bottom"/>
          </w:tcPr>
          <w:p w14:paraId="6BBB606B" w14:textId="77777777" w:rsidR="00A52778" w:rsidRPr="00460F9E" w:rsidRDefault="00A52778" w:rsidP="00FC3F8E">
            <w:pPr>
              <w:spacing w:line="0" w:lineRule="atLeast"/>
              <w:rPr>
                <w:rFonts w:eastAsia="Times New Roman" w:cs="Times New Roman"/>
                <w:b/>
              </w:rPr>
            </w:pPr>
          </w:p>
        </w:tc>
        <w:tc>
          <w:tcPr>
            <w:tcW w:w="1520" w:type="dxa"/>
            <w:tcBorders>
              <w:left w:val="single" w:sz="8" w:space="0" w:color="auto"/>
              <w:bottom w:val="single" w:sz="8" w:space="0" w:color="auto"/>
              <w:right w:val="single" w:sz="8" w:space="0" w:color="auto"/>
            </w:tcBorders>
            <w:shd w:val="clear" w:color="auto" w:fill="auto"/>
            <w:vAlign w:val="bottom"/>
          </w:tcPr>
          <w:p w14:paraId="0E6EE04F" w14:textId="77777777" w:rsidR="00A52778" w:rsidRPr="00460F9E" w:rsidRDefault="00A52778" w:rsidP="00FC3F8E">
            <w:pPr>
              <w:spacing w:line="0" w:lineRule="atLeast"/>
              <w:rPr>
                <w:rFonts w:eastAsia="Times New Roman" w:cs="Times New Roman"/>
                <w:b/>
              </w:rPr>
            </w:pPr>
          </w:p>
        </w:tc>
        <w:tc>
          <w:tcPr>
            <w:tcW w:w="580" w:type="dxa"/>
            <w:tcBorders>
              <w:bottom w:val="single" w:sz="8" w:space="0" w:color="auto"/>
            </w:tcBorders>
            <w:shd w:val="clear" w:color="auto" w:fill="auto"/>
            <w:vAlign w:val="bottom"/>
          </w:tcPr>
          <w:p w14:paraId="4E9FFEDB" w14:textId="77777777" w:rsidR="00A52778" w:rsidRPr="00460F9E" w:rsidRDefault="00A52778" w:rsidP="00FC3F8E">
            <w:pPr>
              <w:spacing w:line="0" w:lineRule="atLeast"/>
              <w:rPr>
                <w:rFonts w:eastAsia="Times New Roman" w:cs="Times New Roman"/>
                <w:b/>
              </w:rPr>
            </w:pPr>
          </w:p>
        </w:tc>
        <w:tc>
          <w:tcPr>
            <w:tcW w:w="840" w:type="dxa"/>
            <w:tcBorders>
              <w:bottom w:val="single" w:sz="8" w:space="0" w:color="auto"/>
            </w:tcBorders>
            <w:shd w:val="clear" w:color="auto" w:fill="auto"/>
            <w:vAlign w:val="bottom"/>
          </w:tcPr>
          <w:p w14:paraId="6B00EE53" w14:textId="77777777" w:rsidR="00A52778" w:rsidRPr="00460F9E" w:rsidRDefault="00A52778" w:rsidP="00FC3F8E">
            <w:pPr>
              <w:spacing w:line="0" w:lineRule="atLeast"/>
              <w:rPr>
                <w:rFonts w:eastAsia="Times New Roman" w:cs="Times New Roman"/>
                <w:b/>
              </w:rPr>
            </w:pPr>
          </w:p>
        </w:tc>
        <w:tc>
          <w:tcPr>
            <w:tcW w:w="900" w:type="dxa"/>
            <w:tcBorders>
              <w:bottom w:val="single" w:sz="8" w:space="0" w:color="auto"/>
              <w:right w:val="single" w:sz="8" w:space="0" w:color="auto"/>
            </w:tcBorders>
            <w:shd w:val="clear" w:color="auto" w:fill="auto"/>
            <w:vAlign w:val="bottom"/>
          </w:tcPr>
          <w:p w14:paraId="1DC3CD08" w14:textId="77777777" w:rsidR="00A52778" w:rsidRPr="00460F9E" w:rsidRDefault="00A52778" w:rsidP="00FC3F8E">
            <w:pPr>
              <w:spacing w:line="0" w:lineRule="atLeast"/>
              <w:rPr>
                <w:rFonts w:eastAsia="Times New Roman" w:cs="Times New Roman"/>
                <w:b/>
              </w:rPr>
            </w:pPr>
          </w:p>
        </w:tc>
      </w:tr>
      <w:tr w:rsidR="00A52778" w:rsidRPr="00460F9E" w14:paraId="734EC0A6" w14:textId="77777777" w:rsidTr="00FC3F8E">
        <w:trPr>
          <w:trHeight w:val="299"/>
        </w:trPr>
        <w:tc>
          <w:tcPr>
            <w:tcW w:w="1404" w:type="dxa"/>
            <w:tcBorders>
              <w:left w:val="single" w:sz="8" w:space="0" w:color="auto"/>
              <w:right w:val="single" w:sz="8" w:space="0" w:color="auto"/>
            </w:tcBorders>
            <w:shd w:val="clear" w:color="auto" w:fill="auto"/>
            <w:vAlign w:val="bottom"/>
          </w:tcPr>
          <w:p w14:paraId="61A5AA26" w14:textId="77777777" w:rsidR="00A52778" w:rsidRPr="00460F9E" w:rsidRDefault="00A52778" w:rsidP="00FC3F8E">
            <w:pPr>
              <w:spacing w:line="0" w:lineRule="atLeast"/>
              <w:ind w:left="120"/>
              <w:rPr>
                <w:rFonts w:eastAsia="Times New Roman" w:cs="Times New Roman"/>
                <w:b/>
              </w:rPr>
            </w:pPr>
            <w:r>
              <w:rPr>
                <w:rFonts w:eastAsia="Times New Roman" w:cs="Times New Roman"/>
              </w:rPr>
              <w:t>d</w:t>
            </w:r>
            <w:r w:rsidRPr="00460F9E">
              <w:rPr>
                <w:rFonts w:eastAsia="Times New Roman" w:cs="Times New Roman"/>
              </w:rPr>
              <w:t>.</w:t>
            </w:r>
          </w:p>
        </w:tc>
        <w:tc>
          <w:tcPr>
            <w:tcW w:w="1240" w:type="dxa"/>
            <w:shd w:val="clear" w:color="auto" w:fill="auto"/>
            <w:vAlign w:val="bottom"/>
          </w:tcPr>
          <w:p w14:paraId="2B7D58BC"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Absorpsiyon</w:t>
            </w:r>
          </w:p>
        </w:tc>
        <w:tc>
          <w:tcPr>
            <w:tcW w:w="1200" w:type="dxa"/>
            <w:tcBorders>
              <w:right w:val="single" w:sz="8" w:space="0" w:color="auto"/>
            </w:tcBorders>
            <w:shd w:val="clear" w:color="auto" w:fill="auto"/>
            <w:vAlign w:val="bottom"/>
          </w:tcPr>
          <w:p w14:paraId="02C1F17A" w14:textId="77777777" w:rsidR="00A52778" w:rsidRPr="00460F9E" w:rsidRDefault="00A52778" w:rsidP="00FC3F8E">
            <w:pPr>
              <w:spacing w:line="0" w:lineRule="atLeast"/>
              <w:rPr>
                <w:rFonts w:eastAsia="Times New Roman" w:cs="Times New Roman"/>
                <w:b/>
              </w:rPr>
            </w:pPr>
          </w:p>
        </w:tc>
        <w:tc>
          <w:tcPr>
            <w:tcW w:w="1720" w:type="dxa"/>
            <w:gridSpan w:val="3"/>
            <w:shd w:val="clear" w:color="auto" w:fill="auto"/>
            <w:vAlign w:val="bottom"/>
          </w:tcPr>
          <w:p w14:paraId="65598C3E"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80" w:type="dxa"/>
            <w:tcBorders>
              <w:right w:val="single" w:sz="8" w:space="0" w:color="auto"/>
            </w:tcBorders>
            <w:shd w:val="clear" w:color="auto" w:fill="auto"/>
            <w:vAlign w:val="bottom"/>
          </w:tcPr>
          <w:p w14:paraId="376605D6" w14:textId="77777777" w:rsidR="00A52778" w:rsidRPr="00460F9E" w:rsidRDefault="00A52778" w:rsidP="00FC3F8E">
            <w:pPr>
              <w:spacing w:line="0" w:lineRule="atLeast"/>
              <w:rPr>
                <w:rFonts w:eastAsia="Times New Roman" w:cs="Times New Roman"/>
                <w:b/>
              </w:rPr>
            </w:pPr>
          </w:p>
        </w:tc>
        <w:tc>
          <w:tcPr>
            <w:tcW w:w="1520" w:type="dxa"/>
            <w:tcBorders>
              <w:right w:val="single" w:sz="8" w:space="0" w:color="auto"/>
            </w:tcBorders>
            <w:shd w:val="clear" w:color="auto" w:fill="auto"/>
            <w:vAlign w:val="bottom"/>
          </w:tcPr>
          <w:p w14:paraId="5FFAAF04" w14:textId="77777777" w:rsidR="00A52778" w:rsidRPr="00460F9E" w:rsidRDefault="00A52778" w:rsidP="00FC3F8E">
            <w:pPr>
              <w:spacing w:line="0" w:lineRule="atLeast"/>
              <w:jc w:val="center"/>
              <w:rPr>
                <w:rFonts w:eastAsia="Times New Roman" w:cs="Times New Roman"/>
                <w:b/>
                <w:w w:val="99"/>
                <w:sz w:val="12"/>
              </w:rPr>
            </w:pPr>
            <w:r w:rsidRPr="00460F9E">
              <w:rPr>
                <w:rFonts w:eastAsia="Times New Roman" w:cs="Times New Roman"/>
                <w:w w:val="99"/>
              </w:rPr>
              <w:t>SO</w:t>
            </w:r>
            <w:r w:rsidRPr="00460F9E">
              <w:rPr>
                <w:rFonts w:eastAsia="Times New Roman" w:cs="Times New Roman"/>
                <w:w w:val="99"/>
                <w:sz w:val="12"/>
              </w:rPr>
              <w:t>X</w:t>
            </w:r>
          </w:p>
        </w:tc>
        <w:tc>
          <w:tcPr>
            <w:tcW w:w="2320" w:type="dxa"/>
            <w:gridSpan w:val="3"/>
            <w:tcBorders>
              <w:right w:val="single" w:sz="8" w:space="0" w:color="auto"/>
            </w:tcBorders>
            <w:shd w:val="clear" w:color="auto" w:fill="auto"/>
            <w:vAlign w:val="bottom"/>
          </w:tcPr>
          <w:p w14:paraId="2F192936"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Genel olarak uygulanabilir.</w:t>
            </w:r>
          </w:p>
        </w:tc>
      </w:tr>
      <w:tr w:rsidR="00A52778" w:rsidRPr="00460F9E" w14:paraId="7FA21DB2" w14:textId="77777777" w:rsidTr="00FC3F8E">
        <w:trPr>
          <w:trHeight w:val="82"/>
        </w:trPr>
        <w:tc>
          <w:tcPr>
            <w:tcW w:w="1404" w:type="dxa"/>
            <w:tcBorders>
              <w:left w:val="single" w:sz="8" w:space="0" w:color="auto"/>
              <w:bottom w:val="single" w:sz="8" w:space="0" w:color="auto"/>
              <w:right w:val="single" w:sz="8" w:space="0" w:color="auto"/>
            </w:tcBorders>
            <w:shd w:val="clear" w:color="auto" w:fill="auto"/>
            <w:vAlign w:val="bottom"/>
          </w:tcPr>
          <w:p w14:paraId="2F419DD0" w14:textId="77777777" w:rsidR="00A52778" w:rsidRPr="00460F9E" w:rsidRDefault="00A52778" w:rsidP="00FC3F8E">
            <w:pPr>
              <w:spacing w:line="0" w:lineRule="atLeast"/>
              <w:rPr>
                <w:rFonts w:eastAsia="Times New Roman" w:cs="Times New Roman"/>
                <w:b/>
                <w:sz w:val="7"/>
              </w:rPr>
            </w:pPr>
          </w:p>
        </w:tc>
        <w:tc>
          <w:tcPr>
            <w:tcW w:w="1240" w:type="dxa"/>
            <w:tcBorders>
              <w:bottom w:val="single" w:sz="8" w:space="0" w:color="auto"/>
            </w:tcBorders>
            <w:shd w:val="clear" w:color="auto" w:fill="auto"/>
            <w:vAlign w:val="bottom"/>
          </w:tcPr>
          <w:p w14:paraId="034FF1A2" w14:textId="77777777" w:rsidR="00A52778" w:rsidRPr="00460F9E" w:rsidRDefault="00A52778" w:rsidP="00FC3F8E">
            <w:pPr>
              <w:spacing w:line="0" w:lineRule="atLeast"/>
              <w:rPr>
                <w:rFonts w:eastAsia="Times New Roman" w:cs="Times New Roman"/>
                <w:b/>
                <w:sz w:val="7"/>
              </w:rPr>
            </w:pPr>
          </w:p>
        </w:tc>
        <w:tc>
          <w:tcPr>
            <w:tcW w:w="1200" w:type="dxa"/>
            <w:tcBorders>
              <w:bottom w:val="single" w:sz="8" w:space="0" w:color="auto"/>
              <w:right w:val="single" w:sz="8" w:space="0" w:color="auto"/>
            </w:tcBorders>
            <w:shd w:val="clear" w:color="auto" w:fill="auto"/>
            <w:vAlign w:val="bottom"/>
          </w:tcPr>
          <w:p w14:paraId="2CF588C1" w14:textId="77777777" w:rsidR="00A52778" w:rsidRPr="00460F9E" w:rsidRDefault="00A52778" w:rsidP="00FC3F8E">
            <w:pPr>
              <w:spacing w:line="0" w:lineRule="atLeast"/>
              <w:rPr>
                <w:rFonts w:eastAsia="Times New Roman" w:cs="Times New Roman"/>
                <w:b/>
                <w:sz w:val="7"/>
              </w:rPr>
            </w:pPr>
          </w:p>
        </w:tc>
        <w:tc>
          <w:tcPr>
            <w:tcW w:w="380" w:type="dxa"/>
            <w:tcBorders>
              <w:bottom w:val="single" w:sz="8" w:space="0" w:color="auto"/>
            </w:tcBorders>
            <w:shd w:val="clear" w:color="auto" w:fill="auto"/>
            <w:vAlign w:val="bottom"/>
          </w:tcPr>
          <w:p w14:paraId="628C10BB" w14:textId="77777777" w:rsidR="00A52778" w:rsidRPr="00460F9E" w:rsidRDefault="00A52778" w:rsidP="00FC3F8E">
            <w:pPr>
              <w:spacing w:line="0" w:lineRule="atLeast"/>
              <w:rPr>
                <w:rFonts w:eastAsia="Times New Roman" w:cs="Times New Roman"/>
                <w:b/>
                <w:sz w:val="7"/>
              </w:rPr>
            </w:pPr>
          </w:p>
        </w:tc>
        <w:tc>
          <w:tcPr>
            <w:tcW w:w="600" w:type="dxa"/>
            <w:tcBorders>
              <w:bottom w:val="single" w:sz="8" w:space="0" w:color="auto"/>
            </w:tcBorders>
            <w:shd w:val="clear" w:color="auto" w:fill="auto"/>
            <w:vAlign w:val="bottom"/>
          </w:tcPr>
          <w:p w14:paraId="326AC4C1" w14:textId="77777777" w:rsidR="00A52778" w:rsidRPr="00460F9E" w:rsidRDefault="00A52778" w:rsidP="00FC3F8E">
            <w:pPr>
              <w:spacing w:line="0" w:lineRule="atLeast"/>
              <w:rPr>
                <w:rFonts w:eastAsia="Times New Roman" w:cs="Times New Roman"/>
                <w:b/>
                <w:sz w:val="7"/>
              </w:rPr>
            </w:pPr>
          </w:p>
        </w:tc>
        <w:tc>
          <w:tcPr>
            <w:tcW w:w="740" w:type="dxa"/>
            <w:tcBorders>
              <w:bottom w:val="single" w:sz="8" w:space="0" w:color="auto"/>
            </w:tcBorders>
            <w:shd w:val="clear" w:color="auto" w:fill="auto"/>
            <w:vAlign w:val="bottom"/>
          </w:tcPr>
          <w:p w14:paraId="450AEC64" w14:textId="77777777" w:rsidR="00A52778" w:rsidRPr="00460F9E" w:rsidRDefault="00A52778" w:rsidP="00FC3F8E">
            <w:pPr>
              <w:spacing w:line="0" w:lineRule="atLeast"/>
              <w:rPr>
                <w:rFonts w:eastAsia="Times New Roman" w:cs="Times New Roman"/>
                <w:b/>
                <w:sz w:val="7"/>
              </w:rPr>
            </w:pPr>
          </w:p>
        </w:tc>
        <w:tc>
          <w:tcPr>
            <w:tcW w:w="380" w:type="dxa"/>
            <w:tcBorders>
              <w:bottom w:val="single" w:sz="8" w:space="0" w:color="auto"/>
              <w:right w:val="single" w:sz="8" w:space="0" w:color="auto"/>
            </w:tcBorders>
            <w:shd w:val="clear" w:color="auto" w:fill="auto"/>
            <w:vAlign w:val="bottom"/>
          </w:tcPr>
          <w:p w14:paraId="4F1B8EB8" w14:textId="77777777" w:rsidR="00A52778" w:rsidRPr="00460F9E" w:rsidRDefault="00A52778" w:rsidP="00FC3F8E">
            <w:pPr>
              <w:spacing w:line="0" w:lineRule="atLeast"/>
              <w:rPr>
                <w:rFonts w:eastAsia="Times New Roman" w:cs="Times New Roman"/>
                <w:b/>
                <w:sz w:val="7"/>
              </w:rPr>
            </w:pPr>
          </w:p>
        </w:tc>
        <w:tc>
          <w:tcPr>
            <w:tcW w:w="1520" w:type="dxa"/>
            <w:tcBorders>
              <w:bottom w:val="single" w:sz="8" w:space="0" w:color="auto"/>
              <w:right w:val="single" w:sz="8" w:space="0" w:color="auto"/>
            </w:tcBorders>
            <w:shd w:val="clear" w:color="auto" w:fill="auto"/>
            <w:vAlign w:val="bottom"/>
          </w:tcPr>
          <w:p w14:paraId="6F3F133D" w14:textId="77777777" w:rsidR="00A52778" w:rsidRPr="00460F9E" w:rsidRDefault="00A52778" w:rsidP="00FC3F8E">
            <w:pPr>
              <w:spacing w:line="0" w:lineRule="atLeast"/>
              <w:rPr>
                <w:rFonts w:eastAsia="Times New Roman" w:cs="Times New Roman"/>
                <w:b/>
                <w:sz w:val="7"/>
              </w:rPr>
            </w:pPr>
          </w:p>
        </w:tc>
        <w:tc>
          <w:tcPr>
            <w:tcW w:w="1420" w:type="dxa"/>
            <w:gridSpan w:val="2"/>
            <w:tcBorders>
              <w:bottom w:val="single" w:sz="8" w:space="0" w:color="auto"/>
            </w:tcBorders>
            <w:shd w:val="clear" w:color="auto" w:fill="auto"/>
            <w:vAlign w:val="bottom"/>
          </w:tcPr>
          <w:p w14:paraId="61D208AA" w14:textId="77777777" w:rsidR="00A52778" w:rsidRPr="00460F9E" w:rsidRDefault="00A52778" w:rsidP="00FC3F8E">
            <w:pPr>
              <w:spacing w:line="0" w:lineRule="atLeast"/>
              <w:rPr>
                <w:rFonts w:eastAsia="Times New Roman" w:cs="Times New Roman"/>
                <w:b/>
                <w:sz w:val="7"/>
              </w:rPr>
            </w:pPr>
          </w:p>
        </w:tc>
        <w:tc>
          <w:tcPr>
            <w:tcW w:w="900" w:type="dxa"/>
            <w:tcBorders>
              <w:bottom w:val="single" w:sz="8" w:space="0" w:color="auto"/>
              <w:right w:val="single" w:sz="8" w:space="0" w:color="auto"/>
            </w:tcBorders>
            <w:shd w:val="clear" w:color="auto" w:fill="auto"/>
            <w:vAlign w:val="bottom"/>
          </w:tcPr>
          <w:p w14:paraId="51A34530" w14:textId="77777777" w:rsidR="00A52778" w:rsidRPr="00460F9E" w:rsidRDefault="00A52778" w:rsidP="00FC3F8E">
            <w:pPr>
              <w:spacing w:line="0" w:lineRule="atLeast"/>
              <w:rPr>
                <w:rFonts w:eastAsia="Times New Roman" w:cs="Times New Roman"/>
                <w:b/>
                <w:sz w:val="7"/>
              </w:rPr>
            </w:pPr>
          </w:p>
        </w:tc>
      </w:tr>
      <w:tr w:rsidR="00A52778" w:rsidRPr="00460F9E" w14:paraId="394FB005" w14:textId="77777777" w:rsidTr="00FC3F8E">
        <w:trPr>
          <w:trHeight w:val="214"/>
        </w:trPr>
        <w:tc>
          <w:tcPr>
            <w:tcW w:w="1404" w:type="dxa"/>
            <w:tcBorders>
              <w:left w:val="single" w:sz="8" w:space="0" w:color="auto"/>
              <w:right w:val="single" w:sz="8" w:space="0" w:color="auto"/>
            </w:tcBorders>
            <w:shd w:val="clear" w:color="auto" w:fill="auto"/>
            <w:vAlign w:val="bottom"/>
          </w:tcPr>
          <w:p w14:paraId="095A3F03" w14:textId="77777777" w:rsidR="00A52778" w:rsidRPr="00460F9E" w:rsidRDefault="00A52778" w:rsidP="00FC3F8E">
            <w:pPr>
              <w:spacing w:line="0" w:lineRule="atLeast"/>
              <w:rPr>
                <w:rFonts w:eastAsia="Times New Roman" w:cs="Times New Roman"/>
                <w:b/>
                <w:sz w:val="18"/>
              </w:rPr>
            </w:pPr>
          </w:p>
        </w:tc>
        <w:tc>
          <w:tcPr>
            <w:tcW w:w="2440" w:type="dxa"/>
            <w:gridSpan w:val="2"/>
            <w:vMerge w:val="restart"/>
            <w:tcBorders>
              <w:right w:val="single" w:sz="8" w:space="0" w:color="auto"/>
            </w:tcBorders>
            <w:shd w:val="clear" w:color="auto" w:fill="auto"/>
            <w:vAlign w:val="center"/>
          </w:tcPr>
          <w:p w14:paraId="6630079E"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Seçici katalitik indirgeme (SCR)</w:t>
            </w:r>
          </w:p>
        </w:tc>
        <w:tc>
          <w:tcPr>
            <w:tcW w:w="380" w:type="dxa"/>
            <w:tcBorders>
              <w:left w:val="single" w:sz="8" w:space="0" w:color="auto"/>
            </w:tcBorders>
            <w:shd w:val="clear" w:color="auto" w:fill="auto"/>
            <w:vAlign w:val="bottom"/>
          </w:tcPr>
          <w:p w14:paraId="5BA114B5" w14:textId="77777777" w:rsidR="00A52778" w:rsidRPr="00460F9E" w:rsidRDefault="00A52778" w:rsidP="00FC3F8E">
            <w:pPr>
              <w:spacing w:line="0" w:lineRule="atLeast"/>
              <w:rPr>
                <w:rFonts w:eastAsia="Times New Roman" w:cs="Times New Roman"/>
                <w:b/>
                <w:sz w:val="18"/>
              </w:rPr>
            </w:pPr>
          </w:p>
        </w:tc>
        <w:tc>
          <w:tcPr>
            <w:tcW w:w="600" w:type="dxa"/>
            <w:shd w:val="clear" w:color="auto" w:fill="auto"/>
            <w:vAlign w:val="bottom"/>
          </w:tcPr>
          <w:p w14:paraId="4DA45B90" w14:textId="77777777" w:rsidR="00A52778" w:rsidRPr="00460F9E" w:rsidRDefault="00A52778" w:rsidP="00FC3F8E">
            <w:pPr>
              <w:spacing w:line="0" w:lineRule="atLeast"/>
              <w:rPr>
                <w:rFonts w:eastAsia="Times New Roman" w:cs="Times New Roman"/>
                <w:b/>
                <w:sz w:val="18"/>
              </w:rPr>
            </w:pPr>
          </w:p>
        </w:tc>
        <w:tc>
          <w:tcPr>
            <w:tcW w:w="740" w:type="dxa"/>
            <w:shd w:val="clear" w:color="auto" w:fill="auto"/>
            <w:vAlign w:val="bottom"/>
          </w:tcPr>
          <w:p w14:paraId="35598E29" w14:textId="77777777" w:rsidR="00A52778" w:rsidRPr="00460F9E" w:rsidRDefault="00A52778" w:rsidP="00FC3F8E">
            <w:pPr>
              <w:spacing w:line="0" w:lineRule="atLeast"/>
              <w:rPr>
                <w:rFonts w:eastAsia="Times New Roman" w:cs="Times New Roman"/>
                <w:b/>
                <w:sz w:val="18"/>
              </w:rPr>
            </w:pPr>
          </w:p>
        </w:tc>
        <w:tc>
          <w:tcPr>
            <w:tcW w:w="380" w:type="dxa"/>
            <w:tcBorders>
              <w:right w:val="single" w:sz="8" w:space="0" w:color="auto"/>
            </w:tcBorders>
            <w:shd w:val="clear" w:color="auto" w:fill="auto"/>
            <w:vAlign w:val="bottom"/>
          </w:tcPr>
          <w:p w14:paraId="47AF957C" w14:textId="77777777" w:rsidR="00A52778" w:rsidRPr="00460F9E" w:rsidRDefault="00A52778" w:rsidP="00FC3F8E">
            <w:pPr>
              <w:spacing w:line="0" w:lineRule="atLeast"/>
              <w:rPr>
                <w:rFonts w:eastAsia="Times New Roman" w:cs="Times New Roman"/>
                <w:b/>
                <w:sz w:val="18"/>
              </w:rPr>
            </w:pPr>
          </w:p>
        </w:tc>
        <w:tc>
          <w:tcPr>
            <w:tcW w:w="1520" w:type="dxa"/>
            <w:tcBorders>
              <w:right w:val="single" w:sz="8" w:space="0" w:color="auto"/>
            </w:tcBorders>
            <w:shd w:val="clear" w:color="auto" w:fill="auto"/>
            <w:vAlign w:val="bottom"/>
          </w:tcPr>
          <w:p w14:paraId="360680AD" w14:textId="77777777" w:rsidR="00A52778" w:rsidRPr="00460F9E" w:rsidRDefault="00A52778" w:rsidP="00FC3F8E">
            <w:pPr>
              <w:spacing w:line="0" w:lineRule="atLeast"/>
              <w:rPr>
                <w:rFonts w:eastAsia="Times New Roman" w:cs="Times New Roman"/>
                <w:b/>
                <w:sz w:val="18"/>
              </w:rPr>
            </w:pPr>
          </w:p>
        </w:tc>
        <w:tc>
          <w:tcPr>
            <w:tcW w:w="2320" w:type="dxa"/>
            <w:gridSpan w:val="3"/>
            <w:vMerge w:val="restart"/>
            <w:tcBorders>
              <w:right w:val="single" w:sz="8" w:space="0" w:color="auto"/>
            </w:tcBorders>
            <w:shd w:val="clear" w:color="auto" w:fill="auto"/>
          </w:tcPr>
          <w:p w14:paraId="32834364" w14:textId="77777777" w:rsidR="00A52778" w:rsidRPr="00460F9E" w:rsidRDefault="00A52778" w:rsidP="00FC3F8E">
            <w:pPr>
              <w:spacing w:line="214" w:lineRule="exact"/>
              <w:ind w:right="40"/>
              <w:rPr>
                <w:rFonts w:eastAsia="Times New Roman" w:cs="Times New Roman"/>
                <w:b/>
              </w:rPr>
            </w:pPr>
            <w:r w:rsidRPr="00460F9E">
              <w:rPr>
                <w:rFonts w:eastAsia="Times New Roman" w:cs="Times New Roman"/>
              </w:rPr>
              <w:t xml:space="preserve">  Mevcut tesislere </w:t>
            </w:r>
          </w:p>
          <w:p w14:paraId="70BD254C" w14:textId="77777777" w:rsidR="00A52778" w:rsidRPr="00460F9E" w:rsidRDefault="00A52778" w:rsidP="00FC3F8E">
            <w:pPr>
              <w:spacing w:line="214" w:lineRule="exact"/>
              <w:ind w:right="40"/>
              <w:rPr>
                <w:rFonts w:eastAsia="Times New Roman" w:cs="Times New Roman"/>
                <w:b/>
              </w:rPr>
            </w:pPr>
            <w:r w:rsidRPr="00460F9E">
              <w:rPr>
                <w:rFonts w:eastAsia="Times New Roman" w:cs="Times New Roman"/>
              </w:rPr>
              <w:t xml:space="preserve">  uygulanabilirliği kurulu </w:t>
            </w:r>
          </w:p>
          <w:p w14:paraId="234CC9E0" w14:textId="77777777" w:rsidR="00A52778" w:rsidRPr="00460F9E" w:rsidRDefault="00A52778" w:rsidP="00FC3F8E">
            <w:pPr>
              <w:spacing w:line="214" w:lineRule="exact"/>
              <w:ind w:right="40"/>
              <w:rPr>
                <w:rFonts w:eastAsia="Times New Roman" w:cs="Times New Roman"/>
                <w:b/>
              </w:rPr>
            </w:pPr>
            <w:r w:rsidRPr="00460F9E">
              <w:rPr>
                <w:rFonts w:eastAsia="Times New Roman" w:cs="Times New Roman"/>
              </w:rPr>
              <w:t xml:space="preserve">  alandan dolayı sınırlı </w:t>
            </w:r>
          </w:p>
          <w:p w14:paraId="53E95431" w14:textId="77777777" w:rsidR="00A52778" w:rsidRPr="00460F9E" w:rsidRDefault="00A52778" w:rsidP="00FC3F8E">
            <w:pPr>
              <w:spacing w:line="214" w:lineRule="exact"/>
              <w:ind w:right="40"/>
              <w:rPr>
                <w:rFonts w:eastAsia="Times New Roman" w:cs="Times New Roman"/>
                <w:b/>
              </w:rPr>
            </w:pPr>
            <w:r w:rsidRPr="00460F9E">
              <w:rPr>
                <w:rFonts w:eastAsia="Times New Roman" w:cs="Times New Roman"/>
              </w:rPr>
              <w:t xml:space="preserve">  olabilir.</w:t>
            </w:r>
          </w:p>
        </w:tc>
      </w:tr>
      <w:tr w:rsidR="00A52778" w:rsidRPr="00460F9E" w14:paraId="3EF2E67F" w14:textId="77777777" w:rsidTr="00FC3F8E">
        <w:trPr>
          <w:trHeight w:val="115"/>
        </w:trPr>
        <w:tc>
          <w:tcPr>
            <w:tcW w:w="1404" w:type="dxa"/>
            <w:vMerge w:val="restart"/>
            <w:tcBorders>
              <w:left w:val="single" w:sz="8" w:space="0" w:color="auto"/>
              <w:right w:val="single" w:sz="8" w:space="0" w:color="auto"/>
            </w:tcBorders>
            <w:shd w:val="clear" w:color="auto" w:fill="auto"/>
            <w:vAlign w:val="bottom"/>
          </w:tcPr>
          <w:p w14:paraId="41208FF3" w14:textId="77777777" w:rsidR="00A52778" w:rsidRPr="00460F9E" w:rsidRDefault="00A52778" w:rsidP="00FC3F8E">
            <w:pPr>
              <w:spacing w:line="0" w:lineRule="atLeast"/>
              <w:ind w:left="120"/>
              <w:rPr>
                <w:rFonts w:eastAsia="Times New Roman" w:cs="Times New Roman"/>
                <w:b/>
              </w:rPr>
            </w:pPr>
            <w:r>
              <w:rPr>
                <w:rFonts w:eastAsia="Times New Roman" w:cs="Times New Roman"/>
              </w:rPr>
              <w:t>e.</w:t>
            </w:r>
          </w:p>
        </w:tc>
        <w:tc>
          <w:tcPr>
            <w:tcW w:w="2440" w:type="dxa"/>
            <w:gridSpan w:val="2"/>
            <w:vMerge/>
            <w:tcBorders>
              <w:right w:val="single" w:sz="8" w:space="0" w:color="auto"/>
            </w:tcBorders>
            <w:shd w:val="clear" w:color="auto" w:fill="auto"/>
            <w:vAlign w:val="bottom"/>
          </w:tcPr>
          <w:p w14:paraId="193F38D8" w14:textId="77777777" w:rsidR="00A52778" w:rsidRPr="00460F9E" w:rsidRDefault="00A52778" w:rsidP="00FC3F8E">
            <w:pPr>
              <w:spacing w:line="0" w:lineRule="atLeast"/>
              <w:ind w:left="100"/>
              <w:rPr>
                <w:rFonts w:eastAsia="Times New Roman" w:cs="Times New Roman"/>
                <w:b/>
                <w:sz w:val="10"/>
              </w:rPr>
            </w:pPr>
          </w:p>
        </w:tc>
        <w:tc>
          <w:tcPr>
            <w:tcW w:w="1720" w:type="dxa"/>
            <w:gridSpan w:val="3"/>
            <w:vMerge w:val="restart"/>
            <w:tcBorders>
              <w:left w:val="single" w:sz="8" w:space="0" w:color="auto"/>
            </w:tcBorders>
            <w:shd w:val="clear" w:color="auto" w:fill="auto"/>
            <w:vAlign w:val="bottom"/>
          </w:tcPr>
          <w:p w14:paraId="29746899"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80" w:type="dxa"/>
            <w:tcBorders>
              <w:right w:val="single" w:sz="8" w:space="0" w:color="auto"/>
            </w:tcBorders>
            <w:shd w:val="clear" w:color="auto" w:fill="auto"/>
            <w:vAlign w:val="bottom"/>
          </w:tcPr>
          <w:p w14:paraId="71DD7CE9" w14:textId="77777777" w:rsidR="00A52778" w:rsidRPr="00460F9E" w:rsidRDefault="00A52778" w:rsidP="00FC3F8E">
            <w:pPr>
              <w:spacing w:line="0" w:lineRule="atLeast"/>
              <w:rPr>
                <w:rFonts w:eastAsia="Times New Roman" w:cs="Times New Roman"/>
                <w:b/>
                <w:sz w:val="10"/>
              </w:rPr>
            </w:pPr>
          </w:p>
        </w:tc>
        <w:tc>
          <w:tcPr>
            <w:tcW w:w="1520" w:type="dxa"/>
            <w:vMerge w:val="restart"/>
            <w:tcBorders>
              <w:right w:val="single" w:sz="8" w:space="0" w:color="auto"/>
            </w:tcBorders>
            <w:shd w:val="clear" w:color="auto" w:fill="auto"/>
            <w:vAlign w:val="bottom"/>
          </w:tcPr>
          <w:p w14:paraId="590DF3D9" w14:textId="77777777" w:rsidR="00A52778" w:rsidRPr="00460F9E" w:rsidRDefault="00A52778" w:rsidP="00FC3F8E">
            <w:pPr>
              <w:spacing w:line="0" w:lineRule="atLeast"/>
              <w:jc w:val="center"/>
              <w:rPr>
                <w:rFonts w:eastAsia="Times New Roman" w:cs="Times New Roman"/>
                <w:b/>
                <w:sz w:val="12"/>
              </w:rPr>
            </w:pPr>
            <w:r w:rsidRPr="00460F9E">
              <w:rPr>
                <w:rFonts w:eastAsia="Times New Roman" w:cs="Times New Roman"/>
              </w:rPr>
              <w:t>NO</w:t>
            </w:r>
            <w:r w:rsidRPr="00460F9E">
              <w:rPr>
                <w:rFonts w:eastAsia="Times New Roman" w:cs="Times New Roman"/>
                <w:sz w:val="12"/>
              </w:rPr>
              <w:t>X</w:t>
            </w:r>
          </w:p>
        </w:tc>
        <w:tc>
          <w:tcPr>
            <w:tcW w:w="2320" w:type="dxa"/>
            <w:gridSpan w:val="3"/>
            <w:vMerge/>
            <w:tcBorders>
              <w:right w:val="single" w:sz="8" w:space="0" w:color="auto"/>
            </w:tcBorders>
            <w:shd w:val="clear" w:color="auto" w:fill="auto"/>
            <w:vAlign w:val="bottom"/>
          </w:tcPr>
          <w:p w14:paraId="0750B9C1" w14:textId="77777777" w:rsidR="00A52778" w:rsidRPr="00460F9E" w:rsidRDefault="00A52778" w:rsidP="00FC3F8E">
            <w:pPr>
              <w:spacing w:line="0" w:lineRule="atLeast"/>
              <w:ind w:right="40"/>
              <w:jc w:val="right"/>
              <w:rPr>
                <w:rFonts w:eastAsia="Times New Roman" w:cs="Times New Roman"/>
                <w:b/>
                <w:w w:val="96"/>
              </w:rPr>
            </w:pPr>
          </w:p>
        </w:tc>
      </w:tr>
      <w:tr w:rsidR="00A52778" w:rsidRPr="00460F9E" w14:paraId="019B874A" w14:textId="77777777" w:rsidTr="00FC3F8E">
        <w:trPr>
          <w:trHeight w:val="118"/>
        </w:trPr>
        <w:tc>
          <w:tcPr>
            <w:tcW w:w="1404" w:type="dxa"/>
            <w:vMerge/>
            <w:tcBorders>
              <w:left w:val="single" w:sz="8" w:space="0" w:color="auto"/>
              <w:right w:val="single" w:sz="8" w:space="0" w:color="auto"/>
            </w:tcBorders>
            <w:shd w:val="clear" w:color="auto" w:fill="auto"/>
            <w:vAlign w:val="bottom"/>
          </w:tcPr>
          <w:p w14:paraId="0781779F" w14:textId="77777777" w:rsidR="00A52778" w:rsidRPr="00460F9E" w:rsidRDefault="00A52778" w:rsidP="00FC3F8E">
            <w:pPr>
              <w:spacing w:line="0" w:lineRule="atLeast"/>
              <w:rPr>
                <w:rFonts w:eastAsia="Times New Roman" w:cs="Times New Roman"/>
                <w:b/>
                <w:sz w:val="10"/>
              </w:rPr>
            </w:pPr>
          </w:p>
        </w:tc>
        <w:tc>
          <w:tcPr>
            <w:tcW w:w="2440" w:type="dxa"/>
            <w:gridSpan w:val="2"/>
            <w:vMerge/>
            <w:tcBorders>
              <w:right w:val="single" w:sz="8" w:space="0" w:color="auto"/>
            </w:tcBorders>
            <w:shd w:val="clear" w:color="auto" w:fill="auto"/>
            <w:vAlign w:val="bottom"/>
          </w:tcPr>
          <w:p w14:paraId="0CD6CE4E" w14:textId="77777777" w:rsidR="00A52778" w:rsidRPr="00460F9E" w:rsidRDefault="00A52778" w:rsidP="00FC3F8E">
            <w:pPr>
              <w:spacing w:line="0" w:lineRule="atLeast"/>
              <w:ind w:left="100"/>
              <w:rPr>
                <w:rFonts w:eastAsia="Times New Roman" w:cs="Times New Roman"/>
                <w:b/>
              </w:rPr>
            </w:pPr>
          </w:p>
        </w:tc>
        <w:tc>
          <w:tcPr>
            <w:tcW w:w="1720" w:type="dxa"/>
            <w:gridSpan w:val="3"/>
            <w:vMerge/>
            <w:shd w:val="clear" w:color="auto" w:fill="auto"/>
            <w:vAlign w:val="bottom"/>
          </w:tcPr>
          <w:p w14:paraId="27B53B03" w14:textId="77777777" w:rsidR="00A52778" w:rsidRPr="00460F9E" w:rsidRDefault="00A52778" w:rsidP="00FC3F8E">
            <w:pPr>
              <w:spacing w:line="0" w:lineRule="atLeast"/>
              <w:rPr>
                <w:rFonts w:eastAsia="Times New Roman" w:cs="Times New Roman"/>
                <w:b/>
                <w:sz w:val="10"/>
              </w:rPr>
            </w:pPr>
          </w:p>
        </w:tc>
        <w:tc>
          <w:tcPr>
            <w:tcW w:w="380" w:type="dxa"/>
            <w:tcBorders>
              <w:right w:val="single" w:sz="8" w:space="0" w:color="auto"/>
            </w:tcBorders>
            <w:shd w:val="clear" w:color="auto" w:fill="auto"/>
            <w:vAlign w:val="bottom"/>
          </w:tcPr>
          <w:p w14:paraId="6EA5B02A" w14:textId="77777777" w:rsidR="00A52778" w:rsidRPr="00460F9E" w:rsidRDefault="00A52778" w:rsidP="00FC3F8E">
            <w:pPr>
              <w:spacing w:line="0" w:lineRule="atLeast"/>
              <w:rPr>
                <w:rFonts w:eastAsia="Times New Roman" w:cs="Times New Roman"/>
                <w:b/>
                <w:sz w:val="10"/>
              </w:rPr>
            </w:pPr>
          </w:p>
        </w:tc>
        <w:tc>
          <w:tcPr>
            <w:tcW w:w="1520" w:type="dxa"/>
            <w:vMerge/>
            <w:tcBorders>
              <w:right w:val="single" w:sz="8" w:space="0" w:color="auto"/>
            </w:tcBorders>
            <w:shd w:val="clear" w:color="auto" w:fill="auto"/>
            <w:vAlign w:val="bottom"/>
          </w:tcPr>
          <w:p w14:paraId="65641F6F" w14:textId="77777777" w:rsidR="00A52778" w:rsidRPr="00460F9E" w:rsidRDefault="00A52778" w:rsidP="00FC3F8E">
            <w:pPr>
              <w:spacing w:line="0" w:lineRule="atLeast"/>
              <w:rPr>
                <w:rFonts w:eastAsia="Times New Roman" w:cs="Times New Roman"/>
                <w:b/>
                <w:sz w:val="10"/>
              </w:rPr>
            </w:pPr>
          </w:p>
        </w:tc>
        <w:tc>
          <w:tcPr>
            <w:tcW w:w="2320" w:type="dxa"/>
            <w:gridSpan w:val="3"/>
            <w:vMerge/>
            <w:tcBorders>
              <w:right w:val="single" w:sz="8" w:space="0" w:color="auto"/>
            </w:tcBorders>
            <w:shd w:val="clear" w:color="auto" w:fill="auto"/>
            <w:vAlign w:val="bottom"/>
          </w:tcPr>
          <w:p w14:paraId="4D16DFFB" w14:textId="77777777" w:rsidR="00A52778" w:rsidRPr="00460F9E" w:rsidRDefault="00A52778" w:rsidP="00FC3F8E">
            <w:pPr>
              <w:spacing w:line="0" w:lineRule="atLeast"/>
              <w:rPr>
                <w:rFonts w:eastAsia="Times New Roman" w:cs="Times New Roman"/>
                <w:b/>
                <w:sz w:val="10"/>
              </w:rPr>
            </w:pPr>
          </w:p>
        </w:tc>
      </w:tr>
      <w:tr w:rsidR="00A52778" w:rsidRPr="00460F9E" w14:paraId="413E88C1" w14:textId="77777777" w:rsidTr="00FC3F8E">
        <w:trPr>
          <w:trHeight w:val="112"/>
        </w:trPr>
        <w:tc>
          <w:tcPr>
            <w:tcW w:w="1404" w:type="dxa"/>
            <w:tcBorders>
              <w:left w:val="single" w:sz="8" w:space="0" w:color="auto"/>
              <w:right w:val="single" w:sz="8" w:space="0" w:color="auto"/>
            </w:tcBorders>
            <w:shd w:val="clear" w:color="auto" w:fill="auto"/>
            <w:vAlign w:val="bottom"/>
          </w:tcPr>
          <w:p w14:paraId="46A1D2F6" w14:textId="77777777" w:rsidR="00A52778" w:rsidRPr="00460F9E" w:rsidRDefault="00A52778" w:rsidP="00FC3F8E">
            <w:pPr>
              <w:spacing w:line="0" w:lineRule="atLeast"/>
              <w:rPr>
                <w:rFonts w:eastAsia="Times New Roman" w:cs="Times New Roman"/>
                <w:b/>
                <w:sz w:val="9"/>
              </w:rPr>
            </w:pPr>
          </w:p>
        </w:tc>
        <w:tc>
          <w:tcPr>
            <w:tcW w:w="2440" w:type="dxa"/>
            <w:gridSpan w:val="2"/>
            <w:vMerge/>
            <w:tcBorders>
              <w:right w:val="single" w:sz="8" w:space="0" w:color="auto"/>
            </w:tcBorders>
            <w:shd w:val="clear" w:color="auto" w:fill="auto"/>
            <w:vAlign w:val="bottom"/>
          </w:tcPr>
          <w:p w14:paraId="4927003C" w14:textId="77777777" w:rsidR="00A52778" w:rsidRPr="00460F9E" w:rsidRDefault="00A52778" w:rsidP="00FC3F8E">
            <w:pPr>
              <w:spacing w:line="0" w:lineRule="atLeast"/>
              <w:rPr>
                <w:rFonts w:eastAsia="Times New Roman" w:cs="Times New Roman"/>
                <w:b/>
                <w:sz w:val="9"/>
              </w:rPr>
            </w:pPr>
          </w:p>
        </w:tc>
        <w:tc>
          <w:tcPr>
            <w:tcW w:w="380" w:type="dxa"/>
            <w:shd w:val="clear" w:color="auto" w:fill="auto"/>
            <w:vAlign w:val="bottom"/>
          </w:tcPr>
          <w:p w14:paraId="7840CD11" w14:textId="77777777" w:rsidR="00A52778" w:rsidRPr="00460F9E" w:rsidRDefault="00A52778" w:rsidP="00FC3F8E">
            <w:pPr>
              <w:spacing w:line="0" w:lineRule="atLeast"/>
              <w:rPr>
                <w:rFonts w:eastAsia="Times New Roman" w:cs="Times New Roman"/>
                <w:b/>
                <w:sz w:val="9"/>
              </w:rPr>
            </w:pPr>
          </w:p>
        </w:tc>
        <w:tc>
          <w:tcPr>
            <w:tcW w:w="600" w:type="dxa"/>
            <w:shd w:val="clear" w:color="auto" w:fill="auto"/>
            <w:vAlign w:val="bottom"/>
          </w:tcPr>
          <w:p w14:paraId="69080C1F" w14:textId="77777777" w:rsidR="00A52778" w:rsidRPr="00460F9E" w:rsidRDefault="00A52778" w:rsidP="00FC3F8E">
            <w:pPr>
              <w:spacing w:line="0" w:lineRule="atLeast"/>
              <w:rPr>
                <w:rFonts w:eastAsia="Times New Roman" w:cs="Times New Roman"/>
                <w:b/>
                <w:sz w:val="9"/>
              </w:rPr>
            </w:pPr>
          </w:p>
        </w:tc>
        <w:tc>
          <w:tcPr>
            <w:tcW w:w="740" w:type="dxa"/>
            <w:shd w:val="clear" w:color="auto" w:fill="auto"/>
            <w:vAlign w:val="bottom"/>
          </w:tcPr>
          <w:p w14:paraId="74C5E058" w14:textId="77777777" w:rsidR="00A52778" w:rsidRPr="00460F9E" w:rsidRDefault="00A52778" w:rsidP="00FC3F8E">
            <w:pPr>
              <w:spacing w:line="0" w:lineRule="atLeast"/>
              <w:rPr>
                <w:rFonts w:eastAsia="Times New Roman" w:cs="Times New Roman"/>
                <w:b/>
                <w:sz w:val="9"/>
              </w:rPr>
            </w:pPr>
          </w:p>
        </w:tc>
        <w:tc>
          <w:tcPr>
            <w:tcW w:w="380" w:type="dxa"/>
            <w:tcBorders>
              <w:right w:val="single" w:sz="8" w:space="0" w:color="auto"/>
            </w:tcBorders>
            <w:shd w:val="clear" w:color="auto" w:fill="auto"/>
            <w:vAlign w:val="bottom"/>
          </w:tcPr>
          <w:p w14:paraId="663C7D10" w14:textId="77777777" w:rsidR="00A52778" w:rsidRPr="00460F9E" w:rsidRDefault="00A52778" w:rsidP="00FC3F8E">
            <w:pPr>
              <w:spacing w:line="0" w:lineRule="atLeast"/>
              <w:rPr>
                <w:rFonts w:eastAsia="Times New Roman" w:cs="Times New Roman"/>
                <w:b/>
                <w:sz w:val="9"/>
              </w:rPr>
            </w:pPr>
          </w:p>
        </w:tc>
        <w:tc>
          <w:tcPr>
            <w:tcW w:w="1520" w:type="dxa"/>
            <w:tcBorders>
              <w:right w:val="single" w:sz="8" w:space="0" w:color="auto"/>
            </w:tcBorders>
            <w:shd w:val="clear" w:color="auto" w:fill="auto"/>
            <w:vAlign w:val="bottom"/>
          </w:tcPr>
          <w:p w14:paraId="3996BAA3" w14:textId="77777777" w:rsidR="00A52778" w:rsidRPr="00460F9E" w:rsidRDefault="00A52778" w:rsidP="00FC3F8E">
            <w:pPr>
              <w:spacing w:line="0" w:lineRule="atLeast"/>
              <w:rPr>
                <w:rFonts w:eastAsia="Times New Roman" w:cs="Times New Roman"/>
                <w:b/>
                <w:sz w:val="9"/>
              </w:rPr>
            </w:pPr>
          </w:p>
        </w:tc>
        <w:tc>
          <w:tcPr>
            <w:tcW w:w="2320" w:type="dxa"/>
            <w:gridSpan w:val="3"/>
            <w:vMerge/>
            <w:tcBorders>
              <w:right w:val="single" w:sz="8" w:space="0" w:color="auto"/>
            </w:tcBorders>
            <w:shd w:val="clear" w:color="auto" w:fill="auto"/>
            <w:vAlign w:val="bottom"/>
          </w:tcPr>
          <w:p w14:paraId="6682C14D" w14:textId="77777777" w:rsidR="00A52778" w:rsidRPr="00460F9E" w:rsidRDefault="00A52778" w:rsidP="00FC3F8E">
            <w:pPr>
              <w:spacing w:line="225" w:lineRule="exact"/>
              <w:ind w:left="100"/>
              <w:rPr>
                <w:rFonts w:eastAsia="Times New Roman" w:cs="Times New Roman"/>
                <w:b/>
              </w:rPr>
            </w:pPr>
          </w:p>
        </w:tc>
      </w:tr>
      <w:tr w:rsidR="00A52778" w:rsidRPr="00460F9E" w14:paraId="7786BCCC" w14:textId="77777777" w:rsidTr="00FC3F8E">
        <w:trPr>
          <w:trHeight w:val="116"/>
        </w:trPr>
        <w:tc>
          <w:tcPr>
            <w:tcW w:w="1404" w:type="dxa"/>
            <w:tcBorders>
              <w:left w:val="single" w:sz="8" w:space="0" w:color="auto"/>
              <w:bottom w:val="single" w:sz="8" w:space="0" w:color="auto"/>
              <w:right w:val="single" w:sz="8" w:space="0" w:color="auto"/>
            </w:tcBorders>
            <w:shd w:val="clear" w:color="auto" w:fill="auto"/>
            <w:vAlign w:val="bottom"/>
          </w:tcPr>
          <w:p w14:paraId="17112F87" w14:textId="77777777" w:rsidR="00A52778" w:rsidRPr="00460F9E" w:rsidRDefault="00A52778" w:rsidP="00FC3F8E">
            <w:pPr>
              <w:spacing w:line="0" w:lineRule="atLeast"/>
              <w:rPr>
                <w:rFonts w:eastAsia="Times New Roman" w:cs="Times New Roman"/>
                <w:b/>
                <w:sz w:val="10"/>
              </w:rPr>
            </w:pPr>
          </w:p>
        </w:tc>
        <w:tc>
          <w:tcPr>
            <w:tcW w:w="2440" w:type="dxa"/>
            <w:gridSpan w:val="2"/>
            <w:vMerge/>
            <w:tcBorders>
              <w:bottom w:val="single" w:sz="8" w:space="0" w:color="auto"/>
              <w:right w:val="single" w:sz="8" w:space="0" w:color="auto"/>
            </w:tcBorders>
            <w:shd w:val="clear" w:color="auto" w:fill="auto"/>
            <w:vAlign w:val="bottom"/>
          </w:tcPr>
          <w:p w14:paraId="0959189A" w14:textId="77777777" w:rsidR="00A52778" w:rsidRPr="00460F9E" w:rsidRDefault="00A52778" w:rsidP="00FC3F8E">
            <w:pPr>
              <w:spacing w:line="0" w:lineRule="atLeast"/>
              <w:rPr>
                <w:rFonts w:eastAsia="Times New Roman" w:cs="Times New Roman"/>
                <w:b/>
                <w:sz w:val="10"/>
              </w:rPr>
            </w:pPr>
          </w:p>
        </w:tc>
        <w:tc>
          <w:tcPr>
            <w:tcW w:w="380" w:type="dxa"/>
            <w:tcBorders>
              <w:left w:val="single" w:sz="8" w:space="0" w:color="auto"/>
              <w:bottom w:val="single" w:sz="8" w:space="0" w:color="auto"/>
            </w:tcBorders>
            <w:shd w:val="clear" w:color="auto" w:fill="auto"/>
            <w:vAlign w:val="bottom"/>
          </w:tcPr>
          <w:p w14:paraId="3A117528" w14:textId="77777777" w:rsidR="00A52778" w:rsidRPr="00460F9E" w:rsidRDefault="00A52778" w:rsidP="00FC3F8E">
            <w:pPr>
              <w:spacing w:line="0" w:lineRule="atLeast"/>
              <w:rPr>
                <w:rFonts w:eastAsia="Times New Roman" w:cs="Times New Roman"/>
                <w:b/>
                <w:sz w:val="10"/>
              </w:rPr>
            </w:pPr>
          </w:p>
        </w:tc>
        <w:tc>
          <w:tcPr>
            <w:tcW w:w="600" w:type="dxa"/>
            <w:tcBorders>
              <w:bottom w:val="single" w:sz="8" w:space="0" w:color="auto"/>
            </w:tcBorders>
            <w:shd w:val="clear" w:color="auto" w:fill="auto"/>
            <w:vAlign w:val="bottom"/>
          </w:tcPr>
          <w:p w14:paraId="4AC855A0" w14:textId="77777777" w:rsidR="00A52778" w:rsidRPr="00460F9E" w:rsidRDefault="00A52778" w:rsidP="00FC3F8E">
            <w:pPr>
              <w:spacing w:line="0" w:lineRule="atLeast"/>
              <w:rPr>
                <w:rFonts w:eastAsia="Times New Roman" w:cs="Times New Roman"/>
                <w:b/>
                <w:sz w:val="10"/>
              </w:rPr>
            </w:pPr>
          </w:p>
        </w:tc>
        <w:tc>
          <w:tcPr>
            <w:tcW w:w="740" w:type="dxa"/>
            <w:tcBorders>
              <w:bottom w:val="single" w:sz="8" w:space="0" w:color="auto"/>
            </w:tcBorders>
            <w:shd w:val="clear" w:color="auto" w:fill="auto"/>
            <w:vAlign w:val="bottom"/>
          </w:tcPr>
          <w:p w14:paraId="0289A9A7" w14:textId="77777777" w:rsidR="00A52778" w:rsidRPr="00460F9E" w:rsidRDefault="00A52778" w:rsidP="00FC3F8E">
            <w:pPr>
              <w:spacing w:line="0" w:lineRule="atLeast"/>
              <w:rPr>
                <w:rFonts w:eastAsia="Times New Roman" w:cs="Times New Roman"/>
                <w:b/>
                <w:sz w:val="10"/>
              </w:rPr>
            </w:pPr>
          </w:p>
        </w:tc>
        <w:tc>
          <w:tcPr>
            <w:tcW w:w="380" w:type="dxa"/>
            <w:tcBorders>
              <w:bottom w:val="single" w:sz="8" w:space="0" w:color="auto"/>
              <w:right w:val="single" w:sz="8" w:space="0" w:color="auto"/>
            </w:tcBorders>
            <w:shd w:val="clear" w:color="auto" w:fill="auto"/>
            <w:vAlign w:val="bottom"/>
          </w:tcPr>
          <w:p w14:paraId="763E2CED" w14:textId="77777777" w:rsidR="00A52778" w:rsidRPr="00460F9E" w:rsidRDefault="00A52778" w:rsidP="00FC3F8E">
            <w:pPr>
              <w:spacing w:line="0" w:lineRule="atLeast"/>
              <w:rPr>
                <w:rFonts w:eastAsia="Times New Roman" w:cs="Times New Roman"/>
                <w:b/>
                <w:sz w:val="10"/>
              </w:rPr>
            </w:pPr>
          </w:p>
        </w:tc>
        <w:tc>
          <w:tcPr>
            <w:tcW w:w="1520" w:type="dxa"/>
            <w:tcBorders>
              <w:bottom w:val="single" w:sz="8" w:space="0" w:color="auto"/>
              <w:right w:val="single" w:sz="8" w:space="0" w:color="auto"/>
            </w:tcBorders>
            <w:shd w:val="clear" w:color="auto" w:fill="auto"/>
            <w:vAlign w:val="bottom"/>
          </w:tcPr>
          <w:p w14:paraId="4A4E8852" w14:textId="77777777" w:rsidR="00A52778" w:rsidRPr="00460F9E" w:rsidRDefault="00A52778" w:rsidP="00FC3F8E">
            <w:pPr>
              <w:spacing w:line="0" w:lineRule="atLeast"/>
              <w:rPr>
                <w:rFonts w:eastAsia="Times New Roman" w:cs="Times New Roman"/>
                <w:b/>
                <w:sz w:val="10"/>
              </w:rPr>
            </w:pPr>
          </w:p>
        </w:tc>
        <w:tc>
          <w:tcPr>
            <w:tcW w:w="2320" w:type="dxa"/>
            <w:gridSpan w:val="3"/>
            <w:vMerge/>
            <w:tcBorders>
              <w:bottom w:val="single" w:sz="8" w:space="0" w:color="auto"/>
              <w:right w:val="single" w:sz="8" w:space="0" w:color="auto"/>
            </w:tcBorders>
            <w:shd w:val="clear" w:color="auto" w:fill="auto"/>
            <w:vAlign w:val="bottom"/>
          </w:tcPr>
          <w:p w14:paraId="41D084E2" w14:textId="77777777" w:rsidR="00A52778" w:rsidRPr="00460F9E" w:rsidRDefault="00A52778" w:rsidP="00FC3F8E">
            <w:pPr>
              <w:spacing w:line="0" w:lineRule="atLeast"/>
              <w:rPr>
                <w:rFonts w:eastAsia="Times New Roman" w:cs="Times New Roman"/>
                <w:b/>
                <w:sz w:val="10"/>
              </w:rPr>
            </w:pPr>
          </w:p>
        </w:tc>
      </w:tr>
      <w:tr w:rsidR="00A52778" w:rsidRPr="00460F9E" w14:paraId="3EE92A5D" w14:textId="77777777" w:rsidTr="00FC3F8E">
        <w:trPr>
          <w:trHeight w:val="217"/>
        </w:trPr>
        <w:tc>
          <w:tcPr>
            <w:tcW w:w="1404" w:type="dxa"/>
            <w:tcBorders>
              <w:left w:val="single" w:sz="8" w:space="0" w:color="auto"/>
              <w:right w:val="single" w:sz="8" w:space="0" w:color="auto"/>
            </w:tcBorders>
            <w:shd w:val="clear" w:color="auto" w:fill="auto"/>
            <w:vAlign w:val="bottom"/>
          </w:tcPr>
          <w:p w14:paraId="0705D121" w14:textId="77777777" w:rsidR="00A52778" w:rsidRPr="00460F9E" w:rsidRDefault="00A52778" w:rsidP="00FC3F8E">
            <w:pPr>
              <w:spacing w:line="0" w:lineRule="atLeast"/>
              <w:rPr>
                <w:rFonts w:eastAsia="Times New Roman" w:cs="Times New Roman"/>
                <w:b/>
                <w:sz w:val="18"/>
              </w:rPr>
            </w:pPr>
          </w:p>
        </w:tc>
        <w:tc>
          <w:tcPr>
            <w:tcW w:w="2440" w:type="dxa"/>
            <w:gridSpan w:val="2"/>
            <w:vMerge w:val="restart"/>
            <w:tcBorders>
              <w:right w:val="single" w:sz="8" w:space="0" w:color="auto"/>
            </w:tcBorders>
            <w:shd w:val="clear" w:color="auto" w:fill="auto"/>
            <w:vAlign w:val="center"/>
          </w:tcPr>
          <w:p w14:paraId="05348B93" w14:textId="77777777" w:rsidR="00A52778" w:rsidRPr="00460F9E" w:rsidRDefault="00A52778" w:rsidP="00FC3F8E">
            <w:pPr>
              <w:spacing w:line="0" w:lineRule="atLeast"/>
              <w:ind w:left="100"/>
              <w:rPr>
                <w:rFonts w:eastAsia="Times New Roman" w:cs="Times New Roman"/>
                <w:b/>
                <w:sz w:val="18"/>
              </w:rPr>
            </w:pPr>
            <w:r w:rsidRPr="00460F9E">
              <w:rPr>
                <w:rFonts w:eastAsia="Times New Roman" w:cs="Times New Roman"/>
              </w:rPr>
              <w:t>Seçici katalitik olmayan indirgeme (SNCR)</w:t>
            </w:r>
          </w:p>
        </w:tc>
        <w:tc>
          <w:tcPr>
            <w:tcW w:w="380" w:type="dxa"/>
            <w:tcBorders>
              <w:left w:val="single" w:sz="8" w:space="0" w:color="auto"/>
            </w:tcBorders>
            <w:shd w:val="clear" w:color="auto" w:fill="auto"/>
            <w:vAlign w:val="bottom"/>
          </w:tcPr>
          <w:p w14:paraId="4BDB3CCD" w14:textId="77777777" w:rsidR="00A52778" w:rsidRPr="00460F9E" w:rsidRDefault="00A52778" w:rsidP="00FC3F8E">
            <w:pPr>
              <w:spacing w:line="0" w:lineRule="atLeast"/>
              <w:rPr>
                <w:rFonts w:eastAsia="Times New Roman" w:cs="Times New Roman"/>
                <w:b/>
                <w:sz w:val="18"/>
              </w:rPr>
            </w:pPr>
          </w:p>
        </w:tc>
        <w:tc>
          <w:tcPr>
            <w:tcW w:w="600" w:type="dxa"/>
            <w:shd w:val="clear" w:color="auto" w:fill="auto"/>
            <w:vAlign w:val="bottom"/>
          </w:tcPr>
          <w:p w14:paraId="34B8595E" w14:textId="77777777" w:rsidR="00A52778" w:rsidRPr="00460F9E" w:rsidRDefault="00A52778" w:rsidP="00FC3F8E">
            <w:pPr>
              <w:spacing w:line="0" w:lineRule="atLeast"/>
              <w:rPr>
                <w:rFonts w:eastAsia="Times New Roman" w:cs="Times New Roman"/>
                <w:b/>
                <w:sz w:val="18"/>
              </w:rPr>
            </w:pPr>
          </w:p>
        </w:tc>
        <w:tc>
          <w:tcPr>
            <w:tcW w:w="740" w:type="dxa"/>
            <w:shd w:val="clear" w:color="auto" w:fill="auto"/>
            <w:vAlign w:val="bottom"/>
          </w:tcPr>
          <w:p w14:paraId="1F493D46" w14:textId="77777777" w:rsidR="00A52778" w:rsidRPr="00460F9E" w:rsidRDefault="00A52778" w:rsidP="00FC3F8E">
            <w:pPr>
              <w:spacing w:line="0" w:lineRule="atLeast"/>
              <w:rPr>
                <w:rFonts w:eastAsia="Times New Roman" w:cs="Times New Roman"/>
                <w:b/>
                <w:sz w:val="18"/>
              </w:rPr>
            </w:pPr>
          </w:p>
        </w:tc>
        <w:tc>
          <w:tcPr>
            <w:tcW w:w="380" w:type="dxa"/>
            <w:tcBorders>
              <w:right w:val="single" w:sz="8" w:space="0" w:color="auto"/>
            </w:tcBorders>
            <w:shd w:val="clear" w:color="auto" w:fill="auto"/>
            <w:vAlign w:val="bottom"/>
          </w:tcPr>
          <w:p w14:paraId="57C05CE7" w14:textId="77777777" w:rsidR="00A52778" w:rsidRPr="00460F9E" w:rsidRDefault="00A52778" w:rsidP="00FC3F8E">
            <w:pPr>
              <w:spacing w:line="0" w:lineRule="atLeast"/>
              <w:rPr>
                <w:rFonts w:eastAsia="Times New Roman" w:cs="Times New Roman"/>
                <w:b/>
                <w:sz w:val="18"/>
              </w:rPr>
            </w:pPr>
          </w:p>
        </w:tc>
        <w:tc>
          <w:tcPr>
            <w:tcW w:w="1520" w:type="dxa"/>
            <w:tcBorders>
              <w:right w:val="single" w:sz="8" w:space="0" w:color="auto"/>
            </w:tcBorders>
            <w:shd w:val="clear" w:color="auto" w:fill="auto"/>
            <w:vAlign w:val="bottom"/>
          </w:tcPr>
          <w:p w14:paraId="09B8E5C9" w14:textId="77777777" w:rsidR="00A52778" w:rsidRPr="00460F9E" w:rsidRDefault="00A52778" w:rsidP="00FC3F8E">
            <w:pPr>
              <w:spacing w:line="0" w:lineRule="atLeast"/>
              <w:rPr>
                <w:rFonts w:eastAsia="Times New Roman" w:cs="Times New Roman"/>
                <w:b/>
                <w:sz w:val="18"/>
              </w:rPr>
            </w:pPr>
          </w:p>
        </w:tc>
        <w:tc>
          <w:tcPr>
            <w:tcW w:w="2320" w:type="dxa"/>
            <w:gridSpan w:val="3"/>
            <w:vMerge w:val="restart"/>
            <w:tcBorders>
              <w:right w:val="single" w:sz="8" w:space="0" w:color="auto"/>
            </w:tcBorders>
            <w:shd w:val="clear" w:color="auto" w:fill="auto"/>
          </w:tcPr>
          <w:p w14:paraId="1553F7A9" w14:textId="77777777" w:rsidR="00A52778" w:rsidRPr="00460F9E" w:rsidRDefault="00A52778" w:rsidP="00FC3F8E">
            <w:pPr>
              <w:spacing w:line="217" w:lineRule="exact"/>
              <w:ind w:right="40"/>
              <w:rPr>
                <w:rFonts w:eastAsia="Times New Roman" w:cs="Times New Roman"/>
                <w:b/>
              </w:rPr>
            </w:pPr>
            <w:r w:rsidRPr="00460F9E">
              <w:rPr>
                <w:rFonts w:eastAsia="Times New Roman" w:cs="Times New Roman"/>
              </w:rPr>
              <w:t xml:space="preserve">  Mevcut tesislere  </w:t>
            </w:r>
          </w:p>
          <w:p w14:paraId="5150C53E" w14:textId="77777777" w:rsidR="00A52778" w:rsidRPr="00460F9E" w:rsidRDefault="00A52778" w:rsidP="00FC3F8E">
            <w:pPr>
              <w:spacing w:line="217" w:lineRule="exact"/>
              <w:ind w:right="40"/>
              <w:rPr>
                <w:rFonts w:eastAsia="Times New Roman" w:cs="Times New Roman"/>
                <w:b/>
              </w:rPr>
            </w:pPr>
            <w:r w:rsidRPr="00460F9E">
              <w:rPr>
                <w:rFonts w:eastAsia="Times New Roman" w:cs="Times New Roman"/>
              </w:rPr>
              <w:t xml:space="preserve">  uygulanabilirliği   </w:t>
            </w:r>
          </w:p>
          <w:p w14:paraId="22ABB3DE" w14:textId="77777777" w:rsidR="00A52778" w:rsidRPr="00460F9E" w:rsidRDefault="00A52778" w:rsidP="00FC3F8E">
            <w:pPr>
              <w:spacing w:line="217" w:lineRule="exact"/>
              <w:ind w:right="40"/>
              <w:rPr>
                <w:rFonts w:eastAsia="Times New Roman" w:cs="Times New Roman"/>
                <w:b/>
              </w:rPr>
            </w:pPr>
            <w:r w:rsidRPr="00460F9E">
              <w:rPr>
                <w:rFonts w:eastAsia="Times New Roman" w:cs="Times New Roman"/>
              </w:rPr>
              <w:t xml:space="preserve">  reaksiyon için gereken </w:t>
            </w:r>
          </w:p>
          <w:p w14:paraId="3020050B" w14:textId="77777777" w:rsidR="00A52778" w:rsidRPr="00460F9E" w:rsidRDefault="00A52778" w:rsidP="00FC3F8E">
            <w:pPr>
              <w:spacing w:line="217" w:lineRule="exact"/>
              <w:ind w:right="40"/>
              <w:rPr>
                <w:rFonts w:eastAsia="Times New Roman" w:cs="Times New Roman"/>
                <w:b/>
              </w:rPr>
            </w:pPr>
            <w:r w:rsidRPr="00460F9E">
              <w:rPr>
                <w:rFonts w:eastAsia="Times New Roman" w:cs="Times New Roman"/>
              </w:rPr>
              <w:t xml:space="preserve">  bekleme süresi nedeniyle </w:t>
            </w:r>
          </w:p>
          <w:p w14:paraId="576E5614" w14:textId="77777777" w:rsidR="00A52778" w:rsidRPr="00460F9E" w:rsidRDefault="00A52778" w:rsidP="00FC3F8E">
            <w:pPr>
              <w:spacing w:line="217" w:lineRule="exact"/>
              <w:ind w:right="40"/>
              <w:rPr>
                <w:rFonts w:eastAsia="Times New Roman" w:cs="Times New Roman"/>
                <w:b/>
              </w:rPr>
            </w:pPr>
            <w:r w:rsidRPr="00460F9E">
              <w:rPr>
                <w:rFonts w:eastAsia="Times New Roman" w:cs="Times New Roman"/>
              </w:rPr>
              <w:t xml:space="preserve">  kısıtlanabilir.</w:t>
            </w:r>
          </w:p>
        </w:tc>
      </w:tr>
      <w:tr w:rsidR="00A52778" w:rsidRPr="00460F9E" w14:paraId="2C6D00DC" w14:textId="77777777" w:rsidTr="00FC3F8E">
        <w:trPr>
          <w:trHeight w:val="230"/>
        </w:trPr>
        <w:tc>
          <w:tcPr>
            <w:tcW w:w="1404" w:type="dxa"/>
            <w:vMerge w:val="restart"/>
            <w:tcBorders>
              <w:left w:val="single" w:sz="8" w:space="0" w:color="auto"/>
              <w:right w:val="single" w:sz="8" w:space="0" w:color="auto"/>
            </w:tcBorders>
            <w:shd w:val="clear" w:color="auto" w:fill="auto"/>
            <w:vAlign w:val="bottom"/>
          </w:tcPr>
          <w:p w14:paraId="120AF73F" w14:textId="77777777" w:rsidR="00A52778" w:rsidRPr="00460F9E" w:rsidRDefault="00A52778" w:rsidP="00FC3F8E">
            <w:pPr>
              <w:spacing w:line="0" w:lineRule="atLeast"/>
              <w:ind w:left="100"/>
              <w:rPr>
                <w:rFonts w:eastAsia="Times New Roman" w:cs="Times New Roman"/>
                <w:b/>
              </w:rPr>
            </w:pPr>
            <w:r>
              <w:rPr>
                <w:rFonts w:eastAsia="Times New Roman" w:cs="Times New Roman"/>
              </w:rPr>
              <w:t>f</w:t>
            </w:r>
            <w:r w:rsidRPr="00460F9E">
              <w:rPr>
                <w:rFonts w:eastAsia="Times New Roman" w:cs="Times New Roman"/>
              </w:rPr>
              <w:t>.</w:t>
            </w:r>
          </w:p>
        </w:tc>
        <w:tc>
          <w:tcPr>
            <w:tcW w:w="2440" w:type="dxa"/>
            <w:gridSpan w:val="2"/>
            <w:vMerge/>
            <w:tcBorders>
              <w:right w:val="single" w:sz="8" w:space="0" w:color="auto"/>
            </w:tcBorders>
            <w:shd w:val="clear" w:color="auto" w:fill="auto"/>
            <w:vAlign w:val="bottom"/>
          </w:tcPr>
          <w:p w14:paraId="49BBEDF9" w14:textId="77777777" w:rsidR="00A52778" w:rsidRPr="00460F9E" w:rsidRDefault="00A52778" w:rsidP="00FC3F8E">
            <w:pPr>
              <w:spacing w:line="0" w:lineRule="atLeast"/>
              <w:ind w:left="100"/>
              <w:rPr>
                <w:rFonts w:eastAsia="Times New Roman" w:cs="Times New Roman"/>
                <w:b/>
                <w:w w:val="99"/>
              </w:rPr>
            </w:pPr>
          </w:p>
        </w:tc>
        <w:tc>
          <w:tcPr>
            <w:tcW w:w="1720" w:type="dxa"/>
            <w:gridSpan w:val="3"/>
            <w:vMerge w:val="restart"/>
            <w:tcBorders>
              <w:left w:val="single" w:sz="8" w:space="0" w:color="auto"/>
            </w:tcBorders>
            <w:shd w:val="clear" w:color="auto" w:fill="auto"/>
            <w:vAlign w:val="bottom"/>
          </w:tcPr>
          <w:p w14:paraId="49A54B3D"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80" w:type="dxa"/>
            <w:tcBorders>
              <w:right w:val="single" w:sz="8" w:space="0" w:color="auto"/>
            </w:tcBorders>
            <w:shd w:val="clear" w:color="auto" w:fill="auto"/>
            <w:vAlign w:val="bottom"/>
          </w:tcPr>
          <w:p w14:paraId="65443E92" w14:textId="77777777" w:rsidR="00A52778" w:rsidRPr="00460F9E" w:rsidRDefault="00A52778" w:rsidP="00FC3F8E">
            <w:pPr>
              <w:spacing w:line="0" w:lineRule="atLeast"/>
              <w:rPr>
                <w:rFonts w:eastAsia="Times New Roman" w:cs="Times New Roman"/>
                <w:b/>
              </w:rPr>
            </w:pPr>
          </w:p>
        </w:tc>
        <w:tc>
          <w:tcPr>
            <w:tcW w:w="1520" w:type="dxa"/>
            <w:vMerge w:val="restart"/>
            <w:tcBorders>
              <w:right w:val="single" w:sz="8" w:space="0" w:color="auto"/>
            </w:tcBorders>
            <w:shd w:val="clear" w:color="auto" w:fill="auto"/>
            <w:vAlign w:val="bottom"/>
          </w:tcPr>
          <w:p w14:paraId="062157F6" w14:textId="77777777" w:rsidR="00A52778" w:rsidRPr="00460F9E" w:rsidRDefault="00A52778" w:rsidP="00FC3F8E">
            <w:pPr>
              <w:spacing w:line="0" w:lineRule="atLeast"/>
              <w:jc w:val="center"/>
              <w:rPr>
                <w:rFonts w:eastAsia="Times New Roman" w:cs="Times New Roman"/>
                <w:b/>
                <w:sz w:val="12"/>
              </w:rPr>
            </w:pPr>
            <w:r w:rsidRPr="00460F9E">
              <w:rPr>
                <w:rFonts w:eastAsia="Times New Roman" w:cs="Times New Roman"/>
              </w:rPr>
              <w:t>NO</w:t>
            </w:r>
            <w:r w:rsidRPr="00460F9E">
              <w:rPr>
                <w:rFonts w:eastAsia="Times New Roman" w:cs="Times New Roman"/>
                <w:sz w:val="12"/>
              </w:rPr>
              <w:t>X</w:t>
            </w:r>
          </w:p>
        </w:tc>
        <w:tc>
          <w:tcPr>
            <w:tcW w:w="2320" w:type="dxa"/>
            <w:gridSpan w:val="3"/>
            <w:vMerge/>
            <w:tcBorders>
              <w:right w:val="single" w:sz="8" w:space="0" w:color="auto"/>
            </w:tcBorders>
            <w:shd w:val="clear" w:color="auto" w:fill="auto"/>
            <w:vAlign w:val="bottom"/>
          </w:tcPr>
          <w:p w14:paraId="48382194" w14:textId="77777777" w:rsidR="00A52778" w:rsidRPr="00460F9E" w:rsidRDefault="00A52778" w:rsidP="00FC3F8E">
            <w:pPr>
              <w:spacing w:line="0" w:lineRule="atLeast"/>
              <w:ind w:right="40"/>
              <w:jc w:val="right"/>
              <w:rPr>
                <w:rFonts w:eastAsia="Times New Roman" w:cs="Times New Roman"/>
                <w:b/>
                <w:w w:val="96"/>
              </w:rPr>
            </w:pPr>
          </w:p>
        </w:tc>
      </w:tr>
      <w:tr w:rsidR="00A52778" w:rsidRPr="00460F9E" w14:paraId="215E7456" w14:textId="77777777" w:rsidTr="00FC3F8E">
        <w:trPr>
          <w:trHeight w:val="118"/>
        </w:trPr>
        <w:tc>
          <w:tcPr>
            <w:tcW w:w="1404" w:type="dxa"/>
            <w:vMerge/>
            <w:tcBorders>
              <w:left w:val="single" w:sz="8" w:space="0" w:color="auto"/>
              <w:right w:val="single" w:sz="8" w:space="0" w:color="auto"/>
            </w:tcBorders>
            <w:shd w:val="clear" w:color="auto" w:fill="auto"/>
            <w:vAlign w:val="bottom"/>
          </w:tcPr>
          <w:p w14:paraId="6CC6C672" w14:textId="77777777" w:rsidR="00A52778" w:rsidRPr="00460F9E" w:rsidRDefault="00A52778" w:rsidP="00FC3F8E">
            <w:pPr>
              <w:spacing w:line="0" w:lineRule="atLeast"/>
              <w:rPr>
                <w:rFonts w:eastAsia="Times New Roman" w:cs="Times New Roman"/>
                <w:b/>
                <w:sz w:val="10"/>
              </w:rPr>
            </w:pPr>
          </w:p>
        </w:tc>
        <w:tc>
          <w:tcPr>
            <w:tcW w:w="2440" w:type="dxa"/>
            <w:gridSpan w:val="2"/>
            <w:vMerge/>
            <w:tcBorders>
              <w:right w:val="single" w:sz="8" w:space="0" w:color="auto"/>
            </w:tcBorders>
            <w:shd w:val="clear" w:color="auto" w:fill="auto"/>
            <w:vAlign w:val="bottom"/>
          </w:tcPr>
          <w:p w14:paraId="20B7EB0B" w14:textId="77777777" w:rsidR="00A52778" w:rsidRPr="00460F9E" w:rsidRDefault="00A52778" w:rsidP="00FC3F8E">
            <w:pPr>
              <w:spacing w:line="0" w:lineRule="atLeast"/>
              <w:ind w:left="100"/>
              <w:rPr>
                <w:rFonts w:eastAsia="Times New Roman" w:cs="Times New Roman"/>
                <w:b/>
              </w:rPr>
            </w:pPr>
          </w:p>
        </w:tc>
        <w:tc>
          <w:tcPr>
            <w:tcW w:w="1720" w:type="dxa"/>
            <w:gridSpan w:val="3"/>
            <w:vMerge/>
            <w:shd w:val="clear" w:color="auto" w:fill="auto"/>
            <w:vAlign w:val="bottom"/>
          </w:tcPr>
          <w:p w14:paraId="4AC0C090" w14:textId="77777777" w:rsidR="00A52778" w:rsidRPr="00460F9E" w:rsidRDefault="00A52778" w:rsidP="00FC3F8E">
            <w:pPr>
              <w:spacing w:line="0" w:lineRule="atLeast"/>
              <w:rPr>
                <w:rFonts w:eastAsia="Times New Roman" w:cs="Times New Roman"/>
                <w:b/>
                <w:sz w:val="10"/>
              </w:rPr>
            </w:pPr>
          </w:p>
        </w:tc>
        <w:tc>
          <w:tcPr>
            <w:tcW w:w="380" w:type="dxa"/>
            <w:tcBorders>
              <w:right w:val="single" w:sz="8" w:space="0" w:color="auto"/>
            </w:tcBorders>
            <w:shd w:val="clear" w:color="auto" w:fill="auto"/>
            <w:vAlign w:val="bottom"/>
          </w:tcPr>
          <w:p w14:paraId="5FA83DA9" w14:textId="77777777" w:rsidR="00A52778" w:rsidRPr="00460F9E" w:rsidRDefault="00A52778" w:rsidP="00FC3F8E">
            <w:pPr>
              <w:spacing w:line="0" w:lineRule="atLeast"/>
              <w:rPr>
                <w:rFonts w:eastAsia="Times New Roman" w:cs="Times New Roman"/>
                <w:b/>
                <w:sz w:val="10"/>
              </w:rPr>
            </w:pPr>
          </w:p>
        </w:tc>
        <w:tc>
          <w:tcPr>
            <w:tcW w:w="1520" w:type="dxa"/>
            <w:vMerge/>
            <w:tcBorders>
              <w:right w:val="single" w:sz="8" w:space="0" w:color="auto"/>
            </w:tcBorders>
            <w:shd w:val="clear" w:color="auto" w:fill="auto"/>
            <w:vAlign w:val="bottom"/>
          </w:tcPr>
          <w:p w14:paraId="54526512" w14:textId="77777777" w:rsidR="00A52778" w:rsidRPr="00460F9E" w:rsidRDefault="00A52778" w:rsidP="00FC3F8E">
            <w:pPr>
              <w:spacing w:line="0" w:lineRule="atLeast"/>
              <w:rPr>
                <w:rFonts w:eastAsia="Times New Roman" w:cs="Times New Roman"/>
                <w:b/>
                <w:sz w:val="10"/>
              </w:rPr>
            </w:pPr>
          </w:p>
        </w:tc>
        <w:tc>
          <w:tcPr>
            <w:tcW w:w="2320" w:type="dxa"/>
            <w:gridSpan w:val="3"/>
            <w:vMerge/>
            <w:tcBorders>
              <w:right w:val="single" w:sz="8" w:space="0" w:color="auto"/>
            </w:tcBorders>
            <w:shd w:val="clear" w:color="auto" w:fill="auto"/>
            <w:vAlign w:val="bottom"/>
          </w:tcPr>
          <w:p w14:paraId="77FC33DC" w14:textId="77777777" w:rsidR="00A52778" w:rsidRPr="00460F9E" w:rsidRDefault="00A52778" w:rsidP="00FC3F8E">
            <w:pPr>
              <w:spacing w:line="0" w:lineRule="atLeast"/>
              <w:ind w:left="100"/>
              <w:rPr>
                <w:rFonts w:eastAsia="Times New Roman" w:cs="Times New Roman"/>
                <w:b/>
              </w:rPr>
            </w:pPr>
          </w:p>
        </w:tc>
      </w:tr>
      <w:tr w:rsidR="00A52778" w:rsidRPr="00460F9E" w14:paraId="4C641C6C" w14:textId="77777777" w:rsidTr="00FC3F8E">
        <w:trPr>
          <w:trHeight w:val="112"/>
        </w:trPr>
        <w:tc>
          <w:tcPr>
            <w:tcW w:w="1404" w:type="dxa"/>
            <w:tcBorders>
              <w:left w:val="single" w:sz="8" w:space="0" w:color="auto"/>
              <w:right w:val="single" w:sz="8" w:space="0" w:color="auto"/>
            </w:tcBorders>
            <w:shd w:val="clear" w:color="auto" w:fill="auto"/>
            <w:vAlign w:val="bottom"/>
          </w:tcPr>
          <w:p w14:paraId="3FA1D2FF" w14:textId="77777777" w:rsidR="00A52778" w:rsidRPr="00460F9E" w:rsidRDefault="00A52778" w:rsidP="00FC3F8E">
            <w:pPr>
              <w:spacing w:line="0" w:lineRule="atLeast"/>
              <w:rPr>
                <w:rFonts w:eastAsia="Times New Roman" w:cs="Times New Roman"/>
                <w:b/>
                <w:sz w:val="9"/>
              </w:rPr>
            </w:pPr>
          </w:p>
        </w:tc>
        <w:tc>
          <w:tcPr>
            <w:tcW w:w="2440" w:type="dxa"/>
            <w:gridSpan w:val="2"/>
            <w:vMerge/>
            <w:tcBorders>
              <w:right w:val="single" w:sz="8" w:space="0" w:color="auto"/>
            </w:tcBorders>
            <w:shd w:val="clear" w:color="auto" w:fill="auto"/>
            <w:vAlign w:val="bottom"/>
          </w:tcPr>
          <w:p w14:paraId="3E284C9D" w14:textId="77777777" w:rsidR="00A52778" w:rsidRPr="00460F9E" w:rsidRDefault="00A52778" w:rsidP="00FC3F8E">
            <w:pPr>
              <w:spacing w:line="0" w:lineRule="atLeast"/>
              <w:rPr>
                <w:rFonts w:eastAsia="Times New Roman" w:cs="Times New Roman"/>
                <w:b/>
                <w:sz w:val="9"/>
              </w:rPr>
            </w:pPr>
          </w:p>
        </w:tc>
        <w:tc>
          <w:tcPr>
            <w:tcW w:w="380" w:type="dxa"/>
            <w:shd w:val="clear" w:color="auto" w:fill="auto"/>
            <w:vAlign w:val="bottom"/>
          </w:tcPr>
          <w:p w14:paraId="2B1003EB" w14:textId="77777777" w:rsidR="00A52778" w:rsidRPr="00460F9E" w:rsidRDefault="00A52778" w:rsidP="00FC3F8E">
            <w:pPr>
              <w:spacing w:line="0" w:lineRule="atLeast"/>
              <w:rPr>
                <w:rFonts w:eastAsia="Times New Roman" w:cs="Times New Roman"/>
                <w:b/>
                <w:sz w:val="9"/>
              </w:rPr>
            </w:pPr>
          </w:p>
        </w:tc>
        <w:tc>
          <w:tcPr>
            <w:tcW w:w="600" w:type="dxa"/>
            <w:shd w:val="clear" w:color="auto" w:fill="auto"/>
            <w:vAlign w:val="bottom"/>
          </w:tcPr>
          <w:p w14:paraId="207322E4" w14:textId="77777777" w:rsidR="00A52778" w:rsidRPr="00460F9E" w:rsidRDefault="00A52778" w:rsidP="00FC3F8E">
            <w:pPr>
              <w:spacing w:line="0" w:lineRule="atLeast"/>
              <w:rPr>
                <w:rFonts w:eastAsia="Times New Roman" w:cs="Times New Roman"/>
                <w:b/>
                <w:sz w:val="9"/>
              </w:rPr>
            </w:pPr>
          </w:p>
        </w:tc>
        <w:tc>
          <w:tcPr>
            <w:tcW w:w="740" w:type="dxa"/>
            <w:shd w:val="clear" w:color="auto" w:fill="auto"/>
            <w:vAlign w:val="bottom"/>
          </w:tcPr>
          <w:p w14:paraId="7C0E5A78" w14:textId="77777777" w:rsidR="00A52778" w:rsidRPr="00460F9E" w:rsidRDefault="00A52778" w:rsidP="00FC3F8E">
            <w:pPr>
              <w:spacing w:line="0" w:lineRule="atLeast"/>
              <w:rPr>
                <w:rFonts w:eastAsia="Times New Roman" w:cs="Times New Roman"/>
                <w:b/>
                <w:sz w:val="9"/>
              </w:rPr>
            </w:pPr>
          </w:p>
        </w:tc>
        <w:tc>
          <w:tcPr>
            <w:tcW w:w="380" w:type="dxa"/>
            <w:tcBorders>
              <w:right w:val="single" w:sz="8" w:space="0" w:color="auto"/>
            </w:tcBorders>
            <w:shd w:val="clear" w:color="auto" w:fill="auto"/>
            <w:vAlign w:val="bottom"/>
          </w:tcPr>
          <w:p w14:paraId="4DB19F09" w14:textId="77777777" w:rsidR="00A52778" w:rsidRPr="00460F9E" w:rsidRDefault="00A52778" w:rsidP="00FC3F8E">
            <w:pPr>
              <w:spacing w:line="0" w:lineRule="atLeast"/>
              <w:rPr>
                <w:rFonts w:eastAsia="Times New Roman" w:cs="Times New Roman"/>
                <w:b/>
                <w:sz w:val="9"/>
              </w:rPr>
            </w:pPr>
          </w:p>
        </w:tc>
        <w:tc>
          <w:tcPr>
            <w:tcW w:w="1520" w:type="dxa"/>
            <w:tcBorders>
              <w:right w:val="single" w:sz="8" w:space="0" w:color="auto"/>
            </w:tcBorders>
            <w:shd w:val="clear" w:color="auto" w:fill="auto"/>
            <w:vAlign w:val="bottom"/>
          </w:tcPr>
          <w:p w14:paraId="322EF669" w14:textId="77777777" w:rsidR="00A52778" w:rsidRPr="00460F9E" w:rsidRDefault="00A52778" w:rsidP="00FC3F8E">
            <w:pPr>
              <w:spacing w:line="0" w:lineRule="atLeast"/>
              <w:rPr>
                <w:rFonts w:eastAsia="Times New Roman" w:cs="Times New Roman"/>
                <w:b/>
                <w:sz w:val="9"/>
              </w:rPr>
            </w:pPr>
          </w:p>
        </w:tc>
        <w:tc>
          <w:tcPr>
            <w:tcW w:w="2320" w:type="dxa"/>
            <w:gridSpan w:val="3"/>
            <w:vMerge/>
            <w:tcBorders>
              <w:right w:val="single" w:sz="8" w:space="0" w:color="auto"/>
            </w:tcBorders>
            <w:shd w:val="clear" w:color="auto" w:fill="auto"/>
            <w:vAlign w:val="bottom"/>
          </w:tcPr>
          <w:p w14:paraId="4EAFE153" w14:textId="77777777" w:rsidR="00A52778" w:rsidRPr="00460F9E" w:rsidRDefault="00A52778" w:rsidP="00FC3F8E">
            <w:pPr>
              <w:spacing w:line="0" w:lineRule="atLeast"/>
              <w:rPr>
                <w:rFonts w:eastAsia="Times New Roman" w:cs="Times New Roman"/>
                <w:b/>
                <w:sz w:val="9"/>
              </w:rPr>
            </w:pPr>
          </w:p>
        </w:tc>
      </w:tr>
      <w:tr w:rsidR="00A52778" w:rsidRPr="00460F9E" w14:paraId="081ABE69" w14:textId="77777777" w:rsidTr="00FC3F8E">
        <w:trPr>
          <w:trHeight w:val="234"/>
        </w:trPr>
        <w:tc>
          <w:tcPr>
            <w:tcW w:w="1404" w:type="dxa"/>
            <w:tcBorders>
              <w:left w:val="single" w:sz="8" w:space="0" w:color="auto"/>
              <w:bottom w:val="single" w:sz="8" w:space="0" w:color="auto"/>
              <w:right w:val="single" w:sz="8" w:space="0" w:color="auto"/>
            </w:tcBorders>
            <w:shd w:val="clear" w:color="auto" w:fill="auto"/>
            <w:vAlign w:val="bottom"/>
          </w:tcPr>
          <w:p w14:paraId="37A32AF5" w14:textId="77777777" w:rsidR="00A52778" w:rsidRPr="00460F9E" w:rsidRDefault="00A52778" w:rsidP="00FC3F8E">
            <w:pPr>
              <w:spacing w:line="0" w:lineRule="atLeast"/>
              <w:rPr>
                <w:rFonts w:eastAsia="Times New Roman" w:cs="Times New Roman"/>
                <w:b/>
              </w:rPr>
            </w:pPr>
          </w:p>
        </w:tc>
        <w:tc>
          <w:tcPr>
            <w:tcW w:w="2440" w:type="dxa"/>
            <w:gridSpan w:val="2"/>
            <w:vMerge/>
            <w:tcBorders>
              <w:bottom w:val="single" w:sz="8" w:space="0" w:color="auto"/>
              <w:right w:val="single" w:sz="8" w:space="0" w:color="auto"/>
            </w:tcBorders>
            <w:shd w:val="clear" w:color="auto" w:fill="auto"/>
            <w:vAlign w:val="bottom"/>
          </w:tcPr>
          <w:p w14:paraId="09B3DD09" w14:textId="77777777" w:rsidR="00A52778" w:rsidRPr="00460F9E" w:rsidRDefault="00A52778" w:rsidP="00FC3F8E">
            <w:pPr>
              <w:spacing w:line="0" w:lineRule="atLeast"/>
              <w:rPr>
                <w:rFonts w:eastAsia="Times New Roman" w:cs="Times New Roman"/>
                <w:b/>
              </w:rPr>
            </w:pPr>
          </w:p>
        </w:tc>
        <w:tc>
          <w:tcPr>
            <w:tcW w:w="380" w:type="dxa"/>
            <w:tcBorders>
              <w:left w:val="single" w:sz="8" w:space="0" w:color="auto"/>
              <w:bottom w:val="single" w:sz="8" w:space="0" w:color="auto"/>
            </w:tcBorders>
            <w:shd w:val="clear" w:color="auto" w:fill="auto"/>
            <w:vAlign w:val="bottom"/>
          </w:tcPr>
          <w:p w14:paraId="5433688D" w14:textId="77777777" w:rsidR="00A52778" w:rsidRPr="00460F9E" w:rsidRDefault="00A52778" w:rsidP="00FC3F8E">
            <w:pPr>
              <w:spacing w:line="0" w:lineRule="atLeast"/>
              <w:rPr>
                <w:rFonts w:eastAsia="Times New Roman" w:cs="Times New Roman"/>
                <w:b/>
              </w:rPr>
            </w:pPr>
          </w:p>
        </w:tc>
        <w:tc>
          <w:tcPr>
            <w:tcW w:w="600" w:type="dxa"/>
            <w:tcBorders>
              <w:bottom w:val="single" w:sz="8" w:space="0" w:color="auto"/>
            </w:tcBorders>
            <w:shd w:val="clear" w:color="auto" w:fill="auto"/>
            <w:vAlign w:val="bottom"/>
          </w:tcPr>
          <w:p w14:paraId="533ED199" w14:textId="77777777" w:rsidR="00A52778" w:rsidRPr="00460F9E" w:rsidRDefault="00A52778" w:rsidP="00FC3F8E">
            <w:pPr>
              <w:spacing w:line="0" w:lineRule="atLeast"/>
              <w:rPr>
                <w:rFonts w:eastAsia="Times New Roman" w:cs="Times New Roman"/>
                <w:b/>
              </w:rPr>
            </w:pPr>
          </w:p>
        </w:tc>
        <w:tc>
          <w:tcPr>
            <w:tcW w:w="740" w:type="dxa"/>
            <w:tcBorders>
              <w:bottom w:val="single" w:sz="8" w:space="0" w:color="auto"/>
            </w:tcBorders>
            <w:shd w:val="clear" w:color="auto" w:fill="auto"/>
            <w:vAlign w:val="bottom"/>
          </w:tcPr>
          <w:p w14:paraId="2BFBB566" w14:textId="77777777" w:rsidR="00A52778" w:rsidRPr="00460F9E" w:rsidRDefault="00A52778" w:rsidP="00FC3F8E">
            <w:pPr>
              <w:spacing w:line="0" w:lineRule="atLeast"/>
              <w:rPr>
                <w:rFonts w:eastAsia="Times New Roman" w:cs="Times New Roman"/>
                <w:b/>
              </w:rPr>
            </w:pPr>
          </w:p>
        </w:tc>
        <w:tc>
          <w:tcPr>
            <w:tcW w:w="380" w:type="dxa"/>
            <w:tcBorders>
              <w:bottom w:val="single" w:sz="8" w:space="0" w:color="auto"/>
              <w:right w:val="single" w:sz="8" w:space="0" w:color="auto"/>
            </w:tcBorders>
            <w:shd w:val="clear" w:color="auto" w:fill="auto"/>
            <w:vAlign w:val="bottom"/>
          </w:tcPr>
          <w:p w14:paraId="726AC339" w14:textId="77777777" w:rsidR="00A52778" w:rsidRPr="00460F9E" w:rsidRDefault="00A52778" w:rsidP="00FC3F8E">
            <w:pPr>
              <w:spacing w:line="0" w:lineRule="atLeast"/>
              <w:rPr>
                <w:rFonts w:eastAsia="Times New Roman" w:cs="Times New Roman"/>
                <w:b/>
              </w:rPr>
            </w:pPr>
          </w:p>
        </w:tc>
        <w:tc>
          <w:tcPr>
            <w:tcW w:w="1520" w:type="dxa"/>
            <w:tcBorders>
              <w:bottom w:val="single" w:sz="8" w:space="0" w:color="auto"/>
              <w:right w:val="single" w:sz="8" w:space="0" w:color="auto"/>
            </w:tcBorders>
            <w:shd w:val="clear" w:color="auto" w:fill="auto"/>
            <w:vAlign w:val="bottom"/>
          </w:tcPr>
          <w:p w14:paraId="04D05241" w14:textId="77777777" w:rsidR="00A52778" w:rsidRPr="00460F9E" w:rsidRDefault="00A52778" w:rsidP="00FC3F8E">
            <w:pPr>
              <w:spacing w:line="0" w:lineRule="atLeast"/>
              <w:rPr>
                <w:rFonts w:eastAsia="Times New Roman" w:cs="Times New Roman"/>
                <w:b/>
              </w:rPr>
            </w:pPr>
          </w:p>
        </w:tc>
        <w:tc>
          <w:tcPr>
            <w:tcW w:w="2320" w:type="dxa"/>
            <w:gridSpan w:val="3"/>
            <w:vMerge/>
            <w:tcBorders>
              <w:bottom w:val="single" w:sz="8" w:space="0" w:color="auto"/>
              <w:right w:val="single" w:sz="8" w:space="0" w:color="auto"/>
            </w:tcBorders>
            <w:shd w:val="clear" w:color="auto" w:fill="auto"/>
            <w:vAlign w:val="bottom"/>
          </w:tcPr>
          <w:p w14:paraId="46F0347F" w14:textId="77777777" w:rsidR="00A52778" w:rsidRPr="00460F9E" w:rsidRDefault="00A52778" w:rsidP="00FC3F8E">
            <w:pPr>
              <w:spacing w:line="0" w:lineRule="atLeast"/>
              <w:ind w:left="100"/>
              <w:rPr>
                <w:rFonts w:eastAsia="Times New Roman" w:cs="Times New Roman"/>
                <w:b/>
              </w:rPr>
            </w:pPr>
          </w:p>
        </w:tc>
      </w:tr>
    </w:tbl>
    <w:p w14:paraId="0507868F" w14:textId="77777777" w:rsidR="00A52778" w:rsidRPr="00460F9E" w:rsidRDefault="00A52778" w:rsidP="00A52778">
      <w:pPr>
        <w:spacing w:line="316" w:lineRule="exact"/>
        <w:rPr>
          <w:rFonts w:eastAsia="Times New Roman" w:cs="Times New Roman"/>
          <w:b/>
        </w:rPr>
      </w:pPr>
    </w:p>
    <w:p w14:paraId="0CC1C936" w14:textId="77777777" w:rsidR="00A52778" w:rsidRDefault="00A52778" w:rsidP="00A52778">
      <w:pPr>
        <w:tabs>
          <w:tab w:val="left" w:pos="1940"/>
        </w:tabs>
        <w:spacing w:line="235" w:lineRule="auto"/>
        <w:ind w:left="828" w:right="100"/>
        <w:rPr>
          <w:rFonts w:eastAsia="Times New Roman" w:cs="Times New Roman"/>
        </w:rPr>
      </w:pPr>
      <w:bookmarkStart w:id="325" w:name="_Hlk128755833"/>
      <w:r w:rsidRPr="00357659">
        <w:rPr>
          <w:rFonts w:eastAsia="Times New Roman" w:cs="Times New Roman"/>
        </w:rPr>
        <w:t>NO</w:t>
      </w:r>
      <w:r w:rsidRPr="00357659">
        <w:rPr>
          <w:rFonts w:eastAsia="Times New Roman" w:cs="Times New Roman"/>
          <w:vertAlign w:val="subscript"/>
        </w:rPr>
        <w:t>X</w:t>
      </w:r>
      <w:r w:rsidRPr="00357659">
        <w:rPr>
          <w:rFonts w:eastAsia="Times New Roman" w:cs="Times New Roman"/>
        </w:rPr>
        <w:t>' in havaya kanalize edilen emisyonları için MET-ilişkili emisyon seviyeleri (MET-AEL' ler) ve ısıl işlemden kaynaklanan CO' nun havaya kanalize edilen emisyonları için endikatif emisyon seviyesi</w:t>
      </w:r>
      <w:bookmarkEnd w:id="325"/>
    </w:p>
    <w:tbl>
      <w:tblPr>
        <w:tblStyle w:val="TabloKlavuzu"/>
        <w:tblW w:w="8740" w:type="dxa"/>
        <w:tblInd w:w="762" w:type="dxa"/>
        <w:tblLook w:val="04A0" w:firstRow="1" w:lastRow="0" w:firstColumn="1" w:lastColumn="0" w:noHBand="0" w:noVBand="1"/>
      </w:tblPr>
      <w:tblGrid>
        <w:gridCol w:w="4370"/>
        <w:gridCol w:w="4370"/>
      </w:tblGrid>
      <w:tr w:rsidR="00A52778" w14:paraId="3AFDB990" w14:textId="77777777" w:rsidTr="00FC3F8E">
        <w:trPr>
          <w:trHeight w:val="809"/>
        </w:trPr>
        <w:tc>
          <w:tcPr>
            <w:tcW w:w="4370" w:type="dxa"/>
            <w:vAlign w:val="center"/>
          </w:tcPr>
          <w:p w14:paraId="0150C502" w14:textId="77777777" w:rsidR="00A52778" w:rsidRPr="00357659" w:rsidRDefault="00A52778" w:rsidP="00FC3F8E">
            <w:pPr>
              <w:spacing w:line="0" w:lineRule="atLeast"/>
              <w:jc w:val="center"/>
              <w:rPr>
                <w:rFonts w:eastAsia="Times New Roman" w:cs="Times New Roman"/>
              </w:rPr>
            </w:pPr>
            <w:r w:rsidRPr="00357659">
              <w:rPr>
                <w:rFonts w:eastAsia="Times New Roman" w:cs="Times New Roman"/>
              </w:rPr>
              <w:t>Maddeler/Parametreler</w:t>
            </w:r>
          </w:p>
        </w:tc>
        <w:tc>
          <w:tcPr>
            <w:tcW w:w="4370" w:type="dxa"/>
            <w:vAlign w:val="bottom"/>
          </w:tcPr>
          <w:p w14:paraId="12A28D89" w14:textId="77777777" w:rsidR="00A52778" w:rsidRDefault="00A52778" w:rsidP="00FC3F8E">
            <w:pPr>
              <w:spacing w:line="0" w:lineRule="atLeast"/>
              <w:jc w:val="center"/>
              <w:rPr>
                <w:rFonts w:eastAsia="Times New Roman" w:cs="Times New Roman"/>
                <w:w w:val="99"/>
              </w:rPr>
            </w:pPr>
            <w:r w:rsidRPr="00357659">
              <w:rPr>
                <w:rFonts w:eastAsia="Times New Roman" w:cs="Times New Roman"/>
                <w:w w:val="99"/>
              </w:rPr>
              <w:t>MET-AEL (mg/Nm</w:t>
            </w:r>
            <w:r w:rsidRPr="00357659">
              <w:rPr>
                <w:rFonts w:eastAsia="Times New Roman" w:cs="Times New Roman"/>
                <w:w w:val="99"/>
                <w:sz w:val="25"/>
                <w:vertAlign w:val="superscript"/>
              </w:rPr>
              <w:t>3</w:t>
            </w:r>
            <w:r w:rsidRPr="00357659">
              <w:rPr>
                <w:rFonts w:eastAsia="Times New Roman" w:cs="Times New Roman"/>
                <w:w w:val="99"/>
              </w:rPr>
              <w:t xml:space="preserve">) </w:t>
            </w:r>
          </w:p>
          <w:p w14:paraId="011C6FE8" w14:textId="77777777" w:rsidR="00A52778" w:rsidRPr="00357659" w:rsidRDefault="00A52778" w:rsidP="00FC3F8E">
            <w:pPr>
              <w:spacing w:line="0" w:lineRule="atLeast"/>
              <w:jc w:val="center"/>
              <w:rPr>
                <w:rFonts w:eastAsia="Times New Roman" w:cs="Times New Roman"/>
                <w:w w:val="99"/>
              </w:rPr>
            </w:pPr>
            <w:r w:rsidRPr="00357659">
              <w:rPr>
                <w:rFonts w:eastAsia="Times New Roman" w:cs="Times New Roman"/>
                <w:w w:val="99"/>
              </w:rPr>
              <w:t>(Günlük ortalama veya örnekleme dönemi boyunca ortalama</w:t>
            </w:r>
          </w:p>
        </w:tc>
      </w:tr>
      <w:tr w:rsidR="00A52778" w14:paraId="7D62501C" w14:textId="77777777" w:rsidTr="00FC3F8E">
        <w:trPr>
          <w:trHeight w:val="518"/>
        </w:trPr>
        <w:tc>
          <w:tcPr>
            <w:tcW w:w="4370" w:type="dxa"/>
            <w:vAlign w:val="bottom"/>
          </w:tcPr>
          <w:p w14:paraId="32C493D5" w14:textId="77777777" w:rsidR="00A52778" w:rsidRPr="00460F9E" w:rsidRDefault="00A52778" w:rsidP="00FC3F8E">
            <w:pPr>
              <w:spacing w:line="0" w:lineRule="atLeast"/>
              <w:rPr>
                <w:rFonts w:eastAsia="Times New Roman" w:cs="Times New Roman"/>
                <w:b/>
                <w:w w:val="99"/>
              </w:rPr>
            </w:pPr>
            <w:r w:rsidRPr="00460F9E">
              <w:rPr>
                <w:rFonts w:eastAsia="Times New Roman" w:cs="Times New Roman"/>
                <w:w w:val="99"/>
              </w:rPr>
              <w:t xml:space="preserve">Katalitik oksidasyondan </w:t>
            </w:r>
          </w:p>
          <w:p w14:paraId="3A6816CA" w14:textId="77777777" w:rsidR="00A52778" w:rsidRPr="00357659" w:rsidRDefault="00A52778" w:rsidP="00FC3F8E">
            <w:pPr>
              <w:spacing w:line="0" w:lineRule="atLeast"/>
              <w:rPr>
                <w:rFonts w:eastAsia="Times New Roman" w:cs="Times New Roman"/>
                <w:sz w:val="9"/>
              </w:rPr>
            </w:pPr>
            <w:r w:rsidRPr="00460F9E">
              <w:rPr>
                <w:rFonts w:eastAsia="Times New Roman" w:cs="Times New Roman"/>
                <w:w w:val="99"/>
              </w:rPr>
              <w:t xml:space="preserve">   kaynaklanan azot oksitler </w:t>
            </w:r>
            <w:r w:rsidRPr="00460F9E">
              <w:rPr>
                <w:rFonts w:eastAsia="Times New Roman" w:cs="Times New Roman"/>
              </w:rPr>
              <w:t>(NO</w:t>
            </w:r>
            <w:r w:rsidRPr="00460F9E">
              <w:rPr>
                <w:rFonts w:eastAsia="Times New Roman" w:cs="Times New Roman"/>
                <w:sz w:val="12"/>
              </w:rPr>
              <w:t>X</w:t>
            </w:r>
            <w:r w:rsidRPr="00460F9E">
              <w:rPr>
                <w:rFonts w:eastAsia="Times New Roman" w:cs="Times New Roman"/>
              </w:rPr>
              <w:t>)</w:t>
            </w:r>
          </w:p>
        </w:tc>
        <w:tc>
          <w:tcPr>
            <w:tcW w:w="4370" w:type="dxa"/>
            <w:vAlign w:val="center"/>
          </w:tcPr>
          <w:p w14:paraId="463F1701" w14:textId="77777777" w:rsidR="00A52778" w:rsidRPr="00460F9E" w:rsidRDefault="00A52778" w:rsidP="00FC3F8E">
            <w:pPr>
              <w:spacing w:line="0" w:lineRule="atLeast"/>
              <w:jc w:val="center"/>
              <w:rPr>
                <w:rFonts w:eastAsia="Times New Roman" w:cs="Times New Roman"/>
                <w:b/>
                <w:w w:val="99"/>
                <w:sz w:val="20"/>
              </w:rPr>
            </w:pPr>
            <w:r w:rsidRPr="00460F9E">
              <w:rPr>
                <w:rFonts w:eastAsia="Times New Roman" w:cs="Times New Roman"/>
                <w:w w:val="99"/>
              </w:rPr>
              <w:t>5-30 (</w:t>
            </w:r>
            <w:r w:rsidRPr="00460F9E">
              <w:rPr>
                <w:rFonts w:eastAsia="Times New Roman" w:cs="Times New Roman"/>
                <w:w w:val="99"/>
                <w:sz w:val="20"/>
              </w:rPr>
              <w:t>1</w:t>
            </w:r>
            <w:r w:rsidRPr="00460F9E">
              <w:rPr>
                <w:rFonts w:eastAsia="Times New Roman" w:cs="Times New Roman"/>
                <w:w w:val="99"/>
              </w:rPr>
              <w:t>)</w:t>
            </w:r>
          </w:p>
        </w:tc>
      </w:tr>
      <w:tr w:rsidR="00A52778" w14:paraId="78630151" w14:textId="77777777" w:rsidTr="00FC3F8E">
        <w:trPr>
          <w:trHeight w:val="534"/>
        </w:trPr>
        <w:tc>
          <w:tcPr>
            <w:tcW w:w="4370" w:type="dxa"/>
          </w:tcPr>
          <w:p w14:paraId="3FA83EB4" w14:textId="77777777" w:rsidR="00A52778" w:rsidRPr="00460F9E" w:rsidRDefault="00A52778" w:rsidP="00FC3F8E">
            <w:pPr>
              <w:spacing w:line="0" w:lineRule="atLeast"/>
              <w:rPr>
                <w:rFonts w:eastAsia="Times New Roman" w:cs="Times New Roman"/>
                <w:b/>
                <w:w w:val="99"/>
              </w:rPr>
            </w:pPr>
            <w:r w:rsidRPr="00460F9E">
              <w:rPr>
                <w:rFonts w:eastAsia="Times New Roman" w:cs="Times New Roman"/>
                <w:w w:val="99"/>
              </w:rPr>
              <w:t xml:space="preserve">Termal oksidasyondan </w:t>
            </w:r>
          </w:p>
          <w:p w14:paraId="347A5509" w14:textId="77777777" w:rsidR="00A52778" w:rsidRDefault="00A52778" w:rsidP="00FC3F8E">
            <w:pPr>
              <w:tabs>
                <w:tab w:val="left" w:pos="1940"/>
              </w:tabs>
              <w:spacing w:line="235" w:lineRule="auto"/>
              <w:ind w:right="100"/>
              <w:rPr>
                <w:rFonts w:eastAsia="Times New Roman" w:cs="Times New Roman"/>
              </w:rPr>
            </w:pPr>
            <w:r w:rsidRPr="00460F9E">
              <w:rPr>
                <w:rFonts w:eastAsia="Times New Roman" w:cs="Times New Roman"/>
                <w:w w:val="99"/>
              </w:rPr>
              <w:t xml:space="preserve">   kaynaklanan azot oksitler</w:t>
            </w:r>
            <w:r w:rsidRPr="00460F9E">
              <w:rPr>
                <w:rFonts w:eastAsia="Times New Roman" w:cs="Times New Roman"/>
              </w:rPr>
              <w:t xml:space="preserve"> </w:t>
            </w:r>
            <w:r>
              <w:rPr>
                <w:rFonts w:eastAsia="Times New Roman" w:cs="Times New Roman"/>
              </w:rPr>
              <w:t>(</w:t>
            </w:r>
            <w:r w:rsidRPr="00460F9E">
              <w:rPr>
                <w:rFonts w:eastAsia="Times New Roman" w:cs="Times New Roman"/>
              </w:rPr>
              <w:t>NO</w:t>
            </w:r>
            <w:r w:rsidRPr="00460F9E">
              <w:rPr>
                <w:rFonts w:eastAsia="Times New Roman" w:cs="Times New Roman"/>
                <w:sz w:val="12"/>
              </w:rPr>
              <w:t>X</w:t>
            </w:r>
            <w:r w:rsidRPr="00460F9E">
              <w:rPr>
                <w:rFonts w:eastAsia="Times New Roman" w:cs="Times New Roman"/>
              </w:rPr>
              <w:t>)</w:t>
            </w:r>
          </w:p>
        </w:tc>
        <w:tc>
          <w:tcPr>
            <w:tcW w:w="4370" w:type="dxa"/>
            <w:vAlign w:val="center"/>
          </w:tcPr>
          <w:p w14:paraId="541D0559"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5-130 (</w:t>
            </w:r>
            <w:r w:rsidRPr="00460F9E">
              <w:rPr>
                <w:rFonts w:eastAsia="Times New Roman" w:cs="Times New Roman"/>
                <w:w w:val="99"/>
                <w:sz w:val="20"/>
              </w:rPr>
              <w:t>2</w:t>
            </w:r>
            <w:r w:rsidRPr="00460F9E">
              <w:rPr>
                <w:rFonts w:eastAsia="Times New Roman" w:cs="Times New Roman"/>
                <w:w w:val="99"/>
              </w:rPr>
              <w:t>)</w:t>
            </w:r>
          </w:p>
        </w:tc>
      </w:tr>
      <w:tr w:rsidR="00A52778" w14:paraId="16E341DE" w14:textId="77777777" w:rsidTr="00FC3F8E">
        <w:trPr>
          <w:trHeight w:val="242"/>
        </w:trPr>
        <w:tc>
          <w:tcPr>
            <w:tcW w:w="4370" w:type="dxa"/>
          </w:tcPr>
          <w:p w14:paraId="09368667" w14:textId="77777777" w:rsidR="00A52778" w:rsidRDefault="00A52778" w:rsidP="00FC3F8E">
            <w:pPr>
              <w:tabs>
                <w:tab w:val="left" w:pos="1940"/>
              </w:tabs>
              <w:spacing w:line="235" w:lineRule="auto"/>
              <w:ind w:right="100"/>
              <w:rPr>
                <w:rFonts w:eastAsia="Times New Roman" w:cs="Times New Roman"/>
              </w:rPr>
            </w:pPr>
            <w:r w:rsidRPr="00460F9E">
              <w:rPr>
                <w:rFonts w:eastAsia="Times New Roman" w:cs="Times New Roman"/>
              </w:rPr>
              <w:t>Karbon monoksit (CO)</w:t>
            </w:r>
          </w:p>
        </w:tc>
        <w:tc>
          <w:tcPr>
            <w:tcW w:w="4370" w:type="dxa"/>
          </w:tcPr>
          <w:p w14:paraId="0BCEC835" w14:textId="77777777" w:rsidR="00A52778" w:rsidRDefault="00A52778" w:rsidP="00FC3F8E">
            <w:pPr>
              <w:tabs>
                <w:tab w:val="left" w:pos="1940"/>
              </w:tabs>
              <w:spacing w:line="235" w:lineRule="auto"/>
              <w:ind w:right="100"/>
              <w:rPr>
                <w:rFonts w:eastAsia="Times New Roman" w:cs="Times New Roman"/>
              </w:rPr>
            </w:pPr>
            <w:r w:rsidRPr="00460F9E">
              <w:rPr>
                <w:rFonts w:eastAsia="Times New Roman" w:cs="Times New Roman"/>
                <w:w w:val="99"/>
              </w:rPr>
              <w:t>MET-AEL (</w:t>
            </w:r>
            <w:r w:rsidRPr="00460F9E">
              <w:rPr>
                <w:rFonts w:eastAsia="Times New Roman" w:cs="Times New Roman"/>
                <w:w w:val="99"/>
                <w:sz w:val="20"/>
              </w:rPr>
              <w:t>3</w:t>
            </w:r>
            <w:r w:rsidRPr="00460F9E">
              <w:rPr>
                <w:rFonts w:eastAsia="Times New Roman" w:cs="Times New Roman"/>
                <w:w w:val="99"/>
              </w:rPr>
              <w:t>) bulunmamaktadır</w:t>
            </w:r>
          </w:p>
        </w:tc>
      </w:tr>
      <w:tr w:rsidR="00A52778" w:rsidRPr="00357659" w14:paraId="40C3ABBA" w14:textId="77777777" w:rsidTr="00FC3F8E">
        <w:trPr>
          <w:trHeight w:val="803"/>
        </w:trPr>
        <w:tc>
          <w:tcPr>
            <w:tcW w:w="8740" w:type="dxa"/>
            <w:gridSpan w:val="2"/>
          </w:tcPr>
          <w:p w14:paraId="2762A65C" w14:textId="77777777" w:rsidR="00A52778" w:rsidRPr="00357659" w:rsidRDefault="00A52778" w:rsidP="00FC3F8E">
            <w:pPr>
              <w:tabs>
                <w:tab w:val="left" w:pos="1940"/>
              </w:tabs>
              <w:spacing w:line="235" w:lineRule="auto"/>
              <w:ind w:right="100"/>
              <w:rPr>
                <w:rFonts w:eastAsia="Times New Roman" w:cs="Times New Roman"/>
                <w:b/>
                <w:sz w:val="20"/>
              </w:rPr>
            </w:pPr>
            <w:r w:rsidRPr="00357659">
              <w:rPr>
                <w:rFonts w:eastAsia="Times New Roman" w:cs="Times New Roman"/>
                <w:sz w:val="20"/>
              </w:rPr>
              <w:t>(1) Proses çıkış gaz(lar)ı yüksek seviyelerde NOX öncülleri içeriyorsa MET-AEL aralığının üst ucu daha yüksek olabilir ve 80 mg/Nm3 ' e kadar çıkabilir.</w:t>
            </w:r>
          </w:p>
          <w:p w14:paraId="0E94E08E" w14:textId="77777777" w:rsidR="00A52778" w:rsidRPr="00357659" w:rsidRDefault="00A52778" w:rsidP="00FC3F8E">
            <w:pPr>
              <w:tabs>
                <w:tab w:val="left" w:pos="1940"/>
              </w:tabs>
              <w:spacing w:line="235" w:lineRule="auto"/>
              <w:ind w:right="100"/>
              <w:rPr>
                <w:rFonts w:eastAsia="Times New Roman" w:cs="Times New Roman"/>
                <w:b/>
                <w:sz w:val="20"/>
              </w:rPr>
            </w:pPr>
          </w:p>
          <w:p w14:paraId="007765DB" w14:textId="77777777" w:rsidR="00A52778" w:rsidRPr="00357659" w:rsidRDefault="00A52778" w:rsidP="00FC3F8E">
            <w:pPr>
              <w:tabs>
                <w:tab w:val="left" w:pos="1940"/>
              </w:tabs>
              <w:spacing w:line="235" w:lineRule="auto"/>
              <w:ind w:right="100"/>
              <w:rPr>
                <w:rFonts w:eastAsia="Times New Roman" w:cs="Times New Roman"/>
                <w:b/>
                <w:sz w:val="20"/>
              </w:rPr>
            </w:pPr>
            <w:r w:rsidRPr="00357659">
              <w:rPr>
                <w:rFonts w:eastAsia="Times New Roman" w:cs="Times New Roman"/>
                <w:sz w:val="20"/>
              </w:rPr>
              <w:t>(2) Proses çıkış gaz(lar)ı yüksek seviyelerde NOX öncülleri içeriyorsa MET-AEL aralığının üst ucu daha yüksek olabilir ve 200 mg/Nm3 ' e kadar çıkabilir.</w:t>
            </w:r>
          </w:p>
          <w:p w14:paraId="7F8B33DC" w14:textId="77777777" w:rsidR="00A52778" w:rsidRPr="00357659" w:rsidRDefault="00A52778" w:rsidP="00FC3F8E">
            <w:pPr>
              <w:tabs>
                <w:tab w:val="left" w:pos="1940"/>
              </w:tabs>
              <w:spacing w:line="235" w:lineRule="auto"/>
              <w:ind w:right="100"/>
              <w:rPr>
                <w:rFonts w:eastAsia="Times New Roman" w:cs="Times New Roman"/>
                <w:b/>
                <w:sz w:val="20"/>
              </w:rPr>
            </w:pPr>
          </w:p>
          <w:p w14:paraId="1A516CB2" w14:textId="77777777" w:rsidR="00A52778" w:rsidRPr="00357659" w:rsidRDefault="00A52778" w:rsidP="00FC3F8E">
            <w:pPr>
              <w:tabs>
                <w:tab w:val="left" w:pos="1940"/>
              </w:tabs>
              <w:spacing w:line="235" w:lineRule="auto"/>
              <w:ind w:right="100"/>
              <w:rPr>
                <w:rFonts w:eastAsia="Times New Roman" w:cs="Times New Roman"/>
                <w:b/>
                <w:sz w:val="20"/>
              </w:rPr>
            </w:pPr>
            <w:r w:rsidRPr="00357659">
              <w:rPr>
                <w:rFonts w:eastAsia="Times New Roman" w:cs="Times New Roman"/>
                <w:sz w:val="20"/>
              </w:rPr>
              <w:t>(3) Endikatif olarak, karbon monoksit için emisyon seviyeleri, günlük ortalama veya örnekleme dönemi boyunca ortalama 4-50 mg/Nm3 ' tür.</w:t>
            </w:r>
          </w:p>
        </w:tc>
      </w:tr>
    </w:tbl>
    <w:p w14:paraId="2D9FC7DA" w14:textId="77777777" w:rsidR="00A52778" w:rsidRPr="00357659" w:rsidRDefault="00A52778" w:rsidP="00A52778">
      <w:pPr>
        <w:tabs>
          <w:tab w:val="left" w:pos="1940"/>
        </w:tabs>
        <w:spacing w:line="235" w:lineRule="auto"/>
        <w:ind w:left="1960" w:right="100" w:hanging="1132"/>
        <w:rPr>
          <w:rFonts w:eastAsia="Times New Roman" w:cs="Times New Roman"/>
          <w:b/>
          <w:sz w:val="20"/>
        </w:rPr>
      </w:pPr>
    </w:p>
    <w:p w14:paraId="65C2C265" w14:textId="77777777" w:rsidR="00A52778" w:rsidRPr="00460F9E" w:rsidRDefault="00A52778" w:rsidP="00A52778">
      <w:pPr>
        <w:spacing w:line="230" w:lineRule="exact"/>
        <w:rPr>
          <w:rFonts w:eastAsia="Times New Roman" w:cs="Times New Roman"/>
          <w:b/>
        </w:rPr>
      </w:pPr>
    </w:p>
    <w:p w14:paraId="7BA8927A" w14:textId="77777777" w:rsidR="00A52778" w:rsidRPr="00460F9E" w:rsidRDefault="00A52778" w:rsidP="00A52778">
      <w:pPr>
        <w:spacing w:line="0" w:lineRule="atLeast"/>
        <w:ind w:left="820"/>
        <w:rPr>
          <w:rFonts w:eastAsia="Times New Roman" w:cs="Times New Roman"/>
          <w:b/>
        </w:rPr>
      </w:pPr>
      <w:r w:rsidRPr="00460F9E">
        <w:rPr>
          <w:rFonts w:eastAsia="Times New Roman" w:cs="Times New Roman"/>
        </w:rPr>
        <w:t>İlişkili izleme MET 8' de verilmişt</w:t>
      </w:r>
      <w:r w:rsidRPr="00460F9E">
        <w:rPr>
          <w:rFonts w:cs="Times New Roman"/>
          <w:b/>
          <w:noProof/>
          <w:lang w:val="tr-TR" w:eastAsia="tr-TR"/>
        </w:rPr>
        <mc:AlternateContent>
          <mc:Choice Requires="wps">
            <w:drawing>
              <wp:anchor distT="0" distB="0" distL="114299" distR="114299" simplePos="0" relativeHeight="251680768" behindDoc="0" locked="0" layoutInCell="1" allowOverlap="1" wp14:anchorId="6B73527F" wp14:editId="4230B677">
                <wp:simplePos x="0" y="0"/>
                <wp:positionH relativeFrom="column">
                  <wp:posOffset>10861039</wp:posOffset>
                </wp:positionH>
                <wp:positionV relativeFrom="paragraph">
                  <wp:posOffset>2218690</wp:posOffset>
                </wp:positionV>
                <wp:extent cx="0" cy="1347470"/>
                <wp:effectExtent l="0" t="0" r="19050" b="24130"/>
                <wp:wrapNone/>
                <wp:docPr id="46" name="Düz Bağlayıcı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4747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18C8F8" id="Düz Bağlayıcı 46"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55.2pt,174.7pt" to="855.2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" strokecolor="windowText" strokeweight=".5pt">
                <v:stroke joinstyle="miter"/>
                <o:lock v:ext="edit" shapetype="f"/>
              </v:line>
            </w:pict>
          </mc:Fallback>
        </mc:AlternateContent>
      </w:r>
      <w:r w:rsidRPr="00460F9E">
        <w:rPr>
          <w:rFonts w:eastAsia="Times New Roman" w:cs="Times New Roman"/>
        </w:rPr>
        <w:t>ir.</w:t>
      </w:r>
    </w:p>
    <w:p w14:paraId="0D0840D8" w14:textId="77777777" w:rsidR="00A52778" w:rsidRPr="00460F9E" w:rsidRDefault="00A52778" w:rsidP="00A52778">
      <w:pPr>
        <w:spacing w:line="257" w:lineRule="exact"/>
        <w:rPr>
          <w:rFonts w:eastAsia="Times New Roman" w:cs="Times New Roman"/>
          <w:b/>
        </w:rPr>
      </w:pPr>
    </w:p>
    <w:p w14:paraId="10AC4EF3" w14:textId="77777777" w:rsidR="00A52778" w:rsidRPr="00460F9E" w:rsidRDefault="00A52778" w:rsidP="00A52778">
      <w:pPr>
        <w:spacing w:line="0" w:lineRule="atLeast"/>
        <w:ind w:left="820"/>
        <w:rPr>
          <w:rFonts w:eastAsia="Times New Roman" w:cs="Times New Roman"/>
          <w:b/>
        </w:rPr>
      </w:pPr>
      <w:r w:rsidRPr="00460F9E">
        <w:rPr>
          <w:rFonts w:eastAsia="Times New Roman" w:cs="Times New Roman"/>
        </w:rPr>
        <w:t>SO</w:t>
      </w:r>
      <w:r w:rsidRPr="00460F9E">
        <w:rPr>
          <w:rFonts w:eastAsia="Times New Roman" w:cs="Times New Roman"/>
          <w:vertAlign w:val="subscript"/>
        </w:rPr>
        <w:t xml:space="preserve">2 </w:t>
      </w:r>
      <w:r w:rsidRPr="00460F9E">
        <w:rPr>
          <w:rFonts w:eastAsia="Times New Roman" w:cs="Times New Roman"/>
        </w:rPr>
        <w:t xml:space="preserve">' nin havaya kanalize edilen emisyonları için MET-AEL Tablo 4.6' da verilmiştir. </w:t>
      </w:r>
    </w:p>
    <w:p w14:paraId="3D5D87C2" w14:textId="77777777" w:rsidR="00A52778" w:rsidRPr="00460F9E" w:rsidRDefault="00A52778" w:rsidP="00A52778">
      <w:pPr>
        <w:spacing w:line="20" w:lineRule="exact"/>
        <w:rPr>
          <w:rFonts w:eastAsia="Times New Roman" w:cs="Times New Roman"/>
          <w:b/>
        </w:rPr>
      </w:pPr>
    </w:p>
    <w:p w14:paraId="482E0241" w14:textId="77777777" w:rsidR="00A52778" w:rsidRPr="00460F9E" w:rsidRDefault="00A52778" w:rsidP="00A52778">
      <w:pPr>
        <w:spacing w:line="20" w:lineRule="exact"/>
        <w:rPr>
          <w:rFonts w:eastAsia="Times New Roman" w:cs="Times New Roman"/>
          <w:b/>
        </w:rPr>
        <w:sectPr w:rsidR="00A52778" w:rsidRPr="00460F9E">
          <w:pgSz w:w="11900" w:h="16838"/>
          <w:pgMar w:top="707" w:right="1026" w:bottom="145" w:left="1440" w:header="0" w:footer="0" w:gutter="0"/>
          <w:cols w:space="0" w:equalWidth="0">
            <w:col w:w="9440"/>
          </w:cols>
          <w:docGrid w:linePitch="360"/>
        </w:sectPr>
      </w:pPr>
    </w:p>
    <w:p w14:paraId="28195D38" w14:textId="77777777" w:rsidR="00A52778" w:rsidRPr="00460F9E" w:rsidRDefault="00A52778" w:rsidP="00A52778">
      <w:pPr>
        <w:spacing w:line="200" w:lineRule="exact"/>
        <w:rPr>
          <w:rFonts w:eastAsia="Times New Roman" w:cs="Times New Roman"/>
          <w:b/>
        </w:rPr>
      </w:pPr>
    </w:p>
    <w:p w14:paraId="7019EC81" w14:textId="77777777" w:rsidR="00A52778" w:rsidRPr="00460F9E" w:rsidRDefault="00A52778" w:rsidP="00A52778">
      <w:pPr>
        <w:spacing w:line="200" w:lineRule="exact"/>
        <w:rPr>
          <w:rFonts w:eastAsia="Times New Roman" w:cs="Times New Roman"/>
          <w:b/>
        </w:rPr>
      </w:pPr>
    </w:p>
    <w:p w14:paraId="2D9315CA" w14:textId="77777777" w:rsidR="00A52778" w:rsidRPr="00460F9E" w:rsidRDefault="00A52778" w:rsidP="00A52778">
      <w:pPr>
        <w:tabs>
          <w:tab w:val="left" w:pos="9020"/>
        </w:tabs>
        <w:spacing w:line="0" w:lineRule="atLeast"/>
        <w:ind w:left="820"/>
        <w:rPr>
          <w:rFonts w:eastAsia="Times New Roman" w:cs="Times New Roman"/>
          <w:b/>
          <w:color w:val="0000FF"/>
        </w:rPr>
        <w:sectPr w:rsidR="00A52778" w:rsidRPr="00460F9E">
          <w:type w:val="continuous"/>
          <w:pgSz w:w="11900" w:h="16838"/>
          <w:pgMar w:top="707" w:right="1026" w:bottom="145" w:left="1440" w:header="0" w:footer="0" w:gutter="0"/>
          <w:cols w:space="0" w:equalWidth="0">
            <w:col w:w="9440"/>
          </w:cols>
          <w:docGrid w:linePitch="360"/>
        </w:sectPr>
      </w:pPr>
    </w:p>
    <w:p w14:paraId="7EB7A2D9" w14:textId="77777777" w:rsidR="00A52778" w:rsidRPr="00460F9E" w:rsidRDefault="00A52778" w:rsidP="00A52778">
      <w:pPr>
        <w:spacing w:line="0" w:lineRule="atLeast"/>
        <w:ind w:left="40"/>
        <w:rPr>
          <w:rFonts w:eastAsia="Times New Roman" w:cs="Times New Roman"/>
          <w:b/>
          <w:color w:val="0000FF"/>
        </w:rPr>
      </w:pPr>
      <w:bookmarkStart w:id="326" w:name="page308"/>
      <w:bookmarkEnd w:id="326"/>
    </w:p>
    <w:p w14:paraId="65EF4F13" w14:textId="77777777" w:rsidR="00A52778" w:rsidRPr="00460F9E" w:rsidRDefault="00A52778" w:rsidP="00A52778">
      <w:pPr>
        <w:spacing w:line="20" w:lineRule="exact"/>
        <w:rPr>
          <w:rFonts w:eastAsia="Times New Roman" w:cs="Times New Roman"/>
          <w:b/>
        </w:rPr>
      </w:pPr>
      <w:r w:rsidRPr="00460F9E">
        <w:rPr>
          <w:rFonts w:eastAsia="Times New Roman" w:cs="Times New Roman"/>
          <w:b/>
          <w:noProof/>
          <w:color w:val="0000FF"/>
          <w:lang w:val="tr-TR" w:eastAsia="tr-TR"/>
        </w:rPr>
        <w:drawing>
          <wp:anchor distT="0" distB="0" distL="114300" distR="114300" simplePos="0" relativeHeight="251666432" behindDoc="1" locked="0" layoutInCell="1" allowOverlap="1" wp14:anchorId="61D4D576" wp14:editId="3D0DEEBA">
            <wp:simplePos x="0" y="0"/>
            <wp:positionH relativeFrom="column">
              <wp:posOffset>2540</wp:posOffset>
            </wp:positionH>
            <wp:positionV relativeFrom="paragraph">
              <wp:posOffset>14605</wp:posOffset>
            </wp:positionV>
            <wp:extent cx="5437505" cy="6350"/>
            <wp:effectExtent l="0" t="0" r="0" b="0"/>
            <wp:wrapNone/>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7505" cy="6350"/>
                    </a:xfrm>
                    <a:prstGeom prst="rect">
                      <a:avLst/>
                    </a:prstGeom>
                    <a:noFill/>
                  </pic:spPr>
                </pic:pic>
              </a:graphicData>
            </a:graphic>
            <wp14:sizeRelH relativeFrom="page">
              <wp14:pctWidth>0</wp14:pctWidth>
            </wp14:sizeRelH>
            <wp14:sizeRelV relativeFrom="page">
              <wp14:pctHeight>0</wp14:pctHeight>
            </wp14:sizeRelV>
          </wp:anchor>
        </w:drawing>
      </w:r>
    </w:p>
    <w:p w14:paraId="28B969A4" w14:textId="77777777" w:rsidR="00A52778" w:rsidRPr="0094304E" w:rsidRDefault="00A52778" w:rsidP="00A52778">
      <w:pPr>
        <w:spacing w:line="187" w:lineRule="exact"/>
        <w:rPr>
          <w:rFonts w:eastAsia="Times New Roman" w:cs="Times New Roman"/>
        </w:rPr>
      </w:pPr>
    </w:p>
    <w:p w14:paraId="6C1674F8" w14:textId="77777777" w:rsidR="00A52778" w:rsidRPr="0094304E" w:rsidRDefault="00A52778" w:rsidP="00A52778">
      <w:pPr>
        <w:spacing w:line="237" w:lineRule="auto"/>
        <w:ind w:left="40" w:right="826"/>
        <w:rPr>
          <w:rFonts w:eastAsia="Times New Roman" w:cs="Times New Roman"/>
        </w:rPr>
      </w:pPr>
      <w:r>
        <w:rPr>
          <w:rFonts w:eastAsia="Times New Roman" w:cs="Times New Roman"/>
        </w:rPr>
        <w:t xml:space="preserve">MET 17: </w:t>
      </w:r>
      <w:r w:rsidRPr="0094304E">
        <w:rPr>
          <w:rFonts w:eastAsia="Times New Roman" w:cs="Times New Roman"/>
        </w:rPr>
        <w:t>NO</w:t>
      </w:r>
      <w:r w:rsidRPr="0094304E">
        <w:rPr>
          <w:rFonts w:eastAsia="Times New Roman" w:cs="Times New Roman"/>
          <w:vertAlign w:val="subscript"/>
        </w:rPr>
        <w:t>X</w:t>
      </w:r>
      <w:r w:rsidRPr="0094304E">
        <w:rPr>
          <w:rFonts w:eastAsia="Times New Roman" w:cs="Times New Roman"/>
        </w:rPr>
        <w:t xml:space="preserve"> emisyonlarının (amonyak kayması) azaltılması için seçici katalitik indirgeme (SCR) veya seçici katalitik olmayan indirgeme (SNCR) kullanımından kaynaklanan amonyağın havaya kanalize edilen emisyonlarını azaltmak için MET, SCR veya SNCR' nin tasarımını ve/veya çalışmasını optimize etmektir (örneğin, optimize edilmiş reaktif / NO</w:t>
      </w:r>
      <w:r w:rsidRPr="0094304E">
        <w:rPr>
          <w:rFonts w:eastAsia="Times New Roman" w:cs="Times New Roman"/>
          <w:vertAlign w:val="subscript"/>
        </w:rPr>
        <w:t>X</w:t>
      </w:r>
      <w:r w:rsidRPr="0094304E">
        <w:rPr>
          <w:rFonts w:eastAsia="Times New Roman" w:cs="Times New Roman"/>
        </w:rPr>
        <w:t xml:space="preserve"> oranı, homojen reaktif dağılımı ve reaktif damlalarının optimum boyutu).</w:t>
      </w:r>
    </w:p>
    <w:p w14:paraId="3492375E" w14:textId="77777777" w:rsidR="00A52778" w:rsidRPr="00460F9E" w:rsidRDefault="00A52778" w:rsidP="00A52778">
      <w:pPr>
        <w:spacing w:line="200" w:lineRule="exact"/>
        <w:rPr>
          <w:rFonts w:eastAsia="Times New Roman" w:cs="Times New Roman"/>
          <w:b/>
        </w:rPr>
      </w:pPr>
    </w:p>
    <w:p w14:paraId="6862F2ED" w14:textId="77777777" w:rsidR="00A52778" w:rsidRDefault="00A52778" w:rsidP="00A52778">
      <w:pPr>
        <w:tabs>
          <w:tab w:val="left" w:pos="1140"/>
        </w:tabs>
        <w:spacing w:line="234" w:lineRule="auto"/>
        <w:ind w:left="1160" w:right="826" w:hanging="1132"/>
        <w:rPr>
          <w:rFonts w:eastAsia="Times New Roman" w:cs="Times New Roman"/>
        </w:rPr>
      </w:pPr>
      <w:r w:rsidRPr="0094304E">
        <w:rPr>
          <w:rFonts w:eastAsia="Times New Roman" w:cs="Times New Roman"/>
        </w:rPr>
        <w:t>SCR veya SNCR (amonyak kayması) kull</w:t>
      </w:r>
      <w:r>
        <w:rPr>
          <w:rFonts w:eastAsia="Times New Roman" w:cs="Times New Roman"/>
        </w:rPr>
        <w:t>anımından kaynaklanan amonyağın</w:t>
      </w:r>
    </w:p>
    <w:p w14:paraId="370E6FE0" w14:textId="77777777" w:rsidR="00A52778" w:rsidRPr="0094304E" w:rsidRDefault="00A52778" w:rsidP="00A52778">
      <w:pPr>
        <w:tabs>
          <w:tab w:val="left" w:pos="1140"/>
        </w:tabs>
        <w:spacing w:line="234" w:lineRule="auto"/>
        <w:ind w:left="1160" w:right="826" w:hanging="1132"/>
        <w:rPr>
          <w:rFonts w:eastAsia="Times New Roman" w:cs="Times New Roman"/>
        </w:rPr>
      </w:pPr>
      <w:r w:rsidRPr="0094304E">
        <w:rPr>
          <w:rFonts w:eastAsia="Times New Roman" w:cs="Times New Roman"/>
        </w:rPr>
        <w:t>havaya kanalize edilen emisyonları için MET-ilişkili emisyon seviyesi (MET-AEL)</w:t>
      </w:r>
    </w:p>
    <w:p w14:paraId="3FE6AEEE" w14:textId="77777777" w:rsidR="00A52778" w:rsidRPr="00460F9E" w:rsidRDefault="00A52778" w:rsidP="00A52778">
      <w:pPr>
        <w:spacing w:line="360" w:lineRule="exact"/>
        <w:rPr>
          <w:rFonts w:eastAsia="Times New Roman" w:cs="Times New Roman"/>
          <w:b/>
        </w:rPr>
      </w:pPr>
    </w:p>
    <w:tbl>
      <w:tblPr>
        <w:tblStyle w:val="TabloKlavuzu"/>
        <w:tblW w:w="8196" w:type="dxa"/>
        <w:tblInd w:w="-5" w:type="dxa"/>
        <w:tblLook w:val="04A0" w:firstRow="1" w:lastRow="0" w:firstColumn="1" w:lastColumn="0" w:noHBand="0" w:noVBand="1"/>
      </w:tblPr>
      <w:tblGrid>
        <w:gridCol w:w="4098"/>
        <w:gridCol w:w="4098"/>
      </w:tblGrid>
      <w:tr w:rsidR="00A52778" w14:paraId="64721B53" w14:textId="77777777" w:rsidTr="00FC3F8E">
        <w:tc>
          <w:tcPr>
            <w:tcW w:w="4098" w:type="dxa"/>
            <w:vAlign w:val="bottom"/>
          </w:tcPr>
          <w:p w14:paraId="0FD1B00A" w14:textId="77777777" w:rsidR="00A52778" w:rsidRPr="00460F9E" w:rsidRDefault="00A52778" w:rsidP="00FC3F8E">
            <w:pPr>
              <w:spacing w:line="0" w:lineRule="atLeast"/>
              <w:ind w:left="760"/>
              <w:rPr>
                <w:rFonts w:eastAsia="Times New Roman" w:cs="Times New Roman"/>
                <w:b/>
              </w:rPr>
            </w:pPr>
            <w:bookmarkStart w:id="327" w:name="_Hlk128768714"/>
            <w:r w:rsidRPr="00460F9E">
              <w:rPr>
                <w:rFonts w:eastAsia="Times New Roman" w:cs="Times New Roman"/>
              </w:rPr>
              <w:t>Maddeler/Parametreler</w:t>
            </w:r>
          </w:p>
        </w:tc>
        <w:tc>
          <w:tcPr>
            <w:tcW w:w="4098" w:type="dxa"/>
            <w:vAlign w:val="bottom"/>
          </w:tcPr>
          <w:p w14:paraId="7A5B1F5C" w14:textId="77777777" w:rsidR="00A52778" w:rsidRDefault="00A52778" w:rsidP="00FC3F8E">
            <w:pPr>
              <w:spacing w:line="0" w:lineRule="atLeast"/>
              <w:jc w:val="center"/>
              <w:rPr>
                <w:rFonts w:eastAsia="Times New Roman" w:cs="Times New Roman"/>
                <w:b/>
                <w:w w:val="99"/>
              </w:rPr>
            </w:pPr>
            <w:r w:rsidRPr="00460F9E">
              <w:rPr>
                <w:rFonts w:eastAsia="Times New Roman" w:cs="Times New Roman"/>
                <w:w w:val="99"/>
              </w:rPr>
              <w:t>MET-AEL (mg/Nm</w:t>
            </w:r>
            <w:r w:rsidRPr="00460F9E">
              <w:rPr>
                <w:rFonts w:eastAsia="Times New Roman" w:cs="Times New Roman"/>
                <w:w w:val="99"/>
                <w:sz w:val="25"/>
                <w:vertAlign w:val="superscript"/>
              </w:rPr>
              <w:t>3</w:t>
            </w:r>
            <w:r w:rsidRPr="00460F9E">
              <w:rPr>
                <w:rFonts w:eastAsia="Times New Roman" w:cs="Times New Roman"/>
                <w:w w:val="99"/>
              </w:rPr>
              <w:t xml:space="preserve">) </w:t>
            </w:r>
          </w:p>
          <w:p w14:paraId="14CF0150"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(Örnekleme dönemi boyunca ortalama)</w:t>
            </w:r>
          </w:p>
        </w:tc>
      </w:tr>
      <w:tr w:rsidR="00A52778" w14:paraId="6692F49A" w14:textId="77777777" w:rsidTr="00FC3F8E">
        <w:tc>
          <w:tcPr>
            <w:tcW w:w="4098" w:type="dxa"/>
            <w:vAlign w:val="center"/>
          </w:tcPr>
          <w:p w14:paraId="088F2103" w14:textId="77777777" w:rsidR="00A52778" w:rsidRPr="00460F9E" w:rsidRDefault="00A52778" w:rsidP="00FC3F8E">
            <w:pPr>
              <w:spacing w:line="0" w:lineRule="atLeast"/>
              <w:ind w:left="180"/>
              <w:rPr>
                <w:rFonts w:eastAsia="Times New Roman" w:cs="Times New Roman"/>
                <w:b/>
              </w:rPr>
            </w:pPr>
            <w:r w:rsidRPr="00460F9E">
              <w:rPr>
                <w:rFonts w:eastAsia="Times New Roman" w:cs="Times New Roman"/>
              </w:rPr>
              <w:t>SCR/SNCR' den kaynaklanan amonyak (NH</w:t>
            </w:r>
            <w:r w:rsidRPr="00460F9E">
              <w:rPr>
                <w:rFonts w:eastAsia="Times New Roman" w:cs="Times New Roman"/>
                <w:sz w:val="12"/>
              </w:rPr>
              <w:t>3</w:t>
            </w:r>
            <w:r w:rsidRPr="00460F9E">
              <w:rPr>
                <w:rFonts w:eastAsia="Times New Roman" w:cs="Times New Roman"/>
              </w:rPr>
              <w:t>)</w:t>
            </w:r>
          </w:p>
        </w:tc>
        <w:tc>
          <w:tcPr>
            <w:tcW w:w="4098" w:type="dxa"/>
            <w:vAlign w:val="center"/>
          </w:tcPr>
          <w:p w14:paraId="75F22C1B"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&lt; 0.5-8 (</w:t>
            </w:r>
            <w:r w:rsidRPr="00460F9E">
              <w:rPr>
                <w:rFonts w:eastAsia="Times New Roman" w:cs="Times New Roman"/>
                <w:w w:val="99"/>
                <w:sz w:val="25"/>
                <w:vertAlign w:val="superscript"/>
              </w:rPr>
              <w:t>1</w:t>
            </w:r>
            <w:r w:rsidRPr="00460F9E">
              <w:rPr>
                <w:rFonts w:eastAsia="Times New Roman" w:cs="Times New Roman"/>
                <w:w w:val="99"/>
              </w:rPr>
              <w:t>)</w:t>
            </w:r>
          </w:p>
        </w:tc>
      </w:tr>
      <w:tr w:rsidR="00A52778" w14:paraId="1BBD2994" w14:textId="77777777" w:rsidTr="00FC3F8E">
        <w:tc>
          <w:tcPr>
            <w:tcW w:w="8196" w:type="dxa"/>
            <w:gridSpan w:val="2"/>
          </w:tcPr>
          <w:p w14:paraId="2EBEAE42" w14:textId="77777777" w:rsidR="00A52778" w:rsidRPr="00460F9E" w:rsidRDefault="00A52778" w:rsidP="00FC3F8E">
            <w:pPr>
              <w:spacing w:line="212" w:lineRule="auto"/>
              <w:ind w:left="175" w:right="100"/>
              <w:rPr>
                <w:rFonts w:eastAsia="Times New Roman" w:cs="Times New Roman"/>
                <w:b/>
                <w:sz w:val="18"/>
                <w:szCs w:val="18"/>
              </w:rPr>
            </w:pPr>
            <w:r w:rsidRPr="00460F9E">
              <w:rPr>
                <w:rFonts w:eastAsia="Times New Roman" w:cs="Times New Roman"/>
                <w:sz w:val="18"/>
                <w:szCs w:val="18"/>
              </w:rPr>
              <w:t>(</w:t>
            </w:r>
            <w:r w:rsidRPr="00460F9E">
              <w:rPr>
                <w:rFonts w:eastAsia="Times New Roman" w:cs="Times New Roman"/>
                <w:sz w:val="18"/>
                <w:szCs w:val="18"/>
                <w:vertAlign w:val="superscript"/>
              </w:rPr>
              <w:t>1</w:t>
            </w:r>
            <w:r w:rsidRPr="00460F9E">
              <w:rPr>
                <w:rFonts w:eastAsia="Times New Roman" w:cs="Times New Roman"/>
                <w:sz w:val="18"/>
                <w:szCs w:val="18"/>
              </w:rPr>
              <w:t xml:space="preserve">) MET-AEL  aralığının  üst  sınırı  daha  yüksek olabilir ve  SCR  veya  SNCR  ile  arıtmadan önce çok yüksek  </w:t>
            </w:r>
          </w:p>
          <w:p w14:paraId="642FEC8C" w14:textId="77777777" w:rsidR="00A52778" w:rsidRPr="00460F9E" w:rsidRDefault="00A52778" w:rsidP="00FC3F8E">
            <w:pPr>
              <w:spacing w:line="212" w:lineRule="auto"/>
              <w:ind w:left="175" w:right="100"/>
              <w:rPr>
                <w:rFonts w:eastAsia="Times New Roman" w:cs="Times New Roman"/>
                <w:b/>
                <w:sz w:val="18"/>
                <w:szCs w:val="18"/>
              </w:rPr>
            </w:pPr>
            <w:r w:rsidRPr="00460F9E">
              <w:rPr>
                <w:rFonts w:eastAsia="Times New Roman" w:cs="Times New Roman"/>
                <w:sz w:val="18"/>
                <w:szCs w:val="18"/>
              </w:rPr>
              <w:t xml:space="preserve">     seviyelerde NO</w:t>
            </w:r>
            <w:r w:rsidRPr="00460F9E">
              <w:rPr>
                <w:rFonts w:eastAsia="Times New Roman" w:cs="Times New Roman"/>
                <w:sz w:val="18"/>
                <w:szCs w:val="18"/>
                <w:vertAlign w:val="subscript"/>
              </w:rPr>
              <w:t>X</w:t>
            </w:r>
            <w:r w:rsidRPr="00460F9E">
              <w:rPr>
                <w:rFonts w:eastAsia="Times New Roman" w:cs="Times New Roman"/>
                <w:sz w:val="18"/>
                <w:szCs w:val="18"/>
              </w:rPr>
              <w:t xml:space="preserve"> (örn. 5 000 mg/Nm</w:t>
            </w:r>
            <w:r w:rsidRPr="00460F9E">
              <w:rPr>
                <w:rFonts w:eastAsia="Times New Roman" w:cs="Times New Roman"/>
                <w:sz w:val="18"/>
                <w:szCs w:val="18"/>
                <w:vertAlign w:val="superscript"/>
              </w:rPr>
              <w:t>3</w:t>
            </w:r>
            <w:r w:rsidRPr="00460F9E">
              <w:rPr>
                <w:rFonts w:eastAsia="Times New Roman" w:cs="Times New Roman"/>
                <w:sz w:val="18"/>
                <w:szCs w:val="18"/>
              </w:rPr>
              <w:t>' ün üzerinde) içeren proses çıkış gazları durumunda 40 mg/ Nm</w:t>
            </w:r>
            <w:r w:rsidRPr="00460F9E">
              <w:rPr>
                <w:rFonts w:eastAsia="Times New Roman" w:cs="Times New Roman"/>
                <w:sz w:val="18"/>
                <w:szCs w:val="18"/>
                <w:vertAlign w:val="superscript"/>
              </w:rPr>
              <w:t>3</w:t>
            </w:r>
            <w:r w:rsidRPr="00460F9E">
              <w:rPr>
                <w:rFonts w:eastAsia="Times New Roman" w:cs="Times New Roman"/>
                <w:sz w:val="18"/>
                <w:szCs w:val="18"/>
              </w:rPr>
              <w:t xml:space="preserve">' e kadar   </w:t>
            </w:r>
          </w:p>
          <w:p w14:paraId="1D929725" w14:textId="77777777" w:rsidR="00A52778" w:rsidRDefault="00A52778" w:rsidP="00FC3F8E">
            <w:pPr>
              <w:tabs>
                <w:tab w:val="left" w:pos="1140"/>
              </w:tabs>
              <w:spacing w:line="234" w:lineRule="auto"/>
              <w:ind w:right="826"/>
              <w:rPr>
                <w:rFonts w:eastAsia="Times New Roman" w:cs="Times New Roman"/>
              </w:rPr>
            </w:pPr>
            <w:r w:rsidRPr="00460F9E">
              <w:rPr>
                <w:rFonts w:eastAsia="Times New Roman" w:cs="Times New Roman"/>
                <w:sz w:val="18"/>
                <w:szCs w:val="18"/>
              </w:rPr>
              <w:t xml:space="preserve">     çıkabilir</w:t>
            </w:r>
          </w:p>
        </w:tc>
      </w:tr>
    </w:tbl>
    <w:bookmarkEnd w:id="327"/>
    <w:p w14:paraId="42F0E304" w14:textId="77777777" w:rsidR="00A52778" w:rsidRPr="00460F9E" w:rsidRDefault="00A52778" w:rsidP="00A52778">
      <w:pPr>
        <w:spacing w:line="20" w:lineRule="exact"/>
        <w:rPr>
          <w:rFonts w:eastAsia="Times New Roman" w:cs="Times New Roman"/>
          <w:b/>
        </w:rPr>
      </w:pPr>
      <w:r w:rsidRPr="00460F9E">
        <w:rPr>
          <w:rFonts w:eastAsia="Times New Roman" w:cs="Times New Roman"/>
          <w:b/>
          <w:noProof/>
          <w:lang w:val="tr-TR" w:eastAsia="tr-TR"/>
        </w:rPr>
        <mc:AlternateContent>
          <mc:Choice Requires="wps">
            <w:drawing>
              <wp:anchor distT="0" distB="0" distL="114300" distR="114300" simplePos="0" relativeHeight="251667456" behindDoc="1" locked="0" layoutInCell="1" allowOverlap="1" wp14:anchorId="5A8C2DC2" wp14:editId="4EC463A9">
                <wp:simplePos x="0" y="0"/>
                <wp:positionH relativeFrom="column">
                  <wp:posOffset>635</wp:posOffset>
                </wp:positionH>
                <wp:positionV relativeFrom="paragraph">
                  <wp:posOffset>77470</wp:posOffset>
                </wp:positionV>
                <wp:extent cx="0" cy="1063625"/>
                <wp:effectExtent l="13335" t="5080" r="5715" b="7620"/>
                <wp:wrapNone/>
                <wp:docPr id="43" name="Düz Bağlayıcı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362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EB276" id="Düz Bağlayıcı 4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1pt" to=".0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" strokeweight=".25397mm"/>
            </w:pict>
          </mc:Fallback>
        </mc:AlternateContent>
      </w:r>
      <w:r w:rsidRPr="00460F9E">
        <w:rPr>
          <w:rFonts w:eastAsia="Times New Roman" w:cs="Times New Roman"/>
          <w:b/>
          <w:noProof/>
          <w:lang w:val="tr-TR" w:eastAsia="tr-TR"/>
        </w:rPr>
        <w:drawing>
          <wp:anchor distT="0" distB="0" distL="114300" distR="114300" simplePos="0" relativeHeight="251668480" behindDoc="1" locked="0" layoutInCell="1" allowOverlap="1" wp14:anchorId="5F3031B8" wp14:editId="56F04C30">
            <wp:simplePos x="0" y="0"/>
            <wp:positionH relativeFrom="column">
              <wp:posOffset>2540</wp:posOffset>
            </wp:positionH>
            <wp:positionV relativeFrom="paragraph">
              <wp:posOffset>6300470</wp:posOffset>
            </wp:positionV>
            <wp:extent cx="5437505" cy="6350"/>
            <wp:effectExtent l="0" t="0" r="0" b="0"/>
            <wp:wrapNone/>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7505" cy="6350"/>
                    </a:xfrm>
                    <a:prstGeom prst="rect">
                      <a:avLst/>
                    </a:prstGeom>
                    <a:noFill/>
                  </pic:spPr>
                </pic:pic>
              </a:graphicData>
            </a:graphic>
            <wp14:sizeRelH relativeFrom="page">
              <wp14:pctWidth>0</wp14:pctWidth>
            </wp14:sizeRelH>
            <wp14:sizeRelV relativeFrom="page">
              <wp14:pctHeight>0</wp14:pctHeight>
            </wp14:sizeRelV>
          </wp:anchor>
        </w:drawing>
      </w:r>
    </w:p>
    <w:p w14:paraId="2E41D889" w14:textId="77777777" w:rsidR="00A52778" w:rsidRPr="00460F9E" w:rsidRDefault="00A52778" w:rsidP="00A52778"/>
    <w:p w14:paraId="2F1CCF92" w14:textId="77777777" w:rsidR="00A52778" w:rsidRPr="00460F9E" w:rsidRDefault="00A52778" w:rsidP="00A52778">
      <w:pPr>
        <w:spacing w:line="0" w:lineRule="atLeast"/>
        <w:ind w:left="40"/>
        <w:rPr>
          <w:rFonts w:eastAsia="Times New Roman" w:cs="Times New Roman"/>
          <w:b/>
        </w:rPr>
      </w:pPr>
      <w:bookmarkStart w:id="328" w:name="_Hlk128773742"/>
      <w:r w:rsidRPr="00460F9E">
        <w:rPr>
          <w:rFonts w:eastAsia="Times New Roman" w:cs="Times New Roman"/>
        </w:rPr>
        <w:t>İlişkili izleme MET 8' de verilmişt</w:t>
      </w:r>
      <w:r w:rsidRPr="00460F9E">
        <w:rPr>
          <w:rFonts w:cs="Times New Roman"/>
          <w:b/>
          <w:noProof/>
          <w:lang w:val="tr-TR" w:eastAsia="tr-TR"/>
        </w:rPr>
        <mc:AlternateContent>
          <mc:Choice Requires="wps">
            <w:drawing>
              <wp:anchor distT="0" distB="0" distL="114299" distR="114299" simplePos="0" relativeHeight="251715584" behindDoc="0" locked="0" layoutInCell="1" allowOverlap="1" wp14:anchorId="5BA7C04D" wp14:editId="4D893545">
                <wp:simplePos x="0" y="0"/>
                <wp:positionH relativeFrom="column">
                  <wp:posOffset>10861039</wp:posOffset>
                </wp:positionH>
                <wp:positionV relativeFrom="paragraph">
                  <wp:posOffset>2218690</wp:posOffset>
                </wp:positionV>
                <wp:extent cx="0" cy="1347470"/>
                <wp:effectExtent l="0" t="0" r="19050" b="24130"/>
                <wp:wrapNone/>
                <wp:docPr id="40" name="Düz Bağlayıcı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4747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DAC8F6" id="Düz Bağlayıcı 40" o:spid="_x0000_s1026" style="position:absolute;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55.2pt,174.7pt" to="855.2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" strokecolor="windowText" strokeweight=".5pt">
                <v:stroke joinstyle="miter"/>
                <o:lock v:ext="edit" shapetype="f"/>
              </v:line>
            </w:pict>
          </mc:Fallback>
        </mc:AlternateContent>
      </w:r>
      <w:r w:rsidRPr="00460F9E">
        <w:rPr>
          <w:rFonts w:eastAsia="Times New Roman" w:cs="Times New Roman"/>
        </w:rPr>
        <w:t>ir</w:t>
      </w:r>
      <w:bookmarkEnd w:id="328"/>
      <w:r w:rsidRPr="00460F9E">
        <w:rPr>
          <w:rFonts w:cs="Times New Roman"/>
        </w:rPr>
        <w:t>.</w:t>
      </w:r>
    </w:p>
    <w:p w14:paraId="7F53D8AB" w14:textId="77777777" w:rsidR="00A52778" w:rsidRPr="00460F9E" w:rsidRDefault="00A52778" w:rsidP="00A52778"/>
    <w:p w14:paraId="4EAC2702" w14:textId="77777777" w:rsidR="00A52778" w:rsidRPr="00460F9E" w:rsidRDefault="00A52778" w:rsidP="00A52778">
      <w:bookmarkStart w:id="329" w:name="page309"/>
      <w:bookmarkEnd w:id="329"/>
      <w:r>
        <w:t xml:space="preserve">MET 18: </w:t>
      </w:r>
      <w:r w:rsidRPr="00460F9E">
        <w:t>NO</w:t>
      </w:r>
      <w:r w:rsidRPr="00460F9E">
        <w:rPr>
          <w:vertAlign w:val="subscript"/>
        </w:rPr>
        <w:t>X</w:t>
      </w:r>
      <w:r w:rsidRPr="00460F9E">
        <w:t xml:space="preserve"> emisyonlarının azaltılması için seçici katalitik indirgeme (SCR) veya seçici katalitik olmayan indirgeme (SNCR) kullanımından kaynaklanan amonyağın havaya salınan emisyonları dışındaki inorganik bileşiklerin havaya kanalize edilen emisyonlarını, ısıl işlem kullanımından kaynaklanan CO, NO</w:t>
      </w:r>
      <w:r w:rsidRPr="00460F9E">
        <w:rPr>
          <w:vertAlign w:val="subscript"/>
        </w:rPr>
        <w:t>X</w:t>
      </w:r>
      <w:r w:rsidRPr="00460F9E">
        <w:t xml:space="preserve"> ve SO</w:t>
      </w:r>
      <w:r w:rsidRPr="00460F9E">
        <w:rPr>
          <w:vertAlign w:val="subscript"/>
        </w:rPr>
        <w:t>X</w:t>
      </w:r>
      <w:r w:rsidRPr="00460F9E">
        <w:t>' in havaya kanalize edilen emisyonlarını ve proses fırınlarından/ısıtıcılarından kaynaklanan NO</w:t>
      </w:r>
      <w:r w:rsidRPr="00460F9E">
        <w:rPr>
          <w:vertAlign w:val="subscript"/>
        </w:rPr>
        <w:t>X</w:t>
      </w:r>
      <w:r w:rsidRPr="00460F9E">
        <w:t>' in havaya kanalize edilen emisyonlarını azaltmak için MET, aşağıda verilen tekniklerden birini veya bir kombinasyonunu kullanmaktır.</w:t>
      </w:r>
    </w:p>
    <w:p w14:paraId="3D61608D" w14:textId="77777777" w:rsidR="00A52778" w:rsidRPr="00460F9E" w:rsidRDefault="00A52778" w:rsidP="00A52778">
      <w:pPr>
        <w:spacing w:line="200" w:lineRule="exact"/>
        <w:rPr>
          <w:rFonts w:eastAsia="Times New Roman" w:cs="Times New Roman"/>
          <w:b/>
        </w:rPr>
      </w:pPr>
    </w:p>
    <w:p w14:paraId="5BC1DF7B" w14:textId="77777777" w:rsidR="00A52778" w:rsidRPr="00460F9E" w:rsidRDefault="00A52778" w:rsidP="00A52778">
      <w:pPr>
        <w:spacing w:line="331" w:lineRule="exact"/>
        <w:rPr>
          <w:rFonts w:eastAsia="Times New Roman" w:cs="Times New Roman"/>
          <w:b/>
        </w:rPr>
      </w:pPr>
    </w:p>
    <w:tbl>
      <w:tblPr>
        <w:tblW w:w="8660" w:type="dxa"/>
        <w:tblInd w:w="770" w:type="dxa"/>
        <w:tblLayout w:type="fixed"/>
        <w:tblCellMar>
          <w:left w:w="0" w:type="dxa"/>
          <w:right w:w="0" w:type="dxa"/>
        </w:tblCellMar>
        <w:tblLook w:val="0000" w:firstRow="0" w:lastRow="0" w:firstColumn="0" w:lastColumn="0" w:noHBand="0" w:noVBand="0"/>
      </w:tblPr>
      <w:tblGrid>
        <w:gridCol w:w="371"/>
        <w:gridCol w:w="812"/>
        <w:gridCol w:w="867"/>
        <w:gridCol w:w="812"/>
        <w:gridCol w:w="1014"/>
        <w:gridCol w:w="1566"/>
        <w:gridCol w:w="407"/>
        <w:gridCol w:w="241"/>
        <w:gridCol w:w="167"/>
        <w:gridCol w:w="388"/>
        <w:gridCol w:w="296"/>
        <w:gridCol w:w="314"/>
        <w:gridCol w:w="75"/>
        <w:gridCol w:w="241"/>
        <w:gridCol w:w="425"/>
        <w:gridCol w:w="664"/>
      </w:tblGrid>
      <w:tr w:rsidR="00A52778" w:rsidRPr="00460F9E" w14:paraId="63AFB3FE" w14:textId="77777777" w:rsidTr="00FC3F8E">
        <w:trPr>
          <w:gridAfter w:val="1"/>
          <w:wAfter w:w="720" w:type="dxa"/>
          <w:trHeight w:val="239"/>
        </w:trPr>
        <w:tc>
          <w:tcPr>
            <w:tcW w:w="400" w:type="dxa"/>
            <w:tcBorders>
              <w:top w:val="single" w:sz="8" w:space="0" w:color="auto"/>
              <w:left w:val="single" w:sz="8" w:space="0" w:color="auto"/>
            </w:tcBorders>
            <w:shd w:val="clear" w:color="auto" w:fill="auto"/>
            <w:vAlign w:val="bottom"/>
          </w:tcPr>
          <w:p w14:paraId="37A75EDB" w14:textId="77777777" w:rsidR="00A52778" w:rsidRPr="00460F9E" w:rsidRDefault="00A52778" w:rsidP="00FC3F8E">
            <w:pPr>
              <w:spacing w:line="0" w:lineRule="atLeast"/>
              <w:rPr>
                <w:rFonts w:eastAsia="Times New Roman" w:cs="Times New Roman"/>
                <w:b/>
              </w:rPr>
            </w:pPr>
          </w:p>
        </w:tc>
        <w:tc>
          <w:tcPr>
            <w:tcW w:w="880" w:type="dxa"/>
            <w:tcBorders>
              <w:top w:val="single" w:sz="8" w:space="0" w:color="auto"/>
            </w:tcBorders>
            <w:shd w:val="clear" w:color="auto" w:fill="auto"/>
            <w:vAlign w:val="bottom"/>
          </w:tcPr>
          <w:p w14:paraId="2AEEC3FD" w14:textId="77777777" w:rsidR="00A52778" w:rsidRPr="00460F9E" w:rsidRDefault="00A52778" w:rsidP="00FC3F8E">
            <w:pPr>
              <w:spacing w:line="0" w:lineRule="atLeast"/>
              <w:rPr>
                <w:rFonts w:eastAsia="Times New Roman" w:cs="Times New Roman"/>
                <w:b/>
              </w:rPr>
            </w:pPr>
          </w:p>
        </w:tc>
        <w:tc>
          <w:tcPr>
            <w:tcW w:w="940" w:type="dxa"/>
            <w:tcBorders>
              <w:top w:val="single" w:sz="8" w:space="0" w:color="auto"/>
              <w:right w:val="single" w:sz="8" w:space="0" w:color="auto"/>
            </w:tcBorders>
            <w:shd w:val="clear" w:color="auto" w:fill="auto"/>
            <w:vAlign w:val="bottom"/>
          </w:tcPr>
          <w:p w14:paraId="24E17EE1" w14:textId="77777777" w:rsidR="00A52778" w:rsidRPr="00460F9E" w:rsidRDefault="00A52778" w:rsidP="00FC3F8E">
            <w:pPr>
              <w:spacing w:line="0" w:lineRule="atLeast"/>
              <w:rPr>
                <w:rFonts w:eastAsia="Times New Roman" w:cs="Times New Roman"/>
                <w:b/>
              </w:rPr>
            </w:pPr>
          </w:p>
        </w:tc>
        <w:tc>
          <w:tcPr>
            <w:tcW w:w="880" w:type="dxa"/>
            <w:tcBorders>
              <w:top w:val="single" w:sz="8" w:space="0" w:color="auto"/>
            </w:tcBorders>
            <w:shd w:val="clear" w:color="auto" w:fill="auto"/>
            <w:vAlign w:val="bottom"/>
          </w:tcPr>
          <w:p w14:paraId="79CD3987" w14:textId="77777777" w:rsidR="00A52778" w:rsidRPr="00460F9E" w:rsidRDefault="00A52778" w:rsidP="00FC3F8E">
            <w:pPr>
              <w:spacing w:line="0" w:lineRule="atLeast"/>
              <w:rPr>
                <w:rFonts w:eastAsia="Times New Roman" w:cs="Times New Roman"/>
                <w:b/>
              </w:rPr>
            </w:pPr>
          </w:p>
        </w:tc>
        <w:tc>
          <w:tcPr>
            <w:tcW w:w="1100" w:type="dxa"/>
            <w:tcBorders>
              <w:top w:val="single" w:sz="8" w:space="0" w:color="auto"/>
              <w:right w:val="single" w:sz="8" w:space="0" w:color="auto"/>
            </w:tcBorders>
            <w:shd w:val="clear" w:color="auto" w:fill="auto"/>
            <w:vAlign w:val="bottom"/>
          </w:tcPr>
          <w:p w14:paraId="5124EE4C" w14:textId="77777777" w:rsidR="00A52778" w:rsidRPr="00460F9E" w:rsidRDefault="00A52778" w:rsidP="00FC3F8E">
            <w:pPr>
              <w:spacing w:line="0" w:lineRule="atLeast"/>
              <w:rPr>
                <w:rFonts w:eastAsia="Times New Roman" w:cs="Times New Roman"/>
                <w:b/>
              </w:rPr>
            </w:pPr>
          </w:p>
        </w:tc>
        <w:tc>
          <w:tcPr>
            <w:tcW w:w="1700" w:type="dxa"/>
            <w:vMerge w:val="restart"/>
            <w:tcBorders>
              <w:top w:val="single" w:sz="8" w:space="0" w:color="auto"/>
              <w:right w:val="single" w:sz="8" w:space="0" w:color="auto"/>
            </w:tcBorders>
            <w:shd w:val="clear" w:color="auto" w:fill="auto"/>
            <w:vAlign w:val="center"/>
          </w:tcPr>
          <w:p w14:paraId="10D6B600" w14:textId="77777777" w:rsidR="00A52778" w:rsidRPr="0094304E" w:rsidRDefault="00A52778" w:rsidP="00FC3F8E">
            <w:pPr>
              <w:spacing w:line="0" w:lineRule="atLeast"/>
              <w:jc w:val="center"/>
              <w:rPr>
                <w:rFonts w:eastAsia="Times New Roman" w:cs="Times New Roman"/>
                <w:w w:val="98"/>
              </w:rPr>
            </w:pPr>
            <w:r w:rsidRPr="0094304E">
              <w:rPr>
                <w:rFonts w:eastAsia="Times New Roman" w:cs="Times New Roman"/>
              </w:rPr>
              <w:t>Hedeflenen    başlıca inorganik bileşikler</w:t>
            </w:r>
          </w:p>
        </w:tc>
        <w:tc>
          <w:tcPr>
            <w:tcW w:w="440" w:type="dxa"/>
            <w:tcBorders>
              <w:top w:val="single" w:sz="8" w:space="0" w:color="auto"/>
            </w:tcBorders>
            <w:shd w:val="clear" w:color="auto" w:fill="auto"/>
            <w:vAlign w:val="bottom"/>
          </w:tcPr>
          <w:p w14:paraId="1810D00E" w14:textId="77777777" w:rsidR="00A52778" w:rsidRPr="00460F9E" w:rsidRDefault="00A52778" w:rsidP="00FC3F8E">
            <w:pPr>
              <w:spacing w:line="0" w:lineRule="atLeast"/>
              <w:rPr>
                <w:rFonts w:eastAsia="Times New Roman" w:cs="Times New Roman"/>
                <w:b/>
              </w:rPr>
            </w:pPr>
          </w:p>
        </w:tc>
        <w:tc>
          <w:tcPr>
            <w:tcW w:w="260" w:type="dxa"/>
            <w:tcBorders>
              <w:top w:val="single" w:sz="8" w:space="0" w:color="auto"/>
            </w:tcBorders>
            <w:shd w:val="clear" w:color="auto" w:fill="auto"/>
            <w:vAlign w:val="bottom"/>
          </w:tcPr>
          <w:p w14:paraId="580A6973" w14:textId="77777777" w:rsidR="00A52778" w:rsidRPr="00460F9E" w:rsidRDefault="00A52778" w:rsidP="00FC3F8E">
            <w:pPr>
              <w:spacing w:line="0" w:lineRule="atLeast"/>
              <w:rPr>
                <w:rFonts w:eastAsia="Times New Roman" w:cs="Times New Roman"/>
                <w:b/>
              </w:rPr>
            </w:pPr>
          </w:p>
        </w:tc>
        <w:tc>
          <w:tcPr>
            <w:tcW w:w="180" w:type="dxa"/>
            <w:tcBorders>
              <w:top w:val="single" w:sz="8" w:space="0" w:color="auto"/>
            </w:tcBorders>
            <w:shd w:val="clear" w:color="auto" w:fill="auto"/>
            <w:vAlign w:val="bottom"/>
          </w:tcPr>
          <w:p w14:paraId="227C3BBE" w14:textId="77777777" w:rsidR="00A52778" w:rsidRPr="00460F9E" w:rsidRDefault="00A52778" w:rsidP="00FC3F8E">
            <w:pPr>
              <w:spacing w:line="0" w:lineRule="atLeast"/>
              <w:rPr>
                <w:rFonts w:eastAsia="Times New Roman" w:cs="Times New Roman"/>
                <w:b/>
              </w:rPr>
            </w:pPr>
          </w:p>
        </w:tc>
        <w:tc>
          <w:tcPr>
            <w:tcW w:w="420" w:type="dxa"/>
            <w:tcBorders>
              <w:top w:val="single" w:sz="8" w:space="0" w:color="auto"/>
            </w:tcBorders>
            <w:shd w:val="clear" w:color="auto" w:fill="auto"/>
            <w:vAlign w:val="bottom"/>
          </w:tcPr>
          <w:p w14:paraId="130CAF22" w14:textId="77777777" w:rsidR="00A52778" w:rsidRPr="00460F9E" w:rsidRDefault="00A52778" w:rsidP="00FC3F8E">
            <w:pPr>
              <w:spacing w:line="0" w:lineRule="atLeast"/>
              <w:rPr>
                <w:rFonts w:eastAsia="Times New Roman" w:cs="Times New Roman"/>
                <w:b/>
              </w:rPr>
            </w:pPr>
          </w:p>
        </w:tc>
        <w:tc>
          <w:tcPr>
            <w:tcW w:w="320" w:type="dxa"/>
            <w:tcBorders>
              <w:top w:val="single" w:sz="8" w:space="0" w:color="auto"/>
            </w:tcBorders>
            <w:shd w:val="clear" w:color="auto" w:fill="auto"/>
            <w:vAlign w:val="bottom"/>
          </w:tcPr>
          <w:p w14:paraId="68A76D49" w14:textId="77777777" w:rsidR="00A52778" w:rsidRPr="00460F9E" w:rsidRDefault="00A52778" w:rsidP="00FC3F8E">
            <w:pPr>
              <w:spacing w:line="0" w:lineRule="atLeast"/>
              <w:rPr>
                <w:rFonts w:eastAsia="Times New Roman" w:cs="Times New Roman"/>
                <w:b/>
              </w:rPr>
            </w:pPr>
          </w:p>
        </w:tc>
        <w:tc>
          <w:tcPr>
            <w:tcW w:w="340" w:type="dxa"/>
            <w:tcBorders>
              <w:top w:val="single" w:sz="8" w:space="0" w:color="auto"/>
            </w:tcBorders>
            <w:shd w:val="clear" w:color="auto" w:fill="auto"/>
            <w:vAlign w:val="bottom"/>
          </w:tcPr>
          <w:p w14:paraId="7A1883B9" w14:textId="77777777" w:rsidR="00A52778" w:rsidRPr="00460F9E" w:rsidRDefault="00A52778" w:rsidP="00FC3F8E">
            <w:pPr>
              <w:spacing w:line="0" w:lineRule="atLeast"/>
              <w:rPr>
                <w:rFonts w:eastAsia="Times New Roman" w:cs="Times New Roman"/>
                <w:b/>
              </w:rPr>
            </w:pPr>
          </w:p>
        </w:tc>
        <w:tc>
          <w:tcPr>
            <w:tcW w:w="80" w:type="dxa"/>
            <w:tcBorders>
              <w:top w:val="single" w:sz="8" w:space="0" w:color="auto"/>
            </w:tcBorders>
            <w:shd w:val="clear" w:color="auto" w:fill="auto"/>
            <w:vAlign w:val="bottom"/>
          </w:tcPr>
          <w:p w14:paraId="19825A3A" w14:textId="77777777" w:rsidR="00A52778" w:rsidRPr="00460F9E" w:rsidRDefault="00A52778" w:rsidP="00FC3F8E">
            <w:pPr>
              <w:spacing w:line="0" w:lineRule="atLeast"/>
              <w:rPr>
                <w:rFonts w:eastAsia="Times New Roman" w:cs="Times New Roman"/>
                <w:b/>
              </w:rPr>
            </w:pPr>
          </w:p>
        </w:tc>
        <w:tc>
          <w:tcPr>
            <w:tcW w:w="260" w:type="dxa"/>
            <w:tcBorders>
              <w:top w:val="single" w:sz="8" w:space="0" w:color="auto"/>
            </w:tcBorders>
            <w:shd w:val="clear" w:color="auto" w:fill="auto"/>
            <w:vAlign w:val="bottom"/>
          </w:tcPr>
          <w:p w14:paraId="38CC2D06" w14:textId="77777777" w:rsidR="00A52778" w:rsidRPr="00460F9E" w:rsidRDefault="00A52778" w:rsidP="00FC3F8E">
            <w:pPr>
              <w:spacing w:line="0" w:lineRule="atLeast"/>
              <w:rPr>
                <w:rFonts w:eastAsia="Times New Roman" w:cs="Times New Roman"/>
                <w:b/>
              </w:rPr>
            </w:pPr>
          </w:p>
        </w:tc>
        <w:tc>
          <w:tcPr>
            <w:tcW w:w="460" w:type="dxa"/>
            <w:tcBorders>
              <w:top w:val="single" w:sz="8" w:space="0" w:color="auto"/>
              <w:right w:val="single" w:sz="8" w:space="0" w:color="auto"/>
            </w:tcBorders>
            <w:shd w:val="clear" w:color="auto" w:fill="auto"/>
            <w:vAlign w:val="bottom"/>
          </w:tcPr>
          <w:p w14:paraId="0BE823BD" w14:textId="77777777" w:rsidR="00A52778" w:rsidRPr="00460F9E" w:rsidRDefault="00A52778" w:rsidP="00FC3F8E">
            <w:pPr>
              <w:spacing w:line="0" w:lineRule="atLeast"/>
              <w:rPr>
                <w:rFonts w:eastAsia="Times New Roman" w:cs="Times New Roman"/>
                <w:b/>
              </w:rPr>
            </w:pPr>
          </w:p>
        </w:tc>
      </w:tr>
      <w:tr w:rsidR="00A52778" w:rsidRPr="00460F9E" w14:paraId="30F45DD2" w14:textId="77777777" w:rsidTr="00FC3F8E">
        <w:trPr>
          <w:gridAfter w:val="1"/>
          <w:wAfter w:w="720" w:type="dxa"/>
          <w:trHeight w:val="228"/>
        </w:trPr>
        <w:tc>
          <w:tcPr>
            <w:tcW w:w="400" w:type="dxa"/>
            <w:tcBorders>
              <w:left w:val="single" w:sz="8" w:space="0" w:color="auto"/>
            </w:tcBorders>
            <w:shd w:val="clear" w:color="auto" w:fill="auto"/>
            <w:vAlign w:val="bottom"/>
          </w:tcPr>
          <w:p w14:paraId="6699092A" w14:textId="77777777" w:rsidR="00A52778" w:rsidRPr="00460F9E" w:rsidRDefault="00A52778" w:rsidP="00FC3F8E">
            <w:pPr>
              <w:spacing w:line="0" w:lineRule="atLeast"/>
              <w:rPr>
                <w:rFonts w:eastAsia="Times New Roman" w:cs="Times New Roman"/>
                <w:b/>
                <w:sz w:val="19"/>
              </w:rPr>
            </w:pPr>
          </w:p>
        </w:tc>
        <w:tc>
          <w:tcPr>
            <w:tcW w:w="1820" w:type="dxa"/>
            <w:gridSpan w:val="2"/>
            <w:tcBorders>
              <w:right w:val="single" w:sz="8" w:space="0" w:color="auto"/>
            </w:tcBorders>
            <w:shd w:val="clear" w:color="auto" w:fill="auto"/>
            <w:vAlign w:val="bottom"/>
          </w:tcPr>
          <w:p w14:paraId="18016DB2" w14:textId="77777777" w:rsidR="00A52778" w:rsidRPr="0094304E" w:rsidRDefault="00A52778" w:rsidP="00FC3F8E">
            <w:pPr>
              <w:spacing w:line="228" w:lineRule="exact"/>
              <w:ind w:left="260"/>
              <w:rPr>
                <w:rFonts w:eastAsia="Times New Roman" w:cs="Times New Roman"/>
              </w:rPr>
            </w:pPr>
            <w:r w:rsidRPr="0094304E">
              <w:rPr>
                <w:rFonts w:eastAsia="Times New Roman" w:cs="Times New Roman"/>
              </w:rPr>
              <w:t>Teknikler</w:t>
            </w:r>
          </w:p>
        </w:tc>
        <w:tc>
          <w:tcPr>
            <w:tcW w:w="1980" w:type="dxa"/>
            <w:gridSpan w:val="2"/>
            <w:tcBorders>
              <w:right w:val="single" w:sz="8" w:space="0" w:color="auto"/>
            </w:tcBorders>
            <w:shd w:val="clear" w:color="auto" w:fill="auto"/>
            <w:vAlign w:val="bottom"/>
          </w:tcPr>
          <w:p w14:paraId="09DA0C8D" w14:textId="77777777" w:rsidR="00A52778" w:rsidRPr="0094304E" w:rsidRDefault="00A52778" w:rsidP="00FC3F8E">
            <w:pPr>
              <w:spacing w:line="228" w:lineRule="exact"/>
              <w:ind w:left="480"/>
              <w:rPr>
                <w:rFonts w:eastAsia="Times New Roman" w:cs="Times New Roman"/>
              </w:rPr>
            </w:pPr>
            <w:r w:rsidRPr="0094304E">
              <w:rPr>
                <w:rFonts w:eastAsia="Times New Roman" w:cs="Times New Roman"/>
              </w:rPr>
              <w:t>Tanımlamalar</w:t>
            </w:r>
          </w:p>
        </w:tc>
        <w:tc>
          <w:tcPr>
            <w:tcW w:w="1700" w:type="dxa"/>
            <w:vMerge/>
            <w:tcBorders>
              <w:right w:val="single" w:sz="8" w:space="0" w:color="auto"/>
            </w:tcBorders>
            <w:shd w:val="clear" w:color="auto" w:fill="auto"/>
            <w:vAlign w:val="bottom"/>
          </w:tcPr>
          <w:p w14:paraId="0D202A42" w14:textId="77777777" w:rsidR="00A52778" w:rsidRPr="0094304E" w:rsidRDefault="00A52778" w:rsidP="00FC3F8E">
            <w:pPr>
              <w:spacing w:line="0" w:lineRule="atLeast"/>
              <w:jc w:val="center"/>
              <w:rPr>
                <w:rFonts w:eastAsia="Times New Roman" w:cs="Times New Roman"/>
              </w:rPr>
            </w:pPr>
          </w:p>
        </w:tc>
        <w:tc>
          <w:tcPr>
            <w:tcW w:w="2760" w:type="dxa"/>
            <w:gridSpan w:val="9"/>
            <w:tcBorders>
              <w:right w:val="single" w:sz="8" w:space="0" w:color="auto"/>
            </w:tcBorders>
            <w:shd w:val="clear" w:color="auto" w:fill="auto"/>
            <w:vAlign w:val="center"/>
          </w:tcPr>
          <w:p w14:paraId="2601DFD3" w14:textId="77777777" w:rsidR="00A52778" w:rsidRPr="0094304E" w:rsidRDefault="00A52778" w:rsidP="00FC3F8E">
            <w:pPr>
              <w:spacing w:line="0" w:lineRule="atLeast"/>
              <w:jc w:val="center"/>
              <w:rPr>
                <w:rFonts w:eastAsia="Times New Roman" w:cs="Times New Roman"/>
                <w:sz w:val="19"/>
              </w:rPr>
            </w:pPr>
            <w:r w:rsidRPr="0094304E">
              <w:rPr>
                <w:rFonts w:eastAsia="Times New Roman" w:cs="Times New Roman"/>
              </w:rPr>
              <w:t>Uygulanabilirlik</w:t>
            </w:r>
          </w:p>
        </w:tc>
      </w:tr>
      <w:tr w:rsidR="00A52778" w:rsidRPr="00460F9E" w14:paraId="1D0C823F" w14:textId="77777777" w:rsidTr="00FC3F8E">
        <w:trPr>
          <w:gridAfter w:val="1"/>
          <w:wAfter w:w="720" w:type="dxa"/>
          <w:trHeight w:val="231"/>
        </w:trPr>
        <w:tc>
          <w:tcPr>
            <w:tcW w:w="400" w:type="dxa"/>
            <w:tcBorders>
              <w:left w:val="single" w:sz="8" w:space="0" w:color="auto"/>
              <w:bottom w:val="single" w:sz="8" w:space="0" w:color="auto"/>
            </w:tcBorders>
            <w:shd w:val="clear" w:color="auto" w:fill="auto"/>
            <w:vAlign w:val="bottom"/>
          </w:tcPr>
          <w:p w14:paraId="29C015A9" w14:textId="77777777" w:rsidR="00A52778" w:rsidRPr="00460F9E" w:rsidRDefault="00A52778" w:rsidP="00FC3F8E">
            <w:pPr>
              <w:spacing w:line="0" w:lineRule="atLeast"/>
              <w:rPr>
                <w:rFonts w:eastAsia="Times New Roman" w:cs="Times New Roman"/>
                <w:b/>
              </w:rPr>
            </w:pPr>
          </w:p>
        </w:tc>
        <w:tc>
          <w:tcPr>
            <w:tcW w:w="880" w:type="dxa"/>
            <w:tcBorders>
              <w:bottom w:val="single" w:sz="8" w:space="0" w:color="auto"/>
            </w:tcBorders>
            <w:shd w:val="clear" w:color="auto" w:fill="auto"/>
            <w:vAlign w:val="bottom"/>
          </w:tcPr>
          <w:p w14:paraId="490BBC1A" w14:textId="77777777" w:rsidR="00A52778" w:rsidRPr="00460F9E" w:rsidRDefault="00A52778" w:rsidP="00FC3F8E">
            <w:pPr>
              <w:spacing w:line="0" w:lineRule="atLeast"/>
              <w:rPr>
                <w:rFonts w:eastAsia="Times New Roman" w:cs="Times New Roman"/>
                <w:b/>
              </w:rPr>
            </w:pPr>
          </w:p>
        </w:tc>
        <w:tc>
          <w:tcPr>
            <w:tcW w:w="940" w:type="dxa"/>
            <w:tcBorders>
              <w:bottom w:val="single" w:sz="8" w:space="0" w:color="auto"/>
              <w:right w:val="single" w:sz="8" w:space="0" w:color="auto"/>
            </w:tcBorders>
            <w:shd w:val="clear" w:color="auto" w:fill="auto"/>
            <w:vAlign w:val="bottom"/>
          </w:tcPr>
          <w:p w14:paraId="623C04C4" w14:textId="77777777" w:rsidR="00A52778" w:rsidRPr="00460F9E" w:rsidRDefault="00A52778" w:rsidP="00FC3F8E">
            <w:pPr>
              <w:spacing w:line="0" w:lineRule="atLeast"/>
              <w:rPr>
                <w:rFonts w:eastAsia="Times New Roman" w:cs="Times New Roman"/>
                <w:b/>
              </w:rPr>
            </w:pPr>
          </w:p>
        </w:tc>
        <w:tc>
          <w:tcPr>
            <w:tcW w:w="880" w:type="dxa"/>
            <w:tcBorders>
              <w:bottom w:val="single" w:sz="8" w:space="0" w:color="auto"/>
            </w:tcBorders>
            <w:shd w:val="clear" w:color="auto" w:fill="auto"/>
            <w:vAlign w:val="bottom"/>
          </w:tcPr>
          <w:p w14:paraId="338FAC72" w14:textId="77777777" w:rsidR="00A52778" w:rsidRPr="00460F9E" w:rsidRDefault="00A52778" w:rsidP="00FC3F8E">
            <w:pPr>
              <w:spacing w:line="0" w:lineRule="atLeast"/>
              <w:rPr>
                <w:rFonts w:eastAsia="Times New Roman" w:cs="Times New Roman"/>
                <w:b/>
              </w:rPr>
            </w:pPr>
          </w:p>
        </w:tc>
        <w:tc>
          <w:tcPr>
            <w:tcW w:w="1100" w:type="dxa"/>
            <w:tcBorders>
              <w:bottom w:val="single" w:sz="8" w:space="0" w:color="auto"/>
              <w:right w:val="single" w:sz="8" w:space="0" w:color="auto"/>
            </w:tcBorders>
            <w:shd w:val="clear" w:color="auto" w:fill="auto"/>
            <w:vAlign w:val="bottom"/>
          </w:tcPr>
          <w:p w14:paraId="29D751B4" w14:textId="77777777" w:rsidR="00A52778" w:rsidRPr="00460F9E" w:rsidRDefault="00A52778" w:rsidP="00FC3F8E">
            <w:pPr>
              <w:spacing w:line="0" w:lineRule="atLeast"/>
              <w:rPr>
                <w:rFonts w:eastAsia="Times New Roman" w:cs="Times New Roman"/>
                <w:b/>
              </w:rPr>
            </w:pPr>
          </w:p>
        </w:tc>
        <w:tc>
          <w:tcPr>
            <w:tcW w:w="1700" w:type="dxa"/>
            <w:vMerge/>
            <w:tcBorders>
              <w:bottom w:val="single" w:sz="8" w:space="0" w:color="auto"/>
              <w:right w:val="single" w:sz="8" w:space="0" w:color="auto"/>
            </w:tcBorders>
            <w:shd w:val="clear" w:color="auto" w:fill="auto"/>
            <w:vAlign w:val="bottom"/>
          </w:tcPr>
          <w:p w14:paraId="44663A63" w14:textId="77777777" w:rsidR="00A52778" w:rsidRPr="00460F9E" w:rsidRDefault="00A52778" w:rsidP="00FC3F8E">
            <w:pPr>
              <w:spacing w:line="0" w:lineRule="atLeast"/>
              <w:jc w:val="center"/>
              <w:rPr>
                <w:rFonts w:eastAsia="Times New Roman" w:cs="Times New Roman"/>
                <w:b/>
                <w:w w:val="98"/>
              </w:rPr>
            </w:pPr>
          </w:p>
        </w:tc>
        <w:tc>
          <w:tcPr>
            <w:tcW w:w="440" w:type="dxa"/>
            <w:tcBorders>
              <w:bottom w:val="single" w:sz="8" w:space="0" w:color="auto"/>
            </w:tcBorders>
            <w:shd w:val="clear" w:color="auto" w:fill="auto"/>
            <w:vAlign w:val="bottom"/>
          </w:tcPr>
          <w:p w14:paraId="20DAB332" w14:textId="77777777" w:rsidR="00A52778" w:rsidRPr="00460F9E" w:rsidRDefault="00A52778" w:rsidP="00FC3F8E">
            <w:pPr>
              <w:spacing w:line="0" w:lineRule="atLeast"/>
              <w:rPr>
                <w:rFonts w:eastAsia="Times New Roman" w:cs="Times New Roman"/>
                <w:b/>
              </w:rPr>
            </w:pPr>
          </w:p>
        </w:tc>
        <w:tc>
          <w:tcPr>
            <w:tcW w:w="260" w:type="dxa"/>
            <w:tcBorders>
              <w:bottom w:val="single" w:sz="8" w:space="0" w:color="auto"/>
            </w:tcBorders>
            <w:shd w:val="clear" w:color="auto" w:fill="auto"/>
            <w:vAlign w:val="bottom"/>
          </w:tcPr>
          <w:p w14:paraId="011946BB" w14:textId="77777777" w:rsidR="00A52778" w:rsidRPr="00460F9E" w:rsidRDefault="00A52778" w:rsidP="00FC3F8E">
            <w:pPr>
              <w:spacing w:line="0" w:lineRule="atLeast"/>
              <w:rPr>
                <w:rFonts w:eastAsia="Times New Roman" w:cs="Times New Roman"/>
                <w:b/>
              </w:rPr>
            </w:pPr>
          </w:p>
        </w:tc>
        <w:tc>
          <w:tcPr>
            <w:tcW w:w="180" w:type="dxa"/>
            <w:tcBorders>
              <w:bottom w:val="single" w:sz="8" w:space="0" w:color="auto"/>
            </w:tcBorders>
            <w:shd w:val="clear" w:color="auto" w:fill="auto"/>
            <w:vAlign w:val="bottom"/>
          </w:tcPr>
          <w:p w14:paraId="41BB24F0" w14:textId="77777777" w:rsidR="00A52778" w:rsidRPr="00460F9E" w:rsidRDefault="00A52778" w:rsidP="00FC3F8E">
            <w:pPr>
              <w:spacing w:line="0" w:lineRule="atLeast"/>
              <w:rPr>
                <w:rFonts w:eastAsia="Times New Roman" w:cs="Times New Roman"/>
                <w:b/>
              </w:rPr>
            </w:pPr>
          </w:p>
        </w:tc>
        <w:tc>
          <w:tcPr>
            <w:tcW w:w="420" w:type="dxa"/>
            <w:tcBorders>
              <w:bottom w:val="single" w:sz="8" w:space="0" w:color="auto"/>
            </w:tcBorders>
            <w:shd w:val="clear" w:color="auto" w:fill="auto"/>
            <w:vAlign w:val="bottom"/>
          </w:tcPr>
          <w:p w14:paraId="4384DD16" w14:textId="77777777" w:rsidR="00A52778" w:rsidRPr="00460F9E" w:rsidRDefault="00A52778" w:rsidP="00FC3F8E">
            <w:pPr>
              <w:spacing w:line="0" w:lineRule="atLeast"/>
              <w:rPr>
                <w:rFonts w:eastAsia="Times New Roman" w:cs="Times New Roman"/>
                <w:b/>
              </w:rPr>
            </w:pPr>
          </w:p>
        </w:tc>
        <w:tc>
          <w:tcPr>
            <w:tcW w:w="320" w:type="dxa"/>
            <w:tcBorders>
              <w:bottom w:val="single" w:sz="8" w:space="0" w:color="auto"/>
            </w:tcBorders>
            <w:shd w:val="clear" w:color="auto" w:fill="auto"/>
            <w:vAlign w:val="bottom"/>
          </w:tcPr>
          <w:p w14:paraId="5B226863" w14:textId="77777777" w:rsidR="00A52778" w:rsidRPr="00460F9E" w:rsidRDefault="00A52778" w:rsidP="00FC3F8E">
            <w:pPr>
              <w:spacing w:line="0" w:lineRule="atLeast"/>
              <w:rPr>
                <w:rFonts w:eastAsia="Times New Roman" w:cs="Times New Roman"/>
                <w:b/>
              </w:rPr>
            </w:pPr>
          </w:p>
        </w:tc>
        <w:tc>
          <w:tcPr>
            <w:tcW w:w="340" w:type="dxa"/>
            <w:tcBorders>
              <w:bottom w:val="single" w:sz="8" w:space="0" w:color="auto"/>
            </w:tcBorders>
            <w:shd w:val="clear" w:color="auto" w:fill="auto"/>
            <w:vAlign w:val="bottom"/>
          </w:tcPr>
          <w:p w14:paraId="520B7E2C" w14:textId="77777777" w:rsidR="00A52778" w:rsidRPr="00460F9E" w:rsidRDefault="00A52778" w:rsidP="00FC3F8E">
            <w:pPr>
              <w:spacing w:line="0" w:lineRule="atLeast"/>
              <w:rPr>
                <w:rFonts w:eastAsia="Times New Roman" w:cs="Times New Roman"/>
                <w:b/>
              </w:rPr>
            </w:pPr>
          </w:p>
        </w:tc>
        <w:tc>
          <w:tcPr>
            <w:tcW w:w="80" w:type="dxa"/>
            <w:tcBorders>
              <w:bottom w:val="single" w:sz="8" w:space="0" w:color="auto"/>
            </w:tcBorders>
            <w:shd w:val="clear" w:color="auto" w:fill="auto"/>
            <w:vAlign w:val="bottom"/>
          </w:tcPr>
          <w:p w14:paraId="1DF44084" w14:textId="77777777" w:rsidR="00A52778" w:rsidRPr="00460F9E" w:rsidRDefault="00A52778" w:rsidP="00FC3F8E">
            <w:pPr>
              <w:spacing w:line="0" w:lineRule="atLeast"/>
              <w:rPr>
                <w:rFonts w:eastAsia="Times New Roman" w:cs="Times New Roman"/>
                <w:b/>
              </w:rPr>
            </w:pPr>
          </w:p>
        </w:tc>
        <w:tc>
          <w:tcPr>
            <w:tcW w:w="260" w:type="dxa"/>
            <w:tcBorders>
              <w:bottom w:val="single" w:sz="8" w:space="0" w:color="auto"/>
            </w:tcBorders>
            <w:shd w:val="clear" w:color="auto" w:fill="auto"/>
            <w:vAlign w:val="bottom"/>
          </w:tcPr>
          <w:p w14:paraId="3E5BDC53" w14:textId="77777777" w:rsidR="00A52778" w:rsidRPr="00460F9E" w:rsidRDefault="00A52778" w:rsidP="00FC3F8E">
            <w:pPr>
              <w:spacing w:line="0" w:lineRule="atLeast"/>
              <w:rPr>
                <w:rFonts w:eastAsia="Times New Roman" w:cs="Times New Roman"/>
                <w:b/>
              </w:rPr>
            </w:pPr>
          </w:p>
        </w:tc>
        <w:tc>
          <w:tcPr>
            <w:tcW w:w="460" w:type="dxa"/>
            <w:tcBorders>
              <w:bottom w:val="single" w:sz="8" w:space="0" w:color="auto"/>
              <w:right w:val="single" w:sz="8" w:space="0" w:color="auto"/>
            </w:tcBorders>
            <w:shd w:val="clear" w:color="auto" w:fill="auto"/>
            <w:vAlign w:val="bottom"/>
          </w:tcPr>
          <w:p w14:paraId="652023DB" w14:textId="77777777" w:rsidR="00A52778" w:rsidRPr="00460F9E" w:rsidRDefault="00A52778" w:rsidP="00FC3F8E">
            <w:pPr>
              <w:spacing w:line="0" w:lineRule="atLeast"/>
              <w:rPr>
                <w:rFonts w:eastAsia="Times New Roman" w:cs="Times New Roman"/>
                <w:b/>
              </w:rPr>
            </w:pPr>
          </w:p>
        </w:tc>
      </w:tr>
      <w:tr w:rsidR="00A52778" w:rsidRPr="00460F9E" w14:paraId="4432E87E" w14:textId="77777777" w:rsidTr="00FC3F8E">
        <w:trPr>
          <w:gridAfter w:val="1"/>
          <w:wAfter w:w="720" w:type="dxa"/>
          <w:trHeight w:val="218"/>
        </w:trPr>
        <w:tc>
          <w:tcPr>
            <w:tcW w:w="8660" w:type="dxa"/>
            <w:gridSpan w:val="15"/>
            <w:tcBorders>
              <w:left w:val="single" w:sz="8" w:space="0" w:color="auto"/>
              <w:bottom w:val="single" w:sz="8" w:space="0" w:color="auto"/>
              <w:right w:val="single" w:sz="8" w:space="0" w:color="auto"/>
            </w:tcBorders>
            <w:shd w:val="clear" w:color="auto" w:fill="auto"/>
            <w:vAlign w:val="bottom"/>
          </w:tcPr>
          <w:p w14:paraId="03ED5DC4" w14:textId="77777777" w:rsidR="00A52778" w:rsidRPr="00460F9E" w:rsidRDefault="00A52778" w:rsidP="00FC3F8E">
            <w:pPr>
              <w:spacing w:line="0" w:lineRule="atLeast"/>
              <w:rPr>
                <w:rFonts w:eastAsia="Times New Roman" w:cs="Times New Roman"/>
                <w:b/>
                <w:sz w:val="18"/>
              </w:rPr>
            </w:pPr>
            <w:r w:rsidRPr="00460F9E">
              <w:rPr>
                <w:rFonts w:eastAsia="Times New Roman" w:cs="Times New Roman"/>
                <w:i/>
              </w:rPr>
              <w:t xml:space="preserve">   İnorganik bileşiklerin havaya salınımını azaltmak için özel teknikler</w:t>
            </w:r>
          </w:p>
        </w:tc>
      </w:tr>
      <w:tr w:rsidR="00A52778" w:rsidRPr="00460F9E" w14:paraId="20B31C3A" w14:textId="77777777" w:rsidTr="00FC3F8E">
        <w:trPr>
          <w:gridAfter w:val="1"/>
          <w:wAfter w:w="720" w:type="dxa"/>
          <w:trHeight w:val="455"/>
        </w:trPr>
        <w:tc>
          <w:tcPr>
            <w:tcW w:w="400" w:type="dxa"/>
            <w:tcBorders>
              <w:left w:val="single" w:sz="8" w:space="0" w:color="auto"/>
              <w:right w:val="single" w:sz="8" w:space="0" w:color="auto"/>
            </w:tcBorders>
            <w:shd w:val="clear" w:color="auto" w:fill="auto"/>
            <w:vAlign w:val="bottom"/>
          </w:tcPr>
          <w:p w14:paraId="700DFDC4"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63CD39CB" w14:textId="77777777" w:rsidR="00A52778" w:rsidRPr="00460F9E" w:rsidRDefault="00A52778" w:rsidP="00FC3F8E">
            <w:pPr>
              <w:spacing w:line="0" w:lineRule="atLeast"/>
              <w:rPr>
                <w:rFonts w:eastAsia="Times New Roman" w:cs="Times New Roman"/>
                <w:b/>
              </w:rPr>
            </w:pPr>
          </w:p>
        </w:tc>
        <w:tc>
          <w:tcPr>
            <w:tcW w:w="940" w:type="dxa"/>
            <w:tcBorders>
              <w:right w:val="single" w:sz="8" w:space="0" w:color="auto"/>
            </w:tcBorders>
            <w:shd w:val="clear" w:color="auto" w:fill="auto"/>
            <w:vAlign w:val="bottom"/>
          </w:tcPr>
          <w:p w14:paraId="532F08AC"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4E6C85DA" w14:textId="77777777" w:rsidR="00A52778" w:rsidRPr="00460F9E" w:rsidRDefault="00A52778" w:rsidP="00FC3F8E">
            <w:pPr>
              <w:spacing w:line="0" w:lineRule="atLeast"/>
              <w:rPr>
                <w:rFonts w:eastAsia="Times New Roman" w:cs="Times New Roman"/>
                <w:b/>
              </w:rPr>
            </w:pPr>
          </w:p>
        </w:tc>
        <w:tc>
          <w:tcPr>
            <w:tcW w:w="1100" w:type="dxa"/>
            <w:tcBorders>
              <w:right w:val="single" w:sz="8" w:space="0" w:color="auto"/>
            </w:tcBorders>
            <w:shd w:val="clear" w:color="auto" w:fill="auto"/>
            <w:vAlign w:val="bottom"/>
          </w:tcPr>
          <w:p w14:paraId="3457CE18" w14:textId="77777777" w:rsidR="00A52778" w:rsidRPr="00460F9E" w:rsidRDefault="00A52778" w:rsidP="00FC3F8E">
            <w:pPr>
              <w:spacing w:line="0" w:lineRule="atLeast"/>
              <w:rPr>
                <w:rFonts w:eastAsia="Times New Roman" w:cs="Times New Roman"/>
                <w:b/>
              </w:rPr>
            </w:pPr>
          </w:p>
        </w:tc>
        <w:tc>
          <w:tcPr>
            <w:tcW w:w="1700" w:type="dxa"/>
            <w:tcBorders>
              <w:right w:val="single" w:sz="8" w:space="0" w:color="auto"/>
            </w:tcBorders>
            <w:shd w:val="clear" w:color="auto" w:fill="auto"/>
            <w:vAlign w:val="bottom"/>
          </w:tcPr>
          <w:p w14:paraId="278A36A7"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Cl</w:t>
            </w:r>
            <w:r w:rsidRPr="00460F9E">
              <w:rPr>
                <w:rFonts w:eastAsia="Times New Roman" w:cs="Times New Roman"/>
                <w:sz w:val="12"/>
              </w:rPr>
              <w:t>2</w:t>
            </w:r>
            <w:r w:rsidRPr="00460F9E">
              <w:rPr>
                <w:rFonts w:eastAsia="Times New Roman" w:cs="Times New Roman"/>
              </w:rPr>
              <w:t>, HCl, HCN,</w:t>
            </w:r>
          </w:p>
        </w:tc>
        <w:tc>
          <w:tcPr>
            <w:tcW w:w="440" w:type="dxa"/>
            <w:shd w:val="clear" w:color="auto" w:fill="auto"/>
            <w:vAlign w:val="bottom"/>
          </w:tcPr>
          <w:p w14:paraId="7C5F6687" w14:textId="77777777" w:rsidR="00A52778" w:rsidRPr="00460F9E" w:rsidRDefault="00A52778" w:rsidP="00FC3F8E">
            <w:pPr>
              <w:spacing w:line="0" w:lineRule="atLeast"/>
              <w:rPr>
                <w:rFonts w:eastAsia="Times New Roman" w:cs="Times New Roman"/>
                <w:b/>
              </w:rPr>
            </w:pPr>
          </w:p>
        </w:tc>
        <w:tc>
          <w:tcPr>
            <w:tcW w:w="260" w:type="dxa"/>
            <w:shd w:val="clear" w:color="auto" w:fill="auto"/>
            <w:vAlign w:val="bottom"/>
          </w:tcPr>
          <w:p w14:paraId="72ED3C48" w14:textId="77777777" w:rsidR="00A52778" w:rsidRPr="00460F9E" w:rsidRDefault="00A52778" w:rsidP="00FC3F8E">
            <w:pPr>
              <w:spacing w:line="0" w:lineRule="atLeast"/>
              <w:rPr>
                <w:rFonts w:eastAsia="Times New Roman" w:cs="Times New Roman"/>
                <w:b/>
              </w:rPr>
            </w:pPr>
          </w:p>
        </w:tc>
        <w:tc>
          <w:tcPr>
            <w:tcW w:w="180" w:type="dxa"/>
            <w:shd w:val="clear" w:color="auto" w:fill="auto"/>
            <w:vAlign w:val="bottom"/>
          </w:tcPr>
          <w:p w14:paraId="122E7E16" w14:textId="77777777" w:rsidR="00A52778" w:rsidRPr="00460F9E" w:rsidRDefault="00A52778" w:rsidP="00FC3F8E">
            <w:pPr>
              <w:spacing w:line="0" w:lineRule="atLeast"/>
              <w:rPr>
                <w:rFonts w:eastAsia="Times New Roman" w:cs="Times New Roman"/>
                <w:b/>
              </w:rPr>
            </w:pPr>
          </w:p>
        </w:tc>
        <w:tc>
          <w:tcPr>
            <w:tcW w:w="420" w:type="dxa"/>
            <w:shd w:val="clear" w:color="auto" w:fill="auto"/>
            <w:vAlign w:val="bottom"/>
          </w:tcPr>
          <w:p w14:paraId="1CA7C313" w14:textId="77777777" w:rsidR="00A52778" w:rsidRPr="00460F9E" w:rsidRDefault="00A52778" w:rsidP="00FC3F8E">
            <w:pPr>
              <w:spacing w:line="0" w:lineRule="atLeast"/>
              <w:rPr>
                <w:rFonts w:eastAsia="Times New Roman" w:cs="Times New Roman"/>
                <w:b/>
              </w:rPr>
            </w:pPr>
          </w:p>
        </w:tc>
        <w:tc>
          <w:tcPr>
            <w:tcW w:w="320" w:type="dxa"/>
            <w:shd w:val="clear" w:color="auto" w:fill="auto"/>
            <w:vAlign w:val="bottom"/>
          </w:tcPr>
          <w:p w14:paraId="6AF36267" w14:textId="77777777" w:rsidR="00A52778" w:rsidRPr="00460F9E" w:rsidRDefault="00A52778" w:rsidP="00FC3F8E">
            <w:pPr>
              <w:spacing w:line="0" w:lineRule="atLeast"/>
              <w:rPr>
                <w:rFonts w:eastAsia="Times New Roman" w:cs="Times New Roman"/>
                <w:b/>
              </w:rPr>
            </w:pPr>
          </w:p>
        </w:tc>
        <w:tc>
          <w:tcPr>
            <w:tcW w:w="340" w:type="dxa"/>
            <w:shd w:val="clear" w:color="auto" w:fill="auto"/>
            <w:vAlign w:val="bottom"/>
          </w:tcPr>
          <w:p w14:paraId="1612F398" w14:textId="77777777" w:rsidR="00A52778" w:rsidRPr="00460F9E" w:rsidRDefault="00A52778" w:rsidP="00FC3F8E">
            <w:pPr>
              <w:spacing w:line="0" w:lineRule="atLeast"/>
              <w:rPr>
                <w:rFonts w:eastAsia="Times New Roman" w:cs="Times New Roman"/>
                <w:b/>
              </w:rPr>
            </w:pPr>
          </w:p>
        </w:tc>
        <w:tc>
          <w:tcPr>
            <w:tcW w:w="80" w:type="dxa"/>
            <w:shd w:val="clear" w:color="auto" w:fill="auto"/>
            <w:vAlign w:val="bottom"/>
          </w:tcPr>
          <w:p w14:paraId="7017D087" w14:textId="77777777" w:rsidR="00A52778" w:rsidRPr="00460F9E" w:rsidRDefault="00A52778" w:rsidP="00FC3F8E">
            <w:pPr>
              <w:spacing w:line="0" w:lineRule="atLeast"/>
              <w:rPr>
                <w:rFonts w:eastAsia="Times New Roman" w:cs="Times New Roman"/>
                <w:b/>
              </w:rPr>
            </w:pPr>
          </w:p>
        </w:tc>
        <w:tc>
          <w:tcPr>
            <w:tcW w:w="260" w:type="dxa"/>
            <w:shd w:val="clear" w:color="auto" w:fill="auto"/>
            <w:vAlign w:val="bottom"/>
          </w:tcPr>
          <w:p w14:paraId="5CA7C1BA" w14:textId="77777777" w:rsidR="00A52778" w:rsidRPr="00460F9E" w:rsidRDefault="00A52778" w:rsidP="00FC3F8E">
            <w:pPr>
              <w:spacing w:line="0" w:lineRule="atLeast"/>
              <w:rPr>
                <w:rFonts w:eastAsia="Times New Roman" w:cs="Times New Roman"/>
                <w:b/>
              </w:rPr>
            </w:pPr>
          </w:p>
        </w:tc>
        <w:tc>
          <w:tcPr>
            <w:tcW w:w="460" w:type="dxa"/>
            <w:tcBorders>
              <w:right w:val="single" w:sz="8" w:space="0" w:color="auto"/>
            </w:tcBorders>
            <w:shd w:val="clear" w:color="auto" w:fill="auto"/>
            <w:vAlign w:val="bottom"/>
          </w:tcPr>
          <w:p w14:paraId="2ABFF1FC" w14:textId="77777777" w:rsidR="00A52778" w:rsidRPr="00460F9E" w:rsidRDefault="00A52778" w:rsidP="00FC3F8E">
            <w:pPr>
              <w:spacing w:line="0" w:lineRule="atLeast"/>
              <w:rPr>
                <w:rFonts w:eastAsia="Times New Roman" w:cs="Times New Roman"/>
                <w:b/>
              </w:rPr>
            </w:pPr>
          </w:p>
        </w:tc>
      </w:tr>
      <w:tr w:rsidR="00A52778" w:rsidRPr="00460F9E" w14:paraId="6926289C" w14:textId="77777777" w:rsidTr="00FC3F8E">
        <w:trPr>
          <w:gridAfter w:val="1"/>
          <w:wAfter w:w="720" w:type="dxa"/>
          <w:trHeight w:val="230"/>
        </w:trPr>
        <w:tc>
          <w:tcPr>
            <w:tcW w:w="400" w:type="dxa"/>
            <w:tcBorders>
              <w:left w:val="single" w:sz="8" w:space="0" w:color="auto"/>
              <w:right w:val="single" w:sz="8" w:space="0" w:color="auto"/>
            </w:tcBorders>
            <w:shd w:val="clear" w:color="auto" w:fill="auto"/>
            <w:vAlign w:val="bottom"/>
          </w:tcPr>
          <w:p w14:paraId="124EA215" w14:textId="77777777" w:rsidR="00A52778" w:rsidRPr="00460F9E" w:rsidRDefault="00A52778" w:rsidP="00FC3F8E">
            <w:pPr>
              <w:spacing w:line="228" w:lineRule="exact"/>
              <w:ind w:left="120"/>
              <w:rPr>
                <w:rFonts w:eastAsia="Times New Roman" w:cs="Times New Roman"/>
                <w:b/>
              </w:rPr>
            </w:pPr>
            <w:r w:rsidRPr="00460F9E">
              <w:rPr>
                <w:rFonts w:eastAsia="Times New Roman" w:cs="Times New Roman"/>
              </w:rPr>
              <w:t>a.</w:t>
            </w:r>
          </w:p>
        </w:tc>
        <w:tc>
          <w:tcPr>
            <w:tcW w:w="1820" w:type="dxa"/>
            <w:gridSpan w:val="2"/>
            <w:tcBorders>
              <w:right w:val="single" w:sz="8" w:space="0" w:color="auto"/>
            </w:tcBorders>
            <w:shd w:val="clear" w:color="auto" w:fill="auto"/>
            <w:vAlign w:val="bottom"/>
          </w:tcPr>
          <w:p w14:paraId="6DACBE44" w14:textId="77777777" w:rsidR="00A52778" w:rsidRPr="00460F9E" w:rsidRDefault="00A52778" w:rsidP="00FC3F8E">
            <w:pPr>
              <w:spacing w:line="228" w:lineRule="exact"/>
              <w:rPr>
                <w:rFonts w:eastAsia="Times New Roman" w:cs="Times New Roman"/>
                <w:b/>
              </w:rPr>
            </w:pPr>
            <w:r w:rsidRPr="00460F9E">
              <w:rPr>
                <w:rFonts w:eastAsia="Times New Roman" w:cs="Times New Roman"/>
              </w:rPr>
              <w:t xml:space="preserve">  Absorpsiyon</w:t>
            </w:r>
          </w:p>
        </w:tc>
        <w:tc>
          <w:tcPr>
            <w:tcW w:w="1980" w:type="dxa"/>
            <w:gridSpan w:val="2"/>
            <w:tcBorders>
              <w:right w:val="single" w:sz="8" w:space="0" w:color="auto"/>
            </w:tcBorders>
            <w:shd w:val="clear" w:color="auto" w:fill="auto"/>
            <w:vAlign w:val="bottom"/>
          </w:tcPr>
          <w:p w14:paraId="170C3137" w14:textId="77777777" w:rsidR="00A52778" w:rsidRPr="00460F9E" w:rsidRDefault="00A52778" w:rsidP="00FC3F8E">
            <w:pPr>
              <w:spacing w:line="228" w:lineRule="exact"/>
              <w:ind w:left="8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1700" w:type="dxa"/>
            <w:tcBorders>
              <w:right w:val="single" w:sz="8" w:space="0" w:color="auto"/>
            </w:tcBorders>
            <w:shd w:val="clear" w:color="auto" w:fill="auto"/>
            <w:vAlign w:val="bottom"/>
          </w:tcPr>
          <w:p w14:paraId="49C8BDDB"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HF, NH</w:t>
            </w:r>
            <w:r w:rsidRPr="00460F9E">
              <w:rPr>
                <w:rFonts w:eastAsia="Times New Roman" w:cs="Times New Roman"/>
                <w:sz w:val="12"/>
              </w:rPr>
              <w:t>3</w:t>
            </w:r>
            <w:r w:rsidRPr="00460F9E">
              <w:rPr>
                <w:rFonts w:eastAsia="Times New Roman" w:cs="Times New Roman"/>
              </w:rPr>
              <w:t>, NO</w:t>
            </w:r>
            <w:r w:rsidRPr="00460F9E">
              <w:rPr>
                <w:rFonts w:eastAsia="Times New Roman" w:cs="Times New Roman"/>
                <w:sz w:val="12"/>
              </w:rPr>
              <w:t>X</w:t>
            </w:r>
            <w:r w:rsidRPr="00460F9E">
              <w:rPr>
                <w:rFonts w:eastAsia="Times New Roman" w:cs="Times New Roman"/>
              </w:rPr>
              <w:t>,</w:t>
            </w:r>
          </w:p>
        </w:tc>
        <w:tc>
          <w:tcPr>
            <w:tcW w:w="2760" w:type="dxa"/>
            <w:gridSpan w:val="9"/>
            <w:tcBorders>
              <w:right w:val="single" w:sz="8" w:space="0" w:color="auto"/>
            </w:tcBorders>
            <w:shd w:val="clear" w:color="auto" w:fill="auto"/>
            <w:vAlign w:val="bottom"/>
          </w:tcPr>
          <w:p w14:paraId="35286136"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Genel olarak uygulanabilir.</w:t>
            </w:r>
          </w:p>
        </w:tc>
      </w:tr>
      <w:tr w:rsidR="00A52778" w:rsidRPr="00460F9E" w14:paraId="4E971ACA" w14:textId="77777777" w:rsidTr="00FC3F8E">
        <w:trPr>
          <w:gridAfter w:val="1"/>
          <w:wAfter w:w="720" w:type="dxa"/>
          <w:trHeight w:val="228"/>
        </w:trPr>
        <w:tc>
          <w:tcPr>
            <w:tcW w:w="400" w:type="dxa"/>
            <w:tcBorders>
              <w:left w:val="single" w:sz="8" w:space="0" w:color="auto"/>
              <w:right w:val="single" w:sz="8" w:space="0" w:color="auto"/>
            </w:tcBorders>
            <w:shd w:val="clear" w:color="auto" w:fill="auto"/>
            <w:vAlign w:val="bottom"/>
          </w:tcPr>
          <w:p w14:paraId="77F0DA43" w14:textId="77777777" w:rsidR="00A52778" w:rsidRPr="00460F9E" w:rsidRDefault="00A52778" w:rsidP="00FC3F8E">
            <w:pPr>
              <w:spacing w:line="0" w:lineRule="atLeast"/>
              <w:rPr>
                <w:rFonts w:eastAsia="Times New Roman" w:cs="Times New Roman"/>
                <w:b/>
                <w:sz w:val="19"/>
              </w:rPr>
            </w:pPr>
          </w:p>
        </w:tc>
        <w:tc>
          <w:tcPr>
            <w:tcW w:w="880" w:type="dxa"/>
            <w:shd w:val="clear" w:color="auto" w:fill="auto"/>
            <w:vAlign w:val="bottom"/>
          </w:tcPr>
          <w:p w14:paraId="6DF22443" w14:textId="77777777" w:rsidR="00A52778" w:rsidRPr="00460F9E" w:rsidRDefault="00A52778" w:rsidP="00FC3F8E">
            <w:pPr>
              <w:spacing w:line="0" w:lineRule="atLeast"/>
              <w:rPr>
                <w:rFonts w:eastAsia="Times New Roman" w:cs="Times New Roman"/>
                <w:b/>
                <w:sz w:val="19"/>
              </w:rPr>
            </w:pPr>
          </w:p>
        </w:tc>
        <w:tc>
          <w:tcPr>
            <w:tcW w:w="940" w:type="dxa"/>
            <w:tcBorders>
              <w:right w:val="single" w:sz="8" w:space="0" w:color="auto"/>
            </w:tcBorders>
            <w:shd w:val="clear" w:color="auto" w:fill="auto"/>
            <w:vAlign w:val="bottom"/>
          </w:tcPr>
          <w:p w14:paraId="7D661C24" w14:textId="77777777" w:rsidR="00A52778" w:rsidRPr="00460F9E" w:rsidRDefault="00A52778" w:rsidP="00FC3F8E">
            <w:pPr>
              <w:spacing w:line="0" w:lineRule="atLeast"/>
              <w:rPr>
                <w:rFonts w:eastAsia="Times New Roman" w:cs="Times New Roman"/>
                <w:b/>
                <w:sz w:val="19"/>
              </w:rPr>
            </w:pPr>
          </w:p>
        </w:tc>
        <w:tc>
          <w:tcPr>
            <w:tcW w:w="880" w:type="dxa"/>
            <w:shd w:val="clear" w:color="auto" w:fill="auto"/>
            <w:vAlign w:val="bottom"/>
          </w:tcPr>
          <w:p w14:paraId="51529061" w14:textId="77777777" w:rsidR="00A52778" w:rsidRPr="00460F9E" w:rsidRDefault="00A52778" w:rsidP="00FC3F8E">
            <w:pPr>
              <w:spacing w:line="0" w:lineRule="atLeast"/>
              <w:rPr>
                <w:rFonts w:eastAsia="Times New Roman" w:cs="Times New Roman"/>
                <w:b/>
                <w:sz w:val="19"/>
              </w:rPr>
            </w:pPr>
          </w:p>
        </w:tc>
        <w:tc>
          <w:tcPr>
            <w:tcW w:w="1100" w:type="dxa"/>
            <w:tcBorders>
              <w:right w:val="single" w:sz="8" w:space="0" w:color="auto"/>
            </w:tcBorders>
            <w:shd w:val="clear" w:color="auto" w:fill="auto"/>
            <w:vAlign w:val="bottom"/>
          </w:tcPr>
          <w:p w14:paraId="6779CA74" w14:textId="77777777" w:rsidR="00A52778" w:rsidRPr="00460F9E" w:rsidRDefault="00A52778" w:rsidP="00FC3F8E">
            <w:pPr>
              <w:spacing w:line="0" w:lineRule="atLeast"/>
              <w:rPr>
                <w:rFonts w:eastAsia="Times New Roman" w:cs="Times New Roman"/>
                <w:b/>
                <w:sz w:val="19"/>
              </w:rPr>
            </w:pPr>
          </w:p>
        </w:tc>
        <w:tc>
          <w:tcPr>
            <w:tcW w:w="1700" w:type="dxa"/>
            <w:tcBorders>
              <w:right w:val="single" w:sz="8" w:space="0" w:color="auto"/>
            </w:tcBorders>
            <w:shd w:val="clear" w:color="auto" w:fill="auto"/>
            <w:vAlign w:val="bottom"/>
          </w:tcPr>
          <w:p w14:paraId="4658AF96" w14:textId="77777777" w:rsidR="00A52778" w:rsidRPr="00460F9E" w:rsidRDefault="00A52778" w:rsidP="00FC3F8E">
            <w:pPr>
              <w:spacing w:line="228" w:lineRule="exact"/>
              <w:jc w:val="center"/>
              <w:rPr>
                <w:rFonts w:eastAsia="Times New Roman" w:cs="Times New Roman"/>
                <w:b/>
                <w:w w:val="99"/>
                <w:sz w:val="12"/>
              </w:rPr>
            </w:pPr>
            <w:r w:rsidRPr="00460F9E">
              <w:rPr>
                <w:rFonts w:eastAsia="Times New Roman" w:cs="Times New Roman"/>
                <w:w w:val="99"/>
              </w:rPr>
              <w:t>SO</w:t>
            </w:r>
            <w:r w:rsidRPr="00460F9E">
              <w:rPr>
                <w:rFonts w:eastAsia="Times New Roman" w:cs="Times New Roman"/>
                <w:w w:val="99"/>
                <w:sz w:val="12"/>
              </w:rPr>
              <w:t>X</w:t>
            </w:r>
          </w:p>
        </w:tc>
        <w:tc>
          <w:tcPr>
            <w:tcW w:w="440" w:type="dxa"/>
            <w:shd w:val="clear" w:color="auto" w:fill="auto"/>
            <w:vAlign w:val="bottom"/>
          </w:tcPr>
          <w:p w14:paraId="5354F977" w14:textId="77777777" w:rsidR="00A52778" w:rsidRPr="00460F9E" w:rsidRDefault="00A52778" w:rsidP="00FC3F8E">
            <w:pPr>
              <w:spacing w:line="0" w:lineRule="atLeast"/>
              <w:rPr>
                <w:rFonts w:eastAsia="Times New Roman" w:cs="Times New Roman"/>
                <w:b/>
                <w:sz w:val="19"/>
              </w:rPr>
            </w:pPr>
          </w:p>
        </w:tc>
        <w:tc>
          <w:tcPr>
            <w:tcW w:w="260" w:type="dxa"/>
            <w:shd w:val="clear" w:color="auto" w:fill="auto"/>
            <w:vAlign w:val="bottom"/>
          </w:tcPr>
          <w:p w14:paraId="7DF31A40" w14:textId="77777777" w:rsidR="00A52778" w:rsidRPr="00460F9E" w:rsidRDefault="00A52778" w:rsidP="00FC3F8E">
            <w:pPr>
              <w:spacing w:line="0" w:lineRule="atLeast"/>
              <w:rPr>
                <w:rFonts w:eastAsia="Times New Roman" w:cs="Times New Roman"/>
                <w:b/>
                <w:sz w:val="19"/>
              </w:rPr>
            </w:pPr>
          </w:p>
        </w:tc>
        <w:tc>
          <w:tcPr>
            <w:tcW w:w="180" w:type="dxa"/>
            <w:shd w:val="clear" w:color="auto" w:fill="auto"/>
            <w:vAlign w:val="bottom"/>
          </w:tcPr>
          <w:p w14:paraId="72430926" w14:textId="77777777" w:rsidR="00A52778" w:rsidRPr="00460F9E" w:rsidRDefault="00A52778" w:rsidP="00FC3F8E">
            <w:pPr>
              <w:spacing w:line="0" w:lineRule="atLeast"/>
              <w:rPr>
                <w:rFonts w:eastAsia="Times New Roman" w:cs="Times New Roman"/>
                <w:b/>
                <w:sz w:val="19"/>
              </w:rPr>
            </w:pPr>
          </w:p>
        </w:tc>
        <w:tc>
          <w:tcPr>
            <w:tcW w:w="420" w:type="dxa"/>
            <w:shd w:val="clear" w:color="auto" w:fill="auto"/>
            <w:vAlign w:val="bottom"/>
          </w:tcPr>
          <w:p w14:paraId="10C2F968" w14:textId="77777777" w:rsidR="00A52778" w:rsidRPr="00460F9E" w:rsidRDefault="00A52778" w:rsidP="00FC3F8E">
            <w:pPr>
              <w:spacing w:line="0" w:lineRule="atLeast"/>
              <w:rPr>
                <w:rFonts w:eastAsia="Times New Roman" w:cs="Times New Roman"/>
                <w:b/>
                <w:sz w:val="19"/>
              </w:rPr>
            </w:pPr>
          </w:p>
        </w:tc>
        <w:tc>
          <w:tcPr>
            <w:tcW w:w="320" w:type="dxa"/>
            <w:shd w:val="clear" w:color="auto" w:fill="auto"/>
            <w:vAlign w:val="bottom"/>
          </w:tcPr>
          <w:p w14:paraId="22E6D556" w14:textId="77777777" w:rsidR="00A52778" w:rsidRPr="00460F9E" w:rsidRDefault="00A52778" w:rsidP="00FC3F8E">
            <w:pPr>
              <w:spacing w:line="0" w:lineRule="atLeast"/>
              <w:rPr>
                <w:rFonts w:eastAsia="Times New Roman" w:cs="Times New Roman"/>
                <w:b/>
                <w:sz w:val="19"/>
              </w:rPr>
            </w:pPr>
          </w:p>
        </w:tc>
        <w:tc>
          <w:tcPr>
            <w:tcW w:w="340" w:type="dxa"/>
            <w:shd w:val="clear" w:color="auto" w:fill="auto"/>
            <w:vAlign w:val="bottom"/>
          </w:tcPr>
          <w:p w14:paraId="0C9313D2" w14:textId="77777777" w:rsidR="00A52778" w:rsidRPr="00460F9E" w:rsidRDefault="00A52778" w:rsidP="00FC3F8E">
            <w:pPr>
              <w:spacing w:line="0" w:lineRule="atLeast"/>
              <w:rPr>
                <w:rFonts w:eastAsia="Times New Roman" w:cs="Times New Roman"/>
                <w:b/>
                <w:sz w:val="19"/>
              </w:rPr>
            </w:pPr>
          </w:p>
        </w:tc>
        <w:tc>
          <w:tcPr>
            <w:tcW w:w="80" w:type="dxa"/>
            <w:shd w:val="clear" w:color="auto" w:fill="auto"/>
            <w:vAlign w:val="bottom"/>
          </w:tcPr>
          <w:p w14:paraId="016C0F06" w14:textId="77777777" w:rsidR="00A52778" w:rsidRPr="00460F9E" w:rsidRDefault="00A52778" w:rsidP="00FC3F8E">
            <w:pPr>
              <w:spacing w:line="0" w:lineRule="atLeast"/>
              <w:rPr>
                <w:rFonts w:eastAsia="Times New Roman" w:cs="Times New Roman"/>
                <w:b/>
                <w:sz w:val="19"/>
              </w:rPr>
            </w:pPr>
          </w:p>
        </w:tc>
        <w:tc>
          <w:tcPr>
            <w:tcW w:w="260" w:type="dxa"/>
            <w:shd w:val="clear" w:color="auto" w:fill="auto"/>
            <w:vAlign w:val="bottom"/>
          </w:tcPr>
          <w:p w14:paraId="29890158" w14:textId="77777777" w:rsidR="00A52778" w:rsidRPr="00460F9E" w:rsidRDefault="00A52778" w:rsidP="00FC3F8E">
            <w:pPr>
              <w:spacing w:line="0" w:lineRule="atLeast"/>
              <w:rPr>
                <w:rFonts w:eastAsia="Times New Roman" w:cs="Times New Roman"/>
                <w:b/>
                <w:sz w:val="19"/>
              </w:rPr>
            </w:pPr>
          </w:p>
        </w:tc>
        <w:tc>
          <w:tcPr>
            <w:tcW w:w="460" w:type="dxa"/>
            <w:tcBorders>
              <w:right w:val="single" w:sz="8" w:space="0" w:color="auto"/>
            </w:tcBorders>
            <w:shd w:val="clear" w:color="auto" w:fill="auto"/>
            <w:vAlign w:val="bottom"/>
          </w:tcPr>
          <w:p w14:paraId="08054E3C" w14:textId="77777777" w:rsidR="00A52778" w:rsidRPr="00460F9E" w:rsidRDefault="00A52778" w:rsidP="00FC3F8E">
            <w:pPr>
              <w:spacing w:line="0" w:lineRule="atLeast"/>
              <w:rPr>
                <w:rFonts w:eastAsia="Times New Roman" w:cs="Times New Roman"/>
                <w:b/>
                <w:sz w:val="19"/>
              </w:rPr>
            </w:pPr>
          </w:p>
        </w:tc>
      </w:tr>
      <w:tr w:rsidR="00A52778" w:rsidRPr="00460F9E" w14:paraId="48C8D40E" w14:textId="77777777" w:rsidTr="00FC3F8E">
        <w:trPr>
          <w:gridAfter w:val="1"/>
          <w:wAfter w:w="720" w:type="dxa"/>
          <w:trHeight w:val="238"/>
        </w:trPr>
        <w:tc>
          <w:tcPr>
            <w:tcW w:w="400" w:type="dxa"/>
            <w:tcBorders>
              <w:left w:val="single" w:sz="8" w:space="0" w:color="auto"/>
              <w:bottom w:val="single" w:sz="8" w:space="0" w:color="auto"/>
              <w:right w:val="single" w:sz="8" w:space="0" w:color="auto"/>
            </w:tcBorders>
            <w:shd w:val="clear" w:color="auto" w:fill="auto"/>
            <w:vAlign w:val="bottom"/>
          </w:tcPr>
          <w:p w14:paraId="15EBA86A" w14:textId="77777777" w:rsidR="00A52778" w:rsidRPr="00460F9E" w:rsidRDefault="00A52778" w:rsidP="00FC3F8E">
            <w:pPr>
              <w:spacing w:line="0" w:lineRule="atLeast"/>
              <w:rPr>
                <w:rFonts w:eastAsia="Times New Roman" w:cs="Times New Roman"/>
                <w:b/>
              </w:rPr>
            </w:pPr>
          </w:p>
        </w:tc>
        <w:tc>
          <w:tcPr>
            <w:tcW w:w="880" w:type="dxa"/>
            <w:tcBorders>
              <w:bottom w:val="single" w:sz="8" w:space="0" w:color="auto"/>
            </w:tcBorders>
            <w:shd w:val="clear" w:color="auto" w:fill="auto"/>
            <w:vAlign w:val="bottom"/>
          </w:tcPr>
          <w:p w14:paraId="0CA8B165" w14:textId="77777777" w:rsidR="00A52778" w:rsidRPr="00460F9E" w:rsidRDefault="00A52778" w:rsidP="00FC3F8E">
            <w:pPr>
              <w:spacing w:line="0" w:lineRule="atLeast"/>
              <w:rPr>
                <w:rFonts w:eastAsia="Times New Roman" w:cs="Times New Roman"/>
                <w:b/>
              </w:rPr>
            </w:pPr>
          </w:p>
        </w:tc>
        <w:tc>
          <w:tcPr>
            <w:tcW w:w="940" w:type="dxa"/>
            <w:tcBorders>
              <w:bottom w:val="single" w:sz="8" w:space="0" w:color="auto"/>
              <w:right w:val="single" w:sz="8" w:space="0" w:color="auto"/>
            </w:tcBorders>
            <w:shd w:val="clear" w:color="auto" w:fill="auto"/>
            <w:vAlign w:val="bottom"/>
          </w:tcPr>
          <w:p w14:paraId="3EAA1CB9" w14:textId="77777777" w:rsidR="00A52778" w:rsidRPr="00460F9E" w:rsidRDefault="00A52778" w:rsidP="00FC3F8E">
            <w:pPr>
              <w:spacing w:line="0" w:lineRule="atLeast"/>
              <w:rPr>
                <w:rFonts w:eastAsia="Times New Roman" w:cs="Times New Roman"/>
                <w:b/>
              </w:rPr>
            </w:pPr>
          </w:p>
        </w:tc>
        <w:tc>
          <w:tcPr>
            <w:tcW w:w="1980" w:type="dxa"/>
            <w:gridSpan w:val="2"/>
            <w:tcBorders>
              <w:bottom w:val="single" w:sz="8" w:space="0" w:color="auto"/>
              <w:right w:val="single" w:sz="8" w:space="0" w:color="auto"/>
            </w:tcBorders>
            <w:shd w:val="clear" w:color="auto" w:fill="auto"/>
            <w:vAlign w:val="bottom"/>
          </w:tcPr>
          <w:p w14:paraId="1F1CC56B" w14:textId="77777777" w:rsidR="00A52778" w:rsidRPr="00460F9E" w:rsidRDefault="00A52778" w:rsidP="00FC3F8E">
            <w:pPr>
              <w:spacing w:line="0" w:lineRule="atLeast"/>
              <w:rPr>
                <w:rFonts w:eastAsia="Times New Roman" w:cs="Times New Roman"/>
                <w:b/>
              </w:rPr>
            </w:pPr>
          </w:p>
        </w:tc>
        <w:tc>
          <w:tcPr>
            <w:tcW w:w="1700" w:type="dxa"/>
            <w:tcBorders>
              <w:bottom w:val="single" w:sz="8" w:space="0" w:color="auto"/>
              <w:right w:val="single" w:sz="8" w:space="0" w:color="auto"/>
            </w:tcBorders>
            <w:shd w:val="clear" w:color="auto" w:fill="auto"/>
            <w:vAlign w:val="bottom"/>
          </w:tcPr>
          <w:p w14:paraId="2DCE560A" w14:textId="77777777" w:rsidR="00A52778" w:rsidRPr="00460F9E" w:rsidRDefault="00A52778" w:rsidP="00FC3F8E">
            <w:pPr>
              <w:spacing w:line="0" w:lineRule="atLeast"/>
              <w:rPr>
                <w:rFonts w:eastAsia="Times New Roman" w:cs="Times New Roman"/>
                <w:b/>
              </w:rPr>
            </w:pPr>
          </w:p>
        </w:tc>
        <w:tc>
          <w:tcPr>
            <w:tcW w:w="440" w:type="dxa"/>
            <w:tcBorders>
              <w:bottom w:val="single" w:sz="8" w:space="0" w:color="auto"/>
            </w:tcBorders>
            <w:shd w:val="clear" w:color="auto" w:fill="auto"/>
            <w:vAlign w:val="bottom"/>
          </w:tcPr>
          <w:p w14:paraId="5FC79200" w14:textId="77777777" w:rsidR="00A52778" w:rsidRPr="00460F9E" w:rsidRDefault="00A52778" w:rsidP="00FC3F8E">
            <w:pPr>
              <w:spacing w:line="0" w:lineRule="atLeast"/>
              <w:rPr>
                <w:rFonts w:eastAsia="Times New Roman" w:cs="Times New Roman"/>
                <w:b/>
              </w:rPr>
            </w:pPr>
          </w:p>
        </w:tc>
        <w:tc>
          <w:tcPr>
            <w:tcW w:w="260" w:type="dxa"/>
            <w:tcBorders>
              <w:bottom w:val="single" w:sz="8" w:space="0" w:color="auto"/>
            </w:tcBorders>
            <w:shd w:val="clear" w:color="auto" w:fill="auto"/>
            <w:vAlign w:val="bottom"/>
          </w:tcPr>
          <w:p w14:paraId="0638F813" w14:textId="77777777" w:rsidR="00A52778" w:rsidRPr="00460F9E" w:rsidRDefault="00A52778" w:rsidP="00FC3F8E">
            <w:pPr>
              <w:spacing w:line="0" w:lineRule="atLeast"/>
              <w:rPr>
                <w:rFonts w:eastAsia="Times New Roman" w:cs="Times New Roman"/>
                <w:b/>
              </w:rPr>
            </w:pPr>
          </w:p>
        </w:tc>
        <w:tc>
          <w:tcPr>
            <w:tcW w:w="180" w:type="dxa"/>
            <w:tcBorders>
              <w:bottom w:val="single" w:sz="8" w:space="0" w:color="auto"/>
            </w:tcBorders>
            <w:shd w:val="clear" w:color="auto" w:fill="auto"/>
            <w:vAlign w:val="bottom"/>
          </w:tcPr>
          <w:p w14:paraId="52919DDC" w14:textId="77777777" w:rsidR="00A52778" w:rsidRPr="00460F9E" w:rsidRDefault="00A52778" w:rsidP="00FC3F8E">
            <w:pPr>
              <w:spacing w:line="0" w:lineRule="atLeast"/>
              <w:rPr>
                <w:rFonts w:eastAsia="Times New Roman" w:cs="Times New Roman"/>
                <w:b/>
              </w:rPr>
            </w:pPr>
          </w:p>
        </w:tc>
        <w:tc>
          <w:tcPr>
            <w:tcW w:w="420" w:type="dxa"/>
            <w:tcBorders>
              <w:bottom w:val="single" w:sz="8" w:space="0" w:color="auto"/>
            </w:tcBorders>
            <w:shd w:val="clear" w:color="auto" w:fill="auto"/>
            <w:vAlign w:val="bottom"/>
          </w:tcPr>
          <w:p w14:paraId="3761DA2A" w14:textId="77777777" w:rsidR="00A52778" w:rsidRPr="00460F9E" w:rsidRDefault="00A52778" w:rsidP="00FC3F8E">
            <w:pPr>
              <w:spacing w:line="0" w:lineRule="atLeast"/>
              <w:rPr>
                <w:rFonts w:eastAsia="Times New Roman" w:cs="Times New Roman"/>
                <w:b/>
              </w:rPr>
            </w:pPr>
          </w:p>
        </w:tc>
        <w:tc>
          <w:tcPr>
            <w:tcW w:w="320" w:type="dxa"/>
            <w:tcBorders>
              <w:bottom w:val="single" w:sz="8" w:space="0" w:color="auto"/>
            </w:tcBorders>
            <w:shd w:val="clear" w:color="auto" w:fill="auto"/>
            <w:vAlign w:val="bottom"/>
          </w:tcPr>
          <w:p w14:paraId="3FFB3D8C" w14:textId="77777777" w:rsidR="00A52778" w:rsidRPr="00460F9E" w:rsidRDefault="00A52778" w:rsidP="00FC3F8E">
            <w:pPr>
              <w:spacing w:line="0" w:lineRule="atLeast"/>
              <w:rPr>
                <w:rFonts w:eastAsia="Times New Roman" w:cs="Times New Roman"/>
                <w:b/>
              </w:rPr>
            </w:pPr>
          </w:p>
        </w:tc>
        <w:tc>
          <w:tcPr>
            <w:tcW w:w="340" w:type="dxa"/>
            <w:tcBorders>
              <w:bottom w:val="single" w:sz="8" w:space="0" w:color="auto"/>
            </w:tcBorders>
            <w:shd w:val="clear" w:color="auto" w:fill="auto"/>
            <w:vAlign w:val="bottom"/>
          </w:tcPr>
          <w:p w14:paraId="2474F7DB" w14:textId="77777777" w:rsidR="00A52778" w:rsidRPr="00460F9E" w:rsidRDefault="00A52778" w:rsidP="00FC3F8E">
            <w:pPr>
              <w:spacing w:line="0" w:lineRule="atLeast"/>
              <w:rPr>
                <w:rFonts w:eastAsia="Times New Roman" w:cs="Times New Roman"/>
                <w:b/>
              </w:rPr>
            </w:pPr>
          </w:p>
        </w:tc>
        <w:tc>
          <w:tcPr>
            <w:tcW w:w="80" w:type="dxa"/>
            <w:tcBorders>
              <w:bottom w:val="single" w:sz="8" w:space="0" w:color="auto"/>
            </w:tcBorders>
            <w:shd w:val="clear" w:color="auto" w:fill="auto"/>
            <w:vAlign w:val="bottom"/>
          </w:tcPr>
          <w:p w14:paraId="365557CA" w14:textId="77777777" w:rsidR="00A52778" w:rsidRPr="00460F9E" w:rsidRDefault="00A52778" w:rsidP="00FC3F8E">
            <w:pPr>
              <w:spacing w:line="0" w:lineRule="atLeast"/>
              <w:rPr>
                <w:rFonts w:eastAsia="Times New Roman" w:cs="Times New Roman"/>
                <w:b/>
              </w:rPr>
            </w:pPr>
          </w:p>
        </w:tc>
        <w:tc>
          <w:tcPr>
            <w:tcW w:w="260" w:type="dxa"/>
            <w:tcBorders>
              <w:bottom w:val="single" w:sz="8" w:space="0" w:color="auto"/>
            </w:tcBorders>
            <w:shd w:val="clear" w:color="auto" w:fill="auto"/>
            <w:vAlign w:val="bottom"/>
          </w:tcPr>
          <w:p w14:paraId="0315A1F3" w14:textId="77777777" w:rsidR="00A52778" w:rsidRPr="00460F9E" w:rsidRDefault="00A52778" w:rsidP="00FC3F8E">
            <w:pPr>
              <w:spacing w:line="0" w:lineRule="atLeast"/>
              <w:rPr>
                <w:rFonts w:eastAsia="Times New Roman" w:cs="Times New Roman"/>
                <w:b/>
              </w:rPr>
            </w:pPr>
          </w:p>
        </w:tc>
        <w:tc>
          <w:tcPr>
            <w:tcW w:w="460" w:type="dxa"/>
            <w:tcBorders>
              <w:bottom w:val="single" w:sz="8" w:space="0" w:color="auto"/>
              <w:right w:val="single" w:sz="8" w:space="0" w:color="auto"/>
            </w:tcBorders>
            <w:shd w:val="clear" w:color="auto" w:fill="auto"/>
            <w:vAlign w:val="bottom"/>
          </w:tcPr>
          <w:p w14:paraId="6FF29847" w14:textId="77777777" w:rsidR="00A52778" w:rsidRPr="00460F9E" w:rsidRDefault="00A52778" w:rsidP="00FC3F8E">
            <w:pPr>
              <w:spacing w:line="0" w:lineRule="atLeast"/>
              <w:rPr>
                <w:rFonts w:eastAsia="Times New Roman" w:cs="Times New Roman"/>
                <w:b/>
              </w:rPr>
            </w:pPr>
          </w:p>
        </w:tc>
      </w:tr>
      <w:tr w:rsidR="00A52778" w:rsidRPr="00460F9E" w14:paraId="716B1519" w14:textId="77777777" w:rsidTr="00FC3F8E">
        <w:trPr>
          <w:gridAfter w:val="1"/>
          <w:wAfter w:w="720" w:type="dxa"/>
          <w:trHeight w:val="214"/>
        </w:trPr>
        <w:tc>
          <w:tcPr>
            <w:tcW w:w="400" w:type="dxa"/>
            <w:tcBorders>
              <w:left w:val="single" w:sz="8" w:space="0" w:color="auto"/>
              <w:right w:val="single" w:sz="8" w:space="0" w:color="auto"/>
            </w:tcBorders>
            <w:shd w:val="clear" w:color="auto" w:fill="auto"/>
            <w:vAlign w:val="bottom"/>
          </w:tcPr>
          <w:p w14:paraId="5B7BFC05" w14:textId="77777777" w:rsidR="00A52778" w:rsidRPr="00460F9E" w:rsidRDefault="00A52778" w:rsidP="00FC3F8E">
            <w:pPr>
              <w:spacing w:line="0" w:lineRule="atLeast"/>
              <w:rPr>
                <w:rFonts w:eastAsia="Times New Roman" w:cs="Times New Roman"/>
                <w:b/>
                <w:sz w:val="18"/>
              </w:rPr>
            </w:pPr>
          </w:p>
        </w:tc>
        <w:tc>
          <w:tcPr>
            <w:tcW w:w="880" w:type="dxa"/>
            <w:shd w:val="clear" w:color="auto" w:fill="auto"/>
            <w:vAlign w:val="bottom"/>
          </w:tcPr>
          <w:p w14:paraId="3E802AFA" w14:textId="77777777" w:rsidR="00A52778" w:rsidRPr="00460F9E" w:rsidRDefault="00A52778" w:rsidP="00FC3F8E">
            <w:pPr>
              <w:spacing w:line="0" w:lineRule="atLeast"/>
              <w:rPr>
                <w:rFonts w:eastAsia="Times New Roman" w:cs="Times New Roman"/>
                <w:b/>
                <w:sz w:val="18"/>
              </w:rPr>
            </w:pPr>
          </w:p>
        </w:tc>
        <w:tc>
          <w:tcPr>
            <w:tcW w:w="940" w:type="dxa"/>
            <w:tcBorders>
              <w:right w:val="single" w:sz="8" w:space="0" w:color="auto"/>
            </w:tcBorders>
            <w:shd w:val="clear" w:color="auto" w:fill="auto"/>
            <w:vAlign w:val="bottom"/>
          </w:tcPr>
          <w:p w14:paraId="55FD8685" w14:textId="77777777" w:rsidR="00A52778" w:rsidRPr="00460F9E" w:rsidRDefault="00A52778" w:rsidP="00FC3F8E">
            <w:pPr>
              <w:spacing w:line="0" w:lineRule="atLeast"/>
              <w:rPr>
                <w:rFonts w:eastAsia="Times New Roman" w:cs="Times New Roman"/>
                <w:b/>
                <w:sz w:val="18"/>
              </w:rPr>
            </w:pPr>
          </w:p>
        </w:tc>
        <w:tc>
          <w:tcPr>
            <w:tcW w:w="1980" w:type="dxa"/>
            <w:gridSpan w:val="2"/>
            <w:tcBorders>
              <w:right w:val="single" w:sz="8" w:space="0" w:color="auto"/>
            </w:tcBorders>
            <w:shd w:val="clear" w:color="auto" w:fill="auto"/>
            <w:vAlign w:val="bottom"/>
          </w:tcPr>
          <w:p w14:paraId="7A1E8404" w14:textId="77777777" w:rsidR="00A52778" w:rsidRPr="00460F9E" w:rsidRDefault="00A52778" w:rsidP="00FC3F8E">
            <w:pPr>
              <w:spacing w:line="214" w:lineRule="exact"/>
              <w:ind w:left="8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1700" w:type="dxa"/>
            <w:tcBorders>
              <w:right w:val="single" w:sz="8" w:space="0" w:color="auto"/>
            </w:tcBorders>
            <w:shd w:val="clear" w:color="auto" w:fill="auto"/>
            <w:vAlign w:val="bottom"/>
          </w:tcPr>
          <w:p w14:paraId="7FBB7646" w14:textId="77777777" w:rsidR="00A52778" w:rsidRPr="00460F9E" w:rsidRDefault="00A52778" w:rsidP="00FC3F8E">
            <w:pPr>
              <w:spacing w:line="0" w:lineRule="atLeast"/>
              <w:rPr>
                <w:rFonts w:eastAsia="Times New Roman" w:cs="Times New Roman"/>
                <w:b/>
                <w:sz w:val="18"/>
              </w:rPr>
            </w:pPr>
          </w:p>
        </w:tc>
        <w:tc>
          <w:tcPr>
            <w:tcW w:w="440" w:type="dxa"/>
            <w:shd w:val="clear" w:color="auto" w:fill="auto"/>
            <w:vAlign w:val="bottom"/>
          </w:tcPr>
          <w:p w14:paraId="55B56020" w14:textId="77777777" w:rsidR="00A52778" w:rsidRPr="00460F9E" w:rsidRDefault="00A52778" w:rsidP="00FC3F8E">
            <w:pPr>
              <w:spacing w:line="0" w:lineRule="atLeast"/>
              <w:rPr>
                <w:rFonts w:eastAsia="Times New Roman" w:cs="Times New Roman"/>
                <w:b/>
                <w:sz w:val="18"/>
              </w:rPr>
            </w:pPr>
          </w:p>
        </w:tc>
        <w:tc>
          <w:tcPr>
            <w:tcW w:w="260" w:type="dxa"/>
            <w:shd w:val="clear" w:color="auto" w:fill="auto"/>
            <w:vAlign w:val="bottom"/>
          </w:tcPr>
          <w:p w14:paraId="2A359FD7" w14:textId="77777777" w:rsidR="00A52778" w:rsidRPr="00460F9E" w:rsidRDefault="00A52778" w:rsidP="00FC3F8E">
            <w:pPr>
              <w:spacing w:line="0" w:lineRule="atLeast"/>
              <w:rPr>
                <w:rFonts w:eastAsia="Times New Roman" w:cs="Times New Roman"/>
                <w:b/>
                <w:sz w:val="18"/>
              </w:rPr>
            </w:pPr>
          </w:p>
        </w:tc>
        <w:tc>
          <w:tcPr>
            <w:tcW w:w="180" w:type="dxa"/>
            <w:shd w:val="clear" w:color="auto" w:fill="auto"/>
            <w:vAlign w:val="bottom"/>
          </w:tcPr>
          <w:p w14:paraId="6641CA61" w14:textId="77777777" w:rsidR="00A52778" w:rsidRPr="00460F9E" w:rsidRDefault="00A52778" w:rsidP="00FC3F8E">
            <w:pPr>
              <w:spacing w:line="0" w:lineRule="atLeast"/>
              <w:rPr>
                <w:rFonts w:eastAsia="Times New Roman" w:cs="Times New Roman"/>
                <w:b/>
                <w:sz w:val="18"/>
              </w:rPr>
            </w:pPr>
          </w:p>
        </w:tc>
        <w:tc>
          <w:tcPr>
            <w:tcW w:w="420" w:type="dxa"/>
            <w:shd w:val="clear" w:color="auto" w:fill="auto"/>
            <w:vAlign w:val="bottom"/>
          </w:tcPr>
          <w:p w14:paraId="04FDCBD3" w14:textId="77777777" w:rsidR="00A52778" w:rsidRPr="00460F9E" w:rsidRDefault="00A52778" w:rsidP="00FC3F8E">
            <w:pPr>
              <w:spacing w:line="0" w:lineRule="atLeast"/>
              <w:rPr>
                <w:rFonts w:eastAsia="Times New Roman" w:cs="Times New Roman"/>
                <w:b/>
                <w:sz w:val="18"/>
              </w:rPr>
            </w:pPr>
          </w:p>
        </w:tc>
        <w:tc>
          <w:tcPr>
            <w:tcW w:w="320" w:type="dxa"/>
            <w:shd w:val="clear" w:color="auto" w:fill="auto"/>
            <w:vAlign w:val="bottom"/>
          </w:tcPr>
          <w:p w14:paraId="1781164D" w14:textId="77777777" w:rsidR="00A52778" w:rsidRPr="00460F9E" w:rsidRDefault="00A52778" w:rsidP="00FC3F8E">
            <w:pPr>
              <w:spacing w:line="0" w:lineRule="atLeast"/>
              <w:rPr>
                <w:rFonts w:eastAsia="Times New Roman" w:cs="Times New Roman"/>
                <w:b/>
                <w:sz w:val="18"/>
              </w:rPr>
            </w:pPr>
          </w:p>
        </w:tc>
        <w:tc>
          <w:tcPr>
            <w:tcW w:w="340" w:type="dxa"/>
            <w:shd w:val="clear" w:color="auto" w:fill="auto"/>
            <w:vAlign w:val="bottom"/>
          </w:tcPr>
          <w:p w14:paraId="4E4147BC" w14:textId="77777777" w:rsidR="00A52778" w:rsidRPr="00460F9E" w:rsidRDefault="00A52778" w:rsidP="00FC3F8E">
            <w:pPr>
              <w:spacing w:line="0" w:lineRule="atLeast"/>
              <w:rPr>
                <w:rFonts w:eastAsia="Times New Roman" w:cs="Times New Roman"/>
                <w:b/>
                <w:sz w:val="18"/>
              </w:rPr>
            </w:pPr>
          </w:p>
        </w:tc>
        <w:tc>
          <w:tcPr>
            <w:tcW w:w="80" w:type="dxa"/>
            <w:shd w:val="clear" w:color="auto" w:fill="auto"/>
            <w:vAlign w:val="bottom"/>
          </w:tcPr>
          <w:p w14:paraId="3969E73E" w14:textId="77777777" w:rsidR="00A52778" w:rsidRPr="00460F9E" w:rsidRDefault="00A52778" w:rsidP="00FC3F8E">
            <w:pPr>
              <w:spacing w:line="0" w:lineRule="atLeast"/>
              <w:rPr>
                <w:rFonts w:eastAsia="Times New Roman" w:cs="Times New Roman"/>
                <w:b/>
                <w:sz w:val="18"/>
              </w:rPr>
            </w:pPr>
          </w:p>
        </w:tc>
        <w:tc>
          <w:tcPr>
            <w:tcW w:w="260" w:type="dxa"/>
            <w:shd w:val="clear" w:color="auto" w:fill="auto"/>
            <w:vAlign w:val="bottom"/>
          </w:tcPr>
          <w:p w14:paraId="2ED8F73D" w14:textId="77777777" w:rsidR="00A52778" w:rsidRPr="00460F9E" w:rsidRDefault="00A52778" w:rsidP="00FC3F8E">
            <w:pPr>
              <w:spacing w:line="0" w:lineRule="atLeast"/>
              <w:rPr>
                <w:rFonts w:eastAsia="Times New Roman" w:cs="Times New Roman"/>
                <w:b/>
                <w:sz w:val="18"/>
              </w:rPr>
            </w:pPr>
          </w:p>
        </w:tc>
        <w:tc>
          <w:tcPr>
            <w:tcW w:w="460" w:type="dxa"/>
            <w:tcBorders>
              <w:right w:val="single" w:sz="8" w:space="0" w:color="auto"/>
            </w:tcBorders>
            <w:shd w:val="clear" w:color="auto" w:fill="auto"/>
            <w:vAlign w:val="bottom"/>
          </w:tcPr>
          <w:p w14:paraId="54919E19" w14:textId="77777777" w:rsidR="00A52778" w:rsidRPr="00460F9E" w:rsidRDefault="00A52778" w:rsidP="00FC3F8E">
            <w:pPr>
              <w:spacing w:line="0" w:lineRule="atLeast"/>
              <w:rPr>
                <w:rFonts w:eastAsia="Times New Roman" w:cs="Times New Roman"/>
                <w:b/>
                <w:sz w:val="18"/>
              </w:rPr>
            </w:pPr>
          </w:p>
        </w:tc>
      </w:tr>
      <w:tr w:rsidR="00A52778" w:rsidRPr="00460F9E" w14:paraId="2A8309B6" w14:textId="77777777" w:rsidTr="00FC3F8E">
        <w:trPr>
          <w:gridAfter w:val="1"/>
          <w:wAfter w:w="720" w:type="dxa"/>
          <w:trHeight w:val="230"/>
        </w:trPr>
        <w:tc>
          <w:tcPr>
            <w:tcW w:w="400" w:type="dxa"/>
            <w:tcBorders>
              <w:left w:val="single" w:sz="8" w:space="0" w:color="auto"/>
              <w:right w:val="single" w:sz="8" w:space="0" w:color="auto"/>
            </w:tcBorders>
            <w:shd w:val="clear" w:color="auto" w:fill="auto"/>
            <w:vAlign w:val="bottom"/>
          </w:tcPr>
          <w:p w14:paraId="34154F20"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30895FF5" w14:textId="77777777" w:rsidR="00A52778" w:rsidRPr="00460F9E" w:rsidRDefault="00A52778" w:rsidP="00FC3F8E">
            <w:pPr>
              <w:spacing w:line="0" w:lineRule="atLeast"/>
              <w:rPr>
                <w:rFonts w:eastAsia="Times New Roman" w:cs="Times New Roman"/>
                <w:b/>
              </w:rPr>
            </w:pPr>
          </w:p>
        </w:tc>
        <w:tc>
          <w:tcPr>
            <w:tcW w:w="940" w:type="dxa"/>
            <w:tcBorders>
              <w:right w:val="single" w:sz="8" w:space="0" w:color="auto"/>
            </w:tcBorders>
            <w:shd w:val="clear" w:color="auto" w:fill="auto"/>
            <w:vAlign w:val="bottom"/>
          </w:tcPr>
          <w:p w14:paraId="213311F9" w14:textId="77777777" w:rsidR="00A52778" w:rsidRPr="00460F9E" w:rsidRDefault="00A52778" w:rsidP="00FC3F8E">
            <w:pPr>
              <w:spacing w:line="0" w:lineRule="atLeast"/>
              <w:rPr>
                <w:rFonts w:eastAsia="Times New Roman" w:cs="Times New Roman"/>
                <w:b/>
              </w:rPr>
            </w:pPr>
          </w:p>
        </w:tc>
        <w:tc>
          <w:tcPr>
            <w:tcW w:w="1980" w:type="dxa"/>
            <w:gridSpan w:val="2"/>
            <w:vMerge w:val="restart"/>
            <w:tcBorders>
              <w:right w:val="single" w:sz="8" w:space="0" w:color="auto"/>
            </w:tcBorders>
            <w:shd w:val="clear" w:color="auto" w:fill="auto"/>
            <w:vAlign w:val="center"/>
          </w:tcPr>
          <w:p w14:paraId="3F453A60"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İnorganik maddelerin  </w:t>
            </w:r>
          </w:p>
          <w:p w14:paraId="5DDD423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giderilmesi için bu </w:t>
            </w:r>
          </w:p>
          <w:p w14:paraId="0C4189C1"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teknik genellikle bir </w:t>
            </w:r>
          </w:p>
          <w:p w14:paraId="494E61D1"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toz azaltma tekniği ile </w:t>
            </w:r>
          </w:p>
          <w:p w14:paraId="5F0B6B50"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birlikte kullanılır (bkz. </w:t>
            </w:r>
          </w:p>
          <w:p w14:paraId="5420B47A"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MET 14).</w:t>
            </w:r>
          </w:p>
        </w:tc>
        <w:tc>
          <w:tcPr>
            <w:tcW w:w="1700" w:type="dxa"/>
            <w:tcBorders>
              <w:left w:val="single" w:sz="8" w:space="0" w:color="auto"/>
              <w:right w:val="single" w:sz="8" w:space="0" w:color="auto"/>
            </w:tcBorders>
            <w:shd w:val="clear" w:color="auto" w:fill="auto"/>
            <w:vAlign w:val="bottom"/>
          </w:tcPr>
          <w:p w14:paraId="05B8930D" w14:textId="77777777" w:rsidR="00A52778" w:rsidRPr="00460F9E" w:rsidRDefault="00A52778" w:rsidP="00FC3F8E">
            <w:pPr>
              <w:spacing w:line="0" w:lineRule="atLeast"/>
              <w:rPr>
                <w:rFonts w:eastAsia="Times New Roman" w:cs="Times New Roman"/>
                <w:b/>
              </w:rPr>
            </w:pPr>
          </w:p>
        </w:tc>
        <w:tc>
          <w:tcPr>
            <w:tcW w:w="440" w:type="dxa"/>
            <w:shd w:val="clear" w:color="auto" w:fill="auto"/>
            <w:vAlign w:val="bottom"/>
          </w:tcPr>
          <w:p w14:paraId="14EE0E53" w14:textId="77777777" w:rsidR="00A52778" w:rsidRPr="00460F9E" w:rsidRDefault="00A52778" w:rsidP="00FC3F8E">
            <w:pPr>
              <w:spacing w:line="0" w:lineRule="atLeast"/>
              <w:rPr>
                <w:rFonts w:eastAsia="Times New Roman" w:cs="Times New Roman"/>
                <w:b/>
              </w:rPr>
            </w:pPr>
          </w:p>
        </w:tc>
        <w:tc>
          <w:tcPr>
            <w:tcW w:w="260" w:type="dxa"/>
            <w:shd w:val="clear" w:color="auto" w:fill="auto"/>
            <w:vAlign w:val="bottom"/>
          </w:tcPr>
          <w:p w14:paraId="0BA84D43" w14:textId="77777777" w:rsidR="00A52778" w:rsidRPr="00460F9E" w:rsidRDefault="00A52778" w:rsidP="00FC3F8E">
            <w:pPr>
              <w:spacing w:line="0" w:lineRule="atLeast"/>
              <w:rPr>
                <w:rFonts w:eastAsia="Times New Roman" w:cs="Times New Roman"/>
                <w:b/>
              </w:rPr>
            </w:pPr>
          </w:p>
        </w:tc>
        <w:tc>
          <w:tcPr>
            <w:tcW w:w="180" w:type="dxa"/>
            <w:shd w:val="clear" w:color="auto" w:fill="auto"/>
            <w:vAlign w:val="bottom"/>
          </w:tcPr>
          <w:p w14:paraId="52A8C547" w14:textId="77777777" w:rsidR="00A52778" w:rsidRPr="00460F9E" w:rsidRDefault="00A52778" w:rsidP="00FC3F8E">
            <w:pPr>
              <w:spacing w:line="0" w:lineRule="atLeast"/>
              <w:rPr>
                <w:rFonts w:eastAsia="Times New Roman" w:cs="Times New Roman"/>
                <w:b/>
              </w:rPr>
            </w:pPr>
          </w:p>
        </w:tc>
        <w:tc>
          <w:tcPr>
            <w:tcW w:w="420" w:type="dxa"/>
            <w:shd w:val="clear" w:color="auto" w:fill="auto"/>
            <w:vAlign w:val="bottom"/>
          </w:tcPr>
          <w:p w14:paraId="2FA508A4" w14:textId="77777777" w:rsidR="00A52778" w:rsidRPr="00460F9E" w:rsidRDefault="00A52778" w:rsidP="00FC3F8E">
            <w:pPr>
              <w:spacing w:line="0" w:lineRule="atLeast"/>
              <w:rPr>
                <w:rFonts w:eastAsia="Times New Roman" w:cs="Times New Roman"/>
                <w:b/>
              </w:rPr>
            </w:pPr>
          </w:p>
        </w:tc>
        <w:tc>
          <w:tcPr>
            <w:tcW w:w="320" w:type="dxa"/>
            <w:shd w:val="clear" w:color="auto" w:fill="auto"/>
            <w:vAlign w:val="bottom"/>
          </w:tcPr>
          <w:p w14:paraId="694938DE" w14:textId="77777777" w:rsidR="00A52778" w:rsidRPr="00460F9E" w:rsidRDefault="00A52778" w:rsidP="00FC3F8E">
            <w:pPr>
              <w:spacing w:line="0" w:lineRule="atLeast"/>
              <w:rPr>
                <w:rFonts w:eastAsia="Times New Roman" w:cs="Times New Roman"/>
                <w:b/>
              </w:rPr>
            </w:pPr>
          </w:p>
        </w:tc>
        <w:tc>
          <w:tcPr>
            <w:tcW w:w="340" w:type="dxa"/>
            <w:shd w:val="clear" w:color="auto" w:fill="auto"/>
            <w:vAlign w:val="bottom"/>
          </w:tcPr>
          <w:p w14:paraId="39178CD1" w14:textId="77777777" w:rsidR="00A52778" w:rsidRPr="00460F9E" w:rsidRDefault="00A52778" w:rsidP="00FC3F8E">
            <w:pPr>
              <w:spacing w:line="0" w:lineRule="atLeast"/>
              <w:rPr>
                <w:rFonts w:eastAsia="Times New Roman" w:cs="Times New Roman"/>
                <w:b/>
              </w:rPr>
            </w:pPr>
          </w:p>
        </w:tc>
        <w:tc>
          <w:tcPr>
            <w:tcW w:w="80" w:type="dxa"/>
            <w:shd w:val="clear" w:color="auto" w:fill="auto"/>
            <w:vAlign w:val="bottom"/>
          </w:tcPr>
          <w:p w14:paraId="5782048B" w14:textId="77777777" w:rsidR="00A52778" w:rsidRPr="00460F9E" w:rsidRDefault="00A52778" w:rsidP="00FC3F8E">
            <w:pPr>
              <w:spacing w:line="0" w:lineRule="atLeast"/>
              <w:rPr>
                <w:rFonts w:eastAsia="Times New Roman" w:cs="Times New Roman"/>
                <w:b/>
              </w:rPr>
            </w:pPr>
          </w:p>
        </w:tc>
        <w:tc>
          <w:tcPr>
            <w:tcW w:w="260" w:type="dxa"/>
            <w:shd w:val="clear" w:color="auto" w:fill="auto"/>
            <w:vAlign w:val="bottom"/>
          </w:tcPr>
          <w:p w14:paraId="31F52170" w14:textId="77777777" w:rsidR="00A52778" w:rsidRPr="00460F9E" w:rsidRDefault="00A52778" w:rsidP="00FC3F8E">
            <w:pPr>
              <w:spacing w:line="0" w:lineRule="atLeast"/>
              <w:rPr>
                <w:rFonts w:eastAsia="Times New Roman" w:cs="Times New Roman"/>
                <w:b/>
              </w:rPr>
            </w:pPr>
          </w:p>
        </w:tc>
        <w:tc>
          <w:tcPr>
            <w:tcW w:w="460" w:type="dxa"/>
            <w:tcBorders>
              <w:right w:val="single" w:sz="8" w:space="0" w:color="auto"/>
            </w:tcBorders>
            <w:shd w:val="clear" w:color="auto" w:fill="auto"/>
            <w:vAlign w:val="bottom"/>
          </w:tcPr>
          <w:p w14:paraId="24109078" w14:textId="77777777" w:rsidR="00A52778" w:rsidRPr="00460F9E" w:rsidRDefault="00A52778" w:rsidP="00FC3F8E">
            <w:pPr>
              <w:spacing w:line="0" w:lineRule="atLeast"/>
              <w:rPr>
                <w:rFonts w:eastAsia="Times New Roman" w:cs="Times New Roman"/>
                <w:b/>
              </w:rPr>
            </w:pPr>
          </w:p>
        </w:tc>
      </w:tr>
      <w:tr w:rsidR="00A52778" w:rsidRPr="00460F9E" w14:paraId="31A139DD" w14:textId="77777777" w:rsidTr="00FC3F8E">
        <w:trPr>
          <w:gridAfter w:val="1"/>
          <w:wAfter w:w="720" w:type="dxa"/>
          <w:trHeight w:val="230"/>
        </w:trPr>
        <w:tc>
          <w:tcPr>
            <w:tcW w:w="400" w:type="dxa"/>
            <w:tcBorders>
              <w:left w:val="single" w:sz="8" w:space="0" w:color="auto"/>
              <w:right w:val="single" w:sz="8" w:space="0" w:color="auto"/>
            </w:tcBorders>
            <w:shd w:val="clear" w:color="auto" w:fill="auto"/>
            <w:vAlign w:val="bottom"/>
          </w:tcPr>
          <w:p w14:paraId="001854DA"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407BD87B" w14:textId="77777777" w:rsidR="00A52778" w:rsidRPr="00460F9E" w:rsidRDefault="00A52778" w:rsidP="00FC3F8E">
            <w:pPr>
              <w:spacing w:line="0" w:lineRule="atLeast"/>
              <w:rPr>
                <w:rFonts w:eastAsia="Times New Roman" w:cs="Times New Roman"/>
                <w:b/>
              </w:rPr>
            </w:pPr>
          </w:p>
        </w:tc>
        <w:tc>
          <w:tcPr>
            <w:tcW w:w="940" w:type="dxa"/>
            <w:tcBorders>
              <w:right w:val="single" w:sz="8" w:space="0" w:color="auto"/>
            </w:tcBorders>
            <w:shd w:val="clear" w:color="auto" w:fill="auto"/>
            <w:vAlign w:val="bottom"/>
          </w:tcPr>
          <w:p w14:paraId="6A2CC3BE" w14:textId="77777777" w:rsidR="00A52778" w:rsidRPr="00460F9E" w:rsidRDefault="00A52778" w:rsidP="00FC3F8E">
            <w:pPr>
              <w:spacing w:line="0" w:lineRule="atLeast"/>
              <w:rPr>
                <w:rFonts w:eastAsia="Times New Roman" w:cs="Times New Roman"/>
                <w:b/>
              </w:rPr>
            </w:pPr>
          </w:p>
        </w:tc>
        <w:tc>
          <w:tcPr>
            <w:tcW w:w="1980" w:type="dxa"/>
            <w:gridSpan w:val="2"/>
            <w:vMerge/>
            <w:tcBorders>
              <w:right w:val="single" w:sz="8" w:space="0" w:color="auto"/>
            </w:tcBorders>
            <w:shd w:val="clear" w:color="auto" w:fill="auto"/>
            <w:vAlign w:val="bottom"/>
          </w:tcPr>
          <w:p w14:paraId="525E4E6D" w14:textId="77777777" w:rsidR="00A52778" w:rsidRPr="00460F9E" w:rsidRDefault="00A52778" w:rsidP="00FC3F8E">
            <w:pPr>
              <w:spacing w:line="0" w:lineRule="atLeast"/>
              <w:rPr>
                <w:rFonts w:eastAsia="Times New Roman" w:cs="Times New Roman"/>
                <w:b/>
              </w:rPr>
            </w:pPr>
          </w:p>
        </w:tc>
        <w:tc>
          <w:tcPr>
            <w:tcW w:w="1700" w:type="dxa"/>
            <w:tcBorders>
              <w:left w:val="single" w:sz="8" w:space="0" w:color="auto"/>
              <w:right w:val="single" w:sz="8" w:space="0" w:color="auto"/>
            </w:tcBorders>
            <w:shd w:val="clear" w:color="auto" w:fill="auto"/>
            <w:vAlign w:val="bottom"/>
          </w:tcPr>
          <w:p w14:paraId="06F395DA" w14:textId="77777777" w:rsidR="00A52778" w:rsidRPr="00460F9E" w:rsidRDefault="00A52778" w:rsidP="00FC3F8E">
            <w:pPr>
              <w:spacing w:line="0" w:lineRule="atLeast"/>
              <w:rPr>
                <w:rFonts w:eastAsia="Times New Roman" w:cs="Times New Roman"/>
                <w:b/>
              </w:rPr>
            </w:pPr>
          </w:p>
        </w:tc>
        <w:tc>
          <w:tcPr>
            <w:tcW w:w="440" w:type="dxa"/>
            <w:shd w:val="clear" w:color="auto" w:fill="auto"/>
            <w:vAlign w:val="bottom"/>
          </w:tcPr>
          <w:p w14:paraId="49C86F09" w14:textId="77777777" w:rsidR="00A52778" w:rsidRPr="00460F9E" w:rsidRDefault="00A52778" w:rsidP="00FC3F8E">
            <w:pPr>
              <w:spacing w:line="0" w:lineRule="atLeast"/>
              <w:rPr>
                <w:rFonts w:eastAsia="Times New Roman" w:cs="Times New Roman"/>
                <w:b/>
              </w:rPr>
            </w:pPr>
          </w:p>
        </w:tc>
        <w:tc>
          <w:tcPr>
            <w:tcW w:w="260" w:type="dxa"/>
            <w:shd w:val="clear" w:color="auto" w:fill="auto"/>
            <w:vAlign w:val="bottom"/>
          </w:tcPr>
          <w:p w14:paraId="295897DE" w14:textId="77777777" w:rsidR="00A52778" w:rsidRPr="00460F9E" w:rsidRDefault="00A52778" w:rsidP="00FC3F8E">
            <w:pPr>
              <w:spacing w:line="0" w:lineRule="atLeast"/>
              <w:rPr>
                <w:rFonts w:eastAsia="Times New Roman" w:cs="Times New Roman"/>
                <w:b/>
              </w:rPr>
            </w:pPr>
          </w:p>
        </w:tc>
        <w:tc>
          <w:tcPr>
            <w:tcW w:w="180" w:type="dxa"/>
            <w:shd w:val="clear" w:color="auto" w:fill="auto"/>
            <w:vAlign w:val="bottom"/>
          </w:tcPr>
          <w:p w14:paraId="46C6F332" w14:textId="77777777" w:rsidR="00A52778" w:rsidRPr="00460F9E" w:rsidRDefault="00A52778" w:rsidP="00FC3F8E">
            <w:pPr>
              <w:spacing w:line="0" w:lineRule="atLeast"/>
              <w:rPr>
                <w:rFonts w:eastAsia="Times New Roman" w:cs="Times New Roman"/>
                <w:b/>
              </w:rPr>
            </w:pPr>
          </w:p>
        </w:tc>
        <w:tc>
          <w:tcPr>
            <w:tcW w:w="420" w:type="dxa"/>
            <w:shd w:val="clear" w:color="auto" w:fill="auto"/>
            <w:vAlign w:val="bottom"/>
          </w:tcPr>
          <w:p w14:paraId="596C8CF2" w14:textId="77777777" w:rsidR="00A52778" w:rsidRPr="00460F9E" w:rsidRDefault="00A52778" w:rsidP="00FC3F8E">
            <w:pPr>
              <w:spacing w:line="0" w:lineRule="atLeast"/>
              <w:rPr>
                <w:rFonts w:eastAsia="Times New Roman" w:cs="Times New Roman"/>
                <w:b/>
              </w:rPr>
            </w:pPr>
          </w:p>
        </w:tc>
        <w:tc>
          <w:tcPr>
            <w:tcW w:w="320" w:type="dxa"/>
            <w:shd w:val="clear" w:color="auto" w:fill="auto"/>
            <w:vAlign w:val="bottom"/>
          </w:tcPr>
          <w:p w14:paraId="3467FA34" w14:textId="77777777" w:rsidR="00A52778" w:rsidRPr="00460F9E" w:rsidRDefault="00A52778" w:rsidP="00FC3F8E">
            <w:pPr>
              <w:spacing w:line="0" w:lineRule="atLeast"/>
              <w:rPr>
                <w:rFonts w:eastAsia="Times New Roman" w:cs="Times New Roman"/>
                <w:b/>
              </w:rPr>
            </w:pPr>
          </w:p>
        </w:tc>
        <w:tc>
          <w:tcPr>
            <w:tcW w:w="340" w:type="dxa"/>
            <w:shd w:val="clear" w:color="auto" w:fill="auto"/>
            <w:vAlign w:val="bottom"/>
          </w:tcPr>
          <w:p w14:paraId="13F67203" w14:textId="77777777" w:rsidR="00A52778" w:rsidRPr="00460F9E" w:rsidRDefault="00A52778" w:rsidP="00FC3F8E">
            <w:pPr>
              <w:spacing w:line="0" w:lineRule="atLeast"/>
              <w:rPr>
                <w:rFonts w:eastAsia="Times New Roman" w:cs="Times New Roman"/>
                <w:b/>
              </w:rPr>
            </w:pPr>
          </w:p>
        </w:tc>
        <w:tc>
          <w:tcPr>
            <w:tcW w:w="80" w:type="dxa"/>
            <w:shd w:val="clear" w:color="auto" w:fill="auto"/>
            <w:vAlign w:val="bottom"/>
          </w:tcPr>
          <w:p w14:paraId="70809DC0" w14:textId="77777777" w:rsidR="00A52778" w:rsidRPr="00460F9E" w:rsidRDefault="00A52778" w:rsidP="00FC3F8E">
            <w:pPr>
              <w:spacing w:line="0" w:lineRule="atLeast"/>
              <w:rPr>
                <w:rFonts w:eastAsia="Times New Roman" w:cs="Times New Roman"/>
                <w:b/>
              </w:rPr>
            </w:pPr>
          </w:p>
        </w:tc>
        <w:tc>
          <w:tcPr>
            <w:tcW w:w="260" w:type="dxa"/>
            <w:shd w:val="clear" w:color="auto" w:fill="auto"/>
            <w:vAlign w:val="bottom"/>
          </w:tcPr>
          <w:p w14:paraId="1130C597" w14:textId="77777777" w:rsidR="00A52778" w:rsidRPr="00460F9E" w:rsidRDefault="00A52778" w:rsidP="00FC3F8E">
            <w:pPr>
              <w:spacing w:line="0" w:lineRule="atLeast"/>
              <w:rPr>
                <w:rFonts w:eastAsia="Times New Roman" w:cs="Times New Roman"/>
                <w:b/>
              </w:rPr>
            </w:pPr>
          </w:p>
        </w:tc>
        <w:tc>
          <w:tcPr>
            <w:tcW w:w="460" w:type="dxa"/>
            <w:tcBorders>
              <w:right w:val="single" w:sz="8" w:space="0" w:color="auto"/>
            </w:tcBorders>
            <w:shd w:val="clear" w:color="auto" w:fill="auto"/>
            <w:vAlign w:val="bottom"/>
          </w:tcPr>
          <w:p w14:paraId="1718E8A2" w14:textId="77777777" w:rsidR="00A52778" w:rsidRPr="00460F9E" w:rsidRDefault="00A52778" w:rsidP="00FC3F8E">
            <w:pPr>
              <w:spacing w:line="0" w:lineRule="atLeast"/>
              <w:rPr>
                <w:rFonts w:eastAsia="Times New Roman" w:cs="Times New Roman"/>
                <w:b/>
              </w:rPr>
            </w:pPr>
          </w:p>
        </w:tc>
      </w:tr>
      <w:tr w:rsidR="00A52778" w:rsidRPr="00460F9E" w14:paraId="1BF7B0D0" w14:textId="77777777" w:rsidTr="00FC3F8E">
        <w:trPr>
          <w:gridAfter w:val="1"/>
          <w:wAfter w:w="720" w:type="dxa"/>
          <w:trHeight w:val="231"/>
        </w:trPr>
        <w:tc>
          <w:tcPr>
            <w:tcW w:w="400" w:type="dxa"/>
            <w:vMerge w:val="restart"/>
            <w:tcBorders>
              <w:left w:val="single" w:sz="8" w:space="0" w:color="auto"/>
              <w:right w:val="single" w:sz="8" w:space="0" w:color="auto"/>
            </w:tcBorders>
            <w:shd w:val="clear" w:color="auto" w:fill="auto"/>
            <w:vAlign w:val="bottom"/>
          </w:tcPr>
          <w:p w14:paraId="113590CE"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b.</w:t>
            </w:r>
          </w:p>
        </w:tc>
        <w:tc>
          <w:tcPr>
            <w:tcW w:w="1820" w:type="dxa"/>
            <w:gridSpan w:val="2"/>
            <w:vMerge w:val="restart"/>
            <w:tcBorders>
              <w:right w:val="single" w:sz="8" w:space="0" w:color="auto"/>
            </w:tcBorders>
            <w:shd w:val="clear" w:color="auto" w:fill="auto"/>
            <w:vAlign w:val="bottom"/>
          </w:tcPr>
          <w:p w14:paraId="4F00E72E"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Adsorpsiyon</w:t>
            </w:r>
          </w:p>
        </w:tc>
        <w:tc>
          <w:tcPr>
            <w:tcW w:w="1980" w:type="dxa"/>
            <w:gridSpan w:val="2"/>
            <w:vMerge/>
            <w:tcBorders>
              <w:right w:val="single" w:sz="8" w:space="0" w:color="auto"/>
            </w:tcBorders>
            <w:shd w:val="clear" w:color="auto" w:fill="auto"/>
            <w:vAlign w:val="bottom"/>
          </w:tcPr>
          <w:p w14:paraId="70B1C053" w14:textId="77777777" w:rsidR="00A52778" w:rsidRPr="00460F9E" w:rsidRDefault="00A52778" w:rsidP="00FC3F8E">
            <w:pPr>
              <w:spacing w:line="0" w:lineRule="atLeast"/>
              <w:rPr>
                <w:rFonts w:eastAsia="Times New Roman" w:cs="Times New Roman"/>
                <w:b/>
              </w:rPr>
            </w:pPr>
          </w:p>
        </w:tc>
        <w:tc>
          <w:tcPr>
            <w:tcW w:w="1700" w:type="dxa"/>
            <w:tcBorders>
              <w:right w:val="single" w:sz="8" w:space="0" w:color="auto"/>
            </w:tcBorders>
            <w:shd w:val="clear" w:color="auto" w:fill="auto"/>
            <w:vAlign w:val="bottom"/>
          </w:tcPr>
          <w:p w14:paraId="6E2C3094"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HCl, HF, NH</w:t>
            </w:r>
            <w:r w:rsidRPr="00460F9E">
              <w:rPr>
                <w:rFonts w:eastAsia="Times New Roman" w:cs="Times New Roman"/>
                <w:w w:val="99"/>
                <w:sz w:val="12"/>
              </w:rPr>
              <w:t>3</w:t>
            </w:r>
            <w:r w:rsidRPr="00460F9E">
              <w:rPr>
                <w:rFonts w:eastAsia="Times New Roman" w:cs="Times New Roman"/>
                <w:w w:val="99"/>
              </w:rPr>
              <w:t>,</w:t>
            </w:r>
          </w:p>
        </w:tc>
        <w:tc>
          <w:tcPr>
            <w:tcW w:w="2760" w:type="dxa"/>
            <w:gridSpan w:val="9"/>
            <w:vMerge w:val="restart"/>
            <w:tcBorders>
              <w:right w:val="single" w:sz="8" w:space="0" w:color="auto"/>
            </w:tcBorders>
            <w:shd w:val="clear" w:color="auto" w:fill="auto"/>
            <w:vAlign w:val="bottom"/>
          </w:tcPr>
          <w:p w14:paraId="3050847E"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Genel olarak uygulanabilir.</w:t>
            </w:r>
          </w:p>
        </w:tc>
      </w:tr>
      <w:tr w:rsidR="00A52778" w:rsidRPr="00460F9E" w14:paraId="2F8FC10D" w14:textId="77777777" w:rsidTr="00FC3F8E">
        <w:trPr>
          <w:gridAfter w:val="1"/>
          <w:wAfter w:w="720" w:type="dxa"/>
          <w:trHeight w:val="263"/>
        </w:trPr>
        <w:tc>
          <w:tcPr>
            <w:tcW w:w="400" w:type="dxa"/>
            <w:vMerge/>
            <w:tcBorders>
              <w:left w:val="single" w:sz="8" w:space="0" w:color="auto"/>
              <w:right w:val="single" w:sz="8" w:space="0" w:color="auto"/>
            </w:tcBorders>
            <w:shd w:val="clear" w:color="auto" w:fill="auto"/>
            <w:vAlign w:val="bottom"/>
          </w:tcPr>
          <w:p w14:paraId="0846E9A4" w14:textId="77777777" w:rsidR="00A52778" w:rsidRPr="00460F9E" w:rsidRDefault="00A52778" w:rsidP="00FC3F8E">
            <w:pPr>
              <w:spacing w:line="0" w:lineRule="atLeast"/>
              <w:rPr>
                <w:rFonts w:eastAsia="Times New Roman" w:cs="Times New Roman"/>
                <w:b/>
                <w:sz w:val="9"/>
              </w:rPr>
            </w:pPr>
          </w:p>
        </w:tc>
        <w:tc>
          <w:tcPr>
            <w:tcW w:w="1820" w:type="dxa"/>
            <w:gridSpan w:val="2"/>
            <w:vMerge/>
            <w:tcBorders>
              <w:right w:val="single" w:sz="8" w:space="0" w:color="auto"/>
            </w:tcBorders>
            <w:shd w:val="clear" w:color="auto" w:fill="auto"/>
            <w:vAlign w:val="bottom"/>
          </w:tcPr>
          <w:p w14:paraId="237DF665" w14:textId="77777777" w:rsidR="00A52778" w:rsidRPr="00460F9E" w:rsidRDefault="00A52778" w:rsidP="00FC3F8E">
            <w:pPr>
              <w:spacing w:line="0" w:lineRule="atLeast"/>
              <w:rPr>
                <w:rFonts w:eastAsia="Times New Roman" w:cs="Times New Roman"/>
                <w:b/>
                <w:sz w:val="9"/>
              </w:rPr>
            </w:pPr>
          </w:p>
        </w:tc>
        <w:tc>
          <w:tcPr>
            <w:tcW w:w="1980" w:type="dxa"/>
            <w:gridSpan w:val="2"/>
            <w:vMerge/>
            <w:tcBorders>
              <w:right w:val="single" w:sz="8" w:space="0" w:color="auto"/>
            </w:tcBorders>
            <w:shd w:val="clear" w:color="auto" w:fill="auto"/>
            <w:vAlign w:val="bottom"/>
          </w:tcPr>
          <w:p w14:paraId="326254E9" w14:textId="77777777" w:rsidR="00A52778" w:rsidRPr="00460F9E" w:rsidRDefault="00A52778" w:rsidP="00FC3F8E">
            <w:pPr>
              <w:spacing w:line="0" w:lineRule="atLeast"/>
              <w:rPr>
                <w:rFonts w:eastAsia="Times New Roman" w:cs="Times New Roman"/>
                <w:b/>
              </w:rPr>
            </w:pPr>
          </w:p>
        </w:tc>
        <w:tc>
          <w:tcPr>
            <w:tcW w:w="1700" w:type="dxa"/>
            <w:vMerge w:val="restart"/>
            <w:tcBorders>
              <w:right w:val="single" w:sz="8" w:space="0" w:color="auto"/>
            </w:tcBorders>
            <w:shd w:val="clear" w:color="auto" w:fill="auto"/>
            <w:vAlign w:val="bottom"/>
          </w:tcPr>
          <w:p w14:paraId="01604EC8" w14:textId="77777777" w:rsidR="00A52778" w:rsidRPr="00460F9E" w:rsidRDefault="00A52778" w:rsidP="00FC3F8E">
            <w:pPr>
              <w:spacing w:line="0" w:lineRule="atLeast"/>
              <w:jc w:val="center"/>
              <w:rPr>
                <w:rFonts w:eastAsia="Times New Roman" w:cs="Times New Roman"/>
                <w:b/>
                <w:w w:val="99"/>
                <w:sz w:val="12"/>
              </w:rPr>
            </w:pPr>
            <w:r w:rsidRPr="00460F9E">
              <w:rPr>
                <w:rFonts w:eastAsia="Times New Roman" w:cs="Times New Roman"/>
                <w:w w:val="99"/>
              </w:rPr>
              <w:t>SO</w:t>
            </w:r>
            <w:r w:rsidRPr="00460F9E">
              <w:rPr>
                <w:rFonts w:eastAsia="Times New Roman" w:cs="Times New Roman"/>
                <w:w w:val="99"/>
                <w:sz w:val="12"/>
              </w:rPr>
              <w:t>X</w:t>
            </w:r>
          </w:p>
        </w:tc>
        <w:tc>
          <w:tcPr>
            <w:tcW w:w="2760" w:type="dxa"/>
            <w:gridSpan w:val="9"/>
            <w:vMerge/>
            <w:tcBorders>
              <w:right w:val="single" w:sz="8" w:space="0" w:color="auto"/>
            </w:tcBorders>
            <w:shd w:val="clear" w:color="auto" w:fill="auto"/>
            <w:vAlign w:val="bottom"/>
          </w:tcPr>
          <w:p w14:paraId="66BB03DA" w14:textId="77777777" w:rsidR="00A52778" w:rsidRPr="00460F9E" w:rsidRDefault="00A52778" w:rsidP="00FC3F8E">
            <w:pPr>
              <w:spacing w:line="0" w:lineRule="atLeast"/>
              <w:rPr>
                <w:rFonts w:eastAsia="Times New Roman" w:cs="Times New Roman"/>
                <w:b/>
                <w:sz w:val="9"/>
              </w:rPr>
            </w:pPr>
          </w:p>
        </w:tc>
      </w:tr>
      <w:tr w:rsidR="00A52778" w:rsidRPr="00460F9E" w14:paraId="47072329" w14:textId="77777777" w:rsidTr="00FC3F8E">
        <w:trPr>
          <w:gridAfter w:val="1"/>
          <w:wAfter w:w="720" w:type="dxa"/>
          <w:trHeight w:val="118"/>
        </w:trPr>
        <w:tc>
          <w:tcPr>
            <w:tcW w:w="400" w:type="dxa"/>
            <w:tcBorders>
              <w:left w:val="single" w:sz="8" w:space="0" w:color="auto"/>
              <w:right w:val="single" w:sz="8" w:space="0" w:color="auto"/>
            </w:tcBorders>
            <w:shd w:val="clear" w:color="auto" w:fill="auto"/>
            <w:vAlign w:val="bottom"/>
          </w:tcPr>
          <w:p w14:paraId="38EDE285" w14:textId="77777777" w:rsidR="00A52778" w:rsidRPr="00460F9E" w:rsidRDefault="00A52778" w:rsidP="00FC3F8E">
            <w:pPr>
              <w:spacing w:line="0" w:lineRule="atLeast"/>
              <w:rPr>
                <w:rFonts w:eastAsia="Times New Roman" w:cs="Times New Roman"/>
                <w:b/>
                <w:sz w:val="10"/>
              </w:rPr>
            </w:pPr>
          </w:p>
        </w:tc>
        <w:tc>
          <w:tcPr>
            <w:tcW w:w="880" w:type="dxa"/>
            <w:shd w:val="clear" w:color="auto" w:fill="auto"/>
            <w:vAlign w:val="bottom"/>
          </w:tcPr>
          <w:p w14:paraId="1917D725" w14:textId="77777777" w:rsidR="00A52778" w:rsidRPr="00460F9E" w:rsidRDefault="00A52778" w:rsidP="00FC3F8E">
            <w:pPr>
              <w:spacing w:line="0" w:lineRule="atLeast"/>
              <w:rPr>
                <w:rFonts w:eastAsia="Times New Roman" w:cs="Times New Roman"/>
                <w:b/>
                <w:sz w:val="10"/>
              </w:rPr>
            </w:pPr>
          </w:p>
        </w:tc>
        <w:tc>
          <w:tcPr>
            <w:tcW w:w="940" w:type="dxa"/>
            <w:tcBorders>
              <w:right w:val="single" w:sz="8" w:space="0" w:color="auto"/>
            </w:tcBorders>
            <w:shd w:val="clear" w:color="auto" w:fill="auto"/>
            <w:vAlign w:val="bottom"/>
          </w:tcPr>
          <w:p w14:paraId="42A55D37" w14:textId="77777777" w:rsidR="00A52778" w:rsidRPr="00460F9E" w:rsidRDefault="00A52778" w:rsidP="00FC3F8E">
            <w:pPr>
              <w:spacing w:line="0" w:lineRule="atLeast"/>
              <w:rPr>
                <w:rFonts w:eastAsia="Times New Roman" w:cs="Times New Roman"/>
                <w:b/>
                <w:sz w:val="10"/>
              </w:rPr>
            </w:pPr>
          </w:p>
        </w:tc>
        <w:tc>
          <w:tcPr>
            <w:tcW w:w="1980" w:type="dxa"/>
            <w:gridSpan w:val="2"/>
            <w:vMerge/>
            <w:tcBorders>
              <w:right w:val="single" w:sz="8" w:space="0" w:color="auto"/>
            </w:tcBorders>
            <w:shd w:val="clear" w:color="auto" w:fill="auto"/>
            <w:vAlign w:val="bottom"/>
          </w:tcPr>
          <w:p w14:paraId="5CF5D85A" w14:textId="77777777" w:rsidR="00A52778" w:rsidRPr="00460F9E" w:rsidRDefault="00A52778" w:rsidP="00FC3F8E">
            <w:pPr>
              <w:spacing w:line="0" w:lineRule="atLeast"/>
              <w:rPr>
                <w:rFonts w:eastAsia="Times New Roman" w:cs="Times New Roman"/>
                <w:b/>
                <w:sz w:val="10"/>
              </w:rPr>
            </w:pPr>
          </w:p>
        </w:tc>
        <w:tc>
          <w:tcPr>
            <w:tcW w:w="1700" w:type="dxa"/>
            <w:vMerge/>
            <w:tcBorders>
              <w:right w:val="single" w:sz="8" w:space="0" w:color="auto"/>
            </w:tcBorders>
            <w:shd w:val="clear" w:color="auto" w:fill="auto"/>
            <w:vAlign w:val="bottom"/>
          </w:tcPr>
          <w:p w14:paraId="5E79D893" w14:textId="77777777" w:rsidR="00A52778" w:rsidRPr="00460F9E" w:rsidRDefault="00A52778" w:rsidP="00FC3F8E">
            <w:pPr>
              <w:spacing w:line="0" w:lineRule="atLeast"/>
              <w:rPr>
                <w:rFonts w:eastAsia="Times New Roman" w:cs="Times New Roman"/>
                <w:b/>
                <w:sz w:val="10"/>
              </w:rPr>
            </w:pPr>
          </w:p>
        </w:tc>
        <w:tc>
          <w:tcPr>
            <w:tcW w:w="440" w:type="dxa"/>
            <w:shd w:val="clear" w:color="auto" w:fill="auto"/>
            <w:vAlign w:val="bottom"/>
          </w:tcPr>
          <w:p w14:paraId="03765E1E" w14:textId="77777777" w:rsidR="00A52778" w:rsidRPr="00460F9E" w:rsidRDefault="00A52778" w:rsidP="00FC3F8E">
            <w:pPr>
              <w:spacing w:line="0" w:lineRule="atLeast"/>
              <w:rPr>
                <w:rFonts w:eastAsia="Times New Roman" w:cs="Times New Roman"/>
                <w:b/>
                <w:sz w:val="10"/>
              </w:rPr>
            </w:pPr>
          </w:p>
        </w:tc>
        <w:tc>
          <w:tcPr>
            <w:tcW w:w="260" w:type="dxa"/>
            <w:shd w:val="clear" w:color="auto" w:fill="auto"/>
            <w:vAlign w:val="bottom"/>
          </w:tcPr>
          <w:p w14:paraId="6F0548C9" w14:textId="77777777" w:rsidR="00A52778" w:rsidRPr="00460F9E" w:rsidRDefault="00A52778" w:rsidP="00FC3F8E">
            <w:pPr>
              <w:spacing w:line="0" w:lineRule="atLeast"/>
              <w:rPr>
                <w:rFonts w:eastAsia="Times New Roman" w:cs="Times New Roman"/>
                <w:b/>
                <w:sz w:val="10"/>
              </w:rPr>
            </w:pPr>
          </w:p>
        </w:tc>
        <w:tc>
          <w:tcPr>
            <w:tcW w:w="180" w:type="dxa"/>
            <w:shd w:val="clear" w:color="auto" w:fill="auto"/>
            <w:vAlign w:val="bottom"/>
          </w:tcPr>
          <w:p w14:paraId="38C64773" w14:textId="77777777" w:rsidR="00A52778" w:rsidRPr="00460F9E" w:rsidRDefault="00A52778" w:rsidP="00FC3F8E">
            <w:pPr>
              <w:spacing w:line="0" w:lineRule="atLeast"/>
              <w:rPr>
                <w:rFonts w:eastAsia="Times New Roman" w:cs="Times New Roman"/>
                <w:b/>
                <w:sz w:val="10"/>
              </w:rPr>
            </w:pPr>
          </w:p>
        </w:tc>
        <w:tc>
          <w:tcPr>
            <w:tcW w:w="420" w:type="dxa"/>
            <w:shd w:val="clear" w:color="auto" w:fill="auto"/>
            <w:vAlign w:val="bottom"/>
          </w:tcPr>
          <w:p w14:paraId="29AFC724" w14:textId="77777777" w:rsidR="00A52778" w:rsidRPr="00460F9E" w:rsidRDefault="00A52778" w:rsidP="00FC3F8E">
            <w:pPr>
              <w:spacing w:line="0" w:lineRule="atLeast"/>
              <w:rPr>
                <w:rFonts w:eastAsia="Times New Roman" w:cs="Times New Roman"/>
                <w:b/>
                <w:sz w:val="10"/>
              </w:rPr>
            </w:pPr>
          </w:p>
        </w:tc>
        <w:tc>
          <w:tcPr>
            <w:tcW w:w="320" w:type="dxa"/>
            <w:shd w:val="clear" w:color="auto" w:fill="auto"/>
            <w:vAlign w:val="bottom"/>
          </w:tcPr>
          <w:p w14:paraId="57778B0A" w14:textId="77777777" w:rsidR="00A52778" w:rsidRPr="00460F9E" w:rsidRDefault="00A52778" w:rsidP="00FC3F8E">
            <w:pPr>
              <w:spacing w:line="0" w:lineRule="atLeast"/>
              <w:rPr>
                <w:rFonts w:eastAsia="Times New Roman" w:cs="Times New Roman"/>
                <w:b/>
                <w:sz w:val="10"/>
              </w:rPr>
            </w:pPr>
          </w:p>
        </w:tc>
        <w:tc>
          <w:tcPr>
            <w:tcW w:w="340" w:type="dxa"/>
            <w:shd w:val="clear" w:color="auto" w:fill="auto"/>
            <w:vAlign w:val="bottom"/>
          </w:tcPr>
          <w:p w14:paraId="201DEC1B" w14:textId="77777777" w:rsidR="00A52778" w:rsidRPr="00460F9E" w:rsidRDefault="00A52778" w:rsidP="00FC3F8E">
            <w:pPr>
              <w:spacing w:line="0" w:lineRule="atLeast"/>
              <w:rPr>
                <w:rFonts w:eastAsia="Times New Roman" w:cs="Times New Roman"/>
                <w:b/>
                <w:sz w:val="10"/>
              </w:rPr>
            </w:pPr>
          </w:p>
        </w:tc>
        <w:tc>
          <w:tcPr>
            <w:tcW w:w="80" w:type="dxa"/>
            <w:shd w:val="clear" w:color="auto" w:fill="auto"/>
            <w:vAlign w:val="bottom"/>
          </w:tcPr>
          <w:p w14:paraId="36F789BF" w14:textId="77777777" w:rsidR="00A52778" w:rsidRPr="00460F9E" w:rsidRDefault="00A52778" w:rsidP="00FC3F8E">
            <w:pPr>
              <w:spacing w:line="0" w:lineRule="atLeast"/>
              <w:rPr>
                <w:rFonts w:eastAsia="Times New Roman" w:cs="Times New Roman"/>
                <w:b/>
                <w:sz w:val="10"/>
              </w:rPr>
            </w:pPr>
          </w:p>
        </w:tc>
        <w:tc>
          <w:tcPr>
            <w:tcW w:w="260" w:type="dxa"/>
            <w:shd w:val="clear" w:color="auto" w:fill="auto"/>
            <w:vAlign w:val="bottom"/>
          </w:tcPr>
          <w:p w14:paraId="516C383B" w14:textId="77777777" w:rsidR="00A52778" w:rsidRPr="00460F9E" w:rsidRDefault="00A52778" w:rsidP="00FC3F8E">
            <w:pPr>
              <w:spacing w:line="0" w:lineRule="atLeast"/>
              <w:rPr>
                <w:rFonts w:eastAsia="Times New Roman" w:cs="Times New Roman"/>
                <w:b/>
                <w:sz w:val="10"/>
              </w:rPr>
            </w:pPr>
          </w:p>
        </w:tc>
        <w:tc>
          <w:tcPr>
            <w:tcW w:w="460" w:type="dxa"/>
            <w:tcBorders>
              <w:right w:val="single" w:sz="8" w:space="0" w:color="auto"/>
            </w:tcBorders>
            <w:shd w:val="clear" w:color="auto" w:fill="auto"/>
            <w:vAlign w:val="bottom"/>
          </w:tcPr>
          <w:p w14:paraId="3FB61317" w14:textId="77777777" w:rsidR="00A52778" w:rsidRPr="00460F9E" w:rsidRDefault="00A52778" w:rsidP="00FC3F8E">
            <w:pPr>
              <w:spacing w:line="0" w:lineRule="atLeast"/>
              <w:rPr>
                <w:rFonts w:eastAsia="Times New Roman" w:cs="Times New Roman"/>
                <w:b/>
                <w:sz w:val="10"/>
              </w:rPr>
            </w:pPr>
          </w:p>
        </w:tc>
      </w:tr>
      <w:tr w:rsidR="00A52778" w:rsidRPr="00460F9E" w14:paraId="59419E19" w14:textId="77777777" w:rsidTr="00FC3F8E">
        <w:trPr>
          <w:gridAfter w:val="1"/>
          <w:wAfter w:w="720" w:type="dxa"/>
          <w:trHeight w:val="227"/>
        </w:trPr>
        <w:tc>
          <w:tcPr>
            <w:tcW w:w="400" w:type="dxa"/>
            <w:tcBorders>
              <w:left w:val="single" w:sz="8" w:space="0" w:color="auto"/>
              <w:right w:val="single" w:sz="8" w:space="0" w:color="auto"/>
            </w:tcBorders>
            <w:shd w:val="clear" w:color="auto" w:fill="auto"/>
            <w:vAlign w:val="bottom"/>
          </w:tcPr>
          <w:p w14:paraId="77DCB282" w14:textId="77777777" w:rsidR="00A52778" w:rsidRPr="00460F9E" w:rsidRDefault="00A52778" w:rsidP="00FC3F8E">
            <w:pPr>
              <w:spacing w:line="0" w:lineRule="atLeast"/>
              <w:rPr>
                <w:rFonts w:eastAsia="Times New Roman" w:cs="Times New Roman"/>
                <w:b/>
                <w:sz w:val="19"/>
              </w:rPr>
            </w:pPr>
          </w:p>
        </w:tc>
        <w:tc>
          <w:tcPr>
            <w:tcW w:w="880" w:type="dxa"/>
            <w:shd w:val="clear" w:color="auto" w:fill="auto"/>
            <w:vAlign w:val="bottom"/>
          </w:tcPr>
          <w:p w14:paraId="68B92487" w14:textId="77777777" w:rsidR="00A52778" w:rsidRPr="00460F9E" w:rsidRDefault="00A52778" w:rsidP="00FC3F8E">
            <w:pPr>
              <w:spacing w:line="0" w:lineRule="atLeast"/>
              <w:rPr>
                <w:rFonts w:eastAsia="Times New Roman" w:cs="Times New Roman"/>
                <w:b/>
                <w:sz w:val="19"/>
              </w:rPr>
            </w:pPr>
          </w:p>
        </w:tc>
        <w:tc>
          <w:tcPr>
            <w:tcW w:w="940" w:type="dxa"/>
            <w:tcBorders>
              <w:right w:val="single" w:sz="8" w:space="0" w:color="auto"/>
            </w:tcBorders>
            <w:shd w:val="clear" w:color="auto" w:fill="auto"/>
            <w:vAlign w:val="bottom"/>
          </w:tcPr>
          <w:p w14:paraId="21BB4043" w14:textId="77777777" w:rsidR="00A52778" w:rsidRPr="00460F9E" w:rsidRDefault="00A52778" w:rsidP="00FC3F8E">
            <w:pPr>
              <w:spacing w:line="0" w:lineRule="atLeast"/>
              <w:rPr>
                <w:rFonts w:eastAsia="Times New Roman" w:cs="Times New Roman"/>
                <w:b/>
                <w:sz w:val="19"/>
              </w:rPr>
            </w:pPr>
          </w:p>
        </w:tc>
        <w:tc>
          <w:tcPr>
            <w:tcW w:w="1980" w:type="dxa"/>
            <w:gridSpan w:val="2"/>
            <w:vMerge/>
            <w:tcBorders>
              <w:right w:val="single" w:sz="8" w:space="0" w:color="auto"/>
            </w:tcBorders>
            <w:shd w:val="clear" w:color="auto" w:fill="auto"/>
            <w:vAlign w:val="bottom"/>
          </w:tcPr>
          <w:p w14:paraId="279D0F6D" w14:textId="77777777" w:rsidR="00A52778" w:rsidRPr="00460F9E" w:rsidRDefault="00A52778" w:rsidP="00FC3F8E">
            <w:pPr>
              <w:spacing w:line="0" w:lineRule="atLeast"/>
              <w:rPr>
                <w:rFonts w:eastAsia="Times New Roman" w:cs="Times New Roman"/>
                <w:b/>
              </w:rPr>
            </w:pPr>
          </w:p>
        </w:tc>
        <w:tc>
          <w:tcPr>
            <w:tcW w:w="1700" w:type="dxa"/>
            <w:tcBorders>
              <w:right w:val="single" w:sz="8" w:space="0" w:color="auto"/>
            </w:tcBorders>
            <w:shd w:val="clear" w:color="auto" w:fill="auto"/>
            <w:vAlign w:val="bottom"/>
          </w:tcPr>
          <w:p w14:paraId="4F658E35" w14:textId="77777777" w:rsidR="00A52778" w:rsidRPr="00460F9E" w:rsidRDefault="00A52778" w:rsidP="00FC3F8E">
            <w:pPr>
              <w:spacing w:line="0" w:lineRule="atLeast"/>
              <w:rPr>
                <w:rFonts w:eastAsia="Times New Roman" w:cs="Times New Roman"/>
                <w:b/>
                <w:sz w:val="19"/>
              </w:rPr>
            </w:pPr>
          </w:p>
        </w:tc>
        <w:tc>
          <w:tcPr>
            <w:tcW w:w="440" w:type="dxa"/>
            <w:shd w:val="clear" w:color="auto" w:fill="auto"/>
            <w:vAlign w:val="bottom"/>
          </w:tcPr>
          <w:p w14:paraId="060D5748" w14:textId="77777777" w:rsidR="00A52778" w:rsidRPr="00460F9E" w:rsidRDefault="00A52778" w:rsidP="00FC3F8E">
            <w:pPr>
              <w:spacing w:line="0" w:lineRule="atLeast"/>
              <w:rPr>
                <w:rFonts w:eastAsia="Times New Roman" w:cs="Times New Roman"/>
                <w:b/>
                <w:sz w:val="19"/>
              </w:rPr>
            </w:pPr>
          </w:p>
        </w:tc>
        <w:tc>
          <w:tcPr>
            <w:tcW w:w="260" w:type="dxa"/>
            <w:shd w:val="clear" w:color="auto" w:fill="auto"/>
            <w:vAlign w:val="bottom"/>
          </w:tcPr>
          <w:p w14:paraId="48DA1855" w14:textId="77777777" w:rsidR="00A52778" w:rsidRPr="00460F9E" w:rsidRDefault="00A52778" w:rsidP="00FC3F8E">
            <w:pPr>
              <w:spacing w:line="0" w:lineRule="atLeast"/>
              <w:rPr>
                <w:rFonts w:eastAsia="Times New Roman" w:cs="Times New Roman"/>
                <w:b/>
                <w:sz w:val="19"/>
              </w:rPr>
            </w:pPr>
          </w:p>
        </w:tc>
        <w:tc>
          <w:tcPr>
            <w:tcW w:w="180" w:type="dxa"/>
            <w:shd w:val="clear" w:color="auto" w:fill="auto"/>
            <w:vAlign w:val="bottom"/>
          </w:tcPr>
          <w:p w14:paraId="71E4510A" w14:textId="77777777" w:rsidR="00A52778" w:rsidRPr="00460F9E" w:rsidRDefault="00A52778" w:rsidP="00FC3F8E">
            <w:pPr>
              <w:spacing w:line="0" w:lineRule="atLeast"/>
              <w:rPr>
                <w:rFonts w:eastAsia="Times New Roman" w:cs="Times New Roman"/>
                <w:b/>
                <w:sz w:val="19"/>
              </w:rPr>
            </w:pPr>
          </w:p>
        </w:tc>
        <w:tc>
          <w:tcPr>
            <w:tcW w:w="420" w:type="dxa"/>
            <w:shd w:val="clear" w:color="auto" w:fill="auto"/>
            <w:vAlign w:val="bottom"/>
          </w:tcPr>
          <w:p w14:paraId="5F05D681" w14:textId="77777777" w:rsidR="00A52778" w:rsidRPr="00460F9E" w:rsidRDefault="00A52778" w:rsidP="00FC3F8E">
            <w:pPr>
              <w:spacing w:line="0" w:lineRule="atLeast"/>
              <w:rPr>
                <w:rFonts w:eastAsia="Times New Roman" w:cs="Times New Roman"/>
                <w:b/>
                <w:sz w:val="19"/>
              </w:rPr>
            </w:pPr>
          </w:p>
        </w:tc>
        <w:tc>
          <w:tcPr>
            <w:tcW w:w="320" w:type="dxa"/>
            <w:shd w:val="clear" w:color="auto" w:fill="auto"/>
            <w:vAlign w:val="bottom"/>
          </w:tcPr>
          <w:p w14:paraId="7E030606" w14:textId="77777777" w:rsidR="00A52778" w:rsidRPr="00460F9E" w:rsidRDefault="00A52778" w:rsidP="00FC3F8E">
            <w:pPr>
              <w:spacing w:line="0" w:lineRule="atLeast"/>
              <w:rPr>
                <w:rFonts w:eastAsia="Times New Roman" w:cs="Times New Roman"/>
                <w:b/>
                <w:sz w:val="19"/>
              </w:rPr>
            </w:pPr>
          </w:p>
        </w:tc>
        <w:tc>
          <w:tcPr>
            <w:tcW w:w="340" w:type="dxa"/>
            <w:shd w:val="clear" w:color="auto" w:fill="auto"/>
            <w:vAlign w:val="bottom"/>
          </w:tcPr>
          <w:p w14:paraId="550B1B59" w14:textId="77777777" w:rsidR="00A52778" w:rsidRPr="00460F9E" w:rsidRDefault="00A52778" w:rsidP="00FC3F8E">
            <w:pPr>
              <w:spacing w:line="0" w:lineRule="atLeast"/>
              <w:rPr>
                <w:rFonts w:eastAsia="Times New Roman" w:cs="Times New Roman"/>
                <w:b/>
                <w:sz w:val="19"/>
              </w:rPr>
            </w:pPr>
          </w:p>
        </w:tc>
        <w:tc>
          <w:tcPr>
            <w:tcW w:w="80" w:type="dxa"/>
            <w:shd w:val="clear" w:color="auto" w:fill="auto"/>
            <w:vAlign w:val="bottom"/>
          </w:tcPr>
          <w:p w14:paraId="2625193F" w14:textId="77777777" w:rsidR="00A52778" w:rsidRPr="00460F9E" w:rsidRDefault="00A52778" w:rsidP="00FC3F8E">
            <w:pPr>
              <w:spacing w:line="0" w:lineRule="atLeast"/>
              <w:rPr>
                <w:rFonts w:eastAsia="Times New Roman" w:cs="Times New Roman"/>
                <w:b/>
                <w:sz w:val="19"/>
              </w:rPr>
            </w:pPr>
          </w:p>
        </w:tc>
        <w:tc>
          <w:tcPr>
            <w:tcW w:w="260" w:type="dxa"/>
            <w:shd w:val="clear" w:color="auto" w:fill="auto"/>
            <w:vAlign w:val="bottom"/>
          </w:tcPr>
          <w:p w14:paraId="78465FA6" w14:textId="77777777" w:rsidR="00A52778" w:rsidRPr="00460F9E" w:rsidRDefault="00A52778" w:rsidP="00FC3F8E">
            <w:pPr>
              <w:spacing w:line="0" w:lineRule="atLeast"/>
              <w:rPr>
                <w:rFonts w:eastAsia="Times New Roman" w:cs="Times New Roman"/>
                <w:b/>
                <w:sz w:val="19"/>
              </w:rPr>
            </w:pPr>
          </w:p>
        </w:tc>
        <w:tc>
          <w:tcPr>
            <w:tcW w:w="460" w:type="dxa"/>
            <w:tcBorders>
              <w:right w:val="single" w:sz="8" w:space="0" w:color="auto"/>
            </w:tcBorders>
            <w:shd w:val="clear" w:color="auto" w:fill="auto"/>
            <w:vAlign w:val="bottom"/>
          </w:tcPr>
          <w:p w14:paraId="3ED0545F" w14:textId="77777777" w:rsidR="00A52778" w:rsidRPr="00460F9E" w:rsidRDefault="00A52778" w:rsidP="00FC3F8E">
            <w:pPr>
              <w:spacing w:line="0" w:lineRule="atLeast"/>
              <w:rPr>
                <w:rFonts w:eastAsia="Times New Roman" w:cs="Times New Roman"/>
                <w:b/>
                <w:sz w:val="19"/>
              </w:rPr>
            </w:pPr>
          </w:p>
        </w:tc>
      </w:tr>
      <w:tr w:rsidR="00A52778" w:rsidRPr="00460F9E" w14:paraId="609D7A5A" w14:textId="77777777" w:rsidTr="00FC3F8E">
        <w:trPr>
          <w:gridAfter w:val="1"/>
          <w:wAfter w:w="720" w:type="dxa"/>
          <w:trHeight w:val="230"/>
        </w:trPr>
        <w:tc>
          <w:tcPr>
            <w:tcW w:w="400" w:type="dxa"/>
            <w:tcBorders>
              <w:left w:val="single" w:sz="8" w:space="0" w:color="auto"/>
              <w:right w:val="single" w:sz="8" w:space="0" w:color="auto"/>
            </w:tcBorders>
            <w:shd w:val="clear" w:color="auto" w:fill="auto"/>
            <w:vAlign w:val="bottom"/>
          </w:tcPr>
          <w:p w14:paraId="455AF9E7"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4E31DE12" w14:textId="77777777" w:rsidR="00A52778" w:rsidRPr="00460F9E" w:rsidRDefault="00A52778" w:rsidP="00FC3F8E">
            <w:pPr>
              <w:spacing w:line="0" w:lineRule="atLeast"/>
              <w:rPr>
                <w:rFonts w:eastAsia="Times New Roman" w:cs="Times New Roman"/>
                <w:b/>
              </w:rPr>
            </w:pPr>
          </w:p>
        </w:tc>
        <w:tc>
          <w:tcPr>
            <w:tcW w:w="940" w:type="dxa"/>
            <w:tcBorders>
              <w:right w:val="single" w:sz="8" w:space="0" w:color="auto"/>
            </w:tcBorders>
            <w:shd w:val="clear" w:color="auto" w:fill="auto"/>
            <w:vAlign w:val="bottom"/>
          </w:tcPr>
          <w:p w14:paraId="6A21397E" w14:textId="77777777" w:rsidR="00A52778" w:rsidRPr="00460F9E" w:rsidRDefault="00A52778" w:rsidP="00FC3F8E">
            <w:pPr>
              <w:spacing w:line="0" w:lineRule="atLeast"/>
              <w:rPr>
                <w:rFonts w:eastAsia="Times New Roman" w:cs="Times New Roman"/>
                <w:b/>
              </w:rPr>
            </w:pPr>
          </w:p>
        </w:tc>
        <w:tc>
          <w:tcPr>
            <w:tcW w:w="1980" w:type="dxa"/>
            <w:gridSpan w:val="2"/>
            <w:vMerge/>
            <w:tcBorders>
              <w:right w:val="single" w:sz="8" w:space="0" w:color="auto"/>
            </w:tcBorders>
            <w:shd w:val="clear" w:color="auto" w:fill="auto"/>
            <w:vAlign w:val="bottom"/>
          </w:tcPr>
          <w:p w14:paraId="17A798A0" w14:textId="77777777" w:rsidR="00A52778" w:rsidRPr="00460F9E" w:rsidRDefault="00A52778" w:rsidP="00FC3F8E">
            <w:pPr>
              <w:spacing w:line="0" w:lineRule="atLeast"/>
              <w:rPr>
                <w:rFonts w:eastAsia="Times New Roman" w:cs="Times New Roman"/>
                <w:b/>
              </w:rPr>
            </w:pPr>
          </w:p>
        </w:tc>
        <w:tc>
          <w:tcPr>
            <w:tcW w:w="1700" w:type="dxa"/>
            <w:tcBorders>
              <w:left w:val="single" w:sz="8" w:space="0" w:color="auto"/>
              <w:right w:val="single" w:sz="8" w:space="0" w:color="auto"/>
            </w:tcBorders>
            <w:shd w:val="clear" w:color="auto" w:fill="auto"/>
            <w:vAlign w:val="bottom"/>
          </w:tcPr>
          <w:p w14:paraId="139703A6" w14:textId="77777777" w:rsidR="00A52778" w:rsidRPr="00460F9E" w:rsidRDefault="00A52778" w:rsidP="00FC3F8E">
            <w:pPr>
              <w:spacing w:line="0" w:lineRule="atLeast"/>
              <w:rPr>
                <w:rFonts w:eastAsia="Times New Roman" w:cs="Times New Roman"/>
                <w:b/>
              </w:rPr>
            </w:pPr>
          </w:p>
        </w:tc>
        <w:tc>
          <w:tcPr>
            <w:tcW w:w="440" w:type="dxa"/>
            <w:shd w:val="clear" w:color="auto" w:fill="auto"/>
            <w:vAlign w:val="bottom"/>
          </w:tcPr>
          <w:p w14:paraId="2373C2C2" w14:textId="77777777" w:rsidR="00A52778" w:rsidRPr="00460F9E" w:rsidRDefault="00A52778" w:rsidP="00FC3F8E">
            <w:pPr>
              <w:spacing w:line="0" w:lineRule="atLeast"/>
              <w:rPr>
                <w:rFonts w:eastAsia="Times New Roman" w:cs="Times New Roman"/>
                <w:b/>
              </w:rPr>
            </w:pPr>
          </w:p>
        </w:tc>
        <w:tc>
          <w:tcPr>
            <w:tcW w:w="260" w:type="dxa"/>
            <w:shd w:val="clear" w:color="auto" w:fill="auto"/>
            <w:vAlign w:val="bottom"/>
          </w:tcPr>
          <w:p w14:paraId="2B0362F2" w14:textId="77777777" w:rsidR="00A52778" w:rsidRPr="00460F9E" w:rsidRDefault="00A52778" w:rsidP="00FC3F8E">
            <w:pPr>
              <w:spacing w:line="0" w:lineRule="atLeast"/>
              <w:rPr>
                <w:rFonts w:eastAsia="Times New Roman" w:cs="Times New Roman"/>
                <w:b/>
              </w:rPr>
            </w:pPr>
          </w:p>
        </w:tc>
        <w:tc>
          <w:tcPr>
            <w:tcW w:w="180" w:type="dxa"/>
            <w:shd w:val="clear" w:color="auto" w:fill="auto"/>
            <w:vAlign w:val="bottom"/>
          </w:tcPr>
          <w:p w14:paraId="3BF7A8EB" w14:textId="77777777" w:rsidR="00A52778" w:rsidRPr="00460F9E" w:rsidRDefault="00A52778" w:rsidP="00FC3F8E">
            <w:pPr>
              <w:spacing w:line="0" w:lineRule="atLeast"/>
              <w:rPr>
                <w:rFonts w:eastAsia="Times New Roman" w:cs="Times New Roman"/>
                <w:b/>
              </w:rPr>
            </w:pPr>
          </w:p>
        </w:tc>
        <w:tc>
          <w:tcPr>
            <w:tcW w:w="420" w:type="dxa"/>
            <w:shd w:val="clear" w:color="auto" w:fill="auto"/>
            <w:vAlign w:val="bottom"/>
          </w:tcPr>
          <w:p w14:paraId="27181265" w14:textId="77777777" w:rsidR="00A52778" w:rsidRPr="00460F9E" w:rsidRDefault="00A52778" w:rsidP="00FC3F8E">
            <w:pPr>
              <w:spacing w:line="0" w:lineRule="atLeast"/>
              <w:rPr>
                <w:rFonts w:eastAsia="Times New Roman" w:cs="Times New Roman"/>
                <w:b/>
              </w:rPr>
            </w:pPr>
          </w:p>
        </w:tc>
        <w:tc>
          <w:tcPr>
            <w:tcW w:w="320" w:type="dxa"/>
            <w:shd w:val="clear" w:color="auto" w:fill="auto"/>
            <w:vAlign w:val="bottom"/>
          </w:tcPr>
          <w:p w14:paraId="61866A0E" w14:textId="77777777" w:rsidR="00A52778" w:rsidRPr="00460F9E" w:rsidRDefault="00A52778" w:rsidP="00FC3F8E">
            <w:pPr>
              <w:spacing w:line="0" w:lineRule="atLeast"/>
              <w:rPr>
                <w:rFonts w:eastAsia="Times New Roman" w:cs="Times New Roman"/>
                <w:b/>
              </w:rPr>
            </w:pPr>
          </w:p>
        </w:tc>
        <w:tc>
          <w:tcPr>
            <w:tcW w:w="340" w:type="dxa"/>
            <w:shd w:val="clear" w:color="auto" w:fill="auto"/>
            <w:vAlign w:val="bottom"/>
          </w:tcPr>
          <w:p w14:paraId="7C9F9238" w14:textId="77777777" w:rsidR="00A52778" w:rsidRPr="00460F9E" w:rsidRDefault="00A52778" w:rsidP="00FC3F8E">
            <w:pPr>
              <w:spacing w:line="0" w:lineRule="atLeast"/>
              <w:rPr>
                <w:rFonts w:eastAsia="Times New Roman" w:cs="Times New Roman"/>
                <w:b/>
              </w:rPr>
            </w:pPr>
          </w:p>
        </w:tc>
        <w:tc>
          <w:tcPr>
            <w:tcW w:w="80" w:type="dxa"/>
            <w:shd w:val="clear" w:color="auto" w:fill="auto"/>
            <w:vAlign w:val="bottom"/>
          </w:tcPr>
          <w:p w14:paraId="10B96735" w14:textId="77777777" w:rsidR="00A52778" w:rsidRPr="00460F9E" w:rsidRDefault="00A52778" w:rsidP="00FC3F8E">
            <w:pPr>
              <w:spacing w:line="0" w:lineRule="atLeast"/>
              <w:rPr>
                <w:rFonts w:eastAsia="Times New Roman" w:cs="Times New Roman"/>
                <w:b/>
              </w:rPr>
            </w:pPr>
          </w:p>
        </w:tc>
        <w:tc>
          <w:tcPr>
            <w:tcW w:w="260" w:type="dxa"/>
            <w:shd w:val="clear" w:color="auto" w:fill="auto"/>
            <w:vAlign w:val="bottom"/>
          </w:tcPr>
          <w:p w14:paraId="33B90F48" w14:textId="77777777" w:rsidR="00A52778" w:rsidRPr="00460F9E" w:rsidRDefault="00A52778" w:rsidP="00FC3F8E">
            <w:pPr>
              <w:spacing w:line="0" w:lineRule="atLeast"/>
              <w:rPr>
                <w:rFonts w:eastAsia="Times New Roman" w:cs="Times New Roman"/>
                <w:b/>
              </w:rPr>
            </w:pPr>
          </w:p>
        </w:tc>
        <w:tc>
          <w:tcPr>
            <w:tcW w:w="460" w:type="dxa"/>
            <w:tcBorders>
              <w:right w:val="single" w:sz="8" w:space="0" w:color="auto"/>
            </w:tcBorders>
            <w:shd w:val="clear" w:color="auto" w:fill="auto"/>
            <w:vAlign w:val="bottom"/>
          </w:tcPr>
          <w:p w14:paraId="5D8C0B61" w14:textId="77777777" w:rsidR="00A52778" w:rsidRPr="00460F9E" w:rsidRDefault="00A52778" w:rsidP="00FC3F8E">
            <w:pPr>
              <w:spacing w:line="0" w:lineRule="atLeast"/>
              <w:rPr>
                <w:rFonts w:eastAsia="Times New Roman" w:cs="Times New Roman"/>
                <w:b/>
              </w:rPr>
            </w:pPr>
          </w:p>
        </w:tc>
      </w:tr>
      <w:tr w:rsidR="00A52778" w:rsidRPr="00460F9E" w14:paraId="30E14B7F" w14:textId="77777777" w:rsidTr="00FC3F8E">
        <w:trPr>
          <w:gridAfter w:val="1"/>
          <w:wAfter w:w="720" w:type="dxa"/>
          <w:trHeight w:val="233"/>
        </w:trPr>
        <w:tc>
          <w:tcPr>
            <w:tcW w:w="400" w:type="dxa"/>
            <w:tcBorders>
              <w:left w:val="single" w:sz="8" w:space="0" w:color="auto"/>
              <w:bottom w:val="single" w:sz="8" w:space="0" w:color="auto"/>
              <w:right w:val="single" w:sz="8" w:space="0" w:color="auto"/>
            </w:tcBorders>
            <w:shd w:val="clear" w:color="auto" w:fill="auto"/>
            <w:vAlign w:val="bottom"/>
          </w:tcPr>
          <w:p w14:paraId="146BC10A" w14:textId="77777777" w:rsidR="00A52778" w:rsidRPr="00460F9E" w:rsidRDefault="00A52778" w:rsidP="00FC3F8E">
            <w:pPr>
              <w:spacing w:line="0" w:lineRule="atLeast"/>
              <w:rPr>
                <w:rFonts w:eastAsia="Times New Roman" w:cs="Times New Roman"/>
                <w:b/>
              </w:rPr>
            </w:pPr>
          </w:p>
        </w:tc>
        <w:tc>
          <w:tcPr>
            <w:tcW w:w="880" w:type="dxa"/>
            <w:tcBorders>
              <w:bottom w:val="single" w:sz="8" w:space="0" w:color="auto"/>
            </w:tcBorders>
            <w:shd w:val="clear" w:color="auto" w:fill="auto"/>
            <w:vAlign w:val="bottom"/>
          </w:tcPr>
          <w:p w14:paraId="04D95728" w14:textId="77777777" w:rsidR="00A52778" w:rsidRPr="00460F9E" w:rsidRDefault="00A52778" w:rsidP="00FC3F8E">
            <w:pPr>
              <w:spacing w:line="0" w:lineRule="atLeast"/>
              <w:rPr>
                <w:rFonts w:eastAsia="Times New Roman" w:cs="Times New Roman"/>
                <w:b/>
              </w:rPr>
            </w:pPr>
          </w:p>
        </w:tc>
        <w:tc>
          <w:tcPr>
            <w:tcW w:w="940" w:type="dxa"/>
            <w:tcBorders>
              <w:bottom w:val="single" w:sz="8" w:space="0" w:color="auto"/>
              <w:right w:val="single" w:sz="8" w:space="0" w:color="auto"/>
            </w:tcBorders>
            <w:shd w:val="clear" w:color="auto" w:fill="auto"/>
            <w:vAlign w:val="bottom"/>
          </w:tcPr>
          <w:p w14:paraId="20F147B0" w14:textId="77777777" w:rsidR="00A52778" w:rsidRPr="00460F9E" w:rsidRDefault="00A52778" w:rsidP="00FC3F8E">
            <w:pPr>
              <w:spacing w:line="0" w:lineRule="atLeast"/>
              <w:rPr>
                <w:rFonts w:eastAsia="Times New Roman" w:cs="Times New Roman"/>
                <w:b/>
              </w:rPr>
            </w:pPr>
          </w:p>
        </w:tc>
        <w:tc>
          <w:tcPr>
            <w:tcW w:w="1980" w:type="dxa"/>
            <w:gridSpan w:val="2"/>
            <w:vMerge/>
            <w:tcBorders>
              <w:bottom w:val="single" w:sz="8" w:space="0" w:color="auto"/>
              <w:right w:val="single" w:sz="8" w:space="0" w:color="auto"/>
            </w:tcBorders>
            <w:shd w:val="clear" w:color="auto" w:fill="auto"/>
            <w:vAlign w:val="bottom"/>
          </w:tcPr>
          <w:p w14:paraId="63580094" w14:textId="77777777" w:rsidR="00A52778" w:rsidRPr="00460F9E" w:rsidRDefault="00A52778" w:rsidP="00FC3F8E">
            <w:pPr>
              <w:spacing w:line="0" w:lineRule="atLeast"/>
              <w:rPr>
                <w:rFonts w:eastAsia="Times New Roman" w:cs="Times New Roman"/>
                <w:b/>
              </w:rPr>
            </w:pPr>
          </w:p>
        </w:tc>
        <w:tc>
          <w:tcPr>
            <w:tcW w:w="1700" w:type="dxa"/>
            <w:tcBorders>
              <w:left w:val="single" w:sz="8" w:space="0" w:color="auto"/>
              <w:bottom w:val="single" w:sz="8" w:space="0" w:color="auto"/>
              <w:right w:val="single" w:sz="8" w:space="0" w:color="auto"/>
            </w:tcBorders>
            <w:shd w:val="clear" w:color="auto" w:fill="auto"/>
            <w:vAlign w:val="bottom"/>
          </w:tcPr>
          <w:p w14:paraId="421B1F35" w14:textId="77777777" w:rsidR="00A52778" w:rsidRPr="00460F9E" w:rsidRDefault="00A52778" w:rsidP="00FC3F8E">
            <w:pPr>
              <w:spacing w:line="0" w:lineRule="atLeast"/>
              <w:rPr>
                <w:rFonts w:eastAsia="Times New Roman" w:cs="Times New Roman"/>
                <w:b/>
              </w:rPr>
            </w:pPr>
          </w:p>
        </w:tc>
        <w:tc>
          <w:tcPr>
            <w:tcW w:w="440" w:type="dxa"/>
            <w:tcBorders>
              <w:bottom w:val="single" w:sz="8" w:space="0" w:color="auto"/>
            </w:tcBorders>
            <w:shd w:val="clear" w:color="auto" w:fill="auto"/>
            <w:vAlign w:val="bottom"/>
          </w:tcPr>
          <w:p w14:paraId="25890E3F" w14:textId="77777777" w:rsidR="00A52778" w:rsidRPr="00460F9E" w:rsidRDefault="00A52778" w:rsidP="00FC3F8E">
            <w:pPr>
              <w:spacing w:line="0" w:lineRule="atLeast"/>
              <w:rPr>
                <w:rFonts w:eastAsia="Times New Roman" w:cs="Times New Roman"/>
                <w:b/>
              </w:rPr>
            </w:pPr>
          </w:p>
        </w:tc>
        <w:tc>
          <w:tcPr>
            <w:tcW w:w="260" w:type="dxa"/>
            <w:tcBorders>
              <w:bottom w:val="single" w:sz="8" w:space="0" w:color="auto"/>
            </w:tcBorders>
            <w:shd w:val="clear" w:color="auto" w:fill="auto"/>
            <w:vAlign w:val="bottom"/>
          </w:tcPr>
          <w:p w14:paraId="15F44023" w14:textId="77777777" w:rsidR="00A52778" w:rsidRPr="00460F9E" w:rsidRDefault="00A52778" w:rsidP="00FC3F8E">
            <w:pPr>
              <w:spacing w:line="0" w:lineRule="atLeast"/>
              <w:rPr>
                <w:rFonts w:eastAsia="Times New Roman" w:cs="Times New Roman"/>
                <w:b/>
              </w:rPr>
            </w:pPr>
          </w:p>
        </w:tc>
        <w:tc>
          <w:tcPr>
            <w:tcW w:w="180" w:type="dxa"/>
            <w:tcBorders>
              <w:bottom w:val="single" w:sz="8" w:space="0" w:color="auto"/>
            </w:tcBorders>
            <w:shd w:val="clear" w:color="auto" w:fill="auto"/>
            <w:vAlign w:val="bottom"/>
          </w:tcPr>
          <w:p w14:paraId="564D297F" w14:textId="77777777" w:rsidR="00A52778" w:rsidRPr="00460F9E" w:rsidRDefault="00A52778" w:rsidP="00FC3F8E">
            <w:pPr>
              <w:spacing w:line="0" w:lineRule="atLeast"/>
              <w:rPr>
                <w:rFonts w:eastAsia="Times New Roman" w:cs="Times New Roman"/>
                <w:b/>
              </w:rPr>
            </w:pPr>
          </w:p>
        </w:tc>
        <w:tc>
          <w:tcPr>
            <w:tcW w:w="420" w:type="dxa"/>
            <w:tcBorders>
              <w:bottom w:val="single" w:sz="8" w:space="0" w:color="auto"/>
            </w:tcBorders>
            <w:shd w:val="clear" w:color="auto" w:fill="auto"/>
            <w:vAlign w:val="bottom"/>
          </w:tcPr>
          <w:p w14:paraId="693DE279" w14:textId="77777777" w:rsidR="00A52778" w:rsidRPr="00460F9E" w:rsidRDefault="00A52778" w:rsidP="00FC3F8E">
            <w:pPr>
              <w:spacing w:line="0" w:lineRule="atLeast"/>
              <w:rPr>
                <w:rFonts w:eastAsia="Times New Roman" w:cs="Times New Roman"/>
                <w:b/>
              </w:rPr>
            </w:pPr>
          </w:p>
        </w:tc>
        <w:tc>
          <w:tcPr>
            <w:tcW w:w="320" w:type="dxa"/>
            <w:tcBorders>
              <w:bottom w:val="single" w:sz="8" w:space="0" w:color="auto"/>
            </w:tcBorders>
            <w:shd w:val="clear" w:color="auto" w:fill="auto"/>
            <w:vAlign w:val="bottom"/>
          </w:tcPr>
          <w:p w14:paraId="06262709" w14:textId="77777777" w:rsidR="00A52778" w:rsidRPr="00460F9E" w:rsidRDefault="00A52778" w:rsidP="00FC3F8E">
            <w:pPr>
              <w:spacing w:line="0" w:lineRule="atLeast"/>
              <w:rPr>
                <w:rFonts w:eastAsia="Times New Roman" w:cs="Times New Roman"/>
                <w:b/>
              </w:rPr>
            </w:pPr>
          </w:p>
        </w:tc>
        <w:tc>
          <w:tcPr>
            <w:tcW w:w="340" w:type="dxa"/>
            <w:tcBorders>
              <w:bottom w:val="single" w:sz="8" w:space="0" w:color="auto"/>
            </w:tcBorders>
            <w:shd w:val="clear" w:color="auto" w:fill="auto"/>
            <w:vAlign w:val="bottom"/>
          </w:tcPr>
          <w:p w14:paraId="00B4270A" w14:textId="77777777" w:rsidR="00A52778" w:rsidRPr="00460F9E" w:rsidRDefault="00A52778" w:rsidP="00FC3F8E">
            <w:pPr>
              <w:spacing w:line="0" w:lineRule="atLeast"/>
              <w:rPr>
                <w:rFonts w:eastAsia="Times New Roman" w:cs="Times New Roman"/>
                <w:b/>
              </w:rPr>
            </w:pPr>
          </w:p>
        </w:tc>
        <w:tc>
          <w:tcPr>
            <w:tcW w:w="80" w:type="dxa"/>
            <w:tcBorders>
              <w:bottom w:val="single" w:sz="8" w:space="0" w:color="auto"/>
            </w:tcBorders>
            <w:shd w:val="clear" w:color="auto" w:fill="auto"/>
            <w:vAlign w:val="bottom"/>
          </w:tcPr>
          <w:p w14:paraId="1A4A68E7" w14:textId="77777777" w:rsidR="00A52778" w:rsidRPr="00460F9E" w:rsidRDefault="00A52778" w:rsidP="00FC3F8E">
            <w:pPr>
              <w:spacing w:line="0" w:lineRule="atLeast"/>
              <w:rPr>
                <w:rFonts w:eastAsia="Times New Roman" w:cs="Times New Roman"/>
                <w:b/>
              </w:rPr>
            </w:pPr>
          </w:p>
        </w:tc>
        <w:tc>
          <w:tcPr>
            <w:tcW w:w="260" w:type="dxa"/>
            <w:tcBorders>
              <w:bottom w:val="single" w:sz="8" w:space="0" w:color="auto"/>
            </w:tcBorders>
            <w:shd w:val="clear" w:color="auto" w:fill="auto"/>
            <w:vAlign w:val="bottom"/>
          </w:tcPr>
          <w:p w14:paraId="33A71739" w14:textId="77777777" w:rsidR="00A52778" w:rsidRPr="00460F9E" w:rsidRDefault="00A52778" w:rsidP="00FC3F8E">
            <w:pPr>
              <w:spacing w:line="0" w:lineRule="atLeast"/>
              <w:rPr>
                <w:rFonts w:eastAsia="Times New Roman" w:cs="Times New Roman"/>
                <w:b/>
              </w:rPr>
            </w:pPr>
          </w:p>
        </w:tc>
        <w:tc>
          <w:tcPr>
            <w:tcW w:w="460" w:type="dxa"/>
            <w:tcBorders>
              <w:bottom w:val="single" w:sz="8" w:space="0" w:color="auto"/>
              <w:right w:val="single" w:sz="8" w:space="0" w:color="auto"/>
            </w:tcBorders>
            <w:shd w:val="clear" w:color="auto" w:fill="auto"/>
            <w:vAlign w:val="bottom"/>
          </w:tcPr>
          <w:p w14:paraId="2C32B89E" w14:textId="77777777" w:rsidR="00A52778" w:rsidRPr="00460F9E" w:rsidRDefault="00A52778" w:rsidP="00FC3F8E">
            <w:pPr>
              <w:spacing w:line="0" w:lineRule="atLeast"/>
              <w:rPr>
                <w:rFonts w:eastAsia="Times New Roman" w:cs="Times New Roman"/>
                <w:b/>
              </w:rPr>
            </w:pPr>
          </w:p>
        </w:tc>
      </w:tr>
      <w:tr w:rsidR="00A52778" w:rsidRPr="00460F9E" w14:paraId="5857C82B" w14:textId="77777777" w:rsidTr="00FC3F8E">
        <w:trPr>
          <w:gridAfter w:val="1"/>
          <w:wAfter w:w="720" w:type="dxa"/>
          <w:trHeight w:val="217"/>
        </w:trPr>
        <w:tc>
          <w:tcPr>
            <w:tcW w:w="400" w:type="dxa"/>
            <w:tcBorders>
              <w:left w:val="single" w:sz="8" w:space="0" w:color="auto"/>
              <w:right w:val="single" w:sz="8" w:space="0" w:color="auto"/>
            </w:tcBorders>
            <w:shd w:val="clear" w:color="auto" w:fill="auto"/>
            <w:vAlign w:val="bottom"/>
          </w:tcPr>
          <w:p w14:paraId="4E1A0AE9" w14:textId="77777777" w:rsidR="00A52778" w:rsidRPr="00460F9E" w:rsidRDefault="00A52778" w:rsidP="00FC3F8E">
            <w:pPr>
              <w:spacing w:line="0" w:lineRule="atLeast"/>
              <w:rPr>
                <w:rFonts w:eastAsia="Times New Roman" w:cs="Times New Roman"/>
                <w:b/>
                <w:sz w:val="18"/>
              </w:rPr>
            </w:pPr>
          </w:p>
        </w:tc>
        <w:tc>
          <w:tcPr>
            <w:tcW w:w="1820" w:type="dxa"/>
            <w:gridSpan w:val="2"/>
            <w:vMerge w:val="restart"/>
            <w:tcBorders>
              <w:right w:val="single" w:sz="8" w:space="0" w:color="auto"/>
            </w:tcBorders>
            <w:shd w:val="clear" w:color="auto" w:fill="auto"/>
            <w:vAlign w:val="center"/>
          </w:tcPr>
          <w:p w14:paraId="58215E94"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Seçici katalitik  </w:t>
            </w:r>
          </w:p>
          <w:p w14:paraId="13363254"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indirgeme (SCR)</w:t>
            </w:r>
          </w:p>
        </w:tc>
        <w:tc>
          <w:tcPr>
            <w:tcW w:w="1980" w:type="dxa"/>
            <w:gridSpan w:val="2"/>
            <w:vMerge w:val="restart"/>
            <w:tcBorders>
              <w:left w:val="single" w:sz="8" w:space="0" w:color="auto"/>
              <w:right w:val="single" w:sz="8" w:space="0" w:color="auto"/>
            </w:tcBorders>
            <w:shd w:val="clear" w:color="auto" w:fill="auto"/>
            <w:vAlign w:val="center"/>
          </w:tcPr>
          <w:p w14:paraId="21357CD6" w14:textId="77777777" w:rsidR="00A52778" w:rsidRPr="00460F9E" w:rsidRDefault="00A52778" w:rsidP="00FC3F8E">
            <w:pPr>
              <w:spacing w:line="0" w:lineRule="atLeast"/>
              <w:ind w:left="80"/>
              <w:rPr>
                <w:rFonts w:eastAsia="Times New Roman" w:cs="Times New Roman"/>
                <w:b/>
                <w:sz w:val="18"/>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1700" w:type="dxa"/>
            <w:vMerge w:val="restart"/>
            <w:tcBorders>
              <w:left w:val="single" w:sz="8" w:space="0" w:color="auto"/>
              <w:right w:val="single" w:sz="8" w:space="0" w:color="auto"/>
            </w:tcBorders>
            <w:shd w:val="clear" w:color="auto" w:fill="auto"/>
            <w:vAlign w:val="center"/>
          </w:tcPr>
          <w:p w14:paraId="1C02D9B0"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rPr>
              <w:t>NO</w:t>
            </w:r>
            <w:r w:rsidRPr="00460F9E">
              <w:rPr>
                <w:rFonts w:eastAsia="Times New Roman" w:cs="Times New Roman"/>
                <w:sz w:val="12"/>
              </w:rPr>
              <w:t>X</w:t>
            </w:r>
          </w:p>
        </w:tc>
        <w:tc>
          <w:tcPr>
            <w:tcW w:w="2760" w:type="dxa"/>
            <w:gridSpan w:val="9"/>
            <w:vMerge w:val="restart"/>
            <w:tcBorders>
              <w:right w:val="single" w:sz="8" w:space="0" w:color="auto"/>
            </w:tcBorders>
            <w:shd w:val="clear" w:color="auto" w:fill="auto"/>
            <w:vAlign w:val="bottom"/>
          </w:tcPr>
          <w:p w14:paraId="3465F467" w14:textId="77777777" w:rsidR="00A52778" w:rsidRPr="00460F9E" w:rsidRDefault="00A52778" w:rsidP="00FC3F8E">
            <w:pPr>
              <w:spacing w:line="214" w:lineRule="exact"/>
              <w:ind w:right="40"/>
              <w:rPr>
                <w:rFonts w:eastAsia="Times New Roman" w:cs="Times New Roman"/>
                <w:b/>
              </w:rPr>
            </w:pPr>
            <w:r w:rsidRPr="00460F9E">
              <w:rPr>
                <w:rFonts w:eastAsia="Times New Roman" w:cs="Times New Roman"/>
              </w:rPr>
              <w:t xml:space="preserve">                                                  </w:t>
            </w:r>
          </w:p>
          <w:p w14:paraId="465DE77D" w14:textId="77777777" w:rsidR="00A52778" w:rsidRPr="00460F9E" w:rsidRDefault="00A52778" w:rsidP="00FC3F8E">
            <w:pPr>
              <w:spacing w:line="214" w:lineRule="exact"/>
              <w:ind w:right="40"/>
              <w:rPr>
                <w:rFonts w:eastAsia="Times New Roman" w:cs="Times New Roman"/>
                <w:b/>
              </w:rPr>
            </w:pPr>
            <w:r w:rsidRPr="00460F9E">
              <w:rPr>
                <w:rFonts w:eastAsia="Times New Roman" w:cs="Times New Roman"/>
              </w:rPr>
              <w:t xml:space="preserve">  Mevcut tesislere</w:t>
            </w:r>
          </w:p>
          <w:p w14:paraId="1B86789C" w14:textId="77777777" w:rsidR="00A52778" w:rsidRPr="00460F9E" w:rsidRDefault="00A52778" w:rsidP="00FC3F8E">
            <w:pPr>
              <w:spacing w:line="214" w:lineRule="exact"/>
              <w:ind w:right="40"/>
              <w:rPr>
                <w:rFonts w:eastAsia="Times New Roman" w:cs="Times New Roman"/>
                <w:b/>
              </w:rPr>
            </w:pPr>
            <w:r w:rsidRPr="00460F9E">
              <w:rPr>
                <w:rFonts w:eastAsia="Times New Roman" w:cs="Times New Roman"/>
              </w:rPr>
              <w:t xml:space="preserve">  uygulanabilirliği kurulu alandan</w:t>
            </w:r>
          </w:p>
          <w:p w14:paraId="10CDB61E" w14:textId="77777777" w:rsidR="00A52778" w:rsidRPr="00460F9E" w:rsidRDefault="00A52778" w:rsidP="00FC3F8E">
            <w:pPr>
              <w:spacing w:line="214" w:lineRule="exact"/>
              <w:ind w:right="40"/>
              <w:rPr>
                <w:rFonts w:eastAsia="Times New Roman" w:cs="Times New Roman"/>
                <w:b/>
              </w:rPr>
            </w:pPr>
            <w:r w:rsidRPr="00460F9E">
              <w:rPr>
                <w:rFonts w:eastAsia="Times New Roman" w:cs="Times New Roman"/>
              </w:rPr>
              <w:t xml:space="preserve">  dolayı sınırlı olabilir.</w:t>
            </w:r>
          </w:p>
          <w:p w14:paraId="3ED04E47" w14:textId="77777777" w:rsidR="00A52778" w:rsidRPr="00460F9E" w:rsidRDefault="00A52778" w:rsidP="00FC3F8E">
            <w:pPr>
              <w:spacing w:line="217" w:lineRule="exact"/>
              <w:ind w:left="100"/>
              <w:rPr>
                <w:rFonts w:eastAsia="Times New Roman" w:cs="Times New Roman"/>
                <w:b/>
              </w:rPr>
            </w:pPr>
          </w:p>
        </w:tc>
      </w:tr>
      <w:tr w:rsidR="00A52778" w:rsidRPr="00460F9E" w14:paraId="241D7B70" w14:textId="77777777" w:rsidTr="00FC3F8E">
        <w:trPr>
          <w:gridAfter w:val="1"/>
          <w:wAfter w:w="720" w:type="dxa"/>
          <w:trHeight w:val="323"/>
        </w:trPr>
        <w:tc>
          <w:tcPr>
            <w:tcW w:w="400" w:type="dxa"/>
            <w:tcBorders>
              <w:left w:val="single" w:sz="8" w:space="0" w:color="auto"/>
              <w:bottom w:val="nil"/>
              <w:right w:val="single" w:sz="8" w:space="0" w:color="auto"/>
            </w:tcBorders>
            <w:shd w:val="clear" w:color="auto" w:fill="auto"/>
            <w:vAlign w:val="bottom"/>
          </w:tcPr>
          <w:p w14:paraId="3AA6F350"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c.</w:t>
            </w:r>
          </w:p>
        </w:tc>
        <w:tc>
          <w:tcPr>
            <w:tcW w:w="1820" w:type="dxa"/>
            <w:gridSpan w:val="2"/>
            <w:vMerge/>
            <w:tcBorders>
              <w:right w:val="single" w:sz="8" w:space="0" w:color="auto"/>
            </w:tcBorders>
            <w:shd w:val="clear" w:color="auto" w:fill="auto"/>
            <w:vAlign w:val="bottom"/>
          </w:tcPr>
          <w:p w14:paraId="31D107CD" w14:textId="77777777" w:rsidR="00A52778" w:rsidRPr="00460F9E" w:rsidRDefault="00A52778" w:rsidP="00FC3F8E">
            <w:pPr>
              <w:spacing w:line="0" w:lineRule="atLeast"/>
              <w:ind w:left="80"/>
              <w:rPr>
                <w:rFonts w:eastAsia="Times New Roman" w:cs="Times New Roman"/>
                <w:b/>
                <w:sz w:val="12"/>
              </w:rPr>
            </w:pPr>
          </w:p>
        </w:tc>
        <w:tc>
          <w:tcPr>
            <w:tcW w:w="1980" w:type="dxa"/>
            <w:gridSpan w:val="2"/>
            <w:vMerge/>
            <w:tcBorders>
              <w:left w:val="single" w:sz="8" w:space="0" w:color="auto"/>
              <w:right w:val="single" w:sz="8" w:space="0" w:color="auto"/>
            </w:tcBorders>
            <w:shd w:val="clear" w:color="auto" w:fill="auto"/>
            <w:vAlign w:val="bottom"/>
          </w:tcPr>
          <w:p w14:paraId="3B24FEBE" w14:textId="77777777" w:rsidR="00A52778" w:rsidRPr="00460F9E" w:rsidRDefault="00A52778" w:rsidP="00FC3F8E">
            <w:pPr>
              <w:spacing w:line="0" w:lineRule="atLeast"/>
              <w:ind w:left="80"/>
              <w:rPr>
                <w:rFonts w:eastAsia="Times New Roman" w:cs="Times New Roman"/>
                <w:b/>
              </w:rPr>
            </w:pPr>
          </w:p>
        </w:tc>
        <w:tc>
          <w:tcPr>
            <w:tcW w:w="1700" w:type="dxa"/>
            <w:vMerge/>
            <w:tcBorders>
              <w:right w:val="single" w:sz="8" w:space="0" w:color="auto"/>
            </w:tcBorders>
            <w:shd w:val="clear" w:color="auto" w:fill="auto"/>
            <w:vAlign w:val="bottom"/>
          </w:tcPr>
          <w:p w14:paraId="154D8C81" w14:textId="77777777" w:rsidR="00A52778" w:rsidRPr="00460F9E" w:rsidRDefault="00A52778" w:rsidP="00FC3F8E">
            <w:pPr>
              <w:spacing w:line="0" w:lineRule="atLeast"/>
              <w:jc w:val="center"/>
              <w:rPr>
                <w:rFonts w:eastAsia="Times New Roman" w:cs="Times New Roman"/>
                <w:b/>
                <w:sz w:val="12"/>
              </w:rPr>
            </w:pPr>
          </w:p>
        </w:tc>
        <w:tc>
          <w:tcPr>
            <w:tcW w:w="2760" w:type="dxa"/>
            <w:gridSpan w:val="9"/>
            <w:vMerge/>
            <w:tcBorders>
              <w:right w:val="single" w:sz="8" w:space="0" w:color="auto"/>
            </w:tcBorders>
            <w:shd w:val="clear" w:color="auto" w:fill="auto"/>
            <w:vAlign w:val="bottom"/>
          </w:tcPr>
          <w:p w14:paraId="5B13DD4B" w14:textId="77777777" w:rsidR="00A52778" w:rsidRPr="00460F9E" w:rsidRDefault="00A52778" w:rsidP="00FC3F8E">
            <w:pPr>
              <w:spacing w:line="228" w:lineRule="exact"/>
              <w:ind w:right="20"/>
              <w:jc w:val="right"/>
              <w:rPr>
                <w:rFonts w:eastAsia="Times New Roman" w:cs="Times New Roman"/>
                <w:b/>
              </w:rPr>
            </w:pPr>
          </w:p>
        </w:tc>
      </w:tr>
      <w:tr w:rsidR="00A52778" w:rsidRPr="00460F9E" w14:paraId="00C742DA" w14:textId="77777777" w:rsidTr="00FC3F8E">
        <w:trPr>
          <w:gridAfter w:val="1"/>
          <w:wAfter w:w="720" w:type="dxa"/>
          <w:trHeight w:val="138"/>
        </w:trPr>
        <w:tc>
          <w:tcPr>
            <w:tcW w:w="400" w:type="dxa"/>
            <w:tcBorders>
              <w:left w:val="single" w:sz="8" w:space="0" w:color="auto"/>
              <w:right w:val="single" w:sz="8" w:space="0" w:color="auto"/>
            </w:tcBorders>
            <w:shd w:val="clear" w:color="auto" w:fill="auto"/>
            <w:vAlign w:val="bottom"/>
          </w:tcPr>
          <w:p w14:paraId="1A152E76" w14:textId="77777777" w:rsidR="00A52778" w:rsidRPr="00460F9E" w:rsidRDefault="00A52778" w:rsidP="00FC3F8E">
            <w:pPr>
              <w:spacing w:line="0" w:lineRule="atLeast"/>
              <w:rPr>
                <w:rFonts w:eastAsia="Times New Roman" w:cs="Times New Roman"/>
                <w:b/>
                <w:sz w:val="11"/>
              </w:rPr>
            </w:pPr>
          </w:p>
        </w:tc>
        <w:tc>
          <w:tcPr>
            <w:tcW w:w="1820" w:type="dxa"/>
            <w:gridSpan w:val="2"/>
            <w:vMerge/>
            <w:tcBorders>
              <w:right w:val="single" w:sz="8" w:space="0" w:color="auto"/>
            </w:tcBorders>
            <w:shd w:val="clear" w:color="auto" w:fill="auto"/>
            <w:vAlign w:val="bottom"/>
          </w:tcPr>
          <w:p w14:paraId="39A4363D" w14:textId="77777777" w:rsidR="00A52778" w:rsidRPr="00460F9E" w:rsidRDefault="00A52778" w:rsidP="00FC3F8E">
            <w:pPr>
              <w:spacing w:line="0" w:lineRule="atLeast"/>
              <w:rPr>
                <w:rFonts w:eastAsia="Times New Roman" w:cs="Times New Roman"/>
                <w:b/>
                <w:sz w:val="11"/>
              </w:rPr>
            </w:pPr>
          </w:p>
        </w:tc>
        <w:tc>
          <w:tcPr>
            <w:tcW w:w="1980" w:type="dxa"/>
            <w:gridSpan w:val="2"/>
            <w:vMerge/>
            <w:tcBorders>
              <w:left w:val="single" w:sz="8" w:space="0" w:color="auto"/>
              <w:right w:val="single" w:sz="8" w:space="0" w:color="auto"/>
            </w:tcBorders>
            <w:shd w:val="clear" w:color="auto" w:fill="auto"/>
            <w:vAlign w:val="bottom"/>
          </w:tcPr>
          <w:p w14:paraId="6BC1A60A" w14:textId="77777777" w:rsidR="00A52778" w:rsidRPr="00460F9E" w:rsidRDefault="00A52778" w:rsidP="00FC3F8E">
            <w:pPr>
              <w:spacing w:line="0" w:lineRule="atLeast"/>
              <w:rPr>
                <w:rFonts w:eastAsia="Times New Roman" w:cs="Times New Roman"/>
                <w:b/>
                <w:sz w:val="11"/>
              </w:rPr>
            </w:pPr>
          </w:p>
        </w:tc>
        <w:tc>
          <w:tcPr>
            <w:tcW w:w="1700" w:type="dxa"/>
            <w:vMerge/>
            <w:tcBorders>
              <w:left w:val="single" w:sz="8" w:space="0" w:color="auto"/>
              <w:right w:val="single" w:sz="8" w:space="0" w:color="auto"/>
            </w:tcBorders>
            <w:shd w:val="clear" w:color="auto" w:fill="auto"/>
            <w:vAlign w:val="bottom"/>
          </w:tcPr>
          <w:p w14:paraId="7F0BAC57" w14:textId="77777777" w:rsidR="00A52778" w:rsidRPr="00460F9E" w:rsidRDefault="00A52778" w:rsidP="00FC3F8E">
            <w:pPr>
              <w:spacing w:line="0" w:lineRule="atLeast"/>
              <w:rPr>
                <w:rFonts w:eastAsia="Times New Roman" w:cs="Times New Roman"/>
                <w:b/>
                <w:sz w:val="11"/>
              </w:rPr>
            </w:pPr>
          </w:p>
        </w:tc>
        <w:tc>
          <w:tcPr>
            <w:tcW w:w="2760" w:type="dxa"/>
            <w:gridSpan w:val="9"/>
            <w:vMerge/>
            <w:tcBorders>
              <w:right w:val="single" w:sz="8" w:space="0" w:color="auto"/>
            </w:tcBorders>
            <w:shd w:val="clear" w:color="auto" w:fill="auto"/>
            <w:vAlign w:val="bottom"/>
          </w:tcPr>
          <w:p w14:paraId="7DDF7638" w14:textId="77777777" w:rsidR="00A52778" w:rsidRPr="00460F9E" w:rsidRDefault="00A52778" w:rsidP="00FC3F8E">
            <w:pPr>
              <w:spacing w:line="0" w:lineRule="atLeast"/>
              <w:rPr>
                <w:rFonts w:eastAsia="Times New Roman" w:cs="Times New Roman"/>
                <w:b/>
                <w:sz w:val="11"/>
              </w:rPr>
            </w:pPr>
          </w:p>
        </w:tc>
      </w:tr>
      <w:tr w:rsidR="00A52778" w:rsidRPr="00460F9E" w14:paraId="78BD8A68" w14:textId="77777777" w:rsidTr="00FC3F8E">
        <w:trPr>
          <w:gridAfter w:val="1"/>
          <w:wAfter w:w="720" w:type="dxa"/>
          <w:trHeight w:val="211"/>
        </w:trPr>
        <w:tc>
          <w:tcPr>
            <w:tcW w:w="400" w:type="dxa"/>
            <w:tcBorders>
              <w:left w:val="single" w:sz="8" w:space="0" w:color="auto"/>
              <w:right w:val="single" w:sz="8" w:space="0" w:color="auto"/>
            </w:tcBorders>
            <w:shd w:val="clear" w:color="auto" w:fill="auto"/>
            <w:vAlign w:val="bottom"/>
          </w:tcPr>
          <w:p w14:paraId="775C4616" w14:textId="77777777" w:rsidR="00A52778" w:rsidRPr="00460F9E" w:rsidRDefault="00A52778" w:rsidP="00FC3F8E">
            <w:pPr>
              <w:spacing w:line="0" w:lineRule="atLeast"/>
              <w:rPr>
                <w:rFonts w:eastAsia="Times New Roman" w:cs="Times New Roman"/>
                <w:b/>
                <w:sz w:val="7"/>
              </w:rPr>
            </w:pPr>
          </w:p>
        </w:tc>
        <w:tc>
          <w:tcPr>
            <w:tcW w:w="1820" w:type="dxa"/>
            <w:gridSpan w:val="2"/>
            <w:vMerge/>
            <w:tcBorders>
              <w:right w:val="single" w:sz="8" w:space="0" w:color="auto"/>
            </w:tcBorders>
            <w:shd w:val="clear" w:color="auto" w:fill="auto"/>
            <w:vAlign w:val="bottom"/>
          </w:tcPr>
          <w:p w14:paraId="29F9B03B" w14:textId="77777777" w:rsidR="00A52778" w:rsidRPr="00460F9E" w:rsidRDefault="00A52778" w:rsidP="00FC3F8E">
            <w:pPr>
              <w:spacing w:line="0" w:lineRule="atLeast"/>
              <w:rPr>
                <w:rFonts w:eastAsia="Times New Roman" w:cs="Times New Roman"/>
                <w:b/>
                <w:sz w:val="7"/>
              </w:rPr>
            </w:pPr>
          </w:p>
        </w:tc>
        <w:tc>
          <w:tcPr>
            <w:tcW w:w="1980" w:type="dxa"/>
            <w:gridSpan w:val="2"/>
            <w:vMerge/>
            <w:tcBorders>
              <w:left w:val="single" w:sz="8" w:space="0" w:color="auto"/>
              <w:right w:val="single" w:sz="8" w:space="0" w:color="auto"/>
            </w:tcBorders>
            <w:shd w:val="clear" w:color="auto" w:fill="auto"/>
            <w:vAlign w:val="bottom"/>
          </w:tcPr>
          <w:p w14:paraId="6AEA9E93" w14:textId="77777777" w:rsidR="00A52778" w:rsidRPr="00460F9E" w:rsidRDefault="00A52778" w:rsidP="00FC3F8E">
            <w:pPr>
              <w:spacing w:line="0" w:lineRule="atLeast"/>
              <w:rPr>
                <w:rFonts w:eastAsia="Times New Roman" w:cs="Times New Roman"/>
                <w:b/>
                <w:sz w:val="7"/>
              </w:rPr>
            </w:pPr>
          </w:p>
        </w:tc>
        <w:tc>
          <w:tcPr>
            <w:tcW w:w="1700" w:type="dxa"/>
            <w:vMerge/>
            <w:tcBorders>
              <w:left w:val="single" w:sz="8" w:space="0" w:color="auto"/>
              <w:right w:val="single" w:sz="8" w:space="0" w:color="auto"/>
            </w:tcBorders>
            <w:shd w:val="clear" w:color="auto" w:fill="auto"/>
            <w:vAlign w:val="bottom"/>
          </w:tcPr>
          <w:p w14:paraId="45D250C2" w14:textId="77777777" w:rsidR="00A52778" w:rsidRPr="00460F9E" w:rsidRDefault="00A52778" w:rsidP="00FC3F8E">
            <w:pPr>
              <w:spacing w:line="0" w:lineRule="atLeast"/>
              <w:rPr>
                <w:rFonts w:eastAsia="Times New Roman" w:cs="Times New Roman"/>
                <w:b/>
                <w:sz w:val="7"/>
              </w:rPr>
            </w:pPr>
          </w:p>
        </w:tc>
        <w:tc>
          <w:tcPr>
            <w:tcW w:w="2760" w:type="dxa"/>
            <w:gridSpan w:val="9"/>
            <w:vMerge/>
            <w:tcBorders>
              <w:right w:val="single" w:sz="8" w:space="0" w:color="auto"/>
            </w:tcBorders>
            <w:shd w:val="clear" w:color="auto" w:fill="auto"/>
            <w:vAlign w:val="bottom"/>
          </w:tcPr>
          <w:p w14:paraId="3070F6EC" w14:textId="77777777" w:rsidR="00A52778" w:rsidRPr="00460F9E" w:rsidRDefault="00A52778" w:rsidP="00FC3F8E">
            <w:pPr>
              <w:spacing w:line="0" w:lineRule="atLeast"/>
              <w:rPr>
                <w:rFonts w:eastAsia="Times New Roman" w:cs="Times New Roman"/>
                <w:b/>
                <w:sz w:val="7"/>
              </w:rPr>
            </w:pPr>
          </w:p>
        </w:tc>
      </w:tr>
      <w:tr w:rsidR="00A52778" w:rsidRPr="00460F9E" w14:paraId="6D97DE26" w14:textId="77777777" w:rsidTr="00FC3F8E">
        <w:trPr>
          <w:gridAfter w:val="1"/>
          <w:wAfter w:w="720" w:type="dxa"/>
          <w:trHeight w:val="66"/>
        </w:trPr>
        <w:tc>
          <w:tcPr>
            <w:tcW w:w="400" w:type="dxa"/>
            <w:tcBorders>
              <w:left w:val="single" w:sz="8" w:space="0" w:color="auto"/>
              <w:bottom w:val="single" w:sz="8" w:space="0" w:color="auto"/>
              <w:right w:val="single" w:sz="8" w:space="0" w:color="auto"/>
            </w:tcBorders>
            <w:shd w:val="clear" w:color="auto" w:fill="auto"/>
            <w:vAlign w:val="bottom"/>
          </w:tcPr>
          <w:p w14:paraId="1A73AD59" w14:textId="77777777" w:rsidR="00A52778" w:rsidRPr="00460F9E" w:rsidRDefault="00A52778" w:rsidP="00FC3F8E">
            <w:pPr>
              <w:spacing w:line="0" w:lineRule="atLeast"/>
              <w:rPr>
                <w:rFonts w:eastAsia="Times New Roman" w:cs="Times New Roman"/>
                <w:b/>
                <w:sz w:val="6"/>
              </w:rPr>
            </w:pPr>
          </w:p>
        </w:tc>
        <w:tc>
          <w:tcPr>
            <w:tcW w:w="880" w:type="dxa"/>
            <w:tcBorders>
              <w:bottom w:val="single" w:sz="8" w:space="0" w:color="auto"/>
            </w:tcBorders>
            <w:shd w:val="clear" w:color="auto" w:fill="auto"/>
            <w:vAlign w:val="bottom"/>
          </w:tcPr>
          <w:p w14:paraId="62CDE2A8" w14:textId="77777777" w:rsidR="00A52778" w:rsidRPr="00460F9E" w:rsidRDefault="00A52778" w:rsidP="00FC3F8E">
            <w:pPr>
              <w:spacing w:line="0" w:lineRule="atLeast"/>
              <w:rPr>
                <w:rFonts w:eastAsia="Times New Roman" w:cs="Times New Roman"/>
                <w:b/>
                <w:sz w:val="6"/>
              </w:rPr>
            </w:pPr>
          </w:p>
        </w:tc>
        <w:tc>
          <w:tcPr>
            <w:tcW w:w="940" w:type="dxa"/>
            <w:tcBorders>
              <w:bottom w:val="single" w:sz="8" w:space="0" w:color="auto"/>
              <w:right w:val="single" w:sz="8" w:space="0" w:color="auto"/>
            </w:tcBorders>
            <w:shd w:val="clear" w:color="auto" w:fill="auto"/>
            <w:vAlign w:val="bottom"/>
          </w:tcPr>
          <w:p w14:paraId="0F7D3122" w14:textId="77777777" w:rsidR="00A52778" w:rsidRPr="00460F9E" w:rsidRDefault="00A52778" w:rsidP="00FC3F8E">
            <w:pPr>
              <w:spacing w:line="0" w:lineRule="atLeast"/>
              <w:rPr>
                <w:rFonts w:eastAsia="Times New Roman" w:cs="Times New Roman"/>
                <w:b/>
                <w:sz w:val="6"/>
              </w:rPr>
            </w:pPr>
          </w:p>
        </w:tc>
        <w:tc>
          <w:tcPr>
            <w:tcW w:w="880" w:type="dxa"/>
            <w:tcBorders>
              <w:bottom w:val="single" w:sz="8" w:space="0" w:color="auto"/>
            </w:tcBorders>
            <w:shd w:val="clear" w:color="auto" w:fill="auto"/>
            <w:vAlign w:val="bottom"/>
          </w:tcPr>
          <w:p w14:paraId="50D2A09F" w14:textId="77777777" w:rsidR="00A52778" w:rsidRPr="00460F9E" w:rsidRDefault="00A52778" w:rsidP="00FC3F8E">
            <w:pPr>
              <w:spacing w:line="0" w:lineRule="atLeast"/>
              <w:rPr>
                <w:rFonts w:eastAsia="Times New Roman" w:cs="Times New Roman"/>
                <w:b/>
                <w:sz w:val="6"/>
              </w:rPr>
            </w:pPr>
          </w:p>
        </w:tc>
        <w:tc>
          <w:tcPr>
            <w:tcW w:w="1100" w:type="dxa"/>
            <w:tcBorders>
              <w:bottom w:val="single" w:sz="8" w:space="0" w:color="auto"/>
              <w:right w:val="single" w:sz="8" w:space="0" w:color="auto"/>
            </w:tcBorders>
            <w:shd w:val="clear" w:color="auto" w:fill="auto"/>
            <w:vAlign w:val="bottom"/>
          </w:tcPr>
          <w:p w14:paraId="3B68C13D" w14:textId="77777777" w:rsidR="00A52778" w:rsidRPr="00460F9E" w:rsidRDefault="00A52778" w:rsidP="00FC3F8E">
            <w:pPr>
              <w:spacing w:line="0" w:lineRule="atLeast"/>
              <w:rPr>
                <w:rFonts w:eastAsia="Times New Roman" w:cs="Times New Roman"/>
                <w:b/>
                <w:sz w:val="6"/>
              </w:rPr>
            </w:pPr>
          </w:p>
        </w:tc>
        <w:tc>
          <w:tcPr>
            <w:tcW w:w="1700" w:type="dxa"/>
            <w:tcBorders>
              <w:bottom w:val="single" w:sz="8" w:space="0" w:color="auto"/>
              <w:right w:val="single" w:sz="8" w:space="0" w:color="auto"/>
            </w:tcBorders>
            <w:shd w:val="clear" w:color="auto" w:fill="auto"/>
            <w:vAlign w:val="bottom"/>
          </w:tcPr>
          <w:p w14:paraId="3CCA13F5" w14:textId="77777777" w:rsidR="00A52778" w:rsidRPr="00460F9E" w:rsidRDefault="00A52778" w:rsidP="00FC3F8E">
            <w:pPr>
              <w:spacing w:line="0" w:lineRule="atLeast"/>
              <w:rPr>
                <w:rFonts w:eastAsia="Times New Roman" w:cs="Times New Roman"/>
                <w:b/>
                <w:sz w:val="6"/>
              </w:rPr>
            </w:pPr>
          </w:p>
        </w:tc>
        <w:tc>
          <w:tcPr>
            <w:tcW w:w="2760" w:type="dxa"/>
            <w:gridSpan w:val="9"/>
            <w:tcBorders>
              <w:bottom w:val="single" w:sz="8" w:space="0" w:color="auto"/>
              <w:right w:val="single" w:sz="8" w:space="0" w:color="auto"/>
            </w:tcBorders>
            <w:shd w:val="clear" w:color="auto" w:fill="auto"/>
            <w:vAlign w:val="bottom"/>
          </w:tcPr>
          <w:p w14:paraId="2F6C6CD4" w14:textId="77777777" w:rsidR="00A52778" w:rsidRPr="00460F9E" w:rsidRDefault="00A52778" w:rsidP="00FC3F8E">
            <w:pPr>
              <w:spacing w:line="0" w:lineRule="atLeast"/>
              <w:rPr>
                <w:rFonts w:eastAsia="Times New Roman" w:cs="Times New Roman"/>
                <w:b/>
                <w:sz w:val="6"/>
              </w:rPr>
            </w:pPr>
          </w:p>
        </w:tc>
      </w:tr>
      <w:tr w:rsidR="00A52778" w:rsidRPr="00460F9E" w14:paraId="632B1FBA" w14:textId="77777777" w:rsidTr="00FC3F8E">
        <w:trPr>
          <w:gridAfter w:val="1"/>
          <w:wAfter w:w="720" w:type="dxa"/>
          <w:trHeight w:val="57"/>
        </w:trPr>
        <w:tc>
          <w:tcPr>
            <w:tcW w:w="400" w:type="dxa"/>
            <w:tcBorders>
              <w:left w:val="single" w:sz="8" w:space="0" w:color="auto"/>
              <w:right w:val="single" w:sz="8" w:space="0" w:color="auto"/>
            </w:tcBorders>
            <w:shd w:val="clear" w:color="auto" w:fill="auto"/>
            <w:vAlign w:val="bottom"/>
          </w:tcPr>
          <w:p w14:paraId="76324F8A" w14:textId="77777777" w:rsidR="00A52778" w:rsidRPr="00460F9E" w:rsidRDefault="00A52778" w:rsidP="00FC3F8E">
            <w:pPr>
              <w:spacing w:line="0" w:lineRule="atLeast"/>
              <w:rPr>
                <w:rFonts w:eastAsia="Times New Roman" w:cs="Times New Roman"/>
                <w:b/>
                <w:sz w:val="18"/>
              </w:rPr>
            </w:pPr>
          </w:p>
        </w:tc>
        <w:tc>
          <w:tcPr>
            <w:tcW w:w="1820" w:type="dxa"/>
            <w:gridSpan w:val="2"/>
            <w:vMerge w:val="restart"/>
            <w:tcBorders>
              <w:right w:val="single" w:sz="8" w:space="0" w:color="auto"/>
            </w:tcBorders>
            <w:shd w:val="clear" w:color="auto" w:fill="auto"/>
            <w:vAlign w:val="center"/>
          </w:tcPr>
          <w:p w14:paraId="0322452B"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w:t>
            </w:r>
          </w:p>
          <w:p w14:paraId="54C4229D"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Seçici katalitik  </w:t>
            </w:r>
          </w:p>
          <w:p w14:paraId="0370D06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olmayan indirgeme </w:t>
            </w:r>
          </w:p>
          <w:p w14:paraId="19F706F0"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(SNCR)</w:t>
            </w:r>
          </w:p>
        </w:tc>
        <w:tc>
          <w:tcPr>
            <w:tcW w:w="1980" w:type="dxa"/>
            <w:gridSpan w:val="2"/>
            <w:vMerge w:val="restart"/>
            <w:tcBorders>
              <w:left w:val="single" w:sz="8" w:space="0" w:color="auto"/>
              <w:right w:val="single" w:sz="8" w:space="0" w:color="auto"/>
            </w:tcBorders>
            <w:shd w:val="clear" w:color="auto" w:fill="auto"/>
            <w:vAlign w:val="center"/>
          </w:tcPr>
          <w:p w14:paraId="34D1D5AB" w14:textId="77777777" w:rsidR="00A52778" w:rsidRPr="00460F9E" w:rsidRDefault="00A52778" w:rsidP="00FC3F8E">
            <w:pPr>
              <w:spacing w:line="0" w:lineRule="atLeast"/>
              <w:ind w:left="80"/>
              <w:rPr>
                <w:rFonts w:eastAsia="Times New Roman" w:cs="Times New Roman"/>
                <w:b/>
              </w:rPr>
            </w:pPr>
          </w:p>
          <w:p w14:paraId="70FEC89A" w14:textId="77777777" w:rsidR="00A52778" w:rsidRPr="00460F9E" w:rsidRDefault="00A52778" w:rsidP="00FC3F8E">
            <w:pPr>
              <w:spacing w:line="0" w:lineRule="atLeast"/>
              <w:ind w:left="80"/>
              <w:rPr>
                <w:rFonts w:eastAsia="Times New Roman" w:cs="Times New Roman"/>
                <w:b/>
                <w:sz w:val="18"/>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1700" w:type="dxa"/>
            <w:vMerge w:val="restart"/>
            <w:tcBorders>
              <w:left w:val="single" w:sz="8" w:space="0" w:color="auto"/>
              <w:right w:val="single" w:sz="8" w:space="0" w:color="auto"/>
            </w:tcBorders>
            <w:shd w:val="clear" w:color="auto" w:fill="auto"/>
            <w:vAlign w:val="center"/>
          </w:tcPr>
          <w:p w14:paraId="7962A0B8" w14:textId="77777777" w:rsidR="00A52778" w:rsidRPr="00460F9E" w:rsidRDefault="00A52778" w:rsidP="00FC3F8E">
            <w:pPr>
              <w:spacing w:line="0" w:lineRule="atLeast"/>
              <w:jc w:val="center"/>
              <w:rPr>
                <w:rFonts w:eastAsia="Times New Roman" w:cs="Times New Roman"/>
                <w:b/>
              </w:rPr>
            </w:pPr>
          </w:p>
          <w:p w14:paraId="57BCBEE2"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rPr>
              <w:t>NO</w:t>
            </w:r>
            <w:r w:rsidRPr="00460F9E">
              <w:rPr>
                <w:rFonts w:eastAsia="Times New Roman" w:cs="Times New Roman"/>
                <w:sz w:val="12"/>
              </w:rPr>
              <w:t>X</w:t>
            </w:r>
          </w:p>
        </w:tc>
        <w:tc>
          <w:tcPr>
            <w:tcW w:w="2760" w:type="dxa"/>
            <w:gridSpan w:val="9"/>
            <w:vMerge w:val="restart"/>
            <w:tcBorders>
              <w:right w:val="single" w:sz="8" w:space="0" w:color="auto"/>
            </w:tcBorders>
            <w:shd w:val="clear" w:color="auto" w:fill="auto"/>
            <w:vAlign w:val="center"/>
          </w:tcPr>
          <w:p w14:paraId="7EF3D0AB" w14:textId="77777777" w:rsidR="00A52778" w:rsidRPr="00460F9E" w:rsidRDefault="00A52778" w:rsidP="00FC3F8E">
            <w:pPr>
              <w:spacing w:line="214" w:lineRule="exact"/>
              <w:ind w:left="100"/>
              <w:rPr>
                <w:rFonts w:eastAsia="Times New Roman" w:cs="Times New Roman"/>
                <w:b/>
              </w:rPr>
            </w:pPr>
            <w:r w:rsidRPr="00460F9E">
              <w:rPr>
                <w:rFonts w:eastAsia="Times New Roman" w:cs="Times New Roman"/>
              </w:rPr>
              <w:t xml:space="preserve">                                                      Mevcut tesislere  </w:t>
            </w:r>
          </w:p>
          <w:p w14:paraId="6A9937E4" w14:textId="77777777" w:rsidR="00A52778" w:rsidRPr="00460F9E" w:rsidRDefault="00A52778" w:rsidP="00FC3F8E">
            <w:pPr>
              <w:spacing w:line="217" w:lineRule="exact"/>
              <w:ind w:right="40"/>
              <w:rPr>
                <w:rFonts w:eastAsia="Times New Roman" w:cs="Times New Roman"/>
                <w:b/>
              </w:rPr>
            </w:pPr>
            <w:r w:rsidRPr="00460F9E">
              <w:rPr>
                <w:rFonts w:eastAsia="Times New Roman" w:cs="Times New Roman"/>
              </w:rPr>
              <w:t xml:space="preserve">  uygulanabilirliği   reaksiyon   </w:t>
            </w:r>
          </w:p>
          <w:p w14:paraId="130204C4" w14:textId="77777777" w:rsidR="00A52778" w:rsidRPr="00460F9E" w:rsidRDefault="00A52778" w:rsidP="00FC3F8E">
            <w:pPr>
              <w:spacing w:line="217" w:lineRule="exact"/>
              <w:ind w:right="40"/>
              <w:rPr>
                <w:rFonts w:eastAsia="Times New Roman" w:cs="Times New Roman"/>
                <w:b/>
              </w:rPr>
            </w:pPr>
            <w:r w:rsidRPr="00460F9E">
              <w:rPr>
                <w:rFonts w:eastAsia="Times New Roman" w:cs="Times New Roman"/>
              </w:rPr>
              <w:t xml:space="preserve">  için gereken bekleme süresi   </w:t>
            </w:r>
          </w:p>
          <w:p w14:paraId="4F7D8C00" w14:textId="77777777" w:rsidR="00A52778" w:rsidRPr="00460F9E" w:rsidRDefault="00A52778" w:rsidP="00FC3F8E">
            <w:pPr>
              <w:spacing w:line="217" w:lineRule="exact"/>
              <w:ind w:right="40"/>
              <w:rPr>
                <w:rFonts w:eastAsia="Times New Roman" w:cs="Times New Roman"/>
                <w:b/>
              </w:rPr>
            </w:pPr>
            <w:r w:rsidRPr="00460F9E">
              <w:rPr>
                <w:rFonts w:eastAsia="Times New Roman" w:cs="Times New Roman"/>
              </w:rPr>
              <w:t xml:space="preserve">  nedeniyle kısıtlanabilir.</w:t>
            </w:r>
          </w:p>
          <w:p w14:paraId="1E70A9B4" w14:textId="77777777" w:rsidR="00A52778" w:rsidRPr="00460F9E" w:rsidRDefault="00A52778" w:rsidP="00FC3F8E">
            <w:pPr>
              <w:spacing w:line="217" w:lineRule="exact"/>
              <w:ind w:right="40"/>
              <w:rPr>
                <w:rFonts w:eastAsia="Times New Roman" w:cs="Times New Roman"/>
                <w:b/>
              </w:rPr>
            </w:pPr>
          </w:p>
        </w:tc>
      </w:tr>
      <w:tr w:rsidR="00A52778" w:rsidRPr="00460F9E" w14:paraId="7BE1037F" w14:textId="77777777" w:rsidTr="00FC3F8E">
        <w:trPr>
          <w:gridAfter w:val="1"/>
          <w:wAfter w:w="720" w:type="dxa"/>
          <w:trHeight w:val="66"/>
        </w:trPr>
        <w:tc>
          <w:tcPr>
            <w:tcW w:w="400" w:type="dxa"/>
            <w:tcBorders>
              <w:left w:val="single" w:sz="8" w:space="0" w:color="auto"/>
              <w:right w:val="single" w:sz="8" w:space="0" w:color="auto"/>
            </w:tcBorders>
            <w:shd w:val="clear" w:color="auto" w:fill="auto"/>
            <w:vAlign w:val="bottom"/>
          </w:tcPr>
          <w:p w14:paraId="086D0B66" w14:textId="77777777" w:rsidR="00A52778" w:rsidRPr="00460F9E" w:rsidRDefault="00A52778" w:rsidP="00FC3F8E">
            <w:pPr>
              <w:spacing w:line="0" w:lineRule="atLeast"/>
              <w:rPr>
                <w:rFonts w:eastAsia="Times New Roman" w:cs="Times New Roman"/>
                <w:b/>
                <w:sz w:val="10"/>
              </w:rPr>
            </w:pPr>
          </w:p>
        </w:tc>
        <w:tc>
          <w:tcPr>
            <w:tcW w:w="1820" w:type="dxa"/>
            <w:gridSpan w:val="2"/>
            <w:vMerge/>
            <w:tcBorders>
              <w:right w:val="single" w:sz="8" w:space="0" w:color="auto"/>
            </w:tcBorders>
            <w:shd w:val="clear" w:color="auto" w:fill="auto"/>
            <w:vAlign w:val="bottom"/>
          </w:tcPr>
          <w:p w14:paraId="5A5AFFF3" w14:textId="77777777" w:rsidR="00A52778" w:rsidRPr="00460F9E" w:rsidRDefault="00A52778" w:rsidP="00FC3F8E">
            <w:pPr>
              <w:spacing w:line="0" w:lineRule="atLeast"/>
              <w:rPr>
                <w:rFonts w:eastAsia="Times New Roman" w:cs="Times New Roman"/>
                <w:b/>
                <w:sz w:val="10"/>
              </w:rPr>
            </w:pPr>
          </w:p>
        </w:tc>
        <w:tc>
          <w:tcPr>
            <w:tcW w:w="1980" w:type="dxa"/>
            <w:gridSpan w:val="2"/>
            <w:vMerge/>
            <w:tcBorders>
              <w:left w:val="single" w:sz="8" w:space="0" w:color="auto"/>
              <w:right w:val="single" w:sz="8" w:space="0" w:color="auto"/>
            </w:tcBorders>
            <w:shd w:val="clear" w:color="auto" w:fill="auto"/>
            <w:vAlign w:val="bottom"/>
          </w:tcPr>
          <w:p w14:paraId="7019FA72" w14:textId="77777777" w:rsidR="00A52778" w:rsidRPr="00460F9E" w:rsidRDefault="00A52778" w:rsidP="00FC3F8E">
            <w:pPr>
              <w:spacing w:line="0" w:lineRule="atLeast"/>
              <w:ind w:left="80"/>
              <w:rPr>
                <w:rFonts w:eastAsia="Times New Roman" w:cs="Times New Roman"/>
                <w:b/>
                <w:sz w:val="10"/>
              </w:rPr>
            </w:pPr>
          </w:p>
        </w:tc>
        <w:tc>
          <w:tcPr>
            <w:tcW w:w="1700" w:type="dxa"/>
            <w:vMerge/>
            <w:tcBorders>
              <w:left w:val="single" w:sz="8" w:space="0" w:color="auto"/>
              <w:right w:val="single" w:sz="8" w:space="0" w:color="auto"/>
            </w:tcBorders>
            <w:shd w:val="clear" w:color="auto" w:fill="auto"/>
            <w:vAlign w:val="bottom"/>
          </w:tcPr>
          <w:p w14:paraId="2FA9DA35" w14:textId="77777777" w:rsidR="00A52778" w:rsidRPr="00460F9E" w:rsidRDefault="00A52778" w:rsidP="00FC3F8E">
            <w:pPr>
              <w:spacing w:line="0" w:lineRule="atLeast"/>
              <w:jc w:val="center"/>
              <w:rPr>
                <w:rFonts w:eastAsia="Times New Roman" w:cs="Times New Roman"/>
                <w:b/>
                <w:sz w:val="10"/>
              </w:rPr>
            </w:pPr>
          </w:p>
        </w:tc>
        <w:tc>
          <w:tcPr>
            <w:tcW w:w="2760" w:type="dxa"/>
            <w:gridSpan w:val="9"/>
            <w:vMerge/>
            <w:tcBorders>
              <w:right w:val="single" w:sz="8" w:space="0" w:color="auto"/>
            </w:tcBorders>
            <w:shd w:val="clear" w:color="auto" w:fill="auto"/>
          </w:tcPr>
          <w:p w14:paraId="2224E139" w14:textId="77777777" w:rsidR="00A52778" w:rsidRPr="00460F9E" w:rsidRDefault="00A52778" w:rsidP="00FC3F8E">
            <w:pPr>
              <w:spacing w:line="0" w:lineRule="atLeast"/>
              <w:ind w:right="20"/>
              <w:rPr>
                <w:rFonts w:eastAsia="Times New Roman" w:cs="Times New Roman"/>
                <w:b/>
              </w:rPr>
            </w:pPr>
          </w:p>
        </w:tc>
      </w:tr>
      <w:tr w:rsidR="00A52778" w:rsidRPr="00460F9E" w14:paraId="582194C0" w14:textId="77777777" w:rsidTr="00FC3F8E">
        <w:trPr>
          <w:gridAfter w:val="1"/>
          <w:wAfter w:w="720" w:type="dxa"/>
          <w:trHeight w:val="230"/>
        </w:trPr>
        <w:tc>
          <w:tcPr>
            <w:tcW w:w="400" w:type="dxa"/>
            <w:tcBorders>
              <w:left w:val="single" w:sz="8" w:space="0" w:color="auto"/>
              <w:right w:val="single" w:sz="8" w:space="0" w:color="auto"/>
            </w:tcBorders>
            <w:shd w:val="clear" w:color="auto" w:fill="auto"/>
            <w:vAlign w:val="center"/>
          </w:tcPr>
          <w:p w14:paraId="02501D65" w14:textId="77777777" w:rsidR="00A52778" w:rsidRPr="00460F9E" w:rsidRDefault="00A52778" w:rsidP="00FC3F8E">
            <w:pPr>
              <w:spacing w:line="0" w:lineRule="atLeast"/>
              <w:ind w:left="120"/>
              <w:jc w:val="center"/>
              <w:rPr>
                <w:rFonts w:eastAsia="Times New Roman" w:cs="Times New Roman"/>
                <w:b/>
              </w:rPr>
            </w:pPr>
          </w:p>
          <w:p w14:paraId="568461B7" w14:textId="77777777" w:rsidR="00A52778" w:rsidRPr="00460F9E" w:rsidRDefault="00A52778" w:rsidP="00FC3F8E">
            <w:pPr>
              <w:spacing w:line="0" w:lineRule="atLeast"/>
              <w:ind w:left="120"/>
              <w:jc w:val="center"/>
              <w:rPr>
                <w:rFonts w:eastAsia="Times New Roman" w:cs="Times New Roman"/>
                <w:b/>
              </w:rPr>
            </w:pPr>
            <w:r>
              <w:rPr>
                <w:rFonts w:eastAsia="Times New Roman" w:cs="Times New Roman"/>
              </w:rPr>
              <w:t>ç</w:t>
            </w:r>
            <w:r w:rsidRPr="00460F9E">
              <w:rPr>
                <w:rFonts w:eastAsia="Times New Roman" w:cs="Times New Roman"/>
              </w:rPr>
              <w:t>.</w:t>
            </w:r>
          </w:p>
        </w:tc>
        <w:tc>
          <w:tcPr>
            <w:tcW w:w="1820" w:type="dxa"/>
            <w:gridSpan w:val="2"/>
            <w:vMerge/>
            <w:tcBorders>
              <w:right w:val="single" w:sz="8" w:space="0" w:color="auto"/>
            </w:tcBorders>
            <w:shd w:val="clear" w:color="auto" w:fill="auto"/>
            <w:vAlign w:val="bottom"/>
          </w:tcPr>
          <w:p w14:paraId="2FA581E6" w14:textId="77777777" w:rsidR="00A52778" w:rsidRPr="00460F9E" w:rsidRDefault="00A52778" w:rsidP="00FC3F8E">
            <w:pPr>
              <w:spacing w:line="0" w:lineRule="atLeast"/>
              <w:rPr>
                <w:rFonts w:eastAsia="Times New Roman" w:cs="Times New Roman"/>
                <w:b/>
              </w:rPr>
            </w:pPr>
          </w:p>
        </w:tc>
        <w:tc>
          <w:tcPr>
            <w:tcW w:w="1980" w:type="dxa"/>
            <w:gridSpan w:val="2"/>
            <w:vMerge/>
            <w:tcBorders>
              <w:left w:val="single" w:sz="8" w:space="0" w:color="auto"/>
              <w:right w:val="single" w:sz="8" w:space="0" w:color="auto"/>
            </w:tcBorders>
            <w:shd w:val="clear" w:color="auto" w:fill="auto"/>
            <w:vAlign w:val="bottom"/>
          </w:tcPr>
          <w:p w14:paraId="7B752BEB" w14:textId="77777777" w:rsidR="00A52778" w:rsidRPr="00460F9E" w:rsidRDefault="00A52778" w:rsidP="00FC3F8E">
            <w:pPr>
              <w:spacing w:line="0" w:lineRule="atLeast"/>
              <w:ind w:left="80"/>
              <w:rPr>
                <w:rFonts w:eastAsia="Times New Roman" w:cs="Times New Roman"/>
                <w:b/>
              </w:rPr>
            </w:pPr>
          </w:p>
        </w:tc>
        <w:tc>
          <w:tcPr>
            <w:tcW w:w="1700" w:type="dxa"/>
            <w:vMerge/>
            <w:tcBorders>
              <w:right w:val="single" w:sz="8" w:space="0" w:color="auto"/>
            </w:tcBorders>
            <w:shd w:val="clear" w:color="auto" w:fill="auto"/>
            <w:vAlign w:val="bottom"/>
          </w:tcPr>
          <w:p w14:paraId="5922CEA1" w14:textId="77777777" w:rsidR="00A52778" w:rsidRPr="00460F9E" w:rsidRDefault="00A52778" w:rsidP="00FC3F8E">
            <w:pPr>
              <w:spacing w:line="0" w:lineRule="atLeast"/>
              <w:jc w:val="center"/>
              <w:rPr>
                <w:rFonts w:eastAsia="Times New Roman" w:cs="Times New Roman"/>
                <w:b/>
                <w:sz w:val="12"/>
              </w:rPr>
            </w:pPr>
          </w:p>
        </w:tc>
        <w:tc>
          <w:tcPr>
            <w:tcW w:w="2760" w:type="dxa"/>
            <w:gridSpan w:val="9"/>
            <w:vMerge/>
            <w:tcBorders>
              <w:right w:val="single" w:sz="8" w:space="0" w:color="auto"/>
            </w:tcBorders>
            <w:shd w:val="clear" w:color="auto" w:fill="auto"/>
            <w:vAlign w:val="bottom"/>
          </w:tcPr>
          <w:p w14:paraId="275DE4DC" w14:textId="77777777" w:rsidR="00A52778" w:rsidRPr="00460F9E" w:rsidRDefault="00A52778" w:rsidP="00FC3F8E">
            <w:pPr>
              <w:spacing w:line="0" w:lineRule="atLeast"/>
              <w:rPr>
                <w:rFonts w:eastAsia="Times New Roman" w:cs="Times New Roman"/>
                <w:b/>
                <w:sz w:val="10"/>
              </w:rPr>
            </w:pPr>
          </w:p>
        </w:tc>
      </w:tr>
      <w:tr w:rsidR="00A52778" w:rsidRPr="00460F9E" w14:paraId="7CB34539" w14:textId="77777777" w:rsidTr="00FC3F8E">
        <w:trPr>
          <w:gridAfter w:val="1"/>
          <w:wAfter w:w="720" w:type="dxa"/>
          <w:trHeight w:val="66"/>
        </w:trPr>
        <w:tc>
          <w:tcPr>
            <w:tcW w:w="400" w:type="dxa"/>
            <w:tcBorders>
              <w:left w:val="single" w:sz="8" w:space="0" w:color="auto"/>
              <w:right w:val="single" w:sz="8" w:space="0" w:color="auto"/>
            </w:tcBorders>
            <w:shd w:val="clear" w:color="auto" w:fill="auto"/>
            <w:vAlign w:val="bottom"/>
          </w:tcPr>
          <w:p w14:paraId="1B5478DF" w14:textId="77777777" w:rsidR="00A52778" w:rsidRPr="00460F9E" w:rsidRDefault="00A52778" w:rsidP="00FC3F8E">
            <w:pPr>
              <w:spacing w:line="0" w:lineRule="atLeast"/>
              <w:rPr>
                <w:rFonts w:eastAsia="Times New Roman" w:cs="Times New Roman"/>
                <w:b/>
                <w:sz w:val="9"/>
              </w:rPr>
            </w:pPr>
          </w:p>
        </w:tc>
        <w:tc>
          <w:tcPr>
            <w:tcW w:w="1820" w:type="dxa"/>
            <w:gridSpan w:val="2"/>
            <w:vMerge/>
            <w:tcBorders>
              <w:right w:val="single" w:sz="8" w:space="0" w:color="auto"/>
            </w:tcBorders>
            <w:shd w:val="clear" w:color="auto" w:fill="auto"/>
            <w:vAlign w:val="bottom"/>
          </w:tcPr>
          <w:p w14:paraId="12ADC4CD" w14:textId="77777777" w:rsidR="00A52778" w:rsidRPr="00460F9E" w:rsidRDefault="00A52778" w:rsidP="00FC3F8E">
            <w:pPr>
              <w:spacing w:line="0" w:lineRule="atLeast"/>
              <w:rPr>
                <w:rFonts w:eastAsia="Times New Roman" w:cs="Times New Roman"/>
                <w:b/>
                <w:sz w:val="9"/>
              </w:rPr>
            </w:pPr>
          </w:p>
        </w:tc>
        <w:tc>
          <w:tcPr>
            <w:tcW w:w="1980" w:type="dxa"/>
            <w:gridSpan w:val="2"/>
            <w:vMerge/>
            <w:tcBorders>
              <w:left w:val="single" w:sz="8" w:space="0" w:color="auto"/>
              <w:right w:val="single" w:sz="8" w:space="0" w:color="auto"/>
            </w:tcBorders>
            <w:shd w:val="clear" w:color="auto" w:fill="auto"/>
            <w:vAlign w:val="bottom"/>
          </w:tcPr>
          <w:p w14:paraId="2F63B262" w14:textId="77777777" w:rsidR="00A52778" w:rsidRPr="00460F9E" w:rsidRDefault="00A52778" w:rsidP="00FC3F8E">
            <w:pPr>
              <w:spacing w:line="0" w:lineRule="atLeast"/>
              <w:rPr>
                <w:rFonts w:eastAsia="Times New Roman" w:cs="Times New Roman"/>
                <w:b/>
                <w:sz w:val="9"/>
              </w:rPr>
            </w:pPr>
          </w:p>
        </w:tc>
        <w:tc>
          <w:tcPr>
            <w:tcW w:w="1700" w:type="dxa"/>
            <w:vMerge/>
            <w:tcBorders>
              <w:left w:val="single" w:sz="8" w:space="0" w:color="auto"/>
              <w:right w:val="single" w:sz="8" w:space="0" w:color="auto"/>
            </w:tcBorders>
            <w:shd w:val="clear" w:color="auto" w:fill="auto"/>
            <w:vAlign w:val="bottom"/>
          </w:tcPr>
          <w:p w14:paraId="1EBF1F23" w14:textId="77777777" w:rsidR="00A52778" w:rsidRPr="00460F9E" w:rsidRDefault="00A52778" w:rsidP="00FC3F8E">
            <w:pPr>
              <w:spacing w:line="0" w:lineRule="atLeast"/>
              <w:rPr>
                <w:rFonts w:eastAsia="Times New Roman" w:cs="Times New Roman"/>
                <w:b/>
                <w:sz w:val="9"/>
              </w:rPr>
            </w:pPr>
          </w:p>
        </w:tc>
        <w:tc>
          <w:tcPr>
            <w:tcW w:w="2760" w:type="dxa"/>
            <w:gridSpan w:val="9"/>
            <w:vMerge/>
            <w:tcBorders>
              <w:right w:val="single" w:sz="8" w:space="0" w:color="auto"/>
            </w:tcBorders>
            <w:shd w:val="clear" w:color="auto" w:fill="auto"/>
            <w:vAlign w:val="bottom"/>
          </w:tcPr>
          <w:p w14:paraId="251A4AC6" w14:textId="77777777" w:rsidR="00A52778" w:rsidRPr="00460F9E" w:rsidRDefault="00A52778" w:rsidP="00FC3F8E">
            <w:pPr>
              <w:spacing w:line="0" w:lineRule="atLeast"/>
              <w:rPr>
                <w:rFonts w:eastAsia="Times New Roman" w:cs="Times New Roman"/>
                <w:b/>
                <w:sz w:val="9"/>
              </w:rPr>
            </w:pPr>
          </w:p>
        </w:tc>
      </w:tr>
      <w:tr w:rsidR="00A52778" w:rsidRPr="00460F9E" w14:paraId="65440ACC" w14:textId="77777777" w:rsidTr="00FC3F8E">
        <w:trPr>
          <w:gridAfter w:val="1"/>
          <w:wAfter w:w="720" w:type="dxa"/>
          <w:trHeight w:val="66"/>
        </w:trPr>
        <w:tc>
          <w:tcPr>
            <w:tcW w:w="400" w:type="dxa"/>
            <w:tcBorders>
              <w:left w:val="single" w:sz="8" w:space="0" w:color="auto"/>
              <w:right w:val="single" w:sz="8" w:space="0" w:color="auto"/>
            </w:tcBorders>
            <w:shd w:val="clear" w:color="auto" w:fill="auto"/>
            <w:vAlign w:val="bottom"/>
          </w:tcPr>
          <w:p w14:paraId="04739DDD" w14:textId="77777777" w:rsidR="00A52778" w:rsidRPr="00460F9E" w:rsidRDefault="00A52778" w:rsidP="00FC3F8E">
            <w:pPr>
              <w:spacing w:line="0" w:lineRule="atLeast"/>
              <w:rPr>
                <w:rFonts w:eastAsia="Times New Roman" w:cs="Times New Roman"/>
                <w:b/>
                <w:sz w:val="10"/>
              </w:rPr>
            </w:pPr>
          </w:p>
        </w:tc>
        <w:tc>
          <w:tcPr>
            <w:tcW w:w="1820" w:type="dxa"/>
            <w:gridSpan w:val="2"/>
            <w:vMerge/>
            <w:tcBorders>
              <w:right w:val="single" w:sz="8" w:space="0" w:color="auto"/>
            </w:tcBorders>
            <w:shd w:val="clear" w:color="auto" w:fill="auto"/>
            <w:vAlign w:val="bottom"/>
          </w:tcPr>
          <w:p w14:paraId="627BC807" w14:textId="77777777" w:rsidR="00A52778" w:rsidRPr="00460F9E" w:rsidRDefault="00A52778" w:rsidP="00FC3F8E">
            <w:pPr>
              <w:spacing w:line="0" w:lineRule="atLeast"/>
              <w:rPr>
                <w:rFonts w:eastAsia="Times New Roman" w:cs="Times New Roman"/>
                <w:b/>
                <w:sz w:val="10"/>
              </w:rPr>
            </w:pPr>
          </w:p>
        </w:tc>
        <w:tc>
          <w:tcPr>
            <w:tcW w:w="1980" w:type="dxa"/>
            <w:gridSpan w:val="2"/>
            <w:vMerge/>
            <w:tcBorders>
              <w:left w:val="single" w:sz="8" w:space="0" w:color="auto"/>
              <w:right w:val="single" w:sz="8" w:space="0" w:color="auto"/>
            </w:tcBorders>
            <w:shd w:val="clear" w:color="auto" w:fill="auto"/>
            <w:vAlign w:val="bottom"/>
          </w:tcPr>
          <w:p w14:paraId="41B59CD8" w14:textId="77777777" w:rsidR="00A52778" w:rsidRPr="00460F9E" w:rsidRDefault="00A52778" w:rsidP="00FC3F8E">
            <w:pPr>
              <w:spacing w:line="0" w:lineRule="atLeast"/>
              <w:rPr>
                <w:rFonts w:eastAsia="Times New Roman" w:cs="Times New Roman"/>
                <w:b/>
                <w:sz w:val="10"/>
              </w:rPr>
            </w:pPr>
          </w:p>
        </w:tc>
        <w:tc>
          <w:tcPr>
            <w:tcW w:w="1700" w:type="dxa"/>
            <w:vMerge/>
            <w:tcBorders>
              <w:left w:val="single" w:sz="8" w:space="0" w:color="auto"/>
              <w:right w:val="single" w:sz="8" w:space="0" w:color="auto"/>
            </w:tcBorders>
            <w:shd w:val="clear" w:color="auto" w:fill="auto"/>
            <w:vAlign w:val="bottom"/>
          </w:tcPr>
          <w:p w14:paraId="6F4EDE50" w14:textId="77777777" w:rsidR="00A52778" w:rsidRPr="00460F9E" w:rsidRDefault="00A52778" w:rsidP="00FC3F8E">
            <w:pPr>
              <w:spacing w:line="0" w:lineRule="atLeast"/>
              <w:rPr>
                <w:rFonts w:eastAsia="Times New Roman" w:cs="Times New Roman"/>
                <w:b/>
                <w:sz w:val="10"/>
              </w:rPr>
            </w:pPr>
          </w:p>
        </w:tc>
        <w:tc>
          <w:tcPr>
            <w:tcW w:w="2760" w:type="dxa"/>
            <w:gridSpan w:val="9"/>
            <w:vMerge/>
            <w:tcBorders>
              <w:right w:val="single" w:sz="8" w:space="0" w:color="auto"/>
            </w:tcBorders>
            <w:shd w:val="clear" w:color="auto" w:fill="auto"/>
            <w:vAlign w:val="bottom"/>
          </w:tcPr>
          <w:p w14:paraId="3FB386B8" w14:textId="77777777" w:rsidR="00A52778" w:rsidRPr="00460F9E" w:rsidRDefault="00A52778" w:rsidP="00FC3F8E">
            <w:pPr>
              <w:spacing w:line="0" w:lineRule="atLeast"/>
              <w:rPr>
                <w:rFonts w:eastAsia="Times New Roman" w:cs="Times New Roman"/>
                <w:b/>
                <w:sz w:val="10"/>
              </w:rPr>
            </w:pPr>
          </w:p>
        </w:tc>
      </w:tr>
      <w:tr w:rsidR="00A52778" w:rsidRPr="00460F9E" w14:paraId="68E8026E" w14:textId="77777777" w:rsidTr="00FC3F8E">
        <w:trPr>
          <w:gridAfter w:val="1"/>
          <w:wAfter w:w="720" w:type="dxa"/>
          <w:trHeight w:val="116"/>
        </w:trPr>
        <w:tc>
          <w:tcPr>
            <w:tcW w:w="400" w:type="dxa"/>
            <w:tcBorders>
              <w:left w:val="single" w:sz="8" w:space="0" w:color="auto"/>
              <w:bottom w:val="single" w:sz="8" w:space="0" w:color="auto"/>
              <w:right w:val="single" w:sz="8" w:space="0" w:color="auto"/>
            </w:tcBorders>
            <w:shd w:val="clear" w:color="auto" w:fill="auto"/>
            <w:vAlign w:val="bottom"/>
          </w:tcPr>
          <w:p w14:paraId="7E5F18A9" w14:textId="77777777" w:rsidR="00A52778" w:rsidRPr="00460F9E" w:rsidRDefault="00A52778" w:rsidP="00FC3F8E">
            <w:pPr>
              <w:spacing w:line="0" w:lineRule="atLeast"/>
              <w:rPr>
                <w:rFonts w:eastAsia="Times New Roman" w:cs="Times New Roman"/>
                <w:b/>
                <w:sz w:val="10"/>
              </w:rPr>
            </w:pPr>
          </w:p>
        </w:tc>
        <w:tc>
          <w:tcPr>
            <w:tcW w:w="1820" w:type="dxa"/>
            <w:gridSpan w:val="2"/>
            <w:vMerge/>
            <w:tcBorders>
              <w:bottom w:val="single" w:sz="8" w:space="0" w:color="auto"/>
              <w:right w:val="single" w:sz="8" w:space="0" w:color="auto"/>
            </w:tcBorders>
            <w:shd w:val="clear" w:color="auto" w:fill="auto"/>
            <w:vAlign w:val="bottom"/>
          </w:tcPr>
          <w:p w14:paraId="21420275" w14:textId="77777777" w:rsidR="00A52778" w:rsidRPr="00460F9E" w:rsidRDefault="00A52778" w:rsidP="00FC3F8E">
            <w:pPr>
              <w:spacing w:line="0" w:lineRule="atLeast"/>
              <w:rPr>
                <w:rFonts w:eastAsia="Times New Roman" w:cs="Times New Roman"/>
                <w:b/>
                <w:sz w:val="10"/>
              </w:rPr>
            </w:pPr>
          </w:p>
        </w:tc>
        <w:tc>
          <w:tcPr>
            <w:tcW w:w="880" w:type="dxa"/>
            <w:tcBorders>
              <w:left w:val="single" w:sz="8" w:space="0" w:color="auto"/>
              <w:bottom w:val="single" w:sz="8" w:space="0" w:color="auto"/>
            </w:tcBorders>
            <w:shd w:val="clear" w:color="auto" w:fill="auto"/>
            <w:vAlign w:val="bottom"/>
          </w:tcPr>
          <w:p w14:paraId="7C650E1A" w14:textId="77777777" w:rsidR="00A52778" w:rsidRPr="00460F9E" w:rsidRDefault="00A52778" w:rsidP="00FC3F8E">
            <w:pPr>
              <w:spacing w:line="0" w:lineRule="atLeast"/>
              <w:rPr>
                <w:rFonts w:eastAsia="Times New Roman" w:cs="Times New Roman"/>
                <w:b/>
                <w:sz w:val="10"/>
              </w:rPr>
            </w:pPr>
          </w:p>
        </w:tc>
        <w:tc>
          <w:tcPr>
            <w:tcW w:w="1100" w:type="dxa"/>
            <w:tcBorders>
              <w:bottom w:val="single" w:sz="8" w:space="0" w:color="auto"/>
              <w:right w:val="single" w:sz="8" w:space="0" w:color="auto"/>
            </w:tcBorders>
            <w:shd w:val="clear" w:color="auto" w:fill="auto"/>
            <w:vAlign w:val="bottom"/>
          </w:tcPr>
          <w:p w14:paraId="4BDB0636" w14:textId="77777777" w:rsidR="00A52778" w:rsidRPr="00460F9E" w:rsidRDefault="00A52778" w:rsidP="00FC3F8E">
            <w:pPr>
              <w:spacing w:line="0" w:lineRule="atLeast"/>
              <w:rPr>
                <w:rFonts w:eastAsia="Times New Roman" w:cs="Times New Roman"/>
                <w:b/>
                <w:sz w:val="10"/>
              </w:rPr>
            </w:pPr>
          </w:p>
        </w:tc>
        <w:tc>
          <w:tcPr>
            <w:tcW w:w="1700" w:type="dxa"/>
            <w:tcBorders>
              <w:bottom w:val="single" w:sz="8" w:space="0" w:color="auto"/>
              <w:right w:val="single" w:sz="8" w:space="0" w:color="auto"/>
            </w:tcBorders>
            <w:shd w:val="clear" w:color="auto" w:fill="auto"/>
            <w:vAlign w:val="bottom"/>
          </w:tcPr>
          <w:p w14:paraId="2C8A2EBE" w14:textId="77777777" w:rsidR="00A52778" w:rsidRPr="00460F9E" w:rsidRDefault="00A52778" w:rsidP="00FC3F8E">
            <w:pPr>
              <w:spacing w:line="0" w:lineRule="atLeast"/>
              <w:rPr>
                <w:rFonts w:eastAsia="Times New Roman" w:cs="Times New Roman"/>
                <w:b/>
                <w:sz w:val="10"/>
              </w:rPr>
            </w:pPr>
          </w:p>
        </w:tc>
        <w:tc>
          <w:tcPr>
            <w:tcW w:w="2760" w:type="dxa"/>
            <w:gridSpan w:val="9"/>
            <w:vMerge/>
            <w:tcBorders>
              <w:bottom w:val="single" w:sz="8" w:space="0" w:color="auto"/>
              <w:right w:val="single" w:sz="8" w:space="0" w:color="auto"/>
            </w:tcBorders>
            <w:shd w:val="clear" w:color="auto" w:fill="auto"/>
            <w:vAlign w:val="bottom"/>
          </w:tcPr>
          <w:p w14:paraId="4C3002CB" w14:textId="77777777" w:rsidR="00A52778" w:rsidRPr="00460F9E" w:rsidRDefault="00A52778" w:rsidP="00FC3F8E">
            <w:pPr>
              <w:spacing w:line="0" w:lineRule="atLeast"/>
              <w:rPr>
                <w:rFonts w:eastAsia="Times New Roman" w:cs="Times New Roman"/>
                <w:b/>
                <w:sz w:val="10"/>
              </w:rPr>
            </w:pPr>
          </w:p>
        </w:tc>
      </w:tr>
      <w:tr w:rsidR="00A52778" w:rsidRPr="00460F9E" w14:paraId="5058513C" w14:textId="77777777" w:rsidTr="00FC3F8E">
        <w:trPr>
          <w:trHeight w:val="220"/>
        </w:trPr>
        <w:tc>
          <w:tcPr>
            <w:tcW w:w="8660" w:type="dxa"/>
            <w:gridSpan w:val="15"/>
            <w:tcBorders>
              <w:left w:val="single" w:sz="8" w:space="0" w:color="auto"/>
              <w:bottom w:val="single" w:sz="8" w:space="0" w:color="auto"/>
              <w:right w:val="single" w:sz="8" w:space="0" w:color="auto"/>
            </w:tcBorders>
            <w:shd w:val="clear" w:color="auto" w:fill="auto"/>
            <w:vAlign w:val="bottom"/>
          </w:tcPr>
          <w:p w14:paraId="27B22A40" w14:textId="77777777" w:rsidR="00A52778" w:rsidRPr="00460F9E" w:rsidRDefault="00A52778" w:rsidP="00FC3F8E">
            <w:pPr>
              <w:spacing w:line="0" w:lineRule="atLeast"/>
              <w:rPr>
                <w:rFonts w:eastAsia="Times New Roman" w:cs="Times New Roman"/>
                <w:b/>
                <w:i/>
                <w:iCs/>
                <w:sz w:val="19"/>
              </w:rPr>
            </w:pPr>
            <w:r w:rsidRPr="00460F9E">
              <w:rPr>
                <w:rFonts w:eastAsia="Times New Roman" w:cs="Times New Roman"/>
                <w:i/>
                <w:iCs/>
                <w:sz w:val="19"/>
              </w:rPr>
              <w:t xml:space="preserve">   İnorganik bileşiklerin havaya salımını azaltmak için öncelikli olarak kullanılmayan diğer teknikler</w:t>
            </w:r>
          </w:p>
        </w:tc>
        <w:tc>
          <w:tcPr>
            <w:tcW w:w="720" w:type="dxa"/>
          </w:tcPr>
          <w:p w14:paraId="790BAF7D" w14:textId="77777777" w:rsidR="00A52778" w:rsidRPr="00460F9E" w:rsidRDefault="00A52778" w:rsidP="00FC3F8E">
            <w:pPr>
              <w:rPr>
                <w:rFonts w:eastAsia="Times New Roman" w:cs="Times New Roman"/>
                <w:b/>
                <w:sz w:val="19"/>
              </w:rPr>
            </w:pPr>
          </w:p>
        </w:tc>
      </w:tr>
      <w:tr w:rsidR="00A52778" w:rsidRPr="00460F9E" w14:paraId="5D059728" w14:textId="77777777" w:rsidTr="00FC3F8E">
        <w:trPr>
          <w:gridAfter w:val="1"/>
          <w:wAfter w:w="720" w:type="dxa"/>
          <w:trHeight w:val="313"/>
        </w:trPr>
        <w:tc>
          <w:tcPr>
            <w:tcW w:w="400" w:type="dxa"/>
            <w:tcBorders>
              <w:left w:val="single" w:sz="8" w:space="0" w:color="auto"/>
              <w:right w:val="single" w:sz="8" w:space="0" w:color="auto"/>
            </w:tcBorders>
            <w:shd w:val="clear" w:color="auto" w:fill="auto"/>
            <w:vAlign w:val="bottom"/>
          </w:tcPr>
          <w:p w14:paraId="67314A54"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68FD690E" w14:textId="77777777" w:rsidR="00A52778" w:rsidRPr="00460F9E" w:rsidRDefault="00A52778" w:rsidP="00FC3F8E">
            <w:pPr>
              <w:spacing w:line="0" w:lineRule="atLeast"/>
              <w:rPr>
                <w:rFonts w:eastAsia="Times New Roman" w:cs="Times New Roman"/>
                <w:b/>
              </w:rPr>
            </w:pPr>
          </w:p>
        </w:tc>
        <w:tc>
          <w:tcPr>
            <w:tcW w:w="940" w:type="dxa"/>
            <w:tcBorders>
              <w:right w:val="single" w:sz="8" w:space="0" w:color="auto"/>
            </w:tcBorders>
            <w:shd w:val="clear" w:color="auto" w:fill="auto"/>
            <w:vAlign w:val="bottom"/>
          </w:tcPr>
          <w:p w14:paraId="5CB4378B"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08C3BA33" w14:textId="77777777" w:rsidR="00A52778" w:rsidRPr="00460F9E" w:rsidRDefault="00A52778" w:rsidP="00FC3F8E">
            <w:pPr>
              <w:spacing w:line="0" w:lineRule="atLeast"/>
              <w:rPr>
                <w:rFonts w:eastAsia="Times New Roman" w:cs="Times New Roman"/>
                <w:b/>
              </w:rPr>
            </w:pPr>
          </w:p>
        </w:tc>
        <w:tc>
          <w:tcPr>
            <w:tcW w:w="1100" w:type="dxa"/>
            <w:tcBorders>
              <w:right w:val="single" w:sz="8" w:space="0" w:color="auto"/>
            </w:tcBorders>
            <w:shd w:val="clear" w:color="auto" w:fill="auto"/>
            <w:vAlign w:val="bottom"/>
          </w:tcPr>
          <w:p w14:paraId="57CADCD1" w14:textId="77777777" w:rsidR="00A52778" w:rsidRPr="00460F9E" w:rsidRDefault="00A52778" w:rsidP="00FC3F8E">
            <w:pPr>
              <w:spacing w:line="0" w:lineRule="atLeast"/>
              <w:rPr>
                <w:rFonts w:eastAsia="Times New Roman" w:cs="Times New Roman"/>
                <w:b/>
              </w:rPr>
            </w:pPr>
          </w:p>
        </w:tc>
        <w:tc>
          <w:tcPr>
            <w:tcW w:w="1700" w:type="dxa"/>
            <w:tcBorders>
              <w:right w:val="single" w:sz="8" w:space="0" w:color="auto"/>
            </w:tcBorders>
            <w:shd w:val="clear" w:color="auto" w:fill="auto"/>
            <w:vAlign w:val="bottom"/>
          </w:tcPr>
          <w:p w14:paraId="1C8610CD" w14:textId="77777777" w:rsidR="00A52778" w:rsidRPr="00460F9E" w:rsidRDefault="00A52778" w:rsidP="00FC3F8E">
            <w:pPr>
              <w:spacing w:line="0" w:lineRule="atLeast"/>
              <w:rPr>
                <w:rFonts w:eastAsia="Times New Roman" w:cs="Times New Roman"/>
                <w:b/>
              </w:rPr>
            </w:pPr>
          </w:p>
        </w:tc>
        <w:tc>
          <w:tcPr>
            <w:tcW w:w="2760" w:type="dxa"/>
            <w:gridSpan w:val="9"/>
            <w:vMerge w:val="restart"/>
            <w:tcBorders>
              <w:right w:val="single" w:sz="8" w:space="0" w:color="auto"/>
            </w:tcBorders>
            <w:shd w:val="clear" w:color="auto" w:fill="auto"/>
            <w:vAlign w:val="center"/>
          </w:tcPr>
          <w:p w14:paraId="5E3F37E7"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Uygulanabilirliği, atık </w:t>
            </w:r>
          </w:p>
          <w:p w14:paraId="3A5071EF"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gazlardaki katalizör</w:t>
            </w:r>
          </w:p>
          <w:p w14:paraId="3B2FAF92"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zehirlerinin varlığı </w:t>
            </w:r>
          </w:p>
          <w:p w14:paraId="2F6F5466"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nedeniyle kısıtlanabilir.</w:t>
            </w:r>
          </w:p>
        </w:tc>
      </w:tr>
      <w:tr w:rsidR="00A52778" w:rsidRPr="00460F9E" w14:paraId="12EDC42D" w14:textId="77777777" w:rsidTr="00FC3F8E">
        <w:trPr>
          <w:gridAfter w:val="1"/>
          <w:wAfter w:w="720" w:type="dxa"/>
          <w:trHeight w:val="234"/>
        </w:trPr>
        <w:tc>
          <w:tcPr>
            <w:tcW w:w="400" w:type="dxa"/>
            <w:tcBorders>
              <w:left w:val="single" w:sz="8" w:space="0" w:color="auto"/>
              <w:right w:val="single" w:sz="8" w:space="0" w:color="auto"/>
            </w:tcBorders>
            <w:shd w:val="clear" w:color="auto" w:fill="auto"/>
            <w:vAlign w:val="bottom"/>
          </w:tcPr>
          <w:p w14:paraId="3A84CC06" w14:textId="77777777" w:rsidR="00A52778" w:rsidRPr="00460F9E" w:rsidRDefault="00A52778" w:rsidP="00FC3F8E">
            <w:pPr>
              <w:spacing w:line="0" w:lineRule="atLeast"/>
              <w:ind w:left="120"/>
              <w:rPr>
                <w:rFonts w:eastAsia="Times New Roman" w:cs="Times New Roman"/>
                <w:b/>
              </w:rPr>
            </w:pPr>
            <w:r>
              <w:rPr>
                <w:rFonts w:eastAsia="Times New Roman" w:cs="Times New Roman"/>
              </w:rPr>
              <w:t>d</w:t>
            </w:r>
            <w:r w:rsidRPr="00460F9E">
              <w:rPr>
                <w:rFonts w:eastAsia="Times New Roman" w:cs="Times New Roman"/>
              </w:rPr>
              <w:t>.</w:t>
            </w:r>
          </w:p>
        </w:tc>
        <w:tc>
          <w:tcPr>
            <w:tcW w:w="1820" w:type="dxa"/>
            <w:gridSpan w:val="2"/>
            <w:tcBorders>
              <w:right w:val="single" w:sz="8" w:space="0" w:color="auto"/>
            </w:tcBorders>
            <w:shd w:val="clear" w:color="auto" w:fill="auto"/>
            <w:vAlign w:val="bottom"/>
          </w:tcPr>
          <w:p w14:paraId="1393CAA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Katalitik oksidasyon</w:t>
            </w:r>
          </w:p>
        </w:tc>
        <w:tc>
          <w:tcPr>
            <w:tcW w:w="1980" w:type="dxa"/>
            <w:gridSpan w:val="2"/>
            <w:tcBorders>
              <w:right w:val="single" w:sz="8" w:space="0" w:color="auto"/>
            </w:tcBorders>
            <w:shd w:val="clear" w:color="auto" w:fill="auto"/>
            <w:vAlign w:val="bottom"/>
          </w:tcPr>
          <w:p w14:paraId="27D19B7E"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1700" w:type="dxa"/>
            <w:tcBorders>
              <w:right w:val="single" w:sz="8" w:space="0" w:color="auto"/>
            </w:tcBorders>
            <w:shd w:val="clear" w:color="auto" w:fill="auto"/>
            <w:vAlign w:val="bottom"/>
          </w:tcPr>
          <w:p w14:paraId="2F47072B" w14:textId="77777777" w:rsidR="00A52778" w:rsidRPr="00460F9E" w:rsidRDefault="00A52778" w:rsidP="00FC3F8E">
            <w:pPr>
              <w:spacing w:line="0" w:lineRule="atLeast"/>
              <w:jc w:val="center"/>
              <w:rPr>
                <w:rFonts w:eastAsia="Times New Roman" w:cs="Times New Roman"/>
                <w:b/>
                <w:w w:val="97"/>
                <w:sz w:val="12"/>
              </w:rPr>
            </w:pPr>
            <w:r w:rsidRPr="00460F9E">
              <w:rPr>
                <w:rFonts w:eastAsia="Times New Roman" w:cs="Times New Roman"/>
                <w:w w:val="97"/>
              </w:rPr>
              <w:t>NH</w:t>
            </w:r>
            <w:r w:rsidRPr="00460F9E">
              <w:rPr>
                <w:rFonts w:eastAsia="Times New Roman" w:cs="Times New Roman"/>
                <w:w w:val="97"/>
                <w:sz w:val="12"/>
              </w:rPr>
              <w:t>3</w:t>
            </w:r>
          </w:p>
        </w:tc>
        <w:tc>
          <w:tcPr>
            <w:tcW w:w="2760" w:type="dxa"/>
            <w:gridSpan w:val="9"/>
            <w:vMerge/>
            <w:tcBorders>
              <w:right w:val="single" w:sz="8" w:space="0" w:color="auto"/>
            </w:tcBorders>
            <w:shd w:val="clear" w:color="auto" w:fill="auto"/>
            <w:vAlign w:val="bottom"/>
          </w:tcPr>
          <w:p w14:paraId="52EAC0A8" w14:textId="77777777" w:rsidR="00A52778" w:rsidRPr="00460F9E" w:rsidRDefault="00A52778" w:rsidP="00FC3F8E">
            <w:pPr>
              <w:spacing w:line="0" w:lineRule="atLeast"/>
              <w:rPr>
                <w:rFonts w:eastAsia="Times New Roman" w:cs="Times New Roman"/>
                <w:b/>
              </w:rPr>
            </w:pPr>
          </w:p>
        </w:tc>
      </w:tr>
      <w:tr w:rsidR="00A52778" w:rsidRPr="00460F9E" w14:paraId="2CD7ADF3" w14:textId="77777777" w:rsidTr="00FC3F8E">
        <w:trPr>
          <w:gridAfter w:val="1"/>
          <w:wAfter w:w="720" w:type="dxa"/>
          <w:trHeight w:val="227"/>
        </w:trPr>
        <w:tc>
          <w:tcPr>
            <w:tcW w:w="400" w:type="dxa"/>
            <w:tcBorders>
              <w:left w:val="single" w:sz="8" w:space="0" w:color="auto"/>
              <w:right w:val="single" w:sz="8" w:space="0" w:color="auto"/>
            </w:tcBorders>
            <w:shd w:val="clear" w:color="auto" w:fill="auto"/>
            <w:vAlign w:val="bottom"/>
          </w:tcPr>
          <w:p w14:paraId="468BAF57" w14:textId="77777777" w:rsidR="00A52778" w:rsidRPr="00460F9E" w:rsidRDefault="00A52778" w:rsidP="00FC3F8E">
            <w:pPr>
              <w:spacing w:line="0" w:lineRule="atLeast"/>
              <w:rPr>
                <w:rFonts w:eastAsia="Times New Roman" w:cs="Times New Roman"/>
                <w:b/>
                <w:sz w:val="19"/>
              </w:rPr>
            </w:pPr>
          </w:p>
        </w:tc>
        <w:tc>
          <w:tcPr>
            <w:tcW w:w="880" w:type="dxa"/>
            <w:shd w:val="clear" w:color="auto" w:fill="auto"/>
            <w:vAlign w:val="bottom"/>
          </w:tcPr>
          <w:p w14:paraId="77D270E6" w14:textId="77777777" w:rsidR="00A52778" w:rsidRPr="00460F9E" w:rsidRDefault="00A52778" w:rsidP="00FC3F8E">
            <w:pPr>
              <w:spacing w:line="0" w:lineRule="atLeast"/>
              <w:rPr>
                <w:rFonts w:eastAsia="Times New Roman" w:cs="Times New Roman"/>
                <w:b/>
                <w:sz w:val="19"/>
              </w:rPr>
            </w:pPr>
          </w:p>
        </w:tc>
        <w:tc>
          <w:tcPr>
            <w:tcW w:w="940" w:type="dxa"/>
            <w:tcBorders>
              <w:right w:val="single" w:sz="8" w:space="0" w:color="auto"/>
            </w:tcBorders>
            <w:shd w:val="clear" w:color="auto" w:fill="auto"/>
            <w:vAlign w:val="bottom"/>
          </w:tcPr>
          <w:p w14:paraId="5F420EA8" w14:textId="77777777" w:rsidR="00A52778" w:rsidRPr="00460F9E" w:rsidRDefault="00A52778" w:rsidP="00FC3F8E">
            <w:pPr>
              <w:spacing w:line="0" w:lineRule="atLeast"/>
              <w:rPr>
                <w:rFonts w:eastAsia="Times New Roman" w:cs="Times New Roman"/>
                <w:b/>
                <w:sz w:val="19"/>
              </w:rPr>
            </w:pPr>
          </w:p>
        </w:tc>
        <w:tc>
          <w:tcPr>
            <w:tcW w:w="880" w:type="dxa"/>
            <w:shd w:val="clear" w:color="auto" w:fill="auto"/>
            <w:vAlign w:val="bottom"/>
          </w:tcPr>
          <w:p w14:paraId="04391A7A" w14:textId="77777777" w:rsidR="00A52778" w:rsidRPr="00460F9E" w:rsidRDefault="00A52778" w:rsidP="00FC3F8E">
            <w:pPr>
              <w:spacing w:line="0" w:lineRule="atLeast"/>
              <w:rPr>
                <w:rFonts w:eastAsia="Times New Roman" w:cs="Times New Roman"/>
                <w:b/>
                <w:sz w:val="19"/>
              </w:rPr>
            </w:pPr>
          </w:p>
        </w:tc>
        <w:tc>
          <w:tcPr>
            <w:tcW w:w="1100" w:type="dxa"/>
            <w:tcBorders>
              <w:right w:val="single" w:sz="8" w:space="0" w:color="auto"/>
            </w:tcBorders>
            <w:shd w:val="clear" w:color="auto" w:fill="auto"/>
            <w:vAlign w:val="bottom"/>
          </w:tcPr>
          <w:p w14:paraId="1DB96CD3" w14:textId="77777777" w:rsidR="00A52778" w:rsidRPr="00460F9E" w:rsidRDefault="00A52778" w:rsidP="00FC3F8E">
            <w:pPr>
              <w:spacing w:line="0" w:lineRule="atLeast"/>
              <w:rPr>
                <w:rFonts w:eastAsia="Times New Roman" w:cs="Times New Roman"/>
                <w:b/>
                <w:sz w:val="19"/>
              </w:rPr>
            </w:pPr>
          </w:p>
        </w:tc>
        <w:tc>
          <w:tcPr>
            <w:tcW w:w="1700" w:type="dxa"/>
            <w:tcBorders>
              <w:right w:val="single" w:sz="8" w:space="0" w:color="auto"/>
            </w:tcBorders>
            <w:shd w:val="clear" w:color="auto" w:fill="auto"/>
            <w:vAlign w:val="bottom"/>
          </w:tcPr>
          <w:p w14:paraId="6D909E76" w14:textId="77777777" w:rsidR="00A52778" w:rsidRPr="00460F9E" w:rsidRDefault="00A52778" w:rsidP="00FC3F8E">
            <w:pPr>
              <w:spacing w:line="0" w:lineRule="atLeast"/>
              <w:rPr>
                <w:rFonts w:eastAsia="Times New Roman" w:cs="Times New Roman"/>
                <w:b/>
                <w:sz w:val="19"/>
              </w:rPr>
            </w:pPr>
          </w:p>
        </w:tc>
        <w:tc>
          <w:tcPr>
            <w:tcW w:w="2760" w:type="dxa"/>
            <w:gridSpan w:val="9"/>
            <w:vMerge/>
            <w:tcBorders>
              <w:right w:val="single" w:sz="8" w:space="0" w:color="auto"/>
            </w:tcBorders>
            <w:shd w:val="clear" w:color="auto" w:fill="auto"/>
            <w:vAlign w:val="bottom"/>
          </w:tcPr>
          <w:p w14:paraId="601BFD77" w14:textId="77777777" w:rsidR="00A52778" w:rsidRPr="00460F9E" w:rsidRDefault="00A52778" w:rsidP="00FC3F8E">
            <w:pPr>
              <w:spacing w:line="0" w:lineRule="atLeast"/>
              <w:rPr>
                <w:rFonts w:eastAsia="Times New Roman" w:cs="Times New Roman"/>
                <w:b/>
                <w:sz w:val="19"/>
              </w:rPr>
            </w:pPr>
          </w:p>
        </w:tc>
      </w:tr>
      <w:tr w:rsidR="00A52778" w:rsidRPr="00460F9E" w14:paraId="45AB4603" w14:textId="77777777" w:rsidTr="00FC3F8E">
        <w:trPr>
          <w:gridAfter w:val="1"/>
          <w:wAfter w:w="720" w:type="dxa"/>
          <w:trHeight w:val="100"/>
        </w:trPr>
        <w:tc>
          <w:tcPr>
            <w:tcW w:w="400" w:type="dxa"/>
            <w:tcBorders>
              <w:left w:val="single" w:sz="8" w:space="0" w:color="auto"/>
              <w:bottom w:val="single" w:sz="8" w:space="0" w:color="auto"/>
              <w:right w:val="single" w:sz="8" w:space="0" w:color="auto"/>
            </w:tcBorders>
            <w:shd w:val="clear" w:color="auto" w:fill="auto"/>
            <w:vAlign w:val="bottom"/>
          </w:tcPr>
          <w:p w14:paraId="69391672" w14:textId="77777777" w:rsidR="00A52778" w:rsidRPr="00460F9E" w:rsidRDefault="00A52778" w:rsidP="00FC3F8E">
            <w:pPr>
              <w:spacing w:line="0" w:lineRule="atLeast"/>
              <w:rPr>
                <w:rFonts w:eastAsia="Times New Roman" w:cs="Times New Roman"/>
                <w:b/>
                <w:sz w:val="8"/>
              </w:rPr>
            </w:pPr>
          </w:p>
        </w:tc>
        <w:tc>
          <w:tcPr>
            <w:tcW w:w="880" w:type="dxa"/>
            <w:tcBorders>
              <w:bottom w:val="single" w:sz="8" w:space="0" w:color="auto"/>
            </w:tcBorders>
            <w:shd w:val="clear" w:color="auto" w:fill="auto"/>
            <w:vAlign w:val="bottom"/>
          </w:tcPr>
          <w:p w14:paraId="4E1F0514" w14:textId="77777777" w:rsidR="00A52778" w:rsidRPr="00460F9E" w:rsidRDefault="00A52778" w:rsidP="00FC3F8E">
            <w:pPr>
              <w:spacing w:line="0" w:lineRule="atLeast"/>
              <w:rPr>
                <w:rFonts w:eastAsia="Times New Roman" w:cs="Times New Roman"/>
                <w:b/>
                <w:sz w:val="8"/>
              </w:rPr>
            </w:pPr>
          </w:p>
        </w:tc>
        <w:tc>
          <w:tcPr>
            <w:tcW w:w="940" w:type="dxa"/>
            <w:tcBorders>
              <w:bottom w:val="single" w:sz="8" w:space="0" w:color="auto"/>
              <w:right w:val="single" w:sz="8" w:space="0" w:color="auto"/>
            </w:tcBorders>
            <w:shd w:val="clear" w:color="auto" w:fill="auto"/>
            <w:vAlign w:val="bottom"/>
          </w:tcPr>
          <w:p w14:paraId="1712BF2A" w14:textId="77777777" w:rsidR="00A52778" w:rsidRPr="00460F9E" w:rsidRDefault="00A52778" w:rsidP="00FC3F8E">
            <w:pPr>
              <w:spacing w:line="0" w:lineRule="atLeast"/>
              <w:rPr>
                <w:rFonts w:eastAsia="Times New Roman" w:cs="Times New Roman"/>
                <w:b/>
                <w:sz w:val="8"/>
              </w:rPr>
            </w:pPr>
          </w:p>
        </w:tc>
        <w:tc>
          <w:tcPr>
            <w:tcW w:w="880" w:type="dxa"/>
            <w:tcBorders>
              <w:bottom w:val="single" w:sz="8" w:space="0" w:color="auto"/>
            </w:tcBorders>
            <w:shd w:val="clear" w:color="auto" w:fill="auto"/>
            <w:vAlign w:val="bottom"/>
          </w:tcPr>
          <w:p w14:paraId="453C5B24" w14:textId="77777777" w:rsidR="00A52778" w:rsidRPr="00460F9E" w:rsidRDefault="00A52778" w:rsidP="00FC3F8E">
            <w:pPr>
              <w:spacing w:line="0" w:lineRule="atLeast"/>
              <w:rPr>
                <w:rFonts w:eastAsia="Times New Roman" w:cs="Times New Roman"/>
                <w:b/>
                <w:sz w:val="8"/>
              </w:rPr>
            </w:pPr>
          </w:p>
        </w:tc>
        <w:tc>
          <w:tcPr>
            <w:tcW w:w="1100" w:type="dxa"/>
            <w:tcBorders>
              <w:bottom w:val="single" w:sz="8" w:space="0" w:color="auto"/>
              <w:right w:val="single" w:sz="8" w:space="0" w:color="auto"/>
            </w:tcBorders>
            <w:shd w:val="clear" w:color="auto" w:fill="auto"/>
            <w:vAlign w:val="bottom"/>
          </w:tcPr>
          <w:p w14:paraId="3781465A" w14:textId="77777777" w:rsidR="00A52778" w:rsidRPr="00460F9E" w:rsidRDefault="00A52778" w:rsidP="00FC3F8E">
            <w:pPr>
              <w:spacing w:line="0" w:lineRule="atLeast"/>
              <w:rPr>
                <w:rFonts w:eastAsia="Times New Roman" w:cs="Times New Roman"/>
                <w:b/>
                <w:sz w:val="8"/>
              </w:rPr>
            </w:pPr>
          </w:p>
        </w:tc>
        <w:tc>
          <w:tcPr>
            <w:tcW w:w="1700" w:type="dxa"/>
            <w:tcBorders>
              <w:bottom w:val="single" w:sz="8" w:space="0" w:color="auto"/>
              <w:right w:val="single" w:sz="8" w:space="0" w:color="auto"/>
            </w:tcBorders>
            <w:shd w:val="clear" w:color="auto" w:fill="auto"/>
            <w:vAlign w:val="bottom"/>
          </w:tcPr>
          <w:p w14:paraId="7574AF1A" w14:textId="77777777" w:rsidR="00A52778" w:rsidRPr="00460F9E" w:rsidRDefault="00A52778" w:rsidP="00FC3F8E">
            <w:pPr>
              <w:spacing w:line="0" w:lineRule="atLeast"/>
              <w:rPr>
                <w:rFonts w:eastAsia="Times New Roman" w:cs="Times New Roman"/>
                <w:b/>
                <w:sz w:val="8"/>
              </w:rPr>
            </w:pPr>
          </w:p>
        </w:tc>
        <w:tc>
          <w:tcPr>
            <w:tcW w:w="1300" w:type="dxa"/>
            <w:gridSpan w:val="4"/>
            <w:tcBorders>
              <w:bottom w:val="single" w:sz="8" w:space="0" w:color="auto"/>
            </w:tcBorders>
            <w:shd w:val="clear" w:color="auto" w:fill="auto"/>
            <w:vAlign w:val="bottom"/>
          </w:tcPr>
          <w:p w14:paraId="186E726E" w14:textId="77777777" w:rsidR="00A52778" w:rsidRPr="00460F9E" w:rsidRDefault="00A52778" w:rsidP="00FC3F8E">
            <w:pPr>
              <w:spacing w:line="0" w:lineRule="atLeast"/>
              <w:rPr>
                <w:rFonts w:eastAsia="Times New Roman" w:cs="Times New Roman"/>
                <w:b/>
                <w:sz w:val="8"/>
              </w:rPr>
            </w:pPr>
          </w:p>
        </w:tc>
        <w:tc>
          <w:tcPr>
            <w:tcW w:w="320" w:type="dxa"/>
            <w:tcBorders>
              <w:bottom w:val="single" w:sz="8" w:space="0" w:color="auto"/>
            </w:tcBorders>
            <w:shd w:val="clear" w:color="auto" w:fill="auto"/>
            <w:vAlign w:val="bottom"/>
          </w:tcPr>
          <w:p w14:paraId="6028B4B5" w14:textId="77777777" w:rsidR="00A52778" w:rsidRPr="00460F9E" w:rsidRDefault="00A52778" w:rsidP="00FC3F8E">
            <w:pPr>
              <w:spacing w:line="0" w:lineRule="atLeast"/>
              <w:rPr>
                <w:rFonts w:eastAsia="Times New Roman" w:cs="Times New Roman"/>
                <w:b/>
                <w:sz w:val="8"/>
              </w:rPr>
            </w:pPr>
          </w:p>
        </w:tc>
        <w:tc>
          <w:tcPr>
            <w:tcW w:w="1140" w:type="dxa"/>
            <w:gridSpan w:val="4"/>
            <w:tcBorders>
              <w:bottom w:val="single" w:sz="8" w:space="0" w:color="auto"/>
              <w:right w:val="single" w:sz="8" w:space="0" w:color="auto"/>
            </w:tcBorders>
            <w:shd w:val="clear" w:color="auto" w:fill="auto"/>
            <w:vAlign w:val="bottom"/>
          </w:tcPr>
          <w:p w14:paraId="14A9804A" w14:textId="77777777" w:rsidR="00A52778" w:rsidRPr="00460F9E" w:rsidRDefault="00A52778" w:rsidP="00FC3F8E">
            <w:pPr>
              <w:spacing w:line="0" w:lineRule="atLeast"/>
              <w:rPr>
                <w:rFonts w:eastAsia="Times New Roman" w:cs="Times New Roman"/>
                <w:b/>
                <w:sz w:val="8"/>
              </w:rPr>
            </w:pPr>
          </w:p>
        </w:tc>
      </w:tr>
      <w:tr w:rsidR="00A52778" w:rsidRPr="00460F9E" w14:paraId="23294470" w14:textId="77777777" w:rsidTr="00FC3F8E">
        <w:trPr>
          <w:gridAfter w:val="1"/>
          <w:wAfter w:w="720" w:type="dxa"/>
          <w:trHeight w:val="214"/>
        </w:trPr>
        <w:tc>
          <w:tcPr>
            <w:tcW w:w="400" w:type="dxa"/>
            <w:tcBorders>
              <w:left w:val="single" w:sz="8" w:space="0" w:color="auto"/>
              <w:right w:val="single" w:sz="8" w:space="0" w:color="auto"/>
            </w:tcBorders>
            <w:shd w:val="clear" w:color="auto" w:fill="auto"/>
            <w:vAlign w:val="bottom"/>
          </w:tcPr>
          <w:p w14:paraId="56A9C498" w14:textId="77777777" w:rsidR="00A52778" w:rsidRPr="00460F9E" w:rsidRDefault="00A52778" w:rsidP="00FC3F8E">
            <w:pPr>
              <w:spacing w:line="0" w:lineRule="atLeast"/>
              <w:rPr>
                <w:rFonts w:eastAsia="Times New Roman" w:cs="Times New Roman"/>
                <w:b/>
                <w:sz w:val="18"/>
              </w:rPr>
            </w:pPr>
          </w:p>
        </w:tc>
        <w:tc>
          <w:tcPr>
            <w:tcW w:w="880" w:type="dxa"/>
            <w:shd w:val="clear" w:color="auto" w:fill="auto"/>
            <w:vAlign w:val="bottom"/>
          </w:tcPr>
          <w:p w14:paraId="49E7DD73" w14:textId="77777777" w:rsidR="00A52778" w:rsidRPr="00460F9E" w:rsidRDefault="00A52778" w:rsidP="00FC3F8E">
            <w:pPr>
              <w:spacing w:line="0" w:lineRule="atLeast"/>
              <w:rPr>
                <w:rFonts w:eastAsia="Times New Roman" w:cs="Times New Roman"/>
                <w:b/>
                <w:sz w:val="18"/>
              </w:rPr>
            </w:pPr>
          </w:p>
        </w:tc>
        <w:tc>
          <w:tcPr>
            <w:tcW w:w="940" w:type="dxa"/>
            <w:tcBorders>
              <w:right w:val="single" w:sz="8" w:space="0" w:color="auto"/>
            </w:tcBorders>
            <w:shd w:val="clear" w:color="auto" w:fill="auto"/>
            <w:vAlign w:val="bottom"/>
          </w:tcPr>
          <w:p w14:paraId="5F2763A3" w14:textId="77777777" w:rsidR="00A52778" w:rsidRPr="00460F9E" w:rsidRDefault="00A52778" w:rsidP="00FC3F8E">
            <w:pPr>
              <w:spacing w:line="0" w:lineRule="atLeast"/>
              <w:rPr>
                <w:rFonts w:eastAsia="Times New Roman" w:cs="Times New Roman"/>
                <w:b/>
                <w:sz w:val="18"/>
              </w:rPr>
            </w:pPr>
          </w:p>
        </w:tc>
        <w:tc>
          <w:tcPr>
            <w:tcW w:w="880" w:type="dxa"/>
            <w:shd w:val="clear" w:color="auto" w:fill="auto"/>
            <w:vAlign w:val="bottom"/>
          </w:tcPr>
          <w:p w14:paraId="05263C69" w14:textId="77777777" w:rsidR="00A52778" w:rsidRPr="00460F9E" w:rsidRDefault="00A52778" w:rsidP="00FC3F8E">
            <w:pPr>
              <w:spacing w:line="0" w:lineRule="atLeast"/>
              <w:rPr>
                <w:rFonts w:eastAsia="Times New Roman" w:cs="Times New Roman"/>
                <w:b/>
                <w:sz w:val="18"/>
              </w:rPr>
            </w:pPr>
          </w:p>
        </w:tc>
        <w:tc>
          <w:tcPr>
            <w:tcW w:w="1100" w:type="dxa"/>
            <w:tcBorders>
              <w:right w:val="single" w:sz="8" w:space="0" w:color="auto"/>
            </w:tcBorders>
            <w:shd w:val="clear" w:color="auto" w:fill="auto"/>
            <w:vAlign w:val="bottom"/>
          </w:tcPr>
          <w:p w14:paraId="26E8339B" w14:textId="77777777" w:rsidR="00A52778" w:rsidRPr="00460F9E" w:rsidRDefault="00A52778" w:rsidP="00FC3F8E">
            <w:pPr>
              <w:spacing w:line="0" w:lineRule="atLeast"/>
              <w:rPr>
                <w:rFonts w:eastAsia="Times New Roman" w:cs="Times New Roman"/>
                <w:b/>
                <w:sz w:val="18"/>
              </w:rPr>
            </w:pPr>
          </w:p>
        </w:tc>
        <w:tc>
          <w:tcPr>
            <w:tcW w:w="1700" w:type="dxa"/>
            <w:tcBorders>
              <w:right w:val="single" w:sz="8" w:space="0" w:color="auto"/>
            </w:tcBorders>
            <w:shd w:val="clear" w:color="auto" w:fill="auto"/>
            <w:vAlign w:val="bottom"/>
          </w:tcPr>
          <w:p w14:paraId="35108246" w14:textId="77777777" w:rsidR="00A52778" w:rsidRPr="00460F9E" w:rsidRDefault="00A52778" w:rsidP="00FC3F8E">
            <w:pPr>
              <w:spacing w:line="0" w:lineRule="atLeast"/>
              <w:rPr>
                <w:rFonts w:eastAsia="Times New Roman" w:cs="Times New Roman"/>
                <w:b/>
                <w:sz w:val="18"/>
              </w:rPr>
            </w:pPr>
          </w:p>
        </w:tc>
        <w:tc>
          <w:tcPr>
            <w:tcW w:w="2760" w:type="dxa"/>
            <w:gridSpan w:val="9"/>
            <w:vMerge w:val="restart"/>
            <w:tcBorders>
              <w:right w:val="single" w:sz="8" w:space="0" w:color="auto"/>
            </w:tcBorders>
            <w:shd w:val="clear" w:color="auto" w:fill="auto"/>
          </w:tcPr>
          <w:p w14:paraId="55627D69" w14:textId="77777777" w:rsidR="00A52778" w:rsidRPr="00460F9E" w:rsidRDefault="00A52778" w:rsidP="00FC3F8E">
            <w:pPr>
              <w:spacing w:line="214" w:lineRule="exact"/>
              <w:ind w:right="20"/>
              <w:rPr>
                <w:rFonts w:eastAsia="Times New Roman" w:cs="Times New Roman"/>
                <w:b/>
              </w:rPr>
            </w:pPr>
            <w:r w:rsidRPr="00460F9E">
              <w:rPr>
                <w:rFonts w:eastAsia="Times New Roman" w:cs="Times New Roman"/>
              </w:rPr>
              <w:t xml:space="preserve">  Reküperatif ve rejeneratif termal  </w:t>
            </w:r>
          </w:p>
          <w:p w14:paraId="3E721803" w14:textId="77777777" w:rsidR="00A52778" w:rsidRPr="00460F9E" w:rsidRDefault="00A52778" w:rsidP="00FC3F8E">
            <w:pPr>
              <w:spacing w:line="214" w:lineRule="exact"/>
              <w:ind w:right="20"/>
              <w:rPr>
                <w:rFonts w:eastAsia="Times New Roman" w:cs="Times New Roman"/>
                <w:b/>
              </w:rPr>
            </w:pPr>
            <w:r w:rsidRPr="00460F9E">
              <w:rPr>
                <w:rFonts w:eastAsia="Times New Roman" w:cs="Times New Roman"/>
              </w:rPr>
              <w:t xml:space="preserve">  oksidasyonun mevcut olduğu </w:t>
            </w:r>
          </w:p>
          <w:p w14:paraId="3A0FF006" w14:textId="77777777" w:rsidR="00A52778" w:rsidRPr="00460F9E" w:rsidRDefault="00A52778" w:rsidP="00FC3F8E">
            <w:pPr>
              <w:spacing w:line="214" w:lineRule="exact"/>
              <w:ind w:right="20"/>
              <w:rPr>
                <w:rFonts w:eastAsia="Times New Roman" w:cs="Times New Roman"/>
                <w:b/>
              </w:rPr>
            </w:pPr>
            <w:r w:rsidRPr="00460F9E">
              <w:rPr>
                <w:rFonts w:eastAsia="Times New Roman" w:cs="Times New Roman"/>
              </w:rPr>
              <w:t xml:space="preserve">  tesislere uygulanabilirliği </w:t>
            </w:r>
          </w:p>
          <w:p w14:paraId="1077F438" w14:textId="77777777" w:rsidR="00A52778" w:rsidRPr="00460F9E" w:rsidRDefault="00A52778" w:rsidP="00FC3F8E">
            <w:pPr>
              <w:spacing w:line="214" w:lineRule="exact"/>
              <w:ind w:right="20"/>
              <w:rPr>
                <w:rFonts w:eastAsia="Times New Roman" w:cs="Times New Roman"/>
                <w:b/>
              </w:rPr>
            </w:pPr>
            <w:r w:rsidRPr="00460F9E">
              <w:rPr>
                <w:rFonts w:eastAsia="Times New Roman" w:cs="Times New Roman"/>
              </w:rPr>
              <w:t xml:space="preserve">  tasarım ve/veya işletme  </w:t>
            </w:r>
          </w:p>
          <w:p w14:paraId="64E0BA3E" w14:textId="77777777" w:rsidR="00A52778" w:rsidRPr="00460F9E" w:rsidRDefault="00A52778" w:rsidP="00FC3F8E">
            <w:pPr>
              <w:spacing w:line="214" w:lineRule="exact"/>
              <w:ind w:right="20"/>
              <w:rPr>
                <w:rFonts w:eastAsia="Times New Roman" w:cs="Times New Roman"/>
                <w:b/>
              </w:rPr>
            </w:pPr>
            <w:r w:rsidRPr="00460F9E">
              <w:rPr>
                <w:rFonts w:eastAsia="Times New Roman" w:cs="Times New Roman"/>
              </w:rPr>
              <w:t xml:space="preserve">  kısıtlamaları nedeniyle </w:t>
            </w:r>
          </w:p>
          <w:p w14:paraId="1C55DBAE" w14:textId="77777777" w:rsidR="00A52778" w:rsidRPr="00460F9E" w:rsidRDefault="00A52778" w:rsidP="00FC3F8E">
            <w:pPr>
              <w:spacing w:line="214" w:lineRule="exact"/>
              <w:ind w:right="20"/>
              <w:rPr>
                <w:rFonts w:eastAsia="Times New Roman" w:cs="Times New Roman"/>
                <w:b/>
              </w:rPr>
            </w:pPr>
            <w:r w:rsidRPr="00460F9E">
              <w:rPr>
                <w:rFonts w:eastAsia="Times New Roman" w:cs="Times New Roman"/>
              </w:rPr>
              <w:t xml:space="preserve">  kısıtlanabilir.</w:t>
            </w:r>
          </w:p>
          <w:p w14:paraId="24D95F0E" w14:textId="77777777" w:rsidR="00A52778" w:rsidRPr="00460F9E" w:rsidRDefault="00A52778" w:rsidP="00FC3F8E">
            <w:pPr>
              <w:spacing w:line="214" w:lineRule="exact"/>
              <w:ind w:right="20"/>
              <w:rPr>
                <w:rFonts w:eastAsia="Times New Roman" w:cs="Times New Roman"/>
                <w:b/>
                <w:w w:val="99"/>
              </w:rPr>
            </w:pPr>
          </w:p>
          <w:p w14:paraId="42206272" w14:textId="77777777" w:rsidR="00A52778" w:rsidRPr="00460F9E" w:rsidRDefault="00A52778" w:rsidP="00FC3F8E">
            <w:pPr>
              <w:spacing w:line="214" w:lineRule="exact"/>
              <w:ind w:right="20"/>
              <w:rPr>
                <w:rFonts w:eastAsia="Times New Roman" w:cs="Times New Roman"/>
                <w:b/>
                <w:w w:val="99"/>
              </w:rPr>
            </w:pPr>
            <w:r w:rsidRPr="00460F9E">
              <w:rPr>
                <w:rFonts w:eastAsia="Times New Roman" w:cs="Times New Roman"/>
                <w:w w:val="99"/>
              </w:rPr>
              <w:t>.</w:t>
            </w:r>
            <w:r w:rsidRPr="00460F9E">
              <w:rPr>
                <w:rFonts w:cs="Times New Roman"/>
              </w:rPr>
              <w:t xml:space="preserve"> </w:t>
            </w:r>
            <w:r w:rsidRPr="00460F9E">
              <w:rPr>
                <w:rFonts w:eastAsia="Times New Roman" w:cs="Times New Roman"/>
                <w:w w:val="99"/>
              </w:rPr>
              <w:t xml:space="preserve">Proses çıkış gazlarında ilgili </w:t>
            </w:r>
          </w:p>
          <w:p w14:paraId="6F6D7864" w14:textId="77777777" w:rsidR="00A52778" w:rsidRPr="00460F9E" w:rsidRDefault="00A52778" w:rsidP="00FC3F8E">
            <w:pPr>
              <w:spacing w:line="214" w:lineRule="exact"/>
              <w:ind w:right="20"/>
              <w:rPr>
                <w:rFonts w:eastAsia="Times New Roman" w:cs="Times New Roman"/>
                <w:b/>
                <w:w w:val="99"/>
              </w:rPr>
            </w:pPr>
            <w:r w:rsidRPr="00460F9E">
              <w:rPr>
                <w:rFonts w:eastAsia="Times New Roman" w:cs="Times New Roman"/>
                <w:w w:val="99"/>
              </w:rPr>
              <w:t xml:space="preserve">  bileşik(ler)in düşük </w:t>
            </w:r>
          </w:p>
          <w:p w14:paraId="55B09162" w14:textId="77777777" w:rsidR="00A52778" w:rsidRPr="00460F9E" w:rsidRDefault="00A52778" w:rsidP="00FC3F8E">
            <w:pPr>
              <w:spacing w:line="214" w:lineRule="exact"/>
              <w:ind w:right="20"/>
              <w:rPr>
                <w:rFonts w:eastAsia="Times New Roman" w:cs="Times New Roman"/>
                <w:b/>
                <w:w w:val="99"/>
              </w:rPr>
            </w:pPr>
            <w:r w:rsidRPr="00460F9E">
              <w:rPr>
                <w:rFonts w:eastAsia="Times New Roman" w:cs="Times New Roman"/>
                <w:w w:val="99"/>
              </w:rPr>
              <w:t xml:space="preserve">  konsantrasyonu nedeniyle enerji </w:t>
            </w:r>
          </w:p>
          <w:p w14:paraId="71C63C95" w14:textId="77777777" w:rsidR="00A52778" w:rsidRPr="00460F9E" w:rsidRDefault="00A52778" w:rsidP="00FC3F8E">
            <w:pPr>
              <w:spacing w:line="214" w:lineRule="exact"/>
              <w:ind w:right="20"/>
              <w:rPr>
                <w:rFonts w:eastAsia="Times New Roman" w:cs="Times New Roman"/>
                <w:b/>
                <w:w w:val="99"/>
              </w:rPr>
            </w:pPr>
            <w:r w:rsidRPr="00460F9E">
              <w:rPr>
                <w:rFonts w:eastAsia="Times New Roman" w:cs="Times New Roman"/>
                <w:w w:val="99"/>
              </w:rPr>
              <w:t xml:space="preserve">  talebinin aşırı olduğu </w:t>
            </w:r>
          </w:p>
          <w:p w14:paraId="5D0F141E" w14:textId="77777777" w:rsidR="00A52778" w:rsidRPr="00460F9E" w:rsidRDefault="00A52778" w:rsidP="00FC3F8E">
            <w:pPr>
              <w:spacing w:line="214" w:lineRule="exact"/>
              <w:ind w:right="20"/>
              <w:rPr>
                <w:rFonts w:eastAsia="Times New Roman" w:cs="Times New Roman"/>
                <w:b/>
                <w:w w:val="99"/>
              </w:rPr>
            </w:pPr>
            <w:r w:rsidRPr="00460F9E">
              <w:rPr>
                <w:rFonts w:eastAsia="Times New Roman" w:cs="Times New Roman"/>
                <w:w w:val="99"/>
              </w:rPr>
              <w:t xml:space="preserve">  durumlarda uygulanabilirliği</w:t>
            </w:r>
          </w:p>
          <w:p w14:paraId="2683A3A2" w14:textId="77777777" w:rsidR="00A52778" w:rsidRPr="00460F9E" w:rsidRDefault="00A52778" w:rsidP="00FC3F8E">
            <w:pPr>
              <w:spacing w:line="214" w:lineRule="exact"/>
              <w:ind w:right="20"/>
              <w:rPr>
                <w:rFonts w:eastAsia="Times New Roman" w:cs="Times New Roman"/>
                <w:b/>
                <w:w w:val="99"/>
              </w:rPr>
            </w:pPr>
            <w:r w:rsidRPr="00460F9E">
              <w:rPr>
                <w:rFonts w:eastAsia="Times New Roman" w:cs="Times New Roman"/>
                <w:w w:val="99"/>
              </w:rPr>
              <w:t xml:space="preserve">  kısıtlanabilir.</w:t>
            </w:r>
          </w:p>
        </w:tc>
      </w:tr>
      <w:tr w:rsidR="00A52778" w:rsidRPr="00460F9E" w14:paraId="13E2E8CA" w14:textId="77777777" w:rsidTr="00FC3F8E">
        <w:trPr>
          <w:gridAfter w:val="1"/>
          <w:wAfter w:w="720" w:type="dxa"/>
          <w:trHeight w:val="230"/>
        </w:trPr>
        <w:tc>
          <w:tcPr>
            <w:tcW w:w="400" w:type="dxa"/>
            <w:tcBorders>
              <w:left w:val="single" w:sz="8" w:space="0" w:color="auto"/>
              <w:right w:val="single" w:sz="8" w:space="0" w:color="auto"/>
            </w:tcBorders>
            <w:shd w:val="clear" w:color="auto" w:fill="auto"/>
            <w:vAlign w:val="bottom"/>
          </w:tcPr>
          <w:p w14:paraId="01333437"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2466C5F3" w14:textId="77777777" w:rsidR="00A52778" w:rsidRPr="00460F9E" w:rsidRDefault="00A52778" w:rsidP="00FC3F8E">
            <w:pPr>
              <w:spacing w:line="0" w:lineRule="atLeast"/>
              <w:rPr>
                <w:rFonts w:eastAsia="Times New Roman" w:cs="Times New Roman"/>
                <w:b/>
              </w:rPr>
            </w:pPr>
          </w:p>
        </w:tc>
        <w:tc>
          <w:tcPr>
            <w:tcW w:w="940" w:type="dxa"/>
            <w:tcBorders>
              <w:right w:val="single" w:sz="8" w:space="0" w:color="auto"/>
            </w:tcBorders>
            <w:shd w:val="clear" w:color="auto" w:fill="auto"/>
            <w:vAlign w:val="bottom"/>
          </w:tcPr>
          <w:p w14:paraId="15C4B5F3"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3684F2DF" w14:textId="77777777" w:rsidR="00A52778" w:rsidRPr="00460F9E" w:rsidRDefault="00A52778" w:rsidP="00FC3F8E">
            <w:pPr>
              <w:spacing w:line="0" w:lineRule="atLeast"/>
              <w:rPr>
                <w:rFonts w:eastAsia="Times New Roman" w:cs="Times New Roman"/>
                <w:b/>
              </w:rPr>
            </w:pPr>
          </w:p>
        </w:tc>
        <w:tc>
          <w:tcPr>
            <w:tcW w:w="1100" w:type="dxa"/>
            <w:tcBorders>
              <w:right w:val="single" w:sz="8" w:space="0" w:color="auto"/>
            </w:tcBorders>
            <w:shd w:val="clear" w:color="auto" w:fill="auto"/>
            <w:vAlign w:val="bottom"/>
          </w:tcPr>
          <w:p w14:paraId="25663110" w14:textId="77777777" w:rsidR="00A52778" w:rsidRPr="00460F9E" w:rsidRDefault="00A52778" w:rsidP="00FC3F8E">
            <w:pPr>
              <w:spacing w:line="0" w:lineRule="atLeast"/>
              <w:rPr>
                <w:rFonts w:eastAsia="Times New Roman" w:cs="Times New Roman"/>
                <w:b/>
              </w:rPr>
            </w:pPr>
          </w:p>
        </w:tc>
        <w:tc>
          <w:tcPr>
            <w:tcW w:w="1700" w:type="dxa"/>
            <w:tcBorders>
              <w:right w:val="single" w:sz="8" w:space="0" w:color="auto"/>
            </w:tcBorders>
            <w:shd w:val="clear" w:color="auto" w:fill="auto"/>
            <w:vAlign w:val="bottom"/>
          </w:tcPr>
          <w:p w14:paraId="5C74FF17" w14:textId="77777777" w:rsidR="00A52778" w:rsidRPr="00460F9E" w:rsidRDefault="00A52778" w:rsidP="00FC3F8E">
            <w:pPr>
              <w:spacing w:line="0" w:lineRule="atLeast"/>
              <w:rPr>
                <w:rFonts w:eastAsia="Times New Roman" w:cs="Times New Roman"/>
                <w:b/>
              </w:rPr>
            </w:pPr>
          </w:p>
        </w:tc>
        <w:tc>
          <w:tcPr>
            <w:tcW w:w="2760" w:type="dxa"/>
            <w:gridSpan w:val="9"/>
            <w:vMerge/>
            <w:tcBorders>
              <w:right w:val="single" w:sz="8" w:space="0" w:color="auto"/>
            </w:tcBorders>
            <w:shd w:val="clear" w:color="auto" w:fill="auto"/>
            <w:vAlign w:val="bottom"/>
          </w:tcPr>
          <w:p w14:paraId="0F6AEBC0" w14:textId="77777777" w:rsidR="00A52778" w:rsidRPr="00460F9E" w:rsidRDefault="00A52778" w:rsidP="00FC3F8E">
            <w:pPr>
              <w:spacing w:line="0" w:lineRule="atLeast"/>
              <w:ind w:right="20"/>
              <w:jc w:val="right"/>
              <w:rPr>
                <w:rFonts w:eastAsia="Times New Roman" w:cs="Times New Roman"/>
                <w:b/>
              </w:rPr>
            </w:pPr>
          </w:p>
        </w:tc>
      </w:tr>
      <w:tr w:rsidR="00A52778" w:rsidRPr="00460F9E" w14:paraId="5FF12C6F" w14:textId="77777777" w:rsidTr="00FC3F8E">
        <w:trPr>
          <w:gridAfter w:val="1"/>
          <w:wAfter w:w="720" w:type="dxa"/>
          <w:trHeight w:val="230"/>
        </w:trPr>
        <w:tc>
          <w:tcPr>
            <w:tcW w:w="400" w:type="dxa"/>
            <w:tcBorders>
              <w:left w:val="single" w:sz="8" w:space="0" w:color="auto"/>
              <w:right w:val="single" w:sz="8" w:space="0" w:color="auto"/>
            </w:tcBorders>
            <w:shd w:val="clear" w:color="auto" w:fill="auto"/>
            <w:vAlign w:val="bottom"/>
          </w:tcPr>
          <w:p w14:paraId="03093E2A"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14A28E41" w14:textId="77777777" w:rsidR="00A52778" w:rsidRPr="00460F9E" w:rsidRDefault="00A52778" w:rsidP="00FC3F8E">
            <w:pPr>
              <w:spacing w:line="0" w:lineRule="atLeast"/>
              <w:rPr>
                <w:rFonts w:eastAsia="Times New Roman" w:cs="Times New Roman"/>
                <w:b/>
              </w:rPr>
            </w:pPr>
          </w:p>
        </w:tc>
        <w:tc>
          <w:tcPr>
            <w:tcW w:w="940" w:type="dxa"/>
            <w:tcBorders>
              <w:right w:val="single" w:sz="8" w:space="0" w:color="auto"/>
            </w:tcBorders>
            <w:shd w:val="clear" w:color="auto" w:fill="auto"/>
            <w:vAlign w:val="bottom"/>
          </w:tcPr>
          <w:p w14:paraId="3B38018C"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6EA02F99" w14:textId="77777777" w:rsidR="00A52778" w:rsidRPr="00460F9E" w:rsidRDefault="00A52778" w:rsidP="00FC3F8E">
            <w:pPr>
              <w:spacing w:line="0" w:lineRule="atLeast"/>
              <w:rPr>
                <w:rFonts w:eastAsia="Times New Roman" w:cs="Times New Roman"/>
                <w:b/>
              </w:rPr>
            </w:pPr>
          </w:p>
        </w:tc>
        <w:tc>
          <w:tcPr>
            <w:tcW w:w="1100" w:type="dxa"/>
            <w:tcBorders>
              <w:right w:val="single" w:sz="8" w:space="0" w:color="auto"/>
            </w:tcBorders>
            <w:shd w:val="clear" w:color="auto" w:fill="auto"/>
            <w:vAlign w:val="bottom"/>
          </w:tcPr>
          <w:p w14:paraId="124EF553" w14:textId="77777777" w:rsidR="00A52778" w:rsidRPr="00460F9E" w:rsidRDefault="00A52778" w:rsidP="00FC3F8E">
            <w:pPr>
              <w:spacing w:line="0" w:lineRule="atLeast"/>
              <w:rPr>
                <w:rFonts w:eastAsia="Times New Roman" w:cs="Times New Roman"/>
                <w:b/>
              </w:rPr>
            </w:pPr>
          </w:p>
        </w:tc>
        <w:tc>
          <w:tcPr>
            <w:tcW w:w="1700" w:type="dxa"/>
            <w:tcBorders>
              <w:right w:val="single" w:sz="8" w:space="0" w:color="auto"/>
            </w:tcBorders>
            <w:shd w:val="clear" w:color="auto" w:fill="auto"/>
            <w:vAlign w:val="bottom"/>
          </w:tcPr>
          <w:p w14:paraId="7A2624A0" w14:textId="77777777" w:rsidR="00A52778" w:rsidRPr="00460F9E" w:rsidRDefault="00A52778" w:rsidP="00FC3F8E">
            <w:pPr>
              <w:spacing w:line="0" w:lineRule="atLeast"/>
              <w:rPr>
                <w:rFonts w:eastAsia="Times New Roman" w:cs="Times New Roman"/>
                <w:b/>
              </w:rPr>
            </w:pPr>
          </w:p>
        </w:tc>
        <w:tc>
          <w:tcPr>
            <w:tcW w:w="2760" w:type="dxa"/>
            <w:gridSpan w:val="9"/>
            <w:vMerge/>
            <w:tcBorders>
              <w:right w:val="single" w:sz="8" w:space="0" w:color="auto"/>
            </w:tcBorders>
            <w:shd w:val="clear" w:color="auto" w:fill="auto"/>
            <w:vAlign w:val="bottom"/>
          </w:tcPr>
          <w:p w14:paraId="2458062A" w14:textId="77777777" w:rsidR="00A52778" w:rsidRPr="00460F9E" w:rsidRDefault="00A52778" w:rsidP="00FC3F8E">
            <w:pPr>
              <w:spacing w:line="0" w:lineRule="atLeast"/>
              <w:ind w:right="20"/>
              <w:jc w:val="right"/>
              <w:rPr>
                <w:rFonts w:eastAsia="Times New Roman" w:cs="Times New Roman"/>
                <w:b/>
              </w:rPr>
            </w:pPr>
          </w:p>
        </w:tc>
      </w:tr>
      <w:tr w:rsidR="00A52778" w:rsidRPr="00460F9E" w14:paraId="0EEBC341" w14:textId="77777777" w:rsidTr="00FC3F8E">
        <w:trPr>
          <w:gridAfter w:val="1"/>
          <w:wAfter w:w="720" w:type="dxa"/>
          <w:trHeight w:val="230"/>
        </w:trPr>
        <w:tc>
          <w:tcPr>
            <w:tcW w:w="400" w:type="dxa"/>
            <w:tcBorders>
              <w:left w:val="single" w:sz="8" w:space="0" w:color="auto"/>
              <w:right w:val="single" w:sz="8" w:space="0" w:color="auto"/>
            </w:tcBorders>
            <w:shd w:val="clear" w:color="auto" w:fill="auto"/>
            <w:vAlign w:val="bottom"/>
          </w:tcPr>
          <w:p w14:paraId="42427A7C"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0B61D0ED" w14:textId="77777777" w:rsidR="00A52778" w:rsidRPr="00460F9E" w:rsidRDefault="00A52778" w:rsidP="00FC3F8E">
            <w:pPr>
              <w:spacing w:line="0" w:lineRule="atLeast"/>
              <w:rPr>
                <w:rFonts w:eastAsia="Times New Roman" w:cs="Times New Roman"/>
                <w:b/>
              </w:rPr>
            </w:pPr>
          </w:p>
        </w:tc>
        <w:tc>
          <w:tcPr>
            <w:tcW w:w="940" w:type="dxa"/>
            <w:tcBorders>
              <w:right w:val="single" w:sz="8" w:space="0" w:color="auto"/>
            </w:tcBorders>
            <w:shd w:val="clear" w:color="auto" w:fill="auto"/>
            <w:vAlign w:val="bottom"/>
          </w:tcPr>
          <w:p w14:paraId="4298BA76"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78361AB4" w14:textId="77777777" w:rsidR="00A52778" w:rsidRPr="00460F9E" w:rsidRDefault="00A52778" w:rsidP="00FC3F8E">
            <w:pPr>
              <w:spacing w:line="0" w:lineRule="atLeast"/>
              <w:rPr>
                <w:rFonts w:eastAsia="Times New Roman" w:cs="Times New Roman"/>
                <w:b/>
              </w:rPr>
            </w:pPr>
          </w:p>
        </w:tc>
        <w:tc>
          <w:tcPr>
            <w:tcW w:w="1100" w:type="dxa"/>
            <w:tcBorders>
              <w:right w:val="single" w:sz="8" w:space="0" w:color="auto"/>
            </w:tcBorders>
            <w:shd w:val="clear" w:color="auto" w:fill="auto"/>
            <w:vAlign w:val="bottom"/>
          </w:tcPr>
          <w:p w14:paraId="4EAB636D" w14:textId="77777777" w:rsidR="00A52778" w:rsidRPr="00460F9E" w:rsidRDefault="00A52778" w:rsidP="00FC3F8E">
            <w:pPr>
              <w:spacing w:line="0" w:lineRule="atLeast"/>
              <w:rPr>
                <w:rFonts w:eastAsia="Times New Roman" w:cs="Times New Roman"/>
                <w:b/>
              </w:rPr>
            </w:pPr>
          </w:p>
        </w:tc>
        <w:tc>
          <w:tcPr>
            <w:tcW w:w="1700" w:type="dxa"/>
            <w:tcBorders>
              <w:right w:val="single" w:sz="8" w:space="0" w:color="auto"/>
            </w:tcBorders>
            <w:shd w:val="clear" w:color="auto" w:fill="auto"/>
            <w:vAlign w:val="bottom"/>
          </w:tcPr>
          <w:p w14:paraId="20122624" w14:textId="77777777" w:rsidR="00A52778" w:rsidRPr="00460F9E" w:rsidRDefault="00A52778" w:rsidP="00FC3F8E">
            <w:pPr>
              <w:spacing w:line="0" w:lineRule="atLeast"/>
              <w:rPr>
                <w:rFonts w:eastAsia="Times New Roman" w:cs="Times New Roman"/>
                <w:b/>
              </w:rPr>
            </w:pPr>
          </w:p>
        </w:tc>
        <w:tc>
          <w:tcPr>
            <w:tcW w:w="2760" w:type="dxa"/>
            <w:gridSpan w:val="9"/>
            <w:vMerge/>
            <w:tcBorders>
              <w:right w:val="single" w:sz="8" w:space="0" w:color="auto"/>
            </w:tcBorders>
            <w:shd w:val="clear" w:color="auto" w:fill="auto"/>
            <w:vAlign w:val="bottom"/>
          </w:tcPr>
          <w:p w14:paraId="734DE8E0" w14:textId="77777777" w:rsidR="00A52778" w:rsidRPr="00460F9E" w:rsidRDefault="00A52778" w:rsidP="00FC3F8E">
            <w:pPr>
              <w:spacing w:line="0" w:lineRule="atLeast"/>
              <w:ind w:left="100"/>
              <w:rPr>
                <w:rFonts w:eastAsia="Times New Roman" w:cs="Times New Roman"/>
                <w:b/>
              </w:rPr>
            </w:pPr>
          </w:p>
        </w:tc>
      </w:tr>
      <w:tr w:rsidR="00A52778" w:rsidRPr="00460F9E" w14:paraId="4F53A7AC" w14:textId="77777777" w:rsidTr="00FC3F8E">
        <w:trPr>
          <w:gridAfter w:val="1"/>
          <w:wAfter w:w="720" w:type="dxa"/>
          <w:trHeight w:val="230"/>
        </w:trPr>
        <w:tc>
          <w:tcPr>
            <w:tcW w:w="400" w:type="dxa"/>
            <w:tcBorders>
              <w:left w:val="single" w:sz="8" w:space="0" w:color="auto"/>
              <w:right w:val="single" w:sz="8" w:space="0" w:color="auto"/>
            </w:tcBorders>
            <w:shd w:val="clear" w:color="auto" w:fill="auto"/>
            <w:vAlign w:val="bottom"/>
          </w:tcPr>
          <w:p w14:paraId="05AE3B0E"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081C4289" w14:textId="77777777" w:rsidR="00A52778" w:rsidRPr="00460F9E" w:rsidRDefault="00A52778" w:rsidP="00FC3F8E">
            <w:pPr>
              <w:spacing w:line="0" w:lineRule="atLeast"/>
              <w:rPr>
                <w:rFonts w:eastAsia="Times New Roman" w:cs="Times New Roman"/>
                <w:b/>
              </w:rPr>
            </w:pPr>
          </w:p>
        </w:tc>
        <w:tc>
          <w:tcPr>
            <w:tcW w:w="940" w:type="dxa"/>
            <w:tcBorders>
              <w:right w:val="single" w:sz="8" w:space="0" w:color="auto"/>
            </w:tcBorders>
            <w:shd w:val="clear" w:color="auto" w:fill="auto"/>
            <w:vAlign w:val="bottom"/>
          </w:tcPr>
          <w:p w14:paraId="3F3128F5"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5BFD18C4" w14:textId="77777777" w:rsidR="00A52778" w:rsidRPr="00460F9E" w:rsidRDefault="00A52778" w:rsidP="00FC3F8E">
            <w:pPr>
              <w:spacing w:line="0" w:lineRule="atLeast"/>
              <w:rPr>
                <w:rFonts w:eastAsia="Times New Roman" w:cs="Times New Roman"/>
                <w:b/>
              </w:rPr>
            </w:pPr>
          </w:p>
        </w:tc>
        <w:tc>
          <w:tcPr>
            <w:tcW w:w="1100" w:type="dxa"/>
            <w:tcBorders>
              <w:right w:val="single" w:sz="8" w:space="0" w:color="auto"/>
            </w:tcBorders>
            <w:shd w:val="clear" w:color="auto" w:fill="auto"/>
            <w:vAlign w:val="bottom"/>
          </w:tcPr>
          <w:p w14:paraId="17AC0846" w14:textId="77777777" w:rsidR="00A52778" w:rsidRPr="00460F9E" w:rsidRDefault="00A52778" w:rsidP="00FC3F8E">
            <w:pPr>
              <w:spacing w:line="0" w:lineRule="atLeast"/>
              <w:rPr>
                <w:rFonts w:eastAsia="Times New Roman" w:cs="Times New Roman"/>
                <w:b/>
              </w:rPr>
            </w:pPr>
          </w:p>
        </w:tc>
        <w:tc>
          <w:tcPr>
            <w:tcW w:w="1700" w:type="dxa"/>
            <w:tcBorders>
              <w:right w:val="single" w:sz="8" w:space="0" w:color="auto"/>
            </w:tcBorders>
            <w:shd w:val="clear" w:color="auto" w:fill="auto"/>
            <w:vAlign w:val="bottom"/>
          </w:tcPr>
          <w:p w14:paraId="3DC61C94" w14:textId="77777777" w:rsidR="00A52778" w:rsidRPr="00460F9E" w:rsidRDefault="00A52778" w:rsidP="00FC3F8E">
            <w:pPr>
              <w:spacing w:line="0" w:lineRule="atLeast"/>
              <w:rPr>
                <w:rFonts w:eastAsia="Times New Roman" w:cs="Times New Roman"/>
                <w:b/>
              </w:rPr>
            </w:pPr>
          </w:p>
        </w:tc>
        <w:tc>
          <w:tcPr>
            <w:tcW w:w="2760" w:type="dxa"/>
            <w:gridSpan w:val="9"/>
            <w:vMerge/>
            <w:tcBorders>
              <w:right w:val="single" w:sz="8" w:space="0" w:color="auto"/>
            </w:tcBorders>
            <w:shd w:val="clear" w:color="auto" w:fill="auto"/>
            <w:vAlign w:val="bottom"/>
          </w:tcPr>
          <w:p w14:paraId="7443279D" w14:textId="77777777" w:rsidR="00A52778" w:rsidRPr="00460F9E" w:rsidRDefault="00A52778" w:rsidP="00FC3F8E">
            <w:pPr>
              <w:spacing w:line="0" w:lineRule="atLeast"/>
              <w:ind w:right="20"/>
              <w:jc w:val="right"/>
              <w:rPr>
                <w:rFonts w:eastAsia="Times New Roman" w:cs="Times New Roman"/>
                <w:b/>
              </w:rPr>
            </w:pPr>
          </w:p>
        </w:tc>
      </w:tr>
      <w:tr w:rsidR="00A52778" w:rsidRPr="00460F9E" w14:paraId="67E0B03C" w14:textId="77777777" w:rsidTr="00FC3F8E">
        <w:trPr>
          <w:gridAfter w:val="1"/>
          <w:wAfter w:w="720" w:type="dxa"/>
          <w:trHeight w:val="231"/>
        </w:trPr>
        <w:tc>
          <w:tcPr>
            <w:tcW w:w="400" w:type="dxa"/>
            <w:tcBorders>
              <w:left w:val="single" w:sz="8" w:space="0" w:color="auto"/>
              <w:right w:val="single" w:sz="8" w:space="0" w:color="auto"/>
            </w:tcBorders>
            <w:shd w:val="clear" w:color="auto" w:fill="auto"/>
            <w:vAlign w:val="bottom"/>
          </w:tcPr>
          <w:p w14:paraId="57545237" w14:textId="77777777" w:rsidR="00A52778" w:rsidRPr="00460F9E" w:rsidRDefault="00A52778" w:rsidP="00FC3F8E">
            <w:pPr>
              <w:spacing w:line="228" w:lineRule="exact"/>
              <w:ind w:left="140"/>
              <w:rPr>
                <w:rFonts w:eastAsia="Times New Roman" w:cs="Times New Roman"/>
                <w:b/>
              </w:rPr>
            </w:pPr>
            <w:r>
              <w:rPr>
                <w:rFonts w:eastAsia="Times New Roman" w:cs="Times New Roman"/>
              </w:rPr>
              <w:t>e</w:t>
            </w:r>
            <w:r w:rsidRPr="00460F9E">
              <w:rPr>
                <w:rFonts w:eastAsia="Times New Roman" w:cs="Times New Roman"/>
              </w:rPr>
              <w:t>.</w:t>
            </w:r>
          </w:p>
        </w:tc>
        <w:tc>
          <w:tcPr>
            <w:tcW w:w="1820" w:type="dxa"/>
            <w:gridSpan w:val="2"/>
            <w:tcBorders>
              <w:right w:val="single" w:sz="8" w:space="0" w:color="auto"/>
            </w:tcBorders>
            <w:shd w:val="clear" w:color="auto" w:fill="auto"/>
            <w:vAlign w:val="bottom"/>
          </w:tcPr>
          <w:p w14:paraId="58E2F4ED" w14:textId="77777777" w:rsidR="00A52778" w:rsidRPr="00460F9E" w:rsidRDefault="00A52778" w:rsidP="00FC3F8E">
            <w:pPr>
              <w:spacing w:line="228" w:lineRule="exact"/>
              <w:rPr>
                <w:rFonts w:eastAsia="Times New Roman" w:cs="Times New Roman"/>
                <w:b/>
              </w:rPr>
            </w:pPr>
            <w:r w:rsidRPr="00460F9E">
              <w:rPr>
                <w:rFonts w:eastAsia="Times New Roman" w:cs="Times New Roman"/>
              </w:rPr>
              <w:t xml:space="preserve">  Termal oksidasyon</w:t>
            </w:r>
          </w:p>
        </w:tc>
        <w:tc>
          <w:tcPr>
            <w:tcW w:w="1980" w:type="dxa"/>
            <w:gridSpan w:val="2"/>
            <w:tcBorders>
              <w:right w:val="single" w:sz="8" w:space="0" w:color="auto"/>
            </w:tcBorders>
            <w:shd w:val="clear" w:color="auto" w:fill="auto"/>
            <w:vAlign w:val="bottom"/>
          </w:tcPr>
          <w:p w14:paraId="15DB05FC" w14:textId="77777777" w:rsidR="00A52778" w:rsidRPr="00460F9E" w:rsidRDefault="00A52778" w:rsidP="00FC3F8E">
            <w:pPr>
              <w:spacing w:line="228" w:lineRule="exact"/>
              <w:ind w:left="8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1700" w:type="dxa"/>
            <w:tcBorders>
              <w:right w:val="single" w:sz="8" w:space="0" w:color="auto"/>
            </w:tcBorders>
            <w:shd w:val="clear" w:color="auto" w:fill="auto"/>
            <w:vAlign w:val="bottom"/>
          </w:tcPr>
          <w:p w14:paraId="0E815EE1" w14:textId="77777777" w:rsidR="00A52778" w:rsidRPr="00460F9E" w:rsidRDefault="00A52778" w:rsidP="00FC3F8E">
            <w:pPr>
              <w:spacing w:line="0" w:lineRule="atLeast"/>
              <w:jc w:val="center"/>
              <w:rPr>
                <w:rFonts w:eastAsia="Times New Roman" w:cs="Times New Roman"/>
                <w:b/>
                <w:w w:val="98"/>
              </w:rPr>
            </w:pPr>
            <w:r w:rsidRPr="00460F9E">
              <w:rPr>
                <w:rFonts w:eastAsia="Times New Roman" w:cs="Times New Roman"/>
                <w:w w:val="98"/>
              </w:rPr>
              <w:t>NH</w:t>
            </w:r>
            <w:r w:rsidRPr="00460F9E">
              <w:rPr>
                <w:rFonts w:eastAsia="Times New Roman" w:cs="Times New Roman"/>
                <w:w w:val="98"/>
                <w:sz w:val="12"/>
              </w:rPr>
              <w:t>3</w:t>
            </w:r>
            <w:r w:rsidRPr="00460F9E">
              <w:rPr>
                <w:rFonts w:eastAsia="Times New Roman" w:cs="Times New Roman"/>
                <w:w w:val="98"/>
              </w:rPr>
              <w:t>, HCN</w:t>
            </w:r>
          </w:p>
        </w:tc>
        <w:tc>
          <w:tcPr>
            <w:tcW w:w="2760" w:type="dxa"/>
            <w:gridSpan w:val="9"/>
            <w:vMerge/>
            <w:tcBorders>
              <w:right w:val="single" w:sz="8" w:space="0" w:color="auto"/>
            </w:tcBorders>
            <w:shd w:val="clear" w:color="auto" w:fill="auto"/>
            <w:vAlign w:val="bottom"/>
          </w:tcPr>
          <w:p w14:paraId="14219869" w14:textId="77777777" w:rsidR="00A52778" w:rsidRPr="00460F9E" w:rsidRDefault="00A52778" w:rsidP="00FC3F8E">
            <w:pPr>
              <w:spacing w:line="228" w:lineRule="exact"/>
              <w:ind w:right="20"/>
              <w:jc w:val="right"/>
              <w:rPr>
                <w:rFonts w:eastAsia="Times New Roman" w:cs="Times New Roman"/>
                <w:b/>
              </w:rPr>
            </w:pPr>
          </w:p>
        </w:tc>
      </w:tr>
      <w:tr w:rsidR="00A52778" w:rsidRPr="00460F9E" w14:paraId="40F823A2" w14:textId="77777777" w:rsidTr="00FC3F8E">
        <w:trPr>
          <w:gridAfter w:val="1"/>
          <w:wAfter w:w="720" w:type="dxa"/>
          <w:trHeight w:val="227"/>
        </w:trPr>
        <w:tc>
          <w:tcPr>
            <w:tcW w:w="400" w:type="dxa"/>
            <w:tcBorders>
              <w:left w:val="single" w:sz="8" w:space="0" w:color="auto"/>
              <w:right w:val="single" w:sz="8" w:space="0" w:color="auto"/>
            </w:tcBorders>
            <w:shd w:val="clear" w:color="auto" w:fill="auto"/>
            <w:vAlign w:val="bottom"/>
          </w:tcPr>
          <w:p w14:paraId="31D5E190" w14:textId="77777777" w:rsidR="00A52778" w:rsidRPr="00460F9E" w:rsidRDefault="00A52778" w:rsidP="00FC3F8E">
            <w:pPr>
              <w:spacing w:line="0" w:lineRule="atLeast"/>
              <w:rPr>
                <w:rFonts w:eastAsia="Times New Roman" w:cs="Times New Roman"/>
                <w:b/>
                <w:sz w:val="19"/>
              </w:rPr>
            </w:pPr>
          </w:p>
        </w:tc>
        <w:tc>
          <w:tcPr>
            <w:tcW w:w="880" w:type="dxa"/>
            <w:shd w:val="clear" w:color="auto" w:fill="auto"/>
            <w:vAlign w:val="bottom"/>
          </w:tcPr>
          <w:p w14:paraId="753B1D23" w14:textId="77777777" w:rsidR="00A52778" w:rsidRPr="00460F9E" w:rsidRDefault="00A52778" w:rsidP="00FC3F8E">
            <w:pPr>
              <w:spacing w:line="0" w:lineRule="atLeast"/>
              <w:rPr>
                <w:rFonts w:eastAsia="Times New Roman" w:cs="Times New Roman"/>
                <w:b/>
                <w:sz w:val="19"/>
              </w:rPr>
            </w:pPr>
          </w:p>
        </w:tc>
        <w:tc>
          <w:tcPr>
            <w:tcW w:w="940" w:type="dxa"/>
            <w:tcBorders>
              <w:right w:val="single" w:sz="8" w:space="0" w:color="auto"/>
            </w:tcBorders>
            <w:shd w:val="clear" w:color="auto" w:fill="auto"/>
            <w:vAlign w:val="bottom"/>
          </w:tcPr>
          <w:p w14:paraId="77D9C105" w14:textId="77777777" w:rsidR="00A52778" w:rsidRPr="00460F9E" w:rsidRDefault="00A52778" w:rsidP="00FC3F8E">
            <w:pPr>
              <w:spacing w:line="0" w:lineRule="atLeast"/>
              <w:rPr>
                <w:rFonts w:eastAsia="Times New Roman" w:cs="Times New Roman"/>
                <w:b/>
                <w:sz w:val="19"/>
              </w:rPr>
            </w:pPr>
          </w:p>
        </w:tc>
        <w:tc>
          <w:tcPr>
            <w:tcW w:w="880" w:type="dxa"/>
            <w:shd w:val="clear" w:color="auto" w:fill="auto"/>
            <w:vAlign w:val="bottom"/>
          </w:tcPr>
          <w:p w14:paraId="77CEE003" w14:textId="77777777" w:rsidR="00A52778" w:rsidRPr="00460F9E" w:rsidRDefault="00A52778" w:rsidP="00FC3F8E">
            <w:pPr>
              <w:spacing w:line="0" w:lineRule="atLeast"/>
              <w:rPr>
                <w:rFonts w:eastAsia="Times New Roman" w:cs="Times New Roman"/>
                <w:b/>
                <w:sz w:val="19"/>
              </w:rPr>
            </w:pPr>
          </w:p>
        </w:tc>
        <w:tc>
          <w:tcPr>
            <w:tcW w:w="1100" w:type="dxa"/>
            <w:tcBorders>
              <w:right w:val="single" w:sz="8" w:space="0" w:color="auto"/>
            </w:tcBorders>
            <w:shd w:val="clear" w:color="auto" w:fill="auto"/>
            <w:vAlign w:val="bottom"/>
          </w:tcPr>
          <w:p w14:paraId="5674D564" w14:textId="77777777" w:rsidR="00A52778" w:rsidRPr="00460F9E" w:rsidRDefault="00A52778" w:rsidP="00FC3F8E">
            <w:pPr>
              <w:spacing w:line="0" w:lineRule="atLeast"/>
              <w:rPr>
                <w:rFonts w:eastAsia="Times New Roman" w:cs="Times New Roman"/>
                <w:b/>
                <w:sz w:val="19"/>
              </w:rPr>
            </w:pPr>
          </w:p>
        </w:tc>
        <w:tc>
          <w:tcPr>
            <w:tcW w:w="1700" w:type="dxa"/>
            <w:tcBorders>
              <w:right w:val="single" w:sz="8" w:space="0" w:color="auto"/>
            </w:tcBorders>
            <w:shd w:val="clear" w:color="auto" w:fill="auto"/>
            <w:vAlign w:val="bottom"/>
          </w:tcPr>
          <w:p w14:paraId="5B2B325F" w14:textId="77777777" w:rsidR="00A52778" w:rsidRPr="00460F9E" w:rsidRDefault="00A52778" w:rsidP="00FC3F8E">
            <w:pPr>
              <w:spacing w:line="0" w:lineRule="atLeast"/>
              <w:rPr>
                <w:rFonts w:eastAsia="Times New Roman" w:cs="Times New Roman"/>
                <w:b/>
                <w:sz w:val="19"/>
              </w:rPr>
            </w:pPr>
          </w:p>
        </w:tc>
        <w:tc>
          <w:tcPr>
            <w:tcW w:w="2760" w:type="dxa"/>
            <w:gridSpan w:val="9"/>
            <w:vMerge/>
            <w:tcBorders>
              <w:right w:val="single" w:sz="8" w:space="0" w:color="auto"/>
            </w:tcBorders>
            <w:shd w:val="clear" w:color="auto" w:fill="auto"/>
            <w:vAlign w:val="bottom"/>
          </w:tcPr>
          <w:p w14:paraId="23384692" w14:textId="77777777" w:rsidR="00A52778" w:rsidRPr="00460F9E" w:rsidRDefault="00A52778" w:rsidP="00FC3F8E">
            <w:pPr>
              <w:spacing w:line="228" w:lineRule="exact"/>
              <w:ind w:right="20"/>
              <w:jc w:val="right"/>
              <w:rPr>
                <w:rFonts w:eastAsia="Times New Roman" w:cs="Times New Roman"/>
                <w:b/>
              </w:rPr>
            </w:pPr>
          </w:p>
        </w:tc>
      </w:tr>
      <w:tr w:rsidR="00A52778" w:rsidRPr="00460F9E" w14:paraId="786C7C14" w14:textId="77777777" w:rsidTr="00FC3F8E">
        <w:trPr>
          <w:gridAfter w:val="1"/>
          <w:wAfter w:w="720" w:type="dxa"/>
          <w:trHeight w:val="230"/>
        </w:trPr>
        <w:tc>
          <w:tcPr>
            <w:tcW w:w="400" w:type="dxa"/>
            <w:tcBorders>
              <w:left w:val="single" w:sz="8" w:space="0" w:color="auto"/>
              <w:right w:val="single" w:sz="8" w:space="0" w:color="auto"/>
            </w:tcBorders>
            <w:shd w:val="clear" w:color="auto" w:fill="auto"/>
            <w:vAlign w:val="bottom"/>
          </w:tcPr>
          <w:p w14:paraId="0A7BDA77"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4C78CE30" w14:textId="77777777" w:rsidR="00A52778" w:rsidRPr="00460F9E" w:rsidRDefault="00A52778" w:rsidP="00FC3F8E">
            <w:pPr>
              <w:spacing w:line="0" w:lineRule="atLeast"/>
              <w:rPr>
                <w:rFonts w:eastAsia="Times New Roman" w:cs="Times New Roman"/>
                <w:b/>
              </w:rPr>
            </w:pPr>
          </w:p>
        </w:tc>
        <w:tc>
          <w:tcPr>
            <w:tcW w:w="940" w:type="dxa"/>
            <w:tcBorders>
              <w:right w:val="single" w:sz="8" w:space="0" w:color="auto"/>
            </w:tcBorders>
            <w:shd w:val="clear" w:color="auto" w:fill="auto"/>
            <w:vAlign w:val="bottom"/>
          </w:tcPr>
          <w:p w14:paraId="518AE1CD"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5805518F" w14:textId="77777777" w:rsidR="00A52778" w:rsidRPr="00460F9E" w:rsidRDefault="00A52778" w:rsidP="00FC3F8E">
            <w:pPr>
              <w:spacing w:line="0" w:lineRule="atLeast"/>
              <w:rPr>
                <w:rFonts w:eastAsia="Times New Roman" w:cs="Times New Roman"/>
                <w:b/>
              </w:rPr>
            </w:pPr>
          </w:p>
        </w:tc>
        <w:tc>
          <w:tcPr>
            <w:tcW w:w="1100" w:type="dxa"/>
            <w:tcBorders>
              <w:right w:val="single" w:sz="8" w:space="0" w:color="auto"/>
            </w:tcBorders>
            <w:shd w:val="clear" w:color="auto" w:fill="auto"/>
            <w:vAlign w:val="bottom"/>
          </w:tcPr>
          <w:p w14:paraId="5F16BDDA" w14:textId="77777777" w:rsidR="00A52778" w:rsidRPr="00460F9E" w:rsidRDefault="00A52778" w:rsidP="00FC3F8E">
            <w:pPr>
              <w:spacing w:line="0" w:lineRule="atLeast"/>
              <w:rPr>
                <w:rFonts w:eastAsia="Times New Roman" w:cs="Times New Roman"/>
                <w:b/>
              </w:rPr>
            </w:pPr>
          </w:p>
        </w:tc>
        <w:tc>
          <w:tcPr>
            <w:tcW w:w="1700" w:type="dxa"/>
            <w:tcBorders>
              <w:right w:val="single" w:sz="8" w:space="0" w:color="auto"/>
            </w:tcBorders>
            <w:shd w:val="clear" w:color="auto" w:fill="auto"/>
            <w:vAlign w:val="bottom"/>
          </w:tcPr>
          <w:p w14:paraId="067E4B69" w14:textId="77777777" w:rsidR="00A52778" w:rsidRPr="00460F9E" w:rsidRDefault="00A52778" w:rsidP="00FC3F8E">
            <w:pPr>
              <w:spacing w:line="0" w:lineRule="atLeast"/>
              <w:rPr>
                <w:rFonts w:eastAsia="Times New Roman" w:cs="Times New Roman"/>
                <w:b/>
              </w:rPr>
            </w:pPr>
          </w:p>
        </w:tc>
        <w:tc>
          <w:tcPr>
            <w:tcW w:w="2760" w:type="dxa"/>
            <w:gridSpan w:val="9"/>
            <w:vMerge/>
            <w:tcBorders>
              <w:right w:val="single" w:sz="8" w:space="0" w:color="auto"/>
            </w:tcBorders>
            <w:shd w:val="clear" w:color="auto" w:fill="auto"/>
            <w:vAlign w:val="bottom"/>
          </w:tcPr>
          <w:p w14:paraId="361FAE3F" w14:textId="77777777" w:rsidR="00A52778" w:rsidRPr="00460F9E" w:rsidRDefault="00A52778" w:rsidP="00FC3F8E">
            <w:pPr>
              <w:spacing w:line="0" w:lineRule="atLeast"/>
              <w:ind w:left="100"/>
              <w:rPr>
                <w:rFonts w:eastAsia="Times New Roman" w:cs="Times New Roman"/>
                <w:b/>
              </w:rPr>
            </w:pPr>
          </w:p>
        </w:tc>
      </w:tr>
      <w:tr w:rsidR="00A52778" w:rsidRPr="00460F9E" w14:paraId="69626C69" w14:textId="77777777" w:rsidTr="00FC3F8E">
        <w:trPr>
          <w:gridAfter w:val="1"/>
          <w:wAfter w:w="720" w:type="dxa"/>
          <w:trHeight w:val="230"/>
        </w:trPr>
        <w:tc>
          <w:tcPr>
            <w:tcW w:w="400" w:type="dxa"/>
            <w:tcBorders>
              <w:left w:val="single" w:sz="8" w:space="0" w:color="auto"/>
              <w:right w:val="single" w:sz="8" w:space="0" w:color="auto"/>
            </w:tcBorders>
            <w:shd w:val="clear" w:color="auto" w:fill="auto"/>
            <w:vAlign w:val="bottom"/>
          </w:tcPr>
          <w:p w14:paraId="74E0F942"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75C74BB0" w14:textId="77777777" w:rsidR="00A52778" w:rsidRPr="00460F9E" w:rsidRDefault="00A52778" w:rsidP="00FC3F8E">
            <w:pPr>
              <w:spacing w:line="0" w:lineRule="atLeast"/>
              <w:rPr>
                <w:rFonts w:eastAsia="Times New Roman" w:cs="Times New Roman"/>
                <w:b/>
              </w:rPr>
            </w:pPr>
          </w:p>
        </w:tc>
        <w:tc>
          <w:tcPr>
            <w:tcW w:w="940" w:type="dxa"/>
            <w:tcBorders>
              <w:right w:val="single" w:sz="8" w:space="0" w:color="auto"/>
            </w:tcBorders>
            <w:shd w:val="clear" w:color="auto" w:fill="auto"/>
            <w:vAlign w:val="bottom"/>
          </w:tcPr>
          <w:p w14:paraId="79AFA2BC"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6202F39E" w14:textId="77777777" w:rsidR="00A52778" w:rsidRPr="00460F9E" w:rsidRDefault="00A52778" w:rsidP="00FC3F8E">
            <w:pPr>
              <w:spacing w:line="0" w:lineRule="atLeast"/>
              <w:rPr>
                <w:rFonts w:eastAsia="Times New Roman" w:cs="Times New Roman"/>
                <w:b/>
              </w:rPr>
            </w:pPr>
          </w:p>
        </w:tc>
        <w:tc>
          <w:tcPr>
            <w:tcW w:w="1100" w:type="dxa"/>
            <w:tcBorders>
              <w:right w:val="single" w:sz="8" w:space="0" w:color="auto"/>
            </w:tcBorders>
            <w:shd w:val="clear" w:color="auto" w:fill="auto"/>
            <w:vAlign w:val="bottom"/>
          </w:tcPr>
          <w:p w14:paraId="2648CED7" w14:textId="77777777" w:rsidR="00A52778" w:rsidRPr="00460F9E" w:rsidRDefault="00A52778" w:rsidP="00FC3F8E">
            <w:pPr>
              <w:spacing w:line="0" w:lineRule="atLeast"/>
              <w:rPr>
                <w:rFonts w:eastAsia="Times New Roman" w:cs="Times New Roman"/>
                <w:b/>
              </w:rPr>
            </w:pPr>
          </w:p>
        </w:tc>
        <w:tc>
          <w:tcPr>
            <w:tcW w:w="1700" w:type="dxa"/>
            <w:tcBorders>
              <w:right w:val="single" w:sz="8" w:space="0" w:color="auto"/>
            </w:tcBorders>
            <w:shd w:val="clear" w:color="auto" w:fill="auto"/>
            <w:vAlign w:val="bottom"/>
          </w:tcPr>
          <w:p w14:paraId="5233CACC" w14:textId="77777777" w:rsidR="00A52778" w:rsidRPr="00460F9E" w:rsidRDefault="00A52778" w:rsidP="00FC3F8E">
            <w:pPr>
              <w:spacing w:line="0" w:lineRule="atLeast"/>
              <w:rPr>
                <w:rFonts w:eastAsia="Times New Roman" w:cs="Times New Roman"/>
                <w:b/>
              </w:rPr>
            </w:pPr>
          </w:p>
        </w:tc>
        <w:tc>
          <w:tcPr>
            <w:tcW w:w="2760" w:type="dxa"/>
            <w:gridSpan w:val="9"/>
            <w:vMerge/>
            <w:tcBorders>
              <w:right w:val="single" w:sz="8" w:space="0" w:color="auto"/>
            </w:tcBorders>
            <w:shd w:val="clear" w:color="auto" w:fill="auto"/>
            <w:vAlign w:val="bottom"/>
          </w:tcPr>
          <w:p w14:paraId="27F7D2E5" w14:textId="77777777" w:rsidR="00A52778" w:rsidRPr="00460F9E" w:rsidRDefault="00A52778" w:rsidP="00FC3F8E">
            <w:pPr>
              <w:spacing w:line="0" w:lineRule="atLeast"/>
              <w:ind w:right="20"/>
              <w:jc w:val="right"/>
              <w:rPr>
                <w:rFonts w:eastAsia="Times New Roman" w:cs="Times New Roman"/>
                <w:b/>
              </w:rPr>
            </w:pPr>
          </w:p>
        </w:tc>
      </w:tr>
      <w:tr w:rsidR="00A52778" w:rsidRPr="00460F9E" w14:paraId="0E8E6985" w14:textId="77777777" w:rsidTr="00FC3F8E">
        <w:trPr>
          <w:gridAfter w:val="1"/>
          <w:wAfter w:w="720" w:type="dxa"/>
          <w:trHeight w:val="230"/>
        </w:trPr>
        <w:tc>
          <w:tcPr>
            <w:tcW w:w="400" w:type="dxa"/>
            <w:tcBorders>
              <w:left w:val="single" w:sz="8" w:space="0" w:color="auto"/>
              <w:right w:val="single" w:sz="8" w:space="0" w:color="auto"/>
            </w:tcBorders>
            <w:shd w:val="clear" w:color="auto" w:fill="auto"/>
            <w:vAlign w:val="bottom"/>
          </w:tcPr>
          <w:p w14:paraId="7FE5F472"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33DFC6BB" w14:textId="77777777" w:rsidR="00A52778" w:rsidRPr="00460F9E" w:rsidRDefault="00A52778" w:rsidP="00FC3F8E">
            <w:pPr>
              <w:spacing w:line="0" w:lineRule="atLeast"/>
              <w:rPr>
                <w:rFonts w:eastAsia="Times New Roman" w:cs="Times New Roman"/>
                <w:b/>
              </w:rPr>
            </w:pPr>
          </w:p>
        </w:tc>
        <w:tc>
          <w:tcPr>
            <w:tcW w:w="940" w:type="dxa"/>
            <w:tcBorders>
              <w:right w:val="single" w:sz="8" w:space="0" w:color="auto"/>
            </w:tcBorders>
            <w:shd w:val="clear" w:color="auto" w:fill="auto"/>
            <w:vAlign w:val="bottom"/>
          </w:tcPr>
          <w:p w14:paraId="2AD7BD97" w14:textId="77777777" w:rsidR="00A52778" w:rsidRPr="00460F9E" w:rsidRDefault="00A52778" w:rsidP="00FC3F8E">
            <w:pPr>
              <w:spacing w:line="0" w:lineRule="atLeast"/>
              <w:rPr>
                <w:rFonts w:eastAsia="Times New Roman" w:cs="Times New Roman"/>
                <w:b/>
              </w:rPr>
            </w:pPr>
          </w:p>
        </w:tc>
        <w:tc>
          <w:tcPr>
            <w:tcW w:w="880" w:type="dxa"/>
            <w:shd w:val="clear" w:color="auto" w:fill="auto"/>
            <w:vAlign w:val="bottom"/>
          </w:tcPr>
          <w:p w14:paraId="3191128A" w14:textId="77777777" w:rsidR="00A52778" w:rsidRPr="00460F9E" w:rsidRDefault="00A52778" w:rsidP="00FC3F8E">
            <w:pPr>
              <w:spacing w:line="0" w:lineRule="atLeast"/>
              <w:rPr>
                <w:rFonts w:eastAsia="Times New Roman" w:cs="Times New Roman"/>
                <w:b/>
              </w:rPr>
            </w:pPr>
          </w:p>
        </w:tc>
        <w:tc>
          <w:tcPr>
            <w:tcW w:w="1100" w:type="dxa"/>
            <w:tcBorders>
              <w:right w:val="single" w:sz="8" w:space="0" w:color="auto"/>
            </w:tcBorders>
            <w:shd w:val="clear" w:color="auto" w:fill="auto"/>
            <w:vAlign w:val="bottom"/>
          </w:tcPr>
          <w:p w14:paraId="2580F2F4" w14:textId="77777777" w:rsidR="00A52778" w:rsidRPr="00460F9E" w:rsidRDefault="00A52778" w:rsidP="00FC3F8E">
            <w:pPr>
              <w:spacing w:line="0" w:lineRule="atLeast"/>
              <w:rPr>
                <w:rFonts w:eastAsia="Times New Roman" w:cs="Times New Roman"/>
                <w:b/>
              </w:rPr>
            </w:pPr>
          </w:p>
        </w:tc>
        <w:tc>
          <w:tcPr>
            <w:tcW w:w="1700" w:type="dxa"/>
            <w:tcBorders>
              <w:right w:val="single" w:sz="8" w:space="0" w:color="auto"/>
            </w:tcBorders>
            <w:shd w:val="clear" w:color="auto" w:fill="auto"/>
            <w:vAlign w:val="bottom"/>
          </w:tcPr>
          <w:p w14:paraId="5EF544AB" w14:textId="77777777" w:rsidR="00A52778" w:rsidRPr="00460F9E" w:rsidRDefault="00A52778" w:rsidP="00FC3F8E">
            <w:pPr>
              <w:spacing w:line="0" w:lineRule="atLeast"/>
              <w:rPr>
                <w:rFonts w:eastAsia="Times New Roman" w:cs="Times New Roman"/>
                <w:b/>
              </w:rPr>
            </w:pPr>
          </w:p>
        </w:tc>
        <w:tc>
          <w:tcPr>
            <w:tcW w:w="2760" w:type="dxa"/>
            <w:gridSpan w:val="9"/>
            <w:vMerge/>
            <w:tcBorders>
              <w:right w:val="single" w:sz="8" w:space="0" w:color="auto"/>
            </w:tcBorders>
            <w:shd w:val="clear" w:color="auto" w:fill="auto"/>
            <w:vAlign w:val="bottom"/>
          </w:tcPr>
          <w:p w14:paraId="02583FA6" w14:textId="77777777" w:rsidR="00A52778" w:rsidRPr="00460F9E" w:rsidRDefault="00A52778" w:rsidP="00FC3F8E">
            <w:pPr>
              <w:spacing w:line="0" w:lineRule="atLeast"/>
              <w:ind w:left="100"/>
              <w:rPr>
                <w:rFonts w:eastAsia="Times New Roman" w:cs="Times New Roman"/>
                <w:b/>
              </w:rPr>
            </w:pPr>
          </w:p>
        </w:tc>
      </w:tr>
      <w:tr w:rsidR="00A52778" w:rsidRPr="00460F9E" w14:paraId="009E7F81" w14:textId="77777777" w:rsidTr="00FC3F8E">
        <w:trPr>
          <w:gridAfter w:val="1"/>
          <w:wAfter w:w="720" w:type="dxa"/>
          <w:trHeight w:val="235"/>
        </w:trPr>
        <w:tc>
          <w:tcPr>
            <w:tcW w:w="400" w:type="dxa"/>
            <w:tcBorders>
              <w:left w:val="single" w:sz="8" w:space="0" w:color="auto"/>
              <w:bottom w:val="single" w:sz="8" w:space="0" w:color="auto"/>
              <w:right w:val="single" w:sz="8" w:space="0" w:color="auto"/>
            </w:tcBorders>
            <w:shd w:val="clear" w:color="auto" w:fill="auto"/>
            <w:vAlign w:val="bottom"/>
          </w:tcPr>
          <w:p w14:paraId="0872DF3A" w14:textId="77777777" w:rsidR="00A52778" w:rsidRPr="00460F9E" w:rsidRDefault="00A52778" w:rsidP="00FC3F8E">
            <w:pPr>
              <w:spacing w:line="0" w:lineRule="atLeast"/>
              <w:rPr>
                <w:rFonts w:eastAsia="Times New Roman" w:cs="Times New Roman"/>
                <w:b/>
              </w:rPr>
            </w:pPr>
          </w:p>
        </w:tc>
        <w:tc>
          <w:tcPr>
            <w:tcW w:w="880" w:type="dxa"/>
            <w:tcBorders>
              <w:bottom w:val="single" w:sz="8" w:space="0" w:color="auto"/>
            </w:tcBorders>
            <w:shd w:val="clear" w:color="auto" w:fill="auto"/>
            <w:vAlign w:val="bottom"/>
          </w:tcPr>
          <w:p w14:paraId="39EA5843" w14:textId="77777777" w:rsidR="00A52778" w:rsidRPr="00460F9E" w:rsidRDefault="00A52778" w:rsidP="00FC3F8E">
            <w:pPr>
              <w:spacing w:line="0" w:lineRule="atLeast"/>
              <w:rPr>
                <w:rFonts w:eastAsia="Times New Roman" w:cs="Times New Roman"/>
                <w:b/>
              </w:rPr>
            </w:pPr>
          </w:p>
        </w:tc>
        <w:tc>
          <w:tcPr>
            <w:tcW w:w="940" w:type="dxa"/>
            <w:tcBorders>
              <w:bottom w:val="single" w:sz="8" w:space="0" w:color="auto"/>
              <w:right w:val="single" w:sz="8" w:space="0" w:color="auto"/>
            </w:tcBorders>
            <w:shd w:val="clear" w:color="auto" w:fill="auto"/>
            <w:vAlign w:val="bottom"/>
          </w:tcPr>
          <w:p w14:paraId="6E48D1E9" w14:textId="77777777" w:rsidR="00A52778" w:rsidRPr="00460F9E" w:rsidRDefault="00A52778" w:rsidP="00FC3F8E">
            <w:pPr>
              <w:spacing w:line="0" w:lineRule="atLeast"/>
              <w:rPr>
                <w:rFonts w:eastAsia="Times New Roman" w:cs="Times New Roman"/>
                <w:b/>
              </w:rPr>
            </w:pPr>
          </w:p>
        </w:tc>
        <w:tc>
          <w:tcPr>
            <w:tcW w:w="880" w:type="dxa"/>
            <w:tcBorders>
              <w:bottom w:val="single" w:sz="8" w:space="0" w:color="auto"/>
            </w:tcBorders>
            <w:shd w:val="clear" w:color="auto" w:fill="auto"/>
            <w:vAlign w:val="bottom"/>
          </w:tcPr>
          <w:p w14:paraId="7AA9D419" w14:textId="77777777" w:rsidR="00A52778" w:rsidRPr="00460F9E" w:rsidRDefault="00A52778" w:rsidP="00FC3F8E">
            <w:pPr>
              <w:spacing w:line="0" w:lineRule="atLeast"/>
              <w:rPr>
                <w:rFonts w:eastAsia="Times New Roman" w:cs="Times New Roman"/>
                <w:b/>
              </w:rPr>
            </w:pPr>
          </w:p>
        </w:tc>
        <w:tc>
          <w:tcPr>
            <w:tcW w:w="1100" w:type="dxa"/>
            <w:tcBorders>
              <w:bottom w:val="single" w:sz="8" w:space="0" w:color="auto"/>
              <w:right w:val="single" w:sz="8" w:space="0" w:color="auto"/>
            </w:tcBorders>
            <w:shd w:val="clear" w:color="auto" w:fill="auto"/>
            <w:vAlign w:val="bottom"/>
          </w:tcPr>
          <w:p w14:paraId="603AB80B" w14:textId="77777777" w:rsidR="00A52778" w:rsidRPr="00460F9E" w:rsidRDefault="00A52778" w:rsidP="00FC3F8E">
            <w:pPr>
              <w:spacing w:line="0" w:lineRule="atLeast"/>
              <w:rPr>
                <w:rFonts w:eastAsia="Times New Roman" w:cs="Times New Roman"/>
                <w:b/>
              </w:rPr>
            </w:pPr>
          </w:p>
        </w:tc>
        <w:tc>
          <w:tcPr>
            <w:tcW w:w="1700" w:type="dxa"/>
            <w:tcBorders>
              <w:bottom w:val="single" w:sz="8" w:space="0" w:color="auto"/>
              <w:right w:val="single" w:sz="8" w:space="0" w:color="auto"/>
            </w:tcBorders>
            <w:shd w:val="clear" w:color="auto" w:fill="auto"/>
            <w:vAlign w:val="bottom"/>
          </w:tcPr>
          <w:p w14:paraId="47B36CAA" w14:textId="77777777" w:rsidR="00A52778" w:rsidRPr="00460F9E" w:rsidRDefault="00A52778" w:rsidP="00FC3F8E">
            <w:pPr>
              <w:spacing w:line="0" w:lineRule="atLeast"/>
              <w:rPr>
                <w:rFonts w:eastAsia="Times New Roman" w:cs="Times New Roman"/>
                <w:b/>
              </w:rPr>
            </w:pPr>
          </w:p>
        </w:tc>
        <w:tc>
          <w:tcPr>
            <w:tcW w:w="2760" w:type="dxa"/>
            <w:gridSpan w:val="9"/>
            <w:vMerge/>
            <w:tcBorders>
              <w:bottom w:val="single" w:sz="8" w:space="0" w:color="auto"/>
              <w:right w:val="single" w:sz="8" w:space="0" w:color="auto"/>
            </w:tcBorders>
            <w:shd w:val="clear" w:color="auto" w:fill="auto"/>
            <w:vAlign w:val="bottom"/>
          </w:tcPr>
          <w:p w14:paraId="495C9A76" w14:textId="77777777" w:rsidR="00A52778" w:rsidRPr="00460F9E" w:rsidRDefault="00A52778" w:rsidP="00FC3F8E">
            <w:pPr>
              <w:spacing w:line="0" w:lineRule="atLeast"/>
              <w:rPr>
                <w:rFonts w:eastAsia="Times New Roman" w:cs="Times New Roman"/>
                <w:b/>
              </w:rPr>
            </w:pPr>
          </w:p>
        </w:tc>
      </w:tr>
    </w:tbl>
    <w:p w14:paraId="5B8E3B26" w14:textId="77777777" w:rsidR="00A52778" w:rsidRPr="00460F9E" w:rsidRDefault="00A52778" w:rsidP="00A52778">
      <w:pPr>
        <w:spacing w:line="20" w:lineRule="exact"/>
        <w:rPr>
          <w:rFonts w:eastAsia="Times New Roman" w:cs="Times New Roman"/>
          <w:b/>
        </w:rPr>
      </w:pPr>
      <w:r w:rsidRPr="00460F9E">
        <w:rPr>
          <w:rFonts w:eastAsia="Times New Roman" w:cs="Times New Roman"/>
          <w:b/>
          <w:noProof/>
          <w:lang w:val="tr-TR" w:eastAsia="tr-TR"/>
        </w:rPr>
        <mc:AlternateContent>
          <mc:Choice Requires="wps">
            <w:drawing>
              <wp:anchor distT="0" distB="0" distL="114300" distR="114300" simplePos="0" relativeHeight="251669504" behindDoc="1" locked="0" layoutInCell="1" allowOverlap="1" wp14:anchorId="23CD761A" wp14:editId="1C389BB7">
                <wp:simplePos x="0" y="0"/>
                <wp:positionH relativeFrom="column">
                  <wp:posOffset>5955030</wp:posOffset>
                </wp:positionH>
                <wp:positionV relativeFrom="paragraph">
                  <wp:posOffset>-8890</wp:posOffset>
                </wp:positionV>
                <wp:extent cx="12700" cy="12065"/>
                <wp:effectExtent l="1905" t="0" r="4445" b="0"/>
                <wp:wrapNone/>
                <wp:docPr id="36"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9741E" id="Dikdörtgen 36" o:spid="_x0000_s1026" style="position:absolute;margin-left:468.9pt;margin-top:-.7pt;width:1pt;height:.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" fillcolor="black" strokecolor="white"/>
            </w:pict>
          </mc:Fallback>
        </mc:AlternateContent>
      </w:r>
    </w:p>
    <w:p w14:paraId="7A7FFEFD" w14:textId="77777777" w:rsidR="00A52778" w:rsidRDefault="00A52778" w:rsidP="00A52778">
      <w:pPr>
        <w:spacing w:line="200" w:lineRule="exact"/>
        <w:rPr>
          <w:rFonts w:eastAsia="Times New Roman" w:cs="Times New Roman"/>
          <w:b/>
        </w:rPr>
      </w:pPr>
    </w:p>
    <w:p w14:paraId="1B662194" w14:textId="77777777" w:rsidR="00A52778" w:rsidRDefault="00A52778" w:rsidP="00A52778">
      <w:pPr>
        <w:spacing w:line="200" w:lineRule="exact"/>
        <w:rPr>
          <w:rFonts w:eastAsia="Times New Roman" w:cs="Times New Roman"/>
          <w:b/>
        </w:rPr>
      </w:pPr>
    </w:p>
    <w:p w14:paraId="3822F35F" w14:textId="77777777" w:rsidR="00A52778" w:rsidRDefault="00A52778" w:rsidP="00A52778">
      <w:pPr>
        <w:spacing w:line="200" w:lineRule="exact"/>
        <w:rPr>
          <w:rFonts w:eastAsia="Times New Roman" w:cs="Times New Roman"/>
          <w:b/>
        </w:rPr>
      </w:pPr>
    </w:p>
    <w:p w14:paraId="2FDF5DBA" w14:textId="77777777" w:rsidR="00A52778" w:rsidRDefault="00A52778" w:rsidP="00A52778">
      <w:pPr>
        <w:spacing w:line="200" w:lineRule="exact"/>
        <w:rPr>
          <w:rFonts w:eastAsia="Times New Roman" w:cs="Times New Roman"/>
          <w:b/>
        </w:rPr>
      </w:pPr>
    </w:p>
    <w:p w14:paraId="271B76B9" w14:textId="77777777" w:rsidR="00A52778" w:rsidRDefault="00A52778" w:rsidP="00A52778">
      <w:pPr>
        <w:spacing w:line="200" w:lineRule="exact"/>
        <w:rPr>
          <w:rFonts w:eastAsia="Times New Roman" w:cs="Times New Roman"/>
          <w:b/>
        </w:rPr>
      </w:pPr>
    </w:p>
    <w:p w14:paraId="63A65BFD" w14:textId="77777777" w:rsidR="00A52778" w:rsidRPr="00460F9E" w:rsidRDefault="00A52778" w:rsidP="00A52778">
      <w:pPr>
        <w:spacing w:line="200" w:lineRule="exact"/>
        <w:rPr>
          <w:rFonts w:eastAsia="Times New Roman" w:cs="Times New Roman"/>
          <w:b/>
        </w:rPr>
      </w:pPr>
    </w:p>
    <w:p w14:paraId="0023EF60" w14:textId="77777777" w:rsidR="00A52778" w:rsidRPr="00460F9E" w:rsidRDefault="00A52778" w:rsidP="00A52778">
      <w:pPr>
        <w:spacing w:line="200" w:lineRule="exact"/>
        <w:rPr>
          <w:rFonts w:eastAsia="Times New Roman" w:cs="Times New Roman"/>
          <w:b/>
        </w:rPr>
      </w:pPr>
    </w:p>
    <w:p w14:paraId="7DA2F004" w14:textId="77777777" w:rsidR="00A52778" w:rsidRPr="00460F9E" w:rsidRDefault="00A52778" w:rsidP="00A52778">
      <w:pPr>
        <w:spacing w:line="200" w:lineRule="exact"/>
        <w:rPr>
          <w:rFonts w:eastAsia="Times New Roman" w:cs="Times New Roman"/>
          <w:b/>
        </w:rPr>
      </w:pPr>
    </w:p>
    <w:p w14:paraId="6EDEC7DB" w14:textId="77777777" w:rsidR="00A52778" w:rsidRPr="00460F9E" w:rsidRDefault="00A52778" w:rsidP="00A52778">
      <w:pPr>
        <w:spacing w:line="200" w:lineRule="exact"/>
        <w:rPr>
          <w:rFonts w:eastAsia="Times New Roman" w:cs="Times New Roman"/>
          <w:b/>
        </w:rPr>
      </w:pPr>
    </w:p>
    <w:p w14:paraId="73A61544" w14:textId="77777777" w:rsidR="00A52778" w:rsidRPr="00460F9E" w:rsidRDefault="00A52778" w:rsidP="00A52778">
      <w:pPr>
        <w:spacing w:line="200" w:lineRule="exact"/>
        <w:rPr>
          <w:rFonts w:eastAsia="Times New Roman" w:cs="Times New Roman"/>
          <w:b/>
        </w:rPr>
      </w:pPr>
    </w:p>
    <w:p w14:paraId="458AC385" w14:textId="77777777" w:rsidR="00A52778" w:rsidRPr="00460F9E" w:rsidRDefault="00A52778" w:rsidP="00A52778">
      <w:pPr>
        <w:spacing w:line="200" w:lineRule="exact"/>
        <w:rPr>
          <w:rFonts w:eastAsia="Times New Roman" w:cs="Times New Roman"/>
          <w:b/>
        </w:rPr>
      </w:pPr>
    </w:p>
    <w:p w14:paraId="777B9BDB" w14:textId="77777777" w:rsidR="00A52778" w:rsidRPr="00460F9E" w:rsidRDefault="00A52778" w:rsidP="00A52778">
      <w:pPr>
        <w:spacing w:line="200" w:lineRule="exact"/>
        <w:rPr>
          <w:rFonts w:eastAsia="Times New Roman" w:cs="Times New Roman"/>
          <w:b/>
        </w:rPr>
      </w:pPr>
    </w:p>
    <w:p w14:paraId="5C1718E4" w14:textId="77777777" w:rsidR="00A52778" w:rsidRPr="00460F9E" w:rsidRDefault="00A52778" w:rsidP="00A52778">
      <w:pPr>
        <w:spacing w:line="200" w:lineRule="exact"/>
        <w:rPr>
          <w:rFonts w:eastAsia="Times New Roman" w:cs="Times New Roman"/>
          <w:b/>
        </w:rPr>
      </w:pPr>
    </w:p>
    <w:p w14:paraId="7D22D83D" w14:textId="77777777" w:rsidR="00A52778" w:rsidRPr="00460F9E" w:rsidRDefault="00A52778" w:rsidP="00A52778">
      <w:pPr>
        <w:spacing w:line="20" w:lineRule="exact"/>
        <w:rPr>
          <w:rFonts w:eastAsia="Times New Roman" w:cs="Times New Roman"/>
          <w:b/>
        </w:rPr>
      </w:pPr>
    </w:p>
    <w:p w14:paraId="3CCE8E34" w14:textId="77777777" w:rsidR="00A52778" w:rsidRPr="00460F9E" w:rsidRDefault="00A52778" w:rsidP="00A52778">
      <w:pPr>
        <w:spacing w:line="186" w:lineRule="exact"/>
        <w:rPr>
          <w:rFonts w:eastAsia="Times New Roman" w:cs="Times New Roman"/>
          <w:b/>
        </w:rPr>
      </w:pPr>
    </w:p>
    <w:p w14:paraId="5B32260C" w14:textId="77777777" w:rsidR="00A52778" w:rsidRPr="0094304E" w:rsidRDefault="00A52778" w:rsidP="00A52778">
      <w:pPr>
        <w:tabs>
          <w:tab w:val="left" w:pos="1140"/>
        </w:tabs>
        <w:spacing w:line="234" w:lineRule="auto"/>
        <w:ind w:right="826"/>
        <w:rPr>
          <w:rFonts w:eastAsia="Times New Roman" w:cs="Times New Roman"/>
        </w:rPr>
      </w:pPr>
      <w:r w:rsidRPr="0094304E">
        <w:rPr>
          <w:rFonts w:eastAsia="Times New Roman" w:cs="Times New Roman"/>
        </w:rPr>
        <w:t>İnorganik bileşiklerin havaya kanalize emisyonları için MET-ilişkili emisyon seviyeleri (MET-AEL' ler)</w:t>
      </w:r>
    </w:p>
    <w:p w14:paraId="2DEA8D4D" w14:textId="77777777" w:rsidR="00A52778" w:rsidRPr="00460F9E" w:rsidRDefault="00A52778" w:rsidP="00A52778">
      <w:pPr>
        <w:spacing w:line="20" w:lineRule="exact"/>
        <w:rPr>
          <w:rFonts w:eastAsia="Times New Roman" w:cs="Times New Roman"/>
          <w:b/>
        </w:rPr>
      </w:pPr>
      <w:r w:rsidRPr="00460F9E">
        <w:rPr>
          <w:rFonts w:eastAsia="Times New Roman" w:cs="Times New Roman"/>
          <w:b/>
          <w:noProof/>
          <w:lang w:val="tr-TR" w:eastAsia="tr-TR"/>
        </w:rPr>
        <mc:AlternateContent>
          <mc:Choice Requires="wps">
            <w:drawing>
              <wp:anchor distT="0" distB="0" distL="114300" distR="114300" simplePos="0" relativeHeight="251670528" behindDoc="1" locked="0" layoutInCell="1" allowOverlap="1" wp14:anchorId="42BA6DE8" wp14:editId="0517407D">
                <wp:simplePos x="0" y="0"/>
                <wp:positionH relativeFrom="column">
                  <wp:posOffset>635</wp:posOffset>
                </wp:positionH>
                <wp:positionV relativeFrom="paragraph">
                  <wp:posOffset>77470</wp:posOffset>
                </wp:positionV>
                <wp:extent cx="0" cy="5405120"/>
                <wp:effectExtent l="13335" t="11430" r="5715" b="12700"/>
                <wp:wrapNone/>
                <wp:docPr id="34" name="Düz Bağlayıc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512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6511" id="Düz Bağlayıcı 3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1pt" to=".05pt,4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" strokeweight=".25397mm"/>
            </w:pict>
          </mc:Fallback>
        </mc:AlternateContent>
      </w:r>
      <w:r w:rsidRPr="00460F9E">
        <w:rPr>
          <w:rFonts w:eastAsia="Times New Roman" w:cs="Times New Roman"/>
          <w:b/>
          <w:noProof/>
          <w:lang w:val="tr-TR" w:eastAsia="tr-TR"/>
        </w:rPr>
        <mc:AlternateContent>
          <mc:Choice Requires="wps">
            <w:drawing>
              <wp:anchor distT="0" distB="0" distL="114300" distR="114300" simplePos="0" relativeHeight="251671552" behindDoc="1" locked="0" layoutInCell="1" allowOverlap="1" wp14:anchorId="6811C1C4" wp14:editId="0C436B8D">
                <wp:simplePos x="0" y="0"/>
                <wp:positionH relativeFrom="column">
                  <wp:posOffset>5441315</wp:posOffset>
                </wp:positionH>
                <wp:positionV relativeFrom="paragraph">
                  <wp:posOffset>77470</wp:posOffset>
                </wp:positionV>
                <wp:extent cx="0" cy="5405120"/>
                <wp:effectExtent l="5715" t="11430" r="13335" b="12700"/>
                <wp:wrapNone/>
                <wp:docPr id="33" name="Düz Bağlayıcı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512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DDA8B" id="Düz Bağlayıcı 3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5pt,6.1pt" to="428.45pt,4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" strokeweight=".72pt"/>
            </w:pict>
          </mc:Fallback>
        </mc:AlternateContent>
      </w:r>
    </w:p>
    <w:p w14:paraId="1A3B8EE1" w14:textId="77777777" w:rsidR="00A52778" w:rsidRPr="00460F9E" w:rsidRDefault="00A52778" w:rsidP="00A52778">
      <w:pPr>
        <w:spacing w:line="82" w:lineRule="exact"/>
        <w:rPr>
          <w:rFonts w:eastAsia="Times New Roman" w:cs="Times New Roman"/>
          <w:b/>
        </w:rPr>
      </w:pPr>
    </w:p>
    <w:tbl>
      <w:tblPr>
        <w:tblW w:w="0" w:type="auto"/>
        <w:tblLayout w:type="fixed"/>
        <w:tblCellMar>
          <w:left w:w="0" w:type="dxa"/>
          <w:right w:w="0" w:type="dxa"/>
        </w:tblCellMar>
        <w:tblLook w:val="0000" w:firstRow="0" w:lastRow="0" w:firstColumn="0" w:lastColumn="0" w:noHBand="0" w:noVBand="0"/>
      </w:tblPr>
      <w:tblGrid>
        <w:gridCol w:w="4180"/>
        <w:gridCol w:w="4467"/>
      </w:tblGrid>
      <w:tr w:rsidR="00A52778" w:rsidRPr="00460F9E" w14:paraId="383D69C0" w14:textId="77777777" w:rsidTr="00FC3F8E">
        <w:trPr>
          <w:trHeight w:val="255"/>
        </w:trPr>
        <w:tc>
          <w:tcPr>
            <w:tcW w:w="4180" w:type="dxa"/>
            <w:tcBorders>
              <w:top w:val="single" w:sz="8" w:space="0" w:color="auto"/>
              <w:right w:val="single" w:sz="8" w:space="0" w:color="auto"/>
            </w:tcBorders>
            <w:shd w:val="clear" w:color="auto" w:fill="auto"/>
            <w:vAlign w:val="bottom"/>
          </w:tcPr>
          <w:p w14:paraId="79E50149" w14:textId="77777777" w:rsidR="00A52778" w:rsidRPr="00460F9E" w:rsidRDefault="00A52778" w:rsidP="00FC3F8E">
            <w:pPr>
              <w:spacing w:line="0" w:lineRule="atLeast"/>
              <w:rPr>
                <w:rFonts w:eastAsia="Times New Roman" w:cs="Times New Roman"/>
                <w:b/>
              </w:rPr>
            </w:pPr>
          </w:p>
        </w:tc>
        <w:tc>
          <w:tcPr>
            <w:tcW w:w="4467" w:type="dxa"/>
            <w:vMerge w:val="restart"/>
            <w:tcBorders>
              <w:top w:val="single" w:sz="8" w:space="0" w:color="auto"/>
            </w:tcBorders>
            <w:shd w:val="clear" w:color="auto" w:fill="auto"/>
            <w:vAlign w:val="center"/>
          </w:tcPr>
          <w:p w14:paraId="616F4C85" w14:textId="77777777" w:rsidR="00A52778" w:rsidRPr="00460F9E" w:rsidRDefault="00A52778" w:rsidP="00FC3F8E">
            <w:pPr>
              <w:spacing w:line="256" w:lineRule="exact"/>
              <w:jc w:val="center"/>
              <w:rPr>
                <w:rFonts w:eastAsia="Times New Roman" w:cs="Times New Roman"/>
                <w:b/>
                <w:w w:val="98"/>
              </w:rPr>
            </w:pPr>
            <w:r w:rsidRPr="00460F9E">
              <w:rPr>
                <w:rFonts w:eastAsia="Times New Roman" w:cs="Times New Roman"/>
                <w:w w:val="98"/>
              </w:rPr>
              <w:t>MET-AEL (mg/Nm</w:t>
            </w:r>
            <w:r w:rsidRPr="00460F9E">
              <w:rPr>
                <w:rFonts w:eastAsia="Times New Roman" w:cs="Times New Roman"/>
                <w:w w:val="98"/>
                <w:sz w:val="25"/>
                <w:vertAlign w:val="superscript"/>
              </w:rPr>
              <w:t>3</w:t>
            </w:r>
            <w:r w:rsidRPr="00460F9E">
              <w:rPr>
                <w:rFonts w:eastAsia="Times New Roman" w:cs="Times New Roman"/>
                <w:w w:val="98"/>
              </w:rPr>
              <w:t>)</w:t>
            </w:r>
          </w:p>
          <w:p w14:paraId="05D78607" w14:textId="77777777" w:rsidR="00A52778" w:rsidRPr="00460F9E" w:rsidRDefault="00A52778" w:rsidP="00FC3F8E">
            <w:pPr>
              <w:spacing w:line="219" w:lineRule="exact"/>
              <w:jc w:val="center"/>
              <w:rPr>
                <w:rFonts w:eastAsia="Times New Roman" w:cs="Times New Roman"/>
                <w:b/>
                <w:w w:val="98"/>
              </w:rPr>
            </w:pPr>
            <w:r w:rsidRPr="00460F9E">
              <w:rPr>
                <w:rFonts w:eastAsia="Times New Roman" w:cs="Times New Roman"/>
                <w:w w:val="99"/>
              </w:rPr>
              <w:t>(Günlük ortalama veya örnekleme dönemi boyunca ortalama)</w:t>
            </w:r>
          </w:p>
        </w:tc>
      </w:tr>
      <w:tr w:rsidR="00A52778" w:rsidRPr="00460F9E" w14:paraId="1B756E25" w14:textId="77777777" w:rsidTr="00FC3F8E">
        <w:trPr>
          <w:trHeight w:val="219"/>
        </w:trPr>
        <w:tc>
          <w:tcPr>
            <w:tcW w:w="4180" w:type="dxa"/>
            <w:tcBorders>
              <w:right w:val="single" w:sz="8" w:space="0" w:color="auto"/>
            </w:tcBorders>
            <w:shd w:val="clear" w:color="auto" w:fill="auto"/>
            <w:vAlign w:val="bottom"/>
          </w:tcPr>
          <w:p w14:paraId="270EAEDD" w14:textId="77777777" w:rsidR="00A52778" w:rsidRPr="00460F9E" w:rsidRDefault="00A52778" w:rsidP="00FC3F8E">
            <w:pPr>
              <w:spacing w:line="219" w:lineRule="exact"/>
              <w:ind w:left="1160"/>
              <w:rPr>
                <w:rFonts w:eastAsia="Times New Roman" w:cs="Times New Roman"/>
                <w:b/>
              </w:rPr>
            </w:pPr>
            <w:r w:rsidRPr="00460F9E">
              <w:rPr>
                <w:rFonts w:eastAsia="Times New Roman" w:cs="Times New Roman"/>
              </w:rPr>
              <w:t>Maddeler/Parametreler</w:t>
            </w:r>
          </w:p>
        </w:tc>
        <w:tc>
          <w:tcPr>
            <w:tcW w:w="4467" w:type="dxa"/>
            <w:vMerge/>
            <w:shd w:val="clear" w:color="auto" w:fill="auto"/>
            <w:vAlign w:val="bottom"/>
          </w:tcPr>
          <w:p w14:paraId="79570C07" w14:textId="77777777" w:rsidR="00A52778" w:rsidRPr="00460F9E" w:rsidRDefault="00A52778" w:rsidP="00FC3F8E">
            <w:pPr>
              <w:spacing w:line="219" w:lineRule="exact"/>
              <w:jc w:val="center"/>
              <w:rPr>
                <w:rFonts w:eastAsia="Times New Roman" w:cs="Times New Roman"/>
                <w:b/>
                <w:w w:val="99"/>
              </w:rPr>
            </w:pPr>
          </w:p>
        </w:tc>
      </w:tr>
      <w:tr w:rsidR="00A52778" w:rsidRPr="00460F9E" w14:paraId="3E7777D3" w14:textId="77777777" w:rsidTr="00FC3F8E">
        <w:trPr>
          <w:trHeight w:val="231"/>
        </w:trPr>
        <w:tc>
          <w:tcPr>
            <w:tcW w:w="4180" w:type="dxa"/>
            <w:tcBorders>
              <w:bottom w:val="single" w:sz="8" w:space="0" w:color="auto"/>
              <w:right w:val="single" w:sz="8" w:space="0" w:color="auto"/>
            </w:tcBorders>
            <w:shd w:val="clear" w:color="auto" w:fill="auto"/>
            <w:vAlign w:val="bottom"/>
          </w:tcPr>
          <w:p w14:paraId="030F2FD3" w14:textId="77777777" w:rsidR="00A52778" w:rsidRPr="00460F9E" w:rsidRDefault="00A52778" w:rsidP="00FC3F8E">
            <w:pPr>
              <w:spacing w:line="0" w:lineRule="atLeast"/>
              <w:rPr>
                <w:rFonts w:eastAsia="Times New Roman" w:cs="Times New Roman"/>
                <w:b/>
              </w:rPr>
            </w:pPr>
          </w:p>
        </w:tc>
        <w:tc>
          <w:tcPr>
            <w:tcW w:w="4467" w:type="dxa"/>
            <w:vMerge/>
            <w:tcBorders>
              <w:bottom w:val="single" w:sz="8" w:space="0" w:color="auto"/>
            </w:tcBorders>
            <w:shd w:val="clear" w:color="auto" w:fill="auto"/>
            <w:vAlign w:val="bottom"/>
          </w:tcPr>
          <w:p w14:paraId="78AA75D5" w14:textId="77777777" w:rsidR="00A52778" w:rsidRPr="00460F9E" w:rsidRDefault="00A52778" w:rsidP="00FC3F8E">
            <w:pPr>
              <w:spacing w:line="0" w:lineRule="atLeast"/>
              <w:jc w:val="center"/>
              <w:rPr>
                <w:rFonts w:eastAsia="Times New Roman" w:cs="Times New Roman"/>
                <w:b/>
                <w:w w:val="99"/>
              </w:rPr>
            </w:pPr>
          </w:p>
        </w:tc>
      </w:tr>
      <w:tr w:rsidR="00A52778" w:rsidRPr="00460F9E" w14:paraId="034DBD5D" w14:textId="77777777" w:rsidTr="00FC3F8E">
        <w:trPr>
          <w:trHeight w:val="421"/>
        </w:trPr>
        <w:tc>
          <w:tcPr>
            <w:tcW w:w="4180" w:type="dxa"/>
            <w:tcBorders>
              <w:right w:val="single" w:sz="8" w:space="0" w:color="auto"/>
            </w:tcBorders>
            <w:shd w:val="clear" w:color="auto" w:fill="auto"/>
            <w:vAlign w:val="center"/>
          </w:tcPr>
          <w:p w14:paraId="083CA569" w14:textId="77777777" w:rsidR="00A52778" w:rsidRPr="00460F9E" w:rsidRDefault="00A52778" w:rsidP="00FC3F8E">
            <w:pPr>
              <w:spacing w:line="0" w:lineRule="atLeast"/>
              <w:ind w:left="180"/>
              <w:rPr>
                <w:rFonts w:eastAsia="Times New Roman" w:cs="Times New Roman"/>
                <w:b/>
              </w:rPr>
            </w:pPr>
            <w:r w:rsidRPr="00460F9E">
              <w:rPr>
                <w:rFonts w:eastAsia="Times New Roman" w:cs="Times New Roman"/>
              </w:rPr>
              <w:t>Amonyak (NH</w:t>
            </w:r>
            <w:r w:rsidRPr="00460F9E">
              <w:rPr>
                <w:rFonts w:eastAsia="Times New Roman" w:cs="Times New Roman"/>
                <w:sz w:val="12"/>
              </w:rPr>
              <w:t>3</w:t>
            </w:r>
            <w:r w:rsidRPr="00460F9E">
              <w:rPr>
                <w:rFonts w:eastAsia="Times New Roman" w:cs="Times New Roman"/>
              </w:rPr>
              <w:t>)</w:t>
            </w:r>
          </w:p>
        </w:tc>
        <w:tc>
          <w:tcPr>
            <w:tcW w:w="4467" w:type="dxa"/>
            <w:shd w:val="clear" w:color="auto" w:fill="auto"/>
            <w:vAlign w:val="center"/>
          </w:tcPr>
          <w:p w14:paraId="19A252C3" w14:textId="77777777" w:rsidR="00A52778" w:rsidRPr="00460F9E" w:rsidRDefault="00A52778" w:rsidP="00FC3F8E">
            <w:pPr>
              <w:spacing w:line="0" w:lineRule="atLeast"/>
              <w:jc w:val="center"/>
              <w:rPr>
                <w:rFonts w:eastAsia="Times New Roman" w:cs="Times New Roman"/>
                <w:b/>
                <w:w w:val="95"/>
              </w:rPr>
            </w:pPr>
            <w:r w:rsidRPr="00460F9E">
              <w:rPr>
                <w:rFonts w:eastAsia="Times New Roman" w:cs="Times New Roman"/>
                <w:w w:val="95"/>
              </w:rPr>
              <w:t>2-10 (</w:t>
            </w:r>
            <w:r w:rsidRPr="00460F9E">
              <w:rPr>
                <w:rFonts w:eastAsia="Times New Roman" w:cs="Times New Roman"/>
                <w:w w:val="95"/>
                <w:sz w:val="25"/>
                <w:vertAlign w:val="superscript"/>
              </w:rPr>
              <w:t>1</w:t>
            </w:r>
            <w:r w:rsidRPr="00460F9E">
              <w:rPr>
                <w:rFonts w:eastAsia="Times New Roman" w:cs="Times New Roman"/>
                <w:w w:val="95"/>
              </w:rPr>
              <w:t>) (</w:t>
            </w:r>
            <w:r w:rsidRPr="00460F9E">
              <w:rPr>
                <w:rFonts w:eastAsia="Times New Roman" w:cs="Times New Roman"/>
                <w:w w:val="95"/>
                <w:sz w:val="25"/>
                <w:vertAlign w:val="superscript"/>
              </w:rPr>
              <w:t>2</w:t>
            </w:r>
            <w:r w:rsidRPr="00460F9E">
              <w:rPr>
                <w:rFonts w:eastAsia="Times New Roman" w:cs="Times New Roman"/>
                <w:w w:val="95"/>
              </w:rPr>
              <w:t>) (</w:t>
            </w:r>
            <w:r w:rsidRPr="00460F9E">
              <w:rPr>
                <w:rFonts w:eastAsia="Times New Roman" w:cs="Times New Roman"/>
                <w:w w:val="95"/>
                <w:sz w:val="25"/>
                <w:vertAlign w:val="superscript"/>
              </w:rPr>
              <w:t>3</w:t>
            </w:r>
            <w:r w:rsidRPr="00460F9E">
              <w:rPr>
                <w:rFonts w:eastAsia="Times New Roman" w:cs="Times New Roman"/>
                <w:w w:val="95"/>
              </w:rPr>
              <w:t>)</w:t>
            </w:r>
          </w:p>
        </w:tc>
      </w:tr>
      <w:tr w:rsidR="00A52778" w:rsidRPr="00460F9E" w14:paraId="63E99D3E" w14:textId="77777777" w:rsidTr="00FC3F8E">
        <w:trPr>
          <w:trHeight w:val="49"/>
        </w:trPr>
        <w:tc>
          <w:tcPr>
            <w:tcW w:w="4180" w:type="dxa"/>
            <w:tcBorders>
              <w:bottom w:val="single" w:sz="8" w:space="0" w:color="auto"/>
              <w:right w:val="single" w:sz="8" w:space="0" w:color="auto"/>
            </w:tcBorders>
            <w:shd w:val="clear" w:color="auto" w:fill="auto"/>
            <w:vAlign w:val="bottom"/>
          </w:tcPr>
          <w:p w14:paraId="586646F1" w14:textId="77777777" w:rsidR="00A52778" w:rsidRPr="00460F9E" w:rsidRDefault="00A52778" w:rsidP="00FC3F8E">
            <w:pPr>
              <w:spacing w:line="0" w:lineRule="atLeast"/>
              <w:rPr>
                <w:rFonts w:eastAsia="Times New Roman" w:cs="Times New Roman"/>
                <w:b/>
                <w:sz w:val="4"/>
              </w:rPr>
            </w:pPr>
          </w:p>
        </w:tc>
        <w:tc>
          <w:tcPr>
            <w:tcW w:w="4467" w:type="dxa"/>
            <w:tcBorders>
              <w:bottom w:val="single" w:sz="8" w:space="0" w:color="auto"/>
            </w:tcBorders>
            <w:shd w:val="clear" w:color="auto" w:fill="auto"/>
            <w:vAlign w:val="bottom"/>
          </w:tcPr>
          <w:p w14:paraId="66BC6132" w14:textId="77777777" w:rsidR="00A52778" w:rsidRPr="00460F9E" w:rsidRDefault="00A52778" w:rsidP="00FC3F8E">
            <w:pPr>
              <w:spacing w:line="0" w:lineRule="atLeast"/>
              <w:rPr>
                <w:rFonts w:eastAsia="Times New Roman" w:cs="Times New Roman"/>
                <w:b/>
                <w:sz w:val="4"/>
              </w:rPr>
            </w:pPr>
          </w:p>
        </w:tc>
      </w:tr>
      <w:tr w:rsidR="00A52778" w:rsidRPr="00460F9E" w14:paraId="0CC362ED" w14:textId="77777777" w:rsidTr="00FC3F8E">
        <w:trPr>
          <w:trHeight w:val="421"/>
        </w:trPr>
        <w:tc>
          <w:tcPr>
            <w:tcW w:w="4180" w:type="dxa"/>
            <w:tcBorders>
              <w:right w:val="single" w:sz="8" w:space="0" w:color="auto"/>
            </w:tcBorders>
            <w:shd w:val="clear" w:color="auto" w:fill="auto"/>
            <w:vAlign w:val="center"/>
          </w:tcPr>
          <w:p w14:paraId="14424AD0" w14:textId="77777777" w:rsidR="00A52778" w:rsidRPr="00460F9E" w:rsidRDefault="00A52778" w:rsidP="00FC3F8E">
            <w:pPr>
              <w:spacing w:line="0" w:lineRule="atLeast"/>
              <w:ind w:left="180"/>
              <w:rPr>
                <w:rFonts w:eastAsia="Times New Roman" w:cs="Times New Roman"/>
                <w:b/>
              </w:rPr>
            </w:pPr>
            <w:r w:rsidRPr="00460F9E">
              <w:rPr>
                <w:rFonts w:eastAsia="Times New Roman" w:cs="Times New Roman"/>
              </w:rPr>
              <w:t>Elementel klor (Cl</w:t>
            </w:r>
            <w:r w:rsidRPr="00460F9E">
              <w:rPr>
                <w:rFonts w:eastAsia="Times New Roman" w:cs="Times New Roman"/>
                <w:sz w:val="12"/>
              </w:rPr>
              <w:t>2</w:t>
            </w:r>
            <w:r w:rsidRPr="00460F9E">
              <w:rPr>
                <w:rFonts w:eastAsia="Times New Roman" w:cs="Times New Roman"/>
              </w:rPr>
              <w:t>)</w:t>
            </w:r>
          </w:p>
        </w:tc>
        <w:tc>
          <w:tcPr>
            <w:tcW w:w="4467" w:type="dxa"/>
            <w:shd w:val="clear" w:color="auto" w:fill="auto"/>
            <w:vAlign w:val="center"/>
          </w:tcPr>
          <w:p w14:paraId="4E3CC7A2" w14:textId="77777777" w:rsidR="00A52778" w:rsidRPr="00460F9E" w:rsidRDefault="00A52778" w:rsidP="00FC3F8E">
            <w:pPr>
              <w:spacing w:line="0" w:lineRule="atLeast"/>
              <w:jc w:val="center"/>
              <w:rPr>
                <w:rFonts w:eastAsia="Times New Roman" w:cs="Times New Roman"/>
                <w:b/>
                <w:w w:val="97"/>
              </w:rPr>
            </w:pPr>
            <w:r w:rsidRPr="00460F9E">
              <w:rPr>
                <w:rFonts w:eastAsia="Times New Roman" w:cs="Times New Roman"/>
                <w:w w:val="97"/>
              </w:rPr>
              <w:t>&lt; 0,5-2 (</w:t>
            </w:r>
            <w:r w:rsidRPr="00460F9E">
              <w:rPr>
                <w:rFonts w:eastAsia="Times New Roman" w:cs="Times New Roman"/>
                <w:w w:val="97"/>
                <w:sz w:val="25"/>
                <w:vertAlign w:val="superscript"/>
              </w:rPr>
              <w:t>4</w:t>
            </w:r>
            <w:r w:rsidRPr="00460F9E">
              <w:rPr>
                <w:rFonts w:eastAsia="Times New Roman" w:cs="Times New Roman"/>
                <w:w w:val="97"/>
              </w:rPr>
              <w:t>) (</w:t>
            </w:r>
            <w:r w:rsidRPr="00460F9E">
              <w:rPr>
                <w:rFonts w:eastAsia="Times New Roman" w:cs="Times New Roman"/>
                <w:w w:val="97"/>
                <w:sz w:val="25"/>
                <w:vertAlign w:val="superscript"/>
              </w:rPr>
              <w:t>5</w:t>
            </w:r>
            <w:r w:rsidRPr="00460F9E">
              <w:rPr>
                <w:rFonts w:eastAsia="Times New Roman" w:cs="Times New Roman"/>
                <w:w w:val="97"/>
              </w:rPr>
              <w:t>)</w:t>
            </w:r>
          </w:p>
        </w:tc>
      </w:tr>
      <w:tr w:rsidR="00A52778" w:rsidRPr="00460F9E" w14:paraId="4F22F655" w14:textId="77777777" w:rsidTr="00FC3F8E">
        <w:trPr>
          <w:trHeight w:val="49"/>
        </w:trPr>
        <w:tc>
          <w:tcPr>
            <w:tcW w:w="4180" w:type="dxa"/>
            <w:tcBorders>
              <w:bottom w:val="single" w:sz="8" w:space="0" w:color="auto"/>
              <w:right w:val="single" w:sz="8" w:space="0" w:color="auto"/>
            </w:tcBorders>
            <w:shd w:val="clear" w:color="auto" w:fill="auto"/>
            <w:vAlign w:val="center"/>
          </w:tcPr>
          <w:p w14:paraId="3EB6E61B" w14:textId="77777777" w:rsidR="00A52778" w:rsidRPr="00460F9E" w:rsidRDefault="00A52778" w:rsidP="00FC3F8E">
            <w:pPr>
              <w:spacing w:line="0" w:lineRule="atLeast"/>
              <w:rPr>
                <w:rFonts w:eastAsia="Times New Roman" w:cs="Times New Roman"/>
                <w:b/>
                <w:sz w:val="4"/>
              </w:rPr>
            </w:pPr>
          </w:p>
        </w:tc>
        <w:tc>
          <w:tcPr>
            <w:tcW w:w="4467" w:type="dxa"/>
            <w:tcBorders>
              <w:bottom w:val="single" w:sz="8" w:space="0" w:color="auto"/>
            </w:tcBorders>
            <w:shd w:val="clear" w:color="auto" w:fill="auto"/>
            <w:vAlign w:val="center"/>
          </w:tcPr>
          <w:p w14:paraId="09A662A4" w14:textId="77777777" w:rsidR="00A52778" w:rsidRPr="00460F9E" w:rsidRDefault="00A52778" w:rsidP="00FC3F8E">
            <w:pPr>
              <w:spacing w:line="0" w:lineRule="atLeast"/>
              <w:jc w:val="center"/>
              <w:rPr>
                <w:rFonts w:eastAsia="Times New Roman" w:cs="Times New Roman"/>
                <w:b/>
                <w:sz w:val="4"/>
              </w:rPr>
            </w:pPr>
          </w:p>
        </w:tc>
      </w:tr>
      <w:tr w:rsidR="00A52778" w:rsidRPr="00460F9E" w14:paraId="70E18A75" w14:textId="77777777" w:rsidTr="00FC3F8E">
        <w:trPr>
          <w:trHeight w:val="428"/>
        </w:trPr>
        <w:tc>
          <w:tcPr>
            <w:tcW w:w="4180" w:type="dxa"/>
            <w:tcBorders>
              <w:right w:val="single" w:sz="8" w:space="0" w:color="auto"/>
            </w:tcBorders>
            <w:shd w:val="clear" w:color="auto" w:fill="auto"/>
            <w:vAlign w:val="center"/>
          </w:tcPr>
          <w:p w14:paraId="0B510308" w14:textId="77777777" w:rsidR="00A52778" w:rsidRPr="00460F9E" w:rsidRDefault="00A52778" w:rsidP="00FC3F8E">
            <w:pPr>
              <w:spacing w:line="0" w:lineRule="atLeast"/>
              <w:ind w:left="180"/>
              <w:rPr>
                <w:rFonts w:eastAsia="Times New Roman" w:cs="Times New Roman"/>
                <w:b/>
              </w:rPr>
            </w:pPr>
            <w:r w:rsidRPr="00460F9E">
              <w:rPr>
                <w:rFonts w:eastAsia="Times New Roman" w:cs="Times New Roman"/>
              </w:rPr>
              <w:t>HF olarak ifade edilen gaz halindeki florürler</w:t>
            </w:r>
          </w:p>
        </w:tc>
        <w:tc>
          <w:tcPr>
            <w:tcW w:w="4467" w:type="dxa"/>
            <w:shd w:val="clear" w:color="auto" w:fill="auto"/>
            <w:vAlign w:val="center"/>
          </w:tcPr>
          <w:p w14:paraId="3DEE0FD1"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1 (</w:t>
            </w:r>
            <w:r w:rsidRPr="00460F9E">
              <w:rPr>
                <w:rFonts w:eastAsia="Times New Roman" w:cs="Times New Roman"/>
                <w:sz w:val="25"/>
                <w:vertAlign w:val="superscript"/>
              </w:rPr>
              <w:t>4</w:t>
            </w:r>
            <w:r w:rsidRPr="00460F9E">
              <w:rPr>
                <w:rFonts w:eastAsia="Times New Roman" w:cs="Times New Roman"/>
              </w:rPr>
              <w:t>)</w:t>
            </w:r>
          </w:p>
        </w:tc>
      </w:tr>
      <w:tr w:rsidR="00A52778" w:rsidRPr="00460F9E" w14:paraId="5C646E59" w14:textId="77777777" w:rsidTr="00FC3F8E">
        <w:trPr>
          <w:trHeight w:val="42"/>
        </w:trPr>
        <w:tc>
          <w:tcPr>
            <w:tcW w:w="4180" w:type="dxa"/>
            <w:tcBorders>
              <w:bottom w:val="single" w:sz="8" w:space="0" w:color="auto"/>
              <w:right w:val="single" w:sz="8" w:space="0" w:color="auto"/>
            </w:tcBorders>
            <w:shd w:val="clear" w:color="auto" w:fill="auto"/>
            <w:vAlign w:val="center"/>
          </w:tcPr>
          <w:p w14:paraId="178999ED" w14:textId="77777777" w:rsidR="00A52778" w:rsidRPr="00460F9E" w:rsidRDefault="00A52778" w:rsidP="00FC3F8E">
            <w:pPr>
              <w:spacing w:line="0" w:lineRule="atLeast"/>
              <w:rPr>
                <w:rFonts w:eastAsia="Times New Roman" w:cs="Times New Roman"/>
                <w:b/>
                <w:sz w:val="3"/>
              </w:rPr>
            </w:pPr>
          </w:p>
        </w:tc>
        <w:tc>
          <w:tcPr>
            <w:tcW w:w="4467" w:type="dxa"/>
            <w:tcBorders>
              <w:bottom w:val="single" w:sz="8" w:space="0" w:color="auto"/>
            </w:tcBorders>
            <w:shd w:val="clear" w:color="auto" w:fill="auto"/>
            <w:vAlign w:val="center"/>
          </w:tcPr>
          <w:p w14:paraId="14E2D079" w14:textId="77777777" w:rsidR="00A52778" w:rsidRPr="00460F9E" w:rsidRDefault="00A52778" w:rsidP="00FC3F8E">
            <w:pPr>
              <w:spacing w:line="0" w:lineRule="atLeast"/>
              <w:jc w:val="center"/>
              <w:rPr>
                <w:rFonts w:eastAsia="Times New Roman" w:cs="Times New Roman"/>
                <w:b/>
                <w:sz w:val="3"/>
              </w:rPr>
            </w:pPr>
          </w:p>
        </w:tc>
      </w:tr>
      <w:tr w:rsidR="00A52778" w:rsidRPr="00460F9E" w14:paraId="6A5836E5" w14:textId="77777777" w:rsidTr="00FC3F8E">
        <w:trPr>
          <w:trHeight w:val="421"/>
        </w:trPr>
        <w:tc>
          <w:tcPr>
            <w:tcW w:w="4180" w:type="dxa"/>
            <w:tcBorders>
              <w:right w:val="single" w:sz="8" w:space="0" w:color="auto"/>
            </w:tcBorders>
            <w:shd w:val="clear" w:color="auto" w:fill="auto"/>
            <w:vAlign w:val="center"/>
          </w:tcPr>
          <w:p w14:paraId="13EA359C" w14:textId="77777777" w:rsidR="00A52778" w:rsidRPr="00460F9E" w:rsidRDefault="00A52778" w:rsidP="00FC3F8E">
            <w:pPr>
              <w:spacing w:line="0" w:lineRule="atLeast"/>
              <w:ind w:left="180"/>
              <w:rPr>
                <w:rFonts w:eastAsia="Times New Roman" w:cs="Times New Roman"/>
                <w:b/>
              </w:rPr>
            </w:pPr>
            <w:r w:rsidRPr="00460F9E">
              <w:rPr>
                <w:rFonts w:eastAsia="Times New Roman" w:cs="Times New Roman"/>
              </w:rPr>
              <w:t>Hidrojen siyanür (HCN)</w:t>
            </w:r>
          </w:p>
        </w:tc>
        <w:tc>
          <w:tcPr>
            <w:tcW w:w="4467" w:type="dxa"/>
            <w:shd w:val="clear" w:color="auto" w:fill="auto"/>
            <w:vAlign w:val="center"/>
          </w:tcPr>
          <w:p w14:paraId="1B175D05" w14:textId="77777777" w:rsidR="00A52778" w:rsidRPr="00460F9E" w:rsidRDefault="00A52778" w:rsidP="00FC3F8E">
            <w:pPr>
              <w:spacing w:line="0" w:lineRule="atLeast"/>
              <w:jc w:val="center"/>
              <w:rPr>
                <w:rFonts w:eastAsia="Times New Roman" w:cs="Times New Roman"/>
                <w:b/>
                <w:w w:val="96"/>
              </w:rPr>
            </w:pPr>
            <w:r w:rsidRPr="00460F9E">
              <w:rPr>
                <w:rFonts w:eastAsia="Times New Roman" w:cs="Times New Roman"/>
                <w:w w:val="96"/>
              </w:rPr>
              <w:t>&lt; 0,1-1 (</w:t>
            </w:r>
            <w:r w:rsidRPr="00460F9E">
              <w:rPr>
                <w:rFonts w:eastAsia="Times New Roman" w:cs="Times New Roman"/>
                <w:w w:val="96"/>
                <w:sz w:val="25"/>
                <w:vertAlign w:val="superscript"/>
              </w:rPr>
              <w:t>4</w:t>
            </w:r>
            <w:r w:rsidRPr="00460F9E">
              <w:rPr>
                <w:rFonts w:eastAsia="Times New Roman" w:cs="Times New Roman"/>
                <w:w w:val="96"/>
              </w:rPr>
              <w:t>)</w:t>
            </w:r>
          </w:p>
        </w:tc>
      </w:tr>
      <w:tr w:rsidR="00A52778" w:rsidRPr="00460F9E" w14:paraId="215B7278" w14:textId="77777777" w:rsidTr="00FC3F8E">
        <w:trPr>
          <w:trHeight w:val="49"/>
        </w:trPr>
        <w:tc>
          <w:tcPr>
            <w:tcW w:w="4180" w:type="dxa"/>
            <w:tcBorders>
              <w:bottom w:val="single" w:sz="8" w:space="0" w:color="auto"/>
              <w:right w:val="single" w:sz="8" w:space="0" w:color="auto"/>
            </w:tcBorders>
            <w:shd w:val="clear" w:color="auto" w:fill="auto"/>
            <w:vAlign w:val="center"/>
          </w:tcPr>
          <w:p w14:paraId="553EE43A" w14:textId="77777777" w:rsidR="00A52778" w:rsidRPr="00460F9E" w:rsidRDefault="00A52778" w:rsidP="00FC3F8E">
            <w:pPr>
              <w:spacing w:line="0" w:lineRule="atLeast"/>
              <w:rPr>
                <w:rFonts w:eastAsia="Times New Roman" w:cs="Times New Roman"/>
                <w:b/>
                <w:sz w:val="4"/>
              </w:rPr>
            </w:pPr>
          </w:p>
        </w:tc>
        <w:tc>
          <w:tcPr>
            <w:tcW w:w="4467" w:type="dxa"/>
            <w:tcBorders>
              <w:bottom w:val="single" w:sz="8" w:space="0" w:color="auto"/>
            </w:tcBorders>
            <w:shd w:val="clear" w:color="auto" w:fill="auto"/>
            <w:vAlign w:val="center"/>
          </w:tcPr>
          <w:p w14:paraId="68C67AA1" w14:textId="77777777" w:rsidR="00A52778" w:rsidRPr="00460F9E" w:rsidRDefault="00A52778" w:rsidP="00FC3F8E">
            <w:pPr>
              <w:spacing w:line="0" w:lineRule="atLeast"/>
              <w:jc w:val="center"/>
              <w:rPr>
                <w:rFonts w:eastAsia="Times New Roman" w:cs="Times New Roman"/>
                <w:b/>
                <w:sz w:val="4"/>
              </w:rPr>
            </w:pPr>
          </w:p>
        </w:tc>
      </w:tr>
      <w:tr w:rsidR="00A52778" w:rsidRPr="00460F9E" w14:paraId="388ED073" w14:textId="77777777" w:rsidTr="00FC3F8E">
        <w:trPr>
          <w:trHeight w:val="423"/>
        </w:trPr>
        <w:tc>
          <w:tcPr>
            <w:tcW w:w="4180" w:type="dxa"/>
            <w:tcBorders>
              <w:right w:val="single" w:sz="8" w:space="0" w:color="auto"/>
            </w:tcBorders>
            <w:shd w:val="clear" w:color="auto" w:fill="auto"/>
            <w:vAlign w:val="center"/>
          </w:tcPr>
          <w:p w14:paraId="4C43225C" w14:textId="77777777" w:rsidR="00A52778" w:rsidRPr="00460F9E" w:rsidRDefault="00A52778" w:rsidP="00FC3F8E">
            <w:pPr>
              <w:spacing w:line="0" w:lineRule="atLeast"/>
              <w:ind w:left="180"/>
              <w:rPr>
                <w:rFonts w:eastAsia="Times New Roman" w:cs="Times New Roman"/>
                <w:b/>
              </w:rPr>
            </w:pPr>
            <w:r w:rsidRPr="00460F9E">
              <w:rPr>
                <w:rFonts w:eastAsia="Times New Roman" w:cs="Times New Roman"/>
              </w:rPr>
              <w:t>HCl olarak ifade edilen gaz halindeki klorürler</w:t>
            </w:r>
          </w:p>
        </w:tc>
        <w:tc>
          <w:tcPr>
            <w:tcW w:w="4467" w:type="dxa"/>
            <w:shd w:val="clear" w:color="auto" w:fill="auto"/>
            <w:vAlign w:val="center"/>
          </w:tcPr>
          <w:p w14:paraId="468A092D" w14:textId="77777777" w:rsidR="00A52778" w:rsidRPr="00460F9E" w:rsidRDefault="00A52778" w:rsidP="00FC3F8E">
            <w:pPr>
              <w:spacing w:line="0" w:lineRule="atLeast"/>
              <w:jc w:val="center"/>
              <w:rPr>
                <w:rFonts w:eastAsia="Times New Roman" w:cs="Times New Roman"/>
                <w:b/>
                <w:w w:val="96"/>
              </w:rPr>
            </w:pPr>
            <w:r w:rsidRPr="00460F9E">
              <w:rPr>
                <w:rFonts w:eastAsia="Times New Roman" w:cs="Times New Roman"/>
                <w:w w:val="96"/>
              </w:rPr>
              <w:t>1-10  (</w:t>
            </w:r>
            <w:r w:rsidRPr="00460F9E">
              <w:rPr>
                <w:rFonts w:eastAsia="Times New Roman" w:cs="Times New Roman"/>
                <w:w w:val="96"/>
                <w:sz w:val="25"/>
                <w:vertAlign w:val="superscript"/>
              </w:rPr>
              <w:t>6</w:t>
            </w:r>
            <w:r w:rsidRPr="00460F9E">
              <w:rPr>
                <w:rFonts w:eastAsia="Times New Roman" w:cs="Times New Roman"/>
                <w:w w:val="96"/>
              </w:rPr>
              <w:t>)</w:t>
            </w:r>
          </w:p>
        </w:tc>
      </w:tr>
      <w:tr w:rsidR="00A52778" w:rsidRPr="00460F9E" w14:paraId="6BA7CB11" w14:textId="77777777" w:rsidTr="00FC3F8E">
        <w:trPr>
          <w:trHeight w:val="49"/>
        </w:trPr>
        <w:tc>
          <w:tcPr>
            <w:tcW w:w="4180" w:type="dxa"/>
            <w:tcBorders>
              <w:bottom w:val="single" w:sz="8" w:space="0" w:color="auto"/>
              <w:right w:val="single" w:sz="8" w:space="0" w:color="auto"/>
            </w:tcBorders>
            <w:shd w:val="clear" w:color="auto" w:fill="auto"/>
            <w:vAlign w:val="center"/>
          </w:tcPr>
          <w:p w14:paraId="59DFA218" w14:textId="77777777" w:rsidR="00A52778" w:rsidRPr="00460F9E" w:rsidRDefault="00A52778" w:rsidP="00FC3F8E">
            <w:pPr>
              <w:spacing w:line="0" w:lineRule="atLeast"/>
              <w:rPr>
                <w:rFonts w:eastAsia="Times New Roman" w:cs="Times New Roman"/>
                <w:b/>
                <w:sz w:val="4"/>
              </w:rPr>
            </w:pPr>
          </w:p>
        </w:tc>
        <w:tc>
          <w:tcPr>
            <w:tcW w:w="4467" w:type="dxa"/>
            <w:tcBorders>
              <w:bottom w:val="single" w:sz="8" w:space="0" w:color="auto"/>
            </w:tcBorders>
            <w:shd w:val="clear" w:color="auto" w:fill="auto"/>
            <w:vAlign w:val="center"/>
          </w:tcPr>
          <w:p w14:paraId="735A5625" w14:textId="77777777" w:rsidR="00A52778" w:rsidRPr="00460F9E" w:rsidRDefault="00A52778" w:rsidP="00FC3F8E">
            <w:pPr>
              <w:spacing w:line="0" w:lineRule="atLeast"/>
              <w:jc w:val="center"/>
              <w:rPr>
                <w:rFonts w:eastAsia="Times New Roman" w:cs="Times New Roman"/>
                <w:b/>
                <w:sz w:val="4"/>
              </w:rPr>
            </w:pPr>
          </w:p>
        </w:tc>
      </w:tr>
      <w:tr w:rsidR="00A52778" w:rsidRPr="00460F9E" w14:paraId="1035BB55" w14:textId="77777777" w:rsidTr="00FC3F8E">
        <w:trPr>
          <w:trHeight w:val="421"/>
        </w:trPr>
        <w:tc>
          <w:tcPr>
            <w:tcW w:w="4180" w:type="dxa"/>
            <w:tcBorders>
              <w:right w:val="single" w:sz="8" w:space="0" w:color="auto"/>
            </w:tcBorders>
            <w:shd w:val="clear" w:color="auto" w:fill="auto"/>
            <w:vAlign w:val="center"/>
          </w:tcPr>
          <w:p w14:paraId="1F262E4F" w14:textId="77777777" w:rsidR="00A52778" w:rsidRPr="00460F9E" w:rsidRDefault="00A52778" w:rsidP="00FC3F8E">
            <w:pPr>
              <w:spacing w:line="0" w:lineRule="atLeast"/>
              <w:ind w:left="180"/>
              <w:rPr>
                <w:rFonts w:eastAsia="Times New Roman" w:cs="Times New Roman"/>
                <w:b/>
              </w:rPr>
            </w:pPr>
            <w:r w:rsidRPr="00460F9E">
              <w:rPr>
                <w:rFonts w:eastAsia="Times New Roman" w:cs="Times New Roman"/>
              </w:rPr>
              <w:t>Azot oksitler (NO</w:t>
            </w:r>
            <w:r w:rsidRPr="00460F9E">
              <w:rPr>
                <w:rFonts w:eastAsia="Times New Roman" w:cs="Times New Roman"/>
                <w:sz w:val="12"/>
              </w:rPr>
              <w:t>X</w:t>
            </w:r>
            <w:r w:rsidRPr="00460F9E">
              <w:rPr>
                <w:rFonts w:eastAsia="Times New Roman" w:cs="Times New Roman"/>
              </w:rPr>
              <w:t>)</w:t>
            </w:r>
          </w:p>
        </w:tc>
        <w:tc>
          <w:tcPr>
            <w:tcW w:w="4467" w:type="dxa"/>
            <w:shd w:val="clear" w:color="auto" w:fill="auto"/>
            <w:vAlign w:val="center"/>
          </w:tcPr>
          <w:p w14:paraId="16CB4C2B" w14:textId="77777777" w:rsidR="00A52778" w:rsidRPr="00460F9E" w:rsidRDefault="00A52778" w:rsidP="00FC3F8E">
            <w:pPr>
              <w:spacing w:line="0" w:lineRule="atLeast"/>
              <w:jc w:val="center"/>
              <w:rPr>
                <w:rFonts w:eastAsia="Times New Roman" w:cs="Times New Roman"/>
                <w:b/>
                <w:w w:val="94"/>
              </w:rPr>
            </w:pPr>
            <w:r w:rsidRPr="00460F9E">
              <w:rPr>
                <w:rFonts w:eastAsia="Times New Roman" w:cs="Times New Roman"/>
                <w:w w:val="94"/>
              </w:rPr>
              <w:t>10-150 (</w:t>
            </w:r>
            <w:r w:rsidRPr="00460F9E">
              <w:rPr>
                <w:rFonts w:eastAsia="Times New Roman" w:cs="Times New Roman"/>
                <w:w w:val="94"/>
                <w:sz w:val="25"/>
                <w:vertAlign w:val="superscript"/>
              </w:rPr>
              <w:t>7</w:t>
            </w:r>
            <w:r w:rsidRPr="00460F9E">
              <w:rPr>
                <w:rFonts w:eastAsia="Times New Roman" w:cs="Times New Roman"/>
                <w:w w:val="94"/>
              </w:rPr>
              <w:t>) (</w:t>
            </w:r>
            <w:r w:rsidRPr="00460F9E">
              <w:rPr>
                <w:rFonts w:eastAsia="Times New Roman" w:cs="Times New Roman"/>
                <w:w w:val="94"/>
                <w:sz w:val="25"/>
                <w:vertAlign w:val="superscript"/>
              </w:rPr>
              <w:t>8</w:t>
            </w:r>
            <w:r w:rsidRPr="00460F9E">
              <w:rPr>
                <w:rFonts w:eastAsia="Times New Roman" w:cs="Times New Roman"/>
                <w:w w:val="94"/>
              </w:rPr>
              <w:t>) (</w:t>
            </w:r>
            <w:r w:rsidRPr="00460F9E">
              <w:rPr>
                <w:rFonts w:eastAsia="Times New Roman" w:cs="Times New Roman"/>
                <w:w w:val="94"/>
                <w:sz w:val="25"/>
                <w:vertAlign w:val="superscript"/>
              </w:rPr>
              <w:t>9</w:t>
            </w:r>
            <w:r w:rsidRPr="00460F9E">
              <w:rPr>
                <w:rFonts w:eastAsia="Times New Roman" w:cs="Times New Roman"/>
                <w:w w:val="94"/>
              </w:rPr>
              <w:t>) (</w:t>
            </w:r>
            <w:r w:rsidRPr="00460F9E">
              <w:rPr>
                <w:rFonts w:eastAsia="Times New Roman" w:cs="Times New Roman"/>
                <w:w w:val="94"/>
                <w:sz w:val="25"/>
                <w:vertAlign w:val="superscript"/>
              </w:rPr>
              <w:t>10</w:t>
            </w:r>
            <w:r w:rsidRPr="00460F9E">
              <w:rPr>
                <w:rFonts w:eastAsia="Times New Roman" w:cs="Times New Roman"/>
                <w:w w:val="94"/>
              </w:rPr>
              <w:t>)</w:t>
            </w:r>
          </w:p>
        </w:tc>
      </w:tr>
      <w:tr w:rsidR="00A52778" w:rsidRPr="00460F9E" w14:paraId="7BBC6979" w14:textId="77777777" w:rsidTr="00FC3F8E">
        <w:trPr>
          <w:trHeight w:val="50"/>
        </w:trPr>
        <w:tc>
          <w:tcPr>
            <w:tcW w:w="4180" w:type="dxa"/>
            <w:tcBorders>
              <w:bottom w:val="single" w:sz="8" w:space="0" w:color="auto"/>
              <w:right w:val="single" w:sz="8" w:space="0" w:color="auto"/>
            </w:tcBorders>
            <w:shd w:val="clear" w:color="auto" w:fill="auto"/>
            <w:vAlign w:val="center"/>
          </w:tcPr>
          <w:p w14:paraId="786057B5" w14:textId="77777777" w:rsidR="00A52778" w:rsidRPr="00460F9E" w:rsidRDefault="00A52778" w:rsidP="00FC3F8E">
            <w:pPr>
              <w:spacing w:line="0" w:lineRule="atLeast"/>
              <w:rPr>
                <w:rFonts w:eastAsia="Times New Roman" w:cs="Times New Roman"/>
                <w:b/>
                <w:sz w:val="4"/>
              </w:rPr>
            </w:pPr>
          </w:p>
        </w:tc>
        <w:tc>
          <w:tcPr>
            <w:tcW w:w="4467" w:type="dxa"/>
            <w:tcBorders>
              <w:bottom w:val="single" w:sz="8" w:space="0" w:color="auto"/>
            </w:tcBorders>
            <w:shd w:val="clear" w:color="auto" w:fill="auto"/>
            <w:vAlign w:val="center"/>
          </w:tcPr>
          <w:p w14:paraId="2311C4EC" w14:textId="77777777" w:rsidR="00A52778" w:rsidRPr="00460F9E" w:rsidRDefault="00A52778" w:rsidP="00FC3F8E">
            <w:pPr>
              <w:spacing w:line="0" w:lineRule="atLeast"/>
              <w:jc w:val="center"/>
              <w:rPr>
                <w:rFonts w:eastAsia="Times New Roman" w:cs="Times New Roman"/>
                <w:b/>
                <w:sz w:val="4"/>
              </w:rPr>
            </w:pPr>
          </w:p>
        </w:tc>
      </w:tr>
      <w:tr w:rsidR="00A52778" w:rsidRPr="00460F9E" w14:paraId="26BC2789" w14:textId="77777777" w:rsidTr="00FC3F8E">
        <w:trPr>
          <w:trHeight w:val="421"/>
        </w:trPr>
        <w:tc>
          <w:tcPr>
            <w:tcW w:w="4180" w:type="dxa"/>
            <w:tcBorders>
              <w:right w:val="single" w:sz="8" w:space="0" w:color="auto"/>
            </w:tcBorders>
            <w:shd w:val="clear" w:color="auto" w:fill="auto"/>
            <w:vAlign w:val="center"/>
          </w:tcPr>
          <w:p w14:paraId="06273BB3" w14:textId="77777777" w:rsidR="00A52778" w:rsidRPr="00460F9E" w:rsidRDefault="00A52778" w:rsidP="00FC3F8E">
            <w:pPr>
              <w:spacing w:line="0" w:lineRule="atLeast"/>
              <w:ind w:left="180"/>
              <w:rPr>
                <w:rFonts w:eastAsia="Times New Roman" w:cs="Times New Roman"/>
                <w:b/>
              </w:rPr>
            </w:pPr>
            <w:r w:rsidRPr="00460F9E">
              <w:rPr>
                <w:rFonts w:eastAsia="Times New Roman" w:cs="Times New Roman"/>
              </w:rPr>
              <w:t>Sülfür oksitler (SO</w:t>
            </w:r>
            <w:r w:rsidRPr="00460F9E">
              <w:rPr>
                <w:rFonts w:eastAsia="Times New Roman" w:cs="Times New Roman"/>
                <w:sz w:val="12"/>
              </w:rPr>
              <w:t>2</w:t>
            </w:r>
            <w:r w:rsidRPr="00460F9E">
              <w:rPr>
                <w:rFonts w:eastAsia="Times New Roman" w:cs="Times New Roman"/>
              </w:rPr>
              <w:t>)</w:t>
            </w:r>
          </w:p>
        </w:tc>
        <w:tc>
          <w:tcPr>
            <w:tcW w:w="4467" w:type="dxa"/>
            <w:shd w:val="clear" w:color="auto" w:fill="auto"/>
            <w:vAlign w:val="center"/>
          </w:tcPr>
          <w:p w14:paraId="2A29F581" w14:textId="77777777" w:rsidR="00A52778" w:rsidRPr="00460F9E" w:rsidRDefault="00A52778" w:rsidP="00FC3F8E">
            <w:pPr>
              <w:spacing w:line="0" w:lineRule="atLeast"/>
              <w:jc w:val="center"/>
              <w:rPr>
                <w:rFonts w:eastAsia="Times New Roman" w:cs="Times New Roman"/>
                <w:b/>
                <w:w w:val="94"/>
              </w:rPr>
            </w:pPr>
            <w:r w:rsidRPr="00460F9E">
              <w:rPr>
                <w:rFonts w:eastAsia="Times New Roman" w:cs="Times New Roman"/>
                <w:w w:val="94"/>
              </w:rPr>
              <w:t>&lt; 3-150 (</w:t>
            </w:r>
            <w:r w:rsidRPr="00460F9E">
              <w:rPr>
                <w:rFonts w:eastAsia="Times New Roman" w:cs="Times New Roman"/>
                <w:w w:val="94"/>
                <w:sz w:val="25"/>
                <w:vertAlign w:val="superscript"/>
              </w:rPr>
              <w:t>11</w:t>
            </w:r>
            <w:r w:rsidRPr="00460F9E">
              <w:rPr>
                <w:rFonts w:eastAsia="Times New Roman" w:cs="Times New Roman"/>
                <w:w w:val="94"/>
              </w:rPr>
              <w:t>) (</w:t>
            </w:r>
            <w:r w:rsidRPr="00460F9E">
              <w:rPr>
                <w:rFonts w:eastAsia="Times New Roman" w:cs="Times New Roman"/>
                <w:w w:val="94"/>
                <w:sz w:val="25"/>
                <w:vertAlign w:val="superscript"/>
              </w:rPr>
              <w:t>9</w:t>
            </w:r>
            <w:r w:rsidRPr="00460F9E">
              <w:rPr>
                <w:rFonts w:eastAsia="Times New Roman" w:cs="Times New Roman"/>
                <w:w w:val="94"/>
              </w:rPr>
              <w:t>)</w:t>
            </w:r>
          </w:p>
        </w:tc>
      </w:tr>
      <w:tr w:rsidR="00A52778" w:rsidRPr="00460F9E" w14:paraId="76FCA403" w14:textId="77777777" w:rsidTr="00FC3F8E">
        <w:trPr>
          <w:trHeight w:val="49"/>
        </w:trPr>
        <w:tc>
          <w:tcPr>
            <w:tcW w:w="4180" w:type="dxa"/>
            <w:tcBorders>
              <w:bottom w:val="single" w:sz="8" w:space="0" w:color="auto"/>
              <w:right w:val="single" w:sz="8" w:space="0" w:color="auto"/>
            </w:tcBorders>
            <w:shd w:val="clear" w:color="auto" w:fill="auto"/>
            <w:vAlign w:val="bottom"/>
          </w:tcPr>
          <w:p w14:paraId="1B458C29" w14:textId="77777777" w:rsidR="00A52778" w:rsidRPr="00460F9E" w:rsidRDefault="00A52778" w:rsidP="00FC3F8E">
            <w:pPr>
              <w:spacing w:line="0" w:lineRule="atLeast"/>
              <w:rPr>
                <w:rFonts w:eastAsia="Times New Roman" w:cs="Times New Roman"/>
                <w:b/>
                <w:sz w:val="4"/>
              </w:rPr>
            </w:pPr>
          </w:p>
        </w:tc>
        <w:tc>
          <w:tcPr>
            <w:tcW w:w="4467" w:type="dxa"/>
            <w:tcBorders>
              <w:bottom w:val="single" w:sz="8" w:space="0" w:color="auto"/>
            </w:tcBorders>
            <w:shd w:val="clear" w:color="auto" w:fill="auto"/>
            <w:vAlign w:val="bottom"/>
          </w:tcPr>
          <w:p w14:paraId="561ECF1E" w14:textId="77777777" w:rsidR="00A52778" w:rsidRPr="00460F9E" w:rsidRDefault="00A52778" w:rsidP="00FC3F8E">
            <w:pPr>
              <w:spacing w:line="0" w:lineRule="atLeast"/>
              <w:rPr>
                <w:rFonts w:eastAsia="Times New Roman" w:cs="Times New Roman"/>
                <w:b/>
                <w:sz w:val="4"/>
              </w:rPr>
            </w:pPr>
          </w:p>
        </w:tc>
      </w:tr>
    </w:tbl>
    <w:p w14:paraId="552CF96E" w14:textId="77777777" w:rsidR="00A52778" w:rsidRPr="00460F9E" w:rsidRDefault="00A52778" w:rsidP="00A52778">
      <w:pPr>
        <w:spacing w:line="202" w:lineRule="auto"/>
        <w:ind w:left="460" w:right="826" w:hanging="285"/>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1</w:t>
      </w:r>
      <w:r w:rsidRPr="00460F9E">
        <w:rPr>
          <w:rFonts w:eastAsia="Times New Roman" w:cs="Times New Roman"/>
          <w:sz w:val="18"/>
        </w:rPr>
        <w:t>) MET-AEL, SCR veya SNCR (amonyak kayması) kullanımından kaynaklanan amonyağın havaya kanalize emisyonları için geçerli değildir. Bu MET 17 kapsamındadır.</w:t>
      </w:r>
    </w:p>
    <w:p w14:paraId="3969D1FE" w14:textId="77777777" w:rsidR="00A52778" w:rsidRPr="00460F9E" w:rsidRDefault="00A52778" w:rsidP="00A52778">
      <w:pPr>
        <w:spacing w:line="188" w:lineRule="auto"/>
        <w:ind w:left="180"/>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2</w:t>
      </w:r>
      <w:r w:rsidRPr="00460F9E">
        <w:rPr>
          <w:rFonts w:eastAsia="Times New Roman" w:cs="Times New Roman"/>
          <w:sz w:val="18"/>
        </w:rPr>
        <w:t>)  MET-AEL küçük emisyonlar için geçerli değildir (yani NH</w:t>
      </w:r>
      <w:r w:rsidRPr="00460F9E">
        <w:rPr>
          <w:rFonts w:eastAsia="Times New Roman" w:cs="Times New Roman"/>
          <w:sz w:val="18"/>
          <w:vertAlign w:val="subscript"/>
        </w:rPr>
        <w:t>3</w:t>
      </w:r>
      <w:r w:rsidRPr="00460F9E">
        <w:rPr>
          <w:rFonts w:eastAsia="Times New Roman" w:cs="Times New Roman"/>
          <w:sz w:val="18"/>
        </w:rPr>
        <w:t xml:space="preserve"> kütle akışı örneğin 50 g/saat’ in altında olduğunda).</w:t>
      </w:r>
    </w:p>
    <w:p w14:paraId="2BA9DFBB" w14:textId="77777777" w:rsidR="00A52778" w:rsidRPr="00460F9E" w:rsidRDefault="00A52778" w:rsidP="00A52778">
      <w:pPr>
        <w:spacing w:line="193" w:lineRule="auto"/>
        <w:ind w:left="460" w:right="826" w:hanging="285"/>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3</w:t>
      </w:r>
      <w:r w:rsidRPr="00460F9E">
        <w:rPr>
          <w:rFonts w:eastAsia="Times New Roman" w:cs="Times New Roman"/>
          <w:sz w:val="18"/>
        </w:rPr>
        <w:t>) E-PVC üretiminde kurutma aşaması söz konusu olduğunda, ürün kalitesi spesifikasyonları nedeniyle amonyum tuzlarının ikamesi mümkün olmadığında MET-AEL aralığının üst ucu daha yüksek olabilir ve 20 mg/Nm</w:t>
      </w:r>
      <w:r w:rsidRPr="00460F9E">
        <w:rPr>
          <w:rFonts w:eastAsia="Times New Roman" w:cs="Times New Roman"/>
          <w:vertAlign w:val="superscript"/>
        </w:rPr>
        <w:t>3</w:t>
      </w:r>
      <w:r w:rsidRPr="00460F9E">
        <w:rPr>
          <w:rFonts w:eastAsia="Times New Roman" w:cs="Times New Roman"/>
          <w:sz w:val="18"/>
        </w:rPr>
        <w:t>' e kadar çıkabilir.</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8"/>
      </w:tblGrid>
      <w:tr w:rsidR="00A52778" w14:paraId="51838ACF" w14:textId="77777777" w:rsidTr="00FC3F8E">
        <w:trPr>
          <w:trHeight w:val="6153"/>
        </w:trPr>
        <w:tc>
          <w:tcPr>
            <w:tcW w:w="8528" w:type="dxa"/>
          </w:tcPr>
          <w:p w14:paraId="2EF8D656" w14:textId="77777777" w:rsidR="00A52778" w:rsidRPr="00460F9E" w:rsidRDefault="00A52778" w:rsidP="00FC3F8E">
            <w:pPr>
              <w:spacing w:line="7" w:lineRule="exact"/>
              <w:ind w:left="-3"/>
              <w:rPr>
                <w:rFonts w:eastAsia="Times New Roman" w:cs="Times New Roman"/>
                <w:b/>
              </w:rPr>
            </w:pPr>
          </w:p>
          <w:p w14:paraId="1B436D12" w14:textId="77777777" w:rsidR="00A52778" w:rsidRPr="00460F9E" w:rsidRDefault="00A52778" w:rsidP="00FC3F8E">
            <w:pPr>
              <w:spacing w:line="203" w:lineRule="auto"/>
              <w:ind w:left="457" w:right="826" w:hanging="285"/>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4</w:t>
            </w:r>
            <w:r w:rsidRPr="00460F9E">
              <w:rPr>
                <w:rFonts w:eastAsia="Times New Roman" w:cs="Times New Roman"/>
                <w:sz w:val="18"/>
              </w:rPr>
              <w:t>) MET-AEL küçük emisyonlar için geçerli değildir (yani ilgili maddenin kütle akışı örneğin 5 g/saat’ in altında olduğunda).</w:t>
            </w:r>
          </w:p>
          <w:p w14:paraId="04BC1E7D" w14:textId="77777777" w:rsidR="00A52778" w:rsidRPr="00460F9E" w:rsidRDefault="00A52778" w:rsidP="00FC3F8E">
            <w:pPr>
              <w:spacing w:line="4" w:lineRule="exact"/>
              <w:ind w:left="-3"/>
              <w:rPr>
                <w:rFonts w:eastAsia="Times New Roman" w:cs="Times New Roman"/>
                <w:b/>
              </w:rPr>
            </w:pPr>
          </w:p>
          <w:p w14:paraId="3FEA57CF" w14:textId="77777777" w:rsidR="00A52778" w:rsidRPr="00460F9E" w:rsidRDefault="00A52778" w:rsidP="00FC3F8E">
            <w:pPr>
              <w:spacing w:line="182" w:lineRule="auto"/>
              <w:ind w:left="457" w:right="826" w:hanging="285"/>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5</w:t>
            </w:r>
            <w:r w:rsidRPr="00460F9E">
              <w:rPr>
                <w:rFonts w:eastAsia="Times New Roman" w:cs="Times New Roman"/>
                <w:sz w:val="18"/>
              </w:rPr>
              <w:t>) NO</w:t>
            </w:r>
            <w:r w:rsidRPr="00460F9E">
              <w:rPr>
                <w:rFonts w:eastAsia="Times New Roman" w:cs="Times New Roman"/>
                <w:sz w:val="18"/>
                <w:vertAlign w:val="subscript"/>
              </w:rPr>
              <w:t>X</w:t>
            </w:r>
            <w:r w:rsidRPr="00460F9E">
              <w:rPr>
                <w:rFonts w:eastAsia="Times New Roman" w:cs="Times New Roman"/>
                <w:sz w:val="18"/>
              </w:rPr>
              <w:t xml:space="preserve"> konsantrasyonlarının 100 mg/Nm</w:t>
            </w:r>
            <w:r w:rsidRPr="00460F9E">
              <w:rPr>
                <w:rFonts w:eastAsia="Times New Roman" w:cs="Times New Roman"/>
                <w:vertAlign w:val="superscript"/>
              </w:rPr>
              <w:t>3</w:t>
            </w:r>
            <w:r w:rsidRPr="00460F9E">
              <w:rPr>
                <w:rFonts w:eastAsia="Times New Roman" w:cs="Times New Roman"/>
                <w:sz w:val="18"/>
              </w:rPr>
              <w:t>' ün üzerinde olması durumunda, analitik girişim nedeniyle MET-AEL aralığının üst ucu daha yüksek ve 3 mg/Nm</w:t>
            </w:r>
            <w:r w:rsidRPr="00460F9E">
              <w:rPr>
                <w:rFonts w:eastAsia="Times New Roman" w:cs="Times New Roman"/>
                <w:vertAlign w:val="superscript"/>
              </w:rPr>
              <w:t>3</w:t>
            </w:r>
            <w:r w:rsidRPr="00460F9E">
              <w:rPr>
                <w:rFonts w:eastAsia="Times New Roman" w:cs="Times New Roman"/>
                <w:sz w:val="18"/>
              </w:rPr>
              <w:t>' e kadar çıkabilir.</w:t>
            </w:r>
          </w:p>
          <w:p w14:paraId="1C377518" w14:textId="77777777" w:rsidR="00A52778" w:rsidRPr="00460F9E" w:rsidRDefault="00A52778" w:rsidP="00FC3F8E">
            <w:pPr>
              <w:spacing w:line="180" w:lineRule="auto"/>
              <w:ind w:left="177"/>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6</w:t>
            </w:r>
            <w:r w:rsidRPr="00460F9E">
              <w:rPr>
                <w:rFonts w:eastAsia="Times New Roman" w:cs="Times New Roman"/>
                <w:sz w:val="18"/>
              </w:rPr>
              <w:t>)  MET-AEL küçük emisyonlar için geçerli değildir (yani HCl kütle akışı örneğin 30 g/saat' in altında olduğunda).</w:t>
            </w:r>
          </w:p>
          <w:p w14:paraId="1693EBD8" w14:textId="77777777" w:rsidR="00A52778" w:rsidRPr="00460F9E" w:rsidRDefault="00A52778" w:rsidP="00FC3F8E">
            <w:pPr>
              <w:spacing w:line="187" w:lineRule="auto"/>
              <w:ind w:left="457" w:right="826" w:hanging="285"/>
              <w:rPr>
                <w:rFonts w:eastAsia="Times New Roman" w:cs="Times New Roman"/>
                <w:b/>
                <w:sz w:val="17"/>
              </w:rPr>
            </w:pPr>
            <w:r w:rsidRPr="00460F9E">
              <w:rPr>
                <w:rFonts w:eastAsia="Times New Roman" w:cs="Times New Roman"/>
                <w:sz w:val="17"/>
              </w:rPr>
              <w:t>(</w:t>
            </w:r>
            <w:r w:rsidRPr="00460F9E">
              <w:rPr>
                <w:rFonts w:eastAsia="Times New Roman" w:cs="Times New Roman"/>
                <w:sz w:val="23"/>
                <w:vertAlign w:val="superscript"/>
              </w:rPr>
              <w:t>7</w:t>
            </w:r>
            <w:r w:rsidRPr="00460F9E">
              <w:rPr>
                <w:rFonts w:eastAsia="Times New Roman" w:cs="Times New Roman"/>
                <w:sz w:val="17"/>
              </w:rPr>
              <w:t>) Patlayıcı üretimi söz konusu olduğunda, üretim sürecinden nitrik asidin rejenere edilmesi veya geri kazanılması sırasında MET-AEL aralığının üst ucu daha yüksek olabilir ve 220 mg/Nm</w:t>
            </w:r>
            <w:r w:rsidRPr="00460F9E">
              <w:rPr>
                <w:rFonts w:eastAsia="Times New Roman" w:cs="Times New Roman"/>
                <w:vertAlign w:val="superscript"/>
              </w:rPr>
              <w:t>3</w:t>
            </w:r>
            <w:r w:rsidRPr="00460F9E">
              <w:rPr>
                <w:rFonts w:eastAsia="Times New Roman" w:cs="Times New Roman"/>
                <w:sz w:val="17"/>
              </w:rPr>
              <w:t>' e kadar çıkabilir.</w:t>
            </w:r>
          </w:p>
          <w:p w14:paraId="43CB73F1" w14:textId="77777777" w:rsidR="00A52778" w:rsidRPr="00460F9E" w:rsidRDefault="00A52778" w:rsidP="00FC3F8E">
            <w:pPr>
              <w:spacing w:line="1" w:lineRule="exact"/>
              <w:ind w:left="-3"/>
              <w:rPr>
                <w:rFonts w:eastAsia="Times New Roman" w:cs="Times New Roman"/>
                <w:b/>
              </w:rPr>
            </w:pPr>
          </w:p>
          <w:p w14:paraId="6F2BC069" w14:textId="77777777" w:rsidR="00A52778" w:rsidRPr="00460F9E" w:rsidRDefault="00A52778" w:rsidP="00FC3F8E">
            <w:pPr>
              <w:spacing w:line="203" w:lineRule="auto"/>
              <w:ind w:left="457" w:right="826" w:hanging="285"/>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8</w:t>
            </w:r>
            <w:r w:rsidRPr="00460F9E">
              <w:rPr>
                <w:rFonts w:eastAsia="Times New Roman" w:cs="Times New Roman"/>
                <w:sz w:val="18"/>
              </w:rPr>
              <w:t>)</w:t>
            </w:r>
            <w:r w:rsidRPr="00460F9E">
              <w:rPr>
                <w:rFonts w:eastAsia="Times New Roman" w:cs="Times New Roman"/>
                <w:color w:val="FFFFFF"/>
                <w:sz w:val="18"/>
              </w:rPr>
              <w:t xml:space="preserve">. </w:t>
            </w:r>
            <w:r w:rsidRPr="00460F9E">
              <w:rPr>
                <w:rFonts w:eastAsia="Times New Roman" w:cs="Times New Roman"/>
                <w:sz w:val="18"/>
              </w:rPr>
              <w:t>MET-AEL, katalitik veya termal oksidasyon kullanımından (bkz. MET 16) veya proses fırınlarından/ısıtıcılarından (bkz. MET 36) kaynaklanan NO</w:t>
            </w:r>
            <w:r w:rsidRPr="00460F9E">
              <w:rPr>
                <w:rFonts w:eastAsia="Times New Roman" w:cs="Times New Roman"/>
                <w:sz w:val="18"/>
                <w:vertAlign w:val="subscript"/>
              </w:rPr>
              <w:t>X</w:t>
            </w:r>
            <w:r w:rsidRPr="00460F9E">
              <w:rPr>
                <w:rFonts w:eastAsia="Times New Roman" w:cs="Times New Roman"/>
                <w:sz w:val="18"/>
              </w:rPr>
              <w:t>' in havaya kanalize edilen emisyonları için geçerli değildir.</w:t>
            </w:r>
          </w:p>
          <w:p w14:paraId="7C817081" w14:textId="77777777" w:rsidR="00A52778" w:rsidRPr="00460F9E" w:rsidRDefault="00A52778" w:rsidP="00FC3F8E">
            <w:pPr>
              <w:spacing w:line="3" w:lineRule="exact"/>
              <w:ind w:left="-3"/>
              <w:rPr>
                <w:rFonts w:eastAsia="Times New Roman" w:cs="Times New Roman"/>
                <w:b/>
              </w:rPr>
            </w:pPr>
          </w:p>
          <w:p w14:paraId="0CC60884" w14:textId="77777777" w:rsidR="00A52778" w:rsidRPr="00460F9E" w:rsidRDefault="00A52778" w:rsidP="00FC3F8E">
            <w:pPr>
              <w:spacing w:line="203" w:lineRule="auto"/>
              <w:ind w:left="457" w:right="826" w:hanging="285"/>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9</w:t>
            </w:r>
            <w:r w:rsidRPr="00460F9E">
              <w:rPr>
                <w:rFonts w:eastAsia="Times New Roman" w:cs="Times New Roman"/>
                <w:sz w:val="18"/>
              </w:rPr>
              <w:t>)  MET-AEL küçük emisyonlar için geçerli değildir (yani ilgili maddenin kütle akışı örneğin 500 g/saat’ in altında olduğunda).</w:t>
            </w:r>
          </w:p>
          <w:p w14:paraId="244168FA" w14:textId="77777777" w:rsidR="00A52778" w:rsidRPr="00460F9E" w:rsidRDefault="00A52778" w:rsidP="00FC3F8E">
            <w:pPr>
              <w:spacing w:line="4" w:lineRule="exact"/>
              <w:ind w:left="-3"/>
              <w:rPr>
                <w:rFonts w:eastAsia="Times New Roman" w:cs="Times New Roman"/>
                <w:b/>
              </w:rPr>
            </w:pPr>
          </w:p>
          <w:p w14:paraId="7C64FB0F" w14:textId="77777777" w:rsidR="00A52778" w:rsidRPr="00460F9E" w:rsidRDefault="00A52778" w:rsidP="00FC3F8E">
            <w:pPr>
              <w:spacing w:line="195" w:lineRule="auto"/>
              <w:ind w:left="457" w:right="826" w:hanging="285"/>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10</w:t>
            </w:r>
            <w:r w:rsidRPr="00460F9E">
              <w:rPr>
                <w:rFonts w:eastAsia="Times New Roman" w:cs="Times New Roman"/>
                <w:sz w:val="18"/>
              </w:rPr>
              <w:t>) Kaprolaktam üretimi söz konusu olduğunda, SCR veya SNCR' nin azaltma verimi ≥ %99 olduğunda, SCR veya SNCR ile arıtmadan önce çok yüksek seviyelerde NO</w:t>
            </w:r>
            <w:r w:rsidRPr="00460F9E">
              <w:rPr>
                <w:rFonts w:eastAsia="Times New Roman" w:cs="Times New Roman"/>
                <w:sz w:val="18"/>
                <w:vertAlign w:val="subscript"/>
              </w:rPr>
              <w:t>X</w:t>
            </w:r>
            <w:r w:rsidRPr="00460F9E">
              <w:rPr>
                <w:rFonts w:eastAsia="Times New Roman" w:cs="Times New Roman"/>
                <w:sz w:val="18"/>
              </w:rPr>
              <w:t xml:space="preserve"> (örneğin 10 000 mg/Nm</w:t>
            </w:r>
            <w:r w:rsidRPr="00460F9E">
              <w:rPr>
                <w:rFonts w:eastAsia="Times New Roman" w:cs="Times New Roman"/>
                <w:vertAlign w:val="superscript"/>
              </w:rPr>
              <w:t>3</w:t>
            </w:r>
            <w:r w:rsidRPr="00460F9E">
              <w:rPr>
                <w:rFonts w:eastAsia="Times New Roman" w:cs="Times New Roman"/>
                <w:sz w:val="18"/>
              </w:rPr>
              <w:t>' ün üzerinde) içeren proses çıkış gazları durumunda MET-AEL aralığının üst ucu daha yüksek olabilir ve 200 mg/Nm</w:t>
            </w:r>
            <w:r w:rsidRPr="00460F9E">
              <w:rPr>
                <w:rFonts w:eastAsia="Times New Roman" w:cs="Times New Roman"/>
                <w:vertAlign w:val="superscript"/>
              </w:rPr>
              <w:t>3</w:t>
            </w:r>
            <w:r w:rsidRPr="00460F9E">
              <w:rPr>
                <w:rFonts w:eastAsia="Times New Roman" w:cs="Times New Roman"/>
                <w:sz w:val="18"/>
              </w:rPr>
              <w:t>' e kadar çıkabilir.</w:t>
            </w:r>
          </w:p>
          <w:p w14:paraId="49007026" w14:textId="77777777" w:rsidR="00A52778" w:rsidRPr="00460F9E" w:rsidRDefault="00A52778" w:rsidP="00FC3F8E">
            <w:pPr>
              <w:spacing w:line="5" w:lineRule="exact"/>
              <w:ind w:left="-3"/>
              <w:rPr>
                <w:rFonts w:eastAsia="Times New Roman" w:cs="Times New Roman"/>
                <w:b/>
              </w:rPr>
            </w:pPr>
          </w:p>
          <w:p w14:paraId="30DB4BD4" w14:textId="77777777" w:rsidR="00A52778" w:rsidRPr="00460F9E" w:rsidRDefault="00A52778" w:rsidP="00FC3F8E">
            <w:pPr>
              <w:ind w:left="177"/>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11</w:t>
            </w:r>
            <w:r w:rsidRPr="00460F9E">
              <w:rPr>
                <w:rFonts w:eastAsia="Times New Roman" w:cs="Times New Roman"/>
                <w:sz w:val="18"/>
              </w:rPr>
              <w:t xml:space="preserve">) MET-AEL, kullanılmış sülfürik asidin fiziksel olarak saflaştırılması veya yeniden konsantre edilmesi durumu </w:t>
            </w:r>
          </w:p>
          <w:p w14:paraId="67F8DEAD" w14:textId="77777777" w:rsidR="00A52778" w:rsidRDefault="00A52778" w:rsidP="00FC3F8E">
            <w:pPr>
              <w:spacing w:line="7" w:lineRule="exact"/>
              <w:ind w:left="-3"/>
              <w:rPr>
                <w:rFonts w:eastAsia="Times New Roman" w:cs="Times New Roman"/>
                <w:b/>
              </w:rPr>
            </w:pPr>
            <w:r w:rsidRPr="00460F9E">
              <w:rPr>
                <w:rFonts w:eastAsia="Times New Roman" w:cs="Times New Roman"/>
                <w:sz w:val="18"/>
              </w:rPr>
              <w:t xml:space="preserve">           söz </w:t>
            </w:r>
          </w:p>
        </w:tc>
      </w:tr>
    </w:tbl>
    <w:p w14:paraId="3E70F99F" w14:textId="77777777" w:rsidR="00A52778" w:rsidRPr="00460F9E" w:rsidRDefault="00A52778" w:rsidP="00A52778">
      <w:pPr>
        <w:ind w:left="180"/>
        <w:rPr>
          <w:rFonts w:eastAsia="Times New Roman" w:cs="Times New Roman"/>
          <w:b/>
        </w:rPr>
      </w:pPr>
      <w:r w:rsidRPr="00460F9E">
        <w:rPr>
          <w:rFonts w:eastAsia="Times New Roman" w:cs="Times New Roman"/>
          <w:b/>
          <w:noProof/>
          <w:sz w:val="18"/>
          <w:lang w:val="tr-TR" w:eastAsia="tr-TR"/>
        </w:rPr>
        <mc:AlternateContent>
          <mc:Choice Requires="wps">
            <w:drawing>
              <wp:anchor distT="0" distB="0" distL="114300" distR="114300" simplePos="0" relativeHeight="251672576" behindDoc="1" locked="0" layoutInCell="1" allowOverlap="1" wp14:anchorId="1181B08E" wp14:editId="375EF122">
                <wp:simplePos x="0" y="0"/>
                <wp:positionH relativeFrom="column">
                  <wp:posOffset>2540</wp:posOffset>
                </wp:positionH>
                <wp:positionV relativeFrom="paragraph">
                  <wp:posOffset>47625</wp:posOffset>
                </wp:positionV>
                <wp:extent cx="5437505" cy="0"/>
                <wp:effectExtent l="5715" t="9525" r="5080" b="9525"/>
                <wp:wrapNone/>
                <wp:docPr id="30" name="Düz Bağlayıc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5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3F52B" id="Düz Bağlayıcı 3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75pt" to="428.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" strokeweight=".72pt"/>
            </w:pict>
          </mc:Fallback>
        </mc:AlternateContent>
      </w:r>
    </w:p>
    <w:p w14:paraId="0F251B1C" w14:textId="77777777" w:rsidR="00A52778" w:rsidRPr="00460F9E" w:rsidRDefault="00A52778" w:rsidP="00A52778">
      <w:pPr>
        <w:spacing w:line="335" w:lineRule="exact"/>
        <w:rPr>
          <w:rFonts w:eastAsia="Times New Roman" w:cs="Times New Roman"/>
          <w:b/>
        </w:rPr>
      </w:pPr>
    </w:p>
    <w:p w14:paraId="1D8DCC8D" w14:textId="77777777" w:rsidR="00A52778" w:rsidRPr="00460F9E" w:rsidRDefault="00A52778" w:rsidP="00A52778">
      <w:pPr>
        <w:spacing w:line="0" w:lineRule="atLeast"/>
        <w:ind w:left="40"/>
        <w:rPr>
          <w:rFonts w:eastAsia="Times New Roman" w:cs="Times New Roman"/>
          <w:b/>
          <w:color w:val="0000FF"/>
          <w:sz w:val="19"/>
        </w:rPr>
      </w:pPr>
      <w:r w:rsidRPr="00460F9E">
        <w:rPr>
          <w:rFonts w:eastAsia="Times New Roman" w:cs="Times New Roman"/>
        </w:rPr>
        <w:t>İlişkili izleme MET 8' de verilmişt</w:t>
      </w:r>
      <w:r w:rsidRPr="00460F9E">
        <w:rPr>
          <w:rFonts w:cs="Times New Roman"/>
          <w:b/>
          <w:noProof/>
          <w:lang w:val="tr-TR" w:eastAsia="tr-TR"/>
        </w:rPr>
        <mc:AlternateContent>
          <mc:Choice Requires="wps">
            <w:drawing>
              <wp:anchor distT="0" distB="0" distL="114299" distR="114299" simplePos="0" relativeHeight="251681792" behindDoc="0" locked="0" layoutInCell="1" allowOverlap="1" wp14:anchorId="50556C02" wp14:editId="781D6D94">
                <wp:simplePos x="0" y="0"/>
                <wp:positionH relativeFrom="column">
                  <wp:posOffset>10861039</wp:posOffset>
                </wp:positionH>
                <wp:positionV relativeFrom="paragraph">
                  <wp:posOffset>2218690</wp:posOffset>
                </wp:positionV>
                <wp:extent cx="0" cy="1347470"/>
                <wp:effectExtent l="0" t="0" r="19050" b="24130"/>
                <wp:wrapNone/>
                <wp:docPr id="29" name="Düz Bağlayıcı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4747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A01B36" id="Düz Bağlayıcı 29"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55.2pt,174.7pt" to="855.2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" strokecolor="windowText" strokeweight=".5pt">
                <v:stroke joinstyle="miter"/>
                <o:lock v:ext="edit" shapetype="f"/>
              </v:line>
            </w:pict>
          </mc:Fallback>
        </mc:AlternateContent>
      </w:r>
      <w:r w:rsidRPr="00460F9E">
        <w:rPr>
          <w:rFonts w:eastAsia="Times New Roman" w:cs="Times New Roman"/>
        </w:rPr>
        <w:t>ir.</w:t>
      </w:r>
      <w:bookmarkStart w:id="330" w:name="page311"/>
      <w:bookmarkEnd w:id="330"/>
    </w:p>
    <w:p w14:paraId="63ED0CB8" w14:textId="77777777" w:rsidR="00A52778" w:rsidRPr="00460F9E" w:rsidRDefault="00A52778" w:rsidP="00A52778">
      <w:pPr>
        <w:spacing w:line="20" w:lineRule="exact"/>
        <w:rPr>
          <w:rFonts w:eastAsia="Times New Roman" w:cs="Times New Roman"/>
          <w:b/>
        </w:rPr>
      </w:pPr>
    </w:p>
    <w:p w14:paraId="180DE456" w14:textId="77777777" w:rsidR="00A52778" w:rsidRPr="00460F9E" w:rsidRDefault="00A52778" w:rsidP="00A52778">
      <w:pPr>
        <w:pStyle w:val="AralkYok"/>
      </w:pPr>
    </w:p>
    <w:p w14:paraId="67FD6386" w14:textId="77777777" w:rsidR="00A52778" w:rsidRPr="00460F9E" w:rsidRDefault="00A52778" w:rsidP="00A52778">
      <w:pPr>
        <w:pStyle w:val="AralkYok"/>
        <w:rPr>
          <w:rFonts w:eastAsia="Arial"/>
        </w:rPr>
      </w:pPr>
      <w:r>
        <w:rPr>
          <w:rFonts w:eastAsia="Arial"/>
        </w:rPr>
        <w:t>2</w:t>
      </w:r>
      <w:r w:rsidRPr="00460F9E">
        <w:rPr>
          <w:rFonts w:eastAsia="Arial"/>
        </w:rPr>
        <w:t>.1.4</w:t>
      </w:r>
      <w:r w:rsidRPr="00460F9E">
        <w:tab/>
      </w:r>
      <w:bookmarkStart w:id="331" w:name="_Hlk128778214"/>
      <w:r w:rsidRPr="00460F9E">
        <w:rPr>
          <w:rFonts w:eastAsia="Arial"/>
        </w:rPr>
        <w:t>Havaya yayılı VOC emisyonları</w:t>
      </w:r>
      <w:bookmarkEnd w:id="331"/>
    </w:p>
    <w:p w14:paraId="7EDFF2ED" w14:textId="77777777" w:rsidR="00A52778" w:rsidRPr="00460F9E" w:rsidRDefault="00A52778" w:rsidP="00A52778">
      <w:pPr>
        <w:pStyle w:val="GvdeMetni"/>
      </w:pPr>
    </w:p>
    <w:p w14:paraId="707779D6" w14:textId="77777777" w:rsidR="00A52778" w:rsidRPr="00460F9E" w:rsidRDefault="00A52778" w:rsidP="00A52778">
      <w:pPr>
        <w:pStyle w:val="GvdeMetni"/>
        <w:rPr>
          <w:rFonts w:eastAsia="Arial"/>
        </w:rPr>
      </w:pPr>
      <w:r>
        <w:rPr>
          <w:rFonts w:eastAsia="Arial"/>
        </w:rPr>
        <w:t>2</w:t>
      </w:r>
      <w:r w:rsidRPr="00460F9E">
        <w:rPr>
          <w:rFonts w:eastAsia="Arial"/>
        </w:rPr>
        <w:t>.1.4.1</w:t>
      </w:r>
      <w:r w:rsidRPr="00460F9E">
        <w:tab/>
      </w:r>
      <w:bookmarkStart w:id="332" w:name="_Hlk128778397"/>
      <w:r w:rsidRPr="00460F9E">
        <w:rPr>
          <w:rFonts w:eastAsia="Arial"/>
        </w:rPr>
        <w:t>Yayılı VOC emisyonları için yönetim sistemi</w:t>
      </w:r>
    </w:p>
    <w:bookmarkEnd w:id="332"/>
    <w:p w14:paraId="3289FDCE" w14:textId="77777777" w:rsidR="00A52778" w:rsidRPr="00460F9E" w:rsidRDefault="00A52778" w:rsidP="00A52778">
      <w:pPr>
        <w:spacing w:line="308" w:lineRule="exact"/>
        <w:rPr>
          <w:rFonts w:eastAsia="Times New Roman" w:cs="Times New Roman"/>
          <w:b/>
        </w:rPr>
      </w:pPr>
    </w:p>
    <w:p w14:paraId="72DA9370" w14:textId="77777777" w:rsidR="00A52778" w:rsidRPr="00702B4C" w:rsidRDefault="00A52778" w:rsidP="00A52778">
      <w:r>
        <w:t>MET 19:</w:t>
      </w:r>
      <w:r w:rsidRPr="00702B4C">
        <w:t xml:space="preserve"> Havaya yayılı VOC emisyonlarını önlemek veya bunun uygulanabilir olmadığı durumlarda azaltmak için MET, çevre yönetim sisteminin bir parçası olarak yayılı VOC emisyonları için aşağıdaki özelliklerin tümünü içeren bir yönetim sistemi hazırlamak ve uygulamaktır (bkz. MET 1):</w:t>
      </w:r>
    </w:p>
    <w:p w14:paraId="46571417" w14:textId="77777777" w:rsidR="00A52778" w:rsidRPr="00460F9E" w:rsidRDefault="00A52778" w:rsidP="00A52778">
      <w:pPr>
        <w:spacing w:line="292" w:lineRule="exact"/>
        <w:rPr>
          <w:rFonts w:eastAsia="Times New Roman" w:cs="Times New Roman"/>
          <w:b/>
        </w:rPr>
      </w:pPr>
    </w:p>
    <w:p w14:paraId="15AA9F7C" w14:textId="77777777" w:rsidR="00A52778" w:rsidRPr="00460F9E" w:rsidRDefault="00A52778" w:rsidP="00BF2B30">
      <w:pPr>
        <w:numPr>
          <w:ilvl w:val="0"/>
          <w:numId w:val="212"/>
        </w:numPr>
        <w:tabs>
          <w:tab w:val="left" w:pos="1540"/>
        </w:tabs>
        <w:spacing w:line="0" w:lineRule="atLeast"/>
        <w:ind w:left="333" w:hanging="226"/>
        <w:jc w:val="left"/>
        <w:rPr>
          <w:rFonts w:eastAsia="Times New Roman" w:cs="Times New Roman"/>
          <w:b/>
        </w:rPr>
      </w:pPr>
      <w:r w:rsidRPr="00460F9E">
        <w:rPr>
          <w:rFonts w:eastAsia="Times New Roman" w:cs="Times New Roman"/>
        </w:rPr>
        <w:t xml:space="preserve">Yayılı VOC emisyonlarının yıllık miktarının tahmin edilmesi (bkz. </w:t>
      </w:r>
      <w:hyperlink w:anchor="page312" w:history="1">
        <w:r w:rsidRPr="00460F9E">
          <w:rPr>
            <w:rFonts w:eastAsia="Times New Roman" w:cs="Times New Roman"/>
          </w:rPr>
          <w:t>MET 20)</w:t>
        </w:r>
      </w:hyperlink>
      <w:r w:rsidRPr="00460F9E">
        <w:rPr>
          <w:rFonts w:eastAsia="Times New Roman" w:cs="Times New Roman"/>
        </w:rPr>
        <w:t>.</w:t>
      </w:r>
    </w:p>
    <w:p w14:paraId="4DB50574" w14:textId="77777777" w:rsidR="00A52778" w:rsidRPr="00460F9E" w:rsidRDefault="00A52778" w:rsidP="00A52778">
      <w:pPr>
        <w:spacing w:line="10" w:lineRule="exact"/>
        <w:rPr>
          <w:rFonts w:eastAsia="Times New Roman" w:cs="Times New Roman"/>
          <w:b/>
        </w:rPr>
      </w:pPr>
    </w:p>
    <w:p w14:paraId="349F0FD4" w14:textId="77777777" w:rsidR="00A52778" w:rsidRPr="00460F9E" w:rsidRDefault="00A52778" w:rsidP="00BF2B30">
      <w:pPr>
        <w:numPr>
          <w:ilvl w:val="0"/>
          <w:numId w:val="212"/>
        </w:numPr>
        <w:tabs>
          <w:tab w:val="left" w:pos="1540"/>
        </w:tabs>
        <w:spacing w:line="235" w:lineRule="auto"/>
        <w:ind w:left="333" w:right="20" w:hanging="226"/>
        <w:jc w:val="left"/>
        <w:rPr>
          <w:rFonts w:eastAsia="Times New Roman" w:cs="Times New Roman"/>
          <w:b/>
        </w:rPr>
      </w:pPr>
      <w:r w:rsidRPr="00460F9E">
        <w:rPr>
          <w:rFonts w:eastAsia="Times New Roman" w:cs="Times New Roman"/>
        </w:rPr>
        <w:t xml:space="preserve">Mümkünse, bir solvent kütle bilançosu yaparak solvent kullanımından kaynaklanan yayılı VOC emisyonlarının izlenmesi (bkz. </w:t>
      </w:r>
      <w:hyperlink w:anchor="page313" w:history="1">
        <w:r w:rsidRPr="00460F9E">
          <w:rPr>
            <w:rFonts w:eastAsia="Times New Roman" w:cs="Times New Roman"/>
          </w:rPr>
          <w:t>MET 21)</w:t>
        </w:r>
      </w:hyperlink>
      <w:r w:rsidRPr="00460F9E">
        <w:rPr>
          <w:rFonts w:eastAsia="Times New Roman" w:cs="Times New Roman"/>
        </w:rPr>
        <w:t>.</w:t>
      </w:r>
    </w:p>
    <w:p w14:paraId="552F05F1" w14:textId="77777777" w:rsidR="00A52778" w:rsidRPr="00460F9E" w:rsidRDefault="00A52778" w:rsidP="00A52778">
      <w:pPr>
        <w:spacing w:line="10" w:lineRule="exact"/>
        <w:rPr>
          <w:rFonts w:eastAsia="Times New Roman" w:cs="Times New Roman"/>
          <w:b/>
        </w:rPr>
      </w:pPr>
    </w:p>
    <w:p w14:paraId="0803C4CC" w14:textId="77777777" w:rsidR="00A52778" w:rsidRPr="00460F9E" w:rsidRDefault="00A52778" w:rsidP="00BF2B30">
      <w:pPr>
        <w:numPr>
          <w:ilvl w:val="0"/>
          <w:numId w:val="212"/>
        </w:numPr>
        <w:tabs>
          <w:tab w:val="left" w:pos="1540"/>
        </w:tabs>
        <w:spacing w:line="237" w:lineRule="auto"/>
        <w:ind w:left="333" w:right="20" w:hanging="226"/>
        <w:rPr>
          <w:rFonts w:eastAsia="Times New Roman" w:cs="Times New Roman"/>
          <w:b/>
        </w:rPr>
      </w:pPr>
      <w:r w:rsidRPr="00460F9E">
        <w:rPr>
          <w:rFonts w:eastAsia="Times New Roman" w:cs="Times New Roman"/>
        </w:rPr>
        <w:t>Kaçak VOC emisyonları için bir kaçak tespit ve onarım (LDAR) programının oluşturulması ve uygulanması. LDAR programı, tesisin niteliğine, büyüklüğüne ve karmaşıklığına göre tipik olarak 1 ila 5 yıl arası sürer (5 yıl, yüksek emisyon kaynaklarına sahip büyük tesislere karşılık gelebilir).</w:t>
      </w:r>
    </w:p>
    <w:p w14:paraId="13A17C36" w14:textId="77777777" w:rsidR="00A52778" w:rsidRPr="00460F9E" w:rsidRDefault="00A52778" w:rsidP="00A52778">
      <w:pPr>
        <w:spacing w:line="2" w:lineRule="exact"/>
        <w:rPr>
          <w:rFonts w:eastAsia="Times New Roman" w:cs="Times New Roman"/>
          <w:b/>
        </w:rPr>
      </w:pPr>
    </w:p>
    <w:p w14:paraId="3526DCA3" w14:textId="77777777" w:rsidR="00A52778" w:rsidRPr="00460F9E" w:rsidRDefault="00A52778" w:rsidP="00A52778">
      <w:pPr>
        <w:spacing w:line="0" w:lineRule="atLeast"/>
        <w:ind w:left="1540"/>
        <w:rPr>
          <w:rFonts w:eastAsia="Times New Roman" w:cs="Times New Roman"/>
          <w:b/>
        </w:rPr>
      </w:pPr>
      <w:r w:rsidRPr="00460F9E">
        <w:rPr>
          <w:rFonts w:eastAsia="Times New Roman" w:cs="Times New Roman"/>
        </w:rPr>
        <w:t>LDAR programı aşağıdaki özelliklerin tümünü içerir:</w:t>
      </w:r>
    </w:p>
    <w:p w14:paraId="2EEB3BD2" w14:textId="77777777" w:rsidR="00A52778" w:rsidRPr="00460F9E" w:rsidRDefault="00A52778" w:rsidP="00A52778">
      <w:pPr>
        <w:spacing w:line="10" w:lineRule="exact"/>
        <w:rPr>
          <w:rFonts w:eastAsia="Times New Roman" w:cs="Times New Roman"/>
          <w:b/>
        </w:rPr>
      </w:pPr>
    </w:p>
    <w:p w14:paraId="1162C2A1" w14:textId="77777777" w:rsidR="00A52778" w:rsidRPr="00460F9E" w:rsidRDefault="00A52778" w:rsidP="00BF2B30">
      <w:pPr>
        <w:numPr>
          <w:ilvl w:val="1"/>
          <w:numId w:val="212"/>
        </w:numPr>
        <w:tabs>
          <w:tab w:val="left" w:pos="1900"/>
        </w:tabs>
        <w:spacing w:line="234" w:lineRule="auto"/>
        <w:ind w:left="1177" w:right="20" w:hanging="226"/>
        <w:jc w:val="left"/>
        <w:rPr>
          <w:rFonts w:eastAsia="Times New Roman" w:cs="Times New Roman"/>
          <w:b/>
        </w:rPr>
      </w:pPr>
      <w:r w:rsidRPr="00460F9E">
        <w:rPr>
          <w:rFonts w:eastAsia="Times New Roman" w:cs="Times New Roman"/>
        </w:rPr>
        <w:t xml:space="preserve">Yayılı VOC emisyonları envanterinde ilgili kaçak VOC emisyon kaynakları olarak tanımlanan ekipmanların listelenmesi (bkz </w:t>
      </w:r>
      <w:hyperlink w:anchor="page295" w:history="1">
        <w:r w:rsidRPr="00460F9E">
          <w:rPr>
            <w:rFonts w:eastAsia="Times New Roman" w:cs="Times New Roman"/>
          </w:rPr>
          <w:t>MET 2)</w:t>
        </w:r>
      </w:hyperlink>
      <w:r w:rsidRPr="00460F9E">
        <w:rPr>
          <w:rFonts w:eastAsia="Times New Roman" w:cs="Times New Roman"/>
        </w:rPr>
        <w:t>.</w:t>
      </w:r>
    </w:p>
    <w:p w14:paraId="14D15E14" w14:textId="77777777" w:rsidR="00A52778" w:rsidRPr="00460F9E" w:rsidRDefault="00A52778" w:rsidP="00A52778">
      <w:pPr>
        <w:spacing w:line="1" w:lineRule="exact"/>
        <w:rPr>
          <w:rFonts w:eastAsia="Times New Roman" w:cs="Times New Roman"/>
          <w:b/>
        </w:rPr>
      </w:pPr>
    </w:p>
    <w:p w14:paraId="3F12D299" w14:textId="77777777" w:rsidR="00A52778" w:rsidRPr="00460F9E" w:rsidRDefault="00A52778" w:rsidP="00BF2B30">
      <w:pPr>
        <w:numPr>
          <w:ilvl w:val="1"/>
          <w:numId w:val="212"/>
        </w:numPr>
        <w:tabs>
          <w:tab w:val="left" w:pos="1900"/>
        </w:tabs>
        <w:spacing w:line="0" w:lineRule="atLeast"/>
        <w:ind w:left="1177" w:hanging="226"/>
        <w:jc w:val="left"/>
        <w:rPr>
          <w:rFonts w:eastAsia="Times New Roman" w:cs="Times New Roman"/>
          <w:b/>
        </w:rPr>
      </w:pPr>
      <w:r w:rsidRPr="00460F9E">
        <w:rPr>
          <w:rFonts w:eastAsia="Times New Roman" w:cs="Times New Roman"/>
        </w:rPr>
        <w:t>Aşağıdakilerle ilişkili kriterlerin tanımlaması:</w:t>
      </w:r>
    </w:p>
    <w:p w14:paraId="50260D4D" w14:textId="77777777" w:rsidR="00A52778" w:rsidRPr="00460F9E" w:rsidRDefault="00A52778" w:rsidP="00A52778">
      <w:pPr>
        <w:spacing w:line="11" w:lineRule="exact"/>
        <w:rPr>
          <w:rFonts w:eastAsia="Times New Roman" w:cs="Times New Roman"/>
          <w:b/>
        </w:rPr>
      </w:pPr>
    </w:p>
    <w:p w14:paraId="5ED91505" w14:textId="77777777" w:rsidR="00A52778" w:rsidRPr="00460F9E" w:rsidRDefault="00A52778" w:rsidP="00BF2B30">
      <w:pPr>
        <w:numPr>
          <w:ilvl w:val="0"/>
          <w:numId w:val="213"/>
        </w:numPr>
        <w:tabs>
          <w:tab w:val="left" w:pos="2540"/>
        </w:tabs>
        <w:spacing w:line="232" w:lineRule="auto"/>
        <w:ind w:left="223" w:hanging="116"/>
        <w:rPr>
          <w:rFonts w:eastAsia="Courier New" w:cs="Times New Roman"/>
          <w:b/>
        </w:rPr>
      </w:pPr>
      <w:r w:rsidRPr="00460F9E">
        <w:rPr>
          <w:rFonts w:eastAsia="Times New Roman" w:cs="Times New Roman"/>
        </w:rPr>
        <w:t>Sızdıran ekipmanlar. Tipik kriterler, ekipmanların sızıntı yaptığının kabul edildiği bir sızıntı eşiği ve/veya bir sızıntının OGI kameraları ile görüntülenmesi olabilir. Bu, emisyon kaynağının özelliklerine (örneğin erişilebilirlik) ve çıkış yapan madde(ler)in tehlikeli özelliklerine bağlıdır.</w:t>
      </w:r>
    </w:p>
    <w:p w14:paraId="490836AF" w14:textId="77777777" w:rsidR="00A52778" w:rsidRPr="00460F9E" w:rsidRDefault="00A52778" w:rsidP="00A52778">
      <w:pPr>
        <w:spacing w:line="17" w:lineRule="exact"/>
        <w:rPr>
          <w:rFonts w:eastAsia="Times New Roman" w:cs="Times New Roman"/>
          <w:b/>
        </w:rPr>
      </w:pPr>
    </w:p>
    <w:p w14:paraId="5B26B78E" w14:textId="77777777" w:rsidR="00A52778" w:rsidRPr="00460F9E" w:rsidRDefault="00A52778" w:rsidP="00BF2B30">
      <w:pPr>
        <w:numPr>
          <w:ilvl w:val="3"/>
          <w:numId w:val="214"/>
        </w:numPr>
        <w:tabs>
          <w:tab w:val="left" w:pos="2540"/>
        </w:tabs>
        <w:spacing w:line="237" w:lineRule="auto"/>
        <w:ind w:left="2880" w:hanging="360"/>
        <w:rPr>
          <w:rFonts w:eastAsia="Courier New" w:cs="Times New Roman"/>
          <w:b/>
        </w:rPr>
      </w:pPr>
      <w:r w:rsidRPr="00460F9E">
        <w:rPr>
          <w:rFonts w:eastAsia="Times New Roman" w:cs="Times New Roman"/>
        </w:rPr>
        <w:t>Gerçekleştirilecek bakım ve/veya onarım eylemleri. Tipik bir kriter, bakım veya onarım eylemini tetikleyen bir VOC konsantrasyon eşiği olabilir (bakım/onarım eşiği). Bakım/onarım eşiği genellikle sızıntı eşiğine eşit veya daha yüksektir. Bu, emisyon kaynağının özelliklerine (örneğin erişilebilirlik) ve çıkış yapan madde(ler)in tehlikeli özelliklerine bağlıdır. İlk LDAR programı için, CMR 1A veya 1B olarak sınıflandırılan VOC' ler haricindeki VOC' ler için genellikle en fazla 5 000 ppmv ve CMR 1A veya 1B olarak sınıflandırılan VOC' ler için 1 000 ppmv ' dir. Sonraki LDAR programları için bakım/onarım eşiği düşürülür (bkz. madde vi. a.) ve CMR 1A veya 1B olarak sınıflandırılan VOC' ler haricindeki VOC' ler için 1 000 ppmv' den ve CMR 1A veya 1B olarak sınıflandırılan VOC' ler için 500 ppmv' den yüksek olmamak üzere 100 ppmv hedeflenir.</w:t>
      </w:r>
    </w:p>
    <w:p w14:paraId="775CB692" w14:textId="77777777" w:rsidR="00A52778" w:rsidRPr="00460F9E" w:rsidRDefault="00A52778" w:rsidP="00A52778">
      <w:pPr>
        <w:spacing w:line="20" w:lineRule="exact"/>
        <w:rPr>
          <w:rFonts w:eastAsia="Courier New" w:cs="Times New Roman"/>
          <w:b/>
        </w:rPr>
      </w:pPr>
    </w:p>
    <w:p w14:paraId="3AD50623" w14:textId="77777777" w:rsidR="00A52778" w:rsidRPr="00460F9E" w:rsidRDefault="00A52778" w:rsidP="00BF2B30">
      <w:pPr>
        <w:numPr>
          <w:ilvl w:val="1"/>
          <w:numId w:val="215"/>
        </w:numPr>
        <w:tabs>
          <w:tab w:val="left" w:pos="1900"/>
        </w:tabs>
        <w:spacing w:line="234" w:lineRule="auto"/>
        <w:ind w:left="961" w:hanging="238"/>
        <w:jc w:val="left"/>
        <w:rPr>
          <w:rFonts w:eastAsia="Times New Roman" w:cs="Times New Roman"/>
          <w:b/>
        </w:rPr>
      </w:pPr>
      <w:r w:rsidRPr="00460F9E">
        <w:rPr>
          <w:rFonts w:eastAsia="Times New Roman" w:cs="Times New Roman"/>
        </w:rPr>
        <w:t xml:space="preserve">Madde iii. a altında listelenen ekipmanlardan kaynaklanan kaçak VOC emisyonlarının ölçülmesi. (bkz. </w:t>
      </w:r>
      <w:hyperlink w:anchor="page314" w:history="1">
        <w:r w:rsidRPr="00460F9E">
          <w:rPr>
            <w:rFonts w:eastAsia="Times New Roman" w:cs="Times New Roman"/>
          </w:rPr>
          <w:t>MET 22)</w:t>
        </w:r>
      </w:hyperlink>
      <w:r w:rsidRPr="00460F9E">
        <w:rPr>
          <w:rFonts w:eastAsia="Times New Roman" w:cs="Times New Roman"/>
        </w:rPr>
        <w:t>.</w:t>
      </w:r>
    </w:p>
    <w:p w14:paraId="19593360" w14:textId="77777777" w:rsidR="00A52778" w:rsidRPr="00460F9E" w:rsidRDefault="00A52778" w:rsidP="00A52778">
      <w:pPr>
        <w:spacing w:line="13" w:lineRule="exact"/>
        <w:rPr>
          <w:rFonts w:eastAsia="Times New Roman" w:cs="Times New Roman"/>
          <w:b/>
        </w:rPr>
      </w:pPr>
    </w:p>
    <w:p w14:paraId="0E14A85E" w14:textId="77777777" w:rsidR="00A52778" w:rsidRPr="00460F9E" w:rsidRDefault="00A52778" w:rsidP="00BF2B30">
      <w:pPr>
        <w:numPr>
          <w:ilvl w:val="1"/>
          <w:numId w:val="215"/>
        </w:numPr>
        <w:tabs>
          <w:tab w:val="left" w:pos="1900"/>
        </w:tabs>
        <w:spacing w:line="238" w:lineRule="auto"/>
        <w:ind w:left="961" w:hanging="238"/>
        <w:rPr>
          <w:rFonts w:eastAsia="Times New Roman" w:cs="Times New Roman"/>
          <w:b/>
        </w:rPr>
      </w:pPr>
      <w:r w:rsidRPr="00460F9E">
        <w:rPr>
          <w:rFonts w:eastAsia="Times New Roman" w:cs="Times New Roman"/>
        </w:rPr>
        <w:t>Bakım ve/veya onarım faaliyetlerinin (bkz. MET 23, e. ve f. teknikleri) mümkün olan en kısa sürede ve gerektiğinde iii. b maddesinde tanımlanan kriterlere göre gerçekleştirilmesi. Bakım ve onarım faaliyetlerine, çıkış yapan madde(ler)in tehlikeli özelliklerine, emisyonların önemine ve/veya operasyonel kısıtlamalara göre öncelik verilir. Bakım ve/veya onarım faaliyetlerinin etkinliği, müdahaleden sonra yeterli zaman bırakılarak (örneğin 2 ay) iii. c. maddesine göre doğrulanır.</w:t>
      </w:r>
    </w:p>
    <w:p w14:paraId="498BE45B" w14:textId="77777777" w:rsidR="00A52778" w:rsidRPr="00460F9E" w:rsidRDefault="00A52778" w:rsidP="00A52778">
      <w:pPr>
        <w:spacing w:line="2" w:lineRule="exact"/>
        <w:rPr>
          <w:rFonts w:eastAsia="Times New Roman" w:cs="Times New Roman"/>
          <w:b/>
        </w:rPr>
      </w:pPr>
    </w:p>
    <w:p w14:paraId="16C45878" w14:textId="77777777" w:rsidR="00A52778" w:rsidRPr="00460F9E" w:rsidRDefault="00A52778" w:rsidP="00BF2B30">
      <w:pPr>
        <w:numPr>
          <w:ilvl w:val="1"/>
          <w:numId w:val="215"/>
        </w:numPr>
        <w:tabs>
          <w:tab w:val="left" w:pos="1900"/>
        </w:tabs>
        <w:spacing w:line="0" w:lineRule="atLeast"/>
        <w:ind w:left="961" w:hanging="238"/>
        <w:jc w:val="left"/>
        <w:rPr>
          <w:rFonts w:eastAsia="Times New Roman" w:cs="Times New Roman"/>
          <w:b/>
        </w:rPr>
      </w:pPr>
      <w:r w:rsidRPr="00460F9E">
        <w:rPr>
          <w:rFonts w:eastAsia="Times New Roman" w:cs="Times New Roman"/>
        </w:rPr>
        <w:t xml:space="preserve">Madde v' de belirtilen veri tabanının doldurulması. </w:t>
      </w:r>
    </w:p>
    <w:p w14:paraId="0582AC2B" w14:textId="77777777" w:rsidR="00A52778" w:rsidRPr="00460F9E" w:rsidRDefault="00A52778" w:rsidP="00A52778">
      <w:pPr>
        <w:spacing w:line="11" w:lineRule="exact"/>
        <w:rPr>
          <w:rFonts w:eastAsia="Times New Roman" w:cs="Times New Roman"/>
          <w:b/>
        </w:rPr>
      </w:pPr>
    </w:p>
    <w:p w14:paraId="0113A66C" w14:textId="77777777" w:rsidR="00A52778" w:rsidRPr="00460F9E" w:rsidRDefault="00A52778" w:rsidP="00BF2B30">
      <w:pPr>
        <w:numPr>
          <w:ilvl w:val="0"/>
          <w:numId w:val="216"/>
        </w:numPr>
        <w:tabs>
          <w:tab w:val="left" w:pos="1540"/>
        </w:tabs>
        <w:spacing w:line="234" w:lineRule="auto"/>
        <w:ind w:left="333" w:hanging="226"/>
        <w:jc w:val="left"/>
        <w:rPr>
          <w:rFonts w:eastAsia="Times New Roman" w:cs="Times New Roman"/>
          <w:b/>
        </w:rPr>
      </w:pPr>
      <w:r w:rsidRPr="00460F9E">
        <w:rPr>
          <w:rFonts w:eastAsia="Times New Roman" w:cs="Times New Roman"/>
        </w:rPr>
        <w:t>Kaçak olmayan VOC emisyonları için aşağıdaki özelliklerin tümünü içeren bir tespit ve azaltma programının oluşturulması ve uygulanması:</w:t>
      </w:r>
    </w:p>
    <w:p w14:paraId="69E42492" w14:textId="77777777" w:rsidR="00A52778" w:rsidRPr="00460F9E" w:rsidRDefault="00A52778" w:rsidP="00A52778">
      <w:pPr>
        <w:spacing w:line="13" w:lineRule="exact"/>
        <w:rPr>
          <w:rFonts w:eastAsia="Times New Roman" w:cs="Times New Roman"/>
          <w:b/>
        </w:rPr>
      </w:pPr>
    </w:p>
    <w:p w14:paraId="705BDCBD" w14:textId="77777777" w:rsidR="00A52778" w:rsidRPr="00460F9E" w:rsidRDefault="00A52778" w:rsidP="00BF2B30">
      <w:pPr>
        <w:numPr>
          <w:ilvl w:val="1"/>
          <w:numId w:val="216"/>
        </w:numPr>
        <w:tabs>
          <w:tab w:val="left" w:pos="1900"/>
        </w:tabs>
        <w:spacing w:line="234" w:lineRule="auto"/>
        <w:ind w:left="1176" w:right="20" w:hanging="226"/>
        <w:jc w:val="left"/>
        <w:rPr>
          <w:rFonts w:eastAsia="Times New Roman" w:cs="Times New Roman"/>
          <w:b/>
        </w:rPr>
      </w:pPr>
      <w:r w:rsidRPr="00460F9E">
        <w:rPr>
          <w:rFonts w:eastAsia="Times New Roman" w:cs="Times New Roman"/>
        </w:rPr>
        <w:t xml:space="preserve">Yayılı VOC emisyonları envanterinde ilgili kaçak olmayan VOC emisyon kaynakları olarak tanımlanan ekipmanların listelenmesi (bkz. </w:t>
      </w:r>
      <w:hyperlink w:anchor="page295" w:history="1">
        <w:r w:rsidRPr="00460F9E">
          <w:rPr>
            <w:rFonts w:eastAsia="Times New Roman" w:cs="Times New Roman"/>
          </w:rPr>
          <w:t>MET 2)</w:t>
        </w:r>
      </w:hyperlink>
      <w:r w:rsidRPr="00460F9E">
        <w:rPr>
          <w:rFonts w:eastAsia="Times New Roman" w:cs="Times New Roman"/>
        </w:rPr>
        <w:t>.</w:t>
      </w:r>
    </w:p>
    <w:p w14:paraId="0F3032F4" w14:textId="77777777" w:rsidR="00A52778" w:rsidRPr="00460F9E" w:rsidRDefault="00A52778" w:rsidP="00A52778">
      <w:pPr>
        <w:spacing w:line="10" w:lineRule="exact"/>
        <w:rPr>
          <w:rFonts w:eastAsia="Times New Roman" w:cs="Times New Roman"/>
          <w:b/>
        </w:rPr>
      </w:pPr>
    </w:p>
    <w:p w14:paraId="471F6A85" w14:textId="77777777" w:rsidR="00A52778" w:rsidRPr="00460F9E" w:rsidRDefault="00A52778" w:rsidP="00BF2B30">
      <w:pPr>
        <w:numPr>
          <w:ilvl w:val="1"/>
          <w:numId w:val="216"/>
        </w:numPr>
        <w:tabs>
          <w:tab w:val="left" w:pos="1900"/>
        </w:tabs>
        <w:spacing w:line="235" w:lineRule="auto"/>
        <w:ind w:left="1176" w:hanging="226"/>
        <w:jc w:val="left"/>
        <w:rPr>
          <w:rFonts w:eastAsia="Times New Roman" w:cs="Times New Roman"/>
          <w:b/>
        </w:rPr>
      </w:pPr>
      <w:r w:rsidRPr="00460F9E">
        <w:rPr>
          <w:rFonts w:eastAsia="Times New Roman" w:cs="Times New Roman"/>
        </w:rPr>
        <w:t xml:space="preserve">Madde iv. a altında listelenen ekipmanlardan kaynaklanan kaçak olmayan VOC emisyonlarının izlenmesi. (see </w:t>
      </w:r>
      <w:hyperlink w:anchor="page314" w:history="1">
        <w:r w:rsidRPr="00460F9E">
          <w:rPr>
            <w:rFonts w:eastAsia="Times New Roman" w:cs="Times New Roman"/>
          </w:rPr>
          <w:t>MET 22)</w:t>
        </w:r>
      </w:hyperlink>
      <w:r w:rsidRPr="00460F9E">
        <w:rPr>
          <w:rFonts w:eastAsia="Times New Roman" w:cs="Times New Roman"/>
        </w:rPr>
        <w:t>.</w:t>
      </w:r>
    </w:p>
    <w:p w14:paraId="1B464CC8" w14:textId="77777777" w:rsidR="00A52778" w:rsidRPr="00460F9E" w:rsidRDefault="00A52778" w:rsidP="00A52778">
      <w:pPr>
        <w:spacing w:line="10" w:lineRule="exact"/>
        <w:rPr>
          <w:rFonts w:eastAsia="Times New Roman" w:cs="Times New Roman"/>
          <w:b/>
        </w:rPr>
      </w:pPr>
    </w:p>
    <w:p w14:paraId="72FC4DAD" w14:textId="77777777" w:rsidR="00A52778" w:rsidRPr="00460F9E" w:rsidRDefault="00A52778" w:rsidP="00BF2B30">
      <w:pPr>
        <w:numPr>
          <w:ilvl w:val="1"/>
          <w:numId w:val="216"/>
        </w:numPr>
        <w:tabs>
          <w:tab w:val="left" w:pos="1900"/>
        </w:tabs>
        <w:spacing w:line="0" w:lineRule="atLeast"/>
        <w:ind w:left="1176" w:hanging="226"/>
        <w:rPr>
          <w:rFonts w:eastAsia="Times New Roman" w:cs="Times New Roman"/>
          <w:b/>
        </w:rPr>
      </w:pPr>
      <w:r w:rsidRPr="00460F9E">
        <w:rPr>
          <w:rFonts w:eastAsia="Times New Roman" w:cs="Times New Roman"/>
        </w:rPr>
        <w:t>Kaçak olmayan VOC emisyonlarını azaltmak için tekniklerin planlanması ve uygulanması (bkz. MET 23, a., c. ve g.’ den j.’ ye kadar  teknikler). Tekniklerin planlanması ve uygulanması, çıkış yapan madde(ler)in tehlikeli özelliklerine, emisyonların önemine ve/veya operasyonel kısıtlamalara göre önceliklendirilir.</w:t>
      </w:r>
    </w:p>
    <w:p w14:paraId="543CC874" w14:textId="77777777" w:rsidR="00A52778" w:rsidRPr="00460F9E" w:rsidRDefault="00A52778" w:rsidP="00A52778">
      <w:pPr>
        <w:spacing w:line="20" w:lineRule="exact"/>
        <w:rPr>
          <w:rFonts w:eastAsia="Times New Roman" w:cs="Times New Roman"/>
          <w:b/>
        </w:rPr>
        <w:sectPr w:rsidR="00A52778" w:rsidRPr="00460F9E">
          <w:pgSz w:w="11900" w:h="16838"/>
          <w:pgMar w:top="718" w:right="1440" w:bottom="145" w:left="1140" w:header="0" w:footer="0" w:gutter="0"/>
          <w:cols w:space="0" w:equalWidth="0">
            <w:col w:w="9326"/>
          </w:cols>
          <w:docGrid w:linePitch="360"/>
        </w:sectPr>
      </w:pPr>
      <w:bookmarkStart w:id="333" w:name="page312"/>
      <w:bookmarkEnd w:id="333"/>
    </w:p>
    <w:p w14:paraId="3AE2E57B" w14:textId="77777777" w:rsidR="00A52778" w:rsidRPr="00460F9E" w:rsidRDefault="00A52778" w:rsidP="00A52778">
      <w:pPr>
        <w:spacing w:line="188" w:lineRule="exact"/>
        <w:rPr>
          <w:rFonts w:eastAsia="Times New Roman" w:cs="Times New Roman"/>
          <w:b/>
        </w:rPr>
      </w:pPr>
    </w:p>
    <w:p w14:paraId="2D8A6345" w14:textId="77777777" w:rsidR="00A52778" w:rsidRPr="00460F9E" w:rsidRDefault="00A52778" w:rsidP="00BF2B30">
      <w:pPr>
        <w:numPr>
          <w:ilvl w:val="1"/>
          <w:numId w:val="217"/>
        </w:numPr>
        <w:tabs>
          <w:tab w:val="left" w:pos="1060"/>
        </w:tabs>
        <w:spacing w:line="0" w:lineRule="atLeast"/>
        <w:ind w:left="1142" w:hanging="226"/>
        <w:jc w:val="left"/>
        <w:rPr>
          <w:rFonts w:eastAsia="Times New Roman" w:cs="Times New Roman"/>
          <w:b/>
        </w:rPr>
      </w:pPr>
      <w:r w:rsidRPr="00460F9E">
        <w:rPr>
          <w:rFonts w:eastAsia="Times New Roman" w:cs="Times New Roman"/>
        </w:rPr>
        <w:t>Madde v' de belirtilen veri tabanının doldurulması</w:t>
      </w:r>
      <w:r w:rsidRPr="00460F9E">
        <w:rPr>
          <w:rFonts w:cs="Times New Roman"/>
        </w:rPr>
        <w:t>.</w:t>
      </w:r>
    </w:p>
    <w:p w14:paraId="310F21C3" w14:textId="77777777" w:rsidR="00A52778" w:rsidRPr="00460F9E" w:rsidRDefault="00A52778" w:rsidP="00A52778">
      <w:pPr>
        <w:spacing w:line="12" w:lineRule="exact"/>
        <w:rPr>
          <w:rFonts w:eastAsia="Times New Roman" w:cs="Times New Roman"/>
          <w:b/>
        </w:rPr>
      </w:pPr>
    </w:p>
    <w:p w14:paraId="2C8F0B8F" w14:textId="77777777" w:rsidR="00A52778" w:rsidRPr="00460F9E" w:rsidRDefault="00A52778" w:rsidP="00BF2B30">
      <w:pPr>
        <w:numPr>
          <w:ilvl w:val="0"/>
          <w:numId w:val="218"/>
        </w:numPr>
        <w:tabs>
          <w:tab w:val="left" w:pos="700"/>
        </w:tabs>
        <w:spacing w:line="234" w:lineRule="auto"/>
        <w:ind w:left="345" w:right="826" w:hanging="238"/>
        <w:jc w:val="left"/>
        <w:rPr>
          <w:rFonts w:eastAsia="Times New Roman" w:cs="Times New Roman"/>
          <w:b/>
        </w:rPr>
      </w:pPr>
      <w:r w:rsidRPr="00460F9E">
        <w:rPr>
          <w:rFonts w:eastAsia="Times New Roman" w:cs="Times New Roman"/>
        </w:rPr>
        <w:t>MET 2' de belirtilen envanterde tanımlanan yayılı VOC emisyon kaynaklarının kaydının tutulması için bir veri tabanının oluşturulması ve sürdürülmesi:</w:t>
      </w:r>
    </w:p>
    <w:p w14:paraId="06BB3F00" w14:textId="77777777" w:rsidR="00A52778" w:rsidRPr="00460F9E" w:rsidRDefault="00A52778" w:rsidP="00A52778">
      <w:pPr>
        <w:spacing w:line="13" w:lineRule="exact"/>
        <w:rPr>
          <w:rFonts w:eastAsia="Times New Roman" w:cs="Times New Roman"/>
          <w:b/>
        </w:rPr>
      </w:pPr>
    </w:p>
    <w:p w14:paraId="586C9281" w14:textId="77777777" w:rsidR="00A52778" w:rsidRPr="00460F9E" w:rsidRDefault="00A52778" w:rsidP="00BF2B30">
      <w:pPr>
        <w:numPr>
          <w:ilvl w:val="1"/>
          <w:numId w:val="218"/>
        </w:numPr>
        <w:tabs>
          <w:tab w:val="left" w:pos="1060"/>
        </w:tabs>
        <w:spacing w:line="234" w:lineRule="auto"/>
        <w:ind w:left="1177" w:right="826" w:hanging="238"/>
        <w:jc w:val="left"/>
        <w:rPr>
          <w:rFonts w:eastAsia="Times New Roman" w:cs="Times New Roman"/>
          <w:b/>
        </w:rPr>
      </w:pPr>
      <w:r w:rsidRPr="00460F9E">
        <w:rPr>
          <w:rFonts w:eastAsia="Times New Roman" w:cs="Times New Roman"/>
        </w:rPr>
        <w:t>ekipmanların tasarım özellikleri (herhangi bir tasarım değişikliğinin tarihi ve açıklaması dahil);</w:t>
      </w:r>
    </w:p>
    <w:p w14:paraId="583D3ED8" w14:textId="77777777" w:rsidR="00A52778" w:rsidRPr="00460F9E" w:rsidRDefault="00A52778" w:rsidP="00A52778">
      <w:pPr>
        <w:spacing w:line="13" w:lineRule="exact"/>
        <w:rPr>
          <w:rFonts w:eastAsia="Times New Roman" w:cs="Times New Roman"/>
          <w:b/>
        </w:rPr>
      </w:pPr>
    </w:p>
    <w:p w14:paraId="40A0D875" w14:textId="77777777" w:rsidR="00A52778" w:rsidRPr="00460F9E" w:rsidRDefault="00A52778" w:rsidP="00BF2B30">
      <w:pPr>
        <w:numPr>
          <w:ilvl w:val="1"/>
          <w:numId w:val="218"/>
        </w:numPr>
        <w:tabs>
          <w:tab w:val="left" w:pos="1060"/>
        </w:tabs>
        <w:spacing w:line="234" w:lineRule="auto"/>
        <w:ind w:left="1177" w:right="826" w:hanging="238"/>
        <w:jc w:val="left"/>
        <w:rPr>
          <w:rFonts w:eastAsia="Times New Roman" w:cs="Times New Roman"/>
          <w:b/>
        </w:rPr>
      </w:pPr>
      <w:r w:rsidRPr="00460F9E">
        <w:rPr>
          <w:rFonts w:eastAsia="Times New Roman" w:cs="Times New Roman"/>
        </w:rPr>
        <w:t>gerçekleştirilen veya planlanan ekipmanların bakım, onarım, model yükseltme veya değiştirme eylemleri ve bunların uygulama tarihleri;</w:t>
      </w:r>
    </w:p>
    <w:p w14:paraId="759CE13C" w14:textId="77777777" w:rsidR="00A52778" w:rsidRPr="00460F9E" w:rsidRDefault="00A52778" w:rsidP="00A52778">
      <w:pPr>
        <w:spacing w:line="10" w:lineRule="exact"/>
        <w:rPr>
          <w:rFonts w:eastAsia="Times New Roman" w:cs="Times New Roman"/>
          <w:b/>
        </w:rPr>
      </w:pPr>
    </w:p>
    <w:p w14:paraId="1E79A7BF" w14:textId="77777777" w:rsidR="00A52778" w:rsidRPr="00460F9E" w:rsidRDefault="00A52778" w:rsidP="00BF2B30">
      <w:pPr>
        <w:numPr>
          <w:ilvl w:val="1"/>
          <w:numId w:val="218"/>
        </w:numPr>
        <w:tabs>
          <w:tab w:val="left" w:pos="1060"/>
        </w:tabs>
        <w:spacing w:line="235" w:lineRule="auto"/>
        <w:ind w:left="1177" w:right="826" w:hanging="238"/>
        <w:jc w:val="left"/>
        <w:rPr>
          <w:rFonts w:eastAsia="Times New Roman" w:cs="Times New Roman"/>
          <w:b/>
        </w:rPr>
      </w:pPr>
      <w:r w:rsidRPr="00460F9E">
        <w:rPr>
          <w:rFonts w:eastAsia="Times New Roman" w:cs="Times New Roman"/>
        </w:rPr>
        <w:t>operasyonel kısıtlamalar nedeniyle bakımı, onarımı, yükseltilmesi veya değiştirilmesi yapılamayan ekipmanlar;</w:t>
      </w:r>
    </w:p>
    <w:p w14:paraId="3C25020F" w14:textId="77777777" w:rsidR="00A52778" w:rsidRPr="00460F9E" w:rsidRDefault="00A52778" w:rsidP="00A52778">
      <w:pPr>
        <w:spacing w:line="10" w:lineRule="exact"/>
        <w:rPr>
          <w:rFonts w:eastAsia="Times New Roman" w:cs="Times New Roman"/>
          <w:b/>
        </w:rPr>
      </w:pPr>
    </w:p>
    <w:p w14:paraId="72CCD1B6" w14:textId="77777777" w:rsidR="00A52778" w:rsidRPr="00460F9E" w:rsidRDefault="00A52778" w:rsidP="00BF2B30">
      <w:pPr>
        <w:numPr>
          <w:ilvl w:val="1"/>
          <w:numId w:val="218"/>
        </w:numPr>
        <w:tabs>
          <w:tab w:val="left" w:pos="1060"/>
        </w:tabs>
        <w:spacing w:line="237" w:lineRule="auto"/>
        <w:ind w:left="1177" w:right="826" w:hanging="238"/>
        <w:rPr>
          <w:rFonts w:eastAsia="Times New Roman" w:cs="Times New Roman"/>
          <w:b/>
        </w:rPr>
      </w:pPr>
      <w:r w:rsidRPr="00460F9E">
        <w:rPr>
          <w:rFonts w:eastAsia="Times New Roman" w:cs="Times New Roman"/>
        </w:rPr>
        <w:t>yayılan madde(ler)in konsantrasyon(lar)ı, hesaplanan sızıntı oranları (kg/yıl olarak), OGI kameralarından alınan kayıtlar (örneğin son LDAR programından) ve ölçümlerin veya izlemenin tarihleri dahil olmak üzere tüm ölçümlerin veya izlemelerin sonuçları;</w:t>
      </w:r>
    </w:p>
    <w:p w14:paraId="36963245" w14:textId="77777777" w:rsidR="00A52778" w:rsidRPr="00460F9E" w:rsidRDefault="00A52778" w:rsidP="00A52778">
      <w:pPr>
        <w:spacing w:line="13" w:lineRule="exact"/>
        <w:rPr>
          <w:rFonts w:eastAsia="Times New Roman" w:cs="Times New Roman"/>
          <w:b/>
        </w:rPr>
      </w:pPr>
    </w:p>
    <w:p w14:paraId="3B136459" w14:textId="77777777" w:rsidR="00A52778" w:rsidRPr="00460F9E" w:rsidRDefault="00A52778" w:rsidP="00BF2B30">
      <w:pPr>
        <w:numPr>
          <w:ilvl w:val="1"/>
          <w:numId w:val="218"/>
        </w:numPr>
        <w:tabs>
          <w:tab w:val="left" w:pos="1060"/>
        </w:tabs>
        <w:spacing w:line="234" w:lineRule="auto"/>
        <w:ind w:left="1177" w:right="826" w:hanging="238"/>
        <w:rPr>
          <w:rFonts w:eastAsia="Times New Roman" w:cs="Times New Roman"/>
          <w:b/>
        </w:rPr>
      </w:pPr>
      <w:r w:rsidRPr="00460F9E">
        <w:rPr>
          <w:rFonts w:eastAsia="Times New Roman" w:cs="Times New Roman"/>
        </w:rPr>
        <w:t>erişilemeyen kaynaklar ve yıl boyunca izlenmeyen erişilebilir kaynaklar hakkındaki bilgiler de dahil olmak üzere, yayılı VOC emisyonlarının yıllık miktarları (kaçak ve kaçak olmayan emisyonlar şeklinde).</w:t>
      </w:r>
    </w:p>
    <w:p w14:paraId="71FD77A8" w14:textId="77777777" w:rsidR="00A52778" w:rsidRPr="00460F9E" w:rsidRDefault="00A52778" w:rsidP="00A52778">
      <w:pPr>
        <w:spacing w:line="11" w:lineRule="exact"/>
        <w:rPr>
          <w:rFonts w:eastAsia="Times New Roman" w:cs="Times New Roman"/>
          <w:b/>
        </w:rPr>
      </w:pPr>
    </w:p>
    <w:p w14:paraId="23E45341" w14:textId="77777777" w:rsidR="00A52778" w:rsidRPr="00460F9E" w:rsidRDefault="00A52778" w:rsidP="00BF2B30">
      <w:pPr>
        <w:numPr>
          <w:ilvl w:val="0"/>
          <w:numId w:val="219"/>
        </w:numPr>
        <w:tabs>
          <w:tab w:val="left" w:pos="700"/>
        </w:tabs>
        <w:spacing w:line="234" w:lineRule="auto"/>
        <w:ind w:left="468" w:right="826" w:hanging="360"/>
        <w:jc w:val="left"/>
        <w:rPr>
          <w:rFonts w:eastAsia="Times New Roman" w:cs="Times New Roman"/>
          <w:b/>
        </w:rPr>
      </w:pPr>
      <w:r w:rsidRPr="00460F9E">
        <w:rPr>
          <w:rFonts w:eastAsia="Times New Roman" w:cs="Times New Roman"/>
        </w:rPr>
        <w:t>LDAR programının periyodik olarak gözden geçirilmesi ve güncellenmesi. Bu, aşağıdakileri içerebilir:</w:t>
      </w:r>
    </w:p>
    <w:p w14:paraId="095ABBC2" w14:textId="77777777" w:rsidR="00A52778" w:rsidRPr="00460F9E" w:rsidRDefault="00A52778" w:rsidP="00A52778">
      <w:pPr>
        <w:spacing w:line="1" w:lineRule="exact"/>
        <w:rPr>
          <w:rFonts w:eastAsia="Times New Roman" w:cs="Times New Roman"/>
          <w:b/>
        </w:rPr>
      </w:pPr>
    </w:p>
    <w:p w14:paraId="78E1BE77" w14:textId="77777777" w:rsidR="00A52778" w:rsidRPr="00460F9E" w:rsidRDefault="00A52778" w:rsidP="00BF2B30">
      <w:pPr>
        <w:numPr>
          <w:ilvl w:val="1"/>
          <w:numId w:val="219"/>
        </w:numPr>
        <w:tabs>
          <w:tab w:val="left" w:pos="1060"/>
        </w:tabs>
        <w:spacing w:line="0" w:lineRule="atLeast"/>
        <w:ind w:left="1188" w:hanging="360"/>
        <w:jc w:val="left"/>
        <w:rPr>
          <w:rFonts w:eastAsia="Times New Roman" w:cs="Times New Roman"/>
          <w:b/>
        </w:rPr>
      </w:pPr>
      <w:r w:rsidRPr="00460F9E">
        <w:rPr>
          <w:rFonts w:eastAsia="Times New Roman" w:cs="Times New Roman"/>
        </w:rPr>
        <w:t>sızıntı ve/veya bakım/onarım eşiklerinin düşürülmesi (bkz. madde iii. b.);</w:t>
      </w:r>
    </w:p>
    <w:p w14:paraId="0754D5E4" w14:textId="77777777" w:rsidR="00A52778" w:rsidRPr="00460F9E" w:rsidRDefault="00A52778" w:rsidP="00A52778">
      <w:pPr>
        <w:spacing w:line="10" w:lineRule="exact"/>
        <w:rPr>
          <w:rFonts w:eastAsia="Times New Roman" w:cs="Times New Roman"/>
          <w:b/>
        </w:rPr>
      </w:pPr>
    </w:p>
    <w:p w14:paraId="5C9E4CA4" w14:textId="77777777" w:rsidR="00A52778" w:rsidRPr="00460F9E" w:rsidRDefault="00A52778" w:rsidP="00BF2B30">
      <w:pPr>
        <w:numPr>
          <w:ilvl w:val="1"/>
          <w:numId w:val="219"/>
        </w:numPr>
        <w:tabs>
          <w:tab w:val="left" w:pos="1060"/>
        </w:tabs>
        <w:spacing w:line="235" w:lineRule="auto"/>
        <w:ind w:left="1188" w:right="826" w:hanging="360"/>
        <w:jc w:val="left"/>
        <w:rPr>
          <w:rFonts w:eastAsia="Times New Roman" w:cs="Times New Roman"/>
          <w:b/>
        </w:rPr>
      </w:pPr>
      <w:r w:rsidRPr="00460F9E">
        <w:rPr>
          <w:rFonts w:eastAsia="Times New Roman" w:cs="Times New Roman"/>
        </w:rPr>
        <w:t>izlenecek ekipmanın öncelik sıralamasının gözden geçirilmesi ve önceki LDAR programı sırasında sızıntı yaptığı tespit edilen ekipmanlara (bunların tiplerine) daha yüksek öncelik verilmesi;</w:t>
      </w:r>
    </w:p>
    <w:p w14:paraId="3FEF0DFD" w14:textId="77777777" w:rsidR="00A52778" w:rsidRPr="00460F9E" w:rsidRDefault="00A52778" w:rsidP="00A52778">
      <w:pPr>
        <w:spacing w:line="10" w:lineRule="exact"/>
        <w:rPr>
          <w:rFonts w:eastAsia="Times New Roman" w:cs="Times New Roman"/>
          <w:b/>
        </w:rPr>
      </w:pPr>
    </w:p>
    <w:p w14:paraId="50F877A7" w14:textId="77777777" w:rsidR="00A52778" w:rsidRPr="00460F9E" w:rsidRDefault="00A52778" w:rsidP="00BF2B30">
      <w:pPr>
        <w:numPr>
          <w:ilvl w:val="1"/>
          <w:numId w:val="219"/>
        </w:numPr>
        <w:tabs>
          <w:tab w:val="left" w:pos="1060"/>
        </w:tabs>
        <w:spacing w:line="236" w:lineRule="auto"/>
        <w:ind w:left="1188" w:right="826" w:hanging="360"/>
        <w:rPr>
          <w:rFonts w:eastAsia="Times New Roman" w:cs="Times New Roman"/>
          <w:b/>
        </w:rPr>
      </w:pPr>
      <w:r w:rsidRPr="00460F9E">
        <w:rPr>
          <w:rFonts w:eastAsia="Times New Roman" w:cs="Times New Roman"/>
        </w:rPr>
        <w:t>operasyonel kısıtlamalar nedeniyle önceki LDAR programı sırasında gerçekleştirilemeyen ekipmanların bakım, onarım, model yükseltme veya değiştirilmelerinin planlanması.</w:t>
      </w:r>
    </w:p>
    <w:p w14:paraId="67132C37" w14:textId="77777777" w:rsidR="00A52778" w:rsidRPr="00460F9E" w:rsidRDefault="00A52778" w:rsidP="00A52778">
      <w:pPr>
        <w:spacing w:line="12" w:lineRule="exact"/>
        <w:rPr>
          <w:rFonts w:eastAsia="Times New Roman" w:cs="Times New Roman"/>
          <w:b/>
        </w:rPr>
      </w:pPr>
    </w:p>
    <w:p w14:paraId="65941F0F" w14:textId="77777777" w:rsidR="00A52778" w:rsidRPr="00460F9E" w:rsidRDefault="00A52778" w:rsidP="00BF2B30">
      <w:pPr>
        <w:numPr>
          <w:ilvl w:val="0"/>
          <w:numId w:val="219"/>
        </w:numPr>
        <w:tabs>
          <w:tab w:val="left" w:pos="700"/>
        </w:tabs>
        <w:spacing w:line="235" w:lineRule="auto"/>
        <w:ind w:left="468" w:right="826" w:hanging="360"/>
        <w:jc w:val="left"/>
        <w:rPr>
          <w:rFonts w:eastAsia="Times New Roman" w:cs="Times New Roman"/>
          <w:b/>
        </w:rPr>
      </w:pPr>
      <w:r w:rsidRPr="00460F9E">
        <w:rPr>
          <w:rFonts w:eastAsia="Times New Roman" w:cs="Times New Roman"/>
        </w:rPr>
        <w:t>Kaçak olmayan VOC emisyonları için tespit ve azaltma programının gözden geçirilmesi ve güncellenmesi. Bu, aşağıdaki şu hususları içerebilir:</w:t>
      </w:r>
    </w:p>
    <w:p w14:paraId="7E785D8F" w14:textId="77777777" w:rsidR="00A52778" w:rsidRPr="00460F9E" w:rsidRDefault="00A52778" w:rsidP="00A52778">
      <w:pPr>
        <w:spacing w:line="10" w:lineRule="exact"/>
        <w:rPr>
          <w:rFonts w:eastAsia="Times New Roman" w:cs="Times New Roman"/>
          <w:b/>
        </w:rPr>
      </w:pPr>
    </w:p>
    <w:p w14:paraId="6AAA325B" w14:textId="77777777" w:rsidR="00A52778" w:rsidRPr="00460F9E" w:rsidRDefault="00A52778" w:rsidP="00BF2B30">
      <w:pPr>
        <w:numPr>
          <w:ilvl w:val="1"/>
          <w:numId w:val="219"/>
        </w:numPr>
        <w:tabs>
          <w:tab w:val="left" w:pos="1060"/>
        </w:tabs>
        <w:spacing w:line="236" w:lineRule="auto"/>
        <w:ind w:left="1188" w:right="826" w:hanging="360"/>
        <w:rPr>
          <w:rFonts w:eastAsia="Times New Roman" w:cs="Times New Roman"/>
          <w:b/>
        </w:rPr>
      </w:pPr>
      <w:r w:rsidRPr="00460F9E">
        <w:rPr>
          <w:rFonts w:eastAsia="Times New Roman" w:cs="Times New Roman"/>
        </w:rPr>
        <w:t>bakım, onarım, model yükseltme veya değiştirme eylemlerinin uygulandığı ekipmanlardan kaynaklanan kaçak olmayan VOC emisyonlarının, bu eylemlerin başarılı olup olmadığını belirlemek amacıyla izlenmesi;</w:t>
      </w:r>
    </w:p>
    <w:p w14:paraId="1E5AAD32" w14:textId="77777777" w:rsidR="00A52778" w:rsidRPr="00460F9E" w:rsidRDefault="00A52778" w:rsidP="00A52778">
      <w:pPr>
        <w:spacing w:line="12" w:lineRule="exact"/>
        <w:rPr>
          <w:rFonts w:eastAsia="Times New Roman" w:cs="Times New Roman"/>
          <w:b/>
        </w:rPr>
      </w:pPr>
    </w:p>
    <w:p w14:paraId="17B30C5E" w14:textId="77777777" w:rsidR="00A52778" w:rsidRPr="00460F9E" w:rsidRDefault="00A52778" w:rsidP="00BF2B30">
      <w:pPr>
        <w:numPr>
          <w:ilvl w:val="1"/>
          <w:numId w:val="219"/>
        </w:numPr>
        <w:tabs>
          <w:tab w:val="left" w:pos="1060"/>
        </w:tabs>
        <w:spacing w:line="235" w:lineRule="auto"/>
        <w:ind w:left="1188" w:right="826" w:hanging="360"/>
        <w:jc w:val="left"/>
        <w:rPr>
          <w:rFonts w:eastAsia="Times New Roman" w:cs="Times New Roman"/>
          <w:b/>
        </w:rPr>
      </w:pPr>
      <w:r w:rsidRPr="00460F9E">
        <w:rPr>
          <w:rFonts w:eastAsia="Times New Roman" w:cs="Times New Roman"/>
        </w:rPr>
        <w:t>operasyonel kısıtlamalar nedeniyle gerçekleştirilemeyen bakım, onarım, model yükseltme veya değiştirme eylemlerinin planlanması.</w:t>
      </w:r>
    </w:p>
    <w:p w14:paraId="4AEE2446" w14:textId="77777777" w:rsidR="00A52778" w:rsidRPr="00460F9E" w:rsidRDefault="00A52778" w:rsidP="00A52778">
      <w:pPr>
        <w:spacing w:line="230" w:lineRule="exact"/>
        <w:rPr>
          <w:rFonts w:eastAsia="Times New Roman" w:cs="Times New Roman"/>
          <w:b/>
        </w:rPr>
      </w:pPr>
    </w:p>
    <w:p w14:paraId="2CF27F20" w14:textId="77777777" w:rsidR="00A52778" w:rsidRPr="00702B4C" w:rsidRDefault="00A52778" w:rsidP="00A52778">
      <w:pPr>
        <w:spacing w:line="0" w:lineRule="atLeast"/>
        <w:rPr>
          <w:rFonts w:eastAsia="Times New Roman" w:cs="Times New Roman"/>
        </w:rPr>
      </w:pPr>
      <w:r w:rsidRPr="00702B4C">
        <w:rPr>
          <w:rFonts w:eastAsia="Times New Roman" w:cs="Times New Roman"/>
        </w:rPr>
        <w:t>Uygulanabilirlik</w:t>
      </w:r>
    </w:p>
    <w:p w14:paraId="6E03C577" w14:textId="77777777" w:rsidR="00A52778" w:rsidRPr="00460F9E" w:rsidRDefault="00A52778" w:rsidP="00A52778">
      <w:pPr>
        <w:spacing w:line="47" w:lineRule="exact"/>
        <w:rPr>
          <w:rFonts w:eastAsia="Times New Roman" w:cs="Times New Roman"/>
          <w:b/>
        </w:rPr>
      </w:pPr>
    </w:p>
    <w:p w14:paraId="21BB5414" w14:textId="77777777" w:rsidR="00A52778" w:rsidRPr="00460F9E" w:rsidRDefault="00A52778" w:rsidP="00A52778">
      <w:pPr>
        <w:spacing w:line="234" w:lineRule="auto"/>
        <w:ind w:right="826"/>
        <w:rPr>
          <w:rFonts w:eastAsia="Times New Roman" w:cs="Times New Roman"/>
          <w:b/>
        </w:rPr>
      </w:pPr>
      <w:r w:rsidRPr="00460F9E">
        <w:rPr>
          <w:rFonts w:eastAsia="Times New Roman" w:cs="Times New Roman"/>
        </w:rPr>
        <w:t>iii., iv., vi. ve vii. özellikleri sadece MET 22' ye göre izlemenin uygulanabilir olduğu yayılı VOC emisyonları kaynakları için geçerlidir.</w:t>
      </w:r>
    </w:p>
    <w:p w14:paraId="2A9541D5" w14:textId="77777777" w:rsidR="00A52778" w:rsidRPr="00460F9E" w:rsidRDefault="00A52778" w:rsidP="00A52778">
      <w:pPr>
        <w:spacing w:line="219" w:lineRule="exact"/>
        <w:rPr>
          <w:rFonts w:eastAsia="Times New Roman" w:cs="Times New Roman"/>
          <w:b/>
        </w:rPr>
      </w:pPr>
    </w:p>
    <w:p w14:paraId="3B0B558E" w14:textId="77777777" w:rsidR="00A52778" w:rsidRPr="00460F9E" w:rsidRDefault="00A52778" w:rsidP="00A52778">
      <w:pPr>
        <w:spacing w:line="235" w:lineRule="auto"/>
        <w:ind w:right="826"/>
        <w:rPr>
          <w:rFonts w:eastAsia="Times New Roman" w:cs="Times New Roman"/>
          <w:b/>
        </w:rPr>
      </w:pPr>
      <w:r w:rsidRPr="00460F9E">
        <w:rPr>
          <w:rFonts w:eastAsia="Times New Roman" w:cs="Times New Roman"/>
        </w:rPr>
        <w:t>Yayılı VOC emisyonları için yönetim sisteminin ayrıntı düzeyi tesisin doğası, büyüklüğü ve karmaşıklığı ve sahip olabileceği çevresel etkiler yelpazesi ile orantılı olacaktır.</w:t>
      </w:r>
    </w:p>
    <w:p w14:paraId="3CDE05DF" w14:textId="77777777" w:rsidR="00A52778" w:rsidRPr="00460F9E" w:rsidRDefault="00A52778" w:rsidP="00A52778">
      <w:pPr>
        <w:spacing w:line="373" w:lineRule="exact"/>
        <w:rPr>
          <w:rFonts w:eastAsia="Times New Roman" w:cs="Times New Roman"/>
          <w:b/>
        </w:rPr>
      </w:pPr>
    </w:p>
    <w:p w14:paraId="2C941B52" w14:textId="77777777" w:rsidR="00A52778" w:rsidRPr="00702B4C" w:rsidRDefault="00A52778" w:rsidP="00A52778">
      <w:pPr>
        <w:tabs>
          <w:tab w:val="left" w:pos="1400"/>
        </w:tabs>
        <w:spacing w:line="0" w:lineRule="atLeast"/>
        <w:rPr>
          <w:rFonts w:eastAsia="Arial" w:cs="Times New Roman"/>
          <w:sz w:val="21"/>
        </w:rPr>
      </w:pPr>
      <w:r w:rsidRPr="00702B4C">
        <w:rPr>
          <w:rFonts w:eastAsia="Arial" w:cs="Times New Roman"/>
        </w:rPr>
        <w:t>4.1.4.2</w:t>
      </w:r>
      <w:r w:rsidRPr="00702B4C">
        <w:rPr>
          <w:rFonts w:eastAsia="Times New Roman" w:cs="Times New Roman"/>
        </w:rPr>
        <w:tab/>
      </w:r>
      <w:r w:rsidRPr="00702B4C">
        <w:rPr>
          <w:rFonts w:eastAsia="Arial" w:cs="Times New Roman"/>
          <w:sz w:val="21"/>
        </w:rPr>
        <w:t>İzleme</w:t>
      </w:r>
    </w:p>
    <w:p w14:paraId="48E8F46D" w14:textId="77777777" w:rsidR="00A52778" w:rsidRPr="00460F9E" w:rsidRDefault="00A52778" w:rsidP="00A52778">
      <w:pPr>
        <w:spacing w:line="263" w:lineRule="exact"/>
        <w:rPr>
          <w:rFonts w:eastAsia="Times New Roman" w:cs="Times New Roman"/>
          <w:b/>
        </w:rPr>
      </w:pPr>
    </w:p>
    <w:p w14:paraId="2BF5D90F" w14:textId="77777777" w:rsidR="00A52778" w:rsidRPr="00702B4C" w:rsidRDefault="00A52778" w:rsidP="00A52778">
      <w:pPr>
        <w:spacing w:line="0" w:lineRule="atLeast"/>
        <w:ind w:right="826"/>
        <w:rPr>
          <w:rFonts w:eastAsia="Times New Roman" w:cs="Times New Roman"/>
        </w:rPr>
      </w:pPr>
      <w:r>
        <w:rPr>
          <w:rFonts w:eastAsia="Times New Roman" w:cs="Times New Roman"/>
        </w:rPr>
        <w:t>MET 20:</w:t>
      </w:r>
      <w:r w:rsidRPr="00702B4C">
        <w:rPr>
          <w:rFonts w:eastAsia="Times New Roman" w:cs="Times New Roman"/>
        </w:rPr>
        <w:t xml:space="preserve"> MET, aşağıda verilen tekniklerden birini veya bir kombinasyonunu kullanarak her yıl en az bir kere havaya salınan kaçak ve kaçak olmayan VOC emisyonlarını ayrı ayrı tahmin etmek ve bu tahminin belirsizliğini tespit etmektir. Tahmin, CMR 1A veya 1B olarak sınıflandırılan VOC' ler ile CMR 1A veya 1B olarak sınıflandırılmayan VOC' ler arasında ayrım yapar.</w:t>
      </w:r>
    </w:p>
    <w:p w14:paraId="1194D7AA" w14:textId="77777777" w:rsidR="00A52778" w:rsidRPr="00460F9E" w:rsidRDefault="00A52778" w:rsidP="00A52778">
      <w:pPr>
        <w:spacing w:line="200" w:lineRule="exact"/>
        <w:rPr>
          <w:rFonts w:eastAsia="Times New Roman" w:cs="Times New Roman"/>
          <w:b/>
        </w:rPr>
      </w:pPr>
    </w:p>
    <w:p w14:paraId="1622459D" w14:textId="77777777" w:rsidR="00A52778" w:rsidRPr="00460F9E" w:rsidRDefault="00A52778" w:rsidP="00A52778">
      <w:pPr>
        <w:spacing w:line="287" w:lineRule="exact"/>
        <w:rPr>
          <w:rFonts w:eastAsia="Times New Roman" w:cs="Times New Roman"/>
          <w:b/>
        </w:rPr>
      </w:pPr>
    </w:p>
    <w:p w14:paraId="3BD55BFF" w14:textId="77777777" w:rsidR="00A52778" w:rsidRPr="00702B4C" w:rsidRDefault="00A52778" w:rsidP="00A52778">
      <w:pPr>
        <w:spacing w:line="0" w:lineRule="atLeast"/>
        <w:rPr>
          <w:rFonts w:eastAsia="Times New Roman" w:cs="Times New Roman"/>
        </w:rPr>
      </w:pPr>
      <w:r w:rsidRPr="00702B4C">
        <w:rPr>
          <w:rFonts w:eastAsia="Times New Roman" w:cs="Times New Roman"/>
        </w:rPr>
        <w:t>Not</w:t>
      </w:r>
    </w:p>
    <w:p w14:paraId="033715D0" w14:textId="77777777" w:rsidR="00A52778" w:rsidRPr="00460F9E" w:rsidRDefault="00A52778" w:rsidP="00A52778">
      <w:pPr>
        <w:spacing w:line="6" w:lineRule="exact"/>
        <w:rPr>
          <w:rFonts w:eastAsia="Times New Roman" w:cs="Times New Roman"/>
          <w:b/>
        </w:rPr>
      </w:pPr>
    </w:p>
    <w:p w14:paraId="734C8DAC" w14:textId="77777777" w:rsidR="00A52778" w:rsidRPr="00460F9E" w:rsidRDefault="00A52778" w:rsidP="00A52778">
      <w:pPr>
        <w:spacing w:line="235" w:lineRule="auto"/>
        <w:ind w:right="826"/>
        <w:rPr>
          <w:rFonts w:eastAsia="Times New Roman" w:cs="Times New Roman"/>
          <w:b/>
        </w:rPr>
      </w:pPr>
      <w:r w:rsidRPr="00460F9E">
        <w:rPr>
          <w:rFonts w:eastAsia="Times New Roman" w:cs="Times New Roman"/>
        </w:rPr>
        <w:t xml:space="preserve">Havaya yayılı VOC emisyonlarının tahmininde MET 21 ve/veya MET 22 uyarınca gerçekleştirilen izleme sonuçları dikkate alınır. </w:t>
      </w:r>
    </w:p>
    <w:p w14:paraId="5AE3F9C5" w14:textId="77777777" w:rsidR="00A52778" w:rsidRPr="00460F9E" w:rsidRDefault="00A52778" w:rsidP="00A52778">
      <w:pPr>
        <w:spacing w:line="241" w:lineRule="exact"/>
        <w:rPr>
          <w:rFonts w:eastAsia="Times New Roman" w:cs="Times New Roman"/>
          <w:b/>
        </w:rPr>
      </w:pPr>
    </w:p>
    <w:p w14:paraId="76F1D5E7" w14:textId="77777777" w:rsidR="00A52778" w:rsidRPr="00460F9E" w:rsidRDefault="00A52778" w:rsidP="00A52778">
      <w:pPr>
        <w:spacing w:line="237" w:lineRule="auto"/>
        <w:ind w:right="826"/>
        <w:rPr>
          <w:rFonts w:eastAsia="Times New Roman" w:cs="Times New Roman"/>
          <w:b/>
        </w:rPr>
      </w:pPr>
      <w:r w:rsidRPr="00460F9E">
        <w:rPr>
          <w:rFonts w:eastAsia="Times New Roman" w:cs="Times New Roman"/>
        </w:rPr>
        <w:t xml:space="preserve">Tahmin amacıyla, atık gaz akışının doğal özellikleri (örn. düşük hızlar, akış hızı ve konsantrasyonun değişkenliği) MET 8' e göre doğru bir ölçüme izin vermediğinde, kanalize emisyonlar kaçak olmayan emisyonlar olarak sayılabilir. </w:t>
      </w:r>
    </w:p>
    <w:p w14:paraId="36A7E8DE" w14:textId="77777777" w:rsidR="00A52778" w:rsidRPr="00460F9E" w:rsidRDefault="00A52778" w:rsidP="00A52778">
      <w:pPr>
        <w:spacing w:line="20" w:lineRule="exact"/>
        <w:rPr>
          <w:rFonts w:eastAsia="Times New Roman" w:cs="Times New Roman"/>
          <w:b/>
        </w:rPr>
      </w:pPr>
    </w:p>
    <w:p w14:paraId="629D607E" w14:textId="77777777" w:rsidR="00A52778" w:rsidRPr="00460F9E" w:rsidRDefault="00A52778" w:rsidP="00A52778">
      <w:pPr>
        <w:spacing w:line="20" w:lineRule="exact"/>
        <w:rPr>
          <w:rFonts w:eastAsia="Times New Roman" w:cs="Times New Roman"/>
          <w:b/>
        </w:rPr>
        <w:sectPr w:rsidR="00A52778" w:rsidRPr="00460F9E">
          <w:type w:val="continuous"/>
          <w:pgSz w:w="11900" w:h="16838"/>
          <w:pgMar w:top="718" w:right="1440" w:bottom="145" w:left="1140" w:header="0" w:footer="0" w:gutter="0"/>
          <w:cols w:space="0" w:equalWidth="0">
            <w:col w:w="9326"/>
          </w:cols>
          <w:docGrid w:linePitch="360"/>
        </w:sectPr>
      </w:pPr>
    </w:p>
    <w:p w14:paraId="4A8BA56E" w14:textId="77777777" w:rsidR="00A52778" w:rsidRPr="00460F9E" w:rsidRDefault="00A52778" w:rsidP="00A52778">
      <w:pPr>
        <w:spacing w:line="200" w:lineRule="exact"/>
        <w:rPr>
          <w:rFonts w:eastAsia="Times New Roman" w:cs="Times New Roman"/>
          <w:b/>
        </w:rPr>
      </w:pPr>
    </w:p>
    <w:p w14:paraId="6A5636C3" w14:textId="77777777" w:rsidR="00A52778" w:rsidRPr="00460F9E" w:rsidRDefault="00A52778" w:rsidP="00A52778">
      <w:pPr>
        <w:spacing w:line="361" w:lineRule="exact"/>
        <w:rPr>
          <w:rFonts w:eastAsia="Times New Roman" w:cs="Times New Roman"/>
          <w:b/>
        </w:rPr>
      </w:pPr>
    </w:p>
    <w:p w14:paraId="087FD3D3" w14:textId="77777777" w:rsidR="00A52778" w:rsidRPr="00460F9E" w:rsidRDefault="00A52778" w:rsidP="00A52778">
      <w:pPr>
        <w:tabs>
          <w:tab w:val="left" w:pos="2320"/>
        </w:tabs>
        <w:spacing w:line="0" w:lineRule="atLeast"/>
        <w:rPr>
          <w:rFonts w:eastAsia="Times New Roman" w:cs="Times New Roman"/>
          <w:b/>
          <w:color w:val="0000FF"/>
        </w:rPr>
      </w:pPr>
      <w:r w:rsidRPr="00460F9E">
        <w:rPr>
          <w:rFonts w:eastAsia="Times New Roman" w:cs="Times New Roman"/>
        </w:rPr>
        <w:tab/>
      </w:r>
    </w:p>
    <w:p w14:paraId="2AEDF83B" w14:textId="77777777" w:rsidR="00A52778" w:rsidRPr="00460F9E" w:rsidRDefault="00A52778" w:rsidP="00A52778">
      <w:pPr>
        <w:tabs>
          <w:tab w:val="left" w:pos="2320"/>
        </w:tabs>
        <w:spacing w:line="0" w:lineRule="atLeast"/>
        <w:rPr>
          <w:rFonts w:eastAsia="Times New Roman" w:cs="Times New Roman"/>
          <w:b/>
          <w:color w:val="0000FF"/>
        </w:rPr>
        <w:sectPr w:rsidR="00A52778" w:rsidRPr="00460F9E">
          <w:type w:val="continuous"/>
          <w:pgSz w:w="11900" w:h="16838"/>
          <w:pgMar w:top="718" w:right="1440" w:bottom="145" w:left="1140" w:header="0" w:footer="0" w:gutter="0"/>
          <w:cols w:space="0" w:equalWidth="0">
            <w:col w:w="9326"/>
          </w:cols>
          <w:docGrid w:linePitch="360"/>
        </w:sectPr>
      </w:pPr>
    </w:p>
    <w:p w14:paraId="0658BA37" w14:textId="77777777" w:rsidR="00A52778" w:rsidRPr="00460F9E" w:rsidRDefault="00A52778" w:rsidP="00A52778">
      <w:pPr>
        <w:spacing w:line="0" w:lineRule="atLeast"/>
        <w:ind w:left="8480"/>
        <w:rPr>
          <w:rFonts w:eastAsia="Times New Roman" w:cs="Times New Roman"/>
          <w:b/>
          <w:color w:val="0000FF"/>
        </w:rPr>
      </w:pPr>
      <w:bookmarkStart w:id="334" w:name="page313"/>
      <w:bookmarkEnd w:id="334"/>
    </w:p>
    <w:p w14:paraId="14EC8E19" w14:textId="77777777" w:rsidR="00A52778" w:rsidRPr="00460F9E" w:rsidRDefault="00A52778" w:rsidP="00A52778">
      <w:pPr>
        <w:spacing w:line="20" w:lineRule="exact"/>
        <w:rPr>
          <w:rFonts w:eastAsia="Times New Roman" w:cs="Times New Roman"/>
          <w:b/>
        </w:rPr>
      </w:pPr>
    </w:p>
    <w:p w14:paraId="52141ED0" w14:textId="77777777" w:rsidR="00A52778" w:rsidRPr="00460F9E" w:rsidRDefault="00A52778" w:rsidP="00A52778">
      <w:pPr>
        <w:spacing w:line="179" w:lineRule="exact"/>
        <w:rPr>
          <w:rFonts w:eastAsia="Times New Roman" w:cs="Times New Roman"/>
          <w:b/>
        </w:rPr>
      </w:pPr>
    </w:p>
    <w:p w14:paraId="68EEE136" w14:textId="77777777" w:rsidR="00A52778" w:rsidRPr="00460F9E" w:rsidRDefault="00A52778" w:rsidP="00A52778">
      <w:pPr>
        <w:spacing w:line="235" w:lineRule="auto"/>
        <w:ind w:left="820" w:right="120"/>
        <w:rPr>
          <w:rFonts w:eastAsia="Times New Roman" w:cs="Times New Roman"/>
          <w:b/>
        </w:rPr>
      </w:pPr>
      <w:r w:rsidRPr="00460F9E">
        <w:rPr>
          <w:rFonts w:eastAsia="Times New Roman" w:cs="Times New Roman"/>
        </w:rPr>
        <w:t>Tahmin belirsizliğinin ana kaynakları belirlenir ve belirsizliği azaltmak için düzeltici eylemler uygulanır.</w:t>
      </w:r>
    </w:p>
    <w:tbl>
      <w:tblPr>
        <w:tblStyle w:val="TabloKlavuzu"/>
        <w:tblW w:w="0" w:type="auto"/>
        <w:tblLook w:val="04A0" w:firstRow="1" w:lastRow="0" w:firstColumn="1" w:lastColumn="0" w:noHBand="0" w:noVBand="1"/>
      </w:tblPr>
      <w:tblGrid>
        <w:gridCol w:w="3143"/>
        <w:gridCol w:w="3143"/>
        <w:gridCol w:w="3144"/>
      </w:tblGrid>
      <w:tr w:rsidR="00A52778" w14:paraId="2F06849B" w14:textId="77777777" w:rsidTr="00FC3F8E">
        <w:tc>
          <w:tcPr>
            <w:tcW w:w="3143" w:type="dxa"/>
            <w:vAlign w:val="bottom"/>
          </w:tcPr>
          <w:p w14:paraId="2F42B1AE" w14:textId="77777777" w:rsidR="00A52778" w:rsidRPr="00460F9E" w:rsidRDefault="00A52778" w:rsidP="00FC3F8E">
            <w:pPr>
              <w:spacing w:line="0" w:lineRule="atLeast"/>
              <w:ind w:left="820"/>
              <w:rPr>
                <w:rFonts w:eastAsia="Times New Roman" w:cs="Times New Roman"/>
                <w:b/>
              </w:rPr>
            </w:pPr>
            <w:r w:rsidRPr="00460F9E">
              <w:rPr>
                <w:rFonts w:eastAsia="Times New Roman" w:cs="Times New Roman"/>
              </w:rPr>
              <w:t>Teknikler</w:t>
            </w:r>
          </w:p>
        </w:tc>
        <w:tc>
          <w:tcPr>
            <w:tcW w:w="3143" w:type="dxa"/>
            <w:vAlign w:val="bottom"/>
          </w:tcPr>
          <w:p w14:paraId="2CA72A9E"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Tanımlar</w:t>
            </w:r>
          </w:p>
        </w:tc>
        <w:tc>
          <w:tcPr>
            <w:tcW w:w="3144" w:type="dxa"/>
            <w:vAlign w:val="bottom"/>
          </w:tcPr>
          <w:p w14:paraId="241AB10A" w14:textId="77777777" w:rsidR="00A52778" w:rsidRPr="00460F9E" w:rsidRDefault="00A52778" w:rsidP="00FC3F8E">
            <w:pPr>
              <w:spacing w:line="0" w:lineRule="atLeast"/>
              <w:jc w:val="center"/>
              <w:rPr>
                <w:rFonts w:eastAsia="Times New Roman" w:cs="Times New Roman"/>
                <w:b/>
                <w:w w:val="98"/>
              </w:rPr>
            </w:pPr>
            <w:r w:rsidRPr="00460F9E">
              <w:rPr>
                <w:rFonts w:eastAsia="Times New Roman" w:cs="Times New Roman"/>
                <w:w w:val="98"/>
              </w:rPr>
              <w:t>Emisyon</w:t>
            </w:r>
            <w:r w:rsidRPr="00460F9E">
              <w:rPr>
                <w:rFonts w:eastAsia="Times New Roman" w:cs="Times New Roman"/>
                <w:w w:val="88"/>
              </w:rPr>
              <w:t xml:space="preserve"> türleri</w:t>
            </w:r>
          </w:p>
        </w:tc>
      </w:tr>
      <w:tr w:rsidR="00A52778" w14:paraId="6160A3B2" w14:textId="77777777" w:rsidTr="00FC3F8E">
        <w:tc>
          <w:tcPr>
            <w:tcW w:w="3143" w:type="dxa"/>
            <w:vAlign w:val="bottom"/>
          </w:tcPr>
          <w:p w14:paraId="2819FC16" w14:textId="77777777" w:rsidR="00A52778" w:rsidRPr="00460F9E" w:rsidRDefault="00A52778" w:rsidP="00FC3F8E">
            <w:pPr>
              <w:spacing w:line="218" w:lineRule="exact"/>
              <w:ind w:left="80"/>
              <w:rPr>
                <w:rFonts w:eastAsia="Times New Roman" w:cs="Times New Roman"/>
                <w:b/>
              </w:rPr>
            </w:pPr>
            <w:r w:rsidRPr="00460F9E">
              <w:rPr>
                <w:rFonts w:eastAsia="Times New Roman" w:cs="Times New Roman"/>
              </w:rPr>
              <w:t>Emisyon faktörlerinin kullanımı</w:t>
            </w:r>
          </w:p>
        </w:tc>
        <w:tc>
          <w:tcPr>
            <w:tcW w:w="3143" w:type="dxa"/>
            <w:vAlign w:val="bottom"/>
          </w:tcPr>
          <w:p w14:paraId="07E8A04D" w14:textId="77777777" w:rsidR="00A52778" w:rsidRPr="00460F9E" w:rsidRDefault="00A52778" w:rsidP="00FC3F8E">
            <w:pPr>
              <w:spacing w:line="218" w:lineRule="exact"/>
              <w:ind w:left="100"/>
              <w:rPr>
                <w:rFonts w:eastAsia="Times New Roman" w:cs="Times New Roman"/>
                <w:b/>
              </w:rPr>
            </w:pPr>
            <w:r w:rsidRPr="00460F9E">
              <w:rPr>
                <w:rFonts w:eastAsia="Times New Roman" w:cs="Times New Roman"/>
              </w:rPr>
              <w:t xml:space="preserve">Bkz. Bölüm </w:t>
            </w:r>
            <w:hyperlink w:anchor="page334" w:history="1">
              <w:r w:rsidRPr="00460F9E">
                <w:rPr>
                  <w:rFonts w:eastAsia="Times New Roman" w:cs="Times New Roman"/>
                </w:rPr>
                <w:t>4.4.2.</w:t>
              </w:r>
            </w:hyperlink>
          </w:p>
        </w:tc>
        <w:tc>
          <w:tcPr>
            <w:tcW w:w="3144" w:type="dxa"/>
            <w:vAlign w:val="bottom"/>
          </w:tcPr>
          <w:p w14:paraId="025A6851" w14:textId="77777777" w:rsidR="00A52778" w:rsidRPr="00460F9E" w:rsidRDefault="00A52778" w:rsidP="00FC3F8E">
            <w:pPr>
              <w:spacing w:line="228" w:lineRule="exact"/>
              <w:jc w:val="center"/>
              <w:rPr>
                <w:rFonts w:eastAsia="Times New Roman" w:cs="Times New Roman"/>
                <w:b/>
                <w:w w:val="88"/>
              </w:rPr>
            </w:pPr>
          </w:p>
        </w:tc>
      </w:tr>
      <w:tr w:rsidR="00A52778" w14:paraId="7162CE83" w14:textId="77777777" w:rsidTr="00FC3F8E">
        <w:tc>
          <w:tcPr>
            <w:tcW w:w="3143" w:type="dxa"/>
          </w:tcPr>
          <w:p w14:paraId="5374CD50" w14:textId="77777777" w:rsidR="00A52778" w:rsidRPr="009F3A70" w:rsidRDefault="00A52778" w:rsidP="00BF2B30">
            <w:pPr>
              <w:pStyle w:val="ListeParagraf"/>
              <w:numPr>
                <w:ilvl w:val="0"/>
                <w:numId w:val="225"/>
              </w:numPr>
              <w:spacing w:line="357" w:lineRule="exact"/>
              <w:contextualSpacing w:val="0"/>
              <w:jc w:val="left"/>
              <w:rPr>
                <w:rFonts w:eastAsia="Times New Roman" w:cs="Times New Roman"/>
                <w:b/>
                <w:sz w:val="22"/>
                <w:szCs w:val="24"/>
              </w:rPr>
            </w:pPr>
            <w:r w:rsidRPr="009F3A70">
              <w:rPr>
                <w:rFonts w:eastAsia="Times New Roman" w:cs="Times New Roman"/>
                <w:sz w:val="22"/>
                <w:szCs w:val="24"/>
              </w:rPr>
              <w:t xml:space="preserve">Kütle bilançosu kullanımı </w:t>
            </w:r>
          </w:p>
        </w:tc>
        <w:tc>
          <w:tcPr>
            <w:tcW w:w="3143" w:type="dxa"/>
          </w:tcPr>
          <w:p w14:paraId="42F56B40" w14:textId="77777777" w:rsidR="00A52778" w:rsidRDefault="00A52778" w:rsidP="00FC3F8E">
            <w:pPr>
              <w:spacing w:line="228" w:lineRule="exact"/>
              <w:ind w:left="100"/>
              <w:rPr>
                <w:rFonts w:eastAsia="Times New Roman" w:cs="Times New Roman"/>
                <w:b/>
              </w:rPr>
            </w:pPr>
            <w:r w:rsidRPr="00460F9E">
              <w:rPr>
                <w:rFonts w:eastAsia="Times New Roman" w:cs="Times New Roman"/>
              </w:rPr>
              <w:t xml:space="preserve">Tesisteki/üretim birimindeki madde üretimi ve imhası dikkate alınarak, tesise/üretim birimine giren ve tesisten/üretim biriminden çıkan madde kütlesindeki farka dayanan tahmin. </w:t>
            </w:r>
          </w:p>
          <w:p w14:paraId="5C205362" w14:textId="77777777" w:rsidR="00A52778" w:rsidRDefault="00A52778" w:rsidP="00FC3F8E">
            <w:pPr>
              <w:spacing w:line="228" w:lineRule="exact"/>
              <w:ind w:left="100"/>
              <w:rPr>
                <w:rFonts w:eastAsia="Times New Roman" w:cs="Times New Roman"/>
                <w:b/>
              </w:rPr>
            </w:pPr>
          </w:p>
          <w:p w14:paraId="5F2BCE56" w14:textId="77777777" w:rsidR="00A52778" w:rsidRPr="00460F9E" w:rsidRDefault="00A52778" w:rsidP="00FC3F8E">
            <w:pPr>
              <w:spacing w:line="228" w:lineRule="exact"/>
              <w:ind w:left="100"/>
              <w:rPr>
                <w:rFonts w:eastAsia="Times New Roman" w:cs="Times New Roman"/>
                <w:b/>
              </w:rPr>
            </w:pPr>
            <w:r w:rsidRPr="00460F9E">
              <w:rPr>
                <w:rFonts w:eastAsia="Times New Roman" w:cs="Times New Roman"/>
              </w:rPr>
              <w:t>Kütle bilançosu, üründeki (örneğin hammadde veya solvent) VOC konsantrasyonunun ölçülmesi şeklinde de olabilir.</w:t>
            </w:r>
          </w:p>
        </w:tc>
        <w:tc>
          <w:tcPr>
            <w:tcW w:w="3144" w:type="dxa"/>
            <w:vMerge w:val="restart"/>
            <w:vAlign w:val="bottom"/>
          </w:tcPr>
          <w:p w14:paraId="2E979D1F" w14:textId="77777777" w:rsidR="00A52778" w:rsidRDefault="00A52778" w:rsidP="00FC3F8E">
            <w:pPr>
              <w:spacing w:line="0" w:lineRule="atLeast"/>
              <w:rPr>
                <w:rFonts w:eastAsia="Times New Roman"/>
                <w:b/>
              </w:rPr>
            </w:pPr>
            <w:r w:rsidRPr="0008326A">
              <w:rPr>
                <w:rFonts w:eastAsia="Times New Roman"/>
                <w:w w:val="99"/>
              </w:rPr>
              <w:t>Kaçak ve/veya</w:t>
            </w:r>
            <w:r w:rsidRPr="0008326A">
              <w:rPr>
                <w:rFonts w:eastAsia="Times New Roman"/>
              </w:rPr>
              <w:t xml:space="preserve"> kaçak olmayan</w:t>
            </w:r>
          </w:p>
          <w:p w14:paraId="09738CFA" w14:textId="77777777" w:rsidR="00A52778" w:rsidRDefault="00A52778" w:rsidP="00FC3F8E">
            <w:pPr>
              <w:spacing w:line="0" w:lineRule="atLeast"/>
              <w:rPr>
                <w:rFonts w:eastAsia="Times New Roman"/>
                <w:b/>
              </w:rPr>
            </w:pPr>
          </w:p>
          <w:p w14:paraId="30F3F6B6" w14:textId="77777777" w:rsidR="00A52778" w:rsidRDefault="00A52778" w:rsidP="00FC3F8E">
            <w:pPr>
              <w:spacing w:line="0" w:lineRule="atLeast"/>
              <w:rPr>
                <w:rFonts w:eastAsia="Times New Roman"/>
                <w:b/>
              </w:rPr>
            </w:pPr>
          </w:p>
          <w:p w14:paraId="1A4C7E2F" w14:textId="77777777" w:rsidR="00A52778" w:rsidRDefault="00A52778" w:rsidP="00FC3F8E">
            <w:pPr>
              <w:spacing w:line="0" w:lineRule="atLeast"/>
              <w:rPr>
                <w:rFonts w:eastAsia="Times New Roman"/>
                <w:b/>
              </w:rPr>
            </w:pPr>
          </w:p>
          <w:p w14:paraId="0391914B" w14:textId="77777777" w:rsidR="00A52778" w:rsidRDefault="00A52778" w:rsidP="00FC3F8E">
            <w:pPr>
              <w:spacing w:line="0" w:lineRule="atLeast"/>
              <w:rPr>
                <w:rFonts w:eastAsia="Times New Roman"/>
                <w:b/>
              </w:rPr>
            </w:pPr>
          </w:p>
          <w:p w14:paraId="027F90EA" w14:textId="77777777" w:rsidR="00A52778" w:rsidRDefault="00A52778" w:rsidP="00FC3F8E">
            <w:pPr>
              <w:spacing w:line="0" w:lineRule="atLeast"/>
              <w:rPr>
                <w:rFonts w:eastAsia="Times New Roman"/>
                <w:b/>
              </w:rPr>
            </w:pPr>
          </w:p>
          <w:p w14:paraId="72E709FE" w14:textId="77777777" w:rsidR="00A52778" w:rsidRDefault="00A52778" w:rsidP="00FC3F8E">
            <w:pPr>
              <w:spacing w:line="0" w:lineRule="atLeast"/>
              <w:rPr>
                <w:rFonts w:eastAsia="Times New Roman"/>
                <w:b/>
              </w:rPr>
            </w:pPr>
          </w:p>
          <w:p w14:paraId="24773CD4" w14:textId="77777777" w:rsidR="00A52778" w:rsidRDefault="00A52778" w:rsidP="00FC3F8E">
            <w:pPr>
              <w:spacing w:line="0" w:lineRule="atLeast"/>
              <w:rPr>
                <w:rFonts w:eastAsia="Times New Roman"/>
                <w:b/>
              </w:rPr>
            </w:pPr>
          </w:p>
          <w:p w14:paraId="0D655C9F" w14:textId="77777777" w:rsidR="00A52778" w:rsidRDefault="00A52778" w:rsidP="00FC3F8E">
            <w:pPr>
              <w:spacing w:line="0" w:lineRule="atLeast"/>
              <w:rPr>
                <w:rFonts w:eastAsia="Times New Roman"/>
                <w:b/>
              </w:rPr>
            </w:pPr>
          </w:p>
          <w:p w14:paraId="049EFDCE" w14:textId="77777777" w:rsidR="00A52778" w:rsidRDefault="00A52778" w:rsidP="00FC3F8E">
            <w:pPr>
              <w:spacing w:line="0" w:lineRule="atLeast"/>
              <w:rPr>
                <w:rFonts w:eastAsia="Times New Roman"/>
                <w:b/>
              </w:rPr>
            </w:pPr>
          </w:p>
          <w:p w14:paraId="627B8A98" w14:textId="77777777" w:rsidR="00A52778" w:rsidRDefault="00A52778" w:rsidP="00FC3F8E">
            <w:pPr>
              <w:spacing w:line="0" w:lineRule="atLeast"/>
              <w:rPr>
                <w:rFonts w:eastAsia="Times New Roman"/>
                <w:b/>
              </w:rPr>
            </w:pPr>
          </w:p>
          <w:p w14:paraId="3880E35A" w14:textId="77777777" w:rsidR="00A52778" w:rsidRDefault="00A52778" w:rsidP="00FC3F8E">
            <w:pPr>
              <w:spacing w:line="0" w:lineRule="atLeast"/>
              <w:rPr>
                <w:rFonts w:eastAsia="Times New Roman"/>
                <w:b/>
              </w:rPr>
            </w:pPr>
          </w:p>
          <w:p w14:paraId="439ED062" w14:textId="77777777" w:rsidR="00A52778" w:rsidRDefault="00A52778" w:rsidP="00FC3F8E">
            <w:pPr>
              <w:spacing w:line="0" w:lineRule="atLeast"/>
              <w:rPr>
                <w:rFonts w:eastAsia="Times New Roman"/>
                <w:b/>
              </w:rPr>
            </w:pPr>
          </w:p>
          <w:p w14:paraId="3EAD0D87" w14:textId="77777777" w:rsidR="00A52778" w:rsidRDefault="00A52778" w:rsidP="00FC3F8E">
            <w:pPr>
              <w:spacing w:line="0" w:lineRule="atLeast"/>
              <w:rPr>
                <w:rFonts w:eastAsia="Times New Roman"/>
                <w:b/>
              </w:rPr>
            </w:pPr>
          </w:p>
          <w:p w14:paraId="0FECCA4A" w14:textId="77777777" w:rsidR="00A52778" w:rsidRDefault="00A52778" w:rsidP="00FC3F8E">
            <w:pPr>
              <w:spacing w:line="0" w:lineRule="atLeast"/>
              <w:rPr>
                <w:rFonts w:eastAsia="Times New Roman"/>
                <w:b/>
              </w:rPr>
            </w:pPr>
          </w:p>
          <w:p w14:paraId="0A192EFC" w14:textId="77777777" w:rsidR="00A52778" w:rsidRDefault="00A52778" w:rsidP="00FC3F8E">
            <w:pPr>
              <w:spacing w:line="0" w:lineRule="atLeast"/>
              <w:rPr>
                <w:rFonts w:eastAsia="Times New Roman"/>
                <w:b/>
              </w:rPr>
            </w:pPr>
          </w:p>
          <w:p w14:paraId="032C3292" w14:textId="77777777" w:rsidR="00A52778" w:rsidRDefault="00A52778" w:rsidP="00FC3F8E">
            <w:pPr>
              <w:spacing w:line="0" w:lineRule="atLeast"/>
              <w:rPr>
                <w:rFonts w:eastAsia="Times New Roman"/>
                <w:b/>
              </w:rPr>
            </w:pPr>
          </w:p>
          <w:p w14:paraId="519CC748" w14:textId="77777777" w:rsidR="00A52778" w:rsidRDefault="00A52778" w:rsidP="00FC3F8E">
            <w:pPr>
              <w:spacing w:line="0" w:lineRule="atLeast"/>
              <w:rPr>
                <w:rFonts w:eastAsia="Times New Roman"/>
                <w:b/>
              </w:rPr>
            </w:pPr>
          </w:p>
          <w:p w14:paraId="0695F080" w14:textId="77777777" w:rsidR="00A52778" w:rsidRDefault="00A52778" w:rsidP="00FC3F8E">
            <w:pPr>
              <w:spacing w:line="0" w:lineRule="atLeast"/>
              <w:rPr>
                <w:rFonts w:eastAsia="Times New Roman"/>
                <w:b/>
              </w:rPr>
            </w:pPr>
          </w:p>
          <w:p w14:paraId="413812BA" w14:textId="77777777" w:rsidR="00A52778" w:rsidRDefault="00A52778" w:rsidP="00FC3F8E">
            <w:pPr>
              <w:spacing w:line="0" w:lineRule="atLeast"/>
              <w:rPr>
                <w:rFonts w:eastAsia="Times New Roman"/>
                <w:b/>
              </w:rPr>
            </w:pPr>
          </w:p>
          <w:p w14:paraId="1F333434" w14:textId="77777777" w:rsidR="00A52778" w:rsidRDefault="00A52778" w:rsidP="00FC3F8E">
            <w:pPr>
              <w:spacing w:line="0" w:lineRule="atLeast"/>
              <w:rPr>
                <w:rFonts w:eastAsia="Times New Roman"/>
                <w:b/>
              </w:rPr>
            </w:pPr>
          </w:p>
          <w:p w14:paraId="0A665F13" w14:textId="77777777" w:rsidR="00A52778" w:rsidRDefault="00A52778" w:rsidP="00FC3F8E">
            <w:pPr>
              <w:spacing w:line="0" w:lineRule="atLeast"/>
              <w:rPr>
                <w:rFonts w:eastAsia="Times New Roman"/>
                <w:b/>
              </w:rPr>
            </w:pPr>
          </w:p>
          <w:p w14:paraId="145A0783" w14:textId="77777777" w:rsidR="00A52778" w:rsidRDefault="00A52778" w:rsidP="00FC3F8E">
            <w:pPr>
              <w:spacing w:line="0" w:lineRule="atLeast"/>
              <w:rPr>
                <w:rFonts w:eastAsia="Times New Roman"/>
                <w:b/>
              </w:rPr>
            </w:pPr>
          </w:p>
          <w:p w14:paraId="5CDEFB7D" w14:textId="77777777" w:rsidR="00A52778" w:rsidRPr="00460F9E" w:rsidRDefault="00A52778" w:rsidP="00FC3F8E">
            <w:pPr>
              <w:spacing w:line="0" w:lineRule="atLeast"/>
              <w:rPr>
                <w:rFonts w:eastAsia="Times New Roman" w:cs="Times New Roman"/>
                <w:b/>
                <w:sz w:val="9"/>
              </w:rPr>
            </w:pPr>
          </w:p>
        </w:tc>
      </w:tr>
      <w:tr w:rsidR="00A52778" w14:paraId="497A991E" w14:textId="77777777" w:rsidTr="00FC3F8E">
        <w:tc>
          <w:tcPr>
            <w:tcW w:w="3143" w:type="dxa"/>
            <w:vAlign w:val="bottom"/>
          </w:tcPr>
          <w:p w14:paraId="76996B34" w14:textId="77777777" w:rsidR="00A52778" w:rsidRPr="009F3A70" w:rsidRDefault="00A52778" w:rsidP="00BF2B30">
            <w:pPr>
              <w:pStyle w:val="ListeParagraf"/>
              <w:numPr>
                <w:ilvl w:val="0"/>
                <w:numId w:val="225"/>
              </w:numPr>
              <w:spacing w:line="240" w:lineRule="auto"/>
              <w:rPr>
                <w:rFonts w:cs="Times New Roman"/>
                <w:b/>
                <w:sz w:val="22"/>
                <w:szCs w:val="24"/>
              </w:rPr>
            </w:pPr>
            <w:r w:rsidRPr="009F3A70">
              <w:rPr>
                <w:rFonts w:eastAsia="Times New Roman" w:cs="Times New Roman"/>
                <w:sz w:val="22"/>
                <w:szCs w:val="24"/>
              </w:rPr>
              <w:t>Termodinamik modellerin kullanımı</w:t>
            </w:r>
          </w:p>
        </w:tc>
        <w:tc>
          <w:tcPr>
            <w:tcW w:w="3143" w:type="dxa"/>
            <w:vAlign w:val="bottom"/>
          </w:tcPr>
          <w:p w14:paraId="76B28E37" w14:textId="77777777" w:rsidR="00A52778" w:rsidRPr="0008326A" w:rsidRDefault="00A52778" w:rsidP="00FC3F8E">
            <w:pPr>
              <w:rPr>
                <w:rFonts w:eastAsia="Times New Roman"/>
                <w:b/>
              </w:rPr>
            </w:pPr>
            <w:r w:rsidRPr="0008326A">
              <w:rPr>
                <w:rFonts w:eastAsia="Times New Roman"/>
              </w:rPr>
              <w:t>Tesisteki/üretim birimindeki madde üretimi ve imhası dikkate alınarak, tesise/üretim birimine giren ve tesisten/üretim biriminden çıkan madde kütlesindeki farka dayanan tahmin.</w:t>
            </w:r>
          </w:p>
          <w:p w14:paraId="3B06DC93" w14:textId="77777777" w:rsidR="00A52778" w:rsidRPr="0008326A" w:rsidRDefault="00A52778" w:rsidP="00FC3F8E">
            <w:pPr>
              <w:rPr>
                <w:rFonts w:eastAsia="Times New Roman"/>
                <w:b/>
              </w:rPr>
            </w:pPr>
          </w:p>
          <w:p w14:paraId="1148D257" w14:textId="77777777" w:rsidR="00A52778" w:rsidRPr="0008326A" w:rsidRDefault="00A52778" w:rsidP="00FC3F8E">
            <w:pPr>
              <w:rPr>
                <w:b/>
                <w:sz w:val="20"/>
              </w:rPr>
            </w:pPr>
            <w:r w:rsidRPr="0008326A">
              <w:rPr>
                <w:rFonts w:eastAsia="Times New Roman"/>
              </w:rPr>
              <w:t>Kütle bilançosu, üründeki (örneğin hammadde veya solvent) VOC konsantrasyonunun ölçülmesi şeklinde de olabilir.</w:t>
            </w:r>
          </w:p>
        </w:tc>
        <w:tc>
          <w:tcPr>
            <w:tcW w:w="3144" w:type="dxa"/>
            <w:vMerge/>
          </w:tcPr>
          <w:p w14:paraId="31BA0C67" w14:textId="77777777" w:rsidR="00A52778" w:rsidRDefault="00A52778" w:rsidP="00FC3F8E">
            <w:pPr>
              <w:spacing w:line="357" w:lineRule="exact"/>
              <w:rPr>
                <w:rFonts w:eastAsia="Times New Roman" w:cs="Times New Roman"/>
                <w:b/>
              </w:rPr>
            </w:pPr>
          </w:p>
        </w:tc>
      </w:tr>
      <w:tr w:rsidR="00A52778" w14:paraId="3495D2A7" w14:textId="77777777" w:rsidTr="00FC3F8E">
        <w:tc>
          <w:tcPr>
            <w:tcW w:w="3143" w:type="dxa"/>
            <w:vAlign w:val="center"/>
          </w:tcPr>
          <w:p w14:paraId="7F50FB98" w14:textId="77777777" w:rsidR="00A52778" w:rsidRPr="009F3A70" w:rsidRDefault="00A52778" w:rsidP="00BF2B30">
            <w:pPr>
              <w:pStyle w:val="ListeParagraf"/>
              <w:numPr>
                <w:ilvl w:val="0"/>
                <w:numId w:val="225"/>
              </w:numPr>
              <w:spacing w:line="240" w:lineRule="auto"/>
              <w:rPr>
                <w:rFonts w:cs="Times New Roman"/>
                <w:b/>
                <w:sz w:val="22"/>
                <w:szCs w:val="24"/>
              </w:rPr>
            </w:pPr>
            <w:r w:rsidRPr="009F3A70">
              <w:rPr>
                <w:rFonts w:eastAsia="Times New Roman" w:cs="Times New Roman"/>
                <w:sz w:val="22"/>
                <w:szCs w:val="24"/>
              </w:rPr>
              <w:t>Termodinamik modellerin kullanımı</w:t>
            </w:r>
          </w:p>
        </w:tc>
        <w:tc>
          <w:tcPr>
            <w:tcW w:w="3143" w:type="dxa"/>
            <w:vAlign w:val="bottom"/>
          </w:tcPr>
          <w:p w14:paraId="60D10568" w14:textId="77777777" w:rsidR="00A52778" w:rsidRDefault="00A52778" w:rsidP="00FC3F8E">
            <w:pPr>
              <w:rPr>
                <w:rFonts w:eastAsia="Times New Roman"/>
                <w:b/>
              </w:rPr>
            </w:pPr>
            <w:r w:rsidRPr="0008326A">
              <w:rPr>
                <w:rFonts w:eastAsia="Times New Roman"/>
              </w:rPr>
              <w:t>Termodinamik yasalarını kullanmak suretiyle ekipmanlara (örneğin tanklar) veya bir üretim sürecinin belirli adımlarına uygulanan tahmin.</w:t>
            </w:r>
          </w:p>
          <w:p w14:paraId="4DC9451E" w14:textId="77777777" w:rsidR="00A52778" w:rsidRPr="0008326A" w:rsidRDefault="00A52778" w:rsidP="00FC3F8E">
            <w:pPr>
              <w:spacing w:line="0" w:lineRule="atLeast"/>
              <w:ind w:left="220"/>
              <w:rPr>
                <w:rFonts w:eastAsia="Times New Roman"/>
                <w:b/>
              </w:rPr>
            </w:pPr>
            <w:r w:rsidRPr="0008326A">
              <w:rPr>
                <w:rFonts w:eastAsia="Times New Roman"/>
              </w:rPr>
              <w:t xml:space="preserve">- maddenin kimyasal özellikleri (örn.    </w:t>
            </w:r>
          </w:p>
          <w:p w14:paraId="3D6D5DAD" w14:textId="77777777" w:rsidR="00A52778" w:rsidRPr="0008326A" w:rsidRDefault="00A52778" w:rsidP="00FC3F8E">
            <w:pPr>
              <w:spacing w:line="0" w:lineRule="atLeast"/>
              <w:ind w:left="220"/>
              <w:rPr>
                <w:rFonts w:eastAsia="Times New Roman"/>
                <w:b/>
              </w:rPr>
            </w:pPr>
            <w:r w:rsidRPr="0008326A">
              <w:rPr>
                <w:rFonts w:eastAsia="Times New Roman"/>
              </w:rPr>
              <w:t xml:space="preserve">  buhar basıncı, molekül ağırlığı); </w:t>
            </w:r>
          </w:p>
          <w:p w14:paraId="27AF7E28" w14:textId="77777777" w:rsidR="00A52778" w:rsidRPr="0008326A" w:rsidRDefault="00A52778" w:rsidP="00FC3F8E">
            <w:pPr>
              <w:spacing w:line="0" w:lineRule="atLeast"/>
              <w:ind w:left="220"/>
              <w:rPr>
                <w:rFonts w:eastAsia="Times New Roman"/>
                <w:b/>
              </w:rPr>
            </w:pPr>
            <w:r w:rsidRPr="0008326A">
              <w:rPr>
                <w:rFonts w:eastAsia="Times New Roman"/>
              </w:rPr>
              <w:t xml:space="preserve">- proses işletim verileri (örn. çalışma </w:t>
            </w:r>
          </w:p>
          <w:p w14:paraId="128782E0" w14:textId="77777777" w:rsidR="00A52778" w:rsidRPr="0008326A" w:rsidRDefault="00A52778" w:rsidP="00FC3F8E">
            <w:pPr>
              <w:rPr>
                <w:rFonts w:eastAsia="Times New Roman"/>
                <w:b/>
              </w:rPr>
            </w:pPr>
            <w:r w:rsidRPr="0008326A">
              <w:rPr>
                <w:rFonts w:eastAsia="Times New Roman"/>
              </w:rPr>
              <w:t xml:space="preserve">  süresi ürün miktarı, havalandırma);</w:t>
            </w:r>
          </w:p>
          <w:p w14:paraId="73B483A5" w14:textId="77777777" w:rsidR="00A52778" w:rsidRPr="0008326A" w:rsidRDefault="00A52778" w:rsidP="00FC3F8E">
            <w:pPr>
              <w:spacing w:line="0" w:lineRule="atLeast"/>
              <w:ind w:left="220"/>
              <w:rPr>
                <w:rFonts w:eastAsia="Times New Roman"/>
                <w:b/>
              </w:rPr>
            </w:pPr>
            <w:r w:rsidRPr="0008326A">
              <w:rPr>
                <w:rFonts w:eastAsia="Times New Roman"/>
              </w:rPr>
              <w:t xml:space="preserve">- emisyon kaynağının özellikleri (örn.     </w:t>
            </w:r>
          </w:p>
          <w:p w14:paraId="6F2B3A96" w14:textId="77777777" w:rsidR="00A52778" w:rsidRPr="0008326A" w:rsidRDefault="00A52778" w:rsidP="00FC3F8E">
            <w:pPr>
              <w:rPr>
                <w:b/>
                <w:sz w:val="20"/>
              </w:rPr>
            </w:pPr>
            <w:r w:rsidRPr="0008326A">
              <w:rPr>
                <w:rFonts w:eastAsia="Times New Roman"/>
              </w:rPr>
              <w:t xml:space="preserve">  (tank çapı, renk, form).</w:t>
            </w:r>
          </w:p>
        </w:tc>
        <w:tc>
          <w:tcPr>
            <w:tcW w:w="3144" w:type="dxa"/>
            <w:vMerge/>
          </w:tcPr>
          <w:p w14:paraId="68739130" w14:textId="77777777" w:rsidR="00A52778" w:rsidRDefault="00A52778" w:rsidP="00FC3F8E">
            <w:pPr>
              <w:spacing w:line="357" w:lineRule="exact"/>
              <w:rPr>
                <w:rFonts w:eastAsia="Times New Roman" w:cs="Times New Roman"/>
                <w:b/>
              </w:rPr>
            </w:pPr>
          </w:p>
        </w:tc>
      </w:tr>
    </w:tbl>
    <w:p w14:paraId="72BF1FF0" w14:textId="77777777" w:rsidR="00A52778" w:rsidRPr="00460F9E" w:rsidRDefault="00A52778" w:rsidP="00A52778">
      <w:pPr>
        <w:spacing w:line="357" w:lineRule="exact"/>
        <w:rPr>
          <w:rFonts w:eastAsia="Times New Roman" w:cs="Times New Roman"/>
          <w:b/>
        </w:rPr>
      </w:pPr>
    </w:p>
    <w:p w14:paraId="29394123" w14:textId="77777777" w:rsidR="00A52778" w:rsidRPr="00460F9E" w:rsidRDefault="00A52778" w:rsidP="00A52778">
      <w:pPr>
        <w:spacing w:line="200" w:lineRule="exact"/>
        <w:rPr>
          <w:rFonts w:eastAsia="Times New Roman" w:cs="Times New Roman"/>
          <w:b/>
        </w:rPr>
      </w:pPr>
    </w:p>
    <w:p w14:paraId="14849470" w14:textId="77777777" w:rsidR="00A52778" w:rsidRPr="00A800FB" w:rsidRDefault="00A52778" w:rsidP="00A52778">
      <w:pPr>
        <w:spacing w:line="249" w:lineRule="exact"/>
        <w:jc w:val="center"/>
        <w:rPr>
          <w:rFonts w:eastAsia="Times New Roman" w:cs="Times New Roman"/>
        </w:rPr>
      </w:pPr>
    </w:p>
    <w:p w14:paraId="3D3F536C" w14:textId="77777777" w:rsidR="00A52778" w:rsidRDefault="00A52778" w:rsidP="00A52778">
      <w:pPr>
        <w:spacing w:line="0" w:lineRule="atLeast"/>
        <w:ind w:left="120"/>
        <w:rPr>
          <w:rFonts w:eastAsia="Times New Roman" w:cs="Times New Roman"/>
        </w:rPr>
      </w:pPr>
    </w:p>
    <w:p w14:paraId="41701BB1" w14:textId="77777777" w:rsidR="00A52778" w:rsidRDefault="00A52778" w:rsidP="00A52778">
      <w:pPr>
        <w:spacing w:line="0" w:lineRule="atLeast"/>
        <w:ind w:left="120"/>
        <w:rPr>
          <w:rFonts w:eastAsia="Times New Roman" w:cs="Times New Roman"/>
        </w:rPr>
      </w:pPr>
    </w:p>
    <w:p w14:paraId="04E33DC1" w14:textId="77777777" w:rsidR="00A52778" w:rsidRDefault="00A52778" w:rsidP="00A52778">
      <w:pPr>
        <w:spacing w:line="0" w:lineRule="atLeast"/>
        <w:ind w:left="120"/>
        <w:rPr>
          <w:rFonts w:eastAsia="Times New Roman" w:cs="Times New Roman"/>
        </w:rPr>
      </w:pPr>
    </w:p>
    <w:p w14:paraId="1CC4D089" w14:textId="77777777" w:rsidR="00A52778" w:rsidRDefault="00A52778" w:rsidP="00A52778">
      <w:pPr>
        <w:rPr>
          <w:rFonts w:cs="Times New Roman"/>
        </w:rPr>
      </w:pPr>
      <w:r>
        <w:t xml:space="preserve">MET 21. </w:t>
      </w:r>
      <w:r w:rsidRPr="00C83D0B">
        <w:t>MET, 2010/75/</w:t>
      </w:r>
      <w:r>
        <w:t>EU</w:t>
      </w:r>
      <w:r w:rsidRPr="00C83D0B">
        <w:t xml:space="preserve"> sayılı Direktifin Ek VII Bölüm 7'</w:t>
      </w:r>
      <w:r>
        <w:t xml:space="preserve"> </w:t>
      </w:r>
      <w:r w:rsidRPr="00C83D0B">
        <w:t>sinde tanımlandığı üzere, tesisin solvent giriş ve çıkışların</w:t>
      </w:r>
      <w:r>
        <w:t>ın</w:t>
      </w:r>
      <w:r w:rsidRPr="00C83D0B">
        <w:t xml:space="preserve"> solvent kütle </w:t>
      </w:r>
      <w:r>
        <w:t>bilançosunu</w:t>
      </w:r>
      <w:r w:rsidRPr="00C83D0B">
        <w:t xml:space="preserve"> yılda en az bir ke</w:t>
      </w:r>
      <w:r>
        <w:t>re</w:t>
      </w:r>
      <w:r w:rsidRPr="00C83D0B">
        <w:t xml:space="preserve"> </w:t>
      </w:r>
      <w:r>
        <w:t>yaparak</w:t>
      </w:r>
      <w:r w:rsidRPr="00C83D0B">
        <w:t xml:space="preserve"> solvent kullanımından kaynaklanan yayılı VOC emisyonlarını izlemek ve aşağıda verilen tüm teknikleri kullanarak solvent kütle </w:t>
      </w:r>
      <w:r>
        <w:t>bilançosu</w:t>
      </w:r>
      <w:r w:rsidRPr="00C83D0B">
        <w:t xml:space="preserve"> verilerinin belirsizliğini en aza indirmektir</w:t>
      </w:r>
    </w:p>
    <w:tbl>
      <w:tblPr>
        <w:tblStyle w:val="TabloKlavuzu"/>
        <w:tblW w:w="0" w:type="auto"/>
        <w:tblLook w:val="04A0" w:firstRow="1" w:lastRow="0" w:firstColumn="1" w:lastColumn="0" w:noHBand="0" w:noVBand="1"/>
      </w:tblPr>
      <w:tblGrid>
        <w:gridCol w:w="4715"/>
        <w:gridCol w:w="4715"/>
      </w:tblGrid>
      <w:tr w:rsidR="00A52778" w14:paraId="68C9540A" w14:textId="77777777" w:rsidTr="00FC3F8E">
        <w:tc>
          <w:tcPr>
            <w:tcW w:w="4715" w:type="dxa"/>
            <w:vAlign w:val="center"/>
          </w:tcPr>
          <w:p w14:paraId="4580CCD2" w14:textId="77777777" w:rsidR="00A52778" w:rsidRPr="00231875" w:rsidRDefault="00A52778" w:rsidP="00FC3F8E">
            <w:pPr>
              <w:rPr>
                <w:sz w:val="22"/>
              </w:rPr>
            </w:pPr>
            <w:r w:rsidRPr="00231875">
              <w:rPr>
                <w:rFonts w:eastAsia="Times New Roman" w:cs="Times New Roman"/>
                <w:bCs/>
                <w:color w:val="000000"/>
                <w:sz w:val="22"/>
              </w:rPr>
              <w:t>Teknikler</w:t>
            </w:r>
          </w:p>
        </w:tc>
        <w:tc>
          <w:tcPr>
            <w:tcW w:w="4715" w:type="dxa"/>
            <w:vAlign w:val="center"/>
          </w:tcPr>
          <w:p w14:paraId="793E5ED7" w14:textId="77777777" w:rsidR="00A52778" w:rsidRPr="00231875" w:rsidRDefault="00A52778" w:rsidP="00FC3F8E">
            <w:pPr>
              <w:rPr>
                <w:sz w:val="22"/>
              </w:rPr>
            </w:pPr>
            <w:r w:rsidRPr="00231875">
              <w:rPr>
                <w:rFonts w:eastAsia="Times New Roman" w:cs="Times New Roman"/>
                <w:bCs/>
                <w:color w:val="000000"/>
                <w:sz w:val="22"/>
              </w:rPr>
              <w:t>Tanımlamalar</w:t>
            </w:r>
          </w:p>
        </w:tc>
      </w:tr>
      <w:tr w:rsidR="00A52778" w14:paraId="7EB58484" w14:textId="77777777" w:rsidTr="00FC3F8E">
        <w:tc>
          <w:tcPr>
            <w:tcW w:w="4715" w:type="dxa"/>
            <w:vAlign w:val="center"/>
          </w:tcPr>
          <w:p w14:paraId="0EAA003E" w14:textId="77777777" w:rsidR="00A52778" w:rsidRPr="00347EB4" w:rsidRDefault="00A52778" w:rsidP="00BF2B30">
            <w:pPr>
              <w:pStyle w:val="ListeParagraf"/>
              <w:numPr>
                <w:ilvl w:val="0"/>
                <w:numId w:val="226"/>
              </w:numPr>
              <w:spacing w:line="240" w:lineRule="auto"/>
              <w:rPr>
                <w:rFonts w:eastAsia="Times New Roman" w:cs="Times New Roman"/>
                <w:b/>
                <w:color w:val="000000"/>
                <w:sz w:val="22"/>
              </w:rPr>
            </w:pPr>
            <w:r w:rsidRPr="00347EB4">
              <w:rPr>
                <w:rFonts w:eastAsia="Times New Roman" w:cs="Times New Roman"/>
                <w:color w:val="000000"/>
                <w:sz w:val="22"/>
              </w:rPr>
              <w:t xml:space="preserve">İlgili belirsizlik de dahil olmak üzere söz konusu solvent girdilerinin                    </w:t>
            </w:r>
          </w:p>
          <w:p w14:paraId="2AD800A0" w14:textId="77777777" w:rsidR="00A52778" w:rsidRPr="00347EB4" w:rsidRDefault="00A52778" w:rsidP="00FC3F8E">
            <w:pPr>
              <w:pStyle w:val="ListeParagraf"/>
              <w:rPr>
                <w:rFonts w:eastAsia="Times New Roman" w:cs="Times New Roman"/>
                <w:b/>
                <w:color w:val="000000"/>
                <w:sz w:val="22"/>
              </w:rPr>
            </w:pPr>
            <w:r w:rsidRPr="00347EB4">
              <w:rPr>
                <w:rFonts w:eastAsia="Times New Roman" w:cs="Times New Roman"/>
                <w:color w:val="000000"/>
                <w:sz w:val="22"/>
              </w:rPr>
              <w:t xml:space="preserve">ve çıktılarının tam olarak </w:t>
            </w:r>
          </w:p>
          <w:p w14:paraId="3B9CB325" w14:textId="77777777" w:rsidR="00A52778" w:rsidRPr="00347EB4" w:rsidRDefault="00A52778" w:rsidP="00FC3F8E">
            <w:pPr>
              <w:pStyle w:val="ListeParagraf"/>
              <w:rPr>
                <w:b/>
                <w:sz w:val="22"/>
              </w:rPr>
            </w:pPr>
            <w:r w:rsidRPr="00347EB4">
              <w:rPr>
                <w:rFonts w:eastAsia="Times New Roman" w:cs="Times New Roman"/>
                <w:color w:val="000000"/>
                <w:sz w:val="22"/>
              </w:rPr>
              <w:t>tanımlanması ve nicelendirilmesi.</w:t>
            </w:r>
          </w:p>
        </w:tc>
        <w:tc>
          <w:tcPr>
            <w:tcW w:w="4715" w:type="dxa"/>
            <w:vAlign w:val="center"/>
          </w:tcPr>
          <w:p w14:paraId="0591750D"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Bu, aşağıdaki şu hususlardan ibarettir</w:t>
            </w:r>
          </w:p>
          <w:p w14:paraId="384428B3"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solvent girdilerinin tanımlanması ve  </w:t>
            </w:r>
          </w:p>
          <w:p w14:paraId="29DA1E9D"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belgelenmesi ve çıktılar (örn. havaya kanalize  </w:t>
            </w:r>
          </w:p>
          <w:p w14:paraId="2FD540BB"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olan ve yayılı emisyonlar, suya olan emisyonlar, </w:t>
            </w:r>
          </w:p>
          <w:p w14:paraId="23211BA7"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atıklardaki solvent çıkışları); </w:t>
            </w:r>
          </w:p>
          <w:p w14:paraId="482EA7B7"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her bir ilgili solvent girdisi ve çıktısının </w:t>
            </w:r>
          </w:p>
          <w:p w14:paraId="40E4ED59"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doğrulanmış ölçümü ve kullanılan metodolojinin </w:t>
            </w:r>
          </w:p>
          <w:p w14:paraId="29724F51"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kaydedilmesi  (örn. ölçüm, emisyon faktörleri </w:t>
            </w:r>
          </w:p>
          <w:p w14:paraId="2159A40E"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kullanılarak tahmin, operasyonel parametrelere </w:t>
            </w:r>
          </w:p>
          <w:p w14:paraId="06F76775"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dayalı tahmin);</w:t>
            </w:r>
          </w:p>
          <w:p w14:paraId="5C48BA16"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yukarıda bahsedilen ölçümün ana belirsizlik </w:t>
            </w:r>
          </w:p>
          <w:p w14:paraId="6D17BBE0"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kaynaklarının tanımlanması ve belirsizliği </w:t>
            </w:r>
          </w:p>
          <w:p w14:paraId="428F7111"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azaltmak için düzeltici eylemlerin uygulanması;</w:t>
            </w:r>
          </w:p>
          <w:p w14:paraId="13F17A36"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solvent giriş ve çıkış verilerinin düzenli olarak </w:t>
            </w:r>
          </w:p>
          <w:p w14:paraId="31EA25B6" w14:textId="77777777" w:rsidR="00A52778" w:rsidRPr="00231875" w:rsidRDefault="00A52778" w:rsidP="00FC3F8E">
            <w:pPr>
              <w:rPr>
                <w:b/>
                <w:sz w:val="22"/>
              </w:rPr>
            </w:pPr>
            <w:r w:rsidRPr="00231875">
              <w:rPr>
                <w:rFonts w:eastAsia="Times New Roman" w:cs="Times New Roman"/>
                <w:color w:val="000000"/>
                <w:sz w:val="22"/>
              </w:rPr>
              <w:t xml:space="preserve">  güncellenmesi.</w:t>
            </w:r>
          </w:p>
        </w:tc>
      </w:tr>
      <w:tr w:rsidR="00A52778" w14:paraId="402CF529" w14:textId="77777777" w:rsidTr="00FC3F8E">
        <w:tc>
          <w:tcPr>
            <w:tcW w:w="4715" w:type="dxa"/>
            <w:vAlign w:val="center"/>
          </w:tcPr>
          <w:p w14:paraId="14A9AE26" w14:textId="77777777" w:rsidR="00A52778" w:rsidRPr="00347EB4" w:rsidRDefault="00A52778" w:rsidP="00BF2B30">
            <w:pPr>
              <w:pStyle w:val="ListeParagraf"/>
              <w:numPr>
                <w:ilvl w:val="0"/>
                <w:numId w:val="226"/>
              </w:numPr>
              <w:spacing w:line="240" w:lineRule="auto"/>
              <w:rPr>
                <w:rFonts w:eastAsia="Times New Roman" w:cs="Times New Roman"/>
                <w:b/>
                <w:color w:val="000000"/>
                <w:sz w:val="22"/>
              </w:rPr>
            </w:pPr>
            <w:r w:rsidRPr="00347EB4">
              <w:rPr>
                <w:rFonts w:eastAsia="Times New Roman" w:cs="Times New Roman"/>
                <w:color w:val="000000"/>
                <w:sz w:val="22"/>
              </w:rPr>
              <w:t xml:space="preserve">Bir solvent takip sisteminin </w:t>
            </w:r>
          </w:p>
          <w:p w14:paraId="4C8A9463" w14:textId="77777777" w:rsidR="00A52778" w:rsidRPr="00347EB4" w:rsidRDefault="00A52778" w:rsidP="00FC3F8E">
            <w:pPr>
              <w:pStyle w:val="ListeParagraf"/>
              <w:rPr>
                <w:b/>
                <w:sz w:val="22"/>
              </w:rPr>
            </w:pPr>
            <w:r w:rsidRPr="00347EB4">
              <w:rPr>
                <w:rFonts w:eastAsia="Times New Roman" w:cs="Times New Roman"/>
                <w:color w:val="000000"/>
                <w:sz w:val="22"/>
              </w:rPr>
              <w:t>uygulanması.</w:t>
            </w:r>
          </w:p>
        </w:tc>
        <w:tc>
          <w:tcPr>
            <w:tcW w:w="4715" w:type="dxa"/>
          </w:tcPr>
          <w:p w14:paraId="7B6B76B9"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Bir solvent takip sistemi, hem kullanılan hem de   </w:t>
            </w:r>
          </w:p>
          <w:p w14:paraId="64B69276"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kullanılmayan solvent miktarlarını kontrol altında </w:t>
            </w:r>
          </w:p>
          <w:p w14:paraId="4B1DB16D"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tutmayı amaçlar (örneğin uygulama alanından depoya </w:t>
            </w:r>
          </w:p>
          <w:p w14:paraId="4D2C8667" w14:textId="77777777" w:rsidR="00A52778" w:rsidRPr="00231875" w:rsidRDefault="00A52778" w:rsidP="00FC3F8E">
            <w:pPr>
              <w:rPr>
                <w:b/>
                <w:sz w:val="22"/>
              </w:rPr>
            </w:pPr>
            <w:r w:rsidRPr="00231875">
              <w:rPr>
                <w:rFonts w:eastAsia="Times New Roman" w:cs="Times New Roman"/>
                <w:color w:val="000000"/>
                <w:sz w:val="22"/>
              </w:rPr>
              <w:t xml:space="preserve"> iade edilen  kullanılmayan miktarları tartarak).</w:t>
            </w:r>
          </w:p>
        </w:tc>
      </w:tr>
      <w:tr w:rsidR="00A52778" w14:paraId="7CB0742E" w14:textId="77777777" w:rsidTr="00FC3F8E">
        <w:tc>
          <w:tcPr>
            <w:tcW w:w="4715" w:type="dxa"/>
            <w:vAlign w:val="center"/>
          </w:tcPr>
          <w:p w14:paraId="17C5F446" w14:textId="77777777" w:rsidR="00A52778" w:rsidRPr="00347EB4" w:rsidRDefault="00A52778" w:rsidP="00BF2B30">
            <w:pPr>
              <w:pStyle w:val="ListeParagraf"/>
              <w:numPr>
                <w:ilvl w:val="0"/>
                <w:numId w:val="226"/>
              </w:numPr>
              <w:spacing w:line="240" w:lineRule="auto"/>
              <w:rPr>
                <w:rFonts w:eastAsia="Times New Roman" w:cs="Times New Roman"/>
                <w:b/>
                <w:color w:val="000000"/>
                <w:sz w:val="22"/>
              </w:rPr>
            </w:pPr>
            <w:r w:rsidRPr="00347EB4">
              <w:rPr>
                <w:rFonts w:eastAsia="Times New Roman" w:cs="Times New Roman"/>
                <w:color w:val="000000"/>
                <w:sz w:val="22"/>
              </w:rPr>
              <w:t xml:space="preserve">Solvent kütle bilançosu verilerinin  </w:t>
            </w:r>
          </w:p>
          <w:p w14:paraId="2038D4C2" w14:textId="77777777" w:rsidR="00A52778" w:rsidRPr="00347EB4" w:rsidRDefault="00A52778" w:rsidP="00FC3F8E">
            <w:pPr>
              <w:pStyle w:val="ListeParagraf"/>
              <w:rPr>
                <w:rFonts w:eastAsia="Times New Roman" w:cs="Times New Roman"/>
                <w:b/>
                <w:color w:val="000000"/>
                <w:sz w:val="22"/>
              </w:rPr>
            </w:pPr>
            <w:r w:rsidRPr="00347EB4">
              <w:rPr>
                <w:rFonts w:eastAsia="Times New Roman" w:cs="Times New Roman"/>
                <w:color w:val="000000"/>
                <w:sz w:val="22"/>
              </w:rPr>
              <w:t xml:space="preserve">belirsizliğini etkileyebilecek  </w:t>
            </w:r>
          </w:p>
          <w:p w14:paraId="3F46DA36" w14:textId="77777777" w:rsidR="00A52778" w:rsidRPr="00347EB4" w:rsidRDefault="00A52778" w:rsidP="00FC3F8E">
            <w:pPr>
              <w:pStyle w:val="ListeParagraf"/>
              <w:rPr>
                <w:b/>
                <w:sz w:val="22"/>
              </w:rPr>
            </w:pPr>
            <w:r w:rsidRPr="00347EB4">
              <w:rPr>
                <w:rFonts w:eastAsia="Times New Roman" w:cs="Times New Roman"/>
                <w:color w:val="000000"/>
                <w:sz w:val="22"/>
              </w:rPr>
              <w:t>değişikliklerin izlenmesi.</w:t>
            </w:r>
          </w:p>
        </w:tc>
        <w:tc>
          <w:tcPr>
            <w:tcW w:w="4715" w:type="dxa"/>
            <w:vAlign w:val="center"/>
          </w:tcPr>
          <w:p w14:paraId="1C2E2B40"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Solvent kütle bilançosu verilerinin belirsizliğini </w:t>
            </w:r>
          </w:p>
          <w:p w14:paraId="323E03BA"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etkileyebilecek her türlü değişiklik kaydedilir, örneğin:</w:t>
            </w:r>
          </w:p>
          <w:p w14:paraId="1021C95F" w14:textId="77777777" w:rsidR="00A52778" w:rsidRPr="00231875" w:rsidRDefault="00A52778" w:rsidP="00FC3F8E">
            <w:pPr>
              <w:rPr>
                <w:rFonts w:eastAsia="Times New Roman" w:cs="Times New Roman"/>
                <w:b/>
                <w:color w:val="000000"/>
                <w:sz w:val="22"/>
              </w:rPr>
            </w:pPr>
          </w:p>
          <w:p w14:paraId="7B36E9F8"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atık gaz arıtma sisteminin arızaları: tarih ve süre </w:t>
            </w:r>
          </w:p>
          <w:p w14:paraId="04BAD299"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olarak kaydedilir;</w:t>
            </w:r>
          </w:p>
          <w:p w14:paraId="0E2DE2AB"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hava/gaz akış hızlarını etkileyebilecek </w:t>
            </w:r>
          </w:p>
          <w:p w14:paraId="115D7E9C" w14:textId="77777777" w:rsidR="00A52778" w:rsidRPr="00231875" w:rsidRDefault="00A52778" w:rsidP="00FC3F8E">
            <w:pPr>
              <w:rPr>
                <w:rFonts w:eastAsia="Times New Roman" w:cs="Times New Roman"/>
                <w:b/>
                <w:color w:val="000000"/>
                <w:sz w:val="22"/>
              </w:rPr>
            </w:pPr>
            <w:r w:rsidRPr="00231875">
              <w:rPr>
                <w:rFonts w:eastAsia="Times New Roman" w:cs="Times New Roman"/>
                <w:color w:val="000000"/>
                <w:sz w:val="22"/>
              </w:rPr>
              <w:t xml:space="preserve">  değişiklikler (örn. fanların değiştirilmesi): </w:t>
            </w:r>
          </w:p>
          <w:p w14:paraId="4ACEDAE6" w14:textId="77777777" w:rsidR="00A52778" w:rsidRPr="00231875" w:rsidRDefault="00A52778" w:rsidP="00FC3F8E">
            <w:pPr>
              <w:rPr>
                <w:b/>
                <w:sz w:val="22"/>
              </w:rPr>
            </w:pPr>
            <w:r w:rsidRPr="00231875">
              <w:rPr>
                <w:rFonts w:eastAsia="Times New Roman" w:cs="Times New Roman"/>
                <w:color w:val="000000"/>
                <w:sz w:val="22"/>
              </w:rPr>
              <w:t xml:space="preserve">  değişikliğin tarihi ve türü kaydedilir.</w:t>
            </w:r>
          </w:p>
        </w:tc>
      </w:tr>
    </w:tbl>
    <w:p w14:paraId="1866059F" w14:textId="77777777" w:rsidR="00A52778" w:rsidRDefault="00A52778" w:rsidP="00A52778">
      <w:pPr>
        <w:rPr>
          <w:rFonts w:cs="Times New Roman"/>
        </w:rPr>
      </w:pPr>
    </w:p>
    <w:p w14:paraId="1CF25073" w14:textId="77777777" w:rsidR="00A52778" w:rsidRDefault="00A52778" w:rsidP="00A52778">
      <w:pPr>
        <w:spacing w:line="0" w:lineRule="atLeast"/>
        <w:ind w:left="120"/>
        <w:rPr>
          <w:rFonts w:eastAsia="Times New Roman" w:cs="Times New Roman"/>
        </w:rPr>
      </w:pPr>
    </w:p>
    <w:p w14:paraId="1704FB49" w14:textId="77777777" w:rsidR="00A52778" w:rsidRPr="00A800FB" w:rsidRDefault="00A52778" w:rsidP="00A52778">
      <w:pPr>
        <w:spacing w:line="0" w:lineRule="atLeast"/>
        <w:ind w:left="120"/>
        <w:rPr>
          <w:rFonts w:eastAsia="Times New Roman" w:cs="Times New Roman"/>
        </w:rPr>
      </w:pPr>
      <w:r w:rsidRPr="00A800FB">
        <w:rPr>
          <w:rFonts w:eastAsia="Times New Roman" w:cs="Times New Roman"/>
        </w:rPr>
        <w:t>Uygulanabilirlik</w:t>
      </w:r>
    </w:p>
    <w:p w14:paraId="3528D924" w14:textId="77777777" w:rsidR="00A52778" w:rsidRPr="00460F9E" w:rsidRDefault="00A52778" w:rsidP="00A52778">
      <w:pPr>
        <w:spacing w:line="236" w:lineRule="auto"/>
        <w:ind w:left="120"/>
        <w:rPr>
          <w:rFonts w:eastAsia="Times New Roman" w:cs="Times New Roman"/>
          <w:b/>
        </w:rPr>
      </w:pPr>
      <w:r w:rsidRPr="00460F9E">
        <w:rPr>
          <w:rFonts w:eastAsia="Times New Roman" w:cs="Times New Roman"/>
        </w:rPr>
        <w:t>Bu MET poliolefinlerin, PVC veya sentetik kauçukların üretimi için geçerli olmayabilir.</w:t>
      </w:r>
    </w:p>
    <w:p w14:paraId="7B1F07B3" w14:textId="77777777" w:rsidR="00A52778" w:rsidRPr="00460F9E" w:rsidRDefault="00A52778" w:rsidP="00A52778">
      <w:pPr>
        <w:spacing w:line="263" w:lineRule="exact"/>
        <w:rPr>
          <w:rFonts w:eastAsia="Times New Roman" w:cs="Times New Roman"/>
          <w:b/>
        </w:rPr>
      </w:pPr>
    </w:p>
    <w:p w14:paraId="7077651F" w14:textId="77777777" w:rsidR="00A52778" w:rsidRPr="00460F9E" w:rsidRDefault="00A52778" w:rsidP="00A52778">
      <w:pPr>
        <w:spacing w:line="237" w:lineRule="auto"/>
        <w:ind w:left="120" w:right="826"/>
        <w:rPr>
          <w:rFonts w:eastAsia="Times New Roman" w:cs="Times New Roman"/>
          <w:b/>
        </w:rPr>
      </w:pPr>
      <w:r w:rsidRPr="00460F9E">
        <w:rPr>
          <w:rFonts w:eastAsia="Times New Roman" w:cs="Times New Roman"/>
        </w:rPr>
        <w:t>Bu MET, yıllık toplam solvent tüketimi 50 tondan az olan tesisler için geçerli olmayabilir. Solvent kütle bilançosunun ayrıntı düzeyi, tesisin doğası, büyüklüğü, karmaşıklığı ve sahip olabileceği çevresel etkilerin yanı sıra kullanılan solventlerin türü ve miktarı ile orantılı olacaktır.</w:t>
      </w:r>
    </w:p>
    <w:p w14:paraId="2F6F4349" w14:textId="77777777" w:rsidR="00A52778" w:rsidRPr="00460F9E" w:rsidRDefault="00A52778" w:rsidP="00A52778">
      <w:pPr>
        <w:spacing w:line="200" w:lineRule="exact"/>
        <w:rPr>
          <w:rFonts w:eastAsia="Times New Roman" w:cs="Times New Roman"/>
          <w:b/>
        </w:rPr>
      </w:pPr>
    </w:p>
    <w:p w14:paraId="5A750615" w14:textId="77777777" w:rsidR="00A52778" w:rsidRPr="00460F9E" w:rsidRDefault="00A52778" w:rsidP="00A52778">
      <w:pPr>
        <w:spacing w:line="366" w:lineRule="exact"/>
        <w:rPr>
          <w:rFonts w:eastAsia="Times New Roman" w:cs="Times New Roman"/>
          <w:b/>
        </w:rPr>
      </w:pPr>
    </w:p>
    <w:p w14:paraId="5677472B" w14:textId="77777777" w:rsidR="00A52778" w:rsidRPr="00A800FB" w:rsidRDefault="00A52778" w:rsidP="00A52778">
      <w:pPr>
        <w:spacing w:line="237" w:lineRule="auto"/>
        <w:ind w:left="120" w:right="826"/>
        <w:rPr>
          <w:rFonts w:eastAsia="Times New Roman" w:cs="Times New Roman"/>
        </w:rPr>
      </w:pPr>
      <w:r>
        <w:rPr>
          <w:rFonts w:eastAsia="Times New Roman" w:cs="Times New Roman"/>
        </w:rPr>
        <w:t>MET 22. MET</w:t>
      </w:r>
      <w:r w:rsidRPr="00A800FB">
        <w:rPr>
          <w:rFonts w:eastAsia="Times New Roman" w:cs="Times New Roman"/>
        </w:rPr>
        <w:t>avaya yayılı VOC emisyonlarını en azından aşağıda verilen sıklıkta ve EN standartlarına uygun olarak izlemektir. EN standartlarının mevcut olmaması halinde MET, eşdeğer bilimsel kalitede verilerin sağlanmasını temin eden ISO, ulusal veya diğer uluslararası standartları kullanacaktır.</w:t>
      </w:r>
    </w:p>
    <w:p w14:paraId="38F219E8" w14:textId="77777777" w:rsidR="00A52778" w:rsidRPr="00460F9E" w:rsidRDefault="00A52778" w:rsidP="00A52778">
      <w:pPr>
        <w:spacing w:line="20" w:lineRule="exact"/>
        <w:rPr>
          <w:rFonts w:eastAsia="Times New Roman" w:cs="Times New Roman"/>
          <w:b/>
        </w:rPr>
      </w:pPr>
    </w:p>
    <w:p w14:paraId="3AD8B897" w14:textId="77777777" w:rsidR="00A52778" w:rsidRPr="00460F9E" w:rsidRDefault="00A52778" w:rsidP="00A52778">
      <w:pPr>
        <w:spacing w:line="20" w:lineRule="exact"/>
        <w:rPr>
          <w:rFonts w:eastAsia="Times New Roman" w:cs="Times New Roman"/>
          <w:b/>
        </w:rPr>
        <w:sectPr w:rsidR="00A52778" w:rsidRPr="00460F9E">
          <w:pgSz w:w="11900" w:h="16838"/>
          <w:pgMar w:top="707" w:right="1440" w:bottom="145" w:left="1020" w:header="0" w:footer="0" w:gutter="0"/>
          <w:cols w:space="0" w:equalWidth="0">
            <w:col w:w="9446"/>
          </w:cols>
          <w:docGrid w:linePitch="360"/>
        </w:sectPr>
      </w:pPr>
    </w:p>
    <w:p w14:paraId="272E547F" w14:textId="77777777" w:rsidR="00A52778" w:rsidRPr="00460F9E" w:rsidRDefault="00A52778" w:rsidP="00A52778">
      <w:pPr>
        <w:spacing w:line="200" w:lineRule="exact"/>
        <w:rPr>
          <w:rFonts w:eastAsia="Times New Roman" w:cs="Times New Roman"/>
          <w:b/>
        </w:rPr>
      </w:pPr>
    </w:p>
    <w:p w14:paraId="376C453C" w14:textId="77777777" w:rsidR="00A52778" w:rsidRPr="00460F9E" w:rsidRDefault="00A52778" w:rsidP="00A52778">
      <w:pPr>
        <w:spacing w:line="200" w:lineRule="exact"/>
        <w:rPr>
          <w:rFonts w:eastAsia="Times New Roman" w:cs="Times New Roman"/>
          <w:b/>
        </w:rPr>
      </w:pPr>
    </w:p>
    <w:p w14:paraId="4FA8D202" w14:textId="77777777" w:rsidR="00A52778" w:rsidRPr="00460F9E" w:rsidRDefault="00A52778" w:rsidP="00A52778">
      <w:pPr>
        <w:spacing w:line="200" w:lineRule="exact"/>
        <w:rPr>
          <w:rFonts w:eastAsia="Times New Roman" w:cs="Times New Roman"/>
          <w:b/>
        </w:rPr>
      </w:pPr>
    </w:p>
    <w:p w14:paraId="1A8D6DF2" w14:textId="77777777" w:rsidR="00A52778" w:rsidRPr="00460F9E" w:rsidRDefault="00A52778" w:rsidP="00A52778">
      <w:pPr>
        <w:spacing w:line="20" w:lineRule="exact"/>
        <w:rPr>
          <w:rFonts w:eastAsia="Times New Roman" w:cs="Times New Roman"/>
          <w:b/>
        </w:rPr>
      </w:pPr>
      <w:bookmarkStart w:id="335" w:name="page315"/>
      <w:bookmarkEnd w:id="335"/>
    </w:p>
    <w:tbl>
      <w:tblPr>
        <w:tblW w:w="8840" w:type="dxa"/>
        <w:tblInd w:w="80" w:type="dxa"/>
        <w:tblCellMar>
          <w:left w:w="70" w:type="dxa"/>
          <w:right w:w="70" w:type="dxa"/>
        </w:tblCellMar>
        <w:tblLook w:val="04A0" w:firstRow="1" w:lastRow="0" w:firstColumn="1" w:lastColumn="0" w:noHBand="0" w:noVBand="1"/>
      </w:tblPr>
      <w:tblGrid>
        <w:gridCol w:w="2720"/>
        <w:gridCol w:w="2180"/>
        <w:gridCol w:w="1620"/>
        <w:gridCol w:w="2320"/>
      </w:tblGrid>
      <w:tr w:rsidR="00A52778" w:rsidRPr="00460F9E" w14:paraId="3E8A8185" w14:textId="77777777" w:rsidTr="00FC3F8E">
        <w:trPr>
          <w:trHeight w:val="825"/>
        </w:trPr>
        <w:tc>
          <w:tcPr>
            <w:tcW w:w="27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EBFA0E0" w14:textId="77777777" w:rsidR="00A52778" w:rsidRPr="00493926" w:rsidRDefault="00A52778" w:rsidP="00FC3F8E">
            <w:pPr>
              <w:jc w:val="center"/>
              <w:rPr>
                <w:rFonts w:eastAsia="Times New Roman" w:cs="Times New Roman"/>
                <w:bCs/>
                <w:color w:val="000000"/>
              </w:rPr>
            </w:pPr>
            <w:r w:rsidRPr="00493926">
              <w:rPr>
                <w:rFonts w:eastAsia="Times New Roman" w:cs="Times New Roman"/>
                <w:bCs/>
                <w:color w:val="000000"/>
              </w:rPr>
              <w:t>Yayılı VOC emisyonlarının kaynak türleri                              (</w:t>
            </w:r>
            <w:r w:rsidRPr="00493926">
              <w:rPr>
                <w:rFonts w:eastAsia="Times New Roman" w:cs="Times New Roman"/>
                <w:bCs/>
                <w:color w:val="000000"/>
                <w:vertAlign w:val="superscript"/>
              </w:rPr>
              <w:t>1</w:t>
            </w:r>
            <w:r w:rsidRPr="00493926">
              <w:rPr>
                <w:rFonts w:eastAsia="Times New Roman" w:cs="Times New Roman"/>
                <w:bCs/>
                <w:color w:val="000000"/>
              </w:rPr>
              <w:t>)  (</w:t>
            </w:r>
            <w:r w:rsidRPr="00493926">
              <w:rPr>
                <w:rFonts w:eastAsia="Times New Roman" w:cs="Times New Roman"/>
                <w:bCs/>
                <w:color w:val="000000"/>
                <w:vertAlign w:val="superscript"/>
              </w:rPr>
              <w:t>2</w:t>
            </w:r>
            <w:r w:rsidRPr="00493926">
              <w:rPr>
                <w:rFonts w:eastAsia="Times New Roman" w:cs="Times New Roman"/>
                <w:bCs/>
                <w:color w:val="000000"/>
              </w:rPr>
              <w:t>)</w:t>
            </w:r>
          </w:p>
        </w:tc>
        <w:tc>
          <w:tcPr>
            <w:tcW w:w="2180" w:type="dxa"/>
            <w:tcBorders>
              <w:top w:val="single" w:sz="8" w:space="0" w:color="auto"/>
              <w:left w:val="nil"/>
              <w:bottom w:val="single" w:sz="8" w:space="0" w:color="auto"/>
              <w:right w:val="single" w:sz="8" w:space="0" w:color="auto"/>
            </w:tcBorders>
            <w:shd w:val="clear" w:color="auto" w:fill="auto"/>
            <w:noWrap/>
            <w:vAlign w:val="center"/>
            <w:hideMark/>
          </w:tcPr>
          <w:p w14:paraId="588B818C" w14:textId="77777777" w:rsidR="00A52778" w:rsidRPr="00493926" w:rsidRDefault="00A52778" w:rsidP="00FC3F8E">
            <w:pPr>
              <w:jc w:val="center"/>
              <w:rPr>
                <w:rFonts w:eastAsia="Times New Roman" w:cs="Times New Roman"/>
                <w:bCs/>
                <w:color w:val="000000"/>
              </w:rPr>
            </w:pPr>
            <w:r w:rsidRPr="00493926">
              <w:rPr>
                <w:rFonts w:eastAsia="Times New Roman" w:cs="Times New Roman"/>
                <w:bCs/>
                <w:color w:val="000000"/>
              </w:rPr>
              <w:t>VOC türleri</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7AF5BF55" w14:textId="77777777" w:rsidR="00A52778" w:rsidRPr="00493926" w:rsidRDefault="00A52778" w:rsidP="00FC3F8E">
            <w:pPr>
              <w:jc w:val="center"/>
              <w:rPr>
                <w:rFonts w:eastAsia="Times New Roman" w:cs="Times New Roman"/>
                <w:bCs/>
                <w:color w:val="000000"/>
              </w:rPr>
            </w:pPr>
            <w:r w:rsidRPr="00493926">
              <w:rPr>
                <w:rFonts w:eastAsia="Times New Roman" w:cs="Times New Roman"/>
                <w:bCs/>
                <w:color w:val="000000"/>
              </w:rPr>
              <w:t>Standard(lar)</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14:paraId="40BA1A2A" w14:textId="77777777" w:rsidR="00A52778" w:rsidRPr="00493926" w:rsidRDefault="00A52778" w:rsidP="00FC3F8E">
            <w:pPr>
              <w:jc w:val="center"/>
              <w:rPr>
                <w:rFonts w:eastAsia="Times New Roman" w:cs="Times New Roman"/>
                <w:bCs/>
                <w:color w:val="000000"/>
              </w:rPr>
            </w:pPr>
            <w:r w:rsidRPr="00493926">
              <w:rPr>
                <w:rFonts w:eastAsia="Times New Roman" w:cs="Times New Roman"/>
                <w:bCs/>
                <w:color w:val="000000"/>
              </w:rPr>
              <w:t>Minimum izleme sıklıkları</w:t>
            </w:r>
          </w:p>
        </w:tc>
      </w:tr>
      <w:tr w:rsidR="00A52778" w:rsidRPr="00460F9E" w14:paraId="2392EE19" w14:textId="77777777" w:rsidTr="00FC3F8E">
        <w:trPr>
          <w:trHeight w:val="675"/>
        </w:trPr>
        <w:tc>
          <w:tcPr>
            <w:tcW w:w="27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29790FF" w14:textId="77777777" w:rsidR="00A52778" w:rsidRPr="00460F9E" w:rsidRDefault="00A52778" w:rsidP="00FC3F8E">
            <w:pPr>
              <w:rPr>
                <w:rFonts w:eastAsia="Times New Roman" w:cs="Times New Roman"/>
                <w:b/>
                <w:color w:val="000000"/>
              </w:rPr>
            </w:pPr>
            <w:r w:rsidRPr="00460F9E">
              <w:rPr>
                <w:rFonts w:eastAsia="Times New Roman" w:cs="Times New Roman"/>
                <w:color w:val="000000"/>
              </w:rPr>
              <w:t xml:space="preserve">    Kaçak emisyon kaynakları</w:t>
            </w:r>
          </w:p>
        </w:tc>
        <w:tc>
          <w:tcPr>
            <w:tcW w:w="2180" w:type="dxa"/>
            <w:tcBorders>
              <w:top w:val="nil"/>
              <w:left w:val="nil"/>
              <w:bottom w:val="single" w:sz="8" w:space="0" w:color="auto"/>
              <w:right w:val="single" w:sz="8" w:space="0" w:color="auto"/>
            </w:tcBorders>
            <w:shd w:val="clear" w:color="auto" w:fill="auto"/>
            <w:vAlign w:val="center"/>
            <w:hideMark/>
          </w:tcPr>
          <w:p w14:paraId="6BA283FD" w14:textId="77777777" w:rsidR="00A52778" w:rsidRPr="00460F9E" w:rsidRDefault="00A52778" w:rsidP="00FC3F8E">
            <w:pPr>
              <w:rPr>
                <w:rFonts w:eastAsia="Times New Roman" w:cs="Times New Roman"/>
                <w:b/>
                <w:color w:val="000000"/>
              </w:rPr>
            </w:pPr>
            <w:r w:rsidRPr="00460F9E">
              <w:rPr>
                <w:rFonts w:eastAsia="Times New Roman" w:cs="Times New Roman"/>
                <w:color w:val="000000"/>
              </w:rPr>
              <w:t>CMR 1A veya 1B olarak sınıflandırılan VOC' ler</w:t>
            </w:r>
          </w:p>
        </w:tc>
        <w:tc>
          <w:tcPr>
            <w:tcW w:w="1620" w:type="dxa"/>
            <w:tcBorders>
              <w:top w:val="nil"/>
              <w:left w:val="nil"/>
              <w:bottom w:val="nil"/>
              <w:right w:val="single" w:sz="8" w:space="0" w:color="auto"/>
            </w:tcBorders>
            <w:shd w:val="clear" w:color="000000" w:fill="FFFFFF"/>
            <w:vAlign w:val="bottom"/>
            <w:hideMark/>
          </w:tcPr>
          <w:p w14:paraId="54AE7CB1" w14:textId="77777777" w:rsidR="00A52778" w:rsidRPr="00460F9E" w:rsidRDefault="00A52778" w:rsidP="00FC3F8E">
            <w:pPr>
              <w:jc w:val="center"/>
              <w:rPr>
                <w:rFonts w:eastAsia="Times New Roman" w:cs="Times New Roman"/>
                <w:b/>
                <w:color w:val="000000"/>
              </w:rPr>
            </w:pPr>
            <w:r w:rsidRPr="00460F9E">
              <w:rPr>
                <w:rFonts w:eastAsia="Times New Roman" w:cs="Times New Roman"/>
                <w:color w:val="000000"/>
              </w:rPr>
              <w:t>CMR 1A veya 1B olarak</w:t>
            </w:r>
          </w:p>
        </w:tc>
        <w:tc>
          <w:tcPr>
            <w:tcW w:w="2320" w:type="dxa"/>
            <w:tcBorders>
              <w:top w:val="nil"/>
              <w:left w:val="nil"/>
              <w:bottom w:val="single" w:sz="8" w:space="0" w:color="auto"/>
              <w:right w:val="single" w:sz="8" w:space="0" w:color="auto"/>
            </w:tcBorders>
            <w:shd w:val="clear" w:color="auto" w:fill="auto"/>
            <w:vAlign w:val="center"/>
            <w:hideMark/>
          </w:tcPr>
          <w:p w14:paraId="44F26ED6" w14:textId="77777777" w:rsidR="00A52778" w:rsidRPr="00460F9E" w:rsidRDefault="00A52778" w:rsidP="00FC3F8E">
            <w:pPr>
              <w:jc w:val="center"/>
              <w:rPr>
                <w:rFonts w:eastAsia="Times New Roman" w:cs="Times New Roman"/>
                <w:b/>
                <w:color w:val="000000"/>
              </w:rPr>
            </w:pPr>
            <w:r w:rsidRPr="00460F9E">
              <w:rPr>
                <w:rFonts w:eastAsia="Times New Roman" w:cs="Times New Roman"/>
                <w:color w:val="000000"/>
              </w:rPr>
              <w:t>Her yıl 1 kere                                                    (</w:t>
            </w:r>
            <w:r w:rsidRPr="00460F9E">
              <w:rPr>
                <w:rFonts w:eastAsia="Times New Roman" w:cs="Times New Roman"/>
                <w:color w:val="000000"/>
                <w:vertAlign w:val="superscript"/>
              </w:rPr>
              <w:t>3</w:t>
            </w:r>
            <w:r w:rsidRPr="00460F9E">
              <w:rPr>
                <w:rFonts w:eastAsia="Times New Roman" w:cs="Times New Roman"/>
                <w:color w:val="000000"/>
              </w:rPr>
              <w:t>) (</w:t>
            </w:r>
            <w:r w:rsidRPr="00460F9E">
              <w:rPr>
                <w:rFonts w:eastAsia="Times New Roman" w:cs="Times New Roman"/>
                <w:color w:val="000000"/>
                <w:vertAlign w:val="superscript"/>
              </w:rPr>
              <w:t>4</w:t>
            </w:r>
            <w:r w:rsidRPr="00460F9E">
              <w:rPr>
                <w:rFonts w:eastAsia="Times New Roman" w:cs="Times New Roman"/>
                <w:color w:val="000000"/>
              </w:rPr>
              <w:t>) (</w:t>
            </w:r>
            <w:r w:rsidRPr="00460F9E">
              <w:rPr>
                <w:rFonts w:eastAsia="Times New Roman" w:cs="Times New Roman"/>
                <w:color w:val="000000"/>
                <w:vertAlign w:val="superscript"/>
              </w:rPr>
              <w:t>5</w:t>
            </w:r>
            <w:r w:rsidRPr="00460F9E">
              <w:rPr>
                <w:rFonts w:eastAsia="Times New Roman" w:cs="Times New Roman"/>
                <w:color w:val="000000"/>
              </w:rPr>
              <w:t>)</w:t>
            </w:r>
          </w:p>
        </w:tc>
      </w:tr>
      <w:tr w:rsidR="00A52778" w:rsidRPr="00460F9E" w14:paraId="0CFBDD53" w14:textId="77777777" w:rsidTr="00FC3F8E">
        <w:trPr>
          <w:trHeight w:val="1050"/>
        </w:trPr>
        <w:tc>
          <w:tcPr>
            <w:tcW w:w="2720" w:type="dxa"/>
            <w:vMerge/>
            <w:tcBorders>
              <w:top w:val="single" w:sz="8" w:space="0" w:color="auto"/>
              <w:left w:val="single" w:sz="8" w:space="0" w:color="auto"/>
              <w:bottom w:val="single" w:sz="8" w:space="0" w:color="000000"/>
              <w:right w:val="single" w:sz="8" w:space="0" w:color="000000"/>
            </w:tcBorders>
            <w:vAlign w:val="center"/>
            <w:hideMark/>
          </w:tcPr>
          <w:p w14:paraId="56C4ED34" w14:textId="77777777" w:rsidR="00A52778" w:rsidRPr="00460F9E" w:rsidRDefault="00A52778" w:rsidP="00FC3F8E">
            <w:pPr>
              <w:rPr>
                <w:rFonts w:eastAsia="Times New Roman" w:cs="Times New Roman"/>
                <w:b/>
                <w:color w:val="000000"/>
              </w:rPr>
            </w:pPr>
          </w:p>
        </w:tc>
        <w:tc>
          <w:tcPr>
            <w:tcW w:w="2180" w:type="dxa"/>
            <w:tcBorders>
              <w:top w:val="nil"/>
              <w:left w:val="nil"/>
              <w:bottom w:val="single" w:sz="8" w:space="0" w:color="auto"/>
              <w:right w:val="single" w:sz="8" w:space="0" w:color="auto"/>
            </w:tcBorders>
            <w:shd w:val="clear" w:color="auto" w:fill="auto"/>
            <w:vAlign w:val="center"/>
            <w:hideMark/>
          </w:tcPr>
          <w:p w14:paraId="5BCCBF9A" w14:textId="77777777" w:rsidR="00A52778" w:rsidRPr="00460F9E" w:rsidRDefault="00A52778" w:rsidP="00FC3F8E">
            <w:pPr>
              <w:rPr>
                <w:rFonts w:eastAsia="Times New Roman" w:cs="Times New Roman"/>
                <w:b/>
                <w:color w:val="000000"/>
              </w:rPr>
            </w:pPr>
            <w:r w:rsidRPr="00460F9E">
              <w:rPr>
                <w:rFonts w:eastAsia="Times New Roman" w:cs="Times New Roman"/>
                <w:color w:val="000000"/>
              </w:rPr>
              <w:t>CMR 1A veya 1B olarak sınıflandırılmayan VOC' ler</w:t>
            </w:r>
          </w:p>
        </w:tc>
        <w:tc>
          <w:tcPr>
            <w:tcW w:w="1620" w:type="dxa"/>
            <w:tcBorders>
              <w:top w:val="nil"/>
              <w:left w:val="nil"/>
              <w:bottom w:val="single" w:sz="8" w:space="0" w:color="auto"/>
              <w:right w:val="single" w:sz="8" w:space="0" w:color="auto"/>
            </w:tcBorders>
            <w:shd w:val="clear" w:color="000000" w:fill="FFFFFF"/>
            <w:noWrap/>
            <w:vAlign w:val="center"/>
            <w:hideMark/>
          </w:tcPr>
          <w:p w14:paraId="58DF5D5F" w14:textId="77777777" w:rsidR="00A52778" w:rsidRPr="00460F9E" w:rsidRDefault="00A52778" w:rsidP="00FC3F8E">
            <w:pPr>
              <w:jc w:val="center"/>
              <w:rPr>
                <w:rFonts w:eastAsia="Times New Roman" w:cs="Times New Roman"/>
                <w:b/>
                <w:color w:val="000000"/>
              </w:rPr>
            </w:pPr>
            <w:r w:rsidRPr="00460F9E">
              <w:rPr>
                <w:rFonts w:eastAsia="Times New Roman" w:cs="Times New Roman"/>
                <w:color w:val="000000"/>
              </w:rPr>
              <w:t>EN 15446 (</w:t>
            </w:r>
            <w:r w:rsidRPr="00460F9E">
              <w:rPr>
                <w:rFonts w:eastAsia="Times New Roman" w:cs="Times New Roman"/>
                <w:color w:val="000000"/>
                <w:vertAlign w:val="superscript"/>
              </w:rPr>
              <w:t>8</w:t>
            </w:r>
            <w:r w:rsidRPr="00460F9E">
              <w:rPr>
                <w:rFonts w:eastAsia="Times New Roman" w:cs="Times New Roman"/>
                <w:color w:val="000000"/>
              </w:rPr>
              <w:t>)</w:t>
            </w:r>
          </w:p>
        </w:tc>
        <w:tc>
          <w:tcPr>
            <w:tcW w:w="2320" w:type="dxa"/>
            <w:tcBorders>
              <w:top w:val="nil"/>
              <w:left w:val="nil"/>
              <w:bottom w:val="single" w:sz="8" w:space="0" w:color="auto"/>
              <w:right w:val="single" w:sz="8" w:space="0" w:color="auto"/>
            </w:tcBorders>
            <w:shd w:val="clear" w:color="auto" w:fill="auto"/>
            <w:hideMark/>
          </w:tcPr>
          <w:p w14:paraId="0C0DEAF8" w14:textId="77777777" w:rsidR="00A52778" w:rsidRPr="00460F9E" w:rsidRDefault="00A52778" w:rsidP="00FC3F8E">
            <w:pPr>
              <w:jc w:val="center"/>
              <w:rPr>
                <w:rFonts w:eastAsia="Times New Roman" w:cs="Times New Roman"/>
                <w:b/>
                <w:color w:val="000000"/>
              </w:rPr>
            </w:pPr>
            <w:r w:rsidRPr="00460F9E">
              <w:rPr>
                <w:rFonts w:eastAsia="Times New Roman" w:cs="Times New Roman"/>
                <w:color w:val="000000"/>
              </w:rPr>
              <w:t xml:space="preserve">Her LDAR programının kapsadığı dönem boyunca                   1 kere                                              </w:t>
            </w:r>
            <w:r w:rsidRPr="00460F9E">
              <w:rPr>
                <w:rFonts w:eastAsia="Times New Roman" w:cs="Times New Roman"/>
                <w:color w:val="000000"/>
                <w:sz w:val="18"/>
                <w:szCs w:val="18"/>
              </w:rPr>
              <w:t>(bkz. MET 19 - madde iii.) (</w:t>
            </w:r>
            <w:r w:rsidRPr="00460F9E">
              <w:rPr>
                <w:rFonts w:eastAsia="Times New Roman" w:cs="Times New Roman"/>
                <w:color w:val="000000"/>
                <w:sz w:val="18"/>
                <w:szCs w:val="18"/>
                <w:vertAlign w:val="superscript"/>
              </w:rPr>
              <w:t>6</w:t>
            </w:r>
            <w:r w:rsidRPr="00460F9E">
              <w:rPr>
                <w:rFonts w:eastAsia="Times New Roman" w:cs="Times New Roman"/>
                <w:color w:val="000000"/>
                <w:sz w:val="18"/>
                <w:szCs w:val="18"/>
              </w:rPr>
              <w:t>)</w:t>
            </w:r>
          </w:p>
        </w:tc>
      </w:tr>
      <w:tr w:rsidR="00A52778" w:rsidRPr="00460F9E" w14:paraId="287DF8DF" w14:textId="77777777" w:rsidTr="00FC3F8E">
        <w:trPr>
          <w:trHeight w:val="570"/>
        </w:trPr>
        <w:tc>
          <w:tcPr>
            <w:tcW w:w="27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5667997" w14:textId="77777777" w:rsidR="00A52778" w:rsidRPr="00460F9E" w:rsidRDefault="00A52778" w:rsidP="00FC3F8E">
            <w:pPr>
              <w:rPr>
                <w:rFonts w:eastAsia="Times New Roman" w:cs="Times New Roman"/>
                <w:b/>
                <w:color w:val="000000"/>
              </w:rPr>
            </w:pPr>
            <w:r w:rsidRPr="00460F9E">
              <w:rPr>
                <w:rFonts w:eastAsia="Times New Roman" w:cs="Times New Roman"/>
                <w:color w:val="000000"/>
              </w:rPr>
              <w:t xml:space="preserve">    Kaçak olmayan emisyon  </w:t>
            </w:r>
          </w:p>
          <w:p w14:paraId="375377CA" w14:textId="77777777" w:rsidR="00A52778" w:rsidRPr="00460F9E" w:rsidRDefault="00A52778" w:rsidP="00FC3F8E">
            <w:pPr>
              <w:rPr>
                <w:rFonts w:eastAsia="Times New Roman" w:cs="Times New Roman"/>
                <w:b/>
                <w:color w:val="000000"/>
              </w:rPr>
            </w:pPr>
            <w:r w:rsidRPr="00460F9E">
              <w:rPr>
                <w:rFonts w:eastAsia="Times New Roman" w:cs="Times New Roman"/>
                <w:color w:val="000000"/>
              </w:rPr>
              <w:t xml:space="preserve">    kaynakları</w:t>
            </w:r>
          </w:p>
        </w:tc>
        <w:tc>
          <w:tcPr>
            <w:tcW w:w="2180" w:type="dxa"/>
            <w:tcBorders>
              <w:top w:val="nil"/>
              <w:left w:val="nil"/>
              <w:bottom w:val="single" w:sz="8" w:space="0" w:color="auto"/>
              <w:right w:val="single" w:sz="8" w:space="0" w:color="auto"/>
            </w:tcBorders>
            <w:shd w:val="clear" w:color="auto" w:fill="auto"/>
            <w:hideMark/>
          </w:tcPr>
          <w:p w14:paraId="1827435F" w14:textId="77777777" w:rsidR="00A52778" w:rsidRPr="00460F9E" w:rsidRDefault="00A52778" w:rsidP="00FC3F8E">
            <w:pPr>
              <w:rPr>
                <w:rFonts w:eastAsia="Times New Roman" w:cs="Times New Roman"/>
                <w:b/>
                <w:color w:val="000000"/>
              </w:rPr>
            </w:pPr>
            <w:r w:rsidRPr="00460F9E">
              <w:rPr>
                <w:rFonts w:eastAsia="Times New Roman" w:cs="Times New Roman"/>
                <w:color w:val="000000"/>
              </w:rPr>
              <w:t>CMR 1A veya 1B olarak sınıflandırılan VOC' ler</w:t>
            </w:r>
          </w:p>
        </w:tc>
        <w:tc>
          <w:tcPr>
            <w:tcW w:w="16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55055D3" w14:textId="77777777" w:rsidR="00A52778" w:rsidRPr="00460F9E" w:rsidRDefault="00A52778" w:rsidP="00FC3F8E">
            <w:pPr>
              <w:jc w:val="center"/>
              <w:rPr>
                <w:rFonts w:eastAsia="Times New Roman" w:cs="Times New Roman"/>
                <w:b/>
                <w:color w:val="000000"/>
              </w:rPr>
            </w:pPr>
            <w:r w:rsidRPr="00460F9E">
              <w:rPr>
                <w:rFonts w:eastAsia="Times New Roman" w:cs="Times New Roman"/>
                <w:color w:val="000000"/>
              </w:rPr>
              <w:t>EN 17628</w:t>
            </w:r>
          </w:p>
        </w:tc>
        <w:tc>
          <w:tcPr>
            <w:tcW w:w="2320" w:type="dxa"/>
            <w:tcBorders>
              <w:top w:val="nil"/>
              <w:left w:val="nil"/>
              <w:bottom w:val="single" w:sz="8" w:space="0" w:color="auto"/>
              <w:right w:val="single" w:sz="8" w:space="0" w:color="auto"/>
            </w:tcBorders>
            <w:shd w:val="clear" w:color="auto" w:fill="auto"/>
            <w:vAlign w:val="center"/>
            <w:hideMark/>
          </w:tcPr>
          <w:p w14:paraId="65F94FF9" w14:textId="77777777" w:rsidR="00A52778" w:rsidRPr="00460F9E" w:rsidRDefault="00A52778" w:rsidP="00FC3F8E">
            <w:pPr>
              <w:jc w:val="center"/>
              <w:rPr>
                <w:rFonts w:eastAsia="Times New Roman" w:cs="Times New Roman"/>
                <w:b/>
                <w:color w:val="000000"/>
              </w:rPr>
            </w:pPr>
            <w:r w:rsidRPr="00460F9E">
              <w:rPr>
                <w:rFonts w:eastAsia="Times New Roman" w:cs="Times New Roman"/>
                <w:color w:val="000000"/>
              </w:rPr>
              <w:t xml:space="preserve">Her yıl 1 kere                                                  </w:t>
            </w:r>
          </w:p>
        </w:tc>
      </w:tr>
      <w:tr w:rsidR="00A52778" w:rsidRPr="00460F9E" w14:paraId="110DD1F0" w14:textId="77777777" w:rsidTr="00FC3F8E">
        <w:trPr>
          <w:trHeight w:val="585"/>
        </w:trPr>
        <w:tc>
          <w:tcPr>
            <w:tcW w:w="2720" w:type="dxa"/>
            <w:vMerge/>
            <w:tcBorders>
              <w:top w:val="single" w:sz="8" w:space="0" w:color="auto"/>
              <w:left w:val="single" w:sz="8" w:space="0" w:color="auto"/>
              <w:bottom w:val="single" w:sz="8" w:space="0" w:color="000000"/>
              <w:right w:val="single" w:sz="8" w:space="0" w:color="000000"/>
            </w:tcBorders>
            <w:vAlign w:val="center"/>
            <w:hideMark/>
          </w:tcPr>
          <w:p w14:paraId="03C14EB1" w14:textId="77777777" w:rsidR="00A52778" w:rsidRPr="00460F9E" w:rsidRDefault="00A52778" w:rsidP="00FC3F8E">
            <w:pPr>
              <w:rPr>
                <w:rFonts w:eastAsia="Times New Roman" w:cs="Times New Roman"/>
                <w:b/>
                <w:color w:val="000000"/>
              </w:rPr>
            </w:pPr>
          </w:p>
        </w:tc>
        <w:tc>
          <w:tcPr>
            <w:tcW w:w="2180" w:type="dxa"/>
            <w:tcBorders>
              <w:top w:val="nil"/>
              <w:left w:val="nil"/>
              <w:bottom w:val="single" w:sz="8" w:space="0" w:color="auto"/>
              <w:right w:val="single" w:sz="8" w:space="0" w:color="auto"/>
            </w:tcBorders>
            <w:shd w:val="clear" w:color="auto" w:fill="auto"/>
            <w:hideMark/>
          </w:tcPr>
          <w:p w14:paraId="29F4A150" w14:textId="77777777" w:rsidR="00A52778" w:rsidRPr="00460F9E" w:rsidRDefault="00A52778" w:rsidP="00FC3F8E">
            <w:pPr>
              <w:rPr>
                <w:rFonts w:eastAsia="Times New Roman" w:cs="Times New Roman"/>
                <w:b/>
                <w:color w:val="000000"/>
              </w:rPr>
            </w:pPr>
            <w:r w:rsidRPr="00460F9E">
              <w:rPr>
                <w:rFonts w:eastAsia="Times New Roman" w:cs="Times New Roman"/>
                <w:color w:val="000000"/>
              </w:rPr>
              <w:t>CMR 1A veya 1B olarak sınıflandırılmayan VOC' ler</w:t>
            </w:r>
          </w:p>
        </w:tc>
        <w:tc>
          <w:tcPr>
            <w:tcW w:w="1620" w:type="dxa"/>
            <w:vMerge/>
            <w:tcBorders>
              <w:top w:val="nil"/>
              <w:left w:val="single" w:sz="8" w:space="0" w:color="auto"/>
              <w:bottom w:val="single" w:sz="8" w:space="0" w:color="000000"/>
              <w:right w:val="single" w:sz="8" w:space="0" w:color="auto"/>
            </w:tcBorders>
            <w:vAlign w:val="center"/>
            <w:hideMark/>
          </w:tcPr>
          <w:p w14:paraId="28DD38B4" w14:textId="77777777" w:rsidR="00A52778" w:rsidRPr="00460F9E" w:rsidRDefault="00A52778" w:rsidP="00FC3F8E">
            <w:pPr>
              <w:rPr>
                <w:rFonts w:eastAsia="Times New Roman" w:cs="Times New Roman"/>
                <w:b/>
                <w:color w:val="000000"/>
              </w:rPr>
            </w:pPr>
          </w:p>
        </w:tc>
        <w:tc>
          <w:tcPr>
            <w:tcW w:w="2320" w:type="dxa"/>
            <w:tcBorders>
              <w:top w:val="nil"/>
              <w:left w:val="nil"/>
              <w:bottom w:val="single" w:sz="8" w:space="0" w:color="auto"/>
              <w:right w:val="single" w:sz="8" w:space="0" w:color="auto"/>
            </w:tcBorders>
            <w:shd w:val="clear" w:color="auto" w:fill="auto"/>
            <w:vAlign w:val="center"/>
            <w:hideMark/>
          </w:tcPr>
          <w:p w14:paraId="49D52589" w14:textId="77777777" w:rsidR="00A52778" w:rsidRPr="00460F9E" w:rsidRDefault="00A52778" w:rsidP="00FC3F8E">
            <w:pPr>
              <w:jc w:val="center"/>
              <w:rPr>
                <w:rFonts w:eastAsia="Times New Roman" w:cs="Times New Roman"/>
                <w:b/>
                <w:color w:val="000000"/>
              </w:rPr>
            </w:pPr>
            <w:r w:rsidRPr="00460F9E">
              <w:rPr>
                <w:rFonts w:eastAsia="Times New Roman" w:cs="Times New Roman"/>
                <w:color w:val="000000"/>
              </w:rPr>
              <w:t>Her yıl 1 kere                                                 (</w:t>
            </w:r>
            <w:r w:rsidRPr="00460F9E">
              <w:rPr>
                <w:rFonts w:eastAsia="Times New Roman" w:cs="Times New Roman"/>
                <w:color w:val="000000"/>
                <w:vertAlign w:val="superscript"/>
              </w:rPr>
              <w:t>7</w:t>
            </w:r>
            <w:r w:rsidRPr="00460F9E">
              <w:rPr>
                <w:rFonts w:eastAsia="Times New Roman" w:cs="Times New Roman"/>
                <w:color w:val="000000"/>
              </w:rPr>
              <w:t>)</w:t>
            </w:r>
          </w:p>
        </w:tc>
      </w:tr>
      <w:tr w:rsidR="00A52778" w:rsidRPr="00460F9E" w14:paraId="3C165C58" w14:textId="77777777" w:rsidTr="00FC3F8E">
        <w:trPr>
          <w:trHeight w:val="315"/>
        </w:trPr>
        <w:tc>
          <w:tcPr>
            <w:tcW w:w="8840" w:type="dxa"/>
            <w:gridSpan w:val="4"/>
            <w:tcBorders>
              <w:top w:val="single" w:sz="8" w:space="0" w:color="auto"/>
              <w:left w:val="single" w:sz="8" w:space="0" w:color="auto"/>
              <w:bottom w:val="nil"/>
              <w:right w:val="single" w:sz="8" w:space="0" w:color="000000"/>
            </w:tcBorders>
            <w:shd w:val="clear" w:color="000000" w:fill="FFFFFF"/>
            <w:noWrap/>
            <w:vAlign w:val="center"/>
            <w:hideMark/>
          </w:tcPr>
          <w:p w14:paraId="5A3B9D82" w14:textId="77777777" w:rsidR="00A52778" w:rsidRPr="00460F9E" w:rsidRDefault="00A52778" w:rsidP="00FC3F8E">
            <w:pPr>
              <w:rPr>
                <w:rFonts w:eastAsia="Times New Roman" w:cs="Times New Roman"/>
                <w:b/>
                <w:color w:val="000000"/>
              </w:rPr>
            </w:pPr>
            <w:r w:rsidRPr="00460F9E">
              <w:rPr>
                <w:rFonts w:eastAsia="Times New Roman" w:cs="Times New Roman"/>
                <w:color w:val="000000"/>
              </w:rPr>
              <w:t>(</w:t>
            </w:r>
            <w:r w:rsidRPr="00460F9E">
              <w:rPr>
                <w:rFonts w:eastAsia="Times New Roman" w:cs="Times New Roman"/>
                <w:color w:val="000000"/>
                <w:vertAlign w:val="superscript"/>
              </w:rPr>
              <w:t>1</w:t>
            </w:r>
            <w:r w:rsidRPr="00460F9E">
              <w:rPr>
                <w:rFonts w:eastAsia="Times New Roman" w:cs="Times New Roman"/>
                <w:color w:val="000000"/>
              </w:rPr>
              <w:t>) İzleme yalnızca MET 2' de verilen envanterle ilgili olarak tanımlanan emisyon kaynakları için geçerlidir.</w:t>
            </w:r>
          </w:p>
        </w:tc>
      </w:tr>
      <w:tr w:rsidR="00A52778" w:rsidRPr="00460F9E" w14:paraId="223271BD" w14:textId="77777777" w:rsidTr="00FC3F8E">
        <w:trPr>
          <w:trHeight w:val="315"/>
        </w:trPr>
        <w:tc>
          <w:tcPr>
            <w:tcW w:w="8840" w:type="dxa"/>
            <w:gridSpan w:val="4"/>
            <w:tcBorders>
              <w:top w:val="nil"/>
              <w:left w:val="single" w:sz="8" w:space="0" w:color="auto"/>
              <w:bottom w:val="nil"/>
              <w:right w:val="single" w:sz="8" w:space="0" w:color="000000"/>
            </w:tcBorders>
            <w:shd w:val="clear" w:color="000000" w:fill="FFFFFF"/>
            <w:noWrap/>
            <w:vAlign w:val="center"/>
            <w:hideMark/>
          </w:tcPr>
          <w:p w14:paraId="40E166D3" w14:textId="77777777" w:rsidR="00A52778" w:rsidRPr="00460F9E" w:rsidRDefault="00A52778" w:rsidP="00FC3F8E">
            <w:pPr>
              <w:rPr>
                <w:rFonts w:eastAsia="Times New Roman" w:cs="Times New Roman"/>
                <w:b/>
                <w:color w:val="000000"/>
              </w:rPr>
            </w:pPr>
            <w:r w:rsidRPr="00460F9E">
              <w:rPr>
                <w:rFonts w:eastAsia="Times New Roman" w:cs="Times New Roman"/>
                <w:color w:val="000000"/>
              </w:rPr>
              <w:t>(</w:t>
            </w:r>
            <w:r w:rsidRPr="00460F9E">
              <w:rPr>
                <w:rFonts w:eastAsia="Times New Roman" w:cs="Times New Roman"/>
                <w:color w:val="000000"/>
                <w:vertAlign w:val="superscript"/>
              </w:rPr>
              <w:t>2</w:t>
            </w:r>
            <w:r w:rsidRPr="00460F9E">
              <w:rPr>
                <w:rFonts w:eastAsia="Times New Roman" w:cs="Times New Roman"/>
                <w:color w:val="000000"/>
              </w:rPr>
              <w:t>) İzleme, atmosferaltı basınç altında çalıştırılan ekipmanlar için geçerli değildir.</w:t>
            </w:r>
          </w:p>
        </w:tc>
      </w:tr>
      <w:tr w:rsidR="00A52778" w:rsidRPr="00460F9E" w14:paraId="789C9816" w14:textId="77777777" w:rsidTr="00FC3F8E">
        <w:trPr>
          <w:trHeight w:val="443"/>
        </w:trPr>
        <w:tc>
          <w:tcPr>
            <w:tcW w:w="8840" w:type="dxa"/>
            <w:gridSpan w:val="4"/>
            <w:tcBorders>
              <w:top w:val="nil"/>
              <w:left w:val="single" w:sz="8" w:space="0" w:color="auto"/>
              <w:bottom w:val="nil"/>
              <w:right w:val="single" w:sz="8" w:space="0" w:color="000000"/>
            </w:tcBorders>
            <w:shd w:val="clear" w:color="000000" w:fill="FFFFFF"/>
            <w:hideMark/>
          </w:tcPr>
          <w:p w14:paraId="04422546" w14:textId="77777777" w:rsidR="00A52778" w:rsidRPr="00460F9E" w:rsidRDefault="00A52778" w:rsidP="00FC3F8E">
            <w:pPr>
              <w:rPr>
                <w:rFonts w:eastAsia="Times New Roman" w:cs="Times New Roman"/>
                <w:b/>
                <w:color w:val="000000"/>
              </w:rPr>
            </w:pPr>
            <w:r w:rsidRPr="00460F9E">
              <w:rPr>
                <w:rFonts w:eastAsia="Times New Roman" w:cs="Times New Roman"/>
                <w:color w:val="000000"/>
              </w:rPr>
              <w:t>(</w:t>
            </w:r>
            <w:r w:rsidRPr="00460F9E">
              <w:rPr>
                <w:rFonts w:eastAsia="Times New Roman" w:cs="Times New Roman"/>
                <w:color w:val="000000"/>
                <w:vertAlign w:val="superscript"/>
              </w:rPr>
              <w:t>3</w:t>
            </w:r>
            <w:r w:rsidRPr="00460F9E">
              <w:rPr>
                <w:rFonts w:eastAsia="Times New Roman" w:cs="Times New Roman"/>
                <w:color w:val="000000"/>
              </w:rPr>
              <w:t>) Kaçak VOC emisyonlarının erişilemeyen kaynakları söz konusu olduğunda (örneğin, izleme, yalıtımın kaldırılmasını veya iskele kullanımını gerektiriyorsa), izleme sıklığı her bir LDAR programının kapsadığı dönem boyunca bir defaya indirilebilir (bkz. MET 19 madde iii.).</w:t>
            </w:r>
          </w:p>
        </w:tc>
      </w:tr>
      <w:tr w:rsidR="00A52778" w:rsidRPr="00460F9E" w14:paraId="31E77A71" w14:textId="77777777" w:rsidTr="00FC3F8E">
        <w:trPr>
          <w:trHeight w:val="694"/>
        </w:trPr>
        <w:tc>
          <w:tcPr>
            <w:tcW w:w="8840" w:type="dxa"/>
            <w:gridSpan w:val="4"/>
            <w:tcBorders>
              <w:top w:val="nil"/>
              <w:left w:val="single" w:sz="8" w:space="0" w:color="auto"/>
              <w:bottom w:val="nil"/>
              <w:right w:val="single" w:sz="8" w:space="0" w:color="000000"/>
            </w:tcBorders>
            <w:shd w:val="clear" w:color="000000" w:fill="FFFFFF"/>
            <w:hideMark/>
          </w:tcPr>
          <w:p w14:paraId="2A8383E5" w14:textId="77777777" w:rsidR="00A52778" w:rsidRPr="00460F9E" w:rsidRDefault="00A52778" w:rsidP="00FC3F8E">
            <w:pPr>
              <w:rPr>
                <w:rFonts w:eastAsia="Times New Roman" w:cs="Times New Roman"/>
                <w:b/>
                <w:color w:val="000000"/>
              </w:rPr>
            </w:pPr>
            <w:r w:rsidRPr="00460F9E">
              <w:rPr>
                <w:rFonts w:eastAsia="Times New Roman" w:cs="Times New Roman"/>
                <w:color w:val="000000"/>
              </w:rPr>
              <w:t>(</w:t>
            </w:r>
            <w:r w:rsidRPr="00460F9E">
              <w:rPr>
                <w:rFonts w:eastAsia="Times New Roman" w:cs="Times New Roman"/>
                <w:color w:val="000000"/>
                <w:vertAlign w:val="superscript"/>
              </w:rPr>
              <w:t>4</w:t>
            </w:r>
            <w:r w:rsidRPr="00460F9E">
              <w:rPr>
                <w:rFonts w:eastAsia="Times New Roman" w:cs="Times New Roman"/>
                <w:color w:val="000000"/>
              </w:rPr>
              <w:t>) PVC üretimi için, tesisin VCM sızıntılarının eşdeğer düzeyde tespit edilmesini sağlayacak şekilde VCM emisyonlarını sürekli olarak izlemek için VCM gaz dedektörleri kullanması durumunda minimum izleme sıklığı 5 yılda bir kereye düşürülebilir.</w:t>
            </w:r>
          </w:p>
          <w:p w14:paraId="1267C46E" w14:textId="77777777" w:rsidR="00A52778" w:rsidRPr="00460F9E" w:rsidRDefault="00A52778" w:rsidP="00FC3F8E">
            <w:pPr>
              <w:rPr>
                <w:rFonts w:eastAsia="Times New Roman" w:cs="Times New Roman"/>
                <w:b/>
                <w:color w:val="000000"/>
              </w:rPr>
            </w:pPr>
          </w:p>
        </w:tc>
      </w:tr>
      <w:tr w:rsidR="00A52778" w:rsidRPr="00460F9E" w14:paraId="77EC4C3E" w14:textId="77777777" w:rsidTr="00FC3F8E">
        <w:trPr>
          <w:trHeight w:val="893"/>
        </w:trPr>
        <w:tc>
          <w:tcPr>
            <w:tcW w:w="8840" w:type="dxa"/>
            <w:gridSpan w:val="4"/>
            <w:tcBorders>
              <w:top w:val="nil"/>
              <w:left w:val="single" w:sz="8" w:space="0" w:color="auto"/>
              <w:bottom w:val="nil"/>
              <w:right w:val="single" w:sz="8" w:space="0" w:color="000000"/>
            </w:tcBorders>
            <w:shd w:val="clear" w:color="000000" w:fill="FFFFFF"/>
            <w:vAlign w:val="center"/>
            <w:hideMark/>
          </w:tcPr>
          <w:p w14:paraId="185109A9" w14:textId="77777777" w:rsidR="00A52778" w:rsidRPr="00460F9E" w:rsidRDefault="00A52778" w:rsidP="00FC3F8E">
            <w:pPr>
              <w:rPr>
                <w:rFonts w:eastAsia="Times New Roman" w:cs="Times New Roman"/>
                <w:b/>
                <w:color w:val="000000"/>
              </w:rPr>
            </w:pPr>
            <w:r w:rsidRPr="00460F9E">
              <w:rPr>
                <w:rFonts w:eastAsia="Times New Roman" w:cs="Times New Roman"/>
                <w:color w:val="000000"/>
              </w:rPr>
              <w:t>(</w:t>
            </w:r>
            <w:r w:rsidRPr="00460F9E">
              <w:rPr>
                <w:rFonts w:eastAsia="Times New Roman" w:cs="Times New Roman"/>
                <w:color w:val="000000"/>
                <w:vertAlign w:val="superscript"/>
              </w:rPr>
              <w:t>5</w:t>
            </w:r>
            <w:r w:rsidRPr="00460F9E">
              <w:rPr>
                <w:rFonts w:eastAsia="Times New Roman" w:cs="Times New Roman"/>
                <w:color w:val="000000"/>
              </w:rPr>
              <w:t>) CMR 1A veya 1B olarak sınıflandırılan VOC' ler ile temas eden yüksek bütünlüklü ekiCMR 1A veya 1B olarak sınıflandırılan VOC' ler ile temas eden yüksek bütünlüklü ekipmanlar (bkz. MET 23 b.) söz konusu olduğunda, daha düşük bir asgari izleme sıklığı benimsenebilir, ancak her durumda en az 5 yılda bir kere olmalıdır.</w:t>
            </w:r>
          </w:p>
        </w:tc>
      </w:tr>
      <w:tr w:rsidR="00A52778" w:rsidRPr="00460F9E" w14:paraId="1020D37F" w14:textId="77777777" w:rsidTr="00FC3F8E">
        <w:trPr>
          <w:trHeight w:val="505"/>
        </w:trPr>
        <w:tc>
          <w:tcPr>
            <w:tcW w:w="8840" w:type="dxa"/>
            <w:gridSpan w:val="4"/>
            <w:tcBorders>
              <w:top w:val="nil"/>
              <w:left w:val="single" w:sz="8" w:space="0" w:color="auto"/>
              <w:bottom w:val="nil"/>
              <w:right w:val="single" w:sz="8" w:space="0" w:color="000000"/>
            </w:tcBorders>
            <w:shd w:val="clear" w:color="000000" w:fill="FFFFFF"/>
            <w:vAlign w:val="center"/>
            <w:hideMark/>
          </w:tcPr>
          <w:p w14:paraId="3F35DB0A" w14:textId="77777777" w:rsidR="00A52778" w:rsidRPr="00460F9E" w:rsidRDefault="00A52778" w:rsidP="00FC3F8E">
            <w:pPr>
              <w:rPr>
                <w:rFonts w:eastAsia="Times New Roman" w:cs="Times New Roman"/>
                <w:b/>
                <w:color w:val="000000"/>
              </w:rPr>
            </w:pPr>
            <w:r w:rsidRPr="00460F9E">
              <w:rPr>
                <w:rFonts w:eastAsia="Times New Roman" w:cs="Times New Roman"/>
                <w:color w:val="000000"/>
              </w:rPr>
              <w:t>(</w:t>
            </w:r>
            <w:r w:rsidRPr="00460F9E">
              <w:rPr>
                <w:rFonts w:eastAsia="Times New Roman" w:cs="Times New Roman"/>
                <w:color w:val="000000"/>
                <w:vertAlign w:val="superscript"/>
              </w:rPr>
              <w:t>6</w:t>
            </w:r>
            <w:r w:rsidRPr="00460F9E">
              <w:rPr>
                <w:rFonts w:eastAsia="Times New Roman" w:cs="Times New Roman"/>
                <w:color w:val="000000"/>
              </w:rPr>
              <w:t>) CMR 1A veya 1B olarak sınıflandırılan VOC' ler dışındaki VOC' ler ile temas eden yüksek bütünlüklü ekipmanlar (bkz. MET 23 b.) söz konusu olduğunda, daha düşük bir asgari izleme sıklığı benimsenebilir, ancak her durumda en az 8 yılda bir kere olmalıdır.</w:t>
            </w:r>
          </w:p>
        </w:tc>
      </w:tr>
      <w:tr w:rsidR="00A52778" w:rsidRPr="00460F9E" w14:paraId="7D8F977D" w14:textId="77777777" w:rsidTr="00FC3F8E">
        <w:trPr>
          <w:trHeight w:val="373"/>
        </w:trPr>
        <w:tc>
          <w:tcPr>
            <w:tcW w:w="8840" w:type="dxa"/>
            <w:gridSpan w:val="4"/>
            <w:tcBorders>
              <w:top w:val="nil"/>
              <w:left w:val="single" w:sz="8" w:space="0" w:color="auto"/>
              <w:bottom w:val="nil"/>
              <w:right w:val="single" w:sz="8" w:space="0" w:color="000000"/>
            </w:tcBorders>
            <w:shd w:val="clear" w:color="000000" w:fill="FFFFFF"/>
            <w:vAlign w:val="center"/>
            <w:hideMark/>
          </w:tcPr>
          <w:p w14:paraId="565E5FD7" w14:textId="77777777" w:rsidR="00A52778" w:rsidRPr="00460F9E" w:rsidRDefault="00A52778" w:rsidP="00FC3F8E">
            <w:pPr>
              <w:rPr>
                <w:rFonts w:eastAsia="Times New Roman" w:cs="Times New Roman"/>
                <w:b/>
                <w:color w:val="000000"/>
              </w:rPr>
            </w:pPr>
            <w:r w:rsidRPr="00460F9E">
              <w:rPr>
                <w:rFonts w:eastAsia="Times New Roman" w:cs="Times New Roman"/>
                <w:color w:val="000000"/>
              </w:rPr>
              <w:t>(</w:t>
            </w:r>
            <w:r w:rsidRPr="00460F9E">
              <w:rPr>
                <w:rFonts w:eastAsia="Times New Roman" w:cs="Times New Roman"/>
                <w:color w:val="000000"/>
                <w:vertAlign w:val="superscript"/>
              </w:rPr>
              <w:t>7</w:t>
            </w:r>
            <w:r w:rsidRPr="00460F9E">
              <w:rPr>
                <w:rFonts w:eastAsia="Times New Roman" w:cs="Times New Roman"/>
                <w:color w:val="000000"/>
              </w:rPr>
              <w:t>) Kaçak olmayan emisyonların ölçümler kullanılarak belirlenmesi halinde asgari izleme sıklığı her 5 yılda bir kereye düşürülebilir.</w:t>
            </w:r>
          </w:p>
        </w:tc>
      </w:tr>
      <w:tr w:rsidR="00A52778" w:rsidRPr="00460F9E" w14:paraId="6C6F3929" w14:textId="77777777" w:rsidTr="00FC3F8E">
        <w:trPr>
          <w:trHeight w:val="238"/>
        </w:trPr>
        <w:tc>
          <w:tcPr>
            <w:tcW w:w="8840" w:type="dxa"/>
            <w:gridSpan w:val="4"/>
            <w:tcBorders>
              <w:top w:val="nil"/>
              <w:left w:val="single" w:sz="8" w:space="0" w:color="auto"/>
              <w:bottom w:val="single" w:sz="8" w:space="0" w:color="auto"/>
              <w:right w:val="single" w:sz="8" w:space="0" w:color="000000"/>
            </w:tcBorders>
            <w:shd w:val="clear" w:color="000000" w:fill="FFFFFF"/>
            <w:noWrap/>
            <w:vAlign w:val="center"/>
            <w:hideMark/>
          </w:tcPr>
          <w:p w14:paraId="08B39531" w14:textId="77777777" w:rsidR="00A52778" w:rsidRPr="00460F9E" w:rsidRDefault="00A52778" w:rsidP="00FC3F8E">
            <w:pPr>
              <w:rPr>
                <w:rFonts w:eastAsia="Times New Roman" w:cs="Times New Roman"/>
                <w:b/>
                <w:color w:val="000000"/>
              </w:rPr>
            </w:pPr>
            <w:r w:rsidRPr="00460F9E">
              <w:rPr>
                <w:rFonts w:eastAsia="Times New Roman" w:cs="Times New Roman"/>
                <w:color w:val="000000"/>
              </w:rPr>
              <w:t>(</w:t>
            </w:r>
            <w:r w:rsidRPr="00460F9E">
              <w:rPr>
                <w:rFonts w:eastAsia="Times New Roman" w:cs="Times New Roman"/>
                <w:color w:val="000000"/>
                <w:vertAlign w:val="superscript"/>
              </w:rPr>
              <w:t>8</w:t>
            </w:r>
            <w:r w:rsidRPr="00460F9E">
              <w:rPr>
                <w:rFonts w:eastAsia="Times New Roman" w:cs="Times New Roman"/>
                <w:color w:val="000000"/>
              </w:rPr>
              <w:t>) Bu standart EN 17628 ile tamamlanabilir.</w:t>
            </w:r>
          </w:p>
        </w:tc>
      </w:tr>
    </w:tbl>
    <w:p w14:paraId="01F0DB3A" w14:textId="77777777" w:rsidR="00A52778" w:rsidRPr="00460F9E" w:rsidRDefault="00A52778" w:rsidP="00A52778">
      <w:pPr>
        <w:spacing w:line="156" w:lineRule="exact"/>
        <w:rPr>
          <w:rFonts w:eastAsia="Times New Roman" w:cs="Times New Roman"/>
          <w:b/>
        </w:rPr>
      </w:pPr>
    </w:p>
    <w:p w14:paraId="1016E0F8" w14:textId="77777777" w:rsidR="00A52778" w:rsidRDefault="00A52778" w:rsidP="00A52778">
      <w:pPr>
        <w:spacing w:line="200" w:lineRule="exact"/>
        <w:rPr>
          <w:rFonts w:eastAsia="Times New Roman" w:cs="Times New Roman"/>
          <w:b/>
        </w:rPr>
      </w:pPr>
    </w:p>
    <w:p w14:paraId="58C1339B" w14:textId="77777777" w:rsidR="00A52778" w:rsidRPr="00460F9E" w:rsidRDefault="00A52778" w:rsidP="00A52778">
      <w:pPr>
        <w:spacing w:line="200" w:lineRule="exact"/>
        <w:rPr>
          <w:rFonts w:eastAsia="Times New Roman" w:cs="Times New Roman"/>
          <w:b/>
        </w:rPr>
      </w:pPr>
    </w:p>
    <w:p w14:paraId="06E5A3EB" w14:textId="77777777" w:rsidR="00A52778" w:rsidRPr="00493926" w:rsidRDefault="00A52778" w:rsidP="00A52778">
      <w:pPr>
        <w:spacing w:line="0" w:lineRule="atLeast"/>
        <w:rPr>
          <w:rFonts w:eastAsia="Times New Roman" w:cs="Times New Roman"/>
        </w:rPr>
      </w:pPr>
      <w:r w:rsidRPr="00493926">
        <w:rPr>
          <w:rFonts w:eastAsia="Times New Roman" w:cs="Times New Roman"/>
        </w:rPr>
        <w:t>Not</w:t>
      </w:r>
    </w:p>
    <w:p w14:paraId="32CE2359" w14:textId="77777777" w:rsidR="00A52778" w:rsidRPr="00460F9E" w:rsidRDefault="00A52778" w:rsidP="00A52778">
      <w:pPr>
        <w:spacing w:line="6" w:lineRule="exact"/>
        <w:rPr>
          <w:rFonts w:eastAsia="Times New Roman" w:cs="Times New Roman"/>
          <w:b/>
        </w:rPr>
      </w:pPr>
    </w:p>
    <w:p w14:paraId="292ED0EB" w14:textId="77777777" w:rsidR="00A52778" w:rsidRPr="00460F9E" w:rsidRDefault="00A52778" w:rsidP="00A52778">
      <w:pPr>
        <w:spacing w:line="236" w:lineRule="auto"/>
        <w:ind w:right="100"/>
        <w:rPr>
          <w:rFonts w:eastAsia="Times New Roman" w:cs="Times New Roman"/>
          <w:b/>
        </w:rPr>
      </w:pPr>
      <w:r w:rsidRPr="00460F9E">
        <w:rPr>
          <w:rFonts w:eastAsia="Times New Roman" w:cs="Times New Roman"/>
        </w:rPr>
        <w:t>Optik gaz görüntüleme (OGI), kaçak VOC emisyonlarının kaynaklarını belirlemek için EN 15446 ('koklama') yöntemine faydalı olacak bir tamamlayıcı tekniktir ve özellikle erişilemeyen kaynaklar söz konusu olduğunda önemlidir (bkz. .4.2). Bu teknik EN 17628' de açıklanmaktadır.</w:t>
      </w:r>
    </w:p>
    <w:p w14:paraId="04119B12" w14:textId="77777777" w:rsidR="00A52778" w:rsidRPr="00460F9E" w:rsidRDefault="00A52778" w:rsidP="00A52778">
      <w:pPr>
        <w:spacing w:line="267" w:lineRule="exact"/>
        <w:rPr>
          <w:rFonts w:eastAsia="Times New Roman" w:cs="Times New Roman"/>
          <w:b/>
        </w:rPr>
      </w:pPr>
    </w:p>
    <w:p w14:paraId="3276B0E5" w14:textId="77777777" w:rsidR="00A52778" w:rsidRPr="00460F9E" w:rsidRDefault="00A52778" w:rsidP="00A52778">
      <w:pPr>
        <w:spacing w:line="235" w:lineRule="auto"/>
        <w:ind w:right="120"/>
        <w:rPr>
          <w:rFonts w:eastAsia="Times New Roman" w:cs="Times New Roman"/>
          <w:b/>
        </w:rPr>
      </w:pPr>
      <w:r w:rsidRPr="00460F9E">
        <w:rPr>
          <w:rFonts w:eastAsia="Times New Roman" w:cs="Times New Roman"/>
        </w:rPr>
        <w:t>Kaçak olmayan emisyonlar söz konusu olduğunda, ölçümler termodinamik modellerin kullanımıyla tamamlanabilir.</w:t>
      </w:r>
    </w:p>
    <w:p w14:paraId="0E6D133E" w14:textId="77777777" w:rsidR="00A52778" w:rsidRPr="00460F9E" w:rsidRDefault="00A52778" w:rsidP="00A52778">
      <w:pPr>
        <w:spacing w:line="263" w:lineRule="exact"/>
        <w:rPr>
          <w:rFonts w:eastAsia="Times New Roman" w:cs="Times New Roman"/>
          <w:b/>
        </w:rPr>
      </w:pPr>
    </w:p>
    <w:p w14:paraId="0987E108" w14:textId="77777777" w:rsidR="00A52778" w:rsidRPr="00460F9E" w:rsidRDefault="00A52778" w:rsidP="00A52778">
      <w:pPr>
        <w:spacing w:line="237" w:lineRule="auto"/>
        <w:ind w:right="100"/>
        <w:rPr>
          <w:rFonts w:eastAsia="Times New Roman" w:cs="Times New Roman"/>
          <w:b/>
        </w:rPr>
      </w:pPr>
      <w:r w:rsidRPr="00460F9E">
        <w:rPr>
          <w:rFonts w:eastAsia="Times New Roman" w:cs="Times New Roman"/>
        </w:rPr>
        <w:t>Büyük miktarlarda (örneğin 80 t/yılın üzerinde) VOC kullanıldığı/tüketildiği durumlarda, tesisten kaynaklanan VOC emisyonlarının izleyici korelasyonu (TC) veya diferansiyel absorpsiyonlu ışık</w:t>
      </w:r>
      <w:r w:rsidRPr="00460F9E">
        <w:rPr>
          <w:rFonts w:eastAsia="Times New Roman" w:cs="Times New Roman"/>
          <w:color w:val="000000"/>
        </w:rPr>
        <w:t xml:space="preserve"> algılama ve mesafe belirleme</w:t>
      </w:r>
      <w:r w:rsidRPr="00460F9E">
        <w:rPr>
          <w:rFonts w:eastAsia="Times New Roman" w:cs="Times New Roman"/>
        </w:rPr>
        <w:t xml:space="preserve"> (DIAL) veya güneş okültasyon akısı (SOF) gibi optik absorpsiyon tabanlı tekniklerle ölçülmesi faydalı bir tamamlayıcı tekniktir (bkz. .4.2). Bu teknikler EN 17628' de açıklanmaktadır.</w:t>
      </w:r>
    </w:p>
    <w:p w14:paraId="3CD0A987" w14:textId="77777777" w:rsidR="00A52778" w:rsidRPr="00460F9E" w:rsidRDefault="00A52778" w:rsidP="00A52778">
      <w:pPr>
        <w:spacing w:line="237" w:lineRule="auto"/>
        <w:ind w:right="100"/>
        <w:rPr>
          <w:rFonts w:eastAsia="Times New Roman" w:cs="Times New Roman"/>
          <w:b/>
        </w:rPr>
      </w:pPr>
    </w:p>
    <w:p w14:paraId="2C046DAC" w14:textId="77777777" w:rsidR="00A52778" w:rsidRPr="00493926" w:rsidRDefault="00A52778" w:rsidP="00A52778">
      <w:pPr>
        <w:spacing w:line="0" w:lineRule="atLeast"/>
        <w:rPr>
          <w:rFonts w:eastAsia="Times New Roman" w:cs="Times New Roman"/>
        </w:rPr>
      </w:pPr>
      <w:r w:rsidRPr="00493926">
        <w:rPr>
          <w:rFonts w:eastAsia="Times New Roman" w:cs="Times New Roman"/>
        </w:rPr>
        <w:t>Uygulanabilirlik</w:t>
      </w:r>
    </w:p>
    <w:p w14:paraId="40F019DB" w14:textId="77777777" w:rsidR="00A52778" w:rsidRPr="00460F9E" w:rsidRDefault="00A52778" w:rsidP="00A52778">
      <w:pPr>
        <w:spacing w:line="9" w:lineRule="exact"/>
        <w:rPr>
          <w:rFonts w:eastAsia="Times New Roman" w:cs="Times New Roman"/>
          <w:b/>
        </w:rPr>
      </w:pPr>
    </w:p>
    <w:p w14:paraId="561CAD24" w14:textId="77777777" w:rsidR="00A52778" w:rsidRPr="00460F9E" w:rsidRDefault="00A52778" w:rsidP="00A52778">
      <w:pPr>
        <w:spacing w:line="234" w:lineRule="auto"/>
        <w:ind w:right="120"/>
        <w:rPr>
          <w:rFonts w:eastAsia="Times New Roman" w:cs="Times New Roman"/>
          <w:b/>
        </w:rPr>
      </w:pPr>
      <w:r w:rsidRPr="00460F9E">
        <w:rPr>
          <w:rFonts w:cs="Times New Roman"/>
        </w:rPr>
        <w:t>MET 22 yalnızca, MET 20' ye göre tahmin edilen tesisten kaynaklanan yayılı VOC emisyonlarının yıllık miktarı aşağıdakilerden daha fazla olduğunda uygulanır</w:t>
      </w:r>
      <w:r w:rsidRPr="00460F9E">
        <w:rPr>
          <w:rFonts w:eastAsia="Times New Roman" w:cs="Times New Roman"/>
        </w:rPr>
        <w:t>:</w:t>
      </w:r>
    </w:p>
    <w:p w14:paraId="252B1BF7" w14:textId="77777777" w:rsidR="00A52778" w:rsidRPr="00460F9E" w:rsidRDefault="00A52778" w:rsidP="00A52778">
      <w:pPr>
        <w:spacing w:line="254" w:lineRule="exact"/>
        <w:rPr>
          <w:rFonts w:eastAsia="Times New Roman" w:cs="Times New Roman"/>
          <w:b/>
        </w:rPr>
      </w:pPr>
    </w:p>
    <w:p w14:paraId="01DC9D10" w14:textId="77777777" w:rsidR="00A52778" w:rsidRPr="00460F9E" w:rsidRDefault="00A52778" w:rsidP="00A52778">
      <w:pPr>
        <w:spacing w:line="0" w:lineRule="atLeast"/>
        <w:rPr>
          <w:rFonts w:eastAsia="Times New Roman" w:cs="Times New Roman"/>
          <w:b/>
        </w:rPr>
      </w:pPr>
      <w:r w:rsidRPr="00460F9E">
        <w:rPr>
          <w:rFonts w:eastAsia="Times New Roman" w:cs="Times New Roman"/>
        </w:rPr>
        <w:t>Kaçak emisyonlar için:</w:t>
      </w:r>
    </w:p>
    <w:p w14:paraId="0782297C" w14:textId="77777777" w:rsidR="00A52778" w:rsidRPr="00460F9E" w:rsidRDefault="00A52778" w:rsidP="00A52778">
      <w:pPr>
        <w:spacing w:line="61" w:lineRule="exact"/>
        <w:rPr>
          <w:rFonts w:eastAsia="Times New Roman" w:cs="Times New Roman"/>
          <w:b/>
        </w:rPr>
      </w:pPr>
    </w:p>
    <w:p w14:paraId="277E3625" w14:textId="77777777" w:rsidR="00A52778" w:rsidRPr="00460F9E" w:rsidRDefault="00A52778" w:rsidP="00BF2B30">
      <w:pPr>
        <w:numPr>
          <w:ilvl w:val="0"/>
          <w:numId w:val="222"/>
        </w:numPr>
        <w:spacing w:line="240" w:lineRule="auto"/>
        <w:ind w:right="1120"/>
        <w:jc w:val="left"/>
        <w:rPr>
          <w:rFonts w:eastAsia="Times New Roman" w:cs="Times New Roman"/>
          <w:b/>
        </w:rPr>
      </w:pPr>
      <w:r w:rsidRPr="00460F9E">
        <w:rPr>
          <w:rFonts w:eastAsia="Times New Roman" w:cs="Times New Roman"/>
        </w:rPr>
        <w:t xml:space="preserve">CMR 1A veya 1B olarak sınıflandırılan VOC' ler için yılda 1 ton VOC; </w:t>
      </w:r>
    </w:p>
    <w:p w14:paraId="2FEFE779" w14:textId="77777777" w:rsidR="00A52778" w:rsidRPr="00460F9E" w:rsidRDefault="00A52778" w:rsidP="00BF2B30">
      <w:pPr>
        <w:numPr>
          <w:ilvl w:val="0"/>
          <w:numId w:val="222"/>
        </w:numPr>
        <w:spacing w:line="240" w:lineRule="auto"/>
        <w:ind w:right="1120"/>
        <w:jc w:val="left"/>
        <w:rPr>
          <w:rFonts w:eastAsia="Times New Roman" w:cs="Times New Roman"/>
          <w:b/>
        </w:rPr>
      </w:pPr>
      <w:r w:rsidRPr="00460F9E">
        <w:rPr>
          <w:rFonts w:eastAsia="Times New Roman" w:cs="Times New Roman"/>
        </w:rPr>
        <w:t>veya diğer VOC' ler için yılda 5 ton VOC.</w:t>
      </w:r>
    </w:p>
    <w:p w14:paraId="218FE6D6" w14:textId="77777777" w:rsidR="00A52778" w:rsidRPr="00460F9E" w:rsidRDefault="00A52778" w:rsidP="00A52778">
      <w:pPr>
        <w:spacing w:line="0" w:lineRule="atLeast"/>
        <w:rPr>
          <w:rFonts w:eastAsia="Times New Roman" w:cs="Times New Roman"/>
          <w:b/>
        </w:rPr>
      </w:pPr>
      <w:r w:rsidRPr="00460F9E">
        <w:rPr>
          <w:rFonts w:eastAsia="Times New Roman" w:cs="Times New Roman"/>
        </w:rPr>
        <w:t>Kaçak olmayan emisyonlar için:</w:t>
      </w:r>
    </w:p>
    <w:p w14:paraId="289761B8" w14:textId="77777777" w:rsidR="00A52778" w:rsidRPr="00460F9E" w:rsidRDefault="00A52778" w:rsidP="00A52778">
      <w:pPr>
        <w:spacing w:line="61" w:lineRule="exact"/>
        <w:rPr>
          <w:rFonts w:eastAsia="Times New Roman" w:cs="Times New Roman"/>
          <w:b/>
        </w:rPr>
      </w:pPr>
    </w:p>
    <w:p w14:paraId="528C93FD" w14:textId="77777777" w:rsidR="00A52778" w:rsidRPr="00460F9E" w:rsidRDefault="00A52778" w:rsidP="00BF2B30">
      <w:pPr>
        <w:numPr>
          <w:ilvl w:val="0"/>
          <w:numId w:val="223"/>
        </w:numPr>
        <w:spacing w:line="240" w:lineRule="auto"/>
        <w:ind w:left="851" w:right="1120" w:hanging="425"/>
        <w:jc w:val="left"/>
        <w:rPr>
          <w:rFonts w:eastAsia="Times New Roman" w:cs="Times New Roman"/>
          <w:b/>
        </w:rPr>
      </w:pPr>
      <w:r w:rsidRPr="00460F9E">
        <w:rPr>
          <w:rFonts w:eastAsia="Times New Roman" w:cs="Times New Roman"/>
        </w:rPr>
        <w:t xml:space="preserve">CMR 1A veya 1B olarak sınıflandırılan VOC' ler için yılda 1 ton VOC; </w:t>
      </w:r>
    </w:p>
    <w:p w14:paraId="761645AF" w14:textId="77777777" w:rsidR="00A52778" w:rsidRPr="00460F9E" w:rsidRDefault="00A52778" w:rsidP="00BF2B30">
      <w:pPr>
        <w:numPr>
          <w:ilvl w:val="0"/>
          <w:numId w:val="223"/>
        </w:numPr>
        <w:spacing w:line="240" w:lineRule="auto"/>
        <w:ind w:left="851" w:right="1120" w:hanging="425"/>
        <w:jc w:val="left"/>
        <w:rPr>
          <w:rFonts w:eastAsia="Times New Roman" w:cs="Times New Roman"/>
          <w:b/>
        </w:rPr>
      </w:pPr>
      <w:r w:rsidRPr="00460F9E">
        <w:rPr>
          <w:rFonts w:eastAsia="Times New Roman" w:cs="Times New Roman"/>
        </w:rPr>
        <w:t>veya diğer VOC' ler için yılda 5 ton VOC.</w:t>
      </w:r>
    </w:p>
    <w:p w14:paraId="4F7C3AF7" w14:textId="77777777" w:rsidR="00A52778" w:rsidRPr="00460F9E" w:rsidRDefault="00A52778" w:rsidP="00A52778">
      <w:pPr>
        <w:spacing w:line="301" w:lineRule="auto"/>
        <w:ind w:left="720" w:right="1120"/>
        <w:rPr>
          <w:rFonts w:eastAsia="Times New Roman" w:cs="Times New Roman"/>
          <w:b/>
        </w:rPr>
      </w:pPr>
    </w:p>
    <w:p w14:paraId="6BEF0140" w14:textId="77777777" w:rsidR="00A52778" w:rsidRPr="00460F9E" w:rsidRDefault="00A52778" w:rsidP="00A52778">
      <w:pPr>
        <w:spacing w:line="20" w:lineRule="exact"/>
        <w:rPr>
          <w:rFonts w:eastAsia="Times New Roman" w:cs="Times New Roman"/>
          <w:b/>
        </w:rPr>
      </w:pPr>
    </w:p>
    <w:p w14:paraId="4B0FE731" w14:textId="77777777" w:rsidR="00A52778" w:rsidRPr="00460F9E" w:rsidRDefault="00A52778" w:rsidP="00A52778">
      <w:pPr>
        <w:spacing w:line="20" w:lineRule="exact"/>
        <w:rPr>
          <w:rFonts w:eastAsia="Times New Roman" w:cs="Times New Roman"/>
          <w:b/>
        </w:rPr>
        <w:sectPr w:rsidR="00A52778" w:rsidRPr="00460F9E">
          <w:pgSz w:w="11900" w:h="16838"/>
          <w:pgMar w:top="707" w:right="1026" w:bottom="145" w:left="1440" w:header="0" w:footer="0" w:gutter="0"/>
          <w:cols w:space="0" w:equalWidth="0">
            <w:col w:w="9440"/>
          </w:cols>
          <w:docGrid w:linePitch="360"/>
        </w:sectPr>
      </w:pPr>
    </w:p>
    <w:p w14:paraId="3C250EDB" w14:textId="77777777" w:rsidR="00A52778" w:rsidRPr="00460F9E" w:rsidRDefault="00A52778" w:rsidP="00A52778">
      <w:pPr>
        <w:tabs>
          <w:tab w:val="left" w:pos="2440"/>
        </w:tabs>
        <w:spacing w:line="0" w:lineRule="atLeast"/>
        <w:ind w:left="120"/>
        <w:rPr>
          <w:rFonts w:eastAsia="Times New Roman" w:cs="Times New Roman"/>
          <w:b/>
          <w:color w:val="0000FF"/>
        </w:rPr>
      </w:pPr>
      <w:r w:rsidRPr="00460F9E">
        <w:rPr>
          <w:rFonts w:eastAsia="Times New Roman" w:cs="Times New Roman"/>
          <w:color w:val="0000FF"/>
        </w:rPr>
        <w:tab/>
      </w:r>
      <w:r w:rsidRPr="00460F9E">
        <w:rPr>
          <w:rFonts w:eastAsia="Times New Roman" w:cs="Times New Roman"/>
          <w:color w:val="0000FF"/>
        </w:rPr>
        <w:tab/>
      </w:r>
      <w:r w:rsidRPr="00460F9E">
        <w:rPr>
          <w:rFonts w:eastAsia="Times New Roman" w:cs="Times New Roman"/>
          <w:color w:val="0000FF"/>
        </w:rPr>
        <w:tab/>
      </w:r>
      <w:r w:rsidRPr="00460F9E">
        <w:rPr>
          <w:rFonts w:eastAsia="Times New Roman" w:cs="Times New Roman"/>
          <w:color w:val="0000FF"/>
        </w:rPr>
        <w:tab/>
      </w:r>
    </w:p>
    <w:p w14:paraId="74B7A90B" w14:textId="77777777" w:rsidR="00A52778" w:rsidRPr="00460F9E" w:rsidRDefault="00A52778" w:rsidP="00A52778">
      <w:pPr>
        <w:tabs>
          <w:tab w:val="left" w:pos="9020"/>
        </w:tabs>
        <w:spacing w:line="0" w:lineRule="atLeast"/>
        <w:ind w:left="820"/>
        <w:rPr>
          <w:rFonts w:eastAsia="Times New Roman" w:cs="Times New Roman"/>
          <w:b/>
          <w:color w:val="0000FF"/>
        </w:rPr>
        <w:sectPr w:rsidR="00A52778" w:rsidRPr="00460F9E">
          <w:type w:val="continuous"/>
          <w:pgSz w:w="11900" w:h="16838"/>
          <w:pgMar w:top="707" w:right="1026" w:bottom="145" w:left="1440" w:header="0" w:footer="0" w:gutter="0"/>
          <w:cols w:space="0" w:equalWidth="0">
            <w:col w:w="9440"/>
          </w:cols>
          <w:docGrid w:linePitch="360"/>
        </w:sectPr>
      </w:pPr>
    </w:p>
    <w:p w14:paraId="44DD01C2" w14:textId="77777777" w:rsidR="00A52778" w:rsidRPr="00460F9E" w:rsidRDefault="00A52778" w:rsidP="00A52778">
      <w:pPr>
        <w:spacing w:line="0" w:lineRule="atLeast"/>
        <w:ind w:left="300"/>
        <w:rPr>
          <w:rFonts w:eastAsia="Times New Roman" w:cs="Times New Roman"/>
          <w:b/>
          <w:color w:val="0000FF"/>
        </w:rPr>
      </w:pPr>
      <w:bookmarkStart w:id="336" w:name="page316"/>
      <w:bookmarkEnd w:id="336"/>
    </w:p>
    <w:p w14:paraId="6D994591" w14:textId="77777777" w:rsidR="00A52778" w:rsidRPr="00460F9E" w:rsidRDefault="00A52778" w:rsidP="00A52778">
      <w:pPr>
        <w:spacing w:line="20" w:lineRule="exact"/>
        <w:rPr>
          <w:rFonts w:eastAsia="Times New Roman" w:cs="Times New Roman"/>
          <w:b/>
        </w:rPr>
      </w:pPr>
    </w:p>
    <w:p w14:paraId="2C0EC091" w14:textId="77777777" w:rsidR="00A52778" w:rsidRPr="00460F9E" w:rsidRDefault="00A52778" w:rsidP="00A52778">
      <w:pPr>
        <w:spacing w:line="170" w:lineRule="exact"/>
        <w:rPr>
          <w:rFonts w:eastAsia="Times New Roman" w:cs="Times New Roman"/>
          <w:b/>
        </w:rPr>
      </w:pPr>
    </w:p>
    <w:p w14:paraId="4CFE3BF0" w14:textId="77777777" w:rsidR="00A52778" w:rsidRPr="00460F9E" w:rsidRDefault="00A52778" w:rsidP="00A52778">
      <w:pPr>
        <w:pStyle w:val="GvdeMetni"/>
        <w:rPr>
          <w:rFonts w:eastAsia="Arial"/>
        </w:rPr>
      </w:pPr>
      <w:r>
        <w:rPr>
          <w:rFonts w:eastAsia="Arial"/>
        </w:rPr>
        <w:t>2</w:t>
      </w:r>
      <w:r w:rsidRPr="00460F9E">
        <w:rPr>
          <w:rFonts w:eastAsia="Arial"/>
        </w:rPr>
        <w:t>.1.4.3</w:t>
      </w:r>
      <w:r w:rsidRPr="00460F9E">
        <w:tab/>
      </w:r>
      <w:r w:rsidRPr="00460F9E">
        <w:rPr>
          <w:rFonts w:eastAsia="Arial"/>
        </w:rPr>
        <w:t>Yayılı VOC emisyonlarının önlenmesi veya azaltılması</w:t>
      </w:r>
    </w:p>
    <w:p w14:paraId="504E480B" w14:textId="77777777" w:rsidR="00A52778" w:rsidRPr="00460F9E" w:rsidRDefault="00A52778" w:rsidP="00A52778">
      <w:pPr>
        <w:spacing w:line="200" w:lineRule="exact"/>
        <w:rPr>
          <w:rFonts w:eastAsia="Times New Roman" w:cs="Times New Roman"/>
          <w:b/>
        </w:rPr>
      </w:pPr>
    </w:p>
    <w:p w14:paraId="662EB060" w14:textId="77777777" w:rsidR="00A52778" w:rsidRPr="00460F9E" w:rsidRDefault="00A52778" w:rsidP="00A52778">
      <w:pPr>
        <w:spacing w:line="363" w:lineRule="exact"/>
        <w:rPr>
          <w:rFonts w:eastAsia="Times New Roman" w:cs="Times New Roman"/>
          <w:b/>
        </w:rPr>
      </w:pPr>
    </w:p>
    <w:p w14:paraId="28313FAC" w14:textId="77777777" w:rsidR="00A52778" w:rsidRPr="00460F9E" w:rsidRDefault="00A52778" w:rsidP="00A52778">
      <w:r w:rsidRPr="00460F9E">
        <w:t>MET 23. Havaya yayılı VOC emisyonlarını önlemek veya bunun uygulanabilir olmadığı durumlarda azaltmak için MET, aşağıda verilen tekniklerin gösterilen öncelik sırasına göre bir kombinasyonunun kullanılmasıdır.</w:t>
      </w:r>
    </w:p>
    <w:p w14:paraId="04647970" w14:textId="77777777" w:rsidR="00A52778" w:rsidRPr="00460F9E" w:rsidRDefault="00A52778" w:rsidP="00A52778">
      <w:pPr>
        <w:spacing w:line="294" w:lineRule="exact"/>
        <w:rPr>
          <w:rFonts w:eastAsia="Times New Roman" w:cs="Times New Roman"/>
          <w:b/>
        </w:rPr>
      </w:pPr>
    </w:p>
    <w:p w14:paraId="1D9369E6" w14:textId="77777777" w:rsidR="00A52778" w:rsidRPr="00493926" w:rsidRDefault="00A52778" w:rsidP="00A52778">
      <w:pPr>
        <w:spacing w:line="0" w:lineRule="atLeast"/>
        <w:ind w:left="300"/>
        <w:rPr>
          <w:rFonts w:eastAsia="Times New Roman" w:cs="Times New Roman"/>
        </w:rPr>
      </w:pPr>
      <w:r w:rsidRPr="00493926">
        <w:rPr>
          <w:rFonts w:eastAsia="Times New Roman" w:cs="Times New Roman"/>
        </w:rPr>
        <w:t>Not</w:t>
      </w:r>
    </w:p>
    <w:p w14:paraId="3B52567A" w14:textId="77777777" w:rsidR="00A52778" w:rsidRPr="00460F9E" w:rsidRDefault="00A52778" w:rsidP="00A52778">
      <w:pPr>
        <w:spacing w:line="8" w:lineRule="exact"/>
        <w:rPr>
          <w:rFonts w:eastAsia="Times New Roman" w:cs="Times New Roman"/>
          <w:b/>
        </w:rPr>
      </w:pPr>
    </w:p>
    <w:p w14:paraId="60CC4974" w14:textId="77777777" w:rsidR="00A52778" w:rsidRPr="00460F9E" w:rsidRDefault="00A52778" w:rsidP="00A52778">
      <w:pPr>
        <w:spacing w:line="236" w:lineRule="auto"/>
        <w:ind w:left="300" w:right="826"/>
        <w:rPr>
          <w:rFonts w:eastAsia="Times New Roman" w:cs="Times New Roman"/>
          <w:b/>
        </w:rPr>
      </w:pPr>
      <w:r w:rsidRPr="00460F9E">
        <w:rPr>
          <w:rFonts w:eastAsia="Times New Roman" w:cs="Times New Roman"/>
        </w:rPr>
        <w:t>Havaya yayılı VOC emisyonlarını önlemek veya bunun uygulanabilir olmadığı durumlarda azaltmak için tekniklerin kullanılması, yayılan madde(ler)in tehlikeli özelliklerine ve/veya emisyonların önemine göre önceliklendirilir.</w:t>
      </w:r>
    </w:p>
    <w:p w14:paraId="182ADDC1" w14:textId="77777777" w:rsidR="00A52778" w:rsidRPr="00460F9E" w:rsidRDefault="00A52778" w:rsidP="00A52778">
      <w:pPr>
        <w:spacing w:line="200" w:lineRule="exact"/>
        <w:rPr>
          <w:rFonts w:eastAsia="Times New Roman" w:cs="Times New Roman"/>
          <w:b/>
        </w:rPr>
      </w:pPr>
    </w:p>
    <w:p w14:paraId="3F89FD32" w14:textId="77777777" w:rsidR="00A52778" w:rsidRPr="00460F9E" w:rsidRDefault="00A52778" w:rsidP="00A52778">
      <w:pPr>
        <w:spacing w:line="295" w:lineRule="exact"/>
        <w:rPr>
          <w:rFonts w:eastAsia="Times New Roman" w:cs="Times New Roman"/>
          <w:b/>
        </w:rPr>
      </w:pPr>
    </w:p>
    <w:tbl>
      <w:tblPr>
        <w:tblW w:w="0" w:type="auto"/>
        <w:tblInd w:w="10" w:type="dxa"/>
        <w:tblLayout w:type="fixed"/>
        <w:tblCellMar>
          <w:left w:w="0" w:type="dxa"/>
          <w:right w:w="0" w:type="dxa"/>
        </w:tblCellMar>
        <w:tblLook w:val="0000" w:firstRow="0" w:lastRow="0" w:firstColumn="0" w:lastColumn="0" w:noHBand="0" w:noVBand="0"/>
      </w:tblPr>
      <w:tblGrid>
        <w:gridCol w:w="380"/>
        <w:gridCol w:w="1301"/>
        <w:gridCol w:w="426"/>
        <w:gridCol w:w="53"/>
        <w:gridCol w:w="720"/>
        <w:gridCol w:w="320"/>
        <w:gridCol w:w="320"/>
        <w:gridCol w:w="280"/>
        <w:gridCol w:w="320"/>
        <w:gridCol w:w="400"/>
        <w:gridCol w:w="400"/>
        <w:gridCol w:w="480"/>
        <w:gridCol w:w="1020"/>
        <w:gridCol w:w="980"/>
        <w:gridCol w:w="400"/>
        <w:gridCol w:w="480"/>
        <w:gridCol w:w="280"/>
        <w:gridCol w:w="560"/>
      </w:tblGrid>
      <w:tr w:rsidR="00A52778" w:rsidRPr="00460F9E" w14:paraId="3C33FD6C" w14:textId="77777777" w:rsidTr="00FC3F8E">
        <w:trPr>
          <w:trHeight w:val="239"/>
        </w:trPr>
        <w:tc>
          <w:tcPr>
            <w:tcW w:w="380" w:type="dxa"/>
            <w:tcBorders>
              <w:top w:val="single" w:sz="8" w:space="0" w:color="auto"/>
              <w:left w:val="single" w:sz="8" w:space="0" w:color="auto"/>
            </w:tcBorders>
            <w:shd w:val="clear" w:color="auto" w:fill="auto"/>
            <w:vAlign w:val="bottom"/>
          </w:tcPr>
          <w:p w14:paraId="2BC336F7" w14:textId="77777777" w:rsidR="00A52778" w:rsidRPr="00460F9E" w:rsidRDefault="00A52778" w:rsidP="00FC3F8E">
            <w:pPr>
              <w:spacing w:line="240" w:lineRule="auto"/>
              <w:rPr>
                <w:rFonts w:eastAsia="Times New Roman" w:cs="Times New Roman"/>
                <w:b/>
              </w:rPr>
            </w:pPr>
          </w:p>
        </w:tc>
        <w:tc>
          <w:tcPr>
            <w:tcW w:w="1301" w:type="dxa"/>
            <w:vMerge w:val="restart"/>
            <w:tcBorders>
              <w:top w:val="single" w:sz="8" w:space="0" w:color="auto"/>
            </w:tcBorders>
            <w:shd w:val="clear" w:color="auto" w:fill="auto"/>
            <w:vAlign w:val="bottom"/>
          </w:tcPr>
          <w:p w14:paraId="7B20665D" w14:textId="77777777" w:rsidR="00A52778" w:rsidRPr="00493926" w:rsidRDefault="00A52778" w:rsidP="00FC3F8E">
            <w:pPr>
              <w:spacing w:line="240" w:lineRule="auto"/>
              <w:rPr>
                <w:rFonts w:eastAsia="Times New Roman" w:cs="Times New Roman"/>
                <w:w w:val="95"/>
              </w:rPr>
            </w:pPr>
            <w:r>
              <w:rPr>
                <w:rFonts w:eastAsia="Times New Roman" w:cs="Times New Roman"/>
                <w:w w:val="95"/>
              </w:rPr>
              <w:t>Teknikler</w:t>
            </w:r>
            <w:r w:rsidRPr="00493926">
              <w:rPr>
                <w:rFonts w:eastAsia="Times New Roman" w:cs="Times New Roman"/>
                <w:w w:val="95"/>
              </w:rPr>
              <w:t xml:space="preserve"> </w:t>
            </w:r>
          </w:p>
        </w:tc>
        <w:tc>
          <w:tcPr>
            <w:tcW w:w="426" w:type="dxa"/>
            <w:tcBorders>
              <w:top w:val="single" w:sz="8" w:space="0" w:color="auto"/>
              <w:right w:val="single" w:sz="8" w:space="0" w:color="auto"/>
            </w:tcBorders>
            <w:shd w:val="clear" w:color="auto" w:fill="auto"/>
            <w:vAlign w:val="bottom"/>
          </w:tcPr>
          <w:p w14:paraId="2503E650" w14:textId="77777777" w:rsidR="00A52778" w:rsidRPr="00493926" w:rsidRDefault="00A52778" w:rsidP="00FC3F8E">
            <w:pPr>
              <w:spacing w:line="240" w:lineRule="auto"/>
              <w:rPr>
                <w:rFonts w:eastAsia="Times New Roman" w:cs="Times New Roman"/>
              </w:rPr>
            </w:pPr>
          </w:p>
        </w:tc>
        <w:tc>
          <w:tcPr>
            <w:tcW w:w="53" w:type="dxa"/>
            <w:tcBorders>
              <w:top w:val="single" w:sz="8" w:space="0" w:color="auto"/>
            </w:tcBorders>
            <w:shd w:val="clear" w:color="auto" w:fill="auto"/>
            <w:vAlign w:val="bottom"/>
          </w:tcPr>
          <w:p w14:paraId="21A74D87" w14:textId="77777777" w:rsidR="00A52778" w:rsidRPr="00493926" w:rsidRDefault="00A52778" w:rsidP="00FC3F8E">
            <w:pPr>
              <w:spacing w:line="240" w:lineRule="auto"/>
              <w:rPr>
                <w:rFonts w:eastAsia="Times New Roman" w:cs="Times New Roman"/>
              </w:rPr>
            </w:pPr>
          </w:p>
        </w:tc>
        <w:tc>
          <w:tcPr>
            <w:tcW w:w="720" w:type="dxa"/>
            <w:tcBorders>
              <w:top w:val="single" w:sz="8" w:space="0" w:color="auto"/>
            </w:tcBorders>
            <w:shd w:val="clear" w:color="auto" w:fill="auto"/>
            <w:vAlign w:val="bottom"/>
          </w:tcPr>
          <w:p w14:paraId="2A55EBF1" w14:textId="77777777" w:rsidR="00A52778" w:rsidRPr="00493926" w:rsidRDefault="00A52778" w:rsidP="00FC3F8E">
            <w:pPr>
              <w:spacing w:line="240" w:lineRule="auto"/>
              <w:rPr>
                <w:rFonts w:eastAsia="Times New Roman" w:cs="Times New Roman"/>
              </w:rPr>
            </w:pPr>
          </w:p>
        </w:tc>
        <w:tc>
          <w:tcPr>
            <w:tcW w:w="2040" w:type="dxa"/>
            <w:gridSpan w:val="6"/>
            <w:vMerge w:val="restart"/>
            <w:tcBorders>
              <w:top w:val="single" w:sz="8" w:space="0" w:color="auto"/>
            </w:tcBorders>
            <w:shd w:val="clear" w:color="auto" w:fill="auto"/>
            <w:vAlign w:val="center"/>
          </w:tcPr>
          <w:p w14:paraId="3D49435C" w14:textId="77777777" w:rsidR="00A52778" w:rsidRPr="00493926" w:rsidRDefault="00A52778" w:rsidP="00FC3F8E">
            <w:pPr>
              <w:spacing w:line="240" w:lineRule="auto"/>
              <w:jc w:val="center"/>
              <w:rPr>
                <w:rFonts w:eastAsia="Times New Roman" w:cs="Times New Roman"/>
              </w:rPr>
            </w:pPr>
            <w:r w:rsidRPr="00493926">
              <w:rPr>
                <w:rFonts w:eastAsia="Times New Roman" w:cs="Times New Roman"/>
              </w:rPr>
              <w:t>Tanımlamalar</w:t>
            </w:r>
          </w:p>
        </w:tc>
        <w:tc>
          <w:tcPr>
            <w:tcW w:w="480" w:type="dxa"/>
            <w:tcBorders>
              <w:top w:val="single" w:sz="8" w:space="0" w:color="auto"/>
              <w:right w:val="single" w:sz="8" w:space="0" w:color="auto"/>
            </w:tcBorders>
            <w:shd w:val="clear" w:color="auto" w:fill="auto"/>
            <w:vAlign w:val="bottom"/>
          </w:tcPr>
          <w:p w14:paraId="3EA9ECD9" w14:textId="77777777" w:rsidR="00A52778" w:rsidRPr="00493926" w:rsidRDefault="00A52778" w:rsidP="00FC3F8E">
            <w:pPr>
              <w:spacing w:line="240" w:lineRule="auto"/>
              <w:rPr>
                <w:rFonts w:eastAsia="Times New Roman" w:cs="Times New Roman"/>
              </w:rPr>
            </w:pPr>
          </w:p>
        </w:tc>
        <w:tc>
          <w:tcPr>
            <w:tcW w:w="1020" w:type="dxa"/>
            <w:vMerge w:val="restart"/>
            <w:tcBorders>
              <w:top w:val="single" w:sz="8" w:space="0" w:color="auto"/>
              <w:right w:val="single" w:sz="8" w:space="0" w:color="auto"/>
            </w:tcBorders>
            <w:shd w:val="clear" w:color="auto" w:fill="auto"/>
            <w:vAlign w:val="bottom"/>
          </w:tcPr>
          <w:p w14:paraId="17F0252A" w14:textId="77777777" w:rsidR="00A52778" w:rsidRPr="00493926" w:rsidRDefault="00A52778" w:rsidP="00FC3F8E">
            <w:pPr>
              <w:spacing w:line="240" w:lineRule="auto"/>
              <w:jc w:val="center"/>
              <w:rPr>
                <w:rFonts w:eastAsia="Times New Roman" w:cs="Times New Roman"/>
                <w:w w:val="98"/>
              </w:rPr>
            </w:pPr>
            <w:r w:rsidRPr="00493926">
              <w:rPr>
                <w:rFonts w:eastAsia="Times New Roman" w:cs="Times New Roman"/>
                <w:w w:val="98"/>
              </w:rPr>
              <w:t>Emisyon türleri</w:t>
            </w:r>
          </w:p>
        </w:tc>
        <w:tc>
          <w:tcPr>
            <w:tcW w:w="2140" w:type="dxa"/>
            <w:gridSpan w:val="4"/>
            <w:vMerge w:val="restart"/>
            <w:tcBorders>
              <w:top w:val="single" w:sz="8" w:space="0" w:color="auto"/>
            </w:tcBorders>
            <w:shd w:val="clear" w:color="auto" w:fill="auto"/>
            <w:vAlign w:val="bottom"/>
          </w:tcPr>
          <w:p w14:paraId="72CE780C" w14:textId="77777777" w:rsidR="00A52778" w:rsidRPr="00493926" w:rsidRDefault="00A52778" w:rsidP="00FC3F8E">
            <w:pPr>
              <w:spacing w:line="240" w:lineRule="auto"/>
              <w:ind w:right="160"/>
              <w:jc w:val="right"/>
              <w:rPr>
                <w:rFonts w:eastAsia="Times New Roman" w:cs="Times New Roman"/>
              </w:rPr>
            </w:pPr>
            <w:r w:rsidRPr="00493926">
              <w:rPr>
                <w:rFonts w:eastAsia="Times New Roman" w:cs="Times New Roman"/>
              </w:rPr>
              <w:t>Uygulanabilirlik</w:t>
            </w:r>
          </w:p>
        </w:tc>
        <w:tc>
          <w:tcPr>
            <w:tcW w:w="560" w:type="dxa"/>
            <w:tcBorders>
              <w:top w:val="single" w:sz="8" w:space="0" w:color="auto"/>
              <w:right w:val="single" w:sz="8" w:space="0" w:color="auto"/>
            </w:tcBorders>
            <w:shd w:val="clear" w:color="auto" w:fill="auto"/>
            <w:vAlign w:val="bottom"/>
          </w:tcPr>
          <w:p w14:paraId="75E0629C" w14:textId="77777777" w:rsidR="00A52778" w:rsidRPr="00460F9E" w:rsidRDefault="00A52778" w:rsidP="00FC3F8E">
            <w:pPr>
              <w:spacing w:line="240" w:lineRule="auto"/>
              <w:rPr>
                <w:rFonts w:eastAsia="Times New Roman" w:cs="Times New Roman"/>
                <w:b/>
              </w:rPr>
            </w:pPr>
          </w:p>
        </w:tc>
      </w:tr>
      <w:tr w:rsidR="00A52778" w:rsidRPr="00460F9E" w14:paraId="7B4F5B84" w14:textId="77777777" w:rsidTr="00FC3F8E">
        <w:trPr>
          <w:trHeight w:val="115"/>
        </w:trPr>
        <w:tc>
          <w:tcPr>
            <w:tcW w:w="380" w:type="dxa"/>
            <w:tcBorders>
              <w:left w:val="single" w:sz="8" w:space="0" w:color="auto"/>
            </w:tcBorders>
            <w:shd w:val="clear" w:color="auto" w:fill="auto"/>
            <w:vAlign w:val="bottom"/>
          </w:tcPr>
          <w:p w14:paraId="318DF0BA" w14:textId="77777777" w:rsidR="00A52778" w:rsidRPr="00460F9E" w:rsidRDefault="00A52778" w:rsidP="00FC3F8E">
            <w:pPr>
              <w:spacing w:line="240" w:lineRule="auto"/>
              <w:rPr>
                <w:rFonts w:eastAsia="Times New Roman" w:cs="Times New Roman"/>
                <w:b/>
                <w:sz w:val="10"/>
              </w:rPr>
            </w:pPr>
          </w:p>
        </w:tc>
        <w:tc>
          <w:tcPr>
            <w:tcW w:w="1301" w:type="dxa"/>
            <w:vMerge/>
            <w:shd w:val="clear" w:color="auto" w:fill="auto"/>
            <w:vAlign w:val="bottom"/>
          </w:tcPr>
          <w:p w14:paraId="2D58D6E7" w14:textId="77777777" w:rsidR="00A52778" w:rsidRPr="00460F9E" w:rsidRDefault="00A52778" w:rsidP="00FC3F8E">
            <w:pPr>
              <w:spacing w:line="240" w:lineRule="auto"/>
              <w:rPr>
                <w:rFonts w:eastAsia="Times New Roman" w:cs="Times New Roman"/>
                <w:b/>
                <w:sz w:val="10"/>
              </w:rPr>
            </w:pPr>
          </w:p>
        </w:tc>
        <w:tc>
          <w:tcPr>
            <w:tcW w:w="426" w:type="dxa"/>
            <w:tcBorders>
              <w:right w:val="single" w:sz="8" w:space="0" w:color="auto"/>
            </w:tcBorders>
            <w:shd w:val="clear" w:color="auto" w:fill="auto"/>
            <w:vAlign w:val="bottom"/>
          </w:tcPr>
          <w:p w14:paraId="443932C3" w14:textId="77777777" w:rsidR="00A52778" w:rsidRPr="00460F9E" w:rsidRDefault="00A52778" w:rsidP="00FC3F8E">
            <w:pPr>
              <w:spacing w:line="240" w:lineRule="auto"/>
              <w:rPr>
                <w:rFonts w:eastAsia="Times New Roman" w:cs="Times New Roman"/>
                <w:b/>
                <w:sz w:val="10"/>
              </w:rPr>
            </w:pPr>
          </w:p>
        </w:tc>
        <w:tc>
          <w:tcPr>
            <w:tcW w:w="53" w:type="dxa"/>
            <w:shd w:val="clear" w:color="auto" w:fill="auto"/>
            <w:vAlign w:val="bottom"/>
          </w:tcPr>
          <w:p w14:paraId="615D2A52" w14:textId="77777777" w:rsidR="00A52778" w:rsidRPr="00460F9E" w:rsidRDefault="00A52778" w:rsidP="00FC3F8E">
            <w:pPr>
              <w:spacing w:line="240" w:lineRule="auto"/>
              <w:rPr>
                <w:rFonts w:eastAsia="Times New Roman" w:cs="Times New Roman"/>
                <w:b/>
                <w:sz w:val="10"/>
              </w:rPr>
            </w:pPr>
          </w:p>
        </w:tc>
        <w:tc>
          <w:tcPr>
            <w:tcW w:w="720" w:type="dxa"/>
            <w:shd w:val="clear" w:color="auto" w:fill="auto"/>
            <w:vAlign w:val="bottom"/>
          </w:tcPr>
          <w:p w14:paraId="4E2D7091" w14:textId="77777777" w:rsidR="00A52778" w:rsidRPr="00460F9E" w:rsidRDefault="00A52778" w:rsidP="00FC3F8E">
            <w:pPr>
              <w:spacing w:line="240" w:lineRule="auto"/>
              <w:rPr>
                <w:rFonts w:eastAsia="Times New Roman" w:cs="Times New Roman"/>
                <w:b/>
                <w:sz w:val="10"/>
              </w:rPr>
            </w:pPr>
          </w:p>
        </w:tc>
        <w:tc>
          <w:tcPr>
            <w:tcW w:w="2040" w:type="dxa"/>
            <w:gridSpan w:val="6"/>
            <w:vMerge/>
            <w:shd w:val="clear" w:color="auto" w:fill="auto"/>
            <w:vAlign w:val="bottom"/>
          </w:tcPr>
          <w:p w14:paraId="40445047" w14:textId="77777777" w:rsidR="00A52778" w:rsidRPr="00460F9E" w:rsidRDefault="00A52778" w:rsidP="00FC3F8E">
            <w:pPr>
              <w:spacing w:line="240" w:lineRule="auto"/>
              <w:rPr>
                <w:rFonts w:eastAsia="Times New Roman" w:cs="Times New Roman"/>
                <w:b/>
                <w:sz w:val="10"/>
              </w:rPr>
            </w:pPr>
          </w:p>
        </w:tc>
        <w:tc>
          <w:tcPr>
            <w:tcW w:w="480" w:type="dxa"/>
            <w:tcBorders>
              <w:right w:val="single" w:sz="8" w:space="0" w:color="auto"/>
            </w:tcBorders>
            <w:shd w:val="clear" w:color="auto" w:fill="auto"/>
            <w:vAlign w:val="bottom"/>
          </w:tcPr>
          <w:p w14:paraId="17C89953" w14:textId="77777777" w:rsidR="00A52778" w:rsidRPr="00460F9E" w:rsidRDefault="00A52778" w:rsidP="00FC3F8E">
            <w:pPr>
              <w:spacing w:line="240" w:lineRule="auto"/>
              <w:rPr>
                <w:rFonts w:eastAsia="Times New Roman" w:cs="Times New Roman"/>
                <w:b/>
                <w:sz w:val="10"/>
              </w:rPr>
            </w:pPr>
          </w:p>
        </w:tc>
        <w:tc>
          <w:tcPr>
            <w:tcW w:w="1020" w:type="dxa"/>
            <w:vMerge/>
            <w:tcBorders>
              <w:right w:val="single" w:sz="8" w:space="0" w:color="auto"/>
            </w:tcBorders>
            <w:shd w:val="clear" w:color="auto" w:fill="auto"/>
            <w:vAlign w:val="bottom"/>
          </w:tcPr>
          <w:p w14:paraId="05AEBD5A" w14:textId="77777777" w:rsidR="00A52778" w:rsidRPr="00460F9E" w:rsidRDefault="00A52778" w:rsidP="00FC3F8E">
            <w:pPr>
              <w:spacing w:line="240" w:lineRule="auto"/>
              <w:jc w:val="center"/>
              <w:rPr>
                <w:rFonts w:eastAsia="Times New Roman" w:cs="Times New Roman"/>
                <w:b/>
                <w:w w:val="98"/>
              </w:rPr>
            </w:pPr>
          </w:p>
        </w:tc>
        <w:tc>
          <w:tcPr>
            <w:tcW w:w="2140" w:type="dxa"/>
            <w:gridSpan w:val="4"/>
            <w:vMerge/>
            <w:shd w:val="clear" w:color="auto" w:fill="auto"/>
            <w:vAlign w:val="bottom"/>
          </w:tcPr>
          <w:p w14:paraId="1BA2E204" w14:textId="77777777" w:rsidR="00A52778" w:rsidRPr="00460F9E" w:rsidRDefault="00A52778" w:rsidP="00FC3F8E">
            <w:pPr>
              <w:spacing w:line="240" w:lineRule="auto"/>
              <w:rPr>
                <w:rFonts w:eastAsia="Times New Roman" w:cs="Times New Roman"/>
                <w:b/>
                <w:sz w:val="10"/>
              </w:rPr>
            </w:pPr>
          </w:p>
        </w:tc>
        <w:tc>
          <w:tcPr>
            <w:tcW w:w="560" w:type="dxa"/>
            <w:tcBorders>
              <w:right w:val="single" w:sz="8" w:space="0" w:color="auto"/>
            </w:tcBorders>
            <w:shd w:val="clear" w:color="auto" w:fill="auto"/>
            <w:vAlign w:val="bottom"/>
          </w:tcPr>
          <w:p w14:paraId="52C56F65" w14:textId="77777777" w:rsidR="00A52778" w:rsidRPr="00460F9E" w:rsidRDefault="00A52778" w:rsidP="00FC3F8E">
            <w:pPr>
              <w:spacing w:line="240" w:lineRule="auto"/>
              <w:rPr>
                <w:rFonts w:eastAsia="Times New Roman" w:cs="Times New Roman"/>
                <w:b/>
                <w:sz w:val="10"/>
              </w:rPr>
            </w:pPr>
          </w:p>
        </w:tc>
      </w:tr>
      <w:tr w:rsidR="00A52778" w:rsidRPr="00460F9E" w14:paraId="5F3CD127" w14:textId="77777777" w:rsidTr="00FC3F8E">
        <w:trPr>
          <w:trHeight w:val="116"/>
        </w:trPr>
        <w:tc>
          <w:tcPr>
            <w:tcW w:w="380" w:type="dxa"/>
            <w:tcBorders>
              <w:left w:val="single" w:sz="8" w:space="0" w:color="auto"/>
              <w:bottom w:val="single" w:sz="8" w:space="0" w:color="auto"/>
            </w:tcBorders>
            <w:shd w:val="clear" w:color="auto" w:fill="auto"/>
            <w:vAlign w:val="bottom"/>
          </w:tcPr>
          <w:p w14:paraId="2E76D163" w14:textId="77777777" w:rsidR="00A52778" w:rsidRPr="00460F9E" w:rsidRDefault="00A52778" w:rsidP="00FC3F8E">
            <w:pPr>
              <w:spacing w:line="240" w:lineRule="auto"/>
              <w:rPr>
                <w:rFonts w:eastAsia="Times New Roman" w:cs="Times New Roman"/>
                <w:b/>
                <w:sz w:val="10"/>
              </w:rPr>
            </w:pPr>
          </w:p>
        </w:tc>
        <w:tc>
          <w:tcPr>
            <w:tcW w:w="1301" w:type="dxa"/>
            <w:tcBorders>
              <w:bottom w:val="single" w:sz="8" w:space="0" w:color="auto"/>
            </w:tcBorders>
            <w:shd w:val="clear" w:color="auto" w:fill="auto"/>
            <w:vAlign w:val="bottom"/>
          </w:tcPr>
          <w:p w14:paraId="1F4B9550" w14:textId="77777777" w:rsidR="00A52778" w:rsidRPr="00460F9E" w:rsidRDefault="00A52778" w:rsidP="00FC3F8E">
            <w:pPr>
              <w:spacing w:line="240" w:lineRule="auto"/>
              <w:rPr>
                <w:rFonts w:eastAsia="Times New Roman" w:cs="Times New Roman"/>
                <w:b/>
                <w:sz w:val="10"/>
              </w:rPr>
            </w:pPr>
          </w:p>
        </w:tc>
        <w:tc>
          <w:tcPr>
            <w:tcW w:w="426" w:type="dxa"/>
            <w:tcBorders>
              <w:bottom w:val="single" w:sz="8" w:space="0" w:color="auto"/>
              <w:right w:val="single" w:sz="8" w:space="0" w:color="auto"/>
            </w:tcBorders>
            <w:shd w:val="clear" w:color="auto" w:fill="auto"/>
            <w:vAlign w:val="bottom"/>
          </w:tcPr>
          <w:p w14:paraId="31ABE971" w14:textId="77777777" w:rsidR="00A52778" w:rsidRPr="00460F9E" w:rsidRDefault="00A52778" w:rsidP="00FC3F8E">
            <w:pPr>
              <w:spacing w:line="240" w:lineRule="auto"/>
              <w:rPr>
                <w:rFonts w:eastAsia="Times New Roman" w:cs="Times New Roman"/>
                <w:b/>
                <w:sz w:val="10"/>
              </w:rPr>
            </w:pPr>
          </w:p>
        </w:tc>
        <w:tc>
          <w:tcPr>
            <w:tcW w:w="53" w:type="dxa"/>
            <w:tcBorders>
              <w:bottom w:val="single" w:sz="8" w:space="0" w:color="auto"/>
            </w:tcBorders>
            <w:shd w:val="clear" w:color="auto" w:fill="auto"/>
            <w:vAlign w:val="bottom"/>
          </w:tcPr>
          <w:p w14:paraId="2B27638D" w14:textId="77777777" w:rsidR="00A52778" w:rsidRPr="00460F9E" w:rsidRDefault="00A52778" w:rsidP="00FC3F8E">
            <w:pPr>
              <w:spacing w:line="240" w:lineRule="auto"/>
              <w:rPr>
                <w:rFonts w:eastAsia="Times New Roman" w:cs="Times New Roman"/>
                <w:b/>
                <w:sz w:val="10"/>
              </w:rPr>
            </w:pPr>
          </w:p>
        </w:tc>
        <w:tc>
          <w:tcPr>
            <w:tcW w:w="720" w:type="dxa"/>
            <w:tcBorders>
              <w:bottom w:val="single" w:sz="8" w:space="0" w:color="auto"/>
            </w:tcBorders>
            <w:shd w:val="clear" w:color="auto" w:fill="auto"/>
            <w:vAlign w:val="bottom"/>
          </w:tcPr>
          <w:p w14:paraId="2122E759" w14:textId="77777777" w:rsidR="00A52778" w:rsidRPr="00460F9E" w:rsidRDefault="00A52778" w:rsidP="00FC3F8E">
            <w:pPr>
              <w:spacing w:line="240" w:lineRule="auto"/>
              <w:rPr>
                <w:rFonts w:eastAsia="Times New Roman" w:cs="Times New Roman"/>
                <w:b/>
                <w:sz w:val="10"/>
              </w:rPr>
            </w:pPr>
          </w:p>
        </w:tc>
        <w:tc>
          <w:tcPr>
            <w:tcW w:w="2040" w:type="dxa"/>
            <w:gridSpan w:val="6"/>
            <w:vMerge/>
            <w:tcBorders>
              <w:bottom w:val="single" w:sz="8" w:space="0" w:color="auto"/>
            </w:tcBorders>
            <w:shd w:val="clear" w:color="auto" w:fill="auto"/>
            <w:vAlign w:val="bottom"/>
          </w:tcPr>
          <w:p w14:paraId="531213FA" w14:textId="77777777" w:rsidR="00A52778" w:rsidRPr="00460F9E" w:rsidRDefault="00A52778" w:rsidP="00FC3F8E">
            <w:pPr>
              <w:spacing w:line="240" w:lineRule="auto"/>
              <w:rPr>
                <w:rFonts w:eastAsia="Times New Roman" w:cs="Times New Roman"/>
                <w:b/>
                <w:sz w:val="10"/>
              </w:rPr>
            </w:pPr>
          </w:p>
        </w:tc>
        <w:tc>
          <w:tcPr>
            <w:tcW w:w="480" w:type="dxa"/>
            <w:tcBorders>
              <w:bottom w:val="single" w:sz="8" w:space="0" w:color="auto"/>
              <w:right w:val="single" w:sz="8" w:space="0" w:color="auto"/>
            </w:tcBorders>
            <w:shd w:val="clear" w:color="auto" w:fill="auto"/>
            <w:vAlign w:val="bottom"/>
          </w:tcPr>
          <w:p w14:paraId="77954512" w14:textId="77777777" w:rsidR="00A52778" w:rsidRPr="00460F9E" w:rsidRDefault="00A52778" w:rsidP="00FC3F8E">
            <w:pPr>
              <w:spacing w:line="240" w:lineRule="auto"/>
              <w:rPr>
                <w:rFonts w:eastAsia="Times New Roman" w:cs="Times New Roman"/>
                <w:b/>
                <w:sz w:val="10"/>
              </w:rPr>
            </w:pPr>
          </w:p>
        </w:tc>
        <w:tc>
          <w:tcPr>
            <w:tcW w:w="1020" w:type="dxa"/>
            <w:vMerge/>
            <w:tcBorders>
              <w:bottom w:val="single" w:sz="8" w:space="0" w:color="auto"/>
              <w:right w:val="single" w:sz="8" w:space="0" w:color="auto"/>
            </w:tcBorders>
            <w:shd w:val="clear" w:color="auto" w:fill="auto"/>
            <w:vAlign w:val="bottom"/>
          </w:tcPr>
          <w:p w14:paraId="3487A8EB" w14:textId="77777777" w:rsidR="00A52778" w:rsidRPr="00460F9E" w:rsidRDefault="00A52778" w:rsidP="00FC3F8E">
            <w:pPr>
              <w:spacing w:line="240" w:lineRule="auto"/>
              <w:rPr>
                <w:rFonts w:eastAsia="Times New Roman" w:cs="Times New Roman"/>
                <w:b/>
                <w:sz w:val="10"/>
              </w:rPr>
            </w:pPr>
          </w:p>
        </w:tc>
        <w:tc>
          <w:tcPr>
            <w:tcW w:w="980" w:type="dxa"/>
            <w:tcBorders>
              <w:bottom w:val="single" w:sz="8" w:space="0" w:color="auto"/>
            </w:tcBorders>
            <w:shd w:val="clear" w:color="auto" w:fill="auto"/>
            <w:vAlign w:val="bottom"/>
          </w:tcPr>
          <w:p w14:paraId="53681011" w14:textId="77777777" w:rsidR="00A52778" w:rsidRPr="00460F9E" w:rsidRDefault="00A52778" w:rsidP="00FC3F8E">
            <w:pPr>
              <w:spacing w:line="240" w:lineRule="auto"/>
              <w:rPr>
                <w:rFonts w:eastAsia="Times New Roman" w:cs="Times New Roman"/>
                <w:b/>
                <w:sz w:val="10"/>
              </w:rPr>
            </w:pPr>
          </w:p>
        </w:tc>
        <w:tc>
          <w:tcPr>
            <w:tcW w:w="400" w:type="dxa"/>
            <w:tcBorders>
              <w:bottom w:val="single" w:sz="8" w:space="0" w:color="auto"/>
            </w:tcBorders>
            <w:shd w:val="clear" w:color="auto" w:fill="auto"/>
            <w:vAlign w:val="bottom"/>
          </w:tcPr>
          <w:p w14:paraId="5A3D4E11" w14:textId="77777777" w:rsidR="00A52778" w:rsidRPr="00460F9E" w:rsidRDefault="00A52778" w:rsidP="00FC3F8E">
            <w:pPr>
              <w:spacing w:line="240" w:lineRule="auto"/>
              <w:rPr>
                <w:rFonts w:eastAsia="Times New Roman" w:cs="Times New Roman"/>
                <w:b/>
                <w:sz w:val="10"/>
              </w:rPr>
            </w:pPr>
          </w:p>
        </w:tc>
        <w:tc>
          <w:tcPr>
            <w:tcW w:w="480" w:type="dxa"/>
            <w:tcBorders>
              <w:bottom w:val="single" w:sz="8" w:space="0" w:color="auto"/>
            </w:tcBorders>
            <w:shd w:val="clear" w:color="auto" w:fill="auto"/>
            <w:vAlign w:val="bottom"/>
          </w:tcPr>
          <w:p w14:paraId="7CE8BF9C" w14:textId="77777777" w:rsidR="00A52778" w:rsidRPr="00460F9E" w:rsidRDefault="00A52778" w:rsidP="00FC3F8E">
            <w:pPr>
              <w:spacing w:line="240" w:lineRule="auto"/>
              <w:rPr>
                <w:rFonts w:eastAsia="Times New Roman" w:cs="Times New Roman"/>
                <w:b/>
                <w:sz w:val="10"/>
              </w:rPr>
            </w:pPr>
          </w:p>
        </w:tc>
        <w:tc>
          <w:tcPr>
            <w:tcW w:w="280" w:type="dxa"/>
            <w:tcBorders>
              <w:bottom w:val="single" w:sz="8" w:space="0" w:color="auto"/>
            </w:tcBorders>
            <w:shd w:val="clear" w:color="auto" w:fill="auto"/>
            <w:vAlign w:val="bottom"/>
          </w:tcPr>
          <w:p w14:paraId="080BB0EC" w14:textId="77777777" w:rsidR="00A52778" w:rsidRPr="00460F9E" w:rsidRDefault="00A52778" w:rsidP="00FC3F8E">
            <w:pPr>
              <w:spacing w:line="240" w:lineRule="auto"/>
              <w:rPr>
                <w:rFonts w:eastAsia="Times New Roman" w:cs="Times New Roman"/>
                <w:b/>
                <w:sz w:val="10"/>
              </w:rPr>
            </w:pPr>
          </w:p>
        </w:tc>
        <w:tc>
          <w:tcPr>
            <w:tcW w:w="560" w:type="dxa"/>
            <w:tcBorders>
              <w:bottom w:val="single" w:sz="8" w:space="0" w:color="auto"/>
              <w:right w:val="single" w:sz="8" w:space="0" w:color="auto"/>
            </w:tcBorders>
            <w:shd w:val="clear" w:color="auto" w:fill="auto"/>
            <w:vAlign w:val="bottom"/>
          </w:tcPr>
          <w:p w14:paraId="438EFAEB" w14:textId="77777777" w:rsidR="00A52778" w:rsidRPr="00460F9E" w:rsidRDefault="00A52778" w:rsidP="00FC3F8E">
            <w:pPr>
              <w:spacing w:line="240" w:lineRule="auto"/>
              <w:rPr>
                <w:rFonts w:eastAsia="Times New Roman" w:cs="Times New Roman"/>
                <w:b/>
                <w:sz w:val="10"/>
              </w:rPr>
            </w:pPr>
          </w:p>
        </w:tc>
      </w:tr>
      <w:tr w:rsidR="00A52778" w:rsidRPr="00460F9E" w14:paraId="6687987C" w14:textId="77777777" w:rsidTr="00FC3F8E">
        <w:trPr>
          <w:trHeight w:val="220"/>
        </w:trPr>
        <w:tc>
          <w:tcPr>
            <w:tcW w:w="2160" w:type="dxa"/>
            <w:gridSpan w:val="4"/>
            <w:tcBorders>
              <w:left w:val="single" w:sz="8" w:space="0" w:color="auto"/>
              <w:bottom w:val="single" w:sz="8" w:space="0" w:color="auto"/>
            </w:tcBorders>
            <w:shd w:val="clear" w:color="auto" w:fill="auto"/>
            <w:vAlign w:val="bottom"/>
          </w:tcPr>
          <w:p w14:paraId="3B309F75" w14:textId="77777777" w:rsidR="00A52778" w:rsidRPr="00493926" w:rsidRDefault="00A52778" w:rsidP="00FC3F8E">
            <w:pPr>
              <w:spacing w:line="240" w:lineRule="auto"/>
              <w:ind w:left="100"/>
              <w:rPr>
                <w:rFonts w:eastAsia="Times New Roman" w:cs="Times New Roman"/>
                <w:i/>
              </w:rPr>
            </w:pPr>
            <w:r w:rsidRPr="00493926">
              <w:rPr>
                <w:rFonts w:eastAsia="Times New Roman" w:cs="Times New Roman"/>
                <w:i/>
              </w:rPr>
              <w:t>1. Önleme teknikleri</w:t>
            </w:r>
          </w:p>
        </w:tc>
        <w:tc>
          <w:tcPr>
            <w:tcW w:w="720" w:type="dxa"/>
            <w:tcBorders>
              <w:bottom w:val="single" w:sz="8" w:space="0" w:color="auto"/>
            </w:tcBorders>
            <w:shd w:val="clear" w:color="auto" w:fill="auto"/>
            <w:vAlign w:val="bottom"/>
          </w:tcPr>
          <w:p w14:paraId="5362209F" w14:textId="77777777" w:rsidR="00A52778" w:rsidRPr="00493926" w:rsidRDefault="00A52778" w:rsidP="00FC3F8E">
            <w:pPr>
              <w:spacing w:line="240" w:lineRule="auto"/>
              <w:rPr>
                <w:rFonts w:eastAsia="Times New Roman" w:cs="Times New Roman"/>
                <w:sz w:val="19"/>
              </w:rPr>
            </w:pPr>
          </w:p>
        </w:tc>
        <w:tc>
          <w:tcPr>
            <w:tcW w:w="320" w:type="dxa"/>
            <w:tcBorders>
              <w:bottom w:val="single" w:sz="8" w:space="0" w:color="auto"/>
            </w:tcBorders>
            <w:shd w:val="clear" w:color="auto" w:fill="auto"/>
            <w:vAlign w:val="bottom"/>
          </w:tcPr>
          <w:p w14:paraId="768A5AC9" w14:textId="77777777" w:rsidR="00A52778" w:rsidRPr="00460F9E" w:rsidRDefault="00A52778" w:rsidP="00FC3F8E">
            <w:pPr>
              <w:spacing w:line="240" w:lineRule="auto"/>
              <w:rPr>
                <w:rFonts w:eastAsia="Times New Roman" w:cs="Times New Roman"/>
                <w:b/>
                <w:sz w:val="19"/>
              </w:rPr>
            </w:pPr>
          </w:p>
        </w:tc>
        <w:tc>
          <w:tcPr>
            <w:tcW w:w="320" w:type="dxa"/>
            <w:tcBorders>
              <w:bottom w:val="single" w:sz="8" w:space="0" w:color="auto"/>
            </w:tcBorders>
            <w:shd w:val="clear" w:color="auto" w:fill="auto"/>
            <w:vAlign w:val="bottom"/>
          </w:tcPr>
          <w:p w14:paraId="34C9C7DB" w14:textId="77777777" w:rsidR="00A52778" w:rsidRPr="00460F9E" w:rsidRDefault="00A52778" w:rsidP="00FC3F8E">
            <w:pPr>
              <w:spacing w:line="240" w:lineRule="auto"/>
              <w:rPr>
                <w:rFonts w:eastAsia="Times New Roman" w:cs="Times New Roman"/>
                <w:b/>
                <w:sz w:val="19"/>
              </w:rPr>
            </w:pPr>
          </w:p>
        </w:tc>
        <w:tc>
          <w:tcPr>
            <w:tcW w:w="280" w:type="dxa"/>
            <w:tcBorders>
              <w:bottom w:val="single" w:sz="8" w:space="0" w:color="auto"/>
            </w:tcBorders>
            <w:shd w:val="clear" w:color="auto" w:fill="auto"/>
            <w:vAlign w:val="bottom"/>
          </w:tcPr>
          <w:p w14:paraId="3C04F9B2" w14:textId="77777777" w:rsidR="00A52778" w:rsidRPr="00460F9E" w:rsidRDefault="00A52778" w:rsidP="00FC3F8E">
            <w:pPr>
              <w:spacing w:line="240" w:lineRule="auto"/>
              <w:rPr>
                <w:rFonts w:eastAsia="Times New Roman" w:cs="Times New Roman"/>
                <w:b/>
                <w:sz w:val="19"/>
              </w:rPr>
            </w:pPr>
          </w:p>
        </w:tc>
        <w:tc>
          <w:tcPr>
            <w:tcW w:w="320" w:type="dxa"/>
            <w:tcBorders>
              <w:bottom w:val="single" w:sz="8" w:space="0" w:color="auto"/>
            </w:tcBorders>
            <w:shd w:val="clear" w:color="auto" w:fill="auto"/>
            <w:vAlign w:val="bottom"/>
          </w:tcPr>
          <w:p w14:paraId="25EBF30A" w14:textId="77777777" w:rsidR="00A52778" w:rsidRPr="00460F9E" w:rsidRDefault="00A52778" w:rsidP="00FC3F8E">
            <w:pPr>
              <w:spacing w:line="240" w:lineRule="auto"/>
              <w:rPr>
                <w:rFonts w:eastAsia="Times New Roman" w:cs="Times New Roman"/>
                <w:b/>
                <w:sz w:val="19"/>
              </w:rPr>
            </w:pPr>
          </w:p>
        </w:tc>
        <w:tc>
          <w:tcPr>
            <w:tcW w:w="400" w:type="dxa"/>
            <w:tcBorders>
              <w:bottom w:val="single" w:sz="8" w:space="0" w:color="auto"/>
            </w:tcBorders>
            <w:shd w:val="clear" w:color="auto" w:fill="auto"/>
            <w:vAlign w:val="bottom"/>
          </w:tcPr>
          <w:p w14:paraId="67D78426" w14:textId="77777777" w:rsidR="00A52778" w:rsidRPr="00460F9E" w:rsidRDefault="00A52778" w:rsidP="00FC3F8E">
            <w:pPr>
              <w:spacing w:line="240" w:lineRule="auto"/>
              <w:rPr>
                <w:rFonts w:eastAsia="Times New Roman" w:cs="Times New Roman"/>
                <w:b/>
                <w:sz w:val="19"/>
              </w:rPr>
            </w:pPr>
          </w:p>
        </w:tc>
        <w:tc>
          <w:tcPr>
            <w:tcW w:w="400" w:type="dxa"/>
            <w:tcBorders>
              <w:bottom w:val="single" w:sz="8" w:space="0" w:color="auto"/>
            </w:tcBorders>
            <w:shd w:val="clear" w:color="auto" w:fill="auto"/>
            <w:vAlign w:val="bottom"/>
          </w:tcPr>
          <w:p w14:paraId="51F58483" w14:textId="77777777" w:rsidR="00A52778" w:rsidRPr="00460F9E" w:rsidRDefault="00A52778" w:rsidP="00FC3F8E">
            <w:pPr>
              <w:spacing w:line="240" w:lineRule="auto"/>
              <w:rPr>
                <w:rFonts w:eastAsia="Times New Roman" w:cs="Times New Roman"/>
                <w:b/>
                <w:sz w:val="19"/>
              </w:rPr>
            </w:pPr>
          </w:p>
        </w:tc>
        <w:tc>
          <w:tcPr>
            <w:tcW w:w="480" w:type="dxa"/>
            <w:tcBorders>
              <w:bottom w:val="single" w:sz="8" w:space="0" w:color="auto"/>
            </w:tcBorders>
            <w:shd w:val="clear" w:color="auto" w:fill="auto"/>
            <w:vAlign w:val="bottom"/>
          </w:tcPr>
          <w:p w14:paraId="52E98635" w14:textId="77777777" w:rsidR="00A52778" w:rsidRPr="00460F9E" w:rsidRDefault="00A52778" w:rsidP="00FC3F8E">
            <w:pPr>
              <w:spacing w:line="240" w:lineRule="auto"/>
              <w:rPr>
                <w:rFonts w:eastAsia="Times New Roman" w:cs="Times New Roman"/>
                <w:b/>
                <w:sz w:val="19"/>
              </w:rPr>
            </w:pPr>
          </w:p>
        </w:tc>
        <w:tc>
          <w:tcPr>
            <w:tcW w:w="1020" w:type="dxa"/>
            <w:tcBorders>
              <w:bottom w:val="single" w:sz="8" w:space="0" w:color="auto"/>
            </w:tcBorders>
            <w:shd w:val="clear" w:color="auto" w:fill="auto"/>
            <w:vAlign w:val="bottom"/>
          </w:tcPr>
          <w:p w14:paraId="63CE7951" w14:textId="77777777" w:rsidR="00A52778" w:rsidRPr="00460F9E" w:rsidRDefault="00A52778" w:rsidP="00FC3F8E">
            <w:pPr>
              <w:spacing w:line="240" w:lineRule="auto"/>
              <w:rPr>
                <w:rFonts w:eastAsia="Times New Roman" w:cs="Times New Roman"/>
                <w:b/>
                <w:sz w:val="19"/>
              </w:rPr>
            </w:pPr>
          </w:p>
        </w:tc>
        <w:tc>
          <w:tcPr>
            <w:tcW w:w="980" w:type="dxa"/>
            <w:tcBorders>
              <w:bottom w:val="single" w:sz="8" w:space="0" w:color="auto"/>
            </w:tcBorders>
            <w:shd w:val="clear" w:color="auto" w:fill="auto"/>
            <w:vAlign w:val="bottom"/>
          </w:tcPr>
          <w:p w14:paraId="0310FF02" w14:textId="77777777" w:rsidR="00A52778" w:rsidRPr="00460F9E" w:rsidRDefault="00A52778" w:rsidP="00FC3F8E">
            <w:pPr>
              <w:spacing w:line="240" w:lineRule="auto"/>
              <w:rPr>
                <w:rFonts w:eastAsia="Times New Roman" w:cs="Times New Roman"/>
                <w:b/>
                <w:sz w:val="19"/>
              </w:rPr>
            </w:pPr>
          </w:p>
        </w:tc>
        <w:tc>
          <w:tcPr>
            <w:tcW w:w="400" w:type="dxa"/>
            <w:tcBorders>
              <w:bottom w:val="single" w:sz="8" w:space="0" w:color="auto"/>
            </w:tcBorders>
            <w:shd w:val="clear" w:color="auto" w:fill="auto"/>
            <w:vAlign w:val="bottom"/>
          </w:tcPr>
          <w:p w14:paraId="3E139664" w14:textId="77777777" w:rsidR="00A52778" w:rsidRPr="00460F9E" w:rsidRDefault="00A52778" w:rsidP="00FC3F8E">
            <w:pPr>
              <w:spacing w:line="240" w:lineRule="auto"/>
              <w:rPr>
                <w:rFonts w:eastAsia="Times New Roman" w:cs="Times New Roman"/>
                <w:b/>
                <w:sz w:val="19"/>
              </w:rPr>
            </w:pPr>
          </w:p>
        </w:tc>
        <w:tc>
          <w:tcPr>
            <w:tcW w:w="480" w:type="dxa"/>
            <w:tcBorders>
              <w:bottom w:val="single" w:sz="8" w:space="0" w:color="auto"/>
            </w:tcBorders>
            <w:shd w:val="clear" w:color="auto" w:fill="auto"/>
            <w:vAlign w:val="bottom"/>
          </w:tcPr>
          <w:p w14:paraId="107D49AF" w14:textId="77777777" w:rsidR="00A52778" w:rsidRPr="00460F9E" w:rsidRDefault="00A52778" w:rsidP="00FC3F8E">
            <w:pPr>
              <w:spacing w:line="240" w:lineRule="auto"/>
              <w:rPr>
                <w:rFonts w:eastAsia="Times New Roman" w:cs="Times New Roman"/>
                <w:b/>
                <w:sz w:val="19"/>
              </w:rPr>
            </w:pPr>
          </w:p>
        </w:tc>
        <w:tc>
          <w:tcPr>
            <w:tcW w:w="280" w:type="dxa"/>
            <w:tcBorders>
              <w:bottom w:val="single" w:sz="8" w:space="0" w:color="auto"/>
            </w:tcBorders>
            <w:shd w:val="clear" w:color="auto" w:fill="auto"/>
            <w:vAlign w:val="bottom"/>
          </w:tcPr>
          <w:p w14:paraId="31807067" w14:textId="77777777" w:rsidR="00A52778" w:rsidRPr="00460F9E" w:rsidRDefault="00A52778" w:rsidP="00FC3F8E">
            <w:pPr>
              <w:spacing w:line="240" w:lineRule="auto"/>
              <w:rPr>
                <w:rFonts w:eastAsia="Times New Roman" w:cs="Times New Roman"/>
                <w:b/>
                <w:sz w:val="19"/>
              </w:rPr>
            </w:pPr>
          </w:p>
        </w:tc>
        <w:tc>
          <w:tcPr>
            <w:tcW w:w="560" w:type="dxa"/>
            <w:tcBorders>
              <w:bottom w:val="single" w:sz="8" w:space="0" w:color="auto"/>
              <w:right w:val="single" w:sz="8" w:space="0" w:color="auto"/>
            </w:tcBorders>
            <w:shd w:val="clear" w:color="auto" w:fill="auto"/>
            <w:vAlign w:val="bottom"/>
          </w:tcPr>
          <w:p w14:paraId="2764F13E" w14:textId="77777777" w:rsidR="00A52778" w:rsidRPr="00460F9E" w:rsidRDefault="00A52778" w:rsidP="00FC3F8E">
            <w:pPr>
              <w:spacing w:line="240" w:lineRule="auto"/>
              <w:rPr>
                <w:rFonts w:eastAsia="Times New Roman" w:cs="Times New Roman"/>
                <w:b/>
                <w:sz w:val="19"/>
              </w:rPr>
            </w:pPr>
          </w:p>
        </w:tc>
      </w:tr>
      <w:tr w:rsidR="00A52778" w:rsidRPr="00460F9E" w14:paraId="71DA1442" w14:textId="77777777" w:rsidTr="00FC3F8E">
        <w:trPr>
          <w:trHeight w:val="215"/>
        </w:trPr>
        <w:tc>
          <w:tcPr>
            <w:tcW w:w="380" w:type="dxa"/>
            <w:tcBorders>
              <w:left w:val="single" w:sz="8" w:space="0" w:color="auto"/>
              <w:right w:val="single" w:sz="8" w:space="0" w:color="auto"/>
            </w:tcBorders>
            <w:shd w:val="clear" w:color="auto" w:fill="auto"/>
            <w:vAlign w:val="bottom"/>
          </w:tcPr>
          <w:p w14:paraId="7AF1B964" w14:textId="77777777" w:rsidR="00A52778" w:rsidRPr="00460F9E" w:rsidRDefault="00A52778" w:rsidP="00FC3F8E">
            <w:pPr>
              <w:spacing w:line="240" w:lineRule="auto"/>
              <w:rPr>
                <w:rFonts w:eastAsia="Times New Roman" w:cs="Times New Roman"/>
                <w:b/>
                <w:sz w:val="18"/>
              </w:rPr>
            </w:pPr>
          </w:p>
        </w:tc>
        <w:tc>
          <w:tcPr>
            <w:tcW w:w="1301" w:type="dxa"/>
            <w:shd w:val="clear" w:color="auto" w:fill="auto"/>
            <w:vAlign w:val="bottom"/>
          </w:tcPr>
          <w:p w14:paraId="26622432" w14:textId="77777777" w:rsidR="00A52778" w:rsidRPr="00460F9E" w:rsidRDefault="00A52778" w:rsidP="00FC3F8E">
            <w:pPr>
              <w:spacing w:line="240" w:lineRule="auto"/>
              <w:rPr>
                <w:rFonts w:eastAsia="Times New Roman" w:cs="Times New Roman"/>
                <w:b/>
                <w:sz w:val="18"/>
              </w:rPr>
            </w:pPr>
          </w:p>
        </w:tc>
        <w:tc>
          <w:tcPr>
            <w:tcW w:w="426" w:type="dxa"/>
            <w:tcBorders>
              <w:right w:val="single" w:sz="8" w:space="0" w:color="auto"/>
            </w:tcBorders>
            <w:shd w:val="clear" w:color="auto" w:fill="auto"/>
            <w:vAlign w:val="bottom"/>
          </w:tcPr>
          <w:p w14:paraId="1E13572D" w14:textId="77777777" w:rsidR="00A52778" w:rsidRPr="00460F9E" w:rsidRDefault="00A52778" w:rsidP="00FC3F8E">
            <w:pPr>
              <w:spacing w:line="240" w:lineRule="auto"/>
              <w:rPr>
                <w:rFonts w:eastAsia="Times New Roman" w:cs="Times New Roman"/>
                <w:b/>
                <w:sz w:val="18"/>
              </w:rPr>
            </w:pPr>
          </w:p>
        </w:tc>
        <w:tc>
          <w:tcPr>
            <w:tcW w:w="3293" w:type="dxa"/>
            <w:gridSpan w:val="9"/>
            <w:tcBorders>
              <w:right w:val="single" w:sz="4" w:space="0" w:color="auto"/>
            </w:tcBorders>
            <w:shd w:val="clear" w:color="auto" w:fill="auto"/>
            <w:vAlign w:val="bottom"/>
          </w:tcPr>
          <w:p w14:paraId="670417FC" w14:textId="77777777" w:rsidR="00A52778" w:rsidRPr="00460F9E" w:rsidRDefault="00A52778" w:rsidP="00FC3F8E">
            <w:pPr>
              <w:spacing w:line="240" w:lineRule="auto"/>
              <w:rPr>
                <w:rFonts w:eastAsia="Times New Roman" w:cs="Times New Roman"/>
                <w:b/>
                <w:sz w:val="18"/>
              </w:rPr>
            </w:pPr>
            <w:r w:rsidRPr="00460F9E">
              <w:rPr>
                <w:rFonts w:eastAsia="Times New Roman" w:cs="Times New Roman"/>
                <w:w w:val="99"/>
              </w:rPr>
              <w:t xml:space="preserve">  Bunlar aşağıdakilerden ibarettir:</w:t>
            </w:r>
          </w:p>
        </w:tc>
        <w:tc>
          <w:tcPr>
            <w:tcW w:w="1020" w:type="dxa"/>
            <w:vMerge w:val="restart"/>
            <w:tcBorders>
              <w:left w:val="single" w:sz="4" w:space="0" w:color="auto"/>
              <w:right w:val="single" w:sz="8" w:space="0" w:color="auto"/>
            </w:tcBorders>
            <w:shd w:val="clear" w:color="auto" w:fill="auto"/>
            <w:vAlign w:val="center"/>
          </w:tcPr>
          <w:p w14:paraId="2319190F" w14:textId="77777777" w:rsidR="00A52778" w:rsidRPr="00460F9E" w:rsidRDefault="00A52778" w:rsidP="00FC3F8E">
            <w:pPr>
              <w:spacing w:line="240" w:lineRule="auto"/>
              <w:jc w:val="center"/>
              <w:rPr>
                <w:rFonts w:eastAsia="Times New Roman" w:cs="Times New Roman"/>
                <w:b/>
                <w:sz w:val="18"/>
              </w:rPr>
            </w:pPr>
            <w:r w:rsidRPr="00460F9E">
              <w:rPr>
                <w:rFonts w:eastAsia="Times New Roman" w:cs="Times New Roman"/>
              </w:rPr>
              <w:t>Kaçak ve kaçak olmayan emisyonlar</w:t>
            </w:r>
          </w:p>
        </w:tc>
        <w:tc>
          <w:tcPr>
            <w:tcW w:w="980" w:type="dxa"/>
            <w:shd w:val="clear" w:color="auto" w:fill="auto"/>
            <w:vAlign w:val="bottom"/>
          </w:tcPr>
          <w:p w14:paraId="14E30741" w14:textId="77777777" w:rsidR="00A52778" w:rsidRPr="00460F9E" w:rsidRDefault="00A52778" w:rsidP="00FC3F8E">
            <w:pPr>
              <w:spacing w:line="240" w:lineRule="auto"/>
              <w:rPr>
                <w:rFonts w:eastAsia="Times New Roman" w:cs="Times New Roman"/>
                <w:b/>
                <w:sz w:val="18"/>
              </w:rPr>
            </w:pPr>
          </w:p>
        </w:tc>
        <w:tc>
          <w:tcPr>
            <w:tcW w:w="400" w:type="dxa"/>
            <w:shd w:val="clear" w:color="auto" w:fill="auto"/>
            <w:vAlign w:val="bottom"/>
          </w:tcPr>
          <w:p w14:paraId="649A01EE" w14:textId="77777777" w:rsidR="00A52778" w:rsidRPr="00460F9E" w:rsidRDefault="00A52778" w:rsidP="00FC3F8E">
            <w:pPr>
              <w:spacing w:line="240" w:lineRule="auto"/>
              <w:rPr>
                <w:rFonts w:eastAsia="Times New Roman" w:cs="Times New Roman"/>
                <w:b/>
                <w:sz w:val="18"/>
              </w:rPr>
            </w:pPr>
          </w:p>
        </w:tc>
        <w:tc>
          <w:tcPr>
            <w:tcW w:w="480" w:type="dxa"/>
            <w:shd w:val="clear" w:color="auto" w:fill="auto"/>
            <w:vAlign w:val="bottom"/>
          </w:tcPr>
          <w:p w14:paraId="034905F2" w14:textId="77777777" w:rsidR="00A52778" w:rsidRPr="00460F9E" w:rsidRDefault="00A52778" w:rsidP="00FC3F8E">
            <w:pPr>
              <w:spacing w:line="240" w:lineRule="auto"/>
              <w:rPr>
                <w:rFonts w:eastAsia="Times New Roman" w:cs="Times New Roman"/>
                <w:b/>
                <w:sz w:val="18"/>
              </w:rPr>
            </w:pPr>
          </w:p>
        </w:tc>
        <w:tc>
          <w:tcPr>
            <w:tcW w:w="280" w:type="dxa"/>
            <w:shd w:val="clear" w:color="auto" w:fill="auto"/>
            <w:vAlign w:val="bottom"/>
          </w:tcPr>
          <w:p w14:paraId="2375B968" w14:textId="77777777" w:rsidR="00A52778" w:rsidRPr="00460F9E" w:rsidRDefault="00A52778" w:rsidP="00FC3F8E">
            <w:pPr>
              <w:spacing w:line="240" w:lineRule="auto"/>
              <w:rPr>
                <w:rFonts w:eastAsia="Times New Roman" w:cs="Times New Roman"/>
                <w:b/>
                <w:sz w:val="18"/>
              </w:rPr>
            </w:pPr>
          </w:p>
        </w:tc>
        <w:tc>
          <w:tcPr>
            <w:tcW w:w="560" w:type="dxa"/>
            <w:tcBorders>
              <w:right w:val="single" w:sz="8" w:space="0" w:color="auto"/>
            </w:tcBorders>
            <w:shd w:val="clear" w:color="auto" w:fill="auto"/>
            <w:vAlign w:val="bottom"/>
          </w:tcPr>
          <w:p w14:paraId="76568FDD" w14:textId="77777777" w:rsidR="00A52778" w:rsidRPr="00460F9E" w:rsidRDefault="00A52778" w:rsidP="00FC3F8E">
            <w:pPr>
              <w:spacing w:line="240" w:lineRule="auto"/>
              <w:rPr>
                <w:rFonts w:eastAsia="Times New Roman" w:cs="Times New Roman"/>
                <w:b/>
                <w:sz w:val="18"/>
              </w:rPr>
            </w:pPr>
          </w:p>
        </w:tc>
      </w:tr>
      <w:tr w:rsidR="00A52778" w:rsidRPr="00460F9E" w14:paraId="4AFB7693" w14:textId="77777777" w:rsidTr="00FC3F8E">
        <w:trPr>
          <w:trHeight w:val="305"/>
        </w:trPr>
        <w:tc>
          <w:tcPr>
            <w:tcW w:w="380" w:type="dxa"/>
            <w:tcBorders>
              <w:left w:val="single" w:sz="8" w:space="0" w:color="auto"/>
              <w:right w:val="single" w:sz="8" w:space="0" w:color="auto"/>
            </w:tcBorders>
            <w:shd w:val="clear" w:color="auto" w:fill="auto"/>
            <w:vAlign w:val="bottom"/>
          </w:tcPr>
          <w:p w14:paraId="5648154C"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2665DF0D"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2D2AB26B" w14:textId="77777777" w:rsidR="00A52778" w:rsidRPr="00460F9E" w:rsidRDefault="00A52778" w:rsidP="00FC3F8E">
            <w:pPr>
              <w:spacing w:line="240" w:lineRule="auto"/>
              <w:rPr>
                <w:rFonts w:eastAsia="Times New Roman" w:cs="Times New Roman"/>
                <w:b/>
              </w:rPr>
            </w:pPr>
          </w:p>
        </w:tc>
        <w:tc>
          <w:tcPr>
            <w:tcW w:w="53" w:type="dxa"/>
            <w:shd w:val="clear" w:color="auto" w:fill="auto"/>
            <w:vAlign w:val="bottom"/>
          </w:tcPr>
          <w:p w14:paraId="5A0B6B4A" w14:textId="77777777" w:rsidR="00A52778" w:rsidRPr="00460F9E" w:rsidRDefault="00A52778" w:rsidP="00FC3F8E">
            <w:pPr>
              <w:spacing w:line="240" w:lineRule="auto"/>
              <w:rPr>
                <w:rFonts w:eastAsia="Times New Roman" w:cs="Times New Roman"/>
                <w:b/>
              </w:rPr>
            </w:pPr>
          </w:p>
        </w:tc>
        <w:tc>
          <w:tcPr>
            <w:tcW w:w="3240" w:type="dxa"/>
            <w:gridSpan w:val="8"/>
            <w:tcBorders>
              <w:right w:val="single" w:sz="4" w:space="0" w:color="auto"/>
            </w:tcBorders>
            <w:shd w:val="clear" w:color="auto" w:fill="auto"/>
            <w:vAlign w:val="bottom"/>
          </w:tcPr>
          <w:p w14:paraId="031FED79" w14:textId="77777777" w:rsidR="00A52778" w:rsidRPr="00460F9E" w:rsidRDefault="00A52778" w:rsidP="00FC3F8E">
            <w:pPr>
              <w:spacing w:line="240" w:lineRule="auto"/>
              <w:rPr>
                <w:rFonts w:eastAsia="Times New Roman" w:cs="Times New Roman"/>
                <w:b/>
              </w:rPr>
            </w:pPr>
            <w:r w:rsidRPr="00460F9E">
              <w:rPr>
                <w:rFonts w:eastAsia="Times New Roman" w:cs="Times New Roman"/>
              </w:rPr>
              <w:t>Boru uzunluklarını en aza indirmek;</w:t>
            </w:r>
          </w:p>
        </w:tc>
        <w:tc>
          <w:tcPr>
            <w:tcW w:w="1020" w:type="dxa"/>
            <w:vMerge/>
            <w:tcBorders>
              <w:left w:val="single" w:sz="4" w:space="0" w:color="auto"/>
              <w:right w:val="single" w:sz="8" w:space="0" w:color="auto"/>
            </w:tcBorders>
            <w:shd w:val="clear" w:color="auto" w:fill="auto"/>
            <w:vAlign w:val="bottom"/>
          </w:tcPr>
          <w:p w14:paraId="7AE5EA89" w14:textId="77777777" w:rsidR="00A52778" w:rsidRPr="00460F9E" w:rsidRDefault="00A52778" w:rsidP="00FC3F8E">
            <w:pPr>
              <w:spacing w:line="240" w:lineRule="auto"/>
              <w:jc w:val="center"/>
              <w:rPr>
                <w:rFonts w:eastAsia="Times New Roman" w:cs="Times New Roman"/>
                <w:b/>
              </w:rPr>
            </w:pPr>
          </w:p>
        </w:tc>
        <w:tc>
          <w:tcPr>
            <w:tcW w:w="980" w:type="dxa"/>
            <w:shd w:val="clear" w:color="auto" w:fill="auto"/>
            <w:vAlign w:val="bottom"/>
          </w:tcPr>
          <w:p w14:paraId="616370B9"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3EE849CA"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7063A964"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3A664775"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00D01D2A" w14:textId="77777777" w:rsidR="00A52778" w:rsidRPr="00460F9E" w:rsidRDefault="00A52778" w:rsidP="00FC3F8E">
            <w:pPr>
              <w:spacing w:line="240" w:lineRule="auto"/>
              <w:rPr>
                <w:rFonts w:eastAsia="Times New Roman" w:cs="Times New Roman"/>
                <w:b/>
              </w:rPr>
            </w:pPr>
          </w:p>
        </w:tc>
      </w:tr>
      <w:tr w:rsidR="00A52778" w:rsidRPr="00460F9E" w14:paraId="06834020" w14:textId="77777777" w:rsidTr="00FC3F8E">
        <w:trPr>
          <w:trHeight w:val="314"/>
        </w:trPr>
        <w:tc>
          <w:tcPr>
            <w:tcW w:w="380" w:type="dxa"/>
            <w:tcBorders>
              <w:left w:val="single" w:sz="8" w:space="0" w:color="auto"/>
              <w:right w:val="single" w:sz="8" w:space="0" w:color="auto"/>
            </w:tcBorders>
            <w:shd w:val="clear" w:color="auto" w:fill="auto"/>
            <w:vAlign w:val="bottom"/>
          </w:tcPr>
          <w:p w14:paraId="2C00C696" w14:textId="77777777" w:rsidR="00A52778" w:rsidRPr="00460F9E" w:rsidRDefault="00A52778" w:rsidP="00FC3F8E">
            <w:pPr>
              <w:spacing w:line="240" w:lineRule="auto"/>
              <w:rPr>
                <w:rFonts w:eastAsia="Times New Roman" w:cs="Times New Roman"/>
                <w:b/>
              </w:rPr>
            </w:pPr>
          </w:p>
        </w:tc>
        <w:tc>
          <w:tcPr>
            <w:tcW w:w="1727" w:type="dxa"/>
            <w:gridSpan w:val="2"/>
            <w:vMerge w:val="restart"/>
            <w:tcBorders>
              <w:right w:val="single" w:sz="8" w:space="0" w:color="auto"/>
            </w:tcBorders>
            <w:shd w:val="clear" w:color="auto" w:fill="auto"/>
            <w:vAlign w:val="bottom"/>
          </w:tcPr>
          <w:p w14:paraId="34CF3DFD"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Emisyon </w:t>
            </w:r>
          </w:p>
          <w:p w14:paraId="0D89D00E"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kaynaklarının </w:t>
            </w:r>
          </w:p>
          <w:p w14:paraId="7AFF64F3"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sayısının </w:t>
            </w:r>
          </w:p>
          <w:p w14:paraId="32D0C380" w14:textId="77777777" w:rsidR="00A52778" w:rsidRPr="00460F9E" w:rsidRDefault="00A52778" w:rsidP="00FC3F8E">
            <w:pPr>
              <w:spacing w:line="240" w:lineRule="auto"/>
              <w:rPr>
                <w:rFonts w:eastAsia="Times New Roman" w:cs="Times New Roman"/>
                <w:b/>
                <w:w w:val="97"/>
              </w:rPr>
            </w:pPr>
            <w:r w:rsidRPr="00460F9E">
              <w:rPr>
                <w:rFonts w:eastAsia="Times New Roman" w:cs="Times New Roman"/>
              </w:rPr>
              <w:t xml:space="preserve"> sınırlandırılması</w:t>
            </w:r>
          </w:p>
        </w:tc>
        <w:tc>
          <w:tcPr>
            <w:tcW w:w="53" w:type="dxa"/>
            <w:tcBorders>
              <w:left w:val="single" w:sz="8" w:space="0" w:color="auto"/>
            </w:tcBorders>
            <w:shd w:val="clear" w:color="auto" w:fill="auto"/>
            <w:vAlign w:val="bottom"/>
          </w:tcPr>
          <w:p w14:paraId="0DE8DDD8" w14:textId="77777777" w:rsidR="00A52778" w:rsidRPr="00460F9E" w:rsidRDefault="00A52778" w:rsidP="00FC3F8E">
            <w:pPr>
              <w:spacing w:line="240" w:lineRule="auto"/>
              <w:rPr>
                <w:rFonts w:eastAsia="Times New Roman" w:cs="Times New Roman"/>
                <w:b/>
              </w:rPr>
            </w:pPr>
          </w:p>
        </w:tc>
        <w:tc>
          <w:tcPr>
            <w:tcW w:w="3240" w:type="dxa"/>
            <w:gridSpan w:val="8"/>
            <w:vMerge w:val="restart"/>
            <w:tcBorders>
              <w:right w:val="single" w:sz="4" w:space="0" w:color="auto"/>
            </w:tcBorders>
            <w:shd w:val="clear" w:color="auto" w:fill="auto"/>
            <w:vAlign w:val="bottom"/>
          </w:tcPr>
          <w:p w14:paraId="399360DD" w14:textId="77777777" w:rsidR="00A52778" w:rsidRPr="00460F9E" w:rsidRDefault="00A52778" w:rsidP="00FC3F8E">
            <w:pPr>
              <w:spacing w:line="240" w:lineRule="auto"/>
              <w:rPr>
                <w:rFonts w:eastAsia="Times New Roman" w:cs="Times New Roman"/>
                <w:b/>
              </w:rPr>
            </w:pPr>
            <w:r w:rsidRPr="00460F9E">
              <w:rPr>
                <w:rFonts w:eastAsia="Times New Roman" w:cs="Times New Roman"/>
              </w:rPr>
              <w:t>boru bağlantılarının (örn. flanşlar) ve vanaların sayısının azaltılması; kaynaklı bağlantı parçaları ve bağlantıların kullanılması;</w:t>
            </w:r>
          </w:p>
        </w:tc>
        <w:tc>
          <w:tcPr>
            <w:tcW w:w="1020" w:type="dxa"/>
            <w:vMerge/>
            <w:tcBorders>
              <w:left w:val="single" w:sz="4" w:space="0" w:color="auto"/>
              <w:right w:val="single" w:sz="8" w:space="0" w:color="auto"/>
            </w:tcBorders>
            <w:shd w:val="clear" w:color="auto" w:fill="auto"/>
            <w:vAlign w:val="bottom"/>
          </w:tcPr>
          <w:p w14:paraId="65F7DD5E" w14:textId="77777777" w:rsidR="00A52778" w:rsidRPr="00460F9E" w:rsidRDefault="00A52778" w:rsidP="00FC3F8E">
            <w:pPr>
              <w:spacing w:line="240" w:lineRule="auto"/>
              <w:jc w:val="center"/>
              <w:rPr>
                <w:rFonts w:eastAsia="Times New Roman" w:cs="Times New Roman"/>
                <w:b/>
              </w:rPr>
            </w:pPr>
          </w:p>
        </w:tc>
        <w:tc>
          <w:tcPr>
            <w:tcW w:w="2700" w:type="dxa"/>
            <w:gridSpan w:val="5"/>
            <w:vMerge w:val="restart"/>
            <w:tcBorders>
              <w:right w:val="single" w:sz="8" w:space="0" w:color="auto"/>
            </w:tcBorders>
            <w:shd w:val="clear" w:color="auto" w:fill="auto"/>
            <w:vAlign w:val="bottom"/>
          </w:tcPr>
          <w:p w14:paraId="70F44C3E"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Mevcut tesisler söz konusu   </w:t>
            </w:r>
          </w:p>
          <w:p w14:paraId="671DD258"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olduğunda uygulanabilirliği   </w:t>
            </w:r>
          </w:p>
          <w:p w14:paraId="7E1B627E"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operasyonel kısıtlamalarla </w:t>
            </w:r>
          </w:p>
          <w:p w14:paraId="7B9E6485"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sınırlandırılabilir.</w:t>
            </w:r>
          </w:p>
        </w:tc>
      </w:tr>
      <w:tr w:rsidR="00A52778" w:rsidRPr="00460F9E" w14:paraId="1A1F5E8B" w14:textId="77777777" w:rsidTr="00FC3F8E">
        <w:trPr>
          <w:trHeight w:val="250"/>
        </w:trPr>
        <w:tc>
          <w:tcPr>
            <w:tcW w:w="380" w:type="dxa"/>
            <w:vMerge w:val="restart"/>
            <w:tcBorders>
              <w:left w:val="single" w:sz="8" w:space="0" w:color="auto"/>
              <w:right w:val="single" w:sz="8" w:space="0" w:color="auto"/>
            </w:tcBorders>
            <w:shd w:val="clear" w:color="auto" w:fill="auto"/>
            <w:vAlign w:val="bottom"/>
          </w:tcPr>
          <w:p w14:paraId="743FBE33" w14:textId="77777777" w:rsidR="00A52778" w:rsidRPr="00460F9E" w:rsidRDefault="00A52778" w:rsidP="00FC3F8E">
            <w:pPr>
              <w:spacing w:line="240" w:lineRule="auto"/>
              <w:ind w:left="120"/>
              <w:rPr>
                <w:rFonts w:eastAsia="Times New Roman" w:cs="Times New Roman"/>
                <w:b/>
              </w:rPr>
            </w:pPr>
            <w:r w:rsidRPr="00460F9E">
              <w:rPr>
                <w:rFonts w:eastAsia="Times New Roman" w:cs="Times New Roman"/>
              </w:rPr>
              <w:t>a.</w:t>
            </w:r>
          </w:p>
        </w:tc>
        <w:tc>
          <w:tcPr>
            <w:tcW w:w="1727" w:type="dxa"/>
            <w:gridSpan w:val="2"/>
            <w:vMerge/>
            <w:tcBorders>
              <w:right w:val="single" w:sz="8" w:space="0" w:color="auto"/>
            </w:tcBorders>
            <w:shd w:val="clear" w:color="auto" w:fill="auto"/>
            <w:vAlign w:val="bottom"/>
          </w:tcPr>
          <w:p w14:paraId="4C709BAB" w14:textId="77777777" w:rsidR="00A52778" w:rsidRPr="00460F9E" w:rsidRDefault="00A52778" w:rsidP="00FC3F8E">
            <w:pPr>
              <w:spacing w:line="240" w:lineRule="auto"/>
              <w:rPr>
                <w:rFonts w:eastAsia="Times New Roman" w:cs="Times New Roman"/>
                <w:b/>
              </w:rPr>
            </w:pPr>
          </w:p>
        </w:tc>
        <w:tc>
          <w:tcPr>
            <w:tcW w:w="53" w:type="dxa"/>
            <w:tcBorders>
              <w:left w:val="single" w:sz="8" w:space="0" w:color="auto"/>
            </w:tcBorders>
            <w:shd w:val="clear" w:color="auto" w:fill="auto"/>
            <w:vAlign w:val="bottom"/>
          </w:tcPr>
          <w:p w14:paraId="1710D3C1" w14:textId="77777777" w:rsidR="00A52778" w:rsidRPr="00460F9E" w:rsidRDefault="00A52778" w:rsidP="00FC3F8E">
            <w:pPr>
              <w:spacing w:line="240" w:lineRule="auto"/>
              <w:rPr>
                <w:rFonts w:eastAsia="Times New Roman" w:cs="Times New Roman"/>
                <w:b/>
                <w:sz w:val="21"/>
              </w:rPr>
            </w:pPr>
          </w:p>
        </w:tc>
        <w:tc>
          <w:tcPr>
            <w:tcW w:w="3240" w:type="dxa"/>
            <w:gridSpan w:val="8"/>
            <w:vMerge/>
            <w:tcBorders>
              <w:right w:val="single" w:sz="4" w:space="0" w:color="auto"/>
            </w:tcBorders>
            <w:shd w:val="clear" w:color="auto" w:fill="auto"/>
            <w:vAlign w:val="bottom"/>
          </w:tcPr>
          <w:p w14:paraId="7B98446A" w14:textId="77777777" w:rsidR="00A52778" w:rsidRPr="00460F9E" w:rsidRDefault="00A52778" w:rsidP="00FC3F8E">
            <w:pPr>
              <w:spacing w:line="240" w:lineRule="auto"/>
              <w:rPr>
                <w:rFonts w:eastAsia="Times New Roman" w:cs="Times New Roman"/>
                <w:b/>
              </w:rPr>
            </w:pPr>
          </w:p>
        </w:tc>
        <w:tc>
          <w:tcPr>
            <w:tcW w:w="1020" w:type="dxa"/>
            <w:vMerge/>
            <w:tcBorders>
              <w:left w:val="single" w:sz="4" w:space="0" w:color="auto"/>
              <w:right w:val="single" w:sz="8" w:space="0" w:color="auto"/>
            </w:tcBorders>
            <w:shd w:val="clear" w:color="auto" w:fill="auto"/>
            <w:vAlign w:val="bottom"/>
          </w:tcPr>
          <w:p w14:paraId="1B858448" w14:textId="77777777" w:rsidR="00A52778" w:rsidRPr="00460F9E" w:rsidRDefault="00A52778" w:rsidP="00FC3F8E">
            <w:pPr>
              <w:spacing w:line="240" w:lineRule="auto"/>
              <w:jc w:val="center"/>
              <w:rPr>
                <w:rFonts w:eastAsia="Times New Roman" w:cs="Times New Roman"/>
                <w:b/>
              </w:rPr>
            </w:pPr>
          </w:p>
        </w:tc>
        <w:tc>
          <w:tcPr>
            <w:tcW w:w="2700" w:type="dxa"/>
            <w:gridSpan w:val="5"/>
            <w:vMerge/>
            <w:tcBorders>
              <w:right w:val="single" w:sz="8" w:space="0" w:color="auto"/>
            </w:tcBorders>
            <w:shd w:val="clear" w:color="auto" w:fill="auto"/>
            <w:vAlign w:val="bottom"/>
          </w:tcPr>
          <w:p w14:paraId="6C3075AD" w14:textId="77777777" w:rsidR="00A52778" w:rsidRPr="00460F9E" w:rsidRDefault="00A52778" w:rsidP="00FC3F8E">
            <w:pPr>
              <w:spacing w:line="240" w:lineRule="auto"/>
              <w:rPr>
                <w:rFonts w:eastAsia="Times New Roman" w:cs="Times New Roman"/>
                <w:b/>
              </w:rPr>
            </w:pPr>
          </w:p>
        </w:tc>
      </w:tr>
      <w:tr w:rsidR="00A52778" w:rsidRPr="00460F9E" w14:paraId="1B4D6464" w14:textId="77777777" w:rsidTr="00FC3F8E">
        <w:trPr>
          <w:trHeight w:val="275"/>
        </w:trPr>
        <w:tc>
          <w:tcPr>
            <w:tcW w:w="380" w:type="dxa"/>
            <w:vMerge/>
            <w:tcBorders>
              <w:left w:val="single" w:sz="8" w:space="0" w:color="auto"/>
              <w:right w:val="single" w:sz="8" w:space="0" w:color="auto"/>
            </w:tcBorders>
            <w:shd w:val="clear" w:color="auto" w:fill="auto"/>
            <w:vAlign w:val="bottom"/>
          </w:tcPr>
          <w:p w14:paraId="407AB52A" w14:textId="77777777" w:rsidR="00A52778" w:rsidRPr="00460F9E" w:rsidRDefault="00A52778" w:rsidP="00FC3F8E">
            <w:pPr>
              <w:spacing w:line="240" w:lineRule="auto"/>
              <w:rPr>
                <w:rFonts w:eastAsia="Times New Roman" w:cs="Times New Roman"/>
                <w:b/>
                <w:sz w:val="10"/>
              </w:rPr>
            </w:pPr>
          </w:p>
        </w:tc>
        <w:tc>
          <w:tcPr>
            <w:tcW w:w="1727" w:type="dxa"/>
            <w:gridSpan w:val="2"/>
            <w:vMerge/>
            <w:tcBorders>
              <w:right w:val="single" w:sz="8" w:space="0" w:color="auto"/>
            </w:tcBorders>
            <w:shd w:val="clear" w:color="auto" w:fill="auto"/>
            <w:vAlign w:val="bottom"/>
          </w:tcPr>
          <w:p w14:paraId="3E84EEB7" w14:textId="77777777" w:rsidR="00A52778" w:rsidRPr="00460F9E" w:rsidRDefault="00A52778" w:rsidP="00FC3F8E">
            <w:pPr>
              <w:spacing w:line="240" w:lineRule="auto"/>
              <w:rPr>
                <w:rFonts w:eastAsia="Times New Roman" w:cs="Times New Roman"/>
                <w:b/>
                <w:sz w:val="10"/>
              </w:rPr>
            </w:pPr>
          </w:p>
        </w:tc>
        <w:tc>
          <w:tcPr>
            <w:tcW w:w="53" w:type="dxa"/>
            <w:vMerge w:val="restart"/>
            <w:tcBorders>
              <w:left w:val="single" w:sz="8" w:space="0" w:color="auto"/>
            </w:tcBorders>
            <w:shd w:val="clear" w:color="auto" w:fill="auto"/>
            <w:vAlign w:val="bottom"/>
          </w:tcPr>
          <w:p w14:paraId="0CC6AFE3" w14:textId="77777777" w:rsidR="00A52778" w:rsidRPr="00460F9E" w:rsidRDefault="00A52778" w:rsidP="00FC3F8E">
            <w:pPr>
              <w:spacing w:line="240" w:lineRule="auto"/>
              <w:rPr>
                <w:rFonts w:eastAsia="Times New Roman" w:cs="Times New Roman"/>
                <w:b/>
                <w:sz w:val="10"/>
              </w:rPr>
            </w:pPr>
          </w:p>
        </w:tc>
        <w:tc>
          <w:tcPr>
            <w:tcW w:w="3240" w:type="dxa"/>
            <w:gridSpan w:val="8"/>
            <w:vMerge/>
            <w:tcBorders>
              <w:right w:val="single" w:sz="4" w:space="0" w:color="auto"/>
            </w:tcBorders>
            <w:shd w:val="clear" w:color="auto" w:fill="auto"/>
            <w:vAlign w:val="bottom"/>
          </w:tcPr>
          <w:p w14:paraId="3D563CEE" w14:textId="77777777" w:rsidR="00A52778" w:rsidRPr="00460F9E" w:rsidRDefault="00A52778" w:rsidP="00FC3F8E">
            <w:pPr>
              <w:spacing w:line="240" w:lineRule="auto"/>
              <w:rPr>
                <w:rFonts w:eastAsia="Times New Roman" w:cs="Times New Roman"/>
                <w:b/>
              </w:rPr>
            </w:pPr>
          </w:p>
        </w:tc>
        <w:tc>
          <w:tcPr>
            <w:tcW w:w="1020" w:type="dxa"/>
            <w:vMerge/>
            <w:tcBorders>
              <w:left w:val="single" w:sz="4" w:space="0" w:color="auto"/>
              <w:right w:val="single" w:sz="8" w:space="0" w:color="auto"/>
            </w:tcBorders>
            <w:shd w:val="clear" w:color="auto" w:fill="auto"/>
            <w:vAlign w:val="bottom"/>
          </w:tcPr>
          <w:p w14:paraId="306C4968" w14:textId="77777777" w:rsidR="00A52778" w:rsidRPr="00460F9E" w:rsidRDefault="00A52778" w:rsidP="00FC3F8E">
            <w:pPr>
              <w:spacing w:line="240" w:lineRule="auto"/>
              <w:jc w:val="center"/>
              <w:rPr>
                <w:rFonts w:eastAsia="Times New Roman" w:cs="Times New Roman"/>
                <w:b/>
                <w:w w:val="96"/>
              </w:rPr>
            </w:pPr>
          </w:p>
        </w:tc>
        <w:tc>
          <w:tcPr>
            <w:tcW w:w="2700" w:type="dxa"/>
            <w:gridSpan w:val="5"/>
            <w:vMerge/>
            <w:tcBorders>
              <w:right w:val="single" w:sz="8" w:space="0" w:color="auto"/>
            </w:tcBorders>
            <w:shd w:val="clear" w:color="auto" w:fill="auto"/>
            <w:vAlign w:val="bottom"/>
          </w:tcPr>
          <w:p w14:paraId="4548F78B" w14:textId="77777777" w:rsidR="00A52778" w:rsidRPr="00460F9E" w:rsidRDefault="00A52778" w:rsidP="00FC3F8E">
            <w:pPr>
              <w:spacing w:line="240" w:lineRule="auto"/>
              <w:rPr>
                <w:rFonts w:eastAsia="Times New Roman" w:cs="Times New Roman"/>
                <w:b/>
              </w:rPr>
            </w:pPr>
          </w:p>
        </w:tc>
      </w:tr>
      <w:tr w:rsidR="00A52778" w:rsidRPr="00460F9E" w14:paraId="0644F4CA" w14:textId="77777777" w:rsidTr="00FC3F8E">
        <w:trPr>
          <w:trHeight w:val="124"/>
        </w:trPr>
        <w:tc>
          <w:tcPr>
            <w:tcW w:w="380" w:type="dxa"/>
            <w:tcBorders>
              <w:left w:val="single" w:sz="8" w:space="0" w:color="auto"/>
              <w:right w:val="single" w:sz="8" w:space="0" w:color="auto"/>
            </w:tcBorders>
            <w:shd w:val="clear" w:color="auto" w:fill="auto"/>
            <w:vAlign w:val="bottom"/>
          </w:tcPr>
          <w:p w14:paraId="03112274" w14:textId="77777777" w:rsidR="00A52778" w:rsidRPr="00460F9E" w:rsidRDefault="00A52778" w:rsidP="00FC3F8E">
            <w:pPr>
              <w:spacing w:line="240" w:lineRule="auto"/>
              <w:rPr>
                <w:rFonts w:eastAsia="Times New Roman" w:cs="Times New Roman"/>
                <w:b/>
                <w:sz w:val="10"/>
              </w:rPr>
            </w:pPr>
          </w:p>
        </w:tc>
        <w:tc>
          <w:tcPr>
            <w:tcW w:w="1727" w:type="dxa"/>
            <w:gridSpan w:val="2"/>
            <w:vMerge/>
            <w:tcBorders>
              <w:right w:val="single" w:sz="8" w:space="0" w:color="auto"/>
            </w:tcBorders>
            <w:shd w:val="clear" w:color="auto" w:fill="auto"/>
            <w:vAlign w:val="bottom"/>
          </w:tcPr>
          <w:p w14:paraId="4363729D" w14:textId="77777777" w:rsidR="00A52778" w:rsidRPr="00460F9E" w:rsidRDefault="00A52778" w:rsidP="00FC3F8E">
            <w:pPr>
              <w:spacing w:line="240" w:lineRule="auto"/>
              <w:rPr>
                <w:rFonts w:eastAsia="Times New Roman" w:cs="Times New Roman"/>
                <w:b/>
                <w:sz w:val="10"/>
              </w:rPr>
            </w:pPr>
          </w:p>
        </w:tc>
        <w:tc>
          <w:tcPr>
            <w:tcW w:w="53" w:type="dxa"/>
            <w:vMerge/>
            <w:tcBorders>
              <w:left w:val="single" w:sz="8" w:space="0" w:color="auto"/>
            </w:tcBorders>
            <w:shd w:val="clear" w:color="auto" w:fill="auto"/>
            <w:vAlign w:val="bottom"/>
          </w:tcPr>
          <w:p w14:paraId="5930CCE6" w14:textId="77777777" w:rsidR="00A52778" w:rsidRPr="00460F9E" w:rsidRDefault="00A52778" w:rsidP="00FC3F8E">
            <w:pPr>
              <w:spacing w:line="240" w:lineRule="auto"/>
              <w:rPr>
                <w:rFonts w:eastAsia="Times New Roman" w:cs="Times New Roman"/>
                <w:b/>
                <w:sz w:val="10"/>
              </w:rPr>
            </w:pPr>
          </w:p>
        </w:tc>
        <w:tc>
          <w:tcPr>
            <w:tcW w:w="3240" w:type="dxa"/>
            <w:gridSpan w:val="8"/>
            <w:vMerge/>
            <w:tcBorders>
              <w:right w:val="single" w:sz="4" w:space="0" w:color="auto"/>
            </w:tcBorders>
            <w:shd w:val="clear" w:color="auto" w:fill="auto"/>
            <w:vAlign w:val="bottom"/>
          </w:tcPr>
          <w:p w14:paraId="4031788F" w14:textId="77777777" w:rsidR="00A52778" w:rsidRPr="00460F9E" w:rsidRDefault="00A52778" w:rsidP="00FC3F8E">
            <w:pPr>
              <w:spacing w:line="240" w:lineRule="auto"/>
              <w:rPr>
                <w:rFonts w:eastAsia="Times New Roman" w:cs="Times New Roman"/>
                <w:b/>
                <w:sz w:val="10"/>
              </w:rPr>
            </w:pPr>
          </w:p>
        </w:tc>
        <w:tc>
          <w:tcPr>
            <w:tcW w:w="1020" w:type="dxa"/>
            <w:vMerge/>
            <w:tcBorders>
              <w:left w:val="single" w:sz="4" w:space="0" w:color="auto"/>
              <w:right w:val="single" w:sz="8" w:space="0" w:color="auto"/>
            </w:tcBorders>
            <w:shd w:val="clear" w:color="auto" w:fill="auto"/>
            <w:vAlign w:val="bottom"/>
          </w:tcPr>
          <w:p w14:paraId="44EADA18" w14:textId="77777777" w:rsidR="00A52778" w:rsidRPr="00460F9E" w:rsidRDefault="00A52778" w:rsidP="00FC3F8E">
            <w:pPr>
              <w:spacing w:line="240" w:lineRule="auto"/>
              <w:jc w:val="center"/>
              <w:rPr>
                <w:rFonts w:eastAsia="Times New Roman" w:cs="Times New Roman"/>
                <w:b/>
                <w:sz w:val="10"/>
              </w:rPr>
            </w:pPr>
          </w:p>
        </w:tc>
        <w:tc>
          <w:tcPr>
            <w:tcW w:w="2700" w:type="dxa"/>
            <w:gridSpan w:val="5"/>
            <w:vMerge/>
            <w:tcBorders>
              <w:right w:val="single" w:sz="8" w:space="0" w:color="auto"/>
            </w:tcBorders>
            <w:shd w:val="clear" w:color="auto" w:fill="auto"/>
            <w:vAlign w:val="bottom"/>
          </w:tcPr>
          <w:p w14:paraId="00BDA3E3" w14:textId="77777777" w:rsidR="00A52778" w:rsidRPr="00460F9E" w:rsidRDefault="00A52778" w:rsidP="00FC3F8E">
            <w:pPr>
              <w:spacing w:line="240" w:lineRule="auto"/>
              <w:rPr>
                <w:rFonts w:eastAsia="Times New Roman" w:cs="Times New Roman"/>
                <w:b/>
                <w:sz w:val="10"/>
              </w:rPr>
            </w:pPr>
          </w:p>
        </w:tc>
      </w:tr>
      <w:tr w:rsidR="00A52778" w:rsidRPr="00460F9E" w14:paraId="55813FA6" w14:textId="77777777" w:rsidTr="00FC3F8E">
        <w:trPr>
          <w:trHeight w:val="265"/>
        </w:trPr>
        <w:tc>
          <w:tcPr>
            <w:tcW w:w="380" w:type="dxa"/>
            <w:tcBorders>
              <w:left w:val="single" w:sz="8" w:space="0" w:color="auto"/>
              <w:right w:val="single" w:sz="8" w:space="0" w:color="auto"/>
            </w:tcBorders>
            <w:shd w:val="clear" w:color="auto" w:fill="auto"/>
            <w:vAlign w:val="bottom"/>
          </w:tcPr>
          <w:p w14:paraId="1E6F9B24" w14:textId="77777777" w:rsidR="00A52778" w:rsidRPr="00460F9E" w:rsidRDefault="00A52778" w:rsidP="00FC3F8E">
            <w:pPr>
              <w:spacing w:line="240" w:lineRule="auto"/>
              <w:rPr>
                <w:rFonts w:eastAsia="Times New Roman" w:cs="Times New Roman"/>
                <w:b/>
                <w:sz w:val="23"/>
              </w:rPr>
            </w:pPr>
          </w:p>
        </w:tc>
        <w:tc>
          <w:tcPr>
            <w:tcW w:w="1727" w:type="dxa"/>
            <w:gridSpan w:val="2"/>
            <w:vMerge/>
            <w:tcBorders>
              <w:right w:val="single" w:sz="8" w:space="0" w:color="auto"/>
            </w:tcBorders>
            <w:shd w:val="clear" w:color="auto" w:fill="auto"/>
            <w:vAlign w:val="bottom"/>
          </w:tcPr>
          <w:p w14:paraId="3A9F6411" w14:textId="77777777" w:rsidR="00A52778" w:rsidRPr="00460F9E" w:rsidRDefault="00A52778" w:rsidP="00FC3F8E">
            <w:pPr>
              <w:spacing w:line="240" w:lineRule="auto"/>
              <w:rPr>
                <w:rFonts w:eastAsia="Times New Roman" w:cs="Times New Roman"/>
                <w:b/>
                <w:sz w:val="23"/>
              </w:rPr>
            </w:pPr>
          </w:p>
        </w:tc>
        <w:tc>
          <w:tcPr>
            <w:tcW w:w="53" w:type="dxa"/>
            <w:tcBorders>
              <w:left w:val="single" w:sz="8" w:space="0" w:color="auto"/>
            </w:tcBorders>
            <w:shd w:val="clear" w:color="auto" w:fill="auto"/>
            <w:vAlign w:val="bottom"/>
          </w:tcPr>
          <w:p w14:paraId="0FCEAC45" w14:textId="77777777" w:rsidR="00A52778" w:rsidRPr="00460F9E" w:rsidRDefault="00A52778" w:rsidP="00FC3F8E">
            <w:pPr>
              <w:spacing w:line="240" w:lineRule="auto"/>
              <w:rPr>
                <w:rFonts w:eastAsia="Times New Roman" w:cs="Times New Roman"/>
                <w:b/>
                <w:sz w:val="23"/>
              </w:rPr>
            </w:pPr>
          </w:p>
        </w:tc>
        <w:tc>
          <w:tcPr>
            <w:tcW w:w="3240" w:type="dxa"/>
            <w:gridSpan w:val="8"/>
            <w:vMerge/>
            <w:tcBorders>
              <w:right w:val="single" w:sz="4" w:space="0" w:color="auto"/>
            </w:tcBorders>
            <w:shd w:val="clear" w:color="auto" w:fill="auto"/>
            <w:vAlign w:val="bottom"/>
          </w:tcPr>
          <w:p w14:paraId="06B384D3" w14:textId="77777777" w:rsidR="00A52778" w:rsidRPr="00460F9E" w:rsidRDefault="00A52778" w:rsidP="00FC3F8E">
            <w:pPr>
              <w:spacing w:line="240" w:lineRule="auto"/>
              <w:rPr>
                <w:rFonts w:eastAsia="Times New Roman" w:cs="Times New Roman"/>
                <w:b/>
                <w:sz w:val="23"/>
              </w:rPr>
            </w:pPr>
          </w:p>
        </w:tc>
        <w:tc>
          <w:tcPr>
            <w:tcW w:w="1020" w:type="dxa"/>
            <w:vMerge/>
            <w:tcBorders>
              <w:left w:val="single" w:sz="4" w:space="0" w:color="auto"/>
              <w:right w:val="single" w:sz="8" w:space="0" w:color="auto"/>
            </w:tcBorders>
            <w:shd w:val="clear" w:color="auto" w:fill="auto"/>
            <w:vAlign w:val="bottom"/>
          </w:tcPr>
          <w:p w14:paraId="2FFB3725" w14:textId="77777777" w:rsidR="00A52778" w:rsidRPr="00460F9E" w:rsidRDefault="00A52778" w:rsidP="00FC3F8E">
            <w:pPr>
              <w:spacing w:line="240" w:lineRule="auto"/>
              <w:jc w:val="center"/>
              <w:rPr>
                <w:rFonts w:eastAsia="Times New Roman" w:cs="Times New Roman"/>
                <w:b/>
              </w:rPr>
            </w:pPr>
          </w:p>
        </w:tc>
        <w:tc>
          <w:tcPr>
            <w:tcW w:w="2700" w:type="dxa"/>
            <w:gridSpan w:val="5"/>
            <w:vMerge/>
            <w:tcBorders>
              <w:right w:val="single" w:sz="8" w:space="0" w:color="auto"/>
            </w:tcBorders>
            <w:shd w:val="clear" w:color="auto" w:fill="auto"/>
            <w:vAlign w:val="bottom"/>
          </w:tcPr>
          <w:p w14:paraId="537F4B86" w14:textId="77777777" w:rsidR="00A52778" w:rsidRPr="00460F9E" w:rsidRDefault="00A52778" w:rsidP="00FC3F8E">
            <w:pPr>
              <w:spacing w:line="240" w:lineRule="auto"/>
              <w:rPr>
                <w:rFonts w:eastAsia="Times New Roman" w:cs="Times New Roman"/>
                <w:b/>
                <w:sz w:val="23"/>
              </w:rPr>
            </w:pPr>
          </w:p>
        </w:tc>
      </w:tr>
      <w:tr w:rsidR="00A52778" w:rsidRPr="00460F9E" w14:paraId="31C4ED51" w14:textId="77777777" w:rsidTr="00FC3F8E">
        <w:trPr>
          <w:trHeight w:val="305"/>
        </w:trPr>
        <w:tc>
          <w:tcPr>
            <w:tcW w:w="380" w:type="dxa"/>
            <w:tcBorders>
              <w:left w:val="single" w:sz="8" w:space="0" w:color="auto"/>
              <w:right w:val="single" w:sz="8" w:space="0" w:color="auto"/>
            </w:tcBorders>
            <w:shd w:val="clear" w:color="auto" w:fill="auto"/>
            <w:vAlign w:val="bottom"/>
          </w:tcPr>
          <w:p w14:paraId="5A73B9B1"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24A794D8"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4C05D844" w14:textId="77777777" w:rsidR="00A52778" w:rsidRPr="00460F9E" w:rsidRDefault="00A52778" w:rsidP="00FC3F8E">
            <w:pPr>
              <w:spacing w:line="240" w:lineRule="auto"/>
              <w:rPr>
                <w:rFonts w:eastAsia="Times New Roman" w:cs="Times New Roman"/>
                <w:b/>
              </w:rPr>
            </w:pPr>
          </w:p>
        </w:tc>
        <w:tc>
          <w:tcPr>
            <w:tcW w:w="53" w:type="dxa"/>
            <w:shd w:val="clear" w:color="auto" w:fill="auto"/>
            <w:vAlign w:val="bottom"/>
          </w:tcPr>
          <w:p w14:paraId="17469294" w14:textId="77777777" w:rsidR="00A52778" w:rsidRPr="00460F9E" w:rsidRDefault="00A52778" w:rsidP="00FC3F8E">
            <w:pPr>
              <w:spacing w:line="240" w:lineRule="auto"/>
              <w:rPr>
                <w:rFonts w:eastAsia="Times New Roman" w:cs="Times New Roman"/>
                <w:b/>
              </w:rPr>
            </w:pPr>
          </w:p>
        </w:tc>
        <w:tc>
          <w:tcPr>
            <w:tcW w:w="3240" w:type="dxa"/>
            <w:gridSpan w:val="8"/>
            <w:vMerge w:val="restart"/>
            <w:tcBorders>
              <w:right w:val="single" w:sz="4" w:space="0" w:color="auto"/>
            </w:tcBorders>
            <w:shd w:val="clear" w:color="auto" w:fill="auto"/>
            <w:vAlign w:val="bottom"/>
          </w:tcPr>
          <w:p w14:paraId="0972047F" w14:textId="77777777" w:rsidR="00A52778" w:rsidRPr="00460F9E" w:rsidRDefault="00A52778" w:rsidP="00FC3F8E">
            <w:pPr>
              <w:spacing w:line="240" w:lineRule="auto"/>
              <w:rPr>
                <w:rFonts w:eastAsia="Times New Roman" w:cs="Times New Roman"/>
                <w:b/>
              </w:rPr>
            </w:pPr>
            <w:r w:rsidRPr="00460F9E">
              <w:rPr>
                <w:rFonts w:eastAsia="Times New Roman" w:cs="Times New Roman"/>
              </w:rPr>
              <w:t>Malzeme aktarımı için basınçlı hava veya yerçekimi ivmesi kullanılması.</w:t>
            </w:r>
          </w:p>
        </w:tc>
        <w:tc>
          <w:tcPr>
            <w:tcW w:w="1020" w:type="dxa"/>
            <w:vMerge/>
            <w:tcBorders>
              <w:left w:val="single" w:sz="4" w:space="0" w:color="auto"/>
              <w:right w:val="single" w:sz="8" w:space="0" w:color="auto"/>
            </w:tcBorders>
            <w:shd w:val="clear" w:color="auto" w:fill="auto"/>
            <w:vAlign w:val="bottom"/>
          </w:tcPr>
          <w:p w14:paraId="76232F9C" w14:textId="77777777" w:rsidR="00A52778" w:rsidRPr="00460F9E" w:rsidRDefault="00A52778" w:rsidP="00FC3F8E">
            <w:pPr>
              <w:spacing w:line="240" w:lineRule="auto"/>
              <w:rPr>
                <w:rFonts w:eastAsia="Times New Roman" w:cs="Times New Roman"/>
                <w:b/>
              </w:rPr>
            </w:pPr>
          </w:p>
        </w:tc>
        <w:tc>
          <w:tcPr>
            <w:tcW w:w="980" w:type="dxa"/>
            <w:shd w:val="clear" w:color="auto" w:fill="auto"/>
            <w:vAlign w:val="bottom"/>
          </w:tcPr>
          <w:p w14:paraId="3EE66BB5"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28BED84C"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3C7C9169"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11E32CA8"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5334F5C2" w14:textId="77777777" w:rsidR="00A52778" w:rsidRPr="00460F9E" w:rsidRDefault="00A52778" w:rsidP="00FC3F8E">
            <w:pPr>
              <w:spacing w:line="240" w:lineRule="auto"/>
              <w:rPr>
                <w:rFonts w:eastAsia="Times New Roman" w:cs="Times New Roman"/>
                <w:b/>
              </w:rPr>
            </w:pPr>
          </w:p>
        </w:tc>
      </w:tr>
      <w:tr w:rsidR="00A52778" w:rsidRPr="00460F9E" w14:paraId="2B92222B" w14:textId="77777777" w:rsidTr="00FC3F8E">
        <w:trPr>
          <w:trHeight w:val="230"/>
        </w:trPr>
        <w:tc>
          <w:tcPr>
            <w:tcW w:w="380" w:type="dxa"/>
            <w:tcBorders>
              <w:left w:val="single" w:sz="8" w:space="0" w:color="auto"/>
              <w:right w:val="single" w:sz="8" w:space="0" w:color="auto"/>
            </w:tcBorders>
            <w:shd w:val="clear" w:color="auto" w:fill="auto"/>
            <w:vAlign w:val="bottom"/>
          </w:tcPr>
          <w:p w14:paraId="6AD10E18"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7116AE78"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0E302643" w14:textId="77777777" w:rsidR="00A52778" w:rsidRPr="00460F9E" w:rsidRDefault="00A52778" w:rsidP="00FC3F8E">
            <w:pPr>
              <w:spacing w:line="240" w:lineRule="auto"/>
              <w:rPr>
                <w:rFonts w:eastAsia="Times New Roman" w:cs="Times New Roman"/>
                <w:b/>
              </w:rPr>
            </w:pPr>
          </w:p>
        </w:tc>
        <w:tc>
          <w:tcPr>
            <w:tcW w:w="53" w:type="dxa"/>
            <w:shd w:val="clear" w:color="auto" w:fill="auto"/>
            <w:vAlign w:val="bottom"/>
          </w:tcPr>
          <w:p w14:paraId="683884C5" w14:textId="77777777" w:rsidR="00A52778" w:rsidRPr="00460F9E" w:rsidRDefault="00A52778" w:rsidP="00FC3F8E">
            <w:pPr>
              <w:spacing w:line="240" w:lineRule="auto"/>
              <w:rPr>
                <w:rFonts w:eastAsia="Times New Roman" w:cs="Times New Roman"/>
                <w:b/>
              </w:rPr>
            </w:pPr>
          </w:p>
        </w:tc>
        <w:tc>
          <w:tcPr>
            <w:tcW w:w="3240" w:type="dxa"/>
            <w:gridSpan w:val="8"/>
            <w:vMerge/>
            <w:tcBorders>
              <w:right w:val="single" w:sz="4" w:space="0" w:color="auto"/>
            </w:tcBorders>
            <w:shd w:val="clear" w:color="auto" w:fill="auto"/>
            <w:vAlign w:val="bottom"/>
          </w:tcPr>
          <w:p w14:paraId="5B4A6EC1" w14:textId="77777777" w:rsidR="00A52778" w:rsidRPr="00460F9E" w:rsidRDefault="00A52778" w:rsidP="00FC3F8E">
            <w:pPr>
              <w:spacing w:line="240" w:lineRule="auto"/>
              <w:rPr>
                <w:rFonts w:eastAsia="Times New Roman" w:cs="Times New Roman"/>
                <w:b/>
              </w:rPr>
            </w:pPr>
          </w:p>
        </w:tc>
        <w:tc>
          <w:tcPr>
            <w:tcW w:w="1020" w:type="dxa"/>
            <w:vMerge/>
            <w:tcBorders>
              <w:left w:val="single" w:sz="4" w:space="0" w:color="auto"/>
              <w:right w:val="single" w:sz="8" w:space="0" w:color="auto"/>
            </w:tcBorders>
            <w:shd w:val="clear" w:color="auto" w:fill="auto"/>
            <w:vAlign w:val="bottom"/>
          </w:tcPr>
          <w:p w14:paraId="5187BF40" w14:textId="77777777" w:rsidR="00A52778" w:rsidRPr="00460F9E" w:rsidRDefault="00A52778" w:rsidP="00FC3F8E">
            <w:pPr>
              <w:spacing w:line="240" w:lineRule="auto"/>
              <w:rPr>
                <w:rFonts w:eastAsia="Times New Roman" w:cs="Times New Roman"/>
                <w:b/>
              </w:rPr>
            </w:pPr>
          </w:p>
        </w:tc>
        <w:tc>
          <w:tcPr>
            <w:tcW w:w="980" w:type="dxa"/>
            <w:shd w:val="clear" w:color="auto" w:fill="auto"/>
            <w:vAlign w:val="bottom"/>
          </w:tcPr>
          <w:p w14:paraId="5FC0CB9F"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025076A5"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63E45049"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48E8F124"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2B77BCC9" w14:textId="77777777" w:rsidR="00A52778" w:rsidRPr="00460F9E" w:rsidRDefault="00A52778" w:rsidP="00FC3F8E">
            <w:pPr>
              <w:spacing w:line="240" w:lineRule="auto"/>
              <w:rPr>
                <w:rFonts w:eastAsia="Times New Roman" w:cs="Times New Roman"/>
                <w:b/>
              </w:rPr>
            </w:pPr>
          </w:p>
        </w:tc>
      </w:tr>
      <w:tr w:rsidR="00A52778" w:rsidRPr="00460F9E" w14:paraId="16AB8941" w14:textId="77777777" w:rsidTr="00FC3F8E">
        <w:trPr>
          <w:trHeight w:val="64"/>
        </w:trPr>
        <w:tc>
          <w:tcPr>
            <w:tcW w:w="380" w:type="dxa"/>
            <w:tcBorders>
              <w:left w:val="single" w:sz="8" w:space="0" w:color="auto"/>
              <w:bottom w:val="single" w:sz="8" w:space="0" w:color="auto"/>
              <w:right w:val="single" w:sz="8" w:space="0" w:color="auto"/>
            </w:tcBorders>
            <w:shd w:val="clear" w:color="auto" w:fill="auto"/>
            <w:vAlign w:val="bottom"/>
          </w:tcPr>
          <w:p w14:paraId="20359979" w14:textId="77777777" w:rsidR="00A52778" w:rsidRPr="00460F9E" w:rsidRDefault="00A52778" w:rsidP="00FC3F8E">
            <w:pPr>
              <w:spacing w:line="240" w:lineRule="auto"/>
              <w:rPr>
                <w:rFonts w:eastAsia="Times New Roman" w:cs="Times New Roman"/>
                <w:b/>
                <w:sz w:val="5"/>
              </w:rPr>
            </w:pPr>
          </w:p>
        </w:tc>
        <w:tc>
          <w:tcPr>
            <w:tcW w:w="1301" w:type="dxa"/>
            <w:tcBorders>
              <w:bottom w:val="single" w:sz="8" w:space="0" w:color="auto"/>
            </w:tcBorders>
            <w:shd w:val="clear" w:color="auto" w:fill="auto"/>
            <w:vAlign w:val="bottom"/>
          </w:tcPr>
          <w:p w14:paraId="434D863B" w14:textId="77777777" w:rsidR="00A52778" w:rsidRPr="00460F9E" w:rsidRDefault="00A52778" w:rsidP="00FC3F8E">
            <w:pPr>
              <w:spacing w:line="240" w:lineRule="auto"/>
              <w:rPr>
                <w:rFonts w:eastAsia="Times New Roman" w:cs="Times New Roman"/>
                <w:b/>
                <w:sz w:val="5"/>
              </w:rPr>
            </w:pPr>
          </w:p>
        </w:tc>
        <w:tc>
          <w:tcPr>
            <w:tcW w:w="426" w:type="dxa"/>
            <w:tcBorders>
              <w:bottom w:val="single" w:sz="8" w:space="0" w:color="auto"/>
              <w:right w:val="single" w:sz="8" w:space="0" w:color="auto"/>
            </w:tcBorders>
            <w:shd w:val="clear" w:color="auto" w:fill="auto"/>
            <w:vAlign w:val="bottom"/>
          </w:tcPr>
          <w:p w14:paraId="10236605" w14:textId="77777777" w:rsidR="00A52778" w:rsidRPr="00460F9E" w:rsidRDefault="00A52778" w:rsidP="00FC3F8E">
            <w:pPr>
              <w:spacing w:line="240" w:lineRule="auto"/>
              <w:rPr>
                <w:rFonts w:eastAsia="Times New Roman" w:cs="Times New Roman"/>
                <w:b/>
                <w:sz w:val="5"/>
              </w:rPr>
            </w:pPr>
          </w:p>
        </w:tc>
        <w:tc>
          <w:tcPr>
            <w:tcW w:w="3293" w:type="dxa"/>
            <w:gridSpan w:val="9"/>
            <w:tcBorders>
              <w:bottom w:val="single" w:sz="8" w:space="0" w:color="auto"/>
              <w:right w:val="single" w:sz="4" w:space="0" w:color="auto"/>
            </w:tcBorders>
            <w:shd w:val="clear" w:color="auto" w:fill="auto"/>
            <w:vAlign w:val="bottom"/>
          </w:tcPr>
          <w:p w14:paraId="390D8677" w14:textId="77777777" w:rsidR="00A52778" w:rsidRPr="00460F9E" w:rsidRDefault="00A52778" w:rsidP="00FC3F8E">
            <w:pPr>
              <w:spacing w:line="240" w:lineRule="auto"/>
              <w:rPr>
                <w:rFonts w:eastAsia="Times New Roman" w:cs="Times New Roman"/>
                <w:b/>
                <w:sz w:val="5"/>
              </w:rPr>
            </w:pPr>
          </w:p>
        </w:tc>
        <w:tc>
          <w:tcPr>
            <w:tcW w:w="1020" w:type="dxa"/>
            <w:tcBorders>
              <w:left w:val="single" w:sz="4" w:space="0" w:color="auto"/>
              <w:bottom w:val="single" w:sz="8" w:space="0" w:color="auto"/>
              <w:right w:val="single" w:sz="8" w:space="0" w:color="auto"/>
            </w:tcBorders>
            <w:shd w:val="clear" w:color="auto" w:fill="auto"/>
            <w:vAlign w:val="bottom"/>
          </w:tcPr>
          <w:p w14:paraId="56EC42FE" w14:textId="77777777" w:rsidR="00A52778" w:rsidRPr="00460F9E" w:rsidRDefault="00A52778" w:rsidP="00FC3F8E">
            <w:pPr>
              <w:spacing w:line="240" w:lineRule="auto"/>
              <w:rPr>
                <w:rFonts w:eastAsia="Times New Roman" w:cs="Times New Roman"/>
                <w:b/>
                <w:sz w:val="5"/>
              </w:rPr>
            </w:pPr>
          </w:p>
        </w:tc>
        <w:tc>
          <w:tcPr>
            <w:tcW w:w="980" w:type="dxa"/>
            <w:tcBorders>
              <w:bottom w:val="single" w:sz="8" w:space="0" w:color="auto"/>
            </w:tcBorders>
            <w:shd w:val="clear" w:color="auto" w:fill="auto"/>
            <w:vAlign w:val="bottom"/>
          </w:tcPr>
          <w:p w14:paraId="40D2FA37" w14:textId="77777777" w:rsidR="00A52778" w:rsidRPr="00460F9E" w:rsidRDefault="00A52778" w:rsidP="00FC3F8E">
            <w:pPr>
              <w:spacing w:line="240" w:lineRule="auto"/>
              <w:rPr>
                <w:rFonts w:eastAsia="Times New Roman" w:cs="Times New Roman"/>
                <w:b/>
                <w:sz w:val="5"/>
              </w:rPr>
            </w:pPr>
          </w:p>
        </w:tc>
        <w:tc>
          <w:tcPr>
            <w:tcW w:w="400" w:type="dxa"/>
            <w:tcBorders>
              <w:bottom w:val="single" w:sz="8" w:space="0" w:color="auto"/>
            </w:tcBorders>
            <w:shd w:val="clear" w:color="auto" w:fill="auto"/>
            <w:vAlign w:val="bottom"/>
          </w:tcPr>
          <w:p w14:paraId="78D5F80D" w14:textId="77777777" w:rsidR="00A52778" w:rsidRPr="00460F9E" w:rsidRDefault="00A52778" w:rsidP="00FC3F8E">
            <w:pPr>
              <w:spacing w:line="240" w:lineRule="auto"/>
              <w:rPr>
                <w:rFonts w:eastAsia="Times New Roman" w:cs="Times New Roman"/>
                <w:b/>
                <w:sz w:val="5"/>
              </w:rPr>
            </w:pPr>
          </w:p>
        </w:tc>
        <w:tc>
          <w:tcPr>
            <w:tcW w:w="480" w:type="dxa"/>
            <w:tcBorders>
              <w:bottom w:val="single" w:sz="8" w:space="0" w:color="auto"/>
            </w:tcBorders>
            <w:shd w:val="clear" w:color="auto" w:fill="auto"/>
            <w:vAlign w:val="bottom"/>
          </w:tcPr>
          <w:p w14:paraId="439A1664" w14:textId="77777777" w:rsidR="00A52778" w:rsidRPr="00460F9E" w:rsidRDefault="00A52778" w:rsidP="00FC3F8E">
            <w:pPr>
              <w:spacing w:line="240" w:lineRule="auto"/>
              <w:rPr>
                <w:rFonts w:eastAsia="Times New Roman" w:cs="Times New Roman"/>
                <w:b/>
                <w:sz w:val="5"/>
              </w:rPr>
            </w:pPr>
          </w:p>
        </w:tc>
        <w:tc>
          <w:tcPr>
            <w:tcW w:w="280" w:type="dxa"/>
            <w:tcBorders>
              <w:bottom w:val="single" w:sz="8" w:space="0" w:color="auto"/>
            </w:tcBorders>
            <w:shd w:val="clear" w:color="auto" w:fill="auto"/>
            <w:vAlign w:val="bottom"/>
          </w:tcPr>
          <w:p w14:paraId="0959C3FC" w14:textId="77777777" w:rsidR="00A52778" w:rsidRPr="00460F9E" w:rsidRDefault="00A52778" w:rsidP="00FC3F8E">
            <w:pPr>
              <w:spacing w:line="240" w:lineRule="auto"/>
              <w:rPr>
                <w:rFonts w:eastAsia="Times New Roman" w:cs="Times New Roman"/>
                <w:b/>
                <w:sz w:val="5"/>
              </w:rPr>
            </w:pPr>
          </w:p>
        </w:tc>
        <w:tc>
          <w:tcPr>
            <w:tcW w:w="560" w:type="dxa"/>
            <w:tcBorders>
              <w:bottom w:val="single" w:sz="8" w:space="0" w:color="auto"/>
              <w:right w:val="single" w:sz="8" w:space="0" w:color="auto"/>
            </w:tcBorders>
            <w:shd w:val="clear" w:color="auto" w:fill="auto"/>
            <w:vAlign w:val="bottom"/>
          </w:tcPr>
          <w:p w14:paraId="53C0633A" w14:textId="77777777" w:rsidR="00A52778" w:rsidRPr="00460F9E" w:rsidRDefault="00A52778" w:rsidP="00FC3F8E">
            <w:pPr>
              <w:spacing w:line="240" w:lineRule="auto"/>
              <w:rPr>
                <w:rFonts w:eastAsia="Times New Roman" w:cs="Times New Roman"/>
                <w:b/>
                <w:sz w:val="5"/>
              </w:rPr>
            </w:pPr>
          </w:p>
        </w:tc>
      </w:tr>
      <w:tr w:rsidR="00A52778" w:rsidRPr="00460F9E" w14:paraId="1C5E2756" w14:textId="77777777" w:rsidTr="00FC3F8E">
        <w:trPr>
          <w:trHeight w:val="214"/>
        </w:trPr>
        <w:tc>
          <w:tcPr>
            <w:tcW w:w="380" w:type="dxa"/>
            <w:tcBorders>
              <w:left w:val="single" w:sz="8" w:space="0" w:color="auto"/>
              <w:right w:val="single" w:sz="8" w:space="0" w:color="auto"/>
            </w:tcBorders>
            <w:shd w:val="clear" w:color="auto" w:fill="auto"/>
            <w:vAlign w:val="bottom"/>
          </w:tcPr>
          <w:p w14:paraId="4DBD4CA4" w14:textId="77777777" w:rsidR="00A52778" w:rsidRPr="00460F9E" w:rsidRDefault="00A52778" w:rsidP="00FC3F8E">
            <w:pPr>
              <w:spacing w:line="240" w:lineRule="auto"/>
              <w:rPr>
                <w:rFonts w:eastAsia="Times New Roman" w:cs="Times New Roman"/>
                <w:b/>
                <w:sz w:val="18"/>
              </w:rPr>
            </w:pPr>
          </w:p>
        </w:tc>
        <w:tc>
          <w:tcPr>
            <w:tcW w:w="1301" w:type="dxa"/>
            <w:shd w:val="clear" w:color="auto" w:fill="auto"/>
            <w:vAlign w:val="bottom"/>
          </w:tcPr>
          <w:p w14:paraId="72321B19" w14:textId="77777777" w:rsidR="00A52778" w:rsidRPr="00460F9E" w:rsidRDefault="00A52778" w:rsidP="00FC3F8E">
            <w:pPr>
              <w:spacing w:line="240" w:lineRule="auto"/>
              <w:rPr>
                <w:rFonts w:eastAsia="Times New Roman" w:cs="Times New Roman"/>
                <w:b/>
                <w:sz w:val="18"/>
              </w:rPr>
            </w:pPr>
          </w:p>
        </w:tc>
        <w:tc>
          <w:tcPr>
            <w:tcW w:w="426" w:type="dxa"/>
            <w:tcBorders>
              <w:right w:val="single" w:sz="8" w:space="0" w:color="auto"/>
            </w:tcBorders>
            <w:shd w:val="clear" w:color="auto" w:fill="auto"/>
            <w:vAlign w:val="bottom"/>
          </w:tcPr>
          <w:p w14:paraId="07468107" w14:textId="77777777" w:rsidR="00A52778" w:rsidRPr="00460F9E" w:rsidRDefault="00A52778" w:rsidP="00FC3F8E">
            <w:pPr>
              <w:spacing w:line="240" w:lineRule="auto"/>
              <w:rPr>
                <w:rFonts w:eastAsia="Times New Roman" w:cs="Times New Roman"/>
                <w:b/>
                <w:sz w:val="18"/>
              </w:rPr>
            </w:pPr>
          </w:p>
        </w:tc>
        <w:tc>
          <w:tcPr>
            <w:tcW w:w="3293" w:type="dxa"/>
            <w:gridSpan w:val="9"/>
            <w:tcBorders>
              <w:right w:val="single" w:sz="4" w:space="0" w:color="auto"/>
            </w:tcBorders>
            <w:shd w:val="clear" w:color="auto" w:fill="auto"/>
          </w:tcPr>
          <w:p w14:paraId="36D08F3C" w14:textId="77777777" w:rsidR="00A52778" w:rsidRPr="00460F9E" w:rsidRDefault="00A52778" w:rsidP="00FC3F8E">
            <w:pPr>
              <w:spacing w:line="240" w:lineRule="auto"/>
              <w:rPr>
                <w:rFonts w:eastAsia="Times New Roman" w:cs="Times New Roman"/>
                <w:b/>
              </w:rPr>
            </w:pPr>
            <w:r w:rsidRPr="00460F9E">
              <w:rPr>
                <w:rFonts w:eastAsia="Times New Roman" w:cs="Times New Roman"/>
              </w:rPr>
              <w:t>Yüksek bütünlüklü ekipmanlar aşağıdakileri içerir, ancak bunlarla sınırlı değildir:</w:t>
            </w:r>
          </w:p>
        </w:tc>
        <w:tc>
          <w:tcPr>
            <w:tcW w:w="1020" w:type="dxa"/>
            <w:tcBorders>
              <w:left w:val="single" w:sz="4" w:space="0" w:color="auto"/>
              <w:right w:val="single" w:sz="8" w:space="0" w:color="auto"/>
            </w:tcBorders>
            <w:shd w:val="clear" w:color="auto" w:fill="auto"/>
            <w:vAlign w:val="bottom"/>
          </w:tcPr>
          <w:p w14:paraId="7A13B248" w14:textId="77777777" w:rsidR="00A52778" w:rsidRPr="00460F9E" w:rsidRDefault="00A52778" w:rsidP="00FC3F8E">
            <w:pPr>
              <w:spacing w:line="240" w:lineRule="auto"/>
              <w:rPr>
                <w:rFonts w:eastAsia="Times New Roman" w:cs="Times New Roman"/>
                <w:b/>
                <w:sz w:val="18"/>
              </w:rPr>
            </w:pPr>
          </w:p>
        </w:tc>
        <w:tc>
          <w:tcPr>
            <w:tcW w:w="980" w:type="dxa"/>
            <w:shd w:val="clear" w:color="auto" w:fill="auto"/>
            <w:vAlign w:val="bottom"/>
          </w:tcPr>
          <w:p w14:paraId="60AB6AEA" w14:textId="77777777" w:rsidR="00A52778" w:rsidRPr="00460F9E" w:rsidRDefault="00A52778" w:rsidP="00FC3F8E">
            <w:pPr>
              <w:spacing w:line="240" w:lineRule="auto"/>
              <w:rPr>
                <w:rFonts w:eastAsia="Times New Roman" w:cs="Times New Roman"/>
                <w:b/>
                <w:sz w:val="18"/>
              </w:rPr>
            </w:pPr>
          </w:p>
        </w:tc>
        <w:tc>
          <w:tcPr>
            <w:tcW w:w="400" w:type="dxa"/>
            <w:shd w:val="clear" w:color="auto" w:fill="auto"/>
            <w:vAlign w:val="bottom"/>
          </w:tcPr>
          <w:p w14:paraId="2B318F77" w14:textId="77777777" w:rsidR="00A52778" w:rsidRPr="00460F9E" w:rsidRDefault="00A52778" w:rsidP="00FC3F8E">
            <w:pPr>
              <w:spacing w:line="240" w:lineRule="auto"/>
              <w:rPr>
                <w:rFonts w:eastAsia="Times New Roman" w:cs="Times New Roman"/>
                <w:b/>
                <w:sz w:val="18"/>
              </w:rPr>
            </w:pPr>
          </w:p>
        </w:tc>
        <w:tc>
          <w:tcPr>
            <w:tcW w:w="480" w:type="dxa"/>
            <w:shd w:val="clear" w:color="auto" w:fill="auto"/>
            <w:vAlign w:val="bottom"/>
          </w:tcPr>
          <w:p w14:paraId="275996C2" w14:textId="77777777" w:rsidR="00A52778" w:rsidRPr="00460F9E" w:rsidRDefault="00A52778" w:rsidP="00FC3F8E">
            <w:pPr>
              <w:spacing w:line="240" w:lineRule="auto"/>
              <w:rPr>
                <w:rFonts w:eastAsia="Times New Roman" w:cs="Times New Roman"/>
                <w:b/>
                <w:sz w:val="18"/>
              </w:rPr>
            </w:pPr>
          </w:p>
        </w:tc>
        <w:tc>
          <w:tcPr>
            <w:tcW w:w="280" w:type="dxa"/>
            <w:shd w:val="clear" w:color="auto" w:fill="auto"/>
            <w:vAlign w:val="bottom"/>
          </w:tcPr>
          <w:p w14:paraId="32F951BD" w14:textId="77777777" w:rsidR="00A52778" w:rsidRPr="00460F9E" w:rsidRDefault="00A52778" w:rsidP="00FC3F8E">
            <w:pPr>
              <w:spacing w:line="240" w:lineRule="auto"/>
              <w:rPr>
                <w:rFonts w:eastAsia="Times New Roman" w:cs="Times New Roman"/>
                <w:b/>
                <w:sz w:val="18"/>
              </w:rPr>
            </w:pPr>
          </w:p>
        </w:tc>
        <w:tc>
          <w:tcPr>
            <w:tcW w:w="560" w:type="dxa"/>
            <w:tcBorders>
              <w:right w:val="single" w:sz="8" w:space="0" w:color="auto"/>
            </w:tcBorders>
            <w:shd w:val="clear" w:color="auto" w:fill="auto"/>
            <w:vAlign w:val="bottom"/>
          </w:tcPr>
          <w:p w14:paraId="21C1A185" w14:textId="77777777" w:rsidR="00A52778" w:rsidRPr="00460F9E" w:rsidRDefault="00A52778" w:rsidP="00FC3F8E">
            <w:pPr>
              <w:spacing w:line="240" w:lineRule="auto"/>
              <w:rPr>
                <w:rFonts w:eastAsia="Times New Roman" w:cs="Times New Roman"/>
                <w:b/>
                <w:sz w:val="18"/>
              </w:rPr>
            </w:pPr>
          </w:p>
        </w:tc>
      </w:tr>
      <w:tr w:rsidR="00A52778" w:rsidRPr="00460F9E" w14:paraId="362647B1" w14:textId="77777777" w:rsidTr="00FC3F8E">
        <w:trPr>
          <w:trHeight w:val="230"/>
        </w:trPr>
        <w:tc>
          <w:tcPr>
            <w:tcW w:w="380" w:type="dxa"/>
            <w:tcBorders>
              <w:left w:val="single" w:sz="8" w:space="0" w:color="auto"/>
              <w:right w:val="single" w:sz="8" w:space="0" w:color="auto"/>
            </w:tcBorders>
            <w:shd w:val="clear" w:color="auto" w:fill="auto"/>
            <w:vAlign w:val="bottom"/>
          </w:tcPr>
          <w:p w14:paraId="6317D4AC"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2446C0CC"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495F24AE" w14:textId="77777777" w:rsidR="00A52778" w:rsidRPr="00460F9E" w:rsidRDefault="00A52778" w:rsidP="00FC3F8E">
            <w:pPr>
              <w:spacing w:line="240" w:lineRule="auto"/>
              <w:rPr>
                <w:rFonts w:eastAsia="Times New Roman" w:cs="Times New Roman"/>
                <w:b/>
              </w:rPr>
            </w:pPr>
          </w:p>
        </w:tc>
        <w:tc>
          <w:tcPr>
            <w:tcW w:w="773" w:type="dxa"/>
            <w:gridSpan w:val="2"/>
            <w:shd w:val="clear" w:color="auto" w:fill="auto"/>
          </w:tcPr>
          <w:p w14:paraId="620F077E" w14:textId="77777777" w:rsidR="00A52778" w:rsidRPr="00460F9E" w:rsidRDefault="00A52778" w:rsidP="00FC3F8E">
            <w:pPr>
              <w:spacing w:line="240" w:lineRule="auto"/>
              <w:rPr>
                <w:rFonts w:eastAsia="Times New Roman" w:cs="Times New Roman"/>
                <w:b/>
              </w:rPr>
            </w:pPr>
          </w:p>
        </w:tc>
        <w:tc>
          <w:tcPr>
            <w:tcW w:w="320" w:type="dxa"/>
            <w:shd w:val="clear" w:color="auto" w:fill="auto"/>
            <w:vAlign w:val="bottom"/>
          </w:tcPr>
          <w:p w14:paraId="759F5645" w14:textId="77777777" w:rsidR="00A52778" w:rsidRPr="00460F9E" w:rsidRDefault="00A52778" w:rsidP="00FC3F8E">
            <w:pPr>
              <w:spacing w:line="240" w:lineRule="auto"/>
              <w:rPr>
                <w:rFonts w:eastAsia="Times New Roman" w:cs="Times New Roman"/>
                <w:b/>
              </w:rPr>
            </w:pPr>
          </w:p>
        </w:tc>
        <w:tc>
          <w:tcPr>
            <w:tcW w:w="320" w:type="dxa"/>
            <w:shd w:val="clear" w:color="auto" w:fill="auto"/>
            <w:vAlign w:val="bottom"/>
          </w:tcPr>
          <w:p w14:paraId="7CBD8BAD"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0EA45A5F" w14:textId="77777777" w:rsidR="00A52778" w:rsidRPr="00460F9E" w:rsidRDefault="00A52778" w:rsidP="00FC3F8E">
            <w:pPr>
              <w:spacing w:line="240" w:lineRule="auto"/>
              <w:rPr>
                <w:rFonts w:eastAsia="Times New Roman" w:cs="Times New Roman"/>
                <w:b/>
              </w:rPr>
            </w:pPr>
          </w:p>
        </w:tc>
        <w:tc>
          <w:tcPr>
            <w:tcW w:w="320" w:type="dxa"/>
            <w:shd w:val="clear" w:color="auto" w:fill="auto"/>
            <w:vAlign w:val="bottom"/>
          </w:tcPr>
          <w:p w14:paraId="522B9EFD"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6E7F3DC1"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2270F9E5" w14:textId="77777777" w:rsidR="00A52778" w:rsidRPr="00460F9E" w:rsidRDefault="00A52778" w:rsidP="00FC3F8E">
            <w:pPr>
              <w:spacing w:line="240" w:lineRule="auto"/>
              <w:rPr>
                <w:rFonts w:eastAsia="Times New Roman" w:cs="Times New Roman"/>
                <w:b/>
              </w:rPr>
            </w:pPr>
          </w:p>
        </w:tc>
        <w:tc>
          <w:tcPr>
            <w:tcW w:w="480" w:type="dxa"/>
            <w:tcBorders>
              <w:right w:val="single" w:sz="4" w:space="0" w:color="auto"/>
            </w:tcBorders>
            <w:shd w:val="clear" w:color="auto" w:fill="auto"/>
            <w:vAlign w:val="bottom"/>
          </w:tcPr>
          <w:p w14:paraId="632F8581" w14:textId="77777777" w:rsidR="00A52778" w:rsidRPr="00460F9E" w:rsidRDefault="00A52778" w:rsidP="00FC3F8E">
            <w:pPr>
              <w:spacing w:line="240" w:lineRule="auto"/>
              <w:rPr>
                <w:rFonts w:eastAsia="Times New Roman" w:cs="Times New Roman"/>
                <w:b/>
              </w:rPr>
            </w:pPr>
          </w:p>
        </w:tc>
        <w:tc>
          <w:tcPr>
            <w:tcW w:w="1020" w:type="dxa"/>
            <w:tcBorders>
              <w:left w:val="single" w:sz="4" w:space="0" w:color="auto"/>
              <w:right w:val="single" w:sz="8" w:space="0" w:color="auto"/>
            </w:tcBorders>
            <w:shd w:val="clear" w:color="auto" w:fill="auto"/>
            <w:vAlign w:val="bottom"/>
          </w:tcPr>
          <w:p w14:paraId="3121925C" w14:textId="77777777" w:rsidR="00A52778" w:rsidRPr="00460F9E" w:rsidRDefault="00A52778" w:rsidP="00FC3F8E">
            <w:pPr>
              <w:spacing w:line="240" w:lineRule="auto"/>
              <w:rPr>
                <w:rFonts w:eastAsia="Times New Roman" w:cs="Times New Roman"/>
                <w:b/>
              </w:rPr>
            </w:pPr>
          </w:p>
        </w:tc>
        <w:tc>
          <w:tcPr>
            <w:tcW w:w="980" w:type="dxa"/>
            <w:shd w:val="clear" w:color="auto" w:fill="auto"/>
            <w:vAlign w:val="bottom"/>
          </w:tcPr>
          <w:p w14:paraId="6FF8ADDC"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3232B3FA"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5E2F5CC1"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5A063745"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3B834622" w14:textId="77777777" w:rsidR="00A52778" w:rsidRPr="00460F9E" w:rsidRDefault="00A52778" w:rsidP="00FC3F8E">
            <w:pPr>
              <w:spacing w:line="240" w:lineRule="auto"/>
              <w:rPr>
                <w:rFonts w:eastAsia="Times New Roman" w:cs="Times New Roman"/>
                <w:b/>
              </w:rPr>
            </w:pPr>
          </w:p>
        </w:tc>
      </w:tr>
      <w:tr w:rsidR="00A52778" w:rsidRPr="00460F9E" w14:paraId="3CB3261B" w14:textId="77777777" w:rsidTr="00FC3F8E">
        <w:trPr>
          <w:trHeight w:val="305"/>
        </w:trPr>
        <w:tc>
          <w:tcPr>
            <w:tcW w:w="380" w:type="dxa"/>
            <w:tcBorders>
              <w:left w:val="single" w:sz="8" w:space="0" w:color="auto"/>
              <w:right w:val="single" w:sz="8" w:space="0" w:color="auto"/>
            </w:tcBorders>
            <w:shd w:val="clear" w:color="auto" w:fill="auto"/>
            <w:vAlign w:val="bottom"/>
          </w:tcPr>
          <w:p w14:paraId="759913C2"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0C97FE1A"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3DFBF267" w14:textId="77777777" w:rsidR="00A52778" w:rsidRPr="00460F9E" w:rsidRDefault="00A52778" w:rsidP="00FC3F8E">
            <w:pPr>
              <w:spacing w:line="240" w:lineRule="auto"/>
              <w:rPr>
                <w:rFonts w:eastAsia="Times New Roman" w:cs="Times New Roman"/>
                <w:b/>
              </w:rPr>
            </w:pPr>
          </w:p>
        </w:tc>
        <w:tc>
          <w:tcPr>
            <w:tcW w:w="53" w:type="dxa"/>
            <w:shd w:val="clear" w:color="auto" w:fill="auto"/>
            <w:vAlign w:val="bottom"/>
          </w:tcPr>
          <w:p w14:paraId="058F33C9" w14:textId="77777777" w:rsidR="00A52778" w:rsidRPr="00460F9E" w:rsidRDefault="00A52778" w:rsidP="00FC3F8E">
            <w:pPr>
              <w:spacing w:line="240" w:lineRule="auto"/>
              <w:rPr>
                <w:rFonts w:eastAsia="Times New Roman" w:cs="Times New Roman"/>
                <w:b/>
                <w:sz w:val="20"/>
              </w:rPr>
            </w:pPr>
          </w:p>
        </w:tc>
        <w:tc>
          <w:tcPr>
            <w:tcW w:w="3240" w:type="dxa"/>
            <w:gridSpan w:val="8"/>
            <w:vMerge w:val="restart"/>
            <w:tcBorders>
              <w:right w:val="single" w:sz="4" w:space="0" w:color="auto"/>
            </w:tcBorders>
            <w:shd w:val="clear" w:color="auto" w:fill="auto"/>
          </w:tcPr>
          <w:p w14:paraId="61C25BBE" w14:textId="77777777" w:rsidR="00A52778" w:rsidRPr="00460F9E" w:rsidRDefault="00A52778" w:rsidP="00FC3F8E">
            <w:pPr>
              <w:spacing w:line="240" w:lineRule="auto"/>
              <w:ind w:left="140"/>
              <w:rPr>
                <w:rFonts w:eastAsia="Times New Roman" w:cs="Times New Roman"/>
                <w:b/>
              </w:rPr>
            </w:pPr>
            <w:r w:rsidRPr="00460F9E">
              <w:rPr>
                <w:rFonts w:eastAsia="Times New Roman" w:cs="Times New Roman"/>
              </w:rPr>
              <w:t>- körüklü vanalar veya çift salmastra</w:t>
            </w:r>
          </w:p>
          <w:p w14:paraId="78466AED" w14:textId="77777777" w:rsidR="00A52778" w:rsidRPr="00460F9E" w:rsidRDefault="00A52778" w:rsidP="00FC3F8E">
            <w:pPr>
              <w:spacing w:line="240" w:lineRule="auto"/>
              <w:ind w:left="140"/>
              <w:rPr>
                <w:rFonts w:eastAsia="Times New Roman" w:cs="Times New Roman"/>
                <w:b/>
              </w:rPr>
            </w:pPr>
            <w:r w:rsidRPr="00460F9E">
              <w:rPr>
                <w:rFonts w:eastAsia="Times New Roman" w:cs="Times New Roman"/>
              </w:rPr>
              <w:t xml:space="preserve">  contalar veya eşit derecede etkili   </w:t>
            </w:r>
          </w:p>
          <w:p w14:paraId="4080FD4F" w14:textId="77777777" w:rsidR="00A52778" w:rsidRPr="00460F9E" w:rsidRDefault="00A52778" w:rsidP="00FC3F8E">
            <w:pPr>
              <w:spacing w:line="240" w:lineRule="auto"/>
              <w:ind w:left="140"/>
              <w:rPr>
                <w:rFonts w:eastAsia="Times New Roman" w:cs="Times New Roman"/>
                <w:b/>
              </w:rPr>
            </w:pPr>
            <w:r w:rsidRPr="00460F9E">
              <w:rPr>
                <w:rFonts w:eastAsia="Times New Roman" w:cs="Times New Roman"/>
              </w:rPr>
              <w:t xml:space="preserve">  başka ekipmanlar;</w:t>
            </w:r>
          </w:p>
        </w:tc>
        <w:tc>
          <w:tcPr>
            <w:tcW w:w="1020" w:type="dxa"/>
            <w:tcBorders>
              <w:left w:val="single" w:sz="4" w:space="0" w:color="auto"/>
              <w:right w:val="single" w:sz="8" w:space="0" w:color="auto"/>
            </w:tcBorders>
            <w:shd w:val="clear" w:color="auto" w:fill="auto"/>
            <w:vAlign w:val="bottom"/>
          </w:tcPr>
          <w:p w14:paraId="2F82993D" w14:textId="77777777" w:rsidR="00A52778" w:rsidRPr="00460F9E" w:rsidRDefault="00A52778" w:rsidP="00FC3F8E">
            <w:pPr>
              <w:spacing w:line="240" w:lineRule="auto"/>
              <w:rPr>
                <w:rFonts w:eastAsia="Times New Roman" w:cs="Times New Roman"/>
                <w:b/>
              </w:rPr>
            </w:pPr>
          </w:p>
        </w:tc>
        <w:tc>
          <w:tcPr>
            <w:tcW w:w="980" w:type="dxa"/>
            <w:shd w:val="clear" w:color="auto" w:fill="auto"/>
            <w:vAlign w:val="bottom"/>
          </w:tcPr>
          <w:p w14:paraId="403D9553"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159654AA"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433ACA7C"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4176D0E3"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06386624" w14:textId="77777777" w:rsidR="00A52778" w:rsidRPr="00460F9E" w:rsidRDefault="00A52778" w:rsidP="00FC3F8E">
            <w:pPr>
              <w:spacing w:line="240" w:lineRule="auto"/>
              <w:rPr>
                <w:rFonts w:eastAsia="Times New Roman" w:cs="Times New Roman"/>
                <w:b/>
              </w:rPr>
            </w:pPr>
          </w:p>
        </w:tc>
      </w:tr>
      <w:tr w:rsidR="00A52778" w:rsidRPr="00460F9E" w14:paraId="75436EE7" w14:textId="77777777" w:rsidTr="00FC3F8E">
        <w:trPr>
          <w:trHeight w:val="230"/>
        </w:trPr>
        <w:tc>
          <w:tcPr>
            <w:tcW w:w="380" w:type="dxa"/>
            <w:tcBorders>
              <w:left w:val="single" w:sz="8" w:space="0" w:color="auto"/>
              <w:right w:val="single" w:sz="8" w:space="0" w:color="auto"/>
            </w:tcBorders>
            <w:shd w:val="clear" w:color="auto" w:fill="auto"/>
            <w:vAlign w:val="bottom"/>
          </w:tcPr>
          <w:p w14:paraId="3FC9A809"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36402D06"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570C0B28" w14:textId="77777777" w:rsidR="00A52778" w:rsidRPr="00460F9E" w:rsidRDefault="00A52778" w:rsidP="00FC3F8E">
            <w:pPr>
              <w:spacing w:line="240" w:lineRule="auto"/>
              <w:rPr>
                <w:rFonts w:eastAsia="Times New Roman" w:cs="Times New Roman"/>
                <w:b/>
              </w:rPr>
            </w:pPr>
          </w:p>
        </w:tc>
        <w:tc>
          <w:tcPr>
            <w:tcW w:w="53" w:type="dxa"/>
            <w:shd w:val="clear" w:color="auto" w:fill="auto"/>
            <w:vAlign w:val="bottom"/>
          </w:tcPr>
          <w:p w14:paraId="0414DE6B" w14:textId="77777777" w:rsidR="00A52778" w:rsidRPr="00460F9E" w:rsidRDefault="00A52778" w:rsidP="00FC3F8E">
            <w:pPr>
              <w:spacing w:line="240" w:lineRule="auto"/>
              <w:rPr>
                <w:rFonts w:eastAsia="Times New Roman" w:cs="Times New Roman"/>
                <w:b/>
              </w:rPr>
            </w:pPr>
          </w:p>
        </w:tc>
        <w:tc>
          <w:tcPr>
            <w:tcW w:w="3240" w:type="dxa"/>
            <w:gridSpan w:val="8"/>
            <w:vMerge/>
            <w:tcBorders>
              <w:right w:val="single" w:sz="4" w:space="0" w:color="auto"/>
            </w:tcBorders>
            <w:shd w:val="clear" w:color="auto" w:fill="auto"/>
          </w:tcPr>
          <w:p w14:paraId="2FA55D07" w14:textId="77777777" w:rsidR="00A52778" w:rsidRPr="00460F9E" w:rsidRDefault="00A52778" w:rsidP="00FC3F8E">
            <w:pPr>
              <w:spacing w:line="240" w:lineRule="auto"/>
              <w:ind w:left="140"/>
              <w:rPr>
                <w:rFonts w:eastAsia="Times New Roman" w:cs="Times New Roman"/>
                <w:b/>
              </w:rPr>
            </w:pPr>
          </w:p>
        </w:tc>
        <w:tc>
          <w:tcPr>
            <w:tcW w:w="1020" w:type="dxa"/>
            <w:tcBorders>
              <w:left w:val="single" w:sz="4" w:space="0" w:color="auto"/>
              <w:right w:val="single" w:sz="8" w:space="0" w:color="auto"/>
            </w:tcBorders>
            <w:shd w:val="clear" w:color="auto" w:fill="auto"/>
            <w:vAlign w:val="bottom"/>
          </w:tcPr>
          <w:p w14:paraId="75EEAB2F" w14:textId="77777777" w:rsidR="00A52778" w:rsidRPr="00460F9E" w:rsidRDefault="00A52778" w:rsidP="00FC3F8E">
            <w:pPr>
              <w:spacing w:line="240" w:lineRule="auto"/>
              <w:rPr>
                <w:rFonts w:eastAsia="Times New Roman" w:cs="Times New Roman"/>
                <w:b/>
              </w:rPr>
            </w:pPr>
          </w:p>
        </w:tc>
        <w:tc>
          <w:tcPr>
            <w:tcW w:w="980" w:type="dxa"/>
            <w:shd w:val="clear" w:color="auto" w:fill="auto"/>
            <w:vAlign w:val="bottom"/>
          </w:tcPr>
          <w:p w14:paraId="602A1B84"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4A6E7117"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09F56CE7"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275FA2D3"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1AF64861" w14:textId="77777777" w:rsidR="00A52778" w:rsidRPr="00460F9E" w:rsidRDefault="00A52778" w:rsidP="00FC3F8E">
            <w:pPr>
              <w:spacing w:line="240" w:lineRule="auto"/>
              <w:rPr>
                <w:rFonts w:eastAsia="Times New Roman" w:cs="Times New Roman"/>
                <w:b/>
              </w:rPr>
            </w:pPr>
          </w:p>
        </w:tc>
      </w:tr>
      <w:tr w:rsidR="00A52778" w:rsidRPr="00460F9E" w14:paraId="3CB83FFD" w14:textId="77777777" w:rsidTr="00FC3F8E">
        <w:trPr>
          <w:trHeight w:val="305"/>
        </w:trPr>
        <w:tc>
          <w:tcPr>
            <w:tcW w:w="380" w:type="dxa"/>
            <w:tcBorders>
              <w:left w:val="single" w:sz="8" w:space="0" w:color="auto"/>
              <w:right w:val="single" w:sz="8" w:space="0" w:color="auto"/>
            </w:tcBorders>
            <w:shd w:val="clear" w:color="auto" w:fill="auto"/>
            <w:vAlign w:val="bottom"/>
          </w:tcPr>
          <w:p w14:paraId="37028091"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760AFCD6"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1E92867F" w14:textId="77777777" w:rsidR="00A52778" w:rsidRPr="00460F9E" w:rsidRDefault="00A52778" w:rsidP="00FC3F8E">
            <w:pPr>
              <w:spacing w:line="240" w:lineRule="auto"/>
              <w:rPr>
                <w:rFonts w:eastAsia="Times New Roman" w:cs="Times New Roman"/>
                <w:b/>
              </w:rPr>
            </w:pPr>
          </w:p>
        </w:tc>
        <w:tc>
          <w:tcPr>
            <w:tcW w:w="53" w:type="dxa"/>
            <w:shd w:val="clear" w:color="auto" w:fill="auto"/>
            <w:vAlign w:val="bottom"/>
          </w:tcPr>
          <w:p w14:paraId="763E6736" w14:textId="77777777" w:rsidR="00A52778" w:rsidRPr="00460F9E" w:rsidRDefault="00A52778" w:rsidP="00FC3F8E">
            <w:pPr>
              <w:spacing w:line="240" w:lineRule="auto"/>
              <w:rPr>
                <w:rFonts w:eastAsia="Times New Roman" w:cs="Times New Roman"/>
                <w:b/>
              </w:rPr>
            </w:pPr>
          </w:p>
        </w:tc>
        <w:tc>
          <w:tcPr>
            <w:tcW w:w="3240" w:type="dxa"/>
            <w:gridSpan w:val="8"/>
            <w:vMerge w:val="restart"/>
            <w:tcBorders>
              <w:right w:val="single" w:sz="8" w:space="0" w:color="auto"/>
            </w:tcBorders>
            <w:shd w:val="clear" w:color="auto" w:fill="auto"/>
            <w:vAlign w:val="bottom"/>
          </w:tcPr>
          <w:p w14:paraId="530A81D8" w14:textId="77777777" w:rsidR="00A52778" w:rsidRPr="00460F9E" w:rsidRDefault="00A52778" w:rsidP="00FC3F8E">
            <w:pPr>
              <w:spacing w:line="240" w:lineRule="auto"/>
              <w:ind w:left="140"/>
              <w:rPr>
                <w:rFonts w:eastAsia="Times New Roman" w:cs="Times New Roman"/>
                <w:b/>
              </w:rPr>
            </w:pPr>
            <w:r w:rsidRPr="00460F9E">
              <w:rPr>
                <w:rFonts w:eastAsia="Times New Roman" w:cs="Times New Roman"/>
              </w:rPr>
              <w:t xml:space="preserve">- manyetik tahrikli veya salmastrasız </w:t>
            </w:r>
          </w:p>
          <w:p w14:paraId="552425CB" w14:textId="77777777" w:rsidR="00A52778" w:rsidRPr="00460F9E" w:rsidRDefault="00A52778" w:rsidP="00FC3F8E">
            <w:pPr>
              <w:spacing w:line="240" w:lineRule="auto"/>
              <w:ind w:left="140"/>
              <w:rPr>
                <w:rFonts w:eastAsia="Times New Roman" w:cs="Times New Roman"/>
                <w:b/>
              </w:rPr>
            </w:pPr>
            <w:r w:rsidRPr="00460F9E">
              <w:rPr>
                <w:rFonts w:eastAsia="Times New Roman" w:cs="Times New Roman"/>
              </w:rPr>
              <w:t xml:space="preserve">  pompalar/kompresörler/karıştırıcılar </w:t>
            </w:r>
          </w:p>
          <w:p w14:paraId="66CAACEB" w14:textId="77777777" w:rsidR="00A52778" w:rsidRPr="00460F9E" w:rsidRDefault="00A52778" w:rsidP="00FC3F8E">
            <w:pPr>
              <w:spacing w:line="240" w:lineRule="auto"/>
              <w:ind w:left="140"/>
              <w:rPr>
                <w:rFonts w:eastAsia="Times New Roman" w:cs="Times New Roman"/>
                <w:b/>
              </w:rPr>
            </w:pPr>
            <w:r w:rsidRPr="00460F9E">
              <w:rPr>
                <w:rFonts w:eastAsia="Times New Roman" w:cs="Times New Roman"/>
              </w:rPr>
              <w:t xml:space="preserve">  veya çift conta ve sıvı bariyeri </w:t>
            </w:r>
          </w:p>
          <w:p w14:paraId="08589ADA" w14:textId="77777777" w:rsidR="00A52778" w:rsidRPr="00460F9E" w:rsidRDefault="00A52778" w:rsidP="00FC3F8E">
            <w:pPr>
              <w:spacing w:line="240" w:lineRule="auto"/>
              <w:ind w:left="140"/>
              <w:rPr>
                <w:rFonts w:eastAsia="Times New Roman" w:cs="Times New Roman"/>
                <w:b/>
              </w:rPr>
            </w:pPr>
            <w:r w:rsidRPr="00460F9E">
              <w:rPr>
                <w:rFonts w:eastAsia="Times New Roman" w:cs="Times New Roman"/>
              </w:rPr>
              <w:t xml:space="preserve">  kullanan pompalar/kompresörler/ </w:t>
            </w:r>
          </w:p>
          <w:p w14:paraId="4A394AC0" w14:textId="77777777" w:rsidR="00A52778" w:rsidRPr="00460F9E" w:rsidRDefault="00A52778" w:rsidP="00FC3F8E">
            <w:pPr>
              <w:spacing w:line="240" w:lineRule="auto"/>
              <w:ind w:left="140"/>
              <w:rPr>
                <w:rFonts w:eastAsia="Times New Roman" w:cs="Times New Roman"/>
                <w:b/>
              </w:rPr>
            </w:pPr>
            <w:r w:rsidRPr="00460F9E">
              <w:rPr>
                <w:rFonts w:eastAsia="Times New Roman" w:cs="Times New Roman"/>
              </w:rPr>
              <w:t xml:space="preserve">  karıştırıcılar;</w:t>
            </w:r>
          </w:p>
          <w:p w14:paraId="12F59260" w14:textId="77777777" w:rsidR="00A52778" w:rsidRPr="00460F9E" w:rsidRDefault="00A52778" w:rsidP="00FC3F8E">
            <w:pPr>
              <w:spacing w:line="240" w:lineRule="auto"/>
              <w:ind w:left="140"/>
              <w:rPr>
                <w:rFonts w:eastAsia="Times New Roman" w:cs="Times New Roman"/>
                <w:b/>
              </w:rPr>
            </w:pPr>
            <w:r w:rsidRPr="00460F9E">
              <w:rPr>
                <w:rFonts w:eastAsia="Times New Roman" w:cs="Times New Roman"/>
              </w:rPr>
              <w:t xml:space="preserve">- e. şıkkındaki tekniğe göre sıkılmış </w:t>
            </w:r>
          </w:p>
          <w:p w14:paraId="71FD328E" w14:textId="77777777" w:rsidR="00A52778" w:rsidRPr="00460F9E" w:rsidRDefault="00A52778" w:rsidP="00FC3F8E">
            <w:pPr>
              <w:spacing w:line="240" w:lineRule="auto"/>
              <w:ind w:left="140"/>
              <w:rPr>
                <w:rFonts w:eastAsia="Times New Roman" w:cs="Times New Roman"/>
                <w:b/>
              </w:rPr>
            </w:pPr>
            <w:r w:rsidRPr="00460F9E">
              <w:rPr>
                <w:rFonts w:eastAsia="Times New Roman" w:cs="Times New Roman"/>
              </w:rPr>
              <w:t xml:space="preserve">  ve sertifikalandırılmış yüksek kaliteli </w:t>
            </w:r>
          </w:p>
          <w:p w14:paraId="19896EF2" w14:textId="77777777" w:rsidR="00A52778" w:rsidRPr="00460F9E" w:rsidRDefault="00A52778" w:rsidP="00FC3F8E">
            <w:pPr>
              <w:spacing w:line="240" w:lineRule="auto"/>
              <w:ind w:left="140"/>
              <w:rPr>
                <w:rFonts w:eastAsia="Times New Roman" w:cs="Times New Roman"/>
                <w:b/>
              </w:rPr>
            </w:pPr>
            <w:r w:rsidRPr="00460F9E">
              <w:rPr>
                <w:rFonts w:eastAsia="Times New Roman" w:cs="Times New Roman"/>
              </w:rPr>
              <w:t xml:space="preserve">  contalar (örn. EN 13555' e göre);</w:t>
            </w:r>
          </w:p>
          <w:p w14:paraId="4871E90B"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 kapalı numune alma sistemi.</w:t>
            </w:r>
          </w:p>
          <w:p w14:paraId="55062E80" w14:textId="77777777" w:rsidR="00A52778" w:rsidRPr="00460F9E" w:rsidRDefault="00A52778" w:rsidP="00FC3F8E">
            <w:pPr>
              <w:spacing w:line="240" w:lineRule="auto"/>
              <w:rPr>
                <w:rFonts w:eastAsia="Times New Roman" w:cs="Times New Roman"/>
                <w:b/>
              </w:rPr>
            </w:pPr>
          </w:p>
        </w:tc>
        <w:tc>
          <w:tcPr>
            <w:tcW w:w="1020" w:type="dxa"/>
            <w:tcBorders>
              <w:left w:val="single" w:sz="8" w:space="0" w:color="auto"/>
              <w:right w:val="single" w:sz="8" w:space="0" w:color="auto"/>
            </w:tcBorders>
            <w:shd w:val="clear" w:color="auto" w:fill="auto"/>
            <w:vAlign w:val="bottom"/>
          </w:tcPr>
          <w:p w14:paraId="6932C6BB" w14:textId="77777777" w:rsidR="00A52778" w:rsidRPr="00460F9E" w:rsidRDefault="00A52778" w:rsidP="00FC3F8E">
            <w:pPr>
              <w:spacing w:line="240" w:lineRule="auto"/>
              <w:rPr>
                <w:rFonts w:eastAsia="Times New Roman" w:cs="Times New Roman"/>
                <w:b/>
              </w:rPr>
            </w:pPr>
          </w:p>
        </w:tc>
        <w:tc>
          <w:tcPr>
            <w:tcW w:w="980" w:type="dxa"/>
            <w:shd w:val="clear" w:color="auto" w:fill="auto"/>
            <w:vAlign w:val="bottom"/>
          </w:tcPr>
          <w:p w14:paraId="5BFED2CB"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59E98DEF"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6FF70202"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7214EE0D"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27FD5525" w14:textId="77777777" w:rsidR="00A52778" w:rsidRPr="00460F9E" w:rsidRDefault="00A52778" w:rsidP="00FC3F8E">
            <w:pPr>
              <w:spacing w:line="240" w:lineRule="auto"/>
              <w:rPr>
                <w:rFonts w:eastAsia="Times New Roman" w:cs="Times New Roman"/>
                <w:b/>
              </w:rPr>
            </w:pPr>
          </w:p>
        </w:tc>
      </w:tr>
      <w:tr w:rsidR="00A52778" w:rsidRPr="00460F9E" w14:paraId="78385FA3" w14:textId="77777777" w:rsidTr="00FC3F8E">
        <w:trPr>
          <w:trHeight w:val="228"/>
        </w:trPr>
        <w:tc>
          <w:tcPr>
            <w:tcW w:w="380" w:type="dxa"/>
            <w:tcBorders>
              <w:left w:val="single" w:sz="8" w:space="0" w:color="auto"/>
              <w:right w:val="single" w:sz="8" w:space="0" w:color="auto"/>
            </w:tcBorders>
            <w:shd w:val="clear" w:color="auto" w:fill="auto"/>
            <w:vAlign w:val="bottom"/>
          </w:tcPr>
          <w:p w14:paraId="037B94B2" w14:textId="77777777" w:rsidR="00A52778" w:rsidRPr="00460F9E" w:rsidRDefault="00A52778" w:rsidP="00FC3F8E">
            <w:pPr>
              <w:spacing w:line="240" w:lineRule="auto"/>
              <w:rPr>
                <w:rFonts w:eastAsia="Times New Roman" w:cs="Times New Roman"/>
                <w:b/>
                <w:sz w:val="19"/>
              </w:rPr>
            </w:pPr>
          </w:p>
        </w:tc>
        <w:tc>
          <w:tcPr>
            <w:tcW w:w="1301" w:type="dxa"/>
            <w:shd w:val="clear" w:color="auto" w:fill="auto"/>
            <w:vAlign w:val="bottom"/>
          </w:tcPr>
          <w:p w14:paraId="37042497" w14:textId="77777777" w:rsidR="00A52778" w:rsidRPr="00460F9E" w:rsidRDefault="00A52778" w:rsidP="00FC3F8E">
            <w:pPr>
              <w:spacing w:line="240" w:lineRule="auto"/>
              <w:rPr>
                <w:rFonts w:eastAsia="Times New Roman" w:cs="Times New Roman"/>
                <w:b/>
                <w:sz w:val="19"/>
              </w:rPr>
            </w:pPr>
          </w:p>
        </w:tc>
        <w:tc>
          <w:tcPr>
            <w:tcW w:w="426" w:type="dxa"/>
            <w:tcBorders>
              <w:right w:val="single" w:sz="8" w:space="0" w:color="auto"/>
            </w:tcBorders>
            <w:shd w:val="clear" w:color="auto" w:fill="auto"/>
            <w:vAlign w:val="bottom"/>
          </w:tcPr>
          <w:p w14:paraId="34FC89FA" w14:textId="77777777" w:rsidR="00A52778" w:rsidRPr="00460F9E" w:rsidRDefault="00A52778" w:rsidP="00FC3F8E">
            <w:pPr>
              <w:spacing w:line="240" w:lineRule="auto"/>
              <w:rPr>
                <w:rFonts w:eastAsia="Times New Roman" w:cs="Times New Roman"/>
                <w:b/>
                <w:sz w:val="19"/>
              </w:rPr>
            </w:pPr>
          </w:p>
        </w:tc>
        <w:tc>
          <w:tcPr>
            <w:tcW w:w="53" w:type="dxa"/>
            <w:shd w:val="clear" w:color="auto" w:fill="auto"/>
            <w:vAlign w:val="bottom"/>
          </w:tcPr>
          <w:p w14:paraId="5745FC7B" w14:textId="77777777" w:rsidR="00A52778" w:rsidRPr="00460F9E" w:rsidRDefault="00A52778" w:rsidP="00FC3F8E">
            <w:pPr>
              <w:spacing w:line="240" w:lineRule="auto"/>
              <w:rPr>
                <w:rFonts w:eastAsia="Times New Roman" w:cs="Times New Roman"/>
                <w:b/>
                <w:sz w:val="19"/>
              </w:rPr>
            </w:pPr>
          </w:p>
        </w:tc>
        <w:tc>
          <w:tcPr>
            <w:tcW w:w="3240" w:type="dxa"/>
            <w:gridSpan w:val="8"/>
            <w:vMerge/>
            <w:tcBorders>
              <w:right w:val="single" w:sz="8" w:space="0" w:color="auto"/>
            </w:tcBorders>
            <w:shd w:val="clear" w:color="auto" w:fill="auto"/>
            <w:vAlign w:val="bottom"/>
          </w:tcPr>
          <w:p w14:paraId="32F3F185" w14:textId="77777777" w:rsidR="00A52778" w:rsidRPr="00460F9E" w:rsidRDefault="00A52778" w:rsidP="00FC3F8E">
            <w:pPr>
              <w:spacing w:line="240" w:lineRule="auto"/>
              <w:rPr>
                <w:rFonts w:eastAsia="Times New Roman" w:cs="Times New Roman"/>
                <w:b/>
              </w:rPr>
            </w:pPr>
          </w:p>
        </w:tc>
        <w:tc>
          <w:tcPr>
            <w:tcW w:w="1020" w:type="dxa"/>
            <w:tcBorders>
              <w:left w:val="single" w:sz="8" w:space="0" w:color="auto"/>
              <w:right w:val="single" w:sz="8" w:space="0" w:color="auto"/>
            </w:tcBorders>
            <w:shd w:val="clear" w:color="auto" w:fill="auto"/>
            <w:vAlign w:val="bottom"/>
          </w:tcPr>
          <w:p w14:paraId="5385584D" w14:textId="77777777" w:rsidR="00A52778" w:rsidRPr="00460F9E" w:rsidRDefault="00A52778" w:rsidP="00FC3F8E">
            <w:pPr>
              <w:spacing w:line="240" w:lineRule="auto"/>
              <w:rPr>
                <w:rFonts w:eastAsia="Times New Roman" w:cs="Times New Roman"/>
                <w:b/>
                <w:sz w:val="19"/>
              </w:rPr>
            </w:pPr>
          </w:p>
        </w:tc>
        <w:tc>
          <w:tcPr>
            <w:tcW w:w="980" w:type="dxa"/>
            <w:shd w:val="clear" w:color="auto" w:fill="auto"/>
            <w:vAlign w:val="bottom"/>
          </w:tcPr>
          <w:p w14:paraId="3D996BC6" w14:textId="77777777" w:rsidR="00A52778" w:rsidRPr="00460F9E" w:rsidRDefault="00A52778" w:rsidP="00FC3F8E">
            <w:pPr>
              <w:spacing w:line="240" w:lineRule="auto"/>
              <w:rPr>
                <w:rFonts w:eastAsia="Times New Roman" w:cs="Times New Roman"/>
                <w:b/>
                <w:sz w:val="19"/>
              </w:rPr>
            </w:pPr>
          </w:p>
        </w:tc>
        <w:tc>
          <w:tcPr>
            <w:tcW w:w="400" w:type="dxa"/>
            <w:shd w:val="clear" w:color="auto" w:fill="auto"/>
            <w:vAlign w:val="bottom"/>
          </w:tcPr>
          <w:p w14:paraId="41C850B0" w14:textId="77777777" w:rsidR="00A52778" w:rsidRPr="00460F9E" w:rsidRDefault="00A52778" w:rsidP="00FC3F8E">
            <w:pPr>
              <w:spacing w:line="240" w:lineRule="auto"/>
              <w:rPr>
                <w:rFonts w:eastAsia="Times New Roman" w:cs="Times New Roman"/>
                <w:b/>
                <w:sz w:val="19"/>
              </w:rPr>
            </w:pPr>
          </w:p>
        </w:tc>
        <w:tc>
          <w:tcPr>
            <w:tcW w:w="480" w:type="dxa"/>
            <w:shd w:val="clear" w:color="auto" w:fill="auto"/>
            <w:vAlign w:val="bottom"/>
          </w:tcPr>
          <w:p w14:paraId="3CCC4DE6" w14:textId="77777777" w:rsidR="00A52778" w:rsidRPr="00460F9E" w:rsidRDefault="00A52778" w:rsidP="00FC3F8E">
            <w:pPr>
              <w:spacing w:line="240" w:lineRule="auto"/>
              <w:rPr>
                <w:rFonts w:eastAsia="Times New Roman" w:cs="Times New Roman"/>
                <w:b/>
                <w:sz w:val="19"/>
              </w:rPr>
            </w:pPr>
          </w:p>
        </w:tc>
        <w:tc>
          <w:tcPr>
            <w:tcW w:w="280" w:type="dxa"/>
            <w:shd w:val="clear" w:color="auto" w:fill="auto"/>
            <w:vAlign w:val="bottom"/>
          </w:tcPr>
          <w:p w14:paraId="04D541DB" w14:textId="77777777" w:rsidR="00A52778" w:rsidRPr="00460F9E" w:rsidRDefault="00A52778" w:rsidP="00FC3F8E">
            <w:pPr>
              <w:spacing w:line="240" w:lineRule="auto"/>
              <w:rPr>
                <w:rFonts w:eastAsia="Times New Roman" w:cs="Times New Roman"/>
                <w:b/>
                <w:sz w:val="19"/>
              </w:rPr>
            </w:pPr>
          </w:p>
        </w:tc>
        <w:tc>
          <w:tcPr>
            <w:tcW w:w="560" w:type="dxa"/>
            <w:tcBorders>
              <w:right w:val="single" w:sz="8" w:space="0" w:color="auto"/>
            </w:tcBorders>
            <w:shd w:val="clear" w:color="auto" w:fill="auto"/>
            <w:vAlign w:val="bottom"/>
          </w:tcPr>
          <w:p w14:paraId="044C251C" w14:textId="77777777" w:rsidR="00A52778" w:rsidRPr="00460F9E" w:rsidRDefault="00A52778" w:rsidP="00FC3F8E">
            <w:pPr>
              <w:spacing w:line="240" w:lineRule="auto"/>
              <w:rPr>
                <w:rFonts w:eastAsia="Times New Roman" w:cs="Times New Roman"/>
                <w:b/>
                <w:sz w:val="19"/>
              </w:rPr>
            </w:pPr>
          </w:p>
        </w:tc>
      </w:tr>
      <w:tr w:rsidR="00A52778" w:rsidRPr="00460F9E" w14:paraId="42AE4A2C" w14:textId="77777777" w:rsidTr="00FC3F8E">
        <w:trPr>
          <w:trHeight w:val="230"/>
        </w:trPr>
        <w:tc>
          <w:tcPr>
            <w:tcW w:w="380" w:type="dxa"/>
            <w:tcBorders>
              <w:left w:val="single" w:sz="8" w:space="0" w:color="auto"/>
              <w:right w:val="single" w:sz="8" w:space="0" w:color="auto"/>
            </w:tcBorders>
            <w:shd w:val="clear" w:color="auto" w:fill="auto"/>
            <w:vAlign w:val="bottom"/>
          </w:tcPr>
          <w:p w14:paraId="25B9E076"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66E4C63D"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7195F4EA" w14:textId="77777777" w:rsidR="00A52778" w:rsidRPr="00460F9E" w:rsidRDefault="00A52778" w:rsidP="00FC3F8E">
            <w:pPr>
              <w:spacing w:line="240" w:lineRule="auto"/>
              <w:rPr>
                <w:rFonts w:eastAsia="Times New Roman" w:cs="Times New Roman"/>
                <w:b/>
              </w:rPr>
            </w:pPr>
          </w:p>
        </w:tc>
        <w:tc>
          <w:tcPr>
            <w:tcW w:w="53" w:type="dxa"/>
            <w:shd w:val="clear" w:color="auto" w:fill="auto"/>
            <w:vAlign w:val="bottom"/>
          </w:tcPr>
          <w:p w14:paraId="20E19E49" w14:textId="77777777" w:rsidR="00A52778" w:rsidRPr="00460F9E" w:rsidRDefault="00A52778" w:rsidP="00FC3F8E">
            <w:pPr>
              <w:spacing w:line="240" w:lineRule="auto"/>
              <w:rPr>
                <w:rFonts w:eastAsia="Times New Roman" w:cs="Times New Roman"/>
                <w:b/>
              </w:rPr>
            </w:pPr>
          </w:p>
        </w:tc>
        <w:tc>
          <w:tcPr>
            <w:tcW w:w="3240" w:type="dxa"/>
            <w:gridSpan w:val="8"/>
            <w:vMerge/>
            <w:tcBorders>
              <w:right w:val="single" w:sz="8" w:space="0" w:color="auto"/>
            </w:tcBorders>
            <w:shd w:val="clear" w:color="auto" w:fill="auto"/>
            <w:vAlign w:val="bottom"/>
          </w:tcPr>
          <w:p w14:paraId="0A8211F1" w14:textId="77777777" w:rsidR="00A52778" w:rsidRPr="00460F9E" w:rsidRDefault="00A52778" w:rsidP="00FC3F8E">
            <w:pPr>
              <w:spacing w:line="240" w:lineRule="auto"/>
              <w:rPr>
                <w:rFonts w:eastAsia="Times New Roman" w:cs="Times New Roman"/>
                <w:b/>
              </w:rPr>
            </w:pPr>
          </w:p>
        </w:tc>
        <w:tc>
          <w:tcPr>
            <w:tcW w:w="1020" w:type="dxa"/>
            <w:tcBorders>
              <w:right w:val="single" w:sz="8" w:space="0" w:color="auto"/>
            </w:tcBorders>
            <w:shd w:val="clear" w:color="auto" w:fill="auto"/>
            <w:vAlign w:val="bottom"/>
          </w:tcPr>
          <w:p w14:paraId="3AF6FF9A" w14:textId="77777777" w:rsidR="00A52778" w:rsidRPr="00460F9E" w:rsidRDefault="00A52778" w:rsidP="00FC3F8E">
            <w:pPr>
              <w:spacing w:line="240" w:lineRule="auto"/>
              <w:rPr>
                <w:rFonts w:eastAsia="Times New Roman" w:cs="Times New Roman"/>
                <w:b/>
              </w:rPr>
            </w:pPr>
          </w:p>
        </w:tc>
        <w:tc>
          <w:tcPr>
            <w:tcW w:w="980" w:type="dxa"/>
            <w:shd w:val="clear" w:color="auto" w:fill="auto"/>
            <w:vAlign w:val="bottom"/>
          </w:tcPr>
          <w:p w14:paraId="30B88180"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314CDB13"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6C7D3DFE"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1BC02E2A"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36B7C285" w14:textId="77777777" w:rsidR="00A52778" w:rsidRPr="00460F9E" w:rsidRDefault="00A52778" w:rsidP="00FC3F8E">
            <w:pPr>
              <w:spacing w:line="240" w:lineRule="auto"/>
              <w:rPr>
                <w:rFonts w:eastAsia="Times New Roman" w:cs="Times New Roman"/>
                <w:b/>
              </w:rPr>
            </w:pPr>
          </w:p>
        </w:tc>
      </w:tr>
      <w:tr w:rsidR="00A52778" w:rsidRPr="00460F9E" w14:paraId="3AF6B17A" w14:textId="77777777" w:rsidTr="00FC3F8E">
        <w:trPr>
          <w:trHeight w:val="230"/>
        </w:trPr>
        <w:tc>
          <w:tcPr>
            <w:tcW w:w="380" w:type="dxa"/>
            <w:tcBorders>
              <w:left w:val="single" w:sz="8" w:space="0" w:color="auto"/>
              <w:right w:val="single" w:sz="8" w:space="0" w:color="auto"/>
            </w:tcBorders>
            <w:shd w:val="clear" w:color="auto" w:fill="auto"/>
            <w:vAlign w:val="bottom"/>
          </w:tcPr>
          <w:p w14:paraId="33605C5E"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12C44896"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0F214C15" w14:textId="77777777" w:rsidR="00A52778" w:rsidRPr="00460F9E" w:rsidRDefault="00A52778" w:rsidP="00FC3F8E">
            <w:pPr>
              <w:spacing w:line="240" w:lineRule="auto"/>
              <w:rPr>
                <w:rFonts w:eastAsia="Times New Roman" w:cs="Times New Roman"/>
                <w:b/>
              </w:rPr>
            </w:pPr>
          </w:p>
        </w:tc>
        <w:tc>
          <w:tcPr>
            <w:tcW w:w="53" w:type="dxa"/>
            <w:shd w:val="clear" w:color="auto" w:fill="auto"/>
            <w:vAlign w:val="bottom"/>
          </w:tcPr>
          <w:p w14:paraId="0B706DD7" w14:textId="77777777" w:rsidR="00A52778" w:rsidRPr="00460F9E" w:rsidRDefault="00A52778" w:rsidP="00FC3F8E">
            <w:pPr>
              <w:spacing w:line="240" w:lineRule="auto"/>
              <w:rPr>
                <w:rFonts w:eastAsia="Times New Roman" w:cs="Times New Roman"/>
                <w:b/>
              </w:rPr>
            </w:pPr>
          </w:p>
        </w:tc>
        <w:tc>
          <w:tcPr>
            <w:tcW w:w="3240" w:type="dxa"/>
            <w:gridSpan w:val="8"/>
            <w:vMerge/>
            <w:tcBorders>
              <w:right w:val="single" w:sz="8" w:space="0" w:color="auto"/>
            </w:tcBorders>
            <w:shd w:val="clear" w:color="auto" w:fill="auto"/>
            <w:vAlign w:val="bottom"/>
          </w:tcPr>
          <w:p w14:paraId="73328B06" w14:textId="77777777" w:rsidR="00A52778" w:rsidRPr="00460F9E" w:rsidRDefault="00A52778" w:rsidP="00FC3F8E">
            <w:pPr>
              <w:spacing w:line="240" w:lineRule="auto"/>
              <w:rPr>
                <w:rFonts w:eastAsia="Times New Roman" w:cs="Times New Roman"/>
                <w:b/>
              </w:rPr>
            </w:pPr>
          </w:p>
        </w:tc>
        <w:tc>
          <w:tcPr>
            <w:tcW w:w="1020" w:type="dxa"/>
            <w:tcBorders>
              <w:left w:val="single" w:sz="8" w:space="0" w:color="auto"/>
              <w:right w:val="single" w:sz="8" w:space="0" w:color="auto"/>
            </w:tcBorders>
            <w:shd w:val="clear" w:color="auto" w:fill="auto"/>
            <w:vAlign w:val="bottom"/>
          </w:tcPr>
          <w:p w14:paraId="750C4EAD" w14:textId="77777777" w:rsidR="00A52778" w:rsidRPr="00460F9E" w:rsidRDefault="00A52778" w:rsidP="00FC3F8E">
            <w:pPr>
              <w:spacing w:line="240" w:lineRule="auto"/>
              <w:rPr>
                <w:rFonts w:eastAsia="Times New Roman" w:cs="Times New Roman"/>
                <w:b/>
              </w:rPr>
            </w:pPr>
          </w:p>
        </w:tc>
        <w:tc>
          <w:tcPr>
            <w:tcW w:w="980" w:type="dxa"/>
            <w:shd w:val="clear" w:color="auto" w:fill="auto"/>
            <w:vAlign w:val="bottom"/>
          </w:tcPr>
          <w:p w14:paraId="74333975"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6C302C05"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0F15B906"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4F67E2BC"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5F72320B" w14:textId="77777777" w:rsidR="00A52778" w:rsidRPr="00460F9E" w:rsidRDefault="00A52778" w:rsidP="00FC3F8E">
            <w:pPr>
              <w:spacing w:line="240" w:lineRule="auto"/>
              <w:rPr>
                <w:rFonts w:eastAsia="Times New Roman" w:cs="Times New Roman"/>
                <w:b/>
              </w:rPr>
            </w:pPr>
          </w:p>
        </w:tc>
      </w:tr>
      <w:tr w:rsidR="00A52778" w:rsidRPr="00460F9E" w14:paraId="6B21C35B" w14:textId="77777777" w:rsidTr="00FC3F8E">
        <w:trPr>
          <w:trHeight w:val="305"/>
        </w:trPr>
        <w:tc>
          <w:tcPr>
            <w:tcW w:w="380" w:type="dxa"/>
            <w:tcBorders>
              <w:left w:val="single" w:sz="8" w:space="0" w:color="auto"/>
              <w:right w:val="single" w:sz="8" w:space="0" w:color="auto"/>
            </w:tcBorders>
            <w:shd w:val="clear" w:color="auto" w:fill="auto"/>
            <w:vAlign w:val="bottom"/>
          </w:tcPr>
          <w:p w14:paraId="25037B3A"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119B14C0"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0577B177" w14:textId="77777777" w:rsidR="00A52778" w:rsidRPr="00460F9E" w:rsidRDefault="00A52778" w:rsidP="00FC3F8E">
            <w:pPr>
              <w:spacing w:line="240" w:lineRule="auto"/>
              <w:rPr>
                <w:rFonts w:eastAsia="Times New Roman" w:cs="Times New Roman"/>
                <w:b/>
              </w:rPr>
            </w:pPr>
          </w:p>
        </w:tc>
        <w:tc>
          <w:tcPr>
            <w:tcW w:w="53" w:type="dxa"/>
            <w:shd w:val="clear" w:color="auto" w:fill="auto"/>
            <w:vAlign w:val="bottom"/>
          </w:tcPr>
          <w:p w14:paraId="5BDFE00C" w14:textId="77777777" w:rsidR="00A52778" w:rsidRPr="00460F9E" w:rsidRDefault="00A52778" w:rsidP="00FC3F8E">
            <w:pPr>
              <w:spacing w:line="240" w:lineRule="auto"/>
              <w:rPr>
                <w:rFonts w:eastAsia="Times New Roman" w:cs="Times New Roman"/>
                <w:b/>
              </w:rPr>
            </w:pPr>
          </w:p>
        </w:tc>
        <w:tc>
          <w:tcPr>
            <w:tcW w:w="3240" w:type="dxa"/>
            <w:gridSpan w:val="8"/>
            <w:vMerge/>
            <w:tcBorders>
              <w:right w:val="single" w:sz="8" w:space="0" w:color="auto"/>
            </w:tcBorders>
            <w:shd w:val="clear" w:color="auto" w:fill="auto"/>
            <w:vAlign w:val="bottom"/>
          </w:tcPr>
          <w:p w14:paraId="36A30094" w14:textId="77777777" w:rsidR="00A52778" w:rsidRPr="00460F9E" w:rsidRDefault="00A52778" w:rsidP="00FC3F8E">
            <w:pPr>
              <w:spacing w:line="240" w:lineRule="auto"/>
              <w:rPr>
                <w:rFonts w:eastAsia="Times New Roman" w:cs="Times New Roman"/>
                <w:b/>
              </w:rPr>
            </w:pPr>
          </w:p>
        </w:tc>
        <w:tc>
          <w:tcPr>
            <w:tcW w:w="1020" w:type="dxa"/>
            <w:tcBorders>
              <w:right w:val="single" w:sz="8" w:space="0" w:color="auto"/>
            </w:tcBorders>
            <w:shd w:val="clear" w:color="auto" w:fill="auto"/>
            <w:vAlign w:val="bottom"/>
          </w:tcPr>
          <w:p w14:paraId="265A0DE7" w14:textId="77777777" w:rsidR="00A52778" w:rsidRPr="00460F9E" w:rsidRDefault="00A52778" w:rsidP="00FC3F8E">
            <w:pPr>
              <w:spacing w:line="240" w:lineRule="auto"/>
              <w:rPr>
                <w:rFonts w:eastAsia="Times New Roman" w:cs="Times New Roman"/>
                <w:b/>
              </w:rPr>
            </w:pPr>
          </w:p>
        </w:tc>
        <w:tc>
          <w:tcPr>
            <w:tcW w:w="980" w:type="dxa"/>
            <w:shd w:val="clear" w:color="auto" w:fill="auto"/>
            <w:vAlign w:val="bottom"/>
          </w:tcPr>
          <w:p w14:paraId="67D40C1D"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4CE1B363"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09ABCAAA"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1E8A8C3D"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4432C7A4" w14:textId="77777777" w:rsidR="00A52778" w:rsidRPr="00460F9E" w:rsidRDefault="00A52778" w:rsidP="00FC3F8E">
            <w:pPr>
              <w:spacing w:line="240" w:lineRule="auto"/>
              <w:rPr>
                <w:rFonts w:eastAsia="Times New Roman" w:cs="Times New Roman"/>
                <w:b/>
              </w:rPr>
            </w:pPr>
          </w:p>
        </w:tc>
      </w:tr>
      <w:tr w:rsidR="00A52778" w:rsidRPr="00460F9E" w14:paraId="679A8FFF" w14:textId="77777777" w:rsidTr="00FC3F8E">
        <w:trPr>
          <w:trHeight w:val="230"/>
        </w:trPr>
        <w:tc>
          <w:tcPr>
            <w:tcW w:w="380" w:type="dxa"/>
            <w:tcBorders>
              <w:left w:val="single" w:sz="8" w:space="0" w:color="auto"/>
              <w:right w:val="single" w:sz="8" w:space="0" w:color="auto"/>
            </w:tcBorders>
            <w:shd w:val="clear" w:color="auto" w:fill="auto"/>
            <w:vAlign w:val="bottom"/>
          </w:tcPr>
          <w:p w14:paraId="09505FAA"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6B72BBEC"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2BA02B4C" w14:textId="77777777" w:rsidR="00A52778" w:rsidRPr="00460F9E" w:rsidRDefault="00A52778" w:rsidP="00FC3F8E">
            <w:pPr>
              <w:spacing w:line="240" w:lineRule="auto"/>
              <w:rPr>
                <w:rFonts w:eastAsia="Times New Roman" w:cs="Times New Roman"/>
                <w:b/>
              </w:rPr>
            </w:pPr>
          </w:p>
        </w:tc>
        <w:tc>
          <w:tcPr>
            <w:tcW w:w="53" w:type="dxa"/>
            <w:shd w:val="clear" w:color="auto" w:fill="auto"/>
            <w:vAlign w:val="bottom"/>
          </w:tcPr>
          <w:p w14:paraId="3AA9BF14" w14:textId="77777777" w:rsidR="00A52778" w:rsidRPr="00460F9E" w:rsidRDefault="00A52778" w:rsidP="00FC3F8E">
            <w:pPr>
              <w:spacing w:line="240" w:lineRule="auto"/>
              <w:rPr>
                <w:rFonts w:eastAsia="Times New Roman" w:cs="Times New Roman"/>
                <w:b/>
              </w:rPr>
            </w:pPr>
          </w:p>
        </w:tc>
        <w:tc>
          <w:tcPr>
            <w:tcW w:w="3240" w:type="dxa"/>
            <w:gridSpan w:val="8"/>
            <w:vMerge/>
            <w:tcBorders>
              <w:right w:val="single" w:sz="8" w:space="0" w:color="auto"/>
            </w:tcBorders>
            <w:shd w:val="clear" w:color="auto" w:fill="auto"/>
            <w:vAlign w:val="bottom"/>
          </w:tcPr>
          <w:p w14:paraId="1D142C26" w14:textId="77777777" w:rsidR="00A52778" w:rsidRPr="00460F9E" w:rsidRDefault="00A52778" w:rsidP="00FC3F8E">
            <w:pPr>
              <w:spacing w:line="240" w:lineRule="auto"/>
              <w:rPr>
                <w:rFonts w:eastAsia="Times New Roman" w:cs="Times New Roman"/>
                <w:b/>
              </w:rPr>
            </w:pPr>
          </w:p>
        </w:tc>
        <w:tc>
          <w:tcPr>
            <w:tcW w:w="1020" w:type="dxa"/>
            <w:tcBorders>
              <w:left w:val="single" w:sz="8" w:space="0" w:color="auto"/>
              <w:right w:val="single" w:sz="8" w:space="0" w:color="auto"/>
            </w:tcBorders>
            <w:shd w:val="clear" w:color="auto" w:fill="auto"/>
            <w:vAlign w:val="bottom"/>
          </w:tcPr>
          <w:p w14:paraId="29EE6507" w14:textId="77777777" w:rsidR="00A52778" w:rsidRPr="00460F9E" w:rsidRDefault="00A52778" w:rsidP="00FC3F8E">
            <w:pPr>
              <w:spacing w:line="240" w:lineRule="auto"/>
              <w:rPr>
                <w:rFonts w:eastAsia="Times New Roman" w:cs="Times New Roman"/>
                <w:b/>
              </w:rPr>
            </w:pPr>
          </w:p>
        </w:tc>
        <w:tc>
          <w:tcPr>
            <w:tcW w:w="980" w:type="dxa"/>
            <w:shd w:val="clear" w:color="auto" w:fill="auto"/>
            <w:vAlign w:val="bottom"/>
          </w:tcPr>
          <w:p w14:paraId="39A6925D"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4649C4F0"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17150C26"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1D7FC2EE"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4965F5FC" w14:textId="77777777" w:rsidR="00A52778" w:rsidRPr="00460F9E" w:rsidRDefault="00A52778" w:rsidP="00FC3F8E">
            <w:pPr>
              <w:spacing w:line="240" w:lineRule="auto"/>
              <w:rPr>
                <w:rFonts w:eastAsia="Times New Roman" w:cs="Times New Roman"/>
                <w:b/>
              </w:rPr>
            </w:pPr>
          </w:p>
        </w:tc>
      </w:tr>
      <w:tr w:rsidR="00A52778" w:rsidRPr="00460F9E" w14:paraId="07C8D927" w14:textId="77777777" w:rsidTr="00FC3F8E">
        <w:trPr>
          <w:trHeight w:val="242"/>
        </w:trPr>
        <w:tc>
          <w:tcPr>
            <w:tcW w:w="380" w:type="dxa"/>
            <w:tcBorders>
              <w:left w:val="single" w:sz="8" w:space="0" w:color="auto"/>
              <w:right w:val="single" w:sz="8" w:space="0" w:color="auto"/>
            </w:tcBorders>
            <w:shd w:val="clear" w:color="auto" w:fill="auto"/>
            <w:vAlign w:val="bottom"/>
          </w:tcPr>
          <w:p w14:paraId="2F932678" w14:textId="77777777" w:rsidR="00A52778" w:rsidRPr="00460F9E" w:rsidRDefault="00A52778" w:rsidP="00FC3F8E">
            <w:pPr>
              <w:spacing w:line="240" w:lineRule="auto"/>
              <w:rPr>
                <w:rFonts w:eastAsia="Times New Roman" w:cs="Times New Roman"/>
                <w:b/>
                <w:sz w:val="21"/>
              </w:rPr>
            </w:pPr>
          </w:p>
        </w:tc>
        <w:tc>
          <w:tcPr>
            <w:tcW w:w="1301" w:type="dxa"/>
            <w:shd w:val="clear" w:color="auto" w:fill="auto"/>
            <w:vAlign w:val="bottom"/>
          </w:tcPr>
          <w:p w14:paraId="3B379499" w14:textId="77777777" w:rsidR="00A52778" w:rsidRPr="00460F9E" w:rsidRDefault="00A52778" w:rsidP="00FC3F8E">
            <w:pPr>
              <w:spacing w:line="240" w:lineRule="auto"/>
              <w:rPr>
                <w:rFonts w:eastAsia="Times New Roman" w:cs="Times New Roman"/>
                <w:b/>
                <w:sz w:val="21"/>
              </w:rPr>
            </w:pPr>
          </w:p>
        </w:tc>
        <w:tc>
          <w:tcPr>
            <w:tcW w:w="426" w:type="dxa"/>
            <w:tcBorders>
              <w:right w:val="single" w:sz="8" w:space="0" w:color="auto"/>
            </w:tcBorders>
            <w:shd w:val="clear" w:color="auto" w:fill="auto"/>
            <w:vAlign w:val="bottom"/>
          </w:tcPr>
          <w:p w14:paraId="5E4C849A" w14:textId="77777777" w:rsidR="00A52778" w:rsidRPr="00460F9E" w:rsidRDefault="00A52778" w:rsidP="00FC3F8E">
            <w:pPr>
              <w:spacing w:line="240" w:lineRule="auto"/>
              <w:rPr>
                <w:rFonts w:eastAsia="Times New Roman" w:cs="Times New Roman"/>
                <w:b/>
                <w:sz w:val="21"/>
              </w:rPr>
            </w:pPr>
          </w:p>
        </w:tc>
        <w:tc>
          <w:tcPr>
            <w:tcW w:w="53" w:type="dxa"/>
            <w:shd w:val="clear" w:color="auto" w:fill="auto"/>
            <w:vAlign w:val="bottom"/>
          </w:tcPr>
          <w:p w14:paraId="3887EBAD" w14:textId="77777777" w:rsidR="00A52778" w:rsidRPr="00460F9E" w:rsidRDefault="00A52778" w:rsidP="00FC3F8E">
            <w:pPr>
              <w:spacing w:line="240" w:lineRule="auto"/>
              <w:rPr>
                <w:rFonts w:eastAsia="Times New Roman" w:cs="Times New Roman"/>
                <w:b/>
                <w:sz w:val="21"/>
              </w:rPr>
            </w:pPr>
          </w:p>
        </w:tc>
        <w:tc>
          <w:tcPr>
            <w:tcW w:w="3240" w:type="dxa"/>
            <w:gridSpan w:val="8"/>
            <w:vMerge/>
            <w:tcBorders>
              <w:right w:val="single" w:sz="8" w:space="0" w:color="auto"/>
            </w:tcBorders>
            <w:shd w:val="clear" w:color="auto" w:fill="auto"/>
            <w:vAlign w:val="bottom"/>
          </w:tcPr>
          <w:p w14:paraId="51691C9F" w14:textId="77777777" w:rsidR="00A52778" w:rsidRPr="00460F9E" w:rsidRDefault="00A52778" w:rsidP="00FC3F8E">
            <w:pPr>
              <w:spacing w:line="240" w:lineRule="auto"/>
              <w:rPr>
                <w:rFonts w:eastAsia="Times New Roman" w:cs="Times New Roman"/>
                <w:b/>
              </w:rPr>
            </w:pPr>
          </w:p>
        </w:tc>
        <w:tc>
          <w:tcPr>
            <w:tcW w:w="1020" w:type="dxa"/>
            <w:tcBorders>
              <w:right w:val="single" w:sz="8" w:space="0" w:color="auto"/>
            </w:tcBorders>
            <w:shd w:val="clear" w:color="auto" w:fill="auto"/>
            <w:vAlign w:val="bottom"/>
          </w:tcPr>
          <w:p w14:paraId="487BD242" w14:textId="77777777" w:rsidR="00A52778" w:rsidRPr="00460F9E" w:rsidRDefault="00A52778" w:rsidP="00FC3F8E">
            <w:pPr>
              <w:spacing w:line="240" w:lineRule="auto"/>
              <w:rPr>
                <w:rFonts w:eastAsia="Times New Roman" w:cs="Times New Roman"/>
                <w:b/>
                <w:sz w:val="21"/>
              </w:rPr>
            </w:pPr>
          </w:p>
        </w:tc>
        <w:tc>
          <w:tcPr>
            <w:tcW w:w="2700" w:type="dxa"/>
            <w:gridSpan w:val="5"/>
            <w:vMerge w:val="restart"/>
            <w:tcBorders>
              <w:right w:val="single" w:sz="8" w:space="0" w:color="auto"/>
            </w:tcBorders>
            <w:shd w:val="clear" w:color="auto" w:fill="auto"/>
            <w:vAlign w:val="bottom"/>
          </w:tcPr>
          <w:p w14:paraId="513E074A"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Mevcut tesisler söz konusu   </w:t>
            </w:r>
          </w:p>
          <w:p w14:paraId="53AA8F81"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olduğunda uygulanabilirliği   </w:t>
            </w:r>
          </w:p>
          <w:p w14:paraId="515017BC"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operasyonel kısıtlamalarla </w:t>
            </w:r>
          </w:p>
          <w:p w14:paraId="08AB7944"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sınırlandırılabilir.</w:t>
            </w:r>
          </w:p>
          <w:p w14:paraId="3557E3BF" w14:textId="77777777" w:rsidR="00A52778" w:rsidRPr="00460F9E" w:rsidRDefault="00A52778" w:rsidP="00FC3F8E">
            <w:pPr>
              <w:spacing w:line="240" w:lineRule="auto"/>
              <w:rPr>
                <w:rFonts w:eastAsia="Times New Roman" w:cs="Times New Roman"/>
                <w:b/>
              </w:rPr>
            </w:pPr>
          </w:p>
        </w:tc>
      </w:tr>
      <w:tr w:rsidR="00A52778" w:rsidRPr="00460F9E" w14:paraId="750D22F3" w14:textId="77777777" w:rsidTr="00FC3F8E">
        <w:trPr>
          <w:trHeight w:val="228"/>
        </w:trPr>
        <w:tc>
          <w:tcPr>
            <w:tcW w:w="380" w:type="dxa"/>
            <w:tcBorders>
              <w:left w:val="single" w:sz="8" w:space="0" w:color="auto"/>
              <w:right w:val="single" w:sz="8" w:space="0" w:color="auto"/>
            </w:tcBorders>
            <w:shd w:val="clear" w:color="auto" w:fill="auto"/>
            <w:vAlign w:val="bottom"/>
          </w:tcPr>
          <w:p w14:paraId="3F3F5A93" w14:textId="77777777" w:rsidR="00A52778" w:rsidRPr="00460F9E" w:rsidRDefault="00A52778" w:rsidP="00FC3F8E">
            <w:pPr>
              <w:spacing w:line="240" w:lineRule="auto"/>
              <w:rPr>
                <w:rFonts w:eastAsia="Times New Roman" w:cs="Times New Roman"/>
                <w:b/>
                <w:sz w:val="19"/>
              </w:rPr>
            </w:pPr>
          </w:p>
        </w:tc>
        <w:tc>
          <w:tcPr>
            <w:tcW w:w="1301" w:type="dxa"/>
            <w:shd w:val="clear" w:color="auto" w:fill="auto"/>
            <w:vAlign w:val="bottom"/>
          </w:tcPr>
          <w:p w14:paraId="7C829616" w14:textId="77777777" w:rsidR="00A52778" w:rsidRPr="00460F9E" w:rsidRDefault="00A52778" w:rsidP="00FC3F8E">
            <w:pPr>
              <w:spacing w:line="240" w:lineRule="auto"/>
              <w:rPr>
                <w:rFonts w:eastAsia="Times New Roman" w:cs="Times New Roman"/>
                <w:b/>
                <w:sz w:val="19"/>
              </w:rPr>
            </w:pPr>
          </w:p>
        </w:tc>
        <w:tc>
          <w:tcPr>
            <w:tcW w:w="426" w:type="dxa"/>
            <w:tcBorders>
              <w:right w:val="single" w:sz="8" w:space="0" w:color="auto"/>
            </w:tcBorders>
            <w:shd w:val="clear" w:color="auto" w:fill="auto"/>
            <w:vAlign w:val="bottom"/>
          </w:tcPr>
          <w:p w14:paraId="38C4BE48" w14:textId="77777777" w:rsidR="00A52778" w:rsidRPr="00460F9E" w:rsidRDefault="00A52778" w:rsidP="00FC3F8E">
            <w:pPr>
              <w:spacing w:line="240" w:lineRule="auto"/>
              <w:rPr>
                <w:rFonts w:eastAsia="Times New Roman" w:cs="Times New Roman"/>
                <w:b/>
                <w:sz w:val="19"/>
              </w:rPr>
            </w:pPr>
          </w:p>
        </w:tc>
        <w:tc>
          <w:tcPr>
            <w:tcW w:w="53" w:type="dxa"/>
            <w:vMerge w:val="restart"/>
            <w:shd w:val="clear" w:color="auto" w:fill="auto"/>
            <w:vAlign w:val="bottom"/>
          </w:tcPr>
          <w:p w14:paraId="6EC4A665" w14:textId="77777777" w:rsidR="00A52778" w:rsidRPr="00460F9E" w:rsidRDefault="00A52778" w:rsidP="00FC3F8E">
            <w:pPr>
              <w:spacing w:line="240" w:lineRule="auto"/>
              <w:rPr>
                <w:rFonts w:eastAsia="Times New Roman" w:cs="Times New Roman"/>
                <w:b/>
                <w:sz w:val="19"/>
              </w:rPr>
            </w:pPr>
          </w:p>
        </w:tc>
        <w:tc>
          <w:tcPr>
            <w:tcW w:w="3240" w:type="dxa"/>
            <w:gridSpan w:val="8"/>
            <w:vMerge/>
            <w:tcBorders>
              <w:right w:val="single" w:sz="8" w:space="0" w:color="auto"/>
            </w:tcBorders>
            <w:shd w:val="clear" w:color="auto" w:fill="auto"/>
            <w:vAlign w:val="bottom"/>
          </w:tcPr>
          <w:p w14:paraId="09307385" w14:textId="77777777" w:rsidR="00A52778" w:rsidRPr="00460F9E" w:rsidRDefault="00A52778" w:rsidP="00FC3F8E">
            <w:pPr>
              <w:spacing w:line="240" w:lineRule="auto"/>
              <w:rPr>
                <w:rFonts w:eastAsia="Times New Roman" w:cs="Times New Roman"/>
                <w:b/>
                <w:sz w:val="19"/>
              </w:rPr>
            </w:pPr>
          </w:p>
        </w:tc>
        <w:tc>
          <w:tcPr>
            <w:tcW w:w="1020" w:type="dxa"/>
            <w:tcBorders>
              <w:left w:val="single" w:sz="8" w:space="0" w:color="auto"/>
              <w:right w:val="single" w:sz="8" w:space="0" w:color="auto"/>
            </w:tcBorders>
            <w:shd w:val="clear" w:color="auto" w:fill="auto"/>
            <w:vAlign w:val="bottom"/>
          </w:tcPr>
          <w:p w14:paraId="22CC6E7D" w14:textId="77777777" w:rsidR="00A52778" w:rsidRPr="00460F9E" w:rsidRDefault="00A52778" w:rsidP="00FC3F8E">
            <w:pPr>
              <w:spacing w:line="240" w:lineRule="auto"/>
              <w:rPr>
                <w:rFonts w:eastAsia="Times New Roman" w:cs="Times New Roman"/>
                <w:b/>
                <w:sz w:val="19"/>
              </w:rPr>
            </w:pPr>
          </w:p>
        </w:tc>
        <w:tc>
          <w:tcPr>
            <w:tcW w:w="2700" w:type="dxa"/>
            <w:gridSpan w:val="5"/>
            <w:vMerge/>
            <w:tcBorders>
              <w:right w:val="single" w:sz="8" w:space="0" w:color="auto"/>
            </w:tcBorders>
            <w:shd w:val="clear" w:color="auto" w:fill="auto"/>
            <w:vAlign w:val="bottom"/>
          </w:tcPr>
          <w:p w14:paraId="17B77B98" w14:textId="77777777" w:rsidR="00A52778" w:rsidRPr="00460F9E" w:rsidRDefault="00A52778" w:rsidP="00FC3F8E">
            <w:pPr>
              <w:spacing w:line="240" w:lineRule="auto"/>
              <w:rPr>
                <w:rFonts w:eastAsia="Times New Roman" w:cs="Times New Roman"/>
                <w:b/>
              </w:rPr>
            </w:pPr>
          </w:p>
        </w:tc>
      </w:tr>
      <w:tr w:rsidR="00A52778" w:rsidRPr="00460F9E" w14:paraId="69A625D1" w14:textId="77777777" w:rsidTr="00FC3F8E">
        <w:trPr>
          <w:trHeight w:val="188"/>
        </w:trPr>
        <w:tc>
          <w:tcPr>
            <w:tcW w:w="380" w:type="dxa"/>
            <w:tcBorders>
              <w:left w:val="single" w:sz="8" w:space="0" w:color="auto"/>
              <w:right w:val="single" w:sz="8" w:space="0" w:color="auto"/>
            </w:tcBorders>
            <w:shd w:val="clear" w:color="auto" w:fill="auto"/>
            <w:vAlign w:val="bottom"/>
          </w:tcPr>
          <w:p w14:paraId="1402AEFA" w14:textId="77777777" w:rsidR="00A52778" w:rsidRPr="00460F9E" w:rsidRDefault="00A52778" w:rsidP="00FC3F8E">
            <w:pPr>
              <w:spacing w:line="240" w:lineRule="auto"/>
              <w:rPr>
                <w:rFonts w:eastAsia="Times New Roman" w:cs="Times New Roman"/>
                <w:b/>
                <w:sz w:val="16"/>
              </w:rPr>
            </w:pPr>
          </w:p>
        </w:tc>
        <w:tc>
          <w:tcPr>
            <w:tcW w:w="1727" w:type="dxa"/>
            <w:gridSpan w:val="2"/>
            <w:vMerge w:val="restart"/>
            <w:tcBorders>
              <w:right w:val="single" w:sz="8" w:space="0" w:color="auto"/>
            </w:tcBorders>
            <w:shd w:val="clear" w:color="auto" w:fill="auto"/>
            <w:vAlign w:val="bottom"/>
          </w:tcPr>
          <w:p w14:paraId="45FF7979" w14:textId="77777777" w:rsidR="00A52778" w:rsidRPr="00460F9E" w:rsidRDefault="00A52778" w:rsidP="00FC3F8E">
            <w:pPr>
              <w:spacing w:line="240" w:lineRule="auto"/>
              <w:ind w:left="100"/>
              <w:rPr>
                <w:rFonts w:eastAsia="Times New Roman" w:cs="Times New Roman"/>
                <w:b/>
              </w:rPr>
            </w:pPr>
            <w:r w:rsidRPr="00460F9E">
              <w:rPr>
                <w:rFonts w:eastAsia="Times New Roman" w:cs="Times New Roman"/>
              </w:rPr>
              <w:t>Yüksek bütünlüklü ekipmanların kullanımı</w:t>
            </w:r>
          </w:p>
        </w:tc>
        <w:tc>
          <w:tcPr>
            <w:tcW w:w="53" w:type="dxa"/>
            <w:vMerge/>
            <w:shd w:val="clear" w:color="auto" w:fill="auto"/>
            <w:vAlign w:val="bottom"/>
          </w:tcPr>
          <w:p w14:paraId="74E3E9D3" w14:textId="77777777" w:rsidR="00A52778" w:rsidRPr="00460F9E" w:rsidRDefault="00A52778" w:rsidP="00FC3F8E">
            <w:pPr>
              <w:spacing w:line="240" w:lineRule="auto"/>
              <w:rPr>
                <w:rFonts w:eastAsia="Times New Roman" w:cs="Times New Roman"/>
                <w:b/>
                <w:sz w:val="16"/>
              </w:rPr>
            </w:pPr>
          </w:p>
        </w:tc>
        <w:tc>
          <w:tcPr>
            <w:tcW w:w="3240" w:type="dxa"/>
            <w:gridSpan w:val="8"/>
            <w:vMerge/>
            <w:tcBorders>
              <w:right w:val="single" w:sz="8" w:space="0" w:color="auto"/>
            </w:tcBorders>
            <w:shd w:val="clear" w:color="auto" w:fill="auto"/>
            <w:vAlign w:val="bottom"/>
          </w:tcPr>
          <w:p w14:paraId="668E3FCE" w14:textId="77777777" w:rsidR="00A52778" w:rsidRPr="00460F9E" w:rsidRDefault="00A52778" w:rsidP="00FC3F8E">
            <w:pPr>
              <w:spacing w:line="240" w:lineRule="auto"/>
              <w:rPr>
                <w:rFonts w:eastAsia="Times New Roman" w:cs="Times New Roman"/>
                <w:b/>
                <w:sz w:val="16"/>
              </w:rPr>
            </w:pPr>
          </w:p>
        </w:tc>
        <w:tc>
          <w:tcPr>
            <w:tcW w:w="1020" w:type="dxa"/>
            <w:vMerge w:val="restart"/>
            <w:tcBorders>
              <w:left w:val="single" w:sz="8" w:space="0" w:color="auto"/>
              <w:right w:val="single" w:sz="8" w:space="0" w:color="auto"/>
            </w:tcBorders>
            <w:shd w:val="clear" w:color="auto" w:fill="auto"/>
            <w:vAlign w:val="bottom"/>
          </w:tcPr>
          <w:p w14:paraId="7A32C149" w14:textId="77777777" w:rsidR="00A52778" w:rsidRPr="00460F9E" w:rsidRDefault="00A52778" w:rsidP="00FC3F8E">
            <w:pPr>
              <w:spacing w:line="240" w:lineRule="auto"/>
              <w:jc w:val="center"/>
              <w:rPr>
                <w:rFonts w:eastAsia="Times New Roman" w:cs="Times New Roman"/>
                <w:b/>
              </w:rPr>
            </w:pPr>
            <w:r w:rsidRPr="00460F9E">
              <w:rPr>
                <w:rFonts w:eastAsia="Times New Roman" w:cs="Times New Roman"/>
              </w:rPr>
              <w:t>Kaçak emisyonlar</w:t>
            </w:r>
          </w:p>
        </w:tc>
        <w:tc>
          <w:tcPr>
            <w:tcW w:w="2700" w:type="dxa"/>
            <w:gridSpan w:val="5"/>
            <w:vMerge/>
            <w:tcBorders>
              <w:right w:val="single" w:sz="8" w:space="0" w:color="auto"/>
            </w:tcBorders>
            <w:shd w:val="clear" w:color="auto" w:fill="auto"/>
            <w:vAlign w:val="bottom"/>
          </w:tcPr>
          <w:p w14:paraId="082E0C9A" w14:textId="77777777" w:rsidR="00A52778" w:rsidRPr="00460F9E" w:rsidRDefault="00A52778" w:rsidP="00FC3F8E">
            <w:pPr>
              <w:spacing w:line="240" w:lineRule="auto"/>
              <w:rPr>
                <w:rFonts w:eastAsia="Times New Roman" w:cs="Times New Roman"/>
                <w:b/>
              </w:rPr>
            </w:pPr>
          </w:p>
        </w:tc>
      </w:tr>
      <w:tr w:rsidR="00A52778" w:rsidRPr="00460F9E" w14:paraId="538842BC" w14:textId="77777777" w:rsidTr="00FC3F8E">
        <w:trPr>
          <w:trHeight w:val="681"/>
        </w:trPr>
        <w:tc>
          <w:tcPr>
            <w:tcW w:w="380" w:type="dxa"/>
            <w:tcBorders>
              <w:left w:val="single" w:sz="8" w:space="0" w:color="auto"/>
              <w:bottom w:val="nil"/>
              <w:right w:val="single" w:sz="8" w:space="0" w:color="auto"/>
            </w:tcBorders>
            <w:shd w:val="clear" w:color="auto" w:fill="auto"/>
            <w:vAlign w:val="bottom"/>
          </w:tcPr>
          <w:p w14:paraId="2605B3C5" w14:textId="77777777" w:rsidR="00A52778" w:rsidRPr="00460F9E" w:rsidRDefault="00A52778" w:rsidP="00FC3F8E">
            <w:pPr>
              <w:spacing w:line="240" w:lineRule="auto"/>
              <w:ind w:left="100"/>
              <w:rPr>
                <w:rFonts w:eastAsia="Times New Roman" w:cs="Times New Roman"/>
                <w:b/>
              </w:rPr>
            </w:pPr>
            <w:r w:rsidRPr="00460F9E">
              <w:rPr>
                <w:rFonts w:eastAsia="Times New Roman" w:cs="Times New Roman"/>
              </w:rPr>
              <w:t>b.</w:t>
            </w:r>
          </w:p>
        </w:tc>
        <w:tc>
          <w:tcPr>
            <w:tcW w:w="1727" w:type="dxa"/>
            <w:gridSpan w:val="2"/>
            <w:vMerge/>
            <w:tcBorders>
              <w:bottom w:val="nil"/>
              <w:right w:val="single" w:sz="8" w:space="0" w:color="auto"/>
            </w:tcBorders>
            <w:shd w:val="clear" w:color="auto" w:fill="auto"/>
            <w:vAlign w:val="bottom"/>
          </w:tcPr>
          <w:p w14:paraId="43CE552C" w14:textId="77777777" w:rsidR="00A52778" w:rsidRPr="00460F9E" w:rsidRDefault="00A52778" w:rsidP="00FC3F8E">
            <w:pPr>
              <w:spacing w:line="240" w:lineRule="auto"/>
              <w:ind w:left="100"/>
              <w:rPr>
                <w:rFonts w:eastAsia="Times New Roman" w:cs="Times New Roman"/>
                <w:b/>
                <w:sz w:val="14"/>
              </w:rPr>
            </w:pPr>
          </w:p>
        </w:tc>
        <w:tc>
          <w:tcPr>
            <w:tcW w:w="3293" w:type="dxa"/>
            <w:gridSpan w:val="9"/>
            <w:vMerge w:val="restart"/>
            <w:tcBorders>
              <w:left w:val="single" w:sz="8" w:space="0" w:color="auto"/>
              <w:bottom w:val="nil"/>
              <w:right w:val="single" w:sz="8" w:space="0" w:color="auto"/>
            </w:tcBorders>
            <w:shd w:val="clear" w:color="auto" w:fill="auto"/>
            <w:vAlign w:val="bottom"/>
          </w:tcPr>
          <w:p w14:paraId="5DA65332" w14:textId="77777777" w:rsidR="00A52778" w:rsidRPr="00460F9E" w:rsidRDefault="00A52778" w:rsidP="00FC3F8E">
            <w:pPr>
              <w:spacing w:line="240" w:lineRule="auto"/>
              <w:ind w:left="100"/>
              <w:rPr>
                <w:rFonts w:eastAsia="Times New Roman" w:cs="Times New Roman"/>
                <w:b/>
              </w:rPr>
            </w:pPr>
            <w:r w:rsidRPr="00460F9E">
              <w:rPr>
                <w:rFonts w:eastAsia="Times New Roman" w:cs="Times New Roman"/>
              </w:rPr>
              <w:t>Yüksek bütünlüğe sahip ekipmanların kullanımı özellikle önleme veya en aza  indirmek açısından önemlidir:</w:t>
            </w:r>
          </w:p>
        </w:tc>
        <w:tc>
          <w:tcPr>
            <w:tcW w:w="1020" w:type="dxa"/>
            <w:vMerge/>
            <w:tcBorders>
              <w:left w:val="single" w:sz="8" w:space="0" w:color="auto"/>
              <w:bottom w:val="nil"/>
              <w:right w:val="single" w:sz="8" w:space="0" w:color="auto"/>
            </w:tcBorders>
            <w:shd w:val="clear" w:color="auto" w:fill="auto"/>
            <w:vAlign w:val="bottom"/>
          </w:tcPr>
          <w:p w14:paraId="50D299AD" w14:textId="77777777" w:rsidR="00A52778" w:rsidRPr="00460F9E" w:rsidRDefault="00A52778" w:rsidP="00FC3F8E">
            <w:pPr>
              <w:spacing w:line="240" w:lineRule="auto"/>
              <w:jc w:val="center"/>
              <w:rPr>
                <w:rFonts w:eastAsia="Times New Roman" w:cs="Times New Roman"/>
                <w:b/>
                <w:sz w:val="14"/>
              </w:rPr>
            </w:pPr>
          </w:p>
        </w:tc>
        <w:tc>
          <w:tcPr>
            <w:tcW w:w="2700" w:type="dxa"/>
            <w:gridSpan w:val="5"/>
            <w:vMerge/>
            <w:tcBorders>
              <w:bottom w:val="nil"/>
              <w:right w:val="single" w:sz="8" w:space="0" w:color="auto"/>
            </w:tcBorders>
            <w:shd w:val="clear" w:color="auto" w:fill="auto"/>
            <w:vAlign w:val="bottom"/>
          </w:tcPr>
          <w:p w14:paraId="3A5E6CFF" w14:textId="77777777" w:rsidR="00A52778" w:rsidRPr="00460F9E" w:rsidRDefault="00A52778" w:rsidP="00FC3F8E">
            <w:pPr>
              <w:spacing w:line="240" w:lineRule="auto"/>
              <w:rPr>
                <w:rFonts w:eastAsia="Times New Roman" w:cs="Times New Roman"/>
                <w:b/>
                <w:sz w:val="14"/>
              </w:rPr>
            </w:pPr>
          </w:p>
        </w:tc>
      </w:tr>
      <w:tr w:rsidR="00A52778" w:rsidRPr="00460F9E" w14:paraId="01CBAA0C" w14:textId="77777777" w:rsidTr="00FC3F8E">
        <w:trPr>
          <w:trHeight w:val="122"/>
        </w:trPr>
        <w:tc>
          <w:tcPr>
            <w:tcW w:w="380" w:type="dxa"/>
            <w:tcBorders>
              <w:left w:val="single" w:sz="8" w:space="0" w:color="auto"/>
              <w:right w:val="single" w:sz="8" w:space="0" w:color="auto"/>
            </w:tcBorders>
            <w:shd w:val="clear" w:color="auto" w:fill="auto"/>
            <w:vAlign w:val="bottom"/>
          </w:tcPr>
          <w:p w14:paraId="2D7506CE" w14:textId="77777777" w:rsidR="00A52778" w:rsidRPr="00460F9E" w:rsidRDefault="00A52778" w:rsidP="00FC3F8E">
            <w:pPr>
              <w:spacing w:line="240" w:lineRule="auto"/>
              <w:rPr>
                <w:rFonts w:eastAsia="Times New Roman" w:cs="Times New Roman"/>
                <w:b/>
                <w:sz w:val="10"/>
              </w:rPr>
            </w:pPr>
          </w:p>
        </w:tc>
        <w:tc>
          <w:tcPr>
            <w:tcW w:w="1727" w:type="dxa"/>
            <w:gridSpan w:val="2"/>
            <w:vMerge/>
            <w:tcBorders>
              <w:right w:val="single" w:sz="8" w:space="0" w:color="auto"/>
            </w:tcBorders>
            <w:shd w:val="clear" w:color="auto" w:fill="auto"/>
            <w:vAlign w:val="bottom"/>
          </w:tcPr>
          <w:p w14:paraId="7D92E4E0" w14:textId="77777777" w:rsidR="00A52778" w:rsidRPr="00460F9E" w:rsidRDefault="00A52778" w:rsidP="00FC3F8E">
            <w:pPr>
              <w:spacing w:line="240" w:lineRule="auto"/>
              <w:ind w:left="100"/>
              <w:rPr>
                <w:rFonts w:eastAsia="Times New Roman" w:cs="Times New Roman"/>
                <w:b/>
              </w:rPr>
            </w:pPr>
          </w:p>
        </w:tc>
        <w:tc>
          <w:tcPr>
            <w:tcW w:w="3293" w:type="dxa"/>
            <w:gridSpan w:val="9"/>
            <w:vMerge/>
            <w:tcBorders>
              <w:left w:val="single" w:sz="8" w:space="0" w:color="auto"/>
              <w:right w:val="single" w:sz="8" w:space="0" w:color="auto"/>
            </w:tcBorders>
            <w:shd w:val="clear" w:color="auto" w:fill="auto"/>
            <w:vAlign w:val="bottom"/>
          </w:tcPr>
          <w:p w14:paraId="07634FA1" w14:textId="77777777" w:rsidR="00A52778" w:rsidRPr="00460F9E" w:rsidRDefault="00A52778" w:rsidP="00FC3F8E">
            <w:pPr>
              <w:spacing w:line="240" w:lineRule="auto"/>
              <w:rPr>
                <w:rFonts w:eastAsia="Times New Roman" w:cs="Times New Roman"/>
                <w:b/>
                <w:sz w:val="10"/>
              </w:rPr>
            </w:pPr>
          </w:p>
        </w:tc>
        <w:tc>
          <w:tcPr>
            <w:tcW w:w="1020" w:type="dxa"/>
            <w:vMerge/>
            <w:tcBorders>
              <w:left w:val="single" w:sz="8" w:space="0" w:color="auto"/>
              <w:right w:val="single" w:sz="8" w:space="0" w:color="auto"/>
            </w:tcBorders>
            <w:shd w:val="clear" w:color="auto" w:fill="auto"/>
            <w:vAlign w:val="bottom"/>
          </w:tcPr>
          <w:p w14:paraId="07F2767C" w14:textId="77777777" w:rsidR="00A52778" w:rsidRPr="00460F9E" w:rsidRDefault="00A52778" w:rsidP="00FC3F8E">
            <w:pPr>
              <w:spacing w:line="240" w:lineRule="auto"/>
              <w:rPr>
                <w:rFonts w:eastAsia="Times New Roman" w:cs="Times New Roman"/>
                <w:b/>
                <w:sz w:val="10"/>
              </w:rPr>
            </w:pPr>
          </w:p>
        </w:tc>
        <w:tc>
          <w:tcPr>
            <w:tcW w:w="2700" w:type="dxa"/>
            <w:gridSpan w:val="5"/>
            <w:vMerge w:val="restart"/>
            <w:tcBorders>
              <w:right w:val="single" w:sz="8" w:space="0" w:color="auto"/>
            </w:tcBorders>
            <w:shd w:val="clear" w:color="auto" w:fill="auto"/>
            <w:vAlign w:val="bottom"/>
          </w:tcPr>
          <w:p w14:paraId="7BB81FDA"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Genel olarak yeni tesisler ve </w:t>
            </w:r>
          </w:p>
          <w:p w14:paraId="61AADFDC"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büyük tesis iyileştirmeleri için </w:t>
            </w:r>
          </w:p>
          <w:p w14:paraId="735AE9E3"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geçerlidir.</w:t>
            </w:r>
          </w:p>
        </w:tc>
      </w:tr>
      <w:tr w:rsidR="00A52778" w:rsidRPr="00460F9E" w14:paraId="3DB5B6E8" w14:textId="77777777" w:rsidTr="00FC3F8E">
        <w:trPr>
          <w:trHeight w:val="108"/>
        </w:trPr>
        <w:tc>
          <w:tcPr>
            <w:tcW w:w="380" w:type="dxa"/>
            <w:tcBorders>
              <w:left w:val="single" w:sz="8" w:space="0" w:color="auto"/>
              <w:right w:val="single" w:sz="8" w:space="0" w:color="auto"/>
            </w:tcBorders>
            <w:shd w:val="clear" w:color="auto" w:fill="auto"/>
            <w:vAlign w:val="bottom"/>
          </w:tcPr>
          <w:p w14:paraId="7D473625" w14:textId="77777777" w:rsidR="00A52778" w:rsidRPr="00460F9E" w:rsidRDefault="00A52778" w:rsidP="00FC3F8E">
            <w:pPr>
              <w:spacing w:line="240" w:lineRule="auto"/>
              <w:rPr>
                <w:rFonts w:eastAsia="Times New Roman" w:cs="Times New Roman"/>
                <w:b/>
                <w:sz w:val="9"/>
              </w:rPr>
            </w:pPr>
          </w:p>
        </w:tc>
        <w:tc>
          <w:tcPr>
            <w:tcW w:w="1727" w:type="dxa"/>
            <w:gridSpan w:val="2"/>
            <w:vMerge/>
            <w:tcBorders>
              <w:right w:val="single" w:sz="8" w:space="0" w:color="auto"/>
            </w:tcBorders>
            <w:shd w:val="clear" w:color="auto" w:fill="auto"/>
            <w:vAlign w:val="bottom"/>
          </w:tcPr>
          <w:p w14:paraId="2FF51498" w14:textId="77777777" w:rsidR="00A52778" w:rsidRPr="00460F9E" w:rsidRDefault="00A52778" w:rsidP="00FC3F8E">
            <w:pPr>
              <w:spacing w:line="240" w:lineRule="auto"/>
              <w:rPr>
                <w:rFonts w:eastAsia="Times New Roman" w:cs="Times New Roman"/>
                <w:b/>
                <w:sz w:val="9"/>
              </w:rPr>
            </w:pPr>
          </w:p>
        </w:tc>
        <w:tc>
          <w:tcPr>
            <w:tcW w:w="53" w:type="dxa"/>
            <w:vMerge w:val="restart"/>
            <w:shd w:val="clear" w:color="auto" w:fill="auto"/>
            <w:vAlign w:val="bottom"/>
          </w:tcPr>
          <w:p w14:paraId="6823CC08" w14:textId="77777777" w:rsidR="00A52778" w:rsidRPr="00460F9E" w:rsidRDefault="00A52778" w:rsidP="00FC3F8E">
            <w:pPr>
              <w:spacing w:line="240" w:lineRule="auto"/>
              <w:rPr>
                <w:rFonts w:eastAsia="Times New Roman" w:cs="Times New Roman"/>
                <w:b/>
                <w:sz w:val="9"/>
              </w:rPr>
            </w:pPr>
          </w:p>
        </w:tc>
        <w:tc>
          <w:tcPr>
            <w:tcW w:w="3240" w:type="dxa"/>
            <w:gridSpan w:val="8"/>
            <w:vMerge w:val="restart"/>
            <w:tcBorders>
              <w:right w:val="single" w:sz="8" w:space="0" w:color="auto"/>
            </w:tcBorders>
            <w:shd w:val="clear" w:color="auto" w:fill="auto"/>
            <w:vAlign w:val="bottom"/>
          </w:tcPr>
          <w:p w14:paraId="40572D51"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 CMR maddelerinin veya akut   </w:t>
            </w:r>
          </w:p>
          <w:p w14:paraId="6B72512B"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toksisiteye sahip maddelerin  </w:t>
            </w:r>
          </w:p>
          <w:p w14:paraId="1BA0C92C"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emisyonları; ve/veya</w:t>
            </w:r>
          </w:p>
        </w:tc>
        <w:tc>
          <w:tcPr>
            <w:tcW w:w="1020" w:type="dxa"/>
            <w:tcBorders>
              <w:right w:val="single" w:sz="8" w:space="0" w:color="auto"/>
            </w:tcBorders>
            <w:shd w:val="clear" w:color="auto" w:fill="auto"/>
            <w:vAlign w:val="bottom"/>
          </w:tcPr>
          <w:p w14:paraId="02525BDA" w14:textId="77777777" w:rsidR="00A52778" w:rsidRPr="00460F9E" w:rsidRDefault="00A52778" w:rsidP="00FC3F8E">
            <w:pPr>
              <w:spacing w:line="240" w:lineRule="auto"/>
              <w:rPr>
                <w:rFonts w:eastAsia="Times New Roman" w:cs="Times New Roman"/>
                <w:b/>
                <w:sz w:val="9"/>
              </w:rPr>
            </w:pPr>
          </w:p>
        </w:tc>
        <w:tc>
          <w:tcPr>
            <w:tcW w:w="2700" w:type="dxa"/>
            <w:gridSpan w:val="5"/>
            <w:vMerge/>
            <w:tcBorders>
              <w:right w:val="single" w:sz="8" w:space="0" w:color="auto"/>
            </w:tcBorders>
            <w:shd w:val="clear" w:color="auto" w:fill="auto"/>
            <w:vAlign w:val="bottom"/>
          </w:tcPr>
          <w:p w14:paraId="2C9A7CE2" w14:textId="77777777" w:rsidR="00A52778" w:rsidRPr="00460F9E" w:rsidRDefault="00A52778" w:rsidP="00FC3F8E">
            <w:pPr>
              <w:spacing w:line="240" w:lineRule="auto"/>
              <w:rPr>
                <w:rFonts w:eastAsia="Times New Roman" w:cs="Times New Roman"/>
                <w:b/>
                <w:sz w:val="9"/>
              </w:rPr>
            </w:pPr>
          </w:p>
        </w:tc>
      </w:tr>
      <w:tr w:rsidR="00A52778" w:rsidRPr="00460F9E" w14:paraId="748FC29C" w14:textId="77777777" w:rsidTr="00FC3F8E">
        <w:trPr>
          <w:trHeight w:val="208"/>
        </w:trPr>
        <w:tc>
          <w:tcPr>
            <w:tcW w:w="380" w:type="dxa"/>
            <w:tcBorders>
              <w:left w:val="single" w:sz="8" w:space="0" w:color="auto"/>
              <w:right w:val="single" w:sz="8" w:space="0" w:color="auto"/>
            </w:tcBorders>
            <w:shd w:val="clear" w:color="auto" w:fill="auto"/>
            <w:vAlign w:val="bottom"/>
          </w:tcPr>
          <w:p w14:paraId="7F36B3BA" w14:textId="77777777" w:rsidR="00A52778" w:rsidRPr="00460F9E" w:rsidRDefault="00A52778" w:rsidP="00FC3F8E">
            <w:pPr>
              <w:spacing w:line="240" w:lineRule="auto"/>
              <w:rPr>
                <w:rFonts w:eastAsia="Times New Roman" w:cs="Times New Roman"/>
                <w:b/>
                <w:sz w:val="18"/>
              </w:rPr>
            </w:pPr>
          </w:p>
        </w:tc>
        <w:tc>
          <w:tcPr>
            <w:tcW w:w="1301" w:type="dxa"/>
            <w:shd w:val="clear" w:color="auto" w:fill="auto"/>
            <w:vAlign w:val="bottom"/>
          </w:tcPr>
          <w:p w14:paraId="7099D16A" w14:textId="77777777" w:rsidR="00A52778" w:rsidRPr="00460F9E" w:rsidRDefault="00A52778" w:rsidP="00FC3F8E">
            <w:pPr>
              <w:spacing w:line="240" w:lineRule="auto"/>
              <w:rPr>
                <w:rFonts w:eastAsia="Times New Roman" w:cs="Times New Roman"/>
                <w:b/>
                <w:sz w:val="18"/>
              </w:rPr>
            </w:pPr>
          </w:p>
        </w:tc>
        <w:tc>
          <w:tcPr>
            <w:tcW w:w="426" w:type="dxa"/>
            <w:tcBorders>
              <w:right w:val="single" w:sz="8" w:space="0" w:color="auto"/>
            </w:tcBorders>
            <w:shd w:val="clear" w:color="auto" w:fill="auto"/>
            <w:vAlign w:val="bottom"/>
          </w:tcPr>
          <w:p w14:paraId="5803D09C" w14:textId="77777777" w:rsidR="00A52778" w:rsidRPr="00460F9E" w:rsidRDefault="00A52778" w:rsidP="00FC3F8E">
            <w:pPr>
              <w:spacing w:line="240" w:lineRule="auto"/>
              <w:rPr>
                <w:rFonts w:eastAsia="Times New Roman" w:cs="Times New Roman"/>
                <w:b/>
                <w:sz w:val="18"/>
              </w:rPr>
            </w:pPr>
          </w:p>
        </w:tc>
        <w:tc>
          <w:tcPr>
            <w:tcW w:w="53" w:type="dxa"/>
            <w:vMerge/>
            <w:shd w:val="clear" w:color="auto" w:fill="auto"/>
            <w:vAlign w:val="bottom"/>
          </w:tcPr>
          <w:p w14:paraId="2566C950" w14:textId="77777777" w:rsidR="00A52778" w:rsidRPr="00460F9E" w:rsidRDefault="00A52778" w:rsidP="00FC3F8E">
            <w:pPr>
              <w:spacing w:line="240" w:lineRule="auto"/>
              <w:rPr>
                <w:rFonts w:eastAsia="Times New Roman" w:cs="Times New Roman"/>
                <w:b/>
                <w:sz w:val="18"/>
              </w:rPr>
            </w:pPr>
          </w:p>
        </w:tc>
        <w:tc>
          <w:tcPr>
            <w:tcW w:w="3240" w:type="dxa"/>
            <w:gridSpan w:val="8"/>
            <w:vMerge/>
            <w:tcBorders>
              <w:right w:val="single" w:sz="8" w:space="0" w:color="auto"/>
            </w:tcBorders>
            <w:shd w:val="clear" w:color="auto" w:fill="auto"/>
            <w:vAlign w:val="bottom"/>
          </w:tcPr>
          <w:p w14:paraId="7345D754" w14:textId="77777777" w:rsidR="00A52778" w:rsidRPr="00460F9E" w:rsidRDefault="00A52778" w:rsidP="00FC3F8E">
            <w:pPr>
              <w:spacing w:line="240" w:lineRule="auto"/>
              <w:rPr>
                <w:rFonts w:eastAsia="Times New Roman" w:cs="Times New Roman"/>
                <w:b/>
                <w:sz w:val="18"/>
              </w:rPr>
            </w:pPr>
          </w:p>
        </w:tc>
        <w:tc>
          <w:tcPr>
            <w:tcW w:w="1020" w:type="dxa"/>
            <w:tcBorders>
              <w:right w:val="single" w:sz="8" w:space="0" w:color="auto"/>
            </w:tcBorders>
            <w:shd w:val="clear" w:color="auto" w:fill="auto"/>
            <w:vAlign w:val="bottom"/>
          </w:tcPr>
          <w:p w14:paraId="5962A67A" w14:textId="77777777" w:rsidR="00A52778" w:rsidRPr="00460F9E" w:rsidRDefault="00A52778" w:rsidP="00FC3F8E">
            <w:pPr>
              <w:spacing w:line="240" w:lineRule="auto"/>
              <w:rPr>
                <w:rFonts w:eastAsia="Times New Roman" w:cs="Times New Roman"/>
                <w:b/>
                <w:sz w:val="18"/>
              </w:rPr>
            </w:pPr>
          </w:p>
        </w:tc>
        <w:tc>
          <w:tcPr>
            <w:tcW w:w="2700" w:type="dxa"/>
            <w:gridSpan w:val="5"/>
            <w:vMerge/>
            <w:tcBorders>
              <w:right w:val="single" w:sz="8" w:space="0" w:color="auto"/>
            </w:tcBorders>
            <w:shd w:val="clear" w:color="auto" w:fill="auto"/>
            <w:vAlign w:val="bottom"/>
          </w:tcPr>
          <w:p w14:paraId="389984FD" w14:textId="77777777" w:rsidR="00A52778" w:rsidRPr="00460F9E" w:rsidRDefault="00A52778" w:rsidP="00FC3F8E">
            <w:pPr>
              <w:spacing w:line="240" w:lineRule="auto"/>
              <w:rPr>
                <w:rFonts w:eastAsia="Times New Roman" w:cs="Times New Roman"/>
                <w:b/>
                <w:w w:val="99"/>
              </w:rPr>
            </w:pPr>
          </w:p>
        </w:tc>
      </w:tr>
      <w:tr w:rsidR="00A52778" w:rsidRPr="00460F9E" w14:paraId="68ED1CE2" w14:textId="77777777" w:rsidTr="00FC3F8E">
        <w:trPr>
          <w:trHeight w:val="230"/>
        </w:trPr>
        <w:tc>
          <w:tcPr>
            <w:tcW w:w="380" w:type="dxa"/>
            <w:tcBorders>
              <w:left w:val="single" w:sz="8" w:space="0" w:color="auto"/>
              <w:right w:val="single" w:sz="8" w:space="0" w:color="auto"/>
            </w:tcBorders>
            <w:shd w:val="clear" w:color="auto" w:fill="auto"/>
            <w:vAlign w:val="bottom"/>
          </w:tcPr>
          <w:p w14:paraId="4A29DFAB"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43768CD8"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36061F9F" w14:textId="77777777" w:rsidR="00A52778" w:rsidRPr="00460F9E" w:rsidRDefault="00A52778" w:rsidP="00FC3F8E">
            <w:pPr>
              <w:spacing w:line="240" w:lineRule="auto"/>
              <w:rPr>
                <w:rFonts w:eastAsia="Times New Roman" w:cs="Times New Roman"/>
                <w:b/>
              </w:rPr>
            </w:pPr>
          </w:p>
        </w:tc>
        <w:tc>
          <w:tcPr>
            <w:tcW w:w="53" w:type="dxa"/>
            <w:shd w:val="clear" w:color="auto" w:fill="auto"/>
            <w:vAlign w:val="bottom"/>
          </w:tcPr>
          <w:p w14:paraId="23F7F8D8" w14:textId="77777777" w:rsidR="00A52778" w:rsidRPr="00460F9E" w:rsidRDefault="00A52778" w:rsidP="00FC3F8E">
            <w:pPr>
              <w:spacing w:line="240" w:lineRule="auto"/>
              <w:rPr>
                <w:rFonts w:eastAsia="Times New Roman" w:cs="Times New Roman"/>
                <w:b/>
              </w:rPr>
            </w:pPr>
          </w:p>
        </w:tc>
        <w:tc>
          <w:tcPr>
            <w:tcW w:w="3240" w:type="dxa"/>
            <w:gridSpan w:val="8"/>
            <w:vMerge/>
            <w:tcBorders>
              <w:right w:val="single" w:sz="8" w:space="0" w:color="auto"/>
            </w:tcBorders>
            <w:shd w:val="clear" w:color="auto" w:fill="auto"/>
            <w:vAlign w:val="bottom"/>
          </w:tcPr>
          <w:p w14:paraId="7B124763" w14:textId="77777777" w:rsidR="00A52778" w:rsidRPr="00460F9E" w:rsidRDefault="00A52778" w:rsidP="00FC3F8E">
            <w:pPr>
              <w:spacing w:line="240" w:lineRule="auto"/>
              <w:rPr>
                <w:rFonts w:eastAsia="Times New Roman" w:cs="Times New Roman"/>
                <w:b/>
              </w:rPr>
            </w:pPr>
          </w:p>
        </w:tc>
        <w:tc>
          <w:tcPr>
            <w:tcW w:w="1020" w:type="dxa"/>
            <w:tcBorders>
              <w:left w:val="single" w:sz="8" w:space="0" w:color="auto"/>
              <w:right w:val="single" w:sz="8" w:space="0" w:color="auto"/>
            </w:tcBorders>
            <w:shd w:val="clear" w:color="auto" w:fill="auto"/>
            <w:vAlign w:val="bottom"/>
          </w:tcPr>
          <w:p w14:paraId="0749A7C4" w14:textId="77777777" w:rsidR="00A52778" w:rsidRPr="00460F9E" w:rsidRDefault="00A52778" w:rsidP="00FC3F8E">
            <w:pPr>
              <w:spacing w:line="240" w:lineRule="auto"/>
              <w:rPr>
                <w:rFonts w:eastAsia="Times New Roman" w:cs="Times New Roman"/>
                <w:b/>
              </w:rPr>
            </w:pPr>
          </w:p>
        </w:tc>
        <w:tc>
          <w:tcPr>
            <w:tcW w:w="2700" w:type="dxa"/>
            <w:gridSpan w:val="5"/>
            <w:vMerge/>
            <w:tcBorders>
              <w:right w:val="single" w:sz="8" w:space="0" w:color="auto"/>
            </w:tcBorders>
            <w:shd w:val="clear" w:color="auto" w:fill="auto"/>
            <w:vAlign w:val="bottom"/>
          </w:tcPr>
          <w:p w14:paraId="2FB5B4FD" w14:textId="77777777" w:rsidR="00A52778" w:rsidRPr="00460F9E" w:rsidRDefault="00A52778" w:rsidP="00FC3F8E">
            <w:pPr>
              <w:spacing w:line="240" w:lineRule="auto"/>
              <w:rPr>
                <w:rFonts w:eastAsia="Times New Roman" w:cs="Times New Roman"/>
                <w:b/>
              </w:rPr>
            </w:pPr>
          </w:p>
        </w:tc>
      </w:tr>
      <w:tr w:rsidR="00A52778" w:rsidRPr="00460F9E" w14:paraId="68672727" w14:textId="77777777" w:rsidTr="00FC3F8E">
        <w:trPr>
          <w:trHeight w:val="219"/>
        </w:trPr>
        <w:tc>
          <w:tcPr>
            <w:tcW w:w="380" w:type="dxa"/>
            <w:tcBorders>
              <w:left w:val="single" w:sz="8" w:space="0" w:color="auto"/>
              <w:right w:val="single" w:sz="8" w:space="0" w:color="auto"/>
            </w:tcBorders>
            <w:shd w:val="clear" w:color="auto" w:fill="auto"/>
            <w:vAlign w:val="bottom"/>
          </w:tcPr>
          <w:p w14:paraId="6B79F52C" w14:textId="77777777" w:rsidR="00A52778" w:rsidRPr="00460F9E" w:rsidRDefault="00A52778" w:rsidP="00FC3F8E">
            <w:pPr>
              <w:spacing w:line="240" w:lineRule="auto"/>
              <w:rPr>
                <w:rFonts w:eastAsia="Times New Roman" w:cs="Times New Roman"/>
                <w:b/>
                <w:sz w:val="19"/>
              </w:rPr>
            </w:pPr>
          </w:p>
        </w:tc>
        <w:tc>
          <w:tcPr>
            <w:tcW w:w="1301" w:type="dxa"/>
            <w:shd w:val="clear" w:color="auto" w:fill="auto"/>
            <w:vAlign w:val="bottom"/>
          </w:tcPr>
          <w:p w14:paraId="40BF887A" w14:textId="77777777" w:rsidR="00A52778" w:rsidRPr="00460F9E" w:rsidRDefault="00A52778" w:rsidP="00FC3F8E">
            <w:pPr>
              <w:spacing w:line="240" w:lineRule="auto"/>
              <w:rPr>
                <w:rFonts w:eastAsia="Times New Roman" w:cs="Times New Roman"/>
                <w:b/>
                <w:sz w:val="19"/>
              </w:rPr>
            </w:pPr>
          </w:p>
        </w:tc>
        <w:tc>
          <w:tcPr>
            <w:tcW w:w="426" w:type="dxa"/>
            <w:tcBorders>
              <w:right w:val="single" w:sz="8" w:space="0" w:color="auto"/>
            </w:tcBorders>
            <w:shd w:val="clear" w:color="auto" w:fill="auto"/>
            <w:vAlign w:val="bottom"/>
          </w:tcPr>
          <w:p w14:paraId="0EE394F4" w14:textId="77777777" w:rsidR="00A52778" w:rsidRPr="00460F9E" w:rsidRDefault="00A52778" w:rsidP="00FC3F8E">
            <w:pPr>
              <w:spacing w:line="240" w:lineRule="auto"/>
              <w:rPr>
                <w:rFonts w:eastAsia="Times New Roman" w:cs="Times New Roman"/>
                <w:b/>
                <w:sz w:val="19"/>
              </w:rPr>
            </w:pPr>
          </w:p>
        </w:tc>
        <w:tc>
          <w:tcPr>
            <w:tcW w:w="53" w:type="dxa"/>
            <w:shd w:val="clear" w:color="auto" w:fill="auto"/>
            <w:vAlign w:val="bottom"/>
          </w:tcPr>
          <w:p w14:paraId="4BD605F1" w14:textId="77777777" w:rsidR="00A52778" w:rsidRPr="00460F9E" w:rsidRDefault="00A52778" w:rsidP="00FC3F8E">
            <w:pPr>
              <w:spacing w:line="240" w:lineRule="auto"/>
              <w:rPr>
                <w:rFonts w:eastAsia="Times New Roman" w:cs="Times New Roman"/>
                <w:b/>
                <w:sz w:val="19"/>
              </w:rPr>
            </w:pPr>
          </w:p>
        </w:tc>
        <w:tc>
          <w:tcPr>
            <w:tcW w:w="3240" w:type="dxa"/>
            <w:gridSpan w:val="8"/>
            <w:vMerge/>
            <w:tcBorders>
              <w:right w:val="single" w:sz="8" w:space="0" w:color="auto"/>
            </w:tcBorders>
            <w:shd w:val="clear" w:color="auto" w:fill="auto"/>
            <w:vAlign w:val="bottom"/>
          </w:tcPr>
          <w:p w14:paraId="6CAEDC51" w14:textId="77777777" w:rsidR="00A52778" w:rsidRPr="00460F9E" w:rsidRDefault="00A52778" w:rsidP="00FC3F8E">
            <w:pPr>
              <w:spacing w:line="240" w:lineRule="auto"/>
              <w:rPr>
                <w:rFonts w:eastAsia="Times New Roman" w:cs="Times New Roman"/>
                <w:b/>
                <w:sz w:val="19"/>
              </w:rPr>
            </w:pPr>
          </w:p>
        </w:tc>
        <w:tc>
          <w:tcPr>
            <w:tcW w:w="1020" w:type="dxa"/>
            <w:tcBorders>
              <w:left w:val="single" w:sz="8" w:space="0" w:color="auto"/>
              <w:right w:val="single" w:sz="8" w:space="0" w:color="auto"/>
            </w:tcBorders>
            <w:shd w:val="clear" w:color="auto" w:fill="auto"/>
            <w:vAlign w:val="bottom"/>
          </w:tcPr>
          <w:p w14:paraId="0B47139A" w14:textId="77777777" w:rsidR="00A52778" w:rsidRPr="00460F9E" w:rsidRDefault="00A52778" w:rsidP="00FC3F8E">
            <w:pPr>
              <w:spacing w:line="240" w:lineRule="auto"/>
              <w:rPr>
                <w:rFonts w:eastAsia="Times New Roman" w:cs="Times New Roman"/>
                <w:b/>
                <w:sz w:val="19"/>
              </w:rPr>
            </w:pPr>
          </w:p>
        </w:tc>
        <w:tc>
          <w:tcPr>
            <w:tcW w:w="980" w:type="dxa"/>
            <w:shd w:val="clear" w:color="auto" w:fill="auto"/>
            <w:vAlign w:val="bottom"/>
          </w:tcPr>
          <w:p w14:paraId="40C7BE4E" w14:textId="77777777" w:rsidR="00A52778" w:rsidRPr="00460F9E" w:rsidRDefault="00A52778" w:rsidP="00FC3F8E">
            <w:pPr>
              <w:spacing w:line="240" w:lineRule="auto"/>
              <w:rPr>
                <w:rFonts w:eastAsia="Times New Roman" w:cs="Times New Roman"/>
                <w:b/>
                <w:sz w:val="19"/>
              </w:rPr>
            </w:pPr>
          </w:p>
        </w:tc>
        <w:tc>
          <w:tcPr>
            <w:tcW w:w="400" w:type="dxa"/>
            <w:shd w:val="clear" w:color="auto" w:fill="auto"/>
            <w:vAlign w:val="bottom"/>
          </w:tcPr>
          <w:p w14:paraId="49DC9B7D" w14:textId="77777777" w:rsidR="00A52778" w:rsidRPr="00460F9E" w:rsidRDefault="00A52778" w:rsidP="00FC3F8E">
            <w:pPr>
              <w:spacing w:line="240" w:lineRule="auto"/>
              <w:rPr>
                <w:rFonts w:eastAsia="Times New Roman" w:cs="Times New Roman"/>
                <w:b/>
                <w:sz w:val="19"/>
              </w:rPr>
            </w:pPr>
          </w:p>
        </w:tc>
        <w:tc>
          <w:tcPr>
            <w:tcW w:w="480" w:type="dxa"/>
            <w:shd w:val="clear" w:color="auto" w:fill="auto"/>
            <w:vAlign w:val="bottom"/>
          </w:tcPr>
          <w:p w14:paraId="2F45EC7E" w14:textId="77777777" w:rsidR="00A52778" w:rsidRPr="00460F9E" w:rsidRDefault="00A52778" w:rsidP="00FC3F8E">
            <w:pPr>
              <w:spacing w:line="240" w:lineRule="auto"/>
              <w:rPr>
                <w:rFonts w:eastAsia="Times New Roman" w:cs="Times New Roman"/>
                <w:b/>
                <w:sz w:val="19"/>
              </w:rPr>
            </w:pPr>
          </w:p>
        </w:tc>
        <w:tc>
          <w:tcPr>
            <w:tcW w:w="280" w:type="dxa"/>
            <w:shd w:val="clear" w:color="auto" w:fill="auto"/>
            <w:vAlign w:val="bottom"/>
          </w:tcPr>
          <w:p w14:paraId="288E6EB3" w14:textId="77777777" w:rsidR="00A52778" w:rsidRPr="00460F9E" w:rsidRDefault="00A52778" w:rsidP="00FC3F8E">
            <w:pPr>
              <w:spacing w:line="240" w:lineRule="auto"/>
              <w:rPr>
                <w:rFonts w:eastAsia="Times New Roman" w:cs="Times New Roman"/>
                <w:b/>
                <w:sz w:val="19"/>
              </w:rPr>
            </w:pPr>
          </w:p>
        </w:tc>
        <w:tc>
          <w:tcPr>
            <w:tcW w:w="560" w:type="dxa"/>
            <w:tcBorders>
              <w:right w:val="single" w:sz="8" w:space="0" w:color="auto"/>
            </w:tcBorders>
            <w:shd w:val="clear" w:color="auto" w:fill="auto"/>
            <w:vAlign w:val="bottom"/>
          </w:tcPr>
          <w:p w14:paraId="7B398318" w14:textId="77777777" w:rsidR="00A52778" w:rsidRPr="00460F9E" w:rsidRDefault="00A52778" w:rsidP="00FC3F8E">
            <w:pPr>
              <w:spacing w:line="240" w:lineRule="auto"/>
              <w:rPr>
                <w:rFonts w:eastAsia="Times New Roman" w:cs="Times New Roman"/>
                <w:b/>
                <w:sz w:val="19"/>
              </w:rPr>
            </w:pPr>
          </w:p>
        </w:tc>
      </w:tr>
      <w:tr w:rsidR="00A52778" w:rsidRPr="00460F9E" w14:paraId="1A993D17" w14:textId="77777777" w:rsidTr="00FC3F8E">
        <w:trPr>
          <w:trHeight w:val="302"/>
        </w:trPr>
        <w:tc>
          <w:tcPr>
            <w:tcW w:w="380" w:type="dxa"/>
            <w:tcBorders>
              <w:left w:val="single" w:sz="8" w:space="0" w:color="auto"/>
              <w:right w:val="single" w:sz="8" w:space="0" w:color="auto"/>
            </w:tcBorders>
            <w:shd w:val="clear" w:color="auto" w:fill="auto"/>
            <w:vAlign w:val="bottom"/>
          </w:tcPr>
          <w:p w14:paraId="5855F1B0"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7425C3B4"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67D1B744" w14:textId="77777777" w:rsidR="00A52778" w:rsidRPr="00460F9E" w:rsidRDefault="00A52778" w:rsidP="00FC3F8E">
            <w:pPr>
              <w:spacing w:line="240" w:lineRule="auto"/>
              <w:rPr>
                <w:rFonts w:eastAsia="Times New Roman" w:cs="Times New Roman"/>
                <w:b/>
              </w:rPr>
            </w:pPr>
          </w:p>
        </w:tc>
        <w:tc>
          <w:tcPr>
            <w:tcW w:w="53" w:type="dxa"/>
            <w:shd w:val="clear" w:color="auto" w:fill="auto"/>
            <w:vAlign w:val="bottom"/>
          </w:tcPr>
          <w:p w14:paraId="737094AD" w14:textId="77777777" w:rsidR="00A52778" w:rsidRPr="00460F9E" w:rsidRDefault="00A52778" w:rsidP="00FC3F8E">
            <w:pPr>
              <w:spacing w:line="240" w:lineRule="auto"/>
              <w:rPr>
                <w:rFonts w:eastAsia="Times New Roman" w:cs="Times New Roman"/>
                <w:b/>
              </w:rPr>
            </w:pPr>
          </w:p>
        </w:tc>
        <w:tc>
          <w:tcPr>
            <w:tcW w:w="3240" w:type="dxa"/>
            <w:gridSpan w:val="8"/>
            <w:vMerge w:val="restart"/>
            <w:tcBorders>
              <w:right w:val="single" w:sz="8" w:space="0" w:color="auto"/>
            </w:tcBorders>
            <w:shd w:val="clear" w:color="auto" w:fill="auto"/>
            <w:vAlign w:val="bottom"/>
          </w:tcPr>
          <w:p w14:paraId="41049D0B"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 yüksek sızıntı potansiyeline sahip </w:t>
            </w:r>
          </w:p>
          <w:p w14:paraId="690993EC"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ekipmanlardan kaynaklanan      </w:t>
            </w:r>
          </w:p>
          <w:p w14:paraId="2F7CB846" w14:textId="77777777" w:rsidR="00A52778" w:rsidRPr="00460F9E" w:rsidRDefault="00A52778" w:rsidP="00FC3F8E">
            <w:pPr>
              <w:spacing w:line="240" w:lineRule="auto"/>
              <w:rPr>
                <w:rFonts w:eastAsia="Times New Roman" w:cs="Times New Roman"/>
                <w:b/>
                <w:w w:val="95"/>
              </w:rPr>
            </w:pPr>
            <w:r w:rsidRPr="00460F9E">
              <w:rPr>
                <w:rFonts w:eastAsia="Times New Roman" w:cs="Times New Roman"/>
              </w:rPr>
              <w:t xml:space="preserve">      emisyonlar; ve/veya</w:t>
            </w:r>
          </w:p>
        </w:tc>
        <w:tc>
          <w:tcPr>
            <w:tcW w:w="1020" w:type="dxa"/>
            <w:tcBorders>
              <w:left w:val="single" w:sz="8" w:space="0" w:color="auto"/>
              <w:right w:val="single" w:sz="8" w:space="0" w:color="auto"/>
            </w:tcBorders>
            <w:shd w:val="clear" w:color="auto" w:fill="auto"/>
            <w:vAlign w:val="bottom"/>
          </w:tcPr>
          <w:p w14:paraId="5EB632B7" w14:textId="77777777" w:rsidR="00A52778" w:rsidRPr="00460F9E" w:rsidRDefault="00A52778" w:rsidP="00FC3F8E">
            <w:pPr>
              <w:spacing w:line="240" w:lineRule="auto"/>
              <w:rPr>
                <w:rFonts w:eastAsia="Times New Roman" w:cs="Times New Roman"/>
                <w:b/>
              </w:rPr>
            </w:pPr>
          </w:p>
        </w:tc>
        <w:tc>
          <w:tcPr>
            <w:tcW w:w="980" w:type="dxa"/>
            <w:shd w:val="clear" w:color="auto" w:fill="auto"/>
            <w:vAlign w:val="bottom"/>
          </w:tcPr>
          <w:p w14:paraId="0EC475CB"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21E7A206"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4E3F7946"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741C5C00"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7F026994" w14:textId="77777777" w:rsidR="00A52778" w:rsidRPr="00460F9E" w:rsidRDefault="00A52778" w:rsidP="00FC3F8E">
            <w:pPr>
              <w:spacing w:line="240" w:lineRule="auto"/>
              <w:rPr>
                <w:rFonts w:eastAsia="Times New Roman" w:cs="Times New Roman"/>
                <w:b/>
              </w:rPr>
            </w:pPr>
          </w:p>
        </w:tc>
      </w:tr>
      <w:tr w:rsidR="00A52778" w:rsidRPr="00460F9E" w14:paraId="68948855" w14:textId="77777777" w:rsidTr="00FC3F8E">
        <w:trPr>
          <w:trHeight w:val="230"/>
        </w:trPr>
        <w:tc>
          <w:tcPr>
            <w:tcW w:w="380" w:type="dxa"/>
            <w:tcBorders>
              <w:left w:val="single" w:sz="8" w:space="0" w:color="auto"/>
              <w:right w:val="single" w:sz="8" w:space="0" w:color="auto"/>
            </w:tcBorders>
            <w:shd w:val="clear" w:color="auto" w:fill="auto"/>
            <w:vAlign w:val="bottom"/>
          </w:tcPr>
          <w:p w14:paraId="03C96B9C"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6131E163"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51A08920" w14:textId="77777777" w:rsidR="00A52778" w:rsidRPr="00460F9E" w:rsidRDefault="00A52778" w:rsidP="00FC3F8E">
            <w:pPr>
              <w:spacing w:line="240" w:lineRule="auto"/>
              <w:rPr>
                <w:rFonts w:eastAsia="Times New Roman" w:cs="Times New Roman"/>
                <w:b/>
              </w:rPr>
            </w:pPr>
          </w:p>
        </w:tc>
        <w:tc>
          <w:tcPr>
            <w:tcW w:w="53" w:type="dxa"/>
            <w:shd w:val="clear" w:color="auto" w:fill="auto"/>
            <w:vAlign w:val="bottom"/>
          </w:tcPr>
          <w:p w14:paraId="16B97BA0" w14:textId="77777777" w:rsidR="00A52778" w:rsidRPr="00460F9E" w:rsidRDefault="00A52778" w:rsidP="00FC3F8E">
            <w:pPr>
              <w:spacing w:line="240" w:lineRule="auto"/>
              <w:rPr>
                <w:rFonts w:eastAsia="Times New Roman" w:cs="Times New Roman"/>
                <w:b/>
              </w:rPr>
            </w:pPr>
          </w:p>
        </w:tc>
        <w:tc>
          <w:tcPr>
            <w:tcW w:w="3240" w:type="dxa"/>
            <w:gridSpan w:val="8"/>
            <w:vMerge/>
            <w:tcBorders>
              <w:right w:val="single" w:sz="8" w:space="0" w:color="auto"/>
            </w:tcBorders>
            <w:shd w:val="clear" w:color="auto" w:fill="auto"/>
            <w:vAlign w:val="bottom"/>
          </w:tcPr>
          <w:p w14:paraId="64C86B49" w14:textId="77777777" w:rsidR="00A52778" w:rsidRPr="00460F9E" w:rsidRDefault="00A52778" w:rsidP="00FC3F8E">
            <w:pPr>
              <w:spacing w:line="240" w:lineRule="auto"/>
              <w:rPr>
                <w:rFonts w:eastAsia="Times New Roman" w:cs="Times New Roman"/>
                <w:b/>
              </w:rPr>
            </w:pPr>
          </w:p>
        </w:tc>
        <w:tc>
          <w:tcPr>
            <w:tcW w:w="1020" w:type="dxa"/>
            <w:tcBorders>
              <w:left w:val="single" w:sz="8" w:space="0" w:color="auto"/>
              <w:right w:val="single" w:sz="8" w:space="0" w:color="auto"/>
            </w:tcBorders>
            <w:shd w:val="clear" w:color="auto" w:fill="auto"/>
            <w:vAlign w:val="bottom"/>
          </w:tcPr>
          <w:p w14:paraId="77C8B844" w14:textId="77777777" w:rsidR="00A52778" w:rsidRPr="00460F9E" w:rsidRDefault="00A52778" w:rsidP="00FC3F8E">
            <w:pPr>
              <w:spacing w:line="240" w:lineRule="auto"/>
              <w:rPr>
                <w:rFonts w:eastAsia="Times New Roman" w:cs="Times New Roman"/>
                <w:b/>
              </w:rPr>
            </w:pPr>
          </w:p>
        </w:tc>
        <w:tc>
          <w:tcPr>
            <w:tcW w:w="980" w:type="dxa"/>
            <w:shd w:val="clear" w:color="auto" w:fill="auto"/>
            <w:vAlign w:val="bottom"/>
          </w:tcPr>
          <w:p w14:paraId="6A52065B"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67CAC26C"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6891A29E"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36186B21"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61D2A1C2" w14:textId="77777777" w:rsidR="00A52778" w:rsidRPr="00460F9E" w:rsidRDefault="00A52778" w:rsidP="00FC3F8E">
            <w:pPr>
              <w:spacing w:line="240" w:lineRule="auto"/>
              <w:rPr>
                <w:rFonts w:eastAsia="Times New Roman" w:cs="Times New Roman"/>
                <w:b/>
              </w:rPr>
            </w:pPr>
          </w:p>
        </w:tc>
      </w:tr>
      <w:tr w:rsidR="00A52778" w:rsidRPr="00460F9E" w14:paraId="3F61D48F" w14:textId="77777777" w:rsidTr="00FC3F8E">
        <w:trPr>
          <w:trHeight w:val="305"/>
        </w:trPr>
        <w:tc>
          <w:tcPr>
            <w:tcW w:w="380" w:type="dxa"/>
            <w:tcBorders>
              <w:left w:val="single" w:sz="8" w:space="0" w:color="auto"/>
              <w:right w:val="single" w:sz="8" w:space="0" w:color="auto"/>
            </w:tcBorders>
            <w:shd w:val="clear" w:color="auto" w:fill="auto"/>
            <w:vAlign w:val="bottom"/>
          </w:tcPr>
          <w:p w14:paraId="253F248F"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026A4936"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42874621" w14:textId="77777777" w:rsidR="00A52778" w:rsidRPr="00460F9E" w:rsidRDefault="00A52778" w:rsidP="00FC3F8E">
            <w:pPr>
              <w:spacing w:line="240" w:lineRule="auto"/>
              <w:rPr>
                <w:rFonts w:eastAsia="Times New Roman" w:cs="Times New Roman"/>
                <w:b/>
              </w:rPr>
            </w:pPr>
          </w:p>
        </w:tc>
        <w:tc>
          <w:tcPr>
            <w:tcW w:w="53" w:type="dxa"/>
            <w:shd w:val="clear" w:color="auto" w:fill="auto"/>
            <w:vAlign w:val="bottom"/>
          </w:tcPr>
          <w:p w14:paraId="5A9A2B98" w14:textId="77777777" w:rsidR="00A52778" w:rsidRPr="00460F9E" w:rsidRDefault="00A52778" w:rsidP="00FC3F8E">
            <w:pPr>
              <w:spacing w:line="240" w:lineRule="auto"/>
              <w:rPr>
                <w:rFonts w:eastAsia="Times New Roman" w:cs="Times New Roman"/>
                <w:b/>
              </w:rPr>
            </w:pPr>
          </w:p>
        </w:tc>
        <w:tc>
          <w:tcPr>
            <w:tcW w:w="3240" w:type="dxa"/>
            <w:gridSpan w:val="8"/>
            <w:tcBorders>
              <w:right w:val="single" w:sz="8" w:space="0" w:color="auto"/>
            </w:tcBorders>
            <w:shd w:val="clear" w:color="auto" w:fill="auto"/>
            <w:vAlign w:val="bottom"/>
          </w:tcPr>
          <w:p w14:paraId="67873B43"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 yüksek basınçlarda (örn. 300 bar ile</w:t>
            </w:r>
          </w:p>
        </w:tc>
        <w:tc>
          <w:tcPr>
            <w:tcW w:w="1020" w:type="dxa"/>
            <w:tcBorders>
              <w:right w:val="single" w:sz="8" w:space="0" w:color="auto"/>
            </w:tcBorders>
            <w:shd w:val="clear" w:color="auto" w:fill="auto"/>
            <w:vAlign w:val="bottom"/>
          </w:tcPr>
          <w:p w14:paraId="49F95966" w14:textId="77777777" w:rsidR="00A52778" w:rsidRPr="00460F9E" w:rsidRDefault="00A52778" w:rsidP="00FC3F8E">
            <w:pPr>
              <w:spacing w:line="240" w:lineRule="auto"/>
              <w:rPr>
                <w:rFonts w:eastAsia="Times New Roman" w:cs="Times New Roman"/>
                <w:b/>
              </w:rPr>
            </w:pPr>
          </w:p>
        </w:tc>
        <w:tc>
          <w:tcPr>
            <w:tcW w:w="980" w:type="dxa"/>
            <w:shd w:val="clear" w:color="auto" w:fill="auto"/>
            <w:vAlign w:val="bottom"/>
          </w:tcPr>
          <w:p w14:paraId="7DE772A5"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332626EB"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59AFCC54"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483E8CE1"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22AF6FD4" w14:textId="77777777" w:rsidR="00A52778" w:rsidRPr="00460F9E" w:rsidRDefault="00A52778" w:rsidP="00FC3F8E">
            <w:pPr>
              <w:spacing w:line="240" w:lineRule="auto"/>
              <w:rPr>
                <w:rFonts w:eastAsia="Times New Roman" w:cs="Times New Roman"/>
                <w:b/>
              </w:rPr>
            </w:pPr>
          </w:p>
        </w:tc>
      </w:tr>
      <w:tr w:rsidR="00A52778" w:rsidRPr="00460F9E" w14:paraId="7C6C91E2" w14:textId="77777777" w:rsidTr="00FC3F8E">
        <w:trPr>
          <w:trHeight w:val="230"/>
        </w:trPr>
        <w:tc>
          <w:tcPr>
            <w:tcW w:w="380" w:type="dxa"/>
            <w:tcBorders>
              <w:left w:val="single" w:sz="8" w:space="0" w:color="auto"/>
              <w:right w:val="single" w:sz="8" w:space="0" w:color="auto"/>
            </w:tcBorders>
            <w:shd w:val="clear" w:color="auto" w:fill="auto"/>
            <w:vAlign w:val="bottom"/>
          </w:tcPr>
          <w:p w14:paraId="272442CC"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35236593"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29FC8D99" w14:textId="77777777" w:rsidR="00A52778" w:rsidRPr="00460F9E" w:rsidRDefault="00A52778" w:rsidP="00FC3F8E">
            <w:pPr>
              <w:spacing w:line="240" w:lineRule="auto"/>
              <w:rPr>
                <w:rFonts w:eastAsia="Times New Roman" w:cs="Times New Roman"/>
                <w:b/>
              </w:rPr>
            </w:pPr>
          </w:p>
        </w:tc>
        <w:tc>
          <w:tcPr>
            <w:tcW w:w="53" w:type="dxa"/>
            <w:shd w:val="clear" w:color="auto" w:fill="auto"/>
            <w:vAlign w:val="bottom"/>
          </w:tcPr>
          <w:p w14:paraId="58D0EE36" w14:textId="77777777" w:rsidR="00A52778" w:rsidRPr="00460F9E" w:rsidRDefault="00A52778" w:rsidP="00FC3F8E">
            <w:pPr>
              <w:spacing w:line="240" w:lineRule="auto"/>
              <w:rPr>
                <w:rFonts w:eastAsia="Times New Roman" w:cs="Times New Roman"/>
                <w:b/>
              </w:rPr>
            </w:pPr>
          </w:p>
        </w:tc>
        <w:tc>
          <w:tcPr>
            <w:tcW w:w="3240" w:type="dxa"/>
            <w:gridSpan w:val="8"/>
            <w:tcBorders>
              <w:right w:val="single" w:sz="8" w:space="0" w:color="auto"/>
            </w:tcBorders>
            <w:shd w:val="clear" w:color="auto" w:fill="auto"/>
            <w:vAlign w:val="bottom"/>
          </w:tcPr>
          <w:p w14:paraId="624F8055" w14:textId="77777777" w:rsidR="00A52778" w:rsidRPr="00460F9E" w:rsidRDefault="00A52778" w:rsidP="00FC3F8E">
            <w:pPr>
              <w:spacing w:line="240" w:lineRule="auto"/>
              <w:ind w:left="140"/>
              <w:rPr>
                <w:rFonts w:eastAsia="Times New Roman" w:cs="Times New Roman"/>
                <w:b/>
              </w:rPr>
            </w:pPr>
            <w:r w:rsidRPr="00460F9E">
              <w:rPr>
                <w:rFonts w:eastAsia="Times New Roman" w:cs="Times New Roman"/>
              </w:rPr>
              <w:t xml:space="preserve">    2000 bar arasında) işletilen   </w:t>
            </w:r>
          </w:p>
          <w:p w14:paraId="1EFB1A3E" w14:textId="77777777" w:rsidR="00A52778" w:rsidRPr="00460F9E" w:rsidRDefault="00A52778" w:rsidP="00FC3F8E">
            <w:pPr>
              <w:spacing w:line="240" w:lineRule="auto"/>
              <w:ind w:left="140"/>
              <w:rPr>
                <w:rFonts w:eastAsia="Times New Roman" w:cs="Times New Roman"/>
                <w:b/>
              </w:rPr>
            </w:pPr>
            <w:r w:rsidRPr="00460F9E">
              <w:rPr>
                <w:rFonts w:eastAsia="Times New Roman" w:cs="Times New Roman"/>
              </w:rPr>
              <w:t xml:space="preserve">    proseslerden kaynaklanan sızıntılar.</w:t>
            </w:r>
          </w:p>
        </w:tc>
        <w:tc>
          <w:tcPr>
            <w:tcW w:w="1020" w:type="dxa"/>
            <w:tcBorders>
              <w:right w:val="single" w:sz="8" w:space="0" w:color="auto"/>
            </w:tcBorders>
            <w:shd w:val="clear" w:color="auto" w:fill="auto"/>
            <w:vAlign w:val="bottom"/>
          </w:tcPr>
          <w:p w14:paraId="222A7C70" w14:textId="77777777" w:rsidR="00A52778" w:rsidRPr="00460F9E" w:rsidRDefault="00A52778" w:rsidP="00FC3F8E">
            <w:pPr>
              <w:spacing w:line="240" w:lineRule="auto"/>
              <w:rPr>
                <w:rFonts w:eastAsia="Times New Roman" w:cs="Times New Roman"/>
                <w:b/>
              </w:rPr>
            </w:pPr>
          </w:p>
        </w:tc>
        <w:tc>
          <w:tcPr>
            <w:tcW w:w="980" w:type="dxa"/>
            <w:shd w:val="clear" w:color="auto" w:fill="auto"/>
            <w:vAlign w:val="bottom"/>
          </w:tcPr>
          <w:p w14:paraId="52F4AC34"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0F7F26BA"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1BFD6D43"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645565F3"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3B350779" w14:textId="77777777" w:rsidR="00A52778" w:rsidRPr="00460F9E" w:rsidRDefault="00A52778" w:rsidP="00FC3F8E">
            <w:pPr>
              <w:spacing w:line="240" w:lineRule="auto"/>
              <w:rPr>
                <w:rFonts w:eastAsia="Times New Roman" w:cs="Times New Roman"/>
                <w:b/>
              </w:rPr>
            </w:pPr>
          </w:p>
        </w:tc>
      </w:tr>
      <w:tr w:rsidR="00A52778" w:rsidRPr="00460F9E" w14:paraId="6D7CE4CD" w14:textId="77777777" w:rsidTr="00FC3F8E">
        <w:trPr>
          <w:trHeight w:val="230"/>
        </w:trPr>
        <w:tc>
          <w:tcPr>
            <w:tcW w:w="380" w:type="dxa"/>
            <w:tcBorders>
              <w:left w:val="single" w:sz="8" w:space="0" w:color="auto"/>
              <w:right w:val="single" w:sz="8" w:space="0" w:color="auto"/>
            </w:tcBorders>
            <w:shd w:val="clear" w:color="auto" w:fill="auto"/>
            <w:vAlign w:val="bottom"/>
          </w:tcPr>
          <w:p w14:paraId="6C257EA3"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75783703"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1FE35B6A" w14:textId="77777777" w:rsidR="00A52778" w:rsidRPr="00460F9E" w:rsidRDefault="00A52778" w:rsidP="00FC3F8E">
            <w:pPr>
              <w:spacing w:line="240" w:lineRule="auto"/>
              <w:rPr>
                <w:rFonts w:eastAsia="Times New Roman" w:cs="Times New Roman"/>
                <w:b/>
              </w:rPr>
            </w:pPr>
          </w:p>
        </w:tc>
        <w:tc>
          <w:tcPr>
            <w:tcW w:w="53" w:type="dxa"/>
            <w:shd w:val="clear" w:color="auto" w:fill="auto"/>
            <w:vAlign w:val="bottom"/>
          </w:tcPr>
          <w:p w14:paraId="7036A595" w14:textId="77777777" w:rsidR="00A52778" w:rsidRPr="00460F9E" w:rsidRDefault="00A52778" w:rsidP="00FC3F8E">
            <w:pPr>
              <w:spacing w:line="240" w:lineRule="auto"/>
              <w:rPr>
                <w:rFonts w:eastAsia="Times New Roman" w:cs="Times New Roman"/>
                <w:b/>
              </w:rPr>
            </w:pPr>
          </w:p>
        </w:tc>
        <w:tc>
          <w:tcPr>
            <w:tcW w:w="1360" w:type="dxa"/>
            <w:gridSpan w:val="3"/>
            <w:shd w:val="clear" w:color="auto" w:fill="auto"/>
            <w:vAlign w:val="bottom"/>
          </w:tcPr>
          <w:p w14:paraId="7B7B282E" w14:textId="77777777" w:rsidR="00A52778" w:rsidRPr="00460F9E" w:rsidRDefault="00A52778" w:rsidP="00FC3F8E">
            <w:pPr>
              <w:spacing w:line="240" w:lineRule="auto"/>
              <w:ind w:left="140"/>
              <w:rPr>
                <w:rFonts w:eastAsia="Times New Roman" w:cs="Times New Roman"/>
                <w:b/>
                <w:w w:val="99"/>
              </w:rPr>
            </w:pPr>
          </w:p>
        </w:tc>
        <w:tc>
          <w:tcPr>
            <w:tcW w:w="280" w:type="dxa"/>
            <w:shd w:val="clear" w:color="auto" w:fill="auto"/>
            <w:vAlign w:val="bottom"/>
          </w:tcPr>
          <w:p w14:paraId="3EC17202" w14:textId="77777777" w:rsidR="00A52778" w:rsidRPr="00460F9E" w:rsidRDefault="00A52778" w:rsidP="00FC3F8E">
            <w:pPr>
              <w:spacing w:line="240" w:lineRule="auto"/>
              <w:rPr>
                <w:rFonts w:eastAsia="Times New Roman" w:cs="Times New Roman"/>
                <w:b/>
              </w:rPr>
            </w:pPr>
          </w:p>
        </w:tc>
        <w:tc>
          <w:tcPr>
            <w:tcW w:w="320" w:type="dxa"/>
            <w:shd w:val="clear" w:color="auto" w:fill="auto"/>
            <w:vAlign w:val="bottom"/>
          </w:tcPr>
          <w:p w14:paraId="1E3F95F6"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0868D30A"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3874E3DA" w14:textId="77777777" w:rsidR="00A52778" w:rsidRPr="00460F9E" w:rsidRDefault="00A52778" w:rsidP="00FC3F8E">
            <w:pPr>
              <w:spacing w:line="240" w:lineRule="auto"/>
              <w:rPr>
                <w:rFonts w:eastAsia="Times New Roman" w:cs="Times New Roman"/>
                <w:b/>
              </w:rPr>
            </w:pPr>
          </w:p>
        </w:tc>
        <w:tc>
          <w:tcPr>
            <w:tcW w:w="480" w:type="dxa"/>
            <w:tcBorders>
              <w:right w:val="single" w:sz="8" w:space="0" w:color="auto"/>
            </w:tcBorders>
            <w:shd w:val="clear" w:color="auto" w:fill="auto"/>
            <w:vAlign w:val="bottom"/>
          </w:tcPr>
          <w:p w14:paraId="7755E507" w14:textId="77777777" w:rsidR="00A52778" w:rsidRPr="00460F9E" w:rsidRDefault="00A52778" w:rsidP="00FC3F8E">
            <w:pPr>
              <w:spacing w:line="240" w:lineRule="auto"/>
              <w:rPr>
                <w:rFonts w:eastAsia="Times New Roman" w:cs="Times New Roman"/>
                <w:b/>
              </w:rPr>
            </w:pPr>
          </w:p>
        </w:tc>
        <w:tc>
          <w:tcPr>
            <w:tcW w:w="1020" w:type="dxa"/>
            <w:tcBorders>
              <w:right w:val="single" w:sz="8" w:space="0" w:color="auto"/>
            </w:tcBorders>
            <w:shd w:val="clear" w:color="auto" w:fill="auto"/>
            <w:vAlign w:val="bottom"/>
          </w:tcPr>
          <w:p w14:paraId="35403EA5" w14:textId="77777777" w:rsidR="00A52778" w:rsidRPr="00460F9E" w:rsidRDefault="00A52778" w:rsidP="00FC3F8E">
            <w:pPr>
              <w:spacing w:line="240" w:lineRule="auto"/>
              <w:rPr>
                <w:rFonts w:eastAsia="Times New Roman" w:cs="Times New Roman"/>
                <w:b/>
              </w:rPr>
            </w:pPr>
          </w:p>
        </w:tc>
        <w:tc>
          <w:tcPr>
            <w:tcW w:w="980" w:type="dxa"/>
            <w:shd w:val="clear" w:color="auto" w:fill="auto"/>
            <w:vAlign w:val="bottom"/>
          </w:tcPr>
          <w:p w14:paraId="7CB01894"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0AABE167"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7EF2D4CD"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44DAB901"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15F83102" w14:textId="77777777" w:rsidR="00A52778" w:rsidRPr="00460F9E" w:rsidRDefault="00A52778" w:rsidP="00FC3F8E">
            <w:pPr>
              <w:spacing w:line="240" w:lineRule="auto"/>
              <w:rPr>
                <w:rFonts w:eastAsia="Times New Roman" w:cs="Times New Roman"/>
                <w:b/>
              </w:rPr>
            </w:pPr>
          </w:p>
        </w:tc>
      </w:tr>
      <w:tr w:rsidR="00A52778" w:rsidRPr="00460F9E" w14:paraId="7609CC2F" w14:textId="77777777" w:rsidTr="00FC3F8E">
        <w:trPr>
          <w:trHeight w:val="288"/>
        </w:trPr>
        <w:tc>
          <w:tcPr>
            <w:tcW w:w="380" w:type="dxa"/>
            <w:tcBorders>
              <w:left w:val="single" w:sz="8" w:space="0" w:color="auto"/>
              <w:right w:val="single" w:sz="8" w:space="0" w:color="auto"/>
            </w:tcBorders>
            <w:shd w:val="clear" w:color="auto" w:fill="auto"/>
            <w:vAlign w:val="bottom"/>
          </w:tcPr>
          <w:p w14:paraId="6B628CD3"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3EC15A56"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1AB36D6F" w14:textId="77777777" w:rsidR="00A52778" w:rsidRPr="00460F9E" w:rsidRDefault="00A52778" w:rsidP="00FC3F8E">
            <w:pPr>
              <w:spacing w:line="240" w:lineRule="auto"/>
              <w:rPr>
                <w:rFonts w:eastAsia="Times New Roman" w:cs="Times New Roman"/>
                <w:b/>
              </w:rPr>
            </w:pPr>
          </w:p>
        </w:tc>
        <w:tc>
          <w:tcPr>
            <w:tcW w:w="3293" w:type="dxa"/>
            <w:gridSpan w:val="9"/>
            <w:vMerge w:val="restart"/>
            <w:tcBorders>
              <w:right w:val="single" w:sz="8" w:space="0" w:color="auto"/>
            </w:tcBorders>
            <w:shd w:val="clear" w:color="auto" w:fill="auto"/>
            <w:vAlign w:val="bottom"/>
          </w:tcPr>
          <w:p w14:paraId="707A0D25"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Yüksek bütünlüğe sahip ekipmanlar, </w:t>
            </w:r>
          </w:p>
          <w:p w14:paraId="15572BC5"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proses türüne ve proses çalışma </w:t>
            </w:r>
          </w:p>
          <w:p w14:paraId="4C36EAA0"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koşullarına göre seçilir, kurulur ve bakımı </w:t>
            </w:r>
          </w:p>
          <w:p w14:paraId="71D3CF98" w14:textId="77777777" w:rsidR="00A52778" w:rsidRPr="00460F9E" w:rsidRDefault="00A52778" w:rsidP="00FC3F8E">
            <w:pPr>
              <w:spacing w:line="240" w:lineRule="auto"/>
              <w:rPr>
                <w:rFonts w:eastAsia="Times New Roman" w:cs="Times New Roman"/>
                <w:b/>
              </w:rPr>
            </w:pPr>
            <w:r w:rsidRPr="00460F9E">
              <w:rPr>
                <w:rFonts w:eastAsia="Times New Roman" w:cs="Times New Roman"/>
              </w:rPr>
              <w:t xml:space="preserve">  yapılır.</w:t>
            </w:r>
          </w:p>
        </w:tc>
        <w:tc>
          <w:tcPr>
            <w:tcW w:w="1020" w:type="dxa"/>
            <w:tcBorders>
              <w:right w:val="single" w:sz="8" w:space="0" w:color="auto"/>
            </w:tcBorders>
            <w:shd w:val="clear" w:color="auto" w:fill="auto"/>
            <w:vAlign w:val="bottom"/>
          </w:tcPr>
          <w:p w14:paraId="65CFE165" w14:textId="77777777" w:rsidR="00A52778" w:rsidRPr="00460F9E" w:rsidRDefault="00A52778" w:rsidP="00FC3F8E">
            <w:pPr>
              <w:spacing w:line="240" w:lineRule="auto"/>
              <w:rPr>
                <w:rFonts w:eastAsia="Times New Roman" w:cs="Times New Roman"/>
                <w:b/>
              </w:rPr>
            </w:pPr>
          </w:p>
        </w:tc>
        <w:tc>
          <w:tcPr>
            <w:tcW w:w="980" w:type="dxa"/>
            <w:shd w:val="clear" w:color="auto" w:fill="auto"/>
            <w:vAlign w:val="bottom"/>
          </w:tcPr>
          <w:p w14:paraId="7306BE2C"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64BAA00F"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669B45E0"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6DD487D3"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0D6BA79C" w14:textId="77777777" w:rsidR="00A52778" w:rsidRPr="00460F9E" w:rsidRDefault="00A52778" w:rsidP="00FC3F8E">
            <w:pPr>
              <w:spacing w:line="240" w:lineRule="auto"/>
              <w:rPr>
                <w:rFonts w:eastAsia="Times New Roman" w:cs="Times New Roman"/>
                <w:b/>
              </w:rPr>
            </w:pPr>
          </w:p>
        </w:tc>
      </w:tr>
      <w:tr w:rsidR="00A52778" w:rsidRPr="00460F9E" w14:paraId="2C6D0201" w14:textId="77777777" w:rsidTr="00FC3F8E">
        <w:trPr>
          <w:trHeight w:val="230"/>
        </w:trPr>
        <w:tc>
          <w:tcPr>
            <w:tcW w:w="380" w:type="dxa"/>
            <w:tcBorders>
              <w:left w:val="single" w:sz="8" w:space="0" w:color="auto"/>
              <w:right w:val="single" w:sz="8" w:space="0" w:color="auto"/>
            </w:tcBorders>
            <w:shd w:val="clear" w:color="auto" w:fill="auto"/>
            <w:vAlign w:val="bottom"/>
          </w:tcPr>
          <w:p w14:paraId="70EB0FF9"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04D0A8B0"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53E42AB3" w14:textId="77777777" w:rsidR="00A52778" w:rsidRPr="00460F9E" w:rsidRDefault="00A52778" w:rsidP="00FC3F8E">
            <w:pPr>
              <w:spacing w:line="240" w:lineRule="auto"/>
              <w:rPr>
                <w:rFonts w:eastAsia="Times New Roman" w:cs="Times New Roman"/>
                <w:b/>
              </w:rPr>
            </w:pPr>
          </w:p>
        </w:tc>
        <w:tc>
          <w:tcPr>
            <w:tcW w:w="3293" w:type="dxa"/>
            <w:gridSpan w:val="9"/>
            <w:vMerge/>
            <w:tcBorders>
              <w:right w:val="single" w:sz="8" w:space="0" w:color="auto"/>
            </w:tcBorders>
            <w:shd w:val="clear" w:color="auto" w:fill="auto"/>
            <w:vAlign w:val="bottom"/>
          </w:tcPr>
          <w:p w14:paraId="7346E8CB" w14:textId="77777777" w:rsidR="00A52778" w:rsidRPr="00460F9E" w:rsidRDefault="00A52778" w:rsidP="00FC3F8E">
            <w:pPr>
              <w:spacing w:line="240" w:lineRule="auto"/>
              <w:rPr>
                <w:rFonts w:eastAsia="Times New Roman" w:cs="Times New Roman"/>
                <w:b/>
              </w:rPr>
            </w:pPr>
          </w:p>
        </w:tc>
        <w:tc>
          <w:tcPr>
            <w:tcW w:w="1020" w:type="dxa"/>
            <w:tcBorders>
              <w:right w:val="single" w:sz="8" w:space="0" w:color="auto"/>
            </w:tcBorders>
            <w:shd w:val="clear" w:color="auto" w:fill="auto"/>
            <w:vAlign w:val="bottom"/>
          </w:tcPr>
          <w:p w14:paraId="025DB6CD" w14:textId="77777777" w:rsidR="00A52778" w:rsidRPr="00460F9E" w:rsidRDefault="00A52778" w:rsidP="00FC3F8E">
            <w:pPr>
              <w:spacing w:line="240" w:lineRule="auto"/>
              <w:rPr>
                <w:rFonts w:eastAsia="Times New Roman" w:cs="Times New Roman"/>
                <w:b/>
              </w:rPr>
            </w:pPr>
          </w:p>
        </w:tc>
        <w:tc>
          <w:tcPr>
            <w:tcW w:w="980" w:type="dxa"/>
            <w:shd w:val="clear" w:color="auto" w:fill="auto"/>
            <w:vAlign w:val="bottom"/>
          </w:tcPr>
          <w:p w14:paraId="603A7E1C"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3F04D563"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377AFFF2"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04B9BD9C"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64ABC337" w14:textId="77777777" w:rsidR="00A52778" w:rsidRPr="00460F9E" w:rsidRDefault="00A52778" w:rsidP="00FC3F8E">
            <w:pPr>
              <w:spacing w:line="240" w:lineRule="auto"/>
              <w:rPr>
                <w:rFonts w:eastAsia="Times New Roman" w:cs="Times New Roman"/>
                <w:b/>
              </w:rPr>
            </w:pPr>
          </w:p>
        </w:tc>
      </w:tr>
      <w:tr w:rsidR="00A52778" w:rsidRPr="00460F9E" w14:paraId="6F39B375" w14:textId="77777777" w:rsidTr="00FC3F8E">
        <w:trPr>
          <w:trHeight w:val="230"/>
        </w:trPr>
        <w:tc>
          <w:tcPr>
            <w:tcW w:w="380" w:type="dxa"/>
            <w:tcBorders>
              <w:left w:val="single" w:sz="8" w:space="0" w:color="auto"/>
              <w:right w:val="single" w:sz="8" w:space="0" w:color="auto"/>
            </w:tcBorders>
            <w:shd w:val="clear" w:color="auto" w:fill="auto"/>
            <w:vAlign w:val="bottom"/>
          </w:tcPr>
          <w:p w14:paraId="6CF29EDA"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32C4FDC4"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4A4829AF" w14:textId="77777777" w:rsidR="00A52778" w:rsidRPr="00460F9E" w:rsidRDefault="00A52778" w:rsidP="00FC3F8E">
            <w:pPr>
              <w:spacing w:line="240" w:lineRule="auto"/>
              <w:rPr>
                <w:rFonts w:eastAsia="Times New Roman" w:cs="Times New Roman"/>
                <w:b/>
              </w:rPr>
            </w:pPr>
          </w:p>
        </w:tc>
        <w:tc>
          <w:tcPr>
            <w:tcW w:w="3293" w:type="dxa"/>
            <w:gridSpan w:val="9"/>
            <w:vMerge/>
            <w:tcBorders>
              <w:right w:val="single" w:sz="8" w:space="0" w:color="auto"/>
            </w:tcBorders>
            <w:shd w:val="clear" w:color="auto" w:fill="auto"/>
            <w:vAlign w:val="bottom"/>
          </w:tcPr>
          <w:p w14:paraId="4D74047A" w14:textId="77777777" w:rsidR="00A52778" w:rsidRPr="00460F9E" w:rsidRDefault="00A52778" w:rsidP="00FC3F8E">
            <w:pPr>
              <w:spacing w:line="240" w:lineRule="auto"/>
              <w:rPr>
                <w:rFonts w:eastAsia="Times New Roman" w:cs="Times New Roman"/>
                <w:b/>
              </w:rPr>
            </w:pPr>
          </w:p>
        </w:tc>
        <w:tc>
          <w:tcPr>
            <w:tcW w:w="1020" w:type="dxa"/>
            <w:tcBorders>
              <w:right w:val="single" w:sz="8" w:space="0" w:color="auto"/>
            </w:tcBorders>
            <w:shd w:val="clear" w:color="auto" w:fill="auto"/>
            <w:vAlign w:val="bottom"/>
          </w:tcPr>
          <w:p w14:paraId="76DC975B" w14:textId="77777777" w:rsidR="00A52778" w:rsidRPr="00460F9E" w:rsidRDefault="00A52778" w:rsidP="00FC3F8E">
            <w:pPr>
              <w:spacing w:line="240" w:lineRule="auto"/>
              <w:rPr>
                <w:rFonts w:eastAsia="Times New Roman" w:cs="Times New Roman"/>
                <w:b/>
              </w:rPr>
            </w:pPr>
          </w:p>
        </w:tc>
        <w:tc>
          <w:tcPr>
            <w:tcW w:w="980" w:type="dxa"/>
            <w:shd w:val="clear" w:color="auto" w:fill="auto"/>
            <w:vAlign w:val="bottom"/>
          </w:tcPr>
          <w:p w14:paraId="07A77280"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3DE05677"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6261F562"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630FAEDB"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6BB3E3DE" w14:textId="77777777" w:rsidR="00A52778" w:rsidRPr="00460F9E" w:rsidRDefault="00A52778" w:rsidP="00FC3F8E">
            <w:pPr>
              <w:spacing w:line="240" w:lineRule="auto"/>
              <w:rPr>
                <w:rFonts w:eastAsia="Times New Roman" w:cs="Times New Roman"/>
                <w:b/>
              </w:rPr>
            </w:pPr>
          </w:p>
        </w:tc>
      </w:tr>
      <w:tr w:rsidR="00A52778" w:rsidRPr="00460F9E" w14:paraId="79DF3364" w14:textId="77777777" w:rsidTr="00FC3F8E">
        <w:trPr>
          <w:trHeight w:val="230"/>
        </w:trPr>
        <w:tc>
          <w:tcPr>
            <w:tcW w:w="380" w:type="dxa"/>
            <w:tcBorders>
              <w:left w:val="single" w:sz="8" w:space="0" w:color="auto"/>
              <w:right w:val="single" w:sz="8" w:space="0" w:color="auto"/>
            </w:tcBorders>
            <w:shd w:val="clear" w:color="auto" w:fill="auto"/>
            <w:vAlign w:val="bottom"/>
          </w:tcPr>
          <w:p w14:paraId="13A67A6E" w14:textId="77777777" w:rsidR="00A52778" w:rsidRPr="00460F9E" w:rsidRDefault="00A52778" w:rsidP="00FC3F8E">
            <w:pPr>
              <w:spacing w:line="240" w:lineRule="auto"/>
              <w:rPr>
                <w:rFonts w:eastAsia="Times New Roman" w:cs="Times New Roman"/>
                <w:b/>
              </w:rPr>
            </w:pPr>
          </w:p>
        </w:tc>
        <w:tc>
          <w:tcPr>
            <w:tcW w:w="1301" w:type="dxa"/>
            <w:shd w:val="clear" w:color="auto" w:fill="auto"/>
            <w:vAlign w:val="bottom"/>
          </w:tcPr>
          <w:p w14:paraId="74B3893A" w14:textId="77777777" w:rsidR="00A52778" w:rsidRPr="00460F9E" w:rsidRDefault="00A52778" w:rsidP="00FC3F8E">
            <w:pPr>
              <w:spacing w:line="240" w:lineRule="auto"/>
              <w:rPr>
                <w:rFonts w:eastAsia="Times New Roman" w:cs="Times New Roman"/>
                <w:b/>
              </w:rPr>
            </w:pPr>
          </w:p>
        </w:tc>
        <w:tc>
          <w:tcPr>
            <w:tcW w:w="426" w:type="dxa"/>
            <w:tcBorders>
              <w:right w:val="single" w:sz="8" w:space="0" w:color="auto"/>
            </w:tcBorders>
            <w:shd w:val="clear" w:color="auto" w:fill="auto"/>
            <w:vAlign w:val="bottom"/>
          </w:tcPr>
          <w:p w14:paraId="26A469E9" w14:textId="77777777" w:rsidR="00A52778" w:rsidRPr="00460F9E" w:rsidRDefault="00A52778" w:rsidP="00FC3F8E">
            <w:pPr>
              <w:spacing w:line="240" w:lineRule="auto"/>
              <w:rPr>
                <w:rFonts w:eastAsia="Times New Roman" w:cs="Times New Roman"/>
                <w:b/>
              </w:rPr>
            </w:pPr>
          </w:p>
        </w:tc>
        <w:tc>
          <w:tcPr>
            <w:tcW w:w="3293" w:type="dxa"/>
            <w:gridSpan w:val="9"/>
            <w:vMerge/>
            <w:tcBorders>
              <w:right w:val="single" w:sz="8" w:space="0" w:color="auto"/>
            </w:tcBorders>
            <w:shd w:val="clear" w:color="auto" w:fill="auto"/>
            <w:vAlign w:val="bottom"/>
          </w:tcPr>
          <w:p w14:paraId="0C7FE298" w14:textId="77777777" w:rsidR="00A52778" w:rsidRPr="00460F9E" w:rsidRDefault="00A52778" w:rsidP="00FC3F8E">
            <w:pPr>
              <w:spacing w:line="240" w:lineRule="auto"/>
              <w:rPr>
                <w:rFonts w:eastAsia="Times New Roman" w:cs="Times New Roman"/>
                <w:b/>
              </w:rPr>
            </w:pPr>
          </w:p>
        </w:tc>
        <w:tc>
          <w:tcPr>
            <w:tcW w:w="1020" w:type="dxa"/>
            <w:tcBorders>
              <w:left w:val="single" w:sz="8" w:space="0" w:color="auto"/>
              <w:right w:val="single" w:sz="8" w:space="0" w:color="auto"/>
            </w:tcBorders>
            <w:shd w:val="clear" w:color="auto" w:fill="auto"/>
            <w:vAlign w:val="bottom"/>
          </w:tcPr>
          <w:p w14:paraId="2124979E" w14:textId="77777777" w:rsidR="00A52778" w:rsidRPr="00460F9E" w:rsidRDefault="00A52778" w:rsidP="00FC3F8E">
            <w:pPr>
              <w:spacing w:line="240" w:lineRule="auto"/>
              <w:rPr>
                <w:rFonts w:eastAsia="Times New Roman" w:cs="Times New Roman"/>
                <w:b/>
              </w:rPr>
            </w:pPr>
          </w:p>
        </w:tc>
        <w:tc>
          <w:tcPr>
            <w:tcW w:w="980" w:type="dxa"/>
            <w:shd w:val="clear" w:color="auto" w:fill="auto"/>
            <w:vAlign w:val="bottom"/>
          </w:tcPr>
          <w:p w14:paraId="13D95D4C" w14:textId="77777777" w:rsidR="00A52778" w:rsidRPr="00460F9E" w:rsidRDefault="00A52778" w:rsidP="00FC3F8E">
            <w:pPr>
              <w:spacing w:line="240" w:lineRule="auto"/>
              <w:rPr>
                <w:rFonts w:eastAsia="Times New Roman" w:cs="Times New Roman"/>
                <w:b/>
              </w:rPr>
            </w:pPr>
          </w:p>
        </w:tc>
        <w:tc>
          <w:tcPr>
            <w:tcW w:w="400" w:type="dxa"/>
            <w:shd w:val="clear" w:color="auto" w:fill="auto"/>
            <w:vAlign w:val="bottom"/>
          </w:tcPr>
          <w:p w14:paraId="14DCD85F" w14:textId="77777777" w:rsidR="00A52778" w:rsidRPr="00460F9E" w:rsidRDefault="00A52778" w:rsidP="00FC3F8E">
            <w:pPr>
              <w:spacing w:line="240" w:lineRule="auto"/>
              <w:rPr>
                <w:rFonts w:eastAsia="Times New Roman" w:cs="Times New Roman"/>
                <w:b/>
              </w:rPr>
            </w:pPr>
          </w:p>
        </w:tc>
        <w:tc>
          <w:tcPr>
            <w:tcW w:w="480" w:type="dxa"/>
            <w:shd w:val="clear" w:color="auto" w:fill="auto"/>
            <w:vAlign w:val="bottom"/>
          </w:tcPr>
          <w:p w14:paraId="77656AFB" w14:textId="77777777" w:rsidR="00A52778" w:rsidRPr="00460F9E" w:rsidRDefault="00A52778" w:rsidP="00FC3F8E">
            <w:pPr>
              <w:spacing w:line="240" w:lineRule="auto"/>
              <w:rPr>
                <w:rFonts w:eastAsia="Times New Roman" w:cs="Times New Roman"/>
                <w:b/>
              </w:rPr>
            </w:pPr>
          </w:p>
        </w:tc>
        <w:tc>
          <w:tcPr>
            <w:tcW w:w="280" w:type="dxa"/>
            <w:shd w:val="clear" w:color="auto" w:fill="auto"/>
            <w:vAlign w:val="bottom"/>
          </w:tcPr>
          <w:p w14:paraId="08C6216A" w14:textId="77777777" w:rsidR="00A52778" w:rsidRPr="00460F9E" w:rsidRDefault="00A52778" w:rsidP="00FC3F8E">
            <w:pPr>
              <w:spacing w:line="240" w:lineRule="auto"/>
              <w:rPr>
                <w:rFonts w:eastAsia="Times New Roman" w:cs="Times New Roman"/>
                <w:b/>
              </w:rPr>
            </w:pPr>
          </w:p>
        </w:tc>
        <w:tc>
          <w:tcPr>
            <w:tcW w:w="560" w:type="dxa"/>
            <w:tcBorders>
              <w:right w:val="single" w:sz="8" w:space="0" w:color="auto"/>
            </w:tcBorders>
            <w:shd w:val="clear" w:color="auto" w:fill="auto"/>
            <w:vAlign w:val="bottom"/>
          </w:tcPr>
          <w:p w14:paraId="33FC874C" w14:textId="77777777" w:rsidR="00A52778" w:rsidRPr="00460F9E" w:rsidRDefault="00A52778" w:rsidP="00FC3F8E">
            <w:pPr>
              <w:spacing w:line="240" w:lineRule="auto"/>
              <w:rPr>
                <w:rFonts w:eastAsia="Times New Roman" w:cs="Times New Roman"/>
                <w:b/>
              </w:rPr>
            </w:pPr>
          </w:p>
        </w:tc>
      </w:tr>
      <w:tr w:rsidR="00A52778" w:rsidRPr="00460F9E" w14:paraId="322E4620" w14:textId="77777777" w:rsidTr="00FC3F8E">
        <w:trPr>
          <w:trHeight w:val="66"/>
        </w:trPr>
        <w:tc>
          <w:tcPr>
            <w:tcW w:w="380" w:type="dxa"/>
            <w:tcBorders>
              <w:left w:val="single" w:sz="8" w:space="0" w:color="auto"/>
              <w:bottom w:val="single" w:sz="8" w:space="0" w:color="auto"/>
              <w:right w:val="single" w:sz="8" w:space="0" w:color="auto"/>
            </w:tcBorders>
            <w:shd w:val="clear" w:color="auto" w:fill="auto"/>
            <w:vAlign w:val="bottom"/>
          </w:tcPr>
          <w:p w14:paraId="02C379CB" w14:textId="77777777" w:rsidR="00A52778" w:rsidRPr="00460F9E" w:rsidRDefault="00A52778" w:rsidP="00FC3F8E">
            <w:pPr>
              <w:spacing w:line="240" w:lineRule="auto"/>
              <w:rPr>
                <w:rFonts w:eastAsia="Times New Roman" w:cs="Times New Roman"/>
                <w:b/>
                <w:sz w:val="5"/>
              </w:rPr>
            </w:pPr>
          </w:p>
        </w:tc>
        <w:tc>
          <w:tcPr>
            <w:tcW w:w="1301" w:type="dxa"/>
            <w:tcBorders>
              <w:bottom w:val="single" w:sz="8" w:space="0" w:color="auto"/>
            </w:tcBorders>
            <w:shd w:val="clear" w:color="auto" w:fill="auto"/>
            <w:vAlign w:val="bottom"/>
          </w:tcPr>
          <w:p w14:paraId="20241AF8" w14:textId="77777777" w:rsidR="00A52778" w:rsidRPr="00460F9E" w:rsidRDefault="00A52778" w:rsidP="00FC3F8E">
            <w:pPr>
              <w:spacing w:line="240" w:lineRule="auto"/>
              <w:rPr>
                <w:rFonts w:eastAsia="Times New Roman" w:cs="Times New Roman"/>
                <w:b/>
                <w:sz w:val="5"/>
              </w:rPr>
            </w:pPr>
          </w:p>
        </w:tc>
        <w:tc>
          <w:tcPr>
            <w:tcW w:w="426" w:type="dxa"/>
            <w:tcBorders>
              <w:bottom w:val="single" w:sz="8" w:space="0" w:color="auto"/>
              <w:right w:val="single" w:sz="8" w:space="0" w:color="auto"/>
            </w:tcBorders>
            <w:shd w:val="clear" w:color="auto" w:fill="auto"/>
            <w:vAlign w:val="bottom"/>
          </w:tcPr>
          <w:p w14:paraId="242B54BE" w14:textId="77777777" w:rsidR="00A52778" w:rsidRPr="00460F9E" w:rsidRDefault="00A52778" w:rsidP="00FC3F8E">
            <w:pPr>
              <w:spacing w:line="240" w:lineRule="auto"/>
              <w:rPr>
                <w:rFonts w:eastAsia="Times New Roman" w:cs="Times New Roman"/>
                <w:b/>
                <w:sz w:val="5"/>
              </w:rPr>
            </w:pPr>
          </w:p>
        </w:tc>
        <w:tc>
          <w:tcPr>
            <w:tcW w:w="53" w:type="dxa"/>
            <w:tcBorders>
              <w:bottom w:val="single" w:sz="8" w:space="0" w:color="auto"/>
            </w:tcBorders>
            <w:shd w:val="clear" w:color="auto" w:fill="auto"/>
            <w:vAlign w:val="bottom"/>
          </w:tcPr>
          <w:p w14:paraId="2D5ED3CB" w14:textId="77777777" w:rsidR="00A52778" w:rsidRPr="00460F9E" w:rsidRDefault="00A52778" w:rsidP="00FC3F8E">
            <w:pPr>
              <w:spacing w:line="240" w:lineRule="auto"/>
              <w:rPr>
                <w:rFonts w:eastAsia="Times New Roman" w:cs="Times New Roman"/>
                <w:b/>
                <w:sz w:val="5"/>
              </w:rPr>
            </w:pPr>
          </w:p>
        </w:tc>
        <w:tc>
          <w:tcPr>
            <w:tcW w:w="720" w:type="dxa"/>
            <w:tcBorders>
              <w:bottom w:val="single" w:sz="8" w:space="0" w:color="auto"/>
            </w:tcBorders>
            <w:shd w:val="clear" w:color="auto" w:fill="auto"/>
            <w:vAlign w:val="bottom"/>
          </w:tcPr>
          <w:p w14:paraId="29EFD343" w14:textId="77777777" w:rsidR="00A52778" w:rsidRPr="00460F9E" w:rsidRDefault="00A52778" w:rsidP="00FC3F8E">
            <w:pPr>
              <w:spacing w:line="240" w:lineRule="auto"/>
              <w:rPr>
                <w:rFonts w:eastAsia="Times New Roman" w:cs="Times New Roman"/>
                <w:b/>
                <w:sz w:val="5"/>
              </w:rPr>
            </w:pPr>
          </w:p>
        </w:tc>
        <w:tc>
          <w:tcPr>
            <w:tcW w:w="320" w:type="dxa"/>
            <w:tcBorders>
              <w:bottom w:val="single" w:sz="8" w:space="0" w:color="auto"/>
            </w:tcBorders>
            <w:shd w:val="clear" w:color="auto" w:fill="auto"/>
            <w:vAlign w:val="bottom"/>
          </w:tcPr>
          <w:p w14:paraId="708873E0" w14:textId="77777777" w:rsidR="00A52778" w:rsidRPr="00460F9E" w:rsidRDefault="00A52778" w:rsidP="00FC3F8E">
            <w:pPr>
              <w:spacing w:line="240" w:lineRule="auto"/>
              <w:rPr>
                <w:rFonts w:eastAsia="Times New Roman" w:cs="Times New Roman"/>
                <w:b/>
                <w:sz w:val="5"/>
              </w:rPr>
            </w:pPr>
          </w:p>
        </w:tc>
        <w:tc>
          <w:tcPr>
            <w:tcW w:w="320" w:type="dxa"/>
            <w:tcBorders>
              <w:bottom w:val="single" w:sz="8" w:space="0" w:color="auto"/>
            </w:tcBorders>
            <w:shd w:val="clear" w:color="auto" w:fill="auto"/>
            <w:vAlign w:val="bottom"/>
          </w:tcPr>
          <w:p w14:paraId="3DD23D9B" w14:textId="77777777" w:rsidR="00A52778" w:rsidRPr="00460F9E" w:rsidRDefault="00A52778" w:rsidP="00FC3F8E">
            <w:pPr>
              <w:spacing w:line="240" w:lineRule="auto"/>
              <w:rPr>
                <w:rFonts w:eastAsia="Times New Roman" w:cs="Times New Roman"/>
                <w:b/>
                <w:sz w:val="5"/>
              </w:rPr>
            </w:pPr>
          </w:p>
        </w:tc>
        <w:tc>
          <w:tcPr>
            <w:tcW w:w="280" w:type="dxa"/>
            <w:tcBorders>
              <w:bottom w:val="single" w:sz="8" w:space="0" w:color="auto"/>
            </w:tcBorders>
            <w:shd w:val="clear" w:color="auto" w:fill="auto"/>
            <w:vAlign w:val="bottom"/>
          </w:tcPr>
          <w:p w14:paraId="45922612" w14:textId="77777777" w:rsidR="00A52778" w:rsidRPr="00460F9E" w:rsidRDefault="00A52778" w:rsidP="00FC3F8E">
            <w:pPr>
              <w:spacing w:line="240" w:lineRule="auto"/>
              <w:rPr>
                <w:rFonts w:eastAsia="Times New Roman" w:cs="Times New Roman"/>
                <w:b/>
                <w:sz w:val="5"/>
              </w:rPr>
            </w:pPr>
          </w:p>
        </w:tc>
        <w:tc>
          <w:tcPr>
            <w:tcW w:w="320" w:type="dxa"/>
            <w:tcBorders>
              <w:bottom w:val="single" w:sz="8" w:space="0" w:color="auto"/>
            </w:tcBorders>
            <w:shd w:val="clear" w:color="auto" w:fill="auto"/>
            <w:vAlign w:val="bottom"/>
          </w:tcPr>
          <w:p w14:paraId="12CB5450" w14:textId="77777777" w:rsidR="00A52778" w:rsidRPr="00460F9E" w:rsidRDefault="00A52778" w:rsidP="00FC3F8E">
            <w:pPr>
              <w:spacing w:line="240" w:lineRule="auto"/>
              <w:rPr>
                <w:rFonts w:eastAsia="Times New Roman" w:cs="Times New Roman"/>
                <w:b/>
                <w:sz w:val="5"/>
              </w:rPr>
            </w:pPr>
          </w:p>
        </w:tc>
        <w:tc>
          <w:tcPr>
            <w:tcW w:w="400" w:type="dxa"/>
            <w:tcBorders>
              <w:bottom w:val="single" w:sz="8" w:space="0" w:color="auto"/>
            </w:tcBorders>
            <w:shd w:val="clear" w:color="auto" w:fill="auto"/>
            <w:vAlign w:val="bottom"/>
          </w:tcPr>
          <w:p w14:paraId="1D6E3763" w14:textId="77777777" w:rsidR="00A52778" w:rsidRPr="00460F9E" w:rsidRDefault="00A52778" w:rsidP="00FC3F8E">
            <w:pPr>
              <w:spacing w:line="240" w:lineRule="auto"/>
              <w:rPr>
                <w:rFonts w:eastAsia="Times New Roman" w:cs="Times New Roman"/>
                <w:b/>
                <w:sz w:val="5"/>
              </w:rPr>
            </w:pPr>
          </w:p>
        </w:tc>
        <w:tc>
          <w:tcPr>
            <w:tcW w:w="400" w:type="dxa"/>
            <w:tcBorders>
              <w:bottom w:val="single" w:sz="8" w:space="0" w:color="auto"/>
            </w:tcBorders>
            <w:shd w:val="clear" w:color="auto" w:fill="auto"/>
            <w:vAlign w:val="bottom"/>
          </w:tcPr>
          <w:p w14:paraId="284F9EE4" w14:textId="77777777" w:rsidR="00A52778" w:rsidRPr="00460F9E" w:rsidRDefault="00A52778" w:rsidP="00FC3F8E">
            <w:pPr>
              <w:spacing w:line="240" w:lineRule="auto"/>
              <w:rPr>
                <w:rFonts w:eastAsia="Times New Roman" w:cs="Times New Roman"/>
                <w:b/>
                <w:sz w:val="5"/>
              </w:rPr>
            </w:pPr>
          </w:p>
        </w:tc>
        <w:tc>
          <w:tcPr>
            <w:tcW w:w="480" w:type="dxa"/>
            <w:tcBorders>
              <w:bottom w:val="single" w:sz="8" w:space="0" w:color="auto"/>
              <w:right w:val="single" w:sz="8" w:space="0" w:color="auto"/>
            </w:tcBorders>
            <w:shd w:val="clear" w:color="auto" w:fill="auto"/>
            <w:vAlign w:val="bottom"/>
          </w:tcPr>
          <w:p w14:paraId="118F6713" w14:textId="77777777" w:rsidR="00A52778" w:rsidRPr="00460F9E" w:rsidRDefault="00A52778" w:rsidP="00FC3F8E">
            <w:pPr>
              <w:spacing w:line="240" w:lineRule="auto"/>
              <w:rPr>
                <w:rFonts w:eastAsia="Times New Roman" w:cs="Times New Roman"/>
                <w:b/>
                <w:sz w:val="5"/>
              </w:rPr>
            </w:pPr>
          </w:p>
        </w:tc>
        <w:tc>
          <w:tcPr>
            <w:tcW w:w="1020" w:type="dxa"/>
            <w:tcBorders>
              <w:bottom w:val="single" w:sz="8" w:space="0" w:color="auto"/>
              <w:right w:val="single" w:sz="8" w:space="0" w:color="auto"/>
            </w:tcBorders>
            <w:shd w:val="clear" w:color="auto" w:fill="auto"/>
            <w:vAlign w:val="bottom"/>
          </w:tcPr>
          <w:p w14:paraId="4571FA00" w14:textId="77777777" w:rsidR="00A52778" w:rsidRPr="00460F9E" w:rsidRDefault="00A52778" w:rsidP="00FC3F8E">
            <w:pPr>
              <w:spacing w:line="240" w:lineRule="auto"/>
              <w:rPr>
                <w:rFonts w:eastAsia="Times New Roman" w:cs="Times New Roman"/>
                <w:b/>
                <w:sz w:val="5"/>
              </w:rPr>
            </w:pPr>
          </w:p>
        </w:tc>
        <w:tc>
          <w:tcPr>
            <w:tcW w:w="980" w:type="dxa"/>
            <w:tcBorders>
              <w:bottom w:val="single" w:sz="8" w:space="0" w:color="auto"/>
            </w:tcBorders>
            <w:shd w:val="clear" w:color="auto" w:fill="auto"/>
            <w:vAlign w:val="bottom"/>
          </w:tcPr>
          <w:p w14:paraId="4090B162" w14:textId="77777777" w:rsidR="00A52778" w:rsidRPr="00460F9E" w:rsidRDefault="00A52778" w:rsidP="00FC3F8E">
            <w:pPr>
              <w:spacing w:line="240" w:lineRule="auto"/>
              <w:rPr>
                <w:rFonts w:eastAsia="Times New Roman" w:cs="Times New Roman"/>
                <w:b/>
                <w:sz w:val="5"/>
              </w:rPr>
            </w:pPr>
          </w:p>
        </w:tc>
        <w:tc>
          <w:tcPr>
            <w:tcW w:w="400" w:type="dxa"/>
            <w:tcBorders>
              <w:bottom w:val="single" w:sz="8" w:space="0" w:color="auto"/>
            </w:tcBorders>
            <w:shd w:val="clear" w:color="auto" w:fill="auto"/>
            <w:vAlign w:val="bottom"/>
          </w:tcPr>
          <w:p w14:paraId="09F1DF36" w14:textId="77777777" w:rsidR="00A52778" w:rsidRPr="00460F9E" w:rsidRDefault="00A52778" w:rsidP="00FC3F8E">
            <w:pPr>
              <w:spacing w:line="240" w:lineRule="auto"/>
              <w:rPr>
                <w:rFonts w:eastAsia="Times New Roman" w:cs="Times New Roman"/>
                <w:b/>
                <w:sz w:val="5"/>
              </w:rPr>
            </w:pPr>
          </w:p>
        </w:tc>
        <w:tc>
          <w:tcPr>
            <w:tcW w:w="480" w:type="dxa"/>
            <w:tcBorders>
              <w:bottom w:val="single" w:sz="8" w:space="0" w:color="auto"/>
            </w:tcBorders>
            <w:shd w:val="clear" w:color="auto" w:fill="auto"/>
            <w:vAlign w:val="bottom"/>
          </w:tcPr>
          <w:p w14:paraId="1F0CCF98" w14:textId="77777777" w:rsidR="00A52778" w:rsidRPr="00460F9E" w:rsidRDefault="00A52778" w:rsidP="00FC3F8E">
            <w:pPr>
              <w:spacing w:line="240" w:lineRule="auto"/>
              <w:rPr>
                <w:rFonts w:eastAsia="Times New Roman" w:cs="Times New Roman"/>
                <w:b/>
                <w:sz w:val="5"/>
              </w:rPr>
            </w:pPr>
          </w:p>
        </w:tc>
        <w:tc>
          <w:tcPr>
            <w:tcW w:w="280" w:type="dxa"/>
            <w:tcBorders>
              <w:bottom w:val="single" w:sz="8" w:space="0" w:color="auto"/>
            </w:tcBorders>
            <w:shd w:val="clear" w:color="auto" w:fill="auto"/>
            <w:vAlign w:val="bottom"/>
          </w:tcPr>
          <w:p w14:paraId="4984BDCE" w14:textId="77777777" w:rsidR="00A52778" w:rsidRPr="00460F9E" w:rsidRDefault="00A52778" w:rsidP="00FC3F8E">
            <w:pPr>
              <w:spacing w:line="240" w:lineRule="auto"/>
              <w:rPr>
                <w:rFonts w:eastAsia="Times New Roman" w:cs="Times New Roman"/>
                <w:b/>
                <w:sz w:val="5"/>
              </w:rPr>
            </w:pPr>
          </w:p>
        </w:tc>
        <w:tc>
          <w:tcPr>
            <w:tcW w:w="560" w:type="dxa"/>
            <w:tcBorders>
              <w:bottom w:val="single" w:sz="8" w:space="0" w:color="auto"/>
              <w:right w:val="single" w:sz="8" w:space="0" w:color="auto"/>
            </w:tcBorders>
            <w:shd w:val="clear" w:color="auto" w:fill="auto"/>
            <w:vAlign w:val="bottom"/>
          </w:tcPr>
          <w:p w14:paraId="04725B89" w14:textId="77777777" w:rsidR="00A52778" w:rsidRPr="00460F9E" w:rsidRDefault="00A52778" w:rsidP="00FC3F8E">
            <w:pPr>
              <w:spacing w:line="240" w:lineRule="auto"/>
              <w:rPr>
                <w:rFonts w:eastAsia="Times New Roman" w:cs="Times New Roman"/>
                <w:b/>
                <w:sz w:val="5"/>
              </w:rPr>
            </w:pPr>
          </w:p>
        </w:tc>
      </w:tr>
    </w:tbl>
    <w:p w14:paraId="34450BAC" w14:textId="77777777" w:rsidR="00A52778" w:rsidRPr="00460F9E" w:rsidRDefault="00A52778" w:rsidP="00A52778">
      <w:pPr>
        <w:spacing w:line="20" w:lineRule="exact"/>
        <w:rPr>
          <w:rFonts w:eastAsia="Times New Roman" w:cs="Times New Roman"/>
          <w:b/>
        </w:rPr>
        <w:sectPr w:rsidR="00A52778" w:rsidRPr="00460F9E">
          <w:pgSz w:w="11900" w:h="16838"/>
          <w:pgMar w:top="707" w:right="1440" w:bottom="145" w:left="840" w:header="0" w:footer="0" w:gutter="0"/>
          <w:cols w:space="0" w:equalWidth="0">
            <w:col w:w="9626"/>
          </w:cols>
          <w:docGrid w:linePitch="360"/>
        </w:sectPr>
      </w:pPr>
      <w:r w:rsidRPr="00460F9E">
        <w:rPr>
          <w:rFonts w:eastAsia="Times New Roman" w:cs="Times New Roman"/>
          <w:b/>
          <w:noProof/>
          <w:sz w:val="5"/>
          <w:lang w:val="tr-TR" w:eastAsia="tr-TR"/>
        </w:rPr>
        <w:drawing>
          <wp:anchor distT="0" distB="0" distL="114300" distR="114300" simplePos="0" relativeHeight="251682816" behindDoc="1" locked="0" layoutInCell="1" allowOverlap="1" wp14:anchorId="1C01B357" wp14:editId="0849CBBA">
            <wp:simplePos x="0" y="0"/>
            <wp:positionH relativeFrom="column">
              <wp:posOffset>167640</wp:posOffset>
            </wp:positionH>
            <wp:positionV relativeFrom="paragraph">
              <wp:posOffset>1111250</wp:posOffset>
            </wp:positionV>
            <wp:extent cx="5437505" cy="6350"/>
            <wp:effectExtent l="0" t="0" r="0" b="0"/>
            <wp:wrapNone/>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7505" cy="6350"/>
                    </a:xfrm>
                    <a:prstGeom prst="rect">
                      <a:avLst/>
                    </a:prstGeom>
                    <a:noFill/>
                  </pic:spPr>
                </pic:pic>
              </a:graphicData>
            </a:graphic>
            <wp14:sizeRelH relativeFrom="page">
              <wp14:pctWidth>0</wp14:pctWidth>
            </wp14:sizeRelH>
            <wp14:sizeRelV relativeFrom="page">
              <wp14:pctHeight>0</wp14:pctHeight>
            </wp14:sizeRelV>
          </wp:anchor>
        </w:drawing>
      </w:r>
    </w:p>
    <w:p w14:paraId="57DD9B5A" w14:textId="77777777" w:rsidR="00A52778" w:rsidRPr="00460F9E" w:rsidRDefault="00A52778" w:rsidP="00A52778">
      <w:pPr>
        <w:spacing w:line="378" w:lineRule="exact"/>
        <w:rPr>
          <w:rFonts w:eastAsia="Times New Roman" w:cs="Times New Roman"/>
          <w:b/>
        </w:rPr>
      </w:pPr>
    </w:p>
    <w:p w14:paraId="6B9DABAD" w14:textId="77777777" w:rsidR="00A52778" w:rsidRPr="00460F9E" w:rsidRDefault="00A52778" w:rsidP="00A52778">
      <w:pPr>
        <w:spacing w:line="20" w:lineRule="exact"/>
        <w:rPr>
          <w:rFonts w:eastAsia="Times New Roman" w:cs="Times New Roman"/>
          <w:b/>
        </w:rPr>
      </w:pPr>
    </w:p>
    <w:p w14:paraId="1ACFFFD7" w14:textId="77777777" w:rsidR="00A52778" w:rsidRPr="00460F9E" w:rsidRDefault="00A52778" w:rsidP="00A52778">
      <w:pPr>
        <w:spacing w:line="156" w:lineRule="exact"/>
        <w:rPr>
          <w:rFonts w:eastAsia="Times New Roman" w:cs="Times New Roman"/>
          <w:b/>
        </w:rPr>
      </w:pPr>
    </w:p>
    <w:tbl>
      <w:tblPr>
        <w:tblW w:w="9140" w:type="dxa"/>
        <w:tblInd w:w="530" w:type="dxa"/>
        <w:tblLayout w:type="fixed"/>
        <w:tblCellMar>
          <w:left w:w="0" w:type="dxa"/>
          <w:right w:w="0" w:type="dxa"/>
        </w:tblCellMar>
        <w:tblLook w:val="0000" w:firstRow="0" w:lastRow="0" w:firstColumn="0" w:lastColumn="0" w:noHBand="0" w:noVBand="0"/>
      </w:tblPr>
      <w:tblGrid>
        <w:gridCol w:w="386"/>
        <w:gridCol w:w="424"/>
        <w:gridCol w:w="788"/>
        <w:gridCol w:w="385"/>
        <w:gridCol w:w="20"/>
        <w:gridCol w:w="500"/>
        <w:gridCol w:w="308"/>
        <w:gridCol w:w="365"/>
        <w:gridCol w:w="308"/>
        <w:gridCol w:w="193"/>
        <w:gridCol w:w="250"/>
        <w:gridCol w:w="212"/>
        <w:gridCol w:w="154"/>
        <w:gridCol w:w="346"/>
        <w:gridCol w:w="97"/>
        <w:gridCol w:w="481"/>
        <w:gridCol w:w="980"/>
        <w:gridCol w:w="404"/>
        <w:gridCol w:w="557"/>
        <w:gridCol w:w="346"/>
        <w:gridCol w:w="423"/>
        <w:gridCol w:w="481"/>
        <w:gridCol w:w="385"/>
        <w:gridCol w:w="347"/>
      </w:tblGrid>
      <w:tr w:rsidR="00A52778" w:rsidRPr="00460F9E" w14:paraId="422462FE" w14:textId="77777777" w:rsidTr="00FC3F8E">
        <w:trPr>
          <w:gridAfter w:val="1"/>
          <w:wAfter w:w="347" w:type="dxa"/>
          <w:trHeight w:val="234"/>
        </w:trPr>
        <w:tc>
          <w:tcPr>
            <w:tcW w:w="386" w:type="dxa"/>
            <w:tcBorders>
              <w:top w:val="single" w:sz="8" w:space="0" w:color="auto"/>
              <w:left w:val="single" w:sz="8" w:space="0" w:color="auto"/>
              <w:right w:val="single" w:sz="8" w:space="0" w:color="auto"/>
            </w:tcBorders>
            <w:shd w:val="clear" w:color="auto" w:fill="auto"/>
            <w:vAlign w:val="bottom"/>
          </w:tcPr>
          <w:p w14:paraId="3896957A" w14:textId="77777777" w:rsidR="00A52778" w:rsidRPr="00460F9E" w:rsidRDefault="00A52778" w:rsidP="00FC3F8E">
            <w:pPr>
              <w:spacing w:line="0" w:lineRule="atLeast"/>
              <w:rPr>
                <w:rFonts w:eastAsia="Times New Roman" w:cs="Times New Roman"/>
                <w:b/>
              </w:rPr>
            </w:pPr>
          </w:p>
        </w:tc>
        <w:tc>
          <w:tcPr>
            <w:tcW w:w="424" w:type="dxa"/>
            <w:tcBorders>
              <w:top w:val="single" w:sz="8" w:space="0" w:color="auto"/>
            </w:tcBorders>
            <w:shd w:val="clear" w:color="auto" w:fill="auto"/>
            <w:vAlign w:val="bottom"/>
          </w:tcPr>
          <w:p w14:paraId="03F12FE8" w14:textId="77777777" w:rsidR="00A52778" w:rsidRPr="00460F9E" w:rsidRDefault="00A52778" w:rsidP="00FC3F8E">
            <w:pPr>
              <w:spacing w:line="0" w:lineRule="atLeast"/>
              <w:rPr>
                <w:rFonts w:eastAsia="Times New Roman" w:cs="Times New Roman"/>
                <w:b/>
              </w:rPr>
            </w:pPr>
          </w:p>
        </w:tc>
        <w:tc>
          <w:tcPr>
            <w:tcW w:w="788" w:type="dxa"/>
            <w:tcBorders>
              <w:top w:val="single" w:sz="8" w:space="0" w:color="auto"/>
              <w:right w:val="single" w:sz="8" w:space="0" w:color="auto"/>
            </w:tcBorders>
            <w:shd w:val="clear" w:color="auto" w:fill="auto"/>
            <w:vAlign w:val="bottom"/>
          </w:tcPr>
          <w:p w14:paraId="56C78ECD" w14:textId="77777777" w:rsidR="00A52778" w:rsidRPr="00460F9E" w:rsidRDefault="00A52778" w:rsidP="00FC3F8E">
            <w:pPr>
              <w:spacing w:line="0" w:lineRule="atLeast"/>
              <w:rPr>
                <w:rFonts w:eastAsia="Times New Roman" w:cs="Times New Roman"/>
                <w:b/>
              </w:rPr>
            </w:pPr>
          </w:p>
        </w:tc>
        <w:tc>
          <w:tcPr>
            <w:tcW w:w="385" w:type="dxa"/>
            <w:tcBorders>
              <w:top w:val="single" w:sz="8" w:space="0" w:color="auto"/>
            </w:tcBorders>
            <w:shd w:val="clear" w:color="auto" w:fill="auto"/>
            <w:vAlign w:val="bottom"/>
          </w:tcPr>
          <w:p w14:paraId="40BE3F2A" w14:textId="77777777" w:rsidR="00A52778" w:rsidRPr="00460F9E" w:rsidRDefault="00A52778" w:rsidP="00FC3F8E">
            <w:pPr>
              <w:spacing w:line="0" w:lineRule="atLeast"/>
              <w:rPr>
                <w:rFonts w:eastAsia="Times New Roman" w:cs="Times New Roman"/>
                <w:b/>
              </w:rPr>
            </w:pPr>
          </w:p>
        </w:tc>
        <w:tc>
          <w:tcPr>
            <w:tcW w:w="20" w:type="dxa"/>
            <w:tcBorders>
              <w:top w:val="single" w:sz="8" w:space="0" w:color="auto"/>
            </w:tcBorders>
            <w:shd w:val="clear" w:color="auto" w:fill="auto"/>
            <w:vAlign w:val="bottom"/>
          </w:tcPr>
          <w:p w14:paraId="5D8A0F4A" w14:textId="77777777" w:rsidR="00A52778" w:rsidRPr="00460F9E" w:rsidRDefault="00A52778" w:rsidP="00FC3F8E">
            <w:pPr>
              <w:spacing w:line="0" w:lineRule="atLeast"/>
              <w:rPr>
                <w:rFonts w:eastAsia="Times New Roman" w:cs="Times New Roman"/>
                <w:b/>
              </w:rPr>
            </w:pPr>
          </w:p>
        </w:tc>
        <w:tc>
          <w:tcPr>
            <w:tcW w:w="500" w:type="dxa"/>
            <w:tcBorders>
              <w:top w:val="single" w:sz="8" w:space="0" w:color="auto"/>
            </w:tcBorders>
            <w:shd w:val="clear" w:color="auto" w:fill="auto"/>
            <w:vAlign w:val="bottom"/>
          </w:tcPr>
          <w:p w14:paraId="14796C57" w14:textId="77777777" w:rsidR="00A52778" w:rsidRPr="00460F9E" w:rsidRDefault="00A52778" w:rsidP="00FC3F8E">
            <w:pPr>
              <w:spacing w:line="0" w:lineRule="atLeast"/>
              <w:rPr>
                <w:rFonts w:eastAsia="Times New Roman" w:cs="Times New Roman"/>
                <w:b/>
              </w:rPr>
            </w:pPr>
          </w:p>
        </w:tc>
        <w:tc>
          <w:tcPr>
            <w:tcW w:w="308" w:type="dxa"/>
            <w:tcBorders>
              <w:top w:val="single" w:sz="8" w:space="0" w:color="auto"/>
            </w:tcBorders>
            <w:shd w:val="clear" w:color="auto" w:fill="auto"/>
            <w:vAlign w:val="bottom"/>
          </w:tcPr>
          <w:p w14:paraId="113E1302" w14:textId="77777777" w:rsidR="00A52778" w:rsidRPr="00460F9E" w:rsidRDefault="00A52778" w:rsidP="00FC3F8E">
            <w:pPr>
              <w:spacing w:line="0" w:lineRule="atLeast"/>
              <w:rPr>
                <w:rFonts w:eastAsia="Times New Roman" w:cs="Times New Roman"/>
                <w:b/>
              </w:rPr>
            </w:pPr>
          </w:p>
        </w:tc>
        <w:tc>
          <w:tcPr>
            <w:tcW w:w="365" w:type="dxa"/>
            <w:tcBorders>
              <w:top w:val="single" w:sz="8" w:space="0" w:color="auto"/>
            </w:tcBorders>
            <w:shd w:val="clear" w:color="auto" w:fill="auto"/>
            <w:vAlign w:val="bottom"/>
          </w:tcPr>
          <w:p w14:paraId="156BFF8F" w14:textId="77777777" w:rsidR="00A52778" w:rsidRPr="00460F9E" w:rsidRDefault="00A52778" w:rsidP="00FC3F8E">
            <w:pPr>
              <w:spacing w:line="0" w:lineRule="atLeast"/>
              <w:rPr>
                <w:rFonts w:eastAsia="Times New Roman" w:cs="Times New Roman"/>
                <w:b/>
              </w:rPr>
            </w:pPr>
          </w:p>
        </w:tc>
        <w:tc>
          <w:tcPr>
            <w:tcW w:w="308" w:type="dxa"/>
            <w:tcBorders>
              <w:top w:val="single" w:sz="8" w:space="0" w:color="auto"/>
            </w:tcBorders>
            <w:shd w:val="clear" w:color="auto" w:fill="auto"/>
            <w:vAlign w:val="bottom"/>
          </w:tcPr>
          <w:p w14:paraId="6B37BD87" w14:textId="77777777" w:rsidR="00A52778" w:rsidRPr="00460F9E" w:rsidRDefault="00A52778" w:rsidP="00FC3F8E">
            <w:pPr>
              <w:spacing w:line="0" w:lineRule="atLeast"/>
              <w:rPr>
                <w:rFonts w:eastAsia="Times New Roman" w:cs="Times New Roman"/>
                <w:b/>
              </w:rPr>
            </w:pPr>
          </w:p>
        </w:tc>
        <w:tc>
          <w:tcPr>
            <w:tcW w:w="193" w:type="dxa"/>
            <w:tcBorders>
              <w:top w:val="single" w:sz="8" w:space="0" w:color="auto"/>
            </w:tcBorders>
            <w:shd w:val="clear" w:color="auto" w:fill="auto"/>
            <w:vAlign w:val="bottom"/>
          </w:tcPr>
          <w:p w14:paraId="546EE72B" w14:textId="77777777" w:rsidR="00A52778" w:rsidRPr="00460F9E" w:rsidRDefault="00A52778" w:rsidP="00FC3F8E">
            <w:pPr>
              <w:spacing w:line="0" w:lineRule="atLeast"/>
              <w:rPr>
                <w:rFonts w:eastAsia="Times New Roman" w:cs="Times New Roman"/>
                <w:b/>
              </w:rPr>
            </w:pPr>
          </w:p>
        </w:tc>
        <w:tc>
          <w:tcPr>
            <w:tcW w:w="250" w:type="dxa"/>
            <w:tcBorders>
              <w:top w:val="single" w:sz="8" w:space="0" w:color="auto"/>
            </w:tcBorders>
            <w:shd w:val="clear" w:color="auto" w:fill="auto"/>
            <w:vAlign w:val="bottom"/>
          </w:tcPr>
          <w:p w14:paraId="3DA731AA" w14:textId="77777777" w:rsidR="00A52778" w:rsidRPr="00460F9E" w:rsidRDefault="00A52778" w:rsidP="00FC3F8E">
            <w:pPr>
              <w:spacing w:line="0" w:lineRule="atLeast"/>
              <w:rPr>
                <w:rFonts w:eastAsia="Times New Roman" w:cs="Times New Roman"/>
                <w:b/>
              </w:rPr>
            </w:pPr>
          </w:p>
        </w:tc>
        <w:tc>
          <w:tcPr>
            <w:tcW w:w="212" w:type="dxa"/>
            <w:tcBorders>
              <w:top w:val="single" w:sz="8" w:space="0" w:color="auto"/>
            </w:tcBorders>
            <w:shd w:val="clear" w:color="auto" w:fill="auto"/>
            <w:vAlign w:val="bottom"/>
          </w:tcPr>
          <w:p w14:paraId="522926D1" w14:textId="77777777" w:rsidR="00A52778" w:rsidRPr="00460F9E" w:rsidRDefault="00A52778" w:rsidP="00FC3F8E">
            <w:pPr>
              <w:spacing w:line="0" w:lineRule="atLeast"/>
              <w:rPr>
                <w:rFonts w:eastAsia="Times New Roman" w:cs="Times New Roman"/>
                <w:b/>
              </w:rPr>
            </w:pPr>
          </w:p>
        </w:tc>
        <w:tc>
          <w:tcPr>
            <w:tcW w:w="154" w:type="dxa"/>
            <w:tcBorders>
              <w:top w:val="single" w:sz="8" w:space="0" w:color="auto"/>
            </w:tcBorders>
            <w:shd w:val="clear" w:color="auto" w:fill="auto"/>
            <w:vAlign w:val="bottom"/>
          </w:tcPr>
          <w:p w14:paraId="0FC2F486" w14:textId="77777777" w:rsidR="00A52778" w:rsidRPr="00460F9E" w:rsidRDefault="00A52778" w:rsidP="00FC3F8E">
            <w:pPr>
              <w:spacing w:line="0" w:lineRule="atLeast"/>
              <w:rPr>
                <w:rFonts w:eastAsia="Times New Roman" w:cs="Times New Roman"/>
                <w:b/>
              </w:rPr>
            </w:pPr>
          </w:p>
        </w:tc>
        <w:tc>
          <w:tcPr>
            <w:tcW w:w="346" w:type="dxa"/>
            <w:tcBorders>
              <w:top w:val="single" w:sz="8" w:space="0" w:color="auto"/>
            </w:tcBorders>
            <w:shd w:val="clear" w:color="auto" w:fill="auto"/>
            <w:vAlign w:val="bottom"/>
          </w:tcPr>
          <w:p w14:paraId="452B6EEE" w14:textId="77777777" w:rsidR="00A52778" w:rsidRPr="00460F9E" w:rsidRDefault="00A52778" w:rsidP="00FC3F8E">
            <w:pPr>
              <w:spacing w:line="0" w:lineRule="atLeast"/>
              <w:rPr>
                <w:rFonts w:eastAsia="Times New Roman" w:cs="Times New Roman"/>
                <w:b/>
              </w:rPr>
            </w:pPr>
          </w:p>
        </w:tc>
        <w:tc>
          <w:tcPr>
            <w:tcW w:w="97" w:type="dxa"/>
            <w:tcBorders>
              <w:top w:val="single" w:sz="8" w:space="0" w:color="auto"/>
            </w:tcBorders>
            <w:shd w:val="clear" w:color="auto" w:fill="auto"/>
            <w:vAlign w:val="bottom"/>
          </w:tcPr>
          <w:p w14:paraId="2E4B676B" w14:textId="77777777" w:rsidR="00A52778" w:rsidRPr="00460F9E" w:rsidRDefault="00A52778" w:rsidP="00FC3F8E">
            <w:pPr>
              <w:spacing w:line="0" w:lineRule="atLeast"/>
              <w:rPr>
                <w:rFonts w:eastAsia="Times New Roman" w:cs="Times New Roman"/>
                <w:b/>
              </w:rPr>
            </w:pPr>
          </w:p>
        </w:tc>
        <w:tc>
          <w:tcPr>
            <w:tcW w:w="481" w:type="dxa"/>
            <w:tcBorders>
              <w:top w:val="single" w:sz="8" w:space="0" w:color="auto"/>
              <w:right w:val="single" w:sz="8" w:space="0" w:color="auto"/>
            </w:tcBorders>
            <w:shd w:val="clear" w:color="auto" w:fill="auto"/>
            <w:vAlign w:val="bottom"/>
          </w:tcPr>
          <w:p w14:paraId="1DCB4E3D" w14:textId="77777777" w:rsidR="00A52778" w:rsidRPr="00460F9E" w:rsidRDefault="00A52778" w:rsidP="00FC3F8E">
            <w:pPr>
              <w:spacing w:line="0" w:lineRule="atLeast"/>
              <w:rPr>
                <w:rFonts w:eastAsia="Times New Roman" w:cs="Times New Roman"/>
                <w:b/>
              </w:rPr>
            </w:pPr>
          </w:p>
        </w:tc>
        <w:tc>
          <w:tcPr>
            <w:tcW w:w="980" w:type="dxa"/>
            <w:tcBorders>
              <w:top w:val="single" w:sz="8" w:space="0" w:color="auto"/>
              <w:right w:val="single" w:sz="8" w:space="0" w:color="auto"/>
            </w:tcBorders>
            <w:shd w:val="clear" w:color="auto" w:fill="auto"/>
            <w:vAlign w:val="bottom"/>
          </w:tcPr>
          <w:p w14:paraId="1B852FE3" w14:textId="77777777" w:rsidR="00A52778" w:rsidRPr="00460F9E" w:rsidRDefault="00A52778" w:rsidP="00FC3F8E">
            <w:pPr>
              <w:spacing w:line="0" w:lineRule="atLeast"/>
              <w:rPr>
                <w:rFonts w:eastAsia="Times New Roman" w:cs="Times New Roman"/>
                <w:b/>
              </w:rPr>
            </w:pPr>
          </w:p>
        </w:tc>
        <w:tc>
          <w:tcPr>
            <w:tcW w:w="2596" w:type="dxa"/>
            <w:gridSpan w:val="6"/>
            <w:vMerge w:val="restart"/>
            <w:tcBorders>
              <w:top w:val="single" w:sz="8" w:space="0" w:color="auto"/>
              <w:right w:val="single" w:sz="8" w:space="0" w:color="auto"/>
            </w:tcBorders>
            <w:shd w:val="clear" w:color="auto" w:fill="auto"/>
            <w:vAlign w:val="bottom"/>
          </w:tcPr>
          <w:p w14:paraId="5F8AD401"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Uygulanabilirliği aşağıdaki şu  </w:t>
            </w:r>
          </w:p>
          <w:p w14:paraId="6BF42192"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durumlar için kısıtlanabilir:</w:t>
            </w:r>
          </w:p>
          <w:p w14:paraId="0FB8DDDF" w14:textId="77777777" w:rsidR="00A52778" w:rsidRPr="00460F9E" w:rsidRDefault="00A52778" w:rsidP="00FC3F8E">
            <w:pPr>
              <w:spacing w:line="0" w:lineRule="atLeast"/>
              <w:rPr>
                <w:rFonts w:eastAsia="Times New Roman" w:cs="Times New Roman"/>
                <w:b/>
              </w:rPr>
            </w:pPr>
          </w:p>
        </w:tc>
      </w:tr>
      <w:tr w:rsidR="00A52778" w:rsidRPr="00460F9E" w14:paraId="357CDC58" w14:textId="77777777" w:rsidTr="00FC3F8E">
        <w:trPr>
          <w:gridAfter w:val="1"/>
          <w:wAfter w:w="347" w:type="dxa"/>
          <w:trHeight w:val="230"/>
        </w:trPr>
        <w:tc>
          <w:tcPr>
            <w:tcW w:w="386" w:type="dxa"/>
            <w:tcBorders>
              <w:left w:val="single" w:sz="8" w:space="0" w:color="auto"/>
              <w:right w:val="single" w:sz="8" w:space="0" w:color="auto"/>
            </w:tcBorders>
            <w:shd w:val="clear" w:color="auto" w:fill="auto"/>
            <w:vAlign w:val="bottom"/>
          </w:tcPr>
          <w:p w14:paraId="08F67FD8" w14:textId="77777777" w:rsidR="00A52778" w:rsidRPr="00460F9E" w:rsidRDefault="00A52778" w:rsidP="00FC3F8E">
            <w:pPr>
              <w:spacing w:line="0" w:lineRule="atLeast"/>
              <w:rPr>
                <w:rFonts w:eastAsia="Times New Roman" w:cs="Times New Roman"/>
                <w:b/>
              </w:rPr>
            </w:pPr>
          </w:p>
        </w:tc>
        <w:tc>
          <w:tcPr>
            <w:tcW w:w="424" w:type="dxa"/>
            <w:shd w:val="clear" w:color="auto" w:fill="auto"/>
            <w:vAlign w:val="bottom"/>
          </w:tcPr>
          <w:p w14:paraId="73934593" w14:textId="77777777" w:rsidR="00A52778" w:rsidRPr="00460F9E" w:rsidRDefault="00A52778" w:rsidP="00FC3F8E">
            <w:pPr>
              <w:spacing w:line="0" w:lineRule="atLeast"/>
              <w:rPr>
                <w:rFonts w:eastAsia="Times New Roman" w:cs="Times New Roman"/>
                <w:b/>
              </w:rPr>
            </w:pPr>
          </w:p>
        </w:tc>
        <w:tc>
          <w:tcPr>
            <w:tcW w:w="788" w:type="dxa"/>
            <w:tcBorders>
              <w:right w:val="single" w:sz="8" w:space="0" w:color="auto"/>
            </w:tcBorders>
            <w:shd w:val="clear" w:color="auto" w:fill="auto"/>
            <w:vAlign w:val="bottom"/>
          </w:tcPr>
          <w:p w14:paraId="73E11CDF" w14:textId="77777777" w:rsidR="00A52778" w:rsidRPr="00460F9E" w:rsidRDefault="00A52778" w:rsidP="00FC3F8E">
            <w:pPr>
              <w:spacing w:line="0" w:lineRule="atLeast"/>
              <w:rPr>
                <w:rFonts w:eastAsia="Times New Roman" w:cs="Times New Roman"/>
                <w:b/>
              </w:rPr>
            </w:pPr>
          </w:p>
        </w:tc>
        <w:tc>
          <w:tcPr>
            <w:tcW w:w="385" w:type="dxa"/>
            <w:shd w:val="clear" w:color="auto" w:fill="auto"/>
            <w:vAlign w:val="bottom"/>
          </w:tcPr>
          <w:p w14:paraId="1E1D9C9C" w14:textId="77777777" w:rsidR="00A52778" w:rsidRPr="00460F9E" w:rsidRDefault="00A52778" w:rsidP="00FC3F8E">
            <w:pPr>
              <w:spacing w:line="0" w:lineRule="atLeast"/>
              <w:rPr>
                <w:rFonts w:eastAsia="Times New Roman" w:cs="Times New Roman"/>
                <w:b/>
              </w:rPr>
            </w:pPr>
          </w:p>
        </w:tc>
        <w:tc>
          <w:tcPr>
            <w:tcW w:w="20" w:type="dxa"/>
            <w:shd w:val="clear" w:color="auto" w:fill="auto"/>
            <w:vAlign w:val="bottom"/>
          </w:tcPr>
          <w:p w14:paraId="710DE16A" w14:textId="77777777" w:rsidR="00A52778" w:rsidRPr="00460F9E" w:rsidRDefault="00A52778" w:rsidP="00FC3F8E">
            <w:pPr>
              <w:spacing w:line="0" w:lineRule="atLeast"/>
              <w:rPr>
                <w:rFonts w:eastAsia="Times New Roman" w:cs="Times New Roman"/>
                <w:b/>
              </w:rPr>
            </w:pPr>
          </w:p>
        </w:tc>
        <w:tc>
          <w:tcPr>
            <w:tcW w:w="500" w:type="dxa"/>
            <w:shd w:val="clear" w:color="auto" w:fill="auto"/>
            <w:vAlign w:val="bottom"/>
          </w:tcPr>
          <w:p w14:paraId="3C8D8A0E" w14:textId="77777777" w:rsidR="00A52778" w:rsidRPr="00460F9E" w:rsidRDefault="00A52778" w:rsidP="00FC3F8E">
            <w:pPr>
              <w:spacing w:line="0" w:lineRule="atLeast"/>
              <w:rPr>
                <w:rFonts w:eastAsia="Times New Roman" w:cs="Times New Roman"/>
                <w:b/>
              </w:rPr>
            </w:pPr>
          </w:p>
        </w:tc>
        <w:tc>
          <w:tcPr>
            <w:tcW w:w="308" w:type="dxa"/>
            <w:shd w:val="clear" w:color="auto" w:fill="auto"/>
            <w:vAlign w:val="bottom"/>
          </w:tcPr>
          <w:p w14:paraId="1CF62051" w14:textId="77777777" w:rsidR="00A52778" w:rsidRPr="00460F9E" w:rsidRDefault="00A52778" w:rsidP="00FC3F8E">
            <w:pPr>
              <w:spacing w:line="0" w:lineRule="atLeast"/>
              <w:rPr>
                <w:rFonts w:eastAsia="Times New Roman" w:cs="Times New Roman"/>
                <w:b/>
              </w:rPr>
            </w:pPr>
          </w:p>
        </w:tc>
        <w:tc>
          <w:tcPr>
            <w:tcW w:w="365" w:type="dxa"/>
            <w:shd w:val="clear" w:color="auto" w:fill="auto"/>
            <w:vAlign w:val="bottom"/>
          </w:tcPr>
          <w:p w14:paraId="2942861D" w14:textId="77777777" w:rsidR="00A52778" w:rsidRPr="00460F9E" w:rsidRDefault="00A52778" w:rsidP="00FC3F8E">
            <w:pPr>
              <w:spacing w:line="0" w:lineRule="atLeast"/>
              <w:rPr>
                <w:rFonts w:eastAsia="Times New Roman" w:cs="Times New Roman"/>
                <w:b/>
              </w:rPr>
            </w:pPr>
          </w:p>
        </w:tc>
        <w:tc>
          <w:tcPr>
            <w:tcW w:w="308" w:type="dxa"/>
            <w:shd w:val="clear" w:color="auto" w:fill="auto"/>
            <w:vAlign w:val="bottom"/>
          </w:tcPr>
          <w:p w14:paraId="781FD355" w14:textId="77777777" w:rsidR="00A52778" w:rsidRPr="00460F9E" w:rsidRDefault="00A52778" w:rsidP="00FC3F8E">
            <w:pPr>
              <w:spacing w:line="0" w:lineRule="atLeast"/>
              <w:rPr>
                <w:rFonts w:eastAsia="Times New Roman" w:cs="Times New Roman"/>
                <w:b/>
              </w:rPr>
            </w:pPr>
          </w:p>
        </w:tc>
        <w:tc>
          <w:tcPr>
            <w:tcW w:w="193" w:type="dxa"/>
            <w:shd w:val="clear" w:color="auto" w:fill="auto"/>
            <w:vAlign w:val="bottom"/>
          </w:tcPr>
          <w:p w14:paraId="77FB6B0C" w14:textId="77777777" w:rsidR="00A52778" w:rsidRPr="00460F9E" w:rsidRDefault="00A52778" w:rsidP="00FC3F8E">
            <w:pPr>
              <w:spacing w:line="0" w:lineRule="atLeast"/>
              <w:rPr>
                <w:rFonts w:eastAsia="Times New Roman" w:cs="Times New Roman"/>
                <w:b/>
              </w:rPr>
            </w:pPr>
          </w:p>
        </w:tc>
        <w:tc>
          <w:tcPr>
            <w:tcW w:w="250" w:type="dxa"/>
            <w:shd w:val="clear" w:color="auto" w:fill="auto"/>
            <w:vAlign w:val="bottom"/>
          </w:tcPr>
          <w:p w14:paraId="03469F47" w14:textId="77777777" w:rsidR="00A52778" w:rsidRPr="00460F9E" w:rsidRDefault="00A52778" w:rsidP="00FC3F8E">
            <w:pPr>
              <w:spacing w:line="0" w:lineRule="atLeast"/>
              <w:rPr>
                <w:rFonts w:eastAsia="Times New Roman" w:cs="Times New Roman"/>
                <w:b/>
              </w:rPr>
            </w:pPr>
          </w:p>
        </w:tc>
        <w:tc>
          <w:tcPr>
            <w:tcW w:w="212" w:type="dxa"/>
            <w:shd w:val="clear" w:color="auto" w:fill="auto"/>
            <w:vAlign w:val="bottom"/>
          </w:tcPr>
          <w:p w14:paraId="47591A45" w14:textId="77777777" w:rsidR="00A52778" w:rsidRPr="00460F9E" w:rsidRDefault="00A52778" w:rsidP="00FC3F8E">
            <w:pPr>
              <w:spacing w:line="0" w:lineRule="atLeast"/>
              <w:rPr>
                <w:rFonts w:eastAsia="Times New Roman" w:cs="Times New Roman"/>
                <w:b/>
              </w:rPr>
            </w:pPr>
          </w:p>
        </w:tc>
        <w:tc>
          <w:tcPr>
            <w:tcW w:w="154" w:type="dxa"/>
            <w:shd w:val="clear" w:color="auto" w:fill="auto"/>
            <w:vAlign w:val="bottom"/>
          </w:tcPr>
          <w:p w14:paraId="40519ABE" w14:textId="77777777" w:rsidR="00A52778" w:rsidRPr="00460F9E" w:rsidRDefault="00A52778" w:rsidP="00FC3F8E">
            <w:pPr>
              <w:spacing w:line="0" w:lineRule="atLeast"/>
              <w:rPr>
                <w:rFonts w:eastAsia="Times New Roman" w:cs="Times New Roman"/>
                <w:b/>
              </w:rPr>
            </w:pPr>
          </w:p>
        </w:tc>
        <w:tc>
          <w:tcPr>
            <w:tcW w:w="346" w:type="dxa"/>
            <w:shd w:val="clear" w:color="auto" w:fill="auto"/>
            <w:vAlign w:val="bottom"/>
          </w:tcPr>
          <w:p w14:paraId="15AA350E" w14:textId="77777777" w:rsidR="00A52778" w:rsidRPr="00460F9E" w:rsidRDefault="00A52778" w:rsidP="00FC3F8E">
            <w:pPr>
              <w:spacing w:line="0" w:lineRule="atLeast"/>
              <w:rPr>
                <w:rFonts w:eastAsia="Times New Roman" w:cs="Times New Roman"/>
                <w:b/>
              </w:rPr>
            </w:pPr>
          </w:p>
        </w:tc>
        <w:tc>
          <w:tcPr>
            <w:tcW w:w="97" w:type="dxa"/>
            <w:shd w:val="clear" w:color="auto" w:fill="auto"/>
            <w:vAlign w:val="bottom"/>
          </w:tcPr>
          <w:p w14:paraId="3DC21F3F" w14:textId="77777777" w:rsidR="00A52778" w:rsidRPr="00460F9E" w:rsidRDefault="00A52778" w:rsidP="00FC3F8E">
            <w:pPr>
              <w:spacing w:line="0" w:lineRule="atLeast"/>
              <w:rPr>
                <w:rFonts w:eastAsia="Times New Roman" w:cs="Times New Roman"/>
                <w:b/>
              </w:rPr>
            </w:pPr>
          </w:p>
        </w:tc>
        <w:tc>
          <w:tcPr>
            <w:tcW w:w="481" w:type="dxa"/>
            <w:tcBorders>
              <w:right w:val="single" w:sz="8" w:space="0" w:color="auto"/>
            </w:tcBorders>
            <w:shd w:val="clear" w:color="auto" w:fill="auto"/>
            <w:vAlign w:val="bottom"/>
          </w:tcPr>
          <w:p w14:paraId="5B358076" w14:textId="77777777" w:rsidR="00A52778" w:rsidRPr="00460F9E" w:rsidRDefault="00A52778" w:rsidP="00FC3F8E">
            <w:pPr>
              <w:spacing w:line="0" w:lineRule="atLeast"/>
              <w:rPr>
                <w:rFonts w:eastAsia="Times New Roman" w:cs="Times New Roman"/>
                <w:b/>
              </w:rPr>
            </w:pPr>
          </w:p>
        </w:tc>
        <w:tc>
          <w:tcPr>
            <w:tcW w:w="980" w:type="dxa"/>
            <w:tcBorders>
              <w:right w:val="single" w:sz="8" w:space="0" w:color="auto"/>
            </w:tcBorders>
            <w:shd w:val="clear" w:color="auto" w:fill="auto"/>
            <w:vAlign w:val="bottom"/>
          </w:tcPr>
          <w:p w14:paraId="2E8E2122" w14:textId="77777777" w:rsidR="00A52778" w:rsidRPr="00460F9E" w:rsidRDefault="00A52778" w:rsidP="00FC3F8E">
            <w:pPr>
              <w:spacing w:line="0" w:lineRule="atLeast"/>
              <w:rPr>
                <w:rFonts w:eastAsia="Times New Roman" w:cs="Times New Roman"/>
                <w:b/>
              </w:rPr>
            </w:pPr>
          </w:p>
        </w:tc>
        <w:tc>
          <w:tcPr>
            <w:tcW w:w="2596" w:type="dxa"/>
            <w:gridSpan w:val="6"/>
            <w:vMerge/>
            <w:tcBorders>
              <w:right w:val="single" w:sz="8" w:space="0" w:color="auto"/>
            </w:tcBorders>
            <w:shd w:val="clear" w:color="auto" w:fill="auto"/>
            <w:vAlign w:val="bottom"/>
          </w:tcPr>
          <w:p w14:paraId="1D99EF45" w14:textId="77777777" w:rsidR="00A52778" w:rsidRPr="00460F9E" w:rsidRDefault="00A52778" w:rsidP="00FC3F8E">
            <w:pPr>
              <w:spacing w:line="0" w:lineRule="atLeast"/>
              <w:rPr>
                <w:rFonts w:eastAsia="Times New Roman" w:cs="Times New Roman"/>
                <w:b/>
              </w:rPr>
            </w:pPr>
          </w:p>
        </w:tc>
      </w:tr>
      <w:tr w:rsidR="00A52778" w:rsidRPr="00460F9E" w14:paraId="4C9D84EA" w14:textId="77777777" w:rsidTr="00FC3F8E">
        <w:trPr>
          <w:gridAfter w:val="1"/>
          <w:wAfter w:w="347" w:type="dxa"/>
          <w:trHeight w:val="221"/>
        </w:trPr>
        <w:tc>
          <w:tcPr>
            <w:tcW w:w="386" w:type="dxa"/>
            <w:tcBorders>
              <w:left w:val="single" w:sz="8" w:space="0" w:color="auto"/>
              <w:right w:val="single" w:sz="8" w:space="0" w:color="auto"/>
            </w:tcBorders>
            <w:shd w:val="clear" w:color="auto" w:fill="auto"/>
            <w:vAlign w:val="bottom"/>
          </w:tcPr>
          <w:p w14:paraId="121DF13E" w14:textId="77777777" w:rsidR="00A52778" w:rsidRPr="00460F9E" w:rsidRDefault="00A52778" w:rsidP="00FC3F8E">
            <w:pPr>
              <w:spacing w:line="0" w:lineRule="atLeast"/>
              <w:rPr>
                <w:rFonts w:eastAsia="Times New Roman" w:cs="Times New Roman"/>
                <w:b/>
                <w:sz w:val="19"/>
              </w:rPr>
            </w:pPr>
          </w:p>
        </w:tc>
        <w:tc>
          <w:tcPr>
            <w:tcW w:w="1212" w:type="dxa"/>
            <w:gridSpan w:val="2"/>
            <w:vMerge w:val="restart"/>
            <w:tcBorders>
              <w:right w:val="single" w:sz="8" w:space="0" w:color="auto"/>
            </w:tcBorders>
            <w:shd w:val="clear" w:color="auto" w:fill="auto"/>
            <w:vAlign w:val="bottom"/>
          </w:tcPr>
          <w:p w14:paraId="21BC7FC3"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Yayılı emisyonların toplanması ve atık gazların arıtılması</w:t>
            </w:r>
          </w:p>
        </w:tc>
        <w:tc>
          <w:tcPr>
            <w:tcW w:w="385" w:type="dxa"/>
            <w:shd w:val="clear" w:color="auto" w:fill="auto"/>
            <w:vAlign w:val="bottom"/>
          </w:tcPr>
          <w:p w14:paraId="577E2412" w14:textId="77777777" w:rsidR="00A52778" w:rsidRPr="00460F9E" w:rsidRDefault="00A52778" w:rsidP="00FC3F8E">
            <w:pPr>
              <w:spacing w:line="0" w:lineRule="atLeast"/>
              <w:rPr>
                <w:rFonts w:eastAsia="Times New Roman" w:cs="Times New Roman"/>
                <w:b/>
                <w:sz w:val="19"/>
              </w:rPr>
            </w:pPr>
          </w:p>
        </w:tc>
        <w:tc>
          <w:tcPr>
            <w:tcW w:w="3234" w:type="dxa"/>
            <w:gridSpan w:val="12"/>
            <w:vMerge w:val="restart"/>
            <w:tcBorders>
              <w:right w:val="single" w:sz="8" w:space="0" w:color="auto"/>
            </w:tcBorders>
            <w:shd w:val="clear" w:color="auto" w:fill="auto"/>
            <w:vAlign w:val="bottom"/>
          </w:tcPr>
          <w:p w14:paraId="1D3AA447" w14:textId="77777777" w:rsidR="00A52778" w:rsidRPr="00460F9E" w:rsidRDefault="00A52778" w:rsidP="00FC3F8E">
            <w:pPr>
              <w:spacing w:line="0" w:lineRule="atLeast"/>
              <w:rPr>
                <w:rFonts w:eastAsia="Times New Roman" w:cs="Times New Roman"/>
                <w:b/>
                <w:w w:val="95"/>
              </w:rPr>
            </w:pPr>
            <w:r w:rsidRPr="00460F9E">
              <w:rPr>
                <w:rFonts w:eastAsia="Times New Roman" w:cs="Times New Roman"/>
              </w:rPr>
              <w:t>Yayılı VOC emisyonlarının (örneğin kompresör contalarından, havalandırma deliklerinden ve tahliye hatlarından) toplanması ve geri kazanıma (bkz. MET 9 ve MET 10) ve/veya azaltıma (bkz. MET 11) gönderilmesi.</w:t>
            </w:r>
          </w:p>
        </w:tc>
        <w:tc>
          <w:tcPr>
            <w:tcW w:w="980" w:type="dxa"/>
            <w:vMerge w:val="restart"/>
            <w:tcBorders>
              <w:left w:val="single" w:sz="8" w:space="0" w:color="auto"/>
              <w:right w:val="single" w:sz="8" w:space="0" w:color="auto"/>
            </w:tcBorders>
            <w:shd w:val="clear" w:color="auto" w:fill="auto"/>
            <w:vAlign w:val="bottom"/>
          </w:tcPr>
          <w:p w14:paraId="6DBCF42F" w14:textId="77777777" w:rsidR="00A52778" w:rsidRPr="00460F9E" w:rsidRDefault="00A52778" w:rsidP="00FC3F8E">
            <w:pPr>
              <w:spacing w:line="219" w:lineRule="exact"/>
              <w:jc w:val="center"/>
              <w:rPr>
                <w:rFonts w:eastAsia="Times New Roman" w:cs="Times New Roman"/>
                <w:b/>
                <w:w w:val="98"/>
              </w:rPr>
            </w:pPr>
            <w:r w:rsidRPr="00460F9E">
              <w:rPr>
                <w:rFonts w:eastAsia="Times New Roman" w:cs="Times New Roman"/>
              </w:rPr>
              <w:t>Kaçak ve kaçak olmayan emisyonlar</w:t>
            </w:r>
          </w:p>
        </w:tc>
        <w:tc>
          <w:tcPr>
            <w:tcW w:w="404" w:type="dxa"/>
            <w:vMerge w:val="restart"/>
            <w:shd w:val="clear" w:color="auto" w:fill="auto"/>
            <w:vAlign w:val="bottom"/>
          </w:tcPr>
          <w:p w14:paraId="04F0985A" w14:textId="77777777" w:rsidR="00A52778" w:rsidRPr="00460F9E" w:rsidRDefault="00A52778" w:rsidP="00FC3F8E">
            <w:pPr>
              <w:spacing w:line="0" w:lineRule="atLeast"/>
              <w:rPr>
                <w:rFonts w:eastAsia="Times New Roman" w:cs="Times New Roman"/>
                <w:b/>
                <w:sz w:val="19"/>
              </w:rPr>
            </w:pPr>
          </w:p>
        </w:tc>
        <w:tc>
          <w:tcPr>
            <w:tcW w:w="2192" w:type="dxa"/>
            <w:gridSpan w:val="5"/>
            <w:vMerge w:val="restart"/>
            <w:tcBorders>
              <w:right w:val="single" w:sz="8" w:space="0" w:color="auto"/>
            </w:tcBorders>
            <w:shd w:val="clear" w:color="auto" w:fill="auto"/>
          </w:tcPr>
          <w:p w14:paraId="1D11701E" w14:textId="77777777" w:rsidR="00A52778" w:rsidRPr="00460F9E" w:rsidRDefault="00A52778" w:rsidP="00FC3F8E">
            <w:pPr>
              <w:spacing w:line="0" w:lineRule="atLeast"/>
              <w:ind w:right="20"/>
              <w:rPr>
                <w:rFonts w:eastAsia="Times New Roman" w:cs="Times New Roman"/>
                <w:b/>
              </w:rPr>
            </w:pPr>
            <w:r w:rsidRPr="00460F9E">
              <w:rPr>
                <w:rFonts w:eastAsia="Times New Roman" w:cs="Times New Roman"/>
              </w:rPr>
              <w:t>- mevcut tesisler için, ve/</w:t>
            </w:r>
          </w:p>
          <w:p w14:paraId="4106E3F3" w14:textId="77777777" w:rsidR="00A52778" w:rsidRPr="00460F9E" w:rsidRDefault="00A52778" w:rsidP="00FC3F8E">
            <w:pPr>
              <w:spacing w:line="219" w:lineRule="exact"/>
              <w:rPr>
                <w:rFonts w:eastAsia="Times New Roman" w:cs="Times New Roman"/>
                <w:b/>
              </w:rPr>
            </w:pPr>
            <w:r w:rsidRPr="00460F9E">
              <w:rPr>
                <w:rFonts w:eastAsia="Times New Roman" w:cs="Times New Roman"/>
              </w:rPr>
              <w:t xml:space="preserve">  veya güvenlik kaygılarıyla  </w:t>
            </w:r>
          </w:p>
          <w:p w14:paraId="4063ABD5" w14:textId="77777777" w:rsidR="00A52778" w:rsidRPr="00460F9E" w:rsidRDefault="00A52778" w:rsidP="00FC3F8E">
            <w:pPr>
              <w:spacing w:line="219" w:lineRule="exact"/>
              <w:rPr>
                <w:rFonts w:eastAsia="Times New Roman" w:cs="Times New Roman"/>
                <w:b/>
              </w:rPr>
            </w:pPr>
            <w:r w:rsidRPr="00460F9E">
              <w:rPr>
                <w:rFonts w:eastAsia="Times New Roman" w:cs="Times New Roman"/>
              </w:rPr>
              <w:t xml:space="preserve">  (örn. alt patlayıcı limitine </w:t>
            </w:r>
          </w:p>
          <w:p w14:paraId="4AC3D9F4" w14:textId="77777777" w:rsidR="00A52778" w:rsidRPr="00460F9E" w:rsidRDefault="00A52778" w:rsidP="00FC3F8E">
            <w:pPr>
              <w:spacing w:line="219" w:lineRule="exact"/>
              <w:rPr>
                <w:rFonts w:eastAsia="Times New Roman" w:cs="Times New Roman"/>
                <w:b/>
              </w:rPr>
            </w:pPr>
            <w:r w:rsidRPr="00460F9E">
              <w:rPr>
                <w:rFonts w:eastAsia="Times New Roman" w:cs="Times New Roman"/>
              </w:rPr>
              <w:t xml:space="preserve">  yakın konsantrasyonlardan </w:t>
            </w:r>
          </w:p>
          <w:p w14:paraId="568D3BBB" w14:textId="77777777" w:rsidR="00A52778" w:rsidRPr="00460F9E" w:rsidRDefault="00A52778" w:rsidP="00FC3F8E">
            <w:pPr>
              <w:spacing w:line="219" w:lineRule="exact"/>
              <w:rPr>
                <w:rFonts w:eastAsia="Times New Roman" w:cs="Times New Roman"/>
                <w:b/>
              </w:rPr>
            </w:pPr>
            <w:r w:rsidRPr="00460F9E">
              <w:rPr>
                <w:rFonts w:eastAsia="Times New Roman" w:cs="Times New Roman"/>
              </w:rPr>
              <w:t xml:space="preserve">  kaçınmak).</w:t>
            </w:r>
          </w:p>
          <w:p w14:paraId="033969D3" w14:textId="77777777" w:rsidR="00A52778" w:rsidRPr="00460F9E" w:rsidRDefault="00A52778" w:rsidP="00FC3F8E">
            <w:pPr>
              <w:spacing w:line="0" w:lineRule="atLeast"/>
              <w:rPr>
                <w:rFonts w:eastAsia="Times New Roman" w:cs="Times New Roman"/>
                <w:b/>
              </w:rPr>
            </w:pPr>
          </w:p>
        </w:tc>
      </w:tr>
      <w:tr w:rsidR="00A52778" w:rsidRPr="00460F9E" w14:paraId="064FC2CE" w14:textId="77777777" w:rsidTr="00FC3F8E">
        <w:trPr>
          <w:gridAfter w:val="1"/>
          <w:wAfter w:w="347" w:type="dxa"/>
          <w:trHeight w:val="96"/>
        </w:trPr>
        <w:tc>
          <w:tcPr>
            <w:tcW w:w="386" w:type="dxa"/>
            <w:tcBorders>
              <w:left w:val="single" w:sz="8" w:space="0" w:color="auto"/>
              <w:right w:val="single" w:sz="8" w:space="0" w:color="auto"/>
            </w:tcBorders>
            <w:shd w:val="clear" w:color="auto" w:fill="auto"/>
            <w:vAlign w:val="bottom"/>
          </w:tcPr>
          <w:p w14:paraId="5200E6DE" w14:textId="77777777" w:rsidR="00A52778" w:rsidRPr="00460F9E" w:rsidRDefault="00A52778" w:rsidP="00FC3F8E">
            <w:pPr>
              <w:spacing w:line="0" w:lineRule="atLeast"/>
              <w:rPr>
                <w:rFonts w:eastAsia="Times New Roman" w:cs="Times New Roman"/>
                <w:b/>
                <w:sz w:val="8"/>
              </w:rPr>
            </w:pPr>
          </w:p>
        </w:tc>
        <w:tc>
          <w:tcPr>
            <w:tcW w:w="1212" w:type="dxa"/>
            <w:gridSpan w:val="2"/>
            <w:vMerge/>
            <w:tcBorders>
              <w:right w:val="single" w:sz="8" w:space="0" w:color="auto"/>
            </w:tcBorders>
            <w:shd w:val="clear" w:color="auto" w:fill="auto"/>
            <w:vAlign w:val="bottom"/>
          </w:tcPr>
          <w:p w14:paraId="07A5A5AC" w14:textId="77777777" w:rsidR="00A52778" w:rsidRPr="00460F9E" w:rsidRDefault="00A52778" w:rsidP="00FC3F8E">
            <w:pPr>
              <w:spacing w:line="0" w:lineRule="atLeast"/>
              <w:ind w:left="80"/>
              <w:rPr>
                <w:rFonts w:eastAsia="Times New Roman" w:cs="Times New Roman"/>
                <w:b/>
              </w:rPr>
            </w:pPr>
          </w:p>
        </w:tc>
        <w:tc>
          <w:tcPr>
            <w:tcW w:w="385" w:type="dxa"/>
            <w:shd w:val="clear" w:color="auto" w:fill="auto"/>
            <w:vAlign w:val="bottom"/>
          </w:tcPr>
          <w:p w14:paraId="78D174D9" w14:textId="77777777" w:rsidR="00A52778" w:rsidRPr="00460F9E" w:rsidRDefault="00A52778" w:rsidP="00FC3F8E">
            <w:pPr>
              <w:spacing w:line="0" w:lineRule="atLeast"/>
              <w:rPr>
                <w:rFonts w:eastAsia="Times New Roman" w:cs="Times New Roman"/>
                <w:b/>
                <w:sz w:val="8"/>
              </w:rPr>
            </w:pPr>
          </w:p>
        </w:tc>
        <w:tc>
          <w:tcPr>
            <w:tcW w:w="3234" w:type="dxa"/>
            <w:gridSpan w:val="12"/>
            <w:vMerge/>
            <w:tcBorders>
              <w:right w:val="single" w:sz="8" w:space="0" w:color="auto"/>
            </w:tcBorders>
            <w:shd w:val="clear" w:color="auto" w:fill="auto"/>
            <w:vAlign w:val="bottom"/>
          </w:tcPr>
          <w:p w14:paraId="167C9FF9" w14:textId="77777777" w:rsidR="00A52778" w:rsidRPr="00460F9E" w:rsidRDefault="00A52778" w:rsidP="00FC3F8E">
            <w:pPr>
              <w:spacing w:line="0" w:lineRule="atLeast"/>
              <w:rPr>
                <w:rFonts w:eastAsia="Times New Roman" w:cs="Times New Roman"/>
                <w:b/>
                <w:w w:val="96"/>
              </w:rPr>
            </w:pPr>
          </w:p>
        </w:tc>
        <w:tc>
          <w:tcPr>
            <w:tcW w:w="980" w:type="dxa"/>
            <w:vMerge/>
            <w:tcBorders>
              <w:left w:val="single" w:sz="8" w:space="0" w:color="auto"/>
              <w:right w:val="single" w:sz="8" w:space="0" w:color="auto"/>
            </w:tcBorders>
            <w:shd w:val="clear" w:color="auto" w:fill="auto"/>
            <w:vAlign w:val="bottom"/>
          </w:tcPr>
          <w:p w14:paraId="4611BFBD" w14:textId="77777777" w:rsidR="00A52778" w:rsidRPr="00460F9E" w:rsidRDefault="00A52778" w:rsidP="00FC3F8E">
            <w:pPr>
              <w:spacing w:line="219" w:lineRule="exact"/>
              <w:jc w:val="center"/>
              <w:rPr>
                <w:rFonts w:eastAsia="Times New Roman" w:cs="Times New Roman"/>
                <w:b/>
                <w:sz w:val="8"/>
              </w:rPr>
            </w:pPr>
          </w:p>
        </w:tc>
        <w:tc>
          <w:tcPr>
            <w:tcW w:w="404" w:type="dxa"/>
            <w:vMerge/>
            <w:shd w:val="clear" w:color="auto" w:fill="auto"/>
            <w:vAlign w:val="bottom"/>
          </w:tcPr>
          <w:p w14:paraId="31F59CEA" w14:textId="77777777" w:rsidR="00A52778" w:rsidRPr="00460F9E" w:rsidRDefault="00A52778" w:rsidP="00FC3F8E">
            <w:pPr>
              <w:spacing w:line="0" w:lineRule="atLeast"/>
              <w:rPr>
                <w:rFonts w:eastAsia="Times New Roman" w:cs="Times New Roman"/>
                <w:b/>
                <w:sz w:val="8"/>
              </w:rPr>
            </w:pPr>
          </w:p>
        </w:tc>
        <w:tc>
          <w:tcPr>
            <w:tcW w:w="2192" w:type="dxa"/>
            <w:gridSpan w:val="5"/>
            <w:vMerge/>
            <w:tcBorders>
              <w:right w:val="single" w:sz="8" w:space="0" w:color="auto"/>
            </w:tcBorders>
            <w:shd w:val="clear" w:color="auto" w:fill="auto"/>
            <w:vAlign w:val="bottom"/>
          </w:tcPr>
          <w:p w14:paraId="36917C06" w14:textId="77777777" w:rsidR="00A52778" w:rsidRPr="00460F9E" w:rsidRDefault="00A52778" w:rsidP="00FC3F8E">
            <w:pPr>
              <w:spacing w:line="0" w:lineRule="atLeast"/>
              <w:rPr>
                <w:rFonts w:eastAsia="Times New Roman" w:cs="Times New Roman"/>
                <w:b/>
                <w:sz w:val="8"/>
              </w:rPr>
            </w:pPr>
          </w:p>
        </w:tc>
      </w:tr>
      <w:tr w:rsidR="00A52778" w:rsidRPr="00460F9E" w14:paraId="0E7EA241" w14:textId="77777777" w:rsidTr="00FC3F8E">
        <w:trPr>
          <w:gridAfter w:val="1"/>
          <w:wAfter w:w="347" w:type="dxa"/>
          <w:trHeight w:val="135"/>
        </w:trPr>
        <w:tc>
          <w:tcPr>
            <w:tcW w:w="386" w:type="dxa"/>
            <w:tcBorders>
              <w:left w:val="single" w:sz="8" w:space="0" w:color="auto"/>
              <w:right w:val="single" w:sz="8" w:space="0" w:color="auto"/>
            </w:tcBorders>
            <w:shd w:val="clear" w:color="auto" w:fill="auto"/>
            <w:vAlign w:val="bottom"/>
          </w:tcPr>
          <w:p w14:paraId="3CF11D65" w14:textId="77777777" w:rsidR="00A52778" w:rsidRPr="00460F9E" w:rsidRDefault="00A52778" w:rsidP="00FC3F8E">
            <w:pPr>
              <w:spacing w:line="0" w:lineRule="atLeast"/>
              <w:rPr>
                <w:rFonts w:eastAsia="Times New Roman" w:cs="Times New Roman"/>
                <w:b/>
                <w:sz w:val="11"/>
              </w:rPr>
            </w:pPr>
          </w:p>
        </w:tc>
        <w:tc>
          <w:tcPr>
            <w:tcW w:w="1212" w:type="dxa"/>
            <w:gridSpan w:val="2"/>
            <w:vMerge/>
            <w:tcBorders>
              <w:right w:val="single" w:sz="8" w:space="0" w:color="auto"/>
            </w:tcBorders>
            <w:shd w:val="clear" w:color="auto" w:fill="auto"/>
            <w:vAlign w:val="bottom"/>
          </w:tcPr>
          <w:p w14:paraId="09018D40" w14:textId="77777777" w:rsidR="00A52778" w:rsidRPr="00460F9E" w:rsidRDefault="00A52778" w:rsidP="00FC3F8E">
            <w:pPr>
              <w:spacing w:line="0" w:lineRule="atLeast"/>
              <w:ind w:left="80"/>
              <w:rPr>
                <w:rFonts w:eastAsia="Times New Roman" w:cs="Times New Roman"/>
                <w:b/>
                <w:sz w:val="11"/>
              </w:rPr>
            </w:pPr>
          </w:p>
        </w:tc>
        <w:tc>
          <w:tcPr>
            <w:tcW w:w="385" w:type="dxa"/>
            <w:shd w:val="clear" w:color="auto" w:fill="auto"/>
            <w:vAlign w:val="bottom"/>
          </w:tcPr>
          <w:p w14:paraId="1B9496C3" w14:textId="77777777" w:rsidR="00A52778" w:rsidRPr="00460F9E" w:rsidRDefault="00A52778" w:rsidP="00FC3F8E">
            <w:pPr>
              <w:spacing w:line="0" w:lineRule="atLeast"/>
              <w:rPr>
                <w:rFonts w:eastAsia="Times New Roman" w:cs="Times New Roman"/>
                <w:b/>
                <w:sz w:val="11"/>
              </w:rPr>
            </w:pPr>
          </w:p>
        </w:tc>
        <w:tc>
          <w:tcPr>
            <w:tcW w:w="3234" w:type="dxa"/>
            <w:gridSpan w:val="12"/>
            <w:vMerge/>
            <w:tcBorders>
              <w:right w:val="single" w:sz="8" w:space="0" w:color="auto"/>
            </w:tcBorders>
            <w:shd w:val="clear" w:color="auto" w:fill="auto"/>
            <w:vAlign w:val="bottom"/>
          </w:tcPr>
          <w:p w14:paraId="2E686765" w14:textId="77777777" w:rsidR="00A52778" w:rsidRPr="00460F9E" w:rsidRDefault="00A52778" w:rsidP="00FC3F8E">
            <w:pPr>
              <w:spacing w:line="0" w:lineRule="atLeast"/>
              <w:rPr>
                <w:rFonts w:eastAsia="Times New Roman" w:cs="Times New Roman"/>
                <w:b/>
                <w:sz w:val="11"/>
              </w:rPr>
            </w:pPr>
          </w:p>
        </w:tc>
        <w:tc>
          <w:tcPr>
            <w:tcW w:w="980" w:type="dxa"/>
            <w:vMerge/>
            <w:tcBorders>
              <w:left w:val="single" w:sz="8" w:space="0" w:color="auto"/>
              <w:right w:val="single" w:sz="8" w:space="0" w:color="auto"/>
            </w:tcBorders>
            <w:shd w:val="clear" w:color="auto" w:fill="auto"/>
            <w:vAlign w:val="bottom"/>
          </w:tcPr>
          <w:p w14:paraId="76535C23" w14:textId="77777777" w:rsidR="00A52778" w:rsidRPr="00460F9E" w:rsidRDefault="00A52778" w:rsidP="00FC3F8E">
            <w:pPr>
              <w:spacing w:line="219" w:lineRule="exact"/>
              <w:jc w:val="center"/>
              <w:rPr>
                <w:rFonts w:eastAsia="Times New Roman" w:cs="Times New Roman"/>
                <w:b/>
                <w:w w:val="99"/>
              </w:rPr>
            </w:pPr>
          </w:p>
        </w:tc>
        <w:tc>
          <w:tcPr>
            <w:tcW w:w="404" w:type="dxa"/>
            <w:shd w:val="clear" w:color="auto" w:fill="auto"/>
            <w:vAlign w:val="bottom"/>
          </w:tcPr>
          <w:p w14:paraId="7702B1BC" w14:textId="77777777" w:rsidR="00A52778" w:rsidRPr="00460F9E" w:rsidRDefault="00A52778" w:rsidP="00FC3F8E">
            <w:pPr>
              <w:spacing w:line="0" w:lineRule="atLeast"/>
              <w:rPr>
                <w:rFonts w:eastAsia="Times New Roman" w:cs="Times New Roman"/>
                <w:b/>
                <w:sz w:val="11"/>
              </w:rPr>
            </w:pPr>
          </w:p>
        </w:tc>
        <w:tc>
          <w:tcPr>
            <w:tcW w:w="2192" w:type="dxa"/>
            <w:gridSpan w:val="5"/>
            <w:vMerge/>
            <w:tcBorders>
              <w:right w:val="single" w:sz="8" w:space="0" w:color="auto"/>
            </w:tcBorders>
            <w:shd w:val="clear" w:color="auto" w:fill="auto"/>
            <w:vAlign w:val="bottom"/>
          </w:tcPr>
          <w:p w14:paraId="3D695F6D" w14:textId="77777777" w:rsidR="00A52778" w:rsidRPr="00460F9E" w:rsidRDefault="00A52778" w:rsidP="00FC3F8E">
            <w:pPr>
              <w:spacing w:line="0" w:lineRule="atLeast"/>
              <w:rPr>
                <w:rFonts w:eastAsia="Times New Roman" w:cs="Times New Roman"/>
                <w:b/>
                <w:sz w:val="11"/>
              </w:rPr>
            </w:pPr>
          </w:p>
        </w:tc>
      </w:tr>
      <w:tr w:rsidR="00A52778" w:rsidRPr="00460F9E" w14:paraId="7CD87866" w14:textId="77777777" w:rsidTr="00FC3F8E">
        <w:trPr>
          <w:gridAfter w:val="1"/>
          <w:wAfter w:w="347" w:type="dxa"/>
          <w:trHeight w:val="113"/>
        </w:trPr>
        <w:tc>
          <w:tcPr>
            <w:tcW w:w="386" w:type="dxa"/>
            <w:vMerge w:val="restart"/>
            <w:tcBorders>
              <w:left w:val="single" w:sz="8" w:space="0" w:color="auto"/>
              <w:right w:val="single" w:sz="8" w:space="0" w:color="auto"/>
            </w:tcBorders>
            <w:shd w:val="clear" w:color="auto" w:fill="auto"/>
            <w:vAlign w:val="bottom"/>
          </w:tcPr>
          <w:p w14:paraId="2B23604C" w14:textId="77777777" w:rsidR="00A52778" w:rsidRPr="00460F9E" w:rsidRDefault="00A52778" w:rsidP="00FC3F8E">
            <w:pPr>
              <w:spacing w:line="228" w:lineRule="exact"/>
              <w:ind w:left="120"/>
              <w:rPr>
                <w:rFonts w:eastAsia="Times New Roman" w:cs="Times New Roman"/>
                <w:b/>
              </w:rPr>
            </w:pPr>
            <w:r w:rsidRPr="00460F9E">
              <w:rPr>
                <w:rFonts w:eastAsia="Times New Roman" w:cs="Times New Roman"/>
              </w:rPr>
              <w:t>c.</w:t>
            </w:r>
          </w:p>
        </w:tc>
        <w:tc>
          <w:tcPr>
            <w:tcW w:w="1212" w:type="dxa"/>
            <w:gridSpan w:val="2"/>
            <w:vMerge/>
            <w:tcBorders>
              <w:right w:val="single" w:sz="8" w:space="0" w:color="auto"/>
            </w:tcBorders>
            <w:shd w:val="clear" w:color="auto" w:fill="auto"/>
            <w:vAlign w:val="bottom"/>
          </w:tcPr>
          <w:p w14:paraId="0731FE6F" w14:textId="77777777" w:rsidR="00A52778" w:rsidRPr="00460F9E" w:rsidRDefault="00A52778" w:rsidP="00FC3F8E">
            <w:pPr>
              <w:spacing w:line="0" w:lineRule="atLeast"/>
              <w:ind w:left="80"/>
              <w:rPr>
                <w:rFonts w:eastAsia="Times New Roman" w:cs="Times New Roman"/>
                <w:b/>
              </w:rPr>
            </w:pPr>
          </w:p>
        </w:tc>
        <w:tc>
          <w:tcPr>
            <w:tcW w:w="385" w:type="dxa"/>
            <w:shd w:val="clear" w:color="auto" w:fill="auto"/>
            <w:vAlign w:val="bottom"/>
          </w:tcPr>
          <w:p w14:paraId="23FA8BFE" w14:textId="77777777" w:rsidR="00A52778" w:rsidRPr="00460F9E" w:rsidRDefault="00A52778" w:rsidP="00FC3F8E">
            <w:pPr>
              <w:spacing w:line="0" w:lineRule="atLeast"/>
              <w:rPr>
                <w:rFonts w:eastAsia="Times New Roman" w:cs="Times New Roman"/>
                <w:b/>
                <w:sz w:val="9"/>
              </w:rPr>
            </w:pPr>
          </w:p>
        </w:tc>
        <w:tc>
          <w:tcPr>
            <w:tcW w:w="3234" w:type="dxa"/>
            <w:gridSpan w:val="12"/>
            <w:vMerge/>
            <w:tcBorders>
              <w:right w:val="single" w:sz="8" w:space="0" w:color="auto"/>
            </w:tcBorders>
            <w:shd w:val="clear" w:color="auto" w:fill="auto"/>
            <w:vAlign w:val="bottom"/>
          </w:tcPr>
          <w:p w14:paraId="5DD9546E" w14:textId="77777777" w:rsidR="00A52778" w:rsidRPr="00460F9E" w:rsidRDefault="00A52778" w:rsidP="00FC3F8E">
            <w:pPr>
              <w:spacing w:line="0" w:lineRule="atLeast"/>
              <w:rPr>
                <w:rFonts w:eastAsia="Times New Roman" w:cs="Times New Roman"/>
                <w:b/>
              </w:rPr>
            </w:pPr>
          </w:p>
        </w:tc>
        <w:tc>
          <w:tcPr>
            <w:tcW w:w="980" w:type="dxa"/>
            <w:vMerge/>
            <w:tcBorders>
              <w:left w:val="single" w:sz="8" w:space="0" w:color="auto"/>
              <w:right w:val="single" w:sz="8" w:space="0" w:color="auto"/>
            </w:tcBorders>
            <w:shd w:val="clear" w:color="auto" w:fill="auto"/>
            <w:vAlign w:val="bottom"/>
          </w:tcPr>
          <w:p w14:paraId="7588F2E6" w14:textId="77777777" w:rsidR="00A52778" w:rsidRPr="00460F9E" w:rsidRDefault="00A52778" w:rsidP="00FC3F8E">
            <w:pPr>
              <w:spacing w:line="219" w:lineRule="exact"/>
              <w:jc w:val="center"/>
              <w:rPr>
                <w:rFonts w:eastAsia="Times New Roman" w:cs="Times New Roman"/>
                <w:b/>
                <w:sz w:val="9"/>
              </w:rPr>
            </w:pPr>
          </w:p>
        </w:tc>
        <w:tc>
          <w:tcPr>
            <w:tcW w:w="404" w:type="dxa"/>
            <w:shd w:val="clear" w:color="auto" w:fill="auto"/>
            <w:vAlign w:val="bottom"/>
          </w:tcPr>
          <w:p w14:paraId="21DB53D3" w14:textId="77777777" w:rsidR="00A52778" w:rsidRPr="00460F9E" w:rsidRDefault="00A52778" w:rsidP="00FC3F8E">
            <w:pPr>
              <w:spacing w:line="0" w:lineRule="atLeast"/>
              <w:rPr>
                <w:rFonts w:eastAsia="Times New Roman" w:cs="Times New Roman"/>
                <w:b/>
                <w:sz w:val="9"/>
              </w:rPr>
            </w:pPr>
          </w:p>
        </w:tc>
        <w:tc>
          <w:tcPr>
            <w:tcW w:w="2192" w:type="dxa"/>
            <w:gridSpan w:val="5"/>
            <w:vMerge/>
            <w:tcBorders>
              <w:right w:val="single" w:sz="8" w:space="0" w:color="auto"/>
            </w:tcBorders>
            <w:shd w:val="clear" w:color="auto" w:fill="auto"/>
            <w:vAlign w:val="bottom"/>
          </w:tcPr>
          <w:p w14:paraId="762B7946" w14:textId="77777777" w:rsidR="00A52778" w:rsidRPr="00460F9E" w:rsidRDefault="00A52778" w:rsidP="00FC3F8E">
            <w:pPr>
              <w:spacing w:line="0" w:lineRule="atLeast"/>
              <w:rPr>
                <w:rFonts w:eastAsia="Times New Roman" w:cs="Times New Roman"/>
                <w:b/>
                <w:sz w:val="9"/>
              </w:rPr>
            </w:pPr>
          </w:p>
        </w:tc>
      </w:tr>
      <w:tr w:rsidR="00A52778" w:rsidRPr="00460F9E" w14:paraId="5D87BB2C" w14:textId="77777777" w:rsidTr="00FC3F8E">
        <w:trPr>
          <w:gridAfter w:val="1"/>
          <w:wAfter w:w="347" w:type="dxa"/>
          <w:trHeight w:val="115"/>
        </w:trPr>
        <w:tc>
          <w:tcPr>
            <w:tcW w:w="386" w:type="dxa"/>
            <w:vMerge/>
            <w:tcBorders>
              <w:left w:val="single" w:sz="8" w:space="0" w:color="auto"/>
              <w:right w:val="single" w:sz="8" w:space="0" w:color="auto"/>
            </w:tcBorders>
            <w:shd w:val="clear" w:color="auto" w:fill="auto"/>
            <w:vAlign w:val="bottom"/>
          </w:tcPr>
          <w:p w14:paraId="178FD891" w14:textId="77777777" w:rsidR="00A52778" w:rsidRPr="00460F9E" w:rsidRDefault="00A52778" w:rsidP="00FC3F8E">
            <w:pPr>
              <w:spacing w:line="0" w:lineRule="atLeast"/>
              <w:rPr>
                <w:rFonts w:eastAsia="Times New Roman" w:cs="Times New Roman"/>
                <w:b/>
                <w:sz w:val="10"/>
              </w:rPr>
            </w:pPr>
          </w:p>
        </w:tc>
        <w:tc>
          <w:tcPr>
            <w:tcW w:w="1212" w:type="dxa"/>
            <w:gridSpan w:val="2"/>
            <w:vMerge/>
            <w:tcBorders>
              <w:right w:val="single" w:sz="8" w:space="0" w:color="auto"/>
            </w:tcBorders>
            <w:shd w:val="clear" w:color="auto" w:fill="auto"/>
            <w:vAlign w:val="bottom"/>
          </w:tcPr>
          <w:p w14:paraId="047401BB" w14:textId="77777777" w:rsidR="00A52778" w:rsidRPr="00460F9E" w:rsidRDefault="00A52778" w:rsidP="00FC3F8E">
            <w:pPr>
              <w:spacing w:line="0" w:lineRule="atLeast"/>
              <w:ind w:left="80"/>
              <w:rPr>
                <w:rFonts w:eastAsia="Times New Roman" w:cs="Times New Roman"/>
                <w:b/>
                <w:sz w:val="10"/>
              </w:rPr>
            </w:pPr>
          </w:p>
        </w:tc>
        <w:tc>
          <w:tcPr>
            <w:tcW w:w="385" w:type="dxa"/>
            <w:shd w:val="clear" w:color="auto" w:fill="auto"/>
            <w:vAlign w:val="bottom"/>
          </w:tcPr>
          <w:p w14:paraId="7173083F" w14:textId="77777777" w:rsidR="00A52778" w:rsidRPr="00460F9E" w:rsidRDefault="00A52778" w:rsidP="00FC3F8E">
            <w:pPr>
              <w:spacing w:line="0" w:lineRule="atLeast"/>
              <w:rPr>
                <w:rFonts w:eastAsia="Times New Roman" w:cs="Times New Roman"/>
                <w:b/>
                <w:sz w:val="10"/>
              </w:rPr>
            </w:pPr>
          </w:p>
        </w:tc>
        <w:tc>
          <w:tcPr>
            <w:tcW w:w="3234" w:type="dxa"/>
            <w:gridSpan w:val="12"/>
            <w:vMerge/>
            <w:tcBorders>
              <w:right w:val="single" w:sz="8" w:space="0" w:color="auto"/>
            </w:tcBorders>
            <w:shd w:val="clear" w:color="auto" w:fill="auto"/>
            <w:vAlign w:val="bottom"/>
          </w:tcPr>
          <w:p w14:paraId="65104442" w14:textId="77777777" w:rsidR="00A52778" w:rsidRPr="00460F9E" w:rsidRDefault="00A52778" w:rsidP="00FC3F8E">
            <w:pPr>
              <w:spacing w:line="0" w:lineRule="atLeast"/>
              <w:rPr>
                <w:rFonts w:eastAsia="Times New Roman" w:cs="Times New Roman"/>
                <w:b/>
                <w:sz w:val="10"/>
              </w:rPr>
            </w:pPr>
          </w:p>
        </w:tc>
        <w:tc>
          <w:tcPr>
            <w:tcW w:w="980" w:type="dxa"/>
            <w:vMerge/>
            <w:tcBorders>
              <w:left w:val="single" w:sz="8" w:space="0" w:color="auto"/>
              <w:right w:val="single" w:sz="8" w:space="0" w:color="auto"/>
            </w:tcBorders>
            <w:shd w:val="clear" w:color="auto" w:fill="auto"/>
            <w:vAlign w:val="bottom"/>
          </w:tcPr>
          <w:p w14:paraId="3C177D0E" w14:textId="77777777" w:rsidR="00A52778" w:rsidRPr="00460F9E" w:rsidRDefault="00A52778" w:rsidP="00FC3F8E">
            <w:pPr>
              <w:spacing w:line="219" w:lineRule="exact"/>
              <w:jc w:val="center"/>
              <w:rPr>
                <w:rFonts w:eastAsia="Times New Roman" w:cs="Times New Roman"/>
                <w:b/>
                <w:w w:val="99"/>
              </w:rPr>
            </w:pPr>
          </w:p>
        </w:tc>
        <w:tc>
          <w:tcPr>
            <w:tcW w:w="404" w:type="dxa"/>
            <w:vMerge w:val="restart"/>
            <w:shd w:val="clear" w:color="auto" w:fill="auto"/>
            <w:vAlign w:val="bottom"/>
          </w:tcPr>
          <w:p w14:paraId="6C255D32" w14:textId="77777777" w:rsidR="00A52778" w:rsidRPr="00460F9E" w:rsidRDefault="00A52778" w:rsidP="00FC3F8E">
            <w:pPr>
              <w:spacing w:line="0" w:lineRule="atLeast"/>
              <w:rPr>
                <w:rFonts w:eastAsia="Times New Roman" w:cs="Times New Roman"/>
                <w:b/>
                <w:sz w:val="10"/>
              </w:rPr>
            </w:pPr>
          </w:p>
        </w:tc>
        <w:tc>
          <w:tcPr>
            <w:tcW w:w="2192" w:type="dxa"/>
            <w:gridSpan w:val="5"/>
            <w:vMerge/>
            <w:tcBorders>
              <w:right w:val="single" w:sz="8" w:space="0" w:color="auto"/>
            </w:tcBorders>
            <w:shd w:val="clear" w:color="auto" w:fill="auto"/>
            <w:vAlign w:val="bottom"/>
          </w:tcPr>
          <w:p w14:paraId="70754291" w14:textId="77777777" w:rsidR="00A52778" w:rsidRPr="00460F9E" w:rsidRDefault="00A52778" w:rsidP="00FC3F8E">
            <w:pPr>
              <w:spacing w:line="0" w:lineRule="atLeast"/>
              <w:rPr>
                <w:rFonts w:eastAsia="Times New Roman" w:cs="Times New Roman"/>
                <w:b/>
              </w:rPr>
            </w:pPr>
          </w:p>
        </w:tc>
      </w:tr>
      <w:tr w:rsidR="00A52778" w:rsidRPr="00460F9E" w14:paraId="3269292F" w14:textId="77777777" w:rsidTr="00FC3F8E">
        <w:trPr>
          <w:gridAfter w:val="1"/>
          <w:wAfter w:w="347" w:type="dxa"/>
          <w:trHeight w:val="126"/>
        </w:trPr>
        <w:tc>
          <w:tcPr>
            <w:tcW w:w="386" w:type="dxa"/>
            <w:tcBorders>
              <w:left w:val="single" w:sz="8" w:space="0" w:color="auto"/>
              <w:right w:val="single" w:sz="8" w:space="0" w:color="auto"/>
            </w:tcBorders>
            <w:shd w:val="clear" w:color="auto" w:fill="auto"/>
            <w:vAlign w:val="bottom"/>
          </w:tcPr>
          <w:p w14:paraId="3B24629F" w14:textId="77777777" w:rsidR="00A52778" w:rsidRPr="00460F9E" w:rsidRDefault="00A52778" w:rsidP="00FC3F8E">
            <w:pPr>
              <w:spacing w:line="0" w:lineRule="atLeast"/>
              <w:rPr>
                <w:rFonts w:eastAsia="Times New Roman" w:cs="Times New Roman"/>
                <w:b/>
                <w:sz w:val="10"/>
              </w:rPr>
            </w:pPr>
          </w:p>
        </w:tc>
        <w:tc>
          <w:tcPr>
            <w:tcW w:w="1212" w:type="dxa"/>
            <w:gridSpan w:val="2"/>
            <w:vMerge/>
            <w:tcBorders>
              <w:right w:val="single" w:sz="8" w:space="0" w:color="auto"/>
            </w:tcBorders>
            <w:shd w:val="clear" w:color="auto" w:fill="auto"/>
            <w:vAlign w:val="bottom"/>
          </w:tcPr>
          <w:p w14:paraId="7DE84D38" w14:textId="77777777" w:rsidR="00A52778" w:rsidRPr="00460F9E" w:rsidRDefault="00A52778" w:rsidP="00FC3F8E">
            <w:pPr>
              <w:spacing w:line="0" w:lineRule="atLeast"/>
              <w:ind w:left="80"/>
              <w:rPr>
                <w:rFonts w:eastAsia="Times New Roman" w:cs="Times New Roman"/>
                <w:b/>
              </w:rPr>
            </w:pPr>
          </w:p>
        </w:tc>
        <w:tc>
          <w:tcPr>
            <w:tcW w:w="385" w:type="dxa"/>
            <w:tcBorders>
              <w:left w:val="single" w:sz="8" w:space="0" w:color="auto"/>
            </w:tcBorders>
            <w:shd w:val="clear" w:color="auto" w:fill="auto"/>
            <w:vAlign w:val="bottom"/>
          </w:tcPr>
          <w:p w14:paraId="53E746EB" w14:textId="77777777" w:rsidR="00A52778" w:rsidRPr="00460F9E" w:rsidRDefault="00A52778" w:rsidP="00FC3F8E">
            <w:pPr>
              <w:spacing w:line="0" w:lineRule="atLeast"/>
              <w:rPr>
                <w:rFonts w:eastAsia="Times New Roman" w:cs="Times New Roman"/>
                <w:b/>
                <w:sz w:val="10"/>
              </w:rPr>
            </w:pPr>
          </w:p>
        </w:tc>
        <w:tc>
          <w:tcPr>
            <w:tcW w:w="3234" w:type="dxa"/>
            <w:gridSpan w:val="12"/>
            <w:vMerge/>
            <w:tcBorders>
              <w:right w:val="single" w:sz="8" w:space="0" w:color="auto"/>
            </w:tcBorders>
            <w:shd w:val="clear" w:color="auto" w:fill="auto"/>
            <w:vAlign w:val="bottom"/>
          </w:tcPr>
          <w:p w14:paraId="6A987CA9" w14:textId="77777777" w:rsidR="00A52778" w:rsidRPr="00460F9E" w:rsidRDefault="00A52778" w:rsidP="00FC3F8E">
            <w:pPr>
              <w:spacing w:line="0" w:lineRule="atLeast"/>
              <w:rPr>
                <w:rFonts w:eastAsia="Times New Roman" w:cs="Times New Roman"/>
                <w:b/>
              </w:rPr>
            </w:pPr>
          </w:p>
        </w:tc>
        <w:tc>
          <w:tcPr>
            <w:tcW w:w="980" w:type="dxa"/>
            <w:vMerge/>
            <w:tcBorders>
              <w:left w:val="single" w:sz="8" w:space="0" w:color="auto"/>
              <w:right w:val="single" w:sz="8" w:space="0" w:color="auto"/>
            </w:tcBorders>
            <w:shd w:val="clear" w:color="auto" w:fill="auto"/>
            <w:vAlign w:val="bottom"/>
          </w:tcPr>
          <w:p w14:paraId="76F350AF" w14:textId="77777777" w:rsidR="00A52778" w:rsidRPr="00460F9E" w:rsidRDefault="00A52778" w:rsidP="00FC3F8E">
            <w:pPr>
              <w:spacing w:line="219" w:lineRule="exact"/>
              <w:jc w:val="center"/>
              <w:rPr>
                <w:rFonts w:eastAsia="Times New Roman" w:cs="Times New Roman"/>
                <w:b/>
                <w:sz w:val="10"/>
              </w:rPr>
            </w:pPr>
          </w:p>
        </w:tc>
        <w:tc>
          <w:tcPr>
            <w:tcW w:w="404" w:type="dxa"/>
            <w:vMerge/>
            <w:shd w:val="clear" w:color="auto" w:fill="auto"/>
            <w:vAlign w:val="bottom"/>
          </w:tcPr>
          <w:p w14:paraId="6F6B3BFD" w14:textId="77777777" w:rsidR="00A52778" w:rsidRPr="00460F9E" w:rsidRDefault="00A52778" w:rsidP="00FC3F8E">
            <w:pPr>
              <w:spacing w:line="0" w:lineRule="atLeast"/>
              <w:rPr>
                <w:rFonts w:eastAsia="Times New Roman" w:cs="Times New Roman"/>
                <w:b/>
                <w:sz w:val="10"/>
              </w:rPr>
            </w:pPr>
          </w:p>
        </w:tc>
        <w:tc>
          <w:tcPr>
            <w:tcW w:w="2192" w:type="dxa"/>
            <w:gridSpan w:val="5"/>
            <w:vMerge/>
            <w:tcBorders>
              <w:right w:val="single" w:sz="8" w:space="0" w:color="auto"/>
            </w:tcBorders>
            <w:shd w:val="clear" w:color="auto" w:fill="auto"/>
            <w:vAlign w:val="bottom"/>
          </w:tcPr>
          <w:p w14:paraId="7FE940D5" w14:textId="77777777" w:rsidR="00A52778" w:rsidRPr="00460F9E" w:rsidRDefault="00A52778" w:rsidP="00FC3F8E">
            <w:pPr>
              <w:spacing w:line="0" w:lineRule="atLeast"/>
              <w:rPr>
                <w:rFonts w:eastAsia="Times New Roman" w:cs="Times New Roman"/>
                <w:b/>
                <w:sz w:val="10"/>
              </w:rPr>
            </w:pPr>
          </w:p>
        </w:tc>
      </w:tr>
      <w:tr w:rsidR="00A52778" w:rsidRPr="00460F9E" w14:paraId="3E7B426A" w14:textId="77777777" w:rsidTr="00FC3F8E">
        <w:trPr>
          <w:gridAfter w:val="1"/>
          <w:wAfter w:w="347" w:type="dxa"/>
          <w:trHeight w:val="104"/>
        </w:trPr>
        <w:tc>
          <w:tcPr>
            <w:tcW w:w="386" w:type="dxa"/>
            <w:tcBorders>
              <w:left w:val="single" w:sz="8" w:space="0" w:color="auto"/>
              <w:right w:val="single" w:sz="8" w:space="0" w:color="auto"/>
            </w:tcBorders>
            <w:shd w:val="clear" w:color="auto" w:fill="auto"/>
            <w:vAlign w:val="bottom"/>
          </w:tcPr>
          <w:p w14:paraId="075DC905" w14:textId="77777777" w:rsidR="00A52778" w:rsidRPr="00460F9E" w:rsidRDefault="00A52778" w:rsidP="00FC3F8E">
            <w:pPr>
              <w:spacing w:line="0" w:lineRule="atLeast"/>
              <w:rPr>
                <w:rFonts w:eastAsia="Times New Roman" w:cs="Times New Roman"/>
                <w:b/>
                <w:sz w:val="9"/>
              </w:rPr>
            </w:pPr>
          </w:p>
        </w:tc>
        <w:tc>
          <w:tcPr>
            <w:tcW w:w="1212" w:type="dxa"/>
            <w:gridSpan w:val="2"/>
            <w:vMerge/>
            <w:tcBorders>
              <w:right w:val="single" w:sz="8" w:space="0" w:color="auto"/>
            </w:tcBorders>
            <w:shd w:val="clear" w:color="auto" w:fill="auto"/>
            <w:vAlign w:val="bottom"/>
          </w:tcPr>
          <w:p w14:paraId="33F5693C" w14:textId="77777777" w:rsidR="00A52778" w:rsidRPr="00460F9E" w:rsidRDefault="00A52778" w:rsidP="00FC3F8E">
            <w:pPr>
              <w:spacing w:line="0" w:lineRule="atLeast"/>
              <w:ind w:left="80"/>
              <w:rPr>
                <w:rFonts w:eastAsia="Times New Roman" w:cs="Times New Roman"/>
                <w:b/>
                <w:sz w:val="9"/>
              </w:rPr>
            </w:pPr>
          </w:p>
        </w:tc>
        <w:tc>
          <w:tcPr>
            <w:tcW w:w="385" w:type="dxa"/>
            <w:tcBorders>
              <w:left w:val="single" w:sz="8" w:space="0" w:color="auto"/>
            </w:tcBorders>
            <w:shd w:val="clear" w:color="auto" w:fill="auto"/>
            <w:vAlign w:val="bottom"/>
          </w:tcPr>
          <w:p w14:paraId="68D2E0E9" w14:textId="77777777" w:rsidR="00A52778" w:rsidRPr="00460F9E" w:rsidRDefault="00A52778" w:rsidP="00FC3F8E">
            <w:pPr>
              <w:spacing w:line="0" w:lineRule="atLeast"/>
              <w:rPr>
                <w:rFonts w:eastAsia="Times New Roman" w:cs="Times New Roman"/>
                <w:b/>
                <w:sz w:val="9"/>
              </w:rPr>
            </w:pPr>
          </w:p>
        </w:tc>
        <w:tc>
          <w:tcPr>
            <w:tcW w:w="3234" w:type="dxa"/>
            <w:gridSpan w:val="12"/>
            <w:vMerge/>
            <w:tcBorders>
              <w:right w:val="single" w:sz="8" w:space="0" w:color="auto"/>
            </w:tcBorders>
            <w:shd w:val="clear" w:color="auto" w:fill="auto"/>
            <w:vAlign w:val="bottom"/>
          </w:tcPr>
          <w:p w14:paraId="7D0B3ABC" w14:textId="77777777" w:rsidR="00A52778" w:rsidRPr="00460F9E" w:rsidRDefault="00A52778" w:rsidP="00FC3F8E">
            <w:pPr>
              <w:spacing w:line="0" w:lineRule="atLeast"/>
              <w:rPr>
                <w:rFonts w:eastAsia="Times New Roman" w:cs="Times New Roman"/>
                <w:b/>
                <w:sz w:val="9"/>
              </w:rPr>
            </w:pPr>
          </w:p>
        </w:tc>
        <w:tc>
          <w:tcPr>
            <w:tcW w:w="980" w:type="dxa"/>
            <w:vMerge/>
            <w:tcBorders>
              <w:left w:val="single" w:sz="8" w:space="0" w:color="auto"/>
              <w:right w:val="single" w:sz="8" w:space="0" w:color="auto"/>
            </w:tcBorders>
            <w:shd w:val="clear" w:color="auto" w:fill="auto"/>
            <w:vAlign w:val="bottom"/>
          </w:tcPr>
          <w:p w14:paraId="32D9344F" w14:textId="77777777" w:rsidR="00A52778" w:rsidRPr="00460F9E" w:rsidRDefault="00A52778" w:rsidP="00FC3F8E">
            <w:pPr>
              <w:spacing w:line="219" w:lineRule="exact"/>
              <w:jc w:val="center"/>
              <w:rPr>
                <w:rFonts w:eastAsia="Times New Roman" w:cs="Times New Roman"/>
                <w:b/>
                <w:w w:val="98"/>
              </w:rPr>
            </w:pPr>
          </w:p>
        </w:tc>
        <w:tc>
          <w:tcPr>
            <w:tcW w:w="404" w:type="dxa"/>
            <w:shd w:val="clear" w:color="auto" w:fill="auto"/>
            <w:vAlign w:val="bottom"/>
          </w:tcPr>
          <w:p w14:paraId="51B897D6" w14:textId="77777777" w:rsidR="00A52778" w:rsidRPr="00460F9E" w:rsidRDefault="00A52778" w:rsidP="00FC3F8E">
            <w:pPr>
              <w:spacing w:line="0" w:lineRule="atLeast"/>
              <w:rPr>
                <w:rFonts w:eastAsia="Times New Roman" w:cs="Times New Roman"/>
                <w:b/>
                <w:sz w:val="9"/>
              </w:rPr>
            </w:pPr>
          </w:p>
        </w:tc>
        <w:tc>
          <w:tcPr>
            <w:tcW w:w="2192" w:type="dxa"/>
            <w:gridSpan w:val="5"/>
            <w:vMerge/>
            <w:tcBorders>
              <w:right w:val="single" w:sz="8" w:space="0" w:color="auto"/>
            </w:tcBorders>
            <w:shd w:val="clear" w:color="auto" w:fill="auto"/>
            <w:vAlign w:val="bottom"/>
          </w:tcPr>
          <w:p w14:paraId="31A5BE1E" w14:textId="77777777" w:rsidR="00A52778" w:rsidRPr="00460F9E" w:rsidRDefault="00A52778" w:rsidP="00FC3F8E">
            <w:pPr>
              <w:spacing w:line="0" w:lineRule="atLeast"/>
              <w:rPr>
                <w:rFonts w:eastAsia="Times New Roman" w:cs="Times New Roman"/>
                <w:b/>
              </w:rPr>
            </w:pPr>
          </w:p>
        </w:tc>
      </w:tr>
      <w:tr w:rsidR="00A52778" w:rsidRPr="00460F9E" w14:paraId="2B1A81B6" w14:textId="77777777" w:rsidTr="00FC3F8E">
        <w:trPr>
          <w:gridAfter w:val="1"/>
          <w:wAfter w:w="347" w:type="dxa"/>
          <w:trHeight w:val="161"/>
        </w:trPr>
        <w:tc>
          <w:tcPr>
            <w:tcW w:w="386" w:type="dxa"/>
            <w:tcBorders>
              <w:left w:val="single" w:sz="8" w:space="0" w:color="auto"/>
              <w:right w:val="single" w:sz="8" w:space="0" w:color="auto"/>
            </w:tcBorders>
            <w:shd w:val="clear" w:color="auto" w:fill="auto"/>
            <w:vAlign w:val="bottom"/>
          </w:tcPr>
          <w:p w14:paraId="19AFBB38" w14:textId="77777777" w:rsidR="00A52778" w:rsidRPr="00460F9E" w:rsidRDefault="00A52778" w:rsidP="00FC3F8E">
            <w:pPr>
              <w:spacing w:line="0" w:lineRule="atLeast"/>
              <w:rPr>
                <w:rFonts w:eastAsia="Times New Roman" w:cs="Times New Roman"/>
                <w:b/>
                <w:sz w:val="13"/>
              </w:rPr>
            </w:pPr>
          </w:p>
        </w:tc>
        <w:tc>
          <w:tcPr>
            <w:tcW w:w="1212" w:type="dxa"/>
            <w:gridSpan w:val="2"/>
            <w:vMerge/>
            <w:tcBorders>
              <w:right w:val="single" w:sz="8" w:space="0" w:color="auto"/>
            </w:tcBorders>
            <w:shd w:val="clear" w:color="auto" w:fill="auto"/>
            <w:vAlign w:val="bottom"/>
          </w:tcPr>
          <w:p w14:paraId="05AE1D9A" w14:textId="77777777" w:rsidR="00A52778" w:rsidRPr="00460F9E" w:rsidRDefault="00A52778" w:rsidP="00FC3F8E">
            <w:pPr>
              <w:spacing w:line="0" w:lineRule="atLeast"/>
              <w:ind w:left="80"/>
              <w:rPr>
                <w:rFonts w:eastAsia="Times New Roman" w:cs="Times New Roman"/>
                <w:b/>
              </w:rPr>
            </w:pPr>
          </w:p>
        </w:tc>
        <w:tc>
          <w:tcPr>
            <w:tcW w:w="385" w:type="dxa"/>
            <w:shd w:val="clear" w:color="auto" w:fill="auto"/>
            <w:vAlign w:val="bottom"/>
          </w:tcPr>
          <w:p w14:paraId="03B250A6" w14:textId="77777777" w:rsidR="00A52778" w:rsidRPr="00460F9E" w:rsidRDefault="00A52778" w:rsidP="00FC3F8E">
            <w:pPr>
              <w:spacing w:line="0" w:lineRule="atLeast"/>
              <w:rPr>
                <w:rFonts w:eastAsia="Times New Roman" w:cs="Times New Roman"/>
                <w:b/>
                <w:sz w:val="13"/>
              </w:rPr>
            </w:pPr>
          </w:p>
        </w:tc>
        <w:tc>
          <w:tcPr>
            <w:tcW w:w="3234" w:type="dxa"/>
            <w:gridSpan w:val="12"/>
            <w:vMerge/>
            <w:tcBorders>
              <w:right w:val="single" w:sz="8" w:space="0" w:color="auto"/>
            </w:tcBorders>
            <w:shd w:val="clear" w:color="auto" w:fill="auto"/>
            <w:vAlign w:val="bottom"/>
          </w:tcPr>
          <w:p w14:paraId="6ACCB084" w14:textId="77777777" w:rsidR="00A52778" w:rsidRPr="00460F9E" w:rsidRDefault="00A52778" w:rsidP="00FC3F8E">
            <w:pPr>
              <w:spacing w:line="0" w:lineRule="atLeast"/>
              <w:rPr>
                <w:rFonts w:eastAsia="Times New Roman" w:cs="Times New Roman"/>
                <w:b/>
                <w:sz w:val="13"/>
              </w:rPr>
            </w:pPr>
          </w:p>
        </w:tc>
        <w:tc>
          <w:tcPr>
            <w:tcW w:w="980" w:type="dxa"/>
            <w:vMerge/>
            <w:tcBorders>
              <w:left w:val="single" w:sz="8" w:space="0" w:color="auto"/>
              <w:right w:val="single" w:sz="8" w:space="0" w:color="auto"/>
            </w:tcBorders>
            <w:shd w:val="clear" w:color="auto" w:fill="auto"/>
            <w:vAlign w:val="bottom"/>
          </w:tcPr>
          <w:p w14:paraId="499CAB58" w14:textId="77777777" w:rsidR="00A52778" w:rsidRPr="00460F9E" w:rsidRDefault="00A52778" w:rsidP="00FC3F8E">
            <w:pPr>
              <w:spacing w:line="0" w:lineRule="atLeast"/>
              <w:rPr>
                <w:rFonts w:eastAsia="Times New Roman" w:cs="Times New Roman"/>
                <w:b/>
                <w:sz w:val="13"/>
              </w:rPr>
            </w:pPr>
          </w:p>
        </w:tc>
        <w:tc>
          <w:tcPr>
            <w:tcW w:w="404" w:type="dxa"/>
            <w:shd w:val="clear" w:color="auto" w:fill="auto"/>
            <w:vAlign w:val="bottom"/>
          </w:tcPr>
          <w:p w14:paraId="1A661E52" w14:textId="77777777" w:rsidR="00A52778" w:rsidRPr="00460F9E" w:rsidRDefault="00A52778" w:rsidP="00FC3F8E">
            <w:pPr>
              <w:spacing w:line="0" w:lineRule="atLeast"/>
              <w:rPr>
                <w:rFonts w:eastAsia="Times New Roman" w:cs="Times New Roman"/>
                <w:b/>
                <w:sz w:val="13"/>
              </w:rPr>
            </w:pPr>
          </w:p>
        </w:tc>
        <w:tc>
          <w:tcPr>
            <w:tcW w:w="2192" w:type="dxa"/>
            <w:gridSpan w:val="5"/>
            <w:vMerge/>
            <w:tcBorders>
              <w:right w:val="single" w:sz="8" w:space="0" w:color="auto"/>
            </w:tcBorders>
            <w:shd w:val="clear" w:color="auto" w:fill="auto"/>
            <w:vAlign w:val="bottom"/>
          </w:tcPr>
          <w:p w14:paraId="5AA5F0FA" w14:textId="77777777" w:rsidR="00A52778" w:rsidRPr="00460F9E" w:rsidRDefault="00A52778" w:rsidP="00FC3F8E">
            <w:pPr>
              <w:spacing w:line="0" w:lineRule="atLeast"/>
              <w:rPr>
                <w:rFonts w:eastAsia="Times New Roman" w:cs="Times New Roman"/>
                <w:b/>
                <w:sz w:val="13"/>
              </w:rPr>
            </w:pPr>
          </w:p>
        </w:tc>
      </w:tr>
      <w:tr w:rsidR="00A52778" w:rsidRPr="00460F9E" w14:paraId="6D19D7E0" w14:textId="77777777" w:rsidTr="00FC3F8E">
        <w:trPr>
          <w:gridAfter w:val="1"/>
          <w:wAfter w:w="347" w:type="dxa"/>
          <w:trHeight w:val="70"/>
        </w:trPr>
        <w:tc>
          <w:tcPr>
            <w:tcW w:w="386" w:type="dxa"/>
            <w:tcBorders>
              <w:left w:val="single" w:sz="8" w:space="0" w:color="auto"/>
              <w:right w:val="single" w:sz="8" w:space="0" w:color="auto"/>
            </w:tcBorders>
            <w:shd w:val="clear" w:color="auto" w:fill="auto"/>
            <w:vAlign w:val="bottom"/>
          </w:tcPr>
          <w:p w14:paraId="32EEE342" w14:textId="77777777" w:rsidR="00A52778" w:rsidRPr="00460F9E" w:rsidRDefault="00A52778" w:rsidP="00FC3F8E">
            <w:pPr>
              <w:spacing w:line="0" w:lineRule="atLeast"/>
              <w:rPr>
                <w:rFonts w:eastAsia="Times New Roman" w:cs="Times New Roman"/>
                <w:b/>
                <w:sz w:val="6"/>
              </w:rPr>
            </w:pPr>
          </w:p>
        </w:tc>
        <w:tc>
          <w:tcPr>
            <w:tcW w:w="1212" w:type="dxa"/>
            <w:gridSpan w:val="2"/>
            <w:vMerge/>
            <w:tcBorders>
              <w:right w:val="single" w:sz="8" w:space="0" w:color="auto"/>
            </w:tcBorders>
            <w:shd w:val="clear" w:color="auto" w:fill="auto"/>
            <w:vAlign w:val="bottom"/>
          </w:tcPr>
          <w:p w14:paraId="1191210A" w14:textId="77777777" w:rsidR="00A52778" w:rsidRPr="00460F9E" w:rsidRDefault="00A52778" w:rsidP="00FC3F8E">
            <w:pPr>
              <w:spacing w:line="0" w:lineRule="atLeast"/>
              <w:rPr>
                <w:rFonts w:eastAsia="Times New Roman" w:cs="Times New Roman"/>
                <w:b/>
                <w:sz w:val="6"/>
              </w:rPr>
            </w:pPr>
          </w:p>
        </w:tc>
        <w:tc>
          <w:tcPr>
            <w:tcW w:w="385" w:type="dxa"/>
            <w:shd w:val="clear" w:color="auto" w:fill="auto"/>
            <w:vAlign w:val="bottom"/>
          </w:tcPr>
          <w:p w14:paraId="07AD29BE" w14:textId="77777777" w:rsidR="00A52778" w:rsidRPr="00460F9E" w:rsidRDefault="00A52778" w:rsidP="00FC3F8E">
            <w:pPr>
              <w:spacing w:line="0" w:lineRule="atLeast"/>
              <w:rPr>
                <w:rFonts w:eastAsia="Times New Roman" w:cs="Times New Roman"/>
                <w:b/>
                <w:sz w:val="6"/>
              </w:rPr>
            </w:pPr>
          </w:p>
        </w:tc>
        <w:tc>
          <w:tcPr>
            <w:tcW w:w="3234" w:type="dxa"/>
            <w:gridSpan w:val="12"/>
            <w:vMerge/>
            <w:tcBorders>
              <w:right w:val="single" w:sz="8" w:space="0" w:color="auto"/>
            </w:tcBorders>
            <w:shd w:val="clear" w:color="auto" w:fill="auto"/>
            <w:vAlign w:val="bottom"/>
          </w:tcPr>
          <w:p w14:paraId="19271ED7" w14:textId="77777777" w:rsidR="00A52778" w:rsidRPr="00460F9E" w:rsidRDefault="00A52778" w:rsidP="00FC3F8E">
            <w:pPr>
              <w:spacing w:line="0" w:lineRule="atLeast"/>
              <w:rPr>
                <w:rFonts w:eastAsia="Times New Roman" w:cs="Times New Roman"/>
                <w:b/>
                <w:sz w:val="6"/>
              </w:rPr>
            </w:pPr>
          </w:p>
        </w:tc>
        <w:tc>
          <w:tcPr>
            <w:tcW w:w="980" w:type="dxa"/>
            <w:tcBorders>
              <w:left w:val="single" w:sz="8" w:space="0" w:color="auto"/>
              <w:right w:val="single" w:sz="8" w:space="0" w:color="auto"/>
            </w:tcBorders>
            <w:shd w:val="clear" w:color="auto" w:fill="auto"/>
            <w:vAlign w:val="bottom"/>
          </w:tcPr>
          <w:p w14:paraId="0CD6D628" w14:textId="77777777" w:rsidR="00A52778" w:rsidRPr="00460F9E" w:rsidRDefault="00A52778" w:rsidP="00FC3F8E">
            <w:pPr>
              <w:spacing w:line="0" w:lineRule="atLeast"/>
              <w:rPr>
                <w:rFonts w:eastAsia="Times New Roman" w:cs="Times New Roman"/>
                <w:b/>
                <w:sz w:val="6"/>
              </w:rPr>
            </w:pPr>
          </w:p>
        </w:tc>
        <w:tc>
          <w:tcPr>
            <w:tcW w:w="404" w:type="dxa"/>
            <w:shd w:val="clear" w:color="auto" w:fill="auto"/>
            <w:vAlign w:val="bottom"/>
          </w:tcPr>
          <w:p w14:paraId="28E26AEA" w14:textId="77777777" w:rsidR="00A52778" w:rsidRPr="00460F9E" w:rsidRDefault="00A52778" w:rsidP="00FC3F8E">
            <w:pPr>
              <w:spacing w:line="0" w:lineRule="atLeast"/>
              <w:rPr>
                <w:rFonts w:eastAsia="Times New Roman" w:cs="Times New Roman"/>
                <w:b/>
                <w:sz w:val="6"/>
              </w:rPr>
            </w:pPr>
          </w:p>
        </w:tc>
        <w:tc>
          <w:tcPr>
            <w:tcW w:w="2192" w:type="dxa"/>
            <w:gridSpan w:val="5"/>
            <w:vMerge/>
            <w:tcBorders>
              <w:right w:val="single" w:sz="8" w:space="0" w:color="auto"/>
            </w:tcBorders>
            <w:shd w:val="clear" w:color="auto" w:fill="auto"/>
            <w:vAlign w:val="bottom"/>
          </w:tcPr>
          <w:p w14:paraId="112C5732" w14:textId="77777777" w:rsidR="00A52778" w:rsidRPr="00460F9E" w:rsidRDefault="00A52778" w:rsidP="00FC3F8E">
            <w:pPr>
              <w:spacing w:line="0" w:lineRule="atLeast"/>
              <w:rPr>
                <w:rFonts w:eastAsia="Times New Roman" w:cs="Times New Roman"/>
                <w:b/>
              </w:rPr>
            </w:pPr>
          </w:p>
        </w:tc>
      </w:tr>
      <w:tr w:rsidR="00A52778" w:rsidRPr="00460F9E" w14:paraId="0054D9F6" w14:textId="77777777" w:rsidTr="00FC3F8E">
        <w:trPr>
          <w:gridAfter w:val="1"/>
          <w:wAfter w:w="347" w:type="dxa"/>
          <w:trHeight w:val="158"/>
        </w:trPr>
        <w:tc>
          <w:tcPr>
            <w:tcW w:w="386" w:type="dxa"/>
            <w:tcBorders>
              <w:left w:val="single" w:sz="8" w:space="0" w:color="auto"/>
              <w:right w:val="single" w:sz="8" w:space="0" w:color="auto"/>
            </w:tcBorders>
            <w:shd w:val="clear" w:color="auto" w:fill="auto"/>
            <w:vAlign w:val="bottom"/>
          </w:tcPr>
          <w:p w14:paraId="137BADDB" w14:textId="77777777" w:rsidR="00A52778" w:rsidRPr="00460F9E" w:rsidRDefault="00A52778" w:rsidP="00FC3F8E">
            <w:pPr>
              <w:spacing w:line="0" w:lineRule="atLeast"/>
              <w:rPr>
                <w:rFonts w:eastAsia="Times New Roman" w:cs="Times New Roman"/>
                <w:b/>
                <w:sz w:val="13"/>
              </w:rPr>
            </w:pPr>
          </w:p>
        </w:tc>
        <w:tc>
          <w:tcPr>
            <w:tcW w:w="424" w:type="dxa"/>
            <w:shd w:val="clear" w:color="auto" w:fill="auto"/>
            <w:vAlign w:val="bottom"/>
          </w:tcPr>
          <w:p w14:paraId="0AC9593E" w14:textId="77777777" w:rsidR="00A52778" w:rsidRPr="00460F9E" w:rsidRDefault="00A52778" w:rsidP="00FC3F8E">
            <w:pPr>
              <w:spacing w:line="0" w:lineRule="atLeast"/>
              <w:rPr>
                <w:rFonts w:eastAsia="Times New Roman" w:cs="Times New Roman"/>
                <w:b/>
                <w:sz w:val="13"/>
              </w:rPr>
            </w:pPr>
          </w:p>
        </w:tc>
        <w:tc>
          <w:tcPr>
            <w:tcW w:w="788" w:type="dxa"/>
            <w:tcBorders>
              <w:right w:val="single" w:sz="8" w:space="0" w:color="auto"/>
            </w:tcBorders>
            <w:shd w:val="clear" w:color="auto" w:fill="auto"/>
            <w:vAlign w:val="bottom"/>
          </w:tcPr>
          <w:p w14:paraId="69715937" w14:textId="77777777" w:rsidR="00A52778" w:rsidRPr="00460F9E" w:rsidRDefault="00A52778" w:rsidP="00FC3F8E">
            <w:pPr>
              <w:spacing w:line="0" w:lineRule="atLeast"/>
              <w:rPr>
                <w:rFonts w:eastAsia="Times New Roman" w:cs="Times New Roman"/>
                <w:b/>
                <w:sz w:val="13"/>
              </w:rPr>
            </w:pPr>
          </w:p>
        </w:tc>
        <w:tc>
          <w:tcPr>
            <w:tcW w:w="385" w:type="dxa"/>
            <w:shd w:val="clear" w:color="auto" w:fill="auto"/>
            <w:vAlign w:val="bottom"/>
          </w:tcPr>
          <w:p w14:paraId="3C788DF0" w14:textId="77777777" w:rsidR="00A52778" w:rsidRPr="00460F9E" w:rsidRDefault="00A52778" w:rsidP="00FC3F8E">
            <w:pPr>
              <w:spacing w:line="0" w:lineRule="atLeast"/>
              <w:rPr>
                <w:rFonts w:eastAsia="Times New Roman" w:cs="Times New Roman"/>
                <w:b/>
                <w:sz w:val="13"/>
              </w:rPr>
            </w:pPr>
          </w:p>
        </w:tc>
        <w:tc>
          <w:tcPr>
            <w:tcW w:w="3234" w:type="dxa"/>
            <w:gridSpan w:val="12"/>
            <w:vMerge/>
            <w:tcBorders>
              <w:right w:val="single" w:sz="8" w:space="0" w:color="auto"/>
            </w:tcBorders>
            <w:shd w:val="clear" w:color="auto" w:fill="auto"/>
            <w:vAlign w:val="bottom"/>
          </w:tcPr>
          <w:p w14:paraId="77EA0CCC" w14:textId="77777777" w:rsidR="00A52778" w:rsidRPr="00460F9E" w:rsidRDefault="00A52778" w:rsidP="00FC3F8E">
            <w:pPr>
              <w:spacing w:line="0" w:lineRule="atLeast"/>
              <w:rPr>
                <w:rFonts w:eastAsia="Times New Roman" w:cs="Times New Roman"/>
                <w:b/>
                <w:sz w:val="13"/>
              </w:rPr>
            </w:pPr>
          </w:p>
        </w:tc>
        <w:tc>
          <w:tcPr>
            <w:tcW w:w="980" w:type="dxa"/>
            <w:tcBorders>
              <w:left w:val="single" w:sz="8" w:space="0" w:color="auto"/>
              <w:right w:val="single" w:sz="8" w:space="0" w:color="auto"/>
            </w:tcBorders>
            <w:shd w:val="clear" w:color="auto" w:fill="auto"/>
            <w:vAlign w:val="bottom"/>
          </w:tcPr>
          <w:p w14:paraId="68F9DB6D" w14:textId="77777777" w:rsidR="00A52778" w:rsidRPr="00460F9E" w:rsidRDefault="00A52778" w:rsidP="00FC3F8E">
            <w:pPr>
              <w:spacing w:line="0" w:lineRule="atLeast"/>
              <w:rPr>
                <w:rFonts w:eastAsia="Times New Roman" w:cs="Times New Roman"/>
                <w:b/>
                <w:sz w:val="13"/>
              </w:rPr>
            </w:pPr>
          </w:p>
        </w:tc>
        <w:tc>
          <w:tcPr>
            <w:tcW w:w="404" w:type="dxa"/>
            <w:shd w:val="clear" w:color="auto" w:fill="auto"/>
            <w:vAlign w:val="bottom"/>
          </w:tcPr>
          <w:p w14:paraId="5463E566" w14:textId="77777777" w:rsidR="00A52778" w:rsidRPr="00460F9E" w:rsidRDefault="00A52778" w:rsidP="00FC3F8E">
            <w:pPr>
              <w:spacing w:line="0" w:lineRule="atLeast"/>
              <w:rPr>
                <w:rFonts w:eastAsia="Times New Roman" w:cs="Times New Roman"/>
                <w:b/>
                <w:sz w:val="13"/>
              </w:rPr>
            </w:pPr>
          </w:p>
        </w:tc>
        <w:tc>
          <w:tcPr>
            <w:tcW w:w="2192" w:type="dxa"/>
            <w:gridSpan w:val="5"/>
            <w:vMerge/>
            <w:tcBorders>
              <w:right w:val="single" w:sz="8" w:space="0" w:color="auto"/>
            </w:tcBorders>
            <w:shd w:val="clear" w:color="auto" w:fill="auto"/>
            <w:vAlign w:val="bottom"/>
          </w:tcPr>
          <w:p w14:paraId="17645D1D" w14:textId="77777777" w:rsidR="00A52778" w:rsidRPr="00460F9E" w:rsidRDefault="00A52778" w:rsidP="00FC3F8E">
            <w:pPr>
              <w:spacing w:line="0" w:lineRule="atLeast"/>
              <w:rPr>
                <w:rFonts w:eastAsia="Times New Roman" w:cs="Times New Roman"/>
                <w:b/>
                <w:sz w:val="13"/>
              </w:rPr>
            </w:pPr>
          </w:p>
        </w:tc>
      </w:tr>
      <w:tr w:rsidR="00A52778" w:rsidRPr="00460F9E" w14:paraId="1605D6A6" w14:textId="77777777" w:rsidTr="00FC3F8E">
        <w:trPr>
          <w:gridAfter w:val="1"/>
          <w:wAfter w:w="347" w:type="dxa"/>
          <w:trHeight w:val="230"/>
        </w:trPr>
        <w:tc>
          <w:tcPr>
            <w:tcW w:w="386" w:type="dxa"/>
            <w:tcBorders>
              <w:left w:val="single" w:sz="8" w:space="0" w:color="auto"/>
              <w:right w:val="single" w:sz="8" w:space="0" w:color="auto"/>
            </w:tcBorders>
            <w:shd w:val="clear" w:color="auto" w:fill="auto"/>
            <w:vAlign w:val="bottom"/>
          </w:tcPr>
          <w:p w14:paraId="523A5D3A" w14:textId="77777777" w:rsidR="00A52778" w:rsidRPr="00460F9E" w:rsidRDefault="00A52778" w:rsidP="00FC3F8E">
            <w:pPr>
              <w:spacing w:line="0" w:lineRule="atLeast"/>
              <w:rPr>
                <w:rFonts w:eastAsia="Times New Roman" w:cs="Times New Roman"/>
                <w:b/>
              </w:rPr>
            </w:pPr>
          </w:p>
        </w:tc>
        <w:tc>
          <w:tcPr>
            <w:tcW w:w="424" w:type="dxa"/>
            <w:shd w:val="clear" w:color="auto" w:fill="auto"/>
            <w:vAlign w:val="bottom"/>
          </w:tcPr>
          <w:p w14:paraId="24175004" w14:textId="77777777" w:rsidR="00A52778" w:rsidRPr="00460F9E" w:rsidRDefault="00A52778" w:rsidP="00FC3F8E">
            <w:pPr>
              <w:spacing w:line="0" w:lineRule="atLeast"/>
              <w:rPr>
                <w:rFonts w:eastAsia="Times New Roman" w:cs="Times New Roman"/>
                <w:b/>
              </w:rPr>
            </w:pPr>
          </w:p>
        </w:tc>
        <w:tc>
          <w:tcPr>
            <w:tcW w:w="788" w:type="dxa"/>
            <w:tcBorders>
              <w:right w:val="single" w:sz="8" w:space="0" w:color="auto"/>
            </w:tcBorders>
            <w:shd w:val="clear" w:color="auto" w:fill="auto"/>
            <w:vAlign w:val="bottom"/>
          </w:tcPr>
          <w:p w14:paraId="2D65786E" w14:textId="77777777" w:rsidR="00A52778" w:rsidRPr="00460F9E" w:rsidRDefault="00A52778" w:rsidP="00FC3F8E">
            <w:pPr>
              <w:spacing w:line="0" w:lineRule="atLeast"/>
              <w:rPr>
                <w:rFonts w:eastAsia="Times New Roman" w:cs="Times New Roman"/>
                <w:b/>
              </w:rPr>
            </w:pPr>
          </w:p>
        </w:tc>
        <w:tc>
          <w:tcPr>
            <w:tcW w:w="385" w:type="dxa"/>
            <w:shd w:val="clear" w:color="auto" w:fill="auto"/>
            <w:vAlign w:val="bottom"/>
          </w:tcPr>
          <w:p w14:paraId="28C9D8AC" w14:textId="77777777" w:rsidR="00A52778" w:rsidRPr="00460F9E" w:rsidRDefault="00A52778" w:rsidP="00FC3F8E">
            <w:pPr>
              <w:spacing w:line="0" w:lineRule="atLeast"/>
              <w:rPr>
                <w:rFonts w:eastAsia="Times New Roman" w:cs="Times New Roman"/>
                <w:b/>
              </w:rPr>
            </w:pPr>
          </w:p>
        </w:tc>
        <w:tc>
          <w:tcPr>
            <w:tcW w:w="20" w:type="dxa"/>
            <w:shd w:val="clear" w:color="auto" w:fill="auto"/>
            <w:vAlign w:val="bottom"/>
          </w:tcPr>
          <w:p w14:paraId="628A079D" w14:textId="77777777" w:rsidR="00A52778" w:rsidRPr="00460F9E" w:rsidRDefault="00A52778" w:rsidP="00FC3F8E">
            <w:pPr>
              <w:spacing w:line="0" w:lineRule="atLeast"/>
              <w:rPr>
                <w:rFonts w:eastAsia="Times New Roman" w:cs="Times New Roman"/>
                <w:b/>
              </w:rPr>
            </w:pPr>
          </w:p>
        </w:tc>
        <w:tc>
          <w:tcPr>
            <w:tcW w:w="500" w:type="dxa"/>
            <w:shd w:val="clear" w:color="auto" w:fill="auto"/>
            <w:vAlign w:val="bottom"/>
          </w:tcPr>
          <w:p w14:paraId="6452F6A9" w14:textId="77777777" w:rsidR="00A52778" w:rsidRPr="00460F9E" w:rsidRDefault="00A52778" w:rsidP="00FC3F8E">
            <w:pPr>
              <w:spacing w:line="0" w:lineRule="atLeast"/>
              <w:rPr>
                <w:rFonts w:eastAsia="Times New Roman" w:cs="Times New Roman"/>
                <w:b/>
              </w:rPr>
            </w:pPr>
          </w:p>
        </w:tc>
        <w:tc>
          <w:tcPr>
            <w:tcW w:w="308" w:type="dxa"/>
            <w:shd w:val="clear" w:color="auto" w:fill="auto"/>
            <w:vAlign w:val="bottom"/>
          </w:tcPr>
          <w:p w14:paraId="5DCDAF6C" w14:textId="77777777" w:rsidR="00A52778" w:rsidRPr="00460F9E" w:rsidRDefault="00A52778" w:rsidP="00FC3F8E">
            <w:pPr>
              <w:spacing w:line="0" w:lineRule="atLeast"/>
              <w:rPr>
                <w:rFonts w:eastAsia="Times New Roman" w:cs="Times New Roman"/>
                <w:b/>
              </w:rPr>
            </w:pPr>
          </w:p>
        </w:tc>
        <w:tc>
          <w:tcPr>
            <w:tcW w:w="365" w:type="dxa"/>
            <w:shd w:val="clear" w:color="auto" w:fill="auto"/>
            <w:vAlign w:val="bottom"/>
          </w:tcPr>
          <w:p w14:paraId="36CFB001" w14:textId="77777777" w:rsidR="00A52778" w:rsidRPr="00460F9E" w:rsidRDefault="00A52778" w:rsidP="00FC3F8E">
            <w:pPr>
              <w:spacing w:line="0" w:lineRule="atLeast"/>
              <w:rPr>
                <w:rFonts w:eastAsia="Times New Roman" w:cs="Times New Roman"/>
                <w:b/>
              </w:rPr>
            </w:pPr>
          </w:p>
        </w:tc>
        <w:tc>
          <w:tcPr>
            <w:tcW w:w="308" w:type="dxa"/>
            <w:shd w:val="clear" w:color="auto" w:fill="auto"/>
            <w:vAlign w:val="bottom"/>
          </w:tcPr>
          <w:p w14:paraId="589FF42C" w14:textId="77777777" w:rsidR="00A52778" w:rsidRPr="00460F9E" w:rsidRDefault="00A52778" w:rsidP="00FC3F8E">
            <w:pPr>
              <w:spacing w:line="0" w:lineRule="atLeast"/>
              <w:rPr>
                <w:rFonts w:eastAsia="Times New Roman" w:cs="Times New Roman"/>
                <w:b/>
              </w:rPr>
            </w:pPr>
          </w:p>
        </w:tc>
        <w:tc>
          <w:tcPr>
            <w:tcW w:w="193" w:type="dxa"/>
            <w:shd w:val="clear" w:color="auto" w:fill="auto"/>
            <w:vAlign w:val="bottom"/>
          </w:tcPr>
          <w:p w14:paraId="0B6725B6" w14:textId="77777777" w:rsidR="00A52778" w:rsidRPr="00460F9E" w:rsidRDefault="00A52778" w:rsidP="00FC3F8E">
            <w:pPr>
              <w:spacing w:line="0" w:lineRule="atLeast"/>
              <w:rPr>
                <w:rFonts w:eastAsia="Times New Roman" w:cs="Times New Roman"/>
                <w:b/>
              </w:rPr>
            </w:pPr>
          </w:p>
        </w:tc>
        <w:tc>
          <w:tcPr>
            <w:tcW w:w="250" w:type="dxa"/>
            <w:shd w:val="clear" w:color="auto" w:fill="auto"/>
            <w:vAlign w:val="bottom"/>
          </w:tcPr>
          <w:p w14:paraId="0F1E75E9" w14:textId="77777777" w:rsidR="00A52778" w:rsidRPr="00460F9E" w:rsidRDefault="00A52778" w:rsidP="00FC3F8E">
            <w:pPr>
              <w:spacing w:line="0" w:lineRule="atLeast"/>
              <w:rPr>
                <w:rFonts w:eastAsia="Times New Roman" w:cs="Times New Roman"/>
                <w:b/>
              </w:rPr>
            </w:pPr>
          </w:p>
        </w:tc>
        <w:tc>
          <w:tcPr>
            <w:tcW w:w="212" w:type="dxa"/>
            <w:shd w:val="clear" w:color="auto" w:fill="auto"/>
            <w:vAlign w:val="bottom"/>
          </w:tcPr>
          <w:p w14:paraId="1E9E275D" w14:textId="77777777" w:rsidR="00A52778" w:rsidRPr="00460F9E" w:rsidRDefault="00A52778" w:rsidP="00FC3F8E">
            <w:pPr>
              <w:spacing w:line="0" w:lineRule="atLeast"/>
              <w:rPr>
                <w:rFonts w:eastAsia="Times New Roman" w:cs="Times New Roman"/>
                <w:b/>
              </w:rPr>
            </w:pPr>
          </w:p>
        </w:tc>
        <w:tc>
          <w:tcPr>
            <w:tcW w:w="154" w:type="dxa"/>
            <w:shd w:val="clear" w:color="auto" w:fill="auto"/>
            <w:vAlign w:val="bottom"/>
          </w:tcPr>
          <w:p w14:paraId="3458EBB5" w14:textId="77777777" w:rsidR="00A52778" w:rsidRPr="00460F9E" w:rsidRDefault="00A52778" w:rsidP="00FC3F8E">
            <w:pPr>
              <w:spacing w:line="0" w:lineRule="atLeast"/>
              <w:rPr>
                <w:rFonts w:eastAsia="Times New Roman" w:cs="Times New Roman"/>
                <w:b/>
              </w:rPr>
            </w:pPr>
          </w:p>
        </w:tc>
        <w:tc>
          <w:tcPr>
            <w:tcW w:w="346" w:type="dxa"/>
            <w:shd w:val="clear" w:color="auto" w:fill="auto"/>
            <w:vAlign w:val="bottom"/>
          </w:tcPr>
          <w:p w14:paraId="52575F30" w14:textId="77777777" w:rsidR="00A52778" w:rsidRPr="00460F9E" w:rsidRDefault="00A52778" w:rsidP="00FC3F8E">
            <w:pPr>
              <w:spacing w:line="0" w:lineRule="atLeast"/>
              <w:rPr>
                <w:rFonts w:eastAsia="Times New Roman" w:cs="Times New Roman"/>
                <w:b/>
              </w:rPr>
            </w:pPr>
          </w:p>
        </w:tc>
        <w:tc>
          <w:tcPr>
            <w:tcW w:w="97" w:type="dxa"/>
            <w:shd w:val="clear" w:color="auto" w:fill="auto"/>
            <w:vAlign w:val="bottom"/>
          </w:tcPr>
          <w:p w14:paraId="7CEB8582" w14:textId="77777777" w:rsidR="00A52778" w:rsidRPr="00460F9E" w:rsidRDefault="00A52778" w:rsidP="00FC3F8E">
            <w:pPr>
              <w:spacing w:line="0" w:lineRule="atLeast"/>
              <w:rPr>
                <w:rFonts w:eastAsia="Times New Roman" w:cs="Times New Roman"/>
                <w:b/>
              </w:rPr>
            </w:pPr>
          </w:p>
        </w:tc>
        <w:tc>
          <w:tcPr>
            <w:tcW w:w="481" w:type="dxa"/>
            <w:tcBorders>
              <w:right w:val="single" w:sz="8" w:space="0" w:color="auto"/>
            </w:tcBorders>
            <w:shd w:val="clear" w:color="auto" w:fill="auto"/>
            <w:vAlign w:val="bottom"/>
          </w:tcPr>
          <w:p w14:paraId="726DBA98" w14:textId="77777777" w:rsidR="00A52778" w:rsidRPr="00460F9E" w:rsidRDefault="00A52778" w:rsidP="00FC3F8E">
            <w:pPr>
              <w:spacing w:line="0" w:lineRule="atLeast"/>
              <w:rPr>
                <w:rFonts w:eastAsia="Times New Roman" w:cs="Times New Roman"/>
                <w:b/>
              </w:rPr>
            </w:pPr>
          </w:p>
        </w:tc>
        <w:tc>
          <w:tcPr>
            <w:tcW w:w="980" w:type="dxa"/>
            <w:tcBorders>
              <w:right w:val="single" w:sz="8" w:space="0" w:color="auto"/>
            </w:tcBorders>
            <w:shd w:val="clear" w:color="auto" w:fill="auto"/>
            <w:vAlign w:val="bottom"/>
          </w:tcPr>
          <w:p w14:paraId="769C487C" w14:textId="77777777" w:rsidR="00A52778" w:rsidRPr="00460F9E" w:rsidRDefault="00A52778" w:rsidP="00FC3F8E">
            <w:pPr>
              <w:spacing w:line="0" w:lineRule="atLeast"/>
              <w:rPr>
                <w:rFonts w:eastAsia="Times New Roman" w:cs="Times New Roman"/>
                <w:b/>
              </w:rPr>
            </w:pPr>
          </w:p>
        </w:tc>
        <w:tc>
          <w:tcPr>
            <w:tcW w:w="404" w:type="dxa"/>
            <w:shd w:val="clear" w:color="auto" w:fill="auto"/>
            <w:vAlign w:val="bottom"/>
          </w:tcPr>
          <w:p w14:paraId="6495B335" w14:textId="77777777" w:rsidR="00A52778" w:rsidRPr="00460F9E" w:rsidRDefault="00A52778" w:rsidP="00FC3F8E">
            <w:pPr>
              <w:spacing w:line="0" w:lineRule="atLeast"/>
              <w:rPr>
                <w:rFonts w:eastAsia="Times New Roman" w:cs="Times New Roman"/>
                <w:b/>
              </w:rPr>
            </w:pPr>
          </w:p>
        </w:tc>
        <w:tc>
          <w:tcPr>
            <w:tcW w:w="2192" w:type="dxa"/>
            <w:gridSpan w:val="5"/>
            <w:vMerge/>
            <w:tcBorders>
              <w:right w:val="single" w:sz="8" w:space="0" w:color="auto"/>
            </w:tcBorders>
            <w:shd w:val="clear" w:color="auto" w:fill="auto"/>
            <w:vAlign w:val="bottom"/>
          </w:tcPr>
          <w:p w14:paraId="5E08E353" w14:textId="77777777" w:rsidR="00A52778" w:rsidRPr="00460F9E" w:rsidRDefault="00A52778" w:rsidP="00FC3F8E">
            <w:pPr>
              <w:spacing w:line="0" w:lineRule="atLeast"/>
              <w:rPr>
                <w:rFonts w:eastAsia="Times New Roman" w:cs="Times New Roman"/>
                <w:b/>
              </w:rPr>
            </w:pPr>
          </w:p>
        </w:tc>
      </w:tr>
      <w:tr w:rsidR="00A52778" w:rsidRPr="00460F9E" w14:paraId="734BCFD8" w14:textId="77777777" w:rsidTr="00FC3F8E">
        <w:trPr>
          <w:gridAfter w:val="1"/>
          <w:wAfter w:w="347" w:type="dxa"/>
          <w:trHeight w:val="66"/>
        </w:trPr>
        <w:tc>
          <w:tcPr>
            <w:tcW w:w="386" w:type="dxa"/>
            <w:tcBorders>
              <w:left w:val="single" w:sz="8" w:space="0" w:color="auto"/>
              <w:bottom w:val="single" w:sz="8" w:space="0" w:color="auto"/>
              <w:right w:val="single" w:sz="8" w:space="0" w:color="auto"/>
            </w:tcBorders>
            <w:shd w:val="clear" w:color="auto" w:fill="auto"/>
            <w:vAlign w:val="bottom"/>
          </w:tcPr>
          <w:p w14:paraId="79085C91" w14:textId="77777777" w:rsidR="00A52778" w:rsidRPr="00460F9E" w:rsidRDefault="00A52778" w:rsidP="00FC3F8E">
            <w:pPr>
              <w:spacing w:line="0" w:lineRule="atLeast"/>
              <w:rPr>
                <w:rFonts w:eastAsia="Times New Roman" w:cs="Times New Roman"/>
                <w:b/>
                <w:sz w:val="5"/>
              </w:rPr>
            </w:pPr>
          </w:p>
        </w:tc>
        <w:tc>
          <w:tcPr>
            <w:tcW w:w="1212" w:type="dxa"/>
            <w:gridSpan w:val="2"/>
            <w:tcBorders>
              <w:bottom w:val="single" w:sz="8" w:space="0" w:color="auto"/>
              <w:right w:val="single" w:sz="8" w:space="0" w:color="auto"/>
            </w:tcBorders>
            <w:shd w:val="clear" w:color="auto" w:fill="auto"/>
            <w:vAlign w:val="bottom"/>
          </w:tcPr>
          <w:p w14:paraId="50D424B4" w14:textId="77777777" w:rsidR="00A52778" w:rsidRPr="00460F9E" w:rsidRDefault="00A52778" w:rsidP="00FC3F8E">
            <w:pPr>
              <w:spacing w:line="0" w:lineRule="atLeast"/>
              <w:rPr>
                <w:rFonts w:eastAsia="Times New Roman" w:cs="Times New Roman"/>
                <w:b/>
                <w:sz w:val="5"/>
              </w:rPr>
            </w:pPr>
          </w:p>
        </w:tc>
        <w:tc>
          <w:tcPr>
            <w:tcW w:w="385" w:type="dxa"/>
            <w:tcBorders>
              <w:bottom w:val="single" w:sz="8" w:space="0" w:color="auto"/>
            </w:tcBorders>
            <w:shd w:val="clear" w:color="auto" w:fill="auto"/>
            <w:vAlign w:val="bottom"/>
          </w:tcPr>
          <w:p w14:paraId="7590FB4F" w14:textId="77777777" w:rsidR="00A52778" w:rsidRPr="00460F9E" w:rsidRDefault="00A52778" w:rsidP="00FC3F8E">
            <w:pPr>
              <w:spacing w:line="0" w:lineRule="atLeast"/>
              <w:rPr>
                <w:rFonts w:eastAsia="Times New Roman" w:cs="Times New Roman"/>
                <w:b/>
                <w:sz w:val="5"/>
              </w:rPr>
            </w:pPr>
          </w:p>
        </w:tc>
        <w:tc>
          <w:tcPr>
            <w:tcW w:w="20" w:type="dxa"/>
            <w:tcBorders>
              <w:bottom w:val="single" w:sz="8" w:space="0" w:color="auto"/>
            </w:tcBorders>
            <w:shd w:val="clear" w:color="auto" w:fill="auto"/>
            <w:vAlign w:val="bottom"/>
          </w:tcPr>
          <w:p w14:paraId="5605F172" w14:textId="77777777" w:rsidR="00A52778" w:rsidRPr="00460F9E" w:rsidRDefault="00A52778" w:rsidP="00FC3F8E">
            <w:pPr>
              <w:spacing w:line="0" w:lineRule="atLeast"/>
              <w:rPr>
                <w:rFonts w:eastAsia="Times New Roman" w:cs="Times New Roman"/>
                <w:b/>
                <w:sz w:val="5"/>
              </w:rPr>
            </w:pPr>
          </w:p>
        </w:tc>
        <w:tc>
          <w:tcPr>
            <w:tcW w:w="500" w:type="dxa"/>
            <w:tcBorders>
              <w:bottom w:val="single" w:sz="8" w:space="0" w:color="auto"/>
            </w:tcBorders>
            <w:shd w:val="clear" w:color="auto" w:fill="auto"/>
            <w:vAlign w:val="bottom"/>
          </w:tcPr>
          <w:p w14:paraId="3D0C840C" w14:textId="77777777" w:rsidR="00A52778" w:rsidRPr="00460F9E" w:rsidRDefault="00A52778" w:rsidP="00FC3F8E">
            <w:pPr>
              <w:spacing w:line="0" w:lineRule="atLeast"/>
              <w:rPr>
                <w:rFonts w:eastAsia="Times New Roman" w:cs="Times New Roman"/>
                <w:b/>
                <w:sz w:val="5"/>
              </w:rPr>
            </w:pPr>
          </w:p>
        </w:tc>
        <w:tc>
          <w:tcPr>
            <w:tcW w:w="308" w:type="dxa"/>
            <w:tcBorders>
              <w:bottom w:val="single" w:sz="8" w:space="0" w:color="auto"/>
            </w:tcBorders>
            <w:shd w:val="clear" w:color="auto" w:fill="auto"/>
            <w:vAlign w:val="bottom"/>
          </w:tcPr>
          <w:p w14:paraId="24328DD6" w14:textId="77777777" w:rsidR="00A52778" w:rsidRPr="00460F9E" w:rsidRDefault="00A52778" w:rsidP="00FC3F8E">
            <w:pPr>
              <w:spacing w:line="0" w:lineRule="atLeast"/>
              <w:rPr>
                <w:rFonts w:eastAsia="Times New Roman" w:cs="Times New Roman"/>
                <w:b/>
                <w:sz w:val="5"/>
              </w:rPr>
            </w:pPr>
          </w:p>
        </w:tc>
        <w:tc>
          <w:tcPr>
            <w:tcW w:w="365" w:type="dxa"/>
            <w:tcBorders>
              <w:bottom w:val="single" w:sz="8" w:space="0" w:color="auto"/>
            </w:tcBorders>
            <w:shd w:val="clear" w:color="auto" w:fill="auto"/>
            <w:vAlign w:val="bottom"/>
          </w:tcPr>
          <w:p w14:paraId="42781D8A" w14:textId="77777777" w:rsidR="00A52778" w:rsidRPr="00460F9E" w:rsidRDefault="00A52778" w:rsidP="00FC3F8E">
            <w:pPr>
              <w:spacing w:line="0" w:lineRule="atLeast"/>
              <w:rPr>
                <w:rFonts w:eastAsia="Times New Roman" w:cs="Times New Roman"/>
                <w:b/>
                <w:sz w:val="5"/>
              </w:rPr>
            </w:pPr>
          </w:p>
        </w:tc>
        <w:tc>
          <w:tcPr>
            <w:tcW w:w="308" w:type="dxa"/>
            <w:tcBorders>
              <w:bottom w:val="single" w:sz="8" w:space="0" w:color="auto"/>
            </w:tcBorders>
            <w:shd w:val="clear" w:color="auto" w:fill="auto"/>
            <w:vAlign w:val="bottom"/>
          </w:tcPr>
          <w:p w14:paraId="151205F6" w14:textId="77777777" w:rsidR="00A52778" w:rsidRPr="00460F9E" w:rsidRDefault="00A52778" w:rsidP="00FC3F8E">
            <w:pPr>
              <w:spacing w:line="0" w:lineRule="atLeast"/>
              <w:rPr>
                <w:rFonts w:eastAsia="Times New Roman" w:cs="Times New Roman"/>
                <w:b/>
                <w:sz w:val="5"/>
              </w:rPr>
            </w:pPr>
          </w:p>
        </w:tc>
        <w:tc>
          <w:tcPr>
            <w:tcW w:w="193" w:type="dxa"/>
            <w:tcBorders>
              <w:bottom w:val="single" w:sz="8" w:space="0" w:color="auto"/>
            </w:tcBorders>
            <w:shd w:val="clear" w:color="auto" w:fill="auto"/>
            <w:vAlign w:val="bottom"/>
          </w:tcPr>
          <w:p w14:paraId="6F7B6523" w14:textId="77777777" w:rsidR="00A52778" w:rsidRPr="00460F9E" w:rsidRDefault="00A52778" w:rsidP="00FC3F8E">
            <w:pPr>
              <w:spacing w:line="0" w:lineRule="atLeast"/>
              <w:rPr>
                <w:rFonts w:eastAsia="Times New Roman" w:cs="Times New Roman"/>
                <w:b/>
                <w:sz w:val="5"/>
              </w:rPr>
            </w:pPr>
          </w:p>
        </w:tc>
        <w:tc>
          <w:tcPr>
            <w:tcW w:w="250" w:type="dxa"/>
            <w:tcBorders>
              <w:bottom w:val="single" w:sz="8" w:space="0" w:color="auto"/>
            </w:tcBorders>
            <w:shd w:val="clear" w:color="auto" w:fill="auto"/>
            <w:vAlign w:val="bottom"/>
          </w:tcPr>
          <w:p w14:paraId="6BE3E773" w14:textId="77777777" w:rsidR="00A52778" w:rsidRPr="00460F9E" w:rsidRDefault="00A52778" w:rsidP="00FC3F8E">
            <w:pPr>
              <w:spacing w:line="0" w:lineRule="atLeast"/>
              <w:rPr>
                <w:rFonts w:eastAsia="Times New Roman" w:cs="Times New Roman"/>
                <w:b/>
                <w:sz w:val="5"/>
              </w:rPr>
            </w:pPr>
          </w:p>
        </w:tc>
        <w:tc>
          <w:tcPr>
            <w:tcW w:w="212" w:type="dxa"/>
            <w:tcBorders>
              <w:bottom w:val="single" w:sz="8" w:space="0" w:color="auto"/>
            </w:tcBorders>
            <w:shd w:val="clear" w:color="auto" w:fill="auto"/>
            <w:vAlign w:val="bottom"/>
          </w:tcPr>
          <w:p w14:paraId="21330ACF" w14:textId="77777777" w:rsidR="00A52778" w:rsidRPr="00460F9E" w:rsidRDefault="00A52778" w:rsidP="00FC3F8E">
            <w:pPr>
              <w:spacing w:line="0" w:lineRule="atLeast"/>
              <w:rPr>
                <w:rFonts w:eastAsia="Times New Roman" w:cs="Times New Roman"/>
                <w:b/>
                <w:sz w:val="5"/>
              </w:rPr>
            </w:pPr>
          </w:p>
        </w:tc>
        <w:tc>
          <w:tcPr>
            <w:tcW w:w="154" w:type="dxa"/>
            <w:tcBorders>
              <w:bottom w:val="single" w:sz="8" w:space="0" w:color="auto"/>
            </w:tcBorders>
            <w:shd w:val="clear" w:color="auto" w:fill="auto"/>
            <w:vAlign w:val="bottom"/>
          </w:tcPr>
          <w:p w14:paraId="3E326D8F" w14:textId="77777777" w:rsidR="00A52778" w:rsidRPr="00460F9E" w:rsidRDefault="00A52778" w:rsidP="00FC3F8E">
            <w:pPr>
              <w:spacing w:line="0" w:lineRule="atLeast"/>
              <w:rPr>
                <w:rFonts w:eastAsia="Times New Roman" w:cs="Times New Roman"/>
                <w:b/>
                <w:sz w:val="5"/>
              </w:rPr>
            </w:pPr>
          </w:p>
        </w:tc>
        <w:tc>
          <w:tcPr>
            <w:tcW w:w="346" w:type="dxa"/>
            <w:tcBorders>
              <w:bottom w:val="single" w:sz="8" w:space="0" w:color="auto"/>
            </w:tcBorders>
            <w:shd w:val="clear" w:color="auto" w:fill="auto"/>
            <w:vAlign w:val="bottom"/>
          </w:tcPr>
          <w:p w14:paraId="2FA1CFEE" w14:textId="77777777" w:rsidR="00A52778" w:rsidRPr="00460F9E" w:rsidRDefault="00A52778" w:rsidP="00FC3F8E">
            <w:pPr>
              <w:spacing w:line="0" w:lineRule="atLeast"/>
              <w:rPr>
                <w:rFonts w:eastAsia="Times New Roman" w:cs="Times New Roman"/>
                <w:b/>
                <w:sz w:val="5"/>
              </w:rPr>
            </w:pPr>
          </w:p>
        </w:tc>
        <w:tc>
          <w:tcPr>
            <w:tcW w:w="97" w:type="dxa"/>
            <w:tcBorders>
              <w:bottom w:val="single" w:sz="8" w:space="0" w:color="auto"/>
            </w:tcBorders>
            <w:shd w:val="clear" w:color="auto" w:fill="auto"/>
            <w:vAlign w:val="bottom"/>
          </w:tcPr>
          <w:p w14:paraId="6DB2B427" w14:textId="77777777" w:rsidR="00A52778" w:rsidRPr="00460F9E" w:rsidRDefault="00A52778" w:rsidP="00FC3F8E">
            <w:pPr>
              <w:spacing w:line="0" w:lineRule="atLeast"/>
              <w:rPr>
                <w:rFonts w:eastAsia="Times New Roman" w:cs="Times New Roman"/>
                <w:b/>
                <w:sz w:val="5"/>
              </w:rPr>
            </w:pPr>
          </w:p>
        </w:tc>
        <w:tc>
          <w:tcPr>
            <w:tcW w:w="481" w:type="dxa"/>
            <w:tcBorders>
              <w:bottom w:val="single" w:sz="8" w:space="0" w:color="auto"/>
              <w:right w:val="single" w:sz="8" w:space="0" w:color="auto"/>
            </w:tcBorders>
            <w:shd w:val="clear" w:color="auto" w:fill="auto"/>
            <w:vAlign w:val="bottom"/>
          </w:tcPr>
          <w:p w14:paraId="7BB61C13" w14:textId="77777777" w:rsidR="00A52778" w:rsidRPr="00460F9E" w:rsidRDefault="00A52778" w:rsidP="00FC3F8E">
            <w:pPr>
              <w:spacing w:line="0" w:lineRule="atLeast"/>
              <w:rPr>
                <w:rFonts w:eastAsia="Times New Roman" w:cs="Times New Roman"/>
                <w:b/>
                <w:sz w:val="5"/>
              </w:rPr>
            </w:pPr>
          </w:p>
        </w:tc>
        <w:tc>
          <w:tcPr>
            <w:tcW w:w="980" w:type="dxa"/>
            <w:tcBorders>
              <w:bottom w:val="single" w:sz="8" w:space="0" w:color="auto"/>
              <w:right w:val="single" w:sz="8" w:space="0" w:color="auto"/>
            </w:tcBorders>
            <w:shd w:val="clear" w:color="auto" w:fill="auto"/>
            <w:vAlign w:val="bottom"/>
          </w:tcPr>
          <w:p w14:paraId="145FF1ED" w14:textId="77777777" w:rsidR="00A52778" w:rsidRPr="00460F9E" w:rsidRDefault="00A52778" w:rsidP="00FC3F8E">
            <w:pPr>
              <w:spacing w:line="0" w:lineRule="atLeast"/>
              <w:rPr>
                <w:rFonts w:eastAsia="Times New Roman" w:cs="Times New Roman"/>
                <w:b/>
                <w:sz w:val="5"/>
              </w:rPr>
            </w:pPr>
          </w:p>
        </w:tc>
        <w:tc>
          <w:tcPr>
            <w:tcW w:w="404" w:type="dxa"/>
            <w:tcBorders>
              <w:bottom w:val="single" w:sz="8" w:space="0" w:color="auto"/>
            </w:tcBorders>
            <w:shd w:val="clear" w:color="auto" w:fill="auto"/>
            <w:vAlign w:val="bottom"/>
          </w:tcPr>
          <w:p w14:paraId="3FD0CFAA" w14:textId="77777777" w:rsidR="00A52778" w:rsidRPr="00460F9E" w:rsidRDefault="00A52778" w:rsidP="00FC3F8E">
            <w:pPr>
              <w:spacing w:line="0" w:lineRule="atLeast"/>
              <w:rPr>
                <w:rFonts w:eastAsia="Times New Roman" w:cs="Times New Roman"/>
                <w:b/>
                <w:sz w:val="5"/>
              </w:rPr>
            </w:pPr>
          </w:p>
        </w:tc>
        <w:tc>
          <w:tcPr>
            <w:tcW w:w="557" w:type="dxa"/>
            <w:tcBorders>
              <w:bottom w:val="single" w:sz="8" w:space="0" w:color="auto"/>
            </w:tcBorders>
            <w:shd w:val="clear" w:color="auto" w:fill="auto"/>
            <w:vAlign w:val="bottom"/>
          </w:tcPr>
          <w:p w14:paraId="48BB79EF" w14:textId="77777777" w:rsidR="00A52778" w:rsidRPr="00460F9E" w:rsidRDefault="00A52778" w:rsidP="00FC3F8E">
            <w:pPr>
              <w:spacing w:line="0" w:lineRule="atLeast"/>
              <w:rPr>
                <w:rFonts w:eastAsia="Times New Roman" w:cs="Times New Roman"/>
                <w:b/>
                <w:sz w:val="5"/>
              </w:rPr>
            </w:pPr>
          </w:p>
        </w:tc>
        <w:tc>
          <w:tcPr>
            <w:tcW w:w="346" w:type="dxa"/>
            <w:tcBorders>
              <w:bottom w:val="single" w:sz="8" w:space="0" w:color="auto"/>
            </w:tcBorders>
            <w:shd w:val="clear" w:color="auto" w:fill="auto"/>
            <w:vAlign w:val="bottom"/>
          </w:tcPr>
          <w:p w14:paraId="5B41A31C" w14:textId="77777777" w:rsidR="00A52778" w:rsidRPr="00460F9E" w:rsidRDefault="00A52778" w:rsidP="00FC3F8E">
            <w:pPr>
              <w:spacing w:line="0" w:lineRule="atLeast"/>
              <w:rPr>
                <w:rFonts w:eastAsia="Times New Roman" w:cs="Times New Roman"/>
                <w:b/>
                <w:sz w:val="5"/>
              </w:rPr>
            </w:pPr>
          </w:p>
        </w:tc>
        <w:tc>
          <w:tcPr>
            <w:tcW w:w="423" w:type="dxa"/>
            <w:tcBorders>
              <w:bottom w:val="single" w:sz="8" w:space="0" w:color="auto"/>
            </w:tcBorders>
            <w:shd w:val="clear" w:color="auto" w:fill="auto"/>
            <w:vAlign w:val="bottom"/>
          </w:tcPr>
          <w:p w14:paraId="001B487C" w14:textId="77777777" w:rsidR="00A52778" w:rsidRPr="00460F9E" w:rsidRDefault="00A52778" w:rsidP="00FC3F8E">
            <w:pPr>
              <w:spacing w:line="0" w:lineRule="atLeast"/>
              <w:rPr>
                <w:rFonts w:eastAsia="Times New Roman" w:cs="Times New Roman"/>
                <w:b/>
                <w:sz w:val="5"/>
              </w:rPr>
            </w:pPr>
          </w:p>
        </w:tc>
        <w:tc>
          <w:tcPr>
            <w:tcW w:w="481" w:type="dxa"/>
            <w:tcBorders>
              <w:bottom w:val="single" w:sz="8" w:space="0" w:color="auto"/>
            </w:tcBorders>
            <w:shd w:val="clear" w:color="auto" w:fill="auto"/>
            <w:vAlign w:val="bottom"/>
          </w:tcPr>
          <w:p w14:paraId="31B87252" w14:textId="77777777" w:rsidR="00A52778" w:rsidRPr="00460F9E" w:rsidRDefault="00A52778" w:rsidP="00FC3F8E">
            <w:pPr>
              <w:spacing w:line="0" w:lineRule="atLeast"/>
              <w:rPr>
                <w:rFonts w:eastAsia="Times New Roman" w:cs="Times New Roman"/>
                <w:b/>
                <w:sz w:val="5"/>
              </w:rPr>
            </w:pPr>
          </w:p>
        </w:tc>
        <w:tc>
          <w:tcPr>
            <w:tcW w:w="385" w:type="dxa"/>
            <w:tcBorders>
              <w:bottom w:val="single" w:sz="8" w:space="0" w:color="auto"/>
              <w:right w:val="single" w:sz="8" w:space="0" w:color="auto"/>
            </w:tcBorders>
            <w:shd w:val="clear" w:color="auto" w:fill="auto"/>
            <w:vAlign w:val="bottom"/>
          </w:tcPr>
          <w:p w14:paraId="0C069341" w14:textId="77777777" w:rsidR="00A52778" w:rsidRPr="00460F9E" w:rsidRDefault="00A52778" w:rsidP="00FC3F8E">
            <w:pPr>
              <w:spacing w:line="0" w:lineRule="atLeast"/>
              <w:rPr>
                <w:rFonts w:eastAsia="Times New Roman" w:cs="Times New Roman"/>
                <w:b/>
                <w:sz w:val="5"/>
              </w:rPr>
            </w:pPr>
          </w:p>
        </w:tc>
      </w:tr>
      <w:tr w:rsidR="00A52778" w:rsidRPr="00460F9E" w14:paraId="69DBB66F" w14:textId="77777777" w:rsidTr="00FC3F8E">
        <w:trPr>
          <w:gridAfter w:val="1"/>
          <w:wAfter w:w="347" w:type="dxa"/>
          <w:trHeight w:val="219"/>
        </w:trPr>
        <w:tc>
          <w:tcPr>
            <w:tcW w:w="1983" w:type="dxa"/>
            <w:gridSpan w:val="4"/>
            <w:tcBorders>
              <w:left w:val="single" w:sz="8" w:space="0" w:color="auto"/>
              <w:bottom w:val="single" w:sz="8" w:space="0" w:color="auto"/>
            </w:tcBorders>
            <w:shd w:val="clear" w:color="auto" w:fill="auto"/>
            <w:vAlign w:val="bottom"/>
          </w:tcPr>
          <w:p w14:paraId="3E718A41" w14:textId="77777777" w:rsidR="00A52778" w:rsidRPr="00493926" w:rsidRDefault="00A52778" w:rsidP="00FC3F8E">
            <w:pPr>
              <w:spacing w:line="219" w:lineRule="exact"/>
              <w:ind w:left="120"/>
              <w:rPr>
                <w:rFonts w:eastAsia="Times New Roman" w:cs="Times New Roman"/>
                <w:i/>
                <w:w w:val="98"/>
              </w:rPr>
            </w:pPr>
            <w:r w:rsidRPr="00493926">
              <w:rPr>
                <w:rFonts w:eastAsia="Times New Roman" w:cs="Times New Roman"/>
                <w:i/>
                <w:w w:val="98"/>
              </w:rPr>
              <w:t>2. Diğer teknikler</w:t>
            </w:r>
          </w:p>
        </w:tc>
        <w:tc>
          <w:tcPr>
            <w:tcW w:w="20" w:type="dxa"/>
            <w:tcBorders>
              <w:bottom w:val="single" w:sz="8" w:space="0" w:color="auto"/>
            </w:tcBorders>
            <w:shd w:val="clear" w:color="auto" w:fill="auto"/>
            <w:vAlign w:val="bottom"/>
          </w:tcPr>
          <w:p w14:paraId="24D1B1F6" w14:textId="77777777" w:rsidR="00A52778" w:rsidRPr="00460F9E" w:rsidRDefault="00A52778" w:rsidP="00FC3F8E">
            <w:pPr>
              <w:spacing w:line="0" w:lineRule="atLeast"/>
              <w:rPr>
                <w:rFonts w:eastAsia="Times New Roman" w:cs="Times New Roman"/>
                <w:b/>
                <w:sz w:val="19"/>
              </w:rPr>
            </w:pPr>
          </w:p>
        </w:tc>
        <w:tc>
          <w:tcPr>
            <w:tcW w:w="500" w:type="dxa"/>
            <w:tcBorders>
              <w:bottom w:val="single" w:sz="8" w:space="0" w:color="auto"/>
            </w:tcBorders>
            <w:shd w:val="clear" w:color="auto" w:fill="auto"/>
            <w:vAlign w:val="bottom"/>
          </w:tcPr>
          <w:p w14:paraId="1BA4F5BF" w14:textId="77777777" w:rsidR="00A52778" w:rsidRPr="00460F9E" w:rsidRDefault="00A52778" w:rsidP="00FC3F8E">
            <w:pPr>
              <w:spacing w:line="0" w:lineRule="atLeast"/>
              <w:rPr>
                <w:rFonts w:eastAsia="Times New Roman" w:cs="Times New Roman"/>
                <w:b/>
                <w:sz w:val="19"/>
              </w:rPr>
            </w:pPr>
          </w:p>
        </w:tc>
        <w:tc>
          <w:tcPr>
            <w:tcW w:w="308" w:type="dxa"/>
            <w:tcBorders>
              <w:bottom w:val="single" w:sz="8" w:space="0" w:color="auto"/>
            </w:tcBorders>
            <w:shd w:val="clear" w:color="auto" w:fill="auto"/>
            <w:vAlign w:val="bottom"/>
          </w:tcPr>
          <w:p w14:paraId="22746FE3" w14:textId="77777777" w:rsidR="00A52778" w:rsidRPr="00460F9E" w:rsidRDefault="00A52778" w:rsidP="00FC3F8E">
            <w:pPr>
              <w:spacing w:line="0" w:lineRule="atLeast"/>
              <w:rPr>
                <w:rFonts w:eastAsia="Times New Roman" w:cs="Times New Roman"/>
                <w:b/>
                <w:sz w:val="19"/>
              </w:rPr>
            </w:pPr>
          </w:p>
        </w:tc>
        <w:tc>
          <w:tcPr>
            <w:tcW w:w="365" w:type="dxa"/>
            <w:tcBorders>
              <w:bottom w:val="single" w:sz="8" w:space="0" w:color="auto"/>
            </w:tcBorders>
            <w:shd w:val="clear" w:color="auto" w:fill="auto"/>
            <w:vAlign w:val="bottom"/>
          </w:tcPr>
          <w:p w14:paraId="67F52696" w14:textId="77777777" w:rsidR="00A52778" w:rsidRPr="00460F9E" w:rsidRDefault="00A52778" w:rsidP="00FC3F8E">
            <w:pPr>
              <w:spacing w:line="0" w:lineRule="atLeast"/>
              <w:rPr>
                <w:rFonts w:eastAsia="Times New Roman" w:cs="Times New Roman"/>
                <w:b/>
                <w:sz w:val="19"/>
              </w:rPr>
            </w:pPr>
          </w:p>
        </w:tc>
        <w:tc>
          <w:tcPr>
            <w:tcW w:w="308" w:type="dxa"/>
            <w:tcBorders>
              <w:bottom w:val="single" w:sz="8" w:space="0" w:color="auto"/>
            </w:tcBorders>
            <w:shd w:val="clear" w:color="auto" w:fill="auto"/>
            <w:vAlign w:val="bottom"/>
          </w:tcPr>
          <w:p w14:paraId="42D64180" w14:textId="77777777" w:rsidR="00A52778" w:rsidRPr="00460F9E" w:rsidRDefault="00A52778" w:rsidP="00FC3F8E">
            <w:pPr>
              <w:spacing w:line="0" w:lineRule="atLeast"/>
              <w:rPr>
                <w:rFonts w:eastAsia="Times New Roman" w:cs="Times New Roman"/>
                <w:b/>
                <w:sz w:val="19"/>
              </w:rPr>
            </w:pPr>
          </w:p>
        </w:tc>
        <w:tc>
          <w:tcPr>
            <w:tcW w:w="193" w:type="dxa"/>
            <w:tcBorders>
              <w:bottom w:val="single" w:sz="8" w:space="0" w:color="auto"/>
            </w:tcBorders>
            <w:shd w:val="clear" w:color="auto" w:fill="auto"/>
            <w:vAlign w:val="bottom"/>
          </w:tcPr>
          <w:p w14:paraId="309BB2C1" w14:textId="77777777" w:rsidR="00A52778" w:rsidRPr="00460F9E" w:rsidRDefault="00A52778" w:rsidP="00FC3F8E">
            <w:pPr>
              <w:spacing w:line="0" w:lineRule="atLeast"/>
              <w:rPr>
                <w:rFonts w:eastAsia="Times New Roman" w:cs="Times New Roman"/>
                <w:b/>
                <w:sz w:val="19"/>
              </w:rPr>
            </w:pPr>
          </w:p>
        </w:tc>
        <w:tc>
          <w:tcPr>
            <w:tcW w:w="250" w:type="dxa"/>
            <w:tcBorders>
              <w:bottom w:val="single" w:sz="8" w:space="0" w:color="auto"/>
            </w:tcBorders>
            <w:shd w:val="clear" w:color="auto" w:fill="auto"/>
            <w:vAlign w:val="bottom"/>
          </w:tcPr>
          <w:p w14:paraId="60255520" w14:textId="77777777" w:rsidR="00A52778" w:rsidRPr="00460F9E" w:rsidRDefault="00A52778" w:rsidP="00FC3F8E">
            <w:pPr>
              <w:spacing w:line="0" w:lineRule="atLeast"/>
              <w:rPr>
                <w:rFonts w:eastAsia="Times New Roman" w:cs="Times New Roman"/>
                <w:b/>
                <w:sz w:val="19"/>
              </w:rPr>
            </w:pPr>
          </w:p>
        </w:tc>
        <w:tc>
          <w:tcPr>
            <w:tcW w:w="212" w:type="dxa"/>
            <w:tcBorders>
              <w:bottom w:val="single" w:sz="8" w:space="0" w:color="auto"/>
            </w:tcBorders>
            <w:shd w:val="clear" w:color="auto" w:fill="auto"/>
            <w:vAlign w:val="bottom"/>
          </w:tcPr>
          <w:p w14:paraId="133FA39D" w14:textId="77777777" w:rsidR="00A52778" w:rsidRPr="00460F9E" w:rsidRDefault="00A52778" w:rsidP="00FC3F8E">
            <w:pPr>
              <w:spacing w:line="0" w:lineRule="atLeast"/>
              <w:rPr>
                <w:rFonts w:eastAsia="Times New Roman" w:cs="Times New Roman"/>
                <w:b/>
                <w:sz w:val="19"/>
              </w:rPr>
            </w:pPr>
          </w:p>
        </w:tc>
        <w:tc>
          <w:tcPr>
            <w:tcW w:w="154" w:type="dxa"/>
            <w:tcBorders>
              <w:bottom w:val="single" w:sz="8" w:space="0" w:color="auto"/>
            </w:tcBorders>
            <w:shd w:val="clear" w:color="auto" w:fill="auto"/>
            <w:vAlign w:val="bottom"/>
          </w:tcPr>
          <w:p w14:paraId="0B748299" w14:textId="77777777" w:rsidR="00A52778" w:rsidRPr="00460F9E" w:rsidRDefault="00A52778" w:rsidP="00FC3F8E">
            <w:pPr>
              <w:spacing w:line="0" w:lineRule="atLeast"/>
              <w:rPr>
                <w:rFonts w:eastAsia="Times New Roman" w:cs="Times New Roman"/>
                <w:b/>
                <w:sz w:val="19"/>
              </w:rPr>
            </w:pPr>
          </w:p>
        </w:tc>
        <w:tc>
          <w:tcPr>
            <w:tcW w:w="346" w:type="dxa"/>
            <w:tcBorders>
              <w:bottom w:val="single" w:sz="8" w:space="0" w:color="auto"/>
            </w:tcBorders>
            <w:shd w:val="clear" w:color="auto" w:fill="auto"/>
            <w:vAlign w:val="bottom"/>
          </w:tcPr>
          <w:p w14:paraId="0FC2E2C7" w14:textId="77777777" w:rsidR="00A52778" w:rsidRPr="00460F9E" w:rsidRDefault="00A52778" w:rsidP="00FC3F8E">
            <w:pPr>
              <w:spacing w:line="0" w:lineRule="atLeast"/>
              <w:rPr>
                <w:rFonts w:eastAsia="Times New Roman" w:cs="Times New Roman"/>
                <w:b/>
                <w:sz w:val="19"/>
              </w:rPr>
            </w:pPr>
          </w:p>
        </w:tc>
        <w:tc>
          <w:tcPr>
            <w:tcW w:w="97" w:type="dxa"/>
            <w:tcBorders>
              <w:bottom w:val="single" w:sz="8" w:space="0" w:color="auto"/>
            </w:tcBorders>
            <w:shd w:val="clear" w:color="auto" w:fill="auto"/>
            <w:vAlign w:val="bottom"/>
          </w:tcPr>
          <w:p w14:paraId="4282B2CD" w14:textId="77777777" w:rsidR="00A52778" w:rsidRPr="00460F9E" w:rsidRDefault="00A52778" w:rsidP="00FC3F8E">
            <w:pPr>
              <w:spacing w:line="0" w:lineRule="atLeast"/>
              <w:rPr>
                <w:rFonts w:eastAsia="Times New Roman" w:cs="Times New Roman"/>
                <w:b/>
                <w:sz w:val="19"/>
              </w:rPr>
            </w:pPr>
          </w:p>
        </w:tc>
        <w:tc>
          <w:tcPr>
            <w:tcW w:w="481" w:type="dxa"/>
            <w:tcBorders>
              <w:bottom w:val="single" w:sz="8" w:space="0" w:color="auto"/>
            </w:tcBorders>
            <w:shd w:val="clear" w:color="auto" w:fill="auto"/>
            <w:vAlign w:val="bottom"/>
          </w:tcPr>
          <w:p w14:paraId="2B123964" w14:textId="77777777" w:rsidR="00A52778" w:rsidRPr="00460F9E" w:rsidRDefault="00A52778" w:rsidP="00FC3F8E">
            <w:pPr>
              <w:spacing w:line="0" w:lineRule="atLeast"/>
              <w:rPr>
                <w:rFonts w:eastAsia="Times New Roman" w:cs="Times New Roman"/>
                <w:b/>
                <w:sz w:val="19"/>
              </w:rPr>
            </w:pPr>
          </w:p>
        </w:tc>
        <w:tc>
          <w:tcPr>
            <w:tcW w:w="980" w:type="dxa"/>
            <w:tcBorders>
              <w:bottom w:val="single" w:sz="8" w:space="0" w:color="auto"/>
            </w:tcBorders>
            <w:shd w:val="clear" w:color="auto" w:fill="auto"/>
            <w:vAlign w:val="bottom"/>
          </w:tcPr>
          <w:p w14:paraId="75307FC6" w14:textId="77777777" w:rsidR="00A52778" w:rsidRPr="00460F9E" w:rsidRDefault="00A52778" w:rsidP="00FC3F8E">
            <w:pPr>
              <w:spacing w:line="0" w:lineRule="atLeast"/>
              <w:rPr>
                <w:rFonts w:eastAsia="Times New Roman" w:cs="Times New Roman"/>
                <w:b/>
                <w:sz w:val="19"/>
              </w:rPr>
            </w:pPr>
          </w:p>
        </w:tc>
        <w:tc>
          <w:tcPr>
            <w:tcW w:w="404" w:type="dxa"/>
            <w:tcBorders>
              <w:bottom w:val="single" w:sz="8" w:space="0" w:color="auto"/>
            </w:tcBorders>
            <w:shd w:val="clear" w:color="auto" w:fill="auto"/>
            <w:vAlign w:val="bottom"/>
          </w:tcPr>
          <w:p w14:paraId="60A2D5F3" w14:textId="77777777" w:rsidR="00A52778" w:rsidRPr="00460F9E" w:rsidRDefault="00A52778" w:rsidP="00FC3F8E">
            <w:pPr>
              <w:spacing w:line="0" w:lineRule="atLeast"/>
              <w:rPr>
                <w:rFonts w:eastAsia="Times New Roman" w:cs="Times New Roman"/>
                <w:b/>
                <w:sz w:val="19"/>
              </w:rPr>
            </w:pPr>
          </w:p>
        </w:tc>
        <w:tc>
          <w:tcPr>
            <w:tcW w:w="557" w:type="dxa"/>
            <w:tcBorders>
              <w:bottom w:val="single" w:sz="8" w:space="0" w:color="auto"/>
            </w:tcBorders>
            <w:shd w:val="clear" w:color="auto" w:fill="auto"/>
            <w:vAlign w:val="bottom"/>
          </w:tcPr>
          <w:p w14:paraId="61F6B167" w14:textId="77777777" w:rsidR="00A52778" w:rsidRPr="00460F9E" w:rsidRDefault="00A52778" w:rsidP="00FC3F8E">
            <w:pPr>
              <w:spacing w:line="0" w:lineRule="atLeast"/>
              <w:rPr>
                <w:rFonts w:eastAsia="Times New Roman" w:cs="Times New Roman"/>
                <w:b/>
                <w:sz w:val="19"/>
              </w:rPr>
            </w:pPr>
          </w:p>
        </w:tc>
        <w:tc>
          <w:tcPr>
            <w:tcW w:w="346" w:type="dxa"/>
            <w:tcBorders>
              <w:bottom w:val="single" w:sz="8" w:space="0" w:color="auto"/>
            </w:tcBorders>
            <w:shd w:val="clear" w:color="auto" w:fill="auto"/>
            <w:vAlign w:val="bottom"/>
          </w:tcPr>
          <w:p w14:paraId="5000AC5C" w14:textId="77777777" w:rsidR="00A52778" w:rsidRPr="00460F9E" w:rsidRDefault="00A52778" w:rsidP="00FC3F8E">
            <w:pPr>
              <w:spacing w:line="0" w:lineRule="atLeast"/>
              <w:rPr>
                <w:rFonts w:eastAsia="Times New Roman" w:cs="Times New Roman"/>
                <w:b/>
                <w:sz w:val="19"/>
              </w:rPr>
            </w:pPr>
          </w:p>
        </w:tc>
        <w:tc>
          <w:tcPr>
            <w:tcW w:w="423" w:type="dxa"/>
            <w:tcBorders>
              <w:bottom w:val="single" w:sz="8" w:space="0" w:color="auto"/>
            </w:tcBorders>
            <w:shd w:val="clear" w:color="auto" w:fill="auto"/>
            <w:vAlign w:val="bottom"/>
          </w:tcPr>
          <w:p w14:paraId="44E12D7F" w14:textId="77777777" w:rsidR="00A52778" w:rsidRPr="00460F9E" w:rsidRDefault="00A52778" w:rsidP="00FC3F8E">
            <w:pPr>
              <w:spacing w:line="0" w:lineRule="atLeast"/>
              <w:rPr>
                <w:rFonts w:eastAsia="Times New Roman" w:cs="Times New Roman"/>
                <w:b/>
                <w:sz w:val="19"/>
              </w:rPr>
            </w:pPr>
          </w:p>
        </w:tc>
        <w:tc>
          <w:tcPr>
            <w:tcW w:w="481" w:type="dxa"/>
            <w:tcBorders>
              <w:bottom w:val="single" w:sz="8" w:space="0" w:color="auto"/>
            </w:tcBorders>
            <w:shd w:val="clear" w:color="auto" w:fill="auto"/>
            <w:vAlign w:val="bottom"/>
          </w:tcPr>
          <w:p w14:paraId="0D9B4671" w14:textId="77777777" w:rsidR="00A52778" w:rsidRPr="00460F9E" w:rsidRDefault="00A52778" w:rsidP="00FC3F8E">
            <w:pPr>
              <w:spacing w:line="0" w:lineRule="atLeast"/>
              <w:rPr>
                <w:rFonts w:eastAsia="Times New Roman" w:cs="Times New Roman"/>
                <w:b/>
                <w:sz w:val="19"/>
              </w:rPr>
            </w:pPr>
          </w:p>
        </w:tc>
        <w:tc>
          <w:tcPr>
            <w:tcW w:w="385" w:type="dxa"/>
            <w:tcBorders>
              <w:bottom w:val="single" w:sz="8" w:space="0" w:color="auto"/>
              <w:right w:val="single" w:sz="8" w:space="0" w:color="auto"/>
            </w:tcBorders>
            <w:shd w:val="clear" w:color="auto" w:fill="auto"/>
            <w:vAlign w:val="bottom"/>
          </w:tcPr>
          <w:p w14:paraId="18EA26B5" w14:textId="77777777" w:rsidR="00A52778" w:rsidRPr="00460F9E" w:rsidRDefault="00A52778" w:rsidP="00FC3F8E">
            <w:pPr>
              <w:spacing w:line="0" w:lineRule="atLeast"/>
              <w:rPr>
                <w:rFonts w:eastAsia="Times New Roman" w:cs="Times New Roman"/>
                <w:b/>
                <w:sz w:val="19"/>
              </w:rPr>
            </w:pPr>
          </w:p>
        </w:tc>
      </w:tr>
      <w:tr w:rsidR="00A52778" w:rsidRPr="00460F9E" w14:paraId="7AA39213" w14:textId="77777777" w:rsidTr="00FC3F8E">
        <w:trPr>
          <w:gridAfter w:val="1"/>
          <w:wAfter w:w="347" w:type="dxa"/>
          <w:trHeight w:val="215"/>
        </w:trPr>
        <w:tc>
          <w:tcPr>
            <w:tcW w:w="386" w:type="dxa"/>
            <w:tcBorders>
              <w:left w:val="single" w:sz="8" w:space="0" w:color="auto"/>
              <w:right w:val="single" w:sz="8" w:space="0" w:color="auto"/>
            </w:tcBorders>
            <w:shd w:val="clear" w:color="auto" w:fill="auto"/>
            <w:vAlign w:val="bottom"/>
          </w:tcPr>
          <w:p w14:paraId="2CF2A182" w14:textId="77777777" w:rsidR="00A52778" w:rsidRPr="00460F9E" w:rsidRDefault="00A52778" w:rsidP="00FC3F8E">
            <w:pPr>
              <w:spacing w:line="0" w:lineRule="atLeast"/>
              <w:rPr>
                <w:rFonts w:eastAsia="Times New Roman" w:cs="Times New Roman"/>
                <w:b/>
                <w:sz w:val="18"/>
              </w:rPr>
            </w:pPr>
          </w:p>
        </w:tc>
        <w:tc>
          <w:tcPr>
            <w:tcW w:w="1212" w:type="dxa"/>
            <w:gridSpan w:val="2"/>
            <w:vMerge w:val="restart"/>
            <w:tcBorders>
              <w:right w:val="single" w:sz="8" w:space="0" w:color="auto"/>
            </w:tcBorders>
            <w:shd w:val="clear" w:color="auto" w:fill="auto"/>
            <w:vAlign w:val="bottom"/>
          </w:tcPr>
          <w:p w14:paraId="732AC241"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Erişimin kolaylaştırılması ve/veya izleme faaliyetleri</w:t>
            </w:r>
          </w:p>
        </w:tc>
        <w:tc>
          <w:tcPr>
            <w:tcW w:w="385" w:type="dxa"/>
            <w:shd w:val="clear" w:color="auto" w:fill="auto"/>
            <w:vAlign w:val="bottom"/>
          </w:tcPr>
          <w:p w14:paraId="4A6B2323" w14:textId="77777777" w:rsidR="00A52778" w:rsidRPr="00460F9E" w:rsidRDefault="00A52778" w:rsidP="00FC3F8E">
            <w:pPr>
              <w:spacing w:line="0" w:lineRule="atLeast"/>
              <w:rPr>
                <w:rFonts w:eastAsia="Times New Roman" w:cs="Times New Roman"/>
                <w:b/>
                <w:sz w:val="18"/>
              </w:rPr>
            </w:pPr>
          </w:p>
        </w:tc>
        <w:tc>
          <w:tcPr>
            <w:tcW w:w="3234" w:type="dxa"/>
            <w:gridSpan w:val="12"/>
            <w:vMerge w:val="restart"/>
            <w:tcBorders>
              <w:right w:val="single" w:sz="8" w:space="0" w:color="auto"/>
            </w:tcBorders>
            <w:shd w:val="clear" w:color="auto" w:fill="auto"/>
            <w:vAlign w:val="bottom"/>
          </w:tcPr>
          <w:p w14:paraId="0B2FC25F"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Bakım ve/veya izleme faaliyetlerini kolaylaştırmak için, örneğin platformlar kurularak potansiyel olarak sızdıran ekipmana erişim kolaylaştırılır ve/veya izleme için dronlar kullanılır.</w:t>
            </w:r>
          </w:p>
        </w:tc>
        <w:tc>
          <w:tcPr>
            <w:tcW w:w="980" w:type="dxa"/>
            <w:tcBorders>
              <w:left w:val="single" w:sz="8" w:space="0" w:color="auto"/>
              <w:right w:val="single" w:sz="8" w:space="0" w:color="auto"/>
            </w:tcBorders>
            <w:shd w:val="clear" w:color="auto" w:fill="auto"/>
            <w:vAlign w:val="bottom"/>
          </w:tcPr>
          <w:p w14:paraId="42406305" w14:textId="77777777" w:rsidR="00A52778" w:rsidRPr="00460F9E" w:rsidRDefault="00A52778" w:rsidP="00FC3F8E">
            <w:pPr>
              <w:spacing w:line="0" w:lineRule="atLeast"/>
              <w:rPr>
                <w:rFonts w:eastAsia="Times New Roman" w:cs="Times New Roman"/>
                <w:b/>
                <w:sz w:val="18"/>
              </w:rPr>
            </w:pPr>
          </w:p>
        </w:tc>
        <w:tc>
          <w:tcPr>
            <w:tcW w:w="2596" w:type="dxa"/>
            <w:gridSpan w:val="6"/>
            <w:vMerge w:val="restart"/>
            <w:tcBorders>
              <w:right w:val="single" w:sz="8" w:space="0" w:color="auto"/>
            </w:tcBorders>
            <w:shd w:val="clear" w:color="auto" w:fill="auto"/>
            <w:vAlign w:val="bottom"/>
          </w:tcPr>
          <w:p w14:paraId="3B238C9C"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Mevcut tesisler söz konusu   </w:t>
            </w:r>
          </w:p>
          <w:p w14:paraId="5DD615AF"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olduğunda uygulanabilirliği </w:t>
            </w:r>
          </w:p>
          <w:p w14:paraId="790AD2AE"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operasyonel kısıtlamalarla </w:t>
            </w:r>
          </w:p>
          <w:p w14:paraId="2F4163EF"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sınırlandırılabilir.</w:t>
            </w:r>
          </w:p>
        </w:tc>
      </w:tr>
      <w:tr w:rsidR="00A52778" w:rsidRPr="00460F9E" w14:paraId="11F0C388" w14:textId="77777777" w:rsidTr="00FC3F8E">
        <w:trPr>
          <w:gridAfter w:val="1"/>
          <w:wAfter w:w="347" w:type="dxa"/>
          <w:trHeight w:val="115"/>
        </w:trPr>
        <w:tc>
          <w:tcPr>
            <w:tcW w:w="386" w:type="dxa"/>
            <w:tcBorders>
              <w:left w:val="single" w:sz="8" w:space="0" w:color="auto"/>
              <w:right w:val="single" w:sz="8" w:space="0" w:color="auto"/>
            </w:tcBorders>
            <w:shd w:val="clear" w:color="auto" w:fill="auto"/>
            <w:vAlign w:val="bottom"/>
          </w:tcPr>
          <w:p w14:paraId="7027E354" w14:textId="77777777" w:rsidR="00A52778" w:rsidRPr="00460F9E" w:rsidRDefault="00A52778" w:rsidP="00FC3F8E">
            <w:pPr>
              <w:spacing w:line="0" w:lineRule="atLeast"/>
              <w:rPr>
                <w:rFonts w:eastAsia="Times New Roman" w:cs="Times New Roman"/>
                <w:b/>
                <w:sz w:val="10"/>
              </w:rPr>
            </w:pPr>
          </w:p>
        </w:tc>
        <w:tc>
          <w:tcPr>
            <w:tcW w:w="1212" w:type="dxa"/>
            <w:gridSpan w:val="2"/>
            <w:vMerge/>
            <w:tcBorders>
              <w:right w:val="single" w:sz="8" w:space="0" w:color="auto"/>
            </w:tcBorders>
            <w:shd w:val="clear" w:color="auto" w:fill="auto"/>
            <w:vAlign w:val="bottom"/>
          </w:tcPr>
          <w:p w14:paraId="4548F43E" w14:textId="77777777" w:rsidR="00A52778" w:rsidRPr="00460F9E" w:rsidRDefault="00A52778" w:rsidP="00FC3F8E">
            <w:pPr>
              <w:spacing w:line="0" w:lineRule="atLeast"/>
              <w:ind w:left="80"/>
              <w:rPr>
                <w:rFonts w:eastAsia="Times New Roman" w:cs="Times New Roman"/>
                <w:b/>
              </w:rPr>
            </w:pPr>
          </w:p>
        </w:tc>
        <w:tc>
          <w:tcPr>
            <w:tcW w:w="385" w:type="dxa"/>
            <w:shd w:val="clear" w:color="auto" w:fill="auto"/>
            <w:vAlign w:val="bottom"/>
          </w:tcPr>
          <w:p w14:paraId="1ACEC990" w14:textId="77777777" w:rsidR="00A52778" w:rsidRPr="00460F9E" w:rsidRDefault="00A52778" w:rsidP="00FC3F8E">
            <w:pPr>
              <w:spacing w:line="0" w:lineRule="atLeast"/>
              <w:rPr>
                <w:rFonts w:eastAsia="Times New Roman" w:cs="Times New Roman"/>
                <w:b/>
                <w:sz w:val="10"/>
              </w:rPr>
            </w:pPr>
          </w:p>
        </w:tc>
        <w:tc>
          <w:tcPr>
            <w:tcW w:w="3234" w:type="dxa"/>
            <w:gridSpan w:val="12"/>
            <w:vMerge/>
            <w:tcBorders>
              <w:right w:val="single" w:sz="8" w:space="0" w:color="auto"/>
            </w:tcBorders>
            <w:shd w:val="clear" w:color="auto" w:fill="auto"/>
            <w:vAlign w:val="bottom"/>
          </w:tcPr>
          <w:p w14:paraId="0A176764" w14:textId="77777777" w:rsidR="00A52778" w:rsidRPr="00460F9E" w:rsidRDefault="00A52778" w:rsidP="00FC3F8E">
            <w:pPr>
              <w:spacing w:line="0" w:lineRule="atLeast"/>
              <w:rPr>
                <w:rFonts w:eastAsia="Times New Roman" w:cs="Times New Roman"/>
                <w:b/>
              </w:rPr>
            </w:pPr>
          </w:p>
        </w:tc>
        <w:tc>
          <w:tcPr>
            <w:tcW w:w="980" w:type="dxa"/>
            <w:tcBorders>
              <w:left w:val="single" w:sz="8" w:space="0" w:color="auto"/>
              <w:right w:val="single" w:sz="8" w:space="0" w:color="auto"/>
            </w:tcBorders>
            <w:shd w:val="clear" w:color="auto" w:fill="auto"/>
            <w:vAlign w:val="bottom"/>
          </w:tcPr>
          <w:p w14:paraId="3EE62525" w14:textId="77777777" w:rsidR="00A52778" w:rsidRPr="00460F9E" w:rsidRDefault="00A52778" w:rsidP="00FC3F8E">
            <w:pPr>
              <w:spacing w:line="0" w:lineRule="atLeast"/>
              <w:rPr>
                <w:rFonts w:eastAsia="Times New Roman" w:cs="Times New Roman"/>
                <w:b/>
                <w:sz w:val="10"/>
              </w:rPr>
            </w:pPr>
          </w:p>
        </w:tc>
        <w:tc>
          <w:tcPr>
            <w:tcW w:w="2596" w:type="dxa"/>
            <w:gridSpan w:val="6"/>
            <w:vMerge/>
            <w:tcBorders>
              <w:right w:val="single" w:sz="8" w:space="0" w:color="auto"/>
            </w:tcBorders>
            <w:shd w:val="clear" w:color="auto" w:fill="auto"/>
            <w:vAlign w:val="bottom"/>
          </w:tcPr>
          <w:p w14:paraId="1E2BD0AA" w14:textId="77777777" w:rsidR="00A52778" w:rsidRPr="00460F9E" w:rsidRDefault="00A52778" w:rsidP="00FC3F8E">
            <w:pPr>
              <w:spacing w:line="0" w:lineRule="atLeast"/>
              <w:rPr>
                <w:rFonts w:eastAsia="Times New Roman" w:cs="Times New Roman"/>
                <w:b/>
                <w:sz w:val="10"/>
              </w:rPr>
            </w:pPr>
          </w:p>
        </w:tc>
      </w:tr>
      <w:tr w:rsidR="00A52778" w:rsidRPr="00460F9E" w14:paraId="7839F4DE" w14:textId="77777777" w:rsidTr="00FC3F8E">
        <w:trPr>
          <w:gridAfter w:val="1"/>
          <w:wAfter w:w="347" w:type="dxa"/>
          <w:trHeight w:val="115"/>
        </w:trPr>
        <w:tc>
          <w:tcPr>
            <w:tcW w:w="386" w:type="dxa"/>
            <w:tcBorders>
              <w:left w:val="single" w:sz="8" w:space="0" w:color="auto"/>
              <w:right w:val="single" w:sz="8" w:space="0" w:color="auto"/>
            </w:tcBorders>
            <w:shd w:val="clear" w:color="auto" w:fill="auto"/>
            <w:vAlign w:val="bottom"/>
          </w:tcPr>
          <w:p w14:paraId="5C89ED9B" w14:textId="77777777" w:rsidR="00A52778" w:rsidRPr="00460F9E" w:rsidRDefault="00A52778" w:rsidP="00FC3F8E">
            <w:pPr>
              <w:spacing w:line="0" w:lineRule="atLeast"/>
              <w:rPr>
                <w:rFonts w:eastAsia="Times New Roman" w:cs="Times New Roman"/>
                <w:b/>
                <w:sz w:val="10"/>
              </w:rPr>
            </w:pPr>
          </w:p>
        </w:tc>
        <w:tc>
          <w:tcPr>
            <w:tcW w:w="1212" w:type="dxa"/>
            <w:gridSpan w:val="2"/>
            <w:vMerge/>
            <w:tcBorders>
              <w:right w:val="single" w:sz="8" w:space="0" w:color="auto"/>
            </w:tcBorders>
            <w:shd w:val="clear" w:color="auto" w:fill="auto"/>
            <w:vAlign w:val="bottom"/>
          </w:tcPr>
          <w:p w14:paraId="326D2BCD" w14:textId="77777777" w:rsidR="00A52778" w:rsidRPr="00460F9E" w:rsidRDefault="00A52778" w:rsidP="00FC3F8E">
            <w:pPr>
              <w:spacing w:line="0" w:lineRule="atLeast"/>
              <w:ind w:left="80"/>
              <w:rPr>
                <w:rFonts w:eastAsia="Times New Roman" w:cs="Times New Roman"/>
                <w:b/>
                <w:sz w:val="10"/>
              </w:rPr>
            </w:pPr>
          </w:p>
        </w:tc>
        <w:tc>
          <w:tcPr>
            <w:tcW w:w="385" w:type="dxa"/>
            <w:shd w:val="clear" w:color="auto" w:fill="auto"/>
            <w:vAlign w:val="bottom"/>
          </w:tcPr>
          <w:p w14:paraId="21361ECE" w14:textId="77777777" w:rsidR="00A52778" w:rsidRPr="00460F9E" w:rsidRDefault="00A52778" w:rsidP="00FC3F8E">
            <w:pPr>
              <w:spacing w:line="0" w:lineRule="atLeast"/>
              <w:rPr>
                <w:rFonts w:eastAsia="Times New Roman" w:cs="Times New Roman"/>
                <w:b/>
                <w:sz w:val="10"/>
              </w:rPr>
            </w:pPr>
          </w:p>
        </w:tc>
        <w:tc>
          <w:tcPr>
            <w:tcW w:w="3234" w:type="dxa"/>
            <w:gridSpan w:val="12"/>
            <w:vMerge/>
            <w:tcBorders>
              <w:right w:val="single" w:sz="8" w:space="0" w:color="auto"/>
            </w:tcBorders>
            <w:shd w:val="clear" w:color="auto" w:fill="auto"/>
            <w:vAlign w:val="bottom"/>
          </w:tcPr>
          <w:p w14:paraId="34489BAE" w14:textId="77777777" w:rsidR="00A52778" w:rsidRPr="00460F9E" w:rsidRDefault="00A52778" w:rsidP="00FC3F8E">
            <w:pPr>
              <w:spacing w:line="0" w:lineRule="atLeast"/>
              <w:rPr>
                <w:rFonts w:eastAsia="Times New Roman" w:cs="Times New Roman"/>
                <w:b/>
                <w:sz w:val="10"/>
              </w:rPr>
            </w:pPr>
          </w:p>
        </w:tc>
        <w:tc>
          <w:tcPr>
            <w:tcW w:w="980" w:type="dxa"/>
            <w:vMerge w:val="restart"/>
            <w:tcBorders>
              <w:left w:val="single" w:sz="8" w:space="0" w:color="auto"/>
              <w:right w:val="single" w:sz="8" w:space="0" w:color="auto"/>
            </w:tcBorders>
            <w:shd w:val="clear" w:color="auto" w:fill="auto"/>
            <w:vAlign w:val="bottom"/>
          </w:tcPr>
          <w:p w14:paraId="608929B1" w14:textId="77777777" w:rsidR="00A52778" w:rsidRPr="00460F9E" w:rsidRDefault="00A52778" w:rsidP="00FC3F8E">
            <w:pPr>
              <w:spacing w:line="0" w:lineRule="atLeast"/>
              <w:jc w:val="center"/>
              <w:rPr>
                <w:rFonts w:eastAsia="Times New Roman" w:cs="Times New Roman"/>
                <w:b/>
                <w:w w:val="98"/>
              </w:rPr>
            </w:pPr>
            <w:r w:rsidRPr="00460F9E">
              <w:rPr>
                <w:rFonts w:eastAsia="Times New Roman" w:cs="Times New Roman"/>
              </w:rPr>
              <w:t>Kaçak emisyonlar</w:t>
            </w:r>
          </w:p>
        </w:tc>
        <w:tc>
          <w:tcPr>
            <w:tcW w:w="2596" w:type="dxa"/>
            <w:gridSpan w:val="6"/>
            <w:vMerge/>
            <w:tcBorders>
              <w:right w:val="single" w:sz="8" w:space="0" w:color="auto"/>
            </w:tcBorders>
            <w:shd w:val="clear" w:color="auto" w:fill="auto"/>
            <w:vAlign w:val="bottom"/>
          </w:tcPr>
          <w:p w14:paraId="09115015" w14:textId="77777777" w:rsidR="00A52778" w:rsidRPr="00460F9E" w:rsidRDefault="00A52778" w:rsidP="00FC3F8E">
            <w:pPr>
              <w:spacing w:line="0" w:lineRule="atLeast"/>
              <w:rPr>
                <w:rFonts w:eastAsia="Times New Roman" w:cs="Times New Roman"/>
                <w:b/>
                <w:sz w:val="10"/>
              </w:rPr>
            </w:pPr>
          </w:p>
        </w:tc>
      </w:tr>
      <w:tr w:rsidR="00A52778" w:rsidRPr="00460F9E" w14:paraId="4722F174" w14:textId="77777777" w:rsidTr="00FC3F8E">
        <w:trPr>
          <w:gridAfter w:val="1"/>
          <w:wAfter w:w="347" w:type="dxa"/>
          <w:trHeight w:val="115"/>
        </w:trPr>
        <w:tc>
          <w:tcPr>
            <w:tcW w:w="386" w:type="dxa"/>
            <w:vMerge w:val="restart"/>
            <w:tcBorders>
              <w:left w:val="single" w:sz="8" w:space="0" w:color="auto"/>
              <w:right w:val="single" w:sz="8" w:space="0" w:color="auto"/>
            </w:tcBorders>
            <w:shd w:val="clear" w:color="auto" w:fill="auto"/>
            <w:vAlign w:val="bottom"/>
          </w:tcPr>
          <w:p w14:paraId="6273CE2D" w14:textId="77777777" w:rsidR="00A52778" w:rsidRPr="00460F9E" w:rsidRDefault="00A52778" w:rsidP="00FC3F8E">
            <w:pPr>
              <w:spacing w:line="0" w:lineRule="atLeast"/>
              <w:ind w:left="120"/>
              <w:rPr>
                <w:rFonts w:eastAsia="Times New Roman" w:cs="Times New Roman"/>
                <w:b/>
              </w:rPr>
            </w:pPr>
            <w:r>
              <w:rPr>
                <w:rFonts w:eastAsia="Times New Roman" w:cs="Times New Roman"/>
              </w:rPr>
              <w:t>ç.</w:t>
            </w:r>
          </w:p>
        </w:tc>
        <w:tc>
          <w:tcPr>
            <w:tcW w:w="1212" w:type="dxa"/>
            <w:gridSpan w:val="2"/>
            <w:vMerge/>
            <w:tcBorders>
              <w:right w:val="single" w:sz="8" w:space="0" w:color="auto"/>
            </w:tcBorders>
            <w:shd w:val="clear" w:color="auto" w:fill="auto"/>
            <w:vAlign w:val="bottom"/>
          </w:tcPr>
          <w:p w14:paraId="0FB972FC" w14:textId="77777777" w:rsidR="00A52778" w:rsidRPr="00460F9E" w:rsidRDefault="00A52778" w:rsidP="00FC3F8E">
            <w:pPr>
              <w:spacing w:line="0" w:lineRule="atLeast"/>
              <w:ind w:left="80"/>
              <w:rPr>
                <w:rFonts w:eastAsia="Times New Roman" w:cs="Times New Roman"/>
                <w:b/>
              </w:rPr>
            </w:pPr>
          </w:p>
        </w:tc>
        <w:tc>
          <w:tcPr>
            <w:tcW w:w="385" w:type="dxa"/>
            <w:shd w:val="clear" w:color="auto" w:fill="auto"/>
            <w:vAlign w:val="bottom"/>
          </w:tcPr>
          <w:p w14:paraId="587CF0D5" w14:textId="77777777" w:rsidR="00A52778" w:rsidRPr="00460F9E" w:rsidRDefault="00A52778" w:rsidP="00FC3F8E">
            <w:pPr>
              <w:spacing w:line="0" w:lineRule="atLeast"/>
              <w:rPr>
                <w:rFonts w:eastAsia="Times New Roman" w:cs="Times New Roman"/>
                <w:b/>
                <w:sz w:val="10"/>
              </w:rPr>
            </w:pPr>
          </w:p>
        </w:tc>
        <w:tc>
          <w:tcPr>
            <w:tcW w:w="3234" w:type="dxa"/>
            <w:gridSpan w:val="12"/>
            <w:vMerge/>
            <w:tcBorders>
              <w:right w:val="single" w:sz="8" w:space="0" w:color="auto"/>
            </w:tcBorders>
            <w:shd w:val="clear" w:color="auto" w:fill="auto"/>
            <w:vAlign w:val="bottom"/>
          </w:tcPr>
          <w:p w14:paraId="4C2FF990" w14:textId="77777777" w:rsidR="00A52778" w:rsidRPr="00460F9E" w:rsidRDefault="00A52778" w:rsidP="00FC3F8E">
            <w:pPr>
              <w:spacing w:line="0" w:lineRule="atLeast"/>
              <w:rPr>
                <w:rFonts w:eastAsia="Times New Roman" w:cs="Times New Roman"/>
                <w:b/>
              </w:rPr>
            </w:pPr>
          </w:p>
        </w:tc>
        <w:tc>
          <w:tcPr>
            <w:tcW w:w="980" w:type="dxa"/>
            <w:vMerge/>
            <w:tcBorders>
              <w:left w:val="single" w:sz="8" w:space="0" w:color="auto"/>
              <w:right w:val="single" w:sz="8" w:space="0" w:color="auto"/>
            </w:tcBorders>
            <w:shd w:val="clear" w:color="auto" w:fill="auto"/>
            <w:vAlign w:val="bottom"/>
          </w:tcPr>
          <w:p w14:paraId="6785EF83" w14:textId="77777777" w:rsidR="00A52778" w:rsidRPr="00460F9E" w:rsidRDefault="00A52778" w:rsidP="00FC3F8E">
            <w:pPr>
              <w:spacing w:line="0" w:lineRule="atLeast"/>
              <w:jc w:val="center"/>
              <w:rPr>
                <w:rFonts w:eastAsia="Times New Roman" w:cs="Times New Roman"/>
                <w:b/>
                <w:sz w:val="10"/>
              </w:rPr>
            </w:pPr>
          </w:p>
        </w:tc>
        <w:tc>
          <w:tcPr>
            <w:tcW w:w="2596" w:type="dxa"/>
            <w:gridSpan w:val="6"/>
            <w:vMerge/>
            <w:tcBorders>
              <w:right w:val="single" w:sz="8" w:space="0" w:color="auto"/>
            </w:tcBorders>
            <w:shd w:val="clear" w:color="auto" w:fill="auto"/>
            <w:vAlign w:val="bottom"/>
          </w:tcPr>
          <w:p w14:paraId="18426B81" w14:textId="77777777" w:rsidR="00A52778" w:rsidRPr="00460F9E" w:rsidRDefault="00A52778" w:rsidP="00FC3F8E">
            <w:pPr>
              <w:spacing w:line="0" w:lineRule="atLeast"/>
              <w:rPr>
                <w:rFonts w:eastAsia="Times New Roman" w:cs="Times New Roman"/>
                <w:b/>
                <w:sz w:val="10"/>
              </w:rPr>
            </w:pPr>
          </w:p>
        </w:tc>
      </w:tr>
      <w:tr w:rsidR="00A52778" w:rsidRPr="00460F9E" w14:paraId="0184E4D1" w14:textId="77777777" w:rsidTr="00FC3F8E">
        <w:trPr>
          <w:gridAfter w:val="1"/>
          <w:wAfter w:w="347" w:type="dxa"/>
          <w:trHeight w:val="115"/>
        </w:trPr>
        <w:tc>
          <w:tcPr>
            <w:tcW w:w="386" w:type="dxa"/>
            <w:vMerge/>
            <w:tcBorders>
              <w:left w:val="single" w:sz="8" w:space="0" w:color="auto"/>
              <w:right w:val="single" w:sz="8" w:space="0" w:color="auto"/>
            </w:tcBorders>
            <w:shd w:val="clear" w:color="auto" w:fill="auto"/>
            <w:vAlign w:val="bottom"/>
          </w:tcPr>
          <w:p w14:paraId="2295D4D2" w14:textId="77777777" w:rsidR="00A52778" w:rsidRPr="00460F9E" w:rsidRDefault="00A52778" w:rsidP="00FC3F8E">
            <w:pPr>
              <w:spacing w:line="0" w:lineRule="atLeast"/>
              <w:rPr>
                <w:rFonts w:eastAsia="Times New Roman" w:cs="Times New Roman"/>
                <w:b/>
                <w:sz w:val="10"/>
              </w:rPr>
            </w:pPr>
          </w:p>
        </w:tc>
        <w:tc>
          <w:tcPr>
            <w:tcW w:w="1212" w:type="dxa"/>
            <w:gridSpan w:val="2"/>
            <w:vMerge/>
            <w:tcBorders>
              <w:right w:val="single" w:sz="8" w:space="0" w:color="auto"/>
            </w:tcBorders>
            <w:shd w:val="clear" w:color="auto" w:fill="auto"/>
            <w:vAlign w:val="bottom"/>
          </w:tcPr>
          <w:p w14:paraId="6912426B" w14:textId="77777777" w:rsidR="00A52778" w:rsidRPr="00460F9E" w:rsidRDefault="00A52778" w:rsidP="00FC3F8E">
            <w:pPr>
              <w:spacing w:line="0" w:lineRule="atLeast"/>
              <w:ind w:left="80"/>
              <w:rPr>
                <w:rFonts w:eastAsia="Times New Roman" w:cs="Times New Roman"/>
                <w:b/>
                <w:sz w:val="10"/>
              </w:rPr>
            </w:pPr>
          </w:p>
        </w:tc>
        <w:tc>
          <w:tcPr>
            <w:tcW w:w="385" w:type="dxa"/>
            <w:shd w:val="clear" w:color="auto" w:fill="auto"/>
            <w:vAlign w:val="bottom"/>
          </w:tcPr>
          <w:p w14:paraId="7C8B03AB" w14:textId="77777777" w:rsidR="00A52778" w:rsidRPr="00460F9E" w:rsidRDefault="00A52778" w:rsidP="00FC3F8E">
            <w:pPr>
              <w:spacing w:line="0" w:lineRule="atLeast"/>
              <w:rPr>
                <w:rFonts w:eastAsia="Times New Roman" w:cs="Times New Roman"/>
                <w:b/>
                <w:sz w:val="10"/>
              </w:rPr>
            </w:pPr>
          </w:p>
        </w:tc>
        <w:tc>
          <w:tcPr>
            <w:tcW w:w="3234" w:type="dxa"/>
            <w:gridSpan w:val="12"/>
            <w:vMerge/>
            <w:tcBorders>
              <w:right w:val="single" w:sz="8" w:space="0" w:color="auto"/>
            </w:tcBorders>
            <w:shd w:val="clear" w:color="auto" w:fill="auto"/>
            <w:vAlign w:val="bottom"/>
          </w:tcPr>
          <w:p w14:paraId="7C18C089" w14:textId="77777777" w:rsidR="00A52778" w:rsidRPr="00460F9E" w:rsidRDefault="00A52778" w:rsidP="00FC3F8E">
            <w:pPr>
              <w:spacing w:line="0" w:lineRule="atLeast"/>
              <w:rPr>
                <w:rFonts w:eastAsia="Times New Roman" w:cs="Times New Roman"/>
                <w:b/>
                <w:sz w:val="10"/>
              </w:rPr>
            </w:pPr>
          </w:p>
        </w:tc>
        <w:tc>
          <w:tcPr>
            <w:tcW w:w="980" w:type="dxa"/>
            <w:vMerge/>
            <w:tcBorders>
              <w:left w:val="single" w:sz="8" w:space="0" w:color="auto"/>
              <w:right w:val="single" w:sz="8" w:space="0" w:color="auto"/>
            </w:tcBorders>
            <w:shd w:val="clear" w:color="auto" w:fill="auto"/>
            <w:vAlign w:val="bottom"/>
          </w:tcPr>
          <w:p w14:paraId="5C9F4D11" w14:textId="77777777" w:rsidR="00A52778" w:rsidRPr="00460F9E" w:rsidRDefault="00A52778" w:rsidP="00FC3F8E">
            <w:pPr>
              <w:spacing w:line="0" w:lineRule="atLeast"/>
              <w:jc w:val="center"/>
              <w:rPr>
                <w:rFonts w:eastAsia="Times New Roman" w:cs="Times New Roman"/>
                <w:b/>
                <w:w w:val="98"/>
              </w:rPr>
            </w:pPr>
          </w:p>
        </w:tc>
        <w:tc>
          <w:tcPr>
            <w:tcW w:w="2596" w:type="dxa"/>
            <w:gridSpan w:val="6"/>
            <w:vMerge/>
            <w:tcBorders>
              <w:right w:val="single" w:sz="8" w:space="0" w:color="auto"/>
            </w:tcBorders>
            <w:shd w:val="clear" w:color="auto" w:fill="auto"/>
            <w:vAlign w:val="bottom"/>
          </w:tcPr>
          <w:p w14:paraId="665C6468" w14:textId="77777777" w:rsidR="00A52778" w:rsidRPr="00460F9E" w:rsidRDefault="00A52778" w:rsidP="00FC3F8E">
            <w:pPr>
              <w:spacing w:line="0" w:lineRule="atLeast"/>
              <w:rPr>
                <w:rFonts w:eastAsia="Times New Roman" w:cs="Times New Roman"/>
                <w:b/>
              </w:rPr>
            </w:pPr>
          </w:p>
        </w:tc>
      </w:tr>
      <w:tr w:rsidR="00A52778" w:rsidRPr="00460F9E" w14:paraId="013C889B" w14:textId="77777777" w:rsidTr="00FC3F8E">
        <w:trPr>
          <w:gridAfter w:val="1"/>
          <w:wAfter w:w="347" w:type="dxa"/>
          <w:trHeight w:val="115"/>
        </w:trPr>
        <w:tc>
          <w:tcPr>
            <w:tcW w:w="386" w:type="dxa"/>
            <w:tcBorders>
              <w:left w:val="single" w:sz="8" w:space="0" w:color="auto"/>
              <w:right w:val="single" w:sz="8" w:space="0" w:color="auto"/>
            </w:tcBorders>
            <w:shd w:val="clear" w:color="auto" w:fill="auto"/>
            <w:vAlign w:val="bottom"/>
          </w:tcPr>
          <w:p w14:paraId="624AE324" w14:textId="77777777" w:rsidR="00A52778" w:rsidRPr="00460F9E" w:rsidRDefault="00A52778" w:rsidP="00FC3F8E">
            <w:pPr>
              <w:spacing w:line="0" w:lineRule="atLeast"/>
              <w:rPr>
                <w:rFonts w:eastAsia="Times New Roman" w:cs="Times New Roman"/>
                <w:b/>
                <w:sz w:val="10"/>
              </w:rPr>
            </w:pPr>
          </w:p>
        </w:tc>
        <w:tc>
          <w:tcPr>
            <w:tcW w:w="1212" w:type="dxa"/>
            <w:gridSpan w:val="2"/>
            <w:vMerge/>
            <w:tcBorders>
              <w:right w:val="single" w:sz="8" w:space="0" w:color="auto"/>
            </w:tcBorders>
            <w:shd w:val="clear" w:color="auto" w:fill="auto"/>
            <w:vAlign w:val="bottom"/>
          </w:tcPr>
          <w:p w14:paraId="6DF8C547" w14:textId="77777777" w:rsidR="00A52778" w:rsidRPr="00460F9E" w:rsidRDefault="00A52778" w:rsidP="00FC3F8E">
            <w:pPr>
              <w:spacing w:line="0" w:lineRule="atLeast"/>
              <w:ind w:left="80"/>
              <w:rPr>
                <w:rFonts w:eastAsia="Times New Roman" w:cs="Times New Roman"/>
                <w:b/>
              </w:rPr>
            </w:pPr>
          </w:p>
        </w:tc>
        <w:tc>
          <w:tcPr>
            <w:tcW w:w="385" w:type="dxa"/>
            <w:shd w:val="clear" w:color="auto" w:fill="auto"/>
            <w:vAlign w:val="bottom"/>
          </w:tcPr>
          <w:p w14:paraId="7BB51AFE" w14:textId="77777777" w:rsidR="00A52778" w:rsidRPr="00460F9E" w:rsidRDefault="00A52778" w:rsidP="00FC3F8E">
            <w:pPr>
              <w:spacing w:line="0" w:lineRule="atLeast"/>
              <w:rPr>
                <w:rFonts w:eastAsia="Times New Roman" w:cs="Times New Roman"/>
                <w:b/>
                <w:sz w:val="10"/>
              </w:rPr>
            </w:pPr>
          </w:p>
        </w:tc>
        <w:tc>
          <w:tcPr>
            <w:tcW w:w="3234" w:type="dxa"/>
            <w:gridSpan w:val="12"/>
            <w:vMerge/>
            <w:tcBorders>
              <w:right w:val="single" w:sz="8" w:space="0" w:color="auto"/>
            </w:tcBorders>
            <w:shd w:val="clear" w:color="auto" w:fill="auto"/>
            <w:vAlign w:val="bottom"/>
          </w:tcPr>
          <w:p w14:paraId="6DD9792F" w14:textId="77777777" w:rsidR="00A52778" w:rsidRPr="00460F9E" w:rsidRDefault="00A52778" w:rsidP="00FC3F8E">
            <w:pPr>
              <w:spacing w:line="0" w:lineRule="atLeast"/>
              <w:rPr>
                <w:rFonts w:eastAsia="Times New Roman" w:cs="Times New Roman"/>
                <w:b/>
              </w:rPr>
            </w:pPr>
          </w:p>
        </w:tc>
        <w:tc>
          <w:tcPr>
            <w:tcW w:w="980" w:type="dxa"/>
            <w:vMerge/>
            <w:tcBorders>
              <w:left w:val="single" w:sz="8" w:space="0" w:color="auto"/>
              <w:right w:val="single" w:sz="8" w:space="0" w:color="auto"/>
            </w:tcBorders>
            <w:shd w:val="clear" w:color="auto" w:fill="auto"/>
            <w:vAlign w:val="bottom"/>
          </w:tcPr>
          <w:p w14:paraId="4B0AE41A" w14:textId="77777777" w:rsidR="00A52778" w:rsidRPr="00460F9E" w:rsidRDefault="00A52778" w:rsidP="00FC3F8E">
            <w:pPr>
              <w:spacing w:line="0" w:lineRule="atLeast"/>
              <w:rPr>
                <w:rFonts w:eastAsia="Times New Roman" w:cs="Times New Roman"/>
                <w:b/>
                <w:sz w:val="10"/>
              </w:rPr>
            </w:pPr>
          </w:p>
        </w:tc>
        <w:tc>
          <w:tcPr>
            <w:tcW w:w="2596" w:type="dxa"/>
            <w:gridSpan w:val="6"/>
            <w:vMerge/>
            <w:tcBorders>
              <w:right w:val="single" w:sz="8" w:space="0" w:color="auto"/>
            </w:tcBorders>
            <w:shd w:val="clear" w:color="auto" w:fill="auto"/>
            <w:vAlign w:val="bottom"/>
          </w:tcPr>
          <w:p w14:paraId="7BDDA62A" w14:textId="77777777" w:rsidR="00A52778" w:rsidRPr="00460F9E" w:rsidRDefault="00A52778" w:rsidP="00FC3F8E">
            <w:pPr>
              <w:spacing w:line="0" w:lineRule="atLeast"/>
              <w:rPr>
                <w:rFonts w:eastAsia="Times New Roman" w:cs="Times New Roman"/>
                <w:b/>
                <w:sz w:val="10"/>
              </w:rPr>
            </w:pPr>
          </w:p>
        </w:tc>
      </w:tr>
      <w:tr w:rsidR="00A52778" w:rsidRPr="00460F9E" w14:paraId="040A4E25" w14:textId="77777777" w:rsidTr="00FC3F8E">
        <w:trPr>
          <w:gridAfter w:val="1"/>
          <w:wAfter w:w="347" w:type="dxa"/>
          <w:trHeight w:val="115"/>
        </w:trPr>
        <w:tc>
          <w:tcPr>
            <w:tcW w:w="386" w:type="dxa"/>
            <w:tcBorders>
              <w:left w:val="single" w:sz="8" w:space="0" w:color="auto"/>
              <w:right w:val="single" w:sz="8" w:space="0" w:color="auto"/>
            </w:tcBorders>
            <w:shd w:val="clear" w:color="auto" w:fill="auto"/>
            <w:vAlign w:val="bottom"/>
          </w:tcPr>
          <w:p w14:paraId="0A5152CA" w14:textId="77777777" w:rsidR="00A52778" w:rsidRPr="00460F9E" w:rsidRDefault="00A52778" w:rsidP="00FC3F8E">
            <w:pPr>
              <w:spacing w:line="0" w:lineRule="atLeast"/>
              <w:rPr>
                <w:rFonts w:eastAsia="Times New Roman" w:cs="Times New Roman"/>
                <w:b/>
                <w:sz w:val="10"/>
              </w:rPr>
            </w:pPr>
          </w:p>
        </w:tc>
        <w:tc>
          <w:tcPr>
            <w:tcW w:w="1212" w:type="dxa"/>
            <w:gridSpan w:val="2"/>
            <w:vMerge/>
            <w:tcBorders>
              <w:right w:val="single" w:sz="8" w:space="0" w:color="auto"/>
            </w:tcBorders>
            <w:shd w:val="clear" w:color="auto" w:fill="auto"/>
            <w:vAlign w:val="bottom"/>
          </w:tcPr>
          <w:p w14:paraId="6CE1D6DD" w14:textId="77777777" w:rsidR="00A52778" w:rsidRPr="00460F9E" w:rsidRDefault="00A52778" w:rsidP="00FC3F8E">
            <w:pPr>
              <w:spacing w:line="0" w:lineRule="atLeast"/>
              <w:ind w:left="80"/>
              <w:rPr>
                <w:rFonts w:eastAsia="Times New Roman" w:cs="Times New Roman"/>
                <w:b/>
                <w:sz w:val="10"/>
              </w:rPr>
            </w:pPr>
          </w:p>
        </w:tc>
        <w:tc>
          <w:tcPr>
            <w:tcW w:w="385" w:type="dxa"/>
            <w:shd w:val="clear" w:color="auto" w:fill="auto"/>
            <w:vAlign w:val="bottom"/>
          </w:tcPr>
          <w:p w14:paraId="2EFCCC91" w14:textId="77777777" w:rsidR="00A52778" w:rsidRPr="00460F9E" w:rsidRDefault="00A52778" w:rsidP="00FC3F8E">
            <w:pPr>
              <w:spacing w:line="0" w:lineRule="atLeast"/>
              <w:rPr>
                <w:rFonts w:eastAsia="Times New Roman" w:cs="Times New Roman"/>
                <w:b/>
                <w:sz w:val="10"/>
              </w:rPr>
            </w:pPr>
          </w:p>
        </w:tc>
        <w:tc>
          <w:tcPr>
            <w:tcW w:w="3234" w:type="dxa"/>
            <w:gridSpan w:val="12"/>
            <w:vMerge/>
            <w:tcBorders>
              <w:right w:val="single" w:sz="8" w:space="0" w:color="auto"/>
            </w:tcBorders>
            <w:shd w:val="clear" w:color="auto" w:fill="auto"/>
            <w:vAlign w:val="bottom"/>
          </w:tcPr>
          <w:p w14:paraId="3340A4AD" w14:textId="77777777" w:rsidR="00A52778" w:rsidRPr="00460F9E" w:rsidRDefault="00A52778" w:rsidP="00FC3F8E">
            <w:pPr>
              <w:spacing w:line="0" w:lineRule="atLeast"/>
              <w:rPr>
                <w:rFonts w:eastAsia="Times New Roman" w:cs="Times New Roman"/>
                <w:b/>
                <w:sz w:val="10"/>
              </w:rPr>
            </w:pPr>
          </w:p>
        </w:tc>
        <w:tc>
          <w:tcPr>
            <w:tcW w:w="980" w:type="dxa"/>
            <w:tcBorders>
              <w:left w:val="single" w:sz="8" w:space="0" w:color="auto"/>
              <w:right w:val="single" w:sz="8" w:space="0" w:color="auto"/>
            </w:tcBorders>
            <w:shd w:val="clear" w:color="auto" w:fill="auto"/>
            <w:vAlign w:val="bottom"/>
          </w:tcPr>
          <w:p w14:paraId="51FA5E0F" w14:textId="77777777" w:rsidR="00A52778" w:rsidRPr="00460F9E" w:rsidRDefault="00A52778" w:rsidP="00FC3F8E">
            <w:pPr>
              <w:spacing w:line="0" w:lineRule="atLeast"/>
              <w:rPr>
                <w:rFonts w:eastAsia="Times New Roman" w:cs="Times New Roman"/>
                <w:b/>
                <w:sz w:val="10"/>
              </w:rPr>
            </w:pPr>
          </w:p>
        </w:tc>
        <w:tc>
          <w:tcPr>
            <w:tcW w:w="2596" w:type="dxa"/>
            <w:gridSpan w:val="6"/>
            <w:vMerge/>
            <w:tcBorders>
              <w:right w:val="single" w:sz="8" w:space="0" w:color="auto"/>
            </w:tcBorders>
            <w:shd w:val="clear" w:color="auto" w:fill="auto"/>
            <w:vAlign w:val="bottom"/>
          </w:tcPr>
          <w:p w14:paraId="0CF73DCB" w14:textId="77777777" w:rsidR="00A52778" w:rsidRPr="00460F9E" w:rsidRDefault="00A52778" w:rsidP="00FC3F8E">
            <w:pPr>
              <w:spacing w:line="0" w:lineRule="atLeast"/>
              <w:rPr>
                <w:rFonts w:eastAsia="Times New Roman" w:cs="Times New Roman"/>
                <w:b/>
                <w:sz w:val="10"/>
              </w:rPr>
            </w:pPr>
          </w:p>
        </w:tc>
      </w:tr>
      <w:tr w:rsidR="00A52778" w:rsidRPr="00460F9E" w14:paraId="42680E02" w14:textId="77777777" w:rsidTr="00FC3F8E">
        <w:trPr>
          <w:gridAfter w:val="1"/>
          <w:wAfter w:w="347" w:type="dxa"/>
          <w:trHeight w:val="115"/>
        </w:trPr>
        <w:tc>
          <w:tcPr>
            <w:tcW w:w="386" w:type="dxa"/>
            <w:tcBorders>
              <w:left w:val="single" w:sz="8" w:space="0" w:color="auto"/>
              <w:right w:val="single" w:sz="8" w:space="0" w:color="auto"/>
            </w:tcBorders>
            <w:shd w:val="clear" w:color="auto" w:fill="auto"/>
            <w:vAlign w:val="bottom"/>
          </w:tcPr>
          <w:p w14:paraId="1A649A2A" w14:textId="77777777" w:rsidR="00A52778" w:rsidRPr="00460F9E" w:rsidRDefault="00A52778" w:rsidP="00FC3F8E">
            <w:pPr>
              <w:spacing w:line="0" w:lineRule="atLeast"/>
              <w:rPr>
                <w:rFonts w:eastAsia="Times New Roman" w:cs="Times New Roman"/>
                <w:b/>
                <w:sz w:val="10"/>
              </w:rPr>
            </w:pPr>
          </w:p>
        </w:tc>
        <w:tc>
          <w:tcPr>
            <w:tcW w:w="1212" w:type="dxa"/>
            <w:gridSpan w:val="2"/>
            <w:vMerge/>
            <w:tcBorders>
              <w:right w:val="single" w:sz="8" w:space="0" w:color="auto"/>
            </w:tcBorders>
            <w:shd w:val="clear" w:color="auto" w:fill="auto"/>
            <w:vAlign w:val="bottom"/>
          </w:tcPr>
          <w:p w14:paraId="207B03FE" w14:textId="77777777" w:rsidR="00A52778" w:rsidRPr="00460F9E" w:rsidRDefault="00A52778" w:rsidP="00FC3F8E">
            <w:pPr>
              <w:spacing w:line="0" w:lineRule="atLeast"/>
              <w:ind w:left="80"/>
              <w:rPr>
                <w:rFonts w:eastAsia="Times New Roman" w:cs="Times New Roman"/>
                <w:b/>
              </w:rPr>
            </w:pPr>
          </w:p>
        </w:tc>
        <w:tc>
          <w:tcPr>
            <w:tcW w:w="385" w:type="dxa"/>
            <w:shd w:val="clear" w:color="auto" w:fill="auto"/>
            <w:vAlign w:val="bottom"/>
          </w:tcPr>
          <w:p w14:paraId="2A54ECBC" w14:textId="77777777" w:rsidR="00A52778" w:rsidRPr="00460F9E" w:rsidRDefault="00A52778" w:rsidP="00FC3F8E">
            <w:pPr>
              <w:spacing w:line="0" w:lineRule="atLeast"/>
              <w:rPr>
                <w:rFonts w:eastAsia="Times New Roman" w:cs="Times New Roman"/>
                <w:b/>
                <w:sz w:val="10"/>
              </w:rPr>
            </w:pPr>
          </w:p>
        </w:tc>
        <w:tc>
          <w:tcPr>
            <w:tcW w:w="3234" w:type="dxa"/>
            <w:gridSpan w:val="12"/>
            <w:vMerge/>
            <w:tcBorders>
              <w:right w:val="single" w:sz="8" w:space="0" w:color="auto"/>
            </w:tcBorders>
            <w:shd w:val="clear" w:color="auto" w:fill="auto"/>
            <w:vAlign w:val="bottom"/>
          </w:tcPr>
          <w:p w14:paraId="170AAA63" w14:textId="77777777" w:rsidR="00A52778" w:rsidRPr="00460F9E" w:rsidRDefault="00A52778" w:rsidP="00FC3F8E">
            <w:pPr>
              <w:spacing w:line="0" w:lineRule="atLeast"/>
              <w:rPr>
                <w:rFonts w:eastAsia="Times New Roman" w:cs="Times New Roman"/>
                <w:b/>
                <w:sz w:val="10"/>
              </w:rPr>
            </w:pPr>
          </w:p>
        </w:tc>
        <w:tc>
          <w:tcPr>
            <w:tcW w:w="980" w:type="dxa"/>
            <w:tcBorders>
              <w:left w:val="single" w:sz="8" w:space="0" w:color="auto"/>
              <w:right w:val="single" w:sz="8" w:space="0" w:color="auto"/>
            </w:tcBorders>
            <w:shd w:val="clear" w:color="auto" w:fill="auto"/>
            <w:vAlign w:val="bottom"/>
          </w:tcPr>
          <w:p w14:paraId="0F375363" w14:textId="77777777" w:rsidR="00A52778" w:rsidRPr="00460F9E" w:rsidRDefault="00A52778" w:rsidP="00FC3F8E">
            <w:pPr>
              <w:spacing w:line="0" w:lineRule="atLeast"/>
              <w:rPr>
                <w:rFonts w:eastAsia="Times New Roman" w:cs="Times New Roman"/>
                <w:b/>
                <w:sz w:val="10"/>
              </w:rPr>
            </w:pPr>
          </w:p>
        </w:tc>
        <w:tc>
          <w:tcPr>
            <w:tcW w:w="2596" w:type="dxa"/>
            <w:gridSpan w:val="6"/>
            <w:vMerge/>
            <w:tcBorders>
              <w:right w:val="single" w:sz="8" w:space="0" w:color="auto"/>
            </w:tcBorders>
            <w:shd w:val="clear" w:color="auto" w:fill="auto"/>
            <w:vAlign w:val="bottom"/>
          </w:tcPr>
          <w:p w14:paraId="5886B203" w14:textId="77777777" w:rsidR="00A52778" w:rsidRPr="00460F9E" w:rsidRDefault="00A52778" w:rsidP="00FC3F8E">
            <w:pPr>
              <w:spacing w:line="0" w:lineRule="atLeast"/>
              <w:rPr>
                <w:rFonts w:eastAsia="Times New Roman" w:cs="Times New Roman"/>
                <w:b/>
                <w:sz w:val="10"/>
              </w:rPr>
            </w:pPr>
          </w:p>
        </w:tc>
      </w:tr>
      <w:tr w:rsidR="00A52778" w:rsidRPr="00460F9E" w14:paraId="08455A7A" w14:textId="77777777" w:rsidTr="00FC3F8E">
        <w:trPr>
          <w:gridAfter w:val="1"/>
          <w:wAfter w:w="347" w:type="dxa"/>
          <w:trHeight w:val="118"/>
        </w:trPr>
        <w:tc>
          <w:tcPr>
            <w:tcW w:w="386" w:type="dxa"/>
            <w:tcBorders>
              <w:left w:val="single" w:sz="8" w:space="0" w:color="auto"/>
              <w:bottom w:val="single" w:sz="8" w:space="0" w:color="auto"/>
              <w:right w:val="single" w:sz="8" w:space="0" w:color="auto"/>
            </w:tcBorders>
            <w:shd w:val="clear" w:color="auto" w:fill="auto"/>
            <w:vAlign w:val="bottom"/>
          </w:tcPr>
          <w:p w14:paraId="2CEE324D" w14:textId="77777777" w:rsidR="00A52778" w:rsidRPr="00460F9E" w:rsidRDefault="00A52778" w:rsidP="00FC3F8E">
            <w:pPr>
              <w:spacing w:line="0" w:lineRule="atLeast"/>
              <w:rPr>
                <w:rFonts w:eastAsia="Times New Roman" w:cs="Times New Roman"/>
                <w:b/>
                <w:sz w:val="10"/>
              </w:rPr>
            </w:pPr>
          </w:p>
        </w:tc>
        <w:tc>
          <w:tcPr>
            <w:tcW w:w="1212" w:type="dxa"/>
            <w:gridSpan w:val="2"/>
            <w:vMerge/>
            <w:tcBorders>
              <w:bottom w:val="single" w:sz="8" w:space="0" w:color="auto"/>
              <w:right w:val="single" w:sz="8" w:space="0" w:color="auto"/>
            </w:tcBorders>
            <w:shd w:val="clear" w:color="auto" w:fill="auto"/>
            <w:vAlign w:val="bottom"/>
          </w:tcPr>
          <w:p w14:paraId="490C8A11" w14:textId="77777777" w:rsidR="00A52778" w:rsidRPr="00460F9E" w:rsidRDefault="00A52778" w:rsidP="00FC3F8E">
            <w:pPr>
              <w:spacing w:line="0" w:lineRule="atLeast"/>
              <w:rPr>
                <w:rFonts w:eastAsia="Times New Roman" w:cs="Times New Roman"/>
                <w:b/>
                <w:sz w:val="10"/>
              </w:rPr>
            </w:pPr>
          </w:p>
        </w:tc>
        <w:tc>
          <w:tcPr>
            <w:tcW w:w="385" w:type="dxa"/>
            <w:tcBorders>
              <w:bottom w:val="single" w:sz="8" w:space="0" w:color="auto"/>
            </w:tcBorders>
            <w:shd w:val="clear" w:color="auto" w:fill="auto"/>
            <w:vAlign w:val="bottom"/>
          </w:tcPr>
          <w:p w14:paraId="01197CB4" w14:textId="77777777" w:rsidR="00A52778" w:rsidRPr="00460F9E" w:rsidRDefault="00A52778" w:rsidP="00FC3F8E">
            <w:pPr>
              <w:spacing w:line="0" w:lineRule="atLeast"/>
              <w:rPr>
                <w:rFonts w:eastAsia="Times New Roman" w:cs="Times New Roman"/>
                <w:b/>
                <w:sz w:val="10"/>
              </w:rPr>
            </w:pPr>
          </w:p>
        </w:tc>
        <w:tc>
          <w:tcPr>
            <w:tcW w:w="3234" w:type="dxa"/>
            <w:gridSpan w:val="12"/>
            <w:vMerge/>
            <w:tcBorders>
              <w:bottom w:val="single" w:sz="8" w:space="0" w:color="auto"/>
              <w:right w:val="single" w:sz="8" w:space="0" w:color="auto"/>
            </w:tcBorders>
            <w:shd w:val="clear" w:color="auto" w:fill="auto"/>
            <w:vAlign w:val="bottom"/>
          </w:tcPr>
          <w:p w14:paraId="49D1C6A7" w14:textId="77777777" w:rsidR="00A52778" w:rsidRPr="00460F9E" w:rsidRDefault="00A52778" w:rsidP="00FC3F8E">
            <w:pPr>
              <w:spacing w:line="0" w:lineRule="atLeast"/>
              <w:rPr>
                <w:rFonts w:eastAsia="Times New Roman" w:cs="Times New Roman"/>
                <w:b/>
                <w:sz w:val="10"/>
              </w:rPr>
            </w:pPr>
          </w:p>
        </w:tc>
        <w:tc>
          <w:tcPr>
            <w:tcW w:w="980" w:type="dxa"/>
            <w:tcBorders>
              <w:left w:val="single" w:sz="8" w:space="0" w:color="auto"/>
              <w:bottom w:val="single" w:sz="8" w:space="0" w:color="auto"/>
              <w:right w:val="single" w:sz="8" w:space="0" w:color="auto"/>
            </w:tcBorders>
            <w:shd w:val="clear" w:color="auto" w:fill="auto"/>
            <w:vAlign w:val="bottom"/>
          </w:tcPr>
          <w:p w14:paraId="0FBED687" w14:textId="77777777" w:rsidR="00A52778" w:rsidRPr="00460F9E" w:rsidRDefault="00A52778" w:rsidP="00FC3F8E">
            <w:pPr>
              <w:spacing w:line="0" w:lineRule="atLeast"/>
              <w:rPr>
                <w:rFonts w:eastAsia="Times New Roman" w:cs="Times New Roman"/>
                <w:b/>
                <w:sz w:val="10"/>
              </w:rPr>
            </w:pPr>
          </w:p>
        </w:tc>
        <w:tc>
          <w:tcPr>
            <w:tcW w:w="404" w:type="dxa"/>
            <w:tcBorders>
              <w:bottom w:val="single" w:sz="8" w:space="0" w:color="auto"/>
            </w:tcBorders>
            <w:shd w:val="clear" w:color="auto" w:fill="auto"/>
            <w:vAlign w:val="bottom"/>
          </w:tcPr>
          <w:p w14:paraId="2738C087" w14:textId="77777777" w:rsidR="00A52778" w:rsidRPr="00460F9E" w:rsidRDefault="00A52778" w:rsidP="00FC3F8E">
            <w:pPr>
              <w:spacing w:line="0" w:lineRule="atLeast"/>
              <w:rPr>
                <w:rFonts w:eastAsia="Times New Roman" w:cs="Times New Roman"/>
                <w:b/>
                <w:sz w:val="10"/>
              </w:rPr>
            </w:pPr>
          </w:p>
        </w:tc>
        <w:tc>
          <w:tcPr>
            <w:tcW w:w="557" w:type="dxa"/>
            <w:tcBorders>
              <w:bottom w:val="single" w:sz="8" w:space="0" w:color="auto"/>
            </w:tcBorders>
            <w:shd w:val="clear" w:color="auto" w:fill="auto"/>
            <w:vAlign w:val="bottom"/>
          </w:tcPr>
          <w:p w14:paraId="473EB975" w14:textId="77777777" w:rsidR="00A52778" w:rsidRPr="00460F9E" w:rsidRDefault="00A52778" w:rsidP="00FC3F8E">
            <w:pPr>
              <w:spacing w:line="0" w:lineRule="atLeast"/>
              <w:rPr>
                <w:rFonts w:eastAsia="Times New Roman" w:cs="Times New Roman"/>
                <w:b/>
                <w:sz w:val="10"/>
              </w:rPr>
            </w:pPr>
          </w:p>
        </w:tc>
        <w:tc>
          <w:tcPr>
            <w:tcW w:w="346" w:type="dxa"/>
            <w:tcBorders>
              <w:bottom w:val="single" w:sz="8" w:space="0" w:color="auto"/>
            </w:tcBorders>
            <w:shd w:val="clear" w:color="auto" w:fill="auto"/>
            <w:vAlign w:val="bottom"/>
          </w:tcPr>
          <w:p w14:paraId="4C5DA31B" w14:textId="77777777" w:rsidR="00A52778" w:rsidRPr="00460F9E" w:rsidRDefault="00A52778" w:rsidP="00FC3F8E">
            <w:pPr>
              <w:spacing w:line="0" w:lineRule="atLeast"/>
              <w:rPr>
                <w:rFonts w:eastAsia="Times New Roman" w:cs="Times New Roman"/>
                <w:b/>
                <w:sz w:val="10"/>
              </w:rPr>
            </w:pPr>
          </w:p>
        </w:tc>
        <w:tc>
          <w:tcPr>
            <w:tcW w:w="423" w:type="dxa"/>
            <w:tcBorders>
              <w:bottom w:val="single" w:sz="8" w:space="0" w:color="auto"/>
            </w:tcBorders>
            <w:shd w:val="clear" w:color="auto" w:fill="auto"/>
            <w:vAlign w:val="bottom"/>
          </w:tcPr>
          <w:p w14:paraId="3F472856" w14:textId="77777777" w:rsidR="00A52778" w:rsidRPr="00460F9E" w:rsidRDefault="00A52778" w:rsidP="00FC3F8E">
            <w:pPr>
              <w:spacing w:line="0" w:lineRule="atLeast"/>
              <w:rPr>
                <w:rFonts w:eastAsia="Times New Roman" w:cs="Times New Roman"/>
                <w:b/>
                <w:sz w:val="10"/>
              </w:rPr>
            </w:pPr>
          </w:p>
        </w:tc>
        <w:tc>
          <w:tcPr>
            <w:tcW w:w="481" w:type="dxa"/>
            <w:tcBorders>
              <w:bottom w:val="single" w:sz="8" w:space="0" w:color="auto"/>
            </w:tcBorders>
            <w:shd w:val="clear" w:color="auto" w:fill="auto"/>
            <w:vAlign w:val="bottom"/>
          </w:tcPr>
          <w:p w14:paraId="27E349CE" w14:textId="77777777" w:rsidR="00A52778" w:rsidRPr="00460F9E" w:rsidRDefault="00A52778" w:rsidP="00FC3F8E">
            <w:pPr>
              <w:spacing w:line="0" w:lineRule="atLeast"/>
              <w:rPr>
                <w:rFonts w:eastAsia="Times New Roman" w:cs="Times New Roman"/>
                <w:b/>
                <w:sz w:val="10"/>
              </w:rPr>
            </w:pPr>
          </w:p>
        </w:tc>
        <w:tc>
          <w:tcPr>
            <w:tcW w:w="385" w:type="dxa"/>
            <w:tcBorders>
              <w:bottom w:val="single" w:sz="8" w:space="0" w:color="auto"/>
              <w:right w:val="single" w:sz="8" w:space="0" w:color="auto"/>
            </w:tcBorders>
            <w:shd w:val="clear" w:color="auto" w:fill="auto"/>
            <w:vAlign w:val="bottom"/>
          </w:tcPr>
          <w:p w14:paraId="55932027" w14:textId="77777777" w:rsidR="00A52778" w:rsidRPr="00460F9E" w:rsidRDefault="00A52778" w:rsidP="00FC3F8E">
            <w:pPr>
              <w:spacing w:line="0" w:lineRule="atLeast"/>
              <w:rPr>
                <w:rFonts w:eastAsia="Times New Roman" w:cs="Times New Roman"/>
                <w:b/>
                <w:sz w:val="10"/>
              </w:rPr>
            </w:pPr>
          </w:p>
        </w:tc>
      </w:tr>
      <w:tr w:rsidR="00A52778" w:rsidRPr="00460F9E" w14:paraId="52413296" w14:textId="77777777" w:rsidTr="00FC3F8E">
        <w:trPr>
          <w:gridAfter w:val="1"/>
          <w:wAfter w:w="347" w:type="dxa"/>
          <w:trHeight w:val="217"/>
        </w:trPr>
        <w:tc>
          <w:tcPr>
            <w:tcW w:w="386" w:type="dxa"/>
            <w:tcBorders>
              <w:left w:val="single" w:sz="8" w:space="0" w:color="auto"/>
              <w:right w:val="single" w:sz="8" w:space="0" w:color="auto"/>
            </w:tcBorders>
            <w:shd w:val="clear" w:color="auto" w:fill="auto"/>
            <w:vAlign w:val="bottom"/>
          </w:tcPr>
          <w:p w14:paraId="67ACB9C8" w14:textId="77777777" w:rsidR="00A52778" w:rsidRPr="00460F9E" w:rsidRDefault="00A52778" w:rsidP="00FC3F8E">
            <w:pPr>
              <w:spacing w:line="0" w:lineRule="atLeast"/>
              <w:rPr>
                <w:rFonts w:eastAsia="Times New Roman" w:cs="Times New Roman"/>
                <w:b/>
                <w:sz w:val="18"/>
              </w:rPr>
            </w:pPr>
          </w:p>
        </w:tc>
        <w:tc>
          <w:tcPr>
            <w:tcW w:w="424" w:type="dxa"/>
            <w:shd w:val="clear" w:color="auto" w:fill="auto"/>
            <w:vAlign w:val="bottom"/>
          </w:tcPr>
          <w:p w14:paraId="68602816" w14:textId="77777777" w:rsidR="00A52778" w:rsidRPr="00460F9E" w:rsidRDefault="00A52778" w:rsidP="00FC3F8E">
            <w:pPr>
              <w:spacing w:line="0" w:lineRule="atLeast"/>
              <w:rPr>
                <w:rFonts w:eastAsia="Times New Roman" w:cs="Times New Roman"/>
                <w:b/>
                <w:sz w:val="18"/>
              </w:rPr>
            </w:pPr>
          </w:p>
        </w:tc>
        <w:tc>
          <w:tcPr>
            <w:tcW w:w="788" w:type="dxa"/>
            <w:tcBorders>
              <w:right w:val="single" w:sz="8" w:space="0" w:color="auto"/>
            </w:tcBorders>
            <w:shd w:val="clear" w:color="auto" w:fill="auto"/>
            <w:vAlign w:val="bottom"/>
          </w:tcPr>
          <w:p w14:paraId="4BEECC8D" w14:textId="77777777" w:rsidR="00A52778" w:rsidRPr="00460F9E" w:rsidRDefault="00A52778" w:rsidP="00FC3F8E">
            <w:pPr>
              <w:spacing w:line="0" w:lineRule="atLeast"/>
              <w:rPr>
                <w:rFonts w:eastAsia="Times New Roman" w:cs="Times New Roman"/>
                <w:b/>
                <w:sz w:val="18"/>
              </w:rPr>
            </w:pPr>
          </w:p>
        </w:tc>
        <w:tc>
          <w:tcPr>
            <w:tcW w:w="385" w:type="dxa"/>
            <w:shd w:val="clear" w:color="auto" w:fill="auto"/>
            <w:vAlign w:val="bottom"/>
          </w:tcPr>
          <w:p w14:paraId="232A2107" w14:textId="77777777" w:rsidR="00A52778" w:rsidRPr="00460F9E" w:rsidRDefault="00A52778" w:rsidP="00FC3F8E">
            <w:pPr>
              <w:spacing w:line="0" w:lineRule="atLeast"/>
              <w:rPr>
                <w:rFonts w:eastAsia="Times New Roman" w:cs="Times New Roman"/>
                <w:b/>
                <w:sz w:val="18"/>
              </w:rPr>
            </w:pPr>
          </w:p>
        </w:tc>
        <w:tc>
          <w:tcPr>
            <w:tcW w:w="3234" w:type="dxa"/>
            <w:gridSpan w:val="12"/>
            <w:tcBorders>
              <w:right w:val="single" w:sz="4" w:space="0" w:color="auto"/>
            </w:tcBorders>
            <w:shd w:val="clear" w:color="auto" w:fill="auto"/>
            <w:vAlign w:val="bottom"/>
          </w:tcPr>
          <w:p w14:paraId="2241E149" w14:textId="77777777" w:rsidR="00A52778" w:rsidRPr="00460F9E" w:rsidRDefault="00A52778" w:rsidP="00FC3F8E">
            <w:pPr>
              <w:rPr>
                <w:rFonts w:eastAsia="Times New Roman" w:cs="Times New Roman"/>
                <w:b/>
                <w:sz w:val="18"/>
              </w:rPr>
            </w:pPr>
            <w:r w:rsidRPr="00460F9E">
              <w:rPr>
                <w:rFonts w:eastAsia="Times New Roman" w:cs="Times New Roman"/>
              </w:rPr>
              <w:t>Bu madde şunları ihtiva etmektedir:</w:t>
            </w:r>
          </w:p>
        </w:tc>
        <w:tc>
          <w:tcPr>
            <w:tcW w:w="980" w:type="dxa"/>
            <w:tcBorders>
              <w:left w:val="single" w:sz="4" w:space="0" w:color="auto"/>
              <w:right w:val="single" w:sz="8" w:space="0" w:color="auto"/>
            </w:tcBorders>
            <w:shd w:val="clear" w:color="auto" w:fill="auto"/>
            <w:vAlign w:val="bottom"/>
          </w:tcPr>
          <w:p w14:paraId="546C7BE5" w14:textId="77777777" w:rsidR="00A52778" w:rsidRPr="00460F9E" w:rsidRDefault="00A52778" w:rsidP="00FC3F8E">
            <w:pPr>
              <w:spacing w:line="0" w:lineRule="atLeast"/>
              <w:rPr>
                <w:rFonts w:eastAsia="Times New Roman" w:cs="Times New Roman"/>
                <w:b/>
                <w:sz w:val="18"/>
              </w:rPr>
            </w:pPr>
          </w:p>
        </w:tc>
        <w:tc>
          <w:tcPr>
            <w:tcW w:w="404" w:type="dxa"/>
            <w:shd w:val="clear" w:color="auto" w:fill="auto"/>
            <w:vAlign w:val="bottom"/>
          </w:tcPr>
          <w:p w14:paraId="60D9D9E1" w14:textId="77777777" w:rsidR="00A52778" w:rsidRPr="00460F9E" w:rsidRDefault="00A52778" w:rsidP="00FC3F8E">
            <w:pPr>
              <w:spacing w:line="0" w:lineRule="atLeast"/>
              <w:rPr>
                <w:rFonts w:eastAsia="Times New Roman" w:cs="Times New Roman"/>
                <w:b/>
                <w:sz w:val="18"/>
              </w:rPr>
            </w:pPr>
          </w:p>
        </w:tc>
        <w:tc>
          <w:tcPr>
            <w:tcW w:w="557" w:type="dxa"/>
            <w:shd w:val="clear" w:color="auto" w:fill="auto"/>
            <w:vAlign w:val="bottom"/>
          </w:tcPr>
          <w:p w14:paraId="208876D7" w14:textId="77777777" w:rsidR="00A52778" w:rsidRPr="00460F9E" w:rsidRDefault="00A52778" w:rsidP="00FC3F8E">
            <w:pPr>
              <w:spacing w:line="0" w:lineRule="atLeast"/>
              <w:rPr>
                <w:rFonts w:eastAsia="Times New Roman" w:cs="Times New Roman"/>
                <w:b/>
                <w:sz w:val="18"/>
              </w:rPr>
            </w:pPr>
          </w:p>
        </w:tc>
        <w:tc>
          <w:tcPr>
            <w:tcW w:w="346" w:type="dxa"/>
            <w:shd w:val="clear" w:color="auto" w:fill="auto"/>
            <w:vAlign w:val="bottom"/>
          </w:tcPr>
          <w:p w14:paraId="2E43D160" w14:textId="77777777" w:rsidR="00A52778" w:rsidRPr="00460F9E" w:rsidRDefault="00A52778" w:rsidP="00FC3F8E">
            <w:pPr>
              <w:spacing w:line="0" w:lineRule="atLeast"/>
              <w:rPr>
                <w:rFonts w:eastAsia="Times New Roman" w:cs="Times New Roman"/>
                <w:b/>
                <w:sz w:val="18"/>
              </w:rPr>
            </w:pPr>
          </w:p>
        </w:tc>
        <w:tc>
          <w:tcPr>
            <w:tcW w:w="423" w:type="dxa"/>
            <w:shd w:val="clear" w:color="auto" w:fill="auto"/>
            <w:vAlign w:val="bottom"/>
          </w:tcPr>
          <w:p w14:paraId="7AC41D59" w14:textId="77777777" w:rsidR="00A52778" w:rsidRPr="00460F9E" w:rsidRDefault="00A52778" w:rsidP="00FC3F8E">
            <w:pPr>
              <w:spacing w:line="0" w:lineRule="atLeast"/>
              <w:rPr>
                <w:rFonts w:eastAsia="Times New Roman" w:cs="Times New Roman"/>
                <w:b/>
                <w:sz w:val="18"/>
              </w:rPr>
            </w:pPr>
          </w:p>
        </w:tc>
        <w:tc>
          <w:tcPr>
            <w:tcW w:w="481" w:type="dxa"/>
            <w:shd w:val="clear" w:color="auto" w:fill="auto"/>
            <w:vAlign w:val="bottom"/>
          </w:tcPr>
          <w:p w14:paraId="50A6D87E" w14:textId="77777777" w:rsidR="00A52778" w:rsidRPr="00460F9E" w:rsidRDefault="00A52778" w:rsidP="00FC3F8E">
            <w:pPr>
              <w:spacing w:line="0" w:lineRule="atLeast"/>
              <w:rPr>
                <w:rFonts w:eastAsia="Times New Roman" w:cs="Times New Roman"/>
                <w:b/>
                <w:sz w:val="18"/>
              </w:rPr>
            </w:pPr>
          </w:p>
        </w:tc>
        <w:tc>
          <w:tcPr>
            <w:tcW w:w="385" w:type="dxa"/>
            <w:tcBorders>
              <w:right w:val="single" w:sz="8" w:space="0" w:color="auto"/>
            </w:tcBorders>
            <w:shd w:val="clear" w:color="auto" w:fill="auto"/>
            <w:vAlign w:val="bottom"/>
          </w:tcPr>
          <w:p w14:paraId="2BCC28AD" w14:textId="77777777" w:rsidR="00A52778" w:rsidRPr="00460F9E" w:rsidRDefault="00A52778" w:rsidP="00FC3F8E">
            <w:pPr>
              <w:spacing w:line="0" w:lineRule="atLeast"/>
              <w:rPr>
                <w:rFonts w:eastAsia="Times New Roman" w:cs="Times New Roman"/>
                <w:b/>
                <w:sz w:val="18"/>
              </w:rPr>
            </w:pPr>
          </w:p>
        </w:tc>
      </w:tr>
      <w:tr w:rsidR="00A52778" w:rsidRPr="00460F9E" w14:paraId="6FAEABE4" w14:textId="77777777" w:rsidTr="00FC3F8E">
        <w:trPr>
          <w:gridAfter w:val="1"/>
          <w:wAfter w:w="347" w:type="dxa"/>
          <w:trHeight w:val="302"/>
        </w:trPr>
        <w:tc>
          <w:tcPr>
            <w:tcW w:w="386" w:type="dxa"/>
            <w:tcBorders>
              <w:left w:val="single" w:sz="8" w:space="0" w:color="auto"/>
              <w:right w:val="single" w:sz="8" w:space="0" w:color="auto"/>
            </w:tcBorders>
            <w:shd w:val="clear" w:color="auto" w:fill="auto"/>
            <w:vAlign w:val="bottom"/>
          </w:tcPr>
          <w:p w14:paraId="2A3E981C" w14:textId="77777777" w:rsidR="00A52778" w:rsidRPr="00460F9E" w:rsidRDefault="00A52778" w:rsidP="00FC3F8E">
            <w:pPr>
              <w:spacing w:line="0" w:lineRule="atLeast"/>
              <w:rPr>
                <w:rFonts w:eastAsia="Times New Roman" w:cs="Times New Roman"/>
                <w:b/>
              </w:rPr>
            </w:pPr>
          </w:p>
        </w:tc>
        <w:tc>
          <w:tcPr>
            <w:tcW w:w="424" w:type="dxa"/>
            <w:shd w:val="clear" w:color="auto" w:fill="auto"/>
            <w:vAlign w:val="bottom"/>
          </w:tcPr>
          <w:p w14:paraId="3E5E2810" w14:textId="77777777" w:rsidR="00A52778" w:rsidRPr="00460F9E" w:rsidRDefault="00A52778" w:rsidP="00FC3F8E">
            <w:pPr>
              <w:spacing w:line="0" w:lineRule="atLeast"/>
              <w:rPr>
                <w:rFonts w:eastAsia="Times New Roman" w:cs="Times New Roman"/>
                <w:b/>
              </w:rPr>
            </w:pPr>
          </w:p>
        </w:tc>
        <w:tc>
          <w:tcPr>
            <w:tcW w:w="788" w:type="dxa"/>
            <w:tcBorders>
              <w:right w:val="single" w:sz="8" w:space="0" w:color="auto"/>
            </w:tcBorders>
            <w:shd w:val="clear" w:color="auto" w:fill="auto"/>
            <w:vAlign w:val="bottom"/>
          </w:tcPr>
          <w:p w14:paraId="3D33C900" w14:textId="77777777" w:rsidR="00A52778" w:rsidRPr="00460F9E" w:rsidRDefault="00A52778" w:rsidP="00FC3F8E">
            <w:pPr>
              <w:spacing w:line="0" w:lineRule="atLeast"/>
              <w:rPr>
                <w:rFonts w:eastAsia="Times New Roman" w:cs="Times New Roman"/>
                <w:b/>
              </w:rPr>
            </w:pPr>
          </w:p>
        </w:tc>
        <w:tc>
          <w:tcPr>
            <w:tcW w:w="385" w:type="dxa"/>
            <w:shd w:val="clear" w:color="auto" w:fill="auto"/>
            <w:vAlign w:val="bottom"/>
          </w:tcPr>
          <w:p w14:paraId="06B2E104" w14:textId="77777777" w:rsidR="00A52778" w:rsidRPr="00460F9E" w:rsidRDefault="00A52778" w:rsidP="00FC3F8E">
            <w:pPr>
              <w:spacing w:line="0" w:lineRule="atLeast"/>
              <w:rPr>
                <w:rFonts w:eastAsia="Times New Roman" w:cs="Times New Roman"/>
                <w:b/>
              </w:rPr>
            </w:pPr>
          </w:p>
        </w:tc>
        <w:tc>
          <w:tcPr>
            <w:tcW w:w="20" w:type="dxa"/>
            <w:shd w:val="clear" w:color="auto" w:fill="auto"/>
            <w:vAlign w:val="bottom"/>
          </w:tcPr>
          <w:p w14:paraId="176F0C08" w14:textId="77777777" w:rsidR="00A52778" w:rsidRPr="00460F9E" w:rsidRDefault="00A52778" w:rsidP="00FC3F8E">
            <w:pPr>
              <w:spacing w:line="0" w:lineRule="atLeast"/>
              <w:rPr>
                <w:rFonts w:eastAsia="Times New Roman" w:cs="Times New Roman"/>
                <w:b/>
              </w:rPr>
            </w:pPr>
          </w:p>
        </w:tc>
        <w:tc>
          <w:tcPr>
            <w:tcW w:w="3214" w:type="dxa"/>
            <w:gridSpan w:val="11"/>
            <w:vMerge w:val="restart"/>
            <w:tcBorders>
              <w:right w:val="single" w:sz="4" w:space="0" w:color="auto"/>
            </w:tcBorders>
            <w:shd w:val="clear" w:color="auto" w:fill="auto"/>
            <w:vAlign w:val="bottom"/>
          </w:tcPr>
          <w:p w14:paraId="1A2D3D84" w14:textId="77777777" w:rsidR="00A52778" w:rsidRPr="00460F9E" w:rsidRDefault="00A52778" w:rsidP="00FC3F8E">
            <w:pPr>
              <w:rPr>
                <w:rFonts w:eastAsia="Times New Roman" w:cs="Times New Roman"/>
                <w:b/>
              </w:rPr>
            </w:pPr>
            <w:r w:rsidRPr="00460F9E">
              <w:rPr>
                <w:rFonts w:eastAsia="Times New Roman" w:cs="Times New Roman"/>
              </w:rPr>
              <w:t xml:space="preserve">- contaların EN 1591-4' e göre kalifiye </w:t>
            </w:r>
          </w:p>
          <w:p w14:paraId="549DA3AE" w14:textId="77777777" w:rsidR="00A52778" w:rsidRPr="00460F9E" w:rsidRDefault="00A52778" w:rsidP="00FC3F8E">
            <w:pPr>
              <w:rPr>
                <w:rFonts w:eastAsia="Times New Roman" w:cs="Times New Roman"/>
                <w:b/>
              </w:rPr>
            </w:pPr>
            <w:r w:rsidRPr="00460F9E">
              <w:rPr>
                <w:rFonts w:eastAsia="Times New Roman" w:cs="Times New Roman"/>
              </w:rPr>
              <w:t xml:space="preserve">  personel tarafından ve tasarlanmış conta  </w:t>
            </w:r>
          </w:p>
          <w:p w14:paraId="3E9D22ED" w14:textId="77777777" w:rsidR="00A52778" w:rsidRPr="00460F9E" w:rsidRDefault="00A52778" w:rsidP="00FC3F8E">
            <w:pPr>
              <w:rPr>
                <w:rFonts w:eastAsia="Times New Roman" w:cs="Times New Roman"/>
                <w:b/>
              </w:rPr>
            </w:pPr>
            <w:r w:rsidRPr="00460F9E">
              <w:rPr>
                <w:rFonts w:eastAsia="Times New Roman" w:cs="Times New Roman"/>
              </w:rPr>
              <w:t xml:space="preserve">  gerilimi (örneğin EN 1591-1' e göre </w:t>
            </w:r>
          </w:p>
          <w:p w14:paraId="2D51BA56" w14:textId="77777777" w:rsidR="00A52778" w:rsidRPr="00460F9E" w:rsidRDefault="00A52778" w:rsidP="00FC3F8E">
            <w:pPr>
              <w:rPr>
                <w:rFonts w:eastAsia="Times New Roman" w:cs="Times New Roman"/>
                <w:b/>
              </w:rPr>
            </w:pPr>
            <w:r w:rsidRPr="00460F9E">
              <w:rPr>
                <w:rFonts w:eastAsia="Times New Roman" w:cs="Times New Roman"/>
              </w:rPr>
              <w:t xml:space="preserve">  hesaplanan) uygulanarak sıkılması;</w:t>
            </w:r>
          </w:p>
        </w:tc>
        <w:tc>
          <w:tcPr>
            <w:tcW w:w="980" w:type="dxa"/>
            <w:tcBorders>
              <w:left w:val="single" w:sz="4" w:space="0" w:color="auto"/>
              <w:right w:val="single" w:sz="8" w:space="0" w:color="auto"/>
            </w:tcBorders>
            <w:shd w:val="clear" w:color="auto" w:fill="auto"/>
            <w:vAlign w:val="bottom"/>
          </w:tcPr>
          <w:p w14:paraId="33663FB9" w14:textId="77777777" w:rsidR="00A52778" w:rsidRPr="00460F9E" w:rsidRDefault="00A52778" w:rsidP="00FC3F8E">
            <w:pPr>
              <w:spacing w:line="0" w:lineRule="atLeast"/>
              <w:rPr>
                <w:rFonts w:eastAsia="Times New Roman" w:cs="Times New Roman"/>
                <w:b/>
              </w:rPr>
            </w:pPr>
          </w:p>
        </w:tc>
        <w:tc>
          <w:tcPr>
            <w:tcW w:w="404" w:type="dxa"/>
            <w:shd w:val="clear" w:color="auto" w:fill="auto"/>
            <w:vAlign w:val="bottom"/>
          </w:tcPr>
          <w:p w14:paraId="74A764CF" w14:textId="77777777" w:rsidR="00A52778" w:rsidRPr="00460F9E" w:rsidRDefault="00A52778" w:rsidP="00FC3F8E">
            <w:pPr>
              <w:spacing w:line="0" w:lineRule="atLeast"/>
              <w:rPr>
                <w:rFonts w:eastAsia="Times New Roman" w:cs="Times New Roman"/>
                <w:b/>
              </w:rPr>
            </w:pPr>
          </w:p>
        </w:tc>
        <w:tc>
          <w:tcPr>
            <w:tcW w:w="557" w:type="dxa"/>
            <w:shd w:val="clear" w:color="auto" w:fill="auto"/>
            <w:vAlign w:val="bottom"/>
          </w:tcPr>
          <w:p w14:paraId="54D359C6" w14:textId="77777777" w:rsidR="00A52778" w:rsidRPr="00460F9E" w:rsidRDefault="00A52778" w:rsidP="00FC3F8E">
            <w:pPr>
              <w:spacing w:line="0" w:lineRule="atLeast"/>
              <w:rPr>
                <w:rFonts w:eastAsia="Times New Roman" w:cs="Times New Roman"/>
                <w:b/>
              </w:rPr>
            </w:pPr>
          </w:p>
        </w:tc>
        <w:tc>
          <w:tcPr>
            <w:tcW w:w="346" w:type="dxa"/>
            <w:shd w:val="clear" w:color="auto" w:fill="auto"/>
            <w:vAlign w:val="bottom"/>
          </w:tcPr>
          <w:p w14:paraId="4B27F571" w14:textId="77777777" w:rsidR="00A52778" w:rsidRPr="00460F9E" w:rsidRDefault="00A52778" w:rsidP="00FC3F8E">
            <w:pPr>
              <w:spacing w:line="0" w:lineRule="atLeast"/>
              <w:rPr>
                <w:rFonts w:eastAsia="Times New Roman" w:cs="Times New Roman"/>
                <w:b/>
              </w:rPr>
            </w:pPr>
          </w:p>
        </w:tc>
        <w:tc>
          <w:tcPr>
            <w:tcW w:w="423" w:type="dxa"/>
            <w:shd w:val="clear" w:color="auto" w:fill="auto"/>
            <w:vAlign w:val="bottom"/>
          </w:tcPr>
          <w:p w14:paraId="56FFDB32" w14:textId="77777777" w:rsidR="00A52778" w:rsidRPr="00460F9E" w:rsidRDefault="00A52778" w:rsidP="00FC3F8E">
            <w:pPr>
              <w:spacing w:line="0" w:lineRule="atLeast"/>
              <w:rPr>
                <w:rFonts w:eastAsia="Times New Roman" w:cs="Times New Roman"/>
                <w:b/>
              </w:rPr>
            </w:pPr>
          </w:p>
        </w:tc>
        <w:tc>
          <w:tcPr>
            <w:tcW w:w="481" w:type="dxa"/>
            <w:shd w:val="clear" w:color="auto" w:fill="auto"/>
            <w:vAlign w:val="bottom"/>
          </w:tcPr>
          <w:p w14:paraId="308903A1" w14:textId="77777777" w:rsidR="00A52778" w:rsidRPr="00460F9E" w:rsidRDefault="00A52778" w:rsidP="00FC3F8E">
            <w:pPr>
              <w:spacing w:line="0" w:lineRule="atLeast"/>
              <w:rPr>
                <w:rFonts w:eastAsia="Times New Roman" w:cs="Times New Roman"/>
                <w:b/>
              </w:rPr>
            </w:pPr>
          </w:p>
        </w:tc>
        <w:tc>
          <w:tcPr>
            <w:tcW w:w="385" w:type="dxa"/>
            <w:tcBorders>
              <w:right w:val="single" w:sz="8" w:space="0" w:color="auto"/>
            </w:tcBorders>
            <w:shd w:val="clear" w:color="auto" w:fill="auto"/>
            <w:vAlign w:val="bottom"/>
          </w:tcPr>
          <w:p w14:paraId="135CF1A3" w14:textId="77777777" w:rsidR="00A52778" w:rsidRPr="00460F9E" w:rsidRDefault="00A52778" w:rsidP="00FC3F8E">
            <w:pPr>
              <w:spacing w:line="0" w:lineRule="atLeast"/>
              <w:rPr>
                <w:rFonts w:eastAsia="Times New Roman" w:cs="Times New Roman"/>
                <w:b/>
              </w:rPr>
            </w:pPr>
          </w:p>
        </w:tc>
      </w:tr>
      <w:tr w:rsidR="00A52778" w:rsidRPr="00460F9E" w14:paraId="097C1F60" w14:textId="77777777" w:rsidTr="00FC3F8E">
        <w:trPr>
          <w:gridAfter w:val="1"/>
          <w:wAfter w:w="347" w:type="dxa"/>
          <w:trHeight w:val="230"/>
        </w:trPr>
        <w:tc>
          <w:tcPr>
            <w:tcW w:w="386" w:type="dxa"/>
            <w:tcBorders>
              <w:left w:val="single" w:sz="8" w:space="0" w:color="auto"/>
              <w:right w:val="single" w:sz="8" w:space="0" w:color="auto"/>
            </w:tcBorders>
            <w:shd w:val="clear" w:color="auto" w:fill="auto"/>
            <w:vAlign w:val="bottom"/>
          </w:tcPr>
          <w:p w14:paraId="1B053414" w14:textId="77777777" w:rsidR="00A52778" w:rsidRPr="00460F9E" w:rsidRDefault="00A52778" w:rsidP="00FC3F8E">
            <w:pPr>
              <w:spacing w:line="0" w:lineRule="atLeast"/>
              <w:rPr>
                <w:rFonts w:eastAsia="Times New Roman" w:cs="Times New Roman"/>
                <w:b/>
              </w:rPr>
            </w:pPr>
          </w:p>
        </w:tc>
        <w:tc>
          <w:tcPr>
            <w:tcW w:w="424" w:type="dxa"/>
            <w:shd w:val="clear" w:color="auto" w:fill="auto"/>
            <w:vAlign w:val="bottom"/>
          </w:tcPr>
          <w:p w14:paraId="31ABAC9F" w14:textId="77777777" w:rsidR="00A52778" w:rsidRPr="00460F9E" w:rsidRDefault="00A52778" w:rsidP="00FC3F8E">
            <w:pPr>
              <w:spacing w:line="0" w:lineRule="atLeast"/>
              <w:rPr>
                <w:rFonts w:eastAsia="Times New Roman" w:cs="Times New Roman"/>
                <w:b/>
              </w:rPr>
            </w:pPr>
          </w:p>
        </w:tc>
        <w:tc>
          <w:tcPr>
            <w:tcW w:w="788" w:type="dxa"/>
            <w:tcBorders>
              <w:right w:val="single" w:sz="8" w:space="0" w:color="auto"/>
            </w:tcBorders>
            <w:shd w:val="clear" w:color="auto" w:fill="auto"/>
            <w:vAlign w:val="bottom"/>
          </w:tcPr>
          <w:p w14:paraId="220A22EF" w14:textId="77777777" w:rsidR="00A52778" w:rsidRPr="00460F9E" w:rsidRDefault="00A52778" w:rsidP="00FC3F8E">
            <w:pPr>
              <w:spacing w:line="0" w:lineRule="atLeast"/>
              <w:rPr>
                <w:rFonts w:eastAsia="Times New Roman" w:cs="Times New Roman"/>
                <w:b/>
              </w:rPr>
            </w:pPr>
          </w:p>
        </w:tc>
        <w:tc>
          <w:tcPr>
            <w:tcW w:w="385" w:type="dxa"/>
            <w:shd w:val="clear" w:color="auto" w:fill="auto"/>
            <w:vAlign w:val="bottom"/>
          </w:tcPr>
          <w:p w14:paraId="79EAF620" w14:textId="77777777" w:rsidR="00A52778" w:rsidRPr="00460F9E" w:rsidRDefault="00A52778" w:rsidP="00FC3F8E">
            <w:pPr>
              <w:spacing w:line="0" w:lineRule="atLeast"/>
              <w:rPr>
                <w:rFonts w:eastAsia="Times New Roman" w:cs="Times New Roman"/>
                <w:b/>
              </w:rPr>
            </w:pPr>
          </w:p>
        </w:tc>
        <w:tc>
          <w:tcPr>
            <w:tcW w:w="20" w:type="dxa"/>
            <w:shd w:val="clear" w:color="auto" w:fill="auto"/>
            <w:vAlign w:val="bottom"/>
          </w:tcPr>
          <w:p w14:paraId="45F11885" w14:textId="77777777" w:rsidR="00A52778" w:rsidRPr="00460F9E" w:rsidRDefault="00A52778" w:rsidP="00FC3F8E">
            <w:pPr>
              <w:spacing w:line="0" w:lineRule="atLeast"/>
              <w:rPr>
                <w:rFonts w:eastAsia="Times New Roman" w:cs="Times New Roman"/>
                <w:b/>
              </w:rPr>
            </w:pPr>
          </w:p>
        </w:tc>
        <w:tc>
          <w:tcPr>
            <w:tcW w:w="3214" w:type="dxa"/>
            <w:gridSpan w:val="11"/>
            <w:vMerge/>
            <w:tcBorders>
              <w:right w:val="single" w:sz="4" w:space="0" w:color="auto"/>
            </w:tcBorders>
            <w:shd w:val="clear" w:color="auto" w:fill="auto"/>
            <w:vAlign w:val="bottom"/>
          </w:tcPr>
          <w:p w14:paraId="4D467990" w14:textId="77777777" w:rsidR="00A52778" w:rsidRPr="00460F9E" w:rsidRDefault="00A52778" w:rsidP="00FC3F8E">
            <w:pPr>
              <w:spacing w:line="0" w:lineRule="atLeast"/>
              <w:rPr>
                <w:rFonts w:eastAsia="Times New Roman" w:cs="Times New Roman"/>
                <w:b/>
              </w:rPr>
            </w:pPr>
          </w:p>
        </w:tc>
        <w:tc>
          <w:tcPr>
            <w:tcW w:w="980" w:type="dxa"/>
            <w:tcBorders>
              <w:left w:val="single" w:sz="4" w:space="0" w:color="auto"/>
              <w:right w:val="single" w:sz="8" w:space="0" w:color="auto"/>
            </w:tcBorders>
            <w:shd w:val="clear" w:color="auto" w:fill="auto"/>
            <w:vAlign w:val="bottom"/>
          </w:tcPr>
          <w:p w14:paraId="23B25B96" w14:textId="77777777" w:rsidR="00A52778" w:rsidRPr="00460F9E" w:rsidRDefault="00A52778" w:rsidP="00FC3F8E">
            <w:pPr>
              <w:spacing w:line="0" w:lineRule="atLeast"/>
              <w:rPr>
                <w:rFonts w:eastAsia="Times New Roman" w:cs="Times New Roman"/>
                <w:b/>
              </w:rPr>
            </w:pPr>
          </w:p>
        </w:tc>
        <w:tc>
          <w:tcPr>
            <w:tcW w:w="404" w:type="dxa"/>
            <w:shd w:val="clear" w:color="auto" w:fill="auto"/>
            <w:vAlign w:val="bottom"/>
          </w:tcPr>
          <w:p w14:paraId="0C704DE8" w14:textId="77777777" w:rsidR="00A52778" w:rsidRPr="00460F9E" w:rsidRDefault="00A52778" w:rsidP="00FC3F8E">
            <w:pPr>
              <w:spacing w:line="0" w:lineRule="atLeast"/>
              <w:rPr>
                <w:rFonts w:eastAsia="Times New Roman" w:cs="Times New Roman"/>
                <w:b/>
              </w:rPr>
            </w:pPr>
          </w:p>
        </w:tc>
        <w:tc>
          <w:tcPr>
            <w:tcW w:w="557" w:type="dxa"/>
            <w:shd w:val="clear" w:color="auto" w:fill="auto"/>
            <w:vAlign w:val="bottom"/>
          </w:tcPr>
          <w:p w14:paraId="4B696A8A" w14:textId="77777777" w:rsidR="00A52778" w:rsidRPr="00460F9E" w:rsidRDefault="00A52778" w:rsidP="00FC3F8E">
            <w:pPr>
              <w:spacing w:line="0" w:lineRule="atLeast"/>
              <w:rPr>
                <w:rFonts w:eastAsia="Times New Roman" w:cs="Times New Roman"/>
                <w:b/>
              </w:rPr>
            </w:pPr>
          </w:p>
        </w:tc>
        <w:tc>
          <w:tcPr>
            <w:tcW w:w="346" w:type="dxa"/>
            <w:shd w:val="clear" w:color="auto" w:fill="auto"/>
            <w:vAlign w:val="bottom"/>
          </w:tcPr>
          <w:p w14:paraId="2628FEE2" w14:textId="77777777" w:rsidR="00A52778" w:rsidRPr="00460F9E" w:rsidRDefault="00A52778" w:rsidP="00FC3F8E">
            <w:pPr>
              <w:spacing w:line="0" w:lineRule="atLeast"/>
              <w:rPr>
                <w:rFonts w:eastAsia="Times New Roman" w:cs="Times New Roman"/>
                <w:b/>
              </w:rPr>
            </w:pPr>
          </w:p>
        </w:tc>
        <w:tc>
          <w:tcPr>
            <w:tcW w:w="423" w:type="dxa"/>
            <w:shd w:val="clear" w:color="auto" w:fill="auto"/>
            <w:vAlign w:val="bottom"/>
          </w:tcPr>
          <w:p w14:paraId="0DC6FA46" w14:textId="77777777" w:rsidR="00A52778" w:rsidRPr="00460F9E" w:rsidRDefault="00A52778" w:rsidP="00FC3F8E">
            <w:pPr>
              <w:spacing w:line="0" w:lineRule="atLeast"/>
              <w:rPr>
                <w:rFonts w:eastAsia="Times New Roman" w:cs="Times New Roman"/>
                <w:b/>
              </w:rPr>
            </w:pPr>
          </w:p>
        </w:tc>
        <w:tc>
          <w:tcPr>
            <w:tcW w:w="481" w:type="dxa"/>
            <w:shd w:val="clear" w:color="auto" w:fill="auto"/>
            <w:vAlign w:val="bottom"/>
          </w:tcPr>
          <w:p w14:paraId="257BFE90" w14:textId="77777777" w:rsidR="00A52778" w:rsidRPr="00460F9E" w:rsidRDefault="00A52778" w:rsidP="00FC3F8E">
            <w:pPr>
              <w:spacing w:line="0" w:lineRule="atLeast"/>
              <w:rPr>
                <w:rFonts w:eastAsia="Times New Roman" w:cs="Times New Roman"/>
                <w:b/>
              </w:rPr>
            </w:pPr>
          </w:p>
        </w:tc>
        <w:tc>
          <w:tcPr>
            <w:tcW w:w="385" w:type="dxa"/>
            <w:tcBorders>
              <w:right w:val="single" w:sz="8" w:space="0" w:color="auto"/>
            </w:tcBorders>
            <w:shd w:val="clear" w:color="auto" w:fill="auto"/>
            <w:vAlign w:val="bottom"/>
          </w:tcPr>
          <w:p w14:paraId="20E19775" w14:textId="77777777" w:rsidR="00A52778" w:rsidRPr="00460F9E" w:rsidRDefault="00A52778" w:rsidP="00FC3F8E">
            <w:pPr>
              <w:spacing w:line="0" w:lineRule="atLeast"/>
              <w:rPr>
                <w:rFonts w:eastAsia="Times New Roman" w:cs="Times New Roman"/>
                <w:b/>
              </w:rPr>
            </w:pPr>
          </w:p>
        </w:tc>
      </w:tr>
      <w:tr w:rsidR="00A52778" w:rsidRPr="00460F9E" w14:paraId="3C69519E" w14:textId="77777777" w:rsidTr="00FC3F8E">
        <w:trPr>
          <w:gridAfter w:val="1"/>
          <w:wAfter w:w="347" w:type="dxa"/>
          <w:trHeight w:val="231"/>
        </w:trPr>
        <w:tc>
          <w:tcPr>
            <w:tcW w:w="386" w:type="dxa"/>
            <w:tcBorders>
              <w:left w:val="single" w:sz="8" w:space="0" w:color="auto"/>
              <w:right w:val="single" w:sz="8" w:space="0" w:color="auto"/>
            </w:tcBorders>
            <w:shd w:val="clear" w:color="auto" w:fill="auto"/>
            <w:vAlign w:val="bottom"/>
          </w:tcPr>
          <w:p w14:paraId="79CC5E5E" w14:textId="77777777" w:rsidR="00A52778" w:rsidRPr="00460F9E" w:rsidRDefault="00A52778" w:rsidP="00FC3F8E">
            <w:pPr>
              <w:spacing w:line="0" w:lineRule="atLeast"/>
              <w:rPr>
                <w:rFonts w:eastAsia="Times New Roman" w:cs="Times New Roman"/>
                <w:b/>
              </w:rPr>
            </w:pPr>
          </w:p>
        </w:tc>
        <w:tc>
          <w:tcPr>
            <w:tcW w:w="424" w:type="dxa"/>
            <w:shd w:val="clear" w:color="auto" w:fill="auto"/>
            <w:vAlign w:val="bottom"/>
          </w:tcPr>
          <w:p w14:paraId="304D3AB4" w14:textId="77777777" w:rsidR="00A52778" w:rsidRPr="00460F9E" w:rsidRDefault="00A52778" w:rsidP="00FC3F8E">
            <w:pPr>
              <w:spacing w:line="0" w:lineRule="atLeast"/>
              <w:rPr>
                <w:rFonts w:eastAsia="Times New Roman" w:cs="Times New Roman"/>
                <w:b/>
              </w:rPr>
            </w:pPr>
          </w:p>
        </w:tc>
        <w:tc>
          <w:tcPr>
            <w:tcW w:w="788" w:type="dxa"/>
            <w:tcBorders>
              <w:right w:val="single" w:sz="8" w:space="0" w:color="auto"/>
            </w:tcBorders>
            <w:shd w:val="clear" w:color="auto" w:fill="auto"/>
            <w:vAlign w:val="bottom"/>
          </w:tcPr>
          <w:p w14:paraId="1DD1DD4A" w14:textId="77777777" w:rsidR="00A52778" w:rsidRPr="00460F9E" w:rsidRDefault="00A52778" w:rsidP="00FC3F8E">
            <w:pPr>
              <w:spacing w:line="0" w:lineRule="atLeast"/>
              <w:rPr>
                <w:rFonts w:eastAsia="Times New Roman" w:cs="Times New Roman"/>
                <w:b/>
              </w:rPr>
            </w:pPr>
          </w:p>
        </w:tc>
        <w:tc>
          <w:tcPr>
            <w:tcW w:w="385" w:type="dxa"/>
            <w:shd w:val="clear" w:color="auto" w:fill="auto"/>
            <w:vAlign w:val="bottom"/>
          </w:tcPr>
          <w:p w14:paraId="172327D1" w14:textId="77777777" w:rsidR="00A52778" w:rsidRPr="00460F9E" w:rsidRDefault="00A52778" w:rsidP="00FC3F8E">
            <w:pPr>
              <w:spacing w:line="0" w:lineRule="atLeast"/>
              <w:rPr>
                <w:rFonts w:eastAsia="Times New Roman" w:cs="Times New Roman"/>
                <w:b/>
              </w:rPr>
            </w:pPr>
          </w:p>
        </w:tc>
        <w:tc>
          <w:tcPr>
            <w:tcW w:w="20" w:type="dxa"/>
            <w:shd w:val="clear" w:color="auto" w:fill="auto"/>
            <w:vAlign w:val="bottom"/>
          </w:tcPr>
          <w:p w14:paraId="3ABB3ECA" w14:textId="77777777" w:rsidR="00A52778" w:rsidRPr="00460F9E" w:rsidRDefault="00A52778" w:rsidP="00FC3F8E">
            <w:pPr>
              <w:spacing w:line="0" w:lineRule="atLeast"/>
              <w:rPr>
                <w:rFonts w:eastAsia="Times New Roman" w:cs="Times New Roman"/>
                <w:b/>
              </w:rPr>
            </w:pPr>
          </w:p>
        </w:tc>
        <w:tc>
          <w:tcPr>
            <w:tcW w:w="3214" w:type="dxa"/>
            <w:gridSpan w:val="11"/>
            <w:vMerge/>
            <w:tcBorders>
              <w:right w:val="single" w:sz="4" w:space="0" w:color="auto"/>
            </w:tcBorders>
            <w:shd w:val="clear" w:color="auto" w:fill="auto"/>
            <w:vAlign w:val="bottom"/>
          </w:tcPr>
          <w:p w14:paraId="3C649843" w14:textId="77777777" w:rsidR="00A52778" w:rsidRPr="00460F9E" w:rsidRDefault="00A52778" w:rsidP="00FC3F8E">
            <w:pPr>
              <w:spacing w:line="0" w:lineRule="atLeast"/>
              <w:rPr>
                <w:rFonts w:eastAsia="Times New Roman" w:cs="Times New Roman"/>
                <w:b/>
              </w:rPr>
            </w:pPr>
          </w:p>
        </w:tc>
        <w:tc>
          <w:tcPr>
            <w:tcW w:w="980" w:type="dxa"/>
            <w:vMerge w:val="restart"/>
            <w:tcBorders>
              <w:left w:val="single" w:sz="4" w:space="0" w:color="auto"/>
              <w:right w:val="single" w:sz="8" w:space="0" w:color="auto"/>
            </w:tcBorders>
            <w:shd w:val="clear" w:color="auto" w:fill="auto"/>
            <w:vAlign w:val="bottom"/>
          </w:tcPr>
          <w:p w14:paraId="7A3203C0" w14:textId="77777777" w:rsidR="00A52778" w:rsidRPr="00460F9E" w:rsidRDefault="00A52778" w:rsidP="00FC3F8E">
            <w:pPr>
              <w:spacing w:line="219" w:lineRule="exact"/>
              <w:jc w:val="center"/>
              <w:rPr>
                <w:rFonts w:eastAsia="Times New Roman" w:cs="Times New Roman"/>
                <w:b/>
                <w:w w:val="98"/>
              </w:rPr>
            </w:pPr>
            <w:r w:rsidRPr="00460F9E">
              <w:rPr>
                <w:rFonts w:eastAsia="Times New Roman" w:cs="Times New Roman"/>
              </w:rPr>
              <w:t>Kaçak emisyonlar</w:t>
            </w:r>
          </w:p>
        </w:tc>
        <w:tc>
          <w:tcPr>
            <w:tcW w:w="404" w:type="dxa"/>
            <w:shd w:val="clear" w:color="auto" w:fill="auto"/>
            <w:vAlign w:val="bottom"/>
          </w:tcPr>
          <w:p w14:paraId="6BC6CC8A" w14:textId="77777777" w:rsidR="00A52778" w:rsidRPr="00460F9E" w:rsidRDefault="00A52778" w:rsidP="00FC3F8E">
            <w:pPr>
              <w:spacing w:line="0" w:lineRule="atLeast"/>
              <w:rPr>
                <w:rFonts w:eastAsia="Times New Roman" w:cs="Times New Roman"/>
                <w:b/>
              </w:rPr>
            </w:pPr>
          </w:p>
        </w:tc>
        <w:tc>
          <w:tcPr>
            <w:tcW w:w="557" w:type="dxa"/>
            <w:shd w:val="clear" w:color="auto" w:fill="auto"/>
            <w:vAlign w:val="bottom"/>
          </w:tcPr>
          <w:p w14:paraId="44A1CAA3" w14:textId="77777777" w:rsidR="00A52778" w:rsidRPr="00460F9E" w:rsidRDefault="00A52778" w:rsidP="00FC3F8E">
            <w:pPr>
              <w:spacing w:line="0" w:lineRule="atLeast"/>
              <w:rPr>
                <w:rFonts w:eastAsia="Times New Roman" w:cs="Times New Roman"/>
                <w:b/>
              </w:rPr>
            </w:pPr>
          </w:p>
        </w:tc>
        <w:tc>
          <w:tcPr>
            <w:tcW w:w="346" w:type="dxa"/>
            <w:shd w:val="clear" w:color="auto" w:fill="auto"/>
            <w:vAlign w:val="bottom"/>
          </w:tcPr>
          <w:p w14:paraId="0DE7967A" w14:textId="77777777" w:rsidR="00A52778" w:rsidRPr="00460F9E" w:rsidRDefault="00A52778" w:rsidP="00FC3F8E">
            <w:pPr>
              <w:spacing w:line="0" w:lineRule="atLeast"/>
              <w:rPr>
                <w:rFonts w:eastAsia="Times New Roman" w:cs="Times New Roman"/>
                <w:b/>
              </w:rPr>
            </w:pPr>
          </w:p>
        </w:tc>
        <w:tc>
          <w:tcPr>
            <w:tcW w:w="423" w:type="dxa"/>
            <w:shd w:val="clear" w:color="auto" w:fill="auto"/>
            <w:vAlign w:val="bottom"/>
          </w:tcPr>
          <w:p w14:paraId="08846FD6" w14:textId="77777777" w:rsidR="00A52778" w:rsidRPr="00460F9E" w:rsidRDefault="00A52778" w:rsidP="00FC3F8E">
            <w:pPr>
              <w:spacing w:line="0" w:lineRule="atLeast"/>
              <w:rPr>
                <w:rFonts w:eastAsia="Times New Roman" w:cs="Times New Roman"/>
                <w:b/>
              </w:rPr>
            </w:pPr>
          </w:p>
        </w:tc>
        <w:tc>
          <w:tcPr>
            <w:tcW w:w="481" w:type="dxa"/>
            <w:shd w:val="clear" w:color="auto" w:fill="auto"/>
            <w:vAlign w:val="bottom"/>
          </w:tcPr>
          <w:p w14:paraId="5BC309FB" w14:textId="77777777" w:rsidR="00A52778" w:rsidRPr="00460F9E" w:rsidRDefault="00A52778" w:rsidP="00FC3F8E">
            <w:pPr>
              <w:spacing w:line="0" w:lineRule="atLeast"/>
              <w:rPr>
                <w:rFonts w:eastAsia="Times New Roman" w:cs="Times New Roman"/>
                <w:b/>
              </w:rPr>
            </w:pPr>
          </w:p>
        </w:tc>
        <w:tc>
          <w:tcPr>
            <w:tcW w:w="385" w:type="dxa"/>
            <w:tcBorders>
              <w:right w:val="single" w:sz="8" w:space="0" w:color="auto"/>
            </w:tcBorders>
            <w:shd w:val="clear" w:color="auto" w:fill="auto"/>
            <w:vAlign w:val="bottom"/>
          </w:tcPr>
          <w:p w14:paraId="6462C696" w14:textId="77777777" w:rsidR="00A52778" w:rsidRPr="00460F9E" w:rsidRDefault="00A52778" w:rsidP="00FC3F8E">
            <w:pPr>
              <w:spacing w:line="0" w:lineRule="atLeast"/>
              <w:rPr>
                <w:rFonts w:eastAsia="Times New Roman" w:cs="Times New Roman"/>
                <w:b/>
              </w:rPr>
            </w:pPr>
          </w:p>
        </w:tc>
      </w:tr>
      <w:tr w:rsidR="00A52778" w:rsidRPr="00460F9E" w14:paraId="3CC4A5E9" w14:textId="77777777" w:rsidTr="00FC3F8E">
        <w:trPr>
          <w:gridAfter w:val="1"/>
          <w:wAfter w:w="347" w:type="dxa"/>
          <w:trHeight w:val="194"/>
        </w:trPr>
        <w:tc>
          <w:tcPr>
            <w:tcW w:w="386" w:type="dxa"/>
            <w:vMerge w:val="restart"/>
            <w:tcBorders>
              <w:left w:val="single" w:sz="8" w:space="0" w:color="auto"/>
              <w:right w:val="single" w:sz="8" w:space="0" w:color="auto"/>
            </w:tcBorders>
            <w:shd w:val="clear" w:color="auto" w:fill="auto"/>
            <w:vAlign w:val="bottom"/>
          </w:tcPr>
          <w:p w14:paraId="2F6CEE2B" w14:textId="77777777" w:rsidR="00A52778" w:rsidRPr="00460F9E" w:rsidRDefault="00A52778" w:rsidP="00FC3F8E">
            <w:pPr>
              <w:spacing w:line="0" w:lineRule="atLeast"/>
              <w:ind w:left="120"/>
              <w:rPr>
                <w:rFonts w:eastAsia="Times New Roman" w:cs="Times New Roman"/>
                <w:b/>
              </w:rPr>
            </w:pPr>
            <w:r>
              <w:rPr>
                <w:rFonts w:eastAsia="Times New Roman" w:cs="Times New Roman"/>
              </w:rPr>
              <w:t>d</w:t>
            </w:r>
            <w:r w:rsidRPr="00460F9E">
              <w:rPr>
                <w:rFonts w:eastAsia="Times New Roman" w:cs="Times New Roman"/>
              </w:rPr>
              <w:t>.</w:t>
            </w:r>
          </w:p>
        </w:tc>
        <w:tc>
          <w:tcPr>
            <w:tcW w:w="1212" w:type="dxa"/>
            <w:gridSpan w:val="2"/>
            <w:vMerge w:val="restart"/>
            <w:tcBorders>
              <w:right w:val="single" w:sz="8" w:space="0" w:color="auto"/>
            </w:tcBorders>
            <w:shd w:val="clear" w:color="auto" w:fill="auto"/>
            <w:vAlign w:val="bottom"/>
          </w:tcPr>
          <w:p w14:paraId="00F9C450"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Sıkılaştırma</w:t>
            </w:r>
          </w:p>
        </w:tc>
        <w:tc>
          <w:tcPr>
            <w:tcW w:w="385" w:type="dxa"/>
            <w:shd w:val="clear" w:color="auto" w:fill="auto"/>
            <w:vAlign w:val="bottom"/>
          </w:tcPr>
          <w:p w14:paraId="08ECD8A1" w14:textId="77777777" w:rsidR="00A52778" w:rsidRPr="00460F9E" w:rsidRDefault="00A52778" w:rsidP="00FC3F8E">
            <w:pPr>
              <w:spacing w:line="0" w:lineRule="atLeast"/>
              <w:rPr>
                <w:rFonts w:eastAsia="Times New Roman" w:cs="Times New Roman"/>
                <w:b/>
                <w:sz w:val="16"/>
              </w:rPr>
            </w:pPr>
          </w:p>
        </w:tc>
        <w:tc>
          <w:tcPr>
            <w:tcW w:w="20" w:type="dxa"/>
            <w:shd w:val="clear" w:color="auto" w:fill="auto"/>
            <w:vAlign w:val="bottom"/>
          </w:tcPr>
          <w:p w14:paraId="013F485F" w14:textId="77777777" w:rsidR="00A52778" w:rsidRPr="00460F9E" w:rsidRDefault="00A52778" w:rsidP="00FC3F8E">
            <w:pPr>
              <w:spacing w:line="0" w:lineRule="atLeast"/>
              <w:rPr>
                <w:rFonts w:eastAsia="Times New Roman" w:cs="Times New Roman"/>
                <w:b/>
                <w:sz w:val="16"/>
              </w:rPr>
            </w:pPr>
          </w:p>
        </w:tc>
        <w:tc>
          <w:tcPr>
            <w:tcW w:w="3214" w:type="dxa"/>
            <w:gridSpan w:val="11"/>
            <w:vMerge/>
            <w:tcBorders>
              <w:right w:val="single" w:sz="4" w:space="0" w:color="auto"/>
            </w:tcBorders>
            <w:shd w:val="clear" w:color="auto" w:fill="auto"/>
            <w:vAlign w:val="bottom"/>
          </w:tcPr>
          <w:p w14:paraId="73C8261C" w14:textId="77777777" w:rsidR="00A52778" w:rsidRPr="00460F9E" w:rsidRDefault="00A52778" w:rsidP="00FC3F8E">
            <w:pPr>
              <w:spacing w:line="0" w:lineRule="atLeast"/>
              <w:rPr>
                <w:rFonts w:eastAsia="Times New Roman" w:cs="Times New Roman"/>
                <w:b/>
              </w:rPr>
            </w:pPr>
          </w:p>
        </w:tc>
        <w:tc>
          <w:tcPr>
            <w:tcW w:w="980" w:type="dxa"/>
            <w:vMerge/>
            <w:tcBorders>
              <w:left w:val="single" w:sz="4" w:space="0" w:color="auto"/>
              <w:right w:val="single" w:sz="8" w:space="0" w:color="auto"/>
            </w:tcBorders>
            <w:shd w:val="clear" w:color="auto" w:fill="auto"/>
            <w:vAlign w:val="bottom"/>
          </w:tcPr>
          <w:p w14:paraId="606AEE34" w14:textId="77777777" w:rsidR="00A52778" w:rsidRPr="00460F9E" w:rsidRDefault="00A52778" w:rsidP="00FC3F8E">
            <w:pPr>
              <w:spacing w:line="219" w:lineRule="exact"/>
              <w:jc w:val="center"/>
              <w:rPr>
                <w:rFonts w:eastAsia="Times New Roman" w:cs="Times New Roman"/>
                <w:b/>
                <w:sz w:val="16"/>
              </w:rPr>
            </w:pPr>
          </w:p>
        </w:tc>
        <w:tc>
          <w:tcPr>
            <w:tcW w:w="2596" w:type="dxa"/>
            <w:gridSpan w:val="6"/>
            <w:vMerge w:val="restart"/>
            <w:tcBorders>
              <w:right w:val="single" w:sz="8" w:space="0" w:color="auto"/>
            </w:tcBorders>
            <w:shd w:val="clear" w:color="auto" w:fill="auto"/>
            <w:vAlign w:val="bottom"/>
          </w:tcPr>
          <w:p w14:paraId="01412F6A" w14:textId="77777777" w:rsidR="00A52778" w:rsidRPr="00460F9E" w:rsidRDefault="00A52778" w:rsidP="00FC3F8E">
            <w:pPr>
              <w:spacing w:line="0" w:lineRule="atLeast"/>
              <w:rPr>
                <w:rFonts w:eastAsia="Times New Roman" w:cs="Times New Roman"/>
                <w:b/>
                <w:sz w:val="16"/>
              </w:rPr>
            </w:pPr>
            <w:r w:rsidRPr="00460F9E">
              <w:rPr>
                <w:rFonts w:eastAsia="Times New Roman" w:cs="Times New Roman"/>
              </w:rPr>
              <w:t xml:space="preserve">  Genel olarak uygulanabilir.</w:t>
            </w:r>
          </w:p>
        </w:tc>
      </w:tr>
      <w:tr w:rsidR="00A52778" w:rsidRPr="00460F9E" w14:paraId="5CFC889C" w14:textId="77777777" w:rsidTr="00FC3F8E">
        <w:trPr>
          <w:gridAfter w:val="1"/>
          <w:wAfter w:w="347" w:type="dxa"/>
          <w:trHeight w:val="104"/>
        </w:trPr>
        <w:tc>
          <w:tcPr>
            <w:tcW w:w="386" w:type="dxa"/>
            <w:vMerge/>
            <w:tcBorders>
              <w:left w:val="single" w:sz="8" w:space="0" w:color="auto"/>
              <w:right w:val="single" w:sz="8" w:space="0" w:color="auto"/>
            </w:tcBorders>
            <w:shd w:val="clear" w:color="auto" w:fill="auto"/>
            <w:vAlign w:val="bottom"/>
          </w:tcPr>
          <w:p w14:paraId="5F1DC285" w14:textId="77777777" w:rsidR="00A52778" w:rsidRPr="00460F9E" w:rsidRDefault="00A52778" w:rsidP="00FC3F8E">
            <w:pPr>
              <w:spacing w:line="0" w:lineRule="atLeast"/>
              <w:rPr>
                <w:rFonts w:eastAsia="Times New Roman" w:cs="Times New Roman"/>
                <w:b/>
                <w:sz w:val="9"/>
              </w:rPr>
            </w:pPr>
          </w:p>
        </w:tc>
        <w:tc>
          <w:tcPr>
            <w:tcW w:w="1212" w:type="dxa"/>
            <w:gridSpan w:val="2"/>
            <w:vMerge/>
            <w:tcBorders>
              <w:right w:val="single" w:sz="8" w:space="0" w:color="auto"/>
            </w:tcBorders>
            <w:shd w:val="clear" w:color="auto" w:fill="auto"/>
            <w:vAlign w:val="bottom"/>
          </w:tcPr>
          <w:p w14:paraId="13BC5CAF" w14:textId="77777777" w:rsidR="00A52778" w:rsidRPr="00460F9E" w:rsidRDefault="00A52778" w:rsidP="00FC3F8E">
            <w:pPr>
              <w:spacing w:line="0" w:lineRule="atLeast"/>
              <w:rPr>
                <w:rFonts w:eastAsia="Times New Roman" w:cs="Times New Roman"/>
                <w:b/>
                <w:sz w:val="9"/>
              </w:rPr>
            </w:pPr>
          </w:p>
        </w:tc>
        <w:tc>
          <w:tcPr>
            <w:tcW w:w="385" w:type="dxa"/>
            <w:shd w:val="clear" w:color="auto" w:fill="auto"/>
            <w:vAlign w:val="bottom"/>
          </w:tcPr>
          <w:p w14:paraId="3C3C5C6C" w14:textId="77777777" w:rsidR="00A52778" w:rsidRPr="00460F9E" w:rsidRDefault="00A52778" w:rsidP="00FC3F8E">
            <w:pPr>
              <w:spacing w:line="0" w:lineRule="atLeast"/>
              <w:rPr>
                <w:rFonts w:eastAsia="Times New Roman" w:cs="Times New Roman"/>
                <w:b/>
                <w:sz w:val="9"/>
              </w:rPr>
            </w:pPr>
          </w:p>
        </w:tc>
        <w:tc>
          <w:tcPr>
            <w:tcW w:w="20" w:type="dxa"/>
            <w:shd w:val="clear" w:color="auto" w:fill="auto"/>
            <w:vAlign w:val="bottom"/>
          </w:tcPr>
          <w:p w14:paraId="72B27392" w14:textId="77777777" w:rsidR="00A52778" w:rsidRPr="00460F9E" w:rsidRDefault="00A52778" w:rsidP="00FC3F8E">
            <w:pPr>
              <w:spacing w:line="0" w:lineRule="atLeast"/>
              <w:rPr>
                <w:rFonts w:eastAsia="Times New Roman" w:cs="Times New Roman"/>
                <w:b/>
                <w:sz w:val="9"/>
              </w:rPr>
            </w:pPr>
          </w:p>
        </w:tc>
        <w:tc>
          <w:tcPr>
            <w:tcW w:w="3214" w:type="dxa"/>
            <w:gridSpan w:val="11"/>
            <w:vMerge/>
            <w:tcBorders>
              <w:right w:val="single" w:sz="4" w:space="0" w:color="auto"/>
            </w:tcBorders>
            <w:shd w:val="clear" w:color="auto" w:fill="auto"/>
            <w:vAlign w:val="bottom"/>
          </w:tcPr>
          <w:p w14:paraId="4308AE29" w14:textId="77777777" w:rsidR="00A52778" w:rsidRPr="00460F9E" w:rsidRDefault="00A52778" w:rsidP="00FC3F8E">
            <w:pPr>
              <w:spacing w:line="0" w:lineRule="atLeast"/>
              <w:rPr>
                <w:rFonts w:eastAsia="Times New Roman" w:cs="Times New Roman"/>
                <w:b/>
                <w:sz w:val="9"/>
              </w:rPr>
            </w:pPr>
          </w:p>
        </w:tc>
        <w:tc>
          <w:tcPr>
            <w:tcW w:w="980" w:type="dxa"/>
            <w:vMerge/>
            <w:tcBorders>
              <w:left w:val="single" w:sz="4" w:space="0" w:color="auto"/>
              <w:right w:val="single" w:sz="8" w:space="0" w:color="auto"/>
            </w:tcBorders>
            <w:shd w:val="clear" w:color="auto" w:fill="auto"/>
            <w:vAlign w:val="bottom"/>
          </w:tcPr>
          <w:p w14:paraId="3F0E3A21" w14:textId="77777777" w:rsidR="00A52778" w:rsidRPr="00460F9E" w:rsidRDefault="00A52778" w:rsidP="00FC3F8E">
            <w:pPr>
              <w:spacing w:line="219" w:lineRule="exact"/>
              <w:jc w:val="center"/>
              <w:rPr>
                <w:rFonts w:eastAsia="Times New Roman" w:cs="Times New Roman"/>
                <w:b/>
                <w:w w:val="98"/>
              </w:rPr>
            </w:pPr>
          </w:p>
        </w:tc>
        <w:tc>
          <w:tcPr>
            <w:tcW w:w="2596" w:type="dxa"/>
            <w:gridSpan w:val="6"/>
            <w:vMerge/>
            <w:tcBorders>
              <w:right w:val="single" w:sz="8" w:space="0" w:color="auto"/>
            </w:tcBorders>
            <w:shd w:val="clear" w:color="auto" w:fill="auto"/>
            <w:vAlign w:val="bottom"/>
          </w:tcPr>
          <w:p w14:paraId="1FD8D8A9" w14:textId="77777777" w:rsidR="00A52778" w:rsidRPr="00460F9E" w:rsidRDefault="00A52778" w:rsidP="00FC3F8E">
            <w:pPr>
              <w:spacing w:line="0" w:lineRule="atLeast"/>
              <w:rPr>
                <w:rFonts w:eastAsia="Times New Roman" w:cs="Times New Roman"/>
                <w:b/>
                <w:sz w:val="9"/>
              </w:rPr>
            </w:pPr>
          </w:p>
        </w:tc>
      </w:tr>
      <w:tr w:rsidR="00A52778" w:rsidRPr="00460F9E" w14:paraId="3B4AF913" w14:textId="77777777" w:rsidTr="00FC3F8E">
        <w:trPr>
          <w:gridAfter w:val="1"/>
          <w:wAfter w:w="347" w:type="dxa"/>
          <w:trHeight w:val="163"/>
        </w:trPr>
        <w:tc>
          <w:tcPr>
            <w:tcW w:w="386" w:type="dxa"/>
            <w:tcBorders>
              <w:left w:val="single" w:sz="8" w:space="0" w:color="auto"/>
              <w:right w:val="single" w:sz="8" w:space="0" w:color="auto"/>
            </w:tcBorders>
            <w:shd w:val="clear" w:color="auto" w:fill="auto"/>
            <w:vAlign w:val="bottom"/>
          </w:tcPr>
          <w:p w14:paraId="5F11B1DF" w14:textId="77777777" w:rsidR="00A52778" w:rsidRPr="00460F9E" w:rsidRDefault="00A52778" w:rsidP="00FC3F8E">
            <w:pPr>
              <w:spacing w:line="0" w:lineRule="atLeast"/>
              <w:rPr>
                <w:rFonts w:eastAsia="Times New Roman" w:cs="Times New Roman"/>
                <w:b/>
                <w:sz w:val="14"/>
              </w:rPr>
            </w:pPr>
          </w:p>
        </w:tc>
        <w:tc>
          <w:tcPr>
            <w:tcW w:w="424" w:type="dxa"/>
            <w:shd w:val="clear" w:color="auto" w:fill="auto"/>
            <w:vAlign w:val="bottom"/>
          </w:tcPr>
          <w:p w14:paraId="44E192C0" w14:textId="77777777" w:rsidR="00A52778" w:rsidRPr="00460F9E" w:rsidRDefault="00A52778" w:rsidP="00FC3F8E">
            <w:pPr>
              <w:spacing w:line="0" w:lineRule="atLeast"/>
              <w:rPr>
                <w:rFonts w:eastAsia="Times New Roman" w:cs="Times New Roman"/>
                <w:b/>
                <w:sz w:val="14"/>
              </w:rPr>
            </w:pPr>
          </w:p>
        </w:tc>
        <w:tc>
          <w:tcPr>
            <w:tcW w:w="788" w:type="dxa"/>
            <w:tcBorders>
              <w:right w:val="single" w:sz="8" w:space="0" w:color="auto"/>
            </w:tcBorders>
            <w:shd w:val="clear" w:color="auto" w:fill="auto"/>
            <w:vAlign w:val="bottom"/>
          </w:tcPr>
          <w:p w14:paraId="1CC7A851" w14:textId="77777777" w:rsidR="00A52778" w:rsidRPr="00460F9E" w:rsidRDefault="00A52778" w:rsidP="00FC3F8E">
            <w:pPr>
              <w:spacing w:line="0" w:lineRule="atLeast"/>
              <w:rPr>
                <w:rFonts w:eastAsia="Times New Roman" w:cs="Times New Roman"/>
                <w:b/>
                <w:sz w:val="14"/>
              </w:rPr>
            </w:pPr>
          </w:p>
        </w:tc>
        <w:tc>
          <w:tcPr>
            <w:tcW w:w="385" w:type="dxa"/>
            <w:shd w:val="clear" w:color="auto" w:fill="auto"/>
            <w:vAlign w:val="bottom"/>
          </w:tcPr>
          <w:p w14:paraId="3290F9BA" w14:textId="77777777" w:rsidR="00A52778" w:rsidRPr="00460F9E" w:rsidRDefault="00A52778" w:rsidP="00FC3F8E">
            <w:pPr>
              <w:spacing w:line="0" w:lineRule="atLeast"/>
              <w:rPr>
                <w:rFonts w:eastAsia="Times New Roman" w:cs="Times New Roman"/>
                <w:b/>
                <w:sz w:val="14"/>
              </w:rPr>
            </w:pPr>
          </w:p>
        </w:tc>
        <w:tc>
          <w:tcPr>
            <w:tcW w:w="20" w:type="dxa"/>
            <w:shd w:val="clear" w:color="auto" w:fill="auto"/>
            <w:vAlign w:val="bottom"/>
          </w:tcPr>
          <w:p w14:paraId="7EC9274A" w14:textId="77777777" w:rsidR="00A52778" w:rsidRPr="00460F9E" w:rsidRDefault="00A52778" w:rsidP="00FC3F8E">
            <w:pPr>
              <w:spacing w:line="0" w:lineRule="atLeast"/>
              <w:rPr>
                <w:rFonts w:eastAsia="Times New Roman" w:cs="Times New Roman"/>
                <w:b/>
                <w:sz w:val="14"/>
              </w:rPr>
            </w:pPr>
          </w:p>
        </w:tc>
        <w:tc>
          <w:tcPr>
            <w:tcW w:w="3214" w:type="dxa"/>
            <w:gridSpan w:val="11"/>
            <w:vMerge/>
            <w:tcBorders>
              <w:right w:val="single" w:sz="4" w:space="0" w:color="auto"/>
            </w:tcBorders>
            <w:shd w:val="clear" w:color="auto" w:fill="auto"/>
            <w:vAlign w:val="bottom"/>
          </w:tcPr>
          <w:p w14:paraId="05F5301B" w14:textId="77777777" w:rsidR="00A52778" w:rsidRPr="00460F9E" w:rsidRDefault="00A52778" w:rsidP="00FC3F8E">
            <w:pPr>
              <w:spacing w:line="0" w:lineRule="atLeast"/>
              <w:rPr>
                <w:rFonts w:eastAsia="Times New Roman" w:cs="Times New Roman"/>
                <w:b/>
                <w:sz w:val="14"/>
              </w:rPr>
            </w:pPr>
          </w:p>
        </w:tc>
        <w:tc>
          <w:tcPr>
            <w:tcW w:w="980" w:type="dxa"/>
            <w:vMerge/>
            <w:tcBorders>
              <w:left w:val="single" w:sz="4" w:space="0" w:color="auto"/>
              <w:right w:val="single" w:sz="8" w:space="0" w:color="auto"/>
            </w:tcBorders>
            <w:shd w:val="clear" w:color="auto" w:fill="auto"/>
            <w:vAlign w:val="bottom"/>
          </w:tcPr>
          <w:p w14:paraId="2A4336C7" w14:textId="77777777" w:rsidR="00A52778" w:rsidRPr="00460F9E" w:rsidRDefault="00A52778" w:rsidP="00FC3F8E">
            <w:pPr>
              <w:spacing w:line="0" w:lineRule="atLeast"/>
              <w:rPr>
                <w:rFonts w:eastAsia="Times New Roman" w:cs="Times New Roman"/>
                <w:b/>
                <w:sz w:val="14"/>
              </w:rPr>
            </w:pPr>
          </w:p>
        </w:tc>
        <w:tc>
          <w:tcPr>
            <w:tcW w:w="404" w:type="dxa"/>
            <w:shd w:val="clear" w:color="auto" w:fill="auto"/>
            <w:vAlign w:val="bottom"/>
          </w:tcPr>
          <w:p w14:paraId="6F994842" w14:textId="77777777" w:rsidR="00A52778" w:rsidRPr="00460F9E" w:rsidRDefault="00A52778" w:rsidP="00FC3F8E">
            <w:pPr>
              <w:spacing w:line="0" w:lineRule="atLeast"/>
              <w:rPr>
                <w:rFonts w:eastAsia="Times New Roman" w:cs="Times New Roman"/>
                <w:b/>
                <w:sz w:val="14"/>
              </w:rPr>
            </w:pPr>
          </w:p>
        </w:tc>
        <w:tc>
          <w:tcPr>
            <w:tcW w:w="557" w:type="dxa"/>
            <w:shd w:val="clear" w:color="auto" w:fill="auto"/>
            <w:vAlign w:val="bottom"/>
          </w:tcPr>
          <w:p w14:paraId="6675EF41" w14:textId="77777777" w:rsidR="00A52778" w:rsidRPr="00460F9E" w:rsidRDefault="00A52778" w:rsidP="00FC3F8E">
            <w:pPr>
              <w:spacing w:line="0" w:lineRule="atLeast"/>
              <w:rPr>
                <w:rFonts w:eastAsia="Times New Roman" w:cs="Times New Roman"/>
                <w:b/>
                <w:sz w:val="14"/>
              </w:rPr>
            </w:pPr>
          </w:p>
        </w:tc>
        <w:tc>
          <w:tcPr>
            <w:tcW w:w="346" w:type="dxa"/>
            <w:shd w:val="clear" w:color="auto" w:fill="auto"/>
            <w:vAlign w:val="bottom"/>
          </w:tcPr>
          <w:p w14:paraId="55688460" w14:textId="77777777" w:rsidR="00A52778" w:rsidRPr="00460F9E" w:rsidRDefault="00A52778" w:rsidP="00FC3F8E">
            <w:pPr>
              <w:spacing w:line="0" w:lineRule="atLeast"/>
              <w:rPr>
                <w:rFonts w:eastAsia="Times New Roman" w:cs="Times New Roman"/>
                <w:b/>
                <w:sz w:val="14"/>
              </w:rPr>
            </w:pPr>
          </w:p>
        </w:tc>
        <w:tc>
          <w:tcPr>
            <w:tcW w:w="423" w:type="dxa"/>
            <w:shd w:val="clear" w:color="auto" w:fill="auto"/>
            <w:vAlign w:val="bottom"/>
          </w:tcPr>
          <w:p w14:paraId="25AB4911" w14:textId="77777777" w:rsidR="00A52778" w:rsidRPr="00460F9E" w:rsidRDefault="00A52778" w:rsidP="00FC3F8E">
            <w:pPr>
              <w:spacing w:line="0" w:lineRule="atLeast"/>
              <w:rPr>
                <w:rFonts w:eastAsia="Times New Roman" w:cs="Times New Roman"/>
                <w:b/>
                <w:sz w:val="14"/>
              </w:rPr>
            </w:pPr>
          </w:p>
        </w:tc>
        <w:tc>
          <w:tcPr>
            <w:tcW w:w="481" w:type="dxa"/>
            <w:shd w:val="clear" w:color="auto" w:fill="auto"/>
            <w:vAlign w:val="bottom"/>
          </w:tcPr>
          <w:p w14:paraId="371EE41F" w14:textId="77777777" w:rsidR="00A52778" w:rsidRPr="00460F9E" w:rsidRDefault="00A52778" w:rsidP="00FC3F8E">
            <w:pPr>
              <w:spacing w:line="0" w:lineRule="atLeast"/>
              <w:rPr>
                <w:rFonts w:eastAsia="Times New Roman" w:cs="Times New Roman"/>
                <w:b/>
                <w:sz w:val="14"/>
              </w:rPr>
            </w:pPr>
          </w:p>
        </w:tc>
        <w:tc>
          <w:tcPr>
            <w:tcW w:w="385" w:type="dxa"/>
            <w:tcBorders>
              <w:right w:val="single" w:sz="8" w:space="0" w:color="auto"/>
            </w:tcBorders>
            <w:shd w:val="clear" w:color="auto" w:fill="auto"/>
            <w:vAlign w:val="bottom"/>
          </w:tcPr>
          <w:p w14:paraId="37225606" w14:textId="77777777" w:rsidR="00A52778" w:rsidRPr="00460F9E" w:rsidRDefault="00A52778" w:rsidP="00FC3F8E">
            <w:pPr>
              <w:spacing w:line="0" w:lineRule="atLeast"/>
              <w:rPr>
                <w:rFonts w:eastAsia="Times New Roman" w:cs="Times New Roman"/>
                <w:b/>
                <w:sz w:val="14"/>
              </w:rPr>
            </w:pPr>
          </w:p>
        </w:tc>
      </w:tr>
      <w:tr w:rsidR="00A52778" w:rsidRPr="00460F9E" w14:paraId="5FA616C4" w14:textId="77777777" w:rsidTr="00FC3F8E">
        <w:trPr>
          <w:gridAfter w:val="1"/>
          <w:wAfter w:w="347" w:type="dxa"/>
          <w:trHeight w:val="305"/>
        </w:trPr>
        <w:tc>
          <w:tcPr>
            <w:tcW w:w="386" w:type="dxa"/>
            <w:tcBorders>
              <w:left w:val="single" w:sz="8" w:space="0" w:color="auto"/>
              <w:right w:val="single" w:sz="8" w:space="0" w:color="auto"/>
            </w:tcBorders>
            <w:shd w:val="clear" w:color="auto" w:fill="auto"/>
            <w:vAlign w:val="bottom"/>
          </w:tcPr>
          <w:p w14:paraId="46422006" w14:textId="77777777" w:rsidR="00A52778" w:rsidRPr="00460F9E" w:rsidRDefault="00A52778" w:rsidP="00FC3F8E">
            <w:pPr>
              <w:spacing w:line="0" w:lineRule="atLeast"/>
              <w:rPr>
                <w:rFonts w:eastAsia="Times New Roman" w:cs="Times New Roman"/>
                <w:b/>
              </w:rPr>
            </w:pPr>
          </w:p>
        </w:tc>
        <w:tc>
          <w:tcPr>
            <w:tcW w:w="424" w:type="dxa"/>
            <w:shd w:val="clear" w:color="auto" w:fill="auto"/>
            <w:vAlign w:val="bottom"/>
          </w:tcPr>
          <w:p w14:paraId="71D36303" w14:textId="77777777" w:rsidR="00A52778" w:rsidRPr="00460F9E" w:rsidRDefault="00A52778" w:rsidP="00FC3F8E">
            <w:pPr>
              <w:spacing w:line="0" w:lineRule="atLeast"/>
              <w:rPr>
                <w:rFonts w:eastAsia="Times New Roman" w:cs="Times New Roman"/>
                <w:b/>
              </w:rPr>
            </w:pPr>
          </w:p>
        </w:tc>
        <w:tc>
          <w:tcPr>
            <w:tcW w:w="788" w:type="dxa"/>
            <w:tcBorders>
              <w:right w:val="single" w:sz="8" w:space="0" w:color="auto"/>
            </w:tcBorders>
            <w:shd w:val="clear" w:color="auto" w:fill="auto"/>
            <w:vAlign w:val="bottom"/>
          </w:tcPr>
          <w:p w14:paraId="558A6C50" w14:textId="77777777" w:rsidR="00A52778" w:rsidRPr="00460F9E" w:rsidRDefault="00A52778" w:rsidP="00FC3F8E">
            <w:pPr>
              <w:spacing w:line="0" w:lineRule="atLeast"/>
              <w:rPr>
                <w:rFonts w:eastAsia="Times New Roman" w:cs="Times New Roman"/>
                <w:b/>
              </w:rPr>
            </w:pPr>
          </w:p>
        </w:tc>
        <w:tc>
          <w:tcPr>
            <w:tcW w:w="385" w:type="dxa"/>
            <w:shd w:val="clear" w:color="auto" w:fill="auto"/>
            <w:vAlign w:val="bottom"/>
          </w:tcPr>
          <w:p w14:paraId="3A6A2D94" w14:textId="77777777" w:rsidR="00A52778" w:rsidRPr="00460F9E" w:rsidRDefault="00A52778" w:rsidP="00FC3F8E">
            <w:pPr>
              <w:spacing w:line="0" w:lineRule="atLeast"/>
              <w:rPr>
                <w:rFonts w:eastAsia="Times New Roman" w:cs="Times New Roman"/>
                <w:b/>
              </w:rPr>
            </w:pPr>
          </w:p>
        </w:tc>
        <w:tc>
          <w:tcPr>
            <w:tcW w:w="20" w:type="dxa"/>
            <w:shd w:val="clear" w:color="auto" w:fill="auto"/>
            <w:vAlign w:val="bottom"/>
          </w:tcPr>
          <w:p w14:paraId="16634B8D" w14:textId="77777777" w:rsidR="00A52778" w:rsidRPr="00460F9E" w:rsidRDefault="00A52778" w:rsidP="00FC3F8E">
            <w:pPr>
              <w:spacing w:line="0" w:lineRule="atLeast"/>
              <w:rPr>
                <w:rFonts w:eastAsia="Times New Roman" w:cs="Times New Roman"/>
                <w:b/>
              </w:rPr>
            </w:pPr>
          </w:p>
        </w:tc>
        <w:tc>
          <w:tcPr>
            <w:tcW w:w="3214" w:type="dxa"/>
            <w:gridSpan w:val="11"/>
            <w:tcBorders>
              <w:right w:val="single" w:sz="4" w:space="0" w:color="auto"/>
            </w:tcBorders>
            <w:shd w:val="clear" w:color="auto" w:fill="auto"/>
            <w:vAlign w:val="bottom"/>
          </w:tcPr>
          <w:p w14:paraId="7A563051"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açık uçlara sıkı kapakların takılması;</w:t>
            </w:r>
          </w:p>
        </w:tc>
        <w:tc>
          <w:tcPr>
            <w:tcW w:w="980" w:type="dxa"/>
            <w:tcBorders>
              <w:left w:val="single" w:sz="4" w:space="0" w:color="auto"/>
              <w:right w:val="single" w:sz="8" w:space="0" w:color="auto"/>
            </w:tcBorders>
            <w:shd w:val="clear" w:color="auto" w:fill="auto"/>
            <w:vAlign w:val="bottom"/>
          </w:tcPr>
          <w:p w14:paraId="57889A4C" w14:textId="77777777" w:rsidR="00A52778" w:rsidRPr="00460F9E" w:rsidRDefault="00A52778" w:rsidP="00FC3F8E">
            <w:pPr>
              <w:spacing w:line="0" w:lineRule="atLeast"/>
              <w:rPr>
                <w:rFonts w:eastAsia="Times New Roman" w:cs="Times New Roman"/>
                <w:b/>
              </w:rPr>
            </w:pPr>
          </w:p>
        </w:tc>
        <w:tc>
          <w:tcPr>
            <w:tcW w:w="404" w:type="dxa"/>
            <w:shd w:val="clear" w:color="auto" w:fill="auto"/>
            <w:vAlign w:val="bottom"/>
          </w:tcPr>
          <w:p w14:paraId="2E942DA7" w14:textId="77777777" w:rsidR="00A52778" w:rsidRPr="00460F9E" w:rsidRDefault="00A52778" w:rsidP="00FC3F8E">
            <w:pPr>
              <w:spacing w:line="0" w:lineRule="atLeast"/>
              <w:rPr>
                <w:rFonts w:eastAsia="Times New Roman" w:cs="Times New Roman"/>
                <w:b/>
              </w:rPr>
            </w:pPr>
          </w:p>
        </w:tc>
        <w:tc>
          <w:tcPr>
            <w:tcW w:w="557" w:type="dxa"/>
            <w:shd w:val="clear" w:color="auto" w:fill="auto"/>
            <w:vAlign w:val="bottom"/>
          </w:tcPr>
          <w:p w14:paraId="05A8238F" w14:textId="77777777" w:rsidR="00A52778" w:rsidRPr="00460F9E" w:rsidRDefault="00A52778" w:rsidP="00FC3F8E">
            <w:pPr>
              <w:spacing w:line="0" w:lineRule="atLeast"/>
              <w:rPr>
                <w:rFonts w:eastAsia="Times New Roman" w:cs="Times New Roman"/>
                <w:b/>
              </w:rPr>
            </w:pPr>
          </w:p>
        </w:tc>
        <w:tc>
          <w:tcPr>
            <w:tcW w:w="346" w:type="dxa"/>
            <w:shd w:val="clear" w:color="auto" w:fill="auto"/>
            <w:vAlign w:val="bottom"/>
          </w:tcPr>
          <w:p w14:paraId="1E68C7CB" w14:textId="77777777" w:rsidR="00A52778" w:rsidRPr="00460F9E" w:rsidRDefault="00A52778" w:rsidP="00FC3F8E">
            <w:pPr>
              <w:spacing w:line="0" w:lineRule="atLeast"/>
              <w:rPr>
                <w:rFonts w:eastAsia="Times New Roman" w:cs="Times New Roman"/>
                <w:b/>
              </w:rPr>
            </w:pPr>
          </w:p>
        </w:tc>
        <w:tc>
          <w:tcPr>
            <w:tcW w:w="423" w:type="dxa"/>
            <w:shd w:val="clear" w:color="auto" w:fill="auto"/>
            <w:vAlign w:val="bottom"/>
          </w:tcPr>
          <w:p w14:paraId="34C57BFB" w14:textId="77777777" w:rsidR="00A52778" w:rsidRPr="00460F9E" w:rsidRDefault="00A52778" w:rsidP="00FC3F8E">
            <w:pPr>
              <w:spacing w:line="0" w:lineRule="atLeast"/>
              <w:rPr>
                <w:rFonts w:eastAsia="Times New Roman" w:cs="Times New Roman"/>
                <w:b/>
              </w:rPr>
            </w:pPr>
          </w:p>
        </w:tc>
        <w:tc>
          <w:tcPr>
            <w:tcW w:w="481" w:type="dxa"/>
            <w:shd w:val="clear" w:color="auto" w:fill="auto"/>
            <w:vAlign w:val="bottom"/>
          </w:tcPr>
          <w:p w14:paraId="17321FBB" w14:textId="77777777" w:rsidR="00A52778" w:rsidRPr="00460F9E" w:rsidRDefault="00A52778" w:rsidP="00FC3F8E">
            <w:pPr>
              <w:spacing w:line="0" w:lineRule="atLeast"/>
              <w:rPr>
                <w:rFonts w:eastAsia="Times New Roman" w:cs="Times New Roman"/>
                <w:b/>
              </w:rPr>
            </w:pPr>
          </w:p>
        </w:tc>
        <w:tc>
          <w:tcPr>
            <w:tcW w:w="385" w:type="dxa"/>
            <w:tcBorders>
              <w:right w:val="single" w:sz="8" w:space="0" w:color="auto"/>
            </w:tcBorders>
            <w:shd w:val="clear" w:color="auto" w:fill="auto"/>
            <w:vAlign w:val="bottom"/>
          </w:tcPr>
          <w:p w14:paraId="78F810B6" w14:textId="77777777" w:rsidR="00A52778" w:rsidRPr="00460F9E" w:rsidRDefault="00A52778" w:rsidP="00FC3F8E">
            <w:pPr>
              <w:spacing w:line="0" w:lineRule="atLeast"/>
              <w:rPr>
                <w:rFonts w:eastAsia="Times New Roman" w:cs="Times New Roman"/>
                <w:b/>
              </w:rPr>
            </w:pPr>
          </w:p>
        </w:tc>
      </w:tr>
      <w:tr w:rsidR="00A52778" w:rsidRPr="00460F9E" w14:paraId="07BA4DC4" w14:textId="77777777" w:rsidTr="00FC3F8E">
        <w:trPr>
          <w:gridAfter w:val="1"/>
          <w:wAfter w:w="347" w:type="dxa"/>
          <w:trHeight w:val="302"/>
        </w:trPr>
        <w:tc>
          <w:tcPr>
            <w:tcW w:w="386" w:type="dxa"/>
            <w:tcBorders>
              <w:left w:val="single" w:sz="8" w:space="0" w:color="auto"/>
              <w:right w:val="single" w:sz="8" w:space="0" w:color="auto"/>
            </w:tcBorders>
            <w:shd w:val="clear" w:color="auto" w:fill="auto"/>
            <w:vAlign w:val="bottom"/>
          </w:tcPr>
          <w:p w14:paraId="01C458C4" w14:textId="77777777" w:rsidR="00A52778" w:rsidRPr="00460F9E" w:rsidRDefault="00A52778" w:rsidP="00FC3F8E">
            <w:pPr>
              <w:spacing w:line="0" w:lineRule="atLeast"/>
              <w:rPr>
                <w:rFonts w:eastAsia="Times New Roman" w:cs="Times New Roman"/>
                <w:b/>
              </w:rPr>
            </w:pPr>
          </w:p>
        </w:tc>
        <w:tc>
          <w:tcPr>
            <w:tcW w:w="424" w:type="dxa"/>
            <w:shd w:val="clear" w:color="auto" w:fill="auto"/>
            <w:vAlign w:val="bottom"/>
          </w:tcPr>
          <w:p w14:paraId="648DF878" w14:textId="77777777" w:rsidR="00A52778" w:rsidRPr="00460F9E" w:rsidRDefault="00A52778" w:rsidP="00FC3F8E">
            <w:pPr>
              <w:spacing w:line="0" w:lineRule="atLeast"/>
              <w:rPr>
                <w:rFonts w:eastAsia="Times New Roman" w:cs="Times New Roman"/>
                <w:b/>
              </w:rPr>
            </w:pPr>
          </w:p>
        </w:tc>
        <w:tc>
          <w:tcPr>
            <w:tcW w:w="788" w:type="dxa"/>
            <w:tcBorders>
              <w:right w:val="single" w:sz="8" w:space="0" w:color="auto"/>
            </w:tcBorders>
            <w:shd w:val="clear" w:color="auto" w:fill="auto"/>
            <w:vAlign w:val="bottom"/>
          </w:tcPr>
          <w:p w14:paraId="35820650" w14:textId="77777777" w:rsidR="00A52778" w:rsidRPr="00460F9E" w:rsidRDefault="00A52778" w:rsidP="00FC3F8E">
            <w:pPr>
              <w:spacing w:line="0" w:lineRule="atLeast"/>
              <w:rPr>
                <w:rFonts w:eastAsia="Times New Roman" w:cs="Times New Roman"/>
                <w:b/>
              </w:rPr>
            </w:pPr>
          </w:p>
        </w:tc>
        <w:tc>
          <w:tcPr>
            <w:tcW w:w="385" w:type="dxa"/>
            <w:shd w:val="clear" w:color="auto" w:fill="auto"/>
            <w:vAlign w:val="bottom"/>
          </w:tcPr>
          <w:p w14:paraId="5838F910" w14:textId="77777777" w:rsidR="00A52778" w:rsidRPr="00460F9E" w:rsidRDefault="00A52778" w:rsidP="00FC3F8E">
            <w:pPr>
              <w:spacing w:line="0" w:lineRule="atLeast"/>
              <w:rPr>
                <w:rFonts w:eastAsia="Times New Roman" w:cs="Times New Roman"/>
                <w:b/>
              </w:rPr>
            </w:pPr>
          </w:p>
        </w:tc>
        <w:tc>
          <w:tcPr>
            <w:tcW w:w="20" w:type="dxa"/>
            <w:shd w:val="clear" w:color="auto" w:fill="auto"/>
            <w:vAlign w:val="bottom"/>
          </w:tcPr>
          <w:p w14:paraId="1CB7B807" w14:textId="77777777" w:rsidR="00A52778" w:rsidRPr="00460F9E" w:rsidRDefault="00A52778" w:rsidP="00FC3F8E">
            <w:pPr>
              <w:spacing w:line="0" w:lineRule="atLeast"/>
              <w:rPr>
                <w:rFonts w:eastAsia="Times New Roman" w:cs="Times New Roman"/>
                <w:b/>
              </w:rPr>
            </w:pPr>
          </w:p>
        </w:tc>
        <w:tc>
          <w:tcPr>
            <w:tcW w:w="3214" w:type="dxa"/>
            <w:gridSpan w:val="11"/>
            <w:vMerge w:val="restart"/>
            <w:tcBorders>
              <w:right w:val="single" w:sz="4" w:space="0" w:color="auto"/>
            </w:tcBorders>
            <w:shd w:val="clear" w:color="auto" w:fill="auto"/>
            <w:vAlign w:val="bottom"/>
          </w:tcPr>
          <w:p w14:paraId="4F1B9685"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EN 13555' e göre seçilen ve monte </w:t>
            </w:r>
          </w:p>
          <w:p w14:paraId="706A4C12"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edilebilir flanşların kullanılması.</w:t>
            </w:r>
          </w:p>
        </w:tc>
        <w:tc>
          <w:tcPr>
            <w:tcW w:w="980" w:type="dxa"/>
            <w:tcBorders>
              <w:left w:val="single" w:sz="4" w:space="0" w:color="auto"/>
              <w:right w:val="single" w:sz="8" w:space="0" w:color="auto"/>
            </w:tcBorders>
            <w:shd w:val="clear" w:color="auto" w:fill="auto"/>
            <w:vAlign w:val="bottom"/>
          </w:tcPr>
          <w:p w14:paraId="38F553FD" w14:textId="77777777" w:rsidR="00A52778" w:rsidRPr="00460F9E" w:rsidRDefault="00A52778" w:rsidP="00FC3F8E">
            <w:pPr>
              <w:spacing w:line="0" w:lineRule="atLeast"/>
              <w:rPr>
                <w:rFonts w:eastAsia="Times New Roman" w:cs="Times New Roman"/>
                <w:b/>
              </w:rPr>
            </w:pPr>
          </w:p>
        </w:tc>
        <w:tc>
          <w:tcPr>
            <w:tcW w:w="404" w:type="dxa"/>
            <w:shd w:val="clear" w:color="auto" w:fill="auto"/>
            <w:vAlign w:val="bottom"/>
          </w:tcPr>
          <w:p w14:paraId="36A3D7B8" w14:textId="77777777" w:rsidR="00A52778" w:rsidRPr="00460F9E" w:rsidRDefault="00A52778" w:rsidP="00FC3F8E">
            <w:pPr>
              <w:spacing w:line="0" w:lineRule="atLeast"/>
              <w:rPr>
                <w:rFonts w:eastAsia="Times New Roman" w:cs="Times New Roman"/>
                <w:b/>
              </w:rPr>
            </w:pPr>
          </w:p>
        </w:tc>
        <w:tc>
          <w:tcPr>
            <w:tcW w:w="557" w:type="dxa"/>
            <w:shd w:val="clear" w:color="auto" w:fill="auto"/>
            <w:vAlign w:val="bottom"/>
          </w:tcPr>
          <w:p w14:paraId="46977A45" w14:textId="77777777" w:rsidR="00A52778" w:rsidRPr="00460F9E" w:rsidRDefault="00A52778" w:rsidP="00FC3F8E">
            <w:pPr>
              <w:spacing w:line="0" w:lineRule="atLeast"/>
              <w:rPr>
                <w:rFonts w:eastAsia="Times New Roman" w:cs="Times New Roman"/>
                <w:b/>
              </w:rPr>
            </w:pPr>
          </w:p>
        </w:tc>
        <w:tc>
          <w:tcPr>
            <w:tcW w:w="346" w:type="dxa"/>
            <w:shd w:val="clear" w:color="auto" w:fill="auto"/>
            <w:vAlign w:val="bottom"/>
          </w:tcPr>
          <w:p w14:paraId="3C3A8D65" w14:textId="77777777" w:rsidR="00A52778" w:rsidRPr="00460F9E" w:rsidRDefault="00A52778" w:rsidP="00FC3F8E">
            <w:pPr>
              <w:spacing w:line="0" w:lineRule="atLeast"/>
              <w:rPr>
                <w:rFonts w:eastAsia="Times New Roman" w:cs="Times New Roman"/>
                <w:b/>
              </w:rPr>
            </w:pPr>
          </w:p>
        </w:tc>
        <w:tc>
          <w:tcPr>
            <w:tcW w:w="423" w:type="dxa"/>
            <w:shd w:val="clear" w:color="auto" w:fill="auto"/>
            <w:vAlign w:val="bottom"/>
          </w:tcPr>
          <w:p w14:paraId="2D4F3DD9" w14:textId="77777777" w:rsidR="00A52778" w:rsidRPr="00460F9E" w:rsidRDefault="00A52778" w:rsidP="00FC3F8E">
            <w:pPr>
              <w:spacing w:line="0" w:lineRule="atLeast"/>
              <w:rPr>
                <w:rFonts w:eastAsia="Times New Roman" w:cs="Times New Roman"/>
                <w:b/>
              </w:rPr>
            </w:pPr>
          </w:p>
        </w:tc>
        <w:tc>
          <w:tcPr>
            <w:tcW w:w="481" w:type="dxa"/>
            <w:shd w:val="clear" w:color="auto" w:fill="auto"/>
            <w:vAlign w:val="bottom"/>
          </w:tcPr>
          <w:p w14:paraId="540485B9" w14:textId="77777777" w:rsidR="00A52778" w:rsidRPr="00460F9E" w:rsidRDefault="00A52778" w:rsidP="00FC3F8E">
            <w:pPr>
              <w:spacing w:line="0" w:lineRule="atLeast"/>
              <w:rPr>
                <w:rFonts w:eastAsia="Times New Roman" w:cs="Times New Roman"/>
                <w:b/>
              </w:rPr>
            </w:pPr>
          </w:p>
        </w:tc>
        <w:tc>
          <w:tcPr>
            <w:tcW w:w="385" w:type="dxa"/>
            <w:tcBorders>
              <w:right w:val="single" w:sz="8" w:space="0" w:color="auto"/>
            </w:tcBorders>
            <w:shd w:val="clear" w:color="auto" w:fill="auto"/>
            <w:vAlign w:val="bottom"/>
          </w:tcPr>
          <w:p w14:paraId="4C8AE685" w14:textId="77777777" w:rsidR="00A52778" w:rsidRPr="00460F9E" w:rsidRDefault="00A52778" w:rsidP="00FC3F8E">
            <w:pPr>
              <w:spacing w:line="0" w:lineRule="atLeast"/>
              <w:rPr>
                <w:rFonts w:eastAsia="Times New Roman" w:cs="Times New Roman"/>
                <w:b/>
              </w:rPr>
            </w:pPr>
          </w:p>
        </w:tc>
      </w:tr>
      <w:tr w:rsidR="00A52778" w:rsidRPr="00460F9E" w14:paraId="2D31466F" w14:textId="77777777" w:rsidTr="00FC3F8E">
        <w:trPr>
          <w:gridAfter w:val="1"/>
          <w:wAfter w:w="347" w:type="dxa"/>
          <w:trHeight w:val="230"/>
        </w:trPr>
        <w:tc>
          <w:tcPr>
            <w:tcW w:w="386" w:type="dxa"/>
            <w:tcBorders>
              <w:left w:val="single" w:sz="8" w:space="0" w:color="auto"/>
              <w:right w:val="single" w:sz="8" w:space="0" w:color="auto"/>
            </w:tcBorders>
            <w:shd w:val="clear" w:color="auto" w:fill="auto"/>
            <w:vAlign w:val="bottom"/>
          </w:tcPr>
          <w:p w14:paraId="11461CB1" w14:textId="77777777" w:rsidR="00A52778" w:rsidRPr="00460F9E" w:rsidRDefault="00A52778" w:rsidP="00FC3F8E">
            <w:pPr>
              <w:spacing w:line="0" w:lineRule="atLeast"/>
              <w:rPr>
                <w:rFonts w:eastAsia="Times New Roman" w:cs="Times New Roman"/>
                <w:b/>
              </w:rPr>
            </w:pPr>
          </w:p>
        </w:tc>
        <w:tc>
          <w:tcPr>
            <w:tcW w:w="424" w:type="dxa"/>
            <w:shd w:val="clear" w:color="auto" w:fill="auto"/>
            <w:vAlign w:val="bottom"/>
          </w:tcPr>
          <w:p w14:paraId="49C76687" w14:textId="77777777" w:rsidR="00A52778" w:rsidRPr="00460F9E" w:rsidRDefault="00A52778" w:rsidP="00FC3F8E">
            <w:pPr>
              <w:spacing w:line="0" w:lineRule="atLeast"/>
              <w:rPr>
                <w:rFonts w:eastAsia="Times New Roman" w:cs="Times New Roman"/>
                <w:b/>
              </w:rPr>
            </w:pPr>
          </w:p>
        </w:tc>
        <w:tc>
          <w:tcPr>
            <w:tcW w:w="788" w:type="dxa"/>
            <w:tcBorders>
              <w:right w:val="single" w:sz="8" w:space="0" w:color="auto"/>
            </w:tcBorders>
            <w:shd w:val="clear" w:color="auto" w:fill="auto"/>
            <w:vAlign w:val="bottom"/>
          </w:tcPr>
          <w:p w14:paraId="01B513AD" w14:textId="77777777" w:rsidR="00A52778" w:rsidRPr="00460F9E" w:rsidRDefault="00A52778" w:rsidP="00FC3F8E">
            <w:pPr>
              <w:spacing w:line="0" w:lineRule="atLeast"/>
              <w:rPr>
                <w:rFonts w:eastAsia="Times New Roman" w:cs="Times New Roman"/>
                <w:b/>
              </w:rPr>
            </w:pPr>
          </w:p>
        </w:tc>
        <w:tc>
          <w:tcPr>
            <w:tcW w:w="385" w:type="dxa"/>
            <w:shd w:val="clear" w:color="auto" w:fill="auto"/>
            <w:vAlign w:val="bottom"/>
          </w:tcPr>
          <w:p w14:paraId="1AC08407" w14:textId="77777777" w:rsidR="00A52778" w:rsidRPr="00460F9E" w:rsidRDefault="00A52778" w:rsidP="00FC3F8E">
            <w:pPr>
              <w:spacing w:line="0" w:lineRule="atLeast"/>
              <w:rPr>
                <w:rFonts w:eastAsia="Times New Roman" w:cs="Times New Roman"/>
                <w:b/>
              </w:rPr>
            </w:pPr>
          </w:p>
        </w:tc>
        <w:tc>
          <w:tcPr>
            <w:tcW w:w="20" w:type="dxa"/>
            <w:shd w:val="clear" w:color="auto" w:fill="auto"/>
            <w:vAlign w:val="bottom"/>
          </w:tcPr>
          <w:p w14:paraId="6695D284" w14:textId="77777777" w:rsidR="00A52778" w:rsidRPr="00460F9E" w:rsidRDefault="00A52778" w:rsidP="00FC3F8E">
            <w:pPr>
              <w:spacing w:line="0" w:lineRule="atLeast"/>
              <w:rPr>
                <w:rFonts w:eastAsia="Times New Roman" w:cs="Times New Roman"/>
                <w:b/>
              </w:rPr>
            </w:pPr>
          </w:p>
        </w:tc>
        <w:tc>
          <w:tcPr>
            <w:tcW w:w="3214" w:type="dxa"/>
            <w:gridSpan w:val="11"/>
            <w:vMerge/>
            <w:tcBorders>
              <w:right w:val="single" w:sz="4" w:space="0" w:color="auto"/>
            </w:tcBorders>
            <w:shd w:val="clear" w:color="auto" w:fill="auto"/>
            <w:vAlign w:val="bottom"/>
          </w:tcPr>
          <w:p w14:paraId="1CB9F7DC" w14:textId="77777777" w:rsidR="00A52778" w:rsidRPr="00460F9E" w:rsidRDefault="00A52778" w:rsidP="00FC3F8E">
            <w:pPr>
              <w:spacing w:line="0" w:lineRule="atLeast"/>
              <w:rPr>
                <w:rFonts w:eastAsia="Times New Roman" w:cs="Times New Roman"/>
                <w:b/>
              </w:rPr>
            </w:pPr>
          </w:p>
        </w:tc>
        <w:tc>
          <w:tcPr>
            <w:tcW w:w="980" w:type="dxa"/>
            <w:tcBorders>
              <w:left w:val="single" w:sz="4" w:space="0" w:color="auto"/>
              <w:right w:val="single" w:sz="8" w:space="0" w:color="auto"/>
            </w:tcBorders>
            <w:shd w:val="clear" w:color="auto" w:fill="auto"/>
            <w:vAlign w:val="bottom"/>
          </w:tcPr>
          <w:p w14:paraId="25666799" w14:textId="77777777" w:rsidR="00A52778" w:rsidRPr="00460F9E" w:rsidRDefault="00A52778" w:rsidP="00FC3F8E">
            <w:pPr>
              <w:spacing w:line="0" w:lineRule="atLeast"/>
              <w:rPr>
                <w:rFonts w:eastAsia="Times New Roman" w:cs="Times New Roman"/>
                <w:b/>
              </w:rPr>
            </w:pPr>
          </w:p>
        </w:tc>
        <w:tc>
          <w:tcPr>
            <w:tcW w:w="404" w:type="dxa"/>
            <w:shd w:val="clear" w:color="auto" w:fill="auto"/>
            <w:vAlign w:val="bottom"/>
          </w:tcPr>
          <w:p w14:paraId="64A126A8" w14:textId="77777777" w:rsidR="00A52778" w:rsidRPr="00460F9E" w:rsidRDefault="00A52778" w:rsidP="00FC3F8E">
            <w:pPr>
              <w:spacing w:line="0" w:lineRule="atLeast"/>
              <w:rPr>
                <w:rFonts w:eastAsia="Times New Roman" w:cs="Times New Roman"/>
                <w:b/>
              </w:rPr>
            </w:pPr>
          </w:p>
        </w:tc>
        <w:tc>
          <w:tcPr>
            <w:tcW w:w="557" w:type="dxa"/>
            <w:shd w:val="clear" w:color="auto" w:fill="auto"/>
            <w:vAlign w:val="bottom"/>
          </w:tcPr>
          <w:p w14:paraId="1554DF37" w14:textId="77777777" w:rsidR="00A52778" w:rsidRPr="00460F9E" w:rsidRDefault="00A52778" w:rsidP="00FC3F8E">
            <w:pPr>
              <w:spacing w:line="0" w:lineRule="atLeast"/>
              <w:rPr>
                <w:rFonts w:eastAsia="Times New Roman" w:cs="Times New Roman"/>
                <w:b/>
              </w:rPr>
            </w:pPr>
          </w:p>
        </w:tc>
        <w:tc>
          <w:tcPr>
            <w:tcW w:w="346" w:type="dxa"/>
            <w:shd w:val="clear" w:color="auto" w:fill="auto"/>
            <w:vAlign w:val="bottom"/>
          </w:tcPr>
          <w:p w14:paraId="7403EED5" w14:textId="77777777" w:rsidR="00A52778" w:rsidRPr="00460F9E" w:rsidRDefault="00A52778" w:rsidP="00FC3F8E">
            <w:pPr>
              <w:spacing w:line="0" w:lineRule="atLeast"/>
              <w:rPr>
                <w:rFonts w:eastAsia="Times New Roman" w:cs="Times New Roman"/>
                <w:b/>
              </w:rPr>
            </w:pPr>
          </w:p>
        </w:tc>
        <w:tc>
          <w:tcPr>
            <w:tcW w:w="423" w:type="dxa"/>
            <w:shd w:val="clear" w:color="auto" w:fill="auto"/>
            <w:vAlign w:val="bottom"/>
          </w:tcPr>
          <w:p w14:paraId="55EE67E0" w14:textId="77777777" w:rsidR="00A52778" w:rsidRPr="00460F9E" w:rsidRDefault="00A52778" w:rsidP="00FC3F8E">
            <w:pPr>
              <w:spacing w:line="0" w:lineRule="atLeast"/>
              <w:rPr>
                <w:rFonts w:eastAsia="Times New Roman" w:cs="Times New Roman"/>
                <w:b/>
              </w:rPr>
            </w:pPr>
          </w:p>
        </w:tc>
        <w:tc>
          <w:tcPr>
            <w:tcW w:w="481" w:type="dxa"/>
            <w:shd w:val="clear" w:color="auto" w:fill="auto"/>
            <w:vAlign w:val="bottom"/>
          </w:tcPr>
          <w:p w14:paraId="3613D803" w14:textId="77777777" w:rsidR="00A52778" w:rsidRPr="00460F9E" w:rsidRDefault="00A52778" w:rsidP="00FC3F8E">
            <w:pPr>
              <w:spacing w:line="0" w:lineRule="atLeast"/>
              <w:rPr>
                <w:rFonts w:eastAsia="Times New Roman" w:cs="Times New Roman"/>
                <w:b/>
              </w:rPr>
            </w:pPr>
          </w:p>
        </w:tc>
        <w:tc>
          <w:tcPr>
            <w:tcW w:w="385" w:type="dxa"/>
            <w:tcBorders>
              <w:right w:val="single" w:sz="8" w:space="0" w:color="auto"/>
            </w:tcBorders>
            <w:shd w:val="clear" w:color="auto" w:fill="auto"/>
            <w:vAlign w:val="bottom"/>
          </w:tcPr>
          <w:p w14:paraId="3252CA8D" w14:textId="77777777" w:rsidR="00A52778" w:rsidRPr="00460F9E" w:rsidRDefault="00A52778" w:rsidP="00FC3F8E">
            <w:pPr>
              <w:spacing w:line="0" w:lineRule="atLeast"/>
              <w:rPr>
                <w:rFonts w:eastAsia="Times New Roman" w:cs="Times New Roman"/>
                <w:b/>
              </w:rPr>
            </w:pPr>
          </w:p>
        </w:tc>
      </w:tr>
      <w:tr w:rsidR="00A52778" w:rsidRPr="00460F9E" w14:paraId="73680FC8" w14:textId="77777777" w:rsidTr="00FC3F8E">
        <w:trPr>
          <w:gridAfter w:val="1"/>
          <w:wAfter w:w="347" w:type="dxa"/>
          <w:trHeight w:val="66"/>
        </w:trPr>
        <w:tc>
          <w:tcPr>
            <w:tcW w:w="386" w:type="dxa"/>
            <w:tcBorders>
              <w:left w:val="single" w:sz="8" w:space="0" w:color="auto"/>
              <w:bottom w:val="single" w:sz="8" w:space="0" w:color="auto"/>
              <w:right w:val="single" w:sz="8" w:space="0" w:color="auto"/>
            </w:tcBorders>
            <w:shd w:val="clear" w:color="auto" w:fill="auto"/>
            <w:vAlign w:val="bottom"/>
          </w:tcPr>
          <w:p w14:paraId="5667E78A" w14:textId="77777777" w:rsidR="00A52778" w:rsidRPr="00460F9E" w:rsidRDefault="00A52778" w:rsidP="00FC3F8E">
            <w:pPr>
              <w:spacing w:line="0" w:lineRule="atLeast"/>
              <w:rPr>
                <w:rFonts w:eastAsia="Times New Roman" w:cs="Times New Roman"/>
                <w:b/>
                <w:sz w:val="5"/>
              </w:rPr>
            </w:pPr>
          </w:p>
        </w:tc>
        <w:tc>
          <w:tcPr>
            <w:tcW w:w="424" w:type="dxa"/>
            <w:tcBorders>
              <w:bottom w:val="single" w:sz="8" w:space="0" w:color="auto"/>
            </w:tcBorders>
            <w:shd w:val="clear" w:color="auto" w:fill="auto"/>
            <w:vAlign w:val="bottom"/>
          </w:tcPr>
          <w:p w14:paraId="6B2A8374" w14:textId="77777777" w:rsidR="00A52778" w:rsidRPr="00460F9E" w:rsidRDefault="00A52778" w:rsidP="00FC3F8E">
            <w:pPr>
              <w:spacing w:line="0" w:lineRule="atLeast"/>
              <w:rPr>
                <w:rFonts w:eastAsia="Times New Roman" w:cs="Times New Roman"/>
                <w:b/>
                <w:sz w:val="5"/>
              </w:rPr>
            </w:pPr>
          </w:p>
        </w:tc>
        <w:tc>
          <w:tcPr>
            <w:tcW w:w="788" w:type="dxa"/>
            <w:tcBorders>
              <w:bottom w:val="single" w:sz="8" w:space="0" w:color="auto"/>
              <w:right w:val="single" w:sz="8" w:space="0" w:color="auto"/>
            </w:tcBorders>
            <w:shd w:val="clear" w:color="auto" w:fill="auto"/>
            <w:vAlign w:val="bottom"/>
          </w:tcPr>
          <w:p w14:paraId="5901EFAD" w14:textId="77777777" w:rsidR="00A52778" w:rsidRPr="00460F9E" w:rsidRDefault="00A52778" w:rsidP="00FC3F8E">
            <w:pPr>
              <w:spacing w:line="0" w:lineRule="atLeast"/>
              <w:rPr>
                <w:rFonts w:eastAsia="Times New Roman" w:cs="Times New Roman"/>
                <w:b/>
                <w:sz w:val="5"/>
              </w:rPr>
            </w:pPr>
          </w:p>
        </w:tc>
        <w:tc>
          <w:tcPr>
            <w:tcW w:w="385" w:type="dxa"/>
            <w:tcBorders>
              <w:bottom w:val="single" w:sz="8" w:space="0" w:color="auto"/>
            </w:tcBorders>
            <w:shd w:val="clear" w:color="auto" w:fill="auto"/>
            <w:vAlign w:val="bottom"/>
          </w:tcPr>
          <w:p w14:paraId="3A54A779" w14:textId="77777777" w:rsidR="00A52778" w:rsidRPr="00460F9E" w:rsidRDefault="00A52778" w:rsidP="00FC3F8E">
            <w:pPr>
              <w:spacing w:line="0" w:lineRule="atLeast"/>
              <w:rPr>
                <w:rFonts w:eastAsia="Times New Roman" w:cs="Times New Roman"/>
                <w:b/>
                <w:sz w:val="5"/>
              </w:rPr>
            </w:pPr>
          </w:p>
        </w:tc>
        <w:tc>
          <w:tcPr>
            <w:tcW w:w="2310" w:type="dxa"/>
            <w:gridSpan w:val="9"/>
            <w:tcBorders>
              <w:bottom w:val="single" w:sz="8" w:space="0" w:color="auto"/>
            </w:tcBorders>
            <w:shd w:val="clear" w:color="auto" w:fill="auto"/>
            <w:vAlign w:val="bottom"/>
          </w:tcPr>
          <w:p w14:paraId="5CA9AED0" w14:textId="77777777" w:rsidR="00A52778" w:rsidRPr="00460F9E" w:rsidRDefault="00A52778" w:rsidP="00FC3F8E">
            <w:pPr>
              <w:spacing w:line="0" w:lineRule="atLeast"/>
              <w:rPr>
                <w:rFonts w:eastAsia="Times New Roman" w:cs="Times New Roman"/>
                <w:b/>
                <w:sz w:val="5"/>
              </w:rPr>
            </w:pPr>
          </w:p>
        </w:tc>
        <w:tc>
          <w:tcPr>
            <w:tcW w:w="346" w:type="dxa"/>
            <w:tcBorders>
              <w:bottom w:val="single" w:sz="8" w:space="0" w:color="auto"/>
            </w:tcBorders>
            <w:shd w:val="clear" w:color="auto" w:fill="auto"/>
            <w:vAlign w:val="bottom"/>
          </w:tcPr>
          <w:p w14:paraId="74A443F1" w14:textId="77777777" w:rsidR="00A52778" w:rsidRPr="00460F9E" w:rsidRDefault="00A52778" w:rsidP="00FC3F8E">
            <w:pPr>
              <w:spacing w:line="0" w:lineRule="atLeast"/>
              <w:rPr>
                <w:rFonts w:eastAsia="Times New Roman" w:cs="Times New Roman"/>
                <w:b/>
                <w:sz w:val="5"/>
              </w:rPr>
            </w:pPr>
          </w:p>
        </w:tc>
        <w:tc>
          <w:tcPr>
            <w:tcW w:w="97" w:type="dxa"/>
            <w:tcBorders>
              <w:bottom w:val="single" w:sz="8" w:space="0" w:color="auto"/>
            </w:tcBorders>
            <w:shd w:val="clear" w:color="auto" w:fill="auto"/>
            <w:vAlign w:val="bottom"/>
          </w:tcPr>
          <w:p w14:paraId="5CCF6158" w14:textId="77777777" w:rsidR="00A52778" w:rsidRPr="00460F9E" w:rsidRDefault="00A52778" w:rsidP="00FC3F8E">
            <w:pPr>
              <w:spacing w:line="0" w:lineRule="atLeast"/>
              <w:rPr>
                <w:rFonts w:eastAsia="Times New Roman" w:cs="Times New Roman"/>
                <w:b/>
                <w:sz w:val="5"/>
              </w:rPr>
            </w:pPr>
          </w:p>
        </w:tc>
        <w:tc>
          <w:tcPr>
            <w:tcW w:w="481" w:type="dxa"/>
            <w:tcBorders>
              <w:bottom w:val="single" w:sz="8" w:space="0" w:color="auto"/>
              <w:right w:val="single" w:sz="4" w:space="0" w:color="auto"/>
            </w:tcBorders>
            <w:shd w:val="clear" w:color="auto" w:fill="auto"/>
            <w:vAlign w:val="bottom"/>
          </w:tcPr>
          <w:p w14:paraId="1AD66348" w14:textId="77777777" w:rsidR="00A52778" w:rsidRPr="00460F9E" w:rsidRDefault="00A52778" w:rsidP="00FC3F8E">
            <w:pPr>
              <w:spacing w:line="0" w:lineRule="atLeast"/>
              <w:rPr>
                <w:rFonts w:eastAsia="Times New Roman" w:cs="Times New Roman"/>
                <w:b/>
                <w:sz w:val="5"/>
              </w:rPr>
            </w:pPr>
          </w:p>
        </w:tc>
        <w:tc>
          <w:tcPr>
            <w:tcW w:w="980" w:type="dxa"/>
            <w:tcBorders>
              <w:left w:val="single" w:sz="4" w:space="0" w:color="auto"/>
              <w:bottom w:val="single" w:sz="8" w:space="0" w:color="auto"/>
              <w:right w:val="single" w:sz="8" w:space="0" w:color="auto"/>
            </w:tcBorders>
            <w:shd w:val="clear" w:color="auto" w:fill="auto"/>
            <w:vAlign w:val="bottom"/>
          </w:tcPr>
          <w:p w14:paraId="2DAB93BB" w14:textId="77777777" w:rsidR="00A52778" w:rsidRPr="00460F9E" w:rsidRDefault="00A52778" w:rsidP="00FC3F8E">
            <w:pPr>
              <w:spacing w:line="0" w:lineRule="atLeast"/>
              <w:rPr>
                <w:rFonts w:eastAsia="Times New Roman" w:cs="Times New Roman"/>
                <w:b/>
                <w:sz w:val="5"/>
              </w:rPr>
            </w:pPr>
          </w:p>
        </w:tc>
        <w:tc>
          <w:tcPr>
            <w:tcW w:w="404" w:type="dxa"/>
            <w:tcBorders>
              <w:bottom w:val="single" w:sz="8" w:space="0" w:color="auto"/>
            </w:tcBorders>
            <w:shd w:val="clear" w:color="auto" w:fill="auto"/>
            <w:vAlign w:val="bottom"/>
          </w:tcPr>
          <w:p w14:paraId="2A4F26DB" w14:textId="77777777" w:rsidR="00A52778" w:rsidRPr="00460F9E" w:rsidRDefault="00A52778" w:rsidP="00FC3F8E">
            <w:pPr>
              <w:spacing w:line="0" w:lineRule="atLeast"/>
              <w:rPr>
                <w:rFonts w:eastAsia="Times New Roman" w:cs="Times New Roman"/>
                <w:b/>
                <w:sz w:val="5"/>
              </w:rPr>
            </w:pPr>
          </w:p>
        </w:tc>
        <w:tc>
          <w:tcPr>
            <w:tcW w:w="557" w:type="dxa"/>
            <w:tcBorders>
              <w:bottom w:val="single" w:sz="8" w:space="0" w:color="auto"/>
            </w:tcBorders>
            <w:shd w:val="clear" w:color="auto" w:fill="auto"/>
            <w:vAlign w:val="bottom"/>
          </w:tcPr>
          <w:p w14:paraId="399262B2" w14:textId="77777777" w:rsidR="00A52778" w:rsidRPr="00460F9E" w:rsidRDefault="00A52778" w:rsidP="00FC3F8E">
            <w:pPr>
              <w:spacing w:line="0" w:lineRule="atLeast"/>
              <w:rPr>
                <w:rFonts w:eastAsia="Times New Roman" w:cs="Times New Roman"/>
                <w:b/>
                <w:sz w:val="5"/>
              </w:rPr>
            </w:pPr>
          </w:p>
        </w:tc>
        <w:tc>
          <w:tcPr>
            <w:tcW w:w="346" w:type="dxa"/>
            <w:tcBorders>
              <w:bottom w:val="single" w:sz="8" w:space="0" w:color="auto"/>
            </w:tcBorders>
            <w:shd w:val="clear" w:color="auto" w:fill="auto"/>
            <w:vAlign w:val="bottom"/>
          </w:tcPr>
          <w:p w14:paraId="3FE116EA" w14:textId="77777777" w:rsidR="00A52778" w:rsidRPr="00460F9E" w:rsidRDefault="00A52778" w:rsidP="00FC3F8E">
            <w:pPr>
              <w:spacing w:line="0" w:lineRule="atLeast"/>
              <w:rPr>
                <w:rFonts w:eastAsia="Times New Roman" w:cs="Times New Roman"/>
                <w:b/>
                <w:sz w:val="5"/>
              </w:rPr>
            </w:pPr>
          </w:p>
        </w:tc>
        <w:tc>
          <w:tcPr>
            <w:tcW w:w="423" w:type="dxa"/>
            <w:tcBorders>
              <w:bottom w:val="single" w:sz="8" w:space="0" w:color="auto"/>
            </w:tcBorders>
            <w:shd w:val="clear" w:color="auto" w:fill="auto"/>
            <w:vAlign w:val="bottom"/>
          </w:tcPr>
          <w:p w14:paraId="3938D717" w14:textId="77777777" w:rsidR="00A52778" w:rsidRPr="00460F9E" w:rsidRDefault="00A52778" w:rsidP="00FC3F8E">
            <w:pPr>
              <w:spacing w:line="0" w:lineRule="atLeast"/>
              <w:rPr>
                <w:rFonts w:eastAsia="Times New Roman" w:cs="Times New Roman"/>
                <w:b/>
                <w:sz w:val="5"/>
              </w:rPr>
            </w:pPr>
          </w:p>
        </w:tc>
        <w:tc>
          <w:tcPr>
            <w:tcW w:w="481" w:type="dxa"/>
            <w:tcBorders>
              <w:bottom w:val="single" w:sz="8" w:space="0" w:color="auto"/>
            </w:tcBorders>
            <w:shd w:val="clear" w:color="auto" w:fill="auto"/>
            <w:vAlign w:val="bottom"/>
          </w:tcPr>
          <w:p w14:paraId="54A05D27" w14:textId="77777777" w:rsidR="00A52778" w:rsidRPr="00460F9E" w:rsidRDefault="00A52778" w:rsidP="00FC3F8E">
            <w:pPr>
              <w:spacing w:line="0" w:lineRule="atLeast"/>
              <w:rPr>
                <w:rFonts w:eastAsia="Times New Roman" w:cs="Times New Roman"/>
                <w:b/>
                <w:sz w:val="5"/>
              </w:rPr>
            </w:pPr>
          </w:p>
        </w:tc>
        <w:tc>
          <w:tcPr>
            <w:tcW w:w="385" w:type="dxa"/>
            <w:tcBorders>
              <w:bottom w:val="single" w:sz="8" w:space="0" w:color="auto"/>
              <w:right w:val="single" w:sz="8" w:space="0" w:color="auto"/>
            </w:tcBorders>
            <w:shd w:val="clear" w:color="auto" w:fill="auto"/>
            <w:vAlign w:val="bottom"/>
          </w:tcPr>
          <w:p w14:paraId="27228C2B" w14:textId="77777777" w:rsidR="00A52778" w:rsidRPr="00460F9E" w:rsidRDefault="00A52778" w:rsidP="00FC3F8E">
            <w:pPr>
              <w:spacing w:line="0" w:lineRule="atLeast"/>
              <w:rPr>
                <w:rFonts w:eastAsia="Times New Roman" w:cs="Times New Roman"/>
                <w:b/>
                <w:sz w:val="5"/>
              </w:rPr>
            </w:pPr>
          </w:p>
        </w:tc>
      </w:tr>
      <w:tr w:rsidR="00A52778" w:rsidRPr="00460F9E" w14:paraId="6F8CC775" w14:textId="77777777" w:rsidTr="00FC3F8E">
        <w:trPr>
          <w:gridAfter w:val="1"/>
          <w:wAfter w:w="347" w:type="dxa"/>
          <w:trHeight w:val="214"/>
        </w:trPr>
        <w:tc>
          <w:tcPr>
            <w:tcW w:w="386" w:type="dxa"/>
            <w:tcBorders>
              <w:left w:val="single" w:sz="8" w:space="0" w:color="auto"/>
              <w:right w:val="single" w:sz="8" w:space="0" w:color="auto"/>
            </w:tcBorders>
            <w:shd w:val="clear" w:color="auto" w:fill="auto"/>
            <w:vAlign w:val="bottom"/>
          </w:tcPr>
          <w:p w14:paraId="7A325467" w14:textId="77777777" w:rsidR="00A52778" w:rsidRPr="00460F9E" w:rsidRDefault="00A52778" w:rsidP="00FC3F8E">
            <w:pPr>
              <w:spacing w:line="0" w:lineRule="atLeast"/>
              <w:rPr>
                <w:rFonts w:eastAsia="Times New Roman" w:cs="Times New Roman"/>
                <w:b/>
                <w:sz w:val="18"/>
              </w:rPr>
            </w:pPr>
          </w:p>
        </w:tc>
        <w:tc>
          <w:tcPr>
            <w:tcW w:w="424" w:type="dxa"/>
            <w:shd w:val="clear" w:color="auto" w:fill="auto"/>
            <w:vAlign w:val="bottom"/>
          </w:tcPr>
          <w:p w14:paraId="77DCF138" w14:textId="77777777" w:rsidR="00A52778" w:rsidRPr="00460F9E" w:rsidRDefault="00A52778" w:rsidP="00FC3F8E">
            <w:pPr>
              <w:spacing w:line="0" w:lineRule="atLeast"/>
              <w:rPr>
                <w:rFonts w:eastAsia="Times New Roman" w:cs="Times New Roman"/>
                <w:b/>
                <w:sz w:val="18"/>
              </w:rPr>
            </w:pPr>
          </w:p>
        </w:tc>
        <w:tc>
          <w:tcPr>
            <w:tcW w:w="788" w:type="dxa"/>
            <w:tcBorders>
              <w:right w:val="single" w:sz="8" w:space="0" w:color="auto"/>
            </w:tcBorders>
            <w:shd w:val="clear" w:color="auto" w:fill="auto"/>
            <w:vAlign w:val="bottom"/>
          </w:tcPr>
          <w:p w14:paraId="721EF0A5" w14:textId="77777777" w:rsidR="00A52778" w:rsidRPr="00460F9E" w:rsidRDefault="00A52778" w:rsidP="00FC3F8E">
            <w:pPr>
              <w:spacing w:line="0" w:lineRule="atLeast"/>
              <w:rPr>
                <w:rFonts w:eastAsia="Times New Roman" w:cs="Times New Roman"/>
                <w:b/>
                <w:sz w:val="18"/>
              </w:rPr>
            </w:pPr>
          </w:p>
        </w:tc>
        <w:tc>
          <w:tcPr>
            <w:tcW w:w="385" w:type="dxa"/>
            <w:shd w:val="clear" w:color="auto" w:fill="auto"/>
            <w:vAlign w:val="bottom"/>
          </w:tcPr>
          <w:p w14:paraId="2802DB29" w14:textId="77777777" w:rsidR="00A52778" w:rsidRPr="00460F9E" w:rsidRDefault="00A52778" w:rsidP="00FC3F8E">
            <w:pPr>
              <w:spacing w:line="0" w:lineRule="atLeast"/>
              <w:rPr>
                <w:rFonts w:eastAsia="Times New Roman" w:cs="Times New Roman"/>
                <w:b/>
                <w:sz w:val="18"/>
              </w:rPr>
            </w:pPr>
          </w:p>
        </w:tc>
        <w:tc>
          <w:tcPr>
            <w:tcW w:w="3234" w:type="dxa"/>
            <w:gridSpan w:val="12"/>
            <w:tcBorders>
              <w:right w:val="single" w:sz="4" w:space="0" w:color="auto"/>
            </w:tcBorders>
            <w:shd w:val="clear" w:color="auto" w:fill="auto"/>
            <w:vAlign w:val="bottom"/>
          </w:tcPr>
          <w:p w14:paraId="109E790E" w14:textId="77777777" w:rsidR="00A52778" w:rsidRPr="00460F9E" w:rsidRDefault="00A52778" w:rsidP="00FC3F8E">
            <w:pPr>
              <w:spacing w:line="0" w:lineRule="atLeast"/>
              <w:rPr>
                <w:rFonts w:eastAsia="Times New Roman" w:cs="Times New Roman"/>
                <w:b/>
                <w:sz w:val="18"/>
              </w:rPr>
            </w:pPr>
            <w:r w:rsidRPr="00460F9E">
              <w:rPr>
                <w:rFonts w:eastAsia="Times New Roman" w:cs="Times New Roman"/>
              </w:rPr>
              <w:t>Bu madde aşağıdakilerin değiştirilmesini içermektedir:</w:t>
            </w:r>
          </w:p>
        </w:tc>
        <w:tc>
          <w:tcPr>
            <w:tcW w:w="980" w:type="dxa"/>
            <w:tcBorders>
              <w:left w:val="single" w:sz="4" w:space="0" w:color="auto"/>
              <w:right w:val="single" w:sz="8" w:space="0" w:color="auto"/>
            </w:tcBorders>
            <w:shd w:val="clear" w:color="auto" w:fill="auto"/>
            <w:vAlign w:val="bottom"/>
          </w:tcPr>
          <w:p w14:paraId="2A96DAAA" w14:textId="77777777" w:rsidR="00A52778" w:rsidRPr="00460F9E" w:rsidRDefault="00A52778" w:rsidP="00FC3F8E">
            <w:pPr>
              <w:spacing w:line="0" w:lineRule="atLeast"/>
              <w:rPr>
                <w:rFonts w:eastAsia="Times New Roman" w:cs="Times New Roman"/>
                <w:b/>
                <w:sz w:val="18"/>
              </w:rPr>
            </w:pPr>
          </w:p>
        </w:tc>
        <w:tc>
          <w:tcPr>
            <w:tcW w:w="404" w:type="dxa"/>
            <w:shd w:val="clear" w:color="auto" w:fill="auto"/>
            <w:vAlign w:val="bottom"/>
          </w:tcPr>
          <w:p w14:paraId="784F77A8" w14:textId="77777777" w:rsidR="00A52778" w:rsidRPr="00460F9E" w:rsidRDefault="00A52778" w:rsidP="00FC3F8E">
            <w:pPr>
              <w:spacing w:line="0" w:lineRule="atLeast"/>
              <w:rPr>
                <w:rFonts w:eastAsia="Times New Roman" w:cs="Times New Roman"/>
                <w:b/>
                <w:sz w:val="18"/>
              </w:rPr>
            </w:pPr>
          </w:p>
        </w:tc>
        <w:tc>
          <w:tcPr>
            <w:tcW w:w="557" w:type="dxa"/>
            <w:shd w:val="clear" w:color="auto" w:fill="auto"/>
            <w:vAlign w:val="bottom"/>
          </w:tcPr>
          <w:p w14:paraId="1BAE6850" w14:textId="77777777" w:rsidR="00A52778" w:rsidRPr="00460F9E" w:rsidRDefault="00A52778" w:rsidP="00FC3F8E">
            <w:pPr>
              <w:spacing w:line="0" w:lineRule="atLeast"/>
              <w:rPr>
                <w:rFonts w:eastAsia="Times New Roman" w:cs="Times New Roman"/>
                <w:b/>
                <w:sz w:val="18"/>
              </w:rPr>
            </w:pPr>
          </w:p>
        </w:tc>
        <w:tc>
          <w:tcPr>
            <w:tcW w:w="346" w:type="dxa"/>
            <w:shd w:val="clear" w:color="auto" w:fill="auto"/>
            <w:vAlign w:val="bottom"/>
          </w:tcPr>
          <w:p w14:paraId="0CE47758" w14:textId="77777777" w:rsidR="00A52778" w:rsidRPr="00460F9E" w:rsidRDefault="00A52778" w:rsidP="00FC3F8E">
            <w:pPr>
              <w:spacing w:line="0" w:lineRule="atLeast"/>
              <w:rPr>
                <w:rFonts w:eastAsia="Times New Roman" w:cs="Times New Roman"/>
                <w:b/>
                <w:sz w:val="18"/>
              </w:rPr>
            </w:pPr>
          </w:p>
        </w:tc>
        <w:tc>
          <w:tcPr>
            <w:tcW w:w="423" w:type="dxa"/>
            <w:shd w:val="clear" w:color="auto" w:fill="auto"/>
            <w:vAlign w:val="bottom"/>
          </w:tcPr>
          <w:p w14:paraId="33C319E0" w14:textId="77777777" w:rsidR="00A52778" w:rsidRPr="00460F9E" w:rsidRDefault="00A52778" w:rsidP="00FC3F8E">
            <w:pPr>
              <w:spacing w:line="0" w:lineRule="atLeast"/>
              <w:rPr>
                <w:rFonts w:eastAsia="Times New Roman" w:cs="Times New Roman"/>
                <w:b/>
                <w:sz w:val="18"/>
              </w:rPr>
            </w:pPr>
          </w:p>
        </w:tc>
        <w:tc>
          <w:tcPr>
            <w:tcW w:w="481" w:type="dxa"/>
            <w:shd w:val="clear" w:color="auto" w:fill="auto"/>
            <w:vAlign w:val="bottom"/>
          </w:tcPr>
          <w:p w14:paraId="5EC474F9" w14:textId="77777777" w:rsidR="00A52778" w:rsidRPr="00460F9E" w:rsidRDefault="00A52778" w:rsidP="00FC3F8E">
            <w:pPr>
              <w:spacing w:line="0" w:lineRule="atLeast"/>
              <w:rPr>
                <w:rFonts w:eastAsia="Times New Roman" w:cs="Times New Roman"/>
                <w:b/>
                <w:sz w:val="18"/>
              </w:rPr>
            </w:pPr>
          </w:p>
        </w:tc>
        <w:tc>
          <w:tcPr>
            <w:tcW w:w="385" w:type="dxa"/>
            <w:tcBorders>
              <w:right w:val="single" w:sz="8" w:space="0" w:color="auto"/>
            </w:tcBorders>
            <w:shd w:val="clear" w:color="auto" w:fill="auto"/>
            <w:vAlign w:val="bottom"/>
          </w:tcPr>
          <w:p w14:paraId="31C8630D" w14:textId="77777777" w:rsidR="00A52778" w:rsidRPr="00460F9E" w:rsidRDefault="00A52778" w:rsidP="00FC3F8E">
            <w:pPr>
              <w:spacing w:line="0" w:lineRule="atLeast"/>
              <w:rPr>
                <w:rFonts w:eastAsia="Times New Roman" w:cs="Times New Roman"/>
                <w:b/>
                <w:sz w:val="18"/>
              </w:rPr>
            </w:pPr>
          </w:p>
        </w:tc>
      </w:tr>
      <w:tr w:rsidR="00A52778" w:rsidRPr="00460F9E" w14:paraId="6295B680" w14:textId="77777777" w:rsidTr="00FC3F8E">
        <w:trPr>
          <w:gridAfter w:val="1"/>
          <w:wAfter w:w="347" w:type="dxa"/>
          <w:trHeight w:val="268"/>
        </w:trPr>
        <w:tc>
          <w:tcPr>
            <w:tcW w:w="386" w:type="dxa"/>
            <w:tcBorders>
              <w:left w:val="single" w:sz="8" w:space="0" w:color="auto"/>
              <w:right w:val="single" w:sz="8" w:space="0" w:color="auto"/>
            </w:tcBorders>
            <w:shd w:val="clear" w:color="auto" w:fill="auto"/>
            <w:vAlign w:val="bottom"/>
          </w:tcPr>
          <w:p w14:paraId="06CCB643" w14:textId="77777777" w:rsidR="00A52778" w:rsidRPr="00460F9E" w:rsidRDefault="00A52778" w:rsidP="00FC3F8E">
            <w:pPr>
              <w:spacing w:line="0" w:lineRule="atLeast"/>
              <w:rPr>
                <w:rFonts w:eastAsia="Times New Roman" w:cs="Times New Roman"/>
                <w:b/>
                <w:sz w:val="23"/>
              </w:rPr>
            </w:pPr>
          </w:p>
        </w:tc>
        <w:tc>
          <w:tcPr>
            <w:tcW w:w="1212" w:type="dxa"/>
            <w:gridSpan w:val="2"/>
            <w:vMerge w:val="restart"/>
            <w:tcBorders>
              <w:right w:val="single" w:sz="8" w:space="0" w:color="auto"/>
            </w:tcBorders>
            <w:shd w:val="clear" w:color="auto" w:fill="auto"/>
            <w:vAlign w:val="bottom"/>
          </w:tcPr>
          <w:p w14:paraId="7678EB66" w14:textId="77777777" w:rsidR="00A52778" w:rsidRPr="00460F9E" w:rsidRDefault="00A52778" w:rsidP="00FC3F8E">
            <w:pPr>
              <w:spacing w:line="197" w:lineRule="exact"/>
              <w:ind w:left="80"/>
              <w:rPr>
                <w:rFonts w:eastAsia="Times New Roman" w:cs="Times New Roman"/>
                <w:b/>
              </w:rPr>
            </w:pPr>
            <w:r w:rsidRPr="00460F9E">
              <w:rPr>
                <w:rFonts w:eastAsia="Times New Roman" w:cs="Times New Roman"/>
              </w:rPr>
              <w:t>Sızdıran ekipmanların ve/veya parçaların değiştirilmesi</w:t>
            </w:r>
          </w:p>
        </w:tc>
        <w:tc>
          <w:tcPr>
            <w:tcW w:w="385" w:type="dxa"/>
            <w:shd w:val="clear" w:color="auto" w:fill="auto"/>
            <w:vAlign w:val="bottom"/>
          </w:tcPr>
          <w:p w14:paraId="17EB97B3" w14:textId="77777777" w:rsidR="00A52778" w:rsidRPr="00460F9E" w:rsidRDefault="00A52778" w:rsidP="00FC3F8E">
            <w:pPr>
              <w:spacing w:line="0" w:lineRule="atLeast"/>
              <w:rPr>
                <w:rFonts w:eastAsia="Times New Roman" w:cs="Times New Roman"/>
                <w:b/>
                <w:sz w:val="23"/>
              </w:rPr>
            </w:pPr>
          </w:p>
        </w:tc>
        <w:tc>
          <w:tcPr>
            <w:tcW w:w="20" w:type="dxa"/>
            <w:shd w:val="clear" w:color="auto" w:fill="auto"/>
            <w:vAlign w:val="bottom"/>
          </w:tcPr>
          <w:p w14:paraId="44277A61" w14:textId="77777777" w:rsidR="00A52778" w:rsidRPr="00460F9E" w:rsidRDefault="00A52778" w:rsidP="00FC3F8E">
            <w:pPr>
              <w:spacing w:line="0" w:lineRule="atLeast"/>
              <w:rPr>
                <w:rFonts w:eastAsia="Times New Roman" w:cs="Times New Roman"/>
                <w:b/>
                <w:sz w:val="23"/>
              </w:rPr>
            </w:pPr>
          </w:p>
        </w:tc>
        <w:tc>
          <w:tcPr>
            <w:tcW w:w="3214" w:type="dxa"/>
            <w:gridSpan w:val="11"/>
            <w:tcBorders>
              <w:right w:val="single" w:sz="4" w:space="0" w:color="auto"/>
            </w:tcBorders>
            <w:shd w:val="clear" w:color="auto" w:fill="auto"/>
            <w:vAlign w:val="bottom"/>
          </w:tcPr>
          <w:p w14:paraId="398EB89A" w14:textId="77777777" w:rsidR="00A52778" w:rsidRPr="00460F9E" w:rsidRDefault="00A52778" w:rsidP="00FC3F8E">
            <w:pPr>
              <w:spacing w:line="0" w:lineRule="atLeast"/>
              <w:rPr>
                <w:rFonts w:eastAsia="Times New Roman" w:cs="Times New Roman"/>
                <w:b/>
                <w:sz w:val="20"/>
              </w:rPr>
            </w:pPr>
            <w:r w:rsidRPr="00460F9E">
              <w:rPr>
                <w:rFonts w:eastAsia="Times New Roman" w:cs="Times New Roman"/>
              </w:rPr>
              <w:t>- contalar;</w:t>
            </w:r>
          </w:p>
        </w:tc>
        <w:tc>
          <w:tcPr>
            <w:tcW w:w="980" w:type="dxa"/>
            <w:tcBorders>
              <w:left w:val="single" w:sz="4" w:space="0" w:color="auto"/>
              <w:right w:val="single" w:sz="8" w:space="0" w:color="auto"/>
            </w:tcBorders>
            <w:shd w:val="clear" w:color="auto" w:fill="auto"/>
            <w:vAlign w:val="bottom"/>
          </w:tcPr>
          <w:p w14:paraId="334CABDC" w14:textId="77777777" w:rsidR="00A52778" w:rsidRPr="00460F9E" w:rsidRDefault="00A52778" w:rsidP="00FC3F8E">
            <w:pPr>
              <w:spacing w:line="0" w:lineRule="atLeast"/>
              <w:rPr>
                <w:rFonts w:eastAsia="Times New Roman" w:cs="Times New Roman"/>
                <w:b/>
                <w:sz w:val="23"/>
              </w:rPr>
            </w:pPr>
          </w:p>
        </w:tc>
        <w:tc>
          <w:tcPr>
            <w:tcW w:w="404" w:type="dxa"/>
            <w:shd w:val="clear" w:color="auto" w:fill="auto"/>
            <w:vAlign w:val="bottom"/>
          </w:tcPr>
          <w:p w14:paraId="1F69EE71" w14:textId="77777777" w:rsidR="00A52778" w:rsidRPr="00460F9E" w:rsidRDefault="00A52778" w:rsidP="00FC3F8E">
            <w:pPr>
              <w:spacing w:line="0" w:lineRule="atLeast"/>
              <w:rPr>
                <w:rFonts w:eastAsia="Times New Roman" w:cs="Times New Roman"/>
                <w:b/>
                <w:sz w:val="23"/>
              </w:rPr>
            </w:pPr>
          </w:p>
        </w:tc>
        <w:tc>
          <w:tcPr>
            <w:tcW w:w="557" w:type="dxa"/>
            <w:shd w:val="clear" w:color="auto" w:fill="auto"/>
            <w:vAlign w:val="bottom"/>
          </w:tcPr>
          <w:p w14:paraId="3DED1E85" w14:textId="77777777" w:rsidR="00A52778" w:rsidRPr="00460F9E" w:rsidRDefault="00A52778" w:rsidP="00FC3F8E">
            <w:pPr>
              <w:spacing w:line="0" w:lineRule="atLeast"/>
              <w:rPr>
                <w:rFonts w:eastAsia="Times New Roman" w:cs="Times New Roman"/>
                <w:b/>
                <w:sz w:val="23"/>
              </w:rPr>
            </w:pPr>
          </w:p>
        </w:tc>
        <w:tc>
          <w:tcPr>
            <w:tcW w:w="346" w:type="dxa"/>
            <w:shd w:val="clear" w:color="auto" w:fill="auto"/>
            <w:vAlign w:val="bottom"/>
          </w:tcPr>
          <w:p w14:paraId="4CB8BA5E" w14:textId="77777777" w:rsidR="00A52778" w:rsidRPr="00460F9E" w:rsidRDefault="00A52778" w:rsidP="00FC3F8E">
            <w:pPr>
              <w:spacing w:line="0" w:lineRule="atLeast"/>
              <w:rPr>
                <w:rFonts w:eastAsia="Times New Roman" w:cs="Times New Roman"/>
                <w:b/>
                <w:sz w:val="23"/>
              </w:rPr>
            </w:pPr>
          </w:p>
        </w:tc>
        <w:tc>
          <w:tcPr>
            <w:tcW w:w="423" w:type="dxa"/>
            <w:shd w:val="clear" w:color="auto" w:fill="auto"/>
            <w:vAlign w:val="bottom"/>
          </w:tcPr>
          <w:p w14:paraId="65D2911F" w14:textId="77777777" w:rsidR="00A52778" w:rsidRPr="00460F9E" w:rsidRDefault="00A52778" w:rsidP="00FC3F8E">
            <w:pPr>
              <w:spacing w:line="0" w:lineRule="atLeast"/>
              <w:rPr>
                <w:rFonts w:eastAsia="Times New Roman" w:cs="Times New Roman"/>
                <w:b/>
                <w:sz w:val="23"/>
              </w:rPr>
            </w:pPr>
          </w:p>
        </w:tc>
        <w:tc>
          <w:tcPr>
            <w:tcW w:w="481" w:type="dxa"/>
            <w:shd w:val="clear" w:color="auto" w:fill="auto"/>
            <w:vAlign w:val="bottom"/>
          </w:tcPr>
          <w:p w14:paraId="5A163E75" w14:textId="77777777" w:rsidR="00A52778" w:rsidRPr="00460F9E" w:rsidRDefault="00A52778" w:rsidP="00FC3F8E">
            <w:pPr>
              <w:spacing w:line="0" w:lineRule="atLeast"/>
              <w:rPr>
                <w:rFonts w:eastAsia="Times New Roman" w:cs="Times New Roman"/>
                <w:b/>
                <w:sz w:val="23"/>
              </w:rPr>
            </w:pPr>
          </w:p>
        </w:tc>
        <w:tc>
          <w:tcPr>
            <w:tcW w:w="385" w:type="dxa"/>
            <w:tcBorders>
              <w:right w:val="single" w:sz="8" w:space="0" w:color="auto"/>
            </w:tcBorders>
            <w:shd w:val="clear" w:color="auto" w:fill="auto"/>
            <w:vAlign w:val="bottom"/>
          </w:tcPr>
          <w:p w14:paraId="2266F36F" w14:textId="77777777" w:rsidR="00A52778" w:rsidRPr="00460F9E" w:rsidRDefault="00A52778" w:rsidP="00FC3F8E">
            <w:pPr>
              <w:spacing w:line="0" w:lineRule="atLeast"/>
              <w:rPr>
                <w:rFonts w:eastAsia="Times New Roman" w:cs="Times New Roman"/>
                <w:b/>
                <w:sz w:val="23"/>
              </w:rPr>
            </w:pPr>
          </w:p>
        </w:tc>
      </w:tr>
      <w:tr w:rsidR="00A52778" w:rsidRPr="00460F9E" w14:paraId="75B9D6D1" w14:textId="77777777" w:rsidTr="00FC3F8E">
        <w:trPr>
          <w:gridAfter w:val="1"/>
          <w:wAfter w:w="347" w:type="dxa"/>
          <w:trHeight w:val="300"/>
        </w:trPr>
        <w:tc>
          <w:tcPr>
            <w:tcW w:w="386" w:type="dxa"/>
            <w:tcBorders>
              <w:left w:val="single" w:sz="8" w:space="0" w:color="auto"/>
              <w:right w:val="single" w:sz="8" w:space="0" w:color="auto"/>
            </w:tcBorders>
            <w:shd w:val="clear" w:color="auto" w:fill="auto"/>
            <w:vAlign w:val="bottom"/>
          </w:tcPr>
          <w:p w14:paraId="248729CA" w14:textId="77777777" w:rsidR="00A52778" w:rsidRPr="00460F9E" w:rsidRDefault="00A52778" w:rsidP="00FC3F8E">
            <w:pPr>
              <w:spacing w:line="0" w:lineRule="atLeast"/>
              <w:ind w:left="120"/>
              <w:rPr>
                <w:rFonts w:eastAsia="Times New Roman" w:cs="Times New Roman"/>
                <w:b/>
              </w:rPr>
            </w:pPr>
            <w:r>
              <w:rPr>
                <w:rFonts w:eastAsia="Times New Roman" w:cs="Times New Roman"/>
              </w:rPr>
              <w:t>e.</w:t>
            </w:r>
          </w:p>
        </w:tc>
        <w:tc>
          <w:tcPr>
            <w:tcW w:w="1212" w:type="dxa"/>
            <w:gridSpan w:val="2"/>
            <w:vMerge/>
            <w:tcBorders>
              <w:right w:val="single" w:sz="8" w:space="0" w:color="auto"/>
            </w:tcBorders>
            <w:shd w:val="clear" w:color="auto" w:fill="auto"/>
            <w:vAlign w:val="bottom"/>
          </w:tcPr>
          <w:p w14:paraId="705AE353" w14:textId="77777777" w:rsidR="00A52778" w:rsidRPr="00460F9E" w:rsidRDefault="00A52778" w:rsidP="00FC3F8E">
            <w:pPr>
              <w:spacing w:line="197" w:lineRule="exact"/>
              <w:ind w:left="80"/>
              <w:rPr>
                <w:rFonts w:eastAsia="Times New Roman" w:cs="Times New Roman"/>
                <w:b/>
              </w:rPr>
            </w:pPr>
          </w:p>
        </w:tc>
        <w:tc>
          <w:tcPr>
            <w:tcW w:w="385" w:type="dxa"/>
            <w:tcBorders>
              <w:left w:val="single" w:sz="8" w:space="0" w:color="auto"/>
            </w:tcBorders>
            <w:shd w:val="clear" w:color="auto" w:fill="auto"/>
            <w:vAlign w:val="bottom"/>
          </w:tcPr>
          <w:p w14:paraId="69CFE927" w14:textId="77777777" w:rsidR="00A52778" w:rsidRPr="00460F9E" w:rsidRDefault="00A52778" w:rsidP="00FC3F8E">
            <w:pPr>
              <w:spacing w:line="0" w:lineRule="atLeast"/>
              <w:rPr>
                <w:rFonts w:eastAsia="Times New Roman" w:cs="Times New Roman"/>
                <w:b/>
              </w:rPr>
            </w:pPr>
          </w:p>
        </w:tc>
        <w:tc>
          <w:tcPr>
            <w:tcW w:w="20" w:type="dxa"/>
            <w:shd w:val="clear" w:color="auto" w:fill="auto"/>
            <w:vAlign w:val="bottom"/>
          </w:tcPr>
          <w:p w14:paraId="68305CB3" w14:textId="77777777" w:rsidR="00A52778" w:rsidRPr="00460F9E" w:rsidRDefault="00A52778" w:rsidP="00FC3F8E">
            <w:pPr>
              <w:spacing w:line="0" w:lineRule="atLeast"/>
              <w:rPr>
                <w:rFonts w:eastAsia="Times New Roman" w:cs="Times New Roman"/>
                <w:b/>
              </w:rPr>
            </w:pPr>
          </w:p>
        </w:tc>
        <w:tc>
          <w:tcPr>
            <w:tcW w:w="3214" w:type="dxa"/>
            <w:gridSpan w:val="11"/>
            <w:tcBorders>
              <w:right w:val="single" w:sz="4" w:space="0" w:color="auto"/>
            </w:tcBorders>
            <w:shd w:val="clear" w:color="auto" w:fill="auto"/>
            <w:vAlign w:val="bottom"/>
          </w:tcPr>
          <w:p w14:paraId="22612F92"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sızdırmazlık elemanları (örn. tank </w:t>
            </w:r>
          </w:p>
          <w:p w14:paraId="056AC723" w14:textId="77777777" w:rsidR="00A52778" w:rsidRPr="00460F9E" w:rsidRDefault="00A52778" w:rsidP="00FC3F8E">
            <w:pPr>
              <w:spacing w:line="0" w:lineRule="atLeast"/>
              <w:rPr>
                <w:rFonts w:eastAsia="Times New Roman" w:cs="Times New Roman"/>
                <w:b/>
                <w:sz w:val="20"/>
              </w:rPr>
            </w:pPr>
            <w:r w:rsidRPr="00460F9E">
              <w:rPr>
                <w:rFonts w:eastAsia="Times New Roman" w:cs="Times New Roman"/>
              </w:rPr>
              <w:t xml:space="preserve">  kapağı)</w:t>
            </w:r>
          </w:p>
        </w:tc>
        <w:tc>
          <w:tcPr>
            <w:tcW w:w="980" w:type="dxa"/>
            <w:vMerge w:val="restart"/>
            <w:tcBorders>
              <w:left w:val="single" w:sz="4" w:space="0" w:color="auto"/>
              <w:right w:val="single" w:sz="8" w:space="0" w:color="auto"/>
            </w:tcBorders>
            <w:shd w:val="clear" w:color="auto" w:fill="auto"/>
            <w:vAlign w:val="bottom"/>
          </w:tcPr>
          <w:p w14:paraId="6C664E0C" w14:textId="77777777" w:rsidR="00A52778" w:rsidRPr="00460F9E" w:rsidRDefault="00A52778" w:rsidP="00FC3F8E">
            <w:pPr>
              <w:spacing w:line="159" w:lineRule="exact"/>
              <w:jc w:val="center"/>
              <w:rPr>
                <w:rFonts w:eastAsia="Times New Roman" w:cs="Times New Roman"/>
                <w:b/>
                <w:w w:val="98"/>
              </w:rPr>
            </w:pPr>
            <w:r w:rsidRPr="00460F9E">
              <w:rPr>
                <w:rFonts w:eastAsia="Times New Roman" w:cs="Times New Roman"/>
              </w:rPr>
              <w:t>Kaçak emisyonlar</w:t>
            </w:r>
          </w:p>
        </w:tc>
        <w:tc>
          <w:tcPr>
            <w:tcW w:w="2596" w:type="dxa"/>
            <w:gridSpan w:val="6"/>
            <w:tcBorders>
              <w:right w:val="single" w:sz="8" w:space="0" w:color="auto"/>
            </w:tcBorders>
            <w:shd w:val="clear" w:color="auto" w:fill="auto"/>
            <w:vAlign w:val="bottom"/>
          </w:tcPr>
          <w:p w14:paraId="2BCD1560"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Genel olarak uygulanabilir.</w:t>
            </w:r>
          </w:p>
        </w:tc>
      </w:tr>
      <w:tr w:rsidR="00A52778" w:rsidRPr="00460F9E" w14:paraId="5F53F12E" w14:textId="77777777" w:rsidTr="00FC3F8E">
        <w:trPr>
          <w:gridAfter w:val="1"/>
          <w:wAfter w:w="347" w:type="dxa"/>
          <w:trHeight w:val="159"/>
        </w:trPr>
        <w:tc>
          <w:tcPr>
            <w:tcW w:w="386" w:type="dxa"/>
            <w:tcBorders>
              <w:left w:val="single" w:sz="8" w:space="0" w:color="auto"/>
              <w:right w:val="single" w:sz="8" w:space="0" w:color="auto"/>
            </w:tcBorders>
            <w:shd w:val="clear" w:color="auto" w:fill="auto"/>
            <w:vAlign w:val="bottom"/>
          </w:tcPr>
          <w:p w14:paraId="7573130C" w14:textId="77777777" w:rsidR="00A52778" w:rsidRPr="00460F9E" w:rsidRDefault="00A52778" w:rsidP="00FC3F8E">
            <w:pPr>
              <w:spacing w:line="0" w:lineRule="atLeast"/>
              <w:rPr>
                <w:rFonts w:eastAsia="Times New Roman" w:cs="Times New Roman"/>
                <w:b/>
                <w:sz w:val="13"/>
              </w:rPr>
            </w:pPr>
          </w:p>
        </w:tc>
        <w:tc>
          <w:tcPr>
            <w:tcW w:w="1212" w:type="dxa"/>
            <w:gridSpan w:val="2"/>
            <w:vMerge/>
            <w:tcBorders>
              <w:right w:val="single" w:sz="8" w:space="0" w:color="auto"/>
            </w:tcBorders>
            <w:shd w:val="clear" w:color="auto" w:fill="auto"/>
            <w:vAlign w:val="bottom"/>
          </w:tcPr>
          <w:p w14:paraId="5AAEAEC4" w14:textId="77777777" w:rsidR="00A52778" w:rsidRPr="00460F9E" w:rsidRDefault="00A52778" w:rsidP="00FC3F8E">
            <w:pPr>
              <w:spacing w:line="197" w:lineRule="exact"/>
              <w:ind w:left="80"/>
              <w:rPr>
                <w:rFonts w:eastAsia="Times New Roman" w:cs="Times New Roman"/>
                <w:b/>
                <w:sz w:val="18"/>
              </w:rPr>
            </w:pPr>
          </w:p>
        </w:tc>
        <w:tc>
          <w:tcPr>
            <w:tcW w:w="385" w:type="dxa"/>
            <w:shd w:val="clear" w:color="auto" w:fill="auto"/>
            <w:vAlign w:val="bottom"/>
          </w:tcPr>
          <w:p w14:paraId="7A737555" w14:textId="77777777" w:rsidR="00A52778" w:rsidRPr="00460F9E" w:rsidRDefault="00A52778" w:rsidP="00FC3F8E">
            <w:pPr>
              <w:spacing w:line="0" w:lineRule="atLeast"/>
              <w:rPr>
                <w:rFonts w:eastAsia="Times New Roman" w:cs="Times New Roman"/>
                <w:b/>
                <w:sz w:val="13"/>
              </w:rPr>
            </w:pPr>
          </w:p>
        </w:tc>
        <w:tc>
          <w:tcPr>
            <w:tcW w:w="20" w:type="dxa"/>
            <w:vMerge w:val="restart"/>
            <w:shd w:val="clear" w:color="auto" w:fill="auto"/>
            <w:vAlign w:val="bottom"/>
          </w:tcPr>
          <w:p w14:paraId="3A693FCE" w14:textId="77777777" w:rsidR="00A52778" w:rsidRPr="00460F9E" w:rsidRDefault="00A52778" w:rsidP="00FC3F8E">
            <w:pPr>
              <w:spacing w:line="0" w:lineRule="atLeast"/>
              <w:rPr>
                <w:rFonts w:eastAsia="Times New Roman" w:cs="Times New Roman"/>
                <w:b/>
                <w:sz w:val="13"/>
              </w:rPr>
            </w:pPr>
          </w:p>
        </w:tc>
        <w:tc>
          <w:tcPr>
            <w:tcW w:w="3214" w:type="dxa"/>
            <w:gridSpan w:val="11"/>
            <w:vMerge w:val="restart"/>
            <w:tcBorders>
              <w:right w:val="single" w:sz="4" w:space="0" w:color="auto"/>
            </w:tcBorders>
            <w:shd w:val="clear" w:color="auto" w:fill="auto"/>
            <w:vAlign w:val="bottom"/>
          </w:tcPr>
          <w:p w14:paraId="72C19A79"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salmastra malzemesi  (örn.  vana kolu </w:t>
            </w:r>
          </w:p>
          <w:p w14:paraId="08500F98"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salmastrası)</w:t>
            </w:r>
          </w:p>
          <w:p w14:paraId="0272E29C" w14:textId="77777777" w:rsidR="00A52778" w:rsidRPr="00460F9E" w:rsidRDefault="00A52778" w:rsidP="00FC3F8E">
            <w:pPr>
              <w:spacing w:line="0" w:lineRule="atLeast"/>
              <w:rPr>
                <w:rFonts w:eastAsia="Times New Roman" w:cs="Times New Roman"/>
                <w:b/>
              </w:rPr>
            </w:pPr>
          </w:p>
        </w:tc>
        <w:tc>
          <w:tcPr>
            <w:tcW w:w="980" w:type="dxa"/>
            <w:vMerge/>
            <w:tcBorders>
              <w:left w:val="single" w:sz="4" w:space="0" w:color="auto"/>
              <w:right w:val="single" w:sz="8" w:space="0" w:color="auto"/>
            </w:tcBorders>
            <w:shd w:val="clear" w:color="auto" w:fill="auto"/>
            <w:vAlign w:val="bottom"/>
          </w:tcPr>
          <w:p w14:paraId="0C6C2A7B" w14:textId="77777777" w:rsidR="00A52778" w:rsidRPr="00460F9E" w:rsidRDefault="00A52778" w:rsidP="00FC3F8E">
            <w:pPr>
              <w:spacing w:line="159" w:lineRule="exact"/>
              <w:jc w:val="center"/>
              <w:rPr>
                <w:rFonts w:eastAsia="Times New Roman" w:cs="Times New Roman"/>
                <w:b/>
                <w:sz w:val="18"/>
              </w:rPr>
            </w:pPr>
          </w:p>
        </w:tc>
        <w:tc>
          <w:tcPr>
            <w:tcW w:w="404" w:type="dxa"/>
            <w:shd w:val="clear" w:color="auto" w:fill="auto"/>
            <w:vAlign w:val="bottom"/>
          </w:tcPr>
          <w:p w14:paraId="2CA65FD1" w14:textId="77777777" w:rsidR="00A52778" w:rsidRPr="00460F9E" w:rsidRDefault="00A52778" w:rsidP="00FC3F8E">
            <w:pPr>
              <w:spacing w:line="0" w:lineRule="atLeast"/>
              <w:rPr>
                <w:rFonts w:eastAsia="Times New Roman" w:cs="Times New Roman"/>
                <w:b/>
                <w:sz w:val="13"/>
              </w:rPr>
            </w:pPr>
          </w:p>
        </w:tc>
        <w:tc>
          <w:tcPr>
            <w:tcW w:w="557" w:type="dxa"/>
            <w:shd w:val="clear" w:color="auto" w:fill="auto"/>
            <w:vAlign w:val="bottom"/>
          </w:tcPr>
          <w:p w14:paraId="05B6A911" w14:textId="77777777" w:rsidR="00A52778" w:rsidRPr="00460F9E" w:rsidRDefault="00A52778" w:rsidP="00FC3F8E">
            <w:pPr>
              <w:spacing w:line="0" w:lineRule="atLeast"/>
              <w:rPr>
                <w:rFonts w:eastAsia="Times New Roman" w:cs="Times New Roman"/>
                <w:b/>
                <w:sz w:val="13"/>
              </w:rPr>
            </w:pPr>
          </w:p>
        </w:tc>
        <w:tc>
          <w:tcPr>
            <w:tcW w:w="346" w:type="dxa"/>
            <w:shd w:val="clear" w:color="auto" w:fill="auto"/>
            <w:vAlign w:val="bottom"/>
          </w:tcPr>
          <w:p w14:paraId="4B8094BB" w14:textId="77777777" w:rsidR="00A52778" w:rsidRPr="00460F9E" w:rsidRDefault="00A52778" w:rsidP="00FC3F8E">
            <w:pPr>
              <w:spacing w:line="0" w:lineRule="atLeast"/>
              <w:rPr>
                <w:rFonts w:eastAsia="Times New Roman" w:cs="Times New Roman"/>
                <w:b/>
                <w:sz w:val="13"/>
              </w:rPr>
            </w:pPr>
          </w:p>
        </w:tc>
        <w:tc>
          <w:tcPr>
            <w:tcW w:w="423" w:type="dxa"/>
            <w:shd w:val="clear" w:color="auto" w:fill="auto"/>
            <w:vAlign w:val="bottom"/>
          </w:tcPr>
          <w:p w14:paraId="1ED697D3" w14:textId="77777777" w:rsidR="00A52778" w:rsidRPr="00460F9E" w:rsidRDefault="00A52778" w:rsidP="00FC3F8E">
            <w:pPr>
              <w:spacing w:line="0" w:lineRule="atLeast"/>
              <w:rPr>
                <w:rFonts w:eastAsia="Times New Roman" w:cs="Times New Roman"/>
                <w:b/>
                <w:sz w:val="13"/>
              </w:rPr>
            </w:pPr>
          </w:p>
        </w:tc>
        <w:tc>
          <w:tcPr>
            <w:tcW w:w="481" w:type="dxa"/>
            <w:shd w:val="clear" w:color="auto" w:fill="auto"/>
            <w:vAlign w:val="bottom"/>
          </w:tcPr>
          <w:p w14:paraId="298B3931" w14:textId="77777777" w:rsidR="00A52778" w:rsidRPr="00460F9E" w:rsidRDefault="00A52778" w:rsidP="00FC3F8E">
            <w:pPr>
              <w:spacing w:line="0" w:lineRule="atLeast"/>
              <w:rPr>
                <w:rFonts w:eastAsia="Times New Roman" w:cs="Times New Roman"/>
                <w:b/>
                <w:sz w:val="13"/>
              </w:rPr>
            </w:pPr>
          </w:p>
        </w:tc>
        <w:tc>
          <w:tcPr>
            <w:tcW w:w="385" w:type="dxa"/>
            <w:tcBorders>
              <w:right w:val="single" w:sz="8" w:space="0" w:color="auto"/>
            </w:tcBorders>
            <w:shd w:val="clear" w:color="auto" w:fill="auto"/>
            <w:vAlign w:val="bottom"/>
          </w:tcPr>
          <w:p w14:paraId="5D1DE7D6" w14:textId="77777777" w:rsidR="00A52778" w:rsidRPr="00460F9E" w:rsidRDefault="00A52778" w:rsidP="00FC3F8E">
            <w:pPr>
              <w:spacing w:line="0" w:lineRule="atLeast"/>
              <w:rPr>
                <w:rFonts w:eastAsia="Times New Roman" w:cs="Times New Roman"/>
                <w:b/>
                <w:sz w:val="13"/>
              </w:rPr>
            </w:pPr>
          </w:p>
        </w:tc>
      </w:tr>
      <w:tr w:rsidR="00A52778" w:rsidRPr="00460F9E" w14:paraId="74549477" w14:textId="77777777" w:rsidTr="00FC3F8E">
        <w:trPr>
          <w:gridAfter w:val="1"/>
          <w:wAfter w:w="347" w:type="dxa"/>
          <w:trHeight w:val="197"/>
        </w:trPr>
        <w:tc>
          <w:tcPr>
            <w:tcW w:w="386" w:type="dxa"/>
            <w:tcBorders>
              <w:left w:val="single" w:sz="8" w:space="0" w:color="auto"/>
              <w:right w:val="single" w:sz="8" w:space="0" w:color="auto"/>
            </w:tcBorders>
            <w:shd w:val="clear" w:color="auto" w:fill="auto"/>
            <w:vAlign w:val="bottom"/>
          </w:tcPr>
          <w:p w14:paraId="325855E4" w14:textId="77777777" w:rsidR="00A52778" w:rsidRPr="00460F9E" w:rsidRDefault="00A52778" w:rsidP="00FC3F8E">
            <w:pPr>
              <w:spacing w:line="0" w:lineRule="atLeast"/>
              <w:rPr>
                <w:rFonts w:eastAsia="Times New Roman" w:cs="Times New Roman"/>
                <w:b/>
                <w:sz w:val="17"/>
              </w:rPr>
            </w:pPr>
          </w:p>
        </w:tc>
        <w:tc>
          <w:tcPr>
            <w:tcW w:w="1212" w:type="dxa"/>
            <w:gridSpan w:val="2"/>
            <w:vMerge/>
            <w:tcBorders>
              <w:right w:val="single" w:sz="8" w:space="0" w:color="auto"/>
            </w:tcBorders>
            <w:shd w:val="clear" w:color="auto" w:fill="auto"/>
            <w:vAlign w:val="bottom"/>
          </w:tcPr>
          <w:p w14:paraId="01E3E00D" w14:textId="77777777" w:rsidR="00A52778" w:rsidRPr="00460F9E" w:rsidRDefault="00A52778" w:rsidP="00FC3F8E">
            <w:pPr>
              <w:spacing w:line="197" w:lineRule="exact"/>
              <w:ind w:left="80"/>
              <w:rPr>
                <w:rFonts w:eastAsia="Times New Roman" w:cs="Times New Roman"/>
                <w:b/>
              </w:rPr>
            </w:pPr>
          </w:p>
        </w:tc>
        <w:tc>
          <w:tcPr>
            <w:tcW w:w="385" w:type="dxa"/>
            <w:shd w:val="clear" w:color="auto" w:fill="auto"/>
            <w:vAlign w:val="bottom"/>
          </w:tcPr>
          <w:p w14:paraId="1E170C7F" w14:textId="77777777" w:rsidR="00A52778" w:rsidRPr="00460F9E" w:rsidRDefault="00A52778" w:rsidP="00FC3F8E">
            <w:pPr>
              <w:spacing w:line="0" w:lineRule="atLeast"/>
              <w:rPr>
                <w:rFonts w:eastAsia="Times New Roman" w:cs="Times New Roman"/>
                <w:b/>
                <w:sz w:val="17"/>
              </w:rPr>
            </w:pPr>
          </w:p>
        </w:tc>
        <w:tc>
          <w:tcPr>
            <w:tcW w:w="20" w:type="dxa"/>
            <w:vMerge/>
            <w:shd w:val="clear" w:color="auto" w:fill="auto"/>
            <w:vAlign w:val="bottom"/>
          </w:tcPr>
          <w:p w14:paraId="75471956" w14:textId="77777777" w:rsidR="00A52778" w:rsidRPr="00460F9E" w:rsidRDefault="00A52778" w:rsidP="00FC3F8E">
            <w:pPr>
              <w:spacing w:line="0" w:lineRule="atLeast"/>
              <w:rPr>
                <w:rFonts w:eastAsia="Times New Roman" w:cs="Times New Roman"/>
                <w:b/>
                <w:sz w:val="17"/>
              </w:rPr>
            </w:pPr>
          </w:p>
        </w:tc>
        <w:tc>
          <w:tcPr>
            <w:tcW w:w="3214" w:type="dxa"/>
            <w:gridSpan w:val="11"/>
            <w:vMerge/>
            <w:tcBorders>
              <w:right w:val="single" w:sz="4" w:space="0" w:color="auto"/>
            </w:tcBorders>
            <w:shd w:val="clear" w:color="auto" w:fill="auto"/>
            <w:vAlign w:val="bottom"/>
          </w:tcPr>
          <w:p w14:paraId="43A3E7BC" w14:textId="77777777" w:rsidR="00A52778" w:rsidRPr="00460F9E" w:rsidRDefault="00A52778" w:rsidP="00FC3F8E">
            <w:pPr>
              <w:spacing w:line="0" w:lineRule="atLeast"/>
              <w:rPr>
                <w:rFonts w:eastAsia="Times New Roman" w:cs="Times New Roman"/>
                <w:b/>
                <w:sz w:val="17"/>
              </w:rPr>
            </w:pPr>
          </w:p>
        </w:tc>
        <w:tc>
          <w:tcPr>
            <w:tcW w:w="980" w:type="dxa"/>
            <w:tcBorders>
              <w:left w:val="single" w:sz="4" w:space="0" w:color="auto"/>
              <w:right w:val="single" w:sz="8" w:space="0" w:color="auto"/>
            </w:tcBorders>
            <w:shd w:val="clear" w:color="auto" w:fill="auto"/>
            <w:vAlign w:val="bottom"/>
          </w:tcPr>
          <w:p w14:paraId="01FDFBEE" w14:textId="77777777" w:rsidR="00A52778" w:rsidRPr="00460F9E" w:rsidRDefault="00A52778" w:rsidP="00FC3F8E">
            <w:pPr>
              <w:spacing w:line="0" w:lineRule="atLeast"/>
              <w:rPr>
                <w:rFonts w:eastAsia="Times New Roman" w:cs="Times New Roman"/>
                <w:b/>
                <w:sz w:val="17"/>
              </w:rPr>
            </w:pPr>
          </w:p>
        </w:tc>
        <w:tc>
          <w:tcPr>
            <w:tcW w:w="404" w:type="dxa"/>
            <w:shd w:val="clear" w:color="auto" w:fill="auto"/>
            <w:vAlign w:val="bottom"/>
          </w:tcPr>
          <w:p w14:paraId="07B68AC4" w14:textId="77777777" w:rsidR="00A52778" w:rsidRPr="00460F9E" w:rsidRDefault="00A52778" w:rsidP="00FC3F8E">
            <w:pPr>
              <w:spacing w:line="0" w:lineRule="atLeast"/>
              <w:rPr>
                <w:rFonts w:eastAsia="Times New Roman" w:cs="Times New Roman"/>
                <w:b/>
                <w:sz w:val="17"/>
              </w:rPr>
            </w:pPr>
          </w:p>
        </w:tc>
        <w:tc>
          <w:tcPr>
            <w:tcW w:w="557" w:type="dxa"/>
            <w:shd w:val="clear" w:color="auto" w:fill="auto"/>
            <w:vAlign w:val="bottom"/>
          </w:tcPr>
          <w:p w14:paraId="00F6489E" w14:textId="77777777" w:rsidR="00A52778" w:rsidRPr="00460F9E" w:rsidRDefault="00A52778" w:rsidP="00FC3F8E">
            <w:pPr>
              <w:spacing w:line="0" w:lineRule="atLeast"/>
              <w:rPr>
                <w:rFonts w:eastAsia="Times New Roman" w:cs="Times New Roman"/>
                <w:b/>
                <w:sz w:val="17"/>
              </w:rPr>
            </w:pPr>
          </w:p>
        </w:tc>
        <w:tc>
          <w:tcPr>
            <w:tcW w:w="346" w:type="dxa"/>
            <w:shd w:val="clear" w:color="auto" w:fill="auto"/>
            <w:vAlign w:val="bottom"/>
          </w:tcPr>
          <w:p w14:paraId="034C7D7B" w14:textId="77777777" w:rsidR="00A52778" w:rsidRPr="00460F9E" w:rsidRDefault="00A52778" w:rsidP="00FC3F8E">
            <w:pPr>
              <w:spacing w:line="0" w:lineRule="atLeast"/>
              <w:rPr>
                <w:rFonts w:eastAsia="Times New Roman" w:cs="Times New Roman"/>
                <w:b/>
                <w:sz w:val="17"/>
              </w:rPr>
            </w:pPr>
          </w:p>
        </w:tc>
        <w:tc>
          <w:tcPr>
            <w:tcW w:w="423" w:type="dxa"/>
            <w:shd w:val="clear" w:color="auto" w:fill="auto"/>
            <w:vAlign w:val="bottom"/>
          </w:tcPr>
          <w:p w14:paraId="287682B9" w14:textId="77777777" w:rsidR="00A52778" w:rsidRPr="00460F9E" w:rsidRDefault="00A52778" w:rsidP="00FC3F8E">
            <w:pPr>
              <w:spacing w:line="0" w:lineRule="atLeast"/>
              <w:rPr>
                <w:rFonts w:eastAsia="Times New Roman" w:cs="Times New Roman"/>
                <w:b/>
                <w:sz w:val="17"/>
              </w:rPr>
            </w:pPr>
          </w:p>
        </w:tc>
        <w:tc>
          <w:tcPr>
            <w:tcW w:w="481" w:type="dxa"/>
            <w:shd w:val="clear" w:color="auto" w:fill="auto"/>
            <w:vAlign w:val="bottom"/>
          </w:tcPr>
          <w:p w14:paraId="6581C3A1" w14:textId="77777777" w:rsidR="00A52778" w:rsidRPr="00460F9E" w:rsidRDefault="00A52778" w:rsidP="00FC3F8E">
            <w:pPr>
              <w:spacing w:line="0" w:lineRule="atLeast"/>
              <w:rPr>
                <w:rFonts w:eastAsia="Times New Roman" w:cs="Times New Roman"/>
                <w:b/>
                <w:sz w:val="17"/>
              </w:rPr>
            </w:pPr>
          </w:p>
        </w:tc>
        <w:tc>
          <w:tcPr>
            <w:tcW w:w="385" w:type="dxa"/>
            <w:tcBorders>
              <w:right w:val="single" w:sz="8" w:space="0" w:color="auto"/>
            </w:tcBorders>
            <w:shd w:val="clear" w:color="auto" w:fill="auto"/>
            <w:vAlign w:val="bottom"/>
          </w:tcPr>
          <w:p w14:paraId="3E3AE449" w14:textId="77777777" w:rsidR="00A52778" w:rsidRPr="00460F9E" w:rsidRDefault="00A52778" w:rsidP="00FC3F8E">
            <w:pPr>
              <w:spacing w:line="0" w:lineRule="atLeast"/>
              <w:rPr>
                <w:rFonts w:eastAsia="Times New Roman" w:cs="Times New Roman"/>
                <w:b/>
                <w:sz w:val="17"/>
              </w:rPr>
            </w:pPr>
          </w:p>
        </w:tc>
      </w:tr>
      <w:tr w:rsidR="00A52778" w:rsidRPr="00460F9E" w14:paraId="72E870E7" w14:textId="77777777" w:rsidTr="00FC3F8E">
        <w:trPr>
          <w:gridAfter w:val="1"/>
          <w:wAfter w:w="347" w:type="dxa"/>
          <w:trHeight w:val="219"/>
        </w:trPr>
        <w:tc>
          <w:tcPr>
            <w:tcW w:w="386" w:type="dxa"/>
            <w:tcBorders>
              <w:left w:val="single" w:sz="8" w:space="0" w:color="auto"/>
              <w:right w:val="single" w:sz="8" w:space="0" w:color="auto"/>
            </w:tcBorders>
            <w:shd w:val="clear" w:color="auto" w:fill="auto"/>
            <w:vAlign w:val="bottom"/>
          </w:tcPr>
          <w:p w14:paraId="6BD0922A" w14:textId="77777777" w:rsidR="00A52778" w:rsidRPr="00460F9E" w:rsidRDefault="00A52778" w:rsidP="00FC3F8E">
            <w:pPr>
              <w:spacing w:line="0" w:lineRule="atLeast"/>
              <w:rPr>
                <w:rFonts w:eastAsia="Times New Roman" w:cs="Times New Roman"/>
                <w:b/>
                <w:sz w:val="19"/>
              </w:rPr>
            </w:pPr>
          </w:p>
        </w:tc>
        <w:tc>
          <w:tcPr>
            <w:tcW w:w="424" w:type="dxa"/>
            <w:shd w:val="clear" w:color="auto" w:fill="auto"/>
            <w:vAlign w:val="bottom"/>
          </w:tcPr>
          <w:p w14:paraId="3B8435B1" w14:textId="77777777" w:rsidR="00A52778" w:rsidRPr="00460F9E" w:rsidRDefault="00A52778" w:rsidP="00FC3F8E">
            <w:pPr>
              <w:spacing w:line="0" w:lineRule="atLeast"/>
              <w:rPr>
                <w:rFonts w:eastAsia="Times New Roman" w:cs="Times New Roman"/>
                <w:b/>
                <w:sz w:val="19"/>
              </w:rPr>
            </w:pPr>
          </w:p>
        </w:tc>
        <w:tc>
          <w:tcPr>
            <w:tcW w:w="788" w:type="dxa"/>
            <w:tcBorders>
              <w:right w:val="single" w:sz="8" w:space="0" w:color="auto"/>
            </w:tcBorders>
            <w:shd w:val="clear" w:color="auto" w:fill="auto"/>
            <w:vAlign w:val="bottom"/>
          </w:tcPr>
          <w:p w14:paraId="5A0C9872" w14:textId="77777777" w:rsidR="00A52778" w:rsidRPr="00460F9E" w:rsidRDefault="00A52778" w:rsidP="00FC3F8E">
            <w:pPr>
              <w:spacing w:line="0" w:lineRule="atLeast"/>
              <w:rPr>
                <w:rFonts w:eastAsia="Times New Roman" w:cs="Times New Roman"/>
                <w:b/>
                <w:sz w:val="19"/>
              </w:rPr>
            </w:pPr>
          </w:p>
        </w:tc>
        <w:tc>
          <w:tcPr>
            <w:tcW w:w="385" w:type="dxa"/>
            <w:shd w:val="clear" w:color="auto" w:fill="auto"/>
            <w:vAlign w:val="bottom"/>
          </w:tcPr>
          <w:p w14:paraId="304142C1" w14:textId="77777777" w:rsidR="00A52778" w:rsidRPr="00460F9E" w:rsidRDefault="00A52778" w:rsidP="00FC3F8E">
            <w:pPr>
              <w:spacing w:line="0" w:lineRule="atLeast"/>
              <w:rPr>
                <w:rFonts w:eastAsia="Times New Roman" w:cs="Times New Roman"/>
                <w:b/>
                <w:sz w:val="19"/>
              </w:rPr>
            </w:pPr>
          </w:p>
        </w:tc>
        <w:tc>
          <w:tcPr>
            <w:tcW w:w="20" w:type="dxa"/>
            <w:shd w:val="clear" w:color="auto" w:fill="auto"/>
            <w:vAlign w:val="bottom"/>
          </w:tcPr>
          <w:p w14:paraId="52AAAAD2" w14:textId="77777777" w:rsidR="00A52778" w:rsidRPr="00460F9E" w:rsidRDefault="00A52778" w:rsidP="00FC3F8E">
            <w:pPr>
              <w:spacing w:line="0" w:lineRule="atLeast"/>
              <w:rPr>
                <w:rFonts w:eastAsia="Times New Roman" w:cs="Times New Roman"/>
                <w:b/>
                <w:sz w:val="19"/>
              </w:rPr>
            </w:pPr>
          </w:p>
        </w:tc>
        <w:tc>
          <w:tcPr>
            <w:tcW w:w="3214" w:type="dxa"/>
            <w:gridSpan w:val="11"/>
            <w:vMerge/>
            <w:tcBorders>
              <w:right w:val="single" w:sz="4" w:space="0" w:color="auto"/>
            </w:tcBorders>
            <w:shd w:val="clear" w:color="auto" w:fill="auto"/>
            <w:vAlign w:val="bottom"/>
          </w:tcPr>
          <w:p w14:paraId="786829C7" w14:textId="77777777" w:rsidR="00A52778" w:rsidRPr="00460F9E" w:rsidRDefault="00A52778" w:rsidP="00FC3F8E">
            <w:pPr>
              <w:spacing w:line="0" w:lineRule="atLeast"/>
              <w:rPr>
                <w:rFonts w:eastAsia="Times New Roman" w:cs="Times New Roman"/>
                <w:b/>
                <w:sz w:val="19"/>
              </w:rPr>
            </w:pPr>
          </w:p>
        </w:tc>
        <w:tc>
          <w:tcPr>
            <w:tcW w:w="980" w:type="dxa"/>
            <w:tcBorders>
              <w:left w:val="single" w:sz="4" w:space="0" w:color="auto"/>
              <w:right w:val="single" w:sz="8" w:space="0" w:color="auto"/>
            </w:tcBorders>
            <w:shd w:val="clear" w:color="auto" w:fill="auto"/>
            <w:vAlign w:val="bottom"/>
          </w:tcPr>
          <w:p w14:paraId="4F17C249" w14:textId="77777777" w:rsidR="00A52778" w:rsidRPr="00460F9E" w:rsidRDefault="00A52778" w:rsidP="00FC3F8E">
            <w:pPr>
              <w:spacing w:line="0" w:lineRule="atLeast"/>
              <w:rPr>
                <w:rFonts w:eastAsia="Times New Roman" w:cs="Times New Roman"/>
                <w:b/>
                <w:sz w:val="19"/>
              </w:rPr>
            </w:pPr>
          </w:p>
        </w:tc>
        <w:tc>
          <w:tcPr>
            <w:tcW w:w="404" w:type="dxa"/>
            <w:shd w:val="clear" w:color="auto" w:fill="auto"/>
            <w:vAlign w:val="bottom"/>
          </w:tcPr>
          <w:p w14:paraId="5D854242" w14:textId="77777777" w:rsidR="00A52778" w:rsidRPr="00460F9E" w:rsidRDefault="00A52778" w:rsidP="00FC3F8E">
            <w:pPr>
              <w:spacing w:line="0" w:lineRule="atLeast"/>
              <w:rPr>
                <w:rFonts w:eastAsia="Times New Roman" w:cs="Times New Roman"/>
                <w:b/>
                <w:sz w:val="19"/>
              </w:rPr>
            </w:pPr>
          </w:p>
        </w:tc>
        <w:tc>
          <w:tcPr>
            <w:tcW w:w="557" w:type="dxa"/>
            <w:shd w:val="clear" w:color="auto" w:fill="auto"/>
            <w:vAlign w:val="bottom"/>
          </w:tcPr>
          <w:p w14:paraId="5C4BD2B7" w14:textId="77777777" w:rsidR="00A52778" w:rsidRPr="00460F9E" w:rsidRDefault="00A52778" w:rsidP="00FC3F8E">
            <w:pPr>
              <w:spacing w:line="0" w:lineRule="atLeast"/>
              <w:rPr>
                <w:rFonts w:eastAsia="Times New Roman" w:cs="Times New Roman"/>
                <w:b/>
                <w:sz w:val="19"/>
              </w:rPr>
            </w:pPr>
          </w:p>
        </w:tc>
        <w:tc>
          <w:tcPr>
            <w:tcW w:w="346" w:type="dxa"/>
            <w:shd w:val="clear" w:color="auto" w:fill="auto"/>
            <w:vAlign w:val="bottom"/>
          </w:tcPr>
          <w:p w14:paraId="63DF902B" w14:textId="77777777" w:rsidR="00A52778" w:rsidRPr="00460F9E" w:rsidRDefault="00A52778" w:rsidP="00FC3F8E">
            <w:pPr>
              <w:spacing w:line="0" w:lineRule="atLeast"/>
              <w:rPr>
                <w:rFonts w:eastAsia="Times New Roman" w:cs="Times New Roman"/>
                <w:b/>
                <w:sz w:val="19"/>
              </w:rPr>
            </w:pPr>
          </w:p>
        </w:tc>
        <w:tc>
          <w:tcPr>
            <w:tcW w:w="423" w:type="dxa"/>
            <w:shd w:val="clear" w:color="auto" w:fill="auto"/>
            <w:vAlign w:val="bottom"/>
          </w:tcPr>
          <w:p w14:paraId="12AAABB9" w14:textId="77777777" w:rsidR="00A52778" w:rsidRPr="00460F9E" w:rsidRDefault="00A52778" w:rsidP="00FC3F8E">
            <w:pPr>
              <w:spacing w:line="0" w:lineRule="atLeast"/>
              <w:rPr>
                <w:rFonts w:eastAsia="Times New Roman" w:cs="Times New Roman"/>
                <w:b/>
                <w:sz w:val="19"/>
              </w:rPr>
            </w:pPr>
          </w:p>
        </w:tc>
        <w:tc>
          <w:tcPr>
            <w:tcW w:w="481" w:type="dxa"/>
            <w:shd w:val="clear" w:color="auto" w:fill="auto"/>
            <w:vAlign w:val="bottom"/>
          </w:tcPr>
          <w:p w14:paraId="388A937A" w14:textId="77777777" w:rsidR="00A52778" w:rsidRPr="00460F9E" w:rsidRDefault="00A52778" w:rsidP="00FC3F8E">
            <w:pPr>
              <w:spacing w:line="0" w:lineRule="atLeast"/>
              <w:rPr>
                <w:rFonts w:eastAsia="Times New Roman" w:cs="Times New Roman"/>
                <w:b/>
                <w:sz w:val="19"/>
              </w:rPr>
            </w:pPr>
          </w:p>
        </w:tc>
        <w:tc>
          <w:tcPr>
            <w:tcW w:w="385" w:type="dxa"/>
            <w:tcBorders>
              <w:right w:val="single" w:sz="8" w:space="0" w:color="auto"/>
            </w:tcBorders>
            <w:shd w:val="clear" w:color="auto" w:fill="auto"/>
            <w:vAlign w:val="bottom"/>
          </w:tcPr>
          <w:p w14:paraId="37487CCC" w14:textId="77777777" w:rsidR="00A52778" w:rsidRPr="00460F9E" w:rsidRDefault="00A52778" w:rsidP="00FC3F8E">
            <w:pPr>
              <w:spacing w:line="0" w:lineRule="atLeast"/>
              <w:rPr>
                <w:rFonts w:eastAsia="Times New Roman" w:cs="Times New Roman"/>
                <w:b/>
                <w:sz w:val="19"/>
              </w:rPr>
            </w:pPr>
          </w:p>
        </w:tc>
      </w:tr>
      <w:tr w:rsidR="00A52778" w:rsidRPr="00460F9E" w14:paraId="3E2AC233" w14:textId="77777777" w:rsidTr="00FC3F8E">
        <w:trPr>
          <w:gridAfter w:val="1"/>
          <w:wAfter w:w="347" w:type="dxa"/>
          <w:trHeight w:val="66"/>
        </w:trPr>
        <w:tc>
          <w:tcPr>
            <w:tcW w:w="386" w:type="dxa"/>
            <w:tcBorders>
              <w:left w:val="single" w:sz="8" w:space="0" w:color="auto"/>
              <w:bottom w:val="single" w:sz="8" w:space="0" w:color="auto"/>
              <w:right w:val="single" w:sz="8" w:space="0" w:color="auto"/>
            </w:tcBorders>
            <w:shd w:val="clear" w:color="auto" w:fill="auto"/>
            <w:vAlign w:val="bottom"/>
          </w:tcPr>
          <w:p w14:paraId="5A40431B" w14:textId="77777777" w:rsidR="00A52778" w:rsidRPr="00460F9E" w:rsidRDefault="00A52778" w:rsidP="00FC3F8E">
            <w:pPr>
              <w:spacing w:line="0" w:lineRule="atLeast"/>
              <w:rPr>
                <w:rFonts w:eastAsia="Times New Roman" w:cs="Times New Roman"/>
                <w:b/>
                <w:sz w:val="5"/>
              </w:rPr>
            </w:pPr>
          </w:p>
        </w:tc>
        <w:tc>
          <w:tcPr>
            <w:tcW w:w="424" w:type="dxa"/>
            <w:tcBorders>
              <w:bottom w:val="single" w:sz="8" w:space="0" w:color="auto"/>
            </w:tcBorders>
            <w:shd w:val="clear" w:color="auto" w:fill="auto"/>
            <w:vAlign w:val="bottom"/>
          </w:tcPr>
          <w:p w14:paraId="6E5B3FF1" w14:textId="77777777" w:rsidR="00A52778" w:rsidRPr="00460F9E" w:rsidRDefault="00A52778" w:rsidP="00FC3F8E">
            <w:pPr>
              <w:spacing w:line="0" w:lineRule="atLeast"/>
              <w:rPr>
                <w:rFonts w:eastAsia="Times New Roman" w:cs="Times New Roman"/>
                <w:b/>
                <w:sz w:val="5"/>
              </w:rPr>
            </w:pPr>
          </w:p>
        </w:tc>
        <w:tc>
          <w:tcPr>
            <w:tcW w:w="788" w:type="dxa"/>
            <w:tcBorders>
              <w:bottom w:val="single" w:sz="8" w:space="0" w:color="auto"/>
              <w:right w:val="single" w:sz="8" w:space="0" w:color="auto"/>
            </w:tcBorders>
            <w:shd w:val="clear" w:color="auto" w:fill="auto"/>
            <w:vAlign w:val="bottom"/>
          </w:tcPr>
          <w:p w14:paraId="3DB0F849" w14:textId="77777777" w:rsidR="00A52778" w:rsidRPr="00460F9E" w:rsidRDefault="00A52778" w:rsidP="00FC3F8E">
            <w:pPr>
              <w:spacing w:line="0" w:lineRule="atLeast"/>
              <w:rPr>
                <w:rFonts w:eastAsia="Times New Roman" w:cs="Times New Roman"/>
                <w:b/>
                <w:sz w:val="5"/>
              </w:rPr>
            </w:pPr>
          </w:p>
        </w:tc>
        <w:tc>
          <w:tcPr>
            <w:tcW w:w="385" w:type="dxa"/>
            <w:tcBorders>
              <w:bottom w:val="single" w:sz="8" w:space="0" w:color="auto"/>
            </w:tcBorders>
            <w:shd w:val="clear" w:color="auto" w:fill="auto"/>
            <w:vAlign w:val="bottom"/>
          </w:tcPr>
          <w:p w14:paraId="4931EC8C" w14:textId="77777777" w:rsidR="00A52778" w:rsidRPr="00460F9E" w:rsidRDefault="00A52778" w:rsidP="00FC3F8E">
            <w:pPr>
              <w:spacing w:line="0" w:lineRule="atLeast"/>
              <w:rPr>
                <w:rFonts w:eastAsia="Times New Roman" w:cs="Times New Roman"/>
                <w:b/>
                <w:sz w:val="5"/>
              </w:rPr>
            </w:pPr>
          </w:p>
        </w:tc>
        <w:tc>
          <w:tcPr>
            <w:tcW w:w="828" w:type="dxa"/>
            <w:gridSpan w:val="3"/>
            <w:tcBorders>
              <w:bottom w:val="single" w:sz="8" w:space="0" w:color="auto"/>
            </w:tcBorders>
            <w:shd w:val="clear" w:color="auto" w:fill="auto"/>
            <w:vAlign w:val="bottom"/>
          </w:tcPr>
          <w:p w14:paraId="1B4CA382" w14:textId="77777777" w:rsidR="00A52778" w:rsidRPr="00460F9E" w:rsidRDefault="00A52778" w:rsidP="00FC3F8E">
            <w:pPr>
              <w:spacing w:line="0" w:lineRule="atLeast"/>
              <w:rPr>
                <w:rFonts w:eastAsia="Times New Roman" w:cs="Times New Roman"/>
                <w:b/>
                <w:sz w:val="5"/>
              </w:rPr>
            </w:pPr>
          </w:p>
        </w:tc>
        <w:tc>
          <w:tcPr>
            <w:tcW w:w="365" w:type="dxa"/>
            <w:tcBorders>
              <w:bottom w:val="single" w:sz="8" w:space="0" w:color="auto"/>
            </w:tcBorders>
            <w:shd w:val="clear" w:color="auto" w:fill="auto"/>
            <w:vAlign w:val="bottom"/>
          </w:tcPr>
          <w:p w14:paraId="6629743D" w14:textId="77777777" w:rsidR="00A52778" w:rsidRPr="00460F9E" w:rsidRDefault="00A52778" w:rsidP="00FC3F8E">
            <w:pPr>
              <w:spacing w:line="0" w:lineRule="atLeast"/>
              <w:rPr>
                <w:rFonts w:eastAsia="Times New Roman" w:cs="Times New Roman"/>
                <w:b/>
                <w:sz w:val="5"/>
              </w:rPr>
            </w:pPr>
          </w:p>
        </w:tc>
        <w:tc>
          <w:tcPr>
            <w:tcW w:w="308" w:type="dxa"/>
            <w:tcBorders>
              <w:bottom w:val="single" w:sz="8" w:space="0" w:color="auto"/>
            </w:tcBorders>
            <w:shd w:val="clear" w:color="auto" w:fill="auto"/>
            <w:vAlign w:val="bottom"/>
          </w:tcPr>
          <w:p w14:paraId="5F5D22F9" w14:textId="77777777" w:rsidR="00A52778" w:rsidRPr="00460F9E" w:rsidRDefault="00A52778" w:rsidP="00FC3F8E">
            <w:pPr>
              <w:spacing w:line="0" w:lineRule="atLeast"/>
              <w:rPr>
                <w:rFonts w:eastAsia="Times New Roman" w:cs="Times New Roman"/>
                <w:b/>
                <w:sz w:val="5"/>
              </w:rPr>
            </w:pPr>
          </w:p>
        </w:tc>
        <w:tc>
          <w:tcPr>
            <w:tcW w:w="193" w:type="dxa"/>
            <w:tcBorders>
              <w:bottom w:val="single" w:sz="8" w:space="0" w:color="auto"/>
            </w:tcBorders>
            <w:shd w:val="clear" w:color="auto" w:fill="auto"/>
            <w:vAlign w:val="bottom"/>
          </w:tcPr>
          <w:p w14:paraId="131389FE" w14:textId="77777777" w:rsidR="00A52778" w:rsidRPr="00460F9E" w:rsidRDefault="00A52778" w:rsidP="00FC3F8E">
            <w:pPr>
              <w:spacing w:line="0" w:lineRule="atLeast"/>
              <w:rPr>
                <w:rFonts w:eastAsia="Times New Roman" w:cs="Times New Roman"/>
                <w:b/>
                <w:sz w:val="5"/>
              </w:rPr>
            </w:pPr>
          </w:p>
        </w:tc>
        <w:tc>
          <w:tcPr>
            <w:tcW w:w="250" w:type="dxa"/>
            <w:tcBorders>
              <w:bottom w:val="single" w:sz="8" w:space="0" w:color="auto"/>
            </w:tcBorders>
            <w:shd w:val="clear" w:color="auto" w:fill="auto"/>
            <w:vAlign w:val="bottom"/>
          </w:tcPr>
          <w:p w14:paraId="6FA19F73" w14:textId="77777777" w:rsidR="00A52778" w:rsidRPr="00460F9E" w:rsidRDefault="00A52778" w:rsidP="00FC3F8E">
            <w:pPr>
              <w:spacing w:line="0" w:lineRule="atLeast"/>
              <w:rPr>
                <w:rFonts w:eastAsia="Times New Roman" w:cs="Times New Roman"/>
                <w:b/>
                <w:sz w:val="5"/>
              </w:rPr>
            </w:pPr>
          </w:p>
        </w:tc>
        <w:tc>
          <w:tcPr>
            <w:tcW w:w="212" w:type="dxa"/>
            <w:tcBorders>
              <w:bottom w:val="single" w:sz="8" w:space="0" w:color="auto"/>
            </w:tcBorders>
            <w:shd w:val="clear" w:color="auto" w:fill="auto"/>
            <w:vAlign w:val="bottom"/>
          </w:tcPr>
          <w:p w14:paraId="266EF83D" w14:textId="77777777" w:rsidR="00A52778" w:rsidRPr="00460F9E" w:rsidRDefault="00A52778" w:rsidP="00FC3F8E">
            <w:pPr>
              <w:spacing w:line="0" w:lineRule="atLeast"/>
              <w:rPr>
                <w:rFonts w:eastAsia="Times New Roman" w:cs="Times New Roman"/>
                <w:b/>
                <w:sz w:val="5"/>
              </w:rPr>
            </w:pPr>
          </w:p>
        </w:tc>
        <w:tc>
          <w:tcPr>
            <w:tcW w:w="154" w:type="dxa"/>
            <w:tcBorders>
              <w:bottom w:val="single" w:sz="8" w:space="0" w:color="auto"/>
            </w:tcBorders>
            <w:shd w:val="clear" w:color="auto" w:fill="auto"/>
            <w:vAlign w:val="bottom"/>
          </w:tcPr>
          <w:p w14:paraId="0A360093" w14:textId="77777777" w:rsidR="00A52778" w:rsidRPr="00460F9E" w:rsidRDefault="00A52778" w:rsidP="00FC3F8E">
            <w:pPr>
              <w:spacing w:line="0" w:lineRule="atLeast"/>
              <w:rPr>
                <w:rFonts w:eastAsia="Times New Roman" w:cs="Times New Roman"/>
                <w:b/>
                <w:sz w:val="5"/>
              </w:rPr>
            </w:pPr>
          </w:p>
        </w:tc>
        <w:tc>
          <w:tcPr>
            <w:tcW w:w="346" w:type="dxa"/>
            <w:tcBorders>
              <w:bottom w:val="single" w:sz="8" w:space="0" w:color="auto"/>
            </w:tcBorders>
            <w:shd w:val="clear" w:color="auto" w:fill="auto"/>
            <w:vAlign w:val="bottom"/>
          </w:tcPr>
          <w:p w14:paraId="54C0B4A8" w14:textId="77777777" w:rsidR="00A52778" w:rsidRPr="00460F9E" w:rsidRDefault="00A52778" w:rsidP="00FC3F8E">
            <w:pPr>
              <w:spacing w:line="0" w:lineRule="atLeast"/>
              <w:rPr>
                <w:rFonts w:eastAsia="Times New Roman" w:cs="Times New Roman"/>
                <w:b/>
                <w:sz w:val="5"/>
              </w:rPr>
            </w:pPr>
          </w:p>
        </w:tc>
        <w:tc>
          <w:tcPr>
            <w:tcW w:w="97" w:type="dxa"/>
            <w:tcBorders>
              <w:bottom w:val="single" w:sz="8" w:space="0" w:color="auto"/>
            </w:tcBorders>
            <w:shd w:val="clear" w:color="auto" w:fill="auto"/>
            <w:vAlign w:val="bottom"/>
          </w:tcPr>
          <w:p w14:paraId="7FDF8624" w14:textId="77777777" w:rsidR="00A52778" w:rsidRPr="00460F9E" w:rsidRDefault="00A52778" w:rsidP="00FC3F8E">
            <w:pPr>
              <w:spacing w:line="0" w:lineRule="atLeast"/>
              <w:rPr>
                <w:rFonts w:eastAsia="Times New Roman" w:cs="Times New Roman"/>
                <w:b/>
                <w:sz w:val="5"/>
              </w:rPr>
            </w:pPr>
          </w:p>
        </w:tc>
        <w:tc>
          <w:tcPr>
            <w:tcW w:w="481" w:type="dxa"/>
            <w:tcBorders>
              <w:bottom w:val="single" w:sz="8" w:space="0" w:color="auto"/>
              <w:right w:val="single" w:sz="4" w:space="0" w:color="auto"/>
            </w:tcBorders>
            <w:shd w:val="clear" w:color="auto" w:fill="auto"/>
            <w:vAlign w:val="bottom"/>
          </w:tcPr>
          <w:p w14:paraId="3D2A0F9C" w14:textId="77777777" w:rsidR="00A52778" w:rsidRPr="00460F9E" w:rsidRDefault="00A52778" w:rsidP="00FC3F8E">
            <w:pPr>
              <w:spacing w:line="0" w:lineRule="atLeast"/>
              <w:rPr>
                <w:rFonts w:eastAsia="Times New Roman" w:cs="Times New Roman"/>
                <w:b/>
                <w:sz w:val="5"/>
              </w:rPr>
            </w:pPr>
          </w:p>
        </w:tc>
        <w:tc>
          <w:tcPr>
            <w:tcW w:w="980" w:type="dxa"/>
            <w:tcBorders>
              <w:left w:val="single" w:sz="4" w:space="0" w:color="auto"/>
              <w:bottom w:val="single" w:sz="8" w:space="0" w:color="auto"/>
              <w:right w:val="single" w:sz="8" w:space="0" w:color="auto"/>
            </w:tcBorders>
            <w:shd w:val="clear" w:color="auto" w:fill="auto"/>
            <w:vAlign w:val="bottom"/>
          </w:tcPr>
          <w:p w14:paraId="11A5A951" w14:textId="77777777" w:rsidR="00A52778" w:rsidRPr="00460F9E" w:rsidRDefault="00A52778" w:rsidP="00FC3F8E">
            <w:pPr>
              <w:spacing w:line="0" w:lineRule="atLeast"/>
              <w:rPr>
                <w:rFonts w:eastAsia="Times New Roman" w:cs="Times New Roman"/>
                <w:b/>
                <w:sz w:val="5"/>
              </w:rPr>
            </w:pPr>
          </w:p>
        </w:tc>
        <w:tc>
          <w:tcPr>
            <w:tcW w:w="404" w:type="dxa"/>
            <w:tcBorders>
              <w:bottom w:val="single" w:sz="8" w:space="0" w:color="auto"/>
            </w:tcBorders>
            <w:shd w:val="clear" w:color="auto" w:fill="auto"/>
            <w:vAlign w:val="bottom"/>
          </w:tcPr>
          <w:p w14:paraId="1B5D5382" w14:textId="77777777" w:rsidR="00A52778" w:rsidRPr="00460F9E" w:rsidRDefault="00A52778" w:rsidP="00FC3F8E">
            <w:pPr>
              <w:spacing w:line="0" w:lineRule="atLeast"/>
              <w:rPr>
                <w:rFonts w:eastAsia="Times New Roman" w:cs="Times New Roman"/>
                <w:b/>
                <w:sz w:val="5"/>
              </w:rPr>
            </w:pPr>
          </w:p>
        </w:tc>
        <w:tc>
          <w:tcPr>
            <w:tcW w:w="557" w:type="dxa"/>
            <w:tcBorders>
              <w:bottom w:val="single" w:sz="8" w:space="0" w:color="auto"/>
            </w:tcBorders>
            <w:shd w:val="clear" w:color="auto" w:fill="auto"/>
            <w:vAlign w:val="bottom"/>
          </w:tcPr>
          <w:p w14:paraId="665955DA" w14:textId="77777777" w:rsidR="00A52778" w:rsidRPr="00460F9E" w:rsidRDefault="00A52778" w:rsidP="00FC3F8E">
            <w:pPr>
              <w:spacing w:line="0" w:lineRule="atLeast"/>
              <w:rPr>
                <w:rFonts w:eastAsia="Times New Roman" w:cs="Times New Roman"/>
                <w:b/>
                <w:sz w:val="5"/>
              </w:rPr>
            </w:pPr>
          </w:p>
        </w:tc>
        <w:tc>
          <w:tcPr>
            <w:tcW w:w="346" w:type="dxa"/>
            <w:tcBorders>
              <w:bottom w:val="single" w:sz="8" w:space="0" w:color="auto"/>
            </w:tcBorders>
            <w:shd w:val="clear" w:color="auto" w:fill="auto"/>
            <w:vAlign w:val="bottom"/>
          </w:tcPr>
          <w:p w14:paraId="0C3F6BCF" w14:textId="77777777" w:rsidR="00A52778" w:rsidRPr="00460F9E" w:rsidRDefault="00A52778" w:rsidP="00FC3F8E">
            <w:pPr>
              <w:spacing w:line="0" w:lineRule="atLeast"/>
              <w:rPr>
                <w:rFonts w:eastAsia="Times New Roman" w:cs="Times New Roman"/>
                <w:b/>
                <w:sz w:val="5"/>
              </w:rPr>
            </w:pPr>
          </w:p>
        </w:tc>
        <w:tc>
          <w:tcPr>
            <w:tcW w:w="423" w:type="dxa"/>
            <w:tcBorders>
              <w:bottom w:val="single" w:sz="8" w:space="0" w:color="auto"/>
            </w:tcBorders>
            <w:shd w:val="clear" w:color="auto" w:fill="auto"/>
            <w:vAlign w:val="bottom"/>
          </w:tcPr>
          <w:p w14:paraId="78178EFB" w14:textId="77777777" w:rsidR="00A52778" w:rsidRPr="00460F9E" w:rsidRDefault="00A52778" w:rsidP="00FC3F8E">
            <w:pPr>
              <w:spacing w:line="0" w:lineRule="atLeast"/>
              <w:rPr>
                <w:rFonts w:eastAsia="Times New Roman" w:cs="Times New Roman"/>
                <w:b/>
                <w:sz w:val="5"/>
              </w:rPr>
            </w:pPr>
          </w:p>
        </w:tc>
        <w:tc>
          <w:tcPr>
            <w:tcW w:w="481" w:type="dxa"/>
            <w:tcBorders>
              <w:bottom w:val="single" w:sz="8" w:space="0" w:color="auto"/>
            </w:tcBorders>
            <w:shd w:val="clear" w:color="auto" w:fill="auto"/>
            <w:vAlign w:val="bottom"/>
          </w:tcPr>
          <w:p w14:paraId="3AD52886" w14:textId="77777777" w:rsidR="00A52778" w:rsidRPr="00460F9E" w:rsidRDefault="00A52778" w:rsidP="00FC3F8E">
            <w:pPr>
              <w:spacing w:line="0" w:lineRule="atLeast"/>
              <w:rPr>
                <w:rFonts w:eastAsia="Times New Roman" w:cs="Times New Roman"/>
                <w:b/>
                <w:sz w:val="5"/>
              </w:rPr>
            </w:pPr>
          </w:p>
        </w:tc>
        <w:tc>
          <w:tcPr>
            <w:tcW w:w="385" w:type="dxa"/>
            <w:tcBorders>
              <w:bottom w:val="single" w:sz="8" w:space="0" w:color="auto"/>
              <w:right w:val="single" w:sz="8" w:space="0" w:color="auto"/>
            </w:tcBorders>
            <w:shd w:val="clear" w:color="auto" w:fill="auto"/>
            <w:vAlign w:val="bottom"/>
          </w:tcPr>
          <w:p w14:paraId="1E80618B" w14:textId="77777777" w:rsidR="00A52778" w:rsidRPr="00460F9E" w:rsidRDefault="00A52778" w:rsidP="00FC3F8E">
            <w:pPr>
              <w:spacing w:line="0" w:lineRule="atLeast"/>
              <w:rPr>
                <w:rFonts w:eastAsia="Times New Roman" w:cs="Times New Roman"/>
                <w:b/>
                <w:sz w:val="5"/>
              </w:rPr>
            </w:pPr>
          </w:p>
        </w:tc>
      </w:tr>
      <w:tr w:rsidR="00A52778" w:rsidRPr="00460F9E" w14:paraId="7102E38B" w14:textId="77777777" w:rsidTr="00FC3F8E">
        <w:trPr>
          <w:gridAfter w:val="1"/>
          <w:wAfter w:w="347" w:type="dxa"/>
          <w:trHeight w:val="214"/>
        </w:trPr>
        <w:tc>
          <w:tcPr>
            <w:tcW w:w="386" w:type="dxa"/>
            <w:tcBorders>
              <w:left w:val="single" w:sz="8" w:space="0" w:color="auto"/>
              <w:right w:val="single" w:sz="8" w:space="0" w:color="auto"/>
            </w:tcBorders>
            <w:shd w:val="clear" w:color="auto" w:fill="auto"/>
            <w:vAlign w:val="bottom"/>
          </w:tcPr>
          <w:p w14:paraId="0968FAEB" w14:textId="77777777" w:rsidR="00A52778" w:rsidRPr="00460F9E" w:rsidRDefault="00A52778" w:rsidP="00FC3F8E">
            <w:pPr>
              <w:spacing w:line="0" w:lineRule="atLeast"/>
              <w:rPr>
                <w:rFonts w:eastAsia="Times New Roman" w:cs="Times New Roman"/>
                <w:b/>
                <w:sz w:val="18"/>
              </w:rPr>
            </w:pPr>
          </w:p>
        </w:tc>
        <w:tc>
          <w:tcPr>
            <w:tcW w:w="424" w:type="dxa"/>
            <w:shd w:val="clear" w:color="auto" w:fill="auto"/>
            <w:vAlign w:val="bottom"/>
          </w:tcPr>
          <w:p w14:paraId="1B6EBB6D" w14:textId="77777777" w:rsidR="00A52778" w:rsidRPr="00460F9E" w:rsidRDefault="00A52778" w:rsidP="00FC3F8E">
            <w:pPr>
              <w:spacing w:line="0" w:lineRule="atLeast"/>
              <w:rPr>
                <w:rFonts w:eastAsia="Times New Roman" w:cs="Times New Roman"/>
                <w:b/>
                <w:sz w:val="18"/>
              </w:rPr>
            </w:pPr>
          </w:p>
        </w:tc>
        <w:tc>
          <w:tcPr>
            <w:tcW w:w="788" w:type="dxa"/>
            <w:tcBorders>
              <w:right w:val="single" w:sz="8" w:space="0" w:color="auto"/>
            </w:tcBorders>
            <w:shd w:val="clear" w:color="auto" w:fill="auto"/>
            <w:vAlign w:val="bottom"/>
          </w:tcPr>
          <w:p w14:paraId="021904F7" w14:textId="77777777" w:rsidR="00A52778" w:rsidRPr="00460F9E" w:rsidRDefault="00A52778" w:rsidP="00FC3F8E">
            <w:pPr>
              <w:spacing w:line="0" w:lineRule="atLeast"/>
              <w:rPr>
                <w:rFonts w:eastAsia="Times New Roman" w:cs="Times New Roman"/>
                <w:b/>
                <w:sz w:val="18"/>
              </w:rPr>
            </w:pPr>
          </w:p>
        </w:tc>
        <w:tc>
          <w:tcPr>
            <w:tcW w:w="385" w:type="dxa"/>
            <w:shd w:val="clear" w:color="auto" w:fill="auto"/>
            <w:vAlign w:val="bottom"/>
          </w:tcPr>
          <w:p w14:paraId="14E02C55" w14:textId="77777777" w:rsidR="00A52778" w:rsidRPr="00460F9E" w:rsidRDefault="00A52778" w:rsidP="00FC3F8E">
            <w:pPr>
              <w:spacing w:line="0" w:lineRule="atLeast"/>
              <w:rPr>
                <w:rFonts w:eastAsia="Times New Roman" w:cs="Times New Roman"/>
                <w:b/>
                <w:sz w:val="18"/>
              </w:rPr>
            </w:pPr>
          </w:p>
        </w:tc>
        <w:tc>
          <w:tcPr>
            <w:tcW w:w="3234" w:type="dxa"/>
            <w:gridSpan w:val="12"/>
            <w:tcBorders>
              <w:right w:val="single" w:sz="4" w:space="0" w:color="auto"/>
            </w:tcBorders>
            <w:shd w:val="clear" w:color="auto" w:fill="auto"/>
            <w:vAlign w:val="bottom"/>
          </w:tcPr>
          <w:p w14:paraId="77117FFC" w14:textId="77777777" w:rsidR="00A52778" w:rsidRPr="00460F9E" w:rsidRDefault="00A52778" w:rsidP="00FC3F8E">
            <w:pPr>
              <w:spacing w:line="0" w:lineRule="atLeast"/>
              <w:rPr>
                <w:rFonts w:eastAsia="Times New Roman" w:cs="Times New Roman"/>
                <w:b/>
                <w:sz w:val="18"/>
              </w:rPr>
            </w:pPr>
            <w:r w:rsidRPr="00460F9E">
              <w:rPr>
                <w:rFonts w:eastAsia="Times New Roman" w:cs="Times New Roman"/>
              </w:rPr>
              <w:t>Bu madde şunları ihtiva etmektedir:</w:t>
            </w:r>
          </w:p>
        </w:tc>
        <w:tc>
          <w:tcPr>
            <w:tcW w:w="980" w:type="dxa"/>
            <w:tcBorders>
              <w:left w:val="single" w:sz="4" w:space="0" w:color="auto"/>
              <w:right w:val="single" w:sz="8" w:space="0" w:color="auto"/>
            </w:tcBorders>
            <w:shd w:val="clear" w:color="auto" w:fill="auto"/>
            <w:vAlign w:val="bottom"/>
          </w:tcPr>
          <w:p w14:paraId="7567E5D9" w14:textId="77777777" w:rsidR="00A52778" w:rsidRPr="00460F9E" w:rsidRDefault="00A52778" w:rsidP="00FC3F8E">
            <w:pPr>
              <w:spacing w:line="0" w:lineRule="atLeast"/>
              <w:rPr>
                <w:rFonts w:eastAsia="Times New Roman" w:cs="Times New Roman"/>
                <w:b/>
                <w:sz w:val="18"/>
              </w:rPr>
            </w:pPr>
          </w:p>
        </w:tc>
        <w:tc>
          <w:tcPr>
            <w:tcW w:w="404" w:type="dxa"/>
            <w:shd w:val="clear" w:color="auto" w:fill="auto"/>
            <w:vAlign w:val="bottom"/>
          </w:tcPr>
          <w:p w14:paraId="2DE9A70D" w14:textId="77777777" w:rsidR="00A52778" w:rsidRPr="00460F9E" w:rsidRDefault="00A52778" w:rsidP="00FC3F8E">
            <w:pPr>
              <w:spacing w:line="0" w:lineRule="atLeast"/>
              <w:rPr>
                <w:rFonts w:eastAsia="Times New Roman" w:cs="Times New Roman"/>
                <w:b/>
                <w:sz w:val="18"/>
              </w:rPr>
            </w:pPr>
          </w:p>
        </w:tc>
        <w:tc>
          <w:tcPr>
            <w:tcW w:w="557" w:type="dxa"/>
            <w:shd w:val="clear" w:color="auto" w:fill="auto"/>
            <w:vAlign w:val="bottom"/>
          </w:tcPr>
          <w:p w14:paraId="77BA62E1" w14:textId="77777777" w:rsidR="00A52778" w:rsidRPr="00460F9E" w:rsidRDefault="00A52778" w:rsidP="00FC3F8E">
            <w:pPr>
              <w:spacing w:line="0" w:lineRule="atLeast"/>
              <w:rPr>
                <w:rFonts w:eastAsia="Times New Roman" w:cs="Times New Roman"/>
                <w:b/>
                <w:sz w:val="18"/>
              </w:rPr>
            </w:pPr>
          </w:p>
        </w:tc>
        <w:tc>
          <w:tcPr>
            <w:tcW w:w="346" w:type="dxa"/>
            <w:shd w:val="clear" w:color="auto" w:fill="auto"/>
            <w:vAlign w:val="bottom"/>
          </w:tcPr>
          <w:p w14:paraId="447044AE" w14:textId="77777777" w:rsidR="00A52778" w:rsidRPr="00460F9E" w:rsidRDefault="00A52778" w:rsidP="00FC3F8E">
            <w:pPr>
              <w:spacing w:line="0" w:lineRule="atLeast"/>
              <w:rPr>
                <w:rFonts w:eastAsia="Times New Roman" w:cs="Times New Roman"/>
                <w:b/>
                <w:sz w:val="18"/>
              </w:rPr>
            </w:pPr>
          </w:p>
        </w:tc>
        <w:tc>
          <w:tcPr>
            <w:tcW w:w="423" w:type="dxa"/>
            <w:shd w:val="clear" w:color="auto" w:fill="auto"/>
            <w:vAlign w:val="bottom"/>
          </w:tcPr>
          <w:p w14:paraId="22079344" w14:textId="77777777" w:rsidR="00A52778" w:rsidRPr="00460F9E" w:rsidRDefault="00A52778" w:rsidP="00FC3F8E">
            <w:pPr>
              <w:spacing w:line="0" w:lineRule="atLeast"/>
              <w:rPr>
                <w:rFonts w:eastAsia="Times New Roman" w:cs="Times New Roman"/>
                <w:b/>
                <w:sz w:val="18"/>
              </w:rPr>
            </w:pPr>
          </w:p>
        </w:tc>
        <w:tc>
          <w:tcPr>
            <w:tcW w:w="481" w:type="dxa"/>
            <w:shd w:val="clear" w:color="auto" w:fill="auto"/>
            <w:vAlign w:val="bottom"/>
          </w:tcPr>
          <w:p w14:paraId="17A95931" w14:textId="77777777" w:rsidR="00A52778" w:rsidRPr="00460F9E" w:rsidRDefault="00A52778" w:rsidP="00FC3F8E">
            <w:pPr>
              <w:spacing w:line="0" w:lineRule="atLeast"/>
              <w:rPr>
                <w:rFonts w:eastAsia="Times New Roman" w:cs="Times New Roman"/>
                <w:b/>
                <w:sz w:val="18"/>
              </w:rPr>
            </w:pPr>
          </w:p>
        </w:tc>
        <w:tc>
          <w:tcPr>
            <w:tcW w:w="385" w:type="dxa"/>
            <w:tcBorders>
              <w:right w:val="single" w:sz="8" w:space="0" w:color="auto"/>
            </w:tcBorders>
            <w:shd w:val="clear" w:color="auto" w:fill="auto"/>
            <w:vAlign w:val="bottom"/>
          </w:tcPr>
          <w:p w14:paraId="56CF7D33" w14:textId="77777777" w:rsidR="00A52778" w:rsidRPr="00460F9E" w:rsidRDefault="00A52778" w:rsidP="00FC3F8E">
            <w:pPr>
              <w:spacing w:line="0" w:lineRule="atLeast"/>
              <w:rPr>
                <w:rFonts w:eastAsia="Times New Roman" w:cs="Times New Roman"/>
                <w:b/>
                <w:sz w:val="18"/>
              </w:rPr>
            </w:pPr>
          </w:p>
        </w:tc>
      </w:tr>
      <w:tr w:rsidR="00A52778" w:rsidRPr="00460F9E" w14:paraId="784405E9" w14:textId="77777777" w:rsidTr="00FC3F8E">
        <w:trPr>
          <w:gridAfter w:val="1"/>
          <w:wAfter w:w="347" w:type="dxa"/>
          <w:trHeight w:val="305"/>
        </w:trPr>
        <w:tc>
          <w:tcPr>
            <w:tcW w:w="386" w:type="dxa"/>
            <w:tcBorders>
              <w:left w:val="single" w:sz="8" w:space="0" w:color="auto"/>
              <w:right w:val="single" w:sz="8" w:space="0" w:color="auto"/>
            </w:tcBorders>
            <w:shd w:val="clear" w:color="auto" w:fill="auto"/>
            <w:vAlign w:val="bottom"/>
          </w:tcPr>
          <w:p w14:paraId="16E0396B" w14:textId="77777777" w:rsidR="00A52778" w:rsidRPr="00460F9E" w:rsidRDefault="00A52778" w:rsidP="00FC3F8E">
            <w:pPr>
              <w:spacing w:line="0" w:lineRule="atLeast"/>
              <w:rPr>
                <w:rFonts w:eastAsia="Times New Roman" w:cs="Times New Roman"/>
                <w:b/>
              </w:rPr>
            </w:pPr>
          </w:p>
        </w:tc>
        <w:tc>
          <w:tcPr>
            <w:tcW w:w="424" w:type="dxa"/>
            <w:shd w:val="clear" w:color="auto" w:fill="auto"/>
            <w:vAlign w:val="bottom"/>
          </w:tcPr>
          <w:p w14:paraId="33078355" w14:textId="77777777" w:rsidR="00A52778" w:rsidRPr="00460F9E" w:rsidRDefault="00A52778" w:rsidP="00FC3F8E">
            <w:pPr>
              <w:spacing w:line="0" w:lineRule="atLeast"/>
              <w:rPr>
                <w:rFonts w:eastAsia="Times New Roman" w:cs="Times New Roman"/>
                <w:b/>
              </w:rPr>
            </w:pPr>
          </w:p>
        </w:tc>
        <w:tc>
          <w:tcPr>
            <w:tcW w:w="788" w:type="dxa"/>
            <w:tcBorders>
              <w:right w:val="single" w:sz="8" w:space="0" w:color="auto"/>
            </w:tcBorders>
            <w:shd w:val="clear" w:color="auto" w:fill="auto"/>
            <w:vAlign w:val="bottom"/>
          </w:tcPr>
          <w:p w14:paraId="424615F7" w14:textId="77777777" w:rsidR="00A52778" w:rsidRPr="00460F9E" w:rsidRDefault="00A52778" w:rsidP="00FC3F8E">
            <w:pPr>
              <w:spacing w:line="0" w:lineRule="atLeast"/>
              <w:rPr>
                <w:rFonts w:eastAsia="Times New Roman" w:cs="Times New Roman"/>
                <w:b/>
              </w:rPr>
            </w:pPr>
          </w:p>
        </w:tc>
        <w:tc>
          <w:tcPr>
            <w:tcW w:w="385" w:type="dxa"/>
            <w:shd w:val="clear" w:color="auto" w:fill="auto"/>
            <w:vAlign w:val="bottom"/>
          </w:tcPr>
          <w:p w14:paraId="15C58684" w14:textId="77777777" w:rsidR="00A52778" w:rsidRPr="00460F9E" w:rsidRDefault="00A52778" w:rsidP="00FC3F8E">
            <w:pPr>
              <w:spacing w:line="0" w:lineRule="atLeast"/>
              <w:rPr>
                <w:rFonts w:eastAsia="Times New Roman" w:cs="Times New Roman"/>
                <w:b/>
              </w:rPr>
            </w:pPr>
          </w:p>
        </w:tc>
        <w:tc>
          <w:tcPr>
            <w:tcW w:w="20" w:type="dxa"/>
            <w:shd w:val="clear" w:color="auto" w:fill="auto"/>
            <w:vAlign w:val="bottom"/>
          </w:tcPr>
          <w:p w14:paraId="55C62B00" w14:textId="77777777" w:rsidR="00A52778" w:rsidRPr="00460F9E" w:rsidRDefault="00A52778" w:rsidP="00FC3F8E">
            <w:pPr>
              <w:spacing w:line="0" w:lineRule="atLeast"/>
              <w:rPr>
                <w:rFonts w:eastAsia="Times New Roman" w:cs="Times New Roman"/>
                <w:b/>
              </w:rPr>
            </w:pPr>
          </w:p>
        </w:tc>
        <w:tc>
          <w:tcPr>
            <w:tcW w:w="3214" w:type="dxa"/>
            <w:gridSpan w:val="11"/>
            <w:vMerge w:val="restart"/>
            <w:tcBorders>
              <w:right w:val="single" w:sz="4" w:space="0" w:color="auto"/>
            </w:tcBorders>
            <w:shd w:val="clear" w:color="auto" w:fill="auto"/>
            <w:vAlign w:val="bottom"/>
          </w:tcPr>
          <w:p w14:paraId="2E6C8FEB"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solvent kullanımının azaltılması ve/             </w:t>
            </w:r>
          </w:p>
          <w:p w14:paraId="15D9F9F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veya daha düşük uçuculuğa sahip </w:t>
            </w:r>
          </w:p>
          <w:p w14:paraId="66568F01"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solventlerin kullanılması;</w:t>
            </w:r>
          </w:p>
        </w:tc>
        <w:tc>
          <w:tcPr>
            <w:tcW w:w="980" w:type="dxa"/>
            <w:tcBorders>
              <w:left w:val="single" w:sz="4" w:space="0" w:color="auto"/>
              <w:right w:val="single" w:sz="8" w:space="0" w:color="auto"/>
            </w:tcBorders>
            <w:shd w:val="clear" w:color="auto" w:fill="auto"/>
            <w:vAlign w:val="bottom"/>
          </w:tcPr>
          <w:p w14:paraId="21B90E41" w14:textId="77777777" w:rsidR="00A52778" w:rsidRPr="00460F9E" w:rsidRDefault="00A52778" w:rsidP="00FC3F8E">
            <w:pPr>
              <w:spacing w:line="0" w:lineRule="atLeast"/>
              <w:rPr>
                <w:rFonts w:eastAsia="Times New Roman" w:cs="Times New Roman"/>
                <w:b/>
              </w:rPr>
            </w:pPr>
          </w:p>
        </w:tc>
        <w:tc>
          <w:tcPr>
            <w:tcW w:w="404" w:type="dxa"/>
            <w:shd w:val="clear" w:color="auto" w:fill="auto"/>
            <w:vAlign w:val="bottom"/>
          </w:tcPr>
          <w:p w14:paraId="536494E0" w14:textId="77777777" w:rsidR="00A52778" w:rsidRPr="00460F9E" w:rsidRDefault="00A52778" w:rsidP="00FC3F8E">
            <w:pPr>
              <w:spacing w:line="0" w:lineRule="atLeast"/>
              <w:rPr>
                <w:rFonts w:eastAsia="Times New Roman" w:cs="Times New Roman"/>
                <w:b/>
              </w:rPr>
            </w:pPr>
          </w:p>
        </w:tc>
        <w:tc>
          <w:tcPr>
            <w:tcW w:w="557" w:type="dxa"/>
            <w:shd w:val="clear" w:color="auto" w:fill="auto"/>
            <w:vAlign w:val="bottom"/>
          </w:tcPr>
          <w:p w14:paraId="54B0373B" w14:textId="77777777" w:rsidR="00A52778" w:rsidRPr="00460F9E" w:rsidRDefault="00A52778" w:rsidP="00FC3F8E">
            <w:pPr>
              <w:spacing w:line="0" w:lineRule="atLeast"/>
              <w:rPr>
                <w:rFonts w:eastAsia="Times New Roman" w:cs="Times New Roman"/>
                <w:b/>
              </w:rPr>
            </w:pPr>
          </w:p>
        </w:tc>
        <w:tc>
          <w:tcPr>
            <w:tcW w:w="346" w:type="dxa"/>
            <w:shd w:val="clear" w:color="auto" w:fill="auto"/>
            <w:vAlign w:val="bottom"/>
          </w:tcPr>
          <w:p w14:paraId="0743B4D1" w14:textId="77777777" w:rsidR="00A52778" w:rsidRPr="00460F9E" w:rsidRDefault="00A52778" w:rsidP="00FC3F8E">
            <w:pPr>
              <w:spacing w:line="0" w:lineRule="atLeast"/>
              <w:rPr>
                <w:rFonts w:eastAsia="Times New Roman" w:cs="Times New Roman"/>
                <w:b/>
              </w:rPr>
            </w:pPr>
          </w:p>
        </w:tc>
        <w:tc>
          <w:tcPr>
            <w:tcW w:w="423" w:type="dxa"/>
            <w:shd w:val="clear" w:color="auto" w:fill="auto"/>
            <w:vAlign w:val="bottom"/>
          </w:tcPr>
          <w:p w14:paraId="4B7C7C5C" w14:textId="77777777" w:rsidR="00A52778" w:rsidRPr="00460F9E" w:rsidRDefault="00A52778" w:rsidP="00FC3F8E">
            <w:pPr>
              <w:spacing w:line="0" w:lineRule="atLeast"/>
              <w:rPr>
                <w:rFonts w:eastAsia="Times New Roman" w:cs="Times New Roman"/>
                <w:b/>
              </w:rPr>
            </w:pPr>
          </w:p>
        </w:tc>
        <w:tc>
          <w:tcPr>
            <w:tcW w:w="481" w:type="dxa"/>
            <w:shd w:val="clear" w:color="auto" w:fill="auto"/>
            <w:vAlign w:val="bottom"/>
          </w:tcPr>
          <w:p w14:paraId="01BBA560" w14:textId="77777777" w:rsidR="00A52778" w:rsidRPr="00460F9E" w:rsidRDefault="00A52778" w:rsidP="00FC3F8E">
            <w:pPr>
              <w:spacing w:line="0" w:lineRule="atLeast"/>
              <w:rPr>
                <w:rFonts w:eastAsia="Times New Roman" w:cs="Times New Roman"/>
                <w:b/>
              </w:rPr>
            </w:pPr>
          </w:p>
        </w:tc>
        <w:tc>
          <w:tcPr>
            <w:tcW w:w="385" w:type="dxa"/>
            <w:tcBorders>
              <w:right w:val="single" w:sz="8" w:space="0" w:color="auto"/>
            </w:tcBorders>
            <w:shd w:val="clear" w:color="auto" w:fill="auto"/>
            <w:vAlign w:val="bottom"/>
          </w:tcPr>
          <w:p w14:paraId="16C40016" w14:textId="77777777" w:rsidR="00A52778" w:rsidRPr="00460F9E" w:rsidRDefault="00A52778" w:rsidP="00FC3F8E">
            <w:pPr>
              <w:spacing w:line="0" w:lineRule="atLeast"/>
              <w:rPr>
                <w:rFonts w:eastAsia="Times New Roman" w:cs="Times New Roman"/>
                <w:b/>
              </w:rPr>
            </w:pPr>
          </w:p>
        </w:tc>
      </w:tr>
      <w:tr w:rsidR="00A52778" w:rsidRPr="00460F9E" w14:paraId="0DBADC31" w14:textId="77777777" w:rsidTr="00FC3F8E">
        <w:trPr>
          <w:gridAfter w:val="1"/>
          <w:wAfter w:w="347" w:type="dxa"/>
          <w:trHeight w:val="231"/>
        </w:trPr>
        <w:tc>
          <w:tcPr>
            <w:tcW w:w="386" w:type="dxa"/>
            <w:tcBorders>
              <w:left w:val="single" w:sz="8" w:space="0" w:color="auto"/>
              <w:right w:val="single" w:sz="8" w:space="0" w:color="auto"/>
            </w:tcBorders>
            <w:shd w:val="clear" w:color="auto" w:fill="auto"/>
            <w:vAlign w:val="bottom"/>
          </w:tcPr>
          <w:p w14:paraId="64A3BC25" w14:textId="77777777" w:rsidR="00A52778" w:rsidRPr="00460F9E" w:rsidRDefault="00A52778" w:rsidP="00FC3F8E">
            <w:pPr>
              <w:spacing w:line="0" w:lineRule="atLeast"/>
              <w:rPr>
                <w:rFonts w:eastAsia="Times New Roman" w:cs="Times New Roman"/>
                <w:b/>
              </w:rPr>
            </w:pPr>
          </w:p>
        </w:tc>
        <w:tc>
          <w:tcPr>
            <w:tcW w:w="1212" w:type="dxa"/>
            <w:gridSpan w:val="2"/>
            <w:vMerge w:val="restart"/>
            <w:tcBorders>
              <w:right w:val="single" w:sz="8" w:space="0" w:color="auto"/>
            </w:tcBorders>
            <w:shd w:val="clear" w:color="auto" w:fill="auto"/>
            <w:vAlign w:val="bottom"/>
          </w:tcPr>
          <w:p w14:paraId="7875C50F"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Proses tasarımının gözden geçirilmesi ve güncellenmesi</w:t>
            </w:r>
          </w:p>
        </w:tc>
        <w:tc>
          <w:tcPr>
            <w:tcW w:w="385" w:type="dxa"/>
            <w:shd w:val="clear" w:color="auto" w:fill="auto"/>
            <w:vAlign w:val="bottom"/>
          </w:tcPr>
          <w:p w14:paraId="5915C6AF" w14:textId="77777777" w:rsidR="00A52778" w:rsidRPr="00460F9E" w:rsidRDefault="00A52778" w:rsidP="00FC3F8E">
            <w:pPr>
              <w:spacing w:line="0" w:lineRule="atLeast"/>
              <w:rPr>
                <w:rFonts w:eastAsia="Times New Roman" w:cs="Times New Roman"/>
                <w:b/>
              </w:rPr>
            </w:pPr>
          </w:p>
        </w:tc>
        <w:tc>
          <w:tcPr>
            <w:tcW w:w="20" w:type="dxa"/>
            <w:shd w:val="clear" w:color="auto" w:fill="auto"/>
            <w:vAlign w:val="bottom"/>
          </w:tcPr>
          <w:p w14:paraId="337419B1" w14:textId="77777777" w:rsidR="00A52778" w:rsidRPr="00460F9E" w:rsidRDefault="00A52778" w:rsidP="00FC3F8E">
            <w:pPr>
              <w:spacing w:line="0" w:lineRule="atLeast"/>
              <w:rPr>
                <w:rFonts w:eastAsia="Times New Roman" w:cs="Times New Roman"/>
                <w:b/>
              </w:rPr>
            </w:pPr>
          </w:p>
        </w:tc>
        <w:tc>
          <w:tcPr>
            <w:tcW w:w="3214" w:type="dxa"/>
            <w:gridSpan w:val="11"/>
            <w:vMerge/>
            <w:tcBorders>
              <w:right w:val="single" w:sz="4" w:space="0" w:color="auto"/>
            </w:tcBorders>
            <w:shd w:val="clear" w:color="auto" w:fill="auto"/>
            <w:vAlign w:val="bottom"/>
          </w:tcPr>
          <w:p w14:paraId="080A6748" w14:textId="77777777" w:rsidR="00A52778" w:rsidRPr="00460F9E" w:rsidRDefault="00A52778" w:rsidP="00FC3F8E">
            <w:pPr>
              <w:spacing w:line="0" w:lineRule="atLeast"/>
              <w:ind w:left="240"/>
              <w:rPr>
                <w:rFonts w:eastAsia="Times New Roman" w:cs="Times New Roman"/>
                <w:b/>
              </w:rPr>
            </w:pPr>
          </w:p>
        </w:tc>
        <w:tc>
          <w:tcPr>
            <w:tcW w:w="980" w:type="dxa"/>
            <w:vMerge w:val="restart"/>
            <w:tcBorders>
              <w:left w:val="single" w:sz="4" w:space="0" w:color="auto"/>
              <w:right w:val="single" w:sz="8" w:space="0" w:color="auto"/>
            </w:tcBorders>
            <w:shd w:val="clear" w:color="auto" w:fill="auto"/>
            <w:vAlign w:val="bottom"/>
          </w:tcPr>
          <w:p w14:paraId="1228EFAE"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Kaçak olmayan emisyonlar</w:t>
            </w:r>
          </w:p>
        </w:tc>
        <w:tc>
          <w:tcPr>
            <w:tcW w:w="2596" w:type="dxa"/>
            <w:gridSpan w:val="6"/>
            <w:vMerge w:val="restart"/>
            <w:tcBorders>
              <w:right w:val="single" w:sz="8" w:space="0" w:color="auto"/>
            </w:tcBorders>
            <w:shd w:val="clear" w:color="auto" w:fill="auto"/>
            <w:vAlign w:val="bottom"/>
          </w:tcPr>
          <w:p w14:paraId="477F945E"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Mevcut tesisler söz konusu   </w:t>
            </w:r>
          </w:p>
          <w:p w14:paraId="046BAFCC"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olduğunda uygulanabilirliği </w:t>
            </w:r>
          </w:p>
          <w:p w14:paraId="3243C9D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operasyonel kısıtlamalarla </w:t>
            </w:r>
          </w:p>
          <w:p w14:paraId="6DA27DA4"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sınırlandırılabilir.</w:t>
            </w:r>
          </w:p>
        </w:tc>
      </w:tr>
      <w:tr w:rsidR="00A52778" w:rsidRPr="00460F9E" w14:paraId="512AF1AD" w14:textId="77777777" w:rsidTr="00FC3F8E">
        <w:trPr>
          <w:gridAfter w:val="1"/>
          <w:wAfter w:w="347" w:type="dxa"/>
          <w:trHeight w:val="103"/>
        </w:trPr>
        <w:tc>
          <w:tcPr>
            <w:tcW w:w="386" w:type="dxa"/>
            <w:tcBorders>
              <w:left w:val="single" w:sz="8" w:space="0" w:color="auto"/>
              <w:right w:val="single" w:sz="8" w:space="0" w:color="auto"/>
            </w:tcBorders>
            <w:shd w:val="clear" w:color="auto" w:fill="auto"/>
            <w:vAlign w:val="bottom"/>
          </w:tcPr>
          <w:p w14:paraId="549DEE95" w14:textId="77777777" w:rsidR="00A52778" w:rsidRPr="00460F9E" w:rsidRDefault="00A52778" w:rsidP="00FC3F8E">
            <w:pPr>
              <w:spacing w:line="0" w:lineRule="atLeast"/>
              <w:rPr>
                <w:rFonts w:eastAsia="Times New Roman" w:cs="Times New Roman"/>
                <w:b/>
                <w:sz w:val="8"/>
              </w:rPr>
            </w:pPr>
          </w:p>
        </w:tc>
        <w:tc>
          <w:tcPr>
            <w:tcW w:w="1212" w:type="dxa"/>
            <w:gridSpan w:val="2"/>
            <w:vMerge/>
            <w:tcBorders>
              <w:right w:val="single" w:sz="8" w:space="0" w:color="auto"/>
            </w:tcBorders>
            <w:shd w:val="clear" w:color="auto" w:fill="auto"/>
            <w:vAlign w:val="bottom"/>
          </w:tcPr>
          <w:p w14:paraId="49D6BF77" w14:textId="77777777" w:rsidR="00A52778" w:rsidRPr="00460F9E" w:rsidRDefault="00A52778" w:rsidP="00FC3F8E">
            <w:pPr>
              <w:spacing w:line="0" w:lineRule="atLeast"/>
              <w:ind w:left="80"/>
              <w:rPr>
                <w:rFonts w:eastAsia="Times New Roman" w:cs="Times New Roman"/>
                <w:b/>
                <w:sz w:val="8"/>
              </w:rPr>
            </w:pPr>
          </w:p>
        </w:tc>
        <w:tc>
          <w:tcPr>
            <w:tcW w:w="385" w:type="dxa"/>
            <w:shd w:val="clear" w:color="auto" w:fill="auto"/>
            <w:vAlign w:val="bottom"/>
          </w:tcPr>
          <w:p w14:paraId="4E7C234D" w14:textId="77777777" w:rsidR="00A52778" w:rsidRPr="00460F9E" w:rsidRDefault="00A52778" w:rsidP="00FC3F8E">
            <w:pPr>
              <w:spacing w:line="0" w:lineRule="atLeast"/>
              <w:rPr>
                <w:rFonts w:eastAsia="Times New Roman" w:cs="Times New Roman"/>
                <w:b/>
                <w:sz w:val="8"/>
              </w:rPr>
            </w:pPr>
          </w:p>
        </w:tc>
        <w:tc>
          <w:tcPr>
            <w:tcW w:w="20" w:type="dxa"/>
            <w:vMerge w:val="restart"/>
            <w:shd w:val="clear" w:color="auto" w:fill="auto"/>
            <w:vAlign w:val="bottom"/>
          </w:tcPr>
          <w:p w14:paraId="0B633078" w14:textId="77777777" w:rsidR="00A52778" w:rsidRPr="00460F9E" w:rsidRDefault="00A52778" w:rsidP="00FC3F8E">
            <w:pPr>
              <w:spacing w:line="0" w:lineRule="atLeast"/>
              <w:rPr>
                <w:rFonts w:eastAsia="Times New Roman" w:cs="Times New Roman"/>
                <w:b/>
                <w:sz w:val="8"/>
              </w:rPr>
            </w:pPr>
          </w:p>
        </w:tc>
        <w:tc>
          <w:tcPr>
            <w:tcW w:w="3214" w:type="dxa"/>
            <w:gridSpan w:val="11"/>
            <w:vMerge w:val="restart"/>
            <w:tcBorders>
              <w:right w:val="single" w:sz="4" w:space="0" w:color="auto"/>
            </w:tcBorders>
            <w:shd w:val="clear" w:color="auto" w:fill="auto"/>
            <w:vAlign w:val="bottom"/>
          </w:tcPr>
          <w:p w14:paraId="774729DB"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VOC içeren yan ürünlerin oluşumunun </w:t>
            </w:r>
          </w:p>
          <w:p w14:paraId="001DB498"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azaltılması;</w:t>
            </w:r>
          </w:p>
        </w:tc>
        <w:tc>
          <w:tcPr>
            <w:tcW w:w="980" w:type="dxa"/>
            <w:vMerge/>
            <w:tcBorders>
              <w:left w:val="single" w:sz="4" w:space="0" w:color="auto"/>
              <w:right w:val="single" w:sz="8" w:space="0" w:color="auto"/>
            </w:tcBorders>
            <w:shd w:val="clear" w:color="auto" w:fill="auto"/>
            <w:vAlign w:val="bottom"/>
          </w:tcPr>
          <w:p w14:paraId="0EA5CC6A" w14:textId="77777777" w:rsidR="00A52778" w:rsidRPr="00460F9E" w:rsidRDefault="00A52778" w:rsidP="00FC3F8E">
            <w:pPr>
              <w:spacing w:line="0" w:lineRule="atLeast"/>
              <w:jc w:val="center"/>
              <w:rPr>
                <w:rFonts w:eastAsia="Times New Roman" w:cs="Times New Roman"/>
                <w:b/>
                <w:sz w:val="8"/>
              </w:rPr>
            </w:pPr>
          </w:p>
        </w:tc>
        <w:tc>
          <w:tcPr>
            <w:tcW w:w="2596" w:type="dxa"/>
            <w:gridSpan w:val="6"/>
            <w:vMerge/>
            <w:tcBorders>
              <w:right w:val="single" w:sz="8" w:space="0" w:color="auto"/>
            </w:tcBorders>
            <w:shd w:val="clear" w:color="auto" w:fill="auto"/>
            <w:vAlign w:val="bottom"/>
          </w:tcPr>
          <w:p w14:paraId="099FC3E6" w14:textId="77777777" w:rsidR="00A52778" w:rsidRPr="00460F9E" w:rsidRDefault="00A52778" w:rsidP="00FC3F8E">
            <w:pPr>
              <w:spacing w:line="0" w:lineRule="atLeast"/>
              <w:rPr>
                <w:rFonts w:eastAsia="Times New Roman" w:cs="Times New Roman"/>
                <w:b/>
                <w:sz w:val="8"/>
              </w:rPr>
            </w:pPr>
          </w:p>
        </w:tc>
      </w:tr>
      <w:tr w:rsidR="00A52778" w:rsidRPr="00460F9E" w14:paraId="592F2C64" w14:textId="77777777" w:rsidTr="00FC3F8E">
        <w:trPr>
          <w:gridAfter w:val="1"/>
          <w:wAfter w:w="347" w:type="dxa"/>
          <w:trHeight w:val="115"/>
        </w:trPr>
        <w:tc>
          <w:tcPr>
            <w:tcW w:w="386" w:type="dxa"/>
            <w:tcBorders>
              <w:left w:val="single" w:sz="8" w:space="0" w:color="auto"/>
              <w:right w:val="single" w:sz="8" w:space="0" w:color="auto"/>
            </w:tcBorders>
            <w:shd w:val="clear" w:color="auto" w:fill="auto"/>
            <w:vAlign w:val="bottom"/>
          </w:tcPr>
          <w:p w14:paraId="778662CD" w14:textId="77777777" w:rsidR="00A52778" w:rsidRPr="00460F9E" w:rsidRDefault="00A52778" w:rsidP="00FC3F8E">
            <w:pPr>
              <w:spacing w:line="0" w:lineRule="atLeast"/>
              <w:rPr>
                <w:rFonts w:eastAsia="Times New Roman" w:cs="Times New Roman"/>
                <w:b/>
                <w:sz w:val="10"/>
              </w:rPr>
            </w:pPr>
          </w:p>
        </w:tc>
        <w:tc>
          <w:tcPr>
            <w:tcW w:w="1212" w:type="dxa"/>
            <w:gridSpan w:val="2"/>
            <w:vMerge/>
            <w:tcBorders>
              <w:right w:val="single" w:sz="8" w:space="0" w:color="auto"/>
            </w:tcBorders>
            <w:shd w:val="clear" w:color="auto" w:fill="auto"/>
            <w:vAlign w:val="bottom"/>
          </w:tcPr>
          <w:p w14:paraId="79894689" w14:textId="77777777" w:rsidR="00A52778" w:rsidRPr="00460F9E" w:rsidRDefault="00A52778" w:rsidP="00FC3F8E">
            <w:pPr>
              <w:spacing w:line="0" w:lineRule="atLeast"/>
              <w:ind w:left="80"/>
              <w:rPr>
                <w:rFonts w:eastAsia="Times New Roman" w:cs="Times New Roman"/>
                <w:b/>
              </w:rPr>
            </w:pPr>
          </w:p>
        </w:tc>
        <w:tc>
          <w:tcPr>
            <w:tcW w:w="385" w:type="dxa"/>
            <w:shd w:val="clear" w:color="auto" w:fill="auto"/>
            <w:vAlign w:val="bottom"/>
          </w:tcPr>
          <w:p w14:paraId="2263DD8C" w14:textId="77777777" w:rsidR="00A52778" w:rsidRPr="00460F9E" w:rsidRDefault="00A52778" w:rsidP="00FC3F8E">
            <w:pPr>
              <w:spacing w:line="0" w:lineRule="atLeast"/>
              <w:rPr>
                <w:rFonts w:eastAsia="Times New Roman" w:cs="Times New Roman"/>
                <w:b/>
                <w:sz w:val="10"/>
              </w:rPr>
            </w:pPr>
          </w:p>
        </w:tc>
        <w:tc>
          <w:tcPr>
            <w:tcW w:w="20" w:type="dxa"/>
            <w:vMerge/>
            <w:shd w:val="clear" w:color="auto" w:fill="auto"/>
            <w:vAlign w:val="bottom"/>
          </w:tcPr>
          <w:p w14:paraId="6C370D5D" w14:textId="77777777" w:rsidR="00A52778" w:rsidRPr="00460F9E" w:rsidRDefault="00A52778" w:rsidP="00FC3F8E">
            <w:pPr>
              <w:spacing w:line="0" w:lineRule="atLeast"/>
              <w:rPr>
                <w:rFonts w:eastAsia="Times New Roman" w:cs="Times New Roman"/>
                <w:b/>
                <w:sz w:val="10"/>
              </w:rPr>
            </w:pPr>
          </w:p>
        </w:tc>
        <w:tc>
          <w:tcPr>
            <w:tcW w:w="3214" w:type="dxa"/>
            <w:gridSpan w:val="11"/>
            <w:vMerge/>
            <w:tcBorders>
              <w:right w:val="single" w:sz="4" w:space="0" w:color="auto"/>
            </w:tcBorders>
            <w:shd w:val="clear" w:color="auto" w:fill="auto"/>
            <w:vAlign w:val="bottom"/>
          </w:tcPr>
          <w:p w14:paraId="170889E5" w14:textId="77777777" w:rsidR="00A52778" w:rsidRPr="00460F9E" w:rsidRDefault="00A52778" w:rsidP="00FC3F8E">
            <w:pPr>
              <w:spacing w:line="0" w:lineRule="atLeast"/>
              <w:rPr>
                <w:rFonts w:eastAsia="Times New Roman" w:cs="Times New Roman"/>
                <w:b/>
                <w:sz w:val="10"/>
              </w:rPr>
            </w:pPr>
          </w:p>
        </w:tc>
        <w:tc>
          <w:tcPr>
            <w:tcW w:w="980" w:type="dxa"/>
            <w:vMerge/>
            <w:tcBorders>
              <w:left w:val="single" w:sz="4" w:space="0" w:color="auto"/>
              <w:right w:val="single" w:sz="8" w:space="0" w:color="auto"/>
            </w:tcBorders>
            <w:shd w:val="clear" w:color="auto" w:fill="auto"/>
            <w:vAlign w:val="bottom"/>
          </w:tcPr>
          <w:p w14:paraId="3D9ED941" w14:textId="77777777" w:rsidR="00A52778" w:rsidRPr="00460F9E" w:rsidRDefault="00A52778" w:rsidP="00FC3F8E">
            <w:pPr>
              <w:spacing w:line="0" w:lineRule="atLeast"/>
              <w:jc w:val="center"/>
              <w:rPr>
                <w:rFonts w:eastAsia="Times New Roman" w:cs="Times New Roman"/>
                <w:b/>
                <w:sz w:val="10"/>
              </w:rPr>
            </w:pPr>
          </w:p>
        </w:tc>
        <w:tc>
          <w:tcPr>
            <w:tcW w:w="2596" w:type="dxa"/>
            <w:gridSpan w:val="6"/>
            <w:vMerge/>
            <w:tcBorders>
              <w:right w:val="single" w:sz="8" w:space="0" w:color="auto"/>
            </w:tcBorders>
            <w:shd w:val="clear" w:color="auto" w:fill="auto"/>
            <w:vAlign w:val="bottom"/>
          </w:tcPr>
          <w:p w14:paraId="12015BE5" w14:textId="77777777" w:rsidR="00A52778" w:rsidRPr="00460F9E" w:rsidRDefault="00A52778" w:rsidP="00FC3F8E">
            <w:pPr>
              <w:spacing w:line="0" w:lineRule="atLeast"/>
              <w:rPr>
                <w:rFonts w:eastAsia="Times New Roman" w:cs="Times New Roman"/>
                <w:b/>
              </w:rPr>
            </w:pPr>
          </w:p>
        </w:tc>
      </w:tr>
      <w:tr w:rsidR="00A52778" w:rsidRPr="00460F9E" w14:paraId="2353EA89" w14:textId="77777777" w:rsidTr="00FC3F8E">
        <w:trPr>
          <w:gridAfter w:val="1"/>
          <w:wAfter w:w="347" w:type="dxa"/>
          <w:trHeight w:val="98"/>
        </w:trPr>
        <w:tc>
          <w:tcPr>
            <w:tcW w:w="386" w:type="dxa"/>
            <w:vMerge w:val="restart"/>
            <w:tcBorders>
              <w:left w:val="single" w:sz="8" w:space="0" w:color="auto"/>
              <w:right w:val="single" w:sz="8" w:space="0" w:color="auto"/>
            </w:tcBorders>
            <w:shd w:val="clear" w:color="auto" w:fill="auto"/>
            <w:vAlign w:val="bottom"/>
          </w:tcPr>
          <w:p w14:paraId="01C6EE1F" w14:textId="77777777" w:rsidR="00A52778" w:rsidRPr="00460F9E" w:rsidRDefault="00A52778" w:rsidP="00FC3F8E">
            <w:pPr>
              <w:spacing w:line="0" w:lineRule="atLeast"/>
              <w:ind w:left="120"/>
              <w:rPr>
                <w:rFonts w:eastAsia="Times New Roman" w:cs="Times New Roman"/>
                <w:b/>
              </w:rPr>
            </w:pPr>
            <w:r>
              <w:rPr>
                <w:rFonts w:eastAsia="Times New Roman" w:cs="Times New Roman"/>
              </w:rPr>
              <w:t>f.</w:t>
            </w:r>
          </w:p>
        </w:tc>
        <w:tc>
          <w:tcPr>
            <w:tcW w:w="1212" w:type="dxa"/>
            <w:gridSpan w:val="2"/>
            <w:vMerge/>
            <w:tcBorders>
              <w:right w:val="single" w:sz="8" w:space="0" w:color="auto"/>
            </w:tcBorders>
            <w:shd w:val="clear" w:color="auto" w:fill="auto"/>
            <w:vAlign w:val="bottom"/>
          </w:tcPr>
          <w:p w14:paraId="47A9BD0E" w14:textId="77777777" w:rsidR="00A52778" w:rsidRPr="00460F9E" w:rsidRDefault="00A52778" w:rsidP="00FC3F8E">
            <w:pPr>
              <w:spacing w:line="0" w:lineRule="atLeast"/>
              <w:ind w:left="80"/>
              <w:rPr>
                <w:rFonts w:eastAsia="Times New Roman" w:cs="Times New Roman"/>
                <w:b/>
                <w:sz w:val="8"/>
              </w:rPr>
            </w:pPr>
          </w:p>
        </w:tc>
        <w:tc>
          <w:tcPr>
            <w:tcW w:w="385" w:type="dxa"/>
            <w:shd w:val="clear" w:color="auto" w:fill="auto"/>
            <w:vAlign w:val="bottom"/>
          </w:tcPr>
          <w:p w14:paraId="55C698DB" w14:textId="77777777" w:rsidR="00A52778" w:rsidRPr="00460F9E" w:rsidRDefault="00A52778" w:rsidP="00FC3F8E">
            <w:pPr>
              <w:spacing w:line="0" w:lineRule="atLeast"/>
              <w:rPr>
                <w:rFonts w:eastAsia="Times New Roman" w:cs="Times New Roman"/>
                <w:b/>
                <w:sz w:val="8"/>
              </w:rPr>
            </w:pPr>
          </w:p>
        </w:tc>
        <w:tc>
          <w:tcPr>
            <w:tcW w:w="20" w:type="dxa"/>
            <w:vMerge/>
            <w:shd w:val="clear" w:color="auto" w:fill="auto"/>
            <w:vAlign w:val="bottom"/>
          </w:tcPr>
          <w:p w14:paraId="3EE2E113" w14:textId="77777777" w:rsidR="00A52778" w:rsidRPr="00460F9E" w:rsidRDefault="00A52778" w:rsidP="00FC3F8E">
            <w:pPr>
              <w:spacing w:line="0" w:lineRule="atLeast"/>
              <w:rPr>
                <w:rFonts w:eastAsia="Times New Roman" w:cs="Times New Roman"/>
                <w:b/>
                <w:sz w:val="8"/>
              </w:rPr>
            </w:pPr>
          </w:p>
        </w:tc>
        <w:tc>
          <w:tcPr>
            <w:tcW w:w="3214" w:type="dxa"/>
            <w:gridSpan w:val="11"/>
            <w:vMerge/>
            <w:tcBorders>
              <w:right w:val="single" w:sz="4" w:space="0" w:color="auto"/>
            </w:tcBorders>
            <w:shd w:val="clear" w:color="auto" w:fill="auto"/>
            <w:vAlign w:val="bottom"/>
          </w:tcPr>
          <w:p w14:paraId="20E175BD" w14:textId="77777777" w:rsidR="00A52778" w:rsidRPr="00460F9E" w:rsidRDefault="00A52778" w:rsidP="00FC3F8E">
            <w:pPr>
              <w:spacing w:line="0" w:lineRule="atLeast"/>
              <w:rPr>
                <w:rFonts w:eastAsia="Times New Roman" w:cs="Times New Roman"/>
                <w:b/>
                <w:sz w:val="8"/>
              </w:rPr>
            </w:pPr>
          </w:p>
        </w:tc>
        <w:tc>
          <w:tcPr>
            <w:tcW w:w="980" w:type="dxa"/>
            <w:vMerge/>
            <w:tcBorders>
              <w:left w:val="single" w:sz="4" w:space="0" w:color="auto"/>
              <w:right w:val="single" w:sz="8" w:space="0" w:color="auto"/>
            </w:tcBorders>
            <w:shd w:val="clear" w:color="auto" w:fill="auto"/>
            <w:vAlign w:val="bottom"/>
          </w:tcPr>
          <w:p w14:paraId="046E935A" w14:textId="77777777" w:rsidR="00A52778" w:rsidRPr="00460F9E" w:rsidRDefault="00A52778" w:rsidP="00FC3F8E">
            <w:pPr>
              <w:spacing w:line="0" w:lineRule="atLeast"/>
              <w:jc w:val="center"/>
              <w:rPr>
                <w:rFonts w:eastAsia="Times New Roman" w:cs="Times New Roman"/>
                <w:b/>
                <w:w w:val="99"/>
              </w:rPr>
            </w:pPr>
          </w:p>
        </w:tc>
        <w:tc>
          <w:tcPr>
            <w:tcW w:w="2596" w:type="dxa"/>
            <w:gridSpan w:val="6"/>
            <w:vMerge/>
            <w:tcBorders>
              <w:right w:val="single" w:sz="8" w:space="0" w:color="auto"/>
            </w:tcBorders>
            <w:shd w:val="clear" w:color="auto" w:fill="auto"/>
            <w:vAlign w:val="bottom"/>
          </w:tcPr>
          <w:p w14:paraId="2117A64F" w14:textId="77777777" w:rsidR="00A52778" w:rsidRPr="00460F9E" w:rsidRDefault="00A52778" w:rsidP="00FC3F8E">
            <w:pPr>
              <w:spacing w:line="0" w:lineRule="atLeast"/>
              <w:rPr>
                <w:rFonts w:eastAsia="Times New Roman" w:cs="Times New Roman"/>
                <w:b/>
                <w:sz w:val="8"/>
              </w:rPr>
            </w:pPr>
          </w:p>
        </w:tc>
      </w:tr>
      <w:tr w:rsidR="00A52778" w:rsidRPr="00460F9E" w14:paraId="4FB89D31" w14:textId="77777777" w:rsidTr="00FC3F8E">
        <w:trPr>
          <w:gridAfter w:val="1"/>
          <w:wAfter w:w="347" w:type="dxa"/>
          <w:trHeight w:val="133"/>
        </w:trPr>
        <w:tc>
          <w:tcPr>
            <w:tcW w:w="386" w:type="dxa"/>
            <w:vMerge/>
            <w:tcBorders>
              <w:left w:val="single" w:sz="8" w:space="0" w:color="auto"/>
              <w:right w:val="single" w:sz="8" w:space="0" w:color="auto"/>
            </w:tcBorders>
            <w:shd w:val="clear" w:color="auto" w:fill="auto"/>
            <w:vAlign w:val="bottom"/>
          </w:tcPr>
          <w:p w14:paraId="65594855" w14:textId="77777777" w:rsidR="00A52778" w:rsidRPr="00460F9E" w:rsidRDefault="00A52778" w:rsidP="00FC3F8E">
            <w:pPr>
              <w:spacing w:line="0" w:lineRule="atLeast"/>
              <w:rPr>
                <w:rFonts w:eastAsia="Times New Roman" w:cs="Times New Roman"/>
                <w:b/>
                <w:sz w:val="11"/>
              </w:rPr>
            </w:pPr>
          </w:p>
        </w:tc>
        <w:tc>
          <w:tcPr>
            <w:tcW w:w="1212" w:type="dxa"/>
            <w:gridSpan w:val="2"/>
            <w:vMerge/>
            <w:tcBorders>
              <w:right w:val="single" w:sz="8" w:space="0" w:color="auto"/>
            </w:tcBorders>
            <w:shd w:val="clear" w:color="auto" w:fill="auto"/>
            <w:vAlign w:val="bottom"/>
          </w:tcPr>
          <w:p w14:paraId="2D38D86B" w14:textId="77777777" w:rsidR="00A52778" w:rsidRPr="00460F9E" w:rsidRDefault="00A52778" w:rsidP="00FC3F8E">
            <w:pPr>
              <w:spacing w:line="0" w:lineRule="atLeast"/>
              <w:ind w:left="80"/>
              <w:rPr>
                <w:rFonts w:eastAsia="Times New Roman" w:cs="Times New Roman"/>
                <w:b/>
              </w:rPr>
            </w:pPr>
          </w:p>
        </w:tc>
        <w:tc>
          <w:tcPr>
            <w:tcW w:w="385" w:type="dxa"/>
            <w:shd w:val="clear" w:color="auto" w:fill="auto"/>
            <w:vAlign w:val="bottom"/>
          </w:tcPr>
          <w:p w14:paraId="78D35E27" w14:textId="77777777" w:rsidR="00A52778" w:rsidRPr="00460F9E" w:rsidRDefault="00A52778" w:rsidP="00FC3F8E">
            <w:pPr>
              <w:spacing w:line="0" w:lineRule="atLeast"/>
              <w:rPr>
                <w:rFonts w:eastAsia="Times New Roman" w:cs="Times New Roman"/>
                <w:b/>
                <w:sz w:val="11"/>
              </w:rPr>
            </w:pPr>
          </w:p>
        </w:tc>
        <w:tc>
          <w:tcPr>
            <w:tcW w:w="20" w:type="dxa"/>
            <w:shd w:val="clear" w:color="auto" w:fill="auto"/>
            <w:vAlign w:val="bottom"/>
          </w:tcPr>
          <w:p w14:paraId="5FD003D7" w14:textId="77777777" w:rsidR="00A52778" w:rsidRPr="00460F9E" w:rsidRDefault="00A52778" w:rsidP="00FC3F8E">
            <w:pPr>
              <w:spacing w:line="0" w:lineRule="atLeast"/>
              <w:rPr>
                <w:rFonts w:eastAsia="Times New Roman" w:cs="Times New Roman"/>
                <w:b/>
                <w:sz w:val="11"/>
              </w:rPr>
            </w:pPr>
          </w:p>
        </w:tc>
        <w:tc>
          <w:tcPr>
            <w:tcW w:w="3214" w:type="dxa"/>
            <w:gridSpan w:val="11"/>
            <w:vMerge/>
            <w:tcBorders>
              <w:right w:val="single" w:sz="4" w:space="0" w:color="auto"/>
            </w:tcBorders>
            <w:shd w:val="clear" w:color="auto" w:fill="auto"/>
            <w:vAlign w:val="bottom"/>
          </w:tcPr>
          <w:p w14:paraId="4A302ABE" w14:textId="77777777" w:rsidR="00A52778" w:rsidRPr="00460F9E" w:rsidRDefault="00A52778" w:rsidP="00FC3F8E">
            <w:pPr>
              <w:spacing w:line="0" w:lineRule="atLeast"/>
              <w:rPr>
                <w:rFonts w:eastAsia="Times New Roman" w:cs="Times New Roman"/>
                <w:b/>
                <w:sz w:val="11"/>
              </w:rPr>
            </w:pPr>
          </w:p>
        </w:tc>
        <w:tc>
          <w:tcPr>
            <w:tcW w:w="980" w:type="dxa"/>
            <w:vMerge/>
            <w:tcBorders>
              <w:left w:val="single" w:sz="4" w:space="0" w:color="auto"/>
              <w:right w:val="single" w:sz="8" w:space="0" w:color="auto"/>
            </w:tcBorders>
            <w:shd w:val="clear" w:color="auto" w:fill="auto"/>
            <w:vAlign w:val="bottom"/>
          </w:tcPr>
          <w:p w14:paraId="34E49A7C" w14:textId="77777777" w:rsidR="00A52778" w:rsidRPr="00460F9E" w:rsidRDefault="00A52778" w:rsidP="00FC3F8E">
            <w:pPr>
              <w:spacing w:line="0" w:lineRule="atLeast"/>
              <w:jc w:val="center"/>
              <w:rPr>
                <w:rFonts w:eastAsia="Times New Roman" w:cs="Times New Roman"/>
                <w:b/>
                <w:sz w:val="11"/>
              </w:rPr>
            </w:pPr>
          </w:p>
        </w:tc>
        <w:tc>
          <w:tcPr>
            <w:tcW w:w="2596" w:type="dxa"/>
            <w:gridSpan w:val="6"/>
            <w:vMerge/>
            <w:tcBorders>
              <w:right w:val="single" w:sz="8" w:space="0" w:color="auto"/>
            </w:tcBorders>
            <w:shd w:val="clear" w:color="auto" w:fill="auto"/>
            <w:vAlign w:val="bottom"/>
          </w:tcPr>
          <w:p w14:paraId="41074A42" w14:textId="77777777" w:rsidR="00A52778" w:rsidRPr="00460F9E" w:rsidRDefault="00A52778" w:rsidP="00FC3F8E">
            <w:pPr>
              <w:spacing w:line="0" w:lineRule="atLeast"/>
              <w:rPr>
                <w:rFonts w:eastAsia="Times New Roman" w:cs="Times New Roman"/>
                <w:b/>
              </w:rPr>
            </w:pPr>
          </w:p>
        </w:tc>
      </w:tr>
      <w:tr w:rsidR="00A52778" w:rsidRPr="00460F9E" w14:paraId="7962911F" w14:textId="77777777" w:rsidTr="00FC3F8E">
        <w:trPr>
          <w:gridAfter w:val="1"/>
          <w:wAfter w:w="347" w:type="dxa"/>
          <w:trHeight w:val="115"/>
        </w:trPr>
        <w:tc>
          <w:tcPr>
            <w:tcW w:w="386" w:type="dxa"/>
            <w:tcBorders>
              <w:left w:val="single" w:sz="8" w:space="0" w:color="auto"/>
              <w:right w:val="single" w:sz="8" w:space="0" w:color="auto"/>
            </w:tcBorders>
            <w:shd w:val="clear" w:color="auto" w:fill="auto"/>
            <w:vAlign w:val="bottom"/>
          </w:tcPr>
          <w:p w14:paraId="78734B1F" w14:textId="77777777" w:rsidR="00A52778" w:rsidRPr="00460F9E" w:rsidRDefault="00A52778" w:rsidP="00FC3F8E">
            <w:pPr>
              <w:spacing w:line="0" w:lineRule="atLeast"/>
              <w:rPr>
                <w:rFonts w:eastAsia="Times New Roman" w:cs="Times New Roman"/>
                <w:b/>
                <w:sz w:val="10"/>
              </w:rPr>
            </w:pPr>
          </w:p>
        </w:tc>
        <w:tc>
          <w:tcPr>
            <w:tcW w:w="1212" w:type="dxa"/>
            <w:gridSpan w:val="2"/>
            <w:vMerge/>
            <w:tcBorders>
              <w:right w:val="single" w:sz="8" w:space="0" w:color="auto"/>
            </w:tcBorders>
            <w:shd w:val="clear" w:color="auto" w:fill="auto"/>
            <w:vAlign w:val="bottom"/>
          </w:tcPr>
          <w:p w14:paraId="7A15DACC" w14:textId="77777777" w:rsidR="00A52778" w:rsidRPr="00460F9E" w:rsidRDefault="00A52778" w:rsidP="00FC3F8E">
            <w:pPr>
              <w:spacing w:line="0" w:lineRule="atLeast"/>
              <w:ind w:left="80"/>
              <w:rPr>
                <w:rFonts w:eastAsia="Times New Roman" w:cs="Times New Roman"/>
                <w:b/>
                <w:sz w:val="10"/>
              </w:rPr>
            </w:pPr>
          </w:p>
        </w:tc>
        <w:tc>
          <w:tcPr>
            <w:tcW w:w="385" w:type="dxa"/>
            <w:shd w:val="clear" w:color="auto" w:fill="auto"/>
            <w:vAlign w:val="bottom"/>
          </w:tcPr>
          <w:p w14:paraId="3377ABBC" w14:textId="77777777" w:rsidR="00A52778" w:rsidRPr="00460F9E" w:rsidRDefault="00A52778" w:rsidP="00FC3F8E">
            <w:pPr>
              <w:spacing w:line="0" w:lineRule="atLeast"/>
              <w:rPr>
                <w:rFonts w:eastAsia="Times New Roman" w:cs="Times New Roman"/>
                <w:b/>
                <w:sz w:val="10"/>
              </w:rPr>
            </w:pPr>
          </w:p>
        </w:tc>
        <w:tc>
          <w:tcPr>
            <w:tcW w:w="20" w:type="dxa"/>
            <w:shd w:val="clear" w:color="auto" w:fill="auto"/>
            <w:vAlign w:val="bottom"/>
          </w:tcPr>
          <w:p w14:paraId="11042D3B" w14:textId="77777777" w:rsidR="00A52778" w:rsidRPr="00460F9E" w:rsidRDefault="00A52778" w:rsidP="00FC3F8E">
            <w:pPr>
              <w:spacing w:line="0" w:lineRule="atLeast"/>
              <w:rPr>
                <w:rFonts w:eastAsia="Times New Roman" w:cs="Times New Roman"/>
                <w:b/>
                <w:sz w:val="10"/>
              </w:rPr>
            </w:pPr>
          </w:p>
        </w:tc>
        <w:tc>
          <w:tcPr>
            <w:tcW w:w="3214" w:type="dxa"/>
            <w:gridSpan w:val="11"/>
            <w:vMerge/>
            <w:tcBorders>
              <w:right w:val="single" w:sz="4" w:space="0" w:color="auto"/>
            </w:tcBorders>
            <w:shd w:val="clear" w:color="auto" w:fill="auto"/>
            <w:vAlign w:val="bottom"/>
          </w:tcPr>
          <w:p w14:paraId="6847F36B" w14:textId="77777777" w:rsidR="00A52778" w:rsidRPr="00460F9E" w:rsidRDefault="00A52778" w:rsidP="00FC3F8E">
            <w:pPr>
              <w:spacing w:line="0" w:lineRule="atLeast"/>
              <w:rPr>
                <w:rFonts w:eastAsia="Times New Roman" w:cs="Times New Roman"/>
                <w:b/>
                <w:sz w:val="10"/>
              </w:rPr>
            </w:pPr>
          </w:p>
        </w:tc>
        <w:tc>
          <w:tcPr>
            <w:tcW w:w="980" w:type="dxa"/>
            <w:vMerge/>
            <w:tcBorders>
              <w:left w:val="single" w:sz="4" w:space="0" w:color="auto"/>
              <w:right w:val="single" w:sz="8" w:space="0" w:color="auto"/>
            </w:tcBorders>
            <w:shd w:val="clear" w:color="auto" w:fill="auto"/>
            <w:vAlign w:val="bottom"/>
          </w:tcPr>
          <w:p w14:paraId="2B52388C" w14:textId="77777777" w:rsidR="00A52778" w:rsidRPr="00460F9E" w:rsidRDefault="00A52778" w:rsidP="00FC3F8E">
            <w:pPr>
              <w:spacing w:line="0" w:lineRule="atLeast"/>
              <w:jc w:val="center"/>
              <w:rPr>
                <w:rFonts w:eastAsia="Times New Roman" w:cs="Times New Roman"/>
                <w:b/>
                <w:w w:val="98"/>
              </w:rPr>
            </w:pPr>
          </w:p>
        </w:tc>
        <w:tc>
          <w:tcPr>
            <w:tcW w:w="2596" w:type="dxa"/>
            <w:gridSpan w:val="6"/>
            <w:vMerge/>
            <w:tcBorders>
              <w:right w:val="single" w:sz="8" w:space="0" w:color="auto"/>
            </w:tcBorders>
            <w:shd w:val="clear" w:color="auto" w:fill="auto"/>
            <w:vAlign w:val="bottom"/>
          </w:tcPr>
          <w:p w14:paraId="0C502330" w14:textId="77777777" w:rsidR="00A52778" w:rsidRPr="00460F9E" w:rsidRDefault="00A52778" w:rsidP="00FC3F8E">
            <w:pPr>
              <w:spacing w:line="0" w:lineRule="atLeast"/>
              <w:rPr>
                <w:rFonts w:eastAsia="Times New Roman" w:cs="Times New Roman"/>
                <w:b/>
                <w:sz w:val="10"/>
              </w:rPr>
            </w:pPr>
          </w:p>
        </w:tc>
      </w:tr>
      <w:tr w:rsidR="00A52778" w:rsidRPr="00460F9E" w14:paraId="44DE8029" w14:textId="77777777" w:rsidTr="00FC3F8E">
        <w:trPr>
          <w:gridAfter w:val="1"/>
          <w:wAfter w:w="347" w:type="dxa"/>
          <w:trHeight w:val="115"/>
        </w:trPr>
        <w:tc>
          <w:tcPr>
            <w:tcW w:w="386" w:type="dxa"/>
            <w:tcBorders>
              <w:left w:val="single" w:sz="8" w:space="0" w:color="auto"/>
              <w:right w:val="single" w:sz="8" w:space="0" w:color="auto"/>
            </w:tcBorders>
            <w:shd w:val="clear" w:color="auto" w:fill="auto"/>
            <w:vAlign w:val="bottom"/>
          </w:tcPr>
          <w:p w14:paraId="5566444D" w14:textId="77777777" w:rsidR="00A52778" w:rsidRPr="00460F9E" w:rsidRDefault="00A52778" w:rsidP="00FC3F8E">
            <w:pPr>
              <w:spacing w:line="0" w:lineRule="atLeast"/>
              <w:rPr>
                <w:rFonts w:eastAsia="Times New Roman" w:cs="Times New Roman"/>
                <w:b/>
                <w:sz w:val="10"/>
              </w:rPr>
            </w:pPr>
          </w:p>
        </w:tc>
        <w:tc>
          <w:tcPr>
            <w:tcW w:w="1212" w:type="dxa"/>
            <w:gridSpan w:val="2"/>
            <w:vMerge/>
            <w:tcBorders>
              <w:right w:val="single" w:sz="8" w:space="0" w:color="auto"/>
            </w:tcBorders>
            <w:shd w:val="clear" w:color="auto" w:fill="auto"/>
            <w:vAlign w:val="bottom"/>
          </w:tcPr>
          <w:p w14:paraId="4F57297F" w14:textId="77777777" w:rsidR="00A52778" w:rsidRPr="00460F9E" w:rsidRDefault="00A52778" w:rsidP="00FC3F8E">
            <w:pPr>
              <w:spacing w:line="0" w:lineRule="atLeast"/>
              <w:ind w:left="80"/>
              <w:rPr>
                <w:rFonts w:eastAsia="Times New Roman" w:cs="Times New Roman"/>
                <w:b/>
              </w:rPr>
            </w:pPr>
          </w:p>
        </w:tc>
        <w:tc>
          <w:tcPr>
            <w:tcW w:w="385" w:type="dxa"/>
            <w:shd w:val="clear" w:color="auto" w:fill="auto"/>
            <w:vAlign w:val="bottom"/>
          </w:tcPr>
          <w:p w14:paraId="5DDFB9B6" w14:textId="77777777" w:rsidR="00A52778" w:rsidRPr="00460F9E" w:rsidRDefault="00A52778" w:rsidP="00FC3F8E">
            <w:pPr>
              <w:spacing w:line="0" w:lineRule="atLeast"/>
              <w:rPr>
                <w:rFonts w:eastAsia="Times New Roman" w:cs="Times New Roman"/>
                <w:b/>
                <w:sz w:val="10"/>
              </w:rPr>
            </w:pPr>
          </w:p>
        </w:tc>
        <w:tc>
          <w:tcPr>
            <w:tcW w:w="20" w:type="dxa"/>
            <w:vMerge w:val="restart"/>
            <w:shd w:val="clear" w:color="auto" w:fill="auto"/>
            <w:vAlign w:val="bottom"/>
          </w:tcPr>
          <w:p w14:paraId="6AE46D61" w14:textId="77777777" w:rsidR="00A52778" w:rsidRPr="00460F9E" w:rsidRDefault="00A52778" w:rsidP="00FC3F8E">
            <w:pPr>
              <w:spacing w:line="0" w:lineRule="atLeast"/>
              <w:rPr>
                <w:rFonts w:eastAsia="Times New Roman" w:cs="Times New Roman"/>
                <w:b/>
                <w:sz w:val="10"/>
              </w:rPr>
            </w:pPr>
          </w:p>
        </w:tc>
        <w:tc>
          <w:tcPr>
            <w:tcW w:w="3214" w:type="dxa"/>
            <w:gridSpan w:val="11"/>
            <w:vMerge w:val="restart"/>
            <w:tcBorders>
              <w:right w:val="single" w:sz="4" w:space="0" w:color="auto"/>
            </w:tcBorders>
            <w:shd w:val="clear" w:color="auto" w:fill="auto"/>
            <w:vAlign w:val="bottom"/>
          </w:tcPr>
          <w:p w14:paraId="58452284"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çalışma sıcaklığının azaltılması;</w:t>
            </w:r>
          </w:p>
        </w:tc>
        <w:tc>
          <w:tcPr>
            <w:tcW w:w="980" w:type="dxa"/>
            <w:vMerge/>
            <w:tcBorders>
              <w:left w:val="single" w:sz="4" w:space="0" w:color="auto"/>
              <w:right w:val="single" w:sz="8" w:space="0" w:color="auto"/>
            </w:tcBorders>
            <w:shd w:val="clear" w:color="auto" w:fill="auto"/>
            <w:vAlign w:val="bottom"/>
          </w:tcPr>
          <w:p w14:paraId="6F49FA97" w14:textId="77777777" w:rsidR="00A52778" w:rsidRPr="00460F9E" w:rsidRDefault="00A52778" w:rsidP="00FC3F8E">
            <w:pPr>
              <w:spacing w:line="0" w:lineRule="atLeast"/>
              <w:rPr>
                <w:rFonts w:eastAsia="Times New Roman" w:cs="Times New Roman"/>
                <w:b/>
                <w:sz w:val="10"/>
              </w:rPr>
            </w:pPr>
          </w:p>
        </w:tc>
        <w:tc>
          <w:tcPr>
            <w:tcW w:w="2596" w:type="dxa"/>
            <w:gridSpan w:val="6"/>
            <w:vMerge/>
            <w:tcBorders>
              <w:right w:val="single" w:sz="8" w:space="0" w:color="auto"/>
            </w:tcBorders>
            <w:shd w:val="clear" w:color="auto" w:fill="auto"/>
            <w:vAlign w:val="bottom"/>
          </w:tcPr>
          <w:p w14:paraId="041F6E7E" w14:textId="77777777" w:rsidR="00A52778" w:rsidRPr="00460F9E" w:rsidRDefault="00A52778" w:rsidP="00FC3F8E">
            <w:pPr>
              <w:spacing w:line="0" w:lineRule="atLeast"/>
              <w:rPr>
                <w:rFonts w:eastAsia="Times New Roman" w:cs="Times New Roman"/>
                <w:b/>
                <w:sz w:val="10"/>
              </w:rPr>
            </w:pPr>
          </w:p>
        </w:tc>
      </w:tr>
      <w:tr w:rsidR="00A52778" w:rsidRPr="00460F9E" w14:paraId="17097D99" w14:textId="77777777" w:rsidTr="00FC3F8E">
        <w:trPr>
          <w:gridAfter w:val="1"/>
          <w:wAfter w:w="347" w:type="dxa"/>
          <w:trHeight w:val="161"/>
        </w:trPr>
        <w:tc>
          <w:tcPr>
            <w:tcW w:w="386" w:type="dxa"/>
            <w:tcBorders>
              <w:left w:val="single" w:sz="8" w:space="0" w:color="auto"/>
              <w:right w:val="single" w:sz="8" w:space="0" w:color="auto"/>
            </w:tcBorders>
            <w:shd w:val="clear" w:color="auto" w:fill="auto"/>
            <w:vAlign w:val="bottom"/>
          </w:tcPr>
          <w:p w14:paraId="26E77B10" w14:textId="77777777" w:rsidR="00A52778" w:rsidRPr="00460F9E" w:rsidRDefault="00A52778" w:rsidP="00FC3F8E">
            <w:pPr>
              <w:spacing w:line="0" w:lineRule="atLeast"/>
              <w:rPr>
                <w:rFonts w:eastAsia="Times New Roman" w:cs="Times New Roman"/>
                <w:b/>
                <w:sz w:val="13"/>
              </w:rPr>
            </w:pPr>
          </w:p>
        </w:tc>
        <w:tc>
          <w:tcPr>
            <w:tcW w:w="1212" w:type="dxa"/>
            <w:gridSpan w:val="2"/>
            <w:vMerge/>
            <w:tcBorders>
              <w:right w:val="single" w:sz="8" w:space="0" w:color="auto"/>
            </w:tcBorders>
            <w:shd w:val="clear" w:color="auto" w:fill="auto"/>
            <w:vAlign w:val="bottom"/>
          </w:tcPr>
          <w:p w14:paraId="1968EA4F" w14:textId="77777777" w:rsidR="00A52778" w:rsidRPr="00460F9E" w:rsidRDefault="00A52778" w:rsidP="00FC3F8E">
            <w:pPr>
              <w:spacing w:line="0" w:lineRule="atLeast"/>
              <w:rPr>
                <w:rFonts w:eastAsia="Times New Roman" w:cs="Times New Roman"/>
                <w:b/>
                <w:sz w:val="13"/>
              </w:rPr>
            </w:pPr>
          </w:p>
        </w:tc>
        <w:tc>
          <w:tcPr>
            <w:tcW w:w="385" w:type="dxa"/>
            <w:shd w:val="clear" w:color="auto" w:fill="auto"/>
            <w:vAlign w:val="bottom"/>
          </w:tcPr>
          <w:p w14:paraId="68F195D7" w14:textId="77777777" w:rsidR="00A52778" w:rsidRPr="00460F9E" w:rsidRDefault="00A52778" w:rsidP="00FC3F8E">
            <w:pPr>
              <w:spacing w:line="0" w:lineRule="atLeast"/>
              <w:rPr>
                <w:rFonts w:eastAsia="Times New Roman" w:cs="Times New Roman"/>
                <w:b/>
                <w:sz w:val="13"/>
              </w:rPr>
            </w:pPr>
          </w:p>
        </w:tc>
        <w:tc>
          <w:tcPr>
            <w:tcW w:w="20" w:type="dxa"/>
            <w:vMerge/>
            <w:shd w:val="clear" w:color="auto" w:fill="auto"/>
            <w:vAlign w:val="bottom"/>
          </w:tcPr>
          <w:p w14:paraId="170E3B57" w14:textId="77777777" w:rsidR="00A52778" w:rsidRPr="00460F9E" w:rsidRDefault="00A52778" w:rsidP="00FC3F8E">
            <w:pPr>
              <w:spacing w:line="0" w:lineRule="atLeast"/>
              <w:rPr>
                <w:rFonts w:eastAsia="Times New Roman" w:cs="Times New Roman"/>
                <w:b/>
                <w:sz w:val="13"/>
              </w:rPr>
            </w:pPr>
          </w:p>
        </w:tc>
        <w:tc>
          <w:tcPr>
            <w:tcW w:w="3214" w:type="dxa"/>
            <w:gridSpan w:val="11"/>
            <w:vMerge/>
            <w:tcBorders>
              <w:right w:val="single" w:sz="4" w:space="0" w:color="auto"/>
            </w:tcBorders>
            <w:shd w:val="clear" w:color="auto" w:fill="auto"/>
            <w:vAlign w:val="bottom"/>
          </w:tcPr>
          <w:p w14:paraId="1807311B" w14:textId="77777777" w:rsidR="00A52778" w:rsidRPr="00460F9E" w:rsidRDefault="00A52778" w:rsidP="00FC3F8E">
            <w:pPr>
              <w:spacing w:line="0" w:lineRule="atLeast"/>
              <w:rPr>
                <w:rFonts w:eastAsia="Times New Roman" w:cs="Times New Roman"/>
                <w:b/>
                <w:sz w:val="13"/>
              </w:rPr>
            </w:pPr>
          </w:p>
        </w:tc>
        <w:tc>
          <w:tcPr>
            <w:tcW w:w="980" w:type="dxa"/>
            <w:tcBorders>
              <w:left w:val="single" w:sz="4" w:space="0" w:color="auto"/>
              <w:right w:val="single" w:sz="8" w:space="0" w:color="auto"/>
            </w:tcBorders>
            <w:shd w:val="clear" w:color="auto" w:fill="auto"/>
            <w:vAlign w:val="bottom"/>
          </w:tcPr>
          <w:p w14:paraId="66F38AA2" w14:textId="77777777" w:rsidR="00A52778" w:rsidRPr="00460F9E" w:rsidRDefault="00A52778" w:rsidP="00FC3F8E">
            <w:pPr>
              <w:spacing w:line="0" w:lineRule="atLeast"/>
              <w:rPr>
                <w:rFonts w:eastAsia="Times New Roman" w:cs="Times New Roman"/>
                <w:b/>
                <w:sz w:val="13"/>
              </w:rPr>
            </w:pPr>
          </w:p>
        </w:tc>
        <w:tc>
          <w:tcPr>
            <w:tcW w:w="2596" w:type="dxa"/>
            <w:gridSpan w:val="6"/>
            <w:vMerge/>
            <w:tcBorders>
              <w:right w:val="single" w:sz="8" w:space="0" w:color="auto"/>
            </w:tcBorders>
            <w:shd w:val="clear" w:color="auto" w:fill="auto"/>
            <w:vAlign w:val="bottom"/>
          </w:tcPr>
          <w:p w14:paraId="281A610A" w14:textId="77777777" w:rsidR="00A52778" w:rsidRPr="00460F9E" w:rsidRDefault="00A52778" w:rsidP="00FC3F8E">
            <w:pPr>
              <w:spacing w:line="0" w:lineRule="atLeast"/>
              <w:rPr>
                <w:rFonts w:eastAsia="Times New Roman" w:cs="Times New Roman"/>
                <w:b/>
                <w:sz w:val="13"/>
              </w:rPr>
            </w:pPr>
          </w:p>
        </w:tc>
      </w:tr>
      <w:tr w:rsidR="00A52778" w:rsidRPr="00460F9E" w14:paraId="72BCC12D" w14:textId="77777777" w:rsidTr="00FC3F8E">
        <w:trPr>
          <w:gridAfter w:val="1"/>
          <w:wAfter w:w="347" w:type="dxa"/>
          <w:trHeight w:val="302"/>
        </w:trPr>
        <w:tc>
          <w:tcPr>
            <w:tcW w:w="386" w:type="dxa"/>
            <w:tcBorders>
              <w:left w:val="single" w:sz="8" w:space="0" w:color="auto"/>
              <w:right w:val="single" w:sz="8" w:space="0" w:color="auto"/>
            </w:tcBorders>
            <w:shd w:val="clear" w:color="auto" w:fill="auto"/>
            <w:vAlign w:val="bottom"/>
          </w:tcPr>
          <w:p w14:paraId="62241C90" w14:textId="77777777" w:rsidR="00A52778" w:rsidRPr="00460F9E" w:rsidRDefault="00A52778" w:rsidP="00FC3F8E">
            <w:pPr>
              <w:spacing w:line="0" w:lineRule="atLeast"/>
              <w:rPr>
                <w:rFonts w:eastAsia="Times New Roman" w:cs="Times New Roman"/>
                <w:b/>
              </w:rPr>
            </w:pPr>
          </w:p>
        </w:tc>
        <w:tc>
          <w:tcPr>
            <w:tcW w:w="424" w:type="dxa"/>
            <w:shd w:val="clear" w:color="auto" w:fill="auto"/>
            <w:vAlign w:val="bottom"/>
          </w:tcPr>
          <w:p w14:paraId="1E68B32E" w14:textId="77777777" w:rsidR="00A52778" w:rsidRPr="00460F9E" w:rsidRDefault="00A52778" w:rsidP="00FC3F8E">
            <w:pPr>
              <w:spacing w:line="0" w:lineRule="atLeast"/>
              <w:rPr>
                <w:rFonts w:eastAsia="Times New Roman" w:cs="Times New Roman"/>
                <w:b/>
              </w:rPr>
            </w:pPr>
          </w:p>
        </w:tc>
        <w:tc>
          <w:tcPr>
            <w:tcW w:w="788" w:type="dxa"/>
            <w:tcBorders>
              <w:right w:val="single" w:sz="8" w:space="0" w:color="auto"/>
            </w:tcBorders>
            <w:shd w:val="clear" w:color="auto" w:fill="auto"/>
            <w:vAlign w:val="bottom"/>
          </w:tcPr>
          <w:p w14:paraId="31AEB0A5" w14:textId="77777777" w:rsidR="00A52778" w:rsidRPr="00460F9E" w:rsidRDefault="00A52778" w:rsidP="00FC3F8E">
            <w:pPr>
              <w:spacing w:line="0" w:lineRule="atLeast"/>
              <w:rPr>
                <w:rFonts w:eastAsia="Times New Roman" w:cs="Times New Roman"/>
                <w:b/>
              </w:rPr>
            </w:pPr>
          </w:p>
        </w:tc>
        <w:tc>
          <w:tcPr>
            <w:tcW w:w="385" w:type="dxa"/>
            <w:shd w:val="clear" w:color="auto" w:fill="auto"/>
            <w:vAlign w:val="bottom"/>
          </w:tcPr>
          <w:p w14:paraId="15BB87FB" w14:textId="77777777" w:rsidR="00A52778" w:rsidRPr="00460F9E" w:rsidRDefault="00A52778" w:rsidP="00FC3F8E">
            <w:pPr>
              <w:spacing w:line="0" w:lineRule="atLeast"/>
              <w:rPr>
                <w:rFonts w:eastAsia="Times New Roman" w:cs="Times New Roman"/>
                <w:b/>
              </w:rPr>
            </w:pPr>
          </w:p>
        </w:tc>
        <w:tc>
          <w:tcPr>
            <w:tcW w:w="20" w:type="dxa"/>
            <w:shd w:val="clear" w:color="auto" w:fill="auto"/>
            <w:vAlign w:val="bottom"/>
          </w:tcPr>
          <w:p w14:paraId="565C5A16" w14:textId="77777777" w:rsidR="00A52778" w:rsidRPr="00460F9E" w:rsidRDefault="00A52778" w:rsidP="00FC3F8E">
            <w:pPr>
              <w:spacing w:line="0" w:lineRule="atLeast"/>
              <w:rPr>
                <w:rFonts w:eastAsia="Times New Roman" w:cs="Times New Roman"/>
                <w:b/>
              </w:rPr>
            </w:pPr>
          </w:p>
        </w:tc>
        <w:tc>
          <w:tcPr>
            <w:tcW w:w="3214" w:type="dxa"/>
            <w:gridSpan w:val="11"/>
            <w:vMerge w:val="restart"/>
            <w:tcBorders>
              <w:right w:val="single" w:sz="4" w:space="0" w:color="auto"/>
            </w:tcBorders>
            <w:shd w:val="clear" w:color="auto" w:fill="auto"/>
            <w:vAlign w:val="bottom"/>
          </w:tcPr>
          <w:p w14:paraId="2FF8D6C9"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nihai üründeki VOC içeriğinin </w:t>
            </w:r>
          </w:p>
          <w:p w14:paraId="785499DC"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azaltılması.</w:t>
            </w:r>
          </w:p>
        </w:tc>
        <w:tc>
          <w:tcPr>
            <w:tcW w:w="980" w:type="dxa"/>
            <w:tcBorders>
              <w:left w:val="single" w:sz="4" w:space="0" w:color="auto"/>
              <w:right w:val="single" w:sz="8" w:space="0" w:color="auto"/>
            </w:tcBorders>
            <w:shd w:val="clear" w:color="auto" w:fill="auto"/>
            <w:vAlign w:val="bottom"/>
          </w:tcPr>
          <w:p w14:paraId="609F79A4" w14:textId="77777777" w:rsidR="00A52778" w:rsidRPr="00460F9E" w:rsidRDefault="00A52778" w:rsidP="00FC3F8E">
            <w:pPr>
              <w:spacing w:line="0" w:lineRule="atLeast"/>
              <w:rPr>
                <w:rFonts w:eastAsia="Times New Roman" w:cs="Times New Roman"/>
                <w:b/>
              </w:rPr>
            </w:pPr>
          </w:p>
        </w:tc>
        <w:tc>
          <w:tcPr>
            <w:tcW w:w="404" w:type="dxa"/>
            <w:shd w:val="clear" w:color="auto" w:fill="auto"/>
            <w:vAlign w:val="bottom"/>
          </w:tcPr>
          <w:p w14:paraId="610A77FF" w14:textId="77777777" w:rsidR="00A52778" w:rsidRPr="00460F9E" w:rsidRDefault="00A52778" w:rsidP="00FC3F8E">
            <w:pPr>
              <w:spacing w:line="0" w:lineRule="atLeast"/>
              <w:rPr>
                <w:rFonts w:eastAsia="Times New Roman" w:cs="Times New Roman"/>
                <w:b/>
              </w:rPr>
            </w:pPr>
          </w:p>
        </w:tc>
        <w:tc>
          <w:tcPr>
            <w:tcW w:w="557" w:type="dxa"/>
            <w:shd w:val="clear" w:color="auto" w:fill="auto"/>
            <w:vAlign w:val="bottom"/>
          </w:tcPr>
          <w:p w14:paraId="69AA4F4B" w14:textId="77777777" w:rsidR="00A52778" w:rsidRPr="00460F9E" w:rsidRDefault="00A52778" w:rsidP="00FC3F8E">
            <w:pPr>
              <w:spacing w:line="0" w:lineRule="atLeast"/>
              <w:rPr>
                <w:rFonts w:eastAsia="Times New Roman" w:cs="Times New Roman"/>
                <w:b/>
              </w:rPr>
            </w:pPr>
          </w:p>
        </w:tc>
        <w:tc>
          <w:tcPr>
            <w:tcW w:w="346" w:type="dxa"/>
            <w:shd w:val="clear" w:color="auto" w:fill="auto"/>
            <w:vAlign w:val="bottom"/>
          </w:tcPr>
          <w:p w14:paraId="45B0F266" w14:textId="77777777" w:rsidR="00A52778" w:rsidRPr="00460F9E" w:rsidRDefault="00A52778" w:rsidP="00FC3F8E">
            <w:pPr>
              <w:spacing w:line="0" w:lineRule="atLeast"/>
              <w:rPr>
                <w:rFonts w:eastAsia="Times New Roman" w:cs="Times New Roman"/>
                <w:b/>
              </w:rPr>
            </w:pPr>
          </w:p>
        </w:tc>
        <w:tc>
          <w:tcPr>
            <w:tcW w:w="423" w:type="dxa"/>
            <w:shd w:val="clear" w:color="auto" w:fill="auto"/>
            <w:vAlign w:val="bottom"/>
          </w:tcPr>
          <w:p w14:paraId="304FFA17" w14:textId="77777777" w:rsidR="00A52778" w:rsidRPr="00460F9E" w:rsidRDefault="00A52778" w:rsidP="00FC3F8E">
            <w:pPr>
              <w:spacing w:line="0" w:lineRule="atLeast"/>
              <w:rPr>
                <w:rFonts w:eastAsia="Times New Roman" w:cs="Times New Roman"/>
                <w:b/>
              </w:rPr>
            </w:pPr>
          </w:p>
        </w:tc>
        <w:tc>
          <w:tcPr>
            <w:tcW w:w="481" w:type="dxa"/>
            <w:shd w:val="clear" w:color="auto" w:fill="auto"/>
            <w:vAlign w:val="bottom"/>
          </w:tcPr>
          <w:p w14:paraId="0739FF54" w14:textId="77777777" w:rsidR="00A52778" w:rsidRPr="00460F9E" w:rsidRDefault="00A52778" w:rsidP="00FC3F8E">
            <w:pPr>
              <w:spacing w:line="0" w:lineRule="atLeast"/>
              <w:rPr>
                <w:rFonts w:eastAsia="Times New Roman" w:cs="Times New Roman"/>
                <w:b/>
              </w:rPr>
            </w:pPr>
          </w:p>
        </w:tc>
        <w:tc>
          <w:tcPr>
            <w:tcW w:w="385" w:type="dxa"/>
            <w:tcBorders>
              <w:right w:val="single" w:sz="8" w:space="0" w:color="auto"/>
            </w:tcBorders>
            <w:shd w:val="clear" w:color="auto" w:fill="auto"/>
            <w:vAlign w:val="bottom"/>
          </w:tcPr>
          <w:p w14:paraId="5704EB1E" w14:textId="77777777" w:rsidR="00A52778" w:rsidRPr="00460F9E" w:rsidRDefault="00A52778" w:rsidP="00FC3F8E">
            <w:pPr>
              <w:spacing w:line="0" w:lineRule="atLeast"/>
              <w:rPr>
                <w:rFonts w:eastAsia="Times New Roman" w:cs="Times New Roman"/>
                <w:b/>
              </w:rPr>
            </w:pPr>
          </w:p>
        </w:tc>
      </w:tr>
      <w:tr w:rsidR="00A52778" w:rsidRPr="00460F9E" w14:paraId="21F81AC8" w14:textId="77777777" w:rsidTr="00FC3F8E">
        <w:trPr>
          <w:gridAfter w:val="1"/>
          <w:wAfter w:w="347" w:type="dxa"/>
          <w:trHeight w:val="230"/>
        </w:trPr>
        <w:tc>
          <w:tcPr>
            <w:tcW w:w="386" w:type="dxa"/>
            <w:tcBorders>
              <w:left w:val="single" w:sz="8" w:space="0" w:color="auto"/>
              <w:right w:val="single" w:sz="8" w:space="0" w:color="auto"/>
            </w:tcBorders>
            <w:shd w:val="clear" w:color="auto" w:fill="auto"/>
            <w:vAlign w:val="bottom"/>
          </w:tcPr>
          <w:p w14:paraId="4E4BCF09" w14:textId="77777777" w:rsidR="00A52778" w:rsidRPr="00460F9E" w:rsidRDefault="00A52778" w:rsidP="00FC3F8E">
            <w:pPr>
              <w:spacing w:line="0" w:lineRule="atLeast"/>
              <w:rPr>
                <w:rFonts w:eastAsia="Times New Roman" w:cs="Times New Roman"/>
                <w:b/>
              </w:rPr>
            </w:pPr>
          </w:p>
        </w:tc>
        <w:tc>
          <w:tcPr>
            <w:tcW w:w="424" w:type="dxa"/>
            <w:shd w:val="clear" w:color="auto" w:fill="auto"/>
            <w:vAlign w:val="bottom"/>
          </w:tcPr>
          <w:p w14:paraId="4D52777E" w14:textId="77777777" w:rsidR="00A52778" w:rsidRPr="00460F9E" w:rsidRDefault="00A52778" w:rsidP="00FC3F8E">
            <w:pPr>
              <w:spacing w:line="0" w:lineRule="atLeast"/>
              <w:rPr>
                <w:rFonts w:eastAsia="Times New Roman" w:cs="Times New Roman"/>
                <w:b/>
              </w:rPr>
            </w:pPr>
          </w:p>
        </w:tc>
        <w:tc>
          <w:tcPr>
            <w:tcW w:w="788" w:type="dxa"/>
            <w:tcBorders>
              <w:right w:val="single" w:sz="8" w:space="0" w:color="auto"/>
            </w:tcBorders>
            <w:shd w:val="clear" w:color="auto" w:fill="auto"/>
            <w:vAlign w:val="bottom"/>
          </w:tcPr>
          <w:p w14:paraId="6FBEF3D6" w14:textId="77777777" w:rsidR="00A52778" w:rsidRPr="00460F9E" w:rsidRDefault="00A52778" w:rsidP="00FC3F8E">
            <w:pPr>
              <w:spacing w:line="0" w:lineRule="atLeast"/>
              <w:rPr>
                <w:rFonts w:eastAsia="Times New Roman" w:cs="Times New Roman"/>
                <w:b/>
              </w:rPr>
            </w:pPr>
          </w:p>
        </w:tc>
        <w:tc>
          <w:tcPr>
            <w:tcW w:w="385" w:type="dxa"/>
            <w:shd w:val="clear" w:color="auto" w:fill="auto"/>
            <w:vAlign w:val="bottom"/>
          </w:tcPr>
          <w:p w14:paraId="0B9D5B7F" w14:textId="77777777" w:rsidR="00A52778" w:rsidRPr="00460F9E" w:rsidRDefault="00A52778" w:rsidP="00FC3F8E">
            <w:pPr>
              <w:spacing w:line="0" w:lineRule="atLeast"/>
              <w:rPr>
                <w:rFonts w:eastAsia="Times New Roman" w:cs="Times New Roman"/>
                <w:b/>
              </w:rPr>
            </w:pPr>
          </w:p>
        </w:tc>
        <w:tc>
          <w:tcPr>
            <w:tcW w:w="20" w:type="dxa"/>
            <w:shd w:val="clear" w:color="auto" w:fill="auto"/>
            <w:vAlign w:val="bottom"/>
          </w:tcPr>
          <w:p w14:paraId="2ECBC944" w14:textId="77777777" w:rsidR="00A52778" w:rsidRPr="00460F9E" w:rsidRDefault="00A52778" w:rsidP="00FC3F8E">
            <w:pPr>
              <w:spacing w:line="0" w:lineRule="atLeast"/>
              <w:rPr>
                <w:rFonts w:eastAsia="Times New Roman" w:cs="Times New Roman"/>
                <w:b/>
              </w:rPr>
            </w:pPr>
          </w:p>
        </w:tc>
        <w:tc>
          <w:tcPr>
            <w:tcW w:w="3214" w:type="dxa"/>
            <w:gridSpan w:val="11"/>
            <w:vMerge/>
            <w:tcBorders>
              <w:right w:val="single" w:sz="4" w:space="0" w:color="auto"/>
            </w:tcBorders>
            <w:shd w:val="clear" w:color="auto" w:fill="auto"/>
            <w:vAlign w:val="bottom"/>
          </w:tcPr>
          <w:p w14:paraId="5AF4FD09" w14:textId="77777777" w:rsidR="00A52778" w:rsidRPr="00460F9E" w:rsidRDefault="00A52778" w:rsidP="00FC3F8E">
            <w:pPr>
              <w:spacing w:line="0" w:lineRule="atLeast"/>
              <w:rPr>
                <w:rFonts w:eastAsia="Times New Roman" w:cs="Times New Roman"/>
                <w:b/>
              </w:rPr>
            </w:pPr>
          </w:p>
        </w:tc>
        <w:tc>
          <w:tcPr>
            <w:tcW w:w="980" w:type="dxa"/>
            <w:tcBorders>
              <w:left w:val="single" w:sz="4" w:space="0" w:color="auto"/>
              <w:right w:val="single" w:sz="8" w:space="0" w:color="auto"/>
            </w:tcBorders>
            <w:shd w:val="clear" w:color="auto" w:fill="auto"/>
            <w:vAlign w:val="bottom"/>
          </w:tcPr>
          <w:p w14:paraId="039C191E" w14:textId="77777777" w:rsidR="00A52778" w:rsidRPr="00460F9E" w:rsidRDefault="00A52778" w:rsidP="00FC3F8E">
            <w:pPr>
              <w:spacing w:line="0" w:lineRule="atLeast"/>
              <w:rPr>
                <w:rFonts w:eastAsia="Times New Roman" w:cs="Times New Roman"/>
                <w:b/>
              </w:rPr>
            </w:pPr>
          </w:p>
        </w:tc>
        <w:tc>
          <w:tcPr>
            <w:tcW w:w="404" w:type="dxa"/>
            <w:shd w:val="clear" w:color="auto" w:fill="auto"/>
            <w:vAlign w:val="bottom"/>
          </w:tcPr>
          <w:p w14:paraId="167C3505" w14:textId="77777777" w:rsidR="00A52778" w:rsidRPr="00460F9E" w:rsidRDefault="00A52778" w:rsidP="00FC3F8E">
            <w:pPr>
              <w:spacing w:line="0" w:lineRule="atLeast"/>
              <w:rPr>
                <w:rFonts w:eastAsia="Times New Roman" w:cs="Times New Roman"/>
                <w:b/>
              </w:rPr>
            </w:pPr>
          </w:p>
        </w:tc>
        <w:tc>
          <w:tcPr>
            <w:tcW w:w="557" w:type="dxa"/>
            <w:shd w:val="clear" w:color="auto" w:fill="auto"/>
            <w:vAlign w:val="bottom"/>
          </w:tcPr>
          <w:p w14:paraId="360ABF3C" w14:textId="77777777" w:rsidR="00A52778" w:rsidRPr="00460F9E" w:rsidRDefault="00A52778" w:rsidP="00FC3F8E">
            <w:pPr>
              <w:spacing w:line="0" w:lineRule="atLeast"/>
              <w:rPr>
                <w:rFonts w:eastAsia="Times New Roman" w:cs="Times New Roman"/>
                <w:b/>
              </w:rPr>
            </w:pPr>
          </w:p>
        </w:tc>
        <w:tc>
          <w:tcPr>
            <w:tcW w:w="346" w:type="dxa"/>
            <w:shd w:val="clear" w:color="auto" w:fill="auto"/>
            <w:vAlign w:val="bottom"/>
          </w:tcPr>
          <w:p w14:paraId="55572009" w14:textId="77777777" w:rsidR="00A52778" w:rsidRPr="00460F9E" w:rsidRDefault="00A52778" w:rsidP="00FC3F8E">
            <w:pPr>
              <w:spacing w:line="0" w:lineRule="atLeast"/>
              <w:rPr>
                <w:rFonts w:eastAsia="Times New Roman" w:cs="Times New Roman"/>
                <w:b/>
              </w:rPr>
            </w:pPr>
          </w:p>
        </w:tc>
        <w:tc>
          <w:tcPr>
            <w:tcW w:w="423" w:type="dxa"/>
            <w:shd w:val="clear" w:color="auto" w:fill="auto"/>
            <w:vAlign w:val="bottom"/>
          </w:tcPr>
          <w:p w14:paraId="0A74DECD" w14:textId="77777777" w:rsidR="00A52778" w:rsidRPr="00460F9E" w:rsidRDefault="00A52778" w:rsidP="00FC3F8E">
            <w:pPr>
              <w:spacing w:line="0" w:lineRule="atLeast"/>
              <w:rPr>
                <w:rFonts w:eastAsia="Times New Roman" w:cs="Times New Roman"/>
                <w:b/>
              </w:rPr>
            </w:pPr>
          </w:p>
        </w:tc>
        <w:tc>
          <w:tcPr>
            <w:tcW w:w="481" w:type="dxa"/>
            <w:shd w:val="clear" w:color="auto" w:fill="auto"/>
            <w:vAlign w:val="bottom"/>
          </w:tcPr>
          <w:p w14:paraId="409416AB" w14:textId="77777777" w:rsidR="00A52778" w:rsidRPr="00460F9E" w:rsidRDefault="00A52778" w:rsidP="00FC3F8E">
            <w:pPr>
              <w:spacing w:line="0" w:lineRule="atLeast"/>
              <w:rPr>
                <w:rFonts w:eastAsia="Times New Roman" w:cs="Times New Roman"/>
                <w:b/>
              </w:rPr>
            </w:pPr>
          </w:p>
        </w:tc>
        <w:tc>
          <w:tcPr>
            <w:tcW w:w="385" w:type="dxa"/>
            <w:tcBorders>
              <w:right w:val="single" w:sz="8" w:space="0" w:color="auto"/>
            </w:tcBorders>
            <w:shd w:val="clear" w:color="auto" w:fill="auto"/>
            <w:vAlign w:val="bottom"/>
          </w:tcPr>
          <w:p w14:paraId="0C3680CE" w14:textId="77777777" w:rsidR="00A52778" w:rsidRPr="00460F9E" w:rsidRDefault="00A52778" w:rsidP="00FC3F8E">
            <w:pPr>
              <w:spacing w:line="0" w:lineRule="atLeast"/>
              <w:rPr>
                <w:rFonts w:eastAsia="Times New Roman" w:cs="Times New Roman"/>
                <w:b/>
              </w:rPr>
            </w:pPr>
          </w:p>
        </w:tc>
      </w:tr>
      <w:tr w:rsidR="00A52778" w:rsidRPr="00460F9E" w14:paraId="15DE6673" w14:textId="77777777" w:rsidTr="00FC3F8E">
        <w:trPr>
          <w:gridAfter w:val="1"/>
          <w:wAfter w:w="347" w:type="dxa"/>
          <w:trHeight w:val="66"/>
        </w:trPr>
        <w:tc>
          <w:tcPr>
            <w:tcW w:w="386" w:type="dxa"/>
            <w:tcBorders>
              <w:left w:val="single" w:sz="8" w:space="0" w:color="auto"/>
              <w:bottom w:val="single" w:sz="8" w:space="0" w:color="auto"/>
              <w:right w:val="single" w:sz="8" w:space="0" w:color="auto"/>
            </w:tcBorders>
            <w:shd w:val="clear" w:color="auto" w:fill="auto"/>
            <w:vAlign w:val="bottom"/>
          </w:tcPr>
          <w:p w14:paraId="46282A1F" w14:textId="77777777" w:rsidR="00A52778" w:rsidRPr="00460F9E" w:rsidRDefault="00A52778" w:rsidP="00FC3F8E">
            <w:pPr>
              <w:spacing w:line="0" w:lineRule="atLeast"/>
              <w:rPr>
                <w:rFonts w:eastAsia="Times New Roman" w:cs="Times New Roman"/>
                <w:b/>
                <w:sz w:val="5"/>
              </w:rPr>
            </w:pPr>
          </w:p>
        </w:tc>
        <w:tc>
          <w:tcPr>
            <w:tcW w:w="424" w:type="dxa"/>
            <w:tcBorders>
              <w:bottom w:val="single" w:sz="8" w:space="0" w:color="auto"/>
            </w:tcBorders>
            <w:shd w:val="clear" w:color="auto" w:fill="auto"/>
            <w:vAlign w:val="bottom"/>
          </w:tcPr>
          <w:p w14:paraId="0DE4BB56" w14:textId="77777777" w:rsidR="00A52778" w:rsidRPr="00460F9E" w:rsidRDefault="00A52778" w:rsidP="00FC3F8E">
            <w:pPr>
              <w:spacing w:line="0" w:lineRule="atLeast"/>
              <w:rPr>
                <w:rFonts w:eastAsia="Times New Roman" w:cs="Times New Roman"/>
                <w:b/>
                <w:sz w:val="5"/>
              </w:rPr>
            </w:pPr>
          </w:p>
        </w:tc>
        <w:tc>
          <w:tcPr>
            <w:tcW w:w="788" w:type="dxa"/>
            <w:tcBorders>
              <w:bottom w:val="single" w:sz="8" w:space="0" w:color="auto"/>
              <w:right w:val="single" w:sz="8" w:space="0" w:color="auto"/>
            </w:tcBorders>
            <w:shd w:val="clear" w:color="auto" w:fill="auto"/>
            <w:vAlign w:val="bottom"/>
          </w:tcPr>
          <w:p w14:paraId="1AF37E14" w14:textId="77777777" w:rsidR="00A52778" w:rsidRPr="00460F9E" w:rsidRDefault="00A52778" w:rsidP="00FC3F8E">
            <w:pPr>
              <w:spacing w:line="0" w:lineRule="atLeast"/>
              <w:rPr>
                <w:rFonts w:eastAsia="Times New Roman" w:cs="Times New Roman"/>
                <w:b/>
                <w:sz w:val="5"/>
              </w:rPr>
            </w:pPr>
          </w:p>
        </w:tc>
        <w:tc>
          <w:tcPr>
            <w:tcW w:w="385" w:type="dxa"/>
            <w:tcBorders>
              <w:bottom w:val="single" w:sz="8" w:space="0" w:color="auto"/>
            </w:tcBorders>
            <w:shd w:val="clear" w:color="auto" w:fill="auto"/>
            <w:vAlign w:val="bottom"/>
          </w:tcPr>
          <w:p w14:paraId="0A3882B6" w14:textId="77777777" w:rsidR="00A52778" w:rsidRPr="00460F9E" w:rsidRDefault="00A52778" w:rsidP="00FC3F8E">
            <w:pPr>
              <w:spacing w:line="0" w:lineRule="atLeast"/>
              <w:rPr>
                <w:rFonts w:eastAsia="Times New Roman" w:cs="Times New Roman"/>
                <w:b/>
                <w:sz w:val="5"/>
              </w:rPr>
            </w:pPr>
          </w:p>
        </w:tc>
        <w:tc>
          <w:tcPr>
            <w:tcW w:w="828" w:type="dxa"/>
            <w:gridSpan w:val="3"/>
            <w:tcBorders>
              <w:bottom w:val="single" w:sz="8" w:space="0" w:color="auto"/>
            </w:tcBorders>
            <w:shd w:val="clear" w:color="auto" w:fill="auto"/>
            <w:vAlign w:val="bottom"/>
          </w:tcPr>
          <w:p w14:paraId="34FB317F" w14:textId="77777777" w:rsidR="00A52778" w:rsidRPr="00460F9E" w:rsidRDefault="00A52778" w:rsidP="00FC3F8E">
            <w:pPr>
              <w:spacing w:line="0" w:lineRule="atLeast"/>
              <w:rPr>
                <w:rFonts w:eastAsia="Times New Roman" w:cs="Times New Roman"/>
                <w:b/>
                <w:sz w:val="5"/>
              </w:rPr>
            </w:pPr>
          </w:p>
        </w:tc>
        <w:tc>
          <w:tcPr>
            <w:tcW w:w="365" w:type="dxa"/>
            <w:tcBorders>
              <w:bottom w:val="single" w:sz="8" w:space="0" w:color="auto"/>
            </w:tcBorders>
            <w:shd w:val="clear" w:color="auto" w:fill="auto"/>
            <w:vAlign w:val="bottom"/>
          </w:tcPr>
          <w:p w14:paraId="23A6A384" w14:textId="77777777" w:rsidR="00A52778" w:rsidRPr="00460F9E" w:rsidRDefault="00A52778" w:rsidP="00FC3F8E">
            <w:pPr>
              <w:spacing w:line="0" w:lineRule="atLeast"/>
              <w:rPr>
                <w:rFonts w:eastAsia="Times New Roman" w:cs="Times New Roman"/>
                <w:b/>
                <w:sz w:val="5"/>
              </w:rPr>
            </w:pPr>
          </w:p>
        </w:tc>
        <w:tc>
          <w:tcPr>
            <w:tcW w:w="308" w:type="dxa"/>
            <w:tcBorders>
              <w:bottom w:val="single" w:sz="8" w:space="0" w:color="auto"/>
            </w:tcBorders>
            <w:shd w:val="clear" w:color="auto" w:fill="auto"/>
            <w:vAlign w:val="bottom"/>
          </w:tcPr>
          <w:p w14:paraId="4ADBB247" w14:textId="77777777" w:rsidR="00A52778" w:rsidRPr="00460F9E" w:rsidRDefault="00A52778" w:rsidP="00FC3F8E">
            <w:pPr>
              <w:spacing w:line="0" w:lineRule="atLeast"/>
              <w:rPr>
                <w:rFonts w:eastAsia="Times New Roman" w:cs="Times New Roman"/>
                <w:b/>
                <w:sz w:val="5"/>
              </w:rPr>
            </w:pPr>
          </w:p>
        </w:tc>
        <w:tc>
          <w:tcPr>
            <w:tcW w:w="193" w:type="dxa"/>
            <w:tcBorders>
              <w:bottom w:val="single" w:sz="8" w:space="0" w:color="auto"/>
            </w:tcBorders>
            <w:shd w:val="clear" w:color="auto" w:fill="auto"/>
            <w:vAlign w:val="bottom"/>
          </w:tcPr>
          <w:p w14:paraId="695337E4" w14:textId="77777777" w:rsidR="00A52778" w:rsidRPr="00460F9E" w:rsidRDefault="00A52778" w:rsidP="00FC3F8E">
            <w:pPr>
              <w:spacing w:line="0" w:lineRule="atLeast"/>
              <w:rPr>
                <w:rFonts w:eastAsia="Times New Roman" w:cs="Times New Roman"/>
                <w:b/>
                <w:sz w:val="5"/>
              </w:rPr>
            </w:pPr>
          </w:p>
        </w:tc>
        <w:tc>
          <w:tcPr>
            <w:tcW w:w="250" w:type="dxa"/>
            <w:tcBorders>
              <w:bottom w:val="single" w:sz="8" w:space="0" w:color="auto"/>
            </w:tcBorders>
            <w:shd w:val="clear" w:color="auto" w:fill="auto"/>
            <w:vAlign w:val="bottom"/>
          </w:tcPr>
          <w:p w14:paraId="38940776" w14:textId="77777777" w:rsidR="00A52778" w:rsidRPr="00460F9E" w:rsidRDefault="00A52778" w:rsidP="00FC3F8E">
            <w:pPr>
              <w:spacing w:line="0" w:lineRule="atLeast"/>
              <w:rPr>
                <w:rFonts w:eastAsia="Times New Roman" w:cs="Times New Roman"/>
                <w:b/>
                <w:sz w:val="5"/>
              </w:rPr>
            </w:pPr>
          </w:p>
        </w:tc>
        <w:tc>
          <w:tcPr>
            <w:tcW w:w="212" w:type="dxa"/>
            <w:tcBorders>
              <w:bottom w:val="single" w:sz="8" w:space="0" w:color="auto"/>
            </w:tcBorders>
            <w:shd w:val="clear" w:color="auto" w:fill="auto"/>
            <w:vAlign w:val="bottom"/>
          </w:tcPr>
          <w:p w14:paraId="21EF0758" w14:textId="77777777" w:rsidR="00A52778" w:rsidRPr="00460F9E" w:rsidRDefault="00A52778" w:rsidP="00FC3F8E">
            <w:pPr>
              <w:spacing w:line="0" w:lineRule="atLeast"/>
              <w:rPr>
                <w:rFonts w:eastAsia="Times New Roman" w:cs="Times New Roman"/>
                <w:b/>
                <w:sz w:val="5"/>
              </w:rPr>
            </w:pPr>
          </w:p>
        </w:tc>
        <w:tc>
          <w:tcPr>
            <w:tcW w:w="154" w:type="dxa"/>
            <w:tcBorders>
              <w:bottom w:val="single" w:sz="8" w:space="0" w:color="auto"/>
            </w:tcBorders>
            <w:shd w:val="clear" w:color="auto" w:fill="auto"/>
            <w:vAlign w:val="bottom"/>
          </w:tcPr>
          <w:p w14:paraId="69F98DC3" w14:textId="77777777" w:rsidR="00A52778" w:rsidRPr="00460F9E" w:rsidRDefault="00A52778" w:rsidP="00FC3F8E">
            <w:pPr>
              <w:spacing w:line="0" w:lineRule="atLeast"/>
              <w:rPr>
                <w:rFonts w:eastAsia="Times New Roman" w:cs="Times New Roman"/>
                <w:b/>
                <w:sz w:val="5"/>
              </w:rPr>
            </w:pPr>
          </w:p>
        </w:tc>
        <w:tc>
          <w:tcPr>
            <w:tcW w:w="346" w:type="dxa"/>
            <w:tcBorders>
              <w:bottom w:val="single" w:sz="8" w:space="0" w:color="auto"/>
            </w:tcBorders>
            <w:shd w:val="clear" w:color="auto" w:fill="auto"/>
            <w:vAlign w:val="bottom"/>
          </w:tcPr>
          <w:p w14:paraId="25C06708" w14:textId="77777777" w:rsidR="00A52778" w:rsidRPr="00460F9E" w:rsidRDefault="00A52778" w:rsidP="00FC3F8E">
            <w:pPr>
              <w:spacing w:line="0" w:lineRule="atLeast"/>
              <w:rPr>
                <w:rFonts w:eastAsia="Times New Roman" w:cs="Times New Roman"/>
                <w:b/>
                <w:sz w:val="5"/>
              </w:rPr>
            </w:pPr>
          </w:p>
        </w:tc>
        <w:tc>
          <w:tcPr>
            <w:tcW w:w="97" w:type="dxa"/>
            <w:tcBorders>
              <w:bottom w:val="single" w:sz="8" w:space="0" w:color="auto"/>
            </w:tcBorders>
            <w:shd w:val="clear" w:color="auto" w:fill="auto"/>
            <w:vAlign w:val="bottom"/>
          </w:tcPr>
          <w:p w14:paraId="613D54AD" w14:textId="77777777" w:rsidR="00A52778" w:rsidRPr="00460F9E" w:rsidRDefault="00A52778" w:rsidP="00FC3F8E">
            <w:pPr>
              <w:spacing w:line="0" w:lineRule="atLeast"/>
              <w:rPr>
                <w:rFonts w:eastAsia="Times New Roman" w:cs="Times New Roman"/>
                <w:b/>
                <w:sz w:val="5"/>
              </w:rPr>
            </w:pPr>
          </w:p>
        </w:tc>
        <w:tc>
          <w:tcPr>
            <w:tcW w:w="481" w:type="dxa"/>
            <w:tcBorders>
              <w:bottom w:val="single" w:sz="8" w:space="0" w:color="auto"/>
              <w:right w:val="single" w:sz="4" w:space="0" w:color="auto"/>
            </w:tcBorders>
            <w:shd w:val="clear" w:color="auto" w:fill="auto"/>
            <w:vAlign w:val="bottom"/>
          </w:tcPr>
          <w:p w14:paraId="08E66896" w14:textId="77777777" w:rsidR="00A52778" w:rsidRPr="00460F9E" w:rsidRDefault="00A52778" w:rsidP="00FC3F8E">
            <w:pPr>
              <w:spacing w:line="0" w:lineRule="atLeast"/>
              <w:rPr>
                <w:rFonts w:eastAsia="Times New Roman" w:cs="Times New Roman"/>
                <w:b/>
                <w:sz w:val="5"/>
              </w:rPr>
            </w:pPr>
          </w:p>
        </w:tc>
        <w:tc>
          <w:tcPr>
            <w:tcW w:w="980" w:type="dxa"/>
            <w:tcBorders>
              <w:left w:val="single" w:sz="4" w:space="0" w:color="auto"/>
              <w:bottom w:val="single" w:sz="8" w:space="0" w:color="auto"/>
              <w:right w:val="single" w:sz="8" w:space="0" w:color="auto"/>
            </w:tcBorders>
            <w:shd w:val="clear" w:color="auto" w:fill="auto"/>
            <w:vAlign w:val="bottom"/>
          </w:tcPr>
          <w:p w14:paraId="0A470003" w14:textId="77777777" w:rsidR="00A52778" w:rsidRPr="00460F9E" w:rsidRDefault="00A52778" w:rsidP="00FC3F8E">
            <w:pPr>
              <w:spacing w:line="0" w:lineRule="atLeast"/>
              <w:rPr>
                <w:rFonts w:eastAsia="Times New Roman" w:cs="Times New Roman"/>
                <w:b/>
                <w:sz w:val="5"/>
              </w:rPr>
            </w:pPr>
          </w:p>
        </w:tc>
        <w:tc>
          <w:tcPr>
            <w:tcW w:w="404" w:type="dxa"/>
            <w:tcBorders>
              <w:bottom w:val="single" w:sz="8" w:space="0" w:color="auto"/>
            </w:tcBorders>
            <w:shd w:val="clear" w:color="auto" w:fill="auto"/>
            <w:vAlign w:val="bottom"/>
          </w:tcPr>
          <w:p w14:paraId="60D82B6F" w14:textId="77777777" w:rsidR="00A52778" w:rsidRPr="00460F9E" w:rsidRDefault="00A52778" w:rsidP="00FC3F8E">
            <w:pPr>
              <w:spacing w:line="0" w:lineRule="atLeast"/>
              <w:rPr>
                <w:rFonts w:eastAsia="Times New Roman" w:cs="Times New Roman"/>
                <w:b/>
                <w:sz w:val="5"/>
              </w:rPr>
            </w:pPr>
          </w:p>
        </w:tc>
        <w:tc>
          <w:tcPr>
            <w:tcW w:w="557" w:type="dxa"/>
            <w:tcBorders>
              <w:bottom w:val="single" w:sz="8" w:space="0" w:color="auto"/>
            </w:tcBorders>
            <w:shd w:val="clear" w:color="auto" w:fill="auto"/>
            <w:vAlign w:val="bottom"/>
          </w:tcPr>
          <w:p w14:paraId="600731F1" w14:textId="77777777" w:rsidR="00A52778" w:rsidRPr="00460F9E" w:rsidRDefault="00A52778" w:rsidP="00FC3F8E">
            <w:pPr>
              <w:spacing w:line="0" w:lineRule="atLeast"/>
              <w:rPr>
                <w:rFonts w:eastAsia="Times New Roman" w:cs="Times New Roman"/>
                <w:b/>
                <w:sz w:val="5"/>
              </w:rPr>
            </w:pPr>
          </w:p>
        </w:tc>
        <w:tc>
          <w:tcPr>
            <w:tcW w:w="346" w:type="dxa"/>
            <w:tcBorders>
              <w:bottom w:val="single" w:sz="8" w:space="0" w:color="auto"/>
            </w:tcBorders>
            <w:shd w:val="clear" w:color="auto" w:fill="auto"/>
            <w:vAlign w:val="bottom"/>
          </w:tcPr>
          <w:p w14:paraId="0F13C49E" w14:textId="77777777" w:rsidR="00A52778" w:rsidRPr="00460F9E" w:rsidRDefault="00A52778" w:rsidP="00FC3F8E">
            <w:pPr>
              <w:spacing w:line="0" w:lineRule="atLeast"/>
              <w:rPr>
                <w:rFonts w:eastAsia="Times New Roman" w:cs="Times New Roman"/>
                <w:b/>
                <w:sz w:val="5"/>
              </w:rPr>
            </w:pPr>
          </w:p>
        </w:tc>
        <w:tc>
          <w:tcPr>
            <w:tcW w:w="423" w:type="dxa"/>
            <w:tcBorders>
              <w:bottom w:val="single" w:sz="8" w:space="0" w:color="auto"/>
            </w:tcBorders>
            <w:shd w:val="clear" w:color="auto" w:fill="auto"/>
            <w:vAlign w:val="bottom"/>
          </w:tcPr>
          <w:p w14:paraId="046AA19E" w14:textId="77777777" w:rsidR="00A52778" w:rsidRPr="00460F9E" w:rsidRDefault="00A52778" w:rsidP="00FC3F8E">
            <w:pPr>
              <w:spacing w:line="0" w:lineRule="atLeast"/>
              <w:rPr>
                <w:rFonts w:eastAsia="Times New Roman" w:cs="Times New Roman"/>
                <w:b/>
                <w:sz w:val="5"/>
              </w:rPr>
            </w:pPr>
          </w:p>
        </w:tc>
        <w:tc>
          <w:tcPr>
            <w:tcW w:w="481" w:type="dxa"/>
            <w:tcBorders>
              <w:bottom w:val="single" w:sz="8" w:space="0" w:color="auto"/>
            </w:tcBorders>
            <w:shd w:val="clear" w:color="auto" w:fill="auto"/>
            <w:vAlign w:val="bottom"/>
          </w:tcPr>
          <w:p w14:paraId="09C6D111" w14:textId="77777777" w:rsidR="00A52778" w:rsidRPr="00460F9E" w:rsidRDefault="00A52778" w:rsidP="00FC3F8E">
            <w:pPr>
              <w:spacing w:line="0" w:lineRule="atLeast"/>
              <w:rPr>
                <w:rFonts w:eastAsia="Times New Roman" w:cs="Times New Roman"/>
                <w:b/>
                <w:sz w:val="5"/>
              </w:rPr>
            </w:pPr>
          </w:p>
        </w:tc>
        <w:tc>
          <w:tcPr>
            <w:tcW w:w="385" w:type="dxa"/>
            <w:tcBorders>
              <w:bottom w:val="single" w:sz="8" w:space="0" w:color="auto"/>
              <w:right w:val="single" w:sz="8" w:space="0" w:color="auto"/>
            </w:tcBorders>
            <w:shd w:val="clear" w:color="auto" w:fill="auto"/>
            <w:vAlign w:val="bottom"/>
          </w:tcPr>
          <w:p w14:paraId="2B4F222A" w14:textId="77777777" w:rsidR="00A52778" w:rsidRPr="00460F9E" w:rsidRDefault="00A52778" w:rsidP="00FC3F8E">
            <w:pPr>
              <w:spacing w:line="0" w:lineRule="atLeast"/>
              <w:rPr>
                <w:rFonts w:eastAsia="Times New Roman" w:cs="Times New Roman"/>
                <w:b/>
                <w:sz w:val="5"/>
              </w:rPr>
            </w:pPr>
          </w:p>
        </w:tc>
      </w:tr>
      <w:tr w:rsidR="00A52778" w:rsidRPr="00460F9E" w14:paraId="518377A9" w14:textId="77777777" w:rsidTr="00FC3F8E">
        <w:trPr>
          <w:gridAfter w:val="1"/>
          <w:wAfter w:w="347" w:type="dxa"/>
          <w:trHeight w:val="214"/>
        </w:trPr>
        <w:tc>
          <w:tcPr>
            <w:tcW w:w="386" w:type="dxa"/>
            <w:tcBorders>
              <w:left w:val="single" w:sz="8" w:space="0" w:color="auto"/>
              <w:right w:val="single" w:sz="8" w:space="0" w:color="auto"/>
            </w:tcBorders>
            <w:shd w:val="clear" w:color="auto" w:fill="auto"/>
            <w:vAlign w:val="bottom"/>
          </w:tcPr>
          <w:p w14:paraId="100CFE4E" w14:textId="77777777" w:rsidR="00A52778" w:rsidRPr="00460F9E" w:rsidRDefault="00A52778" w:rsidP="00FC3F8E">
            <w:pPr>
              <w:spacing w:line="0" w:lineRule="atLeast"/>
              <w:rPr>
                <w:rFonts w:eastAsia="Times New Roman" w:cs="Times New Roman"/>
                <w:b/>
                <w:sz w:val="18"/>
              </w:rPr>
            </w:pPr>
          </w:p>
        </w:tc>
        <w:tc>
          <w:tcPr>
            <w:tcW w:w="1212" w:type="dxa"/>
            <w:gridSpan w:val="2"/>
            <w:vMerge w:val="restart"/>
            <w:tcBorders>
              <w:right w:val="single" w:sz="8" w:space="0" w:color="auto"/>
            </w:tcBorders>
            <w:shd w:val="clear" w:color="auto" w:fill="auto"/>
            <w:vAlign w:val="center"/>
          </w:tcPr>
          <w:p w14:paraId="5D84B679" w14:textId="77777777" w:rsidR="00A52778" w:rsidRPr="00460F9E" w:rsidRDefault="00A52778" w:rsidP="00FC3F8E">
            <w:pPr>
              <w:spacing w:line="219" w:lineRule="exact"/>
              <w:ind w:left="80"/>
              <w:jc w:val="center"/>
              <w:rPr>
                <w:rFonts w:eastAsia="Times New Roman" w:cs="Times New Roman"/>
                <w:b/>
                <w:sz w:val="18"/>
              </w:rPr>
            </w:pPr>
            <w:r w:rsidRPr="00460F9E">
              <w:rPr>
                <w:rFonts w:eastAsia="Times New Roman" w:cs="Times New Roman"/>
              </w:rPr>
              <w:t>Çalışma koşullarının gözden geçirilmesi ve güncellenmesi</w:t>
            </w:r>
          </w:p>
        </w:tc>
        <w:tc>
          <w:tcPr>
            <w:tcW w:w="385" w:type="dxa"/>
            <w:tcBorders>
              <w:left w:val="single" w:sz="8" w:space="0" w:color="auto"/>
            </w:tcBorders>
            <w:shd w:val="clear" w:color="auto" w:fill="auto"/>
            <w:vAlign w:val="bottom"/>
          </w:tcPr>
          <w:p w14:paraId="47592C61" w14:textId="77777777" w:rsidR="00A52778" w:rsidRPr="00460F9E" w:rsidRDefault="00A52778" w:rsidP="00FC3F8E">
            <w:pPr>
              <w:spacing w:line="0" w:lineRule="atLeast"/>
              <w:rPr>
                <w:rFonts w:eastAsia="Times New Roman" w:cs="Times New Roman"/>
                <w:b/>
                <w:sz w:val="18"/>
              </w:rPr>
            </w:pPr>
          </w:p>
        </w:tc>
        <w:tc>
          <w:tcPr>
            <w:tcW w:w="3234" w:type="dxa"/>
            <w:gridSpan w:val="12"/>
            <w:tcBorders>
              <w:right w:val="single" w:sz="4" w:space="0" w:color="auto"/>
            </w:tcBorders>
            <w:shd w:val="clear" w:color="auto" w:fill="auto"/>
            <w:vAlign w:val="bottom"/>
          </w:tcPr>
          <w:p w14:paraId="430858B5"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Bu madde şunları ihtiva etmektedir:</w:t>
            </w:r>
          </w:p>
          <w:p w14:paraId="323FFEEE" w14:textId="77777777" w:rsidR="00A52778" w:rsidRPr="00460F9E" w:rsidRDefault="00A52778" w:rsidP="00FC3F8E">
            <w:pPr>
              <w:spacing w:line="0" w:lineRule="atLeast"/>
              <w:rPr>
                <w:rFonts w:eastAsia="Times New Roman" w:cs="Times New Roman"/>
                <w:b/>
                <w:sz w:val="18"/>
              </w:rPr>
            </w:pPr>
          </w:p>
        </w:tc>
        <w:tc>
          <w:tcPr>
            <w:tcW w:w="980" w:type="dxa"/>
            <w:tcBorders>
              <w:left w:val="single" w:sz="4" w:space="0" w:color="auto"/>
              <w:right w:val="single" w:sz="8" w:space="0" w:color="auto"/>
            </w:tcBorders>
            <w:shd w:val="clear" w:color="auto" w:fill="auto"/>
            <w:vAlign w:val="bottom"/>
          </w:tcPr>
          <w:p w14:paraId="5C23CEDF" w14:textId="77777777" w:rsidR="00A52778" w:rsidRPr="00460F9E" w:rsidRDefault="00A52778" w:rsidP="00FC3F8E">
            <w:pPr>
              <w:spacing w:line="0" w:lineRule="atLeast"/>
              <w:rPr>
                <w:rFonts w:eastAsia="Times New Roman" w:cs="Times New Roman"/>
                <w:b/>
                <w:sz w:val="18"/>
              </w:rPr>
            </w:pPr>
          </w:p>
        </w:tc>
        <w:tc>
          <w:tcPr>
            <w:tcW w:w="2596" w:type="dxa"/>
            <w:gridSpan w:val="6"/>
            <w:vMerge w:val="restart"/>
            <w:tcBorders>
              <w:right w:val="single" w:sz="8" w:space="0" w:color="auto"/>
            </w:tcBorders>
            <w:shd w:val="clear" w:color="auto" w:fill="auto"/>
            <w:vAlign w:val="center"/>
          </w:tcPr>
          <w:p w14:paraId="64C415C1" w14:textId="77777777" w:rsidR="00A52778" w:rsidRPr="00460F9E" w:rsidRDefault="00A52778" w:rsidP="00FC3F8E">
            <w:pPr>
              <w:spacing w:line="0" w:lineRule="atLeast"/>
              <w:rPr>
                <w:rFonts w:eastAsia="Times New Roman" w:cs="Times New Roman"/>
                <w:b/>
                <w:sz w:val="18"/>
              </w:rPr>
            </w:pPr>
            <w:r w:rsidRPr="00460F9E">
              <w:rPr>
                <w:rFonts w:eastAsia="Times New Roman" w:cs="Times New Roman"/>
              </w:rPr>
              <w:t xml:space="preserve">  Genel olarak uygulanabilir.</w:t>
            </w:r>
          </w:p>
        </w:tc>
      </w:tr>
      <w:tr w:rsidR="00A52778" w:rsidRPr="00460F9E" w14:paraId="41297137" w14:textId="77777777" w:rsidTr="00FC3F8E">
        <w:trPr>
          <w:gridAfter w:val="1"/>
          <w:wAfter w:w="347" w:type="dxa"/>
          <w:trHeight w:val="305"/>
        </w:trPr>
        <w:tc>
          <w:tcPr>
            <w:tcW w:w="386" w:type="dxa"/>
            <w:tcBorders>
              <w:left w:val="single" w:sz="8" w:space="0" w:color="auto"/>
              <w:right w:val="single" w:sz="8" w:space="0" w:color="auto"/>
            </w:tcBorders>
            <w:shd w:val="clear" w:color="auto" w:fill="auto"/>
            <w:vAlign w:val="bottom"/>
          </w:tcPr>
          <w:p w14:paraId="3B927379" w14:textId="77777777" w:rsidR="00A52778" w:rsidRPr="00460F9E" w:rsidRDefault="00A52778" w:rsidP="00FC3F8E">
            <w:pPr>
              <w:spacing w:line="0" w:lineRule="atLeast"/>
              <w:rPr>
                <w:rFonts w:eastAsia="Times New Roman" w:cs="Times New Roman"/>
                <w:b/>
              </w:rPr>
            </w:pPr>
          </w:p>
        </w:tc>
        <w:tc>
          <w:tcPr>
            <w:tcW w:w="1212" w:type="dxa"/>
            <w:gridSpan w:val="2"/>
            <w:vMerge/>
            <w:tcBorders>
              <w:right w:val="single" w:sz="8" w:space="0" w:color="auto"/>
            </w:tcBorders>
            <w:shd w:val="clear" w:color="auto" w:fill="auto"/>
            <w:vAlign w:val="bottom"/>
          </w:tcPr>
          <w:p w14:paraId="7C64C411" w14:textId="77777777" w:rsidR="00A52778" w:rsidRPr="00460F9E" w:rsidRDefault="00A52778" w:rsidP="00FC3F8E">
            <w:pPr>
              <w:spacing w:line="219" w:lineRule="exact"/>
              <w:ind w:left="80"/>
              <w:rPr>
                <w:rFonts w:eastAsia="Times New Roman" w:cs="Times New Roman"/>
                <w:b/>
              </w:rPr>
            </w:pPr>
          </w:p>
        </w:tc>
        <w:tc>
          <w:tcPr>
            <w:tcW w:w="385" w:type="dxa"/>
            <w:tcBorders>
              <w:left w:val="single" w:sz="8" w:space="0" w:color="auto"/>
            </w:tcBorders>
            <w:shd w:val="clear" w:color="auto" w:fill="auto"/>
            <w:vAlign w:val="bottom"/>
          </w:tcPr>
          <w:p w14:paraId="40C2BB95" w14:textId="77777777" w:rsidR="00A52778" w:rsidRPr="00460F9E" w:rsidRDefault="00A52778" w:rsidP="00FC3F8E">
            <w:pPr>
              <w:spacing w:line="0" w:lineRule="atLeast"/>
              <w:rPr>
                <w:rFonts w:eastAsia="Times New Roman" w:cs="Times New Roman"/>
                <w:b/>
              </w:rPr>
            </w:pPr>
          </w:p>
        </w:tc>
        <w:tc>
          <w:tcPr>
            <w:tcW w:w="20" w:type="dxa"/>
            <w:shd w:val="clear" w:color="auto" w:fill="auto"/>
            <w:vAlign w:val="bottom"/>
          </w:tcPr>
          <w:p w14:paraId="09A32344" w14:textId="77777777" w:rsidR="00A52778" w:rsidRPr="00460F9E" w:rsidRDefault="00A52778" w:rsidP="00FC3F8E">
            <w:pPr>
              <w:spacing w:line="0" w:lineRule="atLeast"/>
              <w:rPr>
                <w:rFonts w:eastAsia="Times New Roman" w:cs="Times New Roman"/>
                <w:b/>
              </w:rPr>
            </w:pPr>
          </w:p>
        </w:tc>
        <w:tc>
          <w:tcPr>
            <w:tcW w:w="3214" w:type="dxa"/>
            <w:gridSpan w:val="11"/>
            <w:vMerge w:val="restart"/>
            <w:tcBorders>
              <w:right w:val="single" w:sz="8" w:space="0" w:color="auto"/>
            </w:tcBorders>
            <w:shd w:val="clear" w:color="auto" w:fill="auto"/>
            <w:vAlign w:val="bottom"/>
          </w:tcPr>
          <w:p w14:paraId="528C9CE7" w14:textId="77777777" w:rsidR="00A52778" w:rsidRPr="00460F9E" w:rsidRDefault="00A52778" w:rsidP="00FC3F8E">
            <w:pPr>
              <w:spacing w:line="0" w:lineRule="atLeast"/>
              <w:ind w:right="40"/>
              <w:rPr>
                <w:rFonts w:eastAsia="Times New Roman" w:cs="Times New Roman"/>
                <w:b/>
              </w:rPr>
            </w:pPr>
            <w:r w:rsidRPr="00460F9E">
              <w:rPr>
                <w:rFonts w:eastAsia="Times New Roman" w:cs="Times New Roman"/>
              </w:rPr>
              <w:t xml:space="preserve">- reaktör ve kap ağızlarının açık </w:t>
            </w:r>
          </w:p>
          <w:p w14:paraId="776C2268" w14:textId="77777777" w:rsidR="00A52778" w:rsidRPr="00460F9E" w:rsidRDefault="00A52778" w:rsidP="00FC3F8E">
            <w:pPr>
              <w:spacing w:line="0" w:lineRule="atLeast"/>
              <w:ind w:right="40"/>
              <w:rPr>
                <w:rFonts w:eastAsia="Times New Roman" w:cs="Times New Roman"/>
                <w:b/>
              </w:rPr>
            </w:pPr>
            <w:r w:rsidRPr="00460F9E">
              <w:rPr>
                <w:rFonts w:eastAsia="Times New Roman" w:cs="Times New Roman"/>
              </w:rPr>
              <w:t xml:space="preserve">  bırakılma sıklığının ve süresinin </w:t>
            </w:r>
          </w:p>
          <w:p w14:paraId="0A70DD7B" w14:textId="77777777" w:rsidR="00A52778" w:rsidRPr="00460F9E" w:rsidRDefault="00A52778" w:rsidP="00FC3F8E">
            <w:pPr>
              <w:spacing w:line="0" w:lineRule="atLeast"/>
              <w:ind w:right="40"/>
              <w:rPr>
                <w:rFonts w:eastAsia="Times New Roman" w:cs="Times New Roman"/>
                <w:b/>
              </w:rPr>
            </w:pPr>
            <w:r w:rsidRPr="00460F9E">
              <w:rPr>
                <w:rFonts w:eastAsia="Times New Roman" w:cs="Times New Roman"/>
              </w:rPr>
              <w:t xml:space="preserve">  azaltılması; ekipmanların astarlanması </w:t>
            </w:r>
          </w:p>
          <w:p w14:paraId="26ED682A" w14:textId="77777777" w:rsidR="00A52778" w:rsidRPr="00460F9E" w:rsidRDefault="00A52778" w:rsidP="00FC3F8E">
            <w:pPr>
              <w:spacing w:line="0" w:lineRule="atLeast"/>
              <w:ind w:right="40"/>
              <w:rPr>
                <w:rFonts w:eastAsia="Times New Roman" w:cs="Times New Roman"/>
                <w:b/>
              </w:rPr>
            </w:pPr>
            <w:r w:rsidRPr="00460F9E">
              <w:rPr>
                <w:rFonts w:eastAsia="Times New Roman" w:cs="Times New Roman"/>
              </w:rPr>
              <w:t xml:space="preserve">  veya kaplanması, boruların boyanması </w:t>
            </w:r>
          </w:p>
          <w:p w14:paraId="7CC1DABC" w14:textId="77777777" w:rsidR="00A52778" w:rsidRPr="00460F9E" w:rsidRDefault="00A52778" w:rsidP="00FC3F8E">
            <w:pPr>
              <w:spacing w:line="0" w:lineRule="atLeast"/>
              <w:ind w:right="40"/>
              <w:rPr>
                <w:rFonts w:eastAsia="Times New Roman" w:cs="Times New Roman"/>
                <w:b/>
              </w:rPr>
            </w:pPr>
            <w:r w:rsidRPr="00460F9E">
              <w:rPr>
                <w:rFonts w:eastAsia="Times New Roman" w:cs="Times New Roman"/>
              </w:rPr>
              <w:t xml:space="preserve">  (dış korozyon için) ve ekipmanla temas </w:t>
            </w:r>
          </w:p>
          <w:p w14:paraId="33F16971" w14:textId="77777777" w:rsidR="00A52778" w:rsidRPr="00460F9E" w:rsidRDefault="00A52778" w:rsidP="00FC3F8E">
            <w:pPr>
              <w:spacing w:line="0" w:lineRule="atLeast"/>
              <w:ind w:right="40"/>
              <w:rPr>
                <w:rFonts w:eastAsia="Times New Roman" w:cs="Times New Roman"/>
                <w:b/>
              </w:rPr>
            </w:pPr>
            <w:r w:rsidRPr="00460F9E">
              <w:rPr>
                <w:rFonts w:eastAsia="Times New Roman" w:cs="Times New Roman"/>
              </w:rPr>
              <w:t xml:space="preserve">  eden malzemeler için korozyon </w:t>
            </w:r>
          </w:p>
          <w:p w14:paraId="4F66D35D" w14:textId="77777777" w:rsidR="00A52778" w:rsidRPr="00460F9E" w:rsidRDefault="00A52778" w:rsidP="00FC3F8E">
            <w:pPr>
              <w:spacing w:line="0" w:lineRule="atLeast"/>
              <w:ind w:right="40"/>
              <w:rPr>
                <w:rFonts w:eastAsia="Times New Roman" w:cs="Times New Roman"/>
                <w:b/>
              </w:rPr>
            </w:pPr>
            <w:r w:rsidRPr="00460F9E">
              <w:rPr>
                <w:rFonts w:eastAsia="Times New Roman" w:cs="Times New Roman"/>
              </w:rPr>
              <w:t xml:space="preserve">  inhibitörlerinin kullanılması yoluyla </w:t>
            </w:r>
          </w:p>
          <w:p w14:paraId="36C78348" w14:textId="77777777" w:rsidR="00A52778" w:rsidRPr="00460F9E" w:rsidRDefault="00A52778" w:rsidP="00FC3F8E">
            <w:pPr>
              <w:spacing w:line="0" w:lineRule="atLeast"/>
              <w:ind w:right="40"/>
              <w:rPr>
                <w:rFonts w:eastAsia="Times New Roman" w:cs="Times New Roman"/>
                <w:b/>
              </w:rPr>
            </w:pPr>
            <w:r w:rsidRPr="00460F9E">
              <w:rPr>
                <w:rFonts w:eastAsia="Times New Roman" w:cs="Times New Roman"/>
              </w:rPr>
              <w:t xml:space="preserve">  paslanmanın önlenmesi.</w:t>
            </w:r>
          </w:p>
        </w:tc>
        <w:tc>
          <w:tcPr>
            <w:tcW w:w="980" w:type="dxa"/>
            <w:tcBorders>
              <w:right w:val="single" w:sz="8" w:space="0" w:color="auto"/>
            </w:tcBorders>
            <w:shd w:val="clear" w:color="auto" w:fill="auto"/>
            <w:vAlign w:val="bottom"/>
          </w:tcPr>
          <w:p w14:paraId="1F043B99" w14:textId="77777777" w:rsidR="00A52778" w:rsidRPr="00460F9E" w:rsidRDefault="00A52778" w:rsidP="00FC3F8E">
            <w:pPr>
              <w:spacing w:line="0" w:lineRule="atLeast"/>
              <w:rPr>
                <w:rFonts w:eastAsia="Times New Roman" w:cs="Times New Roman"/>
                <w:b/>
              </w:rPr>
            </w:pPr>
          </w:p>
        </w:tc>
        <w:tc>
          <w:tcPr>
            <w:tcW w:w="2596" w:type="dxa"/>
            <w:gridSpan w:val="6"/>
            <w:vMerge/>
            <w:tcBorders>
              <w:right w:val="single" w:sz="8" w:space="0" w:color="auto"/>
            </w:tcBorders>
            <w:shd w:val="clear" w:color="auto" w:fill="auto"/>
            <w:vAlign w:val="bottom"/>
          </w:tcPr>
          <w:p w14:paraId="006F1947" w14:textId="77777777" w:rsidR="00A52778" w:rsidRPr="00460F9E" w:rsidRDefault="00A52778" w:rsidP="00FC3F8E">
            <w:pPr>
              <w:spacing w:line="0" w:lineRule="atLeast"/>
              <w:rPr>
                <w:rFonts w:eastAsia="Times New Roman" w:cs="Times New Roman"/>
                <w:b/>
              </w:rPr>
            </w:pPr>
          </w:p>
        </w:tc>
      </w:tr>
      <w:tr w:rsidR="00A52778" w:rsidRPr="00460F9E" w14:paraId="32C92A1C" w14:textId="77777777" w:rsidTr="00FC3F8E">
        <w:trPr>
          <w:gridAfter w:val="1"/>
          <w:wAfter w:w="347" w:type="dxa"/>
          <w:trHeight w:val="259"/>
        </w:trPr>
        <w:tc>
          <w:tcPr>
            <w:tcW w:w="386" w:type="dxa"/>
            <w:tcBorders>
              <w:left w:val="single" w:sz="8" w:space="0" w:color="auto"/>
              <w:right w:val="single" w:sz="8" w:space="0" w:color="auto"/>
            </w:tcBorders>
            <w:shd w:val="clear" w:color="auto" w:fill="auto"/>
            <w:vAlign w:val="bottom"/>
          </w:tcPr>
          <w:p w14:paraId="6DE91C34" w14:textId="77777777" w:rsidR="00A52778" w:rsidRPr="00460F9E" w:rsidRDefault="00A52778" w:rsidP="00FC3F8E">
            <w:pPr>
              <w:spacing w:line="0" w:lineRule="atLeast"/>
              <w:rPr>
                <w:rFonts w:eastAsia="Times New Roman" w:cs="Times New Roman"/>
                <w:b/>
              </w:rPr>
            </w:pPr>
          </w:p>
        </w:tc>
        <w:tc>
          <w:tcPr>
            <w:tcW w:w="1212" w:type="dxa"/>
            <w:gridSpan w:val="2"/>
            <w:vMerge/>
            <w:tcBorders>
              <w:right w:val="single" w:sz="8" w:space="0" w:color="auto"/>
            </w:tcBorders>
            <w:shd w:val="clear" w:color="auto" w:fill="auto"/>
            <w:vAlign w:val="bottom"/>
          </w:tcPr>
          <w:p w14:paraId="22EBD84D" w14:textId="77777777" w:rsidR="00A52778" w:rsidRPr="00460F9E" w:rsidRDefault="00A52778" w:rsidP="00FC3F8E">
            <w:pPr>
              <w:spacing w:line="219" w:lineRule="exact"/>
              <w:ind w:left="80"/>
              <w:rPr>
                <w:rFonts w:eastAsia="Times New Roman" w:cs="Times New Roman"/>
                <w:b/>
              </w:rPr>
            </w:pPr>
          </w:p>
        </w:tc>
        <w:tc>
          <w:tcPr>
            <w:tcW w:w="385" w:type="dxa"/>
            <w:shd w:val="clear" w:color="auto" w:fill="auto"/>
            <w:vAlign w:val="bottom"/>
          </w:tcPr>
          <w:p w14:paraId="4CD5BA8B" w14:textId="77777777" w:rsidR="00A52778" w:rsidRPr="00460F9E" w:rsidRDefault="00A52778" w:rsidP="00FC3F8E">
            <w:pPr>
              <w:spacing w:line="0" w:lineRule="atLeast"/>
              <w:rPr>
                <w:rFonts w:eastAsia="Times New Roman" w:cs="Times New Roman"/>
                <w:b/>
              </w:rPr>
            </w:pPr>
          </w:p>
        </w:tc>
        <w:tc>
          <w:tcPr>
            <w:tcW w:w="20" w:type="dxa"/>
            <w:shd w:val="clear" w:color="auto" w:fill="auto"/>
            <w:vAlign w:val="bottom"/>
          </w:tcPr>
          <w:p w14:paraId="3E6245A8" w14:textId="77777777" w:rsidR="00A52778" w:rsidRPr="00460F9E" w:rsidRDefault="00A52778" w:rsidP="00FC3F8E">
            <w:pPr>
              <w:spacing w:line="0" w:lineRule="atLeast"/>
              <w:rPr>
                <w:rFonts w:eastAsia="Times New Roman" w:cs="Times New Roman"/>
                <w:b/>
              </w:rPr>
            </w:pPr>
          </w:p>
        </w:tc>
        <w:tc>
          <w:tcPr>
            <w:tcW w:w="3214" w:type="dxa"/>
            <w:gridSpan w:val="11"/>
            <w:vMerge/>
            <w:tcBorders>
              <w:right w:val="single" w:sz="8" w:space="0" w:color="auto"/>
            </w:tcBorders>
            <w:shd w:val="clear" w:color="auto" w:fill="auto"/>
            <w:vAlign w:val="bottom"/>
          </w:tcPr>
          <w:p w14:paraId="5B170BBB" w14:textId="77777777" w:rsidR="00A52778" w:rsidRPr="00460F9E" w:rsidRDefault="00A52778" w:rsidP="00FC3F8E">
            <w:pPr>
              <w:spacing w:line="0" w:lineRule="atLeast"/>
              <w:ind w:right="40"/>
              <w:jc w:val="right"/>
              <w:rPr>
                <w:rFonts w:eastAsia="Times New Roman" w:cs="Times New Roman"/>
                <w:b/>
              </w:rPr>
            </w:pPr>
          </w:p>
        </w:tc>
        <w:tc>
          <w:tcPr>
            <w:tcW w:w="980" w:type="dxa"/>
            <w:vMerge w:val="restart"/>
            <w:tcBorders>
              <w:left w:val="single" w:sz="8" w:space="0" w:color="auto"/>
              <w:right w:val="single" w:sz="8" w:space="0" w:color="auto"/>
            </w:tcBorders>
            <w:shd w:val="clear" w:color="auto" w:fill="auto"/>
            <w:vAlign w:val="center"/>
          </w:tcPr>
          <w:p w14:paraId="1E29ECA3"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Kaçak olmayan emisyonlar</w:t>
            </w:r>
          </w:p>
        </w:tc>
        <w:tc>
          <w:tcPr>
            <w:tcW w:w="2596" w:type="dxa"/>
            <w:gridSpan w:val="6"/>
            <w:vMerge/>
            <w:tcBorders>
              <w:right w:val="single" w:sz="8" w:space="0" w:color="auto"/>
            </w:tcBorders>
            <w:shd w:val="clear" w:color="auto" w:fill="auto"/>
            <w:vAlign w:val="bottom"/>
          </w:tcPr>
          <w:p w14:paraId="4967EBAD" w14:textId="77777777" w:rsidR="00A52778" w:rsidRPr="00460F9E" w:rsidRDefault="00A52778" w:rsidP="00FC3F8E">
            <w:pPr>
              <w:spacing w:line="0" w:lineRule="atLeast"/>
              <w:rPr>
                <w:rFonts w:eastAsia="Times New Roman" w:cs="Times New Roman"/>
                <w:b/>
              </w:rPr>
            </w:pPr>
          </w:p>
        </w:tc>
      </w:tr>
      <w:tr w:rsidR="00A52778" w:rsidRPr="00460F9E" w14:paraId="1DF0EE30" w14:textId="77777777" w:rsidTr="00FC3F8E">
        <w:trPr>
          <w:gridAfter w:val="1"/>
          <w:wAfter w:w="347" w:type="dxa"/>
          <w:trHeight w:val="115"/>
        </w:trPr>
        <w:tc>
          <w:tcPr>
            <w:tcW w:w="386" w:type="dxa"/>
            <w:tcBorders>
              <w:left w:val="single" w:sz="8" w:space="0" w:color="auto"/>
              <w:right w:val="single" w:sz="8" w:space="0" w:color="auto"/>
            </w:tcBorders>
            <w:shd w:val="clear" w:color="auto" w:fill="auto"/>
            <w:vAlign w:val="bottom"/>
          </w:tcPr>
          <w:p w14:paraId="6A613AFA" w14:textId="77777777" w:rsidR="00A52778" w:rsidRPr="00460F9E" w:rsidRDefault="00A52778" w:rsidP="00FC3F8E">
            <w:pPr>
              <w:spacing w:line="0" w:lineRule="atLeast"/>
              <w:rPr>
                <w:rFonts w:eastAsia="Times New Roman" w:cs="Times New Roman"/>
                <w:b/>
                <w:sz w:val="10"/>
              </w:rPr>
            </w:pPr>
          </w:p>
        </w:tc>
        <w:tc>
          <w:tcPr>
            <w:tcW w:w="1212" w:type="dxa"/>
            <w:gridSpan w:val="2"/>
            <w:vMerge/>
            <w:tcBorders>
              <w:right w:val="single" w:sz="8" w:space="0" w:color="auto"/>
            </w:tcBorders>
            <w:shd w:val="clear" w:color="auto" w:fill="auto"/>
            <w:vAlign w:val="bottom"/>
          </w:tcPr>
          <w:p w14:paraId="2F207B9D" w14:textId="77777777" w:rsidR="00A52778" w:rsidRPr="00460F9E" w:rsidRDefault="00A52778" w:rsidP="00FC3F8E">
            <w:pPr>
              <w:spacing w:line="219" w:lineRule="exact"/>
              <w:ind w:left="80"/>
              <w:rPr>
                <w:rFonts w:eastAsia="Times New Roman" w:cs="Times New Roman"/>
                <w:b/>
              </w:rPr>
            </w:pPr>
          </w:p>
        </w:tc>
        <w:tc>
          <w:tcPr>
            <w:tcW w:w="385" w:type="dxa"/>
            <w:shd w:val="clear" w:color="auto" w:fill="auto"/>
            <w:vAlign w:val="bottom"/>
          </w:tcPr>
          <w:p w14:paraId="0C32F401" w14:textId="77777777" w:rsidR="00A52778" w:rsidRPr="00460F9E" w:rsidRDefault="00A52778" w:rsidP="00FC3F8E">
            <w:pPr>
              <w:spacing w:line="0" w:lineRule="atLeast"/>
              <w:rPr>
                <w:rFonts w:eastAsia="Times New Roman" w:cs="Times New Roman"/>
                <w:b/>
                <w:sz w:val="10"/>
              </w:rPr>
            </w:pPr>
          </w:p>
        </w:tc>
        <w:tc>
          <w:tcPr>
            <w:tcW w:w="20" w:type="dxa"/>
            <w:vMerge w:val="restart"/>
            <w:shd w:val="clear" w:color="auto" w:fill="auto"/>
            <w:vAlign w:val="bottom"/>
          </w:tcPr>
          <w:p w14:paraId="19C78629" w14:textId="77777777" w:rsidR="00A52778" w:rsidRPr="00460F9E" w:rsidRDefault="00A52778" w:rsidP="00FC3F8E">
            <w:pPr>
              <w:spacing w:line="0" w:lineRule="atLeast"/>
              <w:rPr>
                <w:rFonts w:eastAsia="Times New Roman" w:cs="Times New Roman"/>
                <w:b/>
                <w:sz w:val="10"/>
              </w:rPr>
            </w:pPr>
          </w:p>
        </w:tc>
        <w:tc>
          <w:tcPr>
            <w:tcW w:w="3214" w:type="dxa"/>
            <w:gridSpan w:val="11"/>
            <w:vMerge/>
            <w:tcBorders>
              <w:right w:val="single" w:sz="8" w:space="0" w:color="auto"/>
            </w:tcBorders>
            <w:shd w:val="clear" w:color="auto" w:fill="auto"/>
            <w:vAlign w:val="bottom"/>
          </w:tcPr>
          <w:p w14:paraId="1672846D" w14:textId="77777777" w:rsidR="00A52778" w:rsidRPr="00460F9E" w:rsidRDefault="00A52778" w:rsidP="00FC3F8E">
            <w:pPr>
              <w:spacing w:line="0" w:lineRule="atLeast"/>
              <w:ind w:right="40"/>
              <w:jc w:val="right"/>
              <w:rPr>
                <w:rFonts w:eastAsia="Times New Roman" w:cs="Times New Roman"/>
                <w:b/>
              </w:rPr>
            </w:pPr>
          </w:p>
        </w:tc>
        <w:tc>
          <w:tcPr>
            <w:tcW w:w="980" w:type="dxa"/>
            <w:vMerge/>
            <w:tcBorders>
              <w:left w:val="single" w:sz="8" w:space="0" w:color="auto"/>
              <w:right w:val="single" w:sz="8" w:space="0" w:color="auto"/>
            </w:tcBorders>
            <w:shd w:val="clear" w:color="auto" w:fill="auto"/>
            <w:vAlign w:val="bottom"/>
          </w:tcPr>
          <w:p w14:paraId="424EFF8C" w14:textId="77777777" w:rsidR="00A52778" w:rsidRPr="00460F9E" w:rsidRDefault="00A52778" w:rsidP="00FC3F8E">
            <w:pPr>
              <w:spacing w:line="0" w:lineRule="atLeast"/>
              <w:jc w:val="center"/>
              <w:rPr>
                <w:rFonts w:eastAsia="Times New Roman" w:cs="Times New Roman"/>
                <w:b/>
                <w:sz w:val="10"/>
              </w:rPr>
            </w:pPr>
          </w:p>
        </w:tc>
        <w:tc>
          <w:tcPr>
            <w:tcW w:w="2596" w:type="dxa"/>
            <w:gridSpan w:val="6"/>
            <w:vMerge/>
            <w:tcBorders>
              <w:right w:val="single" w:sz="8" w:space="0" w:color="auto"/>
            </w:tcBorders>
            <w:shd w:val="clear" w:color="auto" w:fill="auto"/>
            <w:vAlign w:val="bottom"/>
          </w:tcPr>
          <w:p w14:paraId="6BAE6F4E" w14:textId="77777777" w:rsidR="00A52778" w:rsidRPr="00460F9E" w:rsidRDefault="00A52778" w:rsidP="00FC3F8E">
            <w:pPr>
              <w:spacing w:line="0" w:lineRule="atLeast"/>
              <w:rPr>
                <w:rFonts w:eastAsia="Times New Roman" w:cs="Times New Roman"/>
                <w:b/>
                <w:sz w:val="10"/>
              </w:rPr>
            </w:pPr>
          </w:p>
        </w:tc>
      </w:tr>
      <w:tr w:rsidR="00A52778" w:rsidRPr="00460F9E" w14:paraId="054DB36C" w14:textId="77777777" w:rsidTr="00FC3F8E">
        <w:trPr>
          <w:gridAfter w:val="1"/>
          <w:wAfter w:w="347" w:type="dxa"/>
          <w:trHeight w:val="126"/>
        </w:trPr>
        <w:tc>
          <w:tcPr>
            <w:tcW w:w="386" w:type="dxa"/>
            <w:vMerge w:val="restart"/>
            <w:tcBorders>
              <w:left w:val="single" w:sz="8" w:space="0" w:color="auto"/>
              <w:right w:val="single" w:sz="8" w:space="0" w:color="auto"/>
            </w:tcBorders>
            <w:shd w:val="clear" w:color="auto" w:fill="auto"/>
            <w:vAlign w:val="bottom"/>
          </w:tcPr>
          <w:p w14:paraId="3EEE5BD0" w14:textId="77777777" w:rsidR="00A52778" w:rsidRPr="00460F9E" w:rsidRDefault="00A52778" w:rsidP="00FC3F8E">
            <w:pPr>
              <w:spacing w:line="0" w:lineRule="atLeast"/>
              <w:ind w:left="120"/>
              <w:rPr>
                <w:rFonts w:eastAsia="Times New Roman" w:cs="Times New Roman"/>
                <w:b/>
              </w:rPr>
            </w:pPr>
            <w:r>
              <w:rPr>
                <w:rFonts w:eastAsia="Times New Roman" w:cs="Times New Roman"/>
              </w:rPr>
              <w:t>g</w:t>
            </w:r>
            <w:r w:rsidRPr="00460F9E">
              <w:rPr>
                <w:rFonts w:eastAsia="Times New Roman" w:cs="Times New Roman"/>
              </w:rPr>
              <w:t>.</w:t>
            </w:r>
          </w:p>
        </w:tc>
        <w:tc>
          <w:tcPr>
            <w:tcW w:w="1212" w:type="dxa"/>
            <w:gridSpan w:val="2"/>
            <w:vMerge/>
            <w:tcBorders>
              <w:right w:val="single" w:sz="8" w:space="0" w:color="auto"/>
            </w:tcBorders>
            <w:shd w:val="clear" w:color="auto" w:fill="auto"/>
            <w:vAlign w:val="bottom"/>
          </w:tcPr>
          <w:p w14:paraId="59451320" w14:textId="77777777" w:rsidR="00A52778" w:rsidRPr="00460F9E" w:rsidRDefault="00A52778" w:rsidP="00FC3F8E">
            <w:pPr>
              <w:spacing w:line="219" w:lineRule="exact"/>
              <w:ind w:left="80"/>
              <w:rPr>
                <w:rFonts w:eastAsia="Times New Roman" w:cs="Times New Roman"/>
                <w:b/>
                <w:sz w:val="10"/>
              </w:rPr>
            </w:pPr>
          </w:p>
        </w:tc>
        <w:tc>
          <w:tcPr>
            <w:tcW w:w="385" w:type="dxa"/>
            <w:shd w:val="clear" w:color="auto" w:fill="auto"/>
            <w:vAlign w:val="bottom"/>
          </w:tcPr>
          <w:p w14:paraId="49FBA74A" w14:textId="77777777" w:rsidR="00A52778" w:rsidRPr="00460F9E" w:rsidRDefault="00A52778" w:rsidP="00FC3F8E">
            <w:pPr>
              <w:spacing w:line="0" w:lineRule="atLeast"/>
              <w:rPr>
                <w:rFonts w:eastAsia="Times New Roman" w:cs="Times New Roman"/>
                <w:b/>
                <w:sz w:val="10"/>
              </w:rPr>
            </w:pPr>
          </w:p>
        </w:tc>
        <w:tc>
          <w:tcPr>
            <w:tcW w:w="20" w:type="dxa"/>
            <w:vMerge/>
            <w:shd w:val="clear" w:color="auto" w:fill="auto"/>
            <w:vAlign w:val="bottom"/>
          </w:tcPr>
          <w:p w14:paraId="564D949A" w14:textId="77777777" w:rsidR="00A52778" w:rsidRPr="00460F9E" w:rsidRDefault="00A52778" w:rsidP="00FC3F8E">
            <w:pPr>
              <w:spacing w:line="0" w:lineRule="atLeast"/>
              <w:rPr>
                <w:rFonts w:eastAsia="Times New Roman" w:cs="Times New Roman"/>
                <w:b/>
                <w:sz w:val="10"/>
              </w:rPr>
            </w:pPr>
          </w:p>
        </w:tc>
        <w:tc>
          <w:tcPr>
            <w:tcW w:w="3214" w:type="dxa"/>
            <w:gridSpan w:val="11"/>
            <w:vMerge/>
            <w:tcBorders>
              <w:right w:val="single" w:sz="8" w:space="0" w:color="auto"/>
            </w:tcBorders>
            <w:shd w:val="clear" w:color="auto" w:fill="auto"/>
            <w:vAlign w:val="bottom"/>
          </w:tcPr>
          <w:p w14:paraId="794AC629" w14:textId="77777777" w:rsidR="00A52778" w:rsidRPr="00460F9E" w:rsidRDefault="00A52778" w:rsidP="00FC3F8E">
            <w:pPr>
              <w:spacing w:line="0" w:lineRule="atLeast"/>
              <w:ind w:right="40"/>
              <w:jc w:val="right"/>
              <w:rPr>
                <w:rFonts w:eastAsia="Times New Roman" w:cs="Times New Roman"/>
                <w:b/>
                <w:sz w:val="10"/>
              </w:rPr>
            </w:pPr>
          </w:p>
        </w:tc>
        <w:tc>
          <w:tcPr>
            <w:tcW w:w="980" w:type="dxa"/>
            <w:vMerge/>
            <w:tcBorders>
              <w:left w:val="single" w:sz="8" w:space="0" w:color="auto"/>
              <w:right w:val="single" w:sz="8" w:space="0" w:color="auto"/>
            </w:tcBorders>
            <w:shd w:val="clear" w:color="auto" w:fill="auto"/>
            <w:vAlign w:val="bottom"/>
          </w:tcPr>
          <w:p w14:paraId="44A11A84" w14:textId="77777777" w:rsidR="00A52778" w:rsidRPr="00460F9E" w:rsidRDefault="00A52778" w:rsidP="00FC3F8E">
            <w:pPr>
              <w:spacing w:line="0" w:lineRule="atLeast"/>
              <w:jc w:val="center"/>
              <w:rPr>
                <w:rFonts w:eastAsia="Times New Roman" w:cs="Times New Roman"/>
                <w:b/>
                <w:w w:val="99"/>
              </w:rPr>
            </w:pPr>
          </w:p>
        </w:tc>
        <w:tc>
          <w:tcPr>
            <w:tcW w:w="2596" w:type="dxa"/>
            <w:gridSpan w:val="6"/>
            <w:vMerge/>
            <w:tcBorders>
              <w:right w:val="single" w:sz="8" w:space="0" w:color="auto"/>
            </w:tcBorders>
            <w:shd w:val="clear" w:color="auto" w:fill="auto"/>
            <w:vAlign w:val="bottom"/>
          </w:tcPr>
          <w:p w14:paraId="73830B19" w14:textId="77777777" w:rsidR="00A52778" w:rsidRPr="00460F9E" w:rsidRDefault="00A52778" w:rsidP="00FC3F8E">
            <w:pPr>
              <w:spacing w:line="0" w:lineRule="atLeast"/>
              <w:rPr>
                <w:rFonts w:eastAsia="Times New Roman" w:cs="Times New Roman"/>
                <w:b/>
                <w:sz w:val="10"/>
              </w:rPr>
            </w:pPr>
          </w:p>
        </w:tc>
      </w:tr>
      <w:tr w:rsidR="00A52778" w:rsidRPr="00460F9E" w14:paraId="245F397F" w14:textId="77777777" w:rsidTr="00FC3F8E">
        <w:trPr>
          <w:gridAfter w:val="1"/>
          <w:wAfter w:w="347" w:type="dxa"/>
          <w:trHeight w:val="104"/>
        </w:trPr>
        <w:tc>
          <w:tcPr>
            <w:tcW w:w="386" w:type="dxa"/>
            <w:vMerge/>
            <w:tcBorders>
              <w:left w:val="single" w:sz="8" w:space="0" w:color="auto"/>
              <w:right w:val="single" w:sz="8" w:space="0" w:color="auto"/>
            </w:tcBorders>
            <w:shd w:val="clear" w:color="auto" w:fill="auto"/>
            <w:vAlign w:val="bottom"/>
          </w:tcPr>
          <w:p w14:paraId="10E8FB19" w14:textId="77777777" w:rsidR="00A52778" w:rsidRPr="00460F9E" w:rsidRDefault="00A52778" w:rsidP="00FC3F8E">
            <w:pPr>
              <w:spacing w:line="0" w:lineRule="atLeast"/>
              <w:rPr>
                <w:rFonts w:eastAsia="Times New Roman" w:cs="Times New Roman"/>
                <w:b/>
                <w:sz w:val="9"/>
              </w:rPr>
            </w:pPr>
          </w:p>
        </w:tc>
        <w:tc>
          <w:tcPr>
            <w:tcW w:w="1212" w:type="dxa"/>
            <w:gridSpan w:val="2"/>
            <w:vMerge/>
            <w:tcBorders>
              <w:right w:val="single" w:sz="8" w:space="0" w:color="auto"/>
            </w:tcBorders>
            <w:shd w:val="clear" w:color="auto" w:fill="auto"/>
            <w:vAlign w:val="bottom"/>
          </w:tcPr>
          <w:p w14:paraId="54F59EC9" w14:textId="77777777" w:rsidR="00A52778" w:rsidRPr="00460F9E" w:rsidRDefault="00A52778" w:rsidP="00FC3F8E">
            <w:pPr>
              <w:spacing w:line="219" w:lineRule="exact"/>
              <w:ind w:left="80"/>
              <w:rPr>
                <w:rFonts w:eastAsia="Times New Roman" w:cs="Times New Roman"/>
                <w:b/>
              </w:rPr>
            </w:pPr>
          </w:p>
        </w:tc>
        <w:tc>
          <w:tcPr>
            <w:tcW w:w="385" w:type="dxa"/>
            <w:shd w:val="clear" w:color="auto" w:fill="auto"/>
            <w:vAlign w:val="bottom"/>
          </w:tcPr>
          <w:p w14:paraId="6DD96167" w14:textId="77777777" w:rsidR="00A52778" w:rsidRPr="00460F9E" w:rsidRDefault="00A52778" w:rsidP="00FC3F8E">
            <w:pPr>
              <w:spacing w:line="0" w:lineRule="atLeast"/>
              <w:rPr>
                <w:rFonts w:eastAsia="Times New Roman" w:cs="Times New Roman"/>
                <w:b/>
                <w:sz w:val="9"/>
              </w:rPr>
            </w:pPr>
          </w:p>
        </w:tc>
        <w:tc>
          <w:tcPr>
            <w:tcW w:w="20" w:type="dxa"/>
            <w:shd w:val="clear" w:color="auto" w:fill="auto"/>
            <w:vAlign w:val="bottom"/>
          </w:tcPr>
          <w:p w14:paraId="477AAB32" w14:textId="77777777" w:rsidR="00A52778" w:rsidRPr="00460F9E" w:rsidRDefault="00A52778" w:rsidP="00FC3F8E">
            <w:pPr>
              <w:spacing w:line="0" w:lineRule="atLeast"/>
              <w:rPr>
                <w:rFonts w:eastAsia="Times New Roman" w:cs="Times New Roman"/>
                <w:b/>
                <w:sz w:val="9"/>
              </w:rPr>
            </w:pPr>
          </w:p>
        </w:tc>
        <w:tc>
          <w:tcPr>
            <w:tcW w:w="3214" w:type="dxa"/>
            <w:gridSpan w:val="11"/>
            <w:vMerge/>
            <w:tcBorders>
              <w:right w:val="single" w:sz="8" w:space="0" w:color="auto"/>
            </w:tcBorders>
            <w:shd w:val="clear" w:color="auto" w:fill="auto"/>
            <w:vAlign w:val="bottom"/>
          </w:tcPr>
          <w:p w14:paraId="480683E4" w14:textId="77777777" w:rsidR="00A52778" w:rsidRPr="00460F9E" w:rsidRDefault="00A52778" w:rsidP="00FC3F8E">
            <w:pPr>
              <w:spacing w:line="0" w:lineRule="atLeast"/>
              <w:ind w:right="40"/>
              <w:jc w:val="right"/>
              <w:rPr>
                <w:rFonts w:eastAsia="Times New Roman" w:cs="Times New Roman"/>
                <w:b/>
              </w:rPr>
            </w:pPr>
          </w:p>
        </w:tc>
        <w:tc>
          <w:tcPr>
            <w:tcW w:w="980" w:type="dxa"/>
            <w:vMerge/>
            <w:tcBorders>
              <w:left w:val="single" w:sz="8" w:space="0" w:color="auto"/>
              <w:right w:val="single" w:sz="8" w:space="0" w:color="auto"/>
            </w:tcBorders>
            <w:shd w:val="clear" w:color="auto" w:fill="auto"/>
            <w:vAlign w:val="bottom"/>
          </w:tcPr>
          <w:p w14:paraId="3CFE9CCB" w14:textId="77777777" w:rsidR="00A52778" w:rsidRPr="00460F9E" w:rsidRDefault="00A52778" w:rsidP="00FC3F8E">
            <w:pPr>
              <w:spacing w:line="0" w:lineRule="atLeast"/>
              <w:jc w:val="center"/>
              <w:rPr>
                <w:rFonts w:eastAsia="Times New Roman" w:cs="Times New Roman"/>
                <w:b/>
                <w:sz w:val="9"/>
              </w:rPr>
            </w:pPr>
          </w:p>
        </w:tc>
        <w:tc>
          <w:tcPr>
            <w:tcW w:w="2596" w:type="dxa"/>
            <w:gridSpan w:val="6"/>
            <w:vMerge/>
            <w:tcBorders>
              <w:right w:val="single" w:sz="8" w:space="0" w:color="auto"/>
            </w:tcBorders>
            <w:shd w:val="clear" w:color="auto" w:fill="auto"/>
            <w:vAlign w:val="bottom"/>
          </w:tcPr>
          <w:p w14:paraId="0ED1DEDB" w14:textId="77777777" w:rsidR="00A52778" w:rsidRPr="00460F9E" w:rsidRDefault="00A52778" w:rsidP="00FC3F8E">
            <w:pPr>
              <w:spacing w:line="0" w:lineRule="atLeast"/>
              <w:rPr>
                <w:rFonts w:eastAsia="Times New Roman" w:cs="Times New Roman"/>
                <w:b/>
                <w:sz w:val="9"/>
              </w:rPr>
            </w:pPr>
          </w:p>
        </w:tc>
      </w:tr>
      <w:tr w:rsidR="00A52778" w:rsidRPr="00460F9E" w14:paraId="162B31E2" w14:textId="77777777" w:rsidTr="00FC3F8E">
        <w:trPr>
          <w:gridAfter w:val="1"/>
          <w:wAfter w:w="347" w:type="dxa"/>
          <w:trHeight w:val="126"/>
        </w:trPr>
        <w:tc>
          <w:tcPr>
            <w:tcW w:w="386" w:type="dxa"/>
            <w:tcBorders>
              <w:left w:val="single" w:sz="8" w:space="0" w:color="auto"/>
              <w:right w:val="single" w:sz="8" w:space="0" w:color="auto"/>
            </w:tcBorders>
            <w:shd w:val="clear" w:color="auto" w:fill="auto"/>
            <w:vAlign w:val="bottom"/>
          </w:tcPr>
          <w:p w14:paraId="742D90FB" w14:textId="77777777" w:rsidR="00A52778" w:rsidRPr="00460F9E" w:rsidRDefault="00A52778" w:rsidP="00FC3F8E">
            <w:pPr>
              <w:spacing w:line="0" w:lineRule="atLeast"/>
              <w:rPr>
                <w:rFonts w:eastAsia="Times New Roman" w:cs="Times New Roman"/>
                <w:b/>
                <w:sz w:val="10"/>
              </w:rPr>
            </w:pPr>
          </w:p>
        </w:tc>
        <w:tc>
          <w:tcPr>
            <w:tcW w:w="1212" w:type="dxa"/>
            <w:gridSpan w:val="2"/>
            <w:vMerge/>
            <w:tcBorders>
              <w:right w:val="single" w:sz="8" w:space="0" w:color="auto"/>
            </w:tcBorders>
            <w:shd w:val="clear" w:color="auto" w:fill="auto"/>
            <w:vAlign w:val="bottom"/>
          </w:tcPr>
          <w:p w14:paraId="131FD0D7" w14:textId="77777777" w:rsidR="00A52778" w:rsidRPr="00460F9E" w:rsidRDefault="00A52778" w:rsidP="00FC3F8E">
            <w:pPr>
              <w:spacing w:line="219" w:lineRule="exact"/>
              <w:ind w:left="80"/>
              <w:rPr>
                <w:rFonts w:eastAsia="Times New Roman" w:cs="Times New Roman"/>
                <w:b/>
                <w:sz w:val="10"/>
              </w:rPr>
            </w:pPr>
          </w:p>
        </w:tc>
        <w:tc>
          <w:tcPr>
            <w:tcW w:w="385" w:type="dxa"/>
            <w:shd w:val="clear" w:color="auto" w:fill="auto"/>
            <w:vAlign w:val="bottom"/>
          </w:tcPr>
          <w:p w14:paraId="469B920F" w14:textId="77777777" w:rsidR="00A52778" w:rsidRPr="00460F9E" w:rsidRDefault="00A52778" w:rsidP="00FC3F8E">
            <w:pPr>
              <w:spacing w:line="0" w:lineRule="atLeast"/>
              <w:rPr>
                <w:rFonts w:eastAsia="Times New Roman" w:cs="Times New Roman"/>
                <w:b/>
                <w:sz w:val="10"/>
              </w:rPr>
            </w:pPr>
          </w:p>
        </w:tc>
        <w:tc>
          <w:tcPr>
            <w:tcW w:w="20" w:type="dxa"/>
            <w:shd w:val="clear" w:color="auto" w:fill="auto"/>
            <w:vAlign w:val="bottom"/>
          </w:tcPr>
          <w:p w14:paraId="593F2E00" w14:textId="77777777" w:rsidR="00A52778" w:rsidRPr="00460F9E" w:rsidRDefault="00A52778" w:rsidP="00FC3F8E">
            <w:pPr>
              <w:spacing w:line="0" w:lineRule="atLeast"/>
              <w:rPr>
                <w:rFonts w:eastAsia="Times New Roman" w:cs="Times New Roman"/>
                <w:b/>
                <w:sz w:val="10"/>
              </w:rPr>
            </w:pPr>
          </w:p>
        </w:tc>
        <w:tc>
          <w:tcPr>
            <w:tcW w:w="3214" w:type="dxa"/>
            <w:gridSpan w:val="11"/>
            <w:vMerge/>
            <w:tcBorders>
              <w:right w:val="single" w:sz="8" w:space="0" w:color="auto"/>
            </w:tcBorders>
            <w:shd w:val="clear" w:color="auto" w:fill="auto"/>
            <w:vAlign w:val="bottom"/>
          </w:tcPr>
          <w:p w14:paraId="67D4AD0F" w14:textId="77777777" w:rsidR="00A52778" w:rsidRPr="00460F9E" w:rsidRDefault="00A52778" w:rsidP="00FC3F8E">
            <w:pPr>
              <w:spacing w:line="0" w:lineRule="atLeast"/>
              <w:rPr>
                <w:rFonts w:eastAsia="Times New Roman" w:cs="Times New Roman"/>
                <w:b/>
                <w:sz w:val="10"/>
              </w:rPr>
            </w:pPr>
          </w:p>
        </w:tc>
        <w:tc>
          <w:tcPr>
            <w:tcW w:w="980" w:type="dxa"/>
            <w:vMerge/>
            <w:tcBorders>
              <w:left w:val="single" w:sz="8" w:space="0" w:color="auto"/>
              <w:right w:val="single" w:sz="8" w:space="0" w:color="auto"/>
            </w:tcBorders>
            <w:shd w:val="clear" w:color="auto" w:fill="auto"/>
            <w:vAlign w:val="bottom"/>
          </w:tcPr>
          <w:p w14:paraId="65000A57" w14:textId="77777777" w:rsidR="00A52778" w:rsidRPr="00460F9E" w:rsidRDefault="00A52778" w:rsidP="00FC3F8E">
            <w:pPr>
              <w:spacing w:line="0" w:lineRule="atLeast"/>
              <w:jc w:val="center"/>
              <w:rPr>
                <w:rFonts w:eastAsia="Times New Roman" w:cs="Times New Roman"/>
                <w:b/>
                <w:w w:val="98"/>
              </w:rPr>
            </w:pPr>
          </w:p>
        </w:tc>
        <w:tc>
          <w:tcPr>
            <w:tcW w:w="2596" w:type="dxa"/>
            <w:gridSpan w:val="6"/>
            <w:vMerge/>
            <w:tcBorders>
              <w:right w:val="single" w:sz="8" w:space="0" w:color="auto"/>
            </w:tcBorders>
            <w:shd w:val="clear" w:color="auto" w:fill="auto"/>
            <w:vAlign w:val="bottom"/>
          </w:tcPr>
          <w:p w14:paraId="4D99890A" w14:textId="77777777" w:rsidR="00A52778" w:rsidRPr="00460F9E" w:rsidRDefault="00A52778" w:rsidP="00FC3F8E">
            <w:pPr>
              <w:spacing w:line="0" w:lineRule="atLeast"/>
              <w:rPr>
                <w:rFonts w:eastAsia="Times New Roman" w:cs="Times New Roman"/>
                <w:b/>
                <w:sz w:val="10"/>
              </w:rPr>
            </w:pPr>
          </w:p>
        </w:tc>
      </w:tr>
      <w:tr w:rsidR="00A52778" w:rsidRPr="00460F9E" w14:paraId="7D96ECE3" w14:textId="77777777" w:rsidTr="00FC3F8E">
        <w:trPr>
          <w:trHeight w:val="104"/>
        </w:trPr>
        <w:tc>
          <w:tcPr>
            <w:tcW w:w="386" w:type="dxa"/>
            <w:tcBorders>
              <w:left w:val="single" w:sz="8" w:space="0" w:color="auto"/>
              <w:right w:val="single" w:sz="8" w:space="0" w:color="auto"/>
            </w:tcBorders>
            <w:shd w:val="clear" w:color="auto" w:fill="auto"/>
            <w:vAlign w:val="bottom"/>
          </w:tcPr>
          <w:p w14:paraId="12255823" w14:textId="77777777" w:rsidR="00A52778" w:rsidRPr="00460F9E" w:rsidRDefault="00A52778" w:rsidP="00FC3F8E">
            <w:pPr>
              <w:spacing w:line="0" w:lineRule="atLeast"/>
              <w:rPr>
                <w:rFonts w:eastAsia="Times New Roman" w:cs="Times New Roman"/>
                <w:b/>
                <w:sz w:val="9"/>
              </w:rPr>
            </w:pPr>
          </w:p>
        </w:tc>
        <w:tc>
          <w:tcPr>
            <w:tcW w:w="1212" w:type="dxa"/>
            <w:gridSpan w:val="2"/>
            <w:vMerge/>
            <w:tcBorders>
              <w:right w:val="single" w:sz="8" w:space="0" w:color="auto"/>
            </w:tcBorders>
            <w:shd w:val="clear" w:color="auto" w:fill="auto"/>
            <w:vAlign w:val="bottom"/>
          </w:tcPr>
          <w:p w14:paraId="3DB2F08F" w14:textId="77777777" w:rsidR="00A52778" w:rsidRPr="00460F9E" w:rsidRDefault="00A52778" w:rsidP="00FC3F8E">
            <w:pPr>
              <w:spacing w:line="219" w:lineRule="exact"/>
              <w:ind w:left="80"/>
              <w:rPr>
                <w:rFonts w:eastAsia="Times New Roman" w:cs="Times New Roman"/>
                <w:b/>
              </w:rPr>
            </w:pPr>
          </w:p>
        </w:tc>
        <w:tc>
          <w:tcPr>
            <w:tcW w:w="385" w:type="dxa"/>
            <w:shd w:val="clear" w:color="auto" w:fill="auto"/>
            <w:vAlign w:val="bottom"/>
          </w:tcPr>
          <w:p w14:paraId="14C3807C" w14:textId="77777777" w:rsidR="00A52778" w:rsidRPr="00460F9E" w:rsidRDefault="00A52778" w:rsidP="00FC3F8E">
            <w:pPr>
              <w:spacing w:line="0" w:lineRule="atLeast"/>
              <w:rPr>
                <w:rFonts w:eastAsia="Times New Roman" w:cs="Times New Roman"/>
                <w:b/>
                <w:sz w:val="9"/>
              </w:rPr>
            </w:pPr>
          </w:p>
        </w:tc>
        <w:tc>
          <w:tcPr>
            <w:tcW w:w="20" w:type="dxa"/>
            <w:shd w:val="clear" w:color="auto" w:fill="auto"/>
            <w:vAlign w:val="bottom"/>
          </w:tcPr>
          <w:p w14:paraId="2B24C30E" w14:textId="77777777" w:rsidR="00A52778" w:rsidRPr="00460F9E" w:rsidRDefault="00A52778" w:rsidP="00FC3F8E">
            <w:pPr>
              <w:spacing w:line="0" w:lineRule="atLeast"/>
              <w:rPr>
                <w:rFonts w:eastAsia="Times New Roman" w:cs="Times New Roman"/>
                <w:b/>
                <w:sz w:val="9"/>
              </w:rPr>
            </w:pPr>
          </w:p>
        </w:tc>
        <w:tc>
          <w:tcPr>
            <w:tcW w:w="3214" w:type="dxa"/>
            <w:gridSpan w:val="11"/>
            <w:vMerge w:val="restart"/>
            <w:tcBorders>
              <w:right w:val="single" w:sz="8" w:space="0" w:color="auto"/>
            </w:tcBorders>
            <w:shd w:val="clear" w:color="auto" w:fill="auto"/>
            <w:vAlign w:val="bottom"/>
          </w:tcPr>
          <w:p w14:paraId="3C5BB7CB" w14:textId="77777777" w:rsidR="00A52778" w:rsidRPr="00460F9E" w:rsidRDefault="00A52778" w:rsidP="00FC3F8E">
            <w:pPr>
              <w:spacing w:line="0" w:lineRule="atLeast"/>
              <w:rPr>
                <w:rFonts w:eastAsia="Times New Roman" w:cs="Times New Roman"/>
                <w:b/>
              </w:rPr>
            </w:pPr>
          </w:p>
        </w:tc>
        <w:tc>
          <w:tcPr>
            <w:tcW w:w="980" w:type="dxa"/>
            <w:vMerge/>
            <w:tcBorders>
              <w:left w:val="single" w:sz="8" w:space="0" w:color="auto"/>
              <w:right w:val="single" w:sz="8" w:space="0" w:color="auto"/>
            </w:tcBorders>
            <w:shd w:val="clear" w:color="auto" w:fill="auto"/>
            <w:vAlign w:val="bottom"/>
          </w:tcPr>
          <w:p w14:paraId="25A6BA11" w14:textId="77777777" w:rsidR="00A52778" w:rsidRPr="00460F9E" w:rsidRDefault="00A52778" w:rsidP="00FC3F8E">
            <w:pPr>
              <w:spacing w:line="0" w:lineRule="atLeast"/>
              <w:rPr>
                <w:rFonts w:eastAsia="Times New Roman" w:cs="Times New Roman"/>
                <w:b/>
                <w:sz w:val="9"/>
              </w:rPr>
            </w:pPr>
          </w:p>
        </w:tc>
        <w:tc>
          <w:tcPr>
            <w:tcW w:w="2596" w:type="dxa"/>
            <w:gridSpan w:val="6"/>
            <w:vMerge/>
            <w:tcBorders>
              <w:right w:val="single" w:sz="8" w:space="0" w:color="auto"/>
            </w:tcBorders>
            <w:shd w:val="clear" w:color="auto" w:fill="auto"/>
            <w:vAlign w:val="bottom"/>
          </w:tcPr>
          <w:p w14:paraId="083CF76B" w14:textId="77777777" w:rsidR="00A52778" w:rsidRPr="00460F9E" w:rsidRDefault="00A52778" w:rsidP="00FC3F8E">
            <w:pPr>
              <w:spacing w:line="0" w:lineRule="atLeast"/>
              <w:rPr>
                <w:rFonts w:eastAsia="Times New Roman" w:cs="Times New Roman"/>
                <w:b/>
                <w:sz w:val="9"/>
              </w:rPr>
            </w:pPr>
          </w:p>
        </w:tc>
        <w:tc>
          <w:tcPr>
            <w:tcW w:w="347" w:type="dxa"/>
          </w:tcPr>
          <w:p w14:paraId="25EC8429" w14:textId="77777777" w:rsidR="00A52778" w:rsidRPr="00460F9E" w:rsidRDefault="00A52778" w:rsidP="00FC3F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imes New Roman"/>
                <w:b/>
                <w:color w:val="202124"/>
                <w:sz w:val="42"/>
                <w:szCs w:val="42"/>
              </w:rPr>
            </w:pPr>
          </w:p>
        </w:tc>
      </w:tr>
      <w:tr w:rsidR="00A52778" w:rsidRPr="00460F9E" w14:paraId="01D6086F" w14:textId="77777777" w:rsidTr="00FC3F8E">
        <w:trPr>
          <w:gridAfter w:val="1"/>
          <w:wAfter w:w="347" w:type="dxa"/>
          <w:trHeight w:val="158"/>
        </w:trPr>
        <w:tc>
          <w:tcPr>
            <w:tcW w:w="386" w:type="dxa"/>
            <w:tcBorders>
              <w:left w:val="single" w:sz="8" w:space="0" w:color="auto"/>
              <w:right w:val="single" w:sz="8" w:space="0" w:color="auto"/>
            </w:tcBorders>
            <w:shd w:val="clear" w:color="auto" w:fill="auto"/>
            <w:vAlign w:val="bottom"/>
          </w:tcPr>
          <w:p w14:paraId="220AB20F" w14:textId="77777777" w:rsidR="00A52778" w:rsidRPr="00460F9E" w:rsidRDefault="00A52778" w:rsidP="00FC3F8E">
            <w:pPr>
              <w:spacing w:line="0" w:lineRule="atLeast"/>
              <w:rPr>
                <w:rFonts w:eastAsia="Times New Roman" w:cs="Times New Roman"/>
                <w:b/>
                <w:sz w:val="13"/>
              </w:rPr>
            </w:pPr>
          </w:p>
        </w:tc>
        <w:tc>
          <w:tcPr>
            <w:tcW w:w="1212" w:type="dxa"/>
            <w:gridSpan w:val="2"/>
            <w:vMerge/>
            <w:tcBorders>
              <w:right w:val="single" w:sz="8" w:space="0" w:color="auto"/>
            </w:tcBorders>
            <w:shd w:val="clear" w:color="auto" w:fill="auto"/>
            <w:vAlign w:val="bottom"/>
          </w:tcPr>
          <w:p w14:paraId="0F5DAB04" w14:textId="77777777" w:rsidR="00A52778" w:rsidRPr="00460F9E" w:rsidRDefault="00A52778" w:rsidP="00FC3F8E">
            <w:pPr>
              <w:spacing w:line="0" w:lineRule="atLeast"/>
              <w:rPr>
                <w:rFonts w:eastAsia="Times New Roman" w:cs="Times New Roman"/>
                <w:b/>
                <w:sz w:val="13"/>
              </w:rPr>
            </w:pPr>
          </w:p>
        </w:tc>
        <w:tc>
          <w:tcPr>
            <w:tcW w:w="385" w:type="dxa"/>
            <w:shd w:val="clear" w:color="auto" w:fill="auto"/>
            <w:vAlign w:val="bottom"/>
          </w:tcPr>
          <w:p w14:paraId="17766976" w14:textId="77777777" w:rsidR="00A52778" w:rsidRPr="00460F9E" w:rsidRDefault="00A52778" w:rsidP="00FC3F8E">
            <w:pPr>
              <w:spacing w:line="0" w:lineRule="atLeast"/>
              <w:rPr>
                <w:rFonts w:eastAsia="Times New Roman" w:cs="Times New Roman"/>
                <w:b/>
                <w:sz w:val="13"/>
              </w:rPr>
            </w:pPr>
          </w:p>
        </w:tc>
        <w:tc>
          <w:tcPr>
            <w:tcW w:w="20" w:type="dxa"/>
            <w:shd w:val="clear" w:color="auto" w:fill="auto"/>
            <w:vAlign w:val="bottom"/>
          </w:tcPr>
          <w:p w14:paraId="34B87F67" w14:textId="77777777" w:rsidR="00A52778" w:rsidRPr="00460F9E" w:rsidRDefault="00A52778" w:rsidP="00FC3F8E">
            <w:pPr>
              <w:spacing w:line="0" w:lineRule="atLeast"/>
              <w:rPr>
                <w:rFonts w:eastAsia="Times New Roman" w:cs="Times New Roman"/>
                <w:b/>
                <w:sz w:val="13"/>
              </w:rPr>
            </w:pPr>
          </w:p>
        </w:tc>
        <w:tc>
          <w:tcPr>
            <w:tcW w:w="3214" w:type="dxa"/>
            <w:gridSpan w:val="11"/>
            <w:vMerge/>
            <w:tcBorders>
              <w:right w:val="single" w:sz="8" w:space="0" w:color="auto"/>
            </w:tcBorders>
            <w:shd w:val="clear" w:color="auto" w:fill="auto"/>
            <w:vAlign w:val="bottom"/>
          </w:tcPr>
          <w:p w14:paraId="24FC5A5A" w14:textId="77777777" w:rsidR="00A52778" w:rsidRPr="00460F9E" w:rsidRDefault="00A52778" w:rsidP="00FC3F8E">
            <w:pPr>
              <w:spacing w:line="0" w:lineRule="atLeast"/>
              <w:ind w:left="240"/>
              <w:rPr>
                <w:rFonts w:eastAsia="Times New Roman" w:cs="Times New Roman"/>
                <w:b/>
                <w:sz w:val="13"/>
              </w:rPr>
            </w:pPr>
          </w:p>
        </w:tc>
        <w:tc>
          <w:tcPr>
            <w:tcW w:w="980" w:type="dxa"/>
            <w:tcBorders>
              <w:right w:val="single" w:sz="8" w:space="0" w:color="auto"/>
            </w:tcBorders>
            <w:shd w:val="clear" w:color="auto" w:fill="auto"/>
            <w:vAlign w:val="bottom"/>
          </w:tcPr>
          <w:p w14:paraId="0022F090" w14:textId="77777777" w:rsidR="00A52778" w:rsidRPr="00460F9E" w:rsidRDefault="00A52778" w:rsidP="00FC3F8E">
            <w:pPr>
              <w:spacing w:line="0" w:lineRule="atLeast"/>
              <w:rPr>
                <w:rFonts w:eastAsia="Times New Roman" w:cs="Times New Roman"/>
                <w:b/>
                <w:sz w:val="13"/>
              </w:rPr>
            </w:pPr>
          </w:p>
        </w:tc>
        <w:tc>
          <w:tcPr>
            <w:tcW w:w="2596" w:type="dxa"/>
            <w:gridSpan w:val="6"/>
            <w:vMerge/>
            <w:tcBorders>
              <w:right w:val="single" w:sz="8" w:space="0" w:color="auto"/>
            </w:tcBorders>
            <w:shd w:val="clear" w:color="auto" w:fill="auto"/>
            <w:vAlign w:val="bottom"/>
          </w:tcPr>
          <w:p w14:paraId="57736AD3" w14:textId="77777777" w:rsidR="00A52778" w:rsidRPr="00460F9E" w:rsidRDefault="00A52778" w:rsidP="00FC3F8E">
            <w:pPr>
              <w:spacing w:line="0" w:lineRule="atLeast"/>
              <w:rPr>
                <w:rFonts w:eastAsia="Times New Roman" w:cs="Times New Roman"/>
                <w:b/>
                <w:sz w:val="13"/>
              </w:rPr>
            </w:pPr>
          </w:p>
        </w:tc>
      </w:tr>
      <w:tr w:rsidR="00A52778" w:rsidRPr="00460F9E" w14:paraId="3D9064E2" w14:textId="77777777" w:rsidTr="00FC3F8E">
        <w:trPr>
          <w:gridAfter w:val="1"/>
          <w:wAfter w:w="347" w:type="dxa"/>
          <w:trHeight w:val="230"/>
        </w:trPr>
        <w:tc>
          <w:tcPr>
            <w:tcW w:w="386" w:type="dxa"/>
            <w:tcBorders>
              <w:left w:val="single" w:sz="8" w:space="0" w:color="auto"/>
              <w:right w:val="single" w:sz="8" w:space="0" w:color="auto"/>
            </w:tcBorders>
            <w:shd w:val="clear" w:color="auto" w:fill="auto"/>
            <w:vAlign w:val="bottom"/>
          </w:tcPr>
          <w:p w14:paraId="0B0E3BC8" w14:textId="77777777" w:rsidR="00A52778" w:rsidRPr="00460F9E" w:rsidRDefault="00A52778" w:rsidP="00FC3F8E">
            <w:pPr>
              <w:spacing w:line="0" w:lineRule="atLeast"/>
              <w:rPr>
                <w:rFonts w:eastAsia="Times New Roman" w:cs="Times New Roman"/>
                <w:b/>
              </w:rPr>
            </w:pPr>
          </w:p>
        </w:tc>
        <w:tc>
          <w:tcPr>
            <w:tcW w:w="1212" w:type="dxa"/>
            <w:gridSpan w:val="2"/>
            <w:vMerge/>
            <w:tcBorders>
              <w:right w:val="single" w:sz="8" w:space="0" w:color="auto"/>
            </w:tcBorders>
            <w:shd w:val="clear" w:color="auto" w:fill="auto"/>
            <w:vAlign w:val="bottom"/>
          </w:tcPr>
          <w:p w14:paraId="3C1816A4" w14:textId="77777777" w:rsidR="00A52778" w:rsidRPr="00460F9E" w:rsidRDefault="00A52778" w:rsidP="00FC3F8E">
            <w:pPr>
              <w:spacing w:line="0" w:lineRule="atLeast"/>
              <w:rPr>
                <w:rFonts w:eastAsia="Times New Roman" w:cs="Times New Roman"/>
                <w:b/>
              </w:rPr>
            </w:pPr>
          </w:p>
        </w:tc>
        <w:tc>
          <w:tcPr>
            <w:tcW w:w="385" w:type="dxa"/>
            <w:tcBorders>
              <w:left w:val="single" w:sz="8" w:space="0" w:color="auto"/>
            </w:tcBorders>
            <w:shd w:val="clear" w:color="auto" w:fill="auto"/>
            <w:vAlign w:val="bottom"/>
          </w:tcPr>
          <w:p w14:paraId="032957C8" w14:textId="77777777" w:rsidR="00A52778" w:rsidRPr="00460F9E" w:rsidRDefault="00A52778" w:rsidP="00FC3F8E">
            <w:pPr>
              <w:spacing w:line="0" w:lineRule="atLeast"/>
              <w:rPr>
                <w:rFonts w:eastAsia="Times New Roman" w:cs="Times New Roman"/>
                <w:b/>
              </w:rPr>
            </w:pPr>
          </w:p>
        </w:tc>
        <w:tc>
          <w:tcPr>
            <w:tcW w:w="20" w:type="dxa"/>
            <w:shd w:val="clear" w:color="auto" w:fill="auto"/>
            <w:vAlign w:val="bottom"/>
          </w:tcPr>
          <w:p w14:paraId="64193F6A" w14:textId="77777777" w:rsidR="00A52778" w:rsidRPr="00460F9E" w:rsidRDefault="00A52778" w:rsidP="00FC3F8E">
            <w:pPr>
              <w:spacing w:line="0" w:lineRule="atLeast"/>
              <w:rPr>
                <w:rFonts w:eastAsia="Times New Roman" w:cs="Times New Roman"/>
                <w:b/>
              </w:rPr>
            </w:pPr>
          </w:p>
        </w:tc>
        <w:tc>
          <w:tcPr>
            <w:tcW w:w="3214" w:type="dxa"/>
            <w:gridSpan w:val="11"/>
            <w:vMerge/>
            <w:tcBorders>
              <w:right w:val="single" w:sz="8" w:space="0" w:color="auto"/>
            </w:tcBorders>
            <w:shd w:val="clear" w:color="auto" w:fill="auto"/>
            <w:vAlign w:val="bottom"/>
          </w:tcPr>
          <w:p w14:paraId="37A2A259" w14:textId="77777777" w:rsidR="00A52778" w:rsidRPr="00460F9E" w:rsidRDefault="00A52778" w:rsidP="00FC3F8E">
            <w:pPr>
              <w:spacing w:line="0" w:lineRule="atLeast"/>
              <w:ind w:left="240"/>
              <w:rPr>
                <w:rFonts w:eastAsia="Times New Roman" w:cs="Times New Roman"/>
                <w:b/>
              </w:rPr>
            </w:pPr>
          </w:p>
        </w:tc>
        <w:tc>
          <w:tcPr>
            <w:tcW w:w="980" w:type="dxa"/>
            <w:tcBorders>
              <w:left w:val="single" w:sz="8" w:space="0" w:color="auto"/>
              <w:right w:val="single" w:sz="8" w:space="0" w:color="auto"/>
            </w:tcBorders>
            <w:shd w:val="clear" w:color="auto" w:fill="auto"/>
            <w:vAlign w:val="bottom"/>
          </w:tcPr>
          <w:p w14:paraId="753AFCD5" w14:textId="77777777" w:rsidR="00A52778" w:rsidRPr="00460F9E" w:rsidRDefault="00A52778" w:rsidP="00FC3F8E">
            <w:pPr>
              <w:spacing w:line="0" w:lineRule="atLeast"/>
              <w:rPr>
                <w:rFonts w:eastAsia="Times New Roman" w:cs="Times New Roman"/>
                <w:b/>
              </w:rPr>
            </w:pPr>
          </w:p>
        </w:tc>
        <w:tc>
          <w:tcPr>
            <w:tcW w:w="2596" w:type="dxa"/>
            <w:gridSpan w:val="6"/>
            <w:vMerge/>
            <w:tcBorders>
              <w:right w:val="single" w:sz="8" w:space="0" w:color="auto"/>
            </w:tcBorders>
            <w:shd w:val="clear" w:color="auto" w:fill="auto"/>
            <w:vAlign w:val="bottom"/>
          </w:tcPr>
          <w:p w14:paraId="730262AC" w14:textId="77777777" w:rsidR="00A52778" w:rsidRPr="00460F9E" w:rsidRDefault="00A52778" w:rsidP="00FC3F8E">
            <w:pPr>
              <w:spacing w:line="0" w:lineRule="atLeast"/>
              <w:rPr>
                <w:rFonts w:eastAsia="Times New Roman" w:cs="Times New Roman"/>
                <w:b/>
              </w:rPr>
            </w:pPr>
          </w:p>
        </w:tc>
      </w:tr>
      <w:tr w:rsidR="00A52778" w:rsidRPr="00460F9E" w14:paraId="0DEB2C4A" w14:textId="77777777" w:rsidTr="00FC3F8E">
        <w:trPr>
          <w:gridAfter w:val="1"/>
          <w:wAfter w:w="347" w:type="dxa"/>
          <w:trHeight w:val="231"/>
        </w:trPr>
        <w:tc>
          <w:tcPr>
            <w:tcW w:w="386" w:type="dxa"/>
            <w:tcBorders>
              <w:left w:val="single" w:sz="8" w:space="0" w:color="auto"/>
              <w:right w:val="single" w:sz="8" w:space="0" w:color="auto"/>
            </w:tcBorders>
            <w:shd w:val="clear" w:color="auto" w:fill="auto"/>
            <w:vAlign w:val="bottom"/>
          </w:tcPr>
          <w:p w14:paraId="677B0A71" w14:textId="77777777" w:rsidR="00A52778" w:rsidRPr="00460F9E" w:rsidRDefault="00A52778" w:rsidP="00FC3F8E">
            <w:pPr>
              <w:spacing w:line="0" w:lineRule="atLeast"/>
              <w:rPr>
                <w:rFonts w:eastAsia="Times New Roman" w:cs="Times New Roman"/>
                <w:b/>
              </w:rPr>
            </w:pPr>
          </w:p>
        </w:tc>
        <w:tc>
          <w:tcPr>
            <w:tcW w:w="1212" w:type="dxa"/>
            <w:gridSpan w:val="2"/>
            <w:vMerge/>
            <w:tcBorders>
              <w:right w:val="single" w:sz="8" w:space="0" w:color="auto"/>
            </w:tcBorders>
            <w:shd w:val="clear" w:color="auto" w:fill="auto"/>
            <w:vAlign w:val="bottom"/>
          </w:tcPr>
          <w:p w14:paraId="764C70CE" w14:textId="77777777" w:rsidR="00A52778" w:rsidRPr="00460F9E" w:rsidRDefault="00A52778" w:rsidP="00FC3F8E">
            <w:pPr>
              <w:spacing w:line="0" w:lineRule="atLeast"/>
              <w:rPr>
                <w:rFonts w:eastAsia="Times New Roman" w:cs="Times New Roman"/>
                <w:b/>
              </w:rPr>
            </w:pPr>
          </w:p>
        </w:tc>
        <w:tc>
          <w:tcPr>
            <w:tcW w:w="385" w:type="dxa"/>
            <w:tcBorders>
              <w:left w:val="single" w:sz="8" w:space="0" w:color="auto"/>
            </w:tcBorders>
            <w:shd w:val="clear" w:color="auto" w:fill="auto"/>
            <w:vAlign w:val="bottom"/>
          </w:tcPr>
          <w:p w14:paraId="6D909448" w14:textId="77777777" w:rsidR="00A52778" w:rsidRPr="00460F9E" w:rsidRDefault="00A52778" w:rsidP="00FC3F8E">
            <w:pPr>
              <w:spacing w:line="0" w:lineRule="atLeast"/>
              <w:rPr>
                <w:rFonts w:eastAsia="Times New Roman" w:cs="Times New Roman"/>
                <w:b/>
              </w:rPr>
            </w:pPr>
          </w:p>
        </w:tc>
        <w:tc>
          <w:tcPr>
            <w:tcW w:w="20" w:type="dxa"/>
            <w:shd w:val="clear" w:color="auto" w:fill="auto"/>
            <w:vAlign w:val="bottom"/>
          </w:tcPr>
          <w:p w14:paraId="5E957B53" w14:textId="77777777" w:rsidR="00A52778" w:rsidRPr="00460F9E" w:rsidRDefault="00A52778" w:rsidP="00FC3F8E">
            <w:pPr>
              <w:spacing w:line="0" w:lineRule="atLeast"/>
              <w:rPr>
                <w:rFonts w:eastAsia="Times New Roman" w:cs="Times New Roman"/>
                <w:b/>
              </w:rPr>
            </w:pPr>
          </w:p>
        </w:tc>
        <w:tc>
          <w:tcPr>
            <w:tcW w:w="3214" w:type="dxa"/>
            <w:gridSpan w:val="11"/>
            <w:vMerge/>
            <w:tcBorders>
              <w:right w:val="single" w:sz="8" w:space="0" w:color="auto"/>
            </w:tcBorders>
            <w:shd w:val="clear" w:color="auto" w:fill="auto"/>
            <w:vAlign w:val="bottom"/>
          </w:tcPr>
          <w:p w14:paraId="27A91205" w14:textId="77777777" w:rsidR="00A52778" w:rsidRPr="00460F9E" w:rsidRDefault="00A52778" w:rsidP="00FC3F8E">
            <w:pPr>
              <w:spacing w:line="0" w:lineRule="atLeast"/>
              <w:ind w:left="240"/>
              <w:rPr>
                <w:rFonts w:eastAsia="Times New Roman" w:cs="Times New Roman"/>
                <w:b/>
              </w:rPr>
            </w:pPr>
          </w:p>
        </w:tc>
        <w:tc>
          <w:tcPr>
            <w:tcW w:w="980" w:type="dxa"/>
            <w:tcBorders>
              <w:right w:val="single" w:sz="8" w:space="0" w:color="auto"/>
            </w:tcBorders>
            <w:shd w:val="clear" w:color="auto" w:fill="auto"/>
            <w:vAlign w:val="bottom"/>
          </w:tcPr>
          <w:p w14:paraId="1C250EC1" w14:textId="77777777" w:rsidR="00A52778" w:rsidRPr="00460F9E" w:rsidRDefault="00A52778" w:rsidP="00FC3F8E">
            <w:pPr>
              <w:spacing w:line="0" w:lineRule="atLeast"/>
              <w:rPr>
                <w:rFonts w:eastAsia="Times New Roman" w:cs="Times New Roman"/>
                <w:b/>
              </w:rPr>
            </w:pPr>
          </w:p>
        </w:tc>
        <w:tc>
          <w:tcPr>
            <w:tcW w:w="2596" w:type="dxa"/>
            <w:gridSpan w:val="6"/>
            <w:vMerge/>
            <w:tcBorders>
              <w:right w:val="single" w:sz="8" w:space="0" w:color="auto"/>
            </w:tcBorders>
            <w:shd w:val="clear" w:color="auto" w:fill="auto"/>
            <w:vAlign w:val="bottom"/>
          </w:tcPr>
          <w:p w14:paraId="54B3B9C9" w14:textId="77777777" w:rsidR="00A52778" w:rsidRPr="00460F9E" w:rsidRDefault="00A52778" w:rsidP="00FC3F8E">
            <w:pPr>
              <w:spacing w:line="0" w:lineRule="atLeast"/>
              <w:rPr>
                <w:rFonts w:eastAsia="Times New Roman" w:cs="Times New Roman"/>
                <w:b/>
              </w:rPr>
            </w:pPr>
          </w:p>
        </w:tc>
      </w:tr>
      <w:tr w:rsidR="00A52778" w:rsidRPr="00460F9E" w14:paraId="5408206C" w14:textId="77777777" w:rsidTr="00FC3F8E">
        <w:trPr>
          <w:gridAfter w:val="1"/>
          <w:wAfter w:w="347" w:type="dxa"/>
          <w:trHeight w:val="87"/>
        </w:trPr>
        <w:tc>
          <w:tcPr>
            <w:tcW w:w="386" w:type="dxa"/>
            <w:tcBorders>
              <w:left w:val="single" w:sz="8" w:space="0" w:color="auto"/>
              <w:bottom w:val="single" w:sz="8" w:space="0" w:color="auto"/>
              <w:right w:val="single" w:sz="8" w:space="0" w:color="auto"/>
            </w:tcBorders>
            <w:shd w:val="clear" w:color="auto" w:fill="auto"/>
            <w:vAlign w:val="bottom"/>
          </w:tcPr>
          <w:p w14:paraId="120EC550" w14:textId="77777777" w:rsidR="00A52778" w:rsidRPr="00460F9E" w:rsidRDefault="00A52778" w:rsidP="00FC3F8E">
            <w:pPr>
              <w:spacing w:line="0" w:lineRule="atLeast"/>
              <w:rPr>
                <w:rFonts w:eastAsia="Times New Roman" w:cs="Times New Roman"/>
                <w:b/>
                <w:sz w:val="5"/>
              </w:rPr>
            </w:pPr>
          </w:p>
        </w:tc>
        <w:tc>
          <w:tcPr>
            <w:tcW w:w="424" w:type="dxa"/>
            <w:tcBorders>
              <w:bottom w:val="single" w:sz="8" w:space="0" w:color="auto"/>
            </w:tcBorders>
            <w:shd w:val="clear" w:color="auto" w:fill="auto"/>
            <w:vAlign w:val="bottom"/>
          </w:tcPr>
          <w:p w14:paraId="5BB44AE7" w14:textId="77777777" w:rsidR="00A52778" w:rsidRPr="00460F9E" w:rsidRDefault="00A52778" w:rsidP="00FC3F8E">
            <w:pPr>
              <w:spacing w:line="0" w:lineRule="atLeast"/>
              <w:rPr>
                <w:rFonts w:eastAsia="Times New Roman" w:cs="Times New Roman"/>
                <w:b/>
                <w:sz w:val="5"/>
              </w:rPr>
            </w:pPr>
          </w:p>
        </w:tc>
        <w:tc>
          <w:tcPr>
            <w:tcW w:w="788" w:type="dxa"/>
            <w:tcBorders>
              <w:bottom w:val="single" w:sz="8" w:space="0" w:color="auto"/>
              <w:right w:val="single" w:sz="8" w:space="0" w:color="auto"/>
            </w:tcBorders>
            <w:shd w:val="clear" w:color="auto" w:fill="auto"/>
            <w:vAlign w:val="bottom"/>
          </w:tcPr>
          <w:p w14:paraId="2EAA6CA4" w14:textId="77777777" w:rsidR="00A52778" w:rsidRPr="00460F9E" w:rsidRDefault="00A52778" w:rsidP="00FC3F8E">
            <w:pPr>
              <w:spacing w:line="0" w:lineRule="atLeast"/>
              <w:rPr>
                <w:rFonts w:eastAsia="Times New Roman" w:cs="Times New Roman"/>
                <w:b/>
                <w:sz w:val="5"/>
              </w:rPr>
            </w:pPr>
          </w:p>
        </w:tc>
        <w:tc>
          <w:tcPr>
            <w:tcW w:w="385" w:type="dxa"/>
            <w:tcBorders>
              <w:bottom w:val="single" w:sz="8" w:space="0" w:color="auto"/>
            </w:tcBorders>
            <w:shd w:val="clear" w:color="auto" w:fill="auto"/>
            <w:vAlign w:val="bottom"/>
          </w:tcPr>
          <w:p w14:paraId="5B16988F" w14:textId="77777777" w:rsidR="00A52778" w:rsidRPr="00460F9E" w:rsidRDefault="00A52778" w:rsidP="00FC3F8E">
            <w:pPr>
              <w:spacing w:line="0" w:lineRule="atLeast"/>
              <w:rPr>
                <w:rFonts w:eastAsia="Times New Roman" w:cs="Times New Roman"/>
                <w:b/>
                <w:sz w:val="5"/>
              </w:rPr>
            </w:pPr>
          </w:p>
        </w:tc>
        <w:tc>
          <w:tcPr>
            <w:tcW w:w="20" w:type="dxa"/>
            <w:tcBorders>
              <w:bottom w:val="single" w:sz="8" w:space="0" w:color="auto"/>
            </w:tcBorders>
            <w:shd w:val="clear" w:color="auto" w:fill="auto"/>
            <w:vAlign w:val="bottom"/>
          </w:tcPr>
          <w:p w14:paraId="0CE77CA5" w14:textId="77777777" w:rsidR="00A52778" w:rsidRPr="00460F9E" w:rsidRDefault="00A52778" w:rsidP="00FC3F8E">
            <w:pPr>
              <w:spacing w:line="0" w:lineRule="atLeast"/>
              <w:rPr>
                <w:rFonts w:eastAsia="Times New Roman" w:cs="Times New Roman"/>
                <w:b/>
                <w:sz w:val="5"/>
              </w:rPr>
            </w:pPr>
          </w:p>
        </w:tc>
        <w:tc>
          <w:tcPr>
            <w:tcW w:w="500" w:type="dxa"/>
            <w:tcBorders>
              <w:bottom w:val="single" w:sz="8" w:space="0" w:color="auto"/>
            </w:tcBorders>
            <w:shd w:val="clear" w:color="auto" w:fill="auto"/>
            <w:vAlign w:val="bottom"/>
          </w:tcPr>
          <w:p w14:paraId="27A57F7D" w14:textId="77777777" w:rsidR="00A52778" w:rsidRPr="00460F9E" w:rsidRDefault="00A52778" w:rsidP="00FC3F8E">
            <w:pPr>
              <w:spacing w:line="0" w:lineRule="atLeast"/>
              <w:rPr>
                <w:rFonts w:eastAsia="Times New Roman" w:cs="Times New Roman"/>
                <w:b/>
                <w:sz w:val="5"/>
              </w:rPr>
            </w:pPr>
          </w:p>
        </w:tc>
        <w:tc>
          <w:tcPr>
            <w:tcW w:w="308" w:type="dxa"/>
            <w:tcBorders>
              <w:bottom w:val="single" w:sz="8" w:space="0" w:color="auto"/>
            </w:tcBorders>
            <w:shd w:val="clear" w:color="auto" w:fill="auto"/>
            <w:vAlign w:val="bottom"/>
          </w:tcPr>
          <w:p w14:paraId="1318A512" w14:textId="77777777" w:rsidR="00A52778" w:rsidRPr="00460F9E" w:rsidRDefault="00A52778" w:rsidP="00FC3F8E">
            <w:pPr>
              <w:spacing w:line="0" w:lineRule="atLeast"/>
              <w:rPr>
                <w:rFonts w:eastAsia="Times New Roman" w:cs="Times New Roman"/>
                <w:b/>
                <w:sz w:val="5"/>
              </w:rPr>
            </w:pPr>
          </w:p>
        </w:tc>
        <w:tc>
          <w:tcPr>
            <w:tcW w:w="365" w:type="dxa"/>
            <w:tcBorders>
              <w:bottom w:val="single" w:sz="8" w:space="0" w:color="auto"/>
            </w:tcBorders>
            <w:shd w:val="clear" w:color="auto" w:fill="auto"/>
            <w:vAlign w:val="bottom"/>
          </w:tcPr>
          <w:p w14:paraId="33816208" w14:textId="77777777" w:rsidR="00A52778" w:rsidRPr="00460F9E" w:rsidRDefault="00A52778" w:rsidP="00FC3F8E">
            <w:pPr>
              <w:spacing w:line="0" w:lineRule="atLeast"/>
              <w:rPr>
                <w:rFonts w:eastAsia="Times New Roman" w:cs="Times New Roman"/>
                <w:b/>
                <w:sz w:val="5"/>
              </w:rPr>
            </w:pPr>
          </w:p>
        </w:tc>
        <w:tc>
          <w:tcPr>
            <w:tcW w:w="308" w:type="dxa"/>
            <w:tcBorders>
              <w:bottom w:val="single" w:sz="8" w:space="0" w:color="auto"/>
            </w:tcBorders>
            <w:shd w:val="clear" w:color="auto" w:fill="auto"/>
            <w:vAlign w:val="bottom"/>
          </w:tcPr>
          <w:p w14:paraId="059A931E" w14:textId="77777777" w:rsidR="00A52778" w:rsidRPr="00460F9E" w:rsidRDefault="00A52778" w:rsidP="00FC3F8E">
            <w:pPr>
              <w:spacing w:line="0" w:lineRule="atLeast"/>
              <w:rPr>
                <w:rFonts w:eastAsia="Times New Roman" w:cs="Times New Roman"/>
                <w:b/>
                <w:sz w:val="5"/>
              </w:rPr>
            </w:pPr>
          </w:p>
        </w:tc>
        <w:tc>
          <w:tcPr>
            <w:tcW w:w="193" w:type="dxa"/>
            <w:tcBorders>
              <w:bottom w:val="single" w:sz="8" w:space="0" w:color="auto"/>
            </w:tcBorders>
            <w:shd w:val="clear" w:color="auto" w:fill="auto"/>
            <w:vAlign w:val="bottom"/>
          </w:tcPr>
          <w:p w14:paraId="160AA0F2" w14:textId="77777777" w:rsidR="00A52778" w:rsidRPr="00460F9E" w:rsidRDefault="00A52778" w:rsidP="00FC3F8E">
            <w:pPr>
              <w:spacing w:line="0" w:lineRule="atLeast"/>
              <w:rPr>
                <w:rFonts w:eastAsia="Times New Roman" w:cs="Times New Roman"/>
                <w:b/>
                <w:sz w:val="5"/>
              </w:rPr>
            </w:pPr>
          </w:p>
        </w:tc>
        <w:tc>
          <w:tcPr>
            <w:tcW w:w="250" w:type="dxa"/>
            <w:tcBorders>
              <w:bottom w:val="single" w:sz="8" w:space="0" w:color="auto"/>
            </w:tcBorders>
            <w:shd w:val="clear" w:color="auto" w:fill="auto"/>
            <w:vAlign w:val="bottom"/>
          </w:tcPr>
          <w:p w14:paraId="30CD1C7C" w14:textId="77777777" w:rsidR="00A52778" w:rsidRPr="00460F9E" w:rsidRDefault="00A52778" w:rsidP="00FC3F8E">
            <w:pPr>
              <w:spacing w:line="0" w:lineRule="atLeast"/>
              <w:rPr>
                <w:rFonts w:eastAsia="Times New Roman" w:cs="Times New Roman"/>
                <w:b/>
                <w:sz w:val="5"/>
              </w:rPr>
            </w:pPr>
          </w:p>
        </w:tc>
        <w:tc>
          <w:tcPr>
            <w:tcW w:w="212" w:type="dxa"/>
            <w:tcBorders>
              <w:bottom w:val="single" w:sz="8" w:space="0" w:color="auto"/>
            </w:tcBorders>
            <w:shd w:val="clear" w:color="auto" w:fill="auto"/>
            <w:vAlign w:val="bottom"/>
          </w:tcPr>
          <w:p w14:paraId="47CAA035" w14:textId="77777777" w:rsidR="00A52778" w:rsidRPr="00460F9E" w:rsidRDefault="00A52778" w:rsidP="00FC3F8E">
            <w:pPr>
              <w:spacing w:line="0" w:lineRule="atLeast"/>
              <w:rPr>
                <w:rFonts w:eastAsia="Times New Roman" w:cs="Times New Roman"/>
                <w:b/>
                <w:sz w:val="5"/>
              </w:rPr>
            </w:pPr>
          </w:p>
        </w:tc>
        <w:tc>
          <w:tcPr>
            <w:tcW w:w="154" w:type="dxa"/>
            <w:tcBorders>
              <w:bottom w:val="single" w:sz="8" w:space="0" w:color="auto"/>
            </w:tcBorders>
            <w:shd w:val="clear" w:color="auto" w:fill="auto"/>
            <w:vAlign w:val="bottom"/>
          </w:tcPr>
          <w:p w14:paraId="4370DEF4" w14:textId="77777777" w:rsidR="00A52778" w:rsidRPr="00460F9E" w:rsidRDefault="00A52778" w:rsidP="00FC3F8E">
            <w:pPr>
              <w:spacing w:line="0" w:lineRule="atLeast"/>
              <w:rPr>
                <w:rFonts w:eastAsia="Times New Roman" w:cs="Times New Roman"/>
                <w:b/>
                <w:sz w:val="5"/>
              </w:rPr>
            </w:pPr>
          </w:p>
        </w:tc>
        <w:tc>
          <w:tcPr>
            <w:tcW w:w="346" w:type="dxa"/>
            <w:tcBorders>
              <w:bottom w:val="single" w:sz="8" w:space="0" w:color="auto"/>
            </w:tcBorders>
            <w:shd w:val="clear" w:color="auto" w:fill="auto"/>
            <w:vAlign w:val="bottom"/>
          </w:tcPr>
          <w:p w14:paraId="5C261E57" w14:textId="77777777" w:rsidR="00A52778" w:rsidRPr="00460F9E" w:rsidRDefault="00A52778" w:rsidP="00FC3F8E">
            <w:pPr>
              <w:spacing w:line="0" w:lineRule="atLeast"/>
              <w:rPr>
                <w:rFonts w:eastAsia="Times New Roman" w:cs="Times New Roman"/>
                <w:b/>
                <w:sz w:val="5"/>
              </w:rPr>
            </w:pPr>
          </w:p>
        </w:tc>
        <w:tc>
          <w:tcPr>
            <w:tcW w:w="97" w:type="dxa"/>
            <w:tcBorders>
              <w:bottom w:val="single" w:sz="8" w:space="0" w:color="auto"/>
            </w:tcBorders>
            <w:shd w:val="clear" w:color="auto" w:fill="auto"/>
            <w:vAlign w:val="bottom"/>
          </w:tcPr>
          <w:p w14:paraId="3D66D86E" w14:textId="77777777" w:rsidR="00A52778" w:rsidRPr="00460F9E" w:rsidRDefault="00A52778" w:rsidP="00FC3F8E">
            <w:pPr>
              <w:spacing w:line="0" w:lineRule="atLeast"/>
              <w:rPr>
                <w:rFonts w:eastAsia="Times New Roman" w:cs="Times New Roman"/>
                <w:b/>
                <w:sz w:val="5"/>
              </w:rPr>
            </w:pPr>
          </w:p>
        </w:tc>
        <w:tc>
          <w:tcPr>
            <w:tcW w:w="481" w:type="dxa"/>
            <w:tcBorders>
              <w:bottom w:val="single" w:sz="8" w:space="0" w:color="auto"/>
              <w:right w:val="single" w:sz="8" w:space="0" w:color="auto"/>
            </w:tcBorders>
            <w:shd w:val="clear" w:color="auto" w:fill="auto"/>
            <w:vAlign w:val="bottom"/>
          </w:tcPr>
          <w:p w14:paraId="2D89D239" w14:textId="77777777" w:rsidR="00A52778" w:rsidRPr="00460F9E" w:rsidRDefault="00A52778" w:rsidP="00FC3F8E">
            <w:pPr>
              <w:spacing w:line="0" w:lineRule="atLeast"/>
              <w:rPr>
                <w:rFonts w:eastAsia="Times New Roman" w:cs="Times New Roman"/>
                <w:b/>
                <w:sz w:val="5"/>
              </w:rPr>
            </w:pPr>
          </w:p>
        </w:tc>
        <w:tc>
          <w:tcPr>
            <w:tcW w:w="980" w:type="dxa"/>
            <w:tcBorders>
              <w:bottom w:val="single" w:sz="8" w:space="0" w:color="auto"/>
              <w:right w:val="single" w:sz="8" w:space="0" w:color="auto"/>
            </w:tcBorders>
            <w:shd w:val="clear" w:color="auto" w:fill="auto"/>
            <w:vAlign w:val="bottom"/>
          </w:tcPr>
          <w:p w14:paraId="1B529B84" w14:textId="77777777" w:rsidR="00A52778" w:rsidRPr="00460F9E" w:rsidRDefault="00A52778" w:rsidP="00FC3F8E">
            <w:pPr>
              <w:spacing w:line="0" w:lineRule="atLeast"/>
              <w:rPr>
                <w:rFonts w:eastAsia="Times New Roman" w:cs="Times New Roman"/>
                <w:b/>
                <w:sz w:val="5"/>
              </w:rPr>
            </w:pPr>
          </w:p>
        </w:tc>
        <w:tc>
          <w:tcPr>
            <w:tcW w:w="404" w:type="dxa"/>
            <w:tcBorders>
              <w:bottom w:val="single" w:sz="8" w:space="0" w:color="auto"/>
            </w:tcBorders>
            <w:shd w:val="clear" w:color="auto" w:fill="auto"/>
            <w:vAlign w:val="bottom"/>
          </w:tcPr>
          <w:p w14:paraId="4B24E361" w14:textId="77777777" w:rsidR="00A52778" w:rsidRPr="00460F9E" w:rsidRDefault="00A52778" w:rsidP="00FC3F8E">
            <w:pPr>
              <w:spacing w:line="0" w:lineRule="atLeast"/>
              <w:rPr>
                <w:rFonts w:eastAsia="Times New Roman" w:cs="Times New Roman"/>
                <w:b/>
                <w:sz w:val="5"/>
              </w:rPr>
            </w:pPr>
          </w:p>
        </w:tc>
        <w:tc>
          <w:tcPr>
            <w:tcW w:w="557" w:type="dxa"/>
            <w:tcBorders>
              <w:bottom w:val="single" w:sz="8" w:space="0" w:color="auto"/>
            </w:tcBorders>
            <w:shd w:val="clear" w:color="auto" w:fill="auto"/>
            <w:vAlign w:val="bottom"/>
          </w:tcPr>
          <w:p w14:paraId="6133E491" w14:textId="77777777" w:rsidR="00A52778" w:rsidRPr="00460F9E" w:rsidRDefault="00A52778" w:rsidP="00FC3F8E">
            <w:pPr>
              <w:spacing w:line="0" w:lineRule="atLeast"/>
              <w:rPr>
                <w:rFonts w:eastAsia="Times New Roman" w:cs="Times New Roman"/>
                <w:b/>
                <w:sz w:val="5"/>
              </w:rPr>
            </w:pPr>
          </w:p>
        </w:tc>
        <w:tc>
          <w:tcPr>
            <w:tcW w:w="346" w:type="dxa"/>
            <w:tcBorders>
              <w:bottom w:val="single" w:sz="8" w:space="0" w:color="auto"/>
            </w:tcBorders>
            <w:shd w:val="clear" w:color="auto" w:fill="auto"/>
            <w:vAlign w:val="bottom"/>
          </w:tcPr>
          <w:p w14:paraId="1ED470D6" w14:textId="77777777" w:rsidR="00A52778" w:rsidRPr="00460F9E" w:rsidRDefault="00A52778" w:rsidP="00FC3F8E">
            <w:pPr>
              <w:spacing w:line="0" w:lineRule="atLeast"/>
              <w:rPr>
                <w:rFonts w:eastAsia="Times New Roman" w:cs="Times New Roman"/>
                <w:b/>
                <w:sz w:val="5"/>
              </w:rPr>
            </w:pPr>
          </w:p>
        </w:tc>
        <w:tc>
          <w:tcPr>
            <w:tcW w:w="423" w:type="dxa"/>
            <w:tcBorders>
              <w:bottom w:val="single" w:sz="8" w:space="0" w:color="auto"/>
            </w:tcBorders>
            <w:shd w:val="clear" w:color="auto" w:fill="auto"/>
            <w:vAlign w:val="bottom"/>
          </w:tcPr>
          <w:p w14:paraId="56F97345" w14:textId="77777777" w:rsidR="00A52778" w:rsidRPr="00460F9E" w:rsidRDefault="00A52778" w:rsidP="00FC3F8E">
            <w:pPr>
              <w:spacing w:line="0" w:lineRule="atLeast"/>
              <w:rPr>
                <w:rFonts w:eastAsia="Times New Roman" w:cs="Times New Roman"/>
                <w:b/>
                <w:sz w:val="5"/>
              </w:rPr>
            </w:pPr>
          </w:p>
        </w:tc>
        <w:tc>
          <w:tcPr>
            <w:tcW w:w="481" w:type="dxa"/>
            <w:tcBorders>
              <w:bottom w:val="single" w:sz="8" w:space="0" w:color="auto"/>
            </w:tcBorders>
            <w:shd w:val="clear" w:color="auto" w:fill="auto"/>
            <w:vAlign w:val="bottom"/>
          </w:tcPr>
          <w:p w14:paraId="3AC7FA61" w14:textId="77777777" w:rsidR="00A52778" w:rsidRPr="00460F9E" w:rsidRDefault="00A52778" w:rsidP="00FC3F8E">
            <w:pPr>
              <w:spacing w:line="0" w:lineRule="atLeast"/>
              <w:rPr>
                <w:rFonts w:eastAsia="Times New Roman" w:cs="Times New Roman"/>
                <w:b/>
                <w:sz w:val="5"/>
              </w:rPr>
            </w:pPr>
          </w:p>
        </w:tc>
        <w:tc>
          <w:tcPr>
            <w:tcW w:w="385" w:type="dxa"/>
            <w:tcBorders>
              <w:bottom w:val="single" w:sz="8" w:space="0" w:color="auto"/>
              <w:right w:val="single" w:sz="8" w:space="0" w:color="auto"/>
            </w:tcBorders>
            <w:shd w:val="clear" w:color="auto" w:fill="auto"/>
            <w:vAlign w:val="bottom"/>
          </w:tcPr>
          <w:p w14:paraId="24DD2CB0" w14:textId="77777777" w:rsidR="00A52778" w:rsidRPr="00460F9E" w:rsidRDefault="00A52778" w:rsidP="00FC3F8E">
            <w:pPr>
              <w:spacing w:line="0" w:lineRule="atLeast"/>
              <w:rPr>
                <w:rFonts w:eastAsia="Times New Roman" w:cs="Times New Roman"/>
                <w:b/>
                <w:sz w:val="5"/>
              </w:rPr>
            </w:pPr>
          </w:p>
        </w:tc>
      </w:tr>
    </w:tbl>
    <w:p w14:paraId="56D0A9D2" w14:textId="77777777" w:rsidR="00A52778" w:rsidRPr="00493926" w:rsidRDefault="00A52778" w:rsidP="00A52778">
      <w:pPr>
        <w:spacing w:line="20" w:lineRule="exact"/>
        <w:rPr>
          <w:rFonts w:eastAsia="Times New Roman" w:cs="Times New Roman"/>
          <w:b/>
        </w:rPr>
      </w:pPr>
      <w:r w:rsidRPr="00460F9E">
        <w:rPr>
          <w:rFonts w:eastAsia="Times New Roman" w:cs="Times New Roman"/>
          <w:b/>
          <w:noProof/>
          <w:sz w:val="5"/>
          <w:lang w:val="tr-TR" w:eastAsia="tr-TR"/>
        </w:rPr>
        <mc:AlternateContent>
          <mc:Choice Requires="wps">
            <w:drawing>
              <wp:anchor distT="0" distB="0" distL="114300" distR="114300" simplePos="0" relativeHeight="251683840" behindDoc="1" locked="0" layoutInCell="1" allowOverlap="1" wp14:anchorId="12195E1D" wp14:editId="723C3335">
                <wp:simplePos x="0" y="0"/>
                <wp:positionH relativeFrom="column">
                  <wp:posOffset>6106160</wp:posOffset>
                </wp:positionH>
                <wp:positionV relativeFrom="paragraph">
                  <wp:posOffset>-8890</wp:posOffset>
                </wp:positionV>
                <wp:extent cx="12065" cy="12065"/>
                <wp:effectExtent l="635" t="1905" r="0" b="0"/>
                <wp:wrapNone/>
                <wp:docPr id="82" name="Dikdörtgen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02721" id="Dikdörtgen 82" o:spid="_x0000_s1026" style="position:absolute;margin-left:480.8pt;margin-top:-.7pt;width:.95pt;height:.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" fillcolor="black" strokecolor="white"/>
            </w:pict>
          </mc:Fallback>
        </mc:AlternateContent>
      </w:r>
      <w:bookmarkStart w:id="337" w:name="page318"/>
      <w:bookmarkEnd w:id="337"/>
    </w:p>
    <w:p w14:paraId="1E0FCE49" w14:textId="77777777" w:rsidR="00A52778" w:rsidRPr="00460F9E" w:rsidRDefault="00A52778" w:rsidP="00A52778">
      <w:pPr>
        <w:spacing w:line="20" w:lineRule="exact"/>
        <w:rPr>
          <w:rFonts w:eastAsia="Times New Roman" w:cs="Times New Roman"/>
          <w:b/>
        </w:rPr>
      </w:pPr>
    </w:p>
    <w:p w14:paraId="5F6976B2" w14:textId="77777777" w:rsidR="00A52778" w:rsidRPr="00460F9E" w:rsidRDefault="00A52778" w:rsidP="00A52778">
      <w:pPr>
        <w:spacing w:line="156" w:lineRule="exact"/>
        <w:rPr>
          <w:rFonts w:eastAsia="Times New Roman" w:cs="Times New Roman"/>
          <w:b/>
        </w:rPr>
      </w:pPr>
    </w:p>
    <w:tbl>
      <w:tblPr>
        <w:tblW w:w="0" w:type="auto"/>
        <w:tblInd w:w="557" w:type="dxa"/>
        <w:tblLayout w:type="fixed"/>
        <w:tblCellMar>
          <w:left w:w="0" w:type="dxa"/>
          <w:right w:w="0" w:type="dxa"/>
        </w:tblCellMar>
        <w:tblLook w:val="0000" w:firstRow="0" w:lastRow="0" w:firstColumn="0" w:lastColumn="0" w:noHBand="0" w:noVBand="0"/>
      </w:tblPr>
      <w:tblGrid>
        <w:gridCol w:w="426"/>
        <w:gridCol w:w="1134"/>
        <w:gridCol w:w="30"/>
        <w:gridCol w:w="1000"/>
        <w:gridCol w:w="520"/>
        <w:gridCol w:w="420"/>
        <w:gridCol w:w="200"/>
        <w:gridCol w:w="360"/>
        <w:gridCol w:w="840"/>
        <w:gridCol w:w="32"/>
        <w:gridCol w:w="992"/>
        <w:gridCol w:w="989"/>
        <w:gridCol w:w="71"/>
        <w:gridCol w:w="309"/>
        <w:gridCol w:w="71"/>
        <w:gridCol w:w="789"/>
        <w:gridCol w:w="71"/>
        <w:gridCol w:w="545"/>
        <w:gridCol w:w="71"/>
      </w:tblGrid>
      <w:tr w:rsidR="00A52778" w:rsidRPr="00460F9E" w14:paraId="6AF89972" w14:textId="77777777" w:rsidTr="00FC3F8E">
        <w:trPr>
          <w:gridAfter w:val="1"/>
          <w:wAfter w:w="67" w:type="dxa"/>
          <w:trHeight w:val="234"/>
        </w:trPr>
        <w:tc>
          <w:tcPr>
            <w:tcW w:w="426" w:type="dxa"/>
            <w:tcBorders>
              <w:top w:val="single" w:sz="8" w:space="0" w:color="auto"/>
              <w:left w:val="single" w:sz="8" w:space="0" w:color="auto"/>
              <w:right w:val="single" w:sz="8" w:space="0" w:color="auto"/>
            </w:tcBorders>
            <w:shd w:val="clear" w:color="auto" w:fill="auto"/>
            <w:vAlign w:val="bottom"/>
          </w:tcPr>
          <w:p w14:paraId="6BFB82FF" w14:textId="77777777" w:rsidR="00A52778" w:rsidRPr="00460F9E" w:rsidRDefault="00A52778" w:rsidP="00FC3F8E">
            <w:pPr>
              <w:spacing w:line="0" w:lineRule="atLeast"/>
              <w:rPr>
                <w:rFonts w:eastAsia="Times New Roman" w:cs="Times New Roman"/>
                <w:b/>
              </w:rPr>
            </w:pPr>
          </w:p>
        </w:tc>
        <w:tc>
          <w:tcPr>
            <w:tcW w:w="1134" w:type="dxa"/>
            <w:tcBorders>
              <w:top w:val="single" w:sz="8" w:space="0" w:color="auto"/>
              <w:right w:val="single" w:sz="8" w:space="0" w:color="auto"/>
            </w:tcBorders>
            <w:shd w:val="clear" w:color="auto" w:fill="auto"/>
            <w:vAlign w:val="bottom"/>
          </w:tcPr>
          <w:p w14:paraId="2ADD65E7"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w:t>
            </w:r>
          </w:p>
        </w:tc>
        <w:tc>
          <w:tcPr>
            <w:tcW w:w="3402" w:type="dxa"/>
            <w:gridSpan w:val="8"/>
            <w:tcBorders>
              <w:top w:val="single" w:sz="8" w:space="0" w:color="auto"/>
              <w:right w:val="single" w:sz="8" w:space="0" w:color="auto"/>
            </w:tcBorders>
            <w:shd w:val="clear" w:color="auto" w:fill="auto"/>
            <w:vAlign w:val="bottom"/>
          </w:tcPr>
          <w:p w14:paraId="0A9B0CBD"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Bu madde şunları ihtiva etmektedir:</w:t>
            </w:r>
          </w:p>
          <w:p w14:paraId="79445C83" w14:textId="77777777" w:rsidR="00A52778" w:rsidRPr="00460F9E" w:rsidRDefault="00A52778" w:rsidP="00FC3F8E">
            <w:pPr>
              <w:spacing w:line="0" w:lineRule="atLeast"/>
              <w:rPr>
                <w:rFonts w:eastAsia="Times New Roman" w:cs="Times New Roman"/>
                <w:b/>
              </w:rPr>
            </w:pPr>
          </w:p>
        </w:tc>
        <w:tc>
          <w:tcPr>
            <w:tcW w:w="992" w:type="dxa"/>
            <w:tcBorders>
              <w:top w:val="single" w:sz="8" w:space="0" w:color="auto"/>
              <w:right w:val="single" w:sz="8" w:space="0" w:color="auto"/>
            </w:tcBorders>
            <w:shd w:val="clear" w:color="auto" w:fill="auto"/>
            <w:vAlign w:val="bottom"/>
          </w:tcPr>
          <w:p w14:paraId="4E9E1416" w14:textId="77777777" w:rsidR="00A52778" w:rsidRPr="00460F9E" w:rsidRDefault="00A52778" w:rsidP="00FC3F8E">
            <w:pPr>
              <w:spacing w:line="0" w:lineRule="atLeast"/>
              <w:rPr>
                <w:rFonts w:eastAsia="Times New Roman" w:cs="Times New Roman"/>
                <w:b/>
              </w:rPr>
            </w:pPr>
          </w:p>
        </w:tc>
        <w:tc>
          <w:tcPr>
            <w:tcW w:w="989" w:type="dxa"/>
            <w:tcBorders>
              <w:top w:val="single" w:sz="8" w:space="0" w:color="auto"/>
            </w:tcBorders>
            <w:shd w:val="clear" w:color="auto" w:fill="auto"/>
            <w:vAlign w:val="bottom"/>
          </w:tcPr>
          <w:p w14:paraId="21756BA2" w14:textId="77777777" w:rsidR="00A52778" w:rsidRPr="00460F9E" w:rsidRDefault="00A52778" w:rsidP="00FC3F8E">
            <w:pPr>
              <w:spacing w:line="0" w:lineRule="atLeast"/>
              <w:rPr>
                <w:rFonts w:eastAsia="Times New Roman" w:cs="Times New Roman"/>
                <w:b/>
              </w:rPr>
            </w:pPr>
          </w:p>
        </w:tc>
        <w:tc>
          <w:tcPr>
            <w:tcW w:w="380" w:type="dxa"/>
            <w:gridSpan w:val="2"/>
            <w:tcBorders>
              <w:top w:val="single" w:sz="8" w:space="0" w:color="auto"/>
            </w:tcBorders>
            <w:shd w:val="clear" w:color="auto" w:fill="auto"/>
            <w:vAlign w:val="bottom"/>
          </w:tcPr>
          <w:p w14:paraId="30AEDEF3" w14:textId="77777777" w:rsidR="00A52778" w:rsidRPr="00460F9E" w:rsidRDefault="00A52778" w:rsidP="00FC3F8E">
            <w:pPr>
              <w:spacing w:line="0" w:lineRule="atLeast"/>
              <w:rPr>
                <w:rFonts w:eastAsia="Times New Roman" w:cs="Times New Roman"/>
                <w:b/>
              </w:rPr>
            </w:pPr>
          </w:p>
        </w:tc>
        <w:tc>
          <w:tcPr>
            <w:tcW w:w="860" w:type="dxa"/>
            <w:gridSpan w:val="2"/>
            <w:tcBorders>
              <w:top w:val="single" w:sz="8" w:space="0" w:color="auto"/>
            </w:tcBorders>
            <w:shd w:val="clear" w:color="auto" w:fill="auto"/>
            <w:vAlign w:val="bottom"/>
          </w:tcPr>
          <w:p w14:paraId="3FABD37D" w14:textId="77777777" w:rsidR="00A52778" w:rsidRPr="00460F9E" w:rsidRDefault="00A52778" w:rsidP="00FC3F8E">
            <w:pPr>
              <w:spacing w:line="0" w:lineRule="atLeast"/>
              <w:rPr>
                <w:rFonts w:eastAsia="Times New Roman" w:cs="Times New Roman"/>
                <w:b/>
              </w:rPr>
            </w:pPr>
          </w:p>
        </w:tc>
        <w:tc>
          <w:tcPr>
            <w:tcW w:w="616" w:type="dxa"/>
            <w:gridSpan w:val="2"/>
            <w:tcBorders>
              <w:top w:val="single" w:sz="8" w:space="0" w:color="auto"/>
              <w:right w:val="single" w:sz="8" w:space="0" w:color="auto"/>
            </w:tcBorders>
            <w:shd w:val="clear" w:color="auto" w:fill="auto"/>
            <w:vAlign w:val="bottom"/>
          </w:tcPr>
          <w:p w14:paraId="3DDD39A1" w14:textId="77777777" w:rsidR="00A52778" w:rsidRPr="00460F9E" w:rsidRDefault="00A52778" w:rsidP="00FC3F8E">
            <w:pPr>
              <w:spacing w:line="0" w:lineRule="atLeast"/>
              <w:rPr>
                <w:rFonts w:eastAsia="Times New Roman" w:cs="Times New Roman"/>
                <w:b/>
              </w:rPr>
            </w:pPr>
          </w:p>
        </w:tc>
      </w:tr>
      <w:tr w:rsidR="00A52778" w:rsidRPr="00460F9E" w14:paraId="693AF1E7" w14:textId="77777777" w:rsidTr="00FC3F8E">
        <w:trPr>
          <w:trHeight w:val="305"/>
        </w:trPr>
        <w:tc>
          <w:tcPr>
            <w:tcW w:w="426" w:type="dxa"/>
            <w:tcBorders>
              <w:left w:val="single" w:sz="8" w:space="0" w:color="auto"/>
              <w:right w:val="single" w:sz="8" w:space="0" w:color="auto"/>
            </w:tcBorders>
            <w:shd w:val="clear" w:color="auto" w:fill="auto"/>
            <w:vAlign w:val="bottom"/>
          </w:tcPr>
          <w:p w14:paraId="5E23A0F3" w14:textId="77777777" w:rsidR="00A52778" w:rsidRPr="00460F9E" w:rsidRDefault="00A52778" w:rsidP="00FC3F8E">
            <w:pPr>
              <w:spacing w:line="0" w:lineRule="atLeast"/>
              <w:rPr>
                <w:rFonts w:eastAsia="Times New Roman" w:cs="Times New Roman"/>
                <w:b/>
              </w:rPr>
            </w:pPr>
          </w:p>
        </w:tc>
        <w:tc>
          <w:tcPr>
            <w:tcW w:w="1134" w:type="dxa"/>
            <w:tcBorders>
              <w:right w:val="single" w:sz="8" w:space="0" w:color="auto"/>
            </w:tcBorders>
            <w:shd w:val="clear" w:color="auto" w:fill="auto"/>
            <w:vAlign w:val="bottom"/>
          </w:tcPr>
          <w:p w14:paraId="17E271E8" w14:textId="77777777" w:rsidR="00A52778" w:rsidRPr="00460F9E" w:rsidRDefault="00A52778" w:rsidP="00FC3F8E">
            <w:pPr>
              <w:spacing w:line="0" w:lineRule="atLeast"/>
              <w:rPr>
                <w:rFonts w:eastAsia="Times New Roman" w:cs="Times New Roman"/>
                <w:b/>
              </w:rPr>
            </w:pPr>
          </w:p>
        </w:tc>
        <w:tc>
          <w:tcPr>
            <w:tcW w:w="30" w:type="dxa"/>
            <w:shd w:val="clear" w:color="auto" w:fill="auto"/>
            <w:vAlign w:val="bottom"/>
          </w:tcPr>
          <w:p w14:paraId="65388CC6" w14:textId="77777777" w:rsidR="00A52778" w:rsidRPr="00460F9E" w:rsidRDefault="00A52778" w:rsidP="00FC3F8E">
            <w:pPr>
              <w:spacing w:line="0" w:lineRule="atLeast"/>
              <w:rPr>
                <w:rFonts w:eastAsia="Times New Roman" w:cs="Times New Roman"/>
                <w:b/>
              </w:rPr>
            </w:pPr>
          </w:p>
        </w:tc>
        <w:tc>
          <w:tcPr>
            <w:tcW w:w="3340" w:type="dxa"/>
            <w:gridSpan w:val="6"/>
            <w:vMerge w:val="restart"/>
            <w:tcBorders>
              <w:right w:val="single" w:sz="8" w:space="0" w:color="auto"/>
            </w:tcBorders>
            <w:shd w:val="clear" w:color="auto" w:fill="auto"/>
          </w:tcPr>
          <w:p w14:paraId="457D6A4F"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buhar dengelenmesi                          </w:t>
            </w:r>
          </w:p>
          <w:p w14:paraId="7764457E" w14:textId="77777777" w:rsidR="00A52778" w:rsidRPr="00460F9E" w:rsidRDefault="00A52778" w:rsidP="00FC3F8E">
            <w:pPr>
              <w:spacing w:line="0" w:lineRule="atLeast"/>
              <w:rPr>
                <w:rFonts w:cs="Times New Roman"/>
                <w:b/>
              </w:rPr>
            </w:pPr>
            <w:r w:rsidRPr="00460F9E">
              <w:rPr>
                <w:rFonts w:eastAsia="Times New Roman" w:cs="Times New Roman"/>
              </w:rPr>
              <w:t xml:space="preserve">  (bkz. Bölüm </w:t>
            </w:r>
            <w:hyperlink w:anchor="page334" w:history="1">
              <w:r w:rsidRPr="00460F9E">
                <w:rPr>
                  <w:rFonts w:eastAsia="Times New Roman" w:cs="Times New Roman"/>
                </w:rPr>
                <w:t>4.4.3);</w:t>
              </w:r>
            </w:hyperlink>
          </w:p>
          <w:p w14:paraId="5CCAE915"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katı/sıvı ve sıvı/sıvı faz ayrımları için </w:t>
            </w:r>
          </w:p>
          <w:p w14:paraId="6F5CC3A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kapalı sistemler;</w:t>
            </w:r>
          </w:p>
          <w:p w14:paraId="54CA2B77"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temizlik işlemleri için kapalı sistemler;</w:t>
            </w:r>
          </w:p>
          <w:p w14:paraId="6AF259C2"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kapalı kanalizasyonlar ve/veya atık su </w:t>
            </w:r>
          </w:p>
          <w:p w14:paraId="6E6A4609"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arıtma tesisleri;</w:t>
            </w:r>
          </w:p>
          <w:p w14:paraId="7E0DAA19"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kapalı numune alma sistemleri;</w:t>
            </w:r>
          </w:p>
          <w:p w14:paraId="6D437166"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kapalı depolama alanları.</w:t>
            </w:r>
          </w:p>
        </w:tc>
        <w:tc>
          <w:tcPr>
            <w:tcW w:w="1020" w:type="dxa"/>
            <w:gridSpan w:val="2"/>
            <w:tcBorders>
              <w:right w:val="single" w:sz="8" w:space="0" w:color="auto"/>
            </w:tcBorders>
            <w:shd w:val="clear" w:color="auto" w:fill="auto"/>
            <w:vAlign w:val="bottom"/>
          </w:tcPr>
          <w:p w14:paraId="4F623AAF" w14:textId="77777777" w:rsidR="00A52778" w:rsidRPr="00460F9E" w:rsidRDefault="00A52778" w:rsidP="00FC3F8E">
            <w:pPr>
              <w:spacing w:line="0" w:lineRule="atLeast"/>
              <w:rPr>
                <w:rFonts w:eastAsia="Times New Roman" w:cs="Times New Roman"/>
                <w:b/>
              </w:rPr>
            </w:pPr>
          </w:p>
        </w:tc>
        <w:tc>
          <w:tcPr>
            <w:tcW w:w="1060" w:type="dxa"/>
            <w:gridSpan w:val="2"/>
            <w:shd w:val="clear" w:color="auto" w:fill="auto"/>
            <w:vAlign w:val="bottom"/>
          </w:tcPr>
          <w:p w14:paraId="06722352" w14:textId="77777777" w:rsidR="00A52778" w:rsidRPr="00460F9E" w:rsidRDefault="00A52778" w:rsidP="00FC3F8E">
            <w:pPr>
              <w:spacing w:line="0" w:lineRule="atLeast"/>
              <w:rPr>
                <w:rFonts w:eastAsia="Times New Roman" w:cs="Times New Roman"/>
                <w:b/>
              </w:rPr>
            </w:pPr>
          </w:p>
        </w:tc>
        <w:tc>
          <w:tcPr>
            <w:tcW w:w="380" w:type="dxa"/>
            <w:gridSpan w:val="2"/>
            <w:shd w:val="clear" w:color="auto" w:fill="auto"/>
            <w:vAlign w:val="bottom"/>
          </w:tcPr>
          <w:p w14:paraId="63C1A8CD" w14:textId="77777777" w:rsidR="00A52778" w:rsidRPr="00460F9E" w:rsidRDefault="00A52778" w:rsidP="00FC3F8E">
            <w:pPr>
              <w:spacing w:line="0" w:lineRule="atLeast"/>
              <w:rPr>
                <w:rFonts w:eastAsia="Times New Roman" w:cs="Times New Roman"/>
                <w:b/>
              </w:rPr>
            </w:pPr>
          </w:p>
        </w:tc>
        <w:tc>
          <w:tcPr>
            <w:tcW w:w="860" w:type="dxa"/>
            <w:gridSpan w:val="2"/>
            <w:shd w:val="clear" w:color="auto" w:fill="auto"/>
            <w:vAlign w:val="bottom"/>
          </w:tcPr>
          <w:p w14:paraId="17759A2A" w14:textId="77777777" w:rsidR="00A52778" w:rsidRPr="00460F9E" w:rsidRDefault="00A52778" w:rsidP="00FC3F8E">
            <w:pPr>
              <w:spacing w:line="0" w:lineRule="atLeast"/>
              <w:rPr>
                <w:rFonts w:eastAsia="Times New Roman" w:cs="Times New Roman"/>
                <w:b/>
              </w:rPr>
            </w:pPr>
          </w:p>
        </w:tc>
        <w:tc>
          <w:tcPr>
            <w:tcW w:w="616" w:type="dxa"/>
            <w:gridSpan w:val="2"/>
            <w:tcBorders>
              <w:right w:val="single" w:sz="8" w:space="0" w:color="auto"/>
            </w:tcBorders>
            <w:shd w:val="clear" w:color="auto" w:fill="auto"/>
            <w:vAlign w:val="bottom"/>
          </w:tcPr>
          <w:p w14:paraId="15A800FF" w14:textId="77777777" w:rsidR="00A52778" w:rsidRPr="00460F9E" w:rsidRDefault="00A52778" w:rsidP="00FC3F8E">
            <w:pPr>
              <w:spacing w:line="0" w:lineRule="atLeast"/>
              <w:rPr>
                <w:rFonts w:eastAsia="Times New Roman" w:cs="Times New Roman"/>
                <w:b/>
              </w:rPr>
            </w:pPr>
          </w:p>
        </w:tc>
      </w:tr>
      <w:tr w:rsidR="00A52778" w:rsidRPr="00460F9E" w14:paraId="2BA8FF63" w14:textId="77777777" w:rsidTr="00FC3F8E">
        <w:trPr>
          <w:trHeight w:val="305"/>
        </w:trPr>
        <w:tc>
          <w:tcPr>
            <w:tcW w:w="426" w:type="dxa"/>
            <w:tcBorders>
              <w:left w:val="single" w:sz="8" w:space="0" w:color="auto"/>
              <w:right w:val="single" w:sz="8" w:space="0" w:color="auto"/>
            </w:tcBorders>
            <w:shd w:val="clear" w:color="auto" w:fill="auto"/>
            <w:vAlign w:val="bottom"/>
          </w:tcPr>
          <w:p w14:paraId="155F1EC3" w14:textId="77777777" w:rsidR="00A52778" w:rsidRPr="00460F9E" w:rsidRDefault="00A52778" w:rsidP="00FC3F8E">
            <w:pPr>
              <w:spacing w:line="0" w:lineRule="atLeast"/>
              <w:rPr>
                <w:rFonts w:eastAsia="Times New Roman" w:cs="Times New Roman"/>
                <w:b/>
              </w:rPr>
            </w:pPr>
          </w:p>
        </w:tc>
        <w:tc>
          <w:tcPr>
            <w:tcW w:w="1134" w:type="dxa"/>
            <w:tcBorders>
              <w:right w:val="single" w:sz="8" w:space="0" w:color="auto"/>
            </w:tcBorders>
            <w:shd w:val="clear" w:color="auto" w:fill="auto"/>
            <w:vAlign w:val="bottom"/>
          </w:tcPr>
          <w:p w14:paraId="7D2BCB45" w14:textId="77777777" w:rsidR="00A52778" w:rsidRPr="00460F9E" w:rsidRDefault="00A52778" w:rsidP="00FC3F8E">
            <w:pPr>
              <w:spacing w:line="0" w:lineRule="atLeast"/>
              <w:rPr>
                <w:rFonts w:eastAsia="Times New Roman" w:cs="Times New Roman"/>
                <w:b/>
              </w:rPr>
            </w:pPr>
          </w:p>
        </w:tc>
        <w:tc>
          <w:tcPr>
            <w:tcW w:w="30" w:type="dxa"/>
            <w:shd w:val="clear" w:color="auto" w:fill="auto"/>
            <w:vAlign w:val="bottom"/>
          </w:tcPr>
          <w:p w14:paraId="14220B42" w14:textId="77777777" w:rsidR="00A52778" w:rsidRPr="00460F9E" w:rsidRDefault="00A52778" w:rsidP="00FC3F8E">
            <w:pPr>
              <w:spacing w:line="0" w:lineRule="atLeast"/>
              <w:rPr>
                <w:rFonts w:eastAsia="Times New Roman" w:cs="Times New Roman"/>
                <w:b/>
              </w:rPr>
            </w:pPr>
          </w:p>
        </w:tc>
        <w:tc>
          <w:tcPr>
            <w:tcW w:w="3340" w:type="dxa"/>
            <w:gridSpan w:val="6"/>
            <w:vMerge/>
            <w:tcBorders>
              <w:right w:val="single" w:sz="8" w:space="0" w:color="auto"/>
            </w:tcBorders>
            <w:shd w:val="clear" w:color="auto" w:fill="auto"/>
            <w:vAlign w:val="bottom"/>
          </w:tcPr>
          <w:p w14:paraId="791699BF" w14:textId="77777777" w:rsidR="00A52778" w:rsidRPr="00460F9E" w:rsidRDefault="00A52778" w:rsidP="00FC3F8E">
            <w:pPr>
              <w:spacing w:line="0" w:lineRule="atLeast"/>
              <w:rPr>
                <w:rFonts w:eastAsia="Times New Roman" w:cs="Times New Roman"/>
                <w:b/>
              </w:rPr>
            </w:pPr>
          </w:p>
        </w:tc>
        <w:tc>
          <w:tcPr>
            <w:tcW w:w="1020" w:type="dxa"/>
            <w:gridSpan w:val="2"/>
            <w:tcBorders>
              <w:right w:val="single" w:sz="8" w:space="0" w:color="auto"/>
            </w:tcBorders>
            <w:shd w:val="clear" w:color="auto" w:fill="auto"/>
            <w:vAlign w:val="bottom"/>
          </w:tcPr>
          <w:p w14:paraId="73152C1F" w14:textId="77777777" w:rsidR="00A52778" w:rsidRPr="00460F9E" w:rsidRDefault="00A52778" w:rsidP="00FC3F8E">
            <w:pPr>
              <w:spacing w:line="0" w:lineRule="atLeast"/>
              <w:rPr>
                <w:rFonts w:eastAsia="Times New Roman" w:cs="Times New Roman"/>
                <w:b/>
              </w:rPr>
            </w:pPr>
          </w:p>
        </w:tc>
        <w:tc>
          <w:tcPr>
            <w:tcW w:w="1060" w:type="dxa"/>
            <w:gridSpan w:val="2"/>
            <w:shd w:val="clear" w:color="auto" w:fill="auto"/>
            <w:vAlign w:val="bottom"/>
          </w:tcPr>
          <w:p w14:paraId="0E4A854B" w14:textId="77777777" w:rsidR="00A52778" w:rsidRPr="00460F9E" w:rsidRDefault="00A52778" w:rsidP="00FC3F8E">
            <w:pPr>
              <w:spacing w:line="0" w:lineRule="atLeast"/>
              <w:rPr>
                <w:rFonts w:eastAsia="Times New Roman" w:cs="Times New Roman"/>
                <w:b/>
              </w:rPr>
            </w:pPr>
          </w:p>
        </w:tc>
        <w:tc>
          <w:tcPr>
            <w:tcW w:w="380" w:type="dxa"/>
            <w:gridSpan w:val="2"/>
            <w:shd w:val="clear" w:color="auto" w:fill="auto"/>
            <w:vAlign w:val="bottom"/>
          </w:tcPr>
          <w:p w14:paraId="5BE8549A" w14:textId="77777777" w:rsidR="00A52778" w:rsidRPr="00460F9E" w:rsidRDefault="00A52778" w:rsidP="00FC3F8E">
            <w:pPr>
              <w:spacing w:line="0" w:lineRule="atLeast"/>
              <w:rPr>
                <w:rFonts w:eastAsia="Times New Roman" w:cs="Times New Roman"/>
                <w:b/>
              </w:rPr>
            </w:pPr>
          </w:p>
        </w:tc>
        <w:tc>
          <w:tcPr>
            <w:tcW w:w="860" w:type="dxa"/>
            <w:gridSpan w:val="2"/>
            <w:shd w:val="clear" w:color="auto" w:fill="auto"/>
            <w:vAlign w:val="bottom"/>
          </w:tcPr>
          <w:p w14:paraId="7B028749" w14:textId="77777777" w:rsidR="00A52778" w:rsidRPr="00460F9E" w:rsidRDefault="00A52778" w:rsidP="00FC3F8E">
            <w:pPr>
              <w:spacing w:line="0" w:lineRule="atLeast"/>
              <w:rPr>
                <w:rFonts w:eastAsia="Times New Roman" w:cs="Times New Roman"/>
                <w:b/>
              </w:rPr>
            </w:pPr>
          </w:p>
        </w:tc>
        <w:tc>
          <w:tcPr>
            <w:tcW w:w="616" w:type="dxa"/>
            <w:gridSpan w:val="2"/>
            <w:tcBorders>
              <w:right w:val="single" w:sz="8" w:space="0" w:color="auto"/>
            </w:tcBorders>
            <w:shd w:val="clear" w:color="auto" w:fill="auto"/>
            <w:vAlign w:val="bottom"/>
          </w:tcPr>
          <w:p w14:paraId="2B0CF894" w14:textId="77777777" w:rsidR="00A52778" w:rsidRPr="00460F9E" w:rsidRDefault="00A52778" w:rsidP="00FC3F8E">
            <w:pPr>
              <w:spacing w:line="0" w:lineRule="atLeast"/>
              <w:rPr>
                <w:rFonts w:eastAsia="Times New Roman" w:cs="Times New Roman"/>
                <w:b/>
              </w:rPr>
            </w:pPr>
          </w:p>
        </w:tc>
      </w:tr>
      <w:tr w:rsidR="00A52778" w:rsidRPr="00460F9E" w14:paraId="06C9E1C6" w14:textId="77777777" w:rsidTr="00FC3F8E">
        <w:trPr>
          <w:trHeight w:val="230"/>
        </w:trPr>
        <w:tc>
          <w:tcPr>
            <w:tcW w:w="426" w:type="dxa"/>
            <w:tcBorders>
              <w:left w:val="single" w:sz="8" w:space="0" w:color="auto"/>
              <w:right w:val="single" w:sz="8" w:space="0" w:color="auto"/>
            </w:tcBorders>
            <w:shd w:val="clear" w:color="auto" w:fill="auto"/>
            <w:vAlign w:val="bottom"/>
          </w:tcPr>
          <w:p w14:paraId="0D5A4698" w14:textId="77777777" w:rsidR="00A52778" w:rsidRPr="00460F9E" w:rsidRDefault="00A52778" w:rsidP="00FC3F8E">
            <w:pPr>
              <w:spacing w:line="0" w:lineRule="atLeast"/>
              <w:rPr>
                <w:rFonts w:eastAsia="Times New Roman" w:cs="Times New Roman"/>
                <w:b/>
              </w:rPr>
            </w:pPr>
          </w:p>
        </w:tc>
        <w:tc>
          <w:tcPr>
            <w:tcW w:w="1134" w:type="dxa"/>
            <w:tcBorders>
              <w:right w:val="single" w:sz="8" w:space="0" w:color="auto"/>
            </w:tcBorders>
            <w:shd w:val="clear" w:color="auto" w:fill="auto"/>
            <w:vAlign w:val="bottom"/>
          </w:tcPr>
          <w:p w14:paraId="5B52EF96" w14:textId="77777777" w:rsidR="00A52778" w:rsidRPr="00460F9E" w:rsidRDefault="00A52778" w:rsidP="00FC3F8E">
            <w:pPr>
              <w:spacing w:line="0" w:lineRule="atLeast"/>
              <w:rPr>
                <w:rFonts w:eastAsia="Times New Roman" w:cs="Times New Roman"/>
                <w:b/>
              </w:rPr>
            </w:pPr>
          </w:p>
        </w:tc>
        <w:tc>
          <w:tcPr>
            <w:tcW w:w="30" w:type="dxa"/>
            <w:shd w:val="clear" w:color="auto" w:fill="auto"/>
            <w:vAlign w:val="bottom"/>
          </w:tcPr>
          <w:p w14:paraId="17BE3A71" w14:textId="77777777" w:rsidR="00A52778" w:rsidRPr="00460F9E" w:rsidRDefault="00A52778" w:rsidP="00FC3F8E">
            <w:pPr>
              <w:spacing w:line="0" w:lineRule="atLeast"/>
              <w:rPr>
                <w:rFonts w:eastAsia="Times New Roman" w:cs="Times New Roman"/>
                <w:b/>
              </w:rPr>
            </w:pPr>
          </w:p>
        </w:tc>
        <w:tc>
          <w:tcPr>
            <w:tcW w:w="3340" w:type="dxa"/>
            <w:gridSpan w:val="6"/>
            <w:vMerge/>
            <w:tcBorders>
              <w:right w:val="single" w:sz="8" w:space="0" w:color="auto"/>
            </w:tcBorders>
            <w:shd w:val="clear" w:color="auto" w:fill="auto"/>
            <w:vAlign w:val="bottom"/>
          </w:tcPr>
          <w:p w14:paraId="77D4B892" w14:textId="77777777" w:rsidR="00A52778" w:rsidRPr="00460F9E" w:rsidRDefault="00A52778" w:rsidP="00FC3F8E">
            <w:pPr>
              <w:spacing w:line="0" w:lineRule="atLeast"/>
              <w:rPr>
                <w:rFonts w:eastAsia="Times New Roman" w:cs="Times New Roman"/>
                <w:b/>
              </w:rPr>
            </w:pPr>
          </w:p>
        </w:tc>
        <w:tc>
          <w:tcPr>
            <w:tcW w:w="1020" w:type="dxa"/>
            <w:gridSpan w:val="2"/>
            <w:tcBorders>
              <w:right w:val="single" w:sz="8" w:space="0" w:color="auto"/>
            </w:tcBorders>
            <w:shd w:val="clear" w:color="auto" w:fill="auto"/>
            <w:vAlign w:val="bottom"/>
          </w:tcPr>
          <w:p w14:paraId="36B9A9BB" w14:textId="77777777" w:rsidR="00A52778" w:rsidRPr="00460F9E" w:rsidRDefault="00A52778" w:rsidP="00FC3F8E">
            <w:pPr>
              <w:spacing w:line="0" w:lineRule="atLeast"/>
              <w:rPr>
                <w:rFonts w:eastAsia="Times New Roman" w:cs="Times New Roman"/>
                <w:b/>
              </w:rPr>
            </w:pPr>
          </w:p>
        </w:tc>
        <w:tc>
          <w:tcPr>
            <w:tcW w:w="1060" w:type="dxa"/>
            <w:gridSpan w:val="2"/>
            <w:shd w:val="clear" w:color="auto" w:fill="auto"/>
            <w:vAlign w:val="bottom"/>
          </w:tcPr>
          <w:p w14:paraId="0BB14BF8" w14:textId="77777777" w:rsidR="00A52778" w:rsidRPr="00460F9E" w:rsidRDefault="00A52778" w:rsidP="00FC3F8E">
            <w:pPr>
              <w:spacing w:line="0" w:lineRule="atLeast"/>
              <w:rPr>
                <w:rFonts w:eastAsia="Times New Roman" w:cs="Times New Roman"/>
                <w:b/>
              </w:rPr>
            </w:pPr>
          </w:p>
        </w:tc>
        <w:tc>
          <w:tcPr>
            <w:tcW w:w="380" w:type="dxa"/>
            <w:gridSpan w:val="2"/>
            <w:shd w:val="clear" w:color="auto" w:fill="auto"/>
            <w:vAlign w:val="bottom"/>
          </w:tcPr>
          <w:p w14:paraId="2BBC2530" w14:textId="77777777" w:rsidR="00A52778" w:rsidRPr="00460F9E" w:rsidRDefault="00A52778" w:rsidP="00FC3F8E">
            <w:pPr>
              <w:spacing w:line="0" w:lineRule="atLeast"/>
              <w:rPr>
                <w:rFonts w:eastAsia="Times New Roman" w:cs="Times New Roman"/>
                <w:b/>
              </w:rPr>
            </w:pPr>
          </w:p>
        </w:tc>
        <w:tc>
          <w:tcPr>
            <w:tcW w:w="860" w:type="dxa"/>
            <w:gridSpan w:val="2"/>
            <w:shd w:val="clear" w:color="auto" w:fill="auto"/>
            <w:vAlign w:val="bottom"/>
          </w:tcPr>
          <w:p w14:paraId="6BEB6FD6" w14:textId="77777777" w:rsidR="00A52778" w:rsidRPr="00460F9E" w:rsidRDefault="00A52778" w:rsidP="00FC3F8E">
            <w:pPr>
              <w:spacing w:line="0" w:lineRule="atLeast"/>
              <w:rPr>
                <w:rFonts w:eastAsia="Times New Roman" w:cs="Times New Roman"/>
                <w:b/>
              </w:rPr>
            </w:pPr>
          </w:p>
        </w:tc>
        <w:tc>
          <w:tcPr>
            <w:tcW w:w="616" w:type="dxa"/>
            <w:gridSpan w:val="2"/>
            <w:tcBorders>
              <w:right w:val="single" w:sz="8" w:space="0" w:color="auto"/>
            </w:tcBorders>
            <w:shd w:val="clear" w:color="auto" w:fill="auto"/>
            <w:vAlign w:val="bottom"/>
          </w:tcPr>
          <w:p w14:paraId="422E56EF" w14:textId="77777777" w:rsidR="00A52778" w:rsidRPr="00460F9E" w:rsidRDefault="00A52778" w:rsidP="00FC3F8E">
            <w:pPr>
              <w:spacing w:line="0" w:lineRule="atLeast"/>
              <w:rPr>
                <w:rFonts w:eastAsia="Times New Roman" w:cs="Times New Roman"/>
                <w:b/>
              </w:rPr>
            </w:pPr>
          </w:p>
        </w:tc>
      </w:tr>
      <w:tr w:rsidR="00A52778" w:rsidRPr="00460F9E" w14:paraId="4580C365" w14:textId="77777777" w:rsidTr="00FC3F8E">
        <w:trPr>
          <w:trHeight w:val="316"/>
        </w:trPr>
        <w:tc>
          <w:tcPr>
            <w:tcW w:w="426" w:type="dxa"/>
            <w:tcBorders>
              <w:left w:val="single" w:sz="8" w:space="0" w:color="auto"/>
              <w:right w:val="single" w:sz="8" w:space="0" w:color="auto"/>
            </w:tcBorders>
            <w:shd w:val="clear" w:color="auto" w:fill="auto"/>
            <w:vAlign w:val="bottom"/>
          </w:tcPr>
          <w:p w14:paraId="09E71F55" w14:textId="77777777" w:rsidR="00A52778" w:rsidRPr="00460F9E" w:rsidRDefault="00A52778" w:rsidP="00FC3F8E">
            <w:pPr>
              <w:spacing w:line="0" w:lineRule="atLeast"/>
              <w:rPr>
                <w:rFonts w:eastAsia="Times New Roman" w:cs="Times New Roman"/>
                <w:b/>
              </w:rPr>
            </w:pPr>
          </w:p>
        </w:tc>
        <w:tc>
          <w:tcPr>
            <w:tcW w:w="1134" w:type="dxa"/>
            <w:tcBorders>
              <w:right w:val="single" w:sz="8" w:space="0" w:color="auto"/>
            </w:tcBorders>
            <w:shd w:val="clear" w:color="auto" w:fill="auto"/>
            <w:vAlign w:val="bottom"/>
          </w:tcPr>
          <w:p w14:paraId="02A9AE6A" w14:textId="77777777" w:rsidR="00A52778" w:rsidRPr="00460F9E" w:rsidRDefault="00A52778" w:rsidP="00FC3F8E">
            <w:pPr>
              <w:spacing w:line="0" w:lineRule="atLeast"/>
              <w:rPr>
                <w:rFonts w:eastAsia="Times New Roman" w:cs="Times New Roman"/>
                <w:b/>
              </w:rPr>
            </w:pPr>
          </w:p>
        </w:tc>
        <w:tc>
          <w:tcPr>
            <w:tcW w:w="30" w:type="dxa"/>
            <w:shd w:val="clear" w:color="auto" w:fill="auto"/>
            <w:vAlign w:val="bottom"/>
          </w:tcPr>
          <w:p w14:paraId="4294C444" w14:textId="77777777" w:rsidR="00A52778" w:rsidRPr="00460F9E" w:rsidRDefault="00A52778" w:rsidP="00FC3F8E">
            <w:pPr>
              <w:spacing w:line="0" w:lineRule="atLeast"/>
              <w:rPr>
                <w:rFonts w:eastAsia="Times New Roman" w:cs="Times New Roman"/>
                <w:b/>
              </w:rPr>
            </w:pPr>
          </w:p>
        </w:tc>
        <w:tc>
          <w:tcPr>
            <w:tcW w:w="3340" w:type="dxa"/>
            <w:gridSpan w:val="6"/>
            <w:vMerge/>
            <w:tcBorders>
              <w:right w:val="single" w:sz="8" w:space="0" w:color="auto"/>
            </w:tcBorders>
            <w:shd w:val="clear" w:color="auto" w:fill="auto"/>
            <w:vAlign w:val="bottom"/>
          </w:tcPr>
          <w:p w14:paraId="603A418A" w14:textId="77777777" w:rsidR="00A52778" w:rsidRPr="00460F9E" w:rsidRDefault="00A52778" w:rsidP="00FC3F8E">
            <w:pPr>
              <w:spacing w:line="0" w:lineRule="atLeast"/>
              <w:rPr>
                <w:rFonts w:eastAsia="Times New Roman" w:cs="Times New Roman"/>
                <w:b/>
              </w:rPr>
            </w:pPr>
          </w:p>
        </w:tc>
        <w:tc>
          <w:tcPr>
            <w:tcW w:w="1020" w:type="dxa"/>
            <w:gridSpan w:val="2"/>
            <w:tcBorders>
              <w:left w:val="single" w:sz="8" w:space="0" w:color="auto"/>
              <w:right w:val="single" w:sz="8" w:space="0" w:color="auto"/>
            </w:tcBorders>
            <w:shd w:val="clear" w:color="auto" w:fill="auto"/>
            <w:vAlign w:val="bottom"/>
          </w:tcPr>
          <w:p w14:paraId="35F13E00" w14:textId="77777777" w:rsidR="00A52778" w:rsidRPr="00460F9E" w:rsidRDefault="00A52778" w:rsidP="00FC3F8E">
            <w:pPr>
              <w:spacing w:line="0" w:lineRule="atLeast"/>
              <w:rPr>
                <w:rFonts w:eastAsia="Times New Roman" w:cs="Times New Roman"/>
                <w:b/>
              </w:rPr>
            </w:pPr>
          </w:p>
        </w:tc>
        <w:tc>
          <w:tcPr>
            <w:tcW w:w="2916" w:type="dxa"/>
            <w:gridSpan w:val="8"/>
            <w:vMerge w:val="restart"/>
            <w:tcBorders>
              <w:right w:val="single" w:sz="8" w:space="0" w:color="auto"/>
            </w:tcBorders>
            <w:shd w:val="clear" w:color="auto" w:fill="auto"/>
            <w:vAlign w:val="bottom"/>
          </w:tcPr>
          <w:p w14:paraId="02E44AF0"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Uygulanabilirliği, mevcut </w:t>
            </w:r>
          </w:p>
          <w:p w14:paraId="0B1B90DD"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tesisler söz konusu olduğunda </w:t>
            </w:r>
          </w:p>
          <w:p w14:paraId="3B912031"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operasyonel kısıtlamalar </w:t>
            </w:r>
          </w:p>
          <w:p w14:paraId="498CC139"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ve/veya güvenlik kaygıları </w:t>
            </w:r>
          </w:p>
          <w:p w14:paraId="37DD7290"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nedeniyle kısıtlanabilir.</w:t>
            </w:r>
          </w:p>
        </w:tc>
      </w:tr>
      <w:tr w:rsidR="00A52778" w:rsidRPr="00460F9E" w14:paraId="6ABFD5E7" w14:textId="77777777" w:rsidTr="00FC3F8E">
        <w:trPr>
          <w:trHeight w:val="248"/>
        </w:trPr>
        <w:tc>
          <w:tcPr>
            <w:tcW w:w="426" w:type="dxa"/>
            <w:tcBorders>
              <w:left w:val="single" w:sz="8" w:space="0" w:color="auto"/>
              <w:right w:val="single" w:sz="8" w:space="0" w:color="auto"/>
            </w:tcBorders>
            <w:shd w:val="clear" w:color="auto" w:fill="auto"/>
            <w:vAlign w:val="bottom"/>
          </w:tcPr>
          <w:p w14:paraId="77D4E5A9" w14:textId="77777777" w:rsidR="00A52778" w:rsidRPr="00460F9E" w:rsidRDefault="00A52778" w:rsidP="00FC3F8E">
            <w:pPr>
              <w:spacing w:line="0" w:lineRule="atLeast"/>
              <w:rPr>
                <w:rFonts w:eastAsia="Times New Roman" w:cs="Times New Roman"/>
                <w:b/>
                <w:sz w:val="21"/>
              </w:rPr>
            </w:pPr>
          </w:p>
        </w:tc>
        <w:tc>
          <w:tcPr>
            <w:tcW w:w="1134" w:type="dxa"/>
            <w:vMerge w:val="restart"/>
            <w:tcBorders>
              <w:right w:val="single" w:sz="8" w:space="0" w:color="auto"/>
            </w:tcBorders>
            <w:shd w:val="clear" w:color="auto" w:fill="auto"/>
            <w:vAlign w:val="bottom"/>
          </w:tcPr>
          <w:p w14:paraId="3D7B7AC8" w14:textId="77777777" w:rsidR="00A52778" w:rsidRPr="00460F9E" w:rsidRDefault="00A52778" w:rsidP="00FC3F8E">
            <w:pPr>
              <w:spacing w:line="219" w:lineRule="exact"/>
              <w:ind w:left="100"/>
              <w:rPr>
                <w:rFonts w:eastAsia="Times New Roman" w:cs="Times New Roman"/>
                <w:b/>
              </w:rPr>
            </w:pPr>
            <w:r w:rsidRPr="00460F9E">
              <w:rPr>
                <w:rFonts w:eastAsia="Times New Roman" w:cs="Times New Roman"/>
              </w:rPr>
              <w:t>Kapalı sistemlerin kullanılması</w:t>
            </w:r>
          </w:p>
        </w:tc>
        <w:tc>
          <w:tcPr>
            <w:tcW w:w="30" w:type="dxa"/>
            <w:shd w:val="clear" w:color="auto" w:fill="auto"/>
            <w:vAlign w:val="bottom"/>
          </w:tcPr>
          <w:p w14:paraId="45222432" w14:textId="77777777" w:rsidR="00A52778" w:rsidRPr="00460F9E" w:rsidRDefault="00A52778" w:rsidP="00FC3F8E">
            <w:pPr>
              <w:spacing w:line="0" w:lineRule="atLeast"/>
              <w:rPr>
                <w:rFonts w:eastAsia="Times New Roman" w:cs="Times New Roman"/>
                <w:b/>
                <w:sz w:val="21"/>
              </w:rPr>
            </w:pPr>
          </w:p>
        </w:tc>
        <w:tc>
          <w:tcPr>
            <w:tcW w:w="3340" w:type="dxa"/>
            <w:gridSpan w:val="6"/>
            <w:vMerge/>
            <w:tcBorders>
              <w:right w:val="single" w:sz="8" w:space="0" w:color="auto"/>
            </w:tcBorders>
            <w:shd w:val="clear" w:color="auto" w:fill="auto"/>
            <w:vAlign w:val="bottom"/>
          </w:tcPr>
          <w:p w14:paraId="49D36E53" w14:textId="77777777" w:rsidR="00A52778" w:rsidRPr="00460F9E" w:rsidRDefault="00A52778" w:rsidP="00FC3F8E">
            <w:pPr>
              <w:spacing w:line="0" w:lineRule="atLeast"/>
              <w:rPr>
                <w:rFonts w:eastAsia="Times New Roman" w:cs="Times New Roman"/>
                <w:b/>
                <w:sz w:val="21"/>
              </w:rPr>
            </w:pPr>
          </w:p>
        </w:tc>
        <w:tc>
          <w:tcPr>
            <w:tcW w:w="1020" w:type="dxa"/>
            <w:gridSpan w:val="2"/>
            <w:vMerge w:val="restart"/>
            <w:tcBorders>
              <w:left w:val="single" w:sz="8" w:space="0" w:color="auto"/>
              <w:right w:val="single" w:sz="8" w:space="0" w:color="auto"/>
            </w:tcBorders>
            <w:shd w:val="clear" w:color="auto" w:fill="auto"/>
            <w:vAlign w:val="bottom"/>
          </w:tcPr>
          <w:p w14:paraId="4F3C5007" w14:textId="77777777" w:rsidR="00A52778" w:rsidRPr="00460F9E" w:rsidRDefault="00A52778" w:rsidP="00FC3F8E">
            <w:pPr>
              <w:spacing w:line="0" w:lineRule="atLeast"/>
              <w:jc w:val="center"/>
              <w:rPr>
                <w:rFonts w:eastAsia="Times New Roman" w:cs="Times New Roman"/>
                <w:b/>
                <w:w w:val="97"/>
              </w:rPr>
            </w:pPr>
            <w:r w:rsidRPr="00460F9E">
              <w:rPr>
                <w:rFonts w:eastAsia="Times New Roman" w:cs="Times New Roman"/>
              </w:rPr>
              <w:t>Kaçak olmayan emisyonlar</w:t>
            </w:r>
          </w:p>
        </w:tc>
        <w:tc>
          <w:tcPr>
            <w:tcW w:w="2916" w:type="dxa"/>
            <w:gridSpan w:val="8"/>
            <w:vMerge/>
            <w:tcBorders>
              <w:right w:val="single" w:sz="8" w:space="0" w:color="auto"/>
            </w:tcBorders>
            <w:shd w:val="clear" w:color="auto" w:fill="auto"/>
            <w:vAlign w:val="bottom"/>
          </w:tcPr>
          <w:p w14:paraId="57D6E945" w14:textId="77777777" w:rsidR="00A52778" w:rsidRPr="00460F9E" w:rsidRDefault="00A52778" w:rsidP="00FC3F8E">
            <w:pPr>
              <w:spacing w:line="0" w:lineRule="atLeast"/>
              <w:rPr>
                <w:rFonts w:eastAsia="Times New Roman" w:cs="Times New Roman"/>
                <w:b/>
              </w:rPr>
            </w:pPr>
          </w:p>
        </w:tc>
      </w:tr>
      <w:tr w:rsidR="00A52778" w:rsidRPr="00460F9E" w14:paraId="58F5BB54" w14:textId="77777777" w:rsidTr="00FC3F8E">
        <w:trPr>
          <w:trHeight w:val="232"/>
        </w:trPr>
        <w:tc>
          <w:tcPr>
            <w:tcW w:w="426" w:type="dxa"/>
            <w:tcBorders>
              <w:left w:val="single" w:sz="8" w:space="0" w:color="auto"/>
              <w:right w:val="single" w:sz="8" w:space="0" w:color="auto"/>
            </w:tcBorders>
            <w:shd w:val="clear" w:color="auto" w:fill="auto"/>
            <w:vAlign w:val="bottom"/>
          </w:tcPr>
          <w:p w14:paraId="5C7DF6F4" w14:textId="77777777" w:rsidR="00A52778" w:rsidRPr="00460F9E" w:rsidRDefault="00A52778" w:rsidP="00FC3F8E">
            <w:pPr>
              <w:spacing w:line="0" w:lineRule="atLeast"/>
              <w:ind w:left="100"/>
              <w:rPr>
                <w:rFonts w:eastAsia="Times New Roman" w:cs="Times New Roman"/>
                <w:b/>
              </w:rPr>
            </w:pPr>
            <w:r>
              <w:rPr>
                <w:rFonts w:eastAsia="Times New Roman" w:cs="Times New Roman"/>
              </w:rPr>
              <w:t>ğ</w:t>
            </w:r>
            <w:r w:rsidRPr="00460F9E">
              <w:rPr>
                <w:rFonts w:eastAsia="Times New Roman" w:cs="Times New Roman"/>
              </w:rPr>
              <w:t>.</w:t>
            </w:r>
          </w:p>
        </w:tc>
        <w:tc>
          <w:tcPr>
            <w:tcW w:w="1134" w:type="dxa"/>
            <w:vMerge/>
            <w:tcBorders>
              <w:right w:val="single" w:sz="8" w:space="0" w:color="auto"/>
            </w:tcBorders>
            <w:shd w:val="clear" w:color="auto" w:fill="auto"/>
            <w:vAlign w:val="bottom"/>
          </w:tcPr>
          <w:p w14:paraId="6777C807" w14:textId="77777777" w:rsidR="00A52778" w:rsidRPr="00460F9E" w:rsidRDefault="00A52778" w:rsidP="00FC3F8E">
            <w:pPr>
              <w:spacing w:line="219" w:lineRule="exact"/>
              <w:ind w:left="100"/>
              <w:rPr>
                <w:rFonts w:eastAsia="Times New Roman" w:cs="Times New Roman"/>
                <w:b/>
              </w:rPr>
            </w:pPr>
          </w:p>
        </w:tc>
        <w:tc>
          <w:tcPr>
            <w:tcW w:w="30" w:type="dxa"/>
            <w:shd w:val="clear" w:color="auto" w:fill="auto"/>
            <w:vAlign w:val="bottom"/>
          </w:tcPr>
          <w:p w14:paraId="7941A921" w14:textId="77777777" w:rsidR="00A52778" w:rsidRPr="00460F9E" w:rsidRDefault="00A52778" w:rsidP="00FC3F8E">
            <w:pPr>
              <w:spacing w:line="0" w:lineRule="atLeast"/>
              <w:rPr>
                <w:rFonts w:eastAsia="Times New Roman" w:cs="Times New Roman"/>
                <w:b/>
              </w:rPr>
            </w:pPr>
          </w:p>
        </w:tc>
        <w:tc>
          <w:tcPr>
            <w:tcW w:w="3340" w:type="dxa"/>
            <w:gridSpan w:val="6"/>
            <w:vMerge/>
            <w:tcBorders>
              <w:right w:val="single" w:sz="8" w:space="0" w:color="auto"/>
            </w:tcBorders>
            <w:shd w:val="clear" w:color="auto" w:fill="auto"/>
            <w:vAlign w:val="bottom"/>
          </w:tcPr>
          <w:p w14:paraId="6702491A" w14:textId="77777777" w:rsidR="00A52778" w:rsidRPr="00460F9E" w:rsidRDefault="00A52778" w:rsidP="00FC3F8E">
            <w:pPr>
              <w:spacing w:line="0" w:lineRule="atLeast"/>
              <w:rPr>
                <w:rFonts w:eastAsia="Times New Roman" w:cs="Times New Roman"/>
                <w:b/>
              </w:rPr>
            </w:pPr>
          </w:p>
        </w:tc>
        <w:tc>
          <w:tcPr>
            <w:tcW w:w="1020" w:type="dxa"/>
            <w:gridSpan w:val="2"/>
            <w:vMerge/>
            <w:tcBorders>
              <w:left w:val="single" w:sz="8" w:space="0" w:color="auto"/>
              <w:right w:val="single" w:sz="8" w:space="0" w:color="auto"/>
            </w:tcBorders>
            <w:shd w:val="clear" w:color="auto" w:fill="auto"/>
            <w:vAlign w:val="bottom"/>
          </w:tcPr>
          <w:p w14:paraId="5DBB5CDC" w14:textId="77777777" w:rsidR="00A52778" w:rsidRPr="00460F9E" w:rsidRDefault="00A52778" w:rsidP="00FC3F8E">
            <w:pPr>
              <w:spacing w:line="0" w:lineRule="atLeast"/>
              <w:jc w:val="center"/>
              <w:rPr>
                <w:rFonts w:eastAsia="Times New Roman" w:cs="Times New Roman"/>
                <w:b/>
                <w:w w:val="96"/>
              </w:rPr>
            </w:pPr>
          </w:p>
        </w:tc>
        <w:tc>
          <w:tcPr>
            <w:tcW w:w="2916" w:type="dxa"/>
            <w:gridSpan w:val="8"/>
            <w:vMerge/>
            <w:tcBorders>
              <w:right w:val="single" w:sz="8" w:space="0" w:color="auto"/>
            </w:tcBorders>
            <w:shd w:val="clear" w:color="auto" w:fill="auto"/>
            <w:vAlign w:val="bottom"/>
          </w:tcPr>
          <w:p w14:paraId="77E64BC5" w14:textId="77777777" w:rsidR="00A52778" w:rsidRPr="00460F9E" w:rsidRDefault="00A52778" w:rsidP="00FC3F8E">
            <w:pPr>
              <w:spacing w:line="0" w:lineRule="atLeast"/>
              <w:rPr>
                <w:rFonts w:eastAsia="Times New Roman" w:cs="Times New Roman"/>
                <w:b/>
              </w:rPr>
            </w:pPr>
          </w:p>
        </w:tc>
      </w:tr>
      <w:tr w:rsidR="00A52778" w:rsidRPr="00460F9E" w14:paraId="3520BCD8" w14:textId="77777777" w:rsidTr="00FC3F8E">
        <w:trPr>
          <w:trHeight w:val="219"/>
        </w:trPr>
        <w:tc>
          <w:tcPr>
            <w:tcW w:w="426" w:type="dxa"/>
            <w:tcBorders>
              <w:left w:val="single" w:sz="8" w:space="0" w:color="auto"/>
              <w:right w:val="single" w:sz="8" w:space="0" w:color="auto"/>
            </w:tcBorders>
            <w:shd w:val="clear" w:color="auto" w:fill="auto"/>
            <w:vAlign w:val="bottom"/>
          </w:tcPr>
          <w:p w14:paraId="66205B9B" w14:textId="77777777" w:rsidR="00A52778" w:rsidRPr="00460F9E" w:rsidRDefault="00A52778" w:rsidP="00FC3F8E">
            <w:pPr>
              <w:spacing w:line="0" w:lineRule="atLeast"/>
              <w:rPr>
                <w:rFonts w:eastAsia="Times New Roman" w:cs="Times New Roman"/>
                <w:b/>
                <w:sz w:val="19"/>
              </w:rPr>
            </w:pPr>
          </w:p>
        </w:tc>
        <w:tc>
          <w:tcPr>
            <w:tcW w:w="1134" w:type="dxa"/>
            <w:vMerge/>
            <w:tcBorders>
              <w:right w:val="single" w:sz="8" w:space="0" w:color="auto"/>
            </w:tcBorders>
            <w:shd w:val="clear" w:color="auto" w:fill="auto"/>
            <w:vAlign w:val="bottom"/>
          </w:tcPr>
          <w:p w14:paraId="02673E33" w14:textId="77777777" w:rsidR="00A52778" w:rsidRPr="00460F9E" w:rsidRDefault="00A52778" w:rsidP="00FC3F8E">
            <w:pPr>
              <w:spacing w:line="219" w:lineRule="exact"/>
              <w:ind w:left="100"/>
              <w:rPr>
                <w:rFonts w:eastAsia="Times New Roman" w:cs="Times New Roman"/>
                <w:b/>
              </w:rPr>
            </w:pPr>
          </w:p>
        </w:tc>
        <w:tc>
          <w:tcPr>
            <w:tcW w:w="30" w:type="dxa"/>
            <w:shd w:val="clear" w:color="auto" w:fill="auto"/>
            <w:vAlign w:val="bottom"/>
          </w:tcPr>
          <w:p w14:paraId="4DC9EBCA" w14:textId="77777777" w:rsidR="00A52778" w:rsidRPr="00460F9E" w:rsidRDefault="00A52778" w:rsidP="00FC3F8E">
            <w:pPr>
              <w:spacing w:line="0" w:lineRule="atLeast"/>
              <w:rPr>
                <w:rFonts w:eastAsia="Times New Roman" w:cs="Times New Roman"/>
                <w:b/>
                <w:sz w:val="19"/>
              </w:rPr>
            </w:pPr>
          </w:p>
        </w:tc>
        <w:tc>
          <w:tcPr>
            <w:tcW w:w="3340" w:type="dxa"/>
            <w:gridSpan w:val="6"/>
            <w:vMerge/>
            <w:tcBorders>
              <w:right w:val="single" w:sz="8" w:space="0" w:color="auto"/>
            </w:tcBorders>
            <w:shd w:val="clear" w:color="auto" w:fill="auto"/>
            <w:vAlign w:val="bottom"/>
          </w:tcPr>
          <w:p w14:paraId="5667863E" w14:textId="77777777" w:rsidR="00A52778" w:rsidRPr="00460F9E" w:rsidRDefault="00A52778" w:rsidP="00FC3F8E">
            <w:pPr>
              <w:spacing w:line="0" w:lineRule="atLeast"/>
              <w:rPr>
                <w:rFonts w:eastAsia="Times New Roman" w:cs="Times New Roman"/>
                <w:b/>
                <w:sz w:val="19"/>
              </w:rPr>
            </w:pPr>
          </w:p>
        </w:tc>
        <w:tc>
          <w:tcPr>
            <w:tcW w:w="1020" w:type="dxa"/>
            <w:gridSpan w:val="2"/>
            <w:vMerge/>
            <w:tcBorders>
              <w:left w:val="single" w:sz="8" w:space="0" w:color="auto"/>
              <w:right w:val="single" w:sz="8" w:space="0" w:color="auto"/>
            </w:tcBorders>
            <w:shd w:val="clear" w:color="auto" w:fill="auto"/>
            <w:vAlign w:val="bottom"/>
          </w:tcPr>
          <w:p w14:paraId="5C95CB8B" w14:textId="77777777" w:rsidR="00A52778" w:rsidRPr="00460F9E" w:rsidRDefault="00A52778" w:rsidP="00FC3F8E">
            <w:pPr>
              <w:spacing w:line="0" w:lineRule="atLeast"/>
              <w:jc w:val="center"/>
              <w:rPr>
                <w:rFonts w:eastAsia="Times New Roman" w:cs="Times New Roman"/>
                <w:b/>
              </w:rPr>
            </w:pPr>
          </w:p>
        </w:tc>
        <w:tc>
          <w:tcPr>
            <w:tcW w:w="2916" w:type="dxa"/>
            <w:gridSpan w:val="8"/>
            <w:vMerge/>
            <w:tcBorders>
              <w:right w:val="single" w:sz="8" w:space="0" w:color="auto"/>
            </w:tcBorders>
            <w:shd w:val="clear" w:color="auto" w:fill="auto"/>
            <w:vAlign w:val="bottom"/>
          </w:tcPr>
          <w:p w14:paraId="79AE7739" w14:textId="77777777" w:rsidR="00A52778" w:rsidRPr="00460F9E" w:rsidRDefault="00A52778" w:rsidP="00FC3F8E">
            <w:pPr>
              <w:spacing w:line="0" w:lineRule="atLeast"/>
              <w:rPr>
                <w:rFonts w:eastAsia="Times New Roman" w:cs="Times New Roman"/>
                <w:b/>
              </w:rPr>
            </w:pPr>
          </w:p>
        </w:tc>
      </w:tr>
      <w:tr w:rsidR="00A52778" w:rsidRPr="00460F9E" w14:paraId="13F41523" w14:textId="77777777" w:rsidTr="00FC3F8E">
        <w:trPr>
          <w:trHeight w:val="21"/>
        </w:trPr>
        <w:tc>
          <w:tcPr>
            <w:tcW w:w="426" w:type="dxa"/>
            <w:tcBorders>
              <w:left w:val="single" w:sz="8" w:space="0" w:color="auto"/>
              <w:right w:val="single" w:sz="8" w:space="0" w:color="auto"/>
            </w:tcBorders>
            <w:shd w:val="clear" w:color="auto" w:fill="auto"/>
            <w:vAlign w:val="bottom"/>
          </w:tcPr>
          <w:p w14:paraId="43F97D1D" w14:textId="77777777" w:rsidR="00A52778" w:rsidRPr="00460F9E" w:rsidRDefault="00A52778" w:rsidP="00FC3F8E">
            <w:pPr>
              <w:spacing w:line="20" w:lineRule="exact"/>
              <w:rPr>
                <w:rFonts w:eastAsia="Times New Roman" w:cs="Times New Roman"/>
                <w:b/>
                <w:sz w:val="1"/>
              </w:rPr>
            </w:pPr>
          </w:p>
        </w:tc>
        <w:tc>
          <w:tcPr>
            <w:tcW w:w="1134" w:type="dxa"/>
            <w:tcBorders>
              <w:right w:val="single" w:sz="8" w:space="0" w:color="auto"/>
            </w:tcBorders>
            <w:shd w:val="clear" w:color="auto" w:fill="auto"/>
            <w:vAlign w:val="bottom"/>
          </w:tcPr>
          <w:p w14:paraId="5541A8C9" w14:textId="77777777" w:rsidR="00A52778" w:rsidRPr="00460F9E" w:rsidRDefault="00A52778" w:rsidP="00FC3F8E">
            <w:pPr>
              <w:spacing w:line="20" w:lineRule="exact"/>
              <w:rPr>
                <w:rFonts w:eastAsia="Times New Roman" w:cs="Times New Roman"/>
                <w:b/>
                <w:sz w:val="1"/>
              </w:rPr>
            </w:pPr>
          </w:p>
        </w:tc>
        <w:tc>
          <w:tcPr>
            <w:tcW w:w="30" w:type="dxa"/>
            <w:shd w:val="clear" w:color="auto" w:fill="auto"/>
            <w:vAlign w:val="bottom"/>
          </w:tcPr>
          <w:p w14:paraId="52F50C66" w14:textId="77777777" w:rsidR="00A52778" w:rsidRPr="00460F9E" w:rsidRDefault="00A52778" w:rsidP="00FC3F8E">
            <w:pPr>
              <w:spacing w:line="20" w:lineRule="exact"/>
              <w:rPr>
                <w:rFonts w:eastAsia="Times New Roman" w:cs="Times New Roman"/>
                <w:b/>
                <w:sz w:val="1"/>
              </w:rPr>
            </w:pPr>
          </w:p>
        </w:tc>
        <w:tc>
          <w:tcPr>
            <w:tcW w:w="3340" w:type="dxa"/>
            <w:gridSpan w:val="6"/>
            <w:vMerge/>
            <w:tcBorders>
              <w:right w:val="single" w:sz="8" w:space="0" w:color="auto"/>
            </w:tcBorders>
            <w:shd w:val="clear" w:color="auto" w:fill="auto"/>
            <w:vAlign w:val="bottom"/>
          </w:tcPr>
          <w:p w14:paraId="1DE975AE" w14:textId="77777777" w:rsidR="00A52778" w:rsidRPr="00460F9E" w:rsidRDefault="00A52778" w:rsidP="00FC3F8E">
            <w:pPr>
              <w:spacing w:line="20" w:lineRule="exact"/>
              <w:rPr>
                <w:rFonts w:eastAsia="Times New Roman" w:cs="Times New Roman"/>
                <w:b/>
                <w:sz w:val="1"/>
              </w:rPr>
            </w:pPr>
          </w:p>
        </w:tc>
        <w:tc>
          <w:tcPr>
            <w:tcW w:w="1020" w:type="dxa"/>
            <w:gridSpan w:val="2"/>
            <w:vMerge/>
            <w:tcBorders>
              <w:left w:val="single" w:sz="8" w:space="0" w:color="auto"/>
              <w:right w:val="single" w:sz="8" w:space="0" w:color="auto"/>
            </w:tcBorders>
            <w:shd w:val="clear" w:color="auto" w:fill="auto"/>
            <w:vAlign w:val="bottom"/>
          </w:tcPr>
          <w:p w14:paraId="205458C6" w14:textId="77777777" w:rsidR="00A52778" w:rsidRPr="00460F9E" w:rsidRDefault="00A52778" w:rsidP="00FC3F8E">
            <w:pPr>
              <w:spacing w:line="20" w:lineRule="exact"/>
              <w:rPr>
                <w:rFonts w:eastAsia="Times New Roman" w:cs="Times New Roman"/>
                <w:b/>
                <w:sz w:val="1"/>
              </w:rPr>
            </w:pPr>
          </w:p>
        </w:tc>
        <w:tc>
          <w:tcPr>
            <w:tcW w:w="2916" w:type="dxa"/>
            <w:gridSpan w:val="8"/>
            <w:vMerge/>
            <w:tcBorders>
              <w:right w:val="single" w:sz="8" w:space="0" w:color="auto"/>
            </w:tcBorders>
            <w:shd w:val="clear" w:color="auto" w:fill="auto"/>
            <w:vAlign w:val="bottom"/>
          </w:tcPr>
          <w:p w14:paraId="5EDE5F1F" w14:textId="77777777" w:rsidR="00A52778" w:rsidRPr="00460F9E" w:rsidRDefault="00A52778" w:rsidP="00FC3F8E">
            <w:pPr>
              <w:spacing w:line="0" w:lineRule="atLeast"/>
              <w:rPr>
                <w:rFonts w:eastAsia="Times New Roman" w:cs="Times New Roman"/>
                <w:b/>
                <w:sz w:val="1"/>
              </w:rPr>
            </w:pPr>
          </w:p>
        </w:tc>
      </w:tr>
      <w:tr w:rsidR="00A52778" w:rsidRPr="00460F9E" w14:paraId="697C076C" w14:textId="77777777" w:rsidTr="00FC3F8E">
        <w:trPr>
          <w:gridAfter w:val="1"/>
          <w:wAfter w:w="67" w:type="dxa"/>
          <w:trHeight w:val="219"/>
        </w:trPr>
        <w:tc>
          <w:tcPr>
            <w:tcW w:w="426" w:type="dxa"/>
            <w:tcBorders>
              <w:left w:val="single" w:sz="8" w:space="0" w:color="auto"/>
              <w:right w:val="single" w:sz="8" w:space="0" w:color="auto"/>
            </w:tcBorders>
            <w:shd w:val="clear" w:color="auto" w:fill="auto"/>
            <w:vAlign w:val="bottom"/>
          </w:tcPr>
          <w:p w14:paraId="15DB9045" w14:textId="77777777" w:rsidR="00A52778" w:rsidRPr="00460F9E" w:rsidRDefault="00A52778" w:rsidP="00FC3F8E">
            <w:pPr>
              <w:spacing w:line="0" w:lineRule="atLeast"/>
              <w:rPr>
                <w:rFonts w:eastAsia="Times New Roman" w:cs="Times New Roman"/>
                <w:b/>
                <w:sz w:val="19"/>
              </w:rPr>
            </w:pPr>
          </w:p>
        </w:tc>
        <w:tc>
          <w:tcPr>
            <w:tcW w:w="1134" w:type="dxa"/>
            <w:tcBorders>
              <w:right w:val="single" w:sz="8" w:space="0" w:color="auto"/>
            </w:tcBorders>
            <w:shd w:val="clear" w:color="auto" w:fill="auto"/>
            <w:vAlign w:val="bottom"/>
          </w:tcPr>
          <w:p w14:paraId="233A7585" w14:textId="77777777" w:rsidR="00A52778" w:rsidRPr="00460F9E" w:rsidRDefault="00A52778" w:rsidP="00FC3F8E">
            <w:pPr>
              <w:spacing w:line="0" w:lineRule="atLeast"/>
              <w:rPr>
                <w:rFonts w:eastAsia="Times New Roman" w:cs="Times New Roman"/>
                <w:b/>
                <w:sz w:val="19"/>
              </w:rPr>
            </w:pPr>
          </w:p>
        </w:tc>
        <w:tc>
          <w:tcPr>
            <w:tcW w:w="3402" w:type="dxa"/>
            <w:gridSpan w:val="8"/>
            <w:vMerge w:val="restart"/>
            <w:tcBorders>
              <w:right w:val="single" w:sz="8" w:space="0" w:color="auto"/>
            </w:tcBorders>
            <w:shd w:val="clear" w:color="auto" w:fill="auto"/>
            <w:vAlign w:val="center"/>
          </w:tcPr>
          <w:p w14:paraId="14BB299D"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Kapalı sistemlerden çıkan gazlar geri </w:t>
            </w:r>
          </w:p>
          <w:p w14:paraId="6B382BA6"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kazanıma (bkz. MET 9 ve MET 10) ve/veya </w:t>
            </w:r>
          </w:p>
          <w:p w14:paraId="64EF614F" w14:textId="77777777" w:rsidR="00A52778" w:rsidRPr="00460F9E" w:rsidRDefault="00A52778" w:rsidP="00FC3F8E">
            <w:pPr>
              <w:spacing w:line="0" w:lineRule="atLeast"/>
              <w:rPr>
                <w:rFonts w:eastAsia="Times New Roman" w:cs="Times New Roman"/>
                <w:b/>
                <w:sz w:val="19"/>
              </w:rPr>
            </w:pPr>
            <w:r w:rsidRPr="00460F9E">
              <w:rPr>
                <w:rFonts w:eastAsia="Times New Roman" w:cs="Times New Roman"/>
              </w:rPr>
              <w:t xml:space="preserve">  azaltıma (bkz. MET 11) gönderilir.</w:t>
            </w:r>
          </w:p>
        </w:tc>
        <w:tc>
          <w:tcPr>
            <w:tcW w:w="992" w:type="dxa"/>
            <w:tcBorders>
              <w:left w:val="single" w:sz="8" w:space="0" w:color="auto"/>
              <w:right w:val="single" w:sz="8" w:space="0" w:color="auto"/>
            </w:tcBorders>
            <w:shd w:val="clear" w:color="auto" w:fill="auto"/>
            <w:vAlign w:val="bottom"/>
          </w:tcPr>
          <w:p w14:paraId="4E750404" w14:textId="77777777" w:rsidR="00A52778" w:rsidRPr="00460F9E" w:rsidRDefault="00A52778" w:rsidP="00FC3F8E">
            <w:pPr>
              <w:spacing w:line="0" w:lineRule="atLeast"/>
              <w:rPr>
                <w:rFonts w:eastAsia="Times New Roman" w:cs="Times New Roman"/>
                <w:b/>
                <w:sz w:val="19"/>
              </w:rPr>
            </w:pPr>
          </w:p>
        </w:tc>
        <w:tc>
          <w:tcPr>
            <w:tcW w:w="2845" w:type="dxa"/>
            <w:gridSpan w:val="7"/>
            <w:vMerge w:val="restart"/>
            <w:tcBorders>
              <w:right w:val="single" w:sz="8" w:space="0" w:color="auto"/>
            </w:tcBorders>
            <w:shd w:val="clear" w:color="auto" w:fill="auto"/>
            <w:vAlign w:val="bottom"/>
          </w:tcPr>
          <w:p w14:paraId="7A27F201" w14:textId="77777777" w:rsidR="00A52778" w:rsidRPr="00460F9E" w:rsidRDefault="00A52778" w:rsidP="00FC3F8E">
            <w:pPr>
              <w:spacing w:line="0" w:lineRule="atLeast"/>
              <w:rPr>
                <w:rFonts w:eastAsia="Times New Roman" w:cs="Times New Roman"/>
                <w:b/>
                <w:sz w:val="19"/>
              </w:rPr>
            </w:pPr>
          </w:p>
        </w:tc>
      </w:tr>
      <w:tr w:rsidR="00A52778" w:rsidRPr="00460F9E" w14:paraId="0E3E268C" w14:textId="77777777" w:rsidTr="00FC3F8E">
        <w:trPr>
          <w:gridAfter w:val="1"/>
          <w:wAfter w:w="67" w:type="dxa"/>
          <w:trHeight w:val="118"/>
        </w:trPr>
        <w:tc>
          <w:tcPr>
            <w:tcW w:w="426" w:type="dxa"/>
            <w:tcBorders>
              <w:left w:val="single" w:sz="8" w:space="0" w:color="auto"/>
              <w:right w:val="single" w:sz="8" w:space="0" w:color="auto"/>
            </w:tcBorders>
            <w:shd w:val="clear" w:color="auto" w:fill="auto"/>
            <w:vAlign w:val="bottom"/>
          </w:tcPr>
          <w:p w14:paraId="5635AC33" w14:textId="77777777" w:rsidR="00A52778" w:rsidRPr="00460F9E" w:rsidRDefault="00A52778" w:rsidP="00FC3F8E">
            <w:pPr>
              <w:spacing w:line="0" w:lineRule="atLeast"/>
              <w:rPr>
                <w:rFonts w:eastAsia="Times New Roman" w:cs="Times New Roman"/>
                <w:b/>
                <w:sz w:val="10"/>
              </w:rPr>
            </w:pPr>
          </w:p>
        </w:tc>
        <w:tc>
          <w:tcPr>
            <w:tcW w:w="1134" w:type="dxa"/>
            <w:tcBorders>
              <w:right w:val="single" w:sz="8" w:space="0" w:color="auto"/>
            </w:tcBorders>
            <w:shd w:val="clear" w:color="auto" w:fill="auto"/>
            <w:vAlign w:val="bottom"/>
          </w:tcPr>
          <w:p w14:paraId="641C04EE" w14:textId="77777777" w:rsidR="00A52778" w:rsidRPr="00460F9E" w:rsidRDefault="00A52778" w:rsidP="00FC3F8E">
            <w:pPr>
              <w:spacing w:line="0" w:lineRule="atLeast"/>
              <w:rPr>
                <w:rFonts w:eastAsia="Times New Roman" w:cs="Times New Roman"/>
                <w:b/>
                <w:sz w:val="10"/>
              </w:rPr>
            </w:pPr>
          </w:p>
        </w:tc>
        <w:tc>
          <w:tcPr>
            <w:tcW w:w="3402" w:type="dxa"/>
            <w:gridSpan w:val="8"/>
            <w:vMerge/>
            <w:tcBorders>
              <w:right w:val="single" w:sz="8" w:space="0" w:color="auto"/>
            </w:tcBorders>
            <w:shd w:val="clear" w:color="auto" w:fill="auto"/>
            <w:vAlign w:val="bottom"/>
          </w:tcPr>
          <w:p w14:paraId="21F60796" w14:textId="77777777" w:rsidR="00A52778" w:rsidRPr="00460F9E" w:rsidRDefault="00A52778" w:rsidP="00FC3F8E">
            <w:pPr>
              <w:spacing w:line="0" w:lineRule="atLeast"/>
              <w:rPr>
                <w:rFonts w:eastAsia="Times New Roman" w:cs="Times New Roman"/>
                <w:b/>
                <w:sz w:val="10"/>
              </w:rPr>
            </w:pPr>
          </w:p>
        </w:tc>
        <w:tc>
          <w:tcPr>
            <w:tcW w:w="992" w:type="dxa"/>
            <w:tcBorders>
              <w:left w:val="single" w:sz="8" w:space="0" w:color="auto"/>
              <w:right w:val="single" w:sz="8" w:space="0" w:color="auto"/>
            </w:tcBorders>
            <w:shd w:val="clear" w:color="auto" w:fill="auto"/>
            <w:vAlign w:val="bottom"/>
          </w:tcPr>
          <w:p w14:paraId="768DD942" w14:textId="77777777" w:rsidR="00A52778" w:rsidRPr="00460F9E" w:rsidRDefault="00A52778" w:rsidP="00FC3F8E">
            <w:pPr>
              <w:spacing w:line="0" w:lineRule="atLeast"/>
              <w:rPr>
                <w:rFonts w:eastAsia="Times New Roman" w:cs="Times New Roman"/>
                <w:b/>
                <w:sz w:val="10"/>
              </w:rPr>
            </w:pPr>
          </w:p>
        </w:tc>
        <w:tc>
          <w:tcPr>
            <w:tcW w:w="2845" w:type="dxa"/>
            <w:gridSpan w:val="7"/>
            <w:vMerge/>
            <w:tcBorders>
              <w:right w:val="single" w:sz="8" w:space="0" w:color="auto"/>
            </w:tcBorders>
            <w:shd w:val="clear" w:color="auto" w:fill="auto"/>
            <w:vAlign w:val="bottom"/>
          </w:tcPr>
          <w:p w14:paraId="3AD4BC07" w14:textId="77777777" w:rsidR="00A52778" w:rsidRPr="00460F9E" w:rsidRDefault="00A52778" w:rsidP="00FC3F8E">
            <w:pPr>
              <w:spacing w:line="0" w:lineRule="atLeast"/>
              <w:rPr>
                <w:rFonts w:eastAsia="Times New Roman" w:cs="Times New Roman"/>
                <w:b/>
                <w:sz w:val="10"/>
              </w:rPr>
            </w:pPr>
          </w:p>
        </w:tc>
      </w:tr>
      <w:tr w:rsidR="00A52778" w:rsidRPr="00460F9E" w14:paraId="7992E818" w14:textId="77777777" w:rsidTr="00FC3F8E">
        <w:trPr>
          <w:gridAfter w:val="1"/>
          <w:wAfter w:w="67" w:type="dxa"/>
          <w:trHeight w:val="305"/>
        </w:trPr>
        <w:tc>
          <w:tcPr>
            <w:tcW w:w="426" w:type="dxa"/>
            <w:tcBorders>
              <w:left w:val="single" w:sz="8" w:space="0" w:color="auto"/>
              <w:right w:val="single" w:sz="8" w:space="0" w:color="auto"/>
            </w:tcBorders>
            <w:shd w:val="clear" w:color="auto" w:fill="auto"/>
            <w:vAlign w:val="bottom"/>
          </w:tcPr>
          <w:p w14:paraId="01597FB6" w14:textId="77777777" w:rsidR="00A52778" w:rsidRPr="00460F9E" w:rsidRDefault="00A52778" w:rsidP="00FC3F8E">
            <w:pPr>
              <w:spacing w:line="0" w:lineRule="atLeast"/>
              <w:rPr>
                <w:rFonts w:eastAsia="Times New Roman" w:cs="Times New Roman"/>
                <w:b/>
              </w:rPr>
            </w:pPr>
          </w:p>
        </w:tc>
        <w:tc>
          <w:tcPr>
            <w:tcW w:w="1134" w:type="dxa"/>
            <w:tcBorders>
              <w:right w:val="single" w:sz="8" w:space="0" w:color="auto"/>
            </w:tcBorders>
            <w:shd w:val="clear" w:color="auto" w:fill="auto"/>
            <w:vAlign w:val="bottom"/>
          </w:tcPr>
          <w:p w14:paraId="61851B18" w14:textId="77777777" w:rsidR="00A52778" w:rsidRPr="00460F9E" w:rsidRDefault="00A52778" w:rsidP="00FC3F8E">
            <w:pPr>
              <w:spacing w:line="0" w:lineRule="atLeast"/>
              <w:rPr>
                <w:rFonts w:eastAsia="Times New Roman" w:cs="Times New Roman"/>
                <w:b/>
              </w:rPr>
            </w:pPr>
          </w:p>
        </w:tc>
        <w:tc>
          <w:tcPr>
            <w:tcW w:w="3402" w:type="dxa"/>
            <w:gridSpan w:val="8"/>
            <w:vMerge/>
            <w:tcBorders>
              <w:right w:val="single" w:sz="8" w:space="0" w:color="auto"/>
            </w:tcBorders>
            <w:shd w:val="clear" w:color="auto" w:fill="auto"/>
            <w:vAlign w:val="bottom"/>
          </w:tcPr>
          <w:p w14:paraId="4A6D477A" w14:textId="77777777" w:rsidR="00A52778" w:rsidRPr="00460F9E" w:rsidRDefault="00A52778" w:rsidP="00FC3F8E">
            <w:pPr>
              <w:spacing w:line="0" w:lineRule="atLeast"/>
              <w:rPr>
                <w:rFonts w:eastAsia="Times New Roman" w:cs="Times New Roman"/>
                <w:b/>
              </w:rPr>
            </w:pPr>
          </w:p>
        </w:tc>
        <w:tc>
          <w:tcPr>
            <w:tcW w:w="992" w:type="dxa"/>
            <w:tcBorders>
              <w:left w:val="single" w:sz="8" w:space="0" w:color="auto"/>
              <w:right w:val="single" w:sz="8" w:space="0" w:color="auto"/>
            </w:tcBorders>
            <w:shd w:val="clear" w:color="auto" w:fill="auto"/>
            <w:vAlign w:val="bottom"/>
          </w:tcPr>
          <w:p w14:paraId="5D5BFDDE" w14:textId="77777777" w:rsidR="00A52778" w:rsidRPr="00460F9E" w:rsidRDefault="00A52778" w:rsidP="00FC3F8E">
            <w:pPr>
              <w:spacing w:line="0" w:lineRule="atLeast"/>
              <w:rPr>
                <w:rFonts w:eastAsia="Times New Roman" w:cs="Times New Roman"/>
                <w:b/>
              </w:rPr>
            </w:pPr>
          </w:p>
        </w:tc>
        <w:tc>
          <w:tcPr>
            <w:tcW w:w="989" w:type="dxa"/>
            <w:shd w:val="clear" w:color="auto" w:fill="auto"/>
            <w:vAlign w:val="bottom"/>
          </w:tcPr>
          <w:p w14:paraId="2D2712BA" w14:textId="77777777" w:rsidR="00A52778" w:rsidRPr="00460F9E" w:rsidRDefault="00A52778" w:rsidP="00FC3F8E">
            <w:pPr>
              <w:spacing w:line="0" w:lineRule="atLeast"/>
              <w:rPr>
                <w:rFonts w:eastAsia="Times New Roman" w:cs="Times New Roman"/>
                <w:b/>
              </w:rPr>
            </w:pPr>
          </w:p>
        </w:tc>
        <w:tc>
          <w:tcPr>
            <w:tcW w:w="380" w:type="dxa"/>
            <w:gridSpan w:val="2"/>
            <w:shd w:val="clear" w:color="auto" w:fill="auto"/>
            <w:vAlign w:val="bottom"/>
          </w:tcPr>
          <w:p w14:paraId="4F0644AF" w14:textId="77777777" w:rsidR="00A52778" w:rsidRPr="00460F9E" w:rsidRDefault="00A52778" w:rsidP="00FC3F8E">
            <w:pPr>
              <w:spacing w:line="0" w:lineRule="atLeast"/>
              <w:rPr>
                <w:rFonts w:eastAsia="Times New Roman" w:cs="Times New Roman"/>
                <w:b/>
              </w:rPr>
            </w:pPr>
          </w:p>
        </w:tc>
        <w:tc>
          <w:tcPr>
            <w:tcW w:w="860" w:type="dxa"/>
            <w:gridSpan w:val="2"/>
            <w:shd w:val="clear" w:color="auto" w:fill="auto"/>
            <w:vAlign w:val="bottom"/>
          </w:tcPr>
          <w:p w14:paraId="3E85C29E" w14:textId="77777777" w:rsidR="00A52778" w:rsidRPr="00460F9E" w:rsidRDefault="00A52778" w:rsidP="00FC3F8E">
            <w:pPr>
              <w:spacing w:line="0" w:lineRule="atLeast"/>
              <w:rPr>
                <w:rFonts w:eastAsia="Times New Roman" w:cs="Times New Roman"/>
                <w:b/>
              </w:rPr>
            </w:pPr>
          </w:p>
        </w:tc>
        <w:tc>
          <w:tcPr>
            <w:tcW w:w="616" w:type="dxa"/>
            <w:gridSpan w:val="2"/>
            <w:tcBorders>
              <w:right w:val="single" w:sz="8" w:space="0" w:color="auto"/>
            </w:tcBorders>
            <w:shd w:val="clear" w:color="auto" w:fill="auto"/>
            <w:vAlign w:val="bottom"/>
          </w:tcPr>
          <w:p w14:paraId="2C880775" w14:textId="77777777" w:rsidR="00A52778" w:rsidRPr="00460F9E" w:rsidRDefault="00A52778" w:rsidP="00FC3F8E">
            <w:pPr>
              <w:spacing w:line="0" w:lineRule="atLeast"/>
              <w:rPr>
                <w:rFonts w:eastAsia="Times New Roman" w:cs="Times New Roman"/>
                <w:b/>
              </w:rPr>
            </w:pPr>
          </w:p>
        </w:tc>
      </w:tr>
      <w:tr w:rsidR="00A52778" w:rsidRPr="00460F9E" w14:paraId="46768F5E" w14:textId="77777777" w:rsidTr="00FC3F8E">
        <w:trPr>
          <w:gridAfter w:val="1"/>
          <w:wAfter w:w="67" w:type="dxa"/>
          <w:trHeight w:val="290"/>
        </w:trPr>
        <w:tc>
          <w:tcPr>
            <w:tcW w:w="426" w:type="dxa"/>
            <w:tcBorders>
              <w:left w:val="single" w:sz="8" w:space="0" w:color="auto"/>
              <w:right w:val="single" w:sz="8" w:space="0" w:color="auto"/>
            </w:tcBorders>
            <w:shd w:val="clear" w:color="auto" w:fill="auto"/>
            <w:vAlign w:val="bottom"/>
          </w:tcPr>
          <w:p w14:paraId="13DEE3B2" w14:textId="77777777" w:rsidR="00A52778" w:rsidRPr="00460F9E" w:rsidRDefault="00A52778" w:rsidP="00FC3F8E">
            <w:pPr>
              <w:spacing w:line="0" w:lineRule="atLeast"/>
              <w:rPr>
                <w:rFonts w:eastAsia="Times New Roman" w:cs="Times New Roman"/>
                <w:b/>
              </w:rPr>
            </w:pPr>
          </w:p>
        </w:tc>
        <w:tc>
          <w:tcPr>
            <w:tcW w:w="1134" w:type="dxa"/>
            <w:tcBorders>
              <w:right w:val="single" w:sz="8" w:space="0" w:color="auto"/>
            </w:tcBorders>
            <w:shd w:val="clear" w:color="auto" w:fill="auto"/>
            <w:vAlign w:val="bottom"/>
          </w:tcPr>
          <w:p w14:paraId="68D1EA9E" w14:textId="77777777" w:rsidR="00A52778" w:rsidRPr="00460F9E" w:rsidRDefault="00A52778" w:rsidP="00FC3F8E">
            <w:pPr>
              <w:spacing w:line="0" w:lineRule="atLeast"/>
              <w:rPr>
                <w:rFonts w:eastAsia="Times New Roman" w:cs="Times New Roman"/>
                <w:b/>
              </w:rPr>
            </w:pPr>
          </w:p>
        </w:tc>
        <w:tc>
          <w:tcPr>
            <w:tcW w:w="3402" w:type="dxa"/>
            <w:gridSpan w:val="8"/>
            <w:vMerge/>
            <w:tcBorders>
              <w:right w:val="single" w:sz="8" w:space="0" w:color="auto"/>
            </w:tcBorders>
            <w:shd w:val="clear" w:color="auto" w:fill="auto"/>
            <w:vAlign w:val="bottom"/>
          </w:tcPr>
          <w:p w14:paraId="5822B020" w14:textId="77777777" w:rsidR="00A52778" w:rsidRPr="00460F9E" w:rsidRDefault="00A52778" w:rsidP="00FC3F8E">
            <w:pPr>
              <w:spacing w:line="0" w:lineRule="atLeast"/>
              <w:rPr>
                <w:rFonts w:eastAsia="Times New Roman" w:cs="Times New Roman"/>
                <w:b/>
              </w:rPr>
            </w:pPr>
          </w:p>
        </w:tc>
        <w:tc>
          <w:tcPr>
            <w:tcW w:w="992" w:type="dxa"/>
            <w:tcBorders>
              <w:right w:val="single" w:sz="8" w:space="0" w:color="auto"/>
            </w:tcBorders>
            <w:shd w:val="clear" w:color="auto" w:fill="auto"/>
            <w:vAlign w:val="bottom"/>
          </w:tcPr>
          <w:p w14:paraId="45CB97B6" w14:textId="77777777" w:rsidR="00A52778" w:rsidRPr="00460F9E" w:rsidRDefault="00A52778" w:rsidP="00FC3F8E">
            <w:pPr>
              <w:spacing w:line="0" w:lineRule="atLeast"/>
              <w:rPr>
                <w:rFonts w:eastAsia="Times New Roman" w:cs="Times New Roman"/>
                <w:b/>
              </w:rPr>
            </w:pPr>
          </w:p>
        </w:tc>
        <w:tc>
          <w:tcPr>
            <w:tcW w:w="989" w:type="dxa"/>
            <w:shd w:val="clear" w:color="auto" w:fill="auto"/>
            <w:vAlign w:val="bottom"/>
          </w:tcPr>
          <w:p w14:paraId="2E880406" w14:textId="77777777" w:rsidR="00A52778" w:rsidRPr="00460F9E" w:rsidRDefault="00A52778" w:rsidP="00FC3F8E">
            <w:pPr>
              <w:spacing w:line="0" w:lineRule="atLeast"/>
              <w:rPr>
                <w:rFonts w:eastAsia="Times New Roman" w:cs="Times New Roman"/>
                <w:b/>
              </w:rPr>
            </w:pPr>
          </w:p>
        </w:tc>
        <w:tc>
          <w:tcPr>
            <w:tcW w:w="380" w:type="dxa"/>
            <w:gridSpan w:val="2"/>
            <w:shd w:val="clear" w:color="auto" w:fill="auto"/>
            <w:vAlign w:val="bottom"/>
          </w:tcPr>
          <w:p w14:paraId="330F2B07" w14:textId="77777777" w:rsidR="00A52778" w:rsidRPr="00460F9E" w:rsidRDefault="00A52778" w:rsidP="00FC3F8E">
            <w:pPr>
              <w:spacing w:line="0" w:lineRule="atLeast"/>
              <w:rPr>
                <w:rFonts w:eastAsia="Times New Roman" w:cs="Times New Roman"/>
                <w:b/>
              </w:rPr>
            </w:pPr>
          </w:p>
        </w:tc>
        <w:tc>
          <w:tcPr>
            <w:tcW w:w="860" w:type="dxa"/>
            <w:gridSpan w:val="2"/>
            <w:shd w:val="clear" w:color="auto" w:fill="auto"/>
            <w:vAlign w:val="bottom"/>
          </w:tcPr>
          <w:p w14:paraId="67F28501" w14:textId="77777777" w:rsidR="00A52778" w:rsidRPr="00460F9E" w:rsidRDefault="00A52778" w:rsidP="00FC3F8E">
            <w:pPr>
              <w:spacing w:line="0" w:lineRule="atLeast"/>
              <w:rPr>
                <w:rFonts w:eastAsia="Times New Roman" w:cs="Times New Roman"/>
                <w:b/>
              </w:rPr>
            </w:pPr>
          </w:p>
        </w:tc>
        <w:tc>
          <w:tcPr>
            <w:tcW w:w="616" w:type="dxa"/>
            <w:gridSpan w:val="2"/>
            <w:tcBorders>
              <w:right w:val="single" w:sz="8" w:space="0" w:color="auto"/>
            </w:tcBorders>
            <w:shd w:val="clear" w:color="auto" w:fill="auto"/>
            <w:vAlign w:val="bottom"/>
          </w:tcPr>
          <w:p w14:paraId="5DE572EB" w14:textId="77777777" w:rsidR="00A52778" w:rsidRPr="00460F9E" w:rsidRDefault="00A52778" w:rsidP="00FC3F8E">
            <w:pPr>
              <w:spacing w:line="0" w:lineRule="atLeast"/>
              <w:rPr>
                <w:rFonts w:eastAsia="Times New Roman" w:cs="Times New Roman"/>
                <w:b/>
              </w:rPr>
            </w:pPr>
          </w:p>
        </w:tc>
      </w:tr>
      <w:tr w:rsidR="00A52778" w:rsidRPr="00460F9E" w14:paraId="1F4EACD6" w14:textId="77777777" w:rsidTr="00FC3F8E">
        <w:trPr>
          <w:gridAfter w:val="1"/>
          <w:wAfter w:w="67" w:type="dxa"/>
          <w:trHeight w:val="228"/>
        </w:trPr>
        <w:tc>
          <w:tcPr>
            <w:tcW w:w="426" w:type="dxa"/>
            <w:tcBorders>
              <w:left w:val="single" w:sz="8" w:space="0" w:color="auto"/>
              <w:right w:val="single" w:sz="8" w:space="0" w:color="auto"/>
            </w:tcBorders>
            <w:shd w:val="clear" w:color="auto" w:fill="auto"/>
            <w:vAlign w:val="bottom"/>
          </w:tcPr>
          <w:p w14:paraId="4D66D580" w14:textId="77777777" w:rsidR="00A52778" w:rsidRPr="00460F9E" w:rsidRDefault="00A52778" w:rsidP="00FC3F8E">
            <w:pPr>
              <w:spacing w:line="0" w:lineRule="atLeast"/>
              <w:rPr>
                <w:rFonts w:eastAsia="Times New Roman" w:cs="Times New Roman"/>
                <w:b/>
                <w:sz w:val="19"/>
              </w:rPr>
            </w:pPr>
          </w:p>
        </w:tc>
        <w:tc>
          <w:tcPr>
            <w:tcW w:w="1134" w:type="dxa"/>
            <w:tcBorders>
              <w:right w:val="single" w:sz="8" w:space="0" w:color="auto"/>
            </w:tcBorders>
            <w:shd w:val="clear" w:color="auto" w:fill="auto"/>
            <w:vAlign w:val="bottom"/>
          </w:tcPr>
          <w:p w14:paraId="7D196CDB" w14:textId="77777777" w:rsidR="00A52778" w:rsidRPr="00460F9E" w:rsidRDefault="00A52778" w:rsidP="00FC3F8E">
            <w:pPr>
              <w:spacing w:line="0" w:lineRule="atLeast"/>
              <w:rPr>
                <w:rFonts w:eastAsia="Times New Roman" w:cs="Times New Roman"/>
                <w:b/>
                <w:sz w:val="19"/>
              </w:rPr>
            </w:pPr>
          </w:p>
        </w:tc>
        <w:tc>
          <w:tcPr>
            <w:tcW w:w="3402" w:type="dxa"/>
            <w:gridSpan w:val="8"/>
            <w:vMerge/>
            <w:tcBorders>
              <w:right w:val="single" w:sz="8" w:space="0" w:color="auto"/>
            </w:tcBorders>
            <w:shd w:val="clear" w:color="auto" w:fill="auto"/>
            <w:vAlign w:val="bottom"/>
          </w:tcPr>
          <w:p w14:paraId="53721A33" w14:textId="77777777" w:rsidR="00A52778" w:rsidRPr="00460F9E" w:rsidRDefault="00A52778" w:rsidP="00FC3F8E">
            <w:pPr>
              <w:spacing w:line="0" w:lineRule="atLeast"/>
              <w:rPr>
                <w:rFonts w:eastAsia="Times New Roman" w:cs="Times New Roman"/>
                <w:b/>
              </w:rPr>
            </w:pPr>
          </w:p>
        </w:tc>
        <w:tc>
          <w:tcPr>
            <w:tcW w:w="992" w:type="dxa"/>
            <w:tcBorders>
              <w:right w:val="single" w:sz="8" w:space="0" w:color="auto"/>
            </w:tcBorders>
            <w:shd w:val="clear" w:color="auto" w:fill="auto"/>
            <w:vAlign w:val="bottom"/>
          </w:tcPr>
          <w:p w14:paraId="5B63EE1E" w14:textId="77777777" w:rsidR="00A52778" w:rsidRPr="00460F9E" w:rsidRDefault="00A52778" w:rsidP="00FC3F8E">
            <w:pPr>
              <w:spacing w:line="0" w:lineRule="atLeast"/>
              <w:rPr>
                <w:rFonts w:eastAsia="Times New Roman" w:cs="Times New Roman"/>
                <w:b/>
                <w:sz w:val="19"/>
              </w:rPr>
            </w:pPr>
          </w:p>
        </w:tc>
        <w:tc>
          <w:tcPr>
            <w:tcW w:w="989" w:type="dxa"/>
            <w:shd w:val="clear" w:color="auto" w:fill="auto"/>
            <w:vAlign w:val="bottom"/>
          </w:tcPr>
          <w:p w14:paraId="23B2DBB4" w14:textId="77777777" w:rsidR="00A52778" w:rsidRPr="00460F9E" w:rsidRDefault="00A52778" w:rsidP="00FC3F8E">
            <w:pPr>
              <w:spacing w:line="0" w:lineRule="atLeast"/>
              <w:rPr>
                <w:rFonts w:eastAsia="Times New Roman" w:cs="Times New Roman"/>
                <w:b/>
                <w:sz w:val="19"/>
              </w:rPr>
            </w:pPr>
          </w:p>
        </w:tc>
        <w:tc>
          <w:tcPr>
            <w:tcW w:w="380" w:type="dxa"/>
            <w:gridSpan w:val="2"/>
            <w:shd w:val="clear" w:color="auto" w:fill="auto"/>
            <w:vAlign w:val="bottom"/>
          </w:tcPr>
          <w:p w14:paraId="1FA343F6" w14:textId="77777777" w:rsidR="00A52778" w:rsidRPr="00460F9E" w:rsidRDefault="00A52778" w:rsidP="00FC3F8E">
            <w:pPr>
              <w:spacing w:line="0" w:lineRule="atLeast"/>
              <w:rPr>
                <w:rFonts w:eastAsia="Times New Roman" w:cs="Times New Roman"/>
                <w:b/>
                <w:sz w:val="19"/>
              </w:rPr>
            </w:pPr>
          </w:p>
        </w:tc>
        <w:tc>
          <w:tcPr>
            <w:tcW w:w="860" w:type="dxa"/>
            <w:gridSpan w:val="2"/>
            <w:shd w:val="clear" w:color="auto" w:fill="auto"/>
            <w:vAlign w:val="bottom"/>
          </w:tcPr>
          <w:p w14:paraId="5572F75A" w14:textId="77777777" w:rsidR="00A52778" w:rsidRPr="00460F9E" w:rsidRDefault="00A52778" w:rsidP="00FC3F8E">
            <w:pPr>
              <w:spacing w:line="0" w:lineRule="atLeast"/>
              <w:rPr>
                <w:rFonts w:eastAsia="Times New Roman" w:cs="Times New Roman"/>
                <w:b/>
                <w:sz w:val="19"/>
              </w:rPr>
            </w:pPr>
          </w:p>
        </w:tc>
        <w:tc>
          <w:tcPr>
            <w:tcW w:w="616" w:type="dxa"/>
            <w:gridSpan w:val="2"/>
            <w:tcBorders>
              <w:right w:val="single" w:sz="8" w:space="0" w:color="auto"/>
            </w:tcBorders>
            <w:shd w:val="clear" w:color="auto" w:fill="auto"/>
            <w:vAlign w:val="bottom"/>
          </w:tcPr>
          <w:p w14:paraId="3688205F" w14:textId="77777777" w:rsidR="00A52778" w:rsidRPr="00460F9E" w:rsidRDefault="00A52778" w:rsidP="00FC3F8E">
            <w:pPr>
              <w:spacing w:line="0" w:lineRule="atLeast"/>
              <w:rPr>
                <w:rFonts w:eastAsia="Times New Roman" w:cs="Times New Roman"/>
                <w:b/>
                <w:sz w:val="19"/>
              </w:rPr>
            </w:pPr>
          </w:p>
        </w:tc>
      </w:tr>
      <w:tr w:rsidR="00A52778" w:rsidRPr="00460F9E" w14:paraId="1072AE73" w14:textId="77777777" w:rsidTr="00FC3F8E">
        <w:trPr>
          <w:gridAfter w:val="1"/>
          <w:wAfter w:w="67" w:type="dxa"/>
          <w:trHeight w:val="233"/>
        </w:trPr>
        <w:tc>
          <w:tcPr>
            <w:tcW w:w="426" w:type="dxa"/>
            <w:tcBorders>
              <w:left w:val="single" w:sz="8" w:space="0" w:color="auto"/>
              <w:bottom w:val="single" w:sz="8" w:space="0" w:color="auto"/>
              <w:right w:val="single" w:sz="8" w:space="0" w:color="auto"/>
            </w:tcBorders>
            <w:shd w:val="clear" w:color="auto" w:fill="auto"/>
            <w:vAlign w:val="bottom"/>
          </w:tcPr>
          <w:p w14:paraId="28495CCB" w14:textId="77777777" w:rsidR="00A52778" w:rsidRPr="00460F9E" w:rsidRDefault="00A52778" w:rsidP="00FC3F8E">
            <w:pPr>
              <w:spacing w:line="0" w:lineRule="atLeast"/>
              <w:rPr>
                <w:rFonts w:eastAsia="Times New Roman" w:cs="Times New Roman"/>
                <w:b/>
              </w:rPr>
            </w:pPr>
          </w:p>
        </w:tc>
        <w:tc>
          <w:tcPr>
            <w:tcW w:w="1134" w:type="dxa"/>
            <w:tcBorders>
              <w:bottom w:val="single" w:sz="8" w:space="0" w:color="auto"/>
              <w:right w:val="single" w:sz="8" w:space="0" w:color="auto"/>
            </w:tcBorders>
            <w:shd w:val="clear" w:color="auto" w:fill="auto"/>
            <w:vAlign w:val="bottom"/>
          </w:tcPr>
          <w:p w14:paraId="2179A36D" w14:textId="77777777" w:rsidR="00A52778" w:rsidRPr="00460F9E" w:rsidRDefault="00A52778" w:rsidP="00FC3F8E">
            <w:pPr>
              <w:spacing w:line="0" w:lineRule="atLeast"/>
              <w:rPr>
                <w:rFonts w:eastAsia="Times New Roman" w:cs="Times New Roman"/>
                <w:b/>
              </w:rPr>
            </w:pPr>
          </w:p>
        </w:tc>
        <w:tc>
          <w:tcPr>
            <w:tcW w:w="3402" w:type="dxa"/>
            <w:gridSpan w:val="8"/>
            <w:vMerge/>
            <w:tcBorders>
              <w:bottom w:val="single" w:sz="8" w:space="0" w:color="auto"/>
              <w:right w:val="single" w:sz="8" w:space="0" w:color="auto"/>
            </w:tcBorders>
            <w:shd w:val="clear" w:color="auto" w:fill="auto"/>
            <w:vAlign w:val="bottom"/>
          </w:tcPr>
          <w:p w14:paraId="527F519B" w14:textId="77777777" w:rsidR="00A52778" w:rsidRPr="00460F9E" w:rsidRDefault="00A52778" w:rsidP="00FC3F8E">
            <w:pPr>
              <w:spacing w:line="0" w:lineRule="atLeast"/>
              <w:rPr>
                <w:rFonts w:eastAsia="Times New Roman" w:cs="Times New Roman"/>
                <w:b/>
              </w:rPr>
            </w:pPr>
          </w:p>
        </w:tc>
        <w:tc>
          <w:tcPr>
            <w:tcW w:w="992" w:type="dxa"/>
            <w:tcBorders>
              <w:left w:val="single" w:sz="8" w:space="0" w:color="auto"/>
              <w:bottom w:val="single" w:sz="8" w:space="0" w:color="auto"/>
              <w:right w:val="single" w:sz="8" w:space="0" w:color="auto"/>
            </w:tcBorders>
            <w:shd w:val="clear" w:color="auto" w:fill="auto"/>
            <w:vAlign w:val="bottom"/>
          </w:tcPr>
          <w:p w14:paraId="796A8C4F" w14:textId="77777777" w:rsidR="00A52778" w:rsidRPr="00460F9E" w:rsidRDefault="00A52778" w:rsidP="00FC3F8E">
            <w:pPr>
              <w:spacing w:line="0" w:lineRule="atLeast"/>
              <w:rPr>
                <w:rFonts w:eastAsia="Times New Roman" w:cs="Times New Roman"/>
                <w:b/>
              </w:rPr>
            </w:pPr>
          </w:p>
        </w:tc>
        <w:tc>
          <w:tcPr>
            <w:tcW w:w="989" w:type="dxa"/>
            <w:tcBorders>
              <w:bottom w:val="single" w:sz="8" w:space="0" w:color="auto"/>
            </w:tcBorders>
            <w:shd w:val="clear" w:color="auto" w:fill="auto"/>
            <w:vAlign w:val="bottom"/>
          </w:tcPr>
          <w:p w14:paraId="0795AD36" w14:textId="77777777" w:rsidR="00A52778" w:rsidRPr="00460F9E" w:rsidRDefault="00A52778" w:rsidP="00FC3F8E">
            <w:pPr>
              <w:spacing w:line="0" w:lineRule="atLeast"/>
              <w:rPr>
                <w:rFonts w:eastAsia="Times New Roman" w:cs="Times New Roman"/>
                <w:b/>
              </w:rPr>
            </w:pPr>
          </w:p>
        </w:tc>
        <w:tc>
          <w:tcPr>
            <w:tcW w:w="380" w:type="dxa"/>
            <w:gridSpan w:val="2"/>
            <w:tcBorders>
              <w:bottom w:val="single" w:sz="8" w:space="0" w:color="auto"/>
            </w:tcBorders>
            <w:shd w:val="clear" w:color="auto" w:fill="auto"/>
            <w:vAlign w:val="bottom"/>
          </w:tcPr>
          <w:p w14:paraId="1422A37F" w14:textId="77777777" w:rsidR="00A52778" w:rsidRPr="00460F9E" w:rsidRDefault="00A52778" w:rsidP="00FC3F8E">
            <w:pPr>
              <w:spacing w:line="0" w:lineRule="atLeast"/>
              <w:rPr>
                <w:rFonts w:eastAsia="Times New Roman" w:cs="Times New Roman"/>
                <w:b/>
              </w:rPr>
            </w:pPr>
          </w:p>
        </w:tc>
        <w:tc>
          <w:tcPr>
            <w:tcW w:w="860" w:type="dxa"/>
            <w:gridSpan w:val="2"/>
            <w:tcBorders>
              <w:bottom w:val="single" w:sz="8" w:space="0" w:color="auto"/>
            </w:tcBorders>
            <w:shd w:val="clear" w:color="auto" w:fill="auto"/>
            <w:vAlign w:val="bottom"/>
          </w:tcPr>
          <w:p w14:paraId="0FE6FF6E" w14:textId="77777777" w:rsidR="00A52778" w:rsidRPr="00460F9E" w:rsidRDefault="00A52778" w:rsidP="00FC3F8E">
            <w:pPr>
              <w:spacing w:line="0" w:lineRule="atLeast"/>
              <w:rPr>
                <w:rFonts w:eastAsia="Times New Roman" w:cs="Times New Roman"/>
                <w:b/>
              </w:rPr>
            </w:pPr>
          </w:p>
        </w:tc>
        <w:tc>
          <w:tcPr>
            <w:tcW w:w="616" w:type="dxa"/>
            <w:gridSpan w:val="2"/>
            <w:tcBorders>
              <w:bottom w:val="single" w:sz="8" w:space="0" w:color="auto"/>
              <w:right w:val="single" w:sz="8" w:space="0" w:color="auto"/>
            </w:tcBorders>
            <w:shd w:val="clear" w:color="auto" w:fill="auto"/>
            <w:vAlign w:val="bottom"/>
          </w:tcPr>
          <w:p w14:paraId="2BE1CC98" w14:textId="77777777" w:rsidR="00A52778" w:rsidRPr="00460F9E" w:rsidRDefault="00A52778" w:rsidP="00FC3F8E">
            <w:pPr>
              <w:spacing w:line="0" w:lineRule="atLeast"/>
              <w:rPr>
                <w:rFonts w:eastAsia="Times New Roman" w:cs="Times New Roman"/>
                <w:b/>
              </w:rPr>
            </w:pPr>
          </w:p>
        </w:tc>
      </w:tr>
      <w:tr w:rsidR="00A52778" w:rsidRPr="00460F9E" w14:paraId="1139B0AF" w14:textId="77777777" w:rsidTr="00FC3F8E">
        <w:trPr>
          <w:gridAfter w:val="1"/>
          <w:wAfter w:w="67" w:type="dxa"/>
          <w:trHeight w:val="217"/>
        </w:trPr>
        <w:tc>
          <w:tcPr>
            <w:tcW w:w="426" w:type="dxa"/>
            <w:tcBorders>
              <w:left w:val="single" w:sz="8" w:space="0" w:color="auto"/>
              <w:right w:val="single" w:sz="8" w:space="0" w:color="auto"/>
            </w:tcBorders>
            <w:shd w:val="clear" w:color="auto" w:fill="auto"/>
            <w:vAlign w:val="bottom"/>
          </w:tcPr>
          <w:p w14:paraId="1A9B3358" w14:textId="77777777" w:rsidR="00A52778" w:rsidRPr="00460F9E" w:rsidRDefault="00A52778" w:rsidP="00FC3F8E">
            <w:pPr>
              <w:spacing w:line="0" w:lineRule="atLeast"/>
              <w:rPr>
                <w:rFonts w:eastAsia="Times New Roman" w:cs="Times New Roman"/>
                <w:b/>
                <w:sz w:val="18"/>
              </w:rPr>
            </w:pPr>
          </w:p>
        </w:tc>
        <w:tc>
          <w:tcPr>
            <w:tcW w:w="1134" w:type="dxa"/>
            <w:tcBorders>
              <w:right w:val="single" w:sz="8" w:space="0" w:color="auto"/>
            </w:tcBorders>
            <w:shd w:val="clear" w:color="auto" w:fill="auto"/>
            <w:vAlign w:val="bottom"/>
          </w:tcPr>
          <w:p w14:paraId="4F0D67F9" w14:textId="77777777" w:rsidR="00A52778" w:rsidRPr="00460F9E" w:rsidRDefault="00A52778" w:rsidP="00FC3F8E">
            <w:pPr>
              <w:spacing w:line="0" w:lineRule="atLeast"/>
              <w:rPr>
                <w:rFonts w:eastAsia="Times New Roman" w:cs="Times New Roman"/>
                <w:b/>
                <w:sz w:val="18"/>
              </w:rPr>
            </w:pPr>
          </w:p>
        </w:tc>
        <w:tc>
          <w:tcPr>
            <w:tcW w:w="3402" w:type="dxa"/>
            <w:gridSpan w:val="8"/>
            <w:tcBorders>
              <w:right w:val="single" w:sz="8" w:space="0" w:color="auto"/>
            </w:tcBorders>
            <w:shd w:val="clear" w:color="auto" w:fill="auto"/>
            <w:vAlign w:val="bottom"/>
          </w:tcPr>
          <w:p w14:paraId="505A8D5A"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Bu madde şunları ihtiva etmektedir:</w:t>
            </w:r>
          </w:p>
          <w:p w14:paraId="3CEDA3FE" w14:textId="77777777" w:rsidR="00A52778" w:rsidRPr="00460F9E" w:rsidRDefault="00A52778" w:rsidP="00FC3F8E">
            <w:pPr>
              <w:spacing w:line="0" w:lineRule="atLeast"/>
              <w:rPr>
                <w:rFonts w:eastAsia="Times New Roman" w:cs="Times New Roman"/>
                <w:b/>
                <w:sz w:val="18"/>
              </w:rPr>
            </w:pPr>
          </w:p>
        </w:tc>
        <w:tc>
          <w:tcPr>
            <w:tcW w:w="992" w:type="dxa"/>
            <w:tcBorders>
              <w:right w:val="single" w:sz="8" w:space="0" w:color="auto"/>
            </w:tcBorders>
            <w:shd w:val="clear" w:color="auto" w:fill="auto"/>
            <w:vAlign w:val="bottom"/>
          </w:tcPr>
          <w:p w14:paraId="03B90924" w14:textId="77777777" w:rsidR="00A52778" w:rsidRPr="00460F9E" w:rsidRDefault="00A52778" w:rsidP="00FC3F8E">
            <w:pPr>
              <w:spacing w:line="0" w:lineRule="atLeast"/>
              <w:rPr>
                <w:rFonts w:eastAsia="Times New Roman" w:cs="Times New Roman"/>
                <w:b/>
                <w:sz w:val="18"/>
              </w:rPr>
            </w:pPr>
          </w:p>
        </w:tc>
        <w:tc>
          <w:tcPr>
            <w:tcW w:w="989" w:type="dxa"/>
            <w:shd w:val="clear" w:color="auto" w:fill="auto"/>
            <w:vAlign w:val="bottom"/>
          </w:tcPr>
          <w:p w14:paraId="6CA05097" w14:textId="77777777" w:rsidR="00A52778" w:rsidRPr="00460F9E" w:rsidRDefault="00A52778" w:rsidP="00FC3F8E">
            <w:pPr>
              <w:spacing w:line="0" w:lineRule="atLeast"/>
              <w:rPr>
                <w:rFonts w:eastAsia="Times New Roman" w:cs="Times New Roman"/>
                <w:b/>
                <w:sz w:val="18"/>
              </w:rPr>
            </w:pPr>
          </w:p>
        </w:tc>
        <w:tc>
          <w:tcPr>
            <w:tcW w:w="380" w:type="dxa"/>
            <w:gridSpan w:val="2"/>
            <w:shd w:val="clear" w:color="auto" w:fill="auto"/>
            <w:vAlign w:val="bottom"/>
          </w:tcPr>
          <w:p w14:paraId="5D4098A1" w14:textId="77777777" w:rsidR="00A52778" w:rsidRPr="00460F9E" w:rsidRDefault="00A52778" w:rsidP="00FC3F8E">
            <w:pPr>
              <w:spacing w:line="0" w:lineRule="atLeast"/>
              <w:rPr>
                <w:rFonts w:eastAsia="Times New Roman" w:cs="Times New Roman"/>
                <w:b/>
                <w:sz w:val="18"/>
              </w:rPr>
            </w:pPr>
          </w:p>
        </w:tc>
        <w:tc>
          <w:tcPr>
            <w:tcW w:w="860" w:type="dxa"/>
            <w:gridSpan w:val="2"/>
            <w:shd w:val="clear" w:color="auto" w:fill="auto"/>
            <w:vAlign w:val="bottom"/>
          </w:tcPr>
          <w:p w14:paraId="122C485C" w14:textId="77777777" w:rsidR="00A52778" w:rsidRPr="00460F9E" w:rsidRDefault="00A52778" w:rsidP="00FC3F8E">
            <w:pPr>
              <w:spacing w:line="0" w:lineRule="atLeast"/>
              <w:rPr>
                <w:rFonts w:eastAsia="Times New Roman" w:cs="Times New Roman"/>
                <w:b/>
                <w:sz w:val="18"/>
              </w:rPr>
            </w:pPr>
          </w:p>
        </w:tc>
        <w:tc>
          <w:tcPr>
            <w:tcW w:w="616" w:type="dxa"/>
            <w:gridSpan w:val="2"/>
            <w:tcBorders>
              <w:right w:val="single" w:sz="8" w:space="0" w:color="auto"/>
            </w:tcBorders>
            <w:shd w:val="clear" w:color="auto" w:fill="auto"/>
            <w:vAlign w:val="bottom"/>
          </w:tcPr>
          <w:p w14:paraId="47E0AC2A" w14:textId="77777777" w:rsidR="00A52778" w:rsidRPr="00460F9E" w:rsidRDefault="00A52778" w:rsidP="00FC3F8E">
            <w:pPr>
              <w:spacing w:line="0" w:lineRule="atLeast"/>
              <w:rPr>
                <w:rFonts w:eastAsia="Times New Roman" w:cs="Times New Roman"/>
                <w:b/>
                <w:sz w:val="18"/>
              </w:rPr>
            </w:pPr>
          </w:p>
        </w:tc>
      </w:tr>
      <w:tr w:rsidR="00A52778" w:rsidRPr="00460F9E" w14:paraId="2BB20DAB" w14:textId="77777777" w:rsidTr="00FC3F8E">
        <w:trPr>
          <w:trHeight w:val="305"/>
        </w:trPr>
        <w:tc>
          <w:tcPr>
            <w:tcW w:w="426" w:type="dxa"/>
            <w:tcBorders>
              <w:left w:val="single" w:sz="8" w:space="0" w:color="auto"/>
              <w:right w:val="single" w:sz="8" w:space="0" w:color="auto"/>
            </w:tcBorders>
            <w:shd w:val="clear" w:color="auto" w:fill="auto"/>
            <w:vAlign w:val="bottom"/>
          </w:tcPr>
          <w:p w14:paraId="6D3BF2DA" w14:textId="77777777" w:rsidR="00A52778" w:rsidRPr="00460F9E" w:rsidRDefault="00A52778" w:rsidP="00FC3F8E">
            <w:pPr>
              <w:spacing w:line="0" w:lineRule="atLeast"/>
              <w:rPr>
                <w:rFonts w:eastAsia="Times New Roman" w:cs="Times New Roman"/>
                <w:b/>
              </w:rPr>
            </w:pPr>
          </w:p>
        </w:tc>
        <w:tc>
          <w:tcPr>
            <w:tcW w:w="1134" w:type="dxa"/>
            <w:tcBorders>
              <w:right w:val="single" w:sz="8" w:space="0" w:color="auto"/>
            </w:tcBorders>
            <w:shd w:val="clear" w:color="auto" w:fill="auto"/>
            <w:vAlign w:val="bottom"/>
          </w:tcPr>
          <w:p w14:paraId="2FE087C3" w14:textId="77777777" w:rsidR="00A52778" w:rsidRPr="00460F9E" w:rsidRDefault="00A52778" w:rsidP="00FC3F8E">
            <w:pPr>
              <w:spacing w:line="0" w:lineRule="atLeast"/>
              <w:rPr>
                <w:rFonts w:eastAsia="Times New Roman" w:cs="Times New Roman"/>
                <w:b/>
              </w:rPr>
            </w:pPr>
          </w:p>
        </w:tc>
        <w:tc>
          <w:tcPr>
            <w:tcW w:w="30" w:type="dxa"/>
            <w:shd w:val="clear" w:color="auto" w:fill="auto"/>
            <w:vAlign w:val="bottom"/>
          </w:tcPr>
          <w:p w14:paraId="53C51356" w14:textId="77777777" w:rsidR="00A52778" w:rsidRPr="00460F9E" w:rsidRDefault="00A52778" w:rsidP="00FC3F8E">
            <w:pPr>
              <w:spacing w:line="0" w:lineRule="atLeast"/>
              <w:rPr>
                <w:rFonts w:eastAsia="Times New Roman" w:cs="Times New Roman"/>
                <w:b/>
              </w:rPr>
            </w:pPr>
          </w:p>
        </w:tc>
        <w:tc>
          <w:tcPr>
            <w:tcW w:w="3340" w:type="dxa"/>
            <w:gridSpan w:val="6"/>
            <w:vMerge w:val="restart"/>
            <w:tcBorders>
              <w:right w:val="single" w:sz="8" w:space="0" w:color="auto"/>
            </w:tcBorders>
            <w:shd w:val="clear" w:color="auto" w:fill="auto"/>
            <w:vAlign w:val="bottom"/>
          </w:tcPr>
          <w:p w14:paraId="4A83BFBB"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açık yüzeylere yağ kremleme </w:t>
            </w:r>
          </w:p>
          <w:p w14:paraId="3B5F3B95"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sistemlerinin kurulması;</w:t>
            </w:r>
          </w:p>
          <w:p w14:paraId="4F7D8404"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açık yüzeylerin periyodik olarak </w:t>
            </w:r>
          </w:p>
          <w:p w14:paraId="1D3E72D5"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sıyrılması (örn. yüzen maddelerin </w:t>
            </w:r>
          </w:p>
          <w:p w14:paraId="7FC82600"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uzaklaştırılması);</w:t>
            </w:r>
          </w:p>
          <w:p w14:paraId="3C66B8EC"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açık yüzeylere buharlaşmayı önleyici </w:t>
            </w:r>
          </w:p>
          <w:p w14:paraId="4BD1175E"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yüzer elemanların yerleştirilmesi;</w:t>
            </w:r>
          </w:p>
        </w:tc>
        <w:tc>
          <w:tcPr>
            <w:tcW w:w="1020" w:type="dxa"/>
            <w:gridSpan w:val="2"/>
            <w:tcBorders>
              <w:right w:val="single" w:sz="8" w:space="0" w:color="auto"/>
            </w:tcBorders>
            <w:shd w:val="clear" w:color="auto" w:fill="auto"/>
            <w:vAlign w:val="bottom"/>
          </w:tcPr>
          <w:p w14:paraId="2F7A3EA0" w14:textId="77777777" w:rsidR="00A52778" w:rsidRPr="00460F9E" w:rsidRDefault="00A52778" w:rsidP="00FC3F8E">
            <w:pPr>
              <w:spacing w:line="0" w:lineRule="atLeast"/>
              <w:rPr>
                <w:rFonts w:eastAsia="Times New Roman" w:cs="Times New Roman"/>
                <w:b/>
              </w:rPr>
            </w:pPr>
          </w:p>
        </w:tc>
        <w:tc>
          <w:tcPr>
            <w:tcW w:w="1060" w:type="dxa"/>
            <w:gridSpan w:val="2"/>
            <w:shd w:val="clear" w:color="auto" w:fill="auto"/>
            <w:vAlign w:val="bottom"/>
          </w:tcPr>
          <w:p w14:paraId="7FC152EB" w14:textId="77777777" w:rsidR="00A52778" w:rsidRPr="00460F9E" w:rsidRDefault="00A52778" w:rsidP="00FC3F8E">
            <w:pPr>
              <w:spacing w:line="0" w:lineRule="atLeast"/>
              <w:rPr>
                <w:rFonts w:eastAsia="Times New Roman" w:cs="Times New Roman"/>
                <w:b/>
              </w:rPr>
            </w:pPr>
          </w:p>
        </w:tc>
        <w:tc>
          <w:tcPr>
            <w:tcW w:w="380" w:type="dxa"/>
            <w:gridSpan w:val="2"/>
            <w:shd w:val="clear" w:color="auto" w:fill="auto"/>
            <w:vAlign w:val="bottom"/>
          </w:tcPr>
          <w:p w14:paraId="3696F68F" w14:textId="77777777" w:rsidR="00A52778" w:rsidRPr="00460F9E" w:rsidRDefault="00A52778" w:rsidP="00FC3F8E">
            <w:pPr>
              <w:spacing w:line="0" w:lineRule="atLeast"/>
              <w:rPr>
                <w:rFonts w:eastAsia="Times New Roman" w:cs="Times New Roman"/>
                <w:b/>
              </w:rPr>
            </w:pPr>
          </w:p>
        </w:tc>
        <w:tc>
          <w:tcPr>
            <w:tcW w:w="860" w:type="dxa"/>
            <w:gridSpan w:val="2"/>
            <w:shd w:val="clear" w:color="auto" w:fill="auto"/>
            <w:vAlign w:val="bottom"/>
          </w:tcPr>
          <w:p w14:paraId="587DA915" w14:textId="77777777" w:rsidR="00A52778" w:rsidRPr="00460F9E" w:rsidRDefault="00A52778" w:rsidP="00FC3F8E">
            <w:pPr>
              <w:spacing w:line="0" w:lineRule="atLeast"/>
              <w:rPr>
                <w:rFonts w:eastAsia="Times New Roman" w:cs="Times New Roman"/>
                <w:b/>
              </w:rPr>
            </w:pPr>
          </w:p>
        </w:tc>
        <w:tc>
          <w:tcPr>
            <w:tcW w:w="616" w:type="dxa"/>
            <w:gridSpan w:val="2"/>
            <w:tcBorders>
              <w:right w:val="single" w:sz="8" w:space="0" w:color="auto"/>
            </w:tcBorders>
            <w:shd w:val="clear" w:color="auto" w:fill="auto"/>
            <w:vAlign w:val="bottom"/>
          </w:tcPr>
          <w:p w14:paraId="67CC825D" w14:textId="77777777" w:rsidR="00A52778" w:rsidRPr="00460F9E" w:rsidRDefault="00A52778" w:rsidP="00FC3F8E">
            <w:pPr>
              <w:spacing w:line="0" w:lineRule="atLeast"/>
              <w:rPr>
                <w:rFonts w:eastAsia="Times New Roman" w:cs="Times New Roman"/>
                <w:b/>
              </w:rPr>
            </w:pPr>
          </w:p>
        </w:tc>
      </w:tr>
      <w:tr w:rsidR="00A52778" w:rsidRPr="00460F9E" w14:paraId="165E8132" w14:textId="77777777" w:rsidTr="00FC3F8E">
        <w:trPr>
          <w:trHeight w:val="231"/>
        </w:trPr>
        <w:tc>
          <w:tcPr>
            <w:tcW w:w="426" w:type="dxa"/>
            <w:tcBorders>
              <w:left w:val="single" w:sz="8" w:space="0" w:color="auto"/>
              <w:right w:val="single" w:sz="8" w:space="0" w:color="auto"/>
            </w:tcBorders>
            <w:shd w:val="clear" w:color="auto" w:fill="auto"/>
            <w:vAlign w:val="bottom"/>
          </w:tcPr>
          <w:p w14:paraId="68C31177" w14:textId="77777777" w:rsidR="00A52778" w:rsidRPr="00460F9E" w:rsidRDefault="00A52778" w:rsidP="00FC3F8E">
            <w:pPr>
              <w:spacing w:line="0" w:lineRule="atLeast"/>
              <w:rPr>
                <w:rFonts w:eastAsia="Times New Roman" w:cs="Times New Roman"/>
                <w:b/>
              </w:rPr>
            </w:pPr>
          </w:p>
        </w:tc>
        <w:tc>
          <w:tcPr>
            <w:tcW w:w="1134" w:type="dxa"/>
            <w:tcBorders>
              <w:right w:val="single" w:sz="8" w:space="0" w:color="auto"/>
            </w:tcBorders>
            <w:shd w:val="clear" w:color="auto" w:fill="auto"/>
            <w:vAlign w:val="bottom"/>
          </w:tcPr>
          <w:p w14:paraId="1E81F2DA" w14:textId="77777777" w:rsidR="00A52778" w:rsidRPr="00460F9E" w:rsidRDefault="00A52778" w:rsidP="00FC3F8E">
            <w:pPr>
              <w:spacing w:line="0" w:lineRule="atLeast"/>
              <w:rPr>
                <w:rFonts w:eastAsia="Times New Roman" w:cs="Times New Roman"/>
                <w:b/>
              </w:rPr>
            </w:pPr>
          </w:p>
        </w:tc>
        <w:tc>
          <w:tcPr>
            <w:tcW w:w="30" w:type="dxa"/>
            <w:shd w:val="clear" w:color="auto" w:fill="auto"/>
            <w:vAlign w:val="bottom"/>
          </w:tcPr>
          <w:p w14:paraId="7A4E48E5" w14:textId="77777777" w:rsidR="00A52778" w:rsidRPr="00460F9E" w:rsidRDefault="00A52778" w:rsidP="00FC3F8E">
            <w:pPr>
              <w:spacing w:line="0" w:lineRule="atLeast"/>
              <w:rPr>
                <w:rFonts w:eastAsia="Times New Roman" w:cs="Times New Roman"/>
                <w:b/>
              </w:rPr>
            </w:pPr>
          </w:p>
        </w:tc>
        <w:tc>
          <w:tcPr>
            <w:tcW w:w="3340" w:type="dxa"/>
            <w:gridSpan w:val="6"/>
            <w:vMerge/>
            <w:tcBorders>
              <w:right w:val="single" w:sz="8" w:space="0" w:color="auto"/>
            </w:tcBorders>
            <w:shd w:val="clear" w:color="auto" w:fill="auto"/>
            <w:vAlign w:val="bottom"/>
          </w:tcPr>
          <w:p w14:paraId="284F5FC5" w14:textId="77777777" w:rsidR="00A52778" w:rsidRPr="00460F9E" w:rsidRDefault="00A52778" w:rsidP="00FC3F8E">
            <w:pPr>
              <w:spacing w:line="0" w:lineRule="atLeast"/>
              <w:rPr>
                <w:rFonts w:eastAsia="Times New Roman" w:cs="Times New Roman"/>
                <w:b/>
              </w:rPr>
            </w:pPr>
          </w:p>
        </w:tc>
        <w:tc>
          <w:tcPr>
            <w:tcW w:w="1020" w:type="dxa"/>
            <w:gridSpan w:val="2"/>
            <w:tcBorders>
              <w:left w:val="single" w:sz="8" w:space="0" w:color="auto"/>
              <w:right w:val="single" w:sz="8" w:space="0" w:color="auto"/>
            </w:tcBorders>
            <w:shd w:val="clear" w:color="auto" w:fill="auto"/>
            <w:vAlign w:val="bottom"/>
          </w:tcPr>
          <w:p w14:paraId="0819D5AC" w14:textId="77777777" w:rsidR="00A52778" w:rsidRPr="00460F9E" w:rsidRDefault="00A52778" w:rsidP="00FC3F8E">
            <w:pPr>
              <w:spacing w:line="0" w:lineRule="atLeast"/>
              <w:rPr>
                <w:rFonts w:eastAsia="Times New Roman" w:cs="Times New Roman"/>
                <w:b/>
              </w:rPr>
            </w:pPr>
          </w:p>
        </w:tc>
        <w:tc>
          <w:tcPr>
            <w:tcW w:w="1060" w:type="dxa"/>
            <w:gridSpan w:val="2"/>
            <w:shd w:val="clear" w:color="auto" w:fill="auto"/>
            <w:vAlign w:val="bottom"/>
          </w:tcPr>
          <w:p w14:paraId="6226D770" w14:textId="77777777" w:rsidR="00A52778" w:rsidRPr="00460F9E" w:rsidRDefault="00A52778" w:rsidP="00FC3F8E">
            <w:pPr>
              <w:spacing w:line="0" w:lineRule="atLeast"/>
              <w:rPr>
                <w:rFonts w:eastAsia="Times New Roman" w:cs="Times New Roman"/>
                <w:b/>
              </w:rPr>
            </w:pPr>
          </w:p>
        </w:tc>
        <w:tc>
          <w:tcPr>
            <w:tcW w:w="380" w:type="dxa"/>
            <w:gridSpan w:val="2"/>
            <w:shd w:val="clear" w:color="auto" w:fill="auto"/>
            <w:vAlign w:val="bottom"/>
          </w:tcPr>
          <w:p w14:paraId="0723C71F" w14:textId="77777777" w:rsidR="00A52778" w:rsidRPr="00460F9E" w:rsidRDefault="00A52778" w:rsidP="00FC3F8E">
            <w:pPr>
              <w:spacing w:line="0" w:lineRule="atLeast"/>
              <w:rPr>
                <w:rFonts w:eastAsia="Times New Roman" w:cs="Times New Roman"/>
                <w:b/>
              </w:rPr>
            </w:pPr>
          </w:p>
        </w:tc>
        <w:tc>
          <w:tcPr>
            <w:tcW w:w="860" w:type="dxa"/>
            <w:gridSpan w:val="2"/>
            <w:shd w:val="clear" w:color="auto" w:fill="auto"/>
            <w:vAlign w:val="bottom"/>
          </w:tcPr>
          <w:p w14:paraId="029AA52A" w14:textId="77777777" w:rsidR="00A52778" w:rsidRPr="00460F9E" w:rsidRDefault="00A52778" w:rsidP="00FC3F8E">
            <w:pPr>
              <w:spacing w:line="0" w:lineRule="atLeast"/>
              <w:rPr>
                <w:rFonts w:eastAsia="Times New Roman" w:cs="Times New Roman"/>
                <w:b/>
              </w:rPr>
            </w:pPr>
          </w:p>
        </w:tc>
        <w:tc>
          <w:tcPr>
            <w:tcW w:w="616" w:type="dxa"/>
            <w:gridSpan w:val="2"/>
            <w:tcBorders>
              <w:right w:val="single" w:sz="8" w:space="0" w:color="auto"/>
            </w:tcBorders>
            <w:shd w:val="clear" w:color="auto" w:fill="auto"/>
            <w:vAlign w:val="bottom"/>
          </w:tcPr>
          <w:p w14:paraId="01BEF8E1" w14:textId="77777777" w:rsidR="00A52778" w:rsidRPr="00460F9E" w:rsidRDefault="00A52778" w:rsidP="00FC3F8E">
            <w:pPr>
              <w:spacing w:line="0" w:lineRule="atLeast"/>
              <w:rPr>
                <w:rFonts w:eastAsia="Times New Roman" w:cs="Times New Roman"/>
                <w:b/>
              </w:rPr>
            </w:pPr>
          </w:p>
        </w:tc>
      </w:tr>
      <w:tr w:rsidR="00A52778" w:rsidRPr="00460F9E" w14:paraId="42ED21E7" w14:textId="77777777" w:rsidTr="00FC3F8E">
        <w:trPr>
          <w:trHeight w:val="305"/>
        </w:trPr>
        <w:tc>
          <w:tcPr>
            <w:tcW w:w="426" w:type="dxa"/>
            <w:tcBorders>
              <w:left w:val="single" w:sz="8" w:space="0" w:color="auto"/>
              <w:right w:val="single" w:sz="8" w:space="0" w:color="auto"/>
            </w:tcBorders>
            <w:shd w:val="clear" w:color="auto" w:fill="auto"/>
            <w:vAlign w:val="bottom"/>
          </w:tcPr>
          <w:p w14:paraId="428F2124" w14:textId="77777777" w:rsidR="00A52778" w:rsidRPr="00460F9E" w:rsidRDefault="00A52778" w:rsidP="00FC3F8E">
            <w:pPr>
              <w:spacing w:line="0" w:lineRule="atLeast"/>
              <w:rPr>
                <w:rFonts w:eastAsia="Times New Roman" w:cs="Times New Roman"/>
                <w:b/>
              </w:rPr>
            </w:pPr>
          </w:p>
        </w:tc>
        <w:tc>
          <w:tcPr>
            <w:tcW w:w="1134" w:type="dxa"/>
            <w:tcBorders>
              <w:right w:val="single" w:sz="8" w:space="0" w:color="auto"/>
            </w:tcBorders>
            <w:shd w:val="clear" w:color="auto" w:fill="auto"/>
            <w:vAlign w:val="bottom"/>
          </w:tcPr>
          <w:p w14:paraId="07F74D53" w14:textId="77777777" w:rsidR="00A52778" w:rsidRPr="00460F9E" w:rsidRDefault="00A52778" w:rsidP="00FC3F8E">
            <w:pPr>
              <w:spacing w:line="0" w:lineRule="atLeast"/>
              <w:rPr>
                <w:rFonts w:eastAsia="Times New Roman" w:cs="Times New Roman"/>
                <w:b/>
              </w:rPr>
            </w:pPr>
          </w:p>
        </w:tc>
        <w:tc>
          <w:tcPr>
            <w:tcW w:w="30" w:type="dxa"/>
            <w:shd w:val="clear" w:color="auto" w:fill="auto"/>
            <w:vAlign w:val="bottom"/>
          </w:tcPr>
          <w:p w14:paraId="355E11FD" w14:textId="77777777" w:rsidR="00A52778" w:rsidRPr="00460F9E" w:rsidRDefault="00A52778" w:rsidP="00FC3F8E">
            <w:pPr>
              <w:spacing w:line="0" w:lineRule="atLeast"/>
              <w:rPr>
                <w:rFonts w:eastAsia="Times New Roman" w:cs="Times New Roman"/>
                <w:b/>
              </w:rPr>
            </w:pPr>
          </w:p>
        </w:tc>
        <w:tc>
          <w:tcPr>
            <w:tcW w:w="3340" w:type="dxa"/>
            <w:gridSpan w:val="6"/>
            <w:vMerge/>
            <w:tcBorders>
              <w:right w:val="single" w:sz="8" w:space="0" w:color="auto"/>
            </w:tcBorders>
            <w:shd w:val="clear" w:color="auto" w:fill="auto"/>
            <w:vAlign w:val="bottom"/>
          </w:tcPr>
          <w:p w14:paraId="74E4F086" w14:textId="77777777" w:rsidR="00A52778" w:rsidRPr="00460F9E" w:rsidRDefault="00A52778" w:rsidP="00FC3F8E">
            <w:pPr>
              <w:spacing w:line="0" w:lineRule="atLeast"/>
              <w:rPr>
                <w:rFonts w:eastAsia="Times New Roman" w:cs="Times New Roman"/>
                <w:b/>
              </w:rPr>
            </w:pPr>
          </w:p>
        </w:tc>
        <w:tc>
          <w:tcPr>
            <w:tcW w:w="1020" w:type="dxa"/>
            <w:gridSpan w:val="2"/>
            <w:tcBorders>
              <w:right w:val="single" w:sz="8" w:space="0" w:color="auto"/>
            </w:tcBorders>
            <w:shd w:val="clear" w:color="auto" w:fill="auto"/>
            <w:vAlign w:val="bottom"/>
          </w:tcPr>
          <w:p w14:paraId="0DEC27D0" w14:textId="77777777" w:rsidR="00A52778" w:rsidRPr="00460F9E" w:rsidRDefault="00A52778" w:rsidP="00FC3F8E">
            <w:pPr>
              <w:spacing w:line="0" w:lineRule="atLeast"/>
              <w:rPr>
                <w:rFonts w:eastAsia="Times New Roman" w:cs="Times New Roman"/>
                <w:b/>
              </w:rPr>
            </w:pPr>
          </w:p>
        </w:tc>
        <w:tc>
          <w:tcPr>
            <w:tcW w:w="1060" w:type="dxa"/>
            <w:gridSpan w:val="2"/>
            <w:shd w:val="clear" w:color="auto" w:fill="auto"/>
            <w:vAlign w:val="bottom"/>
          </w:tcPr>
          <w:p w14:paraId="37C01607" w14:textId="77777777" w:rsidR="00A52778" w:rsidRPr="00460F9E" w:rsidRDefault="00A52778" w:rsidP="00FC3F8E">
            <w:pPr>
              <w:spacing w:line="0" w:lineRule="atLeast"/>
              <w:rPr>
                <w:rFonts w:eastAsia="Times New Roman" w:cs="Times New Roman"/>
                <w:b/>
              </w:rPr>
            </w:pPr>
          </w:p>
        </w:tc>
        <w:tc>
          <w:tcPr>
            <w:tcW w:w="380" w:type="dxa"/>
            <w:gridSpan w:val="2"/>
            <w:shd w:val="clear" w:color="auto" w:fill="auto"/>
            <w:vAlign w:val="bottom"/>
          </w:tcPr>
          <w:p w14:paraId="5F19DE9C" w14:textId="77777777" w:rsidR="00A52778" w:rsidRPr="00460F9E" w:rsidRDefault="00A52778" w:rsidP="00FC3F8E">
            <w:pPr>
              <w:spacing w:line="0" w:lineRule="atLeast"/>
              <w:rPr>
                <w:rFonts w:eastAsia="Times New Roman" w:cs="Times New Roman"/>
                <w:b/>
              </w:rPr>
            </w:pPr>
          </w:p>
        </w:tc>
        <w:tc>
          <w:tcPr>
            <w:tcW w:w="860" w:type="dxa"/>
            <w:gridSpan w:val="2"/>
            <w:shd w:val="clear" w:color="auto" w:fill="auto"/>
            <w:vAlign w:val="bottom"/>
          </w:tcPr>
          <w:p w14:paraId="7E7DFF3A" w14:textId="77777777" w:rsidR="00A52778" w:rsidRPr="00460F9E" w:rsidRDefault="00A52778" w:rsidP="00FC3F8E">
            <w:pPr>
              <w:spacing w:line="0" w:lineRule="atLeast"/>
              <w:rPr>
                <w:rFonts w:eastAsia="Times New Roman" w:cs="Times New Roman"/>
                <w:b/>
              </w:rPr>
            </w:pPr>
          </w:p>
        </w:tc>
        <w:tc>
          <w:tcPr>
            <w:tcW w:w="616" w:type="dxa"/>
            <w:gridSpan w:val="2"/>
            <w:tcBorders>
              <w:right w:val="single" w:sz="8" w:space="0" w:color="auto"/>
            </w:tcBorders>
            <w:shd w:val="clear" w:color="auto" w:fill="auto"/>
            <w:vAlign w:val="bottom"/>
          </w:tcPr>
          <w:p w14:paraId="42B55E3D" w14:textId="77777777" w:rsidR="00A52778" w:rsidRPr="00460F9E" w:rsidRDefault="00A52778" w:rsidP="00FC3F8E">
            <w:pPr>
              <w:spacing w:line="0" w:lineRule="atLeast"/>
              <w:rPr>
                <w:rFonts w:eastAsia="Times New Roman" w:cs="Times New Roman"/>
                <w:b/>
              </w:rPr>
            </w:pPr>
          </w:p>
        </w:tc>
      </w:tr>
      <w:tr w:rsidR="00A52778" w:rsidRPr="00460F9E" w14:paraId="0CB70168" w14:textId="77777777" w:rsidTr="00FC3F8E">
        <w:trPr>
          <w:trHeight w:val="230"/>
        </w:trPr>
        <w:tc>
          <w:tcPr>
            <w:tcW w:w="426" w:type="dxa"/>
            <w:tcBorders>
              <w:left w:val="single" w:sz="8" w:space="0" w:color="auto"/>
              <w:right w:val="single" w:sz="8" w:space="0" w:color="auto"/>
            </w:tcBorders>
            <w:shd w:val="clear" w:color="auto" w:fill="auto"/>
            <w:vAlign w:val="bottom"/>
          </w:tcPr>
          <w:p w14:paraId="1E3A694C" w14:textId="77777777" w:rsidR="00A52778" w:rsidRPr="00460F9E" w:rsidRDefault="00A52778" w:rsidP="00FC3F8E">
            <w:pPr>
              <w:spacing w:line="0" w:lineRule="atLeast"/>
              <w:rPr>
                <w:rFonts w:eastAsia="Times New Roman" w:cs="Times New Roman"/>
                <w:b/>
              </w:rPr>
            </w:pPr>
          </w:p>
        </w:tc>
        <w:tc>
          <w:tcPr>
            <w:tcW w:w="1134" w:type="dxa"/>
            <w:vMerge w:val="restart"/>
            <w:tcBorders>
              <w:right w:val="single" w:sz="8" w:space="0" w:color="auto"/>
            </w:tcBorders>
            <w:shd w:val="clear" w:color="auto" w:fill="auto"/>
            <w:vAlign w:val="bottom"/>
          </w:tcPr>
          <w:p w14:paraId="41E63BEF" w14:textId="77777777" w:rsidR="00A52778" w:rsidRPr="00460F9E" w:rsidRDefault="00A52778" w:rsidP="00FC3F8E">
            <w:pPr>
              <w:spacing w:line="219" w:lineRule="exact"/>
              <w:ind w:left="100"/>
              <w:rPr>
                <w:rFonts w:eastAsia="Times New Roman" w:cs="Times New Roman"/>
                <w:b/>
              </w:rPr>
            </w:pPr>
            <w:r w:rsidRPr="00460F9E">
              <w:rPr>
                <w:rFonts w:eastAsia="Times New Roman" w:cs="Times New Roman"/>
              </w:rPr>
              <w:t>Yüzeylerden kaynaklanan emisyonları asgariye indirecek tekniklerin kullanılması</w:t>
            </w:r>
          </w:p>
        </w:tc>
        <w:tc>
          <w:tcPr>
            <w:tcW w:w="30" w:type="dxa"/>
            <w:shd w:val="clear" w:color="auto" w:fill="auto"/>
            <w:vAlign w:val="bottom"/>
          </w:tcPr>
          <w:p w14:paraId="389629EC" w14:textId="77777777" w:rsidR="00A52778" w:rsidRPr="00460F9E" w:rsidRDefault="00A52778" w:rsidP="00FC3F8E">
            <w:pPr>
              <w:spacing w:line="0" w:lineRule="atLeast"/>
              <w:rPr>
                <w:rFonts w:eastAsia="Times New Roman" w:cs="Times New Roman"/>
                <w:b/>
              </w:rPr>
            </w:pPr>
          </w:p>
        </w:tc>
        <w:tc>
          <w:tcPr>
            <w:tcW w:w="3340" w:type="dxa"/>
            <w:gridSpan w:val="6"/>
            <w:vMerge/>
            <w:tcBorders>
              <w:right w:val="single" w:sz="8" w:space="0" w:color="auto"/>
            </w:tcBorders>
            <w:shd w:val="clear" w:color="auto" w:fill="auto"/>
            <w:vAlign w:val="bottom"/>
          </w:tcPr>
          <w:p w14:paraId="73D3245D" w14:textId="77777777" w:rsidR="00A52778" w:rsidRPr="00460F9E" w:rsidRDefault="00A52778" w:rsidP="00FC3F8E">
            <w:pPr>
              <w:spacing w:line="0" w:lineRule="atLeast"/>
              <w:rPr>
                <w:rFonts w:eastAsia="Times New Roman" w:cs="Times New Roman"/>
                <w:b/>
              </w:rPr>
            </w:pPr>
          </w:p>
        </w:tc>
        <w:tc>
          <w:tcPr>
            <w:tcW w:w="1020" w:type="dxa"/>
            <w:gridSpan w:val="2"/>
            <w:tcBorders>
              <w:right w:val="single" w:sz="8" w:space="0" w:color="auto"/>
            </w:tcBorders>
            <w:shd w:val="clear" w:color="auto" w:fill="auto"/>
            <w:vAlign w:val="bottom"/>
          </w:tcPr>
          <w:p w14:paraId="0626F7A1" w14:textId="77777777" w:rsidR="00A52778" w:rsidRPr="00460F9E" w:rsidRDefault="00A52778" w:rsidP="00FC3F8E">
            <w:pPr>
              <w:spacing w:line="0" w:lineRule="atLeast"/>
              <w:rPr>
                <w:rFonts w:eastAsia="Times New Roman" w:cs="Times New Roman"/>
                <w:b/>
              </w:rPr>
            </w:pPr>
          </w:p>
        </w:tc>
        <w:tc>
          <w:tcPr>
            <w:tcW w:w="1060" w:type="dxa"/>
            <w:gridSpan w:val="2"/>
            <w:shd w:val="clear" w:color="auto" w:fill="auto"/>
            <w:vAlign w:val="bottom"/>
          </w:tcPr>
          <w:p w14:paraId="1FF68813" w14:textId="77777777" w:rsidR="00A52778" w:rsidRPr="00460F9E" w:rsidRDefault="00A52778" w:rsidP="00FC3F8E">
            <w:pPr>
              <w:spacing w:line="0" w:lineRule="atLeast"/>
              <w:rPr>
                <w:rFonts w:eastAsia="Times New Roman" w:cs="Times New Roman"/>
                <w:b/>
              </w:rPr>
            </w:pPr>
          </w:p>
        </w:tc>
        <w:tc>
          <w:tcPr>
            <w:tcW w:w="380" w:type="dxa"/>
            <w:gridSpan w:val="2"/>
            <w:shd w:val="clear" w:color="auto" w:fill="auto"/>
            <w:vAlign w:val="bottom"/>
          </w:tcPr>
          <w:p w14:paraId="4FCEF74D" w14:textId="77777777" w:rsidR="00A52778" w:rsidRPr="00460F9E" w:rsidRDefault="00A52778" w:rsidP="00FC3F8E">
            <w:pPr>
              <w:spacing w:line="0" w:lineRule="atLeast"/>
              <w:rPr>
                <w:rFonts w:eastAsia="Times New Roman" w:cs="Times New Roman"/>
                <w:b/>
              </w:rPr>
            </w:pPr>
          </w:p>
        </w:tc>
        <w:tc>
          <w:tcPr>
            <w:tcW w:w="860" w:type="dxa"/>
            <w:gridSpan w:val="2"/>
            <w:shd w:val="clear" w:color="auto" w:fill="auto"/>
            <w:vAlign w:val="bottom"/>
          </w:tcPr>
          <w:p w14:paraId="51F219DE" w14:textId="77777777" w:rsidR="00A52778" w:rsidRPr="00460F9E" w:rsidRDefault="00A52778" w:rsidP="00FC3F8E">
            <w:pPr>
              <w:spacing w:line="0" w:lineRule="atLeast"/>
              <w:rPr>
                <w:rFonts w:eastAsia="Times New Roman" w:cs="Times New Roman"/>
                <w:b/>
              </w:rPr>
            </w:pPr>
          </w:p>
        </w:tc>
        <w:tc>
          <w:tcPr>
            <w:tcW w:w="616" w:type="dxa"/>
            <w:gridSpan w:val="2"/>
            <w:tcBorders>
              <w:right w:val="single" w:sz="8" w:space="0" w:color="auto"/>
            </w:tcBorders>
            <w:shd w:val="clear" w:color="auto" w:fill="auto"/>
            <w:vAlign w:val="bottom"/>
          </w:tcPr>
          <w:p w14:paraId="4FD72BC5" w14:textId="77777777" w:rsidR="00A52778" w:rsidRPr="00460F9E" w:rsidRDefault="00A52778" w:rsidP="00FC3F8E">
            <w:pPr>
              <w:spacing w:line="0" w:lineRule="atLeast"/>
              <w:rPr>
                <w:rFonts w:eastAsia="Times New Roman" w:cs="Times New Roman"/>
                <w:b/>
              </w:rPr>
            </w:pPr>
          </w:p>
        </w:tc>
      </w:tr>
      <w:tr w:rsidR="00A52778" w:rsidRPr="00460F9E" w14:paraId="5A38D259" w14:textId="77777777" w:rsidTr="00FC3F8E">
        <w:trPr>
          <w:trHeight w:val="103"/>
        </w:trPr>
        <w:tc>
          <w:tcPr>
            <w:tcW w:w="426" w:type="dxa"/>
            <w:tcBorders>
              <w:left w:val="single" w:sz="8" w:space="0" w:color="auto"/>
              <w:right w:val="single" w:sz="8" w:space="0" w:color="auto"/>
            </w:tcBorders>
            <w:shd w:val="clear" w:color="auto" w:fill="auto"/>
            <w:vAlign w:val="bottom"/>
          </w:tcPr>
          <w:p w14:paraId="63BDA847" w14:textId="77777777" w:rsidR="00A52778" w:rsidRPr="00460F9E" w:rsidRDefault="00A52778" w:rsidP="00FC3F8E">
            <w:pPr>
              <w:spacing w:line="0" w:lineRule="atLeast"/>
              <w:rPr>
                <w:rFonts w:eastAsia="Times New Roman" w:cs="Times New Roman"/>
                <w:b/>
                <w:sz w:val="8"/>
              </w:rPr>
            </w:pPr>
          </w:p>
        </w:tc>
        <w:tc>
          <w:tcPr>
            <w:tcW w:w="1134" w:type="dxa"/>
            <w:vMerge/>
            <w:tcBorders>
              <w:right w:val="single" w:sz="8" w:space="0" w:color="auto"/>
            </w:tcBorders>
            <w:shd w:val="clear" w:color="auto" w:fill="auto"/>
            <w:vAlign w:val="bottom"/>
          </w:tcPr>
          <w:p w14:paraId="7DEDA027" w14:textId="77777777" w:rsidR="00A52778" w:rsidRPr="00460F9E" w:rsidRDefault="00A52778" w:rsidP="00FC3F8E">
            <w:pPr>
              <w:spacing w:line="219" w:lineRule="exact"/>
              <w:ind w:left="100"/>
              <w:rPr>
                <w:rFonts w:eastAsia="Times New Roman" w:cs="Times New Roman"/>
                <w:b/>
                <w:sz w:val="8"/>
              </w:rPr>
            </w:pPr>
          </w:p>
        </w:tc>
        <w:tc>
          <w:tcPr>
            <w:tcW w:w="30" w:type="dxa"/>
            <w:vMerge w:val="restart"/>
            <w:shd w:val="clear" w:color="auto" w:fill="auto"/>
            <w:vAlign w:val="bottom"/>
          </w:tcPr>
          <w:p w14:paraId="2025FBBF" w14:textId="77777777" w:rsidR="00A52778" w:rsidRPr="00460F9E" w:rsidRDefault="00A52778" w:rsidP="00FC3F8E">
            <w:pPr>
              <w:spacing w:line="0" w:lineRule="atLeast"/>
              <w:rPr>
                <w:rFonts w:eastAsia="Times New Roman" w:cs="Times New Roman"/>
                <w:b/>
                <w:sz w:val="8"/>
              </w:rPr>
            </w:pPr>
          </w:p>
        </w:tc>
        <w:tc>
          <w:tcPr>
            <w:tcW w:w="3340" w:type="dxa"/>
            <w:gridSpan w:val="6"/>
            <w:vMerge/>
            <w:tcBorders>
              <w:right w:val="single" w:sz="8" w:space="0" w:color="auto"/>
            </w:tcBorders>
            <w:shd w:val="clear" w:color="auto" w:fill="auto"/>
            <w:vAlign w:val="bottom"/>
          </w:tcPr>
          <w:p w14:paraId="6C37805D" w14:textId="77777777" w:rsidR="00A52778" w:rsidRPr="00460F9E" w:rsidRDefault="00A52778" w:rsidP="00FC3F8E">
            <w:pPr>
              <w:spacing w:line="0" w:lineRule="atLeast"/>
              <w:rPr>
                <w:rFonts w:eastAsia="Times New Roman" w:cs="Times New Roman"/>
                <w:b/>
              </w:rPr>
            </w:pPr>
          </w:p>
        </w:tc>
        <w:tc>
          <w:tcPr>
            <w:tcW w:w="1020" w:type="dxa"/>
            <w:gridSpan w:val="2"/>
            <w:tcBorders>
              <w:left w:val="single" w:sz="8" w:space="0" w:color="auto"/>
              <w:right w:val="single" w:sz="8" w:space="0" w:color="auto"/>
            </w:tcBorders>
            <w:shd w:val="clear" w:color="auto" w:fill="auto"/>
            <w:vAlign w:val="bottom"/>
          </w:tcPr>
          <w:p w14:paraId="28444F8C" w14:textId="77777777" w:rsidR="00A52778" w:rsidRPr="00460F9E" w:rsidRDefault="00A52778" w:rsidP="00FC3F8E">
            <w:pPr>
              <w:spacing w:line="0" w:lineRule="atLeast"/>
              <w:rPr>
                <w:rFonts w:eastAsia="Times New Roman" w:cs="Times New Roman"/>
                <w:b/>
                <w:sz w:val="8"/>
              </w:rPr>
            </w:pPr>
          </w:p>
        </w:tc>
        <w:tc>
          <w:tcPr>
            <w:tcW w:w="1060" w:type="dxa"/>
            <w:gridSpan w:val="2"/>
            <w:shd w:val="clear" w:color="auto" w:fill="auto"/>
            <w:vAlign w:val="bottom"/>
          </w:tcPr>
          <w:p w14:paraId="5FAC66BA" w14:textId="77777777" w:rsidR="00A52778" w:rsidRPr="00460F9E" w:rsidRDefault="00A52778" w:rsidP="00FC3F8E">
            <w:pPr>
              <w:spacing w:line="0" w:lineRule="atLeast"/>
              <w:rPr>
                <w:rFonts w:eastAsia="Times New Roman" w:cs="Times New Roman"/>
                <w:b/>
                <w:sz w:val="8"/>
              </w:rPr>
            </w:pPr>
          </w:p>
        </w:tc>
        <w:tc>
          <w:tcPr>
            <w:tcW w:w="380" w:type="dxa"/>
            <w:gridSpan w:val="2"/>
            <w:shd w:val="clear" w:color="auto" w:fill="auto"/>
            <w:vAlign w:val="bottom"/>
          </w:tcPr>
          <w:p w14:paraId="73EDE89A" w14:textId="77777777" w:rsidR="00A52778" w:rsidRPr="00460F9E" w:rsidRDefault="00A52778" w:rsidP="00FC3F8E">
            <w:pPr>
              <w:spacing w:line="0" w:lineRule="atLeast"/>
              <w:rPr>
                <w:rFonts w:eastAsia="Times New Roman" w:cs="Times New Roman"/>
                <w:b/>
                <w:sz w:val="8"/>
              </w:rPr>
            </w:pPr>
          </w:p>
        </w:tc>
        <w:tc>
          <w:tcPr>
            <w:tcW w:w="860" w:type="dxa"/>
            <w:gridSpan w:val="2"/>
            <w:shd w:val="clear" w:color="auto" w:fill="auto"/>
            <w:vAlign w:val="bottom"/>
          </w:tcPr>
          <w:p w14:paraId="09013F87" w14:textId="77777777" w:rsidR="00A52778" w:rsidRPr="00460F9E" w:rsidRDefault="00A52778" w:rsidP="00FC3F8E">
            <w:pPr>
              <w:spacing w:line="0" w:lineRule="atLeast"/>
              <w:rPr>
                <w:rFonts w:eastAsia="Times New Roman" w:cs="Times New Roman"/>
                <w:b/>
                <w:sz w:val="8"/>
              </w:rPr>
            </w:pPr>
          </w:p>
        </w:tc>
        <w:tc>
          <w:tcPr>
            <w:tcW w:w="616" w:type="dxa"/>
            <w:gridSpan w:val="2"/>
            <w:tcBorders>
              <w:right w:val="single" w:sz="8" w:space="0" w:color="auto"/>
            </w:tcBorders>
            <w:shd w:val="clear" w:color="auto" w:fill="auto"/>
            <w:vAlign w:val="bottom"/>
          </w:tcPr>
          <w:p w14:paraId="0FEEE0F5" w14:textId="77777777" w:rsidR="00A52778" w:rsidRPr="00460F9E" w:rsidRDefault="00A52778" w:rsidP="00FC3F8E">
            <w:pPr>
              <w:spacing w:line="0" w:lineRule="atLeast"/>
              <w:rPr>
                <w:rFonts w:eastAsia="Times New Roman" w:cs="Times New Roman"/>
                <w:b/>
                <w:sz w:val="8"/>
              </w:rPr>
            </w:pPr>
          </w:p>
        </w:tc>
      </w:tr>
      <w:tr w:rsidR="00A52778" w:rsidRPr="00460F9E" w14:paraId="06D97CC4" w14:textId="77777777" w:rsidTr="00FC3F8E">
        <w:trPr>
          <w:trHeight w:val="210"/>
        </w:trPr>
        <w:tc>
          <w:tcPr>
            <w:tcW w:w="426" w:type="dxa"/>
            <w:tcBorders>
              <w:left w:val="single" w:sz="8" w:space="0" w:color="auto"/>
              <w:right w:val="single" w:sz="8" w:space="0" w:color="auto"/>
            </w:tcBorders>
            <w:shd w:val="clear" w:color="auto" w:fill="auto"/>
            <w:vAlign w:val="bottom"/>
          </w:tcPr>
          <w:p w14:paraId="50EA74C7" w14:textId="77777777" w:rsidR="00A52778" w:rsidRPr="00460F9E" w:rsidRDefault="00A52778" w:rsidP="00FC3F8E">
            <w:pPr>
              <w:spacing w:line="0" w:lineRule="atLeast"/>
              <w:rPr>
                <w:rFonts w:eastAsia="Times New Roman" w:cs="Times New Roman"/>
                <w:b/>
                <w:sz w:val="18"/>
              </w:rPr>
            </w:pPr>
          </w:p>
        </w:tc>
        <w:tc>
          <w:tcPr>
            <w:tcW w:w="1134" w:type="dxa"/>
            <w:vMerge/>
            <w:tcBorders>
              <w:right w:val="single" w:sz="8" w:space="0" w:color="auto"/>
            </w:tcBorders>
            <w:shd w:val="clear" w:color="auto" w:fill="auto"/>
            <w:vAlign w:val="bottom"/>
          </w:tcPr>
          <w:p w14:paraId="4D8EC4F8" w14:textId="77777777" w:rsidR="00A52778" w:rsidRPr="00460F9E" w:rsidRDefault="00A52778" w:rsidP="00FC3F8E">
            <w:pPr>
              <w:spacing w:line="219" w:lineRule="exact"/>
              <w:ind w:left="100"/>
              <w:rPr>
                <w:rFonts w:eastAsia="Times New Roman" w:cs="Times New Roman"/>
                <w:b/>
              </w:rPr>
            </w:pPr>
          </w:p>
        </w:tc>
        <w:tc>
          <w:tcPr>
            <w:tcW w:w="30" w:type="dxa"/>
            <w:vMerge/>
            <w:shd w:val="clear" w:color="auto" w:fill="auto"/>
            <w:vAlign w:val="bottom"/>
          </w:tcPr>
          <w:p w14:paraId="79272D4A" w14:textId="77777777" w:rsidR="00A52778" w:rsidRPr="00460F9E" w:rsidRDefault="00A52778" w:rsidP="00FC3F8E">
            <w:pPr>
              <w:spacing w:line="0" w:lineRule="atLeast"/>
              <w:rPr>
                <w:rFonts w:eastAsia="Times New Roman" w:cs="Times New Roman"/>
                <w:b/>
                <w:sz w:val="18"/>
              </w:rPr>
            </w:pPr>
          </w:p>
        </w:tc>
        <w:tc>
          <w:tcPr>
            <w:tcW w:w="3340" w:type="dxa"/>
            <w:gridSpan w:val="6"/>
            <w:vMerge/>
            <w:tcBorders>
              <w:right w:val="single" w:sz="8" w:space="0" w:color="auto"/>
            </w:tcBorders>
            <w:shd w:val="clear" w:color="auto" w:fill="auto"/>
            <w:vAlign w:val="bottom"/>
          </w:tcPr>
          <w:p w14:paraId="6F016FDC" w14:textId="77777777" w:rsidR="00A52778" w:rsidRPr="00460F9E" w:rsidRDefault="00A52778" w:rsidP="00FC3F8E">
            <w:pPr>
              <w:spacing w:line="0" w:lineRule="atLeast"/>
              <w:rPr>
                <w:rFonts w:eastAsia="Times New Roman" w:cs="Times New Roman"/>
                <w:b/>
                <w:sz w:val="20"/>
              </w:rPr>
            </w:pPr>
          </w:p>
        </w:tc>
        <w:tc>
          <w:tcPr>
            <w:tcW w:w="1020" w:type="dxa"/>
            <w:gridSpan w:val="2"/>
            <w:vMerge w:val="restart"/>
            <w:tcBorders>
              <w:left w:val="single" w:sz="8" w:space="0" w:color="auto"/>
              <w:right w:val="single" w:sz="8" w:space="0" w:color="auto"/>
            </w:tcBorders>
            <w:shd w:val="clear" w:color="auto" w:fill="auto"/>
            <w:vAlign w:val="bottom"/>
          </w:tcPr>
          <w:p w14:paraId="252D2E0E" w14:textId="77777777" w:rsidR="00A52778" w:rsidRPr="00460F9E" w:rsidRDefault="00A52778" w:rsidP="00FC3F8E">
            <w:pPr>
              <w:spacing w:line="228" w:lineRule="exact"/>
              <w:jc w:val="center"/>
              <w:rPr>
                <w:rFonts w:eastAsia="Times New Roman" w:cs="Times New Roman"/>
                <w:b/>
                <w:w w:val="97"/>
              </w:rPr>
            </w:pPr>
            <w:r w:rsidRPr="00460F9E">
              <w:rPr>
                <w:rFonts w:eastAsia="Times New Roman" w:cs="Times New Roman"/>
              </w:rPr>
              <w:t>Kaçak olmayan emisyonlar</w:t>
            </w:r>
          </w:p>
        </w:tc>
        <w:tc>
          <w:tcPr>
            <w:tcW w:w="2916" w:type="dxa"/>
            <w:gridSpan w:val="8"/>
            <w:vMerge w:val="restart"/>
            <w:tcBorders>
              <w:right w:val="single" w:sz="8" w:space="0" w:color="auto"/>
            </w:tcBorders>
            <w:shd w:val="clear" w:color="auto" w:fill="auto"/>
            <w:vAlign w:val="bottom"/>
          </w:tcPr>
          <w:p w14:paraId="514C8E8D"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Mevcut tesisler söz konusu   </w:t>
            </w:r>
          </w:p>
          <w:p w14:paraId="01058B4C"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olduğunda uygulanabilirliği </w:t>
            </w:r>
          </w:p>
          <w:p w14:paraId="4CBD8E71"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operasyonel kısıtlamalarla </w:t>
            </w:r>
          </w:p>
          <w:p w14:paraId="1F0E68DC"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sınırlandırılabilir.</w:t>
            </w:r>
          </w:p>
        </w:tc>
      </w:tr>
      <w:tr w:rsidR="00A52778" w:rsidRPr="00460F9E" w14:paraId="340A8E29" w14:textId="77777777" w:rsidTr="00FC3F8E">
        <w:trPr>
          <w:trHeight w:val="135"/>
        </w:trPr>
        <w:tc>
          <w:tcPr>
            <w:tcW w:w="426" w:type="dxa"/>
            <w:tcBorders>
              <w:left w:val="single" w:sz="8" w:space="0" w:color="auto"/>
              <w:right w:val="single" w:sz="8" w:space="0" w:color="auto"/>
            </w:tcBorders>
            <w:shd w:val="clear" w:color="auto" w:fill="auto"/>
            <w:vAlign w:val="bottom"/>
          </w:tcPr>
          <w:p w14:paraId="6094318F" w14:textId="77777777" w:rsidR="00A52778" w:rsidRPr="00460F9E" w:rsidRDefault="00A52778" w:rsidP="00FC3F8E">
            <w:pPr>
              <w:spacing w:line="0" w:lineRule="atLeast"/>
              <w:rPr>
                <w:rFonts w:eastAsia="Times New Roman" w:cs="Times New Roman"/>
                <w:b/>
                <w:sz w:val="11"/>
              </w:rPr>
            </w:pPr>
          </w:p>
        </w:tc>
        <w:tc>
          <w:tcPr>
            <w:tcW w:w="1134" w:type="dxa"/>
            <w:vMerge/>
            <w:tcBorders>
              <w:right w:val="single" w:sz="8" w:space="0" w:color="auto"/>
            </w:tcBorders>
            <w:shd w:val="clear" w:color="auto" w:fill="auto"/>
            <w:vAlign w:val="bottom"/>
          </w:tcPr>
          <w:p w14:paraId="303E2A4B" w14:textId="77777777" w:rsidR="00A52778" w:rsidRPr="00460F9E" w:rsidRDefault="00A52778" w:rsidP="00FC3F8E">
            <w:pPr>
              <w:spacing w:line="219" w:lineRule="exact"/>
              <w:ind w:left="100"/>
              <w:rPr>
                <w:rFonts w:eastAsia="Times New Roman" w:cs="Times New Roman"/>
                <w:b/>
              </w:rPr>
            </w:pPr>
          </w:p>
        </w:tc>
        <w:tc>
          <w:tcPr>
            <w:tcW w:w="30" w:type="dxa"/>
            <w:shd w:val="clear" w:color="auto" w:fill="auto"/>
            <w:vAlign w:val="bottom"/>
          </w:tcPr>
          <w:p w14:paraId="5BE955F0" w14:textId="77777777" w:rsidR="00A52778" w:rsidRPr="00460F9E" w:rsidRDefault="00A52778" w:rsidP="00FC3F8E">
            <w:pPr>
              <w:spacing w:line="0" w:lineRule="atLeast"/>
              <w:rPr>
                <w:rFonts w:eastAsia="Times New Roman" w:cs="Times New Roman"/>
                <w:b/>
                <w:sz w:val="11"/>
              </w:rPr>
            </w:pPr>
          </w:p>
        </w:tc>
        <w:tc>
          <w:tcPr>
            <w:tcW w:w="3340" w:type="dxa"/>
            <w:gridSpan w:val="6"/>
            <w:vMerge/>
            <w:tcBorders>
              <w:right w:val="single" w:sz="8" w:space="0" w:color="auto"/>
            </w:tcBorders>
            <w:shd w:val="clear" w:color="auto" w:fill="auto"/>
            <w:vAlign w:val="bottom"/>
          </w:tcPr>
          <w:p w14:paraId="2192B819" w14:textId="77777777" w:rsidR="00A52778" w:rsidRPr="00460F9E" w:rsidRDefault="00A52778" w:rsidP="00FC3F8E">
            <w:pPr>
              <w:spacing w:line="0" w:lineRule="atLeast"/>
              <w:rPr>
                <w:rFonts w:eastAsia="Times New Roman" w:cs="Times New Roman"/>
                <w:b/>
                <w:sz w:val="20"/>
              </w:rPr>
            </w:pPr>
          </w:p>
        </w:tc>
        <w:tc>
          <w:tcPr>
            <w:tcW w:w="1020" w:type="dxa"/>
            <w:gridSpan w:val="2"/>
            <w:vMerge/>
            <w:tcBorders>
              <w:left w:val="single" w:sz="8" w:space="0" w:color="auto"/>
              <w:right w:val="single" w:sz="8" w:space="0" w:color="auto"/>
            </w:tcBorders>
            <w:shd w:val="clear" w:color="auto" w:fill="auto"/>
            <w:vAlign w:val="bottom"/>
          </w:tcPr>
          <w:p w14:paraId="14AD5DBE" w14:textId="77777777" w:rsidR="00A52778" w:rsidRPr="00460F9E" w:rsidRDefault="00A52778" w:rsidP="00FC3F8E">
            <w:pPr>
              <w:spacing w:line="228" w:lineRule="exact"/>
              <w:jc w:val="center"/>
              <w:rPr>
                <w:rFonts w:eastAsia="Times New Roman" w:cs="Times New Roman"/>
                <w:b/>
                <w:sz w:val="11"/>
              </w:rPr>
            </w:pPr>
          </w:p>
        </w:tc>
        <w:tc>
          <w:tcPr>
            <w:tcW w:w="2916" w:type="dxa"/>
            <w:gridSpan w:val="8"/>
            <w:vMerge/>
            <w:tcBorders>
              <w:right w:val="single" w:sz="8" w:space="0" w:color="auto"/>
            </w:tcBorders>
            <w:shd w:val="clear" w:color="auto" w:fill="auto"/>
            <w:vAlign w:val="bottom"/>
          </w:tcPr>
          <w:p w14:paraId="59F20083" w14:textId="77777777" w:rsidR="00A52778" w:rsidRPr="00460F9E" w:rsidRDefault="00A52778" w:rsidP="00FC3F8E">
            <w:pPr>
              <w:spacing w:line="0" w:lineRule="atLeast"/>
              <w:rPr>
                <w:rFonts w:eastAsia="Times New Roman" w:cs="Times New Roman"/>
                <w:b/>
              </w:rPr>
            </w:pPr>
          </w:p>
        </w:tc>
      </w:tr>
      <w:tr w:rsidR="00A52778" w:rsidRPr="00460F9E" w14:paraId="7D321E34" w14:textId="77777777" w:rsidTr="00FC3F8E">
        <w:trPr>
          <w:trHeight w:val="115"/>
        </w:trPr>
        <w:tc>
          <w:tcPr>
            <w:tcW w:w="426" w:type="dxa"/>
            <w:vMerge w:val="restart"/>
            <w:tcBorders>
              <w:left w:val="single" w:sz="8" w:space="0" w:color="auto"/>
              <w:right w:val="single" w:sz="8" w:space="0" w:color="auto"/>
            </w:tcBorders>
            <w:shd w:val="clear" w:color="auto" w:fill="auto"/>
            <w:vAlign w:val="bottom"/>
          </w:tcPr>
          <w:p w14:paraId="13FC9C4E" w14:textId="77777777" w:rsidR="00A52778" w:rsidRPr="00460F9E" w:rsidRDefault="00A52778" w:rsidP="00FC3F8E">
            <w:pPr>
              <w:spacing w:line="0" w:lineRule="atLeast"/>
              <w:ind w:left="100"/>
              <w:rPr>
                <w:rFonts w:eastAsia="Times New Roman" w:cs="Times New Roman"/>
                <w:b/>
              </w:rPr>
            </w:pPr>
            <w:r>
              <w:rPr>
                <w:rFonts w:eastAsia="Times New Roman" w:cs="Times New Roman"/>
              </w:rPr>
              <w:t>h</w:t>
            </w:r>
            <w:r w:rsidRPr="00460F9E">
              <w:rPr>
                <w:rFonts w:eastAsia="Times New Roman" w:cs="Times New Roman"/>
              </w:rPr>
              <w:t>.</w:t>
            </w:r>
          </w:p>
        </w:tc>
        <w:tc>
          <w:tcPr>
            <w:tcW w:w="1134" w:type="dxa"/>
            <w:vMerge/>
            <w:tcBorders>
              <w:right w:val="single" w:sz="8" w:space="0" w:color="auto"/>
            </w:tcBorders>
            <w:shd w:val="clear" w:color="auto" w:fill="auto"/>
            <w:vAlign w:val="bottom"/>
          </w:tcPr>
          <w:p w14:paraId="5D0514E8" w14:textId="77777777" w:rsidR="00A52778" w:rsidRPr="00460F9E" w:rsidRDefault="00A52778" w:rsidP="00FC3F8E">
            <w:pPr>
              <w:spacing w:line="219" w:lineRule="exact"/>
              <w:ind w:left="100"/>
              <w:rPr>
                <w:rFonts w:eastAsia="Times New Roman" w:cs="Times New Roman"/>
                <w:b/>
                <w:sz w:val="10"/>
              </w:rPr>
            </w:pPr>
          </w:p>
        </w:tc>
        <w:tc>
          <w:tcPr>
            <w:tcW w:w="30" w:type="dxa"/>
            <w:shd w:val="clear" w:color="auto" w:fill="auto"/>
            <w:vAlign w:val="bottom"/>
          </w:tcPr>
          <w:p w14:paraId="26FFE771" w14:textId="77777777" w:rsidR="00A52778" w:rsidRPr="00460F9E" w:rsidRDefault="00A52778" w:rsidP="00FC3F8E">
            <w:pPr>
              <w:spacing w:line="0" w:lineRule="atLeast"/>
              <w:rPr>
                <w:rFonts w:eastAsia="Times New Roman" w:cs="Times New Roman"/>
                <w:b/>
                <w:sz w:val="10"/>
              </w:rPr>
            </w:pPr>
          </w:p>
        </w:tc>
        <w:tc>
          <w:tcPr>
            <w:tcW w:w="3340" w:type="dxa"/>
            <w:gridSpan w:val="6"/>
            <w:vMerge/>
            <w:tcBorders>
              <w:right w:val="single" w:sz="8" w:space="0" w:color="auto"/>
            </w:tcBorders>
            <w:shd w:val="clear" w:color="auto" w:fill="auto"/>
            <w:vAlign w:val="bottom"/>
          </w:tcPr>
          <w:p w14:paraId="425EA7C0" w14:textId="77777777" w:rsidR="00A52778" w:rsidRPr="00460F9E" w:rsidRDefault="00A52778" w:rsidP="00FC3F8E">
            <w:pPr>
              <w:spacing w:line="0" w:lineRule="atLeast"/>
              <w:rPr>
                <w:rFonts w:eastAsia="Times New Roman" w:cs="Times New Roman"/>
                <w:b/>
                <w:sz w:val="20"/>
              </w:rPr>
            </w:pPr>
          </w:p>
        </w:tc>
        <w:tc>
          <w:tcPr>
            <w:tcW w:w="1020" w:type="dxa"/>
            <w:gridSpan w:val="2"/>
            <w:vMerge/>
            <w:tcBorders>
              <w:left w:val="single" w:sz="8" w:space="0" w:color="auto"/>
              <w:right w:val="single" w:sz="8" w:space="0" w:color="auto"/>
            </w:tcBorders>
            <w:shd w:val="clear" w:color="auto" w:fill="auto"/>
            <w:vAlign w:val="bottom"/>
          </w:tcPr>
          <w:p w14:paraId="44565873" w14:textId="77777777" w:rsidR="00A52778" w:rsidRPr="00460F9E" w:rsidRDefault="00A52778" w:rsidP="00FC3F8E">
            <w:pPr>
              <w:spacing w:line="228" w:lineRule="exact"/>
              <w:jc w:val="center"/>
              <w:rPr>
                <w:rFonts w:eastAsia="Times New Roman" w:cs="Times New Roman"/>
                <w:b/>
                <w:w w:val="96"/>
              </w:rPr>
            </w:pPr>
          </w:p>
        </w:tc>
        <w:tc>
          <w:tcPr>
            <w:tcW w:w="2916" w:type="dxa"/>
            <w:gridSpan w:val="8"/>
            <w:vMerge/>
            <w:tcBorders>
              <w:right w:val="single" w:sz="8" w:space="0" w:color="auto"/>
            </w:tcBorders>
            <w:shd w:val="clear" w:color="auto" w:fill="auto"/>
            <w:vAlign w:val="bottom"/>
          </w:tcPr>
          <w:p w14:paraId="3F8C1C9A" w14:textId="77777777" w:rsidR="00A52778" w:rsidRPr="00460F9E" w:rsidRDefault="00A52778" w:rsidP="00FC3F8E">
            <w:pPr>
              <w:spacing w:line="0" w:lineRule="atLeast"/>
              <w:rPr>
                <w:rFonts w:eastAsia="Times New Roman" w:cs="Times New Roman"/>
                <w:b/>
                <w:sz w:val="10"/>
              </w:rPr>
            </w:pPr>
          </w:p>
        </w:tc>
      </w:tr>
      <w:tr w:rsidR="00A52778" w:rsidRPr="00460F9E" w14:paraId="3CB43299" w14:textId="77777777" w:rsidTr="00FC3F8E">
        <w:trPr>
          <w:trHeight w:val="275"/>
        </w:trPr>
        <w:tc>
          <w:tcPr>
            <w:tcW w:w="426" w:type="dxa"/>
            <w:vMerge/>
            <w:tcBorders>
              <w:left w:val="single" w:sz="8" w:space="0" w:color="auto"/>
              <w:right w:val="single" w:sz="8" w:space="0" w:color="auto"/>
            </w:tcBorders>
            <w:shd w:val="clear" w:color="auto" w:fill="auto"/>
            <w:vAlign w:val="bottom"/>
          </w:tcPr>
          <w:p w14:paraId="06BD9E11" w14:textId="77777777" w:rsidR="00A52778" w:rsidRPr="00460F9E" w:rsidRDefault="00A52778" w:rsidP="00FC3F8E">
            <w:pPr>
              <w:spacing w:line="0" w:lineRule="atLeast"/>
              <w:rPr>
                <w:rFonts w:eastAsia="Times New Roman" w:cs="Times New Roman"/>
                <w:b/>
                <w:sz w:val="10"/>
              </w:rPr>
            </w:pPr>
          </w:p>
        </w:tc>
        <w:tc>
          <w:tcPr>
            <w:tcW w:w="1134" w:type="dxa"/>
            <w:vMerge/>
            <w:tcBorders>
              <w:right w:val="single" w:sz="8" w:space="0" w:color="auto"/>
            </w:tcBorders>
            <w:shd w:val="clear" w:color="auto" w:fill="auto"/>
            <w:vAlign w:val="bottom"/>
          </w:tcPr>
          <w:p w14:paraId="33659851" w14:textId="77777777" w:rsidR="00A52778" w:rsidRPr="00460F9E" w:rsidRDefault="00A52778" w:rsidP="00FC3F8E">
            <w:pPr>
              <w:spacing w:line="219" w:lineRule="exact"/>
              <w:ind w:left="100"/>
              <w:rPr>
                <w:rFonts w:eastAsia="Times New Roman" w:cs="Times New Roman"/>
                <w:b/>
              </w:rPr>
            </w:pPr>
          </w:p>
        </w:tc>
        <w:tc>
          <w:tcPr>
            <w:tcW w:w="30" w:type="dxa"/>
            <w:vMerge w:val="restart"/>
            <w:shd w:val="clear" w:color="auto" w:fill="auto"/>
            <w:vAlign w:val="bottom"/>
          </w:tcPr>
          <w:p w14:paraId="5B91205C" w14:textId="77777777" w:rsidR="00A52778" w:rsidRPr="00460F9E" w:rsidRDefault="00A52778" w:rsidP="00FC3F8E">
            <w:pPr>
              <w:spacing w:line="0" w:lineRule="atLeast"/>
              <w:rPr>
                <w:rFonts w:eastAsia="Times New Roman" w:cs="Times New Roman"/>
                <w:b/>
                <w:sz w:val="10"/>
              </w:rPr>
            </w:pPr>
          </w:p>
        </w:tc>
        <w:tc>
          <w:tcPr>
            <w:tcW w:w="3340" w:type="dxa"/>
            <w:gridSpan w:val="6"/>
            <w:vMerge w:val="restart"/>
            <w:tcBorders>
              <w:right w:val="single" w:sz="8" w:space="0" w:color="auto"/>
            </w:tcBorders>
            <w:shd w:val="clear" w:color="auto" w:fill="auto"/>
            <w:vAlign w:val="bottom"/>
          </w:tcPr>
          <w:p w14:paraId="69934774"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VOC' leri gidermek için atık su </w:t>
            </w:r>
          </w:p>
          <w:p w14:paraId="52292BC5"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akışlarının arıtılması ve VOC' lerin geri </w:t>
            </w:r>
          </w:p>
          <w:p w14:paraId="1080FD5C"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kazanıma (bkz. MET 9 ve MET 10) </w:t>
            </w:r>
          </w:p>
          <w:p w14:paraId="3F846F44"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ve/veya azaltıma (bkz. MET 11) </w:t>
            </w:r>
          </w:p>
          <w:p w14:paraId="56AD4A0F"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gönderilmesi;</w:t>
            </w:r>
          </w:p>
        </w:tc>
        <w:tc>
          <w:tcPr>
            <w:tcW w:w="1020" w:type="dxa"/>
            <w:gridSpan w:val="2"/>
            <w:vMerge/>
            <w:tcBorders>
              <w:left w:val="single" w:sz="8" w:space="0" w:color="auto"/>
              <w:right w:val="single" w:sz="8" w:space="0" w:color="auto"/>
            </w:tcBorders>
            <w:shd w:val="clear" w:color="auto" w:fill="auto"/>
            <w:vAlign w:val="bottom"/>
          </w:tcPr>
          <w:p w14:paraId="50FF10CB" w14:textId="77777777" w:rsidR="00A52778" w:rsidRPr="00460F9E" w:rsidRDefault="00A52778" w:rsidP="00FC3F8E">
            <w:pPr>
              <w:spacing w:line="228" w:lineRule="exact"/>
              <w:jc w:val="center"/>
              <w:rPr>
                <w:rFonts w:eastAsia="Times New Roman" w:cs="Times New Roman"/>
                <w:b/>
                <w:sz w:val="10"/>
              </w:rPr>
            </w:pPr>
          </w:p>
        </w:tc>
        <w:tc>
          <w:tcPr>
            <w:tcW w:w="2916" w:type="dxa"/>
            <w:gridSpan w:val="8"/>
            <w:vMerge/>
            <w:tcBorders>
              <w:right w:val="single" w:sz="8" w:space="0" w:color="auto"/>
            </w:tcBorders>
            <w:shd w:val="clear" w:color="auto" w:fill="auto"/>
            <w:vAlign w:val="bottom"/>
          </w:tcPr>
          <w:p w14:paraId="64341270" w14:textId="77777777" w:rsidR="00A52778" w:rsidRPr="00460F9E" w:rsidRDefault="00A52778" w:rsidP="00FC3F8E">
            <w:pPr>
              <w:spacing w:line="0" w:lineRule="atLeast"/>
              <w:rPr>
                <w:rFonts w:eastAsia="Times New Roman" w:cs="Times New Roman"/>
                <w:b/>
              </w:rPr>
            </w:pPr>
          </w:p>
        </w:tc>
      </w:tr>
      <w:tr w:rsidR="00A52778" w:rsidRPr="00460F9E" w14:paraId="10EB3441" w14:textId="77777777" w:rsidTr="00FC3F8E">
        <w:trPr>
          <w:trHeight w:val="124"/>
        </w:trPr>
        <w:tc>
          <w:tcPr>
            <w:tcW w:w="426" w:type="dxa"/>
            <w:tcBorders>
              <w:left w:val="single" w:sz="8" w:space="0" w:color="auto"/>
              <w:right w:val="single" w:sz="8" w:space="0" w:color="auto"/>
            </w:tcBorders>
            <w:shd w:val="clear" w:color="auto" w:fill="auto"/>
            <w:vAlign w:val="bottom"/>
          </w:tcPr>
          <w:p w14:paraId="6805DE3D" w14:textId="77777777" w:rsidR="00A52778" w:rsidRPr="00460F9E" w:rsidRDefault="00A52778" w:rsidP="00FC3F8E">
            <w:pPr>
              <w:spacing w:line="0" w:lineRule="atLeast"/>
              <w:rPr>
                <w:rFonts w:eastAsia="Times New Roman" w:cs="Times New Roman"/>
                <w:b/>
                <w:sz w:val="10"/>
              </w:rPr>
            </w:pPr>
          </w:p>
        </w:tc>
        <w:tc>
          <w:tcPr>
            <w:tcW w:w="1134" w:type="dxa"/>
            <w:vMerge/>
            <w:tcBorders>
              <w:right w:val="single" w:sz="8" w:space="0" w:color="auto"/>
            </w:tcBorders>
            <w:shd w:val="clear" w:color="auto" w:fill="auto"/>
            <w:vAlign w:val="bottom"/>
          </w:tcPr>
          <w:p w14:paraId="442BAF04" w14:textId="77777777" w:rsidR="00A52778" w:rsidRPr="00460F9E" w:rsidRDefault="00A52778" w:rsidP="00FC3F8E">
            <w:pPr>
              <w:spacing w:line="219" w:lineRule="exact"/>
              <w:ind w:left="100"/>
              <w:rPr>
                <w:rFonts w:eastAsia="Times New Roman" w:cs="Times New Roman"/>
                <w:b/>
                <w:sz w:val="10"/>
              </w:rPr>
            </w:pPr>
          </w:p>
        </w:tc>
        <w:tc>
          <w:tcPr>
            <w:tcW w:w="30" w:type="dxa"/>
            <w:vMerge/>
            <w:shd w:val="clear" w:color="auto" w:fill="auto"/>
            <w:vAlign w:val="bottom"/>
          </w:tcPr>
          <w:p w14:paraId="5AE5F2A9" w14:textId="77777777" w:rsidR="00A52778" w:rsidRPr="00460F9E" w:rsidRDefault="00A52778" w:rsidP="00FC3F8E">
            <w:pPr>
              <w:spacing w:line="0" w:lineRule="atLeast"/>
              <w:rPr>
                <w:rFonts w:eastAsia="Times New Roman" w:cs="Times New Roman"/>
                <w:b/>
                <w:sz w:val="10"/>
              </w:rPr>
            </w:pPr>
          </w:p>
        </w:tc>
        <w:tc>
          <w:tcPr>
            <w:tcW w:w="3340" w:type="dxa"/>
            <w:gridSpan w:val="6"/>
            <w:vMerge/>
            <w:tcBorders>
              <w:right w:val="single" w:sz="8" w:space="0" w:color="auto"/>
            </w:tcBorders>
            <w:shd w:val="clear" w:color="auto" w:fill="auto"/>
            <w:vAlign w:val="bottom"/>
          </w:tcPr>
          <w:p w14:paraId="429B1ECD" w14:textId="77777777" w:rsidR="00A52778" w:rsidRPr="00460F9E" w:rsidRDefault="00A52778" w:rsidP="00FC3F8E">
            <w:pPr>
              <w:spacing w:line="0" w:lineRule="atLeast"/>
              <w:rPr>
                <w:rFonts w:eastAsia="Times New Roman" w:cs="Times New Roman"/>
                <w:b/>
                <w:sz w:val="20"/>
              </w:rPr>
            </w:pPr>
          </w:p>
        </w:tc>
        <w:tc>
          <w:tcPr>
            <w:tcW w:w="1020" w:type="dxa"/>
            <w:gridSpan w:val="2"/>
            <w:vMerge/>
            <w:tcBorders>
              <w:left w:val="single" w:sz="8" w:space="0" w:color="auto"/>
              <w:right w:val="single" w:sz="8" w:space="0" w:color="auto"/>
            </w:tcBorders>
            <w:shd w:val="clear" w:color="auto" w:fill="auto"/>
            <w:vAlign w:val="bottom"/>
          </w:tcPr>
          <w:p w14:paraId="53F97D68" w14:textId="77777777" w:rsidR="00A52778" w:rsidRPr="00460F9E" w:rsidRDefault="00A52778" w:rsidP="00FC3F8E">
            <w:pPr>
              <w:spacing w:line="228" w:lineRule="exact"/>
              <w:jc w:val="center"/>
              <w:rPr>
                <w:rFonts w:eastAsia="Times New Roman" w:cs="Times New Roman"/>
                <w:b/>
              </w:rPr>
            </w:pPr>
          </w:p>
        </w:tc>
        <w:tc>
          <w:tcPr>
            <w:tcW w:w="2916" w:type="dxa"/>
            <w:gridSpan w:val="8"/>
            <w:vMerge/>
            <w:tcBorders>
              <w:right w:val="single" w:sz="8" w:space="0" w:color="auto"/>
            </w:tcBorders>
            <w:shd w:val="clear" w:color="auto" w:fill="auto"/>
            <w:vAlign w:val="bottom"/>
          </w:tcPr>
          <w:p w14:paraId="254CDDF1" w14:textId="77777777" w:rsidR="00A52778" w:rsidRPr="00460F9E" w:rsidRDefault="00A52778" w:rsidP="00FC3F8E">
            <w:pPr>
              <w:spacing w:line="0" w:lineRule="atLeast"/>
              <w:rPr>
                <w:rFonts w:eastAsia="Times New Roman" w:cs="Times New Roman"/>
                <w:b/>
                <w:sz w:val="10"/>
              </w:rPr>
            </w:pPr>
          </w:p>
        </w:tc>
      </w:tr>
      <w:tr w:rsidR="00A52778" w:rsidRPr="00460F9E" w14:paraId="4AA0E080" w14:textId="77777777" w:rsidTr="00FC3F8E">
        <w:trPr>
          <w:trHeight w:val="104"/>
        </w:trPr>
        <w:tc>
          <w:tcPr>
            <w:tcW w:w="426" w:type="dxa"/>
            <w:tcBorders>
              <w:left w:val="single" w:sz="8" w:space="0" w:color="auto"/>
              <w:right w:val="single" w:sz="8" w:space="0" w:color="auto"/>
            </w:tcBorders>
            <w:shd w:val="clear" w:color="auto" w:fill="auto"/>
            <w:vAlign w:val="bottom"/>
          </w:tcPr>
          <w:p w14:paraId="2A4062F4" w14:textId="77777777" w:rsidR="00A52778" w:rsidRPr="00460F9E" w:rsidRDefault="00A52778" w:rsidP="00FC3F8E">
            <w:pPr>
              <w:spacing w:line="0" w:lineRule="atLeast"/>
              <w:rPr>
                <w:rFonts w:eastAsia="Times New Roman" w:cs="Times New Roman"/>
                <w:b/>
                <w:sz w:val="9"/>
              </w:rPr>
            </w:pPr>
          </w:p>
        </w:tc>
        <w:tc>
          <w:tcPr>
            <w:tcW w:w="1134" w:type="dxa"/>
            <w:vMerge/>
            <w:tcBorders>
              <w:right w:val="single" w:sz="8" w:space="0" w:color="auto"/>
            </w:tcBorders>
            <w:shd w:val="clear" w:color="auto" w:fill="auto"/>
            <w:vAlign w:val="bottom"/>
          </w:tcPr>
          <w:p w14:paraId="0320ED1B" w14:textId="77777777" w:rsidR="00A52778" w:rsidRPr="00460F9E" w:rsidRDefault="00A52778" w:rsidP="00FC3F8E">
            <w:pPr>
              <w:spacing w:line="219" w:lineRule="exact"/>
              <w:ind w:left="100"/>
              <w:rPr>
                <w:rFonts w:eastAsia="Times New Roman" w:cs="Times New Roman"/>
                <w:b/>
              </w:rPr>
            </w:pPr>
          </w:p>
        </w:tc>
        <w:tc>
          <w:tcPr>
            <w:tcW w:w="30" w:type="dxa"/>
            <w:shd w:val="clear" w:color="auto" w:fill="auto"/>
            <w:vAlign w:val="bottom"/>
          </w:tcPr>
          <w:p w14:paraId="2134DCB5" w14:textId="77777777" w:rsidR="00A52778" w:rsidRPr="00460F9E" w:rsidRDefault="00A52778" w:rsidP="00FC3F8E">
            <w:pPr>
              <w:spacing w:line="0" w:lineRule="atLeast"/>
              <w:rPr>
                <w:rFonts w:eastAsia="Times New Roman" w:cs="Times New Roman"/>
                <w:b/>
                <w:sz w:val="9"/>
              </w:rPr>
            </w:pPr>
          </w:p>
        </w:tc>
        <w:tc>
          <w:tcPr>
            <w:tcW w:w="3340" w:type="dxa"/>
            <w:gridSpan w:val="6"/>
            <w:vMerge/>
            <w:tcBorders>
              <w:right w:val="single" w:sz="8" w:space="0" w:color="auto"/>
            </w:tcBorders>
            <w:shd w:val="clear" w:color="auto" w:fill="auto"/>
            <w:vAlign w:val="bottom"/>
          </w:tcPr>
          <w:p w14:paraId="0403D291" w14:textId="77777777" w:rsidR="00A52778" w:rsidRPr="00460F9E" w:rsidRDefault="00A52778" w:rsidP="00FC3F8E">
            <w:pPr>
              <w:spacing w:line="0" w:lineRule="atLeast"/>
              <w:rPr>
                <w:rFonts w:eastAsia="Times New Roman" w:cs="Times New Roman"/>
                <w:b/>
              </w:rPr>
            </w:pPr>
          </w:p>
        </w:tc>
        <w:tc>
          <w:tcPr>
            <w:tcW w:w="1020" w:type="dxa"/>
            <w:gridSpan w:val="2"/>
            <w:vMerge/>
            <w:tcBorders>
              <w:right w:val="single" w:sz="8" w:space="0" w:color="auto"/>
            </w:tcBorders>
            <w:shd w:val="clear" w:color="auto" w:fill="auto"/>
            <w:vAlign w:val="bottom"/>
          </w:tcPr>
          <w:p w14:paraId="21B1C1BF" w14:textId="77777777" w:rsidR="00A52778" w:rsidRPr="00460F9E" w:rsidRDefault="00A52778" w:rsidP="00FC3F8E">
            <w:pPr>
              <w:spacing w:line="0" w:lineRule="atLeast"/>
              <w:rPr>
                <w:rFonts w:eastAsia="Times New Roman" w:cs="Times New Roman"/>
                <w:b/>
                <w:sz w:val="9"/>
              </w:rPr>
            </w:pPr>
          </w:p>
        </w:tc>
        <w:tc>
          <w:tcPr>
            <w:tcW w:w="2916" w:type="dxa"/>
            <w:gridSpan w:val="8"/>
            <w:vMerge/>
            <w:tcBorders>
              <w:right w:val="single" w:sz="8" w:space="0" w:color="auto"/>
            </w:tcBorders>
            <w:shd w:val="clear" w:color="auto" w:fill="auto"/>
            <w:vAlign w:val="bottom"/>
          </w:tcPr>
          <w:p w14:paraId="3B627149" w14:textId="77777777" w:rsidR="00A52778" w:rsidRPr="00460F9E" w:rsidRDefault="00A52778" w:rsidP="00FC3F8E">
            <w:pPr>
              <w:spacing w:line="0" w:lineRule="atLeast"/>
              <w:rPr>
                <w:rFonts w:eastAsia="Times New Roman" w:cs="Times New Roman"/>
                <w:b/>
                <w:sz w:val="9"/>
              </w:rPr>
            </w:pPr>
          </w:p>
        </w:tc>
      </w:tr>
      <w:tr w:rsidR="00A52778" w:rsidRPr="00460F9E" w14:paraId="4B0FA492" w14:textId="77777777" w:rsidTr="00FC3F8E">
        <w:trPr>
          <w:trHeight w:val="126"/>
        </w:trPr>
        <w:tc>
          <w:tcPr>
            <w:tcW w:w="426" w:type="dxa"/>
            <w:tcBorders>
              <w:left w:val="single" w:sz="8" w:space="0" w:color="auto"/>
              <w:right w:val="single" w:sz="8" w:space="0" w:color="auto"/>
            </w:tcBorders>
            <w:shd w:val="clear" w:color="auto" w:fill="auto"/>
            <w:vAlign w:val="bottom"/>
          </w:tcPr>
          <w:p w14:paraId="18D16652" w14:textId="77777777" w:rsidR="00A52778" w:rsidRPr="00460F9E" w:rsidRDefault="00A52778" w:rsidP="00FC3F8E">
            <w:pPr>
              <w:spacing w:line="0" w:lineRule="atLeast"/>
              <w:rPr>
                <w:rFonts w:eastAsia="Times New Roman" w:cs="Times New Roman"/>
                <w:b/>
                <w:sz w:val="10"/>
              </w:rPr>
            </w:pPr>
          </w:p>
        </w:tc>
        <w:tc>
          <w:tcPr>
            <w:tcW w:w="1134" w:type="dxa"/>
            <w:vMerge/>
            <w:tcBorders>
              <w:right w:val="single" w:sz="8" w:space="0" w:color="auto"/>
            </w:tcBorders>
            <w:shd w:val="clear" w:color="auto" w:fill="auto"/>
            <w:vAlign w:val="bottom"/>
          </w:tcPr>
          <w:p w14:paraId="344F06C5" w14:textId="77777777" w:rsidR="00A52778" w:rsidRPr="00460F9E" w:rsidRDefault="00A52778" w:rsidP="00FC3F8E">
            <w:pPr>
              <w:spacing w:line="219" w:lineRule="exact"/>
              <w:ind w:left="100"/>
              <w:rPr>
                <w:rFonts w:eastAsia="Times New Roman" w:cs="Times New Roman"/>
                <w:b/>
                <w:sz w:val="10"/>
              </w:rPr>
            </w:pPr>
          </w:p>
        </w:tc>
        <w:tc>
          <w:tcPr>
            <w:tcW w:w="30" w:type="dxa"/>
            <w:shd w:val="clear" w:color="auto" w:fill="auto"/>
            <w:vAlign w:val="bottom"/>
          </w:tcPr>
          <w:p w14:paraId="56C38922" w14:textId="77777777" w:rsidR="00A52778" w:rsidRPr="00460F9E" w:rsidRDefault="00A52778" w:rsidP="00FC3F8E">
            <w:pPr>
              <w:spacing w:line="0" w:lineRule="atLeast"/>
              <w:rPr>
                <w:rFonts w:eastAsia="Times New Roman" w:cs="Times New Roman"/>
                <w:b/>
                <w:sz w:val="10"/>
              </w:rPr>
            </w:pPr>
          </w:p>
        </w:tc>
        <w:tc>
          <w:tcPr>
            <w:tcW w:w="3340" w:type="dxa"/>
            <w:gridSpan w:val="6"/>
            <w:vMerge/>
            <w:tcBorders>
              <w:right w:val="single" w:sz="8" w:space="0" w:color="auto"/>
            </w:tcBorders>
            <w:shd w:val="clear" w:color="auto" w:fill="auto"/>
            <w:vAlign w:val="bottom"/>
          </w:tcPr>
          <w:p w14:paraId="2670C7D4" w14:textId="77777777" w:rsidR="00A52778" w:rsidRPr="00460F9E" w:rsidRDefault="00A52778" w:rsidP="00FC3F8E">
            <w:pPr>
              <w:spacing w:line="0" w:lineRule="atLeast"/>
              <w:rPr>
                <w:rFonts w:eastAsia="Times New Roman" w:cs="Times New Roman"/>
                <w:b/>
                <w:sz w:val="20"/>
              </w:rPr>
            </w:pPr>
          </w:p>
        </w:tc>
        <w:tc>
          <w:tcPr>
            <w:tcW w:w="1020" w:type="dxa"/>
            <w:gridSpan w:val="2"/>
            <w:tcBorders>
              <w:right w:val="single" w:sz="8" w:space="0" w:color="auto"/>
            </w:tcBorders>
            <w:shd w:val="clear" w:color="auto" w:fill="auto"/>
            <w:vAlign w:val="bottom"/>
          </w:tcPr>
          <w:p w14:paraId="4FAEC7C3" w14:textId="77777777" w:rsidR="00A52778" w:rsidRPr="00460F9E" w:rsidRDefault="00A52778" w:rsidP="00FC3F8E">
            <w:pPr>
              <w:spacing w:line="0" w:lineRule="atLeast"/>
              <w:rPr>
                <w:rFonts w:eastAsia="Times New Roman" w:cs="Times New Roman"/>
                <w:b/>
                <w:sz w:val="10"/>
              </w:rPr>
            </w:pPr>
          </w:p>
        </w:tc>
        <w:tc>
          <w:tcPr>
            <w:tcW w:w="2916" w:type="dxa"/>
            <w:gridSpan w:val="8"/>
            <w:vMerge/>
            <w:tcBorders>
              <w:right w:val="single" w:sz="8" w:space="0" w:color="auto"/>
            </w:tcBorders>
            <w:shd w:val="clear" w:color="auto" w:fill="auto"/>
            <w:vAlign w:val="bottom"/>
          </w:tcPr>
          <w:p w14:paraId="7F326312" w14:textId="77777777" w:rsidR="00A52778" w:rsidRPr="00460F9E" w:rsidRDefault="00A52778" w:rsidP="00FC3F8E">
            <w:pPr>
              <w:spacing w:line="0" w:lineRule="atLeast"/>
              <w:rPr>
                <w:rFonts w:eastAsia="Times New Roman" w:cs="Times New Roman"/>
                <w:b/>
                <w:sz w:val="10"/>
              </w:rPr>
            </w:pPr>
          </w:p>
        </w:tc>
      </w:tr>
      <w:tr w:rsidR="00A52778" w:rsidRPr="00460F9E" w14:paraId="0F659BF6" w14:textId="77777777" w:rsidTr="00FC3F8E">
        <w:trPr>
          <w:trHeight w:val="265"/>
        </w:trPr>
        <w:tc>
          <w:tcPr>
            <w:tcW w:w="426" w:type="dxa"/>
            <w:tcBorders>
              <w:left w:val="single" w:sz="8" w:space="0" w:color="auto"/>
              <w:right w:val="single" w:sz="8" w:space="0" w:color="auto"/>
            </w:tcBorders>
            <w:shd w:val="clear" w:color="auto" w:fill="auto"/>
            <w:vAlign w:val="bottom"/>
          </w:tcPr>
          <w:p w14:paraId="322958C5" w14:textId="77777777" w:rsidR="00A52778" w:rsidRPr="00460F9E" w:rsidRDefault="00A52778" w:rsidP="00FC3F8E">
            <w:pPr>
              <w:spacing w:line="0" w:lineRule="atLeast"/>
              <w:rPr>
                <w:rFonts w:eastAsia="Times New Roman" w:cs="Times New Roman"/>
                <w:b/>
                <w:sz w:val="23"/>
              </w:rPr>
            </w:pPr>
          </w:p>
        </w:tc>
        <w:tc>
          <w:tcPr>
            <w:tcW w:w="1134" w:type="dxa"/>
            <w:vMerge/>
            <w:tcBorders>
              <w:right w:val="single" w:sz="8" w:space="0" w:color="auto"/>
            </w:tcBorders>
            <w:shd w:val="clear" w:color="auto" w:fill="auto"/>
            <w:vAlign w:val="bottom"/>
          </w:tcPr>
          <w:p w14:paraId="773F4E56" w14:textId="77777777" w:rsidR="00A52778" w:rsidRPr="00460F9E" w:rsidRDefault="00A52778" w:rsidP="00FC3F8E">
            <w:pPr>
              <w:spacing w:line="219" w:lineRule="exact"/>
              <w:ind w:left="100"/>
              <w:rPr>
                <w:rFonts w:eastAsia="Times New Roman" w:cs="Times New Roman"/>
                <w:b/>
              </w:rPr>
            </w:pPr>
          </w:p>
        </w:tc>
        <w:tc>
          <w:tcPr>
            <w:tcW w:w="30" w:type="dxa"/>
            <w:shd w:val="clear" w:color="auto" w:fill="auto"/>
            <w:vAlign w:val="bottom"/>
          </w:tcPr>
          <w:p w14:paraId="52AD321A" w14:textId="77777777" w:rsidR="00A52778" w:rsidRPr="00460F9E" w:rsidRDefault="00A52778" w:rsidP="00FC3F8E">
            <w:pPr>
              <w:spacing w:line="0" w:lineRule="atLeast"/>
              <w:rPr>
                <w:rFonts w:eastAsia="Times New Roman" w:cs="Times New Roman"/>
                <w:b/>
                <w:sz w:val="23"/>
              </w:rPr>
            </w:pPr>
          </w:p>
        </w:tc>
        <w:tc>
          <w:tcPr>
            <w:tcW w:w="3340" w:type="dxa"/>
            <w:gridSpan w:val="6"/>
            <w:vMerge/>
            <w:tcBorders>
              <w:right w:val="single" w:sz="8" w:space="0" w:color="auto"/>
            </w:tcBorders>
            <w:shd w:val="clear" w:color="auto" w:fill="auto"/>
            <w:vAlign w:val="bottom"/>
          </w:tcPr>
          <w:p w14:paraId="5967E8D5" w14:textId="77777777" w:rsidR="00A52778" w:rsidRPr="00460F9E" w:rsidRDefault="00A52778" w:rsidP="00FC3F8E">
            <w:pPr>
              <w:spacing w:line="0" w:lineRule="atLeast"/>
              <w:rPr>
                <w:rFonts w:eastAsia="Times New Roman" w:cs="Times New Roman"/>
                <w:b/>
              </w:rPr>
            </w:pPr>
          </w:p>
        </w:tc>
        <w:tc>
          <w:tcPr>
            <w:tcW w:w="1020" w:type="dxa"/>
            <w:gridSpan w:val="2"/>
            <w:tcBorders>
              <w:right w:val="single" w:sz="8" w:space="0" w:color="auto"/>
            </w:tcBorders>
            <w:shd w:val="clear" w:color="auto" w:fill="auto"/>
            <w:vAlign w:val="bottom"/>
          </w:tcPr>
          <w:p w14:paraId="025C27F9" w14:textId="77777777" w:rsidR="00A52778" w:rsidRPr="00460F9E" w:rsidRDefault="00A52778" w:rsidP="00FC3F8E">
            <w:pPr>
              <w:spacing w:line="0" w:lineRule="atLeast"/>
              <w:rPr>
                <w:rFonts w:eastAsia="Times New Roman" w:cs="Times New Roman"/>
                <w:b/>
                <w:sz w:val="23"/>
              </w:rPr>
            </w:pPr>
          </w:p>
        </w:tc>
        <w:tc>
          <w:tcPr>
            <w:tcW w:w="1060" w:type="dxa"/>
            <w:gridSpan w:val="2"/>
            <w:shd w:val="clear" w:color="auto" w:fill="auto"/>
            <w:vAlign w:val="bottom"/>
          </w:tcPr>
          <w:p w14:paraId="247620D9" w14:textId="77777777" w:rsidR="00A52778" w:rsidRPr="00460F9E" w:rsidRDefault="00A52778" w:rsidP="00FC3F8E">
            <w:pPr>
              <w:spacing w:line="0" w:lineRule="atLeast"/>
              <w:rPr>
                <w:rFonts w:eastAsia="Times New Roman" w:cs="Times New Roman"/>
                <w:b/>
                <w:sz w:val="23"/>
              </w:rPr>
            </w:pPr>
          </w:p>
        </w:tc>
        <w:tc>
          <w:tcPr>
            <w:tcW w:w="380" w:type="dxa"/>
            <w:gridSpan w:val="2"/>
            <w:shd w:val="clear" w:color="auto" w:fill="auto"/>
            <w:vAlign w:val="bottom"/>
          </w:tcPr>
          <w:p w14:paraId="62D6F0CF" w14:textId="77777777" w:rsidR="00A52778" w:rsidRPr="00460F9E" w:rsidRDefault="00A52778" w:rsidP="00FC3F8E">
            <w:pPr>
              <w:spacing w:line="0" w:lineRule="atLeast"/>
              <w:rPr>
                <w:rFonts w:eastAsia="Times New Roman" w:cs="Times New Roman"/>
                <w:b/>
                <w:sz w:val="23"/>
              </w:rPr>
            </w:pPr>
          </w:p>
        </w:tc>
        <w:tc>
          <w:tcPr>
            <w:tcW w:w="860" w:type="dxa"/>
            <w:gridSpan w:val="2"/>
            <w:shd w:val="clear" w:color="auto" w:fill="auto"/>
            <w:vAlign w:val="bottom"/>
          </w:tcPr>
          <w:p w14:paraId="6AE12D15" w14:textId="77777777" w:rsidR="00A52778" w:rsidRPr="00460F9E" w:rsidRDefault="00A52778" w:rsidP="00FC3F8E">
            <w:pPr>
              <w:spacing w:line="0" w:lineRule="atLeast"/>
              <w:rPr>
                <w:rFonts w:eastAsia="Times New Roman" w:cs="Times New Roman"/>
                <w:b/>
                <w:sz w:val="23"/>
              </w:rPr>
            </w:pPr>
          </w:p>
        </w:tc>
        <w:tc>
          <w:tcPr>
            <w:tcW w:w="616" w:type="dxa"/>
            <w:gridSpan w:val="2"/>
            <w:tcBorders>
              <w:right w:val="single" w:sz="8" w:space="0" w:color="auto"/>
            </w:tcBorders>
            <w:shd w:val="clear" w:color="auto" w:fill="auto"/>
            <w:vAlign w:val="bottom"/>
          </w:tcPr>
          <w:p w14:paraId="5B8B7072" w14:textId="77777777" w:rsidR="00A52778" w:rsidRPr="00460F9E" w:rsidRDefault="00A52778" w:rsidP="00FC3F8E">
            <w:pPr>
              <w:spacing w:line="0" w:lineRule="atLeast"/>
              <w:rPr>
                <w:rFonts w:eastAsia="Times New Roman" w:cs="Times New Roman"/>
                <w:b/>
                <w:sz w:val="23"/>
              </w:rPr>
            </w:pPr>
          </w:p>
        </w:tc>
      </w:tr>
      <w:tr w:rsidR="00A52778" w:rsidRPr="00460F9E" w14:paraId="6C410339" w14:textId="77777777" w:rsidTr="00FC3F8E">
        <w:trPr>
          <w:trHeight w:val="230"/>
        </w:trPr>
        <w:tc>
          <w:tcPr>
            <w:tcW w:w="426" w:type="dxa"/>
            <w:tcBorders>
              <w:left w:val="single" w:sz="8" w:space="0" w:color="auto"/>
              <w:right w:val="single" w:sz="8" w:space="0" w:color="auto"/>
            </w:tcBorders>
            <w:shd w:val="clear" w:color="auto" w:fill="auto"/>
            <w:vAlign w:val="bottom"/>
          </w:tcPr>
          <w:p w14:paraId="481CD7FA" w14:textId="77777777" w:rsidR="00A52778" w:rsidRPr="00460F9E" w:rsidRDefault="00A52778" w:rsidP="00FC3F8E">
            <w:pPr>
              <w:spacing w:line="0" w:lineRule="atLeast"/>
              <w:rPr>
                <w:rFonts w:eastAsia="Times New Roman" w:cs="Times New Roman"/>
                <w:b/>
              </w:rPr>
            </w:pPr>
          </w:p>
        </w:tc>
        <w:tc>
          <w:tcPr>
            <w:tcW w:w="1134" w:type="dxa"/>
            <w:tcBorders>
              <w:right w:val="single" w:sz="8" w:space="0" w:color="auto"/>
            </w:tcBorders>
            <w:shd w:val="clear" w:color="auto" w:fill="auto"/>
            <w:vAlign w:val="bottom"/>
          </w:tcPr>
          <w:p w14:paraId="159660B9" w14:textId="77777777" w:rsidR="00A52778" w:rsidRPr="00460F9E" w:rsidRDefault="00A52778" w:rsidP="00FC3F8E">
            <w:pPr>
              <w:spacing w:line="0" w:lineRule="atLeast"/>
              <w:rPr>
                <w:rFonts w:eastAsia="Times New Roman" w:cs="Times New Roman"/>
                <w:b/>
              </w:rPr>
            </w:pPr>
          </w:p>
        </w:tc>
        <w:tc>
          <w:tcPr>
            <w:tcW w:w="30" w:type="dxa"/>
            <w:shd w:val="clear" w:color="auto" w:fill="auto"/>
            <w:vAlign w:val="bottom"/>
          </w:tcPr>
          <w:p w14:paraId="450956F3" w14:textId="77777777" w:rsidR="00A52778" w:rsidRPr="00460F9E" w:rsidRDefault="00A52778" w:rsidP="00FC3F8E">
            <w:pPr>
              <w:spacing w:line="0" w:lineRule="atLeast"/>
              <w:rPr>
                <w:rFonts w:eastAsia="Times New Roman" w:cs="Times New Roman"/>
                <w:b/>
              </w:rPr>
            </w:pPr>
          </w:p>
        </w:tc>
        <w:tc>
          <w:tcPr>
            <w:tcW w:w="3340" w:type="dxa"/>
            <w:gridSpan w:val="6"/>
            <w:vMerge/>
            <w:tcBorders>
              <w:right w:val="single" w:sz="8" w:space="0" w:color="auto"/>
            </w:tcBorders>
            <w:shd w:val="clear" w:color="auto" w:fill="auto"/>
            <w:vAlign w:val="bottom"/>
          </w:tcPr>
          <w:p w14:paraId="12597588" w14:textId="77777777" w:rsidR="00A52778" w:rsidRPr="00460F9E" w:rsidRDefault="00A52778" w:rsidP="00FC3F8E">
            <w:pPr>
              <w:spacing w:line="0" w:lineRule="atLeast"/>
              <w:rPr>
                <w:rFonts w:eastAsia="Times New Roman" w:cs="Times New Roman"/>
                <w:b/>
              </w:rPr>
            </w:pPr>
          </w:p>
        </w:tc>
        <w:tc>
          <w:tcPr>
            <w:tcW w:w="1020" w:type="dxa"/>
            <w:gridSpan w:val="2"/>
            <w:tcBorders>
              <w:right w:val="single" w:sz="8" w:space="0" w:color="auto"/>
            </w:tcBorders>
            <w:shd w:val="clear" w:color="auto" w:fill="auto"/>
            <w:vAlign w:val="bottom"/>
          </w:tcPr>
          <w:p w14:paraId="0CFEA04D" w14:textId="77777777" w:rsidR="00A52778" w:rsidRPr="00460F9E" w:rsidRDefault="00A52778" w:rsidP="00FC3F8E">
            <w:pPr>
              <w:spacing w:line="0" w:lineRule="atLeast"/>
              <w:rPr>
                <w:rFonts w:eastAsia="Times New Roman" w:cs="Times New Roman"/>
                <w:b/>
              </w:rPr>
            </w:pPr>
          </w:p>
        </w:tc>
        <w:tc>
          <w:tcPr>
            <w:tcW w:w="1060" w:type="dxa"/>
            <w:gridSpan w:val="2"/>
            <w:shd w:val="clear" w:color="auto" w:fill="auto"/>
            <w:vAlign w:val="bottom"/>
          </w:tcPr>
          <w:p w14:paraId="1F585ECD" w14:textId="77777777" w:rsidR="00A52778" w:rsidRPr="00460F9E" w:rsidRDefault="00A52778" w:rsidP="00FC3F8E">
            <w:pPr>
              <w:spacing w:line="0" w:lineRule="atLeast"/>
              <w:rPr>
                <w:rFonts w:eastAsia="Times New Roman" w:cs="Times New Roman"/>
                <w:b/>
              </w:rPr>
            </w:pPr>
          </w:p>
        </w:tc>
        <w:tc>
          <w:tcPr>
            <w:tcW w:w="380" w:type="dxa"/>
            <w:gridSpan w:val="2"/>
            <w:shd w:val="clear" w:color="auto" w:fill="auto"/>
            <w:vAlign w:val="bottom"/>
          </w:tcPr>
          <w:p w14:paraId="1C399420" w14:textId="77777777" w:rsidR="00A52778" w:rsidRPr="00460F9E" w:rsidRDefault="00A52778" w:rsidP="00FC3F8E">
            <w:pPr>
              <w:spacing w:line="0" w:lineRule="atLeast"/>
              <w:rPr>
                <w:rFonts w:eastAsia="Times New Roman" w:cs="Times New Roman"/>
                <w:b/>
              </w:rPr>
            </w:pPr>
          </w:p>
        </w:tc>
        <w:tc>
          <w:tcPr>
            <w:tcW w:w="860" w:type="dxa"/>
            <w:gridSpan w:val="2"/>
            <w:shd w:val="clear" w:color="auto" w:fill="auto"/>
            <w:vAlign w:val="bottom"/>
          </w:tcPr>
          <w:p w14:paraId="67F44532" w14:textId="77777777" w:rsidR="00A52778" w:rsidRPr="00460F9E" w:rsidRDefault="00A52778" w:rsidP="00FC3F8E">
            <w:pPr>
              <w:spacing w:line="0" w:lineRule="atLeast"/>
              <w:rPr>
                <w:rFonts w:eastAsia="Times New Roman" w:cs="Times New Roman"/>
                <w:b/>
              </w:rPr>
            </w:pPr>
          </w:p>
        </w:tc>
        <w:tc>
          <w:tcPr>
            <w:tcW w:w="616" w:type="dxa"/>
            <w:gridSpan w:val="2"/>
            <w:tcBorders>
              <w:right w:val="single" w:sz="8" w:space="0" w:color="auto"/>
            </w:tcBorders>
            <w:shd w:val="clear" w:color="auto" w:fill="auto"/>
            <w:vAlign w:val="bottom"/>
          </w:tcPr>
          <w:p w14:paraId="210F8A80" w14:textId="77777777" w:rsidR="00A52778" w:rsidRPr="00460F9E" w:rsidRDefault="00A52778" w:rsidP="00FC3F8E">
            <w:pPr>
              <w:spacing w:line="0" w:lineRule="atLeast"/>
              <w:rPr>
                <w:rFonts w:eastAsia="Times New Roman" w:cs="Times New Roman"/>
                <w:b/>
              </w:rPr>
            </w:pPr>
          </w:p>
        </w:tc>
      </w:tr>
      <w:tr w:rsidR="00A52778" w:rsidRPr="00460F9E" w14:paraId="0482C051" w14:textId="77777777" w:rsidTr="00FC3F8E">
        <w:trPr>
          <w:trHeight w:val="302"/>
        </w:trPr>
        <w:tc>
          <w:tcPr>
            <w:tcW w:w="426" w:type="dxa"/>
            <w:tcBorders>
              <w:left w:val="single" w:sz="8" w:space="0" w:color="auto"/>
              <w:right w:val="single" w:sz="8" w:space="0" w:color="auto"/>
            </w:tcBorders>
            <w:shd w:val="clear" w:color="auto" w:fill="auto"/>
            <w:vAlign w:val="bottom"/>
          </w:tcPr>
          <w:p w14:paraId="1525A0CA" w14:textId="77777777" w:rsidR="00A52778" w:rsidRPr="00460F9E" w:rsidRDefault="00A52778" w:rsidP="00FC3F8E">
            <w:pPr>
              <w:spacing w:line="0" w:lineRule="atLeast"/>
              <w:rPr>
                <w:rFonts w:eastAsia="Times New Roman" w:cs="Times New Roman"/>
                <w:b/>
              </w:rPr>
            </w:pPr>
          </w:p>
        </w:tc>
        <w:tc>
          <w:tcPr>
            <w:tcW w:w="1134" w:type="dxa"/>
            <w:tcBorders>
              <w:right w:val="single" w:sz="8" w:space="0" w:color="auto"/>
            </w:tcBorders>
            <w:shd w:val="clear" w:color="auto" w:fill="auto"/>
            <w:vAlign w:val="bottom"/>
          </w:tcPr>
          <w:p w14:paraId="5F961B41" w14:textId="77777777" w:rsidR="00A52778" w:rsidRPr="00460F9E" w:rsidRDefault="00A52778" w:rsidP="00FC3F8E">
            <w:pPr>
              <w:spacing w:line="0" w:lineRule="atLeast"/>
              <w:rPr>
                <w:rFonts w:eastAsia="Times New Roman" w:cs="Times New Roman"/>
                <w:b/>
              </w:rPr>
            </w:pPr>
          </w:p>
        </w:tc>
        <w:tc>
          <w:tcPr>
            <w:tcW w:w="30" w:type="dxa"/>
            <w:shd w:val="clear" w:color="auto" w:fill="auto"/>
            <w:vAlign w:val="bottom"/>
          </w:tcPr>
          <w:p w14:paraId="1CA07D75" w14:textId="77777777" w:rsidR="00A52778" w:rsidRPr="00460F9E" w:rsidRDefault="00A52778" w:rsidP="00FC3F8E">
            <w:pPr>
              <w:spacing w:line="0" w:lineRule="atLeast"/>
              <w:rPr>
                <w:rFonts w:eastAsia="Times New Roman" w:cs="Times New Roman"/>
                <w:b/>
              </w:rPr>
            </w:pPr>
          </w:p>
        </w:tc>
        <w:tc>
          <w:tcPr>
            <w:tcW w:w="3340" w:type="dxa"/>
            <w:gridSpan w:val="6"/>
            <w:tcBorders>
              <w:right w:val="single" w:sz="8" w:space="0" w:color="auto"/>
            </w:tcBorders>
            <w:shd w:val="clear" w:color="auto" w:fill="auto"/>
            <w:vAlign w:val="bottom"/>
          </w:tcPr>
          <w:p w14:paraId="53F9BA1C"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tanklara yüzer çatıların kurulması;</w:t>
            </w:r>
          </w:p>
        </w:tc>
        <w:tc>
          <w:tcPr>
            <w:tcW w:w="1020" w:type="dxa"/>
            <w:gridSpan w:val="2"/>
            <w:tcBorders>
              <w:right w:val="single" w:sz="8" w:space="0" w:color="auto"/>
            </w:tcBorders>
            <w:shd w:val="clear" w:color="auto" w:fill="auto"/>
            <w:vAlign w:val="bottom"/>
          </w:tcPr>
          <w:p w14:paraId="2E659E63" w14:textId="77777777" w:rsidR="00A52778" w:rsidRPr="00460F9E" w:rsidRDefault="00A52778" w:rsidP="00FC3F8E">
            <w:pPr>
              <w:spacing w:line="0" w:lineRule="atLeast"/>
              <w:rPr>
                <w:rFonts w:eastAsia="Times New Roman" w:cs="Times New Roman"/>
                <w:b/>
              </w:rPr>
            </w:pPr>
          </w:p>
        </w:tc>
        <w:tc>
          <w:tcPr>
            <w:tcW w:w="1060" w:type="dxa"/>
            <w:gridSpan w:val="2"/>
            <w:shd w:val="clear" w:color="auto" w:fill="auto"/>
            <w:vAlign w:val="bottom"/>
          </w:tcPr>
          <w:p w14:paraId="0B7A0A1E" w14:textId="77777777" w:rsidR="00A52778" w:rsidRPr="00460F9E" w:rsidRDefault="00A52778" w:rsidP="00FC3F8E">
            <w:pPr>
              <w:spacing w:line="0" w:lineRule="atLeast"/>
              <w:rPr>
                <w:rFonts w:eastAsia="Times New Roman" w:cs="Times New Roman"/>
                <w:b/>
              </w:rPr>
            </w:pPr>
          </w:p>
        </w:tc>
        <w:tc>
          <w:tcPr>
            <w:tcW w:w="380" w:type="dxa"/>
            <w:gridSpan w:val="2"/>
            <w:shd w:val="clear" w:color="auto" w:fill="auto"/>
            <w:vAlign w:val="bottom"/>
          </w:tcPr>
          <w:p w14:paraId="63E2E5AE" w14:textId="77777777" w:rsidR="00A52778" w:rsidRPr="00460F9E" w:rsidRDefault="00A52778" w:rsidP="00FC3F8E">
            <w:pPr>
              <w:spacing w:line="0" w:lineRule="atLeast"/>
              <w:rPr>
                <w:rFonts w:eastAsia="Times New Roman" w:cs="Times New Roman"/>
                <w:b/>
              </w:rPr>
            </w:pPr>
          </w:p>
        </w:tc>
        <w:tc>
          <w:tcPr>
            <w:tcW w:w="860" w:type="dxa"/>
            <w:gridSpan w:val="2"/>
            <w:shd w:val="clear" w:color="auto" w:fill="auto"/>
            <w:vAlign w:val="bottom"/>
          </w:tcPr>
          <w:p w14:paraId="12923AAD" w14:textId="77777777" w:rsidR="00A52778" w:rsidRPr="00460F9E" w:rsidRDefault="00A52778" w:rsidP="00FC3F8E">
            <w:pPr>
              <w:spacing w:line="0" w:lineRule="atLeast"/>
              <w:rPr>
                <w:rFonts w:eastAsia="Times New Roman" w:cs="Times New Roman"/>
                <w:b/>
              </w:rPr>
            </w:pPr>
          </w:p>
        </w:tc>
        <w:tc>
          <w:tcPr>
            <w:tcW w:w="616" w:type="dxa"/>
            <w:gridSpan w:val="2"/>
            <w:tcBorders>
              <w:right w:val="single" w:sz="8" w:space="0" w:color="auto"/>
            </w:tcBorders>
            <w:shd w:val="clear" w:color="auto" w:fill="auto"/>
            <w:vAlign w:val="bottom"/>
          </w:tcPr>
          <w:p w14:paraId="0EE1B8FF" w14:textId="77777777" w:rsidR="00A52778" w:rsidRPr="00460F9E" w:rsidRDefault="00A52778" w:rsidP="00FC3F8E">
            <w:pPr>
              <w:spacing w:line="0" w:lineRule="atLeast"/>
              <w:rPr>
                <w:rFonts w:eastAsia="Times New Roman" w:cs="Times New Roman"/>
                <w:b/>
              </w:rPr>
            </w:pPr>
          </w:p>
        </w:tc>
      </w:tr>
      <w:tr w:rsidR="00A52778" w:rsidRPr="00460F9E" w14:paraId="000B98EF" w14:textId="77777777" w:rsidTr="00FC3F8E">
        <w:trPr>
          <w:trHeight w:val="305"/>
        </w:trPr>
        <w:tc>
          <w:tcPr>
            <w:tcW w:w="426" w:type="dxa"/>
            <w:tcBorders>
              <w:left w:val="single" w:sz="8" w:space="0" w:color="auto"/>
              <w:right w:val="single" w:sz="8" w:space="0" w:color="auto"/>
            </w:tcBorders>
            <w:shd w:val="clear" w:color="auto" w:fill="auto"/>
            <w:vAlign w:val="bottom"/>
          </w:tcPr>
          <w:p w14:paraId="2718A750" w14:textId="77777777" w:rsidR="00A52778" w:rsidRPr="00460F9E" w:rsidRDefault="00A52778" w:rsidP="00FC3F8E">
            <w:pPr>
              <w:spacing w:line="0" w:lineRule="atLeast"/>
              <w:rPr>
                <w:rFonts w:eastAsia="Times New Roman" w:cs="Times New Roman"/>
                <w:b/>
              </w:rPr>
            </w:pPr>
          </w:p>
        </w:tc>
        <w:tc>
          <w:tcPr>
            <w:tcW w:w="1134" w:type="dxa"/>
            <w:tcBorders>
              <w:right w:val="single" w:sz="8" w:space="0" w:color="auto"/>
            </w:tcBorders>
            <w:shd w:val="clear" w:color="auto" w:fill="auto"/>
            <w:vAlign w:val="bottom"/>
          </w:tcPr>
          <w:p w14:paraId="77D77144" w14:textId="77777777" w:rsidR="00A52778" w:rsidRPr="00460F9E" w:rsidRDefault="00A52778" w:rsidP="00FC3F8E">
            <w:pPr>
              <w:spacing w:line="0" w:lineRule="atLeast"/>
              <w:rPr>
                <w:rFonts w:eastAsia="Times New Roman" w:cs="Times New Roman"/>
                <w:b/>
              </w:rPr>
            </w:pPr>
          </w:p>
        </w:tc>
        <w:tc>
          <w:tcPr>
            <w:tcW w:w="30" w:type="dxa"/>
            <w:shd w:val="clear" w:color="auto" w:fill="auto"/>
            <w:vAlign w:val="bottom"/>
          </w:tcPr>
          <w:p w14:paraId="1F21294D" w14:textId="77777777" w:rsidR="00A52778" w:rsidRPr="00460F9E" w:rsidRDefault="00A52778" w:rsidP="00FC3F8E">
            <w:pPr>
              <w:spacing w:line="0" w:lineRule="atLeast"/>
              <w:rPr>
                <w:rFonts w:eastAsia="Times New Roman" w:cs="Times New Roman"/>
                <w:b/>
              </w:rPr>
            </w:pPr>
          </w:p>
        </w:tc>
        <w:tc>
          <w:tcPr>
            <w:tcW w:w="3340" w:type="dxa"/>
            <w:gridSpan w:val="6"/>
            <w:vMerge w:val="restart"/>
            <w:tcBorders>
              <w:right w:val="single" w:sz="8" w:space="0" w:color="auto"/>
            </w:tcBorders>
            <w:shd w:val="clear" w:color="auto" w:fill="auto"/>
            <w:vAlign w:val="bottom"/>
          </w:tcPr>
          <w:p w14:paraId="563A4284"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atık gaz arıtımına bağlı sabit çatılı </w:t>
            </w:r>
          </w:p>
          <w:p w14:paraId="1416B01A"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tankların kullanılması.</w:t>
            </w:r>
          </w:p>
        </w:tc>
        <w:tc>
          <w:tcPr>
            <w:tcW w:w="1020" w:type="dxa"/>
            <w:gridSpan w:val="2"/>
            <w:tcBorders>
              <w:right w:val="single" w:sz="8" w:space="0" w:color="auto"/>
            </w:tcBorders>
            <w:shd w:val="clear" w:color="auto" w:fill="auto"/>
            <w:vAlign w:val="bottom"/>
          </w:tcPr>
          <w:p w14:paraId="456E895F" w14:textId="77777777" w:rsidR="00A52778" w:rsidRPr="00460F9E" w:rsidRDefault="00A52778" w:rsidP="00FC3F8E">
            <w:pPr>
              <w:spacing w:line="0" w:lineRule="atLeast"/>
              <w:rPr>
                <w:rFonts w:eastAsia="Times New Roman" w:cs="Times New Roman"/>
                <w:b/>
              </w:rPr>
            </w:pPr>
          </w:p>
        </w:tc>
        <w:tc>
          <w:tcPr>
            <w:tcW w:w="1060" w:type="dxa"/>
            <w:gridSpan w:val="2"/>
            <w:shd w:val="clear" w:color="auto" w:fill="auto"/>
            <w:vAlign w:val="bottom"/>
          </w:tcPr>
          <w:p w14:paraId="3C98D6A1" w14:textId="77777777" w:rsidR="00A52778" w:rsidRPr="00460F9E" w:rsidRDefault="00A52778" w:rsidP="00FC3F8E">
            <w:pPr>
              <w:spacing w:line="0" w:lineRule="atLeast"/>
              <w:rPr>
                <w:rFonts w:eastAsia="Times New Roman" w:cs="Times New Roman"/>
                <w:b/>
              </w:rPr>
            </w:pPr>
          </w:p>
        </w:tc>
        <w:tc>
          <w:tcPr>
            <w:tcW w:w="380" w:type="dxa"/>
            <w:gridSpan w:val="2"/>
            <w:shd w:val="clear" w:color="auto" w:fill="auto"/>
            <w:vAlign w:val="bottom"/>
          </w:tcPr>
          <w:p w14:paraId="4E6EC584" w14:textId="77777777" w:rsidR="00A52778" w:rsidRPr="00460F9E" w:rsidRDefault="00A52778" w:rsidP="00FC3F8E">
            <w:pPr>
              <w:spacing w:line="0" w:lineRule="atLeast"/>
              <w:rPr>
                <w:rFonts w:eastAsia="Times New Roman" w:cs="Times New Roman"/>
                <w:b/>
              </w:rPr>
            </w:pPr>
          </w:p>
        </w:tc>
        <w:tc>
          <w:tcPr>
            <w:tcW w:w="860" w:type="dxa"/>
            <w:gridSpan w:val="2"/>
            <w:shd w:val="clear" w:color="auto" w:fill="auto"/>
            <w:vAlign w:val="bottom"/>
          </w:tcPr>
          <w:p w14:paraId="0A9C296E" w14:textId="77777777" w:rsidR="00A52778" w:rsidRPr="00460F9E" w:rsidRDefault="00A52778" w:rsidP="00FC3F8E">
            <w:pPr>
              <w:spacing w:line="0" w:lineRule="atLeast"/>
              <w:rPr>
                <w:rFonts w:eastAsia="Times New Roman" w:cs="Times New Roman"/>
                <w:b/>
              </w:rPr>
            </w:pPr>
          </w:p>
        </w:tc>
        <w:tc>
          <w:tcPr>
            <w:tcW w:w="616" w:type="dxa"/>
            <w:gridSpan w:val="2"/>
            <w:tcBorders>
              <w:right w:val="single" w:sz="8" w:space="0" w:color="auto"/>
            </w:tcBorders>
            <w:shd w:val="clear" w:color="auto" w:fill="auto"/>
            <w:vAlign w:val="bottom"/>
          </w:tcPr>
          <w:p w14:paraId="23EE1796" w14:textId="77777777" w:rsidR="00A52778" w:rsidRPr="00460F9E" w:rsidRDefault="00A52778" w:rsidP="00FC3F8E">
            <w:pPr>
              <w:spacing w:line="0" w:lineRule="atLeast"/>
              <w:rPr>
                <w:rFonts w:eastAsia="Times New Roman" w:cs="Times New Roman"/>
                <w:b/>
              </w:rPr>
            </w:pPr>
          </w:p>
        </w:tc>
      </w:tr>
      <w:tr w:rsidR="00A52778" w:rsidRPr="00460F9E" w14:paraId="6A7FDEDE" w14:textId="77777777" w:rsidTr="00FC3F8E">
        <w:trPr>
          <w:trHeight w:val="230"/>
        </w:trPr>
        <w:tc>
          <w:tcPr>
            <w:tcW w:w="426" w:type="dxa"/>
            <w:tcBorders>
              <w:left w:val="single" w:sz="8" w:space="0" w:color="auto"/>
              <w:right w:val="single" w:sz="8" w:space="0" w:color="auto"/>
            </w:tcBorders>
            <w:shd w:val="clear" w:color="auto" w:fill="auto"/>
            <w:vAlign w:val="bottom"/>
          </w:tcPr>
          <w:p w14:paraId="57F6A838" w14:textId="77777777" w:rsidR="00A52778" w:rsidRPr="00460F9E" w:rsidRDefault="00A52778" w:rsidP="00FC3F8E">
            <w:pPr>
              <w:spacing w:line="0" w:lineRule="atLeast"/>
              <w:rPr>
                <w:rFonts w:eastAsia="Times New Roman" w:cs="Times New Roman"/>
                <w:b/>
              </w:rPr>
            </w:pPr>
          </w:p>
        </w:tc>
        <w:tc>
          <w:tcPr>
            <w:tcW w:w="1134" w:type="dxa"/>
            <w:tcBorders>
              <w:right w:val="single" w:sz="8" w:space="0" w:color="auto"/>
            </w:tcBorders>
            <w:shd w:val="clear" w:color="auto" w:fill="auto"/>
            <w:vAlign w:val="bottom"/>
          </w:tcPr>
          <w:p w14:paraId="2CA04A4F" w14:textId="77777777" w:rsidR="00A52778" w:rsidRPr="00460F9E" w:rsidRDefault="00A52778" w:rsidP="00FC3F8E">
            <w:pPr>
              <w:spacing w:line="0" w:lineRule="atLeast"/>
              <w:rPr>
                <w:rFonts w:eastAsia="Times New Roman" w:cs="Times New Roman"/>
                <w:b/>
              </w:rPr>
            </w:pPr>
          </w:p>
        </w:tc>
        <w:tc>
          <w:tcPr>
            <w:tcW w:w="30" w:type="dxa"/>
            <w:shd w:val="clear" w:color="auto" w:fill="auto"/>
            <w:vAlign w:val="bottom"/>
          </w:tcPr>
          <w:p w14:paraId="1C4F7146" w14:textId="77777777" w:rsidR="00A52778" w:rsidRPr="00460F9E" w:rsidRDefault="00A52778" w:rsidP="00FC3F8E">
            <w:pPr>
              <w:spacing w:line="0" w:lineRule="atLeast"/>
              <w:rPr>
                <w:rFonts w:eastAsia="Times New Roman" w:cs="Times New Roman"/>
                <w:b/>
              </w:rPr>
            </w:pPr>
          </w:p>
        </w:tc>
        <w:tc>
          <w:tcPr>
            <w:tcW w:w="3340" w:type="dxa"/>
            <w:gridSpan w:val="6"/>
            <w:vMerge/>
            <w:tcBorders>
              <w:right w:val="single" w:sz="8" w:space="0" w:color="auto"/>
            </w:tcBorders>
            <w:shd w:val="clear" w:color="auto" w:fill="auto"/>
            <w:vAlign w:val="bottom"/>
          </w:tcPr>
          <w:p w14:paraId="2EB9433A" w14:textId="77777777" w:rsidR="00A52778" w:rsidRPr="00460F9E" w:rsidRDefault="00A52778" w:rsidP="00FC3F8E">
            <w:pPr>
              <w:spacing w:line="0" w:lineRule="atLeast"/>
              <w:rPr>
                <w:rFonts w:eastAsia="Times New Roman" w:cs="Times New Roman"/>
                <w:b/>
              </w:rPr>
            </w:pPr>
          </w:p>
        </w:tc>
        <w:tc>
          <w:tcPr>
            <w:tcW w:w="1020" w:type="dxa"/>
            <w:gridSpan w:val="2"/>
            <w:tcBorders>
              <w:left w:val="single" w:sz="8" w:space="0" w:color="auto"/>
              <w:right w:val="single" w:sz="8" w:space="0" w:color="auto"/>
            </w:tcBorders>
            <w:shd w:val="clear" w:color="auto" w:fill="auto"/>
            <w:vAlign w:val="bottom"/>
          </w:tcPr>
          <w:p w14:paraId="1454D5C6" w14:textId="77777777" w:rsidR="00A52778" w:rsidRPr="00460F9E" w:rsidRDefault="00A52778" w:rsidP="00FC3F8E">
            <w:pPr>
              <w:spacing w:line="0" w:lineRule="atLeast"/>
              <w:rPr>
                <w:rFonts w:eastAsia="Times New Roman" w:cs="Times New Roman"/>
                <w:b/>
              </w:rPr>
            </w:pPr>
          </w:p>
        </w:tc>
        <w:tc>
          <w:tcPr>
            <w:tcW w:w="1060" w:type="dxa"/>
            <w:gridSpan w:val="2"/>
            <w:shd w:val="clear" w:color="auto" w:fill="auto"/>
            <w:vAlign w:val="bottom"/>
          </w:tcPr>
          <w:p w14:paraId="1599CE45" w14:textId="77777777" w:rsidR="00A52778" w:rsidRPr="00460F9E" w:rsidRDefault="00A52778" w:rsidP="00FC3F8E">
            <w:pPr>
              <w:spacing w:line="0" w:lineRule="atLeast"/>
              <w:rPr>
                <w:rFonts w:eastAsia="Times New Roman" w:cs="Times New Roman"/>
                <w:b/>
              </w:rPr>
            </w:pPr>
          </w:p>
        </w:tc>
        <w:tc>
          <w:tcPr>
            <w:tcW w:w="380" w:type="dxa"/>
            <w:gridSpan w:val="2"/>
            <w:shd w:val="clear" w:color="auto" w:fill="auto"/>
            <w:vAlign w:val="bottom"/>
          </w:tcPr>
          <w:p w14:paraId="488AEF87" w14:textId="77777777" w:rsidR="00A52778" w:rsidRPr="00460F9E" w:rsidRDefault="00A52778" w:rsidP="00FC3F8E">
            <w:pPr>
              <w:spacing w:line="0" w:lineRule="atLeast"/>
              <w:rPr>
                <w:rFonts w:eastAsia="Times New Roman" w:cs="Times New Roman"/>
                <w:b/>
              </w:rPr>
            </w:pPr>
          </w:p>
        </w:tc>
        <w:tc>
          <w:tcPr>
            <w:tcW w:w="860" w:type="dxa"/>
            <w:gridSpan w:val="2"/>
            <w:shd w:val="clear" w:color="auto" w:fill="auto"/>
            <w:vAlign w:val="bottom"/>
          </w:tcPr>
          <w:p w14:paraId="1513EC4E" w14:textId="77777777" w:rsidR="00A52778" w:rsidRPr="00460F9E" w:rsidRDefault="00A52778" w:rsidP="00FC3F8E">
            <w:pPr>
              <w:spacing w:line="0" w:lineRule="atLeast"/>
              <w:rPr>
                <w:rFonts w:eastAsia="Times New Roman" w:cs="Times New Roman"/>
                <w:b/>
              </w:rPr>
            </w:pPr>
          </w:p>
        </w:tc>
        <w:tc>
          <w:tcPr>
            <w:tcW w:w="616" w:type="dxa"/>
            <w:gridSpan w:val="2"/>
            <w:tcBorders>
              <w:right w:val="single" w:sz="8" w:space="0" w:color="auto"/>
            </w:tcBorders>
            <w:shd w:val="clear" w:color="auto" w:fill="auto"/>
            <w:vAlign w:val="bottom"/>
          </w:tcPr>
          <w:p w14:paraId="385D3325" w14:textId="77777777" w:rsidR="00A52778" w:rsidRPr="00460F9E" w:rsidRDefault="00A52778" w:rsidP="00FC3F8E">
            <w:pPr>
              <w:spacing w:line="0" w:lineRule="atLeast"/>
              <w:rPr>
                <w:rFonts w:eastAsia="Times New Roman" w:cs="Times New Roman"/>
                <w:b/>
              </w:rPr>
            </w:pPr>
          </w:p>
        </w:tc>
      </w:tr>
      <w:tr w:rsidR="00A52778" w:rsidRPr="00460F9E" w14:paraId="5F8BD0F7" w14:textId="77777777" w:rsidTr="00FC3F8E">
        <w:trPr>
          <w:trHeight w:val="66"/>
        </w:trPr>
        <w:tc>
          <w:tcPr>
            <w:tcW w:w="426" w:type="dxa"/>
            <w:tcBorders>
              <w:left w:val="single" w:sz="8" w:space="0" w:color="auto"/>
              <w:bottom w:val="single" w:sz="8" w:space="0" w:color="auto"/>
              <w:right w:val="single" w:sz="8" w:space="0" w:color="auto"/>
            </w:tcBorders>
            <w:shd w:val="clear" w:color="auto" w:fill="auto"/>
            <w:vAlign w:val="bottom"/>
          </w:tcPr>
          <w:p w14:paraId="4695CEFA" w14:textId="77777777" w:rsidR="00A52778" w:rsidRPr="00460F9E" w:rsidRDefault="00A52778" w:rsidP="00FC3F8E">
            <w:pPr>
              <w:spacing w:line="0" w:lineRule="atLeast"/>
              <w:rPr>
                <w:rFonts w:eastAsia="Times New Roman" w:cs="Times New Roman"/>
                <w:b/>
                <w:sz w:val="5"/>
              </w:rPr>
            </w:pPr>
          </w:p>
        </w:tc>
        <w:tc>
          <w:tcPr>
            <w:tcW w:w="1134" w:type="dxa"/>
            <w:tcBorders>
              <w:bottom w:val="single" w:sz="8" w:space="0" w:color="auto"/>
              <w:right w:val="single" w:sz="8" w:space="0" w:color="auto"/>
            </w:tcBorders>
            <w:shd w:val="clear" w:color="auto" w:fill="auto"/>
            <w:vAlign w:val="bottom"/>
          </w:tcPr>
          <w:p w14:paraId="7C322EF9" w14:textId="77777777" w:rsidR="00A52778" w:rsidRPr="00460F9E" w:rsidRDefault="00A52778" w:rsidP="00FC3F8E">
            <w:pPr>
              <w:spacing w:line="0" w:lineRule="atLeast"/>
              <w:rPr>
                <w:rFonts w:eastAsia="Times New Roman" w:cs="Times New Roman"/>
                <w:b/>
                <w:sz w:val="5"/>
              </w:rPr>
            </w:pPr>
          </w:p>
        </w:tc>
        <w:tc>
          <w:tcPr>
            <w:tcW w:w="30" w:type="dxa"/>
            <w:tcBorders>
              <w:bottom w:val="single" w:sz="8" w:space="0" w:color="auto"/>
            </w:tcBorders>
            <w:shd w:val="clear" w:color="auto" w:fill="auto"/>
            <w:vAlign w:val="bottom"/>
          </w:tcPr>
          <w:p w14:paraId="2C4104B6" w14:textId="77777777" w:rsidR="00A52778" w:rsidRPr="00460F9E" w:rsidRDefault="00A52778" w:rsidP="00FC3F8E">
            <w:pPr>
              <w:spacing w:line="0" w:lineRule="atLeast"/>
              <w:rPr>
                <w:rFonts w:eastAsia="Times New Roman" w:cs="Times New Roman"/>
                <w:b/>
                <w:sz w:val="5"/>
              </w:rPr>
            </w:pPr>
          </w:p>
        </w:tc>
        <w:tc>
          <w:tcPr>
            <w:tcW w:w="1000" w:type="dxa"/>
            <w:tcBorders>
              <w:bottom w:val="single" w:sz="8" w:space="0" w:color="auto"/>
            </w:tcBorders>
            <w:shd w:val="clear" w:color="auto" w:fill="auto"/>
            <w:vAlign w:val="bottom"/>
          </w:tcPr>
          <w:p w14:paraId="555E9681" w14:textId="77777777" w:rsidR="00A52778" w:rsidRPr="00460F9E" w:rsidRDefault="00A52778" w:rsidP="00FC3F8E">
            <w:pPr>
              <w:spacing w:line="0" w:lineRule="atLeast"/>
              <w:rPr>
                <w:rFonts w:eastAsia="Times New Roman" w:cs="Times New Roman"/>
                <w:b/>
                <w:sz w:val="5"/>
              </w:rPr>
            </w:pPr>
          </w:p>
        </w:tc>
        <w:tc>
          <w:tcPr>
            <w:tcW w:w="520" w:type="dxa"/>
            <w:tcBorders>
              <w:bottom w:val="single" w:sz="8" w:space="0" w:color="auto"/>
            </w:tcBorders>
            <w:shd w:val="clear" w:color="auto" w:fill="auto"/>
            <w:vAlign w:val="bottom"/>
          </w:tcPr>
          <w:p w14:paraId="28C0AB48" w14:textId="77777777" w:rsidR="00A52778" w:rsidRPr="00460F9E" w:rsidRDefault="00A52778" w:rsidP="00FC3F8E">
            <w:pPr>
              <w:spacing w:line="0" w:lineRule="atLeast"/>
              <w:rPr>
                <w:rFonts w:eastAsia="Times New Roman" w:cs="Times New Roman"/>
                <w:b/>
                <w:sz w:val="5"/>
              </w:rPr>
            </w:pPr>
          </w:p>
        </w:tc>
        <w:tc>
          <w:tcPr>
            <w:tcW w:w="420" w:type="dxa"/>
            <w:tcBorders>
              <w:bottom w:val="single" w:sz="8" w:space="0" w:color="auto"/>
            </w:tcBorders>
            <w:shd w:val="clear" w:color="auto" w:fill="auto"/>
            <w:vAlign w:val="bottom"/>
          </w:tcPr>
          <w:p w14:paraId="0277A986" w14:textId="77777777" w:rsidR="00A52778" w:rsidRPr="00460F9E" w:rsidRDefault="00A52778" w:rsidP="00FC3F8E">
            <w:pPr>
              <w:spacing w:line="0" w:lineRule="atLeast"/>
              <w:rPr>
                <w:rFonts w:eastAsia="Times New Roman" w:cs="Times New Roman"/>
                <w:b/>
                <w:sz w:val="5"/>
              </w:rPr>
            </w:pPr>
          </w:p>
        </w:tc>
        <w:tc>
          <w:tcPr>
            <w:tcW w:w="200" w:type="dxa"/>
            <w:tcBorders>
              <w:bottom w:val="single" w:sz="8" w:space="0" w:color="auto"/>
            </w:tcBorders>
            <w:shd w:val="clear" w:color="auto" w:fill="auto"/>
            <w:vAlign w:val="bottom"/>
          </w:tcPr>
          <w:p w14:paraId="43AF2E48" w14:textId="77777777" w:rsidR="00A52778" w:rsidRPr="00460F9E" w:rsidRDefault="00A52778" w:rsidP="00FC3F8E">
            <w:pPr>
              <w:spacing w:line="0" w:lineRule="atLeast"/>
              <w:rPr>
                <w:rFonts w:eastAsia="Times New Roman" w:cs="Times New Roman"/>
                <w:b/>
                <w:sz w:val="5"/>
              </w:rPr>
            </w:pPr>
          </w:p>
        </w:tc>
        <w:tc>
          <w:tcPr>
            <w:tcW w:w="360" w:type="dxa"/>
            <w:tcBorders>
              <w:bottom w:val="single" w:sz="8" w:space="0" w:color="auto"/>
            </w:tcBorders>
            <w:shd w:val="clear" w:color="auto" w:fill="auto"/>
            <w:vAlign w:val="bottom"/>
          </w:tcPr>
          <w:p w14:paraId="328F4744" w14:textId="77777777" w:rsidR="00A52778" w:rsidRPr="00460F9E" w:rsidRDefault="00A52778" w:rsidP="00FC3F8E">
            <w:pPr>
              <w:spacing w:line="0" w:lineRule="atLeast"/>
              <w:rPr>
                <w:rFonts w:eastAsia="Times New Roman" w:cs="Times New Roman"/>
                <w:b/>
                <w:sz w:val="5"/>
              </w:rPr>
            </w:pPr>
          </w:p>
        </w:tc>
        <w:tc>
          <w:tcPr>
            <w:tcW w:w="840" w:type="dxa"/>
            <w:tcBorders>
              <w:bottom w:val="single" w:sz="8" w:space="0" w:color="auto"/>
              <w:right w:val="single" w:sz="8" w:space="0" w:color="auto"/>
            </w:tcBorders>
            <w:shd w:val="clear" w:color="auto" w:fill="auto"/>
            <w:vAlign w:val="bottom"/>
          </w:tcPr>
          <w:p w14:paraId="3DADD4A5" w14:textId="77777777" w:rsidR="00A52778" w:rsidRPr="00460F9E" w:rsidRDefault="00A52778" w:rsidP="00FC3F8E">
            <w:pPr>
              <w:spacing w:line="0" w:lineRule="atLeast"/>
              <w:rPr>
                <w:rFonts w:eastAsia="Times New Roman" w:cs="Times New Roman"/>
                <w:b/>
                <w:sz w:val="5"/>
              </w:rPr>
            </w:pPr>
          </w:p>
        </w:tc>
        <w:tc>
          <w:tcPr>
            <w:tcW w:w="1020" w:type="dxa"/>
            <w:gridSpan w:val="2"/>
            <w:tcBorders>
              <w:bottom w:val="single" w:sz="8" w:space="0" w:color="auto"/>
              <w:right w:val="single" w:sz="8" w:space="0" w:color="auto"/>
            </w:tcBorders>
            <w:shd w:val="clear" w:color="auto" w:fill="auto"/>
            <w:vAlign w:val="bottom"/>
          </w:tcPr>
          <w:p w14:paraId="50C388B8" w14:textId="77777777" w:rsidR="00A52778" w:rsidRPr="00460F9E" w:rsidRDefault="00A52778" w:rsidP="00FC3F8E">
            <w:pPr>
              <w:spacing w:line="0" w:lineRule="atLeast"/>
              <w:rPr>
                <w:rFonts w:eastAsia="Times New Roman" w:cs="Times New Roman"/>
                <w:b/>
                <w:sz w:val="5"/>
              </w:rPr>
            </w:pPr>
          </w:p>
        </w:tc>
        <w:tc>
          <w:tcPr>
            <w:tcW w:w="1060" w:type="dxa"/>
            <w:gridSpan w:val="2"/>
            <w:tcBorders>
              <w:bottom w:val="single" w:sz="8" w:space="0" w:color="auto"/>
            </w:tcBorders>
            <w:shd w:val="clear" w:color="auto" w:fill="auto"/>
            <w:vAlign w:val="bottom"/>
          </w:tcPr>
          <w:p w14:paraId="7860DF52" w14:textId="77777777" w:rsidR="00A52778" w:rsidRPr="00460F9E" w:rsidRDefault="00A52778" w:rsidP="00FC3F8E">
            <w:pPr>
              <w:spacing w:line="0" w:lineRule="atLeast"/>
              <w:rPr>
                <w:rFonts w:eastAsia="Times New Roman" w:cs="Times New Roman"/>
                <w:b/>
                <w:sz w:val="5"/>
              </w:rPr>
            </w:pPr>
          </w:p>
        </w:tc>
        <w:tc>
          <w:tcPr>
            <w:tcW w:w="380" w:type="dxa"/>
            <w:gridSpan w:val="2"/>
            <w:tcBorders>
              <w:bottom w:val="single" w:sz="8" w:space="0" w:color="auto"/>
            </w:tcBorders>
            <w:shd w:val="clear" w:color="auto" w:fill="auto"/>
            <w:vAlign w:val="bottom"/>
          </w:tcPr>
          <w:p w14:paraId="37643CE2" w14:textId="77777777" w:rsidR="00A52778" w:rsidRPr="00460F9E" w:rsidRDefault="00A52778" w:rsidP="00FC3F8E">
            <w:pPr>
              <w:spacing w:line="0" w:lineRule="atLeast"/>
              <w:rPr>
                <w:rFonts w:eastAsia="Times New Roman" w:cs="Times New Roman"/>
                <w:b/>
                <w:sz w:val="5"/>
              </w:rPr>
            </w:pPr>
          </w:p>
        </w:tc>
        <w:tc>
          <w:tcPr>
            <w:tcW w:w="860" w:type="dxa"/>
            <w:gridSpan w:val="2"/>
            <w:tcBorders>
              <w:bottom w:val="single" w:sz="8" w:space="0" w:color="auto"/>
            </w:tcBorders>
            <w:shd w:val="clear" w:color="auto" w:fill="auto"/>
            <w:vAlign w:val="bottom"/>
          </w:tcPr>
          <w:p w14:paraId="1B8079C1" w14:textId="77777777" w:rsidR="00A52778" w:rsidRPr="00460F9E" w:rsidRDefault="00A52778" w:rsidP="00FC3F8E">
            <w:pPr>
              <w:spacing w:line="0" w:lineRule="atLeast"/>
              <w:rPr>
                <w:rFonts w:eastAsia="Times New Roman" w:cs="Times New Roman"/>
                <w:b/>
                <w:sz w:val="5"/>
              </w:rPr>
            </w:pPr>
          </w:p>
        </w:tc>
        <w:tc>
          <w:tcPr>
            <w:tcW w:w="616" w:type="dxa"/>
            <w:gridSpan w:val="2"/>
            <w:tcBorders>
              <w:bottom w:val="single" w:sz="8" w:space="0" w:color="auto"/>
              <w:right w:val="single" w:sz="8" w:space="0" w:color="auto"/>
            </w:tcBorders>
            <w:shd w:val="clear" w:color="auto" w:fill="auto"/>
            <w:vAlign w:val="bottom"/>
          </w:tcPr>
          <w:p w14:paraId="2ACB97D0" w14:textId="77777777" w:rsidR="00A52778" w:rsidRPr="00460F9E" w:rsidRDefault="00A52778" w:rsidP="00FC3F8E">
            <w:pPr>
              <w:spacing w:line="0" w:lineRule="atLeast"/>
              <w:rPr>
                <w:rFonts w:eastAsia="Times New Roman" w:cs="Times New Roman"/>
                <w:b/>
                <w:sz w:val="5"/>
              </w:rPr>
            </w:pPr>
          </w:p>
        </w:tc>
      </w:tr>
    </w:tbl>
    <w:p w14:paraId="11DC7BBC" w14:textId="77777777" w:rsidR="00A52778" w:rsidRPr="00460F9E" w:rsidRDefault="00A52778" w:rsidP="00A52778">
      <w:pPr>
        <w:spacing w:line="20" w:lineRule="exact"/>
        <w:rPr>
          <w:rFonts w:eastAsia="Times New Roman" w:cs="Times New Roman"/>
          <w:b/>
        </w:rPr>
      </w:pPr>
    </w:p>
    <w:p w14:paraId="52839344" w14:textId="77777777" w:rsidR="00A52778" w:rsidRPr="00460F9E" w:rsidRDefault="00A52778" w:rsidP="00A52778">
      <w:pPr>
        <w:spacing w:line="20" w:lineRule="exact"/>
        <w:rPr>
          <w:rFonts w:eastAsia="Times New Roman" w:cs="Times New Roman"/>
          <w:b/>
        </w:rPr>
        <w:sectPr w:rsidR="00A52778" w:rsidRPr="00460F9E">
          <w:pgSz w:w="11900" w:h="16838"/>
          <w:pgMar w:top="707" w:right="1440" w:bottom="145" w:left="840" w:header="0" w:footer="0" w:gutter="0"/>
          <w:cols w:space="0" w:equalWidth="0">
            <w:col w:w="9626"/>
          </w:cols>
          <w:docGrid w:linePitch="360"/>
        </w:sectPr>
      </w:pPr>
    </w:p>
    <w:p w14:paraId="1CB58BD8" w14:textId="77777777" w:rsidR="00A52778" w:rsidRPr="00460F9E" w:rsidRDefault="00A52778" w:rsidP="00A52778">
      <w:pPr>
        <w:spacing w:line="200" w:lineRule="exact"/>
        <w:rPr>
          <w:rFonts w:eastAsia="Times New Roman" w:cs="Times New Roman"/>
          <w:b/>
        </w:rPr>
      </w:pPr>
    </w:p>
    <w:p w14:paraId="7BC2A5C5" w14:textId="77777777" w:rsidR="00A52778" w:rsidRPr="00460F9E" w:rsidRDefault="00A52778" w:rsidP="00A52778">
      <w:pPr>
        <w:spacing w:line="200" w:lineRule="exact"/>
        <w:rPr>
          <w:rFonts w:eastAsia="Times New Roman" w:cs="Times New Roman"/>
          <w:b/>
        </w:rPr>
      </w:pPr>
    </w:p>
    <w:p w14:paraId="755E81A1" w14:textId="77777777" w:rsidR="00A52778" w:rsidRPr="00460F9E" w:rsidRDefault="00A52778" w:rsidP="00A52778">
      <w:pPr>
        <w:spacing w:line="200" w:lineRule="exact"/>
        <w:rPr>
          <w:rFonts w:eastAsia="Times New Roman" w:cs="Times New Roman"/>
          <w:b/>
        </w:rPr>
      </w:pPr>
    </w:p>
    <w:p w14:paraId="45A0027C" w14:textId="77777777" w:rsidR="00A52778" w:rsidRPr="00460F9E" w:rsidRDefault="00A52778" w:rsidP="00A52778">
      <w:pPr>
        <w:spacing w:line="200" w:lineRule="exact"/>
        <w:rPr>
          <w:rFonts w:eastAsia="Times New Roman" w:cs="Times New Roman"/>
          <w:b/>
        </w:rPr>
      </w:pPr>
    </w:p>
    <w:p w14:paraId="268C38C6" w14:textId="77777777" w:rsidR="00A52778" w:rsidRPr="00460F9E" w:rsidRDefault="00A52778" w:rsidP="00A52778">
      <w:pPr>
        <w:spacing w:line="200" w:lineRule="exact"/>
        <w:rPr>
          <w:rFonts w:eastAsia="Times New Roman" w:cs="Times New Roman"/>
          <w:b/>
        </w:rPr>
      </w:pPr>
    </w:p>
    <w:p w14:paraId="6C6AC2B8" w14:textId="77777777" w:rsidR="00A52778" w:rsidRPr="00460F9E" w:rsidRDefault="00A52778" w:rsidP="00A52778">
      <w:pPr>
        <w:spacing w:line="200" w:lineRule="exact"/>
        <w:rPr>
          <w:rFonts w:eastAsia="Times New Roman" w:cs="Times New Roman"/>
          <w:b/>
        </w:rPr>
      </w:pPr>
    </w:p>
    <w:p w14:paraId="56BCEEED" w14:textId="77777777" w:rsidR="00A52778" w:rsidRPr="00460F9E" w:rsidRDefault="00A52778" w:rsidP="00A52778">
      <w:pPr>
        <w:spacing w:line="200" w:lineRule="exact"/>
        <w:rPr>
          <w:rFonts w:eastAsia="Times New Roman" w:cs="Times New Roman"/>
          <w:b/>
        </w:rPr>
      </w:pPr>
    </w:p>
    <w:p w14:paraId="2926CB19" w14:textId="77777777" w:rsidR="00A52778" w:rsidRPr="00460F9E" w:rsidRDefault="00A52778" w:rsidP="00A52778">
      <w:pPr>
        <w:tabs>
          <w:tab w:val="left" w:pos="2620"/>
        </w:tabs>
        <w:spacing w:line="0" w:lineRule="atLeast"/>
        <w:rPr>
          <w:rFonts w:eastAsia="Times New Roman" w:cs="Times New Roman"/>
          <w:b/>
          <w:color w:val="0000FF"/>
        </w:rPr>
        <w:sectPr w:rsidR="00A52778" w:rsidRPr="00460F9E">
          <w:type w:val="continuous"/>
          <w:pgSz w:w="11900" w:h="16838"/>
          <w:pgMar w:top="707" w:right="1440" w:bottom="145" w:left="840" w:header="0" w:footer="0" w:gutter="0"/>
          <w:cols w:space="0" w:equalWidth="0">
            <w:col w:w="9626"/>
          </w:cols>
          <w:docGrid w:linePitch="360"/>
        </w:sectPr>
      </w:pPr>
    </w:p>
    <w:p w14:paraId="504A3F1E" w14:textId="77777777" w:rsidR="00A52778" w:rsidRPr="00B568BE" w:rsidRDefault="00A52778" w:rsidP="00A52778">
      <w:pPr>
        <w:pStyle w:val="GvdeMetni"/>
        <w:rPr>
          <w:rFonts w:eastAsia="Arial"/>
        </w:rPr>
      </w:pPr>
      <w:bookmarkStart w:id="338" w:name="page319"/>
      <w:bookmarkEnd w:id="338"/>
      <w:r>
        <w:rPr>
          <w:rFonts w:eastAsia="Arial"/>
        </w:rPr>
        <w:t>2</w:t>
      </w:r>
      <w:r w:rsidRPr="00B568BE">
        <w:rPr>
          <w:rFonts w:eastAsia="Arial"/>
        </w:rPr>
        <w:t>.1.4.4</w:t>
      </w:r>
      <w:r w:rsidRPr="00B568BE">
        <w:tab/>
      </w:r>
      <w:r w:rsidRPr="00B568BE">
        <w:rPr>
          <w:rFonts w:eastAsia="Arial"/>
        </w:rPr>
        <w:t>Solventlerin kullanımı veya geri kazanılan solventlerin yeniden kullanımı için MET sonuçları</w:t>
      </w:r>
    </w:p>
    <w:p w14:paraId="4B645536" w14:textId="77777777" w:rsidR="00A52778" w:rsidRPr="00460F9E" w:rsidRDefault="00A52778" w:rsidP="00A52778">
      <w:pPr>
        <w:spacing w:line="264" w:lineRule="exact"/>
        <w:rPr>
          <w:rFonts w:eastAsia="Times New Roman" w:cs="Times New Roman"/>
          <w:b/>
        </w:rPr>
      </w:pPr>
    </w:p>
    <w:p w14:paraId="6325E75C" w14:textId="77777777" w:rsidR="00A52778" w:rsidRPr="00460F9E" w:rsidRDefault="00A52778" w:rsidP="00A52778">
      <w:pPr>
        <w:spacing w:line="234" w:lineRule="auto"/>
        <w:ind w:left="820" w:right="40"/>
        <w:rPr>
          <w:rFonts w:eastAsia="Times New Roman" w:cs="Times New Roman"/>
          <w:b/>
        </w:rPr>
      </w:pPr>
      <w:r w:rsidRPr="00460F9E">
        <w:rPr>
          <w:rFonts w:eastAsia="Times New Roman" w:cs="Times New Roman"/>
        </w:rPr>
        <w:t xml:space="preserve">Aşağıda verilen solvent kullanımı veya geri kazanılmış solventlerin yeniden kullanımı için emisyon seviyeleri .1 ve .1.4.3' te verilen genel MET sonuçlarıyla ilişkilidir. </w:t>
      </w:r>
    </w:p>
    <w:p w14:paraId="4029A018" w14:textId="77777777" w:rsidR="00A52778" w:rsidRPr="00460F9E" w:rsidRDefault="00A52778" w:rsidP="00A52778">
      <w:pPr>
        <w:spacing w:line="200" w:lineRule="exact"/>
        <w:rPr>
          <w:rFonts w:eastAsia="Times New Roman" w:cs="Times New Roman"/>
          <w:b/>
        </w:rPr>
      </w:pPr>
    </w:p>
    <w:p w14:paraId="17EF933C" w14:textId="77777777" w:rsidR="00A52778" w:rsidRPr="00460F9E" w:rsidRDefault="00A52778" w:rsidP="00A52778">
      <w:pPr>
        <w:spacing w:line="323" w:lineRule="exact"/>
        <w:rPr>
          <w:rFonts w:eastAsia="Times New Roman" w:cs="Times New Roman"/>
          <w:b/>
        </w:rPr>
      </w:pPr>
    </w:p>
    <w:p w14:paraId="5CF02875" w14:textId="77777777" w:rsidR="00A52778" w:rsidRDefault="00A52778" w:rsidP="00A52778">
      <w:pPr>
        <w:pStyle w:val="GvdeMetni"/>
      </w:pPr>
      <w:r w:rsidRPr="00460F9E">
        <w:tab/>
        <w:t xml:space="preserve">Solvent kullanımından veya geri kazanılan solventlerin yeniden kullanımından </w:t>
      </w:r>
    </w:p>
    <w:p w14:paraId="044CEB2C" w14:textId="77777777" w:rsidR="00A52778" w:rsidRDefault="00A52778" w:rsidP="00A52778">
      <w:pPr>
        <w:pStyle w:val="GvdeMetni"/>
      </w:pPr>
      <w:r>
        <w:t xml:space="preserve">            </w:t>
      </w:r>
      <w:r w:rsidRPr="00460F9E">
        <w:t xml:space="preserve">dolayı havaya yayılı VOC emisyonları için MET ile ilişkili emisyon seviyesi </w:t>
      </w:r>
    </w:p>
    <w:p w14:paraId="15E6A239" w14:textId="77777777" w:rsidR="00A52778" w:rsidRDefault="00A52778" w:rsidP="00A52778">
      <w:pPr>
        <w:pStyle w:val="GvdeMetni"/>
      </w:pPr>
      <w:r>
        <w:t xml:space="preserve">             </w:t>
      </w:r>
      <w:r w:rsidRPr="00460F9E">
        <w:t>(MET-AEL)</w:t>
      </w:r>
    </w:p>
    <w:p w14:paraId="4BEA10C4" w14:textId="77777777" w:rsidR="00A52778" w:rsidRDefault="00A52778" w:rsidP="00A52778">
      <w:pPr>
        <w:pStyle w:val="GvdeMetni"/>
      </w:pPr>
    </w:p>
    <w:tbl>
      <w:tblPr>
        <w:tblStyle w:val="TabloKlavuzu"/>
        <w:tblW w:w="0" w:type="auto"/>
        <w:tblInd w:w="-5" w:type="dxa"/>
        <w:tblLook w:val="04A0" w:firstRow="1" w:lastRow="0" w:firstColumn="1" w:lastColumn="0" w:noHBand="0" w:noVBand="1"/>
      </w:tblPr>
      <w:tblGrid>
        <w:gridCol w:w="4073"/>
        <w:gridCol w:w="4073"/>
      </w:tblGrid>
      <w:tr w:rsidR="00A52778" w14:paraId="10DE6899" w14:textId="77777777" w:rsidTr="00FC3F8E">
        <w:trPr>
          <w:trHeight w:val="270"/>
        </w:trPr>
        <w:tc>
          <w:tcPr>
            <w:tcW w:w="4073" w:type="dxa"/>
            <w:vAlign w:val="bottom"/>
          </w:tcPr>
          <w:p w14:paraId="6D92018C" w14:textId="77777777" w:rsidR="00A52778" w:rsidRPr="00460F9E" w:rsidRDefault="00A52778" w:rsidP="00FC3F8E">
            <w:pPr>
              <w:spacing w:line="0" w:lineRule="atLeast"/>
              <w:ind w:left="840"/>
              <w:rPr>
                <w:rFonts w:eastAsia="Times New Roman" w:cs="Times New Roman"/>
                <w:b/>
              </w:rPr>
            </w:pPr>
            <w:r w:rsidRPr="00460F9E">
              <w:rPr>
                <w:rFonts w:eastAsia="Times New Roman" w:cs="Times New Roman"/>
              </w:rPr>
              <w:t>Parametreler</w:t>
            </w:r>
          </w:p>
        </w:tc>
        <w:tc>
          <w:tcPr>
            <w:tcW w:w="4073" w:type="dxa"/>
            <w:vAlign w:val="bottom"/>
          </w:tcPr>
          <w:p w14:paraId="1552499A"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MET-AEL (solvent girdilerinin yüzdesi)</w:t>
            </w:r>
            <w:r w:rsidRPr="00460F9E">
              <w:rPr>
                <w:rFonts w:eastAsia="Times New Roman" w:cs="Times New Roman"/>
                <w:w w:val="99"/>
              </w:rPr>
              <w:t xml:space="preserve"> (yıllık ortalama) (</w:t>
            </w:r>
            <w:r w:rsidRPr="00460F9E">
              <w:rPr>
                <w:rFonts w:eastAsia="Times New Roman" w:cs="Times New Roman"/>
                <w:w w:val="99"/>
                <w:sz w:val="25"/>
                <w:vertAlign w:val="superscript"/>
              </w:rPr>
              <w:t>1</w:t>
            </w:r>
            <w:r w:rsidRPr="00460F9E">
              <w:rPr>
                <w:rFonts w:eastAsia="Times New Roman" w:cs="Times New Roman"/>
                <w:w w:val="99"/>
              </w:rPr>
              <w:t>)</w:t>
            </w:r>
          </w:p>
        </w:tc>
      </w:tr>
      <w:tr w:rsidR="00A52778" w14:paraId="3B52E5F3" w14:textId="77777777" w:rsidTr="00FC3F8E">
        <w:trPr>
          <w:trHeight w:val="270"/>
        </w:trPr>
        <w:tc>
          <w:tcPr>
            <w:tcW w:w="4073" w:type="dxa"/>
            <w:vAlign w:val="bottom"/>
          </w:tcPr>
          <w:p w14:paraId="3F5F6C48" w14:textId="77777777" w:rsidR="00A52778" w:rsidRPr="00460F9E" w:rsidRDefault="00A52778" w:rsidP="00FC3F8E">
            <w:pPr>
              <w:spacing w:line="0" w:lineRule="atLeast"/>
              <w:ind w:left="180"/>
              <w:rPr>
                <w:rFonts w:eastAsia="Times New Roman" w:cs="Times New Roman"/>
                <w:b/>
              </w:rPr>
            </w:pPr>
            <w:r w:rsidRPr="00460F9E">
              <w:rPr>
                <w:rFonts w:eastAsia="Times New Roman" w:cs="Times New Roman"/>
              </w:rPr>
              <w:t>Yayılı VOC emisyonları</w:t>
            </w:r>
          </w:p>
        </w:tc>
        <w:tc>
          <w:tcPr>
            <w:tcW w:w="4073" w:type="dxa"/>
            <w:vAlign w:val="bottom"/>
          </w:tcPr>
          <w:p w14:paraId="4AC9D08F"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5 %</w:t>
            </w:r>
          </w:p>
        </w:tc>
      </w:tr>
      <w:tr w:rsidR="00A52778" w14:paraId="7A367904" w14:textId="77777777" w:rsidTr="00FC3F8E">
        <w:trPr>
          <w:trHeight w:val="270"/>
        </w:trPr>
        <w:tc>
          <w:tcPr>
            <w:tcW w:w="8146" w:type="dxa"/>
            <w:gridSpan w:val="2"/>
          </w:tcPr>
          <w:p w14:paraId="764C799C" w14:textId="77777777" w:rsidR="00A52778" w:rsidRPr="00460F9E" w:rsidRDefault="00A52778" w:rsidP="00FC3F8E">
            <w:pPr>
              <w:spacing w:line="0" w:lineRule="atLeast"/>
              <w:ind w:left="980"/>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1</w:t>
            </w:r>
            <w:r w:rsidRPr="00460F9E">
              <w:rPr>
                <w:rFonts w:eastAsia="Times New Roman" w:cs="Times New Roman"/>
                <w:sz w:val="18"/>
              </w:rPr>
              <w:t>) MET-AEL, yıllık toplam solvent tüketimi 50 tonun altında olan tesisler için geçerli değildir.</w:t>
            </w:r>
          </w:p>
          <w:p w14:paraId="6EE249CF" w14:textId="77777777" w:rsidR="00A52778" w:rsidRDefault="00A52778" w:rsidP="00FC3F8E">
            <w:pPr>
              <w:pStyle w:val="GvdeMetni"/>
            </w:pPr>
          </w:p>
        </w:tc>
      </w:tr>
    </w:tbl>
    <w:p w14:paraId="16CD812C" w14:textId="77777777" w:rsidR="00A52778" w:rsidRPr="00460F9E" w:rsidRDefault="00A52778" w:rsidP="00A52778">
      <w:pPr>
        <w:pStyle w:val="GvdeMetni"/>
      </w:pPr>
    </w:p>
    <w:p w14:paraId="64E12C0E" w14:textId="77777777" w:rsidR="00A52778" w:rsidRPr="00460F9E" w:rsidRDefault="00A52778" w:rsidP="00A52778">
      <w:pPr>
        <w:spacing w:line="20" w:lineRule="exact"/>
        <w:rPr>
          <w:rFonts w:eastAsia="Times New Roman" w:cs="Times New Roman"/>
          <w:b/>
        </w:rPr>
      </w:pPr>
    </w:p>
    <w:p w14:paraId="2D640255" w14:textId="77777777" w:rsidR="00A52778" w:rsidRPr="00460F9E" w:rsidRDefault="00A52778" w:rsidP="00A52778">
      <w:pPr>
        <w:spacing w:line="0" w:lineRule="atLeast"/>
        <w:ind w:left="820"/>
        <w:rPr>
          <w:rFonts w:eastAsia="Times New Roman" w:cs="Times New Roman"/>
          <w:b/>
          <w:color w:val="0000FF"/>
        </w:rPr>
      </w:pPr>
      <w:r w:rsidRPr="00460F9E">
        <w:rPr>
          <w:rFonts w:eastAsia="Times New Roman" w:cs="Times New Roman"/>
        </w:rPr>
        <w:t xml:space="preserve">İlişkili izleme </w:t>
      </w:r>
      <w:hyperlink w:anchor="page312" w:history="1">
        <w:r w:rsidRPr="00460F9E">
          <w:rPr>
            <w:rFonts w:eastAsia="Times New Roman" w:cs="Times New Roman"/>
          </w:rPr>
          <w:t xml:space="preserve">MET 20, </w:t>
        </w:r>
      </w:hyperlink>
      <w:hyperlink w:anchor="page313" w:history="1">
        <w:r w:rsidRPr="00460F9E">
          <w:rPr>
            <w:rFonts w:eastAsia="Times New Roman" w:cs="Times New Roman"/>
          </w:rPr>
          <w:t xml:space="preserve">MET 21 </w:t>
        </w:r>
      </w:hyperlink>
      <w:r w:rsidRPr="00460F9E">
        <w:rPr>
          <w:rFonts w:eastAsia="Times New Roman" w:cs="Times New Roman"/>
        </w:rPr>
        <w:t xml:space="preserve">ve </w:t>
      </w:r>
      <w:hyperlink w:anchor="page314" w:history="1">
        <w:r w:rsidRPr="00460F9E">
          <w:rPr>
            <w:rFonts w:eastAsia="Times New Roman" w:cs="Times New Roman"/>
          </w:rPr>
          <w:t>MET 22’ de verilmiştir.</w:t>
        </w:r>
      </w:hyperlink>
      <w:bookmarkStart w:id="339" w:name="page320"/>
      <w:bookmarkEnd w:id="339"/>
    </w:p>
    <w:p w14:paraId="70BA4A45" w14:textId="77777777" w:rsidR="00A52778" w:rsidRPr="00460F9E" w:rsidRDefault="00A52778" w:rsidP="00A52778">
      <w:pPr>
        <w:spacing w:line="20" w:lineRule="exact"/>
        <w:rPr>
          <w:rFonts w:eastAsia="Times New Roman" w:cs="Times New Roman"/>
          <w:b/>
        </w:rPr>
      </w:pPr>
    </w:p>
    <w:p w14:paraId="35C03FA3" w14:textId="77777777" w:rsidR="00A52778" w:rsidRPr="00460F9E" w:rsidRDefault="00A52778" w:rsidP="00A52778">
      <w:pPr>
        <w:spacing w:line="171" w:lineRule="exact"/>
        <w:rPr>
          <w:rFonts w:eastAsia="Times New Roman" w:cs="Times New Roman"/>
          <w:b/>
        </w:rPr>
      </w:pPr>
    </w:p>
    <w:p w14:paraId="2B5632BF" w14:textId="77777777" w:rsidR="00A52778" w:rsidRPr="00460F9E" w:rsidRDefault="00A52778" w:rsidP="00A52778">
      <w:pPr>
        <w:pStyle w:val="GvdeMetni"/>
        <w:rPr>
          <w:rFonts w:eastAsia="Arial"/>
        </w:rPr>
      </w:pPr>
      <w:r>
        <w:rPr>
          <w:rFonts w:eastAsia="Arial"/>
        </w:rPr>
        <w:t>2</w:t>
      </w:r>
      <w:r w:rsidRPr="00460F9E">
        <w:rPr>
          <w:rFonts w:eastAsia="Arial"/>
        </w:rPr>
        <w:t>.2</w:t>
      </w:r>
      <w:r w:rsidRPr="00460F9E">
        <w:tab/>
      </w:r>
      <w:r w:rsidRPr="00460F9E">
        <w:rPr>
          <w:rFonts w:eastAsia="Arial"/>
        </w:rPr>
        <w:t>Polimerler ve sentetik kauçuklar</w:t>
      </w:r>
    </w:p>
    <w:p w14:paraId="24E59DC2" w14:textId="77777777" w:rsidR="00A52778" w:rsidRPr="00460F9E" w:rsidRDefault="00A52778" w:rsidP="00A52778">
      <w:pPr>
        <w:spacing w:line="251" w:lineRule="exact"/>
        <w:rPr>
          <w:rFonts w:eastAsia="Times New Roman" w:cs="Times New Roman"/>
          <w:b/>
        </w:rPr>
      </w:pPr>
    </w:p>
    <w:p w14:paraId="17E1E330" w14:textId="77777777" w:rsidR="00A52778" w:rsidRPr="00460F9E" w:rsidRDefault="00A52778" w:rsidP="00A52778">
      <w:pPr>
        <w:spacing w:line="0" w:lineRule="atLeast"/>
        <w:ind w:left="120"/>
        <w:rPr>
          <w:rFonts w:eastAsia="Times New Roman" w:cs="Times New Roman"/>
          <w:b/>
        </w:rPr>
      </w:pPr>
      <w:r w:rsidRPr="00460F9E">
        <w:rPr>
          <w:rFonts w:eastAsia="Times New Roman" w:cs="Times New Roman"/>
        </w:rPr>
        <w:t>Bu bölümde sunulan MET sonuçları belirli polimerlerin üretimi için geçerlidir.</w:t>
      </w:r>
    </w:p>
    <w:p w14:paraId="4FD55565" w14:textId="77777777" w:rsidR="00A52778" w:rsidRPr="00460F9E" w:rsidRDefault="00A52778" w:rsidP="00A52778">
      <w:pPr>
        <w:spacing w:line="0" w:lineRule="atLeast"/>
        <w:ind w:left="120"/>
        <w:rPr>
          <w:rFonts w:eastAsia="Times New Roman" w:cs="Times New Roman"/>
          <w:b/>
        </w:rPr>
      </w:pPr>
      <w:r w:rsidRPr="00460F9E">
        <w:rPr>
          <w:rFonts w:eastAsia="Times New Roman" w:cs="Times New Roman"/>
        </w:rPr>
        <w:t xml:space="preserve">Bunlar, .1' de verilen genel MET sonuçlarına ek olarak geçerlidir. </w:t>
      </w:r>
    </w:p>
    <w:p w14:paraId="4639DCEE" w14:textId="77777777" w:rsidR="00A52778" w:rsidRPr="00460F9E" w:rsidRDefault="00A52778" w:rsidP="00A52778">
      <w:pPr>
        <w:spacing w:line="200" w:lineRule="exact"/>
        <w:rPr>
          <w:rFonts w:eastAsia="Times New Roman" w:cs="Times New Roman"/>
          <w:b/>
        </w:rPr>
      </w:pPr>
    </w:p>
    <w:p w14:paraId="34DD7D1D" w14:textId="77777777" w:rsidR="00A52778" w:rsidRPr="00460F9E" w:rsidRDefault="00A52778" w:rsidP="00A52778">
      <w:pPr>
        <w:spacing w:line="312" w:lineRule="exact"/>
        <w:rPr>
          <w:rFonts w:eastAsia="Times New Roman" w:cs="Times New Roman"/>
          <w:b/>
        </w:rPr>
      </w:pPr>
    </w:p>
    <w:p w14:paraId="30159588" w14:textId="77777777" w:rsidR="00A52778" w:rsidRPr="00460F9E" w:rsidRDefault="00A52778" w:rsidP="00A52778">
      <w:pPr>
        <w:pStyle w:val="GvdeMetni"/>
        <w:rPr>
          <w:rFonts w:eastAsia="Arial"/>
        </w:rPr>
      </w:pPr>
      <w:r>
        <w:rPr>
          <w:rFonts w:eastAsia="Arial"/>
        </w:rPr>
        <w:t>2</w:t>
      </w:r>
      <w:r w:rsidRPr="00460F9E">
        <w:rPr>
          <w:rFonts w:eastAsia="Arial"/>
        </w:rPr>
        <w:t>.2.1</w:t>
      </w:r>
      <w:r w:rsidRPr="00460F9E">
        <w:tab/>
      </w:r>
      <w:r w:rsidRPr="00460F9E">
        <w:rPr>
          <w:rFonts w:eastAsia="Arial"/>
        </w:rPr>
        <w:t>Poliolefinlerin üretimi için MET sonuçları</w:t>
      </w:r>
    </w:p>
    <w:p w14:paraId="47164DA2" w14:textId="77777777" w:rsidR="00A52778" w:rsidRPr="00460F9E" w:rsidRDefault="00A52778" w:rsidP="00A52778">
      <w:pPr>
        <w:spacing w:line="304" w:lineRule="exact"/>
        <w:rPr>
          <w:rFonts w:eastAsia="Times New Roman" w:cs="Times New Roman"/>
          <w:b/>
        </w:rPr>
      </w:pPr>
    </w:p>
    <w:p w14:paraId="3DAD27C7" w14:textId="77777777" w:rsidR="00A52778" w:rsidRPr="00460F9E" w:rsidRDefault="00A52778" w:rsidP="00A52778">
      <w:r w:rsidRPr="00460F9E">
        <w:t>MET 24. MET, poliolefin ürünlerdeki TVOC konsantrasyonunu, EN standartlarını uygulayarak, aynı yıl içinde üretilen her bir temsili poliolefin sınıfı için her yıl en az bir kere izlemektir. EN standartlarının mevcut olmaması halinde, MET, eşdeğer bilimsel kalitede verilerin sağlanmasını temin eden ISO, ulusal veya diğer uluslararası standartları kullanacaktır.</w:t>
      </w:r>
    </w:p>
    <w:p w14:paraId="36DBD4A9" w14:textId="77777777" w:rsidR="00A52778" w:rsidRPr="00460F9E" w:rsidRDefault="00A52778" w:rsidP="00A52778">
      <w:pPr>
        <w:spacing w:line="20" w:lineRule="exact"/>
        <w:rPr>
          <w:rFonts w:eastAsia="Times New Roman" w:cs="Times New Roman"/>
          <w:b/>
        </w:rPr>
      </w:pPr>
      <w:r w:rsidRPr="00460F9E">
        <w:rPr>
          <w:rFonts w:eastAsia="Times New Roman" w:cs="Times New Roman"/>
          <w:b/>
          <w:noProof/>
          <w:lang w:val="tr-TR" w:eastAsia="tr-TR"/>
        </w:rPr>
        <mc:AlternateContent>
          <mc:Choice Requires="wps">
            <w:drawing>
              <wp:anchor distT="0" distB="0" distL="114300" distR="114300" simplePos="0" relativeHeight="251684864" behindDoc="1" locked="0" layoutInCell="1" allowOverlap="1" wp14:anchorId="0A856CB2" wp14:editId="3BA7A6A1">
                <wp:simplePos x="0" y="0"/>
                <wp:positionH relativeFrom="column">
                  <wp:posOffset>5534660</wp:posOffset>
                </wp:positionH>
                <wp:positionV relativeFrom="paragraph">
                  <wp:posOffset>346710</wp:posOffset>
                </wp:positionV>
                <wp:extent cx="12065" cy="12700"/>
                <wp:effectExtent l="635" t="0" r="0" b="635"/>
                <wp:wrapNone/>
                <wp:docPr id="73" name="Dikdörtgen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52FBF" id="Dikdörtgen 73" o:spid="_x0000_s1026" style="position:absolute;margin-left:435.8pt;margin-top:27.3pt;width:.95pt;height: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" fillcolor="black" strokecolor="white"/>
            </w:pict>
          </mc:Fallback>
        </mc:AlternateContent>
      </w:r>
    </w:p>
    <w:p w14:paraId="2A7A294B" w14:textId="77777777" w:rsidR="00A52778" w:rsidRPr="00460F9E" w:rsidRDefault="00A52778" w:rsidP="00A52778">
      <w:pPr>
        <w:spacing w:line="200" w:lineRule="exact"/>
        <w:rPr>
          <w:rFonts w:eastAsia="Times New Roman" w:cs="Times New Roman"/>
          <w:b/>
        </w:rPr>
      </w:pPr>
    </w:p>
    <w:p w14:paraId="2B8EEA2E" w14:textId="77777777" w:rsidR="00A52778" w:rsidRPr="00460F9E" w:rsidRDefault="00A52778" w:rsidP="00A52778">
      <w:pPr>
        <w:spacing w:line="312" w:lineRule="exact"/>
        <w:rPr>
          <w:rFonts w:eastAsia="Times New Roman" w:cs="Times New Roman"/>
          <w:b/>
        </w:rPr>
      </w:pPr>
    </w:p>
    <w:tbl>
      <w:tblPr>
        <w:tblW w:w="0" w:type="auto"/>
        <w:tblInd w:w="10" w:type="dxa"/>
        <w:tblLayout w:type="fixed"/>
        <w:tblCellMar>
          <w:left w:w="0" w:type="dxa"/>
          <w:right w:w="0" w:type="dxa"/>
        </w:tblCellMar>
        <w:tblLook w:val="0000" w:firstRow="0" w:lastRow="0" w:firstColumn="0" w:lastColumn="0" w:noHBand="0" w:noVBand="0"/>
      </w:tblPr>
      <w:tblGrid>
        <w:gridCol w:w="3040"/>
        <w:gridCol w:w="2480"/>
        <w:gridCol w:w="3240"/>
      </w:tblGrid>
      <w:tr w:rsidR="00A52778" w:rsidRPr="00460F9E" w14:paraId="2513E579" w14:textId="77777777" w:rsidTr="00FC3F8E">
        <w:trPr>
          <w:trHeight w:val="338"/>
        </w:trPr>
        <w:tc>
          <w:tcPr>
            <w:tcW w:w="3040" w:type="dxa"/>
            <w:tcBorders>
              <w:top w:val="single" w:sz="8" w:space="0" w:color="auto"/>
              <w:left w:val="single" w:sz="8" w:space="0" w:color="auto"/>
              <w:right w:val="single" w:sz="8" w:space="0" w:color="auto"/>
            </w:tcBorders>
            <w:shd w:val="clear" w:color="auto" w:fill="auto"/>
            <w:vAlign w:val="bottom"/>
          </w:tcPr>
          <w:p w14:paraId="24BAA893" w14:textId="77777777" w:rsidR="00A52778" w:rsidRPr="00B568BE" w:rsidRDefault="00A52778" w:rsidP="00FC3F8E">
            <w:pPr>
              <w:spacing w:line="0" w:lineRule="atLeast"/>
              <w:jc w:val="center"/>
              <w:rPr>
                <w:rFonts w:eastAsia="Times New Roman" w:cs="Times New Roman"/>
                <w:w w:val="99"/>
              </w:rPr>
            </w:pPr>
            <w:r w:rsidRPr="00B568BE">
              <w:rPr>
                <w:rFonts w:eastAsia="Times New Roman" w:cs="Times New Roman"/>
                <w:w w:val="99"/>
              </w:rPr>
              <w:t>Poliolefin ürünler</w:t>
            </w:r>
          </w:p>
        </w:tc>
        <w:tc>
          <w:tcPr>
            <w:tcW w:w="2480" w:type="dxa"/>
            <w:tcBorders>
              <w:top w:val="single" w:sz="8" w:space="0" w:color="auto"/>
              <w:right w:val="single" w:sz="8" w:space="0" w:color="auto"/>
            </w:tcBorders>
            <w:shd w:val="clear" w:color="auto" w:fill="auto"/>
            <w:vAlign w:val="bottom"/>
          </w:tcPr>
          <w:p w14:paraId="27E1DC48" w14:textId="77777777" w:rsidR="00A52778" w:rsidRPr="00B568BE" w:rsidRDefault="00A52778" w:rsidP="00FC3F8E">
            <w:pPr>
              <w:spacing w:line="0" w:lineRule="atLeast"/>
              <w:jc w:val="center"/>
              <w:rPr>
                <w:rFonts w:eastAsia="Times New Roman" w:cs="Times New Roman"/>
                <w:w w:val="98"/>
              </w:rPr>
            </w:pPr>
            <w:r w:rsidRPr="00B568BE">
              <w:rPr>
                <w:rFonts w:eastAsia="Times New Roman" w:cs="Times New Roman"/>
                <w:w w:val="98"/>
              </w:rPr>
              <w:t>Standard(lar)</w:t>
            </w:r>
          </w:p>
        </w:tc>
        <w:tc>
          <w:tcPr>
            <w:tcW w:w="3240" w:type="dxa"/>
            <w:tcBorders>
              <w:top w:val="single" w:sz="8" w:space="0" w:color="auto"/>
              <w:right w:val="single" w:sz="8" w:space="0" w:color="auto"/>
            </w:tcBorders>
            <w:shd w:val="clear" w:color="auto" w:fill="auto"/>
            <w:vAlign w:val="bottom"/>
          </w:tcPr>
          <w:p w14:paraId="1ECC7792" w14:textId="77777777" w:rsidR="00A52778" w:rsidRPr="00B568BE" w:rsidRDefault="00A52778" w:rsidP="00FC3F8E">
            <w:pPr>
              <w:spacing w:line="0" w:lineRule="atLeast"/>
              <w:jc w:val="center"/>
              <w:rPr>
                <w:rFonts w:eastAsia="Times New Roman" w:cs="Times New Roman"/>
                <w:w w:val="99"/>
              </w:rPr>
            </w:pPr>
            <w:r w:rsidRPr="00B568BE">
              <w:rPr>
                <w:rFonts w:eastAsia="Times New Roman" w:cs="Times New Roman"/>
                <w:w w:val="99"/>
              </w:rPr>
              <w:t>İlişkili izleme</w:t>
            </w:r>
          </w:p>
        </w:tc>
      </w:tr>
      <w:tr w:rsidR="00A52778" w:rsidRPr="00460F9E" w14:paraId="06955495" w14:textId="77777777" w:rsidTr="00FC3F8E">
        <w:trPr>
          <w:trHeight w:val="100"/>
        </w:trPr>
        <w:tc>
          <w:tcPr>
            <w:tcW w:w="3040" w:type="dxa"/>
            <w:tcBorders>
              <w:left w:val="single" w:sz="8" w:space="0" w:color="auto"/>
              <w:bottom w:val="single" w:sz="8" w:space="0" w:color="auto"/>
              <w:right w:val="single" w:sz="8" w:space="0" w:color="auto"/>
            </w:tcBorders>
            <w:shd w:val="clear" w:color="auto" w:fill="auto"/>
            <w:vAlign w:val="bottom"/>
          </w:tcPr>
          <w:p w14:paraId="075706BC" w14:textId="77777777" w:rsidR="00A52778" w:rsidRPr="00460F9E" w:rsidRDefault="00A52778" w:rsidP="00FC3F8E">
            <w:pPr>
              <w:spacing w:line="0" w:lineRule="atLeast"/>
              <w:rPr>
                <w:rFonts w:eastAsia="Times New Roman" w:cs="Times New Roman"/>
                <w:b/>
                <w:sz w:val="8"/>
              </w:rPr>
            </w:pPr>
          </w:p>
        </w:tc>
        <w:tc>
          <w:tcPr>
            <w:tcW w:w="2480" w:type="dxa"/>
            <w:tcBorders>
              <w:bottom w:val="single" w:sz="8" w:space="0" w:color="auto"/>
              <w:right w:val="single" w:sz="8" w:space="0" w:color="auto"/>
            </w:tcBorders>
            <w:shd w:val="clear" w:color="auto" w:fill="auto"/>
            <w:vAlign w:val="bottom"/>
          </w:tcPr>
          <w:p w14:paraId="30AA217B" w14:textId="77777777" w:rsidR="00A52778" w:rsidRPr="00460F9E" w:rsidRDefault="00A52778" w:rsidP="00FC3F8E">
            <w:pPr>
              <w:spacing w:line="0" w:lineRule="atLeast"/>
              <w:rPr>
                <w:rFonts w:eastAsia="Times New Roman" w:cs="Times New Roman"/>
                <w:b/>
                <w:sz w:val="8"/>
              </w:rPr>
            </w:pPr>
          </w:p>
        </w:tc>
        <w:tc>
          <w:tcPr>
            <w:tcW w:w="3240" w:type="dxa"/>
            <w:tcBorders>
              <w:bottom w:val="single" w:sz="8" w:space="0" w:color="auto"/>
              <w:right w:val="single" w:sz="8" w:space="0" w:color="auto"/>
            </w:tcBorders>
            <w:shd w:val="clear" w:color="auto" w:fill="auto"/>
            <w:vAlign w:val="bottom"/>
          </w:tcPr>
          <w:p w14:paraId="09D33498" w14:textId="77777777" w:rsidR="00A52778" w:rsidRPr="00460F9E" w:rsidRDefault="00A52778" w:rsidP="00FC3F8E">
            <w:pPr>
              <w:spacing w:line="0" w:lineRule="atLeast"/>
              <w:rPr>
                <w:rFonts w:eastAsia="Times New Roman" w:cs="Times New Roman"/>
                <w:b/>
                <w:sz w:val="8"/>
              </w:rPr>
            </w:pPr>
          </w:p>
        </w:tc>
      </w:tr>
      <w:tr w:rsidR="00A52778" w:rsidRPr="00460F9E" w14:paraId="79CEA933" w14:textId="77777777" w:rsidTr="00FC3F8E">
        <w:trPr>
          <w:trHeight w:val="382"/>
        </w:trPr>
        <w:tc>
          <w:tcPr>
            <w:tcW w:w="3040" w:type="dxa"/>
            <w:tcBorders>
              <w:left w:val="single" w:sz="8" w:space="0" w:color="auto"/>
              <w:right w:val="single" w:sz="8" w:space="0" w:color="auto"/>
            </w:tcBorders>
            <w:shd w:val="clear" w:color="auto" w:fill="auto"/>
            <w:vAlign w:val="bottom"/>
          </w:tcPr>
          <w:p w14:paraId="29DA95CC"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HDPE, LDPE, LLDPE</w:t>
            </w:r>
          </w:p>
        </w:tc>
        <w:tc>
          <w:tcPr>
            <w:tcW w:w="2480" w:type="dxa"/>
            <w:tcBorders>
              <w:right w:val="single" w:sz="8" w:space="0" w:color="auto"/>
            </w:tcBorders>
            <w:shd w:val="clear" w:color="auto" w:fill="auto"/>
            <w:vAlign w:val="bottom"/>
          </w:tcPr>
          <w:p w14:paraId="41B17964" w14:textId="77777777" w:rsidR="00A52778" w:rsidRPr="00460F9E" w:rsidRDefault="00A52778" w:rsidP="00FC3F8E">
            <w:pPr>
              <w:spacing w:line="0" w:lineRule="atLeast"/>
              <w:rPr>
                <w:rFonts w:eastAsia="Times New Roman" w:cs="Times New Roman"/>
                <w:b/>
              </w:rPr>
            </w:pPr>
          </w:p>
        </w:tc>
        <w:tc>
          <w:tcPr>
            <w:tcW w:w="3240" w:type="dxa"/>
            <w:tcBorders>
              <w:right w:val="single" w:sz="8" w:space="0" w:color="auto"/>
            </w:tcBorders>
            <w:shd w:val="clear" w:color="auto" w:fill="auto"/>
            <w:vAlign w:val="bottom"/>
          </w:tcPr>
          <w:p w14:paraId="508AD9B4" w14:textId="77777777" w:rsidR="00A52778" w:rsidRPr="00460F9E" w:rsidRDefault="00A52778" w:rsidP="00FC3F8E">
            <w:pPr>
              <w:spacing w:line="0" w:lineRule="atLeast"/>
              <w:rPr>
                <w:rFonts w:eastAsia="Times New Roman" w:cs="Times New Roman"/>
                <w:b/>
              </w:rPr>
            </w:pPr>
          </w:p>
        </w:tc>
      </w:tr>
      <w:tr w:rsidR="00A52778" w:rsidRPr="00460F9E" w14:paraId="290CBD8E" w14:textId="77777777" w:rsidTr="00FC3F8E">
        <w:trPr>
          <w:trHeight w:val="174"/>
        </w:trPr>
        <w:tc>
          <w:tcPr>
            <w:tcW w:w="3040" w:type="dxa"/>
            <w:tcBorders>
              <w:left w:val="single" w:sz="8" w:space="0" w:color="auto"/>
              <w:bottom w:val="single" w:sz="8" w:space="0" w:color="auto"/>
              <w:right w:val="single" w:sz="8" w:space="0" w:color="auto"/>
            </w:tcBorders>
            <w:shd w:val="clear" w:color="auto" w:fill="auto"/>
            <w:vAlign w:val="bottom"/>
          </w:tcPr>
          <w:p w14:paraId="083E0F6E" w14:textId="77777777" w:rsidR="00A52778" w:rsidRPr="00460F9E" w:rsidRDefault="00A52778" w:rsidP="00FC3F8E">
            <w:pPr>
              <w:spacing w:line="0" w:lineRule="atLeast"/>
              <w:rPr>
                <w:rFonts w:eastAsia="Times New Roman" w:cs="Times New Roman"/>
                <w:b/>
                <w:sz w:val="15"/>
              </w:rPr>
            </w:pPr>
          </w:p>
        </w:tc>
        <w:tc>
          <w:tcPr>
            <w:tcW w:w="2480" w:type="dxa"/>
            <w:tcBorders>
              <w:right w:val="single" w:sz="8" w:space="0" w:color="auto"/>
            </w:tcBorders>
            <w:shd w:val="clear" w:color="auto" w:fill="auto"/>
            <w:vAlign w:val="bottom"/>
          </w:tcPr>
          <w:p w14:paraId="4FE292DA" w14:textId="77777777" w:rsidR="00A52778" w:rsidRPr="00460F9E" w:rsidRDefault="00A52778" w:rsidP="00FC3F8E">
            <w:pPr>
              <w:spacing w:line="0" w:lineRule="atLeast"/>
              <w:rPr>
                <w:rFonts w:eastAsia="Times New Roman" w:cs="Times New Roman"/>
                <w:b/>
                <w:sz w:val="15"/>
              </w:rPr>
            </w:pPr>
          </w:p>
        </w:tc>
        <w:tc>
          <w:tcPr>
            <w:tcW w:w="3240" w:type="dxa"/>
            <w:vMerge w:val="restart"/>
            <w:tcBorders>
              <w:right w:val="single" w:sz="8" w:space="0" w:color="auto"/>
            </w:tcBorders>
            <w:shd w:val="clear" w:color="auto" w:fill="auto"/>
            <w:vAlign w:val="bottom"/>
          </w:tcPr>
          <w:p w14:paraId="42288F42" w14:textId="77777777" w:rsidR="00A52778" w:rsidRPr="00460F9E" w:rsidRDefault="002A1746" w:rsidP="00FC3F8E">
            <w:pPr>
              <w:spacing w:line="0" w:lineRule="atLeast"/>
              <w:jc w:val="center"/>
              <w:rPr>
                <w:rFonts w:eastAsia="Times New Roman" w:cs="Times New Roman"/>
                <w:b/>
              </w:rPr>
            </w:pPr>
            <w:hyperlink w:anchor="page295" w:history="1">
              <w:r w:rsidR="00A52778" w:rsidRPr="00460F9E">
                <w:rPr>
                  <w:rFonts w:eastAsia="Times New Roman" w:cs="Times New Roman"/>
                </w:rPr>
                <w:t xml:space="preserve">MET 2, </w:t>
              </w:r>
            </w:hyperlink>
            <w:hyperlink w:anchor="page312" w:history="1">
              <w:r w:rsidR="00A52778" w:rsidRPr="00460F9E">
                <w:rPr>
                  <w:rFonts w:eastAsia="Times New Roman" w:cs="Times New Roman"/>
                </w:rPr>
                <w:t>MET 20,</w:t>
              </w:r>
            </w:hyperlink>
          </w:p>
        </w:tc>
      </w:tr>
      <w:tr w:rsidR="00A52778" w:rsidRPr="00460F9E" w14:paraId="4043C50E" w14:textId="77777777" w:rsidTr="00FC3F8E">
        <w:trPr>
          <w:trHeight w:val="436"/>
        </w:trPr>
        <w:tc>
          <w:tcPr>
            <w:tcW w:w="3040" w:type="dxa"/>
            <w:vMerge w:val="restart"/>
            <w:tcBorders>
              <w:left w:val="single" w:sz="8" w:space="0" w:color="auto"/>
              <w:right w:val="single" w:sz="8" w:space="0" w:color="auto"/>
            </w:tcBorders>
            <w:shd w:val="clear" w:color="auto" w:fill="auto"/>
            <w:vAlign w:val="bottom"/>
          </w:tcPr>
          <w:p w14:paraId="68D0BD9C" w14:textId="77777777" w:rsidR="00A52778" w:rsidRPr="00460F9E" w:rsidRDefault="00A52778" w:rsidP="00FC3F8E">
            <w:pPr>
              <w:spacing w:line="0" w:lineRule="atLeast"/>
              <w:jc w:val="center"/>
              <w:rPr>
                <w:rFonts w:eastAsia="Times New Roman" w:cs="Times New Roman"/>
                <w:b/>
                <w:w w:val="98"/>
              </w:rPr>
            </w:pPr>
            <w:r w:rsidRPr="00460F9E">
              <w:rPr>
                <w:rFonts w:eastAsia="Times New Roman" w:cs="Times New Roman"/>
                <w:w w:val="98"/>
              </w:rPr>
              <w:t>PP</w:t>
            </w:r>
          </w:p>
        </w:tc>
        <w:tc>
          <w:tcPr>
            <w:tcW w:w="2480" w:type="dxa"/>
            <w:vMerge w:val="restart"/>
            <w:tcBorders>
              <w:right w:val="single" w:sz="8" w:space="0" w:color="auto"/>
            </w:tcBorders>
            <w:shd w:val="clear" w:color="auto" w:fill="auto"/>
            <w:vAlign w:val="bottom"/>
          </w:tcPr>
          <w:p w14:paraId="2B06FF63"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EN standardı mevcut değil</w:t>
            </w:r>
          </w:p>
        </w:tc>
        <w:tc>
          <w:tcPr>
            <w:tcW w:w="3240" w:type="dxa"/>
            <w:vMerge/>
            <w:tcBorders>
              <w:right w:val="single" w:sz="8" w:space="0" w:color="auto"/>
            </w:tcBorders>
            <w:shd w:val="clear" w:color="auto" w:fill="auto"/>
            <w:vAlign w:val="bottom"/>
          </w:tcPr>
          <w:p w14:paraId="46803A27" w14:textId="77777777" w:rsidR="00A52778" w:rsidRPr="00460F9E" w:rsidRDefault="00A52778" w:rsidP="00FC3F8E">
            <w:pPr>
              <w:spacing w:line="0" w:lineRule="atLeast"/>
              <w:rPr>
                <w:rFonts w:eastAsia="Times New Roman" w:cs="Times New Roman"/>
                <w:b/>
                <w:sz w:val="23"/>
              </w:rPr>
            </w:pPr>
          </w:p>
        </w:tc>
      </w:tr>
      <w:tr w:rsidR="00A52778" w:rsidRPr="00460F9E" w14:paraId="6990007F" w14:textId="77777777" w:rsidTr="00FC3F8E">
        <w:trPr>
          <w:trHeight w:val="275"/>
        </w:trPr>
        <w:tc>
          <w:tcPr>
            <w:tcW w:w="3040" w:type="dxa"/>
            <w:vMerge/>
            <w:tcBorders>
              <w:left w:val="single" w:sz="8" w:space="0" w:color="auto"/>
              <w:right w:val="single" w:sz="8" w:space="0" w:color="auto"/>
            </w:tcBorders>
            <w:shd w:val="clear" w:color="auto" w:fill="auto"/>
            <w:vAlign w:val="bottom"/>
          </w:tcPr>
          <w:p w14:paraId="02EB9098" w14:textId="77777777" w:rsidR="00A52778" w:rsidRPr="00460F9E" w:rsidRDefault="00A52778" w:rsidP="00FC3F8E">
            <w:pPr>
              <w:spacing w:line="0" w:lineRule="atLeast"/>
              <w:rPr>
                <w:rFonts w:eastAsia="Times New Roman" w:cs="Times New Roman"/>
                <w:b/>
                <w:sz w:val="10"/>
              </w:rPr>
            </w:pPr>
          </w:p>
        </w:tc>
        <w:tc>
          <w:tcPr>
            <w:tcW w:w="2480" w:type="dxa"/>
            <w:vMerge/>
            <w:tcBorders>
              <w:right w:val="single" w:sz="8" w:space="0" w:color="auto"/>
            </w:tcBorders>
            <w:shd w:val="clear" w:color="auto" w:fill="auto"/>
            <w:vAlign w:val="bottom"/>
          </w:tcPr>
          <w:p w14:paraId="2216B6EA" w14:textId="77777777" w:rsidR="00A52778" w:rsidRPr="00460F9E" w:rsidRDefault="00A52778" w:rsidP="00FC3F8E">
            <w:pPr>
              <w:spacing w:line="0" w:lineRule="atLeast"/>
              <w:rPr>
                <w:rFonts w:eastAsia="Times New Roman" w:cs="Times New Roman"/>
                <w:b/>
                <w:sz w:val="10"/>
              </w:rPr>
            </w:pPr>
          </w:p>
        </w:tc>
        <w:tc>
          <w:tcPr>
            <w:tcW w:w="3240" w:type="dxa"/>
            <w:vMerge w:val="restart"/>
            <w:tcBorders>
              <w:right w:val="single" w:sz="8" w:space="0" w:color="auto"/>
            </w:tcBorders>
            <w:shd w:val="clear" w:color="auto" w:fill="auto"/>
            <w:vAlign w:val="bottom"/>
          </w:tcPr>
          <w:p w14:paraId="5C74027B" w14:textId="77777777" w:rsidR="00A52778" w:rsidRPr="00460F9E" w:rsidRDefault="002A1746" w:rsidP="00FC3F8E">
            <w:pPr>
              <w:spacing w:line="228" w:lineRule="exact"/>
              <w:jc w:val="center"/>
              <w:rPr>
                <w:rFonts w:eastAsia="Times New Roman" w:cs="Times New Roman"/>
                <w:b/>
              </w:rPr>
            </w:pPr>
            <w:hyperlink w:anchor="page321" w:history="1">
              <w:r w:rsidR="00A52778" w:rsidRPr="00460F9E">
                <w:rPr>
                  <w:rFonts w:eastAsia="Times New Roman" w:cs="Times New Roman"/>
                </w:rPr>
                <w:t>MET 25</w:t>
              </w:r>
            </w:hyperlink>
          </w:p>
        </w:tc>
      </w:tr>
      <w:tr w:rsidR="00A52778" w:rsidRPr="00460F9E" w14:paraId="30B39122" w14:textId="77777777" w:rsidTr="00FC3F8E">
        <w:trPr>
          <w:trHeight w:val="113"/>
        </w:trPr>
        <w:tc>
          <w:tcPr>
            <w:tcW w:w="3040" w:type="dxa"/>
            <w:tcBorders>
              <w:left w:val="single" w:sz="8" w:space="0" w:color="auto"/>
              <w:right w:val="single" w:sz="8" w:space="0" w:color="auto"/>
            </w:tcBorders>
            <w:shd w:val="clear" w:color="auto" w:fill="auto"/>
            <w:vAlign w:val="bottom"/>
          </w:tcPr>
          <w:p w14:paraId="547003D8" w14:textId="77777777" w:rsidR="00A52778" w:rsidRPr="00460F9E" w:rsidRDefault="00A52778" w:rsidP="00FC3F8E">
            <w:pPr>
              <w:spacing w:line="0" w:lineRule="atLeast"/>
              <w:rPr>
                <w:rFonts w:eastAsia="Times New Roman" w:cs="Times New Roman"/>
                <w:b/>
                <w:sz w:val="9"/>
              </w:rPr>
            </w:pPr>
          </w:p>
        </w:tc>
        <w:tc>
          <w:tcPr>
            <w:tcW w:w="2480" w:type="dxa"/>
            <w:tcBorders>
              <w:right w:val="single" w:sz="8" w:space="0" w:color="auto"/>
            </w:tcBorders>
            <w:shd w:val="clear" w:color="auto" w:fill="auto"/>
            <w:vAlign w:val="bottom"/>
          </w:tcPr>
          <w:p w14:paraId="68504B09" w14:textId="77777777" w:rsidR="00A52778" w:rsidRPr="00460F9E" w:rsidRDefault="00A52778" w:rsidP="00FC3F8E">
            <w:pPr>
              <w:spacing w:line="0" w:lineRule="atLeast"/>
              <w:rPr>
                <w:rFonts w:eastAsia="Times New Roman" w:cs="Times New Roman"/>
                <w:b/>
                <w:sz w:val="9"/>
              </w:rPr>
            </w:pPr>
          </w:p>
        </w:tc>
        <w:tc>
          <w:tcPr>
            <w:tcW w:w="3240" w:type="dxa"/>
            <w:vMerge/>
            <w:tcBorders>
              <w:right w:val="single" w:sz="8" w:space="0" w:color="auto"/>
            </w:tcBorders>
            <w:shd w:val="clear" w:color="auto" w:fill="auto"/>
            <w:vAlign w:val="bottom"/>
          </w:tcPr>
          <w:p w14:paraId="6B5B82BE" w14:textId="77777777" w:rsidR="00A52778" w:rsidRPr="00460F9E" w:rsidRDefault="00A52778" w:rsidP="00FC3F8E">
            <w:pPr>
              <w:spacing w:line="0" w:lineRule="atLeast"/>
              <w:rPr>
                <w:rFonts w:eastAsia="Times New Roman" w:cs="Times New Roman"/>
                <w:b/>
                <w:sz w:val="9"/>
              </w:rPr>
            </w:pPr>
          </w:p>
        </w:tc>
      </w:tr>
      <w:tr w:rsidR="00A52778" w:rsidRPr="00460F9E" w14:paraId="5C8CEDE5" w14:textId="77777777" w:rsidTr="00FC3F8E">
        <w:trPr>
          <w:trHeight w:val="61"/>
        </w:trPr>
        <w:tc>
          <w:tcPr>
            <w:tcW w:w="3040" w:type="dxa"/>
            <w:tcBorders>
              <w:left w:val="single" w:sz="8" w:space="0" w:color="auto"/>
              <w:bottom w:val="single" w:sz="8" w:space="0" w:color="auto"/>
              <w:right w:val="single" w:sz="8" w:space="0" w:color="auto"/>
            </w:tcBorders>
            <w:shd w:val="clear" w:color="auto" w:fill="auto"/>
            <w:vAlign w:val="bottom"/>
          </w:tcPr>
          <w:p w14:paraId="73D3A495" w14:textId="77777777" w:rsidR="00A52778" w:rsidRPr="00460F9E" w:rsidRDefault="00A52778" w:rsidP="00FC3F8E">
            <w:pPr>
              <w:spacing w:line="0" w:lineRule="atLeast"/>
              <w:rPr>
                <w:rFonts w:eastAsia="Times New Roman" w:cs="Times New Roman"/>
                <w:b/>
                <w:sz w:val="5"/>
              </w:rPr>
            </w:pPr>
          </w:p>
        </w:tc>
        <w:tc>
          <w:tcPr>
            <w:tcW w:w="2480" w:type="dxa"/>
            <w:tcBorders>
              <w:right w:val="single" w:sz="8" w:space="0" w:color="auto"/>
            </w:tcBorders>
            <w:shd w:val="clear" w:color="auto" w:fill="auto"/>
            <w:vAlign w:val="bottom"/>
          </w:tcPr>
          <w:p w14:paraId="195DE32A" w14:textId="77777777" w:rsidR="00A52778" w:rsidRPr="00460F9E" w:rsidRDefault="00A52778" w:rsidP="00FC3F8E">
            <w:pPr>
              <w:spacing w:line="0" w:lineRule="atLeast"/>
              <w:rPr>
                <w:rFonts w:eastAsia="Times New Roman" w:cs="Times New Roman"/>
                <w:b/>
                <w:sz w:val="5"/>
              </w:rPr>
            </w:pPr>
          </w:p>
        </w:tc>
        <w:tc>
          <w:tcPr>
            <w:tcW w:w="3240" w:type="dxa"/>
            <w:tcBorders>
              <w:right w:val="single" w:sz="8" w:space="0" w:color="auto"/>
            </w:tcBorders>
            <w:shd w:val="clear" w:color="auto" w:fill="auto"/>
            <w:vAlign w:val="bottom"/>
          </w:tcPr>
          <w:p w14:paraId="41E07FA0" w14:textId="77777777" w:rsidR="00A52778" w:rsidRPr="00460F9E" w:rsidRDefault="00A52778" w:rsidP="00FC3F8E">
            <w:pPr>
              <w:spacing w:line="0" w:lineRule="atLeast"/>
              <w:rPr>
                <w:rFonts w:eastAsia="Times New Roman" w:cs="Times New Roman"/>
                <w:b/>
                <w:sz w:val="5"/>
              </w:rPr>
            </w:pPr>
          </w:p>
        </w:tc>
      </w:tr>
      <w:tr w:rsidR="00A52778" w:rsidRPr="00460F9E" w14:paraId="472183B4" w14:textId="77777777" w:rsidTr="00FC3F8E">
        <w:trPr>
          <w:trHeight w:val="382"/>
        </w:trPr>
        <w:tc>
          <w:tcPr>
            <w:tcW w:w="3040" w:type="dxa"/>
            <w:tcBorders>
              <w:left w:val="single" w:sz="8" w:space="0" w:color="auto"/>
              <w:right w:val="single" w:sz="8" w:space="0" w:color="auto"/>
            </w:tcBorders>
            <w:shd w:val="clear" w:color="auto" w:fill="auto"/>
            <w:vAlign w:val="bottom"/>
          </w:tcPr>
          <w:p w14:paraId="258F630D"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EPS, GPPS, HIPS</w:t>
            </w:r>
          </w:p>
        </w:tc>
        <w:tc>
          <w:tcPr>
            <w:tcW w:w="2480" w:type="dxa"/>
            <w:tcBorders>
              <w:right w:val="single" w:sz="8" w:space="0" w:color="auto"/>
            </w:tcBorders>
            <w:shd w:val="clear" w:color="auto" w:fill="auto"/>
            <w:vAlign w:val="bottom"/>
          </w:tcPr>
          <w:p w14:paraId="08D7C30A" w14:textId="77777777" w:rsidR="00A52778" w:rsidRPr="00460F9E" w:rsidRDefault="00A52778" w:rsidP="00FC3F8E">
            <w:pPr>
              <w:spacing w:line="0" w:lineRule="atLeast"/>
              <w:rPr>
                <w:rFonts w:eastAsia="Times New Roman" w:cs="Times New Roman"/>
                <w:b/>
              </w:rPr>
            </w:pPr>
          </w:p>
        </w:tc>
        <w:tc>
          <w:tcPr>
            <w:tcW w:w="3240" w:type="dxa"/>
            <w:tcBorders>
              <w:right w:val="single" w:sz="8" w:space="0" w:color="auto"/>
            </w:tcBorders>
            <w:shd w:val="clear" w:color="auto" w:fill="auto"/>
            <w:vAlign w:val="bottom"/>
          </w:tcPr>
          <w:p w14:paraId="58621DE3" w14:textId="77777777" w:rsidR="00A52778" w:rsidRPr="00460F9E" w:rsidRDefault="00A52778" w:rsidP="00FC3F8E">
            <w:pPr>
              <w:spacing w:line="0" w:lineRule="atLeast"/>
              <w:rPr>
                <w:rFonts w:eastAsia="Times New Roman" w:cs="Times New Roman"/>
                <w:b/>
              </w:rPr>
            </w:pPr>
          </w:p>
        </w:tc>
      </w:tr>
      <w:tr w:rsidR="00A52778" w:rsidRPr="00460F9E" w14:paraId="5408E03A" w14:textId="77777777" w:rsidTr="00FC3F8E">
        <w:trPr>
          <w:trHeight w:val="174"/>
        </w:trPr>
        <w:tc>
          <w:tcPr>
            <w:tcW w:w="3040" w:type="dxa"/>
            <w:tcBorders>
              <w:left w:val="single" w:sz="8" w:space="0" w:color="auto"/>
              <w:bottom w:val="single" w:sz="8" w:space="0" w:color="auto"/>
              <w:right w:val="single" w:sz="8" w:space="0" w:color="auto"/>
            </w:tcBorders>
            <w:shd w:val="clear" w:color="auto" w:fill="auto"/>
            <w:vAlign w:val="bottom"/>
          </w:tcPr>
          <w:p w14:paraId="6BC65BFE" w14:textId="77777777" w:rsidR="00A52778" w:rsidRPr="00460F9E" w:rsidRDefault="00A52778" w:rsidP="00FC3F8E">
            <w:pPr>
              <w:spacing w:line="0" w:lineRule="atLeast"/>
              <w:rPr>
                <w:rFonts w:eastAsia="Times New Roman" w:cs="Times New Roman"/>
                <w:b/>
                <w:sz w:val="15"/>
              </w:rPr>
            </w:pPr>
          </w:p>
        </w:tc>
        <w:tc>
          <w:tcPr>
            <w:tcW w:w="2480" w:type="dxa"/>
            <w:tcBorders>
              <w:bottom w:val="single" w:sz="8" w:space="0" w:color="auto"/>
              <w:right w:val="single" w:sz="8" w:space="0" w:color="auto"/>
            </w:tcBorders>
            <w:shd w:val="clear" w:color="auto" w:fill="auto"/>
            <w:vAlign w:val="bottom"/>
          </w:tcPr>
          <w:p w14:paraId="33C403AE" w14:textId="77777777" w:rsidR="00A52778" w:rsidRPr="00460F9E" w:rsidRDefault="00A52778" w:rsidP="00FC3F8E">
            <w:pPr>
              <w:spacing w:line="0" w:lineRule="atLeast"/>
              <w:rPr>
                <w:rFonts w:eastAsia="Times New Roman" w:cs="Times New Roman"/>
                <w:b/>
                <w:sz w:val="15"/>
              </w:rPr>
            </w:pPr>
          </w:p>
        </w:tc>
        <w:tc>
          <w:tcPr>
            <w:tcW w:w="3240" w:type="dxa"/>
            <w:tcBorders>
              <w:bottom w:val="single" w:sz="8" w:space="0" w:color="auto"/>
              <w:right w:val="single" w:sz="8" w:space="0" w:color="auto"/>
            </w:tcBorders>
            <w:shd w:val="clear" w:color="auto" w:fill="auto"/>
            <w:vAlign w:val="bottom"/>
          </w:tcPr>
          <w:p w14:paraId="01CDECFA" w14:textId="77777777" w:rsidR="00A52778" w:rsidRPr="00460F9E" w:rsidRDefault="00A52778" w:rsidP="00FC3F8E">
            <w:pPr>
              <w:spacing w:line="0" w:lineRule="atLeast"/>
              <w:rPr>
                <w:rFonts w:eastAsia="Times New Roman" w:cs="Times New Roman"/>
                <w:b/>
                <w:sz w:val="15"/>
              </w:rPr>
            </w:pPr>
          </w:p>
        </w:tc>
      </w:tr>
    </w:tbl>
    <w:p w14:paraId="738EEDC2" w14:textId="77777777" w:rsidR="00A52778" w:rsidRPr="00460F9E" w:rsidRDefault="00A52778" w:rsidP="00A52778">
      <w:pPr>
        <w:spacing w:line="200" w:lineRule="exact"/>
        <w:rPr>
          <w:rFonts w:eastAsia="Times New Roman" w:cs="Times New Roman"/>
          <w:b/>
        </w:rPr>
      </w:pPr>
    </w:p>
    <w:p w14:paraId="4D441068" w14:textId="77777777" w:rsidR="00A52778" w:rsidRPr="00460F9E" w:rsidRDefault="00A52778" w:rsidP="00A52778">
      <w:pPr>
        <w:spacing w:line="303" w:lineRule="exact"/>
        <w:rPr>
          <w:rFonts w:eastAsia="Times New Roman" w:cs="Times New Roman"/>
          <w:b/>
        </w:rPr>
      </w:pPr>
    </w:p>
    <w:p w14:paraId="47363308" w14:textId="77777777" w:rsidR="00A52778" w:rsidRPr="00B568BE" w:rsidRDefault="00A52778" w:rsidP="00A52778">
      <w:pPr>
        <w:spacing w:line="0" w:lineRule="atLeast"/>
        <w:ind w:left="120"/>
        <w:rPr>
          <w:rFonts w:eastAsia="Times New Roman" w:cs="Times New Roman"/>
        </w:rPr>
      </w:pPr>
      <w:r w:rsidRPr="00B568BE">
        <w:rPr>
          <w:rFonts w:eastAsia="Times New Roman" w:cs="Times New Roman"/>
        </w:rPr>
        <w:t>Not</w:t>
      </w:r>
    </w:p>
    <w:p w14:paraId="05509E2A" w14:textId="77777777" w:rsidR="00A52778" w:rsidRPr="00460F9E" w:rsidRDefault="00A52778" w:rsidP="00A52778">
      <w:pPr>
        <w:spacing w:line="8" w:lineRule="exact"/>
        <w:rPr>
          <w:rFonts w:eastAsia="Times New Roman" w:cs="Times New Roman"/>
          <w:b/>
        </w:rPr>
      </w:pPr>
    </w:p>
    <w:p w14:paraId="00D06616" w14:textId="77777777" w:rsidR="00A52778" w:rsidRPr="00460F9E" w:rsidRDefault="00A52778" w:rsidP="00A52778">
      <w:pPr>
        <w:spacing w:line="234" w:lineRule="auto"/>
        <w:ind w:left="120" w:right="826"/>
        <w:rPr>
          <w:rFonts w:eastAsia="Times New Roman" w:cs="Times New Roman"/>
          <w:b/>
        </w:rPr>
      </w:pPr>
      <w:r w:rsidRPr="00460F9E">
        <w:rPr>
          <w:rFonts w:eastAsia="Times New Roman" w:cs="Times New Roman"/>
        </w:rPr>
        <w:t>Ölçüm numuneleri, poliolefinin atmosferle temas ettiği kapalı sistemden açık sisteme geçiş noktasında alınır.</w:t>
      </w:r>
    </w:p>
    <w:p w14:paraId="55E90FA4" w14:textId="77777777" w:rsidR="00A52778" w:rsidRPr="00460F9E" w:rsidRDefault="00A52778" w:rsidP="00A52778">
      <w:pPr>
        <w:spacing w:line="265" w:lineRule="exact"/>
        <w:rPr>
          <w:rFonts w:eastAsia="Times New Roman" w:cs="Times New Roman"/>
          <w:b/>
        </w:rPr>
      </w:pPr>
    </w:p>
    <w:p w14:paraId="6909E284" w14:textId="77777777" w:rsidR="00A52778" w:rsidRPr="00460F9E" w:rsidRDefault="00A52778" w:rsidP="00A52778">
      <w:pPr>
        <w:spacing w:line="236" w:lineRule="auto"/>
        <w:ind w:left="120" w:right="826"/>
        <w:rPr>
          <w:rFonts w:eastAsia="Times New Roman" w:cs="Times New Roman"/>
          <w:b/>
        </w:rPr>
      </w:pPr>
      <w:r w:rsidRPr="00460F9E">
        <w:rPr>
          <w:rFonts w:eastAsia="Times New Roman" w:cs="Times New Roman"/>
        </w:rPr>
        <w:t>Kapalı sistem, üretim sürecinde, malzemelerin (örn. reaktanlar, solventler, süspansiyon ajanları) atmosferle temas etmediği kısmlarını ifade eder. Polimerizasyon adımlarını, malzemelerin yeniden kullanımını ve geri kazanımını içerir.</w:t>
      </w:r>
    </w:p>
    <w:p w14:paraId="3B43C263" w14:textId="77777777" w:rsidR="00A52778" w:rsidRPr="00460F9E" w:rsidRDefault="00A52778" w:rsidP="00A52778">
      <w:pPr>
        <w:spacing w:line="236" w:lineRule="auto"/>
        <w:ind w:left="120" w:right="826"/>
        <w:rPr>
          <w:rFonts w:eastAsia="Times New Roman" w:cs="Times New Roman"/>
          <w:b/>
        </w:rPr>
      </w:pPr>
    </w:p>
    <w:p w14:paraId="3185210A" w14:textId="77777777" w:rsidR="00A52778" w:rsidRPr="00460F9E" w:rsidRDefault="00A52778" w:rsidP="00A52778">
      <w:pPr>
        <w:spacing w:line="236" w:lineRule="auto"/>
        <w:ind w:left="120" w:right="826"/>
        <w:rPr>
          <w:rFonts w:eastAsia="Times New Roman" w:cs="Times New Roman"/>
          <w:b/>
        </w:rPr>
      </w:pPr>
      <w:r w:rsidRPr="00460F9E">
        <w:rPr>
          <w:rFonts w:eastAsia="Times New Roman" w:cs="Times New Roman"/>
        </w:rPr>
        <w:t>Açık sistem, poliolefinlerin atmosferle temas ettiği üretim sürecinin bir kısmını ifade eder. Poliolefinlerin aktarılması, taşınması ve depolanmasının yanı sıra son işlem adımlarını (örn. kurutma, harmanlama) içerir.</w:t>
      </w:r>
    </w:p>
    <w:p w14:paraId="5B5144A3" w14:textId="77777777" w:rsidR="00A52778" w:rsidRPr="00460F9E" w:rsidRDefault="00A52778" w:rsidP="00A52778">
      <w:pPr>
        <w:spacing w:line="267" w:lineRule="exact"/>
        <w:rPr>
          <w:rFonts w:eastAsia="Times New Roman" w:cs="Times New Roman"/>
          <w:b/>
        </w:rPr>
      </w:pPr>
    </w:p>
    <w:p w14:paraId="57C31068" w14:textId="77777777" w:rsidR="00A52778" w:rsidRPr="00460F9E" w:rsidRDefault="00A52778" w:rsidP="00A52778">
      <w:pPr>
        <w:spacing w:line="234" w:lineRule="auto"/>
        <w:ind w:left="120" w:right="826"/>
        <w:rPr>
          <w:rFonts w:eastAsia="Times New Roman" w:cs="Times New Roman"/>
          <w:b/>
        </w:rPr>
      </w:pPr>
      <w:r w:rsidRPr="00460F9E">
        <w:rPr>
          <w:rFonts w:eastAsia="Times New Roman" w:cs="Times New Roman"/>
        </w:rPr>
        <w:t>Açık ve kapalı sistem arasındaki geçiş noktası net olarak belirlenemediğinde, ölçüm numuneleri uygun bir noktadan alınır.</w:t>
      </w:r>
    </w:p>
    <w:p w14:paraId="715954E6" w14:textId="77777777" w:rsidR="00A52778" w:rsidRPr="00460F9E" w:rsidRDefault="00A52778" w:rsidP="00A52778">
      <w:pPr>
        <w:spacing w:line="258" w:lineRule="exact"/>
        <w:rPr>
          <w:rFonts w:eastAsia="Times New Roman" w:cs="Times New Roman"/>
          <w:b/>
        </w:rPr>
      </w:pPr>
    </w:p>
    <w:p w14:paraId="0B1AE3B5" w14:textId="77777777" w:rsidR="00A52778" w:rsidRPr="00B568BE" w:rsidRDefault="00A52778" w:rsidP="00A52778">
      <w:pPr>
        <w:spacing w:line="0" w:lineRule="atLeast"/>
        <w:ind w:left="120"/>
        <w:rPr>
          <w:rFonts w:eastAsia="Times New Roman" w:cs="Times New Roman"/>
        </w:rPr>
      </w:pPr>
      <w:r w:rsidRPr="00B568BE">
        <w:rPr>
          <w:rFonts w:eastAsia="Times New Roman" w:cs="Times New Roman"/>
        </w:rPr>
        <w:t>Uygulanabilirlik</w:t>
      </w:r>
    </w:p>
    <w:p w14:paraId="219E5CD0" w14:textId="77777777" w:rsidR="00A52778" w:rsidRPr="00460F9E" w:rsidRDefault="00A52778" w:rsidP="00A52778">
      <w:pPr>
        <w:spacing w:line="236" w:lineRule="auto"/>
        <w:ind w:left="120"/>
        <w:rPr>
          <w:rFonts w:eastAsia="Times New Roman" w:cs="Times New Roman"/>
          <w:b/>
        </w:rPr>
      </w:pPr>
      <w:r w:rsidRPr="00460F9E">
        <w:rPr>
          <w:rFonts w:eastAsia="Times New Roman" w:cs="Times New Roman"/>
        </w:rPr>
        <w:t>Ölçümler, sadece, kapalı bir sistemden ibaret üretim prosesleri için geçerli değildir.</w:t>
      </w:r>
    </w:p>
    <w:p w14:paraId="535B6B08" w14:textId="77777777" w:rsidR="00A52778" w:rsidRPr="00460F9E" w:rsidRDefault="00A52778" w:rsidP="00A52778">
      <w:pPr>
        <w:spacing w:line="20" w:lineRule="exact"/>
        <w:rPr>
          <w:rFonts w:eastAsia="Times New Roman" w:cs="Times New Roman"/>
          <w:b/>
        </w:rPr>
      </w:pPr>
    </w:p>
    <w:p w14:paraId="7525F914" w14:textId="77777777" w:rsidR="00A52778" w:rsidRPr="00460F9E" w:rsidRDefault="00A52778" w:rsidP="00A52778">
      <w:pPr>
        <w:spacing w:line="20" w:lineRule="exact"/>
        <w:rPr>
          <w:rFonts w:eastAsia="Times New Roman" w:cs="Times New Roman"/>
          <w:b/>
        </w:rPr>
        <w:sectPr w:rsidR="00A52778" w:rsidRPr="00460F9E">
          <w:pgSz w:w="11900" w:h="16838"/>
          <w:pgMar w:top="707" w:right="1440" w:bottom="145" w:left="1020" w:header="0" w:footer="0" w:gutter="0"/>
          <w:cols w:space="0" w:equalWidth="0">
            <w:col w:w="9446"/>
          </w:cols>
          <w:docGrid w:linePitch="360"/>
        </w:sectPr>
      </w:pPr>
    </w:p>
    <w:p w14:paraId="4CD1790A" w14:textId="77777777" w:rsidR="00A52778" w:rsidRPr="00460F9E" w:rsidRDefault="00A52778" w:rsidP="00A52778">
      <w:pPr>
        <w:spacing w:line="200" w:lineRule="exact"/>
        <w:rPr>
          <w:rFonts w:eastAsia="Times New Roman" w:cs="Times New Roman"/>
          <w:b/>
        </w:rPr>
      </w:pPr>
    </w:p>
    <w:p w14:paraId="1B1D4961" w14:textId="77777777" w:rsidR="00A52778" w:rsidRPr="00B568BE" w:rsidRDefault="00A52778" w:rsidP="00A52778">
      <w:pPr>
        <w:spacing w:line="234" w:lineRule="auto"/>
        <w:ind w:right="120"/>
        <w:rPr>
          <w:rFonts w:eastAsia="Times New Roman" w:cs="Times New Roman"/>
        </w:rPr>
      </w:pPr>
      <w:bookmarkStart w:id="340" w:name="page321"/>
      <w:bookmarkEnd w:id="340"/>
      <w:r>
        <w:rPr>
          <w:rFonts w:eastAsia="Times New Roman" w:cs="Times New Roman"/>
        </w:rPr>
        <w:t>MET 25:</w:t>
      </w:r>
      <w:r w:rsidRPr="00B568BE">
        <w:rPr>
          <w:rFonts w:eastAsia="Times New Roman" w:cs="Times New Roman"/>
        </w:rPr>
        <w:t xml:space="preserve"> Kaynak verimini artırmak ve organik bileşiklerin havaya salınımını azaltmak için MET, uygulanabilir olduğu ölçüde aşağıda verilen tekniklerin tümünü kullanmaktır.</w:t>
      </w:r>
    </w:p>
    <w:p w14:paraId="4D94D26C" w14:textId="77777777" w:rsidR="00A52778" w:rsidRPr="00460F9E" w:rsidRDefault="00A52778" w:rsidP="00A52778">
      <w:pPr>
        <w:spacing w:line="200" w:lineRule="exact"/>
        <w:rPr>
          <w:rFonts w:eastAsia="Times New Roman" w:cs="Times New Roman"/>
          <w:b/>
        </w:rPr>
      </w:pPr>
    </w:p>
    <w:p w14:paraId="61595E50" w14:textId="77777777" w:rsidR="00A52778" w:rsidRPr="00460F9E" w:rsidRDefault="00A52778" w:rsidP="00A52778">
      <w:pPr>
        <w:spacing w:line="330" w:lineRule="exact"/>
        <w:rPr>
          <w:rFonts w:eastAsia="Times New Roman" w:cs="Times New Roman"/>
          <w:b/>
        </w:rPr>
      </w:pPr>
    </w:p>
    <w:tbl>
      <w:tblPr>
        <w:tblW w:w="8760" w:type="dxa"/>
        <w:tblInd w:w="730" w:type="dxa"/>
        <w:tblLayout w:type="fixed"/>
        <w:tblCellMar>
          <w:left w:w="0" w:type="dxa"/>
          <w:right w:w="0" w:type="dxa"/>
        </w:tblCellMar>
        <w:tblLook w:val="0000" w:firstRow="0" w:lastRow="0" w:firstColumn="0" w:lastColumn="0" w:noHBand="0" w:noVBand="0"/>
      </w:tblPr>
      <w:tblGrid>
        <w:gridCol w:w="380"/>
        <w:gridCol w:w="80"/>
        <w:gridCol w:w="540"/>
        <w:gridCol w:w="360"/>
        <w:gridCol w:w="260"/>
        <w:gridCol w:w="640"/>
        <w:gridCol w:w="100"/>
        <w:gridCol w:w="680"/>
        <w:gridCol w:w="600"/>
        <w:gridCol w:w="400"/>
        <w:gridCol w:w="660"/>
        <w:gridCol w:w="680"/>
        <w:gridCol w:w="880"/>
        <w:gridCol w:w="320"/>
        <w:gridCol w:w="520"/>
        <w:gridCol w:w="1280"/>
        <w:gridCol w:w="380"/>
      </w:tblGrid>
      <w:tr w:rsidR="00A52778" w:rsidRPr="00460F9E" w14:paraId="496C7639" w14:textId="77777777" w:rsidTr="00FC3F8E">
        <w:trPr>
          <w:trHeight w:val="239"/>
        </w:trPr>
        <w:tc>
          <w:tcPr>
            <w:tcW w:w="380" w:type="dxa"/>
            <w:tcBorders>
              <w:top w:val="single" w:sz="8" w:space="0" w:color="auto"/>
              <w:left w:val="single" w:sz="8" w:space="0" w:color="auto"/>
              <w:bottom w:val="single" w:sz="8" w:space="0" w:color="auto"/>
            </w:tcBorders>
            <w:shd w:val="clear" w:color="auto" w:fill="auto"/>
            <w:vAlign w:val="bottom"/>
          </w:tcPr>
          <w:p w14:paraId="3C83FE2D" w14:textId="77777777" w:rsidR="00A52778" w:rsidRPr="00460F9E" w:rsidRDefault="00A52778" w:rsidP="00FC3F8E">
            <w:pPr>
              <w:spacing w:line="0" w:lineRule="atLeast"/>
              <w:rPr>
                <w:rFonts w:eastAsia="Times New Roman" w:cs="Times New Roman"/>
                <w:b/>
              </w:rPr>
            </w:pPr>
          </w:p>
        </w:tc>
        <w:tc>
          <w:tcPr>
            <w:tcW w:w="80" w:type="dxa"/>
            <w:tcBorders>
              <w:top w:val="single" w:sz="8" w:space="0" w:color="auto"/>
              <w:bottom w:val="single" w:sz="8" w:space="0" w:color="auto"/>
            </w:tcBorders>
            <w:shd w:val="clear" w:color="auto" w:fill="auto"/>
            <w:vAlign w:val="bottom"/>
          </w:tcPr>
          <w:p w14:paraId="2EBAD965" w14:textId="77777777" w:rsidR="00A52778" w:rsidRPr="00460F9E" w:rsidRDefault="00A52778" w:rsidP="00FC3F8E">
            <w:pPr>
              <w:spacing w:line="0" w:lineRule="atLeast"/>
              <w:rPr>
                <w:rFonts w:eastAsia="Times New Roman" w:cs="Times New Roman"/>
                <w:b/>
              </w:rPr>
            </w:pPr>
          </w:p>
        </w:tc>
        <w:tc>
          <w:tcPr>
            <w:tcW w:w="1160" w:type="dxa"/>
            <w:gridSpan w:val="3"/>
            <w:tcBorders>
              <w:top w:val="single" w:sz="8" w:space="0" w:color="auto"/>
              <w:bottom w:val="single" w:sz="8" w:space="0" w:color="auto"/>
            </w:tcBorders>
            <w:shd w:val="clear" w:color="auto" w:fill="auto"/>
            <w:vAlign w:val="center"/>
          </w:tcPr>
          <w:p w14:paraId="5132B163" w14:textId="77777777" w:rsidR="00A52778" w:rsidRPr="00B568BE" w:rsidRDefault="00A52778" w:rsidP="00FC3F8E">
            <w:pPr>
              <w:spacing w:line="0" w:lineRule="atLeast"/>
              <w:ind w:left="220"/>
              <w:jc w:val="center"/>
              <w:rPr>
                <w:rFonts w:eastAsia="Times New Roman" w:cs="Times New Roman"/>
                <w:sz w:val="22"/>
              </w:rPr>
            </w:pPr>
            <w:r w:rsidRPr="00B568BE">
              <w:rPr>
                <w:rFonts w:eastAsia="Times New Roman" w:cs="Times New Roman"/>
                <w:sz w:val="22"/>
              </w:rPr>
              <w:t>Teknikler</w:t>
            </w:r>
          </w:p>
        </w:tc>
        <w:tc>
          <w:tcPr>
            <w:tcW w:w="640" w:type="dxa"/>
            <w:tcBorders>
              <w:top w:val="single" w:sz="8" w:space="0" w:color="auto"/>
              <w:bottom w:val="single" w:sz="8" w:space="0" w:color="auto"/>
              <w:right w:val="single" w:sz="8" w:space="0" w:color="auto"/>
            </w:tcBorders>
            <w:shd w:val="clear" w:color="auto" w:fill="auto"/>
            <w:vAlign w:val="center"/>
          </w:tcPr>
          <w:p w14:paraId="20CBF790" w14:textId="77777777" w:rsidR="00A52778" w:rsidRPr="00B568BE" w:rsidRDefault="00A52778" w:rsidP="00FC3F8E">
            <w:pPr>
              <w:spacing w:line="0" w:lineRule="atLeast"/>
              <w:jc w:val="center"/>
              <w:rPr>
                <w:rFonts w:eastAsia="Times New Roman" w:cs="Times New Roman"/>
                <w:sz w:val="22"/>
              </w:rPr>
            </w:pPr>
          </w:p>
        </w:tc>
        <w:tc>
          <w:tcPr>
            <w:tcW w:w="100" w:type="dxa"/>
            <w:tcBorders>
              <w:top w:val="single" w:sz="8" w:space="0" w:color="auto"/>
              <w:bottom w:val="single" w:sz="8" w:space="0" w:color="auto"/>
            </w:tcBorders>
            <w:shd w:val="clear" w:color="auto" w:fill="auto"/>
            <w:vAlign w:val="center"/>
          </w:tcPr>
          <w:p w14:paraId="4BE5058F" w14:textId="77777777" w:rsidR="00A52778" w:rsidRPr="00B568BE" w:rsidRDefault="00A52778" w:rsidP="00FC3F8E">
            <w:pPr>
              <w:spacing w:line="0" w:lineRule="atLeast"/>
              <w:jc w:val="center"/>
              <w:rPr>
                <w:rFonts w:eastAsia="Times New Roman" w:cs="Times New Roman"/>
                <w:sz w:val="22"/>
              </w:rPr>
            </w:pPr>
          </w:p>
        </w:tc>
        <w:tc>
          <w:tcPr>
            <w:tcW w:w="680" w:type="dxa"/>
            <w:tcBorders>
              <w:top w:val="single" w:sz="8" w:space="0" w:color="auto"/>
              <w:bottom w:val="single" w:sz="8" w:space="0" w:color="auto"/>
            </w:tcBorders>
            <w:shd w:val="clear" w:color="auto" w:fill="auto"/>
            <w:vAlign w:val="center"/>
          </w:tcPr>
          <w:p w14:paraId="2C132C45" w14:textId="77777777" w:rsidR="00A52778" w:rsidRPr="00B568BE" w:rsidRDefault="00A52778" w:rsidP="00FC3F8E">
            <w:pPr>
              <w:spacing w:line="0" w:lineRule="atLeast"/>
              <w:jc w:val="center"/>
              <w:rPr>
                <w:rFonts w:eastAsia="Times New Roman" w:cs="Times New Roman"/>
                <w:sz w:val="22"/>
              </w:rPr>
            </w:pPr>
          </w:p>
        </w:tc>
        <w:tc>
          <w:tcPr>
            <w:tcW w:w="1660" w:type="dxa"/>
            <w:gridSpan w:val="3"/>
            <w:tcBorders>
              <w:top w:val="single" w:sz="8" w:space="0" w:color="auto"/>
              <w:bottom w:val="single" w:sz="8" w:space="0" w:color="auto"/>
            </w:tcBorders>
            <w:shd w:val="clear" w:color="auto" w:fill="auto"/>
            <w:vAlign w:val="center"/>
          </w:tcPr>
          <w:p w14:paraId="76962D6D" w14:textId="77777777" w:rsidR="00A52778" w:rsidRPr="00B568BE" w:rsidRDefault="00A52778" w:rsidP="00FC3F8E">
            <w:pPr>
              <w:spacing w:line="0" w:lineRule="atLeast"/>
              <w:ind w:right="20"/>
              <w:jc w:val="center"/>
              <w:rPr>
                <w:rFonts w:eastAsia="Times New Roman" w:cs="Times New Roman"/>
                <w:w w:val="99"/>
                <w:sz w:val="22"/>
              </w:rPr>
            </w:pPr>
            <w:r w:rsidRPr="00B568BE">
              <w:rPr>
                <w:rFonts w:eastAsia="Times New Roman" w:cs="Times New Roman"/>
                <w:w w:val="99"/>
                <w:sz w:val="22"/>
              </w:rPr>
              <w:t>Tanımlamalar</w:t>
            </w:r>
          </w:p>
        </w:tc>
        <w:tc>
          <w:tcPr>
            <w:tcW w:w="680" w:type="dxa"/>
            <w:tcBorders>
              <w:top w:val="single" w:sz="8" w:space="0" w:color="auto"/>
              <w:bottom w:val="single" w:sz="8" w:space="0" w:color="auto"/>
              <w:right w:val="single" w:sz="8" w:space="0" w:color="auto"/>
            </w:tcBorders>
            <w:shd w:val="clear" w:color="auto" w:fill="auto"/>
            <w:vAlign w:val="center"/>
          </w:tcPr>
          <w:p w14:paraId="7A59B10B" w14:textId="77777777" w:rsidR="00A52778" w:rsidRPr="00B568BE" w:rsidRDefault="00A52778" w:rsidP="00FC3F8E">
            <w:pPr>
              <w:spacing w:line="0" w:lineRule="atLeast"/>
              <w:jc w:val="center"/>
              <w:rPr>
                <w:rFonts w:eastAsia="Times New Roman" w:cs="Times New Roman"/>
                <w:sz w:val="22"/>
              </w:rPr>
            </w:pPr>
          </w:p>
        </w:tc>
        <w:tc>
          <w:tcPr>
            <w:tcW w:w="880" w:type="dxa"/>
            <w:tcBorders>
              <w:top w:val="single" w:sz="8" w:space="0" w:color="auto"/>
              <w:bottom w:val="single" w:sz="8" w:space="0" w:color="auto"/>
            </w:tcBorders>
            <w:shd w:val="clear" w:color="auto" w:fill="auto"/>
            <w:vAlign w:val="center"/>
          </w:tcPr>
          <w:p w14:paraId="5DE9FC57" w14:textId="77777777" w:rsidR="00A52778" w:rsidRPr="00B568BE" w:rsidRDefault="00A52778" w:rsidP="00FC3F8E">
            <w:pPr>
              <w:spacing w:line="0" w:lineRule="atLeast"/>
              <w:jc w:val="center"/>
              <w:rPr>
                <w:rFonts w:eastAsia="Times New Roman" w:cs="Times New Roman"/>
                <w:sz w:val="22"/>
              </w:rPr>
            </w:pPr>
          </w:p>
        </w:tc>
        <w:tc>
          <w:tcPr>
            <w:tcW w:w="2120" w:type="dxa"/>
            <w:gridSpan w:val="3"/>
            <w:tcBorders>
              <w:top w:val="single" w:sz="8" w:space="0" w:color="auto"/>
              <w:bottom w:val="single" w:sz="8" w:space="0" w:color="auto"/>
            </w:tcBorders>
            <w:shd w:val="clear" w:color="auto" w:fill="auto"/>
            <w:vAlign w:val="center"/>
          </w:tcPr>
          <w:p w14:paraId="74826D7E" w14:textId="77777777" w:rsidR="00A52778" w:rsidRPr="00B568BE" w:rsidRDefault="00A52778" w:rsidP="00FC3F8E">
            <w:pPr>
              <w:spacing w:line="0" w:lineRule="atLeast"/>
              <w:ind w:left="-460"/>
              <w:jc w:val="center"/>
              <w:rPr>
                <w:rFonts w:eastAsia="Times New Roman" w:cs="Times New Roman"/>
                <w:sz w:val="22"/>
              </w:rPr>
            </w:pPr>
            <w:r w:rsidRPr="00B568BE">
              <w:rPr>
                <w:rFonts w:eastAsia="Times New Roman" w:cs="Times New Roman"/>
                <w:sz w:val="22"/>
              </w:rPr>
              <w:t>Uygulanabilirlik</w:t>
            </w:r>
          </w:p>
        </w:tc>
        <w:tc>
          <w:tcPr>
            <w:tcW w:w="380" w:type="dxa"/>
            <w:tcBorders>
              <w:top w:val="single" w:sz="8" w:space="0" w:color="auto"/>
              <w:bottom w:val="single" w:sz="8" w:space="0" w:color="auto"/>
              <w:right w:val="single" w:sz="8" w:space="0" w:color="auto"/>
            </w:tcBorders>
            <w:shd w:val="clear" w:color="auto" w:fill="auto"/>
            <w:vAlign w:val="bottom"/>
          </w:tcPr>
          <w:p w14:paraId="4AAF7D73" w14:textId="77777777" w:rsidR="00A52778" w:rsidRPr="00460F9E" w:rsidRDefault="00A52778" w:rsidP="00FC3F8E">
            <w:pPr>
              <w:spacing w:line="0" w:lineRule="atLeast"/>
              <w:rPr>
                <w:rFonts w:eastAsia="Times New Roman" w:cs="Times New Roman"/>
                <w:b/>
              </w:rPr>
            </w:pPr>
          </w:p>
        </w:tc>
      </w:tr>
      <w:tr w:rsidR="00A52778" w:rsidRPr="00460F9E" w14:paraId="24652C70" w14:textId="77777777" w:rsidTr="00FC3F8E">
        <w:trPr>
          <w:trHeight w:val="215"/>
        </w:trPr>
        <w:tc>
          <w:tcPr>
            <w:tcW w:w="380" w:type="dxa"/>
            <w:tcBorders>
              <w:left w:val="single" w:sz="8" w:space="0" w:color="auto"/>
              <w:right w:val="single" w:sz="8" w:space="0" w:color="auto"/>
            </w:tcBorders>
            <w:shd w:val="clear" w:color="auto" w:fill="auto"/>
            <w:vAlign w:val="bottom"/>
          </w:tcPr>
          <w:p w14:paraId="6100538E" w14:textId="77777777" w:rsidR="00A52778" w:rsidRPr="00460F9E" w:rsidRDefault="00A52778" w:rsidP="00FC3F8E">
            <w:pPr>
              <w:spacing w:line="0" w:lineRule="atLeast"/>
              <w:rPr>
                <w:rFonts w:eastAsia="Times New Roman" w:cs="Times New Roman"/>
                <w:b/>
                <w:sz w:val="18"/>
              </w:rPr>
            </w:pPr>
          </w:p>
        </w:tc>
        <w:tc>
          <w:tcPr>
            <w:tcW w:w="80" w:type="dxa"/>
            <w:shd w:val="clear" w:color="auto" w:fill="auto"/>
            <w:vAlign w:val="bottom"/>
          </w:tcPr>
          <w:p w14:paraId="6492492C" w14:textId="77777777" w:rsidR="00A52778" w:rsidRPr="00460F9E" w:rsidRDefault="00A52778" w:rsidP="00FC3F8E">
            <w:pPr>
              <w:spacing w:line="0" w:lineRule="atLeast"/>
              <w:rPr>
                <w:rFonts w:eastAsia="Times New Roman" w:cs="Times New Roman"/>
                <w:b/>
                <w:sz w:val="18"/>
              </w:rPr>
            </w:pPr>
          </w:p>
        </w:tc>
        <w:tc>
          <w:tcPr>
            <w:tcW w:w="1800" w:type="dxa"/>
            <w:gridSpan w:val="4"/>
            <w:vMerge w:val="restart"/>
            <w:tcBorders>
              <w:right w:val="single" w:sz="8" w:space="0" w:color="auto"/>
            </w:tcBorders>
            <w:shd w:val="clear" w:color="auto" w:fill="auto"/>
            <w:vAlign w:val="center"/>
          </w:tcPr>
          <w:p w14:paraId="5B0E0DFA"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Düşük kaynama noktasına sahip kimyasal maddeler</w:t>
            </w:r>
          </w:p>
        </w:tc>
        <w:tc>
          <w:tcPr>
            <w:tcW w:w="100" w:type="dxa"/>
            <w:tcBorders>
              <w:left w:val="single" w:sz="8" w:space="0" w:color="auto"/>
            </w:tcBorders>
            <w:shd w:val="clear" w:color="auto" w:fill="auto"/>
            <w:vAlign w:val="bottom"/>
          </w:tcPr>
          <w:p w14:paraId="453B065D" w14:textId="77777777" w:rsidR="00A52778" w:rsidRPr="00460F9E" w:rsidRDefault="00A52778" w:rsidP="00FC3F8E">
            <w:pPr>
              <w:spacing w:line="0" w:lineRule="atLeast"/>
              <w:rPr>
                <w:rFonts w:eastAsia="Times New Roman" w:cs="Times New Roman"/>
                <w:b/>
                <w:sz w:val="20"/>
              </w:rPr>
            </w:pPr>
          </w:p>
        </w:tc>
        <w:tc>
          <w:tcPr>
            <w:tcW w:w="3020" w:type="dxa"/>
            <w:gridSpan w:val="5"/>
            <w:vMerge w:val="restart"/>
            <w:tcBorders>
              <w:right w:val="single" w:sz="8" w:space="0" w:color="auto"/>
            </w:tcBorders>
            <w:shd w:val="clear" w:color="auto" w:fill="auto"/>
            <w:vAlign w:val="bottom"/>
          </w:tcPr>
          <w:p w14:paraId="046FEFC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Düşük kaynama noktasına sahip solventler ve süspansiyon ajanları kullanılır.</w:t>
            </w:r>
          </w:p>
        </w:tc>
        <w:tc>
          <w:tcPr>
            <w:tcW w:w="3380" w:type="dxa"/>
            <w:gridSpan w:val="5"/>
            <w:vMerge w:val="restart"/>
            <w:tcBorders>
              <w:left w:val="single" w:sz="8" w:space="0" w:color="auto"/>
              <w:right w:val="single" w:sz="8" w:space="0" w:color="auto"/>
            </w:tcBorders>
            <w:shd w:val="clear" w:color="auto" w:fill="auto"/>
            <w:vAlign w:val="bottom"/>
          </w:tcPr>
          <w:p w14:paraId="554DB460"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Uygulanabilirliği operasyonel </w:t>
            </w:r>
          </w:p>
          <w:p w14:paraId="210DAAFB"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kısıtlamalarla sınırlandırılabilir.</w:t>
            </w:r>
          </w:p>
        </w:tc>
      </w:tr>
      <w:tr w:rsidR="00A52778" w:rsidRPr="00460F9E" w14:paraId="4992F98F" w14:textId="77777777" w:rsidTr="00FC3F8E">
        <w:trPr>
          <w:trHeight w:val="115"/>
        </w:trPr>
        <w:tc>
          <w:tcPr>
            <w:tcW w:w="380" w:type="dxa"/>
            <w:vMerge w:val="restart"/>
            <w:tcBorders>
              <w:left w:val="single" w:sz="8" w:space="0" w:color="auto"/>
              <w:right w:val="single" w:sz="8" w:space="0" w:color="auto"/>
            </w:tcBorders>
            <w:shd w:val="clear" w:color="auto" w:fill="auto"/>
            <w:vAlign w:val="bottom"/>
          </w:tcPr>
          <w:p w14:paraId="58668294"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a.</w:t>
            </w:r>
          </w:p>
        </w:tc>
        <w:tc>
          <w:tcPr>
            <w:tcW w:w="80" w:type="dxa"/>
            <w:shd w:val="clear" w:color="auto" w:fill="auto"/>
            <w:vAlign w:val="bottom"/>
          </w:tcPr>
          <w:p w14:paraId="6FAC42F3" w14:textId="77777777" w:rsidR="00A52778" w:rsidRPr="00460F9E" w:rsidRDefault="00A52778" w:rsidP="00FC3F8E">
            <w:pPr>
              <w:spacing w:line="0" w:lineRule="atLeast"/>
              <w:rPr>
                <w:rFonts w:eastAsia="Times New Roman" w:cs="Times New Roman"/>
                <w:b/>
                <w:sz w:val="10"/>
              </w:rPr>
            </w:pPr>
          </w:p>
        </w:tc>
        <w:tc>
          <w:tcPr>
            <w:tcW w:w="1800" w:type="dxa"/>
            <w:gridSpan w:val="4"/>
            <w:vMerge/>
            <w:tcBorders>
              <w:right w:val="single" w:sz="8" w:space="0" w:color="auto"/>
            </w:tcBorders>
            <w:shd w:val="clear" w:color="auto" w:fill="auto"/>
            <w:vAlign w:val="bottom"/>
          </w:tcPr>
          <w:p w14:paraId="3E9166A7" w14:textId="77777777" w:rsidR="00A52778" w:rsidRPr="00460F9E" w:rsidRDefault="00A52778" w:rsidP="00FC3F8E">
            <w:pPr>
              <w:spacing w:line="0" w:lineRule="atLeast"/>
              <w:ind w:right="20"/>
              <w:jc w:val="right"/>
              <w:rPr>
                <w:rFonts w:eastAsia="Times New Roman" w:cs="Times New Roman"/>
                <w:b/>
              </w:rPr>
            </w:pPr>
          </w:p>
        </w:tc>
        <w:tc>
          <w:tcPr>
            <w:tcW w:w="100" w:type="dxa"/>
            <w:tcBorders>
              <w:left w:val="single" w:sz="8" w:space="0" w:color="auto"/>
            </w:tcBorders>
            <w:shd w:val="clear" w:color="auto" w:fill="auto"/>
            <w:vAlign w:val="bottom"/>
          </w:tcPr>
          <w:p w14:paraId="6B1BF09A" w14:textId="77777777" w:rsidR="00A52778" w:rsidRPr="00460F9E" w:rsidRDefault="00A52778" w:rsidP="00FC3F8E">
            <w:pPr>
              <w:spacing w:line="0" w:lineRule="atLeast"/>
              <w:rPr>
                <w:rFonts w:eastAsia="Times New Roman" w:cs="Times New Roman"/>
                <w:b/>
                <w:sz w:val="10"/>
              </w:rPr>
            </w:pPr>
          </w:p>
        </w:tc>
        <w:tc>
          <w:tcPr>
            <w:tcW w:w="3020" w:type="dxa"/>
            <w:gridSpan w:val="5"/>
            <w:vMerge/>
            <w:tcBorders>
              <w:right w:val="single" w:sz="8" w:space="0" w:color="auto"/>
            </w:tcBorders>
            <w:shd w:val="clear" w:color="auto" w:fill="auto"/>
            <w:vAlign w:val="bottom"/>
          </w:tcPr>
          <w:p w14:paraId="29EA3F47" w14:textId="77777777" w:rsidR="00A52778" w:rsidRPr="00460F9E" w:rsidRDefault="00A52778" w:rsidP="00FC3F8E">
            <w:pPr>
              <w:spacing w:line="0" w:lineRule="atLeast"/>
              <w:rPr>
                <w:rFonts w:eastAsia="Times New Roman" w:cs="Times New Roman"/>
                <w:b/>
                <w:sz w:val="10"/>
              </w:rPr>
            </w:pPr>
          </w:p>
        </w:tc>
        <w:tc>
          <w:tcPr>
            <w:tcW w:w="3380" w:type="dxa"/>
            <w:gridSpan w:val="5"/>
            <w:vMerge/>
            <w:tcBorders>
              <w:left w:val="single" w:sz="8" w:space="0" w:color="auto"/>
              <w:right w:val="single" w:sz="8" w:space="0" w:color="auto"/>
            </w:tcBorders>
            <w:shd w:val="clear" w:color="auto" w:fill="auto"/>
            <w:vAlign w:val="bottom"/>
          </w:tcPr>
          <w:p w14:paraId="1A8A6009" w14:textId="77777777" w:rsidR="00A52778" w:rsidRPr="00460F9E" w:rsidRDefault="00A52778" w:rsidP="00FC3F8E">
            <w:pPr>
              <w:spacing w:line="0" w:lineRule="atLeast"/>
              <w:rPr>
                <w:rFonts w:eastAsia="Times New Roman" w:cs="Times New Roman"/>
                <w:b/>
                <w:sz w:val="10"/>
              </w:rPr>
            </w:pPr>
          </w:p>
        </w:tc>
      </w:tr>
      <w:tr w:rsidR="00A52778" w:rsidRPr="00460F9E" w14:paraId="54050BEC" w14:textId="77777777" w:rsidTr="00FC3F8E">
        <w:trPr>
          <w:trHeight w:val="115"/>
        </w:trPr>
        <w:tc>
          <w:tcPr>
            <w:tcW w:w="380" w:type="dxa"/>
            <w:vMerge/>
            <w:tcBorders>
              <w:left w:val="single" w:sz="8" w:space="0" w:color="auto"/>
              <w:right w:val="single" w:sz="8" w:space="0" w:color="auto"/>
            </w:tcBorders>
            <w:shd w:val="clear" w:color="auto" w:fill="auto"/>
            <w:vAlign w:val="bottom"/>
          </w:tcPr>
          <w:p w14:paraId="267CB6F2" w14:textId="77777777" w:rsidR="00A52778" w:rsidRPr="00460F9E" w:rsidRDefault="00A52778" w:rsidP="00FC3F8E">
            <w:pPr>
              <w:spacing w:line="0" w:lineRule="atLeast"/>
              <w:rPr>
                <w:rFonts w:eastAsia="Times New Roman" w:cs="Times New Roman"/>
                <w:b/>
                <w:sz w:val="10"/>
              </w:rPr>
            </w:pPr>
          </w:p>
        </w:tc>
        <w:tc>
          <w:tcPr>
            <w:tcW w:w="80" w:type="dxa"/>
            <w:shd w:val="clear" w:color="auto" w:fill="auto"/>
            <w:vAlign w:val="bottom"/>
          </w:tcPr>
          <w:p w14:paraId="19832D25" w14:textId="77777777" w:rsidR="00A52778" w:rsidRPr="00460F9E" w:rsidRDefault="00A52778" w:rsidP="00FC3F8E">
            <w:pPr>
              <w:spacing w:line="0" w:lineRule="atLeast"/>
              <w:rPr>
                <w:rFonts w:eastAsia="Times New Roman" w:cs="Times New Roman"/>
                <w:b/>
                <w:sz w:val="10"/>
              </w:rPr>
            </w:pPr>
          </w:p>
        </w:tc>
        <w:tc>
          <w:tcPr>
            <w:tcW w:w="1800" w:type="dxa"/>
            <w:gridSpan w:val="4"/>
            <w:vMerge/>
            <w:tcBorders>
              <w:right w:val="single" w:sz="8" w:space="0" w:color="auto"/>
            </w:tcBorders>
            <w:shd w:val="clear" w:color="auto" w:fill="auto"/>
            <w:vAlign w:val="bottom"/>
          </w:tcPr>
          <w:p w14:paraId="5867A601" w14:textId="77777777" w:rsidR="00A52778" w:rsidRPr="00460F9E" w:rsidRDefault="00A52778" w:rsidP="00FC3F8E">
            <w:pPr>
              <w:spacing w:line="0" w:lineRule="atLeast"/>
              <w:rPr>
                <w:rFonts w:eastAsia="Times New Roman" w:cs="Times New Roman"/>
                <w:b/>
                <w:sz w:val="10"/>
              </w:rPr>
            </w:pPr>
          </w:p>
        </w:tc>
        <w:tc>
          <w:tcPr>
            <w:tcW w:w="100" w:type="dxa"/>
            <w:tcBorders>
              <w:left w:val="single" w:sz="8" w:space="0" w:color="auto"/>
            </w:tcBorders>
            <w:shd w:val="clear" w:color="auto" w:fill="auto"/>
            <w:vAlign w:val="bottom"/>
          </w:tcPr>
          <w:p w14:paraId="1B584BBB" w14:textId="77777777" w:rsidR="00A52778" w:rsidRPr="00460F9E" w:rsidRDefault="00A52778" w:rsidP="00FC3F8E">
            <w:pPr>
              <w:spacing w:line="0" w:lineRule="atLeast"/>
              <w:rPr>
                <w:rFonts w:eastAsia="Times New Roman" w:cs="Times New Roman"/>
                <w:b/>
                <w:sz w:val="10"/>
              </w:rPr>
            </w:pPr>
          </w:p>
        </w:tc>
        <w:tc>
          <w:tcPr>
            <w:tcW w:w="3020" w:type="dxa"/>
            <w:gridSpan w:val="5"/>
            <w:vMerge/>
            <w:tcBorders>
              <w:right w:val="single" w:sz="8" w:space="0" w:color="auto"/>
            </w:tcBorders>
            <w:shd w:val="clear" w:color="auto" w:fill="auto"/>
            <w:vAlign w:val="bottom"/>
          </w:tcPr>
          <w:p w14:paraId="255E16D5" w14:textId="77777777" w:rsidR="00A52778" w:rsidRPr="00460F9E" w:rsidRDefault="00A52778" w:rsidP="00FC3F8E">
            <w:pPr>
              <w:spacing w:line="0" w:lineRule="atLeast"/>
              <w:rPr>
                <w:rFonts w:eastAsia="Times New Roman" w:cs="Times New Roman"/>
                <w:b/>
              </w:rPr>
            </w:pPr>
          </w:p>
        </w:tc>
        <w:tc>
          <w:tcPr>
            <w:tcW w:w="3380" w:type="dxa"/>
            <w:gridSpan w:val="5"/>
            <w:vMerge/>
            <w:tcBorders>
              <w:left w:val="single" w:sz="8" w:space="0" w:color="auto"/>
              <w:right w:val="single" w:sz="8" w:space="0" w:color="auto"/>
            </w:tcBorders>
            <w:shd w:val="clear" w:color="auto" w:fill="auto"/>
            <w:vAlign w:val="bottom"/>
          </w:tcPr>
          <w:p w14:paraId="259EB150" w14:textId="77777777" w:rsidR="00A52778" w:rsidRPr="00460F9E" w:rsidRDefault="00A52778" w:rsidP="00FC3F8E">
            <w:pPr>
              <w:spacing w:line="0" w:lineRule="atLeast"/>
              <w:rPr>
                <w:rFonts w:eastAsia="Times New Roman" w:cs="Times New Roman"/>
                <w:b/>
                <w:sz w:val="10"/>
              </w:rPr>
            </w:pPr>
          </w:p>
        </w:tc>
      </w:tr>
      <w:tr w:rsidR="00A52778" w:rsidRPr="00460F9E" w14:paraId="73584109" w14:textId="77777777" w:rsidTr="00FC3F8E">
        <w:trPr>
          <w:trHeight w:val="115"/>
        </w:trPr>
        <w:tc>
          <w:tcPr>
            <w:tcW w:w="380" w:type="dxa"/>
            <w:tcBorders>
              <w:left w:val="single" w:sz="8" w:space="0" w:color="auto"/>
              <w:right w:val="single" w:sz="8" w:space="0" w:color="auto"/>
            </w:tcBorders>
            <w:shd w:val="clear" w:color="auto" w:fill="auto"/>
            <w:vAlign w:val="bottom"/>
          </w:tcPr>
          <w:p w14:paraId="60A74FF9" w14:textId="77777777" w:rsidR="00A52778" w:rsidRPr="00460F9E" w:rsidRDefault="00A52778" w:rsidP="00FC3F8E">
            <w:pPr>
              <w:spacing w:line="0" w:lineRule="atLeast"/>
              <w:rPr>
                <w:rFonts w:eastAsia="Times New Roman" w:cs="Times New Roman"/>
                <w:b/>
                <w:sz w:val="10"/>
              </w:rPr>
            </w:pPr>
          </w:p>
        </w:tc>
        <w:tc>
          <w:tcPr>
            <w:tcW w:w="80" w:type="dxa"/>
            <w:shd w:val="clear" w:color="auto" w:fill="auto"/>
            <w:vAlign w:val="bottom"/>
          </w:tcPr>
          <w:p w14:paraId="0DB3EB3C" w14:textId="77777777" w:rsidR="00A52778" w:rsidRPr="00460F9E" w:rsidRDefault="00A52778" w:rsidP="00FC3F8E">
            <w:pPr>
              <w:spacing w:line="0" w:lineRule="atLeast"/>
              <w:rPr>
                <w:rFonts w:eastAsia="Times New Roman" w:cs="Times New Roman"/>
                <w:b/>
                <w:sz w:val="10"/>
              </w:rPr>
            </w:pPr>
          </w:p>
        </w:tc>
        <w:tc>
          <w:tcPr>
            <w:tcW w:w="1800" w:type="dxa"/>
            <w:gridSpan w:val="4"/>
            <w:vMerge/>
            <w:tcBorders>
              <w:right w:val="single" w:sz="8" w:space="0" w:color="auto"/>
            </w:tcBorders>
            <w:shd w:val="clear" w:color="auto" w:fill="auto"/>
            <w:vAlign w:val="bottom"/>
          </w:tcPr>
          <w:p w14:paraId="4A54263A" w14:textId="77777777" w:rsidR="00A52778" w:rsidRPr="00460F9E" w:rsidRDefault="00A52778" w:rsidP="00FC3F8E">
            <w:pPr>
              <w:spacing w:line="0" w:lineRule="atLeast"/>
              <w:rPr>
                <w:rFonts w:eastAsia="Times New Roman" w:cs="Times New Roman"/>
                <w:b/>
                <w:sz w:val="10"/>
              </w:rPr>
            </w:pPr>
          </w:p>
        </w:tc>
        <w:tc>
          <w:tcPr>
            <w:tcW w:w="100" w:type="dxa"/>
            <w:tcBorders>
              <w:left w:val="single" w:sz="8" w:space="0" w:color="auto"/>
            </w:tcBorders>
            <w:shd w:val="clear" w:color="auto" w:fill="auto"/>
            <w:vAlign w:val="bottom"/>
          </w:tcPr>
          <w:p w14:paraId="194B5936" w14:textId="77777777" w:rsidR="00A52778" w:rsidRPr="00460F9E" w:rsidRDefault="00A52778" w:rsidP="00FC3F8E">
            <w:pPr>
              <w:spacing w:line="0" w:lineRule="atLeast"/>
              <w:rPr>
                <w:rFonts w:eastAsia="Times New Roman" w:cs="Times New Roman"/>
                <w:b/>
                <w:sz w:val="10"/>
              </w:rPr>
            </w:pPr>
          </w:p>
        </w:tc>
        <w:tc>
          <w:tcPr>
            <w:tcW w:w="3020" w:type="dxa"/>
            <w:gridSpan w:val="5"/>
            <w:vMerge/>
            <w:tcBorders>
              <w:right w:val="single" w:sz="8" w:space="0" w:color="auto"/>
            </w:tcBorders>
            <w:shd w:val="clear" w:color="auto" w:fill="auto"/>
            <w:vAlign w:val="bottom"/>
          </w:tcPr>
          <w:p w14:paraId="7AAA33CC" w14:textId="77777777" w:rsidR="00A52778" w:rsidRPr="00460F9E" w:rsidRDefault="00A52778" w:rsidP="00FC3F8E">
            <w:pPr>
              <w:spacing w:line="0" w:lineRule="atLeast"/>
              <w:rPr>
                <w:rFonts w:eastAsia="Times New Roman" w:cs="Times New Roman"/>
                <w:b/>
                <w:sz w:val="10"/>
              </w:rPr>
            </w:pPr>
          </w:p>
        </w:tc>
        <w:tc>
          <w:tcPr>
            <w:tcW w:w="3380" w:type="dxa"/>
            <w:gridSpan w:val="5"/>
            <w:vMerge/>
            <w:tcBorders>
              <w:left w:val="single" w:sz="8" w:space="0" w:color="auto"/>
              <w:right w:val="single" w:sz="8" w:space="0" w:color="auto"/>
            </w:tcBorders>
            <w:shd w:val="clear" w:color="auto" w:fill="auto"/>
            <w:vAlign w:val="bottom"/>
          </w:tcPr>
          <w:p w14:paraId="6E920860" w14:textId="77777777" w:rsidR="00A52778" w:rsidRPr="00460F9E" w:rsidRDefault="00A52778" w:rsidP="00FC3F8E">
            <w:pPr>
              <w:spacing w:line="0" w:lineRule="atLeast"/>
              <w:rPr>
                <w:rFonts w:eastAsia="Times New Roman" w:cs="Times New Roman"/>
                <w:b/>
                <w:sz w:val="10"/>
              </w:rPr>
            </w:pPr>
          </w:p>
        </w:tc>
      </w:tr>
      <w:tr w:rsidR="00A52778" w:rsidRPr="00460F9E" w14:paraId="3FFE83FB" w14:textId="77777777" w:rsidTr="00FC3F8E">
        <w:trPr>
          <w:trHeight w:val="118"/>
        </w:trPr>
        <w:tc>
          <w:tcPr>
            <w:tcW w:w="380" w:type="dxa"/>
            <w:tcBorders>
              <w:left w:val="single" w:sz="8" w:space="0" w:color="auto"/>
              <w:bottom w:val="single" w:sz="8" w:space="0" w:color="auto"/>
              <w:right w:val="single" w:sz="8" w:space="0" w:color="auto"/>
            </w:tcBorders>
            <w:shd w:val="clear" w:color="auto" w:fill="auto"/>
            <w:vAlign w:val="bottom"/>
          </w:tcPr>
          <w:p w14:paraId="1BC3E158" w14:textId="77777777" w:rsidR="00A52778" w:rsidRPr="00460F9E" w:rsidRDefault="00A52778" w:rsidP="00FC3F8E">
            <w:pPr>
              <w:spacing w:line="0" w:lineRule="atLeast"/>
              <w:rPr>
                <w:rFonts w:eastAsia="Times New Roman" w:cs="Times New Roman"/>
                <w:b/>
                <w:sz w:val="10"/>
              </w:rPr>
            </w:pPr>
          </w:p>
        </w:tc>
        <w:tc>
          <w:tcPr>
            <w:tcW w:w="80" w:type="dxa"/>
            <w:tcBorders>
              <w:bottom w:val="single" w:sz="8" w:space="0" w:color="auto"/>
            </w:tcBorders>
            <w:shd w:val="clear" w:color="auto" w:fill="auto"/>
            <w:vAlign w:val="bottom"/>
          </w:tcPr>
          <w:p w14:paraId="44A8B62C" w14:textId="77777777" w:rsidR="00A52778" w:rsidRPr="00460F9E" w:rsidRDefault="00A52778" w:rsidP="00FC3F8E">
            <w:pPr>
              <w:spacing w:line="0" w:lineRule="atLeast"/>
              <w:rPr>
                <w:rFonts w:eastAsia="Times New Roman" w:cs="Times New Roman"/>
                <w:b/>
                <w:sz w:val="10"/>
              </w:rPr>
            </w:pPr>
          </w:p>
        </w:tc>
        <w:tc>
          <w:tcPr>
            <w:tcW w:w="1800" w:type="dxa"/>
            <w:gridSpan w:val="4"/>
            <w:vMerge/>
            <w:tcBorders>
              <w:bottom w:val="single" w:sz="8" w:space="0" w:color="auto"/>
              <w:right w:val="single" w:sz="8" w:space="0" w:color="auto"/>
            </w:tcBorders>
            <w:shd w:val="clear" w:color="auto" w:fill="auto"/>
            <w:vAlign w:val="bottom"/>
          </w:tcPr>
          <w:p w14:paraId="1761A196" w14:textId="77777777" w:rsidR="00A52778" w:rsidRPr="00460F9E" w:rsidRDefault="00A52778" w:rsidP="00FC3F8E">
            <w:pPr>
              <w:spacing w:line="0" w:lineRule="atLeast"/>
              <w:rPr>
                <w:rFonts w:eastAsia="Times New Roman" w:cs="Times New Roman"/>
                <w:b/>
                <w:sz w:val="10"/>
              </w:rPr>
            </w:pPr>
          </w:p>
        </w:tc>
        <w:tc>
          <w:tcPr>
            <w:tcW w:w="100" w:type="dxa"/>
            <w:tcBorders>
              <w:left w:val="single" w:sz="8" w:space="0" w:color="auto"/>
              <w:bottom w:val="single" w:sz="8" w:space="0" w:color="auto"/>
            </w:tcBorders>
            <w:shd w:val="clear" w:color="auto" w:fill="auto"/>
            <w:vAlign w:val="bottom"/>
          </w:tcPr>
          <w:p w14:paraId="1780A4AD" w14:textId="77777777" w:rsidR="00A52778" w:rsidRPr="00460F9E" w:rsidRDefault="00A52778" w:rsidP="00FC3F8E">
            <w:pPr>
              <w:spacing w:line="0" w:lineRule="atLeast"/>
              <w:rPr>
                <w:rFonts w:eastAsia="Times New Roman" w:cs="Times New Roman"/>
                <w:b/>
                <w:sz w:val="10"/>
              </w:rPr>
            </w:pPr>
          </w:p>
        </w:tc>
        <w:tc>
          <w:tcPr>
            <w:tcW w:w="3020" w:type="dxa"/>
            <w:gridSpan w:val="5"/>
            <w:vMerge/>
            <w:tcBorders>
              <w:bottom w:val="single" w:sz="8" w:space="0" w:color="auto"/>
              <w:right w:val="single" w:sz="8" w:space="0" w:color="auto"/>
            </w:tcBorders>
            <w:shd w:val="clear" w:color="auto" w:fill="auto"/>
            <w:vAlign w:val="bottom"/>
          </w:tcPr>
          <w:p w14:paraId="3D3A48A1" w14:textId="77777777" w:rsidR="00A52778" w:rsidRPr="00460F9E" w:rsidRDefault="00A52778" w:rsidP="00FC3F8E">
            <w:pPr>
              <w:spacing w:line="0" w:lineRule="atLeast"/>
              <w:rPr>
                <w:rFonts w:eastAsia="Times New Roman" w:cs="Times New Roman"/>
                <w:b/>
                <w:sz w:val="10"/>
              </w:rPr>
            </w:pPr>
          </w:p>
        </w:tc>
        <w:tc>
          <w:tcPr>
            <w:tcW w:w="880" w:type="dxa"/>
            <w:tcBorders>
              <w:left w:val="single" w:sz="8" w:space="0" w:color="auto"/>
              <w:bottom w:val="single" w:sz="8" w:space="0" w:color="auto"/>
            </w:tcBorders>
            <w:shd w:val="clear" w:color="auto" w:fill="auto"/>
            <w:vAlign w:val="bottom"/>
          </w:tcPr>
          <w:p w14:paraId="000122C8" w14:textId="77777777" w:rsidR="00A52778" w:rsidRPr="00460F9E" w:rsidRDefault="00A52778" w:rsidP="00FC3F8E">
            <w:pPr>
              <w:spacing w:line="0" w:lineRule="atLeast"/>
              <w:rPr>
                <w:rFonts w:eastAsia="Times New Roman" w:cs="Times New Roman"/>
                <w:b/>
                <w:sz w:val="10"/>
              </w:rPr>
            </w:pPr>
          </w:p>
        </w:tc>
        <w:tc>
          <w:tcPr>
            <w:tcW w:w="320" w:type="dxa"/>
            <w:tcBorders>
              <w:bottom w:val="single" w:sz="8" w:space="0" w:color="auto"/>
            </w:tcBorders>
            <w:shd w:val="clear" w:color="auto" w:fill="auto"/>
            <w:vAlign w:val="bottom"/>
          </w:tcPr>
          <w:p w14:paraId="46A00169" w14:textId="77777777" w:rsidR="00A52778" w:rsidRPr="00460F9E" w:rsidRDefault="00A52778" w:rsidP="00FC3F8E">
            <w:pPr>
              <w:spacing w:line="0" w:lineRule="atLeast"/>
              <w:rPr>
                <w:rFonts w:eastAsia="Times New Roman" w:cs="Times New Roman"/>
                <w:b/>
                <w:sz w:val="10"/>
              </w:rPr>
            </w:pPr>
          </w:p>
        </w:tc>
        <w:tc>
          <w:tcPr>
            <w:tcW w:w="520" w:type="dxa"/>
            <w:tcBorders>
              <w:bottom w:val="single" w:sz="8" w:space="0" w:color="auto"/>
            </w:tcBorders>
            <w:shd w:val="clear" w:color="auto" w:fill="auto"/>
            <w:vAlign w:val="bottom"/>
          </w:tcPr>
          <w:p w14:paraId="0363002D" w14:textId="77777777" w:rsidR="00A52778" w:rsidRPr="00460F9E" w:rsidRDefault="00A52778" w:rsidP="00FC3F8E">
            <w:pPr>
              <w:spacing w:line="0" w:lineRule="atLeast"/>
              <w:rPr>
                <w:rFonts w:eastAsia="Times New Roman" w:cs="Times New Roman"/>
                <w:b/>
                <w:sz w:val="10"/>
              </w:rPr>
            </w:pPr>
          </w:p>
        </w:tc>
        <w:tc>
          <w:tcPr>
            <w:tcW w:w="1280" w:type="dxa"/>
            <w:tcBorders>
              <w:bottom w:val="single" w:sz="8" w:space="0" w:color="auto"/>
            </w:tcBorders>
            <w:shd w:val="clear" w:color="auto" w:fill="auto"/>
            <w:vAlign w:val="bottom"/>
          </w:tcPr>
          <w:p w14:paraId="080A7653" w14:textId="77777777" w:rsidR="00A52778" w:rsidRPr="00460F9E" w:rsidRDefault="00A52778" w:rsidP="00FC3F8E">
            <w:pPr>
              <w:spacing w:line="0" w:lineRule="atLeast"/>
              <w:rPr>
                <w:rFonts w:eastAsia="Times New Roman" w:cs="Times New Roman"/>
                <w:b/>
                <w:sz w:val="10"/>
              </w:rPr>
            </w:pPr>
          </w:p>
        </w:tc>
        <w:tc>
          <w:tcPr>
            <w:tcW w:w="380" w:type="dxa"/>
            <w:tcBorders>
              <w:bottom w:val="single" w:sz="8" w:space="0" w:color="auto"/>
              <w:right w:val="single" w:sz="8" w:space="0" w:color="auto"/>
            </w:tcBorders>
            <w:shd w:val="clear" w:color="auto" w:fill="auto"/>
            <w:vAlign w:val="bottom"/>
          </w:tcPr>
          <w:p w14:paraId="1469F591" w14:textId="77777777" w:rsidR="00A52778" w:rsidRPr="00460F9E" w:rsidRDefault="00A52778" w:rsidP="00FC3F8E">
            <w:pPr>
              <w:spacing w:line="0" w:lineRule="atLeast"/>
              <w:rPr>
                <w:rFonts w:eastAsia="Times New Roman" w:cs="Times New Roman"/>
                <w:b/>
                <w:sz w:val="10"/>
              </w:rPr>
            </w:pPr>
          </w:p>
        </w:tc>
      </w:tr>
      <w:tr w:rsidR="00A52778" w:rsidRPr="00460F9E" w14:paraId="42F6CEF5" w14:textId="77777777" w:rsidTr="00FC3F8E">
        <w:trPr>
          <w:trHeight w:val="217"/>
        </w:trPr>
        <w:tc>
          <w:tcPr>
            <w:tcW w:w="380" w:type="dxa"/>
            <w:tcBorders>
              <w:left w:val="single" w:sz="8" w:space="0" w:color="auto"/>
              <w:right w:val="single" w:sz="8" w:space="0" w:color="auto"/>
            </w:tcBorders>
            <w:shd w:val="clear" w:color="auto" w:fill="auto"/>
            <w:vAlign w:val="bottom"/>
          </w:tcPr>
          <w:p w14:paraId="221A18E4" w14:textId="77777777" w:rsidR="00A52778" w:rsidRPr="00460F9E" w:rsidRDefault="00A52778" w:rsidP="00FC3F8E">
            <w:pPr>
              <w:spacing w:line="0" w:lineRule="atLeast"/>
              <w:rPr>
                <w:rFonts w:eastAsia="Times New Roman" w:cs="Times New Roman"/>
                <w:b/>
                <w:sz w:val="18"/>
              </w:rPr>
            </w:pPr>
          </w:p>
        </w:tc>
        <w:tc>
          <w:tcPr>
            <w:tcW w:w="80" w:type="dxa"/>
            <w:shd w:val="clear" w:color="auto" w:fill="auto"/>
            <w:vAlign w:val="bottom"/>
          </w:tcPr>
          <w:p w14:paraId="5E399B19" w14:textId="77777777" w:rsidR="00A52778" w:rsidRPr="00460F9E" w:rsidRDefault="00A52778" w:rsidP="00FC3F8E">
            <w:pPr>
              <w:spacing w:line="0" w:lineRule="atLeast"/>
              <w:rPr>
                <w:rFonts w:eastAsia="Times New Roman" w:cs="Times New Roman"/>
                <w:b/>
                <w:sz w:val="18"/>
              </w:rPr>
            </w:pPr>
          </w:p>
        </w:tc>
        <w:tc>
          <w:tcPr>
            <w:tcW w:w="1800" w:type="dxa"/>
            <w:gridSpan w:val="4"/>
            <w:vMerge w:val="restart"/>
            <w:tcBorders>
              <w:right w:val="single" w:sz="8" w:space="0" w:color="auto"/>
            </w:tcBorders>
            <w:shd w:val="clear" w:color="auto" w:fill="auto"/>
            <w:vAlign w:val="center"/>
          </w:tcPr>
          <w:p w14:paraId="62FFF7BB" w14:textId="77777777" w:rsidR="00A52778" w:rsidRPr="00460F9E" w:rsidRDefault="00A52778" w:rsidP="00FC3F8E">
            <w:pPr>
              <w:spacing w:line="0" w:lineRule="atLeast"/>
              <w:rPr>
                <w:rFonts w:eastAsia="Times New Roman" w:cs="Times New Roman"/>
                <w:b/>
                <w:sz w:val="18"/>
              </w:rPr>
            </w:pPr>
            <w:r w:rsidRPr="00460F9E">
              <w:rPr>
                <w:rFonts w:eastAsia="Times New Roman" w:cs="Times New Roman"/>
              </w:rPr>
              <w:t>Polimerdeki VOC içeriğinin azaltılması</w:t>
            </w:r>
          </w:p>
        </w:tc>
        <w:tc>
          <w:tcPr>
            <w:tcW w:w="100" w:type="dxa"/>
            <w:tcBorders>
              <w:left w:val="single" w:sz="8" w:space="0" w:color="auto"/>
            </w:tcBorders>
            <w:shd w:val="clear" w:color="auto" w:fill="auto"/>
            <w:vAlign w:val="bottom"/>
          </w:tcPr>
          <w:p w14:paraId="10CF9F1F" w14:textId="77777777" w:rsidR="00A52778" w:rsidRPr="00460F9E" w:rsidRDefault="00A52778" w:rsidP="00FC3F8E">
            <w:pPr>
              <w:spacing w:line="0" w:lineRule="atLeast"/>
              <w:rPr>
                <w:rFonts w:eastAsia="Times New Roman" w:cs="Times New Roman"/>
                <w:b/>
                <w:sz w:val="18"/>
              </w:rPr>
            </w:pPr>
          </w:p>
        </w:tc>
        <w:tc>
          <w:tcPr>
            <w:tcW w:w="3020" w:type="dxa"/>
            <w:gridSpan w:val="5"/>
            <w:vMerge w:val="restart"/>
            <w:tcBorders>
              <w:right w:val="single" w:sz="4" w:space="0" w:color="auto"/>
            </w:tcBorders>
            <w:shd w:val="clear" w:color="auto" w:fill="auto"/>
            <w:vAlign w:val="center"/>
          </w:tcPr>
          <w:p w14:paraId="0818281B"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Polimerdeki VOC içeriği, örneğin düşük basınçlı ayırma, sıyırma veya kapalı döngü azot temizleme sistemleri, gazdan arındırma ekstrüzyonu kullanılarak azaltılır (bkz. .4.3). VOC içeriğini azaltma teknikleri polimer ürününün türüne ve üretim sürecine bağlıdır.</w:t>
            </w:r>
          </w:p>
        </w:tc>
        <w:tc>
          <w:tcPr>
            <w:tcW w:w="3380" w:type="dxa"/>
            <w:gridSpan w:val="5"/>
            <w:vMerge w:val="restart"/>
            <w:tcBorders>
              <w:left w:val="single" w:sz="4" w:space="0" w:color="auto"/>
              <w:right w:val="single" w:sz="8" w:space="0" w:color="auto"/>
            </w:tcBorders>
            <w:shd w:val="clear" w:color="auto" w:fill="auto"/>
            <w:vAlign w:val="center"/>
          </w:tcPr>
          <w:p w14:paraId="21C73DFF"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Gazdan arındırma ekstrüzyonu, HDPE,   </w:t>
            </w:r>
          </w:p>
          <w:p w14:paraId="73A21D3A"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LDPE ve LLDPE üretimi için ürün </w:t>
            </w:r>
          </w:p>
          <w:p w14:paraId="2D481FC0" w14:textId="77777777" w:rsidR="00A52778" w:rsidRPr="00460F9E" w:rsidRDefault="00A52778" w:rsidP="00FC3F8E">
            <w:pPr>
              <w:spacing w:line="0" w:lineRule="atLeast"/>
              <w:rPr>
                <w:rFonts w:eastAsia="Times New Roman" w:cs="Times New Roman"/>
                <w:b/>
                <w:sz w:val="18"/>
              </w:rPr>
            </w:pPr>
            <w:r w:rsidRPr="00460F9E">
              <w:rPr>
                <w:rFonts w:eastAsia="Times New Roman" w:cs="Times New Roman"/>
              </w:rPr>
              <w:t xml:space="preserve">  spesifikasyonları ile sınırlandırılabilir.</w:t>
            </w:r>
          </w:p>
        </w:tc>
      </w:tr>
      <w:tr w:rsidR="00A52778" w:rsidRPr="00460F9E" w14:paraId="1ED8CCD5" w14:textId="77777777" w:rsidTr="00FC3F8E">
        <w:trPr>
          <w:trHeight w:val="230"/>
        </w:trPr>
        <w:tc>
          <w:tcPr>
            <w:tcW w:w="380" w:type="dxa"/>
            <w:tcBorders>
              <w:left w:val="single" w:sz="8" w:space="0" w:color="auto"/>
              <w:right w:val="single" w:sz="8" w:space="0" w:color="auto"/>
            </w:tcBorders>
            <w:shd w:val="clear" w:color="auto" w:fill="auto"/>
            <w:vAlign w:val="bottom"/>
          </w:tcPr>
          <w:p w14:paraId="116E6E6A" w14:textId="77777777" w:rsidR="00A52778" w:rsidRPr="00460F9E" w:rsidRDefault="00A52778" w:rsidP="00FC3F8E">
            <w:pPr>
              <w:spacing w:line="0" w:lineRule="atLeast"/>
              <w:rPr>
                <w:rFonts w:eastAsia="Times New Roman" w:cs="Times New Roman"/>
                <w:b/>
              </w:rPr>
            </w:pPr>
          </w:p>
        </w:tc>
        <w:tc>
          <w:tcPr>
            <w:tcW w:w="80" w:type="dxa"/>
            <w:shd w:val="clear" w:color="auto" w:fill="auto"/>
            <w:vAlign w:val="bottom"/>
          </w:tcPr>
          <w:p w14:paraId="548E9114" w14:textId="77777777" w:rsidR="00A52778" w:rsidRPr="00460F9E" w:rsidRDefault="00A52778" w:rsidP="00FC3F8E">
            <w:pPr>
              <w:spacing w:line="0" w:lineRule="atLeast"/>
              <w:rPr>
                <w:rFonts w:eastAsia="Times New Roman" w:cs="Times New Roman"/>
                <w:b/>
              </w:rPr>
            </w:pPr>
          </w:p>
        </w:tc>
        <w:tc>
          <w:tcPr>
            <w:tcW w:w="1800" w:type="dxa"/>
            <w:gridSpan w:val="4"/>
            <w:vMerge/>
            <w:tcBorders>
              <w:right w:val="single" w:sz="8" w:space="0" w:color="auto"/>
            </w:tcBorders>
            <w:shd w:val="clear" w:color="auto" w:fill="auto"/>
            <w:vAlign w:val="bottom"/>
          </w:tcPr>
          <w:p w14:paraId="7C608B6C" w14:textId="77777777" w:rsidR="00A52778" w:rsidRPr="00460F9E" w:rsidRDefault="00A52778" w:rsidP="00FC3F8E">
            <w:pPr>
              <w:spacing w:line="0" w:lineRule="atLeast"/>
              <w:rPr>
                <w:rFonts w:eastAsia="Times New Roman" w:cs="Times New Roman"/>
                <w:b/>
              </w:rPr>
            </w:pPr>
          </w:p>
        </w:tc>
        <w:tc>
          <w:tcPr>
            <w:tcW w:w="100" w:type="dxa"/>
            <w:tcBorders>
              <w:left w:val="single" w:sz="8" w:space="0" w:color="auto"/>
            </w:tcBorders>
            <w:shd w:val="clear" w:color="auto" w:fill="auto"/>
            <w:vAlign w:val="bottom"/>
          </w:tcPr>
          <w:p w14:paraId="1ED1A24D" w14:textId="77777777" w:rsidR="00A52778" w:rsidRPr="00460F9E" w:rsidRDefault="00A52778" w:rsidP="00FC3F8E">
            <w:pPr>
              <w:spacing w:line="0" w:lineRule="atLeast"/>
              <w:rPr>
                <w:rFonts w:eastAsia="Times New Roman" w:cs="Times New Roman"/>
                <w:b/>
              </w:rPr>
            </w:pPr>
          </w:p>
        </w:tc>
        <w:tc>
          <w:tcPr>
            <w:tcW w:w="3020" w:type="dxa"/>
            <w:gridSpan w:val="5"/>
            <w:vMerge/>
            <w:tcBorders>
              <w:right w:val="single" w:sz="4" w:space="0" w:color="auto"/>
            </w:tcBorders>
            <w:shd w:val="clear" w:color="auto" w:fill="auto"/>
            <w:vAlign w:val="bottom"/>
          </w:tcPr>
          <w:p w14:paraId="6B4C2562" w14:textId="77777777" w:rsidR="00A52778" w:rsidRPr="00460F9E" w:rsidRDefault="00A52778" w:rsidP="00FC3F8E">
            <w:pPr>
              <w:spacing w:line="0" w:lineRule="atLeast"/>
              <w:rPr>
                <w:rFonts w:eastAsia="Times New Roman" w:cs="Times New Roman"/>
                <w:b/>
              </w:rPr>
            </w:pPr>
          </w:p>
        </w:tc>
        <w:tc>
          <w:tcPr>
            <w:tcW w:w="3380" w:type="dxa"/>
            <w:gridSpan w:val="5"/>
            <w:vMerge/>
            <w:tcBorders>
              <w:left w:val="single" w:sz="4" w:space="0" w:color="auto"/>
              <w:right w:val="single" w:sz="8" w:space="0" w:color="auto"/>
            </w:tcBorders>
            <w:shd w:val="clear" w:color="auto" w:fill="auto"/>
            <w:vAlign w:val="bottom"/>
          </w:tcPr>
          <w:p w14:paraId="63431065" w14:textId="77777777" w:rsidR="00A52778" w:rsidRPr="00460F9E" w:rsidRDefault="00A52778" w:rsidP="00FC3F8E">
            <w:pPr>
              <w:spacing w:line="0" w:lineRule="atLeast"/>
              <w:rPr>
                <w:rFonts w:eastAsia="Times New Roman" w:cs="Times New Roman"/>
                <w:b/>
              </w:rPr>
            </w:pPr>
          </w:p>
        </w:tc>
      </w:tr>
      <w:tr w:rsidR="00A52778" w:rsidRPr="00460F9E" w14:paraId="07B677A1" w14:textId="77777777" w:rsidTr="00FC3F8E">
        <w:trPr>
          <w:trHeight w:val="230"/>
        </w:trPr>
        <w:tc>
          <w:tcPr>
            <w:tcW w:w="380" w:type="dxa"/>
            <w:tcBorders>
              <w:left w:val="single" w:sz="8" w:space="0" w:color="auto"/>
              <w:right w:val="single" w:sz="8" w:space="0" w:color="auto"/>
            </w:tcBorders>
            <w:shd w:val="clear" w:color="auto" w:fill="auto"/>
            <w:vAlign w:val="bottom"/>
          </w:tcPr>
          <w:p w14:paraId="7E36CE8F" w14:textId="77777777" w:rsidR="00A52778" w:rsidRPr="00460F9E" w:rsidRDefault="00A52778" w:rsidP="00FC3F8E">
            <w:pPr>
              <w:spacing w:line="0" w:lineRule="atLeast"/>
              <w:rPr>
                <w:rFonts w:eastAsia="Times New Roman" w:cs="Times New Roman"/>
                <w:b/>
              </w:rPr>
            </w:pPr>
          </w:p>
        </w:tc>
        <w:tc>
          <w:tcPr>
            <w:tcW w:w="80" w:type="dxa"/>
            <w:shd w:val="clear" w:color="auto" w:fill="auto"/>
            <w:vAlign w:val="bottom"/>
          </w:tcPr>
          <w:p w14:paraId="179F3338" w14:textId="77777777" w:rsidR="00A52778" w:rsidRPr="00460F9E" w:rsidRDefault="00A52778" w:rsidP="00FC3F8E">
            <w:pPr>
              <w:spacing w:line="0" w:lineRule="atLeast"/>
              <w:rPr>
                <w:rFonts w:eastAsia="Times New Roman" w:cs="Times New Roman"/>
                <w:b/>
              </w:rPr>
            </w:pPr>
          </w:p>
        </w:tc>
        <w:tc>
          <w:tcPr>
            <w:tcW w:w="1800" w:type="dxa"/>
            <w:gridSpan w:val="4"/>
            <w:vMerge/>
            <w:tcBorders>
              <w:right w:val="single" w:sz="8" w:space="0" w:color="auto"/>
            </w:tcBorders>
            <w:shd w:val="clear" w:color="auto" w:fill="auto"/>
            <w:vAlign w:val="bottom"/>
          </w:tcPr>
          <w:p w14:paraId="517CBB24" w14:textId="77777777" w:rsidR="00A52778" w:rsidRPr="00460F9E" w:rsidRDefault="00A52778" w:rsidP="00FC3F8E">
            <w:pPr>
              <w:spacing w:line="0" w:lineRule="atLeast"/>
              <w:rPr>
                <w:rFonts w:eastAsia="Times New Roman" w:cs="Times New Roman"/>
                <w:b/>
              </w:rPr>
            </w:pPr>
          </w:p>
        </w:tc>
        <w:tc>
          <w:tcPr>
            <w:tcW w:w="100" w:type="dxa"/>
            <w:tcBorders>
              <w:left w:val="single" w:sz="8" w:space="0" w:color="auto"/>
            </w:tcBorders>
            <w:shd w:val="clear" w:color="auto" w:fill="auto"/>
            <w:vAlign w:val="bottom"/>
          </w:tcPr>
          <w:p w14:paraId="39243F14" w14:textId="77777777" w:rsidR="00A52778" w:rsidRPr="00460F9E" w:rsidRDefault="00A52778" w:rsidP="00FC3F8E">
            <w:pPr>
              <w:spacing w:line="0" w:lineRule="atLeast"/>
              <w:rPr>
                <w:rFonts w:eastAsia="Times New Roman" w:cs="Times New Roman"/>
                <w:b/>
              </w:rPr>
            </w:pPr>
          </w:p>
        </w:tc>
        <w:tc>
          <w:tcPr>
            <w:tcW w:w="3020" w:type="dxa"/>
            <w:gridSpan w:val="5"/>
            <w:vMerge/>
            <w:tcBorders>
              <w:right w:val="single" w:sz="4" w:space="0" w:color="auto"/>
            </w:tcBorders>
            <w:shd w:val="clear" w:color="auto" w:fill="auto"/>
            <w:vAlign w:val="bottom"/>
          </w:tcPr>
          <w:p w14:paraId="3E94A46D" w14:textId="77777777" w:rsidR="00A52778" w:rsidRPr="00460F9E" w:rsidRDefault="00A52778" w:rsidP="00FC3F8E">
            <w:pPr>
              <w:spacing w:line="0" w:lineRule="atLeast"/>
              <w:rPr>
                <w:rFonts w:eastAsia="Times New Roman" w:cs="Times New Roman"/>
                <w:b/>
              </w:rPr>
            </w:pPr>
          </w:p>
        </w:tc>
        <w:tc>
          <w:tcPr>
            <w:tcW w:w="3380" w:type="dxa"/>
            <w:gridSpan w:val="5"/>
            <w:vMerge/>
            <w:tcBorders>
              <w:left w:val="single" w:sz="4" w:space="0" w:color="auto"/>
              <w:right w:val="single" w:sz="8" w:space="0" w:color="auto"/>
            </w:tcBorders>
            <w:shd w:val="clear" w:color="auto" w:fill="auto"/>
            <w:vAlign w:val="bottom"/>
          </w:tcPr>
          <w:p w14:paraId="6774D258" w14:textId="77777777" w:rsidR="00A52778" w:rsidRPr="00460F9E" w:rsidRDefault="00A52778" w:rsidP="00FC3F8E">
            <w:pPr>
              <w:spacing w:line="0" w:lineRule="atLeast"/>
              <w:rPr>
                <w:rFonts w:eastAsia="Times New Roman" w:cs="Times New Roman"/>
                <w:b/>
              </w:rPr>
            </w:pPr>
          </w:p>
        </w:tc>
      </w:tr>
      <w:tr w:rsidR="00A52778" w:rsidRPr="00460F9E" w14:paraId="7F79B6F0" w14:textId="77777777" w:rsidTr="00FC3F8E">
        <w:trPr>
          <w:trHeight w:val="113"/>
        </w:trPr>
        <w:tc>
          <w:tcPr>
            <w:tcW w:w="380" w:type="dxa"/>
            <w:tcBorders>
              <w:left w:val="single" w:sz="8" w:space="0" w:color="auto"/>
              <w:right w:val="single" w:sz="8" w:space="0" w:color="auto"/>
            </w:tcBorders>
            <w:shd w:val="clear" w:color="auto" w:fill="auto"/>
            <w:vAlign w:val="bottom"/>
          </w:tcPr>
          <w:p w14:paraId="7E18000D" w14:textId="77777777" w:rsidR="00A52778" w:rsidRPr="00460F9E" w:rsidRDefault="00A52778" w:rsidP="00FC3F8E">
            <w:pPr>
              <w:spacing w:line="0" w:lineRule="atLeast"/>
              <w:rPr>
                <w:rFonts w:eastAsia="Times New Roman" w:cs="Times New Roman"/>
                <w:b/>
                <w:sz w:val="9"/>
              </w:rPr>
            </w:pPr>
          </w:p>
        </w:tc>
        <w:tc>
          <w:tcPr>
            <w:tcW w:w="80" w:type="dxa"/>
            <w:shd w:val="clear" w:color="auto" w:fill="auto"/>
            <w:vAlign w:val="bottom"/>
          </w:tcPr>
          <w:p w14:paraId="79C6E523" w14:textId="77777777" w:rsidR="00A52778" w:rsidRPr="00460F9E" w:rsidRDefault="00A52778" w:rsidP="00FC3F8E">
            <w:pPr>
              <w:spacing w:line="0" w:lineRule="atLeast"/>
              <w:rPr>
                <w:rFonts w:eastAsia="Times New Roman" w:cs="Times New Roman"/>
                <w:b/>
                <w:sz w:val="9"/>
              </w:rPr>
            </w:pPr>
          </w:p>
        </w:tc>
        <w:tc>
          <w:tcPr>
            <w:tcW w:w="1800" w:type="dxa"/>
            <w:gridSpan w:val="4"/>
            <w:vMerge/>
            <w:tcBorders>
              <w:right w:val="single" w:sz="8" w:space="0" w:color="auto"/>
            </w:tcBorders>
            <w:shd w:val="clear" w:color="auto" w:fill="auto"/>
            <w:vAlign w:val="bottom"/>
          </w:tcPr>
          <w:p w14:paraId="5E5157A4" w14:textId="77777777" w:rsidR="00A52778" w:rsidRPr="00460F9E" w:rsidRDefault="00A52778" w:rsidP="00FC3F8E">
            <w:pPr>
              <w:spacing w:line="0" w:lineRule="atLeast"/>
              <w:rPr>
                <w:rFonts w:eastAsia="Times New Roman" w:cs="Times New Roman"/>
                <w:b/>
              </w:rPr>
            </w:pPr>
          </w:p>
        </w:tc>
        <w:tc>
          <w:tcPr>
            <w:tcW w:w="100" w:type="dxa"/>
            <w:tcBorders>
              <w:left w:val="single" w:sz="8" w:space="0" w:color="auto"/>
            </w:tcBorders>
            <w:shd w:val="clear" w:color="auto" w:fill="auto"/>
            <w:vAlign w:val="bottom"/>
          </w:tcPr>
          <w:p w14:paraId="719C0604" w14:textId="77777777" w:rsidR="00A52778" w:rsidRPr="00460F9E" w:rsidRDefault="00A52778" w:rsidP="00FC3F8E">
            <w:pPr>
              <w:spacing w:line="0" w:lineRule="atLeast"/>
              <w:rPr>
                <w:rFonts w:eastAsia="Times New Roman" w:cs="Times New Roman"/>
                <w:b/>
                <w:sz w:val="9"/>
              </w:rPr>
            </w:pPr>
          </w:p>
        </w:tc>
        <w:tc>
          <w:tcPr>
            <w:tcW w:w="3020" w:type="dxa"/>
            <w:gridSpan w:val="5"/>
            <w:vMerge/>
            <w:tcBorders>
              <w:right w:val="single" w:sz="4" w:space="0" w:color="auto"/>
            </w:tcBorders>
            <w:shd w:val="clear" w:color="auto" w:fill="auto"/>
            <w:vAlign w:val="bottom"/>
          </w:tcPr>
          <w:p w14:paraId="099FC6AF" w14:textId="77777777" w:rsidR="00A52778" w:rsidRPr="00460F9E" w:rsidRDefault="00A52778" w:rsidP="00FC3F8E">
            <w:pPr>
              <w:spacing w:line="0" w:lineRule="atLeast"/>
              <w:rPr>
                <w:rFonts w:eastAsia="Times New Roman" w:cs="Times New Roman"/>
                <w:b/>
              </w:rPr>
            </w:pPr>
          </w:p>
        </w:tc>
        <w:tc>
          <w:tcPr>
            <w:tcW w:w="3380" w:type="dxa"/>
            <w:gridSpan w:val="5"/>
            <w:vMerge/>
            <w:tcBorders>
              <w:left w:val="single" w:sz="4" w:space="0" w:color="auto"/>
              <w:right w:val="single" w:sz="8" w:space="0" w:color="auto"/>
            </w:tcBorders>
            <w:shd w:val="clear" w:color="auto" w:fill="auto"/>
            <w:vAlign w:val="bottom"/>
          </w:tcPr>
          <w:p w14:paraId="5195EB89" w14:textId="77777777" w:rsidR="00A52778" w:rsidRPr="00460F9E" w:rsidRDefault="00A52778" w:rsidP="00FC3F8E">
            <w:pPr>
              <w:spacing w:line="0" w:lineRule="atLeast"/>
              <w:rPr>
                <w:rFonts w:eastAsia="Times New Roman" w:cs="Times New Roman"/>
                <w:b/>
                <w:sz w:val="9"/>
              </w:rPr>
            </w:pPr>
          </w:p>
        </w:tc>
      </w:tr>
      <w:tr w:rsidR="00A52778" w:rsidRPr="00460F9E" w14:paraId="2ACA659A" w14:textId="77777777" w:rsidTr="00FC3F8E">
        <w:trPr>
          <w:trHeight w:val="115"/>
        </w:trPr>
        <w:tc>
          <w:tcPr>
            <w:tcW w:w="380" w:type="dxa"/>
            <w:tcBorders>
              <w:left w:val="single" w:sz="8" w:space="0" w:color="auto"/>
              <w:right w:val="single" w:sz="8" w:space="0" w:color="auto"/>
            </w:tcBorders>
            <w:shd w:val="clear" w:color="auto" w:fill="auto"/>
            <w:vAlign w:val="bottom"/>
          </w:tcPr>
          <w:p w14:paraId="7B6C2306" w14:textId="77777777" w:rsidR="00A52778" w:rsidRPr="00460F9E" w:rsidRDefault="00A52778" w:rsidP="00FC3F8E">
            <w:pPr>
              <w:spacing w:line="0" w:lineRule="atLeast"/>
              <w:rPr>
                <w:rFonts w:eastAsia="Times New Roman" w:cs="Times New Roman"/>
                <w:b/>
                <w:sz w:val="10"/>
              </w:rPr>
            </w:pPr>
          </w:p>
        </w:tc>
        <w:tc>
          <w:tcPr>
            <w:tcW w:w="80" w:type="dxa"/>
            <w:shd w:val="clear" w:color="auto" w:fill="auto"/>
            <w:vAlign w:val="bottom"/>
          </w:tcPr>
          <w:p w14:paraId="7E889789" w14:textId="77777777" w:rsidR="00A52778" w:rsidRPr="00460F9E" w:rsidRDefault="00A52778" w:rsidP="00FC3F8E">
            <w:pPr>
              <w:spacing w:line="0" w:lineRule="atLeast"/>
              <w:rPr>
                <w:rFonts w:eastAsia="Times New Roman" w:cs="Times New Roman"/>
                <w:b/>
                <w:sz w:val="10"/>
              </w:rPr>
            </w:pPr>
          </w:p>
        </w:tc>
        <w:tc>
          <w:tcPr>
            <w:tcW w:w="1800" w:type="dxa"/>
            <w:gridSpan w:val="4"/>
            <w:vMerge/>
            <w:tcBorders>
              <w:right w:val="single" w:sz="8" w:space="0" w:color="auto"/>
            </w:tcBorders>
            <w:shd w:val="clear" w:color="auto" w:fill="auto"/>
            <w:vAlign w:val="bottom"/>
          </w:tcPr>
          <w:p w14:paraId="592A546F" w14:textId="77777777" w:rsidR="00A52778" w:rsidRPr="00460F9E" w:rsidRDefault="00A52778" w:rsidP="00FC3F8E">
            <w:pPr>
              <w:spacing w:line="0" w:lineRule="atLeast"/>
              <w:rPr>
                <w:rFonts w:eastAsia="Times New Roman" w:cs="Times New Roman"/>
                <w:b/>
                <w:sz w:val="10"/>
              </w:rPr>
            </w:pPr>
          </w:p>
        </w:tc>
        <w:tc>
          <w:tcPr>
            <w:tcW w:w="100" w:type="dxa"/>
            <w:tcBorders>
              <w:left w:val="single" w:sz="8" w:space="0" w:color="auto"/>
            </w:tcBorders>
            <w:shd w:val="clear" w:color="auto" w:fill="auto"/>
            <w:vAlign w:val="bottom"/>
          </w:tcPr>
          <w:p w14:paraId="47F6154B" w14:textId="77777777" w:rsidR="00A52778" w:rsidRPr="00460F9E" w:rsidRDefault="00A52778" w:rsidP="00FC3F8E">
            <w:pPr>
              <w:spacing w:line="0" w:lineRule="atLeast"/>
              <w:rPr>
                <w:rFonts w:eastAsia="Times New Roman" w:cs="Times New Roman"/>
                <w:b/>
                <w:sz w:val="10"/>
              </w:rPr>
            </w:pPr>
          </w:p>
        </w:tc>
        <w:tc>
          <w:tcPr>
            <w:tcW w:w="3020" w:type="dxa"/>
            <w:gridSpan w:val="5"/>
            <w:vMerge/>
            <w:tcBorders>
              <w:right w:val="single" w:sz="4" w:space="0" w:color="auto"/>
            </w:tcBorders>
            <w:shd w:val="clear" w:color="auto" w:fill="auto"/>
            <w:vAlign w:val="bottom"/>
          </w:tcPr>
          <w:p w14:paraId="469BB876" w14:textId="77777777" w:rsidR="00A52778" w:rsidRPr="00460F9E" w:rsidRDefault="00A52778" w:rsidP="00FC3F8E">
            <w:pPr>
              <w:spacing w:line="0" w:lineRule="atLeast"/>
              <w:rPr>
                <w:rFonts w:eastAsia="Times New Roman" w:cs="Times New Roman"/>
                <w:b/>
                <w:sz w:val="10"/>
              </w:rPr>
            </w:pPr>
          </w:p>
        </w:tc>
        <w:tc>
          <w:tcPr>
            <w:tcW w:w="3380" w:type="dxa"/>
            <w:gridSpan w:val="5"/>
            <w:vMerge/>
            <w:tcBorders>
              <w:left w:val="single" w:sz="4" w:space="0" w:color="auto"/>
              <w:right w:val="single" w:sz="8" w:space="0" w:color="auto"/>
            </w:tcBorders>
            <w:shd w:val="clear" w:color="auto" w:fill="auto"/>
            <w:vAlign w:val="bottom"/>
          </w:tcPr>
          <w:p w14:paraId="5F005504" w14:textId="77777777" w:rsidR="00A52778" w:rsidRPr="00460F9E" w:rsidRDefault="00A52778" w:rsidP="00FC3F8E">
            <w:pPr>
              <w:spacing w:line="0" w:lineRule="atLeast"/>
              <w:rPr>
                <w:rFonts w:eastAsia="Times New Roman" w:cs="Times New Roman"/>
                <w:b/>
              </w:rPr>
            </w:pPr>
          </w:p>
        </w:tc>
      </w:tr>
      <w:tr w:rsidR="00A52778" w:rsidRPr="00460F9E" w14:paraId="303145CC" w14:textId="77777777" w:rsidTr="00FC3F8E">
        <w:trPr>
          <w:trHeight w:val="115"/>
        </w:trPr>
        <w:tc>
          <w:tcPr>
            <w:tcW w:w="380" w:type="dxa"/>
            <w:vMerge w:val="restart"/>
            <w:tcBorders>
              <w:left w:val="single" w:sz="8" w:space="0" w:color="auto"/>
              <w:right w:val="single" w:sz="8" w:space="0" w:color="auto"/>
            </w:tcBorders>
            <w:shd w:val="clear" w:color="auto" w:fill="auto"/>
            <w:vAlign w:val="bottom"/>
          </w:tcPr>
          <w:p w14:paraId="31A8950B"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b.</w:t>
            </w:r>
          </w:p>
        </w:tc>
        <w:tc>
          <w:tcPr>
            <w:tcW w:w="80" w:type="dxa"/>
            <w:shd w:val="clear" w:color="auto" w:fill="auto"/>
            <w:vAlign w:val="bottom"/>
          </w:tcPr>
          <w:p w14:paraId="2B6AA781" w14:textId="77777777" w:rsidR="00A52778" w:rsidRPr="00460F9E" w:rsidRDefault="00A52778" w:rsidP="00FC3F8E">
            <w:pPr>
              <w:spacing w:line="0" w:lineRule="atLeast"/>
              <w:rPr>
                <w:rFonts w:eastAsia="Times New Roman" w:cs="Times New Roman"/>
                <w:b/>
                <w:sz w:val="10"/>
              </w:rPr>
            </w:pPr>
          </w:p>
        </w:tc>
        <w:tc>
          <w:tcPr>
            <w:tcW w:w="1800" w:type="dxa"/>
            <w:gridSpan w:val="4"/>
            <w:vMerge/>
            <w:tcBorders>
              <w:right w:val="single" w:sz="8" w:space="0" w:color="auto"/>
            </w:tcBorders>
            <w:shd w:val="clear" w:color="auto" w:fill="auto"/>
            <w:vAlign w:val="bottom"/>
          </w:tcPr>
          <w:p w14:paraId="35A8D7E8" w14:textId="77777777" w:rsidR="00A52778" w:rsidRPr="00460F9E" w:rsidRDefault="00A52778" w:rsidP="00FC3F8E">
            <w:pPr>
              <w:spacing w:line="0" w:lineRule="atLeast"/>
              <w:rPr>
                <w:rFonts w:eastAsia="Times New Roman" w:cs="Times New Roman"/>
                <w:b/>
              </w:rPr>
            </w:pPr>
          </w:p>
        </w:tc>
        <w:tc>
          <w:tcPr>
            <w:tcW w:w="100" w:type="dxa"/>
            <w:tcBorders>
              <w:left w:val="single" w:sz="8" w:space="0" w:color="auto"/>
            </w:tcBorders>
            <w:shd w:val="clear" w:color="auto" w:fill="auto"/>
            <w:vAlign w:val="bottom"/>
          </w:tcPr>
          <w:p w14:paraId="296FA32B" w14:textId="77777777" w:rsidR="00A52778" w:rsidRPr="00460F9E" w:rsidRDefault="00A52778" w:rsidP="00FC3F8E">
            <w:pPr>
              <w:spacing w:line="0" w:lineRule="atLeast"/>
              <w:rPr>
                <w:rFonts w:eastAsia="Times New Roman" w:cs="Times New Roman"/>
                <w:b/>
                <w:sz w:val="10"/>
              </w:rPr>
            </w:pPr>
          </w:p>
        </w:tc>
        <w:tc>
          <w:tcPr>
            <w:tcW w:w="3020" w:type="dxa"/>
            <w:gridSpan w:val="5"/>
            <w:vMerge/>
            <w:tcBorders>
              <w:right w:val="single" w:sz="4" w:space="0" w:color="auto"/>
            </w:tcBorders>
            <w:shd w:val="clear" w:color="auto" w:fill="auto"/>
            <w:vAlign w:val="bottom"/>
          </w:tcPr>
          <w:p w14:paraId="3AD371D4" w14:textId="77777777" w:rsidR="00A52778" w:rsidRPr="00460F9E" w:rsidRDefault="00A52778" w:rsidP="00FC3F8E">
            <w:pPr>
              <w:spacing w:line="0" w:lineRule="atLeast"/>
              <w:rPr>
                <w:rFonts w:eastAsia="Times New Roman" w:cs="Times New Roman"/>
                <w:b/>
              </w:rPr>
            </w:pPr>
          </w:p>
        </w:tc>
        <w:tc>
          <w:tcPr>
            <w:tcW w:w="3380" w:type="dxa"/>
            <w:gridSpan w:val="5"/>
            <w:vMerge/>
            <w:tcBorders>
              <w:left w:val="single" w:sz="4" w:space="0" w:color="auto"/>
              <w:right w:val="single" w:sz="8" w:space="0" w:color="auto"/>
            </w:tcBorders>
            <w:shd w:val="clear" w:color="auto" w:fill="auto"/>
            <w:vAlign w:val="bottom"/>
          </w:tcPr>
          <w:p w14:paraId="5CC2973F" w14:textId="77777777" w:rsidR="00A52778" w:rsidRPr="00460F9E" w:rsidRDefault="00A52778" w:rsidP="00FC3F8E">
            <w:pPr>
              <w:spacing w:line="0" w:lineRule="atLeast"/>
              <w:rPr>
                <w:rFonts w:eastAsia="Times New Roman" w:cs="Times New Roman"/>
                <w:b/>
                <w:sz w:val="10"/>
              </w:rPr>
            </w:pPr>
          </w:p>
        </w:tc>
      </w:tr>
      <w:tr w:rsidR="00A52778" w:rsidRPr="00460F9E" w14:paraId="262A6A56" w14:textId="77777777" w:rsidTr="00FC3F8E">
        <w:trPr>
          <w:trHeight w:val="115"/>
        </w:trPr>
        <w:tc>
          <w:tcPr>
            <w:tcW w:w="380" w:type="dxa"/>
            <w:vMerge/>
            <w:tcBorders>
              <w:left w:val="single" w:sz="8" w:space="0" w:color="auto"/>
              <w:right w:val="single" w:sz="8" w:space="0" w:color="auto"/>
            </w:tcBorders>
            <w:shd w:val="clear" w:color="auto" w:fill="auto"/>
            <w:vAlign w:val="bottom"/>
          </w:tcPr>
          <w:p w14:paraId="6D4F6AE3" w14:textId="77777777" w:rsidR="00A52778" w:rsidRPr="00460F9E" w:rsidRDefault="00A52778" w:rsidP="00FC3F8E">
            <w:pPr>
              <w:spacing w:line="0" w:lineRule="atLeast"/>
              <w:rPr>
                <w:rFonts w:eastAsia="Times New Roman" w:cs="Times New Roman"/>
                <w:b/>
                <w:sz w:val="10"/>
              </w:rPr>
            </w:pPr>
          </w:p>
        </w:tc>
        <w:tc>
          <w:tcPr>
            <w:tcW w:w="80" w:type="dxa"/>
            <w:shd w:val="clear" w:color="auto" w:fill="auto"/>
            <w:vAlign w:val="bottom"/>
          </w:tcPr>
          <w:p w14:paraId="1AC4871F" w14:textId="77777777" w:rsidR="00A52778" w:rsidRPr="00460F9E" w:rsidRDefault="00A52778" w:rsidP="00FC3F8E">
            <w:pPr>
              <w:spacing w:line="0" w:lineRule="atLeast"/>
              <w:rPr>
                <w:rFonts w:eastAsia="Times New Roman" w:cs="Times New Roman"/>
                <w:b/>
                <w:sz w:val="10"/>
              </w:rPr>
            </w:pPr>
          </w:p>
        </w:tc>
        <w:tc>
          <w:tcPr>
            <w:tcW w:w="1800" w:type="dxa"/>
            <w:gridSpan w:val="4"/>
            <w:vMerge/>
            <w:tcBorders>
              <w:right w:val="single" w:sz="8" w:space="0" w:color="auto"/>
            </w:tcBorders>
            <w:shd w:val="clear" w:color="auto" w:fill="auto"/>
            <w:vAlign w:val="bottom"/>
          </w:tcPr>
          <w:p w14:paraId="00805F19" w14:textId="77777777" w:rsidR="00A52778" w:rsidRPr="00460F9E" w:rsidRDefault="00A52778" w:rsidP="00FC3F8E">
            <w:pPr>
              <w:spacing w:line="0" w:lineRule="atLeast"/>
              <w:rPr>
                <w:rFonts w:eastAsia="Times New Roman" w:cs="Times New Roman"/>
                <w:b/>
                <w:sz w:val="10"/>
              </w:rPr>
            </w:pPr>
          </w:p>
        </w:tc>
        <w:tc>
          <w:tcPr>
            <w:tcW w:w="100" w:type="dxa"/>
            <w:tcBorders>
              <w:left w:val="single" w:sz="8" w:space="0" w:color="auto"/>
            </w:tcBorders>
            <w:shd w:val="clear" w:color="auto" w:fill="auto"/>
            <w:vAlign w:val="bottom"/>
          </w:tcPr>
          <w:p w14:paraId="57CCE359" w14:textId="77777777" w:rsidR="00A52778" w:rsidRPr="00460F9E" w:rsidRDefault="00A52778" w:rsidP="00FC3F8E">
            <w:pPr>
              <w:spacing w:line="0" w:lineRule="atLeast"/>
              <w:rPr>
                <w:rFonts w:eastAsia="Times New Roman" w:cs="Times New Roman"/>
                <w:b/>
                <w:sz w:val="10"/>
              </w:rPr>
            </w:pPr>
          </w:p>
        </w:tc>
        <w:tc>
          <w:tcPr>
            <w:tcW w:w="3020" w:type="dxa"/>
            <w:gridSpan w:val="5"/>
            <w:vMerge/>
            <w:tcBorders>
              <w:right w:val="single" w:sz="4" w:space="0" w:color="auto"/>
            </w:tcBorders>
            <w:shd w:val="clear" w:color="auto" w:fill="auto"/>
            <w:vAlign w:val="bottom"/>
          </w:tcPr>
          <w:p w14:paraId="6A3AC00C" w14:textId="77777777" w:rsidR="00A52778" w:rsidRPr="00460F9E" w:rsidRDefault="00A52778" w:rsidP="00FC3F8E">
            <w:pPr>
              <w:spacing w:line="0" w:lineRule="atLeast"/>
              <w:rPr>
                <w:rFonts w:eastAsia="Times New Roman" w:cs="Times New Roman"/>
                <w:b/>
                <w:sz w:val="10"/>
              </w:rPr>
            </w:pPr>
          </w:p>
        </w:tc>
        <w:tc>
          <w:tcPr>
            <w:tcW w:w="3380" w:type="dxa"/>
            <w:gridSpan w:val="5"/>
            <w:vMerge/>
            <w:tcBorders>
              <w:left w:val="single" w:sz="4" w:space="0" w:color="auto"/>
              <w:right w:val="single" w:sz="8" w:space="0" w:color="auto"/>
            </w:tcBorders>
            <w:shd w:val="clear" w:color="auto" w:fill="auto"/>
            <w:vAlign w:val="bottom"/>
          </w:tcPr>
          <w:p w14:paraId="6AE6752F" w14:textId="77777777" w:rsidR="00A52778" w:rsidRPr="00460F9E" w:rsidRDefault="00A52778" w:rsidP="00FC3F8E">
            <w:pPr>
              <w:spacing w:line="0" w:lineRule="atLeast"/>
              <w:rPr>
                <w:rFonts w:eastAsia="Times New Roman" w:cs="Times New Roman"/>
                <w:b/>
              </w:rPr>
            </w:pPr>
          </w:p>
        </w:tc>
      </w:tr>
      <w:tr w:rsidR="00A52778" w:rsidRPr="00460F9E" w14:paraId="42A41A60" w14:textId="77777777" w:rsidTr="00FC3F8E">
        <w:trPr>
          <w:trHeight w:val="115"/>
        </w:trPr>
        <w:tc>
          <w:tcPr>
            <w:tcW w:w="380" w:type="dxa"/>
            <w:tcBorders>
              <w:left w:val="single" w:sz="8" w:space="0" w:color="auto"/>
              <w:right w:val="single" w:sz="8" w:space="0" w:color="auto"/>
            </w:tcBorders>
            <w:shd w:val="clear" w:color="auto" w:fill="auto"/>
            <w:vAlign w:val="bottom"/>
          </w:tcPr>
          <w:p w14:paraId="443E2C33" w14:textId="77777777" w:rsidR="00A52778" w:rsidRPr="00460F9E" w:rsidRDefault="00A52778" w:rsidP="00FC3F8E">
            <w:pPr>
              <w:spacing w:line="0" w:lineRule="atLeast"/>
              <w:rPr>
                <w:rFonts w:eastAsia="Times New Roman" w:cs="Times New Roman"/>
                <w:b/>
                <w:sz w:val="10"/>
              </w:rPr>
            </w:pPr>
          </w:p>
        </w:tc>
        <w:tc>
          <w:tcPr>
            <w:tcW w:w="80" w:type="dxa"/>
            <w:shd w:val="clear" w:color="auto" w:fill="auto"/>
            <w:vAlign w:val="bottom"/>
          </w:tcPr>
          <w:p w14:paraId="20327AE5" w14:textId="77777777" w:rsidR="00A52778" w:rsidRPr="00460F9E" w:rsidRDefault="00A52778" w:rsidP="00FC3F8E">
            <w:pPr>
              <w:spacing w:line="0" w:lineRule="atLeast"/>
              <w:rPr>
                <w:rFonts w:eastAsia="Times New Roman" w:cs="Times New Roman"/>
                <w:b/>
                <w:sz w:val="10"/>
              </w:rPr>
            </w:pPr>
          </w:p>
        </w:tc>
        <w:tc>
          <w:tcPr>
            <w:tcW w:w="1800" w:type="dxa"/>
            <w:gridSpan w:val="4"/>
            <w:vMerge/>
            <w:tcBorders>
              <w:right w:val="single" w:sz="8" w:space="0" w:color="auto"/>
            </w:tcBorders>
            <w:shd w:val="clear" w:color="auto" w:fill="auto"/>
            <w:vAlign w:val="bottom"/>
          </w:tcPr>
          <w:p w14:paraId="4BA158EA" w14:textId="77777777" w:rsidR="00A52778" w:rsidRPr="00460F9E" w:rsidRDefault="00A52778" w:rsidP="00FC3F8E">
            <w:pPr>
              <w:spacing w:line="0" w:lineRule="atLeast"/>
              <w:rPr>
                <w:rFonts w:eastAsia="Times New Roman" w:cs="Times New Roman"/>
                <w:b/>
                <w:sz w:val="10"/>
              </w:rPr>
            </w:pPr>
          </w:p>
        </w:tc>
        <w:tc>
          <w:tcPr>
            <w:tcW w:w="100" w:type="dxa"/>
            <w:tcBorders>
              <w:left w:val="single" w:sz="8" w:space="0" w:color="auto"/>
            </w:tcBorders>
            <w:shd w:val="clear" w:color="auto" w:fill="auto"/>
            <w:vAlign w:val="bottom"/>
          </w:tcPr>
          <w:p w14:paraId="07DCEBEB" w14:textId="77777777" w:rsidR="00A52778" w:rsidRPr="00460F9E" w:rsidRDefault="00A52778" w:rsidP="00FC3F8E">
            <w:pPr>
              <w:spacing w:line="0" w:lineRule="atLeast"/>
              <w:rPr>
                <w:rFonts w:eastAsia="Times New Roman" w:cs="Times New Roman"/>
                <w:b/>
                <w:sz w:val="10"/>
              </w:rPr>
            </w:pPr>
          </w:p>
        </w:tc>
        <w:tc>
          <w:tcPr>
            <w:tcW w:w="3020" w:type="dxa"/>
            <w:gridSpan w:val="5"/>
            <w:vMerge/>
            <w:tcBorders>
              <w:right w:val="single" w:sz="4" w:space="0" w:color="auto"/>
            </w:tcBorders>
            <w:shd w:val="clear" w:color="auto" w:fill="auto"/>
            <w:vAlign w:val="bottom"/>
          </w:tcPr>
          <w:p w14:paraId="415340DB" w14:textId="77777777" w:rsidR="00A52778" w:rsidRPr="00460F9E" w:rsidRDefault="00A52778" w:rsidP="00FC3F8E">
            <w:pPr>
              <w:spacing w:line="0" w:lineRule="atLeast"/>
              <w:rPr>
                <w:rFonts w:eastAsia="Times New Roman" w:cs="Times New Roman"/>
                <w:b/>
              </w:rPr>
            </w:pPr>
          </w:p>
        </w:tc>
        <w:tc>
          <w:tcPr>
            <w:tcW w:w="3380" w:type="dxa"/>
            <w:gridSpan w:val="5"/>
            <w:vMerge/>
            <w:tcBorders>
              <w:left w:val="single" w:sz="4" w:space="0" w:color="auto"/>
              <w:right w:val="single" w:sz="8" w:space="0" w:color="auto"/>
            </w:tcBorders>
            <w:shd w:val="clear" w:color="auto" w:fill="auto"/>
            <w:vAlign w:val="bottom"/>
          </w:tcPr>
          <w:p w14:paraId="31EBEB06" w14:textId="77777777" w:rsidR="00A52778" w:rsidRPr="00460F9E" w:rsidRDefault="00A52778" w:rsidP="00FC3F8E">
            <w:pPr>
              <w:spacing w:line="0" w:lineRule="atLeast"/>
              <w:rPr>
                <w:rFonts w:eastAsia="Times New Roman" w:cs="Times New Roman"/>
                <w:b/>
                <w:sz w:val="10"/>
              </w:rPr>
            </w:pPr>
          </w:p>
        </w:tc>
      </w:tr>
      <w:tr w:rsidR="00A52778" w:rsidRPr="00460F9E" w14:paraId="18AD6296" w14:textId="77777777" w:rsidTr="00FC3F8E">
        <w:trPr>
          <w:trHeight w:val="115"/>
        </w:trPr>
        <w:tc>
          <w:tcPr>
            <w:tcW w:w="380" w:type="dxa"/>
            <w:tcBorders>
              <w:left w:val="single" w:sz="8" w:space="0" w:color="auto"/>
              <w:right w:val="single" w:sz="8" w:space="0" w:color="auto"/>
            </w:tcBorders>
            <w:shd w:val="clear" w:color="auto" w:fill="auto"/>
            <w:vAlign w:val="bottom"/>
          </w:tcPr>
          <w:p w14:paraId="2C949C82" w14:textId="77777777" w:rsidR="00A52778" w:rsidRPr="00460F9E" w:rsidRDefault="00A52778" w:rsidP="00FC3F8E">
            <w:pPr>
              <w:spacing w:line="0" w:lineRule="atLeast"/>
              <w:rPr>
                <w:rFonts w:eastAsia="Times New Roman" w:cs="Times New Roman"/>
                <w:b/>
                <w:sz w:val="10"/>
              </w:rPr>
            </w:pPr>
          </w:p>
        </w:tc>
        <w:tc>
          <w:tcPr>
            <w:tcW w:w="80" w:type="dxa"/>
            <w:shd w:val="clear" w:color="auto" w:fill="auto"/>
            <w:vAlign w:val="bottom"/>
          </w:tcPr>
          <w:p w14:paraId="5C44F394" w14:textId="77777777" w:rsidR="00A52778" w:rsidRPr="00460F9E" w:rsidRDefault="00A52778" w:rsidP="00FC3F8E">
            <w:pPr>
              <w:spacing w:line="0" w:lineRule="atLeast"/>
              <w:rPr>
                <w:rFonts w:eastAsia="Times New Roman" w:cs="Times New Roman"/>
                <w:b/>
                <w:sz w:val="10"/>
              </w:rPr>
            </w:pPr>
          </w:p>
        </w:tc>
        <w:tc>
          <w:tcPr>
            <w:tcW w:w="1800" w:type="dxa"/>
            <w:gridSpan w:val="4"/>
            <w:vMerge/>
            <w:tcBorders>
              <w:right w:val="single" w:sz="8" w:space="0" w:color="auto"/>
            </w:tcBorders>
            <w:shd w:val="clear" w:color="auto" w:fill="auto"/>
            <w:vAlign w:val="bottom"/>
          </w:tcPr>
          <w:p w14:paraId="5C415220" w14:textId="77777777" w:rsidR="00A52778" w:rsidRPr="00460F9E" w:rsidRDefault="00A52778" w:rsidP="00FC3F8E">
            <w:pPr>
              <w:spacing w:line="0" w:lineRule="atLeast"/>
              <w:rPr>
                <w:rFonts w:eastAsia="Times New Roman" w:cs="Times New Roman"/>
                <w:b/>
                <w:sz w:val="10"/>
              </w:rPr>
            </w:pPr>
          </w:p>
        </w:tc>
        <w:tc>
          <w:tcPr>
            <w:tcW w:w="100" w:type="dxa"/>
            <w:tcBorders>
              <w:left w:val="single" w:sz="8" w:space="0" w:color="auto"/>
            </w:tcBorders>
            <w:shd w:val="clear" w:color="auto" w:fill="auto"/>
            <w:vAlign w:val="bottom"/>
          </w:tcPr>
          <w:p w14:paraId="50F87BE7" w14:textId="77777777" w:rsidR="00A52778" w:rsidRPr="00460F9E" w:rsidRDefault="00A52778" w:rsidP="00FC3F8E">
            <w:pPr>
              <w:spacing w:line="0" w:lineRule="atLeast"/>
              <w:rPr>
                <w:rFonts w:eastAsia="Times New Roman" w:cs="Times New Roman"/>
                <w:b/>
                <w:sz w:val="10"/>
              </w:rPr>
            </w:pPr>
          </w:p>
        </w:tc>
        <w:tc>
          <w:tcPr>
            <w:tcW w:w="3020" w:type="dxa"/>
            <w:gridSpan w:val="5"/>
            <w:vMerge/>
            <w:tcBorders>
              <w:right w:val="single" w:sz="4" w:space="0" w:color="auto"/>
            </w:tcBorders>
            <w:shd w:val="clear" w:color="auto" w:fill="auto"/>
            <w:vAlign w:val="bottom"/>
          </w:tcPr>
          <w:p w14:paraId="67B6246F" w14:textId="77777777" w:rsidR="00A52778" w:rsidRPr="00460F9E" w:rsidRDefault="00A52778" w:rsidP="00FC3F8E">
            <w:pPr>
              <w:spacing w:line="0" w:lineRule="atLeast"/>
              <w:rPr>
                <w:rFonts w:eastAsia="Times New Roman" w:cs="Times New Roman"/>
                <w:b/>
                <w:sz w:val="10"/>
              </w:rPr>
            </w:pPr>
          </w:p>
        </w:tc>
        <w:tc>
          <w:tcPr>
            <w:tcW w:w="3380" w:type="dxa"/>
            <w:gridSpan w:val="5"/>
            <w:vMerge/>
            <w:tcBorders>
              <w:left w:val="single" w:sz="4" w:space="0" w:color="auto"/>
              <w:right w:val="single" w:sz="8" w:space="0" w:color="auto"/>
            </w:tcBorders>
            <w:shd w:val="clear" w:color="auto" w:fill="auto"/>
            <w:vAlign w:val="bottom"/>
          </w:tcPr>
          <w:p w14:paraId="51A09628" w14:textId="77777777" w:rsidR="00A52778" w:rsidRPr="00460F9E" w:rsidRDefault="00A52778" w:rsidP="00FC3F8E">
            <w:pPr>
              <w:spacing w:line="0" w:lineRule="atLeast"/>
              <w:rPr>
                <w:rFonts w:eastAsia="Times New Roman" w:cs="Times New Roman"/>
                <w:b/>
                <w:sz w:val="10"/>
              </w:rPr>
            </w:pPr>
          </w:p>
        </w:tc>
      </w:tr>
      <w:tr w:rsidR="00A52778" w:rsidRPr="00460F9E" w14:paraId="6BD78298" w14:textId="77777777" w:rsidTr="00FC3F8E">
        <w:trPr>
          <w:trHeight w:val="115"/>
        </w:trPr>
        <w:tc>
          <w:tcPr>
            <w:tcW w:w="380" w:type="dxa"/>
            <w:tcBorders>
              <w:left w:val="single" w:sz="8" w:space="0" w:color="auto"/>
              <w:right w:val="single" w:sz="8" w:space="0" w:color="auto"/>
            </w:tcBorders>
            <w:shd w:val="clear" w:color="auto" w:fill="auto"/>
            <w:vAlign w:val="bottom"/>
          </w:tcPr>
          <w:p w14:paraId="4EABD71A" w14:textId="77777777" w:rsidR="00A52778" w:rsidRPr="00460F9E" w:rsidRDefault="00A52778" w:rsidP="00FC3F8E">
            <w:pPr>
              <w:spacing w:line="0" w:lineRule="atLeast"/>
              <w:rPr>
                <w:rFonts w:eastAsia="Times New Roman" w:cs="Times New Roman"/>
                <w:b/>
                <w:sz w:val="10"/>
              </w:rPr>
            </w:pPr>
          </w:p>
        </w:tc>
        <w:tc>
          <w:tcPr>
            <w:tcW w:w="80" w:type="dxa"/>
            <w:shd w:val="clear" w:color="auto" w:fill="auto"/>
            <w:vAlign w:val="bottom"/>
          </w:tcPr>
          <w:p w14:paraId="3167ECA5" w14:textId="77777777" w:rsidR="00A52778" w:rsidRPr="00460F9E" w:rsidRDefault="00A52778" w:rsidP="00FC3F8E">
            <w:pPr>
              <w:spacing w:line="0" w:lineRule="atLeast"/>
              <w:rPr>
                <w:rFonts w:eastAsia="Times New Roman" w:cs="Times New Roman"/>
                <w:b/>
                <w:sz w:val="10"/>
              </w:rPr>
            </w:pPr>
          </w:p>
        </w:tc>
        <w:tc>
          <w:tcPr>
            <w:tcW w:w="1800" w:type="dxa"/>
            <w:gridSpan w:val="4"/>
            <w:vMerge/>
            <w:tcBorders>
              <w:right w:val="single" w:sz="8" w:space="0" w:color="auto"/>
            </w:tcBorders>
            <w:shd w:val="clear" w:color="auto" w:fill="auto"/>
            <w:vAlign w:val="bottom"/>
          </w:tcPr>
          <w:p w14:paraId="7AEE3481" w14:textId="77777777" w:rsidR="00A52778" w:rsidRPr="00460F9E" w:rsidRDefault="00A52778" w:rsidP="00FC3F8E">
            <w:pPr>
              <w:spacing w:line="0" w:lineRule="atLeast"/>
              <w:rPr>
                <w:rFonts w:eastAsia="Times New Roman" w:cs="Times New Roman"/>
                <w:b/>
                <w:sz w:val="10"/>
              </w:rPr>
            </w:pPr>
          </w:p>
        </w:tc>
        <w:tc>
          <w:tcPr>
            <w:tcW w:w="100" w:type="dxa"/>
            <w:tcBorders>
              <w:left w:val="single" w:sz="8" w:space="0" w:color="auto"/>
            </w:tcBorders>
            <w:shd w:val="clear" w:color="auto" w:fill="auto"/>
            <w:vAlign w:val="bottom"/>
          </w:tcPr>
          <w:p w14:paraId="1F612C68" w14:textId="77777777" w:rsidR="00A52778" w:rsidRPr="00460F9E" w:rsidRDefault="00A52778" w:rsidP="00FC3F8E">
            <w:pPr>
              <w:spacing w:line="0" w:lineRule="atLeast"/>
              <w:rPr>
                <w:rFonts w:eastAsia="Times New Roman" w:cs="Times New Roman"/>
                <w:b/>
                <w:sz w:val="10"/>
              </w:rPr>
            </w:pPr>
          </w:p>
        </w:tc>
        <w:tc>
          <w:tcPr>
            <w:tcW w:w="3020" w:type="dxa"/>
            <w:gridSpan w:val="5"/>
            <w:vMerge/>
            <w:tcBorders>
              <w:right w:val="single" w:sz="4" w:space="0" w:color="auto"/>
            </w:tcBorders>
            <w:shd w:val="clear" w:color="auto" w:fill="auto"/>
            <w:vAlign w:val="bottom"/>
          </w:tcPr>
          <w:p w14:paraId="6DF148DA" w14:textId="77777777" w:rsidR="00A52778" w:rsidRPr="00460F9E" w:rsidRDefault="00A52778" w:rsidP="00FC3F8E">
            <w:pPr>
              <w:spacing w:line="0" w:lineRule="atLeast"/>
              <w:rPr>
                <w:rFonts w:eastAsia="Times New Roman" w:cs="Times New Roman"/>
                <w:b/>
              </w:rPr>
            </w:pPr>
          </w:p>
        </w:tc>
        <w:tc>
          <w:tcPr>
            <w:tcW w:w="3380" w:type="dxa"/>
            <w:gridSpan w:val="5"/>
            <w:vMerge/>
            <w:tcBorders>
              <w:left w:val="single" w:sz="4" w:space="0" w:color="auto"/>
              <w:right w:val="single" w:sz="8" w:space="0" w:color="auto"/>
            </w:tcBorders>
            <w:shd w:val="clear" w:color="auto" w:fill="auto"/>
            <w:vAlign w:val="bottom"/>
          </w:tcPr>
          <w:p w14:paraId="5C84C070" w14:textId="77777777" w:rsidR="00A52778" w:rsidRPr="00460F9E" w:rsidRDefault="00A52778" w:rsidP="00FC3F8E">
            <w:pPr>
              <w:spacing w:line="0" w:lineRule="atLeast"/>
              <w:rPr>
                <w:rFonts w:eastAsia="Times New Roman" w:cs="Times New Roman"/>
                <w:b/>
                <w:sz w:val="10"/>
              </w:rPr>
            </w:pPr>
          </w:p>
        </w:tc>
      </w:tr>
      <w:tr w:rsidR="00A52778" w:rsidRPr="00460F9E" w14:paraId="1B8497E3" w14:textId="77777777" w:rsidTr="00FC3F8E">
        <w:trPr>
          <w:trHeight w:val="115"/>
        </w:trPr>
        <w:tc>
          <w:tcPr>
            <w:tcW w:w="380" w:type="dxa"/>
            <w:tcBorders>
              <w:left w:val="single" w:sz="8" w:space="0" w:color="auto"/>
              <w:right w:val="single" w:sz="8" w:space="0" w:color="auto"/>
            </w:tcBorders>
            <w:shd w:val="clear" w:color="auto" w:fill="auto"/>
            <w:vAlign w:val="bottom"/>
          </w:tcPr>
          <w:p w14:paraId="45B9EF5D" w14:textId="77777777" w:rsidR="00A52778" w:rsidRPr="00460F9E" w:rsidRDefault="00A52778" w:rsidP="00FC3F8E">
            <w:pPr>
              <w:spacing w:line="0" w:lineRule="atLeast"/>
              <w:rPr>
                <w:rFonts w:eastAsia="Times New Roman" w:cs="Times New Roman"/>
                <w:b/>
                <w:sz w:val="10"/>
              </w:rPr>
            </w:pPr>
          </w:p>
        </w:tc>
        <w:tc>
          <w:tcPr>
            <w:tcW w:w="80" w:type="dxa"/>
            <w:shd w:val="clear" w:color="auto" w:fill="auto"/>
            <w:vAlign w:val="bottom"/>
          </w:tcPr>
          <w:p w14:paraId="09209D3A" w14:textId="77777777" w:rsidR="00A52778" w:rsidRPr="00460F9E" w:rsidRDefault="00A52778" w:rsidP="00FC3F8E">
            <w:pPr>
              <w:spacing w:line="0" w:lineRule="atLeast"/>
              <w:rPr>
                <w:rFonts w:eastAsia="Times New Roman" w:cs="Times New Roman"/>
                <w:b/>
                <w:sz w:val="10"/>
              </w:rPr>
            </w:pPr>
          </w:p>
        </w:tc>
        <w:tc>
          <w:tcPr>
            <w:tcW w:w="1800" w:type="dxa"/>
            <w:gridSpan w:val="4"/>
            <w:vMerge/>
            <w:tcBorders>
              <w:right w:val="single" w:sz="8" w:space="0" w:color="auto"/>
            </w:tcBorders>
            <w:shd w:val="clear" w:color="auto" w:fill="auto"/>
            <w:vAlign w:val="bottom"/>
          </w:tcPr>
          <w:p w14:paraId="433C76C3" w14:textId="77777777" w:rsidR="00A52778" w:rsidRPr="00460F9E" w:rsidRDefault="00A52778" w:rsidP="00FC3F8E">
            <w:pPr>
              <w:spacing w:line="0" w:lineRule="atLeast"/>
              <w:rPr>
                <w:rFonts w:eastAsia="Times New Roman" w:cs="Times New Roman"/>
                <w:b/>
                <w:sz w:val="10"/>
              </w:rPr>
            </w:pPr>
          </w:p>
        </w:tc>
        <w:tc>
          <w:tcPr>
            <w:tcW w:w="100" w:type="dxa"/>
            <w:tcBorders>
              <w:left w:val="single" w:sz="8" w:space="0" w:color="auto"/>
            </w:tcBorders>
            <w:shd w:val="clear" w:color="auto" w:fill="auto"/>
            <w:vAlign w:val="bottom"/>
          </w:tcPr>
          <w:p w14:paraId="01A4F5A1" w14:textId="77777777" w:rsidR="00A52778" w:rsidRPr="00460F9E" w:rsidRDefault="00A52778" w:rsidP="00FC3F8E">
            <w:pPr>
              <w:spacing w:line="0" w:lineRule="atLeast"/>
              <w:rPr>
                <w:rFonts w:eastAsia="Times New Roman" w:cs="Times New Roman"/>
                <w:b/>
                <w:sz w:val="10"/>
              </w:rPr>
            </w:pPr>
          </w:p>
        </w:tc>
        <w:tc>
          <w:tcPr>
            <w:tcW w:w="3020" w:type="dxa"/>
            <w:gridSpan w:val="5"/>
            <w:vMerge/>
            <w:tcBorders>
              <w:right w:val="single" w:sz="4" w:space="0" w:color="auto"/>
            </w:tcBorders>
            <w:shd w:val="clear" w:color="auto" w:fill="auto"/>
            <w:vAlign w:val="bottom"/>
          </w:tcPr>
          <w:p w14:paraId="306FCC59" w14:textId="77777777" w:rsidR="00A52778" w:rsidRPr="00460F9E" w:rsidRDefault="00A52778" w:rsidP="00FC3F8E">
            <w:pPr>
              <w:spacing w:line="0" w:lineRule="atLeast"/>
              <w:rPr>
                <w:rFonts w:eastAsia="Times New Roman" w:cs="Times New Roman"/>
                <w:b/>
                <w:sz w:val="10"/>
              </w:rPr>
            </w:pPr>
          </w:p>
        </w:tc>
        <w:tc>
          <w:tcPr>
            <w:tcW w:w="3380" w:type="dxa"/>
            <w:gridSpan w:val="5"/>
            <w:vMerge/>
            <w:tcBorders>
              <w:left w:val="single" w:sz="4" w:space="0" w:color="auto"/>
              <w:right w:val="single" w:sz="8" w:space="0" w:color="auto"/>
            </w:tcBorders>
            <w:shd w:val="clear" w:color="auto" w:fill="auto"/>
            <w:vAlign w:val="bottom"/>
          </w:tcPr>
          <w:p w14:paraId="4BFF4847" w14:textId="77777777" w:rsidR="00A52778" w:rsidRPr="00460F9E" w:rsidRDefault="00A52778" w:rsidP="00FC3F8E">
            <w:pPr>
              <w:spacing w:line="0" w:lineRule="atLeast"/>
              <w:rPr>
                <w:rFonts w:eastAsia="Times New Roman" w:cs="Times New Roman"/>
                <w:b/>
                <w:sz w:val="10"/>
              </w:rPr>
            </w:pPr>
          </w:p>
        </w:tc>
      </w:tr>
      <w:tr w:rsidR="00A52778" w:rsidRPr="00460F9E" w14:paraId="02A7EE3B" w14:textId="77777777" w:rsidTr="00FC3F8E">
        <w:trPr>
          <w:trHeight w:val="230"/>
        </w:trPr>
        <w:tc>
          <w:tcPr>
            <w:tcW w:w="380" w:type="dxa"/>
            <w:tcBorders>
              <w:left w:val="single" w:sz="8" w:space="0" w:color="auto"/>
              <w:right w:val="single" w:sz="8" w:space="0" w:color="auto"/>
            </w:tcBorders>
            <w:shd w:val="clear" w:color="auto" w:fill="auto"/>
            <w:vAlign w:val="bottom"/>
          </w:tcPr>
          <w:p w14:paraId="48C39138" w14:textId="77777777" w:rsidR="00A52778" w:rsidRPr="00460F9E" w:rsidRDefault="00A52778" w:rsidP="00FC3F8E">
            <w:pPr>
              <w:spacing w:line="0" w:lineRule="atLeast"/>
              <w:rPr>
                <w:rFonts w:eastAsia="Times New Roman" w:cs="Times New Roman"/>
                <w:b/>
              </w:rPr>
            </w:pPr>
          </w:p>
        </w:tc>
        <w:tc>
          <w:tcPr>
            <w:tcW w:w="80" w:type="dxa"/>
            <w:shd w:val="clear" w:color="auto" w:fill="auto"/>
            <w:vAlign w:val="bottom"/>
          </w:tcPr>
          <w:p w14:paraId="11A6DC33" w14:textId="77777777" w:rsidR="00A52778" w:rsidRPr="00460F9E" w:rsidRDefault="00A52778" w:rsidP="00FC3F8E">
            <w:pPr>
              <w:spacing w:line="0" w:lineRule="atLeast"/>
              <w:rPr>
                <w:rFonts w:eastAsia="Times New Roman" w:cs="Times New Roman"/>
                <w:b/>
              </w:rPr>
            </w:pPr>
          </w:p>
        </w:tc>
        <w:tc>
          <w:tcPr>
            <w:tcW w:w="1800" w:type="dxa"/>
            <w:gridSpan w:val="4"/>
            <w:vMerge/>
            <w:tcBorders>
              <w:right w:val="single" w:sz="8" w:space="0" w:color="auto"/>
            </w:tcBorders>
            <w:shd w:val="clear" w:color="auto" w:fill="auto"/>
            <w:vAlign w:val="bottom"/>
          </w:tcPr>
          <w:p w14:paraId="495A559C" w14:textId="77777777" w:rsidR="00A52778" w:rsidRPr="00460F9E" w:rsidRDefault="00A52778" w:rsidP="00FC3F8E">
            <w:pPr>
              <w:spacing w:line="0" w:lineRule="atLeast"/>
              <w:rPr>
                <w:rFonts w:eastAsia="Times New Roman" w:cs="Times New Roman"/>
                <w:b/>
              </w:rPr>
            </w:pPr>
          </w:p>
        </w:tc>
        <w:tc>
          <w:tcPr>
            <w:tcW w:w="100" w:type="dxa"/>
            <w:tcBorders>
              <w:left w:val="single" w:sz="8" w:space="0" w:color="auto"/>
            </w:tcBorders>
            <w:shd w:val="clear" w:color="auto" w:fill="auto"/>
            <w:vAlign w:val="bottom"/>
          </w:tcPr>
          <w:p w14:paraId="29932DA5" w14:textId="77777777" w:rsidR="00A52778" w:rsidRPr="00460F9E" w:rsidRDefault="00A52778" w:rsidP="00FC3F8E">
            <w:pPr>
              <w:spacing w:line="0" w:lineRule="atLeast"/>
              <w:rPr>
                <w:rFonts w:eastAsia="Times New Roman" w:cs="Times New Roman"/>
                <w:b/>
              </w:rPr>
            </w:pPr>
          </w:p>
        </w:tc>
        <w:tc>
          <w:tcPr>
            <w:tcW w:w="3020" w:type="dxa"/>
            <w:gridSpan w:val="5"/>
            <w:vMerge/>
            <w:tcBorders>
              <w:right w:val="single" w:sz="4" w:space="0" w:color="auto"/>
            </w:tcBorders>
            <w:shd w:val="clear" w:color="auto" w:fill="auto"/>
            <w:vAlign w:val="bottom"/>
          </w:tcPr>
          <w:p w14:paraId="0E4AE2F8" w14:textId="77777777" w:rsidR="00A52778" w:rsidRPr="00460F9E" w:rsidRDefault="00A52778" w:rsidP="00FC3F8E">
            <w:pPr>
              <w:spacing w:line="0" w:lineRule="atLeast"/>
              <w:rPr>
                <w:rFonts w:eastAsia="Times New Roman" w:cs="Times New Roman"/>
                <w:b/>
              </w:rPr>
            </w:pPr>
          </w:p>
        </w:tc>
        <w:tc>
          <w:tcPr>
            <w:tcW w:w="3380" w:type="dxa"/>
            <w:gridSpan w:val="5"/>
            <w:vMerge/>
            <w:tcBorders>
              <w:left w:val="single" w:sz="4" w:space="0" w:color="auto"/>
              <w:right w:val="single" w:sz="8" w:space="0" w:color="auto"/>
            </w:tcBorders>
            <w:shd w:val="clear" w:color="auto" w:fill="auto"/>
            <w:vAlign w:val="bottom"/>
          </w:tcPr>
          <w:p w14:paraId="69F1F744" w14:textId="77777777" w:rsidR="00A52778" w:rsidRPr="00460F9E" w:rsidRDefault="00A52778" w:rsidP="00FC3F8E">
            <w:pPr>
              <w:spacing w:line="0" w:lineRule="atLeast"/>
              <w:rPr>
                <w:rFonts w:eastAsia="Times New Roman" w:cs="Times New Roman"/>
                <w:b/>
              </w:rPr>
            </w:pPr>
          </w:p>
        </w:tc>
      </w:tr>
      <w:tr w:rsidR="00A52778" w:rsidRPr="00460F9E" w14:paraId="0FEC2DB5" w14:textId="77777777" w:rsidTr="00FC3F8E">
        <w:trPr>
          <w:trHeight w:val="233"/>
        </w:trPr>
        <w:tc>
          <w:tcPr>
            <w:tcW w:w="380" w:type="dxa"/>
            <w:tcBorders>
              <w:left w:val="single" w:sz="8" w:space="0" w:color="auto"/>
              <w:bottom w:val="single" w:sz="8" w:space="0" w:color="auto"/>
              <w:right w:val="single" w:sz="8" w:space="0" w:color="auto"/>
            </w:tcBorders>
            <w:shd w:val="clear" w:color="auto" w:fill="auto"/>
            <w:vAlign w:val="bottom"/>
          </w:tcPr>
          <w:p w14:paraId="7F6B10F1" w14:textId="77777777" w:rsidR="00A52778" w:rsidRPr="00460F9E" w:rsidRDefault="00A52778" w:rsidP="00FC3F8E">
            <w:pPr>
              <w:spacing w:line="0" w:lineRule="atLeast"/>
              <w:rPr>
                <w:rFonts w:eastAsia="Times New Roman" w:cs="Times New Roman"/>
                <w:b/>
              </w:rPr>
            </w:pPr>
          </w:p>
        </w:tc>
        <w:tc>
          <w:tcPr>
            <w:tcW w:w="80" w:type="dxa"/>
            <w:tcBorders>
              <w:bottom w:val="single" w:sz="8" w:space="0" w:color="auto"/>
            </w:tcBorders>
            <w:shd w:val="clear" w:color="auto" w:fill="auto"/>
            <w:vAlign w:val="bottom"/>
          </w:tcPr>
          <w:p w14:paraId="4975E0A5" w14:textId="77777777" w:rsidR="00A52778" w:rsidRPr="00460F9E" w:rsidRDefault="00A52778" w:rsidP="00FC3F8E">
            <w:pPr>
              <w:spacing w:line="0" w:lineRule="atLeast"/>
              <w:rPr>
                <w:rFonts w:eastAsia="Times New Roman" w:cs="Times New Roman"/>
                <w:b/>
              </w:rPr>
            </w:pPr>
          </w:p>
        </w:tc>
        <w:tc>
          <w:tcPr>
            <w:tcW w:w="1800" w:type="dxa"/>
            <w:gridSpan w:val="4"/>
            <w:vMerge/>
            <w:tcBorders>
              <w:bottom w:val="single" w:sz="8" w:space="0" w:color="auto"/>
              <w:right w:val="single" w:sz="8" w:space="0" w:color="auto"/>
            </w:tcBorders>
            <w:shd w:val="clear" w:color="auto" w:fill="auto"/>
            <w:vAlign w:val="bottom"/>
          </w:tcPr>
          <w:p w14:paraId="4A37E47F" w14:textId="77777777" w:rsidR="00A52778" w:rsidRPr="00460F9E" w:rsidRDefault="00A52778" w:rsidP="00FC3F8E">
            <w:pPr>
              <w:spacing w:line="0" w:lineRule="atLeast"/>
              <w:rPr>
                <w:rFonts w:eastAsia="Times New Roman" w:cs="Times New Roman"/>
                <w:b/>
              </w:rPr>
            </w:pPr>
          </w:p>
        </w:tc>
        <w:tc>
          <w:tcPr>
            <w:tcW w:w="100" w:type="dxa"/>
            <w:tcBorders>
              <w:left w:val="single" w:sz="8" w:space="0" w:color="auto"/>
              <w:bottom w:val="single" w:sz="8" w:space="0" w:color="auto"/>
            </w:tcBorders>
            <w:shd w:val="clear" w:color="auto" w:fill="auto"/>
            <w:vAlign w:val="bottom"/>
          </w:tcPr>
          <w:p w14:paraId="5D45ABB6" w14:textId="77777777" w:rsidR="00A52778" w:rsidRPr="00460F9E" w:rsidRDefault="00A52778" w:rsidP="00FC3F8E">
            <w:pPr>
              <w:spacing w:line="0" w:lineRule="atLeast"/>
              <w:rPr>
                <w:rFonts w:eastAsia="Times New Roman" w:cs="Times New Roman"/>
                <w:b/>
              </w:rPr>
            </w:pPr>
          </w:p>
        </w:tc>
        <w:tc>
          <w:tcPr>
            <w:tcW w:w="3020" w:type="dxa"/>
            <w:gridSpan w:val="5"/>
            <w:vMerge/>
            <w:tcBorders>
              <w:bottom w:val="single" w:sz="8" w:space="0" w:color="auto"/>
              <w:right w:val="single" w:sz="4" w:space="0" w:color="auto"/>
            </w:tcBorders>
            <w:shd w:val="clear" w:color="auto" w:fill="auto"/>
            <w:vAlign w:val="bottom"/>
          </w:tcPr>
          <w:p w14:paraId="54D93B35" w14:textId="77777777" w:rsidR="00A52778" w:rsidRPr="00460F9E" w:rsidRDefault="00A52778" w:rsidP="00FC3F8E">
            <w:pPr>
              <w:spacing w:line="0" w:lineRule="atLeast"/>
              <w:rPr>
                <w:rFonts w:eastAsia="Times New Roman" w:cs="Times New Roman"/>
                <w:b/>
              </w:rPr>
            </w:pPr>
          </w:p>
        </w:tc>
        <w:tc>
          <w:tcPr>
            <w:tcW w:w="3380" w:type="dxa"/>
            <w:gridSpan w:val="5"/>
            <w:vMerge/>
            <w:tcBorders>
              <w:left w:val="single" w:sz="4" w:space="0" w:color="auto"/>
              <w:bottom w:val="single" w:sz="8" w:space="0" w:color="auto"/>
              <w:right w:val="single" w:sz="8" w:space="0" w:color="auto"/>
            </w:tcBorders>
            <w:shd w:val="clear" w:color="auto" w:fill="auto"/>
            <w:vAlign w:val="bottom"/>
          </w:tcPr>
          <w:p w14:paraId="2CC15525" w14:textId="77777777" w:rsidR="00A52778" w:rsidRPr="00460F9E" w:rsidRDefault="00A52778" w:rsidP="00FC3F8E">
            <w:pPr>
              <w:spacing w:line="0" w:lineRule="atLeast"/>
              <w:rPr>
                <w:rFonts w:eastAsia="Times New Roman" w:cs="Times New Roman"/>
                <w:b/>
              </w:rPr>
            </w:pPr>
          </w:p>
        </w:tc>
      </w:tr>
      <w:tr w:rsidR="00A52778" w:rsidRPr="00460F9E" w14:paraId="3422D9EB" w14:textId="77777777" w:rsidTr="00FC3F8E">
        <w:trPr>
          <w:trHeight w:val="218"/>
        </w:trPr>
        <w:tc>
          <w:tcPr>
            <w:tcW w:w="380" w:type="dxa"/>
            <w:tcBorders>
              <w:left w:val="single" w:sz="8" w:space="0" w:color="auto"/>
              <w:right w:val="single" w:sz="8" w:space="0" w:color="auto"/>
            </w:tcBorders>
            <w:shd w:val="clear" w:color="auto" w:fill="auto"/>
            <w:vAlign w:val="bottom"/>
          </w:tcPr>
          <w:p w14:paraId="72A2343F" w14:textId="77777777" w:rsidR="00A52778" w:rsidRPr="00460F9E" w:rsidRDefault="00A52778" w:rsidP="00FC3F8E">
            <w:pPr>
              <w:spacing w:line="0" w:lineRule="atLeast"/>
              <w:rPr>
                <w:rFonts w:eastAsia="Times New Roman" w:cs="Times New Roman"/>
                <w:b/>
                <w:sz w:val="18"/>
              </w:rPr>
            </w:pPr>
          </w:p>
        </w:tc>
        <w:tc>
          <w:tcPr>
            <w:tcW w:w="80" w:type="dxa"/>
            <w:shd w:val="clear" w:color="auto" w:fill="auto"/>
            <w:vAlign w:val="bottom"/>
          </w:tcPr>
          <w:p w14:paraId="53BB3744" w14:textId="77777777" w:rsidR="00A52778" w:rsidRPr="00460F9E" w:rsidRDefault="00A52778" w:rsidP="00FC3F8E">
            <w:pPr>
              <w:spacing w:line="0" w:lineRule="atLeast"/>
              <w:rPr>
                <w:rFonts w:eastAsia="Times New Roman" w:cs="Times New Roman"/>
                <w:b/>
                <w:sz w:val="18"/>
              </w:rPr>
            </w:pPr>
          </w:p>
        </w:tc>
        <w:tc>
          <w:tcPr>
            <w:tcW w:w="540" w:type="dxa"/>
            <w:shd w:val="clear" w:color="auto" w:fill="auto"/>
            <w:vAlign w:val="bottom"/>
          </w:tcPr>
          <w:p w14:paraId="50441893" w14:textId="77777777" w:rsidR="00A52778" w:rsidRPr="00460F9E" w:rsidRDefault="00A52778" w:rsidP="00FC3F8E">
            <w:pPr>
              <w:spacing w:line="0" w:lineRule="atLeast"/>
              <w:rPr>
                <w:rFonts w:eastAsia="Times New Roman" w:cs="Times New Roman"/>
                <w:b/>
                <w:sz w:val="18"/>
              </w:rPr>
            </w:pPr>
          </w:p>
        </w:tc>
        <w:tc>
          <w:tcPr>
            <w:tcW w:w="360" w:type="dxa"/>
            <w:shd w:val="clear" w:color="auto" w:fill="auto"/>
            <w:vAlign w:val="bottom"/>
          </w:tcPr>
          <w:p w14:paraId="5F6F9651" w14:textId="77777777" w:rsidR="00A52778" w:rsidRPr="00460F9E" w:rsidRDefault="00A52778" w:rsidP="00FC3F8E">
            <w:pPr>
              <w:spacing w:line="0" w:lineRule="atLeast"/>
              <w:rPr>
                <w:rFonts w:eastAsia="Times New Roman" w:cs="Times New Roman"/>
                <w:b/>
                <w:sz w:val="18"/>
              </w:rPr>
            </w:pPr>
          </w:p>
        </w:tc>
        <w:tc>
          <w:tcPr>
            <w:tcW w:w="260" w:type="dxa"/>
            <w:shd w:val="clear" w:color="auto" w:fill="auto"/>
            <w:vAlign w:val="bottom"/>
          </w:tcPr>
          <w:p w14:paraId="56E6963D" w14:textId="77777777" w:rsidR="00A52778" w:rsidRPr="00460F9E" w:rsidRDefault="00A52778" w:rsidP="00FC3F8E">
            <w:pPr>
              <w:spacing w:line="0" w:lineRule="atLeast"/>
              <w:rPr>
                <w:rFonts w:eastAsia="Times New Roman" w:cs="Times New Roman"/>
                <w:b/>
                <w:sz w:val="18"/>
              </w:rPr>
            </w:pPr>
          </w:p>
        </w:tc>
        <w:tc>
          <w:tcPr>
            <w:tcW w:w="640" w:type="dxa"/>
            <w:tcBorders>
              <w:right w:val="single" w:sz="8" w:space="0" w:color="auto"/>
            </w:tcBorders>
            <w:shd w:val="clear" w:color="auto" w:fill="auto"/>
            <w:vAlign w:val="bottom"/>
          </w:tcPr>
          <w:p w14:paraId="671E82D1" w14:textId="77777777" w:rsidR="00A52778" w:rsidRPr="00460F9E" w:rsidRDefault="00A52778" w:rsidP="00FC3F8E">
            <w:pPr>
              <w:spacing w:line="0" w:lineRule="atLeast"/>
              <w:rPr>
                <w:rFonts w:eastAsia="Times New Roman" w:cs="Times New Roman"/>
                <w:b/>
                <w:sz w:val="18"/>
              </w:rPr>
            </w:pPr>
          </w:p>
        </w:tc>
        <w:tc>
          <w:tcPr>
            <w:tcW w:w="100" w:type="dxa"/>
            <w:shd w:val="clear" w:color="auto" w:fill="auto"/>
            <w:vAlign w:val="bottom"/>
          </w:tcPr>
          <w:p w14:paraId="188D71E8" w14:textId="77777777" w:rsidR="00A52778" w:rsidRPr="00460F9E" w:rsidRDefault="00A52778" w:rsidP="00FC3F8E">
            <w:pPr>
              <w:spacing w:line="0" w:lineRule="atLeast"/>
              <w:rPr>
                <w:rFonts w:eastAsia="Times New Roman" w:cs="Times New Roman"/>
                <w:b/>
                <w:sz w:val="18"/>
              </w:rPr>
            </w:pPr>
          </w:p>
        </w:tc>
        <w:tc>
          <w:tcPr>
            <w:tcW w:w="3020" w:type="dxa"/>
            <w:gridSpan w:val="5"/>
            <w:vMerge w:val="restart"/>
            <w:tcBorders>
              <w:right w:val="single" w:sz="4" w:space="0" w:color="auto"/>
            </w:tcBorders>
            <w:shd w:val="clear" w:color="auto" w:fill="auto"/>
            <w:vAlign w:val="bottom"/>
          </w:tcPr>
          <w:p w14:paraId="05578CEE"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b şıkkındaki tekniğinin kullanımından ve ayrıca ekstrüzyon ve gaz giderme siloları gibi son işlem adımlarından kaynaklanan proses gazları toplanır ve geri kazanıma (bkz. MET 9 ve MET 10) ve/veya azaltıma (bkz. MET 11) gönderilir.</w:t>
            </w:r>
          </w:p>
        </w:tc>
        <w:tc>
          <w:tcPr>
            <w:tcW w:w="3380" w:type="dxa"/>
            <w:gridSpan w:val="5"/>
            <w:vMerge w:val="restart"/>
            <w:tcBorders>
              <w:left w:val="single" w:sz="4" w:space="0" w:color="auto"/>
              <w:right w:val="single" w:sz="8" w:space="0" w:color="auto"/>
            </w:tcBorders>
            <w:shd w:val="clear" w:color="auto" w:fill="auto"/>
            <w:vAlign w:val="center"/>
          </w:tcPr>
          <w:p w14:paraId="0AC62A0E"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Uygulanabilirliği operasyonel </w:t>
            </w:r>
          </w:p>
          <w:p w14:paraId="6F481946"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kısıtlamalar ve/veya güvenlik kaygıları </w:t>
            </w:r>
          </w:p>
          <w:p w14:paraId="3BFE897E"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nedeniyle kısıtlanabilir (örn. alt/üst </w:t>
            </w:r>
          </w:p>
          <w:p w14:paraId="2EED7261"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patlayıcı limitine yakın </w:t>
            </w:r>
          </w:p>
          <w:p w14:paraId="6649B147"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konsantrasyonlardan kaçınılması).</w:t>
            </w:r>
          </w:p>
        </w:tc>
      </w:tr>
      <w:tr w:rsidR="00A52778" w:rsidRPr="00460F9E" w14:paraId="205DFA68" w14:textId="77777777" w:rsidTr="00FC3F8E">
        <w:trPr>
          <w:trHeight w:val="228"/>
        </w:trPr>
        <w:tc>
          <w:tcPr>
            <w:tcW w:w="380" w:type="dxa"/>
            <w:tcBorders>
              <w:left w:val="single" w:sz="8" w:space="0" w:color="auto"/>
              <w:right w:val="single" w:sz="8" w:space="0" w:color="auto"/>
            </w:tcBorders>
            <w:shd w:val="clear" w:color="auto" w:fill="auto"/>
            <w:vAlign w:val="bottom"/>
          </w:tcPr>
          <w:p w14:paraId="380EE024" w14:textId="77777777" w:rsidR="00A52778" w:rsidRPr="00460F9E" w:rsidRDefault="00A52778" w:rsidP="00FC3F8E">
            <w:pPr>
              <w:spacing w:line="0" w:lineRule="atLeast"/>
              <w:rPr>
                <w:rFonts w:eastAsia="Times New Roman" w:cs="Times New Roman"/>
                <w:b/>
                <w:sz w:val="19"/>
              </w:rPr>
            </w:pPr>
          </w:p>
        </w:tc>
        <w:tc>
          <w:tcPr>
            <w:tcW w:w="80" w:type="dxa"/>
            <w:shd w:val="clear" w:color="auto" w:fill="auto"/>
            <w:vAlign w:val="bottom"/>
          </w:tcPr>
          <w:p w14:paraId="2DB9A1C4" w14:textId="77777777" w:rsidR="00A52778" w:rsidRPr="00460F9E" w:rsidRDefault="00A52778" w:rsidP="00FC3F8E">
            <w:pPr>
              <w:spacing w:line="0" w:lineRule="atLeast"/>
              <w:rPr>
                <w:rFonts w:eastAsia="Times New Roman" w:cs="Times New Roman"/>
                <w:b/>
                <w:sz w:val="19"/>
              </w:rPr>
            </w:pPr>
          </w:p>
        </w:tc>
        <w:tc>
          <w:tcPr>
            <w:tcW w:w="540" w:type="dxa"/>
            <w:shd w:val="clear" w:color="auto" w:fill="auto"/>
            <w:vAlign w:val="bottom"/>
          </w:tcPr>
          <w:p w14:paraId="457FAA21" w14:textId="77777777" w:rsidR="00A52778" w:rsidRPr="00460F9E" w:rsidRDefault="00A52778" w:rsidP="00FC3F8E">
            <w:pPr>
              <w:spacing w:line="0" w:lineRule="atLeast"/>
              <w:rPr>
                <w:rFonts w:eastAsia="Times New Roman" w:cs="Times New Roman"/>
                <w:b/>
                <w:sz w:val="19"/>
              </w:rPr>
            </w:pPr>
          </w:p>
        </w:tc>
        <w:tc>
          <w:tcPr>
            <w:tcW w:w="360" w:type="dxa"/>
            <w:shd w:val="clear" w:color="auto" w:fill="auto"/>
            <w:vAlign w:val="bottom"/>
          </w:tcPr>
          <w:p w14:paraId="4DAE8A3B" w14:textId="77777777" w:rsidR="00A52778" w:rsidRPr="00460F9E" w:rsidRDefault="00A52778" w:rsidP="00FC3F8E">
            <w:pPr>
              <w:spacing w:line="0" w:lineRule="atLeast"/>
              <w:rPr>
                <w:rFonts w:eastAsia="Times New Roman" w:cs="Times New Roman"/>
                <w:b/>
                <w:sz w:val="19"/>
              </w:rPr>
            </w:pPr>
          </w:p>
        </w:tc>
        <w:tc>
          <w:tcPr>
            <w:tcW w:w="260" w:type="dxa"/>
            <w:shd w:val="clear" w:color="auto" w:fill="auto"/>
            <w:vAlign w:val="bottom"/>
          </w:tcPr>
          <w:p w14:paraId="3BF9D5E5" w14:textId="77777777" w:rsidR="00A52778" w:rsidRPr="00460F9E" w:rsidRDefault="00A52778" w:rsidP="00FC3F8E">
            <w:pPr>
              <w:spacing w:line="0" w:lineRule="atLeast"/>
              <w:rPr>
                <w:rFonts w:eastAsia="Times New Roman" w:cs="Times New Roman"/>
                <w:b/>
                <w:sz w:val="19"/>
              </w:rPr>
            </w:pPr>
          </w:p>
        </w:tc>
        <w:tc>
          <w:tcPr>
            <w:tcW w:w="640" w:type="dxa"/>
            <w:tcBorders>
              <w:right w:val="single" w:sz="8" w:space="0" w:color="auto"/>
            </w:tcBorders>
            <w:shd w:val="clear" w:color="auto" w:fill="auto"/>
            <w:vAlign w:val="bottom"/>
          </w:tcPr>
          <w:p w14:paraId="7A8F9192" w14:textId="77777777" w:rsidR="00A52778" w:rsidRPr="00460F9E" w:rsidRDefault="00A52778" w:rsidP="00FC3F8E">
            <w:pPr>
              <w:spacing w:line="0" w:lineRule="atLeast"/>
              <w:rPr>
                <w:rFonts w:eastAsia="Times New Roman" w:cs="Times New Roman"/>
                <w:b/>
                <w:sz w:val="19"/>
              </w:rPr>
            </w:pPr>
          </w:p>
        </w:tc>
        <w:tc>
          <w:tcPr>
            <w:tcW w:w="100" w:type="dxa"/>
            <w:shd w:val="clear" w:color="auto" w:fill="auto"/>
            <w:vAlign w:val="bottom"/>
          </w:tcPr>
          <w:p w14:paraId="70D09701" w14:textId="77777777" w:rsidR="00A52778" w:rsidRPr="00460F9E" w:rsidRDefault="00A52778" w:rsidP="00FC3F8E">
            <w:pPr>
              <w:spacing w:line="0" w:lineRule="atLeast"/>
              <w:rPr>
                <w:rFonts w:eastAsia="Times New Roman" w:cs="Times New Roman"/>
                <w:b/>
                <w:sz w:val="19"/>
              </w:rPr>
            </w:pPr>
          </w:p>
        </w:tc>
        <w:tc>
          <w:tcPr>
            <w:tcW w:w="3020" w:type="dxa"/>
            <w:gridSpan w:val="5"/>
            <w:vMerge/>
            <w:tcBorders>
              <w:right w:val="single" w:sz="4" w:space="0" w:color="auto"/>
            </w:tcBorders>
            <w:shd w:val="clear" w:color="auto" w:fill="auto"/>
            <w:vAlign w:val="bottom"/>
          </w:tcPr>
          <w:p w14:paraId="0D3E0311" w14:textId="77777777" w:rsidR="00A52778" w:rsidRPr="00460F9E" w:rsidRDefault="00A52778" w:rsidP="00FC3F8E">
            <w:pPr>
              <w:spacing w:line="0" w:lineRule="atLeast"/>
              <w:rPr>
                <w:rFonts w:eastAsia="Times New Roman" w:cs="Times New Roman"/>
                <w:b/>
              </w:rPr>
            </w:pPr>
          </w:p>
        </w:tc>
        <w:tc>
          <w:tcPr>
            <w:tcW w:w="3380" w:type="dxa"/>
            <w:gridSpan w:val="5"/>
            <w:vMerge/>
            <w:tcBorders>
              <w:left w:val="single" w:sz="4" w:space="0" w:color="auto"/>
              <w:right w:val="single" w:sz="8" w:space="0" w:color="auto"/>
            </w:tcBorders>
            <w:shd w:val="clear" w:color="auto" w:fill="auto"/>
            <w:vAlign w:val="bottom"/>
          </w:tcPr>
          <w:p w14:paraId="1F0866D7" w14:textId="77777777" w:rsidR="00A52778" w:rsidRPr="00460F9E" w:rsidRDefault="00A52778" w:rsidP="00FC3F8E">
            <w:pPr>
              <w:spacing w:line="0" w:lineRule="atLeast"/>
              <w:rPr>
                <w:rFonts w:eastAsia="Times New Roman" w:cs="Times New Roman"/>
                <w:b/>
              </w:rPr>
            </w:pPr>
          </w:p>
        </w:tc>
      </w:tr>
      <w:tr w:rsidR="00A52778" w:rsidRPr="00460F9E" w14:paraId="6623600F" w14:textId="77777777" w:rsidTr="00FC3F8E">
        <w:trPr>
          <w:trHeight w:val="230"/>
        </w:trPr>
        <w:tc>
          <w:tcPr>
            <w:tcW w:w="380" w:type="dxa"/>
            <w:tcBorders>
              <w:left w:val="single" w:sz="8" w:space="0" w:color="auto"/>
              <w:right w:val="single" w:sz="8" w:space="0" w:color="auto"/>
            </w:tcBorders>
            <w:shd w:val="clear" w:color="auto" w:fill="auto"/>
            <w:vAlign w:val="bottom"/>
          </w:tcPr>
          <w:p w14:paraId="505C3961" w14:textId="77777777" w:rsidR="00A52778" w:rsidRPr="00460F9E" w:rsidRDefault="00A52778" w:rsidP="00FC3F8E">
            <w:pPr>
              <w:spacing w:line="0" w:lineRule="atLeast"/>
              <w:rPr>
                <w:rFonts w:eastAsia="Times New Roman" w:cs="Times New Roman"/>
                <w:b/>
              </w:rPr>
            </w:pPr>
          </w:p>
        </w:tc>
        <w:tc>
          <w:tcPr>
            <w:tcW w:w="80" w:type="dxa"/>
            <w:shd w:val="clear" w:color="auto" w:fill="auto"/>
            <w:vAlign w:val="bottom"/>
          </w:tcPr>
          <w:p w14:paraId="7D1210A8" w14:textId="77777777" w:rsidR="00A52778" w:rsidRPr="00460F9E" w:rsidRDefault="00A52778" w:rsidP="00FC3F8E">
            <w:pPr>
              <w:spacing w:line="0" w:lineRule="atLeast"/>
              <w:rPr>
                <w:rFonts w:eastAsia="Times New Roman" w:cs="Times New Roman"/>
                <w:b/>
              </w:rPr>
            </w:pPr>
          </w:p>
        </w:tc>
        <w:tc>
          <w:tcPr>
            <w:tcW w:w="1800" w:type="dxa"/>
            <w:gridSpan w:val="4"/>
            <w:vMerge w:val="restart"/>
            <w:tcBorders>
              <w:right w:val="single" w:sz="8" w:space="0" w:color="auto"/>
            </w:tcBorders>
            <w:shd w:val="clear" w:color="auto" w:fill="auto"/>
            <w:vAlign w:val="bottom"/>
          </w:tcPr>
          <w:p w14:paraId="3915F5BE"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Proses atık gazlarının toplanması ve arıtılması</w:t>
            </w:r>
          </w:p>
        </w:tc>
        <w:tc>
          <w:tcPr>
            <w:tcW w:w="100" w:type="dxa"/>
            <w:tcBorders>
              <w:left w:val="single" w:sz="8" w:space="0" w:color="auto"/>
            </w:tcBorders>
            <w:shd w:val="clear" w:color="auto" w:fill="auto"/>
            <w:vAlign w:val="bottom"/>
          </w:tcPr>
          <w:p w14:paraId="1A81457B" w14:textId="77777777" w:rsidR="00A52778" w:rsidRPr="00460F9E" w:rsidRDefault="00A52778" w:rsidP="00FC3F8E">
            <w:pPr>
              <w:spacing w:line="0" w:lineRule="atLeast"/>
              <w:rPr>
                <w:rFonts w:eastAsia="Times New Roman" w:cs="Times New Roman"/>
                <w:b/>
              </w:rPr>
            </w:pPr>
          </w:p>
        </w:tc>
        <w:tc>
          <w:tcPr>
            <w:tcW w:w="3020" w:type="dxa"/>
            <w:gridSpan w:val="5"/>
            <w:vMerge/>
            <w:tcBorders>
              <w:right w:val="single" w:sz="4" w:space="0" w:color="auto"/>
            </w:tcBorders>
            <w:shd w:val="clear" w:color="auto" w:fill="auto"/>
            <w:vAlign w:val="bottom"/>
          </w:tcPr>
          <w:p w14:paraId="6C532FC9" w14:textId="77777777" w:rsidR="00A52778" w:rsidRPr="00460F9E" w:rsidRDefault="00A52778" w:rsidP="00FC3F8E">
            <w:pPr>
              <w:spacing w:line="0" w:lineRule="atLeast"/>
              <w:rPr>
                <w:rFonts w:eastAsia="Times New Roman" w:cs="Times New Roman"/>
                <w:b/>
              </w:rPr>
            </w:pPr>
          </w:p>
        </w:tc>
        <w:tc>
          <w:tcPr>
            <w:tcW w:w="3380" w:type="dxa"/>
            <w:gridSpan w:val="5"/>
            <w:vMerge/>
            <w:tcBorders>
              <w:left w:val="single" w:sz="4" w:space="0" w:color="auto"/>
              <w:right w:val="single" w:sz="8" w:space="0" w:color="auto"/>
            </w:tcBorders>
            <w:shd w:val="clear" w:color="auto" w:fill="auto"/>
            <w:vAlign w:val="bottom"/>
          </w:tcPr>
          <w:p w14:paraId="4E5D2363" w14:textId="77777777" w:rsidR="00A52778" w:rsidRPr="00460F9E" w:rsidRDefault="00A52778" w:rsidP="00FC3F8E">
            <w:pPr>
              <w:spacing w:line="0" w:lineRule="atLeast"/>
              <w:rPr>
                <w:rFonts w:eastAsia="Times New Roman" w:cs="Times New Roman"/>
                <w:b/>
              </w:rPr>
            </w:pPr>
          </w:p>
        </w:tc>
      </w:tr>
      <w:tr w:rsidR="00A52778" w:rsidRPr="00460F9E" w14:paraId="2FB21A77" w14:textId="77777777" w:rsidTr="00FC3F8E">
        <w:trPr>
          <w:trHeight w:val="230"/>
        </w:trPr>
        <w:tc>
          <w:tcPr>
            <w:tcW w:w="380" w:type="dxa"/>
            <w:tcBorders>
              <w:left w:val="single" w:sz="8" w:space="0" w:color="auto"/>
              <w:right w:val="single" w:sz="8" w:space="0" w:color="auto"/>
            </w:tcBorders>
            <w:shd w:val="clear" w:color="auto" w:fill="auto"/>
            <w:vAlign w:val="bottom"/>
          </w:tcPr>
          <w:p w14:paraId="76290A25"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c.</w:t>
            </w:r>
          </w:p>
        </w:tc>
        <w:tc>
          <w:tcPr>
            <w:tcW w:w="80" w:type="dxa"/>
            <w:shd w:val="clear" w:color="auto" w:fill="auto"/>
            <w:vAlign w:val="bottom"/>
          </w:tcPr>
          <w:p w14:paraId="1F772075" w14:textId="77777777" w:rsidR="00A52778" w:rsidRPr="00460F9E" w:rsidRDefault="00A52778" w:rsidP="00FC3F8E">
            <w:pPr>
              <w:spacing w:line="0" w:lineRule="atLeast"/>
              <w:rPr>
                <w:rFonts w:eastAsia="Times New Roman" w:cs="Times New Roman"/>
                <w:b/>
              </w:rPr>
            </w:pPr>
          </w:p>
        </w:tc>
        <w:tc>
          <w:tcPr>
            <w:tcW w:w="1800" w:type="dxa"/>
            <w:gridSpan w:val="4"/>
            <w:vMerge/>
            <w:tcBorders>
              <w:right w:val="single" w:sz="8" w:space="0" w:color="auto"/>
            </w:tcBorders>
            <w:shd w:val="clear" w:color="auto" w:fill="auto"/>
            <w:vAlign w:val="bottom"/>
          </w:tcPr>
          <w:p w14:paraId="3824FB73" w14:textId="77777777" w:rsidR="00A52778" w:rsidRPr="00460F9E" w:rsidRDefault="00A52778" w:rsidP="00FC3F8E">
            <w:pPr>
              <w:spacing w:line="0" w:lineRule="atLeast"/>
              <w:rPr>
                <w:rFonts w:eastAsia="Times New Roman" w:cs="Times New Roman"/>
                <w:b/>
              </w:rPr>
            </w:pPr>
          </w:p>
        </w:tc>
        <w:tc>
          <w:tcPr>
            <w:tcW w:w="100" w:type="dxa"/>
            <w:shd w:val="clear" w:color="auto" w:fill="auto"/>
            <w:vAlign w:val="bottom"/>
          </w:tcPr>
          <w:p w14:paraId="7DCF4789" w14:textId="77777777" w:rsidR="00A52778" w:rsidRPr="00460F9E" w:rsidRDefault="00A52778" w:rsidP="00FC3F8E">
            <w:pPr>
              <w:spacing w:line="0" w:lineRule="atLeast"/>
              <w:rPr>
                <w:rFonts w:eastAsia="Times New Roman" w:cs="Times New Roman"/>
                <w:b/>
              </w:rPr>
            </w:pPr>
          </w:p>
        </w:tc>
        <w:tc>
          <w:tcPr>
            <w:tcW w:w="3020" w:type="dxa"/>
            <w:gridSpan w:val="5"/>
            <w:vMerge/>
            <w:tcBorders>
              <w:right w:val="single" w:sz="4" w:space="0" w:color="auto"/>
            </w:tcBorders>
            <w:shd w:val="clear" w:color="auto" w:fill="auto"/>
            <w:vAlign w:val="bottom"/>
          </w:tcPr>
          <w:p w14:paraId="13F84E08" w14:textId="77777777" w:rsidR="00A52778" w:rsidRPr="00460F9E" w:rsidRDefault="00A52778" w:rsidP="00FC3F8E">
            <w:pPr>
              <w:spacing w:line="0" w:lineRule="atLeast"/>
              <w:rPr>
                <w:rFonts w:eastAsia="Times New Roman" w:cs="Times New Roman"/>
                <w:b/>
              </w:rPr>
            </w:pPr>
          </w:p>
        </w:tc>
        <w:tc>
          <w:tcPr>
            <w:tcW w:w="3380" w:type="dxa"/>
            <w:gridSpan w:val="5"/>
            <w:vMerge/>
            <w:tcBorders>
              <w:left w:val="single" w:sz="4" w:space="0" w:color="auto"/>
              <w:right w:val="single" w:sz="8" w:space="0" w:color="auto"/>
            </w:tcBorders>
            <w:shd w:val="clear" w:color="auto" w:fill="auto"/>
            <w:vAlign w:val="bottom"/>
          </w:tcPr>
          <w:p w14:paraId="37D634BD" w14:textId="77777777" w:rsidR="00A52778" w:rsidRPr="00460F9E" w:rsidRDefault="00A52778" w:rsidP="00FC3F8E">
            <w:pPr>
              <w:spacing w:line="0" w:lineRule="atLeast"/>
              <w:rPr>
                <w:rFonts w:eastAsia="Times New Roman" w:cs="Times New Roman"/>
                <w:b/>
              </w:rPr>
            </w:pPr>
          </w:p>
        </w:tc>
      </w:tr>
      <w:tr w:rsidR="00A52778" w:rsidRPr="00460F9E" w14:paraId="75CABE8C" w14:textId="77777777" w:rsidTr="00FC3F8E">
        <w:trPr>
          <w:trHeight w:val="66"/>
        </w:trPr>
        <w:tc>
          <w:tcPr>
            <w:tcW w:w="380" w:type="dxa"/>
            <w:tcBorders>
              <w:left w:val="single" w:sz="8" w:space="0" w:color="auto"/>
              <w:right w:val="single" w:sz="8" w:space="0" w:color="auto"/>
            </w:tcBorders>
            <w:shd w:val="clear" w:color="auto" w:fill="auto"/>
            <w:vAlign w:val="bottom"/>
          </w:tcPr>
          <w:p w14:paraId="5EAE1EF8" w14:textId="77777777" w:rsidR="00A52778" w:rsidRPr="00460F9E" w:rsidRDefault="00A52778" w:rsidP="00FC3F8E">
            <w:pPr>
              <w:spacing w:line="0" w:lineRule="atLeast"/>
              <w:rPr>
                <w:rFonts w:eastAsia="Times New Roman" w:cs="Times New Roman"/>
                <w:b/>
              </w:rPr>
            </w:pPr>
          </w:p>
        </w:tc>
        <w:tc>
          <w:tcPr>
            <w:tcW w:w="80" w:type="dxa"/>
            <w:shd w:val="clear" w:color="auto" w:fill="auto"/>
            <w:vAlign w:val="bottom"/>
          </w:tcPr>
          <w:p w14:paraId="58E704D5" w14:textId="77777777" w:rsidR="00A52778" w:rsidRPr="00460F9E" w:rsidRDefault="00A52778" w:rsidP="00FC3F8E">
            <w:pPr>
              <w:spacing w:line="0" w:lineRule="atLeast"/>
              <w:rPr>
                <w:rFonts w:eastAsia="Times New Roman" w:cs="Times New Roman"/>
                <w:b/>
              </w:rPr>
            </w:pPr>
          </w:p>
        </w:tc>
        <w:tc>
          <w:tcPr>
            <w:tcW w:w="1800" w:type="dxa"/>
            <w:gridSpan w:val="4"/>
            <w:vMerge/>
            <w:tcBorders>
              <w:right w:val="single" w:sz="8" w:space="0" w:color="auto"/>
            </w:tcBorders>
            <w:shd w:val="clear" w:color="auto" w:fill="auto"/>
            <w:vAlign w:val="bottom"/>
          </w:tcPr>
          <w:p w14:paraId="31B13912" w14:textId="77777777" w:rsidR="00A52778" w:rsidRPr="00460F9E" w:rsidRDefault="00A52778" w:rsidP="00FC3F8E">
            <w:pPr>
              <w:spacing w:line="0" w:lineRule="atLeast"/>
              <w:rPr>
                <w:rFonts w:eastAsia="Times New Roman" w:cs="Times New Roman"/>
                <w:b/>
              </w:rPr>
            </w:pPr>
          </w:p>
        </w:tc>
        <w:tc>
          <w:tcPr>
            <w:tcW w:w="100" w:type="dxa"/>
            <w:tcBorders>
              <w:left w:val="single" w:sz="8" w:space="0" w:color="auto"/>
            </w:tcBorders>
            <w:shd w:val="clear" w:color="auto" w:fill="auto"/>
            <w:vAlign w:val="bottom"/>
          </w:tcPr>
          <w:p w14:paraId="76E72B45" w14:textId="77777777" w:rsidR="00A52778" w:rsidRPr="00460F9E" w:rsidRDefault="00A52778" w:rsidP="00FC3F8E">
            <w:pPr>
              <w:spacing w:line="0" w:lineRule="atLeast"/>
              <w:rPr>
                <w:rFonts w:eastAsia="Times New Roman" w:cs="Times New Roman"/>
                <w:b/>
              </w:rPr>
            </w:pPr>
          </w:p>
        </w:tc>
        <w:tc>
          <w:tcPr>
            <w:tcW w:w="3020" w:type="dxa"/>
            <w:gridSpan w:val="5"/>
            <w:vMerge/>
            <w:tcBorders>
              <w:right w:val="single" w:sz="4" w:space="0" w:color="auto"/>
            </w:tcBorders>
            <w:shd w:val="clear" w:color="auto" w:fill="auto"/>
            <w:vAlign w:val="bottom"/>
          </w:tcPr>
          <w:p w14:paraId="1D73FE10" w14:textId="77777777" w:rsidR="00A52778" w:rsidRPr="00460F9E" w:rsidRDefault="00A52778" w:rsidP="00FC3F8E">
            <w:pPr>
              <w:spacing w:line="0" w:lineRule="atLeast"/>
              <w:rPr>
                <w:rFonts w:eastAsia="Times New Roman" w:cs="Times New Roman"/>
                <w:b/>
              </w:rPr>
            </w:pPr>
          </w:p>
        </w:tc>
        <w:tc>
          <w:tcPr>
            <w:tcW w:w="3380" w:type="dxa"/>
            <w:gridSpan w:val="5"/>
            <w:vMerge/>
            <w:tcBorders>
              <w:left w:val="single" w:sz="4" w:space="0" w:color="auto"/>
              <w:right w:val="single" w:sz="8" w:space="0" w:color="auto"/>
            </w:tcBorders>
            <w:shd w:val="clear" w:color="auto" w:fill="auto"/>
            <w:vAlign w:val="bottom"/>
          </w:tcPr>
          <w:p w14:paraId="05E6795E" w14:textId="77777777" w:rsidR="00A52778" w:rsidRPr="00460F9E" w:rsidRDefault="00A52778" w:rsidP="00FC3F8E">
            <w:pPr>
              <w:spacing w:line="0" w:lineRule="atLeast"/>
              <w:rPr>
                <w:rFonts w:eastAsia="Times New Roman" w:cs="Times New Roman"/>
                <w:b/>
              </w:rPr>
            </w:pPr>
          </w:p>
        </w:tc>
      </w:tr>
      <w:tr w:rsidR="00A52778" w:rsidRPr="00460F9E" w14:paraId="4298281D" w14:textId="77777777" w:rsidTr="00FC3F8E">
        <w:trPr>
          <w:trHeight w:val="230"/>
        </w:trPr>
        <w:tc>
          <w:tcPr>
            <w:tcW w:w="380" w:type="dxa"/>
            <w:tcBorders>
              <w:left w:val="single" w:sz="8" w:space="0" w:color="auto"/>
              <w:right w:val="single" w:sz="8" w:space="0" w:color="auto"/>
            </w:tcBorders>
            <w:shd w:val="clear" w:color="auto" w:fill="auto"/>
            <w:vAlign w:val="bottom"/>
          </w:tcPr>
          <w:p w14:paraId="7DFCF1EC" w14:textId="77777777" w:rsidR="00A52778" w:rsidRPr="00460F9E" w:rsidRDefault="00A52778" w:rsidP="00FC3F8E">
            <w:pPr>
              <w:spacing w:line="0" w:lineRule="atLeast"/>
              <w:rPr>
                <w:rFonts w:eastAsia="Times New Roman" w:cs="Times New Roman"/>
                <w:b/>
              </w:rPr>
            </w:pPr>
          </w:p>
        </w:tc>
        <w:tc>
          <w:tcPr>
            <w:tcW w:w="80" w:type="dxa"/>
            <w:shd w:val="clear" w:color="auto" w:fill="auto"/>
            <w:vAlign w:val="bottom"/>
          </w:tcPr>
          <w:p w14:paraId="6BD9EEAE" w14:textId="77777777" w:rsidR="00A52778" w:rsidRPr="00460F9E" w:rsidRDefault="00A52778" w:rsidP="00FC3F8E">
            <w:pPr>
              <w:spacing w:line="0" w:lineRule="atLeast"/>
              <w:rPr>
                <w:rFonts w:eastAsia="Times New Roman" w:cs="Times New Roman"/>
                <w:b/>
              </w:rPr>
            </w:pPr>
          </w:p>
        </w:tc>
        <w:tc>
          <w:tcPr>
            <w:tcW w:w="540" w:type="dxa"/>
            <w:shd w:val="clear" w:color="auto" w:fill="auto"/>
            <w:vAlign w:val="bottom"/>
          </w:tcPr>
          <w:p w14:paraId="22A68478" w14:textId="77777777" w:rsidR="00A52778" w:rsidRPr="00460F9E" w:rsidRDefault="00A52778" w:rsidP="00FC3F8E">
            <w:pPr>
              <w:spacing w:line="0" w:lineRule="atLeast"/>
              <w:rPr>
                <w:rFonts w:eastAsia="Times New Roman" w:cs="Times New Roman"/>
                <w:b/>
              </w:rPr>
            </w:pPr>
          </w:p>
        </w:tc>
        <w:tc>
          <w:tcPr>
            <w:tcW w:w="360" w:type="dxa"/>
            <w:shd w:val="clear" w:color="auto" w:fill="auto"/>
            <w:vAlign w:val="bottom"/>
          </w:tcPr>
          <w:p w14:paraId="6934C1CA" w14:textId="77777777" w:rsidR="00A52778" w:rsidRPr="00460F9E" w:rsidRDefault="00A52778" w:rsidP="00FC3F8E">
            <w:pPr>
              <w:spacing w:line="0" w:lineRule="atLeast"/>
              <w:rPr>
                <w:rFonts w:eastAsia="Times New Roman" w:cs="Times New Roman"/>
                <w:b/>
              </w:rPr>
            </w:pPr>
          </w:p>
        </w:tc>
        <w:tc>
          <w:tcPr>
            <w:tcW w:w="260" w:type="dxa"/>
            <w:shd w:val="clear" w:color="auto" w:fill="auto"/>
            <w:vAlign w:val="bottom"/>
          </w:tcPr>
          <w:p w14:paraId="27FB4630" w14:textId="77777777" w:rsidR="00A52778" w:rsidRPr="00460F9E" w:rsidRDefault="00A52778" w:rsidP="00FC3F8E">
            <w:pPr>
              <w:spacing w:line="0" w:lineRule="atLeast"/>
              <w:rPr>
                <w:rFonts w:eastAsia="Times New Roman" w:cs="Times New Roman"/>
                <w:b/>
              </w:rPr>
            </w:pPr>
          </w:p>
        </w:tc>
        <w:tc>
          <w:tcPr>
            <w:tcW w:w="640" w:type="dxa"/>
            <w:tcBorders>
              <w:right w:val="single" w:sz="8" w:space="0" w:color="auto"/>
            </w:tcBorders>
            <w:shd w:val="clear" w:color="auto" w:fill="auto"/>
            <w:vAlign w:val="bottom"/>
          </w:tcPr>
          <w:p w14:paraId="6DC0772D" w14:textId="77777777" w:rsidR="00A52778" w:rsidRPr="00460F9E" w:rsidRDefault="00A52778" w:rsidP="00FC3F8E">
            <w:pPr>
              <w:spacing w:line="0" w:lineRule="atLeast"/>
              <w:rPr>
                <w:rFonts w:eastAsia="Times New Roman" w:cs="Times New Roman"/>
                <w:b/>
              </w:rPr>
            </w:pPr>
          </w:p>
        </w:tc>
        <w:tc>
          <w:tcPr>
            <w:tcW w:w="100" w:type="dxa"/>
            <w:shd w:val="clear" w:color="auto" w:fill="auto"/>
            <w:vAlign w:val="bottom"/>
          </w:tcPr>
          <w:p w14:paraId="0BA8EE17" w14:textId="77777777" w:rsidR="00A52778" w:rsidRPr="00460F9E" w:rsidRDefault="00A52778" w:rsidP="00FC3F8E">
            <w:pPr>
              <w:spacing w:line="0" w:lineRule="atLeast"/>
              <w:rPr>
                <w:rFonts w:eastAsia="Times New Roman" w:cs="Times New Roman"/>
                <w:b/>
              </w:rPr>
            </w:pPr>
          </w:p>
        </w:tc>
        <w:tc>
          <w:tcPr>
            <w:tcW w:w="3020" w:type="dxa"/>
            <w:gridSpan w:val="5"/>
            <w:vMerge/>
            <w:tcBorders>
              <w:right w:val="single" w:sz="4" w:space="0" w:color="auto"/>
            </w:tcBorders>
            <w:shd w:val="clear" w:color="auto" w:fill="auto"/>
            <w:vAlign w:val="bottom"/>
          </w:tcPr>
          <w:p w14:paraId="6AC29BD4" w14:textId="77777777" w:rsidR="00A52778" w:rsidRPr="00460F9E" w:rsidRDefault="00A52778" w:rsidP="00FC3F8E">
            <w:pPr>
              <w:spacing w:line="0" w:lineRule="atLeast"/>
              <w:rPr>
                <w:rFonts w:eastAsia="Times New Roman" w:cs="Times New Roman"/>
                <w:b/>
              </w:rPr>
            </w:pPr>
          </w:p>
        </w:tc>
        <w:tc>
          <w:tcPr>
            <w:tcW w:w="3380" w:type="dxa"/>
            <w:gridSpan w:val="5"/>
            <w:vMerge/>
            <w:tcBorders>
              <w:left w:val="single" w:sz="4" w:space="0" w:color="auto"/>
              <w:right w:val="single" w:sz="8" w:space="0" w:color="auto"/>
            </w:tcBorders>
            <w:shd w:val="clear" w:color="auto" w:fill="auto"/>
            <w:vAlign w:val="bottom"/>
          </w:tcPr>
          <w:p w14:paraId="46E10C0D" w14:textId="77777777" w:rsidR="00A52778" w:rsidRPr="00460F9E" w:rsidRDefault="00A52778" w:rsidP="00FC3F8E">
            <w:pPr>
              <w:spacing w:line="0" w:lineRule="atLeast"/>
              <w:rPr>
                <w:rFonts w:eastAsia="Times New Roman" w:cs="Times New Roman"/>
                <w:b/>
              </w:rPr>
            </w:pPr>
          </w:p>
        </w:tc>
      </w:tr>
      <w:tr w:rsidR="00A52778" w:rsidRPr="00460F9E" w14:paraId="2C02082C" w14:textId="77777777" w:rsidTr="00FC3F8E">
        <w:trPr>
          <w:trHeight w:val="232"/>
        </w:trPr>
        <w:tc>
          <w:tcPr>
            <w:tcW w:w="380" w:type="dxa"/>
            <w:tcBorders>
              <w:left w:val="single" w:sz="8" w:space="0" w:color="auto"/>
              <w:bottom w:val="single" w:sz="8" w:space="0" w:color="auto"/>
              <w:right w:val="single" w:sz="8" w:space="0" w:color="auto"/>
            </w:tcBorders>
            <w:shd w:val="clear" w:color="auto" w:fill="auto"/>
            <w:vAlign w:val="bottom"/>
          </w:tcPr>
          <w:p w14:paraId="6247AEC2" w14:textId="77777777" w:rsidR="00A52778" w:rsidRPr="00460F9E" w:rsidRDefault="00A52778" w:rsidP="00FC3F8E">
            <w:pPr>
              <w:spacing w:line="0" w:lineRule="atLeast"/>
              <w:rPr>
                <w:rFonts w:eastAsia="Times New Roman" w:cs="Times New Roman"/>
                <w:b/>
              </w:rPr>
            </w:pPr>
          </w:p>
        </w:tc>
        <w:tc>
          <w:tcPr>
            <w:tcW w:w="80" w:type="dxa"/>
            <w:tcBorders>
              <w:bottom w:val="single" w:sz="8" w:space="0" w:color="auto"/>
            </w:tcBorders>
            <w:shd w:val="clear" w:color="auto" w:fill="auto"/>
            <w:vAlign w:val="bottom"/>
          </w:tcPr>
          <w:p w14:paraId="73083A97" w14:textId="77777777" w:rsidR="00A52778" w:rsidRPr="00460F9E" w:rsidRDefault="00A52778" w:rsidP="00FC3F8E">
            <w:pPr>
              <w:spacing w:line="0" w:lineRule="atLeast"/>
              <w:rPr>
                <w:rFonts w:eastAsia="Times New Roman" w:cs="Times New Roman"/>
                <w:b/>
              </w:rPr>
            </w:pPr>
          </w:p>
        </w:tc>
        <w:tc>
          <w:tcPr>
            <w:tcW w:w="540" w:type="dxa"/>
            <w:tcBorders>
              <w:bottom w:val="single" w:sz="8" w:space="0" w:color="auto"/>
            </w:tcBorders>
            <w:shd w:val="clear" w:color="auto" w:fill="auto"/>
            <w:vAlign w:val="bottom"/>
          </w:tcPr>
          <w:p w14:paraId="1DBCA533" w14:textId="77777777" w:rsidR="00A52778" w:rsidRPr="00460F9E" w:rsidRDefault="00A52778" w:rsidP="00FC3F8E">
            <w:pPr>
              <w:spacing w:line="0" w:lineRule="atLeast"/>
              <w:rPr>
                <w:rFonts w:eastAsia="Times New Roman" w:cs="Times New Roman"/>
                <w:b/>
              </w:rPr>
            </w:pPr>
          </w:p>
        </w:tc>
        <w:tc>
          <w:tcPr>
            <w:tcW w:w="360" w:type="dxa"/>
            <w:tcBorders>
              <w:bottom w:val="single" w:sz="8" w:space="0" w:color="auto"/>
            </w:tcBorders>
            <w:shd w:val="clear" w:color="auto" w:fill="auto"/>
            <w:vAlign w:val="bottom"/>
          </w:tcPr>
          <w:p w14:paraId="691A5032" w14:textId="77777777" w:rsidR="00A52778" w:rsidRPr="00460F9E" w:rsidRDefault="00A52778" w:rsidP="00FC3F8E">
            <w:pPr>
              <w:spacing w:line="0" w:lineRule="atLeast"/>
              <w:rPr>
                <w:rFonts w:eastAsia="Times New Roman" w:cs="Times New Roman"/>
                <w:b/>
              </w:rPr>
            </w:pPr>
          </w:p>
        </w:tc>
        <w:tc>
          <w:tcPr>
            <w:tcW w:w="260" w:type="dxa"/>
            <w:tcBorders>
              <w:bottom w:val="single" w:sz="8" w:space="0" w:color="auto"/>
            </w:tcBorders>
            <w:shd w:val="clear" w:color="auto" w:fill="auto"/>
            <w:vAlign w:val="bottom"/>
          </w:tcPr>
          <w:p w14:paraId="3183709F" w14:textId="77777777" w:rsidR="00A52778" w:rsidRPr="00460F9E" w:rsidRDefault="00A52778" w:rsidP="00FC3F8E">
            <w:pPr>
              <w:spacing w:line="0" w:lineRule="atLeast"/>
              <w:rPr>
                <w:rFonts w:eastAsia="Times New Roman" w:cs="Times New Roman"/>
                <w:b/>
              </w:rPr>
            </w:pPr>
          </w:p>
        </w:tc>
        <w:tc>
          <w:tcPr>
            <w:tcW w:w="640" w:type="dxa"/>
            <w:tcBorders>
              <w:bottom w:val="single" w:sz="8" w:space="0" w:color="auto"/>
              <w:right w:val="single" w:sz="8" w:space="0" w:color="auto"/>
            </w:tcBorders>
            <w:shd w:val="clear" w:color="auto" w:fill="auto"/>
            <w:vAlign w:val="bottom"/>
          </w:tcPr>
          <w:p w14:paraId="1A84512A" w14:textId="77777777" w:rsidR="00A52778" w:rsidRPr="00460F9E" w:rsidRDefault="00A52778" w:rsidP="00FC3F8E">
            <w:pPr>
              <w:spacing w:line="0" w:lineRule="atLeast"/>
              <w:rPr>
                <w:rFonts w:eastAsia="Times New Roman" w:cs="Times New Roman"/>
                <w:b/>
              </w:rPr>
            </w:pPr>
          </w:p>
        </w:tc>
        <w:tc>
          <w:tcPr>
            <w:tcW w:w="100" w:type="dxa"/>
            <w:tcBorders>
              <w:bottom w:val="single" w:sz="8" w:space="0" w:color="auto"/>
            </w:tcBorders>
            <w:shd w:val="clear" w:color="auto" w:fill="auto"/>
            <w:vAlign w:val="bottom"/>
          </w:tcPr>
          <w:p w14:paraId="612A8415" w14:textId="77777777" w:rsidR="00A52778" w:rsidRPr="00460F9E" w:rsidRDefault="00A52778" w:rsidP="00FC3F8E">
            <w:pPr>
              <w:spacing w:line="0" w:lineRule="atLeast"/>
              <w:rPr>
                <w:rFonts w:eastAsia="Times New Roman" w:cs="Times New Roman"/>
                <w:b/>
              </w:rPr>
            </w:pPr>
          </w:p>
        </w:tc>
        <w:tc>
          <w:tcPr>
            <w:tcW w:w="3020" w:type="dxa"/>
            <w:gridSpan w:val="5"/>
            <w:vMerge/>
            <w:tcBorders>
              <w:bottom w:val="single" w:sz="8" w:space="0" w:color="auto"/>
              <w:right w:val="single" w:sz="4" w:space="0" w:color="auto"/>
            </w:tcBorders>
            <w:shd w:val="clear" w:color="auto" w:fill="auto"/>
            <w:vAlign w:val="bottom"/>
          </w:tcPr>
          <w:p w14:paraId="371A12F0" w14:textId="77777777" w:rsidR="00A52778" w:rsidRPr="00460F9E" w:rsidRDefault="00A52778" w:rsidP="00FC3F8E">
            <w:pPr>
              <w:spacing w:line="0" w:lineRule="atLeast"/>
              <w:rPr>
                <w:rFonts w:eastAsia="Times New Roman" w:cs="Times New Roman"/>
                <w:b/>
              </w:rPr>
            </w:pPr>
          </w:p>
        </w:tc>
        <w:tc>
          <w:tcPr>
            <w:tcW w:w="3380" w:type="dxa"/>
            <w:gridSpan w:val="5"/>
            <w:vMerge/>
            <w:tcBorders>
              <w:left w:val="single" w:sz="4" w:space="0" w:color="auto"/>
              <w:bottom w:val="single" w:sz="8" w:space="0" w:color="auto"/>
              <w:right w:val="single" w:sz="8" w:space="0" w:color="auto"/>
            </w:tcBorders>
            <w:shd w:val="clear" w:color="auto" w:fill="auto"/>
            <w:vAlign w:val="bottom"/>
          </w:tcPr>
          <w:p w14:paraId="7E555DF2" w14:textId="77777777" w:rsidR="00A52778" w:rsidRPr="00460F9E" w:rsidRDefault="00A52778" w:rsidP="00FC3F8E">
            <w:pPr>
              <w:spacing w:line="0" w:lineRule="atLeast"/>
              <w:rPr>
                <w:rFonts w:eastAsia="Times New Roman" w:cs="Times New Roman"/>
                <w:b/>
              </w:rPr>
            </w:pPr>
          </w:p>
        </w:tc>
      </w:tr>
      <w:tr w:rsidR="00A52778" w:rsidRPr="00460F9E" w14:paraId="18CAA9B2" w14:textId="77777777" w:rsidTr="00FC3F8E">
        <w:trPr>
          <w:trHeight w:val="957"/>
        </w:trPr>
        <w:tc>
          <w:tcPr>
            <w:tcW w:w="8760" w:type="dxa"/>
            <w:gridSpan w:val="17"/>
            <w:shd w:val="clear" w:color="auto" w:fill="auto"/>
            <w:vAlign w:val="bottom"/>
          </w:tcPr>
          <w:p w14:paraId="6500522E" w14:textId="77777777" w:rsidR="00A52778" w:rsidRDefault="00A52778" w:rsidP="00FC3F8E">
            <w:pPr>
              <w:spacing w:line="0" w:lineRule="atLeast"/>
              <w:ind w:right="20"/>
              <w:rPr>
                <w:rFonts w:eastAsia="Times New Roman" w:cs="Times New Roman"/>
                <w:b/>
              </w:rPr>
            </w:pPr>
          </w:p>
          <w:p w14:paraId="585D9284" w14:textId="77777777" w:rsidR="00A52778" w:rsidRPr="00460F9E" w:rsidRDefault="00A52778" w:rsidP="00FC3F8E">
            <w:pPr>
              <w:spacing w:line="0" w:lineRule="atLeast"/>
              <w:ind w:right="20"/>
              <w:rPr>
                <w:rFonts w:eastAsia="Times New Roman" w:cs="Times New Roman"/>
                <w:b/>
              </w:rPr>
            </w:pPr>
            <w:r w:rsidRPr="00B568BE">
              <w:rPr>
                <w:rFonts w:eastAsia="Times New Roman" w:cs="Times New Roman"/>
              </w:rPr>
              <w:t>Spesifik emisyon yükleri olarak ifade edilen poliolefinlerin üretiminden kaynaklanan VOC' lerin havaya salınan toplam emisyonları için MET ile ilişkili emisyon seviyeleri (MET-AEL' ler)</w:t>
            </w:r>
          </w:p>
        </w:tc>
      </w:tr>
      <w:tr w:rsidR="00A52778" w:rsidRPr="00460F9E" w14:paraId="267347E7" w14:textId="77777777" w:rsidTr="00FC3F8E">
        <w:trPr>
          <w:trHeight w:val="121"/>
        </w:trPr>
        <w:tc>
          <w:tcPr>
            <w:tcW w:w="380" w:type="dxa"/>
            <w:tcBorders>
              <w:bottom w:val="single" w:sz="8" w:space="0" w:color="auto"/>
            </w:tcBorders>
            <w:shd w:val="clear" w:color="auto" w:fill="auto"/>
            <w:vAlign w:val="bottom"/>
          </w:tcPr>
          <w:p w14:paraId="31DCE00A" w14:textId="77777777" w:rsidR="00A52778" w:rsidRPr="00460F9E" w:rsidRDefault="00A52778" w:rsidP="00FC3F8E">
            <w:pPr>
              <w:spacing w:line="0" w:lineRule="atLeast"/>
              <w:rPr>
                <w:rFonts w:eastAsia="Times New Roman" w:cs="Times New Roman"/>
                <w:b/>
                <w:sz w:val="10"/>
              </w:rPr>
            </w:pPr>
          </w:p>
        </w:tc>
        <w:tc>
          <w:tcPr>
            <w:tcW w:w="80" w:type="dxa"/>
            <w:tcBorders>
              <w:bottom w:val="single" w:sz="8" w:space="0" w:color="auto"/>
            </w:tcBorders>
            <w:shd w:val="clear" w:color="auto" w:fill="auto"/>
            <w:vAlign w:val="bottom"/>
          </w:tcPr>
          <w:p w14:paraId="018BB953" w14:textId="77777777" w:rsidR="00A52778" w:rsidRPr="00460F9E" w:rsidRDefault="00A52778" w:rsidP="00FC3F8E">
            <w:pPr>
              <w:spacing w:line="0" w:lineRule="atLeast"/>
              <w:rPr>
                <w:rFonts w:eastAsia="Times New Roman" w:cs="Times New Roman"/>
                <w:b/>
                <w:sz w:val="10"/>
              </w:rPr>
            </w:pPr>
          </w:p>
        </w:tc>
        <w:tc>
          <w:tcPr>
            <w:tcW w:w="540" w:type="dxa"/>
            <w:tcBorders>
              <w:bottom w:val="single" w:sz="8" w:space="0" w:color="auto"/>
            </w:tcBorders>
            <w:shd w:val="clear" w:color="auto" w:fill="auto"/>
            <w:vAlign w:val="bottom"/>
          </w:tcPr>
          <w:p w14:paraId="685168E3" w14:textId="77777777" w:rsidR="00A52778" w:rsidRPr="00460F9E" w:rsidRDefault="00A52778" w:rsidP="00FC3F8E">
            <w:pPr>
              <w:spacing w:line="0" w:lineRule="atLeast"/>
              <w:rPr>
                <w:rFonts w:eastAsia="Times New Roman" w:cs="Times New Roman"/>
                <w:b/>
                <w:sz w:val="10"/>
              </w:rPr>
            </w:pPr>
          </w:p>
        </w:tc>
        <w:tc>
          <w:tcPr>
            <w:tcW w:w="360" w:type="dxa"/>
            <w:tcBorders>
              <w:bottom w:val="single" w:sz="8" w:space="0" w:color="auto"/>
            </w:tcBorders>
            <w:shd w:val="clear" w:color="auto" w:fill="auto"/>
            <w:vAlign w:val="bottom"/>
          </w:tcPr>
          <w:p w14:paraId="1631AE1A" w14:textId="77777777" w:rsidR="00A52778" w:rsidRPr="00460F9E" w:rsidRDefault="00A52778" w:rsidP="00FC3F8E">
            <w:pPr>
              <w:spacing w:line="0" w:lineRule="atLeast"/>
              <w:rPr>
                <w:rFonts w:eastAsia="Times New Roman" w:cs="Times New Roman"/>
                <w:b/>
                <w:sz w:val="10"/>
              </w:rPr>
            </w:pPr>
          </w:p>
        </w:tc>
        <w:tc>
          <w:tcPr>
            <w:tcW w:w="260" w:type="dxa"/>
            <w:tcBorders>
              <w:bottom w:val="single" w:sz="8" w:space="0" w:color="auto"/>
            </w:tcBorders>
            <w:shd w:val="clear" w:color="auto" w:fill="auto"/>
            <w:vAlign w:val="bottom"/>
          </w:tcPr>
          <w:p w14:paraId="0AF0CE07" w14:textId="77777777" w:rsidR="00A52778" w:rsidRPr="00460F9E" w:rsidRDefault="00A52778" w:rsidP="00FC3F8E">
            <w:pPr>
              <w:spacing w:line="0" w:lineRule="atLeast"/>
              <w:rPr>
                <w:rFonts w:eastAsia="Times New Roman" w:cs="Times New Roman"/>
                <w:b/>
                <w:sz w:val="10"/>
              </w:rPr>
            </w:pPr>
          </w:p>
        </w:tc>
        <w:tc>
          <w:tcPr>
            <w:tcW w:w="640" w:type="dxa"/>
            <w:tcBorders>
              <w:bottom w:val="single" w:sz="8" w:space="0" w:color="auto"/>
            </w:tcBorders>
            <w:shd w:val="clear" w:color="auto" w:fill="auto"/>
            <w:vAlign w:val="bottom"/>
          </w:tcPr>
          <w:p w14:paraId="531C86F5" w14:textId="77777777" w:rsidR="00A52778" w:rsidRPr="00460F9E" w:rsidRDefault="00A52778" w:rsidP="00FC3F8E">
            <w:pPr>
              <w:spacing w:line="0" w:lineRule="atLeast"/>
              <w:rPr>
                <w:rFonts w:eastAsia="Times New Roman" w:cs="Times New Roman"/>
                <w:b/>
                <w:sz w:val="10"/>
              </w:rPr>
            </w:pPr>
          </w:p>
        </w:tc>
        <w:tc>
          <w:tcPr>
            <w:tcW w:w="100" w:type="dxa"/>
            <w:tcBorders>
              <w:bottom w:val="single" w:sz="8" w:space="0" w:color="auto"/>
            </w:tcBorders>
            <w:shd w:val="clear" w:color="auto" w:fill="auto"/>
            <w:vAlign w:val="bottom"/>
          </w:tcPr>
          <w:p w14:paraId="0872497D" w14:textId="77777777" w:rsidR="00A52778" w:rsidRPr="00460F9E" w:rsidRDefault="00A52778" w:rsidP="00FC3F8E">
            <w:pPr>
              <w:spacing w:line="0" w:lineRule="atLeast"/>
              <w:rPr>
                <w:rFonts w:eastAsia="Times New Roman" w:cs="Times New Roman"/>
                <w:b/>
                <w:sz w:val="10"/>
              </w:rPr>
            </w:pPr>
          </w:p>
        </w:tc>
        <w:tc>
          <w:tcPr>
            <w:tcW w:w="680" w:type="dxa"/>
            <w:tcBorders>
              <w:bottom w:val="single" w:sz="8" w:space="0" w:color="auto"/>
            </w:tcBorders>
            <w:shd w:val="clear" w:color="auto" w:fill="auto"/>
            <w:vAlign w:val="bottom"/>
          </w:tcPr>
          <w:p w14:paraId="2379E3C7" w14:textId="77777777" w:rsidR="00A52778" w:rsidRPr="00460F9E" w:rsidRDefault="00A52778" w:rsidP="00FC3F8E">
            <w:pPr>
              <w:spacing w:line="0" w:lineRule="atLeast"/>
              <w:rPr>
                <w:rFonts w:eastAsia="Times New Roman" w:cs="Times New Roman"/>
                <w:b/>
                <w:sz w:val="10"/>
              </w:rPr>
            </w:pPr>
          </w:p>
        </w:tc>
        <w:tc>
          <w:tcPr>
            <w:tcW w:w="600" w:type="dxa"/>
            <w:tcBorders>
              <w:bottom w:val="single" w:sz="8" w:space="0" w:color="auto"/>
            </w:tcBorders>
            <w:shd w:val="clear" w:color="auto" w:fill="auto"/>
            <w:vAlign w:val="bottom"/>
          </w:tcPr>
          <w:p w14:paraId="162418F2" w14:textId="77777777" w:rsidR="00A52778" w:rsidRPr="00460F9E" w:rsidRDefault="00A52778" w:rsidP="00FC3F8E">
            <w:pPr>
              <w:spacing w:line="0" w:lineRule="atLeast"/>
              <w:rPr>
                <w:rFonts w:eastAsia="Times New Roman" w:cs="Times New Roman"/>
                <w:b/>
                <w:sz w:val="10"/>
              </w:rPr>
            </w:pPr>
          </w:p>
        </w:tc>
        <w:tc>
          <w:tcPr>
            <w:tcW w:w="400" w:type="dxa"/>
            <w:tcBorders>
              <w:bottom w:val="single" w:sz="8" w:space="0" w:color="auto"/>
            </w:tcBorders>
            <w:shd w:val="clear" w:color="auto" w:fill="auto"/>
            <w:vAlign w:val="bottom"/>
          </w:tcPr>
          <w:p w14:paraId="01DDB29E" w14:textId="77777777" w:rsidR="00A52778" w:rsidRPr="00460F9E" w:rsidRDefault="00A52778" w:rsidP="00FC3F8E">
            <w:pPr>
              <w:spacing w:line="0" w:lineRule="atLeast"/>
              <w:rPr>
                <w:rFonts w:eastAsia="Times New Roman" w:cs="Times New Roman"/>
                <w:b/>
                <w:sz w:val="10"/>
              </w:rPr>
            </w:pPr>
          </w:p>
        </w:tc>
        <w:tc>
          <w:tcPr>
            <w:tcW w:w="660" w:type="dxa"/>
            <w:tcBorders>
              <w:bottom w:val="single" w:sz="8" w:space="0" w:color="auto"/>
            </w:tcBorders>
            <w:shd w:val="clear" w:color="auto" w:fill="auto"/>
            <w:vAlign w:val="bottom"/>
          </w:tcPr>
          <w:p w14:paraId="3119FB71" w14:textId="77777777" w:rsidR="00A52778" w:rsidRPr="00460F9E" w:rsidRDefault="00A52778" w:rsidP="00FC3F8E">
            <w:pPr>
              <w:spacing w:line="0" w:lineRule="atLeast"/>
              <w:rPr>
                <w:rFonts w:eastAsia="Times New Roman" w:cs="Times New Roman"/>
                <w:b/>
                <w:sz w:val="10"/>
              </w:rPr>
            </w:pPr>
          </w:p>
        </w:tc>
        <w:tc>
          <w:tcPr>
            <w:tcW w:w="680" w:type="dxa"/>
            <w:tcBorders>
              <w:bottom w:val="single" w:sz="8" w:space="0" w:color="auto"/>
            </w:tcBorders>
            <w:shd w:val="clear" w:color="auto" w:fill="auto"/>
            <w:vAlign w:val="bottom"/>
          </w:tcPr>
          <w:p w14:paraId="4CCFDFB1" w14:textId="77777777" w:rsidR="00A52778" w:rsidRPr="00460F9E" w:rsidRDefault="00A52778" w:rsidP="00FC3F8E">
            <w:pPr>
              <w:spacing w:line="0" w:lineRule="atLeast"/>
              <w:rPr>
                <w:rFonts w:eastAsia="Times New Roman" w:cs="Times New Roman"/>
                <w:b/>
                <w:sz w:val="10"/>
              </w:rPr>
            </w:pPr>
          </w:p>
        </w:tc>
        <w:tc>
          <w:tcPr>
            <w:tcW w:w="880" w:type="dxa"/>
            <w:tcBorders>
              <w:bottom w:val="single" w:sz="8" w:space="0" w:color="auto"/>
            </w:tcBorders>
            <w:shd w:val="clear" w:color="auto" w:fill="auto"/>
            <w:vAlign w:val="bottom"/>
          </w:tcPr>
          <w:p w14:paraId="5DC55846" w14:textId="77777777" w:rsidR="00A52778" w:rsidRPr="00460F9E" w:rsidRDefault="00A52778" w:rsidP="00FC3F8E">
            <w:pPr>
              <w:spacing w:line="0" w:lineRule="atLeast"/>
              <w:rPr>
                <w:rFonts w:eastAsia="Times New Roman" w:cs="Times New Roman"/>
                <w:b/>
                <w:sz w:val="10"/>
              </w:rPr>
            </w:pPr>
          </w:p>
        </w:tc>
        <w:tc>
          <w:tcPr>
            <w:tcW w:w="320" w:type="dxa"/>
            <w:tcBorders>
              <w:bottom w:val="single" w:sz="8" w:space="0" w:color="auto"/>
            </w:tcBorders>
            <w:shd w:val="clear" w:color="auto" w:fill="auto"/>
            <w:vAlign w:val="bottom"/>
          </w:tcPr>
          <w:p w14:paraId="76D86080" w14:textId="77777777" w:rsidR="00A52778" w:rsidRPr="00460F9E" w:rsidRDefault="00A52778" w:rsidP="00FC3F8E">
            <w:pPr>
              <w:spacing w:line="0" w:lineRule="atLeast"/>
              <w:rPr>
                <w:rFonts w:eastAsia="Times New Roman" w:cs="Times New Roman"/>
                <w:b/>
                <w:sz w:val="10"/>
              </w:rPr>
            </w:pPr>
          </w:p>
        </w:tc>
        <w:tc>
          <w:tcPr>
            <w:tcW w:w="520" w:type="dxa"/>
            <w:tcBorders>
              <w:bottom w:val="single" w:sz="8" w:space="0" w:color="auto"/>
            </w:tcBorders>
            <w:shd w:val="clear" w:color="auto" w:fill="auto"/>
            <w:vAlign w:val="bottom"/>
          </w:tcPr>
          <w:p w14:paraId="65FAFDFE" w14:textId="77777777" w:rsidR="00A52778" w:rsidRPr="00460F9E" w:rsidRDefault="00A52778" w:rsidP="00FC3F8E">
            <w:pPr>
              <w:spacing w:line="0" w:lineRule="atLeast"/>
              <w:rPr>
                <w:rFonts w:eastAsia="Times New Roman" w:cs="Times New Roman"/>
                <w:b/>
                <w:sz w:val="10"/>
              </w:rPr>
            </w:pPr>
          </w:p>
        </w:tc>
        <w:tc>
          <w:tcPr>
            <w:tcW w:w="1280" w:type="dxa"/>
            <w:tcBorders>
              <w:bottom w:val="single" w:sz="8" w:space="0" w:color="auto"/>
            </w:tcBorders>
            <w:shd w:val="clear" w:color="auto" w:fill="auto"/>
            <w:vAlign w:val="bottom"/>
          </w:tcPr>
          <w:p w14:paraId="68EEDDE6" w14:textId="77777777" w:rsidR="00A52778" w:rsidRPr="00460F9E" w:rsidRDefault="00A52778" w:rsidP="00FC3F8E">
            <w:pPr>
              <w:spacing w:line="0" w:lineRule="atLeast"/>
              <w:rPr>
                <w:rFonts w:eastAsia="Times New Roman" w:cs="Times New Roman"/>
                <w:b/>
                <w:sz w:val="10"/>
              </w:rPr>
            </w:pPr>
          </w:p>
        </w:tc>
        <w:tc>
          <w:tcPr>
            <w:tcW w:w="380" w:type="dxa"/>
            <w:tcBorders>
              <w:bottom w:val="single" w:sz="8" w:space="0" w:color="auto"/>
            </w:tcBorders>
            <w:shd w:val="clear" w:color="auto" w:fill="auto"/>
            <w:vAlign w:val="bottom"/>
          </w:tcPr>
          <w:p w14:paraId="2EC3BE96" w14:textId="77777777" w:rsidR="00A52778" w:rsidRPr="00460F9E" w:rsidRDefault="00A52778" w:rsidP="00FC3F8E">
            <w:pPr>
              <w:spacing w:line="0" w:lineRule="atLeast"/>
              <w:rPr>
                <w:rFonts w:eastAsia="Times New Roman" w:cs="Times New Roman"/>
                <w:b/>
                <w:sz w:val="10"/>
              </w:rPr>
            </w:pPr>
          </w:p>
        </w:tc>
      </w:tr>
      <w:tr w:rsidR="00A52778" w:rsidRPr="00460F9E" w14:paraId="4227E175" w14:textId="77777777" w:rsidTr="00FC3F8E">
        <w:trPr>
          <w:trHeight w:val="279"/>
        </w:trPr>
        <w:tc>
          <w:tcPr>
            <w:tcW w:w="380" w:type="dxa"/>
            <w:tcBorders>
              <w:left w:val="single" w:sz="8" w:space="0" w:color="auto"/>
            </w:tcBorders>
            <w:shd w:val="clear" w:color="auto" w:fill="auto"/>
            <w:vAlign w:val="bottom"/>
          </w:tcPr>
          <w:p w14:paraId="2F9A205E" w14:textId="77777777" w:rsidR="00A52778" w:rsidRPr="00460F9E" w:rsidRDefault="00A52778" w:rsidP="00FC3F8E">
            <w:pPr>
              <w:spacing w:line="0" w:lineRule="atLeast"/>
              <w:rPr>
                <w:rFonts w:eastAsia="Times New Roman" w:cs="Times New Roman"/>
                <w:b/>
              </w:rPr>
            </w:pPr>
          </w:p>
        </w:tc>
        <w:tc>
          <w:tcPr>
            <w:tcW w:w="1880" w:type="dxa"/>
            <w:gridSpan w:val="5"/>
            <w:vMerge w:val="restart"/>
            <w:shd w:val="clear" w:color="auto" w:fill="auto"/>
            <w:vAlign w:val="bottom"/>
          </w:tcPr>
          <w:p w14:paraId="46D87982" w14:textId="77777777" w:rsidR="00A52778" w:rsidRPr="00B568BE" w:rsidRDefault="00A52778" w:rsidP="00FC3F8E">
            <w:pPr>
              <w:spacing w:line="0" w:lineRule="atLeast"/>
              <w:rPr>
                <w:rFonts w:eastAsia="Times New Roman" w:cs="Times New Roman"/>
                <w:sz w:val="22"/>
              </w:rPr>
            </w:pPr>
            <w:r w:rsidRPr="00B568BE">
              <w:rPr>
                <w:rFonts w:eastAsia="Times New Roman" w:cs="Times New Roman"/>
                <w:w w:val="99"/>
                <w:sz w:val="22"/>
              </w:rPr>
              <w:t>Poliolefin ürünler</w:t>
            </w:r>
          </w:p>
        </w:tc>
        <w:tc>
          <w:tcPr>
            <w:tcW w:w="100" w:type="dxa"/>
            <w:tcBorders>
              <w:right w:val="single" w:sz="8" w:space="0" w:color="auto"/>
            </w:tcBorders>
            <w:shd w:val="clear" w:color="auto" w:fill="auto"/>
            <w:vAlign w:val="bottom"/>
          </w:tcPr>
          <w:p w14:paraId="79BA5560" w14:textId="77777777" w:rsidR="00A52778" w:rsidRPr="00B568BE" w:rsidRDefault="00A52778" w:rsidP="00FC3F8E">
            <w:pPr>
              <w:spacing w:line="0" w:lineRule="atLeast"/>
              <w:rPr>
                <w:rFonts w:eastAsia="Times New Roman" w:cs="Times New Roman"/>
                <w:sz w:val="22"/>
              </w:rPr>
            </w:pPr>
          </w:p>
        </w:tc>
        <w:tc>
          <w:tcPr>
            <w:tcW w:w="680" w:type="dxa"/>
            <w:shd w:val="clear" w:color="auto" w:fill="auto"/>
            <w:vAlign w:val="bottom"/>
          </w:tcPr>
          <w:p w14:paraId="7C6A4C51" w14:textId="77777777" w:rsidR="00A52778" w:rsidRPr="00B568BE" w:rsidRDefault="00A52778" w:rsidP="00FC3F8E">
            <w:pPr>
              <w:spacing w:line="0" w:lineRule="atLeast"/>
              <w:rPr>
                <w:rFonts w:eastAsia="Times New Roman" w:cs="Times New Roman"/>
                <w:sz w:val="22"/>
              </w:rPr>
            </w:pPr>
          </w:p>
        </w:tc>
        <w:tc>
          <w:tcPr>
            <w:tcW w:w="600" w:type="dxa"/>
            <w:shd w:val="clear" w:color="auto" w:fill="auto"/>
            <w:vAlign w:val="bottom"/>
          </w:tcPr>
          <w:p w14:paraId="14FEB6CA" w14:textId="77777777" w:rsidR="00A52778" w:rsidRPr="00B568BE" w:rsidRDefault="00A52778" w:rsidP="00FC3F8E">
            <w:pPr>
              <w:spacing w:line="0" w:lineRule="atLeast"/>
              <w:rPr>
                <w:rFonts w:eastAsia="Times New Roman" w:cs="Times New Roman"/>
                <w:sz w:val="22"/>
              </w:rPr>
            </w:pPr>
          </w:p>
        </w:tc>
        <w:tc>
          <w:tcPr>
            <w:tcW w:w="400" w:type="dxa"/>
            <w:shd w:val="clear" w:color="auto" w:fill="auto"/>
            <w:vAlign w:val="bottom"/>
          </w:tcPr>
          <w:p w14:paraId="0AB72480" w14:textId="77777777" w:rsidR="00A52778" w:rsidRPr="00B568BE" w:rsidRDefault="00A52778" w:rsidP="00FC3F8E">
            <w:pPr>
              <w:spacing w:line="0" w:lineRule="atLeast"/>
              <w:rPr>
                <w:rFonts w:eastAsia="Times New Roman" w:cs="Times New Roman"/>
                <w:sz w:val="22"/>
              </w:rPr>
            </w:pPr>
          </w:p>
        </w:tc>
        <w:tc>
          <w:tcPr>
            <w:tcW w:w="1340" w:type="dxa"/>
            <w:gridSpan w:val="2"/>
            <w:vMerge w:val="restart"/>
            <w:shd w:val="clear" w:color="auto" w:fill="auto"/>
            <w:vAlign w:val="bottom"/>
          </w:tcPr>
          <w:p w14:paraId="2EFFF00F" w14:textId="77777777" w:rsidR="00A52778" w:rsidRPr="00B568BE" w:rsidRDefault="00A52778" w:rsidP="00FC3F8E">
            <w:pPr>
              <w:spacing w:line="0" w:lineRule="atLeast"/>
              <w:jc w:val="center"/>
              <w:rPr>
                <w:rFonts w:eastAsia="Times New Roman" w:cs="Times New Roman"/>
                <w:sz w:val="22"/>
              </w:rPr>
            </w:pPr>
            <w:r w:rsidRPr="00B568BE">
              <w:rPr>
                <w:rFonts w:eastAsia="Times New Roman" w:cs="Times New Roman"/>
                <w:sz w:val="22"/>
              </w:rPr>
              <w:t>Birim</w:t>
            </w:r>
          </w:p>
        </w:tc>
        <w:tc>
          <w:tcPr>
            <w:tcW w:w="880" w:type="dxa"/>
            <w:shd w:val="clear" w:color="auto" w:fill="auto"/>
            <w:vAlign w:val="bottom"/>
          </w:tcPr>
          <w:p w14:paraId="2BA933B6" w14:textId="77777777" w:rsidR="00A52778" w:rsidRPr="00B568BE" w:rsidRDefault="00A52778" w:rsidP="00FC3F8E">
            <w:pPr>
              <w:spacing w:line="0" w:lineRule="atLeast"/>
              <w:rPr>
                <w:rFonts w:eastAsia="Times New Roman" w:cs="Times New Roman"/>
                <w:sz w:val="22"/>
              </w:rPr>
            </w:pPr>
          </w:p>
        </w:tc>
        <w:tc>
          <w:tcPr>
            <w:tcW w:w="320" w:type="dxa"/>
            <w:tcBorders>
              <w:right w:val="single" w:sz="8" w:space="0" w:color="auto"/>
            </w:tcBorders>
            <w:shd w:val="clear" w:color="auto" w:fill="auto"/>
            <w:vAlign w:val="bottom"/>
          </w:tcPr>
          <w:p w14:paraId="153192CE" w14:textId="77777777" w:rsidR="00A52778" w:rsidRPr="00B568BE" w:rsidRDefault="00A52778" w:rsidP="00FC3F8E">
            <w:pPr>
              <w:spacing w:line="0" w:lineRule="atLeast"/>
              <w:rPr>
                <w:rFonts w:eastAsia="Times New Roman" w:cs="Times New Roman"/>
                <w:sz w:val="22"/>
              </w:rPr>
            </w:pPr>
          </w:p>
        </w:tc>
        <w:tc>
          <w:tcPr>
            <w:tcW w:w="520" w:type="dxa"/>
            <w:shd w:val="clear" w:color="auto" w:fill="auto"/>
            <w:vAlign w:val="bottom"/>
          </w:tcPr>
          <w:p w14:paraId="29D99977" w14:textId="77777777" w:rsidR="00A52778" w:rsidRPr="00B568BE" w:rsidRDefault="00A52778" w:rsidP="00FC3F8E">
            <w:pPr>
              <w:spacing w:line="0" w:lineRule="atLeast"/>
              <w:rPr>
                <w:rFonts w:eastAsia="Times New Roman" w:cs="Times New Roman"/>
                <w:sz w:val="22"/>
              </w:rPr>
            </w:pPr>
          </w:p>
        </w:tc>
        <w:tc>
          <w:tcPr>
            <w:tcW w:w="1280" w:type="dxa"/>
            <w:shd w:val="clear" w:color="auto" w:fill="auto"/>
            <w:vAlign w:val="bottom"/>
          </w:tcPr>
          <w:p w14:paraId="1BE13FA7" w14:textId="77777777" w:rsidR="00A52778" w:rsidRPr="00B568BE" w:rsidRDefault="00A52778" w:rsidP="00FC3F8E">
            <w:pPr>
              <w:spacing w:line="0" w:lineRule="atLeast"/>
              <w:ind w:right="100"/>
              <w:jc w:val="center"/>
              <w:rPr>
                <w:rFonts w:eastAsia="Times New Roman" w:cs="Times New Roman"/>
                <w:w w:val="98"/>
                <w:sz w:val="22"/>
              </w:rPr>
            </w:pPr>
            <w:r w:rsidRPr="00B568BE">
              <w:rPr>
                <w:rFonts w:eastAsia="Times New Roman" w:cs="Times New Roman"/>
                <w:w w:val="98"/>
                <w:sz w:val="22"/>
              </w:rPr>
              <w:t>MET-AEL</w:t>
            </w:r>
          </w:p>
        </w:tc>
        <w:tc>
          <w:tcPr>
            <w:tcW w:w="380" w:type="dxa"/>
            <w:tcBorders>
              <w:right w:val="single" w:sz="8" w:space="0" w:color="auto"/>
            </w:tcBorders>
            <w:shd w:val="clear" w:color="auto" w:fill="auto"/>
            <w:vAlign w:val="bottom"/>
          </w:tcPr>
          <w:p w14:paraId="2B539FD8" w14:textId="77777777" w:rsidR="00A52778" w:rsidRPr="00460F9E" w:rsidRDefault="00A52778" w:rsidP="00FC3F8E">
            <w:pPr>
              <w:spacing w:line="0" w:lineRule="atLeast"/>
              <w:rPr>
                <w:rFonts w:eastAsia="Times New Roman" w:cs="Times New Roman"/>
                <w:b/>
              </w:rPr>
            </w:pPr>
          </w:p>
        </w:tc>
      </w:tr>
      <w:tr w:rsidR="00A52778" w:rsidRPr="00460F9E" w14:paraId="06DB94BE" w14:textId="77777777" w:rsidTr="00FC3F8E">
        <w:trPr>
          <w:trHeight w:val="146"/>
        </w:trPr>
        <w:tc>
          <w:tcPr>
            <w:tcW w:w="380" w:type="dxa"/>
            <w:tcBorders>
              <w:left w:val="single" w:sz="8" w:space="0" w:color="auto"/>
            </w:tcBorders>
            <w:shd w:val="clear" w:color="auto" w:fill="auto"/>
            <w:vAlign w:val="bottom"/>
          </w:tcPr>
          <w:p w14:paraId="0F0123FE" w14:textId="77777777" w:rsidR="00A52778" w:rsidRPr="00460F9E" w:rsidRDefault="00A52778" w:rsidP="00FC3F8E">
            <w:pPr>
              <w:spacing w:line="0" w:lineRule="atLeast"/>
              <w:rPr>
                <w:rFonts w:eastAsia="Times New Roman" w:cs="Times New Roman"/>
                <w:b/>
                <w:sz w:val="12"/>
              </w:rPr>
            </w:pPr>
          </w:p>
        </w:tc>
        <w:tc>
          <w:tcPr>
            <w:tcW w:w="1880" w:type="dxa"/>
            <w:gridSpan w:val="5"/>
            <w:vMerge/>
            <w:shd w:val="clear" w:color="auto" w:fill="auto"/>
            <w:vAlign w:val="bottom"/>
          </w:tcPr>
          <w:p w14:paraId="39CE7CA0" w14:textId="77777777" w:rsidR="00A52778" w:rsidRPr="00B568BE" w:rsidRDefault="00A52778" w:rsidP="00FC3F8E">
            <w:pPr>
              <w:spacing w:line="0" w:lineRule="atLeast"/>
              <w:rPr>
                <w:rFonts w:eastAsia="Times New Roman" w:cs="Times New Roman"/>
                <w:sz w:val="22"/>
              </w:rPr>
            </w:pPr>
          </w:p>
        </w:tc>
        <w:tc>
          <w:tcPr>
            <w:tcW w:w="100" w:type="dxa"/>
            <w:tcBorders>
              <w:right w:val="single" w:sz="8" w:space="0" w:color="auto"/>
            </w:tcBorders>
            <w:shd w:val="clear" w:color="auto" w:fill="auto"/>
            <w:vAlign w:val="bottom"/>
          </w:tcPr>
          <w:p w14:paraId="418FC630" w14:textId="77777777" w:rsidR="00A52778" w:rsidRPr="00B568BE" w:rsidRDefault="00A52778" w:rsidP="00FC3F8E">
            <w:pPr>
              <w:spacing w:line="0" w:lineRule="atLeast"/>
              <w:rPr>
                <w:rFonts w:eastAsia="Times New Roman" w:cs="Times New Roman"/>
                <w:sz w:val="22"/>
              </w:rPr>
            </w:pPr>
          </w:p>
        </w:tc>
        <w:tc>
          <w:tcPr>
            <w:tcW w:w="680" w:type="dxa"/>
            <w:shd w:val="clear" w:color="auto" w:fill="auto"/>
            <w:vAlign w:val="bottom"/>
          </w:tcPr>
          <w:p w14:paraId="43B304E4" w14:textId="77777777" w:rsidR="00A52778" w:rsidRPr="00B568BE" w:rsidRDefault="00A52778" w:rsidP="00FC3F8E">
            <w:pPr>
              <w:spacing w:line="0" w:lineRule="atLeast"/>
              <w:rPr>
                <w:rFonts w:eastAsia="Times New Roman" w:cs="Times New Roman"/>
                <w:sz w:val="22"/>
              </w:rPr>
            </w:pPr>
          </w:p>
        </w:tc>
        <w:tc>
          <w:tcPr>
            <w:tcW w:w="600" w:type="dxa"/>
            <w:shd w:val="clear" w:color="auto" w:fill="auto"/>
            <w:vAlign w:val="bottom"/>
          </w:tcPr>
          <w:p w14:paraId="45CF766B" w14:textId="77777777" w:rsidR="00A52778" w:rsidRPr="00B568BE" w:rsidRDefault="00A52778" w:rsidP="00FC3F8E">
            <w:pPr>
              <w:spacing w:line="0" w:lineRule="atLeast"/>
              <w:rPr>
                <w:rFonts w:eastAsia="Times New Roman" w:cs="Times New Roman"/>
                <w:sz w:val="22"/>
              </w:rPr>
            </w:pPr>
          </w:p>
        </w:tc>
        <w:tc>
          <w:tcPr>
            <w:tcW w:w="400" w:type="dxa"/>
            <w:shd w:val="clear" w:color="auto" w:fill="auto"/>
            <w:vAlign w:val="bottom"/>
          </w:tcPr>
          <w:p w14:paraId="42FECDAC" w14:textId="77777777" w:rsidR="00A52778" w:rsidRPr="00B568BE" w:rsidRDefault="00A52778" w:rsidP="00FC3F8E">
            <w:pPr>
              <w:spacing w:line="0" w:lineRule="atLeast"/>
              <w:rPr>
                <w:rFonts w:eastAsia="Times New Roman" w:cs="Times New Roman"/>
                <w:sz w:val="22"/>
              </w:rPr>
            </w:pPr>
          </w:p>
        </w:tc>
        <w:tc>
          <w:tcPr>
            <w:tcW w:w="1340" w:type="dxa"/>
            <w:gridSpan w:val="2"/>
            <w:vMerge/>
            <w:shd w:val="clear" w:color="auto" w:fill="auto"/>
            <w:vAlign w:val="bottom"/>
          </w:tcPr>
          <w:p w14:paraId="4425216A" w14:textId="77777777" w:rsidR="00A52778" w:rsidRPr="00B568BE" w:rsidRDefault="00A52778" w:rsidP="00FC3F8E">
            <w:pPr>
              <w:spacing w:line="0" w:lineRule="atLeast"/>
              <w:rPr>
                <w:rFonts w:eastAsia="Times New Roman" w:cs="Times New Roman"/>
                <w:sz w:val="22"/>
              </w:rPr>
            </w:pPr>
          </w:p>
        </w:tc>
        <w:tc>
          <w:tcPr>
            <w:tcW w:w="880" w:type="dxa"/>
            <w:shd w:val="clear" w:color="auto" w:fill="auto"/>
            <w:vAlign w:val="bottom"/>
          </w:tcPr>
          <w:p w14:paraId="5F7FC8DB" w14:textId="77777777" w:rsidR="00A52778" w:rsidRPr="00B568BE" w:rsidRDefault="00A52778" w:rsidP="00FC3F8E">
            <w:pPr>
              <w:spacing w:line="0" w:lineRule="atLeast"/>
              <w:rPr>
                <w:rFonts w:eastAsia="Times New Roman" w:cs="Times New Roman"/>
                <w:sz w:val="22"/>
              </w:rPr>
            </w:pPr>
          </w:p>
        </w:tc>
        <w:tc>
          <w:tcPr>
            <w:tcW w:w="320" w:type="dxa"/>
            <w:tcBorders>
              <w:right w:val="single" w:sz="8" w:space="0" w:color="auto"/>
            </w:tcBorders>
            <w:shd w:val="clear" w:color="auto" w:fill="auto"/>
            <w:vAlign w:val="bottom"/>
          </w:tcPr>
          <w:p w14:paraId="4449623C" w14:textId="77777777" w:rsidR="00A52778" w:rsidRPr="00B568BE" w:rsidRDefault="00A52778" w:rsidP="00FC3F8E">
            <w:pPr>
              <w:spacing w:line="0" w:lineRule="atLeast"/>
              <w:rPr>
                <w:rFonts w:eastAsia="Times New Roman" w:cs="Times New Roman"/>
                <w:sz w:val="22"/>
              </w:rPr>
            </w:pPr>
          </w:p>
        </w:tc>
        <w:tc>
          <w:tcPr>
            <w:tcW w:w="1800" w:type="dxa"/>
            <w:gridSpan w:val="2"/>
            <w:vMerge w:val="restart"/>
            <w:shd w:val="clear" w:color="auto" w:fill="auto"/>
            <w:vAlign w:val="bottom"/>
          </w:tcPr>
          <w:p w14:paraId="4E4A681F" w14:textId="77777777" w:rsidR="00A52778" w:rsidRPr="00B568BE" w:rsidRDefault="00A52778" w:rsidP="00FC3F8E">
            <w:pPr>
              <w:spacing w:line="0" w:lineRule="atLeast"/>
              <w:ind w:left="240"/>
              <w:jc w:val="center"/>
              <w:rPr>
                <w:rFonts w:eastAsia="Times New Roman" w:cs="Times New Roman"/>
                <w:w w:val="99"/>
                <w:sz w:val="22"/>
              </w:rPr>
            </w:pPr>
            <w:r w:rsidRPr="00B568BE">
              <w:rPr>
                <w:rFonts w:eastAsia="Times New Roman" w:cs="Times New Roman"/>
                <w:w w:val="99"/>
                <w:sz w:val="22"/>
              </w:rPr>
              <w:t>(Yıllık ortalama)</w:t>
            </w:r>
          </w:p>
        </w:tc>
        <w:tc>
          <w:tcPr>
            <w:tcW w:w="380" w:type="dxa"/>
            <w:tcBorders>
              <w:right w:val="single" w:sz="8" w:space="0" w:color="auto"/>
            </w:tcBorders>
            <w:shd w:val="clear" w:color="auto" w:fill="auto"/>
            <w:vAlign w:val="bottom"/>
          </w:tcPr>
          <w:p w14:paraId="17893C50" w14:textId="77777777" w:rsidR="00A52778" w:rsidRPr="00460F9E" w:rsidRDefault="00A52778" w:rsidP="00FC3F8E">
            <w:pPr>
              <w:spacing w:line="0" w:lineRule="atLeast"/>
              <w:rPr>
                <w:rFonts w:eastAsia="Times New Roman" w:cs="Times New Roman"/>
                <w:b/>
                <w:sz w:val="12"/>
              </w:rPr>
            </w:pPr>
          </w:p>
        </w:tc>
      </w:tr>
      <w:tr w:rsidR="00A52778" w:rsidRPr="00460F9E" w14:paraId="75BD0B71" w14:textId="77777777" w:rsidTr="00FC3F8E">
        <w:trPr>
          <w:trHeight w:val="144"/>
        </w:trPr>
        <w:tc>
          <w:tcPr>
            <w:tcW w:w="380" w:type="dxa"/>
            <w:tcBorders>
              <w:left w:val="single" w:sz="8" w:space="0" w:color="auto"/>
            </w:tcBorders>
            <w:shd w:val="clear" w:color="auto" w:fill="auto"/>
            <w:vAlign w:val="bottom"/>
          </w:tcPr>
          <w:p w14:paraId="30E60209" w14:textId="77777777" w:rsidR="00A52778" w:rsidRPr="00460F9E" w:rsidRDefault="00A52778" w:rsidP="00FC3F8E">
            <w:pPr>
              <w:spacing w:line="0" w:lineRule="atLeast"/>
              <w:rPr>
                <w:rFonts w:eastAsia="Times New Roman" w:cs="Times New Roman"/>
                <w:b/>
                <w:sz w:val="12"/>
              </w:rPr>
            </w:pPr>
          </w:p>
        </w:tc>
        <w:tc>
          <w:tcPr>
            <w:tcW w:w="80" w:type="dxa"/>
            <w:shd w:val="clear" w:color="auto" w:fill="auto"/>
            <w:vAlign w:val="bottom"/>
          </w:tcPr>
          <w:p w14:paraId="02E8D1EA" w14:textId="77777777" w:rsidR="00A52778" w:rsidRPr="00B568BE" w:rsidRDefault="00A52778" w:rsidP="00FC3F8E">
            <w:pPr>
              <w:spacing w:line="0" w:lineRule="atLeast"/>
              <w:rPr>
                <w:rFonts w:eastAsia="Times New Roman" w:cs="Times New Roman"/>
                <w:b/>
                <w:sz w:val="22"/>
              </w:rPr>
            </w:pPr>
          </w:p>
        </w:tc>
        <w:tc>
          <w:tcPr>
            <w:tcW w:w="540" w:type="dxa"/>
            <w:shd w:val="clear" w:color="auto" w:fill="auto"/>
            <w:vAlign w:val="bottom"/>
          </w:tcPr>
          <w:p w14:paraId="38C9ABCA" w14:textId="77777777" w:rsidR="00A52778" w:rsidRPr="00B568BE" w:rsidRDefault="00A52778" w:rsidP="00FC3F8E">
            <w:pPr>
              <w:spacing w:line="0" w:lineRule="atLeast"/>
              <w:rPr>
                <w:rFonts w:eastAsia="Times New Roman" w:cs="Times New Roman"/>
                <w:b/>
                <w:sz w:val="22"/>
              </w:rPr>
            </w:pPr>
          </w:p>
        </w:tc>
        <w:tc>
          <w:tcPr>
            <w:tcW w:w="360" w:type="dxa"/>
            <w:shd w:val="clear" w:color="auto" w:fill="auto"/>
            <w:vAlign w:val="bottom"/>
          </w:tcPr>
          <w:p w14:paraId="2BD03D8D" w14:textId="77777777" w:rsidR="00A52778" w:rsidRPr="00B568BE" w:rsidRDefault="00A52778" w:rsidP="00FC3F8E">
            <w:pPr>
              <w:spacing w:line="0" w:lineRule="atLeast"/>
              <w:rPr>
                <w:rFonts w:eastAsia="Times New Roman" w:cs="Times New Roman"/>
                <w:b/>
                <w:sz w:val="22"/>
              </w:rPr>
            </w:pPr>
          </w:p>
        </w:tc>
        <w:tc>
          <w:tcPr>
            <w:tcW w:w="260" w:type="dxa"/>
            <w:shd w:val="clear" w:color="auto" w:fill="auto"/>
            <w:vAlign w:val="bottom"/>
          </w:tcPr>
          <w:p w14:paraId="6ED61A8B" w14:textId="77777777" w:rsidR="00A52778" w:rsidRPr="00B568BE" w:rsidRDefault="00A52778" w:rsidP="00FC3F8E">
            <w:pPr>
              <w:spacing w:line="0" w:lineRule="atLeast"/>
              <w:rPr>
                <w:rFonts w:eastAsia="Times New Roman" w:cs="Times New Roman"/>
                <w:b/>
                <w:sz w:val="22"/>
              </w:rPr>
            </w:pPr>
          </w:p>
        </w:tc>
        <w:tc>
          <w:tcPr>
            <w:tcW w:w="640" w:type="dxa"/>
            <w:shd w:val="clear" w:color="auto" w:fill="auto"/>
            <w:vAlign w:val="bottom"/>
          </w:tcPr>
          <w:p w14:paraId="26C53BE9" w14:textId="77777777" w:rsidR="00A52778" w:rsidRPr="00B568BE" w:rsidRDefault="00A52778" w:rsidP="00FC3F8E">
            <w:pPr>
              <w:spacing w:line="0" w:lineRule="atLeast"/>
              <w:rPr>
                <w:rFonts w:eastAsia="Times New Roman" w:cs="Times New Roman"/>
                <w:b/>
                <w:sz w:val="22"/>
              </w:rPr>
            </w:pPr>
          </w:p>
        </w:tc>
        <w:tc>
          <w:tcPr>
            <w:tcW w:w="100" w:type="dxa"/>
            <w:tcBorders>
              <w:right w:val="single" w:sz="8" w:space="0" w:color="auto"/>
            </w:tcBorders>
            <w:shd w:val="clear" w:color="auto" w:fill="auto"/>
            <w:vAlign w:val="bottom"/>
          </w:tcPr>
          <w:p w14:paraId="77982565" w14:textId="77777777" w:rsidR="00A52778" w:rsidRPr="00B568BE" w:rsidRDefault="00A52778" w:rsidP="00FC3F8E">
            <w:pPr>
              <w:spacing w:line="0" w:lineRule="atLeast"/>
              <w:rPr>
                <w:rFonts w:eastAsia="Times New Roman" w:cs="Times New Roman"/>
                <w:b/>
                <w:sz w:val="22"/>
              </w:rPr>
            </w:pPr>
          </w:p>
        </w:tc>
        <w:tc>
          <w:tcPr>
            <w:tcW w:w="680" w:type="dxa"/>
            <w:shd w:val="clear" w:color="auto" w:fill="auto"/>
            <w:vAlign w:val="bottom"/>
          </w:tcPr>
          <w:p w14:paraId="22DF8609" w14:textId="77777777" w:rsidR="00A52778" w:rsidRPr="00B568BE" w:rsidRDefault="00A52778" w:rsidP="00FC3F8E">
            <w:pPr>
              <w:spacing w:line="0" w:lineRule="atLeast"/>
              <w:rPr>
                <w:rFonts w:eastAsia="Times New Roman" w:cs="Times New Roman"/>
                <w:b/>
                <w:sz w:val="22"/>
              </w:rPr>
            </w:pPr>
          </w:p>
        </w:tc>
        <w:tc>
          <w:tcPr>
            <w:tcW w:w="600" w:type="dxa"/>
            <w:shd w:val="clear" w:color="auto" w:fill="auto"/>
            <w:vAlign w:val="bottom"/>
          </w:tcPr>
          <w:p w14:paraId="7425C1EF" w14:textId="77777777" w:rsidR="00A52778" w:rsidRPr="00B568BE" w:rsidRDefault="00A52778" w:rsidP="00FC3F8E">
            <w:pPr>
              <w:spacing w:line="0" w:lineRule="atLeast"/>
              <w:rPr>
                <w:rFonts w:eastAsia="Times New Roman" w:cs="Times New Roman"/>
                <w:b/>
                <w:sz w:val="22"/>
              </w:rPr>
            </w:pPr>
          </w:p>
        </w:tc>
        <w:tc>
          <w:tcPr>
            <w:tcW w:w="400" w:type="dxa"/>
            <w:shd w:val="clear" w:color="auto" w:fill="auto"/>
            <w:vAlign w:val="bottom"/>
          </w:tcPr>
          <w:p w14:paraId="678DF6A4" w14:textId="77777777" w:rsidR="00A52778" w:rsidRPr="00B568BE" w:rsidRDefault="00A52778" w:rsidP="00FC3F8E">
            <w:pPr>
              <w:spacing w:line="0" w:lineRule="atLeast"/>
              <w:rPr>
                <w:rFonts w:eastAsia="Times New Roman" w:cs="Times New Roman"/>
                <w:b/>
                <w:sz w:val="22"/>
              </w:rPr>
            </w:pPr>
          </w:p>
        </w:tc>
        <w:tc>
          <w:tcPr>
            <w:tcW w:w="660" w:type="dxa"/>
            <w:shd w:val="clear" w:color="auto" w:fill="auto"/>
            <w:vAlign w:val="bottom"/>
          </w:tcPr>
          <w:p w14:paraId="4C3BE57E" w14:textId="77777777" w:rsidR="00A52778" w:rsidRPr="00B568BE" w:rsidRDefault="00A52778" w:rsidP="00FC3F8E">
            <w:pPr>
              <w:spacing w:line="0" w:lineRule="atLeast"/>
              <w:rPr>
                <w:rFonts w:eastAsia="Times New Roman" w:cs="Times New Roman"/>
                <w:b/>
                <w:sz w:val="22"/>
              </w:rPr>
            </w:pPr>
          </w:p>
        </w:tc>
        <w:tc>
          <w:tcPr>
            <w:tcW w:w="680" w:type="dxa"/>
            <w:shd w:val="clear" w:color="auto" w:fill="auto"/>
            <w:vAlign w:val="bottom"/>
          </w:tcPr>
          <w:p w14:paraId="30DFEC8A" w14:textId="77777777" w:rsidR="00A52778" w:rsidRPr="00B568BE" w:rsidRDefault="00A52778" w:rsidP="00FC3F8E">
            <w:pPr>
              <w:spacing w:line="0" w:lineRule="atLeast"/>
              <w:rPr>
                <w:rFonts w:eastAsia="Times New Roman" w:cs="Times New Roman"/>
                <w:b/>
                <w:sz w:val="22"/>
              </w:rPr>
            </w:pPr>
          </w:p>
        </w:tc>
        <w:tc>
          <w:tcPr>
            <w:tcW w:w="880" w:type="dxa"/>
            <w:shd w:val="clear" w:color="auto" w:fill="auto"/>
            <w:vAlign w:val="bottom"/>
          </w:tcPr>
          <w:p w14:paraId="198234D7" w14:textId="77777777" w:rsidR="00A52778" w:rsidRPr="00B568BE" w:rsidRDefault="00A52778" w:rsidP="00FC3F8E">
            <w:pPr>
              <w:spacing w:line="0" w:lineRule="atLeast"/>
              <w:rPr>
                <w:rFonts w:eastAsia="Times New Roman" w:cs="Times New Roman"/>
                <w:b/>
                <w:sz w:val="22"/>
              </w:rPr>
            </w:pPr>
          </w:p>
        </w:tc>
        <w:tc>
          <w:tcPr>
            <w:tcW w:w="320" w:type="dxa"/>
            <w:tcBorders>
              <w:right w:val="single" w:sz="8" w:space="0" w:color="auto"/>
            </w:tcBorders>
            <w:shd w:val="clear" w:color="auto" w:fill="auto"/>
            <w:vAlign w:val="bottom"/>
          </w:tcPr>
          <w:p w14:paraId="3331D341" w14:textId="77777777" w:rsidR="00A52778" w:rsidRPr="00B568BE" w:rsidRDefault="00A52778" w:rsidP="00FC3F8E">
            <w:pPr>
              <w:spacing w:line="0" w:lineRule="atLeast"/>
              <w:rPr>
                <w:rFonts w:eastAsia="Times New Roman" w:cs="Times New Roman"/>
                <w:b/>
                <w:sz w:val="22"/>
              </w:rPr>
            </w:pPr>
          </w:p>
        </w:tc>
        <w:tc>
          <w:tcPr>
            <w:tcW w:w="1800" w:type="dxa"/>
            <w:gridSpan w:val="2"/>
            <w:vMerge/>
            <w:shd w:val="clear" w:color="auto" w:fill="auto"/>
            <w:vAlign w:val="bottom"/>
          </w:tcPr>
          <w:p w14:paraId="19823277" w14:textId="77777777" w:rsidR="00A52778" w:rsidRPr="00B568BE" w:rsidRDefault="00A52778" w:rsidP="00FC3F8E">
            <w:pPr>
              <w:spacing w:line="0" w:lineRule="atLeast"/>
              <w:rPr>
                <w:rFonts w:eastAsia="Times New Roman" w:cs="Times New Roman"/>
                <w:b/>
                <w:sz w:val="22"/>
              </w:rPr>
            </w:pPr>
          </w:p>
        </w:tc>
        <w:tc>
          <w:tcPr>
            <w:tcW w:w="380" w:type="dxa"/>
            <w:tcBorders>
              <w:right w:val="single" w:sz="8" w:space="0" w:color="auto"/>
            </w:tcBorders>
            <w:shd w:val="clear" w:color="auto" w:fill="auto"/>
            <w:vAlign w:val="bottom"/>
          </w:tcPr>
          <w:p w14:paraId="32D6CE81" w14:textId="77777777" w:rsidR="00A52778" w:rsidRPr="00460F9E" w:rsidRDefault="00A52778" w:rsidP="00FC3F8E">
            <w:pPr>
              <w:spacing w:line="0" w:lineRule="atLeast"/>
              <w:rPr>
                <w:rFonts w:eastAsia="Times New Roman" w:cs="Times New Roman"/>
                <w:b/>
                <w:sz w:val="12"/>
              </w:rPr>
            </w:pPr>
          </w:p>
        </w:tc>
      </w:tr>
      <w:tr w:rsidR="00A52778" w:rsidRPr="00460F9E" w14:paraId="7808EB8A" w14:textId="77777777" w:rsidTr="00FC3F8E">
        <w:trPr>
          <w:trHeight w:val="61"/>
        </w:trPr>
        <w:tc>
          <w:tcPr>
            <w:tcW w:w="1000" w:type="dxa"/>
            <w:gridSpan w:val="3"/>
            <w:tcBorders>
              <w:left w:val="single" w:sz="8" w:space="0" w:color="auto"/>
              <w:bottom w:val="single" w:sz="8" w:space="0" w:color="auto"/>
            </w:tcBorders>
            <w:shd w:val="clear" w:color="auto" w:fill="auto"/>
            <w:vAlign w:val="bottom"/>
          </w:tcPr>
          <w:p w14:paraId="706CF36C" w14:textId="77777777" w:rsidR="00A52778" w:rsidRPr="00B568BE" w:rsidRDefault="00A52778" w:rsidP="00FC3F8E">
            <w:pPr>
              <w:spacing w:line="0" w:lineRule="atLeast"/>
              <w:rPr>
                <w:rFonts w:eastAsia="Times New Roman" w:cs="Times New Roman"/>
                <w:b/>
                <w:sz w:val="22"/>
              </w:rPr>
            </w:pPr>
          </w:p>
        </w:tc>
        <w:tc>
          <w:tcPr>
            <w:tcW w:w="360" w:type="dxa"/>
            <w:tcBorders>
              <w:bottom w:val="single" w:sz="8" w:space="0" w:color="auto"/>
            </w:tcBorders>
            <w:shd w:val="clear" w:color="auto" w:fill="auto"/>
            <w:vAlign w:val="bottom"/>
          </w:tcPr>
          <w:p w14:paraId="1EC35C5D" w14:textId="77777777" w:rsidR="00A52778" w:rsidRPr="00B568BE" w:rsidRDefault="00A52778" w:rsidP="00FC3F8E">
            <w:pPr>
              <w:spacing w:line="0" w:lineRule="atLeast"/>
              <w:rPr>
                <w:rFonts w:eastAsia="Times New Roman" w:cs="Times New Roman"/>
                <w:b/>
                <w:sz w:val="22"/>
              </w:rPr>
            </w:pPr>
          </w:p>
        </w:tc>
        <w:tc>
          <w:tcPr>
            <w:tcW w:w="260" w:type="dxa"/>
            <w:tcBorders>
              <w:bottom w:val="single" w:sz="8" w:space="0" w:color="auto"/>
            </w:tcBorders>
            <w:shd w:val="clear" w:color="auto" w:fill="auto"/>
            <w:vAlign w:val="bottom"/>
          </w:tcPr>
          <w:p w14:paraId="47BB2571" w14:textId="77777777" w:rsidR="00A52778" w:rsidRPr="00B568BE" w:rsidRDefault="00A52778" w:rsidP="00FC3F8E">
            <w:pPr>
              <w:spacing w:line="0" w:lineRule="atLeast"/>
              <w:rPr>
                <w:rFonts w:eastAsia="Times New Roman" w:cs="Times New Roman"/>
                <w:b/>
                <w:sz w:val="22"/>
              </w:rPr>
            </w:pPr>
          </w:p>
        </w:tc>
        <w:tc>
          <w:tcPr>
            <w:tcW w:w="640" w:type="dxa"/>
            <w:tcBorders>
              <w:bottom w:val="single" w:sz="8" w:space="0" w:color="auto"/>
            </w:tcBorders>
            <w:shd w:val="clear" w:color="auto" w:fill="auto"/>
            <w:vAlign w:val="bottom"/>
          </w:tcPr>
          <w:p w14:paraId="719828BB" w14:textId="77777777" w:rsidR="00A52778" w:rsidRPr="00B568BE" w:rsidRDefault="00A52778" w:rsidP="00FC3F8E">
            <w:pPr>
              <w:spacing w:line="0" w:lineRule="atLeast"/>
              <w:rPr>
                <w:rFonts w:eastAsia="Times New Roman" w:cs="Times New Roman"/>
                <w:b/>
                <w:sz w:val="22"/>
              </w:rPr>
            </w:pPr>
          </w:p>
        </w:tc>
        <w:tc>
          <w:tcPr>
            <w:tcW w:w="100" w:type="dxa"/>
            <w:tcBorders>
              <w:bottom w:val="single" w:sz="8" w:space="0" w:color="auto"/>
              <w:right w:val="single" w:sz="8" w:space="0" w:color="auto"/>
            </w:tcBorders>
            <w:shd w:val="clear" w:color="auto" w:fill="auto"/>
            <w:vAlign w:val="bottom"/>
          </w:tcPr>
          <w:p w14:paraId="755F6F1D" w14:textId="77777777" w:rsidR="00A52778" w:rsidRPr="00B568BE" w:rsidRDefault="00A52778" w:rsidP="00FC3F8E">
            <w:pPr>
              <w:spacing w:line="0" w:lineRule="atLeast"/>
              <w:rPr>
                <w:rFonts w:eastAsia="Times New Roman" w:cs="Times New Roman"/>
                <w:b/>
                <w:sz w:val="22"/>
              </w:rPr>
            </w:pPr>
          </w:p>
        </w:tc>
        <w:tc>
          <w:tcPr>
            <w:tcW w:w="680" w:type="dxa"/>
            <w:tcBorders>
              <w:bottom w:val="single" w:sz="8" w:space="0" w:color="auto"/>
            </w:tcBorders>
            <w:shd w:val="clear" w:color="auto" w:fill="auto"/>
            <w:vAlign w:val="bottom"/>
          </w:tcPr>
          <w:p w14:paraId="69369C00" w14:textId="77777777" w:rsidR="00A52778" w:rsidRPr="00B568BE" w:rsidRDefault="00A52778" w:rsidP="00FC3F8E">
            <w:pPr>
              <w:spacing w:line="0" w:lineRule="atLeast"/>
              <w:rPr>
                <w:rFonts w:eastAsia="Times New Roman" w:cs="Times New Roman"/>
                <w:b/>
                <w:sz w:val="22"/>
              </w:rPr>
            </w:pPr>
          </w:p>
        </w:tc>
        <w:tc>
          <w:tcPr>
            <w:tcW w:w="600" w:type="dxa"/>
            <w:tcBorders>
              <w:bottom w:val="single" w:sz="8" w:space="0" w:color="auto"/>
            </w:tcBorders>
            <w:shd w:val="clear" w:color="auto" w:fill="auto"/>
            <w:vAlign w:val="bottom"/>
          </w:tcPr>
          <w:p w14:paraId="6F0B9E90" w14:textId="77777777" w:rsidR="00A52778" w:rsidRPr="00B568BE" w:rsidRDefault="00A52778" w:rsidP="00FC3F8E">
            <w:pPr>
              <w:spacing w:line="0" w:lineRule="atLeast"/>
              <w:rPr>
                <w:rFonts w:eastAsia="Times New Roman" w:cs="Times New Roman"/>
                <w:b/>
                <w:sz w:val="22"/>
              </w:rPr>
            </w:pPr>
          </w:p>
        </w:tc>
        <w:tc>
          <w:tcPr>
            <w:tcW w:w="400" w:type="dxa"/>
            <w:tcBorders>
              <w:bottom w:val="single" w:sz="8" w:space="0" w:color="auto"/>
            </w:tcBorders>
            <w:shd w:val="clear" w:color="auto" w:fill="auto"/>
            <w:vAlign w:val="bottom"/>
          </w:tcPr>
          <w:p w14:paraId="2BCEF01A" w14:textId="77777777" w:rsidR="00A52778" w:rsidRPr="00B568BE" w:rsidRDefault="00A52778" w:rsidP="00FC3F8E">
            <w:pPr>
              <w:spacing w:line="0" w:lineRule="atLeast"/>
              <w:rPr>
                <w:rFonts w:eastAsia="Times New Roman" w:cs="Times New Roman"/>
                <w:b/>
                <w:sz w:val="22"/>
              </w:rPr>
            </w:pPr>
          </w:p>
        </w:tc>
        <w:tc>
          <w:tcPr>
            <w:tcW w:w="660" w:type="dxa"/>
            <w:tcBorders>
              <w:bottom w:val="single" w:sz="8" w:space="0" w:color="auto"/>
            </w:tcBorders>
            <w:shd w:val="clear" w:color="auto" w:fill="auto"/>
            <w:vAlign w:val="bottom"/>
          </w:tcPr>
          <w:p w14:paraId="3CDDDD9A" w14:textId="77777777" w:rsidR="00A52778" w:rsidRPr="00B568BE" w:rsidRDefault="00A52778" w:rsidP="00FC3F8E">
            <w:pPr>
              <w:spacing w:line="0" w:lineRule="atLeast"/>
              <w:rPr>
                <w:rFonts w:eastAsia="Times New Roman" w:cs="Times New Roman"/>
                <w:b/>
                <w:sz w:val="22"/>
              </w:rPr>
            </w:pPr>
          </w:p>
        </w:tc>
        <w:tc>
          <w:tcPr>
            <w:tcW w:w="680" w:type="dxa"/>
            <w:tcBorders>
              <w:bottom w:val="single" w:sz="8" w:space="0" w:color="auto"/>
            </w:tcBorders>
            <w:shd w:val="clear" w:color="auto" w:fill="auto"/>
            <w:vAlign w:val="bottom"/>
          </w:tcPr>
          <w:p w14:paraId="268B33B7" w14:textId="77777777" w:rsidR="00A52778" w:rsidRPr="00B568BE" w:rsidRDefault="00A52778" w:rsidP="00FC3F8E">
            <w:pPr>
              <w:spacing w:line="0" w:lineRule="atLeast"/>
              <w:rPr>
                <w:rFonts w:eastAsia="Times New Roman" w:cs="Times New Roman"/>
                <w:b/>
                <w:sz w:val="22"/>
              </w:rPr>
            </w:pPr>
          </w:p>
        </w:tc>
        <w:tc>
          <w:tcPr>
            <w:tcW w:w="880" w:type="dxa"/>
            <w:tcBorders>
              <w:bottom w:val="single" w:sz="8" w:space="0" w:color="auto"/>
            </w:tcBorders>
            <w:shd w:val="clear" w:color="auto" w:fill="auto"/>
            <w:vAlign w:val="bottom"/>
          </w:tcPr>
          <w:p w14:paraId="454BB3FE" w14:textId="77777777" w:rsidR="00A52778" w:rsidRPr="00B568BE" w:rsidRDefault="00A52778" w:rsidP="00FC3F8E">
            <w:pPr>
              <w:spacing w:line="0" w:lineRule="atLeast"/>
              <w:rPr>
                <w:rFonts w:eastAsia="Times New Roman" w:cs="Times New Roman"/>
                <w:b/>
                <w:sz w:val="22"/>
              </w:rPr>
            </w:pPr>
          </w:p>
        </w:tc>
        <w:tc>
          <w:tcPr>
            <w:tcW w:w="320" w:type="dxa"/>
            <w:tcBorders>
              <w:bottom w:val="single" w:sz="8" w:space="0" w:color="auto"/>
              <w:right w:val="single" w:sz="8" w:space="0" w:color="auto"/>
            </w:tcBorders>
            <w:shd w:val="clear" w:color="auto" w:fill="auto"/>
            <w:vAlign w:val="bottom"/>
          </w:tcPr>
          <w:p w14:paraId="0445002D" w14:textId="77777777" w:rsidR="00A52778" w:rsidRPr="00B568BE" w:rsidRDefault="00A52778" w:rsidP="00FC3F8E">
            <w:pPr>
              <w:spacing w:line="0" w:lineRule="atLeast"/>
              <w:rPr>
                <w:rFonts w:eastAsia="Times New Roman" w:cs="Times New Roman"/>
                <w:b/>
                <w:sz w:val="22"/>
              </w:rPr>
            </w:pPr>
          </w:p>
        </w:tc>
        <w:tc>
          <w:tcPr>
            <w:tcW w:w="520" w:type="dxa"/>
            <w:tcBorders>
              <w:bottom w:val="single" w:sz="8" w:space="0" w:color="auto"/>
            </w:tcBorders>
            <w:shd w:val="clear" w:color="auto" w:fill="auto"/>
            <w:vAlign w:val="bottom"/>
          </w:tcPr>
          <w:p w14:paraId="66247D36" w14:textId="77777777" w:rsidR="00A52778" w:rsidRPr="00B568BE" w:rsidRDefault="00A52778" w:rsidP="00FC3F8E">
            <w:pPr>
              <w:spacing w:line="0" w:lineRule="atLeast"/>
              <w:rPr>
                <w:rFonts w:eastAsia="Times New Roman" w:cs="Times New Roman"/>
                <w:b/>
                <w:sz w:val="22"/>
              </w:rPr>
            </w:pPr>
          </w:p>
        </w:tc>
        <w:tc>
          <w:tcPr>
            <w:tcW w:w="1280" w:type="dxa"/>
            <w:tcBorders>
              <w:bottom w:val="single" w:sz="8" w:space="0" w:color="auto"/>
            </w:tcBorders>
            <w:shd w:val="clear" w:color="auto" w:fill="auto"/>
            <w:vAlign w:val="bottom"/>
          </w:tcPr>
          <w:p w14:paraId="20E469AB" w14:textId="77777777" w:rsidR="00A52778" w:rsidRPr="00B568BE" w:rsidRDefault="00A52778" w:rsidP="00FC3F8E">
            <w:pPr>
              <w:spacing w:line="0" w:lineRule="atLeast"/>
              <w:rPr>
                <w:rFonts w:eastAsia="Times New Roman" w:cs="Times New Roman"/>
                <w:b/>
                <w:sz w:val="22"/>
              </w:rPr>
            </w:pPr>
          </w:p>
        </w:tc>
        <w:tc>
          <w:tcPr>
            <w:tcW w:w="380" w:type="dxa"/>
            <w:tcBorders>
              <w:bottom w:val="single" w:sz="8" w:space="0" w:color="auto"/>
              <w:right w:val="single" w:sz="8" w:space="0" w:color="auto"/>
            </w:tcBorders>
            <w:shd w:val="clear" w:color="auto" w:fill="auto"/>
            <w:vAlign w:val="bottom"/>
          </w:tcPr>
          <w:p w14:paraId="75B691EB" w14:textId="77777777" w:rsidR="00A52778" w:rsidRPr="00460F9E" w:rsidRDefault="00A52778" w:rsidP="00FC3F8E">
            <w:pPr>
              <w:spacing w:line="0" w:lineRule="atLeast"/>
              <w:rPr>
                <w:rFonts w:eastAsia="Times New Roman" w:cs="Times New Roman"/>
                <w:b/>
                <w:sz w:val="5"/>
              </w:rPr>
            </w:pPr>
          </w:p>
        </w:tc>
      </w:tr>
      <w:tr w:rsidR="00A52778" w:rsidRPr="00460F9E" w14:paraId="3F844BFB" w14:textId="77777777" w:rsidTr="00FC3F8E">
        <w:trPr>
          <w:trHeight w:val="340"/>
        </w:trPr>
        <w:tc>
          <w:tcPr>
            <w:tcW w:w="1000" w:type="dxa"/>
            <w:gridSpan w:val="3"/>
            <w:tcBorders>
              <w:left w:val="single" w:sz="8" w:space="0" w:color="auto"/>
              <w:bottom w:val="single" w:sz="8" w:space="0" w:color="auto"/>
            </w:tcBorders>
            <w:shd w:val="clear" w:color="auto" w:fill="auto"/>
            <w:vAlign w:val="center"/>
          </w:tcPr>
          <w:p w14:paraId="0941010D" w14:textId="77777777" w:rsidR="00A52778" w:rsidRPr="00B568BE" w:rsidRDefault="00A52778" w:rsidP="00FC3F8E">
            <w:pPr>
              <w:spacing w:line="0" w:lineRule="atLeast"/>
              <w:ind w:left="100"/>
              <w:rPr>
                <w:rFonts w:eastAsia="Times New Roman" w:cs="Times New Roman"/>
                <w:b/>
                <w:sz w:val="22"/>
              </w:rPr>
            </w:pPr>
            <w:r w:rsidRPr="00B568BE">
              <w:rPr>
                <w:rFonts w:eastAsia="Times New Roman" w:cs="Times New Roman"/>
                <w:sz w:val="22"/>
              </w:rPr>
              <w:t>HDPE</w:t>
            </w:r>
          </w:p>
        </w:tc>
        <w:tc>
          <w:tcPr>
            <w:tcW w:w="360" w:type="dxa"/>
            <w:tcBorders>
              <w:bottom w:val="single" w:sz="8" w:space="0" w:color="auto"/>
            </w:tcBorders>
            <w:shd w:val="clear" w:color="auto" w:fill="auto"/>
            <w:vAlign w:val="center"/>
          </w:tcPr>
          <w:p w14:paraId="1DD20333" w14:textId="77777777" w:rsidR="00A52778" w:rsidRPr="00B568BE" w:rsidRDefault="00A52778" w:rsidP="00FC3F8E">
            <w:pPr>
              <w:spacing w:line="0" w:lineRule="atLeast"/>
              <w:rPr>
                <w:rFonts w:eastAsia="Times New Roman" w:cs="Times New Roman"/>
                <w:b/>
                <w:sz w:val="22"/>
              </w:rPr>
            </w:pPr>
          </w:p>
        </w:tc>
        <w:tc>
          <w:tcPr>
            <w:tcW w:w="260" w:type="dxa"/>
            <w:tcBorders>
              <w:bottom w:val="single" w:sz="8" w:space="0" w:color="auto"/>
            </w:tcBorders>
            <w:shd w:val="clear" w:color="auto" w:fill="auto"/>
            <w:vAlign w:val="center"/>
          </w:tcPr>
          <w:p w14:paraId="1CD18D34" w14:textId="77777777" w:rsidR="00A52778" w:rsidRPr="00B568BE" w:rsidRDefault="00A52778" w:rsidP="00FC3F8E">
            <w:pPr>
              <w:spacing w:line="0" w:lineRule="atLeast"/>
              <w:rPr>
                <w:rFonts w:eastAsia="Times New Roman" w:cs="Times New Roman"/>
                <w:b/>
                <w:sz w:val="22"/>
              </w:rPr>
            </w:pPr>
          </w:p>
        </w:tc>
        <w:tc>
          <w:tcPr>
            <w:tcW w:w="640" w:type="dxa"/>
            <w:tcBorders>
              <w:bottom w:val="single" w:sz="8" w:space="0" w:color="auto"/>
            </w:tcBorders>
            <w:shd w:val="clear" w:color="auto" w:fill="auto"/>
            <w:vAlign w:val="center"/>
          </w:tcPr>
          <w:p w14:paraId="2E22B6EB" w14:textId="77777777" w:rsidR="00A52778" w:rsidRPr="00B568BE" w:rsidRDefault="00A52778" w:rsidP="00FC3F8E">
            <w:pPr>
              <w:spacing w:line="0" w:lineRule="atLeast"/>
              <w:rPr>
                <w:rFonts w:eastAsia="Times New Roman" w:cs="Times New Roman"/>
                <w:b/>
                <w:sz w:val="22"/>
              </w:rPr>
            </w:pPr>
          </w:p>
        </w:tc>
        <w:tc>
          <w:tcPr>
            <w:tcW w:w="100" w:type="dxa"/>
            <w:tcBorders>
              <w:bottom w:val="single" w:sz="8" w:space="0" w:color="auto"/>
              <w:right w:val="single" w:sz="8" w:space="0" w:color="auto"/>
            </w:tcBorders>
            <w:shd w:val="clear" w:color="auto" w:fill="auto"/>
            <w:vAlign w:val="bottom"/>
          </w:tcPr>
          <w:p w14:paraId="04D0239A" w14:textId="77777777" w:rsidR="00A52778" w:rsidRPr="00B568BE" w:rsidRDefault="00A52778" w:rsidP="00FC3F8E">
            <w:pPr>
              <w:spacing w:line="0" w:lineRule="atLeast"/>
              <w:rPr>
                <w:rFonts w:eastAsia="Times New Roman" w:cs="Times New Roman"/>
                <w:b/>
                <w:sz w:val="22"/>
              </w:rPr>
            </w:pPr>
          </w:p>
        </w:tc>
        <w:tc>
          <w:tcPr>
            <w:tcW w:w="680" w:type="dxa"/>
            <w:shd w:val="clear" w:color="auto" w:fill="auto"/>
            <w:vAlign w:val="bottom"/>
          </w:tcPr>
          <w:p w14:paraId="3FF27056" w14:textId="77777777" w:rsidR="00A52778" w:rsidRPr="00B568BE" w:rsidRDefault="00A52778" w:rsidP="00FC3F8E">
            <w:pPr>
              <w:spacing w:line="0" w:lineRule="atLeast"/>
              <w:rPr>
                <w:rFonts w:eastAsia="Times New Roman" w:cs="Times New Roman"/>
                <w:b/>
                <w:sz w:val="22"/>
              </w:rPr>
            </w:pPr>
          </w:p>
        </w:tc>
        <w:tc>
          <w:tcPr>
            <w:tcW w:w="600" w:type="dxa"/>
            <w:shd w:val="clear" w:color="auto" w:fill="auto"/>
            <w:vAlign w:val="bottom"/>
          </w:tcPr>
          <w:p w14:paraId="52CC5F38" w14:textId="77777777" w:rsidR="00A52778" w:rsidRPr="00B568BE" w:rsidRDefault="00A52778" w:rsidP="00FC3F8E">
            <w:pPr>
              <w:spacing w:line="0" w:lineRule="atLeast"/>
              <w:rPr>
                <w:rFonts w:eastAsia="Times New Roman" w:cs="Times New Roman"/>
                <w:b/>
                <w:sz w:val="22"/>
              </w:rPr>
            </w:pPr>
          </w:p>
        </w:tc>
        <w:tc>
          <w:tcPr>
            <w:tcW w:w="400" w:type="dxa"/>
            <w:shd w:val="clear" w:color="auto" w:fill="auto"/>
            <w:vAlign w:val="bottom"/>
          </w:tcPr>
          <w:p w14:paraId="056DC83B" w14:textId="77777777" w:rsidR="00A52778" w:rsidRPr="00B568BE" w:rsidRDefault="00A52778" w:rsidP="00FC3F8E">
            <w:pPr>
              <w:spacing w:line="0" w:lineRule="atLeast"/>
              <w:rPr>
                <w:rFonts w:eastAsia="Times New Roman" w:cs="Times New Roman"/>
                <w:b/>
                <w:sz w:val="22"/>
              </w:rPr>
            </w:pPr>
          </w:p>
        </w:tc>
        <w:tc>
          <w:tcPr>
            <w:tcW w:w="660" w:type="dxa"/>
            <w:shd w:val="clear" w:color="auto" w:fill="auto"/>
            <w:vAlign w:val="bottom"/>
          </w:tcPr>
          <w:p w14:paraId="5FA72D96" w14:textId="77777777" w:rsidR="00A52778" w:rsidRPr="00B568BE" w:rsidRDefault="00A52778" w:rsidP="00FC3F8E">
            <w:pPr>
              <w:spacing w:line="0" w:lineRule="atLeast"/>
              <w:rPr>
                <w:rFonts w:eastAsia="Times New Roman" w:cs="Times New Roman"/>
                <w:b/>
                <w:sz w:val="22"/>
              </w:rPr>
            </w:pPr>
          </w:p>
        </w:tc>
        <w:tc>
          <w:tcPr>
            <w:tcW w:w="680" w:type="dxa"/>
            <w:shd w:val="clear" w:color="auto" w:fill="auto"/>
            <w:vAlign w:val="bottom"/>
          </w:tcPr>
          <w:p w14:paraId="2B8CCF80" w14:textId="77777777" w:rsidR="00A52778" w:rsidRPr="00B568BE" w:rsidRDefault="00A52778" w:rsidP="00FC3F8E">
            <w:pPr>
              <w:spacing w:line="0" w:lineRule="atLeast"/>
              <w:rPr>
                <w:rFonts w:eastAsia="Times New Roman" w:cs="Times New Roman"/>
                <w:b/>
                <w:sz w:val="22"/>
              </w:rPr>
            </w:pPr>
          </w:p>
        </w:tc>
        <w:tc>
          <w:tcPr>
            <w:tcW w:w="880" w:type="dxa"/>
            <w:shd w:val="clear" w:color="auto" w:fill="auto"/>
            <w:vAlign w:val="bottom"/>
          </w:tcPr>
          <w:p w14:paraId="54012C94" w14:textId="77777777" w:rsidR="00A52778" w:rsidRPr="00B568BE" w:rsidRDefault="00A52778" w:rsidP="00FC3F8E">
            <w:pPr>
              <w:spacing w:line="0" w:lineRule="atLeast"/>
              <w:rPr>
                <w:rFonts w:eastAsia="Times New Roman" w:cs="Times New Roman"/>
                <w:b/>
                <w:sz w:val="22"/>
              </w:rPr>
            </w:pPr>
          </w:p>
        </w:tc>
        <w:tc>
          <w:tcPr>
            <w:tcW w:w="320" w:type="dxa"/>
            <w:tcBorders>
              <w:right w:val="single" w:sz="8" w:space="0" w:color="auto"/>
            </w:tcBorders>
            <w:shd w:val="clear" w:color="auto" w:fill="auto"/>
            <w:vAlign w:val="bottom"/>
          </w:tcPr>
          <w:p w14:paraId="4C1803C1" w14:textId="77777777" w:rsidR="00A52778" w:rsidRPr="00B568BE" w:rsidRDefault="00A52778" w:rsidP="00FC3F8E">
            <w:pPr>
              <w:spacing w:line="0" w:lineRule="atLeast"/>
              <w:rPr>
                <w:rFonts w:eastAsia="Times New Roman" w:cs="Times New Roman"/>
                <w:b/>
                <w:sz w:val="22"/>
              </w:rPr>
            </w:pPr>
          </w:p>
        </w:tc>
        <w:tc>
          <w:tcPr>
            <w:tcW w:w="520" w:type="dxa"/>
            <w:tcBorders>
              <w:bottom w:val="single" w:sz="8" w:space="0" w:color="auto"/>
            </w:tcBorders>
            <w:shd w:val="clear" w:color="auto" w:fill="auto"/>
            <w:vAlign w:val="bottom"/>
          </w:tcPr>
          <w:p w14:paraId="5054E2B9" w14:textId="77777777" w:rsidR="00A52778" w:rsidRPr="00B568BE" w:rsidRDefault="00A52778" w:rsidP="00FC3F8E">
            <w:pPr>
              <w:spacing w:line="0" w:lineRule="atLeast"/>
              <w:rPr>
                <w:rFonts w:eastAsia="Times New Roman" w:cs="Times New Roman"/>
                <w:b/>
                <w:sz w:val="22"/>
              </w:rPr>
            </w:pPr>
          </w:p>
        </w:tc>
        <w:tc>
          <w:tcPr>
            <w:tcW w:w="1280" w:type="dxa"/>
            <w:tcBorders>
              <w:bottom w:val="single" w:sz="8" w:space="0" w:color="auto"/>
            </w:tcBorders>
            <w:shd w:val="clear" w:color="auto" w:fill="auto"/>
            <w:vAlign w:val="center"/>
          </w:tcPr>
          <w:p w14:paraId="638AA45A" w14:textId="77777777" w:rsidR="00A52778" w:rsidRPr="00B568BE" w:rsidRDefault="00A52778" w:rsidP="00FC3F8E">
            <w:pPr>
              <w:spacing w:line="0" w:lineRule="atLeast"/>
              <w:ind w:right="80"/>
              <w:rPr>
                <w:rFonts w:eastAsia="Times New Roman" w:cs="Times New Roman"/>
                <w:b/>
                <w:w w:val="98"/>
                <w:sz w:val="22"/>
              </w:rPr>
            </w:pPr>
            <w:r w:rsidRPr="00B568BE">
              <w:rPr>
                <w:rFonts w:eastAsia="Times New Roman" w:cs="Times New Roman"/>
                <w:w w:val="98"/>
                <w:sz w:val="22"/>
              </w:rPr>
              <w:t>0,3-1,0 (</w:t>
            </w:r>
            <w:r w:rsidRPr="00B568BE">
              <w:rPr>
                <w:rFonts w:eastAsia="Times New Roman" w:cs="Times New Roman"/>
                <w:w w:val="98"/>
                <w:sz w:val="22"/>
                <w:vertAlign w:val="superscript"/>
              </w:rPr>
              <w:t>1</w:t>
            </w:r>
            <w:r w:rsidRPr="00B568BE">
              <w:rPr>
                <w:rFonts w:eastAsia="Times New Roman" w:cs="Times New Roman"/>
                <w:w w:val="98"/>
                <w:sz w:val="22"/>
              </w:rPr>
              <w:t>)</w:t>
            </w:r>
          </w:p>
        </w:tc>
        <w:tc>
          <w:tcPr>
            <w:tcW w:w="380" w:type="dxa"/>
            <w:tcBorders>
              <w:bottom w:val="single" w:sz="8" w:space="0" w:color="auto"/>
              <w:right w:val="single" w:sz="8" w:space="0" w:color="auto"/>
            </w:tcBorders>
            <w:shd w:val="clear" w:color="auto" w:fill="auto"/>
            <w:vAlign w:val="bottom"/>
          </w:tcPr>
          <w:p w14:paraId="58D00608" w14:textId="77777777" w:rsidR="00A52778" w:rsidRPr="00460F9E" w:rsidRDefault="00A52778" w:rsidP="00FC3F8E">
            <w:pPr>
              <w:spacing w:line="0" w:lineRule="atLeast"/>
              <w:rPr>
                <w:rFonts w:eastAsia="Times New Roman" w:cs="Times New Roman"/>
                <w:b/>
              </w:rPr>
            </w:pPr>
          </w:p>
        </w:tc>
      </w:tr>
      <w:tr w:rsidR="00A52778" w:rsidRPr="00460F9E" w14:paraId="60E430FC" w14:textId="77777777" w:rsidTr="00FC3F8E">
        <w:trPr>
          <w:trHeight w:val="340"/>
        </w:trPr>
        <w:tc>
          <w:tcPr>
            <w:tcW w:w="1000" w:type="dxa"/>
            <w:gridSpan w:val="3"/>
            <w:tcBorders>
              <w:left w:val="single" w:sz="8" w:space="0" w:color="auto"/>
              <w:bottom w:val="single" w:sz="8" w:space="0" w:color="auto"/>
            </w:tcBorders>
            <w:shd w:val="clear" w:color="auto" w:fill="auto"/>
            <w:vAlign w:val="center"/>
          </w:tcPr>
          <w:p w14:paraId="5163A550" w14:textId="77777777" w:rsidR="00A52778" w:rsidRPr="00B568BE" w:rsidRDefault="00A52778" w:rsidP="00FC3F8E">
            <w:pPr>
              <w:spacing w:line="0" w:lineRule="atLeast"/>
              <w:ind w:left="100"/>
              <w:rPr>
                <w:rFonts w:eastAsia="Times New Roman" w:cs="Times New Roman"/>
                <w:b/>
                <w:sz w:val="22"/>
              </w:rPr>
            </w:pPr>
            <w:r w:rsidRPr="00B568BE">
              <w:rPr>
                <w:rFonts w:eastAsia="Times New Roman" w:cs="Times New Roman"/>
                <w:sz w:val="22"/>
              </w:rPr>
              <w:t>LDPE</w:t>
            </w:r>
          </w:p>
        </w:tc>
        <w:tc>
          <w:tcPr>
            <w:tcW w:w="360" w:type="dxa"/>
            <w:tcBorders>
              <w:bottom w:val="single" w:sz="8" w:space="0" w:color="auto"/>
            </w:tcBorders>
            <w:shd w:val="clear" w:color="auto" w:fill="auto"/>
            <w:vAlign w:val="center"/>
          </w:tcPr>
          <w:p w14:paraId="76C9D2B0" w14:textId="77777777" w:rsidR="00A52778" w:rsidRPr="00B568BE" w:rsidRDefault="00A52778" w:rsidP="00FC3F8E">
            <w:pPr>
              <w:spacing w:line="0" w:lineRule="atLeast"/>
              <w:rPr>
                <w:rFonts w:eastAsia="Times New Roman" w:cs="Times New Roman"/>
                <w:b/>
                <w:sz w:val="22"/>
              </w:rPr>
            </w:pPr>
          </w:p>
        </w:tc>
        <w:tc>
          <w:tcPr>
            <w:tcW w:w="260" w:type="dxa"/>
            <w:tcBorders>
              <w:bottom w:val="single" w:sz="8" w:space="0" w:color="auto"/>
            </w:tcBorders>
            <w:shd w:val="clear" w:color="auto" w:fill="auto"/>
            <w:vAlign w:val="center"/>
          </w:tcPr>
          <w:p w14:paraId="37A4A7F8" w14:textId="77777777" w:rsidR="00A52778" w:rsidRPr="00B568BE" w:rsidRDefault="00A52778" w:rsidP="00FC3F8E">
            <w:pPr>
              <w:spacing w:line="0" w:lineRule="atLeast"/>
              <w:rPr>
                <w:rFonts w:eastAsia="Times New Roman" w:cs="Times New Roman"/>
                <w:b/>
                <w:sz w:val="22"/>
              </w:rPr>
            </w:pPr>
          </w:p>
        </w:tc>
        <w:tc>
          <w:tcPr>
            <w:tcW w:w="640" w:type="dxa"/>
            <w:tcBorders>
              <w:bottom w:val="single" w:sz="8" w:space="0" w:color="auto"/>
            </w:tcBorders>
            <w:shd w:val="clear" w:color="auto" w:fill="auto"/>
            <w:vAlign w:val="center"/>
          </w:tcPr>
          <w:p w14:paraId="42CC9CA7" w14:textId="77777777" w:rsidR="00A52778" w:rsidRPr="00B568BE" w:rsidRDefault="00A52778" w:rsidP="00FC3F8E">
            <w:pPr>
              <w:spacing w:line="0" w:lineRule="atLeast"/>
              <w:rPr>
                <w:rFonts w:eastAsia="Times New Roman" w:cs="Times New Roman"/>
                <w:b/>
                <w:sz w:val="22"/>
              </w:rPr>
            </w:pPr>
          </w:p>
        </w:tc>
        <w:tc>
          <w:tcPr>
            <w:tcW w:w="100" w:type="dxa"/>
            <w:tcBorders>
              <w:bottom w:val="single" w:sz="8" w:space="0" w:color="auto"/>
              <w:right w:val="single" w:sz="8" w:space="0" w:color="auto"/>
            </w:tcBorders>
            <w:shd w:val="clear" w:color="auto" w:fill="auto"/>
            <w:vAlign w:val="bottom"/>
          </w:tcPr>
          <w:p w14:paraId="3EA2780D" w14:textId="77777777" w:rsidR="00A52778" w:rsidRPr="00B568BE" w:rsidRDefault="00A52778" w:rsidP="00FC3F8E">
            <w:pPr>
              <w:spacing w:line="0" w:lineRule="atLeast"/>
              <w:rPr>
                <w:rFonts w:eastAsia="Times New Roman" w:cs="Times New Roman"/>
                <w:b/>
                <w:sz w:val="22"/>
              </w:rPr>
            </w:pPr>
          </w:p>
        </w:tc>
        <w:tc>
          <w:tcPr>
            <w:tcW w:w="680" w:type="dxa"/>
            <w:shd w:val="clear" w:color="auto" w:fill="auto"/>
            <w:vAlign w:val="bottom"/>
          </w:tcPr>
          <w:p w14:paraId="79E46C33" w14:textId="77777777" w:rsidR="00A52778" w:rsidRPr="00B568BE" w:rsidRDefault="00A52778" w:rsidP="00FC3F8E">
            <w:pPr>
              <w:spacing w:line="0" w:lineRule="atLeast"/>
              <w:rPr>
                <w:rFonts w:eastAsia="Times New Roman" w:cs="Times New Roman"/>
                <w:b/>
                <w:sz w:val="22"/>
              </w:rPr>
            </w:pPr>
          </w:p>
        </w:tc>
        <w:tc>
          <w:tcPr>
            <w:tcW w:w="600" w:type="dxa"/>
            <w:shd w:val="clear" w:color="auto" w:fill="auto"/>
            <w:vAlign w:val="bottom"/>
          </w:tcPr>
          <w:p w14:paraId="4B17ECCB" w14:textId="77777777" w:rsidR="00A52778" w:rsidRPr="00B568BE" w:rsidRDefault="00A52778" w:rsidP="00FC3F8E">
            <w:pPr>
              <w:spacing w:line="0" w:lineRule="atLeast"/>
              <w:rPr>
                <w:rFonts w:eastAsia="Times New Roman" w:cs="Times New Roman"/>
                <w:b/>
                <w:sz w:val="22"/>
              </w:rPr>
            </w:pPr>
          </w:p>
        </w:tc>
        <w:tc>
          <w:tcPr>
            <w:tcW w:w="400" w:type="dxa"/>
            <w:shd w:val="clear" w:color="auto" w:fill="auto"/>
            <w:vAlign w:val="bottom"/>
          </w:tcPr>
          <w:p w14:paraId="6FE402C8" w14:textId="77777777" w:rsidR="00A52778" w:rsidRPr="00B568BE" w:rsidRDefault="00A52778" w:rsidP="00FC3F8E">
            <w:pPr>
              <w:spacing w:line="0" w:lineRule="atLeast"/>
              <w:rPr>
                <w:rFonts w:eastAsia="Times New Roman" w:cs="Times New Roman"/>
                <w:b/>
                <w:sz w:val="22"/>
              </w:rPr>
            </w:pPr>
          </w:p>
        </w:tc>
        <w:tc>
          <w:tcPr>
            <w:tcW w:w="660" w:type="dxa"/>
            <w:shd w:val="clear" w:color="auto" w:fill="auto"/>
            <w:vAlign w:val="bottom"/>
          </w:tcPr>
          <w:p w14:paraId="194BA719" w14:textId="77777777" w:rsidR="00A52778" w:rsidRPr="00B568BE" w:rsidRDefault="00A52778" w:rsidP="00FC3F8E">
            <w:pPr>
              <w:spacing w:line="0" w:lineRule="atLeast"/>
              <w:rPr>
                <w:rFonts w:eastAsia="Times New Roman" w:cs="Times New Roman"/>
                <w:b/>
                <w:sz w:val="22"/>
              </w:rPr>
            </w:pPr>
          </w:p>
        </w:tc>
        <w:tc>
          <w:tcPr>
            <w:tcW w:w="680" w:type="dxa"/>
            <w:shd w:val="clear" w:color="auto" w:fill="auto"/>
            <w:vAlign w:val="bottom"/>
          </w:tcPr>
          <w:p w14:paraId="0656280D" w14:textId="77777777" w:rsidR="00A52778" w:rsidRPr="00B568BE" w:rsidRDefault="00A52778" w:rsidP="00FC3F8E">
            <w:pPr>
              <w:spacing w:line="0" w:lineRule="atLeast"/>
              <w:rPr>
                <w:rFonts w:eastAsia="Times New Roman" w:cs="Times New Roman"/>
                <w:b/>
                <w:sz w:val="22"/>
              </w:rPr>
            </w:pPr>
          </w:p>
        </w:tc>
        <w:tc>
          <w:tcPr>
            <w:tcW w:w="880" w:type="dxa"/>
            <w:shd w:val="clear" w:color="auto" w:fill="auto"/>
            <w:vAlign w:val="bottom"/>
          </w:tcPr>
          <w:p w14:paraId="324B3684" w14:textId="77777777" w:rsidR="00A52778" w:rsidRPr="00B568BE" w:rsidRDefault="00A52778" w:rsidP="00FC3F8E">
            <w:pPr>
              <w:spacing w:line="0" w:lineRule="atLeast"/>
              <w:rPr>
                <w:rFonts w:eastAsia="Times New Roman" w:cs="Times New Roman"/>
                <w:b/>
                <w:sz w:val="22"/>
              </w:rPr>
            </w:pPr>
          </w:p>
        </w:tc>
        <w:tc>
          <w:tcPr>
            <w:tcW w:w="320" w:type="dxa"/>
            <w:tcBorders>
              <w:right w:val="single" w:sz="8" w:space="0" w:color="auto"/>
            </w:tcBorders>
            <w:shd w:val="clear" w:color="auto" w:fill="auto"/>
            <w:vAlign w:val="bottom"/>
          </w:tcPr>
          <w:p w14:paraId="0A773DD9" w14:textId="77777777" w:rsidR="00A52778" w:rsidRPr="00B568BE" w:rsidRDefault="00A52778" w:rsidP="00FC3F8E">
            <w:pPr>
              <w:spacing w:line="0" w:lineRule="atLeast"/>
              <w:rPr>
                <w:rFonts w:eastAsia="Times New Roman" w:cs="Times New Roman"/>
                <w:b/>
                <w:sz w:val="22"/>
              </w:rPr>
            </w:pPr>
          </w:p>
        </w:tc>
        <w:tc>
          <w:tcPr>
            <w:tcW w:w="520" w:type="dxa"/>
            <w:tcBorders>
              <w:bottom w:val="single" w:sz="8" w:space="0" w:color="auto"/>
            </w:tcBorders>
            <w:shd w:val="clear" w:color="auto" w:fill="auto"/>
            <w:vAlign w:val="bottom"/>
          </w:tcPr>
          <w:p w14:paraId="1B8C63C8" w14:textId="77777777" w:rsidR="00A52778" w:rsidRPr="00B568BE" w:rsidRDefault="00A52778" w:rsidP="00FC3F8E">
            <w:pPr>
              <w:spacing w:line="0" w:lineRule="atLeast"/>
              <w:rPr>
                <w:rFonts w:eastAsia="Times New Roman" w:cs="Times New Roman"/>
                <w:b/>
                <w:sz w:val="22"/>
              </w:rPr>
            </w:pPr>
          </w:p>
        </w:tc>
        <w:tc>
          <w:tcPr>
            <w:tcW w:w="1280" w:type="dxa"/>
            <w:tcBorders>
              <w:bottom w:val="single" w:sz="8" w:space="0" w:color="auto"/>
            </w:tcBorders>
            <w:shd w:val="clear" w:color="auto" w:fill="auto"/>
            <w:vAlign w:val="center"/>
          </w:tcPr>
          <w:p w14:paraId="73DCC11A" w14:textId="77777777" w:rsidR="00A52778" w:rsidRPr="00B568BE" w:rsidRDefault="00A52778" w:rsidP="00FC3F8E">
            <w:pPr>
              <w:spacing w:line="0" w:lineRule="atLeast"/>
              <w:ind w:right="80"/>
              <w:rPr>
                <w:rFonts w:eastAsia="Times New Roman" w:cs="Times New Roman"/>
                <w:b/>
                <w:w w:val="96"/>
                <w:sz w:val="22"/>
              </w:rPr>
            </w:pPr>
            <w:r w:rsidRPr="00B568BE">
              <w:rPr>
                <w:rFonts w:eastAsia="Times New Roman" w:cs="Times New Roman"/>
                <w:w w:val="96"/>
                <w:sz w:val="22"/>
              </w:rPr>
              <w:t>0,1-1,4 (</w:t>
            </w:r>
            <w:r w:rsidRPr="00B568BE">
              <w:rPr>
                <w:rFonts w:eastAsia="Times New Roman" w:cs="Times New Roman"/>
                <w:w w:val="96"/>
                <w:sz w:val="22"/>
                <w:vertAlign w:val="superscript"/>
              </w:rPr>
              <w:t>2</w:t>
            </w:r>
            <w:r w:rsidRPr="00B568BE">
              <w:rPr>
                <w:rFonts w:eastAsia="Times New Roman" w:cs="Times New Roman"/>
                <w:w w:val="96"/>
                <w:sz w:val="22"/>
              </w:rPr>
              <w:t>) (</w:t>
            </w:r>
            <w:r w:rsidRPr="00B568BE">
              <w:rPr>
                <w:rFonts w:eastAsia="Times New Roman" w:cs="Times New Roman"/>
                <w:w w:val="96"/>
                <w:sz w:val="22"/>
                <w:vertAlign w:val="superscript"/>
              </w:rPr>
              <w:t>3</w:t>
            </w:r>
            <w:r w:rsidRPr="00B568BE">
              <w:rPr>
                <w:rFonts w:eastAsia="Times New Roman" w:cs="Times New Roman"/>
                <w:w w:val="96"/>
                <w:sz w:val="22"/>
              </w:rPr>
              <w:t>)</w:t>
            </w:r>
          </w:p>
        </w:tc>
        <w:tc>
          <w:tcPr>
            <w:tcW w:w="380" w:type="dxa"/>
            <w:tcBorders>
              <w:bottom w:val="single" w:sz="8" w:space="0" w:color="auto"/>
              <w:right w:val="single" w:sz="8" w:space="0" w:color="auto"/>
            </w:tcBorders>
            <w:shd w:val="clear" w:color="auto" w:fill="auto"/>
            <w:vAlign w:val="bottom"/>
          </w:tcPr>
          <w:p w14:paraId="76E8ED4A" w14:textId="77777777" w:rsidR="00A52778" w:rsidRPr="00460F9E" w:rsidRDefault="00A52778" w:rsidP="00FC3F8E">
            <w:pPr>
              <w:spacing w:line="0" w:lineRule="atLeast"/>
              <w:rPr>
                <w:rFonts w:eastAsia="Times New Roman" w:cs="Times New Roman"/>
                <w:b/>
              </w:rPr>
            </w:pPr>
          </w:p>
        </w:tc>
      </w:tr>
      <w:tr w:rsidR="00A52778" w:rsidRPr="00460F9E" w14:paraId="1ECE96E4" w14:textId="77777777" w:rsidTr="00FC3F8E">
        <w:trPr>
          <w:trHeight w:val="274"/>
        </w:trPr>
        <w:tc>
          <w:tcPr>
            <w:tcW w:w="1000" w:type="dxa"/>
            <w:gridSpan w:val="3"/>
            <w:tcBorders>
              <w:left w:val="single" w:sz="8" w:space="0" w:color="auto"/>
            </w:tcBorders>
            <w:shd w:val="clear" w:color="auto" w:fill="auto"/>
            <w:vAlign w:val="center"/>
          </w:tcPr>
          <w:p w14:paraId="2D380C30" w14:textId="77777777" w:rsidR="00A52778" w:rsidRPr="00B568BE" w:rsidRDefault="00A52778" w:rsidP="00FC3F8E">
            <w:pPr>
              <w:spacing w:line="0" w:lineRule="atLeast"/>
              <w:ind w:left="100"/>
              <w:rPr>
                <w:rFonts w:eastAsia="Times New Roman" w:cs="Times New Roman"/>
                <w:b/>
                <w:sz w:val="22"/>
              </w:rPr>
            </w:pPr>
            <w:r w:rsidRPr="00B568BE">
              <w:rPr>
                <w:rFonts w:eastAsia="Times New Roman" w:cs="Times New Roman"/>
                <w:sz w:val="22"/>
              </w:rPr>
              <w:t>LLDPE</w:t>
            </w:r>
          </w:p>
        </w:tc>
        <w:tc>
          <w:tcPr>
            <w:tcW w:w="360" w:type="dxa"/>
            <w:shd w:val="clear" w:color="auto" w:fill="auto"/>
            <w:vAlign w:val="center"/>
          </w:tcPr>
          <w:p w14:paraId="5A3862B4" w14:textId="77777777" w:rsidR="00A52778" w:rsidRPr="00B568BE" w:rsidRDefault="00A52778" w:rsidP="00FC3F8E">
            <w:pPr>
              <w:spacing w:line="0" w:lineRule="atLeast"/>
              <w:rPr>
                <w:rFonts w:eastAsia="Times New Roman" w:cs="Times New Roman"/>
                <w:b/>
                <w:sz w:val="22"/>
              </w:rPr>
            </w:pPr>
          </w:p>
        </w:tc>
        <w:tc>
          <w:tcPr>
            <w:tcW w:w="260" w:type="dxa"/>
            <w:shd w:val="clear" w:color="auto" w:fill="auto"/>
            <w:vAlign w:val="center"/>
          </w:tcPr>
          <w:p w14:paraId="402F885B" w14:textId="77777777" w:rsidR="00A52778" w:rsidRPr="00B568BE" w:rsidRDefault="00A52778" w:rsidP="00FC3F8E">
            <w:pPr>
              <w:spacing w:line="0" w:lineRule="atLeast"/>
              <w:rPr>
                <w:rFonts w:eastAsia="Times New Roman" w:cs="Times New Roman"/>
                <w:b/>
                <w:sz w:val="22"/>
              </w:rPr>
            </w:pPr>
          </w:p>
        </w:tc>
        <w:tc>
          <w:tcPr>
            <w:tcW w:w="640" w:type="dxa"/>
            <w:shd w:val="clear" w:color="auto" w:fill="auto"/>
            <w:vAlign w:val="center"/>
          </w:tcPr>
          <w:p w14:paraId="7A8ED349" w14:textId="77777777" w:rsidR="00A52778" w:rsidRPr="00B568BE" w:rsidRDefault="00A52778" w:rsidP="00FC3F8E">
            <w:pPr>
              <w:spacing w:line="0" w:lineRule="atLeast"/>
              <w:rPr>
                <w:rFonts w:eastAsia="Times New Roman" w:cs="Times New Roman"/>
                <w:b/>
                <w:sz w:val="22"/>
              </w:rPr>
            </w:pPr>
          </w:p>
        </w:tc>
        <w:tc>
          <w:tcPr>
            <w:tcW w:w="100" w:type="dxa"/>
            <w:tcBorders>
              <w:right w:val="single" w:sz="8" w:space="0" w:color="auto"/>
            </w:tcBorders>
            <w:shd w:val="clear" w:color="auto" w:fill="auto"/>
            <w:vAlign w:val="bottom"/>
          </w:tcPr>
          <w:p w14:paraId="544C9B9E" w14:textId="77777777" w:rsidR="00A52778" w:rsidRPr="00B568BE" w:rsidRDefault="00A52778" w:rsidP="00FC3F8E">
            <w:pPr>
              <w:spacing w:line="0" w:lineRule="atLeast"/>
              <w:rPr>
                <w:rFonts w:eastAsia="Times New Roman" w:cs="Times New Roman"/>
                <w:b/>
                <w:sz w:val="22"/>
              </w:rPr>
            </w:pPr>
          </w:p>
        </w:tc>
        <w:tc>
          <w:tcPr>
            <w:tcW w:w="680" w:type="dxa"/>
            <w:shd w:val="clear" w:color="auto" w:fill="auto"/>
            <w:vAlign w:val="bottom"/>
          </w:tcPr>
          <w:p w14:paraId="19FADF3B" w14:textId="77777777" w:rsidR="00A52778" w:rsidRPr="00B568BE" w:rsidRDefault="00A52778" w:rsidP="00FC3F8E">
            <w:pPr>
              <w:spacing w:line="0" w:lineRule="atLeast"/>
              <w:rPr>
                <w:rFonts w:eastAsia="Times New Roman" w:cs="Times New Roman"/>
                <w:b/>
                <w:sz w:val="22"/>
              </w:rPr>
            </w:pPr>
          </w:p>
        </w:tc>
        <w:tc>
          <w:tcPr>
            <w:tcW w:w="3220" w:type="dxa"/>
            <w:gridSpan w:val="5"/>
            <w:vMerge w:val="restart"/>
            <w:shd w:val="clear" w:color="auto" w:fill="auto"/>
            <w:vAlign w:val="bottom"/>
          </w:tcPr>
          <w:p w14:paraId="4852A450" w14:textId="77777777" w:rsidR="00A52778" w:rsidRPr="00B568BE" w:rsidRDefault="00A52778" w:rsidP="00FC3F8E">
            <w:pPr>
              <w:spacing w:line="0" w:lineRule="atLeast"/>
              <w:ind w:left="20"/>
              <w:rPr>
                <w:rFonts w:eastAsia="Times New Roman" w:cs="Times New Roman"/>
                <w:b/>
                <w:sz w:val="22"/>
              </w:rPr>
            </w:pPr>
            <w:r w:rsidRPr="00B568BE">
              <w:rPr>
                <w:rFonts w:eastAsia="Times New Roman" w:cs="Times New Roman"/>
                <w:sz w:val="22"/>
              </w:rPr>
              <w:t>Üretilen her kg poliolefin başına g C</w:t>
            </w:r>
          </w:p>
        </w:tc>
        <w:tc>
          <w:tcPr>
            <w:tcW w:w="320" w:type="dxa"/>
            <w:tcBorders>
              <w:right w:val="single" w:sz="8" w:space="0" w:color="auto"/>
            </w:tcBorders>
            <w:shd w:val="clear" w:color="auto" w:fill="auto"/>
            <w:vAlign w:val="bottom"/>
          </w:tcPr>
          <w:p w14:paraId="25766EA6" w14:textId="77777777" w:rsidR="00A52778" w:rsidRPr="00B568BE" w:rsidRDefault="00A52778" w:rsidP="00FC3F8E">
            <w:pPr>
              <w:spacing w:line="0" w:lineRule="atLeast"/>
              <w:rPr>
                <w:rFonts w:eastAsia="Times New Roman" w:cs="Times New Roman"/>
                <w:b/>
                <w:sz w:val="22"/>
              </w:rPr>
            </w:pPr>
          </w:p>
        </w:tc>
        <w:tc>
          <w:tcPr>
            <w:tcW w:w="520" w:type="dxa"/>
            <w:shd w:val="clear" w:color="auto" w:fill="auto"/>
            <w:vAlign w:val="bottom"/>
          </w:tcPr>
          <w:p w14:paraId="4B7FAB20" w14:textId="77777777" w:rsidR="00A52778" w:rsidRPr="00B568BE" w:rsidRDefault="00A52778" w:rsidP="00FC3F8E">
            <w:pPr>
              <w:spacing w:line="0" w:lineRule="atLeast"/>
              <w:rPr>
                <w:rFonts w:eastAsia="Times New Roman" w:cs="Times New Roman"/>
                <w:b/>
                <w:sz w:val="22"/>
              </w:rPr>
            </w:pPr>
          </w:p>
        </w:tc>
        <w:tc>
          <w:tcPr>
            <w:tcW w:w="1280" w:type="dxa"/>
            <w:shd w:val="clear" w:color="auto" w:fill="auto"/>
            <w:vAlign w:val="center"/>
          </w:tcPr>
          <w:p w14:paraId="7BD4B5C6" w14:textId="77777777" w:rsidR="00A52778" w:rsidRPr="00B568BE" w:rsidRDefault="00A52778" w:rsidP="00FC3F8E">
            <w:pPr>
              <w:spacing w:line="0" w:lineRule="atLeast"/>
              <w:ind w:right="80"/>
              <w:rPr>
                <w:rFonts w:eastAsia="Times New Roman" w:cs="Times New Roman"/>
                <w:b/>
                <w:sz w:val="22"/>
              </w:rPr>
            </w:pPr>
            <w:r w:rsidRPr="00B568BE">
              <w:rPr>
                <w:rFonts w:eastAsia="Times New Roman" w:cs="Times New Roman"/>
                <w:sz w:val="22"/>
              </w:rPr>
              <w:t>0,1-0,8</w:t>
            </w:r>
          </w:p>
        </w:tc>
        <w:tc>
          <w:tcPr>
            <w:tcW w:w="380" w:type="dxa"/>
            <w:tcBorders>
              <w:right w:val="single" w:sz="8" w:space="0" w:color="auto"/>
            </w:tcBorders>
            <w:shd w:val="clear" w:color="auto" w:fill="auto"/>
            <w:vAlign w:val="bottom"/>
          </w:tcPr>
          <w:p w14:paraId="2A4E7440" w14:textId="77777777" w:rsidR="00A52778" w:rsidRPr="00460F9E" w:rsidRDefault="00A52778" w:rsidP="00FC3F8E">
            <w:pPr>
              <w:spacing w:line="0" w:lineRule="atLeast"/>
              <w:rPr>
                <w:rFonts w:eastAsia="Times New Roman" w:cs="Times New Roman"/>
                <w:b/>
                <w:sz w:val="23"/>
              </w:rPr>
            </w:pPr>
          </w:p>
        </w:tc>
      </w:tr>
      <w:tr w:rsidR="00A52778" w:rsidRPr="00460F9E" w14:paraId="5C076C92" w14:textId="77777777" w:rsidTr="00FC3F8E">
        <w:trPr>
          <w:trHeight w:val="66"/>
        </w:trPr>
        <w:tc>
          <w:tcPr>
            <w:tcW w:w="380" w:type="dxa"/>
            <w:tcBorders>
              <w:left w:val="single" w:sz="8" w:space="0" w:color="auto"/>
              <w:bottom w:val="single" w:sz="8" w:space="0" w:color="auto"/>
            </w:tcBorders>
            <w:shd w:val="clear" w:color="auto" w:fill="auto"/>
            <w:vAlign w:val="center"/>
          </w:tcPr>
          <w:p w14:paraId="767F61EC" w14:textId="77777777" w:rsidR="00A52778" w:rsidRPr="00460F9E" w:rsidRDefault="00A52778" w:rsidP="00FC3F8E">
            <w:pPr>
              <w:spacing w:line="0" w:lineRule="atLeast"/>
              <w:rPr>
                <w:rFonts w:eastAsia="Times New Roman" w:cs="Times New Roman"/>
                <w:b/>
                <w:sz w:val="5"/>
              </w:rPr>
            </w:pPr>
          </w:p>
        </w:tc>
        <w:tc>
          <w:tcPr>
            <w:tcW w:w="80" w:type="dxa"/>
            <w:tcBorders>
              <w:bottom w:val="single" w:sz="8" w:space="0" w:color="auto"/>
            </w:tcBorders>
            <w:shd w:val="clear" w:color="auto" w:fill="auto"/>
            <w:vAlign w:val="center"/>
          </w:tcPr>
          <w:p w14:paraId="0FDC8450" w14:textId="77777777" w:rsidR="00A52778" w:rsidRPr="00B568BE" w:rsidRDefault="00A52778" w:rsidP="00FC3F8E">
            <w:pPr>
              <w:spacing w:line="0" w:lineRule="atLeast"/>
              <w:rPr>
                <w:rFonts w:eastAsia="Times New Roman" w:cs="Times New Roman"/>
                <w:b/>
                <w:sz w:val="22"/>
              </w:rPr>
            </w:pPr>
          </w:p>
        </w:tc>
        <w:tc>
          <w:tcPr>
            <w:tcW w:w="540" w:type="dxa"/>
            <w:tcBorders>
              <w:bottom w:val="single" w:sz="8" w:space="0" w:color="auto"/>
            </w:tcBorders>
            <w:shd w:val="clear" w:color="auto" w:fill="auto"/>
            <w:vAlign w:val="center"/>
          </w:tcPr>
          <w:p w14:paraId="19CCA1FE" w14:textId="77777777" w:rsidR="00A52778" w:rsidRPr="00B568BE" w:rsidRDefault="00A52778" w:rsidP="00FC3F8E">
            <w:pPr>
              <w:spacing w:line="0" w:lineRule="atLeast"/>
              <w:rPr>
                <w:rFonts w:eastAsia="Times New Roman" w:cs="Times New Roman"/>
                <w:b/>
                <w:sz w:val="22"/>
              </w:rPr>
            </w:pPr>
          </w:p>
        </w:tc>
        <w:tc>
          <w:tcPr>
            <w:tcW w:w="360" w:type="dxa"/>
            <w:tcBorders>
              <w:bottom w:val="single" w:sz="8" w:space="0" w:color="auto"/>
            </w:tcBorders>
            <w:shd w:val="clear" w:color="auto" w:fill="auto"/>
            <w:vAlign w:val="center"/>
          </w:tcPr>
          <w:p w14:paraId="5A6F5833" w14:textId="77777777" w:rsidR="00A52778" w:rsidRPr="00B568BE" w:rsidRDefault="00A52778" w:rsidP="00FC3F8E">
            <w:pPr>
              <w:spacing w:line="0" w:lineRule="atLeast"/>
              <w:rPr>
                <w:rFonts w:eastAsia="Times New Roman" w:cs="Times New Roman"/>
                <w:b/>
                <w:sz w:val="22"/>
              </w:rPr>
            </w:pPr>
          </w:p>
        </w:tc>
        <w:tc>
          <w:tcPr>
            <w:tcW w:w="260" w:type="dxa"/>
            <w:tcBorders>
              <w:bottom w:val="single" w:sz="8" w:space="0" w:color="auto"/>
            </w:tcBorders>
            <w:shd w:val="clear" w:color="auto" w:fill="auto"/>
            <w:vAlign w:val="center"/>
          </w:tcPr>
          <w:p w14:paraId="7C978EF1" w14:textId="77777777" w:rsidR="00A52778" w:rsidRPr="00B568BE" w:rsidRDefault="00A52778" w:rsidP="00FC3F8E">
            <w:pPr>
              <w:spacing w:line="0" w:lineRule="atLeast"/>
              <w:rPr>
                <w:rFonts w:eastAsia="Times New Roman" w:cs="Times New Roman"/>
                <w:b/>
                <w:sz w:val="22"/>
              </w:rPr>
            </w:pPr>
          </w:p>
        </w:tc>
        <w:tc>
          <w:tcPr>
            <w:tcW w:w="640" w:type="dxa"/>
            <w:tcBorders>
              <w:bottom w:val="single" w:sz="8" w:space="0" w:color="auto"/>
            </w:tcBorders>
            <w:shd w:val="clear" w:color="auto" w:fill="auto"/>
            <w:vAlign w:val="center"/>
          </w:tcPr>
          <w:p w14:paraId="5D539B66" w14:textId="77777777" w:rsidR="00A52778" w:rsidRPr="00B568BE" w:rsidRDefault="00A52778" w:rsidP="00FC3F8E">
            <w:pPr>
              <w:spacing w:line="0" w:lineRule="atLeast"/>
              <w:rPr>
                <w:rFonts w:eastAsia="Times New Roman" w:cs="Times New Roman"/>
                <w:b/>
                <w:sz w:val="22"/>
              </w:rPr>
            </w:pPr>
          </w:p>
        </w:tc>
        <w:tc>
          <w:tcPr>
            <w:tcW w:w="100" w:type="dxa"/>
            <w:tcBorders>
              <w:bottom w:val="single" w:sz="8" w:space="0" w:color="auto"/>
              <w:right w:val="single" w:sz="8" w:space="0" w:color="auto"/>
            </w:tcBorders>
            <w:shd w:val="clear" w:color="auto" w:fill="auto"/>
            <w:vAlign w:val="bottom"/>
          </w:tcPr>
          <w:p w14:paraId="6B7D8EF7" w14:textId="77777777" w:rsidR="00A52778" w:rsidRPr="00B568BE" w:rsidRDefault="00A52778" w:rsidP="00FC3F8E">
            <w:pPr>
              <w:spacing w:line="0" w:lineRule="atLeast"/>
              <w:rPr>
                <w:rFonts w:eastAsia="Times New Roman" w:cs="Times New Roman"/>
                <w:b/>
                <w:sz w:val="22"/>
              </w:rPr>
            </w:pPr>
          </w:p>
        </w:tc>
        <w:tc>
          <w:tcPr>
            <w:tcW w:w="680" w:type="dxa"/>
            <w:shd w:val="clear" w:color="auto" w:fill="auto"/>
            <w:vAlign w:val="bottom"/>
          </w:tcPr>
          <w:p w14:paraId="4AE27DAF" w14:textId="77777777" w:rsidR="00A52778" w:rsidRPr="00B568BE" w:rsidRDefault="00A52778" w:rsidP="00FC3F8E">
            <w:pPr>
              <w:spacing w:line="0" w:lineRule="atLeast"/>
              <w:rPr>
                <w:rFonts w:eastAsia="Times New Roman" w:cs="Times New Roman"/>
                <w:b/>
                <w:sz w:val="22"/>
              </w:rPr>
            </w:pPr>
          </w:p>
        </w:tc>
        <w:tc>
          <w:tcPr>
            <w:tcW w:w="3220" w:type="dxa"/>
            <w:gridSpan w:val="5"/>
            <w:vMerge/>
            <w:shd w:val="clear" w:color="auto" w:fill="auto"/>
            <w:vAlign w:val="bottom"/>
          </w:tcPr>
          <w:p w14:paraId="6DFC8866" w14:textId="77777777" w:rsidR="00A52778" w:rsidRPr="00B568BE" w:rsidRDefault="00A52778" w:rsidP="00FC3F8E">
            <w:pPr>
              <w:spacing w:line="0" w:lineRule="atLeast"/>
              <w:rPr>
                <w:rFonts w:eastAsia="Times New Roman" w:cs="Times New Roman"/>
                <w:b/>
                <w:sz w:val="22"/>
              </w:rPr>
            </w:pPr>
          </w:p>
        </w:tc>
        <w:tc>
          <w:tcPr>
            <w:tcW w:w="320" w:type="dxa"/>
            <w:tcBorders>
              <w:right w:val="single" w:sz="8" w:space="0" w:color="auto"/>
            </w:tcBorders>
            <w:shd w:val="clear" w:color="auto" w:fill="auto"/>
            <w:vAlign w:val="bottom"/>
          </w:tcPr>
          <w:p w14:paraId="0C09AB7E" w14:textId="77777777" w:rsidR="00A52778" w:rsidRPr="00B568BE" w:rsidRDefault="00A52778" w:rsidP="00FC3F8E">
            <w:pPr>
              <w:spacing w:line="0" w:lineRule="atLeast"/>
              <w:rPr>
                <w:rFonts w:eastAsia="Times New Roman" w:cs="Times New Roman"/>
                <w:b/>
                <w:sz w:val="22"/>
              </w:rPr>
            </w:pPr>
          </w:p>
        </w:tc>
        <w:tc>
          <w:tcPr>
            <w:tcW w:w="520" w:type="dxa"/>
            <w:tcBorders>
              <w:bottom w:val="single" w:sz="8" w:space="0" w:color="auto"/>
            </w:tcBorders>
            <w:shd w:val="clear" w:color="auto" w:fill="auto"/>
            <w:vAlign w:val="bottom"/>
          </w:tcPr>
          <w:p w14:paraId="6A04ACC1" w14:textId="77777777" w:rsidR="00A52778" w:rsidRPr="00B568BE" w:rsidRDefault="00A52778" w:rsidP="00FC3F8E">
            <w:pPr>
              <w:spacing w:line="0" w:lineRule="atLeast"/>
              <w:rPr>
                <w:rFonts w:eastAsia="Times New Roman" w:cs="Times New Roman"/>
                <w:b/>
                <w:sz w:val="22"/>
              </w:rPr>
            </w:pPr>
          </w:p>
        </w:tc>
        <w:tc>
          <w:tcPr>
            <w:tcW w:w="1280" w:type="dxa"/>
            <w:tcBorders>
              <w:bottom w:val="single" w:sz="8" w:space="0" w:color="auto"/>
            </w:tcBorders>
            <w:shd w:val="clear" w:color="auto" w:fill="auto"/>
            <w:vAlign w:val="center"/>
          </w:tcPr>
          <w:p w14:paraId="506459DB" w14:textId="77777777" w:rsidR="00A52778" w:rsidRPr="00B568BE" w:rsidRDefault="00A52778" w:rsidP="00FC3F8E">
            <w:pPr>
              <w:spacing w:line="0" w:lineRule="atLeast"/>
              <w:rPr>
                <w:rFonts w:eastAsia="Times New Roman" w:cs="Times New Roman"/>
                <w:b/>
                <w:sz w:val="22"/>
              </w:rPr>
            </w:pPr>
          </w:p>
        </w:tc>
        <w:tc>
          <w:tcPr>
            <w:tcW w:w="380" w:type="dxa"/>
            <w:tcBorders>
              <w:bottom w:val="single" w:sz="8" w:space="0" w:color="auto"/>
              <w:right w:val="single" w:sz="8" w:space="0" w:color="auto"/>
            </w:tcBorders>
            <w:shd w:val="clear" w:color="auto" w:fill="auto"/>
            <w:vAlign w:val="bottom"/>
          </w:tcPr>
          <w:p w14:paraId="34D7F60F" w14:textId="77777777" w:rsidR="00A52778" w:rsidRPr="00460F9E" w:rsidRDefault="00A52778" w:rsidP="00FC3F8E">
            <w:pPr>
              <w:spacing w:line="0" w:lineRule="atLeast"/>
              <w:rPr>
                <w:rFonts w:eastAsia="Times New Roman" w:cs="Times New Roman"/>
                <w:b/>
                <w:sz w:val="5"/>
              </w:rPr>
            </w:pPr>
          </w:p>
        </w:tc>
      </w:tr>
      <w:tr w:rsidR="00A52778" w:rsidRPr="00460F9E" w14:paraId="32ED3A71" w14:textId="77777777" w:rsidTr="00FC3F8E">
        <w:trPr>
          <w:trHeight w:val="94"/>
        </w:trPr>
        <w:tc>
          <w:tcPr>
            <w:tcW w:w="380" w:type="dxa"/>
            <w:vMerge w:val="restart"/>
            <w:tcBorders>
              <w:left w:val="single" w:sz="8" w:space="0" w:color="auto"/>
            </w:tcBorders>
            <w:shd w:val="clear" w:color="auto" w:fill="auto"/>
            <w:vAlign w:val="center"/>
          </w:tcPr>
          <w:p w14:paraId="23DD160D"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PP</w:t>
            </w:r>
          </w:p>
        </w:tc>
        <w:tc>
          <w:tcPr>
            <w:tcW w:w="80" w:type="dxa"/>
            <w:shd w:val="clear" w:color="auto" w:fill="auto"/>
            <w:vAlign w:val="center"/>
          </w:tcPr>
          <w:p w14:paraId="73A3B19C" w14:textId="77777777" w:rsidR="00A52778" w:rsidRPr="00B568BE" w:rsidRDefault="00A52778" w:rsidP="00FC3F8E">
            <w:pPr>
              <w:spacing w:line="0" w:lineRule="atLeast"/>
              <w:rPr>
                <w:rFonts w:eastAsia="Times New Roman" w:cs="Times New Roman"/>
                <w:b/>
                <w:sz w:val="22"/>
              </w:rPr>
            </w:pPr>
          </w:p>
        </w:tc>
        <w:tc>
          <w:tcPr>
            <w:tcW w:w="540" w:type="dxa"/>
            <w:shd w:val="clear" w:color="auto" w:fill="auto"/>
            <w:vAlign w:val="center"/>
          </w:tcPr>
          <w:p w14:paraId="69E1930C" w14:textId="77777777" w:rsidR="00A52778" w:rsidRPr="00B568BE" w:rsidRDefault="00A52778" w:rsidP="00FC3F8E">
            <w:pPr>
              <w:spacing w:line="0" w:lineRule="atLeast"/>
              <w:rPr>
                <w:rFonts w:eastAsia="Times New Roman" w:cs="Times New Roman"/>
                <w:b/>
                <w:sz w:val="22"/>
              </w:rPr>
            </w:pPr>
          </w:p>
        </w:tc>
        <w:tc>
          <w:tcPr>
            <w:tcW w:w="360" w:type="dxa"/>
            <w:shd w:val="clear" w:color="auto" w:fill="auto"/>
            <w:vAlign w:val="center"/>
          </w:tcPr>
          <w:p w14:paraId="0DD32A6C" w14:textId="77777777" w:rsidR="00A52778" w:rsidRPr="00B568BE" w:rsidRDefault="00A52778" w:rsidP="00FC3F8E">
            <w:pPr>
              <w:spacing w:line="0" w:lineRule="atLeast"/>
              <w:rPr>
                <w:rFonts w:eastAsia="Times New Roman" w:cs="Times New Roman"/>
                <w:b/>
                <w:sz w:val="22"/>
              </w:rPr>
            </w:pPr>
          </w:p>
        </w:tc>
        <w:tc>
          <w:tcPr>
            <w:tcW w:w="260" w:type="dxa"/>
            <w:shd w:val="clear" w:color="auto" w:fill="auto"/>
            <w:vAlign w:val="center"/>
          </w:tcPr>
          <w:p w14:paraId="790F3CC2" w14:textId="77777777" w:rsidR="00A52778" w:rsidRPr="00B568BE" w:rsidRDefault="00A52778" w:rsidP="00FC3F8E">
            <w:pPr>
              <w:spacing w:line="0" w:lineRule="atLeast"/>
              <w:rPr>
                <w:rFonts w:eastAsia="Times New Roman" w:cs="Times New Roman"/>
                <w:b/>
                <w:sz w:val="22"/>
              </w:rPr>
            </w:pPr>
          </w:p>
        </w:tc>
        <w:tc>
          <w:tcPr>
            <w:tcW w:w="640" w:type="dxa"/>
            <w:shd w:val="clear" w:color="auto" w:fill="auto"/>
            <w:vAlign w:val="center"/>
          </w:tcPr>
          <w:p w14:paraId="589AE246" w14:textId="77777777" w:rsidR="00A52778" w:rsidRPr="00B568BE" w:rsidRDefault="00A52778" w:rsidP="00FC3F8E">
            <w:pPr>
              <w:spacing w:line="0" w:lineRule="atLeast"/>
              <w:rPr>
                <w:rFonts w:eastAsia="Times New Roman" w:cs="Times New Roman"/>
                <w:b/>
                <w:sz w:val="22"/>
              </w:rPr>
            </w:pPr>
          </w:p>
        </w:tc>
        <w:tc>
          <w:tcPr>
            <w:tcW w:w="100" w:type="dxa"/>
            <w:tcBorders>
              <w:right w:val="single" w:sz="8" w:space="0" w:color="auto"/>
            </w:tcBorders>
            <w:shd w:val="clear" w:color="auto" w:fill="auto"/>
            <w:vAlign w:val="bottom"/>
          </w:tcPr>
          <w:p w14:paraId="48E784C0" w14:textId="77777777" w:rsidR="00A52778" w:rsidRPr="00B568BE" w:rsidRDefault="00A52778" w:rsidP="00FC3F8E">
            <w:pPr>
              <w:spacing w:line="0" w:lineRule="atLeast"/>
              <w:rPr>
                <w:rFonts w:eastAsia="Times New Roman" w:cs="Times New Roman"/>
                <w:b/>
                <w:sz w:val="22"/>
              </w:rPr>
            </w:pPr>
          </w:p>
        </w:tc>
        <w:tc>
          <w:tcPr>
            <w:tcW w:w="680" w:type="dxa"/>
            <w:shd w:val="clear" w:color="auto" w:fill="auto"/>
            <w:vAlign w:val="bottom"/>
          </w:tcPr>
          <w:p w14:paraId="74DC941C" w14:textId="77777777" w:rsidR="00A52778" w:rsidRPr="00B568BE" w:rsidRDefault="00A52778" w:rsidP="00FC3F8E">
            <w:pPr>
              <w:spacing w:line="0" w:lineRule="atLeast"/>
              <w:rPr>
                <w:rFonts w:eastAsia="Times New Roman" w:cs="Times New Roman"/>
                <w:b/>
                <w:sz w:val="22"/>
              </w:rPr>
            </w:pPr>
          </w:p>
        </w:tc>
        <w:tc>
          <w:tcPr>
            <w:tcW w:w="3220" w:type="dxa"/>
            <w:gridSpan w:val="5"/>
            <w:vMerge/>
            <w:shd w:val="clear" w:color="auto" w:fill="auto"/>
            <w:vAlign w:val="bottom"/>
          </w:tcPr>
          <w:p w14:paraId="4D2AF89F" w14:textId="77777777" w:rsidR="00A52778" w:rsidRPr="00B568BE" w:rsidRDefault="00A52778" w:rsidP="00FC3F8E">
            <w:pPr>
              <w:spacing w:line="0" w:lineRule="atLeast"/>
              <w:rPr>
                <w:rFonts w:eastAsia="Times New Roman" w:cs="Times New Roman"/>
                <w:b/>
                <w:sz w:val="22"/>
              </w:rPr>
            </w:pPr>
          </w:p>
        </w:tc>
        <w:tc>
          <w:tcPr>
            <w:tcW w:w="320" w:type="dxa"/>
            <w:tcBorders>
              <w:right w:val="single" w:sz="8" w:space="0" w:color="auto"/>
            </w:tcBorders>
            <w:shd w:val="clear" w:color="auto" w:fill="auto"/>
            <w:vAlign w:val="bottom"/>
          </w:tcPr>
          <w:p w14:paraId="0490CEBF" w14:textId="77777777" w:rsidR="00A52778" w:rsidRPr="00B568BE" w:rsidRDefault="00A52778" w:rsidP="00FC3F8E">
            <w:pPr>
              <w:spacing w:line="0" w:lineRule="atLeast"/>
              <w:rPr>
                <w:rFonts w:eastAsia="Times New Roman" w:cs="Times New Roman"/>
                <w:b/>
                <w:sz w:val="22"/>
              </w:rPr>
            </w:pPr>
          </w:p>
        </w:tc>
        <w:tc>
          <w:tcPr>
            <w:tcW w:w="520" w:type="dxa"/>
            <w:shd w:val="clear" w:color="auto" w:fill="auto"/>
            <w:vAlign w:val="bottom"/>
          </w:tcPr>
          <w:p w14:paraId="425826D7" w14:textId="77777777" w:rsidR="00A52778" w:rsidRPr="00B568BE" w:rsidRDefault="00A52778" w:rsidP="00FC3F8E">
            <w:pPr>
              <w:spacing w:line="0" w:lineRule="atLeast"/>
              <w:rPr>
                <w:rFonts w:eastAsia="Times New Roman" w:cs="Times New Roman"/>
                <w:b/>
                <w:sz w:val="22"/>
              </w:rPr>
            </w:pPr>
          </w:p>
        </w:tc>
        <w:tc>
          <w:tcPr>
            <w:tcW w:w="1280" w:type="dxa"/>
            <w:vMerge w:val="restart"/>
            <w:shd w:val="clear" w:color="auto" w:fill="auto"/>
            <w:vAlign w:val="center"/>
          </w:tcPr>
          <w:p w14:paraId="4AD6DB73" w14:textId="77777777" w:rsidR="00A52778" w:rsidRPr="00B568BE" w:rsidRDefault="00A52778" w:rsidP="00FC3F8E">
            <w:pPr>
              <w:spacing w:line="0" w:lineRule="atLeast"/>
              <w:ind w:right="80"/>
              <w:rPr>
                <w:rFonts w:eastAsia="Times New Roman" w:cs="Times New Roman"/>
                <w:b/>
                <w:w w:val="98"/>
                <w:sz w:val="22"/>
              </w:rPr>
            </w:pPr>
            <w:r w:rsidRPr="00B568BE">
              <w:rPr>
                <w:rFonts w:eastAsia="Times New Roman" w:cs="Times New Roman"/>
                <w:w w:val="98"/>
                <w:sz w:val="22"/>
              </w:rPr>
              <w:t>0,1-0,9 (</w:t>
            </w:r>
            <w:r w:rsidRPr="00B568BE">
              <w:rPr>
                <w:rFonts w:eastAsia="Times New Roman" w:cs="Times New Roman"/>
                <w:w w:val="98"/>
                <w:sz w:val="22"/>
                <w:vertAlign w:val="superscript"/>
              </w:rPr>
              <w:t>1</w:t>
            </w:r>
            <w:r w:rsidRPr="00B568BE">
              <w:rPr>
                <w:rFonts w:eastAsia="Times New Roman" w:cs="Times New Roman"/>
                <w:w w:val="98"/>
                <w:sz w:val="22"/>
              </w:rPr>
              <w:t>)</w:t>
            </w:r>
          </w:p>
        </w:tc>
        <w:tc>
          <w:tcPr>
            <w:tcW w:w="380" w:type="dxa"/>
            <w:tcBorders>
              <w:right w:val="single" w:sz="8" w:space="0" w:color="auto"/>
            </w:tcBorders>
            <w:shd w:val="clear" w:color="auto" w:fill="auto"/>
            <w:vAlign w:val="bottom"/>
          </w:tcPr>
          <w:p w14:paraId="2FADA059" w14:textId="77777777" w:rsidR="00A52778" w:rsidRPr="00460F9E" w:rsidRDefault="00A52778" w:rsidP="00FC3F8E">
            <w:pPr>
              <w:spacing w:line="0" w:lineRule="atLeast"/>
              <w:rPr>
                <w:rFonts w:eastAsia="Times New Roman" w:cs="Times New Roman"/>
                <w:b/>
                <w:sz w:val="8"/>
              </w:rPr>
            </w:pPr>
          </w:p>
        </w:tc>
      </w:tr>
      <w:tr w:rsidR="00A52778" w:rsidRPr="00460F9E" w14:paraId="209D7CFE" w14:textId="77777777" w:rsidTr="00FC3F8E">
        <w:trPr>
          <w:trHeight w:val="246"/>
        </w:trPr>
        <w:tc>
          <w:tcPr>
            <w:tcW w:w="380" w:type="dxa"/>
            <w:vMerge/>
            <w:tcBorders>
              <w:left w:val="single" w:sz="8" w:space="0" w:color="auto"/>
              <w:bottom w:val="single" w:sz="8" w:space="0" w:color="auto"/>
            </w:tcBorders>
            <w:shd w:val="clear" w:color="auto" w:fill="auto"/>
            <w:vAlign w:val="center"/>
          </w:tcPr>
          <w:p w14:paraId="51E7DF29" w14:textId="77777777" w:rsidR="00A52778" w:rsidRPr="00460F9E" w:rsidRDefault="00A52778" w:rsidP="00FC3F8E">
            <w:pPr>
              <w:spacing w:line="0" w:lineRule="atLeast"/>
              <w:rPr>
                <w:rFonts w:eastAsia="Times New Roman" w:cs="Times New Roman"/>
                <w:b/>
                <w:sz w:val="21"/>
              </w:rPr>
            </w:pPr>
          </w:p>
        </w:tc>
        <w:tc>
          <w:tcPr>
            <w:tcW w:w="80" w:type="dxa"/>
            <w:tcBorders>
              <w:bottom w:val="single" w:sz="8" w:space="0" w:color="auto"/>
            </w:tcBorders>
            <w:shd w:val="clear" w:color="auto" w:fill="auto"/>
            <w:vAlign w:val="center"/>
          </w:tcPr>
          <w:p w14:paraId="47690721" w14:textId="77777777" w:rsidR="00A52778" w:rsidRPr="00B568BE" w:rsidRDefault="00A52778" w:rsidP="00FC3F8E">
            <w:pPr>
              <w:spacing w:line="0" w:lineRule="atLeast"/>
              <w:rPr>
                <w:rFonts w:eastAsia="Times New Roman" w:cs="Times New Roman"/>
                <w:b/>
                <w:sz w:val="22"/>
              </w:rPr>
            </w:pPr>
          </w:p>
        </w:tc>
        <w:tc>
          <w:tcPr>
            <w:tcW w:w="540" w:type="dxa"/>
            <w:tcBorders>
              <w:bottom w:val="single" w:sz="8" w:space="0" w:color="auto"/>
            </w:tcBorders>
            <w:shd w:val="clear" w:color="auto" w:fill="auto"/>
            <w:vAlign w:val="center"/>
          </w:tcPr>
          <w:p w14:paraId="234351A9" w14:textId="77777777" w:rsidR="00A52778" w:rsidRPr="00B568BE" w:rsidRDefault="00A52778" w:rsidP="00FC3F8E">
            <w:pPr>
              <w:spacing w:line="0" w:lineRule="atLeast"/>
              <w:rPr>
                <w:rFonts w:eastAsia="Times New Roman" w:cs="Times New Roman"/>
                <w:b/>
                <w:sz w:val="22"/>
              </w:rPr>
            </w:pPr>
          </w:p>
        </w:tc>
        <w:tc>
          <w:tcPr>
            <w:tcW w:w="360" w:type="dxa"/>
            <w:tcBorders>
              <w:bottom w:val="single" w:sz="8" w:space="0" w:color="auto"/>
            </w:tcBorders>
            <w:shd w:val="clear" w:color="auto" w:fill="auto"/>
            <w:vAlign w:val="center"/>
          </w:tcPr>
          <w:p w14:paraId="68A07D9C" w14:textId="77777777" w:rsidR="00A52778" w:rsidRPr="00B568BE" w:rsidRDefault="00A52778" w:rsidP="00FC3F8E">
            <w:pPr>
              <w:spacing w:line="0" w:lineRule="atLeast"/>
              <w:rPr>
                <w:rFonts w:eastAsia="Times New Roman" w:cs="Times New Roman"/>
                <w:b/>
                <w:sz w:val="22"/>
              </w:rPr>
            </w:pPr>
          </w:p>
        </w:tc>
        <w:tc>
          <w:tcPr>
            <w:tcW w:w="260" w:type="dxa"/>
            <w:tcBorders>
              <w:bottom w:val="single" w:sz="8" w:space="0" w:color="auto"/>
            </w:tcBorders>
            <w:shd w:val="clear" w:color="auto" w:fill="auto"/>
            <w:vAlign w:val="center"/>
          </w:tcPr>
          <w:p w14:paraId="6FFFB2DE" w14:textId="77777777" w:rsidR="00A52778" w:rsidRPr="00B568BE" w:rsidRDefault="00A52778" w:rsidP="00FC3F8E">
            <w:pPr>
              <w:spacing w:line="0" w:lineRule="atLeast"/>
              <w:rPr>
                <w:rFonts w:eastAsia="Times New Roman" w:cs="Times New Roman"/>
                <w:b/>
                <w:sz w:val="22"/>
              </w:rPr>
            </w:pPr>
          </w:p>
        </w:tc>
        <w:tc>
          <w:tcPr>
            <w:tcW w:w="640" w:type="dxa"/>
            <w:tcBorders>
              <w:bottom w:val="single" w:sz="8" w:space="0" w:color="auto"/>
            </w:tcBorders>
            <w:shd w:val="clear" w:color="auto" w:fill="auto"/>
            <w:vAlign w:val="center"/>
          </w:tcPr>
          <w:p w14:paraId="3F7DEFC0" w14:textId="77777777" w:rsidR="00A52778" w:rsidRPr="00B568BE" w:rsidRDefault="00A52778" w:rsidP="00FC3F8E">
            <w:pPr>
              <w:spacing w:line="0" w:lineRule="atLeast"/>
              <w:rPr>
                <w:rFonts w:eastAsia="Times New Roman" w:cs="Times New Roman"/>
                <w:b/>
                <w:sz w:val="22"/>
              </w:rPr>
            </w:pPr>
          </w:p>
        </w:tc>
        <w:tc>
          <w:tcPr>
            <w:tcW w:w="100" w:type="dxa"/>
            <w:tcBorders>
              <w:bottom w:val="single" w:sz="8" w:space="0" w:color="auto"/>
              <w:right w:val="single" w:sz="8" w:space="0" w:color="auto"/>
            </w:tcBorders>
            <w:shd w:val="clear" w:color="auto" w:fill="auto"/>
            <w:vAlign w:val="bottom"/>
          </w:tcPr>
          <w:p w14:paraId="5D637164" w14:textId="77777777" w:rsidR="00A52778" w:rsidRPr="00B568BE" w:rsidRDefault="00A52778" w:rsidP="00FC3F8E">
            <w:pPr>
              <w:spacing w:line="0" w:lineRule="atLeast"/>
              <w:rPr>
                <w:rFonts w:eastAsia="Times New Roman" w:cs="Times New Roman"/>
                <w:b/>
                <w:sz w:val="22"/>
              </w:rPr>
            </w:pPr>
          </w:p>
        </w:tc>
        <w:tc>
          <w:tcPr>
            <w:tcW w:w="680" w:type="dxa"/>
            <w:shd w:val="clear" w:color="auto" w:fill="auto"/>
            <w:vAlign w:val="bottom"/>
          </w:tcPr>
          <w:p w14:paraId="4B01DE99" w14:textId="77777777" w:rsidR="00A52778" w:rsidRPr="00B568BE" w:rsidRDefault="00A52778" w:rsidP="00FC3F8E">
            <w:pPr>
              <w:spacing w:line="0" w:lineRule="atLeast"/>
              <w:rPr>
                <w:rFonts w:eastAsia="Times New Roman" w:cs="Times New Roman"/>
                <w:b/>
                <w:sz w:val="22"/>
              </w:rPr>
            </w:pPr>
          </w:p>
        </w:tc>
        <w:tc>
          <w:tcPr>
            <w:tcW w:w="600" w:type="dxa"/>
            <w:shd w:val="clear" w:color="auto" w:fill="auto"/>
            <w:vAlign w:val="bottom"/>
          </w:tcPr>
          <w:p w14:paraId="21C5622F" w14:textId="77777777" w:rsidR="00A52778" w:rsidRPr="00B568BE" w:rsidRDefault="00A52778" w:rsidP="00FC3F8E">
            <w:pPr>
              <w:spacing w:line="0" w:lineRule="atLeast"/>
              <w:rPr>
                <w:rFonts w:eastAsia="Times New Roman" w:cs="Times New Roman"/>
                <w:b/>
                <w:sz w:val="22"/>
              </w:rPr>
            </w:pPr>
          </w:p>
        </w:tc>
        <w:tc>
          <w:tcPr>
            <w:tcW w:w="400" w:type="dxa"/>
            <w:shd w:val="clear" w:color="auto" w:fill="auto"/>
            <w:vAlign w:val="bottom"/>
          </w:tcPr>
          <w:p w14:paraId="2C546D4E" w14:textId="77777777" w:rsidR="00A52778" w:rsidRPr="00B568BE" w:rsidRDefault="00A52778" w:rsidP="00FC3F8E">
            <w:pPr>
              <w:spacing w:line="0" w:lineRule="atLeast"/>
              <w:rPr>
                <w:rFonts w:eastAsia="Times New Roman" w:cs="Times New Roman"/>
                <w:b/>
                <w:sz w:val="22"/>
              </w:rPr>
            </w:pPr>
          </w:p>
        </w:tc>
        <w:tc>
          <w:tcPr>
            <w:tcW w:w="660" w:type="dxa"/>
            <w:shd w:val="clear" w:color="auto" w:fill="auto"/>
            <w:vAlign w:val="bottom"/>
          </w:tcPr>
          <w:p w14:paraId="3DF22712" w14:textId="77777777" w:rsidR="00A52778" w:rsidRPr="00B568BE" w:rsidRDefault="00A52778" w:rsidP="00FC3F8E">
            <w:pPr>
              <w:spacing w:line="0" w:lineRule="atLeast"/>
              <w:rPr>
                <w:rFonts w:eastAsia="Times New Roman" w:cs="Times New Roman"/>
                <w:b/>
                <w:sz w:val="22"/>
              </w:rPr>
            </w:pPr>
          </w:p>
        </w:tc>
        <w:tc>
          <w:tcPr>
            <w:tcW w:w="680" w:type="dxa"/>
            <w:shd w:val="clear" w:color="auto" w:fill="auto"/>
            <w:vAlign w:val="bottom"/>
          </w:tcPr>
          <w:p w14:paraId="0DD1C04C" w14:textId="77777777" w:rsidR="00A52778" w:rsidRPr="00B568BE" w:rsidRDefault="00A52778" w:rsidP="00FC3F8E">
            <w:pPr>
              <w:spacing w:line="0" w:lineRule="atLeast"/>
              <w:rPr>
                <w:rFonts w:eastAsia="Times New Roman" w:cs="Times New Roman"/>
                <w:b/>
                <w:sz w:val="22"/>
              </w:rPr>
            </w:pPr>
          </w:p>
        </w:tc>
        <w:tc>
          <w:tcPr>
            <w:tcW w:w="880" w:type="dxa"/>
            <w:shd w:val="clear" w:color="auto" w:fill="auto"/>
            <w:vAlign w:val="bottom"/>
          </w:tcPr>
          <w:p w14:paraId="42CAE685" w14:textId="77777777" w:rsidR="00A52778" w:rsidRPr="00B568BE" w:rsidRDefault="00A52778" w:rsidP="00FC3F8E">
            <w:pPr>
              <w:spacing w:line="0" w:lineRule="atLeast"/>
              <w:rPr>
                <w:rFonts w:eastAsia="Times New Roman" w:cs="Times New Roman"/>
                <w:b/>
                <w:sz w:val="22"/>
              </w:rPr>
            </w:pPr>
          </w:p>
        </w:tc>
        <w:tc>
          <w:tcPr>
            <w:tcW w:w="320" w:type="dxa"/>
            <w:tcBorders>
              <w:right w:val="single" w:sz="8" w:space="0" w:color="auto"/>
            </w:tcBorders>
            <w:shd w:val="clear" w:color="auto" w:fill="auto"/>
            <w:vAlign w:val="bottom"/>
          </w:tcPr>
          <w:p w14:paraId="7CFA5E05" w14:textId="77777777" w:rsidR="00A52778" w:rsidRPr="00B568BE" w:rsidRDefault="00A52778" w:rsidP="00FC3F8E">
            <w:pPr>
              <w:spacing w:line="0" w:lineRule="atLeast"/>
              <w:rPr>
                <w:rFonts w:eastAsia="Times New Roman" w:cs="Times New Roman"/>
                <w:b/>
                <w:sz w:val="22"/>
              </w:rPr>
            </w:pPr>
          </w:p>
        </w:tc>
        <w:tc>
          <w:tcPr>
            <w:tcW w:w="520" w:type="dxa"/>
            <w:tcBorders>
              <w:bottom w:val="single" w:sz="8" w:space="0" w:color="auto"/>
            </w:tcBorders>
            <w:shd w:val="clear" w:color="auto" w:fill="auto"/>
            <w:vAlign w:val="bottom"/>
          </w:tcPr>
          <w:p w14:paraId="2BF5E0A0" w14:textId="77777777" w:rsidR="00A52778" w:rsidRPr="00B568BE" w:rsidRDefault="00A52778" w:rsidP="00FC3F8E">
            <w:pPr>
              <w:spacing w:line="0" w:lineRule="atLeast"/>
              <w:rPr>
                <w:rFonts w:eastAsia="Times New Roman" w:cs="Times New Roman"/>
                <w:b/>
                <w:sz w:val="22"/>
              </w:rPr>
            </w:pPr>
          </w:p>
        </w:tc>
        <w:tc>
          <w:tcPr>
            <w:tcW w:w="1280" w:type="dxa"/>
            <w:vMerge/>
            <w:tcBorders>
              <w:bottom w:val="single" w:sz="8" w:space="0" w:color="auto"/>
            </w:tcBorders>
            <w:shd w:val="clear" w:color="auto" w:fill="auto"/>
            <w:vAlign w:val="center"/>
          </w:tcPr>
          <w:p w14:paraId="12B728E1" w14:textId="77777777" w:rsidR="00A52778" w:rsidRPr="00B568BE" w:rsidRDefault="00A52778" w:rsidP="00FC3F8E">
            <w:pPr>
              <w:spacing w:line="0" w:lineRule="atLeast"/>
              <w:rPr>
                <w:rFonts w:eastAsia="Times New Roman" w:cs="Times New Roman"/>
                <w:b/>
                <w:sz w:val="22"/>
              </w:rPr>
            </w:pPr>
          </w:p>
        </w:tc>
        <w:tc>
          <w:tcPr>
            <w:tcW w:w="380" w:type="dxa"/>
            <w:tcBorders>
              <w:bottom w:val="single" w:sz="8" w:space="0" w:color="auto"/>
              <w:right w:val="single" w:sz="8" w:space="0" w:color="auto"/>
            </w:tcBorders>
            <w:shd w:val="clear" w:color="auto" w:fill="auto"/>
            <w:vAlign w:val="bottom"/>
          </w:tcPr>
          <w:p w14:paraId="17A7EF8C" w14:textId="77777777" w:rsidR="00A52778" w:rsidRPr="00460F9E" w:rsidRDefault="00A52778" w:rsidP="00FC3F8E">
            <w:pPr>
              <w:spacing w:line="0" w:lineRule="atLeast"/>
              <w:rPr>
                <w:rFonts w:eastAsia="Times New Roman" w:cs="Times New Roman"/>
                <w:b/>
                <w:sz w:val="21"/>
              </w:rPr>
            </w:pPr>
          </w:p>
        </w:tc>
      </w:tr>
      <w:tr w:rsidR="00A52778" w:rsidRPr="00460F9E" w14:paraId="7B0E051E" w14:textId="77777777" w:rsidTr="00FC3F8E">
        <w:trPr>
          <w:trHeight w:val="274"/>
        </w:trPr>
        <w:tc>
          <w:tcPr>
            <w:tcW w:w="1620" w:type="dxa"/>
            <w:gridSpan w:val="5"/>
            <w:tcBorders>
              <w:left w:val="single" w:sz="8" w:space="0" w:color="auto"/>
            </w:tcBorders>
            <w:shd w:val="clear" w:color="auto" w:fill="auto"/>
            <w:vAlign w:val="center"/>
          </w:tcPr>
          <w:p w14:paraId="54D0D96A" w14:textId="77777777" w:rsidR="00A52778" w:rsidRPr="00B568BE" w:rsidRDefault="00A52778" w:rsidP="00FC3F8E">
            <w:pPr>
              <w:spacing w:line="0" w:lineRule="atLeast"/>
              <w:ind w:left="100"/>
              <w:rPr>
                <w:rFonts w:eastAsia="Times New Roman" w:cs="Times New Roman"/>
                <w:b/>
                <w:sz w:val="22"/>
              </w:rPr>
            </w:pPr>
            <w:r w:rsidRPr="00B568BE">
              <w:rPr>
                <w:rFonts w:eastAsia="Times New Roman" w:cs="Times New Roman"/>
                <w:sz w:val="22"/>
              </w:rPr>
              <w:t>GPPS ve HIPS</w:t>
            </w:r>
          </w:p>
        </w:tc>
        <w:tc>
          <w:tcPr>
            <w:tcW w:w="640" w:type="dxa"/>
            <w:shd w:val="clear" w:color="auto" w:fill="auto"/>
            <w:vAlign w:val="center"/>
          </w:tcPr>
          <w:p w14:paraId="6B3199BD" w14:textId="77777777" w:rsidR="00A52778" w:rsidRPr="00B568BE" w:rsidRDefault="00A52778" w:rsidP="00FC3F8E">
            <w:pPr>
              <w:spacing w:line="0" w:lineRule="atLeast"/>
              <w:rPr>
                <w:rFonts w:eastAsia="Times New Roman" w:cs="Times New Roman"/>
                <w:b/>
                <w:sz w:val="22"/>
              </w:rPr>
            </w:pPr>
          </w:p>
        </w:tc>
        <w:tc>
          <w:tcPr>
            <w:tcW w:w="100" w:type="dxa"/>
            <w:tcBorders>
              <w:right w:val="single" w:sz="8" w:space="0" w:color="auto"/>
            </w:tcBorders>
            <w:shd w:val="clear" w:color="auto" w:fill="auto"/>
            <w:vAlign w:val="bottom"/>
          </w:tcPr>
          <w:p w14:paraId="68E3C684" w14:textId="77777777" w:rsidR="00A52778" w:rsidRPr="00B568BE" w:rsidRDefault="00A52778" w:rsidP="00FC3F8E">
            <w:pPr>
              <w:spacing w:line="0" w:lineRule="atLeast"/>
              <w:rPr>
                <w:rFonts w:eastAsia="Times New Roman" w:cs="Times New Roman"/>
                <w:b/>
                <w:sz w:val="22"/>
              </w:rPr>
            </w:pPr>
          </w:p>
        </w:tc>
        <w:tc>
          <w:tcPr>
            <w:tcW w:w="680" w:type="dxa"/>
            <w:shd w:val="clear" w:color="auto" w:fill="auto"/>
            <w:vAlign w:val="bottom"/>
          </w:tcPr>
          <w:p w14:paraId="0543B4A9" w14:textId="77777777" w:rsidR="00A52778" w:rsidRPr="00B568BE" w:rsidRDefault="00A52778" w:rsidP="00FC3F8E">
            <w:pPr>
              <w:spacing w:line="0" w:lineRule="atLeast"/>
              <w:rPr>
                <w:rFonts w:eastAsia="Times New Roman" w:cs="Times New Roman"/>
                <w:b/>
                <w:sz w:val="22"/>
              </w:rPr>
            </w:pPr>
          </w:p>
        </w:tc>
        <w:tc>
          <w:tcPr>
            <w:tcW w:w="600" w:type="dxa"/>
            <w:shd w:val="clear" w:color="auto" w:fill="auto"/>
            <w:vAlign w:val="bottom"/>
          </w:tcPr>
          <w:p w14:paraId="117670CB" w14:textId="77777777" w:rsidR="00A52778" w:rsidRPr="00B568BE" w:rsidRDefault="00A52778" w:rsidP="00FC3F8E">
            <w:pPr>
              <w:spacing w:line="0" w:lineRule="atLeast"/>
              <w:rPr>
                <w:rFonts w:eastAsia="Times New Roman" w:cs="Times New Roman"/>
                <w:b/>
                <w:sz w:val="22"/>
              </w:rPr>
            </w:pPr>
          </w:p>
        </w:tc>
        <w:tc>
          <w:tcPr>
            <w:tcW w:w="400" w:type="dxa"/>
            <w:shd w:val="clear" w:color="auto" w:fill="auto"/>
            <w:vAlign w:val="bottom"/>
          </w:tcPr>
          <w:p w14:paraId="07D1D478" w14:textId="77777777" w:rsidR="00A52778" w:rsidRPr="00B568BE" w:rsidRDefault="00A52778" w:rsidP="00FC3F8E">
            <w:pPr>
              <w:spacing w:line="0" w:lineRule="atLeast"/>
              <w:rPr>
                <w:rFonts w:eastAsia="Times New Roman" w:cs="Times New Roman"/>
                <w:b/>
                <w:sz w:val="22"/>
              </w:rPr>
            </w:pPr>
          </w:p>
        </w:tc>
        <w:tc>
          <w:tcPr>
            <w:tcW w:w="660" w:type="dxa"/>
            <w:shd w:val="clear" w:color="auto" w:fill="auto"/>
            <w:vAlign w:val="bottom"/>
          </w:tcPr>
          <w:p w14:paraId="17D0C654" w14:textId="77777777" w:rsidR="00A52778" w:rsidRPr="00B568BE" w:rsidRDefault="00A52778" w:rsidP="00FC3F8E">
            <w:pPr>
              <w:spacing w:line="0" w:lineRule="atLeast"/>
              <w:rPr>
                <w:rFonts w:eastAsia="Times New Roman" w:cs="Times New Roman"/>
                <w:b/>
                <w:sz w:val="22"/>
              </w:rPr>
            </w:pPr>
          </w:p>
        </w:tc>
        <w:tc>
          <w:tcPr>
            <w:tcW w:w="680" w:type="dxa"/>
            <w:shd w:val="clear" w:color="auto" w:fill="auto"/>
            <w:vAlign w:val="bottom"/>
          </w:tcPr>
          <w:p w14:paraId="3F5549F9" w14:textId="77777777" w:rsidR="00A52778" w:rsidRPr="00B568BE" w:rsidRDefault="00A52778" w:rsidP="00FC3F8E">
            <w:pPr>
              <w:spacing w:line="0" w:lineRule="atLeast"/>
              <w:rPr>
                <w:rFonts w:eastAsia="Times New Roman" w:cs="Times New Roman"/>
                <w:b/>
                <w:sz w:val="22"/>
              </w:rPr>
            </w:pPr>
          </w:p>
        </w:tc>
        <w:tc>
          <w:tcPr>
            <w:tcW w:w="880" w:type="dxa"/>
            <w:shd w:val="clear" w:color="auto" w:fill="auto"/>
            <w:vAlign w:val="bottom"/>
          </w:tcPr>
          <w:p w14:paraId="4603BDE8" w14:textId="77777777" w:rsidR="00A52778" w:rsidRPr="00B568BE" w:rsidRDefault="00A52778" w:rsidP="00FC3F8E">
            <w:pPr>
              <w:spacing w:line="0" w:lineRule="atLeast"/>
              <w:rPr>
                <w:rFonts w:eastAsia="Times New Roman" w:cs="Times New Roman"/>
                <w:b/>
                <w:sz w:val="22"/>
              </w:rPr>
            </w:pPr>
          </w:p>
        </w:tc>
        <w:tc>
          <w:tcPr>
            <w:tcW w:w="320" w:type="dxa"/>
            <w:tcBorders>
              <w:right w:val="single" w:sz="8" w:space="0" w:color="auto"/>
            </w:tcBorders>
            <w:shd w:val="clear" w:color="auto" w:fill="auto"/>
            <w:vAlign w:val="bottom"/>
          </w:tcPr>
          <w:p w14:paraId="18994F11" w14:textId="77777777" w:rsidR="00A52778" w:rsidRPr="00B568BE" w:rsidRDefault="00A52778" w:rsidP="00FC3F8E">
            <w:pPr>
              <w:spacing w:line="0" w:lineRule="atLeast"/>
              <w:rPr>
                <w:rFonts w:eastAsia="Times New Roman" w:cs="Times New Roman"/>
                <w:b/>
                <w:sz w:val="22"/>
              </w:rPr>
            </w:pPr>
          </w:p>
        </w:tc>
        <w:tc>
          <w:tcPr>
            <w:tcW w:w="520" w:type="dxa"/>
            <w:shd w:val="clear" w:color="auto" w:fill="auto"/>
            <w:vAlign w:val="bottom"/>
          </w:tcPr>
          <w:p w14:paraId="4C7AF439" w14:textId="77777777" w:rsidR="00A52778" w:rsidRPr="00B568BE" w:rsidRDefault="00A52778" w:rsidP="00FC3F8E">
            <w:pPr>
              <w:spacing w:line="0" w:lineRule="atLeast"/>
              <w:rPr>
                <w:rFonts w:eastAsia="Times New Roman" w:cs="Times New Roman"/>
                <w:b/>
                <w:sz w:val="22"/>
              </w:rPr>
            </w:pPr>
          </w:p>
        </w:tc>
        <w:tc>
          <w:tcPr>
            <w:tcW w:w="1280" w:type="dxa"/>
            <w:shd w:val="clear" w:color="auto" w:fill="auto"/>
            <w:vAlign w:val="center"/>
          </w:tcPr>
          <w:p w14:paraId="23F81FA0" w14:textId="77777777" w:rsidR="00A52778" w:rsidRPr="00B568BE" w:rsidRDefault="00A52778" w:rsidP="00FC3F8E">
            <w:pPr>
              <w:spacing w:line="0" w:lineRule="atLeast"/>
              <w:ind w:right="80"/>
              <w:rPr>
                <w:rFonts w:eastAsia="Times New Roman" w:cs="Times New Roman"/>
                <w:b/>
                <w:sz w:val="22"/>
              </w:rPr>
            </w:pPr>
            <w:r w:rsidRPr="00B568BE">
              <w:rPr>
                <w:rFonts w:eastAsia="Times New Roman" w:cs="Times New Roman"/>
                <w:sz w:val="22"/>
              </w:rPr>
              <w:t>&lt; 0,1</w:t>
            </w:r>
          </w:p>
        </w:tc>
        <w:tc>
          <w:tcPr>
            <w:tcW w:w="380" w:type="dxa"/>
            <w:tcBorders>
              <w:right w:val="single" w:sz="8" w:space="0" w:color="auto"/>
            </w:tcBorders>
            <w:shd w:val="clear" w:color="auto" w:fill="auto"/>
            <w:vAlign w:val="bottom"/>
          </w:tcPr>
          <w:p w14:paraId="00E20CB4" w14:textId="77777777" w:rsidR="00A52778" w:rsidRPr="00460F9E" w:rsidRDefault="00A52778" w:rsidP="00FC3F8E">
            <w:pPr>
              <w:spacing w:line="0" w:lineRule="atLeast"/>
              <w:rPr>
                <w:rFonts w:eastAsia="Times New Roman" w:cs="Times New Roman"/>
                <w:b/>
                <w:sz w:val="23"/>
              </w:rPr>
            </w:pPr>
          </w:p>
        </w:tc>
      </w:tr>
      <w:tr w:rsidR="00A52778" w:rsidRPr="00460F9E" w14:paraId="113DCD23" w14:textId="77777777" w:rsidTr="00FC3F8E">
        <w:trPr>
          <w:trHeight w:val="66"/>
        </w:trPr>
        <w:tc>
          <w:tcPr>
            <w:tcW w:w="460" w:type="dxa"/>
            <w:gridSpan w:val="2"/>
            <w:tcBorders>
              <w:left w:val="single" w:sz="8" w:space="0" w:color="auto"/>
              <w:bottom w:val="single" w:sz="8" w:space="0" w:color="auto"/>
            </w:tcBorders>
            <w:shd w:val="clear" w:color="auto" w:fill="auto"/>
            <w:vAlign w:val="center"/>
          </w:tcPr>
          <w:p w14:paraId="63E744C9" w14:textId="77777777" w:rsidR="00A52778" w:rsidRPr="00B568BE" w:rsidRDefault="00A52778" w:rsidP="00FC3F8E">
            <w:pPr>
              <w:spacing w:line="0" w:lineRule="atLeast"/>
              <w:rPr>
                <w:rFonts w:eastAsia="Times New Roman" w:cs="Times New Roman"/>
                <w:b/>
                <w:sz w:val="22"/>
              </w:rPr>
            </w:pPr>
          </w:p>
        </w:tc>
        <w:tc>
          <w:tcPr>
            <w:tcW w:w="540" w:type="dxa"/>
            <w:tcBorders>
              <w:bottom w:val="single" w:sz="8" w:space="0" w:color="auto"/>
            </w:tcBorders>
            <w:shd w:val="clear" w:color="auto" w:fill="auto"/>
            <w:vAlign w:val="center"/>
          </w:tcPr>
          <w:p w14:paraId="3A46C62F" w14:textId="77777777" w:rsidR="00A52778" w:rsidRPr="00B568BE" w:rsidRDefault="00A52778" w:rsidP="00FC3F8E">
            <w:pPr>
              <w:spacing w:line="0" w:lineRule="atLeast"/>
              <w:rPr>
                <w:rFonts w:eastAsia="Times New Roman" w:cs="Times New Roman"/>
                <w:b/>
                <w:sz w:val="22"/>
              </w:rPr>
            </w:pPr>
          </w:p>
        </w:tc>
        <w:tc>
          <w:tcPr>
            <w:tcW w:w="360" w:type="dxa"/>
            <w:tcBorders>
              <w:bottom w:val="single" w:sz="8" w:space="0" w:color="auto"/>
            </w:tcBorders>
            <w:shd w:val="clear" w:color="auto" w:fill="auto"/>
            <w:vAlign w:val="center"/>
          </w:tcPr>
          <w:p w14:paraId="482DD9E2" w14:textId="77777777" w:rsidR="00A52778" w:rsidRPr="00B568BE" w:rsidRDefault="00A52778" w:rsidP="00FC3F8E">
            <w:pPr>
              <w:spacing w:line="0" w:lineRule="atLeast"/>
              <w:rPr>
                <w:rFonts w:eastAsia="Times New Roman" w:cs="Times New Roman"/>
                <w:b/>
                <w:sz w:val="22"/>
              </w:rPr>
            </w:pPr>
          </w:p>
        </w:tc>
        <w:tc>
          <w:tcPr>
            <w:tcW w:w="260" w:type="dxa"/>
            <w:tcBorders>
              <w:bottom w:val="single" w:sz="8" w:space="0" w:color="auto"/>
            </w:tcBorders>
            <w:shd w:val="clear" w:color="auto" w:fill="auto"/>
            <w:vAlign w:val="center"/>
          </w:tcPr>
          <w:p w14:paraId="220C80A8" w14:textId="77777777" w:rsidR="00A52778" w:rsidRPr="00B568BE" w:rsidRDefault="00A52778" w:rsidP="00FC3F8E">
            <w:pPr>
              <w:spacing w:line="0" w:lineRule="atLeast"/>
              <w:rPr>
                <w:rFonts w:eastAsia="Times New Roman" w:cs="Times New Roman"/>
                <w:b/>
                <w:sz w:val="22"/>
              </w:rPr>
            </w:pPr>
          </w:p>
        </w:tc>
        <w:tc>
          <w:tcPr>
            <w:tcW w:w="640" w:type="dxa"/>
            <w:tcBorders>
              <w:bottom w:val="single" w:sz="8" w:space="0" w:color="auto"/>
            </w:tcBorders>
            <w:shd w:val="clear" w:color="auto" w:fill="auto"/>
            <w:vAlign w:val="center"/>
          </w:tcPr>
          <w:p w14:paraId="54B0606E" w14:textId="77777777" w:rsidR="00A52778" w:rsidRPr="00B568BE" w:rsidRDefault="00A52778" w:rsidP="00FC3F8E">
            <w:pPr>
              <w:spacing w:line="0" w:lineRule="atLeast"/>
              <w:rPr>
                <w:rFonts w:eastAsia="Times New Roman" w:cs="Times New Roman"/>
                <w:b/>
                <w:sz w:val="22"/>
              </w:rPr>
            </w:pPr>
          </w:p>
        </w:tc>
        <w:tc>
          <w:tcPr>
            <w:tcW w:w="100" w:type="dxa"/>
            <w:tcBorders>
              <w:bottom w:val="single" w:sz="8" w:space="0" w:color="auto"/>
              <w:right w:val="single" w:sz="8" w:space="0" w:color="auto"/>
            </w:tcBorders>
            <w:shd w:val="clear" w:color="auto" w:fill="auto"/>
            <w:vAlign w:val="bottom"/>
          </w:tcPr>
          <w:p w14:paraId="0D704D08" w14:textId="77777777" w:rsidR="00A52778" w:rsidRPr="00B568BE" w:rsidRDefault="00A52778" w:rsidP="00FC3F8E">
            <w:pPr>
              <w:spacing w:line="0" w:lineRule="atLeast"/>
              <w:rPr>
                <w:rFonts w:eastAsia="Times New Roman" w:cs="Times New Roman"/>
                <w:b/>
                <w:sz w:val="22"/>
              </w:rPr>
            </w:pPr>
          </w:p>
        </w:tc>
        <w:tc>
          <w:tcPr>
            <w:tcW w:w="680" w:type="dxa"/>
            <w:shd w:val="clear" w:color="auto" w:fill="auto"/>
            <w:vAlign w:val="bottom"/>
          </w:tcPr>
          <w:p w14:paraId="2847E30E" w14:textId="77777777" w:rsidR="00A52778" w:rsidRPr="00B568BE" w:rsidRDefault="00A52778" w:rsidP="00FC3F8E">
            <w:pPr>
              <w:spacing w:line="0" w:lineRule="atLeast"/>
              <w:rPr>
                <w:rFonts w:eastAsia="Times New Roman" w:cs="Times New Roman"/>
                <w:b/>
                <w:sz w:val="22"/>
              </w:rPr>
            </w:pPr>
          </w:p>
        </w:tc>
        <w:tc>
          <w:tcPr>
            <w:tcW w:w="600" w:type="dxa"/>
            <w:shd w:val="clear" w:color="auto" w:fill="auto"/>
            <w:vAlign w:val="bottom"/>
          </w:tcPr>
          <w:p w14:paraId="68DE5DEF" w14:textId="77777777" w:rsidR="00A52778" w:rsidRPr="00B568BE" w:rsidRDefault="00A52778" w:rsidP="00FC3F8E">
            <w:pPr>
              <w:spacing w:line="0" w:lineRule="atLeast"/>
              <w:rPr>
                <w:rFonts w:eastAsia="Times New Roman" w:cs="Times New Roman"/>
                <w:b/>
                <w:sz w:val="22"/>
              </w:rPr>
            </w:pPr>
          </w:p>
        </w:tc>
        <w:tc>
          <w:tcPr>
            <w:tcW w:w="400" w:type="dxa"/>
            <w:shd w:val="clear" w:color="auto" w:fill="auto"/>
            <w:vAlign w:val="bottom"/>
          </w:tcPr>
          <w:p w14:paraId="35C68F76" w14:textId="77777777" w:rsidR="00A52778" w:rsidRPr="00B568BE" w:rsidRDefault="00A52778" w:rsidP="00FC3F8E">
            <w:pPr>
              <w:spacing w:line="0" w:lineRule="atLeast"/>
              <w:rPr>
                <w:rFonts w:eastAsia="Times New Roman" w:cs="Times New Roman"/>
                <w:b/>
                <w:sz w:val="22"/>
              </w:rPr>
            </w:pPr>
          </w:p>
        </w:tc>
        <w:tc>
          <w:tcPr>
            <w:tcW w:w="660" w:type="dxa"/>
            <w:shd w:val="clear" w:color="auto" w:fill="auto"/>
            <w:vAlign w:val="bottom"/>
          </w:tcPr>
          <w:p w14:paraId="1D7A8274" w14:textId="77777777" w:rsidR="00A52778" w:rsidRPr="00B568BE" w:rsidRDefault="00A52778" w:rsidP="00FC3F8E">
            <w:pPr>
              <w:spacing w:line="0" w:lineRule="atLeast"/>
              <w:rPr>
                <w:rFonts w:eastAsia="Times New Roman" w:cs="Times New Roman"/>
                <w:b/>
                <w:sz w:val="22"/>
              </w:rPr>
            </w:pPr>
          </w:p>
        </w:tc>
        <w:tc>
          <w:tcPr>
            <w:tcW w:w="680" w:type="dxa"/>
            <w:shd w:val="clear" w:color="auto" w:fill="auto"/>
            <w:vAlign w:val="bottom"/>
          </w:tcPr>
          <w:p w14:paraId="7FEB54C8" w14:textId="77777777" w:rsidR="00A52778" w:rsidRPr="00B568BE" w:rsidRDefault="00A52778" w:rsidP="00FC3F8E">
            <w:pPr>
              <w:spacing w:line="0" w:lineRule="atLeast"/>
              <w:rPr>
                <w:rFonts w:eastAsia="Times New Roman" w:cs="Times New Roman"/>
                <w:b/>
                <w:sz w:val="22"/>
              </w:rPr>
            </w:pPr>
          </w:p>
        </w:tc>
        <w:tc>
          <w:tcPr>
            <w:tcW w:w="880" w:type="dxa"/>
            <w:shd w:val="clear" w:color="auto" w:fill="auto"/>
            <w:vAlign w:val="bottom"/>
          </w:tcPr>
          <w:p w14:paraId="02208927" w14:textId="77777777" w:rsidR="00A52778" w:rsidRPr="00B568BE" w:rsidRDefault="00A52778" w:rsidP="00FC3F8E">
            <w:pPr>
              <w:spacing w:line="0" w:lineRule="atLeast"/>
              <w:rPr>
                <w:rFonts w:eastAsia="Times New Roman" w:cs="Times New Roman"/>
                <w:b/>
                <w:sz w:val="22"/>
              </w:rPr>
            </w:pPr>
          </w:p>
        </w:tc>
        <w:tc>
          <w:tcPr>
            <w:tcW w:w="320" w:type="dxa"/>
            <w:tcBorders>
              <w:right w:val="single" w:sz="8" w:space="0" w:color="auto"/>
            </w:tcBorders>
            <w:shd w:val="clear" w:color="auto" w:fill="auto"/>
            <w:vAlign w:val="bottom"/>
          </w:tcPr>
          <w:p w14:paraId="353A4076" w14:textId="77777777" w:rsidR="00A52778" w:rsidRPr="00B568BE" w:rsidRDefault="00A52778" w:rsidP="00FC3F8E">
            <w:pPr>
              <w:spacing w:line="0" w:lineRule="atLeast"/>
              <w:rPr>
                <w:rFonts w:eastAsia="Times New Roman" w:cs="Times New Roman"/>
                <w:b/>
                <w:sz w:val="22"/>
              </w:rPr>
            </w:pPr>
          </w:p>
        </w:tc>
        <w:tc>
          <w:tcPr>
            <w:tcW w:w="520" w:type="dxa"/>
            <w:tcBorders>
              <w:bottom w:val="single" w:sz="8" w:space="0" w:color="auto"/>
            </w:tcBorders>
            <w:shd w:val="clear" w:color="auto" w:fill="auto"/>
            <w:vAlign w:val="bottom"/>
          </w:tcPr>
          <w:p w14:paraId="16C7B78E" w14:textId="77777777" w:rsidR="00A52778" w:rsidRPr="00B568BE" w:rsidRDefault="00A52778" w:rsidP="00FC3F8E">
            <w:pPr>
              <w:spacing w:line="0" w:lineRule="atLeast"/>
              <w:rPr>
                <w:rFonts w:eastAsia="Times New Roman" w:cs="Times New Roman"/>
                <w:b/>
                <w:sz w:val="22"/>
              </w:rPr>
            </w:pPr>
          </w:p>
        </w:tc>
        <w:tc>
          <w:tcPr>
            <w:tcW w:w="1280" w:type="dxa"/>
            <w:tcBorders>
              <w:bottom w:val="single" w:sz="8" w:space="0" w:color="auto"/>
            </w:tcBorders>
            <w:shd w:val="clear" w:color="auto" w:fill="auto"/>
            <w:vAlign w:val="center"/>
          </w:tcPr>
          <w:p w14:paraId="06D96E0C" w14:textId="77777777" w:rsidR="00A52778" w:rsidRPr="00B568BE" w:rsidRDefault="00A52778" w:rsidP="00FC3F8E">
            <w:pPr>
              <w:spacing w:line="0" w:lineRule="atLeast"/>
              <w:rPr>
                <w:rFonts w:eastAsia="Times New Roman" w:cs="Times New Roman"/>
                <w:b/>
                <w:sz w:val="22"/>
              </w:rPr>
            </w:pPr>
          </w:p>
        </w:tc>
        <w:tc>
          <w:tcPr>
            <w:tcW w:w="380" w:type="dxa"/>
            <w:tcBorders>
              <w:bottom w:val="single" w:sz="8" w:space="0" w:color="auto"/>
              <w:right w:val="single" w:sz="8" w:space="0" w:color="auto"/>
            </w:tcBorders>
            <w:shd w:val="clear" w:color="auto" w:fill="auto"/>
            <w:vAlign w:val="bottom"/>
          </w:tcPr>
          <w:p w14:paraId="5E5F8352" w14:textId="77777777" w:rsidR="00A52778" w:rsidRPr="00460F9E" w:rsidRDefault="00A52778" w:rsidP="00FC3F8E">
            <w:pPr>
              <w:spacing w:line="0" w:lineRule="atLeast"/>
              <w:rPr>
                <w:rFonts w:eastAsia="Times New Roman" w:cs="Times New Roman"/>
                <w:b/>
                <w:sz w:val="5"/>
              </w:rPr>
            </w:pPr>
          </w:p>
        </w:tc>
      </w:tr>
      <w:tr w:rsidR="00A52778" w:rsidRPr="00460F9E" w14:paraId="34FE9E90" w14:textId="77777777" w:rsidTr="00FC3F8E">
        <w:trPr>
          <w:trHeight w:val="274"/>
        </w:trPr>
        <w:tc>
          <w:tcPr>
            <w:tcW w:w="460" w:type="dxa"/>
            <w:gridSpan w:val="2"/>
            <w:tcBorders>
              <w:left w:val="single" w:sz="8" w:space="0" w:color="auto"/>
            </w:tcBorders>
            <w:shd w:val="clear" w:color="auto" w:fill="auto"/>
            <w:vAlign w:val="center"/>
          </w:tcPr>
          <w:p w14:paraId="0AF38438" w14:textId="77777777" w:rsidR="00A52778" w:rsidRPr="00B568BE" w:rsidRDefault="00A52778" w:rsidP="00FC3F8E">
            <w:pPr>
              <w:spacing w:line="0" w:lineRule="atLeast"/>
              <w:ind w:left="100"/>
              <w:rPr>
                <w:rFonts w:eastAsia="Times New Roman" w:cs="Times New Roman"/>
                <w:b/>
                <w:w w:val="98"/>
                <w:sz w:val="22"/>
              </w:rPr>
            </w:pPr>
            <w:r w:rsidRPr="00B568BE">
              <w:rPr>
                <w:rFonts w:eastAsia="Times New Roman" w:cs="Times New Roman"/>
                <w:w w:val="98"/>
                <w:sz w:val="22"/>
              </w:rPr>
              <w:t>EPS</w:t>
            </w:r>
          </w:p>
        </w:tc>
        <w:tc>
          <w:tcPr>
            <w:tcW w:w="540" w:type="dxa"/>
            <w:shd w:val="clear" w:color="auto" w:fill="auto"/>
            <w:vAlign w:val="center"/>
          </w:tcPr>
          <w:p w14:paraId="3B241D47" w14:textId="77777777" w:rsidR="00A52778" w:rsidRPr="00B568BE" w:rsidRDefault="00A52778" w:rsidP="00FC3F8E">
            <w:pPr>
              <w:spacing w:line="0" w:lineRule="atLeast"/>
              <w:rPr>
                <w:rFonts w:eastAsia="Times New Roman" w:cs="Times New Roman"/>
                <w:b/>
                <w:sz w:val="22"/>
              </w:rPr>
            </w:pPr>
          </w:p>
        </w:tc>
        <w:tc>
          <w:tcPr>
            <w:tcW w:w="360" w:type="dxa"/>
            <w:shd w:val="clear" w:color="auto" w:fill="auto"/>
            <w:vAlign w:val="center"/>
          </w:tcPr>
          <w:p w14:paraId="73840AD3" w14:textId="77777777" w:rsidR="00A52778" w:rsidRPr="00B568BE" w:rsidRDefault="00A52778" w:rsidP="00FC3F8E">
            <w:pPr>
              <w:spacing w:line="0" w:lineRule="atLeast"/>
              <w:rPr>
                <w:rFonts w:eastAsia="Times New Roman" w:cs="Times New Roman"/>
                <w:b/>
                <w:sz w:val="22"/>
              </w:rPr>
            </w:pPr>
          </w:p>
        </w:tc>
        <w:tc>
          <w:tcPr>
            <w:tcW w:w="260" w:type="dxa"/>
            <w:shd w:val="clear" w:color="auto" w:fill="auto"/>
            <w:vAlign w:val="center"/>
          </w:tcPr>
          <w:p w14:paraId="2BA03F48" w14:textId="77777777" w:rsidR="00A52778" w:rsidRPr="00B568BE" w:rsidRDefault="00A52778" w:rsidP="00FC3F8E">
            <w:pPr>
              <w:spacing w:line="0" w:lineRule="atLeast"/>
              <w:rPr>
                <w:rFonts w:eastAsia="Times New Roman" w:cs="Times New Roman"/>
                <w:b/>
                <w:sz w:val="22"/>
              </w:rPr>
            </w:pPr>
          </w:p>
        </w:tc>
        <w:tc>
          <w:tcPr>
            <w:tcW w:w="640" w:type="dxa"/>
            <w:shd w:val="clear" w:color="auto" w:fill="auto"/>
            <w:vAlign w:val="center"/>
          </w:tcPr>
          <w:p w14:paraId="3DA88619" w14:textId="77777777" w:rsidR="00A52778" w:rsidRPr="00B568BE" w:rsidRDefault="00A52778" w:rsidP="00FC3F8E">
            <w:pPr>
              <w:spacing w:line="0" w:lineRule="atLeast"/>
              <w:rPr>
                <w:rFonts w:eastAsia="Times New Roman" w:cs="Times New Roman"/>
                <w:b/>
                <w:sz w:val="22"/>
              </w:rPr>
            </w:pPr>
          </w:p>
        </w:tc>
        <w:tc>
          <w:tcPr>
            <w:tcW w:w="100" w:type="dxa"/>
            <w:tcBorders>
              <w:right w:val="single" w:sz="8" w:space="0" w:color="auto"/>
            </w:tcBorders>
            <w:shd w:val="clear" w:color="auto" w:fill="auto"/>
            <w:vAlign w:val="bottom"/>
          </w:tcPr>
          <w:p w14:paraId="052D37DD" w14:textId="77777777" w:rsidR="00A52778" w:rsidRPr="00B568BE" w:rsidRDefault="00A52778" w:rsidP="00FC3F8E">
            <w:pPr>
              <w:spacing w:line="0" w:lineRule="atLeast"/>
              <w:rPr>
                <w:rFonts w:eastAsia="Times New Roman" w:cs="Times New Roman"/>
                <w:b/>
                <w:sz w:val="22"/>
              </w:rPr>
            </w:pPr>
          </w:p>
        </w:tc>
        <w:tc>
          <w:tcPr>
            <w:tcW w:w="680" w:type="dxa"/>
            <w:shd w:val="clear" w:color="auto" w:fill="auto"/>
            <w:vAlign w:val="bottom"/>
          </w:tcPr>
          <w:p w14:paraId="32C4D767" w14:textId="77777777" w:rsidR="00A52778" w:rsidRPr="00B568BE" w:rsidRDefault="00A52778" w:rsidP="00FC3F8E">
            <w:pPr>
              <w:spacing w:line="0" w:lineRule="atLeast"/>
              <w:rPr>
                <w:rFonts w:eastAsia="Times New Roman" w:cs="Times New Roman"/>
                <w:b/>
                <w:sz w:val="22"/>
              </w:rPr>
            </w:pPr>
          </w:p>
        </w:tc>
        <w:tc>
          <w:tcPr>
            <w:tcW w:w="600" w:type="dxa"/>
            <w:shd w:val="clear" w:color="auto" w:fill="auto"/>
            <w:vAlign w:val="bottom"/>
          </w:tcPr>
          <w:p w14:paraId="44885426" w14:textId="77777777" w:rsidR="00A52778" w:rsidRPr="00B568BE" w:rsidRDefault="00A52778" w:rsidP="00FC3F8E">
            <w:pPr>
              <w:spacing w:line="0" w:lineRule="atLeast"/>
              <w:rPr>
                <w:rFonts w:eastAsia="Times New Roman" w:cs="Times New Roman"/>
                <w:b/>
                <w:sz w:val="22"/>
              </w:rPr>
            </w:pPr>
          </w:p>
        </w:tc>
        <w:tc>
          <w:tcPr>
            <w:tcW w:w="400" w:type="dxa"/>
            <w:shd w:val="clear" w:color="auto" w:fill="auto"/>
            <w:vAlign w:val="bottom"/>
          </w:tcPr>
          <w:p w14:paraId="3D110574" w14:textId="77777777" w:rsidR="00A52778" w:rsidRPr="00B568BE" w:rsidRDefault="00A52778" w:rsidP="00FC3F8E">
            <w:pPr>
              <w:spacing w:line="0" w:lineRule="atLeast"/>
              <w:rPr>
                <w:rFonts w:eastAsia="Times New Roman" w:cs="Times New Roman"/>
                <w:b/>
                <w:sz w:val="22"/>
              </w:rPr>
            </w:pPr>
          </w:p>
        </w:tc>
        <w:tc>
          <w:tcPr>
            <w:tcW w:w="660" w:type="dxa"/>
            <w:shd w:val="clear" w:color="auto" w:fill="auto"/>
            <w:vAlign w:val="bottom"/>
          </w:tcPr>
          <w:p w14:paraId="510B1033" w14:textId="77777777" w:rsidR="00A52778" w:rsidRPr="00B568BE" w:rsidRDefault="00A52778" w:rsidP="00FC3F8E">
            <w:pPr>
              <w:spacing w:line="0" w:lineRule="atLeast"/>
              <w:rPr>
                <w:rFonts w:eastAsia="Times New Roman" w:cs="Times New Roman"/>
                <w:b/>
                <w:sz w:val="22"/>
              </w:rPr>
            </w:pPr>
          </w:p>
        </w:tc>
        <w:tc>
          <w:tcPr>
            <w:tcW w:w="680" w:type="dxa"/>
            <w:shd w:val="clear" w:color="auto" w:fill="auto"/>
            <w:vAlign w:val="bottom"/>
          </w:tcPr>
          <w:p w14:paraId="3079654C" w14:textId="77777777" w:rsidR="00A52778" w:rsidRPr="00B568BE" w:rsidRDefault="00A52778" w:rsidP="00FC3F8E">
            <w:pPr>
              <w:spacing w:line="0" w:lineRule="atLeast"/>
              <w:rPr>
                <w:rFonts w:eastAsia="Times New Roman" w:cs="Times New Roman"/>
                <w:b/>
                <w:sz w:val="22"/>
              </w:rPr>
            </w:pPr>
          </w:p>
        </w:tc>
        <w:tc>
          <w:tcPr>
            <w:tcW w:w="880" w:type="dxa"/>
            <w:shd w:val="clear" w:color="auto" w:fill="auto"/>
            <w:vAlign w:val="bottom"/>
          </w:tcPr>
          <w:p w14:paraId="3C2FD63F" w14:textId="77777777" w:rsidR="00A52778" w:rsidRPr="00B568BE" w:rsidRDefault="00A52778" w:rsidP="00FC3F8E">
            <w:pPr>
              <w:spacing w:line="0" w:lineRule="atLeast"/>
              <w:rPr>
                <w:rFonts w:eastAsia="Times New Roman" w:cs="Times New Roman"/>
                <w:b/>
                <w:sz w:val="22"/>
              </w:rPr>
            </w:pPr>
          </w:p>
        </w:tc>
        <w:tc>
          <w:tcPr>
            <w:tcW w:w="320" w:type="dxa"/>
            <w:tcBorders>
              <w:right w:val="single" w:sz="8" w:space="0" w:color="auto"/>
            </w:tcBorders>
            <w:shd w:val="clear" w:color="auto" w:fill="auto"/>
            <w:vAlign w:val="bottom"/>
          </w:tcPr>
          <w:p w14:paraId="123B0D39" w14:textId="77777777" w:rsidR="00A52778" w:rsidRPr="00B568BE" w:rsidRDefault="00A52778" w:rsidP="00FC3F8E">
            <w:pPr>
              <w:spacing w:line="0" w:lineRule="atLeast"/>
              <w:rPr>
                <w:rFonts w:eastAsia="Times New Roman" w:cs="Times New Roman"/>
                <w:b/>
                <w:sz w:val="22"/>
              </w:rPr>
            </w:pPr>
          </w:p>
        </w:tc>
        <w:tc>
          <w:tcPr>
            <w:tcW w:w="520" w:type="dxa"/>
            <w:shd w:val="clear" w:color="auto" w:fill="auto"/>
            <w:vAlign w:val="bottom"/>
          </w:tcPr>
          <w:p w14:paraId="7E77117B" w14:textId="77777777" w:rsidR="00A52778" w:rsidRPr="00B568BE" w:rsidRDefault="00A52778" w:rsidP="00FC3F8E">
            <w:pPr>
              <w:spacing w:line="0" w:lineRule="atLeast"/>
              <w:rPr>
                <w:rFonts w:eastAsia="Times New Roman" w:cs="Times New Roman"/>
                <w:b/>
                <w:sz w:val="22"/>
              </w:rPr>
            </w:pPr>
          </w:p>
        </w:tc>
        <w:tc>
          <w:tcPr>
            <w:tcW w:w="1280" w:type="dxa"/>
            <w:shd w:val="clear" w:color="auto" w:fill="auto"/>
            <w:vAlign w:val="center"/>
          </w:tcPr>
          <w:p w14:paraId="38E68A5A" w14:textId="77777777" w:rsidR="00A52778" w:rsidRPr="00B568BE" w:rsidRDefault="00A52778" w:rsidP="00FC3F8E">
            <w:pPr>
              <w:spacing w:line="0" w:lineRule="atLeast"/>
              <w:ind w:right="80"/>
              <w:rPr>
                <w:rFonts w:eastAsia="Times New Roman" w:cs="Times New Roman"/>
                <w:b/>
                <w:sz w:val="22"/>
              </w:rPr>
            </w:pPr>
            <w:r w:rsidRPr="00B568BE">
              <w:rPr>
                <w:rFonts w:eastAsia="Times New Roman" w:cs="Times New Roman"/>
                <w:sz w:val="22"/>
              </w:rPr>
              <w:t>&lt; 0,6</w:t>
            </w:r>
          </w:p>
        </w:tc>
        <w:tc>
          <w:tcPr>
            <w:tcW w:w="380" w:type="dxa"/>
            <w:tcBorders>
              <w:right w:val="single" w:sz="8" w:space="0" w:color="auto"/>
            </w:tcBorders>
            <w:shd w:val="clear" w:color="auto" w:fill="auto"/>
            <w:vAlign w:val="bottom"/>
          </w:tcPr>
          <w:p w14:paraId="7F568378" w14:textId="77777777" w:rsidR="00A52778" w:rsidRPr="00460F9E" w:rsidRDefault="00A52778" w:rsidP="00FC3F8E">
            <w:pPr>
              <w:spacing w:line="0" w:lineRule="atLeast"/>
              <w:rPr>
                <w:rFonts w:eastAsia="Times New Roman" w:cs="Times New Roman"/>
                <w:b/>
                <w:sz w:val="23"/>
              </w:rPr>
            </w:pPr>
          </w:p>
        </w:tc>
      </w:tr>
      <w:tr w:rsidR="00A52778" w:rsidRPr="00460F9E" w14:paraId="7FAAF66A" w14:textId="77777777" w:rsidTr="00FC3F8E">
        <w:trPr>
          <w:trHeight w:val="66"/>
        </w:trPr>
        <w:tc>
          <w:tcPr>
            <w:tcW w:w="380" w:type="dxa"/>
            <w:tcBorders>
              <w:left w:val="single" w:sz="8" w:space="0" w:color="auto"/>
              <w:bottom w:val="single" w:sz="8" w:space="0" w:color="auto"/>
            </w:tcBorders>
            <w:shd w:val="clear" w:color="auto" w:fill="auto"/>
            <w:vAlign w:val="bottom"/>
          </w:tcPr>
          <w:p w14:paraId="2715B97B" w14:textId="77777777" w:rsidR="00A52778" w:rsidRPr="00460F9E" w:rsidRDefault="00A52778" w:rsidP="00FC3F8E">
            <w:pPr>
              <w:spacing w:line="0" w:lineRule="atLeast"/>
              <w:rPr>
                <w:rFonts w:eastAsia="Times New Roman" w:cs="Times New Roman"/>
                <w:b/>
                <w:sz w:val="5"/>
              </w:rPr>
            </w:pPr>
          </w:p>
        </w:tc>
        <w:tc>
          <w:tcPr>
            <w:tcW w:w="1980" w:type="dxa"/>
            <w:gridSpan w:val="6"/>
            <w:tcBorders>
              <w:bottom w:val="single" w:sz="8" w:space="0" w:color="auto"/>
              <w:right w:val="single" w:sz="8" w:space="0" w:color="auto"/>
            </w:tcBorders>
            <w:shd w:val="clear" w:color="auto" w:fill="auto"/>
            <w:vAlign w:val="bottom"/>
          </w:tcPr>
          <w:p w14:paraId="07795BE2" w14:textId="77777777" w:rsidR="00A52778" w:rsidRPr="00B568BE" w:rsidRDefault="00A52778" w:rsidP="00FC3F8E">
            <w:pPr>
              <w:spacing w:line="0" w:lineRule="atLeast"/>
              <w:rPr>
                <w:rFonts w:eastAsia="Times New Roman" w:cs="Times New Roman"/>
                <w:b/>
                <w:sz w:val="22"/>
              </w:rPr>
            </w:pPr>
          </w:p>
        </w:tc>
        <w:tc>
          <w:tcPr>
            <w:tcW w:w="4220" w:type="dxa"/>
            <w:gridSpan w:val="7"/>
            <w:tcBorders>
              <w:bottom w:val="single" w:sz="8" w:space="0" w:color="auto"/>
              <w:right w:val="single" w:sz="8" w:space="0" w:color="auto"/>
            </w:tcBorders>
            <w:shd w:val="clear" w:color="auto" w:fill="auto"/>
            <w:vAlign w:val="bottom"/>
          </w:tcPr>
          <w:p w14:paraId="55C6A96B" w14:textId="77777777" w:rsidR="00A52778" w:rsidRPr="00B568BE" w:rsidRDefault="00A52778" w:rsidP="00FC3F8E">
            <w:pPr>
              <w:spacing w:line="0" w:lineRule="atLeast"/>
              <w:rPr>
                <w:rFonts w:eastAsia="Times New Roman" w:cs="Times New Roman"/>
                <w:b/>
                <w:sz w:val="22"/>
              </w:rPr>
            </w:pPr>
          </w:p>
        </w:tc>
        <w:tc>
          <w:tcPr>
            <w:tcW w:w="1800" w:type="dxa"/>
            <w:gridSpan w:val="2"/>
            <w:tcBorders>
              <w:bottom w:val="single" w:sz="8" w:space="0" w:color="auto"/>
            </w:tcBorders>
            <w:shd w:val="clear" w:color="auto" w:fill="auto"/>
            <w:vAlign w:val="bottom"/>
          </w:tcPr>
          <w:p w14:paraId="415E502D" w14:textId="77777777" w:rsidR="00A52778" w:rsidRPr="00B568BE" w:rsidRDefault="00A52778" w:rsidP="00FC3F8E">
            <w:pPr>
              <w:spacing w:line="0" w:lineRule="atLeast"/>
              <w:rPr>
                <w:rFonts w:eastAsia="Times New Roman" w:cs="Times New Roman"/>
                <w:b/>
                <w:sz w:val="22"/>
              </w:rPr>
            </w:pPr>
          </w:p>
        </w:tc>
        <w:tc>
          <w:tcPr>
            <w:tcW w:w="380" w:type="dxa"/>
            <w:tcBorders>
              <w:bottom w:val="single" w:sz="8" w:space="0" w:color="auto"/>
              <w:right w:val="single" w:sz="8" w:space="0" w:color="auto"/>
            </w:tcBorders>
            <w:shd w:val="clear" w:color="auto" w:fill="auto"/>
            <w:vAlign w:val="bottom"/>
          </w:tcPr>
          <w:p w14:paraId="5A36B42D" w14:textId="77777777" w:rsidR="00A52778" w:rsidRPr="00460F9E" w:rsidRDefault="00A52778" w:rsidP="00FC3F8E">
            <w:pPr>
              <w:spacing w:line="0" w:lineRule="atLeast"/>
              <w:rPr>
                <w:rFonts w:eastAsia="Times New Roman" w:cs="Times New Roman"/>
                <w:b/>
                <w:sz w:val="5"/>
              </w:rPr>
            </w:pPr>
          </w:p>
        </w:tc>
      </w:tr>
      <w:tr w:rsidR="00A52778" w:rsidRPr="00460F9E" w14:paraId="3449245D" w14:textId="77777777" w:rsidTr="00FC3F8E">
        <w:trPr>
          <w:trHeight w:val="193"/>
        </w:trPr>
        <w:tc>
          <w:tcPr>
            <w:tcW w:w="380" w:type="dxa"/>
            <w:tcBorders>
              <w:left w:val="single" w:sz="8" w:space="0" w:color="auto"/>
            </w:tcBorders>
            <w:shd w:val="clear" w:color="auto" w:fill="auto"/>
            <w:vAlign w:val="bottom"/>
          </w:tcPr>
          <w:p w14:paraId="5CBC3911" w14:textId="77777777" w:rsidR="00A52778" w:rsidRPr="00460F9E" w:rsidRDefault="00A52778" w:rsidP="00FC3F8E">
            <w:pPr>
              <w:spacing w:line="193" w:lineRule="exact"/>
              <w:ind w:left="100"/>
              <w:rPr>
                <w:rFonts w:eastAsia="Times New Roman" w:cs="Times New Roman"/>
                <w:b/>
                <w:sz w:val="17"/>
              </w:rPr>
            </w:pPr>
            <w:r w:rsidRPr="00460F9E">
              <w:rPr>
                <w:rFonts w:eastAsia="Times New Roman" w:cs="Times New Roman"/>
                <w:sz w:val="17"/>
              </w:rPr>
              <w:t>(</w:t>
            </w:r>
            <w:r w:rsidRPr="00460F9E">
              <w:rPr>
                <w:rFonts w:eastAsia="Times New Roman" w:cs="Times New Roman"/>
                <w:vertAlign w:val="superscript"/>
              </w:rPr>
              <w:t>1</w:t>
            </w:r>
            <w:r w:rsidRPr="00460F9E">
              <w:rPr>
                <w:rFonts w:eastAsia="Times New Roman" w:cs="Times New Roman"/>
                <w:sz w:val="17"/>
              </w:rPr>
              <w:t>)</w:t>
            </w:r>
          </w:p>
        </w:tc>
        <w:tc>
          <w:tcPr>
            <w:tcW w:w="8000" w:type="dxa"/>
            <w:gridSpan w:val="15"/>
            <w:shd w:val="clear" w:color="auto" w:fill="auto"/>
            <w:vAlign w:val="bottom"/>
          </w:tcPr>
          <w:p w14:paraId="3BE6250E" w14:textId="77777777" w:rsidR="00A52778" w:rsidRPr="00460F9E" w:rsidRDefault="00A52778" w:rsidP="00FC3F8E">
            <w:pPr>
              <w:spacing w:line="194" w:lineRule="exact"/>
              <w:ind w:left="20"/>
              <w:rPr>
                <w:rFonts w:eastAsia="Times New Roman" w:cs="Times New Roman"/>
                <w:b/>
                <w:sz w:val="18"/>
              </w:rPr>
            </w:pPr>
            <w:r w:rsidRPr="00460F9E">
              <w:rPr>
                <w:rFonts w:eastAsia="Times New Roman" w:cs="Times New Roman"/>
                <w:sz w:val="18"/>
              </w:rPr>
              <w:t>MET-AEL aralığının alt ucu tipik olarak gaz fazı polimerizasyon süreci ile ilişkilidir.</w:t>
            </w:r>
          </w:p>
        </w:tc>
        <w:tc>
          <w:tcPr>
            <w:tcW w:w="380" w:type="dxa"/>
            <w:tcBorders>
              <w:right w:val="single" w:sz="8" w:space="0" w:color="auto"/>
            </w:tcBorders>
            <w:shd w:val="clear" w:color="auto" w:fill="auto"/>
            <w:vAlign w:val="bottom"/>
          </w:tcPr>
          <w:p w14:paraId="072868CD" w14:textId="77777777" w:rsidR="00A52778" w:rsidRPr="00460F9E" w:rsidRDefault="00A52778" w:rsidP="00FC3F8E">
            <w:pPr>
              <w:spacing w:line="0" w:lineRule="atLeast"/>
              <w:rPr>
                <w:rFonts w:eastAsia="Times New Roman" w:cs="Times New Roman"/>
                <w:b/>
                <w:sz w:val="16"/>
              </w:rPr>
            </w:pPr>
          </w:p>
        </w:tc>
      </w:tr>
      <w:tr w:rsidR="00A52778" w:rsidRPr="00460F9E" w14:paraId="1378ED40" w14:textId="77777777" w:rsidTr="00FC3F8E">
        <w:trPr>
          <w:trHeight w:val="213"/>
        </w:trPr>
        <w:tc>
          <w:tcPr>
            <w:tcW w:w="380" w:type="dxa"/>
            <w:tcBorders>
              <w:left w:val="single" w:sz="8" w:space="0" w:color="auto"/>
            </w:tcBorders>
            <w:shd w:val="clear" w:color="auto" w:fill="auto"/>
            <w:vAlign w:val="bottom"/>
          </w:tcPr>
          <w:p w14:paraId="7504DDD9" w14:textId="77777777" w:rsidR="00A52778" w:rsidRPr="00460F9E" w:rsidRDefault="00A52778" w:rsidP="00FC3F8E">
            <w:pPr>
              <w:spacing w:line="213" w:lineRule="exact"/>
              <w:ind w:left="100"/>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2</w:t>
            </w:r>
            <w:r w:rsidRPr="00460F9E">
              <w:rPr>
                <w:rFonts w:eastAsia="Times New Roman" w:cs="Times New Roman"/>
                <w:sz w:val="18"/>
              </w:rPr>
              <w:t>)</w:t>
            </w:r>
          </w:p>
        </w:tc>
        <w:tc>
          <w:tcPr>
            <w:tcW w:w="8380" w:type="dxa"/>
            <w:gridSpan w:val="16"/>
            <w:vMerge w:val="restart"/>
            <w:tcBorders>
              <w:right w:val="single" w:sz="8" w:space="0" w:color="auto"/>
            </w:tcBorders>
            <w:shd w:val="clear" w:color="auto" w:fill="auto"/>
            <w:vAlign w:val="bottom"/>
          </w:tcPr>
          <w:p w14:paraId="56BFB468" w14:textId="77777777" w:rsidR="00A52778" w:rsidRPr="00460F9E" w:rsidRDefault="00A52778" w:rsidP="00FC3F8E">
            <w:pPr>
              <w:spacing w:line="0" w:lineRule="atLeast"/>
              <w:rPr>
                <w:rFonts w:eastAsia="Times New Roman" w:cs="Times New Roman"/>
                <w:b/>
                <w:sz w:val="18"/>
              </w:rPr>
            </w:pPr>
            <w:r w:rsidRPr="00460F9E">
              <w:rPr>
                <w:rFonts w:eastAsia="Times New Roman" w:cs="Times New Roman"/>
                <w:sz w:val="18"/>
              </w:rPr>
              <w:t>MET-AEL aralığının üst ucu daha yüksek olabilir ve EVA veya diğer kopolimerlerin (örneğin etil akrilat kopolimerleri) üretimi durumunda 2,7 g C/kg' a kadar çıkabilir.</w:t>
            </w:r>
          </w:p>
        </w:tc>
      </w:tr>
      <w:tr w:rsidR="00A52778" w:rsidRPr="00460F9E" w14:paraId="64DDBB0D" w14:textId="77777777" w:rsidTr="00FC3F8E">
        <w:trPr>
          <w:trHeight w:val="197"/>
        </w:trPr>
        <w:tc>
          <w:tcPr>
            <w:tcW w:w="380" w:type="dxa"/>
            <w:tcBorders>
              <w:left w:val="single" w:sz="8" w:space="0" w:color="auto"/>
            </w:tcBorders>
            <w:shd w:val="clear" w:color="auto" w:fill="auto"/>
            <w:vAlign w:val="bottom"/>
          </w:tcPr>
          <w:p w14:paraId="21326035" w14:textId="77777777" w:rsidR="00A52778" w:rsidRPr="00460F9E" w:rsidRDefault="00A52778" w:rsidP="00FC3F8E">
            <w:pPr>
              <w:spacing w:line="0" w:lineRule="atLeast"/>
              <w:rPr>
                <w:rFonts w:eastAsia="Times New Roman" w:cs="Times New Roman"/>
                <w:b/>
                <w:sz w:val="17"/>
              </w:rPr>
            </w:pPr>
          </w:p>
        </w:tc>
        <w:tc>
          <w:tcPr>
            <w:tcW w:w="8380" w:type="dxa"/>
            <w:gridSpan w:val="16"/>
            <w:vMerge/>
            <w:tcBorders>
              <w:right w:val="single" w:sz="8" w:space="0" w:color="auto"/>
            </w:tcBorders>
            <w:shd w:val="clear" w:color="auto" w:fill="auto"/>
            <w:vAlign w:val="bottom"/>
          </w:tcPr>
          <w:p w14:paraId="24A18E53" w14:textId="77777777" w:rsidR="00A52778" w:rsidRPr="00460F9E" w:rsidRDefault="00A52778" w:rsidP="00FC3F8E">
            <w:pPr>
              <w:spacing w:line="0" w:lineRule="atLeast"/>
              <w:rPr>
                <w:rFonts w:eastAsia="Times New Roman" w:cs="Times New Roman"/>
                <w:b/>
                <w:sz w:val="17"/>
              </w:rPr>
            </w:pPr>
          </w:p>
        </w:tc>
      </w:tr>
      <w:tr w:rsidR="00A52778" w:rsidRPr="00460F9E" w14:paraId="51E49799" w14:textId="77777777" w:rsidTr="00FC3F8E">
        <w:trPr>
          <w:trHeight w:val="218"/>
        </w:trPr>
        <w:tc>
          <w:tcPr>
            <w:tcW w:w="380" w:type="dxa"/>
            <w:tcBorders>
              <w:left w:val="single" w:sz="8" w:space="0" w:color="auto"/>
            </w:tcBorders>
            <w:shd w:val="clear" w:color="auto" w:fill="auto"/>
            <w:vAlign w:val="bottom"/>
          </w:tcPr>
          <w:p w14:paraId="295DC4B4" w14:textId="77777777" w:rsidR="00A52778" w:rsidRPr="00460F9E" w:rsidRDefault="00A52778" w:rsidP="00FC3F8E">
            <w:pPr>
              <w:spacing w:line="218" w:lineRule="exact"/>
              <w:ind w:left="100"/>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3</w:t>
            </w:r>
            <w:r w:rsidRPr="00460F9E">
              <w:rPr>
                <w:rFonts w:eastAsia="Times New Roman" w:cs="Times New Roman"/>
                <w:sz w:val="18"/>
              </w:rPr>
              <w:t>)</w:t>
            </w:r>
          </w:p>
        </w:tc>
        <w:tc>
          <w:tcPr>
            <w:tcW w:w="8380" w:type="dxa"/>
            <w:gridSpan w:val="16"/>
            <w:vMerge w:val="restart"/>
            <w:tcBorders>
              <w:right w:val="single" w:sz="8" w:space="0" w:color="auto"/>
            </w:tcBorders>
            <w:shd w:val="clear" w:color="auto" w:fill="auto"/>
            <w:vAlign w:val="bottom"/>
          </w:tcPr>
          <w:p w14:paraId="0D500536" w14:textId="77777777" w:rsidR="00A52778" w:rsidRPr="00460F9E" w:rsidRDefault="00A52778" w:rsidP="00FC3F8E">
            <w:pPr>
              <w:spacing w:line="0" w:lineRule="atLeast"/>
              <w:rPr>
                <w:rFonts w:eastAsia="Times New Roman" w:cs="Times New Roman"/>
                <w:b/>
                <w:sz w:val="18"/>
              </w:rPr>
            </w:pPr>
            <w:r w:rsidRPr="00460F9E">
              <w:rPr>
                <w:rFonts w:eastAsia="Times New Roman" w:cs="Times New Roman"/>
                <w:sz w:val="18"/>
              </w:rPr>
              <w:t>MET-AEL aralığının üst sınırı, aşağıdaki koşulların her ikisinin de karşılanması halinde daha yüksek olabilir ve    4,7 g C/kg' a kadar çıkabilir:</w:t>
            </w:r>
          </w:p>
        </w:tc>
      </w:tr>
      <w:tr w:rsidR="00A52778" w:rsidRPr="00460F9E" w14:paraId="0B7C3BE8" w14:textId="77777777" w:rsidTr="00FC3F8E">
        <w:trPr>
          <w:trHeight w:val="197"/>
        </w:trPr>
        <w:tc>
          <w:tcPr>
            <w:tcW w:w="380" w:type="dxa"/>
            <w:tcBorders>
              <w:left w:val="single" w:sz="8" w:space="0" w:color="auto"/>
            </w:tcBorders>
            <w:shd w:val="clear" w:color="auto" w:fill="auto"/>
            <w:vAlign w:val="bottom"/>
          </w:tcPr>
          <w:p w14:paraId="49989E26" w14:textId="77777777" w:rsidR="00A52778" w:rsidRPr="00460F9E" w:rsidRDefault="00A52778" w:rsidP="00FC3F8E">
            <w:pPr>
              <w:spacing w:line="0" w:lineRule="atLeast"/>
              <w:rPr>
                <w:rFonts w:eastAsia="Times New Roman" w:cs="Times New Roman"/>
                <w:b/>
                <w:sz w:val="17"/>
              </w:rPr>
            </w:pPr>
          </w:p>
        </w:tc>
        <w:tc>
          <w:tcPr>
            <w:tcW w:w="8380" w:type="dxa"/>
            <w:gridSpan w:val="16"/>
            <w:vMerge/>
            <w:tcBorders>
              <w:right w:val="single" w:sz="8" w:space="0" w:color="auto"/>
            </w:tcBorders>
            <w:shd w:val="clear" w:color="auto" w:fill="auto"/>
            <w:vAlign w:val="bottom"/>
          </w:tcPr>
          <w:p w14:paraId="7EF80246" w14:textId="77777777" w:rsidR="00A52778" w:rsidRPr="00460F9E" w:rsidRDefault="00A52778" w:rsidP="00FC3F8E">
            <w:pPr>
              <w:spacing w:line="0" w:lineRule="atLeast"/>
              <w:rPr>
                <w:rFonts w:eastAsia="Times New Roman" w:cs="Times New Roman"/>
                <w:b/>
                <w:sz w:val="17"/>
              </w:rPr>
            </w:pPr>
          </w:p>
        </w:tc>
      </w:tr>
      <w:tr w:rsidR="00A52778" w:rsidRPr="00460F9E" w14:paraId="301F523C" w14:textId="77777777" w:rsidTr="00FC3F8E">
        <w:trPr>
          <w:trHeight w:val="209"/>
        </w:trPr>
        <w:tc>
          <w:tcPr>
            <w:tcW w:w="380" w:type="dxa"/>
            <w:tcBorders>
              <w:left w:val="single" w:sz="8" w:space="0" w:color="auto"/>
            </w:tcBorders>
            <w:shd w:val="clear" w:color="auto" w:fill="auto"/>
            <w:vAlign w:val="bottom"/>
          </w:tcPr>
          <w:p w14:paraId="3812EC27" w14:textId="77777777" w:rsidR="00A52778" w:rsidRPr="00460F9E" w:rsidRDefault="00A52778" w:rsidP="00FC3F8E">
            <w:pPr>
              <w:spacing w:line="0" w:lineRule="atLeast"/>
              <w:rPr>
                <w:rFonts w:eastAsia="Times New Roman" w:cs="Times New Roman"/>
                <w:b/>
                <w:sz w:val="18"/>
              </w:rPr>
            </w:pPr>
          </w:p>
        </w:tc>
        <w:tc>
          <w:tcPr>
            <w:tcW w:w="80" w:type="dxa"/>
            <w:shd w:val="clear" w:color="auto" w:fill="auto"/>
            <w:vAlign w:val="bottom"/>
          </w:tcPr>
          <w:p w14:paraId="48FA68D6" w14:textId="77777777" w:rsidR="00A52778" w:rsidRPr="00460F9E" w:rsidRDefault="00A52778" w:rsidP="00FC3F8E">
            <w:pPr>
              <w:spacing w:line="0" w:lineRule="atLeast"/>
              <w:ind w:left="20"/>
              <w:rPr>
                <w:rFonts w:eastAsia="Arial" w:cs="Times New Roman"/>
                <w:b/>
                <w:w w:val="70"/>
                <w:sz w:val="16"/>
              </w:rPr>
            </w:pPr>
            <w:r w:rsidRPr="00460F9E">
              <w:rPr>
                <w:rFonts w:eastAsia="Arial" w:cs="Times New Roman"/>
                <w:w w:val="70"/>
                <w:sz w:val="16"/>
              </w:rPr>
              <w:t>•</w:t>
            </w:r>
          </w:p>
        </w:tc>
        <w:tc>
          <w:tcPr>
            <w:tcW w:w="3180" w:type="dxa"/>
            <w:gridSpan w:val="7"/>
            <w:shd w:val="clear" w:color="auto" w:fill="auto"/>
            <w:vAlign w:val="bottom"/>
          </w:tcPr>
          <w:p w14:paraId="4994BD52" w14:textId="77777777" w:rsidR="00A52778" w:rsidRPr="00460F9E" w:rsidRDefault="00A52778" w:rsidP="00FC3F8E">
            <w:pPr>
              <w:spacing w:line="0" w:lineRule="atLeast"/>
              <w:ind w:left="80"/>
              <w:rPr>
                <w:rFonts w:eastAsia="Times New Roman" w:cs="Times New Roman"/>
                <w:b/>
                <w:sz w:val="18"/>
              </w:rPr>
            </w:pPr>
            <w:r w:rsidRPr="00460F9E">
              <w:rPr>
                <w:rFonts w:eastAsia="Times New Roman" w:cs="Times New Roman"/>
                <w:sz w:val="18"/>
              </w:rPr>
              <w:t>termal oksidasyon uygulanamaz;</w:t>
            </w:r>
          </w:p>
        </w:tc>
        <w:tc>
          <w:tcPr>
            <w:tcW w:w="400" w:type="dxa"/>
            <w:shd w:val="clear" w:color="auto" w:fill="auto"/>
            <w:vAlign w:val="bottom"/>
          </w:tcPr>
          <w:p w14:paraId="6A2FDBFC" w14:textId="77777777" w:rsidR="00A52778" w:rsidRPr="00460F9E" w:rsidRDefault="00A52778" w:rsidP="00FC3F8E">
            <w:pPr>
              <w:spacing w:line="0" w:lineRule="atLeast"/>
              <w:rPr>
                <w:rFonts w:eastAsia="Times New Roman" w:cs="Times New Roman"/>
                <w:b/>
                <w:sz w:val="18"/>
              </w:rPr>
            </w:pPr>
          </w:p>
        </w:tc>
        <w:tc>
          <w:tcPr>
            <w:tcW w:w="660" w:type="dxa"/>
            <w:shd w:val="clear" w:color="auto" w:fill="auto"/>
            <w:vAlign w:val="bottom"/>
          </w:tcPr>
          <w:p w14:paraId="491753A6" w14:textId="77777777" w:rsidR="00A52778" w:rsidRPr="00460F9E" w:rsidRDefault="00A52778" w:rsidP="00FC3F8E">
            <w:pPr>
              <w:spacing w:line="0" w:lineRule="atLeast"/>
              <w:rPr>
                <w:rFonts w:eastAsia="Times New Roman" w:cs="Times New Roman"/>
                <w:b/>
                <w:sz w:val="18"/>
              </w:rPr>
            </w:pPr>
          </w:p>
        </w:tc>
        <w:tc>
          <w:tcPr>
            <w:tcW w:w="680" w:type="dxa"/>
            <w:shd w:val="clear" w:color="auto" w:fill="auto"/>
            <w:vAlign w:val="bottom"/>
          </w:tcPr>
          <w:p w14:paraId="1EF0DFDF" w14:textId="77777777" w:rsidR="00A52778" w:rsidRPr="00460F9E" w:rsidRDefault="00A52778" w:rsidP="00FC3F8E">
            <w:pPr>
              <w:spacing w:line="0" w:lineRule="atLeast"/>
              <w:rPr>
                <w:rFonts w:eastAsia="Times New Roman" w:cs="Times New Roman"/>
                <w:b/>
                <w:sz w:val="18"/>
              </w:rPr>
            </w:pPr>
          </w:p>
        </w:tc>
        <w:tc>
          <w:tcPr>
            <w:tcW w:w="880" w:type="dxa"/>
            <w:shd w:val="clear" w:color="auto" w:fill="auto"/>
            <w:vAlign w:val="bottom"/>
          </w:tcPr>
          <w:p w14:paraId="19C93C50" w14:textId="77777777" w:rsidR="00A52778" w:rsidRPr="00460F9E" w:rsidRDefault="00A52778" w:rsidP="00FC3F8E">
            <w:pPr>
              <w:spacing w:line="0" w:lineRule="atLeast"/>
              <w:rPr>
                <w:rFonts w:eastAsia="Times New Roman" w:cs="Times New Roman"/>
                <w:b/>
                <w:sz w:val="18"/>
              </w:rPr>
            </w:pPr>
          </w:p>
        </w:tc>
        <w:tc>
          <w:tcPr>
            <w:tcW w:w="320" w:type="dxa"/>
            <w:shd w:val="clear" w:color="auto" w:fill="auto"/>
            <w:vAlign w:val="bottom"/>
          </w:tcPr>
          <w:p w14:paraId="581B9BC8" w14:textId="77777777" w:rsidR="00A52778" w:rsidRPr="00460F9E" w:rsidRDefault="00A52778" w:rsidP="00FC3F8E">
            <w:pPr>
              <w:spacing w:line="0" w:lineRule="atLeast"/>
              <w:rPr>
                <w:rFonts w:eastAsia="Times New Roman" w:cs="Times New Roman"/>
                <w:b/>
                <w:sz w:val="18"/>
              </w:rPr>
            </w:pPr>
          </w:p>
        </w:tc>
        <w:tc>
          <w:tcPr>
            <w:tcW w:w="520" w:type="dxa"/>
            <w:shd w:val="clear" w:color="auto" w:fill="auto"/>
            <w:vAlign w:val="bottom"/>
          </w:tcPr>
          <w:p w14:paraId="363435E0" w14:textId="77777777" w:rsidR="00A52778" w:rsidRPr="00460F9E" w:rsidRDefault="00A52778" w:rsidP="00FC3F8E">
            <w:pPr>
              <w:spacing w:line="0" w:lineRule="atLeast"/>
              <w:rPr>
                <w:rFonts w:eastAsia="Times New Roman" w:cs="Times New Roman"/>
                <w:b/>
                <w:sz w:val="18"/>
              </w:rPr>
            </w:pPr>
          </w:p>
        </w:tc>
        <w:tc>
          <w:tcPr>
            <w:tcW w:w="1280" w:type="dxa"/>
            <w:shd w:val="clear" w:color="auto" w:fill="auto"/>
            <w:vAlign w:val="bottom"/>
          </w:tcPr>
          <w:p w14:paraId="0C03B3A3" w14:textId="77777777" w:rsidR="00A52778" w:rsidRPr="00460F9E" w:rsidRDefault="00A52778" w:rsidP="00FC3F8E">
            <w:pPr>
              <w:spacing w:line="0" w:lineRule="atLeast"/>
              <w:rPr>
                <w:rFonts w:eastAsia="Times New Roman" w:cs="Times New Roman"/>
                <w:b/>
                <w:sz w:val="18"/>
              </w:rPr>
            </w:pPr>
          </w:p>
        </w:tc>
        <w:tc>
          <w:tcPr>
            <w:tcW w:w="380" w:type="dxa"/>
            <w:tcBorders>
              <w:right w:val="single" w:sz="8" w:space="0" w:color="auto"/>
            </w:tcBorders>
            <w:shd w:val="clear" w:color="auto" w:fill="auto"/>
            <w:vAlign w:val="bottom"/>
          </w:tcPr>
          <w:p w14:paraId="050F1EDA" w14:textId="77777777" w:rsidR="00A52778" w:rsidRPr="00460F9E" w:rsidRDefault="00A52778" w:rsidP="00FC3F8E">
            <w:pPr>
              <w:spacing w:line="0" w:lineRule="atLeast"/>
              <w:rPr>
                <w:rFonts w:eastAsia="Times New Roman" w:cs="Times New Roman"/>
                <w:b/>
                <w:sz w:val="18"/>
              </w:rPr>
            </w:pPr>
          </w:p>
        </w:tc>
      </w:tr>
      <w:tr w:rsidR="00A52778" w:rsidRPr="00460F9E" w14:paraId="69F2264D" w14:textId="77777777" w:rsidTr="00FC3F8E">
        <w:trPr>
          <w:trHeight w:val="209"/>
        </w:trPr>
        <w:tc>
          <w:tcPr>
            <w:tcW w:w="380" w:type="dxa"/>
            <w:tcBorders>
              <w:left w:val="single" w:sz="8" w:space="0" w:color="auto"/>
              <w:bottom w:val="single" w:sz="8" w:space="0" w:color="auto"/>
            </w:tcBorders>
            <w:shd w:val="clear" w:color="auto" w:fill="auto"/>
            <w:vAlign w:val="bottom"/>
          </w:tcPr>
          <w:p w14:paraId="3CA294C0" w14:textId="77777777" w:rsidR="00A52778" w:rsidRPr="00460F9E" w:rsidRDefault="00A52778" w:rsidP="00FC3F8E">
            <w:pPr>
              <w:spacing w:line="0" w:lineRule="atLeast"/>
              <w:rPr>
                <w:rFonts w:eastAsia="Times New Roman" w:cs="Times New Roman"/>
                <w:b/>
                <w:sz w:val="18"/>
              </w:rPr>
            </w:pPr>
          </w:p>
        </w:tc>
        <w:tc>
          <w:tcPr>
            <w:tcW w:w="80" w:type="dxa"/>
            <w:tcBorders>
              <w:bottom w:val="single" w:sz="8" w:space="0" w:color="auto"/>
            </w:tcBorders>
            <w:shd w:val="clear" w:color="auto" w:fill="auto"/>
            <w:vAlign w:val="bottom"/>
          </w:tcPr>
          <w:p w14:paraId="44315221" w14:textId="77777777" w:rsidR="00A52778" w:rsidRPr="00460F9E" w:rsidRDefault="00A52778" w:rsidP="00FC3F8E">
            <w:pPr>
              <w:spacing w:line="0" w:lineRule="atLeast"/>
              <w:ind w:left="20"/>
              <w:rPr>
                <w:rFonts w:eastAsia="Arial" w:cs="Times New Roman"/>
                <w:b/>
                <w:w w:val="70"/>
                <w:sz w:val="16"/>
              </w:rPr>
            </w:pPr>
            <w:r w:rsidRPr="00460F9E">
              <w:rPr>
                <w:rFonts w:eastAsia="Arial" w:cs="Times New Roman"/>
                <w:w w:val="70"/>
                <w:sz w:val="16"/>
              </w:rPr>
              <w:t>•</w:t>
            </w:r>
          </w:p>
        </w:tc>
        <w:tc>
          <w:tcPr>
            <w:tcW w:w="7920" w:type="dxa"/>
            <w:gridSpan w:val="14"/>
            <w:tcBorders>
              <w:bottom w:val="single" w:sz="8" w:space="0" w:color="auto"/>
            </w:tcBorders>
            <w:shd w:val="clear" w:color="auto" w:fill="auto"/>
            <w:vAlign w:val="bottom"/>
          </w:tcPr>
          <w:p w14:paraId="3328A7A9" w14:textId="77777777" w:rsidR="00A52778" w:rsidRPr="00460F9E" w:rsidRDefault="00A52778" w:rsidP="00FC3F8E">
            <w:pPr>
              <w:spacing w:line="0" w:lineRule="atLeast"/>
              <w:rPr>
                <w:rFonts w:eastAsia="Times New Roman" w:cs="Times New Roman"/>
                <w:b/>
                <w:sz w:val="18"/>
              </w:rPr>
            </w:pPr>
            <w:r w:rsidRPr="00460F9E">
              <w:rPr>
                <w:rFonts w:eastAsia="Times New Roman" w:cs="Times New Roman"/>
                <w:sz w:val="18"/>
              </w:rPr>
              <w:t>EVA veya diğer kopolimerler (örneğin etil akrilat kopolimerleri) üretilir.</w:t>
            </w:r>
          </w:p>
        </w:tc>
        <w:tc>
          <w:tcPr>
            <w:tcW w:w="380" w:type="dxa"/>
            <w:tcBorders>
              <w:bottom w:val="single" w:sz="8" w:space="0" w:color="auto"/>
              <w:right w:val="single" w:sz="8" w:space="0" w:color="auto"/>
            </w:tcBorders>
            <w:shd w:val="clear" w:color="auto" w:fill="auto"/>
            <w:vAlign w:val="bottom"/>
          </w:tcPr>
          <w:p w14:paraId="39B4D8E9" w14:textId="77777777" w:rsidR="00A52778" w:rsidRPr="00460F9E" w:rsidRDefault="00A52778" w:rsidP="00FC3F8E">
            <w:pPr>
              <w:spacing w:line="0" w:lineRule="atLeast"/>
              <w:rPr>
                <w:rFonts w:eastAsia="Times New Roman" w:cs="Times New Roman"/>
                <w:b/>
                <w:sz w:val="18"/>
              </w:rPr>
            </w:pPr>
          </w:p>
        </w:tc>
      </w:tr>
    </w:tbl>
    <w:p w14:paraId="09B45901" w14:textId="77777777" w:rsidR="00A52778" w:rsidRPr="00460F9E" w:rsidRDefault="00A52778" w:rsidP="00A52778">
      <w:pPr>
        <w:spacing w:line="200" w:lineRule="exact"/>
        <w:rPr>
          <w:rFonts w:eastAsia="Times New Roman" w:cs="Times New Roman"/>
          <w:b/>
        </w:rPr>
      </w:pPr>
    </w:p>
    <w:p w14:paraId="66C72698" w14:textId="77777777" w:rsidR="00A52778" w:rsidRPr="00460F9E" w:rsidRDefault="00A52778" w:rsidP="00A52778">
      <w:pPr>
        <w:spacing w:line="311" w:lineRule="exact"/>
        <w:rPr>
          <w:rFonts w:eastAsia="Times New Roman" w:cs="Times New Roman"/>
          <w:b/>
        </w:rPr>
      </w:pPr>
    </w:p>
    <w:p w14:paraId="01208E02" w14:textId="77777777" w:rsidR="00A52778" w:rsidRPr="00460F9E" w:rsidRDefault="00A52778" w:rsidP="00A52778">
      <w:pPr>
        <w:spacing w:line="238" w:lineRule="auto"/>
        <w:ind w:left="820" w:right="100"/>
        <w:rPr>
          <w:rFonts w:eastAsia="Times New Roman" w:cs="Times New Roman"/>
          <w:b/>
        </w:rPr>
      </w:pPr>
      <w:r w:rsidRPr="00460F9E">
        <w:rPr>
          <w:rFonts w:eastAsia="Times New Roman" w:cs="Times New Roman"/>
        </w:rPr>
        <w:t>İlişkili izleme MET 8, MET 20, MET 22 ve MET 24' te açıklanmıştır. Havaya salınan TVOC emisyonlarının izlenmesi, emisyonların MET 2' deki envanterde konuyla ilgili olarak tanımlanan aşağıdaki işlem adımlarından kaynaklanan tüm emisyonları içerir: Hammadde depolama ve işleme, polimerizasyon, malzeme geri kazanımı ve kirletici azaltma, polimer bitirme (örn. ekstrüzyon, kurutma, harmanlama) ve polimer aktarımı, taşıma ve depolama.</w:t>
      </w:r>
    </w:p>
    <w:p w14:paraId="58F48EB5" w14:textId="77777777" w:rsidR="00A52778" w:rsidRPr="00460F9E" w:rsidRDefault="00A52778" w:rsidP="00A52778">
      <w:pPr>
        <w:spacing w:line="200" w:lineRule="exact"/>
        <w:rPr>
          <w:rFonts w:eastAsia="Times New Roman" w:cs="Times New Roman"/>
          <w:b/>
        </w:rPr>
      </w:pPr>
    </w:p>
    <w:p w14:paraId="3913A77F" w14:textId="77777777" w:rsidR="00A52778" w:rsidRPr="00460F9E" w:rsidRDefault="00A52778" w:rsidP="00A52778">
      <w:pPr>
        <w:spacing w:line="200" w:lineRule="exact"/>
        <w:rPr>
          <w:rFonts w:eastAsia="Times New Roman" w:cs="Times New Roman"/>
          <w:b/>
        </w:rPr>
      </w:pPr>
    </w:p>
    <w:p w14:paraId="420D8E1A" w14:textId="77777777" w:rsidR="00A52778" w:rsidRPr="00460F9E" w:rsidRDefault="00A52778" w:rsidP="00A52778">
      <w:pPr>
        <w:spacing w:line="200" w:lineRule="exact"/>
        <w:rPr>
          <w:rFonts w:eastAsia="Times New Roman" w:cs="Times New Roman"/>
          <w:b/>
        </w:rPr>
      </w:pPr>
    </w:p>
    <w:p w14:paraId="1D11428E" w14:textId="77777777" w:rsidR="00A52778" w:rsidRPr="00460F9E" w:rsidRDefault="00A52778" w:rsidP="00A52778">
      <w:pPr>
        <w:spacing w:line="200" w:lineRule="exact"/>
        <w:rPr>
          <w:rFonts w:eastAsia="Times New Roman" w:cs="Times New Roman"/>
          <w:b/>
        </w:rPr>
      </w:pPr>
    </w:p>
    <w:p w14:paraId="3A330386" w14:textId="77777777" w:rsidR="00A52778" w:rsidRPr="00460F9E" w:rsidRDefault="00A52778" w:rsidP="00A52778">
      <w:pPr>
        <w:spacing w:line="200" w:lineRule="exact"/>
        <w:rPr>
          <w:rFonts w:eastAsia="Times New Roman" w:cs="Times New Roman"/>
          <w:b/>
        </w:rPr>
      </w:pPr>
    </w:p>
    <w:p w14:paraId="521AFF86" w14:textId="77777777" w:rsidR="00A52778" w:rsidRPr="00460F9E" w:rsidRDefault="00A52778" w:rsidP="00A52778">
      <w:pPr>
        <w:spacing w:line="200" w:lineRule="exact"/>
        <w:rPr>
          <w:rFonts w:eastAsia="Times New Roman" w:cs="Times New Roman"/>
          <w:b/>
        </w:rPr>
      </w:pPr>
    </w:p>
    <w:p w14:paraId="70C99B55" w14:textId="77777777" w:rsidR="00A52778" w:rsidRPr="00460F9E" w:rsidRDefault="00A52778" w:rsidP="00A52778">
      <w:pPr>
        <w:spacing w:line="200" w:lineRule="exact"/>
        <w:rPr>
          <w:rFonts w:eastAsia="Times New Roman" w:cs="Times New Roman"/>
          <w:b/>
        </w:rPr>
      </w:pPr>
    </w:p>
    <w:p w14:paraId="0158FC0D" w14:textId="77777777" w:rsidR="00A52778" w:rsidRPr="00460F9E" w:rsidRDefault="00A52778" w:rsidP="00A52778">
      <w:pPr>
        <w:spacing w:line="200" w:lineRule="exact"/>
        <w:rPr>
          <w:rFonts w:eastAsia="Times New Roman" w:cs="Times New Roman"/>
          <w:b/>
        </w:rPr>
      </w:pPr>
    </w:p>
    <w:p w14:paraId="4DCA2F0D" w14:textId="77777777" w:rsidR="00A52778" w:rsidRPr="00460F9E" w:rsidRDefault="00A52778" w:rsidP="00A52778">
      <w:pPr>
        <w:spacing w:line="200" w:lineRule="exact"/>
        <w:rPr>
          <w:rFonts w:eastAsia="Times New Roman" w:cs="Times New Roman"/>
          <w:b/>
        </w:rPr>
      </w:pPr>
    </w:p>
    <w:p w14:paraId="607BE5A1" w14:textId="77777777" w:rsidR="00A52778" w:rsidRPr="00460F9E" w:rsidRDefault="00A52778" w:rsidP="00A52778">
      <w:pPr>
        <w:spacing w:line="242" w:lineRule="exact"/>
        <w:rPr>
          <w:rFonts w:eastAsia="Times New Roman" w:cs="Times New Roman"/>
          <w:b/>
        </w:rPr>
      </w:pPr>
    </w:p>
    <w:p w14:paraId="0C2549FA" w14:textId="77777777" w:rsidR="00A52778" w:rsidRDefault="00A52778" w:rsidP="00A52778">
      <w:pPr>
        <w:rPr>
          <w:rFonts w:eastAsia="Times New Roman" w:cs="Times New Roman"/>
          <w:b/>
          <w:color w:val="0000FF"/>
        </w:rPr>
      </w:pPr>
    </w:p>
    <w:p w14:paraId="0D93B24C" w14:textId="77777777" w:rsidR="00A52778" w:rsidRDefault="00A52778" w:rsidP="00A52778">
      <w:pPr>
        <w:rPr>
          <w:rFonts w:eastAsia="Times New Roman" w:cs="Times New Roman"/>
          <w:b/>
          <w:color w:val="0000FF"/>
        </w:rPr>
      </w:pPr>
    </w:p>
    <w:p w14:paraId="762BC31B" w14:textId="77777777" w:rsidR="00A52778" w:rsidRDefault="00A52778" w:rsidP="00A52778">
      <w:pPr>
        <w:rPr>
          <w:rFonts w:eastAsia="Times New Roman" w:cs="Times New Roman"/>
          <w:b/>
          <w:color w:val="0000FF"/>
        </w:rPr>
      </w:pPr>
    </w:p>
    <w:p w14:paraId="07E8D72D" w14:textId="77777777" w:rsidR="00A52778" w:rsidRDefault="00A52778" w:rsidP="00A52778">
      <w:pPr>
        <w:rPr>
          <w:rFonts w:eastAsia="Times New Roman" w:cs="Times New Roman"/>
          <w:b/>
          <w:color w:val="0000FF"/>
        </w:rPr>
      </w:pPr>
    </w:p>
    <w:p w14:paraId="0A939046" w14:textId="77777777" w:rsidR="00A52778" w:rsidRDefault="00A52778" w:rsidP="00A52778">
      <w:pPr>
        <w:rPr>
          <w:rFonts w:eastAsia="Times New Roman" w:cs="Times New Roman"/>
          <w:b/>
          <w:color w:val="0000FF"/>
        </w:rPr>
      </w:pPr>
    </w:p>
    <w:p w14:paraId="5A128660" w14:textId="77777777" w:rsidR="00A52778" w:rsidRDefault="00A52778" w:rsidP="00A52778">
      <w:pPr>
        <w:rPr>
          <w:rFonts w:eastAsia="Times New Roman" w:cs="Times New Roman"/>
          <w:b/>
          <w:color w:val="0000FF"/>
        </w:rPr>
      </w:pPr>
    </w:p>
    <w:p w14:paraId="13B9EC84" w14:textId="77777777" w:rsidR="00A52778" w:rsidRPr="00460F9E" w:rsidRDefault="00A52778" w:rsidP="00A52778">
      <w:pPr>
        <w:rPr>
          <w:rFonts w:eastAsia="Times New Roman" w:cs="Times New Roman"/>
          <w:b/>
          <w:color w:val="0000FF"/>
        </w:rPr>
      </w:pPr>
    </w:p>
    <w:p w14:paraId="5EB33D0C" w14:textId="77777777" w:rsidR="00A52778" w:rsidRPr="00460F9E" w:rsidRDefault="00A52778" w:rsidP="00A52778">
      <w:pPr>
        <w:rPr>
          <w:rFonts w:eastAsia="Times New Roman" w:cs="Times New Roman"/>
          <w:b/>
          <w:color w:val="0000FF"/>
        </w:rPr>
      </w:pPr>
    </w:p>
    <w:p w14:paraId="1D39DEF0" w14:textId="77777777" w:rsidR="00A52778" w:rsidRPr="00460F9E" w:rsidRDefault="00A52778" w:rsidP="00A52778">
      <w:pPr>
        <w:pStyle w:val="GvdeMetni"/>
        <w:rPr>
          <w:rFonts w:eastAsia="Arial"/>
        </w:rPr>
      </w:pPr>
      <w:r w:rsidRPr="00460F9E">
        <w:rPr>
          <w:color w:val="0000FF"/>
        </w:rPr>
        <w:tab/>
      </w:r>
      <w:r>
        <w:rPr>
          <w:rFonts w:eastAsia="Arial"/>
        </w:rPr>
        <w:t>2</w:t>
      </w:r>
      <w:r w:rsidRPr="00460F9E">
        <w:rPr>
          <w:rFonts w:eastAsia="Arial"/>
        </w:rPr>
        <w:t>.2.2</w:t>
      </w:r>
      <w:r w:rsidRPr="00460F9E">
        <w:tab/>
      </w:r>
      <w:r w:rsidRPr="00460F9E">
        <w:rPr>
          <w:rFonts w:eastAsia="Arial"/>
        </w:rPr>
        <w:t>Polivinil klorür (PVC) üretimi için MET sonuçları</w:t>
      </w:r>
    </w:p>
    <w:p w14:paraId="502A4E0A" w14:textId="77777777" w:rsidR="00A52778" w:rsidRPr="00460F9E" w:rsidRDefault="00A52778" w:rsidP="00A52778">
      <w:pPr>
        <w:spacing w:line="307" w:lineRule="exact"/>
        <w:rPr>
          <w:rFonts w:eastAsia="Times New Roman" w:cs="Times New Roman"/>
          <w:b/>
        </w:rPr>
      </w:pPr>
    </w:p>
    <w:p w14:paraId="0200BFF6" w14:textId="77777777" w:rsidR="00A52778" w:rsidRPr="00B568BE" w:rsidRDefault="00A52778" w:rsidP="00A52778">
      <w:pPr>
        <w:spacing w:line="237" w:lineRule="auto"/>
        <w:ind w:left="120" w:right="826"/>
        <w:rPr>
          <w:rFonts w:eastAsia="Times New Roman" w:cs="Times New Roman"/>
        </w:rPr>
      </w:pPr>
      <w:r w:rsidRPr="00B568BE">
        <w:rPr>
          <w:rFonts w:eastAsia="Times New Roman" w:cs="Times New Roman"/>
        </w:rPr>
        <w:t>MET 26</w:t>
      </w:r>
      <w:r>
        <w:rPr>
          <w:rFonts w:eastAsia="Times New Roman" w:cs="Times New Roman"/>
        </w:rPr>
        <w:t>: H</w:t>
      </w:r>
      <w:r w:rsidRPr="00B568BE">
        <w:rPr>
          <w:rFonts w:eastAsia="Times New Roman" w:cs="Times New Roman"/>
        </w:rPr>
        <w:t>avaya kanalize edilen emisyonları en azından aşağıda verilen sıklıkta ve EN standartlarına uygun olarak izlemektir. EN standartlarının mevcut olmaması halinde MET, eşdeğer bilimsel kalitede verilerin sağlanmasını temin eden ISO, ulusal veya diğer uluslararası standartları kullanacaktır.</w:t>
      </w:r>
    </w:p>
    <w:p w14:paraId="71D0EA2D" w14:textId="77777777" w:rsidR="00A52778" w:rsidRPr="00460F9E" w:rsidRDefault="00A52778" w:rsidP="00A52778">
      <w:pPr>
        <w:spacing w:line="20" w:lineRule="exact"/>
        <w:rPr>
          <w:rFonts w:eastAsia="Times New Roman" w:cs="Times New Roman"/>
          <w:b/>
        </w:rPr>
      </w:pPr>
    </w:p>
    <w:p w14:paraId="76B4A7D3" w14:textId="77777777" w:rsidR="00A52778" w:rsidRPr="00460F9E" w:rsidRDefault="00A52778" w:rsidP="00A52778">
      <w:pPr>
        <w:spacing w:line="200" w:lineRule="exact"/>
        <w:rPr>
          <w:rFonts w:eastAsia="Times New Roman" w:cs="Times New Roman"/>
          <w:b/>
        </w:rPr>
      </w:pPr>
    </w:p>
    <w:p w14:paraId="0B973494" w14:textId="77777777" w:rsidR="00A52778" w:rsidRPr="00460F9E" w:rsidRDefault="00A52778" w:rsidP="00A52778">
      <w:pPr>
        <w:spacing w:line="307" w:lineRule="exact"/>
        <w:rPr>
          <w:rFonts w:eastAsia="Times New Roman" w:cs="Times New Roman"/>
          <w:b/>
        </w:rPr>
      </w:pPr>
      <w:r w:rsidRPr="00460F9E">
        <w:rPr>
          <w:rFonts w:eastAsia="Times New Roman" w:cs="Times New Roman"/>
          <w:b/>
          <w:noProof/>
          <w:sz w:val="18"/>
          <w:lang w:val="tr-TR" w:eastAsia="tr-TR"/>
        </w:rPr>
        <mc:AlternateContent>
          <mc:Choice Requires="wps">
            <w:drawing>
              <wp:anchor distT="0" distB="0" distL="114300" distR="114300" simplePos="0" relativeHeight="251686912" behindDoc="1" locked="0" layoutInCell="1" allowOverlap="1" wp14:anchorId="29B050A5" wp14:editId="6C12A1D4">
                <wp:simplePos x="0" y="0"/>
                <wp:positionH relativeFrom="column">
                  <wp:posOffset>5562600</wp:posOffset>
                </wp:positionH>
                <wp:positionV relativeFrom="paragraph">
                  <wp:posOffset>2971799</wp:posOffset>
                </wp:positionV>
                <wp:extent cx="9525" cy="1800225"/>
                <wp:effectExtent l="0" t="0" r="28575" b="28575"/>
                <wp:wrapNone/>
                <wp:docPr id="137" name="Düz Bağlayıcı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02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E4D78" id="Düz Bağlayıcı 137"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234pt" to="438.75pt,3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" strokeweight=".16931mm"/>
            </w:pict>
          </mc:Fallback>
        </mc:AlternateContent>
      </w:r>
      <w:r w:rsidRPr="00460F9E">
        <w:rPr>
          <w:rFonts w:eastAsia="Times New Roman" w:cs="Times New Roman"/>
          <w:b/>
          <w:noProof/>
          <w:lang w:val="tr-TR" w:eastAsia="tr-TR"/>
        </w:rPr>
        <mc:AlternateContent>
          <mc:Choice Requires="wps">
            <w:drawing>
              <wp:anchor distT="0" distB="0" distL="114300" distR="114300" simplePos="0" relativeHeight="251685888" behindDoc="1" locked="0" layoutInCell="1" allowOverlap="1" wp14:anchorId="21D744B1" wp14:editId="5A730BBF">
                <wp:simplePos x="0" y="0"/>
                <wp:positionH relativeFrom="column">
                  <wp:posOffset>19050</wp:posOffset>
                </wp:positionH>
                <wp:positionV relativeFrom="paragraph">
                  <wp:posOffset>323850</wp:posOffset>
                </wp:positionV>
                <wp:extent cx="9525" cy="4450080"/>
                <wp:effectExtent l="0" t="0" r="28575" b="26670"/>
                <wp:wrapNone/>
                <wp:docPr id="138" name="Düz Bağlayıcı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500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CFE77" id="Düz Bağlayıcı 138"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5pt" to="2.25pt,3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" strokeweight=".16931mm"/>
            </w:pict>
          </mc:Fallback>
        </mc:AlternateContent>
      </w:r>
    </w:p>
    <w:tbl>
      <w:tblPr>
        <w:tblW w:w="0" w:type="auto"/>
        <w:tblLayout w:type="fixed"/>
        <w:tblCellMar>
          <w:left w:w="0" w:type="dxa"/>
          <w:right w:w="0" w:type="dxa"/>
        </w:tblCellMar>
        <w:tblLook w:val="0000" w:firstRow="0" w:lastRow="0" w:firstColumn="0" w:lastColumn="0" w:noHBand="0" w:noVBand="0"/>
      </w:tblPr>
      <w:tblGrid>
        <w:gridCol w:w="1100"/>
        <w:gridCol w:w="1520"/>
        <w:gridCol w:w="1460"/>
        <w:gridCol w:w="2720"/>
        <w:gridCol w:w="1960"/>
      </w:tblGrid>
      <w:tr w:rsidR="00A52778" w:rsidRPr="00460F9E" w14:paraId="59C345AC" w14:textId="77777777" w:rsidTr="00FC3F8E">
        <w:trPr>
          <w:trHeight w:val="239"/>
        </w:trPr>
        <w:tc>
          <w:tcPr>
            <w:tcW w:w="1100" w:type="dxa"/>
            <w:vMerge w:val="restart"/>
            <w:tcBorders>
              <w:top w:val="single" w:sz="8" w:space="0" w:color="auto"/>
              <w:right w:val="single" w:sz="8" w:space="0" w:color="auto"/>
            </w:tcBorders>
            <w:shd w:val="clear" w:color="auto" w:fill="auto"/>
            <w:vAlign w:val="bottom"/>
          </w:tcPr>
          <w:p w14:paraId="42C8CD09" w14:textId="77777777" w:rsidR="00A52778" w:rsidRPr="00B568BE" w:rsidRDefault="00A52778" w:rsidP="00FC3F8E">
            <w:pPr>
              <w:spacing w:line="0" w:lineRule="atLeast"/>
              <w:ind w:left="100"/>
              <w:rPr>
                <w:rFonts w:eastAsia="Times New Roman" w:cs="Times New Roman"/>
                <w:sz w:val="22"/>
              </w:rPr>
            </w:pPr>
            <w:r w:rsidRPr="00B568BE">
              <w:rPr>
                <w:rFonts w:eastAsia="Times New Roman" w:cs="Times New Roman"/>
                <w:sz w:val="22"/>
              </w:rPr>
              <w:t xml:space="preserve"> Maddeler</w:t>
            </w:r>
          </w:p>
        </w:tc>
        <w:tc>
          <w:tcPr>
            <w:tcW w:w="1520" w:type="dxa"/>
            <w:tcBorders>
              <w:top w:val="single" w:sz="8" w:space="0" w:color="auto"/>
              <w:right w:val="single" w:sz="8" w:space="0" w:color="auto"/>
            </w:tcBorders>
            <w:shd w:val="clear" w:color="auto" w:fill="auto"/>
            <w:vAlign w:val="bottom"/>
          </w:tcPr>
          <w:p w14:paraId="2C6E9FBF" w14:textId="77777777" w:rsidR="00A52778" w:rsidRPr="00B568BE" w:rsidRDefault="00A52778" w:rsidP="00FC3F8E">
            <w:pPr>
              <w:spacing w:line="0" w:lineRule="atLeast"/>
              <w:jc w:val="center"/>
              <w:rPr>
                <w:rFonts w:eastAsia="Times New Roman" w:cs="Times New Roman"/>
                <w:sz w:val="22"/>
              </w:rPr>
            </w:pPr>
            <w:r w:rsidRPr="00B568BE">
              <w:rPr>
                <w:rFonts w:eastAsia="Times New Roman" w:cs="Times New Roman"/>
                <w:sz w:val="22"/>
              </w:rPr>
              <w:t>Emisyon</w:t>
            </w:r>
          </w:p>
        </w:tc>
        <w:tc>
          <w:tcPr>
            <w:tcW w:w="1460" w:type="dxa"/>
            <w:vMerge w:val="restart"/>
            <w:tcBorders>
              <w:top w:val="single" w:sz="8" w:space="0" w:color="auto"/>
              <w:right w:val="single" w:sz="8" w:space="0" w:color="auto"/>
            </w:tcBorders>
            <w:shd w:val="clear" w:color="auto" w:fill="auto"/>
            <w:vAlign w:val="bottom"/>
          </w:tcPr>
          <w:p w14:paraId="2AF3352F" w14:textId="77777777" w:rsidR="00A52778" w:rsidRPr="00B568BE" w:rsidRDefault="00A52778" w:rsidP="00FC3F8E">
            <w:pPr>
              <w:spacing w:line="0" w:lineRule="atLeast"/>
              <w:jc w:val="center"/>
              <w:rPr>
                <w:rFonts w:eastAsia="Times New Roman" w:cs="Times New Roman"/>
                <w:w w:val="98"/>
                <w:sz w:val="22"/>
              </w:rPr>
            </w:pPr>
            <w:r w:rsidRPr="00B568BE">
              <w:rPr>
                <w:rFonts w:eastAsia="Times New Roman" w:cs="Times New Roman"/>
                <w:w w:val="98"/>
                <w:sz w:val="22"/>
              </w:rPr>
              <w:t>Standard(lar)</w:t>
            </w:r>
          </w:p>
        </w:tc>
        <w:tc>
          <w:tcPr>
            <w:tcW w:w="2720" w:type="dxa"/>
            <w:tcBorders>
              <w:top w:val="single" w:sz="8" w:space="0" w:color="auto"/>
              <w:right w:val="single" w:sz="8" w:space="0" w:color="auto"/>
            </w:tcBorders>
            <w:shd w:val="clear" w:color="auto" w:fill="auto"/>
            <w:vAlign w:val="bottom"/>
          </w:tcPr>
          <w:p w14:paraId="4F4C1AE6" w14:textId="77777777" w:rsidR="00A52778" w:rsidRPr="00B568BE" w:rsidRDefault="00A52778" w:rsidP="00FC3F8E">
            <w:pPr>
              <w:spacing w:line="0" w:lineRule="atLeast"/>
              <w:jc w:val="center"/>
              <w:rPr>
                <w:rFonts w:eastAsia="Times New Roman" w:cs="Times New Roman"/>
                <w:w w:val="99"/>
                <w:sz w:val="22"/>
              </w:rPr>
            </w:pPr>
            <w:r w:rsidRPr="00B568BE">
              <w:rPr>
                <w:rFonts w:eastAsia="Times New Roman" w:cs="Times New Roman"/>
                <w:w w:val="99"/>
                <w:sz w:val="22"/>
              </w:rPr>
              <w:t>Minimum izleme</w:t>
            </w:r>
          </w:p>
        </w:tc>
        <w:tc>
          <w:tcPr>
            <w:tcW w:w="1960" w:type="dxa"/>
            <w:vMerge w:val="restart"/>
            <w:tcBorders>
              <w:top w:val="single" w:sz="8" w:space="0" w:color="auto"/>
              <w:right w:val="single" w:sz="8" w:space="0" w:color="auto"/>
            </w:tcBorders>
            <w:shd w:val="clear" w:color="auto" w:fill="auto"/>
            <w:vAlign w:val="center"/>
          </w:tcPr>
          <w:p w14:paraId="35B0C6B1" w14:textId="77777777" w:rsidR="00A52778" w:rsidRPr="00B568BE" w:rsidRDefault="00A52778" w:rsidP="00FC3F8E">
            <w:pPr>
              <w:spacing w:line="0" w:lineRule="atLeast"/>
              <w:jc w:val="center"/>
              <w:rPr>
                <w:rFonts w:eastAsia="Times New Roman" w:cs="Times New Roman"/>
                <w:sz w:val="22"/>
              </w:rPr>
            </w:pPr>
            <w:r w:rsidRPr="00B568BE">
              <w:rPr>
                <w:rFonts w:eastAsia="Times New Roman" w:cs="Times New Roman"/>
                <w:w w:val="99"/>
                <w:sz w:val="22"/>
              </w:rPr>
              <w:t>İlişkili izleme</w:t>
            </w:r>
          </w:p>
        </w:tc>
      </w:tr>
      <w:tr w:rsidR="00A52778" w:rsidRPr="00460F9E" w14:paraId="13EE1850" w14:textId="77777777" w:rsidTr="00FC3F8E">
        <w:trPr>
          <w:trHeight w:val="413"/>
        </w:trPr>
        <w:tc>
          <w:tcPr>
            <w:tcW w:w="1100" w:type="dxa"/>
            <w:vMerge/>
            <w:tcBorders>
              <w:right w:val="single" w:sz="8" w:space="0" w:color="auto"/>
            </w:tcBorders>
            <w:shd w:val="clear" w:color="auto" w:fill="auto"/>
            <w:vAlign w:val="bottom"/>
          </w:tcPr>
          <w:p w14:paraId="3354BB5D" w14:textId="77777777" w:rsidR="00A52778" w:rsidRPr="00B568BE" w:rsidRDefault="00A52778" w:rsidP="00FC3F8E">
            <w:pPr>
              <w:spacing w:line="0" w:lineRule="atLeast"/>
              <w:rPr>
                <w:rFonts w:eastAsia="Times New Roman" w:cs="Times New Roman"/>
                <w:sz w:val="22"/>
              </w:rPr>
            </w:pPr>
          </w:p>
        </w:tc>
        <w:tc>
          <w:tcPr>
            <w:tcW w:w="1520" w:type="dxa"/>
            <w:vMerge w:val="restart"/>
            <w:tcBorders>
              <w:right w:val="single" w:sz="8" w:space="0" w:color="auto"/>
            </w:tcBorders>
            <w:shd w:val="clear" w:color="auto" w:fill="auto"/>
            <w:vAlign w:val="bottom"/>
          </w:tcPr>
          <w:p w14:paraId="54A4BD7E" w14:textId="77777777" w:rsidR="00A52778" w:rsidRPr="00B568BE" w:rsidRDefault="00A52778" w:rsidP="00FC3F8E">
            <w:pPr>
              <w:spacing w:line="0" w:lineRule="atLeast"/>
              <w:jc w:val="center"/>
              <w:rPr>
                <w:rFonts w:eastAsia="Times New Roman" w:cs="Times New Roman"/>
                <w:w w:val="99"/>
                <w:sz w:val="22"/>
              </w:rPr>
            </w:pPr>
            <w:r w:rsidRPr="00B568BE">
              <w:rPr>
                <w:rFonts w:eastAsia="Times New Roman" w:cs="Times New Roman"/>
                <w:w w:val="99"/>
                <w:sz w:val="22"/>
              </w:rPr>
              <w:t>noktaları</w:t>
            </w:r>
          </w:p>
        </w:tc>
        <w:tc>
          <w:tcPr>
            <w:tcW w:w="1460" w:type="dxa"/>
            <w:vMerge/>
            <w:tcBorders>
              <w:right w:val="single" w:sz="8" w:space="0" w:color="auto"/>
            </w:tcBorders>
            <w:shd w:val="clear" w:color="auto" w:fill="auto"/>
            <w:vAlign w:val="bottom"/>
          </w:tcPr>
          <w:p w14:paraId="4F067B64" w14:textId="77777777" w:rsidR="00A52778" w:rsidRPr="00B568BE" w:rsidRDefault="00A52778" w:rsidP="00FC3F8E">
            <w:pPr>
              <w:spacing w:line="0" w:lineRule="atLeast"/>
              <w:rPr>
                <w:rFonts w:eastAsia="Times New Roman" w:cs="Times New Roman"/>
                <w:sz w:val="22"/>
              </w:rPr>
            </w:pPr>
          </w:p>
        </w:tc>
        <w:tc>
          <w:tcPr>
            <w:tcW w:w="2720" w:type="dxa"/>
            <w:vMerge w:val="restart"/>
            <w:tcBorders>
              <w:right w:val="single" w:sz="8" w:space="0" w:color="auto"/>
            </w:tcBorders>
            <w:shd w:val="clear" w:color="auto" w:fill="auto"/>
            <w:vAlign w:val="bottom"/>
          </w:tcPr>
          <w:p w14:paraId="46B88564" w14:textId="77777777" w:rsidR="00A52778" w:rsidRPr="00B568BE" w:rsidRDefault="00A52778" w:rsidP="00FC3F8E">
            <w:pPr>
              <w:spacing w:line="232" w:lineRule="exact"/>
              <w:jc w:val="center"/>
              <w:rPr>
                <w:rFonts w:eastAsia="Times New Roman" w:cs="Times New Roman"/>
                <w:w w:val="97"/>
                <w:sz w:val="22"/>
              </w:rPr>
            </w:pPr>
            <w:r w:rsidRPr="00B568BE">
              <w:rPr>
                <w:rFonts w:eastAsia="Times New Roman" w:cs="Times New Roman"/>
                <w:w w:val="97"/>
                <w:sz w:val="22"/>
              </w:rPr>
              <w:t>sıklıkları (</w:t>
            </w:r>
            <w:r w:rsidRPr="00B568BE">
              <w:rPr>
                <w:rFonts w:eastAsia="Times New Roman" w:cs="Times New Roman"/>
                <w:w w:val="97"/>
                <w:sz w:val="22"/>
                <w:vertAlign w:val="superscript"/>
              </w:rPr>
              <w:t>1</w:t>
            </w:r>
            <w:r w:rsidRPr="00B568BE">
              <w:rPr>
                <w:rFonts w:eastAsia="Times New Roman" w:cs="Times New Roman"/>
                <w:w w:val="97"/>
                <w:sz w:val="22"/>
              </w:rPr>
              <w:t>)</w:t>
            </w:r>
          </w:p>
        </w:tc>
        <w:tc>
          <w:tcPr>
            <w:tcW w:w="1960" w:type="dxa"/>
            <w:vMerge/>
            <w:tcBorders>
              <w:right w:val="single" w:sz="8" w:space="0" w:color="auto"/>
            </w:tcBorders>
            <w:shd w:val="clear" w:color="auto" w:fill="auto"/>
          </w:tcPr>
          <w:p w14:paraId="2FE233E8" w14:textId="77777777" w:rsidR="00A52778" w:rsidRPr="00460F9E" w:rsidRDefault="00A52778" w:rsidP="00FC3F8E">
            <w:pPr>
              <w:spacing w:line="0" w:lineRule="atLeast"/>
              <w:jc w:val="center"/>
              <w:rPr>
                <w:rFonts w:eastAsia="Times New Roman" w:cs="Times New Roman"/>
                <w:b/>
              </w:rPr>
            </w:pPr>
          </w:p>
        </w:tc>
      </w:tr>
      <w:tr w:rsidR="00A52778" w:rsidRPr="00460F9E" w14:paraId="50C2E7C0" w14:textId="77777777" w:rsidTr="00FC3F8E">
        <w:trPr>
          <w:trHeight w:val="116"/>
        </w:trPr>
        <w:tc>
          <w:tcPr>
            <w:tcW w:w="1100" w:type="dxa"/>
            <w:tcBorders>
              <w:bottom w:val="single" w:sz="8" w:space="0" w:color="auto"/>
              <w:right w:val="single" w:sz="8" w:space="0" w:color="auto"/>
            </w:tcBorders>
            <w:shd w:val="clear" w:color="auto" w:fill="auto"/>
            <w:vAlign w:val="bottom"/>
          </w:tcPr>
          <w:p w14:paraId="30275E0D" w14:textId="77777777" w:rsidR="00A52778" w:rsidRPr="00460F9E" w:rsidRDefault="00A52778" w:rsidP="00FC3F8E">
            <w:pPr>
              <w:spacing w:line="0" w:lineRule="atLeast"/>
              <w:rPr>
                <w:rFonts w:eastAsia="Times New Roman" w:cs="Times New Roman"/>
                <w:b/>
                <w:sz w:val="10"/>
              </w:rPr>
            </w:pPr>
          </w:p>
        </w:tc>
        <w:tc>
          <w:tcPr>
            <w:tcW w:w="1520" w:type="dxa"/>
            <w:vMerge/>
            <w:tcBorders>
              <w:bottom w:val="single" w:sz="8" w:space="0" w:color="auto"/>
              <w:right w:val="single" w:sz="8" w:space="0" w:color="auto"/>
            </w:tcBorders>
            <w:shd w:val="clear" w:color="auto" w:fill="auto"/>
            <w:vAlign w:val="bottom"/>
          </w:tcPr>
          <w:p w14:paraId="714FD9E8" w14:textId="77777777" w:rsidR="00A52778" w:rsidRPr="00460F9E" w:rsidRDefault="00A52778" w:rsidP="00FC3F8E">
            <w:pPr>
              <w:spacing w:line="0" w:lineRule="atLeast"/>
              <w:rPr>
                <w:rFonts w:eastAsia="Times New Roman" w:cs="Times New Roman"/>
                <w:b/>
                <w:sz w:val="10"/>
              </w:rPr>
            </w:pPr>
          </w:p>
        </w:tc>
        <w:tc>
          <w:tcPr>
            <w:tcW w:w="1460" w:type="dxa"/>
            <w:tcBorders>
              <w:bottom w:val="single" w:sz="8" w:space="0" w:color="auto"/>
              <w:right w:val="single" w:sz="8" w:space="0" w:color="auto"/>
            </w:tcBorders>
            <w:shd w:val="clear" w:color="auto" w:fill="auto"/>
            <w:vAlign w:val="bottom"/>
          </w:tcPr>
          <w:p w14:paraId="1F679A89" w14:textId="77777777" w:rsidR="00A52778" w:rsidRPr="00460F9E" w:rsidRDefault="00A52778" w:rsidP="00FC3F8E">
            <w:pPr>
              <w:spacing w:line="0" w:lineRule="atLeast"/>
              <w:rPr>
                <w:rFonts w:eastAsia="Times New Roman" w:cs="Times New Roman"/>
                <w:b/>
                <w:sz w:val="10"/>
              </w:rPr>
            </w:pPr>
          </w:p>
        </w:tc>
        <w:tc>
          <w:tcPr>
            <w:tcW w:w="2720" w:type="dxa"/>
            <w:vMerge/>
            <w:tcBorders>
              <w:bottom w:val="single" w:sz="8" w:space="0" w:color="auto"/>
              <w:right w:val="single" w:sz="8" w:space="0" w:color="auto"/>
            </w:tcBorders>
            <w:shd w:val="clear" w:color="auto" w:fill="auto"/>
            <w:vAlign w:val="bottom"/>
          </w:tcPr>
          <w:p w14:paraId="64A039FB" w14:textId="77777777" w:rsidR="00A52778" w:rsidRPr="00460F9E" w:rsidRDefault="00A52778" w:rsidP="00FC3F8E">
            <w:pPr>
              <w:spacing w:line="0" w:lineRule="atLeast"/>
              <w:rPr>
                <w:rFonts w:eastAsia="Times New Roman" w:cs="Times New Roman"/>
                <w:b/>
                <w:sz w:val="10"/>
              </w:rPr>
            </w:pPr>
          </w:p>
        </w:tc>
        <w:tc>
          <w:tcPr>
            <w:tcW w:w="1960" w:type="dxa"/>
            <w:vMerge/>
            <w:tcBorders>
              <w:bottom w:val="single" w:sz="8" w:space="0" w:color="auto"/>
              <w:right w:val="single" w:sz="8" w:space="0" w:color="auto"/>
            </w:tcBorders>
            <w:shd w:val="clear" w:color="auto" w:fill="auto"/>
            <w:vAlign w:val="bottom"/>
          </w:tcPr>
          <w:p w14:paraId="71DD4592" w14:textId="77777777" w:rsidR="00A52778" w:rsidRPr="00460F9E" w:rsidRDefault="00A52778" w:rsidP="00FC3F8E">
            <w:pPr>
              <w:spacing w:line="0" w:lineRule="atLeast"/>
              <w:rPr>
                <w:rFonts w:eastAsia="Times New Roman" w:cs="Times New Roman"/>
                <w:b/>
                <w:sz w:val="10"/>
              </w:rPr>
            </w:pPr>
          </w:p>
        </w:tc>
      </w:tr>
      <w:tr w:rsidR="00A52778" w:rsidRPr="00460F9E" w14:paraId="2EF23D96" w14:textId="77777777" w:rsidTr="00FC3F8E">
        <w:trPr>
          <w:trHeight w:val="72"/>
        </w:trPr>
        <w:tc>
          <w:tcPr>
            <w:tcW w:w="1100" w:type="dxa"/>
            <w:tcBorders>
              <w:right w:val="single" w:sz="8" w:space="0" w:color="auto"/>
            </w:tcBorders>
            <w:shd w:val="clear" w:color="auto" w:fill="auto"/>
            <w:vAlign w:val="bottom"/>
          </w:tcPr>
          <w:p w14:paraId="60419860" w14:textId="77777777" w:rsidR="00A52778" w:rsidRPr="00460F9E" w:rsidRDefault="00A52778" w:rsidP="00FC3F8E">
            <w:pPr>
              <w:spacing w:line="0" w:lineRule="atLeast"/>
              <w:rPr>
                <w:rFonts w:eastAsia="Times New Roman" w:cs="Times New Roman"/>
                <w:b/>
                <w:sz w:val="18"/>
              </w:rPr>
            </w:pPr>
          </w:p>
        </w:tc>
        <w:tc>
          <w:tcPr>
            <w:tcW w:w="1520" w:type="dxa"/>
            <w:vMerge w:val="restart"/>
            <w:tcBorders>
              <w:right w:val="single" w:sz="8" w:space="0" w:color="auto"/>
            </w:tcBorders>
            <w:shd w:val="clear" w:color="auto" w:fill="auto"/>
            <w:vAlign w:val="bottom"/>
          </w:tcPr>
          <w:p w14:paraId="4F7F7CBB" w14:textId="77777777" w:rsidR="00A52778" w:rsidRPr="00460F9E" w:rsidRDefault="00A52778" w:rsidP="00FC3F8E">
            <w:pPr>
              <w:spacing w:line="219" w:lineRule="exact"/>
              <w:jc w:val="center"/>
              <w:rPr>
                <w:rFonts w:eastAsia="Times New Roman" w:cs="Times New Roman"/>
                <w:b/>
                <w:w w:val="99"/>
              </w:rPr>
            </w:pPr>
            <w:r w:rsidRPr="00460F9E">
              <w:rPr>
                <w:rFonts w:eastAsia="Times New Roman" w:cs="Times New Roman"/>
                <w:w w:val="99"/>
              </w:rPr>
              <w:t>VCM kütle akışı 25 g/saat olan herhangi bir baca</w:t>
            </w:r>
          </w:p>
        </w:tc>
        <w:tc>
          <w:tcPr>
            <w:tcW w:w="1460" w:type="dxa"/>
            <w:vMerge w:val="restart"/>
            <w:tcBorders>
              <w:right w:val="single" w:sz="8" w:space="0" w:color="auto"/>
            </w:tcBorders>
            <w:shd w:val="clear" w:color="auto" w:fill="auto"/>
            <w:vAlign w:val="bottom"/>
          </w:tcPr>
          <w:p w14:paraId="68E0F450" w14:textId="77777777" w:rsidR="00A52778" w:rsidRPr="00460F9E" w:rsidRDefault="00A52778" w:rsidP="00FC3F8E">
            <w:pPr>
              <w:spacing w:line="0" w:lineRule="atLeast"/>
              <w:jc w:val="center"/>
              <w:rPr>
                <w:rFonts w:eastAsia="Times New Roman" w:cs="Times New Roman"/>
                <w:b/>
                <w:w w:val="98"/>
              </w:rPr>
            </w:pPr>
            <w:r w:rsidRPr="00460F9E">
              <w:rPr>
                <w:rFonts w:eastAsia="Times New Roman" w:cs="Times New Roman"/>
                <w:w w:val="98"/>
              </w:rPr>
              <w:t>Genel EN</w:t>
            </w:r>
          </w:p>
        </w:tc>
        <w:tc>
          <w:tcPr>
            <w:tcW w:w="2720" w:type="dxa"/>
            <w:tcBorders>
              <w:right w:val="single" w:sz="8" w:space="0" w:color="auto"/>
            </w:tcBorders>
            <w:shd w:val="clear" w:color="auto" w:fill="auto"/>
            <w:vAlign w:val="bottom"/>
          </w:tcPr>
          <w:p w14:paraId="19098DDC" w14:textId="77777777" w:rsidR="00A52778" w:rsidRPr="00460F9E" w:rsidRDefault="00A52778" w:rsidP="00FC3F8E">
            <w:pPr>
              <w:spacing w:line="0" w:lineRule="atLeast"/>
              <w:rPr>
                <w:rFonts w:eastAsia="Times New Roman" w:cs="Times New Roman"/>
                <w:b/>
                <w:sz w:val="18"/>
              </w:rPr>
            </w:pPr>
          </w:p>
        </w:tc>
        <w:tc>
          <w:tcPr>
            <w:tcW w:w="1960" w:type="dxa"/>
            <w:tcBorders>
              <w:right w:val="single" w:sz="8" w:space="0" w:color="auto"/>
            </w:tcBorders>
            <w:shd w:val="clear" w:color="auto" w:fill="auto"/>
            <w:vAlign w:val="bottom"/>
          </w:tcPr>
          <w:p w14:paraId="1E9400DF" w14:textId="77777777" w:rsidR="00A52778" w:rsidRPr="00460F9E" w:rsidRDefault="00A52778" w:rsidP="00FC3F8E">
            <w:pPr>
              <w:spacing w:line="0" w:lineRule="atLeast"/>
              <w:rPr>
                <w:rFonts w:eastAsia="Times New Roman" w:cs="Times New Roman"/>
                <w:b/>
                <w:sz w:val="18"/>
              </w:rPr>
            </w:pPr>
          </w:p>
        </w:tc>
      </w:tr>
      <w:tr w:rsidR="00A52778" w:rsidRPr="00460F9E" w14:paraId="73D2128D" w14:textId="77777777" w:rsidTr="00FC3F8E">
        <w:trPr>
          <w:trHeight w:val="122"/>
        </w:trPr>
        <w:tc>
          <w:tcPr>
            <w:tcW w:w="1100" w:type="dxa"/>
            <w:tcBorders>
              <w:right w:val="single" w:sz="8" w:space="0" w:color="auto"/>
            </w:tcBorders>
            <w:shd w:val="clear" w:color="auto" w:fill="auto"/>
            <w:vAlign w:val="bottom"/>
          </w:tcPr>
          <w:p w14:paraId="1E315D6A" w14:textId="77777777" w:rsidR="00A52778" w:rsidRPr="00460F9E" w:rsidRDefault="00A52778" w:rsidP="00FC3F8E">
            <w:pPr>
              <w:spacing w:line="0" w:lineRule="atLeast"/>
              <w:rPr>
                <w:rFonts w:eastAsia="Times New Roman" w:cs="Times New Roman"/>
                <w:b/>
                <w:sz w:val="10"/>
              </w:rPr>
            </w:pPr>
          </w:p>
        </w:tc>
        <w:tc>
          <w:tcPr>
            <w:tcW w:w="1520" w:type="dxa"/>
            <w:vMerge/>
            <w:tcBorders>
              <w:right w:val="single" w:sz="8" w:space="0" w:color="auto"/>
            </w:tcBorders>
            <w:shd w:val="clear" w:color="auto" w:fill="auto"/>
            <w:vAlign w:val="bottom"/>
          </w:tcPr>
          <w:p w14:paraId="66D96EA4" w14:textId="77777777" w:rsidR="00A52778" w:rsidRPr="00460F9E" w:rsidRDefault="00A52778" w:rsidP="00FC3F8E">
            <w:pPr>
              <w:spacing w:line="219" w:lineRule="exact"/>
              <w:jc w:val="center"/>
              <w:rPr>
                <w:rFonts w:eastAsia="Times New Roman" w:cs="Times New Roman"/>
                <w:b/>
                <w:w w:val="99"/>
              </w:rPr>
            </w:pPr>
          </w:p>
        </w:tc>
        <w:tc>
          <w:tcPr>
            <w:tcW w:w="1460" w:type="dxa"/>
            <w:vMerge/>
            <w:tcBorders>
              <w:right w:val="single" w:sz="8" w:space="0" w:color="auto"/>
            </w:tcBorders>
            <w:shd w:val="clear" w:color="auto" w:fill="auto"/>
            <w:vAlign w:val="bottom"/>
          </w:tcPr>
          <w:p w14:paraId="3E768031" w14:textId="77777777" w:rsidR="00A52778" w:rsidRPr="00460F9E" w:rsidRDefault="00A52778" w:rsidP="00FC3F8E">
            <w:pPr>
              <w:spacing w:line="0" w:lineRule="atLeast"/>
              <w:rPr>
                <w:rFonts w:eastAsia="Times New Roman" w:cs="Times New Roman"/>
                <w:b/>
                <w:sz w:val="10"/>
              </w:rPr>
            </w:pPr>
          </w:p>
        </w:tc>
        <w:tc>
          <w:tcPr>
            <w:tcW w:w="2720" w:type="dxa"/>
            <w:vMerge w:val="restart"/>
            <w:tcBorders>
              <w:right w:val="single" w:sz="8" w:space="0" w:color="auto"/>
            </w:tcBorders>
            <w:shd w:val="clear" w:color="auto" w:fill="auto"/>
            <w:vAlign w:val="bottom"/>
          </w:tcPr>
          <w:p w14:paraId="63209FE1" w14:textId="77777777" w:rsidR="00A52778" w:rsidRPr="00460F9E" w:rsidRDefault="00A52778" w:rsidP="00FC3F8E">
            <w:pPr>
              <w:spacing w:line="233" w:lineRule="exact"/>
              <w:jc w:val="center"/>
              <w:rPr>
                <w:rFonts w:eastAsia="Times New Roman" w:cs="Times New Roman"/>
                <w:b/>
                <w:w w:val="97"/>
              </w:rPr>
            </w:pPr>
            <w:r w:rsidRPr="00460F9E">
              <w:rPr>
                <w:rFonts w:eastAsia="Times New Roman" w:cs="Times New Roman"/>
                <w:w w:val="97"/>
              </w:rPr>
              <w:t>Sürekli (</w:t>
            </w:r>
            <w:r w:rsidRPr="00460F9E">
              <w:rPr>
                <w:rFonts w:eastAsia="Times New Roman" w:cs="Times New Roman"/>
                <w:w w:val="97"/>
                <w:sz w:val="25"/>
                <w:vertAlign w:val="superscript"/>
              </w:rPr>
              <w:t>3</w:t>
            </w:r>
            <w:r w:rsidRPr="00460F9E">
              <w:rPr>
                <w:rFonts w:eastAsia="Times New Roman" w:cs="Times New Roman"/>
                <w:w w:val="97"/>
              </w:rPr>
              <w:t>)</w:t>
            </w:r>
          </w:p>
        </w:tc>
        <w:tc>
          <w:tcPr>
            <w:tcW w:w="1960" w:type="dxa"/>
            <w:tcBorders>
              <w:right w:val="single" w:sz="8" w:space="0" w:color="auto"/>
            </w:tcBorders>
            <w:shd w:val="clear" w:color="auto" w:fill="auto"/>
            <w:vAlign w:val="bottom"/>
          </w:tcPr>
          <w:p w14:paraId="75A270E6" w14:textId="77777777" w:rsidR="00A52778" w:rsidRPr="00460F9E" w:rsidRDefault="00A52778" w:rsidP="00FC3F8E">
            <w:pPr>
              <w:spacing w:line="0" w:lineRule="atLeast"/>
              <w:rPr>
                <w:rFonts w:eastAsia="Times New Roman" w:cs="Times New Roman"/>
                <w:b/>
                <w:sz w:val="10"/>
              </w:rPr>
            </w:pPr>
          </w:p>
        </w:tc>
      </w:tr>
      <w:tr w:rsidR="00A52778" w:rsidRPr="00460F9E" w14:paraId="4EB0A980" w14:textId="77777777" w:rsidTr="00FC3F8E">
        <w:trPr>
          <w:trHeight w:val="111"/>
        </w:trPr>
        <w:tc>
          <w:tcPr>
            <w:tcW w:w="1100" w:type="dxa"/>
            <w:tcBorders>
              <w:right w:val="single" w:sz="8" w:space="0" w:color="auto"/>
            </w:tcBorders>
            <w:shd w:val="clear" w:color="auto" w:fill="auto"/>
            <w:vAlign w:val="bottom"/>
          </w:tcPr>
          <w:p w14:paraId="5D1E93BF" w14:textId="77777777" w:rsidR="00A52778" w:rsidRPr="00460F9E" w:rsidRDefault="00A52778" w:rsidP="00FC3F8E">
            <w:pPr>
              <w:spacing w:line="0" w:lineRule="atLeast"/>
              <w:rPr>
                <w:rFonts w:eastAsia="Times New Roman" w:cs="Times New Roman"/>
                <w:b/>
                <w:sz w:val="9"/>
              </w:rPr>
            </w:pPr>
          </w:p>
        </w:tc>
        <w:tc>
          <w:tcPr>
            <w:tcW w:w="1520" w:type="dxa"/>
            <w:vMerge/>
            <w:tcBorders>
              <w:right w:val="single" w:sz="8" w:space="0" w:color="auto"/>
            </w:tcBorders>
            <w:shd w:val="clear" w:color="auto" w:fill="auto"/>
            <w:vAlign w:val="bottom"/>
          </w:tcPr>
          <w:p w14:paraId="7916EF35" w14:textId="77777777" w:rsidR="00A52778" w:rsidRPr="00460F9E" w:rsidRDefault="00A52778" w:rsidP="00FC3F8E">
            <w:pPr>
              <w:spacing w:line="219" w:lineRule="exact"/>
              <w:jc w:val="center"/>
              <w:rPr>
                <w:rFonts w:eastAsia="Times New Roman" w:cs="Times New Roman"/>
                <w:b/>
                <w:sz w:val="9"/>
              </w:rPr>
            </w:pPr>
          </w:p>
        </w:tc>
        <w:tc>
          <w:tcPr>
            <w:tcW w:w="1460" w:type="dxa"/>
            <w:vMerge w:val="restart"/>
            <w:tcBorders>
              <w:right w:val="single" w:sz="8" w:space="0" w:color="auto"/>
            </w:tcBorders>
            <w:shd w:val="clear" w:color="auto" w:fill="auto"/>
            <w:vAlign w:val="bottom"/>
          </w:tcPr>
          <w:p w14:paraId="7FE3C8E0" w14:textId="77777777" w:rsidR="00A52778" w:rsidRPr="00460F9E" w:rsidRDefault="00A52778" w:rsidP="00FC3F8E">
            <w:pPr>
              <w:spacing w:line="246" w:lineRule="exact"/>
              <w:jc w:val="center"/>
              <w:rPr>
                <w:rFonts w:eastAsia="Times New Roman" w:cs="Times New Roman"/>
                <w:b/>
                <w:w w:val="97"/>
              </w:rPr>
            </w:pPr>
            <w:r w:rsidRPr="00460F9E">
              <w:rPr>
                <w:rFonts w:eastAsia="Times New Roman" w:cs="Times New Roman"/>
                <w:w w:val="97"/>
              </w:rPr>
              <w:t>standardları (</w:t>
            </w:r>
            <w:r w:rsidRPr="00460F9E">
              <w:rPr>
                <w:rFonts w:eastAsia="Times New Roman" w:cs="Times New Roman"/>
                <w:w w:val="97"/>
                <w:sz w:val="25"/>
                <w:vertAlign w:val="superscript"/>
              </w:rPr>
              <w:t>2</w:t>
            </w:r>
            <w:r w:rsidRPr="00460F9E">
              <w:rPr>
                <w:rFonts w:eastAsia="Times New Roman" w:cs="Times New Roman"/>
                <w:w w:val="97"/>
              </w:rPr>
              <w:t>)</w:t>
            </w:r>
          </w:p>
        </w:tc>
        <w:tc>
          <w:tcPr>
            <w:tcW w:w="2720" w:type="dxa"/>
            <w:vMerge/>
            <w:tcBorders>
              <w:right w:val="single" w:sz="8" w:space="0" w:color="auto"/>
            </w:tcBorders>
            <w:shd w:val="clear" w:color="auto" w:fill="auto"/>
            <w:vAlign w:val="bottom"/>
          </w:tcPr>
          <w:p w14:paraId="609E26B2" w14:textId="77777777" w:rsidR="00A52778" w:rsidRPr="00460F9E" w:rsidRDefault="00A52778" w:rsidP="00FC3F8E">
            <w:pPr>
              <w:spacing w:line="0" w:lineRule="atLeast"/>
              <w:rPr>
                <w:rFonts w:eastAsia="Times New Roman" w:cs="Times New Roman"/>
                <w:b/>
                <w:sz w:val="9"/>
              </w:rPr>
            </w:pPr>
          </w:p>
        </w:tc>
        <w:tc>
          <w:tcPr>
            <w:tcW w:w="1960" w:type="dxa"/>
            <w:tcBorders>
              <w:right w:val="single" w:sz="8" w:space="0" w:color="auto"/>
            </w:tcBorders>
            <w:shd w:val="clear" w:color="auto" w:fill="auto"/>
            <w:vAlign w:val="bottom"/>
          </w:tcPr>
          <w:p w14:paraId="2E3F551B" w14:textId="77777777" w:rsidR="00A52778" w:rsidRPr="00460F9E" w:rsidRDefault="00A52778" w:rsidP="00FC3F8E">
            <w:pPr>
              <w:spacing w:line="0" w:lineRule="atLeast"/>
              <w:rPr>
                <w:rFonts w:eastAsia="Times New Roman" w:cs="Times New Roman"/>
                <w:b/>
                <w:sz w:val="9"/>
              </w:rPr>
            </w:pPr>
          </w:p>
        </w:tc>
      </w:tr>
      <w:tr w:rsidR="00A52778" w:rsidRPr="00460F9E" w14:paraId="7239121C" w14:textId="77777777" w:rsidTr="00FC3F8E">
        <w:trPr>
          <w:trHeight w:val="136"/>
        </w:trPr>
        <w:tc>
          <w:tcPr>
            <w:tcW w:w="1100" w:type="dxa"/>
            <w:tcBorders>
              <w:right w:val="single" w:sz="8" w:space="0" w:color="auto"/>
            </w:tcBorders>
            <w:shd w:val="clear" w:color="auto" w:fill="auto"/>
            <w:vAlign w:val="bottom"/>
          </w:tcPr>
          <w:p w14:paraId="6A637248" w14:textId="77777777" w:rsidR="00A52778" w:rsidRPr="00460F9E" w:rsidRDefault="00A52778" w:rsidP="00FC3F8E">
            <w:pPr>
              <w:spacing w:line="0" w:lineRule="atLeast"/>
              <w:rPr>
                <w:rFonts w:eastAsia="Times New Roman" w:cs="Times New Roman"/>
                <w:b/>
                <w:sz w:val="11"/>
              </w:rPr>
            </w:pPr>
          </w:p>
        </w:tc>
        <w:tc>
          <w:tcPr>
            <w:tcW w:w="1520" w:type="dxa"/>
            <w:vMerge/>
            <w:tcBorders>
              <w:right w:val="single" w:sz="8" w:space="0" w:color="auto"/>
            </w:tcBorders>
            <w:shd w:val="clear" w:color="auto" w:fill="auto"/>
            <w:vAlign w:val="bottom"/>
          </w:tcPr>
          <w:p w14:paraId="04242BBF" w14:textId="77777777" w:rsidR="00A52778" w:rsidRPr="00460F9E" w:rsidRDefault="00A52778" w:rsidP="00FC3F8E">
            <w:pPr>
              <w:spacing w:line="219" w:lineRule="exact"/>
              <w:jc w:val="center"/>
              <w:rPr>
                <w:rFonts w:eastAsia="Times New Roman" w:cs="Times New Roman"/>
                <w:b/>
              </w:rPr>
            </w:pPr>
          </w:p>
        </w:tc>
        <w:tc>
          <w:tcPr>
            <w:tcW w:w="1460" w:type="dxa"/>
            <w:vMerge/>
            <w:tcBorders>
              <w:right w:val="single" w:sz="8" w:space="0" w:color="auto"/>
            </w:tcBorders>
            <w:shd w:val="clear" w:color="auto" w:fill="auto"/>
            <w:vAlign w:val="bottom"/>
          </w:tcPr>
          <w:p w14:paraId="7AAEEDF7" w14:textId="77777777" w:rsidR="00A52778" w:rsidRPr="00460F9E" w:rsidRDefault="00A52778" w:rsidP="00FC3F8E">
            <w:pPr>
              <w:spacing w:line="0" w:lineRule="atLeast"/>
              <w:rPr>
                <w:rFonts w:eastAsia="Times New Roman" w:cs="Times New Roman"/>
                <w:b/>
                <w:sz w:val="11"/>
              </w:rPr>
            </w:pPr>
          </w:p>
        </w:tc>
        <w:tc>
          <w:tcPr>
            <w:tcW w:w="2720" w:type="dxa"/>
            <w:tcBorders>
              <w:right w:val="single" w:sz="8" w:space="0" w:color="auto"/>
            </w:tcBorders>
            <w:shd w:val="clear" w:color="auto" w:fill="auto"/>
            <w:vAlign w:val="bottom"/>
          </w:tcPr>
          <w:p w14:paraId="23EC03AF" w14:textId="77777777" w:rsidR="00A52778" w:rsidRPr="00460F9E" w:rsidRDefault="00A52778" w:rsidP="00FC3F8E">
            <w:pPr>
              <w:spacing w:line="0" w:lineRule="atLeast"/>
              <w:rPr>
                <w:rFonts w:eastAsia="Times New Roman" w:cs="Times New Roman"/>
                <w:b/>
                <w:sz w:val="11"/>
              </w:rPr>
            </w:pPr>
          </w:p>
        </w:tc>
        <w:tc>
          <w:tcPr>
            <w:tcW w:w="1960" w:type="dxa"/>
            <w:tcBorders>
              <w:right w:val="single" w:sz="8" w:space="0" w:color="auto"/>
            </w:tcBorders>
            <w:shd w:val="clear" w:color="auto" w:fill="auto"/>
            <w:vAlign w:val="bottom"/>
          </w:tcPr>
          <w:p w14:paraId="30561A3B" w14:textId="77777777" w:rsidR="00A52778" w:rsidRPr="00460F9E" w:rsidRDefault="00A52778" w:rsidP="00FC3F8E">
            <w:pPr>
              <w:spacing w:line="0" w:lineRule="atLeast"/>
              <w:rPr>
                <w:rFonts w:eastAsia="Times New Roman" w:cs="Times New Roman"/>
                <w:b/>
                <w:sz w:val="11"/>
              </w:rPr>
            </w:pPr>
          </w:p>
        </w:tc>
      </w:tr>
      <w:tr w:rsidR="00A52778" w:rsidRPr="00460F9E" w14:paraId="487F4E3B" w14:textId="77777777" w:rsidTr="00FC3F8E">
        <w:trPr>
          <w:trHeight w:val="106"/>
        </w:trPr>
        <w:tc>
          <w:tcPr>
            <w:tcW w:w="1100" w:type="dxa"/>
            <w:vMerge w:val="restart"/>
            <w:tcBorders>
              <w:right w:val="single" w:sz="8" w:space="0" w:color="auto"/>
            </w:tcBorders>
            <w:shd w:val="clear" w:color="auto" w:fill="auto"/>
            <w:vAlign w:val="center"/>
          </w:tcPr>
          <w:p w14:paraId="1278C3B8" w14:textId="77777777" w:rsidR="00A52778" w:rsidRPr="00460F9E" w:rsidRDefault="00A52778" w:rsidP="00FC3F8E">
            <w:pPr>
              <w:spacing w:line="219" w:lineRule="exact"/>
              <w:ind w:left="100"/>
              <w:rPr>
                <w:rFonts w:eastAsia="Times New Roman" w:cs="Times New Roman"/>
                <w:b/>
              </w:rPr>
            </w:pPr>
            <w:r w:rsidRPr="00460F9E">
              <w:rPr>
                <w:rFonts w:eastAsia="Times New Roman" w:cs="Times New Roman"/>
              </w:rPr>
              <w:t xml:space="preserve">   VCM</w:t>
            </w:r>
          </w:p>
        </w:tc>
        <w:tc>
          <w:tcPr>
            <w:tcW w:w="1520" w:type="dxa"/>
            <w:vMerge/>
            <w:tcBorders>
              <w:bottom w:val="single" w:sz="8" w:space="0" w:color="auto"/>
              <w:right w:val="single" w:sz="8" w:space="0" w:color="auto"/>
            </w:tcBorders>
            <w:shd w:val="clear" w:color="auto" w:fill="auto"/>
            <w:vAlign w:val="bottom"/>
          </w:tcPr>
          <w:p w14:paraId="3DF933F3" w14:textId="77777777" w:rsidR="00A52778" w:rsidRPr="00460F9E" w:rsidRDefault="00A52778" w:rsidP="00FC3F8E">
            <w:pPr>
              <w:spacing w:line="0" w:lineRule="atLeast"/>
              <w:rPr>
                <w:rFonts w:eastAsia="Times New Roman" w:cs="Times New Roman"/>
                <w:b/>
                <w:sz w:val="9"/>
              </w:rPr>
            </w:pPr>
          </w:p>
        </w:tc>
        <w:tc>
          <w:tcPr>
            <w:tcW w:w="1460" w:type="dxa"/>
            <w:tcBorders>
              <w:bottom w:val="single" w:sz="8" w:space="0" w:color="auto"/>
              <w:right w:val="single" w:sz="8" w:space="0" w:color="auto"/>
            </w:tcBorders>
            <w:shd w:val="clear" w:color="auto" w:fill="auto"/>
            <w:vAlign w:val="bottom"/>
          </w:tcPr>
          <w:p w14:paraId="1C4ABD68" w14:textId="77777777" w:rsidR="00A52778" w:rsidRPr="00460F9E" w:rsidRDefault="00A52778" w:rsidP="00FC3F8E">
            <w:pPr>
              <w:spacing w:line="0" w:lineRule="atLeast"/>
              <w:rPr>
                <w:rFonts w:eastAsia="Times New Roman" w:cs="Times New Roman"/>
                <w:b/>
                <w:sz w:val="9"/>
              </w:rPr>
            </w:pPr>
          </w:p>
        </w:tc>
        <w:tc>
          <w:tcPr>
            <w:tcW w:w="2720" w:type="dxa"/>
            <w:tcBorders>
              <w:bottom w:val="single" w:sz="8" w:space="0" w:color="auto"/>
              <w:right w:val="single" w:sz="8" w:space="0" w:color="auto"/>
            </w:tcBorders>
            <w:shd w:val="clear" w:color="auto" w:fill="auto"/>
            <w:vAlign w:val="bottom"/>
          </w:tcPr>
          <w:p w14:paraId="7A51073C" w14:textId="77777777" w:rsidR="00A52778" w:rsidRPr="00460F9E" w:rsidRDefault="00A52778" w:rsidP="00FC3F8E">
            <w:pPr>
              <w:spacing w:line="0" w:lineRule="atLeast"/>
              <w:rPr>
                <w:rFonts w:eastAsia="Times New Roman" w:cs="Times New Roman"/>
                <w:b/>
                <w:sz w:val="9"/>
              </w:rPr>
            </w:pPr>
          </w:p>
        </w:tc>
        <w:tc>
          <w:tcPr>
            <w:tcW w:w="1960" w:type="dxa"/>
            <w:vMerge w:val="restart"/>
            <w:tcBorders>
              <w:right w:val="single" w:sz="8" w:space="0" w:color="auto"/>
            </w:tcBorders>
            <w:shd w:val="clear" w:color="auto" w:fill="auto"/>
            <w:vAlign w:val="bottom"/>
          </w:tcPr>
          <w:p w14:paraId="118F7B71" w14:textId="77777777" w:rsidR="00A52778" w:rsidRPr="00460F9E" w:rsidRDefault="002A1746" w:rsidP="00FC3F8E">
            <w:pPr>
              <w:spacing w:line="219" w:lineRule="exact"/>
              <w:jc w:val="center"/>
              <w:rPr>
                <w:rFonts w:eastAsia="Times New Roman" w:cs="Times New Roman"/>
                <w:b/>
              </w:rPr>
            </w:pPr>
            <w:hyperlink w:anchor="page323" w:history="1">
              <w:r w:rsidR="00A52778" w:rsidRPr="00460F9E">
                <w:rPr>
                  <w:rFonts w:eastAsia="Times New Roman" w:cs="Times New Roman"/>
                </w:rPr>
                <w:t>MET 29</w:t>
              </w:r>
            </w:hyperlink>
          </w:p>
        </w:tc>
      </w:tr>
      <w:tr w:rsidR="00A52778" w:rsidRPr="00460F9E" w14:paraId="7A11A7A2" w14:textId="77777777" w:rsidTr="00FC3F8E">
        <w:trPr>
          <w:trHeight w:val="93"/>
        </w:trPr>
        <w:tc>
          <w:tcPr>
            <w:tcW w:w="1100" w:type="dxa"/>
            <w:vMerge/>
            <w:tcBorders>
              <w:right w:val="single" w:sz="8" w:space="0" w:color="auto"/>
            </w:tcBorders>
            <w:shd w:val="clear" w:color="auto" w:fill="auto"/>
            <w:vAlign w:val="bottom"/>
          </w:tcPr>
          <w:p w14:paraId="56E8FF67" w14:textId="77777777" w:rsidR="00A52778" w:rsidRPr="00460F9E" w:rsidRDefault="00A52778" w:rsidP="00FC3F8E">
            <w:pPr>
              <w:spacing w:line="0" w:lineRule="atLeast"/>
              <w:rPr>
                <w:rFonts w:eastAsia="Times New Roman" w:cs="Times New Roman"/>
                <w:b/>
                <w:sz w:val="8"/>
              </w:rPr>
            </w:pPr>
          </w:p>
        </w:tc>
        <w:tc>
          <w:tcPr>
            <w:tcW w:w="1520" w:type="dxa"/>
            <w:vMerge w:val="restart"/>
            <w:tcBorders>
              <w:right w:val="single" w:sz="8" w:space="0" w:color="auto"/>
            </w:tcBorders>
            <w:shd w:val="clear" w:color="auto" w:fill="auto"/>
            <w:vAlign w:val="bottom"/>
          </w:tcPr>
          <w:p w14:paraId="439B07AE" w14:textId="77777777" w:rsidR="00A52778" w:rsidRPr="00460F9E" w:rsidRDefault="00A52778" w:rsidP="00FC3F8E">
            <w:pPr>
              <w:spacing w:line="219" w:lineRule="exact"/>
              <w:jc w:val="center"/>
              <w:rPr>
                <w:rFonts w:eastAsia="Times New Roman" w:cs="Times New Roman"/>
                <w:b/>
                <w:w w:val="99"/>
              </w:rPr>
            </w:pPr>
            <w:r w:rsidRPr="00460F9E">
              <w:rPr>
                <w:rFonts w:eastAsia="Times New Roman" w:cs="Times New Roman"/>
                <w:w w:val="99"/>
              </w:rPr>
              <w:t>VCM kütle akışı &lt;25 g/saat olan herhangi bir baca</w:t>
            </w:r>
          </w:p>
        </w:tc>
        <w:tc>
          <w:tcPr>
            <w:tcW w:w="1460" w:type="dxa"/>
            <w:vMerge w:val="restart"/>
            <w:tcBorders>
              <w:right w:val="single" w:sz="8" w:space="0" w:color="auto"/>
            </w:tcBorders>
            <w:shd w:val="clear" w:color="auto" w:fill="auto"/>
            <w:vAlign w:val="center"/>
          </w:tcPr>
          <w:p w14:paraId="2D828251" w14:textId="77777777" w:rsidR="00A52778" w:rsidRPr="00460F9E" w:rsidRDefault="00A52778" w:rsidP="00FC3F8E">
            <w:pPr>
              <w:spacing w:line="219" w:lineRule="exact"/>
              <w:jc w:val="center"/>
              <w:rPr>
                <w:rFonts w:eastAsia="Times New Roman" w:cs="Times New Roman"/>
                <w:b/>
                <w:w w:val="99"/>
              </w:rPr>
            </w:pPr>
            <w:r w:rsidRPr="00460F9E">
              <w:rPr>
                <w:rFonts w:eastAsia="Times New Roman" w:cs="Times New Roman"/>
                <w:w w:val="99"/>
              </w:rPr>
              <w:t>EN standardı mevcut değil</w:t>
            </w:r>
          </w:p>
        </w:tc>
        <w:tc>
          <w:tcPr>
            <w:tcW w:w="2720" w:type="dxa"/>
            <w:tcBorders>
              <w:right w:val="single" w:sz="8" w:space="0" w:color="auto"/>
            </w:tcBorders>
            <w:shd w:val="clear" w:color="auto" w:fill="auto"/>
            <w:vAlign w:val="bottom"/>
          </w:tcPr>
          <w:p w14:paraId="02CE2AAE" w14:textId="77777777" w:rsidR="00A52778" w:rsidRPr="00460F9E" w:rsidRDefault="00A52778" w:rsidP="00FC3F8E">
            <w:pPr>
              <w:spacing w:line="0" w:lineRule="atLeast"/>
              <w:rPr>
                <w:rFonts w:eastAsia="Times New Roman" w:cs="Times New Roman"/>
                <w:b/>
                <w:sz w:val="8"/>
              </w:rPr>
            </w:pPr>
          </w:p>
        </w:tc>
        <w:tc>
          <w:tcPr>
            <w:tcW w:w="1960" w:type="dxa"/>
            <w:vMerge/>
            <w:tcBorders>
              <w:right w:val="single" w:sz="8" w:space="0" w:color="auto"/>
            </w:tcBorders>
            <w:shd w:val="clear" w:color="auto" w:fill="auto"/>
            <w:vAlign w:val="bottom"/>
          </w:tcPr>
          <w:p w14:paraId="3A48131A" w14:textId="77777777" w:rsidR="00A52778" w:rsidRPr="00460F9E" w:rsidRDefault="00A52778" w:rsidP="00FC3F8E">
            <w:pPr>
              <w:spacing w:line="0" w:lineRule="atLeast"/>
              <w:rPr>
                <w:rFonts w:eastAsia="Times New Roman" w:cs="Times New Roman"/>
                <w:b/>
                <w:sz w:val="8"/>
              </w:rPr>
            </w:pPr>
          </w:p>
        </w:tc>
      </w:tr>
      <w:tr w:rsidR="00A52778" w:rsidRPr="00460F9E" w14:paraId="5BDCDF74" w14:textId="77777777" w:rsidTr="00FC3F8E">
        <w:trPr>
          <w:trHeight w:val="127"/>
        </w:trPr>
        <w:tc>
          <w:tcPr>
            <w:tcW w:w="1100" w:type="dxa"/>
            <w:tcBorders>
              <w:right w:val="single" w:sz="8" w:space="0" w:color="auto"/>
            </w:tcBorders>
            <w:shd w:val="clear" w:color="auto" w:fill="auto"/>
            <w:vAlign w:val="bottom"/>
          </w:tcPr>
          <w:p w14:paraId="1258E4DF" w14:textId="77777777" w:rsidR="00A52778" w:rsidRPr="00460F9E" w:rsidRDefault="00A52778" w:rsidP="00FC3F8E">
            <w:pPr>
              <w:spacing w:line="0" w:lineRule="atLeast"/>
              <w:rPr>
                <w:rFonts w:eastAsia="Times New Roman" w:cs="Times New Roman"/>
                <w:b/>
                <w:sz w:val="11"/>
              </w:rPr>
            </w:pPr>
          </w:p>
        </w:tc>
        <w:tc>
          <w:tcPr>
            <w:tcW w:w="1520" w:type="dxa"/>
            <w:vMerge/>
            <w:tcBorders>
              <w:right w:val="single" w:sz="8" w:space="0" w:color="auto"/>
            </w:tcBorders>
            <w:shd w:val="clear" w:color="auto" w:fill="auto"/>
            <w:vAlign w:val="bottom"/>
          </w:tcPr>
          <w:p w14:paraId="7750EB97" w14:textId="77777777" w:rsidR="00A52778" w:rsidRPr="00460F9E" w:rsidRDefault="00A52778" w:rsidP="00FC3F8E">
            <w:pPr>
              <w:spacing w:line="219" w:lineRule="exact"/>
              <w:jc w:val="center"/>
              <w:rPr>
                <w:rFonts w:eastAsia="Times New Roman" w:cs="Times New Roman"/>
                <w:b/>
                <w:sz w:val="11"/>
              </w:rPr>
            </w:pPr>
          </w:p>
        </w:tc>
        <w:tc>
          <w:tcPr>
            <w:tcW w:w="1460" w:type="dxa"/>
            <w:vMerge/>
            <w:tcBorders>
              <w:right w:val="single" w:sz="8" w:space="0" w:color="auto"/>
            </w:tcBorders>
            <w:shd w:val="clear" w:color="auto" w:fill="auto"/>
            <w:vAlign w:val="bottom"/>
          </w:tcPr>
          <w:p w14:paraId="766B02FA" w14:textId="77777777" w:rsidR="00A52778" w:rsidRPr="00460F9E" w:rsidRDefault="00A52778" w:rsidP="00FC3F8E">
            <w:pPr>
              <w:spacing w:line="219" w:lineRule="exact"/>
              <w:jc w:val="center"/>
              <w:rPr>
                <w:rFonts w:eastAsia="Times New Roman" w:cs="Times New Roman"/>
                <w:b/>
                <w:sz w:val="11"/>
              </w:rPr>
            </w:pPr>
          </w:p>
        </w:tc>
        <w:tc>
          <w:tcPr>
            <w:tcW w:w="2720" w:type="dxa"/>
            <w:tcBorders>
              <w:right w:val="single" w:sz="8" w:space="0" w:color="auto"/>
            </w:tcBorders>
            <w:shd w:val="clear" w:color="auto" w:fill="auto"/>
            <w:vAlign w:val="bottom"/>
          </w:tcPr>
          <w:p w14:paraId="025E2C3B" w14:textId="77777777" w:rsidR="00A52778" w:rsidRPr="00460F9E" w:rsidRDefault="00A52778" w:rsidP="00FC3F8E">
            <w:pPr>
              <w:spacing w:line="0" w:lineRule="atLeast"/>
              <w:rPr>
                <w:rFonts w:eastAsia="Times New Roman" w:cs="Times New Roman"/>
                <w:b/>
                <w:sz w:val="11"/>
              </w:rPr>
            </w:pPr>
          </w:p>
        </w:tc>
        <w:tc>
          <w:tcPr>
            <w:tcW w:w="1960" w:type="dxa"/>
            <w:tcBorders>
              <w:right w:val="single" w:sz="8" w:space="0" w:color="auto"/>
            </w:tcBorders>
            <w:shd w:val="clear" w:color="auto" w:fill="auto"/>
            <w:vAlign w:val="bottom"/>
          </w:tcPr>
          <w:p w14:paraId="71D38D33" w14:textId="77777777" w:rsidR="00A52778" w:rsidRPr="00460F9E" w:rsidRDefault="00A52778" w:rsidP="00FC3F8E">
            <w:pPr>
              <w:spacing w:line="0" w:lineRule="atLeast"/>
              <w:rPr>
                <w:rFonts w:eastAsia="Times New Roman" w:cs="Times New Roman"/>
                <w:b/>
                <w:sz w:val="11"/>
              </w:rPr>
            </w:pPr>
          </w:p>
        </w:tc>
      </w:tr>
      <w:tr w:rsidR="00A52778" w:rsidRPr="00460F9E" w14:paraId="2F5ACB8D" w14:textId="77777777" w:rsidTr="00FC3F8E">
        <w:trPr>
          <w:trHeight w:val="242"/>
        </w:trPr>
        <w:tc>
          <w:tcPr>
            <w:tcW w:w="1100" w:type="dxa"/>
            <w:tcBorders>
              <w:right w:val="single" w:sz="8" w:space="0" w:color="auto"/>
            </w:tcBorders>
            <w:shd w:val="clear" w:color="auto" w:fill="auto"/>
            <w:vAlign w:val="bottom"/>
          </w:tcPr>
          <w:p w14:paraId="437554B5" w14:textId="77777777" w:rsidR="00A52778" w:rsidRPr="00460F9E" w:rsidRDefault="00A52778" w:rsidP="00FC3F8E">
            <w:pPr>
              <w:spacing w:line="0" w:lineRule="atLeast"/>
              <w:rPr>
                <w:rFonts w:eastAsia="Times New Roman" w:cs="Times New Roman"/>
                <w:b/>
                <w:sz w:val="21"/>
              </w:rPr>
            </w:pPr>
          </w:p>
        </w:tc>
        <w:tc>
          <w:tcPr>
            <w:tcW w:w="1520" w:type="dxa"/>
            <w:vMerge/>
            <w:tcBorders>
              <w:right w:val="single" w:sz="8" w:space="0" w:color="auto"/>
            </w:tcBorders>
            <w:shd w:val="clear" w:color="auto" w:fill="auto"/>
            <w:vAlign w:val="bottom"/>
          </w:tcPr>
          <w:p w14:paraId="073F8F5B" w14:textId="77777777" w:rsidR="00A52778" w:rsidRPr="00460F9E" w:rsidRDefault="00A52778" w:rsidP="00FC3F8E">
            <w:pPr>
              <w:spacing w:line="219" w:lineRule="exact"/>
              <w:jc w:val="center"/>
              <w:rPr>
                <w:rFonts w:eastAsia="Times New Roman" w:cs="Times New Roman"/>
                <w:b/>
                <w:w w:val="99"/>
              </w:rPr>
            </w:pPr>
          </w:p>
        </w:tc>
        <w:tc>
          <w:tcPr>
            <w:tcW w:w="1460" w:type="dxa"/>
            <w:vMerge/>
            <w:tcBorders>
              <w:right w:val="single" w:sz="8" w:space="0" w:color="auto"/>
            </w:tcBorders>
            <w:shd w:val="clear" w:color="auto" w:fill="auto"/>
            <w:vAlign w:val="bottom"/>
          </w:tcPr>
          <w:p w14:paraId="2C6B433E" w14:textId="77777777" w:rsidR="00A52778" w:rsidRPr="00460F9E" w:rsidRDefault="00A52778" w:rsidP="00FC3F8E">
            <w:pPr>
              <w:spacing w:line="219" w:lineRule="exact"/>
              <w:jc w:val="center"/>
              <w:rPr>
                <w:rFonts w:eastAsia="Times New Roman" w:cs="Times New Roman"/>
                <w:b/>
              </w:rPr>
            </w:pPr>
          </w:p>
        </w:tc>
        <w:tc>
          <w:tcPr>
            <w:tcW w:w="2720" w:type="dxa"/>
            <w:tcBorders>
              <w:right w:val="single" w:sz="8" w:space="0" w:color="auto"/>
            </w:tcBorders>
            <w:shd w:val="clear" w:color="auto" w:fill="auto"/>
            <w:vAlign w:val="bottom"/>
          </w:tcPr>
          <w:p w14:paraId="29FF694E" w14:textId="77777777" w:rsidR="00A52778" w:rsidRPr="00460F9E" w:rsidRDefault="00A52778" w:rsidP="00FC3F8E">
            <w:pPr>
              <w:spacing w:line="228" w:lineRule="exact"/>
              <w:jc w:val="center"/>
              <w:rPr>
                <w:rFonts w:eastAsia="Times New Roman" w:cs="Times New Roman"/>
                <w:b/>
              </w:rPr>
            </w:pPr>
            <w:r w:rsidRPr="00460F9E">
              <w:rPr>
                <w:rFonts w:eastAsia="Times New Roman" w:cs="Times New Roman"/>
              </w:rPr>
              <w:t>Her 6 ayda    bir kere</w:t>
            </w:r>
          </w:p>
          <w:p w14:paraId="4677AFA0" w14:textId="77777777" w:rsidR="00A52778" w:rsidRPr="00460F9E" w:rsidRDefault="00A52778" w:rsidP="00FC3F8E">
            <w:pPr>
              <w:spacing w:line="241" w:lineRule="exact"/>
              <w:jc w:val="center"/>
              <w:rPr>
                <w:rFonts w:eastAsia="Times New Roman" w:cs="Times New Roman"/>
                <w:b/>
                <w:w w:val="98"/>
              </w:rPr>
            </w:pPr>
            <w:r w:rsidRPr="00460F9E">
              <w:rPr>
                <w:rFonts w:eastAsia="Times New Roman" w:cs="Times New Roman"/>
                <w:w w:val="98"/>
              </w:rPr>
              <w:t>(</w:t>
            </w:r>
            <w:r w:rsidRPr="00460F9E">
              <w:rPr>
                <w:rFonts w:eastAsia="Times New Roman" w:cs="Times New Roman"/>
                <w:w w:val="98"/>
                <w:sz w:val="25"/>
                <w:vertAlign w:val="superscript"/>
              </w:rPr>
              <w:t>4</w:t>
            </w:r>
            <w:r w:rsidRPr="00460F9E">
              <w:rPr>
                <w:rFonts w:eastAsia="Times New Roman" w:cs="Times New Roman"/>
                <w:w w:val="98"/>
              </w:rPr>
              <w:t>) (</w:t>
            </w:r>
            <w:r w:rsidRPr="00460F9E">
              <w:rPr>
                <w:rFonts w:eastAsia="Times New Roman" w:cs="Times New Roman"/>
                <w:w w:val="98"/>
                <w:sz w:val="25"/>
                <w:vertAlign w:val="superscript"/>
              </w:rPr>
              <w:t>5</w:t>
            </w:r>
            <w:r w:rsidRPr="00460F9E">
              <w:rPr>
                <w:rFonts w:eastAsia="Times New Roman" w:cs="Times New Roman"/>
                <w:w w:val="98"/>
              </w:rPr>
              <w:t>)</w:t>
            </w:r>
          </w:p>
        </w:tc>
        <w:tc>
          <w:tcPr>
            <w:tcW w:w="1960" w:type="dxa"/>
            <w:tcBorders>
              <w:right w:val="single" w:sz="8" w:space="0" w:color="auto"/>
            </w:tcBorders>
            <w:shd w:val="clear" w:color="auto" w:fill="auto"/>
            <w:vAlign w:val="bottom"/>
          </w:tcPr>
          <w:p w14:paraId="7899623E" w14:textId="77777777" w:rsidR="00A52778" w:rsidRPr="00460F9E" w:rsidRDefault="00A52778" w:rsidP="00FC3F8E">
            <w:pPr>
              <w:spacing w:line="0" w:lineRule="atLeast"/>
              <w:rPr>
                <w:rFonts w:eastAsia="Times New Roman" w:cs="Times New Roman"/>
                <w:b/>
                <w:sz w:val="21"/>
              </w:rPr>
            </w:pPr>
          </w:p>
        </w:tc>
      </w:tr>
      <w:tr w:rsidR="00A52778" w:rsidRPr="00460F9E" w14:paraId="6F568D6A" w14:textId="77777777" w:rsidTr="00FC3F8E">
        <w:trPr>
          <w:trHeight w:val="222"/>
        </w:trPr>
        <w:tc>
          <w:tcPr>
            <w:tcW w:w="1100" w:type="dxa"/>
            <w:tcBorders>
              <w:bottom w:val="single" w:sz="8" w:space="0" w:color="auto"/>
              <w:right w:val="single" w:sz="8" w:space="0" w:color="auto"/>
            </w:tcBorders>
            <w:shd w:val="clear" w:color="auto" w:fill="auto"/>
            <w:vAlign w:val="bottom"/>
          </w:tcPr>
          <w:p w14:paraId="493FB0C5" w14:textId="77777777" w:rsidR="00A52778" w:rsidRPr="00460F9E" w:rsidRDefault="00A52778" w:rsidP="00FC3F8E">
            <w:pPr>
              <w:spacing w:line="0" w:lineRule="atLeast"/>
              <w:rPr>
                <w:rFonts w:eastAsia="Times New Roman" w:cs="Times New Roman"/>
                <w:b/>
                <w:sz w:val="19"/>
              </w:rPr>
            </w:pPr>
          </w:p>
        </w:tc>
        <w:tc>
          <w:tcPr>
            <w:tcW w:w="1520" w:type="dxa"/>
            <w:vMerge/>
            <w:tcBorders>
              <w:bottom w:val="single" w:sz="8" w:space="0" w:color="auto"/>
              <w:right w:val="single" w:sz="8" w:space="0" w:color="auto"/>
            </w:tcBorders>
            <w:shd w:val="clear" w:color="auto" w:fill="auto"/>
            <w:vAlign w:val="bottom"/>
          </w:tcPr>
          <w:p w14:paraId="2B6D5986" w14:textId="77777777" w:rsidR="00A52778" w:rsidRPr="00460F9E" w:rsidRDefault="00A52778" w:rsidP="00FC3F8E">
            <w:pPr>
              <w:spacing w:line="219" w:lineRule="exact"/>
              <w:jc w:val="center"/>
              <w:rPr>
                <w:rFonts w:eastAsia="Times New Roman" w:cs="Times New Roman"/>
                <w:b/>
                <w:w w:val="99"/>
              </w:rPr>
            </w:pPr>
          </w:p>
        </w:tc>
        <w:tc>
          <w:tcPr>
            <w:tcW w:w="1460" w:type="dxa"/>
            <w:vMerge/>
            <w:tcBorders>
              <w:bottom w:val="single" w:sz="8" w:space="0" w:color="auto"/>
              <w:right w:val="single" w:sz="8" w:space="0" w:color="auto"/>
            </w:tcBorders>
            <w:shd w:val="clear" w:color="auto" w:fill="auto"/>
            <w:vAlign w:val="bottom"/>
          </w:tcPr>
          <w:p w14:paraId="1D1028FF" w14:textId="77777777" w:rsidR="00A52778" w:rsidRPr="00460F9E" w:rsidRDefault="00A52778" w:rsidP="00FC3F8E">
            <w:pPr>
              <w:spacing w:line="219" w:lineRule="exact"/>
              <w:jc w:val="center"/>
              <w:rPr>
                <w:rFonts w:eastAsia="Times New Roman" w:cs="Times New Roman"/>
                <w:b/>
                <w:w w:val="99"/>
              </w:rPr>
            </w:pPr>
          </w:p>
        </w:tc>
        <w:tc>
          <w:tcPr>
            <w:tcW w:w="2720" w:type="dxa"/>
            <w:tcBorders>
              <w:bottom w:val="single" w:sz="8" w:space="0" w:color="auto"/>
              <w:right w:val="single" w:sz="8" w:space="0" w:color="auto"/>
            </w:tcBorders>
            <w:shd w:val="clear" w:color="auto" w:fill="auto"/>
            <w:vAlign w:val="bottom"/>
          </w:tcPr>
          <w:p w14:paraId="100184C6" w14:textId="77777777" w:rsidR="00A52778" w:rsidRPr="00460F9E" w:rsidRDefault="00A52778" w:rsidP="00FC3F8E">
            <w:pPr>
              <w:spacing w:line="0" w:lineRule="atLeast"/>
              <w:rPr>
                <w:rFonts w:eastAsia="Times New Roman" w:cs="Times New Roman"/>
                <w:b/>
                <w:sz w:val="19"/>
              </w:rPr>
            </w:pPr>
          </w:p>
        </w:tc>
        <w:tc>
          <w:tcPr>
            <w:tcW w:w="1960" w:type="dxa"/>
            <w:tcBorders>
              <w:bottom w:val="single" w:sz="8" w:space="0" w:color="auto"/>
              <w:right w:val="single" w:sz="8" w:space="0" w:color="auto"/>
            </w:tcBorders>
            <w:shd w:val="clear" w:color="auto" w:fill="auto"/>
            <w:vAlign w:val="bottom"/>
          </w:tcPr>
          <w:p w14:paraId="254F5402" w14:textId="77777777" w:rsidR="00A52778" w:rsidRPr="00460F9E" w:rsidRDefault="00A52778" w:rsidP="00FC3F8E">
            <w:pPr>
              <w:spacing w:line="0" w:lineRule="atLeast"/>
              <w:rPr>
                <w:rFonts w:eastAsia="Times New Roman" w:cs="Times New Roman"/>
                <w:b/>
                <w:sz w:val="19"/>
              </w:rPr>
            </w:pPr>
          </w:p>
        </w:tc>
      </w:tr>
    </w:tbl>
    <w:p w14:paraId="667C20A7" w14:textId="77777777" w:rsidR="00A52778" w:rsidRPr="00460F9E" w:rsidRDefault="00A52778" w:rsidP="00A52778">
      <w:pPr>
        <w:spacing w:line="202" w:lineRule="auto"/>
        <w:ind w:left="400" w:right="826" w:hanging="283"/>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1</w:t>
      </w:r>
      <w:r w:rsidRPr="00460F9E">
        <w:rPr>
          <w:rFonts w:eastAsia="Times New Roman" w:cs="Times New Roman"/>
          <w:sz w:val="18"/>
        </w:rPr>
        <w:t xml:space="preserve">) PVC' nin aktarılması, taşınması ve depolanmasının yanı sıra son işlem adımlarından (örn. kurutma, harmanlama) kaynaklanan VCM emisyonlarının izlenmesi, MET 27' deki izleme ile değiştirilebilir. </w:t>
      </w:r>
    </w:p>
    <w:p w14:paraId="42FD9E54" w14:textId="77777777" w:rsidR="00A52778" w:rsidRPr="00460F9E" w:rsidRDefault="00A52778" w:rsidP="00A52778">
      <w:pPr>
        <w:spacing w:line="20" w:lineRule="exact"/>
        <w:rPr>
          <w:rFonts w:eastAsia="Times New Roman" w:cs="Times New Roman"/>
          <w:b/>
        </w:rPr>
      </w:pPr>
    </w:p>
    <w:p w14:paraId="16AFD96E" w14:textId="77777777" w:rsidR="00A52778" w:rsidRPr="00460F9E" w:rsidRDefault="00A52778" w:rsidP="00A52778">
      <w:pPr>
        <w:spacing w:line="188" w:lineRule="auto"/>
        <w:ind w:left="100"/>
        <w:rPr>
          <w:rFonts w:eastAsia="Times New Roman" w:cs="Times New Roman"/>
          <w:b/>
        </w:rPr>
      </w:pPr>
      <w:r w:rsidRPr="00460F9E">
        <w:rPr>
          <w:rFonts w:eastAsia="Times New Roman" w:cs="Times New Roman"/>
          <w:sz w:val="18"/>
        </w:rPr>
        <w:t>(</w:t>
      </w:r>
      <w:r w:rsidRPr="00460F9E">
        <w:rPr>
          <w:rFonts w:eastAsia="Times New Roman" w:cs="Times New Roman"/>
          <w:vertAlign w:val="superscript"/>
        </w:rPr>
        <w:t>2</w:t>
      </w:r>
      <w:r w:rsidRPr="00460F9E">
        <w:rPr>
          <w:rFonts w:eastAsia="Times New Roman" w:cs="Times New Roman"/>
          <w:sz w:val="18"/>
        </w:rPr>
        <w:t>)  Sürekli ölçümler için genel EN standartları EN 14181, EN 15267-1, EN 15267-2 ve EN 15267-3' tür.</w:t>
      </w:r>
    </w:p>
    <w:p w14:paraId="73350D6D" w14:textId="77777777" w:rsidR="00A52778" w:rsidRPr="00460F9E" w:rsidRDefault="00A52778" w:rsidP="00A52778">
      <w:pPr>
        <w:spacing w:line="201" w:lineRule="auto"/>
        <w:ind w:left="400" w:right="826" w:hanging="283"/>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3</w:t>
      </w:r>
      <w:r w:rsidRPr="00460F9E">
        <w:rPr>
          <w:rFonts w:eastAsia="Times New Roman" w:cs="Times New Roman"/>
          <w:sz w:val="18"/>
        </w:rPr>
        <w:t>) Emisyon seviyelerinin yeterince istikrarlı olduğu kanıtlanırsa minimum izleme sıklığı 6 ayda bir kereye düşürülebilir.</w:t>
      </w:r>
    </w:p>
    <w:p w14:paraId="5550FED7" w14:textId="77777777" w:rsidR="00A52778" w:rsidRPr="00460F9E" w:rsidRDefault="00A52778" w:rsidP="00A52778">
      <w:pPr>
        <w:spacing w:line="4" w:lineRule="exact"/>
        <w:rPr>
          <w:rFonts w:eastAsia="Times New Roman" w:cs="Times New Roman"/>
          <w:b/>
        </w:rPr>
      </w:pPr>
    </w:p>
    <w:p w14:paraId="1F4D5BD8" w14:textId="77777777" w:rsidR="00A52778" w:rsidRPr="00460F9E" w:rsidRDefault="00A52778" w:rsidP="00A52778">
      <w:pPr>
        <w:spacing w:line="203" w:lineRule="auto"/>
        <w:ind w:left="400" w:right="826" w:hanging="283"/>
        <w:rPr>
          <w:rFonts w:eastAsia="Times New Roman" w:cs="Times New Roman"/>
          <w:b/>
        </w:rPr>
      </w:pPr>
      <w:r w:rsidRPr="00460F9E">
        <w:rPr>
          <w:rFonts w:eastAsia="Times New Roman" w:cs="Times New Roman"/>
          <w:sz w:val="18"/>
        </w:rPr>
        <w:t>(</w:t>
      </w:r>
      <w:r w:rsidRPr="00460F9E">
        <w:rPr>
          <w:rFonts w:eastAsia="Times New Roman" w:cs="Times New Roman"/>
          <w:vertAlign w:val="superscript"/>
        </w:rPr>
        <w:t>4</w:t>
      </w:r>
      <w:r w:rsidRPr="00460F9E">
        <w:rPr>
          <w:rFonts w:eastAsia="Times New Roman" w:cs="Times New Roman"/>
          <w:sz w:val="18"/>
        </w:rPr>
        <w:t>) Mümkün olduğunca, ölçümler normal çalışma koşulları altında beklenen en yüksek emisyon durumunda gerçekleştirilir.</w:t>
      </w:r>
    </w:p>
    <w:p w14:paraId="75C929DC" w14:textId="77777777" w:rsidR="00A52778" w:rsidRPr="00460F9E" w:rsidRDefault="00A52778" w:rsidP="00A52778">
      <w:pPr>
        <w:spacing w:line="203" w:lineRule="auto"/>
        <w:ind w:left="400" w:right="826" w:hanging="283"/>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5</w:t>
      </w:r>
      <w:r w:rsidRPr="00460F9E">
        <w:rPr>
          <w:rFonts w:eastAsia="Times New Roman" w:cs="Times New Roman"/>
          <w:sz w:val="18"/>
        </w:rPr>
        <w:t>) Emisyon seviyelerinin yeterince istikrarlı olduğu kanıtlanırsa minimum izleme sıklığı yılda bir kereye düşürülebilir.</w:t>
      </w:r>
    </w:p>
    <w:p w14:paraId="4157C632" w14:textId="77777777" w:rsidR="00A52778" w:rsidRPr="00460F9E" w:rsidRDefault="00A52778" w:rsidP="00A52778">
      <w:pPr>
        <w:spacing w:line="203" w:lineRule="auto"/>
        <w:ind w:left="400" w:right="826" w:hanging="283"/>
        <w:rPr>
          <w:rFonts w:eastAsia="Times New Roman" w:cs="Times New Roman"/>
          <w:b/>
          <w:sz w:val="18"/>
        </w:rPr>
      </w:pPr>
      <w:r w:rsidRPr="00460F9E">
        <w:rPr>
          <w:rFonts w:eastAsia="Times New Roman" w:cs="Times New Roman"/>
          <w:b/>
          <w:noProof/>
          <w:sz w:val="18"/>
          <w:lang w:val="tr-TR" w:eastAsia="tr-TR"/>
        </w:rPr>
        <mc:AlternateContent>
          <mc:Choice Requires="wps">
            <w:drawing>
              <wp:anchor distT="0" distB="0" distL="114300" distR="114300" simplePos="0" relativeHeight="251687936" behindDoc="1" locked="0" layoutInCell="1" allowOverlap="1" wp14:anchorId="0A96893D" wp14:editId="4C1B9D63">
                <wp:simplePos x="0" y="0"/>
                <wp:positionH relativeFrom="column">
                  <wp:posOffset>-4445</wp:posOffset>
                </wp:positionH>
                <wp:positionV relativeFrom="paragraph">
                  <wp:posOffset>3175</wp:posOffset>
                </wp:positionV>
                <wp:extent cx="5553075" cy="0"/>
                <wp:effectExtent l="5080" t="6985" r="13970" b="12065"/>
                <wp:wrapNone/>
                <wp:docPr id="136" name="Düz Bağlayıcı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C953C" id="Düz Bağlayıcı 136"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pt" to="436.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" strokeweight=".16931mm"/>
            </w:pict>
          </mc:Fallback>
        </mc:AlternateContent>
      </w:r>
    </w:p>
    <w:p w14:paraId="5F5B4DF2" w14:textId="77777777" w:rsidR="00A52778" w:rsidRPr="00460F9E" w:rsidRDefault="00A52778" w:rsidP="00A52778">
      <w:pPr>
        <w:spacing w:line="20" w:lineRule="exact"/>
        <w:rPr>
          <w:rFonts w:eastAsia="Times New Roman" w:cs="Times New Roman"/>
          <w:b/>
        </w:rPr>
      </w:pPr>
    </w:p>
    <w:p w14:paraId="4CCA1853" w14:textId="77777777" w:rsidR="00A52778" w:rsidRPr="00460F9E" w:rsidRDefault="00A52778" w:rsidP="00A52778">
      <w:pPr>
        <w:spacing w:line="200" w:lineRule="exact"/>
        <w:rPr>
          <w:rFonts w:eastAsia="Times New Roman" w:cs="Times New Roman"/>
          <w:b/>
        </w:rPr>
      </w:pPr>
    </w:p>
    <w:p w14:paraId="00141913" w14:textId="77777777" w:rsidR="00A52778" w:rsidRDefault="00A52778" w:rsidP="00A52778">
      <w:pPr>
        <w:spacing w:line="352" w:lineRule="exact"/>
        <w:rPr>
          <w:rFonts w:eastAsia="Times New Roman" w:cs="Times New Roman"/>
          <w:b/>
        </w:rPr>
      </w:pPr>
    </w:p>
    <w:p w14:paraId="1E12971E" w14:textId="77777777" w:rsidR="00A52778" w:rsidRDefault="00A52778" w:rsidP="00A52778">
      <w:pPr>
        <w:spacing w:line="352" w:lineRule="exact"/>
        <w:rPr>
          <w:rFonts w:eastAsia="Times New Roman" w:cs="Times New Roman"/>
          <w:b/>
        </w:rPr>
      </w:pPr>
    </w:p>
    <w:p w14:paraId="4A3C09A1" w14:textId="77777777" w:rsidR="00A52778" w:rsidRDefault="00A52778" w:rsidP="00A52778">
      <w:pPr>
        <w:spacing w:line="352" w:lineRule="exact"/>
        <w:rPr>
          <w:rFonts w:eastAsia="Times New Roman" w:cs="Times New Roman"/>
          <w:b/>
        </w:rPr>
      </w:pPr>
    </w:p>
    <w:p w14:paraId="7C4A41A6" w14:textId="77777777" w:rsidR="00A52778" w:rsidRDefault="00A52778" w:rsidP="00A52778">
      <w:pPr>
        <w:spacing w:line="352" w:lineRule="exact"/>
        <w:rPr>
          <w:rFonts w:eastAsia="Times New Roman" w:cs="Times New Roman"/>
          <w:b/>
        </w:rPr>
      </w:pPr>
    </w:p>
    <w:p w14:paraId="47C5672E" w14:textId="77777777" w:rsidR="00A52778" w:rsidRDefault="00A52778" w:rsidP="00A52778">
      <w:pPr>
        <w:spacing w:line="352" w:lineRule="exact"/>
        <w:rPr>
          <w:rFonts w:eastAsia="Times New Roman" w:cs="Times New Roman"/>
          <w:b/>
        </w:rPr>
      </w:pPr>
    </w:p>
    <w:p w14:paraId="7B141C82" w14:textId="77777777" w:rsidR="00A52778" w:rsidRDefault="00A52778" w:rsidP="00A52778">
      <w:pPr>
        <w:spacing w:line="352" w:lineRule="exact"/>
        <w:rPr>
          <w:rFonts w:eastAsia="Times New Roman" w:cs="Times New Roman"/>
          <w:b/>
        </w:rPr>
      </w:pPr>
    </w:p>
    <w:p w14:paraId="4D96AE66" w14:textId="77777777" w:rsidR="00A52778" w:rsidRDefault="00A52778" w:rsidP="00A52778">
      <w:pPr>
        <w:spacing w:line="352" w:lineRule="exact"/>
        <w:rPr>
          <w:rFonts w:eastAsia="Times New Roman" w:cs="Times New Roman"/>
          <w:b/>
        </w:rPr>
      </w:pPr>
    </w:p>
    <w:p w14:paraId="28AD4C9B" w14:textId="77777777" w:rsidR="00A52778" w:rsidRDefault="00A52778" w:rsidP="00A52778">
      <w:pPr>
        <w:spacing w:line="352" w:lineRule="exact"/>
        <w:rPr>
          <w:rFonts w:eastAsia="Times New Roman" w:cs="Times New Roman"/>
          <w:b/>
        </w:rPr>
      </w:pPr>
    </w:p>
    <w:p w14:paraId="1B60B013" w14:textId="77777777" w:rsidR="00A52778" w:rsidRPr="00460F9E" w:rsidRDefault="00A52778" w:rsidP="00A52778">
      <w:pPr>
        <w:spacing w:line="352" w:lineRule="exact"/>
        <w:rPr>
          <w:rFonts w:eastAsia="Times New Roman" w:cs="Times New Roman"/>
          <w:b/>
        </w:rPr>
      </w:pPr>
    </w:p>
    <w:p w14:paraId="674F939B" w14:textId="77777777" w:rsidR="00A52778" w:rsidRDefault="00A52778" w:rsidP="00A52778">
      <w:pPr>
        <w:spacing w:line="235" w:lineRule="auto"/>
        <w:ind w:left="120" w:right="826"/>
        <w:rPr>
          <w:rFonts w:eastAsia="Times New Roman" w:cs="Times New Roman"/>
        </w:rPr>
      </w:pPr>
      <w:r w:rsidRPr="00B568BE">
        <w:rPr>
          <w:rFonts w:eastAsia="Times New Roman" w:cs="Times New Roman"/>
        </w:rPr>
        <w:t>MET 27</w:t>
      </w:r>
      <w:r>
        <w:rPr>
          <w:rFonts w:eastAsia="Times New Roman" w:cs="Times New Roman"/>
        </w:rPr>
        <w:t xml:space="preserve">: </w:t>
      </w:r>
      <w:r w:rsidRPr="00B568BE">
        <w:rPr>
          <w:rFonts w:eastAsia="Times New Roman" w:cs="Times New Roman"/>
        </w:rPr>
        <w:t xml:space="preserve"> EN standartlarını uygulayarak, aynı yıl içinde üretilen her bir temsili PVC sınıfı için PVC sulu çamurunu/lateks içindeki artık vinil klorür monomer konsantrasyonunu her yıl en az bir kere izlemektir.</w:t>
      </w:r>
    </w:p>
    <w:p w14:paraId="72DE7ED1" w14:textId="77777777" w:rsidR="00A52778" w:rsidRPr="00B568BE" w:rsidRDefault="00A52778" w:rsidP="00A52778">
      <w:pPr>
        <w:spacing w:line="235" w:lineRule="auto"/>
        <w:ind w:left="120" w:right="826"/>
        <w:rPr>
          <w:rFonts w:eastAsia="Times New Roman"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480"/>
        <w:gridCol w:w="1700"/>
        <w:gridCol w:w="3580"/>
      </w:tblGrid>
      <w:tr w:rsidR="00A52778" w:rsidRPr="00460F9E" w14:paraId="2652C5B2" w14:textId="77777777" w:rsidTr="00FC3F8E">
        <w:trPr>
          <w:trHeight w:val="299"/>
        </w:trPr>
        <w:tc>
          <w:tcPr>
            <w:tcW w:w="3480" w:type="dxa"/>
            <w:tcBorders>
              <w:top w:val="single" w:sz="8" w:space="0" w:color="auto"/>
              <w:left w:val="single" w:sz="8" w:space="0" w:color="auto"/>
              <w:right w:val="single" w:sz="8" w:space="0" w:color="auto"/>
            </w:tcBorders>
            <w:shd w:val="clear" w:color="auto" w:fill="auto"/>
            <w:vAlign w:val="bottom"/>
          </w:tcPr>
          <w:p w14:paraId="5CB40C23" w14:textId="77777777" w:rsidR="00A52778" w:rsidRPr="00B568BE" w:rsidRDefault="00A52778" w:rsidP="00FC3F8E">
            <w:pPr>
              <w:spacing w:line="0" w:lineRule="atLeast"/>
              <w:ind w:left="1300"/>
              <w:rPr>
                <w:rFonts w:eastAsia="Times New Roman" w:cs="Times New Roman"/>
                <w:sz w:val="22"/>
              </w:rPr>
            </w:pPr>
            <w:r w:rsidRPr="00B568BE">
              <w:rPr>
                <w:rFonts w:eastAsia="Times New Roman" w:cs="Times New Roman"/>
                <w:sz w:val="22"/>
              </w:rPr>
              <w:t>Maddeler</w:t>
            </w:r>
          </w:p>
        </w:tc>
        <w:tc>
          <w:tcPr>
            <w:tcW w:w="1700" w:type="dxa"/>
            <w:tcBorders>
              <w:top w:val="single" w:sz="8" w:space="0" w:color="auto"/>
              <w:right w:val="single" w:sz="8" w:space="0" w:color="auto"/>
            </w:tcBorders>
            <w:shd w:val="clear" w:color="auto" w:fill="auto"/>
            <w:vAlign w:val="bottom"/>
          </w:tcPr>
          <w:p w14:paraId="0242906E" w14:textId="77777777" w:rsidR="00A52778" w:rsidRPr="00B568BE" w:rsidRDefault="00A52778" w:rsidP="00FC3F8E">
            <w:pPr>
              <w:spacing w:line="0" w:lineRule="atLeast"/>
              <w:jc w:val="center"/>
              <w:rPr>
                <w:rFonts w:eastAsia="Times New Roman" w:cs="Times New Roman"/>
                <w:w w:val="98"/>
                <w:sz w:val="22"/>
              </w:rPr>
            </w:pPr>
            <w:r w:rsidRPr="00B568BE">
              <w:rPr>
                <w:rFonts w:eastAsia="Times New Roman" w:cs="Times New Roman"/>
                <w:w w:val="98"/>
                <w:sz w:val="22"/>
              </w:rPr>
              <w:t>Standart(lar)</w:t>
            </w:r>
          </w:p>
        </w:tc>
        <w:tc>
          <w:tcPr>
            <w:tcW w:w="3580" w:type="dxa"/>
            <w:tcBorders>
              <w:top w:val="single" w:sz="8" w:space="0" w:color="auto"/>
              <w:right w:val="single" w:sz="8" w:space="0" w:color="auto"/>
            </w:tcBorders>
            <w:shd w:val="clear" w:color="auto" w:fill="auto"/>
            <w:vAlign w:val="bottom"/>
          </w:tcPr>
          <w:p w14:paraId="4EAB8D26" w14:textId="77777777" w:rsidR="00A52778" w:rsidRPr="00B568BE" w:rsidRDefault="00A52778" w:rsidP="00FC3F8E">
            <w:pPr>
              <w:spacing w:line="0" w:lineRule="atLeast"/>
              <w:jc w:val="center"/>
              <w:rPr>
                <w:rFonts w:eastAsia="Times New Roman" w:cs="Times New Roman"/>
                <w:w w:val="99"/>
                <w:sz w:val="22"/>
              </w:rPr>
            </w:pPr>
            <w:r w:rsidRPr="00B568BE">
              <w:rPr>
                <w:rFonts w:eastAsia="Times New Roman" w:cs="Times New Roman"/>
                <w:w w:val="99"/>
                <w:sz w:val="22"/>
              </w:rPr>
              <w:t>İlişkili izleme</w:t>
            </w:r>
          </w:p>
        </w:tc>
      </w:tr>
      <w:tr w:rsidR="00A52778" w:rsidRPr="00460F9E" w14:paraId="677531D1" w14:textId="77777777" w:rsidTr="00FC3F8E">
        <w:trPr>
          <w:trHeight w:val="59"/>
        </w:trPr>
        <w:tc>
          <w:tcPr>
            <w:tcW w:w="3480" w:type="dxa"/>
            <w:tcBorders>
              <w:left w:val="single" w:sz="8" w:space="0" w:color="auto"/>
              <w:bottom w:val="single" w:sz="8" w:space="0" w:color="auto"/>
              <w:right w:val="single" w:sz="8" w:space="0" w:color="auto"/>
            </w:tcBorders>
            <w:shd w:val="clear" w:color="auto" w:fill="auto"/>
            <w:vAlign w:val="bottom"/>
          </w:tcPr>
          <w:p w14:paraId="507714CE" w14:textId="77777777" w:rsidR="00A52778" w:rsidRPr="00B568BE" w:rsidRDefault="00A52778" w:rsidP="00FC3F8E">
            <w:pPr>
              <w:spacing w:line="0" w:lineRule="atLeast"/>
              <w:rPr>
                <w:rFonts w:eastAsia="Times New Roman" w:cs="Times New Roman"/>
                <w:b/>
                <w:sz w:val="22"/>
              </w:rPr>
            </w:pPr>
          </w:p>
        </w:tc>
        <w:tc>
          <w:tcPr>
            <w:tcW w:w="1700" w:type="dxa"/>
            <w:tcBorders>
              <w:bottom w:val="single" w:sz="8" w:space="0" w:color="auto"/>
              <w:right w:val="single" w:sz="8" w:space="0" w:color="auto"/>
            </w:tcBorders>
            <w:shd w:val="clear" w:color="auto" w:fill="auto"/>
            <w:vAlign w:val="bottom"/>
          </w:tcPr>
          <w:p w14:paraId="03660632" w14:textId="77777777" w:rsidR="00A52778" w:rsidRPr="00B568BE" w:rsidRDefault="00A52778" w:rsidP="00FC3F8E">
            <w:pPr>
              <w:spacing w:line="0" w:lineRule="atLeast"/>
              <w:rPr>
                <w:rFonts w:eastAsia="Times New Roman" w:cs="Times New Roman"/>
                <w:b/>
                <w:sz w:val="22"/>
              </w:rPr>
            </w:pPr>
          </w:p>
        </w:tc>
        <w:tc>
          <w:tcPr>
            <w:tcW w:w="3580" w:type="dxa"/>
            <w:tcBorders>
              <w:bottom w:val="single" w:sz="8" w:space="0" w:color="auto"/>
              <w:right w:val="single" w:sz="8" w:space="0" w:color="auto"/>
            </w:tcBorders>
            <w:shd w:val="clear" w:color="auto" w:fill="auto"/>
            <w:vAlign w:val="bottom"/>
          </w:tcPr>
          <w:p w14:paraId="7C085A17" w14:textId="77777777" w:rsidR="00A52778" w:rsidRPr="00B568BE" w:rsidRDefault="00A52778" w:rsidP="00FC3F8E">
            <w:pPr>
              <w:spacing w:line="0" w:lineRule="atLeast"/>
              <w:rPr>
                <w:rFonts w:eastAsia="Times New Roman" w:cs="Times New Roman"/>
                <w:b/>
                <w:sz w:val="22"/>
              </w:rPr>
            </w:pPr>
          </w:p>
        </w:tc>
      </w:tr>
      <w:tr w:rsidR="00A52778" w:rsidRPr="00460F9E" w14:paraId="0F4198C2" w14:textId="77777777" w:rsidTr="00FC3F8E">
        <w:trPr>
          <w:trHeight w:val="382"/>
        </w:trPr>
        <w:tc>
          <w:tcPr>
            <w:tcW w:w="3480" w:type="dxa"/>
            <w:tcBorders>
              <w:left w:val="single" w:sz="8" w:space="0" w:color="auto"/>
              <w:right w:val="single" w:sz="8" w:space="0" w:color="auto"/>
            </w:tcBorders>
            <w:shd w:val="clear" w:color="auto" w:fill="auto"/>
            <w:vAlign w:val="bottom"/>
          </w:tcPr>
          <w:p w14:paraId="16051CBC" w14:textId="77777777" w:rsidR="00A52778" w:rsidRPr="00B568BE" w:rsidRDefault="00A52778" w:rsidP="00FC3F8E">
            <w:pPr>
              <w:spacing w:line="0" w:lineRule="atLeast"/>
              <w:ind w:left="120"/>
              <w:rPr>
                <w:rFonts w:eastAsia="Times New Roman" w:cs="Times New Roman"/>
                <w:b/>
                <w:sz w:val="22"/>
              </w:rPr>
            </w:pPr>
            <w:r w:rsidRPr="00B568BE">
              <w:rPr>
                <w:rFonts w:eastAsia="Times New Roman" w:cs="Times New Roman"/>
                <w:sz w:val="22"/>
              </w:rPr>
              <w:t>VCM</w:t>
            </w:r>
          </w:p>
        </w:tc>
        <w:tc>
          <w:tcPr>
            <w:tcW w:w="1700" w:type="dxa"/>
            <w:tcBorders>
              <w:right w:val="single" w:sz="8" w:space="0" w:color="auto"/>
            </w:tcBorders>
            <w:shd w:val="clear" w:color="auto" w:fill="auto"/>
            <w:vAlign w:val="bottom"/>
          </w:tcPr>
          <w:p w14:paraId="5D2C0ACC" w14:textId="77777777" w:rsidR="00A52778" w:rsidRPr="00B568BE" w:rsidRDefault="00A52778" w:rsidP="00FC3F8E">
            <w:pPr>
              <w:spacing w:line="0" w:lineRule="atLeast"/>
              <w:jc w:val="center"/>
              <w:rPr>
                <w:rFonts w:eastAsia="Times New Roman" w:cs="Times New Roman"/>
                <w:b/>
                <w:w w:val="99"/>
                <w:sz w:val="22"/>
              </w:rPr>
            </w:pPr>
            <w:r w:rsidRPr="00B568BE">
              <w:rPr>
                <w:rFonts w:eastAsia="Times New Roman" w:cs="Times New Roman"/>
                <w:w w:val="99"/>
                <w:sz w:val="22"/>
              </w:rPr>
              <w:t>EN ISO 6401</w:t>
            </w:r>
          </w:p>
        </w:tc>
        <w:tc>
          <w:tcPr>
            <w:tcW w:w="3580" w:type="dxa"/>
            <w:tcBorders>
              <w:right w:val="single" w:sz="8" w:space="0" w:color="auto"/>
            </w:tcBorders>
            <w:shd w:val="clear" w:color="auto" w:fill="auto"/>
            <w:vAlign w:val="bottom"/>
          </w:tcPr>
          <w:p w14:paraId="7DA71E48" w14:textId="77777777" w:rsidR="00A52778" w:rsidRPr="00B568BE" w:rsidRDefault="002A1746" w:rsidP="00FC3F8E">
            <w:pPr>
              <w:spacing w:line="0" w:lineRule="atLeast"/>
              <w:jc w:val="center"/>
              <w:rPr>
                <w:rFonts w:eastAsia="Times New Roman" w:cs="Times New Roman"/>
                <w:b/>
                <w:sz w:val="22"/>
              </w:rPr>
            </w:pPr>
            <w:hyperlink w:anchor="page324" w:history="1">
              <w:r w:rsidR="00A52778" w:rsidRPr="00B568BE">
                <w:rPr>
                  <w:rFonts w:eastAsia="Times New Roman" w:cs="Times New Roman"/>
                  <w:sz w:val="22"/>
                </w:rPr>
                <w:t>MET 30</w:t>
              </w:r>
            </w:hyperlink>
          </w:p>
        </w:tc>
      </w:tr>
      <w:tr w:rsidR="00A52778" w:rsidRPr="00460F9E" w14:paraId="34814CA6" w14:textId="77777777" w:rsidTr="00FC3F8E">
        <w:trPr>
          <w:trHeight w:val="176"/>
        </w:trPr>
        <w:tc>
          <w:tcPr>
            <w:tcW w:w="3480" w:type="dxa"/>
            <w:tcBorders>
              <w:left w:val="single" w:sz="8" w:space="0" w:color="auto"/>
              <w:bottom w:val="single" w:sz="8" w:space="0" w:color="auto"/>
              <w:right w:val="single" w:sz="8" w:space="0" w:color="auto"/>
            </w:tcBorders>
            <w:shd w:val="clear" w:color="auto" w:fill="auto"/>
            <w:vAlign w:val="bottom"/>
          </w:tcPr>
          <w:p w14:paraId="628E13D4" w14:textId="77777777" w:rsidR="00A52778" w:rsidRPr="00460F9E" w:rsidRDefault="00A52778" w:rsidP="00FC3F8E">
            <w:pPr>
              <w:spacing w:line="0" w:lineRule="atLeast"/>
              <w:rPr>
                <w:rFonts w:eastAsia="Times New Roman" w:cs="Times New Roman"/>
                <w:b/>
                <w:sz w:val="15"/>
              </w:rPr>
            </w:pPr>
          </w:p>
        </w:tc>
        <w:tc>
          <w:tcPr>
            <w:tcW w:w="1700" w:type="dxa"/>
            <w:tcBorders>
              <w:bottom w:val="single" w:sz="8" w:space="0" w:color="auto"/>
              <w:right w:val="single" w:sz="8" w:space="0" w:color="auto"/>
            </w:tcBorders>
            <w:shd w:val="clear" w:color="auto" w:fill="auto"/>
            <w:vAlign w:val="bottom"/>
          </w:tcPr>
          <w:p w14:paraId="7F9BA58C" w14:textId="77777777" w:rsidR="00A52778" w:rsidRPr="00460F9E" w:rsidRDefault="00A52778" w:rsidP="00FC3F8E">
            <w:pPr>
              <w:spacing w:line="0" w:lineRule="atLeast"/>
              <w:rPr>
                <w:rFonts w:eastAsia="Times New Roman" w:cs="Times New Roman"/>
                <w:b/>
                <w:sz w:val="15"/>
              </w:rPr>
            </w:pPr>
          </w:p>
        </w:tc>
        <w:tc>
          <w:tcPr>
            <w:tcW w:w="3580" w:type="dxa"/>
            <w:tcBorders>
              <w:bottom w:val="single" w:sz="8" w:space="0" w:color="auto"/>
              <w:right w:val="single" w:sz="8" w:space="0" w:color="auto"/>
            </w:tcBorders>
            <w:shd w:val="clear" w:color="auto" w:fill="auto"/>
            <w:vAlign w:val="bottom"/>
          </w:tcPr>
          <w:p w14:paraId="112ADD87" w14:textId="77777777" w:rsidR="00A52778" w:rsidRPr="00460F9E" w:rsidRDefault="00A52778" w:rsidP="00FC3F8E">
            <w:pPr>
              <w:spacing w:line="0" w:lineRule="atLeast"/>
              <w:rPr>
                <w:rFonts w:eastAsia="Times New Roman" w:cs="Times New Roman"/>
                <w:b/>
                <w:sz w:val="15"/>
              </w:rPr>
            </w:pPr>
          </w:p>
        </w:tc>
      </w:tr>
    </w:tbl>
    <w:p w14:paraId="5F665684" w14:textId="77777777" w:rsidR="00A52778" w:rsidRPr="00460F9E" w:rsidRDefault="00A52778" w:rsidP="00A52778">
      <w:pPr>
        <w:spacing w:line="200" w:lineRule="exact"/>
        <w:rPr>
          <w:rFonts w:eastAsia="Times New Roman" w:cs="Times New Roman"/>
          <w:b/>
        </w:rPr>
      </w:pPr>
    </w:p>
    <w:p w14:paraId="7411FA77" w14:textId="77777777" w:rsidR="00A52778" w:rsidRPr="00460F9E" w:rsidRDefault="00A52778" w:rsidP="00A52778">
      <w:pPr>
        <w:spacing w:line="301" w:lineRule="exact"/>
        <w:rPr>
          <w:rFonts w:eastAsia="Times New Roman" w:cs="Times New Roman"/>
          <w:b/>
        </w:rPr>
      </w:pPr>
    </w:p>
    <w:p w14:paraId="70C29260" w14:textId="77777777" w:rsidR="00A52778" w:rsidRPr="00B568BE" w:rsidRDefault="00A52778" w:rsidP="00A52778">
      <w:pPr>
        <w:spacing w:line="0" w:lineRule="atLeast"/>
        <w:ind w:left="120"/>
        <w:rPr>
          <w:rFonts w:eastAsia="Times New Roman" w:cs="Times New Roman"/>
        </w:rPr>
      </w:pPr>
      <w:r w:rsidRPr="00B568BE">
        <w:rPr>
          <w:rFonts w:eastAsia="Times New Roman" w:cs="Times New Roman"/>
        </w:rPr>
        <w:t>Not</w:t>
      </w:r>
    </w:p>
    <w:p w14:paraId="7376637C" w14:textId="77777777" w:rsidR="00A52778" w:rsidRPr="00460F9E" w:rsidRDefault="00A52778" w:rsidP="00A52778">
      <w:pPr>
        <w:spacing w:line="8" w:lineRule="exact"/>
        <w:rPr>
          <w:rFonts w:eastAsia="Times New Roman" w:cs="Times New Roman"/>
          <w:b/>
        </w:rPr>
      </w:pPr>
    </w:p>
    <w:p w14:paraId="1FD37A92" w14:textId="77777777" w:rsidR="00A52778" w:rsidRPr="00460F9E" w:rsidRDefault="00A52778" w:rsidP="00A52778">
      <w:pPr>
        <w:spacing w:line="234" w:lineRule="auto"/>
        <w:ind w:left="120" w:right="846"/>
        <w:rPr>
          <w:rFonts w:eastAsia="Times New Roman" w:cs="Times New Roman"/>
          <w:b/>
        </w:rPr>
      </w:pPr>
      <w:r w:rsidRPr="00460F9E">
        <w:rPr>
          <w:rFonts w:eastAsia="Times New Roman" w:cs="Times New Roman"/>
        </w:rPr>
        <w:t>PVC sulu çamurunun /lateks numuneleri, bu malzemenin atmosferle temas ettiği kapalı sistemden açık sisteme geçiş noktasında alınır.</w:t>
      </w:r>
    </w:p>
    <w:p w14:paraId="0F11E385" w14:textId="77777777" w:rsidR="00A52778" w:rsidRPr="00460F9E" w:rsidRDefault="00A52778" w:rsidP="00A52778">
      <w:pPr>
        <w:spacing w:line="265" w:lineRule="exact"/>
        <w:rPr>
          <w:rFonts w:eastAsia="Times New Roman" w:cs="Times New Roman"/>
          <w:b/>
        </w:rPr>
      </w:pPr>
    </w:p>
    <w:p w14:paraId="3C522CCC" w14:textId="77777777" w:rsidR="00A52778" w:rsidRPr="00460F9E" w:rsidRDefault="00A52778" w:rsidP="00A52778">
      <w:pPr>
        <w:spacing w:line="236" w:lineRule="auto"/>
        <w:ind w:left="120" w:right="826"/>
        <w:rPr>
          <w:rFonts w:eastAsia="Times New Roman" w:cs="Times New Roman"/>
          <w:b/>
        </w:rPr>
      </w:pPr>
      <w:r w:rsidRPr="00460F9E">
        <w:rPr>
          <w:rFonts w:eastAsia="Times New Roman" w:cs="Times New Roman"/>
        </w:rPr>
        <w:t>Kapalı sistem, üretim sürecinin PVC sulu çamurunun /lateksin atmosferle temas etmediği kısmını ifade eder. Genellikle polimerizasyon adımlarını, VCM' nin yeniden kullanımını ve geri kazanımını içerir.</w:t>
      </w:r>
    </w:p>
    <w:p w14:paraId="378D72E4" w14:textId="77777777" w:rsidR="00A52778" w:rsidRPr="00460F9E" w:rsidRDefault="00A52778" w:rsidP="00A52778">
      <w:pPr>
        <w:spacing w:line="267" w:lineRule="exact"/>
        <w:rPr>
          <w:rFonts w:eastAsia="Times New Roman" w:cs="Times New Roman"/>
          <w:b/>
        </w:rPr>
      </w:pPr>
    </w:p>
    <w:p w14:paraId="487D5411" w14:textId="77777777" w:rsidR="00A52778" w:rsidRPr="00460F9E" w:rsidRDefault="00A52778" w:rsidP="00A52778">
      <w:pPr>
        <w:spacing w:line="235" w:lineRule="auto"/>
        <w:ind w:left="120" w:right="826"/>
        <w:rPr>
          <w:rFonts w:eastAsia="Times New Roman" w:cs="Times New Roman"/>
          <w:b/>
        </w:rPr>
      </w:pPr>
      <w:r w:rsidRPr="00460F9E">
        <w:rPr>
          <w:rFonts w:eastAsia="Times New Roman" w:cs="Times New Roman"/>
        </w:rPr>
        <w:t xml:space="preserve">Açık sistem, sistemin PVC </w:t>
      </w:r>
      <w:bookmarkStart w:id="341" w:name="_Hlk129301097"/>
      <w:r w:rsidRPr="00460F9E">
        <w:rPr>
          <w:rFonts w:eastAsia="Times New Roman" w:cs="Times New Roman"/>
        </w:rPr>
        <w:t>sulu çamurunun</w:t>
      </w:r>
      <w:bookmarkEnd w:id="341"/>
      <w:r w:rsidRPr="00460F9E">
        <w:rPr>
          <w:rFonts w:eastAsia="Times New Roman" w:cs="Times New Roman"/>
        </w:rPr>
        <w:t>/lateksin atmosferle temas ettiği kısmıdır. PVC' nin aktarılması, taşınması ve depolanmasının yanı sıra son işlem adımlarını (örn. kurutma ve harmanlama) içerir.</w:t>
      </w:r>
    </w:p>
    <w:p w14:paraId="0B0EF5B5" w14:textId="77777777" w:rsidR="00A52778" w:rsidRPr="00460F9E" w:rsidRDefault="00A52778" w:rsidP="00A52778">
      <w:pPr>
        <w:spacing w:line="20" w:lineRule="exact"/>
        <w:rPr>
          <w:rFonts w:eastAsia="Times New Roman" w:cs="Times New Roman"/>
          <w:b/>
        </w:rPr>
      </w:pPr>
      <w:r w:rsidRPr="00460F9E">
        <w:rPr>
          <w:rFonts w:eastAsia="Times New Roman" w:cs="Times New Roman"/>
          <w:b/>
          <w:noProof/>
          <w:lang w:val="tr-TR" w:eastAsia="tr-TR"/>
        </w:rPr>
        <w:drawing>
          <wp:anchor distT="0" distB="0" distL="114300" distR="114300" simplePos="0" relativeHeight="251688960" behindDoc="1" locked="0" layoutInCell="1" allowOverlap="1" wp14:anchorId="5A71A998" wp14:editId="558402C3">
            <wp:simplePos x="0" y="0"/>
            <wp:positionH relativeFrom="column">
              <wp:posOffset>53340</wp:posOffset>
            </wp:positionH>
            <wp:positionV relativeFrom="paragraph">
              <wp:posOffset>1758315</wp:posOffset>
            </wp:positionV>
            <wp:extent cx="5437505" cy="6350"/>
            <wp:effectExtent l="0" t="0" r="0" b="0"/>
            <wp:wrapNone/>
            <wp:docPr id="135" name="Resim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7505" cy="6350"/>
                    </a:xfrm>
                    <a:prstGeom prst="rect">
                      <a:avLst/>
                    </a:prstGeom>
                    <a:noFill/>
                  </pic:spPr>
                </pic:pic>
              </a:graphicData>
            </a:graphic>
            <wp14:sizeRelH relativeFrom="page">
              <wp14:pctWidth>0</wp14:pctWidth>
            </wp14:sizeRelH>
            <wp14:sizeRelV relativeFrom="page">
              <wp14:pctHeight>0</wp14:pctHeight>
            </wp14:sizeRelV>
          </wp:anchor>
        </w:drawing>
      </w:r>
    </w:p>
    <w:p w14:paraId="57F4D8F3" w14:textId="77777777" w:rsidR="00A52778" w:rsidRPr="00460F9E" w:rsidRDefault="00A52778" w:rsidP="00A52778">
      <w:pPr>
        <w:spacing w:line="20" w:lineRule="exact"/>
        <w:rPr>
          <w:rFonts w:eastAsia="Times New Roman" w:cs="Times New Roman"/>
          <w:b/>
        </w:rPr>
        <w:sectPr w:rsidR="00A52778" w:rsidRPr="00460F9E">
          <w:pgSz w:w="11900" w:h="16838"/>
          <w:pgMar w:top="707" w:right="1440" w:bottom="145" w:left="1020" w:header="0" w:footer="0" w:gutter="0"/>
          <w:cols w:space="0" w:equalWidth="0">
            <w:col w:w="9446"/>
          </w:cols>
          <w:docGrid w:linePitch="360"/>
        </w:sectPr>
      </w:pPr>
    </w:p>
    <w:p w14:paraId="6733C4F5" w14:textId="77777777" w:rsidR="00A52778" w:rsidRPr="00460F9E" w:rsidRDefault="00A52778" w:rsidP="00A52778">
      <w:pPr>
        <w:spacing w:line="200" w:lineRule="exact"/>
        <w:rPr>
          <w:rFonts w:eastAsia="Times New Roman" w:cs="Times New Roman"/>
          <w:b/>
        </w:rPr>
      </w:pPr>
    </w:p>
    <w:p w14:paraId="4817CD4F" w14:textId="77777777" w:rsidR="00A52778" w:rsidRPr="00460F9E" w:rsidRDefault="00A52778" w:rsidP="00A52778">
      <w:pPr>
        <w:spacing w:line="200" w:lineRule="exact"/>
        <w:rPr>
          <w:rFonts w:eastAsia="Times New Roman" w:cs="Times New Roman"/>
          <w:b/>
        </w:rPr>
      </w:pPr>
    </w:p>
    <w:p w14:paraId="542C3587" w14:textId="77777777" w:rsidR="00A52778" w:rsidRPr="00460F9E" w:rsidRDefault="00A52778" w:rsidP="00A52778">
      <w:pPr>
        <w:spacing w:line="200" w:lineRule="exact"/>
        <w:rPr>
          <w:rFonts w:eastAsia="Times New Roman" w:cs="Times New Roman"/>
          <w:b/>
        </w:rPr>
      </w:pPr>
    </w:p>
    <w:p w14:paraId="3F0E501D" w14:textId="77777777" w:rsidR="00A52778" w:rsidRPr="00460F9E" w:rsidRDefault="00A52778" w:rsidP="00A52778">
      <w:pPr>
        <w:spacing w:line="200" w:lineRule="exact"/>
        <w:rPr>
          <w:rFonts w:eastAsia="Times New Roman" w:cs="Times New Roman"/>
          <w:b/>
        </w:rPr>
      </w:pPr>
    </w:p>
    <w:p w14:paraId="23243ABC" w14:textId="77777777" w:rsidR="00A52778" w:rsidRPr="00460F9E" w:rsidRDefault="00A52778" w:rsidP="00A52778">
      <w:pPr>
        <w:spacing w:line="200" w:lineRule="exact"/>
        <w:rPr>
          <w:rFonts w:eastAsia="Times New Roman" w:cs="Times New Roman"/>
          <w:b/>
        </w:rPr>
      </w:pPr>
    </w:p>
    <w:p w14:paraId="3FEDFBBD" w14:textId="77777777" w:rsidR="00A52778" w:rsidRPr="00460F9E" w:rsidRDefault="00A52778" w:rsidP="00A52778">
      <w:pPr>
        <w:spacing w:line="200" w:lineRule="exact"/>
        <w:rPr>
          <w:rFonts w:eastAsia="Times New Roman" w:cs="Times New Roman"/>
          <w:b/>
        </w:rPr>
      </w:pPr>
    </w:p>
    <w:p w14:paraId="27DF5967" w14:textId="77777777" w:rsidR="00A52778" w:rsidRPr="00460F9E" w:rsidRDefault="00A52778" w:rsidP="00A52778">
      <w:pPr>
        <w:spacing w:line="200" w:lineRule="exact"/>
        <w:rPr>
          <w:rFonts w:eastAsia="Times New Roman" w:cs="Times New Roman"/>
          <w:b/>
        </w:rPr>
      </w:pPr>
    </w:p>
    <w:p w14:paraId="3E7592CB" w14:textId="77777777" w:rsidR="00A52778" w:rsidRPr="00460F9E" w:rsidRDefault="00A52778" w:rsidP="00A52778">
      <w:pPr>
        <w:spacing w:line="200" w:lineRule="exact"/>
        <w:rPr>
          <w:rFonts w:eastAsia="Times New Roman" w:cs="Times New Roman"/>
          <w:b/>
        </w:rPr>
      </w:pPr>
    </w:p>
    <w:p w14:paraId="3F8D4F70" w14:textId="77777777" w:rsidR="00A52778" w:rsidRPr="00460F9E" w:rsidRDefault="00A52778" w:rsidP="00A52778">
      <w:pPr>
        <w:spacing w:line="200" w:lineRule="exact"/>
        <w:rPr>
          <w:rFonts w:eastAsia="Times New Roman" w:cs="Times New Roman"/>
          <w:b/>
        </w:rPr>
      </w:pPr>
    </w:p>
    <w:p w14:paraId="2B2D3F6D" w14:textId="77777777" w:rsidR="00A52778" w:rsidRPr="00460F9E" w:rsidRDefault="00A52778" w:rsidP="00A52778">
      <w:pPr>
        <w:spacing w:line="200" w:lineRule="exact"/>
        <w:rPr>
          <w:rFonts w:eastAsia="Times New Roman" w:cs="Times New Roman"/>
          <w:b/>
        </w:rPr>
      </w:pPr>
    </w:p>
    <w:p w14:paraId="01E6F3DF" w14:textId="77777777" w:rsidR="00A52778" w:rsidRPr="00460F9E" w:rsidRDefault="00A52778" w:rsidP="00A52778">
      <w:pPr>
        <w:spacing w:line="200" w:lineRule="exact"/>
        <w:rPr>
          <w:rFonts w:eastAsia="Times New Roman" w:cs="Times New Roman"/>
          <w:b/>
        </w:rPr>
      </w:pPr>
    </w:p>
    <w:p w14:paraId="14265921" w14:textId="77777777" w:rsidR="00A52778" w:rsidRPr="00460F9E" w:rsidRDefault="00A52778" w:rsidP="00A52778">
      <w:pPr>
        <w:spacing w:line="200" w:lineRule="exact"/>
        <w:rPr>
          <w:rFonts w:eastAsia="Times New Roman" w:cs="Times New Roman"/>
          <w:b/>
        </w:rPr>
      </w:pPr>
    </w:p>
    <w:p w14:paraId="1E35F36D" w14:textId="77777777" w:rsidR="00A52778" w:rsidRPr="00460F9E" w:rsidRDefault="00A52778" w:rsidP="00A52778">
      <w:pPr>
        <w:spacing w:line="398" w:lineRule="exact"/>
        <w:rPr>
          <w:rFonts w:eastAsia="Times New Roman" w:cs="Times New Roman"/>
          <w:b/>
        </w:rPr>
      </w:pPr>
    </w:p>
    <w:p w14:paraId="16C85C11" w14:textId="77777777" w:rsidR="00A52778" w:rsidRPr="00460F9E" w:rsidRDefault="00A52778" w:rsidP="00A52778">
      <w:pPr>
        <w:tabs>
          <w:tab w:val="left" w:pos="2440"/>
        </w:tabs>
        <w:spacing w:line="0" w:lineRule="atLeast"/>
        <w:ind w:left="120"/>
        <w:rPr>
          <w:rFonts w:eastAsia="Times New Roman" w:cs="Times New Roman"/>
          <w:b/>
          <w:color w:val="0000FF"/>
        </w:rPr>
      </w:pPr>
      <w:r w:rsidRPr="00460F9E">
        <w:rPr>
          <w:rFonts w:eastAsia="Times New Roman" w:cs="Times New Roman"/>
        </w:rPr>
        <w:t>294</w:t>
      </w:r>
      <w:r w:rsidRPr="00460F9E">
        <w:rPr>
          <w:rFonts w:eastAsia="Times New Roman" w:cs="Times New Roman"/>
        </w:rPr>
        <w:tab/>
      </w:r>
    </w:p>
    <w:p w14:paraId="1F80A5E2" w14:textId="77777777" w:rsidR="00A52778" w:rsidRPr="00460F9E" w:rsidRDefault="00A52778" w:rsidP="00A52778">
      <w:pPr>
        <w:tabs>
          <w:tab w:val="left" w:pos="2440"/>
        </w:tabs>
        <w:spacing w:line="0" w:lineRule="atLeast"/>
        <w:ind w:left="120"/>
        <w:rPr>
          <w:rFonts w:eastAsia="Times New Roman" w:cs="Times New Roman"/>
          <w:b/>
          <w:color w:val="0000FF"/>
        </w:rPr>
        <w:sectPr w:rsidR="00A52778" w:rsidRPr="00460F9E">
          <w:type w:val="continuous"/>
          <w:pgSz w:w="11900" w:h="16838"/>
          <w:pgMar w:top="707" w:right="1440" w:bottom="145" w:left="1020" w:header="0" w:footer="0" w:gutter="0"/>
          <w:cols w:space="0" w:equalWidth="0">
            <w:col w:w="9446"/>
          </w:cols>
          <w:docGrid w:linePitch="360"/>
        </w:sectPr>
      </w:pPr>
    </w:p>
    <w:p w14:paraId="2568A14D" w14:textId="77777777" w:rsidR="00A52778" w:rsidRPr="00460F9E" w:rsidRDefault="00A52778" w:rsidP="00A52778">
      <w:pPr>
        <w:spacing w:line="0" w:lineRule="atLeast"/>
        <w:ind w:left="8480"/>
        <w:rPr>
          <w:rFonts w:eastAsia="Times New Roman" w:cs="Times New Roman"/>
          <w:b/>
          <w:color w:val="0000FF"/>
        </w:rPr>
      </w:pPr>
      <w:bookmarkStart w:id="342" w:name="page323"/>
      <w:bookmarkEnd w:id="342"/>
    </w:p>
    <w:p w14:paraId="3A00C46A" w14:textId="77777777" w:rsidR="00A52778" w:rsidRPr="00460F9E" w:rsidRDefault="00A52778" w:rsidP="00A52778">
      <w:pPr>
        <w:spacing w:line="20" w:lineRule="exact"/>
        <w:rPr>
          <w:rFonts w:eastAsia="Times New Roman" w:cs="Times New Roman"/>
          <w:b/>
        </w:rPr>
      </w:pPr>
      <w:r w:rsidRPr="00460F9E">
        <w:rPr>
          <w:rFonts w:eastAsia="Times New Roman" w:cs="Times New Roman"/>
          <w:b/>
          <w:noProof/>
          <w:color w:val="0000FF"/>
          <w:lang w:val="tr-TR" w:eastAsia="tr-TR"/>
        </w:rPr>
        <w:drawing>
          <wp:anchor distT="0" distB="0" distL="114300" distR="114300" simplePos="0" relativeHeight="251689984" behindDoc="1" locked="0" layoutInCell="1" allowOverlap="1" wp14:anchorId="446AC4D0" wp14:editId="4F0D2E76">
            <wp:simplePos x="0" y="0"/>
            <wp:positionH relativeFrom="column">
              <wp:posOffset>508000</wp:posOffset>
            </wp:positionH>
            <wp:positionV relativeFrom="paragraph">
              <wp:posOffset>14605</wp:posOffset>
            </wp:positionV>
            <wp:extent cx="5436870" cy="6350"/>
            <wp:effectExtent l="0" t="0" r="0" b="0"/>
            <wp:wrapNone/>
            <wp:docPr id="134" name="Resim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6870" cy="6350"/>
                    </a:xfrm>
                    <a:prstGeom prst="rect">
                      <a:avLst/>
                    </a:prstGeom>
                    <a:noFill/>
                  </pic:spPr>
                </pic:pic>
              </a:graphicData>
            </a:graphic>
            <wp14:sizeRelH relativeFrom="page">
              <wp14:pctWidth>0</wp14:pctWidth>
            </wp14:sizeRelH>
            <wp14:sizeRelV relativeFrom="page">
              <wp14:pctHeight>0</wp14:pctHeight>
            </wp14:sizeRelV>
          </wp:anchor>
        </w:drawing>
      </w:r>
    </w:p>
    <w:p w14:paraId="4A7BEE40" w14:textId="77777777" w:rsidR="00A52778" w:rsidRPr="00460F9E" w:rsidRDefault="00A52778" w:rsidP="00A52778">
      <w:pPr>
        <w:spacing w:line="225" w:lineRule="exact"/>
        <w:rPr>
          <w:rFonts w:eastAsia="Times New Roman" w:cs="Times New Roman"/>
          <w:b/>
        </w:rPr>
      </w:pPr>
    </w:p>
    <w:p w14:paraId="0F6FDBA1" w14:textId="77777777" w:rsidR="00A52778" w:rsidRPr="00460F9E" w:rsidRDefault="00A52778" w:rsidP="00A52778">
      <w:r>
        <w:t>MET 28:</w:t>
      </w:r>
      <w:r w:rsidRPr="00460F9E">
        <w:t xml:space="preserve"> Kaynak verimini artırmak ve nihai atık gaz arıtımına gönderilen organik bileşiklerin kütle akışını azaltmak için MET, aşağıda verilen tekniklerden birini veya bir kombinasyonunu kullanarak proses çıkış gazlarından vinil klorür monomerini geri kazanmak ve geri kazanılan monomeri yeniden kullanmaktır.</w:t>
      </w:r>
    </w:p>
    <w:p w14:paraId="514962D0" w14:textId="77777777" w:rsidR="00A52778" w:rsidRPr="00460F9E" w:rsidRDefault="00A52778" w:rsidP="00A52778">
      <w:pPr>
        <w:spacing w:line="200" w:lineRule="exact"/>
        <w:rPr>
          <w:rFonts w:eastAsia="Times New Roman" w:cs="Times New Roman"/>
          <w:b/>
        </w:rPr>
      </w:pPr>
    </w:p>
    <w:tbl>
      <w:tblPr>
        <w:tblW w:w="8760" w:type="dxa"/>
        <w:tblInd w:w="730" w:type="dxa"/>
        <w:tblLayout w:type="fixed"/>
        <w:tblCellMar>
          <w:left w:w="0" w:type="dxa"/>
          <w:right w:w="0" w:type="dxa"/>
        </w:tblCellMar>
        <w:tblLook w:val="0000" w:firstRow="0" w:lastRow="0" w:firstColumn="0" w:lastColumn="0" w:noHBand="0" w:noVBand="0"/>
      </w:tblPr>
      <w:tblGrid>
        <w:gridCol w:w="380"/>
        <w:gridCol w:w="3840"/>
        <w:gridCol w:w="4540"/>
      </w:tblGrid>
      <w:tr w:rsidR="00A52778" w:rsidRPr="00460F9E" w14:paraId="792DCC9C" w14:textId="77777777" w:rsidTr="00FC3F8E">
        <w:trPr>
          <w:trHeight w:val="299"/>
        </w:trPr>
        <w:tc>
          <w:tcPr>
            <w:tcW w:w="380" w:type="dxa"/>
            <w:tcBorders>
              <w:top w:val="single" w:sz="8" w:space="0" w:color="auto"/>
              <w:left w:val="single" w:sz="8" w:space="0" w:color="auto"/>
            </w:tcBorders>
            <w:shd w:val="clear" w:color="auto" w:fill="auto"/>
            <w:vAlign w:val="bottom"/>
          </w:tcPr>
          <w:p w14:paraId="0760AFAA" w14:textId="77777777" w:rsidR="00A52778" w:rsidRPr="00460F9E" w:rsidRDefault="00A52778" w:rsidP="00FC3F8E">
            <w:pPr>
              <w:spacing w:line="0" w:lineRule="atLeast"/>
              <w:rPr>
                <w:rFonts w:eastAsia="Times New Roman" w:cs="Times New Roman"/>
                <w:b/>
              </w:rPr>
            </w:pPr>
          </w:p>
        </w:tc>
        <w:tc>
          <w:tcPr>
            <w:tcW w:w="3840" w:type="dxa"/>
            <w:tcBorders>
              <w:top w:val="single" w:sz="8" w:space="0" w:color="auto"/>
              <w:right w:val="single" w:sz="8" w:space="0" w:color="auto"/>
            </w:tcBorders>
            <w:shd w:val="clear" w:color="auto" w:fill="auto"/>
            <w:vAlign w:val="bottom"/>
          </w:tcPr>
          <w:p w14:paraId="233FC807" w14:textId="77777777" w:rsidR="00A52778" w:rsidRPr="00B568BE" w:rsidRDefault="00A52778" w:rsidP="00FC3F8E">
            <w:pPr>
              <w:spacing w:line="0" w:lineRule="atLeast"/>
              <w:ind w:left="1260"/>
              <w:rPr>
                <w:rFonts w:eastAsia="Times New Roman" w:cs="Times New Roman"/>
              </w:rPr>
            </w:pPr>
            <w:r w:rsidRPr="00B568BE">
              <w:rPr>
                <w:rFonts w:eastAsia="Times New Roman" w:cs="Times New Roman"/>
              </w:rPr>
              <w:t>Teknikler</w:t>
            </w:r>
          </w:p>
        </w:tc>
        <w:tc>
          <w:tcPr>
            <w:tcW w:w="4540" w:type="dxa"/>
            <w:tcBorders>
              <w:top w:val="single" w:sz="8" w:space="0" w:color="auto"/>
              <w:right w:val="single" w:sz="8" w:space="0" w:color="auto"/>
            </w:tcBorders>
            <w:shd w:val="clear" w:color="auto" w:fill="auto"/>
            <w:vAlign w:val="bottom"/>
          </w:tcPr>
          <w:p w14:paraId="60E98204" w14:textId="77777777" w:rsidR="00A52778" w:rsidRPr="00B568BE" w:rsidRDefault="00A52778" w:rsidP="00FC3F8E">
            <w:pPr>
              <w:spacing w:line="0" w:lineRule="atLeast"/>
              <w:jc w:val="center"/>
              <w:rPr>
                <w:rFonts w:eastAsia="Times New Roman" w:cs="Times New Roman"/>
              </w:rPr>
            </w:pPr>
            <w:r w:rsidRPr="00B568BE">
              <w:rPr>
                <w:rFonts w:eastAsia="Times New Roman" w:cs="Times New Roman"/>
                <w:w w:val="99"/>
              </w:rPr>
              <w:t>Tanımlamalar</w:t>
            </w:r>
          </w:p>
        </w:tc>
      </w:tr>
      <w:tr w:rsidR="00A52778" w:rsidRPr="00460F9E" w14:paraId="18DA7E0B" w14:textId="77777777" w:rsidTr="00FC3F8E">
        <w:trPr>
          <w:trHeight w:val="61"/>
        </w:trPr>
        <w:tc>
          <w:tcPr>
            <w:tcW w:w="380" w:type="dxa"/>
            <w:tcBorders>
              <w:left w:val="single" w:sz="8" w:space="0" w:color="auto"/>
              <w:bottom w:val="single" w:sz="8" w:space="0" w:color="auto"/>
            </w:tcBorders>
            <w:shd w:val="clear" w:color="auto" w:fill="auto"/>
            <w:vAlign w:val="bottom"/>
          </w:tcPr>
          <w:p w14:paraId="6D0F71DB" w14:textId="77777777" w:rsidR="00A52778" w:rsidRPr="00460F9E" w:rsidRDefault="00A52778" w:rsidP="00FC3F8E">
            <w:pPr>
              <w:spacing w:line="0" w:lineRule="atLeast"/>
              <w:rPr>
                <w:rFonts w:eastAsia="Times New Roman" w:cs="Times New Roman"/>
                <w:b/>
                <w:sz w:val="5"/>
              </w:rPr>
            </w:pPr>
          </w:p>
        </w:tc>
        <w:tc>
          <w:tcPr>
            <w:tcW w:w="3840" w:type="dxa"/>
            <w:tcBorders>
              <w:bottom w:val="single" w:sz="8" w:space="0" w:color="auto"/>
              <w:right w:val="single" w:sz="8" w:space="0" w:color="auto"/>
            </w:tcBorders>
            <w:shd w:val="clear" w:color="auto" w:fill="auto"/>
            <w:vAlign w:val="bottom"/>
          </w:tcPr>
          <w:p w14:paraId="048FE210" w14:textId="77777777" w:rsidR="00A52778" w:rsidRPr="00460F9E" w:rsidRDefault="00A52778" w:rsidP="00FC3F8E">
            <w:pPr>
              <w:spacing w:line="0" w:lineRule="atLeast"/>
              <w:rPr>
                <w:rFonts w:eastAsia="Times New Roman" w:cs="Times New Roman"/>
                <w:b/>
                <w:sz w:val="5"/>
              </w:rPr>
            </w:pPr>
          </w:p>
        </w:tc>
        <w:tc>
          <w:tcPr>
            <w:tcW w:w="4540" w:type="dxa"/>
            <w:tcBorders>
              <w:bottom w:val="single" w:sz="8" w:space="0" w:color="auto"/>
              <w:right w:val="single" w:sz="8" w:space="0" w:color="auto"/>
            </w:tcBorders>
            <w:shd w:val="clear" w:color="auto" w:fill="auto"/>
            <w:vAlign w:val="bottom"/>
          </w:tcPr>
          <w:p w14:paraId="1EE02AE6" w14:textId="77777777" w:rsidR="00A52778" w:rsidRPr="00460F9E" w:rsidRDefault="00A52778" w:rsidP="00FC3F8E">
            <w:pPr>
              <w:spacing w:line="0" w:lineRule="atLeast"/>
              <w:rPr>
                <w:rFonts w:eastAsia="Times New Roman" w:cs="Times New Roman"/>
                <w:b/>
                <w:sz w:val="5"/>
              </w:rPr>
            </w:pPr>
          </w:p>
        </w:tc>
      </w:tr>
      <w:tr w:rsidR="00A52778" w:rsidRPr="00460F9E" w14:paraId="122482FF" w14:textId="77777777" w:rsidTr="00FC3F8E">
        <w:trPr>
          <w:trHeight w:val="274"/>
        </w:trPr>
        <w:tc>
          <w:tcPr>
            <w:tcW w:w="380" w:type="dxa"/>
            <w:tcBorders>
              <w:left w:val="single" w:sz="8" w:space="0" w:color="auto"/>
              <w:right w:val="single" w:sz="8" w:space="0" w:color="auto"/>
            </w:tcBorders>
            <w:shd w:val="clear" w:color="auto" w:fill="auto"/>
            <w:vAlign w:val="bottom"/>
          </w:tcPr>
          <w:p w14:paraId="11222039"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a.</w:t>
            </w:r>
          </w:p>
        </w:tc>
        <w:tc>
          <w:tcPr>
            <w:tcW w:w="3840" w:type="dxa"/>
            <w:tcBorders>
              <w:right w:val="single" w:sz="8" w:space="0" w:color="auto"/>
            </w:tcBorders>
            <w:shd w:val="clear" w:color="auto" w:fill="auto"/>
            <w:vAlign w:val="bottom"/>
          </w:tcPr>
          <w:p w14:paraId="653AF555"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Absorpsiyon (rejeneratif)</w:t>
            </w:r>
          </w:p>
        </w:tc>
        <w:tc>
          <w:tcPr>
            <w:tcW w:w="4540" w:type="dxa"/>
            <w:tcBorders>
              <w:right w:val="single" w:sz="8" w:space="0" w:color="auto"/>
            </w:tcBorders>
            <w:shd w:val="clear" w:color="auto" w:fill="auto"/>
            <w:vAlign w:val="bottom"/>
          </w:tcPr>
          <w:p w14:paraId="21E2BAC9"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r>
      <w:tr w:rsidR="00A52778" w:rsidRPr="00460F9E" w14:paraId="558FDA90" w14:textId="77777777" w:rsidTr="00FC3F8E">
        <w:trPr>
          <w:trHeight w:val="66"/>
        </w:trPr>
        <w:tc>
          <w:tcPr>
            <w:tcW w:w="380" w:type="dxa"/>
            <w:tcBorders>
              <w:left w:val="single" w:sz="8" w:space="0" w:color="auto"/>
              <w:bottom w:val="single" w:sz="8" w:space="0" w:color="auto"/>
              <w:right w:val="single" w:sz="8" w:space="0" w:color="auto"/>
            </w:tcBorders>
            <w:shd w:val="clear" w:color="auto" w:fill="auto"/>
            <w:vAlign w:val="bottom"/>
          </w:tcPr>
          <w:p w14:paraId="1DC2192D" w14:textId="77777777" w:rsidR="00A52778" w:rsidRPr="00460F9E" w:rsidRDefault="00A52778" w:rsidP="00FC3F8E">
            <w:pPr>
              <w:spacing w:line="0" w:lineRule="atLeast"/>
              <w:rPr>
                <w:rFonts w:eastAsia="Times New Roman" w:cs="Times New Roman"/>
                <w:b/>
                <w:sz w:val="5"/>
              </w:rPr>
            </w:pPr>
          </w:p>
        </w:tc>
        <w:tc>
          <w:tcPr>
            <w:tcW w:w="3840" w:type="dxa"/>
            <w:tcBorders>
              <w:bottom w:val="single" w:sz="8" w:space="0" w:color="auto"/>
              <w:right w:val="single" w:sz="8" w:space="0" w:color="auto"/>
            </w:tcBorders>
            <w:shd w:val="clear" w:color="auto" w:fill="auto"/>
            <w:vAlign w:val="bottom"/>
          </w:tcPr>
          <w:p w14:paraId="3A4C9117" w14:textId="77777777" w:rsidR="00A52778" w:rsidRPr="00460F9E" w:rsidRDefault="00A52778" w:rsidP="00FC3F8E">
            <w:pPr>
              <w:spacing w:line="0" w:lineRule="atLeast"/>
              <w:rPr>
                <w:rFonts w:eastAsia="Times New Roman" w:cs="Times New Roman"/>
                <w:b/>
                <w:sz w:val="5"/>
              </w:rPr>
            </w:pPr>
          </w:p>
        </w:tc>
        <w:tc>
          <w:tcPr>
            <w:tcW w:w="4540" w:type="dxa"/>
            <w:tcBorders>
              <w:bottom w:val="single" w:sz="8" w:space="0" w:color="auto"/>
              <w:right w:val="single" w:sz="8" w:space="0" w:color="auto"/>
            </w:tcBorders>
            <w:shd w:val="clear" w:color="auto" w:fill="auto"/>
            <w:vAlign w:val="bottom"/>
          </w:tcPr>
          <w:p w14:paraId="2666EC9C" w14:textId="77777777" w:rsidR="00A52778" w:rsidRPr="00460F9E" w:rsidRDefault="00A52778" w:rsidP="00FC3F8E">
            <w:pPr>
              <w:spacing w:line="0" w:lineRule="atLeast"/>
              <w:rPr>
                <w:rFonts w:eastAsia="Times New Roman" w:cs="Times New Roman"/>
                <w:b/>
                <w:sz w:val="5"/>
              </w:rPr>
            </w:pPr>
          </w:p>
        </w:tc>
      </w:tr>
      <w:tr w:rsidR="00A52778" w:rsidRPr="00460F9E" w14:paraId="18917804" w14:textId="77777777" w:rsidTr="00FC3F8E">
        <w:trPr>
          <w:trHeight w:val="274"/>
        </w:trPr>
        <w:tc>
          <w:tcPr>
            <w:tcW w:w="380" w:type="dxa"/>
            <w:tcBorders>
              <w:left w:val="single" w:sz="8" w:space="0" w:color="auto"/>
              <w:right w:val="single" w:sz="8" w:space="0" w:color="auto"/>
            </w:tcBorders>
            <w:shd w:val="clear" w:color="auto" w:fill="auto"/>
            <w:vAlign w:val="bottom"/>
          </w:tcPr>
          <w:p w14:paraId="0AC0A181"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b.</w:t>
            </w:r>
          </w:p>
        </w:tc>
        <w:tc>
          <w:tcPr>
            <w:tcW w:w="3840" w:type="dxa"/>
            <w:tcBorders>
              <w:right w:val="single" w:sz="8" w:space="0" w:color="auto"/>
            </w:tcBorders>
            <w:shd w:val="clear" w:color="auto" w:fill="auto"/>
            <w:vAlign w:val="bottom"/>
          </w:tcPr>
          <w:p w14:paraId="1B008784"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Adsorpsiyon (rejeneratif)</w:t>
            </w:r>
          </w:p>
        </w:tc>
        <w:tc>
          <w:tcPr>
            <w:tcW w:w="4540" w:type="dxa"/>
            <w:tcBorders>
              <w:right w:val="single" w:sz="8" w:space="0" w:color="auto"/>
            </w:tcBorders>
            <w:shd w:val="clear" w:color="auto" w:fill="auto"/>
            <w:vAlign w:val="bottom"/>
          </w:tcPr>
          <w:p w14:paraId="7E5B8886"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r>
      <w:tr w:rsidR="00A52778" w:rsidRPr="00460F9E" w14:paraId="4D5C22A0" w14:textId="77777777" w:rsidTr="00FC3F8E">
        <w:trPr>
          <w:trHeight w:val="66"/>
        </w:trPr>
        <w:tc>
          <w:tcPr>
            <w:tcW w:w="380" w:type="dxa"/>
            <w:tcBorders>
              <w:left w:val="single" w:sz="8" w:space="0" w:color="auto"/>
              <w:bottom w:val="single" w:sz="8" w:space="0" w:color="auto"/>
              <w:right w:val="single" w:sz="8" w:space="0" w:color="auto"/>
            </w:tcBorders>
            <w:shd w:val="clear" w:color="auto" w:fill="auto"/>
            <w:vAlign w:val="bottom"/>
          </w:tcPr>
          <w:p w14:paraId="1FB5E455" w14:textId="77777777" w:rsidR="00A52778" w:rsidRPr="00460F9E" w:rsidRDefault="00A52778" w:rsidP="00FC3F8E">
            <w:pPr>
              <w:spacing w:line="0" w:lineRule="atLeast"/>
              <w:rPr>
                <w:rFonts w:eastAsia="Times New Roman" w:cs="Times New Roman"/>
                <w:b/>
                <w:sz w:val="5"/>
              </w:rPr>
            </w:pPr>
          </w:p>
        </w:tc>
        <w:tc>
          <w:tcPr>
            <w:tcW w:w="3840" w:type="dxa"/>
            <w:tcBorders>
              <w:bottom w:val="single" w:sz="8" w:space="0" w:color="auto"/>
              <w:right w:val="single" w:sz="8" w:space="0" w:color="auto"/>
            </w:tcBorders>
            <w:shd w:val="clear" w:color="auto" w:fill="auto"/>
            <w:vAlign w:val="bottom"/>
          </w:tcPr>
          <w:p w14:paraId="2005512B" w14:textId="77777777" w:rsidR="00A52778" w:rsidRPr="00460F9E" w:rsidRDefault="00A52778" w:rsidP="00FC3F8E">
            <w:pPr>
              <w:spacing w:line="0" w:lineRule="atLeast"/>
              <w:rPr>
                <w:rFonts w:eastAsia="Times New Roman" w:cs="Times New Roman"/>
                <w:b/>
                <w:sz w:val="5"/>
              </w:rPr>
            </w:pPr>
          </w:p>
        </w:tc>
        <w:tc>
          <w:tcPr>
            <w:tcW w:w="4540" w:type="dxa"/>
            <w:tcBorders>
              <w:bottom w:val="single" w:sz="8" w:space="0" w:color="auto"/>
              <w:right w:val="single" w:sz="8" w:space="0" w:color="auto"/>
            </w:tcBorders>
            <w:shd w:val="clear" w:color="auto" w:fill="auto"/>
            <w:vAlign w:val="bottom"/>
          </w:tcPr>
          <w:p w14:paraId="0707B29F" w14:textId="77777777" w:rsidR="00A52778" w:rsidRPr="00460F9E" w:rsidRDefault="00A52778" w:rsidP="00FC3F8E">
            <w:pPr>
              <w:spacing w:line="0" w:lineRule="atLeast"/>
              <w:rPr>
                <w:rFonts w:eastAsia="Times New Roman" w:cs="Times New Roman"/>
                <w:b/>
                <w:sz w:val="5"/>
              </w:rPr>
            </w:pPr>
          </w:p>
        </w:tc>
      </w:tr>
      <w:tr w:rsidR="00A52778" w:rsidRPr="00460F9E" w14:paraId="5203FF8B" w14:textId="77777777" w:rsidTr="00FC3F8E">
        <w:trPr>
          <w:trHeight w:val="274"/>
        </w:trPr>
        <w:tc>
          <w:tcPr>
            <w:tcW w:w="380" w:type="dxa"/>
            <w:tcBorders>
              <w:left w:val="single" w:sz="8" w:space="0" w:color="auto"/>
              <w:right w:val="single" w:sz="8" w:space="0" w:color="auto"/>
            </w:tcBorders>
            <w:shd w:val="clear" w:color="auto" w:fill="auto"/>
            <w:vAlign w:val="bottom"/>
          </w:tcPr>
          <w:p w14:paraId="62A93C0C"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c.</w:t>
            </w:r>
          </w:p>
        </w:tc>
        <w:tc>
          <w:tcPr>
            <w:tcW w:w="3840" w:type="dxa"/>
            <w:tcBorders>
              <w:right w:val="single" w:sz="8" w:space="0" w:color="auto"/>
            </w:tcBorders>
            <w:shd w:val="clear" w:color="auto" w:fill="auto"/>
            <w:vAlign w:val="bottom"/>
          </w:tcPr>
          <w:p w14:paraId="11719618"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Yoğuşturma</w:t>
            </w:r>
          </w:p>
        </w:tc>
        <w:tc>
          <w:tcPr>
            <w:tcW w:w="4540" w:type="dxa"/>
            <w:tcBorders>
              <w:right w:val="single" w:sz="8" w:space="0" w:color="auto"/>
            </w:tcBorders>
            <w:shd w:val="clear" w:color="auto" w:fill="auto"/>
            <w:vAlign w:val="bottom"/>
          </w:tcPr>
          <w:p w14:paraId="4D97C240"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r>
      <w:tr w:rsidR="00A52778" w:rsidRPr="00460F9E" w14:paraId="5108E8F4" w14:textId="77777777" w:rsidTr="00FC3F8E">
        <w:trPr>
          <w:trHeight w:val="66"/>
        </w:trPr>
        <w:tc>
          <w:tcPr>
            <w:tcW w:w="380" w:type="dxa"/>
            <w:tcBorders>
              <w:left w:val="single" w:sz="8" w:space="0" w:color="auto"/>
              <w:bottom w:val="single" w:sz="8" w:space="0" w:color="auto"/>
              <w:right w:val="single" w:sz="8" w:space="0" w:color="auto"/>
            </w:tcBorders>
            <w:shd w:val="clear" w:color="auto" w:fill="auto"/>
            <w:vAlign w:val="bottom"/>
          </w:tcPr>
          <w:p w14:paraId="7E6F5FB8" w14:textId="77777777" w:rsidR="00A52778" w:rsidRPr="00460F9E" w:rsidRDefault="00A52778" w:rsidP="00FC3F8E">
            <w:pPr>
              <w:spacing w:line="0" w:lineRule="atLeast"/>
              <w:rPr>
                <w:rFonts w:eastAsia="Times New Roman" w:cs="Times New Roman"/>
                <w:b/>
                <w:sz w:val="5"/>
              </w:rPr>
            </w:pPr>
          </w:p>
        </w:tc>
        <w:tc>
          <w:tcPr>
            <w:tcW w:w="3840" w:type="dxa"/>
            <w:tcBorders>
              <w:bottom w:val="single" w:sz="8" w:space="0" w:color="auto"/>
              <w:right w:val="single" w:sz="8" w:space="0" w:color="auto"/>
            </w:tcBorders>
            <w:shd w:val="clear" w:color="auto" w:fill="auto"/>
            <w:vAlign w:val="bottom"/>
          </w:tcPr>
          <w:p w14:paraId="11B80916" w14:textId="77777777" w:rsidR="00A52778" w:rsidRPr="00460F9E" w:rsidRDefault="00A52778" w:rsidP="00FC3F8E">
            <w:pPr>
              <w:spacing w:line="0" w:lineRule="atLeast"/>
              <w:rPr>
                <w:rFonts w:eastAsia="Times New Roman" w:cs="Times New Roman"/>
                <w:b/>
                <w:sz w:val="5"/>
              </w:rPr>
            </w:pPr>
          </w:p>
        </w:tc>
        <w:tc>
          <w:tcPr>
            <w:tcW w:w="4540" w:type="dxa"/>
            <w:tcBorders>
              <w:bottom w:val="single" w:sz="8" w:space="0" w:color="auto"/>
              <w:right w:val="single" w:sz="8" w:space="0" w:color="auto"/>
            </w:tcBorders>
            <w:shd w:val="clear" w:color="auto" w:fill="auto"/>
            <w:vAlign w:val="bottom"/>
          </w:tcPr>
          <w:p w14:paraId="5C41528E" w14:textId="77777777" w:rsidR="00A52778" w:rsidRPr="00460F9E" w:rsidRDefault="00A52778" w:rsidP="00FC3F8E">
            <w:pPr>
              <w:spacing w:line="0" w:lineRule="atLeast"/>
              <w:rPr>
                <w:rFonts w:eastAsia="Times New Roman" w:cs="Times New Roman"/>
                <w:b/>
                <w:sz w:val="5"/>
              </w:rPr>
            </w:pPr>
          </w:p>
        </w:tc>
      </w:tr>
    </w:tbl>
    <w:p w14:paraId="5DDDAA89" w14:textId="77777777" w:rsidR="00A52778" w:rsidRPr="00460F9E" w:rsidRDefault="00A52778" w:rsidP="00A52778">
      <w:pPr>
        <w:spacing w:line="200" w:lineRule="exact"/>
        <w:rPr>
          <w:rFonts w:eastAsia="Times New Roman" w:cs="Times New Roman"/>
          <w:b/>
        </w:rPr>
      </w:pPr>
    </w:p>
    <w:p w14:paraId="1BE43811" w14:textId="77777777" w:rsidR="00A52778" w:rsidRPr="00460F9E" w:rsidRDefault="00A52778" w:rsidP="00A52778">
      <w:pPr>
        <w:spacing w:line="303" w:lineRule="exact"/>
        <w:rPr>
          <w:rFonts w:eastAsia="Times New Roman" w:cs="Times New Roman"/>
          <w:b/>
        </w:rPr>
      </w:pPr>
    </w:p>
    <w:p w14:paraId="1D47A60A" w14:textId="77777777" w:rsidR="00A52778" w:rsidRPr="00B568BE" w:rsidRDefault="00A52778" w:rsidP="00A52778">
      <w:pPr>
        <w:spacing w:line="0" w:lineRule="atLeast"/>
        <w:ind w:left="820"/>
        <w:rPr>
          <w:rFonts w:eastAsia="Times New Roman" w:cs="Times New Roman"/>
        </w:rPr>
      </w:pPr>
      <w:r w:rsidRPr="00B568BE">
        <w:rPr>
          <w:rFonts w:eastAsia="Times New Roman" w:cs="Times New Roman"/>
        </w:rPr>
        <w:t>Uygulanabilirlik</w:t>
      </w:r>
    </w:p>
    <w:p w14:paraId="60B99A82" w14:textId="77777777" w:rsidR="00A52778" w:rsidRPr="00460F9E" w:rsidRDefault="00A52778" w:rsidP="00A52778">
      <w:pPr>
        <w:spacing w:line="6" w:lineRule="exact"/>
        <w:rPr>
          <w:rFonts w:eastAsia="Times New Roman" w:cs="Times New Roman"/>
          <w:b/>
        </w:rPr>
      </w:pPr>
    </w:p>
    <w:p w14:paraId="4B695500" w14:textId="77777777" w:rsidR="00A52778" w:rsidRPr="00460F9E" w:rsidRDefault="00A52778" w:rsidP="00A52778">
      <w:pPr>
        <w:spacing w:line="235" w:lineRule="auto"/>
        <w:ind w:left="820" w:right="120"/>
        <w:rPr>
          <w:rFonts w:eastAsia="Times New Roman" w:cs="Times New Roman"/>
          <w:b/>
        </w:rPr>
      </w:pPr>
      <w:r w:rsidRPr="00460F9E">
        <w:rPr>
          <w:rFonts w:eastAsia="Times New Roman" w:cs="Times New Roman"/>
        </w:rPr>
        <w:t>Proses çıkış gaz(lar)ında ilgili bileşik(ler)in düşük konsantrasyonları nedeniyle enerji talebinin aşırı olduğu durumlarda geri kazanım kısıtlanabilir.</w:t>
      </w:r>
    </w:p>
    <w:p w14:paraId="22EED0CC" w14:textId="77777777" w:rsidR="00A52778" w:rsidRPr="00460F9E" w:rsidRDefault="00A52778" w:rsidP="00A52778">
      <w:pPr>
        <w:spacing w:line="364" w:lineRule="exact"/>
        <w:rPr>
          <w:rFonts w:eastAsia="Times New Roman" w:cs="Times New Roman"/>
          <w:b/>
        </w:rPr>
      </w:pPr>
    </w:p>
    <w:p w14:paraId="3ECCD5E3" w14:textId="77777777" w:rsidR="00A52778" w:rsidRPr="00460F9E" w:rsidRDefault="00A52778" w:rsidP="00A52778">
      <w:pPr>
        <w:spacing w:line="235" w:lineRule="auto"/>
        <w:ind w:left="820" w:right="120"/>
        <w:rPr>
          <w:rFonts w:eastAsia="Times New Roman" w:cs="Times New Roman"/>
          <w:b/>
        </w:rPr>
      </w:pPr>
      <w:r>
        <w:rPr>
          <w:rFonts w:eastAsia="Times New Roman" w:cs="Times New Roman"/>
        </w:rPr>
        <w:t>MET 29:</w:t>
      </w:r>
      <w:r w:rsidRPr="00B568BE">
        <w:rPr>
          <w:rFonts w:eastAsia="Times New Roman" w:cs="Times New Roman"/>
        </w:rPr>
        <w:t xml:space="preserve"> Vinil klorür monomerinin vinil klorür monomer geri kazanımından havaya kanalize olan emisyonlarını azaltmak için MET aşağıda verilen tekniklerden birinin veya bir kombinasyonunun kullanılmasıdır.</w:t>
      </w:r>
    </w:p>
    <w:p w14:paraId="53362CA5" w14:textId="77777777" w:rsidR="00A52778" w:rsidRPr="00460F9E" w:rsidRDefault="00A52778" w:rsidP="00A52778">
      <w:pPr>
        <w:spacing w:line="332" w:lineRule="exact"/>
        <w:rPr>
          <w:rFonts w:eastAsia="Times New Roman" w:cs="Times New Roman"/>
          <w:b/>
        </w:rPr>
      </w:pPr>
    </w:p>
    <w:tbl>
      <w:tblPr>
        <w:tblW w:w="8760" w:type="dxa"/>
        <w:tblInd w:w="730" w:type="dxa"/>
        <w:tblLayout w:type="fixed"/>
        <w:tblCellMar>
          <w:left w:w="0" w:type="dxa"/>
          <w:right w:w="0" w:type="dxa"/>
        </w:tblCellMar>
        <w:tblLook w:val="0000" w:firstRow="0" w:lastRow="0" w:firstColumn="0" w:lastColumn="0" w:noHBand="0" w:noVBand="0"/>
      </w:tblPr>
      <w:tblGrid>
        <w:gridCol w:w="380"/>
        <w:gridCol w:w="2100"/>
        <w:gridCol w:w="2320"/>
        <w:gridCol w:w="3960"/>
      </w:tblGrid>
      <w:tr w:rsidR="00A52778" w:rsidRPr="00460F9E" w14:paraId="269EC4AA" w14:textId="77777777" w:rsidTr="00FC3F8E">
        <w:trPr>
          <w:trHeight w:val="257"/>
        </w:trPr>
        <w:tc>
          <w:tcPr>
            <w:tcW w:w="380" w:type="dxa"/>
            <w:tcBorders>
              <w:top w:val="single" w:sz="8" w:space="0" w:color="auto"/>
              <w:left w:val="single" w:sz="8" w:space="0" w:color="auto"/>
              <w:bottom w:val="single" w:sz="8" w:space="0" w:color="auto"/>
              <w:right w:val="single" w:sz="8" w:space="0" w:color="auto"/>
            </w:tcBorders>
            <w:shd w:val="clear" w:color="auto" w:fill="auto"/>
            <w:vAlign w:val="bottom"/>
          </w:tcPr>
          <w:p w14:paraId="605BA535" w14:textId="77777777" w:rsidR="00A52778" w:rsidRPr="00460F9E" w:rsidRDefault="00A52778" w:rsidP="00FC3F8E">
            <w:pPr>
              <w:spacing w:line="0" w:lineRule="atLeast"/>
              <w:rPr>
                <w:rFonts w:eastAsia="Times New Roman" w:cs="Times New Roman"/>
                <w:b/>
              </w:rPr>
            </w:pPr>
          </w:p>
        </w:tc>
        <w:tc>
          <w:tcPr>
            <w:tcW w:w="2100" w:type="dxa"/>
            <w:tcBorders>
              <w:top w:val="single" w:sz="8" w:space="0" w:color="auto"/>
              <w:bottom w:val="single" w:sz="8" w:space="0" w:color="auto"/>
              <w:right w:val="single" w:sz="8" w:space="0" w:color="auto"/>
            </w:tcBorders>
            <w:shd w:val="clear" w:color="auto" w:fill="auto"/>
            <w:vAlign w:val="center"/>
          </w:tcPr>
          <w:p w14:paraId="36DDD857" w14:textId="77777777" w:rsidR="00A52778" w:rsidRPr="00460F9E" w:rsidRDefault="00A52778" w:rsidP="00FC3F8E">
            <w:pPr>
              <w:spacing w:line="0" w:lineRule="atLeast"/>
              <w:ind w:left="580"/>
              <w:rPr>
                <w:rFonts w:eastAsia="Times New Roman" w:cs="Times New Roman"/>
                <w:b/>
              </w:rPr>
            </w:pPr>
            <w:r w:rsidRPr="00460F9E">
              <w:rPr>
                <w:rFonts w:eastAsia="Times New Roman" w:cs="Times New Roman"/>
              </w:rPr>
              <w:t>Teknikler</w:t>
            </w:r>
          </w:p>
        </w:tc>
        <w:tc>
          <w:tcPr>
            <w:tcW w:w="2320" w:type="dxa"/>
            <w:tcBorders>
              <w:top w:val="single" w:sz="8" w:space="0" w:color="auto"/>
              <w:bottom w:val="single" w:sz="8" w:space="0" w:color="auto"/>
              <w:right w:val="single" w:sz="8" w:space="0" w:color="auto"/>
            </w:tcBorders>
            <w:shd w:val="clear" w:color="auto" w:fill="auto"/>
            <w:vAlign w:val="center"/>
          </w:tcPr>
          <w:p w14:paraId="77C165A2" w14:textId="77777777" w:rsidR="00A52778" w:rsidRPr="00460F9E" w:rsidRDefault="00A52778" w:rsidP="00FC3F8E">
            <w:pPr>
              <w:spacing w:line="0" w:lineRule="atLeast"/>
              <w:rPr>
                <w:rFonts w:eastAsia="Times New Roman" w:cs="Times New Roman"/>
                <w:b/>
                <w:w w:val="99"/>
              </w:rPr>
            </w:pPr>
            <w:r w:rsidRPr="00460F9E">
              <w:rPr>
                <w:rFonts w:eastAsia="Times New Roman" w:cs="Times New Roman"/>
                <w:w w:val="99"/>
              </w:rPr>
              <w:t>Tanımlamalar</w:t>
            </w:r>
          </w:p>
        </w:tc>
        <w:tc>
          <w:tcPr>
            <w:tcW w:w="3960" w:type="dxa"/>
            <w:tcBorders>
              <w:top w:val="single" w:sz="8" w:space="0" w:color="auto"/>
              <w:bottom w:val="single" w:sz="8" w:space="0" w:color="auto"/>
              <w:right w:val="single" w:sz="8" w:space="0" w:color="auto"/>
            </w:tcBorders>
            <w:shd w:val="clear" w:color="auto" w:fill="auto"/>
            <w:vAlign w:val="center"/>
          </w:tcPr>
          <w:p w14:paraId="5164E47F" w14:textId="77777777" w:rsidR="00A52778" w:rsidRPr="00460F9E" w:rsidRDefault="00A52778" w:rsidP="00FC3F8E">
            <w:pPr>
              <w:spacing w:line="0" w:lineRule="atLeast"/>
              <w:ind w:left="1400"/>
              <w:rPr>
                <w:rFonts w:eastAsia="Times New Roman" w:cs="Times New Roman"/>
                <w:b/>
              </w:rPr>
            </w:pPr>
            <w:r w:rsidRPr="00460F9E">
              <w:rPr>
                <w:rFonts w:eastAsia="Times New Roman" w:cs="Times New Roman"/>
              </w:rPr>
              <w:t>Uygulanabilirlik</w:t>
            </w:r>
          </w:p>
        </w:tc>
      </w:tr>
      <w:tr w:rsidR="00A52778" w:rsidRPr="00460F9E" w14:paraId="44253F1D" w14:textId="77777777" w:rsidTr="00FC3F8E">
        <w:trPr>
          <w:trHeight w:val="343"/>
        </w:trPr>
        <w:tc>
          <w:tcPr>
            <w:tcW w:w="380" w:type="dxa"/>
            <w:tcBorders>
              <w:left w:val="single" w:sz="8" w:space="0" w:color="auto"/>
              <w:right w:val="single" w:sz="8" w:space="0" w:color="auto"/>
            </w:tcBorders>
            <w:shd w:val="clear" w:color="auto" w:fill="auto"/>
            <w:vAlign w:val="bottom"/>
          </w:tcPr>
          <w:p w14:paraId="33EB7025"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a.</w:t>
            </w:r>
          </w:p>
        </w:tc>
        <w:tc>
          <w:tcPr>
            <w:tcW w:w="2100" w:type="dxa"/>
            <w:tcBorders>
              <w:right w:val="single" w:sz="8" w:space="0" w:color="auto"/>
            </w:tcBorders>
            <w:shd w:val="clear" w:color="auto" w:fill="auto"/>
            <w:vAlign w:val="bottom"/>
          </w:tcPr>
          <w:p w14:paraId="6A3A12BB"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Absorpsiyon</w:t>
            </w:r>
          </w:p>
        </w:tc>
        <w:tc>
          <w:tcPr>
            <w:tcW w:w="2320" w:type="dxa"/>
            <w:tcBorders>
              <w:right w:val="single" w:sz="8" w:space="0" w:color="auto"/>
            </w:tcBorders>
            <w:shd w:val="clear" w:color="auto" w:fill="auto"/>
            <w:vAlign w:val="bottom"/>
          </w:tcPr>
          <w:p w14:paraId="50ED8139"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960" w:type="dxa"/>
            <w:vMerge w:val="restart"/>
            <w:tcBorders>
              <w:right w:val="single" w:sz="8" w:space="0" w:color="auto"/>
            </w:tcBorders>
            <w:shd w:val="clear" w:color="auto" w:fill="auto"/>
            <w:vAlign w:val="center"/>
          </w:tcPr>
          <w:p w14:paraId="42835A1F"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Genel olarak uygulanabilir.</w:t>
            </w:r>
          </w:p>
        </w:tc>
      </w:tr>
      <w:tr w:rsidR="00A52778" w:rsidRPr="00460F9E" w14:paraId="203B4174" w14:textId="77777777" w:rsidTr="00FC3F8E">
        <w:trPr>
          <w:trHeight w:val="131"/>
        </w:trPr>
        <w:tc>
          <w:tcPr>
            <w:tcW w:w="380" w:type="dxa"/>
            <w:tcBorders>
              <w:left w:val="single" w:sz="8" w:space="0" w:color="auto"/>
              <w:bottom w:val="single" w:sz="8" w:space="0" w:color="auto"/>
              <w:right w:val="single" w:sz="8" w:space="0" w:color="auto"/>
            </w:tcBorders>
            <w:shd w:val="clear" w:color="auto" w:fill="auto"/>
            <w:vAlign w:val="bottom"/>
          </w:tcPr>
          <w:p w14:paraId="63F30BEE" w14:textId="77777777" w:rsidR="00A52778" w:rsidRPr="00460F9E" w:rsidRDefault="00A52778" w:rsidP="00FC3F8E">
            <w:pPr>
              <w:spacing w:line="0" w:lineRule="atLeast"/>
              <w:rPr>
                <w:rFonts w:eastAsia="Times New Roman" w:cs="Times New Roman"/>
                <w:b/>
                <w:sz w:val="11"/>
              </w:rPr>
            </w:pPr>
          </w:p>
        </w:tc>
        <w:tc>
          <w:tcPr>
            <w:tcW w:w="2100" w:type="dxa"/>
            <w:tcBorders>
              <w:bottom w:val="single" w:sz="8" w:space="0" w:color="auto"/>
              <w:right w:val="single" w:sz="8" w:space="0" w:color="auto"/>
            </w:tcBorders>
            <w:shd w:val="clear" w:color="auto" w:fill="auto"/>
            <w:vAlign w:val="bottom"/>
          </w:tcPr>
          <w:p w14:paraId="7E1DA5D7" w14:textId="77777777" w:rsidR="00A52778" w:rsidRPr="00460F9E" w:rsidRDefault="00A52778" w:rsidP="00FC3F8E">
            <w:pPr>
              <w:spacing w:line="0" w:lineRule="atLeast"/>
              <w:rPr>
                <w:rFonts w:eastAsia="Times New Roman" w:cs="Times New Roman"/>
                <w:b/>
                <w:sz w:val="11"/>
              </w:rPr>
            </w:pPr>
          </w:p>
        </w:tc>
        <w:tc>
          <w:tcPr>
            <w:tcW w:w="2320" w:type="dxa"/>
            <w:tcBorders>
              <w:bottom w:val="single" w:sz="8" w:space="0" w:color="auto"/>
              <w:right w:val="single" w:sz="8" w:space="0" w:color="auto"/>
            </w:tcBorders>
            <w:shd w:val="clear" w:color="auto" w:fill="auto"/>
            <w:vAlign w:val="bottom"/>
          </w:tcPr>
          <w:p w14:paraId="52701706" w14:textId="77777777" w:rsidR="00A52778" w:rsidRPr="00460F9E" w:rsidRDefault="00A52778" w:rsidP="00FC3F8E">
            <w:pPr>
              <w:spacing w:line="0" w:lineRule="atLeast"/>
              <w:rPr>
                <w:rFonts w:eastAsia="Times New Roman" w:cs="Times New Roman"/>
                <w:b/>
                <w:sz w:val="11"/>
              </w:rPr>
            </w:pPr>
          </w:p>
        </w:tc>
        <w:tc>
          <w:tcPr>
            <w:tcW w:w="3960" w:type="dxa"/>
            <w:vMerge/>
            <w:tcBorders>
              <w:right w:val="single" w:sz="8" w:space="0" w:color="auto"/>
            </w:tcBorders>
            <w:shd w:val="clear" w:color="auto" w:fill="auto"/>
            <w:vAlign w:val="bottom"/>
          </w:tcPr>
          <w:p w14:paraId="31302D01" w14:textId="77777777" w:rsidR="00A52778" w:rsidRPr="00460F9E" w:rsidRDefault="00A52778" w:rsidP="00FC3F8E">
            <w:pPr>
              <w:spacing w:line="0" w:lineRule="atLeast"/>
              <w:ind w:left="100"/>
              <w:rPr>
                <w:rFonts w:eastAsia="Times New Roman" w:cs="Times New Roman"/>
                <w:b/>
              </w:rPr>
            </w:pPr>
          </w:p>
        </w:tc>
      </w:tr>
      <w:tr w:rsidR="00A52778" w:rsidRPr="00460F9E" w14:paraId="7889C0AC" w14:textId="77777777" w:rsidTr="00FC3F8E">
        <w:trPr>
          <w:trHeight w:val="293"/>
        </w:trPr>
        <w:tc>
          <w:tcPr>
            <w:tcW w:w="380" w:type="dxa"/>
            <w:tcBorders>
              <w:left w:val="single" w:sz="8" w:space="0" w:color="auto"/>
              <w:right w:val="single" w:sz="8" w:space="0" w:color="auto"/>
            </w:tcBorders>
            <w:shd w:val="clear" w:color="auto" w:fill="auto"/>
            <w:vAlign w:val="bottom"/>
          </w:tcPr>
          <w:p w14:paraId="1C4ABA90"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b.</w:t>
            </w:r>
          </w:p>
        </w:tc>
        <w:tc>
          <w:tcPr>
            <w:tcW w:w="2100" w:type="dxa"/>
            <w:tcBorders>
              <w:right w:val="single" w:sz="8" w:space="0" w:color="auto"/>
            </w:tcBorders>
            <w:shd w:val="clear" w:color="auto" w:fill="auto"/>
            <w:vAlign w:val="bottom"/>
          </w:tcPr>
          <w:p w14:paraId="79E3DB5C"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Adsorpsiyon</w:t>
            </w:r>
          </w:p>
        </w:tc>
        <w:tc>
          <w:tcPr>
            <w:tcW w:w="2320" w:type="dxa"/>
            <w:tcBorders>
              <w:right w:val="single" w:sz="8" w:space="0" w:color="auto"/>
            </w:tcBorders>
            <w:shd w:val="clear" w:color="auto" w:fill="auto"/>
            <w:vAlign w:val="bottom"/>
          </w:tcPr>
          <w:p w14:paraId="35634957"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960" w:type="dxa"/>
            <w:vMerge/>
            <w:tcBorders>
              <w:right w:val="single" w:sz="8" w:space="0" w:color="auto"/>
            </w:tcBorders>
            <w:shd w:val="clear" w:color="auto" w:fill="auto"/>
            <w:vAlign w:val="bottom"/>
          </w:tcPr>
          <w:p w14:paraId="3D015E41" w14:textId="77777777" w:rsidR="00A52778" w:rsidRPr="00460F9E" w:rsidRDefault="00A52778" w:rsidP="00FC3F8E">
            <w:pPr>
              <w:spacing w:line="0" w:lineRule="atLeast"/>
              <w:rPr>
                <w:rFonts w:eastAsia="Times New Roman" w:cs="Times New Roman"/>
                <w:b/>
              </w:rPr>
            </w:pPr>
          </w:p>
        </w:tc>
      </w:tr>
      <w:tr w:rsidR="00A52778" w:rsidRPr="00460F9E" w14:paraId="015316A7" w14:textId="77777777" w:rsidTr="00FC3F8E">
        <w:trPr>
          <w:trHeight w:val="85"/>
        </w:trPr>
        <w:tc>
          <w:tcPr>
            <w:tcW w:w="380" w:type="dxa"/>
            <w:tcBorders>
              <w:left w:val="single" w:sz="8" w:space="0" w:color="auto"/>
              <w:bottom w:val="single" w:sz="8" w:space="0" w:color="auto"/>
              <w:right w:val="single" w:sz="8" w:space="0" w:color="auto"/>
            </w:tcBorders>
            <w:shd w:val="clear" w:color="auto" w:fill="auto"/>
            <w:vAlign w:val="bottom"/>
          </w:tcPr>
          <w:p w14:paraId="57B17740" w14:textId="77777777" w:rsidR="00A52778" w:rsidRPr="00460F9E" w:rsidRDefault="00A52778" w:rsidP="00FC3F8E">
            <w:pPr>
              <w:spacing w:line="0" w:lineRule="atLeast"/>
              <w:rPr>
                <w:rFonts w:eastAsia="Times New Roman" w:cs="Times New Roman"/>
                <w:b/>
                <w:sz w:val="7"/>
              </w:rPr>
            </w:pPr>
          </w:p>
        </w:tc>
        <w:tc>
          <w:tcPr>
            <w:tcW w:w="2100" w:type="dxa"/>
            <w:tcBorders>
              <w:bottom w:val="single" w:sz="8" w:space="0" w:color="auto"/>
              <w:right w:val="single" w:sz="8" w:space="0" w:color="auto"/>
            </w:tcBorders>
            <w:shd w:val="clear" w:color="auto" w:fill="auto"/>
            <w:vAlign w:val="bottom"/>
          </w:tcPr>
          <w:p w14:paraId="4E38BA53" w14:textId="77777777" w:rsidR="00A52778" w:rsidRPr="00460F9E" w:rsidRDefault="00A52778" w:rsidP="00FC3F8E">
            <w:pPr>
              <w:spacing w:line="0" w:lineRule="atLeast"/>
              <w:rPr>
                <w:rFonts w:eastAsia="Times New Roman" w:cs="Times New Roman"/>
                <w:b/>
                <w:sz w:val="7"/>
              </w:rPr>
            </w:pPr>
          </w:p>
        </w:tc>
        <w:tc>
          <w:tcPr>
            <w:tcW w:w="2320" w:type="dxa"/>
            <w:tcBorders>
              <w:bottom w:val="single" w:sz="8" w:space="0" w:color="auto"/>
              <w:right w:val="single" w:sz="8" w:space="0" w:color="auto"/>
            </w:tcBorders>
            <w:shd w:val="clear" w:color="auto" w:fill="auto"/>
            <w:vAlign w:val="bottom"/>
          </w:tcPr>
          <w:p w14:paraId="7150E774" w14:textId="77777777" w:rsidR="00A52778" w:rsidRPr="00460F9E" w:rsidRDefault="00A52778" w:rsidP="00FC3F8E">
            <w:pPr>
              <w:spacing w:line="0" w:lineRule="atLeast"/>
              <w:rPr>
                <w:rFonts w:eastAsia="Times New Roman" w:cs="Times New Roman"/>
                <w:b/>
                <w:sz w:val="7"/>
              </w:rPr>
            </w:pPr>
          </w:p>
        </w:tc>
        <w:tc>
          <w:tcPr>
            <w:tcW w:w="3960" w:type="dxa"/>
            <w:vMerge/>
            <w:tcBorders>
              <w:right w:val="single" w:sz="8" w:space="0" w:color="auto"/>
            </w:tcBorders>
            <w:shd w:val="clear" w:color="auto" w:fill="auto"/>
            <w:vAlign w:val="bottom"/>
          </w:tcPr>
          <w:p w14:paraId="47CC3D29" w14:textId="77777777" w:rsidR="00A52778" w:rsidRPr="00460F9E" w:rsidRDefault="00A52778" w:rsidP="00FC3F8E">
            <w:pPr>
              <w:spacing w:line="0" w:lineRule="atLeast"/>
              <w:rPr>
                <w:rFonts w:eastAsia="Times New Roman" w:cs="Times New Roman"/>
                <w:b/>
                <w:sz w:val="7"/>
              </w:rPr>
            </w:pPr>
          </w:p>
        </w:tc>
      </w:tr>
      <w:tr w:rsidR="00A52778" w:rsidRPr="00460F9E" w14:paraId="2FDC5496" w14:textId="77777777" w:rsidTr="00FC3F8E">
        <w:trPr>
          <w:trHeight w:val="293"/>
        </w:trPr>
        <w:tc>
          <w:tcPr>
            <w:tcW w:w="380" w:type="dxa"/>
            <w:tcBorders>
              <w:left w:val="single" w:sz="8" w:space="0" w:color="auto"/>
              <w:right w:val="single" w:sz="8" w:space="0" w:color="auto"/>
            </w:tcBorders>
            <w:shd w:val="clear" w:color="auto" w:fill="auto"/>
            <w:vAlign w:val="bottom"/>
          </w:tcPr>
          <w:p w14:paraId="6B98C674"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c.</w:t>
            </w:r>
          </w:p>
        </w:tc>
        <w:tc>
          <w:tcPr>
            <w:tcW w:w="2100" w:type="dxa"/>
            <w:tcBorders>
              <w:right w:val="single" w:sz="8" w:space="0" w:color="auto"/>
            </w:tcBorders>
            <w:shd w:val="clear" w:color="auto" w:fill="auto"/>
            <w:vAlign w:val="bottom"/>
          </w:tcPr>
          <w:p w14:paraId="5F023C69"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Yoğuşturma</w:t>
            </w:r>
          </w:p>
        </w:tc>
        <w:tc>
          <w:tcPr>
            <w:tcW w:w="2320" w:type="dxa"/>
            <w:tcBorders>
              <w:right w:val="single" w:sz="8" w:space="0" w:color="auto"/>
            </w:tcBorders>
            <w:shd w:val="clear" w:color="auto" w:fill="auto"/>
            <w:vAlign w:val="bottom"/>
          </w:tcPr>
          <w:p w14:paraId="73D47FA7"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960" w:type="dxa"/>
            <w:vMerge/>
            <w:tcBorders>
              <w:right w:val="single" w:sz="8" w:space="0" w:color="auto"/>
            </w:tcBorders>
            <w:shd w:val="clear" w:color="auto" w:fill="auto"/>
            <w:vAlign w:val="bottom"/>
          </w:tcPr>
          <w:p w14:paraId="3A321F02" w14:textId="77777777" w:rsidR="00A52778" w:rsidRPr="00460F9E" w:rsidRDefault="00A52778" w:rsidP="00FC3F8E">
            <w:pPr>
              <w:spacing w:line="0" w:lineRule="atLeast"/>
              <w:rPr>
                <w:rFonts w:eastAsia="Times New Roman" w:cs="Times New Roman"/>
                <w:b/>
              </w:rPr>
            </w:pPr>
          </w:p>
        </w:tc>
      </w:tr>
      <w:tr w:rsidR="00A52778" w:rsidRPr="00460F9E" w14:paraId="6BA4FE70" w14:textId="77777777" w:rsidTr="00FC3F8E">
        <w:trPr>
          <w:trHeight w:val="85"/>
        </w:trPr>
        <w:tc>
          <w:tcPr>
            <w:tcW w:w="380" w:type="dxa"/>
            <w:tcBorders>
              <w:left w:val="single" w:sz="8" w:space="0" w:color="auto"/>
              <w:bottom w:val="single" w:sz="8" w:space="0" w:color="auto"/>
              <w:right w:val="single" w:sz="8" w:space="0" w:color="auto"/>
            </w:tcBorders>
            <w:shd w:val="clear" w:color="auto" w:fill="auto"/>
            <w:vAlign w:val="bottom"/>
          </w:tcPr>
          <w:p w14:paraId="32A5D58F" w14:textId="77777777" w:rsidR="00A52778" w:rsidRPr="00460F9E" w:rsidRDefault="00A52778" w:rsidP="00FC3F8E">
            <w:pPr>
              <w:spacing w:line="0" w:lineRule="atLeast"/>
              <w:rPr>
                <w:rFonts w:eastAsia="Times New Roman" w:cs="Times New Roman"/>
                <w:b/>
                <w:sz w:val="7"/>
              </w:rPr>
            </w:pPr>
          </w:p>
        </w:tc>
        <w:tc>
          <w:tcPr>
            <w:tcW w:w="2100" w:type="dxa"/>
            <w:tcBorders>
              <w:bottom w:val="single" w:sz="8" w:space="0" w:color="auto"/>
              <w:right w:val="single" w:sz="8" w:space="0" w:color="auto"/>
            </w:tcBorders>
            <w:shd w:val="clear" w:color="auto" w:fill="auto"/>
            <w:vAlign w:val="bottom"/>
          </w:tcPr>
          <w:p w14:paraId="1EFEAB57" w14:textId="77777777" w:rsidR="00A52778" w:rsidRPr="00460F9E" w:rsidRDefault="00A52778" w:rsidP="00FC3F8E">
            <w:pPr>
              <w:spacing w:line="0" w:lineRule="atLeast"/>
              <w:rPr>
                <w:rFonts w:eastAsia="Times New Roman" w:cs="Times New Roman"/>
                <w:b/>
                <w:sz w:val="7"/>
              </w:rPr>
            </w:pPr>
          </w:p>
        </w:tc>
        <w:tc>
          <w:tcPr>
            <w:tcW w:w="2320" w:type="dxa"/>
            <w:tcBorders>
              <w:bottom w:val="single" w:sz="8" w:space="0" w:color="auto"/>
              <w:right w:val="single" w:sz="8" w:space="0" w:color="auto"/>
            </w:tcBorders>
            <w:shd w:val="clear" w:color="auto" w:fill="auto"/>
            <w:vAlign w:val="bottom"/>
          </w:tcPr>
          <w:p w14:paraId="2AFFDAA9" w14:textId="77777777" w:rsidR="00A52778" w:rsidRPr="00460F9E" w:rsidRDefault="00A52778" w:rsidP="00FC3F8E">
            <w:pPr>
              <w:spacing w:line="0" w:lineRule="atLeast"/>
              <w:rPr>
                <w:rFonts w:eastAsia="Times New Roman" w:cs="Times New Roman"/>
                <w:b/>
                <w:sz w:val="7"/>
              </w:rPr>
            </w:pPr>
          </w:p>
        </w:tc>
        <w:tc>
          <w:tcPr>
            <w:tcW w:w="3960" w:type="dxa"/>
            <w:tcBorders>
              <w:bottom w:val="single" w:sz="8" w:space="0" w:color="auto"/>
              <w:right w:val="single" w:sz="8" w:space="0" w:color="auto"/>
            </w:tcBorders>
            <w:shd w:val="clear" w:color="auto" w:fill="auto"/>
            <w:vAlign w:val="bottom"/>
          </w:tcPr>
          <w:p w14:paraId="347445C2" w14:textId="77777777" w:rsidR="00A52778" w:rsidRPr="00460F9E" w:rsidRDefault="00A52778" w:rsidP="00FC3F8E">
            <w:pPr>
              <w:spacing w:line="0" w:lineRule="atLeast"/>
              <w:rPr>
                <w:rFonts w:eastAsia="Times New Roman" w:cs="Times New Roman"/>
                <w:b/>
                <w:sz w:val="7"/>
              </w:rPr>
            </w:pPr>
          </w:p>
        </w:tc>
      </w:tr>
      <w:tr w:rsidR="00A52778" w:rsidRPr="00460F9E" w14:paraId="2E7A30CB" w14:textId="77777777" w:rsidTr="00FC3F8E">
        <w:trPr>
          <w:trHeight w:val="214"/>
        </w:trPr>
        <w:tc>
          <w:tcPr>
            <w:tcW w:w="380" w:type="dxa"/>
            <w:tcBorders>
              <w:left w:val="single" w:sz="8" w:space="0" w:color="auto"/>
              <w:right w:val="single" w:sz="8" w:space="0" w:color="auto"/>
            </w:tcBorders>
            <w:shd w:val="clear" w:color="auto" w:fill="auto"/>
            <w:vAlign w:val="bottom"/>
          </w:tcPr>
          <w:p w14:paraId="33C1FC29" w14:textId="77777777" w:rsidR="00A52778" w:rsidRPr="00460F9E" w:rsidRDefault="00A52778" w:rsidP="00FC3F8E">
            <w:pPr>
              <w:spacing w:line="0" w:lineRule="atLeast"/>
              <w:rPr>
                <w:rFonts w:eastAsia="Times New Roman" w:cs="Times New Roman"/>
                <w:b/>
                <w:sz w:val="18"/>
              </w:rPr>
            </w:pPr>
          </w:p>
        </w:tc>
        <w:tc>
          <w:tcPr>
            <w:tcW w:w="2100" w:type="dxa"/>
            <w:tcBorders>
              <w:right w:val="single" w:sz="8" w:space="0" w:color="auto"/>
            </w:tcBorders>
            <w:shd w:val="clear" w:color="auto" w:fill="auto"/>
            <w:vAlign w:val="bottom"/>
          </w:tcPr>
          <w:p w14:paraId="33F372E8" w14:textId="77777777" w:rsidR="00A52778" w:rsidRPr="00460F9E" w:rsidRDefault="00A52778" w:rsidP="00FC3F8E">
            <w:pPr>
              <w:spacing w:line="0" w:lineRule="atLeast"/>
              <w:rPr>
                <w:rFonts w:eastAsia="Times New Roman" w:cs="Times New Roman"/>
                <w:b/>
                <w:sz w:val="18"/>
              </w:rPr>
            </w:pPr>
          </w:p>
        </w:tc>
        <w:tc>
          <w:tcPr>
            <w:tcW w:w="2320" w:type="dxa"/>
            <w:tcBorders>
              <w:right w:val="single" w:sz="8" w:space="0" w:color="auto"/>
            </w:tcBorders>
            <w:shd w:val="clear" w:color="auto" w:fill="auto"/>
            <w:vAlign w:val="bottom"/>
          </w:tcPr>
          <w:p w14:paraId="1D8C0919" w14:textId="77777777" w:rsidR="00A52778" w:rsidRPr="00460F9E" w:rsidRDefault="00A52778" w:rsidP="00FC3F8E">
            <w:pPr>
              <w:spacing w:line="0" w:lineRule="atLeast"/>
              <w:rPr>
                <w:rFonts w:eastAsia="Times New Roman" w:cs="Times New Roman"/>
                <w:b/>
                <w:sz w:val="18"/>
              </w:rPr>
            </w:pPr>
          </w:p>
        </w:tc>
        <w:tc>
          <w:tcPr>
            <w:tcW w:w="3960" w:type="dxa"/>
            <w:vMerge w:val="restart"/>
            <w:tcBorders>
              <w:right w:val="single" w:sz="8" w:space="0" w:color="auto"/>
            </w:tcBorders>
            <w:shd w:val="clear" w:color="auto" w:fill="auto"/>
            <w:vAlign w:val="bottom"/>
          </w:tcPr>
          <w:p w14:paraId="2045BD41"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Reküperatif ve rejeneratif termal oksidasyonun mevcut tesislere uygulanabilirliği tasarım ve/veya işletme kısıtlamaları nedeniyle kısıtlanabilir.</w:t>
            </w:r>
          </w:p>
        </w:tc>
      </w:tr>
      <w:tr w:rsidR="00A52778" w:rsidRPr="00460F9E" w14:paraId="533A30F3" w14:textId="77777777" w:rsidTr="00FC3F8E">
        <w:trPr>
          <w:trHeight w:val="230"/>
        </w:trPr>
        <w:tc>
          <w:tcPr>
            <w:tcW w:w="380" w:type="dxa"/>
            <w:tcBorders>
              <w:left w:val="single" w:sz="8" w:space="0" w:color="auto"/>
              <w:right w:val="single" w:sz="8" w:space="0" w:color="auto"/>
            </w:tcBorders>
            <w:shd w:val="clear" w:color="auto" w:fill="auto"/>
            <w:vAlign w:val="bottom"/>
          </w:tcPr>
          <w:p w14:paraId="20AEAED8" w14:textId="77777777" w:rsidR="00A52778" w:rsidRPr="00460F9E" w:rsidRDefault="00A52778" w:rsidP="00FC3F8E">
            <w:pPr>
              <w:spacing w:line="0" w:lineRule="atLeast"/>
              <w:rPr>
                <w:rFonts w:eastAsia="Times New Roman" w:cs="Times New Roman"/>
                <w:b/>
              </w:rPr>
            </w:pPr>
          </w:p>
        </w:tc>
        <w:tc>
          <w:tcPr>
            <w:tcW w:w="2100" w:type="dxa"/>
            <w:tcBorders>
              <w:right w:val="single" w:sz="8" w:space="0" w:color="auto"/>
            </w:tcBorders>
            <w:shd w:val="clear" w:color="auto" w:fill="auto"/>
            <w:vAlign w:val="bottom"/>
          </w:tcPr>
          <w:p w14:paraId="687658CD" w14:textId="77777777" w:rsidR="00A52778" w:rsidRPr="00460F9E" w:rsidRDefault="00A52778" w:rsidP="00FC3F8E">
            <w:pPr>
              <w:spacing w:line="0" w:lineRule="atLeast"/>
              <w:rPr>
                <w:rFonts w:eastAsia="Times New Roman" w:cs="Times New Roman"/>
                <w:b/>
              </w:rPr>
            </w:pPr>
          </w:p>
        </w:tc>
        <w:tc>
          <w:tcPr>
            <w:tcW w:w="2320" w:type="dxa"/>
            <w:tcBorders>
              <w:right w:val="single" w:sz="8" w:space="0" w:color="auto"/>
            </w:tcBorders>
            <w:shd w:val="clear" w:color="auto" w:fill="auto"/>
            <w:vAlign w:val="bottom"/>
          </w:tcPr>
          <w:p w14:paraId="1F39A37D" w14:textId="77777777" w:rsidR="00A52778" w:rsidRPr="00460F9E" w:rsidRDefault="00A52778" w:rsidP="00FC3F8E">
            <w:pPr>
              <w:spacing w:line="0" w:lineRule="atLeast"/>
              <w:rPr>
                <w:rFonts w:eastAsia="Times New Roman" w:cs="Times New Roman"/>
                <w:b/>
              </w:rPr>
            </w:pPr>
          </w:p>
        </w:tc>
        <w:tc>
          <w:tcPr>
            <w:tcW w:w="3960" w:type="dxa"/>
            <w:vMerge/>
            <w:tcBorders>
              <w:right w:val="single" w:sz="8" w:space="0" w:color="auto"/>
            </w:tcBorders>
            <w:shd w:val="clear" w:color="auto" w:fill="auto"/>
            <w:vAlign w:val="bottom"/>
          </w:tcPr>
          <w:p w14:paraId="0141C549" w14:textId="77777777" w:rsidR="00A52778" w:rsidRPr="00460F9E" w:rsidRDefault="00A52778" w:rsidP="00FC3F8E">
            <w:pPr>
              <w:spacing w:line="0" w:lineRule="atLeast"/>
              <w:ind w:left="100"/>
              <w:rPr>
                <w:rFonts w:eastAsia="Times New Roman" w:cs="Times New Roman"/>
                <w:b/>
              </w:rPr>
            </w:pPr>
          </w:p>
        </w:tc>
      </w:tr>
      <w:tr w:rsidR="00A52778" w:rsidRPr="00460F9E" w14:paraId="20861B28" w14:textId="77777777" w:rsidTr="00FC3F8E">
        <w:trPr>
          <w:trHeight w:val="230"/>
        </w:trPr>
        <w:tc>
          <w:tcPr>
            <w:tcW w:w="380" w:type="dxa"/>
            <w:tcBorders>
              <w:left w:val="single" w:sz="8" w:space="0" w:color="auto"/>
              <w:right w:val="single" w:sz="8" w:space="0" w:color="auto"/>
            </w:tcBorders>
            <w:shd w:val="clear" w:color="auto" w:fill="auto"/>
            <w:vAlign w:val="bottom"/>
          </w:tcPr>
          <w:p w14:paraId="7A74B34A" w14:textId="77777777" w:rsidR="00A52778" w:rsidRPr="00460F9E" w:rsidRDefault="00A52778" w:rsidP="00FC3F8E">
            <w:pPr>
              <w:spacing w:line="0" w:lineRule="atLeast"/>
              <w:rPr>
                <w:rFonts w:eastAsia="Times New Roman" w:cs="Times New Roman"/>
                <w:b/>
              </w:rPr>
            </w:pPr>
          </w:p>
        </w:tc>
        <w:tc>
          <w:tcPr>
            <w:tcW w:w="2100" w:type="dxa"/>
            <w:tcBorders>
              <w:right w:val="single" w:sz="8" w:space="0" w:color="auto"/>
            </w:tcBorders>
            <w:shd w:val="clear" w:color="auto" w:fill="auto"/>
            <w:vAlign w:val="bottom"/>
          </w:tcPr>
          <w:p w14:paraId="6A0F2174" w14:textId="77777777" w:rsidR="00A52778" w:rsidRPr="00460F9E" w:rsidRDefault="00A52778" w:rsidP="00FC3F8E">
            <w:pPr>
              <w:spacing w:line="0" w:lineRule="atLeast"/>
              <w:rPr>
                <w:rFonts w:eastAsia="Times New Roman" w:cs="Times New Roman"/>
                <w:b/>
              </w:rPr>
            </w:pPr>
          </w:p>
        </w:tc>
        <w:tc>
          <w:tcPr>
            <w:tcW w:w="2320" w:type="dxa"/>
            <w:tcBorders>
              <w:right w:val="single" w:sz="8" w:space="0" w:color="auto"/>
            </w:tcBorders>
            <w:shd w:val="clear" w:color="auto" w:fill="auto"/>
            <w:vAlign w:val="bottom"/>
          </w:tcPr>
          <w:p w14:paraId="61835DD8" w14:textId="77777777" w:rsidR="00A52778" w:rsidRPr="00460F9E" w:rsidRDefault="00A52778" w:rsidP="00FC3F8E">
            <w:pPr>
              <w:spacing w:line="0" w:lineRule="atLeast"/>
              <w:rPr>
                <w:rFonts w:eastAsia="Times New Roman" w:cs="Times New Roman"/>
                <w:b/>
              </w:rPr>
            </w:pPr>
          </w:p>
        </w:tc>
        <w:tc>
          <w:tcPr>
            <w:tcW w:w="3960" w:type="dxa"/>
            <w:vMerge/>
            <w:tcBorders>
              <w:right w:val="single" w:sz="8" w:space="0" w:color="auto"/>
            </w:tcBorders>
            <w:shd w:val="clear" w:color="auto" w:fill="auto"/>
            <w:vAlign w:val="bottom"/>
          </w:tcPr>
          <w:p w14:paraId="07B4073B" w14:textId="77777777" w:rsidR="00A52778" w:rsidRPr="00460F9E" w:rsidRDefault="00A52778" w:rsidP="00FC3F8E">
            <w:pPr>
              <w:spacing w:line="0" w:lineRule="atLeast"/>
              <w:ind w:left="100"/>
              <w:rPr>
                <w:rFonts w:eastAsia="Times New Roman" w:cs="Times New Roman"/>
                <w:b/>
              </w:rPr>
            </w:pPr>
          </w:p>
        </w:tc>
      </w:tr>
      <w:tr w:rsidR="00A52778" w:rsidRPr="00460F9E" w14:paraId="4AE9A52A" w14:textId="77777777" w:rsidTr="00FC3F8E">
        <w:trPr>
          <w:trHeight w:val="436"/>
        </w:trPr>
        <w:tc>
          <w:tcPr>
            <w:tcW w:w="380" w:type="dxa"/>
            <w:vMerge w:val="restart"/>
            <w:tcBorders>
              <w:left w:val="single" w:sz="8" w:space="0" w:color="auto"/>
              <w:right w:val="single" w:sz="8" w:space="0" w:color="auto"/>
            </w:tcBorders>
            <w:shd w:val="clear" w:color="auto" w:fill="auto"/>
            <w:vAlign w:val="bottom"/>
          </w:tcPr>
          <w:p w14:paraId="53CC9443" w14:textId="77777777" w:rsidR="00A52778" w:rsidRPr="00460F9E" w:rsidRDefault="00A52778" w:rsidP="00FC3F8E">
            <w:pPr>
              <w:spacing w:line="0" w:lineRule="atLeast"/>
              <w:ind w:left="100"/>
              <w:rPr>
                <w:rFonts w:eastAsia="Times New Roman" w:cs="Times New Roman"/>
                <w:b/>
              </w:rPr>
            </w:pPr>
            <w:r>
              <w:rPr>
                <w:rFonts w:eastAsia="Times New Roman" w:cs="Times New Roman"/>
              </w:rPr>
              <w:t>ç</w:t>
            </w:r>
            <w:r w:rsidRPr="00460F9E">
              <w:rPr>
                <w:rFonts w:eastAsia="Times New Roman" w:cs="Times New Roman"/>
              </w:rPr>
              <w:t>.</w:t>
            </w:r>
          </w:p>
        </w:tc>
        <w:tc>
          <w:tcPr>
            <w:tcW w:w="2100" w:type="dxa"/>
            <w:vMerge w:val="restart"/>
            <w:tcBorders>
              <w:right w:val="single" w:sz="8" w:space="0" w:color="auto"/>
            </w:tcBorders>
            <w:shd w:val="clear" w:color="auto" w:fill="auto"/>
            <w:vAlign w:val="bottom"/>
          </w:tcPr>
          <w:p w14:paraId="6A60BA29"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Termal oksidasyon</w:t>
            </w:r>
          </w:p>
        </w:tc>
        <w:tc>
          <w:tcPr>
            <w:tcW w:w="2320" w:type="dxa"/>
            <w:vMerge w:val="restart"/>
            <w:tcBorders>
              <w:right w:val="single" w:sz="8" w:space="0" w:color="auto"/>
            </w:tcBorders>
            <w:shd w:val="clear" w:color="auto" w:fill="auto"/>
            <w:vAlign w:val="bottom"/>
          </w:tcPr>
          <w:p w14:paraId="1BD29F59"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960" w:type="dxa"/>
            <w:vMerge/>
            <w:tcBorders>
              <w:right w:val="single" w:sz="8" w:space="0" w:color="auto"/>
            </w:tcBorders>
            <w:shd w:val="clear" w:color="auto" w:fill="auto"/>
            <w:vAlign w:val="bottom"/>
          </w:tcPr>
          <w:p w14:paraId="7A37D4BF" w14:textId="77777777" w:rsidR="00A52778" w:rsidRPr="00460F9E" w:rsidRDefault="00A52778" w:rsidP="00FC3F8E">
            <w:pPr>
              <w:spacing w:line="0" w:lineRule="atLeast"/>
              <w:ind w:left="100"/>
              <w:rPr>
                <w:rFonts w:eastAsia="Times New Roman" w:cs="Times New Roman"/>
                <w:b/>
              </w:rPr>
            </w:pPr>
          </w:p>
        </w:tc>
      </w:tr>
      <w:tr w:rsidR="00A52778" w:rsidRPr="00460F9E" w14:paraId="458A04FC" w14:textId="77777777" w:rsidTr="00FC3F8E">
        <w:trPr>
          <w:trHeight w:val="263"/>
        </w:trPr>
        <w:tc>
          <w:tcPr>
            <w:tcW w:w="380" w:type="dxa"/>
            <w:vMerge/>
            <w:tcBorders>
              <w:left w:val="single" w:sz="8" w:space="0" w:color="auto"/>
              <w:right w:val="single" w:sz="8" w:space="0" w:color="auto"/>
            </w:tcBorders>
            <w:shd w:val="clear" w:color="auto" w:fill="auto"/>
            <w:vAlign w:val="bottom"/>
          </w:tcPr>
          <w:p w14:paraId="007206D1" w14:textId="77777777" w:rsidR="00A52778" w:rsidRPr="00460F9E" w:rsidRDefault="00A52778" w:rsidP="00FC3F8E">
            <w:pPr>
              <w:spacing w:line="0" w:lineRule="atLeast"/>
              <w:rPr>
                <w:rFonts w:eastAsia="Times New Roman" w:cs="Times New Roman"/>
                <w:b/>
                <w:sz w:val="9"/>
              </w:rPr>
            </w:pPr>
          </w:p>
        </w:tc>
        <w:tc>
          <w:tcPr>
            <w:tcW w:w="2100" w:type="dxa"/>
            <w:vMerge/>
            <w:tcBorders>
              <w:right w:val="single" w:sz="8" w:space="0" w:color="auto"/>
            </w:tcBorders>
            <w:shd w:val="clear" w:color="auto" w:fill="auto"/>
            <w:vAlign w:val="bottom"/>
          </w:tcPr>
          <w:p w14:paraId="317C2923" w14:textId="77777777" w:rsidR="00A52778" w:rsidRPr="00460F9E" w:rsidRDefault="00A52778" w:rsidP="00FC3F8E">
            <w:pPr>
              <w:spacing w:line="0" w:lineRule="atLeast"/>
              <w:rPr>
                <w:rFonts w:eastAsia="Times New Roman" w:cs="Times New Roman"/>
                <w:b/>
                <w:sz w:val="9"/>
              </w:rPr>
            </w:pPr>
          </w:p>
        </w:tc>
        <w:tc>
          <w:tcPr>
            <w:tcW w:w="2320" w:type="dxa"/>
            <w:vMerge/>
            <w:tcBorders>
              <w:right w:val="single" w:sz="8" w:space="0" w:color="auto"/>
            </w:tcBorders>
            <w:shd w:val="clear" w:color="auto" w:fill="auto"/>
            <w:vAlign w:val="bottom"/>
          </w:tcPr>
          <w:p w14:paraId="0342F9D0" w14:textId="77777777" w:rsidR="00A52778" w:rsidRPr="00460F9E" w:rsidRDefault="00A52778" w:rsidP="00FC3F8E">
            <w:pPr>
              <w:spacing w:line="0" w:lineRule="atLeast"/>
              <w:rPr>
                <w:rFonts w:eastAsia="Times New Roman" w:cs="Times New Roman"/>
                <w:b/>
                <w:sz w:val="9"/>
              </w:rPr>
            </w:pPr>
          </w:p>
        </w:tc>
        <w:tc>
          <w:tcPr>
            <w:tcW w:w="3960" w:type="dxa"/>
            <w:vMerge w:val="restart"/>
            <w:tcBorders>
              <w:right w:val="single" w:sz="8" w:space="0" w:color="auto"/>
            </w:tcBorders>
            <w:shd w:val="clear" w:color="auto" w:fill="auto"/>
          </w:tcPr>
          <w:p w14:paraId="3B76543A"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Proses gazlarında ilgili bileşik(ler)in düşük konsantrasyonları nedeniyle enerji talebinin aşırı olduğu durumlarda uygulanabilirliği kısıtlanabilir.</w:t>
            </w:r>
          </w:p>
        </w:tc>
      </w:tr>
      <w:tr w:rsidR="00A52778" w:rsidRPr="00460F9E" w14:paraId="63211834" w14:textId="77777777" w:rsidTr="00FC3F8E">
        <w:trPr>
          <w:trHeight w:val="115"/>
        </w:trPr>
        <w:tc>
          <w:tcPr>
            <w:tcW w:w="380" w:type="dxa"/>
            <w:tcBorders>
              <w:left w:val="single" w:sz="8" w:space="0" w:color="auto"/>
              <w:right w:val="single" w:sz="8" w:space="0" w:color="auto"/>
            </w:tcBorders>
            <w:shd w:val="clear" w:color="auto" w:fill="auto"/>
            <w:vAlign w:val="bottom"/>
          </w:tcPr>
          <w:p w14:paraId="5AEE0A6B" w14:textId="77777777" w:rsidR="00A52778" w:rsidRPr="00460F9E" w:rsidRDefault="00A52778" w:rsidP="00FC3F8E">
            <w:pPr>
              <w:spacing w:line="0" w:lineRule="atLeast"/>
              <w:rPr>
                <w:rFonts w:eastAsia="Times New Roman" w:cs="Times New Roman"/>
                <w:b/>
                <w:sz w:val="10"/>
              </w:rPr>
            </w:pPr>
          </w:p>
        </w:tc>
        <w:tc>
          <w:tcPr>
            <w:tcW w:w="2100" w:type="dxa"/>
            <w:tcBorders>
              <w:right w:val="single" w:sz="8" w:space="0" w:color="auto"/>
            </w:tcBorders>
            <w:shd w:val="clear" w:color="auto" w:fill="auto"/>
            <w:vAlign w:val="bottom"/>
          </w:tcPr>
          <w:p w14:paraId="791280A9" w14:textId="77777777" w:rsidR="00A52778" w:rsidRPr="00460F9E" w:rsidRDefault="00A52778" w:rsidP="00FC3F8E">
            <w:pPr>
              <w:spacing w:line="0" w:lineRule="atLeast"/>
              <w:rPr>
                <w:rFonts w:eastAsia="Times New Roman" w:cs="Times New Roman"/>
                <w:b/>
                <w:sz w:val="10"/>
              </w:rPr>
            </w:pPr>
          </w:p>
        </w:tc>
        <w:tc>
          <w:tcPr>
            <w:tcW w:w="2320" w:type="dxa"/>
            <w:tcBorders>
              <w:right w:val="single" w:sz="8" w:space="0" w:color="auto"/>
            </w:tcBorders>
            <w:shd w:val="clear" w:color="auto" w:fill="auto"/>
            <w:vAlign w:val="bottom"/>
          </w:tcPr>
          <w:p w14:paraId="55DED2C6" w14:textId="77777777" w:rsidR="00A52778" w:rsidRPr="00460F9E" w:rsidRDefault="00A52778" w:rsidP="00FC3F8E">
            <w:pPr>
              <w:spacing w:line="0" w:lineRule="atLeast"/>
              <w:rPr>
                <w:rFonts w:eastAsia="Times New Roman" w:cs="Times New Roman"/>
                <w:b/>
                <w:sz w:val="10"/>
              </w:rPr>
            </w:pPr>
          </w:p>
        </w:tc>
        <w:tc>
          <w:tcPr>
            <w:tcW w:w="3960" w:type="dxa"/>
            <w:vMerge/>
            <w:tcBorders>
              <w:right w:val="single" w:sz="8" w:space="0" w:color="auto"/>
            </w:tcBorders>
            <w:shd w:val="clear" w:color="auto" w:fill="auto"/>
            <w:vAlign w:val="bottom"/>
          </w:tcPr>
          <w:p w14:paraId="6048C7AD" w14:textId="77777777" w:rsidR="00A52778" w:rsidRPr="00460F9E" w:rsidRDefault="00A52778" w:rsidP="00FC3F8E">
            <w:pPr>
              <w:spacing w:line="0" w:lineRule="atLeast"/>
              <w:ind w:left="100"/>
              <w:rPr>
                <w:rFonts w:eastAsia="Times New Roman" w:cs="Times New Roman"/>
                <w:b/>
                <w:sz w:val="10"/>
              </w:rPr>
            </w:pPr>
          </w:p>
        </w:tc>
      </w:tr>
      <w:tr w:rsidR="00A52778" w:rsidRPr="00460F9E" w14:paraId="3C5751CE" w14:textId="77777777" w:rsidTr="00FC3F8E">
        <w:trPr>
          <w:trHeight w:val="230"/>
        </w:trPr>
        <w:tc>
          <w:tcPr>
            <w:tcW w:w="380" w:type="dxa"/>
            <w:tcBorders>
              <w:left w:val="single" w:sz="8" w:space="0" w:color="auto"/>
              <w:right w:val="single" w:sz="8" w:space="0" w:color="auto"/>
            </w:tcBorders>
            <w:shd w:val="clear" w:color="auto" w:fill="auto"/>
            <w:vAlign w:val="bottom"/>
          </w:tcPr>
          <w:p w14:paraId="07AA735D" w14:textId="77777777" w:rsidR="00A52778" w:rsidRPr="00460F9E" w:rsidRDefault="00A52778" w:rsidP="00FC3F8E">
            <w:pPr>
              <w:spacing w:line="0" w:lineRule="atLeast"/>
              <w:rPr>
                <w:rFonts w:eastAsia="Times New Roman" w:cs="Times New Roman"/>
                <w:b/>
              </w:rPr>
            </w:pPr>
          </w:p>
        </w:tc>
        <w:tc>
          <w:tcPr>
            <w:tcW w:w="2100" w:type="dxa"/>
            <w:tcBorders>
              <w:right w:val="single" w:sz="8" w:space="0" w:color="auto"/>
            </w:tcBorders>
            <w:shd w:val="clear" w:color="auto" w:fill="auto"/>
            <w:vAlign w:val="bottom"/>
          </w:tcPr>
          <w:p w14:paraId="31185C8D" w14:textId="77777777" w:rsidR="00A52778" w:rsidRPr="00460F9E" w:rsidRDefault="00A52778" w:rsidP="00FC3F8E">
            <w:pPr>
              <w:spacing w:line="0" w:lineRule="atLeast"/>
              <w:rPr>
                <w:rFonts w:eastAsia="Times New Roman" w:cs="Times New Roman"/>
                <w:b/>
              </w:rPr>
            </w:pPr>
          </w:p>
        </w:tc>
        <w:tc>
          <w:tcPr>
            <w:tcW w:w="2320" w:type="dxa"/>
            <w:tcBorders>
              <w:right w:val="single" w:sz="8" w:space="0" w:color="auto"/>
            </w:tcBorders>
            <w:shd w:val="clear" w:color="auto" w:fill="auto"/>
            <w:vAlign w:val="bottom"/>
          </w:tcPr>
          <w:p w14:paraId="0EA355AF" w14:textId="77777777" w:rsidR="00A52778" w:rsidRPr="00460F9E" w:rsidRDefault="00A52778" w:rsidP="00FC3F8E">
            <w:pPr>
              <w:spacing w:line="0" w:lineRule="atLeast"/>
              <w:rPr>
                <w:rFonts w:eastAsia="Times New Roman" w:cs="Times New Roman"/>
                <w:b/>
              </w:rPr>
            </w:pPr>
          </w:p>
        </w:tc>
        <w:tc>
          <w:tcPr>
            <w:tcW w:w="3960" w:type="dxa"/>
            <w:vMerge/>
            <w:tcBorders>
              <w:right w:val="single" w:sz="8" w:space="0" w:color="auto"/>
            </w:tcBorders>
            <w:shd w:val="clear" w:color="auto" w:fill="auto"/>
            <w:vAlign w:val="bottom"/>
          </w:tcPr>
          <w:p w14:paraId="2B1AC07D" w14:textId="77777777" w:rsidR="00A52778" w:rsidRPr="00460F9E" w:rsidRDefault="00A52778" w:rsidP="00FC3F8E">
            <w:pPr>
              <w:spacing w:line="0" w:lineRule="atLeast"/>
              <w:ind w:left="100"/>
              <w:rPr>
                <w:rFonts w:eastAsia="Times New Roman" w:cs="Times New Roman"/>
                <w:b/>
              </w:rPr>
            </w:pPr>
          </w:p>
        </w:tc>
      </w:tr>
      <w:tr w:rsidR="00A52778" w:rsidRPr="00460F9E" w14:paraId="7A374572" w14:textId="77777777" w:rsidTr="00FC3F8E">
        <w:trPr>
          <w:trHeight w:val="230"/>
        </w:trPr>
        <w:tc>
          <w:tcPr>
            <w:tcW w:w="380" w:type="dxa"/>
            <w:tcBorders>
              <w:left w:val="single" w:sz="8" w:space="0" w:color="auto"/>
              <w:right w:val="single" w:sz="8" w:space="0" w:color="auto"/>
            </w:tcBorders>
            <w:shd w:val="clear" w:color="auto" w:fill="auto"/>
            <w:vAlign w:val="bottom"/>
          </w:tcPr>
          <w:p w14:paraId="7CEA0FDE" w14:textId="77777777" w:rsidR="00A52778" w:rsidRPr="00460F9E" w:rsidRDefault="00A52778" w:rsidP="00FC3F8E">
            <w:pPr>
              <w:spacing w:line="0" w:lineRule="atLeast"/>
              <w:rPr>
                <w:rFonts w:eastAsia="Times New Roman" w:cs="Times New Roman"/>
                <w:b/>
              </w:rPr>
            </w:pPr>
          </w:p>
        </w:tc>
        <w:tc>
          <w:tcPr>
            <w:tcW w:w="2100" w:type="dxa"/>
            <w:tcBorders>
              <w:right w:val="single" w:sz="8" w:space="0" w:color="auto"/>
            </w:tcBorders>
            <w:shd w:val="clear" w:color="auto" w:fill="auto"/>
            <w:vAlign w:val="bottom"/>
          </w:tcPr>
          <w:p w14:paraId="3A6FB527" w14:textId="77777777" w:rsidR="00A52778" w:rsidRPr="00460F9E" w:rsidRDefault="00A52778" w:rsidP="00FC3F8E">
            <w:pPr>
              <w:spacing w:line="0" w:lineRule="atLeast"/>
              <w:rPr>
                <w:rFonts w:eastAsia="Times New Roman" w:cs="Times New Roman"/>
                <w:b/>
              </w:rPr>
            </w:pPr>
          </w:p>
        </w:tc>
        <w:tc>
          <w:tcPr>
            <w:tcW w:w="2320" w:type="dxa"/>
            <w:tcBorders>
              <w:right w:val="single" w:sz="8" w:space="0" w:color="auto"/>
            </w:tcBorders>
            <w:shd w:val="clear" w:color="auto" w:fill="auto"/>
            <w:vAlign w:val="bottom"/>
          </w:tcPr>
          <w:p w14:paraId="6A857C98" w14:textId="77777777" w:rsidR="00A52778" w:rsidRPr="00460F9E" w:rsidRDefault="00A52778" w:rsidP="00FC3F8E">
            <w:pPr>
              <w:spacing w:line="0" w:lineRule="atLeast"/>
              <w:rPr>
                <w:rFonts w:eastAsia="Times New Roman" w:cs="Times New Roman"/>
                <w:b/>
              </w:rPr>
            </w:pPr>
          </w:p>
        </w:tc>
        <w:tc>
          <w:tcPr>
            <w:tcW w:w="3960" w:type="dxa"/>
            <w:vMerge/>
            <w:tcBorders>
              <w:right w:val="single" w:sz="8" w:space="0" w:color="auto"/>
            </w:tcBorders>
            <w:shd w:val="clear" w:color="auto" w:fill="auto"/>
            <w:vAlign w:val="bottom"/>
          </w:tcPr>
          <w:p w14:paraId="1E09D4D9" w14:textId="77777777" w:rsidR="00A52778" w:rsidRPr="00460F9E" w:rsidRDefault="00A52778" w:rsidP="00FC3F8E">
            <w:pPr>
              <w:spacing w:line="0" w:lineRule="atLeast"/>
              <w:ind w:left="100"/>
              <w:rPr>
                <w:rFonts w:eastAsia="Times New Roman" w:cs="Times New Roman"/>
                <w:b/>
              </w:rPr>
            </w:pPr>
          </w:p>
        </w:tc>
      </w:tr>
      <w:tr w:rsidR="00A52778" w:rsidRPr="00460F9E" w14:paraId="2036B0BB" w14:textId="77777777" w:rsidTr="00FC3F8E">
        <w:trPr>
          <w:trHeight w:val="87"/>
        </w:trPr>
        <w:tc>
          <w:tcPr>
            <w:tcW w:w="380" w:type="dxa"/>
            <w:tcBorders>
              <w:left w:val="single" w:sz="8" w:space="0" w:color="auto"/>
              <w:bottom w:val="single" w:sz="8" w:space="0" w:color="auto"/>
              <w:right w:val="single" w:sz="8" w:space="0" w:color="auto"/>
            </w:tcBorders>
            <w:shd w:val="clear" w:color="auto" w:fill="auto"/>
            <w:vAlign w:val="bottom"/>
          </w:tcPr>
          <w:p w14:paraId="35702498" w14:textId="77777777" w:rsidR="00A52778" w:rsidRPr="00460F9E" w:rsidRDefault="00A52778" w:rsidP="00FC3F8E">
            <w:pPr>
              <w:spacing w:line="0" w:lineRule="atLeast"/>
              <w:rPr>
                <w:rFonts w:eastAsia="Times New Roman" w:cs="Times New Roman"/>
                <w:b/>
              </w:rPr>
            </w:pPr>
          </w:p>
        </w:tc>
        <w:tc>
          <w:tcPr>
            <w:tcW w:w="2100" w:type="dxa"/>
            <w:tcBorders>
              <w:bottom w:val="single" w:sz="8" w:space="0" w:color="auto"/>
              <w:right w:val="single" w:sz="8" w:space="0" w:color="auto"/>
            </w:tcBorders>
            <w:shd w:val="clear" w:color="auto" w:fill="auto"/>
            <w:vAlign w:val="bottom"/>
          </w:tcPr>
          <w:p w14:paraId="2A38B090" w14:textId="77777777" w:rsidR="00A52778" w:rsidRPr="00460F9E" w:rsidRDefault="00A52778" w:rsidP="00FC3F8E">
            <w:pPr>
              <w:spacing w:line="0" w:lineRule="atLeast"/>
              <w:rPr>
                <w:rFonts w:eastAsia="Times New Roman" w:cs="Times New Roman"/>
                <w:b/>
              </w:rPr>
            </w:pPr>
          </w:p>
        </w:tc>
        <w:tc>
          <w:tcPr>
            <w:tcW w:w="2320" w:type="dxa"/>
            <w:tcBorders>
              <w:bottom w:val="single" w:sz="8" w:space="0" w:color="auto"/>
              <w:right w:val="single" w:sz="8" w:space="0" w:color="auto"/>
            </w:tcBorders>
            <w:shd w:val="clear" w:color="auto" w:fill="auto"/>
            <w:vAlign w:val="bottom"/>
          </w:tcPr>
          <w:p w14:paraId="5BDA59E1" w14:textId="77777777" w:rsidR="00A52778" w:rsidRPr="00460F9E" w:rsidRDefault="00A52778" w:rsidP="00FC3F8E">
            <w:pPr>
              <w:spacing w:line="0" w:lineRule="atLeast"/>
              <w:rPr>
                <w:rFonts w:eastAsia="Times New Roman" w:cs="Times New Roman"/>
                <w:b/>
              </w:rPr>
            </w:pPr>
          </w:p>
        </w:tc>
        <w:tc>
          <w:tcPr>
            <w:tcW w:w="3960" w:type="dxa"/>
            <w:vMerge/>
            <w:tcBorders>
              <w:bottom w:val="single" w:sz="8" w:space="0" w:color="auto"/>
              <w:right w:val="single" w:sz="8" w:space="0" w:color="auto"/>
            </w:tcBorders>
            <w:shd w:val="clear" w:color="auto" w:fill="auto"/>
            <w:vAlign w:val="bottom"/>
          </w:tcPr>
          <w:p w14:paraId="62B6F736" w14:textId="77777777" w:rsidR="00A52778" w:rsidRPr="00460F9E" w:rsidRDefault="00A52778" w:rsidP="00FC3F8E">
            <w:pPr>
              <w:spacing w:line="0" w:lineRule="atLeast"/>
              <w:ind w:left="100"/>
              <w:rPr>
                <w:rFonts w:eastAsia="Times New Roman" w:cs="Times New Roman"/>
                <w:b/>
              </w:rPr>
            </w:pPr>
          </w:p>
        </w:tc>
      </w:tr>
    </w:tbl>
    <w:p w14:paraId="6D26AECD" w14:textId="77777777" w:rsidR="00A52778" w:rsidRPr="00460F9E" w:rsidRDefault="00A52778" w:rsidP="00A52778">
      <w:pPr>
        <w:spacing w:line="200" w:lineRule="exact"/>
        <w:rPr>
          <w:rFonts w:eastAsia="Times New Roman" w:cs="Times New Roman"/>
          <w:b/>
        </w:rPr>
      </w:pPr>
    </w:p>
    <w:p w14:paraId="000CE982" w14:textId="77777777" w:rsidR="00A52778" w:rsidRPr="00460F9E" w:rsidRDefault="00A52778" w:rsidP="00A52778">
      <w:pPr>
        <w:spacing w:line="316" w:lineRule="exact"/>
        <w:rPr>
          <w:rFonts w:eastAsia="Times New Roman" w:cs="Times New Roman"/>
          <w:b/>
        </w:rPr>
      </w:pPr>
    </w:p>
    <w:p w14:paraId="0A66DD99" w14:textId="77777777" w:rsidR="00A52778" w:rsidRDefault="00A52778" w:rsidP="00A52778">
      <w:pPr>
        <w:tabs>
          <w:tab w:val="left" w:pos="1940"/>
        </w:tabs>
        <w:spacing w:line="234" w:lineRule="auto"/>
        <w:ind w:left="1132" w:right="120" w:hanging="1132"/>
        <w:rPr>
          <w:rFonts w:eastAsia="Times New Roman" w:cs="Times New Roman"/>
        </w:rPr>
      </w:pPr>
      <w:r w:rsidRPr="00171C72">
        <w:rPr>
          <w:rFonts w:eastAsia="Times New Roman" w:cs="Times New Roman"/>
        </w:rPr>
        <w:t>VCM' nin geri kazanımından kaynaklana</w:t>
      </w:r>
      <w:r>
        <w:rPr>
          <w:rFonts w:eastAsia="Times New Roman" w:cs="Times New Roman"/>
        </w:rPr>
        <w:t xml:space="preserve">n VCM' nin havaya kanalize olan </w:t>
      </w:r>
    </w:p>
    <w:p w14:paraId="274FE0FF" w14:textId="77777777" w:rsidR="00A52778" w:rsidRPr="00171C72" w:rsidRDefault="00A52778" w:rsidP="00A52778">
      <w:pPr>
        <w:tabs>
          <w:tab w:val="left" w:pos="1940"/>
        </w:tabs>
        <w:spacing w:line="234" w:lineRule="auto"/>
        <w:ind w:left="1132" w:right="120" w:hanging="1132"/>
        <w:rPr>
          <w:rFonts w:eastAsia="Times New Roman" w:cs="Times New Roman"/>
        </w:rPr>
      </w:pPr>
      <w:r w:rsidRPr="00171C72">
        <w:rPr>
          <w:rFonts w:eastAsia="Times New Roman" w:cs="Times New Roman"/>
        </w:rPr>
        <w:t>emisyonları için MET ile ilişkili emisyon seviyesi (MET-AEL)</w:t>
      </w:r>
    </w:p>
    <w:p w14:paraId="3E77506D" w14:textId="77777777" w:rsidR="00A52778" w:rsidRPr="00460F9E" w:rsidRDefault="00A52778" w:rsidP="00A52778">
      <w:pPr>
        <w:spacing w:line="20" w:lineRule="exact"/>
        <w:rPr>
          <w:rFonts w:eastAsia="Times New Roman" w:cs="Times New Roman"/>
          <w:b/>
        </w:rPr>
      </w:pPr>
    </w:p>
    <w:p w14:paraId="0255394C" w14:textId="77777777" w:rsidR="00A52778" w:rsidRPr="00460F9E" w:rsidRDefault="00A52778" w:rsidP="00A52778">
      <w:pPr>
        <w:spacing w:line="20" w:lineRule="exact"/>
        <w:rPr>
          <w:rFonts w:eastAsia="Times New Roman" w:cs="Times New Roman"/>
          <w:b/>
        </w:rPr>
      </w:pPr>
    </w:p>
    <w:p w14:paraId="1A83C7F7" w14:textId="77777777" w:rsidR="00A52778" w:rsidRPr="00460F9E" w:rsidRDefault="00A52778" w:rsidP="00A52778">
      <w:pPr>
        <w:spacing w:line="20" w:lineRule="exact"/>
        <w:rPr>
          <w:rFonts w:eastAsia="Times New Roman" w:cs="Times New Roman"/>
          <w:b/>
        </w:rPr>
        <w:sectPr w:rsidR="00A52778" w:rsidRPr="00460F9E">
          <w:pgSz w:w="11900" w:h="16838"/>
          <w:pgMar w:top="707" w:right="1026" w:bottom="145" w:left="1440" w:header="0" w:footer="0" w:gutter="0"/>
          <w:cols w:space="0" w:equalWidth="0">
            <w:col w:w="9440"/>
          </w:cols>
          <w:docGrid w:linePitch="360"/>
        </w:sectPr>
      </w:pPr>
    </w:p>
    <w:p w14:paraId="4C9B20C7" w14:textId="77777777" w:rsidR="00A52778" w:rsidRPr="00460F9E" w:rsidRDefault="00A52778" w:rsidP="00A52778">
      <w:pPr>
        <w:spacing w:line="200" w:lineRule="exact"/>
        <w:rPr>
          <w:rFonts w:eastAsia="Times New Roman" w:cs="Times New Roman"/>
          <w:b/>
        </w:rPr>
      </w:pPr>
    </w:p>
    <w:tbl>
      <w:tblPr>
        <w:tblStyle w:val="TabloKlavuzu"/>
        <w:tblpPr w:leftFromText="141" w:rightFromText="141" w:vertAnchor="text" w:horzAnchor="margin" w:tblpXSpec="center" w:tblpY="96"/>
        <w:tblW w:w="8610" w:type="dxa"/>
        <w:tblLook w:val="04A0" w:firstRow="1" w:lastRow="0" w:firstColumn="1" w:lastColumn="0" w:noHBand="0" w:noVBand="1"/>
      </w:tblPr>
      <w:tblGrid>
        <w:gridCol w:w="4305"/>
        <w:gridCol w:w="4305"/>
      </w:tblGrid>
      <w:tr w:rsidR="00A52778" w14:paraId="66BFDBC4" w14:textId="77777777" w:rsidTr="00FC3F8E">
        <w:tc>
          <w:tcPr>
            <w:tcW w:w="4305" w:type="dxa"/>
          </w:tcPr>
          <w:p w14:paraId="76455F29" w14:textId="77777777" w:rsidR="00A52778" w:rsidRPr="00B27A2D" w:rsidRDefault="00A52778" w:rsidP="00FC3F8E">
            <w:r w:rsidRPr="00B27A2D">
              <w:rPr>
                <w:rFonts w:eastAsia="Times New Roman"/>
              </w:rPr>
              <w:t>Maddeler</w:t>
            </w:r>
          </w:p>
        </w:tc>
        <w:tc>
          <w:tcPr>
            <w:tcW w:w="4305" w:type="dxa"/>
            <w:vAlign w:val="bottom"/>
          </w:tcPr>
          <w:p w14:paraId="5E60A52C" w14:textId="77777777" w:rsidR="00A52778" w:rsidRPr="00B27A2D" w:rsidRDefault="00A52778" w:rsidP="00FC3F8E">
            <w:pPr>
              <w:rPr>
                <w:rFonts w:eastAsia="Times New Roman"/>
              </w:rPr>
            </w:pPr>
            <w:r w:rsidRPr="00B27A2D">
              <w:rPr>
                <w:rFonts w:eastAsia="Times New Roman"/>
                <w:w w:val="98"/>
              </w:rPr>
              <w:t>MET -AEL (mg/Nm</w:t>
            </w:r>
            <w:r w:rsidRPr="00B27A2D">
              <w:rPr>
                <w:rFonts w:eastAsia="Times New Roman"/>
                <w:w w:val="98"/>
                <w:sz w:val="25"/>
                <w:vertAlign w:val="superscript"/>
              </w:rPr>
              <w:t>3</w:t>
            </w:r>
            <w:r w:rsidRPr="00B27A2D">
              <w:rPr>
                <w:rFonts w:eastAsia="Times New Roman"/>
                <w:w w:val="98"/>
              </w:rPr>
              <w:t>)</w:t>
            </w:r>
            <w:r w:rsidRPr="00B27A2D">
              <w:rPr>
                <w:rFonts w:eastAsia="Times New Roman"/>
              </w:rPr>
              <w:t xml:space="preserve"> </w:t>
            </w:r>
          </w:p>
          <w:p w14:paraId="3CAD7DCC" w14:textId="77777777" w:rsidR="00A52778" w:rsidRPr="00B27A2D" w:rsidRDefault="00A52778" w:rsidP="00FC3F8E">
            <w:r w:rsidRPr="00B27A2D">
              <w:rPr>
                <w:rFonts w:eastAsia="Times New Roman"/>
              </w:rPr>
              <w:t>(</w:t>
            </w:r>
            <w:r w:rsidRPr="00B27A2D">
              <w:rPr>
                <w:rFonts w:eastAsia="Times New Roman"/>
                <w:w w:val="99"/>
              </w:rPr>
              <w:t>Günlük ortalama veya örnekleme dönemi boyunca ortalama</w:t>
            </w:r>
            <w:r w:rsidRPr="00B27A2D">
              <w:rPr>
                <w:rFonts w:eastAsia="Times New Roman"/>
              </w:rPr>
              <w:t>)</w:t>
            </w:r>
          </w:p>
        </w:tc>
      </w:tr>
      <w:tr w:rsidR="00A52778" w14:paraId="4AB3BECC" w14:textId="77777777" w:rsidTr="00FC3F8E">
        <w:tc>
          <w:tcPr>
            <w:tcW w:w="4305" w:type="dxa"/>
          </w:tcPr>
          <w:p w14:paraId="695ED42E" w14:textId="77777777" w:rsidR="00A52778" w:rsidRPr="000F2377" w:rsidRDefault="00A52778" w:rsidP="00FC3F8E">
            <w:pPr>
              <w:rPr>
                <w:b/>
              </w:rPr>
            </w:pPr>
            <w:r w:rsidRPr="000F2377">
              <w:rPr>
                <w:rFonts w:eastAsia="Times New Roman"/>
              </w:rPr>
              <w:t>VCM</w:t>
            </w:r>
          </w:p>
        </w:tc>
        <w:tc>
          <w:tcPr>
            <w:tcW w:w="4305" w:type="dxa"/>
            <w:vAlign w:val="bottom"/>
          </w:tcPr>
          <w:p w14:paraId="75FECAB7" w14:textId="77777777" w:rsidR="00A52778" w:rsidRPr="000F2377" w:rsidRDefault="00A52778" w:rsidP="00FC3F8E">
            <w:pPr>
              <w:rPr>
                <w:b/>
              </w:rPr>
            </w:pPr>
            <w:r w:rsidRPr="000F2377">
              <w:rPr>
                <w:rFonts w:eastAsia="Times New Roman"/>
                <w:w w:val="97"/>
              </w:rPr>
              <w:t>&lt; 0,5-1 (</w:t>
            </w:r>
            <w:r w:rsidRPr="000F2377">
              <w:rPr>
                <w:rFonts w:eastAsia="Times New Roman"/>
                <w:w w:val="97"/>
                <w:sz w:val="25"/>
                <w:vertAlign w:val="superscript"/>
              </w:rPr>
              <w:t>1</w:t>
            </w:r>
            <w:r w:rsidRPr="000F2377">
              <w:rPr>
                <w:rFonts w:eastAsia="Times New Roman"/>
                <w:w w:val="97"/>
              </w:rPr>
              <w:t>) (</w:t>
            </w:r>
            <w:r w:rsidRPr="000F2377">
              <w:rPr>
                <w:rFonts w:eastAsia="Times New Roman"/>
                <w:w w:val="97"/>
                <w:sz w:val="25"/>
                <w:vertAlign w:val="superscript"/>
              </w:rPr>
              <w:t>2</w:t>
            </w:r>
            <w:r w:rsidRPr="000F2377">
              <w:rPr>
                <w:rFonts w:eastAsia="Times New Roman"/>
                <w:w w:val="97"/>
              </w:rPr>
              <w:t>)</w:t>
            </w:r>
          </w:p>
        </w:tc>
      </w:tr>
      <w:tr w:rsidR="00A52778" w14:paraId="34789703" w14:textId="77777777" w:rsidTr="00FC3F8E">
        <w:tc>
          <w:tcPr>
            <w:tcW w:w="8610" w:type="dxa"/>
            <w:gridSpan w:val="2"/>
          </w:tcPr>
          <w:tbl>
            <w:tblPr>
              <w:tblW w:w="0" w:type="auto"/>
              <w:tblCellMar>
                <w:left w:w="0" w:type="dxa"/>
                <w:right w:w="0" w:type="dxa"/>
              </w:tblCellMar>
              <w:tblLook w:val="0000" w:firstRow="0" w:lastRow="0" w:firstColumn="0" w:lastColumn="0" w:noHBand="0" w:noVBand="0"/>
            </w:tblPr>
            <w:tblGrid>
              <w:gridCol w:w="382"/>
              <w:gridCol w:w="7418"/>
            </w:tblGrid>
            <w:tr w:rsidR="00A52778" w:rsidRPr="000F2377" w14:paraId="6A0B1400" w14:textId="77777777" w:rsidTr="00FC3F8E">
              <w:trPr>
                <w:trHeight w:val="201"/>
              </w:trPr>
              <w:tc>
                <w:tcPr>
                  <w:tcW w:w="382" w:type="dxa"/>
                  <w:shd w:val="clear" w:color="auto" w:fill="auto"/>
                  <w:vAlign w:val="bottom"/>
                </w:tcPr>
                <w:p w14:paraId="6CAB7CBC" w14:textId="77777777" w:rsidR="00A52778" w:rsidRDefault="00A52778" w:rsidP="00FC3F8E">
                  <w:pPr>
                    <w:pStyle w:val="AralkYok"/>
                    <w:framePr w:hSpace="141" w:wrap="around" w:vAnchor="text" w:hAnchor="margin" w:xAlign="center" w:y="96"/>
                    <w:rPr>
                      <w:b w:val="0"/>
                    </w:rPr>
                  </w:pPr>
                  <w:r w:rsidRPr="000F2377">
                    <w:rPr>
                      <w:b w:val="0"/>
                    </w:rPr>
                    <w:t>(</w:t>
                  </w:r>
                  <w:r w:rsidRPr="000F2377">
                    <w:rPr>
                      <w:b w:val="0"/>
                      <w:sz w:val="23"/>
                      <w:vertAlign w:val="superscript"/>
                    </w:rPr>
                    <w:t>1</w:t>
                  </w:r>
                  <w:r w:rsidRPr="000F2377">
                    <w:rPr>
                      <w:b w:val="0"/>
                    </w:rPr>
                    <w:t>)</w:t>
                  </w:r>
                </w:p>
                <w:p w14:paraId="09DD3654" w14:textId="77777777" w:rsidR="00A52778" w:rsidRPr="000F2377" w:rsidRDefault="00A52778" w:rsidP="00FC3F8E">
                  <w:pPr>
                    <w:pStyle w:val="AralkYok"/>
                    <w:framePr w:hSpace="141" w:wrap="around" w:vAnchor="text" w:hAnchor="margin" w:xAlign="center" w:y="96"/>
                    <w:rPr>
                      <w:b w:val="0"/>
                    </w:rPr>
                  </w:pPr>
                </w:p>
              </w:tc>
              <w:tc>
                <w:tcPr>
                  <w:tcW w:w="7418" w:type="dxa"/>
                  <w:shd w:val="clear" w:color="auto" w:fill="auto"/>
                  <w:vAlign w:val="bottom"/>
                </w:tcPr>
                <w:p w14:paraId="0679FC13" w14:textId="77777777" w:rsidR="00A52778" w:rsidRDefault="00A52778" w:rsidP="00FC3F8E">
                  <w:pPr>
                    <w:pStyle w:val="AralkYok"/>
                    <w:framePr w:hSpace="141" w:wrap="around" w:vAnchor="text" w:hAnchor="margin" w:xAlign="center" w:y="96"/>
                    <w:rPr>
                      <w:b w:val="0"/>
                      <w:sz w:val="18"/>
                    </w:rPr>
                  </w:pPr>
                  <w:r>
                    <w:rPr>
                      <w:b w:val="0"/>
                      <w:sz w:val="18"/>
                    </w:rPr>
                    <w:t xml:space="preserve"> </w:t>
                  </w:r>
                  <w:r w:rsidRPr="000F2377">
                    <w:rPr>
                      <w:b w:val="0"/>
                      <w:sz w:val="18"/>
                    </w:rPr>
                    <w:t>MET-AEL küçük emisyonlar için geçerli değildir (yani VCM kütle akışı örneğin 1 g/saat' in altında olduğunda).</w:t>
                  </w:r>
                </w:p>
                <w:p w14:paraId="10C82A4A" w14:textId="77777777" w:rsidR="00A52778" w:rsidRPr="000F2377" w:rsidRDefault="00A52778" w:rsidP="00FC3F8E">
                  <w:pPr>
                    <w:pStyle w:val="AralkYok"/>
                    <w:framePr w:hSpace="141" w:wrap="around" w:vAnchor="text" w:hAnchor="margin" w:xAlign="center" w:y="96"/>
                    <w:rPr>
                      <w:b w:val="0"/>
                      <w:sz w:val="18"/>
                    </w:rPr>
                  </w:pPr>
                </w:p>
              </w:tc>
            </w:tr>
            <w:tr w:rsidR="00A52778" w:rsidRPr="000F2377" w14:paraId="5A484E14" w14:textId="77777777" w:rsidTr="00FC3F8E">
              <w:trPr>
                <w:trHeight w:val="213"/>
              </w:trPr>
              <w:tc>
                <w:tcPr>
                  <w:tcW w:w="382" w:type="dxa"/>
                  <w:shd w:val="clear" w:color="auto" w:fill="auto"/>
                  <w:vAlign w:val="bottom"/>
                </w:tcPr>
                <w:p w14:paraId="460B29E7" w14:textId="77777777" w:rsidR="00A52778" w:rsidRPr="000F2377" w:rsidRDefault="00A52778" w:rsidP="00FC3F8E">
                  <w:pPr>
                    <w:pStyle w:val="AralkYok"/>
                    <w:framePr w:hSpace="141" w:wrap="around" w:vAnchor="text" w:hAnchor="margin" w:xAlign="center" w:y="96"/>
                    <w:rPr>
                      <w:b w:val="0"/>
                      <w:w w:val="99"/>
                      <w:sz w:val="18"/>
                    </w:rPr>
                  </w:pPr>
                  <w:r w:rsidRPr="000F2377">
                    <w:rPr>
                      <w:b w:val="0"/>
                      <w:w w:val="99"/>
                      <w:sz w:val="18"/>
                    </w:rPr>
                    <w:t>(</w:t>
                  </w:r>
                  <w:r w:rsidRPr="000F2377">
                    <w:rPr>
                      <w:b w:val="0"/>
                      <w:w w:val="99"/>
                      <w:vertAlign w:val="superscript"/>
                    </w:rPr>
                    <w:t>2</w:t>
                  </w:r>
                  <w:r w:rsidRPr="000F2377">
                    <w:rPr>
                      <w:b w:val="0"/>
                      <w:w w:val="99"/>
                      <w:sz w:val="18"/>
                    </w:rPr>
                    <w:t>)</w:t>
                  </w:r>
                </w:p>
              </w:tc>
              <w:tc>
                <w:tcPr>
                  <w:tcW w:w="7418" w:type="dxa"/>
                  <w:vMerge w:val="restart"/>
                  <w:shd w:val="clear" w:color="auto" w:fill="auto"/>
                  <w:vAlign w:val="bottom"/>
                </w:tcPr>
                <w:p w14:paraId="35535DF5" w14:textId="77777777" w:rsidR="00A52778" w:rsidRPr="000F2377" w:rsidRDefault="00A52778" w:rsidP="00FC3F8E">
                  <w:pPr>
                    <w:pStyle w:val="AralkYok"/>
                    <w:framePr w:hSpace="141" w:wrap="around" w:vAnchor="text" w:hAnchor="margin" w:xAlign="center" w:y="96"/>
                    <w:rPr>
                      <w:b w:val="0"/>
                      <w:sz w:val="18"/>
                    </w:rPr>
                  </w:pPr>
                  <w:r w:rsidRPr="000F2377">
                    <w:rPr>
                      <w:b w:val="0"/>
                      <w:sz w:val="18"/>
                    </w:rPr>
                    <w:t xml:space="preserve"> MET-AEL aralığının üst sınırı, aşağıdaki koşulların her ikisinin de karşılanması halinde, daha yüksek ve 5   mg/ Nm</w:t>
                  </w:r>
                  <w:r w:rsidRPr="000F2377">
                    <w:rPr>
                      <w:b w:val="0"/>
                      <w:vertAlign w:val="superscript"/>
                    </w:rPr>
                    <w:t>3</w:t>
                  </w:r>
                  <w:r w:rsidRPr="000F2377">
                    <w:rPr>
                      <w:b w:val="0"/>
                      <w:sz w:val="18"/>
                    </w:rPr>
                    <w:t>' e kadar olabilir:</w:t>
                  </w:r>
                </w:p>
              </w:tc>
            </w:tr>
            <w:tr w:rsidR="00A52778" w:rsidRPr="000F2377" w14:paraId="47028CFC" w14:textId="77777777" w:rsidTr="00FC3F8E">
              <w:trPr>
                <w:trHeight w:val="197"/>
              </w:trPr>
              <w:tc>
                <w:tcPr>
                  <w:tcW w:w="382" w:type="dxa"/>
                  <w:shd w:val="clear" w:color="auto" w:fill="auto"/>
                  <w:vAlign w:val="bottom"/>
                </w:tcPr>
                <w:p w14:paraId="22E83972" w14:textId="77777777" w:rsidR="00A52778" w:rsidRPr="000F2377" w:rsidRDefault="00A52778" w:rsidP="00FC3F8E">
                  <w:pPr>
                    <w:pStyle w:val="AralkYok"/>
                    <w:framePr w:hSpace="141" w:wrap="around" w:vAnchor="text" w:hAnchor="margin" w:xAlign="center" w:y="96"/>
                    <w:rPr>
                      <w:b w:val="0"/>
                    </w:rPr>
                  </w:pPr>
                </w:p>
              </w:tc>
              <w:tc>
                <w:tcPr>
                  <w:tcW w:w="7418" w:type="dxa"/>
                  <w:vMerge/>
                  <w:shd w:val="clear" w:color="auto" w:fill="auto"/>
                  <w:vAlign w:val="bottom"/>
                </w:tcPr>
                <w:p w14:paraId="41F09EA2" w14:textId="77777777" w:rsidR="00A52778" w:rsidRPr="000F2377" w:rsidRDefault="00A52778" w:rsidP="00FC3F8E">
                  <w:pPr>
                    <w:pStyle w:val="AralkYok"/>
                    <w:framePr w:hSpace="141" w:wrap="around" w:vAnchor="text" w:hAnchor="margin" w:xAlign="center" w:y="96"/>
                    <w:rPr>
                      <w:b w:val="0"/>
                    </w:rPr>
                  </w:pPr>
                </w:p>
              </w:tc>
            </w:tr>
          </w:tbl>
          <w:p w14:paraId="47E77B1C" w14:textId="77777777" w:rsidR="00A52778" w:rsidRPr="000F2377" w:rsidRDefault="00A52778" w:rsidP="00BF2B30">
            <w:pPr>
              <w:pStyle w:val="AralkYok"/>
              <w:numPr>
                <w:ilvl w:val="0"/>
                <w:numId w:val="227"/>
              </w:numPr>
              <w:rPr>
                <w:rFonts w:ascii="Arial" w:eastAsia="Arial" w:hAnsi="Arial"/>
                <w:b w:val="0"/>
              </w:rPr>
            </w:pPr>
            <w:r w:rsidRPr="000F2377">
              <w:rPr>
                <w:b w:val="0"/>
                <w:sz w:val="18"/>
              </w:rPr>
              <w:t>termal oksidasyon uygulanamaz;</w:t>
            </w:r>
          </w:p>
          <w:p w14:paraId="166AB9AA" w14:textId="77777777" w:rsidR="00A52778" w:rsidRPr="000F2377" w:rsidRDefault="00A52778" w:rsidP="00FC3F8E">
            <w:pPr>
              <w:pStyle w:val="AralkYok"/>
              <w:rPr>
                <w:rFonts w:ascii="Arial" w:eastAsia="Arial" w:hAnsi="Arial"/>
                <w:b w:val="0"/>
              </w:rPr>
            </w:pPr>
          </w:p>
          <w:p w14:paraId="17617618" w14:textId="77777777" w:rsidR="00A52778" w:rsidRPr="000F2377" w:rsidRDefault="00A52778" w:rsidP="00BF2B30">
            <w:pPr>
              <w:pStyle w:val="AralkYok"/>
              <w:numPr>
                <w:ilvl w:val="0"/>
                <w:numId w:val="227"/>
              </w:numPr>
              <w:rPr>
                <w:rFonts w:ascii="Arial" w:eastAsia="Arial" w:hAnsi="Arial"/>
                <w:b w:val="0"/>
              </w:rPr>
            </w:pPr>
            <w:r w:rsidRPr="000F2377">
              <w:rPr>
                <w:b w:val="0"/>
                <w:sz w:val="18"/>
              </w:rPr>
              <w:t>tesis EDC ve VCM üretimi ile doğrudan ilişkili değildir.</w:t>
            </w:r>
          </w:p>
          <w:p w14:paraId="10FC2733" w14:textId="77777777" w:rsidR="00A52778" w:rsidRPr="000F2377" w:rsidRDefault="00A52778" w:rsidP="00FC3F8E">
            <w:pPr>
              <w:tabs>
                <w:tab w:val="left" w:pos="9020"/>
              </w:tabs>
              <w:spacing w:line="0" w:lineRule="atLeast"/>
              <w:rPr>
                <w:rFonts w:eastAsia="Times New Roman" w:cs="Times New Roman"/>
                <w:b/>
                <w:color w:val="0000FF"/>
              </w:rPr>
            </w:pPr>
          </w:p>
        </w:tc>
      </w:tr>
    </w:tbl>
    <w:p w14:paraId="11460C82" w14:textId="77777777" w:rsidR="00A52778" w:rsidRPr="00460F9E" w:rsidRDefault="00A52778" w:rsidP="00A52778">
      <w:pPr>
        <w:spacing w:line="200" w:lineRule="exact"/>
        <w:rPr>
          <w:rFonts w:eastAsia="Times New Roman" w:cs="Times New Roman"/>
          <w:b/>
        </w:rPr>
      </w:pPr>
    </w:p>
    <w:p w14:paraId="475A9677" w14:textId="77777777" w:rsidR="00A52778" w:rsidRPr="00460F9E" w:rsidRDefault="00A52778" w:rsidP="00A52778">
      <w:pPr>
        <w:spacing w:line="200" w:lineRule="exact"/>
        <w:rPr>
          <w:rFonts w:eastAsia="Times New Roman" w:cs="Times New Roman"/>
          <w:b/>
        </w:rPr>
      </w:pPr>
    </w:p>
    <w:p w14:paraId="794B38C1" w14:textId="77777777" w:rsidR="00A52778" w:rsidRPr="00460F9E" w:rsidRDefault="00A52778" w:rsidP="00A52778">
      <w:pPr>
        <w:spacing w:line="0" w:lineRule="atLeast"/>
        <w:ind w:left="820"/>
        <w:rPr>
          <w:rFonts w:eastAsia="Times New Roman" w:cs="Times New Roman"/>
          <w:b/>
        </w:rPr>
      </w:pPr>
      <w:bookmarkStart w:id="343" w:name="_Hlk128878756"/>
      <w:r w:rsidRPr="00460F9E">
        <w:rPr>
          <w:rFonts w:eastAsia="Times New Roman" w:cs="Times New Roman"/>
        </w:rPr>
        <w:t xml:space="preserve">İlişkili izleme MET 26' da verilmiştir. </w:t>
      </w:r>
    </w:p>
    <w:bookmarkEnd w:id="343"/>
    <w:p w14:paraId="55CD4909" w14:textId="77777777" w:rsidR="00A52778" w:rsidRPr="00460F9E" w:rsidRDefault="00A52778" w:rsidP="00A52778">
      <w:pPr>
        <w:tabs>
          <w:tab w:val="left" w:pos="9020"/>
        </w:tabs>
        <w:spacing w:line="0" w:lineRule="atLeast"/>
        <w:ind w:left="820"/>
        <w:rPr>
          <w:rFonts w:eastAsia="Times New Roman" w:cs="Times New Roman"/>
          <w:b/>
          <w:color w:val="0000FF"/>
        </w:rPr>
        <w:sectPr w:rsidR="00A52778" w:rsidRPr="00460F9E">
          <w:type w:val="continuous"/>
          <w:pgSz w:w="11900" w:h="16838"/>
          <w:pgMar w:top="707" w:right="1026" w:bottom="145" w:left="1440" w:header="0" w:footer="0" w:gutter="0"/>
          <w:cols w:space="0" w:equalWidth="0">
            <w:col w:w="9440"/>
          </w:cols>
          <w:docGrid w:linePitch="360"/>
        </w:sectPr>
      </w:pPr>
    </w:p>
    <w:p w14:paraId="3F77C11A" w14:textId="77777777" w:rsidR="00A52778" w:rsidRPr="00460F9E" w:rsidRDefault="00A52778" w:rsidP="00A52778">
      <w:pPr>
        <w:spacing w:line="0" w:lineRule="atLeast"/>
        <w:ind w:left="120"/>
        <w:rPr>
          <w:rFonts w:eastAsia="Times New Roman" w:cs="Times New Roman"/>
          <w:b/>
          <w:color w:val="0000FF"/>
        </w:rPr>
      </w:pPr>
      <w:bookmarkStart w:id="344" w:name="page324"/>
      <w:bookmarkEnd w:id="344"/>
    </w:p>
    <w:p w14:paraId="7037CC52" w14:textId="77777777" w:rsidR="00A52778" w:rsidRPr="00460F9E" w:rsidRDefault="00A52778" w:rsidP="00A52778">
      <w:pPr>
        <w:spacing w:line="20" w:lineRule="exact"/>
        <w:rPr>
          <w:rFonts w:eastAsia="Times New Roman" w:cs="Times New Roman"/>
          <w:b/>
        </w:rPr>
      </w:pPr>
    </w:p>
    <w:p w14:paraId="27A669BD" w14:textId="77777777" w:rsidR="00A52778" w:rsidRPr="00460F9E" w:rsidRDefault="00A52778" w:rsidP="00A52778">
      <w:pPr>
        <w:spacing w:line="225" w:lineRule="exact"/>
        <w:rPr>
          <w:rFonts w:eastAsia="Times New Roman" w:cs="Times New Roman"/>
          <w:b/>
        </w:rPr>
      </w:pPr>
    </w:p>
    <w:p w14:paraId="36334C8E" w14:textId="77777777" w:rsidR="00A52778" w:rsidRPr="00171C72" w:rsidRDefault="00A52778" w:rsidP="00A52778">
      <w:pPr>
        <w:spacing w:line="234" w:lineRule="auto"/>
        <w:ind w:left="120" w:right="826"/>
        <w:rPr>
          <w:rFonts w:eastAsia="Times New Roman" w:cs="Times New Roman"/>
        </w:rPr>
      </w:pPr>
      <w:r>
        <w:rPr>
          <w:rFonts w:eastAsia="Times New Roman" w:cs="Times New Roman"/>
        </w:rPr>
        <w:t>MET 30:</w:t>
      </w:r>
      <w:r w:rsidRPr="00171C72">
        <w:rPr>
          <w:rFonts w:eastAsia="Times New Roman" w:cs="Times New Roman"/>
        </w:rPr>
        <w:t xml:space="preserve"> Vinil klorür monomerinin havaya salınımını azaltmak için MET, aşağıda verilen tekniklerin tümünü kullanmaktır.</w:t>
      </w:r>
    </w:p>
    <w:tbl>
      <w:tblPr>
        <w:tblW w:w="0" w:type="auto"/>
        <w:tblInd w:w="10" w:type="dxa"/>
        <w:tblLayout w:type="fixed"/>
        <w:tblCellMar>
          <w:left w:w="0" w:type="dxa"/>
          <w:right w:w="0" w:type="dxa"/>
        </w:tblCellMar>
        <w:tblLook w:val="0000" w:firstRow="0" w:lastRow="0" w:firstColumn="0" w:lastColumn="0" w:noHBand="0" w:noVBand="0"/>
      </w:tblPr>
      <w:tblGrid>
        <w:gridCol w:w="380"/>
        <w:gridCol w:w="1840"/>
        <w:gridCol w:w="800"/>
        <w:gridCol w:w="440"/>
        <w:gridCol w:w="840"/>
        <w:gridCol w:w="860"/>
        <w:gridCol w:w="280"/>
        <w:gridCol w:w="980"/>
        <w:gridCol w:w="360"/>
        <w:gridCol w:w="420"/>
        <w:gridCol w:w="860"/>
        <w:gridCol w:w="200"/>
        <w:gridCol w:w="500"/>
      </w:tblGrid>
      <w:tr w:rsidR="00A52778" w:rsidRPr="00460F9E" w14:paraId="0841C80F" w14:textId="77777777" w:rsidTr="00FC3F8E">
        <w:trPr>
          <w:trHeight w:val="239"/>
        </w:trPr>
        <w:tc>
          <w:tcPr>
            <w:tcW w:w="380" w:type="dxa"/>
            <w:tcBorders>
              <w:top w:val="single" w:sz="8" w:space="0" w:color="auto"/>
              <w:left w:val="single" w:sz="8" w:space="0" w:color="auto"/>
              <w:bottom w:val="single" w:sz="8" w:space="0" w:color="auto"/>
            </w:tcBorders>
            <w:shd w:val="clear" w:color="auto" w:fill="auto"/>
            <w:vAlign w:val="bottom"/>
          </w:tcPr>
          <w:p w14:paraId="690CB5B5" w14:textId="77777777" w:rsidR="00A52778" w:rsidRPr="00460F9E" w:rsidRDefault="00A52778" w:rsidP="00FC3F8E">
            <w:pPr>
              <w:spacing w:line="0" w:lineRule="atLeast"/>
              <w:rPr>
                <w:rFonts w:eastAsia="Times New Roman" w:cs="Times New Roman"/>
                <w:b/>
              </w:rPr>
            </w:pPr>
          </w:p>
        </w:tc>
        <w:tc>
          <w:tcPr>
            <w:tcW w:w="1840" w:type="dxa"/>
            <w:tcBorders>
              <w:top w:val="single" w:sz="8" w:space="0" w:color="auto"/>
              <w:bottom w:val="single" w:sz="8" w:space="0" w:color="auto"/>
            </w:tcBorders>
            <w:shd w:val="clear" w:color="auto" w:fill="auto"/>
            <w:vAlign w:val="bottom"/>
          </w:tcPr>
          <w:p w14:paraId="27A3BD98" w14:textId="77777777" w:rsidR="00A52778" w:rsidRPr="00171C72" w:rsidRDefault="00A52778" w:rsidP="00FC3F8E">
            <w:pPr>
              <w:spacing w:line="0" w:lineRule="atLeast"/>
              <w:ind w:left="680"/>
              <w:rPr>
                <w:rFonts w:eastAsia="Times New Roman" w:cs="Times New Roman"/>
              </w:rPr>
            </w:pPr>
            <w:r w:rsidRPr="00171C72">
              <w:rPr>
                <w:rFonts w:eastAsia="Times New Roman" w:cs="Times New Roman"/>
              </w:rPr>
              <w:t>Teknikler</w:t>
            </w:r>
          </w:p>
        </w:tc>
        <w:tc>
          <w:tcPr>
            <w:tcW w:w="800" w:type="dxa"/>
            <w:tcBorders>
              <w:top w:val="single" w:sz="8" w:space="0" w:color="auto"/>
              <w:bottom w:val="single" w:sz="8" w:space="0" w:color="auto"/>
              <w:right w:val="single" w:sz="8" w:space="0" w:color="auto"/>
            </w:tcBorders>
            <w:shd w:val="clear" w:color="auto" w:fill="auto"/>
            <w:vAlign w:val="bottom"/>
          </w:tcPr>
          <w:p w14:paraId="4FAD25B8" w14:textId="77777777" w:rsidR="00A52778" w:rsidRPr="00171C72" w:rsidRDefault="00A52778" w:rsidP="00FC3F8E">
            <w:pPr>
              <w:spacing w:line="0" w:lineRule="atLeast"/>
              <w:rPr>
                <w:rFonts w:eastAsia="Times New Roman" w:cs="Times New Roman"/>
              </w:rPr>
            </w:pPr>
          </w:p>
        </w:tc>
        <w:tc>
          <w:tcPr>
            <w:tcW w:w="5040" w:type="dxa"/>
            <w:gridSpan w:val="8"/>
            <w:tcBorders>
              <w:top w:val="single" w:sz="8" w:space="0" w:color="auto"/>
              <w:bottom w:val="single" w:sz="8" w:space="0" w:color="auto"/>
            </w:tcBorders>
            <w:shd w:val="clear" w:color="auto" w:fill="auto"/>
            <w:vAlign w:val="center"/>
          </w:tcPr>
          <w:p w14:paraId="408CD1D8" w14:textId="77777777" w:rsidR="00A52778" w:rsidRPr="00171C72" w:rsidRDefault="00A52778" w:rsidP="00FC3F8E">
            <w:pPr>
              <w:spacing w:line="0" w:lineRule="atLeast"/>
              <w:jc w:val="center"/>
              <w:rPr>
                <w:rFonts w:eastAsia="Times New Roman" w:cs="Times New Roman"/>
              </w:rPr>
            </w:pPr>
            <w:r w:rsidRPr="00171C72">
              <w:rPr>
                <w:rFonts w:eastAsia="Times New Roman" w:cs="Times New Roman"/>
                <w:w w:val="99"/>
              </w:rPr>
              <w:t>Tanımlamalar</w:t>
            </w:r>
          </w:p>
        </w:tc>
        <w:tc>
          <w:tcPr>
            <w:tcW w:w="200" w:type="dxa"/>
            <w:tcBorders>
              <w:top w:val="single" w:sz="8" w:space="0" w:color="auto"/>
              <w:bottom w:val="single" w:sz="8" w:space="0" w:color="auto"/>
            </w:tcBorders>
            <w:shd w:val="clear" w:color="auto" w:fill="auto"/>
            <w:vAlign w:val="bottom"/>
          </w:tcPr>
          <w:p w14:paraId="755B28AD" w14:textId="77777777" w:rsidR="00A52778" w:rsidRPr="00460F9E" w:rsidRDefault="00A52778" w:rsidP="00FC3F8E">
            <w:pPr>
              <w:spacing w:line="0" w:lineRule="atLeast"/>
              <w:rPr>
                <w:rFonts w:eastAsia="Times New Roman" w:cs="Times New Roman"/>
                <w:b/>
              </w:rPr>
            </w:pPr>
          </w:p>
        </w:tc>
        <w:tc>
          <w:tcPr>
            <w:tcW w:w="500" w:type="dxa"/>
            <w:tcBorders>
              <w:top w:val="single" w:sz="8" w:space="0" w:color="auto"/>
              <w:bottom w:val="single" w:sz="8" w:space="0" w:color="auto"/>
              <w:right w:val="single" w:sz="8" w:space="0" w:color="auto"/>
            </w:tcBorders>
            <w:shd w:val="clear" w:color="auto" w:fill="auto"/>
            <w:vAlign w:val="bottom"/>
          </w:tcPr>
          <w:p w14:paraId="4534738D" w14:textId="77777777" w:rsidR="00A52778" w:rsidRPr="00460F9E" w:rsidRDefault="00A52778" w:rsidP="00FC3F8E">
            <w:pPr>
              <w:spacing w:line="0" w:lineRule="atLeast"/>
              <w:rPr>
                <w:rFonts w:eastAsia="Times New Roman" w:cs="Times New Roman"/>
                <w:b/>
              </w:rPr>
            </w:pPr>
          </w:p>
        </w:tc>
      </w:tr>
      <w:tr w:rsidR="00A52778" w:rsidRPr="00460F9E" w14:paraId="70B80829" w14:textId="77777777" w:rsidTr="00FC3F8E">
        <w:trPr>
          <w:trHeight w:val="275"/>
        </w:trPr>
        <w:tc>
          <w:tcPr>
            <w:tcW w:w="380" w:type="dxa"/>
            <w:vMerge w:val="restart"/>
            <w:tcBorders>
              <w:left w:val="single" w:sz="8" w:space="0" w:color="auto"/>
              <w:right w:val="single" w:sz="8" w:space="0" w:color="auto"/>
            </w:tcBorders>
            <w:shd w:val="clear" w:color="auto" w:fill="auto"/>
            <w:vAlign w:val="center"/>
          </w:tcPr>
          <w:p w14:paraId="5EA4A723" w14:textId="77777777" w:rsidR="00A52778" w:rsidRPr="00460F9E" w:rsidRDefault="00A52778" w:rsidP="00FC3F8E">
            <w:pPr>
              <w:spacing w:line="0" w:lineRule="atLeast"/>
              <w:ind w:left="120"/>
              <w:jc w:val="center"/>
              <w:rPr>
                <w:rFonts w:eastAsia="Times New Roman" w:cs="Times New Roman"/>
                <w:b/>
                <w:sz w:val="23"/>
              </w:rPr>
            </w:pPr>
            <w:r w:rsidRPr="00460F9E">
              <w:rPr>
                <w:rFonts w:eastAsia="Times New Roman" w:cs="Times New Roman"/>
              </w:rPr>
              <w:t>a.</w:t>
            </w:r>
          </w:p>
        </w:tc>
        <w:tc>
          <w:tcPr>
            <w:tcW w:w="2640" w:type="dxa"/>
            <w:gridSpan w:val="2"/>
            <w:vMerge w:val="restart"/>
            <w:tcBorders>
              <w:right w:val="single" w:sz="8" w:space="0" w:color="auto"/>
            </w:tcBorders>
            <w:shd w:val="clear" w:color="auto" w:fill="auto"/>
            <w:vAlign w:val="center"/>
          </w:tcPr>
          <w:p w14:paraId="6DACD2B0"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Uygun VCM depolama </w:t>
            </w:r>
          </w:p>
          <w:p w14:paraId="1A1B9623" w14:textId="77777777" w:rsidR="00A52778" w:rsidRPr="00460F9E" w:rsidRDefault="00A52778" w:rsidP="00FC3F8E">
            <w:pPr>
              <w:spacing w:line="0" w:lineRule="atLeast"/>
              <w:rPr>
                <w:rFonts w:eastAsia="Times New Roman" w:cs="Times New Roman"/>
                <w:b/>
                <w:sz w:val="23"/>
              </w:rPr>
            </w:pPr>
            <w:r w:rsidRPr="00460F9E">
              <w:rPr>
                <w:rFonts w:eastAsia="Times New Roman" w:cs="Times New Roman"/>
              </w:rPr>
              <w:t xml:space="preserve">  olanakları</w:t>
            </w:r>
          </w:p>
        </w:tc>
        <w:tc>
          <w:tcPr>
            <w:tcW w:w="5740" w:type="dxa"/>
            <w:gridSpan w:val="10"/>
            <w:tcBorders>
              <w:left w:val="single" w:sz="8" w:space="0" w:color="auto"/>
              <w:right w:val="single" w:sz="8" w:space="0" w:color="auto"/>
            </w:tcBorders>
            <w:shd w:val="clear" w:color="auto" w:fill="auto"/>
            <w:vAlign w:val="bottom"/>
          </w:tcPr>
          <w:p w14:paraId="2F5B7B48"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Bu madde şunları ihtiva etmektedir:</w:t>
            </w:r>
          </w:p>
          <w:p w14:paraId="63954655" w14:textId="77777777" w:rsidR="00A52778" w:rsidRPr="00460F9E" w:rsidRDefault="00A52778" w:rsidP="00FC3F8E">
            <w:pPr>
              <w:spacing w:line="0" w:lineRule="atLeast"/>
              <w:rPr>
                <w:rFonts w:eastAsia="Times New Roman" w:cs="Times New Roman"/>
                <w:b/>
                <w:sz w:val="23"/>
              </w:rPr>
            </w:pPr>
          </w:p>
        </w:tc>
      </w:tr>
      <w:tr w:rsidR="00A52778" w:rsidRPr="00460F9E" w14:paraId="62F38551" w14:textId="77777777" w:rsidTr="00FC3F8E">
        <w:trPr>
          <w:trHeight w:val="305"/>
        </w:trPr>
        <w:tc>
          <w:tcPr>
            <w:tcW w:w="380" w:type="dxa"/>
            <w:vMerge/>
            <w:tcBorders>
              <w:left w:val="single" w:sz="8" w:space="0" w:color="auto"/>
              <w:right w:val="single" w:sz="8" w:space="0" w:color="auto"/>
            </w:tcBorders>
            <w:shd w:val="clear" w:color="auto" w:fill="auto"/>
            <w:vAlign w:val="bottom"/>
          </w:tcPr>
          <w:p w14:paraId="5F1E1291" w14:textId="77777777" w:rsidR="00A52778" w:rsidRPr="00460F9E" w:rsidRDefault="00A52778" w:rsidP="00FC3F8E">
            <w:pPr>
              <w:spacing w:line="0" w:lineRule="atLeast"/>
              <w:ind w:left="120"/>
              <w:rPr>
                <w:rFonts w:eastAsia="Times New Roman" w:cs="Times New Roman"/>
                <w:b/>
              </w:rPr>
            </w:pPr>
          </w:p>
        </w:tc>
        <w:tc>
          <w:tcPr>
            <w:tcW w:w="2640" w:type="dxa"/>
            <w:gridSpan w:val="2"/>
            <w:vMerge/>
            <w:tcBorders>
              <w:right w:val="single" w:sz="8" w:space="0" w:color="auto"/>
            </w:tcBorders>
            <w:shd w:val="clear" w:color="auto" w:fill="auto"/>
            <w:vAlign w:val="bottom"/>
          </w:tcPr>
          <w:p w14:paraId="1FBB2051" w14:textId="77777777" w:rsidR="00A52778" w:rsidRPr="00460F9E" w:rsidRDefault="00A52778" w:rsidP="00FC3F8E">
            <w:pPr>
              <w:spacing w:line="0" w:lineRule="atLeast"/>
              <w:rPr>
                <w:rFonts w:eastAsia="Times New Roman" w:cs="Times New Roman"/>
                <w:b/>
              </w:rPr>
            </w:pPr>
          </w:p>
        </w:tc>
        <w:tc>
          <w:tcPr>
            <w:tcW w:w="440" w:type="dxa"/>
            <w:tcBorders>
              <w:left w:val="single" w:sz="8" w:space="0" w:color="auto"/>
            </w:tcBorders>
            <w:shd w:val="clear" w:color="auto" w:fill="auto"/>
            <w:vAlign w:val="bottom"/>
          </w:tcPr>
          <w:p w14:paraId="68D37C85" w14:textId="77777777" w:rsidR="00A52778" w:rsidRPr="00460F9E" w:rsidRDefault="00A52778" w:rsidP="00FC3F8E">
            <w:pPr>
              <w:spacing w:line="0" w:lineRule="atLeast"/>
              <w:rPr>
                <w:rFonts w:eastAsia="Times New Roman" w:cs="Times New Roman"/>
                <w:b/>
              </w:rPr>
            </w:pPr>
          </w:p>
        </w:tc>
        <w:tc>
          <w:tcPr>
            <w:tcW w:w="5300" w:type="dxa"/>
            <w:gridSpan w:val="9"/>
            <w:vMerge w:val="restart"/>
            <w:tcBorders>
              <w:right w:val="single" w:sz="8" w:space="0" w:color="auto"/>
            </w:tcBorders>
            <w:shd w:val="clear" w:color="auto" w:fill="auto"/>
            <w:vAlign w:val="bottom"/>
          </w:tcPr>
          <w:p w14:paraId="145CE3E5"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VCM' nin atmosferik basınçta soğutulmuş tanklarda veya ortam </w:t>
            </w:r>
          </w:p>
          <w:p w14:paraId="4A9F790B"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sıcaklığındaki basınçlı tanklarda depolanması;</w:t>
            </w:r>
          </w:p>
        </w:tc>
      </w:tr>
      <w:tr w:rsidR="00A52778" w:rsidRPr="00460F9E" w14:paraId="39E1C68A" w14:textId="77777777" w:rsidTr="00FC3F8E">
        <w:trPr>
          <w:trHeight w:val="230"/>
        </w:trPr>
        <w:tc>
          <w:tcPr>
            <w:tcW w:w="380" w:type="dxa"/>
            <w:vMerge/>
            <w:tcBorders>
              <w:left w:val="single" w:sz="8" w:space="0" w:color="auto"/>
              <w:right w:val="single" w:sz="8" w:space="0" w:color="auto"/>
            </w:tcBorders>
            <w:shd w:val="clear" w:color="auto" w:fill="auto"/>
            <w:vAlign w:val="bottom"/>
          </w:tcPr>
          <w:p w14:paraId="334E6AF7" w14:textId="77777777" w:rsidR="00A52778" w:rsidRPr="00460F9E" w:rsidRDefault="00A52778" w:rsidP="00FC3F8E">
            <w:pPr>
              <w:spacing w:line="0" w:lineRule="atLeast"/>
              <w:ind w:left="120"/>
              <w:rPr>
                <w:rFonts w:eastAsia="Times New Roman" w:cs="Times New Roman"/>
                <w:b/>
              </w:rPr>
            </w:pPr>
          </w:p>
        </w:tc>
        <w:tc>
          <w:tcPr>
            <w:tcW w:w="2640" w:type="dxa"/>
            <w:gridSpan w:val="2"/>
            <w:vMerge/>
            <w:tcBorders>
              <w:right w:val="single" w:sz="8" w:space="0" w:color="auto"/>
            </w:tcBorders>
            <w:shd w:val="clear" w:color="auto" w:fill="auto"/>
            <w:vAlign w:val="bottom"/>
          </w:tcPr>
          <w:p w14:paraId="626A46D7" w14:textId="77777777" w:rsidR="00A52778" w:rsidRPr="00460F9E" w:rsidRDefault="00A52778" w:rsidP="00FC3F8E">
            <w:pPr>
              <w:spacing w:line="0" w:lineRule="atLeast"/>
              <w:rPr>
                <w:rFonts w:eastAsia="Times New Roman" w:cs="Times New Roman"/>
                <w:b/>
              </w:rPr>
            </w:pPr>
          </w:p>
        </w:tc>
        <w:tc>
          <w:tcPr>
            <w:tcW w:w="440" w:type="dxa"/>
            <w:tcBorders>
              <w:left w:val="single" w:sz="8" w:space="0" w:color="auto"/>
            </w:tcBorders>
            <w:shd w:val="clear" w:color="auto" w:fill="auto"/>
            <w:vAlign w:val="bottom"/>
          </w:tcPr>
          <w:p w14:paraId="222CA064" w14:textId="77777777" w:rsidR="00A52778" w:rsidRPr="00460F9E" w:rsidRDefault="00A52778" w:rsidP="00FC3F8E">
            <w:pPr>
              <w:spacing w:line="0" w:lineRule="atLeast"/>
              <w:rPr>
                <w:rFonts w:eastAsia="Times New Roman" w:cs="Times New Roman"/>
                <w:b/>
              </w:rPr>
            </w:pPr>
          </w:p>
        </w:tc>
        <w:tc>
          <w:tcPr>
            <w:tcW w:w="5300" w:type="dxa"/>
            <w:gridSpan w:val="9"/>
            <w:vMerge/>
            <w:tcBorders>
              <w:right w:val="single" w:sz="8" w:space="0" w:color="auto"/>
            </w:tcBorders>
            <w:shd w:val="clear" w:color="auto" w:fill="auto"/>
            <w:vAlign w:val="bottom"/>
          </w:tcPr>
          <w:p w14:paraId="2511E097" w14:textId="77777777" w:rsidR="00A52778" w:rsidRPr="00460F9E" w:rsidRDefault="00A52778" w:rsidP="00FC3F8E">
            <w:pPr>
              <w:spacing w:line="0" w:lineRule="atLeast"/>
              <w:rPr>
                <w:rFonts w:eastAsia="Times New Roman" w:cs="Times New Roman"/>
                <w:b/>
              </w:rPr>
            </w:pPr>
          </w:p>
        </w:tc>
      </w:tr>
      <w:tr w:rsidR="00A52778" w:rsidRPr="00460F9E" w14:paraId="477B57B1" w14:textId="77777777" w:rsidTr="00FC3F8E">
        <w:trPr>
          <w:trHeight w:val="305"/>
        </w:trPr>
        <w:tc>
          <w:tcPr>
            <w:tcW w:w="380" w:type="dxa"/>
            <w:vMerge/>
            <w:tcBorders>
              <w:left w:val="single" w:sz="8" w:space="0" w:color="auto"/>
              <w:bottom w:val="nil"/>
              <w:right w:val="single" w:sz="8" w:space="0" w:color="auto"/>
            </w:tcBorders>
            <w:shd w:val="clear" w:color="auto" w:fill="auto"/>
            <w:vAlign w:val="bottom"/>
          </w:tcPr>
          <w:p w14:paraId="258A7320" w14:textId="77777777" w:rsidR="00A52778" w:rsidRPr="00460F9E" w:rsidRDefault="00A52778" w:rsidP="00FC3F8E">
            <w:pPr>
              <w:spacing w:line="0" w:lineRule="atLeast"/>
              <w:rPr>
                <w:rFonts w:eastAsia="Times New Roman" w:cs="Times New Roman"/>
                <w:b/>
                <w:sz w:val="10"/>
              </w:rPr>
            </w:pPr>
          </w:p>
        </w:tc>
        <w:tc>
          <w:tcPr>
            <w:tcW w:w="2640" w:type="dxa"/>
            <w:gridSpan w:val="2"/>
            <w:vMerge/>
            <w:tcBorders>
              <w:bottom w:val="nil"/>
              <w:right w:val="single" w:sz="8" w:space="0" w:color="auto"/>
            </w:tcBorders>
            <w:shd w:val="clear" w:color="auto" w:fill="auto"/>
            <w:vAlign w:val="bottom"/>
          </w:tcPr>
          <w:p w14:paraId="4B6F680B" w14:textId="77777777" w:rsidR="00A52778" w:rsidRPr="00460F9E" w:rsidRDefault="00A52778" w:rsidP="00FC3F8E">
            <w:pPr>
              <w:spacing w:line="0" w:lineRule="atLeast"/>
              <w:rPr>
                <w:rFonts w:eastAsia="Times New Roman" w:cs="Times New Roman"/>
                <w:b/>
                <w:sz w:val="10"/>
              </w:rPr>
            </w:pPr>
          </w:p>
        </w:tc>
        <w:tc>
          <w:tcPr>
            <w:tcW w:w="440" w:type="dxa"/>
            <w:tcBorders>
              <w:left w:val="single" w:sz="8" w:space="0" w:color="auto"/>
              <w:bottom w:val="nil"/>
            </w:tcBorders>
            <w:shd w:val="clear" w:color="auto" w:fill="auto"/>
            <w:vAlign w:val="bottom"/>
          </w:tcPr>
          <w:p w14:paraId="0BF74A89" w14:textId="77777777" w:rsidR="00A52778" w:rsidRPr="00460F9E" w:rsidRDefault="00A52778" w:rsidP="00FC3F8E">
            <w:pPr>
              <w:spacing w:line="0" w:lineRule="atLeast"/>
              <w:rPr>
                <w:rFonts w:eastAsia="Times New Roman" w:cs="Times New Roman"/>
                <w:b/>
                <w:sz w:val="10"/>
              </w:rPr>
            </w:pPr>
          </w:p>
        </w:tc>
        <w:tc>
          <w:tcPr>
            <w:tcW w:w="5300" w:type="dxa"/>
            <w:gridSpan w:val="9"/>
            <w:vMerge w:val="restart"/>
            <w:tcBorders>
              <w:right w:val="single" w:sz="8" w:space="0" w:color="auto"/>
            </w:tcBorders>
            <w:shd w:val="clear" w:color="auto" w:fill="auto"/>
            <w:vAlign w:val="bottom"/>
          </w:tcPr>
          <w:p w14:paraId="28F329C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VCM geri kazanımı (bkz. MET 28) ve/veya azaltımı (bkz. MET </w:t>
            </w:r>
          </w:p>
          <w:p w14:paraId="1395D5F7"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29) için soğutmalı geri akış kondansatörleri veya bağlantı </w:t>
            </w:r>
          </w:p>
          <w:p w14:paraId="763E1A14"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tankları kullanılması.</w:t>
            </w:r>
          </w:p>
        </w:tc>
      </w:tr>
      <w:tr w:rsidR="00A52778" w:rsidRPr="00460F9E" w14:paraId="06BF10A8" w14:textId="77777777" w:rsidTr="00FC3F8E">
        <w:trPr>
          <w:trHeight w:val="230"/>
        </w:trPr>
        <w:tc>
          <w:tcPr>
            <w:tcW w:w="380" w:type="dxa"/>
            <w:vMerge/>
            <w:tcBorders>
              <w:left w:val="single" w:sz="8" w:space="0" w:color="auto"/>
              <w:right w:val="single" w:sz="8" w:space="0" w:color="auto"/>
            </w:tcBorders>
            <w:shd w:val="clear" w:color="auto" w:fill="auto"/>
            <w:vAlign w:val="bottom"/>
          </w:tcPr>
          <w:p w14:paraId="61E006D4" w14:textId="77777777" w:rsidR="00A52778" w:rsidRPr="00460F9E" w:rsidRDefault="00A52778" w:rsidP="00FC3F8E">
            <w:pPr>
              <w:spacing w:line="0" w:lineRule="atLeast"/>
              <w:rPr>
                <w:rFonts w:eastAsia="Times New Roman" w:cs="Times New Roman"/>
                <w:b/>
              </w:rPr>
            </w:pPr>
          </w:p>
        </w:tc>
        <w:tc>
          <w:tcPr>
            <w:tcW w:w="2640" w:type="dxa"/>
            <w:gridSpan w:val="2"/>
            <w:vMerge/>
            <w:tcBorders>
              <w:right w:val="single" w:sz="8" w:space="0" w:color="auto"/>
            </w:tcBorders>
            <w:shd w:val="clear" w:color="auto" w:fill="auto"/>
            <w:vAlign w:val="bottom"/>
          </w:tcPr>
          <w:p w14:paraId="6A72D193" w14:textId="77777777" w:rsidR="00A52778" w:rsidRPr="00460F9E" w:rsidRDefault="00A52778" w:rsidP="00FC3F8E">
            <w:pPr>
              <w:spacing w:line="0" w:lineRule="atLeast"/>
              <w:rPr>
                <w:rFonts w:eastAsia="Times New Roman" w:cs="Times New Roman"/>
                <w:b/>
              </w:rPr>
            </w:pPr>
          </w:p>
        </w:tc>
        <w:tc>
          <w:tcPr>
            <w:tcW w:w="440" w:type="dxa"/>
            <w:tcBorders>
              <w:left w:val="single" w:sz="8" w:space="0" w:color="auto"/>
            </w:tcBorders>
            <w:shd w:val="clear" w:color="auto" w:fill="auto"/>
            <w:vAlign w:val="bottom"/>
          </w:tcPr>
          <w:p w14:paraId="51DED715" w14:textId="77777777" w:rsidR="00A52778" w:rsidRPr="00460F9E" w:rsidRDefault="00A52778" w:rsidP="00FC3F8E">
            <w:pPr>
              <w:spacing w:line="0" w:lineRule="atLeast"/>
              <w:rPr>
                <w:rFonts w:eastAsia="Times New Roman" w:cs="Times New Roman"/>
                <w:b/>
              </w:rPr>
            </w:pPr>
          </w:p>
        </w:tc>
        <w:tc>
          <w:tcPr>
            <w:tcW w:w="5300" w:type="dxa"/>
            <w:gridSpan w:val="9"/>
            <w:vMerge/>
            <w:tcBorders>
              <w:right w:val="single" w:sz="8" w:space="0" w:color="auto"/>
            </w:tcBorders>
            <w:shd w:val="clear" w:color="auto" w:fill="auto"/>
            <w:vAlign w:val="bottom"/>
          </w:tcPr>
          <w:p w14:paraId="6CEE22EF" w14:textId="77777777" w:rsidR="00A52778" w:rsidRPr="00460F9E" w:rsidRDefault="00A52778" w:rsidP="00FC3F8E">
            <w:pPr>
              <w:spacing w:line="0" w:lineRule="atLeast"/>
              <w:rPr>
                <w:rFonts w:eastAsia="Times New Roman" w:cs="Times New Roman"/>
                <w:b/>
              </w:rPr>
            </w:pPr>
          </w:p>
        </w:tc>
      </w:tr>
      <w:tr w:rsidR="00A52778" w:rsidRPr="00460F9E" w14:paraId="5C439A91" w14:textId="77777777" w:rsidTr="00FC3F8E">
        <w:trPr>
          <w:trHeight w:val="230"/>
        </w:trPr>
        <w:tc>
          <w:tcPr>
            <w:tcW w:w="380" w:type="dxa"/>
            <w:vMerge/>
            <w:tcBorders>
              <w:left w:val="single" w:sz="8" w:space="0" w:color="auto"/>
              <w:right w:val="single" w:sz="8" w:space="0" w:color="auto"/>
            </w:tcBorders>
            <w:shd w:val="clear" w:color="auto" w:fill="auto"/>
            <w:vAlign w:val="bottom"/>
          </w:tcPr>
          <w:p w14:paraId="6AEEAACF" w14:textId="77777777" w:rsidR="00A52778" w:rsidRPr="00460F9E" w:rsidRDefault="00A52778" w:rsidP="00FC3F8E">
            <w:pPr>
              <w:spacing w:line="0" w:lineRule="atLeast"/>
              <w:rPr>
                <w:rFonts w:eastAsia="Times New Roman" w:cs="Times New Roman"/>
                <w:b/>
              </w:rPr>
            </w:pPr>
          </w:p>
        </w:tc>
        <w:tc>
          <w:tcPr>
            <w:tcW w:w="2640" w:type="dxa"/>
            <w:gridSpan w:val="2"/>
            <w:vMerge/>
            <w:tcBorders>
              <w:right w:val="single" w:sz="8" w:space="0" w:color="auto"/>
            </w:tcBorders>
            <w:shd w:val="clear" w:color="auto" w:fill="auto"/>
            <w:vAlign w:val="bottom"/>
          </w:tcPr>
          <w:p w14:paraId="611BC6BA" w14:textId="77777777" w:rsidR="00A52778" w:rsidRPr="00460F9E" w:rsidRDefault="00A52778" w:rsidP="00FC3F8E">
            <w:pPr>
              <w:spacing w:line="0" w:lineRule="atLeast"/>
              <w:rPr>
                <w:rFonts w:eastAsia="Times New Roman" w:cs="Times New Roman"/>
                <w:b/>
              </w:rPr>
            </w:pPr>
          </w:p>
        </w:tc>
        <w:tc>
          <w:tcPr>
            <w:tcW w:w="440" w:type="dxa"/>
            <w:tcBorders>
              <w:left w:val="single" w:sz="8" w:space="0" w:color="auto"/>
            </w:tcBorders>
            <w:shd w:val="clear" w:color="auto" w:fill="auto"/>
            <w:vAlign w:val="bottom"/>
          </w:tcPr>
          <w:p w14:paraId="01A3AD68" w14:textId="77777777" w:rsidR="00A52778" w:rsidRPr="00460F9E" w:rsidRDefault="00A52778" w:rsidP="00FC3F8E">
            <w:pPr>
              <w:spacing w:line="0" w:lineRule="atLeast"/>
              <w:rPr>
                <w:rFonts w:eastAsia="Times New Roman" w:cs="Times New Roman"/>
                <w:b/>
              </w:rPr>
            </w:pPr>
          </w:p>
        </w:tc>
        <w:tc>
          <w:tcPr>
            <w:tcW w:w="5300" w:type="dxa"/>
            <w:gridSpan w:val="9"/>
            <w:vMerge/>
            <w:tcBorders>
              <w:right w:val="single" w:sz="8" w:space="0" w:color="auto"/>
            </w:tcBorders>
            <w:shd w:val="clear" w:color="auto" w:fill="auto"/>
            <w:vAlign w:val="bottom"/>
          </w:tcPr>
          <w:p w14:paraId="7F402E77" w14:textId="77777777" w:rsidR="00A52778" w:rsidRPr="00460F9E" w:rsidRDefault="00A52778" w:rsidP="00FC3F8E">
            <w:pPr>
              <w:spacing w:line="0" w:lineRule="atLeast"/>
              <w:rPr>
                <w:rFonts w:eastAsia="Times New Roman" w:cs="Times New Roman"/>
                <w:b/>
              </w:rPr>
            </w:pPr>
          </w:p>
        </w:tc>
      </w:tr>
      <w:tr w:rsidR="00A52778" w:rsidRPr="00460F9E" w14:paraId="7FF2945A" w14:textId="77777777" w:rsidTr="00FC3F8E">
        <w:trPr>
          <w:trHeight w:val="64"/>
        </w:trPr>
        <w:tc>
          <w:tcPr>
            <w:tcW w:w="380" w:type="dxa"/>
            <w:tcBorders>
              <w:left w:val="single" w:sz="8" w:space="0" w:color="auto"/>
              <w:bottom w:val="single" w:sz="8" w:space="0" w:color="auto"/>
              <w:right w:val="single" w:sz="8" w:space="0" w:color="auto"/>
            </w:tcBorders>
            <w:shd w:val="clear" w:color="auto" w:fill="auto"/>
            <w:vAlign w:val="bottom"/>
          </w:tcPr>
          <w:p w14:paraId="288DA47D" w14:textId="77777777" w:rsidR="00A52778" w:rsidRPr="00460F9E" w:rsidRDefault="00A52778" w:rsidP="00FC3F8E">
            <w:pPr>
              <w:spacing w:line="0" w:lineRule="atLeast"/>
              <w:rPr>
                <w:rFonts w:eastAsia="Times New Roman" w:cs="Times New Roman"/>
                <w:b/>
                <w:sz w:val="5"/>
              </w:rPr>
            </w:pPr>
          </w:p>
        </w:tc>
        <w:tc>
          <w:tcPr>
            <w:tcW w:w="1840" w:type="dxa"/>
            <w:tcBorders>
              <w:bottom w:val="single" w:sz="8" w:space="0" w:color="auto"/>
            </w:tcBorders>
            <w:shd w:val="clear" w:color="auto" w:fill="auto"/>
            <w:vAlign w:val="bottom"/>
          </w:tcPr>
          <w:p w14:paraId="5CEC13E5" w14:textId="77777777" w:rsidR="00A52778" w:rsidRPr="00460F9E" w:rsidRDefault="00A52778" w:rsidP="00FC3F8E">
            <w:pPr>
              <w:spacing w:line="0" w:lineRule="atLeast"/>
              <w:rPr>
                <w:rFonts w:eastAsia="Times New Roman" w:cs="Times New Roman"/>
                <w:b/>
                <w:sz w:val="5"/>
              </w:rPr>
            </w:pPr>
          </w:p>
        </w:tc>
        <w:tc>
          <w:tcPr>
            <w:tcW w:w="800" w:type="dxa"/>
            <w:tcBorders>
              <w:bottom w:val="single" w:sz="8" w:space="0" w:color="auto"/>
              <w:right w:val="single" w:sz="8" w:space="0" w:color="auto"/>
            </w:tcBorders>
            <w:shd w:val="clear" w:color="auto" w:fill="auto"/>
            <w:vAlign w:val="bottom"/>
          </w:tcPr>
          <w:p w14:paraId="67C412C7" w14:textId="77777777" w:rsidR="00A52778" w:rsidRPr="00460F9E" w:rsidRDefault="00A52778" w:rsidP="00FC3F8E">
            <w:pPr>
              <w:spacing w:line="0" w:lineRule="atLeast"/>
              <w:rPr>
                <w:rFonts w:eastAsia="Times New Roman" w:cs="Times New Roman"/>
                <w:b/>
                <w:sz w:val="5"/>
              </w:rPr>
            </w:pPr>
          </w:p>
        </w:tc>
        <w:tc>
          <w:tcPr>
            <w:tcW w:w="2140" w:type="dxa"/>
            <w:gridSpan w:val="3"/>
            <w:tcBorders>
              <w:bottom w:val="single" w:sz="8" w:space="0" w:color="auto"/>
            </w:tcBorders>
            <w:shd w:val="clear" w:color="auto" w:fill="auto"/>
            <w:vAlign w:val="bottom"/>
          </w:tcPr>
          <w:p w14:paraId="68114D48" w14:textId="77777777" w:rsidR="00A52778" w:rsidRPr="00460F9E" w:rsidRDefault="00A52778" w:rsidP="00FC3F8E">
            <w:pPr>
              <w:spacing w:line="0" w:lineRule="atLeast"/>
              <w:rPr>
                <w:rFonts w:eastAsia="Times New Roman" w:cs="Times New Roman"/>
                <w:b/>
                <w:sz w:val="5"/>
              </w:rPr>
            </w:pPr>
          </w:p>
        </w:tc>
        <w:tc>
          <w:tcPr>
            <w:tcW w:w="280" w:type="dxa"/>
            <w:tcBorders>
              <w:bottom w:val="single" w:sz="8" w:space="0" w:color="auto"/>
            </w:tcBorders>
            <w:shd w:val="clear" w:color="auto" w:fill="auto"/>
            <w:vAlign w:val="bottom"/>
          </w:tcPr>
          <w:p w14:paraId="7ACEC00F" w14:textId="77777777" w:rsidR="00A52778" w:rsidRPr="00460F9E" w:rsidRDefault="00A52778" w:rsidP="00FC3F8E">
            <w:pPr>
              <w:spacing w:line="0" w:lineRule="atLeast"/>
              <w:rPr>
                <w:rFonts w:eastAsia="Times New Roman" w:cs="Times New Roman"/>
                <w:b/>
                <w:sz w:val="5"/>
              </w:rPr>
            </w:pPr>
          </w:p>
        </w:tc>
        <w:tc>
          <w:tcPr>
            <w:tcW w:w="980" w:type="dxa"/>
            <w:tcBorders>
              <w:bottom w:val="single" w:sz="8" w:space="0" w:color="auto"/>
            </w:tcBorders>
            <w:shd w:val="clear" w:color="auto" w:fill="auto"/>
            <w:vAlign w:val="bottom"/>
          </w:tcPr>
          <w:p w14:paraId="68AAF7C8" w14:textId="77777777" w:rsidR="00A52778" w:rsidRPr="00460F9E" w:rsidRDefault="00A52778" w:rsidP="00FC3F8E">
            <w:pPr>
              <w:spacing w:line="0" w:lineRule="atLeast"/>
              <w:rPr>
                <w:rFonts w:eastAsia="Times New Roman" w:cs="Times New Roman"/>
                <w:b/>
                <w:sz w:val="5"/>
              </w:rPr>
            </w:pPr>
          </w:p>
        </w:tc>
        <w:tc>
          <w:tcPr>
            <w:tcW w:w="360" w:type="dxa"/>
            <w:tcBorders>
              <w:bottom w:val="single" w:sz="8" w:space="0" w:color="auto"/>
            </w:tcBorders>
            <w:shd w:val="clear" w:color="auto" w:fill="auto"/>
            <w:vAlign w:val="bottom"/>
          </w:tcPr>
          <w:p w14:paraId="01F0A913" w14:textId="77777777" w:rsidR="00A52778" w:rsidRPr="00460F9E" w:rsidRDefault="00A52778" w:rsidP="00FC3F8E">
            <w:pPr>
              <w:spacing w:line="0" w:lineRule="atLeast"/>
              <w:rPr>
                <w:rFonts w:eastAsia="Times New Roman" w:cs="Times New Roman"/>
                <w:b/>
                <w:sz w:val="5"/>
              </w:rPr>
            </w:pPr>
          </w:p>
        </w:tc>
        <w:tc>
          <w:tcPr>
            <w:tcW w:w="420" w:type="dxa"/>
            <w:tcBorders>
              <w:bottom w:val="single" w:sz="8" w:space="0" w:color="auto"/>
            </w:tcBorders>
            <w:shd w:val="clear" w:color="auto" w:fill="auto"/>
            <w:vAlign w:val="bottom"/>
          </w:tcPr>
          <w:p w14:paraId="0892E338" w14:textId="77777777" w:rsidR="00A52778" w:rsidRPr="00460F9E" w:rsidRDefault="00A52778" w:rsidP="00FC3F8E">
            <w:pPr>
              <w:spacing w:line="0" w:lineRule="atLeast"/>
              <w:rPr>
                <w:rFonts w:eastAsia="Times New Roman" w:cs="Times New Roman"/>
                <w:b/>
                <w:sz w:val="5"/>
              </w:rPr>
            </w:pPr>
          </w:p>
        </w:tc>
        <w:tc>
          <w:tcPr>
            <w:tcW w:w="860" w:type="dxa"/>
            <w:tcBorders>
              <w:bottom w:val="single" w:sz="8" w:space="0" w:color="auto"/>
            </w:tcBorders>
            <w:shd w:val="clear" w:color="auto" w:fill="auto"/>
            <w:vAlign w:val="bottom"/>
          </w:tcPr>
          <w:p w14:paraId="0623A05C" w14:textId="77777777" w:rsidR="00A52778" w:rsidRPr="00460F9E" w:rsidRDefault="00A52778" w:rsidP="00FC3F8E">
            <w:pPr>
              <w:spacing w:line="0" w:lineRule="atLeast"/>
              <w:rPr>
                <w:rFonts w:eastAsia="Times New Roman" w:cs="Times New Roman"/>
                <w:b/>
                <w:sz w:val="5"/>
              </w:rPr>
            </w:pPr>
          </w:p>
        </w:tc>
        <w:tc>
          <w:tcPr>
            <w:tcW w:w="200" w:type="dxa"/>
            <w:tcBorders>
              <w:bottom w:val="single" w:sz="8" w:space="0" w:color="auto"/>
            </w:tcBorders>
            <w:shd w:val="clear" w:color="auto" w:fill="auto"/>
            <w:vAlign w:val="bottom"/>
          </w:tcPr>
          <w:p w14:paraId="1FCB98B2" w14:textId="77777777" w:rsidR="00A52778" w:rsidRPr="00460F9E" w:rsidRDefault="00A52778" w:rsidP="00FC3F8E">
            <w:pPr>
              <w:spacing w:line="0" w:lineRule="atLeast"/>
              <w:rPr>
                <w:rFonts w:eastAsia="Times New Roman" w:cs="Times New Roman"/>
                <w:b/>
                <w:sz w:val="5"/>
              </w:rPr>
            </w:pPr>
          </w:p>
        </w:tc>
        <w:tc>
          <w:tcPr>
            <w:tcW w:w="500" w:type="dxa"/>
            <w:tcBorders>
              <w:bottom w:val="single" w:sz="8" w:space="0" w:color="auto"/>
              <w:right w:val="single" w:sz="8" w:space="0" w:color="auto"/>
            </w:tcBorders>
            <w:shd w:val="clear" w:color="auto" w:fill="auto"/>
            <w:vAlign w:val="bottom"/>
          </w:tcPr>
          <w:p w14:paraId="60ADA07C" w14:textId="77777777" w:rsidR="00A52778" w:rsidRPr="00460F9E" w:rsidRDefault="00A52778" w:rsidP="00FC3F8E">
            <w:pPr>
              <w:spacing w:line="0" w:lineRule="atLeast"/>
              <w:rPr>
                <w:rFonts w:eastAsia="Times New Roman" w:cs="Times New Roman"/>
                <w:b/>
                <w:sz w:val="5"/>
              </w:rPr>
            </w:pPr>
          </w:p>
        </w:tc>
      </w:tr>
      <w:tr w:rsidR="00A52778" w:rsidRPr="00460F9E" w14:paraId="46AF0033" w14:textId="77777777" w:rsidTr="00FC3F8E">
        <w:trPr>
          <w:trHeight w:val="217"/>
        </w:trPr>
        <w:tc>
          <w:tcPr>
            <w:tcW w:w="380" w:type="dxa"/>
            <w:tcBorders>
              <w:left w:val="single" w:sz="8" w:space="0" w:color="auto"/>
              <w:bottom w:val="single" w:sz="8" w:space="0" w:color="auto"/>
              <w:right w:val="single" w:sz="8" w:space="0" w:color="auto"/>
            </w:tcBorders>
            <w:shd w:val="clear" w:color="auto" w:fill="auto"/>
            <w:vAlign w:val="bottom"/>
          </w:tcPr>
          <w:p w14:paraId="183242B3" w14:textId="77777777" w:rsidR="00A52778" w:rsidRPr="00460F9E" w:rsidRDefault="00A52778" w:rsidP="00FC3F8E">
            <w:pPr>
              <w:spacing w:line="217" w:lineRule="exact"/>
              <w:ind w:left="120"/>
              <w:rPr>
                <w:rFonts w:eastAsia="Times New Roman" w:cs="Times New Roman"/>
                <w:b/>
              </w:rPr>
            </w:pPr>
            <w:r w:rsidRPr="00460F9E">
              <w:rPr>
                <w:rFonts w:eastAsia="Times New Roman" w:cs="Times New Roman"/>
              </w:rPr>
              <w:t>b.</w:t>
            </w:r>
          </w:p>
        </w:tc>
        <w:tc>
          <w:tcPr>
            <w:tcW w:w="2640" w:type="dxa"/>
            <w:gridSpan w:val="2"/>
            <w:tcBorders>
              <w:bottom w:val="single" w:sz="8" w:space="0" w:color="auto"/>
              <w:right w:val="single" w:sz="8" w:space="0" w:color="auto"/>
            </w:tcBorders>
            <w:shd w:val="clear" w:color="auto" w:fill="auto"/>
            <w:vAlign w:val="bottom"/>
          </w:tcPr>
          <w:p w14:paraId="5B358632" w14:textId="77777777" w:rsidR="00A52778" w:rsidRPr="00460F9E" w:rsidRDefault="00A52778" w:rsidP="00FC3F8E">
            <w:pPr>
              <w:spacing w:line="0" w:lineRule="atLeast"/>
              <w:rPr>
                <w:rFonts w:eastAsia="Times New Roman" w:cs="Times New Roman"/>
                <w:b/>
                <w:sz w:val="18"/>
              </w:rPr>
            </w:pPr>
            <w:r w:rsidRPr="00460F9E">
              <w:rPr>
                <w:rFonts w:eastAsia="Times New Roman" w:cs="Times New Roman"/>
              </w:rPr>
              <w:t xml:space="preserve">  Buhar dengelenmesi</w:t>
            </w:r>
          </w:p>
        </w:tc>
        <w:tc>
          <w:tcPr>
            <w:tcW w:w="2140" w:type="dxa"/>
            <w:gridSpan w:val="3"/>
            <w:tcBorders>
              <w:bottom w:val="single" w:sz="8" w:space="0" w:color="auto"/>
            </w:tcBorders>
            <w:shd w:val="clear" w:color="auto" w:fill="auto"/>
            <w:vAlign w:val="bottom"/>
          </w:tcPr>
          <w:p w14:paraId="2F6A1CB5" w14:textId="77777777" w:rsidR="00A52778" w:rsidRPr="00460F9E" w:rsidRDefault="00A52778" w:rsidP="00FC3F8E">
            <w:pPr>
              <w:spacing w:line="217" w:lineRule="exact"/>
              <w:ind w:left="100"/>
              <w:rPr>
                <w:rFonts w:eastAsia="Times New Roman" w:cs="Times New Roman"/>
                <w:b/>
              </w:rPr>
            </w:pPr>
            <w:r w:rsidRPr="00460F9E">
              <w:rPr>
                <w:rFonts w:eastAsia="Times New Roman" w:cs="Times New Roman"/>
              </w:rPr>
              <w:t xml:space="preserve">Bkz. Bölüm </w:t>
            </w:r>
            <w:hyperlink w:anchor="page334" w:history="1">
              <w:r w:rsidRPr="00460F9E">
                <w:rPr>
                  <w:rFonts w:eastAsia="Times New Roman" w:cs="Times New Roman"/>
                </w:rPr>
                <w:t>4.4.3.</w:t>
              </w:r>
            </w:hyperlink>
          </w:p>
        </w:tc>
        <w:tc>
          <w:tcPr>
            <w:tcW w:w="280" w:type="dxa"/>
            <w:tcBorders>
              <w:bottom w:val="single" w:sz="8" w:space="0" w:color="auto"/>
            </w:tcBorders>
            <w:shd w:val="clear" w:color="auto" w:fill="auto"/>
            <w:vAlign w:val="bottom"/>
          </w:tcPr>
          <w:p w14:paraId="14DC1EDA" w14:textId="77777777" w:rsidR="00A52778" w:rsidRPr="00460F9E" w:rsidRDefault="00A52778" w:rsidP="00FC3F8E">
            <w:pPr>
              <w:spacing w:line="0" w:lineRule="atLeast"/>
              <w:rPr>
                <w:rFonts w:eastAsia="Times New Roman" w:cs="Times New Roman"/>
                <w:b/>
                <w:sz w:val="18"/>
              </w:rPr>
            </w:pPr>
          </w:p>
        </w:tc>
        <w:tc>
          <w:tcPr>
            <w:tcW w:w="980" w:type="dxa"/>
            <w:tcBorders>
              <w:bottom w:val="single" w:sz="8" w:space="0" w:color="auto"/>
            </w:tcBorders>
            <w:shd w:val="clear" w:color="auto" w:fill="auto"/>
            <w:vAlign w:val="bottom"/>
          </w:tcPr>
          <w:p w14:paraId="5B985587" w14:textId="77777777" w:rsidR="00A52778" w:rsidRPr="00460F9E" w:rsidRDefault="00A52778" w:rsidP="00FC3F8E">
            <w:pPr>
              <w:spacing w:line="0" w:lineRule="atLeast"/>
              <w:rPr>
                <w:rFonts w:eastAsia="Times New Roman" w:cs="Times New Roman"/>
                <w:b/>
                <w:sz w:val="18"/>
              </w:rPr>
            </w:pPr>
          </w:p>
        </w:tc>
        <w:tc>
          <w:tcPr>
            <w:tcW w:w="360" w:type="dxa"/>
            <w:tcBorders>
              <w:bottom w:val="single" w:sz="8" w:space="0" w:color="auto"/>
            </w:tcBorders>
            <w:shd w:val="clear" w:color="auto" w:fill="auto"/>
            <w:vAlign w:val="bottom"/>
          </w:tcPr>
          <w:p w14:paraId="7E160F0E" w14:textId="77777777" w:rsidR="00A52778" w:rsidRPr="00460F9E" w:rsidRDefault="00A52778" w:rsidP="00FC3F8E">
            <w:pPr>
              <w:spacing w:line="0" w:lineRule="atLeast"/>
              <w:rPr>
                <w:rFonts w:eastAsia="Times New Roman" w:cs="Times New Roman"/>
                <w:b/>
                <w:sz w:val="18"/>
              </w:rPr>
            </w:pPr>
          </w:p>
        </w:tc>
        <w:tc>
          <w:tcPr>
            <w:tcW w:w="420" w:type="dxa"/>
            <w:tcBorders>
              <w:bottom w:val="single" w:sz="8" w:space="0" w:color="auto"/>
            </w:tcBorders>
            <w:shd w:val="clear" w:color="auto" w:fill="auto"/>
            <w:vAlign w:val="bottom"/>
          </w:tcPr>
          <w:p w14:paraId="2F4C8552" w14:textId="77777777" w:rsidR="00A52778" w:rsidRPr="00460F9E" w:rsidRDefault="00A52778" w:rsidP="00FC3F8E">
            <w:pPr>
              <w:spacing w:line="0" w:lineRule="atLeast"/>
              <w:rPr>
                <w:rFonts w:eastAsia="Times New Roman" w:cs="Times New Roman"/>
                <w:b/>
                <w:sz w:val="18"/>
              </w:rPr>
            </w:pPr>
          </w:p>
        </w:tc>
        <w:tc>
          <w:tcPr>
            <w:tcW w:w="860" w:type="dxa"/>
            <w:tcBorders>
              <w:bottom w:val="single" w:sz="8" w:space="0" w:color="auto"/>
            </w:tcBorders>
            <w:shd w:val="clear" w:color="auto" w:fill="auto"/>
            <w:vAlign w:val="bottom"/>
          </w:tcPr>
          <w:p w14:paraId="25A370BC" w14:textId="77777777" w:rsidR="00A52778" w:rsidRPr="00460F9E" w:rsidRDefault="00A52778" w:rsidP="00FC3F8E">
            <w:pPr>
              <w:spacing w:line="0" w:lineRule="atLeast"/>
              <w:rPr>
                <w:rFonts w:eastAsia="Times New Roman" w:cs="Times New Roman"/>
                <w:b/>
                <w:sz w:val="18"/>
              </w:rPr>
            </w:pPr>
          </w:p>
        </w:tc>
        <w:tc>
          <w:tcPr>
            <w:tcW w:w="200" w:type="dxa"/>
            <w:tcBorders>
              <w:bottom w:val="single" w:sz="8" w:space="0" w:color="auto"/>
            </w:tcBorders>
            <w:shd w:val="clear" w:color="auto" w:fill="auto"/>
            <w:vAlign w:val="bottom"/>
          </w:tcPr>
          <w:p w14:paraId="0A289CE4" w14:textId="77777777" w:rsidR="00A52778" w:rsidRPr="00460F9E" w:rsidRDefault="00A52778" w:rsidP="00FC3F8E">
            <w:pPr>
              <w:spacing w:line="0" w:lineRule="atLeast"/>
              <w:rPr>
                <w:rFonts w:eastAsia="Times New Roman" w:cs="Times New Roman"/>
                <w:b/>
                <w:sz w:val="18"/>
              </w:rPr>
            </w:pPr>
          </w:p>
        </w:tc>
        <w:tc>
          <w:tcPr>
            <w:tcW w:w="500" w:type="dxa"/>
            <w:tcBorders>
              <w:bottom w:val="single" w:sz="8" w:space="0" w:color="auto"/>
              <w:right w:val="single" w:sz="8" w:space="0" w:color="auto"/>
            </w:tcBorders>
            <w:shd w:val="clear" w:color="auto" w:fill="auto"/>
            <w:vAlign w:val="bottom"/>
          </w:tcPr>
          <w:p w14:paraId="531779F8" w14:textId="77777777" w:rsidR="00A52778" w:rsidRPr="00460F9E" w:rsidRDefault="00A52778" w:rsidP="00FC3F8E">
            <w:pPr>
              <w:spacing w:line="0" w:lineRule="atLeast"/>
              <w:rPr>
                <w:rFonts w:eastAsia="Times New Roman" w:cs="Times New Roman"/>
                <w:b/>
                <w:sz w:val="18"/>
              </w:rPr>
            </w:pPr>
          </w:p>
        </w:tc>
      </w:tr>
      <w:tr w:rsidR="00A52778" w:rsidRPr="00460F9E" w14:paraId="548CDF8D" w14:textId="77777777" w:rsidTr="00FC3F8E">
        <w:trPr>
          <w:trHeight w:val="217"/>
        </w:trPr>
        <w:tc>
          <w:tcPr>
            <w:tcW w:w="380" w:type="dxa"/>
            <w:vMerge w:val="restart"/>
            <w:tcBorders>
              <w:left w:val="single" w:sz="8" w:space="0" w:color="auto"/>
              <w:right w:val="single" w:sz="8" w:space="0" w:color="auto"/>
            </w:tcBorders>
            <w:shd w:val="clear" w:color="auto" w:fill="auto"/>
            <w:vAlign w:val="center"/>
          </w:tcPr>
          <w:p w14:paraId="42A78DF4" w14:textId="77777777" w:rsidR="00A52778" w:rsidRPr="00460F9E" w:rsidRDefault="00A52778" w:rsidP="00FC3F8E">
            <w:pPr>
              <w:spacing w:line="0" w:lineRule="atLeast"/>
              <w:ind w:left="120"/>
              <w:jc w:val="center"/>
              <w:rPr>
                <w:rFonts w:eastAsia="Times New Roman" w:cs="Times New Roman"/>
                <w:b/>
                <w:sz w:val="18"/>
              </w:rPr>
            </w:pPr>
            <w:r w:rsidRPr="00460F9E">
              <w:rPr>
                <w:rFonts w:eastAsia="Times New Roman" w:cs="Times New Roman"/>
              </w:rPr>
              <w:t>c.</w:t>
            </w:r>
          </w:p>
        </w:tc>
        <w:tc>
          <w:tcPr>
            <w:tcW w:w="2640" w:type="dxa"/>
            <w:gridSpan w:val="2"/>
            <w:vMerge w:val="restart"/>
            <w:tcBorders>
              <w:right w:val="single" w:sz="8" w:space="0" w:color="auto"/>
            </w:tcBorders>
            <w:shd w:val="clear" w:color="auto" w:fill="auto"/>
            <w:vAlign w:val="center"/>
          </w:tcPr>
          <w:p w14:paraId="30FD92EC"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Ekipmanlardan kaynaklanan </w:t>
            </w:r>
          </w:p>
          <w:p w14:paraId="0AFA33F1"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artık VCM emisyonlarının  </w:t>
            </w:r>
          </w:p>
          <w:p w14:paraId="3BA74D9D"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asgariye indirilmesi</w:t>
            </w:r>
          </w:p>
        </w:tc>
        <w:tc>
          <w:tcPr>
            <w:tcW w:w="5740" w:type="dxa"/>
            <w:gridSpan w:val="10"/>
            <w:tcBorders>
              <w:left w:val="single" w:sz="8" w:space="0" w:color="auto"/>
              <w:right w:val="single" w:sz="8" w:space="0" w:color="auto"/>
            </w:tcBorders>
            <w:shd w:val="clear" w:color="auto" w:fill="auto"/>
            <w:vAlign w:val="bottom"/>
          </w:tcPr>
          <w:p w14:paraId="1C594832"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Bu madde şunları ihtiva etmektedir:</w:t>
            </w:r>
          </w:p>
          <w:p w14:paraId="28335692" w14:textId="77777777" w:rsidR="00A52778" w:rsidRPr="00460F9E" w:rsidRDefault="00A52778" w:rsidP="00FC3F8E">
            <w:pPr>
              <w:spacing w:line="0" w:lineRule="atLeast"/>
              <w:rPr>
                <w:rFonts w:eastAsia="Times New Roman" w:cs="Times New Roman"/>
                <w:b/>
                <w:sz w:val="18"/>
              </w:rPr>
            </w:pPr>
          </w:p>
        </w:tc>
      </w:tr>
      <w:tr w:rsidR="00A52778" w:rsidRPr="00460F9E" w14:paraId="5D8D4300" w14:textId="77777777" w:rsidTr="00FC3F8E">
        <w:trPr>
          <w:trHeight w:val="305"/>
        </w:trPr>
        <w:tc>
          <w:tcPr>
            <w:tcW w:w="380" w:type="dxa"/>
            <w:vMerge/>
            <w:tcBorders>
              <w:left w:val="single" w:sz="8" w:space="0" w:color="auto"/>
              <w:right w:val="single" w:sz="8" w:space="0" w:color="auto"/>
            </w:tcBorders>
            <w:shd w:val="clear" w:color="auto" w:fill="auto"/>
            <w:vAlign w:val="bottom"/>
          </w:tcPr>
          <w:p w14:paraId="3B690D1F" w14:textId="77777777" w:rsidR="00A52778" w:rsidRPr="00460F9E" w:rsidRDefault="00A52778" w:rsidP="00FC3F8E">
            <w:pPr>
              <w:spacing w:line="0" w:lineRule="atLeast"/>
              <w:ind w:left="120"/>
              <w:rPr>
                <w:rFonts w:eastAsia="Times New Roman" w:cs="Times New Roman"/>
                <w:b/>
              </w:rPr>
            </w:pPr>
          </w:p>
        </w:tc>
        <w:tc>
          <w:tcPr>
            <w:tcW w:w="2640" w:type="dxa"/>
            <w:gridSpan w:val="2"/>
            <w:vMerge/>
            <w:tcBorders>
              <w:right w:val="single" w:sz="8" w:space="0" w:color="auto"/>
            </w:tcBorders>
            <w:shd w:val="clear" w:color="auto" w:fill="auto"/>
            <w:vAlign w:val="bottom"/>
          </w:tcPr>
          <w:p w14:paraId="4829437D" w14:textId="77777777" w:rsidR="00A52778" w:rsidRPr="00460F9E" w:rsidRDefault="00A52778" w:rsidP="00FC3F8E">
            <w:pPr>
              <w:spacing w:line="0" w:lineRule="atLeast"/>
              <w:rPr>
                <w:rFonts w:eastAsia="Times New Roman" w:cs="Times New Roman"/>
                <w:b/>
              </w:rPr>
            </w:pPr>
          </w:p>
        </w:tc>
        <w:tc>
          <w:tcPr>
            <w:tcW w:w="440" w:type="dxa"/>
            <w:tcBorders>
              <w:left w:val="single" w:sz="8" w:space="0" w:color="auto"/>
            </w:tcBorders>
            <w:shd w:val="clear" w:color="auto" w:fill="auto"/>
            <w:vAlign w:val="bottom"/>
          </w:tcPr>
          <w:p w14:paraId="720EFB75" w14:textId="77777777" w:rsidR="00A52778" w:rsidRPr="00460F9E" w:rsidRDefault="00A52778" w:rsidP="00FC3F8E">
            <w:pPr>
              <w:spacing w:line="0" w:lineRule="atLeast"/>
              <w:rPr>
                <w:rFonts w:eastAsia="Times New Roman" w:cs="Times New Roman"/>
                <w:b/>
              </w:rPr>
            </w:pPr>
          </w:p>
        </w:tc>
        <w:tc>
          <w:tcPr>
            <w:tcW w:w="5300" w:type="dxa"/>
            <w:gridSpan w:val="9"/>
            <w:tcBorders>
              <w:right w:val="single" w:sz="8" w:space="0" w:color="auto"/>
            </w:tcBorders>
            <w:shd w:val="clear" w:color="auto" w:fill="auto"/>
            <w:vAlign w:val="bottom"/>
          </w:tcPr>
          <w:p w14:paraId="43D1AAAB"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reaktörün ağzını açık bırakma sıklığını ve süresini azaltmak;</w:t>
            </w:r>
          </w:p>
        </w:tc>
      </w:tr>
      <w:tr w:rsidR="00A52778" w:rsidRPr="00460F9E" w14:paraId="0CC88170" w14:textId="77777777" w:rsidTr="00FC3F8E">
        <w:trPr>
          <w:trHeight w:val="305"/>
        </w:trPr>
        <w:tc>
          <w:tcPr>
            <w:tcW w:w="380" w:type="dxa"/>
            <w:vMerge/>
            <w:tcBorders>
              <w:left w:val="single" w:sz="8" w:space="0" w:color="auto"/>
              <w:right w:val="single" w:sz="8" w:space="0" w:color="auto"/>
            </w:tcBorders>
            <w:shd w:val="clear" w:color="auto" w:fill="auto"/>
            <w:vAlign w:val="bottom"/>
          </w:tcPr>
          <w:p w14:paraId="0F5051E3" w14:textId="77777777" w:rsidR="00A52778" w:rsidRPr="00460F9E" w:rsidRDefault="00A52778" w:rsidP="00FC3F8E">
            <w:pPr>
              <w:spacing w:line="0" w:lineRule="atLeast"/>
              <w:ind w:left="120"/>
              <w:rPr>
                <w:rFonts w:eastAsia="Times New Roman" w:cs="Times New Roman"/>
                <w:b/>
              </w:rPr>
            </w:pPr>
          </w:p>
        </w:tc>
        <w:tc>
          <w:tcPr>
            <w:tcW w:w="2640" w:type="dxa"/>
            <w:gridSpan w:val="2"/>
            <w:vMerge/>
            <w:tcBorders>
              <w:right w:val="single" w:sz="8" w:space="0" w:color="auto"/>
            </w:tcBorders>
            <w:shd w:val="clear" w:color="auto" w:fill="auto"/>
            <w:vAlign w:val="bottom"/>
          </w:tcPr>
          <w:p w14:paraId="176220BF" w14:textId="77777777" w:rsidR="00A52778" w:rsidRPr="00460F9E" w:rsidRDefault="00A52778" w:rsidP="00FC3F8E">
            <w:pPr>
              <w:spacing w:line="0" w:lineRule="atLeast"/>
              <w:rPr>
                <w:rFonts w:eastAsia="Times New Roman" w:cs="Times New Roman"/>
                <w:b/>
              </w:rPr>
            </w:pPr>
          </w:p>
        </w:tc>
        <w:tc>
          <w:tcPr>
            <w:tcW w:w="440" w:type="dxa"/>
            <w:tcBorders>
              <w:left w:val="single" w:sz="8" w:space="0" w:color="auto"/>
            </w:tcBorders>
            <w:shd w:val="clear" w:color="auto" w:fill="auto"/>
            <w:vAlign w:val="bottom"/>
          </w:tcPr>
          <w:p w14:paraId="2A8F0A77" w14:textId="77777777" w:rsidR="00A52778" w:rsidRPr="00460F9E" w:rsidRDefault="00A52778" w:rsidP="00FC3F8E">
            <w:pPr>
              <w:spacing w:line="0" w:lineRule="atLeast"/>
              <w:rPr>
                <w:rFonts w:eastAsia="Times New Roman" w:cs="Times New Roman"/>
                <w:b/>
              </w:rPr>
            </w:pPr>
          </w:p>
        </w:tc>
        <w:tc>
          <w:tcPr>
            <w:tcW w:w="5300" w:type="dxa"/>
            <w:gridSpan w:val="9"/>
            <w:vMerge w:val="restart"/>
            <w:tcBorders>
              <w:right w:val="single" w:sz="8" w:space="0" w:color="auto"/>
            </w:tcBorders>
            <w:shd w:val="clear" w:color="auto" w:fill="auto"/>
            <w:vAlign w:val="bottom"/>
          </w:tcPr>
          <w:p w14:paraId="4C915138"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reaktörün ağzını açmadan önce lateks depolama tanklarından </w:t>
            </w:r>
          </w:p>
          <w:p w14:paraId="7DE5B0F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ve VCM geri kazanım (bkz. MET 28) ve/veya azaltma (bkz. </w:t>
            </w:r>
          </w:p>
          <w:p w14:paraId="6FC251C9"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MET 29) bağlantılarından çıkan gazların havalandırılması;</w:t>
            </w:r>
          </w:p>
        </w:tc>
      </w:tr>
      <w:tr w:rsidR="00A52778" w:rsidRPr="00460F9E" w14:paraId="124B4EEA" w14:textId="77777777" w:rsidTr="00FC3F8E">
        <w:trPr>
          <w:trHeight w:val="231"/>
        </w:trPr>
        <w:tc>
          <w:tcPr>
            <w:tcW w:w="380" w:type="dxa"/>
            <w:vMerge/>
            <w:tcBorders>
              <w:left w:val="single" w:sz="8" w:space="0" w:color="auto"/>
              <w:right w:val="single" w:sz="8" w:space="0" w:color="auto"/>
            </w:tcBorders>
            <w:shd w:val="clear" w:color="auto" w:fill="auto"/>
            <w:vAlign w:val="bottom"/>
          </w:tcPr>
          <w:p w14:paraId="031A4B15" w14:textId="77777777" w:rsidR="00A52778" w:rsidRPr="00460F9E" w:rsidRDefault="00A52778" w:rsidP="00FC3F8E">
            <w:pPr>
              <w:spacing w:line="0" w:lineRule="atLeast"/>
              <w:ind w:left="120"/>
              <w:rPr>
                <w:rFonts w:eastAsia="Times New Roman" w:cs="Times New Roman"/>
                <w:b/>
              </w:rPr>
            </w:pPr>
          </w:p>
        </w:tc>
        <w:tc>
          <w:tcPr>
            <w:tcW w:w="2640" w:type="dxa"/>
            <w:gridSpan w:val="2"/>
            <w:vMerge/>
            <w:tcBorders>
              <w:right w:val="single" w:sz="8" w:space="0" w:color="auto"/>
            </w:tcBorders>
            <w:shd w:val="clear" w:color="auto" w:fill="auto"/>
            <w:vAlign w:val="bottom"/>
          </w:tcPr>
          <w:p w14:paraId="22BF0A3F" w14:textId="77777777" w:rsidR="00A52778" w:rsidRPr="00460F9E" w:rsidRDefault="00A52778" w:rsidP="00FC3F8E">
            <w:pPr>
              <w:spacing w:line="0" w:lineRule="atLeast"/>
              <w:rPr>
                <w:rFonts w:eastAsia="Times New Roman" w:cs="Times New Roman"/>
                <w:b/>
              </w:rPr>
            </w:pPr>
          </w:p>
        </w:tc>
        <w:tc>
          <w:tcPr>
            <w:tcW w:w="440" w:type="dxa"/>
            <w:tcBorders>
              <w:left w:val="single" w:sz="8" w:space="0" w:color="auto"/>
            </w:tcBorders>
            <w:shd w:val="clear" w:color="auto" w:fill="auto"/>
            <w:vAlign w:val="bottom"/>
          </w:tcPr>
          <w:p w14:paraId="15F8CD69" w14:textId="77777777" w:rsidR="00A52778" w:rsidRPr="00460F9E" w:rsidRDefault="00A52778" w:rsidP="00FC3F8E">
            <w:pPr>
              <w:spacing w:line="0" w:lineRule="atLeast"/>
              <w:rPr>
                <w:rFonts w:eastAsia="Times New Roman" w:cs="Times New Roman"/>
                <w:b/>
              </w:rPr>
            </w:pPr>
          </w:p>
        </w:tc>
        <w:tc>
          <w:tcPr>
            <w:tcW w:w="5300" w:type="dxa"/>
            <w:gridSpan w:val="9"/>
            <w:vMerge/>
            <w:tcBorders>
              <w:right w:val="single" w:sz="8" w:space="0" w:color="auto"/>
            </w:tcBorders>
            <w:shd w:val="clear" w:color="auto" w:fill="auto"/>
            <w:vAlign w:val="bottom"/>
          </w:tcPr>
          <w:p w14:paraId="04ECFA4F" w14:textId="77777777" w:rsidR="00A52778" w:rsidRPr="00460F9E" w:rsidRDefault="00A52778" w:rsidP="00FC3F8E">
            <w:pPr>
              <w:spacing w:line="0" w:lineRule="atLeast"/>
              <w:rPr>
                <w:rFonts w:eastAsia="Times New Roman" w:cs="Times New Roman"/>
                <w:b/>
              </w:rPr>
            </w:pPr>
          </w:p>
        </w:tc>
      </w:tr>
      <w:tr w:rsidR="00A52778" w:rsidRPr="00460F9E" w14:paraId="29B3143A" w14:textId="77777777" w:rsidTr="00FC3F8E">
        <w:trPr>
          <w:trHeight w:val="230"/>
        </w:trPr>
        <w:tc>
          <w:tcPr>
            <w:tcW w:w="380" w:type="dxa"/>
            <w:vMerge/>
            <w:tcBorders>
              <w:left w:val="single" w:sz="8" w:space="0" w:color="auto"/>
              <w:right w:val="single" w:sz="8" w:space="0" w:color="auto"/>
            </w:tcBorders>
            <w:shd w:val="clear" w:color="auto" w:fill="auto"/>
            <w:vAlign w:val="bottom"/>
          </w:tcPr>
          <w:p w14:paraId="6E1F32E8" w14:textId="77777777" w:rsidR="00A52778" w:rsidRPr="00460F9E" w:rsidRDefault="00A52778" w:rsidP="00FC3F8E">
            <w:pPr>
              <w:spacing w:line="0" w:lineRule="atLeast"/>
              <w:ind w:left="120"/>
              <w:rPr>
                <w:rFonts w:eastAsia="Times New Roman" w:cs="Times New Roman"/>
                <w:b/>
              </w:rPr>
            </w:pPr>
          </w:p>
        </w:tc>
        <w:tc>
          <w:tcPr>
            <w:tcW w:w="2640" w:type="dxa"/>
            <w:gridSpan w:val="2"/>
            <w:vMerge/>
            <w:tcBorders>
              <w:right w:val="single" w:sz="8" w:space="0" w:color="auto"/>
            </w:tcBorders>
            <w:shd w:val="clear" w:color="auto" w:fill="auto"/>
            <w:vAlign w:val="bottom"/>
          </w:tcPr>
          <w:p w14:paraId="3DF0EE8F" w14:textId="77777777" w:rsidR="00A52778" w:rsidRPr="00460F9E" w:rsidRDefault="00A52778" w:rsidP="00FC3F8E">
            <w:pPr>
              <w:spacing w:line="0" w:lineRule="atLeast"/>
              <w:rPr>
                <w:rFonts w:eastAsia="Times New Roman" w:cs="Times New Roman"/>
                <w:b/>
              </w:rPr>
            </w:pPr>
          </w:p>
        </w:tc>
        <w:tc>
          <w:tcPr>
            <w:tcW w:w="440" w:type="dxa"/>
            <w:shd w:val="clear" w:color="auto" w:fill="auto"/>
            <w:vAlign w:val="bottom"/>
          </w:tcPr>
          <w:p w14:paraId="5EFCBC96" w14:textId="77777777" w:rsidR="00A52778" w:rsidRPr="00460F9E" w:rsidRDefault="00A52778" w:rsidP="00FC3F8E">
            <w:pPr>
              <w:spacing w:line="0" w:lineRule="atLeast"/>
              <w:rPr>
                <w:rFonts w:eastAsia="Times New Roman" w:cs="Times New Roman"/>
                <w:b/>
              </w:rPr>
            </w:pPr>
          </w:p>
        </w:tc>
        <w:tc>
          <w:tcPr>
            <w:tcW w:w="5300" w:type="dxa"/>
            <w:gridSpan w:val="9"/>
            <w:vMerge/>
            <w:tcBorders>
              <w:right w:val="single" w:sz="8" w:space="0" w:color="auto"/>
            </w:tcBorders>
            <w:shd w:val="clear" w:color="auto" w:fill="auto"/>
            <w:vAlign w:val="bottom"/>
          </w:tcPr>
          <w:p w14:paraId="20DBC220" w14:textId="77777777" w:rsidR="00A52778" w:rsidRPr="00460F9E" w:rsidRDefault="00A52778" w:rsidP="00FC3F8E">
            <w:pPr>
              <w:spacing w:line="0" w:lineRule="atLeast"/>
              <w:rPr>
                <w:rFonts w:eastAsia="Times New Roman" w:cs="Times New Roman"/>
                <w:b/>
              </w:rPr>
            </w:pPr>
          </w:p>
        </w:tc>
      </w:tr>
      <w:tr w:rsidR="00A52778" w:rsidRPr="00460F9E" w14:paraId="7AE0A6EA" w14:textId="77777777" w:rsidTr="00FC3F8E">
        <w:trPr>
          <w:trHeight w:val="260"/>
        </w:trPr>
        <w:tc>
          <w:tcPr>
            <w:tcW w:w="380" w:type="dxa"/>
            <w:vMerge/>
            <w:tcBorders>
              <w:left w:val="single" w:sz="8" w:space="0" w:color="auto"/>
              <w:right w:val="single" w:sz="8" w:space="0" w:color="auto"/>
            </w:tcBorders>
            <w:shd w:val="clear" w:color="auto" w:fill="auto"/>
            <w:vAlign w:val="bottom"/>
          </w:tcPr>
          <w:p w14:paraId="561BBD4D" w14:textId="77777777" w:rsidR="00A52778" w:rsidRPr="00460F9E" w:rsidRDefault="00A52778" w:rsidP="00FC3F8E">
            <w:pPr>
              <w:spacing w:line="0" w:lineRule="atLeast"/>
              <w:ind w:left="120"/>
              <w:rPr>
                <w:rFonts w:eastAsia="Times New Roman" w:cs="Times New Roman"/>
                <w:b/>
              </w:rPr>
            </w:pPr>
          </w:p>
        </w:tc>
        <w:tc>
          <w:tcPr>
            <w:tcW w:w="2640" w:type="dxa"/>
            <w:gridSpan w:val="2"/>
            <w:vMerge/>
            <w:tcBorders>
              <w:right w:val="single" w:sz="8" w:space="0" w:color="auto"/>
            </w:tcBorders>
            <w:shd w:val="clear" w:color="auto" w:fill="auto"/>
            <w:vAlign w:val="bottom"/>
          </w:tcPr>
          <w:p w14:paraId="013A10B6" w14:textId="77777777" w:rsidR="00A52778" w:rsidRPr="00460F9E" w:rsidRDefault="00A52778" w:rsidP="00FC3F8E">
            <w:pPr>
              <w:spacing w:line="0" w:lineRule="atLeast"/>
              <w:rPr>
                <w:rFonts w:eastAsia="Times New Roman" w:cs="Times New Roman"/>
                <w:b/>
              </w:rPr>
            </w:pPr>
          </w:p>
        </w:tc>
        <w:tc>
          <w:tcPr>
            <w:tcW w:w="440" w:type="dxa"/>
            <w:shd w:val="clear" w:color="auto" w:fill="auto"/>
            <w:vAlign w:val="bottom"/>
          </w:tcPr>
          <w:p w14:paraId="2B9FD283" w14:textId="77777777" w:rsidR="00A52778" w:rsidRPr="00460F9E" w:rsidRDefault="00A52778" w:rsidP="00FC3F8E">
            <w:pPr>
              <w:spacing w:line="0" w:lineRule="atLeast"/>
              <w:rPr>
                <w:rFonts w:eastAsia="Times New Roman" w:cs="Times New Roman"/>
                <w:b/>
              </w:rPr>
            </w:pPr>
          </w:p>
        </w:tc>
        <w:tc>
          <w:tcPr>
            <w:tcW w:w="5300" w:type="dxa"/>
            <w:gridSpan w:val="9"/>
            <w:vMerge w:val="restart"/>
            <w:tcBorders>
              <w:right w:val="single" w:sz="8" w:space="0" w:color="auto"/>
            </w:tcBorders>
            <w:shd w:val="clear" w:color="auto" w:fill="auto"/>
            <w:vAlign w:val="bottom"/>
          </w:tcPr>
          <w:p w14:paraId="2D5BAE81"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reaktörün, ağzını açmadan önce, inert gazla yıkanması ve </w:t>
            </w:r>
          </w:p>
          <w:p w14:paraId="314251B6"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gazların VCM geri kazanımı (bkz. MET 28) ve/veya azaltımı </w:t>
            </w:r>
          </w:p>
          <w:p w14:paraId="58456FD8"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(bkz. MET 29) için havalandırılması;</w:t>
            </w:r>
          </w:p>
        </w:tc>
      </w:tr>
      <w:tr w:rsidR="00A52778" w:rsidRPr="00460F9E" w14:paraId="781FD48D" w14:textId="77777777" w:rsidTr="00FC3F8E">
        <w:trPr>
          <w:trHeight w:val="161"/>
        </w:trPr>
        <w:tc>
          <w:tcPr>
            <w:tcW w:w="380" w:type="dxa"/>
            <w:vMerge/>
            <w:tcBorders>
              <w:left w:val="single" w:sz="8" w:space="0" w:color="auto"/>
              <w:right w:val="single" w:sz="8" w:space="0" w:color="auto"/>
            </w:tcBorders>
            <w:shd w:val="clear" w:color="auto" w:fill="auto"/>
            <w:vAlign w:val="bottom"/>
          </w:tcPr>
          <w:p w14:paraId="177067AE" w14:textId="77777777" w:rsidR="00A52778" w:rsidRPr="00460F9E" w:rsidRDefault="00A52778" w:rsidP="00FC3F8E">
            <w:pPr>
              <w:spacing w:line="0" w:lineRule="atLeast"/>
              <w:rPr>
                <w:rFonts w:eastAsia="Times New Roman" w:cs="Times New Roman"/>
                <w:b/>
                <w:sz w:val="14"/>
              </w:rPr>
            </w:pPr>
          </w:p>
        </w:tc>
        <w:tc>
          <w:tcPr>
            <w:tcW w:w="2640" w:type="dxa"/>
            <w:gridSpan w:val="2"/>
            <w:vMerge/>
            <w:tcBorders>
              <w:right w:val="single" w:sz="8" w:space="0" w:color="auto"/>
            </w:tcBorders>
            <w:shd w:val="clear" w:color="auto" w:fill="auto"/>
            <w:vAlign w:val="bottom"/>
          </w:tcPr>
          <w:p w14:paraId="4E463DAD" w14:textId="77777777" w:rsidR="00A52778" w:rsidRPr="00460F9E" w:rsidRDefault="00A52778" w:rsidP="00FC3F8E">
            <w:pPr>
              <w:spacing w:line="0" w:lineRule="atLeast"/>
              <w:rPr>
                <w:rFonts w:eastAsia="Times New Roman" w:cs="Times New Roman"/>
                <w:b/>
                <w:sz w:val="18"/>
              </w:rPr>
            </w:pPr>
          </w:p>
        </w:tc>
        <w:tc>
          <w:tcPr>
            <w:tcW w:w="440" w:type="dxa"/>
            <w:tcBorders>
              <w:left w:val="single" w:sz="8" w:space="0" w:color="auto"/>
            </w:tcBorders>
            <w:shd w:val="clear" w:color="auto" w:fill="auto"/>
            <w:vAlign w:val="bottom"/>
          </w:tcPr>
          <w:p w14:paraId="77B8E9EA" w14:textId="77777777" w:rsidR="00A52778" w:rsidRPr="00460F9E" w:rsidRDefault="00A52778" w:rsidP="00FC3F8E">
            <w:pPr>
              <w:spacing w:line="0" w:lineRule="atLeast"/>
              <w:rPr>
                <w:rFonts w:eastAsia="Times New Roman" w:cs="Times New Roman"/>
                <w:b/>
                <w:sz w:val="14"/>
              </w:rPr>
            </w:pPr>
          </w:p>
        </w:tc>
        <w:tc>
          <w:tcPr>
            <w:tcW w:w="5300" w:type="dxa"/>
            <w:gridSpan w:val="9"/>
            <w:vMerge/>
            <w:tcBorders>
              <w:right w:val="single" w:sz="8" w:space="0" w:color="auto"/>
            </w:tcBorders>
            <w:shd w:val="clear" w:color="auto" w:fill="auto"/>
            <w:vAlign w:val="bottom"/>
          </w:tcPr>
          <w:p w14:paraId="0BF2AE92" w14:textId="77777777" w:rsidR="00A52778" w:rsidRPr="00460F9E" w:rsidRDefault="00A52778" w:rsidP="00FC3F8E">
            <w:pPr>
              <w:spacing w:line="0" w:lineRule="atLeast"/>
              <w:rPr>
                <w:rFonts w:eastAsia="Times New Roman" w:cs="Times New Roman"/>
                <w:b/>
              </w:rPr>
            </w:pPr>
          </w:p>
        </w:tc>
      </w:tr>
      <w:tr w:rsidR="00A52778" w:rsidRPr="00460F9E" w14:paraId="6908D08F" w14:textId="77777777" w:rsidTr="00FC3F8E">
        <w:trPr>
          <w:trHeight w:val="111"/>
        </w:trPr>
        <w:tc>
          <w:tcPr>
            <w:tcW w:w="380" w:type="dxa"/>
            <w:vMerge/>
            <w:tcBorders>
              <w:left w:val="single" w:sz="8" w:space="0" w:color="auto"/>
              <w:right w:val="single" w:sz="8" w:space="0" w:color="auto"/>
            </w:tcBorders>
            <w:shd w:val="clear" w:color="auto" w:fill="auto"/>
            <w:vAlign w:val="bottom"/>
          </w:tcPr>
          <w:p w14:paraId="782A2A4B" w14:textId="77777777" w:rsidR="00A52778" w:rsidRPr="00460F9E" w:rsidRDefault="00A52778" w:rsidP="00FC3F8E">
            <w:pPr>
              <w:spacing w:line="0" w:lineRule="atLeast"/>
              <w:rPr>
                <w:rFonts w:eastAsia="Times New Roman" w:cs="Times New Roman"/>
                <w:b/>
                <w:sz w:val="9"/>
              </w:rPr>
            </w:pPr>
          </w:p>
        </w:tc>
        <w:tc>
          <w:tcPr>
            <w:tcW w:w="2640" w:type="dxa"/>
            <w:gridSpan w:val="2"/>
            <w:vMerge/>
            <w:tcBorders>
              <w:right w:val="single" w:sz="8" w:space="0" w:color="auto"/>
            </w:tcBorders>
            <w:shd w:val="clear" w:color="auto" w:fill="auto"/>
            <w:vAlign w:val="bottom"/>
          </w:tcPr>
          <w:p w14:paraId="04A56FDE" w14:textId="77777777" w:rsidR="00A52778" w:rsidRPr="00460F9E" w:rsidRDefault="00A52778" w:rsidP="00FC3F8E">
            <w:pPr>
              <w:spacing w:line="0" w:lineRule="atLeast"/>
              <w:rPr>
                <w:rFonts w:eastAsia="Times New Roman" w:cs="Times New Roman"/>
                <w:b/>
                <w:sz w:val="9"/>
              </w:rPr>
            </w:pPr>
          </w:p>
        </w:tc>
        <w:tc>
          <w:tcPr>
            <w:tcW w:w="440" w:type="dxa"/>
            <w:tcBorders>
              <w:left w:val="single" w:sz="8" w:space="0" w:color="auto"/>
            </w:tcBorders>
            <w:shd w:val="clear" w:color="auto" w:fill="auto"/>
            <w:vAlign w:val="bottom"/>
          </w:tcPr>
          <w:p w14:paraId="59C14B6C" w14:textId="77777777" w:rsidR="00A52778" w:rsidRPr="00460F9E" w:rsidRDefault="00A52778" w:rsidP="00FC3F8E">
            <w:pPr>
              <w:spacing w:line="0" w:lineRule="atLeast"/>
              <w:rPr>
                <w:rFonts w:eastAsia="Times New Roman" w:cs="Times New Roman"/>
                <w:b/>
                <w:sz w:val="9"/>
              </w:rPr>
            </w:pPr>
          </w:p>
        </w:tc>
        <w:tc>
          <w:tcPr>
            <w:tcW w:w="5300" w:type="dxa"/>
            <w:gridSpan w:val="9"/>
            <w:vMerge/>
            <w:tcBorders>
              <w:right w:val="single" w:sz="8" w:space="0" w:color="auto"/>
            </w:tcBorders>
            <w:shd w:val="clear" w:color="auto" w:fill="auto"/>
            <w:vAlign w:val="bottom"/>
          </w:tcPr>
          <w:p w14:paraId="67775BC7" w14:textId="77777777" w:rsidR="00A52778" w:rsidRPr="00460F9E" w:rsidRDefault="00A52778" w:rsidP="00FC3F8E">
            <w:pPr>
              <w:spacing w:line="0" w:lineRule="atLeast"/>
              <w:rPr>
                <w:rFonts w:eastAsia="Times New Roman" w:cs="Times New Roman"/>
                <w:b/>
                <w:sz w:val="9"/>
              </w:rPr>
            </w:pPr>
          </w:p>
        </w:tc>
      </w:tr>
      <w:tr w:rsidR="00A52778" w:rsidRPr="00460F9E" w14:paraId="3938EAB9" w14:textId="77777777" w:rsidTr="00FC3F8E">
        <w:trPr>
          <w:trHeight w:val="108"/>
        </w:trPr>
        <w:tc>
          <w:tcPr>
            <w:tcW w:w="380" w:type="dxa"/>
            <w:vMerge/>
            <w:tcBorders>
              <w:left w:val="single" w:sz="8" w:space="0" w:color="auto"/>
              <w:right w:val="single" w:sz="8" w:space="0" w:color="auto"/>
            </w:tcBorders>
            <w:shd w:val="clear" w:color="auto" w:fill="auto"/>
            <w:vAlign w:val="bottom"/>
          </w:tcPr>
          <w:p w14:paraId="1235F40A" w14:textId="77777777" w:rsidR="00A52778" w:rsidRPr="00460F9E" w:rsidRDefault="00A52778" w:rsidP="00FC3F8E">
            <w:pPr>
              <w:spacing w:line="0" w:lineRule="atLeast"/>
              <w:rPr>
                <w:rFonts w:eastAsia="Times New Roman" w:cs="Times New Roman"/>
                <w:b/>
                <w:sz w:val="9"/>
              </w:rPr>
            </w:pPr>
          </w:p>
        </w:tc>
        <w:tc>
          <w:tcPr>
            <w:tcW w:w="2640" w:type="dxa"/>
            <w:gridSpan w:val="2"/>
            <w:vMerge/>
            <w:tcBorders>
              <w:right w:val="single" w:sz="8" w:space="0" w:color="auto"/>
            </w:tcBorders>
            <w:shd w:val="clear" w:color="auto" w:fill="auto"/>
            <w:vAlign w:val="bottom"/>
          </w:tcPr>
          <w:p w14:paraId="3ADFE14D" w14:textId="77777777" w:rsidR="00A52778" w:rsidRPr="00460F9E" w:rsidRDefault="00A52778" w:rsidP="00FC3F8E">
            <w:pPr>
              <w:spacing w:line="0" w:lineRule="atLeast"/>
              <w:rPr>
                <w:rFonts w:eastAsia="Times New Roman" w:cs="Times New Roman"/>
                <w:b/>
                <w:sz w:val="9"/>
              </w:rPr>
            </w:pPr>
          </w:p>
        </w:tc>
        <w:tc>
          <w:tcPr>
            <w:tcW w:w="440" w:type="dxa"/>
            <w:tcBorders>
              <w:left w:val="single" w:sz="8" w:space="0" w:color="auto"/>
            </w:tcBorders>
            <w:shd w:val="clear" w:color="auto" w:fill="auto"/>
            <w:vAlign w:val="bottom"/>
          </w:tcPr>
          <w:p w14:paraId="39D30D42" w14:textId="77777777" w:rsidR="00A52778" w:rsidRPr="00460F9E" w:rsidRDefault="00A52778" w:rsidP="00FC3F8E">
            <w:pPr>
              <w:spacing w:line="0" w:lineRule="atLeast"/>
              <w:rPr>
                <w:rFonts w:eastAsia="Times New Roman" w:cs="Times New Roman"/>
                <w:b/>
                <w:sz w:val="9"/>
              </w:rPr>
            </w:pPr>
          </w:p>
        </w:tc>
        <w:tc>
          <w:tcPr>
            <w:tcW w:w="5300" w:type="dxa"/>
            <w:gridSpan w:val="9"/>
            <w:vMerge/>
            <w:tcBorders>
              <w:right w:val="single" w:sz="8" w:space="0" w:color="auto"/>
            </w:tcBorders>
            <w:shd w:val="clear" w:color="auto" w:fill="auto"/>
            <w:vAlign w:val="bottom"/>
          </w:tcPr>
          <w:p w14:paraId="70B05EFC" w14:textId="77777777" w:rsidR="00A52778" w:rsidRPr="00460F9E" w:rsidRDefault="00A52778" w:rsidP="00FC3F8E">
            <w:pPr>
              <w:spacing w:line="0" w:lineRule="atLeast"/>
              <w:rPr>
                <w:rFonts w:eastAsia="Times New Roman" w:cs="Times New Roman"/>
                <w:b/>
                <w:sz w:val="9"/>
              </w:rPr>
            </w:pPr>
          </w:p>
        </w:tc>
      </w:tr>
      <w:tr w:rsidR="00A52778" w:rsidRPr="00460F9E" w14:paraId="7066C189" w14:textId="77777777" w:rsidTr="00FC3F8E">
        <w:trPr>
          <w:trHeight w:val="122"/>
        </w:trPr>
        <w:tc>
          <w:tcPr>
            <w:tcW w:w="380" w:type="dxa"/>
            <w:vMerge/>
            <w:tcBorders>
              <w:left w:val="single" w:sz="8" w:space="0" w:color="auto"/>
              <w:right w:val="single" w:sz="8" w:space="0" w:color="auto"/>
            </w:tcBorders>
            <w:shd w:val="clear" w:color="auto" w:fill="auto"/>
            <w:vAlign w:val="bottom"/>
          </w:tcPr>
          <w:p w14:paraId="57919ABD" w14:textId="77777777" w:rsidR="00A52778" w:rsidRPr="00460F9E" w:rsidRDefault="00A52778" w:rsidP="00FC3F8E">
            <w:pPr>
              <w:spacing w:line="0" w:lineRule="atLeast"/>
              <w:rPr>
                <w:rFonts w:eastAsia="Times New Roman" w:cs="Times New Roman"/>
                <w:b/>
                <w:sz w:val="10"/>
              </w:rPr>
            </w:pPr>
          </w:p>
        </w:tc>
        <w:tc>
          <w:tcPr>
            <w:tcW w:w="2640" w:type="dxa"/>
            <w:gridSpan w:val="2"/>
            <w:vMerge/>
            <w:tcBorders>
              <w:right w:val="single" w:sz="8" w:space="0" w:color="auto"/>
            </w:tcBorders>
            <w:shd w:val="clear" w:color="auto" w:fill="auto"/>
            <w:vAlign w:val="bottom"/>
          </w:tcPr>
          <w:p w14:paraId="07EA3535" w14:textId="77777777" w:rsidR="00A52778" w:rsidRPr="00460F9E" w:rsidRDefault="00A52778" w:rsidP="00FC3F8E">
            <w:pPr>
              <w:spacing w:line="0" w:lineRule="atLeast"/>
              <w:rPr>
                <w:rFonts w:eastAsia="Times New Roman" w:cs="Times New Roman"/>
                <w:b/>
                <w:sz w:val="10"/>
              </w:rPr>
            </w:pPr>
          </w:p>
        </w:tc>
        <w:tc>
          <w:tcPr>
            <w:tcW w:w="440" w:type="dxa"/>
            <w:tcBorders>
              <w:left w:val="single" w:sz="8" w:space="0" w:color="auto"/>
            </w:tcBorders>
            <w:shd w:val="clear" w:color="auto" w:fill="auto"/>
            <w:vAlign w:val="bottom"/>
          </w:tcPr>
          <w:p w14:paraId="3F07DEFD" w14:textId="77777777" w:rsidR="00A52778" w:rsidRPr="00460F9E" w:rsidRDefault="00A52778" w:rsidP="00FC3F8E">
            <w:pPr>
              <w:spacing w:line="0" w:lineRule="atLeast"/>
              <w:rPr>
                <w:rFonts w:eastAsia="Times New Roman" w:cs="Times New Roman"/>
                <w:b/>
                <w:sz w:val="10"/>
              </w:rPr>
            </w:pPr>
          </w:p>
        </w:tc>
        <w:tc>
          <w:tcPr>
            <w:tcW w:w="5300" w:type="dxa"/>
            <w:gridSpan w:val="9"/>
            <w:vMerge/>
            <w:tcBorders>
              <w:right w:val="single" w:sz="8" w:space="0" w:color="auto"/>
            </w:tcBorders>
            <w:shd w:val="clear" w:color="auto" w:fill="auto"/>
            <w:vAlign w:val="bottom"/>
          </w:tcPr>
          <w:p w14:paraId="2C02543F" w14:textId="77777777" w:rsidR="00A52778" w:rsidRPr="00460F9E" w:rsidRDefault="00A52778" w:rsidP="00FC3F8E">
            <w:pPr>
              <w:spacing w:line="0" w:lineRule="atLeast"/>
              <w:rPr>
                <w:rFonts w:eastAsia="Times New Roman" w:cs="Times New Roman"/>
                <w:b/>
                <w:sz w:val="10"/>
              </w:rPr>
            </w:pPr>
          </w:p>
        </w:tc>
      </w:tr>
      <w:tr w:rsidR="00A52778" w:rsidRPr="00460F9E" w14:paraId="3B73EBF7" w14:textId="77777777" w:rsidTr="00FC3F8E">
        <w:trPr>
          <w:trHeight w:val="305"/>
        </w:trPr>
        <w:tc>
          <w:tcPr>
            <w:tcW w:w="380" w:type="dxa"/>
            <w:vMerge/>
            <w:tcBorders>
              <w:left w:val="single" w:sz="8" w:space="0" w:color="auto"/>
              <w:right w:val="single" w:sz="8" w:space="0" w:color="auto"/>
            </w:tcBorders>
            <w:shd w:val="clear" w:color="auto" w:fill="auto"/>
            <w:vAlign w:val="bottom"/>
          </w:tcPr>
          <w:p w14:paraId="311B9E01" w14:textId="77777777" w:rsidR="00A52778" w:rsidRPr="00460F9E" w:rsidRDefault="00A52778" w:rsidP="00FC3F8E">
            <w:pPr>
              <w:spacing w:line="0" w:lineRule="atLeast"/>
              <w:rPr>
                <w:rFonts w:eastAsia="Times New Roman" w:cs="Times New Roman"/>
                <w:b/>
              </w:rPr>
            </w:pPr>
          </w:p>
        </w:tc>
        <w:tc>
          <w:tcPr>
            <w:tcW w:w="2640" w:type="dxa"/>
            <w:gridSpan w:val="2"/>
            <w:vMerge/>
            <w:tcBorders>
              <w:right w:val="single" w:sz="8" w:space="0" w:color="auto"/>
            </w:tcBorders>
            <w:shd w:val="clear" w:color="auto" w:fill="auto"/>
            <w:vAlign w:val="bottom"/>
          </w:tcPr>
          <w:p w14:paraId="0B89624F" w14:textId="77777777" w:rsidR="00A52778" w:rsidRPr="00460F9E" w:rsidRDefault="00A52778" w:rsidP="00FC3F8E">
            <w:pPr>
              <w:spacing w:line="0" w:lineRule="atLeast"/>
              <w:rPr>
                <w:rFonts w:eastAsia="Times New Roman" w:cs="Times New Roman"/>
                <w:b/>
              </w:rPr>
            </w:pPr>
          </w:p>
        </w:tc>
        <w:tc>
          <w:tcPr>
            <w:tcW w:w="440" w:type="dxa"/>
            <w:tcBorders>
              <w:left w:val="single" w:sz="8" w:space="0" w:color="auto"/>
            </w:tcBorders>
            <w:shd w:val="clear" w:color="auto" w:fill="auto"/>
            <w:vAlign w:val="bottom"/>
          </w:tcPr>
          <w:p w14:paraId="308D314A" w14:textId="77777777" w:rsidR="00A52778" w:rsidRPr="00460F9E" w:rsidRDefault="00A52778" w:rsidP="00FC3F8E">
            <w:pPr>
              <w:spacing w:line="0" w:lineRule="atLeast"/>
              <w:rPr>
                <w:rFonts w:eastAsia="Times New Roman" w:cs="Times New Roman"/>
                <w:b/>
              </w:rPr>
            </w:pPr>
          </w:p>
        </w:tc>
        <w:tc>
          <w:tcPr>
            <w:tcW w:w="5300" w:type="dxa"/>
            <w:gridSpan w:val="9"/>
            <w:vMerge w:val="restart"/>
            <w:tcBorders>
              <w:right w:val="single" w:sz="8" w:space="0" w:color="auto"/>
            </w:tcBorders>
            <w:shd w:val="clear" w:color="auto" w:fill="auto"/>
            <w:vAlign w:val="bottom"/>
          </w:tcPr>
          <w:p w14:paraId="33A8AD6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reaktörün ağzını açmadan önce, reaktörün sıvı içeriğinin kapalı </w:t>
            </w:r>
          </w:p>
          <w:p w14:paraId="69109012"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kaplara boşaltılması;</w:t>
            </w:r>
          </w:p>
        </w:tc>
      </w:tr>
      <w:tr w:rsidR="00A52778" w:rsidRPr="00460F9E" w14:paraId="3B7A9359" w14:textId="77777777" w:rsidTr="00FC3F8E">
        <w:trPr>
          <w:trHeight w:val="230"/>
        </w:trPr>
        <w:tc>
          <w:tcPr>
            <w:tcW w:w="380" w:type="dxa"/>
            <w:vMerge/>
            <w:tcBorders>
              <w:left w:val="single" w:sz="8" w:space="0" w:color="auto"/>
              <w:right w:val="single" w:sz="8" w:space="0" w:color="auto"/>
            </w:tcBorders>
            <w:shd w:val="clear" w:color="auto" w:fill="auto"/>
            <w:vAlign w:val="bottom"/>
          </w:tcPr>
          <w:p w14:paraId="69302C02" w14:textId="77777777" w:rsidR="00A52778" w:rsidRPr="00460F9E" w:rsidRDefault="00A52778" w:rsidP="00FC3F8E">
            <w:pPr>
              <w:spacing w:line="0" w:lineRule="atLeast"/>
              <w:rPr>
                <w:rFonts w:eastAsia="Times New Roman" w:cs="Times New Roman"/>
                <w:b/>
              </w:rPr>
            </w:pPr>
          </w:p>
        </w:tc>
        <w:tc>
          <w:tcPr>
            <w:tcW w:w="2640" w:type="dxa"/>
            <w:gridSpan w:val="2"/>
            <w:vMerge/>
            <w:tcBorders>
              <w:right w:val="single" w:sz="8" w:space="0" w:color="auto"/>
            </w:tcBorders>
            <w:shd w:val="clear" w:color="auto" w:fill="auto"/>
            <w:vAlign w:val="bottom"/>
          </w:tcPr>
          <w:p w14:paraId="78153B4A" w14:textId="77777777" w:rsidR="00A52778" w:rsidRPr="00460F9E" w:rsidRDefault="00A52778" w:rsidP="00FC3F8E">
            <w:pPr>
              <w:spacing w:line="0" w:lineRule="atLeast"/>
              <w:rPr>
                <w:rFonts w:eastAsia="Times New Roman" w:cs="Times New Roman"/>
                <w:b/>
              </w:rPr>
            </w:pPr>
          </w:p>
        </w:tc>
        <w:tc>
          <w:tcPr>
            <w:tcW w:w="440" w:type="dxa"/>
            <w:tcBorders>
              <w:left w:val="single" w:sz="8" w:space="0" w:color="auto"/>
            </w:tcBorders>
            <w:shd w:val="clear" w:color="auto" w:fill="auto"/>
            <w:vAlign w:val="bottom"/>
          </w:tcPr>
          <w:p w14:paraId="61907BAB" w14:textId="77777777" w:rsidR="00A52778" w:rsidRPr="00460F9E" w:rsidRDefault="00A52778" w:rsidP="00FC3F8E">
            <w:pPr>
              <w:spacing w:line="0" w:lineRule="atLeast"/>
              <w:rPr>
                <w:rFonts w:eastAsia="Times New Roman" w:cs="Times New Roman"/>
                <w:b/>
              </w:rPr>
            </w:pPr>
          </w:p>
        </w:tc>
        <w:tc>
          <w:tcPr>
            <w:tcW w:w="5300" w:type="dxa"/>
            <w:gridSpan w:val="9"/>
            <w:vMerge/>
            <w:tcBorders>
              <w:right w:val="single" w:sz="8" w:space="0" w:color="auto"/>
            </w:tcBorders>
            <w:shd w:val="clear" w:color="auto" w:fill="auto"/>
            <w:vAlign w:val="bottom"/>
          </w:tcPr>
          <w:p w14:paraId="7EE53DA3" w14:textId="77777777" w:rsidR="00A52778" w:rsidRPr="00460F9E" w:rsidRDefault="00A52778" w:rsidP="00FC3F8E">
            <w:pPr>
              <w:spacing w:line="0" w:lineRule="atLeast"/>
              <w:rPr>
                <w:rFonts w:eastAsia="Times New Roman" w:cs="Times New Roman"/>
                <w:b/>
              </w:rPr>
            </w:pPr>
          </w:p>
        </w:tc>
      </w:tr>
      <w:tr w:rsidR="00A52778" w:rsidRPr="00460F9E" w14:paraId="5913682C" w14:textId="77777777" w:rsidTr="00FC3F8E">
        <w:trPr>
          <w:trHeight w:val="305"/>
        </w:trPr>
        <w:tc>
          <w:tcPr>
            <w:tcW w:w="380" w:type="dxa"/>
            <w:vMerge/>
            <w:tcBorders>
              <w:left w:val="single" w:sz="8" w:space="0" w:color="auto"/>
              <w:right w:val="single" w:sz="8" w:space="0" w:color="auto"/>
            </w:tcBorders>
            <w:shd w:val="clear" w:color="auto" w:fill="auto"/>
            <w:vAlign w:val="bottom"/>
          </w:tcPr>
          <w:p w14:paraId="68737DFE" w14:textId="77777777" w:rsidR="00A52778" w:rsidRPr="00460F9E" w:rsidRDefault="00A52778" w:rsidP="00FC3F8E">
            <w:pPr>
              <w:spacing w:line="0" w:lineRule="atLeast"/>
              <w:rPr>
                <w:rFonts w:eastAsia="Times New Roman" w:cs="Times New Roman"/>
                <w:b/>
              </w:rPr>
            </w:pPr>
          </w:p>
        </w:tc>
        <w:tc>
          <w:tcPr>
            <w:tcW w:w="2640" w:type="dxa"/>
            <w:gridSpan w:val="2"/>
            <w:vMerge/>
            <w:tcBorders>
              <w:right w:val="single" w:sz="8" w:space="0" w:color="auto"/>
            </w:tcBorders>
            <w:shd w:val="clear" w:color="auto" w:fill="auto"/>
            <w:vAlign w:val="bottom"/>
          </w:tcPr>
          <w:p w14:paraId="31B5701C" w14:textId="77777777" w:rsidR="00A52778" w:rsidRPr="00460F9E" w:rsidRDefault="00A52778" w:rsidP="00FC3F8E">
            <w:pPr>
              <w:spacing w:line="0" w:lineRule="atLeast"/>
              <w:rPr>
                <w:rFonts w:eastAsia="Times New Roman" w:cs="Times New Roman"/>
                <w:b/>
              </w:rPr>
            </w:pPr>
          </w:p>
        </w:tc>
        <w:tc>
          <w:tcPr>
            <w:tcW w:w="440" w:type="dxa"/>
            <w:tcBorders>
              <w:left w:val="single" w:sz="8" w:space="0" w:color="auto"/>
            </w:tcBorders>
            <w:shd w:val="clear" w:color="auto" w:fill="auto"/>
            <w:vAlign w:val="bottom"/>
          </w:tcPr>
          <w:p w14:paraId="189ABF29" w14:textId="77777777" w:rsidR="00A52778" w:rsidRPr="00460F9E" w:rsidRDefault="00A52778" w:rsidP="00FC3F8E">
            <w:pPr>
              <w:spacing w:line="0" w:lineRule="atLeast"/>
              <w:rPr>
                <w:rFonts w:eastAsia="Times New Roman" w:cs="Times New Roman"/>
                <w:b/>
              </w:rPr>
            </w:pPr>
          </w:p>
        </w:tc>
        <w:tc>
          <w:tcPr>
            <w:tcW w:w="5300" w:type="dxa"/>
            <w:gridSpan w:val="9"/>
            <w:vMerge w:val="restart"/>
            <w:tcBorders>
              <w:right w:val="single" w:sz="8" w:space="0" w:color="auto"/>
            </w:tcBorders>
            <w:shd w:val="clear" w:color="auto" w:fill="auto"/>
            <w:vAlign w:val="bottom"/>
          </w:tcPr>
          <w:p w14:paraId="03A44B56"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reaktörün ağzını açmadan önce suyla temizlenmesi ve suyun </w:t>
            </w:r>
          </w:p>
          <w:p w14:paraId="50EAC1A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sıyırma sistemine boşaltılması.</w:t>
            </w:r>
          </w:p>
        </w:tc>
      </w:tr>
      <w:tr w:rsidR="00A52778" w:rsidRPr="00460F9E" w14:paraId="2F463DD2" w14:textId="77777777" w:rsidTr="00FC3F8E">
        <w:trPr>
          <w:trHeight w:val="230"/>
        </w:trPr>
        <w:tc>
          <w:tcPr>
            <w:tcW w:w="380" w:type="dxa"/>
            <w:vMerge/>
            <w:tcBorders>
              <w:left w:val="single" w:sz="8" w:space="0" w:color="auto"/>
              <w:right w:val="single" w:sz="8" w:space="0" w:color="auto"/>
            </w:tcBorders>
            <w:shd w:val="clear" w:color="auto" w:fill="auto"/>
            <w:vAlign w:val="bottom"/>
          </w:tcPr>
          <w:p w14:paraId="589057A5" w14:textId="77777777" w:rsidR="00A52778" w:rsidRPr="00460F9E" w:rsidRDefault="00A52778" w:rsidP="00FC3F8E">
            <w:pPr>
              <w:spacing w:line="0" w:lineRule="atLeast"/>
              <w:rPr>
                <w:rFonts w:eastAsia="Times New Roman" w:cs="Times New Roman"/>
                <w:b/>
              </w:rPr>
            </w:pPr>
          </w:p>
        </w:tc>
        <w:tc>
          <w:tcPr>
            <w:tcW w:w="2640" w:type="dxa"/>
            <w:gridSpan w:val="2"/>
            <w:vMerge/>
            <w:tcBorders>
              <w:right w:val="single" w:sz="8" w:space="0" w:color="auto"/>
            </w:tcBorders>
            <w:shd w:val="clear" w:color="auto" w:fill="auto"/>
            <w:vAlign w:val="bottom"/>
          </w:tcPr>
          <w:p w14:paraId="347F31DB" w14:textId="77777777" w:rsidR="00A52778" w:rsidRPr="00460F9E" w:rsidRDefault="00A52778" w:rsidP="00FC3F8E">
            <w:pPr>
              <w:spacing w:line="0" w:lineRule="atLeast"/>
              <w:rPr>
                <w:rFonts w:eastAsia="Times New Roman" w:cs="Times New Roman"/>
                <w:b/>
              </w:rPr>
            </w:pPr>
          </w:p>
        </w:tc>
        <w:tc>
          <w:tcPr>
            <w:tcW w:w="440" w:type="dxa"/>
            <w:tcBorders>
              <w:left w:val="single" w:sz="8" w:space="0" w:color="auto"/>
            </w:tcBorders>
            <w:shd w:val="clear" w:color="auto" w:fill="auto"/>
            <w:vAlign w:val="bottom"/>
          </w:tcPr>
          <w:p w14:paraId="0EA85B07" w14:textId="77777777" w:rsidR="00A52778" w:rsidRPr="00460F9E" w:rsidRDefault="00A52778" w:rsidP="00FC3F8E">
            <w:pPr>
              <w:spacing w:line="0" w:lineRule="atLeast"/>
              <w:rPr>
                <w:rFonts w:eastAsia="Times New Roman" w:cs="Times New Roman"/>
                <w:b/>
              </w:rPr>
            </w:pPr>
          </w:p>
        </w:tc>
        <w:tc>
          <w:tcPr>
            <w:tcW w:w="5300" w:type="dxa"/>
            <w:gridSpan w:val="9"/>
            <w:vMerge/>
            <w:tcBorders>
              <w:right w:val="single" w:sz="8" w:space="0" w:color="auto"/>
            </w:tcBorders>
            <w:shd w:val="clear" w:color="auto" w:fill="auto"/>
            <w:vAlign w:val="bottom"/>
          </w:tcPr>
          <w:p w14:paraId="6BB8E56C" w14:textId="77777777" w:rsidR="00A52778" w:rsidRPr="00460F9E" w:rsidRDefault="00A52778" w:rsidP="00FC3F8E">
            <w:pPr>
              <w:spacing w:line="0" w:lineRule="atLeast"/>
              <w:rPr>
                <w:rFonts w:eastAsia="Times New Roman" w:cs="Times New Roman"/>
                <w:b/>
              </w:rPr>
            </w:pPr>
          </w:p>
        </w:tc>
      </w:tr>
      <w:tr w:rsidR="00A52778" w:rsidRPr="00460F9E" w14:paraId="2C637B91" w14:textId="77777777" w:rsidTr="00FC3F8E">
        <w:trPr>
          <w:trHeight w:val="64"/>
        </w:trPr>
        <w:tc>
          <w:tcPr>
            <w:tcW w:w="380" w:type="dxa"/>
            <w:tcBorders>
              <w:left w:val="single" w:sz="8" w:space="0" w:color="auto"/>
              <w:bottom w:val="single" w:sz="8" w:space="0" w:color="auto"/>
              <w:right w:val="single" w:sz="8" w:space="0" w:color="auto"/>
            </w:tcBorders>
            <w:shd w:val="clear" w:color="auto" w:fill="auto"/>
            <w:vAlign w:val="bottom"/>
          </w:tcPr>
          <w:p w14:paraId="34BE762F" w14:textId="77777777" w:rsidR="00A52778" w:rsidRPr="00460F9E" w:rsidRDefault="00A52778" w:rsidP="00FC3F8E">
            <w:pPr>
              <w:spacing w:line="0" w:lineRule="atLeast"/>
              <w:rPr>
                <w:rFonts w:eastAsia="Times New Roman" w:cs="Times New Roman"/>
                <w:b/>
                <w:sz w:val="5"/>
              </w:rPr>
            </w:pPr>
          </w:p>
        </w:tc>
        <w:tc>
          <w:tcPr>
            <w:tcW w:w="2640" w:type="dxa"/>
            <w:gridSpan w:val="2"/>
            <w:tcBorders>
              <w:bottom w:val="single" w:sz="8" w:space="0" w:color="auto"/>
              <w:right w:val="single" w:sz="8" w:space="0" w:color="auto"/>
            </w:tcBorders>
            <w:shd w:val="clear" w:color="auto" w:fill="auto"/>
            <w:vAlign w:val="bottom"/>
          </w:tcPr>
          <w:p w14:paraId="09C8BB33" w14:textId="77777777" w:rsidR="00A52778" w:rsidRPr="00460F9E" w:rsidRDefault="00A52778" w:rsidP="00FC3F8E">
            <w:pPr>
              <w:spacing w:line="0" w:lineRule="atLeast"/>
              <w:rPr>
                <w:rFonts w:eastAsia="Times New Roman" w:cs="Times New Roman"/>
                <w:b/>
                <w:sz w:val="5"/>
              </w:rPr>
            </w:pPr>
          </w:p>
        </w:tc>
        <w:tc>
          <w:tcPr>
            <w:tcW w:w="440" w:type="dxa"/>
            <w:tcBorders>
              <w:bottom w:val="single" w:sz="8" w:space="0" w:color="auto"/>
            </w:tcBorders>
            <w:shd w:val="clear" w:color="auto" w:fill="auto"/>
            <w:vAlign w:val="bottom"/>
          </w:tcPr>
          <w:p w14:paraId="74C249FF" w14:textId="77777777" w:rsidR="00A52778" w:rsidRPr="00460F9E" w:rsidRDefault="00A52778" w:rsidP="00FC3F8E">
            <w:pPr>
              <w:spacing w:line="0" w:lineRule="atLeast"/>
              <w:rPr>
                <w:rFonts w:eastAsia="Times New Roman" w:cs="Times New Roman"/>
                <w:b/>
                <w:sz w:val="5"/>
              </w:rPr>
            </w:pPr>
          </w:p>
        </w:tc>
        <w:tc>
          <w:tcPr>
            <w:tcW w:w="840" w:type="dxa"/>
            <w:tcBorders>
              <w:bottom w:val="single" w:sz="8" w:space="0" w:color="auto"/>
            </w:tcBorders>
            <w:shd w:val="clear" w:color="auto" w:fill="auto"/>
            <w:vAlign w:val="bottom"/>
          </w:tcPr>
          <w:p w14:paraId="5C9DBDDC" w14:textId="77777777" w:rsidR="00A52778" w:rsidRPr="00460F9E" w:rsidRDefault="00A52778" w:rsidP="00FC3F8E">
            <w:pPr>
              <w:spacing w:line="0" w:lineRule="atLeast"/>
              <w:rPr>
                <w:rFonts w:eastAsia="Times New Roman" w:cs="Times New Roman"/>
                <w:b/>
                <w:sz w:val="5"/>
              </w:rPr>
            </w:pPr>
          </w:p>
        </w:tc>
        <w:tc>
          <w:tcPr>
            <w:tcW w:w="860" w:type="dxa"/>
            <w:tcBorders>
              <w:bottom w:val="single" w:sz="8" w:space="0" w:color="auto"/>
            </w:tcBorders>
            <w:shd w:val="clear" w:color="auto" w:fill="auto"/>
            <w:vAlign w:val="bottom"/>
          </w:tcPr>
          <w:p w14:paraId="2A899570" w14:textId="77777777" w:rsidR="00A52778" w:rsidRPr="00460F9E" w:rsidRDefault="00A52778" w:rsidP="00FC3F8E">
            <w:pPr>
              <w:spacing w:line="0" w:lineRule="atLeast"/>
              <w:rPr>
                <w:rFonts w:eastAsia="Times New Roman" w:cs="Times New Roman"/>
                <w:b/>
                <w:sz w:val="5"/>
              </w:rPr>
            </w:pPr>
          </w:p>
        </w:tc>
        <w:tc>
          <w:tcPr>
            <w:tcW w:w="280" w:type="dxa"/>
            <w:tcBorders>
              <w:bottom w:val="single" w:sz="8" w:space="0" w:color="auto"/>
            </w:tcBorders>
            <w:shd w:val="clear" w:color="auto" w:fill="auto"/>
            <w:vAlign w:val="bottom"/>
          </w:tcPr>
          <w:p w14:paraId="7B36AE78" w14:textId="77777777" w:rsidR="00A52778" w:rsidRPr="00460F9E" w:rsidRDefault="00A52778" w:rsidP="00FC3F8E">
            <w:pPr>
              <w:spacing w:line="0" w:lineRule="atLeast"/>
              <w:rPr>
                <w:rFonts w:eastAsia="Times New Roman" w:cs="Times New Roman"/>
                <w:b/>
                <w:sz w:val="5"/>
              </w:rPr>
            </w:pPr>
          </w:p>
        </w:tc>
        <w:tc>
          <w:tcPr>
            <w:tcW w:w="980" w:type="dxa"/>
            <w:tcBorders>
              <w:bottom w:val="single" w:sz="8" w:space="0" w:color="auto"/>
            </w:tcBorders>
            <w:shd w:val="clear" w:color="auto" w:fill="auto"/>
            <w:vAlign w:val="bottom"/>
          </w:tcPr>
          <w:p w14:paraId="7BD0280D" w14:textId="77777777" w:rsidR="00A52778" w:rsidRPr="00460F9E" w:rsidRDefault="00A52778" w:rsidP="00FC3F8E">
            <w:pPr>
              <w:spacing w:line="0" w:lineRule="atLeast"/>
              <w:rPr>
                <w:rFonts w:eastAsia="Times New Roman" w:cs="Times New Roman"/>
                <w:b/>
                <w:sz w:val="5"/>
              </w:rPr>
            </w:pPr>
          </w:p>
        </w:tc>
        <w:tc>
          <w:tcPr>
            <w:tcW w:w="360" w:type="dxa"/>
            <w:tcBorders>
              <w:bottom w:val="single" w:sz="8" w:space="0" w:color="auto"/>
            </w:tcBorders>
            <w:shd w:val="clear" w:color="auto" w:fill="auto"/>
            <w:vAlign w:val="bottom"/>
          </w:tcPr>
          <w:p w14:paraId="7B9D81AA" w14:textId="77777777" w:rsidR="00A52778" w:rsidRPr="00460F9E" w:rsidRDefault="00A52778" w:rsidP="00FC3F8E">
            <w:pPr>
              <w:spacing w:line="0" w:lineRule="atLeast"/>
              <w:rPr>
                <w:rFonts w:eastAsia="Times New Roman" w:cs="Times New Roman"/>
                <w:b/>
                <w:sz w:val="5"/>
              </w:rPr>
            </w:pPr>
          </w:p>
        </w:tc>
        <w:tc>
          <w:tcPr>
            <w:tcW w:w="420" w:type="dxa"/>
            <w:tcBorders>
              <w:bottom w:val="single" w:sz="8" w:space="0" w:color="auto"/>
            </w:tcBorders>
            <w:shd w:val="clear" w:color="auto" w:fill="auto"/>
            <w:vAlign w:val="bottom"/>
          </w:tcPr>
          <w:p w14:paraId="64845C34" w14:textId="77777777" w:rsidR="00A52778" w:rsidRPr="00460F9E" w:rsidRDefault="00A52778" w:rsidP="00FC3F8E">
            <w:pPr>
              <w:spacing w:line="0" w:lineRule="atLeast"/>
              <w:rPr>
                <w:rFonts w:eastAsia="Times New Roman" w:cs="Times New Roman"/>
                <w:b/>
                <w:sz w:val="5"/>
              </w:rPr>
            </w:pPr>
          </w:p>
        </w:tc>
        <w:tc>
          <w:tcPr>
            <w:tcW w:w="860" w:type="dxa"/>
            <w:tcBorders>
              <w:bottom w:val="single" w:sz="8" w:space="0" w:color="auto"/>
            </w:tcBorders>
            <w:shd w:val="clear" w:color="auto" w:fill="auto"/>
            <w:vAlign w:val="bottom"/>
          </w:tcPr>
          <w:p w14:paraId="44D22410" w14:textId="77777777" w:rsidR="00A52778" w:rsidRPr="00460F9E" w:rsidRDefault="00A52778" w:rsidP="00FC3F8E">
            <w:pPr>
              <w:spacing w:line="0" w:lineRule="atLeast"/>
              <w:rPr>
                <w:rFonts w:eastAsia="Times New Roman" w:cs="Times New Roman"/>
                <w:b/>
                <w:sz w:val="5"/>
              </w:rPr>
            </w:pPr>
          </w:p>
        </w:tc>
        <w:tc>
          <w:tcPr>
            <w:tcW w:w="200" w:type="dxa"/>
            <w:tcBorders>
              <w:bottom w:val="single" w:sz="8" w:space="0" w:color="auto"/>
            </w:tcBorders>
            <w:shd w:val="clear" w:color="auto" w:fill="auto"/>
            <w:vAlign w:val="bottom"/>
          </w:tcPr>
          <w:p w14:paraId="4CBE463D" w14:textId="77777777" w:rsidR="00A52778" w:rsidRPr="00460F9E" w:rsidRDefault="00A52778" w:rsidP="00FC3F8E">
            <w:pPr>
              <w:spacing w:line="0" w:lineRule="atLeast"/>
              <w:rPr>
                <w:rFonts w:eastAsia="Times New Roman" w:cs="Times New Roman"/>
                <w:b/>
                <w:sz w:val="5"/>
              </w:rPr>
            </w:pPr>
          </w:p>
        </w:tc>
        <w:tc>
          <w:tcPr>
            <w:tcW w:w="500" w:type="dxa"/>
            <w:tcBorders>
              <w:bottom w:val="single" w:sz="8" w:space="0" w:color="auto"/>
              <w:right w:val="single" w:sz="8" w:space="0" w:color="auto"/>
            </w:tcBorders>
            <w:shd w:val="clear" w:color="auto" w:fill="auto"/>
            <w:vAlign w:val="bottom"/>
          </w:tcPr>
          <w:p w14:paraId="3A99767D" w14:textId="77777777" w:rsidR="00A52778" w:rsidRPr="00460F9E" w:rsidRDefault="00A52778" w:rsidP="00FC3F8E">
            <w:pPr>
              <w:spacing w:line="0" w:lineRule="atLeast"/>
              <w:rPr>
                <w:rFonts w:eastAsia="Times New Roman" w:cs="Times New Roman"/>
                <w:b/>
                <w:sz w:val="5"/>
              </w:rPr>
            </w:pPr>
          </w:p>
        </w:tc>
      </w:tr>
      <w:tr w:rsidR="00A52778" w:rsidRPr="00460F9E" w14:paraId="7AC63DD0" w14:textId="77777777" w:rsidTr="00FC3F8E">
        <w:trPr>
          <w:trHeight w:val="214"/>
        </w:trPr>
        <w:tc>
          <w:tcPr>
            <w:tcW w:w="380" w:type="dxa"/>
            <w:vMerge w:val="restart"/>
            <w:tcBorders>
              <w:left w:val="single" w:sz="8" w:space="0" w:color="auto"/>
              <w:right w:val="single" w:sz="8" w:space="0" w:color="auto"/>
            </w:tcBorders>
            <w:shd w:val="clear" w:color="auto" w:fill="auto"/>
            <w:vAlign w:val="bottom"/>
          </w:tcPr>
          <w:p w14:paraId="7F884190" w14:textId="77777777" w:rsidR="00A52778" w:rsidRPr="00460F9E" w:rsidRDefault="00A52778" w:rsidP="00FC3F8E">
            <w:pPr>
              <w:spacing w:line="0" w:lineRule="atLeast"/>
              <w:ind w:left="120"/>
              <w:rPr>
                <w:rFonts w:eastAsia="Times New Roman" w:cs="Times New Roman"/>
                <w:b/>
              </w:rPr>
            </w:pPr>
            <w:r>
              <w:rPr>
                <w:rFonts w:eastAsia="Times New Roman" w:cs="Times New Roman"/>
              </w:rPr>
              <w:t>ç</w:t>
            </w:r>
            <w:r w:rsidRPr="00460F9E">
              <w:rPr>
                <w:rFonts w:eastAsia="Times New Roman" w:cs="Times New Roman"/>
              </w:rPr>
              <w:t>.</w:t>
            </w:r>
          </w:p>
        </w:tc>
        <w:tc>
          <w:tcPr>
            <w:tcW w:w="2640" w:type="dxa"/>
            <w:gridSpan w:val="2"/>
            <w:vMerge w:val="restart"/>
            <w:tcBorders>
              <w:right w:val="single" w:sz="8" w:space="0" w:color="auto"/>
            </w:tcBorders>
            <w:shd w:val="clear" w:color="auto" w:fill="auto"/>
            <w:vAlign w:val="bottom"/>
          </w:tcPr>
          <w:p w14:paraId="294833FD"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Sıyırma yoluyla polimerdeki VCM içeriğinin azaltılması</w:t>
            </w:r>
          </w:p>
        </w:tc>
        <w:tc>
          <w:tcPr>
            <w:tcW w:w="2140" w:type="dxa"/>
            <w:gridSpan w:val="3"/>
            <w:vMerge w:val="restart"/>
            <w:shd w:val="clear" w:color="auto" w:fill="auto"/>
            <w:vAlign w:val="bottom"/>
          </w:tcPr>
          <w:p w14:paraId="51FF425B"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 xml:space="preserve">Bkz. Bölüm </w:t>
            </w:r>
            <w:hyperlink w:anchor="page334" w:history="1">
              <w:r w:rsidRPr="00460F9E">
                <w:rPr>
                  <w:rFonts w:eastAsia="Times New Roman" w:cs="Times New Roman"/>
                </w:rPr>
                <w:t>4.4.3.</w:t>
              </w:r>
            </w:hyperlink>
          </w:p>
        </w:tc>
        <w:tc>
          <w:tcPr>
            <w:tcW w:w="280" w:type="dxa"/>
            <w:shd w:val="clear" w:color="auto" w:fill="auto"/>
            <w:vAlign w:val="bottom"/>
          </w:tcPr>
          <w:p w14:paraId="48A187E8" w14:textId="77777777" w:rsidR="00A52778" w:rsidRPr="00460F9E" w:rsidRDefault="00A52778" w:rsidP="00FC3F8E">
            <w:pPr>
              <w:spacing w:line="0" w:lineRule="atLeast"/>
              <w:rPr>
                <w:rFonts w:eastAsia="Times New Roman" w:cs="Times New Roman"/>
                <w:b/>
                <w:sz w:val="18"/>
              </w:rPr>
            </w:pPr>
          </w:p>
        </w:tc>
        <w:tc>
          <w:tcPr>
            <w:tcW w:w="980" w:type="dxa"/>
            <w:shd w:val="clear" w:color="auto" w:fill="auto"/>
            <w:vAlign w:val="bottom"/>
          </w:tcPr>
          <w:p w14:paraId="77E7A9DE" w14:textId="77777777" w:rsidR="00A52778" w:rsidRPr="00460F9E" w:rsidRDefault="00A52778" w:rsidP="00FC3F8E">
            <w:pPr>
              <w:spacing w:line="0" w:lineRule="atLeast"/>
              <w:rPr>
                <w:rFonts w:eastAsia="Times New Roman" w:cs="Times New Roman"/>
                <w:b/>
                <w:sz w:val="18"/>
              </w:rPr>
            </w:pPr>
          </w:p>
        </w:tc>
        <w:tc>
          <w:tcPr>
            <w:tcW w:w="360" w:type="dxa"/>
            <w:shd w:val="clear" w:color="auto" w:fill="auto"/>
            <w:vAlign w:val="bottom"/>
          </w:tcPr>
          <w:p w14:paraId="0D6C9AA5" w14:textId="77777777" w:rsidR="00A52778" w:rsidRPr="00460F9E" w:rsidRDefault="00A52778" w:rsidP="00FC3F8E">
            <w:pPr>
              <w:spacing w:line="0" w:lineRule="atLeast"/>
              <w:rPr>
                <w:rFonts w:eastAsia="Times New Roman" w:cs="Times New Roman"/>
                <w:b/>
                <w:sz w:val="18"/>
              </w:rPr>
            </w:pPr>
          </w:p>
        </w:tc>
        <w:tc>
          <w:tcPr>
            <w:tcW w:w="420" w:type="dxa"/>
            <w:shd w:val="clear" w:color="auto" w:fill="auto"/>
            <w:vAlign w:val="bottom"/>
          </w:tcPr>
          <w:p w14:paraId="1A755C1F" w14:textId="77777777" w:rsidR="00A52778" w:rsidRPr="00460F9E" w:rsidRDefault="00A52778" w:rsidP="00FC3F8E">
            <w:pPr>
              <w:spacing w:line="0" w:lineRule="atLeast"/>
              <w:rPr>
                <w:rFonts w:eastAsia="Times New Roman" w:cs="Times New Roman"/>
                <w:b/>
                <w:sz w:val="18"/>
              </w:rPr>
            </w:pPr>
          </w:p>
        </w:tc>
        <w:tc>
          <w:tcPr>
            <w:tcW w:w="860" w:type="dxa"/>
            <w:shd w:val="clear" w:color="auto" w:fill="auto"/>
            <w:vAlign w:val="bottom"/>
          </w:tcPr>
          <w:p w14:paraId="235BE33C" w14:textId="77777777" w:rsidR="00A52778" w:rsidRPr="00460F9E" w:rsidRDefault="00A52778" w:rsidP="00FC3F8E">
            <w:pPr>
              <w:spacing w:line="0" w:lineRule="atLeast"/>
              <w:rPr>
                <w:rFonts w:eastAsia="Times New Roman" w:cs="Times New Roman"/>
                <w:b/>
                <w:sz w:val="18"/>
              </w:rPr>
            </w:pPr>
          </w:p>
        </w:tc>
        <w:tc>
          <w:tcPr>
            <w:tcW w:w="200" w:type="dxa"/>
            <w:shd w:val="clear" w:color="auto" w:fill="auto"/>
            <w:vAlign w:val="bottom"/>
          </w:tcPr>
          <w:p w14:paraId="172943B3" w14:textId="77777777" w:rsidR="00A52778" w:rsidRPr="00460F9E" w:rsidRDefault="00A52778" w:rsidP="00FC3F8E">
            <w:pPr>
              <w:spacing w:line="0" w:lineRule="atLeast"/>
              <w:rPr>
                <w:rFonts w:eastAsia="Times New Roman" w:cs="Times New Roman"/>
                <w:b/>
                <w:sz w:val="18"/>
              </w:rPr>
            </w:pPr>
          </w:p>
        </w:tc>
        <w:tc>
          <w:tcPr>
            <w:tcW w:w="500" w:type="dxa"/>
            <w:tcBorders>
              <w:right w:val="single" w:sz="8" w:space="0" w:color="auto"/>
            </w:tcBorders>
            <w:shd w:val="clear" w:color="auto" w:fill="auto"/>
            <w:vAlign w:val="bottom"/>
          </w:tcPr>
          <w:p w14:paraId="2516E7C5" w14:textId="77777777" w:rsidR="00A52778" w:rsidRPr="00460F9E" w:rsidRDefault="00A52778" w:rsidP="00FC3F8E">
            <w:pPr>
              <w:spacing w:line="0" w:lineRule="atLeast"/>
              <w:rPr>
                <w:rFonts w:eastAsia="Times New Roman" w:cs="Times New Roman"/>
                <w:b/>
                <w:sz w:val="18"/>
              </w:rPr>
            </w:pPr>
          </w:p>
        </w:tc>
      </w:tr>
      <w:tr w:rsidR="00A52778" w:rsidRPr="00460F9E" w14:paraId="13A30809" w14:textId="77777777" w:rsidTr="00FC3F8E">
        <w:trPr>
          <w:trHeight w:val="115"/>
        </w:trPr>
        <w:tc>
          <w:tcPr>
            <w:tcW w:w="380" w:type="dxa"/>
            <w:vMerge/>
            <w:tcBorders>
              <w:left w:val="single" w:sz="8" w:space="0" w:color="auto"/>
              <w:right w:val="single" w:sz="8" w:space="0" w:color="auto"/>
            </w:tcBorders>
            <w:shd w:val="clear" w:color="auto" w:fill="auto"/>
            <w:vAlign w:val="bottom"/>
          </w:tcPr>
          <w:p w14:paraId="223E5F2F" w14:textId="77777777" w:rsidR="00A52778" w:rsidRPr="00460F9E" w:rsidRDefault="00A52778" w:rsidP="00FC3F8E">
            <w:pPr>
              <w:spacing w:line="0" w:lineRule="atLeast"/>
              <w:rPr>
                <w:rFonts w:eastAsia="Times New Roman" w:cs="Times New Roman"/>
                <w:b/>
                <w:sz w:val="10"/>
              </w:rPr>
            </w:pPr>
          </w:p>
        </w:tc>
        <w:tc>
          <w:tcPr>
            <w:tcW w:w="2640" w:type="dxa"/>
            <w:gridSpan w:val="2"/>
            <w:vMerge/>
            <w:tcBorders>
              <w:right w:val="single" w:sz="8" w:space="0" w:color="auto"/>
            </w:tcBorders>
            <w:shd w:val="clear" w:color="auto" w:fill="auto"/>
            <w:vAlign w:val="bottom"/>
          </w:tcPr>
          <w:p w14:paraId="4DD6430C" w14:textId="77777777" w:rsidR="00A52778" w:rsidRPr="00460F9E" w:rsidRDefault="00A52778" w:rsidP="00FC3F8E">
            <w:pPr>
              <w:spacing w:line="0" w:lineRule="atLeast"/>
              <w:ind w:left="100"/>
              <w:rPr>
                <w:rFonts w:eastAsia="Times New Roman" w:cs="Times New Roman"/>
                <w:b/>
              </w:rPr>
            </w:pPr>
          </w:p>
        </w:tc>
        <w:tc>
          <w:tcPr>
            <w:tcW w:w="2140" w:type="dxa"/>
            <w:gridSpan w:val="3"/>
            <w:vMerge/>
            <w:shd w:val="clear" w:color="auto" w:fill="auto"/>
            <w:vAlign w:val="bottom"/>
          </w:tcPr>
          <w:p w14:paraId="2FD70D4F" w14:textId="77777777" w:rsidR="00A52778" w:rsidRPr="00460F9E" w:rsidRDefault="00A52778" w:rsidP="00FC3F8E">
            <w:pPr>
              <w:spacing w:line="0" w:lineRule="atLeast"/>
              <w:rPr>
                <w:rFonts w:eastAsia="Times New Roman" w:cs="Times New Roman"/>
                <w:b/>
                <w:sz w:val="10"/>
              </w:rPr>
            </w:pPr>
          </w:p>
        </w:tc>
        <w:tc>
          <w:tcPr>
            <w:tcW w:w="280" w:type="dxa"/>
            <w:shd w:val="clear" w:color="auto" w:fill="auto"/>
            <w:vAlign w:val="bottom"/>
          </w:tcPr>
          <w:p w14:paraId="68266364" w14:textId="77777777" w:rsidR="00A52778" w:rsidRPr="00460F9E" w:rsidRDefault="00A52778" w:rsidP="00FC3F8E">
            <w:pPr>
              <w:spacing w:line="0" w:lineRule="atLeast"/>
              <w:rPr>
                <w:rFonts w:eastAsia="Times New Roman" w:cs="Times New Roman"/>
                <w:b/>
                <w:sz w:val="10"/>
              </w:rPr>
            </w:pPr>
          </w:p>
        </w:tc>
        <w:tc>
          <w:tcPr>
            <w:tcW w:w="980" w:type="dxa"/>
            <w:shd w:val="clear" w:color="auto" w:fill="auto"/>
            <w:vAlign w:val="bottom"/>
          </w:tcPr>
          <w:p w14:paraId="23BFEF69" w14:textId="77777777" w:rsidR="00A52778" w:rsidRPr="00460F9E" w:rsidRDefault="00A52778" w:rsidP="00FC3F8E">
            <w:pPr>
              <w:spacing w:line="0" w:lineRule="atLeast"/>
              <w:rPr>
                <w:rFonts w:eastAsia="Times New Roman" w:cs="Times New Roman"/>
                <w:b/>
                <w:sz w:val="10"/>
              </w:rPr>
            </w:pPr>
          </w:p>
        </w:tc>
        <w:tc>
          <w:tcPr>
            <w:tcW w:w="360" w:type="dxa"/>
            <w:shd w:val="clear" w:color="auto" w:fill="auto"/>
            <w:vAlign w:val="bottom"/>
          </w:tcPr>
          <w:p w14:paraId="15506132" w14:textId="77777777" w:rsidR="00A52778" w:rsidRPr="00460F9E" w:rsidRDefault="00A52778" w:rsidP="00FC3F8E">
            <w:pPr>
              <w:spacing w:line="0" w:lineRule="atLeast"/>
              <w:rPr>
                <w:rFonts w:eastAsia="Times New Roman" w:cs="Times New Roman"/>
                <w:b/>
                <w:sz w:val="10"/>
              </w:rPr>
            </w:pPr>
          </w:p>
        </w:tc>
        <w:tc>
          <w:tcPr>
            <w:tcW w:w="420" w:type="dxa"/>
            <w:shd w:val="clear" w:color="auto" w:fill="auto"/>
            <w:vAlign w:val="bottom"/>
          </w:tcPr>
          <w:p w14:paraId="47AD6AAB" w14:textId="77777777" w:rsidR="00A52778" w:rsidRPr="00460F9E" w:rsidRDefault="00A52778" w:rsidP="00FC3F8E">
            <w:pPr>
              <w:spacing w:line="0" w:lineRule="atLeast"/>
              <w:rPr>
                <w:rFonts w:eastAsia="Times New Roman" w:cs="Times New Roman"/>
                <w:b/>
                <w:sz w:val="10"/>
              </w:rPr>
            </w:pPr>
          </w:p>
        </w:tc>
        <w:tc>
          <w:tcPr>
            <w:tcW w:w="860" w:type="dxa"/>
            <w:shd w:val="clear" w:color="auto" w:fill="auto"/>
            <w:vAlign w:val="bottom"/>
          </w:tcPr>
          <w:p w14:paraId="62E2021A" w14:textId="77777777" w:rsidR="00A52778" w:rsidRPr="00460F9E" w:rsidRDefault="00A52778" w:rsidP="00FC3F8E">
            <w:pPr>
              <w:spacing w:line="0" w:lineRule="atLeast"/>
              <w:rPr>
                <w:rFonts w:eastAsia="Times New Roman" w:cs="Times New Roman"/>
                <w:b/>
                <w:sz w:val="10"/>
              </w:rPr>
            </w:pPr>
          </w:p>
        </w:tc>
        <w:tc>
          <w:tcPr>
            <w:tcW w:w="200" w:type="dxa"/>
            <w:shd w:val="clear" w:color="auto" w:fill="auto"/>
            <w:vAlign w:val="bottom"/>
          </w:tcPr>
          <w:p w14:paraId="13779370" w14:textId="77777777" w:rsidR="00A52778" w:rsidRPr="00460F9E" w:rsidRDefault="00A52778" w:rsidP="00FC3F8E">
            <w:pPr>
              <w:spacing w:line="0" w:lineRule="atLeast"/>
              <w:rPr>
                <w:rFonts w:eastAsia="Times New Roman" w:cs="Times New Roman"/>
                <w:b/>
                <w:sz w:val="10"/>
              </w:rPr>
            </w:pPr>
          </w:p>
        </w:tc>
        <w:tc>
          <w:tcPr>
            <w:tcW w:w="500" w:type="dxa"/>
            <w:tcBorders>
              <w:right w:val="single" w:sz="8" w:space="0" w:color="auto"/>
            </w:tcBorders>
            <w:shd w:val="clear" w:color="auto" w:fill="auto"/>
            <w:vAlign w:val="bottom"/>
          </w:tcPr>
          <w:p w14:paraId="6D5FEA0E" w14:textId="77777777" w:rsidR="00A52778" w:rsidRPr="00460F9E" w:rsidRDefault="00A52778" w:rsidP="00FC3F8E">
            <w:pPr>
              <w:spacing w:line="0" w:lineRule="atLeast"/>
              <w:rPr>
                <w:rFonts w:eastAsia="Times New Roman" w:cs="Times New Roman"/>
                <w:b/>
                <w:sz w:val="10"/>
              </w:rPr>
            </w:pPr>
          </w:p>
        </w:tc>
      </w:tr>
      <w:tr w:rsidR="00A52778" w:rsidRPr="00460F9E" w14:paraId="195CADE5" w14:textId="77777777" w:rsidTr="00FC3F8E">
        <w:trPr>
          <w:trHeight w:val="118"/>
        </w:trPr>
        <w:tc>
          <w:tcPr>
            <w:tcW w:w="380" w:type="dxa"/>
            <w:tcBorders>
              <w:left w:val="single" w:sz="8" w:space="0" w:color="auto"/>
              <w:bottom w:val="single" w:sz="8" w:space="0" w:color="auto"/>
              <w:right w:val="single" w:sz="8" w:space="0" w:color="auto"/>
            </w:tcBorders>
            <w:shd w:val="clear" w:color="auto" w:fill="auto"/>
            <w:vAlign w:val="bottom"/>
          </w:tcPr>
          <w:p w14:paraId="7077F8F0" w14:textId="77777777" w:rsidR="00A52778" w:rsidRPr="00460F9E" w:rsidRDefault="00A52778" w:rsidP="00FC3F8E">
            <w:pPr>
              <w:spacing w:line="0" w:lineRule="atLeast"/>
              <w:rPr>
                <w:rFonts w:eastAsia="Times New Roman" w:cs="Times New Roman"/>
                <w:b/>
                <w:sz w:val="10"/>
              </w:rPr>
            </w:pPr>
          </w:p>
        </w:tc>
        <w:tc>
          <w:tcPr>
            <w:tcW w:w="2640" w:type="dxa"/>
            <w:gridSpan w:val="2"/>
            <w:vMerge/>
            <w:tcBorders>
              <w:bottom w:val="single" w:sz="8" w:space="0" w:color="auto"/>
              <w:right w:val="single" w:sz="8" w:space="0" w:color="auto"/>
            </w:tcBorders>
            <w:shd w:val="clear" w:color="auto" w:fill="auto"/>
            <w:vAlign w:val="bottom"/>
          </w:tcPr>
          <w:p w14:paraId="45960DD1" w14:textId="77777777" w:rsidR="00A52778" w:rsidRPr="00460F9E" w:rsidRDefault="00A52778" w:rsidP="00FC3F8E">
            <w:pPr>
              <w:spacing w:line="0" w:lineRule="atLeast"/>
              <w:rPr>
                <w:rFonts w:eastAsia="Times New Roman" w:cs="Times New Roman"/>
                <w:b/>
                <w:sz w:val="10"/>
              </w:rPr>
            </w:pPr>
          </w:p>
        </w:tc>
        <w:tc>
          <w:tcPr>
            <w:tcW w:w="440" w:type="dxa"/>
            <w:tcBorders>
              <w:bottom w:val="single" w:sz="8" w:space="0" w:color="auto"/>
            </w:tcBorders>
            <w:shd w:val="clear" w:color="auto" w:fill="auto"/>
            <w:vAlign w:val="bottom"/>
          </w:tcPr>
          <w:p w14:paraId="289CE3DE" w14:textId="77777777" w:rsidR="00A52778" w:rsidRPr="00460F9E" w:rsidRDefault="00A52778" w:rsidP="00FC3F8E">
            <w:pPr>
              <w:spacing w:line="0" w:lineRule="atLeast"/>
              <w:rPr>
                <w:rFonts w:eastAsia="Times New Roman" w:cs="Times New Roman"/>
                <w:b/>
                <w:sz w:val="10"/>
              </w:rPr>
            </w:pPr>
          </w:p>
        </w:tc>
        <w:tc>
          <w:tcPr>
            <w:tcW w:w="840" w:type="dxa"/>
            <w:tcBorders>
              <w:bottom w:val="single" w:sz="8" w:space="0" w:color="auto"/>
            </w:tcBorders>
            <w:shd w:val="clear" w:color="auto" w:fill="auto"/>
            <w:vAlign w:val="bottom"/>
          </w:tcPr>
          <w:p w14:paraId="25DE866E" w14:textId="77777777" w:rsidR="00A52778" w:rsidRPr="00460F9E" w:rsidRDefault="00A52778" w:rsidP="00FC3F8E">
            <w:pPr>
              <w:spacing w:line="0" w:lineRule="atLeast"/>
              <w:rPr>
                <w:rFonts w:eastAsia="Times New Roman" w:cs="Times New Roman"/>
                <w:b/>
                <w:sz w:val="10"/>
              </w:rPr>
            </w:pPr>
          </w:p>
        </w:tc>
        <w:tc>
          <w:tcPr>
            <w:tcW w:w="860" w:type="dxa"/>
            <w:tcBorders>
              <w:bottom w:val="single" w:sz="8" w:space="0" w:color="auto"/>
            </w:tcBorders>
            <w:shd w:val="clear" w:color="auto" w:fill="auto"/>
            <w:vAlign w:val="bottom"/>
          </w:tcPr>
          <w:p w14:paraId="64D7E813" w14:textId="77777777" w:rsidR="00A52778" w:rsidRPr="00460F9E" w:rsidRDefault="00A52778" w:rsidP="00FC3F8E">
            <w:pPr>
              <w:spacing w:line="0" w:lineRule="atLeast"/>
              <w:rPr>
                <w:rFonts w:eastAsia="Times New Roman" w:cs="Times New Roman"/>
                <w:b/>
                <w:sz w:val="10"/>
              </w:rPr>
            </w:pPr>
          </w:p>
        </w:tc>
        <w:tc>
          <w:tcPr>
            <w:tcW w:w="280" w:type="dxa"/>
            <w:tcBorders>
              <w:bottom w:val="single" w:sz="8" w:space="0" w:color="auto"/>
            </w:tcBorders>
            <w:shd w:val="clear" w:color="auto" w:fill="auto"/>
            <w:vAlign w:val="bottom"/>
          </w:tcPr>
          <w:p w14:paraId="49EF10FF" w14:textId="77777777" w:rsidR="00A52778" w:rsidRPr="00460F9E" w:rsidRDefault="00A52778" w:rsidP="00FC3F8E">
            <w:pPr>
              <w:spacing w:line="0" w:lineRule="atLeast"/>
              <w:rPr>
                <w:rFonts w:eastAsia="Times New Roman" w:cs="Times New Roman"/>
                <w:b/>
                <w:sz w:val="10"/>
              </w:rPr>
            </w:pPr>
          </w:p>
        </w:tc>
        <w:tc>
          <w:tcPr>
            <w:tcW w:w="980" w:type="dxa"/>
            <w:tcBorders>
              <w:bottom w:val="single" w:sz="8" w:space="0" w:color="auto"/>
            </w:tcBorders>
            <w:shd w:val="clear" w:color="auto" w:fill="auto"/>
            <w:vAlign w:val="bottom"/>
          </w:tcPr>
          <w:p w14:paraId="736BD648" w14:textId="77777777" w:rsidR="00A52778" w:rsidRPr="00460F9E" w:rsidRDefault="00A52778" w:rsidP="00FC3F8E">
            <w:pPr>
              <w:spacing w:line="0" w:lineRule="atLeast"/>
              <w:rPr>
                <w:rFonts w:eastAsia="Times New Roman" w:cs="Times New Roman"/>
                <w:b/>
                <w:sz w:val="10"/>
              </w:rPr>
            </w:pPr>
          </w:p>
        </w:tc>
        <w:tc>
          <w:tcPr>
            <w:tcW w:w="360" w:type="dxa"/>
            <w:tcBorders>
              <w:bottom w:val="single" w:sz="8" w:space="0" w:color="auto"/>
            </w:tcBorders>
            <w:shd w:val="clear" w:color="auto" w:fill="auto"/>
            <w:vAlign w:val="bottom"/>
          </w:tcPr>
          <w:p w14:paraId="0B088B96" w14:textId="77777777" w:rsidR="00A52778" w:rsidRPr="00460F9E" w:rsidRDefault="00A52778" w:rsidP="00FC3F8E">
            <w:pPr>
              <w:spacing w:line="0" w:lineRule="atLeast"/>
              <w:rPr>
                <w:rFonts w:eastAsia="Times New Roman" w:cs="Times New Roman"/>
                <w:b/>
                <w:sz w:val="10"/>
              </w:rPr>
            </w:pPr>
          </w:p>
        </w:tc>
        <w:tc>
          <w:tcPr>
            <w:tcW w:w="420" w:type="dxa"/>
            <w:tcBorders>
              <w:bottom w:val="single" w:sz="8" w:space="0" w:color="auto"/>
            </w:tcBorders>
            <w:shd w:val="clear" w:color="auto" w:fill="auto"/>
            <w:vAlign w:val="bottom"/>
          </w:tcPr>
          <w:p w14:paraId="61DF9DAE" w14:textId="77777777" w:rsidR="00A52778" w:rsidRPr="00460F9E" w:rsidRDefault="00A52778" w:rsidP="00FC3F8E">
            <w:pPr>
              <w:spacing w:line="0" w:lineRule="atLeast"/>
              <w:rPr>
                <w:rFonts w:eastAsia="Times New Roman" w:cs="Times New Roman"/>
                <w:b/>
                <w:sz w:val="10"/>
              </w:rPr>
            </w:pPr>
          </w:p>
        </w:tc>
        <w:tc>
          <w:tcPr>
            <w:tcW w:w="860" w:type="dxa"/>
            <w:tcBorders>
              <w:bottom w:val="single" w:sz="8" w:space="0" w:color="auto"/>
            </w:tcBorders>
            <w:shd w:val="clear" w:color="auto" w:fill="auto"/>
            <w:vAlign w:val="bottom"/>
          </w:tcPr>
          <w:p w14:paraId="5AB11226" w14:textId="77777777" w:rsidR="00A52778" w:rsidRPr="00460F9E" w:rsidRDefault="00A52778" w:rsidP="00FC3F8E">
            <w:pPr>
              <w:spacing w:line="0" w:lineRule="atLeast"/>
              <w:rPr>
                <w:rFonts w:eastAsia="Times New Roman" w:cs="Times New Roman"/>
                <w:b/>
                <w:sz w:val="10"/>
              </w:rPr>
            </w:pPr>
          </w:p>
        </w:tc>
        <w:tc>
          <w:tcPr>
            <w:tcW w:w="200" w:type="dxa"/>
            <w:tcBorders>
              <w:bottom w:val="single" w:sz="8" w:space="0" w:color="auto"/>
            </w:tcBorders>
            <w:shd w:val="clear" w:color="auto" w:fill="auto"/>
            <w:vAlign w:val="bottom"/>
          </w:tcPr>
          <w:p w14:paraId="561211E5" w14:textId="77777777" w:rsidR="00A52778" w:rsidRPr="00460F9E" w:rsidRDefault="00A52778" w:rsidP="00FC3F8E">
            <w:pPr>
              <w:spacing w:line="0" w:lineRule="atLeast"/>
              <w:rPr>
                <w:rFonts w:eastAsia="Times New Roman" w:cs="Times New Roman"/>
                <w:b/>
                <w:sz w:val="10"/>
              </w:rPr>
            </w:pPr>
          </w:p>
        </w:tc>
        <w:tc>
          <w:tcPr>
            <w:tcW w:w="500" w:type="dxa"/>
            <w:tcBorders>
              <w:bottom w:val="single" w:sz="8" w:space="0" w:color="auto"/>
              <w:right w:val="single" w:sz="8" w:space="0" w:color="auto"/>
            </w:tcBorders>
            <w:shd w:val="clear" w:color="auto" w:fill="auto"/>
            <w:vAlign w:val="bottom"/>
          </w:tcPr>
          <w:p w14:paraId="0E457315" w14:textId="77777777" w:rsidR="00A52778" w:rsidRPr="00460F9E" w:rsidRDefault="00A52778" w:rsidP="00FC3F8E">
            <w:pPr>
              <w:spacing w:line="0" w:lineRule="atLeast"/>
              <w:rPr>
                <w:rFonts w:eastAsia="Times New Roman" w:cs="Times New Roman"/>
                <w:b/>
                <w:sz w:val="10"/>
              </w:rPr>
            </w:pPr>
          </w:p>
        </w:tc>
      </w:tr>
      <w:tr w:rsidR="00A52778" w:rsidRPr="00460F9E" w14:paraId="148A18CA" w14:textId="77777777" w:rsidTr="00FC3F8E">
        <w:trPr>
          <w:trHeight w:val="332"/>
        </w:trPr>
        <w:tc>
          <w:tcPr>
            <w:tcW w:w="380" w:type="dxa"/>
            <w:tcBorders>
              <w:left w:val="single" w:sz="8" w:space="0" w:color="auto"/>
              <w:bottom w:val="nil"/>
              <w:right w:val="single" w:sz="8" w:space="0" w:color="auto"/>
            </w:tcBorders>
            <w:shd w:val="clear" w:color="auto" w:fill="auto"/>
            <w:vAlign w:val="bottom"/>
          </w:tcPr>
          <w:p w14:paraId="1387E5B0" w14:textId="77777777" w:rsidR="00A52778" w:rsidRPr="00460F9E" w:rsidRDefault="00A52778" w:rsidP="00FC3F8E">
            <w:pPr>
              <w:spacing w:line="0" w:lineRule="atLeast"/>
              <w:ind w:left="120"/>
              <w:rPr>
                <w:rFonts w:eastAsia="Times New Roman" w:cs="Times New Roman"/>
                <w:b/>
              </w:rPr>
            </w:pPr>
            <w:r>
              <w:rPr>
                <w:rFonts w:eastAsia="Times New Roman" w:cs="Times New Roman"/>
              </w:rPr>
              <w:t>d</w:t>
            </w:r>
            <w:r w:rsidRPr="00460F9E">
              <w:rPr>
                <w:rFonts w:eastAsia="Times New Roman" w:cs="Times New Roman"/>
              </w:rPr>
              <w:t>.</w:t>
            </w:r>
          </w:p>
        </w:tc>
        <w:tc>
          <w:tcPr>
            <w:tcW w:w="2640" w:type="dxa"/>
            <w:gridSpan w:val="2"/>
            <w:vMerge w:val="restart"/>
            <w:tcBorders>
              <w:bottom w:val="nil"/>
              <w:right w:val="single" w:sz="8" w:space="0" w:color="auto"/>
            </w:tcBorders>
            <w:shd w:val="clear" w:color="auto" w:fill="auto"/>
            <w:vAlign w:val="center"/>
          </w:tcPr>
          <w:p w14:paraId="5F834CF4"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Proses atık gazlarının   </w:t>
            </w:r>
          </w:p>
          <w:p w14:paraId="4B2C1970"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toplanması ve arıtılması</w:t>
            </w:r>
          </w:p>
        </w:tc>
        <w:tc>
          <w:tcPr>
            <w:tcW w:w="5740" w:type="dxa"/>
            <w:gridSpan w:val="10"/>
            <w:vMerge w:val="restart"/>
            <w:tcBorders>
              <w:bottom w:val="nil"/>
              <w:right w:val="single" w:sz="8" w:space="0" w:color="auto"/>
            </w:tcBorders>
            <w:shd w:val="clear" w:color="auto" w:fill="auto"/>
            <w:vAlign w:val="bottom"/>
          </w:tcPr>
          <w:p w14:paraId="75D8ADA2"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 xml:space="preserve">d.  şıkkındaki tekniğin kullanımından kaynaklanan proses dışı gazlar toplanır ve VCM geri kazanımına (bkz. MET 28) ve/veya azaltımına (bkz. MET 29) gönderilir. </w:t>
            </w:r>
          </w:p>
        </w:tc>
      </w:tr>
      <w:tr w:rsidR="00A52778" w:rsidRPr="00460F9E" w14:paraId="546521BD" w14:textId="77777777" w:rsidTr="00FC3F8E">
        <w:trPr>
          <w:trHeight w:val="118"/>
        </w:trPr>
        <w:tc>
          <w:tcPr>
            <w:tcW w:w="380" w:type="dxa"/>
            <w:tcBorders>
              <w:left w:val="single" w:sz="8" w:space="0" w:color="auto"/>
              <w:bottom w:val="single" w:sz="8" w:space="0" w:color="auto"/>
              <w:right w:val="single" w:sz="8" w:space="0" w:color="auto"/>
            </w:tcBorders>
            <w:shd w:val="clear" w:color="auto" w:fill="auto"/>
            <w:vAlign w:val="bottom"/>
          </w:tcPr>
          <w:p w14:paraId="10E5B775" w14:textId="77777777" w:rsidR="00A52778" w:rsidRPr="00460F9E" w:rsidRDefault="00A52778" w:rsidP="00FC3F8E">
            <w:pPr>
              <w:spacing w:line="0" w:lineRule="atLeast"/>
              <w:rPr>
                <w:rFonts w:eastAsia="Times New Roman" w:cs="Times New Roman"/>
                <w:b/>
                <w:sz w:val="10"/>
              </w:rPr>
            </w:pPr>
          </w:p>
        </w:tc>
        <w:tc>
          <w:tcPr>
            <w:tcW w:w="2640" w:type="dxa"/>
            <w:gridSpan w:val="2"/>
            <w:vMerge/>
            <w:tcBorders>
              <w:bottom w:val="single" w:sz="8" w:space="0" w:color="auto"/>
              <w:right w:val="single" w:sz="8" w:space="0" w:color="auto"/>
            </w:tcBorders>
            <w:shd w:val="clear" w:color="auto" w:fill="auto"/>
            <w:vAlign w:val="bottom"/>
          </w:tcPr>
          <w:p w14:paraId="57BBAE36" w14:textId="77777777" w:rsidR="00A52778" w:rsidRPr="00460F9E" w:rsidRDefault="00A52778" w:rsidP="00FC3F8E">
            <w:pPr>
              <w:spacing w:line="0" w:lineRule="atLeast"/>
              <w:rPr>
                <w:rFonts w:eastAsia="Times New Roman" w:cs="Times New Roman"/>
                <w:b/>
                <w:sz w:val="10"/>
              </w:rPr>
            </w:pPr>
          </w:p>
        </w:tc>
        <w:tc>
          <w:tcPr>
            <w:tcW w:w="5740" w:type="dxa"/>
            <w:gridSpan w:val="10"/>
            <w:vMerge/>
            <w:tcBorders>
              <w:left w:val="single" w:sz="8" w:space="0" w:color="auto"/>
              <w:bottom w:val="single" w:sz="8" w:space="0" w:color="auto"/>
              <w:right w:val="single" w:sz="8" w:space="0" w:color="auto"/>
            </w:tcBorders>
            <w:shd w:val="clear" w:color="auto" w:fill="auto"/>
            <w:vAlign w:val="bottom"/>
          </w:tcPr>
          <w:p w14:paraId="56173BFC" w14:textId="77777777" w:rsidR="00A52778" w:rsidRPr="00460F9E" w:rsidRDefault="00A52778" w:rsidP="00FC3F8E">
            <w:pPr>
              <w:spacing w:line="0" w:lineRule="atLeast"/>
              <w:rPr>
                <w:rFonts w:eastAsia="Times New Roman" w:cs="Times New Roman"/>
                <w:b/>
                <w:sz w:val="10"/>
              </w:rPr>
            </w:pPr>
          </w:p>
        </w:tc>
      </w:tr>
    </w:tbl>
    <w:p w14:paraId="46CC3EC7" w14:textId="77777777" w:rsidR="00A52778" w:rsidRPr="00460F9E" w:rsidRDefault="00A52778" w:rsidP="00A52778">
      <w:pPr>
        <w:spacing w:line="200" w:lineRule="exact"/>
        <w:rPr>
          <w:rFonts w:eastAsia="Times New Roman" w:cs="Times New Roman"/>
          <w:b/>
        </w:rPr>
      </w:pPr>
    </w:p>
    <w:p w14:paraId="24914072" w14:textId="77777777" w:rsidR="00A52778" w:rsidRPr="00460F9E" w:rsidRDefault="00A52778" w:rsidP="00A52778">
      <w:pPr>
        <w:spacing w:line="200" w:lineRule="exact"/>
        <w:rPr>
          <w:rFonts w:eastAsia="Times New Roman" w:cs="Times New Roman"/>
          <w:b/>
        </w:rPr>
      </w:pPr>
    </w:p>
    <w:p w14:paraId="73621B52" w14:textId="77777777" w:rsidR="00A52778" w:rsidRPr="00171C72" w:rsidRDefault="00A52778" w:rsidP="00A52778">
      <w:pPr>
        <w:tabs>
          <w:tab w:val="left" w:pos="1940"/>
        </w:tabs>
        <w:spacing w:line="234" w:lineRule="auto"/>
        <w:ind w:right="120"/>
        <w:rPr>
          <w:rFonts w:eastAsia="Times New Roman" w:cs="Times New Roman"/>
        </w:rPr>
      </w:pPr>
      <w:r w:rsidRPr="00171C72">
        <w:rPr>
          <w:rFonts w:eastAsia="Times New Roman" w:cs="Times New Roman"/>
        </w:rPr>
        <w:t xml:space="preserve">Spesifik emisyon yükleri olarak ifade edilen PVC üretiminden kaynaklanan VCM' nin </w:t>
      </w:r>
    </w:p>
    <w:p w14:paraId="15BF04B0" w14:textId="77777777" w:rsidR="00A52778" w:rsidRPr="00171C72" w:rsidRDefault="00A52778" w:rsidP="00A52778">
      <w:pPr>
        <w:tabs>
          <w:tab w:val="left" w:pos="1940"/>
        </w:tabs>
        <w:spacing w:line="234" w:lineRule="auto"/>
        <w:ind w:right="120"/>
        <w:rPr>
          <w:rFonts w:eastAsia="Times New Roman" w:cs="Times New Roman"/>
        </w:rPr>
      </w:pPr>
      <w:r w:rsidRPr="00460F9E">
        <w:rPr>
          <w:rFonts w:eastAsia="Times New Roman" w:cs="Times New Roman"/>
          <w:b/>
          <w:noProof/>
          <w:sz w:val="21"/>
          <w:lang w:val="tr-TR" w:eastAsia="tr-TR"/>
        </w:rPr>
        <mc:AlternateContent>
          <mc:Choice Requires="wps">
            <w:drawing>
              <wp:anchor distT="0" distB="0" distL="114300" distR="114300" simplePos="0" relativeHeight="251691008" behindDoc="1" locked="0" layoutInCell="1" allowOverlap="1" wp14:anchorId="47BC48F9" wp14:editId="1D4845B6">
                <wp:simplePos x="0" y="0"/>
                <wp:positionH relativeFrom="column">
                  <wp:posOffset>886</wp:posOffset>
                </wp:positionH>
                <wp:positionV relativeFrom="paragraph">
                  <wp:posOffset>446095</wp:posOffset>
                </wp:positionV>
                <wp:extent cx="0" cy="2708807"/>
                <wp:effectExtent l="0" t="0" r="19050" b="34925"/>
                <wp:wrapNone/>
                <wp:docPr id="128" name="Düz Bağlayıcı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8807"/>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0DF02" id="Düz Bağlayıcı 12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5.15pt" to=".05pt,2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" strokeweight=".16931mm"/>
            </w:pict>
          </mc:Fallback>
        </mc:AlternateContent>
      </w:r>
      <w:r w:rsidRPr="00460F9E">
        <w:rPr>
          <w:rFonts w:eastAsia="Times New Roman" w:cs="Times New Roman"/>
          <w:b/>
          <w:noProof/>
          <w:sz w:val="21"/>
          <w:lang w:val="tr-TR" w:eastAsia="tr-TR"/>
        </w:rPr>
        <mc:AlternateContent>
          <mc:Choice Requires="wps">
            <w:drawing>
              <wp:anchor distT="0" distB="0" distL="114300" distR="114300" simplePos="0" relativeHeight="251692032" behindDoc="1" locked="0" layoutInCell="1" allowOverlap="1" wp14:anchorId="78A71501" wp14:editId="3CDDC8EA">
                <wp:simplePos x="0" y="0"/>
                <wp:positionH relativeFrom="column">
                  <wp:posOffset>5540448</wp:posOffset>
                </wp:positionH>
                <wp:positionV relativeFrom="paragraph">
                  <wp:posOffset>446096</wp:posOffset>
                </wp:positionV>
                <wp:extent cx="3987" cy="2709368"/>
                <wp:effectExtent l="0" t="0" r="34290" b="34290"/>
                <wp:wrapNone/>
                <wp:docPr id="127" name="Düz Bağlayıcı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7" cy="27093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FC440" id="Düz Bağlayıcı 127" o:spid="_x0000_s1026" style="position:absolute;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25pt,35.15pt" to="436.5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" strokeweight=".48pt"/>
            </w:pict>
          </mc:Fallback>
        </mc:AlternateContent>
      </w:r>
      <w:r w:rsidRPr="00171C72">
        <w:rPr>
          <w:rFonts w:eastAsia="Times New Roman" w:cs="Times New Roman"/>
        </w:rPr>
        <w:t>havaya salınan toplam emisyonları için MET-ilişkili emisyon seviyeleri (MET-AEL' ler)</w:t>
      </w:r>
    </w:p>
    <w:tbl>
      <w:tblPr>
        <w:tblW w:w="0" w:type="auto"/>
        <w:tblLayout w:type="fixed"/>
        <w:tblCellMar>
          <w:left w:w="0" w:type="dxa"/>
          <w:right w:w="0" w:type="dxa"/>
        </w:tblCellMar>
        <w:tblLook w:val="0000" w:firstRow="0" w:lastRow="0" w:firstColumn="0" w:lastColumn="0" w:noHBand="0" w:noVBand="0"/>
      </w:tblPr>
      <w:tblGrid>
        <w:gridCol w:w="1240"/>
        <w:gridCol w:w="440"/>
        <w:gridCol w:w="4460"/>
        <w:gridCol w:w="340"/>
        <w:gridCol w:w="2309"/>
      </w:tblGrid>
      <w:tr w:rsidR="00A52778" w:rsidRPr="00460F9E" w14:paraId="28C96F32" w14:textId="77777777" w:rsidTr="00FC3F8E">
        <w:trPr>
          <w:trHeight w:val="119"/>
        </w:trPr>
        <w:tc>
          <w:tcPr>
            <w:tcW w:w="1240" w:type="dxa"/>
            <w:tcBorders>
              <w:bottom w:val="single" w:sz="8" w:space="0" w:color="auto"/>
            </w:tcBorders>
            <w:shd w:val="clear" w:color="auto" w:fill="auto"/>
            <w:vAlign w:val="bottom"/>
          </w:tcPr>
          <w:p w14:paraId="5C239CFE" w14:textId="77777777" w:rsidR="00A52778" w:rsidRPr="00460F9E" w:rsidRDefault="00A52778" w:rsidP="00FC3F8E">
            <w:pPr>
              <w:rPr>
                <w:rFonts w:eastAsia="Times New Roman" w:cs="Times New Roman"/>
                <w:b/>
                <w:sz w:val="10"/>
              </w:rPr>
            </w:pPr>
          </w:p>
        </w:tc>
        <w:tc>
          <w:tcPr>
            <w:tcW w:w="440" w:type="dxa"/>
            <w:tcBorders>
              <w:bottom w:val="single" w:sz="8" w:space="0" w:color="auto"/>
            </w:tcBorders>
            <w:shd w:val="clear" w:color="auto" w:fill="auto"/>
            <w:vAlign w:val="bottom"/>
          </w:tcPr>
          <w:p w14:paraId="5D4A99EF" w14:textId="77777777" w:rsidR="00A52778" w:rsidRPr="00460F9E" w:rsidRDefault="00A52778" w:rsidP="00FC3F8E">
            <w:pPr>
              <w:spacing w:line="0" w:lineRule="atLeast"/>
              <w:rPr>
                <w:rFonts w:eastAsia="Times New Roman" w:cs="Times New Roman"/>
                <w:b/>
                <w:sz w:val="10"/>
              </w:rPr>
            </w:pPr>
          </w:p>
        </w:tc>
        <w:tc>
          <w:tcPr>
            <w:tcW w:w="4460" w:type="dxa"/>
            <w:tcBorders>
              <w:bottom w:val="single" w:sz="8" w:space="0" w:color="auto"/>
            </w:tcBorders>
            <w:shd w:val="clear" w:color="auto" w:fill="auto"/>
            <w:vAlign w:val="bottom"/>
          </w:tcPr>
          <w:p w14:paraId="1200419D" w14:textId="77777777" w:rsidR="00A52778" w:rsidRPr="00460F9E" w:rsidRDefault="00A52778" w:rsidP="00FC3F8E">
            <w:pPr>
              <w:spacing w:line="0" w:lineRule="atLeast"/>
              <w:rPr>
                <w:rFonts w:eastAsia="Times New Roman" w:cs="Times New Roman"/>
                <w:b/>
                <w:sz w:val="10"/>
              </w:rPr>
            </w:pPr>
          </w:p>
        </w:tc>
        <w:tc>
          <w:tcPr>
            <w:tcW w:w="340" w:type="dxa"/>
            <w:tcBorders>
              <w:bottom w:val="single" w:sz="8" w:space="0" w:color="auto"/>
            </w:tcBorders>
            <w:shd w:val="clear" w:color="auto" w:fill="auto"/>
            <w:vAlign w:val="bottom"/>
          </w:tcPr>
          <w:p w14:paraId="2EE1EB12" w14:textId="77777777" w:rsidR="00A52778" w:rsidRPr="00460F9E" w:rsidRDefault="00A52778" w:rsidP="00FC3F8E">
            <w:pPr>
              <w:spacing w:line="0" w:lineRule="atLeast"/>
              <w:rPr>
                <w:rFonts w:eastAsia="Times New Roman" w:cs="Times New Roman"/>
                <w:b/>
                <w:sz w:val="10"/>
              </w:rPr>
            </w:pPr>
          </w:p>
        </w:tc>
        <w:tc>
          <w:tcPr>
            <w:tcW w:w="2309" w:type="dxa"/>
            <w:tcBorders>
              <w:bottom w:val="single" w:sz="8" w:space="0" w:color="auto"/>
            </w:tcBorders>
            <w:shd w:val="clear" w:color="auto" w:fill="auto"/>
            <w:vAlign w:val="bottom"/>
          </w:tcPr>
          <w:p w14:paraId="2C03CC82" w14:textId="77777777" w:rsidR="00A52778" w:rsidRPr="00460F9E" w:rsidRDefault="00A52778" w:rsidP="00FC3F8E">
            <w:pPr>
              <w:spacing w:line="0" w:lineRule="atLeast"/>
              <w:rPr>
                <w:rFonts w:eastAsia="Times New Roman" w:cs="Times New Roman"/>
                <w:b/>
                <w:sz w:val="10"/>
              </w:rPr>
            </w:pPr>
          </w:p>
        </w:tc>
      </w:tr>
      <w:tr w:rsidR="00A52778" w:rsidRPr="00460F9E" w14:paraId="1A530637" w14:textId="77777777" w:rsidTr="00FC3F8E">
        <w:trPr>
          <w:trHeight w:val="281"/>
        </w:trPr>
        <w:tc>
          <w:tcPr>
            <w:tcW w:w="1240" w:type="dxa"/>
            <w:vMerge w:val="restart"/>
            <w:shd w:val="clear" w:color="auto" w:fill="auto"/>
            <w:vAlign w:val="bottom"/>
          </w:tcPr>
          <w:p w14:paraId="52BB8E14" w14:textId="77777777" w:rsidR="00A52778" w:rsidRPr="00D476CA" w:rsidRDefault="00A52778" w:rsidP="00FC3F8E">
            <w:pPr>
              <w:spacing w:line="0" w:lineRule="atLeast"/>
              <w:ind w:left="420"/>
              <w:rPr>
                <w:rFonts w:eastAsia="Times New Roman" w:cs="Times New Roman"/>
                <w:w w:val="96"/>
              </w:rPr>
            </w:pPr>
            <w:r w:rsidRPr="00D476CA">
              <w:rPr>
                <w:rFonts w:eastAsia="Times New Roman" w:cs="Times New Roman"/>
                <w:w w:val="96"/>
              </w:rPr>
              <w:t>PVC türü</w:t>
            </w:r>
          </w:p>
        </w:tc>
        <w:tc>
          <w:tcPr>
            <w:tcW w:w="440" w:type="dxa"/>
            <w:tcBorders>
              <w:right w:val="single" w:sz="8" w:space="0" w:color="auto"/>
            </w:tcBorders>
            <w:shd w:val="clear" w:color="auto" w:fill="auto"/>
            <w:vAlign w:val="bottom"/>
          </w:tcPr>
          <w:p w14:paraId="004688F6" w14:textId="77777777" w:rsidR="00A52778" w:rsidRPr="00D476CA" w:rsidRDefault="00A52778" w:rsidP="00FC3F8E">
            <w:pPr>
              <w:spacing w:line="0" w:lineRule="atLeast"/>
              <w:rPr>
                <w:rFonts w:eastAsia="Times New Roman" w:cs="Times New Roman"/>
              </w:rPr>
            </w:pPr>
          </w:p>
        </w:tc>
        <w:tc>
          <w:tcPr>
            <w:tcW w:w="4460" w:type="dxa"/>
            <w:vMerge w:val="restart"/>
            <w:tcBorders>
              <w:right w:val="single" w:sz="8" w:space="0" w:color="auto"/>
            </w:tcBorders>
            <w:shd w:val="clear" w:color="auto" w:fill="auto"/>
            <w:vAlign w:val="bottom"/>
          </w:tcPr>
          <w:p w14:paraId="2D00E3DD" w14:textId="77777777" w:rsidR="00A52778" w:rsidRPr="00D476CA" w:rsidRDefault="00A52778" w:rsidP="00FC3F8E">
            <w:pPr>
              <w:spacing w:line="0" w:lineRule="atLeast"/>
              <w:jc w:val="center"/>
              <w:rPr>
                <w:rFonts w:eastAsia="Times New Roman" w:cs="Times New Roman"/>
              </w:rPr>
            </w:pPr>
            <w:r w:rsidRPr="00D476CA">
              <w:rPr>
                <w:rFonts w:eastAsia="Times New Roman" w:cs="Times New Roman"/>
              </w:rPr>
              <w:t>Birim</w:t>
            </w:r>
          </w:p>
        </w:tc>
        <w:tc>
          <w:tcPr>
            <w:tcW w:w="340" w:type="dxa"/>
            <w:shd w:val="clear" w:color="auto" w:fill="auto"/>
            <w:vAlign w:val="bottom"/>
          </w:tcPr>
          <w:p w14:paraId="16326C5B" w14:textId="77777777" w:rsidR="00A52778" w:rsidRPr="00D476CA" w:rsidRDefault="00A52778" w:rsidP="00FC3F8E">
            <w:pPr>
              <w:spacing w:line="0" w:lineRule="atLeast"/>
              <w:rPr>
                <w:rFonts w:eastAsia="Times New Roman" w:cs="Times New Roman"/>
              </w:rPr>
            </w:pPr>
          </w:p>
        </w:tc>
        <w:tc>
          <w:tcPr>
            <w:tcW w:w="2309" w:type="dxa"/>
            <w:shd w:val="clear" w:color="auto" w:fill="auto"/>
            <w:vAlign w:val="bottom"/>
          </w:tcPr>
          <w:p w14:paraId="2773A378" w14:textId="77777777" w:rsidR="00A52778" w:rsidRPr="00D476CA" w:rsidRDefault="00A52778" w:rsidP="00FC3F8E">
            <w:pPr>
              <w:spacing w:line="0" w:lineRule="atLeast"/>
              <w:ind w:right="280"/>
              <w:jc w:val="center"/>
              <w:rPr>
                <w:rFonts w:eastAsia="Times New Roman" w:cs="Times New Roman"/>
                <w:w w:val="98"/>
              </w:rPr>
            </w:pPr>
            <w:r w:rsidRPr="00D476CA">
              <w:rPr>
                <w:rFonts w:eastAsia="Times New Roman" w:cs="Times New Roman"/>
                <w:w w:val="98"/>
              </w:rPr>
              <w:t>MET -AEL</w:t>
            </w:r>
          </w:p>
        </w:tc>
      </w:tr>
      <w:tr w:rsidR="00A52778" w:rsidRPr="00460F9E" w14:paraId="44053AF8" w14:textId="77777777" w:rsidTr="00FC3F8E">
        <w:trPr>
          <w:trHeight w:val="144"/>
        </w:trPr>
        <w:tc>
          <w:tcPr>
            <w:tcW w:w="1240" w:type="dxa"/>
            <w:vMerge/>
            <w:shd w:val="clear" w:color="auto" w:fill="auto"/>
            <w:vAlign w:val="bottom"/>
          </w:tcPr>
          <w:p w14:paraId="7E223ABA" w14:textId="77777777" w:rsidR="00A52778" w:rsidRPr="00D476CA" w:rsidRDefault="00A52778" w:rsidP="00FC3F8E">
            <w:pPr>
              <w:spacing w:line="0" w:lineRule="atLeast"/>
              <w:rPr>
                <w:rFonts w:eastAsia="Times New Roman" w:cs="Times New Roman"/>
                <w:sz w:val="12"/>
              </w:rPr>
            </w:pPr>
          </w:p>
        </w:tc>
        <w:tc>
          <w:tcPr>
            <w:tcW w:w="440" w:type="dxa"/>
            <w:tcBorders>
              <w:right w:val="single" w:sz="8" w:space="0" w:color="auto"/>
            </w:tcBorders>
            <w:shd w:val="clear" w:color="auto" w:fill="auto"/>
            <w:vAlign w:val="bottom"/>
          </w:tcPr>
          <w:p w14:paraId="0233EE1B" w14:textId="77777777" w:rsidR="00A52778" w:rsidRPr="00D476CA" w:rsidRDefault="00A52778" w:rsidP="00FC3F8E">
            <w:pPr>
              <w:spacing w:line="0" w:lineRule="atLeast"/>
              <w:rPr>
                <w:rFonts w:eastAsia="Times New Roman" w:cs="Times New Roman"/>
                <w:sz w:val="12"/>
              </w:rPr>
            </w:pPr>
          </w:p>
        </w:tc>
        <w:tc>
          <w:tcPr>
            <w:tcW w:w="4460" w:type="dxa"/>
            <w:vMerge/>
            <w:tcBorders>
              <w:right w:val="single" w:sz="8" w:space="0" w:color="auto"/>
            </w:tcBorders>
            <w:shd w:val="clear" w:color="auto" w:fill="auto"/>
            <w:vAlign w:val="bottom"/>
          </w:tcPr>
          <w:p w14:paraId="1D423117" w14:textId="77777777" w:rsidR="00A52778" w:rsidRPr="00D476CA" w:rsidRDefault="00A52778" w:rsidP="00FC3F8E">
            <w:pPr>
              <w:spacing w:line="0" w:lineRule="atLeast"/>
              <w:rPr>
                <w:rFonts w:eastAsia="Times New Roman" w:cs="Times New Roman"/>
                <w:sz w:val="12"/>
              </w:rPr>
            </w:pPr>
          </w:p>
        </w:tc>
        <w:tc>
          <w:tcPr>
            <w:tcW w:w="340" w:type="dxa"/>
            <w:shd w:val="clear" w:color="auto" w:fill="auto"/>
            <w:vAlign w:val="bottom"/>
          </w:tcPr>
          <w:p w14:paraId="0F620A70" w14:textId="77777777" w:rsidR="00A52778" w:rsidRPr="00D476CA" w:rsidRDefault="00A52778" w:rsidP="00FC3F8E">
            <w:pPr>
              <w:spacing w:line="0" w:lineRule="atLeast"/>
              <w:rPr>
                <w:rFonts w:eastAsia="Times New Roman" w:cs="Times New Roman"/>
                <w:sz w:val="12"/>
              </w:rPr>
            </w:pPr>
          </w:p>
        </w:tc>
        <w:tc>
          <w:tcPr>
            <w:tcW w:w="2309" w:type="dxa"/>
            <w:vMerge w:val="restart"/>
            <w:shd w:val="clear" w:color="auto" w:fill="auto"/>
            <w:vAlign w:val="bottom"/>
          </w:tcPr>
          <w:p w14:paraId="3F373551" w14:textId="77777777" w:rsidR="00A52778" w:rsidRPr="00D476CA" w:rsidRDefault="00A52778" w:rsidP="00FC3F8E">
            <w:pPr>
              <w:spacing w:line="0" w:lineRule="atLeast"/>
              <w:ind w:right="260"/>
              <w:jc w:val="center"/>
              <w:rPr>
                <w:rFonts w:eastAsia="Times New Roman" w:cs="Times New Roman"/>
                <w:w w:val="99"/>
              </w:rPr>
            </w:pPr>
            <w:r w:rsidRPr="00D476CA">
              <w:rPr>
                <w:rFonts w:eastAsia="Times New Roman" w:cs="Times New Roman"/>
                <w:w w:val="99"/>
              </w:rPr>
              <w:t>(Yıllık ortalama)</w:t>
            </w:r>
          </w:p>
        </w:tc>
      </w:tr>
      <w:tr w:rsidR="00A52778" w:rsidRPr="00460F9E" w14:paraId="74B0563D" w14:textId="77777777" w:rsidTr="00FC3F8E">
        <w:trPr>
          <w:trHeight w:val="144"/>
        </w:trPr>
        <w:tc>
          <w:tcPr>
            <w:tcW w:w="1240" w:type="dxa"/>
            <w:shd w:val="clear" w:color="auto" w:fill="auto"/>
            <w:vAlign w:val="bottom"/>
          </w:tcPr>
          <w:p w14:paraId="17B40E11" w14:textId="77777777" w:rsidR="00A52778" w:rsidRPr="00460F9E" w:rsidRDefault="00A52778" w:rsidP="00FC3F8E">
            <w:pPr>
              <w:spacing w:line="0" w:lineRule="atLeast"/>
              <w:rPr>
                <w:rFonts w:eastAsia="Times New Roman" w:cs="Times New Roman"/>
                <w:b/>
                <w:sz w:val="12"/>
              </w:rPr>
            </w:pPr>
          </w:p>
        </w:tc>
        <w:tc>
          <w:tcPr>
            <w:tcW w:w="440" w:type="dxa"/>
            <w:tcBorders>
              <w:right w:val="single" w:sz="8" w:space="0" w:color="auto"/>
            </w:tcBorders>
            <w:shd w:val="clear" w:color="auto" w:fill="auto"/>
            <w:vAlign w:val="bottom"/>
          </w:tcPr>
          <w:p w14:paraId="718C7113" w14:textId="77777777" w:rsidR="00A52778" w:rsidRPr="00460F9E" w:rsidRDefault="00A52778" w:rsidP="00FC3F8E">
            <w:pPr>
              <w:spacing w:line="0" w:lineRule="atLeast"/>
              <w:rPr>
                <w:rFonts w:eastAsia="Times New Roman" w:cs="Times New Roman"/>
                <w:b/>
                <w:sz w:val="12"/>
              </w:rPr>
            </w:pPr>
          </w:p>
        </w:tc>
        <w:tc>
          <w:tcPr>
            <w:tcW w:w="4460" w:type="dxa"/>
            <w:tcBorders>
              <w:right w:val="single" w:sz="8" w:space="0" w:color="auto"/>
            </w:tcBorders>
            <w:shd w:val="clear" w:color="auto" w:fill="auto"/>
            <w:vAlign w:val="bottom"/>
          </w:tcPr>
          <w:p w14:paraId="33DACA02" w14:textId="77777777" w:rsidR="00A52778" w:rsidRPr="00460F9E" w:rsidRDefault="00A52778" w:rsidP="00FC3F8E">
            <w:pPr>
              <w:spacing w:line="0" w:lineRule="atLeast"/>
              <w:rPr>
                <w:rFonts w:eastAsia="Times New Roman" w:cs="Times New Roman"/>
                <w:b/>
                <w:sz w:val="12"/>
              </w:rPr>
            </w:pPr>
          </w:p>
        </w:tc>
        <w:tc>
          <w:tcPr>
            <w:tcW w:w="340" w:type="dxa"/>
            <w:shd w:val="clear" w:color="auto" w:fill="auto"/>
            <w:vAlign w:val="bottom"/>
          </w:tcPr>
          <w:p w14:paraId="6B847BFA" w14:textId="77777777" w:rsidR="00A52778" w:rsidRPr="00460F9E" w:rsidRDefault="00A52778" w:rsidP="00FC3F8E">
            <w:pPr>
              <w:spacing w:line="0" w:lineRule="atLeast"/>
              <w:rPr>
                <w:rFonts w:eastAsia="Times New Roman" w:cs="Times New Roman"/>
                <w:b/>
                <w:sz w:val="12"/>
              </w:rPr>
            </w:pPr>
          </w:p>
        </w:tc>
        <w:tc>
          <w:tcPr>
            <w:tcW w:w="2309" w:type="dxa"/>
            <w:vMerge/>
            <w:shd w:val="clear" w:color="auto" w:fill="auto"/>
            <w:vAlign w:val="bottom"/>
          </w:tcPr>
          <w:p w14:paraId="54950A13" w14:textId="77777777" w:rsidR="00A52778" w:rsidRPr="00460F9E" w:rsidRDefault="00A52778" w:rsidP="00FC3F8E">
            <w:pPr>
              <w:spacing w:line="0" w:lineRule="atLeast"/>
              <w:rPr>
                <w:rFonts w:eastAsia="Times New Roman" w:cs="Times New Roman"/>
                <w:b/>
                <w:sz w:val="12"/>
              </w:rPr>
            </w:pPr>
          </w:p>
        </w:tc>
      </w:tr>
      <w:tr w:rsidR="00A52778" w:rsidRPr="00460F9E" w14:paraId="6F7C60A0" w14:textId="77777777" w:rsidTr="00FC3F8E">
        <w:trPr>
          <w:trHeight w:val="61"/>
        </w:trPr>
        <w:tc>
          <w:tcPr>
            <w:tcW w:w="1240" w:type="dxa"/>
            <w:tcBorders>
              <w:bottom w:val="single" w:sz="8" w:space="0" w:color="auto"/>
            </w:tcBorders>
            <w:shd w:val="clear" w:color="auto" w:fill="auto"/>
            <w:vAlign w:val="bottom"/>
          </w:tcPr>
          <w:p w14:paraId="2BE94C1C" w14:textId="77777777" w:rsidR="00A52778" w:rsidRPr="00460F9E" w:rsidRDefault="00A52778" w:rsidP="00FC3F8E">
            <w:pPr>
              <w:spacing w:line="0" w:lineRule="atLeast"/>
              <w:rPr>
                <w:rFonts w:eastAsia="Times New Roman" w:cs="Times New Roman"/>
                <w:b/>
                <w:sz w:val="5"/>
              </w:rPr>
            </w:pPr>
          </w:p>
        </w:tc>
        <w:tc>
          <w:tcPr>
            <w:tcW w:w="440" w:type="dxa"/>
            <w:tcBorders>
              <w:bottom w:val="single" w:sz="8" w:space="0" w:color="auto"/>
              <w:right w:val="single" w:sz="8" w:space="0" w:color="auto"/>
            </w:tcBorders>
            <w:shd w:val="clear" w:color="auto" w:fill="auto"/>
            <w:vAlign w:val="bottom"/>
          </w:tcPr>
          <w:p w14:paraId="3019A205" w14:textId="77777777" w:rsidR="00A52778" w:rsidRPr="00460F9E" w:rsidRDefault="00A52778" w:rsidP="00FC3F8E">
            <w:pPr>
              <w:spacing w:line="0" w:lineRule="atLeast"/>
              <w:rPr>
                <w:rFonts w:eastAsia="Times New Roman" w:cs="Times New Roman"/>
                <w:b/>
                <w:sz w:val="5"/>
              </w:rPr>
            </w:pPr>
          </w:p>
        </w:tc>
        <w:tc>
          <w:tcPr>
            <w:tcW w:w="4460" w:type="dxa"/>
            <w:tcBorders>
              <w:bottom w:val="single" w:sz="8" w:space="0" w:color="auto"/>
              <w:right w:val="single" w:sz="8" w:space="0" w:color="auto"/>
            </w:tcBorders>
            <w:shd w:val="clear" w:color="auto" w:fill="auto"/>
            <w:vAlign w:val="bottom"/>
          </w:tcPr>
          <w:p w14:paraId="6269571B" w14:textId="77777777" w:rsidR="00A52778" w:rsidRPr="00460F9E" w:rsidRDefault="00A52778" w:rsidP="00FC3F8E">
            <w:pPr>
              <w:spacing w:line="0" w:lineRule="atLeast"/>
              <w:rPr>
                <w:rFonts w:eastAsia="Times New Roman" w:cs="Times New Roman"/>
                <w:b/>
                <w:sz w:val="5"/>
              </w:rPr>
            </w:pPr>
          </w:p>
        </w:tc>
        <w:tc>
          <w:tcPr>
            <w:tcW w:w="340" w:type="dxa"/>
            <w:tcBorders>
              <w:bottom w:val="single" w:sz="8" w:space="0" w:color="auto"/>
            </w:tcBorders>
            <w:shd w:val="clear" w:color="auto" w:fill="auto"/>
            <w:vAlign w:val="bottom"/>
          </w:tcPr>
          <w:p w14:paraId="7E3F96F9" w14:textId="77777777" w:rsidR="00A52778" w:rsidRPr="00460F9E" w:rsidRDefault="00A52778" w:rsidP="00FC3F8E">
            <w:pPr>
              <w:spacing w:line="0" w:lineRule="atLeast"/>
              <w:rPr>
                <w:rFonts w:eastAsia="Times New Roman" w:cs="Times New Roman"/>
                <w:b/>
                <w:sz w:val="5"/>
              </w:rPr>
            </w:pPr>
          </w:p>
        </w:tc>
        <w:tc>
          <w:tcPr>
            <w:tcW w:w="2309" w:type="dxa"/>
            <w:tcBorders>
              <w:bottom w:val="single" w:sz="8" w:space="0" w:color="auto"/>
            </w:tcBorders>
            <w:shd w:val="clear" w:color="auto" w:fill="auto"/>
            <w:vAlign w:val="bottom"/>
          </w:tcPr>
          <w:p w14:paraId="688FCB6F" w14:textId="77777777" w:rsidR="00A52778" w:rsidRPr="00460F9E" w:rsidRDefault="00A52778" w:rsidP="00FC3F8E">
            <w:pPr>
              <w:spacing w:line="0" w:lineRule="atLeast"/>
              <w:rPr>
                <w:rFonts w:eastAsia="Times New Roman" w:cs="Times New Roman"/>
                <w:b/>
                <w:sz w:val="5"/>
              </w:rPr>
            </w:pPr>
          </w:p>
        </w:tc>
      </w:tr>
      <w:tr w:rsidR="00A52778" w:rsidRPr="00460F9E" w14:paraId="022EBF19" w14:textId="77777777" w:rsidTr="00FC3F8E">
        <w:trPr>
          <w:trHeight w:val="274"/>
        </w:trPr>
        <w:tc>
          <w:tcPr>
            <w:tcW w:w="1240" w:type="dxa"/>
            <w:shd w:val="clear" w:color="auto" w:fill="auto"/>
            <w:vAlign w:val="bottom"/>
          </w:tcPr>
          <w:p w14:paraId="1193CB45"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S-PVC</w:t>
            </w:r>
          </w:p>
        </w:tc>
        <w:tc>
          <w:tcPr>
            <w:tcW w:w="440" w:type="dxa"/>
            <w:tcBorders>
              <w:right w:val="single" w:sz="8" w:space="0" w:color="auto"/>
            </w:tcBorders>
            <w:shd w:val="clear" w:color="auto" w:fill="auto"/>
            <w:vAlign w:val="bottom"/>
          </w:tcPr>
          <w:p w14:paraId="6DE9D454" w14:textId="77777777" w:rsidR="00A52778" w:rsidRPr="00460F9E" w:rsidRDefault="00A52778" w:rsidP="00FC3F8E">
            <w:pPr>
              <w:spacing w:line="0" w:lineRule="atLeast"/>
              <w:rPr>
                <w:rFonts w:eastAsia="Times New Roman" w:cs="Times New Roman"/>
                <w:b/>
                <w:sz w:val="23"/>
              </w:rPr>
            </w:pPr>
          </w:p>
        </w:tc>
        <w:tc>
          <w:tcPr>
            <w:tcW w:w="4460" w:type="dxa"/>
            <w:vMerge w:val="restart"/>
            <w:tcBorders>
              <w:right w:val="single" w:sz="8" w:space="0" w:color="auto"/>
            </w:tcBorders>
            <w:shd w:val="clear" w:color="auto" w:fill="auto"/>
            <w:vAlign w:val="bottom"/>
          </w:tcPr>
          <w:p w14:paraId="3E83988C"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Üretilen her bir kg PVC için g VCM</w:t>
            </w:r>
          </w:p>
        </w:tc>
        <w:tc>
          <w:tcPr>
            <w:tcW w:w="340" w:type="dxa"/>
            <w:shd w:val="clear" w:color="auto" w:fill="auto"/>
            <w:vAlign w:val="bottom"/>
          </w:tcPr>
          <w:p w14:paraId="597FFA6A" w14:textId="77777777" w:rsidR="00A52778" w:rsidRPr="00460F9E" w:rsidRDefault="00A52778" w:rsidP="00FC3F8E">
            <w:pPr>
              <w:spacing w:line="0" w:lineRule="atLeast"/>
              <w:rPr>
                <w:rFonts w:eastAsia="Times New Roman" w:cs="Times New Roman"/>
                <w:b/>
                <w:sz w:val="23"/>
              </w:rPr>
            </w:pPr>
          </w:p>
        </w:tc>
        <w:tc>
          <w:tcPr>
            <w:tcW w:w="2309" w:type="dxa"/>
            <w:shd w:val="clear" w:color="auto" w:fill="auto"/>
            <w:vAlign w:val="bottom"/>
          </w:tcPr>
          <w:p w14:paraId="1DB6A042" w14:textId="77777777" w:rsidR="00A52778" w:rsidRPr="00460F9E" w:rsidRDefault="00A52778" w:rsidP="00FC3F8E">
            <w:pPr>
              <w:spacing w:line="0" w:lineRule="atLeast"/>
              <w:ind w:right="780"/>
              <w:jc w:val="right"/>
              <w:rPr>
                <w:rFonts w:eastAsia="Times New Roman" w:cs="Times New Roman"/>
                <w:b/>
              </w:rPr>
            </w:pPr>
            <w:r w:rsidRPr="00460F9E">
              <w:rPr>
                <w:rFonts w:eastAsia="Times New Roman" w:cs="Times New Roman"/>
              </w:rPr>
              <w:t>0.01-0.045</w:t>
            </w:r>
          </w:p>
        </w:tc>
      </w:tr>
      <w:tr w:rsidR="00A52778" w:rsidRPr="00460F9E" w14:paraId="157DF095" w14:textId="77777777" w:rsidTr="00FC3F8E">
        <w:trPr>
          <w:trHeight w:val="66"/>
        </w:trPr>
        <w:tc>
          <w:tcPr>
            <w:tcW w:w="1240" w:type="dxa"/>
            <w:tcBorders>
              <w:bottom w:val="single" w:sz="8" w:space="0" w:color="auto"/>
            </w:tcBorders>
            <w:shd w:val="clear" w:color="auto" w:fill="auto"/>
            <w:vAlign w:val="bottom"/>
          </w:tcPr>
          <w:p w14:paraId="5665E19F" w14:textId="77777777" w:rsidR="00A52778" w:rsidRPr="00460F9E" w:rsidRDefault="00A52778" w:rsidP="00FC3F8E">
            <w:pPr>
              <w:spacing w:line="0" w:lineRule="atLeast"/>
              <w:rPr>
                <w:rFonts w:eastAsia="Times New Roman" w:cs="Times New Roman"/>
                <w:b/>
                <w:sz w:val="5"/>
              </w:rPr>
            </w:pPr>
          </w:p>
        </w:tc>
        <w:tc>
          <w:tcPr>
            <w:tcW w:w="440" w:type="dxa"/>
            <w:tcBorders>
              <w:bottom w:val="single" w:sz="8" w:space="0" w:color="auto"/>
              <w:right w:val="single" w:sz="8" w:space="0" w:color="auto"/>
            </w:tcBorders>
            <w:shd w:val="clear" w:color="auto" w:fill="auto"/>
            <w:vAlign w:val="bottom"/>
          </w:tcPr>
          <w:p w14:paraId="1D8D6BCE" w14:textId="77777777" w:rsidR="00A52778" w:rsidRPr="00460F9E" w:rsidRDefault="00A52778" w:rsidP="00FC3F8E">
            <w:pPr>
              <w:spacing w:line="0" w:lineRule="atLeast"/>
              <w:rPr>
                <w:rFonts w:eastAsia="Times New Roman" w:cs="Times New Roman"/>
                <w:b/>
                <w:sz w:val="5"/>
              </w:rPr>
            </w:pPr>
          </w:p>
        </w:tc>
        <w:tc>
          <w:tcPr>
            <w:tcW w:w="4460" w:type="dxa"/>
            <w:vMerge/>
            <w:tcBorders>
              <w:right w:val="single" w:sz="8" w:space="0" w:color="auto"/>
            </w:tcBorders>
            <w:shd w:val="clear" w:color="auto" w:fill="auto"/>
            <w:vAlign w:val="bottom"/>
          </w:tcPr>
          <w:p w14:paraId="556D7C8D" w14:textId="77777777" w:rsidR="00A52778" w:rsidRPr="00460F9E" w:rsidRDefault="00A52778" w:rsidP="00FC3F8E">
            <w:pPr>
              <w:spacing w:line="0" w:lineRule="atLeast"/>
              <w:rPr>
                <w:rFonts w:eastAsia="Times New Roman" w:cs="Times New Roman"/>
                <w:b/>
                <w:sz w:val="5"/>
              </w:rPr>
            </w:pPr>
          </w:p>
        </w:tc>
        <w:tc>
          <w:tcPr>
            <w:tcW w:w="340" w:type="dxa"/>
            <w:tcBorders>
              <w:bottom w:val="single" w:sz="8" w:space="0" w:color="auto"/>
            </w:tcBorders>
            <w:shd w:val="clear" w:color="auto" w:fill="auto"/>
            <w:vAlign w:val="bottom"/>
          </w:tcPr>
          <w:p w14:paraId="64500855" w14:textId="77777777" w:rsidR="00A52778" w:rsidRPr="00460F9E" w:rsidRDefault="00A52778" w:rsidP="00FC3F8E">
            <w:pPr>
              <w:spacing w:line="0" w:lineRule="atLeast"/>
              <w:rPr>
                <w:rFonts w:eastAsia="Times New Roman" w:cs="Times New Roman"/>
                <w:b/>
                <w:sz w:val="5"/>
              </w:rPr>
            </w:pPr>
          </w:p>
        </w:tc>
        <w:tc>
          <w:tcPr>
            <w:tcW w:w="2309" w:type="dxa"/>
            <w:tcBorders>
              <w:bottom w:val="single" w:sz="8" w:space="0" w:color="auto"/>
            </w:tcBorders>
            <w:shd w:val="clear" w:color="auto" w:fill="auto"/>
            <w:vAlign w:val="bottom"/>
          </w:tcPr>
          <w:p w14:paraId="6D5CA049" w14:textId="77777777" w:rsidR="00A52778" w:rsidRPr="00460F9E" w:rsidRDefault="00A52778" w:rsidP="00FC3F8E">
            <w:pPr>
              <w:spacing w:line="0" w:lineRule="atLeast"/>
              <w:rPr>
                <w:rFonts w:eastAsia="Times New Roman" w:cs="Times New Roman"/>
                <w:b/>
                <w:sz w:val="5"/>
              </w:rPr>
            </w:pPr>
          </w:p>
        </w:tc>
      </w:tr>
      <w:tr w:rsidR="00A52778" w:rsidRPr="00460F9E" w14:paraId="1DDC7DDD" w14:textId="77777777" w:rsidTr="00FC3F8E">
        <w:trPr>
          <w:trHeight w:val="54"/>
        </w:trPr>
        <w:tc>
          <w:tcPr>
            <w:tcW w:w="1240" w:type="dxa"/>
            <w:vMerge w:val="restart"/>
            <w:shd w:val="clear" w:color="auto" w:fill="auto"/>
            <w:vAlign w:val="bottom"/>
          </w:tcPr>
          <w:p w14:paraId="1B833283"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E-PVC</w:t>
            </w:r>
          </w:p>
        </w:tc>
        <w:tc>
          <w:tcPr>
            <w:tcW w:w="440" w:type="dxa"/>
            <w:tcBorders>
              <w:right w:val="single" w:sz="8" w:space="0" w:color="auto"/>
            </w:tcBorders>
            <w:shd w:val="clear" w:color="auto" w:fill="auto"/>
            <w:vAlign w:val="bottom"/>
          </w:tcPr>
          <w:p w14:paraId="13358FC7" w14:textId="77777777" w:rsidR="00A52778" w:rsidRPr="00460F9E" w:rsidRDefault="00A52778" w:rsidP="00FC3F8E">
            <w:pPr>
              <w:spacing w:line="0" w:lineRule="atLeast"/>
              <w:rPr>
                <w:rFonts w:eastAsia="Times New Roman" w:cs="Times New Roman"/>
                <w:b/>
                <w:sz w:val="8"/>
              </w:rPr>
            </w:pPr>
          </w:p>
        </w:tc>
        <w:tc>
          <w:tcPr>
            <w:tcW w:w="4460" w:type="dxa"/>
            <w:vMerge/>
            <w:tcBorders>
              <w:right w:val="single" w:sz="8" w:space="0" w:color="auto"/>
            </w:tcBorders>
            <w:shd w:val="clear" w:color="auto" w:fill="auto"/>
            <w:vAlign w:val="bottom"/>
          </w:tcPr>
          <w:p w14:paraId="08D98403" w14:textId="77777777" w:rsidR="00A52778" w:rsidRPr="00460F9E" w:rsidRDefault="00A52778" w:rsidP="00FC3F8E">
            <w:pPr>
              <w:spacing w:line="0" w:lineRule="atLeast"/>
              <w:rPr>
                <w:rFonts w:eastAsia="Times New Roman" w:cs="Times New Roman"/>
                <w:b/>
                <w:sz w:val="8"/>
              </w:rPr>
            </w:pPr>
          </w:p>
        </w:tc>
        <w:tc>
          <w:tcPr>
            <w:tcW w:w="340" w:type="dxa"/>
            <w:shd w:val="clear" w:color="auto" w:fill="auto"/>
            <w:vAlign w:val="bottom"/>
          </w:tcPr>
          <w:p w14:paraId="1BAA1BD8" w14:textId="77777777" w:rsidR="00A52778" w:rsidRPr="00460F9E" w:rsidRDefault="00A52778" w:rsidP="00FC3F8E">
            <w:pPr>
              <w:spacing w:line="0" w:lineRule="atLeast"/>
              <w:rPr>
                <w:rFonts w:eastAsia="Times New Roman" w:cs="Times New Roman"/>
                <w:b/>
                <w:sz w:val="8"/>
              </w:rPr>
            </w:pPr>
          </w:p>
        </w:tc>
        <w:tc>
          <w:tcPr>
            <w:tcW w:w="2309" w:type="dxa"/>
            <w:vMerge w:val="restart"/>
            <w:shd w:val="clear" w:color="auto" w:fill="auto"/>
            <w:vAlign w:val="bottom"/>
          </w:tcPr>
          <w:p w14:paraId="67FADC26" w14:textId="77777777" w:rsidR="00A52778" w:rsidRPr="00460F9E" w:rsidRDefault="00A52778" w:rsidP="00FC3F8E">
            <w:pPr>
              <w:spacing w:line="0" w:lineRule="atLeast"/>
              <w:ind w:right="740"/>
              <w:jc w:val="center"/>
              <w:rPr>
                <w:rFonts w:eastAsia="Times New Roman" w:cs="Times New Roman"/>
                <w:b/>
              </w:rPr>
            </w:pPr>
            <w:r w:rsidRPr="00460F9E">
              <w:rPr>
                <w:rFonts w:eastAsia="Times New Roman" w:cs="Times New Roman"/>
              </w:rPr>
              <w:t>0.25-0.3 (</w:t>
            </w:r>
            <w:r w:rsidRPr="00460F9E">
              <w:rPr>
                <w:rFonts w:eastAsia="Times New Roman" w:cs="Times New Roman"/>
                <w:sz w:val="25"/>
                <w:vertAlign w:val="superscript"/>
              </w:rPr>
              <w:t>1</w:t>
            </w:r>
            <w:r w:rsidRPr="00460F9E">
              <w:rPr>
                <w:rFonts w:eastAsia="Times New Roman" w:cs="Times New Roman"/>
              </w:rPr>
              <w:t>)</w:t>
            </w:r>
          </w:p>
        </w:tc>
      </w:tr>
      <w:tr w:rsidR="00A52778" w:rsidRPr="00460F9E" w14:paraId="4404142E" w14:textId="77777777" w:rsidTr="00FC3F8E">
        <w:trPr>
          <w:trHeight w:val="246"/>
        </w:trPr>
        <w:tc>
          <w:tcPr>
            <w:tcW w:w="1240" w:type="dxa"/>
            <w:vMerge/>
            <w:tcBorders>
              <w:bottom w:val="single" w:sz="8" w:space="0" w:color="auto"/>
            </w:tcBorders>
            <w:shd w:val="clear" w:color="auto" w:fill="auto"/>
            <w:vAlign w:val="bottom"/>
          </w:tcPr>
          <w:p w14:paraId="2ED55BE1" w14:textId="77777777" w:rsidR="00A52778" w:rsidRPr="00460F9E" w:rsidRDefault="00A52778" w:rsidP="00FC3F8E">
            <w:pPr>
              <w:spacing w:line="0" w:lineRule="atLeast"/>
              <w:rPr>
                <w:rFonts w:eastAsia="Times New Roman" w:cs="Times New Roman"/>
                <w:b/>
                <w:sz w:val="21"/>
              </w:rPr>
            </w:pPr>
          </w:p>
        </w:tc>
        <w:tc>
          <w:tcPr>
            <w:tcW w:w="440" w:type="dxa"/>
            <w:tcBorders>
              <w:bottom w:val="single" w:sz="8" w:space="0" w:color="auto"/>
              <w:right w:val="single" w:sz="8" w:space="0" w:color="auto"/>
            </w:tcBorders>
            <w:shd w:val="clear" w:color="auto" w:fill="auto"/>
            <w:vAlign w:val="bottom"/>
          </w:tcPr>
          <w:p w14:paraId="4A32A359" w14:textId="77777777" w:rsidR="00A52778" w:rsidRPr="00460F9E" w:rsidRDefault="00A52778" w:rsidP="00FC3F8E">
            <w:pPr>
              <w:spacing w:line="0" w:lineRule="atLeast"/>
              <w:rPr>
                <w:rFonts w:eastAsia="Times New Roman" w:cs="Times New Roman"/>
                <w:b/>
                <w:sz w:val="21"/>
              </w:rPr>
            </w:pPr>
          </w:p>
        </w:tc>
        <w:tc>
          <w:tcPr>
            <w:tcW w:w="4460" w:type="dxa"/>
            <w:tcBorders>
              <w:bottom w:val="single" w:sz="8" w:space="0" w:color="auto"/>
              <w:right w:val="single" w:sz="8" w:space="0" w:color="auto"/>
            </w:tcBorders>
            <w:shd w:val="clear" w:color="auto" w:fill="auto"/>
            <w:vAlign w:val="bottom"/>
          </w:tcPr>
          <w:p w14:paraId="13B17AA8" w14:textId="77777777" w:rsidR="00A52778" w:rsidRPr="00460F9E" w:rsidRDefault="00A52778" w:rsidP="00FC3F8E">
            <w:pPr>
              <w:spacing w:line="0" w:lineRule="atLeast"/>
              <w:rPr>
                <w:rFonts w:eastAsia="Times New Roman" w:cs="Times New Roman"/>
                <w:b/>
                <w:sz w:val="21"/>
              </w:rPr>
            </w:pPr>
          </w:p>
        </w:tc>
        <w:tc>
          <w:tcPr>
            <w:tcW w:w="340" w:type="dxa"/>
            <w:tcBorders>
              <w:bottom w:val="single" w:sz="8" w:space="0" w:color="auto"/>
            </w:tcBorders>
            <w:shd w:val="clear" w:color="auto" w:fill="auto"/>
            <w:vAlign w:val="bottom"/>
          </w:tcPr>
          <w:p w14:paraId="1ABB3309" w14:textId="77777777" w:rsidR="00A52778" w:rsidRPr="00460F9E" w:rsidRDefault="00A52778" w:rsidP="00FC3F8E">
            <w:pPr>
              <w:spacing w:line="0" w:lineRule="atLeast"/>
              <w:rPr>
                <w:rFonts w:eastAsia="Times New Roman" w:cs="Times New Roman"/>
                <w:b/>
                <w:sz w:val="21"/>
              </w:rPr>
            </w:pPr>
          </w:p>
        </w:tc>
        <w:tc>
          <w:tcPr>
            <w:tcW w:w="2309" w:type="dxa"/>
            <w:vMerge/>
            <w:tcBorders>
              <w:bottom w:val="single" w:sz="8" w:space="0" w:color="auto"/>
            </w:tcBorders>
            <w:shd w:val="clear" w:color="auto" w:fill="auto"/>
            <w:vAlign w:val="bottom"/>
          </w:tcPr>
          <w:p w14:paraId="1AA195FF" w14:textId="77777777" w:rsidR="00A52778" w:rsidRPr="00460F9E" w:rsidRDefault="00A52778" w:rsidP="00FC3F8E">
            <w:pPr>
              <w:spacing w:line="0" w:lineRule="atLeast"/>
              <w:rPr>
                <w:rFonts w:eastAsia="Times New Roman" w:cs="Times New Roman"/>
                <w:b/>
                <w:sz w:val="21"/>
              </w:rPr>
            </w:pPr>
          </w:p>
        </w:tc>
      </w:tr>
    </w:tbl>
    <w:p w14:paraId="6B86F98E" w14:textId="77777777" w:rsidR="00A52778" w:rsidRPr="00460F9E" w:rsidRDefault="00A52778" w:rsidP="00A52778">
      <w:pPr>
        <w:spacing w:line="20" w:lineRule="exact"/>
        <w:rPr>
          <w:rFonts w:eastAsia="Times New Roman" w:cs="Times New Roman"/>
          <w:b/>
        </w:rPr>
      </w:pPr>
    </w:p>
    <w:p w14:paraId="3420BC6A" w14:textId="77777777" w:rsidR="00A52778" w:rsidRPr="00460F9E" w:rsidRDefault="00A52778" w:rsidP="00A52778">
      <w:pPr>
        <w:spacing w:line="203" w:lineRule="auto"/>
        <w:ind w:left="400" w:right="826" w:hanging="283"/>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1</w:t>
      </w:r>
      <w:r w:rsidRPr="00460F9E">
        <w:rPr>
          <w:rFonts w:eastAsia="Times New Roman" w:cs="Times New Roman"/>
          <w:sz w:val="18"/>
        </w:rPr>
        <w:t>) MET-AEL aralığının üst sınırı daha yüksek olabilir ve aşağıdaki koşulların her ikisinin de karşılanması halinde üretilen PVC kg başına 0.5 g VCM' ye kadar çıkabilir:</w:t>
      </w:r>
    </w:p>
    <w:p w14:paraId="66E903D9" w14:textId="77777777" w:rsidR="00A52778" w:rsidRPr="00460F9E" w:rsidRDefault="00A52778" w:rsidP="00A52778">
      <w:pPr>
        <w:spacing w:line="0" w:lineRule="atLeast"/>
        <w:ind w:left="400"/>
        <w:rPr>
          <w:rFonts w:eastAsia="Times New Roman" w:cs="Times New Roman"/>
          <w:b/>
          <w:sz w:val="18"/>
        </w:rPr>
      </w:pPr>
      <w:r w:rsidRPr="00460F9E">
        <w:rPr>
          <w:rFonts w:eastAsia="Arial" w:cs="Times New Roman"/>
        </w:rPr>
        <w:t>•</w:t>
      </w:r>
      <w:r w:rsidRPr="00460F9E">
        <w:rPr>
          <w:rFonts w:eastAsia="Times New Roman" w:cs="Times New Roman"/>
          <w:sz w:val="18"/>
        </w:rPr>
        <w:t xml:space="preserve"> termal oksidasyon uygulanamaz;</w:t>
      </w:r>
    </w:p>
    <w:p w14:paraId="144597C4" w14:textId="77777777" w:rsidR="00A52778" w:rsidRPr="00460F9E" w:rsidRDefault="00A52778" w:rsidP="00A52778">
      <w:pPr>
        <w:spacing w:line="234" w:lineRule="auto"/>
        <w:ind w:left="400"/>
        <w:rPr>
          <w:rFonts w:eastAsia="Times New Roman" w:cs="Times New Roman"/>
          <w:b/>
          <w:sz w:val="18"/>
        </w:rPr>
      </w:pPr>
      <w:r w:rsidRPr="00460F9E">
        <w:rPr>
          <w:rFonts w:eastAsia="Arial" w:cs="Times New Roman"/>
        </w:rPr>
        <w:t>•</w:t>
      </w:r>
      <w:r w:rsidRPr="00460F9E">
        <w:rPr>
          <w:rFonts w:eastAsia="Times New Roman" w:cs="Times New Roman"/>
          <w:sz w:val="18"/>
        </w:rPr>
        <w:t xml:space="preserve"> tesis, EDC ve VCM üretimi ile doğrudan ilişkili değildir.</w:t>
      </w:r>
    </w:p>
    <w:p w14:paraId="4CDBFE50" w14:textId="77777777" w:rsidR="00A52778" w:rsidRPr="00460F9E" w:rsidRDefault="00A52778" w:rsidP="00A52778">
      <w:pPr>
        <w:spacing w:line="20" w:lineRule="exact"/>
        <w:rPr>
          <w:rFonts w:eastAsia="Times New Roman" w:cs="Times New Roman"/>
          <w:b/>
        </w:rPr>
      </w:pPr>
      <w:r w:rsidRPr="00460F9E">
        <w:rPr>
          <w:rFonts w:eastAsia="Times New Roman" w:cs="Times New Roman"/>
          <w:b/>
          <w:noProof/>
          <w:sz w:val="18"/>
          <w:lang w:val="tr-TR" w:eastAsia="tr-TR"/>
        </w:rPr>
        <mc:AlternateContent>
          <mc:Choice Requires="wps">
            <w:drawing>
              <wp:anchor distT="0" distB="0" distL="114300" distR="114300" simplePos="0" relativeHeight="251693056" behindDoc="1" locked="0" layoutInCell="1" allowOverlap="1" wp14:anchorId="23719519" wp14:editId="57719C9F">
                <wp:simplePos x="0" y="0"/>
                <wp:positionH relativeFrom="column">
                  <wp:posOffset>0</wp:posOffset>
                </wp:positionH>
                <wp:positionV relativeFrom="paragraph">
                  <wp:posOffset>6350</wp:posOffset>
                </wp:positionV>
                <wp:extent cx="5543550" cy="0"/>
                <wp:effectExtent l="9525" t="6350" r="9525" b="12700"/>
                <wp:wrapNone/>
                <wp:docPr id="126" name="Düz Bağlayıcı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917C7" id="Düz Bağlayıcı 12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" strokeweight=".16931mm"/>
            </w:pict>
          </mc:Fallback>
        </mc:AlternateContent>
      </w:r>
    </w:p>
    <w:p w14:paraId="2EB8212C" w14:textId="77777777" w:rsidR="00A52778" w:rsidRPr="00460F9E" w:rsidRDefault="00A52778" w:rsidP="00A52778">
      <w:pPr>
        <w:spacing w:line="200" w:lineRule="exact"/>
        <w:rPr>
          <w:rFonts w:eastAsia="Times New Roman" w:cs="Times New Roman"/>
          <w:b/>
        </w:rPr>
      </w:pPr>
    </w:p>
    <w:p w14:paraId="68DD7437" w14:textId="77777777" w:rsidR="00A52778" w:rsidRPr="00460F9E" w:rsidRDefault="00A52778" w:rsidP="00A52778">
      <w:pPr>
        <w:spacing w:line="306" w:lineRule="exact"/>
        <w:rPr>
          <w:rFonts w:eastAsia="Times New Roman" w:cs="Times New Roman"/>
          <w:b/>
        </w:rPr>
      </w:pPr>
    </w:p>
    <w:p w14:paraId="12C05D04" w14:textId="77777777" w:rsidR="00A52778" w:rsidRPr="00460F9E" w:rsidRDefault="00A52778" w:rsidP="00A52778">
      <w:pPr>
        <w:spacing w:line="237" w:lineRule="auto"/>
        <w:ind w:left="120" w:right="826"/>
        <w:rPr>
          <w:rFonts w:eastAsia="Times New Roman" w:cs="Times New Roman"/>
          <w:b/>
        </w:rPr>
      </w:pPr>
      <w:r w:rsidRPr="00460F9E">
        <w:rPr>
          <w:rFonts w:eastAsia="Times New Roman" w:cs="Times New Roman"/>
        </w:rPr>
        <w:t>İlişkili izleme MET 20, MET 22, MET 26 ve MET 27' de verilmiştir. Havaya salınan VCM emisyonlarının izlenmesi, emisyonların MET 2' deki envanterde konuyla ilgili olarak tanımlanan aşağıdaki işlem adımlarından kaynaklanan tüm emisyonları içerir: son işlem, örneğin kurutma ve karıştırma; aktarma, taşıma ve depolama; reaktör açıklıkları; gaz depoları; atık su arıtma tesisleri; VCM ' nin geri kazanımı ve/veya azaltılması.</w:t>
      </w:r>
    </w:p>
    <w:p w14:paraId="78BD1FAB" w14:textId="77777777" w:rsidR="00A52778" w:rsidRPr="00460F9E" w:rsidRDefault="00A52778" w:rsidP="00A52778">
      <w:pPr>
        <w:spacing w:line="0" w:lineRule="atLeast"/>
        <w:rPr>
          <w:rFonts w:eastAsia="Times New Roman" w:cs="Times New Roman"/>
          <w:b/>
          <w:color w:val="0000FF"/>
        </w:rPr>
      </w:pPr>
      <w:bookmarkStart w:id="345" w:name="page325"/>
      <w:bookmarkEnd w:id="345"/>
    </w:p>
    <w:p w14:paraId="0A74CC53" w14:textId="77777777" w:rsidR="00A52778" w:rsidRPr="00460F9E" w:rsidRDefault="00A52778" w:rsidP="00A52778">
      <w:pPr>
        <w:spacing w:line="20" w:lineRule="exact"/>
        <w:rPr>
          <w:rFonts w:eastAsia="Times New Roman" w:cs="Times New Roman"/>
          <w:b/>
        </w:rPr>
      </w:pPr>
    </w:p>
    <w:p w14:paraId="3DCF4087" w14:textId="77777777" w:rsidR="00A52778" w:rsidRPr="00460F9E" w:rsidRDefault="00A52778" w:rsidP="00A52778">
      <w:pPr>
        <w:pStyle w:val="GvdeMetni"/>
      </w:pPr>
    </w:p>
    <w:p w14:paraId="52EB539B" w14:textId="77777777" w:rsidR="00A52778" w:rsidRPr="00460F9E" w:rsidRDefault="00A52778" w:rsidP="00A52778">
      <w:pPr>
        <w:pStyle w:val="GvdeMetni"/>
      </w:pPr>
      <w:r w:rsidRPr="00460F9E">
        <w:t>PVC sulu çamuru/lateks içindeki VCM konsantrasyonu için MET ile ilişkili emisyon seviyeleri (MET-AEL' ler)</w:t>
      </w:r>
    </w:p>
    <w:p w14:paraId="28F355F9" w14:textId="77777777" w:rsidR="00A52778" w:rsidRPr="00460F9E" w:rsidRDefault="00A52778" w:rsidP="00A52778">
      <w:pPr>
        <w:spacing w:line="102" w:lineRule="exact"/>
        <w:rPr>
          <w:rFonts w:eastAsia="Times New Roman" w:cs="Times New Roman"/>
          <w:b/>
        </w:rPr>
      </w:pPr>
    </w:p>
    <w:tbl>
      <w:tblPr>
        <w:tblW w:w="0" w:type="auto"/>
        <w:tblInd w:w="730" w:type="dxa"/>
        <w:tblLayout w:type="fixed"/>
        <w:tblCellMar>
          <w:left w:w="0" w:type="dxa"/>
          <w:right w:w="0" w:type="dxa"/>
        </w:tblCellMar>
        <w:tblLook w:val="0000" w:firstRow="0" w:lastRow="0" w:firstColumn="0" w:lastColumn="0" w:noHBand="0" w:noVBand="0"/>
      </w:tblPr>
      <w:tblGrid>
        <w:gridCol w:w="1440"/>
        <w:gridCol w:w="3800"/>
        <w:gridCol w:w="3520"/>
      </w:tblGrid>
      <w:tr w:rsidR="00A52778" w:rsidRPr="00460F9E" w14:paraId="386110D3" w14:textId="77777777" w:rsidTr="00FC3F8E">
        <w:trPr>
          <w:trHeight w:val="299"/>
        </w:trPr>
        <w:tc>
          <w:tcPr>
            <w:tcW w:w="1440" w:type="dxa"/>
            <w:vMerge w:val="restart"/>
            <w:tcBorders>
              <w:top w:val="single" w:sz="8" w:space="0" w:color="auto"/>
              <w:left w:val="single" w:sz="8" w:space="0" w:color="auto"/>
              <w:right w:val="single" w:sz="8" w:space="0" w:color="auto"/>
            </w:tcBorders>
            <w:shd w:val="clear" w:color="auto" w:fill="auto"/>
            <w:vAlign w:val="bottom"/>
          </w:tcPr>
          <w:p w14:paraId="1A36042E" w14:textId="77777777" w:rsidR="00A52778" w:rsidRPr="00460F9E" w:rsidRDefault="00A52778" w:rsidP="00FC3F8E">
            <w:pPr>
              <w:spacing w:line="0" w:lineRule="atLeast"/>
              <w:ind w:left="300"/>
              <w:rPr>
                <w:rFonts w:eastAsia="Times New Roman" w:cs="Times New Roman"/>
                <w:b/>
              </w:rPr>
            </w:pPr>
            <w:r w:rsidRPr="00460F9E">
              <w:rPr>
                <w:rFonts w:eastAsia="Times New Roman" w:cs="Times New Roman"/>
              </w:rPr>
              <w:t>PVC türü</w:t>
            </w:r>
          </w:p>
        </w:tc>
        <w:tc>
          <w:tcPr>
            <w:tcW w:w="3800" w:type="dxa"/>
            <w:vMerge w:val="restart"/>
            <w:tcBorders>
              <w:top w:val="single" w:sz="8" w:space="0" w:color="auto"/>
              <w:right w:val="single" w:sz="8" w:space="0" w:color="auto"/>
            </w:tcBorders>
            <w:shd w:val="clear" w:color="auto" w:fill="auto"/>
            <w:vAlign w:val="bottom"/>
          </w:tcPr>
          <w:p w14:paraId="254B2092"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Birim</w:t>
            </w:r>
          </w:p>
        </w:tc>
        <w:tc>
          <w:tcPr>
            <w:tcW w:w="3520" w:type="dxa"/>
            <w:tcBorders>
              <w:top w:val="single" w:sz="8" w:space="0" w:color="auto"/>
              <w:right w:val="single" w:sz="8" w:space="0" w:color="auto"/>
            </w:tcBorders>
            <w:shd w:val="clear" w:color="auto" w:fill="auto"/>
            <w:vAlign w:val="bottom"/>
          </w:tcPr>
          <w:p w14:paraId="4E2D3BEF" w14:textId="77777777" w:rsidR="00A52778" w:rsidRPr="00460F9E" w:rsidRDefault="00A52778" w:rsidP="00FC3F8E">
            <w:pPr>
              <w:spacing w:line="0" w:lineRule="atLeast"/>
              <w:jc w:val="center"/>
              <w:rPr>
                <w:rFonts w:eastAsia="Times New Roman" w:cs="Times New Roman"/>
                <w:b/>
                <w:w w:val="98"/>
              </w:rPr>
            </w:pPr>
            <w:r w:rsidRPr="00460F9E">
              <w:rPr>
                <w:rFonts w:eastAsia="Times New Roman" w:cs="Times New Roman"/>
                <w:w w:val="98"/>
              </w:rPr>
              <w:t>MET -AEL</w:t>
            </w:r>
          </w:p>
        </w:tc>
      </w:tr>
      <w:tr w:rsidR="00A52778" w:rsidRPr="00460F9E" w14:paraId="250D42E5" w14:textId="77777777" w:rsidTr="00FC3F8E">
        <w:trPr>
          <w:trHeight w:val="298"/>
        </w:trPr>
        <w:tc>
          <w:tcPr>
            <w:tcW w:w="1440" w:type="dxa"/>
            <w:vMerge/>
            <w:tcBorders>
              <w:left w:val="single" w:sz="8" w:space="0" w:color="auto"/>
              <w:right w:val="single" w:sz="8" w:space="0" w:color="auto"/>
            </w:tcBorders>
            <w:shd w:val="clear" w:color="auto" w:fill="auto"/>
            <w:vAlign w:val="bottom"/>
          </w:tcPr>
          <w:p w14:paraId="7ECF2FB0" w14:textId="77777777" w:rsidR="00A52778" w:rsidRPr="00460F9E" w:rsidRDefault="00A52778" w:rsidP="00FC3F8E">
            <w:pPr>
              <w:spacing w:line="0" w:lineRule="atLeast"/>
              <w:rPr>
                <w:rFonts w:eastAsia="Times New Roman" w:cs="Times New Roman"/>
                <w:b/>
                <w:sz w:val="12"/>
              </w:rPr>
            </w:pPr>
          </w:p>
        </w:tc>
        <w:tc>
          <w:tcPr>
            <w:tcW w:w="3800" w:type="dxa"/>
            <w:vMerge/>
            <w:tcBorders>
              <w:right w:val="single" w:sz="8" w:space="0" w:color="auto"/>
            </w:tcBorders>
            <w:shd w:val="clear" w:color="auto" w:fill="auto"/>
            <w:vAlign w:val="bottom"/>
          </w:tcPr>
          <w:p w14:paraId="6D656640" w14:textId="77777777" w:rsidR="00A52778" w:rsidRPr="00460F9E" w:rsidRDefault="00A52778" w:rsidP="00FC3F8E">
            <w:pPr>
              <w:spacing w:line="0" w:lineRule="atLeast"/>
              <w:rPr>
                <w:rFonts w:eastAsia="Times New Roman" w:cs="Times New Roman"/>
                <w:b/>
                <w:sz w:val="12"/>
              </w:rPr>
            </w:pPr>
          </w:p>
        </w:tc>
        <w:tc>
          <w:tcPr>
            <w:tcW w:w="3520" w:type="dxa"/>
            <w:vMerge w:val="restart"/>
            <w:tcBorders>
              <w:right w:val="single" w:sz="8" w:space="0" w:color="auto"/>
            </w:tcBorders>
            <w:shd w:val="clear" w:color="auto" w:fill="auto"/>
            <w:vAlign w:val="bottom"/>
          </w:tcPr>
          <w:p w14:paraId="66109411"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(Yıllık ortalama)</w:t>
            </w:r>
          </w:p>
        </w:tc>
      </w:tr>
      <w:tr w:rsidR="00A52778" w:rsidRPr="00460F9E" w14:paraId="67128678" w14:textId="77777777" w:rsidTr="00FC3F8E">
        <w:trPr>
          <w:trHeight w:val="144"/>
        </w:trPr>
        <w:tc>
          <w:tcPr>
            <w:tcW w:w="1440" w:type="dxa"/>
            <w:tcBorders>
              <w:left w:val="single" w:sz="8" w:space="0" w:color="auto"/>
              <w:right w:val="single" w:sz="8" w:space="0" w:color="auto"/>
            </w:tcBorders>
            <w:shd w:val="clear" w:color="auto" w:fill="auto"/>
            <w:vAlign w:val="bottom"/>
          </w:tcPr>
          <w:p w14:paraId="08CC0231" w14:textId="77777777" w:rsidR="00A52778" w:rsidRPr="00460F9E" w:rsidRDefault="00A52778" w:rsidP="00FC3F8E">
            <w:pPr>
              <w:spacing w:line="0" w:lineRule="atLeast"/>
              <w:rPr>
                <w:rFonts w:eastAsia="Times New Roman" w:cs="Times New Roman"/>
                <w:b/>
                <w:sz w:val="12"/>
              </w:rPr>
            </w:pPr>
          </w:p>
        </w:tc>
        <w:tc>
          <w:tcPr>
            <w:tcW w:w="3800" w:type="dxa"/>
            <w:tcBorders>
              <w:right w:val="single" w:sz="8" w:space="0" w:color="auto"/>
            </w:tcBorders>
            <w:shd w:val="clear" w:color="auto" w:fill="auto"/>
            <w:vAlign w:val="bottom"/>
          </w:tcPr>
          <w:p w14:paraId="157CD1B8" w14:textId="77777777" w:rsidR="00A52778" w:rsidRPr="00460F9E" w:rsidRDefault="00A52778" w:rsidP="00FC3F8E">
            <w:pPr>
              <w:spacing w:line="0" w:lineRule="atLeast"/>
              <w:rPr>
                <w:rFonts w:eastAsia="Times New Roman" w:cs="Times New Roman"/>
                <w:b/>
                <w:sz w:val="12"/>
              </w:rPr>
            </w:pPr>
          </w:p>
        </w:tc>
        <w:tc>
          <w:tcPr>
            <w:tcW w:w="3520" w:type="dxa"/>
            <w:vMerge/>
            <w:tcBorders>
              <w:right w:val="single" w:sz="8" w:space="0" w:color="auto"/>
            </w:tcBorders>
            <w:shd w:val="clear" w:color="auto" w:fill="auto"/>
            <w:vAlign w:val="bottom"/>
          </w:tcPr>
          <w:p w14:paraId="708630FE" w14:textId="77777777" w:rsidR="00A52778" w:rsidRPr="00460F9E" w:rsidRDefault="00A52778" w:rsidP="00FC3F8E">
            <w:pPr>
              <w:spacing w:line="0" w:lineRule="atLeast"/>
              <w:rPr>
                <w:rFonts w:eastAsia="Times New Roman" w:cs="Times New Roman"/>
                <w:b/>
                <w:sz w:val="12"/>
              </w:rPr>
            </w:pPr>
          </w:p>
        </w:tc>
      </w:tr>
      <w:tr w:rsidR="00A52778" w:rsidRPr="00460F9E" w14:paraId="09EFE607" w14:textId="77777777" w:rsidTr="00FC3F8E">
        <w:trPr>
          <w:trHeight w:val="61"/>
        </w:trPr>
        <w:tc>
          <w:tcPr>
            <w:tcW w:w="1440" w:type="dxa"/>
            <w:tcBorders>
              <w:left w:val="single" w:sz="8" w:space="0" w:color="auto"/>
              <w:bottom w:val="single" w:sz="8" w:space="0" w:color="auto"/>
              <w:right w:val="single" w:sz="8" w:space="0" w:color="auto"/>
            </w:tcBorders>
            <w:shd w:val="clear" w:color="auto" w:fill="auto"/>
            <w:vAlign w:val="bottom"/>
          </w:tcPr>
          <w:p w14:paraId="4CBD8FB8" w14:textId="77777777" w:rsidR="00A52778" w:rsidRPr="00460F9E" w:rsidRDefault="00A52778" w:rsidP="00FC3F8E">
            <w:pPr>
              <w:spacing w:line="0" w:lineRule="atLeast"/>
              <w:rPr>
                <w:rFonts w:eastAsia="Times New Roman" w:cs="Times New Roman"/>
                <w:b/>
                <w:sz w:val="5"/>
              </w:rPr>
            </w:pPr>
          </w:p>
        </w:tc>
        <w:tc>
          <w:tcPr>
            <w:tcW w:w="3800" w:type="dxa"/>
            <w:tcBorders>
              <w:bottom w:val="single" w:sz="8" w:space="0" w:color="auto"/>
              <w:right w:val="single" w:sz="8" w:space="0" w:color="auto"/>
            </w:tcBorders>
            <w:shd w:val="clear" w:color="auto" w:fill="auto"/>
            <w:vAlign w:val="bottom"/>
          </w:tcPr>
          <w:p w14:paraId="1F3F75CA" w14:textId="77777777" w:rsidR="00A52778" w:rsidRPr="00460F9E" w:rsidRDefault="00A52778" w:rsidP="00FC3F8E">
            <w:pPr>
              <w:spacing w:line="0" w:lineRule="atLeast"/>
              <w:rPr>
                <w:rFonts w:eastAsia="Times New Roman" w:cs="Times New Roman"/>
                <w:b/>
                <w:sz w:val="5"/>
              </w:rPr>
            </w:pPr>
          </w:p>
        </w:tc>
        <w:tc>
          <w:tcPr>
            <w:tcW w:w="3520" w:type="dxa"/>
            <w:tcBorders>
              <w:bottom w:val="single" w:sz="8" w:space="0" w:color="auto"/>
              <w:right w:val="single" w:sz="8" w:space="0" w:color="auto"/>
            </w:tcBorders>
            <w:shd w:val="clear" w:color="auto" w:fill="auto"/>
            <w:vAlign w:val="bottom"/>
          </w:tcPr>
          <w:p w14:paraId="60968818" w14:textId="77777777" w:rsidR="00A52778" w:rsidRPr="00460F9E" w:rsidRDefault="00A52778" w:rsidP="00FC3F8E">
            <w:pPr>
              <w:spacing w:line="0" w:lineRule="atLeast"/>
              <w:rPr>
                <w:rFonts w:eastAsia="Times New Roman" w:cs="Times New Roman"/>
                <w:b/>
                <w:sz w:val="5"/>
              </w:rPr>
            </w:pPr>
          </w:p>
        </w:tc>
      </w:tr>
      <w:tr w:rsidR="00A52778" w:rsidRPr="00460F9E" w14:paraId="3595FDFA" w14:textId="77777777" w:rsidTr="00FC3F8E">
        <w:trPr>
          <w:trHeight w:val="274"/>
        </w:trPr>
        <w:tc>
          <w:tcPr>
            <w:tcW w:w="1440" w:type="dxa"/>
            <w:tcBorders>
              <w:left w:val="single" w:sz="8" w:space="0" w:color="auto"/>
              <w:right w:val="single" w:sz="8" w:space="0" w:color="auto"/>
            </w:tcBorders>
            <w:shd w:val="clear" w:color="auto" w:fill="auto"/>
            <w:vAlign w:val="bottom"/>
          </w:tcPr>
          <w:p w14:paraId="53583DD5"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S-PVC</w:t>
            </w:r>
          </w:p>
        </w:tc>
        <w:tc>
          <w:tcPr>
            <w:tcW w:w="3800" w:type="dxa"/>
            <w:vMerge w:val="restart"/>
            <w:tcBorders>
              <w:right w:val="single" w:sz="8" w:space="0" w:color="auto"/>
            </w:tcBorders>
            <w:shd w:val="clear" w:color="auto" w:fill="auto"/>
            <w:vAlign w:val="bottom"/>
          </w:tcPr>
          <w:p w14:paraId="7B49036B"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Üretilen her kg PVC başına g VCM</w:t>
            </w:r>
          </w:p>
        </w:tc>
        <w:tc>
          <w:tcPr>
            <w:tcW w:w="3520" w:type="dxa"/>
            <w:tcBorders>
              <w:right w:val="single" w:sz="8" w:space="0" w:color="auto"/>
            </w:tcBorders>
            <w:shd w:val="clear" w:color="auto" w:fill="auto"/>
            <w:vAlign w:val="bottom"/>
          </w:tcPr>
          <w:p w14:paraId="3B15276B" w14:textId="77777777" w:rsidR="00A52778" w:rsidRPr="00460F9E" w:rsidRDefault="00A52778" w:rsidP="00FC3F8E">
            <w:pPr>
              <w:spacing w:line="0" w:lineRule="atLeast"/>
              <w:ind w:right="1280"/>
              <w:jc w:val="right"/>
              <w:rPr>
                <w:rFonts w:eastAsia="Times New Roman" w:cs="Times New Roman"/>
                <w:b/>
              </w:rPr>
            </w:pPr>
            <w:r w:rsidRPr="00460F9E">
              <w:rPr>
                <w:rFonts w:eastAsia="Times New Roman" w:cs="Times New Roman"/>
              </w:rPr>
              <w:t>0.01-0.03</w:t>
            </w:r>
          </w:p>
        </w:tc>
      </w:tr>
      <w:tr w:rsidR="00A52778" w:rsidRPr="00460F9E" w14:paraId="71290ECB" w14:textId="77777777" w:rsidTr="00FC3F8E">
        <w:trPr>
          <w:trHeight w:val="66"/>
        </w:trPr>
        <w:tc>
          <w:tcPr>
            <w:tcW w:w="1440" w:type="dxa"/>
            <w:tcBorders>
              <w:left w:val="single" w:sz="8" w:space="0" w:color="auto"/>
              <w:bottom w:val="single" w:sz="8" w:space="0" w:color="auto"/>
              <w:right w:val="single" w:sz="8" w:space="0" w:color="auto"/>
            </w:tcBorders>
            <w:shd w:val="clear" w:color="auto" w:fill="auto"/>
            <w:vAlign w:val="bottom"/>
          </w:tcPr>
          <w:p w14:paraId="563D2BF2" w14:textId="77777777" w:rsidR="00A52778" w:rsidRPr="00460F9E" w:rsidRDefault="00A52778" w:rsidP="00FC3F8E">
            <w:pPr>
              <w:spacing w:line="0" w:lineRule="atLeast"/>
              <w:rPr>
                <w:rFonts w:eastAsia="Times New Roman" w:cs="Times New Roman"/>
                <w:b/>
                <w:sz w:val="5"/>
              </w:rPr>
            </w:pPr>
          </w:p>
        </w:tc>
        <w:tc>
          <w:tcPr>
            <w:tcW w:w="3800" w:type="dxa"/>
            <w:vMerge/>
            <w:tcBorders>
              <w:right w:val="single" w:sz="8" w:space="0" w:color="auto"/>
            </w:tcBorders>
            <w:shd w:val="clear" w:color="auto" w:fill="auto"/>
            <w:vAlign w:val="bottom"/>
          </w:tcPr>
          <w:p w14:paraId="03CBD1BD" w14:textId="77777777" w:rsidR="00A52778" w:rsidRPr="00460F9E" w:rsidRDefault="00A52778" w:rsidP="00FC3F8E">
            <w:pPr>
              <w:spacing w:line="0" w:lineRule="atLeast"/>
              <w:rPr>
                <w:rFonts w:eastAsia="Times New Roman" w:cs="Times New Roman"/>
                <w:b/>
                <w:sz w:val="5"/>
              </w:rPr>
            </w:pPr>
          </w:p>
        </w:tc>
        <w:tc>
          <w:tcPr>
            <w:tcW w:w="3520" w:type="dxa"/>
            <w:tcBorders>
              <w:bottom w:val="single" w:sz="8" w:space="0" w:color="auto"/>
              <w:right w:val="single" w:sz="8" w:space="0" w:color="auto"/>
            </w:tcBorders>
            <w:shd w:val="clear" w:color="auto" w:fill="auto"/>
            <w:vAlign w:val="bottom"/>
          </w:tcPr>
          <w:p w14:paraId="3D39E593" w14:textId="77777777" w:rsidR="00A52778" w:rsidRPr="00460F9E" w:rsidRDefault="00A52778" w:rsidP="00FC3F8E">
            <w:pPr>
              <w:spacing w:line="0" w:lineRule="atLeast"/>
              <w:rPr>
                <w:rFonts w:eastAsia="Times New Roman" w:cs="Times New Roman"/>
                <w:b/>
                <w:sz w:val="5"/>
              </w:rPr>
            </w:pPr>
          </w:p>
        </w:tc>
      </w:tr>
      <w:tr w:rsidR="00A52778" w:rsidRPr="00460F9E" w14:paraId="0F0C7259" w14:textId="77777777" w:rsidTr="00FC3F8E">
        <w:trPr>
          <w:trHeight w:val="436"/>
        </w:trPr>
        <w:tc>
          <w:tcPr>
            <w:tcW w:w="1440" w:type="dxa"/>
            <w:vMerge w:val="restart"/>
            <w:tcBorders>
              <w:left w:val="single" w:sz="8" w:space="0" w:color="auto"/>
              <w:right w:val="single" w:sz="8" w:space="0" w:color="auto"/>
            </w:tcBorders>
            <w:shd w:val="clear" w:color="auto" w:fill="auto"/>
            <w:vAlign w:val="bottom"/>
          </w:tcPr>
          <w:p w14:paraId="4F296C25"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E-PVC</w:t>
            </w:r>
          </w:p>
        </w:tc>
        <w:tc>
          <w:tcPr>
            <w:tcW w:w="3800" w:type="dxa"/>
            <w:vMerge/>
            <w:tcBorders>
              <w:right w:val="single" w:sz="8" w:space="0" w:color="auto"/>
            </w:tcBorders>
            <w:shd w:val="clear" w:color="auto" w:fill="auto"/>
            <w:vAlign w:val="bottom"/>
          </w:tcPr>
          <w:p w14:paraId="03269E96" w14:textId="77777777" w:rsidR="00A52778" w:rsidRPr="00460F9E" w:rsidRDefault="00A52778" w:rsidP="00FC3F8E">
            <w:pPr>
              <w:spacing w:line="0" w:lineRule="atLeast"/>
              <w:rPr>
                <w:rFonts w:eastAsia="Times New Roman" w:cs="Times New Roman"/>
                <w:b/>
                <w:sz w:val="8"/>
              </w:rPr>
            </w:pPr>
          </w:p>
        </w:tc>
        <w:tc>
          <w:tcPr>
            <w:tcW w:w="3520" w:type="dxa"/>
            <w:vMerge w:val="restart"/>
            <w:tcBorders>
              <w:right w:val="single" w:sz="8" w:space="0" w:color="auto"/>
            </w:tcBorders>
            <w:shd w:val="clear" w:color="auto" w:fill="auto"/>
            <w:vAlign w:val="bottom"/>
          </w:tcPr>
          <w:p w14:paraId="7B9E9D7B" w14:textId="77777777" w:rsidR="00A52778" w:rsidRPr="00460F9E" w:rsidRDefault="00A52778" w:rsidP="00FC3F8E">
            <w:pPr>
              <w:spacing w:line="0" w:lineRule="atLeast"/>
              <w:ind w:right="1380"/>
              <w:jc w:val="right"/>
              <w:rPr>
                <w:rFonts w:eastAsia="Times New Roman" w:cs="Times New Roman"/>
                <w:b/>
              </w:rPr>
            </w:pPr>
            <w:r w:rsidRPr="00460F9E">
              <w:rPr>
                <w:rFonts w:eastAsia="Times New Roman" w:cs="Times New Roman"/>
              </w:rPr>
              <w:t>0.2-0.4</w:t>
            </w:r>
          </w:p>
        </w:tc>
      </w:tr>
      <w:tr w:rsidR="00A52778" w:rsidRPr="00460F9E" w14:paraId="2DAA30B5" w14:textId="77777777" w:rsidTr="00FC3F8E">
        <w:trPr>
          <w:trHeight w:val="180"/>
        </w:trPr>
        <w:tc>
          <w:tcPr>
            <w:tcW w:w="1440" w:type="dxa"/>
            <w:vMerge/>
            <w:tcBorders>
              <w:left w:val="single" w:sz="8" w:space="0" w:color="auto"/>
              <w:right w:val="single" w:sz="8" w:space="0" w:color="auto"/>
            </w:tcBorders>
            <w:shd w:val="clear" w:color="auto" w:fill="auto"/>
            <w:vAlign w:val="bottom"/>
          </w:tcPr>
          <w:p w14:paraId="6B8B71B5" w14:textId="77777777" w:rsidR="00A52778" w:rsidRPr="00460F9E" w:rsidRDefault="00A52778" w:rsidP="00FC3F8E">
            <w:pPr>
              <w:spacing w:line="0" w:lineRule="atLeast"/>
              <w:rPr>
                <w:rFonts w:eastAsia="Times New Roman" w:cs="Times New Roman"/>
                <w:b/>
                <w:sz w:val="15"/>
              </w:rPr>
            </w:pPr>
          </w:p>
        </w:tc>
        <w:tc>
          <w:tcPr>
            <w:tcW w:w="3800" w:type="dxa"/>
            <w:tcBorders>
              <w:right w:val="single" w:sz="8" w:space="0" w:color="auto"/>
            </w:tcBorders>
            <w:shd w:val="clear" w:color="auto" w:fill="auto"/>
            <w:vAlign w:val="bottom"/>
          </w:tcPr>
          <w:p w14:paraId="5F96217E" w14:textId="77777777" w:rsidR="00A52778" w:rsidRPr="00460F9E" w:rsidRDefault="00A52778" w:rsidP="00FC3F8E">
            <w:pPr>
              <w:spacing w:line="0" w:lineRule="atLeast"/>
              <w:rPr>
                <w:rFonts w:eastAsia="Times New Roman" w:cs="Times New Roman"/>
                <w:b/>
                <w:sz w:val="15"/>
              </w:rPr>
            </w:pPr>
          </w:p>
        </w:tc>
        <w:tc>
          <w:tcPr>
            <w:tcW w:w="3520" w:type="dxa"/>
            <w:vMerge/>
            <w:tcBorders>
              <w:right w:val="single" w:sz="8" w:space="0" w:color="auto"/>
            </w:tcBorders>
            <w:shd w:val="clear" w:color="auto" w:fill="auto"/>
            <w:vAlign w:val="bottom"/>
          </w:tcPr>
          <w:p w14:paraId="1D8FB89D" w14:textId="77777777" w:rsidR="00A52778" w:rsidRPr="00460F9E" w:rsidRDefault="00A52778" w:rsidP="00FC3F8E">
            <w:pPr>
              <w:spacing w:line="0" w:lineRule="atLeast"/>
              <w:rPr>
                <w:rFonts w:eastAsia="Times New Roman" w:cs="Times New Roman"/>
                <w:b/>
                <w:sz w:val="15"/>
              </w:rPr>
            </w:pPr>
          </w:p>
        </w:tc>
      </w:tr>
      <w:tr w:rsidR="00A52778" w:rsidRPr="00460F9E" w14:paraId="1EB32A5B" w14:textId="77777777" w:rsidTr="00FC3F8E">
        <w:trPr>
          <w:trHeight w:val="66"/>
        </w:trPr>
        <w:tc>
          <w:tcPr>
            <w:tcW w:w="1440" w:type="dxa"/>
            <w:tcBorders>
              <w:left w:val="single" w:sz="8" w:space="0" w:color="auto"/>
              <w:bottom w:val="single" w:sz="8" w:space="0" w:color="auto"/>
              <w:right w:val="single" w:sz="8" w:space="0" w:color="auto"/>
            </w:tcBorders>
            <w:shd w:val="clear" w:color="auto" w:fill="auto"/>
            <w:vAlign w:val="bottom"/>
          </w:tcPr>
          <w:p w14:paraId="751B6924" w14:textId="77777777" w:rsidR="00A52778" w:rsidRPr="00460F9E" w:rsidRDefault="00A52778" w:rsidP="00FC3F8E">
            <w:pPr>
              <w:spacing w:line="0" w:lineRule="atLeast"/>
              <w:rPr>
                <w:rFonts w:eastAsia="Times New Roman" w:cs="Times New Roman"/>
                <w:b/>
                <w:sz w:val="5"/>
              </w:rPr>
            </w:pPr>
          </w:p>
        </w:tc>
        <w:tc>
          <w:tcPr>
            <w:tcW w:w="3800" w:type="dxa"/>
            <w:tcBorders>
              <w:bottom w:val="single" w:sz="8" w:space="0" w:color="auto"/>
              <w:right w:val="single" w:sz="8" w:space="0" w:color="auto"/>
            </w:tcBorders>
            <w:shd w:val="clear" w:color="auto" w:fill="auto"/>
            <w:vAlign w:val="bottom"/>
          </w:tcPr>
          <w:p w14:paraId="379D7EAB" w14:textId="77777777" w:rsidR="00A52778" w:rsidRPr="00460F9E" w:rsidRDefault="00A52778" w:rsidP="00FC3F8E">
            <w:pPr>
              <w:spacing w:line="0" w:lineRule="atLeast"/>
              <w:rPr>
                <w:rFonts w:eastAsia="Times New Roman" w:cs="Times New Roman"/>
                <w:b/>
                <w:sz w:val="5"/>
              </w:rPr>
            </w:pPr>
          </w:p>
        </w:tc>
        <w:tc>
          <w:tcPr>
            <w:tcW w:w="3520" w:type="dxa"/>
            <w:tcBorders>
              <w:bottom w:val="single" w:sz="8" w:space="0" w:color="auto"/>
              <w:right w:val="single" w:sz="8" w:space="0" w:color="auto"/>
            </w:tcBorders>
            <w:shd w:val="clear" w:color="auto" w:fill="auto"/>
            <w:vAlign w:val="bottom"/>
          </w:tcPr>
          <w:p w14:paraId="301131E0" w14:textId="77777777" w:rsidR="00A52778" w:rsidRPr="00460F9E" w:rsidRDefault="00A52778" w:rsidP="00FC3F8E">
            <w:pPr>
              <w:spacing w:line="0" w:lineRule="atLeast"/>
              <w:rPr>
                <w:rFonts w:eastAsia="Times New Roman" w:cs="Times New Roman"/>
                <w:b/>
                <w:sz w:val="5"/>
              </w:rPr>
            </w:pPr>
          </w:p>
        </w:tc>
      </w:tr>
    </w:tbl>
    <w:p w14:paraId="5A6C9F94" w14:textId="77777777" w:rsidR="00A52778" w:rsidRPr="00460F9E" w:rsidRDefault="00A52778" w:rsidP="00A52778">
      <w:pPr>
        <w:spacing w:line="299" w:lineRule="exact"/>
        <w:rPr>
          <w:rFonts w:eastAsia="Times New Roman" w:cs="Times New Roman"/>
          <w:b/>
        </w:rPr>
      </w:pPr>
    </w:p>
    <w:p w14:paraId="1432C54A" w14:textId="77777777" w:rsidR="00A52778" w:rsidRPr="00460F9E" w:rsidRDefault="00A52778" w:rsidP="00A52778">
      <w:pPr>
        <w:spacing w:line="0" w:lineRule="atLeast"/>
        <w:ind w:left="820"/>
        <w:rPr>
          <w:rFonts w:eastAsia="Times New Roman" w:cs="Times New Roman"/>
          <w:b/>
        </w:rPr>
      </w:pPr>
      <w:r w:rsidRPr="00460F9E">
        <w:rPr>
          <w:rFonts w:eastAsia="Times New Roman" w:cs="Times New Roman"/>
        </w:rPr>
        <w:t xml:space="preserve">İlişkili izleme MET 27' de verilmiştir. </w:t>
      </w:r>
    </w:p>
    <w:p w14:paraId="7AC75729" w14:textId="77777777" w:rsidR="00A52778" w:rsidRPr="00460F9E" w:rsidRDefault="00A52778" w:rsidP="00A52778">
      <w:pPr>
        <w:spacing w:line="200" w:lineRule="exact"/>
        <w:rPr>
          <w:rFonts w:eastAsia="Times New Roman" w:cs="Times New Roman"/>
          <w:b/>
        </w:rPr>
      </w:pPr>
    </w:p>
    <w:p w14:paraId="4C67B156" w14:textId="77777777" w:rsidR="00A52778" w:rsidRPr="00460F9E" w:rsidRDefault="00A52778" w:rsidP="00A52778">
      <w:pPr>
        <w:spacing w:line="310" w:lineRule="exact"/>
        <w:rPr>
          <w:rFonts w:eastAsia="Times New Roman" w:cs="Times New Roman"/>
          <w:b/>
        </w:rPr>
      </w:pPr>
    </w:p>
    <w:p w14:paraId="410B0A62" w14:textId="77777777" w:rsidR="00A52778" w:rsidRPr="00D476CA" w:rsidRDefault="00A52778" w:rsidP="00A52778">
      <w:pPr>
        <w:tabs>
          <w:tab w:val="left" w:pos="1940"/>
        </w:tabs>
        <w:spacing w:line="0" w:lineRule="atLeast"/>
        <w:ind w:left="820"/>
        <w:rPr>
          <w:rFonts w:eastAsia="Arial" w:cs="Times New Roman"/>
          <w:sz w:val="23"/>
        </w:rPr>
      </w:pPr>
      <w:r>
        <w:rPr>
          <w:rFonts w:eastAsia="Arial" w:cs="Times New Roman"/>
        </w:rPr>
        <w:t>2</w:t>
      </w:r>
      <w:r w:rsidRPr="00D476CA">
        <w:rPr>
          <w:rFonts w:eastAsia="Arial" w:cs="Times New Roman"/>
        </w:rPr>
        <w:t>.2.3</w:t>
      </w:r>
      <w:r w:rsidRPr="00D476CA">
        <w:rPr>
          <w:rFonts w:eastAsia="Times New Roman" w:cs="Times New Roman"/>
        </w:rPr>
        <w:tab/>
      </w:r>
      <w:r w:rsidRPr="00D476CA">
        <w:rPr>
          <w:rFonts w:eastAsia="Arial" w:cs="Times New Roman"/>
          <w:sz w:val="23"/>
        </w:rPr>
        <w:t>Sentetik kauçukların üretimi için MET sonuçları</w:t>
      </w:r>
    </w:p>
    <w:p w14:paraId="5F9A18C8" w14:textId="77777777" w:rsidR="00A52778" w:rsidRPr="00460F9E" w:rsidRDefault="00A52778" w:rsidP="00A52778">
      <w:pPr>
        <w:spacing w:line="200" w:lineRule="exact"/>
        <w:rPr>
          <w:rFonts w:eastAsia="Times New Roman" w:cs="Times New Roman"/>
          <w:b/>
        </w:rPr>
      </w:pPr>
    </w:p>
    <w:p w14:paraId="35B59FED" w14:textId="77777777" w:rsidR="00A52778" w:rsidRPr="00460F9E" w:rsidRDefault="00A52778" w:rsidP="00A52778">
      <w:pPr>
        <w:spacing w:line="359" w:lineRule="exact"/>
        <w:rPr>
          <w:rFonts w:eastAsia="Times New Roman" w:cs="Times New Roman"/>
          <w:b/>
        </w:rPr>
      </w:pPr>
    </w:p>
    <w:p w14:paraId="13C516D3" w14:textId="77777777" w:rsidR="00A52778" w:rsidRDefault="00A52778" w:rsidP="00A52778">
      <w:pPr>
        <w:spacing w:line="237" w:lineRule="auto"/>
        <w:ind w:right="100"/>
        <w:rPr>
          <w:rFonts w:eastAsia="Times New Roman" w:cs="Times New Roman"/>
        </w:rPr>
      </w:pPr>
      <w:r w:rsidRPr="00D476CA">
        <w:rPr>
          <w:rFonts w:eastAsia="Times New Roman" w:cs="Times New Roman"/>
        </w:rPr>
        <w:t>MET 31</w:t>
      </w:r>
      <w:r>
        <w:rPr>
          <w:rFonts w:eastAsia="Times New Roman" w:cs="Times New Roman"/>
        </w:rPr>
        <w:t>: S</w:t>
      </w:r>
      <w:r w:rsidRPr="00D476CA">
        <w:rPr>
          <w:rFonts w:eastAsia="Times New Roman" w:cs="Times New Roman"/>
        </w:rPr>
        <w:t>entetik kauçuklardaki TVOC konsantrasyonunu, EN standartlarına uygun olarak, aynı yıl içinde üretilen her bir temsili sentetik kauçuk sınıfı için her yıl en az bir kere izlemektir. EN standartlarının mevcut olmaması halinde MET, eşdeğer bilimsel kalitede verilerin sağlanmasını temin eden ISO, ulusal veya diğer uluslararası standartları kullanacaktır.</w:t>
      </w:r>
    </w:p>
    <w:p w14:paraId="0B095A52" w14:textId="77777777" w:rsidR="00A52778" w:rsidRPr="00D476CA" w:rsidRDefault="00A52778" w:rsidP="00A52778">
      <w:pPr>
        <w:spacing w:line="237" w:lineRule="auto"/>
        <w:ind w:left="820" w:right="100"/>
        <w:rPr>
          <w:rFonts w:eastAsia="Times New Roman" w:cs="Times New Roman"/>
        </w:rPr>
      </w:pPr>
    </w:p>
    <w:tbl>
      <w:tblPr>
        <w:tblW w:w="8760" w:type="dxa"/>
        <w:tblInd w:w="730" w:type="dxa"/>
        <w:tblLayout w:type="fixed"/>
        <w:tblCellMar>
          <w:left w:w="0" w:type="dxa"/>
          <w:right w:w="0" w:type="dxa"/>
        </w:tblCellMar>
        <w:tblLook w:val="0000" w:firstRow="0" w:lastRow="0" w:firstColumn="0" w:lastColumn="0" w:noHBand="0" w:noVBand="0"/>
      </w:tblPr>
      <w:tblGrid>
        <w:gridCol w:w="2680"/>
        <w:gridCol w:w="2740"/>
        <w:gridCol w:w="3340"/>
      </w:tblGrid>
      <w:tr w:rsidR="00A52778" w:rsidRPr="00460F9E" w14:paraId="143E764A" w14:textId="77777777" w:rsidTr="00FC3F8E">
        <w:trPr>
          <w:trHeight w:val="239"/>
        </w:trPr>
        <w:tc>
          <w:tcPr>
            <w:tcW w:w="2680" w:type="dxa"/>
            <w:tcBorders>
              <w:top w:val="single" w:sz="8" w:space="0" w:color="auto"/>
              <w:left w:val="single" w:sz="8" w:space="0" w:color="auto"/>
              <w:bottom w:val="single" w:sz="8" w:space="0" w:color="auto"/>
              <w:right w:val="single" w:sz="8" w:space="0" w:color="auto"/>
            </w:tcBorders>
            <w:shd w:val="clear" w:color="auto" w:fill="auto"/>
            <w:vAlign w:val="bottom"/>
          </w:tcPr>
          <w:p w14:paraId="00DAC213" w14:textId="77777777" w:rsidR="00A52778" w:rsidRPr="00D476CA" w:rsidRDefault="00A52778" w:rsidP="00FC3F8E">
            <w:pPr>
              <w:spacing w:line="0" w:lineRule="atLeast"/>
              <w:ind w:left="420"/>
              <w:rPr>
                <w:rFonts w:eastAsia="Times New Roman" w:cs="Times New Roman"/>
              </w:rPr>
            </w:pPr>
            <w:r w:rsidRPr="00D476CA">
              <w:rPr>
                <w:rFonts w:eastAsia="Times New Roman" w:cs="Times New Roman"/>
              </w:rPr>
              <w:t>Maddeler/Parametreler</w:t>
            </w:r>
          </w:p>
        </w:tc>
        <w:tc>
          <w:tcPr>
            <w:tcW w:w="2740" w:type="dxa"/>
            <w:tcBorders>
              <w:top w:val="single" w:sz="8" w:space="0" w:color="auto"/>
              <w:bottom w:val="single" w:sz="8" w:space="0" w:color="auto"/>
              <w:right w:val="single" w:sz="8" w:space="0" w:color="auto"/>
            </w:tcBorders>
            <w:shd w:val="clear" w:color="auto" w:fill="auto"/>
            <w:vAlign w:val="bottom"/>
          </w:tcPr>
          <w:p w14:paraId="635414EA" w14:textId="77777777" w:rsidR="00A52778" w:rsidRPr="00D476CA" w:rsidRDefault="00A52778" w:rsidP="00FC3F8E">
            <w:pPr>
              <w:spacing w:line="0" w:lineRule="atLeast"/>
              <w:jc w:val="center"/>
              <w:rPr>
                <w:rFonts w:eastAsia="Times New Roman" w:cs="Times New Roman"/>
                <w:w w:val="98"/>
              </w:rPr>
            </w:pPr>
            <w:r w:rsidRPr="00D476CA">
              <w:rPr>
                <w:rFonts w:eastAsia="Times New Roman" w:cs="Times New Roman"/>
                <w:w w:val="98"/>
              </w:rPr>
              <w:t>Standart(lar)</w:t>
            </w:r>
          </w:p>
        </w:tc>
        <w:tc>
          <w:tcPr>
            <w:tcW w:w="3340" w:type="dxa"/>
            <w:tcBorders>
              <w:top w:val="single" w:sz="8" w:space="0" w:color="auto"/>
              <w:bottom w:val="single" w:sz="8" w:space="0" w:color="auto"/>
              <w:right w:val="single" w:sz="8" w:space="0" w:color="auto"/>
            </w:tcBorders>
            <w:shd w:val="clear" w:color="auto" w:fill="auto"/>
            <w:vAlign w:val="bottom"/>
          </w:tcPr>
          <w:p w14:paraId="2BB32FD3" w14:textId="77777777" w:rsidR="00A52778" w:rsidRPr="00D476CA" w:rsidRDefault="00A52778" w:rsidP="00FC3F8E">
            <w:pPr>
              <w:spacing w:line="0" w:lineRule="atLeast"/>
              <w:jc w:val="center"/>
              <w:rPr>
                <w:rFonts w:eastAsia="Times New Roman" w:cs="Times New Roman"/>
                <w:w w:val="99"/>
              </w:rPr>
            </w:pPr>
            <w:r w:rsidRPr="00D476CA">
              <w:rPr>
                <w:rFonts w:eastAsia="Times New Roman" w:cs="Times New Roman"/>
                <w:w w:val="99"/>
              </w:rPr>
              <w:t>İlişkili izleme</w:t>
            </w:r>
          </w:p>
        </w:tc>
      </w:tr>
      <w:tr w:rsidR="00A52778" w:rsidRPr="00460F9E" w14:paraId="7C75CD23" w14:textId="77777777" w:rsidTr="00FC3F8E">
        <w:trPr>
          <w:trHeight w:val="383"/>
        </w:trPr>
        <w:tc>
          <w:tcPr>
            <w:tcW w:w="2680" w:type="dxa"/>
            <w:tcBorders>
              <w:left w:val="single" w:sz="8" w:space="0" w:color="auto"/>
              <w:right w:val="single" w:sz="8" w:space="0" w:color="auto"/>
            </w:tcBorders>
            <w:shd w:val="clear" w:color="auto" w:fill="auto"/>
            <w:vAlign w:val="bottom"/>
          </w:tcPr>
          <w:p w14:paraId="3B4CB70C"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VOC’ lar</w:t>
            </w:r>
          </w:p>
        </w:tc>
        <w:tc>
          <w:tcPr>
            <w:tcW w:w="2740" w:type="dxa"/>
            <w:tcBorders>
              <w:right w:val="single" w:sz="8" w:space="0" w:color="auto"/>
            </w:tcBorders>
            <w:shd w:val="clear" w:color="auto" w:fill="auto"/>
            <w:vAlign w:val="bottom"/>
          </w:tcPr>
          <w:p w14:paraId="091709C0"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EN standardı mevcut değil</w:t>
            </w:r>
          </w:p>
        </w:tc>
        <w:tc>
          <w:tcPr>
            <w:tcW w:w="3340" w:type="dxa"/>
            <w:tcBorders>
              <w:right w:val="single" w:sz="8" w:space="0" w:color="auto"/>
            </w:tcBorders>
            <w:shd w:val="clear" w:color="auto" w:fill="auto"/>
            <w:vAlign w:val="bottom"/>
          </w:tcPr>
          <w:p w14:paraId="53DDBBAD" w14:textId="77777777" w:rsidR="00A52778" w:rsidRPr="00460F9E" w:rsidRDefault="002A1746" w:rsidP="00FC3F8E">
            <w:pPr>
              <w:spacing w:line="0" w:lineRule="atLeast"/>
              <w:jc w:val="center"/>
              <w:rPr>
                <w:rFonts w:eastAsia="Times New Roman" w:cs="Times New Roman"/>
                <w:b/>
                <w:w w:val="98"/>
              </w:rPr>
            </w:pPr>
            <w:hyperlink w:anchor="page325" w:history="1">
              <w:r w:rsidR="00A52778" w:rsidRPr="00460F9E">
                <w:rPr>
                  <w:rFonts w:eastAsia="Times New Roman" w:cs="Times New Roman"/>
                  <w:w w:val="98"/>
                </w:rPr>
                <w:t>MET 32</w:t>
              </w:r>
            </w:hyperlink>
          </w:p>
        </w:tc>
      </w:tr>
      <w:tr w:rsidR="00A52778" w:rsidRPr="00460F9E" w14:paraId="2F752FC6" w14:textId="77777777" w:rsidTr="00FC3F8E">
        <w:trPr>
          <w:trHeight w:val="174"/>
        </w:trPr>
        <w:tc>
          <w:tcPr>
            <w:tcW w:w="2680" w:type="dxa"/>
            <w:tcBorders>
              <w:left w:val="single" w:sz="8" w:space="0" w:color="auto"/>
              <w:bottom w:val="single" w:sz="8" w:space="0" w:color="auto"/>
              <w:right w:val="single" w:sz="8" w:space="0" w:color="auto"/>
            </w:tcBorders>
            <w:shd w:val="clear" w:color="auto" w:fill="auto"/>
            <w:vAlign w:val="bottom"/>
          </w:tcPr>
          <w:p w14:paraId="4E4BAA21" w14:textId="77777777" w:rsidR="00A52778" w:rsidRPr="00460F9E" w:rsidRDefault="00A52778" w:rsidP="00FC3F8E">
            <w:pPr>
              <w:spacing w:line="0" w:lineRule="atLeast"/>
              <w:rPr>
                <w:rFonts w:eastAsia="Times New Roman" w:cs="Times New Roman"/>
                <w:b/>
                <w:sz w:val="15"/>
              </w:rPr>
            </w:pPr>
          </w:p>
        </w:tc>
        <w:tc>
          <w:tcPr>
            <w:tcW w:w="2740" w:type="dxa"/>
            <w:tcBorders>
              <w:bottom w:val="single" w:sz="8" w:space="0" w:color="auto"/>
              <w:right w:val="single" w:sz="8" w:space="0" w:color="auto"/>
            </w:tcBorders>
            <w:shd w:val="clear" w:color="auto" w:fill="auto"/>
            <w:vAlign w:val="bottom"/>
          </w:tcPr>
          <w:p w14:paraId="47CA9BEA" w14:textId="77777777" w:rsidR="00A52778" w:rsidRPr="00460F9E" w:rsidRDefault="00A52778" w:rsidP="00FC3F8E">
            <w:pPr>
              <w:spacing w:line="0" w:lineRule="atLeast"/>
              <w:rPr>
                <w:rFonts w:eastAsia="Times New Roman" w:cs="Times New Roman"/>
                <w:b/>
                <w:sz w:val="15"/>
              </w:rPr>
            </w:pPr>
          </w:p>
        </w:tc>
        <w:tc>
          <w:tcPr>
            <w:tcW w:w="3340" w:type="dxa"/>
            <w:tcBorders>
              <w:bottom w:val="single" w:sz="8" w:space="0" w:color="auto"/>
              <w:right w:val="single" w:sz="8" w:space="0" w:color="auto"/>
            </w:tcBorders>
            <w:shd w:val="clear" w:color="auto" w:fill="auto"/>
            <w:vAlign w:val="bottom"/>
          </w:tcPr>
          <w:p w14:paraId="42CC3760" w14:textId="77777777" w:rsidR="00A52778" w:rsidRPr="00460F9E" w:rsidRDefault="00A52778" w:rsidP="00FC3F8E">
            <w:pPr>
              <w:spacing w:line="0" w:lineRule="atLeast"/>
              <w:rPr>
                <w:rFonts w:eastAsia="Times New Roman" w:cs="Times New Roman"/>
                <w:b/>
                <w:sz w:val="15"/>
              </w:rPr>
            </w:pPr>
          </w:p>
        </w:tc>
      </w:tr>
    </w:tbl>
    <w:p w14:paraId="3DB686DC" w14:textId="77777777" w:rsidR="00A52778" w:rsidRPr="00460F9E" w:rsidRDefault="00A52778" w:rsidP="00A52778">
      <w:pPr>
        <w:spacing w:line="200" w:lineRule="exact"/>
        <w:rPr>
          <w:rFonts w:eastAsia="Times New Roman" w:cs="Times New Roman"/>
          <w:b/>
        </w:rPr>
      </w:pPr>
    </w:p>
    <w:p w14:paraId="1E608E26" w14:textId="77777777" w:rsidR="00A52778" w:rsidRPr="00460F9E" w:rsidRDefault="00A52778" w:rsidP="00A52778">
      <w:pPr>
        <w:spacing w:line="303" w:lineRule="exact"/>
        <w:rPr>
          <w:rFonts w:eastAsia="Times New Roman" w:cs="Times New Roman"/>
          <w:b/>
        </w:rPr>
      </w:pPr>
    </w:p>
    <w:p w14:paraId="793A14AE" w14:textId="77777777" w:rsidR="00A52778" w:rsidRPr="00D476CA" w:rsidRDefault="00A52778" w:rsidP="00A52778">
      <w:pPr>
        <w:spacing w:line="0" w:lineRule="atLeast"/>
        <w:ind w:left="820"/>
        <w:rPr>
          <w:rFonts w:eastAsia="Times New Roman" w:cs="Times New Roman"/>
        </w:rPr>
      </w:pPr>
      <w:r w:rsidRPr="00D476CA">
        <w:rPr>
          <w:rFonts w:eastAsia="Times New Roman" w:cs="Times New Roman"/>
        </w:rPr>
        <w:t>Not</w:t>
      </w:r>
    </w:p>
    <w:p w14:paraId="44383EFD" w14:textId="77777777" w:rsidR="00A52778" w:rsidRPr="00460F9E" w:rsidRDefault="00A52778" w:rsidP="00A52778">
      <w:pPr>
        <w:spacing w:line="6" w:lineRule="exact"/>
        <w:rPr>
          <w:rFonts w:eastAsia="Times New Roman" w:cs="Times New Roman"/>
          <w:b/>
        </w:rPr>
      </w:pPr>
    </w:p>
    <w:p w14:paraId="3CD5396A" w14:textId="77777777" w:rsidR="00A52778" w:rsidRPr="00460F9E" w:rsidRDefault="00A52778" w:rsidP="00A52778">
      <w:pPr>
        <w:spacing w:line="235" w:lineRule="auto"/>
        <w:ind w:left="820" w:right="100"/>
        <w:rPr>
          <w:rFonts w:eastAsia="Times New Roman" w:cs="Times New Roman"/>
          <w:b/>
        </w:rPr>
      </w:pPr>
      <w:r w:rsidRPr="00460F9E">
        <w:rPr>
          <w:rFonts w:eastAsia="Times New Roman" w:cs="Times New Roman"/>
        </w:rPr>
        <w:t>Numuneler, sentetik kauçuğun atmosferle temas ettiği polimerdeki VOC içeriği düşürüldükten sonra alınır (bkz. MET 32 a.).</w:t>
      </w:r>
    </w:p>
    <w:p w14:paraId="5B08789D" w14:textId="77777777" w:rsidR="00A52778" w:rsidRPr="00460F9E" w:rsidRDefault="00A52778" w:rsidP="00A52778">
      <w:pPr>
        <w:spacing w:line="259" w:lineRule="exact"/>
        <w:rPr>
          <w:rFonts w:eastAsia="Times New Roman" w:cs="Times New Roman"/>
          <w:b/>
        </w:rPr>
      </w:pPr>
    </w:p>
    <w:p w14:paraId="6F080875" w14:textId="77777777" w:rsidR="00A52778" w:rsidRPr="00D476CA" w:rsidRDefault="00A52778" w:rsidP="00A52778">
      <w:pPr>
        <w:spacing w:line="0" w:lineRule="atLeast"/>
        <w:ind w:left="820"/>
        <w:rPr>
          <w:rFonts w:eastAsia="Times New Roman" w:cs="Times New Roman"/>
        </w:rPr>
      </w:pPr>
      <w:r w:rsidRPr="00D476CA">
        <w:rPr>
          <w:rFonts w:eastAsia="Times New Roman" w:cs="Times New Roman"/>
        </w:rPr>
        <w:t>Uygulanabilirlik</w:t>
      </w:r>
    </w:p>
    <w:p w14:paraId="22396026" w14:textId="77777777" w:rsidR="00A52778" w:rsidRPr="00460F9E" w:rsidRDefault="00A52778" w:rsidP="00A52778">
      <w:pPr>
        <w:spacing w:line="234" w:lineRule="auto"/>
        <w:ind w:left="820"/>
        <w:rPr>
          <w:rFonts w:eastAsia="Times New Roman" w:cs="Times New Roman"/>
          <w:b/>
        </w:rPr>
      </w:pPr>
      <w:r w:rsidRPr="00460F9E">
        <w:rPr>
          <w:rFonts w:eastAsia="Times New Roman" w:cs="Times New Roman"/>
        </w:rPr>
        <w:t>Ölçümler, sadece, kapalı bir sistemden ibaret üretim prosesleri için geçerli değildir.</w:t>
      </w:r>
    </w:p>
    <w:p w14:paraId="0E2A5E29" w14:textId="77777777" w:rsidR="00A52778" w:rsidRPr="00460F9E" w:rsidRDefault="00A52778" w:rsidP="00A52778">
      <w:pPr>
        <w:spacing w:line="363" w:lineRule="exact"/>
        <w:rPr>
          <w:rFonts w:eastAsia="Times New Roman" w:cs="Times New Roman"/>
          <w:b/>
        </w:rPr>
      </w:pPr>
    </w:p>
    <w:p w14:paraId="0A6B01E5" w14:textId="77777777" w:rsidR="00A52778" w:rsidRPr="00D476CA" w:rsidRDefault="00A52778" w:rsidP="00A52778">
      <w:pPr>
        <w:spacing w:line="234" w:lineRule="auto"/>
        <w:ind w:right="100"/>
        <w:rPr>
          <w:rFonts w:eastAsia="Times New Roman" w:cs="Times New Roman"/>
        </w:rPr>
      </w:pPr>
      <w:r>
        <w:rPr>
          <w:rFonts w:eastAsia="Times New Roman" w:cs="Times New Roman"/>
        </w:rPr>
        <w:t>MET 32:</w:t>
      </w:r>
      <w:r w:rsidRPr="00D476CA">
        <w:rPr>
          <w:rFonts w:eastAsia="Times New Roman" w:cs="Times New Roman"/>
        </w:rPr>
        <w:t xml:space="preserve"> Organik bileşiklerin havaya salınımını azaltmak için MET, aşağıda verilen tekniklerden birini veya bir kombinasyonunu kullanmaktır.</w:t>
      </w:r>
    </w:p>
    <w:p w14:paraId="46346E1B" w14:textId="77777777" w:rsidR="00A52778" w:rsidRPr="00D476CA" w:rsidRDefault="00A52778" w:rsidP="00A52778">
      <w:pPr>
        <w:spacing w:line="200" w:lineRule="exact"/>
        <w:rPr>
          <w:rFonts w:eastAsia="Times New Roman" w:cs="Times New Roman"/>
        </w:rPr>
      </w:pPr>
    </w:p>
    <w:p w14:paraId="6470D953" w14:textId="77777777" w:rsidR="00A52778" w:rsidRPr="00460F9E" w:rsidRDefault="00A52778" w:rsidP="00A52778">
      <w:pPr>
        <w:spacing w:line="329" w:lineRule="exact"/>
        <w:rPr>
          <w:rFonts w:eastAsia="Times New Roman" w:cs="Times New Roman"/>
          <w:b/>
        </w:rPr>
      </w:pPr>
    </w:p>
    <w:tbl>
      <w:tblPr>
        <w:tblW w:w="8760" w:type="dxa"/>
        <w:tblInd w:w="730" w:type="dxa"/>
        <w:tblLayout w:type="fixed"/>
        <w:tblCellMar>
          <w:left w:w="0" w:type="dxa"/>
          <w:right w:w="0" w:type="dxa"/>
        </w:tblCellMar>
        <w:tblLook w:val="0000" w:firstRow="0" w:lastRow="0" w:firstColumn="0" w:lastColumn="0" w:noHBand="0" w:noVBand="0"/>
      </w:tblPr>
      <w:tblGrid>
        <w:gridCol w:w="380"/>
        <w:gridCol w:w="3940"/>
        <w:gridCol w:w="4440"/>
      </w:tblGrid>
      <w:tr w:rsidR="00A52778" w:rsidRPr="00460F9E" w14:paraId="131D56C9" w14:textId="77777777" w:rsidTr="00FC3F8E">
        <w:trPr>
          <w:trHeight w:val="239"/>
        </w:trPr>
        <w:tc>
          <w:tcPr>
            <w:tcW w:w="380" w:type="dxa"/>
            <w:tcBorders>
              <w:top w:val="single" w:sz="8" w:space="0" w:color="auto"/>
              <w:left w:val="single" w:sz="8" w:space="0" w:color="auto"/>
              <w:bottom w:val="single" w:sz="8" w:space="0" w:color="auto"/>
              <w:right w:val="single" w:sz="8" w:space="0" w:color="auto"/>
            </w:tcBorders>
            <w:shd w:val="clear" w:color="auto" w:fill="auto"/>
            <w:vAlign w:val="bottom"/>
          </w:tcPr>
          <w:p w14:paraId="584E24FC" w14:textId="77777777" w:rsidR="00A52778" w:rsidRPr="00460F9E" w:rsidRDefault="00A52778" w:rsidP="00FC3F8E">
            <w:pPr>
              <w:spacing w:line="0" w:lineRule="atLeast"/>
              <w:rPr>
                <w:rFonts w:eastAsia="Times New Roman" w:cs="Times New Roman"/>
                <w:b/>
              </w:rPr>
            </w:pPr>
          </w:p>
        </w:tc>
        <w:tc>
          <w:tcPr>
            <w:tcW w:w="3940" w:type="dxa"/>
            <w:tcBorders>
              <w:top w:val="single" w:sz="8" w:space="0" w:color="auto"/>
              <w:bottom w:val="single" w:sz="8" w:space="0" w:color="auto"/>
              <w:right w:val="single" w:sz="8" w:space="0" w:color="auto"/>
            </w:tcBorders>
            <w:shd w:val="clear" w:color="auto" w:fill="auto"/>
            <w:vAlign w:val="bottom"/>
          </w:tcPr>
          <w:p w14:paraId="48EDBD99" w14:textId="77777777" w:rsidR="00A52778" w:rsidRPr="00460F9E" w:rsidRDefault="00A52778" w:rsidP="00FC3F8E">
            <w:pPr>
              <w:spacing w:line="0" w:lineRule="atLeast"/>
              <w:ind w:left="1500"/>
              <w:rPr>
                <w:rFonts w:eastAsia="Times New Roman" w:cs="Times New Roman"/>
                <w:b/>
              </w:rPr>
            </w:pPr>
            <w:r w:rsidRPr="00460F9E">
              <w:rPr>
                <w:rFonts w:eastAsia="Times New Roman" w:cs="Times New Roman"/>
              </w:rPr>
              <w:t>Teknikler</w:t>
            </w:r>
          </w:p>
        </w:tc>
        <w:tc>
          <w:tcPr>
            <w:tcW w:w="4440" w:type="dxa"/>
            <w:tcBorders>
              <w:top w:val="single" w:sz="8" w:space="0" w:color="auto"/>
              <w:bottom w:val="single" w:sz="8" w:space="0" w:color="auto"/>
              <w:right w:val="single" w:sz="8" w:space="0" w:color="auto"/>
            </w:tcBorders>
            <w:shd w:val="clear" w:color="auto" w:fill="auto"/>
            <w:vAlign w:val="bottom"/>
          </w:tcPr>
          <w:p w14:paraId="638F7F8E" w14:textId="77777777" w:rsidR="00A52778" w:rsidRPr="00460F9E" w:rsidRDefault="00A52778" w:rsidP="00FC3F8E">
            <w:pPr>
              <w:spacing w:line="0" w:lineRule="atLeast"/>
              <w:ind w:left="1700"/>
              <w:rPr>
                <w:rFonts w:eastAsia="Times New Roman" w:cs="Times New Roman"/>
                <w:b/>
              </w:rPr>
            </w:pPr>
            <w:r w:rsidRPr="00460F9E">
              <w:rPr>
                <w:rFonts w:eastAsia="Times New Roman" w:cs="Times New Roman"/>
                <w:w w:val="99"/>
              </w:rPr>
              <w:t>Tanımlamalar</w:t>
            </w:r>
          </w:p>
        </w:tc>
      </w:tr>
      <w:tr w:rsidR="00A52778" w:rsidRPr="00460F9E" w14:paraId="55CF2417" w14:textId="77777777" w:rsidTr="00FC3F8E">
        <w:trPr>
          <w:trHeight w:val="215"/>
        </w:trPr>
        <w:tc>
          <w:tcPr>
            <w:tcW w:w="380" w:type="dxa"/>
            <w:tcBorders>
              <w:left w:val="single" w:sz="8" w:space="0" w:color="auto"/>
              <w:right w:val="single" w:sz="8" w:space="0" w:color="auto"/>
            </w:tcBorders>
            <w:shd w:val="clear" w:color="auto" w:fill="auto"/>
            <w:vAlign w:val="bottom"/>
          </w:tcPr>
          <w:p w14:paraId="67971B95" w14:textId="77777777" w:rsidR="00A52778" w:rsidRPr="00460F9E" w:rsidRDefault="00A52778" w:rsidP="00FC3F8E">
            <w:pPr>
              <w:spacing w:line="0" w:lineRule="atLeast"/>
              <w:rPr>
                <w:rFonts w:eastAsia="Times New Roman" w:cs="Times New Roman"/>
                <w:b/>
                <w:sz w:val="18"/>
              </w:rPr>
            </w:pPr>
          </w:p>
        </w:tc>
        <w:tc>
          <w:tcPr>
            <w:tcW w:w="3940" w:type="dxa"/>
            <w:tcBorders>
              <w:right w:val="single" w:sz="8" w:space="0" w:color="auto"/>
            </w:tcBorders>
            <w:shd w:val="clear" w:color="auto" w:fill="auto"/>
            <w:vAlign w:val="bottom"/>
          </w:tcPr>
          <w:p w14:paraId="2B0A16AC" w14:textId="77777777" w:rsidR="00A52778" w:rsidRPr="00460F9E" w:rsidRDefault="00A52778" w:rsidP="00FC3F8E">
            <w:pPr>
              <w:spacing w:line="0" w:lineRule="atLeast"/>
              <w:rPr>
                <w:rFonts w:eastAsia="Times New Roman" w:cs="Times New Roman"/>
                <w:b/>
                <w:sz w:val="18"/>
              </w:rPr>
            </w:pPr>
          </w:p>
        </w:tc>
        <w:tc>
          <w:tcPr>
            <w:tcW w:w="4440" w:type="dxa"/>
            <w:vMerge w:val="restart"/>
            <w:tcBorders>
              <w:right w:val="single" w:sz="8" w:space="0" w:color="auto"/>
            </w:tcBorders>
            <w:shd w:val="clear" w:color="auto" w:fill="auto"/>
            <w:vAlign w:val="bottom"/>
          </w:tcPr>
          <w:p w14:paraId="3D147B68"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 xml:space="preserve">Polimerdeki VOC içeriği, sıyırma veya gazdan arındırma ekstrüzyonu kullanılarak düşürülür.  (bkz. Bölüm </w:t>
            </w:r>
            <w:hyperlink w:anchor="page334" w:history="1">
              <w:r w:rsidRPr="00460F9E">
                <w:rPr>
                  <w:rFonts w:eastAsia="Times New Roman" w:cs="Times New Roman"/>
                </w:rPr>
                <w:t>4.4.3)</w:t>
              </w:r>
            </w:hyperlink>
            <w:r w:rsidRPr="00460F9E">
              <w:rPr>
                <w:rFonts w:eastAsia="Times New Roman" w:cs="Times New Roman"/>
              </w:rPr>
              <w:t>.</w:t>
            </w:r>
          </w:p>
        </w:tc>
      </w:tr>
      <w:tr w:rsidR="00A52778" w:rsidRPr="00460F9E" w14:paraId="72FBB171" w14:textId="77777777" w:rsidTr="00FC3F8E">
        <w:trPr>
          <w:trHeight w:val="230"/>
        </w:trPr>
        <w:tc>
          <w:tcPr>
            <w:tcW w:w="380" w:type="dxa"/>
            <w:tcBorders>
              <w:left w:val="single" w:sz="8" w:space="0" w:color="auto"/>
              <w:right w:val="single" w:sz="8" w:space="0" w:color="auto"/>
            </w:tcBorders>
            <w:shd w:val="clear" w:color="auto" w:fill="auto"/>
            <w:vAlign w:val="bottom"/>
          </w:tcPr>
          <w:p w14:paraId="06A861FF"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a.</w:t>
            </w:r>
          </w:p>
        </w:tc>
        <w:tc>
          <w:tcPr>
            <w:tcW w:w="3940" w:type="dxa"/>
            <w:tcBorders>
              <w:right w:val="single" w:sz="8" w:space="0" w:color="auto"/>
            </w:tcBorders>
            <w:shd w:val="clear" w:color="auto" w:fill="auto"/>
            <w:vAlign w:val="bottom"/>
          </w:tcPr>
          <w:p w14:paraId="04C42CBC"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Polimerdeki VOC içeriğinin düşürülmesi</w:t>
            </w:r>
          </w:p>
        </w:tc>
        <w:tc>
          <w:tcPr>
            <w:tcW w:w="4440" w:type="dxa"/>
            <w:vMerge/>
            <w:tcBorders>
              <w:right w:val="single" w:sz="8" w:space="0" w:color="auto"/>
            </w:tcBorders>
            <w:shd w:val="clear" w:color="auto" w:fill="auto"/>
            <w:vAlign w:val="bottom"/>
          </w:tcPr>
          <w:p w14:paraId="74F4EB81" w14:textId="77777777" w:rsidR="00A52778" w:rsidRPr="00460F9E" w:rsidRDefault="00A52778" w:rsidP="00FC3F8E">
            <w:pPr>
              <w:spacing w:line="0" w:lineRule="atLeast"/>
              <w:ind w:left="80"/>
              <w:rPr>
                <w:rFonts w:eastAsia="Times New Roman" w:cs="Times New Roman"/>
                <w:b/>
              </w:rPr>
            </w:pPr>
          </w:p>
        </w:tc>
      </w:tr>
      <w:tr w:rsidR="00A52778" w:rsidRPr="00460F9E" w14:paraId="6E2E1F8D" w14:textId="77777777" w:rsidTr="00FC3F8E">
        <w:trPr>
          <w:trHeight w:val="233"/>
        </w:trPr>
        <w:tc>
          <w:tcPr>
            <w:tcW w:w="380" w:type="dxa"/>
            <w:tcBorders>
              <w:left w:val="single" w:sz="8" w:space="0" w:color="auto"/>
              <w:bottom w:val="single" w:sz="8" w:space="0" w:color="auto"/>
              <w:right w:val="single" w:sz="8" w:space="0" w:color="auto"/>
            </w:tcBorders>
            <w:shd w:val="clear" w:color="auto" w:fill="auto"/>
            <w:vAlign w:val="bottom"/>
          </w:tcPr>
          <w:p w14:paraId="3CD32660" w14:textId="77777777" w:rsidR="00A52778" w:rsidRPr="00460F9E" w:rsidRDefault="00A52778" w:rsidP="00FC3F8E">
            <w:pPr>
              <w:spacing w:line="0" w:lineRule="atLeast"/>
              <w:rPr>
                <w:rFonts w:eastAsia="Times New Roman" w:cs="Times New Roman"/>
                <w:b/>
              </w:rPr>
            </w:pPr>
          </w:p>
        </w:tc>
        <w:tc>
          <w:tcPr>
            <w:tcW w:w="3940" w:type="dxa"/>
            <w:tcBorders>
              <w:bottom w:val="single" w:sz="8" w:space="0" w:color="auto"/>
              <w:right w:val="single" w:sz="8" w:space="0" w:color="auto"/>
            </w:tcBorders>
            <w:shd w:val="clear" w:color="auto" w:fill="auto"/>
            <w:vAlign w:val="bottom"/>
          </w:tcPr>
          <w:p w14:paraId="0B740120" w14:textId="77777777" w:rsidR="00A52778" w:rsidRPr="00460F9E" w:rsidRDefault="00A52778" w:rsidP="00FC3F8E">
            <w:pPr>
              <w:spacing w:line="0" w:lineRule="atLeast"/>
              <w:rPr>
                <w:rFonts w:eastAsia="Times New Roman" w:cs="Times New Roman"/>
                <w:b/>
              </w:rPr>
            </w:pPr>
          </w:p>
        </w:tc>
        <w:tc>
          <w:tcPr>
            <w:tcW w:w="4440" w:type="dxa"/>
            <w:vMerge/>
            <w:tcBorders>
              <w:bottom w:val="single" w:sz="8" w:space="0" w:color="auto"/>
              <w:right w:val="single" w:sz="8" w:space="0" w:color="auto"/>
            </w:tcBorders>
            <w:shd w:val="clear" w:color="auto" w:fill="auto"/>
            <w:vAlign w:val="bottom"/>
          </w:tcPr>
          <w:p w14:paraId="7C5BF0B4" w14:textId="77777777" w:rsidR="00A52778" w:rsidRPr="00460F9E" w:rsidRDefault="00A52778" w:rsidP="00FC3F8E">
            <w:pPr>
              <w:spacing w:line="0" w:lineRule="atLeast"/>
              <w:ind w:left="80"/>
              <w:rPr>
                <w:rFonts w:eastAsia="Times New Roman" w:cs="Times New Roman"/>
                <w:b/>
              </w:rPr>
            </w:pPr>
          </w:p>
        </w:tc>
      </w:tr>
      <w:tr w:rsidR="00A52778" w:rsidRPr="00460F9E" w14:paraId="5F254A4F" w14:textId="77777777" w:rsidTr="00FC3F8E">
        <w:trPr>
          <w:trHeight w:val="218"/>
        </w:trPr>
        <w:tc>
          <w:tcPr>
            <w:tcW w:w="380" w:type="dxa"/>
            <w:tcBorders>
              <w:left w:val="single" w:sz="8" w:space="0" w:color="auto"/>
              <w:right w:val="single" w:sz="8" w:space="0" w:color="auto"/>
            </w:tcBorders>
            <w:shd w:val="clear" w:color="auto" w:fill="auto"/>
            <w:vAlign w:val="bottom"/>
          </w:tcPr>
          <w:p w14:paraId="7A7D4F4B" w14:textId="77777777" w:rsidR="00A52778" w:rsidRPr="00460F9E" w:rsidRDefault="00A52778" w:rsidP="00FC3F8E">
            <w:pPr>
              <w:spacing w:line="0" w:lineRule="atLeast"/>
              <w:rPr>
                <w:rFonts w:eastAsia="Times New Roman" w:cs="Times New Roman"/>
                <w:b/>
                <w:sz w:val="18"/>
              </w:rPr>
            </w:pPr>
          </w:p>
        </w:tc>
        <w:tc>
          <w:tcPr>
            <w:tcW w:w="3940" w:type="dxa"/>
            <w:tcBorders>
              <w:right w:val="single" w:sz="8" w:space="0" w:color="auto"/>
            </w:tcBorders>
            <w:shd w:val="clear" w:color="auto" w:fill="auto"/>
            <w:vAlign w:val="bottom"/>
          </w:tcPr>
          <w:p w14:paraId="3457DFD1" w14:textId="77777777" w:rsidR="00A52778" w:rsidRPr="00460F9E" w:rsidRDefault="00A52778" w:rsidP="00FC3F8E">
            <w:pPr>
              <w:spacing w:line="0" w:lineRule="atLeast"/>
              <w:rPr>
                <w:rFonts w:eastAsia="Times New Roman" w:cs="Times New Roman"/>
                <w:b/>
                <w:sz w:val="18"/>
              </w:rPr>
            </w:pPr>
          </w:p>
        </w:tc>
        <w:tc>
          <w:tcPr>
            <w:tcW w:w="4440" w:type="dxa"/>
            <w:vMerge w:val="restart"/>
            <w:tcBorders>
              <w:right w:val="single" w:sz="8" w:space="0" w:color="auto"/>
            </w:tcBorders>
            <w:shd w:val="clear" w:color="auto" w:fill="auto"/>
            <w:vAlign w:val="bottom"/>
          </w:tcPr>
          <w:p w14:paraId="2A321A3C" w14:textId="77777777" w:rsidR="00A52778" w:rsidRPr="00460F9E" w:rsidRDefault="00A52778" w:rsidP="00FC3F8E">
            <w:pPr>
              <w:spacing w:line="228" w:lineRule="exact"/>
              <w:ind w:left="80"/>
              <w:rPr>
                <w:rFonts w:eastAsia="Times New Roman" w:cs="Times New Roman"/>
                <w:b/>
              </w:rPr>
            </w:pPr>
            <w:r w:rsidRPr="00460F9E">
              <w:rPr>
                <w:rFonts w:eastAsia="Times New Roman" w:cs="Times New Roman"/>
              </w:rPr>
              <w:t xml:space="preserve">Proses çıkış gazları toplanır ve geri kazanıma (bkz. MET 9 ve MET 10) ve/veya azaltıma gönderilir. (bkz. </w:t>
            </w:r>
            <w:hyperlink w:anchor="page302" w:history="1">
              <w:r w:rsidRPr="00460F9E">
                <w:rPr>
                  <w:rFonts w:eastAsia="Times New Roman" w:cs="Times New Roman"/>
                </w:rPr>
                <w:t>MET 11)</w:t>
              </w:r>
            </w:hyperlink>
            <w:r w:rsidRPr="00460F9E">
              <w:rPr>
                <w:rFonts w:eastAsia="Times New Roman" w:cs="Times New Roman"/>
              </w:rPr>
              <w:t>.</w:t>
            </w:r>
          </w:p>
        </w:tc>
      </w:tr>
      <w:tr w:rsidR="00A52778" w:rsidRPr="00460F9E" w14:paraId="57ED9418" w14:textId="77777777" w:rsidTr="00FC3F8E">
        <w:trPr>
          <w:trHeight w:val="228"/>
        </w:trPr>
        <w:tc>
          <w:tcPr>
            <w:tcW w:w="380" w:type="dxa"/>
            <w:tcBorders>
              <w:left w:val="single" w:sz="8" w:space="0" w:color="auto"/>
              <w:right w:val="single" w:sz="8" w:space="0" w:color="auto"/>
            </w:tcBorders>
            <w:shd w:val="clear" w:color="auto" w:fill="auto"/>
            <w:vAlign w:val="bottom"/>
          </w:tcPr>
          <w:p w14:paraId="34A0A2B9" w14:textId="77777777" w:rsidR="00A52778" w:rsidRPr="00460F9E" w:rsidRDefault="00A52778" w:rsidP="00FC3F8E">
            <w:pPr>
              <w:spacing w:line="228" w:lineRule="exact"/>
              <w:ind w:left="100"/>
              <w:rPr>
                <w:rFonts w:eastAsia="Times New Roman" w:cs="Times New Roman"/>
                <w:b/>
              </w:rPr>
            </w:pPr>
            <w:r w:rsidRPr="00460F9E">
              <w:rPr>
                <w:rFonts w:eastAsia="Times New Roman" w:cs="Times New Roman"/>
              </w:rPr>
              <w:t>b.</w:t>
            </w:r>
          </w:p>
        </w:tc>
        <w:tc>
          <w:tcPr>
            <w:tcW w:w="3940" w:type="dxa"/>
            <w:tcBorders>
              <w:right w:val="single" w:sz="8" w:space="0" w:color="auto"/>
            </w:tcBorders>
            <w:shd w:val="clear" w:color="auto" w:fill="auto"/>
            <w:vAlign w:val="bottom"/>
          </w:tcPr>
          <w:p w14:paraId="118F6DE0" w14:textId="77777777" w:rsidR="00A52778" w:rsidRPr="00460F9E" w:rsidRDefault="00A52778" w:rsidP="00FC3F8E">
            <w:pPr>
              <w:spacing w:line="228" w:lineRule="exact"/>
              <w:ind w:left="100"/>
              <w:rPr>
                <w:rFonts w:eastAsia="Times New Roman" w:cs="Times New Roman"/>
                <w:b/>
              </w:rPr>
            </w:pPr>
            <w:r w:rsidRPr="00460F9E">
              <w:rPr>
                <w:rFonts w:eastAsia="Times New Roman" w:cs="Times New Roman"/>
              </w:rPr>
              <w:t>Proses atık gazlarının toplanması ve arıtılması</w:t>
            </w:r>
          </w:p>
        </w:tc>
        <w:tc>
          <w:tcPr>
            <w:tcW w:w="4440" w:type="dxa"/>
            <w:vMerge/>
            <w:tcBorders>
              <w:right w:val="single" w:sz="8" w:space="0" w:color="auto"/>
            </w:tcBorders>
            <w:shd w:val="clear" w:color="auto" w:fill="auto"/>
            <w:vAlign w:val="bottom"/>
          </w:tcPr>
          <w:p w14:paraId="4676D59C" w14:textId="77777777" w:rsidR="00A52778" w:rsidRPr="00460F9E" w:rsidRDefault="00A52778" w:rsidP="00FC3F8E">
            <w:pPr>
              <w:spacing w:line="0" w:lineRule="atLeast"/>
              <w:ind w:left="80"/>
              <w:rPr>
                <w:rFonts w:eastAsia="Times New Roman" w:cs="Times New Roman"/>
                <w:b/>
              </w:rPr>
            </w:pPr>
          </w:p>
        </w:tc>
      </w:tr>
      <w:tr w:rsidR="00A52778" w:rsidRPr="00460F9E" w14:paraId="6C8EB01D" w14:textId="77777777" w:rsidTr="00FC3F8E">
        <w:trPr>
          <w:trHeight w:val="235"/>
        </w:trPr>
        <w:tc>
          <w:tcPr>
            <w:tcW w:w="380" w:type="dxa"/>
            <w:tcBorders>
              <w:left w:val="single" w:sz="8" w:space="0" w:color="auto"/>
              <w:bottom w:val="single" w:sz="8" w:space="0" w:color="auto"/>
              <w:right w:val="single" w:sz="8" w:space="0" w:color="auto"/>
            </w:tcBorders>
            <w:shd w:val="clear" w:color="auto" w:fill="auto"/>
            <w:vAlign w:val="bottom"/>
          </w:tcPr>
          <w:p w14:paraId="50572F10" w14:textId="77777777" w:rsidR="00A52778" w:rsidRPr="00460F9E" w:rsidRDefault="00A52778" w:rsidP="00FC3F8E">
            <w:pPr>
              <w:spacing w:line="0" w:lineRule="atLeast"/>
              <w:rPr>
                <w:rFonts w:eastAsia="Times New Roman" w:cs="Times New Roman"/>
                <w:b/>
              </w:rPr>
            </w:pPr>
          </w:p>
        </w:tc>
        <w:tc>
          <w:tcPr>
            <w:tcW w:w="3940" w:type="dxa"/>
            <w:tcBorders>
              <w:bottom w:val="single" w:sz="8" w:space="0" w:color="auto"/>
              <w:right w:val="single" w:sz="8" w:space="0" w:color="auto"/>
            </w:tcBorders>
            <w:shd w:val="clear" w:color="auto" w:fill="auto"/>
            <w:vAlign w:val="bottom"/>
          </w:tcPr>
          <w:p w14:paraId="3BB56A8E" w14:textId="77777777" w:rsidR="00A52778" w:rsidRPr="00460F9E" w:rsidRDefault="00A52778" w:rsidP="00FC3F8E">
            <w:pPr>
              <w:spacing w:line="0" w:lineRule="atLeast"/>
              <w:rPr>
                <w:rFonts w:eastAsia="Times New Roman" w:cs="Times New Roman"/>
                <w:b/>
              </w:rPr>
            </w:pPr>
          </w:p>
        </w:tc>
        <w:tc>
          <w:tcPr>
            <w:tcW w:w="4440" w:type="dxa"/>
            <w:vMerge/>
            <w:tcBorders>
              <w:bottom w:val="single" w:sz="8" w:space="0" w:color="auto"/>
              <w:right w:val="single" w:sz="8" w:space="0" w:color="auto"/>
            </w:tcBorders>
            <w:shd w:val="clear" w:color="auto" w:fill="auto"/>
            <w:vAlign w:val="bottom"/>
          </w:tcPr>
          <w:p w14:paraId="39C59916" w14:textId="77777777" w:rsidR="00A52778" w:rsidRPr="00460F9E" w:rsidRDefault="00A52778" w:rsidP="00FC3F8E">
            <w:pPr>
              <w:spacing w:line="0" w:lineRule="atLeast"/>
              <w:ind w:left="80"/>
              <w:rPr>
                <w:rFonts w:eastAsia="Times New Roman" w:cs="Times New Roman"/>
                <w:b/>
              </w:rPr>
            </w:pPr>
          </w:p>
        </w:tc>
      </w:tr>
    </w:tbl>
    <w:p w14:paraId="3907418C" w14:textId="77777777" w:rsidR="00A52778" w:rsidRPr="00460F9E" w:rsidRDefault="00A52778" w:rsidP="00A52778">
      <w:pPr>
        <w:spacing w:line="20" w:lineRule="exact"/>
        <w:rPr>
          <w:rFonts w:eastAsia="Times New Roman" w:cs="Times New Roman"/>
          <w:b/>
        </w:rPr>
      </w:pPr>
      <w:r w:rsidRPr="00460F9E">
        <w:rPr>
          <w:rFonts w:eastAsia="Times New Roman" w:cs="Times New Roman"/>
          <w:b/>
          <w:noProof/>
          <w:lang w:val="tr-TR" w:eastAsia="tr-TR"/>
        </w:rPr>
        <w:drawing>
          <wp:anchor distT="0" distB="0" distL="114300" distR="114300" simplePos="0" relativeHeight="251694080" behindDoc="1" locked="0" layoutInCell="1" allowOverlap="1" wp14:anchorId="3C9276F9" wp14:editId="59EB07EC">
            <wp:simplePos x="0" y="0"/>
            <wp:positionH relativeFrom="column">
              <wp:posOffset>508000</wp:posOffset>
            </wp:positionH>
            <wp:positionV relativeFrom="paragraph">
              <wp:posOffset>1766570</wp:posOffset>
            </wp:positionV>
            <wp:extent cx="5436870" cy="6350"/>
            <wp:effectExtent l="0" t="0" r="0" b="0"/>
            <wp:wrapNone/>
            <wp:docPr id="123" name="Resim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6870" cy="6350"/>
                    </a:xfrm>
                    <a:prstGeom prst="rect">
                      <a:avLst/>
                    </a:prstGeom>
                    <a:noFill/>
                  </pic:spPr>
                </pic:pic>
              </a:graphicData>
            </a:graphic>
            <wp14:sizeRelH relativeFrom="page">
              <wp14:pctWidth>0</wp14:pctWidth>
            </wp14:sizeRelH>
            <wp14:sizeRelV relativeFrom="page">
              <wp14:pctHeight>0</wp14:pctHeight>
            </wp14:sizeRelV>
          </wp:anchor>
        </w:drawing>
      </w:r>
      <w:r w:rsidRPr="00460F9E">
        <w:rPr>
          <w:rFonts w:eastAsia="Times New Roman" w:cs="Times New Roman"/>
          <w:b/>
          <w:noProof/>
          <w:lang w:val="tr-TR" w:eastAsia="tr-TR"/>
        </w:rPr>
        <mc:AlternateContent>
          <mc:Choice Requires="wps">
            <w:drawing>
              <wp:anchor distT="0" distB="0" distL="114300" distR="114300" simplePos="0" relativeHeight="251695104" behindDoc="1" locked="0" layoutInCell="1" allowOverlap="1" wp14:anchorId="289BBDEE" wp14:editId="79D21B17">
                <wp:simplePos x="0" y="0"/>
                <wp:positionH relativeFrom="column">
                  <wp:posOffset>5988685</wp:posOffset>
                </wp:positionH>
                <wp:positionV relativeFrom="paragraph">
                  <wp:posOffset>-8890</wp:posOffset>
                </wp:positionV>
                <wp:extent cx="12700" cy="12065"/>
                <wp:effectExtent l="0" t="0" r="0" b="1270"/>
                <wp:wrapNone/>
                <wp:docPr id="122" name="Dikdörtgen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8EDE7" id="Dikdörtgen 122" o:spid="_x0000_s1026" style="position:absolute;margin-left:471.55pt;margin-top:-.7pt;width:1pt;height:.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" fillcolor="black" strokecolor="white"/>
            </w:pict>
          </mc:Fallback>
        </mc:AlternateContent>
      </w:r>
    </w:p>
    <w:p w14:paraId="666A58D2" w14:textId="77777777" w:rsidR="00A52778" w:rsidRPr="00460F9E" w:rsidRDefault="00A52778" w:rsidP="00A52778">
      <w:pPr>
        <w:spacing w:line="20" w:lineRule="exact"/>
        <w:rPr>
          <w:rFonts w:eastAsia="Times New Roman" w:cs="Times New Roman"/>
          <w:b/>
        </w:rPr>
        <w:sectPr w:rsidR="00A52778" w:rsidRPr="00460F9E">
          <w:pgSz w:w="11900" w:h="16838"/>
          <w:pgMar w:top="707" w:right="1026" w:bottom="145" w:left="1440" w:header="0" w:footer="0" w:gutter="0"/>
          <w:cols w:space="0" w:equalWidth="0">
            <w:col w:w="9440"/>
          </w:cols>
          <w:docGrid w:linePitch="360"/>
        </w:sectPr>
      </w:pPr>
    </w:p>
    <w:p w14:paraId="18DE5CA3" w14:textId="77777777" w:rsidR="00A52778" w:rsidRPr="00460F9E" w:rsidRDefault="00A52778" w:rsidP="00A52778">
      <w:pPr>
        <w:spacing w:line="200" w:lineRule="exact"/>
        <w:rPr>
          <w:rFonts w:eastAsia="Times New Roman" w:cs="Times New Roman"/>
          <w:b/>
        </w:rPr>
      </w:pPr>
    </w:p>
    <w:p w14:paraId="2594A5B8" w14:textId="77777777" w:rsidR="00A52778" w:rsidRPr="00460F9E" w:rsidRDefault="00A52778" w:rsidP="00A52778">
      <w:pPr>
        <w:spacing w:line="20" w:lineRule="exact"/>
        <w:rPr>
          <w:rFonts w:eastAsia="Times New Roman" w:cs="Times New Roman"/>
          <w:b/>
        </w:rPr>
      </w:pPr>
      <w:bookmarkStart w:id="346" w:name="page326"/>
      <w:bookmarkEnd w:id="346"/>
    </w:p>
    <w:p w14:paraId="52A648C7" w14:textId="77777777" w:rsidR="00A52778" w:rsidRPr="00460F9E" w:rsidRDefault="00A52778" w:rsidP="00A52778">
      <w:pPr>
        <w:spacing w:line="186" w:lineRule="exact"/>
        <w:rPr>
          <w:rFonts w:eastAsia="Times New Roman" w:cs="Times New Roman"/>
          <w:b/>
        </w:rPr>
      </w:pPr>
    </w:p>
    <w:p w14:paraId="5042D854" w14:textId="77777777" w:rsidR="00A52778" w:rsidRDefault="00A52778" w:rsidP="00A52778">
      <w:pPr>
        <w:tabs>
          <w:tab w:val="left" w:pos="1220"/>
        </w:tabs>
        <w:spacing w:line="234" w:lineRule="auto"/>
        <w:ind w:left="1240" w:right="826" w:hanging="1132"/>
        <w:rPr>
          <w:rFonts w:eastAsia="Times New Roman" w:cs="Times New Roman"/>
        </w:rPr>
      </w:pPr>
      <w:bookmarkStart w:id="347" w:name="_Hlk128911322"/>
      <w:r w:rsidRPr="00D476CA">
        <w:rPr>
          <w:rFonts w:eastAsia="Times New Roman" w:cs="Times New Roman"/>
        </w:rPr>
        <w:t>Spesifik emisyon yükü olarak ifade edilen sentetik kauç</w:t>
      </w:r>
      <w:r>
        <w:rPr>
          <w:rFonts w:eastAsia="Times New Roman" w:cs="Times New Roman"/>
        </w:rPr>
        <w:t>ukların üretiminden</w:t>
      </w:r>
    </w:p>
    <w:p w14:paraId="2F71E6C8" w14:textId="77777777" w:rsidR="00A52778" w:rsidRDefault="00A52778" w:rsidP="00A52778">
      <w:pPr>
        <w:tabs>
          <w:tab w:val="left" w:pos="1220"/>
        </w:tabs>
        <w:spacing w:line="234" w:lineRule="auto"/>
        <w:ind w:left="1240" w:right="826" w:hanging="1132"/>
        <w:rPr>
          <w:rFonts w:eastAsia="Times New Roman" w:cs="Times New Roman"/>
        </w:rPr>
      </w:pPr>
      <w:r w:rsidRPr="00D476CA">
        <w:rPr>
          <w:rFonts w:eastAsia="Times New Roman" w:cs="Times New Roman"/>
        </w:rPr>
        <w:t>kaynaklanan VOC' nin havaya salınan toplam emisyonları için MET</w:t>
      </w:r>
      <w:r>
        <w:rPr>
          <w:rFonts w:eastAsia="Times New Roman" w:cs="Times New Roman"/>
        </w:rPr>
        <w:t>-ilişkili</w:t>
      </w:r>
    </w:p>
    <w:p w14:paraId="3FAF5F72" w14:textId="77777777" w:rsidR="00A52778" w:rsidRPr="00D476CA" w:rsidRDefault="00A52778" w:rsidP="00A52778">
      <w:pPr>
        <w:tabs>
          <w:tab w:val="left" w:pos="1220"/>
        </w:tabs>
        <w:spacing w:line="234" w:lineRule="auto"/>
        <w:ind w:left="1240" w:right="826" w:hanging="1132"/>
        <w:rPr>
          <w:rFonts w:eastAsia="Times New Roman" w:cs="Times New Roman"/>
        </w:rPr>
      </w:pPr>
      <w:r w:rsidRPr="00D476CA">
        <w:rPr>
          <w:rFonts w:eastAsia="Times New Roman" w:cs="Times New Roman"/>
        </w:rPr>
        <w:t>emisyon seviyesi (MET-AEL)</w:t>
      </w:r>
      <w:bookmarkEnd w:id="347"/>
    </w:p>
    <w:p w14:paraId="45ED7B9E" w14:textId="77777777" w:rsidR="00A52778" w:rsidRPr="00460F9E" w:rsidRDefault="00A52778" w:rsidP="00A52778">
      <w:pPr>
        <w:spacing w:line="102" w:lineRule="exact"/>
        <w:rPr>
          <w:rFonts w:eastAsia="Times New Roman" w:cs="Times New Roman"/>
          <w:b/>
        </w:rPr>
      </w:pPr>
    </w:p>
    <w:tbl>
      <w:tblPr>
        <w:tblW w:w="0" w:type="auto"/>
        <w:tblInd w:w="10" w:type="dxa"/>
        <w:tblLayout w:type="fixed"/>
        <w:tblCellMar>
          <w:left w:w="0" w:type="dxa"/>
          <w:right w:w="0" w:type="dxa"/>
        </w:tblCellMar>
        <w:tblLook w:val="0000" w:firstRow="0" w:lastRow="0" w:firstColumn="0" w:lastColumn="0" w:noHBand="0" w:noVBand="0"/>
      </w:tblPr>
      <w:tblGrid>
        <w:gridCol w:w="3382"/>
        <w:gridCol w:w="3698"/>
        <w:gridCol w:w="1680"/>
      </w:tblGrid>
      <w:tr w:rsidR="00A52778" w:rsidRPr="00460F9E" w14:paraId="7D4FE5E3" w14:textId="77777777" w:rsidTr="00FC3F8E">
        <w:trPr>
          <w:trHeight w:val="299"/>
        </w:trPr>
        <w:tc>
          <w:tcPr>
            <w:tcW w:w="3382" w:type="dxa"/>
            <w:vMerge w:val="restart"/>
            <w:tcBorders>
              <w:top w:val="single" w:sz="8" w:space="0" w:color="auto"/>
              <w:left w:val="single" w:sz="8" w:space="0" w:color="auto"/>
              <w:right w:val="single" w:sz="8" w:space="0" w:color="auto"/>
            </w:tcBorders>
            <w:shd w:val="clear" w:color="auto" w:fill="auto"/>
            <w:vAlign w:val="bottom"/>
          </w:tcPr>
          <w:p w14:paraId="42AC491F" w14:textId="77777777" w:rsidR="00A52778" w:rsidRPr="00D476CA" w:rsidRDefault="00A52778" w:rsidP="00FC3F8E">
            <w:pPr>
              <w:spacing w:line="0" w:lineRule="atLeast"/>
              <w:rPr>
                <w:rFonts w:eastAsia="Times New Roman" w:cs="Times New Roman"/>
              </w:rPr>
            </w:pPr>
            <w:r w:rsidRPr="00D476CA">
              <w:rPr>
                <w:rFonts w:eastAsia="Times New Roman" w:cs="Times New Roman"/>
              </w:rPr>
              <w:t xml:space="preserve">  Maddeler/Parametreler</w:t>
            </w:r>
          </w:p>
        </w:tc>
        <w:tc>
          <w:tcPr>
            <w:tcW w:w="3698" w:type="dxa"/>
            <w:vMerge w:val="restart"/>
            <w:tcBorders>
              <w:top w:val="single" w:sz="8" w:space="0" w:color="auto"/>
              <w:right w:val="single" w:sz="8" w:space="0" w:color="auto"/>
            </w:tcBorders>
            <w:shd w:val="clear" w:color="auto" w:fill="auto"/>
            <w:vAlign w:val="bottom"/>
          </w:tcPr>
          <w:p w14:paraId="667DF33D" w14:textId="77777777" w:rsidR="00A52778" w:rsidRPr="00D476CA" w:rsidRDefault="00A52778" w:rsidP="00FC3F8E">
            <w:pPr>
              <w:spacing w:line="0" w:lineRule="atLeast"/>
              <w:jc w:val="center"/>
              <w:rPr>
                <w:rFonts w:eastAsia="Times New Roman" w:cs="Times New Roman"/>
              </w:rPr>
            </w:pPr>
            <w:r w:rsidRPr="00D476CA">
              <w:rPr>
                <w:rFonts w:eastAsia="Times New Roman" w:cs="Times New Roman"/>
              </w:rPr>
              <w:t>Birim</w:t>
            </w:r>
          </w:p>
        </w:tc>
        <w:tc>
          <w:tcPr>
            <w:tcW w:w="1680" w:type="dxa"/>
            <w:tcBorders>
              <w:top w:val="single" w:sz="8" w:space="0" w:color="auto"/>
              <w:right w:val="single" w:sz="8" w:space="0" w:color="auto"/>
            </w:tcBorders>
            <w:shd w:val="clear" w:color="auto" w:fill="auto"/>
            <w:vAlign w:val="bottom"/>
          </w:tcPr>
          <w:p w14:paraId="08E96838" w14:textId="77777777" w:rsidR="00A52778" w:rsidRPr="00D476CA" w:rsidRDefault="00A52778" w:rsidP="00FC3F8E">
            <w:pPr>
              <w:spacing w:line="0" w:lineRule="atLeast"/>
              <w:jc w:val="center"/>
              <w:rPr>
                <w:rFonts w:eastAsia="Times New Roman" w:cs="Times New Roman"/>
              </w:rPr>
            </w:pPr>
            <w:r w:rsidRPr="00D476CA">
              <w:rPr>
                <w:rFonts w:eastAsia="Times New Roman" w:cs="Times New Roman"/>
                <w:w w:val="98"/>
              </w:rPr>
              <w:t>MET</w:t>
            </w:r>
            <w:r w:rsidRPr="00D476CA">
              <w:rPr>
                <w:rFonts w:eastAsia="Times New Roman" w:cs="Times New Roman"/>
              </w:rPr>
              <w:t xml:space="preserve"> -AEL</w:t>
            </w:r>
          </w:p>
        </w:tc>
      </w:tr>
      <w:tr w:rsidR="00A52778" w:rsidRPr="00460F9E" w14:paraId="2C04F5CB" w14:textId="77777777" w:rsidTr="00FC3F8E">
        <w:trPr>
          <w:trHeight w:val="298"/>
        </w:trPr>
        <w:tc>
          <w:tcPr>
            <w:tcW w:w="3382" w:type="dxa"/>
            <w:vMerge/>
            <w:tcBorders>
              <w:left w:val="single" w:sz="8" w:space="0" w:color="auto"/>
              <w:right w:val="single" w:sz="8" w:space="0" w:color="auto"/>
            </w:tcBorders>
            <w:shd w:val="clear" w:color="auto" w:fill="auto"/>
            <w:vAlign w:val="bottom"/>
          </w:tcPr>
          <w:p w14:paraId="7D33227B" w14:textId="77777777" w:rsidR="00A52778" w:rsidRPr="00D476CA" w:rsidRDefault="00A52778" w:rsidP="00FC3F8E">
            <w:pPr>
              <w:spacing w:line="0" w:lineRule="atLeast"/>
              <w:rPr>
                <w:rFonts w:eastAsia="Times New Roman" w:cs="Times New Roman"/>
                <w:sz w:val="12"/>
              </w:rPr>
            </w:pPr>
          </w:p>
        </w:tc>
        <w:tc>
          <w:tcPr>
            <w:tcW w:w="3698" w:type="dxa"/>
            <w:vMerge/>
            <w:tcBorders>
              <w:right w:val="single" w:sz="8" w:space="0" w:color="auto"/>
            </w:tcBorders>
            <w:shd w:val="clear" w:color="auto" w:fill="auto"/>
            <w:vAlign w:val="bottom"/>
          </w:tcPr>
          <w:p w14:paraId="2DBED3FA" w14:textId="77777777" w:rsidR="00A52778" w:rsidRPr="00D476CA" w:rsidRDefault="00A52778" w:rsidP="00FC3F8E">
            <w:pPr>
              <w:spacing w:line="0" w:lineRule="atLeast"/>
              <w:rPr>
                <w:rFonts w:eastAsia="Times New Roman" w:cs="Times New Roman"/>
                <w:sz w:val="12"/>
              </w:rPr>
            </w:pPr>
          </w:p>
        </w:tc>
        <w:tc>
          <w:tcPr>
            <w:tcW w:w="1680" w:type="dxa"/>
            <w:vMerge w:val="restart"/>
            <w:tcBorders>
              <w:right w:val="single" w:sz="8" w:space="0" w:color="auto"/>
            </w:tcBorders>
            <w:shd w:val="clear" w:color="auto" w:fill="auto"/>
            <w:vAlign w:val="bottom"/>
          </w:tcPr>
          <w:p w14:paraId="0CD6EB13" w14:textId="77777777" w:rsidR="00A52778" w:rsidRPr="00D476CA" w:rsidRDefault="00A52778" w:rsidP="00FC3F8E">
            <w:pPr>
              <w:spacing w:line="0" w:lineRule="atLeast"/>
              <w:jc w:val="center"/>
              <w:rPr>
                <w:rFonts w:eastAsia="Times New Roman" w:cs="Times New Roman"/>
                <w:w w:val="99"/>
              </w:rPr>
            </w:pPr>
            <w:r w:rsidRPr="00D476CA">
              <w:rPr>
                <w:rFonts w:eastAsia="Times New Roman" w:cs="Times New Roman"/>
                <w:w w:val="99"/>
              </w:rPr>
              <w:t>(Yıllık ortalama)</w:t>
            </w:r>
          </w:p>
        </w:tc>
      </w:tr>
      <w:tr w:rsidR="00A52778" w:rsidRPr="00460F9E" w14:paraId="5901702E" w14:textId="77777777" w:rsidTr="00FC3F8E">
        <w:trPr>
          <w:trHeight w:val="144"/>
        </w:trPr>
        <w:tc>
          <w:tcPr>
            <w:tcW w:w="3382" w:type="dxa"/>
            <w:tcBorders>
              <w:left w:val="single" w:sz="8" w:space="0" w:color="auto"/>
              <w:right w:val="single" w:sz="8" w:space="0" w:color="auto"/>
            </w:tcBorders>
            <w:shd w:val="clear" w:color="auto" w:fill="auto"/>
            <w:vAlign w:val="bottom"/>
          </w:tcPr>
          <w:p w14:paraId="555647EF" w14:textId="77777777" w:rsidR="00A52778" w:rsidRPr="00460F9E" w:rsidRDefault="00A52778" w:rsidP="00FC3F8E">
            <w:pPr>
              <w:spacing w:line="0" w:lineRule="atLeast"/>
              <w:rPr>
                <w:rFonts w:eastAsia="Times New Roman" w:cs="Times New Roman"/>
                <w:b/>
                <w:sz w:val="12"/>
              </w:rPr>
            </w:pPr>
          </w:p>
        </w:tc>
        <w:tc>
          <w:tcPr>
            <w:tcW w:w="3698" w:type="dxa"/>
            <w:tcBorders>
              <w:right w:val="single" w:sz="8" w:space="0" w:color="auto"/>
            </w:tcBorders>
            <w:shd w:val="clear" w:color="auto" w:fill="auto"/>
            <w:vAlign w:val="bottom"/>
          </w:tcPr>
          <w:p w14:paraId="6A1277D5" w14:textId="77777777" w:rsidR="00A52778" w:rsidRPr="00460F9E" w:rsidRDefault="00A52778" w:rsidP="00FC3F8E">
            <w:pPr>
              <w:spacing w:line="0" w:lineRule="atLeast"/>
              <w:rPr>
                <w:rFonts w:eastAsia="Times New Roman" w:cs="Times New Roman"/>
                <w:b/>
                <w:sz w:val="12"/>
              </w:rPr>
            </w:pPr>
          </w:p>
        </w:tc>
        <w:tc>
          <w:tcPr>
            <w:tcW w:w="1680" w:type="dxa"/>
            <w:vMerge/>
            <w:tcBorders>
              <w:right w:val="single" w:sz="8" w:space="0" w:color="auto"/>
            </w:tcBorders>
            <w:shd w:val="clear" w:color="auto" w:fill="auto"/>
            <w:vAlign w:val="bottom"/>
          </w:tcPr>
          <w:p w14:paraId="618C28AD" w14:textId="77777777" w:rsidR="00A52778" w:rsidRPr="00460F9E" w:rsidRDefault="00A52778" w:rsidP="00FC3F8E">
            <w:pPr>
              <w:spacing w:line="0" w:lineRule="atLeast"/>
              <w:rPr>
                <w:rFonts w:eastAsia="Times New Roman" w:cs="Times New Roman"/>
                <w:b/>
                <w:sz w:val="12"/>
              </w:rPr>
            </w:pPr>
          </w:p>
        </w:tc>
      </w:tr>
      <w:tr w:rsidR="00A52778" w:rsidRPr="00460F9E" w14:paraId="11E66A54" w14:textId="77777777" w:rsidTr="00FC3F8E">
        <w:trPr>
          <w:trHeight w:val="61"/>
        </w:trPr>
        <w:tc>
          <w:tcPr>
            <w:tcW w:w="3382" w:type="dxa"/>
            <w:tcBorders>
              <w:left w:val="single" w:sz="8" w:space="0" w:color="auto"/>
              <w:bottom w:val="single" w:sz="8" w:space="0" w:color="auto"/>
              <w:right w:val="single" w:sz="8" w:space="0" w:color="auto"/>
            </w:tcBorders>
            <w:shd w:val="clear" w:color="auto" w:fill="auto"/>
            <w:vAlign w:val="bottom"/>
          </w:tcPr>
          <w:p w14:paraId="27396DCD" w14:textId="77777777" w:rsidR="00A52778" w:rsidRPr="00460F9E" w:rsidRDefault="00A52778" w:rsidP="00FC3F8E">
            <w:pPr>
              <w:spacing w:line="0" w:lineRule="atLeast"/>
              <w:rPr>
                <w:rFonts w:eastAsia="Times New Roman" w:cs="Times New Roman"/>
                <w:b/>
                <w:sz w:val="5"/>
              </w:rPr>
            </w:pPr>
          </w:p>
        </w:tc>
        <w:tc>
          <w:tcPr>
            <w:tcW w:w="3698" w:type="dxa"/>
            <w:tcBorders>
              <w:bottom w:val="single" w:sz="8" w:space="0" w:color="auto"/>
              <w:right w:val="single" w:sz="8" w:space="0" w:color="auto"/>
            </w:tcBorders>
            <w:shd w:val="clear" w:color="auto" w:fill="auto"/>
            <w:vAlign w:val="bottom"/>
          </w:tcPr>
          <w:p w14:paraId="61362A30" w14:textId="77777777" w:rsidR="00A52778" w:rsidRPr="00460F9E" w:rsidRDefault="00A52778" w:rsidP="00FC3F8E">
            <w:pPr>
              <w:spacing w:line="0" w:lineRule="atLeast"/>
              <w:rPr>
                <w:rFonts w:eastAsia="Times New Roman" w:cs="Times New Roman"/>
                <w:b/>
                <w:sz w:val="5"/>
              </w:rPr>
            </w:pPr>
          </w:p>
        </w:tc>
        <w:tc>
          <w:tcPr>
            <w:tcW w:w="1680" w:type="dxa"/>
            <w:tcBorders>
              <w:bottom w:val="single" w:sz="8" w:space="0" w:color="auto"/>
              <w:right w:val="single" w:sz="8" w:space="0" w:color="auto"/>
            </w:tcBorders>
            <w:shd w:val="clear" w:color="auto" w:fill="auto"/>
            <w:vAlign w:val="bottom"/>
          </w:tcPr>
          <w:p w14:paraId="75FD4FAC" w14:textId="77777777" w:rsidR="00A52778" w:rsidRPr="00460F9E" w:rsidRDefault="00A52778" w:rsidP="00FC3F8E">
            <w:pPr>
              <w:spacing w:line="0" w:lineRule="atLeast"/>
              <w:rPr>
                <w:rFonts w:eastAsia="Times New Roman" w:cs="Times New Roman"/>
                <w:b/>
                <w:sz w:val="5"/>
              </w:rPr>
            </w:pPr>
          </w:p>
        </w:tc>
      </w:tr>
      <w:tr w:rsidR="00A52778" w:rsidRPr="00460F9E" w14:paraId="3E3FA139" w14:textId="77777777" w:rsidTr="00FC3F8E">
        <w:trPr>
          <w:trHeight w:val="274"/>
        </w:trPr>
        <w:tc>
          <w:tcPr>
            <w:tcW w:w="3382" w:type="dxa"/>
            <w:tcBorders>
              <w:left w:val="single" w:sz="8" w:space="0" w:color="auto"/>
              <w:right w:val="single" w:sz="8" w:space="0" w:color="auto"/>
            </w:tcBorders>
            <w:shd w:val="clear" w:color="auto" w:fill="auto"/>
            <w:vAlign w:val="bottom"/>
          </w:tcPr>
          <w:p w14:paraId="4F89E145"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TVOC</w:t>
            </w:r>
          </w:p>
        </w:tc>
        <w:tc>
          <w:tcPr>
            <w:tcW w:w="3698" w:type="dxa"/>
            <w:tcBorders>
              <w:right w:val="single" w:sz="8" w:space="0" w:color="auto"/>
            </w:tcBorders>
            <w:shd w:val="clear" w:color="auto" w:fill="auto"/>
            <w:vAlign w:val="bottom"/>
          </w:tcPr>
          <w:p w14:paraId="7793FC37"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Üretilen her kg sentetik kauçuk başına g C</w:t>
            </w:r>
          </w:p>
        </w:tc>
        <w:tc>
          <w:tcPr>
            <w:tcW w:w="1680" w:type="dxa"/>
            <w:tcBorders>
              <w:right w:val="single" w:sz="8" w:space="0" w:color="auto"/>
            </w:tcBorders>
            <w:shd w:val="clear" w:color="auto" w:fill="auto"/>
            <w:vAlign w:val="bottom"/>
          </w:tcPr>
          <w:p w14:paraId="033FB642"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0,2-4,2</w:t>
            </w:r>
          </w:p>
        </w:tc>
      </w:tr>
      <w:tr w:rsidR="00A52778" w:rsidRPr="00460F9E" w14:paraId="1DA6F535" w14:textId="77777777" w:rsidTr="00FC3F8E">
        <w:trPr>
          <w:trHeight w:val="66"/>
        </w:trPr>
        <w:tc>
          <w:tcPr>
            <w:tcW w:w="3382" w:type="dxa"/>
            <w:tcBorders>
              <w:left w:val="single" w:sz="8" w:space="0" w:color="auto"/>
              <w:bottom w:val="single" w:sz="8" w:space="0" w:color="auto"/>
              <w:right w:val="single" w:sz="8" w:space="0" w:color="auto"/>
            </w:tcBorders>
            <w:shd w:val="clear" w:color="auto" w:fill="auto"/>
            <w:vAlign w:val="bottom"/>
          </w:tcPr>
          <w:p w14:paraId="2A18D7BC" w14:textId="77777777" w:rsidR="00A52778" w:rsidRPr="00460F9E" w:rsidRDefault="00A52778" w:rsidP="00FC3F8E">
            <w:pPr>
              <w:spacing w:line="0" w:lineRule="atLeast"/>
              <w:rPr>
                <w:rFonts w:eastAsia="Times New Roman" w:cs="Times New Roman"/>
                <w:b/>
                <w:sz w:val="5"/>
              </w:rPr>
            </w:pPr>
          </w:p>
        </w:tc>
        <w:tc>
          <w:tcPr>
            <w:tcW w:w="3698" w:type="dxa"/>
            <w:tcBorders>
              <w:bottom w:val="single" w:sz="8" w:space="0" w:color="auto"/>
              <w:right w:val="single" w:sz="8" w:space="0" w:color="auto"/>
            </w:tcBorders>
            <w:shd w:val="clear" w:color="auto" w:fill="auto"/>
            <w:vAlign w:val="bottom"/>
          </w:tcPr>
          <w:p w14:paraId="1619117B" w14:textId="77777777" w:rsidR="00A52778" w:rsidRPr="00460F9E" w:rsidRDefault="00A52778" w:rsidP="00FC3F8E">
            <w:pPr>
              <w:spacing w:line="0" w:lineRule="atLeast"/>
              <w:rPr>
                <w:rFonts w:eastAsia="Times New Roman" w:cs="Times New Roman"/>
                <w:b/>
                <w:sz w:val="5"/>
              </w:rPr>
            </w:pPr>
          </w:p>
        </w:tc>
        <w:tc>
          <w:tcPr>
            <w:tcW w:w="1680" w:type="dxa"/>
            <w:tcBorders>
              <w:bottom w:val="single" w:sz="8" w:space="0" w:color="auto"/>
              <w:right w:val="single" w:sz="8" w:space="0" w:color="auto"/>
            </w:tcBorders>
            <w:shd w:val="clear" w:color="auto" w:fill="auto"/>
            <w:vAlign w:val="bottom"/>
          </w:tcPr>
          <w:p w14:paraId="5AC0486A" w14:textId="77777777" w:rsidR="00A52778" w:rsidRPr="00460F9E" w:rsidRDefault="00A52778" w:rsidP="00FC3F8E">
            <w:pPr>
              <w:spacing w:line="0" w:lineRule="atLeast"/>
              <w:rPr>
                <w:rFonts w:eastAsia="Times New Roman" w:cs="Times New Roman"/>
                <w:b/>
                <w:sz w:val="5"/>
              </w:rPr>
            </w:pPr>
          </w:p>
        </w:tc>
      </w:tr>
    </w:tbl>
    <w:p w14:paraId="2919BEE8" w14:textId="77777777" w:rsidR="00A52778" w:rsidRPr="00460F9E" w:rsidRDefault="00A52778" w:rsidP="00A52778">
      <w:pPr>
        <w:spacing w:line="200" w:lineRule="exact"/>
        <w:rPr>
          <w:rFonts w:eastAsia="Times New Roman" w:cs="Times New Roman"/>
          <w:b/>
        </w:rPr>
      </w:pPr>
    </w:p>
    <w:p w14:paraId="5BBD9D27" w14:textId="77777777" w:rsidR="00A52778" w:rsidRPr="00460F9E" w:rsidRDefault="00A52778" w:rsidP="00A52778">
      <w:pPr>
        <w:spacing w:line="310" w:lineRule="exact"/>
        <w:rPr>
          <w:rFonts w:eastAsia="Times New Roman" w:cs="Times New Roman"/>
          <w:b/>
        </w:rPr>
      </w:pPr>
    </w:p>
    <w:p w14:paraId="1442B6F7" w14:textId="77777777" w:rsidR="00A52778" w:rsidRPr="00460F9E" w:rsidRDefault="00A52778" w:rsidP="00A52778">
      <w:pPr>
        <w:spacing w:line="237" w:lineRule="auto"/>
        <w:ind w:left="120" w:right="826"/>
        <w:rPr>
          <w:rFonts w:eastAsia="Times New Roman" w:cs="Times New Roman"/>
          <w:b/>
        </w:rPr>
      </w:pPr>
      <w:r w:rsidRPr="00460F9E">
        <w:rPr>
          <w:rFonts w:eastAsia="Times New Roman" w:cs="Times New Roman"/>
        </w:rPr>
        <w:t>İlişkili izleme MET 8, MET 20, MET 22 ve MET 31' de verilmiştir. Havaya salınan TVOC emisyonlarının izlenmesi, emisyonların MET 2' deki envanterde konuyla ilgili olarak tanımlanan aşağıdaki işlem adımlarından kaynaklanan tüm emisyonları içerir: hammaddelerin depolanması, polimerizasyonu, malzemelerin geri kazanımı ve azaltma teknikleri, polimerin işlenmesi (örn. ekstrüzyon, kurutma, harmanlama) ve sentetik kauçukların aktarılması, taşınması ve depolanması.</w:t>
      </w:r>
    </w:p>
    <w:p w14:paraId="5E71D461" w14:textId="77777777" w:rsidR="00A52778" w:rsidRPr="00460F9E" w:rsidRDefault="00A52778" w:rsidP="00A52778">
      <w:pPr>
        <w:spacing w:line="200" w:lineRule="exact"/>
        <w:rPr>
          <w:rFonts w:eastAsia="Times New Roman" w:cs="Times New Roman"/>
          <w:b/>
        </w:rPr>
      </w:pPr>
    </w:p>
    <w:p w14:paraId="4FED8559" w14:textId="77777777" w:rsidR="00A52778" w:rsidRPr="00460F9E" w:rsidRDefault="00A52778" w:rsidP="00A52778">
      <w:pPr>
        <w:spacing w:line="316" w:lineRule="exact"/>
        <w:rPr>
          <w:rFonts w:eastAsia="Times New Roman" w:cs="Times New Roman"/>
          <w:b/>
        </w:rPr>
      </w:pPr>
    </w:p>
    <w:p w14:paraId="662187B0" w14:textId="77777777" w:rsidR="00A52778" w:rsidRPr="00EA6E76" w:rsidRDefault="00A52778" w:rsidP="00A52778">
      <w:pPr>
        <w:tabs>
          <w:tab w:val="left" w:pos="1220"/>
        </w:tabs>
        <w:spacing w:line="0" w:lineRule="atLeast"/>
        <w:ind w:left="120"/>
        <w:rPr>
          <w:rFonts w:eastAsia="Arial" w:cs="Times New Roman"/>
          <w:sz w:val="16"/>
        </w:rPr>
      </w:pPr>
      <w:r>
        <w:rPr>
          <w:rFonts w:eastAsia="Arial" w:cs="Times New Roman"/>
        </w:rPr>
        <w:t>2</w:t>
      </w:r>
      <w:r w:rsidRPr="00EA6E76">
        <w:rPr>
          <w:rFonts w:eastAsia="Arial" w:cs="Times New Roman"/>
        </w:rPr>
        <w:t>.2.4</w:t>
      </w:r>
      <w:r>
        <w:rPr>
          <w:rFonts w:eastAsia="Times New Roman" w:cs="Times New Roman"/>
        </w:rPr>
        <w:t xml:space="preserve"> </w:t>
      </w:r>
      <w:r w:rsidRPr="00EA6E76">
        <w:rPr>
          <w:rFonts w:eastAsia="Arial" w:cs="Times New Roman"/>
        </w:rPr>
        <w:t>CS</w:t>
      </w:r>
      <w:r w:rsidRPr="00EA6E76">
        <w:rPr>
          <w:rFonts w:eastAsia="Arial" w:cs="Times New Roman"/>
          <w:vertAlign w:val="subscript"/>
        </w:rPr>
        <w:t>2</w:t>
      </w:r>
      <w:r w:rsidRPr="00EA6E76">
        <w:rPr>
          <w:rFonts w:eastAsia="Arial" w:cs="Times New Roman"/>
        </w:rPr>
        <w:t xml:space="preserve"> kullanarak viskoz üretimi için MET sonuçları</w:t>
      </w:r>
    </w:p>
    <w:p w14:paraId="2F5F5B68" w14:textId="77777777" w:rsidR="00A52778" w:rsidRPr="00460F9E" w:rsidRDefault="00A52778" w:rsidP="00A52778">
      <w:pPr>
        <w:spacing w:line="305" w:lineRule="exact"/>
        <w:rPr>
          <w:rFonts w:eastAsia="Times New Roman" w:cs="Times New Roman"/>
          <w:b/>
        </w:rPr>
      </w:pPr>
    </w:p>
    <w:p w14:paraId="784270E8" w14:textId="77777777" w:rsidR="00A52778" w:rsidRPr="00460F9E" w:rsidRDefault="00A52778" w:rsidP="00A52778">
      <w:pPr>
        <w:spacing w:line="237" w:lineRule="auto"/>
        <w:ind w:left="120" w:right="826"/>
        <w:rPr>
          <w:rFonts w:eastAsia="Times New Roman" w:cs="Times New Roman"/>
          <w:b/>
        </w:rPr>
      </w:pPr>
      <w:r>
        <w:rPr>
          <w:rFonts w:eastAsia="Times New Roman" w:cs="Times New Roman"/>
        </w:rPr>
        <w:t>MET 33: H</w:t>
      </w:r>
      <w:r w:rsidRPr="00EA6E76">
        <w:rPr>
          <w:rFonts w:eastAsia="Times New Roman" w:cs="Times New Roman"/>
        </w:rPr>
        <w:t>avaya kanalize edilen emisyonları en azından aşağıda verilen sıklıkta ve EN standartlarına uygun olarak izlenmesidir. EN standartlarının mevcut olmaması halinde MET, eşdeğer bilimsel kalitede verilerin sağlanmasını temin eden ISO, ulusal veya diğer uluslararası standartları kullanacaktır.</w:t>
      </w:r>
    </w:p>
    <w:p w14:paraId="27F2631A" w14:textId="77777777" w:rsidR="00A52778" w:rsidRPr="00460F9E" w:rsidRDefault="00A52778" w:rsidP="00A52778">
      <w:pPr>
        <w:spacing w:line="327" w:lineRule="exact"/>
        <w:rPr>
          <w:rFonts w:eastAsia="Times New Roman" w:cs="Times New Roman"/>
          <w:b/>
        </w:rPr>
      </w:pPr>
    </w:p>
    <w:tbl>
      <w:tblPr>
        <w:tblW w:w="0" w:type="auto"/>
        <w:tblInd w:w="10" w:type="dxa"/>
        <w:tblLayout w:type="fixed"/>
        <w:tblCellMar>
          <w:left w:w="0" w:type="dxa"/>
          <w:right w:w="0" w:type="dxa"/>
        </w:tblCellMar>
        <w:tblLook w:val="0000" w:firstRow="0" w:lastRow="0" w:firstColumn="0" w:lastColumn="0" w:noHBand="0" w:noVBand="0"/>
      </w:tblPr>
      <w:tblGrid>
        <w:gridCol w:w="340"/>
        <w:gridCol w:w="1320"/>
        <w:gridCol w:w="2080"/>
        <w:gridCol w:w="1540"/>
        <w:gridCol w:w="1720"/>
        <w:gridCol w:w="1760"/>
      </w:tblGrid>
      <w:tr w:rsidR="00A52778" w:rsidRPr="00460F9E" w14:paraId="59CFD1FA" w14:textId="77777777" w:rsidTr="00FC3F8E">
        <w:trPr>
          <w:trHeight w:val="239"/>
        </w:trPr>
        <w:tc>
          <w:tcPr>
            <w:tcW w:w="1660" w:type="dxa"/>
            <w:gridSpan w:val="2"/>
            <w:vMerge w:val="restart"/>
            <w:tcBorders>
              <w:top w:val="single" w:sz="8" w:space="0" w:color="auto"/>
              <w:left w:val="single" w:sz="8" w:space="0" w:color="auto"/>
              <w:right w:val="single" w:sz="8" w:space="0" w:color="auto"/>
            </w:tcBorders>
            <w:shd w:val="clear" w:color="auto" w:fill="auto"/>
            <w:vAlign w:val="bottom"/>
          </w:tcPr>
          <w:p w14:paraId="18D0A8CD" w14:textId="77777777" w:rsidR="00A52778" w:rsidRPr="00460F9E" w:rsidRDefault="00A52778" w:rsidP="00FC3F8E">
            <w:pPr>
              <w:spacing w:line="0" w:lineRule="atLeast"/>
              <w:ind w:left="260"/>
              <w:rPr>
                <w:rFonts w:eastAsia="Times New Roman" w:cs="Times New Roman"/>
                <w:b/>
              </w:rPr>
            </w:pPr>
            <w:r w:rsidRPr="00460F9E">
              <w:rPr>
                <w:rFonts w:eastAsia="Times New Roman" w:cs="Times New Roman"/>
              </w:rPr>
              <w:t>Maddeler (</w:t>
            </w:r>
            <w:r w:rsidRPr="00460F9E">
              <w:rPr>
                <w:rFonts w:eastAsia="Times New Roman" w:cs="Times New Roman"/>
                <w:sz w:val="25"/>
                <w:vertAlign w:val="superscript"/>
              </w:rPr>
              <w:t>1</w:t>
            </w:r>
            <w:r w:rsidRPr="00460F9E">
              <w:rPr>
                <w:rFonts w:eastAsia="Times New Roman" w:cs="Times New Roman"/>
              </w:rPr>
              <w:t>)</w:t>
            </w:r>
          </w:p>
        </w:tc>
        <w:tc>
          <w:tcPr>
            <w:tcW w:w="2080" w:type="dxa"/>
            <w:tcBorders>
              <w:top w:val="single" w:sz="8" w:space="0" w:color="auto"/>
              <w:right w:val="single" w:sz="8" w:space="0" w:color="auto"/>
            </w:tcBorders>
            <w:shd w:val="clear" w:color="auto" w:fill="auto"/>
            <w:vAlign w:val="bottom"/>
          </w:tcPr>
          <w:p w14:paraId="17E87779" w14:textId="77777777" w:rsidR="00A52778" w:rsidRPr="00460F9E" w:rsidRDefault="00A52778" w:rsidP="00FC3F8E">
            <w:pPr>
              <w:spacing w:line="0" w:lineRule="atLeast"/>
              <w:rPr>
                <w:rFonts w:eastAsia="Times New Roman" w:cs="Times New Roman"/>
                <w:b/>
              </w:rPr>
            </w:pPr>
          </w:p>
        </w:tc>
        <w:tc>
          <w:tcPr>
            <w:tcW w:w="1540" w:type="dxa"/>
            <w:tcBorders>
              <w:top w:val="single" w:sz="8" w:space="0" w:color="auto"/>
              <w:right w:val="single" w:sz="8" w:space="0" w:color="auto"/>
            </w:tcBorders>
            <w:shd w:val="clear" w:color="auto" w:fill="auto"/>
            <w:vAlign w:val="bottom"/>
          </w:tcPr>
          <w:p w14:paraId="4C3C1CDF" w14:textId="77777777" w:rsidR="00A52778" w:rsidRPr="00460F9E" w:rsidRDefault="00A52778" w:rsidP="00FC3F8E">
            <w:pPr>
              <w:spacing w:line="0" w:lineRule="atLeast"/>
              <w:rPr>
                <w:rFonts w:eastAsia="Times New Roman" w:cs="Times New Roman"/>
                <w:b/>
              </w:rPr>
            </w:pPr>
          </w:p>
        </w:tc>
        <w:tc>
          <w:tcPr>
            <w:tcW w:w="1720" w:type="dxa"/>
            <w:vMerge w:val="restart"/>
            <w:tcBorders>
              <w:top w:val="single" w:sz="8" w:space="0" w:color="auto"/>
              <w:right w:val="single" w:sz="8" w:space="0" w:color="auto"/>
            </w:tcBorders>
            <w:shd w:val="clear" w:color="auto" w:fill="auto"/>
            <w:vAlign w:val="bottom"/>
          </w:tcPr>
          <w:p w14:paraId="392C6E87"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Minimum</w:t>
            </w:r>
          </w:p>
          <w:p w14:paraId="789910E0"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izleme</w:t>
            </w:r>
          </w:p>
          <w:p w14:paraId="2329476E" w14:textId="77777777" w:rsidR="00A52778" w:rsidRPr="00460F9E" w:rsidRDefault="00A52778" w:rsidP="00FC3F8E">
            <w:pPr>
              <w:spacing w:line="219" w:lineRule="exact"/>
              <w:jc w:val="center"/>
              <w:rPr>
                <w:rFonts w:eastAsia="Times New Roman" w:cs="Times New Roman"/>
                <w:b/>
              </w:rPr>
            </w:pPr>
            <w:r w:rsidRPr="00460F9E">
              <w:rPr>
                <w:rFonts w:eastAsia="Times New Roman" w:cs="Times New Roman"/>
                <w:w w:val="98"/>
              </w:rPr>
              <w:t>sıklıkları</w:t>
            </w:r>
          </w:p>
        </w:tc>
        <w:tc>
          <w:tcPr>
            <w:tcW w:w="1760" w:type="dxa"/>
            <w:vMerge w:val="restart"/>
            <w:tcBorders>
              <w:top w:val="single" w:sz="8" w:space="0" w:color="auto"/>
              <w:right w:val="single" w:sz="8" w:space="0" w:color="auto"/>
            </w:tcBorders>
            <w:shd w:val="clear" w:color="auto" w:fill="auto"/>
            <w:vAlign w:val="center"/>
          </w:tcPr>
          <w:p w14:paraId="01A609BA"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w w:val="99"/>
              </w:rPr>
              <w:t>İlişkili izleme</w:t>
            </w:r>
          </w:p>
        </w:tc>
      </w:tr>
      <w:tr w:rsidR="00A52778" w:rsidRPr="00460F9E" w14:paraId="2374CC5D" w14:textId="77777777" w:rsidTr="00FC3F8E">
        <w:trPr>
          <w:trHeight w:val="241"/>
        </w:trPr>
        <w:tc>
          <w:tcPr>
            <w:tcW w:w="1660" w:type="dxa"/>
            <w:gridSpan w:val="2"/>
            <w:vMerge/>
            <w:tcBorders>
              <w:left w:val="single" w:sz="8" w:space="0" w:color="auto"/>
              <w:bottom w:val="nil"/>
              <w:right w:val="single" w:sz="8" w:space="0" w:color="auto"/>
            </w:tcBorders>
            <w:shd w:val="clear" w:color="auto" w:fill="auto"/>
            <w:vAlign w:val="bottom"/>
          </w:tcPr>
          <w:p w14:paraId="14B74083" w14:textId="77777777" w:rsidR="00A52778" w:rsidRPr="00460F9E" w:rsidRDefault="00A52778" w:rsidP="00FC3F8E">
            <w:pPr>
              <w:spacing w:line="0" w:lineRule="atLeast"/>
              <w:rPr>
                <w:rFonts w:eastAsia="Times New Roman" w:cs="Times New Roman"/>
                <w:b/>
                <w:sz w:val="10"/>
              </w:rPr>
            </w:pPr>
          </w:p>
        </w:tc>
        <w:tc>
          <w:tcPr>
            <w:tcW w:w="2080" w:type="dxa"/>
            <w:tcBorders>
              <w:bottom w:val="nil"/>
              <w:right w:val="single" w:sz="8" w:space="0" w:color="auto"/>
            </w:tcBorders>
            <w:shd w:val="clear" w:color="auto" w:fill="auto"/>
            <w:vAlign w:val="bottom"/>
          </w:tcPr>
          <w:p w14:paraId="5532949D"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Emisyon noktaları</w:t>
            </w:r>
          </w:p>
        </w:tc>
        <w:tc>
          <w:tcPr>
            <w:tcW w:w="1540" w:type="dxa"/>
            <w:tcBorders>
              <w:bottom w:val="nil"/>
              <w:right w:val="single" w:sz="8" w:space="0" w:color="auto"/>
            </w:tcBorders>
            <w:shd w:val="clear" w:color="auto" w:fill="auto"/>
            <w:vAlign w:val="bottom"/>
          </w:tcPr>
          <w:p w14:paraId="107C3FA0"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w w:val="98"/>
              </w:rPr>
              <w:t>Standart(lar)</w:t>
            </w:r>
          </w:p>
        </w:tc>
        <w:tc>
          <w:tcPr>
            <w:tcW w:w="1720" w:type="dxa"/>
            <w:vMerge/>
            <w:tcBorders>
              <w:bottom w:val="nil"/>
              <w:right w:val="single" w:sz="8" w:space="0" w:color="auto"/>
            </w:tcBorders>
            <w:shd w:val="clear" w:color="auto" w:fill="auto"/>
            <w:vAlign w:val="bottom"/>
          </w:tcPr>
          <w:p w14:paraId="09A1A8E2" w14:textId="77777777" w:rsidR="00A52778" w:rsidRPr="00460F9E" w:rsidRDefault="00A52778" w:rsidP="00FC3F8E">
            <w:pPr>
              <w:spacing w:line="219" w:lineRule="exact"/>
              <w:jc w:val="center"/>
              <w:rPr>
                <w:rFonts w:eastAsia="Times New Roman" w:cs="Times New Roman"/>
                <w:b/>
              </w:rPr>
            </w:pPr>
          </w:p>
        </w:tc>
        <w:tc>
          <w:tcPr>
            <w:tcW w:w="1760" w:type="dxa"/>
            <w:vMerge/>
            <w:tcBorders>
              <w:bottom w:val="nil"/>
              <w:right w:val="single" w:sz="8" w:space="0" w:color="auto"/>
            </w:tcBorders>
            <w:shd w:val="clear" w:color="auto" w:fill="auto"/>
            <w:vAlign w:val="bottom"/>
          </w:tcPr>
          <w:p w14:paraId="19D88BB8" w14:textId="77777777" w:rsidR="00A52778" w:rsidRPr="00460F9E" w:rsidRDefault="00A52778" w:rsidP="00FC3F8E">
            <w:pPr>
              <w:spacing w:line="0" w:lineRule="atLeast"/>
              <w:jc w:val="center"/>
              <w:rPr>
                <w:rFonts w:eastAsia="Times New Roman" w:cs="Times New Roman"/>
                <w:b/>
                <w:sz w:val="10"/>
              </w:rPr>
            </w:pPr>
          </w:p>
        </w:tc>
      </w:tr>
      <w:tr w:rsidR="00A52778" w:rsidRPr="00460F9E" w14:paraId="1470A22F" w14:textId="77777777" w:rsidTr="00FC3F8E">
        <w:trPr>
          <w:trHeight w:val="104"/>
        </w:trPr>
        <w:tc>
          <w:tcPr>
            <w:tcW w:w="340" w:type="dxa"/>
            <w:tcBorders>
              <w:left w:val="single" w:sz="8" w:space="0" w:color="auto"/>
            </w:tcBorders>
            <w:shd w:val="clear" w:color="auto" w:fill="auto"/>
            <w:vAlign w:val="bottom"/>
          </w:tcPr>
          <w:p w14:paraId="52D0E04E" w14:textId="77777777" w:rsidR="00A52778" w:rsidRPr="00460F9E" w:rsidRDefault="00A52778" w:rsidP="00FC3F8E">
            <w:pPr>
              <w:spacing w:line="0" w:lineRule="atLeast"/>
              <w:rPr>
                <w:rFonts w:eastAsia="Times New Roman" w:cs="Times New Roman"/>
                <w:b/>
                <w:sz w:val="9"/>
              </w:rPr>
            </w:pPr>
          </w:p>
        </w:tc>
        <w:tc>
          <w:tcPr>
            <w:tcW w:w="1320" w:type="dxa"/>
            <w:tcBorders>
              <w:right w:val="single" w:sz="8" w:space="0" w:color="auto"/>
            </w:tcBorders>
            <w:shd w:val="clear" w:color="auto" w:fill="auto"/>
            <w:vAlign w:val="bottom"/>
          </w:tcPr>
          <w:p w14:paraId="3239E5FB" w14:textId="77777777" w:rsidR="00A52778" w:rsidRPr="00460F9E" w:rsidRDefault="00A52778" w:rsidP="00FC3F8E">
            <w:pPr>
              <w:spacing w:line="0" w:lineRule="atLeast"/>
              <w:rPr>
                <w:rFonts w:eastAsia="Times New Roman" w:cs="Times New Roman"/>
                <w:b/>
                <w:sz w:val="9"/>
              </w:rPr>
            </w:pPr>
          </w:p>
        </w:tc>
        <w:tc>
          <w:tcPr>
            <w:tcW w:w="2080" w:type="dxa"/>
            <w:tcBorders>
              <w:right w:val="single" w:sz="8" w:space="0" w:color="auto"/>
            </w:tcBorders>
            <w:shd w:val="clear" w:color="auto" w:fill="auto"/>
            <w:vAlign w:val="bottom"/>
          </w:tcPr>
          <w:p w14:paraId="72389942" w14:textId="77777777" w:rsidR="00A52778" w:rsidRPr="00460F9E" w:rsidRDefault="00A52778" w:rsidP="00FC3F8E">
            <w:pPr>
              <w:spacing w:line="0" w:lineRule="atLeast"/>
              <w:rPr>
                <w:rFonts w:eastAsia="Times New Roman" w:cs="Times New Roman"/>
                <w:b/>
                <w:sz w:val="9"/>
              </w:rPr>
            </w:pPr>
          </w:p>
        </w:tc>
        <w:tc>
          <w:tcPr>
            <w:tcW w:w="1540" w:type="dxa"/>
            <w:tcBorders>
              <w:right w:val="single" w:sz="8" w:space="0" w:color="auto"/>
            </w:tcBorders>
            <w:shd w:val="clear" w:color="auto" w:fill="auto"/>
            <w:vAlign w:val="bottom"/>
          </w:tcPr>
          <w:p w14:paraId="005C7955" w14:textId="77777777" w:rsidR="00A52778" w:rsidRPr="00460F9E" w:rsidRDefault="00A52778" w:rsidP="00FC3F8E">
            <w:pPr>
              <w:spacing w:line="0" w:lineRule="atLeast"/>
              <w:rPr>
                <w:rFonts w:eastAsia="Times New Roman" w:cs="Times New Roman"/>
                <w:b/>
                <w:sz w:val="9"/>
              </w:rPr>
            </w:pPr>
          </w:p>
        </w:tc>
        <w:tc>
          <w:tcPr>
            <w:tcW w:w="1720" w:type="dxa"/>
            <w:vMerge/>
            <w:tcBorders>
              <w:right w:val="single" w:sz="8" w:space="0" w:color="auto"/>
            </w:tcBorders>
            <w:shd w:val="clear" w:color="auto" w:fill="auto"/>
            <w:vAlign w:val="bottom"/>
          </w:tcPr>
          <w:p w14:paraId="76A76B32" w14:textId="77777777" w:rsidR="00A52778" w:rsidRPr="00460F9E" w:rsidRDefault="00A52778" w:rsidP="00FC3F8E">
            <w:pPr>
              <w:spacing w:line="219" w:lineRule="exact"/>
              <w:jc w:val="center"/>
              <w:rPr>
                <w:rFonts w:eastAsia="Times New Roman" w:cs="Times New Roman"/>
                <w:b/>
                <w:w w:val="98"/>
              </w:rPr>
            </w:pPr>
          </w:p>
        </w:tc>
        <w:tc>
          <w:tcPr>
            <w:tcW w:w="1760" w:type="dxa"/>
            <w:vMerge/>
            <w:tcBorders>
              <w:right w:val="single" w:sz="8" w:space="0" w:color="auto"/>
            </w:tcBorders>
            <w:shd w:val="clear" w:color="auto" w:fill="auto"/>
            <w:vAlign w:val="bottom"/>
          </w:tcPr>
          <w:p w14:paraId="0FC85BA6" w14:textId="77777777" w:rsidR="00A52778" w:rsidRPr="00460F9E" w:rsidRDefault="00A52778" w:rsidP="00FC3F8E">
            <w:pPr>
              <w:spacing w:line="0" w:lineRule="atLeast"/>
              <w:rPr>
                <w:rFonts w:eastAsia="Times New Roman" w:cs="Times New Roman"/>
                <w:b/>
                <w:sz w:val="9"/>
              </w:rPr>
            </w:pPr>
          </w:p>
        </w:tc>
      </w:tr>
      <w:tr w:rsidR="00A52778" w:rsidRPr="00460F9E" w14:paraId="5CEBD86D" w14:textId="77777777" w:rsidTr="00FC3F8E">
        <w:trPr>
          <w:trHeight w:val="116"/>
        </w:trPr>
        <w:tc>
          <w:tcPr>
            <w:tcW w:w="340" w:type="dxa"/>
            <w:tcBorders>
              <w:left w:val="single" w:sz="8" w:space="0" w:color="auto"/>
              <w:bottom w:val="single" w:sz="8" w:space="0" w:color="auto"/>
            </w:tcBorders>
            <w:shd w:val="clear" w:color="auto" w:fill="auto"/>
            <w:vAlign w:val="bottom"/>
          </w:tcPr>
          <w:p w14:paraId="400AA55D" w14:textId="77777777" w:rsidR="00A52778" w:rsidRPr="00460F9E" w:rsidRDefault="00A52778" w:rsidP="00FC3F8E">
            <w:pPr>
              <w:spacing w:line="0" w:lineRule="atLeast"/>
              <w:rPr>
                <w:rFonts w:eastAsia="Times New Roman" w:cs="Times New Roman"/>
                <w:b/>
                <w:sz w:val="10"/>
              </w:rPr>
            </w:pPr>
          </w:p>
        </w:tc>
        <w:tc>
          <w:tcPr>
            <w:tcW w:w="1320" w:type="dxa"/>
            <w:tcBorders>
              <w:bottom w:val="single" w:sz="8" w:space="0" w:color="auto"/>
              <w:right w:val="single" w:sz="8" w:space="0" w:color="auto"/>
            </w:tcBorders>
            <w:shd w:val="clear" w:color="auto" w:fill="auto"/>
            <w:vAlign w:val="bottom"/>
          </w:tcPr>
          <w:p w14:paraId="7376B4C7" w14:textId="77777777" w:rsidR="00A52778" w:rsidRPr="00460F9E" w:rsidRDefault="00A52778" w:rsidP="00FC3F8E">
            <w:pPr>
              <w:spacing w:line="0" w:lineRule="atLeast"/>
              <w:rPr>
                <w:rFonts w:eastAsia="Times New Roman" w:cs="Times New Roman"/>
                <w:b/>
                <w:sz w:val="10"/>
              </w:rPr>
            </w:pPr>
          </w:p>
        </w:tc>
        <w:tc>
          <w:tcPr>
            <w:tcW w:w="2080" w:type="dxa"/>
            <w:tcBorders>
              <w:bottom w:val="single" w:sz="8" w:space="0" w:color="auto"/>
              <w:right w:val="single" w:sz="8" w:space="0" w:color="auto"/>
            </w:tcBorders>
            <w:shd w:val="clear" w:color="auto" w:fill="auto"/>
            <w:vAlign w:val="bottom"/>
          </w:tcPr>
          <w:p w14:paraId="2C0227E3" w14:textId="77777777" w:rsidR="00A52778" w:rsidRPr="00460F9E" w:rsidRDefault="00A52778" w:rsidP="00FC3F8E">
            <w:pPr>
              <w:spacing w:line="0" w:lineRule="atLeast"/>
              <w:rPr>
                <w:rFonts w:eastAsia="Times New Roman" w:cs="Times New Roman"/>
                <w:b/>
                <w:sz w:val="10"/>
              </w:rPr>
            </w:pPr>
          </w:p>
        </w:tc>
        <w:tc>
          <w:tcPr>
            <w:tcW w:w="1540" w:type="dxa"/>
            <w:tcBorders>
              <w:bottom w:val="single" w:sz="8" w:space="0" w:color="auto"/>
              <w:right w:val="single" w:sz="8" w:space="0" w:color="auto"/>
            </w:tcBorders>
            <w:shd w:val="clear" w:color="auto" w:fill="auto"/>
            <w:vAlign w:val="bottom"/>
          </w:tcPr>
          <w:p w14:paraId="69C0F106" w14:textId="77777777" w:rsidR="00A52778" w:rsidRPr="00460F9E" w:rsidRDefault="00A52778" w:rsidP="00FC3F8E">
            <w:pPr>
              <w:spacing w:line="0" w:lineRule="atLeast"/>
              <w:rPr>
                <w:rFonts w:eastAsia="Times New Roman" w:cs="Times New Roman"/>
                <w:b/>
                <w:sz w:val="10"/>
              </w:rPr>
            </w:pPr>
          </w:p>
        </w:tc>
        <w:tc>
          <w:tcPr>
            <w:tcW w:w="1720" w:type="dxa"/>
            <w:vMerge/>
            <w:tcBorders>
              <w:bottom w:val="single" w:sz="8" w:space="0" w:color="auto"/>
              <w:right w:val="single" w:sz="8" w:space="0" w:color="auto"/>
            </w:tcBorders>
            <w:shd w:val="clear" w:color="auto" w:fill="auto"/>
            <w:vAlign w:val="bottom"/>
          </w:tcPr>
          <w:p w14:paraId="29EB70E9" w14:textId="77777777" w:rsidR="00A52778" w:rsidRPr="00460F9E" w:rsidRDefault="00A52778" w:rsidP="00FC3F8E">
            <w:pPr>
              <w:spacing w:line="0" w:lineRule="atLeast"/>
              <w:rPr>
                <w:rFonts w:eastAsia="Times New Roman" w:cs="Times New Roman"/>
                <w:b/>
                <w:sz w:val="10"/>
              </w:rPr>
            </w:pPr>
          </w:p>
        </w:tc>
        <w:tc>
          <w:tcPr>
            <w:tcW w:w="1760" w:type="dxa"/>
            <w:tcBorders>
              <w:bottom w:val="single" w:sz="8" w:space="0" w:color="auto"/>
              <w:right w:val="single" w:sz="8" w:space="0" w:color="auto"/>
            </w:tcBorders>
            <w:shd w:val="clear" w:color="auto" w:fill="auto"/>
            <w:vAlign w:val="bottom"/>
          </w:tcPr>
          <w:p w14:paraId="48576C8A" w14:textId="77777777" w:rsidR="00A52778" w:rsidRPr="00460F9E" w:rsidRDefault="00A52778" w:rsidP="00FC3F8E">
            <w:pPr>
              <w:spacing w:line="0" w:lineRule="atLeast"/>
              <w:rPr>
                <w:rFonts w:eastAsia="Times New Roman" w:cs="Times New Roman"/>
                <w:b/>
                <w:sz w:val="10"/>
              </w:rPr>
            </w:pPr>
          </w:p>
        </w:tc>
      </w:tr>
      <w:tr w:rsidR="00A52778" w:rsidRPr="00460F9E" w14:paraId="23F87FD7" w14:textId="77777777" w:rsidTr="00FC3F8E">
        <w:trPr>
          <w:trHeight w:val="263"/>
        </w:trPr>
        <w:tc>
          <w:tcPr>
            <w:tcW w:w="340" w:type="dxa"/>
            <w:tcBorders>
              <w:left w:val="single" w:sz="8" w:space="0" w:color="auto"/>
            </w:tcBorders>
            <w:shd w:val="clear" w:color="auto" w:fill="auto"/>
            <w:vAlign w:val="bottom"/>
          </w:tcPr>
          <w:p w14:paraId="5EDAB5D2" w14:textId="77777777" w:rsidR="00A52778" w:rsidRPr="00460F9E" w:rsidRDefault="00A52778" w:rsidP="00FC3F8E">
            <w:pPr>
              <w:spacing w:line="0" w:lineRule="atLeast"/>
              <w:rPr>
                <w:rFonts w:eastAsia="Times New Roman" w:cs="Times New Roman"/>
                <w:b/>
              </w:rPr>
            </w:pPr>
          </w:p>
        </w:tc>
        <w:tc>
          <w:tcPr>
            <w:tcW w:w="1320" w:type="dxa"/>
            <w:tcBorders>
              <w:right w:val="single" w:sz="8" w:space="0" w:color="auto"/>
            </w:tcBorders>
            <w:shd w:val="clear" w:color="auto" w:fill="auto"/>
            <w:vAlign w:val="bottom"/>
          </w:tcPr>
          <w:p w14:paraId="077E2C88" w14:textId="77777777" w:rsidR="00A52778" w:rsidRPr="00460F9E" w:rsidRDefault="00A52778" w:rsidP="00FC3F8E">
            <w:pPr>
              <w:spacing w:line="0" w:lineRule="atLeast"/>
              <w:rPr>
                <w:rFonts w:eastAsia="Times New Roman" w:cs="Times New Roman"/>
                <w:b/>
              </w:rPr>
            </w:pPr>
          </w:p>
        </w:tc>
        <w:tc>
          <w:tcPr>
            <w:tcW w:w="2080" w:type="dxa"/>
            <w:vMerge w:val="restart"/>
            <w:tcBorders>
              <w:right w:val="single" w:sz="8" w:space="0" w:color="auto"/>
            </w:tcBorders>
            <w:shd w:val="clear" w:color="auto" w:fill="auto"/>
            <w:vAlign w:val="center"/>
          </w:tcPr>
          <w:p w14:paraId="0E7F1ED2" w14:textId="77777777" w:rsidR="00A52778" w:rsidRPr="00460F9E" w:rsidRDefault="00A52778" w:rsidP="00FC3F8E">
            <w:pPr>
              <w:spacing w:line="219" w:lineRule="exact"/>
              <w:jc w:val="center"/>
              <w:rPr>
                <w:rFonts w:eastAsia="Times New Roman" w:cs="Times New Roman"/>
                <w:b/>
                <w:w w:val="99"/>
              </w:rPr>
            </w:pPr>
            <w:r w:rsidRPr="00460F9E">
              <w:rPr>
                <w:rFonts w:eastAsia="Times New Roman" w:cs="Times New Roman"/>
                <w:w w:val="99"/>
              </w:rPr>
              <w:t>Kütle akışı 1 kg/saat olan herhangi bir baca</w:t>
            </w:r>
          </w:p>
        </w:tc>
        <w:tc>
          <w:tcPr>
            <w:tcW w:w="1540" w:type="dxa"/>
            <w:tcBorders>
              <w:right w:val="single" w:sz="8" w:space="0" w:color="auto"/>
            </w:tcBorders>
            <w:shd w:val="clear" w:color="auto" w:fill="auto"/>
            <w:vAlign w:val="bottom"/>
          </w:tcPr>
          <w:p w14:paraId="3DCE27B8" w14:textId="77777777" w:rsidR="00A52778" w:rsidRPr="00460F9E" w:rsidRDefault="00A52778" w:rsidP="00FC3F8E">
            <w:pPr>
              <w:spacing w:line="0" w:lineRule="atLeast"/>
              <w:jc w:val="center"/>
              <w:rPr>
                <w:rFonts w:eastAsia="Times New Roman" w:cs="Times New Roman"/>
                <w:b/>
                <w:w w:val="98"/>
              </w:rPr>
            </w:pPr>
            <w:r w:rsidRPr="00460F9E">
              <w:rPr>
                <w:rFonts w:eastAsia="Times New Roman" w:cs="Times New Roman"/>
                <w:w w:val="98"/>
              </w:rPr>
              <w:t>Genel EN</w:t>
            </w:r>
          </w:p>
        </w:tc>
        <w:tc>
          <w:tcPr>
            <w:tcW w:w="1720" w:type="dxa"/>
            <w:vMerge w:val="restart"/>
            <w:tcBorders>
              <w:right w:val="single" w:sz="8" w:space="0" w:color="auto"/>
            </w:tcBorders>
            <w:shd w:val="clear" w:color="auto" w:fill="auto"/>
            <w:vAlign w:val="bottom"/>
          </w:tcPr>
          <w:p w14:paraId="28D697FC" w14:textId="77777777" w:rsidR="00A52778" w:rsidRPr="00460F9E" w:rsidRDefault="00A52778" w:rsidP="00FC3F8E">
            <w:pPr>
              <w:spacing w:line="0" w:lineRule="atLeast"/>
              <w:jc w:val="center"/>
              <w:rPr>
                <w:rFonts w:eastAsia="Times New Roman" w:cs="Times New Roman"/>
                <w:b/>
                <w:w w:val="97"/>
              </w:rPr>
            </w:pPr>
            <w:r w:rsidRPr="00460F9E">
              <w:rPr>
                <w:rFonts w:eastAsia="Times New Roman" w:cs="Times New Roman"/>
                <w:w w:val="97"/>
              </w:rPr>
              <w:t>Sürekli (</w:t>
            </w:r>
            <w:r w:rsidRPr="00460F9E">
              <w:rPr>
                <w:rFonts w:eastAsia="Times New Roman" w:cs="Times New Roman"/>
                <w:w w:val="97"/>
                <w:sz w:val="25"/>
                <w:vertAlign w:val="superscript"/>
              </w:rPr>
              <w:t>3</w:t>
            </w:r>
            <w:r w:rsidRPr="00460F9E">
              <w:rPr>
                <w:rFonts w:eastAsia="Times New Roman" w:cs="Times New Roman"/>
                <w:w w:val="97"/>
              </w:rPr>
              <w:t>)</w:t>
            </w:r>
          </w:p>
        </w:tc>
        <w:tc>
          <w:tcPr>
            <w:tcW w:w="1760" w:type="dxa"/>
            <w:tcBorders>
              <w:right w:val="single" w:sz="8" w:space="0" w:color="auto"/>
            </w:tcBorders>
            <w:shd w:val="clear" w:color="auto" w:fill="auto"/>
            <w:vAlign w:val="bottom"/>
          </w:tcPr>
          <w:p w14:paraId="4B9165BA" w14:textId="77777777" w:rsidR="00A52778" w:rsidRPr="00460F9E" w:rsidRDefault="00A52778" w:rsidP="00FC3F8E">
            <w:pPr>
              <w:spacing w:line="0" w:lineRule="atLeast"/>
              <w:rPr>
                <w:rFonts w:eastAsia="Times New Roman" w:cs="Times New Roman"/>
                <w:b/>
              </w:rPr>
            </w:pPr>
          </w:p>
        </w:tc>
      </w:tr>
      <w:tr w:rsidR="00A52778" w:rsidRPr="00460F9E" w14:paraId="7B49488B" w14:textId="77777777" w:rsidTr="00FC3F8E">
        <w:trPr>
          <w:trHeight w:val="199"/>
        </w:trPr>
        <w:tc>
          <w:tcPr>
            <w:tcW w:w="1660" w:type="dxa"/>
            <w:gridSpan w:val="2"/>
            <w:vMerge w:val="restart"/>
            <w:tcBorders>
              <w:left w:val="single" w:sz="8" w:space="0" w:color="auto"/>
              <w:right w:val="single" w:sz="8" w:space="0" w:color="auto"/>
            </w:tcBorders>
            <w:shd w:val="clear" w:color="auto" w:fill="auto"/>
            <w:vAlign w:val="bottom"/>
          </w:tcPr>
          <w:p w14:paraId="0F4D2AD5"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Karbon</w:t>
            </w:r>
          </w:p>
        </w:tc>
        <w:tc>
          <w:tcPr>
            <w:tcW w:w="2080" w:type="dxa"/>
            <w:vMerge/>
            <w:tcBorders>
              <w:right w:val="single" w:sz="8" w:space="0" w:color="auto"/>
            </w:tcBorders>
            <w:shd w:val="clear" w:color="auto" w:fill="auto"/>
            <w:vAlign w:val="center"/>
          </w:tcPr>
          <w:p w14:paraId="1E70EB0C" w14:textId="77777777" w:rsidR="00A52778" w:rsidRPr="00460F9E" w:rsidRDefault="00A52778" w:rsidP="00FC3F8E">
            <w:pPr>
              <w:spacing w:line="219" w:lineRule="exact"/>
              <w:jc w:val="center"/>
              <w:rPr>
                <w:rFonts w:eastAsia="Times New Roman" w:cs="Times New Roman"/>
                <w:b/>
              </w:rPr>
            </w:pPr>
          </w:p>
        </w:tc>
        <w:tc>
          <w:tcPr>
            <w:tcW w:w="1540" w:type="dxa"/>
            <w:vMerge w:val="restart"/>
            <w:tcBorders>
              <w:right w:val="single" w:sz="8" w:space="0" w:color="auto"/>
            </w:tcBorders>
            <w:shd w:val="clear" w:color="auto" w:fill="auto"/>
            <w:vAlign w:val="bottom"/>
          </w:tcPr>
          <w:p w14:paraId="6CF5F1A4"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standartları (</w:t>
            </w:r>
            <w:r w:rsidRPr="00460F9E">
              <w:rPr>
                <w:rFonts w:eastAsia="Times New Roman" w:cs="Times New Roman"/>
                <w:w w:val="99"/>
                <w:sz w:val="25"/>
                <w:vertAlign w:val="superscript"/>
              </w:rPr>
              <w:t>2</w:t>
            </w:r>
            <w:r w:rsidRPr="00460F9E">
              <w:rPr>
                <w:rFonts w:eastAsia="Times New Roman" w:cs="Times New Roman"/>
                <w:w w:val="99"/>
              </w:rPr>
              <w:t>)</w:t>
            </w:r>
          </w:p>
        </w:tc>
        <w:tc>
          <w:tcPr>
            <w:tcW w:w="1720" w:type="dxa"/>
            <w:vMerge/>
            <w:tcBorders>
              <w:right w:val="single" w:sz="8" w:space="0" w:color="auto"/>
            </w:tcBorders>
            <w:shd w:val="clear" w:color="auto" w:fill="auto"/>
            <w:vAlign w:val="bottom"/>
          </w:tcPr>
          <w:p w14:paraId="324408F4" w14:textId="77777777" w:rsidR="00A52778" w:rsidRPr="00460F9E" w:rsidRDefault="00A52778" w:rsidP="00FC3F8E">
            <w:pPr>
              <w:spacing w:line="0" w:lineRule="atLeast"/>
              <w:rPr>
                <w:rFonts w:eastAsia="Times New Roman" w:cs="Times New Roman"/>
                <w:b/>
                <w:sz w:val="17"/>
              </w:rPr>
            </w:pPr>
          </w:p>
        </w:tc>
        <w:tc>
          <w:tcPr>
            <w:tcW w:w="1760" w:type="dxa"/>
            <w:tcBorders>
              <w:right w:val="single" w:sz="8" w:space="0" w:color="auto"/>
            </w:tcBorders>
            <w:shd w:val="clear" w:color="auto" w:fill="auto"/>
            <w:vAlign w:val="bottom"/>
          </w:tcPr>
          <w:p w14:paraId="77185387" w14:textId="77777777" w:rsidR="00A52778" w:rsidRPr="00460F9E" w:rsidRDefault="00A52778" w:rsidP="00FC3F8E">
            <w:pPr>
              <w:spacing w:line="0" w:lineRule="atLeast"/>
              <w:rPr>
                <w:rFonts w:eastAsia="Times New Roman" w:cs="Times New Roman"/>
                <w:b/>
                <w:sz w:val="17"/>
              </w:rPr>
            </w:pPr>
          </w:p>
        </w:tc>
      </w:tr>
      <w:tr w:rsidR="00A52778" w:rsidRPr="00460F9E" w14:paraId="325F32CA" w14:textId="77777777" w:rsidTr="00FC3F8E">
        <w:trPr>
          <w:trHeight w:val="97"/>
        </w:trPr>
        <w:tc>
          <w:tcPr>
            <w:tcW w:w="1660" w:type="dxa"/>
            <w:gridSpan w:val="2"/>
            <w:vMerge/>
            <w:tcBorders>
              <w:left w:val="single" w:sz="8" w:space="0" w:color="auto"/>
              <w:right w:val="single" w:sz="8" w:space="0" w:color="auto"/>
            </w:tcBorders>
            <w:shd w:val="clear" w:color="auto" w:fill="auto"/>
            <w:vAlign w:val="bottom"/>
          </w:tcPr>
          <w:p w14:paraId="4570E8EB" w14:textId="77777777" w:rsidR="00A52778" w:rsidRPr="00460F9E" w:rsidRDefault="00A52778" w:rsidP="00FC3F8E">
            <w:pPr>
              <w:spacing w:line="0" w:lineRule="atLeast"/>
              <w:rPr>
                <w:rFonts w:eastAsia="Times New Roman" w:cs="Times New Roman"/>
                <w:b/>
                <w:sz w:val="8"/>
              </w:rPr>
            </w:pPr>
          </w:p>
        </w:tc>
        <w:tc>
          <w:tcPr>
            <w:tcW w:w="2080" w:type="dxa"/>
            <w:vMerge/>
            <w:tcBorders>
              <w:bottom w:val="single" w:sz="8" w:space="0" w:color="auto"/>
              <w:right w:val="single" w:sz="8" w:space="0" w:color="auto"/>
            </w:tcBorders>
            <w:shd w:val="clear" w:color="auto" w:fill="auto"/>
            <w:vAlign w:val="center"/>
          </w:tcPr>
          <w:p w14:paraId="17A452EB" w14:textId="77777777" w:rsidR="00A52778" w:rsidRPr="00460F9E" w:rsidRDefault="00A52778" w:rsidP="00FC3F8E">
            <w:pPr>
              <w:spacing w:line="0" w:lineRule="atLeast"/>
              <w:jc w:val="center"/>
              <w:rPr>
                <w:rFonts w:eastAsia="Times New Roman" w:cs="Times New Roman"/>
                <w:b/>
                <w:sz w:val="8"/>
              </w:rPr>
            </w:pPr>
          </w:p>
        </w:tc>
        <w:tc>
          <w:tcPr>
            <w:tcW w:w="1540" w:type="dxa"/>
            <w:vMerge/>
            <w:tcBorders>
              <w:bottom w:val="single" w:sz="8" w:space="0" w:color="auto"/>
              <w:right w:val="single" w:sz="8" w:space="0" w:color="auto"/>
            </w:tcBorders>
            <w:shd w:val="clear" w:color="auto" w:fill="auto"/>
            <w:vAlign w:val="bottom"/>
          </w:tcPr>
          <w:p w14:paraId="160DC928" w14:textId="77777777" w:rsidR="00A52778" w:rsidRPr="00460F9E" w:rsidRDefault="00A52778" w:rsidP="00FC3F8E">
            <w:pPr>
              <w:spacing w:line="0" w:lineRule="atLeast"/>
              <w:rPr>
                <w:rFonts w:eastAsia="Times New Roman" w:cs="Times New Roman"/>
                <w:b/>
                <w:sz w:val="8"/>
              </w:rPr>
            </w:pPr>
          </w:p>
        </w:tc>
        <w:tc>
          <w:tcPr>
            <w:tcW w:w="1720" w:type="dxa"/>
            <w:tcBorders>
              <w:bottom w:val="single" w:sz="8" w:space="0" w:color="auto"/>
              <w:right w:val="single" w:sz="8" w:space="0" w:color="auto"/>
            </w:tcBorders>
            <w:shd w:val="clear" w:color="auto" w:fill="auto"/>
            <w:vAlign w:val="bottom"/>
          </w:tcPr>
          <w:p w14:paraId="29EAB775" w14:textId="77777777" w:rsidR="00A52778" w:rsidRPr="00460F9E" w:rsidRDefault="00A52778" w:rsidP="00FC3F8E">
            <w:pPr>
              <w:spacing w:line="0" w:lineRule="atLeast"/>
              <w:rPr>
                <w:rFonts w:eastAsia="Times New Roman" w:cs="Times New Roman"/>
                <w:b/>
                <w:sz w:val="8"/>
              </w:rPr>
            </w:pPr>
          </w:p>
        </w:tc>
        <w:tc>
          <w:tcPr>
            <w:tcW w:w="1760" w:type="dxa"/>
            <w:tcBorders>
              <w:right w:val="single" w:sz="8" w:space="0" w:color="auto"/>
            </w:tcBorders>
            <w:shd w:val="clear" w:color="auto" w:fill="auto"/>
            <w:vAlign w:val="bottom"/>
          </w:tcPr>
          <w:p w14:paraId="2C8CD8A0" w14:textId="77777777" w:rsidR="00A52778" w:rsidRPr="00460F9E" w:rsidRDefault="00A52778" w:rsidP="00FC3F8E">
            <w:pPr>
              <w:spacing w:line="0" w:lineRule="atLeast"/>
              <w:rPr>
                <w:rFonts w:eastAsia="Times New Roman" w:cs="Times New Roman"/>
                <w:b/>
                <w:sz w:val="8"/>
              </w:rPr>
            </w:pPr>
          </w:p>
        </w:tc>
      </w:tr>
      <w:tr w:rsidR="00A52778" w:rsidRPr="00460F9E" w14:paraId="46AA2B9E" w14:textId="77777777" w:rsidTr="00FC3F8E">
        <w:trPr>
          <w:trHeight w:val="210"/>
        </w:trPr>
        <w:tc>
          <w:tcPr>
            <w:tcW w:w="1660" w:type="dxa"/>
            <w:gridSpan w:val="2"/>
            <w:tcBorders>
              <w:left w:val="single" w:sz="8" w:space="0" w:color="auto"/>
              <w:right w:val="single" w:sz="8" w:space="0" w:color="auto"/>
            </w:tcBorders>
            <w:shd w:val="clear" w:color="auto" w:fill="auto"/>
            <w:vAlign w:val="bottom"/>
          </w:tcPr>
          <w:p w14:paraId="092C3FDC" w14:textId="77777777" w:rsidR="00A52778" w:rsidRPr="00460F9E" w:rsidRDefault="00A52778" w:rsidP="00FC3F8E">
            <w:pPr>
              <w:spacing w:line="210" w:lineRule="exact"/>
              <w:ind w:left="120"/>
              <w:rPr>
                <w:rFonts w:eastAsia="Times New Roman" w:cs="Times New Roman"/>
                <w:b/>
              </w:rPr>
            </w:pPr>
            <w:r w:rsidRPr="00460F9E">
              <w:rPr>
                <w:rFonts w:eastAsia="Times New Roman" w:cs="Times New Roman"/>
              </w:rPr>
              <w:t>disülfür (CS</w:t>
            </w:r>
            <w:r w:rsidRPr="00460F9E">
              <w:rPr>
                <w:rFonts w:eastAsia="Times New Roman" w:cs="Times New Roman"/>
                <w:sz w:val="12"/>
              </w:rPr>
              <w:t>2</w:t>
            </w:r>
            <w:r w:rsidRPr="00460F9E">
              <w:rPr>
                <w:rFonts w:eastAsia="Times New Roman" w:cs="Times New Roman"/>
              </w:rPr>
              <w:t>)</w:t>
            </w:r>
          </w:p>
        </w:tc>
        <w:tc>
          <w:tcPr>
            <w:tcW w:w="2080" w:type="dxa"/>
            <w:vMerge w:val="restart"/>
            <w:tcBorders>
              <w:right w:val="single" w:sz="8" w:space="0" w:color="auto"/>
            </w:tcBorders>
            <w:shd w:val="clear" w:color="auto" w:fill="auto"/>
            <w:vAlign w:val="center"/>
          </w:tcPr>
          <w:p w14:paraId="019A918C"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Kütle akışı &lt;1 kg/saat olan herhangi bir baca</w:t>
            </w:r>
          </w:p>
        </w:tc>
        <w:tc>
          <w:tcPr>
            <w:tcW w:w="1540" w:type="dxa"/>
            <w:vMerge w:val="restart"/>
            <w:tcBorders>
              <w:right w:val="single" w:sz="8" w:space="0" w:color="auto"/>
            </w:tcBorders>
            <w:shd w:val="clear" w:color="auto" w:fill="auto"/>
            <w:vAlign w:val="center"/>
          </w:tcPr>
          <w:p w14:paraId="21CE6B4C"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w w:val="99"/>
              </w:rPr>
              <w:t>EN standardı mevcut değil</w:t>
            </w:r>
          </w:p>
        </w:tc>
        <w:tc>
          <w:tcPr>
            <w:tcW w:w="1720" w:type="dxa"/>
            <w:vMerge w:val="restart"/>
            <w:tcBorders>
              <w:right w:val="single" w:sz="8" w:space="0" w:color="auto"/>
            </w:tcBorders>
            <w:shd w:val="clear" w:color="auto" w:fill="auto"/>
            <w:vAlign w:val="bottom"/>
          </w:tcPr>
          <w:p w14:paraId="06F7085F"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Yılda bir kere</w:t>
            </w:r>
          </w:p>
        </w:tc>
        <w:tc>
          <w:tcPr>
            <w:tcW w:w="1760" w:type="dxa"/>
            <w:tcBorders>
              <w:right w:val="single" w:sz="8" w:space="0" w:color="auto"/>
            </w:tcBorders>
            <w:shd w:val="clear" w:color="auto" w:fill="auto"/>
            <w:vAlign w:val="bottom"/>
          </w:tcPr>
          <w:p w14:paraId="4E08E79C" w14:textId="77777777" w:rsidR="00A52778" w:rsidRPr="00460F9E" w:rsidRDefault="00A52778" w:rsidP="00FC3F8E">
            <w:pPr>
              <w:spacing w:line="0" w:lineRule="atLeast"/>
              <w:rPr>
                <w:rFonts w:eastAsia="Times New Roman" w:cs="Times New Roman"/>
                <w:b/>
                <w:sz w:val="18"/>
              </w:rPr>
            </w:pPr>
          </w:p>
        </w:tc>
      </w:tr>
      <w:tr w:rsidR="00A52778" w:rsidRPr="00460F9E" w14:paraId="47009B76" w14:textId="77777777" w:rsidTr="00FC3F8E">
        <w:trPr>
          <w:trHeight w:val="57"/>
        </w:trPr>
        <w:tc>
          <w:tcPr>
            <w:tcW w:w="340" w:type="dxa"/>
            <w:tcBorders>
              <w:left w:val="single" w:sz="8" w:space="0" w:color="auto"/>
            </w:tcBorders>
            <w:shd w:val="clear" w:color="auto" w:fill="auto"/>
            <w:vAlign w:val="bottom"/>
          </w:tcPr>
          <w:p w14:paraId="095829C3" w14:textId="77777777" w:rsidR="00A52778" w:rsidRPr="00460F9E" w:rsidRDefault="00A52778" w:rsidP="00FC3F8E">
            <w:pPr>
              <w:spacing w:line="0" w:lineRule="atLeast"/>
              <w:rPr>
                <w:rFonts w:eastAsia="Times New Roman" w:cs="Times New Roman"/>
                <w:b/>
                <w:sz w:val="4"/>
              </w:rPr>
            </w:pPr>
          </w:p>
        </w:tc>
        <w:tc>
          <w:tcPr>
            <w:tcW w:w="1320" w:type="dxa"/>
            <w:tcBorders>
              <w:right w:val="single" w:sz="8" w:space="0" w:color="auto"/>
            </w:tcBorders>
            <w:shd w:val="clear" w:color="auto" w:fill="auto"/>
            <w:vAlign w:val="bottom"/>
          </w:tcPr>
          <w:p w14:paraId="1646DDC2" w14:textId="77777777" w:rsidR="00A52778" w:rsidRPr="00460F9E" w:rsidRDefault="00A52778" w:rsidP="00FC3F8E">
            <w:pPr>
              <w:spacing w:line="0" w:lineRule="atLeast"/>
              <w:rPr>
                <w:rFonts w:eastAsia="Times New Roman" w:cs="Times New Roman"/>
                <w:b/>
                <w:sz w:val="4"/>
              </w:rPr>
            </w:pPr>
          </w:p>
        </w:tc>
        <w:tc>
          <w:tcPr>
            <w:tcW w:w="2080" w:type="dxa"/>
            <w:vMerge/>
            <w:tcBorders>
              <w:right w:val="single" w:sz="8" w:space="0" w:color="auto"/>
            </w:tcBorders>
            <w:shd w:val="clear" w:color="auto" w:fill="auto"/>
            <w:vAlign w:val="bottom"/>
          </w:tcPr>
          <w:p w14:paraId="37B60CA1" w14:textId="77777777" w:rsidR="00A52778" w:rsidRPr="00460F9E" w:rsidRDefault="00A52778" w:rsidP="00FC3F8E">
            <w:pPr>
              <w:spacing w:line="0" w:lineRule="atLeast"/>
              <w:jc w:val="center"/>
              <w:rPr>
                <w:rFonts w:eastAsia="Times New Roman" w:cs="Times New Roman"/>
                <w:b/>
                <w:sz w:val="4"/>
              </w:rPr>
            </w:pPr>
          </w:p>
        </w:tc>
        <w:tc>
          <w:tcPr>
            <w:tcW w:w="1540" w:type="dxa"/>
            <w:vMerge/>
            <w:tcBorders>
              <w:right w:val="single" w:sz="8" w:space="0" w:color="auto"/>
            </w:tcBorders>
            <w:shd w:val="clear" w:color="auto" w:fill="auto"/>
            <w:vAlign w:val="bottom"/>
          </w:tcPr>
          <w:p w14:paraId="5E0F5C52" w14:textId="77777777" w:rsidR="00A52778" w:rsidRPr="00460F9E" w:rsidRDefault="00A52778" w:rsidP="00FC3F8E">
            <w:pPr>
              <w:spacing w:line="0" w:lineRule="atLeast"/>
              <w:jc w:val="center"/>
              <w:rPr>
                <w:rFonts w:eastAsia="Times New Roman" w:cs="Times New Roman"/>
                <w:b/>
                <w:sz w:val="4"/>
              </w:rPr>
            </w:pPr>
          </w:p>
        </w:tc>
        <w:tc>
          <w:tcPr>
            <w:tcW w:w="1720" w:type="dxa"/>
            <w:vMerge/>
            <w:tcBorders>
              <w:right w:val="single" w:sz="8" w:space="0" w:color="auto"/>
            </w:tcBorders>
            <w:shd w:val="clear" w:color="auto" w:fill="auto"/>
            <w:vAlign w:val="bottom"/>
          </w:tcPr>
          <w:p w14:paraId="0E559BD8" w14:textId="77777777" w:rsidR="00A52778" w:rsidRPr="00460F9E" w:rsidRDefault="00A52778" w:rsidP="00FC3F8E">
            <w:pPr>
              <w:spacing w:line="0" w:lineRule="atLeast"/>
              <w:rPr>
                <w:rFonts w:eastAsia="Times New Roman" w:cs="Times New Roman"/>
                <w:b/>
                <w:sz w:val="4"/>
              </w:rPr>
            </w:pPr>
          </w:p>
        </w:tc>
        <w:tc>
          <w:tcPr>
            <w:tcW w:w="1760" w:type="dxa"/>
            <w:tcBorders>
              <w:right w:val="single" w:sz="8" w:space="0" w:color="auto"/>
            </w:tcBorders>
            <w:shd w:val="clear" w:color="auto" w:fill="auto"/>
            <w:vAlign w:val="bottom"/>
          </w:tcPr>
          <w:p w14:paraId="05487015" w14:textId="77777777" w:rsidR="00A52778" w:rsidRPr="00460F9E" w:rsidRDefault="00A52778" w:rsidP="00FC3F8E">
            <w:pPr>
              <w:spacing w:line="0" w:lineRule="atLeast"/>
              <w:rPr>
                <w:rFonts w:eastAsia="Times New Roman" w:cs="Times New Roman"/>
                <w:b/>
                <w:sz w:val="4"/>
              </w:rPr>
            </w:pPr>
          </w:p>
        </w:tc>
      </w:tr>
      <w:tr w:rsidR="00A52778" w:rsidRPr="00460F9E" w14:paraId="1B0CEE86" w14:textId="77777777" w:rsidTr="00FC3F8E">
        <w:trPr>
          <w:trHeight w:val="290"/>
        </w:trPr>
        <w:tc>
          <w:tcPr>
            <w:tcW w:w="340" w:type="dxa"/>
            <w:tcBorders>
              <w:left w:val="single" w:sz="8" w:space="0" w:color="auto"/>
              <w:bottom w:val="single" w:sz="8" w:space="0" w:color="auto"/>
            </w:tcBorders>
            <w:shd w:val="clear" w:color="auto" w:fill="auto"/>
            <w:vAlign w:val="bottom"/>
          </w:tcPr>
          <w:p w14:paraId="7D58E2CB" w14:textId="77777777" w:rsidR="00A52778" w:rsidRPr="00460F9E" w:rsidRDefault="00A52778" w:rsidP="00FC3F8E">
            <w:pPr>
              <w:spacing w:line="0" w:lineRule="atLeast"/>
              <w:rPr>
                <w:rFonts w:eastAsia="Times New Roman" w:cs="Times New Roman"/>
                <w:b/>
              </w:rPr>
            </w:pPr>
          </w:p>
        </w:tc>
        <w:tc>
          <w:tcPr>
            <w:tcW w:w="1320" w:type="dxa"/>
            <w:tcBorders>
              <w:bottom w:val="single" w:sz="8" w:space="0" w:color="auto"/>
              <w:right w:val="single" w:sz="8" w:space="0" w:color="auto"/>
            </w:tcBorders>
            <w:shd w:val="clear" w:color="auto" w:fill="auto"/>
            <w:vAlign w:val="bottom"/>
          </w:tcPr>
          <w:p w14:paraId="56017949" w14:textId="77777777" w:rsidR="00A52778" w:rsidRPr="00460F9E" w:rsidRDefault="00A52778" w:rsidP="00FC3F8E">
            <w:pPr>
              <w:spacing w:line="0" w:lineRule="atLeast"/>
              <w:rPr>
                <w:rFonts w:eastAsia="Times New Roman" w:cs="Times New Roman"/>
                <w:b/>
              </w:rPr>
            </w:pPr>
          </w:p>
        </w:tc>
        <w:tc>
          <w:tcPr>
            <w:tcW w:w="2080" w:type="dxa"/>
            <w:vMerge/>
            <w:tcBorders>
              <w:bottom w:val="single" w:sz="8" w:space="0" w:color="auto"/>
              <w:right w:val="single" w:sz="8" w:space="0" w:color="auto"/>
            </w:tcBorders>
            <w:shd w:val="clear" w:color="auto" w:fill="auto"/>
            <w:vAlign w:val="bottom"/>
          </w:tcPr>
          <w:p w14:paraId="1196C2F5" w14:textId="77777777" w:rsidR="00A52778" w:rsidRPr="00460F9E" w:rsidRDefault="00A52778" w:rsidP="00FC3F8E">
            <w:pPr>
              <w:spacing w:line="0" w:lineRule="atLeast"/>
              <w:jc w:val="center"/>
              <w:rPr>
                <w:rFonts w:eastAsia="Times New Roman" w:cs="Times New Roman"/>
                <w:b/>
                <w:w w:val="99"/>
              </w:rPr>
            </w:pPr>
          </w:p>
        </w:tc>
        <w:tc>
          <w:tcPr>
            <w:tcW w:w="1540" w:type="dxa"/>
            <w:vMerge/>
            <w:tcBorders>
              <w:bottom w:val="single" w:sz="8" w:space="0" w:color="auto"/>
              <w:right w:val="single" w:sz="8" w:space="0" w:color="auto"/>
            </w:tcBorders>
            <w:shd w:val="clear" w:color="auto" w:fill="auto"/>
            <w:vAlign w:val="bottom"/>
          </w:tcPr>
          <w:p w14:paraId="5FC1F7E2" w14:textId="77777777" w:rsidR="00A52778" w:rsidRPr="00460F9E" w:rsidRDefault="00A52778" w:rsidP="00FC3F8E">
            <w:pPr>
              <w:spacing w:line="0" w:lineRule="atLeast"/>
              <w:jc w:val="center"/>
              <w:rPr>
                <w:rFonts w:eastAsia="Times New Roman" w:cs="Times New Roman"/>
                <w:b/>
                <w:w w:val="99"/>
              </w:rPr>
            </w:pPr>
          </w:p>
        </w:tc>
        <w:tc>
          <w:tcPr>
            <w:tcW w:w="1720" w:type="dxa"/>
            <w:tcBorders>
              <w:bottom w:val="single" w:sz="8" w:space="0" w:color="auto"/>
              <w:right w:val="single" w:sz="8" w:space="0" w:color="auto"/>
            </w:tcBorders>
            <w:shd w:val="clear" w:color="auto" w:fill="auto"/>
            <w:vAlign w:val="bottom"/>
          </w:tcPr>
          <w:p w14:paraId="2F4F92DD" w14:textId="77777777" w:rsidR="00A52778" w:rsidRPr="00460F9E" w:rsidRDefault="00A52778" w:rsidP="00FC3F8E">
            <w:pPr>
              <w:spacing w:line="0" w:lineRule="atLeast"/>
              <w:jc w:val="center"/>
              <w:rPr>
                <w:rFonts w:eastAsia="Times New Roman" w:cs="Times New Roman"/>
                <w:b/>
                <w:w w:val="92"/>
              </w:rPr>
            </w:pPr>
            <w:r w:rsidRPr="00460F9E">
              <w:rPr>
                <w:rFonts w:eastAsia="Times New Roman" w:cs="Times New Roman"/>
                <w:w w:val="92"/>
              </w:rPr>
              <w:t>(</w:t>
            </w:r>
            <w:r w:rsidRPr="00460F9E">
              <w:rPr>
                <w:rFonts w:eastAsia="Times New Roman" w:cs="Times New Roman"/>
                <w:w w:val="92"/>
                <w:sz w:val="25"/>
                <w:vertAlign w:val="superscript"/>
              </w:rPr>
              <w:t>4</w:t>
            </w:r>
            <w:r w:rsidRPr="00460F9E">
              <w:rPr>
                <w:rFonts w:eastAsia="Times New Roman" w:cs="Times New Roman"/>
                <w:w w:val="92"/>
              </w:rPr>
              <w:t>)</w:t>
            </w:r>
          </w:p>
        </w:tc>
        <w:tc>
          <w:tcPr>
            <w:tcW w:w="1760" w:type="dxa"/>
            <w:vMerge w:val="restart"/>
            <w:tcBorders>
              <w:right w:val="single" w:sz="8" w:space="0" w:color="auto"/>
            </w:tcBorders>
            <w:shd w:val="clear" w:color="auto" w:fill="auto"/>
            <w:vAlign w:val="bottom"/>
          </w:tcPr>
          <w:p w14:paraId="1AC1E222" w14:textId="77777777" w:rsidR="00A52778" w:rsidRPr="00460F9E" w:rsidRDefault="002A1746" w:rsidP="00FC3F8E">
            <w:pPr>
              <w:spacing w:line="0" w:lineRule="atLeast"/>
              <w:jc w:val="center"/>
              <w:rPr>
                <w:rFonts w:eastAsia="Times New Roman" w:cs="Times New Roman"/>
                <w:b/>
              </w:rPr>
            </w:pPr>
            <w:hyperlink w:anchor="page327" w:history="1">
              <w:r w:rsidR="00A52778" w:rsidRPr="00460F9E">
                <w:rPr>
                  <w:rFonts w:eastAsia="Times New Roman" w:cs="Times New Roman"/>
                </w:rPr>
                <w:t>MET 35</w:t>
              </w:r>
            </w:hyperlink>
          </w:p>
        </w:tc>
      </w:tr>
      <w:tr w:rsidR="00A52778" w:rsidRPr="00460F9E" w14:paraId="6E0B8E9E" w14:textId="77777777" w:rsidTr="00FC3F8E">
        <w:trPr>
          <w:trHeight w:val="94"/>
        </w:trPr>
        <w:tc>
          <w:tcPr>
            <w:tcW w:w="340" w:type="dxa"/>
            <w:tcBorders>
              <w:left w:val="single" w:sz="8" w:space="0" w:color="auto"/>
            </w:tcBorders>
            <w:shd w:val="clear" w:color="auto" w:fill="auto"/>
            <w:vAlign w:val="bottom"/>
          </w:tcPr>
          <w:p w14:paraId="5A2738AF" w14:textId="77777777" w:rsidR="00A52778" w:rsidRPr="00460F9E" w:rsidRDefault="00A52778" w:rsidP="00FC3F8E">
            <w:pPr>
              <w:spacing w:line="0" w:lineRule="atLeast"/>
              <w:rPr>
                <w:rFonts w:eastAsia="Times New Roman" w:cs="Times New Roman"/>
                <w:b/>
                <w:sz w:val="8"/>
              </w:rPr>
            </w:pPr>
          </w:p>
        </w:tc>
        <w:tc>
          <w:tcPr>
            <w:tcW w:w="1320" w:type="dxa"/>
            <w:tcBorders>
              <w:right w:val="single" w:sz="8" w:space="0" w:color="auto"/>
            </w:tcBorders>
            <w:shd w:val="clear" w:color="auto" w:fill="auto"/>
            <w:vAlign w:val="bottom"/>
          </w:tcPr>
          <w:p w14:paraId="2DB67FA5" w14:textId="77777777" w:rsidR="00A52778" w:rsidRPr="00460F9E" w:rsidRDefault="00A52778" w:rsidP="00FC3F8E">
            <w:pPr>
              <w:spacing w:line="0" w:lineRule="atLeast"/>
              <w:rPr>
                <w:rFonts w:eastAsia="Times New Roman" w:cs="Times New Roman"/>
                <w:b/>
                <w:sz w:val="8"/>
              </w:rPr>
            </w:pPr>
          </w:p>
        </w:tc>
        <w:tc>
          <w:tcPr>
            <w:tcW w:w="2080" w:type="dxa"/>
            <w:vMerge w:val="restart"/>
            <w:tcBorders>
              <w:right w:val="single" w:sz="8" w:space="0" w:color="auto"/>
            </w:tcBorders>
            <w:shd w:val="clear" w:color="auto" w:fill="auto"/>
            <w:vAlign w:val="center"/>
          </w:tcPr>
          <w:p w14:paraId="4D4BB043" w14:textId="77777777" w:rsidR="00A52778" w:rsidRPr="00460F9E" w:rsidRDefault="00A52778" w:rsidP="00FC3F8E">
            <w:pPr>
              <w:spacing w:line="219" w:lineRule="exact"/>
              <w:jc w:val="center"/>
              <w:rPr>
                <w:rFonts w:eastAsia="Times New Roman" w:cs="Times New Roman"/>
                <w:b/>
                <w:w w:val="99"/>
              </w:rPr>
            </w:pPr>
            <w:r w:rsidRPr="00460F9E">
              <w:rPr>
                <w:rFonts w:eastAsia="Times New Roman" w:cs="Times New Roman"/>
                <w:w w:val="99"/>
              </w:rPr>
              <w:t>Kütle akışı 50 g/saat olan herhangi bir baca</w:t>
            </w:r>
          </w:p>
        </w:tc>
        <w:tc>
          <w:tcPr>
            <w:tcW w:w="1540" w:type="dxa"/>
            <w:vMerge w:val="restart"/>
            <w:tcBorders>
              <w:right w:val="single" w:sz="8" w:space="0" w:color="auto"/>
            </w:tcBorders>
            <w:shd w:val="clear" w:color="auto" w:fill="auto"/>
            <w:vAlign w:val="bottom"/>
          </w:tcPr>
          <w:p w14:paraId="6BB5D394" w14:textId="77777777" w:rsidR="00A52778" w:rsidRPr="00460F9E" w:rsidRDefault="00A52778" w:rsidP="00FC3F8E">
            <w:pPr>
              <w:spacing w:line="0" w:lineRule="atLeast"/>
              <w:jc w:val="center"/>
              <w:rPr>
                <w:rFonts w:eastAsia="Times New Roman" w:cs="Times New Roman"/>
                <w:b/>
                <w:w w:val="98"/>
              </w:rPr>
            </w:pPr>
            <w:r w:rsidRPr="00460F9E">
              <w:rPr>
                <w:rFonts w:eastAsia="Times New Roman" w:cs="Times New Roman"/>
                <w:w w:val="98"/>
              </w:rPr>
              <w:t>Genel EN</w:t>
            </w:r>
          </w:p>
        </w:tc>
        <w:tc>
          <w:tcPr>
            <w:tcW w:w="1720" w:type="dxa"/>
            <w:vMerge w:val="restart"/>
            <w:tcBorders>
              <w:right w:val="single" w:sz="8" w:space="0" w:color="auto"/>
            </w:tcBorders>
            <w:shd w:val="clear" w:color="auto" w:fill="auto"/>
            <w:vAlign w:val="bottom"/>
          </w:tcPr>
          <w:p w14:paraId="3982BB6B" w14:textId="77777777" w:rsidR="00A52778" w:rsidRPr="00460F9E" w:rsidRDefault="00A52778" w:rsidP="00FC3F8E">
            <w:pPr>
              <w:spacing w:line="0" w:lineRule="atLeast"/>
              <w:jc w:val="center"/>
              <w:rPr>
                <w:rFonts w:eastAsia="Times New Roman" w:cs="Times New Roman"/>
                <w:b/>
                <w:w w:val="97"/>
              </w:rPr>
            </w:pPr>
            <w:r w:rsidRPr="00460F9E">
              <w:rPr>
                <w:rFonts w:eastAsia="Times New Roman" w:cs="Times New Roman"/>
                <w:w w:val="97"/>
              </w:rPr>
              <w:t>Sürekli (</w:t>
            </w:r>
            <w:r w:rsidRPr="00460F9E">
              <w:rPr>
                <w:rFonts w:eastAsia="Times New Roman" w:cs="Times New Roman"/>
                <w:w w:val="97"/>
                <w:sz w:val="25"/>
                <w:vertAlign w:val="superscript"/>
              </w:rPr>
              <w:t>3</w:t>
            </w:r>
            <w:r w:rsidRPr="00460F9E">
              <w:rPr>
                <w:rFonts w:eastAsia="Times New Roman" w:cs="Times New Roman"/>
                <w:w w:val="97"/>
              </w:rPr>
              <w:t>)</w:t>
            </w:r>
          </w:p>
        </w:tc>
        <w:tc>
          <w:tcPr>
            <w:tcW w:w="1760" w:type="dxa"/>
            <w:vMerge/>
            <w:tcBorders>
              <w:right w:val="single" w:sz="8" w:space="0" w:color="auto"/>
            </w:tcBorders>
            <w:shd w:val="clear" w:color="auto" w:fill="auto"/>
            <w:vAlign w:val="bottom"/>
          </w:tcPr>
          <w:p w14:paraId="675CCC03" w14:textId="77777777" w:rsidR="00A52778" w:rsidRPr="00460F9E" w:rsidRDefault="00A52778" w:rsidP="00FC3F8E">
            <w:pPr>
              <w:spacing w:line="0" w:lineRule="atLeast"/>
              <w:rPr>
                <w:rFonts w:eastAsia="Times New Roman" w:cs="Times New Roman"/>
                <w:b/>
                <w:sz w:val="8"/>
              </w:rPr>
            </w:pPr>
          </w:p>
        </w:tc>
      </w:tr>
      <w:tr w:rsidR="00A52778" w:rsidRPr="00460F9E" w14:paraId="3F744228" w14:textId="77777777" w:rsidTr="00FC3F8E">
        <w:trPr>
          <w:trHeight w:val="168"/>
        </w:trPr>
        <w:tc>
          <w:tcPr>
            <w:tcW w:w="340" w:type="dxa"/>
            <w:tcBorders>
              <w:left w:val="single" w:sz="8" w:space="0" w:color="auto"/>
            </w:tcBorders>
            <w:shd w:val="clear" w:color="auto" w:fill="auto"/>
            <w:vAlign w:val="bottom"/>
          </w:tcPr>
          <w:p w14:paraId="4C6B2315" w14:textId="77777777" w:rsidR="00A52778" w:rsidRPr="00460F9E" w:rsidRDefault="00A52778" w:rsidP="00FC3F8E">
            <w:pPr>
              <w:spacing w:line="0" w:lineRule="atLeast"/>
              <w:rPr>
                <w:rFonts w:eastAsia="Times New Roman" w:cs="Times New Roman"/>
                <w:b/>
                <w:sz w:val="14"/>
              </w:rPr>
            </w:pPr>
          </w:p>
        </w:tc>
        <w:tc>
          <w:tcPr>
            <w:tcW w:w="1320" w:type="dxa"/>
            <w:tcBorders>
              <w:right w:val="single" w:sz="8" w:space="0" w:color="auto"/>
            </w:tcBorders>
            <w:shd w:val="clear" w:color="auto" w:fill="auto"/>
            <w:vAlign w:val="bottom"/>
          </w:tcPr>
          <w:p w14:paraId="452DB4D2" w14:textId="77777777" w:rsidR="00A52778" w:rsidRPr="00460F9E" w:rsidRDefault="00A52778" w:rsidP="00FC3F8E">
            <w:pPr>
              <w:spacing w:line="0" w:lineRule="atLeast"/>
              <w:rPr>
                <w:rFonts w:eastAsia="Times New Roman" w:cs="Times New Roman"/>
                <w:b/>
                <w:sz w:val="14"/>
              </w:rPr>
            </w:pPr>
          </w:p>
        </w:tc>
        <w:tc>
          <w:tcPr>
            <w:tcW w:w="2080" w:type="dxa"/>
            <w:vMerge/>
            <w:tcBorders>
              <w:right w:val="single" w:sz="8" w:space="0" w:color="auto"/>
            </w:tcBorders>
            <w:shd w:val="clear" w:color="auto" w:fill="auto"/>
            <w:vAlign w:val="bottom"/>
          </w:tcPr>
          <w:p w14:paraId="057EAE1D" w14:textId="77777777" w:rsidR="00A52778" w:rsidRPr="00460F9E" w:rsidRDefault="00A52778" w:rsidP="00FC3F8E">
            <w:pPr>
              <w:spacing w:line="219" w:lineRule="exact"/>
              <w:jc w:val="center"/>
              <w:rPr>
                <w:rFonts w:eastAsia="Times New Roman" w:cs="Times New Roman"/>
                <w:b/>
                <w:sz w:val="14"/>
              </w:rPr>
            </w:pPr>
          </w:p>
        </w:tc>
        <w:tc>
          <w:tcPr>
            <w:tcW w:w="1540" w:type="dxa"/>
            <w:vMerge/>
            <w:tcBorders>
              <w:right w:val="single" w:sz="8" w:space="0" w:color="auto"/>
            </w:tcBorders>
            <w:shd w:val="clear" w:color="auto" w:fill="auto"/>
            <w:vAlign w:val="bottom"/>
          </w:tcPr>
          <w:p w14:paraId="67EA4F7F" w14:textId="77777777" w:rsidR="00A52778" w:rsidRPr="00460F9E" w:rsidRDefault="00A52778" w:rsidP="00FC3F8E">
            <w:pPr>
              <w:spacing w:line="0" w:lineRule="atLeast"/>
              <w:rPr>
                <w:rFonts w:eastAsia="Times New Roman" w:cs="Times New Roman"/>
                <w:b/>
                <w:sz w:val="14"/>
              </w:rPr>
            </w:pPr>
          </w:p>
        </w:tc>
        <w:tc>
          <w:tcPr>
            <w:tcW w:w="1720" w:type="dxa"/>
            <w:vMerge/>
            <w:tcBorders>
              <w:right w:val="single" w:sz="8" w:space="0" w:color="auto"/>
            </w:tcBorders>
            <w:shd w:val="clear" w:color="auto" w:fill="auto"/>
            <w:vAlign w:val="bottom"/>
          </w:tcPr>
          <w:p w14:paraId="22F8A77C" w14:textId="77777777" w:rsidR="00A52778" w:rsidRPr="00460F9E" w:rsidRDefault="00A52778" w:rsidP="00FC3F8E">
            <w:pPr>
              <w:spacing w:line="0" w:lineRule="atLeast"/>
              <w:rPr>
                <w:rFonts w:eastAsia="Times New Roman" w:cs="Times New Roman"/>
                <w:b/>
                <w:sz w:val="14"/>
              </w:rPr>
            </w:pPr>
          </w:p>
        </w:tc>
        <w:tc>
          <w:tcPr>
            <w:tcW w:w="1760" w:type="dxa"/>
            <w:tcBorders>
              <w:right w:val="single" w:sz="8" w:space="0" w:color="auto"/>
            </w:tcBorders>
            <w:shd w:val="clear" w:color="auto" w:fill="auto"/>
            <w:vAlign w:val="bottom"/>
          </w:tcPr>
          <w:p w14:paraId="383E0C8D" w14:textId="77777777" w:rsidR="00A52778" w:rsidRPr="00460F9E" w:rsidRDefault="00A52778" w:rsidP="00FC3F8E">
            <w:pPr>
              <w:spacing w:line="0" w:lineRule="atLeast"/>
              <w:rPr>
                <w:rFonts w:eastAsia="Times New Roman" w:cs="Times New Roman"/>
                <w:b/>
                <w:sz w:val="14"/>
              </w:rPr>
            </w:pPr>
          </w:p>
        </w:tc>
      </w:tr>
      <w:tr w:rsidR="00A52778" w:rsidRPr="00460F9E" w14:paraId="3C9F1DCA" w14:textId="77777777" w:rsidTr="00FC3F8E">
        <w:trPr>
          <w:trHeight w:val="199"/>
        </w:trPr>
        <w:tc>
          <w:tcPr>
            <w:tcW w:w="1660" w:type="dxa"/>
            <w:gridSpan w:val="2"/>
            <w:vMerge w:val="restart"/>
            <w:tcBorders>
              <w:left w:val="single" w:sz="8" w:space="0" w:color="auto"/>
              <w:right w:val="single" w:sz="8" w:space="0" w:color="auto"/>
            </w:tcBorders>
            <w:shd w:val="clear" w:color="auto" w:fill="auto"/>
            <w:vAlign w:val="bottom"/>
          </w:tcPr>
          <w:p w14:paraId="6A1AD690"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Hidrojen</w:t>
            </w:r>
          </w:p>
        </w:tc>
        <w:tc>
          <w:tcPr>
            <w:tcW w:w="2080" w:type="dxa"/>
            <w:vMerge/>
            <w:tcBorders>
              <w:right w:val="single" w:sz="8" w:space="0" w:color="auto"/>
            </w:tcBorders>
            <w:shd w:val="clear" w:color="auto" w:fill="auto"/>
            <w:vAlign w:val="bottom"/>
          </w:tcPr>
          <w:p w14:paraId="22A650F2" w14:textId="77777777" w:rsidR="00A52778" w:rsidRPr="00460F9E" w:rsidRDefault="00A52778" w:rsidP="00FC3F8E">
            <w:pPr>
              <w:spacing w:line="219" w:lineRule="exact"/>
              <w:jc w:val="center"/>
              <w:rPr>
                <w:rFonts w:eastAsia="Times New Roman" w:cs="Times New Roman"/>
                <w:b/>
              </w:rPr>
            </w:pPr>
          </w:p>
        </w:tc>
        <w:tc>
          <w:tcPr>
            <w:tcW w:w="1540" w:type="dxa"/>
            <w:vMerge w:val="restart"/>
            <w:tcBorders>
              <w:right w:val="single" w:sz="8" w:space="0" w:color="auto"/>
            </w:tcBorders>
            <w:shd w:val="clear" w:color="auto" w:fill="auto"/>
            <w:vAlign w:val="bottom"/>
          </w:tcPr>
          <w:p w14:paraId="617C0657"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standartları (</w:t>
            </w:r>
            <w:r w:rsidRPr="00460F9E">
              <w:rPr>
                <w:rFonts w:eastAsia="Times New Roman" w:cs="Times New Roman"/>
                <w:w w:val="99"/>
                <w:sz w:val="25"/>
                <w:vertAlign w:val="superscript"/>
              </w:rPr>
              <w:t>2</w:t>
            </w:r>
            <w:r w:rsidRPr="00460F9E">
              <w:rPr>
                <w:rFonts w:eastAsia="Times New Roman" w:cs="Times New Roman"/>
                <w:w w:val="99"/>
              </w:rPr>
              <w:t>)</w:t>
            </w:r>
          </w:p>
        </w:tc>
        <w:tc>
          <w:tcPr>
            <w:tcW w:w="1720" w:type="dxa"/>
            <w:vMerge/>
            <w:tcBorders>
              <w:right w:val="single" w:sz="8" w:space="0" w:color="auto"/>
            </w:tcBorders>
            <w:shd w:val="clear" w:color="auto" w:fill="auto"/>
            <w:vAlign w:val="bottom"/>
          </w:tcPr>
          <w:p w14:paraId="6E0C1ACF" w14:textId="77777777" w:rsidR="00A52778" w:rsidRPr="00460F9E" w:rsidRDefault="00A52778" w:rsidP="00FC3F8E">
            <w:pPr>
              <w:spacing w:line="0" w:lineRule="atLeast"/>
              <w:rPr>
                <w:rFonts w:eastAsia="Times New Roman" w:cs="Times New Roman"/>
                <w:b/>
                <w:sz w:val="17"/>
              </w:rPr>
            </w:pPr>
          </w:p>
        </w:tc>
        <w:tc>
          <w:tcPr>
            <w:tcW w:w="1760" w:type="dxa"/>
            <w:tcBorders>
              <w:right w:val="single" w:sz="8" w:space="0" w:color="auto"/>
            </w:tcBorders>
            <w:shd w:val="clear" w:color="auto" w:fill="auto"/>
            <w:vAlign w:val="bottom"/>
          </w:tcPr>
          <w:p w14:paraId="616D63EB" w14:textId="77777777" w:rsidR="00A52778" w:rsidRPr="00460F9E" w:rsidRDefault="00A52778" w:rsidP="00FC3F8E">
            <w:pPr>
              <w:spacing w:line="0" w:lineRule="atLeast"/>
              <w:rPr>
                <w:rFonts w:eastAsia="Times New Roman" w:cs="Times New Roman"/>
                <w:b/>
                <w:sz w:val="17"/>
              </w:rPr>
            </w:pPr>
          </w:p>
        </w:tc>
      </w:tr>
      <w:tr w:rsidR="00A52778" w:rsidRPr="00460F9E" w14:paraId="116CE201" w14:textId="77777777" w:rsidTr="00FC3F8E">
        <w:trPr>
          <w:trHeight w:val="95"/>
        </w:trPr>
        <w:tc>
          <w:tcPr>
            <w:tcW w:w="1660" w:type="dxa"/>
            <w:gridSpan w:val="2"/>
            <w:vMerge/>
            <w:tcBorders>
              <w:left w:val="single" w:sz="8" w:space="0" w:color="auto"/>
              <w:right w:val="single" w:sz="8" w:space="0" w:color="auto"/>
            </w:tcBorders>
            <w:shd w:val="clear" w:color="auto" w:fill="auto"/>
            <w:vAlign w:val="bottom"/>
          </w:tcPr>
          <w:p w14:paraId="3F46AC0B" w14:textId="77777777" w:rsidR="00A52778" w:rsidRPr="00460F9E" w:rsidRDefault="00A52778" w:rsidP="00FC3F8E">
            <w:pPr>
              <w:spacing w:line="0" w:lineRule="atLeast"/>
              <w:rPr>
                <w:rFonts w:eastAsia="Times New Roman" w:cs="Times New Roman"/>
                <w:b/>
                <w:sz w:val="8"/>
              </w:rPr>
            </w:pPr>
          </w:p>
        </w:tc>
        <w:tc>
          <w:tcPr>
            <w:tcW w:w="2080" w:type="dxa"/>
            <w:vMerge/>
            <w:tcBorders>
              <w:bottom w:val="single" w:sz="8" w:space="0" w:color="auto"/>
              <w:right w:val="single" w:sz="8" w:space="0" w:color="auto"/>
            </w:tcBorders>
            <w:shd w:val="clear" w:color="auto" w:fill="auto"/>
            <w:vAlign w:val="bottom"/>
          </w:tcPr>
          <w:p w14:paraId="1542FDC9" w14:textId="77777777" w:rsidR="00A52778" w:rsidRPr="00460F9E" w:rsidRDefault="00A52778" w:rsidP="00FC3F8E">
            <w:pPr>
              <w:spacing w:line="0" w:lineRule="atLeast"/>
              <w:rPr>
                <w:rFonts w:eastAsia="Times New Roman" w:cs="Times New Roman"/>
                <w:b/>
                <w:sz w:val="8"/>
              </w:rPr>
            </w:pPr>
          </w:p>
        </w:tc>
        <w:tc>
          <w:tcPr>
            <w:tcW w:w="1540" w:type="dxa"/>
            <w:vMerge/>
            <w:tcBorders>
              <w:bottom w:val="single" w:sz="8" w:space="0" w:color="auto"/>
              <w:right w:val="single" w:sz="8" w:space="0" w:color="auto"/>
            </w:tcBorders>
            <w:shd w:val="clear" w:color="auto" w:fill="auto"/>
            <w:vAlign w:val="bottom"/>
          </w:tcPr>
          <w:p w14:paraId="460ECF0D" w14:textId="77777777" w:rsidR="00A52778" w:rsidRPr="00460F9E" w:rsidRDefault="00A52778" w:rsidP="00FC3F8E">
            <w:pPr>
              <w:spacing w:line="0" w:lineRule="atLeast"/>
              <w:rPr>
                <w:rFonts w:eastAsia="Times New Roman" w:cs="Times New Roman"/>
                <w:b/>
                <w:sz w:val="8"/>
              </w:rPr>
            </w:pPr>
          </w:p>
        </w:tc>
        <w:tc>
          <w:tcPr>
            <w:tcW w:w="1720" w:type="dxa"/>
            <w:tcBorders>
              <w:bottom w:val="single" w:sz="8" w:space="0" w:color="auto"/>
              <w:right w:val="single" w:sz="8" w:space="0" w:color="auto"/>
            </w:tcBorders>
            <w:shd w:val="clear" w:color="auto" w:fill="auto"/>
            <w:vAlign w:val="bottom"/>
          </w:tcPr>
          <w:p w14:paraId="412A070E" w14:textId="77777777" w:rsidR="00A52778" w:rsidRPr="00460F9E" w:rsidRDefault="00A52778" w:rsidP="00FC3F8E">
            <w:pPr>
              <w:spacing w:line="0" w:lineRule="atLeast"/>
              <w:rPr>
                <w:rFonts w:eastAsia="Times New Roman" w:cs="Times New Roman"/>
                <w:b/>
                <w:sz w:val="8"/>
              </w:rPr>
            </w:pPr>
          </w:p>
        </w:tc>
        <w:tc>
          <w:tcPr>
            <w:tcW w:w="1760" w:type="dxa"/>
            <w:tcBorders>
              <w:right w:val="single" w:sz="8" w:space="0" w:color="auto"/>
            </w:tcBorders>
            <w:shd w:val="clear" w:color="auto" w:fill="auto"/>
            <w:vAlign w:val="bottom"/>
          </w:tcPr>
          <w:p w14:paraId="045D7C0E" w14:textId="77777777" w:rsidR="00A52778" w:rsidRPr="00460F9E" w:rsidRDefault="00A52778" w:rsidP="00FC3F8E">
            <w:pPr>
              <w:spacing w:line="0" w:lineRule="atLeast"/>
              <w:rPr>
                <w:rFonts w:eastAsia="Times New Roman" w:cs="Times New Roman"/>
                <w:b/>
                <w:sz w:val="8"/>
              </w:rPr>
            </w:pPr>
          </w:p>
        </w:tc>
      </w:tr>
      <w:tr w:rsidR="00A52778" w:rsidRPr="00460F9E" w14:paraId="266FC1C6" w14:textId="77777777" w:rsidTr="00FC3F8E">
        <w:trPr>
          <w:trHeight w:val="212"/>
        </w:trPr>
        <w:tc>
          <w:tcPr>
            <w:tcW w:w="1660" w:type="dxa"/>
            <w:gridSpan w:val="2"/>
            <w:tcBorders>
              <w:left w:val="single" w:sz="8" w:space="0" w:color="auto"/>
              <w:right w:val="single" w:sz="8" w:space="0" w:color="auto"/>
            </w:tcBorders>
            <w:shd w:val="clear" w:color="auto" w:fill="auto"/>
            <w:vAlign w:val="bottom"/>
          </w:tcPr>
          <w:p w14:paraId="19270DB1" w14:textId="77777777" w:rsidR="00A52778" w:rsidRPr="00460F9E" w:rsidRDefault="00A52778" w:rsidP="00FC3F8E">
            <w:pPr>
              <w:spacing w:line="212" w:lineRule="exact"/>
              <w:ind w:left="120"/>
              <w:rPr>
                <w:rFonts w:eastAsia="Times New Roman" w:cs="Times New Roman"/>
                <w:b/>
              </w:rPr>
            </w:pPr>
            <w:r w:rsidRPr="00460F9E">
              <w:rPr>
                <w:rFonts w:eastAsia="Times New Roman" w:cs="Times New Roman"/>
              </w:rPr>
              <w:t>sülfür (H</w:t>
            </w:r>
            <w:r w:rsidRPr="00460F9E">
              <w:rPr>
                <w:rFonts w:eastAsia="Times New Roman" w:cs="Times New Roman"/>
                <w:sz w:val="12"/>
              </w:rPr>
              <w:t>2</w:t>
            </w:r>
            <w:r w:rsidRPr="00460F9E">
              <w:rPr>
                <w:rFonts w:eastAsia="Times New Roman" w:cs="Times New Roman"/>
              </w:rPr>
              <w:t>S)</w:t>
            </w:r>
          </w:p>
        </w:tc>
        <w:tc>
          <w:tcPr>
            <w:tcW w:w="2080" w:type="dxa"/>
            <w:vMerge w:val="restart"/>
            <w:tcBorders>
              <w:right w:val="single" w:sz="8" w:space="0" w:color="auto"/>
            </w:tcBorders>
            <w:shd w:val="clear" w:color="auto" w:fill="auto"/>
            <w:vAlign w:val="center"/>
          </w:tcPr>
          <w:p w14:paraId="0A45042A"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Kütle akışı &lt;50 g/saat olan herhangi bir baca</w:t>
            </w:r>
          </w:p>
        </w:tc>
        <w:tc>
          <w:tcPr>
            <w:tcW w:w="1540" w:type="dxa"/>
            <w:vMerge w:val="restart"/>
            <w:tcBorders>
              <w:right w:val="single" w:sz="8" w:space="0" w:color="auto"/>
            </w:tcBorders>
            <w:shd w:val="clear" w:color="auto" w:fill="auto"/>
            <w:vAlign w:val="center"/>
          </w:tcPr>
          <w:p w14:paraId="14BD6FF7"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EN standardı mevcut değil</w:t>
            </w:r>
          </w:p>
        </w:tc>
        <w:tc>
          <w:tcPr>
            <w:tcW w:w="1720" w:type="dxa"/>
            <w:vMerge w:val="restart"/>
            <w:tcBorders>
              <w:right w:val="single" w:sz="8" w:space="0" w:color="auto"/>
            </w:tcBorders>
            <w:shd w:val="clear" w:color="auto" w:fill="auto"/>
            <w:vAlign w:val="bottom"/>
          </w:tcPr>
          <w:p w14:paraId="427D0CC1"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Yılda bir kere</w:t>
            </w:r>
          </w:p>
        </w:tc>
        <w:tc>
          <w:tcPr>
            <w:tcW w:w="1760" w:type="dxa"/>
            <w:tcBorders>
              <w:right w:val="single" w:sz="8" w:space="0" w:color="auto"/>
            </w:tcBorders>
            <w:shd w:val="clear" w:color="auto" w:fill="auto"/>
            <w:vAlign w:val="bottom"/>
          </w:tcPr>
          <w:p w14:paraId="525F2087" w14:textId="77777777" w:rsidR="00A52778" w:rsidRPr="00460F9E" w:rsidRDefault="00A52778" w:rsidP="00FC3F8E">
            <w:pPr>
              <w:spacing w:line="0" w:lineRule="atLeast"/>
              <w:rPr>
                <w:rFonts w:eastAsia="Times New Roman" w:cs="Times New Roman"/>
                <w:b/>
                <w:sz w:val="18"/>
              </w:rPr>
            </w:pPr>
          </w:p>
        </w:tc>
      </w:tr>
      <w:tr w:rsidR="00A52778" w:rsidRPr="00460F9E" w14:paraId="0B73F0CC" w14:textId="77777777" w:rsidTr="00FC3F8E">
        <w:trPr>
          <w:trHeight w:val="57"/>
        </w:trPr>
        <w:tc>
          <w:tcPr>
            <w:tcW w:w="340" w:type="dxa"/>
            <w:tcBorders>
              <w:left w:val="single" w:sz="8" w:space="0" w:color="auto"/>
            </w:tcBorders>
            <w:shd w:val="clear" w:color="auto" w:fill="auto"/>
            <w:vAlign w:val="bottom"/>
          </w:tcPr>
          <w:p w14:paraId="28697D88" w14:textId="77777777" w:rsidR="00A52778" w:rsidRPr="00460F9E" w:rsidRDefault="00A52778" w:rsidP="00FC3F8E">
            <w:pPr>
              <w:spacing w:line="0" w:lineRule="atLeast"/>
              <w:rPr>
                <w:rFonts w:eastAsia="Times New Roman" w:cs="Times New Roman"/>
                <w:b/>
                <w:sz w:val="4"/>
              </w:rPr>
            </w:pPr>
          </w:p>
        </w:tc>
        <w:tc>
          <w:tcPr>
            <w:tcW w:w="1320" w:type="dxa"/>
            <w:tcBorders>
              <w:right w:val="single" w:sz="8" w:space="0" w:color="auto"/>
            </w:tcBorders>
            <w:shd w:val="clear" w:color="auto" w:fill="auto"/>
            <w:vAlign w:val="bottom"/>
          </w:tcPr>
          <w:p w14:paraId="72019183" w14:textId="77777777" w:rsidR="00A52778" w:rsidRPr="00460F9E" w:rsidRDefault="00A52778" w:rsidP="00FC3F8E">
            <w:pPr>
              <w:spacing w:line="0" w:lineRule="atLeast"/>
              <w:rPr>
                <w:rFonts w:eastAsia="Times New Roman" w:cs="Times New Roman"/>
                <w:b/>
                <w:sz w:val="4"/>
              </w:rPr>
            </w:pPr>
          </w:p>
        </w:tc>
        <w:tc>
          <w:tcPr>
            <w:tcW w:w="2080" w:type="dxa"/>
            <w:vMerge/>
            <w:tcBorders>
              <w:right w:val="single" w:sz="8" w:space="0" w:color="auto"/>
            </w:tcBorders>
            <w:shd w:val="clear" w:color="auto" w:fill="auto"/>
            <w:vAlign w:val="bottom"/>
          </w:tcPr>
          <w:p w14:paraId="413836E4" w14:textId="77777777" w:rsidR="00A52778" w:rsidRPr="00460F9E" w:rsidRDefault="00A52778" w:rsidP="00FC3F8E">
            <w:pPr>
              <w:spacing w:line="0" w:lineRule="atLeast"/>
              <w:jc w:val="center"/>
              <w:rPr>
                <w:rFonts w:eastAsia="Times New Roman" w:cs="Times New Roman"/>
                <w:b/>
                <w:sz w:val="4"/>
              </w:rPr>
            </w:pPr>
          </w:p>
        </w:tc>
        <w:tc>
          <w:tcPr>
            <w:tcW w:w="1540" w:type="dxa"/>
            <w:vMerge/>
            <w:tcBorders>
              <w:right w:val="single" w:sz="8" w:space="0" w:color="auto"/>
            </w:tcBorders>
            <w:shd w:val="clear" w:color="auto" w:fill="auto"/>
            <w:vAlign w:val="bottom"/>
          </w:tcPr>
          <w:p w14:paraId="249E9CAD" w14:textId="77777777" w:rsidR="00A52778" w:rsidRPr="00460F9E" w:rsidRDefault="00A52778" w:rsidP="00FC3F8E">
            <w:pPr>
              <w:spacing w:line="0" w:lineRule="atLeast"/>
              <w:jc w:val="center"/>
              <w:rPr>
                <w:rFonts w:eastAsia="Times New Roman" w:cs="Times New Roman"/>
                <w:b/>
                <w:sz w:val="4"/>
              </w:rPr>
            </w:pPr>
          </w:p>
        </w:tc>
        <w:tc>
          <w:tcPr>
            <w:tcW w:w="1720" w:type="dxa"/>
            <w:vMerge/>
            <w:tcBorders>
              <w:right w:val="single" w:sz="8" w:space="0" w:color="auto"/>
            </w:tcBorders>
            <w:shd w:val="clear" w:color="auto" w:fill="auto"/>
            <w:vAlign w:val="bottom"/>
          </w:tcPr>
          <w:p w14:paraId="73ED5623" w14:textId="77777777" w:rsidR="00A52778" w:rsidRPr="00460F9E" w:rsidRDefault="00A52778" w:rsidP="00FC3F8E">
            <w:pPr>
              <w:spacing w:line="0" w:lineRule="atLeast"/>
              <w:rPr>
                <w:rFonts w:eastAsia="Times New Roman" w:cs="Times New Roman"/>
                <w:b/>
                <w:sz w:val="4"/>
              </w:rPr>
            </w:pPr>
          </w:p>
        </w:tc>
        <w:tc>
          <w:tcPr>
            <w:tcW w:w="1760" w:type="dxa"/>
            <w:tcBorders>
              <w:right w:val="single" w:sz="8" w:space="0" w:color="auto"/>
            </w:tcBorders>
            <w:shd w:val="clear" w:color="auto" w:fill="auto"/>
            <w:vAlign w:val="bottom"/>
          </w:tcPr>
          <w:p w14:paraId="730E6CE1" w14:textId="77777777" w:rsidR="00A52778" w:rsidRPr="00460F9E" w:rsidRDefault="00A52778" w:rsidP="00FC3F8E">
            <w:pPr>
              <w:spacing w:line="0" w:lineRule="atLeast"/>
              <w:rPr>
                <w:rFonts w:eastAsia="Times New Roman" w:cs="Times New Roman"/>
                <w:b/>
                <w:sz w:val="4"/>
              </w:rPr>
            </w:pPr>
          </w:p>
        </w:tc>
      </w:tr>
      <w:tr w:rsidR="00A52778" w:rsidRPr="00460F9E" w14:paraId="4EBCF08F" w14:textId="77777777" w:rsidTr="00FC3F8E">
        <w:trPr>
          <w:trHeight w:val="289"/>
        </w:trPr>
        <w:tc>
          <w:tcPr>
            <w:tcW w:w="340" w:type="dxa"/>
            <w:tcBorders>
              <w:left w:val="single" w:sz="8" w:space="0" w:color="auto"/>
              <w:bottom w:val="single" w:sz="8" w:space="0" w:color="auto"/>
            </w:tcBorders>
            <w:shd w:val="clear" w:color="auto" w:fill="auto"/>
            <w:vAlign w:val="bottom"/>
          </w:tcPr>
          <w:p w14:paraId="79E97BBA" w14:textId="77777777" w:rsidR="00A52778" w:rsidRPr="00460F9E" w:rsidRDefault="00A52778" w:rsidP="00FC3F8E">
            <w:pPr>
              <w:spacing w:line="0" w:lineRule="atLeast"/>
              <w:rPr>
                <w:rFonts w:eastAsia="Times New Roman" w:cs="Times New Roman"/>
                <w:b/>
              </w:rPr>
            </w:pPr>
          </w:p>
        </w:tc>
        <w:tc>
          <w:tcPr>
            <w:tcW w:w="1320" w:type="dxa"/>
            <w:tcBorders>
              <w:bottom w:val="single" w:sz="8" w:space="0" w:color="auto"/>
              <w:right w:val="single" w:sz="8" w:space="0" w:color="auto"/>
            </w:tcBorders>
            <w:shd w:val="clear" w:color="auto" w:fill="auto"/>
            <w:vAlign w:val="bottom"/>
          </w:tcPr>
          <w:p w14:paraId="0D3C8290" w14:textId="77777777" w:rsidR="00A52778" w:rsidRPr="00460F9E" w:rsidRDefault="00A52778" w:rsidP="00FC3F8E">
            <w:pPr>
              <w:spacing w:line="0" w:lineRule="atLeast"/>
              <w:rPr>
                <w:rFonts w:eastAsia="Times New Roman" w:cs="Times New Roman"/>
                <w:b/>
              </w:rPr>
            </w:pPr>
          </w:p>
        </w:tc>
        <w:tc>
          <w:tcPr>
            <w:tcW w:w="2080" w:type="dxa"/>
            <w:vMerge/>
            <w:tcBorders>
              <w:bottom w:val="single" w:sz="8" w:space="0" w:color="auto"/>
              <w:right w:val="single" w:sz="8" w:space="0" w:color="auto"/>
            </w:tcBorders>
            <w:shd w:val="clear" w:color="auto" w:fill="auto"/>
            <w:vAlign w:val="bottom"/>
          </w:tcPr>
          <w:p w14:paraId="656988AE" w14:textId="77777777" w:rsidR="00A52778" w:rsidRPr="00460F9E" w:rsidRDefault="00A52778" w:rsidP="00FC3F8E">
            <w:pPr>
              <w:spacing w:line="0" w:lineRule="atLeast"/>
              <w:jc w:val="center"/>
              <w:rPr>
                <w:rFonts w:eastAsia="Times New Roman" w:cs="Times New Roman"/>
                <w:b/>
                <w:w w:val="99"/>
              </w:rPr>
            </w:pPr>
          </w:p>
        </w:tc>
        <w:tc>
          <w:tcPr>
            <w:tcW w:w="1540" w:type="dxa"/>
            <w:vMerge/>
            <w:tcBorders>
              <w:bottom w:val="single" w:sz="8" w:space="0" w:color="auto"/>
              <w:right w:val="single" w:sz="8" w:space="0" w:color="auto"/>
            </w:tcBorders>
            <w:shd w:val="clear" w:color="auto" w:fill="auto"/>
            <w:vAlign w:val="bottom"/>
          </w:tcPr>
          <w:p w14:paraId="1CAD6829" w14:textId="77777777" w:rsidR="00A52778" w:rsidRPr="00460F9E" w:rsidRDefault="00A52778" w:rsidP="00FC3F8E">
            <w:pPr>
              <w:spacing w:line="0" w:lineRule="atLeast"/>
              <w:jc w:val="center"/>
              <w:rPr>
                <w:rFonts w:eastAsia="Times New Roman" w:cs="Times New Roman"/>
                <w:b/>
                <w:w w:val="99"/>
              </w:rPr>
            </w:pPr>
          </w:p>
        </w:tc>
        <w:tc>
          <w:tcPr>
            <w:tcW w:w="1720" w:type="dxa"/>
            <w:tcBorders>
              <w:bottom w:val="single" w:sz="8" w:space="0" w:color="auto"/>
              <w:right w:val="single" w:sz="8" w:space="0" w:color="auto"/>
            </w:tcBorders>
            <w:shd w:val="clear" w:color="auto" w:fill="auto"/>
            <w:vAlign w:val="bottom"/>
          </w:tcPr>
          <w:p w14:paraId="4381A46B" w14:textId="77777777" w:rsidR="00A52778" w:rsidRPr="00460F9E" w:rsidRDefault="00A52778" w:rsidP="00FC3F8E">
            <w:pPr>
              <w:spacing w:line="0" w:lineRule="atLeast"/>
              <w:jc w:val="center"/>
              <w:rPr>
                <w:rFonts w:eastAsia="Times New Roman" w:cs="Times New Roman"/>
                <w:b/>
                <w:w w:val="92"/>
              </w:rPr>
            </w:pPr>
            <w:r w:rsidRPr="00460F9E">
              <w:rPr>
                <w:rFonts w:eastAsia="Times New Roman" w:cs="Times New Roman"/>
                <w:w w:val="92"/>
              </w:rPr>
              <w:t>(</w:t>
            </w:r>
            <w:r w:rsidRPr="00460F9E">
              <w:rPr>
                <w:rFonts w:eastAsia="Times New Roman" w:cs="Times New Roman"/>
                <w:w w:val="92"/>
                <w:sz w:val="25"/>
                <w:vertAlign w:val="superscript"/>
              </w:rPr>
              <w:t>4</w:t>
            </w:r>
            <w:r w:rsidRPr="00460F9E">
              <w:rPr>
                <w:rFonts w:eastAsia="Times New Roman" w:cs="Times New Roman"/>
                <w:w w:val="92"/>
              </w:rPr>
              <w:t>)</w:t>
            </w:r>
          </w:p>
        </w:tc>
        <w:tc>
          <w:tcPr>
            <w:tcW w:w="1760" w:type="dxa"/>
            <w:tcBorders>
              <w:bottom w:val="single" w:sz="8" w:space="0" w:color="auto"/>
              <w:right w:val="single" w:sz="8" w:space="0" w:color="auto"/>
            </w:tcBorders>
            <w:shd w:val="clear" w:color="auto" w:fill="auto"/>
            <w:vAlign w:val="bottom"/>
          </w:tcPr>
          <w:p w14:paraId="5F8D6733" w14:textId="77777777" w:rsidR="00A52778" w:rsidRPr="00460F9E" w:rsidRDefault="00A52778" w:rsidP="00FC3F8E">
            <w:pPr>
              <w:spacing w:line="0" w:lineRule="atLeast"/>
              <w:rPr>
                <w:rFonts w:eastAsia="Times New Roman" w:cs="Times New Roman"/>
                <w:b/>
              </w:rPr>
            </w:pPr>
          </w:p>
        </w:tc>
      </w:tr>
      <w:tr w:rsidR="00A52778" w:rsidRPr="00460F9E" w14:paraId="73474DE6" w14:textId="77777777" w:rsidTr="00FC3F8E">
        <w:trPr>
          <w:trHeight w:val="200"/>
        </w:trPr>
        <w:tc>
          <w:tcPr>
            <w:tcW w:w="340" w:type="dxa"/>
            <w:tcBorders>
              <w:left w:val="single" w:sz="8" w:space="0" w:color="auto"/>
            </w:tcBorders>
            <w:shd w:val="clear" w:color="auto" w:fill="auto"/>
            <w:vAlign w:val="bottom"/>
          </w:tcPr>
          <w:p w14:paraId="41658068" w14:textId="77777777" w:rsidR="00A52778" w:rsidRPr="00460F9E" w:rsidRDefault="00A52778" w:rsidP="00FC3F8E">
            <w:pPr>
              <w:spacing w:line="200" w:lineRule="exact"/>
              <w:ind w:left="120"/>
              <w:rPr>
                <w:rFonts w:eastAsia="Times New Roman" w:cs="Times New Roman"/>
                <w:b/>
                <w:sz w:val="17"/>
              </w:rPr>
            </w:pPr>
            <w:r w:rsidRPr="00460F9E">
              <w:rPr>
                <w:rFonts w:eastAsia="Times New Roman" w:cs="Times New Roman"/>
                <w:sz w:val="17"/>
              </w:rPr>
              <w:t>(</w:t>
            </w:r>
            <w:r w:rsidRPr="00460F9E">
              <w:rPr>
                <w:rFonts w:eastAsia="Times New Roman" w:cs="Times New Roman"/>
                <w:sz w:val="23"/>
                <w:vertAlign w:val="superscript"/>
              </w:rPr>
              <w:t>1</w:t>
            </w:r>
            <w:r w:rsidRPr="00460F9E">
              <w:rPr>
                <w:rFonts w:eastAsia="Times New Roman" w:cs="Times New Roman"/>
                <w:sz w:val="17"/>
              </w:rPr>
              <w:t>)</w:t>
            </w:r>
          </w:p>
        </w:tc>
        <w:tc>
          <w:tcPr>
            <w:tcW w:w="8420" w:type="dxa"/>
            <w:gridSpan w:val="5"/>
            <w:vMerge w:val="restart"/>
            <w:tcBorders>
              <w:right w:val="single" w:sz="8" w:space="0" w:color="auto"/>
            </w:tcBorders>
            <w:shd w:val="clear" w:color="auto" w:fill="auto"/>
            <w:vAlign w:val="bottom"/>
          </w:tcPr>
          <w:p w14:paraId="6DFBE32E" w14:textId="77777777" w:rsidR="00A52778" w:rsidRPr="00460F9E" w:rsidRDefault="00A52778" w:rsidP="00FC3F8E">
            <w:pPr>
              <w:spacing w:line="0" w:lineRule="atLeast"/>
              <w:rPr>
                <w:rFonts w:eastAsia="Times New Roman" w:cs="Times New Roman"/>
                <w:b/>
                <w:sz w:val="18"/>
              </w:rPr>
            </w:pPr>
            <w:r w:rsidRPr="00460F9E">
              <w:rPr>
                <w:rFonts w:eastAsia="Times New Roman" w:cs="Times New Roman"/>
                <w:sz w:val="18"/>
              </w:rPr>
              <w:t>İzleme yalnızca ilgili maddenin MET 2' de verilen envantere dayalı olarak atık gaz akışında ilgili olduğu tespit edildiğinde uygulanır.</w:t>
            </w:r>
          </w:p>
        </w:tc>
      </w:tr>
      <w:tr w:rsidR="00A52778" w:rsidRPr="00460F9E" w14:paraId="27832120" w14:textId="77777777" w:rsidTr="00FC3F8E">
        <w:trPr>
          <w:trHeight w:val="197"/>
        </w:trPr>
        <w:tc>
          <w:tcPr>
            <w:tcW w:w="340" w:type="dxa"/>
            <w:tcBorders>
              <w:left w:val="single" w:sz="8" w:space="0" w:color="auto"/>
            </w:tcBorders>
            <w:shd w:val="clear" w:color="auto" w:fill="auto"/>
            <w:vAlign w:val="bottom"/>
          </w:tcPr>
          <w:p w14:paraId="118469DE" w14:textId="77777777" w:rsidR="00A52778" w:rsidRPr="00460F9E" w:rsidRDefault="00A52778" w:rsidP="00FC3F8E">
            <w:pPr>
              <w:spacing w:line="0" w:lineRule="atLeast"/>
              <w:rPr>
                <w:rFonts w:eastAsia="Times New Roman" w:cs="Times New Roman"/>
                <w:b/>
                <w:sz w:val="17"/>
              </w:rPr>
            </w:pPr>
          </w:p>
        </w:tc>
        <w:tc>
          <w:tcPr>
            <w:tcW w:w="8420" w:type="dxa"/>
            <w:gridSpan w:val="5"/>
            <w:vMerge/>
            <w:tcBorders>
              <w:right w:val="single" w:sz="8" w:space="0" w:color="auto"/>
            </w:tcBorders>
            <w:shd w:val="clear" w:color="auto" w:fill="auto"/>
            <w:vAlign w:val="bottom"/>
          </w:tcPr>
          <w:p w14:paraId="1FDE2020" w14:textId="77777777" w:rsidR="00A52778" w:rsidRPr="00460F9E" w:rsidRDefault="00A52778" w:rsidP="00FC3F8E">
            <w:pPr>
              <w:spacing w:line="0" w:lineRule="atLeast"/>
              <w:rPr>
                <w:rFonts w:eastAsia="Times New Roman" w:cs="Times New Roman"/>
                <w:b/>
                <w:sz w:val="17"/>
              </w:rPr>
            </w:pPr>
          </w:p>
        </w:tc>
      </w:tr>
      <w:tr w:rsidR="00A52778" w:rsidRPr="00460F9E" w14:paraId="3F839C95" w14:textId="77777777" w:rsidTr="00FC3F8E">
        <w:trPr>
          <w:trHeight w:val="211"/>
        </w:trPr>
        <w:tc>
          <w:tcPr>
            <w:tcW w:w="340" w:type="dxa"/>
            <w:tcBorders>
              <w:left w:val="single" w:sz="8" w:space="0" w:color="auto"/>
            </w:tcBorders>
            <w:shd w:val="clear" w:color="auto" w:fill="auto"/>
            <w:vAlign w:val="bottom"/>
          </w:tcPr>
          <w:p w14:paraId="6C9A969F" w14:textId="77777777" w:rsidR="00A52778" w:rsidRPr="00460F9E" w:rsidRDefault="00A52778" w:rsidP="00FC3F8E">
            <w:pPr>
              <w:spacing w:line="211" w:lineRule="exact"/>
              <w:ind w:left="120"/>
              <w:rPr>
                <w:rFonts w:eastAsia="Times New Roman" w:cs="Times New Roman"/>
                <w:b/>
                <w:w w:val="99"/>
                <w:sz w:val="18"/>
              </w:rPr>
            </w:pPr>
            <w:r w:rsidRPr="00460F9E">
              <w:rPr>
                <w:rFonts w:eastAsia="Times New Roman" w:cs="Times New Roman"/>
                <w:w w:val="99"/>
                <w:sz w:val="18"/>
              </w:rPr>
              <w:t>(</w:t>
            </w:r>
            <w:r w:rsidRPr="00460F9E">
              <w:rPr>
                <w:rFonts w:eastAsia="Times New Roman" w:cs="Times New Roman"/>
                <w:w w:val="99"/>
                <w:vertAlign w:val="superscript"/>
              </w:rPr>
              <w:t>2</w:t>
            </w:r>
            <w:r w:rsidRPr="00460F9E">
              <w:rPr>
                <w:rFonts w:eastAsia="Times New Roman" w:cs="Times New Roman"/>
                <w:w w:val="99"/>
                <w:sz w:val="18"/>
              </w:rPr>
              <w:t>)</w:t>
            </w:r>
          </w:p>
        </w:tc>
        <w:tc>
          <w:tcPr>
            <w:tcW w:w="8420" w:type="dxa"/>
            <w:gridSpan w:val="5"/>
            <w:tcBorders>
              <w:right w:val="single" w:sz="8" w:space="0" w:color="auto"/>
            </w:tcBorders>
            <w:shd w:val="clear" w:color="auto" w:fill="auto"/>
            <w:vAlign w:val="bottom"/>
          </w:tcPr>
          <w:p w14:paraId="01915557" w14:textId="77777777" w:rsidR="00A52778" w:rsidRPr="00460F9E" w:rsidRDefault="00A52778" w:rsidP="00FC3F8E">
            <w:pPr>
              <w:spacing w:line="0" w:lineRule="atLeast"/>
              <w:ind w:left="60"/>
              <w:rPr>
                <w:rFonts w:eastAsia="Times New Roman" w:cs="Times New Roman"/>
                <w:b/>
                <w:sz w:val="18"/>
              </w:rPr>
            </w:pPr>
            <w:r w:rsidRPr="00460F9E">
              <w:rPr>
                <w:rFonts w:eastAsia="Times New Roman" w:cs="Times New Roman"/>
                <w:sz w:val="18"/>
              </w:rPr>
              <w:t>Sürekli ölçümler için genel EN standartları EN 14181, EN 15267-1, EN 15267-2 ve EN 15267-3' tür.</w:t>
            </w:r>
          </w:p>
        </w:tc>
      </w:tr>
      <w:tr w:rsidR="00A52778" w:rsidRPr="00460F9E" w14:paraId="6E50422A" w14:textId="77777777" w:rsidTr="00FC3F8E">
        <w:trPr>
          <w:trHeight w:val="213"/>
        </w:trPr>
        <w:tc>
          <w:tcPr>
            <w:tcW w:w="340" w:type="dxa"/>
            <w:tcBorders>
              <w:left w:val="single" w:sz="8" w:space="0" w:color="auto"/>
            </w:tcBorders>
            <w:shd w:val="clear" w:color="auto" w:fill="auto"/>
            <w:vAlign w:val="bottom"/>
          </w:tcPr>
          <w:p w14:paraId="371ADFE4" w14:textId="77777777" w:rsidR="00A52778" w:rsidRPr="00460F9E" w:rsidRDefault="00A52778" w:rsidP="00FC3F8E">
            <w:pPr>
              <w:spacing w:line="213" w:lineRule="exact"/>
              <w:ind w:left="120"/>
              <w:rPr>
                <w:rFonts w:eastAsia="Times New Roman" w:cs="Times New Roman"/>
                <w:b/>
                <w:w w:val="99"/>
                <w:sz w:val="18"/>
              </w:rPr>
            </w:pPr>
            <w:r w:rsidRPr="00460F9E">
              <w:rPr>
                <w:rFonts w:eastAsia="Times New Roman" w:cs="Times New Roman"/>
                <w:w w:val="99"/>
                <w:sz w:val="18"/>
              </w:rPr>
              <w:t>(</w:t>
            </w:r>
            <w:r w:rsidRPr="00460F9E">
              <w:rPr>
                <w:rFonts w:eastAsia="Times New Roman" w:cs="Times New Roman"/>
                <w:w w:val="99"/>
                <w:vertAlign w:val="superscript"/>
              </w:rPr>
              <w:t>3</w:t>
            </w:r>
            <w:r w:rsidRPr="00460F9E">
              <w:rPr>
                <w:rFonts w:eastAsia="Times New Roman" w:cs="Times New Roman"/>
                <w:w w:val="99"/>
                <w:sz w:val="18"/>
              </w:rPr>
              <w:t>)</w:t>
            </w:r>
          </w:p>
        </w:tc>
        <w:tc>
          <w:tcPr>
            <w:tcW w:w="8420" w:type="dxa"/>
            <w:gridSpan w:val="5"/>
            <w:vMerge w:val="restart"/>
            <w:tcBorders>
              <w:right w:val="single" w:sz="8" w:space="0" w:color="auto"/>
            </w:tcBorders>
            <w:shd w:val="clear" w:color="auto" w:fill="auto"/>
            <w:vAlign w:val="bottom"/>
          </w:tcPr>
          <w:p w14:paraId="1D0BF204" w14:textId="77777777" w:rsidR="00A52778" w:rsidRPr="00460F9E" w:rsidRDefault="00A52778" w:rsidP="00FC3F8E">
            <w:pPr>
              <w:spacing w:line="0" w:lineRule="atLeast"/>
              <w:rPr>
                <w:rFonts w:eastAsia="Times New Roman" w:cs="Times New Roman"/>
                <w:b/>
                <w:sz w:val="18"/>
              </w:rPr>
            </w:pPr>
            <w:r w:rsidRPr="00460F9E">
              <w:rPr>
                <w:rFonts w:eastAsia="Times New Roman" w:cs="Times New Roman"/>
                <w:sz w:val="18"/>
              </w:rPr>
              <w:t>Muhafaza üretimi söz konusu olduğunda, analitik girişim nedeniyle sürekli izlemenin mümkün olmadığı durumlarda minimum izleme sıklığı ayda bir kereye düşürülebilir.</w:t>
            </w:r>
          </w:p>
        </w:tc>
      </w:tr>
      <w:tr w:rsidR="00A52778" w:rsidRPr="00460F9E" w14:paraId="05893CAB" w14:textId="77777777" w:rsidTr="00FC3F8E">
        <w:trPr>
          <w:trHeight w:val="197"/>
        </w:trPr>
        <w:tc>
          <w:tcPr>
            <w:tcW w:w="340" w:type="dxa"/>
            <w:tcBorders>
              <w:left w:val="single" w:sz="8" w:space="0" w:color="auto"/>
            </w:tcBorders>
            <w:shd w:val="clear" w:color="auto" w:fill="auto"/>
            <w:vAlign w:val="bottom"/>
          </w:tcPr>
          <w:p w14:paraId="180746BD" w14:textId="77777777" w:rsidR="00A52778" w:rsidRPr="00460F9E" w:rsidRDefault="00A52778" w:rsidP="00FC3F8E">
            <w:pPr>
              <w:spacing w:line="0" w:lineRule="atLeast"/>
              <w:rPr>
                <w:rFonts w:eastAsia="Times New Roman" w:cs="Times New Roman"/>
                <w:b/>
                <w:sz w:val="17"/>
              </w:rPr>
            </w:pPr>
          </w:p>
        </w:tc>
        <w:tc>
          <w:tcPr>
            <w:tcW w:w="8420" w:type="dxa"/>
            <w:gridSpan w:val="5"/>
            <w:vMerge/>
            <w:tcBorders>
              <w:right w:val="single" w:sz="8" w:space="0" w:color="auto"/>
            </w:tcBorders>
            <w:shd w:val="clear" w:color="auto" w:fill="auto"/>
            <w:vAlign w:val="bottom"/>
          </w:tcPr>
          <w:p w14:paraId="6A316F57" w14:textId="77777777" w:rsidR="00A52778" w:rsidRPr="00460F9E" w:rsidRDefault="00A52778" w:rsidP="00FC3F8E">
            <w:pPr>
              <w:spacing w:line="0" w:lineRule="atLeast"/>
              <w:rPr>
                <w:rFonts w:eastAsia="Times New Roman" w:cs="Times New Roman"/>
                <w:b/>
                <w:sz w:val="17"/>
              </w:rPr>
            </w:pPr>
          </w:p>
        </w:tc>
      </w:tr>
      <w:tr w:rsidR="00A52778" w:rsidRPr="00460F9E" w14:paraId="6E185CA7" w14:textId="77777777" w:rsidTr="00FC3F8E">
        <w:trPr>
          <w:trHeight w:val="216"/>
        </w:trPr>
        <w:tc>
          <w:tcPr>
            <w:tcW w:w="340" w:type="dxa"/>
            <w:tcBorders>
              <w:left w:val="single" w:sz="8" w:space="0" w:color="auto"/>
            </w:tcBorders>
            <w:shd w:val="clear" w:color="auto" w:fill="auto"/>
            <w:vAlign w:val="bottom"/>
          </w:tcPr>
          <w:p w14:paraId="7CE91A59" w14:textId="77777777" w:rsidR="00A52778" w:rsidRPr="00460F9E" w:rsidRDefault="00A52778" w:rsidP="00FC3F8E">
            <w:pPr>
              <w:spacing w:line="216" w:lineRule="exact"/>
              <w:ind w:left="120"/>
              <w:rPr>
                <w:rFonts w:eastAsia="Times New Roman" w:cs="Times New Roman"/>
                <w:b/>
                <w:w w:val="99"/>
                <w:sz w:val="18"/>
              </w:rPr>
            </w:pPr>
            <w:r w:rsidRPr="00460F9E">
              <w:rPr>
                <w:rFonts w:eastAsia="Times New Roman" w:cs="Times New Roman"/>
                <w:w w:val="99"/>
                <w:sz w:val="18"/>
              </w:rPr>
              <w:t>(</w:t>
            </w:r>
            <w:r w:rsidRPr="00460F9E">
              <w:rPr>
                <w:rFonts w:eastAsia="Times New Roman" w:cs="Times New Roman"/>
                <w:w w:val="99"/>
                <w:vertAlign w:val="superscript"/>
              </w:rPr>
              <w:t>4</w:t>
            </w:r>
            <w:r w:rsidRPr="00460F9E">
              <w:rPr>
                <w:rFonts w:eastAsia="Times New Roman" w:cs="Times New Roman"/>
                <w:w w:val="99"/>
                <w:sz w:val="18"/>
              </w:rPr>
              <w:t>)</w:t>
            </w:r>
          </w:p>
        </w:tc>
        <w:tc>
          <w:tcPr>
            <w:tcW w:w="8420" w:type="dxa"/>
            <w:gridSpan w:val="5"/>
            <w:vMerge w:val="restart"/>
            <w:tcBorders>
              <w:right w:val="single" w:sz="8" w:space="0" w:color="auto"/>
            </w:tcBorders>
            <w:shd w:val="clear" w:color="auto" w:fill="auto"/>
            <w:vAlign w:val="bottom"/>
          </w:tcPr>
          <w:p w14:paraId="15A4CB4F" w14:textId="77777777" w:rsidR="00A52778" w:rsidRPr="00460F9E" w:rsidRDefault="00A52778" w:rsidP="00FC3F8E">
            <w:pPr>
              <w:spacing w:line="0" w:lineRule="atLeast"/>
              <w:rPr>
                <w:rFonts w:eastAsia="Times New Roman" w:cs="Times New Roman"/>
                <w:b/>
                <w:sz w:val="18"/>
              </w:rPr>
            </w:pPr>
            <w:r w:rsidRPr="00460F9E">
              <w:rPr>
                <w:rFonts w:eastAsia="Times New Roman" w:cs="Times New Roman"/>
                <w:sz w:val="18"/>
              </w:rPr>
              <w:t>Mümkün olduğu ölçüde, ölçümler normal çalışma koşulları altında beklenen en yüksek emisyon durumunda gerçekleştirilir.</w:t>
            </w:r>
          </w:p>
        </w:tc>
      </w:tr>
      <w:tr w:rsidR="00A52778" w:rsidRPr="00460F9E" w14:paraId="3B7005F1" w14:textId="77777777" w:rsidTr="00FC3F8E">
        <w:trPr>
          <w:trHeight w:val="201"/>
        </w:trPr>
        <w:tc>
          <w:tcPr>
            <w:tcW w:w="340" w:type="dxa"/>
            <w:tcBorders>
              <w:left w:val="single" w:sz="8" w:space="0" w:color="auto"/>
              <w:bottom w:val="single" w:sz="8" w:space="0" w:color="auto"/>
            </w:tcBorders>
            <w:shd w:val="clear" w:color="auto" w:fill="auto"/>
            <w:vAlign w:val="bottom"/>
          </w:tcPr>
          <w:p w14:paraId="37A77365" w14:textId="77777777" w:rsidR="00A52778" w:rsidRPr="00460F9E" w:rsidRDefault="00A52778" w:rsidP="00FC3F8E">
            <w:pPr>
              <w:spacing w:line="0" w:lineRule="atLeast"/>
              <w:rPr>
                <w:rFonts w:eastAsia="Times New Roman" w:cs="Times New Roman"/>
                <w:b/>
                <w:sz w:val="17"/>
              </w:rPr>
            </w:pPr>
          </w:p>
        </w:tc>
        <w:tc>
          <w:tcPr>
            <w:tcW w:w="8420" w:type="dxa"/>
            <w:gridSpan w:val="5"/>
            <w:vMerge/>
            <w:tcBorders>
              <w:bottom w:val="single" w:sz="8" w:space="0" w:color="auto"/>
              <w:right w:val="single" w:sz="8" w:space="0" w:color="auto"/>
            </w:tcBorders>
            <w:shd w:val="clear" w:color="auto" w:fill="auto"/>
            <w:vAlign w:val="bottom"/>
          </w:tcPr>
          <w:p w14:paraId="2E02C5EE" w14:textId="77777777" w:rsidR="00A52778" w:rsidRPr="00460F9E" w:rsidRDefault="00A52778" w:rsidP="00FC3F8E">
            <w:pPr>
              <w:spacing w:line="0" w:lineRule="atLeast"/>
              <w:rPr>
                <w:rFonts w:eastAsia="Times New Roman" w:cs="Times New Roman"/>
                <w:b/>
                <w:sz w:val="17"/>
              </w:rPr>
            </w:pPr>
          </w:p>
        </w:tc>
      </w:tr>
    </w:tbl>
    <w:p w14:paraId="53A0B728" w14:textId="77777777" w:rsidR="00A52778" w:rsidRPr="00460F9E" w:rsidRDefault="00A52778" w:rsidP="00A52778">
      <w:pPr>
        <w:spacing w:line="20" w:lineRule="exact"/>
        <w:rPr>
          <w:rFonts w:eastAsia="Times New Roman" w:cs="Times New Roman"/>
          <w:b/>
        </w:rPr>
        <w:sectPr w:rsidR="00A52778" w:rsidRPr="00460F9E">
          <w:pgSz w:w="11900" w:h="16838"/>
          <w:pgMar w:top="707" w:right="1440" w:bottom="145" w:left="1020" w:header="0" w:footer="0" w:gutter="0"/>
          <w:cols w:space="0" w:equalWidth="0">
            <w:col w:w="9446"/>
          </w:cols>
          <w:docGrid w:linePitch="360"/>
        </w:sectPr>
      </w:pPr>
    </w:p>
    <w:p w14:paraId="579F53BE" w14:textId="77777777" w:rsidR="00A52778" w:rsidRPr="00EA6E76" w:rsidRDefault="00A52778" w:rsidP="00A52778">
      <w:pPr>
        <w:tabs>
          <w:tab w:val="left" w:pos="2440"/>
        </w:tabs>
        <w:spacing w:line="0" w:lineRule="atLeast"/>
        <w:rPr>
          <w:rFonts w:eastAsia="Times New Roman" w:cs="Times New Roman"/>
          <w:b/>
        </w:rPr>
      </w:pPr>
      <w:bookmarkStart w:id="348" w:name="page327"/>
      <w:bookmarkEnd w:id="348"/>
      <w:r w:rsidRPr="00EA6E76">
        <w:rPr>
          <w:rFonts w:eastAsia="Times New Roman" w:cs="Times New Roman"/>
        </w:rPr>
        <w:t>MET 34. Kaynak verimini artırmak ve nihai atık gaz arıtımına gönderilen CS</w:t>
      </w:r>
      <w:r w:rsidRPr="00EA6E76">
        <w:rPr>
          <w:rFonts w:eastAsia="Times New Roman" w:cs="Times New Roman"/>
          <w:vertAlign w:val="subscript"/>
        </w:rPr>
        <w:t>2</w:t>
      </w:r>
      <w:r w:rsidRPr="00EA6E76">
        <w:rPr>
          <w:rFonts w:eastAsia="Times New Roman" w:cs="Times New Roman"/>
        </w:rPr>
        <w:t xml:space="preserve"> ve H</w:t>
      </w:r>
      <w:r w:rsidRPr="00EA6E76">
        <w:rPr>
          <w:rFonts w:eastAsia="Times New Roman" w:cs="Times New Roman"/>
          <w:vertAlign w:val="subscript"/>
        </w:rPr>
        <w:t>2</w:t>
      </w:r>
      <w:r w:rsidRPr="00EA6E76">
        <w:rPr>
          <w:rFonts w:eastAsia="Times New Roman" w:cs="Times New Roman"/>
        </w:rPr>
        <w:t>S kütle akışını azaltmak için MET, aşağıda verilen a. ve/veya b. tekniklerini veya c. tekniğinin a. ve/veya b. teknikleriyle kombinasyonunu kullanarak CS</w:t>
      </w:r>
      <w:r w:rsidRPr="00EA6E76">
        <w:rPr>
          <w:rFonts w:eastAsia="Times New Roman" w:cs="Times New Roman"/>
          <w:vertAlign w:val="subscript"/>
        </w:rPr>
        <w:t>2</w:t>
      </w:r>
      <w:r w:rsidRPr="00EA6E76">
        <w:rPr>
          <w:rFonts w:eastAsia="Times New Roman" w:cs="Times New Roman"/>
        </w:rPr>
        <w:t>' yi geri kazanmak ve CS</w:t>
      </w:r>
      <w:r w:rsidRPr="00EA6E76">
        <w:rPr>
          <w:rFonts w:eastAsia="Times New Roman" w:cs="Times New Roman"/>
          <w:vertAlign w:val="subscript"/>
        </w:rPr>
        <w:t>2</w:t>
      </w:r>
      <w:r w:rsidRPr="00EA6E76">
        <w:rPr>
          <w:rFonts w:eastAsia="Times New Roman" w:cs="Times New Roman"/>
        </w:rPr>
        <w:t>' yi yeniden kullanmak veya alternatif olarak d. tekniğini kullanmaktır.</w:t>
      </w:r>
    </w:p>
    <w:p w14:paraId="165C948A" w14:textId="77777777" w:rsidR="00A52778" w:rsidRPr="00460F9E" w:rsidRDefault="00A52778" w:rsidP="00A52778">
      <w:pPr>
        <w:spacing w:line="200" w:lineRule="exact"/>
        <w:rPr>
          <w:rFonts w:eastAsia="Times New Roman" w:cs="Times New Roman"/>
          <w:b/>
        </w:rPr>
      </w:pPr>
    </w:p>
    <w:p w14:paraId="78BB36EA" w14:textId="77777777" w:rsidR="00A52778" w:rsidRPr="00460F9E" w:rsidRDefault="00A52778" w:rsidP="00A52778">
      <w:pPr>
        <w:spacing w:line="330" w:lineRule="exact"/>
        <w:rPr>
          <w:rFonts w:eastAsia="Times New Roman" w:cs="Times New Roman"/>
          <w:b/>
        </w:rPr>
      </w:pPr>
    </w:p>
    <w:tbl>
      <w:tblPr>
        <w:tblW w:w="8760" w:type="dxa"/>
        <w:tblInd w:w="730" w:type="dxa"/>
        <w:tblLayout w:type="fixed"/>
        <w:tblCellMar>
          <w:left w:w="0" w:type="dxa"/>
          <w:right w:w="0" w:type="dxa"/>
        </w:tblCellMar>
        <w:tblLook w:val="0000" w:firstRow="0" w:lastRow="0" w:firstColumn="0" w:lastColumn="0" w:noHBand="0" w:noVBand="0"/>
      </w:tblPr>
      <w:tblGrid>
        <w:gridCol w:w="380"/>
        <w:gridCol w:w="1840"/>
        <w:gridCol w:w="1300"/>
        <w:gridCol w:w="920"/>
        <w:gridCol w:w="500"/>
        <w:gridCol w:w="420"/>
        <w:gridCol w:w="1120"/>
        <w:gridCol w:w="500"/>
        <w:gridCol w:w="300"/>
        <w:gridCol w:w="460"/>
        <w:gridCol w:w="520"/>
        <w:gridCol w:w="500"/>
      </w:tblGrid>
      <w:tr w:rsidR="00A52778" w:rsidRPr="00460F9E" w14:paraId="44524ED7" w14:textId="77777777" w:rsidTr="00FC3F8E">
        <w:trPr>
          <w:trHeight w:val="299"/>
        </w:trPr>
        <w:tc>
          <w:tcPr>
            <w:tcW w:w="380" w:type="dxa"/>
            <w:tcBorders>
              <w:top w:val="single" w:sz="8" w:space="0" w:color="auto"/>
              <w:left w:val="single" w:sz="8" w:space="0" w:color="auto"/>
            </w:tcBorders>
            <w:shd w:val="clear" w:color="auto" w:fill="auto"/>
            <w:vAlign w:val="bottom"/>
          </w:tcPr>
          <w:p w14:paraId="4136A578" w14:textId="77777777" w:rsidR="00A52778" w:rsidRPr="00460F9E" w:rsidRDefault="00A52778" w:rsidP="00FC3F8E">
            <w:pPr>
              <w:spacing w:line="0" w:lineRule="atLeast"/>
              <w:rPr>
                <w:rFonts w:eastAsia="Times New Roman" w:cs="Times New Roman"/>
                <w:b/>
              </w:rPr>
            </w:pPr>
          </w:p>
        </w:tc>
        <w:tc>
          <w:tcPr>
            <w:tcW w:w="1840" w:type="dxa"/>
            <w:tcBorders>
              <w:top w:val="single" w:sz="8" w:space="0" w:color="auto"/>
              <w:right w:val="single" w:sz="8" w:space="0" w:color="auto"/>
            </w:tcBorders>
            <w:shd w:val="clear" w:color="auto" w:fill="auto"/>
            <w:vAlign w:val="bottom"/>
          </w:tcPr>
          <w:p w14:paraId="6876CD2D" w14:textId="77777777" w:rsidR="00A52778" w:rsidRPr="00460F9E" w:rsidRDefault="00A52778" w:rsidP="00FC3F8E">
            <w:pPr>
              <w:spacing w:line="0" w:lineRule="atLeast"/>
              <w:rPr>
                <w:rFonts w:eastAsia="Times New Roman" w:cs="Times New Roman"/>
                <w:b/>
              </w:rPr>
            </w:pPr>
          </w:p>
        </w:tc>
        <w:tc>
          <w:tcPr>
            <w:tcW w:w="1300" w:type="dxa"/>
            <w:vMerge w:val="restart"/>
            <w:tcBorders>
              <w:top w:val="single" w:sz="8" w:space="0" w:color="auto"/>
              <w:right w:val="single" w:sz="8" w:space="0" w:color="auto"/>
            </w:tcBorders>
            <w:shd w:val="clear" w:color="auto" w:fill="auto"/>
            <w:vAlign w:val="bottom"/>
          </w:tcPr>
          <w:p w14:paraId="30AA165C"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Hedeflenen ana     maddeler</w:t>
            </w:r>
          </w:p>
        </w:tc>
        <w:tc>
          <w:tcPr>
            <w:tcW w:w="920" w:type="dxa"/>
            <w:tcBorders>
              <w:top w:val="single" w:sz="8" w:space="0" w:color="auto"/>
            </w:tcBorders>
            <w:shd w:val="clear" w:color="auto" w:fill="auto"/>
            <w:vAlign w:val="bottom"/>
          </w:tcPr>
          <w:p w14:paraId="08288731" w14:textId="77777777" w:rsidR="00A52778" w:rsidRPr="00460F9E" w:rsidRDefault="00A52778" w:rsidP="00FC3F8E">
            <w:pPr>
              <w:spacing w:line="0" w:lineRule="atLeast"/>
              <w:rPr>
                <w:rFonts w:eastAsia="Times New Roman" w:cs="Times New Roman"/>
                <w:b/>
              </w:rPr>
            </w:pPr>
          </w:p>
        </w:tc>
        <w:tc>
          <w:tcPr>
            <w:tcW w:w="500" w:type="dxa"/>
            <w:tcBorders>
              <w:top w:val="single" w:sz="8" w:space="0" w:color="auto"/>
            </w:tcBorders>
            <w:shd w:val="clear" w:color="auto" w:fill="auto"/>
            <w:vAlign w:val="bottom"/>
          </w:tcPr>
          <w:p w14:paraId="15D70605" w14:textId="77777777" w:rsidR="00A52778" w:rsidRPr="00460F9E" w:rsidRDefault="00A52778" w:rsidP="00FC3F8E">
            <w:pPr>
              <w:spacing w:line="0" w:lineRule="atLeast"/>
              <w:rPr>
                <w:rFonts w:eastAsia="Times New Roman" w:cs="Times New Roman"/>
                <w:b/>
              </w:rPr>
            </w:pPr>
          </w:p>
        </w:tc>
        <w:tc>
          <w:tcPr>
            <w:tcW w:w="420" w:type="dxa"/>
            <w:tcBorders>
              <w:top w:val="single" w:sz="8" w:space="0" w:color="auto"/>
              <w:right w:val="single" w:sz="8" w:space="0" w:color="auto"/>
            </w:tcBorders>
            <w:shd w:val="clear" w:color="auto" w:fill="auto"/>
            <w:vAlign w:val="bottom"/>
          </w:tcPr>
          <w:p w14:paraId="750EAF87" w14:textId="77777777" w:rsidR="00A52778" w:rsidRPr="00460F9E" w:rsidRDefault="00A52778" w:rsidP="00FC3F8E">
            <w:pPr>
              <w:spacing w:line="0" w:lineRule="atLeast"/>
              <w:rPr>
                <w:rFonts w:eastAsia="Times New Roman" w:cs="Times New Roman"/>
                <w:b/>
              </w:rPr>
            </w:pPr>
          </w:p>
        </w:tc>
        <w:tc>
          <w:tcPr>
            <w:tcW w:w="1120" w:type="dxa"/>
            <w:tcBorders>
              <w:top w:val="single" w:sz="8" w:space="0" w:color="auto"/>
            </w:tcBorders>
            <w:shd w:val="clear" w:color="auto" w:fill="auto"/>
            <w:vAlign w:val="bottom"/>
          </w:tcPr>
          <w:p w14:paraId="4F70B358" w14:textId="77777777" w:rsidR="00A52778" w:rsidRPr="00460F9E" w:rsidRDefault="00A52778" w:rsidP="00FC3F8E">
            <w:pPr>
              <w:spacing w:line="0" w:lineRule="atLeast"/>
              <w:rPr>
                <w:rFonts w:eastAsia="Times New Roman" w:cs="Times New Roman"/>
                <w:b/>
              </w:rPr>
            </w:pPr>
          </w:p>
        </w:tc>
        <w:tc>
          <w:tcPr>
            <w:tcW w:w="500" w:type="dxa"/>
            <w:tcBorders>
              <w:top w:val="single" w:sz="8" w:space="0" w:color="auto"/>
            </w:tcBorders>
            <w:shd w:val="clear" w:color="auto" w:fill="auto"/>
            <w:vAlign w:val="bottom"/>
          </w:tcPr>
          <w:p w14:paraId="319D26FD" w14:textId="77777777" w:rsidR="00A52778" w:rsidRPr="00460F9E" w:rsidRDefault="00A52778" w:rsidP="00FC3F8E">
            <w:pPr>
              <w:spacing w:line="0" w:lineRule="atLeast"/>
              <w:rPr>
                <w:rFonts w:eastAsia="Times New Roman" w:cs="Times New Roman"/>
                <w:b/>
              </w:rPr>
            </w:pPr>
          </w:p>
        </w:tc>
        <w:tc>
          <w:tcPr>
            <w:tcW w:w="300" w:type="dxa"/>
            <w:tcBorders>
              <w:top w:val="single" w:sz="8" w:space="0" w:color="auto"/>
            </w:tcBorders>
            <w:shd w:val="clear" w:color="auto" w:fill="auto"/>
            <w:vAlign w:val="bottom"/>
          </w:tcPr>
          <w:p w14:paraId="74ED8096" w14:textId="77777777" w:rsidR="00A52778" w:rsidRPr="00460F9E" w:rsidRDefault="00A52778" w:rsidP="00FC3F8E">
            <w:pPr>
              <w:spacing w:line="0" w:lineRule="atLeast"/>
              <w:rPr>
                <w:rFonts w:eastAsia="Times New Roman" w:cs="Times New Roman"/>
                <w:b/>
              </w:rPr>
            </w:pPr>
          </w:p>
        </w:tc>
        <w:tc>
          <w:tcPr>
            <w:tcW w:w="460" w:type="dxa"/>
            <w:tcBorders>
              <w:top w:val="single" w:sz="8" w:space="0" w:color="auto"/>
            </w:tcBorders>
            <w:shd w:val="clear" w:color="auto" w:fill="auto"/>
            <w:vAlign w:val="bottom"/>
          </w:tcPr>
          <w:p w14:paraId="566B0209" w14:textId="77777777" w:rsidR="00A52778" w:rsidRPr="00460F9E" w:rsidRDefault="00A52778" w:rsidP="00FC3F8E">
            <w:pPr>
              <w:spacing w:line="0" w:lineRule="atLeast"/>
              <w:rPr>
                <w:rFonts w:eastAsia="Times New Roman" w:cs="Times New Roman"/>
                <w:b/>
              </w:rPr>
            </w:pPr>
          </w:p>
        </w:tc>
        <w:tc>
          <w:tcPr>
            <w:tcW w:w="520" w:type="dxa"/>
            <w:tcBorders>
              <w:top w:val="single" w:sz="8" w:space="0" w:color="auto"/>
            </w:tcBorders>
            <w:shd w:val="clear" w:color="auto" w:fill="auto"/>
            <w:vAlign w:val="bottom"/>
          </w:tcPr>
          <w:p w14:paraId="623A03BC" w14:textId="77777777" w:rsidR="00A52778" w:rsidRPr="00460F9E" w:rsidRDefault="00A52778" w:rsidP="00FC3F8E">
            <w:pPr>
              <w:spacing w:line="0" w:lineRule="atLeast"/>
              <w:rPr>
                <w:rFonts w:eastAsia="Times New Roman" w:cs="Times New Roman"/>
                <w:b/>
              </w:rPr>
            </w:pPr>
          </w:p>
        </w:tc>
        <w:tc>
          <w:tcPr>
            <w:tcW w:w="500" w:type="dxa"/>
            <w:tcBorders>
              <w:top w:val="single" w:sz="8" w:space="0" w:color="auto"/>
              <w:right w:val="single" w:sz="8" w:space="0" w:color="auto"/>
            </w:tcBorders>
            <w:shd w:val="clear" w:color="auto" w:fill="auto"/>
            <w:vAlign w:val="bottom"/>
          </w:tcPr>
          <w:p w14:paraId="66AE35C9" w14:textId="77777777" w:rsidR="00A52778" w:rsidRPr="00460F9E" w:rsidRDefault="00A52778" w:rsidP="00FC3F8E">
            <w:pPr>
              <w:spacing w:line="0" w:lineRule="atLeast"/>
              <w:rPr>
                <w:rFonts w:eastAsia="Times New Roman" w:cs="Times New Roman"/>
                <w:b/>
              </w:rPr>
            </w:pPr>
          </w:p>
        </w:tc>
      </w:tr>
      <w:tr w:rsidR="00A52778" w:rsidRPr="00460F9E" w14:paraId="24DB99FB" w14:textId="77777777" w:rsidTr="00FC3F8E">
        <w:trPr>
          <w:trHeight w:val="230"/>
        </w:trPr>
        <w:tc>
          <w:tcPr>
            <w:tcW w:w="380" w:type="dxa"/>
            <w:tcBorders>
              <w:left w:val="single" w:sz="8" w:space="0" w:color="auto"/>
            </w:tcBorders>
            <w:shd w:val="clear" w:color="auto" w:fill="auto"/>
            <w:vAlign w:val="bottom"/>
          </w:tcPr>
          <w:p w14:paraId="24A75A62" w14:textId="77777777" w:rsidR="00A52778" w:rsidRPr="00460F9E" w:rsidRDefault="00A52778" w:rsidP="00FC3F8E">
            <w:pPr>
              <w:spacing w:line="0" w:lineRule="atLeast"/>
              <w:rPr>
                <w:rFonts w:eastAsia="Times New Roman" w:cs="Times New Roman"/>
                <w:b/>
              </w:rPr>
            </w:pPr>
          </w:p>
        </w:tc>
        <w:tc>
          <w:tcPr>
            <w:tcW w:w="1840" w:type="dxa"/>
            <w:tcBorders>
              <w:right w:val="single" w:sz="8" w:space="0" w:color="auto"/>
            </w:tcBorders>
            <w:shd w:val="clear" w:color="auto" w:fill="auto"/>
            <w:vAlign w:val="bottom"/>
          </w:tcPr>
          <w:p w14:paraId="434337FE" w14:textId="77777777" w:rsidR="00A52778" w:rsidRPr="00460F9E" w:rsidRDefault="00A52778" w:rsidP="00FC3F8E">
            <w:pPr>
              <w:spacing w:line="0" w:lineRule="atLeast"/>
              <w:ind w:left="280"/>
              <w:rPr>
                <w:rFonts w:eastAsia="Times New Roman" w:cs="Times New Roman"/>
                <w:b/>
              </w:rPr>
            </w:pPr>
            <w:r w:rsidRPr="00460F9E">
              <w:rPr>
                <w:rFonts w:eastAsia="Times New Roman" w:cs="Times New Roman"/>
              </w:rPr>
              <w:t>Teknikler</w:t>
            </w:r>
          </w:p>
        </w:tc>
        <w:tc>
          <w:tcPr>
            <w:tcW w:w="1300" w:type="dxa"/>
            <w:vMerge/>
            <w:tcBorders>
              <w:right w:val="single" w:sz="8" w:space="0" w:color="auto"/>
            </w:tcBorders>
            <w:shd w:val="clear" w:color="auto" w:fill="auto"/>
            <w:vAlign w:val="bottom"/>
          </w:tcPr>
          <w:p w14:paraId="04C7F5AD" w14:textId="77777777" w:rsidR="00A52778" w:rsidRPr="00460F9E" w:rsidRDefault="00A52778" w:rsidP="00FC3F8E">
            <w:pPr>
              <w:spacing w:line="0" w:lineRule="atLeast"/>
              <w:jc w:val="center"/>
              <w:rPr>
                <w:rFonts w:eastAsia="Times New Roman" w:cs="Times New Roman"/>
                <w:b/>
              </w:rPr>
            </w:pPr>
          </w:p>
        </w:tc>
        <w:tc>
          <w:tcPr>
            <w:tcW w:w="1840" w:type="dxa"/>
            <w:gridSpan w:val="3"/>
            <w:tcBorders>
              <w:right w:val="single" w:sz="8" w:space="0" w:color="auto"/>
            </w:tcBorders>
            <w:shd w:val="clear" w:color="auto" w:fill="auto"/>
            <w:vAlign w:val="center"/>
          </w:tcPr>
          <w:p w14:paraId="06289EA1"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w w:val="99"/>
              </w:rPr>
              <w:t>Tanımlamalar</w:t>
            </w:r>
          </w:p>
        </w:tc>
        <w:tc>
          <w:tcPr>
            <w:tcW w:w="3400" w:type="dxa"/>
            <w:gridSpan w:val="6"/>
            <w:tcBorders>
              <w:right w:val="single" w:sz="8" w:space="0" w:color="auto"/>
            </w:tcBorders>
            <w:shd w:val="clear" w:color="auto" w:fill="auto"/>
            <w:vAlign w:val="center"/>
          </w:tcPr>
          <w:p w14:paraId="5F5A437A"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Uygulanabilirlik</w:t>
            </w:r>
          </w:p>
        </w:tc>
      </w:tr>
      <w:tr w:rsidR="00A52778" w:rsidRPr="00460F9E" w14:paraId="68A0BD51" w14:textId="77777777" w:rsidTr="00FC3F8E">
        <w:trPr>
          <w:trHeight w:val="230"/>
        </w:trPr>
        <w:tc>
          <w:tcPr>
            <w:tcW w:w="380" w:type="dxa"/>
            <w:tcBorders>
              <w:left w:val="single" w:sz="8" w:space="0" w:color="auto"/>
            </w:tcBorders>
            <w:shd w:val="clear" w:color="auto" w:fill="auto"/>
            <w:vAlign w:val="bottom"/>
          </w:tcPr>
          <w:p w14:paraId="17AEF2ED" w14:textId="77777777" w:rsidR="00A52778" w:rsidRPr="00460F9E" w:rsidRDefault="00A52778" w:rsidP="00FC3F8E">
            <w:pPr>
              <w:spacing w:line="0" w:lineRule="atLeast"/>
              <w:rPr>
                <w:rFonts w:eastAsia="Times New Roman" w:cs="Times New Roman"/>
                <w:b/>
              </w:rPr>
            </w:pPr>
          </w:p>
        </w:tc>
        <w:tc>
          <w:tcPr>
            <w:tcW w:w="1840" w:type="dxa"/>
            <w:tcBorders>
              <w:right w:val="single" w:sz="8" w:space="0" w:color="auto"/>
            </w:tcBorders>
            <w:shd w:val="clear" w:color="auto" w:fill="auto"/>
            <w:vAlign w:val="bottom"/>
          </w:tcPr>
          <w:p w14:paraId="2DAA1F2D" w14:textId="77777777" w:rsidR="00A52778" w:rsidRPr="00460F9E" w:rsidRDefault="00A52778" w:rsidP="00FC3F8E">
            <w:pPr>
              <w:spacing w:line="0" w:lineRule="atLeast"/>
              <w:rPr>
                <w:rFonts w:eastAsia="Times New Roman" w:cs="Times New Roman"/>
                <w:b/>
              </w:rPr>
            </w:pPr>
          </w:p>
        </w:tc>
        <w:tc>
          <w:tcPr>
            <w:tcW w:w="1300" w:type="dxa"/>
            <w:vMerge/>
            <w:tcBorders>
              <w:right w:val="single" w:sz="8" w:space="0" w:color="auto"/>
            </w:tcBorders>
            <w:shd w:val="clear" w:color="auto" w:fill="auto"/>
            <w:vAlign w:val="bottom"/>
          </w:tcPr>
          <w:p w14:paraId="727ADA36" w14:textId="77777777" w:rsidR="00A52778" w:rsidRPr="00460F9E" w:rsidRDefault="00A52778" w:rsidP="00FC3F8E">
            <w:pPr>
              <w:spacing w:line="0" w:lineRule="atLeast"/>
              <w:jc w:val="center"/>
              <w:rPr>
                <w:rFonts w:eastAsia="Times New Roman" w:cs="Times New Roman"/>
                <w:b/>
              </w:rPr>
            </w:pPr>
          </w:p>
        </w:tc>
        <w:tc>
          <w:tcPr>
            <w:tcW w:w="920" w:type="dxa"/>
            <w:shd w:val="clear" w:color="auto" w:fill="auto"/>
            <w:vAlign w:val="bottom"/>
          </w:tcPr>
          <w:p w14:paraId="6E1233CA" w14:textId="77777777" w:rsidR="00A52778" w:rsidRPr="00460F9E" w:rsidRDefault="00A52778" w:rsidP="00FC3F8E">
            <w:pPr>
              <w:spacing w:line="0" w:lineRule="atLeast"/>
              <w:rPr>
                <w:rFonts w:eastAsia="Times New Roman" w:cs="Times New Roman"/>
                <w:b/>
              </w:rPr>
            </w:pPr>
          </w:p>
        </w:tc>
        <w:tc>
          <w:tcPr>
            <w:tcW w:w="500" w:type="dxa"/>
            <w:shd w:val="clear" w:color="auto" w:fill="auto"/>
            <w:vAlign w:val="bottom"/>
          </w:tcPr>
          <w:p w14:paraId="4B59B50F" w14:textId="77777777" w:rsidR="00A52778" w:rsidRPr="00460F9E" w:rsidRDefault="00A52778" w:rsidP="00FC3F8E">
            <w:pPr>
              <w:spacing w:line="0" w:lineRule="atLeast"/>
              <w:rPr>
                <w:rFonts w:eastAsia="Times New Roman" w:cs="Times New Roman"/>
                <w:b/>
              </w:rPr>
            </w:pPr>
          </w:p>
        </w:tc>
        <w:tc>
          <w:tcPr>
            <w:tcW w:w="420" w:type="dxa"/>
            <w:tcBorders>
              <w:right w:val="single" w:sz="8" w:space="0" w:color="auto"/>
            </w:tcBorders>
            <w:shd w:val="clear" w:color="auto" w:fill="auto"/>
            <w:vAlign w:val="bottom"/>
          </w:tcPr>
          <w:p w14:paraId="4B83D0D9" w14:textId="77777777" w:rsidR="00A52778" w:rsidRPr="00460F9E" w:rsidRDefault="00A52778" w:rsidP="00FC3F8E">
            <w:pPr>
              <w:spacing w:line="0" w:lineRule="atLeast"/>
              <w:rPr>
                <w:rFonts w:eastAsia="Times New Roman" w:cs="Times New Roman"/>
                <w:b/>
              </w:rPr>
            </w:pPr>
          </w:p>
        </w:tc>
        <w:tc>
          <w:tcPr>
            <w:tcW w:w="1120" w:type="dxa"/>
            <w:shd w:val="clear" w:color="auto" w:fill="auto"/>
            <w:vAlign w:val="bottom"/>
          </w:tcPr>
          <w:p w14:paraId="1AEFEADA" w14:textId="77777777" w:rsidR="00A52778" w:rsidRPr="00460F9E" w:rsidRDefault="00A52778" w:rsidP="00FC3F8E">
            <w:pPr>
              <w:spacing w:line="0" w:lineRule="atLeast"/>
              <w:rPr>
                <w:rFonts w:eastAsia="Times New Roman" w:cs="Times New Roman"/>
                <w:b/>
              </w:rPr>
            </w:pPr>
          </w:p>
        </w:tc>
        <w:tc>
          <w:tcPr>
            <w:tcW w:w="500" w:type="dxa"/>
            <w:shd w:val="clear" w:color="auto" w:fill="auto"/>
            <w:vAlign w:val="bottom"/>
          </w:tcPr>
          <w:p w14:paraId="011174C2" w14:textId="77777777" w:rsidR="00A52778" w:rsidRPr="00460F9E" w:rsidRDefault="00A52778" w:rsidP="00FC3F8E">
            <w:pPr>
              <w:spacing w:line="0" w:lineRule="atLeast"/>
              <w:rPr>
                <w:rFonts w:eastAsia="Times New Roman" w:cs="Times New Roman"/>
                <w:b/>
              </w:rPr>
            </w:pPr>
          </w:p>
        </w:tc>
        <w:tc>
          <w:tcPr>
            <w:tcW w:w="300" w:type="dxa"/>
            <w:shd w:val="clear" w:color="auto" w:fill="auto"/>
            <w:vAlign w:val="bottom"/>
          </w:tcPr>
          <w:p w14:paraId="15B8D580" w14:textId="77777777" w:rsidR="00A52778" w:rsidRPr="00460F9E" w:rsidRDefault="00A52778" w:rsidP="00FC3F8E">
            <w:pPr>
              <w:spacing w:line="0" w:lineRule="atLeast"/>
              <w:rPr>
                <w:rFonts w:eastAsia="Times New Roman" w:cs="Times New Roman"/>
                <w:b/>
              </w:rPr>
            </w:pPr>
          </w:p>
        </w:tc>
        <w:tc>
          <w:tcPr>
            <w:tcW w:w="460" w:type="dxa"/>
            <w:shd w:val="clear" w:color="auto" w:fill="auto"/>
            <w:vAlign w:val="bottom"/>
          </w:tcPr>
          <w:p w14:paraId="6EE34A9E" w14:textId="77777777" w:rsidR="00A52778" w:rsidRPr="00460F9E" w:rsidRDefault="00A52778" w:rsidP="00FC3F8E">
            <w:pPr>
              <w:spacing w:line="0" w:lineRule="atLeast"/>
              <w:rPr>
                <w:rFonts w:eastAsia="Times New Roman" w:cs="Times New Roman"/>
                <w:b/>
              </w:rPr>
            </w:pPr>
          </w:p>
        </w:tc>
        <w:tc>
          <w:tcPr>
            <w:tcW w:w="520" w:type="dxa"/>
            <w:shd w:val="clear" w:color="auto" w:fill="auto"/>
            <w:vAlign w:val="bottom"/>
          </w:tcPr>
          <w:p w14:paraId="20B280CE" w14:textId="77777777" w:rsidR="00A52778" w:rsidRPr="00460F9E" w:rsidRDefault="00A52778" w:rsidP="00FC3F8E">
            <w:pPr>
              <w:spacing w:line="0" w:lineRule="atLeast"/>
              <w:rPr>
                <w:rFonts w:eastAsia="Times New Roman" w:cs="Times New Roman"/>
                <w:b/>
              </w:rPr>
            </w:pPr>
          </w:p>
        </w:tc>
        <w:tc>
          <w:tcPr>
            <w:tcW w:w="500" w:type="dxa"/>
            <w:tcBorders>
              <w:right w:val="single" w:sz="8" w:space="0" w:color="auto"/>
            </w:tcBorders>
            <w:shd w:val="clear" w:color="auto" w:fill="auto"/>
            <w:vAlign w:val="bottom"/>
          </w:tcPr>
          <w:p w14:paraId="7B042231" w14:textId="77777777" w:rsidR="00A52778" w:rsidRPr="00460F9E" w:rsidRDefault="00A52778" w:rsidP="00FC3F8E">
            <w:pPr>
              <w:spacing w:line="0" w:lineRule="atLeast"/>
              <w:rPr>
                <w:rFonts w:eastAsia="Times New Roman" w:cs="Times New Roman"/>
                <w:b/>
              </w:rPr>
            </w:pPr>
          </w:p>
        </w:tc>
      </w:tr>
      <w:tr w:rsidR="00A52778" w:rsidRPr="00460F9E" w14:paraId="6E1EDEE2" w14:textId="77777777" w:rsidTr="00FC3F8E">
        <w:trPr>
          <w:trHeight w:val="61"/>
        </w:trPr>
        <w:tc>
          <w:tcPr>
            <w:tcW w:w="380" w:type="dxa"/>
            <w:tcBorders>
              <w:left w:val="single" w:sz="8" w:space="0" w:color="auto"/>
              <w:bottom w:val="single" w:sz="8" w:space="0" w:color="auto"/>
            </w:tcBorders>
            <w:shd w:val="clear" w:color="auto" w:fill="auto"/>
            <w:vAlign w:val="bottom"/>
          </w:tcPr>
          <w:p w14:paraId="798BAEA7" w14:textId="77777777" w:rsidR="00A52778" w:rsidRPr="00460F9E" w:rsidRDefault="00A52778" w:rsidP="00FC3F8E">
            <w:pPr>
              <w:spacing w:line="0" w:lineRule="atLeast"/>
              <w:rPr>
                <w:rFonts w:eastAsia="Times New Roman" w:cs="Times New Roman"/>
                <w:b/>
                <w:sz w:val="5"/>
              </w:rPr>
            </w:pPr>
          </w:p>
        </w:tc>
        <w:tc>
          <w:tcPr>
            <w:tcW w:w="1840" w:type="dxa"/>
            <w:tcBorders>
              <w:bottom w:val="single" w:sz="8" w:space="0" w:color="auto"/>
              <w:right w:val="single" w:sz="8" w:space="0" w:color="auto"/>
            </w:tcBorders>
            <w:shd w:val="clear" w:color="auto" w:fill="auto"/>
            <w:vAlign w:val="bottom"/>
          </w:tcPr>
          <w:p w14:paraId="7EB841E3" w14:textId="77777777" w:rsidR="00A52778" w:rsidRPr="00460F9E" w:rsidRDefault="00A52778" w:rsidP="00FC3F8E">
            <w:pPr>
              <w:spacing w:line="0" w:lineRule="atLeast"/>
              <w:rPr>
                <w:rFonts w:eastAsia="Times New Roman" w:cs="Times New Roman"/>
                <w:b/>
                <w:sz w:val="5"/>
              </w:rPr>
            </w:pPr>
          </w:p>
        </w:tc>
        <w:tc>
          <w:tcPr>
            <w:tcW w:w="1300" w:type="dxa"/>
            <w:tcBorders>
              <w:bottom w:val="single" w:sz="8" w:space="0" w:color="auto"/>
              <w:right w:val="single" w:sz="8" w:space="0" w:color="auto"/>
            </w:tcBorders>
            <w:shd w:val="clear" w:color="auto" w:fill="auto"/>
            <w:vAlign w:val="bottom"/>
          </w:tcPr>
          <w:p w14:paraId="7DC4A02A" w14:textId="77777777" w:rsidR="00A52778" w:rsidRPr="00460F9E" w:rsidRDefault="00A52778" w:rsidP="00FC3F8E">
            <w:pPr>
              <w:spacing w:line="0" w:lineRule="atLeast"/>
              <w:rPr>
                <w:rFonts w:eastAsia="Times New Roman" w:cs="Times New Roman"/>
                <w:b/>
                <w:sz w:val="5"/>
              </w:rPr>
            </w:pPr>
          </w:p>
        </w:tc>
        <w:tc>
          <w:tcPr>
            <w:tcW w:w="920" w:type="dxa"/>
            <w:tcBorders>
              <w:bottom w:val="single" w:sz="8" w:space="0" w:color="auto"/>
            </w:tcBorders>
            <w:shd w:val="clear" w:color="auto" w:fill="auto"/>
            <w:vAlign w:val="bottom"/>
          </w:tcPr>
          <w:p w14:paraId="7B417173" w14:textId="77777777" w:rsidR="00A52778" w:rsidRPr="00460F9E" w:rsidRDefault="00A52778" w:rsidP="00FC3F8E">
            <w:pPr>
              <w:spacing w:line="0" w:lineRule="atLeast"/>
              <w:rPr>
                <w:rFonts w:eastAsia="Times New Roman" w:cs="Times New Roman"/>
                <w:b/>
                <w:sz w:val="5"/>
              </w:rPr>
            </w:pPr>
          </w:p>
        </w:tc>
        <w:tc>
          <w:tcPr>
            <w:tcW w:w="500" w:type="dxa"/>
            <w:tcBorders>
              <w:bottom w:val="single" w:sz="8" w:space="0" w:color="auto"/>
            </w:tcBorders>
            <w:shd w:val="clear" w:color="auto" w:fill="auto"/>
            <w:vAlign w:val="bottom"/>
          </w:tcPr>
          <w:p w14:paraId="18AA5545" w14:textId="77777777" w:rsidR="00A52778" w:rsidRPr="00460F9E" w:rsidRDefault="00A52778" w:rsidP="00FC3F8E">
            <w:pPr>
              <w:spacing w:line="0" w:lineRule="atLeast"/>
              <w:rPr>
                <w:rFonts w:eastAsia="Times New Roman" w:cs="Times New Roman"/>
                <w:b/>
                <w:sz w:val="5"/>
              </w:rPr>
            </w:pPr>
          </w:p>
        </w:tc>
        <w:tc>
          <w:tcPr>
            <w:tcW w:w="420" w:type="dxa"/>
            <w:tcBorders>
              <w:bottom w:val="single" w:sz="8" w:space="0" w:color="auto"/>
              <w:right w:val="single" w:sz="8" w:space="0" w:color="auto"/>
            </w:tcBorders>
            <w:shd w:val="clear" w:color="auto" w:fill="auto"/>
            <w:vAlign w:val="bottom"/>
          </w:tcPr>
          <w:p w14:paraId="599601B8" w14:textId="77777777" w:rsidR="00A52778" w:rsidRPr="00460F9E" w:rsidRDefault="00A52778" w:rsidP="00FC3F8E">
            <w:pPr>
              <w:spacing w:line="0" w:lineRule="atLeast"/>
              <w:rPr>
                <w:rFonts w:eastAsia="Times New Roman" w:cs="Times New Roman"/>
                <w:b/>
                <w:sz w:val="5"/>
              </w:rPr>
            </w:pPr>
          </w:p>
        </w:tc>
        <w:tc>
          <w:tcPr>
            <w:tcW w:w="1120" w:type="dxa"/>
            <w:tcBorders>
              <w:bottom w:val="single" w:sz="8" w:space="0" w:color="auto"/>
            </w:tcBorders>
            <w:shd w:val="clear" w:color="auto" w:fill="auto"/>
            <w:vAlign w:val="bottom"/>
          </w:tcPr>
          <w:p w14:paraId="6ACCDEE3" w14:textId="77777777" w:rsidR="00A52778" w:rsidRPr="00460F9E" w:rsidRDefault="00A52778" w:rsidP="00FC3F8E">
            <w:pPr>
              <w:spacing w:line="0" w:lineRule="atLeast"/>
              <w:rPr>
                <w:rFonts w:eastAsia="Times New Roman" w:cs="Times New Roman"/>
                <w:b/>
                <w:sz w:val="5"/>
              </w:rPr>
            </w:pPr>
          </w:p>
        </w:tc>
        <w:tc>
          <w:tcPr>
            <w:tcW w:w="1260" w:type="dxa"/>
            <w:gridSpan w:val="3"/>
            <w:tcBorders>
              <w:bottom w:val="single" w:sz="8" w:space="0" w:color="auto"/>
            </w:tcBorders>
            <w:shd w:val="clear" w:color="auto" w:fill="auto"/>
            <w:vAlign w:val="bottom"/>
          </w:tcPr>
          <w:p w14:paraId="508F8BA5" w14:textId="77777777" w:rsidR="00A52778" w:rsidRPr="00460F9E" w:rsidRDefault="00A52778" w:rsidP="00FC3F8E">
            <w:pPr>
              <w:spacing w:line="0" w:lineRule="atLeast"/>
              <w:rPr>
                <w:rFonts w:eastAsia="Times New Roman" w:cs="Times New Roman"/>
                <w:b/>
                <w:sz w:val="5"/>
              </w:rPr>
            </w:pPr>
          </w:p>
        </w:tc>
        <w:tc>
          <w:tcPr>
            <w:tcW w:w="520" w:type="dxa"/>
            <w:tcBorders>
              <w:bottom w:val="single" w:sz="8" w:space="0" w:color="auto"/>
            </w:tcBorders>
            <w:shd w:val="clear" w:color="auto" w:fill="auto"/>
            <w:vAlign w:val="bottom"/>
          </w:tcPr>
          <w:p w14:paraId="2DED2969" w14:textId="77777777" w:rsidR="00A52778" w:rsidRPr="00460F9E" w:rsidRDefault="00A52778" w:rsidP="00FC3F8E">
            <w:pPr>
              <w:spacing w:line="0" w:lineRule="atLeast"/>
              <w:rPr>
                <w:rFonts w:eastAsia="Times New Roman" w:cs="Times New Roman"/>
                <w:b/>
                <w:sz w:val="5"/>
              </w:rPr>
            </w:pPr>
          </w:p>
        </w:tc>
        <w:tc>
          <w:tcPr>
            <w:tcW w:w="500" w:type="dxa"/>
            <w:tcBorders>
              <w:bottom w:val="single" w:sz="8" w:space="0" w:color="auto"/>
              <w:right w:val="single" w:sz="8" w:space="0" w:color="auto"/>
            </w:tcBorders>
            <w:shd w:val="clear" w:color="auto" w:fill="auto"/>
            <w:vAlign w:val="bottom"/>
          </w:tcPr>
          <w:p w14:paraId="7E5A6D45" w14:textId="77777777" w:rsidR="00A52778" w:rsidRPr="00460F9E" w:rsidRDefault="00A52778" w:rsidP="00FC3F8E">
            <w:pPr>
              <w:spacing w:line="0" w:lineRule="atLeast"/>
              <w:rPr>
                <w:rFonts w:eastAsia="Times New Roman" w:cs="Times New Roman"/>
                <w:b/>
                <w:sz w:val="5"/>
              </w:rPr>
            </w:pPr>
          </w:p>
        </w:tc>
      </w:tr>
      <w:tr w:rsidR="00A52778" w:rsidRPr="00460F9E" w14:paraId="170D5EFD" w14:textId="77777777" w:rsidTr="00FC3F8E">
        <w:trPr>
          <w:trHeight w:val="214"/>
        </w:trPr>
        <w:tc>
          <w:tcPr>
            <w:tcW w:w="380" w:type="dxa"/>
            <w:tcBorders>
              <w:left w:val="single" w:sz="8" w:space="0" w:color="auto"/>
              <w:right w:val="single" w:sz="8" w:space="0" w:color="auto"/>
            </w:tcBorders>
            <w:shd w:val="clear" w:color="auto" w:fill="auto"/>
            <w:vAlign w:val="bottom"/>
          </w:tcPr>
          <w:p w14:paraId="315976D1" w14:textId="77777777" w:rsidR="00A52778" w:rsidRPr="00460F9E" w:rsidRDefault="00A52778" w:rsidP="00FC3F8E">
            <w:pPr>
              <w:spacing w:line="0" w:lineRule="atLeast"/>
              <w:rPr>
                <w:rFonts w:eastAsia="Times New Roman" w:cs="Times New Roman"/>
                <w:b/>
                <w:sz w:val="18"/>
              </w:rPr>
            </w:pPr>
          </w:p>
        </w:tc>
        <w:tc>
          <w:tcPr>
            <w:tcW w:w="1840" w:type="dxa"/>
            <w:vMerge w:val="restart"/>
            <w:tcBorders>
              <w:right w:val="single" w:sz="8" w:space="0" w:color="auto"/>
            </w:tcBorders>
            <w:shd w:val="clear" w:color="auto" w:fill="auto"/>
            <w:vAlign w:val="center"/>
          </w:tcPr>
          <w:p w14:paraId="50300D5C"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Absorpsiyon  </w:t>
            </w:r>
          </w:p>
          <w:p w14:paraId="5E7D6FAA" w14:textId="77777777" w:rsidR="00A52778" w:rsidRPr="00460F9E" w:rsidRDefault="00A52778" w:rsidP="00FC3F8E">
            <w:pPr>
              <w:spacing w:line="0" w:lineRule="atLeast"/>
              <w:rPr>
                <w:rFonts w:eastAsia="Times New Roman" w:cs="Times New Roman"/>
                <w:b/>
                <w:sz w:val="18"/>
              </w:rPr>
            </w:pPr>
            <w:r w:rsidRPr="00460F9E">
              <w:rPr>
                <w:rFonts w:eastAsia="Times New Roman" w:cs="Times New Roman"/>
              </w:rPr>
              <w:t xml:space="preserve">  (rejeneratif)</w:t>
            </w:r>
          </w:p>
        </w:tc>
        <w:tc>
          <w:tcPr>
            <w:tcW w:w="1300" w:type="dxa"/>
            <w:tcBorders>
              <w:right w:val="single" w:sz="8" w:space="0" w:color="auto"/>
            </w:tcBorders>
            <w:shd w:val="clear" w:color="auto" w:fill="auto"/>
            <w:vAlign w:val="bottom"/>
          </w:tcPr>
          <w:p w14:paraId="0D31C685" w14:textId="77777777" w:rsidR="00A52778" w:rsidRPr="00460F9E" w:rsidRDefault="00A52778" w:rsidP="00FC3F8E">
            <w:pPr>
              <w:spacing w:line="0" w:lineRule="atLeast"/>
              <w:rPr>
                <w:rFonts w:eastAsia="Times New Roman" w:cs="Times New Roman"/>
                <w:b/>
                <w:sz w:val="18"/>
              </w:rPr>
            </w:pPr>
          </w:p>
        </w:tc>
        <w:tc>
          <w:tcPr>
            <w:tcW w:w="920" w:type="dxa"/>
            <w:shd w:val="clear" w:color="auto" w:fill="auto"/>
            <w:vAlign w:val="bottom"/>
          </w:tcPr>
          <w:p w14:paraId="49999629" w14:textId="77777777" w:rsidR="00A52778" w:rsidRPr="00460F9E" w:rsidRDefault="00A52778" w:rsidP="00FC3F8E">
            <w:pPr>
              <w:spacing w:line="0" w:lineRule="atLeast"/>
              <w:rPr>
                <w:rFonts w:eastAsia="Times New Roman" w:cs="Times New Roman"/>
                <w:b/>
                <w:sz w:val="18"/>
              </w:rPr>
            </w:pPr>
          </w:p>
        </w:tc>
        <w:tc>
          <w:tcPr>
            <w:tcW w:w="500" w:type="dxa"/>
            <w:shd w:val="clear" w:color="auto" w:fill="auto"/>
            <w:vAlign w:val="bottom"/>
          </w:tcPr>
          <w:p w14:paraId="2422856D" w14:textId="77777777" w:rsidR="00A52778" w:rsidRPr="00460F9E" w:rsidRDefault="00A52778" w:rsidP="00FC3F8E">
            <w:pPr>
              <w:spacing w:line="0" w:lineRule="atLeast"/>
              <w:rPr>
                <w:rFonts w:eastAsia="Times New Roman" w:cs="Times New Roman"/>
                <w:b/>
                <w:sz w:val="18"/>
              </w:rPr>
            </w:pPr>
          </w:p>
        </w:tc>
        <w:tc>
          <w:tcPr>
            <w:tcW w:w="420" w:type="dxa"/>
            <w:tcBorders>
              <w:right w:val="single" w:sz="8" w:space="0" w:color="auto"/>
            </w:tcBorders>
            <w:shd w:val="clear" w:color="auto" w:fill="auto"/>
            <w:vAlign w:val="bottom"/>
          </w:tcPr>
          <w:p w14:paraId="5B657AF7" w14:textId="77777777" w:rsidR="00A52778" w:rsidRPr="00460F9E" w:rsidRDefault="00A52778" w:rsidP="00FC3F8E">
            <w:pPr>
              <w:spacing w:line="0" w:lineRule="atLeast"/>
              <w:rPr>
                <w:rFonts w:eastAsia="Times New Roman" w:cs="Times New Roman"/>
                <w:b/>
                <w:sz w:val="18"/>
              </w:rPr>
            </w:pPr>
          </w:p>
        </w:tc>
        <w:tc>
          <w:tcPr>
            <w:tcW w:w="3400" w:type="dxa"/>
            <w:gridSpan w:val="6"/>
            <w:vMerge w:val="restart"/>
            <w:tcBorders>
              <w:right w:val="single" w:sz="8" w:space="0" w:color="auto"/>
            </w:tcBorders>
            <w:shd w:val="clear" w:color="auto" w:fill="auto"/>
            <w:vAlign w:val="bottom"/>
          </w:tcPr>
          <w:p w14:paraId="5F2B43CC"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Genel olarak kılıf boruları üretimi için </w:t>
            </w:r>
          </w:p>
          <w:p w14:paraId="19D4E2CC"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uygulanabilir.</w:t>
            </w:r>
          </w:p>
        </w:tc>
      </w:tr>
      <w:tr w:rsidR="00A52778" w:rsidRPr="00460F9E" w14:paraId="0F05F02E" w14:textId="77777777" w:rsidTr="00FC3F8E">
        <w:trPr>
          <w:trHeight w:val="228"/>
        </w:trPr>
        <w:tc>
          <w:tcPr>
            <w:tcW w:w="380" w:type="dxa"/>
            <w:tcBorders>
              <w:left w:val="single" w:sz="8" w:space="0" w:color="auto"/>
              <w:right w:val="single" w:sz="8" w:space="0" w:color="auto"/>
            </w:tcBorders>
            <w:shd w:val="clear" w:color="auto" w:fill="auto"/>
            <w:vAlign w:val="bottom"/>
          </w:tcPr>
          <w:p w14:paraId="7701D032" w14:textId="77777777" w:rsidR="00A52778" w:rsidRPr="00460F9E" w:rsidRDefault="00A52778" w:rsidP="00FC3F8E">
            <w:pPr>
              <w:spacing w:line="0" w:lineRule="atLeast"/>
              <w:rPr>
                <w:rFonts w:eastAsia="Times New Roman" w:cs="Times New Roman"/>
                <w:b/>
                <w:sz w:val="19"/>
              </w:rPr>
            </w:pPr>
          </w:p>
        </w:tc>
        <w:tc>
          <w:tcPr>
            <w:tcW w:w="1840" w:type="dxa"/>
            <w:vMerge/>
            <w:tcBorders>
              <w:right w:val="single" w:sz="8" w:space="0" w:color="auto"/>
            </w:tcBorders>
            <w:shd w:val="clear" w:color="auto" w:fill="auto"/>
            <w:vAlign w:val="bottom"/>
          </w:tcPr>
          <w:p w14:paraId="1B9D0886" w14:textId="77777777" w:rsidR="00A52778" w:rsidRPr="00460F9E" w:rsidRDefault="00A52778" w:rsidP="00FC3F8E">
            <w:pPr>
              <w:spacing w:line="0" w:lineRule="atLeast"/>
              <w:ind w:left="100"/>
              <w:rPr>
                <w:rFonts w:eastAsia="Times New Roman" w:cs="Times New Roman"/>
                <w:b/>
                <w:sz w:val="19"/>
              </w:rPr>
            </w:pPr>
          </w:p>
        </w:tc>
        <w:tc>
          <w:tcPr>
            <w:tcW w:w="1300" w:type="dxa"/>
            <w:tcBorders>
              <w:right w:val="single" w:sz="8" w:space="0" w:color="auto"/>
            </w:tcBorders>
            <w:shd w:val="clear" w:color="auto" w:fill="auto"/>
            <w:vAlign w:val="bottom"/>
          </w:tcPr>
          <w:p w14:paraId="725CC7FB" w14:textId="77777777" w:rsidR="00A52778" w:rsidRPr="00460F9E" w:rsidRDefault="00A52778" w:rsidP="00FC3F8E">
            <w:pPr>
              <w:spacing w:line="0" w:lineRule="atLeast"/>
              <w:rPr>
                <w:rFonts w:eastAsia="Times New Roman" w:cs="Times New Roman"/>
                <w:b/>
                <w:sz w:val="19"/>
              </w:rPr>
            </w:pPr>
          </w:p>
        </w:tc>
        <w:tc>
          <w:tcPr>
            <w:tcW w:w="920" w:type="dxa"/>
            <w:shd w:val="clear" w:color="auto" w:fill="auto"/>
            <w:vAlign w:val="bottom"/>
          </w:tcPr>
          <w:p w14:paraId="6C70D713" w14:textId="77777777" w:rsidR="00A52778" w:rsidRPr="00460F9E" w:rsidRDefault="00A52778" w:rsidP="00FC3F8E">
            <w:pPr>
              <w:spacing w:line="0" w:lineRule="atLeast"/>
              <w:rPr>
                <w:rFonts w:eastAsia="Times New Roman" w:cs="Times New Roman"/>
                <w:b/>
                <w:sz w:val="19"/>
              </w:rPr>
            </w:pPr>
          </w:p>
        </w:tc>
        <w:tc>
          <w:tcPr>
            <w:tcW w:w="500" w:type="dxa"/>
            <w:shd w:val="clear" w:color="auto" w:fill="auto"/>
            <w:vAlign w:val="bottom"/>
          </w:tcPr>
          <w:p w14:paraId="3FF7ED83" w14:textId="77777777" w:rsidR="00A52778" w:rsidRPr="00460F9E" w:rsidRDefault="00A52778" w:rsidP="00FC3F8E">
            <w:pPr>
              <w:spacing w:line="0" w:lineRule="atLeast"/>
              <w:rPr>
                <w:rFonts w:eastAsia="Times New Roman" w:cs="Times New Roman"/>
                <w:b/>
                <w:sz w:val="19"/>
              </w:rPr>
            </w:pPr>
          </w:p>
        </w:tc>
        <w:tc>
          <w:tcPr>
            <w:tcW w:w="420" w:type="dxa"/>
            <w:tcBorders>
              <w:right w:val="single" w:sz="8" w:space="0" w:color="auto"/>
            </w:tcBorders>
            <w:shd w:val="clear" w:color="auto" w:fill="auto"/>
            <w:vAlign w:val="bottom"/>
          </w:tcPr>
          <w:p w14:paraId="255F8CF0" w14:textId="77777777" w:rsidR="00A52778" w:rsidRPr="00460F9E" w:rsidRDefault="00A52778" w:rsidP="00FC3F8E">
            <w:pPr>
              <w:spacing w:line="0" w:lineRule="atLeast"/>
              <w:rPr>
                <w:rFonts w:eastAsia="Times New Roman" w:cs="Times New Roman"/>
                <w:b/>
                <w:sz w:val="19"/>
              </w:rPr>
            </w:pPr>
          </w:p>
        </w:tc>
        <w:tc>
          <w:tcPr>
            <w:tcW w:w="3400" w:type="dxa"/>
            <w:gridSpan w:val="6"/>
            <w:vMerge/>
            <w:tcBorders>
              <w:right w:val="single" w:sz="8" w:space="0" w:color="auto"/>
            </w:tcBorders>
            <w:shd w:val="clear" w:color="auto" w:fill="auto"/>
            <w:vAlign w:val="bottom"/>
          </w:tcPr>
          <w:p w14:paraId="5DAE9E90" w14:textId="77777777" w:rsidR="00A52778" w:rsidRPr="00460F9E" w:rsidRDefault="00A52778" w:rsidP="00FC3F8E">
            <w:pPr>
              <w:spacing w:line="0" w:lineRule="atLeast"/>
              <w:rPr>
                <w:rFonts w:eastAsia="Times New Roman" w:cs="Times New Roman"/>
                <w:b/>
                <w:sz w:val="19"/>
              </w:rPr>
            </w:pPr>
          </w:p>
        </w:tc>
      </w:tr>
      <w:tr w:rsidR="00A52778" w:rsidRPr="00460F9E" w14:paraId="7DB5C6A9" w14:textId="77777777" w:rsidTr="00FC3F8E">
        <w:trPr>
          <w:trHeight w:val="230"/>
        </w:trPr>
        <w:tc>
          <w:tcPr>
            <w:tcW w:w="380" w:type="dxa"/>
            <w:tcBorders>
              <w:left w:val="single" w:sz="8" w:space="0" w:color="auto"/>
              <w:right w:val="single" w:sz="8" w:space="0" w:color="auto"/>
            </w:tcBorders>
            <w:shd w:val="clear" w:color="auto" w:fill="auto"/>
            <w:vAlign w:val="bottom"/>
          </w:tcPr>
          <w:p w14:paraId="71DBBD78" w14:textId="77777777" w:rsidR="00A52778" w:rsidRPr="00460F9E" w:rsidRDefault="00A52778" w:rsidP="00FC3F8E">
            <w:pPr>
              <w:spacing w:line="0" w:lineRule="atLeast"/>
              <w:rPr>
                <w:rFonts w:eastAsia="Times New Roman" w:cs="Times New Roman"/>
                <w:b/>
              </w:rPr>
            </w:pPr>
          </w:p>
        </w:tc>
        <w:tc>
          <w:tcPr>
            <w:tcW w:w="1840" w:type="dxa"/>
            <w:vMerge/>
            <w:tcBorders>
              <w:right w:val="single" w:sz="8" w:space="0" w:color="auto"/>
            </w:tcBorders>
            <w:shd w:val="clear" w:color="auto" w:fill="auto"/>
            <w:vAlign w:val="bottom"/>
          </w:tcPr>
          <w:p w14:paraId="16009D9B" w14:textId="77777777" w:rsidR="00A52778" w:rsidRPr="00460F9E" w:rsidRDefault="00A52778" w:rsidP="00FC3F8E">
            <w:pPr>
              <w:spacing w:line="0" w:lineRule="atLeast"/>
              <w:ind w:left="100"/>
              <w:rPr>
                <w:rFonts w:eastAsia="Times New Roman" w:cs="Times New Roman"/>
                <w:b/>
              </w:rPr>
            </w:pPr>
          </w:p>
        </w:tc>
        <w:tc>
          <w:tcPr>
            <w:tcW w:w="1300" w:type="dxa"/>
            <w:tcBorders>
              <w:right w:val="single" w:sz="8" w:space="0" w:color="auto"/>
            </w:tcBorders>
            <w:shd w:val="clear" w:color="auto" w:fill="auto"/>
            <w:vAlign w:val="bottom"/>
          </w:tcPr>
          <w:p w14:paraId="30AB0446" w14:textId="77777777" w:rsidR="00A52778" w:rsidRPr="00460F9E" w:rsidRDefault="00A52778" w:rsidP="00FC3F8E">
            <w:pPr>
              <w:spacing w:line="0" w:lineRule="atLeast"/>
              <w:rPr>
                <w:rFonts w:eastAsia="Times New Roman" w:cs="Times New Roman"/>
                <w:b/>
              </w:rPr>
            </w:pPr>
          </w:p>
        </w:tc>
        <w:tc>
          <w:tcPr>
            <w:tcW w:w="920" w:type="dxa"/>
            <w:shd w:val="clear" w:color="auto" w:fill="auto"/>
            <w:vAlign w:val="bottom"/>
          </w:tcPr>
          <w:p w14:paraId="2BCFB76A" w14:textId="77777777" w:rsidR="00A52778" w:rsidRPr="00460F9E" w:rsidRDefault="00A52778" w:rsidP="00FC3F8E">
            <w:pPr>
              <w:spacing w:line="0" w:lineRule="atLeast"/>
              <w:rPr>
                <w:rFonts w:eastAsia="Times New Roman" w:cs="Times New Roman"/>
                <w:b/>
              </w:rPr>
            </w:pPr>
          </w:p>
        </w:tc>
        <w:tc>
          <w:tcPr>
            <w:tcW w:w="500" w:type="dxa"/>
            <w:shd w:val="clear" w:color="auto" w:fill="auto"/>
            <w:vAlign w:val="bottom"/>
          </w:tcPr>
          <w:p w14:paraId="5ABC2A02" w14:textId="77777777" w:rsidR="00A52778" w:rsidRPr="00460F9E" w:rsidRDefault="00A52778" w:rsidP="00FC3F8E">
            <w:pPr>
              <w:spacing w:line="0" w:lineRule="atLeast"/>
              <w:rPr>
                <w:rFonts w:eastAsia="Times New Roman" w:cs="Times New Roman"/>
                <w:b/>
              </w:rPr>
            </w:pPr>
          </w:p>
        </w:tc>
        <w:tc>
          <w:tcPr>
            <w:tcW w:w="420" w:type="dxa"/>
            <w:tcBorders>
              <w:right w:val="single" w:sz="8" w:space="0" w:color="auto"/>
            </w:tcBorders>
            <w:shd w:val="clear" w:color="auto" w:fill="auto"/>
            <w:vAlign w:val="bottom"/>
          </w:tcPr>
          <w:p w14:paraId="7FA47A05" w14:textId="77777777" w:rsidR="00A52778" w:rsidRPr="00460F9E" w:rsidRDefault="00A52778" w:rsidP="00FC3F8E">
            <w:pPr>
              <w:spacing w:line="0" w:lineRule="atLeast"/>
              <w:rPr>
                <w:rFonts w:eastAsia="Times New Roman" w:cs="Times New Roman"/>
                <w:b/>
              </w:rPr>
            </w:pPr>
          </w:p>
        </w:tc>
        <w:tc>
          <w:tcPr>
            <w:tcW w:w="3400" w:type="dxa"/>
            <w:gridSpan w:val="6"/>
            <w:vMerge w:val="restart"/>
            <w:tcBorders>
              <w:right w:val="single" w:sz="8" w:space="0" w:color="auto"/>
            </w:tcBorders>
            <w:shd w:val="clear" w:color="auto" w:fill="auto"/>
            <w:vAlign w:val="bottom"/>
          </w:tcPr>
          <w:p w14:paraId="63EA1636"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Diğer ürünler için, yüksek atık gaz </w:t>
            </w:r>
          </w:p>
          <w:p w14:paraId="2663145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hacmi akışları (örneğin 120 000 Nm</w:t>
            </w:r>
            <w:r w:rsidRPr="00460F9E">
              <w:rPr>
                <w:rFonts w:eastAsia="Times New Roman" w:cs="Times New Roman"/>
                <w:vertAlign w:val="superscript"/>
              </w:rPr>
              <w:t>3</w:t>
            </w:r>
            <w:r w:rsidRPr="00460F9E">
              <w:rPr>
                <w:rFonts w:eastAsia="Times New Roman" w:cs="Times New Roman"/>
              </w:rPr>
              <w:t xml:space="preserve"> / </w:t>
            </w:r>
          </w:p>
          <w:p w14:paraId="420F6D8C"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saat' in üzerinde) veya atık gazdaki </w:t>
            </w:r>
          </w:p>
          <w:p w14:paraId="64EA72F1"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düşük </w:t>
            </w:r>
            <w:r w:rsidRPr="00460F9E">
              <w:rPr>
                <w:rFonts w:eastAsia="Times New Roman" w:cs="Times New Roman"/>
                <w:bCs/>
              </w:rPr>
              <w:t>H</w:t>
            </w:r>
            <w:r w:rsidRPr="00460F9E">
              <w:rPr>
                <w:rFonts w:eastAsia="Times New Roman" w:cs="Times New Roman"/>
                <w:bCs/>
                <w:vertAlign w:val="subscript"/>
              </w:rPr>
              <w:t>2</w:t>
            </w:r>
            <w:r w:rsidRPr="00460F9E">
              <w:rPr>
                <w:rFonts w:eastAsia="Times New Roman" w:cs="Times New Roman"/>
                <w:bCs/>
              </w:rPr>
              <w:t>S</w:t>
            </w:r>
            <w:r w:rsidRPr="00460F9E">
              <w:rPr>
                <w:rFonts w:eastAsia="Times New Roman" w:cs="Times New Roman"/>
              </w:rPr>
              <w:t xml:space="preserve"> konsantrasyonu (örneğin 0,5 </w:t>
            </w:r>
          </w:p>
          <w:p w14:paraId="114874A6"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g / Nm</w:t>
            </w:r>
            <w:r w:rsidRPr="00460F9E">
              <w:rPr>
                <w:rFonts w:eastAsia="Times New Roman" w:cs="Times New Roman"/>
                <w:vertAlign w:val="superscript"/>
              </w:rPr>
              <w:t>3</w:t>
            </w:r>
            <w:r w:rsidRPr="00460F9E">
              <w:rPr>
                <w:rFonts w:eastAsia="Times New Roman" w:cs="Times New Roman"/>
              </w:rPr>
              <w:t xml:space="preserve">' ün altında) nedeniyle enerji </w:t>
            </w:r>
          </w:p>
          <w:p w14:paraId="23AFC9C4"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talebinin aşırı olduğu durumlarda </w:t>
            </w:r>
          </w:p>
          <w:p w14:paraId="29DC264B"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uygulanabilirliği kısıtlanabilir.</w:t>
            </w:r>
          </w:p>
        </w:tc>
      </w:tr>
      <w:tr w:rsidR="00A52778" w:rsidRPr="00460F9E" w14:paraId="220BF558" w14:textId="77777777" w:rsidTr="00FC3F8E">
        <w:trPr>
          <w:trHeight w:val="230"/>
        </w:trPr>
        <w:tc>
          <w:tcPr>
            <w:tcW w:w="380" w:type="dxa"/>
            <w:tcBorders>
              <w:left w:val="single" w:sz="8" w:space="0" w:color="auto"/>
              <w:right w:val="single" w:sz="8" w:space="0" w:color="auto"/>
            </w:tcBorders>
            <w:shd w:val="clear" w:color="auto" w:fill="auto"/>
            <w:vAlign w:val="bottom"/>
          </w:tcPr>
          <w:p w14:paraId="4193432C" w14:textId="77777777" w:rsidR="00A52778" w:rsidRPr="00460F9E" w:rsidRDefault="00A52778" w:rsidP="00FC3F8E">
            <w:pPr>
              <w:spacing w:line="0" w:lineRule="atLeast"/>
              <w:rPr>
                <w:rFonts w:eastAsia="Times New Roman" w:cs="Times New Roman"/>
                <w:b/>
              </w:rPr>
            </w:pPr>
          </w:p>
        </w:tc>
        <w:tc>
          <w:tcPr>
            <w:tcW w:w="1840" w:type="dxa"/>
            <w:vMerge/>
            <w:tcBorders>
              <w:right w:val="single" w:sz="8" w:space="0" w:color="auto"/>
            </w:tcBorders>
            <w:shd w:val="clear" w:color="auto" w:fill="auto"/>
            <w:vAlign w:val="bottom"/>
          </w:tcPr>
          <w:p w14:paraId="4984B98A" w14:textId="77777777" w:rsidR="00A52778" w:rsidRPr="00460F9E" w:rsidRDefault="00A52778" w:rsidP="00FC3F8E">
            <w:pPr>
              <w:spacing w:line="0" w:lineRule="atLeast"/>
              <w:ind w:left="100"/>
              <w:rPr>
                <w:rFonts w:eastAsia="Times New Roman" w:cs="Times New Roman"/>
                <w:b/>
              </w:rPr>
            </w:pPr>
          </w:p>
        </w:tc>
        <w:tc>
          <w:tcPr>
            <w:tcW w:w="1300" w:type="dxa"/>
            <w:tcBorders>
              <w:right w:val="single" w:sz="8" w:space="0" w:color="auto"/>
            </w:tcBorders>
            <w:shd w:val="clear" w:color="auto" w:fill="auto"/>
            <w:vAlign w:val="bottom"/>
          </w:tcPr>
          <w:p w14:paraId="03CEB2B6" w14:textId="77777777" w:rsidR="00A52778" w:rsidRPr="00460F9E" w:rsidRDefault="00A52778" w:rsidP="00FC3F8E">
            <w:pPr>
              <w:spacing w:line="0" w:lineRule="atLeast"/>
              <w:rPr>
                <w:rFonts w:eastAsia="Times New Roman" w:cs="Times New Roman"/>
                <w:b/>
              </w:rPr>
            </w:pPr>
          </w:p>
        </w:tc>
        <w:tc>
          <w:tcPr>
            <w:tcW w:w="920" w:type="dxa"/>
            <w:shd w:val="clear" w:color="auto" w:fill="auto"/>
            <w:vAlign w:val="bottom"/>
          </w:tcPr>
          <w:p w14:paraId="2BAA9FD9" w14:textId="77777777" w:rsidR="00A52778" w:rsidRPr="00460F9E" w:rsidRDefault="00A52778" w:rsidP="00FC3F8E">
            <w:pPr>
              <w:spacing w:line="0" w:lineRule="atLeast"/>
              <w:rPr>
                <w:rFonts w:eastAsia="Times New Roman" w:cs="Times New Roman"/>
                <w:b/>
              </w:rPr>
            </w:pPr>
          </w:p>
        </w:tc>
        <w:tc>
          <w:tcPr>
            <w:tcW w:w="500" w:type="dxa"/>
            <w:shd w:val="clear" w:color="auto" w:fill="auto"/>
            <w:vAlign w:val="bottom"/>
          </w:tcPr>
          <w:p w14:paraId="4BC3165B" w14:textId="77777777" w:rsidR="00A52778" w:rsidRPr="00460F9E" w:rsidRDefault="00A52778" w:rsidP="00FC3F8E">
            <w:pPr>
              <w:spacing w:line="0" w:lineRule="atLeast"/>
              <w:rPr>
                <w:rFonts w:eastAsia="Times New Roman" w:cs="Times New Roman"/>
                <w:b/>
              </w:rPr>
            </w:pPr>
          </w:p>
        </w:tc>
        <w:tc>
          <w:tcPr>
            <w:tcW w:w="420" w:type="dxa"/>
            <w:tcBorders>
              <w:right w:val="single" w:sz="8" w:space="0" w:color="auto"/>
            </w:tcBorders>
            <w:shd w:val="clear" w:color="auto" w:fill="auto"/>
            <w:vAlign w:val="bottom"/>
          </w:tcPr>
          <w:p w14:paraId="163D88B0" w14:textId="77777777" w:rsidR="00A52778" w:rsidRPr="00460F9E" w:rsidRDefault="00A52778" w:rsidP="00FC3F8E">
            <w:pPr>
              <w:spacing w:line="0" w:lineRule="atLeast"/>
              <w:rPr>
                <w:rFonts w:eastAsia="Times New Roman" w:cs="Times New Roman"/>
                <w:b/>
              </w:rPr>
            </w:pPr>
          </w:p>
        </w:tc>
        <w:tc>
          <w:tcPr>
            <w:tcW w:w="3400" w:type="dxa"/>
            <w:gridSpan w:val="6"/>
            <w:vMerge/>
            <w:tcBorders>
              <w:right w:val="single" w:sz="8" w:space="0" w:color="auto"/>
            </w:tcBorders>
            <w:shd w:val="clear" w:color="auto" w:fill="auto"/>
            <w:vAlign w:val="bottom"/>
          </w:tcPr>
          <w:p w14:paraId="51B1836E" w14:textId="77777777" w:rsidR="00A52778" w:rsidRPr="00460F9E" w:rsidRDefault="00A52778" w:rsidP="00FC3F8E">
            <w:pPr>
              <w:spacing w:line="0" w:lineRule="atLeast"/>
              <w:rPr>
                <w:rFonts w:eastAsia="Times New Roman" w:cs="Times New Roman"/>
                <w:b/>
              </w:rPr>
            </w:pPr>
          </w:p>
        </w:tc>
      </w:tr>
      <w:tr w:rsidR="00A52778" w:rsidRPr="00460F9E" w14:paraId="612249DF" w14:textId="77777777" w:rsidTr="00FC3F8E">
        <w:trPr>
          <w:trHeight w:val="348"/>
        </w:trPr>
        <w:tc>
          <w:tcPr>
            <w:tcW w:w="380" w:type="dxa"/>
            <w:tcBorders>
              <w:left w:val="single" w:sz="8" w:space="0" w:color="auto"/>
              <w:bottom w:val="nil"/>
              <w:right w:val="single" w:sz="8" w:space="0" w:color="auto"/>
            </w:tcBorders>
            <w:shd w:val="clear" w:color="auto" w:fill="auto"/>
            <w:vAlign w:val="bottom"/>
          </w:tcPr>
          <w:p w14:paraId="3FCFF767"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a.</w:t>
            </w:r>
          </w:p>
        </w:tc>
        <w:tc>
          <w:tcPr>
            <w:tcW w:w="1840" w:type="dxa"/>
            <w:vMerge/>
            <w:tcBorders>
              <w:bottom w:val="nil"/>
              <w:right w:val="single" w:sz="8" w:space="0" w:color="auto"/>
            </w:tcBorders>
            <w:shd w:val="clear" w:color="auto" w:fill="auto"/>
            <w:vAlign w:val="bottom"/>
          </w:tcPr>
          <w:p w14:paraId="2852FA5E" w14:textId="77777777" w:rsidR="00A52778" w:rsidRPr="00460F9E" w:rsidRDefault="00A52778" w:rsidP="00FC3F8E">
            <w:pPr>
              <w:spacing w:line="0" w:lineRule="atLeast"/>
              <w:ind w:left="100"/>
              <w:rPr>
                <w:rFonts w:eastAsia="Times New Roman" w:cs="Times New Roman"/>
                <w:b/>
                <w:sz w:val="10"/>
              </w:rPr>
            </w:pPr>
          </w:p>
        </w:tc>
        <w:tc>
          <w:tcPr>
            <w:tcW w:w="1300" w:type="dxa"/>
            <w:tcBorders>
              <w:bottom w:val="nil"/>
              <w:right w:val="single" w:sz="8" w:space="0" w:color="auto"/>
            </w:tcBorders>
            <w:shd w:val="clear" w:color="auto" w:fill="auto"/>
            <w:vAlign w:val="bottom"/>
          </w:tcPr>
          <w:p w14:paraId="125BBAB9"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H</w:t>
            </w:r>
            <w:r w:rsidRPr="00460F9E">
              <w:rPr>
                <w:rFonts w:eastAsia="Times New Roman" w:cs="Times New Roman"/>
                <w:sz w:val="12"/>
              </w:rPr>
              <w:t>2</w:t>
            </w:r>
            <w:r w:rsidRPr="00460F9E">
              <w:rPr>
                <w:rFonts w:eastAsia="Times New Roman" w:cs="Times New Roman"/>
              </w:rPr>
              <w:t>S</w:t>
            </w:r>
          </w:p>
        </w:tc>
        <w:tc>
          <w:tcPr>
            <w:tcW w:w="1840" w:type="dxa"/>
            <w:gridSpan w:val="3"/>
            <w:tcBorders>
              <w:bottom w:val="nil"/>
              <w:right w:val="single" w:sz="8" w:space="0" w:color="auto"/>
            </w:tcBorders>
            <w:shd w:val="clear" w:color="auto" w:fill="auto"/>
            <w:vAlign w:val="bottom"/>
          </w:tcPr>
          <w:p w14:paraId="64170520"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400" w:type="dxa"/>
            <w:gridSpan w:val="6"/>
            <w:vMerge/>
            <w:tcBorders>
              <w:right w:val="single" w:sz="8" w:space="0" w:color="auto"/>
            </w:tcBorders>
            <w:shd w:val="clear" w:color="auto" w:fill="auto"/>
            <w:vAlign w:val="bottom"/>
          </w:tcPr>
          <w:p w14:paraId="622C861F" w14:textId="77777777" w:rsidR="00A52778" w:rsidRPr="00460F9E" w:rsidRDefault="00A52778" w:rsidP="00FC3F8E">
            <w:pPr>
              <w:spacing w:line="0" w:lineRule="atLeast"/>
              <w:rPr>
                <w:rFonts w:eastAsia="Times New Roman" w:cs="Times New Roman"/>
                <w:b/>
              </w:rPr>
            </w:pPr>
          </w:p>
        </w:tc>
      </w:tr>
      <w:tr w:rsidR="00A52778" w:rsidRPr="00460F9E" w14:paraId="0260070D" w14:textId="77777777" w:rsidTr="00FC3F8E">
        <w:trPr>
          <w:trHeight w:val="112"/>
        </w:trPr>
        <w:tc>
          <w:tcPr>
            <w:tcW w:w="380" w:type="dxa"/>
            <w:tcBorders>
              <w:left w:val="single" w:sz="8" w:space="0" w:color="auto"/>
              <w:right w:val="single" w:sz="8" w:space="0" w:color="auto"/>
            </w:tcBorders>
            <w:shd w:val="clear" w:color="auto" w:fill="auto"/>
            <w:vAlign w:val="bottom"/>
          </w:tcPr>
          <w:p w14:paraId="7B78DE74" w14:textId="77777777" w:rsidR="00A52778" w:rsidRPr="00460F9E" w:rsidRDefault="00A52778" w:rsidP="00FC3F8E">
            <w:pPr>
              <w:spacing w:line="0" w:lineRule="atLeast"/>
              <w:rPr>
                <w:rFonts w:eastAsia="Times New Roman" w:cs="Times New Roman"/>
                <w:b/>
                <w:sz w:val="9"/>
              </w:rPr>
            </w:pPr>
          </w:p>
        </w:tc>
        <w:tc>
          <w:tcPr>
            <w:tcW w:w="1840" w:type="dxa"/>
            <w:vMerge/>
            <w:tcBorders>
              <w:right w:val="single" w:sz="8" w:space="0" w:color="auto"/>
            </w:tcBorders>
            <w:shd w:val="clear" w:color="auto" w:fill="auto"/>
            <w:vAlign w:val="bottom"/>
          </w:tcPr>
          <w:p w14:paraId="66FAFE4D" w14:textId="77777777" w:rsidR="00A52778" w:rsidRPr="00460F9E" w:rsidRDefault="00A52778" w:rsidP="00FC3F8E">
            <w:pPr>
              <w:spacing w:line="0" w:lineRule="atLeast"/>
              <w:rPr>
                <w:rFonts w:eastAsia="Times New Roman" w:cs="Times New Roman"/>
                <w:b/>
                <w:sz w:val="9"/>
              </w:rPr>
            </w:pPr>
          </w:p>
        </w:tc>
        <w:tc>
          <w:tcPr>
            <w:tcW w:w="1300" w:type="dxa"/>
            <w:tcBorders>
              <w:right w:val="single" w:sz="8" w:space="0" w:color="auto"/>
            </w:tcBorders>
            <w:shd w:val="clear" w:color="auto" w:fill="auto"/>
            <w:vAlign w:val="bottom"/>
          </w:tcPr>
          <w:p w14:paraId="45FABB0C" w14:textId="77777777" w:rsidR="00A52778" w:rsidRPr="00460F9E" w:rsidRDefault="00A52778" w:rsidP="00FC3F8E">
            <w:pPr>
              <w:spacing w:line="0" w:lineRule="atLeast"/>
              <w:rPr>
                <w:rFonts w:eastAsia="Times New Roman" w:cs="Times New Roman"/>
                <w:b/>
                <w:sz w:val="9"/>
              </w:rPr>
            </w:pPr>
          </w:p>
        </w:tc>
        <w:tc>
          <w:tcPr>
            <w:tcW w:w="920" w:type="dxa"/>
            <w:shd w:val="clear" w:color="auto" w:fill="auto"/>
            <w:vAlign w:val="bottom"/>
          </w:tcPr>
          <w:p w14:paraId="3EE6847D" w14:textId="77777777" w:rsidR="00A52778" w:rsidRPr="00460F9E" w:rsidRDefault="00A52778" w:rsidP="00FC3F8E">
            <w:pPr>
              <w:spacing w:line="0" w:lineRule="atLeast"/>
              <w:rPr>
                <w:rFonts w:eastAsia="Times New Roman" w:cs="Times New Roman"/>
                <w:b/>
                <w:sz w:val="9"/>
              </w:rPr>
            </w:pPr>
          </w:p>
        </w:tc>
        <w:tc>
          <w:tcPr>
            <w:tcW w:w="500" w:type="dxa"/>
            <w:shd w:val="clear" w:color="auto" w:fill="auto"/>
            <w:vAlign w:val="bottom"/>
          </w:tcPr>
          <w:p w14:paraId="2C75940A" w14:textId="77777777" w:rsidR="00A52778" w:rsidRPr="00460F9E" w:rsidRDefault="00A52778" w:rsidP="00FC3F8E">
            <w:pPr>
              <w:spacing w:line="0" w:lineRule="atLeast"/>
              <w:rPr>
                <w:rFonts w:eastAsia="Times New Roman" w:cs="Times New Roman"/>
                <w:b/>
                <w:sz w:val="9"/>
              </w:rPr>
            </w:pPr>
          </w:p>
        </w:tc>
        <w:tc>
          <w:tcPr>
            <w:tcW w:w="420" w:type="dxa"/>
            <w:tcBorders>
              <w:right w:val="single" w:sz="8" w:space="0" w:color="auto"/>
            </w:tcBorders>
            <w:shd w:val="clear" w:color="auto" w:fill="auto"/>
            <w:vAlign w:val="bottom"/>
          </w:tcPr>
          <w:p w14:paraId="35BD1B4D" w14:textId="77777777" w:rsidR="00A52778" w:rsidRPr="00460F9E" w:rsidRDefault="00A52778" w:rsidP="00FC3F8E">
            <w:pPr>
              <w:spacing w:line="0" w:lineRule="atLeast"/>
              <w:rPr>
                <w:rFonts w:eastAsia="Times New Roman" w:cs="Times New Roman"/>
                <w:b/>
                <w:sz w:val="9"/>
              </w:rPr>
            </w:pPr>
          </w:p>
        </w:tc>
        <w:tc>
          <w:tcPr>
            <w:tcW w:w="3400" w:type="dxa"/>
            <w:gridSpan w:val="6"/>
            <w:vMerge/>
            <w:tcBorders>
              <w:right w:val="single" w:sz="8" w:space="0" w:color="auto"/>
            </w:tcBorders>
            <w:shd w:val="clear" w:color="auto" w:fill="auto"/>
            <w:vAlign w:val="bottom"/>
          </w:tcPr>
          <w:p w14:paraId="32CD2061" w14:textId="77777777" w:rsidR="00A52778" w:rsidRPr="00460F9E" w:rsidRDefault="00A52778" w:rsidP="00FC3F8E">
            <w:pPr>
              <w:spacing w:line="0" w:lineRule="atLeast"/>
              <w:rPr>
                <w:rFonts w:eastAsia="Times New Roman" w:cs="Times New Roman"/>
                <w:b/>
              </w:rPr>
            </w:pPr>
          </w:p>
        </w:tc>
      </w:tr>
      <w:tr w:rsidR="00A52778" w:rsidRPr="00460F9E" w14:paraId="4ADA436F" w14:textId="77777777" w:rsidTr="00FC3F8E">
        <w:trPr>
          <w:trHeight w:val="115"/>
        </w:trPr>
        <w:tc>
          <w:tcPr>
            <w:tcW w:w="380" w:type="dxa"/>
            <w:tcBorders>
              <w:left w:val="single" w:sz="8" w:space="0" w:color="auto"/>
              <w:right w:val="single" w:sz="8" w:space="0" w:color="auto"/>
            </w:tcBorders>
            <w:shd w:val="clear" w:color="auto" w:fill="auto"/>
            <w:vAlign w:val="bottom"/>
          </w:tcPr>
          <w:p w14:paraId="38FB4115" w14:textId="77777777" w:rsidR="00A52778" w:rsidRPr="00460F9E" w:rsidRDefault="00A52778" w:rsidP="00FC3F8E">
            <w:pPr>
              <w:spacing w:line="0" w:lineRule="atLeast"/>
              <w:rPr>
                <w:rFonts w:eastAsia="Times New Roman" w:cs="Times New Roman"/>
                <w:b/>
                <w:sz w:val="10"/>
              </w:rPr>
            </w:pPr>
          </w:p>
        </w:tc>
        <w:tc>
          <w:tcPr>
            <w:tcW w:w="1840" w:type="dxa"/>
            <w:vMerge/>
            <w:tcBorders>
              <w:right w:val="single" w:sz="8" w:space="0" w:color="auto"/>
            </w:tcBorders>
            <w:shd w:val="clear" w:color="auto" w:fill="auto"/>
            <w:vAlign w:val="bottom"/>
          </w:tcPr>
          <w:p w14:paraId="19FCA7C9" w14:textId="77777777" w:rsidR="00A52778" w:rsidRPr="00460F9E" w:rsidRDefault="00A52778" w:rsidP="00FC3F8E">
            <w:pPr>
              <w:spacing w:line="0" w:lineRule="atLeast"/>
              <w:rPr>
                <w:rFonts w:eastAsia="Times New Roman" w:cs="Times New Roman"/>
                <w:b/>
                <w:sz w:val="10"/>
              </w:rPr>
            </w:pPr>
          </w:p>
        </w:tc>
        <w:tc>
          <w:tcPr>
            <w:tcW w:w="1300" w:type="dxa"/>
            <w:tcBorders>
              <w:right w:val="single" w:sz="8" w:space="0" w:color="auto"/>
            </w:tcBorders>
            <w:shd w:val="clear" w:color="auto" w:fill="auto"/>
            <w:vAlign w:val="bottom"/>
          </w:tcPr>
          <w:p w14:paraId="0CBD9CBE" w14:textId="77777777" w:rsidR="00A52778" w:rsidRPr="00460F9E" w:rsidRDefault="00A52778" w:rsidP="00FC3F8E">
            <w:pPr>
              <w:spacing w:line="0" w:lineRule="atLeast"/>
              <w:rPr>
                <w:rFonts w:eastAsia="Times New Roman" w:cs="Times New Roman"/>
                <w:b/>
                <w:sz w:val="10"/>
              </w:rPr>
            </w:pPr>
          </w:p>
        </w:tc>
        <w:tc>
          <w:tcPr>
            <w:tcW w:w="920" w:type="dxa"/>
            <w:shd w:val="clear" w:color="auto" w:fill="auto"/>
            <w:vAlign w:val="bottom"/>
          </w:tcPr>
          <w:p w14:paraId="6132ECE1" w14:textId="77777777" w:rsidR="00A52778" w:rsidRPr="00460F9E" w:rsidRDefault="00A52778" w:rsidP="00FC3F8E">
            <w:pPr>
              <w:spacing w:line="0" w:lineRule="atLeast"/>
              <w:rPr>
                <w:rFonts w:eastAsia="Times New Roman" w:cs="Times New Roman"/>
                <w:b/>
                <w:sz w:val="10"/>
              </w:rPr>
            </w:pPr>
          </w:p>
        </w:tc>
        <w:tc>
          <w:tcPr>
            <w:tcW w:w="500" w:type="dxa"/>
            <w:shd w:val="clear" w:color="auto" w:fill="auto"/>
            <w:vAlign w:val="bottom"/>
          </w:tcPr>
          <w:p w14:paraId="79B654FE" w14:textId="77777777" w:rsidR="00A52778" w:rsidRPr="00460F9E" w:rsidRDefault="00A52778" w:rsidP="00FC3F8E">
            <w:pPr>
              <w:spacing w:line="0" w:lineRule="atLeast"/>
              <w:rPr>
                <w:rFonts w:eastAsia="Times New Roman" w:cs="Times New Roman"/>
                <w:b/>
                <w:sz w:val="10"/>
              </w:rPr>
            </w:pPr>
          </w:p>
        </w:tc>
        <w:tc>
          <w:tcPr>
            <w:tcW w:w="420" w:type="dxa"/>
            <w:tcBorders>
              <w:right w:val="single" w:sz="8" w:space="0" w:color="auto"/>
            </w:tcBorders>
            <w:shd w:val="clear" w:color="auto" w:fill="auto"/>
            <w:vAlign w:val="bottom"/>
          </w:tcPr>
          <w:p w14:paraId="62E78BA2" w14:textId="77777777" w:rsidR="00A52778" w:rsidRPr="00460F9E" w:rsidRDefault="00A52778" w:rsidP="00FC3F8E">
            <w:pPr>
              <w:spacing w:line="0" w:lineRule="atLeast"/>
              <w:rPr>
                <w:rFonts w:eastAsia="Times New Roman" w:cs="Times New Roman"/>
                <w:b/>
                <w:sz w:val="10"/>
              </w:rPr>
            </w:pPr>
          </w:p>
        </w:tc>
        <w:tc>
          <w:tcPr>
            <w:tcW w:w="3400" w:type="dxa"/>
            <w:gridSpan w:val="6"/>
            <w:vMerge/>
            <w:tcBorders>
              <w:right w:val="single" w:sz="8" w:space="0" w:color="auto"/>
            </w:tcBorders>
            <w:shd w:val="clear" w:color="auto" w:fill="auto"/>
            <w:vAlign w:val="bottom"/>
          </w:tcPr>
          <w:p w14:paraId="67E4AD53" w14:textId="77777777" w:rsidR="00A52778" w:rsidRPr="00460F9E" w:rsidRDefault="00A52778" w:rsidP="00FC3F8E">
            <w:pPr>
              <w:spacing w:line="0" w:lineRule="atLeast"/>
              <w:rPr>
                <w:rFonts w:eastAsia="Times New Roman" w:cs="Times New Roman"/>
                <w:b/>
                <w:sz w:val="10"/>
              </w:rPr>
            </w:pPr>
          </w:p>
        </w:tc>
      </w:tr>
      <w:tr w:rsidR="00A52778" w:rsidRPr="00460F9E" w14:paraId="302FC4B4" w14:textId="77777777" w:rsidTr="00FC3F8E">
        <w:trPr>
          <w:trHeight w:val="240"/>
        </w:trPr>
        <w:tc>
          <w:tcPr>
            <w:tcW w:w="380" w:type="dxa"/>
            <w:tcBorders>
              <w:left w:val="single" w:sz="8" w:space="0" w:color="auto"/>
              <w:right w:val="single" w:sz="8" w:space="0" w:color="auto"/>
            </w:tcBorders>
            <w:shd w:val="clear" w:color="auto" w:fill="auto"/>
            <w:vAlign w:val="bottom"/>
          </w:tcPr>
          <w:p w14:paraId="3259E3F3" w14:textId="77777777" w:rsidR="00A52778" w:rsidRPr="00460F9E" w:rsidRDefault="00A52778" w:rsidP="00FC3F8E">
            <w:pPr>
              <w:spacing w:line="0" w:lineRule="atLeast"/>
              <w:rPr>
                <w:rFonts w:eastAsia="Times New Roman" w:cs="Times New Roman"/>
                <w:b/>
              </w:rPr>
            </w:pPr>
          </w:p>
        </w:tc>
        <w:tc>
          <w:tcPr>
            <w:tcW w:w="1840" w:type="dxa"/>
            <w:vMerge/>
            <w:tcBorders>
              <w:right w:val="single" w:sz="8" w:space="0" w:color="auto"/>
            </w:tcBorders>
            <w:shd w:val="clear" w:color="auto" w:fill="auto"/>
            <w:vAlign w:val="bottom"/>
          </w:tcPr>
          <w:p w14:paraId="3D8AA6F6" w14:textId="77777777" w:rsidR="00A52778" w:rsidRPr="00460F9E" w:rsidRDefault="00A52778" w:rsidP="00FC3F8E">
            <w:pPr>
              <w:spacing w:line="0" w:lineRule="atLeast"/>
              <w:rPr>
                <w:rFonts w:eastAsia="Times New Roman" w:cs="Times New Roman"/>
                <w:b/>
              </w:rPr>
            </w:pPr>
          </w:p>
        </w:tc>
        <w:tc>
          <w:tcPr>
            <w:tcW w:w="1300" w:type="dxa"/>
            <w:tcBorders>
              <w:right w:val="single" w:sz="8" w:space="0" w:color="auto"/>
            </w:tcBorders>
            <w:shd w:val="clear" w:color="auto" w:fill="auto"/>
            <w:vAlign w:val="bottom"/>
          </w:tcPr>
          <w:p w14:paraId="0B34025D" w14:textId="77777777" w:rsidR="00A52778" w:rsidRPr="00460F9E" w:rsidRDefault="00A52778" w:rsidP="00FC3F8E">
            <w:pPr>
              <w:spacing w:line="0" w:lineRule="atLeast"/>
              <w:rPr>
                <w:rFonts w:eastAsia="Times New Roman" w:cs="Times New Roman"/>
                <w:b/>
              </w:rPr>
            </w:pPr>
          </w:p>
        </w:tc>
        <w:tc>
          <w:tcPr>
            <w:tcW w:w="920" w:type="dxa"/>
            <w:shd w:val="clear" w:color="auto" w:fill="auto"/>
            <w:vAlign w:val="bottom"/>
          </w:tcPr>
          <w:p w14:paraId="654B58D7" w14:textId="77777777" w:rsidR="00A52778" w:rsidRPr="00460F9E" w:rsidRDefault="00A52778" w:rsidP="00FC3F8E">
            <w:pPr>
              <w:spacing w:line="0" w:lineRule="atLeast"/>
              <w:rPr>
                <w:rFonts w:eastAsia="Times New Roman" w:cs="Times New Roman"/>
                <w:b/>
              </w:rPr>
            </w:pPr>
          </w:p>
        </w:tc>
        <w:tc>
          <w:tcPr>
            <w:tcW w:w="500" w:type="dxa"/>
            <w:shd w:val="clear" w:color="auto" w:fill="auto"/>
            <w:vAlign w:val="bottom"/>
          </w:tcPr>
          <w:p w14:paraId="169C0CA5" w14:textId="77777777" w:rsidR="00A52778" w:rsidRPr="00460F9E" w:rsidRDefault="00A52778" w:rsidP="00FC3F8E">
            <w:pPr>
              <w:spacing w:line="0" w:lineRule="atLeast"/>
              <w:rPr>
                <w:rFonts w:eastAsia="Times New Roman" w:cs="Times New Roman"/>
                <w:b/>
              </w:rPr>
            </w:pPr>
          </w:p>
        </w:tc>
        <w:tc>
          <w:tcPr>
            <w:tcW w:w="420" w:type="dxa"/>
            <w:tcBorders>
              <w:right w:val="single" w:sz="8" w:space="0" w:color="auto"/>
            </w:tcBorders>
            <w:shd w:val="clear" w:color="auto" w:fill="auto"/>
            <w:vAlign w:val="bottom"/>
          </w:tcPr>
          <w:p w14:paraId="7B9DD5ED" w14:textId="77777777" w:rsidR="00A52778" w:rsidRPr="00460F9E" w:rsidRDefault="00A52778" w:rsidP="00FC3F8E">
            <w:pPr>
              <w:spacing w:line="0" w:lineRule="atLeast"/>
              <w:rPr>
                <w:rFonts w:eastAsia="Times New Roman" w:cs="Times New Roman"/>
                <w:b/>
              </w:rPr>
            </w:pPr>
          </w:p>
        </w:tc>
        <w:tc>
          <w:tcPr>
            <w:tcW w:w="3400" w:type="dxa"/>
            <w:gridSpan w:val="6"/>
            <w:vMerge/>
            <w:tcBorders>
              <w:right w:val="single" w:sz="8" w:space="0" w:color="auto"/>
            </w:tcBorders>
            <w:shd w:val="clear" w:color="auto" w:fill="auto"/>
            <w:vAlign w:val="bottom"/>
          </w:tcPr>
          <w:p w14:paraId="7124E9F1" w14:textId="77777777" w:rsidR="00A52778" w:rsidRPr="00460F9E" w:rsidRDefault="00A52778" w:rsidP="00FC3F8E">
            <w:pPr>
              <w:spacing w:line="0" w:lineRule="atLeast"/>
              <w:rPr>
                <w:rFonts w:eastAsia="Times New Roman" w:cs="Times New Roman"/>
                <w:b/>
              </w:rPr>
            </w:pPr>
          </w:p>
        </w:tc>
      </w:tr>
      <w:tr w:rsidR="00A52778" w:rsidRPr="00460F9E" w14:paraId="6797BBF3" w14:textId="77777777" w:rsidTr="00FC3F8E">
        <w:trPr>
          <w:trHeight w:val="219"/>
        </w:trPr>
        <w:tc>
          <w:tcPr>
            <w:tcW w:w="380" w:type="dxa"/>
            <w:tcBorders>
              <w:left w:val="single" w:sz="8" w:space="0" w:color="auto"/>
              <w:right w:val="single" w:sz="8" w:space="0" w:color="auto"/>
            </w:tcBorders>
            <w:shd w:val="clear" w:color="auto" w:fill="auto"/>
            <w:vAlign w:val="bottom"/>
          </w:tcPr>
          <w:p w14:paraId="3399F480" w14:textId="77777777" w:rsidR="00A52778" w:rsidRPr="00460F9E" w:rsidRDefault="00A52778" w:rsidP="00FC3F8E">
            <w:pPr>
              <w:spacing w:line="0" w:lineRule="atLeast"/>
              <w:rPr>
                <w:rFonts w:eastAsia="Times New Roman" w:cs="Times New Roman"/>
                <w:b/>
                <w:sz w:val="19"/>
              </w:rPr>
            </w:pPr>
          </w:p>
        </w:tc>
        <w:tc>
          <w:tcPr>
            <w:tcW w:w="1840" w:type="dxa"/>
            <w:vMerge/>
            <w:tcBorders>
              <w:right w:val="single" w:sz="8" w:space="0" w:color="auto"/>
            </w:tcBorders>
            <w:shd w:val="clear" w:color="auto" w:fill="auto"/>
            <w:vAlign w:val="bottom"/>
          </w:tcPr>
          <w:p w14:paraId="34459470" w14:textId="77777777" w:rsidR="00A52778" w:rsidRPr="00460F9E" w:rsidRDefault="00A52778" w:rsidP="00FC3F8E">
            <w:pPr>
              <w:spacing w:line="0" w:lineRule="atLeast"/>
              <w:rPr>
                <w:rFonts w:eastAsia="Times New Roman" w:cs="Times New Roman"/>
                <w:b/>
                <w:sz w:val="19"/>
              </w:rPr>
            </w:pPr>
          </w:p>
        </w:tc>
        <w:tc>
          <w:tcPr>
            <w:tcW w:w="1300" w:type="dxa"/>
            <w:tcBorders>
              <w:right w:val="single" w:sz="8" w:space="0" w:color="auto"/>
            </w:tcBorders>
            <w:shd w:val="clear" w:color="auto" w:fill="auto"/>
            <w:vAlign w:val="bottom"/>
          </w:tcPr>
          <w:p w14:paraId="6C5C6088" w14:textId="77777777" w:rsidR="00A52778" w:rsidRPr="00460F9E" w:rsidRDefault="00A52778" w:rsidP="00FC3F8E">
            <w:pPr>
              <w:spacing w:line="0" w:lineRule="atLeast"/>
              <w:rPr>
                <w:rFonts w:eastAsia="Times New Roman" w:cs="Times New Roman"/>
                <w:b/>
                <w:sz w:val="19"/>
              </w:rPr>
            </w:pPr>
          </w:p>
        </w:tc>
        <w:tc>
          <w:tcPr>
            <w:tcW w:w="920" w:type="dxa"/>
            <w:shd w:val="clear" w:color="auto" w:fill="auto"/>
            <w:vAlign w:val="bottom"/>
          </w:tcPr>
          <w:p w14:paraId="2EF02510" w14:textId="77777777" w:rsidR="00A52778" w:rsidRPr="00460F9E" w:rsidRDefault="00A52778" w:rsidP="00FC3F8E">
            <w:pPr>
              <w:spacing w:line="0" w:lineRule="atLeast"/>
              <w:rPr>
                <w:rFonts w:eastAsia="Times New Roman" w:cs="Times New Roman"/>
                <w:b/>
                <w:sz w:val="19"/>
              </w:rPr>
            </w:pPr>
          </w:p>
        </w:tc>
        <w:tc>
          <w:tcPr>
            <w:tcW w:w="500" w:type="dxa"/>
            <w:shd w:val="clear" w:color="auto" w:fill="auto"/>
            <w:vAlign w:val="bottom"/>
          </w:tcPr>
          <w:p w14:paraId="4DCAA0C4" w14:textId="77777777" w:rsidR="00A52778" w:rsidRPr="00460F9E" w:rsidRDefault="00A52778" w:rsidP="00FC3F8E">
            <w:pPr>
              <w:spacing w:line="0" w:lineRule="atLeast"/>
              <w:rPr>
                <w:rFonts w:eastAsia="Times New Roman" w:cs="Times New Roman"/>
                <w:b/>
                <w:sz w:val="19"/>
              </w:rPr>
            </w:pPr>
          </w:p>
        </w:tc>
        <w:tc>
          <w:tcPr>
            <w:tcW w:w="420" w:type="dxa"/>
            <w:tcBorders>
              <w:right w:val="single" w:sz="8" w:space="0" w:color="auto"/>
            </w:tcBorders>
            <w:shd w:val="clear" w:color="auto" w:fill="auto"/>
            <w:vAlign w:val="bottom"/>
          </w:tcPr>
          <w:p w14:paraId="718663C1" w14:textId="77777777" w:rsidR="00A52778" w:rsidRPr="00460F9E" w:rsidRDefault="00A52778" w:rsidP="00FC3F8E">
            <w:pPr>
              <w:spacing w:line="0" w:lineRule="atLeast"/>
              <w:rPr>
                <w:rFonts w:eastAsia="Times New Roman" w:cs="Times New Roman"/>
                <w:b/>
                <w:sz w:val="19"/>
              </w:rPr>
            </w:pPr>
          </w:p>
        </w:tc>
        <w:tc>
          <w:tcPr>
            <w:tcW w:w="3400" w:type="dxa"/>
            <w:gridSpan w:val="6"/>
            <w:vMerge/>
            <w:tcBorders>
              <w:right w:val="single" w:sz="8" w:space="0" w:color="auto"/>
            </w:tcBorders>
            <w:shd w:val="clear" w:color="auto" w:fill="auto"/>
            <w:vAlign w:val="bottom"/>
          </w:tcPr>
          <w:p w14:paraId="4BADDA2D" w14:textId="77777777" w:rsidR="00A52778" w:rsidRPr="00460F9E" w:rsidRDefault="00A52778" w:rsidP="00FC3F8E">
            <w:pPr>
              <w:spacing w:line="0" w:lineRule="atLeast"/>
              <w:rPr>
                <w:rFonts w:eastAsia="Times New Roman" w:cs="Times New Roman"/>
                <w:b/>
              </w:rPr>
            </w:pPr>
          </w:p>
        </w:tc>
      </w:tr>
      <w:tr w:rsidR="00A52778" w:rsidRPr="00460F9E" w14:paraId="2CD6DF07" w14:textId="77777777" w:rsidTr="00FC3F8E">
        <w:trPr>
          <w:trHeight w:val="236"/>
        </w:trPr>
        <w:tc>
          <w:tcPr>
            <w:tcW w:w="380" w:type="dxa"/>
            <w:tcBorders>
              <w:left w:val="single" w:sz="8" w:space="0" w:color="auto"/>
              <w:bottom w:val="single" w:sz="8" w:space="0" w:color="auto"/>
              <w:right w:val="single" w:sz="8" w:space="0" w:color="auto"/>
            </w:tcBorders>
            <w:shd w:val="clear" w:color="auto" w:fill="auto"/>
            <w:vAlign w:val="bottom"/>
          </w:tcPr>
          <w:p w14:paraId="43123DAE" w14:textId="77777777" w:rsidR="00A52778" w:rsidRPr="00460F9E" w:rsidRDefault="00A52778" w:rsidP="00FC3F8E">
            <w:pPr>
              <w:spacing w:line="0" w:lineRule="atLeast"/>
              <w:rPr>
                <w:rFonts w:eastAsia="Times New Roman" w:cs="Times New Roman"/>
                <w:b/>
              </w:rPr>
            </w:pPr>
          </w:p>
        </w:tc>
        <w:tc>
          <w:tcPr>
            <w:tcW w:w="1840" w:type="dxa"/>
            <w:vMerge/>
            <w:tcBorders>
              <w:bottom w:val="single" w:sz="8" w:space="0" w:color="auto"/>
              <w:right w:val="single" w:sz="8" w:space="0" w:color="auto"/>
            </w:tcBorders>
            <w:shd w:val="clear" w:color="auto" w:fill="auto"/>
            <w:vAlign w:val="bottom"/>
          </w:tcPr>
          <w:p w14:paraId="2DD52556" w14:textId="77777777" w:rsidR="00A52778" w:rsidRPr="00460F9E" w:rsidRDefault="00A52778" w:rsidP="00FC3F8E">
            <w:pPr>
              <w:spacing w:line="0" w:lineRule="atLeast"/>
              <w:rPr>
                <w:rFonts w:eastAsia="Times New Roman" w:cs="Times New Roman"/>
                <w:b/>
              </w:rPr>
            </w:pPr>
          </w:p>
        </w:tc>
        <w:tc>
          <w:tcPr>
            <w:tcW w:w="1300" w:type="dxa"/>
            <w:tcBorders>
              <w:bottom w:val="single" w:sz="8" w:space="0" w:color="auto"/>
              <w:right w:val="single" w:sz="8" w:space="0" w:color="auto"/>
            </w:tcBorders>
            <w:shd w:val="clear" w:color="auto" w:fill="auto"/>
            <w:vAlign w:val="bottom"/>
          </w:tcPr>
          <w:p w14:paraId="65062803" w14:textId="77777777" w:rsidR="00A52778" w:rsidRPr="00460F9E" w:rsidRDefault="00A52778" w:rsidP="00FC3F8E">
            <w:pPr>
              <w:spacing w:line="0" w:lineRule="atLeast"/>
              <w:rPr>
                <w:rFonts w:eastAsia="Times New Roman" w:cs="Times New Roman"/>
                <w:b/>
              </w:rPr>
            </w:pPr>
          </w:p>
        </w:tc>
        <w:tc>
          <w:tcPr>
            <w:tcW w:w="920" w:type="dxa"/>
            <w:tcBorders>
              <w:bottom w:val="single" w:sz="8" w:space="0" w:color="auto"/>
            </w:tcBorders>
            <w:shd w:val="clear" w:color="auto" w:fill="auto"/>
            <w:vAlign w:val="bottom"/>
          </w:tcPr>
          <w:p w14:paraId="3839D7C7" w14:textId="77777777" w:rsidR="00A52778" w:rsidRPr="00460F9E" w:rsidRDefault="00A52778" w:rsidP="00FC3F8E">
            <w:pPr>
              <w:spacing w:line="0" w:lineRule="atLeast"/>
              <w:rPr>
                <w:rFonts w:eastAsia="Times New Roman" w:cs="Times New Roman"/>
                <w:b/>
              </w:rPr>
            </w:pPr>
          </w:p>
        </w:tc>
        <w:tc>
          <w:tcPr>
            <w:tcW w:w="500" w:type="dxa"/>
            <w:tcBorders>
              <w:bottom w:val="single" w:sz="8" w:space="0" w:color="auto"/>
            </w:tcBorders>
            <w:shd w:val="clear" w:color="auto" w:fill="auto"/>
            <w:vAlign w:val="bottom"/>
          </w:tcPr>
          <w:p w14:paraId="1E17BB39" w14:textId="77777777" w:rsidR="00A52778" w:rsidRPr="00460F9E" w:rsidRDefault="00A52778" w:rsidP="00FC3F8E">
            <w:pPr>
              <w:spacing w:line="0" w:lineRule="atLeast"/>
              <w:rPr>
                <w:rFonts w:eastAsia="Times New Roman" w:cs="Times New Roman"/>
                <w:b/>
              </w:rPr>
            </w:pPr>
          </w:p>
        </w:tc>
        <w:tc>
          <w:tcPr>
            <w:tcW w:w="420" w:type="dxa"/>
            <w:tcBorders>
              <w:bottom w:val="single" w:sz="8" w:space="0" w:color="auto"/>
              <w:right w:val="single" w:sz="8" w:space="0" w:color="auto"/>
            </w:tcBorders>
            <w:shd w:val="clear" w:color="auto" w:fill="auto"/>
            <w:vAlign w:val="bottom"/>
          </w:tcPr>
          <w:p w14:paraId="0F762997" w14:textId="77777777" w:rsidR="00A52778" w:rsidRPr="00460F9E" w:rsidRDefault="00A52778" w:rsidP="00FC3F8E">
            <w:pPr>
              <w:spacing w:line="0" w:lineRule="atLeast"/>
              <w:rPr>
                <w:rFonts w:eastAsia="Times New Roman" w:cs="Times New Roman"/>
                <w:b/>
              </w:rPr>
            </w:pPr>
          </w:p>
        </w:tc>
        <w:tc>
          <w:tcPr>
            <w:tcW w:w="3400" w:type="dxa"/>
            <w:gridSpan w:val="6"/>
            <w:vMerge/>
            <w:tcBorders>
              <w:bottom w:val="single" w:sz="8" w:space="0" w:color="auto"/>
              <w:right w:val="single" w:sz="8" w:space="0" w:color="auto"/>
            </w:tcBorders>
            <w:shd w:val="clear" w:color="auto" w:fill="auto"/>
            <w:vAlign w:val="bottom"/>
          </w:tcPr>
          <w:p w14:paraId="43263BF4" w14:textId="77777777" w:rsidR="00A52778" w:rsidRPr="00460F9E" w:rsidRDefault="00A52778" w:rsidP="00FC3F8E">
            <w:pPr>
              <w:spacing w:line="0" w:lineRule="atLeast"/>
              <w:rPr>
                <w:rFonts w:eastAsia="Times New Roman" w:cs="Times New Roman"/>
                <w:b/>
              </w:rPr>
            </w:pPr>
          </w:p>
        </w:tc>
      </w:tr>
      <w:tr w:rsidR="00A52778" w:rsidRPr="00460F9E" w14:paraId="3268C0B0" w14:textId="77777777" w:rsidTr="00FC3F8E">
        <w:trPr>
          <w:trHeight w:val="392"/>
        </w:trPr>
        <w:tc>
          <w:tcPr>
            <w:tcW w:w="380" w:type="dxa"/>
            <w:tcBorders>
              <w:left w:val="single" w:sz="8" w:space="0" w:color="auto"/>
              <w:bottom w:val="nil"/>
              <w:right w:val="single" w:sz="8" w:space="0" w:color="auto"/>
            </w:tcBorders>
            <w:shd w:val="clear" w:color="auto" w:fill="auto"/>
            <w:vAlign w:val="bottom"/>
          </w:tcPr>
          <w:p w14:paraId="4A36CBC9"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b.</w:t>
            </w:r>
          </w:p>
        </w:tc>
        <w:tc>
          <w:tcPr>
            <w:tcW w:w="1840" w:type="dxa"/>
            <w:vMerge w:val="restart"/>
            <w:tcBorders>
              <w:bottom w:val="nil"/>
              <w:right w:val="single" w:sz="8" w:space="0" w:color="auto"/>
            </w:tcBorders>
            <w:shd w:val="clear" w:color="auto" w:fill="auto"/>
            <w:vAlign w:val="bottom"/>
          </w:tcPr>
          <w:p w14:paraId="3334B95C"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Adsorpsiyon (rejeneratif)</w:t>
            </w:r>
          </w:p>
        </w:tc>
        <w:tc>
          <w:tcPr>
            <w:tcW w:w="1300" w:type="dxa"/>
            <w:tcBorders>
              <w:bottom w:val="nil"/>
              <w:right w:val="single" w:sz="8" w:space="0" w:color="auto"/>
            </w:tcBorders>
            <w:shd w:val="clear" w:color="auto" w:fill="auto"/>
            <w:vAlign w:val="bottom"/>
          </w:tcPr>
          <w:p w14:paraId="08B7C203" w14:textId="77777777" w:rsidR="00A52778" w:rsidRPr="00460F9E" w:rsidRDefault="00A52778" w:rsidP="00FC3F8E">
            <w:pPr>
              <w:spacing w:line="0" w:lineRule="atLeast"/>
              <w:jc w:val="center"/>
              <w:rPr>
                <w:rFonts w:eastAsia="Times New Roman" w:cs="Times New Roman"/>
                <w:b/>
                <w:w w:val="99"/>
                <w:sz w:val="12"/>
              </w:rPr>
            </w:pPr>
            <w:r w:rsidRPr="00460F9E">
              <w:rPr>
                <w:rFonts w:eastAsia="Times New Roman" w:cs="Times New Roman"/>
                <w:w w:val="99"/>
              </w:rPr>
              <w:t>H</w:t>
            </w:r>
            <w:r w:rsidRPr="00460F9E">
              <w:rPr>
                <w:rFonts w:eastAsia="Times New Roman" w:cs="Times New Roman"/>
                <w:w w:val="99"/>
                <w:sz w:val="12"/>
              </w:rPr>
              <w:t>2</w:t>
            </w:r>
            <w:r w:rsidRPr="00460F9E">
              <w:rPr>
                <w:rFonts w:eastAsia="Times New Roman" w:cs="Times New Roman"/>
                <w:w w:val="99"/>
              </w:rPr>
              <w:t>S, CS</w:t>
            </w:r>
            <w:r w:rsidRPr="00460F9E">
              <w:rPr>
                <w:rFonts w:eastAsia="Times New Roman" w:cs="Times New Roman"/>
                <w:w w:val="99"/>
                <w:sz w:val="12"/>
              </w:rPr>
              <w:t>2</w:t>
            </w:r>
          </w:p>
        </w:tc>
        <w:tc>
          <w:tcPr>
            <w:tcW w:w="1840" w:type="dxa"/>
            <w:gridSpan w:val="3"/>
            <w:tcBorders>
              <w:bottom w:val="nil"/>
              <w:right w:val="single" w:sz="8" w:space="0" w:color="auto"/>
            </w:tcBorders>
            <w:shd w:val="clear" w:color="auto" w:fill="auto"/>
            <w:vAlign w:val="bottom"/>
          </w:tcPr>
          <w:p w14:paraId="0C9A9A6D"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400" w:type="dxa"/>
            <w:gridSpan w:val="6"/>
            <w:vMerge w:val="restart"/>
            <w:tcBorders>
              <w:bottom w:val="nil"/>
              <w:right w:val="single" w:sz="8" w:space="0" w:color="auto"/>
            </w:tcBorders>
            <w:shd w:val="clear" w:color="auto" w:fill="auto"/>
            <w:vAlign w:val="bottom"/>
          </w:tcPr>
          <w:p w14:paraId="2222F6F4"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 xml:space="preserve">Atık gazdaki </w:t>
            </w:r>
            <w:r w:rsidRPr="00460F9E">
              <w:rPr>
                <w:rFonts w:eastAsia="Times New Roman" w:cs="Times New Roman"/>
                <w:bCs/>
              </w:rPr>
              <w:t>CS</w:t>
            </w:r>
            <w:r w:rsidRPr="00460F9E">
              <w:rPr>
                <w:rFonts w:eastAsia="Times New Roman" w:cs="Times New Roman"/>
                <w:bCs/>
                <w:vertAlign w:val="subscript"/>
              </w:rPr>
              <w:t>2</w:t>
            </w:r>
            <w:r w:rsidRPr="00460F9E">
              <w:rPr>
                <w:rFonts w:eastAsia="Times New Roman" w:cs="Times New Roman"/>
              </w:rPr>
              <w:t xml:space="preserve"> konsantrasyonu örneğin 5 g/ Nm</w:t>
            </w:r>
            <w:r w:rsidRPr="00460F9E">
              <w:rPr>
                <w:rFonts w:eastAsia="Times New Roman" w:cs="Times New Roman"/>
                <w:vertAlign w:val="superscript"/>
              </w:rPr>
              <w:t>3</w:t>
            </w:r>
            <w:r w:rsidRPr="00460F9E">
              <w:rPr>
                <w:rFonts w:eastAsia="Times New Roman" w:cs="Times New Roman"/>
              </w:rPr>
              <w:t xml:space="preserve">' ün altındaysa, geri kazanım için enerji talebinin aşırı olduğu durumlarda uygulanabilirliği kısıtlanabilir.       </w:t>
            </w:r>
          </w:p>
        </w:tc>
      </w:tr>
      <w:tr w:rsidR="00A52778" w:rsidRPr="00460F9E" w14:paraId="0C2840F5" w14:textId="77777777" w:rsidTr="00FC3F8E">
        <w:trPr>
          <w:trHeight w:val="112"/>
        </w:trPr>
        <w:tc>
          <w:tcPr>
            <w:tcW w:w="380" w:type="dxa"/>
            <w:tcBorders>
              <w:left w:val="single" w:sz="8" w:space="0" w:color="auto"/>
              <w:right w:val="single" w:sz="8" w:space="0" w:color="auto"/>
            </w:tcBorders>
            <w:shd w:val="clear" w:color="auto" w:fill="auto"/>
            <w:vAlign w:val="bottom"/>
          </w:tcPr>
          <w:p w14:paraId="77B4F5CD" w14:textId="77777777" w:rsidR="00A52778" w:rsidRPr="00460F9E" w:rsidRDefault="00A52778" w:rsidP="00FC3F8E">
            <w:pPr>
              <w:spacing w:line="0" w:lineRule="atLeast"/>
              <w:rPr>
                <w:rFonts w:eastAsia="Times New Roman" w:cs="Times New Roman"/>
                <w:b/>
                <w:sz w:val="9"/>
              </w:rPr>
            </w:pPr>
          </w:p>
        </w:tc>
        <w:tc>
          <w:tcPr>
            <w:tcW w:w="1840" w:type="dxa"/>
            <w:vMerge/>
            <w:tcBorders>
              <w:right w:val="single" w:sz="8" w:space="0" w:color="auto"/>
            </w:tcBorders>
            <w:shd w:val="clear" w:color="auto" w:fill="auto"/>
            <w:vAlign w:val="bottom"/>
          </w:tcPr>
          <w:p w14:paraId="7446BFD1" w14:textId="77777777" w:rsidR="00A52778" w:rsidRPr="00460F9E" w:rsidRDefault="00A52778" w:rsidP="00FC3F8E">
            <w:pPr>
              <w:spacing w:line="0" w:lineRule="atLeast"/>
              <w:rPr>
                <w:rFonts w:eastAsia="Times New Roman" w:cs="Times New Roman"/>
                <w:b/>
                <w:sz w:val="9"/>
              </w:rPr>
            </w:pPr>
          </w:p>
        </w:tc>
        <w:tc>
          <w:tcPr>
            <w:tcW w:w="1300" w:type="dxa"/>
            <w:tcBorders>
              <w:right w:val="single" w:sz="8" w:space="0" w:color="auto"/>
            </w:tcBorders>
            <w:shd w:val="clear" w:color="auto" w:fill="auto"/>
            <w:vAlign w:val="bottom"/>
          </w:tcPr>
          <w:p w14:paraId="5939A8FD" w14:textId="77777777" w:rsidR="00A52778" w:rsidRPr="00460F9E" w:rsidRDefault="00A52778" w:rsidP="00FC3F8E">
            <w:pPr>
              <w:spacing w:line="0" w:lineRule="atLeast"/>
              <w:rPr>
                <w:rFonts w:eastAsia="Times New Roman" w:cs="Times New Roman"/>
                <w:b/>
                <w:sz w:val="9"/>
              </w:rPr>
            </w:pPr>
          </w:p>
        </w:tc>
        <w:tc>
          <w:tcPr>
            <w:tcW w:w="920" w:type="dxa"/>
            <w:shd w:val="clear" w:color="auto" w:fill="auto"/>
            <w:vAlign w:val="bottom"/>
          </w:tcPr>
          <w:p w14:paraId="1414D9B0" w14:textId="77777777" w:rsidR="00A52778" w:rsidRPr="00460F9E" w:rsidRDefault="00A52778" w:rsidP="00FC3F8E">
            <w:pPr>
              <w:spacing w:line="0" w:lineRule="atLeast"/>
              <w:rPr>
                <w:rFonts w:eastAsia="Times New Roman" w:cs="Times New Roman"/>
                <w:b/>
                <w:sz w:val="9"/>
              </w:rPr>
            </w:pPr>
          </w:p>
        </w:tc>
        <w:tc>
          <w:tcPr>
            <w:tcW w:w="500" w:type="dxa"/>
            <w:shd w:val="clear" w:color="auto" w:fill="auto"/>
            <w:vAlign w:val="bottom"/>
          </w:tcPr>
          <w:p w14:paraId="7EEFFE5D" w14:textId="77777777" w:rsidR="00A52778" w:rsidRPr="00460F9E" w:rsidRDefault="00A52778" w:rsidP="00FC3F8E">
            <w:pPr>
              <w:spacing w:line="0" w:lineRule="atLeast"/>
              <w:rPr>
                <w:rFonts w:eastAsia="Times New Roman" w:cs="Times New Roman"/>
                <w:b/>
                <w:sz w:val="9"/>
              </w:rPr>
            </w:pPr>
          </w:p>
        </w:tc>
        <w:tc>
          <w:tcPr>
            <w:tcW w:w="420" w:type="dxa"/>
            <w:tcBorders>
              <w:right w:val="single" w:sz="8" w:space="0" w:color="auto"/>
            </w:tcBorders>
            <w:shd w:val="clear" w:color="auto" w:fill="auto"/>
            <w:vAlign w:val="bottom"/>
          </w:tcPr>
          <w:p w14:paraId="57FE3649" w14:textId="77777777" w:rsidR="00A52778" w:rsidRPr="00460F9E" w:rsidRDefault="00A52778" w:rsidP="00FC3F8E">
            <w:pPr>
              <w:spacing w:line="0" w:lineRule="atLeast"/>
              <w:rPr>
                <w:rFonts w:eastAsia="Times New Roman" w:cs="Times New Roman"/>
                <w:b/>
                <w:sz w:val="9"/>
              </w:rPr>
            </w:pPr>
          </w:p>
        </w:tc>
        <w:tc>
          <w:tcPr>
            <w:tcW w:w="3400" w:type="dxa"/>
            <w:gridSpan w:val="6"/>
            <w:vMerge/>
            <w:tcBorders>
              <w:right w:val="single" w:sz="8" w:space="0" w:color="auto"/>
            </w:tcBorders>
            <w:shd w:val="clear" w:color="auto" w:fill="auto"/>
            <w:vAlign w:val="bottom"/>
          </w:tcPr>
          <w:p w14:paraId="4E757C24" w14:textId="77777777" w:rsidR="00A52778" w:rsidRPr="00460F9E" w:rsidRDefault="00A52778" w:rsidP="00FC3F8E">
            <w:pPr>
              <w:spacing w:line="0" w:lineRule="atLeast"/>
              <w:ind w:left="100"/>
              <w:rPr>
                <w:rFonts w:eastAsia="Times New Roman" w:cs="Times New Roman"/>
                <w:b/>
                <w:sz w:val="9"/>
              </w:rPr>
            </w:pPr>
          </w:p>
        </w:tc>
      </w:tr>
      <w:tr w:rsidR="00A52778" w:rsidRPr="00460F9E" w14:paraId="6B07C71B" w14:textId="77777777" w:rsidTr="00FC3F8E">
        <w:trPr>
          <w:trHeight w:val="66"/>
        </w:trPr>
        <w:tc>
          <w:tcPr>
            <w:tcW w:w="380" w:type="dxa"/>
            <w:tcBorders>
              <w:left w:val="single" w:sz="8" w:space="0" w:color="auto"/>
              <w:bottom w:val="single" w:sz="8" w:space="0" w:color="auto"/>
              <w:right w:val="single" w:sz="8" w:space="0" w:color="auto"/>
            </w:tcBorders>
            <w:shd w:val="clear" w:color="auto" w:fill="auto"/>
            <w:vAlign w:val="bottom"/>
          </w:tcPr>
          <w:p w14:paraId="7F509C3D" w14:textId="77777777" w:rsidR="00A52778" w:rsidRPr="00460F9E" w:rsidRDefault="00A52778" w:rsidP="00FC3F8E">
            <w:pPr>
              <w:spacing w:line="0" w:lineRule="atLeast"/>
              <w:rPr>
                <w:rFonts w:eastAsia="Times New Roman" w:cs="Times New Roman"/>
                <w:b/>
                <w:sz w:val="5"/>
              </w:rPr>
            </w:pPr>
          </w:p>
        </w:tc>
        <w:tc>
          <w:tcPr>
            <w:tcW w:w="1840" w:type="dxa"/>
            <w:tcBorders>
              <w:bottom w:val="single" w:sz="8" w:space="0" w:color="auto"/>
              <w:right w:val="single" w:sz="8" w:space="0" w:color="auto"/>
            </w:tcBorders>
            <w:shd w:val="clear" w:color="auto" w:fill="auto"/>
            <w:vAlign w:val="bottom"/>
          </w:tcPr>
          <w:p w14:paraId="5286DAED" w14:textId="77777777" w:rsidR="00A52778" w:rsidRPr="00460F9E" w:rsidRDefault="00A52778" w:rsidP="00FC3F8E">
            <w:pPr>
              <w:spacing w:line="0" w:lineRule="atLeast"/>
              <w:rPr>
                <w:rFonts w:eastAsia="Times New Roman" w:cs="Times New Roman"/>
                <w:b/>
                <w:sz w:val="5"/>
              </w:rPr>
            </w:pPr>
          </w:p>
        </w:tc>
        <w:tc>
          <w:tcPr>
            <w:tcW w:w="1300" w:type="dxa"/>
            <w:tcBorders>
              <w:bottom w:val="single" w:sz="8" w:space="0" w:color="auto"/>
              <w:right w:val="single" w:sz="8" w:space="0" w:color="auto"/>
            </w:tcBorders>
            <w:shd w:val="clear" w:color="auto" w:fill="auto"/>
            <w:vAlign w:val="bottom"/>
          </w:tcPr>
          <w:p w14:paraId="1A899F3A" w14:textId="77777777" w:rsidR="00A52778" w:rsidRPr="00460F9E" w:rsidRDefault="00A52778" w:rsidP="00FC3F8E">
            <w:pPr>
              <w:spacing w:line="0" w:lineRule="atLeast"/>
              <w:rPr>
                <w:rFonts w:eastAsia="Times New Roman" w:cs="Times New Roman"/>
                <w:b/>
                <w:sz w:val="5"/>
              </w:rPr>
            </w:pPr>
          </w:p>
        </w:tc>
        <w:tc>
          <w:tcPr>
            <w:tcW w:w="920" w:type="dxa"/>
            <w:tcBorders>
              <w:bottom w:val="single" w:sz="8" w:space="0" w:color="auto"/>
            </w:tcBorders>
            <w:shd w:val="clear" w:color="auto" w:fill="auto"/>
            <w:vAlign w:val="bottom"/>
          </w:tcPr>
          <w:p w14:paraId="2CAE217A" w14:textId="77777777" w:rsidR="00A52778" w:rsidRPr="00460F9E" w:rsidRDefault="00A52778" w:rsidP="00FC3F8E">
            <w:pPr>
              <w:spacing w:line="0" w:lineRule="atLeast"/>
              <w:rPr>
                <w:rFonts w:eastAsia="Times New Roman" w:cs="Times New Roman"/>
                <w:b/>
                <w:sz w:val="5"/>
              </w:rPr>
            </w:pPr>
          </w:p>
        </w:tc>
        <w:tc>
          <w:tcPr>
            <w:tcW w:w="500" w:type="dxa"/>
            <w:tcBorders>
              <w:bottom w:val="single" w:sz="8" w:space="0" w:color="auto"/>
            </w:tcBorders>
            <w:shd w:val="clear" w:color="auto" w:fill="auto"/>
            <w:vAlign w:val="bottom"/>
          </w:tcPr>
          <w:p w14:paraId="2F472202" w14:textId="77777777" w:rsidR="00A52778" w:rsidRPr="00460F9E" w:rsidRDefault="00A52778" w:rsidP="00FC3F8E">
            <w:pPr>
              <w:spacing w:line="0" w:lineRule="atLeast"/>
              <w:rPr>
                <w:rFonts w:eastAsia="Times New Roman" w:cs="Times New Roman"/>
                <w:b/>
                <w:sz w:val="5"/>
              </w:rPr>
            </w:pPr>
          </w:p>
        </w:tc>
        <w:tc>
          <w:tcPr>
            <w:tcW w:w="420" w:type="dxa"/>
            <w:tcBorders>
              <w:bottom w:val="single" w:sz="8" w:space="0" w:color="auto"/>
              <w:right w:val="single" w:sz="8" w:space="0" w:color="auto"/>
            </w:tcBorders>
            <w:shd w:val="clear" w:color="auto" w:fill="auto"/>
            <w:vAlign w:val="bottom"/>
          </w:tcPr>
          <w:p w14:paraId="56F074A7" w14:textId="77777777" w:rsidR="00A52778" w:rsidRPr="00460F9E" w:rsidRDefault="00A52778" w:rsidP="00FC3F8E">
            <w:pPr>
              <w:spacing w:line="0" w:lineRule="atLeast"/>
              <w:rPr>
                <w:rFonts w:eastAsia="Times New Roman" w:cs="Times New Roman"/>
                <w:b/>
                <w:sz w:val="5"/>
              </w:rPr>
            </w:pPr>
          </w:p>
        </w:tc>
        <w:tc>
          <w:tcPr>
            <w:tcW w:w="3400" w:type="dxa"/>
            <w:gridSpan w:val="6"/>
            <w:vMerge/>
            <w:tcBorders>
              <w:right w:val="single" w:sz="8" w:space="0" w:color="auto"/>
            </w:tcBorders>
            <w:shd w:val="clear" w:color="auto" w:fill="auto"/>
            <w:vAlign w:val="bottom"/>
          </w:tcPr>
          <w:p w14:paraId="61B800E9" w14:textId="77777777" w:rsidR="00A52778" w:rsidRPr="00460F9E" w:rsidRDefault="00A52778" w:rsidP="00FC3F8E">
            <w:pPr>
              <w:spacing w:line="0" w:lineRule="atLeast"/>
              <w:ind w:left="100"/>
              <w:rPr>
                <w:rFonts w:eastAsia="Times New Roman" w:cs="Times New Roman"/>
                <w:b/>
                <w:sz w:val="12"/>
              </w:rPr>
            </w:pPr>
          </w:p>
        </w:tc>
      </w:tr>
      <w:tr w:rsidR="00A52778" w:rsidRPr="00460F9E" w14:paraId="2E1D1522" w14:textId="77777777" w:rsidTr="00FC3F8E">
        <w:trPr>
          <w:trHeight w:val="523"/>
        </w:trPr>
        <w:tc>
          <w:tcPr>
            <w:tcW w:w="380" w:type="dxa"/>
            <w:tcBorders>
              <w:left w:val="single" w:sz="8" w:space="0" w:color="auto"/>
              <w:bottom w:val="single" w:sz="8" w:space="0" w:color="auto"/>
              <w:right w:val="single" w:sz="8" w:space="0" w:color="auto"/>
            </w:tcBorders>
            <w:shd w:val="clear" w:color="auto" w:fill="auto"/>
            <w:vAlign w:val="center"/>
          </w:tcPr>
          <w:p w14:paraId="246E3632"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c.</w:t>
            </w:r>
          </w:p>
        </w:tc>
        <w:tc>
          <w:tcPr>
            <w:tcW w:w="1840" w:type="dxa"/>
            <w:tcBorders>
              <w:bottom w:val="single" w:sz="8" w:space="0" w:color="auto"/>
              <w:right w:val="single" w:sz="8" w:space="0" w:color="auto"/>
            </w:tcBorders>
            <w:shd w:val="clear" w:color="auto" w:fill="auto"/>
            <w:vAlign w:val="center"/>
          </w:tcPr>
          <w:p w14:paraId="3321D87C"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Yoğuşturma</w:t>
            </w:r>
          </w:p>
        </w:tc>
        <w:tc>
          <w:tcPr>
            <w:tcW w:w="1300" w:type="dxa"/>
            <w:tcBorders>
              <w:bottom w:val="single" w:sz="8" w:space="0" w:color="auto"/>
              <w:right w:val="single" w:sz="8" w:space="0" w:color="auto"/>
            </w:tcBorders>
            <w:shd w:val="clear" w:color="auto" w:fill="auto"/>
            <w:vAlign w:val="center"/>
          </w:tcPr>
          <w:p w14:paraId="347AC8FE" w14:textId="77777777" w:rsidR="00A52778" w:rsidRPr="00460F9E" w:rsidRDefault="00A52778" w:rsidP="00FC3F8E">
            <w:pPr>
              <w:spacing w:line="0" w:lineRule="atLeast"/>
              <w:jc w:val="center"/>
              <w:rPr>
                <w:rFonts w:eastAsia="Times New Roman" w:cs="Times New Roman"/>
                <w:b/>
                <w:w w:val="99"/>
                <w:sz w:val="12"/>
              </w:rPr>
            </w:pPr>
            <w:r w:rsidRPr="00460F9E">
              <w:rPr>
                <w:rFonts w:eastAsia="Times New Roman" w:cs="Times New Roman"/>
                <w:w w:val="99"/>
              </w:rPr>
              <w:t>H</w:t>
            </w:r>
            <w:r w:rsidRPr="00460F9E">
              <w:rPr>
                <w:rFonts w:eastAsia="Times New Roman" w:cs="Times New Roman"/>
                <w:w w:val="99"/>
                <w:sz w:val="12"/>
              </w:rPr>
              <w:t>2</w:t>
            </w:r>
            <w:r w:rsidRPr="00460F9E">
              <w:rPr>
                <w:rFonts w:eastAsia="Times New Roman" w:cs="Times New Roman"/>
                <w:w w:val="99"/>
              </w:rPr>
              <w:t>S, CS</w:t>
            </w:r>
            <w:r w:rsidRPr="00460F9E">
              <w:rPr>
                <w:rFonts w:eastAsia="Times New Roman" w:cs="Times New Roman"/>
                <w:w w:val="99"/>
                <w:sz w:val="12"/>
              </w:rPr>
              <w:t>2</w:t>
            </w:r>
          </w:p>
        </w:tc>
        <w:tc>
          <w:tcPr>
            <w:tcW w:w="1840" w:type="dxa"/>
            <w:gridSpan w:val="3"/>
            <w:tcBorders>
              <w:bottom w:val="single" w:sz="8" w:space="0" w:color="auto"/>
              <w:right w:val="single" w:sz="8" w:space="0" w:color="auto"/>
            </w:tcBorders>
            <w:shd w:val="clear" w:color="auto" w:fill="auto"/>
            <w:vAlign w:val="center"/>
          </w:tcPr>
          <w:p w14:paraId="657D77BC"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400" w:type="dxa"/>
            <w:gridSpan w:val="6"/>
            <w:vMerge/>
            <w:tcBorders>
              <w:bottom w:val="single" w:sz="8" w:space="0" w:color="auto"/>
              <w:right w:val="single" w:sz="8" w:space="0" w:color="auto"/>
            </w:tcBorders>
            <w:shd w:val="clear" w:color="auto" w:fill="auto"/>
            <w:vAlign w:val="bottom"/>
          </w:tcPr>
          <w:p w14:paraId="196761BB" w14:textId="77777777" w:rsidR="00A52778" w:rsidRPr="00460F9E" w:rsidRDefault="00A52778" w:rsidP="00FC3F8E">
            <w:pPr>
              <w:spacing w:line="0" w:lineRule="atLeast"/>
              <w:ind w:left="100"/>
              <w:rPr>
                <w:rFonts w:eastAsia="Times New Roman" w:cs="Times New Roman"/>
                <w:b/>
                <w:sz w:val="12"/>
              </w:rPr>
            </w:pPr>
          </w:p>
        </w:tc>
      </w:tr>
      <w:tr w:rsidR="00A52778" w:rsidRPr="00460F9E" w14:paraId="664052FF" w14:textId="77777777" w:rsidTr="00FC3F8E">
        <w:trPr>
          <w:trHeight w:val="274"/>
        </w:trPr>
        <w:tc>
          <w:tcPr>
            <w:tcW w:w="380" w:type="dxa"/>
            <w:tcBorders>
              <w:left w:val="single" w:sz="8" w:space="0" w:color="auto"/>
              <w:right w:val="single" w:sz="8" w:space="0" w:color="auto"/>
            </w:tcBorders>
            <w:shd w:val="clear" w:color="auto" w:fill="auto"/>
            <w:vAlign w:val="bottom"/>
          </w:tcPr>
          <w:p w14:paraId="2CC076CB" w14:textId="77777777" w:rsidR="00A52778" w:rsidRPr="00460F9E" w:rsidRDefault="00A52778" w:rsidP="00FC3F8E">
            <w:pPr>
              <w:spacing w:line="0" w:lineRule="atLeast"/>
              <w:rPr>
                <w:rFonts w:eastAsia="Times New Roman" w:cs="Times New Roman"/>
                <w:b/>
                <w:sz w:val="23"/>
              </w:rPr>
            </w:pPr>
          </w:p>
        </w:tc>
        <w:tc>
          <w:tcPr>
            <w:tcW w:w="1840" w:type="dxa"/>
            <w:tcBorders>
              <w:right w:val="single" w:sz="8" w:space="0" w:color="auto"/>
            </w:tcBorders>
            <w:shd w:val="clear" w:color="auto" w:fill="auto"/>
            <w:vAlign w:val="bottom"/>
          </w:tcPr>
          <w:p w14:paraId="6E9A217C" w14:textId="77777777" w:rsidR="00A52778" w:rsidRPr="00460F9E" w:rsidRDefault="00A52778" w:rsidP="00FC3F8E">
            <w:pPr>
              <w:spacing w:line="0" w:lineRule="atLeast"/>
              <w:rPr>
                <w:rFonts w:eastAsia="Times New Roman" w:cs="Times New Roman"/>
                <w:b/>
                <w:sz w:val="23"/>
              </w:rPr>
            </w:pPr>
          </w:p>
        </w:tc>
        <w:tc>
          <w:tcPr>
            <w:tcW w:w="1300" w:type="dxa"/>
            <w:tcBorders>
              <w:right w:val="single" w:sz="8" w:space="0" w:color="auto"/>
            </w:tcBorders>
            <w:shd w:val="clear" w:color="auto" w:fill="auto"/>
            <w:vAlign w:val="bottom"/>
          </w:tcPr>
          <w:p w14:paraId="2A0386C9" w14:textId="77777777" w:rsidR="00A52778" w:rsidRPr="00460F9E" w:rsidRDefault="00A52778" w:rsidP="00FC3F8E">
            <w:pPr>
              <w:spacing w:line="0" w:lineRule="atLeast"/>
              <w:rPr>
                <w:rFonts w:eastAsia="Times New Roman" w:cs="Times New Roman"/>
                <w:b/>
                <w:sz w:val="23"/>
              </w:rPr>
            </w:pPr>
          </w:p>
        </w:tc>
        <w:tc>
          <w:tcPr>
            <w:tcW w:w="1840" w:type="dxa"/>
            <w:gridSpan w:val="3"/>
            <w:vMerge w:val="restart"/>
            <w:tcBorders>
              <w:right w:val="single" w:sz="8" w:space="0" w:color="auto"/>
            </w:tcBorders>
            <w:shd w:val="clear" w:color="auto" w:fill="auto"/>
            <w:vAlign w:val="center"/>
          </w:tcPr>
          <w:p w14:paraId="6456A6DB"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w:t>
            </w:r>
            <w:r w:rsidRPr="00460F9E">
              <w:rPr>
                <w:rFonts w:eastAsia="Times New Roman" w:cs="Times New Roman"/>
                <w:bCs/>
              </w:rPr>
              <w:t>CS</w:t>
            </w:r>
            <w:r w:rsidRPr="00460F9E">
              <w:rPr>
                <w:rFonts w:eastAsia="Times New Roman" w:cs="Times New Roman"/>
                <w:bCs/>
                <w:vertAlign w:val="subscript"/>
              </w:rPr>
              <w:t>2</w:t>
            </w:r>
            <w:r w:rsidRPr="00460F9E">
              <w:rPr>
                <w:rFonts w:eastAsia="Times New Roman" w:cs="Times New Roman"/>
              </w:rPr>
              <w:t xml:space="preserve"> ve </w:t>
            </w:r>
            <w:r w:rsidRPr="00460F9E">
              <w:rPr>
                <w:rFonts w:eastAsia="Times New Roman" w:cs="Times New Roman"/>
                <w:bCs/>
              </w:rPr>
              <w:t>H</w:t>
            </w:r>
            <w:r w:rsidRPr="00460F9E">
              <w:rPr>
                <w:rFonts w:eastAsia="Times New Roman" w:cs="Times New Roman"/>
                <w:bCs/>
                <w:vertAlign w:val="subscript"/>
              </w:rPr>
              <w:t>2</w:t>
            </w:r>
            <w:r w:rsidRPr="00460F9E">
              <w:rPr>
                <w:rFonts w:eastAsia="Times New Roman" w:cs="Times New Roman"/>
                <w:bCs/>
              </w:rPr>
              <w:t>S</w:t>
            </w:r>
            <w:r w:rsidRPr="00460F9E">
              <w:rPr>
                <w:rFonts w:eastAsia="Times New Roman" w:cs="Times New Roman"/>
              </w:rPr>
              <w:t xml:space="preserve"> içeren </w:t>
            </w:r>
          </w:p>
          <w:p w14:paraId="6B4C1797"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proses çıkış gazları </w:t>
            </w:r>
          </w:p>
          <w:p w14:paraId="6131FB9B"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sülfürik asit üretmek </w:t>
            </w:r>
          </w:p>
          <w:p w14:paraId="558E5DF9"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için kullanılır.</w:t>
            </w:r>
          </w:p>
        </w:tc>
        <w:tc>
          <w:tcPr>
            <w:tcW w:w="1120" w:type="dxa"/>
            <w:tcBorders>
              <w:left w:val="single" w:sz="8" w:space="0" w:color="auto"/>
            </w:tcBorders>
            <w:shd w:val="clear" w:color="auto" w:fill="auto"/>
            <w:vAlign w:val="bottom"/>
          </w:tcPr>
          <w:p w14:paraId="51B7EC2D" w14:textId="77777777" w:rsidR="00A52778" w:rsidRPr="00460F9E" w:rsidRDefault="00A52778" w:rsidP="00FC3F8E">
            <w:pPr>
              <w:spacing w:line="0" w:lineRule="atLeast"/>
              <w:rPr>
                <w:rFonts w:eastAsia="Times New Roman" w:cs="Times New Roman"/>
                <w:b/>
                <w:sz w:val="23"/>
              </w:rPr>
            </w:pPr>
          </w:p>
        </w:tc>
        <w:tc>
          <w:tcPr>
            <w:tcW w:w="500" w:type="dxa"/>
            <w:shd w:val="clear" w:color="auto" w:fill="auto"/>
            <w:vAlign w:val="bottom"/>
          </w:tcPr>
          <w:p w14:paraId="17EC6892" w14:textId="77777777" w:rsidR="00A52778" w:rsidRPr="00460F9E" w:rsidRDefault="00A52778" w:rsidP="00FC3F8E">
            <w:pPr>
              <w:spacing w:line="0" w:lineRule="atLeast"/>
              <w:rPr>
                <w:rFonts w:eastAsia="Times New Roman" w:cs="Times New Roman"/>
                <w:b/>
                <w:sz w:val="23"/>
              </w:rPr>
            </w:pPr>
          </w:p>
        </w:tc>
        <w:tc>
          <w:tcPr>
            <w:tcW w:w="300" w:type="dxa"/>
            <w:shd w:val="clear" w:color="auto" w:fill="auto"/>
            <w:vAlign w:val="bottom"/>
          </w:tcPr>
          <w:p w14:paraId="637463EE" w14:textId="77777777" w:rsidR="00A52778" w:rsidRPr="00460F9E" w:rsidRDefault="00A52778" w:rsidP="00FC3F8E">
            <w:pPr>
              <w:spacing w:line="0" w:lineRule="atLeast"/>
              <w:rPr>
                <w:rFonts w:eastAsia="Times New Roman" w:cs="Times New Roman"/>
                <w:b/>
                <w:sz w:val="23"/>
              </w:rPr>
            </w:pPr>
          </w:p>
        </w:tc>
        <w:tc>
          <w:tcPr>
            <w:tcW w:w="460" w:type="dxa"/>
            <w:shd w:val="clear" w:color="auto" w:fill="auto"/>
            <w:vAlign w:val="bottom"/>
          </w:tcPr>
          <w:p w14:paraId="032A98D3" w14:textId="77777777" w:rsidR="00A52778" w:rsidRPr="00460F9E" w:rsidRDefault="00A52778" w:rsidP="00FC3F8E">
            <w:pPr>
              <w:spacing w:line="0" w:lineRule="atLeast"/>
              <w:rPr>
                <w:rFonts w:eastAsia="Times New Roman" w:cs="Times New Roman"/>
                <w:b/>
                <w:sz w:val="23"/>
              </w:rPr>
            </w:pPr>
          </w:p>
        </w:tc>
        <w:tc>
          <w:tcPr>
            <w:tcW w:w="520" w:type="dxa"/>
            <w:shd w:val="clear" w:color="auto" w:fill="auto"/>
            <w:vAlign w:val="bottom"/>
          </w:tcPr>
          <w:p w14:paraId="143597B1" w14:textId="77777777" w:rsidR="00A52778" w:rsidRPr="00460F9E" w:rsidRDefault="00A52778" w:rsidP="00FC3F8E">
            <w:pPr>
              <w:spacing w:line="0" w:lineRule="atLeast"/>
              <w:rPr>
                <w:rFonts w:eastAsia="Times New Roman" w:cs="Times New Roman"/>
                <w:b/>
                <w:sz w:val="23"/>
              </w:rPr>
            </w:pPr>
          </w:p>
        </w:tc>
        <w:tc>
          <w:tcPr>
            <w:tcW w:w="500" w:type="dxa"/>
            <w:tcBorders>
              <w:right w:val="single" w:sz="8" w:space="0" w:color="auto"/>
            </w:tcBorders>
            <w:shd w:val="clear" w:color="auto" w:fill="auto"/>
            <w:vAlign w:val="bottom"/>
          </w:tcPr>
          <w:p w14:paraId="67092E41" w14:textId="77777777" w:rsidR="00A52778" w:rsidRPr="00460F9E" w:rsidRDefault="00A52778" w:rsidP="00FC3F8E">
            <w:pPr>
              <w:spacing w:line="0" w:lineRule="atLeast"/>
              <w:rPr>
                <w:rFonts w:eastAsia="Times New Roman" w:cs="Times New Roman"/>
                <w:b/>
                <w:sz w:val="23"/>
              </w:rPr>
            </w:pPr>
          </w:p>
        </w:tc>
      </w:tr>
      <w:tr w:rsidR="00A52778" w:rsidRPr="00460F9E" w14:paraId="0203C76C" w14:textId="77777777" w:rsidTr="00FC3F8E">
        <w:trPr>
          <w:trHeight w:val="231"/>
        </w:trPr>
        <w:tc>
          <w:tcPr>
            <w:tcW w:w="380" w:type="dxa"/>
            <w:tcBorders>
              <w:left w:val="single" w:sz="8" w:space="0" w:color="auto"/>
              <w:right w:val="single" w:sz="8" w:space="0" w:color="auto"/>
            </w:tcBorders>
            <w:shd w:val="clear" w:color="auto" w:fill="auto"/>
            <w:vAlign w:val="bottom"/>
          </w:tcPr>
          <w:p w14:paraId="4CBCE33E" w14:textId="77777777" w:rsidR="00A52778" w:rsidRPr="00460F9E" w:rsidRDefault="00A52778" w:rsidP="00FC3F8E">
            <w:pPr>
              <w:spacing w:line="0" w:lineRule="atLeast"/>
              <w:rPr>
                <w:rFonts w:eastAsia="Times New Roman" w:cs="Times New Roman"/>
                <w:b/>
              </w:rPr>
            </w:pPr>
          </w:p>
        </w:tc>
        <w:tc>
          <w:tcPr>
            <w:tcW w:w="1840" w:type="dxa"/>
            <w:vMerge w:val="restart"/>
            <w:tcBorders>
              <w:right w:val="single" w:sz="8" w:space="0" w:color="auto"/>
            </w:tcBorders>
            <w:shd w:val="clear" w:color="auto" w:fill="auto"/>
            <w:vAlign w:val="bottom"/>
          </w:tcPr>
          <w:p w14:paraId="05669CDD"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Sülfürik asit</w:t>
            </w:r>
          </w:p>
        </w:tc>
        <w:tc>
          <w:tcPr>
            <w:tcW w:w="1300" w:type="dxa"/>
            <w:tcBorders>
              <w:right w:val="single" w:sz="8" w:space="0" w:color="auto"/>
            </w:tcBorders>
            <w:shd w:val="clear" w:color="auto" w:fill="auto"/>
            <w:vAlign w:val="bottom"/>
          </w:tcPr>
          <w:p w14:paraId="4C9C8DDF" w14:textId="77777777" w:rsidR="00A52778" w:rsidRPr="00460F9E" w:rsidRDefault="00A52778" w:rsidP="00FC3F8E">
            <w:pPr>
              <w:spacing w:line="0" w:lineRule="atLeast"/>
              <w:rPr>
                <w:rFonts w:eastAsia="Times New Roman" w:cs="Times New Roman"/>
                <w:b/>
              </w:rPr>
            </w:pPr>
          </w:p>
        </w:tc>
        <w:tc>
          <w:tcPr>
            <w:tcW w:w="1840" w:type="dxa"/>
            <w:gridSpan w:val="3"/>
            <w:vMerge/>
            <w:tcBorders>
              <w:right w:val="single" w:sz="8" w:space="0" w:color="auto"/>
            </w:tcBorders>
            <w:shd w:val="clear" w:color="auto" w:fill="auto"/>
            <w:vAlign w:val="bottom"/>
          </w:tcPr>
          <w:p w14:paraId="2CFB77B5" w14:textId="77777777" w:rsidR="00A52778" w:rsidRPr="00460F9E" w:rsidRDefault="00A52778" w:rsidP="00FC3F8E">
            <w:pPr>
              <w:spacing w:line="0" w:lineRule="atLeast"/>
              <w:rPr>
                <w:rFonts w:eastAsia="Times New Roman" w:cs="Times New Roman"/>
                <w:b/>
                <w:w w:val="96"/>
              </w:rPr>
            </w:pPr>
          </w:p>
        </w:tc>
        <w:tc>
          <w:tcPr>
            <w:tcW w:w="3400" w:type="dxa"/>
            <w:gridSpan w:val="6"/>
            <w:vMerge w:val="restart"/>
            <w:tcBorders>
              <w:left w:val="single" w:sz="8" w:space="0" w:color="auto"/>
              <w:right w:val="single" w:sz="8" w:space="0" w:color="auto"/>
            </w:tcBorders>
            <w:shd w:val="clear" w:color="auto" w:fill="auto"/>
            <w:vAlign w:val="center"/>
          </w:tcPr>
          <w:p w14:paraId="462C3079"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Atık gazdaki </w:t>
            </w:r>
            <w:r w:rsidRPr="00460F9E">
              <w:rPr>
                <w:rFonts w:eastAsia="Times New Roman" w:cs="Times New Roman"/>
                <w:bCs/>
              </w:rPr>
              <w:t>CS</w:t>
            </w:r>
            <w:r w:rsidRPr="00460F9E">
              <w:rPr>
                <w:rFonts w:eastAsia="Times New Roman" w:cs="Times New Roman"/>
                <w:bCs/>
                <w:vertAlign w:val="subscript"/>
              </w:rPr>
              <w:t>2</w:t>
            </w:r>
            <w:r w:rsidRPr="00460F9E">
              <w:rPr>
                <w:rFonts w:eastAsia="Times New Roman" w:cs="Times New Roman"/>
              </w:rPr>
              <w:t xml:space="preserve"> ve/veya </w:t>
            </w:r>
            <w:r w:rsidRPr="00460F9E">
              <w:rPr>
                <w:rFonts w:eastAsia="Times New Roman" w:cs="Times New Roman"/>
                <w:bCs/>
              </w:rPr>
              <w:t>H</w:t>
            </w:r>
            <w:r w:rsidRPr="00460F9E">
              <w:rPr>
                <w:rFonts w:eastAsia="Times New Roman" w:cs="Times New Roman"/>
                <w:bCs/>
                <w:vertAlign w:val="subscript"/>
              </w:rPr>
              <w:t>2</w:t>
            </w:r>
            <w:r w:rsidRPr="00460F9E">
              <w:rPr>
                <w:rFonts w:eastAsia="Times New Roman" w:cs="Times New Roman"/>
                <w:bCs/>
              </w:rPr>
              <w:t>S</w:t>
            </w:r>
            <w:r w:rsidRPr="00460F9E">
              <w:rPr>
                <w:rFonts w:eastAsia="Times New Roman" w:cs="Times New Roman"/>
              </w:rPr>
              <w:t xml:space="preserve"> </w:t>
            </w:r>
          </w:p>
          <w:p w14:paraId="284C6401"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konsantrasyonu 5 g/ Nm</w:t>
            </w:r>
            <w:r w:rsidRPr="00460F9E">
              <w:rPr>
                <w:rFonts w:eastAsia="Times New Roman" w:cs="Times New Roman"/>
                <w:vertAlign w:val="superscript"/>
              </w:rPr>
              <w:t>3</w:t>
            </w:r>
            <w:r w:rsidRPr="00460F9E">
              <w:rPr>
                <w:rFonts w:eastAsia="Times New Roman" w:cs="Times New Roman"/>
              </w:rPr>
              <w:t xml:space="preserve">' ün altındaysa </w:t>
            </w:r>
          </w:p>
          <w:p w14:paraId="15A5503C"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uygulanabilirliği kısıtlanabilir.</w:t>
            </w:r>
          </w:p>
        </w:tc>
      </w:tr>
      <w:tr w:rsidR="00A52778" w:rsidRPr="00460F9E" w14:paraId="7DC182FE" w14:textId="77777777" w:rsidTr="00FC3F8E">
        <w:trPr>
          <w:trHeight w:val="388"/>
        </w:trPr>
        <w:tc>
          <w:tcPr>
            <w:tcW w:w="380" w:type="dxa"/>
            <w:vMerge w:val="restart"/>
            <w:tcBorders>
              <w:left w:val="single" w:sz="8" w:space="0" w:color="auto"/>
              <w:right w:val="single" w:sz="8" w:space="0" w:color="auto"/>
            </w:tcBorders>
            <w:shd w:val="clear" w:color="auto" w:fill="auto"/>
            <w:vAlign w:val="bottom"/>
          </w:tcPr>
          <w:p w14:paraId="6606217F" w14:textId="77777777" w:rsidR="00A52778" w:rsidRPr="00460F9E" w:rsidRDefault="00A52778" w:rsidP="00FC3F8E">
            <w:pPr>
              <w:spacing w:line="228" w:lineRule="exact"/>
              <w:ind w:left="100"/>
              <w:rPr>
                <w:rFonts w:eastAsia="Times New Roman" w:cs="Times New Roman"/>
                <w:b/>
              </w:rPr>
            </w:pPr>
            <w:r>
              <w:rPr>
                <w:rFonts w:eastAsia="Times New Roman" w:cs="Times New Roman"/>
              </w:rPr>
              <w:t>ç</w:t>
            </w:r>
            <w:r w:rsidRPr="00460F9E">
              <w:rPr>
                <w:rFonts w:eastAsia="Times New Roman" w:cs="Times New Roman"/>
              </w:rPr>
              <w:t>.</w:t>
            </w:r>
          </w:p>
        </w:tc>
        <w:tc>
          <w:tcPr>
            <w:tcW w:w="1840" w:type="dxa"/>
            <w:vMerge/>
            <w:tcBorders>
              <w:right w:val="single" w:sz="8" w:space="0" w:color="auto"/>
            </w:tcBorders>
            <w:shd w:val="clear" w:color="auto" w:fill="auto"/>
            <w:vAlign w:val="bottom"/>
          </w:tcPr>
          <w:p w14:paraId="143FE5E0" w14:textId="77777777" w:rsidR="00A52778" w:rsidRPr="00460F9E" w:rsidRDefault="00A52778" w:rsidP="00FC3F8E">
            <w:pPr>
              <w:spacing w:line="0" w:lineRule="atLeast"/>
              <w:rPr>
                <w:rFonts w:eastAsia="Times New Roman" w:cs="Times New Roman"/>
                <w:b/>
                <w:sz w:val="9"/>
              </w:rPr>
            </w:pPr>
          </w:p>
        </w:tc>
        <w:tc>
          <w:tcPr>
            <w:tcW w:w="1300" w:type="dxa"/>
            <w:vMerge w:val="restart"/>
            <w:tcBorders>
              <w:right w:val="single" w:sz="8" w:space="0" w:color="auto"/>
            </w:tcBorders>
            <w:shd w:val="clear" w:color="auto" w:fill="auto"/>
            <w:vAlign w:val="bottom"/>
          </w:tcPr>
          <w:p w14:paraId="72627998" w14:textId="77777777" w:rsidR="00A52778" w:rsidRPr="00460F9E" w:rsidRDefault="00A52778" w:rsidP="00FC3F8E">
            <w:pPr>
              <w:spacing w:line="0" w:lineRule="atLeast"/>
              <w:jc w:val="center"/>
              <w:rPr>
                <w:rFonts w:eastAsia="Times New Roman" w:cs="Times New Roman"/>
                <w:b/>
                <w:w w:val="99"/>
                <w:sz w:val="12"/>
              </w:rPr>
            </w:pPr>
            <w:r w:rsidRPr="00460F9E">
              <w:rPr>
                <w:rFonts w:eastAsia="Times New Roman" w:cs="Times New Roman"/>
                <w:w w:val="99"/>
              </w:rPr>
              <w:t>H</w:t>
            </w:r>
            <w:r w:rsidRPr="00460F9E">
              <w:rPr>
                <w:rFonts w:eastAsia="Times New Roman" w:cs="Times New Roman"/>
                <w:w w:val="99"/>
                <w:sz w:val="12"/>
              </w:rPr>
              <w:t>2</w:t>
            </w:r>
            <w:r w:rsidRPr="00460F9E">
              <w:rPr>
                <w:rFonts w:eastAsia="Times New Roman" w:cs="Times New Roman"/>
                <w:w w:val="99"/>
              </w:rPr>
              <w:t>S, CS</w:t>
            </w:r>
            <w:r w:rsidRPr="00460F9E">
              <w:rPr>
                <w:rFonts w:eastAsia="Times New Roman" w:cs="Times New Roman"/>
                <w:w w:val="99"/>
                <w:sz w:val="12"/>
              </w:rPr>
              <w:t>2</w:t>
            </w:r>
          </w:p>
        </w:tc>
        <w:tc>
          <w:tcPr>
            <w:tcW w:w="1840" w:type="dxa"/>
            <w:gridSpan w:val="3"/>
            <w:vMerge/>
            <w:tcBorders>
              <w:right w:val="single" w:sz="8" w:space="0" w:color="auto"/>
            </w:tcBorders>
            <w:shd w:val="clear" w:color="auto" w:fill="auto"/>
            <w:vAlign w:val="bottom"/>
          </w:tcPr>
          <w:p w14:paraId="46DFB767" w14:textId="77777777" w:rsidR="00A52778" w:rsidRPr="00460F9E" w:rsidRDefault="00A52778" w:rsidP="00FC3F8E">
            <w:pPr>
              <w:spacing w:line="0" w:lineRule="atLeast"/>
              <w:rPr>
                <w:rFonts w:eastAsia="Times New Roman" w:cs="Times New Roman"/>
                <w:b/>
              </w:rPr>
            </w:pPr>
          </w:p>
        </w:tc>
        <w:tc>
          <w:tcPr>
            <w:tcW w:w="3400" w:type="dxa"/>
            <w:gridSpan w:val="6"/>
            <w:vMerge/>
            <w:tcBorders>
              <w:left w:val="single" w:sz="8" w:space="0" w:color="auto"/>
              <w:right w:val="single" w:sz="8" w:space="0" w:color="auto"/>
            </w:tcBorders>
            <w:shd w:val="clear" w:color="auto" w:fill="auto"/>
            <w:vAlign w:val="bottom"/>
          </w:tcPr>
          <w:p w14:paraId="0F8BB593" w14:textId="77777777" w:rsidR="00A52778" w:rsidRPr="00460F9E" w:rsidRDefault="00A52778" w:rsidP="00FC3F8E">
            <w:pPr>
              <w:spacing w:line="0" w:lineRule="atLeast"/>
              <w:rPr>
                <w:rFonts w:eastAsia="Times New Roman" w:cs="Times New Roman"/>
                <w:b/>
              </w:rPr>
            </w:pPr>
          </w:p>
        </w:tc>
      </w:tr>
      <w:tr w:rsidR="00A52778" w:rsidRPr="00460F9E" w14:paraId="03981744" w14:textId="77777777" w:rsidTr="00FC3F8E">
        <w:trPr>
          <w:trHeight w:val="275"/>
        </w:trPr>
        <w:tc>
          <w:tcPr>
            <w:tcW w:w="380" w:type="dxa"/>
            <w:vMerge/>
            <w:tcBorders>
              <w:left w:val="single" w:sz="8" w:space="0" w:color="auto"/>
              <w:right w:val="single" w:sz="8" w:space="0" w:color="auto"/>
            </w:tcBorders>
            <w:shd w:val="clear" w:color="auto" w:fill="auto"/>
            <w:vAlign w:val="bottom"/>
          </w:tcPr>
          <w:p w14:paraId="03CB4C21" w14:textId="77777777" w:rsidR="00A52778" w:rsidRPr="00460F9E" w:rsidRDefault="00A52778" w:rsidP="00FC3F8E">
            <w:pPr>
              <w:spacing w:line="0" w:lineRule="atLeast"/>
              <w:rPr>
                <w:rFonts w:eastAsia="Times New Roman" w:cs="Times New Roman"/>
                <w:b/>
                <w:sz w:val="10"/>
              </w:rPr>
            </w:pPr>
          </w:p>
        </w:tc>
        <w:tc>
          <w:tcPr>
            <w:tcW w:w="1840" w:type="dxa"/>
            <w:vMerge w:val="restart"/>
            <w:tcBorders>
              <w:right w:val="single" w:sz="8" w:space="0" w:color="auto"/>
            </w:tcBorders>
            <w:shd w:val="clear" w:color="auto" w:fill="auto"/>
            <w:vAlign w:val="bottom"/>
          </w:tcPr>
          <w:p w14:paraId="29343939"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üretimi</w:t>
            </w:r>
          </w:p>
        </w:tc>
        <w:tc>
          <w:tcPr>
            <w:tcW w:w="1300" w:type="dxa"/>
            <w:vMerge/>
            <w:tcBorders>
              <w:right w:val="single" w:sz="8" w:space="0" w:color="auto"/>
            </w:tcBorders>
            <w:shd w:val="clear" w:color="auto" w:fill="auto"/>
            <w:vAlign w:val="bottom"/>
          </w:tcPr>
          <w:p w14:paraId="53841221" w14:textId="77777777" w:rsidR="00A52778" w:rsidRPr="00460F9E" w:rsidRDefault="00A52778" w:rsidP="00FC3F8E">
            <w:pPr>
              <w:spacing w:line="0" w:lineRule="atLeast"/>
              <w:rPr>
                <w:rFonts w:eastAsia="Times New Roman" w:cs="Times New Roman"/>
                <w:b/>
                <w:sz w:val="10"/>
              </w:rPr>
            </w:pPr>
          </w:p>
        </w:tc>
        <w:tc>
          <w:tcPr>
            <w:tcW w:w="1840" w:type="dxa"/>
            <w:gridSpan w:val="3"/>
            <w:vMerge/>
            <w:tcBorders>
              <w:right w:val="single" w:sz="8" w:space="0" w:color="auto"/>
            </w:tcBorders>
            <w:shd w:val="clear" w:color="auto" w:fill="auto"/>
            <w:vAlign w:val="bottom"/>
          </w:tcPr>
          <w:p w14:paraId="0CB84E57" w14:textId="77777777" w:rsidR="00A52778" w:rsidRPr="00460F9E" w:rsidRDefault="00A52778" w:rsidP="00FC3F8E">
            <w:pPr>
              <w:spacing w:line="0" w:lineRule="atLeast"/>
              <w:rPr>
                <w:rFonts w:eastAsia="Times New Roman" w:cs="Times New Roman"/>
                <w:b/>
                <w:sz w:val="10"/>
              </w:rPr>
            </w:pPr>
          </w:p>
        </w:tc>
        <w:tc>
          <w:tcPr>
            <w:tcW w:w="3400" w:type="dxa"/>
            <w:gridSpan w:val="6"/>
            <w:vMerge/>
            <w:tcBorders>
              <w:left w:val="single" w:sz="8" w:space="0" w:color="auto"/>
              <w:right w:val="single" w:sz="8" w:space="0" w:color="auto"/>
            </w:tcBorders>
            <w:shd w:val="clear" w:color="auto" w:fill="auto"/>
            <w:vAlign w:val="bottom"/>
          </w:tcPr>
          <w:p w14:paraId="15A2049F" w14:textId="77777777" w:rsidR="00A52778" w:rsidRPr="00460F9E" w:rsidRDefault="00A52778" w:rsidP="00FC3F8E">
            <w:pPr>
              <w:spacing w:line="0" w:lineRule="atLeast"/>
              <w:rPr>
                <w:rFonts w:eastAsia="Times New Roman" w:cs="Times New Roman"/>
                <w:b/>
                <w:sz w:val="10"/>
              </w:rPr>
            </w:pPr>
          </w:p>
        </w:tc>
      </w:tr>
      <w:tr w:rsidR="00A52778" w:rsidRPr="00460F9E" w14:paraId="781A2B2B" w14:textId="77777777" w:rsidTr="00FC3F8E">
        <w:trPr>
          <w:trHeight w:val="112"/>
        </w:trPr>
        <w:tc>
          <w:tcPr>
            <w:tcW w:w="380" w:type="dxa"/>
            <w:tcBorders>
              <w:left w:val="single" w:sz="8" w:space="0" w:color="auto"/>
              <w:right w:val="single" w:sz="8" w:space="0" w:color="auto"/>
            </w:tcBorders>
            <w:shd w:val="clear" w:color="auto" w:fill="auto"/>
            <w:vAlign w:val="bottom"/>
          </w:tcPr>
          <w:p w14:paraId="7CC13476" w14:textId="77777777" w:rsidR="00A52778" w:rsidRPr="00460F9E" w:rsidRDefault="00A52778" w:rsidP="00FC3F8E">
            <w:pPr>
              <w:spacing w:line="0" w:lineRule="atLeast"/>
              <w:rPr>
                <w:rFonts w:eastAsia="Times New Roman" w:cs="Times New Roman"/>
                <w:b/>
                <w:sz w:val="9"/>
              </w:rPr>
            </w:pPr>
          </w:p>
        </w:tc>
        <w:tc>
          <w:tcPr>
            <w:tcW w:w="1840" w:type="dxa"/>
            <w:vMerge/>
            <w:tcBorders>
              <w:right w:val="single" w:sz="8" w:space="0" w:color="auto"/>
            </w:tcBorders>
            <w:shd w:val="clear" w:color="auto" w:fill="auto"/>
            <w:vAlign w:val="bottom"/>
          </w:tcPr>
          <w:p w14:paraId="1B068BE1" w14:textId="77777777" w:rsidR="00A52778" w:rsidRPr="00460F9E" w:rsidRDefault="00A52778" w:rsidP="00FC3F8E">
            <w:pPr>
              <w:spacing w:line="0" w:lineRule="atLeast"/>
              <w:rPr>
                <w:rFonts w:eastAsia="Times New Roman" w:cs="Times New Roman"/>
                <w:b/>
                <w:sz w:val="9"/>
              </w:rPr>
            </w:pPr>
          </w:p>
        </w:tc>
        <w:tc>
          <w:tcPr>
            <w:tcW w:w="1300" w:type="dxa"/>
            <w:tcBorders>
              <w:right w:val="single" w:sz="8" w:space="0" w:color="auto"/>
            </w:tcBorders>
            <w:shd w:val="clear" w:color="auto" w:fill="auto"/>
            <w:vAlign w:val="bottom"/>
          </w:tcPr>
          <w:p w14:paraId="6530F7B3" w14:textId="77777777" w:rsidR="00A52778" w:rsidRPr="00460F9E" w:rsidRDefault="00A52778" w:rsidP="00FC3F8E">
            <w:pPr>
              <w:spacing w:line="0" w:lineRule="atLeast"/>
              <w:rPr>
                <w:rFonts w:eastAsia="Times New Roman" w:cs="Times New Roman"/>
                <w:b/>
                <w:sz w:val="9"/>
              </w:rPr>
            </w:pPr>
          </w:p>
        </w:tc>
        <w:tc>
          <w:tcPr>
            <w:tcW w:w="1840" w:type="dxa"/>
            <w:gridSpan w:val="3"/>
            <w:vMerge/>
            <w:tcBorders>
              <w:right w:val="single" w:sz="8" w:space="0" w:color="auto"/>
            </w:tcBorders>
            <w:shd w:val="clear" w:color="auto" w:fill="auto"/>
            <w:vAlign w:val="bottom"/>
          </w:tcPr>
          <w:p w14:paraId="229B7A60" w14:textId="77777777" w:rsidR="00A52778" w:rsidRPr="00460F9E" w:rsidRDefault="00A52778" w:rsidP="00FC3F8E">
            <w:pPr>
              <w:spacing w:line="0" w:lineRule="atLeast"/>
              <w:rPr>
                <w:rFonts w:eastAsia="Times New Roman" w:cs="Times New Roman"/>
                <w:b/>
              </w:rPr>
            </w:pPr>
          </w:p>
        </w:tc>
        <w:tc>
          <w:tcPr>
            <w:tcW w:w="3400" w:type="dxa"/>
            <w:gridSpan w:val="6"/>
            <w:vMerge/>
            <w:tcBorders>
              <w:left w:val="single" w:sz="8" w:space="0" w:color="auto"/>
              <w:right w:val="single" w:sz="8" w:space="0" w:color="auto"/>
            </w:tcBorders>
            <w:shd w:val="clear" w:color="auto" w:fill="auto"/>
            <w:vAlign w:val="bottom"/>
          </w:tcPr>
          <w:p w14:paraId="41B28161" w14:textId="77777777" w:rsidR="00A52778" w:rsidRPr="00460F9E" w:rsidRDefault="00A52778" w:rsidP="00FC3F8E">
            <w:pPr>
              <w:spacing w:line="0" w:lineRule="atLeast"/>
              <w:rPr>
                <w:rFonts w:eastAsia="Times New Roman" w:cs="Times New Roman"/>
                <w:b/>
                <w:sz w:val="9"/>
              </w:rPr>
            </w:pPr>
          </w:p>
        </w:tc>
      </w:tr>
      <w:tr w:rsidR="00A52778" w:rsidRPr="00460F9E" w14:paraId="57DAF679" w14:textId="77777777" w:rsidTr="00FC3F8E">
        <w:trPr>
          <w:trHeight w:val="126"/>
        </w:trPr>
        <w:tc>
          <w:tcPr>
            <w:tcW w:w="380" w:type="dxa"/>
            <w:tcBorders>
              <w:left w:val="single" w:sz="8" w:space="0" w:color="auto"/>
              <w:right w:val="single" w:sz="8" w:space="0" w:color="auto"/>
            </w:tcBorders>
            <w:shd w:val="clear" w:color="auto" w:fill="auto"/>
            <w:vAlign w:val="bottom"/>
          </w:tcPr>
          <w:p w14:paraId="1EF71506" w14:textId="77777777" w:rsidR="00A52778" w:rsidRPr="00460F9E" w:rsidRDefault="00A52778" w:rsidP="00FC3F8E">
            <w:pPr>
              <w:spacing w:line="0" w:lineRule="atLeast"/>
              <w:rPr>
                <w:rFonts w:eastAsia="Times New Roman" w:cs="Times New Roman"/>
                <w:b/>
                <w:sz w:val="10"/>
              </w:rPr>
            </w:pPr>
          </w:p>
        </w:tc>
        <w:tc>
          <w:tcPr>
            <w:tcW w:w="1840" w:type="dxa"/>
            <w:tcBorders>
              <w:right w:val="single" w:sz="8" w:space="0" w:color="auto"/>
            </w:tcBorders>
            <w:shd w:val="clear" w:color="auto" w:fill="auto"/>
            <w:vAlign w:val="bottom"/>
          </w:tcPr>
          <w:p w14:paraId="07EE3929" w14:textId="77777777" w:rsidR="00A52778" w:rsidRPr="00460F9E" w:rsidRDefault="00A52778" w:rsidP="00FC3F8E">
            <w:pPr>
              <w:spacing w:line="0" w:lineRule="atLeast"/>
              <w:rPr>
                <w:rFonts w:eastAsia="Times New Roman" w:cs="Times New Roman"/>
                <w:b/>
                <w:sz w:val="10"/>
              </w:rPr>
            </w:pPr>
          </w:p>
        </w:tc>
        <w:tc>
          <w:tcPr>
            <w:tcW w:w="1300" w:type="dxa"/>
            <w:tcBorders>
              <w:right w:val="single" w:sz="8" w:space="0" w:color="auto"/>
            </w:tcBorders>
            <w:shd w:val="clear" w:color="auto" w:fill="auto"/>
            <w:vAlign w:val="bottom"/>
          </w:tcPr>
          <w:p w14:paraId="5913934A" w14:textId="77777777" w:rsidR="00A52778" w:rsidRPr="00460F9E" w:rsidRDefault="00A52778" w:rsidP="00FC3F8E">
            <w:pPr>
              <w:spacing w:line="0" w:lineRule="atLeast"/>
              <w:rPr>
                <w:rFonts w:eastAsia="Times New Roman" w:cs="Times New Roman"/>
                <w:b/>
                <w:sz w:val="10"/>
              </w:rPr>
            </w:pPr>
          </w:p>
        </w:tc>
        <w:tc>
          <w:tcPr>
            <w:tcW w:w="1840" w:type="dxa"/>
            <w:gridSpan w:val="3"/>
            <w:vMerge/>
            <w:tcBorders>
              <w:right w:val="single" w:sz="8" w:space="0" w:color="auto"/>
            </w:tcBorders>
            <w:shd w:val="clear" w:color="auto" w:fill="auto"/>
            <w:vAlign w:val="bottom"/>
          </w:tcPr>
          <w:p w14:paraId="5F065CF7" w14:textId="77777777" w:rsidR="00A52778" w:rsidRPr="00460F9E" w:rsidRDefault="00A52778" w:rsidP="00FC3F8E">
            <w:pPr>
              <w:spacing w:line="0" w:lineRule="atLeast"/>
              <w:rPr>
                <w:rFonts w:eastAsia="Times New Roman" w:cs="Times New Roman"/>
                <w:b/>
                <w:sz w:val="10"/>
              </w:rPr>
            </w:pPr>
          </w:p>
        </w:tc>
        <w:tc>
          <w:tcPr>
            <w:tcW w:w="3400" w:type="dxa"/>
            <w:gridSpan w:val="6"/>
            <w:vMerge/>
            <w:tcBorders>
              <w:left w:val="single" w:sz="8" w:space="0" w:color="auto"/>
              <w:right w:val="single" w:sz="8" w:space="0" w:color="auto"/>
            </w:tcBorders>
            <w:shd w:val="clear" w:color="auto" w:fill="auto"/>
            <w:vAlign w:val="bottom"/>
          </w:tcPr>
          <w:p w14:paraId="12295CD4" w14:textId="77777777" w:rsidR="00A52778" w:rsidRPr="00460F9E" w:rsidRDefault="00A52778" w:rsidP="00FC3F8E">
            <w:pPr>
              <w:spacing w:line="0" w:lineRule="atLeast"/>
              <w:rPr>
                <w:rFonts w:eastAsia="Times New Roman" w:cs="Times New Roman"/>
                <w:b/>
                <w:sz w:val="10"/>
              </w:rPr>
            </w:pPr>
          </w:p>
        </w:tc>
      </w:tr>
      <w:tr w:rsidR="00A52778" w:rsidRPr="00460F9E" w14:paraId="661F8FB4" w14:textId="77777777" w:rsidTr="00FC3F8E">
        <w:trPr>
          <w:trHeight w:val="219"/>
        </w:trPr>
        <w:tc>
          <w:tcPr>
            <w:tcW w:w="380" w:type="dxa"/>
            <w:tcBorders>
              <w:left w:val="single" w:sz="8" w:space="0" w:color="auto"/>
              <w:right w:val="single" w:sz="8" w:space="0" w:color="auto"/>
            </w:tcBorders>
            <w:shd w:val="clear" w:color="auto" w:fill="auto"/>
            <w:vAlign w:val="bottom"/>
          </w:tcPr>
          <w:p w14:paraId="062E6869" w14:textId="77777777" w:rsidR="00A52778" w:rsidRPr="00460F9E" w:rsidRDefault="00A52778" w:rsidP="00FC3F8E">
            <w:pPr>
              <w:spacing w:line="0" w:lineRule="atLeast"/>
              <w:rPr>
                <w:rFonts w:eastAsia="Times New Roman" w:cs="Times New Roman"/>
                <w:b/>
                <w:sz w:val="19"/>
              </w:rPr>
            </w:pPr>
          </w:p>
        </w:tc>
        <w:tc>
          <w:tcPr>
            <w:tcW w:w="1840" w:type="dxa"/>
            <w:tcBorders>
              <w:right w:val="single" w:sz="8" w:space="0" w:color="auto"/>
            </w:tcBorders>
            <w:shd w:val="clear" w:color="auto" w:fill="auto"/>
            <w:vAlign w:val="bottom"/>
          </w:tcPr>
          <w:p w14:paraId="3D683F90" w14:textId="77777777" w:rsidR="00A52778" w:rsidRPr="00460F9E" w:rsidRDefault="00A52778" w:rsidP="00FC3F8E">
            <w:pPr>
              <w:spacing w:line="0" w:lineRule="atLeast"/>
              <w:rPr>
                <w:rFonts w:eastAsia="Times New Roman" w:cs="Times New Roman"/>
                <w:b/>
                <w:sz w:val="19"/>
              </w:rPr>
            </w:pPr>
          </w:p>
        </w:tc>
        <w:tc>
          <w:tcPr>
            <w:tcW w:w="1300" w:type="dxa"/>
            <w:tcBorders>
              <w:right w:val="single" w:sz="8" w:space="0" w:color="auto"/>
            </w:tcBorders>
            <w:shd w:val="clear" w:color="auto" w:fill="auto"/>
            <w:vAlign w:val="bottom"/>
          </w:tcPr>
          <w:p w14:paraId="635B52B9" w14:textId="77777777" w:rsidR="00A52778" w:rsidRPr="00460F9E" w:rsidRDefault="00A52778" w:rsidP="00FC3F8E">
            <w:pPr>
              <w:spacing w:line="0" w:lineRule="atLeast"/>
              <w:rPr>
                <w:rFonts w:eastAsia="Times New Roman" w:cs="Times New Roman"/>
                <w:b/>
                <w:sz w:val="19"/>
              </w:rPr>
            </w:pPr>
          </w:p>
        </w:tc>
        <w:tc>
          <w:tcPr>
            <w:tcW w:w="1840" w:type="dxa"/>
            <w:gridSpan w:val="3"/>
            <w:vMerge/>
            <w:tcBorders>
              <w:right w:val="single" w:sz="8" w:space="0" w:color="auto"/>
            </w:tcBorders>
            <w:shd w:val="clear" w:color="auto" w:fill="auto"/>
            <w:vAlign w:val="bottom"/>
          </w:tcPr>
          <w:p w14:paraId="41817420" w14:textId="77777777" w:rsidR="00A52778" w:rsidRPr="00460F9E" w:rsidRDefault="00A52778" w:rsidP="00FC3F8E">
            <w:pPr>
              <w:spacing w:line="0" w:lineRule="atLeast"/>
              <w:rPr>
                <w:rFonts w:eastAsia="Times New Roman" w:cs="Times New Roman"/>
                <w:b/>
                <w:sz w:val="19"/>
              </w:rPr>
            </w:pPr>
          </w:p>
        </w:tc>
        <w:tc>
          <w:tcPr>
            <w:tcW w:w="1120" w:type="dxa"/>
            <w:tcBorders>
              <w:left w:val="single" w:sz="8" w:space="0" w:color="auto"/>
            </w:tcBorders>
            <w:shd w:val="clear" w:color="auto" w:fill="auto"/>
            <w:vAlign w:val="bottom"/>
          </w:tcPr>
          <w:p w14:paraId="1E50BF34" w14:textId="77777777" w:rsidR="00A52778" w:rsidRPr="00460F9E" w:rsidRDefault="00A52778" w:rsidP="00FC3F8E">
            <w:pPr>
              <w:spacing w:line="0" w:lineRule="atLeast"/>
              <w:rPr>
                <w:rFonts w:eastAsia="Times New Roman" w:cs="Times New Roman"/>
                <w:b/>
                <w:sz w:val="19"/>
              </w:rPr>
            </w:pPr>
          </w:p>
        </w:tc>
        <w:tc>
          <w:tcPr>
            <w:tcW w:w="500" w:type="dxa"/>
            <w:shd w:val="clear" w:color="auto" w:fill="auto"/>
            <w:vAlign w:val="bottom"/>
          </w:tcPr>
          <w:p w14:paraId="1AC3DD9F" w14:textId="77777777" w:rsidR="00A52778" w:rsidRPr="00460F9E" w:rsidRDefault="00A52778" w:rsidP="00FC3F8E">
            <w:pPr>
              <w:spacing w:line="0" w:lineRule="atLeast"/>
              <w:rPr>
                <w:rFonts w:eastAsia="Times New Roman" w:cs="Times New Roman"/>
                <w:b/>
                <w:sz w:val="19"/>
              </w:rPr>
            </w:pPr>
          </w:p>
        </w:tc>
        <w:tc>
          <w:tcPr>
            <w:tcW w:w="300" w:type="dxa"/>
            <w:shd w:val="clear" w:color="auto" w:fill="auto"/>
            <w:vAlign w:val="bottom"/>
          </w:tcPr>
          <w:p w14:paraId="6719EB49" w14:textId="77777777" w:rsidR="00A52778" w:rsidRPr="00460F9E" w:rsidRDefault="00A52778" w:rsidP="00FC3F8E">
            <w:pPr>
              <w:spacing w:line="0" w:lineRule="atLeast"/>
              <w:rPr>
                <w:rFonts w:eastAsia="Times New Roman" w:cs="Times New Roman"/>
                <w:b/>
                <w:sz w:val="19"/>
              </w:rPr>
            </w:pPr>
          </w:p>
        </w:tc>
        <w:tc>
          <w:tcPr>
            <w:tcW w:w="460" w:type="dxa"/>
            <w:shd w:val="clear" w:color="auto" w:fill="auto"/>
            <w:vAlign w:val="bottom"/>
          </w:tcPr>
          <w:p w14:paraId="68643725" w14:textId="77777777" w:rsidR="00A52778" w:rsidRPr="00460F9E" w:rsidRDefault="00A52778" w:rsidP="00FC3F8E">
            <w:pPr>
              <w:spacing w:line="0" w:lineRule="atLeast"/>
              <w:rPr>
                <w:rFonts w:eastAsia="Times New Roman" w:cs="Times New Roman"/>
                <w:b/>
                <w:sz w:val="19"/>
              </w:rPr>
            </w:pPr>
          </w:p>
        </w:tc>
        <w:tc>
          <w:tcPr>
            <w:tcW w:w="520" w:type="dxa"/>
            <w:shd w:val="clear" w:color="auto" w:fill="auto"/>
            <w:vAlign w:val="bottom"/>
          </w:tcPr>
          <w:p w14:paraId="67A4684C" w14:textId="77777777" w:rsidR="00A52778" w:rsidRPr="00460F9E" w:rsidRDefault="00A52778" w:rsidP="00FC3F8E">
            <w:pPr>
              <w:spacing w:line="0" w:lineRule="atLeast"/>
              <w:rPr>
                <w:rFonts w:eastAsia="Times New Roman" w:cs="Times New Roman"/>
                <w:b/>
                <w:sz w:val="19"/>
              </w:rPr>
            </w:pPr>
          </w:p>
        </w:tc>
        <w:tc>
          <w:tcPr>
            <w:tcW w:w="500" w:type="dxa"/>
            <w:tcBorders>
              <w:right w:val="single" w:sz="8" w:space="0" w:color="auto"/>
            </w:tcBorders>
            <w:shd w:val="clear" w:color="auto" w:fill="auto"/>
            <w:vAlign w:val="bottom"/>
          </w:tcPr>
          <w:p w14:paraId="29420DFE" w14:textId="77777777" w:rsidR="00A52778" w:rsidRPr="00460F9E" w:rsidRDefault="00A52778" w:rsidP="00FC3F8E">
            <w:pPr>
              <w:spacing w:line="0" w:lineRule="atLeast"/>
              <w:rPr>
                <w:rFonts w:eastAsia="Times New Roman" w:cs="Times New Roman"/>
                <w:b/>
                <w:sz w:val="19"/>
              </w:rPr>
            </w:pPr>
          </w:p>
        </w:tc>
      </w:tr>
      <w:tr w:rsidR="00A52778" w:rsidRPr="00460F9E" w14:paraId="6E541D91" w14:textId="77777777" w:rsidTr="00FC3F8E">
        <w:trPr>
          <w:trHeight w:val="66"/>
        </w:trPr>
        <w:tc>
          <w:tcPr>
            <w:tcW w:w="380" w:type="dxa"/>
            <w:tcBorders>
              <w:left w:val="single" w:sz="8" w:space="0" w:color="auto"/>
              <w:bottom w:val="single" w:sz="8" w:space="0" w:color="auto"/>
              <w:right w:val="single" w:sz="8" w:space="0" w:color="auto"/>
            </w:tcBorders>
            <w:shd w:val="clear" w:color="auto" w:fill="auto"/>
            <w:vAlign w:val="bottom"/>
          </w:tcPr>
          <w:p w14:paraId="63D8E2B3" w14:textId="77777777" w:rsidR="00A52778" w:rsidRPr="00460F9E" w:rsidRDefault="00A52778" w:rsidP="00FC3F8E">
            <w:pPr>
              <w:spacing w:line="0" w:lineRule="atLeast"/>
              <w:rPr>
                <w:rFonts w:eastAsia="Times New Roman" w:cs="Times New Roman"/>
                <w:b/>
                <w:sz w:val="5"/>
              </w:rPr>
            </w:pPr>
          </w:p>
        </w:tc>
        <w:tc>
          <w:tcPr>
            <w:tcW w:w="1840" w:type="dxa"/>
            <w:tcBorders>
              <w:bottom w:val="single" w:sz="8" w:space="0" w:color="auto"/>
              <w:right w:val="single" w:sz="8" w:space="0" w:color="auto"/>
            </w:tcBorders>
            <w:shd w:val="clear" w:color="auto" w:fill="auto"/>
            <w:vAlign w:val="bottom"/>
          </w:tcPr>
          <w:p w14:paraId="127DE5F7" w14:textId="77777777" w:rsidR="00A52778" w:rsidRPr="00460F9E" w:rsidRDefault="00A52778" w:rsidP="00FC3F8E">
            <w:pPr>
              <w:spacing w:line="0" w:lineRule="atLeast"/>
              <w:rPr>
                <w:rFonts w:eastAsia="Times New Roman" w:cs="Times New Roman"/>
                <w:b/>
                <w:sz w:val="5"/>
              </w:rPr>
            </w:pPr>
          </w:p>
        </w:tc>
        <w:tc>
          <w:tcPr>
            <w:tcW w:w="1300" w:type="dxa"/>
            <w:tcBorders>
              <w:bottom w:val="single" w:sz="8" w:space="0" w:color="auto"/>
              <w:right w:val="single" w:sz="8" w:space="0" w:color="auto"/>
            </w:tcBorders>
            <w:shd w:val="clear" w:color="auto" w:fill="auto"/>
            <w:vAlign w:val="bottom"/>
          </w:tcPr>
          <w:p w14:paraId="02EBEEA7" w14:textId="77777777" w:rsidR="00A52778" w:rsidRPr="00460F9E" w:rsidRDefault="00A52778" w:rsidP="00FC3F8E">
            <w:pPr>
              <w:spacing w:line="0" w:lineRule="atLeast"/>
              <w:rPr>
                <w:rFonts w:eastAsia="Times New Roman" w:cs="Times New Roman"/>
                <w:b/>
                <w:sz w:val="5"/>
              </w:rPr>
            </w:pPr>
          </w:p>
        </w:tc>
        <w:tc>
          <w:tcPr>
            <w:tcW w:w="920" w:type="dxa"/>
            <w:tcBorders>
              <w:bottom w:val="single" w:sz="8" w:space="0" w:color="auto"/>
            </w:tcBorders>
            <w:shd w:val="clear" w:color="auto" w:fill="auto"/>
            <w:vAlign w:val="bottom"/>
          </w:tcPr>
          <w:p w14:paraId="302F3FCE" w14:textId="77777777" w:rsidR="00A52778" w:rsidRPr="00460F9E" w:rsidRDefault="00A52778" w:rsidP="00FC3F8E">
            <w:pPr>
              <w:spacing w:line="0" w:lineRule="atLeast"/>
              <w:rPr>
                <w:rFonts w:eastAsia="Times New Roman" w:cs="Times New Roman"/>
                <w:b/>
                <w:sz w:val="5"/>
              </w:rPr>
            </w:pPr>
          </w:p>
        </w:tc>
        <w:tc>
          <w:tcPr>
            <w:tcW w:w="500" w:type="dxa"/>
            <w:tcBorders>
              <w:bottom w:val="single" w:sz="8" w:space="0" w:color="auto"/>
            </w:tcBorders>
            <w:shd w:val="clear" w:color="auto" w:fill="auto"/>
            <w:vAlign w:val="bottom"/>
          </w:tcPr>
          <w:p w14:paraId="1FAF9217" w14:textId="77777777" w:rsidR="00A52778" w:rsidRPr="00460F9E" w:rsidRDefault="00A52778" w:rsidP="00FC3F8E">
            <w:pPr>
              <w:spacing w:line="0" w:lineRule="atLeast"/>
              <w:rPr>
                <w:rFonts w:eastAsia="Times New Roman" w:cs="Times New Roman"/>
                <w:b/>
                <w:sz w:val="5"/>
              </w:rPr>
            </w:pPr>
          </w:p>
        </w:tc>
        <w:tc>
          <w:tcPr>
            <w:tcW w:w="420" w:type="dxa"/>
            <w:tcBorders>
              <w:bottom w:val="single" w:sz="8" w:space="0" w:color="auto"/>
              <w:right w:val="single" w:sz="8" w:space="0" w:color="auto"/>
            </w:tcBorders>
            <w:shd w:val="clear" w:color="auto" w:fill="auto"/>
            <w:vAlign w:val="bottom"/>
          </w:tcPr>
          <w:p w14:paraId="2D843514" w14:textId="77777777" w:rsidR="00A52778" w:rsidRPr="00460F9E" w:rsidRDefault="00A52778" w:rsidP="00FC3F8E">
            <w:pPr>
              <w:spacing w:line="0" w:lineRule="atLeast"/>
              <w:rPr>
                <w:rFonts w:eastAsia="Times New Roman" w:cs="Times New Roman"/>
                <w:b/>
                <w:sz w:val="5"/>
              </w:rPr>
            </w:pPr>
          </w:p>
        </w:tc>
        <w:tc>
          <w:tcPr>
            <w:tcW w:w="1120" w:type="dxa"/>
            <w:tcBorders>
              <w:bottom w:val="single" w:sz="8" w:space="0" w:color="auto"/>
            </w:tcBorders>
            <w:shd w:val="clear" w:color="auto" w:fill="auto"/>
            <w:vAlign w:val="bottom"/>
          </w:tcPr>
          <w:p w14:paraId="43F506FF" w14:textId="77777777" w:rsidR="00A52778" w:rsidRPr="00460F9E" w:rsidRDefault="00A52778" w:rsidP="00FC3F8E">
            <w:pPr>
              <w:spacing w:line="0" w:lineRule="atLeast"/>
              <w:rPr>
                <w:rFonts w:eastAsia="Times New Roman" w:cs="Times New Roman"/>
                <w:b/>
                <w:sz w:val="5"/>
              </w:rPr>
            </w:pPr>
          </w:p>
        </w:tc>
        <w:tc>
          <w:tcPr>
            <w:tcW w:w="500" w:type="dxa"/>
            <w:tcBorders>
              <w:bottom w:val="single" w:sz="8" w:space="0" w:color="auto"/>
            </w:tcBorders>
            <w:shd w:val="clear" w:color="auto" w:fill="auto"/>
            <w:vAlign w:val="bottom"/>
          </w:tcPr>
          <w:p w14:paraId="2A1A5076" w14:textId="77777777" w:rsidR="00A52778" w:rsidRPr="00460F9E" w:rsidRDefault="00A52778" w:rsidP="00FC3F8E">
            <w:pPr>
              <w:spacing w:line="0" w:lineRule="atLeast"/>
              <w:rPr>
                <w:rFonts w:eastAsia="Times New Roman" w:cs="Times New Roman"/>
                <w:b/>
                <w:sz w:val="5"/>
              </w:rPr>
            </w:pPr>
          </w:p>
        </w:tc>
        <w:tc>
          <w:tcPr>
            <w:tcW w:w="300" w:type="dxa"/>
            <w:tcBorders>
              <w:bottom w:val="single" w:sz="8" w:space="0" w:color="auto"/>
            </w:tcBorders>
            <w:shd w:val="clear" w:color="auto" w:fill="auto"/>
            <w:vAlign w:val="bottom"/>
          </w:tcPr>
          <w:p w14:paraId="4E8D80F4" w14:textId="77777777" w:rsidR="00A52778" w:rsidRPr="00460F9E" w:rsidRDefault="00A52778" w:rsidP="00FC3F8E">
            <w:pPr>
              <w:spacing w:line="0" w:lineRule="atLeast"/>
              <w:rPr>
                <w:rFonts w:eastAsia="Times New Roman" w:cs="Times New Roman"/>
                <w:b/>
                <w:sz w:val="5"/>
              </w:rPr>
            </w:pPr>
          </w:p>
        </w:tc>
        <w:tc>
          <w:tcPr>
            <w:tcW w:w="460" w:type="dxa"/>
            <w:tcBorders>
              <w:bottom w:val="single" w:sz="8" w:space="0" w:color="auto"/>
            </w:tcBorders>
            <w:shd w:val="clear" w:color="auto" w:fill="auto"/>
            <w:vAlign w:val="bottom"/>
          </w:tcPr>
          <w:p w14:paraId="2598F26D" w14:textId="77777777" w:rsidR="00A52778" w:rsidRPr="00460F9E" w:rsidRDefault="00A52778" w:rsidP="00FC3F8E">
            <w:pPr>
              <w:spacing w:line="0" w:lineRule="atLeast"/>
              <w:rPr>
                <w:rFonts w:eastAsia="Times New Roman" w:cs="Times New Roman"/>
                <w:b/>
                <w:sz w:val="5"/>
              </w:rPr>
            </w:pPr>
          </w:p>
        </w:tc>
        <w:tc>
          <w:tcPr>
            <w:tcW w:w="520" w:type="dxa"/>
            <w:tcBorders>
              <w:bottom w:val="single" w:sz="8" w:space="0" w:color="auto"/>
            </w:tcBorders>
            <w:shd w:val="clear" w:color="auto" w:fill="auto"/>
            <w:vAlign w:val="bottom"/>
          </w:tcPr>
          <w:p w14:paraId="7798F4A5" w14:textId="77777777" w:rsidR="00A52778" w:rsidRPr="00460F9E" w:rsidRDefault="00A52778" w:rsidP="00FC3F8E">
            <w:pPr>
              <w:spacing w:line="0" w:lineRule="atLeast"/>
              <w:rPr>
                <w:rFonts w:eastAsia="Times New Roman" w:cs="Times New Roman"/>
                <w:b/>
                <w:sz w:val="5"/>
              </w:rPr>
            </w:pPr>
          </w:p>
        </w:tc>
        <w:tc>
          <w:tcPr>
            <w:tcW w:w="500" w:type="dxa"/>
            <w:tcBorders>
              <w:bottom w:val="single" w:sz="8" w:space="0" w:color="auto"/>
              <w:right w:val="single" w:sz="8" w:space="0" w:color="auto"/>
            </w:tcBorders>
            <w:shd w:val="clear" w:color="auto" w:fill="auto"/>
            <w:vAlign w:val="bottom"/>
          </w:tcPr>
          <w:p w14:paraId="41EE4EDC" w14:textId="77777777" w:rsidR="00A52778" w:rsidRPr="00460F9E" w:rsidRDefault="00A52778" w:rsidP="00FC3F8E">
            <w:pPr>
              <w:spacing w:line="0" w:lineRule="atLeast"/>
              <w:rPr>
                <w:rFonts w:eastAsia="Times New Roman" w:cs="Times New Roman"/>
                <w:b/>
                <w:sz w:val="5"/>
              </w:rPr>
            </w:pPr>
          </w:p>
        </w:tc>
      </w:tr>
    </w:tbl>
    <w:p w14:paraId="2BFF471A" w14:textId="77777777" w:rsidR="00A52778" w:rsidRPr="00460F9E" w:rsidRDefault="00A52778" w:rsidP="00A52778">
      <w:pPr>
        <w:spacing w:line="200" w:lineRule="exact"/>
        <w:rPr>
          <w:rFonts w:eastAsia="Times New Roman" w:cs="Times New Roman"/>
          <w:b/>
        </w:rPr>
      </w:pPr>
    </w:p>
    <w:p w14:paraId="7B577AFF" w14:textId="77777777" w:rsidR="00A52778" w:rsidRDefault="00A52778" w:rsidP="00A52778">
      <w:pPr>
        <w:spacing w:line="356" w:lineRule="exact"/>
        <w:rPr>
          <w:rFonts w:eastAsia="Times New Roman" w:cs="Times New Roman"/>
          <w:b/>
        </w:rPr>
      </w:pPr>
    </w:p>
    <w:p w14:paraId="66167E92" w14:textId="77777777" w:rsidR="00A52778" w:rsidRDefault="00A52778" w:rsidP="00A52778">
      <w:pPr>
        <w:spacing w:line="356" w:lineRule="exact"/>
        <w:rPr>
          <w:rFonts w:eastAsia="Times New Roman" w:cs="Times New Roman"/>
          <w:b/>
        </w:rPr>
      </w:pPr>
    </w:p>
    <w:p w14:paraId="0802A3A6" w14:textId="77777777" w:rsidR="00A52778" w:rsidRPr="00460F9E" w:rsidRDefault="00A52778" w:rsidP="00A52778">
      <w:pPr>
        <w:spacing w:line="356" w:lineRule="exact"/>
        <w:rPr>
          <w:rFonts w:eastAsia="Times New Roman" w:cs="Times New Roman"/>
          <w:b/>
        </w:rPr>
      </w:pPr>
    </w:p>
    <w:p w14:paraId="684CCD67" w14:textId="77777777" w:rsidR="00A52778" w:rsidRPr="00460F9E" w:rsidRDefault="00A52778" w:rsidP="00A52778">
      <w:r>
        <w:t>MET 35:</w:t>
      </w:r>
      <w:r w:rsidRPr="00460F9E">
        <w:t xml:space="preserve"> CS</w:t>
      </w:r>
      <w:r w:rsidRPr="00460F9E">
        <w:rPr>
          <w:vertAlign w:val="subscript"/>
        </w:rPr>
        <w:t>2</w:t>
      </w:r>
      <w:r w:rsidRPr="00460F9E">
        <w:t xml:space="preserve"> ve H</w:t>
      </w:r>
      <w:r w:rsidRPr="00460F9E">
        <w:rPr>
          <w:vertAlign w:val="subscript"/>
        </w:rPr>
        <w:t>2</w:t>
      </w:r>
      <w:r w:rsidRPr="00460F9E">
        <w:t>S' nin havaya kanalize edilen emisyonlarını azaltmak için MET, aşağıda verilen tekniklerden birini veya bir kombinasyonunu kullanmaktır.</w:t>
      </w:r>
    </w:p>
    <w:p w14:paraId="6570C7CD" w14:textId="77777777" w:rsidR="00A52778" w:rsidRPr="00460F9E" w:rsidRDefault="00A52778" w:rsidP="00A52778">
      <w:pPr>
        <w:spacing w:line="200" w:lineRule="exact"/>
        <w:rPr>
          <w:rFonts w:eastAsia="Times New Roman" w:cs="Times New Roman"/>
          <w:b/>
        </w:rPr>
      </w:pPr>
    </w:p>
    <w:p w14:paraId="32ADE614" w14:textId="77777777" w:rsidR="00A52778" w:rsidRPr="00460F9E" w:rsidRDefault="00A52778" w:rsidP="00A52778">
      <w:pPr>
        <w:spacing w:line="330" w:lineRule="exact"/>
        <w:rPr>
          <w:rFonts w:eastAsia="Times New Roman" w:cs="Times New Roman"/>
          <w:b/>
        </w:rPr>
      </w:pPr>
    </w:p>
    <w:tbl>
      <w:tblPr>
        <w:tblW w:w="8760" w:type="dxa"/>
        <w:tblInd w:w="730" w:type="dxa"/>
        <w:tblLayout w:type="fixed"/>
        <w:tblCellMar>
          <w:left w:w="0" w:type="dxa"/>
          <w:right w:w="0" w:type="dxa"/>
        </w:tblCellMar>
        <w:tblLook w:val="0000" w:firstRow="0" w:lastRow="0" w:firstColumn="0" w:lastColumn="0" w:noHBand="0" w:noVBand="0"/>
      </w:tblPr>
      <w:tblGrid>
        <w:gridCol w:w="380"/>
        <w:gridCol w:w="1780"/>
        <w:gridCol w:w="1360"/>
        <w:gridCol w:w="1700"/>
        <w:gridCol w:w="500"/>
        <w:gridCol w:w="680"/>
        <w:gridCol w:w="480"/>
        <w:gridCol w:w="340"/>
        <w:gridCol w:w="660"/>
        <w:gridCol w:w="360"/>
        <w:gridCol w:w="520"/>
      </w:tblGrid>
      <w:tr w:rsidR="00A52778" w:rsidRPr="00460F9E" w14:paraId="06B4659A" w14:textId="77777777" w:rsidTr="00FC3F8E">
        <w:trPr>
          <w:trHeight w:val="239"/>
        </w:trPr>
        <w:tc>
          <w:tcPr>
            <w:tcW w:w="380" w:type="dxa"/>
            <w:tcBorders>
              <w:top w:val="single" w:sz="8" w:space="0" w:color="auto"/>
              <w:left w:val="single" w:sz="8" w:space="0" w:color="auto"/>
            </w:tcBorders>
            <w:shd w:val="clear" w:color="auto" w:fill="auto"/>
            <w:vAlign w:val="bottom"/>
          </w:tcPr>
          <w:p w14:paraId="5460689A" w14:textId="77777777" w:rsidR="00A52778" w:rsidRPr="00460F9E" w:rsidRDefault="00A52778" w:rsidP="00FC3F8E">
            <w:pPr>
              <w:spacing w:line="0" w:lineRule="atLeast"/>
              <w:rPr>
                <w:rFonts w:eastAsia="Times New Roman" w:cs="Times New Roman"/>
                <w:b/>
              </w:rPr>
            </w:pPr>
          </w:p>
        </w:tc>
        <w:tc>
          <w:tcPr>
            <w:tcW w:w="1780" w:type="dxa"/>
            <w:tcBorders>
              <w:top w:val="single" w:sz="8" w:space="0" w:color="auto"/>
              <w:right w:val="single" w:sz="8" w:space="0" w:color="auto"/>
            </w:tcBorders>
            <w:shd w:val="clear" w:color="auto" w:fill="auto"/>
            <w:vAlign w:val="bottom"/>
          </w:tcPr>
          <w:p w14:paraId="1199C5E6" w14:textId="77777777" w:rsidR="00A52778" w:rsidRPr="00460F9E" w:rsidRDefault="00A52778" w:rsidP="00FC3F8E">
            <w:pPr>
              <w:spacing w:line="0" w:lineRule="atLeast"/>
              <w:rPr>
                <w:rFonts w:eastAsia="Times New Roman" w:cs="Times New Roman"/>
                <w:b/>
              </w:rPr>
            </w:pPr>
          </w:p>
        </w:tc>
        <w:tc>
          <w:tcPr>
            <w:tcW w:w="1360" w:type="dxa"/>
            <w:vMerge w:val="restart"/>
            <w:tcBorders>
              <w:top w:val="single" w:sz="8" w:space="0" w:color="auto"/>
              <w:right w:val="single" w:sz="8" w:space="0" w:color="auto"/>
            </w:tcBorders>
            <w:shd w:val="clear" w:color="auto" w:fill="auto"/>
            <w:vAlign w:val="bottom"/>
          </w:tcPr>
          <w:p w14:paraId="5349B5E3" w14:textId="77777777" w:rsidR="00A52778" w:rsidRPr="00460F9E" w:rsidRDefault="00A52778" w:rsidP="00FC3F8E">
            <w:pPr>
              <w:spacing w:line="228" w:lineRule="exact"/>
              <w:jc w:val="center"/>
              <w:rPr>
                <w:rFonts w:eastAsia="Times New Roman" w:cs="Times New Roman"/>
                <w:b/>
              </w:rPr>
            </w:pPr>
            <w:r w:rsidRPr="00460F9E">
              <w:rPr>
                <w:rFonts w:eastAsia="Times New Roman" w:cs="Times New Roman"/>
              </w:rPr>
              <w:t>Hedeflenen   ana     maddeler</w:t>
            </w:r>
          </w:p>
        </w:tc>
        <w:tc>
          <w:tcPr>
            <w:tcW w:w="1700" w:type="dxa"/>
            <w:tcBorders>
              <w:top w:val="single" w:sz="8" w:space="0" w:color="auto"/>
              <w:right w:val="single" w:sz="8" w:space="0" w:color="auto"/>
            </w:tcBorders>
            <w:shd w:val="clear" w:color="auto" w:fill="auto"/>
            <w:vAlign w:val="bottom"/>
          </w:tcPr>
          <w:p w14:paraId="4DD39B2F" w14:textId="77777777" w:rsidR="00A52778" w:rsidRPr="00460F9E" w:rsidRDefault="00A52778" w:rsidP="00FC3F8E">
            <w:pPr>
              <w:spacing w:line="0" w:lineRule="atLeast"/>
              <w:rPr>
                <w:rFonts w:eastAsia="Times New Roman" w:cs="Times New Roman"/>
                <w:b/>
              </w:rPr>
            </w:pPr>
          </w:p>
        </w:tc>
        <w:tc>
          <w:tcPr>
            <w:tcW w:w="500" w:type="dxa"/>
            <w:tcBorders>
              <w:top w:val="single" w:sz="8" w:space="0" w:color="auto"/>
            </w:tcBorders>
            <w:shd w:val="clear" w:color="auto" w:fill="auto"/>
            <w:vAlign w:val="bottom"/>
          </w:tcPr>
          <w:p w14:paraId="49F52C1F" w14:textId="77777777" w:rsidR="00A52778" w:rsidRPr="00460F9E" w:rsidRDefault="00A52778" w:rsidP="00FC3F8E">
            <w:pPr>
              <w:spacing w:line="0" w:lineRule="atLeast"/>
              <w:rPr>
                <w:rFonts w:eastAsia="Times New Roman" w:cs="Times New Roman"/>
                <w:b/>
              </w:rPr>
            </w:pPr>
          </w:p>
        </w:tc>
        <w:tc>
          <w:tcPr>
            <w:tcW w:w="680" w:type="dxa"/>
            <w:tcBorders>
              <w:top w:val="single" w:sz="8" w:space="0" w:color="auto"/>
            </w:tcBorders>
            <w:shd w:val="clear" w:color="auto" w:fill="auto"/>
            <w:vAlign w:val="bottom"/>
          </w:tcPr>
          <w:p w14:paraId="5DAA7721" w14:textId="77777777" w:rsidR="00A52778" w:rsidRPr="00460F9E" w:rsidRDefault="00A52778" w:rsidP="00FC3F8E">
            <w:pPr>
              <w:spacing w:line="0" w:lineRule="atLeast"/>
              <w:rPr>
                <w:rFonts w:eastAsia="Times New Roman" w:cs="Times New Roman"/>
                <w:b/>
              </w:rPr>
            </w:pPr>
          </w:p>
        </w:tc>
        <w:tc>
          <w:tcPr>
            <w:tcW w:w="480" w:type="dxa"/>
            <w:tcBorders>
              <w:top w:val="single" w:sz="8" w:space="0" w:color="auto"/>
            </w:tcBorders>
            <w:shd w:val="clear" w:color="auto" w:fill="auto"/>
            <w:vAlign w:val="bottom"/>
          </w:tcPr>
          <w:p w14:paraId="6FA90CF8" w14:textId="77777777" w:rsidR="00A52778" w:rsidRPr="00460F9E" w:rsidRDefault="00A52778" w:rsidP="00FC3F8E">
            <w:pPr>
              <w:spacing w:line="0" w:lineRule="atLeast"/>
              <w:rPr>
                <w:rFonts w:eastAsia="Times New Roman" w:cs="Times New Roman"/>
                <w:b/>
              </w:rPr>
            </w:pPr>
          </w:p>
        </w:tc>
        <w:tc>
          <w:tcPr>
            <w:tcW w:w="340" w:type="dxa"/>
            <w:tcBorders>
              <w:top w:val="single" w:sz="8" w:space="0" w:color="auto"/>
            </w:tcBorders>
            <w:shd w:val="clear" w:color="auto" w:fill="auto"/>
            <w:vAlign w:val="bottom"/>
          </w:tcPr>
          <w:p w14:paraId="43637A15" w14:textId="77777777" w:rsidR="00A52778" w:rsidRPr="00460F9E" w:rsidRDefault="00A52778" w:rsidP="00FC3F8E">
            <w:pPr>
              <w:spacing w:line="0" w:lineRule="atLeast"/>
              <w:rPr>
                <w:rFonts w:eastAsia="Times New Roman" w:cs="Times New Roman"/>
                <w:b/>
              </w:rPr>
            </w:pPr>
          </w:p>
        </w:tc>
        <w:tc>
          <w:tcPr>
            <w:tcW w:w="660" w:type="dxa"/>
            <w:tcBorders>
              <w:top w:val="single" w:sz="8" w:space="0" w:color="auto"/>
            </w:tcBorders>
            <w:shd w:val="clear" w:color="auto" w:fill="auto"/>
            <w:vAlign w:val="bottom"/>
          </w:tcPr>
          <w:p w14:paraId="5A4F585C" w14:textId="77777777" w:rsidR="00A52778" w:rsidRPr="00460F9E" w:rsidRDefault="00A52778" w:rsidP="00FC3F8E">
            <w:pPr>
              <w:spacing w:line="0" w:lineRule="atLeast"/>
              <w:rPr>
                <w:rFonts w:eastAsia="Times New Roman" w:cs="Times New Roman"/>
                <w:b/>
              </w:rPr>
            </w:pPr>
          </w:p>
        </w:tc>
        <w:tc>
          <w:tcPr>
            <w:tcW w:w="360" w:type="dxa"/>
            <w:tcBorders>
              <w:top w:val="single" w:sz="8" w:space="0" w:color="auto"/>
            </w:tcBorders>
            <w:shd w:val="clear" w:color="auto" w:fill="auto"/>
            <w:vAlign w:val="bottom"/>
          </w:tcPr>
          <w:p w14:paraId="30FDAE5E" w14:textId="77777777" w:rsidR="00A52778" w:rsidRPr="00460F9E" w:rsidRDefault="00A52778" w:rsidP="00FC3F8E">
            <w:pPr>
              <w:spacing w:line="0" w:lineRule="atLeast"/>
              <w:rPr>
                <w:rFonts w:eastAsia="Times New Roman" w:cs="Times New Roman"/>
                <w:b/>
              </w:rPr>
            </w:pPr>
          </w:p>
        </w:tc>
        <w:tc>
          <w:tcPr>
            <w:tcW w:w="520" w:type="dxa"/>
            <w:tcBorders>
              <w:top w:val="single" w:sz="8" w:space="0" w:color="auto"/>
              <w:right w:val="single" w:sz="8" w:space="0" w:color="auto"/>
            </w:tcBorders>
            <w:shd w:val="clear" w:color="auto" w:fill="auto"/>
            <w:vAlign w:val="bottom"/>
          </w:tcPr>
          <w:p w14:paraId="0F172A09" w14:textId="77777777" w:rsidR="00A52778" w:rsidRPr="00460F9E" w:rsidRDefault="00A52778" w:rsidP="00FC3F8E">
            <w:pPr>
              <w:spacing w:line="0" w:lineRule="atLeast"/>
              <w:rPr>
                <w:rFonts w:eastAsia="Times New Roman" w:cs="Times New Roman"/>
                <w:b/>
              </w:rPr>
            </w:pPr>
          </w:p>
        </w:tc>
      </w:tr>
      <w:tr w:rsidR="00A52778" w:rsidRPr="00460F9E" w14:paraId="41EBEF0D" w14:textId="77777777" w:rsidTr="00FC3F8E">
        <w:trPr>
          <w:trHeight w:val="230"/>
        </w:trPr>
        <w:tc>
          <w:tcPr>
            <w:tcW w:w="380" w:type="dxa"/>
            <w:tcBorders>
              <w:left w:val="single" w:sz="8" w:space="0" w:color="auto"/>
            </w:tcBorders>
            <w:shd w:val="clear" w:color="auto" w:fill="auto"/>
            <w:vAlign w:val="bottom"/>
          </w:tcPr>
          <w:p w14:paraId="51AA7F9D" w14:textId="77777777" w:rsidR="00A52778" w:rsidRPr="00460F9E" w:rsidRDefault="00A52778" w:rsidP="00FC3F8E">
            <w:pPr>
              <w:spacing w:line="0" w:lineRule="atLeast"/>
              <w:rPr>
                <w:rFonts w:eastAsia="Times New Roman" w:cs="Times New Roman"/>
                <w:b/>
              </w:rPr>
            </w:pPr>
          </w:p>
        </w:tc>
        <w:tc>
          <w:tcPr>
            <w:tcW w:w="1780" w:type="dxa"/>
            <w:tcBorders>
              <w:right w:val="single" w:sz="8" w:space="0" w:color="auto"/>
            </w:tcBorders>
            <w:shd w:val="clear" w:color="auto" w:fill="auto"/>
            <w:vAlign w:val="bottom"/>
          </w:tcPr>
          <w:p w14:paraId="14EE8C7E" w14:textId="77777777" w:rsidR="00A52778" w:rsidRPr="00460F9E" w:rsidRDefault="00A52778" w:rsidP="00FC3F8E">
            <w:pPr>
              <w:spacing w:line="0" w:lineRule="atLeast"/>
              <w:ind w:left="240"/>
              <w:rPr>
                <w:rFonts w:eastAsia="Times New Roman" w:cs="Times New Roman"/>
                <w:b/>
              </w:rPr>
            </w:pPr>
            <w:r w:rsidRPr="00460F9E">
              <w:rPr>
                <w:rFonts w:eastAsia="Times New Roman" w:cs="Times New Roman"/>
              </w:rPr>
              <w:t>Teknikler</w:t>
            </w:r>
          </w:p>
        </w:tc>
        <w:tc>
          <w:tcPr>
            <w:tcW w:w="1360" w:type="dxa"/>
            <w:vMerge/>
            <w:tcBorders>
              <w:right w:val="single" w:sz="8" w:space="0" w:color="auto"/>
            </w:tcBorders>
            <w:shd w:val="clear" w:color="auto" w:fill="auto"/>
            <w:vAlign w:val="bottom"/>
          </w:tcPr>
          <w:p w14:paraId="1E908B2D" w14:textId="77777777" w:rsidR="00A52778" w:rsidRPr="00460F9E" w:rsidRDefault="00A52778" w:rsidP="00FC3F8E">
            <w:pPr>
              <w:spacing w:line="228" w:lineRule="exact"/>
              <w:jc w:val="center"/>
              <w:rPr>
                <w:rFonts w:eastAsia="Times New Roman" w:cs="Times New Roman"/>
                <w:b/>
              </w:rPr>
            </w:pPr>
          </w:p>
        </w:tc>
        <w:tc>
          <w:tcPr>
            <w:tcW w:w="1700" w:type="dxa"/>
            <w:tcBorders>
              <w:right w:val="single" w:sz="8" w:space="0" w:color="auto"/>
            </w:tcBorders>
            <w:shd w:val="clear" w:color="auto" w:fill="auto"/>
            <w:vAlign w:val="bottom"/>
          </w:tcPr>
          <w:p w14:paraId="2A38092D"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w w:val="99"/>
              </w:rPr>
              <w:t>Tanımlamalar</w:t>
            </w:r>
          </w:p>
        </w:tc>
        <w:tc>
          <w:tcPr>
            <w:tcW w:w="500" w:type="dxa"/>
            <w:shd w:val="clear" w:color="auto" w:fill="auto"/>
            <w:vAlign w:val="bottom"/>
          </w:tcPr>
          <w:p w14:paraId="42C4D64B" w14:textId="77777777" w:rsidR="00A52778" w:rsidRPr="00460F9E" w:rsidRDefault="00A52778" w:rsidP="00FC3F8E">
            <w:pPr>
              <w:spacing w:line="0" w:lineRule="atLeast"/>
              <w:rPr>
                <w:rFonts w:eastAsia="Times New Roman" w:cs="Times New Roman"/>
                <w:b/>
              </w:rPr>
            </w:pPr>
          </w:p>
        </w:tc>
        <w:tc>
          <w:tcPr>
            <w:tcW w:w="680" w:type="dxa"/>
            <w:shd w:val="clear" w:color="auto" w:fill="auto"/>
            <w:vAlign w:val="bottom"/>
          </w:tcPr>
          <w:p w14:paraId="145DD803" w14:textId="77777777" w:rsidR="00A52778" w:rsidRPr="00460F9E" w:rsidRDefault="00A52778" w:rsidP="00FC3F8E">
            <w:pPr>
              <w:spacing w:line="0" w:lineRule="atLeast"/>
              <w:rPr>
                <w:rFonts w:eastAsia="Times New Roman" w:cs="Times New Roman"/>
                <w:b/>
              </w:rPr>
            </w:pPr>
          </w:p>
        </w:tc>
        <w:tc>
          <w:tcPr>
            <w:tcW w:w="1480" w:type="dxa"/>
            <w:gridSpan w:val="3"/>
            <w:shd w:val="clear" w:color="auto" w:fill="auto"/>
            <w:vAlign w:val="bottom"/>
          </w:tcPr>
          <w:p w14:paraId="6F34999E"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Uygulanabilirlik</w:t>
            </w:r>
          </w:p>
        </w:tc>
        <w:tc>
          <w:tcPr>
            <w:tcW w:w="360" w:type="dxa"/>
            <w:shd w:val="clear" w:color="auto" w:fill="auto"/>
            <w:vAlign w:val="bottom"/>
          </w:tcPr>
          <w:p w14:paraId="4FF63AE2" w14:textId="77777777" w:rsidR="00A52778" w:rsidRPr="00460F9E" w:rsidRDefault="00A52778" w:rsidP="00FC3F8E">
            <w:pPr>
              <w:spacing w:line="0" w:lineRule="atLeast"/>
              <w:rPr>
                <w:rFonts w:eastAsia="Times New Roman" w:cs="Times New Roman"/>
                <w:b/>
              </w:rPr>
            </w:pPr>
          </w:p>
        </w:tc>
        <w:tc>
          <w:tcPr>
            <w:tcW w:w="520" w:type="dxa"/>
            <w:tcBorders>
              <w:right w:val="single" w:sz="8" w:space="0" w:color="auto"/>
            </w:tcBorders>
            <w:shd w:val="clear" w:color="auto" w:fill="auto"/>
            <w:vAlign w:val="bottom"/>
          </w:tcPr>
          <w:p w14:paraId="343DCCF0" w14:textId="77777777" w:rsidR="00A52778" w:rsidRPr="00460F9E" w:rsidRDefault="00A52778" w:rsidP="00FC3F8E">
            <w:pPr>
              <w:spacing w:line="0" w:lineRule="atLeast"/>
              <w:rPr>
                <w:rFonts w:eastAsia="Times New Roman" w:cs="Times New Roman"/>
                <w:b/>
              </w:rPr>
            </w:pPr>
          </w:p>
        </w:tc>
      </w:tr>
      <w:tr w:rsidR="00A52778" w:rsidRPr="00460F9E" w14:paraId="142263D1" w14:textId="77777777" w:rsidTr="00FC3F8E">
        <w:trPr>
          <w:trHeight w:val="229"/>
        </w:trPr>
        <w:tc>
          <w:tcPr>
            <w:tcW w:w="380" w:type="dxa"/>
            <w:tcBorders>
              <w:left w:val="single" w:sz="8" w:space="0" w:color="auto"/>
              <w:bottom w:val="single" w:sz="8" w:space="0" w:color="auto"/>
            </w:tcBorders>
            <w:shd w:val="clear" w:color="auto" w:fill="auto"/>
            <w:vAlign w:val="bottom"/>
          </w:tcPr>
          <w:p w14:paraId="133E93BA" w14:textId="77777777" w:rsidR="00A52778" w:rsidRPr="00460F9E" w:rsidRDefault="00A52778" w:rsidP="00FC3F8E">
            <w:pPr>
              <w:spacing w:line="0" w:lineRule="atLeast"/>
              <w:rPr>
                <w:rFonts w:eastAsia="Times New Roman" w:cs="Times New Roman"/>
                <w:b/>
                <w:sz w:val="19"/>
              </w:rPr>
            </w:pPr>
          </w:p>
        </w:tc>
        <w:tc>
          <w:tcPr>
            <w:tcW w:w="1780" w:type="dxa"/>
            <w:tcBorders>
              <w:bottom w:val="single" w:sz="8" w:space="0" w:color="auto"/>
              <w:right w:val="single" w:sz="8" w:space="0" w:color="auto"/>
            </w:tcBorders>
            <w:shd w:val="clear" w:color="auto" w:fill="auto"/>
            <w:vAlign w:val="bottom"/>
          </w:tcPr>
          <w:p w14:paraId="62B5FD6B" w14:textId="77777777" w:rsidR="00A52778" w:rsidRPr="00460F9E" w:rsidRDefault="00A52778" w:rsidP="00FC3F8E">
            <w:pPr>
              <w:spacing w:line="0" w:lineRule="atLeast"/>
              <w:rPr>
                <w:rFonts w:eastAsia="Times New Roman" w:cs="Times New Roman"/>
                <w:b/>
                <w:sz w:val="19"/>
              </w:rPr>
            </w:pPr>
          </w:p>
        </w:tc>
        <w:tc>
          <w:tcPr>
            <w:tcW w:w="1360" w:type="dxa"/>
            <w:vMerge/>
            <w:tcBorders>
              <w:bottom w:val="single" w:sz="8" w:space="0" w:color="auto"/>
              <w:right w:val="single" w:sz="8" w:space="0" w:color="auto"/>
            </w:tcBorders>
            <w:shd w:val="clear" w:color="auto" w:fill="auto"/>
            <w:vAlign w:val="bottom"/>
          </w:tcPr>
          <w:p w14:paraId="7AC7CA35" w14:textId="77777777" w:rsidR="00A52778" w:rsidRPr="00460F9E" w:rsidRDefault="00A52778" w:rsidP="00FC3F8E">
            <w:pPr>
              <w:spacing w:line="228" w:lineRule="exact"/>
              <w:jc w:val="center"/>
              <w:rPr>
                <w:rFonts w:eastAsia="Times New Roman" w:cs="Times New Roman"/>
                <w:b/>
              </w:rPr>
            </w:pPr>
          </w:p>
        </w:tc>
        <w:tc>
          <w:tcPr>
            <w:tcW w:w="1700" w:type="dxa"/>
            <w:tcBorders>
              <w:bottom w:val="single" w:sz="8" w:space="0" w:color="auto"/>
              <w:right w:val="single" w:sz="8" w:space="0" w:color="auto"/>
            </w:tcBorders>
            <w:shd w:val="clear" w:color="auto" w:fill="auto"/>
            <w:vAlign w:val="bottom"/>
          </w:tcPr>
          <w:p w14:paraId="5DA55960" w14:textId="77777777" w:rsidR="00A52778" w:rsidRPr="00460F9E" w:rsidRDefault="00A52778" w:rsidP="00FC3F8E">
            <w:pPr>
              <w:spacing w:line="0" w:lineRule="atLeast"/>
              <w:rPr>
                <w:rFonts w:eastAsia="Times New Roman" w:cs="Times New Roman"/>
                <w:b/>
                <w:sz w:val="19"/>
              </w:rPr>
            </w:pPr>
          </w:p>
        </w:tc>
        <w:tc>
          <w:tcPr>
            <w:tcW w:w="500" w:type="dxa"/>
            <w:tcBorders>
              <w:bottom w:val="single" w:sz="8" w:space="0" w:color="auto"/>
            </w:tcBorders>
            <w:shd w:val="clear" w:color="auto" w:fill="auto"/>
            <w:vAlign w:val="bottom"/>
          </w:tcPr>
          <w:p w14:paraId="2B62971C" w14:textId="77777777" w:rsidR="00A52778" w:rsidRPr="00460F9E" w:rsidRDefault="00A52778" w:rsidP="00FC3F8E">
            <w:pPr>
              <w:spacing w:line="0" w:lineRule="atLeast"/>
              <w:rPr>
                <w:rFonts w:eastAsia="Times New Roman" w:cs="Times New Roman"/>
                <w:b/>
                <w:sz w:val="19"/>
              </w:rPr>
            </w:pPr>
          </w:p>
        </w:tc>
        <w:tc>
          <w:tcPr>
            <w:tcW w:w="680" w:type="dxa"/>
            <w:tcBorders>
              <w:bottom w:val="single" w:sz="8" w:space="0" w:color="auto"/>
            </w:tcBorders>
            <w:shd w:val="clear" w:color="auto" w:fill="auto"/>
            <w:vAlign w:val="bottom"/>
          </w:tcPr>
          <w:p w14:paraId="004BE1D8" w14:textId="77777777" w:rsidR="00A52778" w:rsidRPr="00460F9E" w:rsidRDefault="00A52778" w:rsidP="00FC3F8E">
            <w:pPr>
              <w:spacing w:line="0" w:lineRule="atLeast"/>
              <w:rPr>
                <w:rFonts w:eastAsia="Times New Roman" w:cs="Times New Roman"/>
                <w:b/>
                <w:sz w:val="19"/>
              </w:rPr>
            </w:pPr>
          </w:p>
        </w:tc>
        <w:tc>
          <w:tcPr>
            <w:tcW w:w="480" w:type="dxa"/>
            <w:tcBorders>
              <w:bottom w:val="single" w:sz="8" w:space="0" w:color="auto"/>
            </w:tcBorders>
            <w:shd w:val="clear" w:color="auto" w:fill="auto"/>
            <w:vAlign w:val="bottom"/>
          </w:tcPr>
          <w:p w14:paraId="7A23D8AF" w14:textId="77777777" w:rsidR="00A52778" w:rsidRPr="00460F9E" w:rsidRDefault="00A52778" w:rsidP="00FC3F8E">
            <w:pPr>
              <w:spacing w:line="0" w:lineRule="atLeast"/>
              <w:rPr>
                <w:rFonts w:eastAsia="Times New Roman" w:cs="Times New Roman"/>
                <w:b/>
                <w:sz w:val="19"/>
              </w:rPr>
            </w:pPr>
          </w:p>
        </w:tc>
        <w:tc>
          <w:tcPr>
            <w:tcW w:w="340" w:type="dxa"/>
            <w:tcBorders>
              <w:bottom w:val="single" w:sz="8" w:space="0" w:color="auto"/>
            </w:tcBorders>
            <w:shd w:val="clear" w:color="auto" w:fill="auto"/>
            <w:vAlign w:val="bottom"/>
          </w:tcPr>
          <w:p w14:paraId="4C3C9AC6" w14:textId="77777777" w:rsidR="00A52778" w:rsidRPr="00460F9E" w:rsidRDefault="00A52778" w:rsidP="00FC3F8E">
            <w:pPr>
              <w:spacing w:line="0" w:lineRule="atLeast"/>
              <w:rPr>
                <w:rFonts w:eastAsia="Times New Roman" w:cs="Times New Roman"/>
                <w:b/>
                <w:sz w:val="19"/>
              </w:rPr>
            </w:pPr>
          </w:p>
        </w:tc>
        <w:tc>
          <w:tcPr>
            <w:tcW w:w="660" w:type="dxa"/>
            <w:tcBorders>
              <w:bottom w:val="single" w:sz="8" w:space="0" w:color="auto"/>
            </w:tcBorders>
            <w:shd w:val="clear" w:color="auto" w:fill="auto"/>
            <w:vAlign w:val="bottom"/>
          </w:tcPr>
          <w:p w14:paraId="4C0A870E" w14:textId="77777777" w:rsidR="00A52778" w:rsidRPr="00460F9E" w:rsidRDefault="00A52778" w:rsidP="00FC3F8E">
            <w:pPr>
              <w:spacing w:line="0" w:lineRule="atLeast"/>
              <w:rPr>
                <w:rFonts w:eastAsia="Times New Roman" w:cs="Times New Roman"/>
                <w:b/>
                <w:sz w:val="19"/>
              </w:rPr>
            </w:pPr>
          </w:p>
        </w:tc>
        <w:tc>
          <w:tcPr>
            <w:tcW w:w="360" w:type="dxa"/>
            <w:tcBorders>
              <w:bottom w:val="single" w:sz="8" w:space="0" w:color="auto"/>
            </w:tcBorders>
            <w:shd w:val="clear" w:color="auto" w:fill="auto"/>
            <w:vAlign w:val="bottom"/>
          </w:tcPr>
          <w:p w14:paraId="4AEBF7DB" w14:textId="77777777" w:rsidR="00A52778" w:rsidRPr="00460F9E" w:rsidRDefault="00A52778" w:rsidP="00FC3F8E">
            <w:pPr>
              <w:spacing w:line="0" w:lineRule="atLeast"/>
              <w:rPr>
                <w:rFonts w:eastAsia="Times New Roman" w:cs="Times New Roman"/>
                <w:b/>
                <w:sz w:val="19"/>
              </w:rPr>
            </w:pPr>
          </w:p>
        </w:tc>
        <w:tc>
          <w:tcPr>
            <w:tcW w:w="520" w:type="dxa"/>
            <w:tcBorders>
              <w:bottom w:val="single" w:sz="8" w:space="0" w:color="auto"/>
              <w:right w:val="single" w:sz="8" w:space="0" w:color="auto"/>
            </w:tcBorders>
            <w:shd w:val="clear" w:color="auto" w:fill="auto"/>
            <w:vAlign w:val="bottom"/>
          </w:tcPr>
          <w:p w14:paraId="5990693E" w14:textId="77777777" w:rsidR="00A52778" w:rsidRPr="00460F9E" w:rsidRDefault="00A52778" w:rsidP="00FC3F8E">
            <w:pPr>
              <w:spacing w:line="0" w:lineRule="atLeast"/>
              <w:rPr>
                <w:rFonts w:eastAsia="Times New Roman" w:cs="Times New Roman"/>
                <w:b/>
                <w:sz w:val="19"/>
              </w:rPr>
            </w:pPr>
          </w:p>
        </w:tc>
      </w:tr>
      <w:tr w:rsidR="00A52778" w:rsidRPr="00460F9E" w14:paraId="6FB5B8D9" w14:textId="77777777" w:rsidTr="00FC3F8E">
        <w:trPr>
          <w:trHeight w:val="343"/>
        </w:trPr>
        <w:tc>
          <w:tcPr>
            <w:tcW w:w="380" w:type="dxa"/>
            <w:tcBorders>
              <w:left w:val="single" w:sz="8" w:space="0" w:color="auto"/>
              <w:right w:val="single" w:sz="8" w:space="0" w:color="auto"/>
            </w:tcBorders>
            <w:shd w:val="clear" w:color="auto" w:fill="auto"/>
            <w:vAlign w:val="bottom"/>
          </w:tcPr>
          <w:p w14:paraId="065BF8CF"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a.</w:t>
            </w:r>
          </w:p>
        </w:tc>
        <w:tc>
          <w:tcPr>
            <w:tcW w:w="1780" w:type="dxa"/>
            <w:tcBorders>
              <w:right w:val="single" w:sz="8" w:space="0" w:color="auto"/>
            </w:tcBorders>
            <w:shd w:val="clear" w:color="auto" w:fill="auto"/>
            <w:vAlign w:val="bottom"/>
          </w:tcPr>
          <w:p w14:paraId="1164D34D"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Absorpsiyon</w:t>
            </w:r>
          </w:p>
        </w:tc>
        <w:tc>
          <w:tcPr>
            <w:tcW w:w="1360" w:type="dxa"/>
            <w:tcBorders>
              <w:right w:val="single" w:sz="8" w:space="0" w:color="auto"/>
            </w:tcBorders>
            <w:shd w:val="clear" w:color="auto" w:fill="auto"/>
            <w:vAlign w:val="bottom"/>
          </w:tcPr>
          <w:p w14:paraId="640AE9FE"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H</w:t>
            </w:r>
            <w:r w:rsidRPr="00460F9E">
              <w:rPr>
                <w:rFonts w:eastAsia="Times New Roman" w:cs="Times New Roman"/>
                <w:sz w:val="12"/>
              </w:rPr>
              <w:t>2</w:t>
            </w:r>
            <w:r w:rsidRPr="00460F9E">
              <w:rPr>
                <w:rFonts w:eastAsia="Times New Roman" w:cs="Times New Roman"/>
              </w:rPr>
              <w:t>S</w:t>
            </w:r>
          </w:p>
        </w:tc>
        <w:tc>
          <w:tcPr>
            <w:tcW w:w="1700" w:type="dxa"/>
            <w:tcBorders>
              <w:right w:val="single" w:sz="8" w:space="0" w:color="auto"/>
            </w:tcBorders>
            <w:shd w:val="clear" w:color="auto" w:fill="auto"/>
            <w:vAlign w:val="bottom"/>
          </w:tcPr>
          <w:p w14:paraId="11BF97E2"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540" w:type="dxa"/>
            <w:gridSpan w:val="7"/>
            <w:tcBorders>
              <w:right w:val="single" w:sz="8" w:space="0" w:color="auto"/>
            </w:tcBorders>
            <w:shd w:val="clear" w:color="auto" w:fill="auto"/>
            <w:vAlign w:val="bottom"/>
          </w:tcPr>
          <w:p w14:paraId="7E326E1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Genel olarak uygulanabilir.</w:t>
            </w:r>
          </w:p>
        </w:tc>
      </w:tr>
      <w:tr w:rsidR="00A52778" w:rsidRPr="00460F9E" w14:paraId="363BA131" w14:textId="77777777" w:rsidTr="00FC3F8E">
        <w:trPr>
          <w:trHeight w:val="125"/>
        </w:trPr>
        <w:tc>
          <w:tcPr>
            <w:tcW w:w="380" w:type="dxa"/>
            <w:tcBorders>
              <w:left w:val="single" w:sz="8" w:space="0" w:color="auto"/>
              <w:bottom w:val="single" w:sz="8" w:space="0" w:color="auto"/>
              <w:right w:val="single" w:sz="8" w:space="0" w:color="auto"/>
            </w:tcBorders>
            <w:shd w:val="clear" w:color="auto" w:fill="auto"/>
            <w:vAlign w:val="bottom"/>
          </w:tcPr>
          <w:p w14:paraId="2981570B" w14:textId="77777777" w:rsidR="00A52778" w:rsidRPr="00460F9E" w:rsidRDefault="00A52778" w:rsidP="00FC3F8E">
            <w:pPr>
              <w:spacing w:line="0" w:lineRule="atLeast"/>
              <w:rPr>
                <w:rFonts w:eastAsia="Times New Roman" w:cs="Times New Roman"/>
                <w:b/>
                <w:sz w:val="10"/>
              </w:rPr>
            </w:pPr>
          </w:p>
        </w:tc>
        <w:tc>
          <w:tcPr>
            <w:tcW w:w="1780" w:type="dxa"/>
            <w:tcBorders>
              <w:bottom w:val="single" w:sz="8" w:space="0" w:color="auto"/>
              <w:right w:val="single" w:sz="8" w:space="0" w:color="auto"/>
            </w:tcBorders>
            <w:shd w:val="clear" w:color="auto" w:fill="auto"/>
            <w:vAlign w:val="bottom"/>
          </w:tcPr>
          <w:p w14:paraId="61F4FE5C" w14:textId="77777777" w:rsidR="00A52778" w:rsidRPr="00460F9E" w:rsidRDefault="00A52778" w:rsidP="00FC3F8E">
            <w:pPr>
              <w:spacing w:line="0" w:lineRule="atLeast"/>
              <w:rPr>
                <w:rFonts w:eastAsia="Times New Roman" w:cs="Times New Roman"/>
                <w:b/>
                <w:sz w:val="10"/>
              </w:rPr>
            </w:pPr>
          </w:p>
        </w:tc>
        <w:tc>
          <w:tcPr>
            <w:tcW w:w="1360" w:type="dxa"/>
            <w:tcBorders>
              <w:bottom w:val="single" w:sz="8" w:space="0" w:color="auto"/>
              <w:right w:val="single" w:sz="8" w:space="0" w:color="auto"/>
            </w:tcBorders>
            <w:shd w:val="clear" w:color="auto" w:fill="auto"/>
            <w:vAlign w:val="bottom"/>
          </w:tcPr>
          <w:p w14:paraId="0ECF0690" w14:textId="77777777" w:rsidR="00A52778" w:rsidRPr="00460F9E" w:rsidRDefault="00A52778" w:rsidP="00FC3F8E">
            <w:pPr>
              <w:spacing w:line="0" w:lineRule="atLeast"/>
              <w:rPr>
                <w:rFonts w:eastAsia="Times New Roman" w:cs="Times New Roman"/>
                <w:b/>
                <w:sz w:val="10"/>
              </w:rPr>
            </w:pPr>
          </w:p>
        </w:tc>
        <w:tc>
          <w:tcPr>
            <w:tcW w:w="1700" w:type="dxa"/>
            <w:tcBorders>
              <w:bottom w:val="single" w:sz="8" w:space="0" w:color="auto"/>
              <w:right w:val="single" w:sz="8" w:space="0" w:color="auto"/>
            </w:tcBorders>
            <w:shd w:val="clear" w:color="auto" w:fill="auto"/>
            <w:vAlign w:val="bottom"/>
          </w:tcPr>
          <w:p w14:paraId="373B6E72" w14:textId="77777777" w:rsidR="00A52778" w:rsidRPr="00460F9E" w:rsidRDefault="00A52778" w:rsidP="00FC3F8E">
            <w:pPr>
              <w:spacing w:line="0" w:lineRule="atLeast"/>
              <w:rPr>
                <w:rFonts w:eastAsia="Times New Roman" w:cs="Times New Roman"/>
                <w:b/>
                <w:sz w:val="10"/>
              </w:rPr>
            </w:pPr>
          </w:p>
        </w:tc>
        <w:tc>
          <w:tcPr>
            <w:tcW w:w="3540" w:type="dxa"/>
            <w:gridSpan w:val="7"/>
            <w:tcBorders>
              <w:bottom w:val="single" w:sz="8" w:space="0" w:color="auto"/>
              <w:right w:val="single" w:sz="8" w:space="0" w:color="auto"/>
            </w:tcBorders>
            <w:shd w:val="clear" w:color="auto" w:fill="auto"/>
            <w:vAlign w:val="bottom"/>
          </w:tcPr>
          <w:p w14:paraId="7E08E4BA" w14:textId="77777777" w:rsidR="00A52778" w:rsidRPr="00460F9E" w:rsidRDefault="00A52778" w:rsidP="00FC3F8E">
            <w:pPr>
              <w:spacing w:line="0" w:lineRule="atLeast"/>
              <w:rPr>
                <w:rFonts w:eastAsia="Times New Roman" w:cs="Times New Roman"/>
                <w:b/>
                <w:sz w:val="10"/>
              </w:rPr>
            </w:pPr>
          </w:p>
        </w:tc>
      </w:tr>
      <w:tr w:rsidR="00A52778" w:rsidRPr="00460F9E" w14:paraId="2C7F47A1" w14:textId="77777777" w:rsidTr="00FC3F8E">
        <w:trPr>
          <w:trHeight w:val="214"/>
        </w:trPr>
        <w:tc>
          <w:tcPr>
            <w:tcW w:w="380" w:type="dxa"/>
            <w:tcBorders>
              <w:left w:val="single" w:sz="8" w:space="0" w:color="auto"/>
              <w:right w:val="single" w:sz="8" w:space="0" w:color="auto"/>
            </w:tcBorders>
            <w:shd w:val="clear" w:color="auto" w:fill="auto"/>
            <w:vAlign w:val="bottom"/>
          </w:tcPr>
          <w:p w14:paraId="28A3A4C0" w14:textId="77777777" w:rsidR="00A52778" w:rsidRPr="00460F9E" w:rsidRDefault="00A52778" w:rsidP="00FC3F8E">
            <w:pPr>
              <w:spacing w:line="0" w:lineRule="atLeast"/>
              <w:rPr>
                <w:rFonts w:eastAsia="Times New Roman" w:cs="Times New Roman"/>
                <w:b/>
                <w:sz w:val="18"/>
              </w:rPr>
            </w:pPr>
          </w:p>
        </w:tc>
        <w:tc>
          <w:tcPr>
            <w:tcW w:w="1780" w:type="dxa"/>
            <w:tcBorders>
              <w:right w:val="single" w:sz="8" w:space="0" w:color="auto"/>
            </w:tcBorders>
            <w:shd w:val="clear" w:color="auto" w:fill="auto"/>
            <w:vAlign w:val="bottom"/>
          </w:tcPr>
          <w:p w14:paraId="28F42C53" w14:textId="77777777" w:rsidR="00A52778" w:rsidRPr="00460F9E" w:rsidRDefault="00A52778" w:rsidP="00FC3F8E">
            <w:pPr>
              <w:spacing w:line="0" w:lineRule="atLeast"/>
              <w:rPr>
                <w:rFonts w:eastAsia="Times New Roman" w:cs="Times New Roman"/>
                <w:b/>
                <w:sz w:val="18"/>
              </w:rPr>
            </w:pPr>
          </w:p>
        </w:tc>
        <w:tc>
          <w:tcPr>
            <w:tcW w:w="1360" w:type="dxa"/>
            <w:tcBorders>
              <w:right w:val="single" w:sz="8" w:space="0" w:color="auto"/>
            </w:tcBorders>
            <w:shd w:val="clear" w:color="auto" w:fill="auto"/>
            <w:vAlign w:val="bottom"/>
          </w:tcPr>
          <w:p w14:paraId="3A552613" w14:textId="77777777" w:rsidR="00A52778" w:rsidRPr="00460F9E" w:rsidRDefault="00A52778" w:rsidP="00FC3F8E">
            <w:pPr>
              <w:spacing w:line="0" w:lineRule="atLeast"/>
              <w:rPr>
                <w:rFonts w:eastAsia="Times New Roman" w:cs="Times New Roman"/>
                <w:b/>
                <w:sz w:val="18"/>
              </w:rPr>
            </w:pPr>
          </w:p>
        </w:tc>
        <w:tc>
          <w:tcPr>
            <w:tcW w:w="1700" w:type="dxa"/>
            <w:tcBorders>
              <w:right w:val="single" w:sz="8" w:space="0" w:color="auto"/>
            </w:tcBorders>
            <w:shd w:val="clear" w:color="auto" w:fill="auto"/>
            <w:vAlign w:val="bottom"/>
          </w:tcPr>
          <w:p w14:paraId="6FA26A09" w14:textId="77777777" w:rsidR="00A52778" w:rsidRPr="00460F9E" w:rsidRDefault="00A52778" w:rsidP="00FC3F8E">
            <w:pPr>
              <w:spacing w:line="0" w:lineRule="atLeast"/>
              <w:rPr>
                <w:rFonts w:eastAsia="Times New Roman" w:cs="Times New Roman"/>
                <w:b/>
                <w:sz w:val="18"/>
              </w:rPr>
            </w:pPr>
          </w:p>
        </w:tc>
        <w:tc>
          <w:tcPr>
            <w:tcW w:w="3540" w:type="dxa"/>
            <w:gridSpan w:val="7"/>
            <w:vMerge w:val="restart"/>
            <w:tcBorders>
              <w:right w:val="single" w:sz="8" w:space="0" w:color="auto"/>
            </w:tcBorders>
            <w:shd w:val="clear" w:color="auto" w:fill="auto"/>
            <w:vAlign w:val="bottom"/>
          </w:tcPr>
          <w:p w14:paraId="44CAD1E2"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Yüksek atık gaz hacmi akışları (örn.        </w:t>
            </w:r>
          </w:p>
          <w:p w14:paraId="33E29342"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60 000 Nm3/h üzerinde) veya atık gazdaki </w:t>
            </w:r>
          </w:p>
          <w:p w14:paraId="163821BF"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yüksek </w:t>
            </w:r>
            <w:r w:rsidRPr="00460F9E">
              <w:rPr>
                <w:rFonts w:eastAsia="Times New Roman" w:cs="Times New Roman"/>
                <w:bCs/>
              </w:rPr>
              <w:t>CS</w:t>
            </w:r>
            <w:r w:rsidRPr="00460F9E">
              <w:rPr>
                <w:rFonts w:eastAsia="Times New Roman" w:cs="Times New Roman"/>
                <w:bCs/>
                <w:vertAlign w:val="subscript"/>
              </w:rPr>
              <w:t>2</w:t>
            </w:r>
            <w:r w:rsidRPr="00460F9E">
              <w:rPr>
                <w:rFonts w:eastAsia="Times New Roman" w:cs="Times New Roman"/>
              </w:rPr>
              <w:t xml:space="preserve"> konsantrasyonu (örn. 1 000 </w:t>
            </w:r>
          </w:p>
          <w:p w14:paraId="02735CE7"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mg/Nm3 üzerinde) veya çok düşük </w:t>
            </w:r>
            <w:r w:rsidRPr="00460F9E">
              <w:rPr>
                <w:rFonts w:eastAsia="Times New Roman" w:cs="Times New Roman"/>
                <w:bCs/>
              </w:rPr>
              <w:t>H</w:t>
            </w:r>
            <w:r w:rsidRPr="00460F9E">
              <w:rPr>
                <w:rFonts w:eastAsia="Times New Roman" w:cs="Times New Roman"/>
                <w:bCs/>
                <w:vertAlign w:val="subscript"/>
              </w:rPr>
              <w:t>2</w:t>
            </w:r>
            <w:r w:rsidRPr="00460F9E">
              <w:rPr>
                <w:rFonts w:eastAsia="Times New Roman" w:cs="Times New Roman"/>
                <w:bCs/>
              </w:rPr>
              <w:t>S</w:t>
            </w:r>
            <w:r w:rsidRPr="00460F9E">
              <w:rPr>
                <w:rFonts w:eastAsia="Times New Roman" w:cs="Times New Roman"/>
              </w:rPr>
              <w:t xml:space="preserve"> </w:t>
            </w:r>
          </w:p>
          <w:p w14:paraId="1EBFCC75"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konsantrasyonu nedeniyle enerji talebinin </w:t>
            </w:r>
          </w:p>
          <w:p w14:paraId="3F13635F"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aşırı olduğu durumlarda uygulanabilirliği </w:t>
            </w:r>
          </w:p>
          <w:p w14:paraId="65D80D3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kısıtlanabilir.   </w:t>
            </w:r>
          </w:p>
        </w:tc>
      </w:tr>
      <w:tr w:rsidR="00A52778" w:rsidRPr="00460F9E" w14:paraId="61A8B1F1" w14:textId="77777777" w:rsidTr="00FC3F8E">
        <w:trPr>
          <w:trHeight w:val="230"/>
        </w:trPr>
        <w:tc>
          <w:tcPr>
            <w:tcW w:w="380" w:type="dxa"/>
            <w:tcBorders>
              <w:left w:val="single" w:sz="8" w:space="0" w:color="auto"/>
              <w:right w:val="single" w:sz="8" w:space="0" w:color="auto"/>
            </w:tcBorders>
            <w:shd w:val="clear" w:color="auto" w:fill="auto"/>
            <w:vAlign w:val="bottom"/>
          </w:tcPr>
          <w:p w14:paraId="29EBA6C2" w14:textId="77777777" w:rsidR="00A52778" w:rsidRPr="00460F9E" w:rsidRDefault="00A52778" w:rsidP="00FC3F8E">
            <w:pPr>
              <w:spacing w:line="0" w:lineRule="atLeast"/>
              <w:rPr>
                <w:rFonts w:eastAsia="Times New Roman" w:cs="Times New Roman"/>
                <w:b/>
              </w:rPr>
            </w:pPr>
          </w:p>
        </w:tc>
        <w:tc>
          <w:tcPr>
            <w:tcW w:w="1780" w:type="dxa"/>
            <w:tcBorders>
              <w:right w:val="single" w:sz="8" w:space="0" w:color="auto"/>
            </w:tcBorders>
            <w:shd w:val="clear" w:color="auto" w:fill="auto"/>
            <w:vAlign w:val="bottom"/>
          </w:tcPr>
          <w:p w14:paraId="50692DF4" w14:textId="77777777" w:rsidR="00A52778" w:rsidRPr="00460F9E" w:rsidRDefault="00A52778" w:rsidP="00FC3F8E">
            <w:pPr>
              <w:spacing w:line="0" w:lineRule="atLeast"/>
              <w:rPr>
                <w:rFonts w:eastAsia="Times New Roman" w:cs="Times New Roman"/>
                <w:b/>
              </w:rPr>
            </w:pPr>
          </w:p>
        </w:tc>
        <w:tc>
          <w:tcPr>
            <w:tcW w:w="1360" w:type="dxa"/>
            <w:tcBorders>
              <w:right w:val="single" w:sz="8" w:space="0" w:color="auto"/>
            </w:tcBorders>
            <w:shd w:val="clear" w:color="auto" w:fill="auto"/>
            <w:vAlign w:val="bottom"/>
          </w:tcPr>
          <w:p w14:paraId="6E14BC6F" w14:textId="77777777" w:rsidR="00A52778" w:rsidRPr="00460F9E" w:rsidRDefault="00A52778" w:rsidP="00FC3F8E">
            <w:pPr>
              <w:spacing w:line="0" w:lineRule="atLeast"/>
              <w:rPr>
                <w:rFonts w:eastAsia="Times New Roman" w:cs="Times New Roman"/>
                <w:b/>
              </w:rPr>
            </w:pPr>
          </w:p>
        </w:tc>
        <w:tc>
          <w:tcPr>
            <w:tcW w:w="1700" w:type="dxa"/>
            <w:tcBorders>
              <w:right w:val="single" w:sz="8" w:space="0" w:color="auto"/>
            </w:tcBorders>
            <w:shd w:val="clear" w:color="auto" w:fill="auto"/>
            <w:vAlign w:val="bottom"/>
          </w:tcPr>
          <w:p w14:paraId="2C8DE383" w14:textId="77777777" w:rsidR="00A52778" w:rsidRPr="00460F9E" w:rsidRDefault="00A52778" w:rsidP="00FC3F8E">
            <w:pPr>
              <w:spacing w:line="0" w:lineRule="atLeast"/>
              <w:rPr>
                <w:rFonts w:eastAsia="Times New Roman" w:cs="Times New Roman"/>
                <w:b/>
              </w:rPr>
            </w:pPr>
          </w:p>
        </w:tc>
        <w:tc>
          <w:tcPr>
            <w:tcW w:w="3540" w:type="dxa"/>
            <w:gridSpan w:val="7"/>
            <w:vMerge/>
            <w:tcBorders>
              <w:right w:val="single" w:sz="8" w:space="0" w:color="auto"/>
            </w:tcBorders>
            <w:shd w:val="clear" w:color="auto" w:fill="auto"/>
            <w:vAlign w:val="bottom"/>
          </w:tcPr>
          <w:p w14:paraId="5A5DF5B9" w14:textId="77777777" w:rsidR="00A52778" w:rsidRPr="00460F9E" w:rsidRDefault="00A52778" w:rsidP="00FC3F8E">
            <w:pPr>
              <w:spacing w:line="0" w:lineRule="atLeast"/>
              <w:rPr>
                <w:rFonts w:eastAsia="Times New Roman" w:cs="Times New Roman"/>
                <w:b/>
              </w:rPr>
            </w:pPr>
          </w:p>
        </w:tc>
      </w:tr>
      <w:tr w:rsidR="00A52778" w:rsidRPr="00460F9E" w14:paraId="7D26BB0B" w14:textId="77777777" w:rsidTr="00FC3F8E">
        <w:trPr>
          <w:trHeight w:val="230"/>
        </w:trPr>
        <w:tc>
          <w:tcPr>
            <w:tcW w:w="380" w:type="dxa"/>
            <w:tcBorders>
              <w:left w:val="single" w:sz="8" w:space="0" w:color="auto"/>
              <w:right w:val="single" w:sz="8" w:space="0" w:color="auto"/>
            </w:tcBorders>
            <w:shd w:val="clear" w:color="auto" w:fill="auto"/>
            <w:vAlign w:val="bottom"/>
          </w:tcPr>
          <w:p w14:paraId="1FBF4E6F" w14:textId="77777777" w:rsidR="00A52778" w:rsidRPr="00460F9E" w:rsidRDefault="00A52778" w:rsidP="00FC3F8E">
            <w:pPr>
              <w:spacing w:line="0" w:lineRule="atLeast"/>
              <w:rPr>
                <w:rFonts w:eastAsia="Times New Roman" w:cs="Times New Roman"/>
                <w:b/>
              </w:rPr>
            </w:pPr>
          </w:p>
        </w:tc>
        <w:tc>
          <w:tcPr>
            <w:tcW w:w="1780" w:type="dxa"/>
            <w:tcBorders>
              <w:right w:val="single" w:sz="8" w:space="0" w:color="auto"/>
            </w:tcBorders>
            <w:shd w:val="clear" w:color="auto" w:fill="auto"/>
            <w:vAlign w:val="bottom"/>
          </w:tcPr>
          <w:p w14:paraId="0930B0AD" w14:textId="77777777" w:rsidR="00A52778" w:rsidRPr="00460F9E" w:rsidRDefault="00A52778" w:rsidP="00FC3F8E">
            <w:pPr>
              <w:spacing w:line="0" w:lineRule="atLeast"/>
              <w:rPr>
                <w:rFonts w:eastAsia="Times New Roman" w:cs="Times New Roman"/>
                <w:b/>
              </w:rPr>
            </w:pPr>
          </w:p>
        </w:tc>
        <w:tc>
          <w:tcPr>
            <w:tcW w:w="1360" w:type="dxa"/>
            <w:tcBorders>
              <w:right w:val="single" w:sz="8" w:space="0" w:color="auto"/>
            </w:tcBorders>
            <w:shd w:val="clear" w:color="auto" w:fill="auto"/>
            <w:vAlign w:val="bottom"/>
          </w:tcPr>
          <w:p w14:paraId="2BF680BD" w14:textId="77777777" w:rsidR="00A52778" w:rsidRPr="00460F9E" w:rsidRDefault="00A52778" w:rsidP="00FC3F8E">
            <w:pPr>
              <w:spacing w:line="0" w:lineRule="atLeast"/>
              <w:rPr>
                <w:rFonts w:eastAsia="Times New Roman" w:cs="Times New Roman"/>
                <w:b/>
              </w:rPr>
            </w:pPr>
          </w:p>
        </w:tc>
        <w:tc>
          <w:tcPr>
            <w:tcW w:w="1700" w:type="dxa"/>
            <w:tcBorders>
              <w:right w:val="single" w:sz="8" w:space="0" w:color="auto"/>
            </w:tcBorders>
            <w:shd w:val="clear" w:color="auto" w:fill="auto"/>
            <w:vAlign w:val="bottom"/>
          </w:tcPr>
          <w:p w14:paraId="2AB5ACBA" w14:textId="77777777" w:rsidR="00A52778" w:rsidRPr="00460F9E" w:rsidRDefault="00A52778" w:rsidP="00FC3F8E">
            <w:pPr>
              <w:spacing w:line="0" w:lineRule="atLeast"/>
              <w:rPr>
                <w:rFonts w:eastAsia="Times New Roman" w:cs="Times New Roman"/>
                <w:b/>
              </w:rPr>
            </w:pPr>
          </w:p>
        </w:tc>
        <w:tc>
          <w:tcPr>
            <w:tcW w:w="3540" w:type="dxa"/>
            <w:gridSpan w:val="7"/>
            <w:vMerge/>
            <w:tcBorders>
              <w:right w:val="single" w:sz="8" w:space="0" w:color="auto"/>
            </w:tcBorders>
            <w:shd w:val="clear" w:color="auto" w:fill="auto"/>
            <w:vAlign w:val="bottom"/>
          </w:tcPr>
          <w:p w14:paraId="16B01BC9" w14:textId="77777777" w:rsidR="00A52778" w:rsidRPr="00460F9E" w:rsidRDefault="00A52778" w:rsidP="00FC3F8E">
            <w:pPr>
              <w:spacing w:line="0" w:lineRule="atLeast"/>
              <w:rPr>
                <w:rFonts w:eastAsia="Times New Roman" w:cs="Times New Roman"/>
                <w:b/>
              </w:rPr>
            </w:pPr>
          </w:p>
        </w:tc>
      </w:tr>
      <w:tr w:rsidR="00A52778" w:rsidRPr="00460F9E" w14:paraId="389C9D9E" w14:textId="77777777" w:rsidTr="00FC3F8E">
        <w:trPr>
          <w:trHeight w:val="242"/>
        </w:trPr>
        <w:tc>
          <w:tcPr>
            <w:tcW w:w="380" w:type="dxa"/>
            <w:tcBorders>
              <w:left w:val="single" w:sz="8" w:space="0" w:color="auto"/>
              <w:right w:val="single" w:sz="8" w:space="0" w:color="auto"/>
            </w:tcBorders>
            <w:shd w:val="clear" w:color="auto" w:fill="auto"/>
            <w:vAlign w:val="bottom"/>
          </w:tcPr>
          <w:p w14:paraId="51E28AB5"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b.</w:t>
            </w:r>
          </w:p>
        </w:tc>
        <w:tc>
          <w:tcPr>
            <w:tcW w:w="1780" w:type="dxa"/>
            <w:tcBorders>
              <w:right w:val="single" w:sz="8" w:space="0" w:color="auto"/>
            </w:tcBorders>
            <w:shd w:val="clear" w:color="auto" w:fill="auto"/>
            <w:vAlign w:val="bottom"/>
          </w:tcPr>
          <w:p w14:paraId="7AF02960"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Biyoprosesler</w:t>
            </w:r>
          </w:p>
        </w:tc>
        <w:tc>
          <w:tcPr>
            <w:tcW w:w="1360" w:type="dxa"/>
            <w:tcBorders>
              <w:right w:val="single" w:sz="8" w:space="0" w:color="auto"/>
            </w:tcBorders>
            <w:shd w:val="clear" w:color="auto" w:fill="auto"/>
            <w:vAlign w:val="bottom"/>
          </w:tcPr>
          <w:p w14:paraId="6A705018" w14:textId="77777777" w:rsidR="00A52778" w:rsidRPr="00460F9E" w:rsidRDefault="00A52778" w:rsidP="00FC3F8E">
            <w:pPr>
              <w:spacing w:line="0" w:lineRule="atLeast"/>
              <w:jc w:val="center"/>
              <w:rPr>
                <w:rFonts w:eastAsia="Times New Roman" w:cs="Times New Roman"/>
                <w:b/>
                <w:w w:val="97"/>
              </w:rPr>
            </w:pPr>
            <w:r w:rsidRPr="00460F9E">
              <w:rPr>
                <w:rFonts w:eastAsia="Times New Roman" w:cs="Times New Roman"/>
                <w:w w:val="97"/>
              </w:rPr>
              <w:t>CS</w:t>
            </w:r>
            <w:r w:rsidRPr="00460F9E">
              <w:rPr>
                <w:rFonts w:eastAsia="Times New Roman" w:cs="Times New Roman"/>
                <w:w w:val="97"/>
                <w:sz w:val="12"/>
              </w:rPr>
              <w:t>2,</w:t>
            </w:r>
            <w:r w:rsidRPr="00460F9E">
              <w:rPr>
                <w:rFonts w:eastAsia="Times New Roman" w:cs="Times New Roman"/>
                <w:w w:val="97"/>
              </w:rPr>
              <w:t xml:space="preserve"> H</w:t>
            </w:r>
            <w:r w:rsidRPr="00460F9E">
              <w:rPr>
                <w:rFonts w:eastAsia="Times New Roman" w:cs="Times New Roman"/>
                <w:w w:val="97"/>
                <w:sz w:val="12"/>
              </w:rPr>
              <w:t>2</w:t>
            </w:r>
            <w:r w:rsidRPr="00460F9E">
              <w:rPr>
                <w:rFonts w:eastAsia="Times New Roman" w:cs="Times New Roman"/>
                <w:w w:val="97"/>
              </w:rPr>
              <w:t>S</w:t>
            </w:r>
          </w:p>
        </w:tc>
        <w:tc>
          <w:tcPr>
            <w:tcW w:w="1700" w:type="dxa"/>
            <w:tcBorders>
              <w:right w:val="single" w:sz="8" w:space="0" w:color="auto"/>
            </w:tcBorders>
            <w:shd w:val="clear" w:color="auto" w:fill="auto"/>
            <w:vAlign w:val="bottom"/>
          </w:tcPr>
          <w:p w14:paraId="71BD8B3F"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540" w:type="dxa"/>
            <w:gridSpan w:val="7"/>
            <w:vMerge/>
            <w:tcBorders>
              <w:right w:val="single" w:sz="8" w:space="0" w:color="auto"/>
            </w:tcBorders>
            <w:shd w:val="clear" w:color="auto" w:fill="auto"/>
            <w:vAlign w:val="bottom"/>
          </w:tcPr>
          <w:p w14:paraId="0F93EA9F" w14:textId="77777777" w:rsidR="00A52778" w:rsidRPr="00460F9E" w:rsidRDefault="00A52778" w:rsidP="00FC3F8E">
            <w:pPr>
              <w:spacing w:line="0" w:lineRule="atLeast"/>
              <w:rPr>
                <w:rFonts w:eastAsia="Times New Roman" w:cs="Times New Roman"/>
                <w:b/>
                <w:sz w:val="12"/>
              </w:rPr>
            </w:pPr>
          </w:p>
        </w:tc>
      </w:tr>
      <w:tr w:rsidR="00A52778" w:rsidRPr="00460F9E" w14:paraId="14A7796C" w14:textId="77777777" w:rsidTr="00FC3F8E">
        <w:trPr>
          <w:trHeight w:val="219"/>
        </w:trPr>
        <w:tc>
          <w:tcPr>
            <w:tcW w:w="380" w:type="dxa"/>
            <w:tcBorders>
              <w:left w:val="single" w:sz="8" w:space="0" w:color="auto"/>
              <w:right w:val="single" w:sz="8" w:space="0" w:color="auto"/>
            </w:tcBorders>
            <w:shd w:val="clear" w:color="auto" w:fill="auto"/>
            <w:vAlign w:val="bottom"/>
          </w:tcPr>
          <w:p w14:paraId="6B5797A7" w14:textId="77777777" w:rsidR="00A52778" w:rsidRPr="00460F9E" w:rsidRDefault="00A52778" w:rsidP="00FC3F8E">
            <w:pPr>
              <w:spacing w:line="0" w:lineRule="atLeast"/>
              <w:rPr>
                <w:rFonts w:eastAsia="Times New Roman" w:cs="Times New Roman"/>
                <w:b/>
                <w:sz w:val="19"/>
              </w:rPr>
            </w:pPr>
          </w:p>
        </w:tc>
        <w:tc>
          <w:tcPr>
            <w:tcW w:w="1780" w:type="dxa"/>
            <w:tcBorders>
              <w:right w:val="single" w:sz="8" w:space="0" w:color="auto"/>
            </w:tcBorders>
            <w:shd w:val="clear" w:color="auto" w:fill="auto"/>
            <w:vAlign w:val="bottom"/>
          </w:tcPr>
          <w:p w14:paraId="1A61D908" w14:textId="77777777" w:rsidR="00A52778" w:rsidRPr="00460F9E" w:rsidRDefault="00A52778" w:rsidP="00FC3F8E">
            <w:pPr>
              <w:spacing w:line="0" w:lineRule="atLeast"/>
              <w:rPr>
                <w:rFonts w:eastAsia="Times New Roman" w:cs="Times New Roman"/>
                <w:b/>
                <w:sz w:val="19"/>
              </w:rPr>
            </w:pPr>
          </w:p>
        </w:tc>
        <w:tc>
          <w:tcPr>
            <w:tcW w:w="1360" w:type="dxa"/>
            <w:tcBorders>
              <w:right w:val="single" w:sz="8" w:space="0" w:color="auto"/>
            </w:tcBorders>
            <w:shd w:val="clear" w:color="auto" w:fill="auto"/>
            <w:vAlign w:val="bottom"/>
          </w:tcPr>
          <w:p w14:paraId="36CFC905" w14:textId="77777777" w:rsidR="00A52778" w:rsidRPr="00460F9E" w:rsidRDefault="00A52778" w:rsidP="00FC3F8E">
            <w:pPr>
              <w:spacing w:line="0" w:lineRule="atLeast"/>
              <w:rPr>
                <w:rFonts w:eastAsia="Times New Roman" w:cs="Times New Roman"/>
                <w:b/>
                <w:sz w:val="19"/>
              </w:rPr>
            </w:pPr>
          </w:p>
        </w:tc>
        <w:tc>
          <w:tcPr>
            <w:tcW w:w="1700" w:type="dxa"/>
            <w:tcBorders>
              <w:right w:val="single" w:sz="8" w:space="0" w:color="auto"/>
            </w:tcBorders>
            <w:shd w:val="clear" w:color="auto" w:fill="auto"/>
            <w:vAlign w:val="bottom"/>
          </w:tcPr>
          <w:p w14:paraId="5C5F98BC" w14:textId="77777777" w:rsidR="00A52778" w:rsidRPr="00460F9E" w:rsidRDefault="00A52778" w:rsidP="00FC3F8E">
            <w:pPr>
              <w:spacing w:line="0" w:lineRule="atLeast"/>
              <w:rPr>
                <w:rFonts w:eastAsia="Times New Roman" w:cs="Times New Roman"/>
                <w:b/>
                <w:sz w:val="19"/>
              </w:rPr>
            </w:pPr>
          </w:p>
        </w:tc>
        <w:tc>
          <w:tcPr>
            <w:tcW w:w="3540" w:type="dxa"/>
            <w:gridSpan w:val="7"/>
            <w:vMerge/>
            <w:tcBorders>
              <w:right w:val="single" w:sz="8" w:space="0" w:color="auto"/>
            </w:tcBorders>
            <w:shd w:val="clear" w:color="auto" w:fill="auto"/>
            <w:vAlign w:val="bottom"/>
          </w:tcPr>
          <w:p w14:paraId="5A734EEB" w14:textId="77777777" w:rsidR="00A52778" w:rsidRPr="00460F9E" w:rsidRDefault="00A52778" w:rsidP="00FC3F8E">
            <w:pPr>
              <w:spacing w:line="0" w:lineRule="atLeast"/>
              <w:rPr>
                <w:rFonts w:eastAsia="Times New Roman" w:cs="Times New Roman"/>
                <w:b/>
              </w:rPr>
            </w:pPr>
          </w:p>
        </w:tc>
      </w:tr>
      <w:tr w:rsidR="00A52778" w:rsidRPr="00460F9E" w14:paraId="2FC8620E" w14:textId="77777777" w:rsidTr="00FC3F8E">
        <w:trPr>
          <w:trHeight w:val="239"/>
        </w:trPr>
        <w:tc>
          <w:tcPr>
            <w:tcW w:w="380" w:type="dxa"/>
            <w:tcBorders>
              <w:left w:val="single" w:sz="8" w:space="0" w:color="auto"/>
              <w:right w:val="single" w:sz="8" w:space="0" w:color="auto"/>
            </w:tcBorders>
            <w:shd w:val="clear" w:color="auto" w:fill="auto"/>
            <w:vAlign w:val="bottom"/>
          </w:tcPr>
          <w:p w14:paraId="77E9D4DC" w14:textId="77777777" w:rsidR="00A52778" w:rsidRPr="00460F9E" w:rsidRDefault="00A52778" w:rsidP="00FC3F8E">
            <w:pPr>
              <w:spacing w:line="0" w:lineRule="atLeast"/>
              <w:rPr>
                <w:rFonts w:eastAsia="Times New Roman" w:cs="Times New Roman"/>
                <w:b/>
              </w:rPr>
            </w:pPr>
          </w:p>
        </w:tc>
        <w:tc>
          <w:tcPr>
            <w:tcW w:w="1780" w:type="dxa"/>
            <w:tcBorders>
              <w:right w:val="single" w:sz="8" w:space="0" w:color="auto"/>
            </w:tcBorders>
            <w:shd w:val="clear" w:color="auto" w:fill="auto"/>
            <w:vAlign w:val="bottom"/>
          </w:tcPr>
          <w:p w14:paraId="6097F7B4" w14:textId="77777777" w:rsidR="00A52778" w:rsidRPr="00460F9E" w:rsidRDefault="00A52778" w:rsidP="00FC3F8E">
            <w:pPr>
              <w:spacing w:line="0" w:lineRule="atLeast"/>
              <w:rPr>
                <w:rFonts w:eastAsia="Times New Roman" w:cs="Times New Roman"/>
                <w:b/>
              </w:rPr>
            </w:pPr>
          </w:p>
        </w:tc>
        <w:tc>
          <w:tcPr>
            <w:tcW w:w="1360" w:type="dxa"/>
            <w:tcBorders>
              <w:right w:val="single" w:sz="8" w:space="0" w:color="auto"/>
            </w:tcBorders>
            <w:shd w:val="clear" w:color="auto" w:fill="auto"/>
            <w:vAlign w:val="bottom"/>
          </w:tcPr>
          <w:p w14:paraId="410690ED" w14:textId="77777777" w:rsidR="00A52778" w:rsidRPr="00460F9E" w:rsidRDefault="00A52778" w:rsidP="00FC3F8E">
            <w:pPr>
              <w:spacing w:line="0" w:lineRule="atLeast"/>
              <w:rPr>
                <w:rFonts w:eastAsia="Times New Roman" w:cs="Times New Roman"/>
                <w:b/>
              </w:rPr>
            </w:pPr>
          </w:p>
        </w:tc>
        <w:tc>
          <w:tcPr>
            <w:tcW w:w="1700" w:type="dxa"/>
            <w:tcBorders>
              <w:right w:val="single" w:sz="8" w:space="0" w:color="auto"/>
            </w:tcBorders>
            <w:shd w:val="clear" w:color="auto" w:fill="auto"/>
            <w:vAlign w:val="bottom"/>
          </w:tcPr>
          <w:p w14:paraId="33F2BA73" w14:textId="77777777" w:rsidR="00A52778" w:rsidRPr="00460F9E" w:rsidRDefault="00A52778" w:rsidP="00FC3F8E">
            <w:pPr>
              <w:spacing w:line="0" w:lineRule="atLeast"/>
              <w:rPr>
                <w:rFonts w:eastAsia="Times New Roman" w:cs="Times New Roman"/>
                <w:b/>
              </w:rPr>
            </w:pPr>
          </w:p>
        </w:tc>
        <w:tc>
          <w:tcPr>
            <w:tcW w:w="3540" w:type="dxa"/>
            <w:gridSpan w:val="7"/>
            <w:vMerge/>
            <w:tcBorders>
              <w:right w:val="single" w:sz="8" w:space="0" w:color="auto"/>
            </w:tcBorders>
            <w:shd w:val="clear" w:color="auto" w:fill="auto"/>
            <w:vAlign w:val="bottom"/>
          </w:tcPr>
          <w:p w14:paraId="01E7AC44" w14:textId="77777777" w:rsidR="00A52778" w:rsidRPr="00460F9E" w:rsidRDefault="00A52778" w:rsidP="00FC3F8E">
            <w:pPr>
              <w:spacing w:line="0" w:lineRule="atLeast"/>
              <w:rPr>
                <w:rFonts w:eastAsia="Times New Roman" w:cs="Times New Roman"/>
                <w:b/>
              </w:rPr>
            </w:pPr>
          </w:p>
        </w:tc>
      </w:tr>
      <w:tr w:rsidR="00A52778" w:rsidRPr="00460F9E" w14:paraId="3C58D6E2" w14:textId="77777777" w:rsidTr="00FC3F8E">
        <w:trPr>
          <w:trHeight w:val="222"/>
        </w:trPr>
        <w:tc>
          <w:tcPr>
            <w:tcW w:w="380" w:type="dxa"/>
            <w:tcBorders>
              <w:left w:val="single" w:sz="8" w:space="0" w:color="auto"/>
              <w:bottom w:val="single" w:sz="8" w:space="0" w:color="auto"/>
              <w:right w:val="single" w:sz="8" w:space="0" w:color="auto"/>
            </w:tcBorders>
            <w:shd w:val="clear" w:color="auto" w:fill="auto"/>
            <w:vAlign w:val="bottom"/>
          </w:tcPr>
          <w:p w14:paraId="35667327" w14:textId="77777777" w:rsidR="00A52778" w:rsidRPr="00460F9E" w:rsidRDefault="00A52778" w:rsidP="00FC3F8E">
            <w:pPr>
              <w:spacing w:line="0" w:lineRule="atLeast"/>
              <w:rPr>
                <w:rFonts w:eastAsia="Times New Roman" w:cs="Times New Roman"/>
                <w:b/>
                <w:sz w:val="19"/>
              </w:rPr>
            </w:pPr>
          </w:p>
        </w:tc>
        <w:tc>
          <w:tcPr>
            <w:tcW w:w="1780" w:type="dxa"/>
            <w:tcBorders>
              <w:bottom w:val="single" w:sz="8" w:space="0" w:color="auto"/>
              <w:right w:val="single" w:sz="8" w:space="0" w:color="auto"/>
            </w:tcBorders>
            <w:shd w:val="clear" w:color="auto" w:fill="auto"/>
            <w:vAlign w:val="bottom"/>
          </w:tcPr>
          <w:p w14:paraId="365C7543" w14:textId="77777777" w:rsidR="00A52778" w:rsidRPr="00460F9E" w:rsidRDefault="00A52778" w:rsidP="00FC3F8E">
            <w:pPr>
              <w:spacing w:line="0" w:lineRule="atLeast"/>
              <w:rPr>
                <w:rFonts w:eastAsia="Times New Roman" w:cs="Times New Roman"/>
                <w:b/>
                <w:sz w:val="19"/>
              </w:rPr>
            </w:pPr>
          </w:p>
        </w:tc>
        <w:tc>
          <w:tcPr>
            <w:tcW w:w="1360" w:type="dxa"/>
            <w:tcBorders>
              <w:bottom w:val="single" w:sz="8" w:space="0" w:color="auto"/>
              <w:right w:val="single" w:sz="8" w:space="0" w:color="auto"/>
            </w:tcBorders>
            <w:shd w:val="clear" w:color="auto" w:fill="auto"/>
            <w:vAlign w:val="bottom"/>
          </w:tcPr>
          <w:p w14:paraId="140B59DE" w14:textId="77777777" w:rsidR="00A52778" w:rsidRPr="00460F9E" w:rsidRDefault="00A52778" w:rsidP="00FC3F8E">
            <w:pPr>
              <w:spacing w:line="0" w:lineRule="atLeast"/>
              <w:rPr>
                <w:rFonts w:eastAsia="Times New Roman" w:cs="Times New Roman"/>
                <w:b/>
                <w:sz w:val="19"/>
              </w:rPr>
            </w:pPr>
          </w:p>
        </w:tc>
        <w:tc>
          <w:tcPr>
            <w:tcW w:w="1700" w:type="dxa"/>
            <w:tcBorders>
              <w:bottom w:val="single" w:sz="8" w:space="0" w:color="auto"/>
              <w:right w:val="single" w:sz="8" w:space="0" w:color="auto"/>
            </w:tcBorders>
            <w:shd w:val="clear" w:color="auto" w:fill="auto"/>
            <w:vAlign w:val="bottom"/>
          </w:tcPr>
          <w:p w14:paraId="12835AEA" w14:textId="77777777" w:rsidR="00A52778" w:rsidRPr="00460F9E" w:rsidRDefault="00A52778" w:rsidP="00FC3F8E">
            <w:pPr>
              <w:spacing w:line="0" w:lineRule="atLeast"/>
              <w:rPr>
                <w:rFonts w:eastAsia="Times New Roman" w:cs="Times New Roman"/>
                <w:b/>
                <w:sz w:val="19"/>
              </w:rPr>
            </w:pPr>
          </w:p>
        </w:tc>
        <w:tc>
          <w:tcPr>
            <w:tcW w:w="3540" w:type="dxa"/>
            <w:gridSpan w:val="7"/>
            <w:vMerge/>
            <w:tcBorders>
              <w:bottom w:val="single" w:sz="8" w:space="0" w:color="auto"/>
              <w:right w:val="single" w:sz="8" w:space="0" w:color="auto"/>
            </w:tcBorders>
            <w:shd w:val="clear" w:color="auto" w:fill="auto"/>
            <w:vAlign w:val="bottom"/>
          </w:tcPr>
          <w:p w14:paraId="54437E80" w14:textId="77777777" w:rsidR="00A52778" w:rsidRPr="00460F9E" w:rsidRDefault="00A52778" w:rsidP="00FC3F8E">
            <w:pPr>
              <w:spacing w:line="0" w:lineRule="atLeast"/>
              <w:rPr>
                <w:rFonts w:eastAsia="Times New Roman" w:cs="Times New Roman"/>
                <w:b/>
                <w:sz w:val="19"/>
              </w:rPr>
            </w:pPr>
          </w:p>
        </w:tc>
      </w:tr>
      <w:tr w:rsidR="00A52778" w:rsidRPr="00460F9E" w14:paraId="0E96875B" w14:textId="77777777" w:rsidTr="00FC3F8E">
        <w:trPr>
          <w:trHeight w:val="218"/>
        </w:trPr>
        <w:tc>
          <w:tcPr>
            <w:tcW w:w="380" w:type="dxa"/>
            <w:tcBorders>
              <w:left w:val="single" w:sz="8" w:space="0" w:color="auto"/>
              <w:right w:val="single" w:sz="8" w:space="0" w:color="auto"/>
            </w:tcBorders>
            <w:shd w:val="clear" w:color="auto" w:fill="auto"/>
            <w:vAlign w:val="bottom"/>
          </w:tcPr>
          <w:p w14:paraId="37386289" w14:textId="77777777" w:rsidR="00A52778" w:rsidRPr="00460F9E" w:rsidRDefault="00A52778" w:rsidP="00FC3F8E">
            <w:pPr>
              <w:spacing w:line="0" w:lineRule="atLeast"/>
              <w:rPr>
                <w:rFonts w:eastAsia="Times New Roman" w:cs="Times New Roman"/>
                <w:b/>
                <w:sz w:val="18"/>
              </w:rPr>
            </w:pPr>
          </w:p>
        </w:tc>
        <w:tc>
          <w:tcPr>
            <w:tcW w:w="1780" w:type="dxa"/>
            <w:tcBorders>
              <w:right w:val="single" w:sz="8" w:space="0" w:color="auto"/>
            </w:tcBorders>
            <w:shd w:val="clear" w:color="auto" w:fill="auto"/>
            <w:vAlign w:val="bottom"/>
          </w:tcPr>
          <w:p w14:paraId="0928F1B9" w14:textId="77777777" w:rsidR="00A52778" w:rsidRPr="00460F9E" w:rsidRDefault="00A52778" w:rsidP="00FC3F8E">
            <w:pPr>
              <w:spacing w:line="0" w:lineRule="atLeast"/>
              <w:rPr>
                <w:rFonts w:eastAsia="Times New Roman" w:cs="Times New Roman"/>
                <w:b/>
                <w:sz w:val="18"/>
              </w:rPr>
            </w:pPr>
          </w:p>
        </w:tc>
        <w:tc>
          <w:tcPr>
            <w:tcW w:w="1360" w:type="dxa"/>
            <w:tcBorders>
              <w:right w:val="single" w:sz="8" w:space="0" w:color="auto"/>
            </w:tcBorders>
            <w:shd w:val="clear" w:color="auto" w:fill="auto"/>
            <w:vAlign w:val="bottom"/>
          </w:tcPr>
          <w:p w14:paraId="02CDF26B" w14:textId="77777777" w:rsidR="00A52778" w:rsidRPr="00460F9E" w:rsidRDefault="00A52778" w:rsidP="00FC3F8E">
            <w:pPr>
              <w:spacing w:line="0" w:lineRule="atLeast"/>
              <w:rPr>
                <w:rFonts w:eastAsia="Times New Roman" w:cs="Times New Roman"/>
                <w:b/>
                <w:sz w:val="18"/>
              </w:rPr>
            </w:pPr>
          </w:p>
        </w:tc>
        <w:tc>
          <w:tcPr>
            <w:tcW w:w="1700" w:type="dxa"/>
            <w:tcBorders>
              <w:right w:val="single" w:sz="8" w:space="0" w:color="auto"/>
            </w:tcBorders>
            <w:shd w:val="clear" w:color="auto" w:fill="auto"/>
            <w:vAlign w:val="bottom"/>
          </w:tcPr>
          <w:p w14:paraId="31D9ACCB" w14:textId="77777777" w:rsidR="00A52778" w:rsidRPr="00460F9E" w:rsidRDefault="00A52778" w:rsidP="00FC3F8E">
            <w:pPr>
              <w:spacing w:line="0" w:lineRule="atLeast"/>
              <w:rPr>
                <w:rFonts w:eastAsia="Times New Roman" w:cs="Times New Roman"/>
                <w:b/>
                <w:sz w:val="18"/>
              </w:rPr>
            </w:pPr>
          </w:p>
        </w:tc>
        <w:tc>
          <w:tcPr>
            <w:tcW w:w="3540" w:type="dxa"/>
            <w:gridSpan w:val="7"/>
            <w:vMerge w:val="restart"/>
            <w:tcBorders>
              <w:right w:val="single" w:sz="8" w:space="0" w:color="auto"/>
            </w:tcBorders>
            <w:shd w:val="clear" w:color="auto" w:fill="auto"/>
            <w:vAlign w:val="bottom"/>
          </w:tcPr>
          <w:p w14:paraId="06C6AAE3"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Reküperatif ve rejeneratif termal oksidasyonun mevcut tesislere uygulanabilirliği tasarım ve/veya işletme kısıtlamaları nedeniyle kısıtlanabilir.</w:t>
            </w:r>
          </w:p>
        </w:tc>
      </w:tr>
      <w:tr w:rsidR="00A52778" w:rsidRPr="00460F9E" w14:paraId="51501C6E" w14:textId="77777777" w:rsidTr="00FC3F8E">
        <w:trPr>
          <w:trHeight w:val="230"/>
        </w:trPr>
        <w:tc>
          <w:tcPr>
            <w:tcW w:w="380" w:type="dxa"/>
            <w:tcBorders>
              <w:left w:val="single" w:sz="8" w:space="0" w:color="auto"/>
              <w:right w:val="single" w:sz="8" w:space="0" w:color="auto"/>
            </w:tcBorders>
            <w:shd w:val="clear" w:color="auto" w:fill="auto"/>
            <w:vAlign w:val="bottom"/>
          </w:tcPr>
          <w:p w14:paraId="3FD36D13" w14:textId="77777777" w:rsidR="00A52778" w:rsidRPr="00460F9E" w:rsidRDefault="00A52778" w:rsidP="00FC3F8E">
            <w:pPr>
              <w:spacing w:line="0" w:lineRule="atLeast"/>
              <w:rPr>
                <w:rFonts w:eastAsia="Times New Roman" w:cs="Times New Roman"/>
                <w:b/>
              </w:rPr>
            </w:pPr>
          </w:p>
        </w:tc>
        <w:tc>
          <w:tcPr>
            <w:tcW w:w="1780" w:type="dxa"/>
            <w:tcBorders>
              <w:right w:val="single" w:sz="8" w:space="0" w:color="auto"/>
            </w:tcBorders>
            <w:shd w:val="clear" w:color="auto" w:fill="auto"/>
            <w:vAlign w:val="bottom"/>
          </w:tcPr>
          <w:p w14:paraId="2D0C4287" w14:textId="77777777" w:rsidR="00A52778" w:rsidRPr="00460F9E" w:rsidRDefault="00A52778" w:rsidP="00FC3F8E">
            <w:pPr>
              <w:spacing w:line="0" w:lineRule="atLeast"/>
              <w:rPr>
                <w:rFonts w:eastAsia="Times New Roman" w:cs="Times New Roman"/>
                <w:b/>
              </w:rPr>
            </w:pPr>
          </w:p>
        </w:tc>
        <w:tc>
          <w:tcPr>
            <w:tcW w:w="1360" w:type="dxa"/>
            <w:tcBorders>
              <w:right w:val="single" w:sz="8" w:space="0" w:color="auto"/>
            </w:tcBorders>
            <w:shd w:val="clear" w:color="auto" w:fill="auto"/>
            <w:vAlign w:val="bottom"/>
          </w:tcPr>
          <w:p w14:paraId="4A60F99A" w14:textId="77777777" w:rsidR="00A52778" w:rsidRPr="00460F9E" w:rsidRDefault="00A52778" w:rsidP="00FC3F8E">
            <w:pPr>
              <w:spacing w:line="0" w:lineRule="atLeast"/>
              <w:rPr>
                <w:rFonts w:eastAsia="Times New Roman" w:cs="Times New Roman"/>
                <w:b/>
              </w:rPr>
            </w:pPr>
          </w:p>
        </w:tc>
        <w:tc>
          <w:tcPr>
            <w:tcW w:w="1700" w:type="dxa"/>
            <w:tcBorders>
              <w:right w:val="single" w:sz="8" w:space="0" w:color="auto"/>
            </w:tcBorders>
            <w:shd w:val="clear" w:color="auto" w:fill="auto"/>
            <w:vAlign w:val="bottom"/>
          </w:tcPr>
          <w:p w14:paraId="05546A81" w14:textId="77777777" w:rsidR="00A52778" w:rsidRPr="00460F9E" w:rsidRDefault="00A52778" w:rsidP="00FC3F8E">
            <w:pPr>
              <w:spacing w:line="0" w:lineRule="atLeast"/>
              <w:rPr>
                <w:rFonts w:eastAsia="Times New Roman" w:cs="Times New Roman"/>
                <w:b/>
              </w:rPr>
            </w:pPr>
          </w:p>
        </w:tc>
        <w:tc>
          <w:tcPr>
            <w:tcW w:w="3540" w:type="dxa"/>
            <w:gridSpan w:val="7"/>
            <w:vMerge/>
            <w:tcBorders>
              <w:right w:val="single" w:sz="8" w:space="0" w:color="auto"/>
            </w:tcBorders>
            <w:shd w:val="clear" w:color="auto" w:fill="auto"/>
            <w:vAlign w:val="bottom"/>
          </w:tcPr>
          <w:p w14:paraId="12869D60" w14:textId="77777777" w:rsidR="00A52778" w:rsidRPr="00460F9E" w:rsidRDefault="00A52778" w:rsidP="00FC3F8E">
            <w:pPr>
              <w:spacing w:line="0" w:lineRule="atLeast"/>
              <w:ind w:left="100"/>
              <w:rPr>
                <w:rFonts w:eastAsia="Times New Roman" w:cs="Times New Roman"/>
                <w:b/>
              </w:rPr>
            </w:pPr>
          </w:p>
        </w:tc>
      </w:tr>
      <w:tr w:rsidR="00A52778" w:rsidRPr="00460F9E" w14:paraId="77B7F202" w14:textId="77777777" w:rsidTr="00FC3F8E">
        <w:trPr>
          <w:trHeight w:val="230"/>
        </w:trPr>
        <w:tc>
          <w:tcPr>
            <w:tcW w:w="380" w:type="dxa"/>
            <w:tcBorders>
              <w:left w:val="single" w:sz="8" w:space="0" w:color="auto"/>
              <w:right w:val="single" w:sz="8" w:space="0" w:color="auto"/>
            </w:tcBorders>
            <w:shd w:val="clear" w:color="auto" w:fill="auto"/>
            <w:vAlign w:val="bottom"/>
          </w:tcPr>
          <w:p w14:paraId="095F766A" w14:textId="77777777" w:rsidR="00A52778" w:rsidRPr="00460F9E" w:rsidRDefault="00A52778" w:rsidP="00FC3F8E">
            <w:pPr>
              <w:spacing w:line="0" w:lineRule="atLeast"/>
              <w:rPr>
                <w:rFonts w:eastAsia="Times New Roman" w:cs="Times New Roman"/>
                <w:b/>
              </w:rPr>
            </w:pPr>
          </w:p>
        </w:tc>
        <w:tc>
          <w:tcPr>
            <w:tcW w:w="1780" w:type="dxa"/>
            <w:tcBorders>
              <w:right w:val="single" w:sz="8" w:space="0" w:color="auto"/>
            </w:tcBorders>
            <w:shd w:val="clear" w:color="auto" w:fill="auto"/>
            <w:vAlign w:val="bottom"/>
          </w:tcPr>
          <w:p w14:paraId="2E4E7ACE" w14:textId="77777777" w:rsidR="00A52778" w:rsidRPr="00460F9E" w:rsidRDefault="00A52778" w:rsidP="00FC3F8E">
            <w:pPr>
              <w:spacing w:line="0" w:lineRule="atLeast"/>
              <w:rPr>
                <w:rFonts w:eastAsia="Times New Roman" w:cs="Times New Roman"/>
                <w:b/>
              </w:rPr>
            </w:pPr>
          </w:p>
        </w:tc>
        <w:tc>
          <w:tcPr>
            <w:tcW w:w="1360" w:type="dxa"/>
            <w:tcBorders>
              <w:right w:val="single" w:sz="8" w:space="0" w:color="auto"/>
            </w:tcBorders>
            <w:shd w:val="clear" w:color="auto" w:fill="auto"/>
            <w:vAlign w:val="bottom"/>
          </w:tcPr>
          <w:p w14:paraId="13C9F074" w14:textId="77777777" w:rsidR="00A52778" w:rsidRPr="00460F9E" w:rsidRDefault="00A52778" w:rsidP="00FC3F8E">
            <w:pPr>
              <w:spacing w:line="0" w:lineRule="atLeast"/>
              <w:rPr>
                <w:rFonts w:eastAsia="Times New Roman" w:cs="Times New Roman"/>
                <w:b/>
              </w:rPr>
            </w:pPr>
          </w:p>
        </w:tc>
        <w:tc>
          <w:tcPr>
            <w:tcW w:w="1700" w:type="dxa"/>
            <w:tcBorders>
              <w:right w:val="single" w:sz="8" w:space="0" w:color="auto"/>
            </w:tcBorders>
            <w:shd w:val="clear" w:color="auto" w:fill="auto"/>
            <w:vAlign w:val="bottom"/>
          </w:tcPr>
          <w:p w14:paraId="451A4DC9" w14:textId="77777777" w:rsidR="00A52778" w:rsidRPr="00460F9E" w:rsidRDefault="00A52778" w:rsidP="00FC3F8E">
            <w:pPr>
              <w:spacing w:line="0" w:lineRule="atLeast"/>
              <w:rPr>
                <w:rFonts w:eastAsia="Times New Roman" w:cs="Times New Roman"/>
                <w:b/>
              </w:rPr>
            </w:pPr>
          </w:p>
        </w:tc>
        <w:tc>
          <w:tcPr>
            <w:tcW w:w="3540" w:type="dxa"/>
            <w:gridSpan w:val="7"/>
            <w:vMerge/>
            <w:tcBorders>
              <w:right w:val="single" w:sz="8" w:space="0" w:color="auto"/>
            </w:tcBorders>
            <w:shd w:val="clear" w:color="auto" w:fill="auto"/>
            <w:vAlign w:val="bottom"/>
          </w:tcPr>
          <w:p w14:paraId="1D26E1FA" w14:textId="77777777" w:rsidR="00A52778" w:rsidRPr="00460F9E" w:rsidRDefault="00A52778" w:rsidP="00FC3F8E">
            <w:pPr>
              <w:spacing w:line="0" w:lineRule="atLeast"/>
              <w:ind w:left="100"/>
              <w:rPr>
                <w:rFonts w:eastAsia="Times New Roman" w:cs="Times New Roman"/>
                <w:b/>
              </w:rPr>
            </w:pPr>
          </w:p>
        </w:tc>
      </w:tr>
      <w:tr w:rsidR="00A52778" w:rsidRPr="00460F9E" w14:paraId="4A6A8C20" w14:textId="77777777" w:rsidTr="00FC3F8E">
        <w:trPr>
          <w:trHeight w:val="230"/>
        </w:trPr>
        <w:tc>
          <w:tcPr>
            <w:tcW w:w="380" w:type="dxa"/>
            <w:tcBorders>
              <w:left w:val="single" w:sz="8" w:space="0" w:color="auto"/>
              <w:right w:val="single" w:sz="8" w:space="0" w:color="auto"/>
            </w:tcBorders>
            <w:shd w:val="clear" w:color="auto" w:fill="auto"/>
            <w:vAlign w:val="bottom"/>
          </w:tcPr>
          <w:p w14:paraId="66CC2DC9" w14:textId="77777777" w:rsidR="00A52778" w:rsidRPr="00460F9E" w:rsidRDefault="00A52778" w:rsidP="00FC3F8E">
            <w:pPr>
              <w:spacing w:line="0" w:lineRule="atLeast"/>
              <w:rPr>
                <w:rFonts w:eastAsia="Times New Roman" w:cs="Times New Roman"/>
                <w:b/>
              </w:rPr>
            </w:pPr>
          </w:p>
        </w:tc>
        <w:tc>
          <w:tcPr>
            <w:tcW w:w="1780" w:type="dxa"/>
            <w:tcBorders>
              <w:right w:val="single" w:sz="8" w:space="0" w:color="auto"/>
            </w:tcBorders>
            <w:shd w:val="clear" w:color="auto" w:fill="auto"/>
            <w:vAlign w:val="bottom"/>
          </w:tcPr>
          <w:p w14:paraId="420569FC" w14:textId="77777777" w:rsidR="00A52778" w:rsidRPr="00460F9E" w:rsidRDefault="00A52778" w:rsidP="00FC3F8E">
            <w:pPr>
              <w:spacing w:line="0" w:lineRule="atLeast"/>
              <w:rPr>
                <w:rFonts w:eastAsia="Times New Roman" w:cs="Times New Roman"/>
                <w:b/>
              </w:rPr>
            </w:pPr>
          </w:p>
        </w:tc>
        <w:tc>
          <w:tcPr>
            <w:tcW w:w="1360" w:type="dxa"/>
            <w:tcBorders>
              <w:right w:val="single" w:sz="8" w:space="0" w:color="auto"/>
            </w:tcBorders>
            <w:shd w:val="clear" w:color="auto" w:fill="auto"/>
            <w:vAlign w:val="bottom"/>
          </w:tcPr>
          <w:p w14:paraId="64BFCCF3" w14:textId="77777777" w:rsidR="00A52778" w:rsidRPr="00460F9E" w:rsidRDefault="00A52778" w:rsidP="00FC3F8E">
            <w:pPr>
              <w:spacing w:line="0" w:lineRule="atLeast"/>
              <w:rPr>
                <w:rFonts w:eastAsia="Times New Roman" w:cs="Times New Roman"/>
                <w:b/>
              </w:rPr>
            </w:pPr>
          </w:p>
        </w:tc>
        <w:tc>
          <w:tcPr>
            <w:tcW w:w="1700" w:type="dxa"/>
            <w:tcBorders>
              <w:right w:val="single" w:sz="8" w:space="0" w:color="auto"/>
            </w:tcBorders>
            <w:shd w:val="clear" w:color="auto" w:fill="auto"/>
            <w:vAlign w:val="bottom"/>
          </w:tcPr>
          <w:p w14:paraId="2D266F67" w14:textId="77777777" w:rsidR="00A52778" w:rsidRPr="00460F9E" w:rsidRDefault="00A52778" w:rsidP="00FC3F8E">
            <w:pPr>
              <w:spacing w:line="0" w:lineRule="atLeast"/>
              <w:rPr>
                <w:rFonts w:eastAsia="Times New Roman" w:cs="Times New Roman"/>
                <w:b/>
              </w:rPr>
            </w:pPr>
          </w:p>
        </w:tc>
        <w:tc>
          <w:tcPr>
            <w:tcW w:w="3540" w:type="dxa"/>
            <w:gridSpan w:val="7"/>
            <w:vMerge/>
            <w:tcBorders>
              <w:right w:val="single" w:sz="8" w:space="0" w:color="auto"/>
            </w:tcBorders>
            <w:shd w:val="clear" w:color="auto" w:fill="auto"/>
            <w:vAlign w:val="bottom"/>
          </w:tcPr>
          <w:p w14:paraId="368C9630" w14:textId="77777777" w:rsidR="00A52778" w:rsidRPr="00460F9E" w:rsidRDefault="00A52778" w:rsidP="00FC3F8E">
            <w:pPr>
              <w:spacing w:line="0" w:lineRule="atLeast"/>
              <w:ind w:left="100"/>
              <w:rPr>
                <w:rFonts w:eastAsia="Times New Roman" w:cs="Times New Roman"/>
                <w:b/>
              </w:rPr>
            </w:pPr>
          </w:p>
        </w:tc>
      </w:tr>
      <w:tr w:rsidR="00A52778" w:rsidRPr="00460F9E" w14:paraId="4CA2896A" w14:textId="77777777" w:rsidTr="00FC3F8E">
        <w:trPr>
          <w:trHeight w:val="234"/>
        </w:trPr>
        <w:tc>
          <w:tcPr>
            <w:tcW w:w="380" w:type="dxa"/>
            <w:tcBorders>
              <w:left w:val="single" w:sz="8" w:space="0" w:color="auto"/>
              <w:right w:val="single" w:sz="8" w:space="0" w:color="auto"/>
            </w:tcBorders>
            <w:shd w:val="clear" w:color="auto" w:fill="auto"/>
            <w:vAlign w:val="bottom"/>
          </w:tcPr>
          <w:p w14:paraId="748E758C"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c.</w:t>
            </w:r>
          </w:p>
        </w:tc>
        <w:tc>
          <w:tcPr>
            <w:tcW w:w="1780" w:type="dxa"/>
            <w:tcBorders>
              <w:right w:val="single" w:sz="8" w:space="0" w:color="auto"/>
            </w:tcBorders>
            <w:shd w:val="clear" w:color="auto" w:fill="auto"/>
            <w:vAlign w:val="bottom"/>
          </w:tcPr>
          <w:p w14:paraId="18407878"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Termal oksidasyon</w:t>
            </w:r>
          </w:p>
        </w:tc>
        <w:tc>
          <w:tcPr>
            <w:tcW w:w="1360" w:type="dxa"/>
            <w:tcBorders>
              <w:right w:val="single" w:sz="8" w:space="0" w:color="auto"/>
            </w:tcBorders>
            <w:shd w:val="clear" w:color="auto" w:fill="auto"/>
            <w:vAlign w:val="bottom"/>
          </w:tcPr>
          <w:p w14:paraId="7C5A49C3" w14:textId="77777777" w:rsidR="00A52778" w:rsidRPr="00460F9E" w:rsidRDefault="00A52778" w:rsidP="00FC3F8E">
            <w:pPr>
              <w:spacing w:line="0" w:lineRule="atLeast"/>
              <w:jc w:val="center"/>
              <w:rPr>
                <w:rFonts w:eastAsia="Times New Roman" w:cs="Times New Roman"/>
                <w:b/>
                <w:w w:val="97"/>
              </w:rPr>
            </w:pPr>
            <w:r w:rsidRPr="00460F9E">
              <w:rPr>
                <w:rFonts w:eastAsia="Times New Roman" w:cs="Times New Roman"/>
                <w:w w:val="97"/>
              </w:rPr>
              <w:t>CS</w:t>
            </w:r>
            <w:r w:rsidRPr="00460F9E">
              <w:rPr>
                <w:rFonts w:eastAsia="Times New Roman" w:cs="Times New Roman"/>
                <w:w w:val="97"/>
                <w:sz w:val="12"/>
              </w:rPr>
              <w:t>2,</w:t>
            </w:r>
            <w:r w:rsidRPr="00460F9E">
              <w:rPr>
                <w:rFonts w:eastAsia="Times New Roman" w:cs="Times New Roman"/>
                <w:w w:val="97"/>
              </w:rPr>
              <w:t xml:space="preserve"> H</w:t>
            </w:r>
            <w:r w:rsidRPr="00460F9E">
              <w:rPr>
                <w:rFonts w:eastAsia="Times New Roman" w:cs="Times New Roman"/>
                <w:w w:val="97"/>
                <w:sz w:val="12"/>
              </w:rPr>
              <w:t>2</w:t>
            </w:r>
            <w:r w:rsidRPr="00460F9E">
              <w:rPr>
                <w:rFonts w:eastAsia="Times New Roman" w:cs="Times New Roman"/>
                <w:w w:val="97"/>
              </w:rPr>
              <w:t>S</w:t>
            </w:r>
          </w:p>
        </w:tc>
        <w:tc>
          <w:tcPr>
            <w:tcW w:w="1700" w:type="dxa"/>
            <w:tcBorders>
              <w:right w:val="single" w:sz="8" w:space="0" w:color="auto"/>
            </w:tcBorders>
            <w:shd w:val="clear" w:color="auto" w:fill="auto"/>
            <w:vAlign w:val="bottom"/>
          </w:tcPr>
          <w:p w14:paraId="2ECCCA8E"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3540" w:type="dxa"/>
            <w:gridSpan w:val="7"/>
            <w:vMerge w:val="restart"/>
            <w:tcBorders>
              <w:right w:val="single" w:sz="8" w:space="0" w:color="auto"/>
            </w:tcBorders>
            <w:shd w:val="clear" w:color="auto" w:fill="auto"/>
            <w:vAlign w:val="bottom"/>
          </w:tcPr>
          <w:p w14:paraId="01838839"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Proses çıkış gazlarında ilgili bileşik(ler)in </w:t>
            </w:r>
          </w:p>
          <w:p w14:paraId="2E0DB5FE"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düşük konsantrasyonu nedeniyle enerji </w:t>
            </w:r>
          </w:p>
          <w:p w14:paraId="5F0BAF75"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talebinin aşırı olduğu durumlarda </w:t>
            </w:r>
          </w:p>
          <w:p w14:paraId="5E570D35"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uygulanabilirliği kısıtlanabilir.</w:t>
            </w:r>
          </w:p>
        </w:tc>
      </w:tr>
      <w:tr w:rsidR="00A52778" w:rsidRPr="00460F9E" w14:paraId="163EB98F" w14:textId="77777777" w:rsidTr="00FC3F8E">
        <w:trPr>
          <w:trHeight w:val="225"/>
        </w:trPr>
        <w:tc>
          <w:tcPr>
            <w:tcW w:w="380" w:type="dxa"/>
            <w:tcBorders>
              <w:left w:val="single" w:sz="8" w:space="0" w:color="auto"/>
              <w:right w:val="single" w:sz="8" w:space="0" w:color="auto"/>
            </w:tcBorders>
            <w:shd w:val="clear" w:color="auto" w:fill="auto"/>
            <w:vAlign w:val="bottom"/>
          </w:tcPr>
          <w:p w14:paraId="127E7536" w14:textId="77777777" w:rsidR="00A52778" w:rsidRPr="00460F9E" w:rsidRDefault="00A52778" w:rsidP="00FC3F8E">
            <w:pPr>
              <w:spacing w:line="0" w:lineRule="atLeast"/>
              <w:rPr>
                <w:rFonts w:eastAsia="Times New Roman" w:cs="Times New Roman"/>
                <w:b/>
                <w:sz w:val="19"/>
              </w:rPr>
            </w:pPr>
          </w:p>
        </w:tc>
        <w:tc>
          <w:tcPr>
            <w:tcW w:w="1780" w:type="dxa"/>
            <w:tcBorders>
              <w:right w:val="single" w:sz="8" w:space="0" w:color="auto"/>
            </w:tcBorders>
            <w:shd w:val="clear" w:color="auto" w:fill="auto"/>
            <w:vAlign w:val="bottom"/>
          </w:tcPr>
          <w:p w14:paraId="186359F5" w14:textId="77777777" w:rsidR="00A52778" w:rsidRPr="00460F9E" w:rsidRDefault="00A52778" w:rsidP="00FC3F8E">
            <w:pPr>
              <w:spacing w:line="0" w:lineRule="atLeast"/>
              <w:rPr>
                <w:rFonts w:eastAsia="Times New Roman" w:cs="Times New Roman"/>
                <w:b/>
                <w:sz w:val="19"/>
              </w:rPr>
            </w:pPr>
          </w:p>
        </w:tc>
        <w:tc>
          <w:tcPr>
            <w:tcW w:w="1360" w:type="dxa"/>
            <w:tcBorders>
              <w:right w:val="single" w:sz="8" w:space="0" w:color="auto"/>
            </w:tcBorders>
            <w:shd w:val="clear" w:color="auto" w:fill="auto"/>
            <w:vAlign w:val="bottom"/>
          </w:tcPr>
          <w:p w14:paraId="367ECE77" w14:textId="77777777" w:rsidR="00A52778" w:rsidRPr="00460F9E" w:rsidRDefault="00A52778" w:rsidP="00FC3F8E">
            <w:pPr>
              <w:spacing w:line="0" w:lineRule="atLeast"/>
              <w:rPr>
                <w:rFonts w:eastAsia="Times New Roman" w:cs="Times New Roman"/>
                <w:b/>
                <w:sz w:val="19"/>
              </w:rPr>
            </w:pPr>
          </w:p>
        </w:tc>
        <w:tc>
          <w:tcPr>
            <w:tcW w:w="1700" w:type="dxa"/>
            <w:tcBorders>
              <w:right w:val="single" w:sz="8" w:space="0" w:color="auto"/>
            </w:tcBorders>
            <w:shd w:val="clear" w:color="auto" w:fill="auto"/>
            <w:vAlign w:val="bottom"/>
          </w:tcPr>
          <w:p w14:paraId="39C3897E" w14:textId="77777777" w:rsidR="00A52778" w:rsidRPr="00460F9E" w:rsidRDefault="00A52778" w:rsidP="00FC3F8E">
            <w:pPr>
              <w:spacing w:line="0" w:lineRule="atLeast"/>
              <w:rPr>
                <w:rFonts w:eastAsia="Times New Roman" w:cs="Times New Roman"/>
                <w:b/>
                <w:sz w:val="19"/>
              </w:rPr>
            </w:pPr>
          </w:p>
        </w:tc>
        <w:tc>
          <w:tcPr>
            <w:tcW w:w="3540" w:type="dxa"/>
            <w:gridSpan w:val="7"/>
            <w:vMerge/>
            <w:tcBorders>
              <w:right w:val="single" w:sz="8" w:space="0" w:color="auto"/>
            </w:tcBorders>
            <w:shd w:val="clear" w:color="auto" w:fill="auto"/>
            <w:vAlign w:val="bottom"/>
          </w:tcPr>
          <w:p w14:paraId="1D7E6D95" w14:textId="77777777" w:rsidR="00A52778" w:rsidRPr="00460F9E" w:rsidRDefault="00A52778" w:rsidP="00FC3F8E">
            <w:pPr>
              <w:spacing w:line="0" w:lineRule="atLeast"/>
              <w:rPr>
                <w:rFonts w:eastAsia="Times New Roman" w:cs="Times New Roman"/>
                <w:b/>
              </w:rPr>
            </w:pPr>
          </w:p>
        </w:tc>
      </w:tr>
      <w:tr w:rsidR="00A52778" w:rsidRPr="00460F9E" w14:paraId="4F8C3B39" w14:textId="77777777" w:rsidTr="00FC3F8E">
        <w:trPr>
          <w:trHeight w:val="230"/>
        </w:trPr>
        <w:tc>
          <w:tcPr>
            <w:tcW w:w="380" w:type="dxa"/>
            <w:tcBorders>
              <w:left w:val="single" w:sz="8" w:space="0" w:color="auto"/>
              <w:right w:val="single" w:sz="8" w:space="0" w:color="auto"/>
            </w:tcBorders>
            <w:shd w:val="clear" w:color="auto" w:fill="auto"/>
            <w:vAlign w:val="bottom"/>
          </w:tcPr>
          <w:p w14:paraId="7F6160E9" w14:textId="77777777" w:rsidR="00A52778" w:rsidRPr="00460F9E" w:rsidRDefault="00A52778" w:rsidP="00FC3F8E">
            <w:pPr>
              <w:spacing w:line="0" w:lineRule="atLeast"/>
              <w:rPr>
                <w:rFonts w:eastAsia="Times New Roman" w:cs="Times New Roman"/>
                <w:b/>
              </w:rPr>
            </w:pPr>
          </w:p>
        </w:tc>
        <w:tc>
          <w:tcPr>
            <w:tcW w:w="1780" w:type="dxa"/>
            <w:tcBorders>
              <w:right w:val="single" w:sz="8" w:space="0" w:color="auto"/>
            </w:tcBorders>
            <w:shd w:val="clear" w:color="auto" w:fill="auto"/>
            <w:vAlign w:val="bottom"/>
          </w:tcPr>
          <w:p w14:paraId="55CFD32A" w14:textId="77777777" w:rsidR="00A52778" w:rsidRPr="00460F9E" w:rsidRDefault="00A52778" w:rsidP="00FC3F8E">
            <w:pPr>
              <w:spacing w:line="0" w:lineRule="atLeast"/>
              <w:rPr>
                <w:rFonts w:eastAsia="Times New Roman" w:cs="Times New Roman"/>
                <w:b/>
              </w:rPr>
            </w:pPr>
          </w:p>
        </w:tc>
        <w:tc>
          <w:tcPr>
            <w:tcW w:w="1360" w:type="dxa"/>
            <w:tcBorders>
              <w:right w:val="single" w:sz="8" w:space="0" w:color="auto"/>
            </w:tcBorders>
            <w:shd w:val="clear" w:color="auto" w:fill="auto"/>
            <w:vAlign w:val="bottom"/>
          </w:tcPr>
          <w:p w14:paraId="20E4CA4D" w14:textId="77777777" w:rsidR="00A52778" w:rsidRPr="00460F9E" w:rsidRDefault="00A52778" w:rsidP="00FC3F8E">
            <w:pPr>
              <w:spacing w:line="0" w:lineRule="atLeast"/>
              <w:rPr>
                <w:rFonts w:eastAsia="Times New Roman" w:cs="Times New Roman"/>
                <w:b/>
              </w:rPr>
            </w:pPr>
          </w:p>
        </w:tc>
        <w:tc>
          <w:tcPr>
            <w:tcW w:w="1700" w:type="dxa"/>
            <w:tcBorders>
              <w:right w:val="single" w:sz="8" w:space="0" w:color="auto"/>
            </w:tcBorders>
            <w:shd w:val="clear" w:color="auto" w:fill="auto"/>
            <w:vAlign w:val="bottom"/>
          </w:tcPr>
          <w:p w14:paraId="0431AFDD" w14:textId="77777777" w:rsidR="00A52778" w:rsidRPr="00460F9E" w:rsidRDefault="00A52778" w:rsidP="00FC3F8E">
            <w:pPr>
              <w:spacing w:line="0" w:lineRule="atLeast"/>
              <w:rPr>
                <w:rFonts w:eastAsia="Times New Roman" w:cs="Times New Roman"/>
                <w:b/>
              </w:rPr>
            </w:pPr>
          </w:p>
        </w:tc>
        <w:tc>
          <w:tcPr>
            <w:tcW w:w="3540" w:type="dxa"/>
            <w:gridSpan w:val="7"/>
            <w:vMerge/>
            <w:tcBorders>
              <w:right w:val="single" w:sz="8" w:space="0" w:color="auto"/>
            </w:tcBorders>
            <w:shd w:val="clear" w:color="auto" w:fill="auto"/>
            <w:vAlign w:val="bottom"/>
          </w:tcPr>
          <w:p w14:paraId="01345422" w14:textId="77777777" w:rsidR="00A52778" w:rsidRPr="00460F9E" w:rsidRDefault="00A52778" w:rsidP="00FC3F8E">
            <w:pPr>
              <w:spacing w:line="0" w:lineRule="atLeast"/>
              <w:rPr>
                <w:rFonts w:eastAsia="Times New Roman" w:cs="Times New Roman"/>
                <w:b/>
              </w:rPr>
            </w:pPr>
          </w:p>
        </w:tc>
      </w:tr>
      <w:tr w:rsidR="00A52778" w:rsidRPr="00460F9E" w14:paraId="195D60EF" w14:textId="77777777" w:rsidTr="00FC3F8E">
        <w:trPr>
          <w:trHeight w:val="230"/>
        </w:trPr>
        <w:tc>
          <w:tcPr>
            <w:tcW w:w="380" w:type="dxa"/>
            <w:tcBorders>
              <w:left w:val="single" w:sz="8" w:space="0" w:color="auto"/>
              <w:right w:val="single" w:sz="8" w:space="0" w:color="auto"/>
            </w:tcBorders>
            <w:shd w:val="clear" w:color="auto" w:fill="auto"/>
            <w:vAlign w:val="bottom"/>
          </w:tcPr>
          <w:p w14:paraId="51C8CD41" w14:textId="77777777" w:rsidR="00A52778" w:rsidRPr="00460F9E" w:rsidRDefault="00A52778" w:rsidP="00FC3F8E">
            <w:pPr>
              <w:spacing w:line="0" w:lineRule="atLeast"/>
              <w:rPr>
                <w:rFonts w:eastAsia="Times New Roman" w:cs="Times New Roman"/>
                <w:b/>
              </w:rPr>
            </w:pPr>
          </w:p>
        </w:tc>
        <w:tc>
          <w:tcPr>
            <w:tcW w:w="1780" w:type="dxa"/>
            <w:tcBorders>
              <w:right w:val="single" w:sz="8" w:space="0" w:color="auto"/>
            </w:tcBorders>
            <w:shd w:val="clear" w:color="auto" w:fill="auto"/>
            <w:vAlign w:val="bottom"/>
          </w:tcPr>
          <w:p w14:paraId="1F7709DC" w14:textId="77777777" w:rsidR="00A52778" w:rsidRPr="00460F9E" w:rsidRDefault="00A52778" w:rsidP="00FC3F8E">
            <w:pPr>
              <w:spacing w:line="0" w:lineRule="atLeast"/>
              <w:rPr>
                <w:rFonts w:eastAsia="Times New Roman" w:cs="Times New Roman"/>
                <w:b/>
              </w:rPr>
            </w:pPr>
          </w:p>
        </w:tc>
        <w:tc>
          <w:tcPr>
            <w:tcW w:w="1360" w:type="dxa"/>
            <w:tcBorders>
              <w:right w:val="single" w:sz="8" w:space="0" w:color="auto"/>
            </w:tcBorders>
            <w:shd w:val="clear" w:color="auto" w:fill="auto"/>
            <w:vAlign w:val="bottom"/>
          </w:tcPr>
          <w:p w14:paraId="34C20F32" w14:textId="77777777" w:rsidR="00A52778" w:rsidRPr="00460F9E" w:rsidRDefault="00A52778" w:rsidP="00FC3F8E">
            <w:pPr>
              <w:spacing w:line="0" w:lineRule="atLeast"/>
              <w:rPr>
                <w:rFonts w:eastAsia="Times New Roman" w:cs="Times New Roman"/>
                <w:b/>
              </w:rPr>
            </w:pPr>
          </w:p>
        </w:tc>
        <w:tc>
          <w:tcPr>
            <w:tcW w:w="1700" w:type="dxa"/>
            <w:tcBorders>
              <w:right w:val="single" w:sz="8" w:space="0" w:color="auto"/>
            </w:tcBorders>
            <w:shd w:val="clear" w:color="auto" w:fill="auto"/>
            <w:vAlign w:val="bottom"/>
          </w:tcPr>
          <w:p w14:paraId="13CDB594" w14:textId="77777777" w:rsidR="00A52778" w:rsidRPr="00460F9E" w:rsidRDefault="00A52778" w:rsidP="00FC3F8E">
            <w:pPr>
              <w:spacing w:line="0" w:lineRule="atLeast"/>
              <w:rPr>
                <w:rFonts w:eastAsia="Times New Roman" w:cs="Times New Roman"/>
                <w:b/>
              </w:rPr>
            </w:pPr>
          </w:p>
        </w:tc>
        <w:tc>
          <w:tcPr>
            <w:tcW w:w="3540" w:type="dxa"/>
            <w:gridSpan w:val="7"/>
            <w:vMerge/>
            <w:tcBorders>
              <w:right w:val="single" w:sz="8" w:space="0" w:color="auto"/>
            </w:tcBorders>
            <w:shd w:val="clear" w:color="auto" w:fill="auto"/>
            <w:vAlign w:val="bottom"/>
          </w:tcPr>
          <w:p w14:paraId="55BB9C05" w14:textId="77777777" w:rsidR="00A52778" w:rsidRPr="00460F9E" w:rsidRDefault="00A52778" w:rsidP="00FC3F8E">
            <w:pPr>
              <w:spacing w:line="0" w:lineRule="atLeast"/>
              <w:rPr>
                <w:rFonts w:eastAsia="Times New Roman" w:cs="Times New Roman"/>
                <w:b/>
              </w:rPr>
            </w:pPr>
          </w:p>
        </w:tc>
      </w:tr>
      <w:tr w:rsidR="00A52778" w:rsidRPr="00460F9E" w14:paraId="00508DE1" w14:textId="77777777" w:rsidTr="00FC3F8E">
        <w:trPr>
          <w:trHeight w:val="235"/>
        </w:trPr>
        <w:tc>
          <w:tcPr>
            <w:tcW w:w="380" w:type="dxa"/>
            <w:tcBorders>
              <w:left w:val="single" w:sz="8" w:space="0" w:color="auto"/>
              <w:bottom w:val="single" w:sz="8" w:space="0" w:color="auto"/>
              <w:right w:val="single" w:sz="8" w:space="0" w:color="auto"/>
            </w:tcBorders>
            <w:shd w:val="clear" w:color="auto" w:fill="auto"/>
            <w:vAlign w:val="bottom"/>
          </w:tcPr>
          <w:p w14:paraId="2E5C60A1" w14:textId="77777777" w:rsidR="00A52778" w:rsidRPr="00460F9E" w:rsidRDefault="00A52778" w:rsidP="00FC3F8E">
            <w:pPr>
              <w:spacing w:line="0" w:lineRule="atLeast"/>
              <w:rPr>
                <w:rFonts w:eastAsia="Times New Roman" w:cs="Times New Roman"/>
                <w:b/>
              </w:rPr>
            </w:pPr>
          </w:p>
        </w:tc>
        <w:tc>
          <w:tcPr>
            <w:tcW w:w="1780" w:type="dxa"/>
            <w:tcBorders>
              <w:bottom w:val="single" w:sz="8" w:space="0" w:color="auto"/>
              <w:right w:val="single" w:sz="8" w:space="0" w:color="auto"/>
            </w:tcBorders>
            <w:shd w:val="clear" w:color="auto" w:fill="auto"/>
            <w:vAlign w:val="bottom"/>
          </w:tcPr>
          <w:p w14:paraId="28F3D5FC" w14:textId="77777777" w:rsidR="00A52778" w:rsidRPr="00460F9E" w:rsidRDefault="00A52778" w:rsidP="00FC3F8E">
            <w:pPr>
              <w:spacing w:line="0" w:lineRule="atLeast"/>
              <w:rPr>
                <w:rFonts w:eastAsia="Times New Roman" w:cs="Times New Roman"/>
                <w:b/>
              </w:rPr>
            </w:pPr>
          </w:p>
        </w:tc>
        <w:tc>
          <w:tcPr>
            <w:tcW w:w="1360" w:type="dxa"/>
            <w:tcBorders>
              <w:bottom w:val="single" w:sz="8" w:space="0" w:color="auto"/>
              <w:right w:val="single" w:sz="8" w:space="0" w:color="auto"/>
            </w:tcBorders>
            <w:shd w:val="clear" w:color="auto" w:fill="auto"/>
            <w:vAlign w:val="bottom"/>
          </w:tcPr>
          <w:p w14:paraId="2D64E1B1" w14:textId="77777777" w:rsidR="00A52778" w:rsidRPr="00460F9E" w:rsidRDefault="00A52778" w:rsidP="00FC3F8E">
            <w:pPr>
              <w:spacing w:line="0" w:lineRule="atLeast"/>
              <w:rPr>
                <w:rFonts w:eastAsia="Times New Roman" w:cs="Times New Roman"/>
                <w:b/>
              </w:rPr>
            </w:pPr>
          </w:p>
        </w:tc>
        <w:tc>
          <w:tcPr>
            <w:tcW w:w="1700" w:type="dxa"/>
            <w:tcBorders>
              <w:bottom w:val="single" w:sz="8" w:space="0" w:color="auto"/>
              <w:right w:val="single" w:sz="8" w:space="0" w:color="auto"/>
            </w:tcBorders>
            <w:shd w:val="clear" w:color="auto" w:fill="auto"/>
            <w:vAlign w:val="bottom"/>
          </w:tcPr>
          <w:p w14:paraId="1232FF2C" w14:textId="77777777" w:rsidR="00A52778" w:rsidRPr="00460F9E" w:rsidRDefault="00A52778" w:rsidP="00FC3F8E">
            <w:pPr>
              <w:spacing w:line="0" w:lineRule="atLeast"/>
              <w:rPr>
                <w:rFonts w:eastAsia="Times New Roman" w:cs="Times New Roman"/>
                <w:b/>
              </w:rPr>
            </w:pPr>
          </w:p>
        </w:tc>
        <w:tc>
          <w:tcPr>
            <w:tcW w:w="3540" w:type="dxa"/>
            <w:gridSpan w:val="7"/>
            <w:vMerge/>
            <w:tcBorders>
              <w:bottom w:val="single" w:sz="8" w:space="0" w:color="auto"/>
              <w:right w:val="single" w:sz="8" w:space="0" w:color="auto"/>
            </w:tcBorders>
            <w:shd w:val="clear" w:color="auto" w:fill="auto"/>
            <w:vAlign w:val="bottom"/>
          </w:tcPr>
          <w:p w14:paraId="4973F37B" w14:textId="77777777" w:rsidR="00A52778" w:rsidRPr="00460F9E" w:rsidRDefault="00A52778" w:rsidP="00FC3F8E">
            <w:pPr>
              <w:spacing w:line="0" w:lineRule="atLeast"/>
              <w:rPr>
                <w:rFonts w:eastAsia="Times New Roman" w:cs="Times New Roman"/>
                <w:b/>
              </w:rPr>
            </w:pPr>
          </w:p>
        </w:tc>
      </w:tr>
    </w:tbl>
    <w:p w14:paraId="2D5F9C33" w14:textId="77777777" w:rsidR="00A52778" w:rsidRPr="00460F9E" w:rsidRDefault="00A52778" w:rsidP="00A52778">
      <w:pPr>
        <w:spacing w:line="20" w:lineRule="exact"/>
        <w:rPr>
          <w:rFonts w:eastAsia="Times New Roman" w:cs="Times New Roman"/>
          <w:b/>
        </w:rPr>
      </w:pPr>
      <w:r w:rsidRPr="00460F9E">
        <w:rPr>
          <w:rFonts w:eastAsia="Times New Roman" w:cs="Times New Roman"/>
          <w:b/>
          <w:noProof/>
          <w:lang w:val="tr-TR" w:eastAsia="tr-TR"/>
        </w:rPr>
        <mc:AlternateContent>
          <mc:Choice Requires="wps">
            <w:drawing>
              <wp:anchor distT="0" distB="0" distL="114300" distR="114300" simplePos="0" relativeHeight="251696128" behindDoc="1" locked="0" layoutInCell="1" allowOverlap="1" wp14:anchorId="0C663413" wp14:editId="47E873F9">
                <wp:simplePos x="0" y="0"/>
                <wp:positionH relativeFrom="column">
                  <wp:posOffset>5988685</wp:posOffset>
                </wp:positionH>
                <wp:positionV relativeFrom="paragraph">
                  <wp:posOffset>-8890</wp:posOffset>
                </wp:positionV>
                <wp:extent cx="12700" cy="12065"/>
                <wp:effectExtent l="0" t="0" r="0" b="635"/>
                <wp:wrapNone/>
                <wp:docPr id="117" name="Dikdörtgen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7689B" id="Dikdörtgen 117" o:spid="_x0000_s1026" style="position:absolute;margin-left:471.55pt;margin-top:-.7pt;width:1pt;height:.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" fillcolor="black" strokecolor="white"/>
            </w:pict>
          </mc:Fallback>
        </mc:AlternateContent>
      </w:r>
    </w:p>
    <w:p w14:paraId="47F8117E" w14:textId="77777777" w:rsidR="00A52778" w:rsidRPr="00460F9E" w:rsidRDefault="00A52778" w:rsidP="00A52778">
      <w:pPr>
        <w:spacing w:line="20" w:lineRule="exact"/>
        <w:rPr>
          <w:rFonts w:eastAsia="Times New Roman" w:cs="Times New Roman"/>
          <w:b/>
        </w:rPr>
        <w:sectPr w:rsidR="00A52778" w:rsidRPr="00460F9E">
          <w:pgSz w:w="11900" w:h="16838"/>
          <w:pgMar w:top="707" w:right="1026" w:bottom="145" w:left="1440" w:header="0" w:footer="0" w:gutter="0"/>
          <w:cols w:space="0" w:equalWidth="0">
            <w:col w:w="9440"/>
          </w:cols>
          <w:docGrid w:linePitch="360"/>
        </w:sectPr>
      </w:pPr>
    </w:p>
    <w:p w14:paraId="12C3E325" w14:textId="77777777" w:rsidR="00A52778" w:rsidRPr="00460F9E" w:rsidRDefault="00A52778" w:rsidP="00A52778">
      <w:pPr>
        <w:spacing w:line="200" w:lineRule="exact"/>
        <w:rPr>
          <w:rFonts w:eastAsia="Times New Roman" w:cs="Times New Roman"/>
          <w:b/>
        </w:rPr>
      </w:pPr>
    </w:p>
    <w:p w14:paraId="7FEDCA25" w14:textId="77777777" w:rsidR="00A52778" w:rsidRPr="00460F9E" w:rsidRDefault="00A52778" w:rsidP="00A52778">
      <w:pPr>
        <w:spacing w:line="200" w:lineRule="exact"/>
        <w:rPr>
          <w:rFonts w:eastAsia="Times New Roman" w:cs="Times New Roman"/>
          <w:b/>
        </w:rPr>
      </w:pPr>
    </w:p>
    <w:p w14:paraId="6070E720" w14:textId="77777777" w:rsidR="00A52778" w:rsidRPr="00460F9E" w:rsidRDefault="00A52778" w:rsidP="00A52778">
      <w:pPr>
        <w:spacing w:line="200" w:lineRule="exact"/>
        <w:rPr>
          <w:rFonts w:eastAsia="Times New Roman" w:cs="Times New Roman"/>
          <w:b/>
        </w:rPr>
      </w:pPr>
    </w:p>
    <w:p w14:paraId="665F8FDD" w14:textId="77777777" w:rsidR="00A52778" w:rsidRPr="00460F9E" w:rsidRDefault="00A52778" w:rsidP="00A52778">
      <w:pPr>
        <w:spacing w:line="200" w:lineRule="exact"/>
        <w:rPr>
          <w:rFonts w:eastAsia="Times New Roman" w:cs="Times New Roman"/>
          <w:b/>
        </w:rPr>
      </w:pPr>
    </w:p>
    <w:p w14:paraId="7B1EF7EF" w14:textId="77777777" w:rsidR="00A52778" w:rsidRPr="00460F9E" w:rsidRDefault="00A52778" w:rsidP="00A52778">
      <w:pPr>
        <w:spacing w:line="200" w:lineRule="exact"/>
        <w:rPr>
          <w:rFonts w:eastAsia="Times New Roman" w:cs="Times New Roman"/>
          <w:b/>
        </w:rPr>
      </w:pPr>
    </w:p>
    <w:p w14:paraId="6E1A862E" w14:textId="77777777" w:rsidR="00A52778" w:rsidRPr="00460F9E" w:rsidRDefault="00A52778" w:rsidP="00A52778">
      <w:pPr>
        <w:spacing w:line="200" w:lineRule="exact"/>
        <w:rPr>
          <w:rFonts w:eastAsia="Times New Roman" w:cs="Times New Roman"/>
          <w:b/>
        </w:rPr>
      </w:pPr>
    </w:p>
    <w:p w14:paraId="0A9A8461" w14:textId="77777777" w:rsidR="00A52778" w:rsidRPr="00460F9E" w:rsidRDefault="00A52778" w:rsidP="00A52778">
      <w:pPr>
        <w:spacing w:line="232" w:lineRule="exact"/>
        <w:rPr>
          <w:rFonts w:eastAsia="Times New Roman" w:cs="Times New Roman"/>
          <w:b/>
        </w:rPr>
      </w:pPr>
    </w:p>
    <w:p w14:paraId="64D545D8" w14:textId="77777777" w:rsidR="00A52778" w:rsidRPr="00460F9E" w:rsidRDefault="00A52778" w:rsidP="00A52778">
      <w:pPr>
        <w:tabs>
          <w:tab w:val="left" w:pos="9020"/>
        </w:tabs>
        <w:spacing w:line="0" w:lineRule="atLeast"/>
        <w:ind w:left="820"/>
        <w:rPr>
          <w:rFonts w:eastAsia="Times New Roman" w:cs="Times New Roman"/>
          <w:b/>
          <w:color w:val="0000FF"/>
        </w:rPr>
        <w:sectPr w:rsidR="00A52778" w:rsidRPr="00460F9E">
          <w:type w:val="continuous"/>
          <w:pgSz w:w="11900" w:h="16838"/>
          <w:pgMar w:top="707" w:right="1026" w:bottom="145" w:left="1440" w:header="0" w:footer="0" w:gutter="0"/>
          <w:cols w:space="0" w:equalWidth="0">
            <w:col w:w="9440"/>
          </w:cols>
          <w:docGrid w:linePitch="360"/>
        </w:sectPr>
      </w:pPr>
    </w:p>
    <w:p w14:paraId="64E549AE" w14:textId="77777777" w:rsidR="00A52778" w:rsidRPr="00460F9E" w:rsidRDefault="00A52778" w:rsidP="00A52778">
      <w:pPr>
        <w:spacing w:line="0" w:lineRule="atLeast"/>
        <w:ind w:left="120"/>
        <w:rPr>
          <w:rFonts w:eastAsia="Times New Roman" w:cs="Times New Roman"/>
          <w:b/>
          <w:color w:val="0000FF"/>
        </w:rPr>
      </w:pPr>
      <w:bookmarkStart w:id="349" w:name="page328"/>
      <w:bookmarkEnd w:id="349"/>
    </w:p>
    <w:p w14:paraId="4B488CB9" w14:textId="77777777" w:rsidR="00A52778" w:rsidRPr="00460F9E" w:rsidRDefault="00A52778" w:rsidP="00A52778">
      <w:pPr>
        <w:spacing w:line="20" w:lineRule="exact"/>
        <w:rPr>
          <w:rFonts w:eastAsia="Times New Roman" w:cs="Times New Roman"/>
          <w:b/>
        </w:rPr>
      </w:pPr>
    </w:p>
    <w:p w14:paraId="394B805B" w14:textId="77777777" w:rsidR="00A52778" w:rsidRPr="00460F9E" w:rsidRDefault="00A52778" w:rsidP="00A52778">
      <w:pPr>
        <w:spacing w:line="186" w:lineRule="exact"/>
        <w:rPr>
          <w:rFonts w:eastAsia="Times New Roman" w:cs="Times New Roman"/>
          <w:b/>
        </w:rPr>
      </w:pPr>
    </w:p>
    <w:p w14:paraId="2087F329" w14:textId="77777777" w:rsidR="00A52778" w:rsidRDefault="00A52778" w:rsidP="00A52778">
      <w:pPr>
        <w:tabs>
          <w:tab w:val="left" w:pos="1220"/>
        </w:tabs>
        <w:spacing w:line="234" w:lineRule="auto"/>
        <w:ind w:left="1240" w:right="826" w:hanging="1132"/>
        <w:rPr>
          <w:rStyle w:val="GvdeMetniChar"/>
          <w:rFonts w:eastAsiaTheme="minorHAnsi"/>
        </w:rPr>
      </w:pPr>
      <w:r w:rsidRPr="00EA6E76">
        <w:rPr>
          <w:rStyle w:val="GvdeMetniChar"/>
          <w:rFonts w:eastAsiaTheme="minorHAnsi"/>
        </w:rPr>
        <w:t>CS2 kullanılarak viskoz üretiminden kaynaklanan CS2 ve H2S' nin havaya</w:t>
      </w:r>
    </w:p>
    <w:p w14:paraId="1A88260B" w14:textId="77777777" w:rsidR="00A52778" w:rsidRDefault="00A52778" w:rsidP="00A52778">
      <w:pPr>
        <w:tabs>
          <w:tab w:val="left" w:pos="1220"/>
        </w:tabs>
        <w:spacing w:line="234" w:lineRule="auto"/>
        <w:ind w:left="1240" w:right="826" w:hanging="1132"/>
        <w:rPr>
          <w:rStyle w:val="GvdeMetniChar"/>
          <w:rFonts w:eastAsiaTheme="minorHAnsi"/>
        </w:rPr>
      </w:pPr>
      <w:r w:rsidRPr="00EA6E76">
        <w:rPr>
          <w:rStyle w:val="GvdeMetniChar"/>
          <w:rFonts w:eastAsiaTheme="minorHAnsi"/>
        </w:rPr>
        <w:t>kanalize edilen emisyonları için MET ile ilişkili emisyon seviyeleri (MET-AEL' ler)</w:t>
      </w:r>
    </w:p>
    <w:p w14:paraId="742825AC" w14:textId="77777777" w:rsidR="00A52778" w:rsidRDefault="00A52778" w:rsidP="00A52778">
      <w:pPr>
        <w:tabs>
          <w:tab w:val="left" w:pos="1220"/>
        </w:tabs>
        <w:spacing w:line="234" w:lineRule="auto"/>
        <w:ind w:left="1240" w:right="826" w:hanging="1132"/>
        <w:rPr>
          <w:rFonts w:eastAsia="Times New Roman" w:cs="Times New Roman"/>
          <w:b/>
        </w:rPr>
      </w:pPr>
    </w:p>
    <w:tbl>
      <w:tblPr>
        <w:tblStyle w:val="TabloKlavuzu"/>
        <w:tblW w:w="8196" w:type="dxa"/>
        <w:tblInd w:w="399" w:type="dxa"/>
        <w:tblLook w:val="04A0" w:firstRow="1" w:lastRow="0" w:firstColumn="1" w:lastColumn="0" w:noHBand="0" w:noVBand="1"/>
      </w:tblPr>
      <w:tblGrid>
        <w:gridCol w:w="4098"/>
        <w:gridCol w:w="4098"/>
      </w:tblGrid>
      <w:tr w:rsidR="00A52778" w14:paraId="5E16DA68" w14:textId="77777777" w:rsidTr="00FC3F8E">
        <w:tc>
          <w:tcPr>
            <w:tcW w:w="4098" w:type="dxa"/>
            <w:vAlign w:val="bottom"/>
          </w:tcPr>
          <w:p w14:paraId="433A21BC" w14:textId="77777777" w:rsidR="00A52778" w:rsidRPr="00460F9E" w:rsidRDefault="00A52778" w:rsidP="00FC3F8E">
            <w:pPr>
              <w:spacing w:line="0" w:lineRule="atLeast"/>
              <w:ind w:left="440"/>
              <w:rPr>
                <w:rFonts w:eastAsia="Times New Roman" w:cs="Times New Roman"/>
                <w:b/>
              </w:rPr>
            </w:pPr>
            <w:r w:rsidRPr="00460F9E">
              <w:rPr>
                <w:rFonts w:eastAsia="Times New Roman" w:cs="Times New Roman"/>
              </w:rPr>
              <w:t>Maddeler</w:t>
            </w:r>
          </w:p>
        </w:tc>
        <w:tc>
          <w:tcPr>
            <w:tcW w:w="4098" w:type="dxa"/>
            <w:vAlign w:val="bottom"/>
          </w:tcPr>
          <w:p w14:paraId="282CF2A7" w14:textId="77777777" w:rsidR="00A52778" w:rsidRDefault="00A52778" w:rsidP="00FC3F8E">
            <w:pPr>
              <w:spacing w:line="0" w:lineRule="atLeast"/>
              <w:jc w:val="center"/>
              <w:rPr>
                <w:rFonts w:eastAsia="Times New Roman" w:cs="Times New Roman"/>
                <w:b/>
                <w:w w:val="99"/>
              </w:rPr>
            </w:pPr>
            <w:r w:rsidRPr="00460F9E">
              <w:rPr>
                <w:rFonts w:eastAsia="Times New Roman" w:cs="Times New Roman"/>
                <w:w w:val="98"/>
              </w:rPr>
              <w:t>MET</w:t>
            </w:r>
            <w:r w:rsidRPr="00460F9E">
              <w:rPr>
                <w:rFonts w:eastAsia="Times New Roman" w:cs="Times New Roman"/>
                <w:w w:val="99"/>
              </w:rPr>
              <w:t xml:space="preserve"> -AEL (mg/Nm</w:t>
            </w:r>
            <w:r w:rsidRPr="00460F9E">
              <w:rPr>
                <w:rFonts w:eastAsia="Times New Roman" w:cs="Times New Roman"/>
                <w:w w:val="99"/>
                <w:sz w:val="25"/>
                <w:vertAlign w:val="superscript"/>
              </w:rPr>
              <w:t>3</w:t>
            </w:r>
            <w:r w:rsidRPr="00460F9E">
              <w:rPr>
                <w:rFonts w:eastAsia="Times New Roman" w:cs="Times New Roman"/>
                <w:w w:val="99"/>
              </w:rPr>
              <w:t xml:space="preserve">) </w:t>
            </w:r>
          </w:p>
          <w:p w14:paraId="5F65C3D6"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(Günlük ortalama veya örnekleme dönemi boyunca ortalama) (</w:t>
            </w:r>
            <w:r w:rsidRPr="00460F9E">
              <w:rPr>
                <w:rFonts w:eastAsia="Times New Roman" w:cs="Times New Roman"/>
                <w:w w:val="99"/>
                <w:sz w:val="25"/>
                <w:vertAlign w:val="superscript"/>
              </w:rPr>
              <w:t>1</w:t>
            </w:r>
            <w:r w:rsidRPr="00460F9E">
              <w:rPr>
                <w:rFonts w:eastAsia="Times New Roman" w:cs="Times New Roman"/>
                <w:w w:val="99"/>
              </w:rPr>
              <w:t>)</w:t>
            </w:r>
          </w:p>
        </w:tc>
      </w:tr>
      <w:tr w:rsidR="00A52778" w14:paraId="6A3E10FD" w14:textId="77777777" w:rsidTr="00FC3F8E">
        <w:tc>
          <w:tcPr>
            <w:tcW w:w="4098" w:type="dxa"/>
            <w:vAlign w:val="bottom"/>
          </w:tcPr>
          <w:p w14:paraId="2DC5B6AD" w14:textId="77777777" w:rsidR="00A52778" w:rsidRPr="00460F9E" w:rsidRDefault="00A52778" w:rsidP="00FC3F8E">
            <w:pPr>
              <w:spacing w:line="0" w:lineRule="atLeast"/>
              <w:ind w:left="180"/>
              <w:rPr>
                <w:rFonts w:eastAsia="Times New Roman" w:cs="Times New Roman"/>
                <w:b/>
                <w:sz w:val="12"/>
              </w:rPr>
            </w:pPr>
            <w:r w:rsidRPr="00460F9E">
              <w:rPr>
                <w:rFonts w:eastAsia="Times New Roman" w:cs="Times New Roman"/>
              </w:rPr>
              <w:t>CS</w:t>
            </w:r>
            <w:r w:rsidRPr="00460F9E">
              <w:rPr>
                <w:rFonts w:eastAsia="Times New Roman" w:cs="Times New Roman"/>
                <w:sz w:val="12"/>
              </w:rPr>
              <w:t>2</w:t>
            </w:r>
          </w:p>
        </w:tc>
        <w:tc>
          <w:tcPr>
            <w:tcW w:w="4098" w:type="dxa"/>
            <w:vAlign w:val="bottom"/>
          </w:tcPr>
          <w:p w14:paraId="14FDDE19" w14:textId="77777777" w:rsidR="00A52778" w:rsidRPr="00460F9E" w:rsidRDefault="00A52778" w:rsidP="00FC3F8E">
            <w:pPr>
              <w:spacing w:line="0" w:lineRule="atLeast"/>
              <w:ind w:right="2820"/>
              <w:jc w:val="center"/>
              <w:rPr>
                <w:rFonts w:eastAsia="Times New Roman" w:cs="Times New Roman"/>
                <w:b/>
              </w:rPr>
            </w:pPr>
            <w:r w:rsidRPr="00460F9E">
              <w:rPr>
                <w:rFonts w:eastAsia="Times New Roman" w:cs="Times New Roman"/>
              </w:rPr>
              <w:t>5-400 (</w:t>
            </w:r>
            <w:r w:rsidRPr="00460F9E">
              <w:rPr>
                <w:rFonts w:eastAsia="Times New Roman" w:cs="Times New Roman"/>
                <w:sz w:val="25"/>
                <w:vertAlign w:val="superscript"/>
              </w:rPr>
              <w:t>2</w:t>
            </w:r>
            <w:r w:rsidRPr="00460F9E">
              <w:rPr>
                <w:rFonts w:eastAsia="Times New Roman" w:cs="Times New Roman"/>
              </w:rPr>
              <w:t>) (</w:t>
            </w:r>
            <w:r w:rsidRPr="00460F9E">
              <w:rPr>
                <w:rFonts w:eastAsia="Times New Roman" w:cs="Times New Roman"/>
                <w:sz w:val="25"/>
                <w:vertAlign w:val="superscript"/>
              </w:rPr>
              <w:t>3</w:t>
            </w:r>
            <w:r w:rsidRPr="00460F9E">
              <w:rPr>
                <w:rFonts w:eastAsia="Times New Roman" w:cs="Times New Roman"/>
              </w:rPr>
              <w:t>)</w:t>
            </w:r>
          </w:p>
        </w:tc>
      </w:tr>
      <w:tr w:rsidR="00A52778" w14:paraId="1154C9EB" w14:textId="77777777" w:rsidTr="00FC3F8E">
        <w:tc>
          <w:tcPr>
            <w:tcW w:w="4098" w:type="dxa"/>
            <w:vAlign w:val="bottom"/>
          </w:tcPr>
          <w:p w14:paraId="6A1EA4AE" w14:textId="77777777" w:rsidR="00A52778" w:rsidRPr="00460F9E" w:rsidRDefault="00A52778" w:rsidP="00FC3F8E">
            <w:pPr>
              <w:spacing w:line="0" w:lineRule="atLeast"/>
              <w:ind w:left="180"/>
              <w:rPr>
                <w:rFonts w:eastAsia="Times New Roman" w:cs="Times New Roman"/>
                <w:b/>
              </w:rPr>
            </w:pPr>
            <w:r w:rsidRPr="00460F9E">
              <w:rPr>
                <w:rFonts w:eastAsia="Times New Roman" w:cs="Times New Roman"/>
              </w:rPr>
              <w:t>H</w:t>
            </w:r>
            <w:r w:rsidRPr="00460F9E">
              <w:rPr>
                <w:rFonts w:eastAsia="Times New Roman" w:cs="Times New Roman"/>
                <w:sz w:val="12"/>
              </w:rPr>
              <w:t>2</w:t>
            </w:r>
            <w:r w:rsidRPr="00460F9E">
              <w:rPr>
                <w:rFonts w:eastAsia="Times New Roman" w:cs="Times New Roman"/>
              </w:rPr>
              <w:t>S</w:t>
            </w:r>
          </w:p>
        </w:tc>
        <w:tc>
          <w:tcPr>
            <w:tcW w:w="4098" w:type="dxa"/>
            <w:vAlign w:val="bottom"/>
          </w:tcPr>
          <w:p w14:paraId="34A0A132" w14:textId="77777777" w:rsidR="00A52778" w:rsidRPr="00460F9E" w:rsidRDefault="00A52778" w:rsidP="00FC3F8E">
            <w:pPr>
              <w:spacing w:line="0" w:lineRule="atLeast"/>
              <w:ind w:right="3000"/>
              <w:jc w:val="center"/>
              <w:rPr>
                <w:rFonts w:eastAsia="Times New Roman" w:cs="Times New Roman"/>
                <w:b/>
              </w:rPr>
            </w:pPr>
            <w:r w:rsidRPr="00460F9E">
              <w:rPr>
                <w:rFonts w:eastAsia="Times New Roman" w:cs="Times New Roman"/>
              </w:rPr>
              <w:t>1-10 (</w:t>
            </w:r>
            <w:r w:rsidRPr="00460F9E">
              <w:rPr>
                <w:rFonts w:eastAsia="Times New Roman" w:cs="Times New Roman"/>
                <w:sz w:val="25"/>
                <w:vertAlign w:val="superscript"/>
              </w:rPr>
              <w:t>4</w:t>
            </w:r>
            <w:r w:rsidRPr="00460F9E">
              <w:rPr>
                <w:rFonts w:eastAsia="Times New Roman" w:cs="Times New Roman"/>
              </w:rPr>
              <w:t>)</w:t>
            </w:r>
          </w:p>
        </w:tc>
      </w:tr>
      <w:tr w:rsidR="00A52778" w14:paraId="7DA7EB92" w14:textId="77777777" w:rsidTr="00FC3F8E">
        <w:trPr>
          <w:trHeight w:val="424"/>
        </w:trPr>
        <w:tc>
          <w:tcPr>
            <w:tcW w:w="8196" w:type="dxa"/>
            <w:gridSpan w:val="2"/>
          </w:tcPr>
          <w:p w14:paraId="7CD2EC2C" w14:textId="77777777" w:rsidR="00A52778" w:rsidRPr="00460F9E" w:rsidRDefault="00A52778" w:rsidP="00FC3F8E">
            <w:pPr>
              <w:spacing w:line="23" w:lineRule="exact"/>
              <w:rPr>
                <w:rFonts w:eastAsia="Times New Roman" w:cs="Times New Roman"/>
                <w:b/>
              </w:rPr>
            </w:pPr>
          </w:p>
          <w:p w14:paraId="42BB4FD7" w14:textId="77777777" w:rsidR="00A52778" w:rsidRPr="00460F9E" w:rsidRDefault="00A52778" w:rsidP="00FC3F8E">
            <w:pPr>
              <w:spacing w:line="0" w:lineRule="atLeast"/>
              <w:ind w:left="200"/>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1</w:t>
            </w:r>
            <w:r w:rsidRPr="00460F9E">
              <w:rPr>
                <w:rFonts w:eastAsia="Times New Roman" w:cs="Times New Roman"/>
                <w:sz w:val="18"/>
              </w:rPr>
              <w:t xml:space="preserve">) MET-AEL filament iplik üretimi için geçerli değildir. </w:t>
            </w:r>
          </w:p>
          <w:p w14:paraId="26F2CEB0" w14:textId="77777777" w:rsidR="00A52778" w:rsidRPr="00460F9E" w:rsidRDefault="00A52778" w:rsidP="00FC3F8E">
            <w:pPr>
              <w:spacing w:line="187" w:lineRule="auto"/>
              <w:ind w:left="200"/>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2</w:t>
            </w:r>
            <w:r w:rsidRPr="00460F9E">
              <w:rPr>
                <w:rFonts w:eastAsia="Times New Roman" w:cs="Times New Roman"/>
                <w:sz w:val="18"/>
              </w:rPr>
              <w:t>) MET-AEL aralığının üst sınırı daha yüksek olabilir ve aşağıdaki durumlarda 500 mg CS2/Nm</w:t>
            </w:r>
            <w:r w:rsidRPr="00460F9E">
              <w:rPr>
                <w:rFonts w:eastAsia="Times New Roman" w:cs="Times New Roman"/>
                <w:vertAlign w:val="superscript"/>
              </w:rPr>
              <w:t>3</w:t>
            </w:r>
            <w:r w:rsidRPr="00460F9E">
              <w:rPr>
                <w:rFonts w:eastAsia="Times New Roman" w:cs="Times New Roman"/>
                <w:sz w:val="18"/>
              </w:rPr>
              <w:t>' e kadar çıkabilir:</w:t>
            </w:r>
          </w:p>
          <w:p w14:paraId="4BEFF8C6" w14:textId="77777777" w:rsidR="00A52778" w:rsidRPr="00460F9E" w:rsidRDefault="00A52778" w:rsidP="00BF2B30">
            <w:pPr>
              <w:numPr>
                <w:ilvl w:val="0"/>
                <w:numId w:val="220"/>
              </w:numPr>
              <w:tabs>
                <w:tab w:val="left" w:pos="680"/>
              </w:tabs>
              <w:spacing w:line="221" w:lineRule="auto"/>
              <w:ind w:left="680" w:hanging="207"/>
              <w:jc w:val="left"/>
              <w:rPr>
                <w:rFonts w:eastAsia="Times New Roman" w:cs="Times New Roman"/>
                <w:b/>
                <w:sz w:val="18"/>
              </w:rPr>
            </w:pPr>
            <w:r w:rsidRPr="00460F9E">
              <w:rPr>
                <w:rFonts w:eastAsia="Times New Roman" w:cs="Times New Roman"/>
                <w:sz w:val="18"/>
              </w:rPr>
              <w:t>aşağıdaki koşulların her ikisinin de yerine getirilmiş olması gerekmektedir:</w:t>
            </w:r>
          </w:p>
          <w:p w14:paraId="50279EAB" w14:textId="77777777" w:rsidR="00A52778" w:rsidRPr="00460F9E" w:rsidRDefault="00A52778" w:rsidP="00FC3F8E">
            <w:pPr>
              <w:spacing w:line="236" w:lineRule="auto"/>
              <w:ind w:left="680"/>
              <w:rPr>
                <w:rFonts w:eastAsia="Times New Roman" w:cs="Times New Roman"/>
                <w:b/>
                <w:sz w:val="18"/>
              </w:rPr>
            </w:pPr>
            <w:r w:rsidRPr="00460F9E">
              <w:rPr>
                <w:rFonts w:eastAsia="Times New Roman" w:cs="Times New Roman"/>
                <w:sz w:val="18"/>
              </w:rPr>
              <w:t xml:space="preserve">biyoprosesler (bkz. </w:t>
            </w:r>
            <w:hyperlink w:anchor="page327" w:history="1">
              <w:r w:rsidRPr="00460F9E">
                <w:rPr>
                  <w:rFonts w:eastAsia="Times New Roman" w:cs="Times New Roman"/>
                  <w:sz w:val="18"/>
                </w:rPr>
                <w:t xml:space="preserve">MET 35 </w:t>
              </w:r>
            </w:hyperlink>
            <w:r w:rsidRPr="00460F9E">
              <w:rPr>
                <w:rFonts w:eastAsia="Times New Roman" w:cs="Times New Roman"/>
                <w:sz w:val="18"/>
              </w:rPr>
              <w:t>b) geçerli değildir;</w:t>
            </w:r>
          </w:p>
          <w:p w14:paraId="1AFEDEB0" w14:textId="77777777" w:rsidR="00A52778" w:rsidRPr="00460F9E" w:rsidRDefault="00A52778" w:rsidP="00FC3F8E">
            <w:pPr>
              <w:spacing w:line="2" w:lineRule="exact"/>
              <w:rPr>
                <w:rFonts w:eastAsia="Times New Roman" w:cs="Times New Roman"/>
                <w:b/>
                <w:sz w:val="18"/>
              </w:rPr>
            </w:pPr>
          </w:p>
          <w:p w14:paraId="3EB1D43D" w14:textId="77777777" w:rsidR="00A52778" w:rsidRPr="00460F9E" w:rsidRDefault="00A52778" w:rsidP="00FC3F8E">
            <w:pPr>
              <w:spacing w:line="230" w:lineRule="auto"/>
              <w:ind w:left="680"/>
              <w:rPr>
                <w:rFonts w:eastAsia="Times New Roman" w:cs="Times New Roman"/>
                <w:b/>
                <w:sz w:val="18"/>
              </w:rPr>
            </w:pPr>
            <w:r w:rsidRPr="00460F9E">
              <w:rPr>
                <w:rFonts w:eastAsia="Times New Roman" w:cs="Times New Roman"/>
                <w:sz w:val="18"/>
              </w:rPr>
              <w:t>CS</w:t>
            </w:r>
            <w:r w:rsidRPr="00460F9E">
              <w:rPr>
                <w:rFonts w:eastAsia="Times New Roman" w:cs="Times New Roman"/>
                <w:sz w:val="18"/>
                <w:vertAlign w:val="subscript"/>
              </w:rPr>
              <w:t>2</w:t>
            </w:r>
            <w:r w:rsidRPr="00460F9E">
              <w:rPr>
                <w:rFonts w:eastAsia="Times New Roman" w:cs="Times New Roman"/>
                <w:sz w:val="18"/>
              </w:rPr>
              <w:t xml:space="preserve"> geri kazanım verimi (bkz. MET 34) %97 ise; veya</w:t>
            </w:r>
          </w:p>
          <w:p w14:paraId="4727FAE2" w14:textId="77777777" w:rsidR="00A52778" w:rsidRPr="00460F9E" w:rsidRDefault="00A52778" w:rsidP="00FC3F8E">
            <w:pPr>
              <w:spacing w:line="22" w:lineRule="exact"/>
              <w:rPr>
                <w:rFonts w:eastAsia="Times New Roman" w:cs="Times New Roman"/>
                <w:b/>
                <w:sz w:val="18"/>
              </w:rPr>
            </w:pPr>
          </w:p>
          <w:p w14:paraId="63D077F5" w14:textId="77777777" w:rsidR="00A52778" w:rsidRPr="00460F9E" w:rsidRDefault="00A52778" w:rsidP="00BF2B30">
            <w:pPr>
              <w:numPr>
                <w:ilvl w:val="0"/>
                <w:numId w:val="220"/>
              </w:numPr>
              <w:tabs>
                <w:tab w:val="left" w:pos="680"/>
              </w:tabs>
              <w:spacing w:line="0" w:lineRule="atLeast"/>
              <w:ind w:left="680" w:hanging="207"/>
              <w:jc w:val="left"/>
              <w:rPr>
                <w:rFonts w:eastAsia="Times New Roman" w:cs="Times New Roman"/>
                <w:b/>
                <w:sz w:val="18"/>
              </w:rPr>
            </w:pPr>
            <w:r w:rsidRPr="00460F9E">
              <w:rPr>
                <w:rFonts w:eastAsia="Times New Roman" w:cs="Times New Roman"/>
                <w:sz w:val="18"/>
              </w:rPr>
              <w:t>CS</w:t>
            </w:r>
            <w:r w:rsidRPr="00460F9E">
              <w:rPr>
                <w:rFonts w:eastAsia="Times New Roman" w:cs="Times New Roman"/>
                <w:sz w:val="18"/>
                <w:vertAlign w:val="subscript"/>
              </w:rPr>
              <w:t>2</w:t>
            </w:r>
            <w:r w:rsidRPr="00460F9E">
              <w:rPr>
                <w:rFonts w:eastAsia="Times New Roman" w:cs="Times New Roman"/>
                <w:sz w:val="18"/>
              </w:rPr>
              <w:t xml:space="preserve"> geri kazanım işlemi uygulanamaz.</w:t>
            </w:r>
          </w:p>
          <w:p w14:paraId="4F96D343" w14:textId="77777777" w:rsidR="00A52778" w:rsidRPr="00460F9E" w:rsidRDefault="00A52778" w:rsidP="00FC3F8E">
            <w:pPr>
              <w:spacing w:line="186" w:lineRule="auto"/>
              <w:ind w:left="200"/>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3</w:t>
            </w:r>
            <w:r w:rsidRPr="00460F9E">
              <w:rPr>
                <w:rFonts w:eastAsia="Times New Roman" w:cs="Times New Roman"/>
                <w:sz w:val="18"/>
              </w:rPr>
              <w:t>) MET-AEL aralığının alt ucu termal oksidasyon veya MET 34' deki d. tekniği kullanılarak elde edilebilir.</w:t>
            </w:r>
          </w:p>
          <w:p w14:paraId="68338256" w14:textId="77777777" w:rsidR="00A52778" w:rsidRPr="00460F9E" w:rsidRDefault="00A52778" w:rsidP="00FC3F8E">
            <w:pPr>
              <w:spacing w:line="1" w:lineRule="exact"/>
              <w:rPr>
                <w:rFonts w:eastAsia="Times New Roman" w:cs="Times New Roman"/>
                <w:b/>
                <w:sz w:val="18"/>
              </w:rPr>
            </w:pPr>
          </w:p>
          <w:p w14:paraId="1B1C04A5" w14:textId="77777777" w:rsidR="00A52778" w:rsidRPr="00460F9E" w:rsidRDefault="00A52778" w:rsidP="00FC3F8E">
            <w:pPr>
              <w:spacing w:line="201" w:lineRule="auto"/>
              <w:ind w:left="480" w:right="826" w:hanging="268"/>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4</w:t>
            </w:r>
            <w:r w:rsidRPr="00460F9E">
              <w:rPr>
                <w:rFonts w:eastAsia="Times New Roman" w:cs="Times New Roman"/>
                <w:sz w:val="18"/>
              </w:rPr>
              <w:t>) H</w:t>
            </w:r>
            <w:r w:rsidRPr="00460F9E">
              <w:rPr>
                <w:rFonts w:eastAsia="Times New Roman" w:cs="Times New Roman"/>
                <w:sz w:val="18"/>
                <w:vertAlign w:val="subscript"/>
              </w:rPr>
              <w:t>2</w:t>
            </w:r>
            <w:r w:rsidRPr="00460F9E">
              <w:rPr>
                <w:rFonts w:eastAsia="Times New Roman" w:cs="Times New Roman"/>
                <w:sz w:val="18"/>
              </w:rPr>
              <w:t>S ve CS</w:t>
            </w:r>
            <w:r w:rsidRPr="00460F9E">
              <w:rPr>
                <w:rFonts w:eastAsia="Times New Roman" w:cs="Times New Roman"/>
                <w:sz w:val="18"/>
                <w:vertAlign w:val="subscript"/>
              </w:rPr>
              <w:t>2</w:t>
            </w:r>
            <w:r w:rsidRPr="00460F9E">
              <w:rPr>
                <w:rFonts w:eastAsia="Times New Roman" w:cs="Times New Roman"/>
                <w:sz w:val="18"/>
              </w:rPr>
              <w:t xml:space="preserve"> toplamı (Toplam S olarak ifade edilir) Tablo 4.14' deki MET-AEL aralığının alt ucuna yakın olduğunda MET-AEL aralığının üst ucu daha yüksek ve 30 mg/Nm</w:t>
            </w:r>
            <w:r w:rsidRPr="00460F9E">
              <w:rPr>
                <w:rFonts w:eastAsia="Times New Roman" w:cs="Times New Roman"/>
                <w:vertAlign w:val="superscript"/>
              </w:rPr>
              <w:t>3</w:t>
            </w:r>
            <w:r w:rsidRPr="00460F9E">
              <w:rPr>
                <w:rFonts w:eastAsia="Times New Roman" w:cs="Times New Roman"/>
                <w:sz w:val="18"/>
              </w:rPr>
              <w:t>' e kadar çıkabilir.</w:t>
            </w:r>
          </w:p>
          <w:p w14:paraId="1CEAFAE5" w14:textId="77777777" w:rsidR="00A52778" w:rsidRDefault="00A52778" w:rsidP="00FC3F8E">
            <w:pPr>
              <w:tabs>
                <w:tab w:val="left" w:pos="1220"/>
              </w:tabs>
              <w:spacing w:line="234" w:lineRule="auto"/>
              <w:ind w:right="826"/>
              <w:rPr>
                <w:rFonts w:eastAsia="Times New Roman" w:cs="Times New Roman"/>
                <w:b/>
                <w:sz w:val="12"/>
              </w:rPr>
            </w:pPr>
          </w:p>
        </w:tc>
      </w:tr>
    </w:tbl>
    <w:p w14:paraId="2E052BB6" w14:textId="77777777" w:rsidR="00A52778" w:rsidRPr="00460F9E" w:rsidRDefault="00A52778" w:rsidP="00A52778">
      <w:pPr>
        <w:spacing w:line="0" w:lineRule="atLeast"/>
        <w:ind w:left="820"/>
        <w:rPr>
          <w:rFonts w:eastAsia="Times New Roman" w:cs="Times New Roman"/>
          <w:b/>
        </w:rPr>
      </w:pPr>
      <w:r w:rsidRPr="00460F9E">
        <w:rPr>
          <w:rFonts w:eastAsia="Times New Roman" w:cs="Times New Roman"/>
        </w:rPr>
        <w:t xml:space="preserve">İlişkili izleme MET 33' de verilmiştir. </w:t>
      </w:r>
    </w:p>
    <w:p w14:paraId="176ABFB5" w14:textId="77777777" w:rsidR="00A52778" w:rsidRPr="00460F9E" w:rsidRDefault="00A52778" w:rsidP="00A52778">
      <w:pPr>
        <w:spacing w:line="200" w:lineRule="exact"/>
        <w:rPr>
          <w:rFonts w:eastAsia="Times New Roman" w:cs="Times New Roman"/>
          <w:b/>
          <w:sz w:val="18"/>
        </w:rPr>
      </w:pPr>
    </w:p>
    <w:p w14:paraId="75494D61" w14:textId="77777777" w:rsidR="00A52778" w:rsidRPr="00460F9E" w:rsidRDefault="00A52778" w:rsidP="00A52778">
      <w:pPr>
        <w:spacing w:line="323" w:lineRule="exact"/>
        <w:rPr>
          <w:rFonts w:eastAsia="Times New Roman" w:cs="Times New Roman"/>
          <w:b/>
          <w:sz w:val="18"/>
        </w:rPr>
      </w:pPr>
    </w:p>
    <w:p w14:paraId="182A7F26" w14:textId="77777777" w:rsidR="00A52778" w:rsidRDefault="00A52778" w:rsidP="00A52778">
      <w:pPr>
        <w:tabs>
          <w:tab w:val="left" w:pos="1220"/>
        </w:tabs>
        <w:spacing w:line="234" w:lineRule="auto"/>
        <w:ind w:left="1240" w:right="826" w:hanging="1132"/>
        <w:rPr>
          <w:rFonts w:eastAsia="Times New Roman" w:cs="Times New Roman"/>
        </w:rPr>
      </w:pPr>
      <w:r w:rsidRPr="00EA6E76">
        <w:rPr>
          <w:rFonts w:eastAsia="Times New Roman" w:cs="Times New Roman"/>
        </w:rPr>
        <w:t xml:space="preserve">Spesifik emisyon yükleri olarak ifade edilen kesik elyaf ve kılıf borusu üretiminden </w:t>
      </w:r>
    </w:p>
    <w:p w14:paraId="315C807D" w14:textId="77777777" w:rsidR="00A52778" w:rsidRDefault="00A52778" w:rsidP="00A52778">
      <w:pPr>
        <w:tabs>
          <w:tab w:val="left" w:pos="1220"/>
        </w:tabs>
        <w:spacing w:line="234" w:lineRule="auto"/>
        <w:ind w:left="1240" w:right="826" w:hanging="1132"/>
        <w:rPr>
          <w:rFonts w:eastAsia="Times New Roman" w:cs="Times New Roman"/>
        </w:rPr>
      </w:pPr>
      <w:r w:rsidRPr="00EA6E76">
        <w:rPr>
          <w:rFonts w:eastAsia="Times New Roman" w:cs="Times New Roman"/>
        </w:rPr>
        <w:t>kaynaklanan H</w:t>
      </w:r>
      <w:r w:rsidRPr="00EA6E76">
        <w:rPr>
          <w:rFonts w:eastAsia="Times New Roman" w:cs="Times New Roman"/>
          <w:vertAlign w:val="subscript"/>
        </w:rPr>
        <w:t>2</w:t>
      </w:r>
      <w:r w:rsidRPr="00EA6E76">
        <w:rPr>
          <w:rFonts w:eastAsia="Times New Roman" w:cs="Times New Roman"/>
        </w:rPr>
        <w:t>S ve CS</w:t>
      </w:r>
      <w:r w:rsidRPr="00EA6E76">
        <w:rPr>
          <w:rFonts w:eastAsia="Times New Roman" w:cs="Times New Roman"/>
          <w:vertAlign w:val="subscript"/>
        </w:rPr>
        <w:t>2</w:t>
      </w:r>
      <w:r w:rsidRPr="00EA6E76">
        <w:rPr>
          <w:rFonts w:eastAsia="Times New Roman" w:cs="Times New Roman"/>
        </w:rPr>
        <w:t xml:space="preserve">' nin havaya emisyonları için MET ile ilişkili emisyon </w:t>
      </w:r>
    </w:p>
    <w:p w14:paraId="44BA1147" w14:textId="77777777" w:rsidR="00A52778" w:rsidRPr="00EA6E76" w:rsidRDefault="00A52778" w:rsidP="00A52778">
      <w:pPr>
        <w:tabs>
          <w:tab w:val="left" w:pos="1220"/>
        </w:tabs>
        <w:spacing w:line="234" w:lineRule="auto"/>
        <w:ind w:right="826"/>
        <w:rPr>
          <w:rFonts w:eastAsia="Times New Roman" w:cs="Times New Roman"/>
        </w:rPr>
      </w:pPr>
      <w:r w:rsidRPr="00EA6E76">
        <w:rPr>
          <w:rFonts w:eastAsia="Times New Roman" w:cs="Times New Roman"/>
        </w:rPr>
        <w:t>seviyeleri (MET-AEL' ler)</w:t>
      </w:r>
    </w:p>
    <w:p w14:paraId="3135B0C7" w14:textId="77777777" w:rsidR="00A52778" w:rsidRPr="00460F9E" w:rsidRDefault="00A52778" w:rsidP="00A52778">
      <w:pPr>
        <w:spacing w:line="20" w:lineRule="exact"/>
        <w:rPr>
          <w:rFonts w:eastAsia="Times New Roman" w:cs="Times New Roman"/>
          <w:b/>
          <w:sz w:val="18"/>
        </w:rPr>
      </w:pPr>
      <w:r w:rsidRPr="00460F9E">
        <w:rPr>
          <w:rFonts w:eastAsia="Times New Roman" w:cs="Times New Roman"/>
          <w:b/>
          <w:noProof/>
          <w:lang w:val="tr-TR" w:eastAsia="tr-TR"/>
        </w:rPr>
        <mc:AlternateContent>
          <mc:Choice Requires="wps">
            <w:drawing>
              <wp:anchor distT="0" distB="0" distL="114300" distR="114300" simplePos="0" relativeHeight="251697152" behindDoc="1" locked="0" layoutInCell="1" allowOverlap="1" wp14:anchorId="3BB604B4" wp14:editId="50DF40C9">
                <wp:simplePos x="0" y="0"/>
                <wp:positionH relativeFrom="column">
                  <wp:posOffset>2540</wp:posOffset>
                </wp:positionH>
                <wp:positionV relativeFrom="paragraph">
                  <wp:posOffset>75565</wp:posOffset>
                </wp:positionV>
                <wp:extent cx="0" cy="1091565"/>
                <wp:effectExtent l="12065" t="10160" r="6985" b="12700"/>
                <wp:wrapNone/>
                <wp:docPr id="112" name="Düz Bağlayıcı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5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5BFDC" id="Düz Bağlayıcı 112"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95pt" to=".2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" strokeweight=".16931mm"/>
            </w:pict>
          </mc:Fallback>
        </mc:AlternateContent>
      </w:r>
    </w:p>
    <w:p w14:paraId="73CB8FEA" w14:textId="77777777" w:rsidR="00A52778" w:rsidRPr="00460F9E" w:rsidRDefault="00A52778" w:rsidP="00A52778">
      <w:pPr>
        <w:spacing w:line="80" w:lineRule="exact"/>
        <w:rPr>
          <w:rFonts w:eastAsia="Times New Roman" w:cs="Times New Roman"/>
          <w:b/>
          <w:sz w:val="18"/>
        </w:rPr>
      </w:pPr>
      <w:r w:rsidRPr="00460F9E">
        <w:rPr>
          <w:rFonts w:eastAsia="Times New Roman" w:cs="Times New Roman"/>
          <w:b/>
          <w:noProof/>
          <w:lang w:val="tr-TR" w:eastAsia="tr-TR"/>
        </w:rPr>
        <mc:AlternateContent>
          <mc:Choice Requires="wps">
            <w:drawing>
              <wp:anchor distT="0" distB="0" distL="114300" distR="114300" simplePos="0" relativeHeight="251709440" behindDoc="1" locked="0" layoutInCell="1" allowOverlap="1" wp14:anchorId="1FC53F3B" wp14:editId="6D177699">
                <wp:simplePos x="0" y="0"/>
                <wp:positionH relativeFrom="column">
                  <wp:posOffset>886</wp:posOffset>
                </wp:positionH>
                <wp:positionV relativeFrom="paragraph">
                  <wp:posOffset>1048651</wp:posOffset>
                </wp:positionV>
                <wp:extent cx="0" cy="1310743"/>
                <wp:effectExtent l="0" t="0" r="19050" b="22860"/>
                <wp:wrapNone/>
                <wp:docPr id="139" name="Düz Bağlayıcı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1074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CBA2A" id="Düz Bağlayıcı 139" o:spid="_x0000_s1026" style="position:absolute;flip:x;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82.55pt" to=".05pt,1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" strokeweight=".48pt"/>
            </w:pict>
          </mc:Fallback>
        </mc:AlternateContent>
      </w:r>
      <w:r w:rsidRPr="00460F9E">
        <w:rPr>
          <w:rFonts w:eastAsia="Times New Roman" w:cs="Times New Roman"/>
          <w:b/>
          <w:noProof/>
          <w:lang w:val="tr-TR" w:eastAsia="tr-TR"/>
        </w:rPr>
        <mc:AlternateContent>
          <mc:Choice Requires="wps">
            <w:drawing>
              <wp:anchor distT="0" distB="0" distL="114300" distR="114300" simplePos="0" relativeHeight="251698176" behindDoc="1" locked="0" layoutInCell="1" allowOverlap="1" wp14:anchorId="382DC651" wp14:editId="4F1DD948">
                <wp:simplePos x="0" y="0"/>
                <wp:positionH relativeFrom="column">
                  <wp:posOffset>5540449</wp:posOffset>
                </wp:positionH>
                <wp:positionV relativeFrom="paragraph">
                  <wp:posOffset>148472</wp:posOffset>
                </wp:positionV>
                <wp:extent cx="0" cy="2211454"/>
                <wp:effectExtent l="0" t="0" r="19050" b="36830"/>
                <wp:wrapNone/>
                <wp:docPr id="111" name="Düz Bağlayıcı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1145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B1FF0" id="Düz Bağlayıcı 111" o:spid="_x0000_s1026" style="position:absolute;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25pt,11.7pt" to="436.2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" strokeweight=".48pt"/>
            </w:pict>
          </mc:Fallback>
        </mc:AlternateContent>
      </w:r>
    </w:p>
    <w:tbl>
      <w:tblPr>
        <w:tblW w:w="0" w:type="auto"/>
        <w:tblLayout w:type="fixed"/>
        <w:tblCellMar>
          <w:left w:w="0" w:type="dxa"/>
          <w:right w:w="0" w:type="dxa"/>
        </w:tblCellMar>
        <w:tblLook w:val="0000" w:firstRow="0" w:lastRow="0" w:firstColumn="0" w:lastColumn="0" w:noHBand="0" w:noVBand="0"/>
      </w:tblPr>
      <w:tblGrid>
        <w:gridCol w:w="2260"/>
        <w:gridCol w:w="3040"/>
        <w:gridCol w:w="1780"/>
        <w:gridCol w:w="1680"/>
      </w:tblGrid>
      <w:tr w:rsidR="00A52778" w:rsidRPr="00460F9E" w14:paraId="42D02EEF" w14:textId="77777777" w:rsidTr="00FC3F8E">
        <w:trPr>
          <w:trHeight w:val="299"/>
        </w:trPr>
        <w:tc>
          <w:tcPr>
            <w:tcW w:w="2260" w:type="dxa"/>
            <w:vMerge w:val="restart"/>
            <w:tcBorders>
              <w:top w:val="single" w:sz="8" w:space="0" w:color="auto"/>
              <w:right w:val="single" w:sz="8" w:space="0" w:color="auto"/>
            </w:tcBorders>
            <w:shd w:val="clear" w:color="auto" w:fill="auto"/>
            <w:vAlign w:val="bottom"/>
          </w:tcPr>
          <w:p w14:paraId="635D0B1A"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Parametreler</w:t>
            </w:r>
          </w:p>
        </w:tc>
        <w:tc>
          <w:tcPr>
            <w:tcW w:w="3040" w:type="dxa"/>
            <w:vMerge w:val="restart"/>
            <w:tcBorders>
              <w:top w:val="single" w:sz="8" w:space="0" w:color="auto"/>
              <w:right w:val="single" w:sz="8" w:space="0" w:color="auto"/>
            </w:tcBorders>
            <w:shd w:val="clear" w:color="auto" w:fill="auto"/>
            <w:vAlign w:val="bottom"/>
          </w:tcPr>
          <w:p w14:paraId="037FD178"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Proses</w:t>
            </w:r>
          </w:p>
        </w:tc>
        <w:tc>
          <w:tcPr>
            <w:tcW w:w="1780" w:type="dxa"/>
            <w:vMerge w:val="restart"/>
            <w:tcBorders>
              <w:top w:val="single" w:sz="8" w:space="0" w:color="auto"/>
              <w:right w:val="single" w:sz="8" w:space="0" w:color="auto"/>
            </w:tcBorders>
            <w:shd w:val="clear" w:color="auto" w:fill="auto"/>
            <w:vAlign w:val="bottom"/>
          </w:tcPr>
          <w:p w14:paraId="5993A715"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Birim</w:t>
            </w:r>
          </w:p>
        </w:tc>
        <w:tc>
          <w:tcPr>
            <w:tcW w:w="1680" w:type="dxa"/>
            <w:tcBorders>
              <w:top w:val="single" w:sz="8" w:space="0" w:color="auto"/>
            </w:tcBorders>
            <w:shd w:val="clear" w:color="auto" w:fill="auto"/>
            <w:vAlign w:val="bottom"/>
          </w:tcPr>
          <w:p w14:paraId="107DBD34" w14:textId="77777777" w:rsidR="00A52778" w:rsidRPr="00460F9E" w:rsidRDefault="00A52778" w:rsidP="00FC3F8E">
            <w:pPr>
              <w:spacing w:line="0" w:lineRule="atLeast"/>
              <w:jc w:val="center"/>
              <w:rPr>
                <w:rFonts w:eastAsia="Times New Roman" w:cs="Times New Roman"/>
                <w:b/>
                <w:w w:val="98"/>
              </w:rPr>
            </w:pPr>
            <w:r w:rsidRPr="00460F9E">
              <w:rPr>
                <w:rFonts w:eastAsia="Times New Roman" w:cs="Times New Roman"/>
                <w:w w:val="98"/>
              </w:rPr>
              <w:t>MET -AEL</w:t>
            </w:r>
          </w:p>
        </w:tc>
      </w:tr>
      <w:tr w:rsidR="00A52778" w:rsidRPr="00460F9E" w14:paraId="4535D494" w14:textId="77777777" w:rsidTr="00FC3F8E">
        <w:trPr>
          <w:trHeight w:val="298"/>
        </w:trPr>
        <w:tc>
          <w:tcPr>
            <w:tcW w:w="2260" w:type="dxa"/>
            <w:vMerge/>
            <w:tcBorders>
              <w:right w:val="single" w:sz="8" w:space="0" w:color="auto"/>
            </w:tcBorders>
            <w:shd w:val="clear" w:color="auto" w:fill="auto"/>
            <w:vAlign w:val="bottom"/>
          </w:tcPr>
          <w:p w14:paraId="47A565C2" w14:textId="77777777" w:rsidR="00A52778" w:rsidRPr="00460F9E" w:rsidRDefault="00A52778" w:rsidP="00FC3F8E">
            <w:pPr>
              <w:spacing w:line="0" w:lineRule="atLeast"/>
              <w:rPr>
                <w:rFonts w:eastAsia="Times New Roman" w:cs="Times New Roman"/>
                <w:b/>
                <w:sz w:val="12"/>
              </w:rPr>
            </w:pPr>
          </w:p>
        </w:tc>
        <w:tc>
          <w:tcPr>
            <w:tcW w:w="3040" w:type="dxa"/>
            <w:vMerge/>
            <w:tcBorders>
              <w:right w:val="single" w:sz="8" w:space="0" w:color="auto"/>
            </w:tcBorders>
            <w:shd w:val="clear" w:color="auto" w:fill="auto"/>
            <w:vAlign w:val="bottom"/>
          </w:tcPr>
          <w:p w14:paraId="2F3DA2A3" w14:textId="77777777" w:rsidR="00A52778" w:rsidRPr="00460F9E" w:rsidRDefault="00A52778" w:rsidP="00FC3F8E">
            <w:pPr>
              <w:spacing w:line="0" w:lineRule="atLeast"/>
              <w:rPr>
                <w:rFonts w:eastAsia="Times New Roman" w:cs="Times New Roman"/>
                <w:b/>
                <w:sz w:val="12"/>
              </w:rPr>
            </w:pPr>
          </w:p>
        </w:tc>
        <w:tc>
          <w:tcPr>
            <w:tcW w:w="1780" w:type="dxa"/>
            <w:vMerge/>
            <w:tcBorders>
              <w:right w:val="single" w:sz="8" w:space="0" w:color="auto"/>
            </w:tcBorders>
            <w:shd w:val="clear" w:color="auto" w:fill="auto"/>
            <w:vAlign w:val="bottom"/>
          </w:tcPr>
          <w:p w14:paraId="6A9514EA" w14:textId="77777777" w:rsidR="00A52778" w:rsidRPr="00460F9E" w:rsidRDefault="00A52778" w:rsidP="00FC3F8E">
            <w:pPr>
              <w:spacing w:line="0" w:lineRule="atLeast"/>
              <w:rPr>
                <w:rFonts w:eastAsia="Times New Roman" w:cs="Times New Roman"/>
                <w:b/>
                <w:sz w:val="12"/>
              </w:rPr>
            </w:pPr>
          </w:p>
        </w:tc>
        <w:tc>
          <w:tcPr>
            <w:tcW w:w="1680" w:type="dxa"/>
            <w:vMerge w:val="restart"/>
            <w:shd w:val="clear" w:color="auto" w:fill="auto"/>
            <w:vAlign w:val="bottom"/>
          </w:tcPr>
          <w:p w14:paraId="74503CB5"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(Yıllık ortalama)</w:t>
            </w:r>
          </w:p>
        </w:tc>
      </w:tr>
      <w:tr w:rsidR="00A52778" w:rsidRPr="00460F9E" w14:paraId="69177F40" w14:textId="77777777" w:rsidTr="00FC3F8E">
        <w:trPr>
          <w:trHeight w:val="144"/>
        </w:trPr>
        <w:tc>
          <w:tcPr>
            <w:tcW w:w="2260" w:type="dxa"/>
            <w:tcBorders>
              <w:right w:val="single" w:sz="8" w:space="0" w:color="auto"/>
            </w:tcBorders>
            <w:shd w:val="clear" w:color="auto" w:fill="auto"/>
            <w:vAlign w:val="bottom"/>
          </w:tcPr>
          <w:p w14:paraId="3D29101A" w14:textId="77777777" w:rsidR="00A52778" w:rsidRPr="00460F9E" w:rsidRDefault="00A52778" w:rsidP="00FC3F8E">
            <w:pPr>
              <w:spacing w:line="0" w:lineRule="atLeast"/>
              <w:rPr>
                <w:rFonts w:eastAsia="Times New Roman" w:cs="Times New Roman"/>
                <w:b/>
                <w:sz w:val="12"/>
              </w:rPr>
            </w:pPr>
          </w:p>
        </w:tc>
        <w:tc>
          <w:tcPr>
            <w:tcW w:w="3040" w:type="dxa"/>
            <w:tcBorders>
              <w:right w:val="single" w:sz="8" w:space="0" w:color="auto"/>
            </w:tcBorders>
            <w:shd w:val="clear" w:color="auto" w:fill="auto"/>
            <w:vAlign w:val="bottom"/>
          </w:tcPr>
          <w:p w14:paraId="6B5B8338" w14:textId="77777777" w:rsidR="00A52778" w:rsidRPr="00460F9E" w:rsidRDefault="00A52778" w:rsidP="00FC3F8E">
            <w:pPr>
              <w:spacing w:line="0" w:lineRule="atLeast"/>
              <w:rPr>
                <w:rFonts w:eastAsia="Times New Roman" w:cs="Times New Roman"/>
                <w:b/>
                <w:sz w:val="12"/>
              </w:rPr>
            </w:pPr>
          </w:p>
        </w:tc>
        <w:tc>
          <w:tcPr>
            <w:tcW w:w="1780" w:type="dxa"/>
            <w:tcBorders>
              <w:right w:val="single" w:sz="8" w:space="0" w:color="auto"/>
            </w:tcBorders>
            <w:shd w:val="clear" w:color="auto" w:fill="auto"/>
            <w:vAlign w:val="bottom"/>
          </w:tcPr>
          <w:p w14:paraId="30C5EA04" w14:textId="77777777" w:rsidR="00A52778" w:rsidRPr="00460F9E" w:rsidRDefault="00A52778" w:rsidP="00FC3F8E">
            <w:pPr>
              <w:spacing w:line="0" w:lineRule="atLeast"/>
              <w:rPr>
                <w:rFonts w:eastAsia="Times New Roman" w:cs="Times New Roman"/>
                <w:b/>
                <w:sz w:val="12"/>
              </w:rPr>
            </w:pPr>
          </w:p>
        </w:tc>
        <w:tc>
          <w:tcPr>
            <w:tcW w:w="1680" w:type="dxa"/>
            <w:vMerge/>
            <w:shd w:val="clear" w:color="auto" w:fill="auto"/>
            <w:vAlign w:val="bottom"/>
          </w:tcPr>
          <w:p w14:paraId="33AF59DF" w14:textId="77777777" w:rsidR="00A52778" w:rsidRPr="00460F9E" w:rsidRDefault="00A52778" w:rsidP="00FC3F8E">
            <w:pPr>
              <w:spacing w:line="0" w:lineRule="atLeast"/>
              <w:rPr>
                <w:rFonts w:eastAsia="Times New Roman" w:cs="Times New Roman"/>
                <w:b/>
                <w:sz w:val="12"/>
              </w:rPr>
            </w:pPr>
          </w:p>
        </w:tc>
      </w:tr>
      <w:tr w:rsidR="00A52778" w:rsidRPr="00460F9E" w14:paraId="038EB40B" w14:textId="77777777" w:rsidTr="00FC3F8E">
        <w:trPr>
          <w:trHeight w:val="61"/>
        </w:trPr>
        <w:tc>
          <w:tcPr>
            <w:tcW w:w="2260" w:type="dxa"/>
            <w:tcBorders>
              <w:bottom w:val="single" w:sz="8" w:space="0" w:color="auto"/>
              <w:right w:val="single" w:sz="8" w:space="0" w:color="auto"/>
            </w:tcBorders>
            <w:shd w:val="clear" w:color="auto" w:fill="auto"/>
            <w:vAlign w:val="bottom"/>
          </w:tcPr>
          <w:p w14:paraId="45799FC7" w14:textId="77777777" w:rsidR="00A52778" w:rsidRPr="00460F9E" w:rsidRDefault="00A52778" w:rsidP="00FC3F8E">
            <w:pPr>
              <w:spacing w:line="0" w:lineRule="atLeast"/>
              <w:rPr>
                <w:rFonts w:eastAsia="Times New Roman" w:cs="Times New Roman"/>
                <w:b/>
                <w:sz w:val="5"/>
              </w:rPr>
            </w:pPr>
          </w:p>
        </w:tc>
        <w:tc>
          <w:tcPr>
            <w:tcW w:w="3040" w:type="dxa"/>
            <w:tcBorders>
              <w:bottom w:val="single" w:sz="8" w:space="0" w:color="auto"/>
              <w:right w:val="single" w:sz="8" w:space="0" w:color="auto"/>
            </w:tcBorders>
            <w:shd w:val="clear" w:color="auto" w:fill="auto"/>
            <w:vAlign w:val="bottom"/>
          </w:tcPr>
          <w:p w14:paraId="65F373DA" w14:textId="77777777" w:rsidR="00A52778" w:rsidRPr="00460F9E" w:rsidRDefault="00A52778" w:rsidP="00FC3F8E">
            <w:pPr>
              <w:spacing w:line="0" w:lineRule="atLeast"/>
              <w:rPr>
                <w:rFonts w:eastAsia="Times New Roman" w:cs="Times New Roman"/>
                <w:b/>
                <w:sz w:val="5"/>
              </w:rPr>
            </w:pPr>
          </w:p>
        </w:tc>
        <w:tc>
          <w:tcPr>
            <w:tcW w:w="1780" w:type="dxa"/>
            <w:tcBorders>
              <w:bottom w:val="single" w:sz="8" w:space="0" w:color="auto"/>
              <w:right w:val="single" w:sz="8" w:space="0" w:color="auto"/>
            </w:tcBorders>
            <w:shd w:val="clear" w:color="auto" w:fill="auto"/>
            <w:vAlign w:val="bottom"/>
          </w:tcPr>
          <w:p w14:paraId="47B054E0" w14:textId="77777777" w:rsidR="00A52778" w:rsidRPr="00460F9E" w:rsidRDefault="00A52778" w:rsidP="00FC3F8E">
            <w:pPr>
              <w:spacing w:line="0" w:lineRule="atLeast"/>
              <w:rPr>
                <w:rFonts w:eastAsia="Times New Roman" w:cs="Times New Roman"/>
                <w:b/>
                <w:sz w:val="5"/>
              </w:rPr>
            </w:pPr>
          </w:p>
        </w:tc>
        <w:tc>
          <w:tcPr>
            <w:tcW w:w="1680" w:type="dxa"/>
            <w:tcBorders>
              <w:bottom w:val="single" w:sz="8" w:space="0" w:color="auto"/>
            </w:tcBorders>
            <w:shd w:val="clear" w:color="auto" w:fill="auto"/>
            <w:vAlign w:val="bottom"/>
          </w:tcPr>
          <w:p w14:paraId="52B4F7AE" w14:textId="77777777" w:rsidR="00A52778" w:rsidRPr="00460F9E" w:rsidRDefault="00A52778" w:rsidP="00FC3F8E">
            <w:pPr>
              <w:spacing w:line="0" w:lineRule="atLeast"/>
              <w:rPr>
                <w:rFonts w:eastAsia="Times New Roman" w:cs="Times New Roman"/>
                <w:b/>
                <w:sz w:val="5"/>
              </w:rPr>
            </w:pPr>
          </w:p>
        </w:tc>
      </w:tr>
      <w:tr w:rsidR="00A52778" w:rsidRPr="00460F9E" w14:paraId="3196F193" w14:textId="77777777" w:rsidTr="00FC3F8E">
        <w:trPr>
          <w:trHeight w:val="274"/>
        </w:trPr>
        <w:tc>
          <w:tcPr>
            <w:tcW w:w="2260" w:type="dxa"/>
            <w:vMerge w:val="restart"/>
            <w:tcBorders>
              <w:right w:val="single" w:sz="8" w:space="0" w:color="auto"/>
            </w:tcBorders>
            <w:shd w:val="clear" w:color="auto" w:fill="auto"/>
            <w:vAlign w:val="center"/>
          </w:tcPr>
          <w:p w14:paraId="149DB7B5" w14:textId="77777777" w:rsidR="00A52778" w:rsidRPr="00460F9E" w:rsidRDefault="00A52778" w:rsidP="00FC3F8E">
            <w:pPr>
              <w:spacing w:line="232" w:lineRule="exact"/>
              <w:jc w:val="center"/>
              <w:rPr>
                <w:rFonts w:eastAsia="Times New Roman" w:cs="Times New Roman"/>
                <w:b/>
                <w:sz w:val="12"/>
              </w:rPr>
            </w:pPr>
            <w:r w:rsidRPr="00460F9E">
              <w:rPr>
                <w:rFonts w:eastAsia="Times New Roman" w:cs="Times New Roman"/>
                <w:bCs/>
              </w:rPr>
              <w:t>H</w:t>
            </w:r>
            <w:r w:rsidRPr="00460F9E">
              <w:rPr>
                <w:rFonts w:eastAsia="Times New Roman" w:cs="Times New Roman"/>
                <w:bCs/>
                <w:vertAlign w:val="subscript"/>
              </w:rPr>
              <w:t>2</w:t>
            </w:r>
            <w:r w:rsidRPr="00460F9E">
              <w:rPr>
                <w:rFonts w:eastAsia="Times New Roman" w:cs="Times New Roman"/>
                <w:bCs/>
              </w:rPr>
              <w:t>S ve CS</w:t>
            </w:r>
            <w:r w:rsidRPr="00460F9E">
              <w:rPr>
                <w:rFonts w:eastAsia="Times New Roman" w:cs="Times New Roman"/>
                <w:bCs/>
                <w:vertAlign w:val="subscript"/>
              </w:rPr>
              <w:t>2</w:t>
            </w:r>
            <w:r w:rsidRPr="00460F9E">
              <w:rPr>
                <w:rFonts w:eastAsia="Times New Roman" w:cs="Times New Roman"/>
              </w:rPr>
              <w:t xml:space="preserve"> toplamı (Toplam S olarak ifade edilir) </w:t>
            </w:r>
            <w:r w:rsidRPr="00460F9E">
              <w:rPr>
                <w:rFonts w:eastAsia="Times New Roman" w:cs="Times New Roman"/>
                <w:w w:val="99"/>
              </w:rPr>
              <w:t>(</w:t>
            </w:r>
            <w:r w:rsidRPr="00460F9E">
              <w:rPr>
                <w:rFonts w:eastAsia="Times New Roman" w:cs="Times New Roman"/>
                <w:w w:val="99"/>
                <w:sz w:val="25"/>
                <w:vertAlign w:val="superscript"/>
              </w:rPr>
              <w:t>1</w:t>
            </w:r>
            <w:r w:rsidRPr="00460F9E">
              <w:rPr>
                <w:rFonts w:eastAsia="Times New Roman" w:cs="Times New Roman"/>
                <w:w w:val="99"/>
              </w:rPr>
              <w:t>)</w:t>
            </w:r>
          </w:p>
        </w:tc>
        <w:tc>
          <w:tcPr>
            <w:tcW w:w="3040" w:type="dxa"/>
            <w:tcBorders>
              <w:right w:val="single" w:sz="8" w:space="0" w:color="auto"/>
            </w:tcBorders>
            <w:shd w:val="clear" w:color="auto" w:fill="auto"/>
            <w:vAlign w:val="bottom"/>
          </w:tcPr>
          <w:p w14:paraId="019D4697"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Kesikli elyafların üretimi</w:t>
            </w:r>
          </w:p>
        </w:tc>
        <w:tc>
          <w:tcPr>
            <w:tcW w:w="1780" w:type="dxa"/>
            <w:vMerge w:val="restart"/>
            <w:tcBorders>
              <w:right w:val="single" w:sz="8" w:space="0" w:color="auto"/>
            </w:tcBorders>
            <w:shd w:val="clear" w:color="auto" w:fill="auto"/>
            <w:vAlign w:val="bottom"/>
          </w:tcPr>
          <w:p w14:paraId="09A9CC4D" w14:textId="77777777" w:rsidR="00A52778" w:rsidRPr="00460F9E" w:rsidRDefault="00A52778" w:rsidP="00FC3F8E">
            <w:pPr>
              <w:spacing w:line="0" w:lineRule="atLeast"/>
              <w:jc w:val="center"/>
              <w:rPr>
                <w:rFonts w:eastAsia="Times New Roman" w:cs="Times New Roman"/>
                <w:b/>
                <w:w w:val="99"/>
              </w:rPr>
            </w:pPr>
            <w:r w:rsidRPr="00460F9E">
              <w:rPr>
                <w:rFonts w:eastAsia="Times New Roman" w:cs="Times New Roman"/>
                <w:w w:val="99"/>
              </w:rPr>
              <w:t>g ürünün kg’ı başına toplam S</w:t>
            </w:r>
          </w:p>
        </w:tc>
        <w:tc>
          <w:tcPr>
            <w:tcW w:w="1680" w:type="dxa"/>
            <w:shd w:val="clear" w:color="auto" w:fill="auto"/>
            <w:vAlign w:val="bottom"/>
          </w:tcPr>
          <w:p w14:paraId="520F575A" w14:textId="77777777" w:rsidR="00A52778" w:rsidRPr="00460F9E" w:rsidRDefault="00A52778" w:rsidP="00FC3F8E">
            <w:pPr>
              <w:spacing w:line="0" w:lineRule="atLeast"/>
              <w:ind w:right="620"/>
              <w:jc w:val="right"/>
              <w:rPr>
                <w:rFonts w:eastAsia="Times New Roman" w:cs="Times New Roman"/>
                <w:b/>
              </w:rPr>
            </w:pPr>
            <w:r w:rsidRPr="00460F9E">
              <w:rPr>
                <w:rFonts w:eastAsia="Times New Roman" w:cs="Times New Roman"/>
              </w:rPr>
              <w:t>6-9</w:t>
            </w:r>
          </w:p>
        </w:tc>
      </w:tr>
      <w:tr w:rsidR="00A52778" w:rsidRPr="00460F9E" w14:paraId="347AE29B" w14:textId="77777777" w:rsidTr="00FC3F8E">
        <w:trPr>
          <w:trHeight w:val="66"/>
        </w:trPr>
        <w:tc>
          <w:tcPr>
            <w:tcW w:w="2260" w:type="dxa"/>
            <w:vMerge/>
            <w:tcBorders>
              <w:right w:val="single" w:sz="8" w:space="0" w:color="auto"/>
            </w:tcBorders>
            <w:shd w:val="clear" w:color="auto" w:fill="auto"/>
            <w:vAlign w:val="bottom"/>
          </w:tcPr>
          <w:p w14:paraId="06BE5658" w14:textId="77777777" w:rsidR="00A52778" w:rsidRPr="00460F9E" w:rsidRDefault="00A52778" w:rsidP="00FC3F8E">
            <w:pPr>
              <w:spacing w:line="232" w:lineRule="exact"/>
              <w:jc w:val="center"/>
              <w:rPr>
                <w:rFonts w:eastAsia="Times New Roman" w:cs="Times New Roman"/>
                <w:b/>
                <w:sz w:val="5"/>
              </w:rPr>
            </w:pPr>
          </w:p>
        </w:tc>
        <w:tc>
          <w:tcPr>
            <w:tcW w:w="3040" w:type="dxa"/>
            <w:tcBorders>
              <w:bottom w:val="single" w:sz="8" w:space="0" w:color="auto"/>
              <w:right w:val="single" w:sz="8" w:space="0" w:color="auto"/>
            </w:tcBorders>
            <w:shd w:val="clear" w:color="auto" w:fill="auto"/>
            <w:vAlign w:val="bottom"/>
          </w:tcPr>
          <w:p w14:paraId="4F031B73" w14:textId="77777777" w:rsidR="00A52778" w:rsidRPr="00460F9E" w:rsidRDefault="00A52778" w:rsidP="00FC3F8E">
            <w:pPr>
              <w:spacing w:line="0" w:lineRule="atLeast"/>
              <w:rPr>
                <w:rFonts w:eastAsia="Times New Roman" w:cs="Times New Roman"/>
                <w:b/>
                <w:sz w:val="5"/>
              </w:rPr>
            </w:pPr>
          </w:p>
        </w:tc>
        <w:tc>
          <w:tcPr>
            <w:tcW w:w="1780" w:type="dxa"/>
            <w:vMerge/>
            <w:tcBorders>
              <w:right w:val="single" w:sz="8" w:space="0" w:color="auto"/>
            </w:tcBorders>
            <w:shd w:val="clear" w:color="auto" w:fill="auto"/>
            <w:vAlign w:val="bottom"/>
          </w:tcPr>
          <w:p w14:paraId="4540EE6F" w14:textId="77777777" w:rsidR="00A52778" w:rsidRPr="00460F9E" w:rsidRDefault="00A52778" w:rsidP="00FC3F8E">
            <w:pPr>
              <w:spacing w:line="0" w:lineRule="atLeast"/>
              <w:rPr>
                <w:rFonts w:eastAsia="Times New Roman" w:cs="Times New Roman"/>
                <w:b/>
                <w:sz w:val="5"/>
              </w:rPr>
            </w:pPr>
          </w:p>
        </w:tc>
        <w:tc>
          <w:tcPr>
            <w:tcW w:w="1680" w:type="dxa"/>
            <w:tcBorders>
              <w:bottom w:val="single" w:sz="8" w:space="0" w:color="auto"/>
            </w:tcBorders>
            <w:shd w:val="clear" w:color="auto" w:fill="auto"/>
            <w:vAlign w:val="bottom"/>
          </w:tcPr>
          <w:p w14:paraId="6707E220" w14:textId="77777777" w:rsidR="00A52778" w:rsidRPr="00460F9E" w:rsidRDefault="00A52778" w:rsidP="00FC3F8E">
            <w:pPr>
              <w:spacing w:line="0" w:lineRule="atLeast"/>
              <w:rPr>
                <w:rFonts w:eastAsia="Times New Roman" w:cs="Times New Roman"/>
                <w:b/>
                <w:sz w:val="5"/>
              </w:rPr>
            </w:pPr>
          </w:p>
        </w:tc>
      </w:tr>
      <w:tr w:rsidR="00A52778" w:rsidRPr="00460F9E" w14:paraId="14D52D4C" w14:textId="77777777" w:rsidTr="00FC3F8E">
        <w:trPr>
          <w:trHeight w:val="232"/>
        </w:trPr>
        <w:tc>
          <w:tcPr>
            <w:tcW w:w="2260" w:type="dxa"/>
            <w:vMerge/>
            <w:tcBorders>
              <w:right w:val="single" w:sz="8" w:space="0" w:color="auto"/>
            </w:tcBorders>
            <w:shd w:val="clear" w:color="auto" w:fill="auto"/>
            <w:vAlign w:val="bottom"/>
          </w:tcPr>
          <w:p w14:paraId="69542D3F" w14:textId="77777777" w:rsidR="00A52778" w:rsidRPr="00460F9E" w:rsidRDefault="00A52778" w:rsidP="00FC3F8E">
            <w:pPr>
              <w:spacing w:line="232" w:lineRule="exact"/>
              <w:jc w:val="center"/>
              <w:rPr>
                <w:rFonts w:eastAsia="Times New Roman" w:cs="Times New Roman"/>
                <w:b/>
                <w:w w:val="99"/>
              </w:rPr>
            </w:pPr>
          </w:p>
        </w:tc>
        <w:tc>
          <w:tcPr>
            <w:tcW w:w="3040" w:type="dxa"/>
            <w:vMerge w:val="restart"/>
            <w:tcBorders>
              <w:right w:val="single" w:sz="8" w:space="0" w:color="auto"/>
            </w:tcBorders>
            <w:shd w:val="clear" w:color="auto" w:fill="auto"/>
            <w:vAlign w:val="bottom"/>
          </w:tcPr>
          <w:p w14:paraId="5D58BB07"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Kılıf borusu</w:t>
            </w:r>
          </w:p>
        </w:tc>
        <w:tc>
          <w:tcPr>
            <w:tcW w:w="1780" w:type="dxa"/>
            <w:tcBorders>
              <w:right w:val="single" w:sz="8" w:space="0" w:color="auto"/>
            </w:tcBorders>
            <w:shd w:val="clear" w:color="auto" w:fill="auto"/>
            <w:vAlign w:val="bottom"/>
          </w:tcPr>
          <w:p w14:paraId="300BE006" w14:textId="77777777" w:rsidR="00A52778" w:rsidRPr="00460F9E" w:rsidRDefault="00A52778" w:rsidP="00FC3F8E">
            <w:pPr>
              <w:spacing w:line="209" w:lineRule="exact"/>
              <w:rPr>
                <w:rFonts w:eastAsia="Times New Roman" w:cs="Times New Roman"/>
                <w:b/>
              </w:rPr>
            </w:pPr>
          </w:p>
        </w:tc>
        <w:tc>
          <w:tcPr>
            <w:tcW w:w="1680" w:type="dxa"/>
            <w:vMerge w:val="restart"/>
            <w:shd w:val="clear" w:color="auto" w:fill="auto"/>
            <w:vAlign w:val="bottom"/>
          </w:tcPr>
          <w:p w14:paraId="529E0FE9" w14:textId="77777777" w:rsidR="00A52778" w:rsidRPr="00460F9E" w:rsidRDefault="00A52778" w:rsidP="00FC3F8E">
            <w:pPr>
              <w:spacing w:line="0" w:lineRule="atLeast"/>
              <w:ind w:right="400"/>
              <w:jc w:val="right"/>
              <w:rPr>
                <w:rFonts w:eastAsia="Times New Roman" w:cs="Times New Roman"/>
                <w:b/>
              </w:rPr>
            </w:pPr>
            <w:r w:rsidRPr="00460F9E">
              <w:rPr>
                <w:rFonts w:eastAsia="Times New Roman" w:cs="Times New Roman"/>
              </w:rPr>
              <w:t>120-250</w:t>
            </w:r>
          </w:p>
        </w:tc>
      </w:tr>
      <w:tr w:rsidR="00A52778" w:rsidRPr="00460F9E" w14:paraId="7773D786" w14:textId="77777777" w:rsidTr="00FC3F8E">
        <w:trPr>
          <w:trHeight w:val="42"/>
        </w:trPr>
        <w:tc>
          <w:tcPr>
            <w:tcW w:w="2260" w:type="dxa"/>
            <w:vMerge/>
            <w:tcBorders>
              <w:right w:val="single" w:sz="8" w:space="0" w:color="auto"/>
            </w:tcBorders>
            <w:shd w:val="clear" w:color="auto" w:fill="auto"/>
            <w:vAlign w:val="bottom"/>
          </w:tcPr>
          <w:p w14:paraId="5137734E" w14:textId="77777777" w:rsidR="00A52778" w:rsidRPr="00460F9E" w:rsidRDefault="00A52778" w:rsidP="00FC3F8E">
            <w:pPr>
              <w:spacing w:line="0" w:lineRule="atLeast"/>
              <w:rPr>
                <w:rFonts w:eastAsia="Times New Roman" w:cs="Times New Roman"/>
                <w:b/>
                <w:sz w:val="3"/>
              </w:rPr>
            </w:pPr>
          </w:p>
        </w:tc>
        <w:tc>
          <w:tcPr>
            <w:tcW w:w="3040" w:type="dxa"/>
            <w:vMerge/>
            <w:tcBorders>
              <w:right w:val="single" w:sz="8" w:space="0" w:color="auto"/>
            </w:tcBorders>
            <w:shd w:val="clear" w:color="auto" w:fill="auto"/>
            <w:vAlign w:val="bottom"/>
          </w:tcPr>
          <w:p w14:paraId="574F681A" w14:textId="77777777" w:rsidR="00A52778" w:rsidRPr="00460F9E" w:rsidRDefault="00A52778" w:rsidP="00FC3F8E">
            <w:pPr>
              <w:spacing w:line="0" w:lineRule="atLeast"/>
              <w:rPr>
                <w:rFonts w:eastAsia="Times New Roman" w:cs="Times New Roman"/>
                <w:b/>
                <w:sz w:val="3"/>
              </w:rPr>
            </w:pPr>
          </w:p>
        </w:tc>
        <w:tc>
          <w:tcPr>
            <w:tcW w:w="1780" w:type="dxa"/>
            <w:tcBorders>
              <w:right w:val="single" w:sz="8" w:space="0" w:color="auto"/>
            </w:tcBorders>
            <w:shd w:val="clear" w:color="auto" w:fill="auto"/>
            <w:vAlign w:val="bottom"/>
          </w:tcPr>
          <w:p w14:paraId="1C599573" w14:textId="77777777" w:rsidR="00A52778" w:rsidRPr="00460F9E" w:rsidRDefault="00A52778" w:rsidP="00FC3F8E">
            <w:pPr>
              <w:spacing w:line="0" w:lineRule="atLeast"/>
              <w:rPr>
                <w:rFonts w:eastAsia="Times New Roman" w:cs="Times New Roman"/>
                <w:b/>
                <w:sz w:val="3"/>
              </w:rPr>
            </w:pPr>
          </w:p>
        </w:tc>
        <w:tc>
          <w:tcPr>
            <w:tcW w:w="1680" w:type="dxa"/>
            <w:vMerge/>
            <w:shd w:val="clear" w:color="auto" w:fill="auto"/>
            <w:vAlign w:val="bottom"/>
          </w:tcPr>
          <w:p w14:paraId="33C714C0" w14:textId="77777777" w:rsidR="00A52778" w:rsidRPr="00460F9E" w:rsidRDefault="00A52778" w:rsidP="00FC3F8E">
            <w:pPr>
              <w:spacing w:line="0" w:lineRule="atLeast"/>
              <w:rPr>
                <w:rFonts w:eastAsia="Times New Roman" w:cs="Times New Roman"/>
                <w:b/>
                <w:sz w:val="3"/>
              </w:rPr>
            </w:pPr>
          </w:p>
        </w:tc>
      </w:tr>
      <w:tr w:rsidR="00A52778" w:rsidRPr="00460F9E" w14:paraId="1166C811" w14:textId="77777777" w:rsidTr="00FC3F8E">
        <w:trPr>
          <w:trHeight w:val="66"/>
        </w:trPr>
        <w:tc>
          <w:tcPr>
            <w:tcW w:w="2260" w:type="dxa"/>
            <w:vMerge/>
            <w:tcBorders>
              <w:bottom w:val="single" w:sz="8" w:space="0" w:color="auto"/>
              <w:right w:val="single" w:sz="8" w:space="0" w:color="auto"/>
            </w:tcBorders>
            <w:shd w:val="clear" w:color="auto" w:fill="auto"/>
            <w:vAlign w:val="bottom"/>
          </w:tcPr>
          <w:p w14:paraId="32201E5A" w14:textId="77777777" w:rsidR="00A52778" w:rsidRPr="00460F9E" w:rsidRDefault="00A52778" w:rsidP="00FC3F8E">
            <w:pPr>
              <w:spacing w:line="0" w:lineRule="atLeast"/>
              <w:rPr>
                <w:rFonts w:eastAsia="Times New Roman" w:cs="Times New Roman"/>
                <w:b/>
                <w:sz w:val="5"/>
              </w:rPr>
            </w:pPr>
          </w:p>
        </w:tc>
        <w:tc>
          <w:tcPr>
            <w:tcW w:w="3040" w:type="dxa"/>
            <w:tcBorders>
              <w:bottom w:val="single" w:sz="8" w:space="0" w:color="auto"/>
              <w:right w:val="single" w:sz="8" w:space="0" w:color="auto"/>
            </w:tcBorders>
            <w:shd w:val="clear" w:color="auto" w:fill="auto"/>
            <w:vAlign w:val="bottom"/>
          </w:tcPr>
          <w:p w14:paraId="1539211D" w14:textId="77777777" w:rsidR="00A52778" w:rsidRPr="00460F9E" w:rsidRDefault="00A52778" w:rsidP="00FC3F8E">
            <w:pPr>
              <w:spacing w:line="0" w:lineRule="atLeast"/>
              <w:rPr>
                <w:rFonts w:eastAsia="Times New Roman" w:cs="Times New Roman"/>
                <w:b/>
                <w:sz w:val="5"/>
              </w:rPr>
            </w:pPr>
          </w:p>
        </w:tc>
        <w:tc>
          <w:tcPr>
            <w:tcW w:w="1780" w:type="dxa"/>
            <w:tcBorders>
              <w:bottom w:val="single" w:sz="8" w:space="0" w:color="auto"/>
              <w:right w:val="single" w:sz="8" w:space="0" w:color="auto"/>
            </w:tcBorders>
            <w:shd w:val="clear" w:color="auto" w:fill="auto"/>
            <w:vAlign w:val="bottom"/>
          </w:tcPr>
          <w:p w14:paraId="4BB814C6" w14:textId="77777777" w:rsidR="00A52778" w:rsidRPr="00460F9E" w:rsidRDefault="00A52778" w:rsidP="00FC3F8E">
            <w:pPr>
              <w:spacing w:line="0" w:lineRule="atLeast"/>
              <w:rPr>
                <w:rFonts w:eastAsia="Times New Roman" w:cs="Times New Roman"/>
                <w:b/>
                <w:sz w:val="5"/>
              </w:rPr>
            </w:pPr>
          </w:p>
        </w:tc>
        <w:tc>
          <w:tcPr>
            <w:tcW w:w="1680" w:type="dxa"/>
            <w:tcBorders>
              <w:bottom w:val="single" w:sz="8" w:space="0" w:color="auto"/>
            </w:tcBorders>
            <w:shd w:val="clear" w:color="auto" w:fill="auto"/>
            <w:vAlign w:val="bottom"/>
          </w:tcPr>
          <w:p w14:paraId="7001D574" w14:textId="77777777" w:rsidR="00A52778" w:rsidRPr="00460F9E" w:rsidRDefault="00A52778" w:rsidP="00FC3F8E">
            <w:pPr>
              <w:spacing w:line="0" w:lineRule="atLeast"/>
              <w:rPr>
                <w:rFonts w:eastAsia="Times New Roman" w:cs="Times New Roman"/>
                <w:b/>
                <w:sz w:val="5"/>
              </w:rPr>
            </w:pPr>
          </w:p>
        </w:tc>
      </w:tr>
    </w:tbl>
    <w:p w14:paraId="2F15F0A5" w14:textId="77777777" w:rsidR="00A52778" w:rsidRPr="00460F9E" w:rsidRDefault="00A52778" w:rsidP="00A52778">
      <w:pPr>
        <w:spacing w:line="57" w:lineRule="exact"/>
        <w:rPr>
          <w:rFonts w:eastAsia="Times New Roman" w:cs="Times New Roman"/>
          <w:b/>
          <w:sz w:val="18"/>
        </w:rPr>
      </w:pPr>
    </w:p>
    <w:p w14:paraId="77BDB3D1" w14:textId="77777777" w:rsidR="00A52778" w:rsidRPr="00460F9E" w:rsidRDefault="00A52778" w:rsidP="00A52778">
      <w:pPr>
        <w:spacing w:line="0" w:lineRule="atLeast"/>
        <w:ind w:left="120"/>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1</w:t>
      </w:r>
      <w:r w:rsidRPr="00460F9E">
        <w:rPr>
          <w:rFonts w:eastAsia="Times New Roman" w:cs="Times New Roman"/>
          <w:sz w:val="18"/>
        </w:rPr>
        <w:t>)  Havaya salınan emisyonlar yalnızca kanalize edilen emisyonları ifade ederler.</w:t>
      </w:r>
    </w:p>
    <w:p w14:paraId="43A85CE0" w14:textId="77777777" w:rsidR="00A52778" w:rsidRPr="00460F9E" w:rsidRDefault="00A52778" w:rsidP="00A52778">
      <w:pPr>
        <w:spacing w:line="20" w:lineRule="exact"/>
        <w:rPr>
          <w:rFonts w:eastAsia="Times New Roman" w:cs="Times New Roman"/>
          <w:b/>
          <w:sz w:val="18"/>
        </w:rPr>
      </w:pPr>
      <w:r w:rsidRPr="00460F9E">
        <w:rPr>
          <w:rFonts w:eastAsia="Times New Roman" w:cs="Times New Roman"/>
          <w:b/>
          <w:noProof/>
          <w:sz w:val="18"/>
          <w:lang w:val="tr-TR" w:eastAsia="tr-TR"/>
        </w:rPr>
        <mc:AlternateContent>
          <mc:Choice Requires="wps">
            <w:drawing>
              <wp:anchor distT="0" distB="0" distL="114300" distR="114300" simplePos="0" relativeHeight="251699200" behindDoc="1" locked="0" layoutInCell="1" allowOverlap="1" wp14:anchorId="4725806A" wp14:editId="04BC3382">
                <wp:simplePos x="0" y="0"/>
                <wp:positionH relativeFrom="column">
                  <wp:posOffset>0</wp:posOffset>
                </wp:positionH>
                <wp:positionV relativeFrom="paragraph">
                  <wp:posOffset>0</wp:posOffset>
                </wp:positionV>
                <wp:extent cx="5543550" cy="0"/>
                <wp:effectExtent l="9525" t="12700" r="9525" b="6350"/>
                <wp:wrapNone/>
                <wp:docPr id="110" name="Düz Bağlayıcı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AB7C6" id="Düz Bağlayıcı 110"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3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" strokeweight=".48pt"/>
            </w:pict>
          </mc:Fallback>
        </mc:AlternateContent>
      </w:r>
    </w:p>
    <w:p w14:paraId="2CFFD245" w14:textId="77777777" w:rsidR="00A52778" w:rsidRPr="00460F9E" w:rsidRDefault="00A52778" w:rsidP="00A52778">
      <w:pPr>
        <w:spacing w:line="200" w:lineRule="exact"/>
        <w:rPr>
          <w:rFonts w:eastAsia="Times New Roman" w:cs="Times New Roman"/>
          <w:b/>
          <w:sz w:val="18"/>
        </w:rPr>
      </w:pPr>
    </w:p>
    <w:p w14:paraId="6D32732F" w14:textId="77777777" w:rsidR="00A52778" w:rsidRPr="00460F9E" w:rsidRDefault="00A52778" w:rsidP="00A52778">
      <w:pPr>
        <w:spacing w:line="282" w:lineRule="exact"/>
        <w:rPr>
          <w:rFonts w:eastAsia="Times New Roman" w:cs="Times New Roman"/>
          <w:b/>
          <w:sz w:val="18"/>
        </w:rPr>
      </w:pPr>
    </w:p>
    <w:p w14:paraId="4379D546" w14:textId="77777777" w:rsidR="00A52778" w:rsidRPr="00460F9E" w:rsidRDefault="00A52778" w:rsidP="00A52778">
      <w:pPr>
        <w:spacing w:line="0" w:lineRule="atLeast"/>
        <w:ind w:left="820"/>
        <w:rPr>
          <w:rFonts w:eastAsia="Times New Roman" w:cs="Times New Roman"/>
          <w:b/>
        </w:rPr>
      </w:pPr>
      <w:r w:rsidRPr="00460F9E">
        <w:rPr>
          <w:rFonts w:eastAsia="Times New Roman" w:cs="Times New Roman"/>
        </w:rPr>
        <w:t xml:space="preserve">İlişkili izleme MET 33' te verilmiştir. </w:t>
      </w:r>
    </w:p>
    <w:p w14:paraId="33F7BA5E" w14:textId="77777777" w:rsidR="00A52778" w:rsidRPr="00460F9E" w:rsidRDefault="00A52778" w:rsidP="00A52778">
      <w:pPr>
        <w:spacing w:line="0" w:lineRule="atLeast"/>
        <w:rPr>
          <w:rFonts w:eastAsia="Times New Roman" w:cs="Times New Roman"/>
          <w:b/>
        </w:rPr>
      </w:pPr>
    </w:p>
    <w:p w14:paraId="41B57D1E" w14:textId="77777777" w:rsidR="00A52778" w:rsidRPr="00460F9E" w:rsidRDefault="00A52778" w:rsidP="00A52778">
      <w:pPr>
        <w:spacing w:line="20" w:lineRule="exact"/>
        <w:rPr>
          <w:rFonts w:eastAsia="Times New Roman" w:cs="Times New Roman"/>
          <w:b/>
          <w:sz w:val="18"/>
        </w:rPr>
      </w:pPr>
      <w:r w:rsidRPr="00460F9E">
        <w:rPr>
          <w:rFonts w:eastAsia="Times New Roman" w:cs="Times New Roman"/>
          <w:b/>
          <w:noProof/>
          <w:lang w:val="tr-TR" w:eastAsia="tr-TR"/>
        </w:rPr>
        <w:drawing>
          <wp:anchor distT="0" distB="0" distL="114300" distR="114300" simplePos="0" relativeHeight="251700224" behindDoc="1" locked="0" layoutInCell="1" allowOverlap="1" wp14:anchorId="4310C344" wp14:editId="751FD4A7">
            <wp:simplePos x="0" y="0"/>
            <wp:positionH relativeFrom="column">
              <wp:posOffset>53340</wp:posOffset>
            </wp:positionH>
            <wp:positionV relativeFrom="paragraph">
              <wp:posOffset>4004945</wp:posOffset>
            </wp:positionV>
            <wp:extent cx="5437505" cy="6350"/>
            <wp:effectExtent l="0" t="0" r="0" b="0"/>
            <wp:wrapNone/>
            <wp:docPr id="109" name="Resi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7505" cy="6350"/>
                    </a:xfrm>
                    <a:prstGeom prst="rect">
                      <a:avLst/>
                    </a:prstGeom>
                    <a:noFill/>
                  </pic:spPr>
                </pic:pic>
              </a:graphicData>
            </a:graphic>
            <wp14:sizeRelH relativeFrom="page">
              <wp14:pctWidth>0</wp14:pctWidth>
            </wp14:sizeRelH>
            <wp14:sizeRelV relativeFrom="page">
              <wp14:pctHeight>0</wp14:pctHeight>
            </wp14:sizeRelV>
          </wp:anchor>
        </w:drawing>
      </w:r>
    </w:p>
    <w:p w14:paraId="6A8DC0FC" w14:textId="77777777" w:rsidR="00A52778" w:rsidRPr="00460F9E" w:rsidRDefault="00A52778" w:rsidP="00A52778">
      <w:pPr>
        <w:spacing w:line="20" w:lineRule="exact"/>
        <w:rPr>
          <w:rFonts w:eastAsia="Times New Roman" w:cs="Times New Roman"/>
          <w:b/>
          <w:sz w:val="18"/>
        </w:rPr>
        <w:sectPr w:rsidR="00A52778" w:rsidRPr="00460F9E">
          <w:pgSz w:w="11900" w:h="16838"/>
          <w:pgMar w:top="707" w:right="1440" w:bottom="145" w:left="1020" w:header="0" w:footer="0" w:gutter="0"/>
          <w:cols w:space="0" w:equalWidth="0">
            <w:col w:w="9446"/>
          </w:cols>
          <w:docGrid w:linePitch="360"/>
        </w:sectPr>
      </w:pPr>
    </w:p>
    <w:p w14:paraId="5B3182A0" w14:textId="77777777" w:rsidR="00A52778" w:rsidRPr="00460F9E" w:rsidRDefault="00A52778" w:rsidP="00A52778">
      <w:pPr>
        <w:spacing w:line="20" w:lineRule="exact"/>
        <w:rPr>
          <w:rFonts w:eastAsia="Times New Roman" w:cs="Times New Roman"/>
          <w:b/>
        </w:rPr>
      </w:pPr>
      <w:bookmarkStart w:id="350" w:name="page329"/>
      <w:bookmarkEnd w:id="350"/>
    </w:p>
    <w:p w14:paraId="156D105D" w14:textId="77777777" w:rsidR="00A52778" w:rsidRPr="00460F9E" w:rsidRDefault="00A52778" w:rsidP="00A52778">
      <w:pPr>
        <w:spacing w:line="171" w:lineRule="exact"/>
        <w:rPr>
          <w:rFonts w:eastAsia="Times New Roman" w:cs="Times New Roman"/>
          <w:b/>
        </w:rPr>
      </w:pPr>
    </w:p>
    <w:p w14:paraId="14198A44" w14:textId="77777777" w:rsidR="00A52778" w:rsidRPr="00460F9E" w:rsidRDefault="00A52778" w:rsidP="00A52778">
      <w:r>
        <w:t>2</w:t>
      </w:r>
      <w:r w:rsidRPr="00460F9E">
        <w:t>.3</w:t>
      </w:r>
      <w:r w:rsidRPr="00460F9E">
        <w:rPr>
          <w:rFonts w:eastAsia="Times New Roman"/>
        </w:rPr>
        <w:tab/>
      </w:r>
      <w:r w:rsidRPr="00460F9E">
        <w:t>Proses fırınları/ısıtıcıları</w:t>
      </w:r>
    </w:p>
    <w:p w14:paraId="32DA1B4F" w14:textId="77777777" w:rsidR="00A52778" w:rsidRPr="00460F9E" w:rsidRDefault="00A52778" w:rsidP="00A52778">
      <w:pPr>
        <w:spacing w:line="263" w:lineRule="exact"/>
        <w:rPr>
          <w:rFonts w:eastAsia="Times New Roman" w:cs="Times New Roman"/>
          <w:b/>
        </w:rPr>
      </w:pPr>
    </w:p>
    <w:p w14:paraId="74567FE9" w14:textId="77777777" w:rsidR="00A52778" w:rsidRPr="00460F9E" w:rsidRDefault="00A52778" w:rsidP="00A52778">
      <w:pPr>
        <w:spacing w:line="237" w:lineRule="auto"/>
        <w:ind w:left="820" w:right="100"/>
        <w:rPr>
          <w:rFonts w:eastAsia="Times New Roman" w:cs="Times New Roman"/>
          <w:b/>
        </w:rPr>
      </w:pPr>
      <w:r w:rsidRPr="00460F9E">
        <w:rPr>
          <w:rFonts w:eastAsia="Times New Roman" w:cs="Times New Roman"/>
        </w:rPr>
        <w:t>Bu bölümde sunulan MET sonuçları, bu MET sonuçlarının kapsamına dahil olan üretim proseslerinde toplam nominal ısıl girdisi 1 MW' a eşit veya daha fazla olan proses fırınları/ısıtıcıları kullanıldığında geçerlidir. Bunlar, .1' de verilen genel MET sonuçlarına ek olarak geçerlidirler.</w:t>
      </w:r>
    </w:p>
    <w:p w14:paraId="35760229" w14:textId="77777777" w:rsidR="00A52778" w:rsidRPr="00460F9E" w:rsidRDefault="00A52778" w:rsidP="00A52778">
      <w:pPr>
        <w:spacing w:line="266" w:lineRule="exact"/>
        <w:rPr>
          <w:rFonts w:eastAsia="Times New Roman" w:cs="Times New Roman"/>
          <w:b/>
        </w:rPr>
      </w:pPr>
    </w:p>
    <w:p w14:paraId="0B3DA3C2" w14:textId="77777777" w:rsidR="00A52778" w:rsidRPr="00460F9E" w:rsidRDefault="00A52778" w:rsidP="00A52778">
      <w:pPr>
        <w:spacing w:line="237" w:lineRule="auto"/>
        <w:ind w:left="820" w:right="100"/>
        <w:rPr>
          <w:rFonts w:eastAsia="Times New Roman" w:cs="Times New Roman"/>
          <w:b/>
        </w:rPr>
      </w:pPr>
      <w:r w:rsidRPr="00460F9E">
        <w:rPr>
          <w:rFonts w:eastAsia="Times New Roman" w:cs="Times New Roman"/>
        </w:rPr>
        <w:t>İki veya daha fazla ayrı proses fırınının/ısıtıcısının atık gazlarının ortak bir bacadan boşaltıldıkları veya yetkili makamın kararına göre boşaltılabilecekleri durumlarda, toplam nominal ısıl girdinin hesaplanması amacıyla tüm ayrı fırınların/ısıtıcıların kapasiteleri birbirine eklenecektir.</w:t>
      </w:r>
    </w:p>
    <w:p w14:paraId="56BFFA2E" w14:textId="77777777" w:rsidR="00A52778" w:rsidRPr="00460F9E" w:rsidRDefault="00A52778" w:rsidP="00A52778">
      <w:pPr>
        <w:spacing w:line="200" w:lineRule="exact"/>
        <w:rPr>
          <w:rFonts w:eastAsia="Times New Roman" w:cs="Times New Roman"/>
          <w:b/>
        </w:rPr>
      </w:pPr>
    </w:p>
    <w:p w14:paraId="1DED931A" w14:textId="77777777" w:rsidR="00A52778" w:rsidRPr="00460F9E" w:rsidRDefault="00A52778" w:rsidP="00A52778">
      <w:pPr>
        <w:spacing w:line="366" w:lineRule="exact"/>
        <w:rPr>
          <w:rFonts w:eastAsia="Times New Roman" w:cs="Times New Roman"/>
          <w:b/>
        </w:rPr>
      </w:pPr>
    </w:p>
    <w:p w14:paraId="3E30FE7F" w14:textId="77777777" w:rsidR="00A52778" w:rsidRPr="00460F9E" w:rsidRDefault="00A52778" w:rsidP="00A52778">
      <w:pPr>
        <w:spacing w:line="235" w:lineRule="auto"/>
        <w:ind w:left="820" w:right="100"/>
        <w:rPr>
          <w:rFonts w:eastAsia="Times New Roman" w:cs="Times New Roman"/>
          <w:b/>
        </w:rPr>
      </w:pPr>
      <w:r w:rsidRPr="00460F9E">
        <w:rPr>
          <w:rFonts w:eastAsia="Times New Roman" w:cs="Times New Roman"/>
        </w:rPr>
        <w:t>MET 36. CO, toz, NO</w:t>
      </w:r>
      <w:r w:rsidRPr="00460F9E">
        <w:rPr>
          <w:rFonts w:eastAsia="Times New Roman" w:cs="Times New Roman"/>
          <w:vertAlign w:val="subscript"/>
        </w:rPr>
        <w:t>X</w:t>
      </w:r>
      <w:r w:rsidRPr="00460F9E">
        <w:rPr>
          <w:rFonts w:eastAsia="Times New Roman" w:cs="Times New Roman"/>
        </w:rPr>
        <w:t xml:space="preserve"> ve SO</w:t>
      </w:r>
      <w:r w:rsidRPr="00460F9E">
        <w:rPr>
          <w:rFonts w:eastAsia="Times New Roman" w:cs="Times New Roman"/>
          <w:vertAlign w:val="subscript"/>
        </w:rPr>
        <w:t>X</w:t>
      </w:r>
      <w:r w:rsidRPr="00460F9E">
        <w:rPr>
          <w:rFonts w:eastAsia="Times New Roman" w:cs="Times New Roman"/>
        </w:rPr>
        <w:t>' in havaya kanalize edilen emisyonlarını önlemek veya bunun uygulanabilir olmadığı durumlarda azaltmak için MET, c. tekniğini ve aşağıda verilen diğer tekniklerden birini veya bir kombinasyonunu kullanmaktır.</w:t>
      </w:r>
    </w:p>
    <w:p w14:paraId="78A034DC" w14:textId="77777777" w:rsidR="00A52778" w:rsidRPr="00460F9E" w:rsidRDefault="00A52778" w:rsidP="00A52778">
      <w:pPr>
        <w:spacing w:line="200" w:lineRule="exact"/>
        <w:rPr>
          <w:rFonts w:eastAsia="Times New Roman" w:cs="Times New Roman"/>
          <w:b/>
        </w:rPr>
      </w:pPr>
    </w:p>
    <w:p w14:paraId="3518DD40" w14:textId="77777777" w:rsidR="00A52778" w:rsidRPr="00460F9E" w:rsidRDefault="00A52778" w:rsidP="00A52778">
      <w:pPr>
        <w:spacing w:line="332" w:lineRule="exact"/>
        <w:rPr>
          <w:rFonts w:eastAsia="Times New Roman" w:cs="Times New Roman"/>
          <w:b/>
        </w:rPr>
      </w:pPr>
    </w:p>
    <w:tbl>
      <w:tblPr>
        <w:tblW w:w="8760" w:type="dxa"/>
        <w:tblInd w:w="730" w:type="dxa"/>
        <w:tblLayout w:type="fixed"/>
        <w:tblCellMar>
          <w:left w:w="0" w:type="dxa"/>
          <w:right w:w="0" w:type="dxa"/>
        </w:tblCellMar>
        <w:tblLook w:val="0000" w:firstRow="0" w:lastRow="0" w:firstColumn="0" w:lastColumn="0" w:noHBand="0" w:noVBand="0"/>
      </w:tblPr>
      <w:tblGrid>
        <w:gridCol w:w="400"/>
        <w:gridCol w:w="280"/>
        <w:gridCol w:w="820"/>
        <w:gridCol w:w="454"/>
        <w:gridCol w:w="706"/>
        <w:gridCol w:w="240"/>
        <w:gridCol w:w="280"/>
        <w:gridCol w:w="600"/>
        <w:gridCol w:w="600"/>
        <w:gridCol w:w="1340"/>
        <w:gridCol w:w="540"/>
        <w:gridCol w:w="980"/>
        <w:gridCol w:w="740"/>
        <w:gridCol w:w="780"/>
      </w:tblGrid>
      <w:tr w:rsidR="00A52778" w:rsidRPr="00460F9E" w14:paraId="1E07A717" w14:textId="77777777" w:rsidTr="00FC3F8E">
        <w:trPr>
          <w:trHeight w:val="239"/>
        </w:trPr>
        <w:tc>
          <w:tcPr>
            <w:tcW w:w="400" w:type="dxa"/>
            <w:tcBorders>
              <w:top w:val="single" w:sz="8" w:space="0" w:color="auto"/>
              <w:left w:val="single" w:sz="8" w:space="0" w:color="auto"/>
            </w:tcBorders>
            <w:shd w:val="clear" w:color="auto" w:fill="auto"/>
            <w:vAlign w:val="bottom"/>
          </w:tcPr>
          <w:p w14:paraId="15ECA782" w14:textId="77777777" w:rsidR="00A52778" w:rsidRPr="00460F9E" w:rsidRDefault="00A52778" w:rsidP="00FC3F8E">
            <w:pPr>
              <w:spacing w:line="0" w:lineRule="atLeast"/>
              <w:rPr>
                <w:rFonts w:eastAsia="Times New Roman" w:cs="Times New Roman"/>
                <w:b/>
              </w:rPr>
            </w:pPr>
          </w:p>
        </w:tc>
        <w:tc>
          <w:tcPr>
            <w:tcW w:w="280" w:type="dxa"/>
            <w:tcBorders>
              <w:top w:val="single" w:sz="8" w:space="0" w:color="auto"/>
            </w:tcBorders>
            <w:shd w:val="clear" w:color="auto" w:fill="auto"/>
            <w:vAlign w:val="bottom"/>
          </w:tcPr>
          <w:p w14:paraId="32E2F61A" w14:textId="77777777" w:rsidR="00A52778" w:rsidRPr="002E52FC" w:rsidRDefault="00A52778" w:rsidP="00FC3F8E">
            <w:pPr>
              <w:spacing w:line="0" w:lineRule="atLeast"/>
              <w:rPr>
                <w:rFonts w:eastAsia="Times New Roman" w:cs="Times New Roman"/>
                <w:b/>
                <w:sz w:val="22"/>
              </w:rPr>
            </w:pPr>
          </w:p>
        </w:tc>
        <w:tc>
          <w:tcPr>
            <w:tcW w:w="820" w:type="dxa"/>
            <w:tcBorders>
              <w:top w:val="single" w:sz="8" w:space="0" w:color="auto"/>
            </w:tcBorders>
            <w:shd w:val="clear" w:color="auto" w:fill="auto"/>
            <w:vAlign w:val="bottom"/>
          </w:tcPr>
          <w:p w14:paraId="48080F0C" w14:textId="77777777" w:rsidR="00A52778" w:rsidRPr="002E52FC" w:rsidRDefault="00A52778" w:rsidP="00FC3F8E">
            <w:pPr>
              <w:spacing w:line="0" w:lineRule="atLeast"/>
              <w:rPr>
                <w:rFonts w:eastAsia="Times New Roman" w:cs="Times New Roman"/>
                <w:b/>
                <w:sz w:val="22"/>
              </w:rPr>
            </w:pPr>
          </w:p>
        </w:tc>
        <w:tc>
          <w:tcPr>
            <w:tcW w:w="454" w:type="dxa"/>
            <w:tcBorders>
              <w:top w:val="single" w:sz="8" w:space="0" w:color="auto"/>
              <w:right w:val="single" w:sz="8" w:space="0" w:color="auto"/>
            </w:tcBorders>
            <w:shd w:val="clear" w:color="auto" w:fill="auto"/>
            <w:vAlign w:val="bottom"/>
          </w:tcPr>
          <w:p w14:paraId="783623C3" w14:textId="77777777" w:rsidR="00A52778" w:rsidRPr="002E52FC" w:rsidRDefault="00A52778" w:rsidP="00FC3F8E">
            <w:pPr>
              <w:spacing w:line="0" w:lineRule="atLeast"/>
              <w:rPr>
                <w:rFonts w:eastAsia="Times New Roman" w:cs="Times New Roman"/>
                <w:b/>
                <w:sz w:val="22"/>
              </w:rPr>
            </w:pPr>
          </w:p>
        </w:tc>
        <w:tc>
          <w:tcPr>
            <w:tcW w:w="706" w:type="dxa"/>
            <w:tcBorders>
              <w:top w:val="single" w:sz="8" w:space="0" w:color="auto"/>
            </w:tcBorders>
            <w:shd w:val="clear" w:color="auto" w:fill="auto"/>
            <w:vAlign w:val="bottom"/>
          </w:tcPr>
          <w:p w14:paraId="5006D8F7" w14:textId="77777777" w:rsidR="00A52778" w:rsidRPr="002E52FC" w:rsidRDefault="00A52778" w:rsidP="00FC3F8E">
            <w:pPr>
              <w:spacing w:line="0" w:lineRule="atLeast"/>
              <w:rPr>
                <w:rFonts w:eastAsia="Times New Roman" w:cs="Times New Roman"/>
                <w:b/>
                <w:sz w:val="22"/>
              </w:rPr>
            </w:pPr>
          </w:p>
        </w:tc>
        <w:tc>
          <w:tcPr>
            <w:tcW w:w="240" w:type="dxa"/>
            <w:tcBorders>
              <w:top w:val="single" w:sz="8" w:space="0" w:color="auto"/>
            </w:tcBorders>
            <w:shd w:val="clear" w:color="auto" w:fill="auto"/>
            <w:vAlign w:val="bottom"/>
          </w:tcPr>
          <w:p w14:paraId="31BE4F94" w14:textId="77777777" w:rsidR="00A52778" w:rsidRPr="002E52FC" w:rsidRDefault="00A52778" w:rsidP="00FC3F8E">
            <w:pPr>
              <w:spacing w:line="0" w:lineRule="atLeast"/>
              <w:rPr>
                <w:rFonts w:eastAsia="Times New Roman" w:cs="Times New Roman"/>
                <w:b/>
                <w:sz w:val="22"/>
              </w:rPr>
            </w:pPr>
          </w:p>
        </w:tc>
        <w:tc>
          <w:tcPr>
            <w:tcW w:w="280" w:type="dxa"/>
            <w:tcBorders>
              <w:top w:val="single" w:sz="8" w:space="0" w:color="auto"/>
            </w:tcBorders>
            <w:shd w:val="clear" w:color="auto" w:fill="auto"/>
            <w:vAlign w:val="bottom"/>
          </w:tcPr>
          <w:p w14:paraId="6CFF9E0E" w14:textId="77777777" w:rsidR="00A52778" w:rsidRPr="002E52FC" w:rsidRDefault="00A52778" w:rsidP="00FC3F8E">
            <w:pPr>
              <w:spacing w:line="0" w:lineRule="atLeast"/>
              <w:rPr>
                <w:rFonts w:eastAsia="Times New Roman" w:cs="Times New Roman"/>
                <w:b/>
                <w:sz w:val="22"/>
              </w:rPr>
            </w:pPr>
          </w:p>
        </w:tc>
        <w:tc>
          <w:tcPr>
            <w:tcW w:w="600" w:type="dxa"/>
            <w:tcBorders>
              <w:top w:val="single" w:sz="8" w:space="0" w:color="auto"/>
            </w:tcBorders>
            <w:shd w:val="clear" w:color="auto" w:fill="auto"/>
            <w:vAlign w:val="bottom"/>
          </w:tcPr>
          <w:p w14:paraId="255F6F41" w14:textId="77777777" w:rsidR="00A52778" w:rsidRPr="002E52FC" w:rsidRDefault="00A52778" w:rsidP="00FC3F8E">
            <w:pPr>
              <w:spacing w:line="0" w:lineRule="atLeast"/>
              <w:rPr>
                <w:rFonts w:eastAsia="Times New Roman" w:cs="Times New Roman"/>
                <w:b/>
                <w:sz w:val="22"/>
              </w:rPr>
            </w:pPr>
          </w:p>
        </w:tc>
        <w:tc>
          <w:tcPr>
            <w:tcW w:w="600" w:type="dxa"/>
            <w:tcBorders>
              <w:top w:val="single" w:sz="8" w:space="0" w:color="auto"/>
              <w:right w:val="single" w:sz="8" w:space="0" w:color="auto"/>
            </w:tcBorders>
            <w:shd w:val="clear" w:color="auto" w:fill="auto"/>
            <w:vAlign w:val="bottom"/>
          </w:tcPr>
          <w:p w14:paraId="593BE74E" w14:textId="77777777" w:rsidR="00A52778" w:rsidRPr="002E52FC" w:rsidRDefault="00A52778" w:rsidP="00FC3F8E">
            <w:pPr>
              <w:spacing w:line="0" w:lineRule="atLeast"/>
              <w:rPr>
                <w:rFonts w:eastAsia="Times New Roman" w:cs="Times New Roman"/>
                <w:b/>
                <w:sz w:val="22"/>
              </w:rPr>
            </w:pPr>
          </w:p>
        </w:tc>
        <w:tc>
          <w:tcPr>
            <w:tcW w:w="1340" w:type="dxa"/>
            <w:vMerge w:val="restart"/>
            <w:tcBorders>
              <w:top w:val="single" w:sz="8" w:space="0" w:color="auto"/>
              <w:right w:val="single" w:sz="8" w:space="0" w:color="auto"/>
            </w:tcBorders>
            <w:shd w:val="clear" w:color="auto" w:fill="auto"/>
            <w:vAlign w:val="bottom"/>
          </w:tcPr>
          <w:p w14:paraId="6A257B3E" w14:textId="77777777" w:rsidR="00A52778" w:rsidRPr="002E52FC" w:rsidRDefault="00A52778" w:rsidP="00FC3F8E">
            <w:pPr>
              <w:spacing w:line="0" w:lineRule="atLeast"/>
              <w:jc w:val="center"/>
              <w:rPr>
                <w:rFonts w:eastAsia="Times New Roman" w:cs="Times New Roman"/>
                <w:sz w:val="22"/>
              </w:rPr>
            </w:pPr>
            <w:r w:rsidRPr="002E52FC">
              <w:rPr>
                <w:rFonts w:eastAsia="Times New Roman" w:cs="Times New Roman"/>
                <w:sz w:val="22"/>
              </w:rPr>
              <w:t>Hedeflenen ana inorganik bileşikler</w:t>
            </w:r>
          </w:p>
        </w:tc>
        <w:tc>
          <w:tcPr>
            <w:tcW w:w="540" w:type="dxa"/>
            <w:tcBorders>
              <w:top w:val="single" w:sz="8" w:space="0" w:color="auto"/>
            </w:tcBorders>
            <w:shd w:val="clear" w:color="auto" w:fill="auto"/>
            <w:vAlign w:val="bottom"/>
          </w:tcPr>
          <w:p w14:paraId="3AF5E68B" w14:textId="77777777" w:rsidR="00A52778" w:rsidRPr="002E52FC" w:rsidRDefault="00A52778" w:rsidP="00FC3F8E">
            <w:pPr>
              <w:spacing w:line="0" w:lineRule="atLeast"/>
              <w:rPr>
                <w:rFonts w:eastAsia="Times New Roman" w:cs="Times New Roman"/>
                <w:b/>
                <w:sz w:val="22"/>
              </w:rPr>
            </w:pPr>
          </w:p>
        </w:tc>
        <w:tc>
          <w:tcPr>
            <w:tcW w:w="980" w:type="dxa"/>
            <w:tcBorders>
              <w:top w:val="single" w:sz="8" w:space="0" w:color="auto"/>
            </w:tcBorders>
            <w:shd w:val="clear" w:color="auto" w:fill="auto"/>
            <w:vAlign w:val="bottom"/>
          </w:tcPr>
          <w:p w14:paraId="069A475A" w14:textId="77777777" w:rsidR="00A52778" w:rsidRPr="002E52FC" w:rsidRDefault="00A52778" w:rsidP="00FC3F8E">
            <w:pPr>
              <w:spacing w:line="0" w:lineRule="atLeast"/>
              <w:rPr>
                <w:rFonts w:eastAsia="Times New Roman" w:cs="Times New Roman"/>
                <w:b/>
                <w:sz w:val="22"/>
              </w:rPr>
            </w:pPr>
          </w:p>
        </w:tc>
        <w:tc>
          <w:tcPr>
            <w:tcW w:w="740" w:type="dxa"/>
            <w:tcBorders>
              <w:top w:val="single" w:sz="8" w:space="0" w:color="auto"/>
            </w:tcBorders>
            <w:shd w:val="clear" w:color="auto" w:fill="auto"/>
            <w:vAlign w:val="bottom"/>
          </w:tcPr>
          <w:p w14:paraId="67B00DE7" w14:textId="77777777" w:rsidR="00A52778" w:rsidRPr="002E52FC" w:rsidRDefault="00A52778" w:rsidP="00FC3F8E">
            <w:pPr>
              <w:spacing w:line="0" w:lineRule="atLeast"/>
              <w:rPr>
                <w:rFonts w:eastAsia="Times New Roman" w:cs="Times New Roman"/>
                <w:b/>
                <w:sz w:val="22"/>
              </w:rPr>
            </w:pPr>
          </w:p>
        </w:tc>
        <w:tc>
          <w:tcPr>
            <w:tcW w:w="780" w:type="dxa"/>
            <w:tcBorders>
              <w:top w:val="single" w:sz="8" w:space="0" w:color="auto"/>
              <w:right w:val="single" w:sz="8" w:space="0" w:color="auto"/>
            </w:tcBorders>
            <w:shd w:val="clear" w:color="auto" w:fill="auto"/>
            <w:vAlign w:val="bottom"/>
          </w:tcPr>
          <w:p w14:paraId="68123853" w14:textId="77777777" w:rsidR="00A52778" w:rsidRPr="00460F9E" w:rsidRDefault="00A52778" w:rsidP="00FC3F8E">
            <w:pPr>
              <w:spacing w:line="0" w:lineRule="atLeast"/>
              <w:rPr>
                <w:rFonts w:eastAsia="Times New Roman" w:cs="Times New Roman"/>
                <w:b/>
              </w:rPr>
            </w:pPr>
          </w:p>
        </w:tc>
      </w:tr>
      <w:tr w:rsidR="00A52778" w:rsidRPr="00460F9E" w14:paraId="16FC7A70" w14:textId="77777777" w:rsidTr="00FC3F8E">
        <w:trPr>
          <w:trHeight w:val="168"/>
        </w:trPr>
        <w:tc>
          <w:tcPr>
            <w:tcW w:w="400" w:type="dxa"/>
            <w:tcBorders>
              <w:left w:val="single" w:sz="8" w:space="0" w:color="auto"/>
            </w:tcBorders>
            <w:shd w:val="clear" w:color="auto" w:fill="auto"/>
            <w:vAlign w:val="bottom"/>
          </w:tcPr>
          <w:p w14:paraId="26A1D627" w14:textId="77777777" w:rsidR="00A52778" w:rsidRPr="00460F9E" w:rsidRDefault="00A52778" w:rsidP="00FC3F8E">
            <w:pPr>
              <w:spacing w:line="0" w:lineRule="atLeast"/>
              <w:rPr>
                <w:rFonts w:eastAsia="Times New Roman" w:cs="Times New Roman"/>
                <w:b/>
                <w:sz w:val="19"/>
              </w:rPr>
            </w:pPr>
          </w:p>
        </w:tc>
        <w:tc>
          <w:tcPr>
            <w:tcW w:w="1100" w:type="dxa"/>
            <w:gridSpan w:val="2"/>
            <w:vMerge w:val="restart"/>
            <w:shd w:val="clear" w:color="auto" w:fill="auto"/>
            <w:vAlign w:val="bottom"/>
          </w:tcPr>
          <w:p w14:paraId="29A163DF" w14:textId="77777777" w:rsidR="00A52778" w:rsidRPr="002E52FC" w:rsidRDefault="00A52778" w:rsidP="00FC3F8E">
            <w:pPr>
              <w:spacing w:line="0" w:lineRule="atLeast"/>
              <w:ind w:left="140"/>
              <w:rPr>
                <w:rFonts w:eastAsia="Times New Roman" w:cs="Times New Roman"/>
                <w:sz w:val="22"/>
              </w:rPr>
            </w:pPr>
            <w:r w:rsidRPr="002E52FC">
              <w:rPr>
                <w:rFonts w:eastAsia="Times New Roman" w:cs="Times New Roman"/>
                <w:sz w:val="22"/>
              </w:rPr>
              <w:t>Teknikler</w:t>
            </w:r>
          </w:p>
        </w:tc>
        <w:tc>
          <w:tcPr>
            <w:tcW w:w="454" w:type="dxa"/>
            <w:tcBorders>
              <w:right w:val="single" w:sz="8" w:space="0" w:color="auto"/>
            </w:tcBorders>
            <w:shd w:val="clear" w:color="auto" w:fill="auto"/>
            <w:vAlign w:val="bottom"/>
          </w:tcPr>
          <w:p w14:paraId="2F81235A" w14:textId="77777777" w:rsidR="00A52778" w:rsidRPr="002E52FC" w:rsidRDefault="00A52778" w:rsidP="00FC3F8E">
            <w:pPr>
              <w:spacing w:line="0" w:lineRule="atLeast"/>
              <w:rPr>
                <w:rFonts w:eastAsia="Times New Roman" w:cs="Times New Roman"/>
                <w:sz w:val="22"/>
              </w:rPr>
            </w:pPr>
          </w:p>
        </w:tc>
        <w:tc>
          <w:tcPr>
            <w:tcW w:w="706" w:type="dxa"/>
            <w:shd w:val="clear" w:color="auto" w:fill="auto"/>
            <w:vAlign w:val="bottom"/>
          </w:tcPr>
          <w:p w14:paraId="0835F629" w14:textId="77777777" w:rsidR="00A52778" w:rsidRPr="002E52FC" w:rsidRDefault="00A52778" w:rsidP="00FC3F8E">
            <w:pPr>
              <w:spacing w:line="0" w:lineRule="atLeast"/>
              <w:rPr>
                <w:rFonts w:eastAsia="Times New Roman" w:cs="Times New Roman"/>
                <w:sz w:val="22"/>
              </w:rPr>
            </w:pPr>
          </w:p>
        </w:tc>
        <w:tc>
          <w:tcPr>
            <w:tcW w:w="1720" w:type="dxa"/>
            <w:gridSpan w:val="4"/>
            <w:vMerge w:val="restart"/>
            <w:shd w:val="clear" w:color="auto" w:fill="auto"/>
            <w:vAlign w:val="bottom"/>
          </w:tcPr>
          <w:p w14:paraId="19313ACB" w14:textId="77777777" w:rsidR="00A52778" w:rsidRPr="002E52FC" w:rsidRDefault="00A52778" w:rsidP="00FC3F8E">
            <w:pPr>
              <w:spacing w:line="0" w:lineRule="atLeast"/>
              <w:rPr>
                <w:rFonts w:eastAsia="Times New Roman" w:cs="Times New Roman"/>
                <w:sz w:val="22"/>
              </w:rPr>
            </w:pPr>
            <w:r w:rsidRPr="002E52FC">
              <w:rPr>
                <w:rFonts w:eastAsia="Times New Roman" w:cs="Times New Roman"/>
                <w:w w:val="99"/>
                <w:sz w:val="22"/>
              </w:rPr>
              <w:t>Tanımlamalar</w:t>
            </w:r>
          </w:p>
        </w:tc>
        <w:tc>
          <w:tcPr>
            <w:tcW w:w="1340" w:type="dxa"/>
            <w:vMerge/>
            <w:tcBorders>
              <w:right w:val="single" w:sz="8" w:space="0" w:color="auto"/>
            </w:tcBorders>
            <w:shd w:val="clear" w:color="auto" w:fill="auto"/>
            <w:vAlign w:val="bottom"/>
          </w:tcPr>
          <w:p w14:paraId="10A9448E" w14:textId="77777777" w:rsidR="00A52778" w:rsidRPr="002E52FC" w:rsidRDefault="00A52778" w:rsidP="00FC3F8E">
            <w:pPr>
              <w:spacing w:line="0" w:lineRule="atLeast"/>
              <w:jc w:val="center"/>
              <w:rPr>
                <w:rFonts w:eastAsia="Times New Roman" w:cs="Times New Roman"/>
                <w:sz w:val="22"/>
              </w:rPr>
            </w:pPr>
          </w:p>
        </w:tc>
        <w:tc>
          <w:tcPr>
            <w:tcW w:w="540" w:type="dxa"/>
            <w:shd w:val="clear" w:color="auto" w:fill="auto"/>
            <w:vAlign w:val="bottom"/>
          </w:tcPr>
          <w:p w14:paraId="48B7C803" w14:textId="77777777" w:rsidR="00A52778" w:rsidRPr="002E52FC" w:rsidRDefault="00A52778" w:rsidP="00FC3F8E">
            <w:pPr>
              <w:spacing w:line="0" w:lineRule="atLeast"/>
              <w:rPr>
                <w:rFonts w:eastAsia="Times New Roman" w:cs="Times New Roman"/>
                <w:sz w:val="22"/>
              </w:rPr>
            </w:pPr>
          </w:p>
        </w:tc>
        <w:tc>
          <w:tcPr>
            <w:tcW w:w="1720" w:type="dxa"/>
            <w:gridSpan w:val="2"/>
            <w:vMerge w:val="restart"/>
            <w:shd w:val="clear" w:color="auto" w:fill="auto"/>
            <w:vAlign w:val="bottom"/>
          </w:tcPr>
          <w:p w14:paraId="4D80FF6B" w14:textId="77777777" w:rsidR="00A52778" w:rsidRPr="002E52FC" w:rsidRDefault="00A52778" w:rsidP="00FC3F8E">
            <w:pPr>
              <w:spacing w:line="0" w:lineRule="atLeast"/>
              <w:ind w:right="120"/>
              <w:jc w:val="right"/>
              <w:rPr>
                <w:rFonts w:eastAsia="Times New Roman" w:cs="Times New Roman"/>
                <w:sz w:val="22"/>
              </w:rPr>
            </w:pPr>
            <w:r w:rsidRPr="002E52FC">
              <w:rPr>
                <w:rFonts w:eastAsia="Times New Roman" w:cs="Times New Roman"/>
                <w:sz w:val="22"/>
              </w:rPr>
              <w:t>Uygulanabilirlik</w:t>
            </w:r>
          </w:p>
        </w:tc>
        <w:tc>
          <w:tcPr>
            <w:tcW w:w="780" w:type="dxa"/>
            <w:tcBorders>
              <w:right w:val="single" w:sz="8" w:space="0" w:color="auto"/>
            </w:tcBorders>
            <w:shd w:val="clear" w:color="auto" w:fill="auto"/>
            <w:vAlign w:val="bottom"/>
          </w:tcPr>
          <w:p w14:paraId="68D38E06" w14:textId="77777777" w:rsidR="00A52778" w:rsidRPr="00460F9E" w:rsidRDefault="00A52778" w:rsidP="00FC3F8E">
            <w:pPr>
              <w:spacing w:line="0" w:lineRule="atLeast"/>
              <w:rPr>
                <w:rFonts w:eastAsia="Times New Roman" w:cs="Times New Roman"/>
                <w:b/>
                <w:sz w:val="19"/>
              </w:rPr>
            </w:pPr>
          </w:p>
        </w:tc>
      </w:tr>
      <w:tr w:rsidR="00A52778" w:rsidRPr="00460F9E" w14:paraId="2C51B78A" w14:textId="77777777" w:rsidTr="00FC3F8E">
        <w:trPr>
          <w:trHeight w:val="115"/>
        </w:trPr>
        <w:tc>
          <w:tcPr>
            <w:tcW w:w="400" w:type="dxa"/>
            <w:tcBorders>
              <w:left w:val="single" w:sz="8" w:space="0" w:color="auto"/>
            </w:tcBorders>
            <w:shd w:val="clear" w:color="auto" w:fill="auto"/>
            <w:vAlign w:val="bottom"/>
          </w:tcPr>
          <w:p w14:paraId="6EF1D0A2" w14:textId="77777777" w:rsidR="00A52778" w:rsidRPr="00460F9E" w:rsidRDefault="00A52778" w:rsidP="00FC3F8E">
            <w:pPr>
              <w:spacing w:line="0" w:lineRule="atLeast"/>
              <w:rPr>
                <w:rFonts w:eastAsia="Times New Roman" w:cs="Times New Roman"/>
                <w:b/>
                <w:sz w:val="10"/>
              </w:rPr>
            </w:pPr>
          </w:p>
        </w:tc>
        <w:tc>
          <w:tcPr>
            <w:tcW w:w="1100" w:type="dxa"/>
            <w:gridSpan w:val="2"/>
            <w:vMerge/>
            <w:shd w:val="clear" w:color="auto" w:fill="auto"/>
            <w:vAlign w:val="bottom"/>
          </w:tcPr>
          <w:p w14:paraId="4DDDCEA9" w14:textId="77777777" w:rsidR="00A52778" w:rsidRPr="002E52FC" w:rsidRDefault="00A52778" w:rsidP="00FC3F8E">
            <w:pPr>
              <w:spacing w:line="0" w:lineRule="atLeast"/>
              <w:rPr>
                <w:rFonts w:eastAsia="Times New Roman" w:cs="Times New Roman"/>
                <w:sz w:val="10"/>
              </w:rPr>
            </w:pPr>
          </w:p>
        </w:tc>
        <w:tc>
          <w:tcPr>
            <w:tcW w:w="454" w:type="dxa"/>
            <w:tcBorders>
              <w:right w:val="single" w:sz="8" w:space="0" w:color="auto"/>
            </w:tcBorders>
            <w:shd w:val="clear" w:color="auto" w:fill="auto"/>
            <w:vAlign w:val="bottom"/>
          </w:tcPr>
          <w:p w14:paraId="514E1451" w14:textId="77777777" w:rsidR="00A52778" w:rsidRPr="002E52FC" w:rsidRDefault="00A52778" w:rsidP="00FC3F8E">
            <w:pPr>
              <w:spacing w:line="0" w:lineRule="atLeast"/>
              <w:rPr>
                <w:rFonts w:eastAsia="Times New Roman" w:cs="Times New Roman"/>
                <w:sz w:val="10"/>
              </w:rPr>
            </w:pPr>
          </w:p>
        </w:tc>
        <w:tc>
          <w:tcPr>
            <w:tcW w:w="706" w:type="dxa"/>
            <w:shd w:val="clear" w:color="auto" w:fill="auto"/>
            <w:vAlign w:val="bottom"/>
          </w:tcPr>
          <w:p w14:paraId="3B6E48FC" w14:textId="77777777" w:rsidR="00A52778" w:rsidRPr="002E52FC" w:rsidRDefault="00A52778" w:rsidP="00FC3F8E">
            <w:pPr>
              <w:spacing w:line="0" w:lineRule="atLeast"/>
              <w:rPr>
                <w:rFonts w:eastAsia="Times New Roman" w:cs="Times New Roman"/>
                <w:sz w:val="10"/>
              </w:rPr>
            </w:pPr>
          </w:p>
        </w:tc>
        <w:tc>
          <w:tcPr>
            <w:tcW w:w="1720" w:type="dxa"/>
            <w:gridSpan w:val="4"/>
            <w:vMerge/>
            <w:shd w:val="clear" w:color="auto" w:fill="auto"/>
            <w:vAlign w:val="bottom"/>
          </w:tcPr>
          <w:p w14:paraId="10F2B20F" w14:textId="77777777" w:rsidR="00A52778" w:rsidRPr="002E52FC" w:rsidRDefault="00A52778" w:rsidP="00FC3F8E">
            <w:pPr>
              <w:spacing w:line="0" w:lineRule="atLeast"/>
              <w:rPr>
                <w:rFonts w:eastAsia="Times New Roman" w:cs="Times New Roman"/>
                <w:sz w:val="10"/>
              </w:rPr>
            </w:pPr>
          </w:p>
        </w:tc>
        <w:tc>
          <w:tcPr>
            <w:tcW w:w="1340" w:type="dxa"/>
            <w:vMerge/>
            <w:tcBorders>
              <w:right w:val="single" w:sz="8" w:space="0" w:color="auto"/>
            </w:tcBorders>
            <w:shd w:val="clear" w:color="auto" w:fill="auto"/>
            <w:vAlign w:val="bottom"/>
          </w:tcPr>
          <w:p w14:paraId="49A59A01" w14:textId="77777777" w:rsidR="00A52778" w:rsidRPr="002E52FC" w:rsidRDefault="00A52778" w:rsidP="00FC3F8E">
            <w:pPr>
              <w:spacing w:line="0" w:lineRule="atLeast"/>
              <w:jc w:val="center"/>
              <w:rPr>
                <w:rFonts w:eastAsia="Times New Roman" w:cs="Times New Roman"/>
              </w:rPr>
            </w:pPr>
          </w:p>
        </w:tc>
        <w:tc>
          <w:tcPr>
            <w:tcW w:w="540" w:type="dxa"/>
            <w:shd w:val="clear" w:color="auto" w:fill="auto"/>
            <w:vAlign w:val="bottom"/>
          </w:tcPr>
          <w:p w14:paraId="7111E6CF" w14:textId="77777777" w:rsidR="00A52778" w:rsidRPr="002E52FC" w:rsidRDefault="00A52778" w:rsidP="00FC3F8E">
            <w:pPr>
              <w:spacing w:line="0" w:lineRule="atLeast"/>
              <w:rPr>
                <w:rFonts w:eastAsia="Times New Roman" w:cs="Times New Roman"/>
                <w:sz w:val="10"/>
              </w:rPr>
            </w:pPr>
          </w:p>
        </w:tc>
        <w:tc>
          <w:tcPr>
            <w:tcW w:w="1720" w:type="dxa"/>
            <w:gridSpan w:val="2"/>
            <w:vMerge/>
            <w:shd w:val="clear" w:color="auto" w:fill="auto"/>
            <w:vAlign w:val="bottom"/>
          </w:tcPr>
          <w:p w14:paraId="56D09A38" w14:textId="77777777" w:rsidR="00A52778" w:rsidRPr="002E52FC" w:rsidRDefault="00A52778" w:rsidP="00FC3F8E">
            <w:pPr>
              <w:spacing w:line="0" w:lineRule="atLeast"/>
              <w:rPr>
                <w:rFonts w:eastAsia="Times New Roman" w:cs="Times New Roman"/>
                <w:sz w:val="10"/>
              </w:rPr>
            </w:pPr>
          </w:p>
        </w:tc>
        <w:tc>
          <w:tcPr>
            <w:tcW w:w="780" w:type="dxa"/>
            <w:tcBorders>
              <w:right w:val="single" w:sz="8" w:space="0" w:color="auto"/>
            </w:tcBorders>
            <w:shd w:val="clear" w:color="auto" w:fill="auto"/>
            <w:vAlign w:val="bottom"/>
          </w:tcPr>
          <w:p w14:paraId="1BB93C79" w14:textId="77777777" w:rsidR="00A52778" w:rsidRPr="00460F9E" w:rsidRDefault="00A52778" w:rsidP="00FC3F8E">
            <w:pPr>
              <w:spacing w:line="0" w:lineRule="atLeast"/>
              <w:rPr>
                <w:rFonts w:eastAsia="Times New Roman" w:cs="Times New Roman"/>
                <w:b/>
                <w:sz w:val="10"/>
              </w:rPr>
            </w:pPr>
          </w:p>
        </w:tc>
      </w:tr>
      <w:tr w:rsidR="00A52778" w:rsidRPr="00460F9E" w14:paraId="0F51D7E8" w14:textId="77777777" w:rsidTr="00FC3F8E">
        <w:trPr>
          <w:trHeight w:val="115"/>
        </w:trPr>
        <w:tc>
          <w:tcPr>
            <w:tcW w:w="400" w:type="dxa"/>
            <w:tcBorders>
              <w:left w:val="single" w:sz="8" w:space="0" w:color="auto"/>
            </w:tcBorders>
            <w:shd w:val="clear" w:color="auto" w:fill="auto"/>
            <w:vAlign w:val="bottom"/>
          </w:tcPr>
          <w:p w14:paraId="55FAEAD8" w14:textId="77777777" w:rsidR="00A52778" w:rsidRPr="00460F9E" w:rsidRDefault="00A52778" w:rsidP="00FC3F8E">
            <w:pPr>
              <w:spacing w:line="0" w:lineRule="atLeast"/>
              <w:rPr>
                <w:rFonts w:eastAsia="Times New Roman" w:cs="Times New Roman"/>
                <w:b/>
                <w:sz w:val="10"/>
              </w:rPr>
            </w:pPr>
          </w:p>
        </w:tc>
        <w:tc>
          <w:tcPr>
            <w:tcW w:w="280" w:type="dxa"/>
            <w:shd w:val="clear" w:color="auto" w:fill="auto"/>
            <w:vAlign w:val="bottom"/>
          </w:tcPr>
          <w:p w14:paraId="161045C6" w14:textId="77777777" w:rsidR="00A52778" w:rsidRPr="002E52FC" w:rsidRDefault="00A52778" w:rsidP="00FC3F8E">
            <w:pPr>
              <w:spacing w:line="0" w:lineRule="atLeast"/>
              <w:rPr>
                <w:rFonts w:eastAsia="Times New Roman" w:cs="Times New Roman"/>
                <w:sz w:val="10"/>
              </w:rPr>
            </w:pPr>
          </w:p>
        </w:tc>
        <w:tc>
          <w:tcPr>
            <w:tcW w:w="820" w:type="dxa"/>
            <w:shd w:val="clear" w:color="auto" w:fill="auto"/>
            <w:vAlign w:val="bottom"/>
          </w:tcPr>
          <w:p w14:paraId="09518696" w14:textId="77777777" w:rsidR="00A52778" w:rsidRPr="002E52FC" w:rsidRDefault="00A52778" w:rsidP="00FC3F8E">
            <w:pPr>
              <w:spacing w:line="0" w:lineRule="atLeast"/>
              <w:rPr>
                <w:rFonts w:eastAsia="Times New Roman" w:cs="Times New Roman"/>
                <w:sz w:val="10"/>
              </w:rPr>
            </w:pPr>
          </w:p>
        </w:tc>
        <w:tc>
          <w:tcPr>
            <w:tcW w:w="454" w:type="dxa"/>
            <w:tcBorders>
              <w:right w:val="single" w:sz="8" w:space="0" w:color="auto"/>
            </w:tcBorders>
            <w:shd w:val="clear" w:color="auto" w:fill="auto"/>
            <w:vAlign w:val="bottom"/>
          </w:tcPr>
          <w:p w14:paraId="17A4F12D" w14:textId="77777777" w:rsidR="00A52778" w:rsidRPr="002E52FC" w:rsidRDefault="00A52778" w:rsidP="00FC3F8E">
            <w:pPr>
              <w:spacing w:line="0" w:lineRule="atLeast"/>
              <w:rPr>
                <w:rFonts w:eastAsia="Times New Roman" w:cs="Times New Roman"/>
                <w:sz w:val="10"/>
              </w:rPr>
            </w:pPr>
          </w:p>
        </w:tc>
        <w:tc>
          <w:tcPr>
            <w:tcW w:w="706" w:type="dxa"/>
            <w:shd w:val="clear" w:color="auto" w:fill="auto"/>
            <w:vAlign w:val="bottom"/>
          </w:tcPr>
          <w:p w14:paraId="2DC5062B" w14:textId="77777777" w:rsidR="00A52778" w:rsidRPr="002E52FC" w:rsidRDefault="00A52778" w:rsidP="00FC3F8E">
            <w:pPr>
              <w:spacing w:line="0" w:lineRule="atLeast"/>
              <w:rPr>
                <w:rFonts w:eastAsia="Times New Roman" w:cs="Times New Roman"/>
                <w:sz w:val="10"/>
              </w:rPr>
            </w:pPr>
          </w:p>
        </w:tc>
        <w:tc>
          <w:tcPr>
            <w:tcW w:w="240" w:type="dxa"/>
            <w:shd w:val="clear" w:color="auto" w:fill="auto"/>
            <w:vAlign w:val="bottom"/>
          </w:tcPr>
          <w:p w14:paraId="7A8A69A6" w14:textId="77777777" w:rsidR="00A52778" w:rsidRPr="002E52FC" w:rsidRDefault="00A52778" w:rsidP="00FC3F8E">
            <w:pPr>
              <w:spacing w:line="0" w:lineRule="atLeast"/>
              <w:rPr>
                <w:rFonts w:eastAsia="Times New Roman" w:cs="Times New Roman"/>
                <w:sz w:val="10"/>
              </w:rPr>
            </w:pPr>
          </w:p>
        </w:tc>
        <w:tc>
          <w:tcPr>
            <w:tcW w:w="280" w:type="dxa"/>
            <w:shd w:val="clear" w:color="auto" w:fill="auto"/>
            <w:vAlign w:val="bottom"/>
          </w:tcPr>
          <w:p w14:paraId="2B03F0D4" w14:textId="77777777" w:rsidR="00A52778" w:rsidRPr="002E52FC" w:rsidRDefault="00A52778" w:rsidP="00FC3F8E">
            <w:pPr>
              <w:spacing w:line="0" w:lineRule="atLeast"/>
              <w:rPr>
                <w:rFonts w:eastAsia="Times New Roman" w:cs="Times New Roman"/>
                <w:sz w:val="10"/>
              </w:rPr>
            </w:pPr>
          </w:p>
        </w:tc>
        <w:tc>
          <w:tcPr>
            <w:tcW w:w="600" w:type="dxa"/>
            <w:shd w:val="clear" w:color="auto" w:fill="auto"/>
            <w:vAlign w:val="bottom"/>
          </w:tcPr>
          <w:p w14:paraId="513AC1AB" w14:textId="77777777" w:rsidR="00A52778" w:rsidRPr="002E52FC" w:rsidRDefault="00A52778" w:rsidP="00FC3F8E">
            <w:pPr>
              <w:spacing w:line="0" w:lineRule="atLeast"/>
              <w:rPr>
                <w:rFonts w:eastAsia="Times New Roman" w:cs="Times New Roman"/>
                <w:sz w:val="10"/>
              </w:rPr>
            </w:pPr>
          </w:p>
        </w:tc>
        <w:tc>
          <w:tcPr>
            <w:tcW w:w="600" w:type="dxa"/>
            <w:tcBorders>
              <w:right w:val="single" w:sz="8" w:space="0" w:color="auto"/>
            </w:tcBorders>
            <w:shd w:val="clear" w:color="auto" w:fill="auto"/>
            <w:vAlign w:val="bottom"/>
          </w:tcPr>
          <w:p w14:paraId="56248FFE" w14:textId="77777777" w:rsidR="00A52778" w:rsidRPr="002E52FC" w:rsidRDefault="00A52778" w:rsidP="00FC3F8E">
            <w:pPr>
              <w:spacing w:line="0" w:lineRule="atLeast"/>
              <w:rPr>
                <w:rFonts w:eastAsia="Times New Roman" w:cs="Times New Roman"/>
                <w:sz w:val="10"/>
              </w:rPr>
            </w:pPr>
          </w:p>
        </w:tc>
        <w:tc>
          <w:tcPr>
            <w:tcW w:w="1340" w:type="dxa"/>
            <w:vMerge/>
            <w:tcBorders>
              <w:right w:val="single" w:sz="8" w:space="0" w:color="auto"/>
            </w:tcBorders>
            <w:shd w:val="clear" w:color="auto" w:fill="auto"/>
            <w:vAlign w:val="bottom"/>
          </w:tcPr>
          <w:p w14:paraId="53B4D911" w14:textId="77777777" w:rsidR="00A52778" w:rsidRPr="002E52FC" w:rsidRDefault="00A52778" w:rsidP="00FC3F8E">
            <w:pPr>
              <w:spacing w:line="0" w:lineRule="atLeast"/>
              <w:jc w:val="center"/>
              <w:rPr>
                <w:rFonts w:eastAsia="Times New Roman" w:cs="Times New Roman"/>
                <w:sz w:val="10"/>
              </w:rPr>
            </w:pPr>
          </w:p>
        </w:tc>
        <w:tc>
          <w:tcPr>
            <w:tcW w:w="540" w:type="dxa"/>
            <w:shd w:val="clear" w:color="auto" w:fill="auto"/>
            <w:vAlign w:val="bottom"/>
          </w:tcPr>
          <w:p w14:paraId="5BF83A30" w14:textId="77777777" w:rsidR="00A52778" w:rsidRPr="002E52FC" w:rsidRDefault="00A52778" w:rsidP="00FC3F8E">
            <w:pPr>
              <w:spacing w:line="0" w:lineRule="atLeast"/>
              <w:rPr>
                <w:rFonts w:eastAsia="Times New Roman" w:cs="Times New Roman"/>
                <w:sz w:val="10"/>
              </w:rPr>
            </w:pPr>
          </w:p>
        </w:tc>
        <w:tc>
          <w:tcPr>
            <w:tcW w:w="980" w:type="dxa"/>
            <w:shd w:val="clear" w:color="auto" w:fill="auto"/>
            <w:vAlign w:val="bottom"/>
          </w:tcPr>
          <w:p w14:paraId="5CDD3B8C" w14:textId="77777777" w:rsidR="00A52778" w:rsidRPr="002E52FC" w:rsidRDefault="00A52778" w:rsidP="00FC3F8E">
            <w:pPr>
              <w:spacing w:line="0" w:lineRule="atLeast"/>
              <w:rPr>
                <w:rFonts w:eastAsia="Times New Roman" w:cs="Times New Roman"/>
                <w:sz w:val="10"/>
              </w:rPr>
            </w:pPr>
          </w:p>
        </w:tc>
        <w:tc>
          <w:tcPr>
            <w:tcW w:w="740" w:type="dxa"/>
            <w:shd w:val="clear" w:color="auto" w:fill="auto"/>
            <w:vAlign w:val="bottom"/>
          </w:tcPr>
          <w:p w14:paraId="2E424A38" w14:textId="77777777" w:rsidR="00A52778" w:rsidRPr="002E52FC" w:rsidRDefault="00A52778" w:rsidP="00FC3F8E">
            <w:pPr>
              <w:spacing w:line="0" w:lineRule="atLeast"/>
              <w:rPr>
                <w:rFonts w:eastAsia="Times New Roman" w:cs="Times New Roman"/>
                <w:sz w:val="10"/>
              </w:rPr>
            </w:pPr>
          </w:p>
        </w:tc>
        <w:tc>
          <w:tcPr>
            <w:tcW w:w="780" w:type="dxa"/>
            <w:tcBorders>
              <w:right w:val="single" w:sz="8" w:space="0" w:color="auto"/>
            </w:tcBorders>
            <w:shd w:val="clear" w:color="auto" w:fill="auto"/>
            <w:vAlign w:val="bottom"/>
          </w:tcPr>
          <w:p w14:paraId="40261073" w14:textId="77777777" w:rsidR="00A52778" w:rsidRPr="00460F9E" w:rsidRDefault="00A52778" w:rsidP="00FC3F8E">
            <w:pPr>
              <w:spacing w:line="0" w:lineRule="atLeast"/>
              <w:rPr>
                <w:rFonts w:eastAsia="Times New Roman" w:cs="Times New Roman"/>
                <w:b/>
                <w:sz w:val="10"/>
              </w:rPr>
            </w:pPr>
          </w:p>
        </w:tc>
      </w:tr>
      <w:tr w:rsidR="00A52778" w:rsidRPr="00460F9E" w14:paraId="45748FCB" w14:textId="77777777" w:rsidTr="00FC3F8E">
        <w:trPr>
          <w:trHeight w:val="231"/>
        </w:trPr>
        <w:tc>
          <w:tcPr>
            <w:tcW w:w="400" w:type="dxa"/>
            <w:tcBorders>
              <w:left w:val="single" w:sz="8" w:space="0" w:color="auto"/>
              <w:bottom w:val="single" w:sz="8" w:space="0" w:color="auto"/>
            </w:tcBorders>
            <w:shd w:val="clear" w:color="auto" w:fill="auto"/>
            <w:vAlign w:val="bottom"/>
          </w:tcPr>
          <w:p w14:paraId="51D4A7BC" w14:textId="77777777" w:rsidR="00A52778" w:rsidRPr="00460F9E" w:rsidRDefault="00A52778" w:rsidP="00FC3F8E">
            <w:pPr>
              <w:spacing w:line="0" w:lineRule="atLeast"/>
              <w:rPr>
                <w:rFonts w:eastAsia="Times New Roman" w:cs="Times New Roman"/>
                <w:b/>
              </w:rPr>
            </w:pPr>
          </w:p>
        </w:tc>
        <w:tc>
          <w:tcPr>
            <w:tcW w:w="280" w:type="dxa"/>
            <w:tcBorders>
              <w:bottom w:val="single" w:sz="8" w:space="0" w:color="auto"/>
            </w:tcBorders>
            <w:shd w:val="clear" w:color="auto" w:fill="auto"/>
            <w:vAlign w:val="bottom"/>
          </w:tcPr>
          <w:p w14:paraId="6633C9EF" w14:textId="77777777" w:rsidR="00A52778" w:rsidRPr="002E52FC" w:rsidRDefault="00A52778" w:rsidP="00FC3F8E">
            <w:pPr>
              <w:spacing w:line="0" w:lineRule="atLeast"/>
              <w:rPr>
                <w:rFonts w:eastAsia="Times New Roman" w:cs="Times New Roman"/>
              </w:rPr>
            </w:pPr>
          </w:p>
        </w:tc>
        <w:tc>
          <w:tcPr>
            <w:tcW w:w="820" w:type="dxa"/>
            <w:tcBorders>
              <w:bottom w:val="single" w:sz="8" w:space="0" w:color="auto"/>
            </w:tcBorders>
            <w:shd w:val="clear" w:color="auto" w:fill="auto"/>
            <w:vAlign w:val="bottom"/>
          </w:tcPr>
          <w:p w14:paraId="6BD6D294" w14:textId="77777777" w:rsidR="00A52778" w:rsidRPr="002E52FC" w:rsidRDefault="00A52778" w:rsidP="00FC3F8E">
            <w:pPr>
              <w:spacing w:line="0" w:lineRule="atLeast"/>
              <w:rPr>
                <w:rFonts w:eastAsia="Times New Roman" w:cs="Times New Roman"/>
              </w:rPr>
            </w:pPr>
          </w:p>
        </w:tc>
        <w:tc>
          <w:tcPr>
            <w:tcW w:w="454" w:type="dxa"/>
            <w:tcBorders>
              <w:bottom w:val="single" w:sz="8" w:space="0" w:color="auto"/>
              <w:right w:val="single" w:sz="8" w:space="0" w:color="auto"/>
            </w:tcBorders>
            <w:shd w:val="clear" w:color="auto" w:fill="auto"/>
            <w:vAlign w:val="bottom"/>
          </w:tcPr>
          <w:p w14:paraId="2B59622A" w14:textId="77777777" w:rsidR="00A52778" w:rsidRPr="002E52FC" w:rsidRDefault="00A52778" w:rsidP="00FC3F8E">
            <w:pPr>
              <w:spacing w:line="0" w:lineRule="atLeast"/>
              <w:rPr>
                <w:rFonts w:eastAsia="Times New Roman" w:cs="Times New Roman"/>
              </w:rPr>
            </w:pPr>
          </w:p>
        </w:tc>
        <w:tc>
          <w:tcPr>
            <w:tcW w:w="706" w:type="dxa"/>
            <w:tcBorders>
              <w:bottom w:val="single" w:sz="8" w:space="0" w:color="auto"/>
            </w:tcBorders>
            <w:shd w:val="clear" w:color="auto" w:fill="auto"/>
            <w:vAlign w:val="bottom"/>
          </w:tcPr>
          <w:p w14:paraId="1F17BC67" w14:textId="77777777" w:rsidR="00A52778" w:rsidRPr="002E52FC" w:rsidRDefault="00A52778" w:rsidP="00FC3F8E">
            <w:pPr>
              <w:spacing w:line="0" w:lineRule="atLeast"/>
              <w:rPr>
                <w:rFonts w:eastAsia="Times New Roman" w:cs="Times New Roman"/>
              </w:rPr>
            </w:pPr>
          </w:p>
        </w:tc>
        <w:tc>
          <w:tcPr>
            <w:tcW w:w="240" w:type="dxa"/>
            <w:tcBorders>
              <w:bottom w:val="single" w:sz="8" w:space="0" w:color="auto"/>
            </w:tcBorders>
            <w:shd w:val="clear" w:color="auto" w:fill="auto"/>
            <w:vAlign w:val="bottom"/>
          </w:tcPr>
          <w:p w14:paraId="6CA37868" w14:textId="77777777" w:rsidR="00A52778" w:rsidRPr="002E52FC" w:rsidRDefault="00A52778" w:rsidP="00FC3F8E">
            <w:pPr>
              <w:spacing w:line="0" w:lineRule="atLeast"/>
              <w:rPr>
                <w:rFonts w:eastAsia="Times New Roman" w:cs="Times New Roman"/>
              </w:rPr>
            </w:pPr>
          </w:p>
        </w:tc>
        <w:tc>
          <w:tcPr>
            <w:tcW w:w="280" w:type="dxa"/>
            <w:tcBorders>
              <w:bottom w:val="single" w:sz="8" w:space="0" w:color="auto"/>
            </w:tcBorders>
            <w:shd w:val="clear" w:color="auto" w:fill="auto"/>
            <w:vAlign w:val="bottom"/>
          </w:tcPr>
          <w:p w14:paraId="564F2870" w14:textId="77777777" w:rsidR="00A52778" w:rsidRPr="002E52FC" w:rsidRDefault="00A52778" w:rsidP="00FC3F8E">
            <w:pPr>
              <w:spacing w:line="0" w:lineRule="atLeast"/>
              <w:rPr>
                <w:rFonts w:eastAsia="Times New Roman" w:cs="Times New Roman"/>
              </w:rPr>
            </w:pPr>
          </w:p>
        </w:tc>
        <w:tc>
          <w:tcPr>
            <w:tcW w:w="600" w:type="dxa"/>
            <w:tcBorders>
              <w:bottom w:val="single" w:sz="8" w:space="0" w:color="auto"/>
            </w:tcBorders>
            <w:shd w:val="clear" w:color="auto" w:fill="auto"/>
            <w:vAlign w:val="bottom"/>
          </w:tcPr>
          <w:p w14:paraId="35CF37DD" w14:textId="77777777" w:rsidR="00A52778" w:rsidRPr="002E52FC" w:rsidRDefault="00A52778" w:rsidP="00FC3F8E">
            <w:pPr>
              <w:spacing w:line="0" w:lineRule="atLeast"/>
              <w:rPr>
                <w:rFonts w:eastAsia="Times New Roman" w:cs="Times New Roman"/>
              </w:rPr>
            </w:pPr>
          </w:p>
        </w:tc>
        <w:tc>
          <w:tcPr>
            <w:tcW w:w="600" w:type="dxa"/>
            <w:tcBorders>
              <w:bottom w:val="single" w:sz="8" w:space="0" w:color="auto"/>
              <w:right w:val="single" w:sz="8" w:space="0" w:color="auto"/>
            </w:tcBorders>
            <w:shd w:val="clear" w:color="auto" w:fill="auto"/>
            <w:vAlign w:val="bottom"/>
          </w:tcPr>
          <w:p w14:paraId="699EF7B1" w14:textId="77777777" w:rsidR="00A52778" w:rsidRPr="002E52FC" w:rsidRDefault="00A52778" w:rsidP="00FC3F8E">
            <w:pPr>
              <w:spacing w:line="0" w:lineRule="atLeast"/>
              <w:rPr>
                <w:rFonts w:eastAsia="Times New Roman" w:cs="Times New Roman"/>
              </w:rPr>
            </w:pPr>
          </w:p>
        </w:tc>
        <w:tc>
          <w:tcPr>
            <w:tcW w:w="1340" w:type="dxa"/>
            <w:vMerge/>
            <w:tcBorders>
              <w:bottom w:val="single" w:sz="8" w:space="0" w:color="auto"/>
              <w:right w:val="single" w:sz="8" w:space="0" w:color="auto"/>
            </w:tcBorders>
            <w:shd w:val="clear" w:color="auto" w:fill="auto"/>
            <w:vAlign w:val="bottom"/>
          </w:tcPr>
          <w:p w14:paraId="12913C69" w14:textId="77777777" w:rsidR="00A52778" w:rsidRPr="002E52FC" w:rsidRDefault="00A52778" w:rsidP="00FC3F8E">
            <w:pPr>
              <w:spacing w:line="0" w:lineRule="atLeast"/>
              <w:jc w:val="center"/>
              <w:rPr>
                <w:rFonts w:eastAsia="Times New Roman" w:cs="Times New Roman"/>
                <w:w w:val="98"/>
              </w:rPr>
            </w:pPr>
          </w:p>
        </w:tc>
        <w:tc>
          <w:tcPr>
            <w:tcW w:w="540" w:type="dxa"/>
            <w:tcBorders>
              <w:bottom w:val="single" w:sz="8" w:space="0" w:color="auto"/>
            </w:tcBorders>
            <w:shd w:val="clear" w:color="auto" w:fill="auto"/>
            <w:vAlign w:val="bottom"/>
          </w:tcPr>
          <w:p w14:paraId="68C74C54" w14:textId="77777777" w:rsidR="00A52778" w:rsidRPr="002E52FC" w:rsidRDefault="00A52778" w:rsidP="00FC3F8E">
            <w:pPr>
              <w:spacing w:line="0" w:lineRule="atLeast"/>
              <w:rPr>
                <w:rFonts w:eastAsia="Times New Roman" w:cs="Times New Roman"/>
              </w:rPr>
            </w:pPr>
          </w:p>
        </w:tc>
        <w:tc>
          <w:tcPr>
            <w:tcW w:w="980" w:type="dxa"/>
            <w:tcBorders>
              <w:bottom w:val="single" w:sz="8" w:space="0" w:color="auto"/>
            </w:tcBorders>
            <w:shd w:val="clear" w:color="auto" w:fill="auto"/>
            <w:vAlign w:val="bottom"/>
          </w:tcPr>
          <w:p w14:paraId="40C81798" w14:textId="77777777" w:rsidR="00A52778" w:rsidRPr="002E52FC" w:rsidRDefault="00A52778" w:rsidP="00FC3F8E">
            <w:pPr>
              <w:spacing w:line="0" w:lineRule="atLeast"/>
              <w:rPr>
                <w:rFonts w:eastAsia="Times New Roman" w:cs="Times New Roman"/>
              </w:rPr>
            </w:pPr>
          </w:p>
        </w:tc>
        <w:tc>
          <w:tcPr>
            <w:tcW w:w="740" w:type="dxa"/>
            <w:tcBorders>
              <w:bottom w:val="single" w:sz="8" w:space="0" w:color="auto"/>
            </w:tcBorders>
            <w:shd w:val="clear" w:color="auto" w:fill="auto"/>
            <w:vAlign w:val="bottom"/>
          </w:tcPr>
          <w:p w14:paraId="573DFD55" w14:textId="77777777" w:rsidR="00A52778" w:rsidRPr="002E52FC" w:rsidRDefault="00A52778" w:rsidP="00FC3F8E">
            <w:pPr>
              <w:spacing w:line="0" w:lineRule="atLeast"/>
              <w:rPr>
                <w:rFonts w:eastAsia="Times New Roman" w:cs="Times New Roman"/>
              </w:rPr>
            </w:pPr>
          </w:p>
        </w:tc>
        <w:tc>
          <w:tcPr>
            <w:tcW w:w="780" w:type="dxa"/>
            <w:tcBorders>
              <w:bottom w:val="single" w:sz="8" w:space="0" w:color="auto"/>
              <w:right w:val="single" w:sz="8" w:space="0" w:color="auto"/>
            </w:tcBorders>
            <w:shd w:val="clear" w:color="auto" w:fill="auto"/>
            <w:vAlign w:val="bottom"/>
          </w:tcPr>
          <w:p w14:paraId="002C7AED" w14:textId="77777777" w:rsidR="00A52778" w:rsidRPr="00460F9E" w:rsidRDefault="00A52778" w:rsidP="00FC3F8E">
            <w:pPr>
              <w:spacing w:line="0" w:lineRule="atLeast"/>
              <w:rPr>
                <w:rFonts w:eastAsia="Times New Roman" w:cs="Times New Roman"/>
                <w:b/>
              </w:rPr>
            </w:pPr>
          </w:p>
        </w:tc>
      </w:tr>
      <w:tr w:rsidR="00A52778" w:rsidRPr="00460F9E" w14:paraId="064F6869" w14:textId="77777777" w:rsidTr="00FC3F8E">
        <w:trPr>
          <w:trHeight w:val="220"/>
        </w:trPr>
        <w:tc>
          <w:tcPr>
            <w:tcW w:w="1954" w:type="dxa"/>
            <w:gridSpan w:val="4"/>
            <w:tcBorders>
              <w:left w:val="single" w:sz="8" w:space="0" w:color="auto"/>
              <w:bottom w:val="single" w:sz="8" w:space="0" w:color="auto"/>
            </w:tcBorders>
            <w:shd w:val="clear" w:color="auto" w:fill="auto"/>
            <w:vAlign w:val="bottom"/>
          </w:tcPr>
          <w:p w14:paraId="23BD3358" w14:textId="77777777" w:rsidR="00A52778" w:rsidRPr="002E52FC" w:rsidRDefault="00A52778" w:rsidP="00FC3F8E">
            <w:pPr>
              <w:spacing w:line="219" w:lineRule="exact"/>
              <w:ind w:left="100"/>
              <w:rPr>
                <w:rFonts w:eastAsia="Times New Roman" w:cs="Times New Roman"/>
                <w:i/>
              </w:rPr>
            </w:pPr>
            <w:r w:rsidRPr="002E52FC">
              <w:rPr>
                <w:rFonts w:eastAsia="Times New Roman" w:cs="Times New Roman"/>
                <w:i/>
              </w:rPr>
              <w:t>Birincil teknikler</w:t>
            </w:r>
          </w:p>
        </w:tc>
        <w:tc>
          <w:tcPr>
            <w:tcW w:w="706" w:type="dxa"/>
            <w:tcBorders>
              <w:bottom w:val="single" w:sz="8" w:space="0" w:color="auto"/>
            </w:tcBorders>
            <w:shd w:val="clear" w:color="auto" w:fill="auto"/>
            <w:vAlign w:val="bottom"/>
          </w:tcPr>
          <w:p w14:paraId="2C677B9B" w14:textId="77777777" w:rsidR="00A52778" w:rsidRPr="002E52FC" w:rsidRDefault="00A52778" w:rsidP="00FC3F8E">
            <w:pPr>
              <w:spacing w:line="0" w:lineRule="atLeast"/>
              <w:rPr>
                <w:rFonts w:eastAsia="Times New Roman" w:cs="Times New Roman"/>
                <w:sz w:val="19"/>
              </w:rPr>
            </w:pPr>
          </w:p>
        </w:tc>
        <w:tc>
          <w:tcPr>
            <w:tcW w:w="240" w:type="dxa"/>
            <w:tcBorders>
              <w:bottom w:val="single" w:sz="8" w:space="0" w:color="auto"/>
            </w:tcBorders>
            <w:shd w:val="clear" w:color="auto" w:fill="auto"/>
            <w:vAlign w:val="bottom"/>
          </w:tcPr>
          <w:p w14:paraId="18FDAB79" w14:textId="77777777" w:rsidR="00A52778" w:rsidRPr="00460F9E" w:rsidRDefault="00A52778" w:rsidP="00FC3F8E">
            <w:pPr>
              <w:spacing w:line="0" w:lineRule="atLeast"/>
              <w:rPr>
                <w:rFonts w:eastAsia="Times New Roman" w:cs="Times New Roman"/>
                <w:b/>
                <w:sz w:val="19"/>
              </w:rPr>
            </w:pPr>
          </w:p>
        </w:tc>
        <w:tc>
          <w:tcPr>
            <w:tcW w:w="280" w:type="dxa"/>
            <w:tcBorders>
              <w:bottom w:val="single" w:sz="8" w:space="0" w:color="auto"/>
            </w:tcBorders>
            <w:shd w:val="clear" w:color="auto" w:fill="auto"/>
            <w:vAlign w:val="bottom"/>
          </w:tcPr>
          <w:p w14:paraId="56A80358" w14:textId="77777777" w:rsidR="00A52778" w:rsidRPr="00460F9E" w:rsidRDefault="00A52778" w:rsidP="00FC3F8E">
            <w:pPr>
              <w:spacing w:line="0" w:lineRule="atLeast"/>
              <w:rPr>
                <w:rFonts w:eastAsia="Times New Roman" w:cs="Times New Roman"/>
                <w:b/>
                <w:sz w:val="19"/>
              </w:rPr>
            </w:pPr>
          </w:p>
        </w:tc>
        <w:tc>
          <w:tcPr>
            <w:tcW w:w="600" w:type="dxa"/>
            <w:tcBorders>
              <w:bottom w:val="single" w:sz="8" w:space="0" w:color="auto"/>
            </w:tcBorders>
            <w:shd w:val="clear" w:color="auto" w:fill="auto"/>
            <w:vAlign w:val="bottom"/>
          </w:tcPr>
          <w:p w14:paraId="06951E44" w14:textId="77777777" w:rsidR="00A52778" w:rsidRPr="00460F9E" w:rsidRDefault="00A52778" w:rsidP="00FC3F8E">
            <w:pPr>
              <w:spacing w:line="0" w:lineRule="atLeast"/>
              <w:rPr>
                <w:rFonts w:eastAsia="Times New Roman" w:cs="Times New Roman"/>
                <w:b/>
                <w:sz w:val="19"/>
              </w:rPr>
            </w:pPr>
          </w:p>
        </w:tc>
        <w:tc>
          <w:tcPr>
            <w:tcW w:w="600" w:type="dxa"/>
            <w:tcBorders>
              <w:bottom w:val="single" w:sz="8" w:space="0" w:color="auto"/>
            </w:tcBorders>
            <w:shd w:val="clear" w:color="auto" w:fill="auto"/>
            <w:vAlign w:val="bottom"/>
          </w:tcPr>
          <w:p w14:paraId="21B6BB45" w14:textId="77777777" w:rsidR="00A52778" w:rsidRPr="00460F9E" w:rsidRDefault="00A52778" w:rsidP="00FC3F8E">
            <w:pPr>
              <w:spacing w:line="0" w:lineRule="atLeast"/>
              <w:rPr>
                <w:rFonts w:eastAsia="Times New Roman" w:cs="Times New Roman"/>
                <w:b/>
                <w:sz w:val="19"/>
              </w:rPr>
            </w:pPr>
          </w:p>
        </w:tc>
        <w:tc>
          <w:tcPr>
            <w:tcW w:w="1340" w:type="dxa"/>
            <w:tcBorders>
              <w:bottom w:val="single" w:sz="8" w:space="0" w:color="auto"/>
            </w:tcBorders>
            <w:shd w:val="clear" w:color="auto" w:fill="auto"/>
            <w:vAlign w:val="bottom"/>
          </w:tcPr>
          <w:p w14:paraId="7A3B121E" w14:textId="77777777" w:rsidR="00A52778" w:rsidRPr="00460F9E" w:rsidRDefault="00A52778" w:rsidP="00FC3F8E">
            <w:pPr>
              <w:spacing w:line="0" w:lineRule="atLeast"/>
              <w:rPr>
                <w:rFonts w:eastAsia="Times New Roman" w:cs="Times New Roman"/>
                <w:b/>
                <w:sz w:val="19"/>
              </w:rPr>
            </w:pPr>
          </w:p>
        </w:tc>
        <w:tc>
          <w:tcPr>
            <w:tcW w:w="540" w:type="dxa"/>
            <w:tcBorders>
              <w:bottom w:val="single" w:sz="8" w:space="0" w:color="auto"/>
            </w:tcBorders>
            <w:shd w:val="clear" w:color="auto" w:fill="auto"/>
            <w:vAlign w:val="bottom"/>
          </w:tcPr>
          <w:p w14:paraId="4732F0C0" w14:textId="77777777" w:rsidR="00A52778" w:rsidRPr="00460F9E" w:rsidRDefault="00A52778" w:rsidP="00FC3F8E">
            <w:pPr>
              <w:spacing w:line="0" w:lineRule="atLeast"/>
              <w:rPr>
                <w:rFonts w:eastAsia="Times New Roman" w:cs="Times New Roman"/>
                <w:b/>
                <w:sz w:val="19"/>
              </w:rPr>
            </w:pPr>
          </w:p>
        </w:tc>
        <w:tc>
          <w:tcPr>
            <w:tcW w:w="980" w:type="dxa"/>
            <w:tcBorders>
              <w:bottom w:val="single" w:sz="8" w:space="0" w:color="auto"/>
            </w:tcBorders>
            <w:shd w:val="clear" w:color="auto" w:fill="auto"/>
            <w:vAlign w:val="bottom"/>
          </w:tcPr>
          <w:p w14:paraId="084AC64D" w14:textId="77777777" w:rsidR="00A52778" w:rsidRPr="00460F9E" w:rsidRDefault="00A52778" w:rsidP="00FC3F8E">
            <w:pPr>
              <w:spacing w:line="0" w:lineRule="atLeast"/>
              <w:rPr>
                <w:rFonts w:eastAsia="Times New Roman" w:cs="Times New Roman"/>
                <w:b/>
                <w:sz w:val="19"/>
              </w:rPr>
            </w:pPr>
          </w:p>
        </w:tc>
        <w:tc>
          <w:tcPr>
            <w:tcW w:w="740" w:type="dxa"/>
            <w:tcBorders>
              <w:bottom w:val="single" w:sz="8" w:space="0" w:color="auto"/>
            </w:tcBorders>
            <w:shd w:val="clear" w:color="auto" w:fill="auto"/>
            <w:vAlign w:val="bottom"/>
          </w:tcPr>
          <w:p w14:paraId="37A63591" w14:textId="77777777" w:rsidR="00A52778" w:rsidRPr="00460F9E" w:rsidRDefault="00A52778" w:rsidP="00FC3F8E">
            <w:pPr>
              <w:spacing w:line="0" w:lineRule="atLeast"/>
              <w:rPr>
                <w:rFonts w:eastAsia="Times New Roman" w:cs="Times New Roman"/>
                <w:b/>
                <w:sz w:val="19"/>
              </w:rPr>
            </w:pPr>
          </w:p>
        </w:tc>
        <w:tc>
          <w:tcPr>
            <w:tcW w:w="780" w:type="dxa"/>
            <w:tcBorders>
              <w:bottom w:val="single" w:sz="8" w:space="0" w:color="auto"/>
              <w:right w:val="single" w:sz="8" w:space="0" w:color="auto"/>
            </w:tcBorders>
            <w:shd w:val="clear" w:color="auto" w:fill="auto"/>
            <w:vAlign w:val="bottom"/>
          </w:tcPr>
          <w:p w14:paraId="7E61BAFD" w14:textId="77777777" w:rsidR="00A52778" w:rsidRPr="00460F9E" w:rsidRDefault="00A52778" w:rsidP="00FC3F8E">
            <w:pPr>
              <w:spacing w:line="0" w:lineRule="atLeast"/>
              <w:rPr>
                <w:rFonts w:eastAsia="Times New Roman" w:cs="Times New Roman"/>
                <w:b/>
                <w:sz w:val="19"/>
              </w:rPr>
            </w:pPr>
          </w:p>
        </w:tc>
      </w:tr>
      <w:tr w:rsidR="00A52778" w:rsidRPr="00460F9E" w14:paraId="54E40C7E" w14:textId="77777777" w:rsidTr="00FC3F8E">
        <w:trPr>
          <w:trHeight w:val="215"/>
        </w:trPr>
        <w:tc>
          <w:tcPr>
            <w:tcW w:w="400" w:type="dxa"/>
            <w:tcBorders>
              <w:left w:val="single" w:sz="8" w:space="0" w:color="auto"/>
            </w:tcBorders>
            <w:shd w:val="clear" w:color="auto" w:fill="auto"/>
            <w:vAlign w:val="bottom"/>
          </w:tcPr>
          <w:p w14:paraId="2F653839" w14:textId="77777777" w:rsidR="00A52778" w:rsidRPr="00460F9E" w:rsidRDefault="00A52778" w:rsidP="00FC3F8E">
            <w:pPr>
              <w:spacing w:line="0" w:lineRule="atLeast"/>
              <w:rPr>
                <w:rFonts w:eastAsia="Times New Roman" w:cs="Times New Roman"/>
                <w:b/>
                <w:sz w:val="18"/>
              </w:rPr>
            </w:pPr>
          </w:p>
        </w:tc>
        <w:tc>
          <w:tcPr>
            <w:tcW w:w="280" w:type="dxa"/>
            <w:tcBorders>
              <w:right w:val="single" w:sz="8" w:space="0" w:color="auto"/>
            </w:tcBorders>
            <w:shd w:val="clear" w:color="auto" w:fill="auto"/>
            <w:vAlign w:val="bottom"/>
          </w:tcPr>
          <w:p w14:paraId="592A9F66" w14:textId="77777777" w:rsidR="00A52778" w:rsidRPr="00460F9E" w:rsidRDefault="00A52778" w:rsidP="00FC3F8E">
            <w:pPr>
              <w:spacing w:line="0" w:lineRule="atLeast"/>
              <w:rPr>
                <w:rFonts w:eastAsia="Times New Roman" w:cs="Times New Roman"/>
                <w:b/>
                <w:sz w:val="18"/>
              </w:rPr>
            </w:pPr>
          </w:p>
        </w:tc>
        <w:tc>
          <w:tcPr>
            <w:tcW w:w="1274" w:type="dxa"/>
            <w:gridSpan w:val="2"/>
            <w:vMerge w:val="restart"/>
            <w:tcBorders>
              <w:right w:val="single" w:sz="8" w:space="0" w:color="auto"/>
            </w:tcBorders>
            <w:shd w:val="clear" w:color="auto" w:fill="auto"/>
            <w:vAlign w:val="center"/>
          </w:tcPr>
          <w:p w14:paraId="5331EAD7" w14:textId="77777777" w:rsidR="00A52778" w:rsidRPr="00460F9E" w:rsidRDefault="00A52778" w:rsidP="00FC3F8E">
            <w:pPr>
              <w:spacing w:line="0" w:lineRule="atLeast"/>
              <w:jc w:val="center"/>
              <w:rPr>
                <w:rFonts w:eastAsia="Times New Roman" w:cs="Times New Roman"/>
                <w:b/>
                <w:sz w:val="18"/>
              </w:rPr>
            </w:pPr>
            <w:r w:rsidRPr="00460F9E">
              <w:rPr>
                <w:rFonts w:eastAsia="Times New Roman" w:cs="Times New Roman"/>
              </w:rPr>
              <w:t>Yakıt seçimi</w:t>
            </w:r>
          </w:p>
        </w:tc>
        <w:tc>
          <w:tcPr>
            <w:tcW w:w="2426" w:type="dxa"/>
            <w:gridSpan w:val="5"/>
            <w:vMerge w:val="restart"/>
            <w:tcBorders>
              <w:left w:val="single" w:sz="8" w:space="0" w:color="auto"/>
              <w:right w:val="single" w:sz="8" w:space="0" w:color="auto"/>
            </w:tcBorders>
            <w:shd w:val="clear" w:color="auto" w:fill="auto"/>
            <w:vAlign w:val="center"/>
          </w:tcPr>
          <w:p w14:paraId="3D0B0B54" w14:textId="77777777" w:rsidR="00A52778" w:rsidRPr="00460F9E" w:rsidRDefault="00A52778" w:rsidP="00FC3F8E">
            <w:pPr>
              <w:spacing w:line="214" w:lineRule="exact"/>
              <w:ind w:right="20"/>
              <w:rPr>
                <w:rFonts w:eastAsia="Times New Roman" w:cs="Times New Roman"/>
                <w:b/>
              </w:rPr>
            </w:pPr>
            <w:r w:rsidRPr="00460F9E">
              <w:rPr>
                <w:rFonts w:eastAsia="Times New Roman" w:cs="Times New Roman"/>
              </w:rPr>
              <w:t xml:space="preserve">  Bkz. 4.4.1' e bakınız. </w:t>
            </w:r>
          </w:p>
          <w:p w14:paraId="6BBE6B75" w14:textId="77777777" w:rsidR="00A52778" w:rsidRPr="00460F9E" w:rsidRDefault="00A52778" w:rsidP="00FC3F8E">
            <w:pPr>
              <w:spacing w:line="214" w:lineRule="exact"/>
              <w:ind w:right="20"/>
              <w:rPr>
                <w:rFonts w:eastAsia="Times New Roman" w:cs="Times New Roman"/>
                <w:b/>
              </w:rPr>
            </w:pPr>
            <w:r w:rsidRPr="00460F9E">
              <w:rPr>
                <w:rFonts w:eastAsia="Times New Roman" w:cs="Times New Roman"/>
              </w:rPr>
              <w:t xml:space="preserve">  Bu, genel hidrokarbon </w:t>
            </w:r>
          </w:p>
          <w:p w14:paraId="032D4E76" w14:textId="77777777" w:rsidR="00A52778" w:rsidRPr="00460F9E" w:rsidRDefault="00A52778" w:rsidP="00FC3F8E">
            <w:pPr>
              <w:spacing w:line="214" w:lineRule="exact"/>
              <w:ind w:right="20"/>
              <w:rPr>
                <w:rFonts w:eastAsia="Times New Roman" w:cs="Times New Roman"/>
                <w:b/>
              </w:rPr>
            </w:pPr>
            <w:r w:rsidRPr="00460F9E">
              <w:rPr>
                <w:rFonts w:eastAsia="Times New Roman" w:cs="Times New Roman"/>
              </w:rPr>
              <w:t xml:space="preserve">  dengesini dikkate alarak </w:t>
            </w:r>
          </w:p>
          <w:p w14:paraId="7C27A828" w14:textId="77777777" w:rsidR="00A52778" w:rsidRPr="00460F9E" w:rsidRDefault="00A52778" w:rsidP="00FC3F8E">
            <w:pPr>
              <w:spacing w:line="214" w:lineRule="exact"/>
              <w:ind w:right="20"/>
              <w:rPr>
                <w:rFonts w:eastAsia="Times New Roman" w:cs="Times New Roman"/>
                <w:b/>
              </w:rPr>
            </w:pPr>
            <w:r w:rsidRPr="00460F9E">
              <w:rPr>
                <w:rFonts w:eastAsia="Times New Roman" w:cs="Times New Roman"/>
              </w:rPr>
              <w:t xml:space="preserve">  sıvı yakıtlardan gaz </w:t>
            </w:r>
          </w:p>
          <w:p w14:paraId="186AF594" w14:textId="77777777" w:rsidR="00A52778" w:rsidRPr="00460F9E" w:rsidRDefault="00A52778" w:rsidP="00FC3F8E">
            <w:pPr>
              <w:spacing w:line="214" w:lineRule="exact"/>
              <w:ind w:right="20"/>
              <w:rPr>
                <w:rFonts w:eastAsia="Times New Roman" w:cs="Times New Roman"/>
                <w:b/>
              </w:rPr>
            </w:pPr>
            <w:r w:rsidRPr="00460F9E">
              <w:rPr>
                <w:rFonts w:eastAsia="Times New Roman" w:cs="Times New Roman"/>
              </w:rPr>
              <w:t xml:space="preserve">  yakıtlara geçişi içerir.</w:t>
            </w:r>
          </w:p>
        </w:tc>
        <w:tc>
          <w:tcPr>
            <w:tcW w:w="1340" w:type="dxa"/>
            <w:tcBorders>
              <w:left w:val="single" w:sz="8" w:space="0" w:color="auto"/>
              <w:right w:val="single" w:sz="8" w:space="0" w:color="auto"/>
            </w:tcBorders>
            <w:shd w:val="clear" w:color="auto" w:fill="auto"/>
            <w:vAlign w:val="bottom"/>
          </w:tcPr>
          <w:p w14:paraId="5A5C00A9" w14:textId="77777777" w:rsidR="00A52778" w:rsidRPr="00460F9E" w:rsidRDefault="00A52778" w:rsidP="00FC3F8E">
            <w:pPr>
              <w:spacing w:line="0" w:lineRule="atLeast"/>
              <w:rPr>
                <w:rFonts w:eastAsia="Times New Roman" w:cs="Times New Roman"/>
                <w:b/>
                <w:sz w:val="18"/>
              </w:rPr>
            </w:pPr>
          </w:p>
        </w:tc>
        <w:tc>
          <w:tcPr>
            <w:tcW w:w="3040" w:type="dxa"/>
            <w:gridSpan w:val="4"/>
            <w:vMerge w:val="restart"/>
            <w:tcBorders>
              <w:right w:val="single" w:sz="8" w:space="0" w:color="auto"/>
            </w:tcBorders>
            <w:shd w:val="clear" w:color="auto" w:fill="auto"/>
            <w:vAlign w:val="center"/>
          </w:tcPr>
          <w:p w14:paraId="169241B1" w14:textId="77777777" w:rsidR="00A52778" w:rsidRPr="00460F9E" w:rsidRDefault="00A52778" w:rsidP="00FC3F8E">
            <w:pPr>
              <w:spacing w:line="228" w:lineRule="exact"/>
              <w:rPr>
                <w:rFonts w:eastAsia="Times New Roman" w:cs="Times New Roman"/>
                <w:b/>
              </w:rPr>
            </w:pPr>
            <w:r w:rsidRPr="00460F9E">
              <w:rPr>
                <w:rFonts w:eastAsia="Times New Roman" w:cs="Times New Roman"/>
              </w:rPr>
              <w:t xml:space="preserve">  Sıvı yakıtlardan gaz yakıtlara geçiş, </w:t>
            </w:r>
          </w:p>
          <w:p w14:paraId="03EEE52B" w14:textId="77777777" w:rsidR="00A52778" w:rsidRPr="00460F9E" w:rsidRDefault="00A52778" w:rsidP="00FC3F8E">
            <w:pPr>
              <w:spacing w:line="228" w:lineRule="exact"/>
              <w:rPr>
                <w:rFonts w:eastAsia="Times New Roman" w:cs="Times New Roman"/>
                <w:b/>
              </w:rPr>
            </w:pPr>
            <w:r w:rsidRPr="00460F9E">
              <w:rPr>
                <w:rFonts w:eastAsia="Times New Roman" w:cs="Times New Roman"/>
              </w:rPr>
              <w:t xml:space="preserve">  mevcut proses fırınları/ısıtıcıları söz </w:t>
            </w:r>
          </w:p>
          <w:p w14:paraId="7EDA4921" w14:textId="77777777" w:rsidR="00A52778" w:rsidRPr="00460F9E" w:rsidRDefault="00A52778" w:rsidP="00FC3F8E">
            <w:pPr>
              <w:spacing w:line="228" w:lineRule="exact"/>
              <w:rPr>
                <w:rFonts w:eastAsia="Times New Roman" w:cs="Times New Roman"/>
                <w:b/>
              </w:rPr>
            </w:pPr>
            <w:r w:rsidRPr="00460F9E">
              <w:rPr>
                <w:rFonts w:eastAsia="Times New Roman" w:cs="Times New Roman"/>
              </w:rPr>
              <w:t xml:space="preserve">  konusu olduğunda brülörlerin </w:t>
            </w:r>
          </w:p>
          <w:p w14:paraId="17348521" w14:textId="77777777" w:rsidR="00A52778" w:rsidRPr="00460F9E" w:rsidRDefault="00A52778" w:rsidP="00FC3F8E">
            <w:pPr>
              <w:spacing w:line="228" w:lineRule="exact"/>
              <w:rPr>
                <w:rFonts w:eastAsia="Times New Roman" w:cs="Times New Roman"/>
                <w:b/>
                <w:sz w:val="18"/>
              </w:rPr>
            </w:pPr>
            <w:r w:rsidRPr="00460F9E">
              <w:rPr>
                <w:rFonts w:eastAsia="Times New Roman" w:cs="Times New Roman"/>
              </w:rPr>
              <w:t xml:space="preserve">  tasarımı nedeniyle kısıtlanabilir.</w:t>
            </w:r>
          </w:p>
        </w:tc>
      </w:tr>
      <w:tr w:rsidR="00A52778" w:rsidRPr="00460F9E" w14:paraId="2832B590" w14:textId="77777777" w:rsidTr="00FC3F8E">
        <w:trPr>
          <w:trHeight w:val="230"/>
        </w:trPr>
        <w:tc>
          <w:tcPr>
            <w:tcW w:w="400" w:type="dxa"/>
            <w:tcBorders>
              <w:left w:val="single" w:sz="8" w:space="0" w:color="auto"/>
            </w:tcBorders>
            <w:shd w:val="clear" w:color="auto" w:fill="auto"/>
            <w:vAlign w:val="bottom"/>
          </w:tcPr>
          <w:p w14:paraId="4BC01EE1" w14:textId="77777777" w:rsidR="00A52778" w:rsidRPr="00460F9E" w:rsidRDefault="00A52778" w:rsidP="00FC3F8E">
            <w:pPr>
              <w:spacing w:line="0" w:lineRule="atLeast"/>
              <w:rPr>
                <w:rFonts w:eastAsia="Times New Roman" w:cs="Times New Roman"/>
                <w:b/>
              </w:rPr>
            </w:pPr>
          </w:p>
        </w:tc>
        <w:tc>
          <w:tcPr>
            <w:tcW w:w="280" w:type="dxa"/>
            <w:tcBorders>
              <w:right w:val="single" w:sz="8" w:space="0" w:color="auto"/>
            </w:tcBorders>
            <w:shd w:val="clear" w:color="auto" w:fill="auto"/>
            <w:vAlign w:val="bottom"/>
          </w:tcPr>
          <w:p w14:paraId="246D872A" w14:textId="77777777" w:rsidR="00A52778" w:rsidRPr="00460F9E" w:rsidRDefault="00A52778" w:rsidP="00FC3F8E">
            <w:pPr>
              <w:spacing w:line="0" w:lineRule="atLeast"/>
              <w:rPr>
                <w:rFonts w:eastAsia="Times New Roman" w:cs="Times New Roman"/>
                <w:b/>
              </w:rPr>
            </w:pPr>
          </w:p>
        </w:tc>
        <w:tc>
          <w:tcPr>
            <w:tcW w:w="1274" w:type="dxa"/>
            <w:gridSpan w:val="2"/>
            <w:vMerge/>
            <w:tcBorders>
              <w:right w:val="single" w:sz="8" w:space="0" w:color="auto"/>
            </w:tcBorders>
            <w:shd w:val="clear" w:color="auto" w:fill="auto"/>
            <w:vAlign w:val="bottom"/>
          </w:tcPr>
          <w:p w14:paraId="18E71F8A" w14:textId="77777777" w:rsidR="00A52778" w:rsidRPr="00460F9E" w:rsidRDefault="00A52778" w:rsidP="00FC3F8E">
            <w:pPr>
              <w:spacing w:line="0" w:lineRule="atLeast"/>
              <w:rPr>
                <w:rFonts w:eastAsia="Times New Roman" w:cs="Times New Roman"/>
                <w:b/>
              </w:rPr>
            </w:pPr>
          </w:p>
        </w:tc>
        <w:tc>
          <w:tcPr>
            <w:tcW w:w="2426" w:type="dxa"/>
            <w:gridSpan w:val="5"/>
            <w:vMerge/>
            <w:tcBorders>
              <w:left w:val="single" w:sz="8" w:space="0" w:color="auto"/>
              <w:right w:val="single" w:sz="8" w:space="0" w:color="auto"/>
            </w:tcBorders>
            <w:shd w:val="clear" w:color="auto" w:fill="auto"/>
            <w:vAlign w:val="bottom"/>
          </w:tcPr>
          <w:p w14:paraId="75B1BD55" w14:textId="77777777" w:rsidR="00A52778" w:rsidRPr="00460F9E" w:rsidRDefault="00A52778" w:rsidP="00FC3F8E">
            <w:pPr>
              <w:spacing w:line="0" w:lineRule="atLeast"/>
              <w:ind w:right="20"/>
              <w:jc w:val="right"/>
              <w:rPr>
                <w:rFonts w:eastAsia="Times New Roman" w:cs="Times New Roman"/>
                <w:b/>
              </w:rPr>
            </w:pPr>
          </w:p>
        </w:tc>
        <w:tc>
          <w:tcPr>
            <w:tcW w:w="1340" w:type="dxa"/>
            <w:tcBorders>
              <w:left w:val="single" w:sz="8" w:space="0" w:color="auto"/>
              <w:right w:val="single" w:sz="8" w:space="0" w:color="auto"/>
            </w:tcBorders>
            <w:shd w:val="clear" w:color="auto" w:fill="auto"/>
            <w:vAlign w:val="bottom"/>
          </w:tcPr>
          <w:p w14:paraId="3EB95BAB" w14:textId="77777777" w:rsidR="00A52778" w:rsidRPr="00460F9E" w:rsidRDefault="00A52778" w:rsidP="00FC3F8E">
            <w:pPr>
              <w:spacing w:line="0" w:lineRule="atLeast"/>
              <w:rPr>
                <w:rFonts w:eastAsia="Times New Roman" w:cs="Times New Roman"/>
                <w:b/>
              </w:rPr>
            </w:pPr>
          </w:p>
        </w:tc>
        <w:tc>
          <w:tcPr>
            <w:tcW w:w="3040" w:type="dxa"/>
            <w:gridSpan w:val="4"/>
            <w:vMerge/>
            <w:tcBorders>
              <w:right w:val="single" w:sz="8" w:space="0" w:color="auto"/>
            </w:tcBorders>
            <w:shd w:val="clear" w:color="auto" w:fill="auto"/>
            <w:vAlign w:val="bottom"/>
          </w:tcPr>
          <w:p w14:paraId="67FE7746" w14:textId="77777777" w:rsidR="00A52778" w:rsidRPr="00460F9E" w:rsidRDefault="00A52778" w:rsidP="00FC3F8E">
            <w:pPr>
              <w:spacing w:line="228" w:lineRule="exact"/>
              <w:ind w:left="80"/>
              <w:rPr>
                <w:rFonts w:eastAsia="Times New Roman" w:cs="Times New Roman"/>
                <w:b/>
              </w:rPr>
            </w:pPr>
          </w:p>
        </w:tc>
      </w:tr>
      <w:tr w:rsidR="00A52778" w:rsidRPr="00460F9E" w14:paraId="671D72A0" w14:textId="77777777" w:rsidTr="00FC3F8E">
        <w:trPr>
          <w:trHeight w:val="234"/>
        </w:trPr>
        <w:tc>
          <w:tcPr>
            <w:tcW w:w="400" w:type="dxa"/>
            <w:vMerge w:val="restart"/>
            <w:tcBorders>
              <w:left w:val="single" w:sz="8" w:space="0" w:color="auto"/>
            </w:tcBorders>
            <w:shd w:val="clear" w:color="auto" w:fill="auto"/>
            <w:vAlign w:val="bottom"/>
          </w:tcPr>
          <w:p w14:paraId="3C6C15D4"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a.</w:t>
            </w:r>
          </w:p>
        </w:tc>
        <w:tc>
          <w:tcPr>
            <w:tcW w:w="280" w:type="dxa"/>
            <w:tcBorders>
              <w:right w:val="single" w:sz="8" w:space="0" w:color="auto"/>
            </w:tcBorders>
            <w:shd w:val="clear" w:color="auto" w:fill="auto"/>
            <w:vAlign w:val="bottom"/>
          </w:tcPr>
          <w:p w14:paraId="198E288E" w14:textId="77777777" w:rsidR="00A52778" w:rsidRPr="00460F9E" w:rsidRDefault="00A52778" w:rsidP="00FC3F8E">
            <w:pPr>
              <w:spacing w:line="0" w:lineRule="atLeast"/>
              <w:rPr>
                <w:rFonts w:eastAsia="Times New Roman" w:cs="Times New Roman"/>
                <w:b/>
              </w:rPr>
            </w:pPr>
          </w:p>
        </w:tc>
        <w:tc>
          <w:tcPr>
            <w:tcW w:w="1274" w:type="dxa"/>
            <w:gridSpan w:val="2"/>
            <w:vMerge/>
            <w:tcBorders>
              <w:right w:val="single" w:sz="8" w:space="0" w:color="auto"/>
            </w:tcBorders>
            <w:shd w:val="clear" w:color="auto" w:fill="auto"/>
            <w:vAlign w:val="bottom"/>
          </w:tcPr>
          <w:p w14:paraId="7DB68E73" w14:textId="77777777" w:rsidR="00A52778" w:rsidRPr="00460F9E" w:rsidRDefault="00A52778" w:rsidP="00FC3F8E">
            <w:pPr>
              <w:spacing w:line="0" w:lineRule="atLeast"/>
              <w:rPr>
                <w:rFonts w:eastAsia="Times New Roman" w:cs="Times New Roman"/>
                <w:b/>
              </w:rPr>
            </w:pPr>
          </w:p>
        </w:tc>
        <w:tc>
          <w:tcPr>
            <w:tcW w:w="2426" w:type="dxa"/>
            <w:gridSpan w:val="5"/>
            <w:vMerge/>
            <w:tcBorders>
              <w:left w:val="single" w:sz="8" w:space="0" w:color="auto"/>
              <w:right w:val="single" w:sz="8" w:space="0" w:color="auto"/>
            </w:tcBorders>
            <w:shd w:val="clear" w:color="auto" w:fill="auto"/>
            <w:vAlign w:val="bottom"/>
          </w:tcPr>
          <w:p w14:paraId="5F83BAD3" w14:textId="77777777" w:rsidR="00A52778" w:rsidRPr="00460F9E" w:rsidRDefault="00A52778" w:rsidP="00FC3F8E">
            <w:pPr>
              <w:spacing w:line="0" w:lineRule="atLeast"/>
              <w:ind w:right="40"/>
              <w:jc w:val="right"/>
              <w:rPr>
                <w:rFonts w:eastAsia="Times New Roman" w:cs="Times New Roman"/>
                <w:b/>
              </w:rPr>
            </w:pPr>
          </w:p>
        </w:tc>
        <w:tc>
          <w:tcPr>
            <w:tcW w:w="1340" w:type="dxa"/>
            <w:tcBorders>
              <w:left w:val="single" w:sz="8" w:space="0" w:color="auto"/>
              <w:right w:val="single" w:sz="8" w:space="0" w:color="auto"/>
            </w:tcBorders>
            <w:shd w:val="clear" w:color="auto" w:fill="auto"/>
            <w:vAlign w:val="bottom"/>
          </w:tcPr>
          <w:p w14:paraId="5BA323F7"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NO</w:t>
            </w:r>
            <w:r w:rsidRPr="00460F9E">
              <w:rPr>
                <w:rFonts w:eastAsia="Times New Roman" w:cs="Times New Roman"/>
                <w:sz w:val="12"/>
              </w:rPr>
              <w:t>X</w:t>
            </w:r>
            <w:r w:rsidRPr="00460F9E">
              <w:rPr>
                <w:rFonts w:eastAsia="Times New Roman" w:cs="Times New Roman"/>
              </w:rPr>
              <w:t>, SO</w:t>
            </w:r>
            <w:r w:rsidRPr="00460F9E">
              <w:rPr>
                <w:rFonts w:eastAsia="Times New Roman" w:cs="Times New Roman"/>
                <w:sz w:val="12"/>
              </w:rPr>
              <w:t>X</w:t>
            </w:r>
            <w:r w:rsidRPr="00460F9E">
              <w:rPr>
                <w:rFonts w:eastAsia="Times New Roman" w:cs="Times New Roman"/>
              </w:rPr>
              <w:t>,</w:t>
            </w:r>
          </w:p>
        </w:tc>
        <w:tc>
          <w:tcPr>
            <w:tcW w:w="3040" w:type="dxa"/>
            <w:gridSpan w:val="4"/>
            <w:vMerge/>
            <w:tcBorders>
              <w:right w:val="single" w:sz="8" w:space="0" w:color="auto"/>
            </w:tcBorders>
            <w:shd w:val="clear" w:color="auto" w:fill="auto"/>
            <w:vAlign w:val="bottom"/>
          </w:tcPr>
          <w:p w14:paraId="1CA7A97A" w14:textId="77777777" w:rsidR="00A52778" w:rsidRPr="00460F9E" w:rsidRDefault="00A52778" w:rsidP="00FC3F8E">
            <w:pPr>
              <w:spacing w:line="228" w:lineRule="exact"/>
              <w:ind w:left="80"/>
              <w:rPr>
                <w:rFonts w:eastAsia="Times New Roman" w:cs="Times New Roman"/>
                <w:b/>
              </w:rPr>
            </w:pPr>
          </w:p>
        </w:tc>
      </w:tr>
      <w:tr w:rsidR="00A52778" w:rsidRPr="00460F9E" w14:paraId="416BAD35" w14:textId="77777777" w:rsidTr="00FC3F8E">
        <w:trPr>
          <w:trHeight w:val="112"/>
        </w:trPr>
        <w:tc>
          <w:tcPr>
            <w:tcW w:w="400" w:type="dxa"/>
            <w:vMerge/>
            <w:tcBorders>
              <w:left w:val="single" w:sz="8" w:space="0" w:color="auto"/>
            </w:tcBorders>
            <w:shd w:val="clear" w:color="auto" w:fill="auto"/>
            <w:vAlign w:val="bottom"/>
          </w:tcPr>
          <w:p w14:paraId="6FC36500" w14:textId="77777777" w:rsidR="00A52778" w:rsidRPr="00460F9E" w:rsidRDefault="00A52778" w:rsidP="00FC3F8E">
            <w:pPr>
              <w:spacing w:line="0" w:lineRule="atLeast"/>
              <w:rPr>
                <w:rFonts w:eastAsia="Times New Roman" w:cs="Times New Roman"/>
                <w:b/>
                <w:sz w:val="9"/>
              </w:rPr>
            </w:pPr>
          </w:p>
        </w:tc>
        <w:tc>
          <w:tcPr>
            <w:tcW w:w="280" w:type="dxa"/>
            <w:tcBorders>
              <w:right w:val="single" w:sz="8" w:space="0" w:color="auto"/>
            </w:tcBorders>
            <w:shd w:val="clear" w:color="auto" w:fill="auto"/>
            <w:vAlign w:val="bottom"/>
          </w:tcPr>
          <w:p w14:paraId="36069B06" w14:textId="77777777" w:rsidR="00A52778" w:rsidRPr="00460F9E" w:rsidRDefault="00A52778" w:rsidP="00FC3F8E">
            <w:pPr>
              <w:spacing w:line="0" w:lineRule="atLeast"/>
              <w:rPr>
                <w:rFonts w:eastAsia="Times New Roman" w:cs="Times New Roman"/>
                <w:b/>
                <w:sz w:val="9"/>
              </w:rPr>
            </w:pPr>
          </w:p>
        </w:tc>
        <w:tc>
          <w:tcPr>
            <w:tcW w:w="1274" w:type="dxa"/>
            <w:gridSpan w:val="2"/>
            <w:vMerge/>
            <w:tcBorders>
              <w:right w:val="single" w:sz="8" w:space="0" w:color="auto"/>
            </w:tcBorders>
            <w:shd w:val="clear" w:color="auto" w:fill="auto"/>
            <w:vAlign w:val="bottom"/>
          </w:tcPr>
          <w:p w14:paraId="36760FEB" w14:textId="77777777" w:rsidR="00A52778" w:rsidRPr="00460F9E" w:rsidRDefault="00A52778" w:rsidP="00FC3F8E">
            <w:pPr>
              <w:spacing w:line="0" w:lineRule="atLeast"/>
              <w:rPr>
                <w:rFonts w:eastAsia="Times New Roman" w:cs="Times New Roman"/>
                <w:b/>
                <w:sz w:val="9"/>
              </w:rPr>
            </w:pPr>
          </w:p>
        </w:tc>
        <w:tc>
          <w:tcPr>
            <w:tcW w:w="2426" w:type="dxa"/>
            <w:gridSpan w:val="5"/>
            <w:vMerge/>
            <w:tcBorders>
              <w:left w:val="single" w:sz="8" w:space="0" w:color="auto"/>
              <w:right w:val="single" w:sz="8" w:space="0" w:color="auto"/>
            </w:tcBorders>
            <w:shd w:val="clear" w:color="auto" w:fill="auto"/>
            <w:vAlign w:val="bottom"/>
          </w:tcPr>
          <w:p w14:paraId="6A4D82EF" w14:textId="77777777" w:rsidR="00A52778" w:rsidRPr="00460F9E" w:rsidRDefault="00A52778" w:rsidP="00FC3F8E">
            <w:pPr>
              <w:spacing w:line="228" w:lineRule="exact"/>
              <w:ind w:right="40"/>
              <w:jc w:val="right"/>
              <w:rPr>
                <w:rFonts w:eastAsia="Times New Roman" w:cs="Times New Roman"/>
                <w:b/>
              </w:rPr>
            </w:pPr>
          </w:p>
        </w:tc>
        <w:tc>
          <w:tcPr>
            <w:tcW w:w="1340" w:type="dxa"/>
            <w:vMerge w:val="restart"/>
            <w:tcBorders>
              <w:left w:val="single" w:sz="8" w:space="0" w:color="auto"/>
              <w:right w:val="single" w:sz="8" w:space="0" w:color="auto"/>
            </w:tcBorders>
            <w:shd w:val="clear" w:color="auto" w:fill="auto"/>
            <w:vAlign w:val="bottom"/>
          </w:tcPr>
          <w:p w14:paraId="3AA4FF7D" w14:textId="77777777" w:rsidR="00A52778" w:rsidRPr="00460F9E" w:rsidRDefault="00A52778" w:rsidP="00FC3F8E">
            <w:pPr>
              <w:spacing w:line="228" w:lineRule="exact"/>
              <w:jc w:val="center"/>
              <w:rPr>
                <w:rFonts w:eastAsia="Times New Roman" w:cs="Times New Roman"/>
                <w:b/>
              </w:rPr>
            </w:pPr>
            <w:r w:rsidRPr="00460F9E">
              <w:rPr>
                <w:rFonts w:eastAsia="Times New Roman" w:cs="Times New Roman"/>
              </w:rPr>
              <w:t>toz</w:t>
            </w:r>
          </w:p>
        </w:tc>
        <w:tc>
          <w:tcPr>
            <w:tcW w:w="3040" w:type="dxa"/>
            <w:gridSpan w:val="4"/>
            <w:vMerge/>
            <w:tcBorders>
              <w:right w:val="single" w:sz="8" w:space="0" w:color="auto"/>
            </w:tcBorders>
            <w:shd w:val="clear" w:color="auto" w:fill="auto"/>
            <w:vAlign w:val="bottom"/>
          </w:tcPr>
          <w:p w14:paraId="66EA3121" w14:textId="77777777" w:rsidR="00A52778" w:rsidRPr="00460F9E" w:rsidRDefault="00A52778" w:rsidP="00FC3F8E">
            <w:pPr>
              <w:spacing w:line="228" w:lineRule="exact"/>
              <w:ind w:left="80"/>
              <w:rPr>
                <w:rFonts w:eastAsia="Times New Roman" w:cs="Times New Roman"/>
                <w:b/>
              </w:rPr>
            </w:pPr>
          </w:p>
        </w:tc>
      </w:tr>
      <w:tr w:rsidR="00A52778" w:rsidRPr="00460F9E" w14:paraId="0A94DDE2" w14:textId="77777777" w:rsidTr="00FC3F8E">
        <w:trPr>
          <w:trHeight w:val="115"/>
        </w:trPr>
        <w:tc>
          <w:tcPr>
            <w:tcW w:w="400" w:type="dxa"/>
            <w:tcBorders>
              <w:left w:val="single" w:sz="8" w:space="0" w:color="auto"/>
            </w:tcBorders>
            <w:shd w:val="clear" w:color="auto" w:fill="auto"/>
            <w:vAlign w:val="bottom"/>
          </w:tcPr>
          <w:p w14:paraId="5AE0AB82" w14:textId="77777777" w:rsidR="00A52778" w:rsidRPr="00460F9E" w:rsidRDefault="00A52778" w:rsidP="00FC3F8E">
            <w:pPr>
              <w:spacing w:line="0" w:lineRule="atLeast"/>
              <w:rPr>
                <w:rFonts w:eastAsia="Times New Roman" w:cs="Times New Roman"/>
                <w:b/>
                <w:sz w:val="10"/>
              </w:rPr>
            </w:pPr>
          </w:p>
        </w:tc>
        <w:tc>
          <w:tcPr>
            <w:tcW w:w="280" w:type="dxa"/>
            <w:tcBorders>
              <w:right w:val="single" w:sz="8" w:space="0" w:color="auto"/>
            </w:tcBorders>
            <w:shd w:val="clear" w:color="auto" w:fill="auto"/>
            <w:vAlign w:val="bottom"/>
          </w:tcPr>
          <w:p w14:paraId="78209196"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right w:val="single" w:sz="8" w:space="0" w:color="auto"/>
            </w:tcBorders>
            <w:shd w:val="clear" w:color="auto" w:fill="auto"/>
            <w:vAlign w:val="bottom"/>
          </w:tcPr>
          <w:p w14:paraId="147E0EE5" w14:textId="77777777" w:rsidR="00A52778" w:rsidRPr="00460F9E" w:rsidRDefault="00A52778" w:rsidP="00FC3F8E">
            <w:pPr>
              <w:spacing w:line="0" w:lineRule="atLeast"/>
              <w:rPr>
                <w:rFonts w:eastAsia="Times New Roman" w:cs="Times New Roman"/>
                <w:b/>
                <w:sz w:val="10"/>
              </w:rPr>
            </w:pPr>
          </w:p>
        </w:tc>
        <w:tc>
          <w:tcPr>
            <w:tcW w:w="2426" w:type="dxa"/>
            <w:gridSpan w:val="5"/>
            <w:vMerge/>
            <w:tcBorders>
              <w:left w:val="single" w:sz="8" w:space="0" w:color="auto"/>
              <w:right w:val="single" w:sz="8" w:space="0" w:color="auto"/>
            </w:tcBorders>
            <w:shd w:val="clear" w:color="auto" w:fill="auto"/>
            <w:vAlign w:val="bottom"/>
          </w:tcPr>
          <w:p w14:paraId="430E3425" w14:textId="77777777" w:rsidR="00A52778" w:rsidRPr="00460F9E" w:rsidRDefault="00A52778" w:rsidP="00FC3F8E">
            <w:pPr>
              <w:spacing w:line="0" w:lineRule="atLeast"/>
              <w:rPr>
                <w:rFonts w:eastAsia="Times New Roman" w:cs="Times New Roman"/>
                <w:b/>
                <w:sz w:val="10"/>
              </w:rPr>
            </w:pPr>
          </w:p>
        </w:tc>
        <w:tc>
          <w:tcPr>
            <w:tcW w:w="1340" w:type="dxa"/>
            <w:vMerge/>
            <w:tcBorders>
              <w:left w:val="single" w:sz="8" w:space="0" w:color="auto"/>
              <w:right w:val="single" w:sz="8" w:space="0" w:color="auto"/>
            </w:tcBorders>
            <w:shd w:val="clear" w:color="auto" w:fill="auto"/>
            <w:vAlign w:val="bottom"/>
          </w:tcPr>
          <w:p w14:paraId="12F337D3" w14:textId="77777777" w:rsidR="00A52778" w:rsidRPr="00460F9E" w:rsidRDefault="00A52778" w:rsidP="00FC3F8E">
            <w:pPr>
              <w:spacing w:line="0" w:lineRule="atLeast"/>
              <w:rPr>
                <w:rFonts w:eastAsia="Times New Roman" w:cs="Times New Roman"/>
                <w:b/>
                <w:sz w:val="10"/>
              </w:rPr>
            </w:pPr>
          </w:p>
        </w:tc>
        <w:tc>
          <w:tcPr>
            <w:tcW w:w="3040" w:type="dxa"/>
            <w:gridSpan w:val="4"/>
            <w:vMerge/>
            <w:tcBorders>
              <w:right w:val="single" w:sz="8" w:space="0" w:color="auto"/>
            </w:tcBorders>
            <w:shd w:val="clear" w:color="auto" w:fill="auto"/>
            <w:vAlign w:val="bottom"/>
          </w:tcPr>
          <w:p w14:paraId="17B15EF7" w14:textId="77777777" w:rsidR="00A52778" w:rsidRPr="00460F9E" w:rsidRDefault="00A52778" w:rsidP="00FC3F8E">
            <w:pPr>
              <w:spacing w:line="228" w:lineRule="exact"/>
              <w:ind w:left="80"/>
              <w:rPr>
                <w:rFonts w:eastAsia="Times New Roman" w:cs="Times New Roman"/>
                <w:b/>
                <w:sz w:val="10"/>
              </w:rPr>
            </w:pPr>
          </w:p>
        </w:tc>
      </w:tr>
      <w:tr w:rsidR="00A52778" w:rsidRPr="00460F9E" w14:paraId="49860A29" w14:textId="77777777" w:rsidTr="00FC3F8E">
        <w:trPr>
          <w:trHeight w:val="228"/>
        </w:trPr>
        <w:tc>
          <w:tcPr>
            <w:tcW w:w="400" w:type="dxa"/>
            <w:tcBorders>
              <w:left w:val="single" w:sz="8" w:space="0" w:color="auto"/>
            </w:tcBorders>
            <w:shd w:val="clear" w:color="auto" w:fill="auto"/>
            <w:vAlign w:val="bottom"/>
          </w:tcPr>
          <w:p w14:paraId="0C10EAC4" w14:textId="77777777" w:rsidR="00A52778" w:rsidRPr="00460F9E" w:rsidRDefault="00A52778" w:rsidP="00FC3F8E">
            <w:pPr>
              <w:spacing w:line="0" w:lineRule="atLeast"/>
              <w:rPr>
                <w:rFonts w:eastAsia="Times New Roman" w:cs="Times New Roman"/>
                <w:b/>
                <w:sz w:val="19"/>
              </w:rPr>
            </w:pPr>
          </w:p>
        </w:tc>
        <w:tc>
          <w:tcPr>
            <w:tcW w:w="280" w:type="dxa"/>
            <w:tcBorders>
              <w:right w:val="single" w:sz="8" w:space="0" w:color="auto"/>
            </w:tcBorders>
            <w:shd w:val="clear" w:color="auto" w:fill="auto"/>
            <w:vAlign w:val="bottom"/>
          </w:tcPr>
          <w:p w14:paraId="000B1582" w14:textId="77777777" w:rsidR="00A52778" w:rsidRPr="00460F9E" w:rsidRDefault="00A52778" w:rsidP="00FC3F8E">
            <w:pPr>
              <w:spacing w:line="0" w:lineRule="atLeast"/>
              <w:rPr>
                <w:rFonts w:eastAsia="Times New Roman" w:cs="Times New Roman"/>
                <w:b/>
                <w:sz w:val="19"/>
              </w:rPr>
            </w:pPr>
          </w:p>
        </w:tc>
        <w:tc>
          <w:tcPr>
            <w:tcW w:w="1274" w:type="dxa"/>
            <w:gridSpan w:val="2"/>
            <w:vMerge/>
            <w:tcBorders>
              <w:right w:val="single" w:sz="8" w:space="0" w:color="auto"/>
            </w:tcBorders>
            <w:shd w:val="clear" w:color="auto" w:fill="auto"/>
            <w:vAlign w:val="bottom"/>
          </w:tcPr>
          <w:p w14:paraId="4444C776" w14:textId="77777777" w:rsidR="00A52778" w:rsidRPr="00460F9E" w:rsidRDefault="00A52778" w:rsidP="00FC3F8E">
            <w:pPr>
              <w:spacing w:line="0" w:lineRule="atLeast"/>
              <w:rPr>
                <w:rFonts w:eastAsia="Times New Roman" w:cs="Times New Roman"/>
                <w:b/>
                <w:sz w:val="19"/>
              </w:rPr>
            </w:pPr>
          </w:p>
        </w:tc>
        <w:tc>
          <w:tcPr>
            <w:tcW w:w="2426" w:type="dxa"/>
            <w:gridSpan w:val="5"/>
            <w:vMerge/>
            <w:tcBorders>
              <w:left w:val="single" w:sz="8" w:space="0" w:color="auto"/>
              <w:right w:val="single" w:sz="8" w:space="0" w:color="auto"/>
            </w:tcBorders>
            <w:shd w:val="clear" w:color="auto" w:fill="auto"/>
            <w:vAlign w:val="bottom"/>
          </w:tcPr>
          <w:p w14:paraId="1DA4CC4B" w14:textId="77777777" w:rsidR="00A52778" w:rsidRPr="00460F9E" w:rsidRDefault="00A52778" w:rsidP="00FC3F8E">
            <w:pPr>
              <w:spacing w:line="228" w:lineRule="exact"/>
              <w:ind w:right="20"/>
              <w:jc w:val="right"/>
              <w:rPr>
                <w:rFonts w:eastAsia="Times New Roman" w:cs="Times New Roman"/>
                <w:b/>
              </w:rPr>
            </w:pPr>
          </w:p>
        </w:tc>
        <w:tc>
          <w:tcPr>
            <w:tcW w:w="1340" w:type="dxa"/>
            <w:tcBorders>
              <w:left w:val="single" w:sz="8" w:space="0" w:color="auto"/>
              <w:right w:val="single" w:sz="8" w:space="0" w:color="auto"/>
            </w:tcBorders>
            <w:shd w:val="clear" w:color="auto" w:fill="auto"/>
            <w:vAlign w:val="bottom"/>
          </w:tcPr>
          <w:p w14:paraId="563E12DD" w14:textId="77777777" w:rsidR="00A52778" w:rsidRPr="00460F9E" w:rsidRDefault="00A52778" w:rsidP="00FC3F8E">
            <w:pPr>
              <w:spacing w:line="0" w:lineRule="atLeast"/>
              <w:rPr>
                <w:rFonts w:eastAsia="Times New Roman" w:cs="Times New Roman"/>
                <w:b/>
                <w:sz w:val="19"/>
              </w:rPr>
            </w:pPr>
          </w:p>
        </w:tc>
        <w:tc>
          <w:tcPr>
            <w:tcW w:w="3040" w:type="dxa"/>
            <w:gridSpan w:val="4"/>
            <w:vMerge/>
            <w:tcBorders>
              <w:right w:val="single" w:sz="8" w:space="0" w:color="auto"/>
            </w:tcBorders>
            <w:shd w:val="clear" w:color="auto" w:fill="auto"/>
            <w:vAlign w:val="bottom"/>
          </w:tcPr>
          <w:p w14:paraId="26669C47" w14:textId="77777777" w:rsidR="00A52778" w:rsidRPr="00460F9E" w:rsidRDefault="00A52778" w:rsidP="00FC3F8E">
            <w:pPr>
              <w:spacing w:line="228" w:lineRule="exact"/>
              <w:ind w:left="80"/>
              <w:rPr>
                <w:rFonts w:eastAsia="Times New Roman" w:cs="Times New Roman"/>
                <w:b/>
              </w:rPr>
            </w:pPr>
          </w:p>
        </w:tc>
      </w:tr>
      <w:tr w:rsidR="00A52778" w:rsidRPr="00460F9E" w14:paraId="6618A1BB" w14:textId="77777777" w:rsidTr="00FC3F8E">
        <w:trPr>
          <w:trHeight w:val="233"/>
        </w:trPr>
        <w:tc>
          <w:tcPr>
            <w:tcW w:w="400" w:type="dxa"/>
            <w:tcBorders>
              <w:left w:val="single" w:sz="8" w:space="0" w:color="auto"/>
              <w:bottom w:val="single" w:sz="8" w:space="0" w:color="auto"/>
            </w:tcBorders>
            <w:shd w:val="clear" w:color="auto" w:fill="auto"/>
            <w:vAlign w:val="bottom"/>
          </w:tcPr>
          <w:p w14:paraId="3640B3D7" w14:textId="77777777" w:rsidR="00A52778" w:rsidRPr="00460F9E" w:rsidRDefault="00A52778" w:rsidP="00FC3F8E">
            <w:pPr>
              <w:spacing w:line="0" w:lineRule="atLeast"/>
              <w:rPr>
                <w:rFonts w:eastAsia="Times New Roman" w:cs="Times New Roman"/>
                <w:b/>
              </w:rPr>
            </w:pPr>
          </w:p>
        </w:tc>
        <w:tc>
          <w:tcPr>
            <w:tcW w:w="280" w:type="dxa"/>
            <w:tcBorders>
              <w:bottom w:val="single" w:sz="8" w:space="0" w:color="auto"/>
              <w:right w:val="single" w:sz="8" w:space="0" w:color="auto"/>
            </w:tcBorders>
            <w:shd w:val="clear" w:color="auto" w:fill="auto"/>
            <w:vAlign w:val="bottom"/>
          </w:tcPr>
          <w:p w14:paraId="6B401CFD" w14:textId="77777777" w:rsidR="00A52778" w:rsidRPr="00460F9E" w:rsidRDefault="00A52778" w:rsidP="00FC3F8E">
            <w:pPr>
              <w:spacing w:line="0" w:lineRule="atLeast"/>
              <w:rPr>
                <w:rFonts w:eastAsia="Times New Roman" w:cs="Times New Roman"/>
                <w:b/>
              </w:rPr>
            </w:pPr>
          </w:p>
        </w:tc>
        <w:tc>
          <w:tcPr>
            <w:tcW w:w="1274" w:type="dxa"/>
            <w:gridSpan w:val="2"/>
            <w:vMerge/>
            <w:tcBorders>
              <w:bottom w:val="single" w:sz="8" w:space="0" w:color="auto"/>
              <w:right w:val="single" w:sz="8" w:space="0" w:color="auto"/>
            </w:tcBorders>
            <w:shd w:val="clear" w:color="auto" w:fill="auto"/>
            <w:vAlign w:val="bottom"/>
          </w:tcPr>
          <w:p w14:paraId="15A5069B" w14:textId="77777777" w:rsidR="00A52778" w:rsidRPr="00460F9E" w:rsidRDefault="00A52778" w:rsidP="00FC3F8E">
            <w:pPr>
              <w:spacing w:line="0" w:lineRule="atLeast"/>
              <w:rPr>
                <w:rFonts w:eastAsia="Times New Roman" w:cs="Times New Roman"/>
                <w:b/>
              </w:rPr>
            </w:pPr>
          </w:p>
        </w:tc>
        <w:tc>
          <w:tcPr>
            <w:tcW w:w="2426" w:type="dxa"/>
            <w:gridSpan w:val="5"/>
            <w:vMerge/>
            <w:tcBorders>
              <w:left w:val="single" w:sz="8" w:space="0" w:color="auto"/>
              <w:bottom w:val="single" w:sz="8" w:space="0" w:color="auto"/>
              <w:right w:val="single" w:sz="8" w:space="0" w:color="auto"/>
            </w:tcBorders>
            <w:shd w:val="clear" w:color="auto" w:fill="auto"/>
            <w:vAlign w:val="bottom"/>
          </w:tcPr>
          <w:p w14:paraId="76FB22F9" w14:textId="77777777" w:rsidR="00A52778" w:rsidRPr="00460F9E" w:rsidRDefault="00A52778" w:rsidP="00FC3F8E">
            <w:pPr>
              <w:spacing w:line="0" w:lineRule="atLeast"/>
              <w:rPr>
                <w:rFonts w:eastAsia="Times New Roman" w:cs="Times New Roman"/>
                <w:b/>
              </w:rPr>
            </w:pPr>
          </w:p>
        </w:tc>
        <w:tc>
          <w:tcPr>
            <w:tcW w:w="1340" w:type="dxa"/>
            <w:tcBorders>
              <w:left w:val="single" w:sz="8" w:space="0" w:color="auto"/>
              <w:bottom w:val="single" w:sz="8" w:space="0" w:color="auto"/>
              <w:right w:val="single" w:sz="8" w:space="0" w:color="auto"/>
            </w:tcBorders>
            <w:shd w:val="clear" w:color="auto" w:fill="auto"/>
            <w:vAlign w:val="bottom"/>
          </w:tcPr>
          <w:p w14:paraId="1B79B347" w14:textId="77777777" w:rsidR="00A52778" w:rsidRPr="00460F9E" w:rsidRDefault="00A52778" w:rsidP="00FC3F8E">
            <w:pPr>
              <w:spacing w:line="0" w:lineRule="atLeast"/>
              <w:rPr>
                <w:rFonts w:eastAsia="Times New Roman" w:cs="Times New Roman"/>
                <w:b/>
              </w:rPr>
            </w:pPr>
          </w:p>
        </w:tc>
        <w:tc>
          <w:tcPr>
            <w:tcW w:w="3040" w:type="dxa"/>
            <w:gridSpan w:val="4"/>
            <w:vMerge/>
            <w:tcBorders>
              <w:bottom w:val="single" w:sz="8" w:space="0" w:color="auto"/>
              <w:right w:val="single" w:sz="8" w:space="0" w:color="auto"/>
            </w:tcBorders>
            <w:shd w:val="clear" w:color="auto" w:fill="auto"/>
            <w:vAlign w:val="bottom"/>
          </w:tcPr>
          <w:p w14:paraId="26DF7858" w14:textId="77777777" w:rsidR="00A52778" w:rsidRPr="00460F9E" w:rsidRDefault="00A52778" w:rsidP="00FC3F8E">
            <w:pPr>
              <w:spacing w:line="0" w:lineRule="atLeast"/>
              <w:rPr>
                <w:rFonts w:eastAsia="Times New Roman" w:cs="Times New Roman"/>
                <w:b/>
              </w:rPr>
            </w:pPr>
          </w:p>
        </w:tc>
      </w:tr>
      <w:tr w:rsidR="00A52778" w:rsidRPr="00460F9E" w14:paraId="44C10AC8" w14:textId="77777777" w:rsidTr="00FC3F8E">
        <w:trPr>
          <w:trHeight w:val="217"/>
        </w:trPr>
        <w:tc>
          <w:tcPr>
            <w:tcW w:w="400" w:type="dxa"/>
            <w:tcBorders>
              <w:left w:val="single" w:sz="8" w:space="0" w:color="auto"/>
            </w:tcBorders>
            <w:shd w:val="clear" w:color="auto" w:fill="auto"/>
            <w:vAlign w:val="bottom"/>
          </w:tcPr>
          <w:p w14:paraId="5A017400" w14:textId="77777777" w:rsidR="00A52778" w:rsidRPr="00460F9E" w:rsidRDefault="00A52778" w:rsidP="00FC3F8E">
            <w:pPr>
              <w:spacing w:line="0" w:lineRule="atLeast"/>
              <w:rPr>
                <w:rFonts w:eastAsia="Times New Roman" w:cs="Times New Roman"/>
                <w:b/>
                <w:sz w:val="18"/>
              </w:rPr>
            </w:pPr>
          </w:p>
        </w:tc>
        <w:tc>
          <w:tcPr>
            <w:tcW w:w="280" w:type="dxa"/>
            <w:tcBorders>
              <w:right w:val="single" w:sz="8" w:space="0" w:color="auto"/>
            </w:tcBorders>
            <w:shd w:val="clear" w:color="auto" w:fill="auto"/>
            <w:vAlign w:val="bottom"/>
          </w:tcPr>
          <w:p w14:paraId="04CC0184" w14:textId="77777777" w:rsidR="00A52778" w:rsidRPr="00460F9E" w:rsidRDefault="00A52778" w:rsidP="00FC3F8E">
            <w:pPr>
              <w:spacing w:line="0" w:lineRule="atLeast"/>
              <w:rPr>
                <w:rFonts w:eastAsia="Times New Roman" w:cs="Times New Roman"/>
                <w:b/>
                <w:sz w:val="18"/>
              </w:rPr>
            </w:pPr>
          </w:p>
        </w:tc>
        <w:tc>
          <w:tcPr>
            <w:tcW w:w="1274" w:type="dxa"/>
            <w:gridSpan w:val="2"/>
            <w:vMerge w:val="restart"/>
            <w:tcBorders>
              <w:right w:val="single" w:sz="8" w:space="0" w:color="auto"/>
            </w:tcBorders>
            <w:shd w:val="clear" w:color="auto" w:fill="auto"/>
            <w:vAlign w:val="center"/>
          </w:tcPr>
          <w:p w14:paraId="2162CC71"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Düşük-NO</w:t>
            </w:r>
            <w:r w:rsidRPr="00460F9E">
              <w:rPr>
                <w:rFonts w:eastAsia="Times New Roman" w:cs="Times New Roman"/>
                <w:sz w:val="12"/>
              </w:rPr>
              <w:t xml:space="preserve">X </w:t>
            </w:r>
            <w:r w:rsidRPr="00460F9E">
              <w:rPr>
                <w:rFonts w:eastAsia="Times New Roman" w:cs="Times New Roman"/>
              </w:rPr>
              <w:t xml:space="preserve">‘ e </w:t>
            </w:r>
          </w:p>
          <w:p w14:paraId="6649DA53" w14:textId="77777777" w:rsidR="00A52778" w:rsidRPr="00460F9E" w:rsidRDefault="00A52778" w:rsidP="00FC3F8E">
            <w:pPr>
              <w:spacing w:line="0" w:lineRule="atLeast"/>
              <w:rPr>
                <w:rFonts w:eastAsia="Times New Roman" w:cs="Times New Roman"/>
                <w:b/>
                <w:sz w:val="12"/>
              </w:rPr>
            </w:pPr>
            <w:r w:rsidRPr="00460F9E">
              <w:rPr>
                <w:rFonts w:eastAsia="Times New Roman" w:cs="Times New Roman"/>
              </w:rPr>
              <w:t xml:space="preserve">  haiz brülör</w:t>
            </w:r>
          </w:p>
        </w:tc>
        <w:tc>
          <w:tcPr>
            <w:tcW w:w="706" w:type="dxa"/>
            <w:shd w:val="clear" w:color="auto" w:fill="auto"/>
            <w:vAlign w:val="bottom"/>
          </w:tcPr>
          <w:p w14:paraId="3A4982BC" w14:textId="77777777" w:rsidR="00A52778" w:rsidRPr="00460F9E" w:rsidRDefault="00A52778" w:rsidP="00FC3F8E">
            <w:pPr>
              <w:spacing w:line="0" w:lineRule="atLeast"/>
              <w:rPr>
                <w:rFonts w:eastAsia="Times New Roman" w:cs="Times New Roman"/>
                <w:b/>
                <w:sz w:val="18"/>
              </w:rPr>
            </w:pPr>
          </w:p>
        </w:tc>
        <w:tc>
          <w:tcPr>
            <w:tcW w:w="240" w:type="dxa"/>
            <w:shd w:val="clear" w:color="auto" w:fill="auto"/>
            <w:vAlign w:val="bottom"/>
          </w:tcPr>
          <w:p w14:paraId="3129454F" w14:textId="77777777" w:rsidR="00A52778" w:rsidRPr="00460F9E" w:rsidRDefault="00A52778" w:rsidP="00FC3F8E">
            <w:pPr>
              <w:spacing w:line="0" w:lineRule="atLeast"/>
              <w:rPr>
                <w:rFonts w:eastAsia="Times New Roman" w:cs="Times New Roman"/>
                <w:b/>
                <w:sz w:val="18"/>
              </w:rPr>
            </w:pPr>
          </w:p>
        </w:tc>
        <w:tc>
          <w:tcPr>
            <w:tcW w:w="280" w:type="dxa"/>
            <w:shd w:val="clear" w:color="auto" w:fill="auto"/>
            <w:vAlign w:val="bottom"/>
          </w:tcPr>
          <w:p w14:paraId="1754A777" w14:textId="77777777" w:rsidR="00A52778" w:rsidRPr="00460F9E" w:rsidRDefault="00A52778" w:rsidP="00FC3F8E">
            <w:pPr>
              <w:spacing w:line="0" w:lineRule="atLeast"/>
              <w:rPr>
                <w:rFonts w:eastAsia="Times New Roman" w:cs="Times New Roman"/>
                <w:b/>
                <w:sz w:val="18"/>
              </w:rPr>
            </w:pPr>
          </w:p>
        </w:tc>
        <w:tc>
          <w:tcPr>
            <w:tcW w:w="600" w:type="dxa"/>
            <w:shd w:val="clear" w:color="auto" w:fill="auto"/>
            <w:vAlign w:val="bottom"/>
          </w:tcPr>
          <w:p w14:paraId="25A949D0" w14:textId="77777777" w:rsidR="00A52778" w:rsidRPr="00460F9E" w:rsidRDefault="00A52778" w:rsidP="00FC3F8E">
            <w:pPr>
              <w:spacing w:line="0" w:lineRule="atLeast"/>
              <w:rPr>
                <w:rFonts w:eastAsia="Times New Roman" w:cs="Times New Roman"/>
                <w:b/>
                <w:sz w:val="18"/>
              </w:rPr>
            </w:pPr>
          </w:p>
        </w:tc>
        <w:tc>
          <w:tcPr>
            <w:tcW w:w="600" w:type="dxa"/>
            <w:tcBorders>
              <w:right w:val="single" w:sz="8" w:space="0" w:color="auto"/>
            </w:tcBorders>
            <w:shd w:val="clear" w:color="auto" w:fill="auto"/>
            <w:vAlign w:val="bottom"/>
          </w:tcPr>
          <w:p w14:paraId="6A817246" w14:textId="77777777" w:rsidR="00A52778" w:rsidRPr="00460F9E" w:rsidRDefault="00A52778" w:rsidP="00FC3F8E">
            <w:pPr>
              <w:spacing w:line="0" w:lineRule="atLeast"/>
              <w:rPr>
                <w:rFonts w:eastAsia="Times New Roman" w:cs="Times New Roman"/>
                <w:b/>
                <w:sz w:val="18"/>
              </w:rPr>
            </w:pPr>
          </w:p>
        </w:tc>
        <w:tc>
          <w:tcPr>
            <w:tcW w:w="1340" w:type="dxa"/>
            <w:tcBorders>
              <w:right w:val="single" w:sz="8" w:space="0" w:color="auto"/>
            </w:tcBorders>
            <w:shd w:val="clear" w:color="auto" w:fill="auto"/>
            <w:vAlign w:val="bottom"/>
          </w:tcPr>
          <w:p w14:paraId="0309CCBD" w14:textId="77777777" w:rsidR="00A52778" w:rsidRPr="00460F9E" w:rsidRDefault="00A52778" w:rsidP="00FC3F8E">
            <w:pPr>
              <w:spacing w:line="0" w:lineRule="atLeast"/>
              <w:rPr>
                <w:rFonts w:eastAsia="Times New Roman" w:cs="Times New Roman"/>
                <w:b/>
                <w:sz w:val="18"/>
              </w:rPr>
            </w:pPr>
          </w:p>
        </w:tc>
        <w:tc>
          <w:tcPr>
            <w:tcW w:w="3040" w:type="dxa"/>
            <w:gridSpan w:val="4"/>
            <w:vMerge w:val="restart"/>
            <w:tcBorders>
              <w:right w:val="single" w:sz="8" w:space="0" w:color="auto"/>
            </w:tcBorders>
            <w:shd w:val="clear" w:color="auto" w:fill="auto"/>
            <w:vAlign w:val="bottom"/>
          </w:tcPr>
          <w:p w14:paraId="2A0011F4" w14:textId="77777777" w:rsidR="00A52778" w:rsidRPr="00460F9E" w:rsidRDefault="00A52778" w:rsidP="00FC3F8E">
            <w:pPr>
              <w:spacing w:line="228" w:lineRule="exact"/>
              <w:rPr>
                <w:rFonts w:eastAsia="Times New Roman" w:cs="Times New Roman"/>
                <w:b/>
              </w:rPr>
            </w:pPr>
            <w:r w:rsidRPr="00460F9E">
              <w:rPr>
                <w:rFonts w:eastAsia="Times New Roman" w:cs="Times New Roman"/>
              </w:rPr>
              <w:t xml:space="preserve">  Mevcut proses fırınları/ısıtıcıları </w:t>
            </w:r>
          </w:p>
          <w:p w14:paraId="5FBD8652" w14:textId="77777777" w:rsidR="00A52778" w:rsidRPr="00460F9E" w:rsidRDefault="00A52778" w:rsidP="00FC3F8E">
            <w:pPr>
              <w:spacing w:line="228" w:lineRule="exact"/>
              <w:rPr>
                <w:rFonts w:eastAsia="Times New Roman" w:cs="Times New Roman"/>
                <w:b/>
              </w:rPr>
            </w:pPr>
            <w:r w:rsidRPr="00460F9E">
              <w:rPr>
                <w:rFonts w:eastAsia="Times New Roman" w:cs="Times New Roman"/>
              </w:rPr>
              <w:t xml:space="preserve">  için uygulanabilirliği, tasarımları </w:t>
            </w:r>
          </w:p>
          <w:p w14:paraId="04D6EFFA" w14:textId="77777777" w:rsidR="00A52778" w:rsidRPr="00460F9E" w:rsidRDefault="00A52778" w:rsidP="00FC3F8E">
            <w:pPr>
              <w:spacing w:line="228" w:lineRule="exact"/>
              <w:rPr>
                <w:rFonts w:eastAsia="Times New Roman" w:cs="Times New Roman"/>
                <w:b/>
              </w:rPr>
            </w:pPr>
            <w:r w:rsidRPr="00460F9E">
              <w:rPr>
                <w:rFonts w:eastAsia="Times New Roman" w:cs="Times New Roman"/>
              </w:rPr>
              <w:t xml:space="preserve">  nedeniyle kısıtlı olabilir.</w:t>
            </w:r>
          </w:p>
        </w:tc>
      </w:tr>
      <w:tr w:rsidR="00A52778" w:rsidRPr="00460F9E" w14:paraId="6807ABFF" w14:textId="77777777" w:rsidTr="00FC3F8E">
        <w:trPr>
          <w:trHeight w:val="118"/>
        </w:trPr>
        <w:tc>
          <w:tcPr>
            <w:tcW w:w="400" w:type="dxa"/>
            <w:vMerge w:val="restart"/>
            <w:tcBorders>
              <w:left w:val="single" w:sz="8" w:space="0" w:color="auto"/>
            </w:tcBorders>
            <w:shd w:val="clear" w:color="auto" w:fill="auto"/>
            <w:vAlign w:val="bottom"/>
          </w:tcPr>
          <w:p w14:paraId="3CC78701"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b.</w:t>
            </w:r>
          </w:p>
        </w:tc>
        <w:tc>
          <w:tcPr>
            <w:tcW w:w="280" w:type="dxa"/>
            <w:tcBorders>
              <w:right w:val="single" w:sz="8" w:space="0" w:color="auto"/>
            </w:tcBorders>
            <w:shd w:val="clear" w:color="auto" w:fill="auto"/>
            <w:vAlign w:val="bottom"/>
          </w:tcPr>
          <w:p w14:paraId="4D92FDDD"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right w:val="single" w:sz="8" w:space="0" w:color="auto"/>
            </w:tcBorders>
            <w:shd w:val="clear" w:color="auto" w:fill="auto"/>
            <w:vAlign w:val="bottom"/>
          </w:tcPr>
          <w:p w14:paraId="1B21F296" w14:textId="77777777" w:rsidR="00A52778" w:rsidRPr="00460F9E" w:rsidRDefault="00A52778" w:rsidP="00FC3F8E">
            <w:pPr>
              <w:spacing w:line="0" w:lineRule="atLeast"/>
              <w:rPr>
                <w:rFonts w:eastAsia="Times New Roman" w:cs="Times New Roman"/>
                <w:b/>
                <w:sz w:val="10"/>
              </w:rPr>
            </w:pPr>
          </w:p>
        </w:tc>
        <w:tc>
          <w:tcPr>
            <w:tcW w:w="1826" w:type="dxa"/>
            <w:gridSpan w:val="4"/>
            <w:vMerge w:val="restart"/>
            <w:shd w:val="clear" w:color="auto" w:fill="auto"/>
            <w:vAlign w:val="bottom"/>
          </w:tcPr>
          <w:p w14:paraId="00641C2B"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 xml:space="preserve">Bkz. Bölüm </w:t>
            </w:r>
            <w:hyperlink w:anchor="page331" w:history="1">
              <w:r w:rsidRPr="00460F9E">
                <w:rPr>
                  <w:rFonts w:eastAsia="Times New Roman" w:cs="Times New Roman"/>
                </w:rPr>
                <w:t>4.4.1</w:t>
              </w:r>
            </w:hyperlink>
          </w:p>
        </w:tc>
        <w:tc>
          <w:tcPr>
            <w:tcW w:w="600" w:type="dxa"/>
            <w:tcBorders>
              <w:right w:val="single" w:sz="8" w:space="0" w:color="auto"/>
            </w:tcBorders>
            <w:shd w:val="clear" w:color="auto" w:fill="auto"/>
            <w:vAlign w:val="bottom"/>
          </w:tcPr>
          <w:p w14:paraId="1B994F87" w14:textId="77777777" w:rsidR="00A52778" w:rsidRPr="00460F9E" w:rsidRDefault="00A52778" w:rsidP="00FC3F8E">
            <w:pPr>
              <w:spacing w:line="0" w:lineRule="atLeast"/>
              <w:rPr>
                <w:rFonts w:eastAsia="Times New Roman" w:cs="Times New Roman"/>
                <w:b/>
                <w:sz w:val="10"/>
              </w:rPr>
            </w:pPr>
          </w:p>
        </w:tc>
        <w:tc>
          <w:tcPr>
            <w:tcW w:w="1340" w:type="dxa"/>
            <w:vMerge w:val="restart"/>
            <w:tcBorders>
              <w:right w:val="single" w:sz="8" w:space="0" w:color="auto"/>
            </w:tcBorders>
            <w:shd w:val="clear" w:color="auto" w:fill="auto"/>
            <w:vAlign w:val="bottom"/>
          </w:tcPr>
          <w:p w14:paraId="638CA078" w14:textId="77777777" w:rsidR="00A52778" w:rsidRPr="00460F9E" w:rsidRDefault="00A52778" w:rsidP="00FC3F8E">
            <w:pPr>
              <w:spacing w:line="0" w:lineRule="atLeast"/>
              <w:jc w:val="center"/>
              <w:rPr>
                <w:rFonts w:eastAsia="Times New Roman" w:cs="Times New Roman"/>
                <w:b/>
                <w:sz w:val="12"/>
              </w:rPr>
            </w:pPr>
            <w:r w:rsidRPr="00460F9E">
              <w:rPr>
                <w:rFonts w:eastAsia="Times New Roman" w:cs="Times New Roman"/>
              </w:rPr>
              <w:t>NO</w:t>
            </w:r>
            <w:r w:rsidRPr="00460F9E">
              <w:rPr>
                <w:rFonts w:eastAsia="Times New Roman" w:cs="Times New Roman"/>
                <w:sz w:val="12"/>
              </w:rPr>
              <w:t>X</w:t>
            </w:r>
          </w:p>
        </w:tc>
        <w:tc>
          <w:tcPr>
            <w:tcW w:w="3040" w:type="dxa"/>
            <w:gridSpan w:val="4"/>
            <w:vMerge/>
            <w:tcBorders>
              <w:right w:val="single" w:sz="8" w:space="0" w:color="auto"/>
            </w:tcBorders>
            <w:shd w:val="clear" w:color="auto" w:fill="auto"/>
            <w:vAlign w:val="bottom"/>
          </w:tcPr>
          <w:p w14:paraId="24F50D30" w14:textId="77777777" w:rsidR="00A52778" w:rsidRPr="00460F9E" w:rsidRDefault="00A52778" w:rsidP="00FC3F8E">
            <w:pPr>
              <w:spacing w:line="228" w:lineRule="exact"/>
              <w:ind w:left="80"/>
              <w:rPr>
                <w:rFonts w:eastAsia="Times New Roman" w:cs="Times New Roman"/>
                <w:b/>
              </w:rPr>
            </w:pPr>
          </w:p>
        </w:tc>
      </w:tr>
      <w:tr w:rsidR="00A52778" w:rsidRPr="00460F9E" w14:paraId="5D2974E7" w14:textId="77777777" w:rsidTr="00FC3F8E">
        <w:trPr>
          <w:trHeight w:val="115"/>
        </w:trPr>
        <w:tc>
          <w:tcPr>
            <w:tcW w:w="400" w:type="dxa"/>
            <w:vMerge/>
            <w:tcBorders>
              <w:left w:val="single" w:sz="8" w:space="0" w:color="auto"/>
            </w:tcBorders>
            <w:shd w:val="clear" w:color="auto" w:fill="auto"/>
            <w:vAlign w:val="bottom"/>
          </w:tcPr>
          <w:p w14:paraId="095E535F" w14:textId="77777777" w:rsidR="00A52778" w:rsidRPr="00460F9E" w:rsidRDefault="00A52778" w:rsidP="00FC3F8E">
            <w:pPr>
              <w:spacing w:line="0" w:lineRule="atLeast"/>
              <w:rPr>
                <w:rFonts w:eastAsia="Times New Roman" w:cs="Times New Roman"/>
                <w:b/>
                <w:sz w:val="10"/>
              </w:rPr>
            </w:pPr>
          </w:p>
        </w:tc>
        <w:tc>
          <w:tcPr>
            <w:tcW w:w="280" w:type="dxa"/>
            <w:tcBorders>
              <w:right w:val="single" w:sz="8" w:space="0" w:color="auto"/>
            </w:tcBorders>
            <w:shd w:val="clear" w:color="auto" w:fill="auto"/>
            <w:vAlign w:val="bottom"/>
          </w:tcPr>
          <w:p w14:paraId="02B10F0D"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right w:val="single" w:sz="8" w:space="0" w:color="auto"/>
            </w:tcBorders>
            <w:shd w:val="clear" w:color="auto" w:fill="auto"/>
            <w:vAlign w:val="bottom"/>
          </w:tcPr>
          <w:p w14:paraId="5D9B074A" w14:textId="77777777" w:rsidR="00A52778" w:rsidRPr="00460F9E" w:rsidRDefault="00A52778" w:rsidP="00FC3F8E">
            <w:pPr>
              <w:spacing w:line="0" w:lineRule="atLeast"/>
              <w:rPr>
                <w:rFonts w:eastAsia="Times New Roman" w:cs="Times New Roman"/>
                <w:b/>
                <w:sz w:val="10"/>
              </w:rPr>
            </w:pPr>
          </w:p>
        </w:tc>
        <w:tc>
          <w:tcPr>
            <w:tcW w:w="1826" w:type="dxa"/>
            <w:gridSpan w:val="4"/>
            <w:vMerge/>
            <w:tcBorders>
              <w:left w:val="single" w:sz="8" w:space="0" w:color="auto"/>
            </w:tcBorders>
            <w:shd w:val="clear" w:color="auto" w:fill="auto"/>
            <w:vAlign w:val="bottom"/>
          </w:tcPr>
          <w:p w14:paraId="1F738A1D" w14:textId="77777777" w:rsidR="00A52778" w:rsidRPr="00460F9E" w:rsidRDefault="00A52778" w:rsidP="00FC3F8E">
            <w:pPr>
              <w:spacing w:line="0" w:lineRule="atLeast"/>
              <w:rPr>
                <w:rFonts w:eastAsia="Times New Roman" w:cs="Times New Roman"/>
                <w:b/>
                <w:sz w:val="10"/>
              </w:rPr>
            </w:pPr>
          </w:p>
        </w:tc>
        <w:tc>
          <w:tcPr>
            <w:tcW w:w="600" w:type="dxa"/>
            <w:tcBorders>
              <w:right w:val="single" w:sz="8" w:space="0" w:color="auto"/>
            </w:tcBorders>
            <w:shd w:val="clear" w:color="auto" w:fill="auto"/>
            <w:vAlign w:val="bottom"/>
          </w:tcPr>
          <w:p w14:paraId="2E86380D" w14:textId="77777777" w:rsidR="00A52778" w:rsidRPr="00460F9E" w:rsidRDefault="00A52778" w:rsidP="00FC3F8E">
            <w:pPr>
              <w:spacing w:line="0" w:lineRule="atLeast"/>
              <w:rPr>
                <w:rFonts w:eastAsia="Times New Roman" w:cs="Times New Roman"/>
                <w:b/>
                <w:sz w:val="10"/>
              </w:rPr>
            </w:pPr>
          </w:p>
        </w:tc>
        <w:tc>
          <w:tcPr>
            <w:tcW w:w="1340" w:type="dxa"/>
            <w:vMerge/>
            <w:tcBorders>
              <w:right w:val="single" w:sz="8" w:space="0" w:color="auto"/>
            </w:tcBorders>
            <w:shd w:val="clear" w:color="auto" w:fill="auto"/>
            <w:vAlign w:val="bottom"/>
          </w:tcPr>
          <w:p w14:paraId="6E21296E" w14:textId="77777777" w:rsidR="00A52778" w:rsidRPr="00460F9E" w:rsidRDefault="00A52778" w:rsidP="00FC3F8E">
            <w:pPr>
              <w:spacing w:line="0" w:lineRule="atLeast"/>
              <w:rPr>
                <w:rFonts w:eastAsia="Times New Roman" w:cs="Times New Roman"/>
                <w:b/>
                <w:sz w:val="10"/>
              </w:rPr>
            </w:pPr>
          </w:p>
        </w:tc>
        <w:tc>
          <w:tcPr>
            <w:tcW w:w="3040" w:type="dxa"/>
            <w:gridSpan w:val="4"/>
            <w:vMerge/>
            <w:tcBorders>
              <w:right w:val="single" w:sz="8" w:space="0" w:color="auto"/>
            </w:tcBorders>
            <w:shd w:val="clear" w:color="auto" w:fill="auto"/>
            <w:vAlign w:val="bottom"/>
          </w:tcPr>
          <w:p w14:paraId="093F5195" w14:textId="77777777" w:rsidR="00A52778" w:rsidRPr="00460F9E" w:rsidRDefault="00A52778" w:rsidP="00FC3F8E">
            <w:pPr>
              <w:spacing w:line="228" w:lineRule="exact"/>
              <w:ind w:left="80"/>
              <w:rPr>
                <w:rFonts w:eastAsia="Times New Roman" w:cs="Times New Roman"/>
                <w:b/>
                <w:sz w:val="10"/>
              </w:rPr>
            </w:pPr>
          </w:p>
        </w:tc>
      </w:tr>
      <w:tr w:rsidR="00A52778" w:rsidRPr="00460F9E" w14:paraId="3A73D461" w14:textId="77777777" w:rsidTr="00FC3F8E">
        <w:trPr>
          <w:trHeight w:val="112"/>
        </w:trPr>
        <w:tc>
          <w:tcPr>
            <w:tcW w:w="400" w:type="dxa"/>
            <w:tcBorders>
              <w:left w:val="single" w:sz="8" w:space="0" w:color="auto"/>
            </w:tcBorders>
            <w:shd w:val="clear" w:color="auto" w:fill="auto"/>
            <w:vAlign w:val="bottom"/>
          </w:tcPr>
          <w:p w14:paraId="1A76AF77" w14:textId="77777777" w:rsidR="00A52778" w:rsidRPr="00460F9E" w:rsidRDefault="00A52778" w:rsidP="00FC3F8E">
            <w:pPr>
              <w:spacing w:line="0" w:lineRule="atLeast"/>
              <w:rPr>
                <w:rFonts w:eastAsia="Times New Roman" w:cs="Times New Roman"/>
                <w:b/>
                <w:sz w:val="9"/>
              </w:rPr>
            </w:pPr>
          </w:p>
        </w:tc>
        <w:tc>
          <w:tcPr>
            <w:tcW w:w="280" w:type="dxa"/>
            <w:tcBorders>
              <w:right w:val="single" w:sz="8" w:space="0" w:color="auto"/>
            </w:tcBorders>
            <w:shd w:val="clear" w:color="auto" w:fill="auto"/>
            <w:vAlign w:val="bottom"/>
          </w:tcPr>
          <w:p w14:paraId="56363122" w14:textId="77777777" w:rsidR="00A52778" w:rsidRPr="00460F9E" w:rsidRDefault="00A52778" w:rsidP="00FC3F8E">
            <w:pPr>
              <w:spacing w:line="0" w:lineRule="atLeast"/>
              <w:rPr>
                <w:rFonts w:eastAsia="Times New Roman" w:cs="Times New Roman"/>
                <w:b/>
                <w:sz w:val="9"/>
              </w:rPr>
            </w:pPr>
          </w:p>
        </w:tc>
        <w:tc>
          <w:tcPr>
            <w:tcW w:w="1274" w:type="dxa"/>
            <w:gridSpan w:val="2"/>
            <w:vMerge/>
            <w:tcBorders>
              <w:right w:val="single" w:sz="8" w:space="0" w:color="auto"/>
            </w:tcBorders>
            <w:shd w:val="clear" w:color="auto" w:fill="auto"/>
            <w:vAlign w:val="bottom"/>
          </w:tcPr>
          <w:p w14:paraId="7807DB6F" w14:textId="77777777" w:rsidR="00A52778" w:rsidRPr="00460F9E" w:rsidRDefault="00A52778" w:rsidP="00FC3F8E">
            <w:pPr>
              <w:spacing w:line="0" w:lineRule="atLeast"/>
              <w:rPr>
                <w:rFonts w:eastAsia="Times New Roman" w:cs="Times New Roman"/>
                <w:b/>
                <w:sz w:val="9"/>
              </w:rPr>
            </w:pPr>
          </w:p>
        </w:tc>
        <w:tc>
          <w:tcPr>
            <w:tcW w:w="706" w:type="dxa"/>
            <w:tcBorders>
              <w:left w:val="single" w:sz="8" w:space="0" w:color="auto"/>
            </w:tcBorders>
            <w:shd w:val="clear" w:color="auto" w:fill="auto"/>
            <w:vAlign w:val="bottom"/>
          </w:tcPr>
          <w:p w14:paraId="607A3BB7" w14:textId="77777777" w:rsidR="00A52778" w:rsidRPr="00460F9E" w:rsidRDefault="00A52778" w:rsidP="00FC3F8E">
            <w:pPr>
              <w:spacing w:line="0" w:lineRule="atLeast"/>
              <w:rPr>
                <w:rFonts w:eastAsia="Times New Roman" w:cs="Times New Roman"/>
                <w:b/>
                <w:sz w:val="9"/>
              </w:rPr>
            </w:pPr>
          </w:p>
        </w:tc>
        <w:tc>
          <w:tcPr>
            <w:tcW w:w="240" w:type="dxa"/>
            <w:shd w:val="clear" w:color="auto" w:fill="auto"/>
            <w:vAlign w:val="bottom"/>
          </w:tcPr>
          <w:p w14:paraId="4C51C833" w14:textId="77777777" w:rsidR="00A52778" w:rsidRPr="00460F9E" w:rsidRDefault="00A52778" w:rsidP="00FC3F8E">
            <w:pPr>
              <w:spacing w:line="0" w:lineRule="atLeast"/>
              <w:rPr>
                <w:rFonts w:eastAsia="Times New Roman" w:cs="Times New Roman"/>
                <w:b/>
                <w:sz w:val="9"/>
              </w:rPr>
            </w:pPr>
          </w:p>
        </w:tc>
        <w:tc>
          <w:tcPr>
            <w:tcW w:w="280" w:type="dxa"/>
            <w:shd w:val="clear" w:color="auto" w:fill="auto"/>
            <w:vAlign w:val="bottom"/>
          </w:tcPr>
          <w:p w14:paraId="787A3BDE" w14:textId="77777777" w:rsidR="00A52778" w:rsidRPr="00460F9E" w:rsidRDefault="00A52778" w:rsidP="00FC3F8E">
            <w:pPr>
              <w:spacing w:line="0" w:lineRule="atLeast"/>
              <w:rPr>
                <w:rFonts w:eastAsia="Times New Roman" w:cs="Times New Roman"/>
                <w:b/>
                <w:sz w:val="9"/>
              </w:rPr>
            </w:pPr>
          </w:p>
        </w:tc>
        <w:tc>
          <w:tcPr>
            <w:tcW w:w="600" w:type="dxa"/>
            <w:shd w:val="clear" w:color="auto" w:fill="auto"/>
            <w:vAlign w:val="bottom"/>
          </w:tcPr>
          <w:p w14:paraId="0457B0B5" w14:textId="77777777" w:rsidR="00A52778" w:rsidRPr="00460F9E" w:rsidRDefault="00A52778" w:rsidP="00FC3F8E">
            <w:pPr>
              <w:spacing w:line="0" w:lineRule="atLeast"/>
              <w:rPr>
                <w:rFonts w:eastAsia="Times New Roman" w:cs="Times New Roman"/>
                <w:b/>
                <w:sz w:val="9"/>
              </w:rPr>
            </w:pPr>
          </w:p>
        </w:tc>
        <w:tc>
          <w:tcPr>
            <w:tcW w:w="600" w:type="dxa"/>
            <w:tcBorders>
              <w:right w:val="single" w:sz="8" w:space="0" w:color="auto"/>
            </w:tcBorders>
            <w:shd w:val="clear" w:color="auto" w:fill="auto"/>
            <w:vAlign w:val="bottom"/>
          </w:tcPr>
          <w:p w14:paraId="3322C960" w14:textId="77777777" w:rsidR="00A52778" w:rsidRPr="00460F9E" w:rsidRDefault="00A52778" w:rsidP="00FC3F8E">
            <w:pPr>
              <w:spacing w:line="0" w:lineRule="atLeast"/>
              <w:rPr>
                <w:rFonts w:eastAsia="Times New Roman" w:cs="Times New Roman"/>
                <w:b/>
                <w:sz w:val="9"/>
              </w:rPr>
            </w:pPr>
          </w:p>
        </w:tc>
        <w:tc>
          <w:tcPr>
            <w:tcW w:w="1340" w:type="dxa"/>
            <w:tcBorders>
              <w:right w:val="single" w:sz="8" w:space="0" w:color="auto"/>
            </w:tcBorders>
            <w:shd w:val="clear" w:color="auto" w:fill="auto"/>
            <w:vAlign w:val="bottom"/>
          </w:tcPr>
          <w:p w14:paraId="58943580" w14:textId="77777777" w:rsidR="00A52778" w:rsidRPr="00460F9E" w:rsidRDefault="00A52778" w:rsidP="00FC3F8E">
            <w:pPr>
              <w:spacing w:line="0" w:lineRule="atLeast"/>
              <w:rPr>
                <w:rFonts w:eastAsia="Times New Roman" w:cs="Times New Roman"/>
                <w:b/>
                <w:sz w:val="9"/>
              </w:rPr>
            </w:pPr>
          </w:p>
        </w:tc>
        <w:tc>
          <w:tcPr>
            <w:tcW w:w="3040" w:type="dxa"/>
            <w:gridSpan w:val="4"/>
            <w:vMerge/>
            <w:tcBorders>
              <w:right w:val="single" w:sz="8" w:space="0" w:color="auto"/>
            </w:tcBorders>
            <w:shd w:val="clear" w:color="auto" w:fill="auto"/>
            <w:vAlign w:val="bottom"/>
          </w:tcPr>
          <w:p w14:paraId="48D5503B" w14:textId="77777777" w:rsidR="00A52778" w:rsidRPr="00460F9E" w:rsidRDefault="00A52778" w:rsidP="00FC3F8E">
            <w:pPr>
              <w:spacing w:line="228" w:lineRule="exact"/>
              <w:ind w:left="80"/>
              <w:rPr>
                <w:rFonts w:eastAsia="Times New Roman" w:cs="Times New Roman"/>
                <w:b/>
              </w:rPr>
            </w:pPr>
          </w:p>
        </w:tc>
      </w:tr>
      <w:tr w:rsidR="00A52778" w:rsidRPr="00460F9E" w14:paraId="71662826" w14:textId="77777777" w:rsidTr="00FC3F8E">
        <w:trPr>
          <w:trHeight w:val="118"/>
        </w:trPr>
        <w:tc>
          <w:tcPr>
            <w:tcW w:w="400" w:type="dxa"/>
            <w:tcBorders>
              <w:left w:val="single" w:sz="8" w:space="0" w:color="auto"/>
              <w:bottom w:val="single" w:sz="8" w:space="0" w:color="auto"/>
            </w:tcBorders>
            <w:shd w:val="clear" w:color="auto" w:fill="auto"/>
            <w:vAlign w:val="bottom"/>
          </w:tcPr>
          <w:p w14:paraId="08A76B21" w14:textId="77777777" w:rsidR="00A52778" w:rsidRPr="00460F9E" w:rsidRDefault="00A52778" w:rsidP="00FC3F8E">
            <w:pPr>
              <w:spacing w:line="0" w:lineRule="atLeast"/>
              <w:rPr>
                <w:rFonts w:eastAsia="Times New Roman" w:cs="Times New Roman"/>
                <w:b/>
                <w:sz w:val="10"/>
              </w:rPr>
            </w:pPr>
          </w:p>
        </w:tc>
        <w:tc>
          <w:tcPr>
            <w:tcW w:w="280" w:type="dxa"/>
            <w:tcBorders>
              <w:bottom w:val="single" w:sz="8" w:space="0" w:color="auto"/>
              <w:right w:val="single" w:sz="8" w:space="0" w:color="auto"/>
            </w:tcBorders>
            <w:shd w:val="clear" w:color="auto" w:fill="auto"/>
            <w:vAlign w:val="bottom"/>
          </w:tcPr>
          <w:p w14:paraId="19C574F5"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bottom w:val="single" w:sz="8" w:space="0" w:color="auto"/>
              <w:right w:val="single" w:sz="8" w:space="0" w:color="auto"/>
            </w:tcBorders>
            <w:shd w:val="clear" w:color="auto" w:fill="auto"/>
            <w:vAlign w:val="bottom"/>
          </w:tcPr>
          <w:p w14:paraId="472495AC" w14:textId="77777777" w:rsidR="00A52778" w:rsidRPr="00460F9E" w:rsidRDefault="00A52778" w:rsidP="00FC3F8E">
            <w:pPr>
              <w:spacing w:line="0" w:lineRule="atLeast"/>
              <w:rPr>
                <w:rFonts w:eastAsia="Times New Roman" w:cs="Times New Roman"/>
                <w:b/>
                <w:sz w:val="10"/>
              </w:rPr>
            </w:pPr>
          </w:p>
        </w:tc>
        <w:tc>
          <w:tcPr>
            <w:tcW w:w="706" w:type="dxa"/>
            <w:tcBorders>
              <w:left w:val="single" w:sz="8" w:space="0" w:color="auto"/>
              <w:bottom w:val="single" w:sz="8" w:space="0" w:color="auto"/>
            </w:tcBorders>
            <w:shd w:val="clear" w:color="auto" w:fill="auto"/>
            <w:vAlign w:val="bottom"/>
          </w:tcPr>
          <w:p w14:paraId="618EC9F0" w14:textId="77777777" w:rsidR="00A52778" w:rsidRPr="00460F9E" w:rsidRDefault="00A52778" w:rsidP="00FC3F8E">
            <w:pPr>
              <w:spacing w:line="0" w:lineRule="atLeast"/>
              <w:rPr>
                <w:rFonts w:eastAsia="Times New Roman" w:cs="Times New Roman"/>
                <w:b/>
                <w:sz w:val="10"/>
              </w:rPr>
            </w:pPr>
          </w:p>
        </w:tc>
        <w:tc>
          <w:tcPr>
            <w:tcW w:w="240" w:type="dxa"/>
            <w:tcBorders>
              <w:bottom w:val="single" w:sz="8" w:space="0" w:color="auto"/>
            </w:tcBorders>
            <w:shd w:val="clear" w:color="auto" w:fill="auto"/>
            <w:vAlign w:val="bottom"/>
          </w:tcPr>
          <w:p w14:paraId="3DE5EFF4" w14:textId="77777777" w:rsidR="00A52778" w:rsidRPr="00460F9E" w:rsidRDefault="00A52778" w:rsidP="00FC3F8E">
            <w:pPr>
              <w:spacing w:line="0" w:lineRule="atLeast"/>
              <w:rPr>
                <w:rFonts w:eastAsia="Times New Roman" w:cs="Times New Roman"/>
                <w:b/>
                <w:sz w:val="10"/>
              </w:rPr>
            </w:pPr>
          </w:p>
        </w:tc>
        <w:tc>
          <w:tcPr>
            <w:tcW w:w="280" w:type="dxa"/>
            <w:tcBorders>
              <w:bottom w:val="single" w:sz="8" w:space="0" w:color="auto"/>
            </w:tcBorders>
            <w:shd w:val="clear" w:color="auto" w:fill="auto"/>
            <w:vAlign w:val="bottom"/>
          </w:tcPr>
          <w:p w14:paraId="39332F78" w14:textId="77777777" w:rsidR="00A52778" w:rsidRPr="00460F9E" w:rsidRDefault="00A52778" w:rsidP="00FC3F8E">
            <w:pPr>
              <w:spacing w:line="0" w:lineRule="atLeast"/>
              <w:rPr>
                <w:rFonts w:eastAsia="Times New Roman" w:cs="Times New Roman"/>
                <w:b/>
                <w:sz w:val="10"/>
              </w:rPr>
            </w:pPr>
          </w:p>
        </w:tc>
        <w:tc>
          <w:tcPr>
            <w:tcW w:w="600" w:type="dxa"/>
            <w:tcBorders>
              <w:bottom w:val="single" w:sz="8" w:space="0" w:color="auto"/>
            </w:tcBorders>
            <w:shd w:val="clear" w:color="auto" w:fill="auto"/>
            <w:vAlign w:val="bottom"/>
          </w:tcPr>
          <w:p w14:paraId="7BB0E189" w14:textId="77777777" w:rsidR="00A52778" w:rsidRPr="00460F9E" w:rsidRDefault="00A52778" w:rsidP="00FC3F8E">
            <w:pPr>
              <w:spacing w:line="0" w:lineRule="atLeast"/>
              <w:rPr>
                <w:rFonts w:eastAsia="Times New Roman" w:cs="Times New Roman"/>
                <w:b/>
                <w:sz w:val="10"/>
              </w:rPr>
            </w:pPr>
          </w:p>
        </w:tc>
        <w:tc>
          <w:tcPr>
            <w:tcW w:w="600" w:type="dxa"/>
            <w:tcBorders>
              <w:bottom w:val="single" w:sz="8" w:space="0" w:color="auto"/>
              <w:right w:val="single" w:sz="8" w:space="0" w:color="auto"/>
            </w:tcBorders>
            <w:shd w:val="clear" w:color="auto" w:fill="auto"/>
            <w:vAlign w:val="bottom"/>
          </w:tcPr>
          <w:p w14:paraId="4BC947E5" w14:textId="77777777" w:rsidR="00A52778" w:rsidRPr="00460F9E" w:rsidRDefault="00A52778" w:rsidP="00FC3F8E">
            <w:pPr>
              <w:spacing w:line="0" w:lineRule="atLeast"/>
              <w:rPr>
                <w:rFonts w:eastAsia="Times New Roman" w:cs="Times New Roman"/>
                <w:b/>
                <w:sz w:val="10"/>
              </w:rPr>
            </w:pPr>
          </w:p>
        </w:tc>
        <w:tc>
          <w:tcPr>
            <w:tcW w:w="1340" w:type="dxa"/>
            <w:tcBorders>
              <w:bottom w:val="single" w:sz="8" w:space="0" w:color="auto"/>
              <w:right w:val="single" w:sz="8" w:space="0" w:color="auto"/>
            </w:tcBorders>
            <w:shd w:val="clear" w:color="auto" w:fill="auto"/>
            <w:vAlign w:val="bottom"/>
          </w:tcPr>
          <w:p w14:paraId="03D7F13D" w14:textId="77777777" w:rsidR="00A52778" w:rsidRPr="00460F9E" w:rsidRDefault="00A52778" w:rsidP="00FC3F8E">
            <w:pPr>
              <w:spacing w:line="0" w:lineRule="atLeast"/>
              <w:rPr>
                <w:rFonts w:eastAsia="Times New Roman" w:cs="Times New Roman"/>
                <w:b/>
                <w:sz w:val="10"/>
              </w:rPr>
            </w:pPr>
          </w:p>
        </w:tc>
        <w:tc>
          <w:tcPr>
            <w:tcW w:w="3040" w:type="dxa"/>
            <w:gridSpan w:val="4"/>
            <w:vMerge/>
            <w:tcBorders>
              <w:bottom w:val="single" w:sz="8" w:space="0" w:color="auto"/>
              <w:right w:val="single" w:sz="8" w:space="0" w:color="auto"/>
            </w:tcBorders>
            <w:shd w:val="clear" w:color="auto" w:fill="auto"/>
            <w:vAlign w:val="bottom"/>
          </w:tcPr>
          <w:p w14:paraId="0E4E6ADC" w14:textId="77777777" w:rsidR="00A52778" w:rsidRPr="00460F9E" w:rsidRDefault="00A52778" w:rsidP="00FC3F8E">
            <w:pPr>
              <w:spacing w:line="0" w:lineRule="atLeast"/>
              <w:rPr>
                <w:rFonts w:eastAsia="Times New Roman" w:cs="Times New Roman"/>
                <w:b/>
                <w:sz w:val="10"/>
              </w:rPr>
            </w:pPr>
          </w:p>
        </w:tc>
      </w:tr>
      <w:tr w:rsidR="00A52778" w:rsidRPr="00460F9E" w14:paraId="25573886" w14:textId="77777777" w:rsidTr="00FC3F8E">
        <w:trPr>
          <w:trHeight w:val="217"/>
        </w:trPr>
        <w:tc>
          <w:tcPr>
            <w:tcW w:w="400" w:type="dxa"/>
            <w:vMerge w:val="restart"/>
            <w:tcBorders>
              <w:left w:val="single" w:sz="8" w:space="0" w:color="auto"/>
            </w:tcBorders>
            <w:shd w:val="clear" w:color="auto" w:fill="auto"/>
            <w:vAlign w:val="bottom"/>
          </w:tcPr>
          <w:p w14:paraId="771F3CC7"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c.</w:t>
            </w:r>
          </w:p>
        </w:tc>
        <w:tc>
          <w:tcPr>
            <w:tcW w:w="280" w:type="dxa"/>
            <w:tcBorders>
              <w:right w:val="single" w:sz="8" w:space="0" w:color="auto"/>
            </w:tcBorders>
            <w:shd w:val="clear" w:color="auto" w:fill="auto"/>
            <w:vAlign w:val="bottom"/>
          </w:tcPr>
          <w:p w14:paraId="046B8B9E" w14:textId="77777777" w:rsidR="00A52778" w:rsidRPr="00460F9E" w:rsidRDefault="00A52778" w:rsidP="00FC3F8E">
            <w:pPr>
              <w:spacing w:line="0" w:lineRule="atLeast"/>
              <w:rPr>
                <w:rFonts w:eastAsia="Times New Roman" w:cs="Times New Roman"/>
                <w:b/>
                <w:sz w:val="18"/>
              </w:rPr>
            </w:pPr>
          </w:p>
        </w:tc>
        <w:tc>
          <w:tcPr>
            <w:tcW w:w="1274" w:type="dxa"/>
            <w:gridSpan w:val="2"/>
            <w:vMerge w:val="restart"/>
            <w:tcBorders>
              <w:right w:val="single" w:sz="8" w:space="0" w:color="auto"/>
            </w:tcBorders>
            <w:shd w:val="clear" w:color="auto" w:fill="auto"/>
            <w:vAlign w:val="bottom"/>
          </w:tcPr>
          <w:p w14:paraId="2CD7E07A"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Optimize edilmiş yanma</w:t>
            </w:r>
          </w:p>
        </w:tc>
        <w:tc>
          <w:tcPr>
            <w:tcW w:w="1826" w:type="dxa"/>
            <w:gridSpan w:val="4"/>
            <w:vMerge w:val="restart"/>
            <w:shd w:val="clear" w:color="auto" w:fill="auto"/>
            <w:vAlign w:val="bottom"/>
          </w:tcPr>
          <w:p w14:paraId="70CB6502"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Bkz. Bölüm</w:t>
            </w:r>
            <w:r w:rsidRPr="00460F9E">
              <w:rPr>
                <w:rFonts w:cs="Times New Roman"/>
              </w:rPr>
              <w:t xml:space="preserve"> </w:t>
            </w:r>
            <w:hyperlink w:anchor="page331" w:history="1">
              <w:r w:rsidRPr="00460F9E">
                <w:rPr>
                  <w:rFonts w:eastAsia="Times New Roman" w:cs="Times New Roman"/>
                </w:rPr>
                <w:t>4.4.1.</w:t>
              </w:r>
            </w:hyperlink>
          </w:p>
        </w:tc>
        <w:tc>
          <w:tcPr>
            <w:tcW w:w="600" w:type="dxa"/>
            <w:tcBorders>
              <w:right w:val="single" w:sz="8" w:space="0" w:color="auto"/>
            </w:tcBorders>
            <w:shd w:val="clear" w:color="auto" w:fill="auto"/>
            <w:vAlign w:val="bottom"/>
          </w:tcPr>
          <w:p w14:paraId="45EF02E0" w14:textId="77777777" w:rsidR="00A52778" w:rsidRPr="00460F9E" w:rsidRDefault="00A52778" w:rsidP="00FC3F8E">
            <w:pPr>
              <w:spacing w:line="0" w:lineRule="atLeast"/>
              <w:rPr>
                <w:rFonts w:eastAsia="Times New Roman" w:cs="Times New Roman"/>
                <w:b/>
                <w:sz w:val="18"/>
              </w:rPr>
            </w:pPr>
          </w:p>
        </w:tc>
        <w:tc>
          <w:tcPr>
            <w:tcW w:w="1340" w:type="dxa"/>
            <w:vMerge w:val="restart"/>
            <w:tcBorders>
              <w:right w:val="single" w:sz="8" w:space="0" w:color="auto"/>
            </w:tcBorders>
            <w:shd w:val="clear" w:color="auto" w:fill="auto"/>
            <w:vAlign w:val="bottom"/>
          </w:tcPr>
          <w:p w14:paraId="7D4E1CAB" w14:textId="77777777" w:rsidR="00A52778" w:rsidRPr="00460F9E" w:rsidRDefault="00A52778" w:rsidP="00FC3F8E">
            <w:pPr>
              <w:spacing w:line="0" w:lineRule="atLeast"/>
              <w:jc w:val="center"/>
              <w:rPr>
                <w:rFonts w:eastAsia="Times New Roman" w:cs="Times New Roman"/>
                <w:b/>
                <w:w w:val="98"/>
                <w:sz w:val="12"/>
              </w:rPr>
            </w:pPr>
            <w:r w:rsidRPr="00460F9E">
              <w:rPr>
                <w:rFonts w:eastAsia="Times New Roman" w:cs="Times New Roman"/>
                <w:w w:val="98"/>
              </w:rPr>
              <w:t>CO, NO</w:t>
            </w:r>
            <w:r w:rsidRPr="00460F9E">
              <w:rPr>
                <w:rFonts w:eastAsia="Times New Roman" w:cs="Times New Roman"/>
                <w:w w:val="98"/>
                <w:sz w:val="12"/>
              </w:rPr>
              <w:t>X</w:t>
            </w:r>
          </w:p>
        </w:tc>
        <w:tc>
          <w:tcPr>
            <w:tcW w:w="3040" w:type="dxa"/>
            <w:gridSpan w:val="4"/>
            <w:vMerge w:val="restart"/>
            <w:tcBorders>
              <w:right w:val="single" w:sz="8" w:space="0" w:color="auto"/>
            </w:tcBorders>
            <w:shd w:val="clear" w:color="auto" w:fill="auto"/>
            <w:vAlign w:val="center"/>
          </w:tcPr>
          <w:p w14:paraId="38AECF65" w14:textId="77777777" w:rsidR="00A52778" w:rsidRPr="00460F9E" w:rsidRDefault="00A52778" w:rsidP="00FC3F8E">
            <w:pPr>
              <w:spacing w:line="0" w:lineRule="atLeast"/>
              <w:rPr>
                <w:rFonts w:eastAsia="Times New Roman" w:cs="Times New Roman"/>
                <w:b/>
                <w:sz w:val="18"/>
              </w:rPr>
            </w:pPr>
            <w:r w:rsidRPr="00460F9E">
              <w:rPr>
                <w:rFonts w:eastAsia="Times New Roman" w:cs="Times New Roman"/>
              </w:rPr>
              <w:t xml:space="preserve">  Genel olarak uygulanabilir.</w:t>
            </w:r>
          </w:p>
        </w:tc>
      </w:tr>
      <w:tr w:rsidR="00A52778" w:rsidRPr="00460F9E" w14:paraId="63CE20B1" w14:textId="77777777" w:rsidTr="00FC3F8E">
        <w:trPr>
          <w:trHeight w:val="118"/>
        </w:trPr>
        <w:tc>
          <w:tcPr>
            <w:tcW w:w="400" w:type="dxa"/>
            <w:vMerge/>
            <w:tcBorders>
              <w:left w:val="single" w:sz="8" w:space="0" w:color="auto"/>
            </w:tcBorders>
            <w:shd w:val="clear" w:color="auto" w:fill="auto"/>
            <w:vAlign w:val="bottom"/>
          </w:tcPr>
          <w:p w14:paraId="1E203690" w14:textId="77777777" w:rsidR="00A52778" w:rsidRPr="00460F9E" w:rsidRDefault="00A52778" w:rsidP="00FC3F8E">
            <w:pPr>
              <w:spacing w:line="0" w:lineRule="atLeast"/>
              <w:rPr>
                <w:rFonts w:eastAsia="Times New Roman" w:cs="Times New Roman"/>
                <w:b/>
                <w:sz w:val="10"/>
              </w:rPr>
            </w:pPr>
          </w:p>
        </w:tc>
        <w:tc>
          <w:tcPr>
            <w:tcW w:w="280" w:type="dxa"/>
            <w:tcBorders>
              <w:right w:val="single" w:sz="8" w:space="0" w:color="auto"/>
            </w:tcBorders>
            <w:shd w:val="clear" w:color="auto" w:fill="auto"/>
            <w:vAlign w:val="bottom"/>
          </w:tcPr>
          <w:p w14:paraId="54D9E989"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right w:val="single" w:sz="8" w:space="0" w:color="auto"/>
            </w:tcBorders>
            <w:shd w:val="clear" w:color="auto" w:fill="auto"/>
            <w:vAlign w:val="bottom"/>
          </w:tcPr>
          <w:p w14:paraId="46E10197" w14:textId="77777777" w:rsidR="00A52778" w:rsidRPr="00460F9E" w:rsidRDefault="00A52778" w:rsidP="00FC3F8E">
            <w:pPr>
              <w:spacing w:line="0" w:lineRule="atLeast"/>
              <w:ind w:left="80"/>
              <w:rPr>
                <w:rFonts w:eastAsia="Times New Roman" w:cs="Times New Roman"/>
                <w:b/>
              </w:rPr>
            </w:pPr>
          </w:p>
        </w:tc>
        <w:tc>
          <w:tcPr>
            <w:tcW w:w="1826" w:type="dxa"/>
            <w:gridSpan w:val="4"/>
            <w:vMerge/>
            <w:shd w:val="clear" w:color="auto" w:fill="auto"/>
            <w:vAlign w:val="bottom"/>
          </w:tcPr>
          <w:p w14:paraId="4106C902" w14:textId="77777777" w:rsidR="00A52778" w:rsidRPr="00460F9E" w:rsidRDefault="00A52778" w:rsidP="00FC3F8E">
            <w:pPr>
              <w:spacing w:line="0" w:lineRule="atLeast"/>
              <w:rPr>
                <w:rFonts w:eastAsia="Times New Roman" w:cs="Times New Roman"/>
                <w:b/>
                <w:sz w:val="10"/>
              </w:rPr>
            </w:pPr>
          </w:p>
        </w:tc>
        <w:tc>
          <w:tcPr>
            <w:tcW w:w="600" w:type="dxa"/>
            <w:tcBorders>
              <w:right w:val="single" w:sz="8" w:space="0" w:color="auto"/>
            </w:tcBorders>
            <w:shd w:val="clear" w:color="auto" w:fill="auto"/>
            <w:vAlign w:val="bottom"/>
          </w:tcPr>
          <w:p w14:paraId="3C5A32AF" w14:textId="77777777" w:rsidR="00A52778" w:rsidRPr="00460F9E" w:rsidRDefault="00A52778" w:rsidP="00FC3F8E">
            <w:pPr>
              <w:spacing w:line="0" w:lineRule="atLeast"/>
              <w:rPr>
                <w:rFonts w:eastAsia="Times New Roman" w:cs="Times New Roman"/>
                <w:b/>
                <w:sz w:val="10"/>
              </w:rPr>
            </w:pPr>
          </w:p>
        </w:tc>
        <w:tc>
          <w:tcPr>
            <w:tcW w:w="1340" w:type="dxa"/>
            <w:vMerge/>
            <w:tcBorders>
              <w:right w:val="single" w:sz="8" w:space="0" w:color="auto"/>
            </w:tcBorders>
            <w:shd w:val="clear" w:color="auto" w:fill="auto"/>
            <w:vAlign w:val="bottom"/>
          </w:tcPr>
          <w:p w14:paraId="6B573F0F" w14:textId="77777777" w:rsidR="00A52778" w:rsidRPr="00460F9E" w:rsidRDefault="00A52778" w:rsidP="00FC3F8E">
            <w:pPr>
              <w:spacing w:line="0" w:lineRule="atLeast"/>
              <w:rPr>
                <w:rFonts w:eastAsia="Times New Roman" w:cs="Times New Roman"/>
                <w:b/>
                <w:sz w:val="10"/>
              </w:rPr>
            </w:pPr>
          </w:p>
        </w:tc>
        <w:tc>
          <w:tcPr>
            <w:tcW w:w="3040" w:type="dxa"/>
            <w:gridSpan w:val="4"/>
            <w:vMerge/>
            <w:tcBorders>
              <w:right w:val="single" w:sz="8" w:space="0" w:color="auto"/>
            </w:tcBorders>
            <w:shd w:val="clear" w:color="auto" w:fill="auto"/>
            <w:vAlign w:val="bottom"/>
          </w:tcPr>
          <w:p w14:paraId="0D1B1A57" w14:textId="77777777" w:rsidR="00A52778" w:rsidRPr="00460F9E" w:rsidRDefault="00A52778" w:rsidP="00FC3F8E">
            <w:pPr>
              <w:spacing w:line="0" w:lineRule="atLeast"/>
              <w:rPr>
                <w:rFonts w:eastAsia="Times New Roman" w:cs="Times New Roman"/>
                <w:b/>
                <w:sz w:val="10"/>
              </w:rPr>
            </w:pPr>
          </w:p>
        </w:tc>
      </w:tr>
      <w:tr w:rsidR="00A52778" w:rsidRPr="00460F9E" w14:paraId="2C050C40" w14:textId="77777777" w:rsidTr="00FC3F8E">
        <w:trPr>
          <w:trHeight w:val="115"/>
        </w:trPr>
        <w:tc>
          <w:tcPr>
            <w:tcW w:w="400" w:type="dxa"/>
            <w:tcBorders>
              <w:left w:val="single" w:sz="8" w:space="0" w:color="auto"/>
              <w:bottom w:val="single" w:sz="8" w:space="0" w:color="auto"/>
            </w:tcBorders>
            <w:shd w:val="clear" w:color="auto" w:fill="auto"/>
            <w:vAlign w:val="bottom"/>
          </w:tcPr>
          <w:p w14:paraId="75C92321" w14:textId="77777777" w:rsidR="00A52778" w:rsidRPr="00460F9E" w:rsidRDefault="00A52778" w:rsidP="00FC3F8E">
            <w:pPr>
              <w:spacing w:line="0" w:lineRule="atLeast"/>
              <w:rPr>
                <w:rFonts w:eastAsia="Times New Roman" w:cs="Times New Roman"/>
                <w:b/>
                <w:sz w:val="10"/>
              </w:rPr>
            </w:pPr>
          </w:p>
        </w:tc>
        <w:tc>
          <w:tcPr>
            <w:tcW w:w="280" w:type="dxa"/>
            <w:tcBorders>
              <w:bottom w:val="single" w:sz="8" w:space="0" w:color="auto"/>
              <w:right w:val="single" w:sz="8" w:space="0" w:color="auto"/>
            </w:tcBorders>
            <w:shd w:val="clear" w:color="auto" w:fill="auto"/>
            <w:vAlign w:val="bottom"/>
          </w:tcPr>
          <w:p w14:paraId="40559A5B"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bottom w:val="single" w:sz="8" w:space="0" w:color="auto"/>
              <w:right w:val="single" w:sz="8" w:space="0" w:color="auto"/>
            </w:tcBorders>
            <w:shd w:val="clear" w:color="auto" w:fill="auto"/>
            <w:vAlign w:val="bottom"/>
          </w:tcPr>
          <w:p w14:paraId="2F0F6828" w14:textId="77777777" w:rsidR="00A52778" w:rsidRPr="00460F9E" w:rsidRDefault="00A52778" w:rsidP="00FC3F8E">
            <w:pPr>
              <w:spacing w:line="0" w:lineRule="atLeast"/>
              <w:rPr>
                <w:rFonts w:eastAsia="Times New Roman" w:cs="Times New Roman"/>
                <w:b/>
                <w:sz w:val="10"/>
              </w:rPr>
            </w:pPr>
          </w:p>
        </w:tc>
        <w:tc>
          <w:tcPr>
            <w:tcW w:w="706" w:type="dxa"/>
            <w:tcBorders>
              <w:bottom w:val="single" w:sz="8" w:space="0" w:color="auto"/>
            </w:tcBorders>
            <w:shd w:val="clear" w:color="auto" w:fill="auto"/>
            <w:vAlign w:val="bottom"/>
          </w:tcPr>
          <w:p w14:paraId="7D1B8ADD" w14:textId="77777777" w:rsidR="00A52778" w:rsidRPr="00460F9E" w:rsidRDefault="00A52778" w:rsidP="00FC3F8E">
            <w:pPr>
              <w:spacing w:line="0" w:lineRule="atLeast"/>
              <w:rPr>
                <w:rFonts w:eastAsia="Times New Roman" w:cs="Times New Roman"/>
                <w:b/>
                <w:sz w:val="10"/>
              </w:rPr>
            </w:pPr>
          </w:p>
        </w:tc>
        <w:tc>
          <w:tcPr>
            <w:tcW w:w="240" w:type="dxa"/>
            <w:tcBorders>
              <w:bottom w:val="single" w:sz="8" w:space="0" w:color="auto"/>
            </w:tcBorders>
            <w:shd w:val="clear" w:color="auto" w:fill="auto"/>
            <w:vAlign w:val="bottom"/>
          </w:tcPr>
          <w:p w14:paraId="24AB334D" w14:textId="77777777" w:rsidR="00A52778" w:rsidRPr="00460F9E" w:rsidRDefault="00A52778" w:rsidP="00FC3F8E">
            <w:pPr>
              <w:spacing w:line="0" w:lineRule="atLeast"/>
              <w:rPr>
                <w:rFonts w:eastAsia="Times New Roman" w:cs="Times New Roman"/>
                <w:b/>
                <w:sz w:val="10"/>
              </w:rPr>
            </w:pPr>
          </w:p>
        </w:tc>
        <w:tc>
          <w:tcPr>
            <w:tcW w:w="280" w:type="dxa"/>
            <w:tcBorders>
              <w:bottom w:val="single" w:sz="8" w:space="0" w:color="auto"/>
            </w:tcBorders>
            <w:shd w:val="clear" w:color="auto" w:fill="auto"/>
            <w:vAlign w:val="bottom"/>
          </w:tcPr>
          <w:p w14:paraId="56DBE3EB" w14:textId="77777777" w:rsidR="00A52778" w:rsidRPr="00460F9E" w:rsidRDefault="00A52778" w:rsidP="00FC3F8E">
            <w:pPr>
              <w:spacing w:line="0" w:lineRule="atLeast"/>
              <w:rPr>
                <w:rFonts w:eastAsia="Times New Roman" w:cs="Times New Roman"/>
                <w:b/>
                <w:sz w:val="10"/>
              </w:rPr>
            </w:pPr>
          </w:p>
        </w:tc>
        <w:tc>
          <w:tcPr>
            <w:tcW w:w="600" w:type="dxa"/>
            <w:tcBorders>
              <w:bottom w:val="single" w:sz="8" w:space="0" w:color="auto"/>
            </w:tcBorders>
            <w:shd w:val="clear" w:color="auto" w:fill="auto"/>
            <w:vAlign w:val="bottom"/>
          </w:tcPr>
          <w:p w14:paraId="4CC38B22" w14:textId="77777777" w:rsidR="00A52778" w:rsidRPr="00460F9E" w:rsidRDefault="00A52778" w:rsidP="00FC3F8E">
            <w:pPr>
              <w:spacing w:line="0" w:lineRule="atLeast"/>
              <w:rPr>
                <w:rFonts w:eastAsia="Times New Roman" w:cs="Times New Roman"/>
                <w:b/>
                <w:sz w:val="10"/>
              </w:rPr>
            </w:pPr>
          </w:p>
        </w:tc>
        <w:tc>
          <w:tcPr>
            <w:tcW w:w="600" w:type="dxa"/>
            <w:tcBorders>
              <w:bottom w:val="single" w:sz="8" w:space="0" w:color="auto"/>
              <w:right w:val="single" w:sz="8" w:space="0" w:color="auto"/>
            </w:tcBorders>
            <w:shd w:val="clear" w:color="auto" w:fill="auto"/>
            <w:vAlign w:val="bottom"/>
          </w:tcPr>
          <w:p w14:paraId="04BD6C40" w14:textId="77777777" w:rsidR="00A52778" w:rsidRPr="00460F9E" w:rsidRDefault="00A52778" w:rsidP="00FC3F8E">
            <w:pPr>
              <w:spacing w:line="0" w:lineRule="atLeast"/>
              <w:rPr>
                <w:rFonts w:eastAsia="Times New Roman" w:cs="Times New Roman"/>
                <w:b/>
                <w:sz w:val="10"/>
              </w:rPr>
            </w:pPr>
          </w:p>
        </w:tc>
        <w:tc>
          <w:tcPr>
            <w:tcW w:w="1340" w:type="dxa"/>
            <w:tcBorders>
              <w:bottom w:val="single" w:sz="8" w:space="0" w:color="auto"/>
              <w:right w:val="single" w:sz="8" w:space="0" w:color="auto"/>
            </w:tcBorders>
            <w:shd w:val="clear" w:color="auto" w:fill="auto"/>
            <w:vAlign w:val="bottom"/>
          </w:tcPr>
          <w:p w14:paraId="71EE7F01" w14:textId="77777777" w:rsidR="00A52778" w:rsidRPr="00460F9E" w:rsidRDefault="00A52778" w:rsidP="00FC3F8E">
            <w:pPr>
              <w:spacing w:line="0" w:lineRule="atLeast"/>
              <w:rPr>
                <w:rFonts w:eastAsia="Times New Roman" w:cs="Times New Roman"/>
                <w:b/>
                <w:sz w:val="10"/>
              </w:rPr>
            </w:pPr>
          </w:p>
        </w:tc>
        <w:tc>
          <w:tcPr>
            <w:tcW w:w="3040" w:type="dxa"/>
            <w:gridSpan w:val="4"/>
            <w:vMerge/>
            <w:tcBorders>
              <w:bottom w:val="single" w:sz="8" w:space="0" w:color="auto"/>
              <w:right w:val="single" w:sz="8" w:space="0" w:color="auto"/>
            </w:tcBorders>
            <w:shd w:val="clear" w:color="auto" w:fill="auto"/>
            <w:vAlign w:val="bottom"/>
          </w:tcPr>
          <w:p w14:paraId="658B4C90" w14:textId="77777777" w:rsidR="00A52778" w:rsidRPr="00460F9E" w:rsidRDefault="00A52778" w:rsidP="00FC3F8E">
            <w:pPr>
              <w:spacing w:line="0" w:lineRule="atLeast"/>
              <w:rPr>
                <w:rFonts w:eastAsia="Times New Roman" w:cs="Times New Roman"/>
                <w:b/>
                <w:sz w:val="10"/>
              </w:rPr>
            </w:pPr>
          </w:p>
        </w:tc>
      </w:tr>
      <w:tr w:rsidR="00A52778" w:rsidRPr="00460F9E" w14:paraId="1C9AD70E" w14:textId="77777777" w:rsidTr="00FC3F8E">
        <w:trPr>
          <w:trHeight w:val="222"/>
        </w:trPr>
        <w:tc>
          <w:tcPr>
            <w:tcW w:w="1954" w:type="dxa"/>
            <w:gridSpan w:val="4"/>
            <w:tcBorders>
              <w:left w:val="single" w:sz="8" w:space="0" w:color="auto"/>
              <w:bottom w:val="single" w:sz="8" w:space="0" w:color="auto"/>
            </w:tcBorders>
            <w:shd w:val="clear" w:color="auto" w:fill="auto"/>
            <w:vAlign w:val="bottom"/>
          </w:tcPr>
          <w:p w14:paraId="58B3C838" w14:textId="77777777" w:rsidR="00A52778" w:rsidRPr="002E52FC" w:rsidRDefault="00A52778" w:rsidP="00FC3F8E">
            <w:pPr>
              <w:spacing w:line="222" w:lineRule="exact"/>
              <w:ind w:left="100"/>
              <w:rPr>
                <w:rFonts w:eastAsia="Times New Roman" w:cs="Times New Roman"/>
                <w:i/>
              </w:rPr>
            </w:pPr>
            <w:r w:rsidRPr="002E52FC">
              <w:rPr>
                <w:rFonts w:eastAsia="Times New Roman" w:cs="Times New Roman"/>
                <w:i/>
              </w:rPr>
              <w:t>İkincil teknikler</w:t>
            </w:r>
          </w:p>
        </w:tc>
        <w:tc>
          <w:tcPr>
            <w:tcW w:w="706" w:type="dxa"/>
            <w:tcBorders>
              <w:bottom w:val="single" w:sz="8" w:space="0" w:color="auto"/>
            </w:tcBorders>
            <w:shd w:val="clear" w:color="auto" w:fill="auto"/>
            <w:vAlign w:val="bottom"/>
          </w:tcPr>
          <w:p w14:paraId="0414E570" w14:textId="77777777" w:rsidR="00A52778" w:rsidRPr="00460F9E" w:rsidRDefault="00A52778" w:rsidP="00FC3F8E">
            <w:pPr>
              <w:spacing w:line="0" w:lineRule="atLeast"/>
              <w:rPr>
                <w:rFonts w:eastAsia="Times New Roman" w:cs="Times New Roman"/>
                <w:b/>
                <w:sz w:val="19"/>
              </w:rPr>
            </w:pPr>
          </w:p>
        </w:tc>
        <w:tc>
          <w:tcPr>
            <w:tcW w:w="240" w:type="dxa"/>
            <w:tcBorders>
              <w:bottom w:val="single" w:sz="8" w:space="0" w:color="auto"/>
            </w:tcBorders>
            <w:shd w:val="clear" w:color="auto" w:fill="auto"/>
            <w:vAlign w:val="bottom"/>
          </w:tcPr>
          <w:p w14:paraId="30B2AC0A" w14:textId="77777777" w:rsidR="00A52778" w:rsidRPr="00460F9E" w:rsidRDefault="00A52778" w:rsidP="00FC3F8E">
            <w:pPr>
              <w:spacing w:line="0" w:lineRule="atLeast"/>
              <w:rPr>
                <w:rFonts w:eastAsia="Times New Roman" w:cs="Times New Roman"/>
                <w:b/>
                <w:sz w:val="19"/>
              </w:rPr>
            </w:pPr>
          </w:p>
        </w:tc>
        <w:tc>
          <w:tcPr>
            <w:tcW w:w="280" w:type="dxa"/>
            <w:tcBorders>
              <w:bottom w:val="single" w:sz="8" w:space="0" w:color="auto"/>
            </w:tcBorders>
            <w:shd w:val="clear" w:color="auto" w:fill="auto"/>
            <w:vAlign w:val="bottom"/>
          </w:tcPr>
          <w:p w14:paraId="517ED7DE" w14:textId="77777777" w:rsidR="00A52778" w:rsidRPr="00460F9E" w:rsidRDefault="00A52778" w:rsidP="00FC3F8E">
            <w:pPr>
              <w:spacing w:line="0" w:lineRule="atLeast"/>
              <w:rPr>
                <w:rFonts w:eastAsia="Times New Roman" w:cs="Times New Roman"/>
                <w:b/>
                <w:sz w:val="19"/>
              </w:rPr>
            </w:pPr>
          </w:p>
        </w:tc>
        <w:tc>
          <w:tcPr>
            <w:tcW w:w="600" w:type="dxa"/>
            <w:tcBorders>
              <w:bottom w:val="single" w:sz="8" w:space="0" w:color="auto"/>
            </w:tcBorders>
            <w:shd w:val="clear" w:color="auto" w:fill="auto"/>
            <w:vAlign w:val="bottom"/>
          </w:tcPr>
          <w:p w14:paraId="0A2C507E" w14:textId="77777777" w:rsidR="00A52778" w:rsidRPr="00460F9E" w:rsidRDefault="00A52778" w:rsidP="00FC3F8E">
            <w:pPr>
              <w:spacing w:line="0" w:lineRule="atLeast"/>
              <w:rPr>
                <w:rFonts w:eastAsia="Times New Roman" w:cs="Times New Roman"/>
                <w:b/>
                <w:sz w:val="19"/>
              </w:rPr>
            </w:pPr>
          </w:p>
        </w:tc>
        <w:tc>
          <w:tcPr>
            <w:tcW w:w="600" w:type="dxa"/>
            <w:tcBorders>
              <w:bottom w:val="single" w:sz="8" w:space="0" w:color="auto"/>
            </w:tcBorders>
            <w:shd w:val="clear" w:color="auto" w:fill="auto"/>
            <w:vAlign w:val="bottom"/>
          </w:tcPr>
          <w:p w14:paraId="6118BA61" w14:textId="77777777" w:rsidR="00A52778" w:rsidRPr="00460F9E" w:rsidRDefault="00A52778" w:rsidP="00FC3F8E">
            <w:pPr>
              <w:spacing w:line="0" w:lineRule="atLeast"/>
              <w:rPr>
                <w:rFonts w:eastAsia="Times New Roman" w:cs="Times New Roman"/>
                <w:b/>
                <w:sz w:val="19"/>
              </w:rPr>
            </w:pPr>
          </w:p>
        </w:tc>
        <w:tc>
          <w:tcPr>
            <w:tcW w:w="1340" w:type="dxa"/>
            <w:tcBorders>
              <w:bottom w:val="single" w:sz="8" w:space="0" w:color="auto"/>
            </w:tcBorders>
            <w:shd w:val="clear" w:color="auto" w:fill="auto"/>
            <w:vAlign w:val="bottom"/>
          </w:tcPr>
          <w:p w14:paraId="0CB2F575" w14:textId="77777777" w:rsidR="00A52778" w:rsidRPr="00460F9E" w:rsidRDefault="00A52778" w:rsidP="00FC3F8E">
            <w:pPr>
              <w:spacing w:line="0" w:lineRule="atLeast"/>
              <w:rPr>
                <w:rFonts w:eastAsia="Times New Roman" w:cs="Times New Roman"/>
                <w:b/>
                <w:sz w:val="19"/>
              </w:rPr>
            </w:pPr>
          </w:p>
        </w:tc>
        <w:tc>
          <w:tcPr>
            <w:tcW w:w="540" w:type="dxa"/>
            <w:tcBorders>
              <w:bottom w:val="single" w:sz="8" w:space="0" w:color="auto"/>
            </w:tcBorders>
            <w:shd w:val="clear" w:color="auto" w:fill="auto"/>
            <w:vAlign w:val="bottom"/>
          </w:tcPr>
          <w:p w14:paraId="487F314A" w14:textId="77777777" w:rsidR="00A52778" w:rsidRPr="00460F9E" w:rsidRDefault="00A52778" w:rsidP="00FC3F8E">
            <w:pPr>
              <w:spacing w:line="0" w:lineRule="atLeast"/>
              <w:rPr>
                <w:rFonts w:eastAsia="Times New Roman" w:cs="Times New Roman"/>
                <w:b/>
                <w:sz w:val="19"/>
              </w:rPr>
            </w:pPr>
          </w:p>
        </w:tc>
        <w:tc>
          <w:tcPr>
            <w:tcW w:w="980" w:type="dxa"/>
            <w:tcBorders>
              <w:bottom w:val="single" w:sz="8" w:space="0" w:color="auto"/>
            </w:tcBorders>
            <w:shd w:val="clear" w:color="auto" w:fill="auto"/>
            <w:vAlign w:val="bottom"/>
          </w:tcPr>
          <w:p w14:paraId="5292CF08" w14:textId="77777777" w:rsidR="00A52778" w:rsidRPr="00460F9E" w:rsidRDefault="00A52778" w:rsidP="00FC3F8E">
            <w:pPr>
              <w:spacing w:line="0" w:lineRule="atLeast"/>
              <w:rPr>
                <w:rFonts w:eastAsia="Times New Roman" w:cs="Times New Roman"/>
                <w:b/>
                <w:sz w:val="19"/>
              </w:rPr>
            </w:pPr>
          </w:p>
        </w:tc>
        <w:tc>
          <w:tcPr>
            <w:tcW w:w="740" w:type="dxa"/>
            <w:tcBorders>
              <w:bottom w:val="single" w:sz="8" w:space="0" w:color="auto"/>
            </w:tcBorders>
            <w:shd w:val="clear" w:color="auto" w:fill="auto"/>
            <w:vAlign w:val="bottom"/>
          </w:tcPr>
          <w:p w14:paraId="651D3601" w14:textId="77777777" w:rsidR="00A52778" w:rsidRPr="00460F9E" w:rsidRDefault="00A52778" w:rsidP="00FC3F8E">
            <w:pPr>
              <w:spacing w:line="0" w:lineRule="atLeast"/>
              <w:rPr>
                <w:rFonts w:eastAsia="Times New Roman" w:cs="Times New Roman"/>
                <w:b/>
                <w:sz w:val="19"/>
              </w:rPr>
            </w:pPr>
          </w:p>
        </w:tc>
        <w:tc>
          <w:tcPr>
            <w:tcW w:w="780" w:type="dxa"/>
            <w:tcBorders>
              <w:bottom w:val="single" w:sz="8" w:space="0" w:color="auto"/>
              <w:right w:val="single" w:sz="8" w:space="0" w:color="auto"/>
            </w:tcBorders>
            <w:shd w:val="clear" w:color="auto" w:fill="auto"/>
            <w:vAlign w:val="bottom"/>
          </w:tcPr>
          <w:p w14:paraId="2CADA4DF" w14:textId="77777777" w:rsidR="00A52778" w:rsidRPr="00460F9E" w:rsidRDefault="00A52778" w:rsidP="00FC3F8E">
            <w:pPr>
              <w:spacing w:line="0" w:lineRule="atLeast"/>
              <w:rPr>
                <w:rFonts w:eastAsia="Times New Roman" w:cs="Times New Roman"/>
                <w:b/>
                <w:sz w:val="19"/>
              </w:rPr>
            </w:pPr>
          </w:p>
        </w:tc>
      </w:tr>
      <w:tr w:rsidR="00A52778" w:rsidRPr="00460F9E" w14:paraId="5C75FF63" w14:textId="77777777" w:rsidTr="00FC3F8E">
        <w:trPr>
          <w:trHeight w:val="215"/>
        </w:trPr>
        <w:tc>
          <w:tcPr>
            <w:tcW w:w="400" w:type="dxa"/>
            <w:tcBorders>
              <w:left w:val="single" w:sz="8" w:space="0" w:color="auto"/>
            </w:tcBorders>
            <w:shd w:val="clear" w:color="auto" w:fill="auto"/>
            <w:vAlign w:val="bottom"/>
          </w:tcPr>
          <w:p w14:paraId="7B38F7F8" w14:textId="77777777" w:rsidR="00A52778" w:rsidRPr="00460F9E" w:rsidRDefault="00A52778" w:rsidP="00FC3F8E">
            <w:pPr>
              <w:spacing w:line="0" w:lineRule="atLeast"/>
              <w:rPr>
                <w:rFonts w:eastAsia="Times New Roman" w:cs="Times New Roman"/>
                <w:b/>
                <w:sz w:val="18"/>
              </w:rPr>
            </w:pPr>
          </w:p>
        </w:tc>
        <w:tc>
          <w:tcPr>
            <w:tcW w:w="280" w:type="dxa"/>
            <w:tcBorders>
              <w:right w:val="single" w:sz="8" w:space="0" w:color="auto"/>
            </w:tcBorders>
            <w:shd w:val="clear" w:color="auto" w:fill="auto"/>
            <w:vAlign w:val="bottom"/>
          </w:tcPr>
          <w:p w14:paraId="538DD4A9" w14:textId="77777777" w:rsidR="00A52778" w:rsidRPr="00460F9E" w:rsidRDefault="00A52778" w:rsidP="00FC3F8E">
            <w:pPr>
              <w:spacing w:line="0" w:lineRule="atLeast"/>
              <w:rPr>
                <w:rFonts w:eastAsia="Times New Roman" w:cs="Times New Roman"/>
                <w:b/>
                <w:sz w:val="18"/>
              </w:rPr>
            </w:pPr>
          </w:p>
        </w:tc>
        <w:tc>
          <w:tcPr>
            <w:tcW w:w="820" w:type="dxa"/>
            <w:shd w:val="clear" w:color="auto" w:fill="auto"/>
            <w:vAlign w:val="bottom"/>
          </w:tcPr>
          <w:p w14:paraId="03244312" w14:textId="77777777" w:rsidR="00A52778" w:rsidRPr="00460F9E" w:rsidRDefault="00A52778" w:rsidP="00FC3F8E">
            <w:pPr>
              <w:spacing w:line="0" w:lineRule="atLeast"/>
              <w:rPr>
                <w:rFonts w:eastAsia="Times New Roman" w:cs="Times New Roman"/>
                <w:b/>
                <w:sz w:val="18"/>
              </w:rPr>
            </w:pPr>
          </w:p>
        </w:tc>
        <w:tc>
          <w:tcPr>
            <w:tcW w:w="454" w:type="dxa"/>
            <w:tcBorders>
              <w:right w:val="single" w:sz="8" w:space="0" w:color="auto"/>
            </w:tcBorders>
            <w:shd w:val="clear" w:color="auto" w:fill="auto"/>
            <w:vAlign w:val="bottom"/>
          </w:tcPr>
          <w:p w14:paraId="212DBDB1" w14:textId="77777777" w:rsidR="00A52778" w:rsidRPr="00460F9E" w:rsidRDefault="00A52778" w:rsidP="00FC3F8E">
            <w:pPr>
              <w:spacing w:line="0" w:lineRule="atLeast"/>
              <w:rPr>
                <w:rFonts w:eastAsia="Times New Roman" w:cs="Times New Roman"/>
                <w:b/>
                <w:sz w:val="18"/>
              </w:rPr>
            </w:pPr>
          </w:p>
        </w:tc>
        <w:tc>
          <w:tcPr>
            <w:tcW w:w="706" w:type="dxa"/>
            <w:shd w:val="clear" w:color="auto" w:fill="auto"/>
            <w:vAlign w:val="bottom"/>
          </w:tcPr>
          <w:p w14:paraId="72D2F2F6" w14:textId="77777777" w:rsidR="00A52778" w:rsidRPr="00460F9E" w:rsidRDefault="00A52778" w:rsidP="00FC3F8E">
            <w:pPr>
              <w:spacing w:line="0" w:lineRule="atLeast"/>
              <w:rPr>
                <w:rFonts w:eastAsia="Times New Roman" w:cs="Times New Roman"/>
                <w:b/>
                <w:sz w:val="18"/>
              </w:rPr>
            </w:pPr>
          </w:p>
        </w:tc>
        <w:tc>
          <w:tcPr>
            <w:tcW w:w="240" w:type="dxa"/>
            <w:shd w:val="clear" w:color="auto" w:fill="auto"/>
            <w:vAlign w:val="bottom"/>
          </w:tcPr>
          <w:p w14:paraId="21BFB909" w14:textId="77777777" w:rsidR="00A52778" w:rsidRPr="00460F9E" w:rsidRDefault="00A52778" w:rsidP="00FC3F8E">
            <w:pPr>
              <w:spacing w:line="0" w:lineRule="atLeast"/>
              <w:rPr>
                <w:rFonts w:eastAsia="Times New Roman" w:cs="Times New Roman"/>
                <w:b/>
                <w:sz w:val="18"/>
              </w:rPr>
            </w:pPr>
          </w:p>
        </w:tc>
        <w:tc>
          <w:tcPr>
            <w:tcW w:w="280" w:type="dxa"/>
            <w:shd w:val="clear" w:color="auto" w:fill="auto"/>
            <w:vAlign w:val="bottom"/>
          </w:tcPr>
          <w:p w14:paraId="532A56E0" w14:textId="77777777" w:rsidR="00A52778" w:rsidRPr="00460F9E" w:rsidRDefault="00A52778" w:rsidP="00FC3F8E">
            <w:pPr>
              <w:spacing w:line="0" w:lineRule="atLeast"/>
              <w:rPr>
                <w:rFonts w:eastAsia="Times New Roman" w:cs="Times New Roman"/>
                <w:b/>
                <w:sz w:val="18"/>
              </w:rPr>
            </w:pPr>
          </w:p>
        </w:tc>
        <w:tc>
          <w:tcPr>
            <w:tcW w:w="600" w:type="dxa"/>
            <w:shd w:val="clear" w:color="auto" w:fill="auto"/>
            <w:vAlign w:val="bottom"/>
          </w:tcPr>
          <w:p w14:paraId="1A53A997" w14:textId="77777777" w:rsidR="00A52778" w:rsidRPr="00460F9E" w:rsidRDefault="00A52778" w:rsidP="00FC3F8E">
            <w:pPr>
              <w:spacing w:line="0" w:lineRule="atLeast"/>
              <w:rPr>
                <w:rFonts w:eastAsia="Times New Roman" w:cs="Times New Roman"/>
                <w:b/>
                <w:sz w:val="18"/>
              </w:rPr>
            </w:pPr>
          </w:p>
        </w:tc>
        <w:tc>
          <w:tcPr>
            <w:tcW w:w="600" w:type="dxa"/>
            <w:tcBorders>
              <w:right w:val="single" w:sz="8" w:space="0" w:color="auto"/>
            </w:tcBorders>
            <w:shd w:val="clear" w:color="auto" w:fill="auto"/>
            <w:vAlign w:val="bottom"/>
          </w:tcPr>
          <w:p w14:paraId="169DD402" w14:textId="77777777" w:rsidR="00A52778" w:rsidRPr="00460F9E" w:rsidRDefault="00A52778" w:rsidP="00FC3F8E">
            <w:pPr>
              <w:spacing w:line="0" w:lineRule="atLeast"/>
              <w:rPr>
                <w:rFonts w:eastAsia="Times New Roman" w:cs="Times New Roman"/>
                <w:b/>
                <w:sz w:val="18"/>
              </w:rPr>
            </w:pPr>
          </w:p>
        </w:tc>
        <w:tc>
          <w:tcPr>
            <w:tcW w:w="1340" w:type="dxa"/>
            <w:tcBorders>
              <w:right w:val="single" w:sz="8" w:space="0" w:color="auto"/>
            </w:tcBorders>
            <w:shd w:val="clear" w:color="auto" w:fill="auto"/>
            <w:vAlign w:val="bottom"/>
          </w:tcPr>
          <w:p w14:paraId="3FDB1583" w14:textId="77777777" w:rsidR="00A52778" w:rsidRPr="00460F9E" w:rsidRDefault="00A52778" w:rsidP="00FC3F8E">
            <w:pPr>
              <w:spacing w:line="0" w:lineRule="atLeast"/>
              <w:rPr>
                <w:rFonts w:eastAsia="Times New Roman" w:cs="Times New Roman"/>
                <w:b/>
                <w:sz w:val="18"/>
              </w:rPr>
            </w:pPr>
          </w:p>
        </w:tc>
        <w:tc>
          <w:tcPr>
            <w:tcW w:w="3040" w:type="dxa"/>
            <w:gridSpan w:val="4"/>
            <w:vMerge w:val="restart"/>
            <w:tcBorders>
              <w:right w:val="single" w:sz="8" w:space="0" w:color="auto"/>
            </w:tcBorders>
            <w:shd w:val="clear" w:color="auto" w:fill="auto"/>
            <w:vAlign w:val="bottom"/>
          </w:tcPr>
          <w:p w14:paraId="52D512B0"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Uygulanabilirliği mevcut proses  </w:t>
            </w:r>
          </w:p>
          <w:p w14:paraId="533ACA72"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fırınları/ısıtıcıları için alan </w:t>
            </w:r>
          </w:p>
          <w:p w14:paraId="11754F75"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müsaitliğine göre kısıtlanabilir.</w:t>
            </w:r>
          </w:p>
        </w:tc>
      </w:tr>
      <w:tr w:rsidR="00A52778" w:rsidRPr="00460F9E" w14:paraId="67956E14" w14:textId="77777777" w:rsidTr="00FC3F8E">
        <w:trPr>
          <w:trHeight w:val="234"/>
        </w:trPr>
        <w:tc>
          <w:tcPr>
            <w:tcW w:w="400" w:type="dxa"/>
            <w:tcBorders>
              <w:left w:val="single" w:sz="8" w:space="0" w:color="auto"/>
            </w:tcBorders>
            <w:shd w:val="clear" w:color="auto" w:fill="auto"/>
            <w:vAlign w:val="bottom"/>
          </w:tcPr>
          <w:p w14:paraId="35D36889" w14:textId="77777777" w:rsidR="00A52778" w:rsidRPr="00460F9E" w:rsidRDefault="00A52778" w:rsidP="00FC3F8E">
            <w:pPr>
              <w:spacing w:line="0" w:lineRule="atLeast"/>
              <w:ind w:left="100"/>
              <w:rPr>
                <w:rFonts w:eastAsia="Times New Roman" w:cs="Times New Roman"/>
                <w:b/>
              </w:rPr>
            </w:pPr>
            <w:r>
              <w:rPr>
                <w:rFonts w:eastAsia="Times New Roman" w:cs="Times New Roman"/>
              </w:rPr>
              <w:t>ç</w:t>
            </w:r>
            <w:r w:rsidRPr="00460F9E">
              <w:rPr>
                <w:rFonts w:eastAsia="Times New Roman" w:cs="Times New Roman"/>
              </w:rPr>
              <w:t>.</w:t>
            </w:r>
          </w:p>
        </w:tc>
        <w:tc>
          <w:tcPr>
            <w:tcW w:w="280" w:type="dxa"/>
            <w:tcBorders>
              <w:right w:val="single" w:sz="8" w:space="0" w:color="auto"/>
            </w:tcBorders>
            <w:shd w:val="clear" w:color="auto" w:fill="auto"/>
            <w:vAlign w:val="bottom"/>
          </w:tcPr>
          <w:p w14:paraId="0A5E1502" w14:textId="77777777" w:rsidR="00A52778" w:rsidRPr="00460F9E" w:rsidRDefault="00A52778" w:rsidP="00FC3F8E">
            <w:pPr>
              <w:spacing w:line="0" w:lineRule="atLeast"/>
              <w:rPr>
                <w:rFonts w:eastAsia="Times New Roman" w:cs="Times New Roman"/>
                <w:b/>
              </w:rPr>
            </w:pPr>
          </w:p>
        </w:tc>
        <w:tc>
          <w:tcPr>
            <w:tcW w:w="1274" w:type="dxa"/>
            <w:gridSpan w:val="2"/>
            <w:tcBorders>
              <w:right w:val="single" w:sz="8" w:space="0" w:color="auto"/>
            </w:tcBorders>
            <w:shd w:val="clear" w:color="auto" w:fill="auto"/>
            <w:vAlign w:val="bottom"/>
          </w:tcPr>
          <w:p w14:paraId="56589AE8"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Absorpsiyon</w:t>
            </w:r>
          </w:p>
        </w:tc>
        <w:tc>
          <w:tcPr>
            <w:tcW w:w="1826" w:type="dxa"/>
            <w:gridSpan w:val="4"/>
            <w:shd w:val="clear" w:color="auto" w:fill="auto"/>
            <w:vAlign w:val="bottom"/>
          </w:tcPr>
          <w:p w14:paraId="203BA46E"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Bkz. Bölüm</w:t>
            </w:r>
            <w:r w:rsidRPr="00460F9E">
              <w:rPr>
                <w:rFonts w:cs="Times New Roman"/>
              </w:rPr>
              <w:t xml:space="preserve"> </w:t>
            </w:r>
            <w:hyperlink w:anchor="page331" w:history="1">
              <w:r w:rsidRPr="00460F9E">
                <w:rPr>
                  <w:rFonts w:eastAsia="Times New Roman" w:cs="Times New Roman"/>
                </w:rPr>
                <w:t>4.4.1.</w:t>
              </w:r>
            </w:hyperlink>
          </w:p>
        </w:tc>
        <w:tc>
          <w:tcPr>
            <w:tcW w:w="600" w:type="dxa"/>
            <w:tcBorders>
              <w:right w:val="single" w:sz="8" w:space="0" w:color="auto"/>
            </w:tcBorders>
            <w:shd w:val="clear" w:color="auto" w:fill="auto"/>
            <w:vAlign w:val="bottom"/>
          </w:tcPr>
          <w:p w14:paraId="2B1FC3E3" w14:textId="77777777" w:rsidR="00A52778" w:rsidRPr="00460F9E" w:rsidRDefault="00A52778" w:rsidP="00FC3F8E">
            <w:pPr>
              <w:spacing w:line="0" w:lineRule="atLeast"/>
              <w:rPr>
                <w:rFonts w:eastAsia="Times New Roman" w:cs="Times New Roman"/>
                <w:b/>
              </w:rPr>
            </w:pPr>
          </w:p>
        </w:tc>
        <w:tc>
          <w:tcPr>
            <w:tcW w:w="1340" w:type="dxa"/>
            <w:tcBorders>
              <w:right w:val="single" w:sz="8" w:space="0" w:color="auto"/>
            </w:tcBorders>
            <w:shd w:val="clear" w:color="auto" w:fill="auto"/>
            <w:vAlign w:val="bottom"/>
          </w:tcPr>
          <w:p w14:paraId="7CAAB094"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SO</w:t>
            </w:r>
            <w:r w:rsidRPr="00460F9E">
              <w:rPr>
                <w:rFonts w:eastAsia="Times New Roman" w:cs="Times New Roman"/>
                <w:sz w:val="12"/>
              </w:rPr>
              <w:t>X</w:t>
            </w:r>
            <w:r w:rsidRPr="00460F9E">
              <w:rPr>
                <w:rFonts w:eastAsia="Times New Roman" w:cs="Times New Roman"/>
              </w:rPr>
              <w:t>, toz</w:t>
            </w:r>
          </w:p>
        </w:tc>
        <w:tc>
          <w:tcPr>
            <w:tcW w:w="3040" w:type="dxa"/>
            <w:gridSpan w:val="4"/>
            <w:vMerge/>
            <w:tcBorders>
              <w:right w:val="single" w:sz="8" w:space="0" w:color="auto"/>
            </w:tcBorders>
            <w:shd w:val="clear" w:color="auto" w:fill="auto"/>
            <w:vAlign w:val="bottom"/>
          </w:tcPr>
          <w:p w14:paraId="3B452B28" w14:textId="77777777" w:rsidR="00A52778" w:rsidRPr="00460F9E" w:rsidRDefault="00A52778" w:rsidP="00FC3F8E">
            <w:pPr>
              <w:spacing w:line="0" w:lineRule="atLeast"/>
              <w:rPr>
                <w:rFonts w:eastAsia="Times New Roman" w:cs="Times New Roman"/>
                <w:b/>
              </w:rPr>
            </w:pPr>
          </w:p>
        </w:tc>
      </w:tr>
      <w:tr w:rsidR="00A52778" w:rsidRPr="00460F9E" w14:paraId="2C8294F5" w14:textId="77777777" w:rsidTr="00FC3F8E">
        <w:trPr>
          <w:trHeight w:val="228"/>
        </w:trPr>
        <w:tc>
          <w:tcPr>
            <w:tcW w:w="400" w:type="dxa"/>
            <w:tcBorders>
              <w:left w:val="single" w:sz="8" w:space="0" w:color="auto"/>
              <w:bottom w:val="single" w:sz="8" w:space="0" w:color="auto"/>
            </w:tcBorders>
            <w:shd w:val="clear" w:color="auto" w:fill="auto"/>
            <w:vAlign w:val="bottom"/>
          </w:tcPr>
          <w:p w14:paraId="6AACD938" w14:textId="77777777" w:rsidR="00A52778" w:rsidRPr="00460F9E" w:rsidRDefault="00A52778" w:rsidP="00FC3F8E">
            <w:pPr>
              <w:spacing w:line="0" w:lineRule="atLeast"/>
              <w:rPr>
                <w:rFonts w:eastAsia="Times New Roman" w:cs="Times New Roman"/>
                <w:b/>
                <w:sz w:val="19"/>
              </w:rPr>
            </w:pPr>
          </w:p>
        </w:tc>
        <w:tc>
          <w:tcPr>
            <w:tcW w:w="280" w:type="dxa"/>
            <w:tcBorders>
              <w:bottom w:val="single" w:sz="8" w:space="0" w:color="auto"/>
              <w:right w:val="single" w:sz="8" w:space="0" w:color="auto"/>
            </w:tcBorders>
            <w:shd w:val="clear" w:color="auto" w:fill="auto"/>
            <w:vAlign w:val="bottom"/>
          </w:tcPr>
          <w:p w14:paraId="04161F07" w14:textId="77777777" w:rsidR="00A52778" w:rsidRPr="00460F9E" w:rsidRDefault="00A52778" w:rsidP="00FC3F8E">
            <w:pPr>
              <w:spacing w:line="0" w:lineRule="atLeast"/>
              <w:rPr>
                <w:rFonts w:eastAsia="Times New Roman" w:cs="Times New Roman"/>
                <w:b/>
                <w:sz w:val="19"/>
              </w:rPr>
            </w:pPr>
          </w:p>
        </w:tc>
        <w:tc>
          <w:tcPr>
            <w:tcW w:w="820" w:type="dxa"/>
            <w:tcBorders>
              <w:bottom w:val="single" w:sz="8" w:space="0" w:color="auto"/>
            </w:tcBorders>
            <w:shd w:val="clear" w:color="auto" w:fill="auto"/>
            <w:vAlign w:val="bottom"/>
          </w:tcPr>
          <w:p w14:paraId="5FB0EF50" w14:textId="77777777" w:rsidR="00A52778" w:rsidRPr="00460F9E" w:rsidRDefault="00A52778" w:rsidP="00FC3F8E">
            <w:pPr>
              <w:spacing w:line="0" w:lineRule="atLeast"/>
              <w:rPr>
                <w:rFonts w:eastAsia="Times New Roman" w:cs="Times New Roman"/>
                <w:b/>
                <w:sz w:val="19"/>
              </w:rPr>
            </w:pPr>
          </w:p>
        </w:tc>
        <w:tc>
          <w:tcPr>
            <w:tcW w:w="454" w:type="dxa"/>
            <w:tcBorders>
              <w:bottom w:val="single" w:sz="8" w:space="0" w:color="auto"/>
              <w:right w:val="single" w:sz="8" w:space="0" w:color="auto"/>
            </w:tcBorders>
            <w:shd w:val="clear" w:color="auto" w:fill="auto"/>
            <w:vAlign w:val="bottom"/>
          </w:tcPr>
          <w:p w14:paraId="21D9AA81" w14:textId="77777777" w:rsidR="00A52778" w:rsidRPr="00460F9E" w:rsidRDefault="00A52778" w:rsidP="00FC3F8E">
            <w:pPr>
              <w:spacing w:line="0" w:lineRule="atLeast"/>
              <w:rPr>
                <w:rFonts w:eastAsia="Times New Roman" w:cs="Times New Roman"/>
                <w:b/>
                <w:sz w:val="19"/>
              </w:rPr>
            </w:pPr>
          </w:p>
        </w:tc>
        <w:tc>
          <w:tcPr>
            <w:tcW w:w="706" w:type="dxa"/>
            <w:tcBorders>
              <w:bottom w:val="single" w:sz="8" w:space="0" w:color="auto"/>
            </w:tcBorders>
            <w:shd w:val="clear" w:color="auto" w:fill="auto"/>
            <w:vAlign w:val="bottom"/>
          </w:tcPr>
          <w:p w14:paraId="366ED38E" w14:textId="77777777" w:rsidR="00A52778" w:rsidRPr="00460F9E" w:rsidRDefault="00A52778" w:rsidP="00FC3F8E">
            <w:pPr>
              <w:spacing w:line="0" w:lineRule="atLeast"/>
              <w:rPr>
                <w:rFonts w:eastAsia="Times New Roman" w:cs="Times New Roman"/>
                <w:b/>
                <w:sz w:val="19"/>
              </w:rPr>
            </w:pPr>
          </w:p>
        </w:tc>
        <w:tc>
          <w:tcPr>
            <w:tcW w:w="240" w:type="dxa"/>
            <w:tcBorders>
              <w:bottom w:val="single" w:sz="8" w:space="0" w:color="auto"/>
            </w:tcBorders>
            <w:shd w:val="clear" w:color="auto" w:fill="auto"/>
            <w:vAlign w:val="bottom"/>
          </w:tcPr>
          <w:p w14:paraId="54B6CD5F" w14:textId="77777777" w:rsidR="00A52778" w:rsidRPr="00460F9E" w:rsidRDefault="00A52778" w:rsidP="00FC3F8E">
            <w:pPr>
              <w:spacing w:line="0" w:lineRule="atLeast"/>
              <w:rPr>
                <w:rFonts w:eastAsia="Times New Roman" w:cs="Times New Roman"/>
                <w:b/>
                <w:sz w:val="19"/>
              </w:rPr>
            </w:pPr>
          </w:p>
        </w:tc>
        <w:tc>
          <w:tcPr>
            <w:tcW w:w="280" w:type="dxa"/>
            <w:tcBorders>
              <w:bottom w:val="single" w:sz="8" w:space="0" w:color="auto"/>
            </w:tcBorders>
            <w:shd w:val="clear" w:color="auto" w:fill="auto"/>
            <w:vAlign w:val="bottom"/>
          </w:tcPr>
          <w:p w14:paraId="03F186BD" w14:textId="77777777" w:rsidR="00A52778" w:rsidRPr="00460F9E" w:rsidRDefault="00A52778" w:rsidP="00FC3F8E">
            <w:pPr>
              <w:spacing w:line="0" w:lineRule="atLeast"/>
              <w:rPr>
                <w:rFonts w:eastAsia="Times New Roman" w:cs="Times New Roman"/>
                <w:b/>
                <w:sz w:val="19"/>
              </w:rPr>
            </w:pPr>
          </w:p>
        </w:tc>
        <w:tc>
          <w:tcPr>
            <w:tcW w:w="600" w:type="dxa"/>
            <w:tcBorders>
              <w:bottom w:val="single" w:sz="8" w:space="0" w:color="auto"/>
            </w:tcBorders>
            <w:shd w:val="clear" w:color="auto" w:fill="auto"/>
            <w:vAlign w:val="bottom"/>
          </w:tcPr>
          <w:p w14:paraId="63CAB03D" w14:textId="77777777" w:rsidR="00A52778" w:rsidRPr="00460F9E" w:rsidRDefault="00A52778" w:rsidP="00FC3F8E">
            <w:pPr>
              <w:spacing w:line="0" w:lineRule="atLeast"/>
              <w:rPr>
                <w:rFonts w:eastAsia="Times New Roman" w:cs="Times New Roman"/>
                <w:b/>
                <w:sz w:val="19"/>
              </w:rPr>
            </w:pPr>
          </w:p>
        </w:tc>
        <w:tc>
          <w:tcPr>
            <w:tcW w:w="600" w:type="dxa"/>
            <w:tcBorders>
              <w:bottom w:val="single" w:sz="8" w:space="0" w:color="auto"/>
              <w:right w:val="single" w:sz="8" w:space="0" w:color="auto"/>
            </w:tcBorders>
            <w:shd w:val="clear" w:color="auto" w:fill="auto"/>
            <w:vAlign w:val="bottom"/>
          </w:tcPr>
          <w:p w14:paraId="71D7FB1C" w14:textId="77777777" w:rsidR="00A52778" w:rsidRPr="00460F9E" w:rsidRDefault="00A52778" w:rsidP="00FC3F8E">
            <w:pPr>
              <w:spacing w:line="0" w:lineRule="atLeast"/>
              <w:rPr>
                <w:rFonts w:eastAsia="Times New Roman" w:cs="Times New Roman"/>
                <w:b/>
                <w:sz w:val="19"/>
              </w:rPr>
            </w:pPr>
          </w:p>
        </w:tc>
        <w:tc>
          <w:tcPr>
            <w:tcW w:w="1340" w:type="dxa"/>
            <w:tcBorders>
              <w:bottom w:val="single" w:sz="8" w:space="0" w:color="auto"/>
              <w:right w:val="single" w:sz="8" w:space="0" w:color="auto"/>
            </w:tcBorders>
            <w:shd w:val="clear" w:color="auto" w:fill="auto"/>
            <w:vAlign w:val="bottom"/>
          </w:tcPr>
          <w:p w14:paraId="05C9510B" w14:textId="77777777" w:rsidR="00A52778" w:rsidRPr="00460F9E" w:rsidRDefault="00A52778" w:rsidP="00FC3F8E">
            <w:pPr>
              <w:spacing w:line="0" w:lineRule="atLeast"/>
              <w:rPr>
                <w:rFonts w:eastAsia="Times New Roman" w:cs="Times New Roman"/>
                <w:b/>
                <w:sz w:val="19"/>
              </w:rPr>
            </w:pPr>
          </w:p>
        </w:tc>
        <w:tc>
          <w:tcPr>
            <w:tcW w:w="3040" w:type="dxa"/>
            <w:gridSpan w:val="4"/>
            <w:vMerge/>
            <w:tcBorders>
              <w:bottom w:val="single" w:sz="8" w:space="0" w:color="auto"/>
              <w:right w:val="single" w:sz="8" w:space="0" w:color="auto"/>
            </w:tcBorders>
            <w:shd w:val="clear" w:color="auto" w:fill="auto"/>
            <w:vAlign w:val="bottom"/>
          </w:tcPr>
          <w:p w14:paraId="1736CDD1" w14:textId="77777777" w:rsidR="00A52778" w:rsidRPr="00460F9E" w:rsidRDefault="00A52778" w:rsidP="00FC3F8E">
            <w:pPr>
              <w:spacing w:line="0" w:lineRule="atLeast"/>
              <w:rPr>
                <w:rFonts w:eastAsia="Times New Roman" w:cs="Times New Roman"/>
                <w:b/>
                <w:sz w:val="19"/>
              </w:rPr>
            </w:pPr>
          </w:p>
        </w:tc>
      </w:tr>
      <w:tr w:rsidR="00A52778" w:rsidRPr="00460F9E" w14:paraId="4A5C92F3" w14:textId="77777777" w:rsidTr="00FC3F8E">
        <w:trPr>
          <w:trHeight w:val="217"/>
        </w:trPr>
        <w:tc>
          <w:tcPr>
            <w:tcW w:w="400" w:type="dxa"/>
            <w:tcBorders>
              <w:left w:val="single" w:sz="8" w:space="0" w:color="auto"/>
            </w:tcBorders>
            <w:shd w:val="clear" w:color="auto" w:fill="auto"/>
            <w:vAlign w:val="bottom"/>
          </w:tcPr>
          <w:p w14:paraId="2899402A" w14:textId="77777777" w:rsidR="00A52778" w:rsidRPr="00460F9E" w:rsidRDefault="00A52778" w:rsidP="00FC3F8E">
            <w:pPr>
              <w:spacing w:line="0" w:lineRule="atLeast"/>
              <w:rPr>
                <w:rFonts w:eastAsia="Times New Roman" w:cs="Times New Roman"/>
                <w:b/>
                <w:sz w:val="18"/>
              </w:rPr>
            </w:pPr>
          </w:p>
        </w:tc>
        <w:tc>
          <w:tcPr>
            <w:tcW w:w="280" w:type="dxa"/>
            <w:tcBorders>
              <w:right w:val="single" w:sz="8" w:space="0" w:color="auto"/>
            </w:tcBorders>
            <w:shd w:val="clear" w:color="auto" w:fill="auto"/>
            <w:vAlign w:val="bottom"/>
          </w:tcPr>
          <w:p w14:paraId="1A3F57D6" w14:textId="77777777" w:rsidR="00A52778" w:rsidRPr="00460F9E" w:rsidRDefault="00A52778" w:rsidP="00FC3F8E">
            <w:pPr>
              <w:spacing w:line="0" w:lineRule="atLeast"/>
              <w:rPr>
                <w:rFonts w:eastAsia="Times New Roman" w:cs="Times New Roman"/>
                <w:b/>
                <w:sz w:val="18"/>
              </w:rPr>
            </w:pPr>
          </w:p>
        </w:tc>
        <w:tc>
          <w:tcPr>
            <w:tcW w:w="1274" w:type="dxa"/>
            <w:gridSpan w:val="2"/>
            <w:vMerge w:val="restart"/>
            <w:tcBorders>
              <w:right w:val="single" w:sz="8" w:space="0" w:color="auto"/>
            </w:tcBorders>
            <w:shd w:val="clear" w:color="auto" w:fill="auto"/>
            <w:vAlign w:val="center"/>
          </w:tcPr>
          <w:p w14:paraId="0B1978A6"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Kumaş filtre </w:t>
            </w:r>
          </w:p>
          <w:p w14:paraId="6B362BDA"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veya </w:t>
            </w:r>
          </w:p>
          <w:p w14:paraId="183D4934" w14:textId="77777777" w:rsidR="00A52778" w:rsidRPr="00460F9E" w:rsidRDefault="00A52778" w:rsidP="00FC3F8E">
            <w:pPr>
              <w:spacing w:line="0" w:lineRule="atLeast"/>
              <w:rPr>
                <w:rFonts w:eastAsia="Times New Roman" w:cs="Times New Roman"/>
                <w:b/>
                <w:w w:val="92"/>
              </w:rPr>
            </w:pPr>
            <w:r w:rsidRPr="00460F9E">
              <w:rPr>
                <w:rFonts w:eastAsia="Times New Roman" w:cs="Times New Roman"/>
              </w:rPr>
              <w:t xml:space="preserve">  mutlak filtre</w:t>
            </w:r>
          </w:p>
        </w:tc>
        <w:tc>
          <w:tcPr>
            <w:tcW w:w="706" w:type="dxa"/>
            <w:tcBorders>
              <w:left w:val="single" w:sz="8" w:space="0" w:color="auto"/>
            </w:tcBorders>
            <w:shd w:val="clear" w:color="auto" w:fill="auto"/>
            <w:vAlign w:val="bottom"/>
          </w:tcPr>
          <w:p w14:paraId="022DFEE0" w14:textId="77777777" w:rsidR="00A52778" w:rsidRPr="00460F9E" w:rsidRDefault="00A52778" w:rsidP="00FC3F8E">
            <w:pPr>
              <w:spacing w:line="0" w:lineRule="atLeast"/>
              <w:rPr>
                <w:rFonts w:eastAsia="Times New Roman" w:cs="Times New Roman"/>
                <w:b/>
                <w:sz w:val="18"/>
              </w:rPr>
            </w:pPr>
          </w:p>
        </w:tc>
        <w:tc>
          <w:tcPr>
            <w:tcW w:w="240" w:type="dxa"/>
            <w:shd w:val="clear" w:color="auto" w:fill="auto"/>
            <w:vAlign w:val="bottom"/>
          </w:tcPr>
          <w:p w14:paraId="39978695" w14:textId="77777777" w:rsidR="00A52778" w:rsidRPr="00460F9E" w:rsidRDefault="00A52778" w:rsidP="00FC3F8E">
            <w:pPr>
              <w:spacing w:line="0" w:lineRule="atLeast"/>
              <w:rPr>
                <w:rFonts w:eastAsia="Times New Roman" w:cs="Times New Roman"/>
                <w:b/>
                <w:sz w:val="18"/>
              </w:rPr>
            </w:pPr>
          </w:p>
        </w:tc>
        <w:tc>
          <w:tcPr>
            <w:tcW w:w="280" w:type="dxa"/>
            <w:shd w:val="clear" w:color="auto" w:fill="auto"/>
            <w:vAlign w:val="bottom"/>
          </w:tcPr>
          <w:p w14:paraId="0512C63F" w14:textId="77777777" w:rsidR="00A52778" w:rsidRPr="00460F9E" w:rsidRDefault="00A52778" w:rsidP="00FC3F8E">
            <w:pPr>
              <w:spacing w:line="0" w:lineRule="atLeast"/>
              <w:rPr>
                <w:rFonts w:eastAsia="Times New Roman" w:cs="Times New Roman"/>
                <w:b/>
                <w:sz w:val="18"/>
              </w:rPr>
            </w:pPr>
          </w:p>
        </w:tc>
        <w:tc>
          <w:tcPr>
            <w:tcW w:w="600" w:type="dxa"/>
            <w:shd w:val="clear" w:color="auto" w:fill="auto"/>
            <w:vAlign w:val="bottom"/>
          </w:tcPr>
          <w:p w14:paraId="3C4C0746" w14:textId="77777777" w:rsidR="00A52778" w:rsidRPr="00460F9E" w:rsidRDefault="00A52778" w:rsidP="00FC3F8E">
            <w:pPr>
              <w:spacing w:line="0" w:lineRule="atLeast"/>
              <w:rPr>
                <w:rFonts w:eastAsia="Times New Roman" w:cs="Times New Roman"/>
                <w:b/>
                <w:sz w:val="18"/>
              </w:rPr>
            </w:pPr>
          </w:p>
        </w:tc>
        <w:tc>
          <w:tcPr>
            <w:tcW w:w="600" w:type="dxa"/>
            <w:tcBorders>
              <w:right w:val="single" w:sz="8" w:space="0" w:color="auto"/>
            </w:tcBorders>
            <w:shd w:val="clear" w:color="auto" w:fill="auto"/>
            <w:vAlign w:val="bottom"/>
          </w:tcPr>
          <w:p w14:paraId="4BBFDE99" w14:textId="77777777" w:rsidR="00A52778" w:rsidRPr="00460F9E" w:rsidRDefault="00A52778" w:rsidP="00FC3F8E">
            <w:pPr>
              <w:spacing w:line="0" w:lineRule="atLeast"/>
              <w:rPr>
                <w:rFonts w:eastAsia="Times New Roman" w:cs="Times New Roman"/>
                <w:b/>
                <w:sz w:val="18"/>
              </w:rPr>
            </w:pPr>
          </w:p>
        </w:tc>
        <w:tc>
          <w:tcPr>
            <w:tcW w:w="1340" w:type="dxa"/>
            <w:tcBorders>
              <w:right w:val="single" w:sz="8" w:space="0" w:color="auto"/>
            </w:tcBorders>
            <w:shd w:val="clear" w:color="auto" w:fill="auto"/>
            <w:vAlign w:val="bottom"/>
          </w:tcPr>
          <w:p w14:paraId="1ACB6914" w14:textId="77777777" w:rsidR="00A52778" w:rsidRPr="00460F9E" w:rsidRDefault="00A52778" w:rsidP="00FC3F8E">
            <w:pPr>
              <w:spacing w:line="0" w:lineRule="atLeast"/>
              <w:rPr>
                <w:rFonts w:eastAsia="Times New Roman" w:cs="Times New Roman"/>
                <w:b/>
                <w:sz w:val="18"/>
              </w:rPr>
            </w:pPr>
          </w:p>
        </w:tc>
        <w:tc>
          <w:tcPr>
            <w:tcW w:w="3040" w:type="dxa"/>
            <w:gridSpan w:val="4"/>
            <w:vMerge w:val="restart"/>
            <w:tcBorders>
              <w:right w:val="single" w:sz="8" w:space="0" w:color="auto"/>
            </w:tcBorders>
            <w:shd w:val="clear" w:color="auto" w:fill="auto"/>
            <w:vAlign w:val="bottom"/>
          </w:tcPr>
          <w:p w14:paraId="088AE169"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Sadece gaz yakıtların yakılması </w:t>
            </w:r>
          </w:p>
          <w:p w14:paraId="52F6350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durumunda geçerli değildir.</w:t>
            </w:r>
          </w:p>
        </w:tc>
      </w:tr>
      <w:tr w:rsidR="00A52778" w:rsidRPr="00460F9E" w14:paraId="5AAFD2ED" w14:textId="77777777" w:rsidTr="00FC3F8E">
        <w:trPr>
          <w:trHeight w:val="115"/>
        </w:trPr>
        <w:tc>
          <w:tcPr>
            <w:tcW w:w="400" w:type="dxa"/>
            <w:vMerge w:val="restart"/>
            <w:tcBorders>
              <w:left w:val="single" w:sz="8" w:space="0" w:color="auto"/>
            </w:tcBorders>
            <w:shd w:val="clear" w:color="auto" w:fill="auto"/>
            <w:vAlign w:val="bottom"/>
          </w:tcPr>
          <w:p w14:paraId="5C7E4C77" w14:textId="77777777" w:rsidR="00A52778" w:rsidRPr="00460F9E" w:rsidRDefault="00A52778" w:rsidP="00FC3F8E">
            <w:pPr>
              <w:spacing w:line="0" w:lineRule="atLeast"/>
              <w:ind w:left="100"/>
              <w:rPr>
                <w:rFonts w:eastAsia="Times New Roman" w:cs="Times New Roman"/>
                <w:b/>
              </w:rPr>
            </w:pPr>
            <w:r>
              <w:rPr>
                <w:rFonts w:eastAsia="Times New Roman" w:cs="Times New Roman"/>
              </w:rPr>
              <w:t>d</w:t>
            </w:r>
            <w:r w:rsidRPr="00460F9E">
              <w:rPr>
                <w:rFonts w:eastAsia="Times New Roman" w:cs="Times New Roman"/>
              </w:rPr>
              <w:t>.</w:t>
            </w:r>
          </w:p>
        </w:tc>
        <w:tc>
          <w:tcPr>
            <w:tcW w:w="280" w:type="dxa"/>
            <w:tcBorders>
              <w:right w:val="single" w:sz="8" w:space="0" w:color="auto"/>
            </w:tcBorders>
            <w:shd w:val="clear" w:color="auto" w:fill="auto"/>
            <w:vAlign w:val="bottom"/>
          </w:tcPr>
          <w:p w14:paraId="7448696A"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right w:val="single" w:sz="8" w:space="0" w:color="auto"/>
            </w:tcBorders>
            <w:shd w:val="clear" w:color="auto" w:fill="auto"/>
            <w:vAlign w:val="bottom"/>
          </w:tcPr>
          <w:p w14:paraId="1900EED6" w14:textId="77777777" w:rsidR="00A52778" w:rsidRPr="00460F9E" w:rsidRDefault="00A52778" w:rsidP="00FC3F8E">
            <w:pPr>
              <w:spacing w:line="0" w:lineRule="atLeast"/>
              <w:rPr>
                <w:rFonts w:eastAsia="Times New Roman" w:cs="Times New Roman"/>
                <w:b/>
                <w:w w:val="98"/>
              </w:rPr>
            </w:pPr>
          </w:p>
        </w:tc>
        <w:tc>
          <w:tcPr>
            <w:tcW w:w="1826" w:type="dxa"/>
            <w:gridSpan w:val="4"/>
            <w:vMerge w:val="restart"/>
            <w:shd w:val="clear" w:color="auto" w:fill="auto"/>
            <w:vAlign w:val="bottom"/>
          </w:tcPr>
          <w:p w14:paraId="53D74DCD"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Bkz. Bölüm</w:t>
            </w:r>
            <w:r w:rsidRPr="00460F9E">
              <w:rPr>
                <w:rFonts w:cs="Times New Roman"/>
              </w:rPr>
              <w:t xml:space="preserve"> </w:t>
            </w:r>
            <w:hyperlink w:anchor="page331" w:history="1">
              <w:r w:rsidRPr="00460F9E">
                <w:rPr>
                  <w:rFonts w:eastAsia="Times New Roman" w:cs="Times New Roman"/>
                </w:rPr>
                <w:t>4.4.1.</w:t>
              </w:r>
            </w:hyperlink>
          </w:p>
        </w:tc>
        <w:tc>
          <w:tcPr>
            <w:tcW w:w="600" w:type="dxa"/>
            <w:tcBorders>
              <w:right w:val="single" w:sz="8" w:space="0" w:color="auto"/>
            </w:tcBorders>
            <w:shd w:val="clear" w:color="auto" w:fill="auto"/>
            <w:vAlign w:val="bottom"/>
          </w:tcPr>
          <w:p w14:paraId="05D084F2" w14:textId="77777777" w:rsidR="00A52778" w:rsidRPr="00460F9E" w:rsidRDefault="00A52778" w:rsidP="00FC3F8E">
            <w:pPr>
              <w:spacing w:line="0" w:lineRule="atLeast"/>
              <w:rPr>
                <w:rFonts w:eastAsia="Times New Roman" w:cs="Times New Roman"/>
                <w:b/>
                <w:sz w:val="10"/>
              </w:rPr>
            </w:pPr>
          </w:p>
        </w:tc>
        <w:tc>
          <w:tcPr>
            <w:tcW w:w="1340" w:type="dxa"/>
            <w:vMerge w:val="restart"/>
            <w:tcBorders>
              <w:right w:val="single" w:sz="8" w:space="0" w:color="auto"/>
            </w:tcBorders>
            <w:shd w:val="clear" w:color="auto" w:fill="auto"/>
            <w:vAlign w:val="bottom"/>
          </w:tcPr>
          <w:p w14:paraId="2B88F8BB" w14:textId="77777777" w:rsidR="00A52778" w:rsidRPr="00460F9E" w:rsidRDefault="00A52778" w:rsidP="00FC3F8E">
            <w:pPr>
              <w:spacing w:line="0" w:lineRule="atLeast"/>
              <w:jc w:val="center"/>
              <w:rPr>
                <w:rFonts w:eastAsia="Times New Roman" w:cs="Times New Roman"/>
                <w:b/>
              </w:rPr>
            </w:pPr>
            <w:r w:rsidRPr="00460F9E">
              <w:rPr>
                <w:rFonts w:eastAsia="Times New Roman" w:cs="Times New Roman"/>
              </w:rPr>
              <w:t>Toz</w:t>
            </w:r>
          </w:p>
        </w:tc>
        <w:tc>
          <w:tcPr>
            <w:tcW w:w="3040" w:type="dxa"/>
            <w:gridSpan w:val="4"/>
            <w:vMerge/>
            <w:tcBorders>
              <w:right w:val="single" w:sz="8" w:space="0" w:color="auto"/>
            </w:tcBorders>
            <w:shd w:val="clear" w:color="auto" w:fill="auto"/>
            <w:vAlign w:val="bottom"/>
          </w:tcPr>
          <w:p w14:paraId="40BAD5FB" w14:textId="77777777" w:rsidR="00A52778" w:rsidRPr="00460F9E" w:rsidRDefault="00A52778" w:rsidP="00FC3F8E">
            <w:pPr>
              <w:spacing w:line="0" w:lineRule="atLeast"/>
              <w:rPr>
                <w:rFonts w:eastAsia="Times New Roman" w:cs="Times New Roman"/>
                <w:b/>
                <w:sz w:val="10"/>
              </w:rPr>
            </w:pPr>
          </w:p>
        </w:tc>
      </w:tr>
      <w:tr w:rsidR="00A52778" w:rsidRPr="00460F9E" w14:paraId="339BF626" w14:textId="77777777" w:rsidTr="00FC3F8E">
        <w:trPr>
          <w:trHeight w:val="115"/>
        </w:trPr>
        <w:tc>
          <w:tcPr>
            <w:tcW w:w="400" w:type="dxa"/>
            <w:vMerge/>
            <w:tcBorders>
              <w:left w:val="single" w:sz="8" w:space="0" w:color="auto"/>
            </w:tcBorders>
            <w:shd w:val="clear" w:color="auto" w:fill="auto"/>
            <w:vAlign w:val="bottom"/>
          </w:tcPr>
          <w:p w14:paraId="263BB8A6" w14:textId="77777777" w:rsidR="00A52778" w:rsidRPr="00460F9E" w:rsidRDefault="00A52778" w:rsidP="00FC3F8E">
            <w:pPr>
              <w:spacing w:line="0" w:lineRule="atLeast"/>
              <w:rPr>
                <w:rFonts w:eastAsia="Times New Roman" w:cs="Times New Roman"/>
                <w:b/>
                <w:sz w:val="10"/>
              </w:rPr>
            </w:pPr>
          </w:p>
        </w:tc>
        <w:tc>
          <w:tcPr>
            <w:tcW w:w="280" w:type="dxa"/>
            <w:tcBorders>
              <w:right w:val="single" w:sz="8" w:space="0" w:color="auto"/>
            </w:tcBorders>
            <w:shd w:val="clear" w:color="auto" w:fill="auto"/>
            <w:vAlign w:val="bottom"/>
          </w:tcPr>
          <w:p w14:paraId="5C277705"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right w:val="single" w:sz="8" w:space="0" w:color="auto"/>
            </w:tcBorders>
            <w:shd w:val="clear" w:color="auto" w:fill="auto"/>
            <w:vAlign w:val="bottom"/>
          </w:tcPr>
          <w:p w14:paraId="710DD5ED" w14:textId="77777777" w:rsidR="00A52778" w:rsidRPr="00460F9E" w:rsidRDefault="00A52778" w:rsidP="00FC3F8E">
            <w:pPr>
              <w:spacing w:line="0" w:lineRule="atLeast"/>
              <w:rPr>
                <w:rFonts w:eastAsia="Times New Roman" w:cs="Times New Roman"/>
                <w:b/>
                <w:sz w:val="10"/>
              </w:rPr>
            </w:pPr>
          </w:p>
        </w:tc>
        <w:tc>
          <w:tcPr>
            <w:tcW w:w="1826" w:type="dxa"/>
            <w:gridSpan w:val="4"/>
            <w:vMerge/>
            <w:shd w:val="clear" w:color="auto" w:fill="auto"/>
            <w:vAlign w:val="bottom"/>
          </w:tcPr>
          <w:p w14:paraId="3AD4E081" w14:textId="77777777" w:rsidR="00A52778" w:rsidRPr="00460F9E" w:rsidRDefault="00A52778" w:rsidP="00FC3F8E">
            <w:pPr>
              <w:spacing w:line="0" w:lineRule="atLeast"/>
              <w:rPr>
                <w:rFonts w:eastAsia="Times New Roman" w:cs="Times New Roman"/>
                <w:b/>
                <w:sz w:val="10"/>
              </w:rPr>
            </w:pPr>
          </w:p>
        </w:tc>
        <w:tc>
          <w:tcPr>
            <w:tcW w:w="600" w:type="dxa"/>
            <w:tcBorders>
              <w:right w:val="single" w:sz="8" w:space="0" w:color="auto"/>
            </w:tcBorders>
            <w:shd w:val="clear" w:color="auto" w:fill="auto"/>
            <w:vAlign w:val="bottom"/>
          </w:tcPr>
          <w:p w14:paraId="13B59500" w14:textId="77777777" w:rsidR="00A52778" w:rsidRPr="00460F9E" w:rsidRDefault="00A52778" w:rsidP="00FC3F8E">
            <w:pPr>
              <w:spacing w:line="0" w:lineRule="atLeast"/>
              <w:rPr>
                <w:rFonts w:eastAsia="Times New Roman" w:cs="Times New Roman"/>
                <w:b/>
                <w:sz w:val="10"/>
              </w:rPr>
            </w:pPr>
          </w:p>
        </w:tc>
        <w:tc>
          <w:tcPr>
            <w:tcW w:w="1340" w:type="dxa"/>
            <w:vMerge/>
            <w:tcBorders>
              <w:right w:val="single" w:sz="8" w:space="0" w:color="auto"/>
            </w:tcBorders>
            <w:shd w:val="clear" w:color="auto" w:fill="auto"/>
            <w:vAlign w:val="bottom"/>
          </w:tcPr>
          <w:p w14:paraId="3821D633" w14:textId="77777777" w:rsidR="00A52778" w:rsidRPr="00460F9E" w:rsidRDefault="00A52778" w:rsidP="00FC3F8E">
            <w:pPr>
              <w:spacing w:line="0" w:lineRule="atLeast"/>
              <w:rPr>
                <w:rFonts w:eastAsia="Times New Roman" w:cs="Times New Roman"/>
                <w:b/>
                <w:sz w:val="10"/>
              </w:rPr>
            </w:pPr>
          </w:p>
        </w:tc>
        <w:tc>
          <w:tcPr>
            <w:tcW w:w="3040" w:type="dxa"/>
            <w:gridSpan w:val="4"/>
            <w:vMerge/>
            <w:tcBorders>
              <w:right w:val="single" w:sz="8" w:space="0" w:color="auto"/>
            </w:tcBorders>
            <w:shd w:val="clear" w:color="auto" w:fill="auto"/>
            <w:vAlign w:val="bottom"/>
          </w:tcPr>
          <w:p w14:paraId="05233B06" w14:textId="77777777" w:rsidR="00A52778" w:rsidRPr="00460F9E" w:rsidRDefault="00A52778" w:rsidP="00FC3F8E">
            <w:pPr>
              <w:spacing w:line="0" w:lineRule="atLeast"/>
              <w:rPr>
                <w:rFonts w:eastAsia="Times New Roman" w:cs="Times New Roman"/>
                <w:b/>
                <w:sz w:val="10"/>
              </w:rPr>
            </w:pPr>
          </w:p>
        </w:tc>
      </w:tr>
      <w:tr w:rsidR="00A52778" w:rsidRPr="00460F9E" w14:paraId="072A06E0" w14:textId="77777777" w:rsidTr="00FC3F8E">
        <w:trPr>
          <w:trHeight w:val="115"/>
        </w:trPr>
        <w:tc>
          <w:tcPr>
            <w:tcW w:w="400" w:type="dxa"/>
            <w:tcBorders>
              <w:left w:val="single" w:sz="8" w:space="0" w:color="auto"/>
            </w:tcBorders>
            <w:shd w:val="clear" w:color="auto" w:fill="auto"/>
            <w:vAlign w:val="bottom"/>
          </w:tcPr>
          <w:p w14:paraId="013EE6A7" w14:textId="77777777" w:rsidR="00A52778" w:rsidRPr="00460F9E" w:rsidRDefault="00A52778" w:rsidP="00FC3F8E">
            <w:pPr>
              <w:spacing w:line="0" w:lineRule="atLeast"/>
              <w:rPr>
                <w:rFonts w:eastAsia="Times New Roman" w:cs="Times New Roman"/>
                <w:b/>
                <w:sz w:val="10"/>
              </w:rPr>
            </w:pPr>
          </w:p>
        </w:tc>
        <w:tc>
          <w:tcPr>
            <w:tcW w:w="280" w:type="dxa"/>
            <w:tcBorders>
              <w:right w:val="single" w:sz="8" w:space="0" w:color="auto"/>
            </w:tcBorders>
            <w:shd w:val="clear" w:color="auto" w:fill="auto"/>
            <w:vAlign w:val="bottom"/>
          </w:tcPr>
          <w:p w14:paraId="652335C9"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right w:val="single" w:sz="8" w:space="0" w:color="auto"/>
            </w:tcBorders>
            <w:shd w:val="clear" w:color="auto" w:fill="auto"/>
            <w:vAlign w:val="bottom"/>
          </w:tcPr>
          <w:p w14:paraId="12D344CD" w14:textId="77777777" w:rsidR="00A52778" w:rsidRPr="00460F9E" w:rsidRDefault="00A52778" w:rsidP="00FC3F8E">
            <w:pPr>
              <w:spacing w:line="0" w:lineRule="atLeast"/>
              <w:rPr>
                <w:rFonts w:eastAsia="Times New Roman" w:cs="Times New Roman"/>
                <w:b/>
                <w:sz w:val="10"/>
              </w:rPr>
            </w:pPr>
          </w:p>
        </w:tc>
        <w:tc>
          <w:tcPr>
            <w:tcW w:w="706" w:type="dxa"/>
            <w:tcBorders>
              <w:left w:val="single" w:sz="8" w:space="0" w:color="auto"/>
            </w:tcBorders>
            <w:shd w:val="clear" w:color="auto" w:fill="auto"/>
            <w:vAlign w:val="bottom"/>
          </w:tcPr>
          <w:p w14:paraId="4E03372D" w14:textId="77777777" w:rsidR="00A52778" w:rsidRPr="00460F9E" w:rsidRDefault="00A52778" w:rsidP="00FC3F8E">
            <w:pPr>
              <w:spacing w:line="0" w:lineRule="atLeast"/>
              <w:rPr>
                <w:rFonts w:eastAsia="Times New Roman" w:cs="Times New Roman"/>
                <w:b/>
                <w:sz w:val="10"/>
              </w:rPr>
            </w:pPr>
          </w:p>
        </w:tc>
        <w:tc>
          <w:tcPr>
            <w:tcW w:w="240" w:type="dxa"/>
            <w:shd w:val="clear" w:color="auto" w:fill="auto"/>
            <w:vAlign w:val="bottom"/>
          </w:tcPr>
          <w:p w14:paraId="6C6896DB" w14:textId="77777777" w:rsidR="00A52778" w:rsidRPr="00460F9E" w:rsidRDefault="00A52778" w:rsidP="00FC3F8E">
            <w:pPr>
              <w:spacing w:line="0" w:lineRule="atLeast"/>
              <w:rPr>
                <w:rFonts w:eastAsia="Times New Roman" w:cs="Times New Roman"/>
                <w:b/>
                <w:sz w:val="10"/>
              </w:rPr>
            </w:pPr>
          </w:p>
        </w:tc>
        <w:tc>
          <w:tcPr>
            <w:tcW w:w="280" w:type="dxa"/>
            <w:shd w:val="clear" w:color="auto" w:fill="auto"/>
            <w:vAlign w:val="bottom"/>
          </w:tcPr>
          <w:p w14:paraId="037043C7" w14:textId="77777777" w:rsidR="00A52778" w:rsidRPr="00460F9E" w:rsidRDefault="00A52778" w:rsidP="00FC3F8E">
            <w:pPr>
              <w:spacing w:line="0" w:lineRule="atLeast"/>
              <w:rPr>
                <w:rFonts w:eastAsia="Times New Roman" w:cs="Times New Roman"/>
                <w:b/>
                <w:sz w:val="10"/>
              </w:rPr>
            </w:pPr>
          </w:p>
        </w:tc>
        <w:tc>
          <w:tcPr>
            <w:tcW w:w="600" w:type="dxa"/>
            <w:shd w:val="clear" w:color="auto" w:fill="auto"/>
            <w:vAlign w:val="bottom"/>
          </w:tcPr>
          <w:p w14:paraId="04E4D248" w14:textId="77777777" w:rsidR="00A52778" w:rsidRPr="00460F9E" w:rsidRDefault="00A52778" w:rsidP="00FC3F8E">
            <w:pPr>
              <w:spacing w:line="0" w:lineRule="atLeast"/>
              <w:rPr>
                <w:rFonts w:eastAsia="Times New Roman" w:cs="Times New Roman"/>
                <w:b/>
                <w:sz w:val="10"/>
              </w:rPr>
            </w:pPr>
          </w:p>
        </w:tc>
        <w:tc>
          <w:tcPr>
            <w:tcW w:w="600" w:type="dxa"/>
            <w:tcBorders>
              <w:right w:val="single" w:sz="8" w:space="0" w:color="auto"/>
            </w:tcBorders>
            <w:shd w:val="clear" w:color="auto" w:fill="auto"/>
            <w:vAlign w:val="bottom"/>
          </w:tcPr>
          <w:p w14:paraId="5963D558" w14:textId="77777777" w:rsidR="00A52778" w:rsidRPr="00460F9E" w:rsidRDefault="00A52778" w:rsidP="00FC3F8E">
            <w:pPr>
              <w:spacing w:line="0" w:lineRule="atLeast"/>
              <w:rPr>
                <w:rFonts w:eastAsia="Times New Roman" w:cs="Times New Roman"/>
                <w:b/>
                <w:sz w:val="10"/>
              </w:rPr>
            </w:pPr>
          </w:p>
        </w:tc>
        <w:tc>
          <w:tcPr>
            <w:tcW w:w="1340" w:type="dxa"/>
            <w:tcBorders>
              <w:right w:val="single" w:sz="8" w:space="0" w:color="auto"/>
            </w:tcBorders>
            <w:shd w:val="clear" w:color="auto" w:fill="auto"/>
            <w:vAlign w:val="bottom"/>
          </w:tcPr>
          <w:p w14:paraId="65FC6BDB" w14:textId="77777777" w:rsidR="00A52778" w:rsidRPr="00460F9E" w:rsidRDefault="00A52778" w:rsidP="00FC3F8E">
            <w:pPr>
              <w:spacing w:line="0" w:lineRule="atLeast"/>
              <w:rPr>
                <w:rFonts w:eastAsia="Times New Roman" w:cs="Times New Roman"/>
                <w:b/>
                <w:sz w:val="10"/>
              </w:rPr>
            </w:pPr>
          </w:p>
        </w:tc>
        <w:tc>
          <w:tcPr>
            <w:tcW w:w="3040" w:type="dxa"/>
            <w:gridSpan w:val="4"/>
            <w:vMerge/>
            <w:tcBorders>
              <w:right w:val="single" w:sz="8" w:space="0" w:color="auto"/>
            </w:tcBorders>
            <w:shd w:val="clear" w:color="auto" w:fill="auto"/>
            <w:vAlign w:val="bottom"/>
          </w:tcPr>
          <w:p w14:paraId="1FC29710" w14:textId="77777777" w:rsidR="00A52778" w:rsidRPr="00460F9E" w:rsidRDefault="00A52778" w:rsidP="00FC3F8E">
            <w:pPr>
              <w:spacing w:line="0" w:lineRule="atLeast"/>
              <w:rPr>
                <w:rFonts w:eastAsia="Times New Roman" w:cs="Times New Roman"/>
                <w:b/>
                <w:sz w:val="10"/>
              </w:rPr>
            </w:pPr>
          </w:p>
        </w:tc>
      </w:tr>
      <w:tr w:rsidR="00A52778" w:rsidRPr="00460F9E" w14:paraId="12CFF937" w14:textId="77777777" w:rsidTr="00FC3F8E">
        <w:trPr>
          <w:trHeight w:val="118"/>
        </w:trPr>
        <w:tc>
          <w:tcPr>
            <w:tcW w:w="400" w:type="dxa"/>
            <w:tcBorders>
              <w:left w:val="single" w:sz="8" w:space="0" w:color="auto"/>
              <w:bottom w:val="single" w:sz="8" w:space="0" w:color="auto"/>
            </w:tcBorders>
            <w:shd w:val="clear" w:color="auto" w:fill="auto"/>
            <w:vAlign w:val="bottom"/>
          </w:tcPr>
          <w:p w14:paraId="72566C7B" w14:textId="77777777" w:rsidR="00A52778" w:rsidRPr="00460F9E" w:rsidRDefault="00A52778" w:rsidP="00FC3F8E">
            <w:pPr>
              <w:spacing w:line="0" w:lineRule="atLeast"/>
              <w:rPr>
                <w:rFonts w:eastAsia="Times New Roman" w:cs="Times New Roman"/>
                <w:b/>
                <w:sz w:val="10"/>
              </w:rPr>
            </w:pPr>
          </w:p>
        </w:tc>
        <w:tc>
          <w:tcPr>
            <w:tcW w:w="280" w:type="dxa"/>
            <w:tcBorders>
              <w:bottom w:val="single" w:sz="8" w:space="0" w:color="auto"/>
              <w:right w:val="single" w:sz="8" w:space="0" w:color="auto"/>
            </w:tcBorders>
            <w:shd w:val="clear" w:color="auto" w:fill="auto"/>
            <w:vAlign w:val="bottom"/>
          </w:tcPr>
          <w:p w14:paraId="788C91DB"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bottom w:val="single" w:sz="8" w:space="0" w:color="auto"/>
              <w:right w:val="single" w:sz="8" w:space="0" w:color="auto"/>
            </w:tcBorders>
            <w:shd w:val="clear" w:color="auto" w:fill="auto"/>
            <w:vAlign w:val="bottom"/>
          </w:tcPr>
          <w:p w14:paraId="43C48368" w14:textId="77777777" w:rsidR="00A52778" w:rsidRPr="00460F9E" w:rsidRDefault="00A52778" w:rsidP="00FC3F8E">
            <w:pPr>
              <w:spacing w:line="0" w:lineRule="atLeast"/>
              <w:rPr>
                <w:rFonts w:eastAsia="Times New Roman" w:cs="Times New Roman"/>
                <w:b/>
                <w:sz w:val="10"/>
              </w:rPr>
            </w:pPr>
          </w:p>
        </w:tc>
        <w:tc>
          <w:tcPr>
            <w:tcW w:w="706" w:type="dxa"/>
            <w:tcBorders>
              <w:left w:val="single" w:sz="8" w:space="0" w:color="auto"/>
              <w:bottom w:val="single" w:sz="8" w:space="0" w:color="auto"/>
            </w:tcBorders>
            <w:shd w:val="clear" w:color="auto" w:fill="auto"/>
            <w:vAlign w:val="bottom"/>
          </w:tcPr>
          <w:p w14:paraId="64F20891" w14:textId="77777777" w:rsidR="00A52778" w:rsidRPr="00460F9E" w:rsidRDefault="00A52778" w:rsidP="00FC3F8E">
            <w:pPr>
              <w:spacing w:line="0" w:lineRule="atLeast"/>
              <w:rPr>
                <w:rFonts w:eastAsia="Times New Roman" w:cs="Times New Roman"/>
                <w:b/>
                <w:sz w:val="10"/>
              </w:rPr>
            </w:pPr>
          </w:p>
        </w:tc>
        <w:tc>
          <w:tcPr>
            <w:tcW w:w="240" w:type="dxa"/>
            <w:tcBorders>
              <w:bottom w:val="single" w:sz="8" w:space="0" w:color="auto"/>
            </w:tcBorders>
            <w:shd w:val="clear" w:color="auto" w:fill="auto"/>
            <w:vAlign w:val="bottom"/>
          </w:tcPr>
          <w:p w14:paraId="343F9012" w14:textId="77777777" w:rsidR="00A52778" w:rsidRPr="00460F9E" w:rsidRDefault="00A52778" w:rsidP="00FC3F8E">
            <w:pPr>
              <w:spacing w:line="0" w:lineRule="atLeast"/>
              <w:rPr>
                <w:rFonts w:eastAsia="Times New Roman" w:cs="Times New Roman"/>
                <w:b/>
                <w:sz w:val="10"/>
              </w:rPr>
            </w:pPr>
          </w:p>
        </w:tc>
        <w:tc>
          <w:tcPr>
            <w:tcW w:w="280" w:type="dxa"/>
            <w:tcBorders>
              <w:bottom w:val="single" w:sz="8" w:space="0" w:color="auto"/>
            </w:tcBorders>
            <w:shd w:val="clear" w:color="auto" w:fill="auto"/>
            <w:vAlign w:val="bottom"/>
          </w:tcPr>
          <w:p w14:paraId="0586E3E0" w14:textId="77777777" w:rsidR="00A52778" w:rsidRPr="00460F9E" w:rsidRDefault="00A52778" w:rsidP="00FC3F8E">
            <w:pPr>
              <w:spacing w:line="0" w:lineRule="atLeast"/>
              <w:rPr>
                <w:rFonts w:eastAsia="Times New Roman" w:cs="Times New Roman"/>
                <w:b/>
                <w:sz w:val="10"/>
              </w:rPr>
            </w:pPr>
          </w:p>
        </w:tc>
        <w:tc>
          <w:tcPr>
            <w:tcW w:w="600" w:type="dxa"/>
            <w:tcBorders>
              <w:bottom w:val="single" w:sz="8" w:space="0" w:color="auto"/>
            </w:tcBorders>
            <w:shd w:val="clear" w:color="auto" w:fill="auto"/>
            <w:vAlign w:val="bottom"/>
          </w:tcPr>
          <w:p w14:paraId="22E0B9FB" w14:textId="77777777" w:rsidR="00A52778" w:rsidRPr="00460F9E" w:rsidRDefault="00A52778" w:rsidP="00FC3F8E">
            <w:pPr>
              <w:spacing w:line="0" w:lineRule="atLeast"/>
              <w:rPr>
                <w:rFonts w:eastAsia="Times New Roman" w:cs="Times New Roman"/>
                <w:b/>
                <w:sz w:val="10"/>
              </w:rPr>
            </w:pPr>
          </w:p>
        </w:tc>
        <w:tc>
          <w:tcPr>
            <w:tcW w:w="600" w:type="dxa"/>
            <w:tcBorders>
              <w:bottom w:val="single" w:sz="8" w:space="0" w:color="auto"/>
              <w:right w:val="single" w:sz="8" w:space="0" w:color="auto"/>
            </w:tcBorders>
            <w:shd w:val="clear" w:color="auto" w:fill="auto"/>
            <w:vAlign w:val="bottom"/>
          </w:tcPr>
          <w:p w14:paraId="224B8F1A" w14:textId="77777777" w:rsidR="00A52778" w:rsidRPr="00460F9E" w:rsidRDefault="00A52778" w:rsidP="00FC3F8E">
            <w:pPr>
              <w:spacing w:line="0" w:lineRule="atLeast"/>
              <w:rPr>
                <w:rFonts w:eastAsia="Times New Roman" w:cs="Times New Roman"/>
                <w:b/>
                <w:sz w:val="10"/>
              </w:rPr>
            </w:pPr>
          </w:p>
        </w:tc>
        <w:tc>
          <w:tcPr>
            <w:tcW w:w="1340" w:type="dxa"/>
            <w:tcBorders>
              <w:bottom w:val="single" w:sz="8" w:space="0" w:color="auto"/>
              <w:right w:val="single" w:sz="8" w:space="0" w:color="auto"/>
            </w:tcBorders>
            <w:shd w:val="clear" w:color="auto" w:fill="auto"/>
            <w:vAlign w:val="bottom"/>
          </w:tcPr>
          <w:p w14:paraId="47BDA5C5" w14:textId="77777777" w:rsidR="00A52778" w:rsidRPr="00460F9E" w:rsidRDefault="00A52778" w:rsidP="00FC3F8E">
            <w:pPr>
              <w:spacing w:line="0" w:lineRule="atLeast"/>
              <w:rPr>
                <w:rFonts w:eastAsia="Times New Roman" w:cs="Times New Roman"/>
                <w:b/>
                <w:sz w:val="10"/>
              </w:rPr>
            </w:pPr>
          </w:p>
        </w:tc>
        <w:tc>
          <w:tcPr>
            <w:tcW w:w="540" w:type="dxa"/>
            <w:tcBorders>
              <w:bottom w:val="single" w:sz="8" w:space="0" w:color="auto"/>
            </w:tcBorders>
            <w:shd w:val="clear" w:color="auto" w:fill="auto"/>
            <w:vAlign w:val="bottom"/>
          </w:tcPr>
          <w:p w14:paraId="518D61CA" w14:textId="77777777" w:rsidR="00A52778" w:rsidRPr="00460F9E" w:rsidRDefault="00A52778" w:rsidP="00FC3F8E">
            <w:pPr>
              <w:spacing w:line="0" w:lineRule="atLeast"/>
              <w:rPr>
                <w:rFonts w:eastAsia="Times New Roman" w:cs="Times New Roman"/>
                <w:b/>
                <w:sz w:val="10"/>
              </w:rPr>
            </w:pPr>
          </w:p>
        </w:tc>
        <w:tc>
          <w:tcPr>
            <w:tcW w:w="980" w:type="dxa"/>
            <w:tcBorders>
              <w:bottom w:val="single" w:sz="8" w:space="0" w:color="auto"/>
            </w:tcBorders>
            <w:shd w:val="clear" w:color="auto" w:fill="auto"/>
            <w:vAlign w:val="bottom"/>
          </w:tcPr>
          <w:p w14:paraId="37ED5973" w14:textId="77777777" w:rsidR="00A52778" w:rsidRPr="00460F9E" w:rsidRDefault="00A52778" w:rsidP="00FC3F8E">
            <w:pPr>
              <w:spacing w:line="0" w:lineRule="atLeast"/>
              <w:rPr>
                <w:rFonts w:eastAsia="Times New Roman" w:cs="Times New Roman"/>
                <w:b/>
                <w:sz w:val="10"/>
              </w:rPr>
            </w:pPr>
          </w:p>
        </w:tc>
        <w:tc>
          <w:tcPr>
            <w:tcW w:w="740" w:type="dxa"/>
            <w:tcBorders>
              <w:bottom w:val="single" w:sz="8" w:space="0" w:color="auto"/>
            </w:tcBorders>
            <w:shd w:val="clear" w:color="auto" w:fill="auto"/>
            <w:vAlign w:val="bottom"/>
          </w:tcPr>
          <w:p w14:paraId="278D6D2A" w14:textId="77777777" w:rsidR="00A52778" w:rsidRPr="00460F9E" w:rsidRDefault="00A52778" w:rsidP="00FC3F8E">
            <w:pPr>
              <w:spacing w:line="0" w:lineRule="atLeast"/>
              <w:rPr>
                <w:rFonts w:eastAsia="Times New Roman" w:cs="Times New Roman"/>
                <w:b/>
                <w:sz w:val="10"/>
              </w:rPr>
            </w:pPr>
          </w:p>
        </w:tc>
        <w:tc>
          <w:tcPr>
            <w:tcW w:w="780" w:type="dxa"/>
            <w:tcBorders>
              <w:bottom w:val="single" w:sz="8" w:space="0" w:color="auto"/>
              <w:right w:val="single" w:sz="8" w:space="0" w:color="auto"/>
            </w:tcBorders>
            <w:shd w:val="clear" w:color="auto" w:fill="auto"/>
            <w:vAlign w:val="bottom"/>
          </w:tcPr>
          <w:p w14:paraId="77A1BCAC" w14:textId="77777777" w:rsidR="00A52778" w:rsidRPr="00460F9E" w:rsidRDefault="00A52778" w:rsidP="00FC3F8E">
            <w:pPr>
              <w:spacing w:line="0" w:lineRule="atLeast"/>
              <w:rPr>
                <w:rFonts w:eastAsia="Times New Roman" w:cs="Times New Roman"/>
                <w:b/>
                <w:sz w:val="10"/>
              </w:rPr>
            </w:pPr>
          </w:p>
        </w:tc>
      </w:tr>
      <w:tr w:rsidR="00A52778" w:rsidRPr="00460F9E" w14:paraId="2ED09489" w14:textId="77777777" w:rsidTr="00FC3F8E">
        <w:trPr>
          <w:trHeight w:val="217"/>
        </w:trPr>
        <w:tc>
          <w:tcPr>
            <w:tcW w:w="400" w:type="dxa"/>
            <w:tcBorders>
              <w:left w:val="single" w:sz="8" w:space="0" w:color="auto"/>
            </w:tcBorders>
            <w:shd w:val="clear" w:color="auto" w:fill="auto"/>
            <w:vAlign w:val="bottom"/>
          </w:tcPr>
          <w:p w14:paraId="4F9867A8" w14:textId="77777777" w:rsidR="00A52778" w:rsidRPr="00460F9E" w:rsidRDefault="00A52778" w:rsidP="00FC3F8E">
            <w:pPr>
              <w:spacing w:line="0" w:lineRule="atLeast"/>
              <w:rPr>
                <w:rFonts w:eastAsia="Times New Roman" w:cs="Times New Roman"/>
                <w:b/>
                <w:sz w:val="18"/>
              </w:rPr>
            </w:pPr>
          </w:p>
        </w:tc>
        <w:tc>
          <w:tcPr>
            <w:tcW w:w="280" w:type="dxa"/>
            <w:tcBorders>
              <w:right w:val="single" w:sz="8" w:space="0" w:color="auto"/>
            </w:tcBorders>
            <w:shd w:val="clear" w:color="auto" w:fill="auto"/>
            <w:vAlign w:val="bottom"/>
          </w:tcPr>
          <w:p w14:paraId="24CD661C" w14:textId="77777777" w:rsidR="00A52778" w:rsidRPr="00460F9E" w:rsidRDefault="00A52778" w:rsidP="00FC3F8E">
            <w:pPr>
              <w:spacing w:line="0" w:lineRule="atLeast"/>
              <w:rPr>
                <w:rFonts w:eastAsia="Times New Roman" w:cs="Times New Roman"/>
                <w:b/>
                <w:sz w:val="18"/>
              </w:rPr>
            </w:pPr>
          </w:p>
        </w:tc>
        <w:tc>
          <w:tcPr>
            <w:tcW w:w="1274" w:type="dxa"/>
            <w:gridSpan w:val="2"/>
            <w:vMerge w:val="restart"/>
            <w:tcBorders>
              <w:right w:val="single" w:sz="8" w:space="0" w:color="auto"/>
            </w:tcBorders>
            <w:shd w:val="clear" w:color="auto" w:fill="auto"/>
            <w:vAlign w:val="center"/>
          </w:tcPr>
          <w:p w14:paraId="76D2FDFC" w14:textId="77777777" w:rsidR="00A52778" w:rsidRPr="00460F9E" w:rsidRDefault="00A52778" w:rsidP="00FC3F8E">
            <w:pPr>
              <w:spacing w:line="0" w:lineRule="atLeast"/>
              <w:rPr>
                <w:rFonts w:eastAsia="Times New Roman" w:cs="Times New Roman"/>
                <w:b/>
                <w:color w:val="000000"/>
              </w:rPr>
            </w:pPr>
            <w:r w:rsidRPr="00460F9E">
              <w:rPr>
                <w:rFonts w:eastAsia="Times New Roman" w:cs="Times New Roman"/>
                <w:color w:val="000000"/>
              </w:rPr>
              <w:t xml:space="preserve">  Seçici katalitik </w:t>
            </w:r>
          </w:p>
          <w:p w14:paraId="1766A722" w14:textId="77777777" w:rsidR="00A52778" w:rsidRPr="00460F9E" w:rsidRDefault="00A52778" w:rsidP="00FC3F8E">
            <w:pPr>
              <w:spacing w:line="0" w:lineRule="atLeast"/>
              <w:rPr>
                <w:rFonts w:eastAsia="Times New Roman" w:cs="Times New Roman"/>
                <w:b/>
                <w:color w:val="000000"/>
              </w:rPr>
            </w:pPr>
            <w:r w:rsidRPr="00460F9E">
              <w:rPr>
                <w:rFonts w:eastAsia="Times New Roman" w:cs="Times New Roman"/>
                <w:color w:val="000000"/>
              </w:rPr>
              <w:t xml:space="preserve">  indirgeme </w:t>
            </w:r>
          </w:p>
          <w:p w14:paraId="58267D1F" w14:textId="77777777" w:rsidR="00A52778" w:rsidRPr="00460F9E" w:rsidRDefault="00A52778" w:rsidP="00FC3F8E">
            <w:pPr>
              <w:spacing w:line="0" w:lineRule="atLeast"/>
              <w:rPr>
                <w:rFonts w:eastAsia="Times New Roman" w:cs="Times New Roman"/>
                <w:b/>
                <w:sz w:val="18"/>
              </w:rPr>
            </w:pPr>
            <w:r w:rsidRPr="00460F9E">
              <w:rPr>
                <w:rFonts w:eastAsia="Times New Roman" w:cs="Times New Roman"/>
                <w:color w:val="000000"/>
              </w:rPr>
              <w:t xml:space="preserve">  (SCR)</w:t>
            </w:r>
          </w:p>
        </w:tc>
        <w:tc>
          <w:tcPr>
            <w:tcW w:w="706" w:type="dxa"/>
            <w:tcBorders>
              <w:left w:val="single" w:sz="8" w:space="0" w:color="auto"/>
            </w:tcBorders>
            <w:shd w:val="clear" w:color="auto" w:fill="auto"/>
            <w:vAlign w:val="bottom"/>
          </w:tcPr>
          <w:p w14:paraId="579AE9D3" w14:textId="77777777" w:rsidR="00A52778" w:rsidRPr="00460F9E" w:rsidRDefault="00A52778" w:rsidP="00FC3F8E">
            <w:pPr>
              <w:spacing w:line="0" w:lineRule="atLeast"/>
              <w:rPr>
                <w:rFonts w:eastAsia="Times New Roman" w:cs="Times New Roman"/>
                <w:b/>
                <w:sz w:val="18"/>
              </w:rPr>
            </w:pPr>
          </w:p>
        </w:tc>
        <w:tc>
          <w:tcPr>
            <w:tcW w:w="240" w:type="dxa"/>
            <w:shd w:val="clear" w:color="auto" w:fill="auto"/>
            <w:vAlign w:val="bottom"/>
          </w:tcPr>
          <w:p w14:paraId="6D091C24" w14:textId="77777777" w:rsidR="00A52778" w:rsidRPr="00460F9E" w:rsidRDefault="00A52778" w:rsidP="00FC3F8E">
            <w:pPr>
              <w:spacing w:line="0" w:lineRule="atLeast"/>
              <w:rPr>
                <w:rFonts w:eastAsia="Times New Roman" w:cs="Times New Roman"/>
                <w:b/>
                <w:sz w:val="18"/>
              </w:rPr>
            </w:pPr>
          </w:p>
        </w:tc>
        <w:tc>
          <w:tcPr>
            <w:tcW w:w="280" w:type="dxa"/>
            <w:shd w:val="clear" w:color="auto" w:fill="auto"/>
            <w:vAlign w:val="bottom"/>
          </w:tcPr>
          <w:p w14:paraId="11897EC7" w14:textId="77777777" w:rsidR="00A52778" w:rsidRPr="00460F9E" w:rsidRDefault="00A52778" w:rsidP="00FC3F8E">
            <w:pPr>
              <w:spacing w:line="0" w:lineRule="atLeast"/>
              <w:rPr>
                <w:rFonts w:eastAsia="Times New Roman" w:cs="Times New Roman"/>
                <w:b/>
                <w:sz w:val="18"/>
              </w:rPr>
            </w:pPr>
          </w:p>
        </w:tc>
        <w:tc>
          <w:tcPr>
            <w:tcW w:w="600" w:type="dxa"/>
            <w:shd w:val="clear" w:color="auto" w:fill="auto"/>
            <w:vAlign w:val="bottom"/>
          </w:tcPr>
          <w:p w14:paraId="62D148C5" w14:textId="77777777" w:rsidR="00A52778" w:rsidRPr="00460F9E" w:rsidRDefault="00A52778" w:rsidP="00FC3F8E">
            <w:pPr>
              <w:spacing w:line="0" w:lineRule="atLeast"/>
              <w:rPr>
                <w:rFonts w:eastAsia="Times New Roman" w:cs="Times New Roman"/>
                <w:b/>
                <w:sz w:val="18"/>
              </w:rPr>
            </w:pPr>
          </w:p>
        </w:tc>
        <w:tc>
          <w:tcPr>
            <w:tcW w:w="600" w:type="dxa"/>
            <w:tcBorders>
              <w:right w:val="single" w:sz="8" w:space="0" w:color="auto"/>
            </w:tcBorders>
            <w:shd w:val="clear" w:color="auto" w:fill="auto"/>
            <w:vAlign w:val="bottom"/>
          </w:tcPr>
          <w:p w14:paraId="11E19B6A" w14:textId="77777777" w:rsidR="00A52778" w:rsidRPr="00460F9E" w:rsidRDefault="00A52778" w:rsidP="00FC3F8E">
            <w:pPr>
              <w:spacing w:line="0" w:lineRule="atLeast"/>
              <w:rPr>
                <w:rFonts w:eastAsia="Times New Roman" w:cs="Times New Roman"/>
                <w:b/>
                <w:sz w:val="18"/>
              </w:rPr>
            </w:pPr>
          </w:p>
        </w:tc>
        <w:tc>
          <w:tcPr>
            <w:tcW w:w="1340" w:type="dxa"/>
            <w:tcBorders>
              <w:right w:val="single" w:sz="8" w:space="0" w:color="auto"/>
            </w:tcBorders>
            <w:shd w:val="clear" w:color="auto" w:fill="auto"/>
            <w:vAlign w:val="bottom"/>
          </w:tcPr>
          <w:p w14:paraId="1713EFED" w14:textId="77777777" w:rsidR="00A52778" w:rsidRPr="00460F9E" w:rsidRDefault="00A52778" w:rsidP="00FC3F8E">
            <w:pPr>
              <w:spacing w:line="0" w:lineRule="atLeast"/>
              <w:rPr>
                <w:rFonts w:eastAsia="Times New Roman" w:cs="Times New Roman"/>
                <w:b/>
                <w:sz w:val="18"/>
              </w:rPr>
            </w:pPr>
          </w:p>
        </w:tc>
        <w:tc>
          <w:tcPr>
            <w:tcW w:w="3040" w:type="dxa"/>
            <w:gridSpan w:val="4"/>
            <w:vMerge w:val="restart"/>
            <w:tcBorders>
              <w:right w:val="single" w:sz="8" w:space="0" w:color="auto"/>
            </w:tcBorders>
            <w:shd w:val="clear" w:color="auto" w:fill="auto"/>
            <w:vAlign w:val="center"/>
          </w:tcPr>
          <w:p w14:paraId="72E81656"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Mevcut proses </w:t>
            </w:r>
          </w:p>
          <w:p w14:paraId="4CADC6C5"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fırınlarına/ısıtıcılarına </w:t>
            </w:r>
          </w:p>
          <w:p w14:paraId="41AF523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uygulanabilirliği alan mevcudiyeti </w:t>
            </w:r>
          </w:p>
          <w:p w14:paraId="7DF1582C"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ile sınırlı olabilir.</w:t>
            </w:r>
          </w:p>
        </w:tc>
      </w:tr>
      <w:tr w:rsidR="00A52778" w:rsidRPr="00460F9E" w14:paraId="4B81AEBE" w14:textId="77777777" w:rsidTr="00FC3F8E">
        <w:trPr>
          <w:trHeight w:val="115"/>
        </w:trPr>
        <w:tc>
          <w:tcPr>
            <w:tcW w:w="400" w:type="dxa"/>
            <w:tcBorders>
              <w:left w:val="single" w:sz="8" w:space="0" w:color="auto"/>
            </w:tcBorders>
            <w:shd w:val="clear" w:color="auto" w:fill="auto"/>
            <w:vAlign w:val="bottom"/>
          </w:tcPr>
          <w:p w14:paraId="12DF0BB0" w14:textId="77777777" w:rsidR="00A52778" w:rsidRPr="00460F9E" w:rsidRDefault="00A52778" w:rsidP="00FC3F8E">
            <w:pPr>
              <w:spacing w:line="0" w:lineRule="atLeast"/>
              <w:rPr>
                <w:rFonts w:eastAsia="Times New Roman" w:cs="Times New Roman"/>
                <w:b/>
                <w:sz w:val="10"/>
              </w:rPr>
            </w:pPr>
          </w:p>
        </w:tc>
        <w:tc>
          <w:tcPr>
            <w:tcW w:w="280" w:type="dxa"/>
            <w:tcBorders>
              <w:right w:val="single" w:sz="8" w:space="0" w:color="auto"/>
            </w:tcBorders>
            <w:shd w:val="clear" w:color="auto" w:fill="auto"/>
            <w:vAlign w:val="bottom"/>
          </w:tcPr>
          <w:p w14:paraId="11D01018"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right w:val="single" w:sz="8" w:space="0" w:color="auto"/>
            </w:tcBorders>
            <w:shd w:val="clear" w:color="auto" w:fill="auto"/>
            <w:vAlign w:val="bottom"/>
          </w:tcPr>
          <w:p w14:paraId="76062230" w14:textId="77777777" w:rsidR="00A52778" w:rsidRPr="00460F9E" w:rsidRDefault="00A52778" w:rsidP="00FC3F8E">
            <w:pPr>
              <w:spacing w:line="0" w:lineRule="atLeast"/>
              <w:rPr>
                <w:rFonts w:eastAsia="Times New Roman" w:cs="Times New Roman"/>
                <w:b/>
                <w:sz w:val="10"/>
              </w:rPr>
            </w:pPr>
          </w:p>
        </w:tc>
        <w:tc>
          <w:tcPr>
            <w:tcW w:w="706" w:type="dxa"/>
            <w:tcBorders>
              <w:left w:val="single" w:sz="8" w:space="0" w:color="auto"/>
            </w:tcBorders>
            <w:shd w:val="clear" w:color="auto" w:fill="auto"/>
            <w:vAlign w:val="bottom"/>
          </w:tcPr>
          <w:p w14:paraId="645A717D" w14:textId="77777777" w:rsidR="00A52778" w:rsidRPr="00460F9E" w:rsidRDefault="00A52778" w:rsidP="00FC3F8E">
            <w:pPr>
              <w:spacing w:line="0" w:lineRule="atLeast"/>
              <w:rPr>
                <w:rFonts w:eastAsia="Times New Roman" w:cs="Times New Roman"/>
                <w:b/>
                <w:sz w:val="10"/>
              </w:rPr>
            </w:pPr>
          </w:p>
        </w:tc>
        <w:tc>
          <w:tcPr>
            <w:tcW w:w="240" w:type="dxa"/>
            <w:shd w:val="clear" w:color="auto" w:fill="auto"/>
            <w:vAlign w:val="bottom"/>
          </w:tcPr>
          <w:p w14:paraId="7CC0B188" w14:textId="77777777" w:rsidR="00A52778" w:rsidRPr="00460F9E" w:rsidRDefault="00A52778" w:rsidP="00FC3F8E">
            <w:pPr>
              <w:spacing w:line="0" w:lineRule="atLeast"/>
              <w:rPr>
                <w:rFonts w:eastAsia="Times New Roman" w:cs="Times New Roman"/>
                <w:b/>
                <w:sz w:val="10"/>
              </w:rPr>
            </w:pPr>
          </w:p>
        </w:tc>
        <w:tc>
          <w:tcPr>
            <w:tcW w:w="280" w:type="dxa"/>
            <w:shd w:val="clear" w:color="auto" w:fill="auto"/>
            <w:vAlign w:val="bottom"/>
          </w:tcPr>
          <w:p w14:paraId="0767A88B" w14:textId="77777777" w:rsidR="00A52778" w:rsidRPr="00460F9E" w:rsidRDefault="00A52778" w:rsidP="00FC3F8E">
            <w:pPr>
              <w:spacing w:line="0" w:lineRule="atLeast"/>
              <w:rPr>
                <w:rFonts w:eastAsia="Times New Roman" w:cs="Times New Roman"/>
                <w:b/>
                <w:sz w:val="10"/>
              </w:rPr>
            </w:pPr>
          </w:p>
        </w:tc>
        <w:tc>
          <w:tcPr>
            <w:tcW w:w="600" w:type="dxa"/>
            <w:shd w:val="clear" w:color="auto" w:fill="auto"/>
            <w:vAlign w:val="bottom"/>
          </w:tcPr>
          <w:p w14:paraId="2EB992F8" w14:textId="77777777" w:rsidR="00A52778" w:rsidRPr="00460F9E" w:rsidRDefault="00A52778" w:rsidP="00FC3F8E">
            <w:pPr>
              <w:spacing w:line="0" w:lineRule="atLeast"/>
              <w:rPr>
                <w:rFonts w:eastAsia="Times New Roman" w:cs="Times New Roman"/>
                <w:b/>
                <w:sz w:val="10"/>
              </w:rPr>
            </w:pPr>
          </w:p>
        </w:tc>
        <w:tc>
          <w:tcPr>
            <w:tcW w:w="600" w:type="dxa"/>
            <w:tcBorders>
              <w:right w:val="single" w:sz="8" w:space="0" w:color="auto"/>
            </w:tcBorders>
            <w:shd w:val="clear" w:color="auto" w:fill="auto"/>
            <w:vAlign w:val="bottom"/>
          </w:tcPr>
          <w:p w14:paraId="20480FF5" w14:textId="77777777" w:rsidR="00A52778" w:rsidRPr="00460F9E" w:rsidRDefault="00A52778" w:rsidP="00FC3F8E">
            <w:pPr>
              <w:spacing w:line="0" w:lineRule="atLeast"/>
              <w:rPr>
                <w:rFonts w:eastAsia="Times New Roman" w:cs="Times New Roman"/>
                <w:b/>
                <w:sz w:val="10"/>
              </w:rPr>
            </w:pPr>
          </w:p>
        </w:tc>
        <w:tc>
          <w:tcPr>
            <w:tcW w:w="1340" w:type="dxa"/>
            <w:tcBorders>
              <w:right w:val="single" w:sz="8" w:space="0" w:color="auto"/>
            </w:tcBorders>
            <w:shd w:val="clear" w:color="auto" w:fill="auto"/>
            <w:vAlign w:val="bottom"/>
          </w:tcPr>
          <w:p w14:paraId="0798F802" w14:textId="77777777" w:rsidR="00A52778" w:rsidRPr="00460F9E" w:rsidRDefault="00A52778" w:rsidP="00FC3F8E">
            <w:pPr>
              <w:spacing w:line="0" w:lineRule="atLeast"/>
              <w:rPr>
                <w:rFonts w:eastAsia="Times New Roman" w:cs="Times New Roman"/>
                <w:b/>
                <w:sz w:val="10"/>
              </w:rPr>
            </w:pPr>
          </w:p>
        </w:tc>
        <w:tc>
          <w:tcPr>
            <w:tcW w:w="3040" w:type="dxa"/>
            <w:gridSpan w:val="4"/>
            <w:vMerge/>
            <w:tcBorders>
              <w:right w:val="single" w:sz="8" w:space="0" w:color="auto"/>
            </w:tcBorders>
            <w:shd w:val="clear" w:color="auto" w:fill="auto"/>
            <w:vAlign w:val="bottom"/>
          </w:tcPr>
          <w:p w14:paraId="126F1B94" w14:textId="77777777" w:rsidR="00A52778" w:rsidRPr="00460F9E" w:rsidRDefault="00A52778" w:rsidP="00FC3F8E">
            <w:pPr>
              <w:spacing w:line="0" w:lineRule="atLeast"/>
              <w:rPr>
                <w:rFonts w:eastAsia="Times New Roman" w:cs="Times New Roman"/>
                <w:b/>
                <w:sz w:val="10"/>
              </w:rPr>
            </w:pPr>
          </w:p>
        </w:tc>
      </w:tr>
      <w:tr w:rsidR="00A52778" w:rsidRPr="00460F9E" w14:paraId="379AF776" w14:textId="77777777" w:rsidTr="00FC3F8E">
        <w:trPr>
          <w:trHeight w:val="115"/>
        </w:trPr>
        <w:tc>
          <w:tcPr>
            <w:tcW w:w="400" w:type="dxa"/>
            <w:vMerge w:val="restart"/>
            <w:tcBorders>
              <w:left w:val="single" w:sz="8" w:space="0" w:color="auto"/>
            </w:tcBorders>
            <w:shd w:val="clear" w:color="auto" w:fill="auto"/>
            <w:vAlign w:val="bottom"/>
          </w:tcPr>
          <w:p w14:paraId="49198EC8" w14:textId="77777777" w:rsidR="00A52778" w:rsidRPr="00460F9E" w:rsidRDefault="00A52778" w:rsidP="00FC3F8E">
            <w:pPr>
              <w:spacing w:line="0" w:lineRule="atLeast"/>
              <w:ind w:left="100"/>
              <w:rPr>
                <w:rFonts w:eastAsia="Times New Roman" w:cs="Times New Roman"/>
                <w:b/>
              </w:rPr>
            </w:pPr>
            <w:r>
              <w:rPr>
                <w:rFonts w:eastAsia="Times New Roman" w:cs="Times New Roman"/>
              </w:rPr>
              <w:t>e</w:t>
            </w:r>
            <w:r w:rsidRPr="00460F9E">
              <w:rPr>
                <w:rFonts w:eastAsia="Times New Roman" w:cs="Times New Roman"/>
              </w:rPr>
              <w:t>.</w:t>
            </w:r>
          </w:p>
        </w:tc>
        <w:tc>
          <w:tcPr>
            <w:tcW w:w="280" w:type="dxa"/>
            <w:tcBorders>
              <w:right w:val="single" w:sz="8" w:space="0" w:color="auto"/>
            </w:tcBorders>
            <w:shd w:val="clear" w:color="auto" w:fill="auto"/>
            <w:vAlign w:val="bottom"/>
          </w:tcPr>
          <w:p w14:paraId="74876DBD"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right w:val="single" w:sz="8" w:space="0" w:color="auto"/>
            </w:tcBorders>
            <w:shd w:val="clear" w:color="auto" w:fill="auto"/>
            <w:vAlign w:val="bottom"/>
          </w:tcPr>
          <w:p w14:paraId="0A89D8C2" w14:textId="77777777" w:rsidR="00A52778" w:rsidRPr="00460F9E" w:rsidRDefault="00A52778" w:rsidP="00FC3F8E">
            <w:pPr>
              <w:spacing w:line="0" w:lineRule="atLeast"/>
              <w:rPr>
                <w:rFonts w:eastAsia="Times New Roman" w:cs="Times New Roman"/>
                <w:b/>
                <w:sz w:val="10"/>
              </w:rPr>
            </w:pPr>
          </w:p>
        </w:tc>
        <w:tc>
          <w:tcPr>
            <w:tcW w:w="1826" w:type="dxa"/>
            <w:gridSpan w:val="4"/>
            <w:vMerge w:val="restart"/>
            <w:tcBorders>
              <w:left w:val="single" w:sz="8" w:space="0" w:color="auto"/>
            </w:tcBorders>
            <w:shd w:val="clear" w:color="auto" w:fill="auto"/>
            <w:vAlign w:val="bottom"/>
          </w:tcPr>
          <w:p w14:paraId="654D4FEF"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Bkz. Bölüm</w:t>
            </w:r>
            <w:r w:rsidRPr="00460F9E">
              <w:rPr>
                <w:rFonts w:cs="Times New Roman"/>
              </w:rPr>
              <w:t xml:space="preserve"> </w:t>
            </w:r>
            <w:hyperlink w:anchor="page331" w:history="1">
              <w:r w:rsidRPr="00460F9E">
                <w:rPr>
                  <w:rFonts w:eastAsia="Times New Roman" w:cs="Times New Roman"/>
                </w:rPr>
                <w:t>4.4.1.</w:t>
              </w:r>
            </w:hyperlink>
          </w:p>
        </w:tc>
        <w:tc>
          <w:tcPr>
            <w:tcW w:w="600" w:type="dxa"/>
            <w:tcBorders>
              <w:right w:val="single" w:sz="8" w:space="0" w:color="auto"/>
            </w:tcBorders>
            <w:shd w:val="clear" w:color="auto" w:fill="auto"/>
            <w:vAlign w:val="bottom"/>
          </w:tcPr>
          <w:p w14:paraId="62006C46" w14:textId="77777777" w:rsidR="00A52778" w:rsidRPr="00460F9E" w:rsidRDefault="00A52778" w:rsidP="00FC3F8E">
            <w:pPr>
              <w:spacing w:line="0" w:lineRule="atLeast"/>
              <w:rPr>
                <w:rFonts w:eastAsia="Times New Roman" w:cs="Times New Roman"/>
                <w:b/>
                <w:sz w:val="10"/>
              </w:rPr>
            </w:pPr>
          </w:p>
        </w:tc>
        <w:tc>
          <w:tcPr>
            <w:tcW w:w="1340" w:type="dxa"/>
            <w:vMerge w:val="restart"/>
            <w:tcBorders>
              <w:right w:val="single" w:sz="8" w:space="0" w:color="auto"/>
            </w:tcBorders>
            <w:shd w:val="clear" w:color="auto" w:fill="auto"/>
            <w:vAlign w:val="bottom"/>
          </w:tcPr>
          <w:p w14:paraId="45469B36" w14:textId="77777777" w:rsidR="00A52778" w:rsidRPr="00460F9E" w:rsidRDefault="00A52778" w:rsidP="00FC3F8E">
            <w:pPr>
              <w:spacing w:line="0" w:lineRule="atLeast"/>
              <w:jc w:val="center"/>
              <w:rPr>
                <w:rFonts w:eastAsia="Times New Roman" w:cs="Times New Roman"/>
                <w:b/>
                <w:sz w:val="12"/>
              </w:rPr>
            </w:pPr>
            <w:r w:rsidRPr="00460F9E">
              <w:rPr>
                <w:rFonts w:eastAsia="Times New Roman" w:cs="Times New Roman"/>
              </w:rPr>
              <w:t>NO</w:t>
            </w:r>
            <w:r w:rsidRPr="00460F9E">
              <w:rPr>
                <w:rFonts w:eastAsia="Times New Roman" w:cs="Times New Roman"/>
                <w:sz w:val="12"/>
              </w:rPr>
              <w:t>X</w:t>
            </w:r>
          </w:p>
        </w:tc>
        <w:tc>
          <w:tcPr>
            <w:tcW w:w="3040" w:type="dxa"/>
            <w:gridSpan w:val="4"/>
            <w:vMerge/>
            <w:tcBorders>
              <w:right w:val="single" w:sz="8" w:space="0" w:color="auto"/>
            </w:tcBorders>
            <w:shd w:val="clear" w:color="auto" w:fill="auto"/>
            <w:vAlign w:val="bottom"/>
          </w:tcPr>
          <w:p w14:paraId="40BD4208" w14:textId="77777777" w:rsidR="00A52778" w:rsidRPr="00460F9E" w:rsidRDefault="00A52778" w:rsidP="00FC3F8E">
            <w:pPr>
              <w:spacing w:line="0" w:lineRule="atLeast"/>
              <w:rPr>
                <w:rFonts w:eastAsia="Times New Roman" w:cs="Times New Roman"/>
                <w:b/>
              </w:rPr>
            </w:pPr>
          </w:p>
        </w:tc>
      </w:tr>
      <w:tr w:rsidR="00A52778" w:rsidRPr="00460F9E" w14:paraId="46E75BFE" w14:textId="77777777" w:rsidTr="00FC3F8E">
        <w:trPr>
          <w:trHeight w:val="118"/>
        </w:trPr>
        <w:tc>
          <w:tcPr>
            <w:tcW w:w="400" w:type="dxa"/>
            <w:vMerge/>
            <w:tcBorders>
              <w:left w:val="single" w:sz="8" w:space="0" w:color="auto"/>
            </w:tcBorders>
            <w:shd w:val="clear" w:color="auto" w:fill="auto"/>
            <w:vAlign w:val="bottom"/>
          </w:tcPr>
          <w:p w14:paraId="4F143971" w14:textId="77777777" w:rsidR="00A52778" w:rsidRPr="00460F9E" w:rsidRDefault="00A52778" w:rsidP="00FC3F8E">
            <w:pPr>
              <w:spacing w:line="0" w:lineRule="atLeast"/>
              <w:rPr>
                <w:rFonts w:eastAsia="Times New Roman" w:cs="Times New Roman"/>
                <w:b/>
                <w:sz w:val="10"/>
              </w:rPr>
            </w:pPr>
          </w:p>
        </w:tc>
        <w:tc>
          <w:tcPr>
            <w:tcW w:w="280" w:type="dxa"/>
            <w:tcBorders>
              <w:right w:val="single" w:sz="8" w:space="0" w:color="auto"/>
            </w:tcBorders>
            <w:shd w:val="clear" w:color="auto" w:fill="auto"/>
            <w:vAlign w:val="bottom"/>
          </w:tcPr>
          <w:p w14:paraId="55EC7A24"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right w:val="single" w:sz="8" w:space="0" w:color="auto"/>
            </w:tcBorders>
            <w:shd w:val="clear" w:color="auto" w:fill="auto"/>
            <w:vAlign w:val="bottom"/>
          </w:tcPr>
          <w:p w14:paraId="6C16ABF7" w14:textId="77777777" w:rsidR="00A52778" w:rsidRPr="00460F9E" w:rsidRDefault="00A52778" w:rsidP="00FC3F8E">
            <w:pPr>
              <w:spacing w:line="0" w:lineRule="atLeast"/>
              <w:rPr>
                <w:rFonts w:eastAsia="Times New Roman" w:cs="Times New Roman"/>
                <w:b/>
              </w:rPr>
            </w:pPr>
          </w:p>
        </w:tc>
        <w:tc>
          <w:tcPr>
            <w:tcW w:w="1826" w:type="dxa"/>
            <w:gridSpan w:val="4"/>
            <w:vMerge/>
            <w:shd w:val="clear" w:color="auto" w:fill="auto"/>
            <w:vAlign w:val="bottom"/>
          </w:tcPr>
          <w:p w14:paraId="3CD00A5B" w14:textId="77777777" w:rsidR="00A52778" w:rsidRPr="00460F9E" w:rsidRDefault="00A52778" w:rsidP="00FC3F8E">
            <w:pPr>
              <w:spacing w:line="0" w:lineRule="atLeast"/>
              <w:rPr>
                <w:rFonts w:eastAsia="Times New Roman" w:cs="Times New Roman"/>
                <w:b/>
                <w:sz w:val="10"/>
              </w:rPr>
            </w:pPr>
          </w:p>
        </w:tc>
        <w:tc>
          <w:tcPr>
            <w:tcW w:w="600" w:type="dxa"/>
            <w:tcBorders>
              <w:right w:val="single" w:sz="8" w:space="0" w:color="auto"/>
            </w:tcBorders>
            <w:shd w:val="clear" w:color="auto" w:fill="auto"/>
            <w:vAlign w:val="bottom"/>
          </w:tcPr>
          <w:p w14:paraId="142A26FE" w14:textId="77777777" w:rsidR="00A52778" w:rsidRPr="00460F9E" w:rsidRDefault="00A52778" w:rsidP="00FC3F8E">
            <w:pPr>
              <w:spacing w:line="0" w:lineRule="atLeast"/>
              <w:rPr>
                <w:rFonts w:eastAsia="Times New Roman" w:cs="Times New Roman"/>
                <w:b/>
                <w:sz w:val="10"/>
              </w:rPr>
            </w:pPr>
          </w:p>
        </w:tc>
        <w:tc>
          <w:tcPr>
            <w:tcW w:w="1340" w:type="dxa"/>
            <w:vMerge/>
            <w:tcBorders>
              <w:right w:val="single" w:sz="8" w:space="0" w:color="auto"/>
            </w:tcBorders>
            <w:shd w:val="clear" w:color="auto" w:fill="auto"/>
            <w:vAlign w:val="bottom"/>
          </w:tcPr>
          <w:p w14:paraId="3026A143" w14:textId="77777777" w:rsidR="00A52778" w:rsidRPr="00460F9E" w:rsidRDefault="00A52778" w:rsidP="00FC3F8E">
            <w:pPr>
              <w:spacing w:line="0" w:lineRule="atLeast"/>
              <w:rPr>
                <w:rFonts w:eastAsia="Times New Roman" w:cs="Times New Roman"/>
                <w:b/>
                <w:sz w:val="10"/>
              </w:rPr>
            </w:pPr>
          </w:p>
        </w:tc>
        <w:tc>
          <w:tcPr>
            <w:tcW w:w="3040" w:type="dxa"/>
            <w:gridSpan w:val="4"/>
            <w:vMerge/>
            <w:tcBorders>
              <w:right w:val="single" w:sz="8" w:space="0" w:color="auto"/>
            </w:tcBorders>
            <w:shd w:val="clear" w:color="auto" w:fill="auto"/>
            <w:vAlign w:val="bottom"/>
          </w:tcPr>
          <w:p w14:paraId="550549A7" w14:textId="77777777" w:rsidR="00A52778" w:rsidRPr="00460F9E" w:rsidRDefault="00A52778" w:rsidP="00FC3F8E">
            <w:pPr>
              <w:spacing w:line="0" w:lineRule="atLeast"/>
              <w:rPr>
                <w:rFonts w:eastAsia="Times New Roman" w:cs="Times New Roman"/>
                <w:b/>
                <w:sz w:val="10"/>
              </w:rPr>
            </w:pPr>
          </w:p>
        </w:tc>
      </w:tr>
      <w:tr w:rsidR="00A52778" w:rsidRPr="00460F9E" w14:paraId="0BFC30C2" w14:textId="77777777" w:rsidTr="00FC3F8E">
        <w:trPr>
          <w:trHeight w:val="112"/>
        </w:trPr>
        <w:tc>
          <w:tcPr>
            <w:tcW w:w="400" w:type="dxa"/>
            <w:tcBorders>
              <w:left w:val="single" w:sz="8" w:space="0" w:color="auto"/>
            </w:tcBorders>
            <w:shd w:val="clear" w:color="auto" w:fill="auto"/>
            <w:vAlign w:val="bottom"/>
          </w:tcPr>
          <w:p w14:paraId="34C0EE53" w14:textId="77777777" w:rsidR="00A52778" w:rsidRPr="00460F9E" w:rsidRDefault="00A52778" w:rsidP="00FC3F8E">
            <w:pPr>
              <w:spacing w:line="0" w:lineRule="atLeast"/>
              <w:rPr>
                <w:rFonts w:eastAsia="Times New Roman" w:cs="Times New Roman"/>
                <w:b/>
                <w:sz w:val="9"/>
              </w:rPr>
            </w:pPr>
          </w:p>
        </w:tc>
        <w:tc>
          <w:tcPr>
            <w:tcW w:w="280" w:type="dxa"/>
            <w:tcBorders>
              <w:right w:val="single" w:sz="8" w:space="0" w:color="auto"/>
            </w:tcBorders>
            <w:shd w:val="clear" w:color="auto" w:fill="auto"/>
            <w:vAlign w:val="bottom"/>
          </w:tcPr>
          <w:p w14:paraId="6883B1D4" w14:textId="77777777" w:rsidR="00A52778" w:rsidRPr="00460F9E" w:rsidRDefault="00A52778" w:rsidP="00FC3F8E">
            <w:pPr>
              <w:spacing w:line="0" w:lineRule="atLeast"/>
              <w:rPr>
                <w:rFonts w:eastAsia="Times New Roman" w:cs="Times New Roman"/>
                <w:b/>
                <w:sz w:val="9"/>
              </w:rPr>
            </w:pPr>
          </w:p>
        </w:tc>
        <w:tc>
          <w:tcPr>
            <w:tcW w:w="1274" w:type="dxa"/>
            <w:gridSpan w:val="2"/>
            <w:vMerge/>
            <w:tcBorders>
              <w:right w:val="single" w:sz="8" w:space="0" w:color="auto"/>
            </w:tcBorders>
            <w:shd w:val="clear" w:color="auto" w:fill="auto"/>
            <w:vAlign w:val="bottom"/>
          </w:tcPr>
          <w:p w14:paraId="1F49FD64" w14:textId="77777777" w:rsidR="00A52778" w:rsidRPr="00460F9E" w:rsidRDefault="00A52778" w:rsidP="00FC3F8E">
            <w:pPr>
              <w:spacing w:line="0" w:lineRule="atLeast"/>
              <w:rPr>
                <w:rFonts w:eastAsia="Times New Roman" w:cs="Times New Roman"/>
                <w:b/>
                <w:sz w:val="9"/>
              </w:rPr>
            </w:pPr>
          </w:p>
        </w:tc>
        <w:tc>
          <w:tcPr>
            <w:tcW w:w="706" w:type="dxa"/>
            <w:shd w:val="clear" w:color="auto" w:fill="auto"/>
            <w:vAlign w:val="bottom"/>
          </w:tcPr>
          <w:p w14:paraId="748AA3F7" w14:textId="77777777" w:rsidR="00A52778" w:rsidRPr="00460F9E" w:rsidRDefault="00A52778" w:rsidP="00FC3F8E">
            <w:pPr>
              <w:spacing w:line="0" w:lineRule="atLeast"/>
              <w:rPr>
                <w:rFonts w:eastAsia="Times New Roman" w:cs="Times New Roman"/>
                <w:b/>
                <w:sz w:val="9"/>
              </w:rPr>
            </w:pPr>
          </w:p>
        </w:tc>
        <w:tc>
          <w:tcPr>
            <w:tcW w:w="240" w:type="dxa"/>
            <w:shd w:val="clear" w:color="auto" w:fill="auto"/>
            <w:vAlign w:val="bottom"/>
          </w:tcPr>
          <w:p w14:paraId="05C1353E" w14:textId="77777777" w:rsidR="00A52778" w:rsidRPr="00460F9E" w:rsidRDefault="00A52778" w:rsidP="00FC3F8E">
            <w:pPr>
              <w:spacing w:line="0" w:lineRule="atLeast"/>
              <w:rPr>
                <w:rFonts w:eastAsia="Times New Roman" w:cs="Times New Roman"/>
                <w:b/>
                <w:sz w:val="9"/>
              </w:rPr>
            </w:pPr>
          </w:p>
        </w:tc>
        <w:tc>
          <w:tcPr>
            <w:tcW w:w="280" w:type="dxa"/>
            <w:shd w:val="clear" w:color="auto" w:fill="auto"/>
            <w:vAlign w:val="bottom"/>
          </w:tcPr>
          <w:p w14:paraId="60243E66" w14:textId="77777777" w:rsidR="00A52778" w:rsidRPr="00460F9E" w:rsidRDefault="00A52778" w:rsidP="00FC3F8E">
            <w:pPr>
              <w:spacing w:line="0" w:lineRule="atLeast"/>
              <w:rPr>
                <w:rFonts w:eastAsia="Times New Roman" w:cs="Times New Roman"/>
                <w:b/>
                <w:sz w:val="9"/>
              </w:rPr>
            </w:pPr>
          </w:p>
        </w:tc>
        <w:tc>
          <w:tcPr>
            <w:tcW w:w="600" w:type="dxa"/>
            <w:shd w:val="clear" w:color="auto" w:fill="auto"/>
            <w:vAlign w:val="bottom"/>
          </w:tcPr>
          <w:p w14:paraId="697AB5B4" w14:textId="77777777" w:rsidR="00A52778" w:rsidRPr="00460F9E" w:rsidRDefault="00A52778" w:rsidP="00FC3F8E">
            <w:pPr>
              <w:spacing w:line="0" w:lineRule="atLeast"/>
              <w:rPr>
                <w:rFonts w:eastAsia="Times New Roman" w:cs="Times New Roman"/>
                <w:b/>
                <w:sz w:val="9"/>
              </w:rPr>
            </w:pPr>
          </w:p>
        </w:tc>
        <w:tc>
          <w:tcPr>
            <w:tcW w:w="600" w:type="dxa"/>
            <w:tcBorders>
              <w:right w:val="single" w:sz="8" w:space="0" w:color="auto"/>
            </w:tcBorders>
            <w:shd w:val="clear" w:color="auto" w:fill="auto"/>
            <w:vAlign w:val="bottom"/>
          </w:tcPr>
          <w:p w14:paraId="2399B4C0" w14:textId="77777777" w:rsidR="00A52778" w:rsidRPr="00460F9E" w:rsidRDefault="00A52778" w:rsidP="00FC3F8E">
            <w:pPr>
              <w:spacing w:line="0" w:lineRule="atLeast"/>
              <w:rPr>
                <w:rFonts w:eastAsia="Times New Roman" w:cs="Times New Roman"/>
                <w:b/>
                <w:sz w:val="9"/>
              </w:rPr>
            </w:pPr>
          </w:p>
        </w:tc>
        <w:tc>
          <w:tcPr>
            <w:tcW w:w="1340" w:type="dxa"/>
            <w:tcBorders>
              <w:right w:val="single" w:sz="8" w:space="0" w:color="auto"/>
            </w:tcBorders>
            <w:shd w:val="clear" w:color="auto" w:fill="auto"/>
            <w:vAlign w:val="bottom"/>
          </w:tcPr>
          <w:p w14:paraId="5AB7F4FA" w14:textId="77777777" w:rsidR="00A52778" w:rsidRPr="00460F9E" w:rsidRDefault="00A52778" w:rsidP="00FC3F8E">
            <w:pPr>
              <w:spacing w:line="0" w:lineRule="atLeast"/>
              <w:rPr>
                <w:rFonts w:eastAsia="Times New Roman" w:cs="Times New Roman"/>
                <w:b/>
                <w:sz w:val="9"/>
              </w:rPr>
            </w:pPr>
          </w:p>
        </w:tc>
        <w:tc>
          <w:tcPr>
            <w:tcW w:w="3040" w:type="dxa"/>
            <w:gridSpan w:val="4"/>
            <w:vMerge/>
            <w:tcBorders>
              <w:right w:val="single" w:sz="8" w:space="0" w:color="auto"/>
            </w:tcBorders>
            <w:shd w:val="clear" w:color="auto" w:fill="auto"/>
            <w:vAlign w:val="bottom"/>
          </w:tcPr>
          <w:p w14:paraId="5E3E02BF" w14:textId="77777777" w:rsidR="00A52778" w:rsidRPr="00460F9E" w:rsidRDefault="00A52778" w:rsidP="00FC3F8E">
            <w:pPr>
              <w:spacing w:line="0" w:lineRule="atLeast"/>
              <w:rPr>
                <w:rFonts w:eastAsia="Times New Roman" w:cs="Times New Roman"/>
                <w:b/>
                <w:sz w:val="9"/>
              </w:rPr>
            </w:pPr>
          </w:p>
        </w:tc>
      </w:tr>
      <w:tr w:rsidR="00A52778" w:rsidRPr="00460F9E" w14:paraId="39B2702C" w14:textId="77777777" w:rsidTr="00FC3F8E">
        <w:trPr>
          <w:trHeight w:val="115"/>
        </w:trPr>
        <w:tc>
          <w:tcPr>
            <w:tcW w:w="400" w:type="dxa"/>
            <w:tcBorders>
              <w:left w:val="single" w:sz="8" w:space="0" w:color="auto"/>
            </w:tcBorders>
            <w:shd w:val="clear" w:color="auto" w:fill="auto"/>
            <w:vAlign w:val="bottom"/>
          </w:tcPr>
          <w:p w14:paraId="64E72E02" w14:textId="77777777" w:rsidR="00A52778" w:rsidRPr="00460F9E" w:rsidRDefault="00A52778" w:rsidP="00FC3F8E">
            <w:pPr>
              <w:spacing w:line="0" w:lineRule="atLeast"/>
              <w:rPr>
                <w:rFonts w:eastAsia="Times New Roman" w:cs="Times New Roman"/>
                <w:b/>
                <w:sz w:val="10"/>
              </w:rPr>
            </w:pPr>
          </w:p>
        </w:tc>
        <w:tc>
          <w:tcPr>
            <w:tcW w:w="280" w:type="dxa"/>
            <w:tcBorders>
              <w:right w:val="single" w:sz="8" w:space="0" w:color="auto"/>
            </w:tcBorders>
            <w:shd w:val="clear" w:color="auto" w:fill="auto"/>
            <w:vAlign w:val="bottom"/>
          </w:tcPr>
          <w:p w14:paraId="13DCF106"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right w:val="single" w:sz="8" w:space="0" w:color="auto"/>
            </w:tcBorders>
            <w:shd w:val="clear" w:color="auto" w:fill="auto"/>
            <w:vAlign w:val="bottom"/>
          </w:tcPr>
          <w:p w14:paraId="1E17350B" w14:textId="77777777" w:rsidR="00A52778" w:rsidRPr="00460F9E" w:rsidRDefault="00A52778" w:rsidP="00FC3F8E">
            <w:pPr>
              <w:spacing w:line="0" w:lineRule="atLeast"/>
              <w:rPr>
                <w:rFonts w:eastAsia="Times New Roman" w:cs="Times New Roman"/>
                <w:b/>
                <w:sz w:val="10"/>
              </w:rPr>
            </w:pPr>
          </w:p>
        </w:tc>
        <w:tc>
          <w:tcPr>
            <w:tcW w:w="706" w:type="dxa"/>
            <w:tcBorders>
              <w:left w:val="single" w:sz="8" w:space="0" w:color="auto"/>
            </w:tcBorders>
            <w:shd w:val="clear" w:color="auto" w:fill="auto"/>
            <w:vAlign w:val="bottom"/>
          </w:tcPr>
          <w:p w14:paraId="7B5AB3DF" w14:textId="77777777" w:rsidR="00A52778" w:rsidRPr="00460F9E" w:rsidRDefault="00A52778" w:rsidP="00FC3F8E">
            <w:pPr>
              <w:spacing w:line="0" w:lineRule="atLeast"/>
              <w:rPr>
                <w:rFonts w:eastAsia="Times New Roman" w:cs="Times New Roman"/>
                <w:b/>
                <w:sz w:val="10"/>
              </w:rPr>
            </w:pPr>
          </w:p>
        </w:tc>
        <w:tc>
          <w:tcPr>
            <w:tcW w:w="240" w:type="dxa"/>
            <w:shd w:val="clear" w:color="auto" w:fill="auto"/>
            <w:vAlign w:val="bottom"/>
          </w:tcPr>
          <w:p w14:paraId="61B359C9" w14:textId="77777777" w:rsidR="00A52778" w:rsidRPr="00460F9E" w:rsidRDefault="00A52778" w:rsidP="00FC3F8E">
            <w:pPr>
              <w:spacing w:line="0" w:lineRule="atLeast"/>
              <w:rPr>
                <w:rFonts w:eastAsia="Times New Roman" w:cs="Times New Roman"/>
                <w:b/>
                <w:sz w:val="10"/>
              </w:rPr>
            </w:pPr>
          </w:p>
        </w:tc>
        <w:tc>
          <w:tcPr>
            <w:tcW w:w="280" w:type="dxa"/>
            <w:shd w:val="clear" w:color="auto" w:fill="auto"/>
            <w:vAlign w:val="bottom"/>
          </w:tcPr>
          <w:p w14:paraId="388863E3" w14:textId="77777777" w:rsidR="00A52778" w:rsidRPr="00460F9E" w:rsidRDefault="00A52778" w:rsidP="00FC3F8E">
            <w:pPr>
              <w:spacing w:line="0" w:lineRule="atLeast"/>
              <w:rPr>
                <w:rFonts w:eastAsia="Times New Roman" w:cs="Times New Roman"/>
                <w:b/>
                <w:sz w:val="10"/>
              </w:rPr>
            </w:pPr>
          </w:p>
        </w:tc>
        <w:tc>
          <w:tcPr>
            <w:tcW w:w="600" w:type="dxa"/>
            <w:shd w:val="clear" w:color="auto" w:fill="auto"/>
            <w:vAlign w:val="bottom"/>
          </w:tcPr>
          <w:p w14:paraId="636CDC92" w14:textId="77777777" w:rsidR="00A52778" w:rsidRPr="00460F9E" w:rsidRDefault="00A52778" w:rsidP="00FC3F8E">
            <w:pPr>
              <w:spacing w:line="0" w:lineRule="atLeast"/>
              <w:rPr>
                <w:rFonts w:eastAsia="Times New Roman" w:cs="Times New Roman"/>
                <w:b/>
                <w:sz w:val="10"/>
              </w:rPr>
            </w:pPr>
          </w:p>
        </w:tc>
        <w:tc>
          <w:tcPr>
            <w:tcW w:w="600" w:type="dxa"/>
            <w:tcBorders>
              <w:right w:val="single" w:sz="8" w:space="0" w:color="auto"/>
            </w:tcBorders>
            <w:shd w:val="clear" w:color="auto" w:fill="auto"/>
            <w:vAlign w:val="bottom"/>
          </w:tcPr>
          <w:p w14:paraId="6256B676" w14:textId="77777777" w:rsidR="00A52778" w:rsidRPr="00460F9E" w:rsidRDefault="00A52778" w:rsidP="00FC3F8E">
            <w:pPr>
              <w:spacing w:line="0" w:lineRule="atLeast"/>
              <w:rPr>
                <w:rFonts w:eastAsia="Times New Roman" w:cs="Times New Roman"/>
                <w:b/>
                <w:sz w:val="10"/>
              </w:rPr>
            </w:pPr>
          </w:p>
        </w:tc>
        <w:tc>
          <w:tcPr>
            <w:tcW w:w="1340" w:type="dxa"/>
            <w:tcBorders>
              <w:right w:val="single" w:sz="8" w:space="0" w:color="auto"/>
            </w:tcBorders>
            <w:shd w:val="clear" w:color="auto" w:fill="auto"/>
            <w:vAlign w:val="bottom"/>
          </w:tcPr>
          <w:p w14:paraId="33A2BC83" w14:textId="77777777" w:rsidR="00A52778" w:rsidRPr="00460F9E" w:rsidRDefault="00A52778" w:rsidP="00FC3F8E">
            <w:pPr>
              <w:spacing w:line="0" w:lineRule="atLeast"/>
              <w:rPr>
                <w:rFonts w:eastAsia="Times New Roman" w:cs="Times New Roman"/>
                <w:b/>
                <w:sz w:val="10"/>
              </w:rPr>
            </w:pPr>
          </w:p>
        </w:tc>
        <w:tc>
          <w:tcPr>
            <w:tcW w:w="3040" w:type="dxa"/>
            <w:gridSpan w:val="4"/>
            <w:vMerge/>
            <w:tcBorders>
              <w:right w:val="single" w:sz="8" w:space="0" w:color="auto"/>
            </w:tcBorders>
            <w:shd w:val="clear" w:color="auto" w:fill="auto"/>
            <w:vAlign w:val="bottom"/>
          </w:tcPr>
          <w:p w14:paraId="0526B9CC" w14:textId="77777777" w:rsidR="00A52778" w:rsidRPr="00460F9E" w:rsidRDefault="00A52778" w:rsidP="00FC3F8E">
            <w:pPr>
              <w:spacing w:line="0" w:lineRule="atLeast"/>
              <w:rPr>
                <w:rFonts w:eastAsia="Times New Roman" w:cs="Times New Roman"/>
                <w:b/>
                <w:sz w:val="10"/>
              </w:rPr>
            </w:pPr>
          </w:p>
        </w:tc>
      </w:tr>
      <w:tr w:rsidR="00A52778" w:rsidRPr="00460F9E" w14:paraId="5364EA39" w14:textId="77777777" w:rsidTr="00FC3F8E">
        <w:trPr>
          <w:trHeight w:val="116"/>
        </w:trPr>
        <w:tc>
          <w:tcPr>
            <w:tcW w:w="400" w:type="dxa"/>
            <w:tcBorders>
              <w:left w:val="single" w:sz="8" w:space="0" w:color="auto"/>
              <w:bottom w:val="single" w:sz="8" w:space="0" w:color="auto"/>
            </w:tcBorders>
            <w:shd w:val="clear" w:color="auto" w:fill="auto"/>
            <w:vAlign w:val="bottom"/>
          </w:tcPr>
          <w:p w14:paraId="0D861025" w14:textId="77777777" w:rsidR="00A52778" w:rsidRPr="00460F9E" w:rsidRDefault="00A52778" w:rsidP="00FC3F8E">
            <w:pPr>
              <w:spacing w:line="0" w:lineRule="atLeast"/>
              <w:rPr>
                <w:rFonts w:eastAsia="Times New Roman" w:cs="Times New Roman"/>
                <w:b/>
                <w:sz w:val="10"/>
              </w:rPr>
            </w:pPr>
          </w:p>
        </w:tc>
        <w:tc>
          <w:tcPr>
            <w:tcW w:w="280" w:type="dxa"/>
            <w:tcBorders>
              <w:bottom w:val="single" w:sz="8" w:space="0" w:color="auto"/>
              <w:right w:val="single" w:sz="8" w:space="0" w:color="auto"/>
            </w:tcBorders>
            <w:shd w:val="clear" w:color="auto" w:fill="auto"/>
            <w:vAlign w:val="bottom"/>
          </w:tcPr>
          <w:p w14:paraId="6B260BD8"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bottom w:val="single" w:sz="8" w:space="0" w:color="auto"/>
              <w:right w:val="single" w:sz="8" w:space="0" w:color="auto"/>
            </w:tcBorders>
            <w:shd w:val="clear" w:color="auto" w:fill="auto"/>
            <w:vAlign w:val="bottom"/>
          </w:tcPr>
          <w:p w14:paraId="2DA14459" w14:textId="77777777" w:rsidR="00A52778" w:rsidRPr="00460F9E" w:rsidRDefault="00A52778" w:rsidP="00FC3F8E">
            <w:pPr>
              <w:spacing w:line="0" w:lineRule="atLeast"/>
              <w:rPr>
                <w:rFonts w:eastAsia="Times New Roman" w:cs="Times New Roman"/>
                <w:b/>
                <w:sz w:val="10"/>
              </w:rPr>
            </w:pPr>
          </w:p>
        </w:tc>
        <w:tc>
          <w:tcPr>
            <w:tcW w:w="706" w:type="dxa"/>
            <w:tcBorders>
              <w:left w:val="single" w:sz="8" w:space="0" w:color="auto"/>
              <w:bottom w:val="single" w:sz="8" w:space="0" w:color="auto"/>
            </w:tcBorders>
            <w:shd w:val="clear" w:color="auto" w:fill="auto"/>
            <w:vAlign w:val="bottom"/>
          </w:tcPr>
          <w:p w14:paraId="1EC7CCF2" w14:textId="77777777" w:rsidR="00A52778" w:rsidRPr="00460F9E" w:rsidRDefault="00A52778" w:rsidP="00FC3F8E">
            <w:pPr>
              <w:spacing w:line="0" w:lineRule="atLeast"/>
              <w:rPr>
                <w:rFonts w:eastAsia="Times New Roman" w:cs="Times New Roman"/>
                <w:b/>
                <w:sz w:val="10"/>
              </w:rPr>
            </w:pPr>
          </w:p>
        </w:tc>
        <w:tc>
          <w:tcPr>
            <w:tcW w:w="240" w:type="dxa"/>
            <w:tcBorders>
              <w:bottom w:val="single" w:sz="8" w:space="0" w:color="auto"/>
            </w:tcBorders>
            <w:shd w:val="clear" w:color="auto" w:fill="auto"/>
            <w:vAlign w:val="bottom"/>
          </w:tcPr>
          <w:p w14:paraId="720E25BF" w14:textId="77777777" w:rsidR="00A52778" w:rsidRPr="00460F9E" w:rsidRDefault="00A52778" w:rsidP="00FC3F8E">
            <w:pPr>
              <w:spacing w:line="0" w:lineRule="atLeast"/>
              <w:rPr>
                <w:rFonts w:eastAsia="Times New Roman" w:cs="Times New Roman"/>
                <w:b/>
                <w:sz w:val="10"/>
              </w:rPr>
            </w:pPr>
          </w:p>
        </w:tc>
        <w:tc>
          <w:tcPr>
            <w:tcW w:w="280" w:type="dxa"/>
            <w:tcBorders>
              <w:bottom w:val="single" w:sz="8" w:space="0" w:color="auto"/>
            </w:tcBorders>
            <w:shd w:val="clear" w:color="auto" w:fill="auto"/>
            <w:vAlign w:val="bottom"/>
          </w:tcPr>
          <w:p w14:paraId="23CAF551" w14:textId="77777777" w:rsidR="00A52778" w:rsidRPr="00460F9E" w:rsidRDefault="00A52778" w:rsidP="00FC3F8E">
            <w:pPr>
              <w:spacing w:line="0" w:lineRule="atLeast"/>
              <w:rPr>
                <w:rFonts w:eastAsia="Times New Roman" w:cs="Times New Roman"/>
                <w:b/>
                <w:sz w:val="10"/>
              </w:rPr>
            </w:pPr>
          </w:p>
        </w:tc>
        <w:tc>
          <w:tcPr>
            <w:tcW w:w="600" w:type="dxa"/>
            <w:tcBorders>
              <w:bottom w:val="single" w:sz="8" w:space="0" w:color="auto"/>
            </w:tcBorders>
            <w:shd w:val="clear" w:color="auto" w:fill="auto"/>
            <w:vAlign w:val="bottom"/>
          </w:tcPr>
          <w:p w14:paraId="3C31F1AD" w14:textId="77777777" w:rsidR="00A52778" w:rsidRPr="00460F9E" w:rsidRDefault="00A52778" w:rsidP="00FC3F8E">
            <w:pPr>
              <w:spacing w:line="0" w:lineRule="atLeast"/>
              <w:rPr>
                <w:rFonts w:eastAsia="Times New Roman" w:cs="Times New Roman"/>
                <w:b/>
                <w:sz w:val="10"/>
              </w:rPr>
            </w:pPr>
          </w:p>
        </w:tc>
        <w:tc>
          <w:tcPr>
            <w:tcW w:w="600" w:type="dxa"/>
            <w:tcBorders>
              <w:bottom w:val="single" w:sz="8" w:space="0" w:color="auto"/>
              <w:right w:val="single" w:sz="8" w:space="0" w:color="auto"/>
            </w:tcBorders>
            <w:shd w:val="clear" w:color="auto" w:fill="auto"/>
            <w:vAlign w:val="bottom"/>
          </w:tcPr>
          <w:p w14:paraId="63115E1A" w14:textId="77777777" w:rsidR="00A52778" w:rsidRPr="00460F9E" w:rsidRDefault="00A52778" w:rsidP="00FC3F8E">
            <w:pPr>
              <w:spacing w:line="0" w:lineRule="atLeast"/>
              <w:rPr>
                <w:rFonts w:eastAsia="Times New Roman" w:cs="Times New Roman"/>
                <w:b/>
                <w:sz w:val="10"/>
              </w:rPr>
            </w:pPr>
          </w:p>
        </w:tc>
        <w:tc>
          <w:tcPr>
            <w:tcW w:w="1340" w:type="dxa"/>
            <w:tcBorders>
              <w:bottom w:val="single" w:sz="8" w:space="0" w:color="auto"/>
              <w:right w:val="single" w:sz="8" w:space="0" w:color="auto"/>
            </w:tcBorders>
            <w:shd w:val="clear" w:color="auto" w:fill="auto"/>
            <w:vAlign w:val="bottom"/>
          </w:tcPr>
          <w:p w14:paraId="2C53E6A2" w14:textId="77777777" w:rsidR="00A52778" w:rsidRPr="00460F9E" w:rsidRDefault="00A52778" w:rsidP="00FC3F8E">
            <w:pPr>
              <w:spacing w:line="0" w:lineRule="atLeast"/>
              <w:rPr>
                <w:rFonts w:eastAsia="Times New Roman" w:cs="Times New Roman"/>
                <w:b/>
                <w:sz w:val="10"/>
              </w:rPr>
            </w:pPr>
          </w:p>
        </w:tc>
        <w:tc>
          <w:tcPr>
            <w:tcW w:w="3040" w:type="dxa"/>
            <w:gridSpan w:val="4"/>
            <w:vMerge/>
            <w:tcBorders>
              <w:bottom w:val="single" w:sz="8" w:space="0" w:color="auto"/>
              <w:right w:val="single" w:sz="8" w:space="0" w:color="auto"/>
            </w:tcBorders>
            <w:shd w:val="clear" w:color="auto" w:fill="auto"/>
            <w:vAlign w:val="bottom"/>
          </w:tcPr>
          <w:p w14:paraId="29C3B0DD" w14:textId="77777777" w:rsidR="00A52778" w:rsidRPr="00460F9E" w:rsidRDefault="00A52778" w:rsidP="00FC3F8E">
            <w:pPr>
              <w:spacing w:line="0" w:lineRule="atLeast"/>
              <w:rPr>
                <w:rFonts w:eastAsia="Times New Roman" w:cs="Times New Roman"/>
                <w:b/>
                <w:sz w:val="10"/>
              </w:rPr>
            </w:pPr>
          </w:p>
        </w:tc>
      </w:tr>
      <w:tr w:rsidR="00A52778" w:rsidRPr="00460F9E" w14:paraId="17D30B43" w14:textId="77777777" w:rsidTr="00FC3F8E">
        <w:trPr>
          <w:trHeight w:val="217"/>
        </w:trPr>
        <w:tc>
          <w:tcPr>
            <w:tcW w:w="400" w:type="dxa"/>
            <w:tcBorders>
              <w:left w:val="single" w:sz="8" w:space="0" w:color="auto"/>
            </w:tcBorders>
            <w:shd w:val="clear" w:color="auto" w:fill="auto"/>
            <w:vAlign w:val="bottom"/>
          </w:tcPr>
          <w:p w14:paraId="617A61AD" w14:textId="77777777" w:rsidR="00A52778" w:rsidRPr="00460F9E" w:rsidRDefault="00A52778" w:rsidP="00FC3F8E">
            <w:pPr>
              <w:spacing w:line="0" w:lineRule="atLeast"/>
              <w:rPr>
                <w:rFonts w:eastAsia="Times New Roman" w:cs="Times New Roman"/>
                <w:b/>
                <w:sz w:val="18"/>
              </w:rPr>
            </w:pPr>
          </w:p>
        </w:tc>
        <w:tc>
          <w:tcPr>
            <w:tcW w:w="280" w:type="dxa"/>
            <w:tcBorders>
              <w:right w:val="single" w:sz="8" w:space="0" w:color="auto"/>
            </w:tcBorders>
            <w:shd w:val="clear" w:color="auto" w:fill="auto"/>
            <w:vAlign w:val="bottom"/>
          </w:tcPr>
          <w:p w14:paraId="2F0202F0" w14:textId="77777777" w:rsidR="00A52778" w:rsidRPr="00460F9E" w:rsidRDefault="00A52778" w:rsidP="00FC3F8E">
            <w:pPr>
              <w:spacing w:line="0" w:lineRule="atLeast"/>
              <w:rPr>
                <w:rFonts w:eastAsia="Times New Roman" w:cs="Times New Roman"/>
                <w:b/>
                <w:sz w:val="18"/>
              </w:rPr>
            </w:pPr>
          </w:p>
        </w:tc>
        <w:tc>
          <w:tcPr>
            <w:tcW w:w="1274" w:type="dxa"/>
            <w:gridSpan w:val="2"/>
            <w:vMerge w:val="restart"/>
            <w:tcBorders>
              <w:right w:val="single" w:sz="8" w:space="0" w:color="auto"/>
            </w:tcBorders>
            <w:shd w:val="clear" w:color="auto" w:fill="auto"/>
            <w:vAlign w:val="center"/>
          </w:tcPr>
          <w:p w14:paraId="7B3789E6" w14:textId="77777777" w:rsidR="00A52778" w:rsidRPr="00460F9E" w:rsidRDefault="00A52778" w:rsidP="00FC3F8E">
            <w:pPr>
              <w:spacing w:line="0" w:lineRule="atLeast"/>
              <w:rPr>
                <w:rFonts w:eastAsia="Times New Roman" w:cs="Times New Roman"/>
                <w:b/>
                <w:color w:val="000000"/>
              </w:rPr>
            </w:pPr>
            <w:r w:rsidRPr="00460F9E">
              <w:rPr>
                <w:rFonts w:eastAsia="Times New Roman" w:cs="Times New Roman"/>
                <w:color w:val="000000"/>
              </w:rPr>
              <w:t xml:space="preserve">  Seçici katalitik </w:t>
            </w:r>
          </w:p>
          <w:p w14:paraId="1CB23F28" w14:textId="77777777" w:rsidR="00A52778" w:rsidRPr="00460F9E" w:rsidRDefault="00A52778" w:rsidP="00FC3F8E">
            <w:pPr>
              <w:spacing w:line="0" w:lineRule="atLeast"/>
              <w:rPr>
                <w:rFonts w:eastAsia="Times New Roman" w:cs="Times New Roman"/>
                <w:b/>
                <w:color w:val="000000"/>
              </w:rPr>
            </w:pPr>
            <w:r w:rsidRPr="00460F9E">
              <w:rPr>
                <w:rFonts w:eastAsia="Times New Roman" w:cs="Times New Roman"/>
                <w:color w:val="000000"/>
              </w:rPr>
              <w:t xml:space="preserve">  olmayan </w:t>
            </w:r>
          </w:p>
          <w:p w14:paraId="7D2DAC15" w14:textId="77777777" w:rsidR="00A52778" w:rsidRPr="00460F9E" w:rsidRDefault="00A52778" w:rsidP="00FC3F8E">
            <w:pPr>
              <w:spacing w:line="0" w:lineRule="atLeast"/>
              <w:rPr>
                <w:rFonts w:eastAsia="Times New Roman" w:cs="Times New Roman"/>
                <w:b/>
                <w:color w:val="000000"/>
              </w:rPr>
            </w:pPr>
            <w:r w:rsidRPr="00460F9E">
              <w:rPr>
                <w:rFonts w:eastAsia="Times New Roman" w:cs="Times New Roman"/>
                <w:color w:val="000000"/>
              </w:rPr>
              <w:t xml:space="preserve">  indirgeme </w:t>
            </w:r>
          </w:p>
          <w:p w14:paraId="5C2F9791" w14:textId="77777777" w:rsidR="00A52778" w:rsidRPr="00460F9E" w:rsidRDefault="00A52778" w:rsidP="00FC3F8E">
            <w:pPr>
              <w:spacing w:line="0" w:lineRule="atLeast"/>
              <w:rPr>
                <w:rFonts w:eastAsia="Times New Roman" w:cs="Times New Roman"/>
                <w:b/>
                <w:sz w:val="18"/>
              </w:rPr>
            </w:pPr>
            <w:r w:rsidRPr="00460F9E">
              <w:rPr>
                <w:rFonts w:eastAsia="Times New Roman" w:cs="Times New Roman"/>
                <w:color w:val="000000"/>
              </w:rPr>
              <w:t xml:space="preserve">  (SNCR)</w:t>
            </w:r>
          </w:p>
        </w:tc>
        <w:tc>
          <w:tcPr>
            <w:tcW w:w="706" w:type="dxa"/>
            <w:tcBorders>
              <w:left w:val="single" w:sz="8" w:space="0" w:color="auto"/>
            </w:tcBorders>
            <w:shd w:val="clear" w:color="auto" w:fill="auto"/>
            <w:vAlign w:val="bottom"/>
          </w:tcPr>
          <w:p w14:paraId="28D66BEC" w14:textId="77777777" w:rsidR="00A52778" w:rsidRPr="00460F9E" w:rsidRDefault="00A52778" w:rsidP="00FC3F8E">
            <w:pPr>
              <w:spacing w:line="0" w:lineRule="atLeast"/>
              <w:rPr>
                <w:rFonts w:eastAsia="Times New Roman" w:cs="Times New Roman"/>
                <w:b/>
                <w:sz w:val="18"/>
              </w:rPr>
            </w:pPr>
          </w:p>
        </w:tc>
        <w:tc>
          <w:tcPr>
            <w:tcW w:w="240" w:type="dxa"/>
            <w:shd w:val="clear" w:color="auto" w:fill="auto"/>
            <w:vAlign w:val="bottom"/>
          </w:tcPr>
          <w:p w14:paraId="44F6F2D5" w14:textId="77777777" w:rsidR="00A52778" w:rsidRPr="00460F9E" w:rsidRDefault="00A52778" w:rsidP="00FC3F8E">
            <w:pPr>
              <w:spacing w:line="0" w:lineRule="atLeast"/>
              <w:rPr>
                <w:rFonts w:eastAsia="Times New Roman" w:cs="Times New Roman"/>
                <w:b/>
                <w:sz w:val="18"/>
              </w:rPr>
            </w:pPr>
          </w:p>
        </w:tc>
        <w:tc>
          <w:tcPr>
            <w:tcW w:w="280" w:type="dxa"/>
            <w:shd w:val="clear" w:color="auto" w:fill="auto"/>
            <w:vAlign w:val="bottom"/>
          </w:tcPr>
          <w:p w14:paraId="50CEB4C3" w14:textId="77777777" w:rsidR="00A52778" w:rsidRPr="00460F9E" w:rsidRDefault="00A52778" w:rsidP="00FC3F8E">
            <w:pPr>
              <w:spacing w:line="0" w:lineRule="atLeast"/>
              <w:rPr>
                <w:rFonts w:eastAsia="Times New Roman" w:cs="Times New Roman"/>
                <w:b/>
                <w:sz w:val="18"/>
              </w:rPr>
            </w:pPr>
          </w:p>
        </w:tc>
        <w:tc>
          <w:tcPr>
            <w:tcW w:w="600" w:type="dxa"/>
            <w:shd w:val="clear" w:color="auto" w:fill="auto"/>
            <w:vAlign w:val="bottom"/>
          </w:tcPr>
          <w:p w14:paraId="24F97F73" w14:textId="77777777" w:rsidR="00A52778" w:rsidRPr="00460F9E" w:rsidRDefault="00A52778" w:rsidP="00FC3F8E">
            <w:pPr>
              <w:spacing w:line="0" w:lineRule="atLeast"/>
              <w:rPr>
                <w:rFonts w:eastAsia="Times New Roman" w:cs="Times New Roman"/>
                <w:b/>
                <w:sz w:val="18"/>
              </w:rPr>
            </w:pPr>
          </w:p>
        </w:tc>
        <w:tc>
          <w:tcPr>
            <w:tcW w:w="600" w:type="dxa"/>
            <w:tcBorders>
              <w:right w:val="single" w:sz="8" w:space="0" w:color="auto"/>
            </w:tcBorders>
            <w:shd w:val="clear" w:color="auto" w:fill="auto"/>
            <w:vAlign w:val="bottom"/>
          </w:tcPr>
          <w:p w14:paraId="129B13C1" w14:textId="77777777" w:rsidR="00A52778" w:rsidRPr="00460F9E" w:rsidRDefault="00A52778" w:rsidP="00FC3F8E">
            <w:pPr>
              <w:spacing w:line="0" w:lineRule="atLeast"/>
              <w:rPr>
                <w:rFonts w:eastAsia="Times New Roman" w:cs="Times New Roman"/>
                <w:b/>
                <w:sz w:val="18"/>
              </w:rPr>
            </w:pPr>
          </w:p>
        </w:tc>
        <w:tc>
          <w:tcPr>
            <w:tcW w:w="1340" w:type="dxa"/>
            <w:tcBorders>
              <w:right w:val="single" w:sz="8" w:space="0" w:color="auto"/>
            </w:tcBorders>
            <w:shd w:val="clear" w:color="auto" w:fill="auto"/>
            <w:vAlign w:val="bottom"/>
          </w:tcPr>
          <w:p w14:paraId="625196B2" w14:textId="77777777" w:rsidR="00A52778" w:rsidRPr="00460F9E" w:rsidRDefault="00A52778" w:rsidP="00FC3F8E">
            <w:pPr>
              <w:spacing w:line="0" w:lineRule="atLeast"/>
              <w:rPr>
                <w:rFonts w:eastAsia="Times New Roman" w:cs="Times New Roman"/>
                <w:b/>
                <w:sz w:val="18"/>
              </w:rPr>
            </w:pPr>
          </w:p>
        </w:tc>
        <w:tc>
          <w:tcPr>
            <w:tcW w:w="3040" w:type="dxa"/>
            <w:gridSpan w:val="4"/>
            <w:vMerge w:val="restart"/>
            <w:tcBorders>
              <w:right w:val="single" w:sz="8" w:space="0" w:color="auto"/>
            </w:tcBorders>
            <w:shd w:val="clear" w:color="auto" w:fill="auto"/>
            <w:vAlign w:val="bottom"/>
          </w:tcPr>
          <w:p w14:paraId="6F0F24B8"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Mevcut proses   f</w:t>
            </w:r>
          </w:p>
          <w:p w14:paraId="3300A2ED"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fırınlarına/ısıtıcılarına </w:t>
            </w:r>
          </w:p>
          <w:p w14:paraId="3A773025"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uygulanabilirliği sıcaklık skalası </w:t>
            </w:r>
          </w:p>
          <w:p w14:paraId="097ED150"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(800-1 100 °C) ve reaksiyon için </w:t>
            </w:r>
          </w:p>
          <w:p w14:paraId="6130A3AE"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gereken bekleme süresi ile </w:t>
            </w:r>
          </w:p>
          <w:p w14:paraId="22043E34"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kısıtlanabilir.</w:t>
            </w:r>
          </w:p>
        </w:tc>
      </w:tr>
      <w:tr w:rsidR="00A52778" w:rsidRPr="00460F9E" w14:paraId="4703C820" w14:textId="77777777" w:rsidTr="00FC3F8E">
        <w:trPr>
          <w:trHeight w:val="115"/>
        </w:trPr>
        <w:tc>
          <w:tcPr>
            <w:tcW w:w="400" w:type="dxa"/>
            <w:tcBorders>
              <w:left w:val="single" w:sz="8" w:space="0" w:color="auto"/>
            </w:tcBorders>
            <w:shd w:val="clear" w:color="auto" w:fill="auto"/>
            <w:vAlign w:val="bottom"/>
          </w:tcPr>
          <w:p w14:paraId="1663CFED" w14:textId="77777777" w:rsidR="00A52778" w:rsidRPr="00460F9E" w:rsidRDefault="00A52778" w:rsidP="00FC3F8E">
            <w:pPr>
              <w:spacing w:line="0" w:lineRule="atLeast"/>
              <w:rPr>
                <w:rFonts w:eastAsia="Times New Roman" w:cs="Times New Roman"/>
                <w:b/>
                <w:sz w:val="10"/>
              </w:rPr>
            </w:pPr>
          </w:p>
        </w:tc>
        <w:tc>
          <w:tcPr>
            <w:tcW w:w="280" w:type="dxa"/>
            <w:tcBorders>
              <w:right w:val="single" w:sz="8" w:space="0" w:color="auto"/>
            </w:tcBorders>
            <w:shd w:val="clear" w:color="auto" w:fill="auto"/>
            <w:vAlign w:val="bottom"/>
          </w:tcPr>
          <w:p w14:paraId="0E2C6E9F"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right w:val="single" w:sz="8" w:space="0" w:color="auto"/>
            </w:tcBorders>
            <w:shd w:val="clear" w:color="auto" w:fill="auto"/>
            <w:vAlign w:val="bottom"/>
          </w:tcPr>
          <w:p w14:paraId="599C9417" w14:textId="77777777" w:rsidR="00A52778" w:rsidRPr="00460F9E" w:rsidRDefault="00A52778" w:rsidP="00FC3F8E">
            <w:pPr>
              <w:spacing w:line="0" w:lineRule="atLeast"/>
              <w:rPr>
                <w:rFonts w:eastAsia="Times New Roman" w:cs="Times New Roman"/>
                <w:b/>
                <w:sz w:val="10"/>
              </w:rPr>
            </w:pPr>
          </w:p>
        </w:tc>
        <w:tc>
          <w:tcPr>
            <w:tcW w:w="706" w:type="dxa"/>
            <w:tcBorders>
              <w:left w:val="single" w:sz="8" w:space="0" w:color="auto"/>
            </w:tcBorders>
            <w:shd w:val="clear" w:color="auto" w:fill="auto"/>
            <w:vAlign w:val="bottom"/>
          </w:tcPr>
          <w:p w14:paraId="66EA1763" w14:textId="77777777" w:rsidR="00A52778" w:rsidRPr="00460F9E" w:rsidRDefault="00A52778" w:rsidP="00FC3F8E">
            <w:pPr>
              <w:spacing w:line="0" w:lineRule="atLeast"/>
              <w:rPr>
                <w:rFonts w:eastAsia="Times New Roman" w:cs="Times New Roman"/>
                <w:b/>
                <w:sz w:val="10"/>
              </w:rPr>
            </w:pPr>
          </w:p>
        </w:tc>
        <w:tc>
          <w:tcPr>
            <w:tcW w:w="240" w:type="dxa"/>
            <w:shd w:val="clear" w:color="auto" w:fill="auto"/>
            <w:vAlign w:val="bottom"/>
          </w:tcPr>
          <w:p w14:paraId="3D90136C" w14:textId="77777777" w:rsidR="00A52778" w:rsidRPr="00460F9E" w:rsidRDefault="00A52778" w:rsidP="00FC3F8E">
            <w:pPr>
              <w:spacing w:line="0" w:lineRule="atLeast"/>
              <w:rPr>
                <w:rFonts w:eastAsia="Times New Roman" w:cs="Times New Roman"/>
                <w:b/>
                <w:sz w:val="10"/>
              </w:rPr>
            </w:pPr>
          </w:p>
        </w:tc>
        <w:tc>
          <w:tcPr>
            <w:tcW w:w="280" w:type="dxa"/>
            <w:shd w:val="clear" w:color="auto" w:fill="auto"/>
            <w:vAlign w:val="bottom"/>
          </w:tcPr>
          <w:p w14:paraId="5B45E3A2" w14:textId="77777777" w:rsidR="00A52778" w:rsidRPr="00460F9E" w:rsidRDefault="00A52778" w:rsidP="00FC3F8E">
            <w:pPr>
              <w:spacing w:line="0" w:lineRule="atLeast"/>
              <w:rPr>
                <w:rFonts w:eastAsia="Times New Roman" w:cs="Times New Roman"/>
                <w:b/>
                <w:sz w:val="10"/>
              </w:rPr>
            </w:pPr>
          </w:p>
        </w:tc>
        <w:tc>
          <w:tcPr>
            <w:tcW w:w="600" w:type="dxa"/>
            <w:shd w:val="clear" w:color="auto" w:fill="auto"/>
            <w:vAlign w:val="bottom"/>
          </w:tcPr>
          <w:p w14:paraId="233AB00B" w14:textId="77777777" w:rsidR="00A52778" w:rsidRPr="00460F9E" w:rsidRDefault="00A52778" w:rsidP="00FC3F8E">
            <w:pPr>
              <w:spacing w:line="0" w:lineRule="atLeast"/>
              <w:rPr>
                <w:rFonts w:eastAsia="Times New Roman" w:cs="Times New Roman"/>
                <w:b/>
                <w:sz w:val="10"/>
              </w:rPr>
            </w:pPr>
          </w:p>
        </w:tc>
        <w:tc>
          <w:tcPr>
            <w:tcW w:w="600" w:type="dxa"/>
            <w:tcBorders>
              <w:right w:val="single" w:sz="8" w:space="0" w:color="auto"/>
            </w:tcBorders>
            <w:shd w:val="clear" w:color="auto" w:fill="auto"/>
            <w:vAlign w:val="bottom"/>
          </w:tcPr>
          <w:p w14:paraId="1D8068F2" w14:textId="77777777" w:rsidR="00A52778" w:rsidRPr="00460F9E" w:rsidRDefault="00A52778" w:rsidP="00FC3F8E">
            <w:pPr>
              <w:spacing w:line="0" w:lineRule="atLeast"/>
              <w:rPr>
                <w:rFonts w:eastAsia="Times New Roman" w:cs="Times New Roman"/>
                <w:b/>
                <w:sz w:val="10"/>
              </w:rPr>
            </w:pPr>
          </w:p>
        </w:tc>
        <w:tc>
          <w:tcPr>
            <w:tcW w:w="1340" w:type="dxa"/>
            <w:tcBorders>
              <w:right w:val="single" w:sz="8" w:space="0" w:color="auto"/>
            </w:tcBorders>
            <w:shd w:val="clear" w:color="auto" w:fill="auto"/>
            <w:vAlign w:val="bottom"/>
          </w:tcPr>
          <w:p w14:paraId="6246C24F" w14:textId="77777777" w:rsidR="00A52778" w:rsidRPr="00460F9E" w:rsidRDefault="00A52778" w:rsidP="00FC3F8E">
            <w:pPr>
              <w:spacing w:line="0" w:lineRule="atLeast"/>
              <w:rPr>
                <w:rFonts w:eastAsia="Times New Roman" w:cs="Times New Roman"/>
                <w:b/>
                <w:sz w:val="10"/>
              </w:rPr>
            </w:pPr>
          </w:p>
        </w:tc>
        <w:tc>
          <w:tcPr>
            <w:tcW w:w="3040" w:type="dxa"/>
            <w:gridSpan w:val="4"/>
            <w:vMerge/>
            <w:tcBorders>
              <w:right w:val="single" w:sz="8" w:space="0" w:color="auto"/>
            </w:tcBorders>
            <w:shd w:val="clear" w:color="auto" w:fill="auto"/>
            <w:vAlign w:val="bottom"/>
          </w:tcPr>
          <w:p w14:paraId="4F994BF5" w14:textId="77777777" w:rsidR="00A52778" w:rsidRPr="00460F9E" w:rsidRDefault="00A52778" w:rsidP="00FC3F8E">
            <w:pPr>
              <w:spacing w:line="0" w:lineRule="atLeast"/>
              <w:rPr>
                <w:rFonts w:eastAsia="Times New Roman" w:cs="Times New Roman"/>
                <w:b/>
              </w:rPr>
            </w:pPr>
          </w:p>
        </w:tc>
      </w:tr>
      <w:tr w:rsidR="00A52778" w:rsidRPr="00460F9E" w14:paraId="363E995C" w14:textId="77777777" w:rsidTr="00FC3F8E">
        <w:trPr>
          <w:trHeight w:val="116"/>
        </w:trPr>
        <w:tc>
          <w:tcPr>
            <w:tcW w:w="400" w:type="dxa"/>
            <w:tcBorders>
              <w:left w:val="single" w:sz="8" w:space="0" w:color="auto"/>
            </w:tcBorders>
            <w:shd w:val="clear" w:color="auto" w:fill="auto"/>
            <w:vAlign w:val="bottom"/>
          </w:tcPr>
          <w:p w14:paraId="77215075" w14:textId="77777777" w:rsidR="00A52778" w:rsidRPr="00460F9E" w:rsidRDefault="00A52778" w:rsidP="00FC3F8E">
            <w:pPr>
              <w:spacing w:line="0" w:lineRule="atLeast"/>
              <w:rPr>
                <w:rFonts w:eastAsia="Times New Roman" w:cs="Times New Roman"/>
                <w:b/>
                <w:sz w:val="10"/>
              </w:rPr>
            </w:pPr>
          </w:p>
        </w:tc>
        <w:tc>
          <w:tcPr>
            <w:tcW w:w="280" w:type="dxa"/>
            <w:tcBorders>
              <w:right w:val="single" w:sz="8" w:space="0" w:color="auto"/>
            </w:tcBorders>
            <w:shd w:val="clear" w:color="auto" w:fill="auto"/>
            <w:vAlign w:val="bottom"/>
          </w:tcPr>
          <w:p w14:paraId="54189ABA"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right w:val="single" w:sz="8" w:space="0" w:color="auto"/>
            </w:tcBorders>
            <w:shd w:val="clear" w:color="auto" w:fill="auto"/>
            <w:vAlign w:val="bottom"/>
          </w:tcPr>
          <w:p w14:paraId="4EF4C615" w14:textId="77777777" w:rsidR="00A52778" w:rsidRPr="00460F9E" w:rsidRDefault="00A52778" w:rsidP="00FC3F8E">
            <w:pPr>
              <w:spacing w:line="0" w:lineRule="atLeast"/>
              <w:rPr>
                <w:rFonts w:eastAsia="Times New Roman" w:cs="Times New Roman"/>
                <w:b/>
              </w:rPr>
            </w:pPr>
          </w:p>
        </w:tc>
        <w:tc>
          <w:tcPr>
            <w:tcW w:w="706" w:type="dxa"/>
            <w:shd w:val="clear" w:color="auto" w:fill="auto"/>
            <w:vAlign w:val="bottom"/>
          </w:tcPr>
          <w:p w14:paraId="1F5FFEC7" w14:textId="77777777" w:rsidR="00A52778" w:rsidRPr="00460F9E" w:rsidRDefault="00A52778" w:rsidP="00FC3F8E">
            <w:pPr>
              <w:spacing w:line="0" w:lineRule="atLeast"/>
              <w:rPr>
                <w:rFonts w:eastAsia="Times New Roman" w:cs="Times New Roman"/>
                <w:b/>
                <w:sz w:val="10"/>
              </w:rPr>
            </w:pPr>
          </w:p>
        </w:tc>
        <w:tc>
          <w:tcPr>
            <w:tcW w:w="240" w:type="dxa"/>
            <w:shd w:val="clear" w:color="auto" w:fill="auto"/>
            <w:vAlign w:val="bottom"/>
          </w:tcPr>
          <w:p w14:paraId="40BDE864" w14:textId="77777777" w:rsidR="00A52778" w:rsidRPr="00460F9E" w:rsidRDefault="00A52778" w:rsidP="00FC3F8E">
            <w:pPr>
              <w:spacing w:line="0" w:lineRule="atLeast"/>
              <w:rPr>
                <w:rFonts w:eastAsia="Times New Roman" w:cs="Times New Roman"/>
                <w:b/>
                <w:sz w:val="10"/>
              </w:rPr>
            </w:pPr>
          </w:p>
        </w:tc>
        <w:tc>
          <w:tcPr>
            <w:tcW w:w="280" w:type="dxa"/>
            <w:shd w:val="clear" w:color="auto" w:fill="auto"/>
            <w:vAlign w:val="bottom"/>
          </w:tcPr>
          <w:p w14:paraId="508924D6" w14:textId="77777777" w:rsidR="00A52778" w:rsidRPr="00460F9E" w:rsidRDefault="00A52778" w:rsidP="00FC3F8E">
            <w:pPr>
              <w:spacing w:line="0" w:lineRule="atLeast"/>
              <w:rPr>
                <w:rFonts w:eastAsia="Times New Roman" w:cs="Times New Roman"/>
                <w:b/>
                <w:sz w:val="10"/>
              </w:rPr>
            </w:pPr>
          </w:p>
        </w:tc>
        <w:tc>
          <w:tcPr>
            <w:tcW w:w="600" w:type="dxa"/>
            <w:shd w:val="clear" w:color="auto" w:fill="auto"/>
            <w:vAlign w:val="bottom"/>
          </w:tcPr>
          <w:p w14:paraId="3856FDC9" w14:textId="77777777" w:rsidR="00A52778" w:rsidRPr="00460F9E" w:rsidRDefault="00A52778" w:rsidP="00FC3F8E">
            <w:pPr>
              <w:spacing w:line="0" w:lineRule="atLeast"/>
              <w:rPr>
                <w:rFonts w:eastAsia="Times New Roman" w:cs="Times New Roman"/>
                <w:b/>
                <w:sz w:val="10"/>
              </w:rPr>
            </w:pPr>
          </w:p>
        </w:tc>
        <w:tc>
          <w:tcPr>
            <w:tcW w:w="600" w:type="dxa"/>
            <w:tcBorders>
              <w:right w:val="single" w:sz="8" w:space="0" w:color="auto"/>
            </w:tcBorders>
            <w:shd w:val="clear" w:color="auto" w:fill="auto"/>
            <w:vAlign w:val="bottom"/>
          </w:tcPr>
          <w:p w14:paraId="7C52CBE7" w14:textId="77777777" w:rsidR="00A52778" w:rsidRPr="00460F9E" w:rsidRDefault="00A52778" w:rsidP="00FC3F8E">
            <w:pPr>
              <w:spacing w:line="0" w:lineRule="atLeast"/>
              <w:rPr>
                <w:rFonts w:eastAsia="Times New Roman" w:cs="Times New Roman"/>
                <w:b/>
                <w:sz w:val="10"/>
              </w:rPr>
            </w:pPr>
          </w:p>
        </w:tc>
        <w:tc>
          <w:tcPr>
            <w:tcW w:w="1340" w:type="dxa"/>
            <w:tcBorders>
              <w:right w:val="single" w:sz="8" w:space="0" w:color="auto"/>
            </w:tcBorders>
            <w:shd w:val="clear" w:color="auto" w:fill="auto"/>
            <w:vAlign w:val="bottom"/>
          </w:tcPr>
          <w:p w14:paraId="0F654C7D" w14:textId="77777777" w:rsidR="00A52778" w:rsidRPr="00460F9E" w:rsidRDefault="00A52778" w:rsidP="00FC3F8E">
            <w:pPr>
              <w:spacing w:line="0" w:lineRule="atLeast"/>
              <w:rPr>
                <w:rFonts w:eastAsia="Times New Roman" w:cs="Times New Roman"/>
                <w:b/>
                <w:sz w:val="10"/>
              </w:rPr>
            </w:pPr>
          </w:p>
        </w:tc>
        <w:tc>
          <w:tcPr>
            <w:tcW w:w="3040" w:type="dxa"/>
            <w:gridSpan w:val="4"/>
            <w:vMerge/>
            <w:tcBorders>
              <w:right w:val="single" w:sz="8" w:space="0" w:color="auto"/>
            </w:tcBorders>
            <w:shd w:val="clear" w:color="auto" w:fill="auto"/>
            <w:vAlign w:val="bottom"/>
          </w:tcPr>
          <w:p w14:paraId="3C341CB8" w14:textId="77777777" w:rsidR="00A52778" w:rsidRPr="00460F9E" w:rsidRDefault="00A52778" w:rsidP="00FC3F8E">
            <w:pPr>
              <w:spacing w:line="0" w:lineRule="atLeast"/>
              <w:rPr>
                <w:rFonts w:eastAsia="Times New Roman" w:cs="Times New Roman"/>
                <w:b/>
                <w:sz w:val="10"/>
              </w:rPr>
            </w:pPr>
          </w:p>
        </w:tc>
      </w:tr>
      <w:tr w:rsidR="00A52778" w:rsidRPr="00460F9E" w14:paraId="7D5786BC" w14:textId="77777777" w:rsidTr="00FC3F8E">
        <w:trPr>
          <w:trHeight w:val="115"/>
        </w:trPr>
        <w:tc>
          <w:tcPr>
            <w:tcW w:w="400" w:type="dxa"/>
            <w:vMerge w:val="restart"/>
            <w:tcBorders>
              <w:left w:val="single" w:sz="8" w:space="0" w:color="auto"/>
            </w:tcBorders>
            <w:shd w:val="clear" w:color="auto" w:fill="auto"/>
            <w:vAlign w:val="bottom"/>
          </w:tcPr>
          <w:p w14:paraId="1A8E2216" w14:textId="77777777" w:rsidR="00A52778" w:rsidRPr="00460F9E" w:rsidRDefault="00A52778" w:rsidP="00FC3F8E">
            <w:pPr>
              <w:spacing w:line="0" w:lineRule="atLeast"/>
              <w:ind w:left="100"/>
              <w:rPr>
                <w:rFonts w:eastAsia="Times New Roman" w:cs="Times New Roman"/>
                <w:b/>
              </w:rPr>
            </w:pPr>
            <w:r>
              <w:rPr>
                <w:rFonts w:eastAsia="Times New Roman" w:cs="Times New Roman"/>
              </w:rPr>
              <w:t>f</w:t>
            </w:r>
            <w:r w:rsidRPr="00460F9E">
              <w:rPr>
                <w:rFonts w:eastAsia="Times New Roman" w:cs="Times New Roman"/>
              </w:rPr>
              <w:t>.</w:t>
            </w:r>
          </w:p>
        </w:tc>
        <w:tc>
          <w:tcPr>
            <w:tcW w:w="280" w:type="dxa"/>
            <w:tcBorders>
              <w:right w:val="single" w:sz="8" w:space="0" w:color="auto"/>
            </w:tcBorders>
            <w:shd w:val="clear" w:color="auto" w:fill="auto"/>
            <w:vAlign w:val="bottom"/>
          </w:tcPr>
          <w:p w14:paraId="59BE5A4A"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right w:val="single" w:sz="8" w:space="0" w:color="auto"/>
            </w:tcBorders>
            <w:shd w:val="clear" w:color="auto" w:fill="auto"/>
            <w:vAlign w:val="bottom"/>
          </w:tcPr>
          <w:p w14:paraId="769AC0D7" w14:textId="77777777" w:rsidR="00A52778" w:rsidRPr="00460F9E" w:rsidRDefault="00A52778" w:rsidP="00FC3F8E">
            <w:pPr>
              <w:spacing w:line="0" w:lineRule="atLeast"/>
              <w:rPr>
                <w:rFonts w:eastAsia="Times New Roman" w:cs="Times New Roman"/>
                <w:b/>
                <w:sz w:val="10"/>
              </w:rPr>
            </w:pPr>
          </w:p>
        </w:tc>
        <w:tc>
          <w:tcPr>
            <w:tcW w:w="1826" w:type="dxa"/>
            <w:gridSpan w:val="4"/>
            <w:vMerge w:val="restart"/>
            <w:shd w:val="clear" w:color="auto" w:fill="auto"/>
            <w:vAlign w:val="bottom"/>
          </w:tcPr>
          <w:p w14:paraId="29E4F0E4"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Bkz. Bölüm</w:t>
            </w:r>
            <w:r w:rsidRPr="00460F9E">
              <w:rPr>
                <w:rFonts w:cs="Times New Roman"/>
              </w:rPr>
              <w:t xml:space="preserve"> </w:t>
            </w:r>
            <w:hyperlink w:anchor="page331" w:history="1">
              <w:r w:rsidRPr="00460F9E">
                <w:rPr>
                  <w:rFonts w:eastAsia="Times New Roman" w:cs="Times New Roman"/>
                </w:rPr>
                <w:t>4.4.1.</w:t>
              </w:r>
            </w:hyperlink>
          </w:p>
        </w:tc>
        <w:tc>
          <w:tcPr>
            <w:tcW w:w="600" w:type="dxa"/>
            <w:tcBorders>
              <w:right w:val="single" w:sz="8" w:space="0" w:color="auto"/>
            </w:tcBorders>
            <w:shd w:val="clear" w:color="auto" w:fill="auto"/>
            <w:vAlign w:val="bottom"/>
          </w:tcPr>
          <w:p w14:paraId="4EFA2D2C" w14:textId="77777777" w:rsidR="00A52778" w:rsidRPr="00460F9E" w:rsidRDefault="00A52778" w:rsidP="00FC3F8E">
            <w:pPr>
              <w:spacing w:line="0" w:lineRule="atLeast"/>
              <w:rPr>
                <w:rFonts w:eastAsia="Times New Roman" w:cs="Times New Roman"/>
                <w:b/>
                <w:sz w:val="10"/>
              </w:rPr>
            </w:pPr>
          </w:p>
        </w:tc>
        <w:tc>
          <w:tcPr>
            <w:tcW w:w="1340" w:type="dxa"/>
            <w:vMerge w:val="restart"/>
            <w:tcBorders>
              <w:right w:val="single" w:sz="8" w:space="0" w:color="auto"/>
            </w:tcBorders>
            <w:shd w:val="clear" w:color="auto" w:fill="auto"/>
            <w:vAlign w:val="bottom"/>
          </w:tcPr>
          <w:p w14:paraId="6EA3E2B9" w14:textId="77777777" w:rsidR="00A52778" w:rsidRPr="00460F9E" w:rsidRDefault="00A52778" w:rsidP="00FC3F8E">
            <w:pPr>
              <w:spacing w:line="0" w:lineRule="atLeast"/>
              <w:jc w:val="center"/>
              <w:rPr>
                <w:rFonts w:eastAsia="Times New Roman" w:cs="Times New Roman"/>
                <w:b/>
                <w:sz w:val="12"/>
              </w:rPr>
            </w:pPr>
            <w:r w:rsidRPr="00460F9E">
              <w:rPr>
                <w:rFonts w:eastAsia="Times New Roman" w:cs="Times New Roman"/>
              </w:rPr>
              <w:t>NO</w:t>
            </w:r>
            <w:r w:rsidRPr="00460F9E">
              <w:rPr>
                <w:rFonts w:eastAsia="Times New Roman" w:cs="Times New Roman"/>
                <w:sz w:val="12"/>
              </w:rPr>
              <w:t>X</w:t>
            </w:r>
          </w:p>
        </w:tc>
        <w:tc>
          <w:tcPr>
            <w:tcW w:w="3040" w:type="dxa"/>
            <w:gridSpan w:val="4"/>
            <w:vMerge/>
            <w:tcBorders>
              <w:right w:val="single" w:sz="8" w:space="0" w:color="auto"/>
            </w:tcBorders>
            <w:shd w:val="clear" w:color="auto" w:fill="auto"/>
            <w:vAlign w:val="bottom"/>
          </w:tcPr>
          <w:p w14:paraId="203DC912" w14:textId="77777777" w:rsidR="00A52778" w:rsidRPr="00460F9E" w:rsidRDefault="00A52778" w:rsidP="00FC3F8E">
            <w:pPr>
              <w:spacing w:line="0" w:lineRule="atLeast"/>
              <w:rPr>
                <w:rFonts w:eastAsia="Times New Roman" w:cs="Times New Roman"/>
                <w:b/>
              </w:rPr>
            </w:pPr>
          </w:p>
        </w:tc>
      </w:tr>
      <w:tr w:rsidR="00A52778" w:rsidRPr="00460F9E" w14:paraId="6AFB7301" w14:textId="77777777" w:rsidTr="00FC3F8E">
        <w:trPr>
          <w:trHeight w:val="118"/>
        </w:trPr>
        <w:tc>
          <w:tcPr>
            <w:tcW w:w="400" w:type="dxa"/>
            <w:vMerge/>
            <w:tcBorders>
              <w:left w:val="single" w:sz="8" w:space="0" w:color="auto"/>
            </w:tcBorders>
            <w:shd w:val="clear" w:color="auto" w:fill="auto"/>
            <w:vAlign w:val="bottom"/>
          </w:tcPr>
          <w:p w14:paraId="21D8DA47" w14:textId="77777777" w:rsidR="00A52778" w:rsidRPr="00460F9E" w:rsidRDefault="00A52778" w:rsidP="00FC3F8E">
            <w:pPr>
              <w:spacing w:line="0" w:lineRule="atLeast"/>
              <w:rPr>
                <w:rFonts w:eastAsia="Times New Roman" w:cs="Times New Roman"/>
                <w:b/>
                <w:sz w:val="10"/>
              </w:rPr>
            </w:pPr>
          </w:p>
        </w:tc>
        <w:tc>
          <w:tcPr>
            <w:tcW w:w="280" w:type="dxa"/>
            <w:tcBorders>
              <w:right w:val="single" w:sz="8" w:space="0" w:color="auto"/>
            </w:tcBorders>
            <w:shd w:val="clear" w:color="auto" w:fill="auto"/>
            <w:vAlign w:val="bottom"/>
          </w:tcPr>
          <w:p w14:paraId="173A9290"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right w:val="single" w:sz="8" w:space="0" w:color="auto"/>
            </w:tcBorders>
            <w:shd w:val="clear" w:color="auto" w:fill="auto"/>
            <w:vAlign w:val="bottom"/>
          </w:tcPr>
          <w:p w14:paraId="3D155DB4" w14:textId="77777777" w:rsidR="00A52778" w:rsidRPr="00460F9E" w:rsidRDefault="00A52778" w:rsidP="00FC3F8E">
            <w:pPr>
              <w:spacing w:line="0" w:lineRule="atLeast"/>
              <w:rPr>
                <w:rFonts w:eastAsia="Times New Roman" w:cs="Times New Roman"/>
                <w:b/>
              </w:rPr>
            </w:pPr>
          </w:p>
        </w:tc>
        <w:tc>
          <w:tcPr>
            <w:tcW w:w="1826" w:type="dxa"/>
            <w:gridSpan w:val="4"/>
            <w:vMerge/>
            <w:shd w:val="clear" w:color="auto" w:fill="auto"/>
            <w:vAlign w:val="bottom"/>
          </w:tcPr>
          <w:p w14:paraId="77B88F7D" w14:textId="77777777" w:rsidR="00A52778" w:rsidRPr="00460F9E" w:rsidRDefault="00A52778" w:rsidP="00FC3F8E">
            <w:pPr>
              <w:spacing w:line="0" w:lineRule="atLeast"/>
              <w:rPr>
                <w:rFonts w:eastAsia="Times New Roman" w:cs="Times New Roman"/>
                <w:b/>
                <w:sz w:val="10"/>
              </w:rPr>
            </w:pPr>
          </w:p>
        </w:tc>
        <w:tc>
          <w:tcPr>
            <w:tcW w:w="600" w:type="dxa"/>
            <w:tcBorders>
              <w:right w:val="single" w:sz="8" w:space="0" w:color="auto"/>
            </w:tcBorders>
            <w:shd w:val="clear" w:color="auto" w:fill="auto"/>
            <w:vAlign w:val="bottom"/>
          </w:tcPr>
          <w:p w14:paraId="7E65AB16" w14:textId="77777777" w:rsidR="00A52778" w:rsidRPr="00460F9E" w:rsidRDefault="00A52778" w:rsidP="00FC3F8E">
            <w:pPr>
              <w:spacing w:line="0" w:lineRule="atLeast"/>
              <w:rPr>
                <w:rFonts w:eastAsia="Times New Roman" w:cs="Times New Roman"/>
                <w:b/>
                <w:sz w:val="10"/>
              </w:rPr>
            </w:pPr>
          </w:p>
        </w:tc>
        <w:tc>
          <w:tcPr>
            <w:tcW w:w="1340" w:type="dxa"/>
            <w:vMerge/>
            <w:tcBorders>
              <w:right w:val="single" w:sz="8" w:space="0" w:color="auto"/>
            </w:tcBorders>
            <w:shd w:val="clear" w:color="auto" w:fill="auto"/>
            <w:vAlign w:val="bottom"/>
          </w:tcPr>
          <w:p w14:paraId="1D6174CA" w14:textId="77777777" w:rsidR="00A52778" w:rsidRPr="00460F9E" w:rsidRDefault="00A52778" w:rsidP="00FC3F8E">
            <w:pPr>
              <w:spacing w:line="0" w:lineRule="atLeast"/>
              <w:rPr>
                <w:rFonts w:eastAsia="Times New Roman" w:cs="Times New Roman"/>
                <w:b/>
                <w:sz w:val="10"/>
              </w:rPr>
            </w:pPr>
          </w:p>
        </w:tc>
        <w:tc>
          <w:tcPr>
            <w:tcW w:w="3040" w:type="dxa"/>
            <w:gridSpan w:val="4"/>
            <w:vMerge/>
            <w:tcBorders>
              <w:right w:val="single" w:sz="8" w:space="0" w:color="auto"/>
            </w:tcBorders>
            <w:shd w:val="clear" w:color="auto" w:fill="auto"/>
            <w:vAlign w:val="bottom"/>
          </w:tcPr>
          <w:p w14:paraId="3ECA1E5C" w14:textId="77777777" w:rsidR="00A52778" w:rsidRPr="00460F9E" w:rsidRDefault="00A52778" w:rsidP="00FC3F8E">
            <w:pPr>
              <w:spacing w:line="0" w:lineRule="atLeast"/>
              <w:rPr>
                <w:rFonts w:eastAsia="Times New Roman" w:cs="Times New Roman"/>
                <w:b/>
                <w:sz w:val="10"/>
              </w:rPr>
            </w:pPr>
          </w:p>
        </w:tc>
      </w:tr>
      <w:tr w:rsidR="00A52778" w:rsidRPr="00460F9E" w14:paraId="0C8F55AB" w14:textId="77777777" w:rsidTr="00FC3F8E">
        <w:trPr>
          <w:trHeight w:val="112"/>
        </w:trPr>
        <w:tc>
          <w:tcPr>
            <w:tcW w:w="400" w:type="dxa"/>
            <w:tcBorders>
              <w:left w:val="single" w:sz="8" w:space="0" w:color="auto"/>
            </w:tcBorders>
            <w:shd w:val="clear" w:color="auto" w:fill="auto"/>
            <w:vAlign w:val="bottom"/>
          </w:tcPr>
          <w:p w14:paraId="4B77E76C" w14:textId="77777777" w:rsidR="00A52778" w:rsidRPr="00460F9E" w:rsidRDefault="00A52778" w:rsidP="00FC3F8E">
            <w:pPr>
              <w:spacing w:line="0" w:lineRule="atLeast"/>
              <w:rPr>
                <w:rFonts w:eastAsia="Times New Roman" w:cs="Times New Roman"/>
                <w:b/>
                <w:sz w:val="9"/>
              </w:rPr>
            </w:pPr>
          </w:p>
        </w:tc>
        <w:tc>
          <w:tcPr>
            <w:tcW w:w="280" w:type="dxa"/>
            <w:tcBorders>
              <w:right w:val="single" w:sz="8" w:space="0" w:color="auto"/>
            </w:tcBorders>
            <w:shd w:val="clear" w:color="auto" w:fill="auto"/>
            <w:vAlign w:val="bottom"/>
          </w:tcPr>
          <w:p w14:paraId="51F5F007" w14:textId="77777777" w:rsidR="00A52778" w:rsidRPr="00460F9E" w:rsidRDefault="00A52778" w:rsidP="00FC3F8E">
            <w:pPr>
              <w:spacing w:line="0" w:lineRule="atLeast"/>
              <w:rPr>
                <w:rFonts w:eastAsia="Times New Roman" w:cs="Times New Roman"/>
                <w:b/>
                <w:sz w:val="9"/>
              </w:rPr>
            </w:pPr>
          </w:p>
        </w:tc>
        <w:tc>
          <w:tcPr>
            <w:tcW w:w="1274" w:type="dxa"/>
            <w:gridSpan w:val="2"/>
            <w:vMerge/>
            <w:tcBorders>
              <w:right w:val="single" w:sz="8" w:space="0" w:color="auto"/>
            </w:tcBorders>
            <w:shd w:val="clear" w:color="auto" w:fill="auto"/>
            <w:vAlign w:val="bottom"/>
          </w:tcPr>
          <w:p w14:paraId="6306158E" w14:textId="77777777" w:rsidR="00A52778" w:rsidRPr="00460F9E" w:rsidRDefault="00A52778" w:rsidP="00FC3F8E">
            <w:pPr>
              <w:spacing w:line="0" w:lineRule="atLeast"/>
              <w:rPr>
                <w:rFonts w:eastAsia="Times New Roman" w:cs="Times New Roman"/>
                <w:b/>
                <w:sz w:val="9"/>
              </w:rPr>
            </w:pPr>
          </w:p>
        </w:tc>
        <w:tc>
          <w:tcPr>
            <w:tcW w:w="706" w:type="dxa"/>
            <w:shd w:val="clear" w:color="auto" w:fill="auto"/>
            <w:vAlign w:val="bottom"/>
          </w:tcPr>
          <w:p w14:paraId="7B75E0B1" w14:textId="77777777" w:rsidR="00A52778" w:rsidRPr="00460F9E" w:rsidRDefault="00A52778" w:rsidP="00FC3F8E">
            <w:pPr>
              <w:spacing w:line="0" w:lineRule="atLeast"/>
              <w:rPr>
                <w:rFonts w:eastAsia="Times New Roman" w:cs="Times New Roman"/>
                <w:b/>
                <w:sz w:val="9"/>
              </w:rPr>
            </w:pPr>
          </w:p>
        </w:tc>
        <w:tc>
          <w:tcPr>
            <w:tcW w:w="240" w:type="dxa"/>
            <w:shd w:val="clear" w:color="auto" w:fill="auto"/>
            <w:vAlign w:val="bottom"/>
          </w:tcPr>
          <w:p w14:paraId="7439ED05" w14:textId="77777777" w:rsidR="00A52778" w:rsidRPr="00460F9E" w:rsidRDefault="00A52778" w:rsidP="00FC3F8E">
            <w:pPr>
              <w:spacing w:line="0" w:lineRule="atLeast"/>
              <w:rPr>
                <w:rFonts w:eastAsia="Times New Roman" w:cs="Times New Roman"/>
                <w:b/>
                <w:sz w:val="9"/>
              </w:rPr>
            </w:pPr>
          </w:p>
        </w:tc>
        <w:tc>
          <w:tcPr>
            <w:tcW w:w="280" w:type="dxa"/>
            <w:shd w:val="clear" w:color="auto" w:fill="auto"/>
            <w:vAlign w:val="bottom"/>
          </w:tcPr>
          <w:p w14:paraId="6D46C96E" w14:textId="77777777" w:rsidR="00A52778" w:rsidRPr="00460F9E" w:rsidRDefault="00A52778" w:rsidP="00FC3F8E">
            <w:pPr>
              <w:spacing w:line="0" w:lineRule="atLeast"/>
              <w:rPr>
                <w:rFonts w:eastAsia="Times New Roman" w:cs="Times New Roman"/>
                <w:b/>
                <w:sz w:val="9"/>
              </w:rPr>
            </w:pPr>
          </w:p>
        </w:tc>
        <w:tc>
          <w:tcPr>
            <w:tcW w:w="600" w:type="dxa"/>
            <w:shd w:val="clear" w:color="auto" w:fill="auto"/>
            <w:vAlign w:val="bottom"/>
          </w:tcPr>
          <w:p w14:paraId="4FAA8176" w14:textId="77777777" w:rsidR="00A52778" w:rsidRPr="00460F9E" w:rsidRDefault="00A52778" w:rsidP="00FC3F8E">
            <w:pPr>
              <w:spacing w:line="0" w:lineRule="atLeast"/>
              <w:rPr>
                <w:rFonts w:eastAsia="Times New Roman" w:cs="Times New Roman"/>
                <w:b/>
                <w:sz w:val="9"/>
              </w:rPr>
            </w:pPr>
          </w:p>
        </w:tc>
        <w:tc>
          <w:tcPr>
            <w:tcW w:w="600" w:type="dxa"/>
            <w:tcBorders>
              <w:right w:val="single" w:sz="8" w:space="0" w:color="auto"/>
            </w:tcBorders>
            <w:shd w:val="clear" w:color="auto" w:fill="auto"/>
            <w:vAlign w:val="bottom"/>
          </w:tcPr>
          <w:p w14:paraId="5B35797C" w14:textId="77777777" w:rsidR="00A52778" w:rsidRPr="00460F9E" w:rsidRDefault="00A52778" w:rsidP="00FC3F8E">
            <w:pPr>
              <w:spacing w:line="0" w:lineRule="atLeast"/>
              <w:rPr>
                <w:rFonts w:eastAsia="Times New Roman" w:cs="Times New Roman"/>
                <w:b/>
                <w:sz w:val="9"/>
              </w:rPr>
            </w:pPr>
          </w:p>
        </w:tc>
        <w:tc>
          <w:tcPr>
            <w:tcW w:w="1340" w:type="dxa"/>
            <w:tcBorders>
              <w:right w:val="single" w:sz="8" w:space="0" w:color="auto"/>
            </w:tcBorders>
            <w:shd w:val="clear" w:color="auto" w:fill="auto"/>
            <w:vAlign w:val="bottom"/>
          </w:tcPr>
          <w:p w14:paraId="2D828049" w14:textId="77777777" w:rsidR="00A52778" w:rsidRPr="00460F9E" w:rsidRDefault="00A52778" w:rsidP="00FC3F8E">
            <w:pPr>
              <w:spacing w:line="0" w:lineRule="atLeast"/>
              <w:rPr>
                <w:rFonts w:eastAsia="Times New Roman" w:cs="Times New Roman"/>
                <w:b/>
                <w:sz w:val="9"/>
              </w:rPr>
            </w:pPr>
          </w:p>
        </w:tc>
        <w:tc>
          <w:tcPr>
            <w:tcW w:w="3040" w:type="dxa"/>
            <w:gridSpan w:val="4"/>
            <w:vMerge/>
            <w:tcBorders>
              <w:right w:val="single" w:sz="8" w:space="0" w:color="auto"/>
            </w:tcBorders>
            <w:shd w:val="clear" w:color="auto" w:fill="auto"/>
            <w:vAlign w:val="bottom"/>
          </w:tcPr>
          <w:p w14:paraId="02803C20" w14:textId="77777777" w:rsidR="00A52778" w:rsidRPr="00460F9E" w:rsidRDefault="00A52778" w:rsidP="00FC3F8E">
            <w:pPr>
              <w:spacing w:line="0" w:lineRule="atLeast"/>
              <w:rPr>
                <w:rFonts w:eastAsia="Times New Roman" w:cs="Times New Roman"/>
                <w:b/>
              </w:rPr>
            </w:pPr>
          </w:p>
        </w:tc>
      </w:tr>
      <w:tr w:rsidR="00A52778" w:rsidRPr="00460F9E" w14:paraId="76D02D8F" w14:textId="77777777" w:rsidTr="00FC3F8E">
        <w:trPr>
          <w:trHeight w:val="115"/>
        </w:trPr>
        <w:tc>
          <w:tcPr>
            <w:tcW w:w="400" w:type="dxa"/>
            <w:tcBorders>
              <w:left w:val="single" w:sz="8" w:space="0" w:color="auto"/>
            </w:tcBorders>
            <w:shd w:val="clear" w:color="auto" w:fill="auto"/>
            <w:vAlign w:val="bottom"/>
          </w:tcPr>
          <w:p w14:paraId="71D643E2" w14:textId="77777777" w:rsidR="00A52778" w:rsidRPr="00460F9E" w:rsidRDefault="00A52778" w:rsidP="00FC3F8E">
            <w:pPr>
              <w:spacing w:line="0" w:lineRule="atLeast"/>
              <w:rPr>
                <w:rFonts w:eastAsia="Times New Roman" w:cs="Times New Roman"/>
                <w:b/>
                <w:sz w:val="10"/>
              </w:rPr>
            </w:pPr>
          </w:p>
        </w:tc>
        <w:tc>
          <w:tcPr>
            <w:tcW w:w="280" w:type="dxa"/>
            <w:tcBorders>
              <w:right w:val="single" w:sz="8" w:space="0" w:color="auto"/>
            </w:tcBorders>
            <w:shd w:val="clear" w:color="auto" w:fill="auto"/>
            <w:vAlign w:val="bottom"/>
          </w:tcPr>
          <w:p w14:paraId="43F71FDD"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right w:val="single" w:sz="8" w:space="0" w:color="auto"/>
            </w:tcBorders>
            <w:shd w:val="clear" w:color="auto" w:fill="auto"/>
            <w:vAlign w:val="bottom"/>
          </w:tcPr>
          <w:p w14:paraId="7A8E4C0E" w14:textId="77777777" w:rsidR="00A52778" w:rsidRPr="00460F9E" w:rsidRDefault="00A52778" w:rsidP="00FC3F8E">
            <w:pPr>
              <w:spacing w:line="0" w:lineRule="atLeast"/>
              <w:rPr>
                <w:rFonts w:eastAsia="Times New Roman" w:cs="Times New Roman"/>
                <w:b/>
                <w:sz w:val="10"/>
              </w:rPr>
            </w:pPr>
          </w:p>
        </w:tc>
        <w:tc>
          <w:tcPr>
            <w:tcW w:w="706" w:type="dxa"/>
            <w:tcBorders>
              <w:left w:val="single" w:sz="8" w:space="0" w:color="auto"/>
            </w:tcBorders>
            <w:shd w:val="clear" w:color="auto" w:fill="auto"/>
            <w:vAlign w:val="bottom"/>
          </w:tcPr>
          <w:p w14:paraId="4008AF12" w14:textId="77777777" w:rsidR="00A52778" w:rsidRPr="00460F9E" w:rsidRDefault="00A52778" w:rsidP="00FC3F8E">
            <w:pPr>
              <w:spacing w:line="0" w:lineRule="atLeast"/>
              <w:rPr>
                <w:rFonts w:eastAsia="Times New Roman" w:cs="Times New Roman"/>
                <w:b/>
                <w:sz w:val="10"/>
              </w:rPr>
            </w:pPr>
          </w:p>
        </w:tc>
        <w:tc>
          <w:tcPr>
            <w:tcW w:w="240" w:type="dxa"/>
            <w:shd w:val="clear" w:color="auto" w:fill="auto"/>
            <w:vAlign w:val="bottom"/>
          </w:tcPr>
          <w:p w14:paraId="2831144A" w14:textId="77777777" w:rsidR="00A52778" w:rsidRPr="00460F9E" w:rsidRDefault="00A52778" w:rsidP="00FC3F8E">
            <w:pPr>
              <w:spacing w:line="0" w:lineRule="atLeast"/>
              <w:rPr>
                <w:rFonts w:eastAsia="Times New Roman" w:cs="Times New Roman"/>
                <w:b/>
                <w:sz w:val="10"/>
              </w:rPr>
            </w:pPr>
          </w:p>
        </w:tc>
        <w:tc>
          <w:tcPr>
            <w:tcW w:w="280" w:type="dxa"/>
            <w:shd w:val="clear" w:color="auto" w:fill="auto"/>
            <w:vAlign w:val="bottom"/>
          </w:tcPr>
          <w:p w14:paraId="7DE4310C" w14:textId="77777777" w:rsidR="00A52778" w:rsidRPr="00460F9E" w:rsidRDefault="00A52778" w:rsidP="00FC3F8E">
            <w:pPr>
              <w:spacing w:line="0" w:lineRule="atLeast"/>
              <w:rPr>
                <w:rFonts w:eastAsia="Times New Roman" w:cs="Times New Roman"/>
                <w:b/>
                <w:sz w:val="10"/>
              </w:rPr>
            </w:pPr>
          </w:p>
        </w:tc>
        <w:tc>
          <w:tcPr>
            <w:tcW w:w="600" w:type="dxa"/>
            <w:shd w:val="clear" w:color="auto" w:fill="auto"/>
            <w:vAlign w:val="bottom"/>
          </w:tcPr>
          <w:p w14:paraId="363A9537" w14:textId="77777777" w:rsidR="00A52778" w:rsidRPr="00460F9E" w:rsidRDefault="00A52778" w:rsidP="00FC3F8E">
            <w:pPr>
              <w:spacing w:line="0" w:lineRule="atLeast"/>
              <w:rPr>
                <w:rFonts w:eastAsia="Times New Roman" w:cs="Times New Roman"/>
                <w:b/>
                <w:sz w:val="10"/>
              </w:rPr>
            </w:pPr>
          </w:p>
        </w:tc>
        <w:tc>
          <w:tcPr>
            <w:tcW w:w="600" w:type="dxa"/>
            <w:tcBorders>
              <w:right w:val="single" w:sz="8" w:space="0" w:color="auto"/>
            </w:tcBorders>
            <w:shd w:val="clear" w:color="auto" w:fill="auto"/>
            <w:vAlign w:val="bottom"/>
          </w:tcPr>
          <w:p w14:paraId="007B4290" w14:textId="77777777" w:rsidR="00A52778" w:rsidRPr="00460F9E" w:rsidRDefault="00A52778" w:rsidP="00FC3F8E">
            <w:pPr>
              <w:spacing w:line="0" w:lineRule="atLeast"/>
              <w:rPr>
                <w:rFonts w:eastAsia="Times New Roman" w:cs="Times New Roman"/>
                <w:b/>
                <w:sz w:val="10"/>
              </w:rPr>
            </w:pPr>
          </w:p>
        </w:tc>
        <w:tc>
          <w:tcPr>
            <w:tcW w:w="1340" w:type="dxa"/>
            <w:tcBorders>
              <w:right w:val="single" w:sz="8" w:space="0" w:color="auto"/>
            </w:tcBorders>
            <w:shd w:val="clear" w:color="auto" w:fill="auto"/>
            <w:vAlign w:val="bottom"/>
          </w:tcPr>
          <w:p w14:paraId="13B55127" w14:textId="77777777" w:rsidR="00A52778" w:rsidRPr="00460F9E" w:rsidRDefault="00A52778" w:rsidP="00FC3F8E">
            <w:pPr>
              <w:spacing w:line="0" w:lineRule="atLeast"/>
              <w:rPr>
                <w:rFonts w:eastAsia="Times New Roman" w:cs="Times New Roman"/>
                <w:b/>
                <w:sz w:val="10"/>
              </w:rPr>
            </w:pPr>
          </w:p>
        </w:tc>
        <w:tc>
          <w:tcPr>
            <w:tcW w:w="3040" w:type="dxa"/>
            <w:gridSpan w:val="4"/>
            <w:vMerge/>
            <w:tcBorders>
              <w:right w:val="single" w:sz="8" w:space="0" w:color="auto"/>
            </w:tcBorders>
            <w:shd w:val="clear" w:color="auto" w:fill="auto"/>
            <w:vAlign w:val="bottom"/>
          </w:tcPr>
          <w:p w14:paraId="2DF6F98C" w14:textId="77777777" w:rsidR="00A52778" w:rsidRPr="00460F9E" w:rsidRDefault="00A52778" w:rsidP="00FC3F8E">
            <w:pPr>
              <w:spacing w:line="0" w:lineRule="atLeast"/>
              <w:rPr>
                <w:rFonts w:eastAsia="Times New Roman" w:cs="Times New Roman"/>
                <w:b/>
                <w:sz w:val="10"/>
              </w:rPr>
            </w:pPr>
          </w:p>
        </w:tc>
      </w:tr>
      <w:tr w:rsidR="00A52778" w:rsidRPr="00460F9E" w14:paraId="2A14AFA9" w14:textId="77777777" w:rsidTr="00FC3F8E">
        <w:trPr>
          <w:trHeight w:val="115"/>
        </w:trPr>
        <w:tc>
          <w:tcPr>
            <w:tcW w:w="400" w:type="dxa"/>
            <w:tcBorders>
              <w:left w:val="single" w:sz="8" w:space="0" w:color="auto"/>
            </w:tcBorders>
            <w:shd w:val="clear" w:color="auto" w:fill="auto"/>
            <w:vAlign w:val="bottom"/>
          </w:tcPr>
          <w:p w14:paraId="2B70CA43" w14:textId="77777777" w:rsidR="00A52778" w:rsidRPr="00460F9E" w:rsidRDefault="00A52778" w:rsidP="00FC3F8E">
            <w:pPr>
              <w:spacing w:line="0" w:lineRule="atLeast"/>
              <w:rPr>
                <w:rFonts w:eastAsia="Times New Roman" w:cs="Times New Roman"/>
                <w:b/>
                <w:sz w:val="10"/>
              </w:rPr>
            </w:pPr>
          </w:p>
        </w:tc>
        <w:tc>
          <w:tcPr>
            <w:tcW w:w="280" w:type="dxa"/>
            <w:tcBorders>
              <w:right w:val="single" w:sz="8" w:space="0" w:color="auto"/>
            </w:tcBorders>
            <w:shd w:val="clear" w:color="auto" w:fill="auto"/>
            <w:vAlign w:val="bottom"/>
          </w:tcPr>
          <w:p w14:paraId="210C3F96"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right w:val="single" w:sz="8" w:space="0" w:color="auto"/>
            </w:tcBorders>
            <w:shd w:val="clear" w:color="auto" w:fill="auto"/>
            <w:vAlign w:val="bottom"/>
          </w:tcPr>
          <w:p w14:paraId="6DF02FC3" w14:textId="77777777" w:rsidR="00A52778" w:rsidRPr="00460F9E" w:rsidRDefault="00A52778" w:rsidP="00FC3F8E">
            <w:pPr>
              <w:spacing w:line="0" w:lineRule="atLeast"/>
              <w:rPr>
                <w:rFonts w:eastAsia="Times New Roman" w:cs="Times New Roman"/>
                <w:b/>
                <w:sz w:val="10"/>
              </w:rPr>
            </w:pPr>
          </w:p>
        </w:tc>
        <w:tc>
          <w:tcPr>
            <w:tcW w:w="706" w:type="dxa"/>
            <w:tcBorders>
              <w:left w:val="single" w:sz="8" w:space="0" w:color="auto"/>
            </w:tcBorders>
            <w:shd w:val="clear" w:color="auto" w:fill="auto"/>
            <w:vAlign w:val="bottom"/>
          </w:tcPr>
          <w:p w14:paraId="3265369D" w14:textId="77777777" w:rsidR="00A52778" w:rsidRPr="00460F9E" w:rsidRDefault="00A52778" w:rsidP="00FC3F8E">
            <w:pPr>
              <w:spacing w:line="0" w:lineRule="atLeast"/>
              <w:rPr>
                <w:rFonts w:eastAsia="Times New Roman" w:cs="Times New Roman"/>
                <w:b/>
                <w:sz w:val="10"/>
              </w:rPr>
            </w:pPr>
          </w:p>
        </w:tc>
        <w:tc>
          <w:tcPr>
            <w:tcW w:w="240" w:type="dxa"/>
            <w:shd w:val="clear" w:color="auto" w:fill="auto"/>
            <w:vAlign w:val="bottom"/>
          </w:tcPr>
          <w:p w14:paraId="6FECF8BA" w14:textId="77777777" w:rsidR="00A52778" w:rsidRPr="00460F9E" w:rsidRDefault="00A52778" w:rsidP="00FC3F8E">
            <w:pPr>
              <w:spacing w:line="0" w:lineRule="atLeast"/>
              <w:rPr>
                <w:rFonts w:eastAsia="Times New Roman" w:cs="Times New Roman"/>
                <w:b/>
                <w:sz w:val="10"/>
              </w:rPr>
            </w:pPr>
          </w:p>
        </w:tc>
        <w:tc>
          <w:tcPr>
            <w:tcW w:w="280" w:type="dxa"/>
            <w:shd w:val="clear" w:color="auto" w:fill="auto"/>
            <w:vAlign w:val="bottom"/>
          </w:tcPr>
          <w:p w14:paraId="710EF3A6" w14:textId="77777777" w:rsidR="00A52778" w:rsidRPr="00460F9E" w:rsidRDefault="00A52778" w:rsidP="00FC3F8E">
            <w:pPr>
              <w:spacing w:line="0" w:lineRule="atLeast"/>
              <w:rPr>
                <w:rFonts w:eastAsia="Times New Roman" w:cs="Times New Roman"/>
                <w:b/>
                <w:sz w:val="10"/>
              </w:rPr>
            </w:pPr>
          </w:p>
        </w:tc>
        <w:tc>
          <w:tcPr>
            <w:tcW w:w="600" w:type="dxa"/>
            <w:shd w:val="clear" w:color="auto" w:fill="auto"/>
            <w:vAlign w:val="bottom"/>
          </w:tcPr>
          <w:p w14:paraId="65A61FB6" w14:textId="77777777" w:rsidR="00A52778" w:rsidRPr="00460F9E" w:rsidRDefault="00A52778" w:rsidP="00FC3F8E">
            <w:pPr>
              <w:spacing w:line="0" w:lineRule="atLeast"/>
              <w:rPr>
                <w:rFonts w:eastAsia="Times New Roman" w:cs="Times New Roman"/>
                <w:b/>
                <w:sz w:val="10"/>
              </w:rPr>
            </w:pPr>
          </w:p>
        </w:tc>
        <w:tc>
          <w:tcPr>
            <w:tcW w:w="600" w:type="dxa"/>
            <w:tcBorders>
              <w:right w:val="single" w:sz="8" w:space="0" w:color="auto"/>
            </w:tcBorders>
            <w:shd w:val="clear" w:color="auto" w:fill="auto"/>
            <w:vAlign w:val="bottom"/>
          </w:tcPr>
          <w:p w14:paraId="311B856D" w14:textId="77777777" w:rsidR="00A52778" w:rsidRPr="00460F9E" w:rsidRDefault="00A52778" w:rsidP="00FC3F8E">
            <w:pPr>
              <w:spacing w:line="0" w:lineRule="atLeast"/>
              <w:rPr>
                <w:rFonts w:eastAsia="Times New Roman" w:cs="Times New Roman"/>
                <w:b/>
                <w:sz w:val="10"/>
              </w:rPr>
            </w:pPr>
          </w:p>
        </w:tc>
        <w:tc>
          <w:tcPr>
            <w:tcW w:w="1340" w:type="dxa"/>
            <w:tcBorders>
              <w:right w:val="single" w:sz="8" w:space="0" w:color="auto"/>
            </w:tcBorders>
            <w:shd w:val="clear" w:color="auto" w:fill="auto"/>
            <w:vAlign w:val="bottom"/>
          </w:tcPr>
          <w:p w14:paraId="07DA6731" w14:textId="77777777" w:rsidR="00A52778" w:rsidRPr="00460F9E" w:rsidRDefault="00A52778" w:rsidP="00FC3F8E">
            <w:pPr>
              <w:spacing w:line="0" w:lineRule="atLeast"/>
              <w:rPr>
                <w:rFonts w:eastAsia="Times New Roman" w:cs="Times New Roman"/>
                <w:b/>
                <w:sz w:val="10"/>
              </w:rPr>
            </w:pPr>
          </w:p>
        </w:tc>
        <w:tc>
          <w:tcPr>
            <w:tcW w:w="3040" w:type="dxa"/>
            <w:gridSpan w:val="4"/>
            <w:vMerge/>
            <w:tcBorders>
              <w:right w:val="single" w:sz="8" w:space="0" w:color="auto"/>
            </w:tcBorders>
            <w:shd w:val="clear" w:color="auto" w:fill="auto"/>
            <w:vAlign w:val="bottom"/>
          </w:tcPr>
          <w:p w14:paraId="60B565F1" w14:textId="77777777" w:rsidR="00A52778" w:rsidRPr="00460F9E" w:rsidRDefault="00A52778" w:rsidP="00FC3F8E">
            <w:pPr>
              <w:spacing w:line="0" w:lineRule="atLeast"/>
              <w:rPr>
                <w:rFonts w:eastAsia="Times New Roman" w:cs="Times New Roman"/>
                <w:b/>
                <w:sz w:val="10"/>
              </w:rPr>
            </w:pPr>
          </w:p>
        </w:tc>
      </w:tr>
      <w:tr w:rsidR="00A52778" w:rsidRPr="00460F9E" w14:paraId="7C8263E8" w14:textId="77777777" w:rsidTr="00FC3F8E">
        <w:trPr>
          <w:trHeight w:val="120"/>
        </w:trPr>
        <w:tc>
          <w:tcPr>
            <w:tcW w:w="400" w:type="dxa"/>
            <w:tcBorders>
              <w:left w:val="single" w:sz="8" w:space="0" w:color="auto"/>
              <w:bottom w:val="single" w:sz="8" w:space="0" w:color="auto"/>
            </w:tcBorders>
            <w:shd w:val="clear" w:color="auto" w:fill="auto"/>
            <w:vAlign w:val="bottom"/>
          </w:tcPr>
          <w:p w14:paraId="76A3A974" w14:textId="77777777" w:rsidR="00A52778" w:rsidRPr="00460F9E" w:rsidRDefault="00A52778" w:rsidP="00FC3F8E">
            <w:pPr>
              <w:spacing w:line="0" w:lineRule="atLeast"/>
              <w:rPr>
                <w:rFonts w:eastAsia="Times New Roman" w:cs="Times New Roman"/>
                <w:b/>
                <w:sz w:val="10"/>
              </w:rPr>
            </w:pPr>
          </w:p>
        </w:tc>
        <w:tc>
          <w:tcPr>
            <w:tcW w:w="280" w:type="dxa"/>
            <w:tcBorders>
              <w:bottom w:val="single" w:sz="8" w:space="0" w:color="auto"/>
              <w:right w:val="single" w:sz="8" w:space="0" w:color="auto"/>
            </w:tcBorders>
            <w:shd w:val="clear" w:color="auto" w:fill="auto"/>
            <w:vAlign w:val="bottom"/>
          </w:tcPr>
          <w:p w14:paraId="7FA8B6C8" w14:textId="77777777" w:rsidR="00A52778" w:rsidRPr="00460F9E" w:rsidRDefault="00A52778" w:rsidP="00FC3F8E">
            <w:pPr>
              <w:spacing w:line="0" w:lineRule="atLeast"/>
              <w:rPr>
                <w:rFonts w:eastAsia="Times New Roman" w:cs="Times New Roman"/>
                <w:b/>
                <w:sz w:val="10"/>
              </w:rPr>
            </w:pPr>
          </w:p>
        </w:tc>
        <w:tc>
          <w:tcPr>
            <w:tcW w:w="1274" w:type="dxa"/>
            <w:gridSpan w:val="2"/>
            <w:vMerge/>
            <w:tcBorders>
              <w:bottom w:val="single" w:sz="8" w:space="0" w:color="auto"/>
              <w:right w:val="single" w:sz="8" w:space="0" w:color="auto"/>
            </w:tcBorders>
            <w:shd w:val="clear" w:color="auto" w:fill="auto"/>
            <w:vAlign w:val="bottom"/>
          </w:tcPr>
          <w:p w14:paraId="06790960" w14:textId="77777777" w:rsidR="00A52778" w:rsidRPr="00460F9E" w:rsidRDefault="00A52778" w:rsidP="00FC3F8E">
            <w:pPr>
              <w:spacing w:line="0" w:lineRule="atLeast"/>
              <w:rPr>
                <w:rFonts w:eastAsia="Times New Roman" w:cs="Times New Roman"/>
                <w:b/>
                <w:sz w:val="10"/>
              </w:rPr>
            </w:pPr>
          </w:p>
        </w:tc>
        <w:tc>
          <w:tcPr>
            <w:tcW w:w="706" w:type="dxa"/>
            <w:tcBorders>
              <w:left w:val="single" w:sz="8" w:space="0" w:color="auto"/>
              <w:bottom w:val="single" w:sz="8" w:space="0" w:color="auto"/>
            </w:tcBorders>
            <w:shd w:val="clear" w:color="auto" w:fill="auto"/>
            <w:vAlign w:val="bottom"/>
          </w:tcPr>
          <w:p w14:paraId="6C695EF2" w14:textId="77777777" w:rsidR="00A52778" w:rsidRPr="00460F9E" w:rsidRDefault="00A52778" w:rsidP="00FC3F8E">
            <w:pPr>
              <w:spacing w:line="0" w:lineRule="atLeast"/>
              <w:rPr>
                <w:rFonts w:eastAsia="Times New Roman" w:cs="Times New Roman"/>
                <w:b/>
                <w:sz w:val="10"/>
              </w:rPr>
            </w:pPr>
          </w:p>
        </w:tc>
        <w:tc>
          <w:tcPr>
            <w:tcW w:w="240" w:type="dxa"/>
            <w:tcBorders>
              <w:bottom w:val="single" w:sz="8" w:space="0" w:color="auto"/>
            </w:tcBorders>
            <w:shd w:val="clear" w:color="auto" w:fill="auto"/>
            <w:vAlign w:val="bottom"/>
          </w:tcPr>
          <w:p w14:paraId="216C5729" w14:textId="77777777" w:rsidR="00A52778" w:rsidRPr="00460F9E" w:rsidRDefault="00A52778" w:rsidP="00FC3F8E">
            <w:pPr>
              <w:spacing w:line="0" w:lineRule="atLeast"/>
              <w:rPr>
                <w:rFonts w:eastAsia="Times New Roman" w:cs="Times New Roman"/>
                <w:b/>
                <w:sz w:val="10"/>
              </w:rPr>
            </w:pPr>
          </w:p>
        </w:tc>
        <w:tc>
          <w:tcPr>
            <w:tcW w:w="280" w:type="dxa"/>
            <w:tcBorders>
              <w:bottom w:val="single" w:sz="8" w:space="0" w:color="auto"/>
            </w:tcBorders>
            <w:shd w:val="clear" w:color="auto" w:fill="auto"/>
            <w:vAlign w:val="bottom"/>
          </w:tcPr>
          <w:p w14:paraId="54589370" w14:textId="77777777" w:rsidR="00A52778" w:rsidRPr="00460F9E" w:rsidRDefault="00A52778" w:rsidP="00FC3F8E">
            <w:pPr>
              <w:spacing w:line="0" w:lineRule="atLeast"/>
              <w:rPr>
                <w:rFonts w:eastAsia="Times New Roman" w:cs="Times New Roman"/>
                <w:b/>
                <w:sz w:val="10"/>
              </w:rPr>
            </w:pPr>
          </w:p>
        </w:tc>
        <w:tc>
          <w:tcPr>
            <w:tcW w:w="600" w:type="dxa"/>
            <w:tcBorders>
              <w:bottom w:val="single" w:sz="8" w:space="0" w:color="auto"/>
            </w:tcBorders>
            <w:shd w:val="clear" w:color="auto" w:fill="auto"/>
            <w:vAlign w:val="bottom"/>
          </w:tcPr>
          <w:p w14:paraId="651D1DD5" w14:textId="77777777" w:rsidR="00A52778" w:rsidRPr="00460F9E" w:rsidRDefault="00A52778" w:rsidP="00FC3F8E">
            <w:pPr>
              <w:spacing w:line="0" w:lineRule="atLeast"/>
              <w:rPr>
                <w:rFonts w:eastAsia="Times New Roman" w:cs="Times New Roman"/>
                <w:b/>
                <w:sz w:val="10"/>
              </w:rPr>
            </w:pPr>
          </w:p>
        </w:tc>
        <w:tc>
          <w:tcPr>
            <w:tcW w:w="600" w:type="dxa"/>
            <w:tcBorders>
              <w:bottom w:val="single" w:sz="8" w:space="0" w:color="auto"/>
              <w:right w:val="single" w:sz="8" w:space="0" w:color="auto"/>
            </w:tcBorders>
            <w:shd w:val="clear" w:color="auto" w:fill="auto"/>
            <w:vAlign w:val="bottom"/>
          </w:tcPr>
          <w:p w14:paraId="290E4EAB" w14:textId="77777777" w:rsidR="00A52778" w:rsidRPr="00460F9E" w:rsidRDefault="00A52778" w:rsidP="00FC3F8E">
            <w:pPr>
              <w:spacing w:line="0" w:lineRule="atLeast"/>
              <w:rPr>
                <w:rFonts w:eastAsia="Times New Roman" w:cs="Times New Roman"/>
                <w:b/>
                <w:sz w:val="10"/>
              </w:rPr>
            </w:pPr>
          </w:p>
        </w:tc>
        <w:tc>
          <w:tcPr>
            <w:tcW w:w="1340" w:type="dxa"/>
            <w:tcBorders>
              <w:bottom w:val="single" w:sz="8" w:space="0" w:color="auto"/>
              <w:right w:val="single" w:sz="8" w:space="0" w:color="auto"/>
            </w:tcBorders>
            <w:shd w:val="clear" w:color="auto" w:fill="auto"/>
            <w:vAlign w:val="bottom"/>
          </w:tcPr>
          <w:p w14:paraId="24ECCB3E" w14:textId="77777777" w:rsidR="00A52778" w:rsidRPr="00460F9E" w:rsidRDefault="00A52778" w:rsidP="00FC3F8E">
            <w:pPr>
              <w:spacing w:line="0" w:lineRule="atLeast"/>
              <w:rPr>
                <w:rFonts w:eastAsia="Times New Roman" w:cs="Times New Roman"/>
                <w:b/>
                <w:sz w:val="10"/>
              </w:rPr>
            </w:pPr>
          </w:p>
        </w:tc>
        <w:tc>
          <w:tcPr>
            <w:tcW w:w="3040" w:type="dxa"/>
            <w:gridSpan w:val="4"/>
            <w:vMerge/>
            <w:tcBorders>
              <w:bottom w:val="single" w:sz="8" w:space="0" w:color="auto"/>
              <w:right w:val="single" w:sz="8" w:space="0" w:color="auto"/>
            </w:tcBorders>
            <w:shd w:val="clear" w:color="auto" w:fill="auto"/>
            <w:vAlign w:val="bottom"/>
          </w:tcPr>
          <w:p w14:paraId="2B3DCA30" w14:textId="77777777" w:rsidR="00A52778" w:rsidRPr="00460F9E" w:rsidRDefault="00A52778" w:rsidP="00FC3F8E">
            <w:pPr>
              <w:spacing w:line="0" w:lineRule="atLeast"/>
              <w:rPr>
                <w:rFonts w:eastAsia="Times New Roman" w:cs="Times New Roman"/>
                <w:b/>
                <w:sz w:val="10"/>
              </w:rPr>
            </w:pPr>
          </w:p>
        </w:tc>
      </w:tr>
    </w:tbl>
    <w:p w14:paraId="313FBEA2" w14:textId="77777777" w:rsidR="00A52778" w:rsidRPr="00460F9E" w:rsidRDefault="00A52778" w:rsidP="00A52778">
      <w:pPr>
        <w:spacing w:line="20" w:lineRule="exact"/>
        <w:rPr>
          <w:rFonts w:eastAsia="Times New Roman" w:cs="Times New Roman"/>
          <w:b/>
        </w:rPr>
      </w:pPr>
      <w:r w:rsidRPr="00460F9E">
        <w:rPr>
          <w:rFonts w:eastAsia="Times New Roman" w:cs="Times New Roman"/>
          <w:b/>
          <w:noProof/>
          <w:sz w:val="10"/>
          <w:lang w:val="tr-TR" w:eastAsia="tr-TR"/>
        </w:rPr>
        <mc:AlternateContent>
          <mc:Choice Requires="wps">
            <w:drawing>
              <wp:anchor distT="0" distB="0" distL="114300" distR="114300" simplePos="0" relativeHeight="251701248" behindDoc="1" locked="0" layoutInCell="1" allowOverlap="1" wp14:anchorId="612DF969" wp14:editId="3BC61CF8">
                <wp:simplePos x="0" y="0"/>
                <wp:positionH relativeFrom="column">
                  <wp:posOffset>5988685</wp:posOffset>
                </wp:positionH>
                <wp:positionV relativeFrom="paragraph">
                  <wp:posOffset>-8890</wp:posOffset>
                </wp:positionV>
                <wp:extent cx="12700" cy="12065"/>
                <wp:effectExtent l="0" t="1270" r="0" b="0"/>
                <wp:wrapNone/>
                <wp:docPr id="106" name="Dikdörtgen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1B690" id="Dikdörtgen 106" o:spid="_x0000_s1026" style="position:absolute;margin-left:471.55pt;margin-top:-.7pt;width:1pt;height:.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" fillcolor="black" strokecolor="white"/>
            </w:pict>
          </mc:Fallback>
        </mc:AlternateContent>
      </w:r>
    </w:p>
    <w:p w14:paraId="7581105C" w14:textId="77777777" w:rsidR="00A52778" w:rsidRPr="00460F9E" w:rsidRDefault="00A52778" w:rsidP="00A52778">
      <w:pPr>
        <w:spacing w:line="20" w:lineRule="exact"/>
        <w:rPr>
          <w:rFonts w:eastAsia="Times New Roman" w:cs="Times New Roman"/>
          <w:b/>
        </w:rPr>
        <w:sectPr w:rsidR="00A52778" w:rsidRPr="00460F9E">
          <w:pgSz w:w="11900" w:h="16838"/>
          <w:pgMar w:top="707" w:right="1026" w:bottom="145" w:left="1440" w:header="0" w:footer="0" w:gutter="0"/>
          <w:cols w:space="0" w:equalWidth="0">
            <w:col w:w="9440"/>
          </w:cols>
          <w:docGrid w:linePitch="360"/>
        </w:sectPr>
      </w:pPr>
    </w:p>
    <w:p w14:paraId="735D8C82" w14:textId="77777777" w:rsidR="00A52778" w:rsidRPr="00460F9E" w:rsidRDefault="00A52778" w:rsidP="00A52778">
      <w:pPr>
        <w:spacing w:line="200" w:lineRule="exact"/>
        <w:rPr>
          <w:rFonts w:eastAsia="Times New Roman" w:cs="Times New Roman"/>
          <w:b/>
        </w:rPr>
      </w:pPr>
    </w:p>
    <w:p w14:paraId="66E4576D" w14:textId="77777777" w:rsidR="00A52778" w:rsidRPr="00460F9E" w:rsidRDefault="00A52778" w:rsidP="00A52778">
      <w:pPr>
        <w:spacing w:line="200" w:lineRule="exact"/>
        <w:rPr>
          <w:rFonts w:eastAsia="Times New Roman" w:cs="Times New Roman"/>
          <w:b/>
        </w:rPr>
      </w:pPr>
    </w:p>
    <w:p w14:paraId="60FAE8B5" w14:textId="77777777" w:rsidR="00A52778" w:rsidRPr="00460F9E" w:rsidRDefault="00A52778" w:rsidP="00A52778">
      <w:pPr>
        <w:spacing w:line="200" w:lineRule="exact"/>
        <w:rPr>
          <w:rFonts w:eastAsia="Times New Roman" w:cs="Times New Roman"/>
          <w:b/>
        </w:rPr>
      </w:pPr>
    </w:p>
    <w:p w14:paraId="14BE481D" w14:textId="77777777" w:rsidR="00A52778" w:rsidRPr="00460F9E" w:rsidRDefault="00A52778" w:rsidP="00A52778">
      <w:pPr>
        <w:spacing w:line="200" w:lineRule="exact"/>
        <w:rPr>
          <w:rFonts w:eastAsia="Times New Roman" w:cs="Times New Roman"/>
          <w:b/>
        </w:rPr>
      </w:pPr>
    </w:p>
    <w:p w14:paraId="62E14AA3" w14:textId="77777777" w:rsidR="00A52778" w:rsidRPr="00460F9E" w:rsidRDefault="00A52778" w:rsidP="00A52778">
      <w:pPr>
        <w:spacing w:line="200" w:lineRule="exact"/>
        <w:rPr>
          <w:rFonts w:eastAsia="Times New Roman" w:cs="Times New Roman"/>
          <w:b/>
        </w:rPr>
      </w:pPr>
    </w:p>
    <w:p w14:paraId="77F941B4" w14:textId="77777777" w:rsidR="00A52778" w:rsidRPr="00460F9E" w:rsidRDefault="00A52778" w:rsidP="00A52778">
      <w:pPr>
        <w:spacing w:line="200" w:lineRule="exact"/>
        <w:rPr>
          <w:rFonts w:eastAsia="Times New Roman" w:cs="Times New Roman"/>
          <w:b/>
        </w:rPr>
      </w:pPr>
    </w:p>
    <w:p w14:paraId="305A8536" w14:textId="77777777" w:rsidR="00A52778" w:rsidRPr="00460F9E" w:rsidRDefault="00A52778" w:rsidP="00A52778">
      <w:pPr>
        <w:spacing w:line="200" w:lineRule="exact"/>
        <w:rPr>
          <w:rFonts w:eastAsia="Times New Roman" w:cs="Times New Roman"/>
          <w:b/>
        </w:rPr>
      </w:pPr>
    </w:p>
    <w:p w14:paraId="1BB534F9" w14:textId="77777777" w:rsidR="00A52778" w:rsidRPr="00460F9E" w:rsidRDefault="00A52778" w:rsidP="00A52778">
      <w:pPr>
        <w:spacing w:line="200" w:lineRule="exact"/>
        <w:rPr>
          <w:rFonts w:eastAsia="Times New Roman" w:cs="Times New Roman"/>
          <w:b/>
        </w:rPr>
      </w:pPr>
    </w:p>
    <w:p w14:paraId="11BDEB75" w14:textId="77777777" w:rsidR="00A52778" w:rsidRPr="00460F9E" w:rsidRDefault="00A52778" w:rsidP="00A52778">
      <w:pPr>
        <w:spacing w:line="200" w:lineRule="exact"/>
        <w:rPr>
          <w:rFonts w:eastAsia="Times New Roman" w:cs="Times New Roman"/>
          <w:b/>
        </w:rPr>
      </w:pPr>
    </w:p>
    <w:p w14:paraId="3DFEA76B" w14:textId="77777777" w:rsidR="00A52778" w:rsidRPr="00460F9E" w:rsidRDefault="00A52778" w:rsidP="00A52778">
      <w:pPr>
        <w:spacing w:line="200" w:lineRule="exact"/>
        <w:rPr>
          <w:rFonts w:eastAsia="Times New Roman" w:cs="Times New Roman"/>
          <w:b/>
        </w:rPr>
      </w:pPr>
    </w:p>
    <w:p w14:paraId="6D698B63" w14:textId="77777777" w:rsidR="00A52778" w:rsidRPr="00460F9E" w:rsidRDefault="00A52778" w:rsidP="00A52778">
      <w:pPr>
        <w:spacing w:line="200" w:lineRule="exact"/>
        <w:rPr>
          <w:rFonts w:eastAsia="Times New Roman" w:cs="Times New Roman"/>
          <w:b/>
        </w:rPr>
      </w:pPr>
    </w:p>
    <w:p w14:paraId="051534CD" w14:textId="77777777" w:rsidR="00A52778" w:rsidRPr="00460F9E" w:rsidRDefault="00A52778" w:rsidP="00A52778">
      <w:pPr>
        <w:spacing w:line="392" w:lineRule="exact"/>
        <w:rPr>
          <w:rFonts w:eastAsia="Times New Roman" w:cs="Times New Roman"/>
          <w:b/>
        </w:rPr>
      </w:pPr>
    </w:p>
    <w:p w14:paraId="19975C3D" w14:textId="77777777" w:rsidR="00A52778" w:rsidRPr="00460F9E" w:rsidRDefault="00A52778" w:rsidP="00A52778">
      <w:pPr>
        <w:tabs>
          <w:tab w:val="left" w:pos="9020"/>
        </w:tabs>
        <w:spacing w:line="0" w:lineRule="atLeast"/>
        <w:ind w:left="820"/>
        <w:rPr>
          <w:rFonts w:eastAsia="Times New Roman" w:cs="Times New Roman"/>
          <w:b/>
          <w:color w:val="0000FF"/>
        </w:rPr>
        <w:sectPr w:rsidR="00A52778" w:rsidRPr="00460F9E">
          <w:type w:val="continuous"/>
          <w:pgSz w:w="11900" w:h="16838"/>
          <w:pgMar w:top="707" w:right="1026" w:bottom="145" w:left="1440" w:header="0" w:footer="0" w:gutter="0"/>
          <w:cols w:space="0" w:equalWidth="0">
            <w:col w:w="9440"/>
          </w:cols>
          <w:docGrid w:linePitch="360"/>
        </w:sectPr>
      </w:pPr>
    </w:p>
    <w:p w14:paraId="5EBA59BD" w14:textId="77777777" w:rsidR="00A52778" w:rsidRPr="00460F9E" w:rsidRDefault="00A52778" w:rsidP="00A52778">
      <w:pPr>
        <w:spacing w:line="0" w:lineRule="atLeast"/>
        <w:ind w:left="120"/>
        <w:rPr>
          <w:rFonts w:eastAsia="Times New Roman" w:cs="Times New Roman"/>
          <w:b/>
          <w:color w:val="0000FF"/>
        </w:rPr>
      </w:pPr>
      <w:bookmarkStart w:id="351" w:name="page330"/>
      <w:bookmarkEnd w:id="351"/>
    </w:p>
    <w:p w14:paraId="2E118FBD" w14:textId="77777777" w:rsidR="00A52778" w:rsidRPr="00460F9E" w:rsidRDefault="00A52778" w:rsidP="00A52778">
      <w:pPr>
        <w:pStyle w:val="GvdeMetni"/>
      </w:pPr>
    </w:p>
    <w:p w14:paraId="72C40499" w14:textId="77777777" w:rsidR="00A52778" w:rsidRPr="00460F9E" w:rsidRDefault="00A52778" w:rsidP="00A52778">
      <w:pPr>
        <w:pStyle w:val="GvdeMetni"/>
      </w:pPr>
      <w:r w:rsidRPr="00460F9E">
        <w:rPr>
          <w:b/>
          <w:noProof/>
          <w:sz w:val="3"/>
          <w:lang w:eastAsia="tr-TR"/>
        </w:rPr>
        <mc:AlternateContent>
          <mc:Choice Requires="wps">
            <w:drawing>
              <wp:anchor distT="0" distB="0" distL="114300" distR="114300" simplePos="0" relativeHeight="251703296" behindDoc="1" locked="0" layoutInCell="1" allowOverlap="1" wp14:anchorId="3A52182E" wp14:editId="7A767E7D">
                <wp:simplePos x="0" y="0"/>
                <wp:positionH relativeFrom="column">
                  <wp:posOffset>5540448</wp:posOffset>
                </wp:positionH>
                <wp:positionV relativeFrom="paragraph">
                  <wp:posOffset>1672014</wp:posOffset>
                </wp:positionV>
                <wp:extent cx="3987" cy="3115340"/>
                <wp:effectExtent l="0" t="0" r="34290" b="27940"/>
                <wp:wrapNone/>
                <wp:docPr id="103" name="Düz Bağlayıcı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 cy="31153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D536A" id="Düz Bağlayıcı 103"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25pt,131.65pt" to="436.55pt,3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" strokeweight=".48pt"/>
            </w:pict>
          </mc:Fallback>
        </mc:AlternateContent>
      </w:r>
      <w:r w:rsidRPr="00460F9E">
        <w:t>Havaya kanalize NO</w:t>
      </w:r>
      <w:r w:rsidRPr="00460F9E">
        <w:rPr>
          <w:vertAlign w:val="subscript"/>
        </w:rPr>
        <w:t>X</w:t>
      </w:r>
      <w:r w:rsidRPr="00460F9E">
        <w:t xml:space="preserve"> emisyonları için MET-ilişkili emisyon seviyesi (MET-AEL) ve</w:t>
      </w:r>
    </w:p>
    <w:tbl>
      <w:tblPr>
        <w:tblW w:w="0" w:type="auto"/>
        <w:tblLayout w:type="fixed"/>
        <w:tblCellMar>
          <w:left w:w="0" w:type="dxa"/>
          <w:right w:w="0" w:type="dxa"/>
        </w:tblCellMar>
        <w:tblLook w:val="0000" w:firstRow="0" w:lastRow="0" w:firstColumn="0" w:lastColumn="0" w:noHBand="0" w:noVBand="0"/>
      </w:tblPr>
      <w:tblGrid>
        <w:gridCol w:w="1100"/>
        <w:gridCol w:w="1300"/>
        <w:gridCol w:w="600"/>
        <w:gridCol w:w="5760"/>
      </w:tblGrid>
      <w:tr w:rsidR="00A52778" w:rsidRPr="00460F9E" w14:paraId="231C402E" w14:textId="77777777" w:rsidTr="00FC3F8E">
        <w:trPr>
          <w:trHeight w:val="342"/>
        </w:trPr>
        <w:tc>
          <w:tcPr>
            <w:tcW w:w="1100" w:type="dxa"/>
            <w:shd w:val="clear" w:color="auto" w:fill="auto"/>
            <w:vAlign w:val="bottom"/>
          </w:tcPr>
          <w:p w14:paraId="64F15199" w14:textId="77777777" w:rsidR="00A52778" w:rsidRPr="00460F9E" w:rsidRDefault="00A52778" w:rsidP="00FC3F8E">
            <w:pPr>
              <w:pStyle w:val="GvdeMetni"/>
              <w:rPr>
                <w:sz w:val="19"/>
              </w:rPr>
            </w:pPr>
          </w:p>
        </w:tc>
        <w:tc>
          <w:tcPr>
            <w:tcW w:w="7660" w:type="dxa"/>
            <w:gridSpan w:val="3"/>
            <w:shd w:val="clear" w:color="auto" w:fill="auto"/>
            <w:vAlign w:val="bottom"/>
          </w:tcPr>
          <w:p w14:paraId="18D449B4" w14:textId="77777777" w:rsidR="00A52778" w:rsidRPr="00460F9E" w:rsidRDefault="00A52778" w:rsidP="00FC3F8E">
            <w:pPr>
              <w:pStyle w:val="GvdeMetni"/>
            </w:pPr>
            <w:r w:rsidRPr="00460F9E">
              <w:t>proses  fırınlarından/ısıtıcılarından havaya kanalize olan CO emisyonları için endikatif emisyon seviyesi</w:t>
            </w:r>
          </w:p>
        </w:tc>
      </w:tr>
      <w:tr w:rsidR="00A52778" w:rsidRPr="00460F9E" w14:paraId="5A4512A8" w14:textId="77777777" w:rsidTr="00FC3F8E">
        <w:trPr>
          <w:trHeight w:val="122"/>
        </w:trPr>
        <w:tc>
          <w:tcPr>
            <w:tcW w:w="1100" w:type="dxa"/>
            <w:tcBorders>
              <w:bottom w:val="single" w:sz="8" w:space="0" w:color="auto"/>
            </w:tcBorders>
            <w:shd w:val="clear" w:color="auto" w:fill="auto"/>
            <w:vAlign w:val="bottom"/>
          </w:tcPr>
          <w:p w14:paraId="0DD6EA9F" w14:textId="77777777" w:rsidR="00A52778" w:rsidRPr="00460F9E" w:rsidRDefault="00A52778" w:rsidP="00FC3F8E">
            <w:pPr>
              <w:spacing w:line="0" w:lineRule="atLeast"/>
              <w:rPr>
                <w:rFonts w:eastAsia="Times New Roman" w:cs="Times New Roman"/>
                <w:b/>
                <w:sz w:val="10"/>
              </w:rPr>
            </w:pPr>
          </w:p>
        </w:tc>
        <w:tc>
          <w:tcPr>
            <w:tcW w:w="1300" w:type="dxa"/>
            <w:tcBorders>
              <w:bottom w:val="single" w:sz="8" w:space="0" w:color="auto"/>
            </w:tcBorders>
            <w:shd w:val="clear" w:color="auto" w:fill="auto"/>
            <w:vAlign w:val="bottom"/>
          </w:tcPr>
          <w:p w14:paraId="08F39B4D" w14:textId="77777777" w:rsidR="00A52778" w:rsidRPr="00460F9E" w:rsidRDefault="00A52778" w:rsidP="00FC3F8E">
            <w:pPr>
              <w:spacing w:line="0" w:lineRule="atLeast"/>
              <w:rPr>
                <w:rFonts w:eastAsia="Times New Roman" w:cs="Times New Roman"/>
                <w:b/>
                <w:sz w:val="10"/>
              </w:rPr>
            </w:pPr>
          </w:p>
        </w:tc>
        <w:tc>
          <w:tcPr>
            <w:tcW w:w="600" w:type="dxa"/>
            <w:tcBorders>
              <w:bottom w:val="single" w:sz="8" w:space="0" w:color="auto"/>
            </w:tcBorders>
            <w:shd w:val="clear" w:color="auto" w:fill="auto"/>
            <w:vAlign w:val="bottom"/>
          </w:tcPr>
          <w:p w14:paraId="04997BAB" w14:textId="77777777" w:rsidR="00A52778" w:rsidRPr="00460F9E" w:rsidRDefault="00A52778" w:rsidP="00FC3F8E">
            <w:pPr>
              <w:spacing w:line="0" w:lineRule="atLeast"/>
              <w:rPr>
                <w:rFonts w:eastAsia="Times New Roman" w:cs="Times New Roman"/>
                <w:b/>
                <w:sz w:val="10"/>
              </w:rPr>
            </w:pPr>
          </w:p>
        </w:tc>
        <w:tc>
          <w:tcPr>
            <w:tcW w:w="5760" w:type="dxa"/>
            <w:tcBorders>
              <w:bottom w:val="single" w:sz="8" w:space="0" w:color="auto"/>
            </w:tcBorders>
            <w:shd w:val="clear" w:color="auto" w:fill="auto"/>
            <w:vAlign w:val="bottom"/>
          </w:tcPr>
          <w:p w14:paraId="0F2A066C" w14:textId="77777777" w:rsidR="00A52778" w:rsidRPr="00460F9E" w:rsidRDefault="00A52778" w:rsidP="00FC3F8E">
            <w:pPr>
              <w:spacing w:line="0" w:lineRule="atLeast"/>
              <w:rPr>
                <w:rFonts w:eastAsia="Times New Roman" w:cs="Times New Roman"/>
                <w:b/>
                <w:sz w:val="10"/>
              </w:rPr>
            </w:pPr>
          </w:p>
        </w:tc>
      </w:tr>
      <w:tr w:rsidR="00A52778" w:rsidRPr="00460F9E" w14:paraId="4A860D07" w14:textId="77777777" w:rsidTr="00FC3F8E">
        <w:trPr>
          <w:trHeight w:val="230"/>
        </w:trPr>
        <w:tc>
          <w:tcPr>
            <w:tcW w:w="2400" w:type="dxa"/>
            <w:gridSpan w:val="2"/>
            <w:vMerge w:val="restart"/>
            <w:tcBorders>
              <w:left w:val="single" w:sz="4" w:space="0" w:color="auto"/>
              <w:right w:val="single" w:sz="8" w:space="0" w:color="auto"/>
            </w:tcBorders>
            <w:shd w:val="clear" w:color="auto" w:fill="auto"/>
            <w:vAlign w:val="bottom"/>
          </w:tcPr>
          <w:p w14:paraId="26E9A46E" w14:textId="77777777" w:rsidR="00A52778" w:rsidRPr="002E52FC" w:rsidRDefault="00A52778" w:rsidP="00FC3F8E">
            <w:pPr>
              <w:spacing w:line="0" w:lineRule="atLeast"/>
              <w:ind w:left="740"/>
              <w:rPr>
                <w:rFonts w:eastAsia="Times New Roman" w:cs="Times New Roman"/>
              </w:rPr>
            </w:pPr>
            <w:r w:rsidRPr="002E52FC">
              <w:rPr>
                <w:rFonts w:eastAsia="Times New Roman" w:cs="Times New Roman"/>
              </w:rPr>
              <w:t>Parametreler</w:t>
            </w:r>
          </w:p>
        </w:tc>
        <w:tc>
          <w:tcPr>
            <w:tcW w:w="600" w:type="dxa"/>
            <w:shd w:val="clear" w:color="auto" w:fill="auto"/>
            <w:vAlign w:val="bottom"/>
          </w:tcPr>
          <w:p w14:paraId="6C55CAED" w14:textId="77777777" w:rsidR="00A52778" w:rsidRPr="002E52FC" w:rsidRDefault="00A52778" w:rsidP="00FC3F8E">
            <w:pPr>
              <w:spacing w:line="0" w:lineRule="atLeast"/>
              <w:rPr>
                <w:rFonts w:eastAsia="Times New Roman" w:cs="Times New Roman"/>
              </w:rPr>
            </w:pPr>
          </w:p>
        </w:tc>
        <w:tc>
          <w:tcPr>
            <w:tcW w:w="5760" w:type="dxa"/>
            <w:tcBorders>
              <w:right w:val="single" w:sz="4" w:space="0" w:color="auto"/>
            </w:tcBorders>
            <w:shd w:val="clear" w:color="auto" w:fill="auto"/>
            <w:vAlign w:val="bottom"/>
          </w:tcPr>
          <w:p w14:paraId="3256E46E" w14:textId="77777777" w:rsidR="00A52778" w:rsidRPr="002E52FC" w:rsidRDefault="00A52778" w:rsidP="00FC3F8E">
            <w:pPr>
              <w:spacing w:line="230" w:lineRule="exact"/>
              <w:ind w:right="540"/>
              <w:jc w:val="center"/>
              <w:rPr>
                <w:rFonts w:eastAsia="Times New Roman" w:cs="Times New Roman"/>
                <w:w w:val="99"/>
              </w:rPr>
            </w:pPr>
            <w:r w:rsidRPr="002E52FC">
              <w:rPr>
                <w:rFonts w:eastAsia="Times New Roman" w:cs="Times New Roman"/>
                <w:w w:val="98"/>
              </w:rPr>
              <w:t>MET</w:t>
            </w:r>
            <w:r w:rsidRPr="002E52FC">
              <w:rPr>
                <w:rFonts w:eastAsia="Times New Roman" w:cs="Times New Roman"/>
                <w:w w:val="99"/>
              </w:rPr>
              <w:t xml:space="preserve"> -AEL (mg/Nm</w:t>
            </w:r>
            <w:r w:rsidRPr="002E52FC">
              <w:rPr>
                <w:rFonts w:eastAsia="Times New Roman" w:cs="Times New Roman"/>
                <w:w w:val="99"/>
                <w:sz w:val="25"/>
                <w:vertAlign w:val="superscript"/>
              </w:rPr>
              <w:t>3</w:t>
            </w:r>
            <w:r w:rsidRPr="002E52FC">
              <w:rPr>
                <w:rFonts w:eastAsia="Times New Roman" w:cs="Times New Roman"/>
                <w:w w:val="99"/>
              </w:rPr>
              <w:t>)</w:t>
            </w:r>
          </w:p>
        </w:tc>
      </w:tr>
      <w:tr w:rsidR="00A52778" w:rsidRPr="00460F9E" w14:paraId="598ADC5E" w14:textId="77777777" w:rsidTr="00FC3F8E">
        <w:trPr>
          <w:trHeight w:val="66"/>
        </w:trPr>
        <w:tc>
          <w:tcPr>
            <w:tcW w:w="2400" w:type="dxa"/>
            <w:gridSpan w:val="2"/>
            <w:vMerge/>
            <w:tcBorders>
              <w:left w:val="single" w:sz="4" w:space="0" w:color="auto"/>
              <w:right w:val="single" w:sz="8" w:space="0" w:color="auto"/>
            </w:tcBorders>
            <w:shd w:val="clear" w:color="auto" w:fill="auto"/>
            <w:vAlign w:val="bottom"/>
          </w:tcPr>
          <w:p w14:paraId="13AEA0CF" w14:textId="77777777" w:rsidR="00A52778" w:rsidRPr="002E52FC" w:rsidRDefault="00A52778" w:rsidP="00FC3F8E">
            <w:pPr>
              <w:spacing w:line="0" w:lineRule="atLeast"/>
              <w:rPr>
                <w:rFonts w:eastAsia="Times New Roman" w:cs="Times New Roman"/>
                <w:sz w:val="9"/>
              </w:rPr>
            </w:pPr>
          </w:p>
        </w:tc>
        <w:tc>
          <w:tcPr>
            <w:tcW w:w="600" w:type="dxa"/>
            <w:shd w:val="clear" w:color="auto" w:fill="auto"/>
            <w:vAlign w:val="bottom"/>
          </w:tcPr>
          <w:p w14:paraId="2D5BE1D1" w14:textId="77777777" w:rsidR="00A52778" w:rsidRPr="002E52FC" w:rsidRDefault="00A52778" w:rsidP="00FC3F8E">
            <w:pPr>
              <w:spacing w:line="0" w:lineRule="atLeast"/>
              <w:rPr>
                <w:rFonts w:eastAsia="Times New Roman" w:cs="Times New Roman"/>
                <w:sz w:val="9"/>
              </w:rPr>
            </w:pPr>
          </w:p>
        </w:tc>
        <w:tc>
          <w:tcPr>
            <w:tcW w:w="5760" w:type="dxa"/>
            <w:vMerge w:val="restart"/>
            <w:tcBorders>
              <w:right w:val="single" w:sz="4" w:space="0" w:color="auto"/>
            </w:tcBorders>
            <w:shd w:val="clear" w:color="auto" w:fill="auto"/>
            <w:vAlign w:val="bottom"/>
          </w:tcPr>
          <w:p w14:paraId="38F2E6BE" w14:textId="77777777" w:rsidR="00A52778" w:rsidRPr="002E52FC" w:rsidRDefault="00A52778" w:rsidP="00FC3F8E">
            <w:pPr>
              <w:spacing w:line="219" w:lineRule="exact"/>
              <w:ind w:right="540"/>
              <w:jc w:val="center"/>
              <w:rPr>
                <w:rFonts w:eastAsia="Times New Roman" w:cs="Times New Roman"/>
                <w:w w:val="99"/>
              </w:rPr>
            </w:pPr>
            <w:r w:rsidRPr="002E52FC">
              <w:rPr>
                <w:rFonts w:eastAsia="Times New Roman" w:cs="Times New Roman"/>
              </w:rPr>
              <w:t>(</w:t>
            </w:r>
            <w:r w:rsidRPr="002E52FC">
              <w:rPr>
                <w:rFonts w:eastAsia="Times New Roman" w:cs="Times New Roman"/>
                <w:w w:val="99"/>
              </w:rPr>
              <w:t>Günlük ortalama veya örnekleme dönemi boyunca ortalama)</w:t>
            </w:r>
          </w:p>
        </w:tc>
      </w:tr>
      <w:tr w:rsidR="00A52778" w:rsidRPr="00460F9E" w14:paraId="3B4EBF38" w14:textId="77777777" w:rsidTr="00FC3F8E">
        <w:trPr>
          <w:trHeight w:val="116"/>
        </w:trPr>
        <w:tc>
          <w:tcPr>
            <w:tcW w:w="1100" w:type="dxa"/>
            <w:tcBorders>
              <w:left w:val="single" w:sz="4" w:space="0" w:color="auto"/>
              <w:bottom w:val="single" w:sz="8" w:space="0" w:color="auto"/>
            </w:tcBorders>
            <w:shd w:val="clear" w:color="auto" w:fill="auto"/>
            <w:vAlign w:val="bottom"/>
          </w:tcPr>
          <w:p w14:paraId="3F34D7B8" w14:textId="77777777" w:rsidR="00A52778" w:rsidRPr="00460F9E" w:rsidRDefault="00A52778" w:rsidP="00FC3F8E">
            <w:pPr>
              <w:spacing w:line="0" w:lineRule="atLeast"/>
              <w:rPr>
                <w:rFonts w:eastAsia="Times New Roman" w:cs="Times New Roman"/>
                <w:b/>
                <w:sz w:val="10"/>
              </w:rPr>
            </w:pPr>
          </w:p>
        </w:tc>
        <w:tc>
          <w:tcPr>
            <w:tcW w:w="1300" w:type="dxa"/>
            <w:tcBorders>
              <w:bottom w:val="single" w:sz="8" w:space="0" w:color="auto"/>
              <w:right w:val="single" w:sz="8" w:space="0" w:color="auto"/>
            </w:tcBorders>
            <w:shd w:val="clear" w:color="auto" w:fill="auto"/>
            <w:vAlign w:val="bottom"/>
          </w:tcPr>
          <w:p w14:paraId="694471F4" w14:textId="77777777" w:rsidR="00A52778" w:rsidRPr="00460F9E" w:rsidRDefault="00A52778" w:rsidP="00FC3F8E">
            <w:pPr>
              <w:spacing w:line="0" w:lineRule="atLeast"/>
              <w:rPr>
                <w:rFonts w:eastAsia="Times New Roman" w:cs="Times New Roman"/>
                <w:b/>
                <w:sz w:val="10"/>
              </w:rPr>
            </w:pPr>
          </w:p>
        </w:tc>
        <w:tc>
          <w:tcPr>
            <w:tcW w:w="600" w:type="dxa"/>
            <w:tcBorders>
              <w:bottom w:val="single" w:sz="8" w:space="0" w:color="auto"/>
            </w:tcBorders>
            <w:shd w:val="clear" w:color="auto" w:fill="auto"/>
            <w:vAlign w:val="bottom"/>
          </w:tcPr>
          <w:p w14:paraId="01D47BC1" w14:textId="77777777" w:rsidR="00A52778" w:rsidRPr="00460F9E" w:rsidRDefault="00A52778" w:rsidP="00FC3F8E">
            <w:pPr>
              <w:spacing w:line="0" w:lineRule="atLeast"/>
              <w:rPr>
                <w:rFonts w:eastAsia="Times New Roman" w:cs="Times New Roman"/>
                <w:b/>
                <w:sz w:val="10"/>
              </w:rPr>
            </w:pPr>
          </w:p>
        </w:tc>
        <w:tc>
          <w:tcPr>
            <w:tcW w:w="5760" w:type="dxa"/>
            <w:vMerge/>
            <w:tcBorders>
              <w:bottom w:val="single" w:sz="8" w:space="0" w:color="auto"/>
              <w:right w:val="single" w:sz="4" w:space="0" w:color="auto"/>
            </w:tcBorders>
            <w:shd w:val="clear" w:color="auto" w:fill="auto"/>
            <w:vAlign w:val="bottom"/>
          </w:tcPr>
          <w:p w14:paraId="4F9C53FC" w14:textId="77777777" w:rsidR="00A52778" w:rsidRPr="00460F9E" w:rsidRDefault="00A52778" w:rsidP="00FC3F8E">
            <w:pPr>
              <w:spacing w:line="0" w:lineRule="atLeast"/>
              <w:rPr>
                <w:rFonts w:eastAsia="Times New Roman" w:cs="Times New Roman"/>
                <w:b/>
                <w:sz w:val="10"/>
              </w:rPr>
            </w:pPr>
          </w:p>
        </w:tc>
      </w:tr>
      <w:tr w:rsidR="00A52778" w:rsidRPr="00460F9E" w14:paraId="6DB09A4F" w14:textId="77777777" w:rsidTr="00FC3F8E">
        <w:trPr>
          <w:trHeight w:val="215"/>
        </w:trPr>
        <w:tc>
          <w:tcPr>
            <w:tcW w:w="2400" w:type="dxa"/>
            <w:gridSpan w:val="2"/>
            <w:tcBorders>
              <w:left w:val="single" w:sz="4" w:space="0" w:color="auto"/>
              <w:right w:val="single" w:sz="8" w:space="0" w:color="auto"/>
            </w:tcBorders>
            <w:shd w:val="clear" w:color="auto" w:fill="auto"/>
            <w:vAlign w:val="bottom"/>
          </w:tcPr>
          <w:p w14:paraId="570A9B90" w14:textId="77777777" w:rsidR="00A52778" w:rsidRPr="00460F9E" w:rsidRDefault="00A52778" w:rsidP="00FC3F8E">
            <w:pPr>
              <w:spacing w:line="214" w:lineRule="exact"/>
              <w:ind w:right="200"/>
              <w:rPr>
                <w:rFonts w:eastAsia="Times New Roman" w:cs="Times New Roman"/>
                <w:b/>
              </w:rPr>
            </w:pPr>
            <w:r w:rsidRPr="00460F9E">
              <w:rPr>
                <w:rFonts w:eastAsia="Times New Roman" w:cs="Times New Roman"/>
              </w:rPr>
              <w:t xml:space="preserve">      Azot oksitleri</w:t>
            </w:r>
          </w:p>
        </w:tc>
        <w:tc>
          <w:tcPr>
            <w:tcW w:w="600" w:type="dxa"/>
            <w:shd w:val="clear" w:color="auto" w:fill="auto"/>
            <w:vAlign w:val="bottom"/>
          </w:tcPr>
          <w:p w14:paraId="4CFEC372" w14:textId="77777777" w:rsidR="00A52778" w:rsidRPr="00460F9E" w:rsidRDefault="00A52778" w:rsidP="00FC3F8E">
            <w:pPr>
              <w:spacing w:line="0" w:lineRule="atLeast"/>
              <w:rPr>
                <w:rFonts w:eastAsia="Times New Roman" w:cs="Times New Roman"/>
                <w:b/>
                <w:sz w:val="18"/>
              </w:rPr>
            </w:pPr>
          </w:p>
        </w:tc>
        <w:tc>
          <w:tcPr>
            <w:tcW w:w="5760" w:type="dxa"/>
            <w:vMerge w:val="restart"/>
            <w:tcBorders>
              <w:right w:val="single" w:sz="4" w:space="0" w:color="auto"/>
            </w:tcBorders>
            <w:shd w:val="clear" w:color="auto" w:fill="auto"/>
            <w:vAlign w:val="bottom"/>
          </w:tcPr>
          <w:p w14:paraId="649CC7F9" w14:textId="77777777" w:rsidR="00A52778" w:rsidRPr="00460F9E" w:rsidRDefault="00A52778" w:rsidP="00FC3F8E">
            <w:pPr>
              <w:spacing w:line="0" w:lineRule="atLeast"/>
              <w:ind w:right="520"/>
              <w:jc w:val="center"/>
              <w:rPr>
                <w:rFonts w:eastAsia="Times New Roman" w:cs="Times New Roman"/>
                <w:b/>
                <w:w w:val="96"/>
              </w:rPr>
            </w:pPr>
            <w:r w:rsidRPr="00460F9E">
              <w:rPr>
                <w:rFonts w:eastAsia="Times New Roman" w:cs="Times New Roman"/>
                <w:w w:val="96"/>
              </w:rPr>
              <w:t>30-150 (</w:t>
            </w:r>
            <w:r w:rsidRPr="00460F9E">
              <w:rPr>
                <w:rFonts w:eastAsia="Times New Roman" w:cs="Times New Roman"/>
                <w:w w:val="96"/>
                <w:sz w:val="25"/>
                <w:vertAlign w:val="superscript"/>
              </w:rPr>
              <w:t>1</w:t>
            </w:r>
            <w:r w:rsidRPr="00460F9E">
              <w:rPr>
                <w:rFonts w:eastAsia="Times New Roman" w:cs="Times New Roman"/>
                <w:w w:val="96"/>
              </w:rPr>
              <w:t>) (</w:t>
            </w:r>
            <w:r w:rsidRPr="00460F9E">
              <w:rPr>
                <w:rFonts w:eastAsia="Times New Roman" w:cs="Times New Roman"/>
                <w:w w:val="96"/>
                <w:sz w:val="25"/>
                <w:vertAlign w:val="superscript"/>
              </w:rPr>
              <w:t>2</w:t>
            </w:r>
            <w:r w:rsidRPr="00460F9E">
              <w:rPr>
                <w:rFonts w:eastAsia="Times New Roman" w:cs="Times New Roman"/>
                <w:w w:val="96"/>
              </w:rPr>
              <w:t>) (</w:t>
            </w:r>
            <w:r w:rsidRPr="00460F9E">
              <w:rPr>
                <w:rFonts w:eastAsia="Times New Roman" w:cs="Times New Roman"/>
                <w:w w:val="96"/>
                <w:sz w:val="25"/>
                <w:vertAlign w:val="superscript"/>
              </w:rPr>
              <w:t>3</w:t>
            </w:r>
            <w:r w:rsidRPr="00460F9E">
              <w:rPr>
                <w:rFonts w:eastAsia="Times New Roman" w:cs="Times New Roman"/>
                <w:w w:val="96"/>
              </w:rPr>
              <w:t>)</w:t>
            </w:r>
          </w:p>
        </w:tc>
      </w:tr>
      <w:tr w:rsidR="00A52778" w:rsidRPr="00460F9E" w14:paraId="3AD97839" w14:textId="77777777" w:rsidTr="00FC3F8E">
        <w:trPr>
          <w:trHeight w:val="192"/>
        </w:trPr>
        <w:tc>
          <w:tcPr>
            <w:tcW w:w="1100" w:type="dxa"/>
            <w:vMerge w:val="restart"/>
            <w:tcBorders>
              <w:left w:val="single" w:sz="4" w:space="0" w:color="auto"/>
            </w:tcBorders>
            <w:shd w:val="clear" w:color="auto" w:fill="auto"/>
            <w:vAlign w:val="bottom"/>
          </w:tcPr>
          <w:p w14:paraId="2B1CB665" w14:textId="77777777" w:rsidR="00A52778" w:rsidRPr="00460F9E" w:rsidRDefault="00A52778" w:rsidP="00FC3F8E">
            <w:pPr>
              <w:spacing w:line="0" w:lineRule="atLeast"/>
              <w:ind w:left="260"/>
              <w:rPr>
                <w:rFonts w:eastAsia="Times New Roman" w:cs="Times New Roman"/>
                <w:b/>
              </w:rPr>
            </w:pPr>
            <w:r w:rsidRPr="00460F9E">
              <w:rPr>
                <w:rFonts w:eastAsia="Times New Roman" w:cs="Times New Roman"/>
              </w:rPr>
              <w:t>(NO</w:t>
            </w:r>
            <w:r w:rsidRPr="00460F9E">
              <w:rPr>
                <w:rFonts w:eastAsia="Times New Roman" w:cs="Times New Roman"/>
                <w:sz w:val="12"/>
              </w:rPr>
              <w:t>X</w:t>
            </w:r>
            <w:r w:rsidRPr="00460F9E">
              <w:rPr>
                <w:rFonts w:eastAsia="Times New Roman" w:cs="Times New Roman"/>
              </w:rPr>
              <w:t>)</w:t>
            </w:r>
          </w:p>
        </w:tc>
        <w:tc>
          <w:tcPr>
            <w:tcW w:w="1300" w:type="dxa"/>
            <w:tcBorders>
              <w:right w:val="single" w:sz="8" w:space="0" w:color="auto"/>
            </w:tcBorders>
            <w:shd w:val="clear" w:color="auto" w:fill="auto"/>
            <w:vAlign w:val="bottom"/>
          </w:tcPr>
          <w:p w14:paraId="078E1789" w14:textId="77777777" w:rsidR="00A52778" w:rsidRPr="00460F9E" w:rsidRDefault="00A52778" w:rsidP="00FC3F8E">
            <w:pPr>
              <w:spacing w:line="0" w:lineRule="atLeast"/>
              <w:rPr>
                <w:rFonts w:eastAsia="Times New Roman" w:cs="Times New Roman"/>
                <w:b/>
                <w:sz w:val="16"/>
              </w:rPr>
            </w:pPr>
          </w:p>
        </w:tc>
        <w:tc>
          <w:tcPr>
            <w:tcW w:w="600" w:type="dxa"/>
            <w:shd w:val="clear" w:color="auto" w:fill="auto"/>
            <w:vAlign w:val="bottom"/>
          </w:tcPr>
          <w:p w14:paraId="7129AA40" w14:textId="77777777" w:rsidR="00A52778" w:rsidRPr="00460F9E" w:rsidRDefault="00A52778" w:rsidP="00FC3F8E">
            <w:pPr>
              <w:spacing w:line="0" w:lineRule="atLeast"/>
              <w:rPr>
                <w:rFonts w:eastAsia="Times New Roman" w:cs="Times New Roman"/>
                <w:b/>
                <w:sz w:val="16"/>
              </w:rPr>
            </w:pPr>
          </w:p>
        </w:tc>
        <w:tc>
          <w:tcPr>
            <w:tcW w:w="5760" w:type="dxa"/>
            <w:vMerge/>
            <w:tcBorders>
              <w:right w:val="single" w:sz="4" w:space="0" w:color="auto"/>
            </w:tcBorders>
            <w:shd w:val="clear" w:color="auto" w:fill="auto"/>
            <w:vAlign w:val="bottom"/>
          </w:tcPr>
          <w:p w14:paraId="66753E07" w14:textId="77777777" w:rsidR="00A52778" w:rsidRPr="00460F9E" w:rsidRDefault="00A52778" w:rsidP="00FC3F8E">
            <w:pPr>
              <w:spacing w:line="0" w:lineRule="atLeast"/>
              <w:rPr>
                <w:rFonts w:eastAsia="Times New Roman" w:cs="Times New Roman"/>
                <w:b/>
                <w:sz w:val="16"/>
              </w:rPr>
            </w:pPr>
          </w:p>
        </w:tc>
      </w:tr>
      <w:tr w:rsidR="00A52778" w:rsidRPr="00460F9E" w14:paraId="3FF68EF3" w14:textId="77777777" w:rsidTr="00FC3F8E">
        <w:trPr>
          <w:trHeight w:val="40"/>
        </w:trPr>
        <w:tc>
          <w:tcPr>
            <w:tcW w:w="1100" w:type="dxa"/>
            <w:vMerge/>
            <w:tcBorders>
              <w:left w:val="single" w:sz="4" w:space="0" w:color="auto"/>
              <w:bottom w:val="single" w:sz="8" w:space="0" w:color="auto"/>
            </w:tcBorders>
            <w:shd w:val="clear" w:color="auto" w:fill="auto"/>
            <w:vAlign w:val="bottom"/>
          </w:tcPr>
          <w:p w14:paraId="43E5E8D7" w14:textId="77777777" w:rsidR="00A52778" w:rsidRPr="00460F9E" w:rsidRDefault="00A52778" w:rsidP="00FC3F8E">
            <w:pPr>
              <w:spacing w:line="0" w:lineRule="atLeast"/>
              <w:rPr>
                <w:rFonts w:eastAsia="Times New Roman" w:cs="Times New Roman"/>
                <w:b/>
                <w:sz w:val="3"/>
              </w:rPr>
            </w:pPr>
          </w:p>
        </w:tc>
        <w:tc>
          <w:tcPr>
            <w:tcW w:w="1300" w:type="dxa"/>
            <w:tcBorders>
              <w:bottom w:val="single" w:sz="8" w:space="0" w:color="auto"/>
              <w:right w:val="single" w:sz="8" w:space="0" w:color="auto"/>
            </w:tcBorders>
            <w:shd w:val="clear" w:color="auto" w:fill="auto"/>
            <w:vAlign w:val="bottom"/>
          </w:tcPr>
          <w:p w14:paraId="66225A8B" w14:textId="77777777" w:rsidR="00A52778" w:rsidRPr="00460F9E" w:rsidRDefault="00A52778" w:rsidP="00FC3F8E">
            <w:pPr>
              <w:spacing w:line="0" w:lineRule="atLeast"/>
              <w:rPr>
                <w:rFonts w:eastAsia="Times New Roman" w:cs="Times New Roman"/>
                <w:b/>
                <w:sz w:val="3"/>
              </w:rPr>
            </w:pPr>
          </w:p>
        </w:tc>
        <w:tc>
          <w:tcPr>
            <w:tcW w:w="600" w:type="dxa"/>
            <w:tcBorders>
              <w:bottom w:val="single" w:sz="8" w:space="0" w:color="auto"/>
            </w:tcBorders>
            <w:shd w:val="clear" w:color="auto" w:fill="auto"/>
            <w:vAlign w:val="bottom"/>
          </w:tcPr>
          <w:p w14:paraId="4EF8698D" w14:textId="77777777" w:rsidR="00A52778" w:rsidRPr="00460F9E" w:rsidRDefault="00A52778" w:rsidP="00FC3F8E">
            <w:pPr>
              <w:spacing w:line="0" w:lineRule="atLeast"/>
              <w:rPr>
                <w:rFonts w:eastAsia="Times New Roman" w:cs="Times New Roman"/>
                <w:b/>
                <w:sz w:val="3"/>
              </w:rPr>
            </w:pPr>
          </w:p>
        </w:tc>
        <w:tc>
          <w:tcPr>
            <w:tcW w:w="5760" w:type="dxa"/>
            <w:tcBorders>
              <w:bottom w:val="single" w:sz="8" w:space="0" w:color="auto"/>
              <w:right w:val="single" w:sz="4" w:space="0" w:color="auto"/>
            </w:tcBorders>
            <w:shd w:val="clear" w:color="auto" w:fill="auto"/>
            <w:vAlign w:val="bottom"/>
          </w:tcPr>
          <w:p w14:paraId="2AF62502" w14:textId="77777777" w:rsidR="00A52778" w:rsidRPr="00460F9E" w:rsidRDefault="00A52778" w:rsidP="00FC3F8E">
            <w:pPr>
              <w:spacing w:line="0" w:lineRule="atLeast"/>
              <w:rPr>
                <w:rFonts w:eastAsia="Times New Roman" w:cs="Times New Roman"/>
                <w:b/>
                <w:sz w:val="3"/>
              </w:rPr>
            </w:pPr>
          </w:p>
        </w:tc>
      </w:tr>
      <w:tr w:rsidR="00A52778" w:rsidRPr="00460F9E" w14:paraId="68066375" w14:textId="77777777" w:rsidTr="00FC3F8E">
        <w:trPr>
          <w:trHeight w:val="215"/>
        </w:trPr>
        <w:tc>
          <w:tcPr>
            <w:tcW w:w="2400" w:type="dxa"/>
            <w:gridSpan w:val="2"/>
            <w:tcBorders>
              <w:left w:val="single" w:sz="4" w:space="0" w:color="auto"/>
              <w:right w:val="single" w:sz="8" w:space="0" w:color="auto"/>
            </w:tcBorders>
            <w:shd w:val="clear" w:color="auto" w:fill="auto"/>
            <w:vAlign w:val="bottom"/>
          </w:tcPr>
          <w:p w14:paraId="70D6D638" w14:textId="77777777" w:rsidR="00A52778" w:rsidRPr="00460F9E" w:rsidRDefault="00A52778" w:rsidP="00FC3F8E">
            <w:pPr>
              <w:spacing w:line="215" w:lineRule="exact"/>
              <w:ind w:right="200"/>
              <w:rPr>
                <w:rFonts w:eastAsia="Times New Roman" w:cs="Times New Roman"/>
                <w:b/>
              </w:rPr>
            </w:pPr>
            <w:r w:rsidRPr="00460F9E">
              <w:rPr>
                <w:rFonts w:eastAsia="Times New Roman" w:cs="Times New Roman"/>
              </w:rPr>
              <w:t xml:space="preserve">      Karbon monoksit</w:t>
            </w:r>
          </w:p>
        </w:tc>
        <w:tc>
          <w:tcPr>
            <w:tcW w:w="600" w:type="dxa"/>
            <w:shd w:val="clear" w:color="auto" w:fill="auto"/>
            <w:vAlign w:val="bottom"/>
          </w:tcPr>
          <w:p w14:paraId="7CE5094B" w14:textId="77777777" w:rsidR="00A52778" w:rsidRPr="00460F9E" w:rsidRDefault="00A52778" w:rsidP="00FC3F8E">
            <w:pPr>
              <w:spacing w:line="0" w:lineRule="atLeast"/>
              <w:rPr>
                <w:rFonts w:eastAsia="Times New Roman" w:cs="Times New Roman"/>
                <w:b/>
                <w:sz w:val="18"/>
              </w:rPr>
            </w:pPr>
          </w:p>
        </w:tc>
        <w:tc>
          <w:tcPr>
            <w:tcW w:w="5760" w:type="dxa"/>
            <w:vMerge w:val="restart"/>
            <w:tcBorders>
              <w:right w:val="single" w:sz="4" w:space="0" w:color="auto"/>
            </w:tcBorders>
            <w:shd w:val="clear" w:color="auto" w:fill="auto"/>
            <w:vAlign w:val="bottom"/>
          </w:tcPr>
          <w:p w14:paraId="79A27243" w14:textId="77777777" w:rsidR="00A52778" w:rsidRPr="00460F9E" w:rsidRDefault="00A52778" w:rsidP="00FC3F8E">
            <w:pPr>
              <w:spacing w:line="0" w:lineRule="atLeast"/>
              <w:ind w:right="520"/>
              <w:jc w:val="center"/>
              <w:rPr>
                <w:rFonts w:eastAsia="Times New Roman" w:cs="Times New Roman"/>
                <w:b/>
                <w:w w:val="98"/>
              </w:rPr>
            </w:pPr>
            <w:r w:rsidRPr="00460F9E">
              <w:rPr>
                <w:rFonts w:eastAsia="Times New Roman" w:cs="Times New Roman"/>
                <w:w w:val="98"/>
              </w:rPr>
              <w:t>MET-AEL yok (</w:t>
            </w:r>
            <w:r w:rsidRPr="00460F9E">
              <w:rPr>
                <w:rFonts w:eastAsia="Times New Roman" w:cs="Times New Roman"/>
                <w:w w:val="98"/>
                <w:sz w:val="25"/>
                <w:vertAlign w:val="superscript"/>
              </w:rPr>
              <w:t>4</w:t>
            </w:r>
            <w:r w:rsidRPr="00460F9E">
              <w:rPr>
                <w:rFonts w:eastAsia="Times New Roman" w:cs="Times New Roman"/>
                <w:w w:val="98"/>
              </w:rPr>
              <w:t>)</w:t>
            </w:r>
          </w:p>
        </w:tc>
      </w:tr>
      <w:tr w:rsidR="00A52778" w:rsidRPr="00460F9E" w14:paraId="75F32E63" w14:textId="77777777" w:rsidTr="00FC3F8E">
        <w:trPr>
          <w:trHeight w:val="188"/>
        </w:trPr>
        <w:tc>
          <w:tcPr>
            <w:tcW w:w="1100" w:type="dxa"/>
            <w:vMerge w:val="restart"/>
            <w:tcBorders>
              <w:left w:val="single" w:sz="4" w:space="0" w:color="auto"/>
            </w:tcBorders>
            <w:shd w:val="clear" w:color="auto" w:fill="auto"/>
            <w:vAlign w:val="bottom"/>
          </w:tcPr>
          <w:p w14:paraId="582267BA" w14:textId="77777777" w:rsidR="00A52778" w:rsidRPr="00460F9E" w:rsidRDefault="00A52778" w:rsidP="00FC3F8E">
            <w:pPr>
              <w:spacing w:line="0" w:lineRule="atLeast"/>
              <w:ind w:left="260"/>
              <w:rPr>
                <w:rFonts w:eastAsia="Times New Roman" w:cs="Times New Roman"/>
                <w:b/>
              </w:rPr>
            </w:pPr>
            <w:r w:rsidRPr="00460F9E">
              <w:rPr>
                <w:rFonts w:eastAsia="Times New Roman" w:cs="Times New Roman"/>
              </w:rPr>
              <w:t>(CO)</w:t>
            </w:r>
          </w:p>
        </w:tc>
        <w:tc>
          <w:tcPr>
            <w:tcW w:w="1300" w:type="dxa"/>
            <w:tcBorders>
              <w:right w:val="single" w:sz="8" w:space="0" w:color="auto"/>
            </w:tcBorders>
            <w:shd w:val="clear" w:color="auto" w:fill="auto"/>
            <w:vAlign w:val="bottom"/>
          </w:tcPr>
          <w:p w14:paraId="3AF23DD0" w14:textId="77777777" w:rsidR="00A52778" w:rsidRPr="00460F9E" w:rsidRDefault="00A52778" w:rsidP="00FC3F8E">
            <w:pPr>
              <w:spacing w:line="0" w:lineRule="atLeast"/>
              <w:rPr>
                <w:rFonts w:eastAsia="Times New Roman" w:cs="Times New Roman"/>
                <w:b/>
                <w:sz w:val="16"/>
              </w:rPr>
            </w:pPr>
          </w:p>
        </w:tc>
        <w:tc>
          <w:tcPr>
            <w:tcW w:w="600" w:type="dxa"/>
            <w:shd w:val="clear" w:color="auto" w:fill="auto"/>
            <w:vAlign w:val="bottom"/>
          </w:tcPr>
          <w:p w14:paraId="7A3A15F9" w14:textId="77777777" w:rsidR="00A52778" w:rsidRPr="00460F9E" w:rsidRDefault="00A52778" w:rsidP="00FC3F8E">
            <w:pPr>
              <w:spacing w:line="0" w:lineRule="atLeast"/>
              <w:rPr>
                <w:rFonts w:eastAsia="Times New Roman" w:cs="Times New Roman"/>
                <w:b/>
                <w:sz w:val="16"/>
              </w:rPr>
            </w:pPr>
          </w:p>
        </w:tc>
        <w:tc>
          <w:tcPr>
            <w:tcW w:w="5760" w:type="dxa"/>
            <w:vMerge/>
            <w:tcBorders>
              <w:right w:val="single" w:sz="4" w:space="0" w:color="auto"/>
            </w:tcBorders>
            <w:shd w:val="clear" w:color="auto" w:fill="auto"/>
            <w:vAlign w:val="bottom"/>
          </w:tcPr>
          <w:p w14:paraId="2169E141" w14:textId="77777777" w:rsidR="00A52778" w:rsidRPr="00460F9E" w:rsidRDefault="00A52778" w:rsidP="00FC3F8E">
            <w:pPr>
              <w:spacing w:line="0" w:lineRule="atLeast"/>
              <w:rPr>
                <w:rFonts w:eastAsia="Times New Roman" w:cs="Times New Roman"/>
                <w:b/>
                <w:sz w:val="16"/>
              </w:rPr>
            </w:pPr>
          </w:p>
        </w:tc>
      </w:tr>
      <w:tr w:rsidR="00A52778" w:rsidRPr="00460F9E" w14:paraId="782A3053" w14:textId="77777777" w:rsidTr="00FC3F8E">
        <w:trPr>
          <w:trHeight w:val="45"/>
        </w:trPr>
        <w:tc>
          <w:tcPr>
            <w:tcW w:w="1100" w:type="dxa"/>
            <w:vMerge/>
            <w:tcBorders>
              <w:left w:val="single" w:sz="4" w:space="0" w:color="auto"/>
              <w:bottom w:val="single" w:sz="8" w:space="0" w:color="auto"/>
            </w:tcBorders>
            <w:shd w:val="clear" w:color="auto" w:fill="auto"/>
            <w:vAlign w:val="bottom"/>
          </w:tcPr>
          <w:p w14:paraId="0D477983" w14:textId="77777777" w:rsidR="00A52778" w:rsidRPr="00460F9E" w:rsidRDefault="00A52778" w:rsidP="00FC3F8E">
            <w:pPr>
              <w:spacing w:line="0" w:lineRule="atLeast"/>
              <w:rPr>
                <w:rFonts w:eastAsia="Times New Roman" w:cs="Times New Roman"/>
                <w:b/>
                <w:sz w:val="3"/>
              </w:rPr>
            </w:pPr>
          </w:p>
        </w:tc>
        <w:tc>
          <w:tcPr>
            <w:tcW w:w="1300" w:type="dxa"/>
            <w:tcBorders>
              <w:bottom w:val="single" w:sz="8" w:space="0" w:color="auto"/>
              <w:right w:val="single" w:sz="8" w:space="0" w:color="auto"/>
            </w:tcBorders>
            <w:shd w:val="clear" w:color="auto" w:fill="auto"/>
            <w:vAlign w:val="bottom"/>
          </w:tcPr>
          <w:p w14:paraId="0A0D5FA6" w14:textId="77777777" w:rsidR="00A52778" w:rsidRPr="00460F9E" w:rsidRDefault="00A52778" w:rsidP="00FC3F8E">
            <w:pPr>
              <w:spacing w:line="0" w:lineRule="atLeast"/>
              <w:rPr>
                <w:rFonts w:eastAsia="Times New Roman" w:cs="Times New Roman"/>
                <w:b/>
                <w:sz w:val="3"/>
              </w:rPr>
            </w:pPr>
          </w:p>
        </w:tc>
        <w:tc>
          <w:tcPr>
            <w:tcW w:w="600" w:type="dxa"/>
            <w:tcBorders>
              <w:bottom w:val="single" w:sz="8" w:space="0" w:color="auto"/>
            </w:tcBorders>
            <w:shd w:val="clear" w:color="auto" w:fill="auto"/>
            <w:vAlign w:val="bottom"/>
          </w:tcPr>
          <w:p w14:paraId="3E1B1A9A" w14:textId="77777777" w:rsidR="00A52778" w:rsidRPr="00460F9E" w:rsidRDefault="00A52778" w:rsidP="00FC3F8E">
            <w:pPr>
              <w:spacing w:line="0" w:lineRule="atLeast"/>
              <w:rPr>
                <w:rFonts w:eastAsia="Times New Roman" w:cs="Times New Roman"/>
                <w:b/>
                <w:sz w:val="3"/>
              </w:rPr>
            </w:pPr>
          </w:p>
        </w:tc>
        <w:tc>
          <w:tcPr>
            <w:tcW w:w="5760" w:type="dxa"/>
            <w:tcBorders>
              <w:bottom w:val="single" w:sz="8" w:space="0" w:color="auto"/>
              <w:right w:val="single" w:sz="4" w:space="0" w:color="auto"/>
            </w:tcBorders>
            <w:shd w:val="clear" w:color="auto" w:fill="auto"/>
            <w:vAlign w:val="bottom"/>
          </w:tcPr>
          <w:p w14:paraId="30D861BC" w14:textId="77777777" w:rsidR="00A52778" w:rsidRPr="00460F9E" w:rsidRDefault="00A52778" w:rsidP="00FC3F8E">
            <w:pPr>
              <w:spacing w:line="0" w:lineRule="atLeast"/>
              <w:rPr>
                <w:rFonts w:eastAsia="Times New Roman" w:cs="Times New Roman"/>
                <w:b/>
                <w:sz w:val="3"/>
              </w:rPr>
            </w:pPr>
          </w:p>
        </w:tc>
      </w:tr>
    </w:tbl>
    <w:p w14:paraId="058CE7DA" w14:textId="77777777" w:rsidR="00A52778" w:rsidRPr="00460F9E" w:rsidRDefault="00A52778" w:rsidP="00A52778">
      <w:pPr>
        <w:spacing w:line="20" w:lineRule="exact"/>
        <w:rPr>
          <w:rFonts w:eastAsia="Times New Roman" w:cs="Times New Roman"/>
          <w:b/>
        </w:rPr>
      </w:pPr>
      <w:r w:rsidRPr="00460F9E">
        <w:rPr>
          <w:rFonts w:eastAsia="Times New Roman" w:cs="Times New Roman"/>
          <w:b/>
          <w:noProof/>
          <w:sz w:val="3"/>
          <w:lang w:val="tr-TR" w:eastAsia="tr-TR"/>
        </w:rPr>
        <mc:AlternateContent>
          <mc:Choice Requires="wps">
            <w:drawing>
              <wp:anchor distT="0" distB="0" distL="114300" distR="114300" simplePos="0" relativeHeight="251702272" behindDoc="1" locked="0" layoutInCell="1" allowOverlap="1" wp14:anchorId="2EDF8330" wp14:editId="4FB892FE">
                <wp:simplePos x="0" y="0"/>
                <wp:positionH relativeFrom="column">
                  <wp:posOffset>2540</wp:posOffset>
                </wp:positionH>
                <wp:positionV relativeFrom="paragraph">
                  <wp:posOffset>-900430</wp:posOffset>
                </wp:positionV>
                <wp:extent cx="0" cy="2171700"/>
                <wp:effectExtent l="12065" t="5715" r="6985" b="13335"/>
                <wp:wrapNone/>
                <wp:docPr id="104" name="Düz Bağlayıcı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3DB49" id="Düz Bağlayıcı 104"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0.9pt" to=".2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" strokeweight=".16931mm"/>
            </w:pict>
          </mc:Fallback>
        </mc:AlternateContent>
      </w:r>
    </w:p>
    <w:p w14:paraId="09A747E0" w14:textId="77777777" w:rsidR="00A52778" w:rsidRPr="00460F9E" w:rsidRDefault="00A52778" w:rsidP="00A52778">
      <w:pPr>
        <w:spacing w:line="42" w:lineRule="exact"/>
        <w:rPr>
          <w:rFonts w:eastAsia="Times New Roman" w:cs="Times New Roman"/>
          <w:b/>
        </w:rPr>
      </w:pPr>
    </w:p>
    <w:p w14:paraId="717D2042" w14:textId="77777777" w:rsidR="00A52778" w:rsidRPr="00460F9E" w:rsidRDefault="00A52778" w:rsidP="00A52778">
      <w:pPr>
        <w:spacing w:line="195" w:lineRule="auto"/>
        <w:ind w:left="400" w:right="746" w:hanging="283"/>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1</w:t>
      </w:r>
      <w:r w:rsidRPr="00460F9E">
        <w:rPr>
          <w:rFonts w:eastAsia="Times New Roman" w:cs="Times New Roman"/>
          <w:sz w:val="18"/>
        </w:rPr>
        <w:t>) Kompleks inorganik pigmentlerin üretimi durumunda, MET-AEL aralığının üst ucu daha yüksek olabilir ve aşağıdaki b) koşulu karşılandığında 400 mg/Nm</w:t>
      </w:r>
      <w:r w:rsidRPr="00460F9E">
        <w:rPr>
          <w:rFonts w:eastAsia="Times New Roman" w:cs="Times New Roman"/>
          <w:vertAlign w:val="superscript"/>
        </w:rPr>
        <w:t>3</w:t>
      </w:r>
      <w:r w:rsidRPr="00460F9E">
        <w:rPr>
          <w:rFonts w:eastAsia="Times New Roman" w:cs="Times New Roman"/>
          <w:sz w:val="18"/>
        </w:rPr>
        <w:t>' e kadar ve aşağıdaki a) ve b) koşulları karşılandığında 1 000 mg/ Nm</w:t>
      </w:r>
      <w:r w:rsidRPr="00460F9E">
        <w:rPr>
          <w:rFonts w:eastAsia="Times New Roman" w:cs="Times New Roman"/>
          <w:vertAlign w:val="superscript"/>
        </w:rPr>
        <w:t>3</w:t>
      </w:r>
      <w:r w:rsidRPr="00460F9E">
        <w:rPr>
          <w:rFonts w:eastAsia="Times New Roman" w:cs="Times New Roman"/>
          <w:sz w:val="18"/>
        </w:rPr>
        <w:t>' e kadar çıkabilir:</w:t>
      </w:r>
    </w:p>
    <w:p w14:paraId="684B738B" w14:textId="77777777" w:rsidR="00A52778" w:rsidRPr="00460F9E" w:rsidRDefault="00A52778" w:rsidP="00A52778">
      <w:pPr>
        <w:spacing w:line="2" w:lineRule="exact"/>
        <w:rPr>
          <w:rFonts w:eastAsia="Times New Roman" w:cs="Times New Roman"/>
          <w:b/>
        </w:rPr>
      </w:pPr>
    </w:p>
    <w:p w14:paraId="319C872B" w14:textId="77777777" w:rsidR="00A52778" w:rsidRPr="00460F9E" w:rsidRDefault="00A52778" w:rsidP="00BF2B30">
      <w:pPr>
        <w:numPr>
          <w:ilvl w:val="0"/>
          <w:numId w:val="221"/>
        </w:numPr>
        <w:tabs>
          <w:tab w:val="left" w:pos="580"/>
        </w:tabs>
        <w:spacing w:line="0" w:lineRule="atLeast"/>
        <w:ind w:left="580" w:hanging="179"/>
        <w:jc w:val="left"/>
        <w:rPr>
          <w:rFonts w:eastAsia="Times New Roman" w:cs="Times New Roman"/>
          <w:b/>
          <w:sz w:val="18"/>
        </w:rPr>
      </w:pPr>
      <w:r w:rsidRPr="00460F9E">
        <w:rPr>
          <w:rFonts w:eastAsia="Times New Roman" w:cs="Times New Roman"/>
          <w:sz w:val="18"/>
        </w:rPr>
        <w:t>yanma sıcaklığının 1 000°C' den yüksek olması;</w:t>
      </w:r>
    </w:p>
    <w:p w14:paraId="5CFA5722" w14:textId="77777777" w:rsidR="00A52778" w:rsidRPr="00460F9E" w:rsidRDefault="00A52778" w:rsidP="00BF2B30">
      <w:pPr>
        <w:numPr>
          <w:ilvl w:val="0"/>
          <w:numId w:val="221"/>
        </w:numPr>
        <w:tabs>
          <w:tab w:val="left" w:pos="600"/>
        </w:tabs>
        <w:spacing w:line="0" w:lineRule="atLeast"/>
        <w:ind w:left="600" w:hanging="199"/>
        <w:jc w:val="left"/>
        <w:rPr>
          <w:rFonts w:eastAsia="Times New Roman" w:cs="Times New Roman"/>
          <w:b/>
          <w:sz w:val="18"/>
        </w:rPr>
      </w:pPr>
      <w:r w:rsidRPr="00460F9E">
        <w:rPr>
          <w:rFonts w:eastAsia="Times New Roman" w:cs="Times New Roman"/>
          <w:sz w:val="18"/>
        </w:rPr>
        <w:t>oksijenle zenginleştirilmiş hava veya saf oksijen kullanılması.</w:t>
      </w:r>
    </w:p>
    <w:p w14:paraId="0AED9D61" w14:textId="77777777" w:rsidR="00A52778" w:rsidRPr="00460F9E" w:rsidRDefault="00A52778" w:rsidP="00A52778">
      <w:pPr>
        <w:spacing w:line="184" w:lineRule="auto"/>
        <w:ind w:left="120"/>
        <w:rPr>
          <w:rFonts w:eastAsia="Times New Roman" w:cs="Times New Roman"/>
          <w:b/>
          <w:sz w:val="18"/>
        </w:rPr>
      </w:pPr>
      <w:r w:rsidRPr="00460F9E">
        <w:rPr>
          <w:rFonts w:eastAsia="Times New Roman" w:cs="Times New Roman"/>
          <w:b/>
          <w:noProof/>
          <w:sz w:val="3"/>
          <w:lang w:val="tr-TR" w:eastAsia="tr-TR"/>
        </w:rPr>
        <mc:AlternateContent>
          <mc:Choice Requires="wps">
            <w:drawing>
              <wp:anchor distT="0" distB="0" distL="114300" distR="114300" simplePos="0" relativeHeight="251710464" behindDoc="1" locked="0" layoutInCell="1" allowOverlap="1" wp14:anchorId="76EBE9D8" wp14:editId="5376FFEC">
                <wp:simplePos x="0" y="0"/>
                <wp:positionH relativeFrom="column">
                  <wp:posOffset>887</wp:posOffset>
                </wp:positionH>
                <wp:positionV relativeFrom="paragraph">
                  <wp:posOffset>172661</wp:posOffset>
                </wp:positionV>
                <wp:extent cx="0" cy="946268"/>
                <wp:effectExtent l="0" t="0" r="19050" b="25400"/>
                <wp:wrapNone/>
                <wp:docPr id="140" name="Düz Bağlayıcı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2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EA3A9" id="Düz Bağlayıcı 140"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3.6pt" to=".05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" strokeweight=".48pt"/>
            </w:pict>
          </mc:Fallback>
        </mc:AlternateContent>
      </w:r>
      <w:r w:rsidRPr="00460F9E">
        <w:rPr>
          <w:rFonts w:eastAsia="Times New Roman" w:cs="Times New Roman"/>
          <w:sz w:val="18"/>
        </w:rPr>
        <w:t>(</w:t>
      </w:r>
      <w:r w:rsidRPr="00460F9E">
        <w:rPr>
          <w:rFonts w:eastAsia="Times New Roman" w:cs="Times New Roman"/>
          <w:vertAlign w:val="superscript"/>
        </w:rPr>
        <w:t>2</w:t>
      </w:r>
      <w:r w:rsidRPr="00460F9E">
        <w:rPr>
          <w:rFonts w:eastAsia="Times New Roman" w:cs="Times New Roman"/>
          <w:sz w:val="18"/>
        </w:rPr>
        <w:t>)  MET-AEL küçük emisyonlar için geçerli değildir (yani NO</w:t>
      </w:r>
      <w:r w:rsidRPr="00460F9E">
        <w:rPr>
          <w:rFonts w:eastAsia="Times New Roman" w:cs="Times New Roman"/>
          <w:sz w:val="18"/>
          <w:vertAlign w:val="subscript"/>
        </w:rPr>
        <w:t>X</w:t>
      </w:r>
      <w:r w:rsidRPr="00460F9E">
        <w:rPr>
          <w:rFonts w:eastAsia="Times New Roman" w:cs="Times New Roman"/>
          <w:sz w:val="18"/>
        </w:rPr>
        <w:t xml:space="preserve"> kütle akışı örneğin 500 g/saat' in altında olduğunda).</w:t>
      </w:r>
    </w:p>
    <w:p w14:paraId="58BB4689" w14:textId="77777777" w:rsidR="00A52778" w:rsidRPr="00460F9E" w:rsidRDefault="00A52778" w:rsidP="00A52778">
      <w:pPr>
        <w:spacing w:line="182" w:lineRule="auto"/>
        <w:ind w:left="120"/>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3</w:t>
      </w:r>
      <w:r w:rsidRPr="00460F9E">
        <w:rPr>
          <w:rFonts w:eastAsia="Times New Roman" w:cs="Times New Roman"/>
          <w:sz w:val="18"/>
        </w:rPr>
        <w:t>)  MET-AEL aralığının üst ucu daha yüksek olabilir ve doğrudan ısıtma kullanıldığında 200 mg/Nm</w:t>
      </w:r>
      <w:r w:rsidRPr="00460F9E">
        <w:rPr>
          <w:rFonts w:eastAsia="Times New Roman" w:cs="Times New Roman"/>
          <w:vertAlign w:val="superscript"/>
        </w:rPr>
        <w:t>3</w:t>
      </w:r>
      <w:r w:rsidRPr="00460F9E">
        <w:rPr>
          <w:rFonts w:eastAsia="Times New Roman" w:cs="Times New Roman"/>
          <w:sz w:val="18"/>
        </w:rPr>
        <w:t xml:space="preserve"> ' e kadar </w:t>
      </w:r>
    </w:p>
    <w:p w14:paraId="238DEDBB" w14:textId="77777777" w:rsidR="00A52778" w:rsidRPr="00460F9E" w:rsidRDefault="00A52778" w:rsidP="00A52778">
      <w:pPr>
        <w:spacing w:line="182" w:lineRule="auto"/>
        <w:ind w:firstLine="400"/>
        <w:rPr>
          <w:rFonts w:eastAsia="Times New Roman" w:cs="Times New Roman"/>
          <w:b/>
          <w:sz w:val="18"/>
        </w:rPr>
      </w:pPr>
      <w:r w:rsidRPr="00460F9E">
        <w:rPr>
          <w:rFonts w:eastAsia="Times New Roman" w:cs="Times New Roman"/>
          <w:sz w:val="18"/>
        </w:rPr>
        <w:t>çıkabilir.</w:t>
      </w:r>
    </w:p>
    <w:p w14:paraId="16E5F15C" w14:textId="77777777" w:rsidR="00A52778" w:rsidRPr="00460F9E" w:rsidRDefault="00A52778" w:rsidP="00A52778">
      <w:pPr>
        <w:spacing w:line="201" w:lineRule="auto"/>
        <w:ind w:left="400" w:right="746" w:hanging="283"/>
        <w:rPr>
          <w:rFonts w:eastAsia="Times New Roman" w:cs="Times New Roman"/>
          <w:b/>
          <w:sz w:val="18"/>
        </w:rPr>
      </w:pPr>
      <w:r w:rsidRPr="00460F9E">
        <w:rPr>
          <w:rFonts w:eastAsia="Times New Roman" w:cs="Times New Roman"/>
          <w:sz w:val="18"/>
        </w:rPr>
        <w:t>(</w:t>
      </w:r>
      <w:r w:rsidRPr="00460F9E">
        <w:rPr>
          <w:rFonts w:eastAsia="Times New Roman" w:cs="Times New Roman"/>
          <w:vertAlign w:val="superscript"/>
        </w:rPr>
        <w:t>4</w:t>
      </w:r>
      <w:r w:rsidRPr="00460F9E">
        <w:rPr>
          <w:rFonts w:eastAsia="Times New Roman" w:cs="Times New Roman"/>
          <w:sz w:val="18"/>
        </w:rPr>
        <w:t>) Bir gösterge olarak, karbon monoksit için emisyon seviyeleri, günlük ortalama veya örnekleme dönemi boyunca ortalama olarak 4-50 mg/Nm</w:t>
      </w:r>
      <w:r w:rsidRPr="00460F9E">
        <w:rPr>
          <w:rFonts w:eastAsia="Times New Roman" w:cs="Times New Roman"/>
          <w:vertAlign w:val="superscript"/>
        </w:rPr>
        <w:t>3</w:t>
      </w:r>
      <w:r w:rsidRPr="00460F9E">
        <w:rPr>
          <w:rFonts w:eastAsia="Times New Roman" w:cs="Times New Roman"/>
          <w:sz w:val="18"/>
        </w:rPr>
        <w:t>' tür.</w:t>
      </w:r>
    </w:p>
    <w:p w14:paraId="0E690268" w14:textId="77777777" w:rsidR="00A52778" w:rsidRPr="00460F9E" w:rsidRDefault="00A52778" w:rsidP="00A52778">
      <w:pPr>
        <w:spacing w:line="20" w:lineRule="exact"/>
        <w:rPr>
          <w:rFonts w:eastAsia="Times New Roman" w:cs="Times New Roman"/>
          <w:b/>
        </w:rPr>
      </w:pPr>
      <w:r w:rsidRPr="00460F9E">
        <w:rPr>
          <w:rFonts w:eastAsia="Times New Roman" w:cs="Times New Roman"/>
          <w:b/>
          <w:noProof/>
          <w:sz w:val="18"/>
          <w:lang w:val="tr-TR" w:eastAsia="tr-TR"/>
        </w:rPr>
        <mc:AlternateContent>
          <mc:Choice Requires="wps">
            <w:drawing>
              <wp:anchor distT="0" distB="0" distL="114300" distR="114300" simplePos="0" relativeHeight="251704320" behindDoc="1" locked="0" layoutInCell="1" allowOverlap="1" wp14:anchorId="1744F5B3" wp14:editId="4B929C42">
                <wp:simplePos x="0" y="0"/>
                <wp:positionH relativeFrom="column">
                  <wp:posOffset>0</wp:posOffset>
                </wp:positionH>
                <wp:positionV relativeFrom="paragraph">
                  <wp:posOffset>48895</wp:posOffset>
                </wp:positionV>
                <wp:extent cx="5543550" cy="0"/>
                <wp:effectExtent l="9525" t="6985" r="9525" b="12065"/>
                <wp:wrapNone/>
                <wp:docPr id="102" name="Düz Bağlayıcı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F36F6" id="Düz Bağlayıcı 102"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3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" strokeweight=".48pt"/>
            </w:pict>
          </mc:Fallback>
        </mc:AlternateContent>
      </w:r>
    </w:p>
    <w:p w14:paraId="6D8E1B28" w14:textId="77777777" w:rsidR="00A52778" w:rsidRPr="00460F9E" w:rsidRDefault="00A52778" w:rsidP="00A52778">
      <w:pPr>
        <w:spacing w:line="200" w:lineRule="exact"/>
        <w:rPr>
          <w:rFonts w:eastAsia="Times New Roman" w:cs="Times New Roman"/>
          <w:b/>
        </w:rPr>
      </w:pPr>
    </w:p>
    <w:p w14:paraId="7FB4C364" w14:textId="77777777" w:rsidR="00A52778" w:rsidRPr="00460F9E" w:rsidRDefault="00A52778" w:rsidP="00A52778">
      <w:pPr>
        <w:spacing w:line="361" w:lineRule="exact"/>
        <w:rPr>
          <w:rFonts w:eastAsia="Times New Roman" w:cs="Times New Roman"/>
          <w:b/>
        </w:rPr>
      </w:pPr>
    </w:p>
    <w:p w14:paraId="54B8C8E4" w14:textId="77777777" w:rsidR="00A52778" w:rsidRPr="00460F9E" w:rsidRDefault="00A52778" w:rsidP="00A52778">
      <w:pPr>
        <w:spacing w:line="0" w:lineRule="atLeast"/>
        <w:ind w:left="820"/>
        <w:rPr>
          <w:rFonts w:eastAsia="Times New Roman" w:cs="Times New Roman"/>
          <w:b/>
        </w:rPr>
      </w:pPr>
      <w:r w:rsidRPr="00460F9E">
        <w:rPr>
          <w:rFonts w:eastAsia="Times New Roman" w:cs="Times New Roman"/>
        </w:rPr>
        <w:t>İlişkili</w:t>
      </w:r>
      <w:r>
        <w:rPr>
          <w:rFonts w:eastAsia="Times New Roman" w:cs="Times New Roman"/>
        </w:rPr>
        <w:t xml:space="preserve"> izleme MET 8' de verilmiştir. </w:t>
      </w:r>
      <w:r w:rsidRPr="00460F9E">
        <w:rPr>
          <w:rFonts w:eastAsia="Times New Roman" w:cs="Times New Roman"/>
          <w:b/>
          <w:noProof/>
          <w:lang w:val="tr-TR" w:eastAsia="tr-TR"/>
        </w:rPr>
        <w:drawing>
          <wp:anchor distT="0" distB="0" distL="114300" distR="114300" simplePos="0" relativeHeight="251705344" behindDoc="1" locked="0" layoutInCell="1" allowOverlap="1" wp14:anchorId="52816DB6" wp14:editId="4A5AC1DF">
            <wp:simplePos x="0" y="0"/>
            <wp:positionH relativeFrom="column">
              <wp:posOffset>53340</wp:posOffset>
            </wp:positionH>
            <wp:positionV relativeFrom="paragraph">
              <wp:posOffset>6193790</wp:posOffset>
            </wp:positionV>
            <wp:extent cx="5437505" cy="6350"/>
            <wp:effectExtent l="0" t="0" r="0" b="0"/>
            <wp:wrapNone/>
            <wp:docPr id="101" name="Resi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7505" cy="6350"/>
                    </a:xfrm>
                    <a:prstGeom prst="rect">
                      <a:avLst/>
                    </a:prstGeom>
                    <a:noFill/>
                  </pic:spPr>
                </pic:pic>
              </a:graphicData>
            </a:graphic>
            <wp14:sizeRelH relativeFrom="page">
              <wp14:pctWidth>0</wp14:pctWidth>
            </wp14:sizeRelH>
            <wp14:sizeRelV relativeFrom="page">
              <wp14:pctHeight>0</wp14:pctHeight>
            </wp14:sizeRelV>
          </wp:anchor>
        </w:drawing>
      </w:r>
    </w:p>
    <w:p w14:paraId="4FFFAC84" w14:textId="77777777" w:rsidR="00A52778" w:rsidRDefault="00A52778" w:rsidP="00A52778">
      <w:pPr>
        <w:spacing w:line="0" w:lineRule="atLeast"/>
        <w:rPr>
          <w:rFonts w:eastAsia="Times New Roman" w:cs="Times New Roman"/>
          <w:b/>
          <w:color w:val="0000FF"/>
        </w:rPr>
      </w:pPr>
      <w:bookmarkStart w:id="352" w:name="page331"/>
      <w:bookmarkEnd w:id="352"/>
    </w:p>
    <w:p w14:paraId="1E8A2E0E" w14:textId="77777777" w:rsidR="00A52778" w:rsidRDefault="00A52778" w:rsidP="00A52778">
      <w:pPr>
        <w:spacing w:line="0" w:lineRule="atLeast"/>
        <w:rPr>
          <w:rFonts w:eastAsia="Times New Roman" w:cs="Times New Roman"/>
          <w:b/>
          <w:color w:val="0000FF"/>
        </w:rPr>
      </w:pPr>
    </w:p>
    <w:p w14:paraId="36158A5B" w14:textId="77777777" w:rsidR="00A52778" w:rsidRDefault="00A52778" w:rsidP="00A52778">
      <w:pPr>
        <w:spacing w:line="0" w:lineRule="atLeast"/>
        <w:rPr>
          <w:rFonts w:eastAsia="Times New Roman" w:cs="Times New Roman"/>
          <w:b/>
          <w:color w:val="0000FF"/>
        </w:rPr>
      </w:pPr>
    </w:p>
    <w:p w14:paraId="73699288" w14:textId="77777777" w:rsidR="00A52778" w:rsidRDefault="00A52778" w:rsidP="00A52778">
      <w:pPr>
        <w:spacing w:line="0" w:lineRule="atLeast"/>
        <w:rPr>
          <w:rFonts w:eastAsia="Times New Roman" w:cs="Times New Roman"/>
          <w:b/>
          <w:color w:val="0000FF"/>
        </w:rPr>
      </w:pPr>
    </w:p>
    <w:p w14:paraId="34276491" w14:textId="77777777" w:rsidR="00A52778" w:rsidRDefault="00A52778" w:rsidP="00A52778">
      <w:pPr>
        <w:spacing w:line="0" w:lineRule="atLeast"/>
        <w:rPr>
          <w:rFonts w:eastAsia="Times New Roman" w:cs="Times New Roman"/>
          <w:b/>
          <w:color w:val="0000FF"/>
        </w:rPr>
      </w:pPr>
    </w:p>
    <w:p w14:paraId="6649DD93" w14:textId="77777777" w:rsidR="00A52778" w:rsidRDefault="00A52778" w:rsidP="00A52778">
      <w:pPr>
        <w:spacing w:line="0" w:lineRule="atLeast"/>
        <w:rPr>
          <w:rFonts w:eastAsia="Times New Roman" w:cs="Times New Roman"/>
          <w:b/>
          <w:color w:val="0000FF"/>
        </w:rPr>
      </w:pPr>
    </w:p>
    <w:p w14:paraId="3AC63482" w14:textId="77777777" w:rsidR="00A52778" w:rsidRDefault="00A52778" w:rsidP="00A52778">
      <w:pPr>
        <w:spacing w:line="0" w:lineRule="atLeast"/>
        <w:rPr>
          <w:rFonts w:eastAsia="Times New Roman" w:cs="Times New Roman"/>
          <w:b/>
          <w:color w:val="0000FF"/>
        </w:rPr>
      </w:pPr>
    </w:p>
    <w:p w14:paraId="60D92C7A" w14:textId="77777777" w:rsidR="00A52778" w:rsidRDefault="00A52778" w:rsidP="00A52778">
      <w:pPr>
        <w:spacing w:line="0" w:lineRule="atLeast"/>
        <w:rPr>
          <w:rFonts w:eastAsia="Times New Roman" w:cs="Times New Roman"/>
          <w:b/>
          <w:color w:val="0000FF"/>
        </w:rPr>
      </w:pPr>
    </w:p>
    <w:p w14:paraId="068C2894" w14:textId="77777777" w:rsidR="00A52778" w:rsidRDefault="00A52778" w:rsidP="00A52778">
      <w:pPr>
        <w:spacing w:line="0" w:lineRule="atLeast"/>
        <w:rPr>
          <w:rFonts w:eastAsia="Times New Roman" w:cs="Times New Roman"/>
          <w:b/>
          <w:color w:val="0000FF"/>
        </w:rPr>
      </w:pPr>
    </w:p>
    <w:p w14:paraId="49FD6A97" w14:textId="77777777" w:rsidR="00A52778" w:rsidRDefault="00A52778" w:rsidP="00A52778">
      <w:pPr>
        <w:spacing w:line="0" w:lineRule="atLeast"/>
        <w:rPr>
          <w:rFonts w:eastAsia="Times New Roman" w:cs="Times New Roman"/>
          <w:b/>
          <w:color w:val="0000FF"/>
        </w:rPr>
      </w:pPr>
    </w:p>
    <w:p w14:paraId="19EEFEDF" w14:textId="77777777" w:rsidR="00A52778" w:rsidRDefault="00A52778" w:rsidP="00A52778">
      <w:pPr>
        <w:spacing w:line="0" w:lineRule="atLeast"/>
        <w:rPr>
          <w:rFonts w:eastAsia="Times New Roman" w:cs="Times New Roman"/>
          <w:b/>
          <w:color w:val="0000FF"/>
        </w:rPr>
      </w:pPr>
    </w:p>
    <w:p w14:paraId="00B46697" w14:textId="77777777" w:rsidR="00A52778" w:rsidRDefault="00A52778" w:rsidP="00A52778">
      <w:pPr>
        <w:spacing w:line="0" w:lineRule="atLeast"/>
        <w:rPr>
          <w:rFonts w:eastAsia="Times New Roman" w:cs="Times New Roman"/>
          <w:b/>
          <w:color w:val="0000FF"/>
        </w:rPr>
      </w:pPr>
    </w:p>
    <w:p w14:paraId="23D05D77" w14:textId="77777777" w:rsidR="00A52778" w:rsidRPr="00460F9E" w:rsidRDefault="00A52778" w:rsidP="00A52778">
      <w:pPr>
        <w:spacing w:line="0" w:lineRule="atLeast"/>
        <w:rPr>
          <w:rFonts w:eastAsia="Times New Roman" w:cs="Times New Roman"/>
          <w:b/>
          <w:color w:val="0000FF"/>
        </w:rPr>
      </w:pPr>
    </w:p>
    <w:p w14:paraId="0B9E50F6" w14:textId="77777777" w:rsidR="00A52778" w:rsidRPr="00460F9E" w:rsidRDefault="00A52778" w:rsidP="00A52778">
      <w:pPr>
        <w:tabs>
          <w:tab w:val="left" w:pos="1660"/>
        </w:tabs>
        <w:spacing w:line="0" w:lineRule="atLeast"/>
        <w:ind w:left="820"/>
        <w:rPr>
          <w:rFonts w:eastAsia="Arial" w:cs="Times New Roman"/>
          <w:b/>
          <w:sz w:val="28"/>
        </w:rPr>
      </w:pPr>
    </w:p>
    <w:p w14:paraId="5394AB38" w14:textId="77777777" w:rsidR="00A52778" w:rsidRPr="002E52FC" w:rsidRDefault="00A52778" w:rsidP="00A52778">
      <w:pPr>
        <w:tabs>
          <w:tab w:val="left" w:pos="1660"/>
        </w:tabs>
        <w:spacing w:line="0" w:lineRule="atLeast"/>
        <w:ind w:left="820"/>
        <w:rPr>
          <w:rFonts w:eastAsia="Times New Roman" w:cs="Times New Roman"/>
          <w:szCs w:val="24"/>
        </w:rPr>
      </w:pPr>
      <w:r w:rsidRPr="002E52FC">
        <w:rPr>
          <w:rFonts w:eastAsia="Arial" w:cs="Times New Roman"/>
          <w:szCs w:val="24"/>
        </w:rPr>
        <w:t>2.4</w:t>
      </w:r>
      <w:r w:rsidRPr="002E52FC">
        <w:rPr>
          <w:rFonts w:eastAsia="Times New Roman" w:cs="Times New Roman"/>
          <w:szCs w:val="24"/>
        </w:rPr>
        <w:tab/>
      </w:r>
      <w:r w:rsidRPr="002E52FC">
        <w:rPr>
          <w:rFonts w:eastAsia="Arial" w:cs="Times New Roman"/>
          <w:szCs w:val="24"/>
        </w:rPr>
        <w:t>Tekniklerin tanımlanması</w:t>
      </w:r>
    </w:p>
    <w:p w14:paraId="09796E3C" w14:textId="77777777" w:rsidR="00A52778" w:rsidRPr="002E52FC" w:rsidRDefault="00A52778" w:rsidP="00A52778">
      <w:pPr>
        <w:tabs>
          <w:tab w:val="left" w:pos="1940"/>
        </w:tabs>
        <w:spacing w:line="0" w:lineRule="atLeast"/>
        <w:ind w:left="820"/>
        <w:rPr>
          <w:rFonts w:eastAsia="Arial" w:cs="Times New Roman"/>
          <w:szCs w:val="24"/>
        </w:rPr>
      </w:pPr>
      <w:r w:rsidRPr="002E52FC">
        <w:rPr>
          <w:rFonts w:eastAsia="Arial" w:cs="Times New Roman"/>
          <w:szCs w:val="24"/>
        </w:rPr>
        <w:t>2.4.1</w:t>
      </w:r>
      <w:r w:rsidRPr="002E52FC">
        <w:rPr>
          <w:rFonts w:eastAsia="Times New Roman" w:cs="Times New Roman"/>
          <w:szCs w:val="24"/>
        </w:rPr>
        <w:tab/>
      </w:r>
      <w:r w:rsidRPr="002E52FC">
        <w:rPr>
          <w:rFonts w:eastAsia="Arial" w:cs="Times New Roman"/>
          <w:szCs w:val="24"/>
        </w:rPr>
        <w:t>Havaya kanalize edilen emisyonları azaltma teknikleri</w:t>
      </w:r>
    </w:p>
    <w:p w14:paraId="1286985D" w14:textId="77777777" w:rsidR="00A52778" w:rsidRPr="00460F9E" w:rsidRDefault="00A52778" w:rsidP="00A52778">
      <w:pPr>
        <w:tabs>
          <w:tab w:val="left" w:pos="1940"/>
        </w:tabs>
        <w:spacing w:line="0" w:lineRule="atLeast"/>
        <w:ind w:left="820"/>
        <w:rPr>
          <w:rFonts w:eastAsia="Arial" w:cs="Times New Roman"/>
          <w:b/>
        </w:rPr>
      </w:pPr>
    </w:p>
    <w:tbl>
      <w:tblPr>
        <w:tblW w:w="8720" w:type="dxa"/>
        <w:tblInd w:w="750" w:type="dxa"/>
        <w:tblLayout w:type="fixed"/>
        <w:tblCellMar>
          <w:left w:w="0" w:type="dxa"/>
          <w:right w:w="0" w:type="dxa"/>
        </w:tblCellMar>
        <w:tblLook w:val="0000" w:firstRow="0" w:lastRow="0" w:firstColumn="0" w:lastColumn="0" w:noHBand="0" w:noVBand="0"/>
      </w:tblPr>
      <w:tblGrid>
        <w:gridCol w:w="1760"/>
        <w:gridCol w:w="640"/>
        <w:gridCol w:w="6320"/>
      </w:tblGrid>
      <w:tr w:rsidR="00A52778" w:rsidRPr="00460F9E" w14:paraId="62489E6A" w14:textId="77777777" w:rsidTr="00FC3F8E">
        <w:trPr>
          <w:trHeight w:val="239"/>
        </w:trPr>
        <w:tc>
          <w:tcPr>
            <w:tcW w:w="1760" w:type="dxa"/>
            <w:tcBorders>
              <w:top w:val="single" w:sz="8" w:space="0" w:color="auto"/>
              <w:left w:val="single" w:sz="8" w:space="0" w:color="auto"/>
              <w:bottom w:val="single" w:sz="8" w:space="0" w:color="auto"/>
              <w:right w:val="single" w:sz="8" w:space="0" w:color="auto"/>
            </w:tcBorders>
            <w:shd w:val="clear" w:color="auto" w:fill="auto"/>
            <w:vAlign w:val="center"/>
          </w:tcPr>
          <w:p w14:paraId="508FF3D6" w14:textId="77777777" w:rsidR="00A52778" w:rsidRPr="002E52FC" w:rsidRDefault="00A52778" w:rsidP="00FC3F8E">
            <w:pPr>
              <w:spacing w:line="0" w:lineRule="atLeast"/>
              <w:ind w:left="420"/>
              <w:rPr>
                <w:rFonts w:eastAsia="Times New Roman" w:cs="Times New Roman"/>
              </w:rPr>
            </w:pPr>
            <w:r w:rsidRPr="002E52FC">
              <w:rPr>
                <w:rFonts w:eastAsia="Times New Roman" w:cs="Times New Roman"/>
              </w:rPr>
              <w:t>Teknikler</w:t>
            </w:r>
          </w:p>
        </w:tc>
        <w:tc>
          <w:tcPr>
            <w:tcW w:w="640" w:type="dxa"/>
            <w:tcBorders>
              <w:top w:val="single" w:sz="8" w:space="0" w:color="auto"/>
              <w:bottom w:val="single" w:sz="8" w:space="0" w:color="auto"/>
            </w:tcBorders>
            <w:shd w:val="clear" w:color="auto" w:fill="auto"/>
            <w:vAlign w:val="center"/>
          </w:tcPr>
          <w:p w14:paraId="3D8A4098" w14:textId="77777777" w:rsidR="00A52778" w:rsidRPr="002E52FC" w:rsidRDefault="00A52778" w:rsidP="00FC3F8E">
            <w:pPr>
              <w:spacing w:line="0" w:lineRule="atLeast"/>
              <w:rPr>
                <w:rFonts w:eastAsia="Times New Roman" w:cs="Times New Roman"/>
              </w:rPr>
            </w:pPr>
          </w:p>
        </w:tc>
        <w:tc>
          <w:tcPr>
            <w:tcW w:w="6320" w:type="dxa"/>
            <w:tcBorders>
              <w:top w:val="single" w:sz="8" w:space="0" w:color="auto"/>
              <w:bottom w:val="single" w:sz="8" w:space="0" w:color="auto"/>
              <w:right w:val="single" w:sz="8" w:space="0" w:color="auto"/>
            </w:tcBorders>
            <w:shd w:val="clear" w:color="auto" w:fill="auto"/>
            <w:vAlign w:val="center"/>
          </w:tcPr>
          <w:p w14:paraId="7BDCD79D" w14:textId="77777777" w:rsidR="00A52778" w:rsidRPr="002E52FC" w:rsidRDefault="00A52778" w:rsidP="00FC3F8E">
            <w:pPr>
              <w:spacing w:line="0" w:lineRule="atLeast"/>
              <w:ind w:left="2320"/>
              <w:rPr>
                <w:rFonts w:eastAsia="Times New Roman" w:cs="Times New Roman"/>
              </w:rPr>
            </w:pPr>
            <w:r w:rsidRPr="002E52FC">
              <w:rPr>
                <w:rFonts w:eastAsia="Times New Roman" w:cs="Times New Roman"/>
                <w:w w:val="99"/>
              </w:rPr>
              <w:t>Tanımlamalar</w:t>
            </w:r>
          </w:p>
        </w:tc>
      </w:tr>
      <w:tr w:rsidR="00A52778" w:rsidRPr="00460F9E" w14:paraId="6C6B1473" w14:textId="77777777" w:rsidTr="00FC3F8E">
        <w:trPr>
          <w:trHeight w:val="215"/>
        </w:trPr>
        <w:tc>
          <w:tcPr>
            <w:tcW w:w="1760" w:type="dxa"/>
            <w:tcBorders>
              <w:left w:val="single" w:sz="8" w:space="0" w:color="auto"/>
              <w:right w:val="single" w:sz="8" w:space="0" w:color="auto"/>
            </w:tcBorders>
            <w:shd w:val="clear" w:color="auto" w:fill="auto"/>
            <w:vAlign w:val="bottom"/>
          </w:tcPr>
          <w:p w14:paraId="16F2366E" w14:textId="77777777" w:rsidR="00A52778" w:rsidRPr="00460F9E" w:rsidRDefault="00A52778" w:rsidP="00FC3F8E">
            <w:pPr>
              <w:spacing w:line="0" w:lineRule="atLeast"/>
              <w:rPr>
                <w:rFonts w:eastAsia="Times New Roman" w:cs="Times New Roman"/>
                <w:b/>
                <w:sz w:val="18"/>
              </w:rPr>
            </w:pPr>
          </w:p>
        </w:tc>
        <w:tc>
          <w:tcPr>
            <w:tcW w:w="6960" w:type="dxa"/>
            <w:gridSpan w:val="2"/>
            <w:vMerge w:val="restart"/>
            <w:tcBorders>
              <w:right w:val="single" w:sz="8" w:space="0" w:color="auto"/>
            </w:tcBorders>
            <w:shd w:val="clear" w:color="auto" w:fill="auto"/>
            <w:vAlign w:val="bottom"/>
          </w:tcPr>
          <w:p w14:paraId="651EDF58" w14:textId="77777777" w:rsidR="00A52778" w:rsidRPr="00460F9E" w:rsidRDefault="00A52778" w:rsidP="00FC3F8E">
            <w:pPr>
              <w:spacing w:line="228" w:lineRule="exact"/>
              <w:ind w:left="80"/>
              <w:rPr>
                <w:rFonts w:eastAsia="Times New Roman" w:cs="Times New Roman"/>
                <w:b/>
              </w:rPr>
            </w:pPr>
            <w:r w:rsidRPr="00460F9E">
              <w:rPr>
                <w:rFonts w:eastAsia="Times New Roman" w:cs="Times New Roman"/>
              </w:rPr>
              <w:t>Bir proses çıkış gazından veya atık gaz akışından gaz veya partikül halindeki kirleticilerin uygun bir sıvıya, genellikle suya veya sulu bir çözeltiye, kütle transferi yoluyla uzaklaştırılması. Kimyasal bir reaksiyon içerebilir (örneğin bir asit veya alkali yıkayıcıda). Rejeneratif absorpsiyon durumunda, bileşikler sıvıdan geri kazanılabilir.</w:t>
            </w:r>
          </w:p>
        </w:tc>
      </w:tr>
      <w:tr w:rsidR="00A52778" w:rsidRPr="00460F9E" w14:paraId="294B2854" w14:textId="77777777" w:rsidTr="00FC3F8E">
        <w:trPr>
          <w:trHeight w:val="345"/>
        </w:trPr>
        <w:tc>
          <w:tcPr>
            <w:tcW w:w="1760" w:type="dxa"/>
            <w:tcBorders>
              <w:left w:val="single" w:sz="8" w:space="0" w:color="auto"/>
              <w:bottom w:val="nil"/>
              <w:right w:val="single" w:sz="8" w:space="0" w:color="auto"/>
            </w:tcBorders>
            <w:shd w:val="clear" w:color="auto" w:fill="auto"/>
            <w:vAlign w:val="bottom"/>
          </w:tcPr>
          <w:p w14:paraId="62FC65AE"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Absorpsiyon</w:t>
            </w:r>
          </w:p>
        </w:tc>
        <w:tc>
          <w:tcPr>
            <w:tcW w:w="6960" w:type="dxa"/>
            <w:gridSpan w:val="2"/>
            <w:vMerge/>
            <w:tcBorders>
              <w:bottom w:val="nil"/>
              <w:right w:val="single" w:sz="8" w:space="0" w:color="auto"/>
            </w:tcBorders>
            <w:shd w:val="clear" w:color="auto" w:fill="auto"/>
            <w:vAlign w:val="bottom"/>
          </w:tcPr>
          <w:p w14:paraId="07D59F41" w14:textId="77777777" w:rsidR="00A52778" w:rsidRPr="00460F9E" w:rsidRDefault="00A52778" w:rsidP="00FC3F8E">
            <w:pPr>
              <w:spacing w:line="228" w:lineRule="exact"/>
              <w:ind w:left="80"/>
              <w:rPr>
                <w:rFonts w:eastAsia="Times New Roman" w:cs="Times New Roman"/>
                <w:b/>
              </w:rPr>
            </w:pPr>
          </w:p>
        </w:tc>
      </w:tr>
      <w:tr w:rsidR="00A52778" w:rsidRPr="00460F9E" w14:paraId="627F0837" w14:textId="77777777" w:rsidTr="00FC3F8E">
        <w:trPr>
          <w:trHeight w:val="115"/>
        </w:trPr>
        <w:tc>
          <w:tcPr>
            <w:tcW w:w="1760" w:type="dxa"/>
            <w:tcBorders>
              <w:left w:val="single" w:sz="8" w:space="0" w:color="auto"/>
              <w:right w:val="single" w:sz="8" w:space="0" w:color="auto"/>
            </w:tcBorders>
            <w:shd w:val="clear" w:color="auto" w:fill="auto"/>
            <w:vAlign w:val="bottom"/>
          </w:tcPr>
          <w:p w14:paraId="4356DC55" w14:textId="77777777" w:rsidR="00A52778" w:rsidRPr="00460F9E" w:rsidRDefault="00A52778" w:rsidP="00FC3F8E">
            <w:pPr>
              <w:spacing w:line="0" w:lineRule="atLeast"/>
              <w:rPr>
                <w:rFonts w:eastAsia="Times New Roman" w:cs="Times New Roman"/>
                <w:b/>
                <w:sz w:val="10"/>
              </w:rPr>
            </w:pPr>
          </w:p>
        </w:tc>
        <w:tc>
          <w:tcPr>
            <w:tcW w:w="6960" w:type="dxa"/>
            <w:gridSpan w:val="2"/>
            <w:vMerge/>
            <w:tcBorders>
              <w:right w:val="single" w:sz="8" w:space="0" w:color="auto"/>
            </w:tcBorders>
            <w:shd w:val="clear" w:color="auto" w:fill="auto"/>
            <w:vAlign w:val="bottom"/>
          </w:tcPr>
          <w:p w14:paraId="764F7D18" w14:textId="77777777" w:rsidR="00A52778" w:rsidRPr="00460F9E" w:rsidRDefault="00A52778" w:rsidP="00FC3F8E">
            <w:pPr>
              <w:spacing w:line="228" w:lineRule="exact"/>
              <w:ind w:left="80"/>
              <w:rPr>
                <w:rFonts w:eastAsia="Times New Roman" w:cs="Times New Roman"/>
                <w:b/>
                <w:sz w:val="10"/>
              </w:rPr>
            </w:pPr>
          </w:p>
        </w:tc>
      </w:tr>
      <w:tr w:rsidR="00A52778" w:rsidRPr="00460F9E" w14:paraId="24FD6022" w14:textId="77777777" w:rsidTr="00FC3F8E">
        <w:trPr>
          <w:trHeight w:val="231"/>
        </w:trPr>
        <w:tc>
          <w:tcPr>
            <w:tcW w:w="1760" w:type="dxa"/>
            <w:tcBorders>
              <w:left w:val="single" w:sz="8" w:space="0" w:color="auto"/>
              <w:bottom w:val="single" w:sz="8" w:space="0" w:color="auto"/>
              <w:right w:val="single" w:sz="8" w:space="0" w:color="auto"/>
            </w:tcBorders>
            <w:shd w:val="clear" w:color="auto" w:fill="auto"/>
            <w:vAlign w:val="bottom"/>
          </w:tcPr>
          <w:p w14:paraId="3E6B019E" w14:textId="77777777" w:rsidR="00A52778" w:rsidRPr="00460F9E" w:rsidRDefault="00A52778" w:rsidP="00FC3F8E">
            <w:pPr>
              <w:spacing w:line="0" w:lineRule="atLeast"/>
              <w:rPr>
                <w:rFonts w:eastAsia="Times New Roman" w:cs="Times New Roman"/>
                <w:b/>
              </w:rPr>
            </w:pPr>
          </w:p>
        </w:tc>
        <w:tc>
          <w:tcPr>
            <w:tcW w:w="6960" w:type="dxa"/>
            <w:gridSpan w:val="2"/>
            <w:vMerge/>
            <w:tcBorders>
              <w:bottom w:val="single" w:sz="8" w:space="0" w:color="auto"/>
              <w:right w:val="single" w:sz="8" w:space="0" w:color="auto"/>
            </w:tcBorders>
            <w:shd w:val="clear" w:color="auto" w:fill="auto"/>
            <w:vAlign w:val="bottom"/>
          </w:tcPr>
          <w:p w14:paraId="2A29E9DC" w14:textId="77777777" w:rsidR="00A52778" w:rsidRPr="00460F9E" w:rsidRDefault="00A52778" w:rsidP="00FC3F8E">
            <w:pPr>
              <w:spacing w:line="228" w:lineRule="exact"/>
              <w:ind w:left="80"/>
              <w:rPr>
                <w:rFonts w:eastAsia="Times New Roman" w:cs="Times New Roman"/>
                <w:b/>
              </w:rPr>
            </w:pPr>
          </w:p>
        </w:tc>
      </w:tr>
      <w:tr w:rsidR="00A52778" w:rsidRPr="00460F9E" w14:paraId="369B482D" w14:textId="77777777" w:rsidTr="00FC3F8E">
        <w:trPr>
          <w:trHeight w:val="217"/>
        </w:trPr>
        <w:tc>
          <w:tcPr>
            <w:tcW w:w="1760" w:type="dxa"/>
            <w:tcBorders>
              <w:left w:val="single" w:sz="8" w:space="0" w:color="auto"/>
              <w:right w:val="single" w:sz="8" w:space="0" w:color="auto"/>
            </w:tcBorders>
            <w:shd w:val="clear" w:color="auto" w:fill="auto"/>
            <w:vAlign w:val="bottom"/>
          </w:tcPr>
          <w:p w14:paraId="275DCF92" w14:textId="77777777" w:rsidR="00A52778" w:rsidRPr="00460F9E" w:rsidRDefault="00A52778" w:rsidP="00FC3F8E">
            <w:pPr>
              <w:spacing w:line="0" w:lineRule="atLeast"/>
              <w:rPr>
                <w:rFonts w:eastAsia="Times New Roman" w:cs="Times New Roman"/>
                <w:b/>
                <w:sz w:val="18"/>
              </w:rPr>
            </w:pPr>
          </w:p>
        </w:tc>
        <w:tc>
          <w:tcPr>
            <w:tcW w:w="6960" w:type="dxa"/>
            <w:gridSpan w:val="2"/>
            <w:vMerge w:val="restart"/>
            <w:tcBorders>
              <w:right w:val="single" w:sz="8" w:space="0" w:color="auto"/>
            </w:tcBorders>
            <w:shd w:val="clear" w:color="auto" w:fill="auto"/>
            <w:vAlign w:val="bottom"/>
          </w:tcPr>
          <w:p w14:paraId="54F0D800"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Katı bir yüzey üzerinde tutma yoluyla kirleticilerin bir proses çıkış gazından veya atık gaz akışından uzaklaştırılması (adsorban mahiyetinde tipik olarak aktif karbon kullanılır). Adsorpsiyon rejeneratif veya rejeneratif olmayan şekilde olabilir.</w:t>
            </w:r>
          </w:p>
        </w:tc>
      </w:tr>
      <w:tr w:rsidR="00A52778" w:rsidRPr="00460F9E" w14:paraId="1DE662A5" w14:textId="77777777" w:rsidTr="00FC3F8E">
        <w:trPr>
          <w:trHeight w:val="230"/>
        </w:trPr>
        <w:tc>
          <w:tcPr>
            <w:tcW w:w="1760" w:type="dxa"/>
            <w:tcBorders>
              <w:left w:val="single" w:sz="8" w:space="0" w:color="auto"/>
              <w:right w:val="single" w:sz="8" w:space="0" w:color="auto"/>
            </w:tcBorders>
            <w:shd w:val="clear" w:color="auto" w:fill="auto"/>
            <w:vAlign w:val="bottom"/>
          </w:tcPr>
          <w:p w14:paraId="7E2CA775" w14:textId="77777777" w:rsidR="00A52778" w:rsidRPr="00460F9E" w:rsidRDefault="00A52778" w:rsidP="00FC3F8E">
            <w:pPr>
              <w:spacing w:line="0" w:lineRule="atLeast"/>
              <w:rPr>
                <w:rFonts w:eastAsia="Times New Roman" w:cs="Times New Roman"/>
                <w:b/>
              </w:rPr>
            </w:pPr>
          </w:p>
        </w:tc>
        <w:tc>
          <w:tcPr>
            <w:tcW w:w="6960" w:type="dxa"/>
            <w:gridSpan w:val="2"/>
            <w:vMerge/>
            <w:tcBorders>
              <w:right w:val="single" w:sz="8" w:space="0" w:color="auto"/>
            </w:tcBorders>
            <w:shd w:val="clear" w:color="auto" w:fill="auto"/>
            <w:vAlign w:val="bottom"/>
          </w:tcPr>
          <w:p w14:paraId="12212DCA" w14:textId="77777777" w:rsidR="00A52778" w:rsidRPr="00460F9E" w:rsidRDefault="00A52778" w:rsidP="00FC3F8E">
            <w:pPr>
              <w:spacing w:line="0" w:lineRule="atLeast"/>
              <w:ind w:left="80"/>
              <w:rPr>
                <w:rFonts w:eastAsia="Times New Roman" w:cs="Times New Roman"/>
                <w:b/>
              </w:rPr>
            </w:pPr>
          </w:p>
        </w:tc>
      </w:tr>
      <w:tr w:rsidR="00A52778" w:rsidRPr="00460F9E" w14:paraId="06BAE252" w14:textId="77777777" w:rsidTr="00FC3F8E">
        <w:trPr>
          <w:trHeight w:val="230"/>
        </w:trPr>
        <w:tc>
          <w:tcPr>
            <w:tcW w:w="1760" w:type="dxa"/>
            <w:tcBorders>
              <w:left w:val="single" w:sz="8" w:space="0" w:color="auto"/>
              <w:right w:val="single" w:sz="8" w:space="0" w:color="auto"/>
            </w:tcBorders>
            <w:shd w:val="clear" w:color="auto" w:fill="auto"/>
            <w:vAlign w:val="bottom"/>
          </w:tcPr>
          <w:p w14:paraId="2A6319A0" w14:textId="77777777" w:rsidR="00A52778" w:rsidRPr="00460F9E" w:rsidRDefault="00A52778" w:rsidP="00FC3F8E">
            <w:pPr>
              <w:spacing w:line="0" w:lineRule="atLeast"/>
              <w:rPr>
                <w:rFonts w:eastAsia="Times New Roman" w:cs="Times New Roman"/>
                <w:b/>
              </w:rPr>
            </w:pPr>
          </w:p>
        </w:tc>
        <w:tc>
          <w:tcPr>
            <w:tcW w:w="6960" w:type="dxa"/>
            <w:gridSpan w:val="2"/>
            <w:vMerge/>
            <w:tcBorders>
              <w:right w:val="single" w:sz="8" w:space="0" w:color="auto"/>
            </w:tcBorders>
            <w:shd w:val="clear" w:color="auto" w:fill="auto"/>
            <w:vAlign w:val="bottom"/>
          </w:tcPr>
          <w:p w14:paraId="36DAE61E" w14:textId="77777777" w:rsidR="00A52778" w:rsidRPr="00460F9E" w:rsidRDefault="00A52778" w:rsidP="00FC3F8E">
            <w:pPr>
              <w:spacing w:line="0" w:lineRule="atLeast"/>
              <w:ind w:left="80"/>
              <w:rPr>
                <w:rFonts w:eastAsia="Times New Roman" w:cs="Times New Roman"/>
                <w:b/>
              </w:rPr>
            </w:pPr>
          </w:p>
        </w:tc>
      </w:tr>
      <w:tr w:rsidR="00A52778" w:rsidRPr="00460F9E" w14:paraId="38CF173B" w14:textId="77777777" w:rsidTr="00FC3F8E">
        <w:trPr>
          <w:trHeight w:val="230"/>
        </w:trPr>
        <w:tc>
          <w:tcPr>
            <w:tcW w:w="1760" w:type="dxa"/>
            <w:tcBorders>
              <w:left w:val="single" w:sz="8" w:space="0" w:color="auto"/>
              <w:right w:val="single" w:sz="8" w:space="0" w:color="auto"/>
            </w:tcBorders>
            <w:shd w:val="clear" w:color="auto" w:fill="auto"/>
            <w:vAlign w:val="bottom"/>
          </w:tcPr>
          <w:p w14:paraId="4A8919F6" w14:textId="77777777" w:rsidR="00A52778" w:rsidRPr="00460F9E" w:rsidRDefault="00A52778" w:rsidP="00FC3F8E">
            <w:pPr>
              <w:spacing w:line="0" w:lineRule="atLeast"/>
              <w:rPr>
                <w:rFonts w:eastAsia="Times New Roman" w:cs="Times New Roman"/>
                <w:b/>
              </w:rPr>
            </w:pPr>
          </w:p>
        </w:tc>
        <w:tc>
          <w:tcPr>
            <w:tcW w:w="6960" w:type="dxa"/>
            <w:gridSpan w:val="2"/>
            <w:vMerge w:val="restart"/>
            <w:tcBorders>
              <w:right w:val="single" w:sz="8" w:space="0" w:color="auto"/>
            </w:tcBorders>
            <w:shd w:val="clear" w:color="auto" w:fill="auto"/>
            <w:vAlign w:val="bottom"/>
          </w:tcPr>
          <w:p w14:paraId="08B5D8B9"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Rejeneratif olmayan adsorpsiyonda, kullanılmış adsorban rejenere edilmez, bertaraf </w:t>
            </w:r>
          </w:p>
          <w:p w14:paraId="4347E954"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edilir.</w:t>
            </w:r>
          </w:p>
        </w:tc>
      </w:tr>
      <w:tr w:rsidR="00A52778" w:rsidRPr="00460F9E" w14:paraId="6B5C9398" w14:textId="77777777" w:rsidTr="00FC3F8E">
        <w:trPr>
          <w:trHeight w:val="230"/>
        </w:trPr>
        <w:tc>
          <w:tcPr>
            <w:tcW w:w="1760" w:type="dxa"/>
            <w:tcBorders>
              <w:left w:val="single" w:sz="8" w:space="0" w:color="auto"/>
              <w:right w:val="single" w:sz="8" w:space="0" w:color="auto"/>
            </w:tcBorders>
            <w:shd w:val="clear" w:color="auto" w:fill="auto"/>
            <w:vAlign w:val="bottom"/>
          </w:tcPr>
          <w:p w14:paraId="7BBAF27E"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Adsorpsiyon</w:t>
            </w:r>
          </w:p>
        </w:tc>
        <w:tc>
          <w:tcPr>
            <w:tcW w:w="6960" w:type="dxa"/>
            <w:gridSpan w:val="2"/>
            <w:vMerge/>
            <w:tcBorders>
              <w:right w:val="single" w:sz="8" w:space="0" w:color="auto"/>
            </w:tcBorders>
            <w:shd w:val="clear" w:color="auto" w:fill="auto"/>
            <w:vAlign w:val="bottom"/>
          </w:tcPr>
          <w:p w14:paraId="4DF5D797" w14:textId="77777777" w:rsidR="00A52778" w:rsidRPr="00460F9E" w:rsidRDefault="00A52778" w:rsidP="00FC3F8E">
            <w:pPr>
              <w:spacing w:line="0" w:lineRule="atLeast"/>
              <w:rPr>
                <w:rFonts w:eastAsia="Times New Roman" w:cs="Times New Roman"/>
                <w:b/>
              </w:rPr>
            </w:pPr>
          </w:p>
        </w:tc>
      </w:tr>
      <w:tr w:rsidR="00A52778" w:rsidRPr="00460F9E" w14:paraId="21523225" w14:textId="77777777" w:rsidTr="00FC3F8E">
        <w:trPr>
          <w:trHeight w:val="228"/>
        </w:trPr>
        <w:tc>
          <w:tcPr>
            <w:tcW w:w="1760" w:type="dxa"/>
            <w:tcBorders>
              <w:left w:val="single" w:sz="8" w:space="0" w:color="auto"/>
              <w:right w:val="single" w:sz="8" w:space="0" w:color="auto"/>
            </w:tcBorders>
            <w:shd w:val="clear" w:color="auto" w:fill="auto"/>
            <w:vAlign w:val="bottom"/>
          </w:tcPr>
          <w:p w14:paraId="599722F5" w14:textId="77777777" w:rsidR="00A52778" w:rsidRPr="00460F9E" w:rsidRDefault="00A52778" w:rsidP="00FC3F8E">
            <w:pPr>
              <w:spacing w:line="0" w:lineRule="atLeast"/>
              <w:rPr>
                <w:rFonts w:eastAsia="Times New Roman" w:cs="Times New Roman"/>
                <w:b/>
                <w:sz w:val="19"/>
              </w:rPr>
            </w:pPr>
          </w:p>
        </w:tc>
        <w:tc>
          <w:tcPr>
            <w:tcW w:w="6960" w:type="dxa"/>
            <w:gridSpan w:val="2"/>
            <w:vMerge w:val="restart"/>
            <w:tcBorders>
              <w:right w:val="single" w:sz="8" w:space="0" w:color="auto"/>
            </w:tcBorders>
            <w:shd w:val="clear" w:color="auto" w:fill="auto"/>
            <w:vAlign w:val="bottom"/>
          </w:tcPr>
          <w:p w14:paraId="1624EAD9"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Rejeneratif adsorpsiyon durumunda, adsorbat daha sonra yeniden kullanım veya bertaraf için örneğin buharla (genellikle sahada) ayrıştırılır ve adsorban yeniden kullanılır. Sürekli çalışma için, tipik olarak biri ayrıştırma modunda olmak üzere ikiden fazla adsorber paralel şekilde çalıştırılır.</w:t>
            </w:r>
          </w:p>
        </w:tc>
      </w:tr>
      <w:tr w:rsidR="00A52778" w:rsidRPr="00460F9E" w14:paraId="15F4F10B" w14:textId="77777777" w:rsidTr="00FC3F8E">
        <w:trPr>
          <w:trHeight w:val="230"/>
        </w:trPr>
        <w:tc>
          <w:tcPr>
            <w:tcW w:w="1760" w:type="dxa"/>
            <w:tcBorders>
              <w:left w:val="single" w:sz="8" w:space="0" w:color="auto"/>
              <w:right w:val="single" w:sz="8" w:space="0" w:color="auto"/>
            </w:tcBorders>
            <w:shd w:val="clear" w:color="auto" w:fill="auto"/>
            <w:vAlign w:val="bottom"/>
          </w:tcPr>
          <w:p w14:paraId="695A6877" w14:textId="77777777" w:rsidR="00A52778" w:rsidRPr="00460F9E" w:rsidRDefault="00A52778" w:rsidP="00FC3F8E">
            <w:pPr>
              <w:spacing w:line="0" w:lineRule="atLeast"/>
              <w:rPr>
                <w:rFonts w:eastAsia="Times New Roman" w:cs="Times New Roman"/>
                <w:b/>
              </w:rPr>
            </w:pPr>
          </w:p>
        </w:tc>
        <w:tc>
          <w:tcPr>
            <w:tcW w:w="6960" w:type="dxa"/>
            <w:gridSpan w:val="2"/>
            <w:vMerge/>
            <w:tcBorders>
              <w:right w:val="single" w:sz="8" w:space="0" w:color="auto"/>
            </w:tcBorders>
            <w:shd w:val="clear" w:color="auto" w:fill="auto"/>
            <w:vAlign w:val="bottom"/>
          </w:tcPr>
          <w:p w14:paraId="4C6691D2" w14:textId="77777777" w:rsidR="00A52778" w:rsidRPr="00460F9E" w:rsidRDefault="00A52778" w:rsidP="00FC3F8E">
            <w:pPr>
              <w:spacing w:line="0" w:lineRule="atLeast"/>
              <w:ind w:left="80"/>
              <w:rPr>
                <w:rFonts w:eastAsia="Times New Roman" w:cs="Times New Roman"/>
                <w:b/>
              </w:rPr>
            </w:pPr>
          </w:p>
        </w:tc>
      </w:tr>
      <w:tr w:rsidR="00A52778" w:rsidRPr="00460F9E" w14:paraId="13701934" w14:textId="77777777" w:rsidTr="00FC3F8E">
        <w:trPr>
          <w:trHeight w:val="231"/>
        </w:trPr>
        <w:tc>
          <w:tcPr>
            <w:tcW w:w="1760" w:type="dxa"/>
            <w:tcBorders>
              <w:left w:val="single" w:sz="8" w:space="0" w:color="auto"/>
              <w:right w:val="single" w:sz="8" w:space="0" w:color="auto"/>
            </w:tcBorders>
            <w:shd w:val="clear" w:color="auto" w:fill="auto"/>
            <w:vAlign w:val="bottom"/>
          </w:tcPr>
          <w:p w14:paraId="70CFFEF9" w14:textId="77777777" w:rsidR="00A52778" w:rsidRPr="00460F9E" w:rsidRDefault="00A52778" w:rsidP="00FC3F8E">
            <w:pPr>
              <w:spacing w:line="0" w:lineRule="atLeast"/>
              <w:rPr>
                <w:rFonts w:eastAsia="Times New Roman" w:cs="Times New Roman"/>
                <w:b/>
              </w:rPr>
            </w:pPr>
          </w:p>
        </w:tc>
        <w:tc>
          <w:tcPr>
            <w:tcW w:w="6960" w:type="dxa"/>
            <w:gridSpan w:val="2"/>
            <w:vMerge/>
            <w:tcBorders>
              <w:right w:val="single" w:sz="8" w:space="0" w:color="auto"/>
            </w:tcBorders>
            <w:shd w:val="clear" w:color="auto" w:fill="auto"/>
            <w:vAlign w:val="bottom"/>
          </w:tcPr>
          <w:p w14:paraId="76757756" w14:textId="77777777" w:rsidR="00A52778" w:rsidRPr="00460F9E" w:rsidRDefault="00A52778" w:rsidP="00FC3F8E">
            <w:pPr>
              <w:spacing w:line="0" w:lineRule="atLeast"/>
              <w:ind w:left="80"/>
              <w:rPr>
                <w:rFonts w:eastAsia="Times New Roman" w:cs="Times New Roman"/>
                <w:b/>
              </w:rPr>
            </w:pPr>
          </w:p>
        </w:tc>
      </w:tr>
      <w:tr w:rsidR="00A52778" w:rsidRPr="00460F9E" w14:paraId="46855F86" w14:textId="77777777" w:rsidTr="00FC3F8E">
        <w:trPr>
          <w:trHeight w:val="233"/>
        </w:trPr>
        <w:tc>
          <w:tcPr>
            <w:tcW w:w="1760" w:type="dxa"/>
            <w:tcBorders>
              <w:left w:val="single" w:sz="8" w:space="0" w:color="auto"/>
              <w:bottom w:val="single" w:sz="8" w:space="0" w:color="auto"/>
              <w:right w:val="single" w:sz="8" w:space="0" w:color="auto"/>
            </w:tcBorders>
            <w:shd w:val="clear" w:color="auto" w:fill="auto"/>
            <w:vAlign w:val="bottom"/>
          </w:tcPr>
          <w:p w14:paraId="4E839637" w14:textId="77777777" w:rsidR="00A52778" w:rsidRPr="00460F9E" w:rsidRDefault="00A52778" w:rsidP="00FC3F8E">
            <w:pPr>
              <w:spacing w:line="0" w:lineRule="atLeast"/>
              <w:rPr>
                <w:rFonts w:eastAsia="Times New Roman" w:cs="Times New Roman"/>
                <w:b/>
              </w:rPr>
            </w:pPr>
          </w:p>
        </w:tc>
        <w:tc>
          <w:tcPr>
            <w:tcW w:w="6960" w:type="dxa"/>
            <w:gridSpan w:val="2"/>
            <w:vMerge/>
            <w:tcBorders>
              <w:bottom w:val="single" w:sz="8" w:space="0" w:color="auto"/>
              <w:right w:val="single" w:sz="8" w:space="0" w:color="auto"/>
            </w:tcBorders>
            <w:shd w:val="clear" w:color="auto" w:fill="auto"/>
            <w:vAlign w:val="bottom"/>
          </w:tcPr>
          <w:p w14:paraId="292689E8" w14:textId="77777777" w:rsidR="00A52778" w:rsidRPr="00460F9E" w:rsidRDefault="00A52778" w:rsidP="00FC3F8E">
            <w:pPr>
              <w:spacing w:line="0" w:lineRule="atLeast"/>
              <w:ind w:left="80"/>
              <w:rPr>
                <w:rFonts w:eastAsia="Times New Roman" w:cs="Times New Roman"/>
                <w:b/>
              </w:rPr>
            </w:pPr>
          </w:p>
        </w:tc>
      </w:tr>
      <w:tr w:rsidR="00A52778" w:rsidRPr="00460F9E" w14:paraId="74765978" w14:textId="77777777" w:rsidTr="00FC3F8E">
        <w:trPr>
          <w:trHeight w:val="277"/>
        </w:trPr>
        <w:tc>
          <w:tcPr>
            <w:tcW w:w="1760" w:type="dxa"/>
            <w:tcBorders>
              <w:left w:val="single" w:sz="8" w:space="0" w:color="auto"/>
              <w:right w:val="single" w:sz="8" w:space="0" w:color="auto"/>
            </w:tcBorders>
            <w:shd w:val="clear" w:color="auto" w:fill="auto"/>
            <w:vAlign w:val="bottom"/>
          </w:tcPr>
          <w:p w14:paraId="05AE7425" w14:textId="77777777" w:rsidR="00A52778" w:rsidRPr="00460F9E" w:rsidRDefault="00A52778" w:rsidP="00FC3F8E">
            <w:pPr>
              <w:spacing w:line="0" w:lineRule="atLeast"/>
              <w:rPr>
                <w:rFonts w:eastAsia="Times New Roman" w:cs="Times New Roman"/>
                <w:b/>
              </w:rPr>
            </w:pPr>
          </w:p>
        </w:tc>
        <w:tc>
          <w:tcPr>
            <w:tcW w:w="6960" w:type="dxa"/>
            <w:gridSpan w:val="2"/>
            <w:tcBorders>
              <w:right w:val="single" w:sz="8" w:space="0" w:color="auto"/>
            </w:tcBorders>
            <w:shd w:val="clear" w:color="auto" w:fill="auto"/>
            <w:vAlign w:val="bottom"/>
          </w:tcPr>
          <w:p w14:paraId="10AA6877"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Biyoprosesler şu aşağıdakileri içerirler:</w:t>
            </w:r>
          </w:p>
        </w:tc>
      </w:tr>
      <w:tr w:rsidR="00A52778" w:rsidRPr="00460F9E" w14:paraId="41EF15C1" w14:textId="77777777" w:rsidTr="00FC3F8E">
        <w:trPr>
          <w:trHeight w:val="305"/>
        </w:trPr>
        <w:tc>
          <w:tcPr>
            <w:tcW w:w="1760" w:type="dxa"/>
            <w:tcBorders>
              <w:left w:val="single" w:sz="8" w:space="0" w:color="auto"/>
              <w:right w:val="single" w:sz="8" w:space="0" w:color="auto"/>
            </w:tcBorders>
            <w:shd w:val="clear" w:color="auto" w:fill="auto"/>
            <w:vAlign w:val="bottom"/>
          </w:tcPr>
          <w:p w14:paraId="7B53524B" w14:textId="77777777" w:rsidR="00A52778" w:rsidRPr="00460F9E" w:rsidRDefault="00A52778" w:rsidP="00FC3F8E">
            <w:pPr>
              <w:spacing w:line="0" w:lineRule="atLeast"/>
              <w:rPr>
                <w:rFonts w:eastAsia="Times New Roman" w:cs="Times New Roman"/>
                <w:b/>
              </w:rPr>
            </w:pPr>
          </w:p>
        </w:tc>
        <w:tc>
          <w:tcPr>
            <w:tcW w:w="640" w:type="dxa"/>
            <w:shd w:val="clear" w:color="auto" w:fill="auto"/>
            <w:vAlign w:val="bottom"/>
          </w:tcPr>
          <w:p w14:paraId="4688F145" w14:textId="77777777" w:rsidR="00A52778" w:rsidRPr="00460F9E" w:rsidRDefault="00A52778" w:rsidP="00FC3F8E">
            <w:pPr>
              <w:spacing w:line="0" w:lineRule="atLeast"/>
              <w:rPr>
                <w:rFonts w:eastAsia="Times New Roman" w:cs="Times New Roman"/>
                <w:b/>
              </w:rPr>
            </w:pPr>
          </w:p>
        </w:tc>
        <w:tc>
          <w:tcPr>
            <w:tcW w:w="6320" w:type="dxa"/>
            <w:vMerge w:val="restart"/>
            <w:tcBorders>
              <w:right w:val="single" w:sz="8" w:space="0" w:color="auto"/>
            </w:tcBorders>
            <w:shd w:val="clear" w:color="auto" w:fill="auto"/>
            <w:vAlign w:val="center"/>
          </w:tcPr>
          <w:p w14:paraId="0E9CBECF" w14:textId="77777777" w:rsidR="00A52778" w:rsidRPr="00460F9E" w:rsidRDefault="00A52778" w:rsidP="00FC3F8E">
            <w:pPr>
              <w:spacing w:line="0" w:lineRule="atLeast"/>
              <w:ind w:left="20"/>
              <w:rPr>
                <w:rFonts w:eastAsia="Times New Roman" w:cs="Times New Roman"/>
                <w:b/>
              </w:rPr>
            </w:pPr>
            <w:r w:rsidRPr="00460F9E">
              <w:rPr>
                <w:rFonts w:eastAsia="Times New Roman" w:cs="Times New Roman"/>
              </w:rPr>
              <w:t xml:space="preserve">- Biyofiltrasyon:  Atık gaz akışı, doğal olarak oluşan mikroorganizmalar  </w:t>
            </w:r>
          </w:p>
          <w:p w14:paraId="2E50BD67" w14:textId="77777777" w:rsidR="00A52778" w:rsidRPr="00460F9E" w:rsidRDefault="00A52778" w:rsidP="00FC3F8E">
            <w:pPr>
              <w:spacing w:line="0" w:lineRule="atLeast"/>
              <w:ind w:left="20"/>
              <w:rPr>
                <w:rFonts w:eastAsia="Times New Roman" w:cs="Times New Roman"/>
                <w:b/>
              </w:rPr>
            </w:pPr>
            <w:r w:rsidRPr="00460F9E">
              <w:rPr>
                <w:rFonts w:eastAsia="Times New Roman" w:cs="Times New Roman"/>
              </w:rPr>
              <w:t xml:space="preserve">  tarafından biyolojik olarak oksitlenerek karbondioksit, su, inorganik tuzlar </w:t>
            </w:r>
          </w:p>
          <w:p w14:paraId="6A7EE6B7" w14:textId="77777777" w:rsidR="00A52778" w:rsidRPr="00460F9E" w:rsidRDefault="00A52778" w:rsidP="00FC3F8E">
            <w:pPr>
              <w:spacing w:line="0" w:lineRule="atLeast"/>
              <w:ind w:left="20"/>
              <w:rPr>
                <w:rFonts w:eastAsia="Times New Roman" w:cs="Times New Roman"/>
                <w:b/>
              </w:rPr>
            </w:pPr>
            <w:r w:rsidRPr="00460F9E">
              <w:rPr>
                <w:rFonts w:eastAsia="Times New Roman" w:cs="Times New Roman"/>
              </w:rPr>
              <w:t xml:space="preserve">  ve biyokütleye dönüştürüldüğü organik malzeme (turba, funda, kompost, </w:t>
            </w:r>
          </w:p>
          <w:p w14:paraId="2165F391" w14:textId="77777777" w:rsidR="00A52778" w:rsidRPr="00460F9E" w:rsidRDefault="00A52778" w:rsidP="00FC3F8E">
            <w:pPr>
              <w:tabs>
                <w:tab w:val="left" w:pos="116"/>
              </w:tabs>
              <w:spacing w:line="0" w:lineRule="atLeast"/>
              <w:ind w:left="20"/>
              <w:rPr>
                <w:rFonts w:eastAsia="Times New Roman" w:cs="Times New Roman"/>
                <w:b/>
              </w:rPr>
            </w:pPr>
            <w:r w:rsidRPr="00460F9E">
              <w:rPr>
                <w:rFonts w:eastAsia="Times New Roman" w:cs="Times New Roman"/>
              </w:rPr>
              <w:t xml:space="preserve">  kök odun, ağaç kabuğu, yumuşak odun ve farklı türde kombinasyonlar gibi) </w:t>
            </w:r>
          </w:p>
          <w:p w14:paraId="5F3DC988" w14:textId="77777777" w:rsidR="00A52778" w:rsidRPr="00460F9E" w:rsidRDefault="00A52778" w:rsidP="00FC3F8E">
            <w:pPr>
              <w:spacing w:line="0" w:lineRule="atLeast"/>
              <w:ind w:left="20"/>
              <w:rPr>
                <w:rFonts w:eastAsia="Times New Roman" w:cs="Times New Roman"/>
                <w:b/>
              </w:rPr>
            </w:pPr>
            <w:r w:rsidRPr="00460F9E">
              <w:rPr>
                <w:rFonts w:eastAsia="Times New Roman" w:cs="Times New Roman"/>
              </w:rPr>
              <w:t xml:space="preserve">  veya bazı inert malzemelerden (kil, aktif karbon ve poliüretan gibi) oluşan </w:t>
            </w:r>
          </w:p>
          <w:p w14:paraId="606947A9" w14:textId="77777777" w:rsidR="00A52778" w:rsidRPr="00460F9E" w:rsidRDefault="00A52778" w:rsidP="00FC3F8E">
            <w:pPr>
              <w:spacing w:line="0" w:lineRule="atLeast"/>
              <w:ind w:left="20"/>
              <w:rPr>
                <w:rFonts w:eastAsia="Times New Roman" w:cs="Times New Roman"/>
                <w:b/>
              </w:rPr>
            </w:pPr>
            <w:r w:rsidRPr="00460F9E">
              <w:rPr>
                <w:rFonts w:eastAsia="Times New Roman" w:cs="Times New Roman"/>
              </w:rPr>
              <w:t xml:space="preserve">  bir yataktan geçirilir.</w:t>
            </w:r>
          </w:p>
        </w:tc>
      </w:tr>
      <w:tr w:rsidR="00A52778" w:rsidRPr="00460F9E" w14:paraId="13589312" w14:textId="77777777" w:rsidTr="00FC3F8E">
        <w:trPr>
          <w:trHeight w:val="230"/>
        </w:trPr>
        <w:tc>
          <w:tcPr>
            <w:tcW w:w="1760" w:type="dxa"/>
            <w:tcBorders>
              <w:left w:val="single" w:sz="8" w:space="0" w:color="auto"/>
              <w:right w:val="single" w:sz="8" w:space="0" w:color="auto"/>
            </w:tcBorders>
            <w:shd w:val="clear" w:color="auto" w:fill="auto"/>
            <w:vAlign w:val="bottom"/>
          </w:tcPr>
          <w:p w14:paraId="0C227485" w14:textId="77777777" w:rsidR="00A52778" w:rsidRPr="00460F9E" w:rsidRDefault="00A52778" w:rsidP="00FC3F8E">
            <w:pPr>
              <w:spacing w:line="0" w:lineRule="atLeast"/>
              <w:rPr>
                <w:rFonts w:eastAsia="Times New Roman" w:cs="Times New Roman"/>
                <w:b/>
              </w:rPr>
            </w:pPr>
          </w:p>
        </w:tc>
        <w:tc>
          <w:tcPr>
            <w:tcW w:w="640" w:type="dxa"/>
            <w:shd w:val="clear" w:color="auto" w:fill="auto"/>
            <w:vAlign w:val="bottom"/>
          </w:tcPr>
          <w:p w14:paraId="20DCB8E8" w14:textId="77777777" w:rsidR="00A52778" w:rsidRPr="00460F9E" w:rsidRDefault="00A52778" w:rsidP="00FC3F8E">
            <w:pPr>
              <w:spacing w:line="0" w:lineRule="atLeast"/>
              <w:rPr>
                <w:rFonts w:eastAsia="Times New Roman" w:cs="Times New Roman"/>
                <w:b/>
              </w:rPr>
            </w:pPr>
          </w:p>
        </w:tc>
        <w:tc>
          <w:tcPr>
            <w:tcW w:w="6320" w:type="dxa"/>
            <w:vMerge/>
            <w:tcBorders>
              <w:right w:val="single" w:sz="8" w:space="0" w:color="auto"/>
            </w:tcBorders>
            <w:shd w:val="clear" w:color="auto" w:fill="auto"/>
            <w:vAlign w:val="center"/>
          </w:tcPr>
          <w:p w14:paraId="4EAE64A9" w14:textId="77777777" w:rsidR="00A52778" w:rsidRPr="00460F9E" w:rsidRDefault="00A52778" w:rsidP="00FC3F8E">
            <w:pPr>
              <w:spacing w:line="0" w:lineRule="atLeast"/>
              <w:ind w:left="20"/>
              <w:rPr>
                <w:rFonts w:eastAsia="Times New Roman" w:cs="Times New Roman"/>
                <w:b/>
              </w:rPr>
            </w:pPr>
          </w:p>
        </w:tc>
      </w:tr>
      <w:tr w:rsidR="00A52778" w:rsidRPr="00460F9E" w14:paraId="169D2EA8" w14:textId="77777777" w:rsidTr="00FC3F8E">
        <w:trPr>
          <w:trHeight w:val="228"/>
        </w:trPr>
        <w:tc>
          <w:tcPr>
            <w:tcW w:w="1760" w:type="dxa"/>
            <w:tcBorders>
              <w:left w:val="single" w:sz="8" w:space="0" w:color="auto"/>
              <w:right w:val="single" w:sz="8" w:space="0" w:color="auto"/>
            </w:tcBorders>
            <w:shd w:val="clear" w:color="auto" w:fill="auto"/>
            <w:vAlign w:val="bottom"/>
          </w:tcPr>
          <w:p w14:paraId="480ECDB0" w14:textId="77777777" w:rsidR="00A52778" w:rsidRPr="00460F9E" w:rsidRDefault="00A52778" w:rsidP="00FC3F8E">
            <w:pPr>
              <w:spacing w:line="0" w:lineRule="atLeast"/>
              <w:rPr>
                <w:rFonts w:eastAsia="Times New Roman" w:cs="Times New Roman"/>
                <w:b/>
                <w:sz w:val="19"/>
              </w:rPr>
            </w:pPr>
          </w:p>
        </w:tc>
        <w:tc>
          <w:tcPr>
            <w:tcW w:w="640" w:type="dxa"/>
            <w:shd w:val="clear" w:color="auto" w:fill="auto"/>
            <w:vAlign w:val="bottom"/>
          </w:tcPr>
          <w:p w14:paraId="7AF5C2F5" w14:textId="77777777" w:rsidR="00A52778" w:rsidRPr="00460F9E" w:rsidRDefault="00A52778" w:rsidP="00FC3F8E">
            <w:pPr>
              <w:spacing w:line="0" w:lineRule="atLeast"/>
              <w:rPr>
                <w:rFonts w:eastAsia="Times New Roman" w:cs="Times New Roman"/>
                <w:b/>
                <w:sz w:val="19"/>
              </w:rPr>
            </w:pPr>
          </w:p>
        </w:tc>
        <w:tc>
          <w:tcPr>
            <w:tcW w:w="6320" w:type="dxa"/>
            <w:vMerge/>
            <w:tcBorders>
              <w:right w:val="single" w:sz="8" w:space="0" w:color="auto"/>
            </w:tcBorders>
            <w:shd w:val="clear" w:color="auto" w:fill="auto"/>
            <w:vAlign w:val="center"/>
          </w:tcPr>
          <w:p w14:paraId="41453208" w14:textId="77777777" w:rsidR="00A52778" w:rsidRPr="00460F9E" w:rsidRDefault="00A52778" w:rsidP="00FC3F8E">
            <w:pPr>
              <w:spacing w:line="0" w:lineRule="atLeast"/>
              <w:ind w:left="20"/>
              <w:rPr>
                <w:rFonts w:eastAsia="Times New Roman" w:cs="Times New Roman"/>
                <w:b/>
              </w:rPr>
            </w:pPr>
          </w:p>
        </w:tc>
      </w:tr>
      <w:tr w:rsidR="00A52778" w:rsidRPr="00460F9E" w14:paraId="2B39FDC8" w14:textId="77777777" w:rsidTr="00FC3F8E">
        <w:trPr>
          <w:trHeight w:val="230"/>
        </w:trPr>
        <w:tc>
          <w:tcPr>
            <w:tcW w:w="1760" w:type="dxa"/>
            <w:tcBorders>
              <w:left w:val="single" w:sz="8" w:space="0" w:color="auto"/>
              <w:right w:val="single" w:sz="8" w:space="0" w:color="auto"/>
            </w:tcBorders>
            <w:shd w:val="clear" w:color="auto" w:fill="auto"/>
            <w:vAlign w:val="bottom"/>
          </w:tcPr>
          <w:p w14:paraId="27139D07" w14:textId="77777777" w:rsidR="00A52778" w:rsidRPr="00460F9E" w:rsidRDefault="00A52778" w:rsidP="00FC3F8E">
            <w:pPr>
              <w:spacing w:line="0" w:lineRule="atLeast"/>
              <w:rPr>
                <w:rFonts w:eastAsia="Times New Roman" w:cs="Times New Roman"/>
                <w:b/>
              </w:rPr>
            </w:pPr>
          </w:p>
        </w:tc>
        <w:tc>
          <w:tcPr>
            <w:tcW w:w="640" w:type="dxa"/>
            <w:shd w:val="clear" w:color="auto" w:fill="auto"/>
            <w:vAlign w:val="bottom"/>
          </w:tcPr>
          <w:p w14:paraId="367BDFA6" w14:textId="77777777" w:rsidR="00A52778" w:rsidRPr="00460F9E" w:rsidRDefault="00A52778" w:rsidP="00FC3F8E">
            <w:pPr>
              <w:spacing w:line="0" w:lineRule="atLeast"/>
              <w:rPr>
                <w:rFonts w:eastAsia="Times New Roman" w:cs="Times New Roman"/>
                <w:b/>
              </w:rPr>
            </w:pPr>
          </w:p>
        </w:tc>
        <w:tc>
          <w:tcPr>
            <w:tcW w:w="6320" w:type="dxa"/>
            <w:vMerge/>
            <w:tcBorders>
              <w:right w:val="single" w:sz="8" w:space="0" w:color="auto"/>
            </w:tcBorders>
            <w:shd w:val="clear" w:color="auto" w:fill="auto"/>
            <w:vAlign w:val="center"/>
          </w:tcPr>
          <w:p w14:paraId="493FAF6E" w14:textId="77777777" w:rsidR="00A52778" w:rsidRPr="00460F9E" w:rsidRDefault="00A52778" w:rsidP="00FC3F8E">
            <w:pPr>
              <w:spacing w:line="0" w:lineRule="atLeast"/>
              <w:ind w:left="20"/>
              <w:rPr>
                <w:rFonts w:eastAsia="Times New Roman" w:cs="Times New Roman"/>
                <w:b/>
              </w:rPr>
            </w:pPr>
          </w:p>
        </w:tc>
      </w:tr>
      <w:tr w:rsidR="00A52778" w:rsidRPr="00460F9E" w14:paraId="2F544840" w14:textId="77777777" w:rsidTr="00FC3F8E">
        <w:trPr>
          <w:trHeight w:val="230"/>
        </w:trPr>
        <w:tc>
          <w:tcPr>
            <w:tcW w:w="1760" w:type="dxa"/>
            <w:tcBorders>
              <w:left w:val="single" w:sz="8" w:space="0" w:color="auto"/>
              <w:right w:val="single" w:sz="8" w:space="0" w:color="auto"/>
            </w:tcBorders>
            <w:shd w:val="clear" w:color="auto" w:fill="auto"/>
            <w:vAlign w:val="bottom"/>
          </w:tcPr>
          <w:p w14:paraId="6AC9ADEE" w14:textId="77777777" w:rsidR="00A52778" w:rsidRPr="00460F9E" w:rsidRDefault="00A52778" w:rsidP="00FC3F8E">
            <w:pPr>
              <w:spacing w:line="0" w:lineRule="atLeast"/>
              <w:rPr>
                <w:rFonts w:eastAsia="Times New Roman" w:cs="Times New Roman"/>
                <w:b/>
              </w:rPr>
            </w:pPr>
          </w:p>
        </w:tc>
        <w:tc>
          <w:tcPr>
            <w:tcW w:w="640" w:type="dxa"/>
            <w:shd w:val="clear" w:color="auto" w:fill="auto"/>
            <w:vAlign w:val="bottom"/>
          </w:tcPr>
          <w:p w14:paraId="56228037" w14:textId="77777777" w:rsidR="00A52778" w:rsidRPr="00460F9E" w:rsidRDefault="00A52778" w:rsidP="00FC3F8E">
            <w:pPr>
              <w:spacing w:line="0" w:lineRule="atLeast"/>
              <w:rPr>
                <w:rFonts w:eastAsia="Times New Roman" w:cs="Times New Roman"/>
                <w:b/>
              </w:rPr>
            </w:pPr>
          </w:p>
        </w:tc>
        <w:tc>
          <w:tcPr>
            <w:tcW w:w="6320" w:type="dxa"/>
            <w:vMerge/>
            <w:tcBorders>
              <w:right w:val="single" w:sz="8" w:space="0" w:color="auto"/>
            </w:tcBorders>
            <w:shd w:val="clear" w:color="auto" w:fill="auto"/>
            <w:vAlign w:val="center"/>
          </w:tcPr>
          <w:p w14:paraId="049DA875" w14:textId="77777777" w:rsidR="00A52778" w:rsidRPr="00460F9E" w:rsidRDefault="00A52778" w:rsidP="00FC3F8E">
            <w:pPr>
              <w:spacing w:line="0" w:lineRule="atLeast"/>
              <w:ind w:left="20"/>
              <w:rPr>
                <w:rFonts w:eastAsia="Times New Roman" w:cs="Times New Roman"/>
                <w:b/>
              </w:rPr>
            </w:pPr>
          </w:p>
        </w:tc>
      </w:tr>
      <w:tr w:rsidR="00A52778" w:rsidRPr="00460F9E" w14:paraId="2A29BFA6" w14:textId="77777777" w:rsidTr="00FC3F8E">
        <w:trPr>
          <w:trHeight w:val="230"/>
        </w:trPr>
        <w:tc>
          <w:tcPr>
            <w:tcW w:w="1760" w:type="dxa"/>
            <w:tcBorders>
              <w:left w:val="single" w:sz="8" w:space="0" w:color="auto"/>
              <w:right w:val="single" w:sz="8" w:space="0" w:color="auto"/>
            </w:tcBorders>
            <w:shd w:val="clear" w:color="auto" w:fill="auto"/>
            <w:vAlign w:val="bottom"/>
          </w:tcPr>
          <w:p w14:paraId="4F649E7C" w14:textId="77777777" w:rsidR="00A52778" w:rsidRPr="00460F9E" w:rsidRDefault="00A52778" w:rsidP="00FC3F8E">
            <w:pPr>
              <w:spacing w:line="0" w:lineRule="atLeast"/>
              <w:rPr>
                <w:rFonts w:eastAsia="Times New Roman" w:cs="Times New Roman"/>
                <w:b/>
              </w:rPr>
            </w:pPr>
          </w:p>
        </w:tc>
        <w:tc>
          <w:tcPr>
            <w:tcW w:w="640" w:type="dxa"/>
            <w:shd w:val="clear" w:color="auto" w:fill="auto"/>
            <w:vAlign w:val="bottom"/>
          </w:tcPr>
          <w:p w14:paraId="6220CFB7" w14:textId="77777777" w:rsidR="00A52778" w:rsidRPr="00460F9E" w:rsidRDefault="00A52778" w:rsidP="00FC3F8E">
            <w:pPr>
              <w:spacing w:line="0" w:lineRule="atLeast"/>
              <w:rPr>
                <w:rFonts w:eastAsia="Times New Roman" w:cs="Times New Roman"/>
                <w:b/>
              </w:rPr>
            </w:pPr>
          </w:p>
        </w:tc>
        <w:tc>
          <w:tcPr>
            <w:tcW w:w="6320" w:type="dxa"/>
            <w:vMerge/>
            <w:tcBorders>
              <w:right w:val="single" w:sz="8" w:space="0" w:color="auto"/>
            </w:tcBorders>
            <w:shd w:val="clear" w:color="auto" w:fill="auto"/>
            <w:vAlign w:val="center"/>
          </w:tcPr>
          <w:p w14:paraId="1FCD8310" w14:textId="77777777" w:rsidR="00A52778" w:rsidRPr="00460F9E" w:rsidRDefault="00A52778" w:rsidP="00FC3F8E">
            <w:pPr>
              <w:spacing w:line="0" w:lineRule="atLeast"/>
              <w:ind w:left="20"/>
              <w:rPr>
                <w:rFonts w:eastAsia="Times New Roman" w:cs="Times New Roman"/>
                <w:b/>
              </w:rPr>
            </w:pPr>
          </w:p>
        </w:tc>
      </w:tr>
      <w:tr w:rsidR="00A52778" w:rsidRPr="00460F9E" w14:paraId="493C592D" w14:textId="77777777" w:rsidTr="00FC3F8E">
        <w:trPr>
          <w:trHeight w:val="305"/>
        </w:trPr>
        <w:tc>
          <w:tcPr>
            <w:tcW w:w="1760" w:type="dxa"/>
            <w:vMerge w:val="restart"/>
            <w:tcBorders>
              <w:left w:val="single" w:sz="8" w:space="0" w:color="auto"/>
              <w:right w:val="single" w:sz="8" w:space="0" w:color="auto"/>
            </w:tcBorders>
            <w:shd w:val="clear" w:color="auto" w:fill="auto"/>
            <w:vAlign w:val="bottom"/>
          </w:tcPr>
          <w:p w14:paraId="1EAA1E0C"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Biyoprosesler</w:t>
            </w:r>
          </w:p>
        </w:tc>
        <w:tc>
          <w:tcPr>
            <w:tcW w:w="640" w:type="dxa"/>
            <w:shd w:val="clear" w:color="auto" w:fill="auto"/>
            <w:vAlign w:val="bottom"/>
          </w:tcPr>
          <w:p w14:paraId="7F4F648F" w14:textId="77777777" w:rsidR="00A52778" w:rsidRPr="00460F9E" w:rsidRDefault="00A52778" w:rsidP="00FC3F8E">
            <w:pPr>
              <w:spacing w:line="0" w:lineRule="atLeast"/>
              <w:rPr>
                <w:rFonts w:eastAsia="Times New Roman" w:cs="Times New Roman"/>
                <w:b/>
              </w:rPr>
            </w:pPr>
          </w:p>
        </w:tc>
        <w:tc>
          <w:tcPr>
            <w:tcW w:w="6320" w:type="dxa"/>
            <w:vMerge w:val="restart"/>
            <w:tcBorders>
              <w:right w:val="single" w:sz="8" w:space="0" w:color="auto"/>
            </w:tcBorders>
            <w:shd w:val="clear" w:color="auto" w:fill="auto"/>
            <w:vAlign w:val="center"/>
          </w:tcPr>
          <w:p w14:paraId="23D1B69D" w14:textId="77777777" w:rsidR="00A52778" w:rsidRPr="00460F9E" w:rsidRDefault="00A52778" w:rsidP="00FC3F8E">
            <w:pPr>
              <w:spacing w:line="0" w:lineRule="atLeast"/>
              <w:ind w:left="20"/>
              <w:rPr>
                <w:rFonts w:eastAsia="Times New Roman" w:cs="Times New Roman"/>
                <w:b/>
              </w:rPr>
            </w:pPr>
            <w:r w:rsidRPr="00460F9E">
              <w:rPr>
                <w:rFonts w:eastAsia="Times New Roman" w:cs="Times New Roman"/>
              </w:rPr>
              <w:t xml:space="preserve">- Biyolojik yıkama: aerobik koşullar altında ıslak yıkama (absorpsiyon) ve </w:t>
            </w:r>
          </w:p>
          <w:p w14:paraId="3F5777D5" w14:textId="77777777" w:rsidR="00A52778" w:rsidRPr="00460F9E" w:rsidRDefault="00A52778" w:rsidP="00FC3F8E">
            <w:pPr>
              <w:spacing w:line="0" w:lineRule="atLeast"/>
              <w:ind w:left="20"/>
              <w:rPr>
                <w:rFonts w:eastAsia="Times New Roman" w:cs="Times New Roman"/>
                <w:b/>
              </w:rPr>
            </w:pPr>
            <w:r w:rsidRPr="00460F9E">
              <w:rPr>
                <w:rFonts w:eastAsia="Times New Roman" w:cs="Times New Roman"/>
              </w:rPr>
              <w:t xml:space="preserve">  biyolojik bozunma kombinasyonu kullanılarak kirletici bileşiklerin bir atık </w:t>
            </w:r>
          </w:p>
          <w:p w14:paraId="199CF535" w14:textId="77777777" w:rsidR="00A52778" w:rsidRPr="00460F9E" w:rsidRDefault="00A52778" w:rsidP="00FC3F8E">
            <w:pPr>
              <w:spacing w:line="0" w:lineRule="atLeast"/>
              <w:ind w:left="20"/>
              <w:rPr>
                <w:rFonts w:eastAsia="Times New Roman" w:cs="Times New Roman"/>
                <w:b/>
              </w:rPr>
            </w:pPr>
            <w:r w:rsidRPr="00460F9E">
              <w:rPr>
                <w:rFonts w:eastAsia="Times New Roman" w:cs="Times New Roman"/>
              </w:rPr>
              <w:t xml:space="preserve">  gaz akışından uzaklaştırılması. Yıkama suyu, biyolojik olarak parçalanabilen  </w:t>
            </w:r>
          </w:p>
          <w:p w14:paraId="3577A907" w14:textId="77777777" w:rsidR="00A52778" w:rsidRPr="00460F9E" w:rsidRDefault="00A52778" w:rsidP="00FC3F8E">
            <w:pPr>
              <w:spacing w:line="0" w:lineRule="atLeast"/>
              <w:ind w:left="20"/>
              <w:rPr>
                <w:rFonts w:eastAsia="Times New Roman" w:cs="Times New Roman"/>
                <w:b/>
              </w:rPr>
            </w:pPr>
            <w:r w:rsidRPr="00460F9E">
              <w:rPr>
                <w:rFonts w:eastAsia="Times New Roman" w:cs="Times New Roman"/>
              </w:rPr>
              <w:t xml:space="preserve">  gaz halindeki bileşikleri oksitlemeye uygun bir mikroorganizma </w:t>
            </w:r>
          </w:p>
          <w:p w14:paraId="4A9C42EA" w14:textId="77777777" w:rsidR="00A52778" w:rsidRPr="00460F9E" w:rsidRDefault="00A52778" w:rsidP="00FC3F8E">
            <w:pPr>
              <w:spacing w:line="0" w:lineRule="atLeast"/>
              <w:ind w:left="20"/>
              <w:rPr>
                <w:rFonts w:eastAsia="Times New Roman" w:cs="Times New Roman"/>
                <w:b/>
              </w:rPr>
            </w:pPr>
            <w:r w:rsidRPr="00460F9E">
              <w:rPr>
                <w:rFonts w:eastAsia="Times New Roman" w:cs="Times New Roman"/>
              </w:rPr>
              <w:t xml:space="preserve">  popülasyonu içerir. Emilen kirleticiler havalandırmalı sulu çamur tanklarında </w:t>
            </w:r>
          </w:p>
          <w:p w14:paraId="67BFEEE3" w14:textId="77777777" w:rsidR="00A52778" w:rsidRPr="00460F9E" w:rsidRDefault="00A52778" w:rsidP="00FC3F8E">
            <w:pPr>
              <w:spacing w:line="0" w:lineRule="atLeast"/>
              <w:ind w:left="20"/>
              <w:rPr>
                <w:rFonts w:eastAsia="Times New Roman" w:cs="Times New Roman"/>
                <w:b/>
              </w:rPr>
            </w:pPr>
            <w:r w:rsidRPr="00460F9E">
              <w:rPr>
                <w:rFonts w:eastAsia="Times New Roman" w:cs="Times New Roman"/>
              </w:rPr>
              <w:t xml:space="preserve">  bozunurlar.</w:t>
            </w:r>
          </w:p>
        </w:tc>
      </w:tr>
      <w:tr w:rsidR="00A52778" w:rsidRPr="00460F9E" w14:paraId="6017335C" w14:textId="77777777" w:rsidTr="00FC3F8E">
        <w:trPr>
          <w:trHeight w:val="98"/>
        </w:trPr>
        <w:tc>
          <w:tcPr>
            <w:tcW w:w="1760" w:type="dxa"/>
            <w:vMerge/>
            <w:tcBorders>
              <w:left w:val="single" w:sz="8" w:space="0" w:color="auto"/>
              <w:right w:val="single" w:sz="8" w:space="0" w:color="auto"/>
            </w:tcBorders>
            <w:shd w:val="clear" w:color="auto" w:fill="auto"/>
            <w:vAlign w:val="bottom"/>
          </w:tcPr>
          <w:p w14:paraId="2B35DD9A" w14:textId="77777777" w:rsidR="00A52778" w:rsidRPr="00460F9E" w:rsidRDefault="00A52778" w:rsidP="00FC3F8E">
            <w:pPr>
              <w:spacing w:line="0" w:lineRule="atLeast"/>
              <w:rPr>
                <w:rFonts w:eastAsia="Times New Roman" w:cs="Times New Roman"/>
                <w:b/>
                <w:sz w:val="8"/>
              </w:rPr>
            </w:pPr>
          </w:p>
        </w:tc>
        <w:tc>
          <w:tcPr>
            <w:tcW w:w="640" w:type="dxa"/>
            <w:shd w:val="clear" w:color="auto" w:fill="auto"/>
            <w:vAlign w:val="bottom"/>
          </w:tcPr>
          <w:p w14:paraId="4C833702" w14:textId="77777777" w:rsidR="00A52778" w:rsidRPr="00460F9E" w:rsidRDefault="00A52778" w:rsidP="00FC3F8E">
            <w:pPr>
              <w:spacing w:line="0" w:lineRule="atLeast"/>
              <w:rPr>
                <w:rFonts w:eastAsia="Times New Roman" w:cs="Times New Roman"/>
                <w:b/>
                <w:sz w:val="8"/>
              </w:rPr>
            </w:pPr>
          </w:p>
        </w:tc>
        <w:tc>
          <w:tcPr>
            <w:tcW w:w="6320" w:type="dxa"/>
            <w:vMerge/>
            <w:tcBorders>
              <w:right w:val="single" w:sz="8" w:space="0" w:color="auto"/>
            </w:tcBorders>
            <w:shd w:val="clear" w:color="auto" w:fill="auto"/>
            <w:vAlign w:val="center"/>
          </w:tcPr>
          <w:p w14:paraId="60E22E4D" w14:textId="77777777" w:rsidR="00A52778" w:rsidRPr="00460F9E" w:rsidRDefault="00A52778" w:rsidP="00FC3F8E">
            <w:pPr>
              <w:spacing w:line="0" w:lineRule="atLeast"/>
              <w:ind w:left="20"/>
              <w:rPr>
                <w:rFonts w:eastAsia="Times New Roman" w:cs="Times New Roman"/>
                <w:b/>
              </w:rPr>
            </w:pPr>
          </w:p>
        </w:tc>
      </w:tr>
      <w:tr w:rsidR="00A52778" w:rsidRPr="00460F9E" w14:paraId="54D7B214" w14:textId="77777777" w:rsidTr="00FC3F8E">
        <w:trPr>
          <w:trHeight w:val="130"/>
        </w:trPr>
        <w:tc>
          <w:tcPr>
            <w:tcW w:w="1760" w:type="dxa"/>
            <w:tcBorders>
              <w:left w:val="single" w:sz="8" w:space="0" w:color="auto"/>
              <w:right w:val="single" w:sz="8" w:space="0" w:color="auto"/>
            </w:tcBorders>
            <w:shd w:val="clear" w:color="auto" w:fill="auto"/>
            <w:vAlign w:val="bottom"/>
          </w:tcPr>
          <w:p w14:paraId="751A4622" w14:textId="77777777" w:rsidR="00A52778" w:rsidRPr="00460F9E" w:rsidRDefault="00A52778" w:rsidP="00FC3F8E">
            <w:pPr>
              <w:spacing w:line="0" w:lineRule="atLeast"/>
              <w:rPr>
                <w:rFonts w:eastAsia="Times New Roman" w:cs="Times New Roman"/>
                <w:b/>
                <w:sz w:val="11"/>
              </w:rPr>
            </w:pPr>
          </w:p>
        </w:tc>
        <w:tc>
          <w:tcPr>
            <w:tcW w:w="640" w:type="dxa"/>
            <w:shd w:val="clear" w:color="auto" w:fill="auto"/>
            <w:vAlign w:val="bottom"/>
          </w:tcPr>
          <w:p w14:paraId="0C016DE8" w14:textId="77777777" w:rsidR="00A52778" w:rsidRPr="00460F9E" w:rsidRDefault="00A52778" w:rsidP="00FC3F8E">
            <w:pPr>
              <w:spacing w:line="0" w:lineRule="atLeast"/>
              <w:rPr>
                <w:rFonts w:eastAsia="Times New Roman" w:cs="Times New Roman"/>
                <w:b/>
                <w:sz w:val="11"/>
              </w:rPr>
            </w:pPr>
          </w:p>
        </w:tc>
        <w:tc>
          <w:tcPr>
            <w:tcW w:w="6320" w:type="dxa"/>
            <w:vMerge/>
            <w:tcBorders>
              <w:right w:val="single" w:sz="8" w:space="0" w:color="auto"/>
            </w:tcBorders>
            <w:shd w:val="clear" w:color="auto" w:fill="auto"/>
            <w:vAlign w:val="center"/>
          </w:tcPr>
          <w:p w14:paraId="2DE211F5" w14:textId="77777777" w:rsidR="00A52778" w:rsidRPr="00460F9E" w:rsidRDefault="00A52778" w:rsidP="00FC3F8E">
            <w:pPr>
              <w:spacing w:line="0" w:lineRule="atLeast"/>
              <w:ind w:left="20"/>
              <w:rPr>
                <w:rFonts w:eastAsia="Times New Roman" w:cs="Times New Roman"/>
                <w:b/>
                <w:sz w:val="11"/>
              </w:rPr>
            </w:pPr>
          </w:p>
        </w:tc>
      </w:tr>
      <w:tr w:rsidR="00A52778" w:rsidRPr="00460F9E" w14:paraId="08341F30" w14:textId="77777777" w:rsidTr="00FC3F8E">
        <w:trPr>
          <w:trHeight w:val="230"/>
        </w:trPr>
        <w:tc>
          <w:tcPr>
            <w:tcW w:w="1760" w:type="dxa"/>
            <w:tcBorders>
              <w:left w:val="single" w:sz="8" w:space="0" w:color="auto"/>
              <w:right w:val="single" w:sz="8" w:space="0" w:color="auto"/>
            </w:tcBorders>
            <w:shd w:val="clear" w:color="auto" w:fill="auto"/>
            <w:vAlign w:val="bottom"/>
          </w:tcPr>
          <w:p w14:paraId="71D78D71" w14:textId="77777777" w:rsidR="00A52778" w:rsidRPr="00460F9E" w:rsidRDefault="00A52778" w:rsidP="00FC3F8E">
            <w:pPr>
              <w:spacing w:line="0" w:lineRule="atLeast"/>
              <w:rPr>
                <w:rFonts w:eastAsia="Times New Roman" w:cs="Times New Roman"/>
                <w:b/>
              </w:rPr>
            </w:pPr>
          </w:p>
        </w:tc>
        <w:tc>
          <w:tcPr>
            <w:tcW w:w="640" w:type="dxa"/>
            <w:shd w:val="clear" w:color="auto" w:fill="auto"/>
            <w:vAlign w:val="bottom"/>
          </w:tcPr>
          <w:p w14:paraId="755A22A1" w14:textId="77777777" w:rsidR="00A52778" w:rsidRPr="00460F9E" w:rsidRDefault="00A52778" w:rsidP="00FC3F8E">
            <w:pPr>
              <w:spacing w:line="0" w:lineRule="atLeast"/>
              <w:rPr>
                <w:rFonts w:eastAsia="Times New Roman" w:cs="Times New Roman"/>
                <w:b/>
              </w:rPr>
            </w:pPr>
          </w:p>
        </w:tc>
        <w:tc>
          <w:tcPr>
            <w:tcW w:w="6320" w:type="dxa"/>
            <w:vMerge/>
            <w:tcBorders>
              <w:right w:val="single" w:sz="8" w:space="0" w:color="auto"/>
            </w:tcBorders>
            <w:shd w:val="clear" w:color="auto" w:fill="auto"/>
            <w:vAlign w:val="center"/>
          </w:tcPr>
          <w:p w14:paraId="1DEF80FD" w14:textId="77777777" w:rsidR="00A52778" w:rsidRPr="00460F9E" w:rsidRDefault="00A52778" w:rsidP="00FC3F8E">
            <w:pPr>
              <w:spacing w:line="0" w:lineRule="atLeast"/>
              <w:ind w:left="20"/>
              <w:rPr>
                <w:rFonts w:eastAsia="Times New Roman" w:cs="Times New Roman"/>
                <w:b/>
              </w:rPr>
            </w:pPr>
          </w:p>
        </w:tc>
      </w:tr>
      <w:tr w:rsidR="00A52778" w:rsidRPr="00460F9E" w14:paraId="0FA75262" w14:textId="77777777" w:rsidTr="00FC3F8E">
        <w:trPr>
          <w:trHeight w:val="230"/>
        </w:trPr>
        <w:tc>
          <w:tcPr>
            <w:tcW w:w="1760" w:type="dxa"/>
            <w:tcBorders>
              <w:left w:val="single" w:sz="8" w:space="0" w:color="auto"/>
              <w:right w:val="single" w:sz="8" w:space="0" w:color="auto"/>
            </w:tcBorders>
            <w:shd w:val="clear" w:color="auto" w:fill="auto"/>
            <w:vAlign w:val="bottom"/>
          </w:tcPr>
          <w:p w14:paraId="529D2D88" w14:textId="77777777" w:rsidR="00A52778" w:rsidRPr="00460F9E" w:rsidRDefault="00A52778" w:rsidP="00FC3F8E">
            <w:pPr>
              <w:spacing w:line="0" w:lineRule="atLeast"/>
              <w:rPr>
                <w:rFonts w:eastAsia="Times New Roman" w:cs="Times New Roman"/>
                <w:b/>
              </w:rPr>
            </w:pPr>
          </w:p>
        </w:tc>
        <w:tc>
          <w:tcPr>
            <w:tcW w:w="640" w:type="dxa"/>
            <w:shd w:val="clear" w:color="auto" w:fill="auto"/>
            <w:vAlign w:val="bottom"/>
          </w:tcPr>
          <w:p w14:paraId="72E8A3FA" w14:textId="77777777" w:rsidR="00A52778" w:rsidRPr="00460F9E" w:rsidRDefault="00A52778" w:rsidP="00FC3F8E">
            <w:pPr>
              <w:spacing w:line="0" w:lineRule="atLeast"/>
              <w:rPr>
                <w:rFonts w:eastAsia="Times New Roman" w:cs="Times New Roman"/>
                <w:b/>
              </w:rPr>
            </w:pPr>
          </w:p>
        </w:tc>
        <w:tc>
          <w:tcPr>
            <w:tcW w:w="6320" w:type="dxa"/>
            <w:vMerge/>
            <w:tcBorders>
              <w:right w:val="single" w:sz="8" w:space="0" w:color="auto"/>
            </w:tcBorders>
            <w:shd w:val="clear" w:color="auto" w:fill="auto"/>
            <w:vAlign w:val="center"/>
          </w:tcPr>
          <w:p w14:paraId="61E7AB66" w14:textId="77777777" w:rsidR="00A52778" w:rsidRPr="00460F9E" w:rsidRDefault="00A52778" w:rsidP="00FC3F8E">
            <w:pPr>
              <w:spacing w:line="0" w:lineRule="atLeast"/>
              <w:ind w:left="20"/>
              <w:rPr>
                <w:rFonts w:eastAsia="Times New Roman" w:cs="Times New Roman"/>
                <w:b/>
              </w:rPr>
            </w:pPr>
          </w:p>
        </w:tc>
      </w:tr>
      <w:tr w:rsidR="00A52778" w:rsidRPr="00460F9E" w14:paraId="0CBD52D7" w14:textId="77777777" w:rsidTr="00FC3F8E">
        <w:trPr>
          <w:trHeight w:val="230"/>
        </w:trPr>
        <w:tc>
          <w:tcPr>
            <w:tcW w:w="1760" w:type="dxa"/>
            <w:tcBorders>
              <w:left w:val="single" w:sz="8" w:space="0" w:color="auto"/>
              <w:right w:val="single" w:sz="8" w:space="0" w:color="auto"/>
            </w:tcBorders>
            <w:shd w:val="clear" w:color="auto" w:fill="auto"/>
            <w:vAlign w:val="bottom"/>
          </w:tcPr>
          <w:p w14:paraId="2110236A" w14:textId="77777777" w:rsidR="00A52778" w:rsidRPr="00460F9E" w:rsidRDefault="00A52778" w:rsidP="00FC3F8E">
            <w:pPr>
              <w:spacing w:line="0" w:lineRule="atLeast"/>
              <w:rPr>
                <w:rFonts w:eastAsia="Times New Roman" w:cs="Times New Roman"/>
                <w:b/>
              </w:rPr>
            </w:pPr>
          </w:p>
        </w:tc>
        <w:tc>
          <w:tcPr>
            <w:tcW w:w="640" w:type="dxa"/>
            <w:shd w:val="clear" w:color="auto" w:fill="auto"/>
            <w:vAlign w:val="bottom"/>
          </w:tcPr>
          <w:p w14:paraId="032B5AA0" w14:textId="77777777" w:rsidR="00A52778" w:rsidRPr="00460F9E" w:rsidRDefault="00A52778" w:rsidP="00FC3F8E">
            <w:pPr>
              <w:spacing w:line="0" w:lineRule="atLeast"/>
              <w:rPr>
                <w:rFonts w:eastAsia="Times New Roman" w:cs="Times New Roman"/>
                <w:b/>
              </w:rPr>
            </w:pPr>
          </w:p>
        </w:tc>
        <w:tc>
          <w:tcPr>
            <w:tcW w:w="6320" w:type="dxa"/>
            <w:vMerge/>
            <w:tcBorders>
              <w:right w:val="single" w:sz="8" w:space="0" w:color="auto"/>
            </w:tcBorders>
            <w:shd w:val="clear" w:color="auto" w:fill="auto"/>
            <w:vAlign w:val="center"/>
          </w:tcPr>
          <w:p w14:paraId="314059AF" w14:textId="77777777" w:rsidR="00A52778" w:rsidRPr="00460F9E" w:rsidRDefault="00A52778" w:rsidP="00FC3F8E">
            <w:pPr>
              <w:spacing w:line="0" w:lineRule="atLeast"/>
              <w:ind w:left="20"/>
              <w:rPr>
                <w:rFonts w:eastAsia="Times New Roman" w:cs="Times New Roman"/>
                <w:b/>
              </w:rPr>
            </w:pPr>
          </w:p>
        </w:tc>
      </w:tr>
      <w:tr w:rsidR="00A52778" w:rsidRPr="00460F9E" w14:paraId="2FF5398A" w14:textId="77777777" w:rsidTr="00FC3F8E">
        <w:trPr>
          <w:trHeight w:val="20"/>
        </w:trPr>
        <w:tc>
          <w:tcPr>
            <w:tcW w:w="1760" w:type="dxa"/>
            <w:tcBorders>
              <w:left w:val="single" w:sz="8" w:space="0" w:color="auto"/>
              <w:right w:val="single" w:sz="8" w:space="0" w:color="auto"/>
            </w:tcBorders>
            <w:shd w:val="clear" w:color="auto" w:fill="auto"/>
            <w:vAlign w:val="bottom"/>
          </w:tcPr>
          <w:p w14:paraId="561FB86D" w14:textId="77777777" w:rsidR="00A52778" w:rsidRPr="00460F9E" w:rsidRDefault="00A52778" w:rsidP="00FC3F8E">
            <w:pPr>
              <w:spacing w:line="0" w:lineRule="atLeast"/>
              <w:rPr>
                <w:rFonts w:eastAsia="Times New Roman" w:cs="Times New Roman"/>
                <w:b/>
              </w:rPr>
            </w:pPr>
          </w:p>
        </w:tc>
        <w:tc>
          <w:tcPr>
            <w:tcW w:w="640" w:type="dxa"/>
            <w:shd w:val="clear" w:color="auto" w:fill="auto"/>
            <w:vAlign w:val="bottom"/>
          </w:tcPr>
          <w:p w14:paraId="19F321E4" w14:textId="77777777" w:rsidR="00A52778" w:rsidRPr="00460F9E" w:rsidRDefault="00A52778" w:rsidP="00FC3F8E">
            <w:pPr>
              <w:spacing w:line="0" w:lineRule="atLeast"/>
              <w:rPr>
                <w:rFonts w:eastAsia="Times New Roman" w:cs="Times New Roman"/>
                <w:b/>
              </w:rPr>
            </w:pPr>
          </w:p>
        </w:tc>
        <w:tc>
          <w:tcPr>
            <w:tcW w:w="6320" w:type="dxa"/>
            <w:vMerge w:val="restart"/>
            <w:tcBorders>
              <w:right w:val="single" w:sz="8" w:space="0" w:color="auto"/>
            </w:tcBorders>
            <w:shd w:val="clear" w:color="auto" w:fill="auto"/>
            <w:vAlign w:val="center"/>
          </w:tcPr>
          <w:p w14:paraId="1F67D7B6" w14:textId="77777777" w:rsidR="00A52778" w:rsidRPr="00460F9E" w:rsidRDefault="00A52778" w:rsidP="00FC3F8E">
            <w:pPr>
              <w:spacing w:line="0" w:lineRule="atLeast"/>
              <w:ind w:left="20"/>
              <w:rPr>
                <w:rFonts w:eastAsia="Times New Roman" w:cs="Times New Roman"/>
                <w:b/>
              </w:rPr>
            </w:pPr>
            <w:r w:rsidRPr="00460F9E">
              <w:rPr>
                <w:rFonts w:eastAsia="Times New Roman" w:cs="Times New Roman"/>
              </w:rPr>
              <w:t xml:space="preserve">- Biyolojik damlama : Biyolojik damlama yataklı bir reaktör vasıtası ile atık </w:t>
            </w:r>
          </w:p>
          <w:p w14:paraId="6DCB1737" w14:textId="77777777" w:rsidR="00A52778" w:rsidRPr="00460F9E" w:rsidRDefault="00A52778" w:rsidP="00FC3F8E">
            <w:pPr>
              <w:spacing w:line="0" w:lineRule="atLeast"/>
              <w:ind w:left="20"/>
              <w:rPr>
                <w:rFonts w:eastAsia="Times New Roman" w:cs="Times New Roman"/>
                <w:b/>
              </w:rPr>
            </w:pPr>
            <w:r w:rsidRPr="00460F9E">
              <w:rPr>
                <w:rFonts w:eastAsia="Times New Roman" w:cs="Times New Roman"/>
              </w:rPr>
              <w:t xml:space="preserve">  gaz akışından kirletici bileşiklerin giderilmesi. Kirleticiler su fazı tarafından </w:t>
            </w:r>
          </w:p>
          <w:p w14:paraId="2346785E" w14:textId="77777777" w:rsidR="00A52778" w:rsidRPr="00460F9E" w:rsidRDefault="00A52778" w:rsidP="00FC3F8E">
            <w:pPr>
              <w:spacing w:line="0" w:lineRule="atLeast"/>
              <w:ind w:left="20"/>
              <w:rPr>
                <w:rFonts w:eastAsia="Times New Roman" w:cs="Times New Roman"/>
                <w:b/>
              </w:rPr>
            </w:pPr>
            <w:r w:rsidRPr="00460F9E">
              <w:rPr>
                <w:rFonts w:eastAsia="Times New Roman" w:cs="Times New Roman"/>
              </w:rPr>
              <w:t xml:space="preserve">  absorbe edilir ve biyofilme taşınır, burada biyolojik dönüşüm gerçekleşir.</w:t>
            </w:r>
          </w:p>
          <w:p w14:paraId="61846A77" w14:textId="77777777" w:rsidR="00A52778" w:rsidRPr="00460F9E" w:rsidRDefault="00A52778" w:rsidP="00FC3F8E">
            <w:pPr>
              <w:spacing w:line="0" w:lineRule="atLeast"/>
              <w:ind w:left="20"/>
              <w:rPr>
                <w:rFonts w:eastAsia="Times New Roman" w:cs="Times New Roman"/>
                <w:b/>
              </w:rPr>
            </w:pPr>
            <w:r w:rsidRPr="00460F9E">
              <w:rPr>
                <w:rFonts w:eastAsia="Times New Roman" w:cs="Times New Roman"/>
              </w:rPr>
              <w:t xml:space="preserve">    </w:t>
            </w:r>
          </w:p>
        </w:tc>
      </w:tr>
      <w:tr w:rsidR="00A52778" w:rsidRPr="00460F9E" w14:paraId="36846CD5" w14:textId="77777777" w:rsidTr="00FC3F8E">
        <w:trPr>
          <w:trHeight w:val="226"/>
        </w:trPr>
        <w:tc>
          <w:tcPr>
            <w:tcW w:w="1760" w:type="dxa"/>
            <w:tcBorders>
              <w:left w:val="single" w:sz="8" w:space="0" w:color="auto"/>
              <w:right w:val="single" w:sz="8" w:space="0" w:color="auto"/>
            </w:tcBorders>
            <w:shd w:val="clear" w:color="auto" w:fill="auto"/>
            <w:vAlign w:val="bottom"/>
          </w:tcPr>
          <w:p w14:paraId="6DAD2298" w14:textId="77777777" w:rsidR="00A52778" w:rsidRPr="00460F9E" w:rsidRDefault="00A52778" w:rsidP="00FC3F8E">
            <w:pPr>
              <w:spacing w:line="0" w:lineRule="atLeast"/>
              <w:rPr>
                <w:rFonts w:eastAsia="Times New Roman" w:cs="Times New Roman"/>
                <w:b/>
                <w:sz w:val="19"/>
              </w:rPr>
            </w:pPr>
          </w:p>
        </w:tc>
        <w:tc>
          <w:tcPr>
            <w:tcW w:w="640" w:type="dxa"/>
            <w:shd w:val="clear" w:color="auto" w:fill="auto"/>
            <w:vAlign w:val="bottom"/>
          </w:tcPr>
          <w:p w14:paraId="26151BA7" w14:textId="77777777" w:rsidR="00A52778" w:rsidRPr="00460F9E" w:rsidRDefault="00A52778" w:rsidP="00FC3F8E">
            <w:pPr>
              <w:spacing w:line="0" w:lineRule="atLeast"/>
              <w:rPr>
                <w:rFonts w:eastAsia="Times New Roman" w:cs="Times New Roman"/>
                <w:b/>
                <w:sz w:val="19"/>
              </w:rPr>
            </w:pPr>
          </w:p>
        </w:tc>
        <w:tc>
          <w:tcPr>
            <w:tcW w:w="6320" w:type="dxa"/>
            <w:vMerge/>
            <w:tcBorders>
              <w:right w:val="single" w:sz="8" w:space="0" w:color="auto"/>
            </w:tcBorders>
            <w:shd w:val="clear" w:color="auto" w:fill="auto"/>
            <w:vAlign w:val="bottom"/>
          </w:tcPr>
          <w:p w14:paraId="12D2A804" w14:textId="77777777" w:rsidR="00A52778" w:rsidRPr="00460F9E" w:rsidRDefault="00A52778" w:rsidP="00FC3F8E">
            <w:pPr>
              <w:spacing w:line="0" w:lineRule="atLeast"/>
              <w:ind w:left="20"/>
              <w:rPr>
                <w:rFonts w:eastAsia="Times New Roman" w:cs="Times New Roman"/>
                <w:b/>
              </w:rPr>
            </w:pPr>
          </w:p>
        </w:tc>
      </w:tr>
      <w:tr w:rsidR="00A52778" w:rsidRPr="00460F9E" w14:paraId="07B5C5B7" w14:textId="77777777" w:rsidTr="00FC3F8E">
        <w:trPr>
          <w:trHeight w:val="230"/>
        </w:trPr>
        <w:tc>
          <w:tcPr>
            <w:tcW w:w="1760" w:type="dxa"/>
            <w:tcBorders>
              <w:left w:val="single" w:sz="8" w:space="0" w:color="auto"/>
              <w:right w:val="single" w:sz="8" w:space="0" w:color="auto"/>
            </w:tcBorders>
            <w:shd w:val="clear" w:color="auto" w:fill="auto"/>
            <w:vAlign w:val="bottom"/>
          </w:tcPr>
          <w:p w14:paraId="114FF6E2" w14:textId="77777777" w:rsidR="00A52778" w:rsidRPr="00460F9E" w:rsidRDefault="00A52778" w:rsidP="00FC3F8E">
            <w:pPr>
              <w:spacing w:line="0" w:lineRule="atLeast"/>
              <w:rPr>
                <w:rFonts w:eastAsia="Times New Roman" w:cs="Times New Roman"/>
                <w:b/>
              </w:rPr>
            </w:pPr>
          </w:p>
        </w:tc>
        <w:tc>
          <w:tcPr>
            <w:tcW w:w="640" w:type="dxa"/>
            <w:shd w:val="clear" w:color="auto" w:fill="auto"/>
            <w:vAlign w:val="bottom"/>
          </w:tcPr>
          <w:p w14:paraId="43BEE4DD" w14:textId="77777777" w:rsidR="00A52778" w:rsidRPr="00460F9E" w:rsidRDefault="00A52778" w:rsidP="00FC3F8E">
            <w:pPr>
              <w:spacing w:line="0" w:lineRule="atLeast"/>
              <w:rPr>
                <w:rFonts w:eastAsia="Times New Roman" w:cs="Times New Roman"/>
                <w:b/>
              </w:rPr>
            </w:pPr>
          </w:p>
        </w:tc>
        <w:tc>
          <w:tcPr>
            <w:tcW w:w="6320" w:type="dxa"/>
            <w:vMerge/>
            <w:tcBorders>
              <w:right w:val="single" w:sz="8" w:space="0" w:color="auto"/>
            </w:tcBorders>
            <w:shd w:val="clear" w:color="auto" w:fill="auto"/>
            <w:vAlign w:val="bottom"/>
          </w:tcPr>
          <w:p w14:paraId="0D5EC4EF" w14:textId="77777777" w:rsidR="00A52778" w:rsidRPr="00460F9E" w:rsidRDefault="00A52778" w:rsidP="00FC3F8E">
            <w:pPr>
              <w:spacing w:line="0" w:lineRule="atLeast"/>
              <w:ind w:left="20"/>
              <w:rPr>
                <w:rFonts w:eastAsia="Times New Roman" w:cs="Times New Roman"/>
                <w:b/>
              </w:rPr>
            </w:pPr>
          </w:p>
        </w:tc>
      </w:tr>
      <w:tr w:rsidR="00A52778" w:rsidRPr="00460F9E" w14:paraId="136D579D" w14:textId="77777777" w:rsidTr="00FC3F8E">
        <w:trPr>
          <w:trHeight w:val="92"/>
        </w:trPr>
        <w:tc>
          <w:tcPr>
            <w:tcW w:w="1760" w:type="dxa"/>
            <w:tcBorders>
              <w:left w:val="single" w:sz="8" w:space="0" w:color="auto"/>
              <w:right w:val="single" w:sz="8" w:space="0" w:color="auto"/>
            </w:tcBorders>
            <w:shd w:val="clear" w:color="auto" w:fill="auto"/>
            <w:vAlign w:val="bottom"/>
          </w:tcPr>
          <w:p w14:paraId="636EBC7E" w14:textId="77777777" w:rsidR="00A52778" w:rsidRPr="00460F9E" w:rsidRDefault="00A52778" w:rsidP="00FC3F8E">
            <w:pPr>
              <w:spacing w:line="0" w:lineRule="atLeast"/>
              <w:rPr>
                <w:rFonts w:eastAsia="Times New Roman" w:cs="Times New Roman"/>
                <w:b/>
              </w:rPr>
            </w:pPr>
          </w:p>
        </w:tc>
        <w:tc>
          <w:tcPr>
            <w:tcW w:w="640" w:type="dxa"/>
            <w:shd w:val="clear" w:color="auto" w:fill="auto"/>
            <w:vAlign w:val="bottom"/>
          </w:tcPr>
          <w:p w14:paraId="2A4224C3"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w:t>
            </w:r>
          </w:p>
        </w:tc>
        <w:tc>
          <w:tcPr>
            <w:tcW w:w="6320" w:type="dxa"/>
            <w:vMerge/>
            <w:tcBorders>
              <w:right w:val="single" w:sz="8" w:space="0" w:color="auto"/>
            </w:tcBorders>
            <w:shd w:val="clear" w:color="auto" w:fill="auto"/>
            <w:vAlign w:val="bottom"/>
          </w:tcPr>
          <w:p w14:paraId="46891166" w14:textId="77777777" w:rsidR="00A52778" w:rsidRPr="00460F9E" w:rsidRDefault="00A52778" w:rsidP="00FC3F8E">
            <w:pPr>
              <w:spacing w:line="0" w:lineRule="atLeast"/>
              <w:ind w:left="20"/>
              <w:rPr>
                <w:rFonts w:eastAsia="Times New Roman" w:cs="Times New Roman"/>
                <w:b/>
              </w:rPr>
            </w:pPr>
          </w:p>
        </w:tc>
      </w:tr>
      <w:tr w:rsidR="00A52778" w:rsidRPr="00460F9E" w14:paraId="072DF7F6" w14:textId="77777777" w:rsidTr="00FC3F8E">
        <w:trPr>
          <w:trHeight w:val="66"/>
        </w:trPr>
        <w:tc>
          <w:tcPr>
            <w:tcW w:w="1760" w:type="dxa"/>
            <w:tcBorders>
              <w:left w:val="single" w:sz="8" w:space="0" w:color="auto"/>
              <w:bottom w:val="single" w:sz="8" w:space="0" w:color="auto"/>
              <w:right w:val="single" w:sz="8" w:space="0" w:color="auto"/>
            </w:tcBorders>
            <w:shd w:val="clear" w:color="auto" w:fill="auto"/>
            <w:vAlign w:val="bottom"/>
          </w:tcPr>
          <w:p w14:paraId="64C6E88A" w14:textId="77777777" w:rsidR="00A52778" w:rsidRPr="00460F9E" w:rsidRDefault="00A52778" w:rsidP="00FC3F8E">
            <w:pPr>
              <w:spacing w:line="0" w:lineRule="atLeast"/>
              <w:rPr>
                <w:rFonts w:eastAsia="Times New Roman" w:cs="Times New Roman"/>
                <w:b/>
                <w:sz w:val="5"/>
              </w:rPr>
            </w:pPr>
          </w:p>
        </w:tc>
        <w:tc>
          <w:tcPr>
            <w:tcW w:w="6960" w:type="dxa"/>
            <w:gridSpan w:val="2"/>
            <w:tcBorders>
              <w:bottom w:val="single" w:sz="8" w:space="0" w:color="auto"/>
              <w:right w:val="single" w:sz="8" w:space="0" w:color="auto"/>
            </w:tcBorders>
            <w:shd w:val="clear" w:color="auto" w:fill="auto"/>
            <w:vAlign w:val="bottom"/>
          </w:tcPr>
          <w:p w14:paraId="3DD3F36A" w14:textId="77777777" w:rsidR="00A52778" w:rsidRPr="00460F9E" w:rsidRDefault="00A52778" w:rsidP="00FC3F8E">
            <w:pPr>
              <w:spacing w:line="0" w:lineRule="atLeast"/>
              <w:rPr>
                <w:rFonts w:eastAsia="Times New Roman" w:cs="Times New Roman"/>
                <w:b/>
                <w:sz w:val="5"/>
              </w:rPr>
            </w:pPr>
          </w:p>
        </w:tc>
      </w:tr>
      <w:tr w:rsidR="00A52778" w:rsidRPr="00460F9E" w14:paraId="65BC3584" w14:textId="77777777" w:rsidTr="00FC3F8E">
        <w:trPr>
          <w:trHeight w:val="214"/>
        </w:trPr>
        <w:tc>
          <w:tcPr>
            <w:tcW w:w="1760" w:type="dxa"/>
            <w:tcBorders>
              <w:left w:val="single" w:sz="8" w:space="0" w:color="auto"/>
              <w:right w:val="single" w:sz="8" w:space="0" w:color="auto"/>
            </w:tcBorders>
            <w:shd w:val="clear" w:color="auto" w:fill="auto"/>
            <w:vAlign w:val="bottom"/>
          </w:tcPr>
          <w:p w14:paraId="098E52AA" w14:textId="77777777" w:rsidR="00A52778" w:rsidRPr="00460F9E" w:rsidRDefault="00A52778" w:rsidP="00FC3F8E">
            <w:pPr>
              <w:spacing w:line="0" w:lineRule="atLeast"/>
              <w:rPr>
                <w:rFonts w:eastAsia="Times New Roman" w:cs="Times New Roman"/>
                <w:b/>
                <w:sz w:val="18"/>
              </w:rPr>
            </w:pPr>
          </w:p>
        </w:tc>
        <w:tc>
          <w:tcPr>
            <w:tcW w:w="6960" w:type="dxa"/>
            <w:gridSpan w:val="2"/>
            <w:vMerge w:val="restart"/>
            <w:tcBorders>
              <w:right w:val="single" w:sz="8" w:space="0" w:color="auto"/>
            </w:tcBorders>
            <w:shd w:val="clear" w:color="auto" w:fill="auto"/>
            <w:vAlign w:val="center"/>
          </w:tcPr>
          <w:p w14:paraId="3406035F"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Düşük miktarda potansiyel kirlilik yaratan bileşikler içeren yakıt (destek/yardımcı yakıt dahil) kullanımı (örneğin yakıtta düşük sülfür, kül, nitrojen, flor veya klor içeriği).</w:t>
            </w:r>
          </w:p>
        </w:tc>
      </w:tr>
      <w:tr w:rsidR="00A52778" w:rsidRPr="00460F9E" w14:paraId="56F49476" w14:textId="77777777" w:rsidTr="00FC3F8E">
        <w:trPr>
          <w:trHeight w:val="228"/>
        </w:trPr>
        <w:tc>
          <w:tcPr>
            <w:tcW w:w="1760" w:type="dxa"/>
            <w:tcBorders>
              <w:left w:val="single" w:sz="8" w:space="0" w:color="auto"/>
              <w:right w:val="single" w:sz="8" w:space="0" w:color="auto"/>
            </w:tcBorders>
            <w:shd w:val="clear" w:color="auto" w:fill="auto"/>
            <w:vAlign w:val="bottom"/>
          </w:tcPr>
          <w:p w14:paraId="005DF946" w14:textId="77777777" w:rsidR="00A52778" w:rsidRPr="00460F9E" w:rsidRDefault="00A52778" w:rsidP="00FC3F8E">
            <w:pPr>
              <w:spacing w:line="228" w:lineRule="exact"/>
              <w:ind w:left="120"/>
              <w:rPr>
                <w:rFonts w:eastAsia="Times New Roman" w:cs="Times New Roman"/>
                <w:b/>
              </w:rPr>
            </w:pPr>
            <w:r w:rsidRPr="00460F9E">
              <w:rPr>
                <w:rFonts w:eastAsia="Times New Roman" w:cs="Times New Roman"/>
              </w:rPr>
              <w:t>Yakıt seçimi</w:t>
            </w:r>
          </w:p>
        </w:tc>
        <w:tc>
          <w:tcPr>
            <w:tcW w:w="6960" w:type="dxa"/>
            <w:gridSpan w:val="2"/>
            <w:vMerge/>
            <w:tcBorders>
              <w:right w:val="single" w:sz="8" w:space="0" w:color="auto"/>
            </w:tcBorders>
            <w:shd w:val="clear" w:color="auto" w:fill="auto"/>
            <w:vAlign w:val="bottom"/>
          </w:tcPr>
          <w:p w14:paraId="3030B09F" w14:textId="77777777" w:rsidR="00A52778" w:rsidRPr="00460F9E" w:rsidRDefault="00A52778" w:rsidP="00FC3F8E">
            <w:pPr>
              <w:spacing w:line="0" w:lineRule="atLeast"/>
              <w:ind w:left="80"/>
              <w:rPr>
                <w:rFonts w:eastAsia="Times New Roman" w:cs="Times New Roman"/>
                <w:b/>
              </w:rPr>
            </w:pPr>
          </w:p>
        </w:tc>
      </w:tr>
      <w:tr w:rsidR="00A52778" w:rsidRPr="00460F9E" w14:paraId="6473D1F3" w14:textId="77777777" w:rsidTr="00FC3F8E">
        <w:trPr>
          <w:trHeight w:val="233"/>
        </w:trPr>
        <w:tc>
          <w:tcPr>
            <w:tcW w:w="1760" w:type="dxa"/>
            <w:tcBorders>
              <w:left w:val="single" w:sz="8" w:space="0" w:color="auto"/>
              <w:bottom w:val="single" w:sz="8" w:space="0" w:color="auto"/>
              <w:right w:val="single" w:sz="8" w:space="0" w:color="auto"/>
            </w:tcBorders>
            <w:shd w:val="clear" w:color="auto" w:fill="auto"/>
            <w:vAlign w:val="bottom"/>
          </w:tcPr>
          <w:p w14:paraId="7FF04CC7" w14:textId="77777777" w:rsidR="00A52778" w:rsidRPr="00460F9E" w:rsidRDefault="00A52778" w:rsidP="00FC3F8E">
            <w:pPr>
              <w:spacing w:line="0" w:lineRule="atLeast"/>
              <w:rPr>
                <w:rFonts w:eastAsia="Times New Roman" w:cs="Times New Roman"/>
                <w:b/>
              </w:rPr>
            </w:pPr>
          </w:p>
        </w:tc>
        <w:tc>
          <w:tcPr>
            <w:tcW w:w="6960" w:type="dxa"/>
            <w:gridSpan w:val="2"/>
            <w:vMerge/>
            <w:tcBorders>
              <w:bottom w:val="single" w:sz="8" w:space="0" w:color="auto"/>
              <w:right w:val="single" w:sz="8" w:space="0" w:color="auto"/>
            </w:tcBorders>
            <w:shd w:val="clear" w:color="auto" w:fill="auto"/>
            <w:vAlign w:val="bottom"/>
          </w:tcPr>
          <w:p w14:paraId="40BE6D4C" w14:textId="77777777" w:rsidR="00A52778" w:rsidRPr="00460F9E" w:rsidRDefault="00A52778" w:rsidP="00FC3F8E">
            <w:pPr>
              <w:spacing w:line="0" w:lineRule="atLeast"/>
              <w:ind w:left="80"/>
              <w:rPr>
                <w:rFonts w:eastAsia="Times New Roman" w:cs="Times New Roman"/>
                <w:b/>
              </w:rPr>
            </w:pPr>
          </w:p>
        </w:tc>
      </w:tr>
      <w:tr w:rsidR="00A52778" w:rsidRPr="00460F9E" w14:paraId="2AE077AF" w14:textId="77777777" w:rsidTr="00FC3F8E">
        <w:trPr>
          <w:trHeight w:val="217"/>
        </w:trPr>
        <w:tc>
          <w:tcPr>
            <w:tcW w:w="1760" w:type="dxa"/>
            <w:tcBorders>
              <w:left w:val="single" w:sz="8" w:space="0" w:color="auto"/>
              <w:right w:val="single" w:sz="8" w:space="0" w:color="auto"/>
            </w:tcBorders>
            <w:shd w:val="clear" w:color="auto" w:fill="auto"/>
            <w:vAlign w:val="bottom"/>
          </w:tcPr>
          <w:p w14:paraId="4A4A5335" w14:textId="77777777" w:rsidR="00A52778" w:rsidRPr="00460F9E" w:rsidRDefault="00A52778" w:rsidP="00FC3F8E">
            <w:pPr>
              <w:spacing w:line="0" w:lineRule="atLeast"/>
              <w:rPr>
                <w:rFonts w:eastAsia="Times New Roman" w:cs="Times New Roman"/>
                <w:b/>
                <w:sz w:val="18"/>
              </w:rPr>
            </w:pPr>
          </w:p>
        </w:tc>
        <w:tc>
          <w:tcPr>
            <w:tcW w:w="6960" w:type="dxa"/>
            <w:gridSpan w:val="2"/>
            <w:vMerge w:val="restart"/>
            <w:tcBorders>
              <w:right w:val="single" w:sz="8" w:space="0" w:color="auto"/>
            </w:tcBorders>
            <w:shd w:val="clear" w:color="auto" w:fill="auto"/>
            <w:vAlign w:val="bottom"/>
          </w:tcPr>
          <w:p w14:paraId="206702BB"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Organik ve inorganik bileşiklerin buharlarının, bu buharların sıvılaşmaları için, sıcaklığının çiğlenme noktasının altına düşürülmesi marifetiyle bir proses çıkış gazından veya atık gaz akışından uzaklaştırılması. Gerekli çalışma sıcaklığı aralığına bağlı olarak, su veya tuzlu su gibi farklı soğutma ortamları kullanılır.</w:t>
            </w:r>
          </w:p>
        </w:tc>
      </w:tr>
      <w:tr w:rsidR="00A52778" w:rsidRPr="00460F9E" w14:paraId="4E426036" w14:textId="77777777" w:rsidTr="00FC3F8E">
        <w:trPr>
          <w:trHeight w:val="230"/>
        </w:trPr>
        <w:tc>
          <w:tcPr>
            <w:tcW w:w="1760" w:type="dxa"/>
            <w:tcBorders>
              <w:left w:val="single" w:sz="8" w:space="0" w:color="auto"/>
              <w:right w:val="single" w:sz="8" w:space="0" w:color="auto"/>
            </w:tcBorders>
            <w:shd w:val="clear" w:color="auto" w:fill="auto"/>
            <w:vAlign w:val="bottom"/>
          </w:tcPr>
          <w:p w14:paraId="005C2D73" w14:textId="77777777" w:rsidR="00A52778" w:rsidRPr="00460F9E" w:rsidRDefault="00A52778" w:rsidP="00FC3F8E">
            <w:pPr>
              <w:spacing w:line="0" w:lineRule="atLeast"/>
              <w:rPr>
                <w:rFonts w:eastAsia="Times New Roman" w:cs="Times New Roman"/>
                <w:b/>
              </w:rPr>
            </w:pPr>
          </w:p>
        </w:tc>
        <w:tc>
          <w:tcPr>
            <w:tcW w:w="6960" w:type="dxa"/>
            <w:gridSpan w:val="2"/>
            <w:vMerge/>
            <w:tcBorders>
              <w:right w:val="single" w:sz="8" w:space="0" w:color="auto"/>
            </w:tcBorders>
            <w:shd w:val="clear" w:color="auto" w:fill="auto"/>
            <w:vAlign w:val="bottom"/>
          </w:tcPr>
          <w:p w14:paraId="6B484315" w14:textId="77777777" w:rsidR="00A52778" w:rsidRPr="00460F9E" w:rsidRDefault="00A52778" w:rsidP="00FC3F8E">
            <w:pPr>
              <w:spacing w:line="0" w:lineRule="atLeast"/>
              <w:ind w:left="80"/>
              <w:rPr>
                <w:rFonts w:eastAsia="Times New Roman" w:cs="Times New Roman"/>
                <w:b/>
              </w:rPr>
            </w:pPr>
          </w:p>
        </w:tc>
      </w:tr>
      <w:tr w:rsidR="00A52778" w:rsidRPr="00460F9E" w14:paraId="65C53B33" w14:textId="77777777" w:rsidTr="00FC3F8E">
        <w:trPr>
          <w:trHeight w:val="230"/>
        </w:trPr>
        <w:tc>
          <w:tcPr>
            <w:tcW w:w="1760" w:type="dxa"/>
            <w:tcBorders>
              <w:left w:val="single" w:sz="8" w:space="0" w:color="auto"/>
              <w:right w:val="single" w:sz="8" w:space="0" w:color="auto"/>
            </w:tcBorders>
            <w:shd w:val="clear" w:color="auto" w:fill="auto"/>
            <w:vAlign w:val="bottom"/>
          </w:tcPr>
          <w:p w14:paraId="6371C8EA"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Yoğuşturma</w:t>
            </w:r>
          </w:p>
        </w:tc>
        <w:tc>
          <w:tcPr>
            <w:tcW w:w="6960" w:type="dxa"/>
            <w:gridSpan w:val="2"/>
            <w:vMerge/>
            <w:tcBorders>
              <w:right w:val="single" w:sz="8" w:space="0" w:color="auto"/>
            </w:tcBorders>
            <w:shd w:val="clear" w:color="auto" w:fill="auto"/>
            <w:vAlign w:val="bottom"/>
          </w:tcPr>
          <w:p w14:paraId="1F3595EC" w14:textId="77777777" w:rsidR="00A52778" w:rsidRPr="00460F9E" w:rsidRDefault="00A52778" w:rsidP="00FC3F8E">
            <w:pPr>
              <w:spacing w:line="0" w:lineRule="atLeast"/>
              <w:ind w:left="80"/>
              <w:rPr>
                <w:rFonts w:eastAsia="Times New Roman" w:cs="Times New Roman"/>
                <w:b/>
              </w:rPr>
            </w:pPr>
          </w:p>
        </w:tc>
      </w:tr>
      <w:tr w:rsidR="00A52778" w:rsidRPr="00460F9E" w14:paraId="5888FEFC" w14:textId="77777777" w:rsidTr="00FC3F8E">
        <w:trPr>
          <w:trHeight w:val="230"/>
        </w:trPr>
        <w:tc>
          <w:tcPr>
            <w:tcW w:w="1760" w:type="dxa"/>
            <w:tcBorders>
              <w:left w:val="single" w:sz="8" w:space="0" w:color="auto"/>
              <w:right w:val="single" w:sz="8" w:space="0" w:color="auto"/>
            </w:tcBorders>
            <w:shd w:val="clear" w:color="auto" w:fill="auto"/>
            <w:vAlign w:val="bottom"/>
          </w:tcPr>
          <w:p w14:paraId="5A7D03C5" w14:textId="77777777" w:rsidR="00A52778" w:rsidRPr="00460F9E" w:rsidRDefault="00A52778" w:rsidP="00FC3F8E">
            <w:pPr>
              <w:spacing w:line="0" w:lineRule="atLeast"/>
              <w:rPr>
                <w:rFonts w:eastAsia="Times New Roman" w:cs="Times New Roman"/>
                <w:b/>
              </w:rPr>
            </w:pPr>
          </w:p>
        </w:tc>
        <w:tc>
          <w:tcPr>
            <w:tcW w:w="6960" w:type="dxa"/>
            <w:gridSpan w:val="2"/>
            <w:vMerge/>
            <w:tcBorders>
              <w:right w:val="single" w:sz="8" w:space="0" w:color="auto"/>
            </w:tcBorders>
            <w:shd w:val="clear" w:color="auto" w:fill="auto"/>
            <w:vAlign w:val="bottom"/>
          </w:tcPr>
          <w:p w14:paraId="09067A28" w14:textId="77777777" w:rsidR="00A52778" w:rsidRPr="00460F9E" w:rsidRDefault="00A52778" w:rsidP="00FC3F8E">
            <w:pPr>
              <w:spacing w:line="0" w:lineRule="atLeast"/>
              <w:ind w:left="80"/>
              <w:rPr>
                <w:rFonts w:eastAsia="Times New Roman" w:cs="Times New Roman"/>
                <w:b/>
              </w:rPr>
            </w:pPr>
          </w:p>
        </w:tc>
      </w:tr>
      <w:tr w:rsidR="00A52778" w:rsidRPr="00460F9E" w14:paraId="24A8E20E" w14:textId="77777777" w:rsidTr="00FC3F8E">
        <w:trPr>
          <w:trHeight w:val="233"/>
        </w:trPr>
        <w:tc>
          <w:tcPr>
            <w:tcW w:w="1760" w:type="dxa"/>
            <w:tcBorders>
              <w:left w:val="single" w:sz="8" w:space="0" w:color="auto"/>
              <w:bottom w:val="single" w:sz="8" w:space="0" w:color="auto"/>
              <w:right w:val="single" w:sz="8" w:space="0" w:color="auto"/>
            </w:tcBorders>
            <w:shd w:val="clear" w:color="auto" w:fill="auto"/>
            <w:vAlign w:val="bottom"/>
          </w:tcPr>
          <w:p w14:paraId="1AAAFB11" w14:textId="77777777" w:rsidR="00A52778" w:rsidRPr="00460F9E" w:rsidRDefault="00A52778" w:rsidP="00FC3F8E">
            <w:pPr>
              <w:spacing w:line="0" w:lineRule="atLeast"/>
              <w:rPr>
                <w:rFonts w:eastAsia="Times New Roman" w:cs="Times New Roman"/>
                <w:b/>
              </w:rPr>
            </w:pPr>
          </w:p>
        </w:tc>
        <w:tc>
          <w:tcPr>
            <w:tcW w:w="6960" w:type="dxa"/>
            <w:gridSpan w:val="2"/>
            <w:tcBorders>
              <w:bottom w:val="single" w:sz="8" w:space="0" w:color="auto"/>
              <w:right w:val="single" w:sz="8" w:space="0" w:color="auto"/>
            </w:tcBorders>
            <w:shd w:val="clear" w:color="auto" w:fill="auto"/>
            <w:vAlign w:val="bottom"/>
          </w:tcPr>
          <w:p w14:paraId="2C6E75C5"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Kriyojenik yoğuşturmada, soğutma ortamı olarak sıvı azot kullanılır.</w:t>
            </w:r>
          </w:p>
        </w:tc>
      </w:tr>
      <w:tr w:rsidR="00A52778" w:rsidRPr="00460F9E" w14:paraId="1B11C22B" w14:textId="77777777" w:rsidTr="00FC3F8E">
        <w:trPr>
          <w:trHeight w:val="330"/>
        </w:trPr>
        <w:tc>
          <w:tcPr>
            <w:tcW w:w="1760" w:type="dxa"/>
            <w:tcBorders>
              <w:left w:val="single" w:sz="8" w:space="0" w:color="auto"/>
              <w:bottom w:val="nil"/>
              <w:right w:val="single" w:sz="8" w:space="0" w:color="auto"/>
            </w:tcBorders>
            <w:shd w:val="clear" w:color="auto" w:fill="auto"/>
            <w:vAlign w:val="bottom"/>
          </w:tcPr>
          <w:p w14:paraId="7DF5049B"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Siklon</w:t>
            </w:r>
          </w:p>
        </w:tc>
        <w:tc>
          <w:tcPr>
            <w:tcW w:w="6960" w:type="dxa"/>
            <w:gridSpan w:val="2"/>
            <w:vMerge w:val="restart"/>
            <w:tcBorders>
              <w:bottom w:val="nil"/>
              <w:right w:val="single" w:sz="8" w:space="0" w:color="auto"/>
            </w:tcBorders>
            <w:shd w:val="clear" w:color="auto" w:fill="auto"/>
            <w:vAlign w:val="bottom"/>
          </w:tcPr>
          <w:p w14:paraId="3BBEA020" w14:textId="77777777" w:rsidR="00A52778" w:rsidRPr="00460F9E" w:rsidRDefault="00A52778" w:rsidP="00FC3F8E">
            <w:pPr>
              <w:spacing w:line="228" w:lineRule="exact"/>
              <w:ind w:left="80"/>
              <w:rPr>
                <w:rFonts w:eastAsia="Times New Roman" w:cs="Times New Roman"/>
                <w:b/>
              </w:rPr>
            </w:pPr>
            <w:r w:rsidRPr="00460F9E">
              <w:rPr>
                <w:rFonts w:eastAsia="Times New Roman" w:cs="Times New Roman"/>
              </w:rPr>
              <w:t>Genellikle konik bir hazne içinde santrifüj kuvvetleri prensibine dayanan bir proses marifetiyle çıkış gazından veya atık gaz akışından tozun giderilmesi için kullanılan ekipman.</w:t>
            </w:r>
          </w:p>
        </w:tc>
      </w:tr>
      <w:tr w:rsidR="00A52778" w:rsidRPr="00460F9E" w14:paraId="03C24602" w14:textId="77777777" w:rsidTr="00FC3F8E">
        <w:trPr>
          <w:trHeight w:val="118"/>
        </w:trPr>
        <w:tc>
          <w:tcPr>
            <w:tcW w:w="1760" w:type="dxa"/>
            <w:tcBorders>
              <w:left w:val="single" w:sz="8" w:space="0" w:color="auto"/>
              <w:bottom w:val="single" w:sz="8" w:space="0" w:color="auto"/>
              <w:right w:val="single" w:sz="8" w:space="0" w:color="auto"/>
            </w:tcBorders>
            <w:shd w:val="clear" w:color="auto" w:fill="auto"/>
            <w:vAlign w:val="bottom"/>
          </w:tcPr>
          <w:p w14:paraId="1352BD98" w14:textId="77777777" w:rsidR="00A52778" w:rsidRPr="00460F9E" w:rsidRDefault="00A52778" w:rsidP="00FC3F8E">
            <w:pPr>
              <w:spacing w:line="0" w:lineRule="atLeast"/>
              <w:rPr>
                <w:rFonts w:eastAsia="Times New Roman" w:cs="Times New Roman"/>
                <w:b/>
                <w:sz w:val="10"/>
              </w:rPr>
            </w:pPr>
          </w:p>
        </w:tc>
        <w:tc>
          <w:tcPr>
            <w:tcW w:w="6960" w:type="dxa"/>
            <w:gridSpan w:val="2"/>
            <w:vMerge/>
            <w:tcBorders>
              <w:bottom w:val="single" w:sz="8" w:space="0" w:color="auto"/>
              <w:right w:val="single" w:sz="8" w:space="0" w:color="auto"/>
            </w:tcBorders>
            <w:shd w:val="clear" w:color="auto" w:fill="auto"/>
            <w:vAlign w:val="bottom"/>
          </w:tcPr>
          <w:p w14:paraId="68403F1E" w14:textId="77777777" w:rsidR="00A52778" w:rsidRPr="00460F9E" w:rsidRDefault="00A52778" w:rsidP="00FC3F8E">
            <w:pPr>
              <w:spacing w:line="0" w:lineRule="atLeast"/>
              <w:rPr>
                <w:rFonts w:eastAsia="Times New Roman" w:cs="Times New Roman"/>
                <w:b/>
                <w:sz w:val="10"/>
              </w:rPr>
            </w:pPr>
          </w:p>
        </w:tc>
      </w:tr>
      <w:tr w:rsidR="00A52778" w:rsidRPr="00460F9E" w14:paraId="0441FA13" w14:textId="77777777" w:rsidTr="00FC3F8E">
        <w:trPr>
          <w:trHeight w:val="57"/>
        </w:trPr>
        <w:tc>
          <w:tcPr>
            <w:tcW w:w="1760" w:type="dxa"/>
            <w:tcBorders>
              <w:left w:val="single" w:sz="8" w:space="0" w:color="auto"/>
              <w:right w:val="single" w:sz="8" w:space="0" w:color="auto"/>
            </w:tcBorders>
            <w:shd w:val="clear" w:color="auto" w:fill="auto"/>
            <w:vAlign w:val="bottom"/>
          </w:tcPr>
          <w:p w14:paraId="4F04619D" w14:textId="77777777" w:rsidR="00A52778" w:rsidRPr="00460F9E" w:rsidRDefault="00A52778" w:rsidP="00FC3F8E">
            <w:pPr>
              <w:spacing w:line="0" w:lineRule="atLeast"/>
              <w:rPr>
                <w:rFonts w:eastAsia="Times New Roman" w:cs="Times New Roman"/>
                <w:b/>
                <w:sz w:val="18"/>
              </w:rPr>
            </w:pPr>
          </w:p>
        </w:tc>
        <w:tc>
          <w:tcPr>
            <w:tcW w:w="6960" w:type="dxa"/>
            <w:gridSpan w:val="2"/>
            <w:vMerge w:val="restart"/>
            <w:tcBorders>
              <w:right w:val="single" w:sz="8" w:space="0" w:color="auto"/>
            </w:tcBorders>
            <w:shd w:val="clear" w:color="auto" w:fill="auto"/>
            <w:vAlign w:val="center"/>
          </w:tcPr>
          <w:p w14:paraId="7621A849" w14:textId="77777777" w:rsidR="00A52778" w:rsidRPr="00460F9E" w:rsidRDefault="00A52778" w:rsidP="00FC3F8E">
            <w:pPr>
              <w:spacing w:line="217" w:lineRule="exact"/>
              <w:ind w:left="80"/>
              <w:rPr>
                <w:rFonts w:eastAsia="Times New Roman" w:cs="Times New Roman"/>
                <w:b/>
              </w:rPr>
            </w:pPr>
            <w:r w:rsidRPr="00460F9E">
              <w:rPr>
                <w:rFonts w:eastAsia="Times New Roman" w:cs="Times New Roman"/>
              </w:rPr>
              <w:t>Elektrostatik çökeltici (ESP), atık gaz akışı içinde sürüklenen partikülleri toplayıcı plakalar üzerine çekmek için elektrik kuvvetlerini kullanan bir partikül kontrol cihazıdır. Gaz iyonlarının aktığı bir koronadan geçerken sürüklenen partiküllere elektrik yükü uygulanır. Akış şeridinin merkezindeki elektrotlar yüksek voltajda tutulur ve partikülleri kolektör duvarlarına doğru zorlayan elektrik alanını oluşturur. Gerekli olan titreşimli DC voltajı 20-100 kV aralığındadır.</w:t>
            </w:r>
          </w:p>
        </w:tc>
      </w:tr>
      <w:tr w:rsidR="00A52778" w:rsidRPr="00460F9E" w14:paraId="4BE6ACC1" w14:textId="77777777" w:rsidTr="00FC3F8E">
        <w:trPr>
          <w:trHeight w:val="231"/>
        </w:trPr>
        <w:tc>
          <w:tcPr>
            <w:tcW w:w="1760" w:type="dxa"/>
            <w:tcBorders>
              <w:left w:val="single" w:sz="8" w:space="0" w:color="auto"/>
              <w:right w:val="single" w:sz="8" w:space="0" w:color="auto"/>
            </w:tcBorders>
            <w:shd w:val="clear" w:color="auto" w:fill="auto"/>
            <w:vAlign w:val="bottom"/>
          </w:tcPr>
          <w:p w14:paraId="722360A0" w14:textId="77777777" w:rsidR="00A52778" w:rsidRPr="00460F9E" w:rsidRDefault="00A52778" w:rsidP="00FC3F8E">
            <w:pPr>
              <w:spacing w:line="0" w:lineRule="atLeast"/>
              <w:rPr>
                <w:rFonts w:eastAsia="Times New Roman" w:cs="Times New Roman"/>
                <w:b/>
              </w:rPr>
            </w:pPr>
          </w:p>
        </w:tc>
        <w:tc>
          <w:tcPr>
            <w:tcW w:w="6960" w:type="dxa"/>
            <w:gridSpan w:val="2"/>
            <w:vMerge/>
            <w:tcBorders>
              <w:right w:val="single" w:sz="8" w:space="0" w:color="auto"/>
            </w:tcBorders>
            <w:shd w:val="clear" w:color="auto" w:fill="auto"/>
            <w:vAlign w:val="bottom"/>
          </w:tcPr>
          <w:p w14:paraId="523EBD08" w14:textId="77777777" w:rsidR="00A52778" w:rsidRPr="00460F9E" w:rsidRDefault="00A52778" w:rsidP="00FC3F8E">
            <w:pPr>
              <w:spacing w:line="0" w:lineRule="atLeast"/>
              <w:ind w:left="80"/>
              <w:rPr>
                <w:rFonts w:eastAsia="Times New Roman" w:cs="Times New Roman"/>
                <w:b/>
              </w:rPr>
            </w:pPr>
          </w:p>
        </w:tc>
      </w:tr>
      <w:tr w:rsidR="00A52778" w:rsidRPr="00460F9E" w14:paraId="44536813" w14:textId="77777777" w:rsidTr="00FC3F8E">
        <w:trPr>
          <w:trHeight w:val="345"/>
        </w:trPr>
        <w:tc>
          <w:tcPr>
            <w:tcW w:w="1760" w:type="dxa"/>
            <w:tcBorders>
              <w:left w:val="single" w:sz="8" w:space="0" w:color="auto"/>
              <w:bottom w:val="nil"/>
              <w:right w:val="single" w:sz="8" w:space="0" w:color="auto"/>
            </w:tcBorders>
            <w:shd w:val="clear" w:color="auto" w:fill="auto"/>
            <w:vAlign w:val="bottom"/>
          </w:tcPr>
          <w:p w14:paraId="6B7E4193"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Elektrostatik</w:t>
            </w:r>
          </w:p>
        </w:tc>
        <w:tc>
          <w:tcPr>
            <w:tcW w:w="6960" w:type="dxa"/>
            <w:gridSpan w:val="2"/>
            <w:vMerge/>
            <w:tcBorders>
              <w:bottom w:val="nil"/>
              <w:right w:val="single" w:sz="8" w:space="0" w:color="auto"/>
            </w:tcBorders>
            <w:shd w:val="clear" w:color="auto" w:fill="auto"/>
            <w:vAlign w:val="bottom"/>
          </w:tcPr>
          <w:p w14:paraId="65A69FF5" w14:textId="77777777" w:rsidR="00A52778" w:rsidRPr="00460F9E" w:rsidRDefault="00A52778" w:rsidP="00FC3F8E">
            <w:pPr>
              <w:spacing w:line="0" w:lineRule="atLeast"/>
              <w:ind w:left="80"/>
              <w:rPr>
                <w:rFonts w:eastAsia="Times New Roman" w:cs="Times New Roman"/>
                <w:b/>
              </w:rPr>
            </w:pPr>
          </w:p>
        </w:tc>
      </w:tr>
      <w:tr w:rsidR="00A52778" w:rsidRPr="00460F9E" w14:paraId="7AD33590" w14:textId="77777777" w:rsidTr="00FC3F8E">
        <w:trPr>
          <w:trHeight w:val="345"/>
        </w:trPr>
        <w:tc>
          <w:tcPr>
            <w:tcW w:w="1760" w:type="dxa"/>
            <w:tcBorders>
              <w:left w:val="single" w:sz="8" w:space="0" w:color="auto"/>
              <w:bottom w:val="nil"/>
              <w:right w:val="single" w:sz="8" w:space="0" w:color="auto"/>
            </w:tcBorders>
            <w:shd w:val="clear" w:color="auto" w:fill="auto"/>
            <w:vAlign w:val="bottom"/>
          </w:tcPr>
          <w:p w14:paraId="4ECC7439"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çökeltici</w:t>
            </w:r>
          </w:p>
        </w:tc>
        <w:tc>
          <w:tcPr>
            <w:tcW w:w="6960" w:type="dxa"/>
            <w:gridSpan w:val="2"/>
            <w:vMerge/>
            <w:tcBorders>
              <w:bottom w:val="nil"/>
              <w:right w:val="single" w:sz="8" w:space="0" w:color="auto"/>
            </w:tcBorders>
            <w:shd w:val="clear" w:color="auto" w:fill="auto"/>
            <w:vAlign w:val="bottom"/>
          </w:tcPr>
          <w:p w14:paraId="149387F3" w14:textId="77777777" w:rsidR="00A52778" w:rsidRPr="00460F9E" w:rsidRDefault="00A52778" w:rsidP="00FC3F8E">
            <w:pPr>
              <w:spacing w:line="0" w:lineRule="atLeast"/>
              <w:ind w:left="80"/>
              <w:rPr>
                <w:rFonts w:eastAsia="Times New Roman" w:cs="Times New Roman"/>
                <w:b/>
                <w:sz w:val="10"/>
              </w:rPr>
            </w:pPr>
          </w:p>
        </w:tc>
      </w:tr>
      <w:tr w:rsidR="00A52778" w:rsidRPr="00460F9E" w14:paraId="0B3341EB" w14:textId="77777777" w:rsidTr="00FC3F8E">
        <w:trPr>
          <w:trHeight w:val="115"/>
        </w:trPr>
        <w:tc>
          <w:tcPr>
            <w:tcW w:w="1760" w:type="dxa"/>
            <w:tcBorders>
              <w:left w:val="single" w:sz="8" w:space="0" w:color="auto"/>
              <w:right w:val="single" w:sz="8" w:space="0" w:color="auto"/>
            </w:tcBorders>
            <w:shd w:val="clear" w:color="auto" w:fill="auto"/>
            <w:vAlign w:val="bottom"/>
          </w:tcPr>
          <w:p w14:paraId="13BACFAC" w14:textId="77777777" w:rsidR="00A52778" w:rsidRPr="00460F9E" w:rsidRDefault="00A52778" w:rsidP="00FC3F8E">
            <w:pPr>
              <w:spacing w:line="0" w:lineRule="atLeast"/>
              <w:rPr>
                <w:rFonts w:eastAsia="Times New Roman" w:cs="Times New Roman"/>
                <w:b/>
                <w:sz w:val="10"/>
              </w:rPr>
            </w:pPr>
          </w:p>
        </w:tc>
        <w:tc>
          <w:tcPr>
            <w:tcW w:w="6960" w:type="dxa"/>
            <w:gridSpan w:val="2"/>
            <w:vMerge/>
            <w:tcBorders>
              <w:right w:val="single" w:sz="8" w:space="0" w:color="auto"/>
            </w:tcBorders>
            <w:shd w:val="clear" w:color="auto" w:fill="auto"/>
            <w:vAlign w:val="bottom"/>
          </w:tcPr>
          <w:p w14:paraId="00BDC4CB" w14:textId="77777777" w:rsidR="00A52778" w:rsidRPr="00460F9E" w:rsidRDefault="00A52778" w:rsidP="00FC3F8E">
            <w:pPr>
              <w:spacing w:line="0" w:lineRule="atLeast"/>
              <w:ind w:left="80"/>
              <w:rPr>
                <w:rFonts w:eastAsia="Times New Roman" w:cs="Times New Roman"/>
                <w:b/>
                <w:sz w:val="10"/>
              </w:rPr>
            </w:pPr>
          </w:p>
        </w:tc>
      </w:tr>
      <w:tr w:rsidR="00A52778" w:rsidRPr="00460F9E" w14:paraId="730A40FC" w14:textId="77777777" w:rsidTr="00FC3F8E">
        <w:trPr>
          <w:trHeight w:val="228"/>
        </w:trPr>
        <w:tc>
          <w:tcPr>
            <w:tcW w:w="1760" w:type="dxa"/>
            <w:tcBorders>
              <w:left w:val="single" w:sz="8" w:space="0" w:color="auto"/>
              <w:right w:val="single" w:sz="8" w:space="0" w:color="auto"/>
            </w:tcBorders>
            <w:shd w:val="clear" w:color="auto" w:fill="auto"/>
            <w:vAlign w:val="bottom"/>
          </w:tcPr>
          <w:p w14:paraId="48748141" w14:textId="77777777" w:rsidR="00A52778" w:rsidRPr="00460F9E" w:rsidRDefault="00A52778" w:rsidP="00FC3F8E">
            <w:pPr>
              <w:spacing w:line="0" w:lineRule="atLeast"/>
              <w:rPr>
                <w:rFonts w:eastAsia="Times New Roman" w:cs="Times New Roman"/>
                <w:b/>
                <w:sz w:val="19"/>
              </w:rPr>
            </w:pPr>
          </w:p>
        </w:tc>
        <w:tc>
          <w:tcPr>
            <w:tcW w:w="6960" w:type="dxa"/>
            <w:gridSpan w:val="2"/>
            <w:vMerge/>
            <w:tcBorders>
              <w:right w:val="single" w:sz="8" w:space="0" w:color="auto"/>
            </w:tcBorders>
            <w:shd w:val="clear" w:color="auto" w:fill="auto"/>
            <w:vAlign w:val="bottom"/>
          </w:tcPr>
          <w:p w14:paraId="388F7863" w14:textId="77777777" w:rsidR="00A52778" w:rsidRPr="00460F9E" w:rsidRDefault="00A52778" w:rsidP="00FC3F8E">
            <w:pPr>
              <w:spacing w:line="0" w:lineRule="atLeast"/>
              <w:ind w:left="80"/>
              <w:rPr>
                <w:rFonts w:eastAsia="Times New Roman" w:cs="Times New Roman"/>
                <w:b/>
              </w:rPr>
            </w:pPr>
          </w:p>
        </w:tc>
      </w:tr>
      <w:tr w:rsidR="00A52778" w:rsidRPr="00460F9E" w14:paraId="4825F01E" w14:textId="77777777" w:rsidTr="00FC3F8E">
        <w:trPr>
          <w:trHeight w:val="70"/>
        </w:trPr>
        <w:tc>
          <w:tcPr>
            <w:tcW w:w="1760" w:type="dxa"/>
            <w:tcBorders>
              <w:left w:val="single" w:sz="8" w:space="0" w:color="auto"/>
              <w:bottom w:val="single" w:sz="8" w:space="0" w:color="auto"/>
              <w:right w:val="single" w:sz="8" w:space="0" w:color="auto"/>
            </w:tcBorders>
            <w:shd w:val="clear" w:color="auto" w:fill="auto"/>
            <w:vAlign w:val="bottom"/>
          </w:tcPr>
          <w:p w14:paraId="6B6BE746" w14:textId="77777777" w:rsidR="00A52778" w:rsidRPr="00460F9E" w:rsidRDefault="00A52778" w:rsidP="00FC3F8E">
            <w:pPr>
              <w:spacing w:line="0" w:lineRule="atLeast"/>
              <w:rPr>
                <w:rFonts w:eastAsia="Times New Roman" w:cs="Times New Roman"/>
                <w:b/>
              </w:rPr>
            </w:pPr>
          </w:p>
        </w:tc>
        <w:tc>
          <w:tcPr>
            <w:tcW w:w="6960" w:type="dxa"/>
            <w:gridSpan w:val="2"/>
            <w:vMerge/>
            <w:tcBorders>
              <w:bottom w:val="single" w:sz="8" w:space="0" w:color="auto"/>
              <w:right w:val="single" w:sz="8" w:space="0" w:color="auto"/>
            </w:tcBorders>
            <w:shd w:val="clear" w:color="auto" w:fill="auto"/>
            <w:vAlign w:val="bottom"/>
          </w:tcPr>
          <w:p w14:paraId="25945FA4" w14:textId="77777777" w:rsidR="00A52778" w:rsidRPr="00460F9E" w:rsidRDefault="00A52778" w:rsidP="00FC3F8E">
            <w:pPr>
              <w:spacing w:line="0" w:lineRule="atLeast"/>
              <w:ind w:left="80"/>
              <w:rPr>
                <w:rFonts w:eastAsia="Times New Roman" w:cs="Times New Roman"/>
                <w:b/>
              </w:rPr>
            </w:pPr>
          </w:p>
        </w:tc>
      </w:tr>
      <w:tr w:rsidR="00A52778" w:rsidRPr="00460F9E" w14:paraId="01BE44F5" w14:textId="77777777" w:rsidTr="00FC3F8E">
        <w:trPr>
          <w:trHeight w:val="217"/>
        </w:trPr>
        <w:tc>
          <w:tcPr>
            <w:tcW w:w="1760" w:type="dxa"/>
            <w:tcBorders>
              <w:left w:val="single" w:sz="8" w:space="0" w:color="auto"/>
              <w:right w:val="single" w:sz="8" w:space="0" w:color="auto"/>
            </w:tcBorders>
            <w:shd w:val="clear" w:color="auto" w:fill="auto"/>
            <w:vAlign w:val="bottom"/>
          </w:tcPr>
          <w:p w14:paraId="72798B0F" w14:textId="77777777" w:rsidR="00A52778" w:rsidRPr="00460F9E" w:rsidRDefault="00A52778" w:rsidP="00FC3F8E">
            <w:pPr>
              <w:spacing w:line="0" w:lineRule="atLeast"/>
              <w:rPr>
                <w:rFonts w:eastAsia="Times New Roman" w:cs="Times New Roman"/>
                <w:b/>
                <w:sz w:val="18"/>
              </w:rPr>
            </w:pPr>
          </w:p>
        </w:tc>
        <w:tc>
          <w:tcPr>
            <w:tcW w:w="6960" w:type="dxa"/>
            <w:gridSpan w:val="2"/>
            <w:vMerge w:val="restart"/>
            <w:tcBorders>
              <w:right w:val="single" w:sz="8" w:space="0" w:color="auto"/>
            </w:tcBorders>
            <w:shd w:val="clear" w:color="auto" w:fill="auto"/>
            <w:vAlign w:val="bottom"/>
          </w:tcPr>
          <w:p w14:paraId="3BD8A853" w14:textId="77777777" w:rsidR="00A52778" w:rsidRPr="00460F9E" w:rsidRDefault="00A52778" w:rsidP="00FC3F8E">
            <w:pPr>
              <w:spacing w:line="0" w:lineRule="atLeast"/>
              <w:ind w:left="80"/>
              <w:rPr>
                <w:rFonts w:eastAsia="Times New Roman" w:cs="Times New Roman"/>
                <w:b/>
              </w:rPr>
            </w:pPr>
            <w:r w:rsidRPr="00460F9E">
              <w:rPr>
                <w:rFonts w:eastAsia="Times New Roman" w:cs="Times New Roman"/>
              </w:rPr>
              <w:t>Yüksek verimli partikül hava (HEPA) filtreleri veya ultra düşük nüfuzlu hava (ULPA) filtreleri olarak da adlandırılan mutlak filtreler, partikülleri gidermek için gazların içinden geçirildiği cam  elyafından üretilmiş kumaştan veya sentetik elyaflardan dokunmuş kumaşlardan yapılırlar. Mutlak filtreler kumaş filtrelerden daha yüksek verim gösterirler. HEPA ve ULPA filtrelerin performanslarına göre sınıflandırılması EN 1822-1' de verilmiştir.</w:t>
            </w:r>
          </w:p>
        </w:tc>
      </w:tr>
      <w:tr w:rsidR="00A52778" w:rsidRPr="00460F9E" w14:paraId="4D6ED948" w14:textId="77777777" w:rsidTr="00FC3F8E">
        <w:trPr>
          <w:trHeight w:val="230"/>
        </w:trPr>
        <w:tc>
          <w:tcPr>
            <w:tcW w:w="1760" w:type="dxa"/>
            <w:tcBorders>
              <w:left w:val="single" w:sz="8" w:space="0" w:color="auto"/>
              <w:right w:val="single" w:sz="8" w:space="0" w:color="auto"/>
            </w:tcBorders>
            <w:shd w:val="clear" w:color="auto" w:fill="auto"/>
            <w:vAlign w:val="bottom"/>
          </w:tcPr>
          <w:p w14:paraId="7B682572" w14:textId="77777777" w:rsidR="00A52778" w:rsidRPr="00460F9E" w:rsidRDefault="00A52778" w:rsidP="00FC3F8E">
            <w:pPr>
              <w:spacing w:line="0" w:lineRule="atLeast"/>
              <w:rPr>
                <w:rFonts w:eastAsia="Times New Roman" w:cs="Times New Roman"/>
                <w:b/>
              </w:rPr>
            </w:pPr>
          </w:p>
        </w:tc>
        <w:tc>
          <w:tcPr>
            <w:tcW w:w="6960" w:type="dxa"/>
            <w:gridSpan w:val="2"/>
            <w:vMerge/>
            <w:tcBorders>
              <w:right w:val="single" w:sz="8" w:space="0" w:color="auto"/>
            </w:tcBorders>
            <w:shd w:val="clear" w:color="auto" w:fill="auto"/>
            <w:vAlign w:val="bottom"/>
          </w:tcPr>
          <w:p w14:paraId="65717A54" w14:textId="77777777" w:rsidR="00A52778" w:rsidRPr="00460F9E" w:rsidRDefault="00A52778" w:rsidP="00FC3F8E">
            <w:pPr>
              <w:spacing w:line="0" w:lineRule="atLeast"/>
              <w:ind w:left="80"/>
              <w:rPr>
                <w:rFonts w:eastAsia="Times New Roman" w:cs="Times New Roman"/>
                <w:b/>
              </w:rPr>
            </w:pPr>
          </w:p>
        </w:tc>
      </w:tr>
      <w:tr w:rsidR="00A52778" w:rsidRPr="00460F9E" w14:paraId="4766FD6D" w14:textId="77777777" w:rsidTr="00FC3F8E">
        <w:trPr>
          <w:trHeight w:val="230"/>
        </w:trPr>
        <w:tc>
          <w:tcPr>
            <w:tcW w:w="1760" w:type="dxa"/>
            <w:tcBorders>
              <w:left w:val="single" w:sz="8" w:space="0" w:color="auto"/>
              <w:right w:val="single" w:sz="8" w:space="0" w:color="auto"/>
            </w:tcBorders>
            <w:shd w:val="clear" w:color="auto" w:fill="auto"/>
            <w:vAlign w:val="bottom"/>
          </w:tcPr>
          <w:p w14:paraId="30928728"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Mutlak filtre</w:t>
            </w:r>
          </w:p>
        </w:tc>
        <w:tc>
          <w:tcPr>
            <w:tcW w:w="6960" w:type="dxa"/>
            <w:gridSpan w:val="2"/>
            <w:vMerge/>
            <w:tcBorders>
              <w:right w:val="single" w:sz="8" w:space="0" w:color="auto"/>
            </w:tcBorders>
            <w:shd w:val="clear" w:color="auto" w:fill="auto"/>
            <w:vAlign w:val="bottom"/>
          </w:tcPr>
          <w:p w14:paraId="0057E7DF" w14:textId="77777777" w:rsidR="00A52778" w:rsidRPr="00460F9E" w:rsidRDefault="00A52778" w:rsidP="00FC3F8E">
            <w:pPr>
              <w:spacing w:line="0" w:lineRule="atLeast"/>
              <w:ind w:left="80"/>
              <w:rPr>
                <w:rFonts w:eastAsia="Times New Roman" w:cs="Times New Roman"/>
                <w:b/>
              </w:rPr>
            </w:pPr>
          </w:p>
        </w:tc>
      </w:tr>
      <w:tr w:rsidR="00A52778" w:rsidRPr="00460F9E" w14:paraId="57CA8991" w14:textId="77777777" w:rsidTr="00FC3F8E">
        <w:trPr>
          <w:trHeight w:val="230"/>
        </w:trPr>
        <w:tc>
          <w:tcPr>
            <w:tcW w:w="1760" w:type="dxa"/>
            <w:tcBorders>
              <w:left w:val="single" w:sz="8" w:space="0" w:color="auto"/>
              <w:right w:val="single" w:sz="8" w:space="0" w:color="auto"/>
            </w:tcBorders>
            <w:shd w:val="clear" w:color="auto" w:fill="auto"/>
            <w:vAlign w:val="bottom"/>
          </w:tcPr>
          <w:p w14:paraId="551506E7" w14:textId="77777777" w:rsidR="00A52778" w:rsidRPr="00460F9E" w:rsidRDefault="00A52778" w:rsidP="00FC3F8E">
            <w:pPr>
              <w:spacing w:line="0" w:lineRule="atLeast"/>
              <w:rPr>
                <w:rFonts w:eastAsia="Times New Roman" w:cs="Times New Roman"/>
                <w:b/>
              </w:rPr>
            </w:pPr>
          </w:p>
        </w:tc>
        <w:tc>
          <w:tcPr>
            <w:tcW w:w="6960" w:type="dxa"/>
            <w:gridSpan w:val="2"/>
            <w:vMerge/>
            <w:tcBorders>
              <w:right w:val="single" w:sz="8" w:space="0" w:color="auto"/>
            </w:tcBorders>
            <w:shd w:val="clear" w:color="auto" w:fill="auto"/>
            <w:vAlign w:val="bottom"/>
          </w:tcPr>
          <w:p w14:paraId="22B6BF03" w14:textId="77777777" w:rsidR="00A52778" w:rsidRPr="00460F9E" w:rsidRDefault="00A52778" w:rsidP="00FC3F8E">
            <w:pPr>
              <w:spacing w:line="0" w:lineRule="atLeast"/>
              <w:ind w:left="80"/>
              <w:rPr>
                <w:rFonts w:eastAsia="Times New Roman" w:cs="Times New Roman"/>
                <w:b/>
              </w:rPr>
            </w:pPr>
          </w:p>
        </w:tc>
      </w:tr>
      <w:tr w:rsidR="00A52778" w:rsidRPr="00460F9E" w14:paraId="771E336E" w14:textId="77777777" w:rsidTr="00FC3F8E">
        <w:trPr>
          <w:trHeight w:val="233"/>
        </w:trPr>
        <w:tc>
          <w:tcPr>
            <w:tcW w:w="1760" w:type="dxa"/>
            <w:tcBorders>
              <w:left w:val="single" w:sz="8" w:space="0" w:color="auto"/>
              <w:bottom w:val="single" w:sz="8" w:space="0" w:color="auto"/>
              <w:right w:val="single" w:sz="8" w:space="0" w:color="auto"/>
            </w:tcBorders>
            <w:shd w:val="clear" w:color="auto" w:fill="auto"/>
            <w:vAlign w:val="bottom"/>
          </w:tcPr>
          <w:p w14:paraId="100C515A" w14:textId="77777777" w:rsidR="00A52778" w:rsidRPr="00460F9E" w:rsidRDefault="00A52778" w:rsidP="00FC3F8E">
            <w:pPr>
              <w:spacing w:line="0" w:lineRule="atLeast"/>
              <w:rPr>
                <w:rFonts w:eastAsia="Times New Roman" w:cs="Times New Roman"/>
                <w:b/>
              </w:rPr>
            </w:pPr>
          </w:p>
        </w:tc>
        <w:tc>
          <w:tcPr>
            <w:tcW w:w="6960" w:type="dxa"/>
            <w:gridSpan w:val="2"/>
            <w:vMerge/>
            <w:tcBorders>
              <w:bottom w:val="single" w:sz="8" w:space="0" w:color="auto"/>
              <w:right w:val="single" w:sz="8" w:space="0" w:color="auto"/>
            </w:tcBorders>
            <w:shd w:val="clear" w:color="auto" w:fill="auto"/>
            <w:vAlign w:val="bottom"/>
          </w:tcPr>
          <w:p w14:paraId="43999CB9" w14:textId="77777777" w:rsidR="00A52778" w:rsidRPr="00460F9E" w:rsidRDefault="00A52778" w:rsidP="00FC3F8E">
            <w:pPr>
              <w:spacing w:line="0" w:lineRule="atLeast"/>
              <w:ind w:left="80"/>
              <w:rPr>
                <w:rFonts w:eastAsia="Times New Roman" w:cs="Times New Roman"/>
                <w:b/>
              </w:rPr>
            </w:pPr>
          </w:p>
        </w:tc>
      </w:tr>
    </w:tbl>
    <w:p w14:paraId="5CA7F513" w14:textId="77777777" w:rsidR="00A52778" w:rsidRPr="00460F9E" w:rsidRDefault="00A52778" w:rsidP="00A52778">
      <w:pPr>
        <w:spacing w:line="20" w:lineRule="exact"/>
        <w:rPr>
          <w:rFonts w:eastAsia="Times New Roman" w:cs="Times New Roman"/>
          <w:b/>
        </w:rPr>
      </w:pPr>
    </w:p>
    <w:tbl>
      <w:tblPr>
        <w:tblW w:w="0" w:type="auto"/>
        <w:tblInd w:w="820" w:type="dxa"/>
        <w:tblLayout w:type="fixed"/>
        <w:tblCellMar>
          <w:left w:w="0" w:type="dxa"/>
          <w:right w:w="0" w:type="dxa"/>
        </w:tblCellMar>
        <w:tblLook w:val="0000" w:firstRow="0" w:lastRow="0" w:firstColumn="0" w:lastColumn="0" w:noHBand="0" w:noVBand="0"/>
      </w:tblPr>
      <w:tblGrid>
        <w:gridCol w:w="7180"/>
        <w:gridCol w:w="1360"/>
      </w:tblGrid>
      <w:tr w:rsidR="00A52778" w:rsidRPr="00460F9E" w14:paraId="7DC79F30" w14:textId="77777777" w:rsidTr="00FC3F8E">
        <w:trPr>
          <w:trHeight w:val="230"/>
        </w:trPr>
        <w:tc>
          <w:tcPr>
            <w:tcW w:w="7180" w:type="dxa"/>
            <w:shd w:val="clear" w:color="auto" w:fill="auto"/>
            <w:vAlign w:val="bottom"/>
          </w:tcPr>
          <w:p w14:paraId="3271CC52" w14:textId="77777777" w:rsidR="00A52778" w:rsidRPr="00460F9E" w:rsidRDefault="00A52778" w:rsidP="00FC3F8E">
            <w:pPr>
              <w:spacing w:line="0" w:lineRule="atLeast"/>
              <w:rPr>
                <w:rFonts w:eastAsia="Times New Roman" w:cs="Times New Roman"/>
                <w:b/>
                <w:color w:val="0000FF"/>
              </w:rPr>
            </w:pPr>
          </w:p>
        </w:tc>
        <w:tc>
          <w:tcPr>
            <w:tcW w:w="1360" w:type="dxa"/>
            <w:shd w:val="clear" w:color="auto" w:fill="auto"/>
            <w:vAlign w:val="bottom"/>
          </w:tcPr>
          <w:p w14:paraId="52B82747" w14:textId="77777777" w:rsidR="00A52778" w:rsidRPr="00460F9E" w:rsidRDefault="00A52778" w:rsidP="00FC3F8E">
            <w:pPr>
              <w:spacing w:line="0" w:lineRule="atLeast"/>
              <w:jc w:val="right"/>
              <w:rPr>
                <w:rFonts w:eastAsia="Times New Roman" w:cs="Times New Roman"/>
                <w:b/>
              </w:rPr>
            </w:pPr>
          </w:p>
        </w:tc>
      </w:tr>
    </w:tbl>
    <w:p w14:paraId="6E32F0D1" w14:textId="77777777" w:rsidR="00A52778" w:rsidRPr="00460F9E" w:rsidRDefault="00A52778" w:rsidP="00A52778">
      <w:pPr>
        <w:rPr>
          <w:rFonts w:eastAsia="Times New Roman" w:cs="Times New Roman"/>
          <w:b/>
          <w:color w:val="0000FF"/>
        </w:rPr>
        <w:sectPr w:rsidR="00A52778" w:rsidRPr="00460F9E">
          <w:pgSz w:w="11900" w:h="16838"/>
          <w:pgMar w:top="1128" w:right="1046" w:bottom="145" w:left="1440" w:header="0" w:footer="0" w:gutter="0"/>
          <w:cols w:space="0" w:equalWidth="0">
            <w:col w:w="9420"/>
          </w:cols>
          <w:docGrid w:linePitch="360"/>
        </w:sectPr>
      </w:pPr>
    </w:p>
    <w:p w14:paraId="334D6FD9" w14:textId="77777777" w:rsidR="00A52778" w:rsidRPr="00460F9E" w:rsidRDefault="00A52778" w:rsidP="00A52778">
      <w:pPr>
        <w:spacing w:line="0" w:lineRule="atLeast"/>
        <w:ind w:left="100"/>
        <w:rPr>
          <w:rFonts w:eastAsia="Times New Roman" w:cs="Times New Roman"/>
          <w:b/>
          <w:color w:val="0000FF"/>
        </w:rPr>
      </w:pPr>
      <w:bookmarkStart w:id="353" w:name="page332"/>
      <w:bookmarkEnd w:id="353"/>
    </w:p>
    <w:p w14:paraId="3CC89D4B" w14:textId="77777777" w:rsidR="00A52778" w:rsidRPr="00460F9E" w:rsidRDefault="00A52778" w:rsidP="00A52778">
      <w:pPr>
        <w:spacing w:line="20" w:lineRule="exact"/>
        <w:rPr>
          <w:rFonts w:eastAsia="Times New Roman" w:cs="Times New Roman"/>
          <w:b/>
        </w:rPr>
      </w:pPr>
    </w:p>
    <w:p w14:paraId="77470854" w14:textId="77777777" w:rsidR="00A52778" w:rsidRPr="00460F9E" w:rsidRDefault="00A52778" w:rsidP="00A52778">
      <w:pPr>
        <w:spacing w:line="156" w:lineRule="exact"/>
        <w:rPr>
          <w:rFonts w:eastAsia="Times New Roman" w:cs="Times New Roman"/>
          <w:b/>
        </w:rPr>
      </w:pPr>
    </w:p>
    <w:tbl>
      <w:tblPr>
        <w:tblW w:w="0" w:type="auto"/>
        <w:tblInd w:w="10" w:type="dxa"/>
        <w:tblLayout w:type="fixed"/>
        <w:tblCellMar>
          <w:left w:w="0" w:type="dxa"/>
          <w:right w:w="0" w:type="dxa"/>
        </w:tblCellMar>
        <w:tblLook w:val="0000" w:firstRow="0" w:lastRow="0" w:firstColumn="0" w:lastColumn="0" w:noHBand="0" w:noVBand="0"/>
      </w:tblPr>
      <w:tblGrid>
        <w:gridCol w:w="1760"/>
        <w:gridCol w:w="6960"/>
      </w:tblGrid>
      <w:tr w:rsidR="00A52778" w:rsidRPr="00460F9E" w14:paraId="20479BB3" w14:textId="77777777" w:rsidTr="00FC3F8E">
        <w:trPr>
          <w:trHeight w:val="337"/>
        </w:trPr>
        <w:tc>
          <w:tcPr>
            <w:tcW w:w="1760" w:type="dxa"/>
            <w:tcBorders>
              <w:top w:val="single" w:sz="8" w:space="0" w:color="auto"/>
              <w:left w:val="single" w:sz="8" w:space="0" w:color="auto"/>
              <w:right w:val="single" w:sz="8" w:space="0" w:color="auto"/>
            </w:tcBorders>
            <w:shd w:val="clear" w:color="auto" w:fill="auto"/>
            <w:vAlign w:val="bottom"/>
          </w:tcPr>
          <w:p w14:paraId="7B1786A8" w14:textId="77777777" w:rsidR="00A52778" w:rsidRPr="00460F9E" w:rsidRDefault="00A52778" w:rsidP="00FC3F8E">
            <w:pPr>
              <w:spacing w:line="0" w:lineRule="atLeast"/>
              <w:rPr>
                <w:rFonts w:eastAsia="Times New Roman" w:cs="Times New Roman"/>
                <w:b/>
              </w:rPr>
            </w:pPr>
          </w:p>
        </w:tc>
        <w:tc>
          <w:tcPr>
            <w:tcW w:w="6960" w:type="dxa"/>
            <w:vMerge w:val="restart"/>
            <w:tcBorders>
              <w:top w:val="single" w:sz="8" w:space="0" w:color="auto"/>
              <w:right w:val="single" w:sz="8" w:space="0" w:color="auto"/>
            </w:tcBorders>
            <w:shd w:val="clear" w:color="auto" w:fill="auto"/>
            <w:vAlign w:val="center"/>
          </w:tcPr>
          <w:p w14:paraId="5095DCE2" w14:textId="77777777" w:rsidR="00A52778" w:rsidRPr="00460F9E" w:rsidRDefault="00A52778" w:rsidP="00FC3F8E">
            <w:pPr>
              <w:spacing w:line="228" w:lineRule="exact"/>
              <w:ind w:left="100"/>
              <w:rPr>
                <w:rFonts w:eastAsia="Times New Roman" w:cs="Times New Roman"/>
                <w:b/>
              </w:rPr>
            </w:pPr>
            <w:r w:rsidRPr="00460F9E">
              <w:rPr>
                <w:rFonts w:eastAsia="Times New Roman" w:cs="Times New Roman"/>
              </w:rPr>
              <w:t>Aerosollerin damlacıklar oluşturmak üzere birleştiği düz yataklı bir filtredir. Yüksek viskoziteli damlacıklar, bertaraf edilecek artıkları içeren filtre kumaşının üzerinde kalır ve damlacıklara, aerosollere ve toza ayrılırlar. HEAF' ler özellikle yüksek viskoziteli damlacıkların işlenmesi için uygundur.</w:t>
            </w:r>
          </w:p>
        </w:tc>
      </w:tr>
      <w:tr w:rsidR="00A52778" w:rsidRPr="00460F9E" w14:paraId="70804113" w14:textId="77777777" w:rsidTr="00FC3F8E">
        <w:trPr>
          <w:trHeight w:val="230"/>
        </w:trPr>
        <w:tc>
          <w:tcPr>
            <w:tcW w:w="1760" w:type="dxa"/>
            <w:tcBorders>
              <w:left w:val="single" w:sz="8" w:space="0" w:color="auto"/>
              <w:right w:val="single" w:sz="8" w:space="0" w:color="auto"/>
            </w:tcBorders>
            <w:shd w:val="clear" w:color="auto" w:fill="auto"/>
            <w:vAlign w:val="bottom"/>
          </w:tcPr>
          <w:p w14:paraId="762CF472"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Yüksek verimli</w:t>
            </w:r>
          </w:p>
        </w:tc>
        <w:tc>
          <w:tcPr>
            <w:tcW w:w="6960" w:type="dxa"/>
            <w:vMerge/>
            <w:tcBorders>
              <w:right w:val="single" w:sz="8" w:space="0" w:color="auto"/>
            </w:tcBorders>
            <w:shd w:val="clear" w:color="auto" w:fill="auto"/>
            <w:vAlign w:val="bottom"/>
          </w:tcPr>
          <w:p w14:paraId="35AAB220" w14:textId="77777777" w:rsidR="00A52778" w:rsidRPr="00460F9E" w:rsidRDefault="00A52778" w:rsidP="00FC3F8E">
            <w:pPr>
              <w:spacing w:line="228" w:lineRule="exact"/>
              <w:ind w:left="100"/>
              <w:rPr>
                <w:rFonts w:eastAsia="Times New Roman" w:cs="Times New Roman"/>
                <w:b/>
              </w:rPr>
            </w:pPr>
          </w:p>
        </w:tc>
      </w:tr>
      <w:tr w:rsidR="00A52778" w:rsidRPr="00460F9E" w14:paraId="60A259BC" w14:textId="77777777" w:rsidTr="00FC3F8E">
        <w:trPr>
          <w:trHeight w:val="231"/>
        </w:trPr>
        <w:tc>
          <w:tcPr>
            <w:tcW w:w="1760" w:type="dxa"/>
            <w:tcBorders>
              <w:left w:val="single" w:sz="8" w:space="0" w:color="auto"/>
              <w:right w:val="single" w:sz="8" w:space="0" w:color="auto"/>
            </w:tcBorders>
            <w:shd w:val="clear" w:color="auto" w:fill="auto"/>
            <w:vAlign w:val="bottom"/>
          </w:tcPr>
          <w:p w14:paraId="034D72BD"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hava filtresi (HEAF)</w:t>
            </w:r>
          </w:p>
        </w:tc>
        <w:tc>
          <w:tcPr>
            <w:tcW w:w="6960" w:type="dxa"/>
            <w:vMerge/>
            <w:tcBorders>
              <w:right w:val="single" w:sz="8" w:space="0" w:color="auto"/>
            </w:tcBorders>
            <w:shd w:val="clear" w:color="auto" w:fill="auto"/>
            <w:vAlign w:val="bottom"/>
          </w:tcPr>
          <w:p w14:paraId="4D376173" w14:textId="77777777" w:rsidR="00A52778" w:rsidRPr="00460F9E" w:rsidRDefault="00A52778" w:rsidP="00FC3F8E">
            <w:pPr>
              <w:spacing w:line="228" w:lineRule="exact"/>
              <w:ind w:left="100"/>
              <w:rPr>
                <w:rFonts w:eastAsia="Times New Roman" w:cs="Times New Roman"/>
                <w:b/>
              </w:rPr>
            </w:pPr>
          </w:p>
        </w:tc>
      </w:tr>
      <w:tr w:rsidR="00A52778" w:rsidRPr="00460F9E" w14:paraId="01E10863" w14:textId="77777777" w:rsidTr="00FC3F8E">
        <w:trPr>
          <w:trHeight w:val="228"/>
        </w:trPr>
        <w:tc>
          <w:tcPr>
            <w:tcW w:w="1760" w:type="dxa"/>
            <w:tcBorders>
              <w:left w:val="single" w:sz="8" w:space="0" w:color="auto"/>
              <w:right w:val="single" w:sz="8" w:space="0" w:color="auto"/>
            </w:tcBorders>
            <w:shd w:val="clear" w:color="auto" w:fill="auto"/>
            <w:vAlign w:val="bottom"/>
          </w:tcPr>
          <w:p w14:paraId="4F5973C9" w14:textId="77777777" w:rsidR="00A52778" w:rsidRPr="00460F9E" w:rsidRDefault="00A52778" w:rsidP="00FC3F8E">
            <w:pPr>
              <w:spacing w:line="0" w:lineRule="atLeast"/>
              <w:rPr>
                <w:rFonts w:eastAsia="Times New Roman" w:cs="Times New Roman"/>
                <w:b/>
                <w:sz w:val="19"/>
              </w:rPr>
            </w:pPr>
          </w:p>
        </w:tc>
        <w:tc>
          <w:tcPr>
            <w:tcW w:w="6960" w:type="dxa"/>
            <w:vMerge/>
            <w:tcBorders>
              <w:right w:val="single" w:sz="8" w:space="0" w:color="auto"/>
            </w:tcBorders>
            <w:shd w:val="clear" w:color="auto" w:fill="auto"/>
            <w:vAlign w:val="bottom"/>
          </w:tcPr>
          <w:p w14:paraId="35BBD4D7" w14:textId="77777777" w:rsidR="00A52778" w:rsidRPr="00460F9E" w:rsidRDefault="00A52778" w:rsidP="00FC3F8E">
            <w:pPr>
              <w:spacing w:line="228" w:lineRule="exact"/>
              <w:ind w:left="100"/>
              <w:rPr>
                <w:rFonts w:eastAsia="Times New Roman" w:cs="Times New Roman"/>
                <w:b/>
              </w:rPr>
            </w:pPr>
          </w:p>
        </w:tc>
      </w:tr>
      <w:tr w:rsidR="00A52778" w:rsidRPr="00460F9E" w14:paraId="52391BA1" w14:textId="77777777" w:rsidTr="00FC3F8E">
        <w:trPr>
          <w:trHeight w:val="109"/>
        </w:trPr>
        <w:tc>
          <w:tcPr>
            <w:tcW w:w="1760" w:type="dxa"/>
            <w:tcBorders>
              <w:left w:val="single" w:sz="8" w:space="0" w:color="auto"/>
              <w:bottom w:val="single" w:sz="8" w:space="0" w:color="auto"/>
              <w:right w:val="single" w:sz="8" w:space="0" w:color="auto"/>
            </w:tcBorders>
            <w:shd w:val="clear" w:color="auto" w:fill="auto"/>
            <w:vAlign w:val="bottom"/>
          </w:tcPr>
          <w:p w14:paraId="310B6DFF" w14:textId="77777777" w:rsidR="00A52778" w:rsidRPr="00460F9E" w:rsidRDefault="00A52778" w:rsidP="00FC3F8E">
            <w:pPr>
              <w:spacing w:line="0" w:lineRule="atLeast"/>
              <w:rPr>
                <w:rFonts w:eastAsia="Times New Roman" w:cs="Times New Roman"/>
                <w:b/>
                <w:sz w:val="9"/>
              </w:rPr>
            </w:pPr>
          </w:p>
        </w:tc>
        <w:tc>
          <w:tcPr>
            <w:tcW w:w="6960" w:type="dxa"/>
            <w:tcBorders>
              <w:bottom w:val="single" w:sz="8" w:space="0" w:color="auto"/>
              <w:right w:val="single" w:sz="8" w:space="0" w:color="auto"/>
            </w:tcBorders>
            <w:shd w:val="clear" w:color="auto" w:fill="auto"/>
            <w:vAlign w:val="bottom"/>
          </w:tcPr>
          <w:p w14:paraId="1E8793AD" w14:textId="77777777" w:rsidR="00A52778" w:rsidRPr="00460F9E" w:rsidRDefault="00A52778" w:rsidP="00FC3F8E">
            <w:pPr>
              <w:spacing w:line="0" w:lineRule="atLeast"/>
              <w:rPr>
                <w:rFonts w:eastAsia="Times New Roman" w:cs="Times New Roman"/>
                <w:b/>
                <w:sz w:val="9"/>
              </w:rPr>
            </w:pPr>
          </w:p>
        </w:tc>
      </w:tr>
      <w:tr w:rsidR="00A52778" w:rsidRPr="00460F9E" w14:paraId="6A351F2B" w14:textId="77777777" w:rsidTr="00FC3F8E">
        <w:trPr>
          <w:trHeight w:val="317"/>
        </w:trPr>
        <w:tc>
          <w:tcPr>
            <w:tcW w:w="1760" w:type="dxa"/>
            <w:tcBorders>
              <w:left w:val="single" w:sz="8" w:space="0" w:color="auto"/>
              <w:right w:val="single" w:sz="8" w:space="0" w:color="auto"/>
            </w:tcBorders>
            <w:shd w:val="clear" w:color="auto" w:fill="auto"/>
            <w:vAlign w:val="bottom"/>
          </w:tcPr>
          <w:p w14:paraId="73E5C9C6" w14:textId="77777777" w:rsidR="00A52778" w:rsidRPr="00460F9E" w:rsidRDefault="00A52778" w:rsidP="00FC3F8E">
            <w:pPr>
              <w:spacing w:line="0" w:lineRule="atLeast"/>
              <w:rPr>
                <w:rFonts w:eastAsia="Times New Roman" w:cs="Times New Roman"/>
                <w:b/>
              </w:rPr>
            </w:pPr>
          </w:p>
        </w:tc>
        <w:tc>
          <w:tcPr>
            <w:tcW w:w="6960" w:type="dxa"/>
            <w:vMerge w:val="restart"/>
            <w:tcBorders>
              <w:right w:val="single" w:sz="8" w:space="0" w:color="auto"/>
            </w:tcBorders>
            <w:shd w:val="clear" w:color="auto" w:fill="auto"/>
            <w:vAlign w:val="bottom"/>
          </w:tcPr>
          <w:p w14:paraId="517AAC69" w14:textId="77777777" w:rsidR="00A52778" w:rsidRPr="00460F9E" w:rsidRDefault="00A52778" w:rsidP="00FC3F8E">
            <w:pPr>
              <w:spacing w:line="228" w:lineRule="exact"/>
              <w:ind w:left="100"/>
              <w:rPr>
                <w:rFonts w:eastAsia="Times New Roman" w:cs="Times New Roman"/>
                <w:b/>
              </w:rPr>
            </w:pPr>
            <w:r w:rsidRPr="00460F9E">
              <w:rPr>
                <w:rFonts w:eastAsia="Times New Roman" w:cs="Times New Roman"/>
              </w:rPr>
              <w:t>Genellikle torba filtre olarak adlandırılan kumaş filtreler, partikülleri gidermek için gazların içinden geçirildiği gözenekli dokuma veya keçeli kumaştan yapılırlar. Bir kumaş filtrenin kullanılması, içinden geçirilecek atık gazın özelliklerine ve maksimum çalışma sıcaklığına uygun bir kumaşın seçilmesini gerektirir.</w:t>
            </w:r>
          </w:p>
        </w:tc>
      </w:tr>
      <w:tr w:rsidR="00A52778" w:rsidRPr="00460F9E" w14:paraId="466E9935" w14:textId="77777777" w:rsidTr="00FC3F8E">
        <w:trPr>
          <w:trHeight w:val="345"/>
        </w:trPr>
        <w:tc>
          <w:tcPr>
            <w:tcW w:w="1760" w:type="dxa"/>
            <w:tcBorders>
              <w:left w:val="single" w:sz="8" w:space="0" w:color="auto"/>
              <w:bottom w:val="nil"/>
              <w:right w:val="single" w:sz="8" w:space="0" w:color="auto"/>
            </w:tcBorders>
            <w:shd w:val="clear" w:color="auto" w:fill="auto"/>
            <w:vAlign w:val="bottom"/>
          </w:tcPr>
          <w:p w14:paraId="12F9AB76"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Kumaş filtre</w:t>
            </w:r>
          </w:p>
        </w:tc>
        <w:tc>
          <w:tcPr>
            <w:tcW w:w="6960" w:type="dxa"/>
            <w:vMerge/>
            <w:tcBorders>
              <w:bottom w:val="nil"/>
              <w:right w:val="single" w:sz="8" w:space="0" w:color="auto"/>
            </w:tcBorders>
            <w:shd w:val="clear" w:color="auto" w:fill="auto"/>
            <w:vAlign w:val="bottom"/>
          </w:tcPr>
          <w:p w14:paraId="0F33847E" w14:textId="77777777" w:rsidR="00A52778" w:rsidRPr="00460F9E" w:rsidRDefault="00A52778" w:rsidP="00FC3F8E">
            <w:pPr>
              <w:spacing w:line="228" w:lineRule="exact"/>
              <w:ind w:left="100"/>
              <w:rPr>
                <w:rFonts w:eastAsia="Times New Roman" w:cs="Times New Roman"/>
                <w:b/>
              </w:rPr>
            </w:pPr>
          </w:p>
        </w:tc>
      </w:tr>
      <w:tr w:rsidR="00A52778" w:rsidRPr="00460F9E" w14:paraId="6FCEA509" w14:textId="77777777" w:rsidTr="00FC3F8E">
        <w:trPr>
          <w:trHeight w:val="115"/>
        </w:trPr>
        <w:tc>
          <w:tcPr>
            <w:tcW w:w="1760" w:type="dxa"/>
            <w:tcBorders>
              <w:left w:val="single" w:sz="8" w:space="0" w:color="auto"/>
              <w:right w:val="single" w:sz="8" w:space="0" w:color="auto"/>
            </w:tcBorders>
            <w:shd w:val="clear" w:color="auto" w:fill="auto"/>
            <w:vAlign w:val="bottom"/>
          </w:tcPr>
          <w:p w14:paraId="1BF87261" w14:textId="77777777" w:rsidR="00A52778" w:rsidRPr="00460F9E" w:rsidRDefault="00A52778" w:rsidP="00FC3F8E">
            <w:pPr>
              <w:spacing w:line="0" w:lineRule="atLeast"/>
              <w:rPr>
                <w:rFonts w:eastAsia="Times New Roman" w:cs="Times New Roman"/>
                <w:b/>
                <w:sz w:val="10"/>
              </w:rPr>
            </w:pPr>
          </w:p>
        </w:tc>
        <w:tc>
          <w:tcPr>
            <w:tcW w:w="6960" w:type="dxa"/>
            <w:vMerge/>
            <w:tcBorders>
              <w:right w:val="single" w:sz="8" w:space="0" w:color="auto"/>
            </w:tcBorders>
            <w:shd w:val="clear" w:color="auto" w:fill="auto"/>
            <w:vAlign w:val="bottom"/>
          </w:tcPr>
          <w:p w14:paraId="2548AAD6" w14:textId="77777777" w:rsidR="00A52778" w:rsidRPr="00460F9E" w:rsidRDefault="00A52778" w:rsidP="00FC3F8E">
            <w:pPr>
              <w:spacing w:line="228" w:lineRule="exact"/>
              <w:ind w:left="100"/>
              <w:rPr>
                <w:rFonts w:eastAsia="Times New Roman" w:cs="Times New Roman"/>
                <w:b/>
                <w:sz w:val="10"/>
              </w:rPr>
            </w:pPr>
          </w:p>
        </w:tc>
      </w:tr>
      <w:tr w:rsidR="00A52778" w:rsidRPr="00460F9E" w14:paraId="12A65066" w14:textId="77777777" w:rsidTr="00FC3F8E">
        <w:trPr>
          <w:trHeight w:val="228"/>
        </w:trPr>
        <w:tc>
          <w:tcPr>
            <w:tcW w:w="1760" w:type="dxa"/>
            <w:tcBorders>
              <w:left w:val="single" w:sz="8" w:space="0" w:color="auto"/>
              <w:right w:val="single" w:sz="8" w:space="0" w:color="auto"/>
            </w:tcBorders>
            <w:shd w:val="clear" w:color="auto" w:fill="auto"/>
            <w:vAlign w:val="bottom"/>
          </w:tcPr>
          <w:p w14:paraId="659E4D8B" w14:textId="77777777" w:rsidR="00A52778" w:rsidRPr="00460F9E" w:rsidRDefault="00A52778" w:rsidP="00FC3F8E">
            <w:pPr>
              <w:spacing w:line="0" w:lineRule="atLeast"/>
              <w:rPr>
                <w:rFonts w:eastAsia="Times New Roman" w:cs="Times New Roman"/>
                <w:b/>
                <w:sz w:val="19"/>
              </w:rPr>
            </w:pPr>
          </w:p>
        </w:tc>
        <w:tc>
          <w:tcPr>
            <w:tcW w:w="6960" w:type="dxa"/>
            <w:vMerge/>
            <w:tcBorders>
              <w:right w:val="single" w:sz="8" w:space="0" w:color="auto"/>
            </w:tcBorders>
            <w:shd w:val="clear" w:color="auto" w:fill="auto"/>
            <w:vAlign w:val="bottom"/>
          </w:tcPr>
          <w:p w14:paraId="0511B055" w14:textId="77777777" w:rsidR="00A52778" w:rsidRPr="00460F9E" w:rsidRDefault="00A52778" w:rsidP="00FC3F8E">
            <w:pPr>
              <w:spacing w:line="228" w:lineRule="exact"/>
              <w:ind w:left="100"/>
              <w:rPr>
                <w:rFonts w:eastAsia="Times New Roman" w:cs="Times New Roman"/>
                <w:b/>
              </w:rPr>
            </w:pPr>
          </w:p>
        </w:tc>
      </w:tr>
      <w:tr w:rsidR="00A52778" w:rsidRPr="00460F9E" w14:paraId="1F367A31" w14:textId="77777777" w:rsidTr="00FC3F8E">
        <w:trPr>
          <w:trHeight w:val="109"/>
        </w:trPr>
        <w:tc>
          <w:tcPr>
            <w:tcW w:w="1760" w:type="dxa"/>
            <w:tcBorders>
              <w:left w:val="single" w:sz="8" w:space="0" w:color="auto"/>
              <w:bottom w:val="single" w:sz="8" w:space="0" w:color="auto"/>
              <w:right w:val="single" w:sz="8" w:space="0" w:color="auto"/>
            </w:tcBorders>
            <w:shd w:val="clear" w:color="auto" w:fill="auto"/>
            <w:vAlign w:val="bottom"/>
          </w:tcPr>
          <w:p w14:paraId="11671048" w14:textId="77777777" w:rsidR="00A52778" w:rsidRPr="00460F9E" w:rsidRDefault="00A52778" w:rsidP="00FC3F8E">
            <w:pPr>
              <w:spacing w:line="0" w:lineRule="atLeast"/>
              <w:rPr>
                <w:rFonts w:eastAsia="Times New Roman" w:cs="Times New Roman"/>
                <w:b/>
                <w:sz w:val="9"/>
              </w:rPr>
            </w:pPr>
          </w:p>
        </w:tc>
        <w:tc>
          <w:tcPr>
            <w:tcW w:w="6960" w:type="dxa"/>
            <w:tcBorders>
              <w:bottom w:val="single" w:sz="8" w:space="0" w:color="auto"/>
              <w:right w:val="single" w:sz="8" w:space="0" w:color="auto"/>
            </w:tcBorders>
            <w:shd w:val="clear" w:color="auto" w:fill="auto"/>
            <w:vAlign w:val="bottom"/>
          </w:tcPr>
          <w:p w14:paraId="39E8489D" w14:textId="77777777" w:rsidR="00A52778" w:rsidRPr="00460F9E" w:rsidRDefault="00A52778" w:rsidP="00FC3F8E">
            <w:pPr>
              <w:spacing w:line="0" w:lineRule="atLeast"/>
              <w:rPr>
                <w:rFonts w:eastAsia="Times New Roman" w:cs="Times New Roman"/>
                <w:b/>
                <w:sz w:val="9"/>
              </w:rPr>
            </w:pPr>
          </w:p>
        </w:tc>
      </w:tr>
      <w:tr w:rsidR="00A52778" w:rsidRPr="00460F9E" w14:paraId="575F803B" w14:textId="77777777" w:rsidTr="00FC3F8E">
        <w:trPr>
          <w:trHeight w:val="304"/>
        </w:trPr>
        <w:tc>
          <w:tcPr>
            <w:tcW w:w="1760" w:type="dxa"/>
            <w:tcBorders>
              <w:left w:val="single" w:sz="8" w:space="0" w:color="auto"/>
              <w:right w:val="single" w:sz="8" w:space="0" w:color="auto"/>
            </w:tcBorders>
            <w:shd w:val="clear" w:color="auto" w:fill="auto"/>
            <w:vAlign w:val="bottom"/>
          </w:tcPr>
          <w:p w14:paraId="07FA6466" w14:textId="77777777" w:rsidR="00A52778" w:rsidRPr="00460F9E" w:rsidRDefault="00A52778" w:rsidP="00FC3F8E">
            <w:pPr>
              <w:spacing w:line="0" w:lineRule="atLeast"/>
              <w:rPr>
                <w:rFonts w:eastAsia="Times New Roman" w:cs="Times New Roman"/>
                <w:b/>
              </w:rPr>
            </w:pPr>
          </w:p>
        </w:tc>
        <w:tc>
          <w:tcPr>
            <w:tcW w:w="6960" w:type="dxa"/>
            <w:vMerge w:val="restart"/>
            <w:tcBorders>
              <w:right w:val="single" w:sz="8" w:space="0" w:color="auto"/>
            </w:tcBorders>
            <w:shd w:val="clear" w:color="auto" w:fill="auto"/>
            <w:vAlign w:val="center"/>
          </w:tcPr>
          <w:p w14:paraId="2BEA522E" w14:textId="77777777" w:rsidR="00A52778" w:rsidRPr="00460F9E" w:rsidRDefault="00A52778" w:rsidP="00FC3F8E">
            <w:pPr>
              <w:spacing w:line="228" w:lineRule="exact"/>
              <w:ind w:left="100"/>
              <w:rPr>
                <w:rFonts w:eastAsia="Times New Roman" w:cs="Times New Roman"/>
                <w:b/>
              </w:rPr>
            </w:pPr>
            <w:r w:rsidRPr="00460F9E">
              <w:rPr>
                <w:rFonts w:eastAsia="Times New Roman" w:cs="Times New Roman"/>
              </w:rPr>
              <w:t>Bu teknik (ultra düşük NO</w:t>
            </w:r>
            <w:r w:rsidRPr="00460F9E">
              <w:rPr>
                <w:rFonts w:eastAsia="Times New Roman" w:cs="Times New Roman"/>
                <w:vertAlign w:val="subscript"/>
              </w:rPr>
              <w:t>X</w:t>
            </w:r>
            <w:r w:rsidRPr="00460F9E">
              <w:rPr>
                <w:rFonts w:eastAsia="Times New Roman" w:cs="Times New Roman"/>
              </w:rPr>
              <w:t xml:space="preserve"> brülörü dahil) tepe alev sıcaklıklarının düşürülmesi prensiplerine dayanmaktadır. Hava/yakıt karışımı oksijen kullanılabilirliğini azaltır ve tepe alev sıcaklığını düşürür, böylece yakıta bağlı azotun NO</w:t>
            </w:r>
            <w:r w:rsidRPr="00460F9E">
              <w:rPr>
                <w:rFonts w:eastAsia="Times New Roman" w:cs="Times New Roman"/>
                <w:vertAlign w:val="subscript"/>
              </w:rPr>
              <w:t>X</w:t>
            </w:r>
            <w:r w:rsidRPr="00460F9E">
              <w:rPr>
                <w:rFonts w:eastAsia="Times New Roman" w:cs="Times New Roman"/>
              </w:rPr>
              <w:t>' e dönüşümünü ve termal NO</w:t>
            </w:r>
            <w:r w:rsidRPr="00460F9E">
              <w:rPr>
                <w:rFonts w:eastAsia="Times New Roman" w:cs="Times New Roman"/>
                <w:vertAlign w:val="subscript"/>
              </w:rPr>
              <w:t>X</w:t>
            </w:r>
            <w:r w:rsidRPr="00460F9E">
              <w:rPr>
                <w:rFonts w:eastAsia="Times New Roman" w:cs="Times New Roman"/>
              </w:rPr>
              <w:t xml:space="preserve"> oluşumunu geciktirirken yüksek yanma verimini korur. Ultra düşük NO</w:t>
            </w:r>
            <w:r w:rsidRPr="00460F9E">
              <w:rPr>
                <w:rFonts w:eastAsia="Times New Roman" w:cs="Times New Roman"/>
                <w:vertAlign w:val="subscript"/>
              </w:rPr>
              <w:t>X</w:t>
            </w:r>
            <w:r w:rsidRPr="00460F9E">
              <w:rPr>
                <w:rFonts w:eastAsia="Times New Roman" w:cs="Times New Roman"/>
              </w:rPr>
              <w:t xml:space="preserve"> brülörlerinin tasarımı (hava/yakıt) kademelendirme ve egzoz/baca gazı döngüsünü içerir.   </w:t>
            </w:r>
          </w:p>
        </w:tc>
      </w:tr>
      <w:tr w:rsidR="00A52778" w:rsidRPr="00460F9E" w14:paraId="67D947D8" w14:textId="77777777" w:rsidTr="00FC3F8E">
        <w:trPr>
          <w:trHeight w:val="227"/>
        </w:trPr>
        <w:tc>
          <w:tcPr>
            <w:tcW w:w="1760" w:type="dxa"/>
            <w:tcBorders>
              <w:left w:val="single" w:sz="8" w:space="0" w:color="auto"/>
              <w:right w:val="single" w:sz="8" w:space="0" w:color="auto"/>
            </w:tcBorders>
            <w:shd w:val="clear" w:color="auto" w:fill="auto"/>
            <w:vAlign w:val="bottom"/>
          </w:tcPr>
          <w:p w14:paraId="05C74941" w14:textId="77777777" w:rsidR="00A52778" w:rsidRPr="00460F9E" w:rsidRDefault="00A52778" w:rsidP="00FC3F8E">
            <w:pPr>
              <w:spacing w:line="0" w:lineRule="atLeast"/>
              <w:rPr>
                <w:rFonts w:eastAsia="Times New Roman" w:cs="Times New Roman"/>
                <w:b/>
                <w:sz w:val="19"/>
              </w:rPr>
            </w:pPr>
          </w:p>
        </w:tc>
        <w:tc>
          <w:tcPr>
            <w:tcW w:w="6960" w:type="dxa"/>
            <w:vMerge/>
            <w:tcBorders>
              <w:right w:val="single" w:sz="8" w:space="0" w:color="auto"/>
            </w:tcBorders>
            <w:shd w:val="clear" w:color="auto" w:fill="auto"/>
            <w:vAlign w:val="bottom"/>
          </w:tcPr>
          <w:p w14:paraId="4951F2B8" w14:textId="77777777" w:rsidR="00A52778" w:rsidRPr="00460F9E" w:rsidRDefault="00A52778" w:rsidP="00FC3F8E">
            <w:pPr>
              <w:spacing w:line="228" w:lineRule="exact"/>
              <w:ind w:left="100"/>
              <w:rPr>
                <w:rFonts w:eastAsia="Times New Roman" w:cs="Times New Roman"/>
                <w:b/>
              </w:rPr>
            </w:pPr>
          </w:p>
        </w:tc>
      </w:tr>
      <w:tr w:rsidR="00A52778" w:rsidRPr="00460F9E" w14:paraId="425B9CDF" w14:textId="77777777" w:rsidTr="00FC3F8E">
        <w:trPr>
          <w:trHeight w:val="460"/>
        </w:trPr>
        <w:tc>
          <w:tcPr>
            <w:tcW w:w="1760" w:type="dxa"/>
            <w:tcBorders>
              <w:left w:val="single" w:sz="8" w:space="0" w:color="auto"/>
              <w:bottom w:val="nil"/>
              <w:right w:val="single" w:sz="8" w:space="0" w:color="auto"/>
            </w:tcBorders>
            <w:shd w:val="clear" w:color="auto" w:fill="auto"/>
            <w:vAlign w:val="bottom"/>
          </w:tcPr>
          <w:p w14:paraId="15A622DB"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Düşük- NO</w:t>
            </w:r>
            <w:r w:rsidRPr="00460F9E">
              <w:rPr>
                <w:rFonts w:eastAsia="Times New Roman" w:cs="Times New Roman"/>
                <w:vertAlign w:val="subscript"/>
              </w:rPr>
              <w:t>X</w:t>
            </w:r>
            <w:r w:rsidRPr="00460F9E">
              <w:rPr>
                <w:rFonts w:eastAsia="Times New Roman" w:cs="Times New Roman"/>
              </w:rPr>
              <w:t xml:space="preserve"> ‘ e haiz brülör</w:t>
            </w:r>
          </w:p>
        </w:tc>
        <w:tc>
          <w:tcPr>
            <w:tcW w:w="6960" w:type="dxa"/>
            <w:vMerge/>
            <w:tcBorders>
              <w:bottom w:val="nil"/>
              <w:right w:val="single" w:sz="8" w:space="0" w:color="auto"/>
            </w:tcBorders>
            <w:shd w:val="clear" w:color="auto" w:fill="auto"/>
            <w:vAlign w:val="bottom"/>
          </w:tcPr>
          <w:p w14:paraId="2193E8ED" w14:textId="77777777" w:rsidR="00A52778" w:rsidRPr="00460F9E" w:rsidRDefault="00A52778" w:rsidP="00FC3F8E">
            <w:pPr>
              <w:spacing w:line="228" w:lineRule="exact"/>
              <w:ind w:left="100"/>
              <w:rPr>
                <w:rFonts w:eastAsia="Times New Roman" w:cs="Times New Roman"/>
                <w:b/>
              </w:rPr>
            </w:pPr>
          </w:p>
        </w:tc>
      </w:tr>
      <w:tr w:rsidR="00A52778" w:rsidRPr="00460F9E" w14:paraId="315910C1" w14:textId="77777777" w:rsidTr="00FC3F8E">
        <w:trPr>
          <w:trHeight w:val="115"/>
        </w:trPr>
        <w:tc>
          <w:tcPr>
            <w:tcW w:w="1760" w:type="dxa"/>
            <w:tcBorders>
              <w:left w:val="single" w:sz="8" w:space="0" w:color="auto"/>
              <w:right w:val="single" w:sz="8" w:space="0" w:color="auto"/>
            </w:tcBorders>
            <w:shd w:val="clear" w:color="auto" w:fill="auto"/>
            <w:vAlign w:val="bottom"/>
          </w:tcPr>
          <w:p w14:paraId="4F9DE982" w14:textId="77777777" w:rsidR="00A52778" w:rsidRPr="00460F9E" w:rsidRDefault="00A52778" w:rsidP="00FC3F8E">
            <w:pPr>
              <w:spacing w:line="0" w:lineRule="atLeast"/>
              <w:rPr>
                <w:rFonts w:eastAsia="Times New Roman" w:cs="Times New Roman"/>
                <w:b/>
                <w:sz w:val="10"/>
              </w:rPr>
            </w:pPr>
          </w:p>
        </w:tc>
        <w:tc>
          <w:tcPr>
            <w:tcW w:w="6960" w:type="dxa"/>
            <w:vMerge/>
            <w:tcBorders>
              <w:right w:val="single" w:sz="8" w:space="0" w:color="auto"/>
            </w:tcBorders>
            <w:shd w:val="clear" w:color="auto" w:fill="auto"/>
            <w:vAlign w:val="bottom"/>
          </w:tcPr>
          <w:p w14:paraId="7813F98A" w14:textId="77777777" w:rsidR="00A52778" w:rsidRPr="00460F9E" w:rsidRDefault="00A52778" w:rsidP="00FC3F8E">
            <w:pPr>
              <w:spacing w:line="228" w:lineRule="exact"/>
              <w:ind w:left="100"/>
              <w:rPr>
                <w:rFonts w:eastAsia="Times New Roman" w:cs="Times New Roman"/>
                <w:b/>
                <w:sz w:val="10"/>
              </w:rPr>
            </w:pPr>
          </w:p>
        </w:tc>
      </w:tr>
      <w:tr w:rsidR="00A52778" w:rsidRPr="00460F9E" w14:paraId="54C0D3E2" w14:textId="77777777" w:rsidTr="00FC3F8E">
        <w:trPr>
          <w:trHeight w:val="230"/>
        </w:trPr>
        <w:tc>
          <w:tcPr>
            <w:tcW w:w="1760" w:type="dxa"/>
            <w:tcBorders>
              <w:left w:val="single" w:sz="8" w:space="0" w:color="auto"/>
              <w:right w:val="single" w:sz="8" w:space="0" w:color="auto"/>
            </w:tcBorders>
            <w:shd w:val="clear" w:color="auto" w:fill="auto"/>
            <w:vAlign w:val="bottom"/>
          </w:tcPr>
          <w:p w14:paraId="40E48C10" w14:textId="77777777" w:rsidR="00A52778" w:rsidRPr="00460F9E" w:rsidRDefault="00A52778" w:rsidP="00FC3F8E">
            <w:pPr>
              <w:spacing w:line="0" w:lineRule="atLeast"/>
              <w:rPr>
                <w:rFonts w:eastAsia="Times New Roman" w:cs="Times New Roman"/>
                <w:b/>
              </w:rPr>
            </w:pPr>
          </w:p>
        </w:tc>
        <w:tc>
          <w:tcPr>
            <w:tcW w:w="6960" w:type="dxa"/>
            <w:vMerge/>
            <w:tcBorders>
              <w:right w:val="single" w:sz="8" w:space="0" w:color="auto"/>
            </w:tcBorders>
            <w:shd w:val="clear" w:color="auto" w:fill="auto"/>
            <w:vAlign w:val="bottom"/>
          </w:tcPr>
          <w:p w14:paraId="1ADE1463" w14:textId="77777777" w:rsidR="00A52778" w:rsidRPr="00460F9E" w:rsidRDefault="00A52778" w:rsidP="00FC3F8E">
            <w:pPr>
              <w:spacing w:line="228" w:lineRule="exact"/>
              <w:ind w:left="100"/>
              <w:rPr>
                <w:rFonts w:eastAsia="Times New Roman" w:cs="Times New Roman"/>
                <w:b/>
              </w:rPr>
            </w:pPr>
          </w:p>
        </w:tc>
      </w:tr>
      <w:tr w:rsidR="00A52778" w:rsidRPr="00460F9E" w14:paraId="5A37783E" w14:textId="77777777" w:rsidTr="00FC3F8E">
        <w:trPr>
          <w:trHeight w:val="227"/>
        </w:trPr>
        <w:tc>
          <w:tcPr>
            <w:tcW w:w="1760" w:type="dxa"/>
            <w:tcBorders>
              <w:left w:val="single" w:sz="8" w:space="0" w:color="auto"/>
              <w:right w:val="single" w:sz="8" w:space="0" w:color="auto"/>
            </w:tcBorders>
            <w:shd w:val="clear" w:color="auto" w:fill="auto"/>
            <w:vAlign w:val="bottom"/>
          </w:tcPr>
          <w:p w14:paraId="048D6E9B" w14:textId="77777777" w:rsidR="00A52778" w:rsidRPr="00460F9E" w:rsidRDefault="00A52778" w:rsidP="00FC3F8E">
            <w:pPr>
              <w:spacing w:line="0" w:lineRule="atLeast"/>
              <w:rPr>
                <w:rFonts w:eastAsia="Times New Roman" w:cs="Times New Roman"/>
                <w:b/>
                <w:sz w:val="19"/>
              </w:rPr>
            </w:pPr>
          </w:p>
        </w:tc>
        <w:tc>
          <w:tcPr>
            <w:tcW w:w="6960" w:type="dxa"/>
            <w:vMerge/>
            <w:tcBorders>
              <w:right w:val="single" w:sz="8" w:space="0" w:color="auto"/>
            </w:tcBorders>
            <w:shd w:val="clear" w:color="auto" w:fill="auto"/>
            <w:vAlign w:val="bottom"/>
          </w:tcPr>
          <w:p w14:paraId="40D8DA32" w14:textId="77777777" w:rsidR="00A52778" w:rsidRPr="00460F9E" w:rsidRDefault="00A52778" w:rsidP="00FC3F8E">
            <w:pPr>
              <w:spacing w:line="228" w:lineRule="exact"/>
              <w:ind w:left="100"/>
              <w:rPr>
                <w:rFonts w:eastAsia="Times New Roman" w:cs="Times New Roman"/>
                <w:b/>
              </w:rPr>
            </w:pPr>
          </w:p>
        </w:tc>
      </w:tr>
      <w:tr w:rsidR="00A52778" w:rsidRPr="00460F9E" w14:paraId="3A407591" w14:textId="77777777" w:rsidTr="00FC3F8E">
        <w:trPr>
          <w:trHeight w:val="92"/>
        </w:trPr>
        <w:tc>
          <w:tcPr>
            <w:tcW w:w="1760" w:type="dxa"/>
            <w:tcBorders>
              <w:left w:val="single" w:sz="8" w:space="0" w:color="auto"/>
              <w:bottom w:val="single" w:sz="8" w:space="0" w:color="auto"/>
              <w:right w:val="single" w:sz="8" w:space="0" w:color="auto"/>
            </w:tcBorders>
            <w:shd w:val="clear" w:color="auto" w:fill="auto"/>
            <w:vAlign w:val="bottom"/>
          </w:tcPr>
          <w:p w14:paraId="1D0CD8B0" w14:textId="77777777" w:rsidR="00A52778" w:rsidRPr="00460F9E" w:rsidRDefault="00A52778" w:rsidP="00FC3F8E">
            <w:pPr>
              <w:spacing w:line="0" w:lineRule="atLeast"/>
              <w:rPr>
                <w:rFonts w:eastAsia="Times New Roman" w:cs="Times New Roman"/>
                <w:b/>
                <w:sz w:val="8"/>
              </w:rPr>
            </w:pPr>
          </w:p>
        </w:tc>
        <w:tc>
          <w:tcPr>
            <w:tcW w:w="6960" w:type="dxa"/>
            <w:tcBorders>
              <w:bottom w:val="single" w:sz="8" w:space="0" w:color="auto"/>
              <w:right w:val="single" w:sz="8" w:space="0" w:color="auto"/>
            </w:tcBorders>
            <w:shd w:val="clear" w:color="auto" w:fill="auto"/>
            <w:vAlign w:val="bottom"/>
          </w:tcPr>
          <w:p w14:paraId="10E19C93" w14:textId="77777777" w:rsidR="00A52778" w:rsidRPr="00460F9E" w:rsidRDefault="00A52778" w:rsidP="00FC3F8E">
            <w:pPr>
              <w:spacing w:line="0" w:lineRule="atLeast"/>
              <w:rPr>
                <w:rFonts w:eastAsia="Times New Roman" w:cs="Times New Roman"/>
                <w:b/>
                <w:sz w:val="8"/>
              </w:rPr>
            </w:pPr>
          </w:p>
        </w:tc>
      </w:tr>
      <w:tr w:rsidR="00A52778" w:rsidRPr="00460F9E" w14:paraId="27AF6DBD" w14:textId="77777777" w:rsidTr="00FC3F8E">
        <w:trPr>
          <w:trHeight w:val="1892"/>
        </w:trPr>
        <w:tc>
          <w:tcPr>
            <w:tcW w:w="1760" w:type="dxa"/>
            <w:vMerge w:val="restart"/>
            <w:tcBorders>
              <w:left w:val="single" w:sz="8" w:space="0" w:color="auto"/>
              <w:right w:val="single" w:sz="8" w:space="0" w:color="auto"/>
            </w:tcBorders>
            <w:shd w:val="clear" w:color="auto" w:fill="auto"/>
            <w:vAlign w:val="center"/>
          </w:tcPr>
          <w:p w14:paraId="55EAFE10" w14:textId="77777777" w:rsidR="00A52778" w:rsidRPr="00460F9E" w:rsidRDefault="00A52778" w:rsidP="00FC3F8E">
            <w:pPr>
              <w:spacing w:line="228" w:lineRule="exact"/>
              <w:ind w:left="120"/>
              <w:rPr>
                <w:rFonts w:eastAsia="Times New Roman" w:cs="Times New Roman"/>
                <w:b/>
              </w:rPr>
            </w:pPr>
            <w:r w:rsidRPr="00460F9E">
              <w:rPr>
                <w:rFonts w:eastAsia="Times New Roman" w:cs="Times New Roman"/>
              </w:rPr>
              <w:t>Optimize edilmiş yanma</w:t>
            </w:r>
          </w:p>
        </w:tc>
        <w:tc>
          <w:tcPr>
            <w:tcW w:w="6960" w:type="dxa"/>
            <w:tcBorders>
              <w:right w:val="single" w:sz="8" w:space="0" w:color="auto"/>
            </w:tcBorders>
            <w:shd w:val="clear" w:color="auto" w:fill="auto"/>
            <w:vAlign w:val="bottom"/>
          </w:tcPr>
          <w:p w14:paraId="3321831B"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Yanma odalarının, brülörlerin ve ilgili ekipmanların/cihazların iyi tasarımı, yanma koşullarının optimizasyonu (örn. yanma bölgesindeki sıcaklık ve kalma süresi, yakıt ve yanma havasının verimli şekilde karıştırılması) ve tedarikçilerin tavsiyelerine  göre hazırlanmış yanma sisteminin düzenli ve planlı bakımı ile birleştirilir. Yanma koşullarının kontrolü, uygun yanma parametrelerinin (örn. O</w:t>
            </w:r>
            <w:r w:rsidRPr="00460F9E">
              <w:rPr>
                <w:rFonts w:eastAsia="Times New Roman" w:cs="Times New Roman"/>
                <w:vertAlign w:val="subscript"/>
              </w:rPr>
              <w:t>2</w:t>
            </w:r>
            <w:r w:rsidRPr="00460F9E">
              <w:rPr>
                <w:rFonts w:eastAsia="Times New Roman" w:cs="Times New Roman"/>
              </w:rPr>
              <w:t>, CO, yakıt-hava oranı ve yanmamış maddeler) sürekli olarak izlenmesine ve otomatik kontrolüne dayanır.</w:t>
            </w:r>
            <w:r w:rsidRPr="00460F9E">
              <w:rPr>
                <w:rFonts w:eastAsia="Times New Roman" w:cs="Times New Roman"/>
              </w:rPr>
              <w:tab/>
            </w:r>
          </w:p>
        </w:tc>
      </w:tr>
      <w:tr w:rsidR="00A52778" w:rsidRPr="00460F9E" w14:paraId="2A7C027E" w14:textId="77777777" w:rsidTr="00FC3F8E">
        <w:trPr>
          <w:trHeight w:val="183"/>
        </w:trPr>
        <w:tc>
          <w:tcPr>
            <w:tcW w:w="1760" w:type="dxa"/>
            <w:vMerge/>
            <w:tcBorders>
              <w:left w:val="single" w:sz="8" w:space="0" w:color="auto"/>
              <w:bottom w:val="single" w:sz="8" w:space="0" w:color="auto"/>
              <w:right w:val="single" w:sz="8" w:space="0" w:color="auto"/>
            </w:tcBorders>
            <w:shd w:val="clear" w:color="auto" w:fill="auto"/>
            <w:vAlign w:val="bottom"/>
          </w:tcPr>
          <w:p w14:paraId="1011B7B7" w14:textId="77777777" w:rsidR="00A52778" w:rsidRPr="00460F9E" w:rsidRDefault="00A52778" w:rsidP="00FC3F8E">
            <w:pPr>
              <w:spacing w:line="0" w:lineRule="atLeast"/>
              <w:rPr>
                <w:rFonts w:eastAsia="Times New Roman" w:cs="Times New Roman"/>
                <w:b/>
                <w:sz w:val="15"/>
              </w:rPr>
            </w:pPr>
          </w:p>
        </w:tc>
        <w:tc>
          <w:tcPr>
            <w:tcW w:w="6960" w:type="dxa"/>
            <w:tcBorders>
              <w:bottom w:val="single" w:sz="8" w:space="0" w:color="auto"/>
              <w:right w:val="single" w:sz="8" w:space="0" w:color="auto"/>
            </w:tcBorders>
            <w:shd w:val="clear" w:color="auto" w:fill="auto"/>
            <w:vAlign w:val="bottom"/>
          </w:tcPr>
          <w:p w14:paraId="12C1A8F9" w14:textId="77777777" w:rsidR="00A52778" w:rsidRPr="00460F9E" w:rsidRDefault="00A52778" w:rsidP="00FC3F8E">
            <w:pPr>
              <w:spacing w:line="0" w:lineRule="atLeast"/>
              <w:rPr>
                <w:rFonts w:eastAsia="Times New Roman" w:cs="Times New Roman"/>
                <w:b/>
                <w:sz w:val="15"/>
              </w:rPr>
            </w:pPr>
          </w:p>
        </w:tc>
      </w:tr>
      <w:tr w:rsidR="00A52778" w:rsidRPr="00460F9E" w14:paraId="7E59B5CA" w14:textId="77777777" w:rsidTr="00FC3F8E">
        <w:trPr>
          <w:trHeight w:val="1281"/>
        </w:trPr>
        <w:tc>
          <w:tcPr>
            <w:tcW w:w="1760" w:type="dxa"/>
            <w:tcBorders>
              <w:left w:val="single" w:sz="8" w:space="0" w:color="auto"/>
              <w:right w:val="single" w:sz="8" w:space="0" w:color="auto"/>
            </w:tcBorders>
            <w:shd w:val="clear" w:color="auto" w:fill="auto"/>
            <w:vAlign w:val="center"/>
          </w:tcPr>
          <w:p w14:paraId="727871CA"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Katalitik veya termal oksidasyonun optimizasyonu</w:t>
            </w:r>
          </w:p>
        </w:tc>
        <w:tc>
          <w:tcPr>
            <w:tcW w:w="6960" w:type="dxa"/>
            <w:tcBorders>
              <w:right w:val="single" w:sz="8" w:space="0" w:color="auto"/>
            </w:tcBorders>
            <w:shd w:val="clear" w:color="auto" w:fill="auto"/>
            <w:vAlign w:val="center"/>
          </w:tcPr>
          <w:p w14:paraId="11B2404E"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Atık gazlarda bulunan PCDD/F de dahil olmak üzere organik bileşiklerin oksidasyonunu teşvik etmek, PCDD/F ve öncüllerinin (yeniden) oluşumunu önlemek, NO</w:t>
            </w:r>
            <w:r w:rsidRPr="00460F9E">
              <w:rPr>
                <w:rFonts w:eastAsia="Times New Roman" w:cs="Times New Roman"/>
                <w:vertAlign w:val="subscript"/>
              </w:rPr>
              <w:t>X</w:t>
            </w:r>
            <w:r w:rsidRPr="00460F9E">
              <w:rPr>
                <w:rFonts w:eastAsia="Times New Roman" w:cs="Times New Roman"/>
              </w:rPr>
              <w:t xml:space="preserve"> ve CO gibi kirleticilerin oluşumunu azaltmak için katalitik veya termal oksidasyonun tasarımının ve işletiminin optimizasyonu.   </w:t>
            </w:r>
          </w:p>
        </w:tc>
      </w:tr>
      <w:tr w:rsidR="00A52778" w:rsidRPr="00460F9E" w14:paraId="31E8DF12" w14:textId="77777777" w:rsidTr="00FC3F8E">
        <w:trPr>
          <w:trHeight w:val="147"/>
        </w:trPr>
        <w:tc>
          <w:tcPr>
            <w:tcW w:w="1760" w:type="dxa"/>
            <w:tcBorders>
              <w:left w:val="single" w:sz="8" w:space="0" w:color="auto"/>
              <w:bottom w:val="single" w:sz="8" w:space="0" w:color="auto"/>
              <w:right w:val="single" w:sz="8" w:space="0" w:color="auto"/>
            </w:tcBorders>
            <w:shd w:val="clear" w:color="auto" w:fill="auto"/>
            <w:vAlign w:val="bottom"/>
          </w:tcPr>
          <w:p w14:paraId="52A01532" w14:textId="77777777" w:rsidR="00A52778" w:rsidRPr="00460F9E" w:rsidRDefault="00A52778" w:rsidP="00FC3F8E">
            <w:pPr>
              <w:spacing w:line="0" w:lineRule="atLeast"/>
              <w:rPr>
                <w:rFonts w:eastAsia="Times New Roman" w:cs="Times New Roman"/>
                <w:b/>
                <w:sz w:val="12"/>
              </w:rPr>
            </w:pPr>
          </w:p>
        </w:tc>
        <w:tc>
          <w:tcPr>
            <w:tcW w:w="6960" w:type="dxa"/>
            <w:tcBorders>
              <w:bottom w:val="single" w:sz="8" w:space="0" w:color="auto"/>
              <w:right w:val="single" w:sz="8" w:space="0" w:color="auto"/>
            </w:tcBorders>
            <w:shd w:val="clear" w:color="auto" w:fill="auto"/>
            <w:vAlign w:val="bottom"/>
          </w:tcPr>
          <w:p w14:paraId="625A0118" w14:textId="77777777" w:rsidR="00A52778" w:rsidRPr="00460F9E" w:rsidRDefault="00A52778" w:rsidP="00FC3F8E">
            <w:pPr>
              <w:spacing w:line="0" w:lineRule="atLeast"/>
              <w:rPr>
                <w:rFonts w:eastAsia="Times New Roman" w:cs="Times New Roman"/>
                <w:b/>
                <w:sz w:val="12"/>
              </w:rPr>
            </w:pPr>
          </w:p>
        </w:tc>
      </w:tr>
      <w:tr w:rsidR="00A52778" w:rsidRPr="00460F9E" w14:paraId="2372DB5E" w14:textId="77777777" w:rsidTr="00FC3F8E">
        <w:trPr>
          <w:trHeight w:val="339"/>
        </w:trPr>
        <w:tc>
          <w:tcPr>
            <w:tcW w:w="1760" w:type="dxa"/>
            <w:tcBorders>
              <w:left w:val="single" w:sz="8" w:space="0" w:color="auto"/>
              <w:right w:val="single" w:sz="8" w:space="0" w:color="auto"/>
            </w:tcBorders>
            <w:shd w:val="clear" w:color="auto" w:fill="auto"/>
            <w:vAlign w:val="bottom"/>
          </w:tcPr>
          <w:p w14:paraId="4DC277DA" w14:textId="77777777" w:rsidR="00A52778" w:rsidRPr="00460F9E" w:rsidRDefault="00A52778" w:rsidP="00FC3F8E">
            <w:pPr>
              <w:spacing w:line="0" w:lineRule="atLeast"/>
              <w:rPr>
                <w:rFonts w:eastAsia="Times New Roman" w:cs="Times New Roman"/>
                <w:b/>
              </w:rPr>
            </w:pPr>
          </w:p>
        </w:tc>
        <w:tc>
          <w:tcPr>
            <w:tcW w:w="6960" w:type="dxa"/>
            <w:vMerge w:val="restart"/>
            <w:tcBorders>
              <w:right w:val="single" w:sz="8" w:space="0" w:color="auto"/>
            </w:tcBorders>
            <w:shd w:val="clear" w:color="auto" w:fill="auto"/>
            <w:vAlign w:val="bottom"/>
          </w:tcPr>
          <w:p w14:paraId="387CB685"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Atık gaz akışındaki yanıcı bileşikleri bir katalizör yatağında hava veya oksijen ile oksitleyen azaltım tekniği. Katalizör, termal oksidasyona kıyasla daha düşük sıcaklıklarda ve daha küçük ekipmanlarda oksidasyona olanak sağlar. Tipik oksidasyon sıcaklığı 200 °C ile 600 °C arasındadır.</w:t>
            </w:r>
          </w:p>
        </w:tc>
      </w:tr>
      <w:tr w:rsidR="00A52778" w:rsidRPr="00460F9E" w14:paraId="0345DD30" w14:textId="77777777" w:rsidTr="00FC3F8E">
        <w:trPr>
          <w:trHeight w:val="230"/>
        </w:trPr>
        <w:tc>
          <w:tcPr>
            <w:tcW w:w="1760" w:type="dxa"/>
            <w:tcBorders>
              <w:left w:val="single" w:sz="8" w:space="0" w:color="auto"/>
              <w:right w:val="single" w:sz="8" w:space="0" w:color="auto"/>
            </w:tcBorders>
            <w:shd w:val="clear" w:color="auto" w:fill="auto"/>
            <w:vAlign w:val="bottom"/>
          </w:tcPr>
          <w:p w14:paraId="085670D4" w14:textId="77777777" w:rsidR="00A52778" w:rsidRPr="00460F9E" w:rsidRDefault="00A52778" w:rsidP="00FC3F8E">
            <w:pPr>
              <w:spacing w:line="0" w:lineRule="atLeast"/>
              <w:rPr>
                <w:rFonts w:eastAsia="Times New Roman" w:cs="Times New Roman"/>
                <w:b/>
              </w:rPr>
            </w:pPr>
          </w:p>
        </w:tc>
        <w:tc>
          <w:tcPr>
            <w:tcW w:w="6960" w:type="dxa"/>
            <w:vMerge/>
            <w:tcBorders>
              <w:right w:val="single" w:sz="8" w:space="0" w:color="auto"/>
            </w:tcBorders>
            <w:shd w:val="clear" w:color="auto" w:fill="auto"/>
            <w:vAlign w:val="bottom"/>
          </w:tcPr>
          <w:p w14:paraId="77333A06" w14:textId="77777777" w:rsidR="00A52778" w:rsidRPr="00460F9E" w:rsidRDefault="00A52778" w:rsidP="00FC3F8E">
            <w:pPr>
              <w:spacing w:line="0" w:lineRule="atLeast"/>
              <w:ind w:left="100"/>
              <w:rPr>
                <w:rFonts w:eastAsia="Times New Roman" w:cs="Times New Roman"/>
                <w:b/>
              </w:rPr>
            </w:pPr>
          </w:p>
        </w:tc>
      </w:tr>
      <w:tr w:rsidR="00A52778" w:rsidRPr="00460F9E" w14:paraId="342802EA" w14:textId="77777777" w:rsidTr="00FC3F8E">
        <w:trPr>
          <w:trHeight w:val="231"/>
        </w:trPr>
        <w:tc>
          <w:tcPr>
            <w:tcW w:w="1760" w:type="dxa"/>
            <w:tcBorders>
              <w:left w:val="single" w:sz="8" w:space="0" w:color="auto"/>
              <w:right w:val="single" w:sz="8" w:space="0" w:color="auto"/>
            </w:tcBorders>
            <w:shd w:val="clear" w:color="auto" w:fill="auto"/>
            <w:vAlign w:val="bottom"/>
          </w:tcPr>
          <w:p w14:paraId="2A432838" w14:textId="77777777" w:rsidR="00A52778" w:rsidRPr="00460F9E" w:rsidRDefault="00A52778" w:rsidP="00FC3F8E">
            <w:pPr>
              <w:spacing w:line="0" w:lineRule="atLeast"/>
              <w:rPr>
                <w:rFonts w:eastAsia="Times New Roman" w:cs="Times New Roman"/>
                <w:b/>
              </w:rPr>
            </w:pPr>
          </w:p>
        </w:tc>
        <w:tc>
          <w:tcPr>
            <w:tcW w:w="6960" w:type="dxa"/>
            <w:vMerge/>
            <w:tcBorders>
              <w:right w:val="single" w:sz="8" w:space="0" w:color="auto"/>
            </w:tcBorders>
            <w:shd w:val="clear" w:color="auto" w:fill="auto"/>
            <w:vAlign w:val="bottom"/>
          </w:tcPr>
          <w:p w14:paraId="6D6AC582" w14:textId="77777777" w:rsidR="00A52778" w:rsidRPr="00460F9E" w:rsidRDefault="00A52778" w:rsidP="00FC3F8E">
            <w:pPr>
              <w:spacing w:line="0" w:lineRule="atLeast"/>
              <w:ind w:left="100"/>
              <w:rPr>
                <w:rFonts w:eastAsia="Times New Roman" w:cs="Times New Roman"/>
                <w:b/>
              </w:rPr>
            </w:pPr>
          </w:p>
        </w:tc>
      </w:tr>
      <w:tr w:rsidR="00A52778" w:rsidRPr="00460F9E" w14:paraId="6879A025" w14:textId="77777777" w:rsidTr="00FC3F8E">
        <w:trPr>
          <w:trHeight w:val="230"/>
        </w:trPr>
        <w:tc>
          <w:tcPr>
            <w:tcW w:w="1760" w:type="dxa"/>
            <w:tcBorders>
              <w:left w:val="single" w:sz="8" w:space="0" w:color="auto"/>
              <w:right w:val="single" w:sz="8" w:space="0" w:color="auto"/>
            </w:tcBorders>
            <w:shd w:val="clear" w:color="auto" w:fill="auto"/>
            <w:vAlign w:val="bottom"/>
          </w:tcPr>
          <w:p w14:paraId="7E049A0E" w14:textId="77777777" w:rsidR="00A52778" w:rsidRPr="00460F9E" w:rsidRDefault="00A52778" w:rsidP="00FC3F8E">
            <w:pPr>
              <w:spacing w:line="0" w:lineRule="atLeast"/>
              <w:rPr>
                <w:rFonts w:eastAsia="Times New Roman" w:cs="Times New Roman"/>
                <w:b/>
              </w:rPr>
            </w:pPr>
          </w:p>
        </w:tc>
        <w:tc>
          <w:tcPr>
            <w:tcW w:w="6960" w:type="dxa"/>
            <w:vMerge/>
            <w:tcBorders>
              <w:right w:val="single" w:sz="8" w:space="0" w:color="auto"/>
            </w:tcBorders>
            <w:shd w:val="clear" w:color="auto" w:fill="auto"/>
            <w:vAlign w:val="bottom"/>
          </w:tcPr>
          <w:p w14:paraId="1196FD21" w14:textId="77777777" w:rsidR="00A52778" w:rsidRPr="00460F9E" w:rsidRDefault="00A52778" w:rsidP="00FC3F8E">
            <w:pPr>
              <w:spacing w:line="0" w:lineRule="atLeast"/>
              <w:ind w:left="100"/>
              <w:rPr>
                <w:rFonts w:eastAsia="Times New Roman" w:cs="Times New Roman"/>
                <w:b/>
              </w:rPr>
            </w:pPr>
          </w:p>
        </w:tc>
      </w:tr>
      <w:tr w:rsidR="00A52778" w:rsidRPr="00460F9E" w14:paraId="6248EBC7" w14:textId="77777777" w:rsidTr="00FC3F8E">
        <w:trPr>
          <w:trHeight w:val="239"/>
        </w:trPr>
        <w:tc>
          <w:tcPr>
            <w:tcW w:w="1760" w:type="dxa"/>
            <w:tcBorders>
              <w:left w:val="single" w:sz="8" w:space="0" w:color="auto"/>
              <w:right w:val="single" w:sz="8" w:space="0" w:color="auto"/>
            </w:tcBorders>
            <w:shd w:val="clear" w:color="auto" w:fill="auto"/>
            <w:vAlign w:val="bottom"/>
          </w:tcPr>
          <w:p w14:paraId="1D019E62" w14:textId="77777777" w:rsidR="00A52778" w:rsidRPr="00460F9E" w:rsidRDefault="00A52778" w:rsidP="00FC3F8E">
            <w:pPr>
              <w:spacing w:line="0" w:lineRule="atLeast"/>
              <w:rPr>
                <w:rFonts w:eastAsia="Times New Roman" w:cs="Times New Roman"/>
                <w:b/>
              </w:rPr>
            </w:pPr>
          </w:p>
        </w:tc>
        <w:tc>
          <w:tcPr>
            <w:tcW w:w="6960" w:type="dxa"/>
            <w:vMerge w:val="restart"/>
            <w:tcBorders>
              <w:right w:val="single" w:sz="8" w:space="0" w:color="auto"/>
            </w:tcBorders>
            <w:shd w:val="clear" w:color="auto" w:fill="auto"/>
            <w:vAlign w:val="bottom"/>
          </w:tcPr>
          <w:p w14:paraId="6225E181"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Düşük VOC konsantrasyonlu (örn. &lt;1 g/Nm</w:t>
            </w:r>
            <w:r w:rsidRPr="00460F9E">
              <w:rPr>
                <w:rFonts w:eastAsia="Times New Roman" w:cs="Times New Roman"/>
                <w:vertAlign w:val="superscript"/>
              </w:rPr>
              <w:t>3</w:t>
            </w:r>
            <w:r w:rsidRPr="00460F9E">
              <w:rPr>
                <w:rFonts w:eastAsia="Times New Roman" w:cs="Times New Roman"/>
              </w:rPr>
              <w:t>) proses çıkış gazları için adsorpsiyon (rotor veya sabit yatak, aktif karbon veya zeolitlerle) kullanılarak ön konsantrasyon adımları uygulanabilir. Yoğunlaştırıcıda adsorbe edilen VOC' ler ısıtılmış ortam havası veya ısıtılmış atık gaz kullanılarak ayrıştırılır ve ortaya çıkan daha yüksek VOC konsantrasyonuna sahip hacim akışı oksitleyiciye yönlendirilir.</w:t>
            </w:r>
          </w:p>
        </w:tc>
      </w:tr>
      <w:tr w:rsidR="00A52778" w:rsidRPr="00460F9E" w14:paraId="7266C651" w14:textId="77777777" w:rsidTr="00FC3F8E">
        <w:trPr>
          <w:trHeight w:val="219"/>
        </w:trPr>
        <w:tc>
          <w:tcPr>
            <w:tcW w:w="1760" w:type="dxa"/>
            <w:tcBorders>
              <w:left w:val="single" w:sz="8" w:space="0" w:color="auto"/>
              <w:right w:val="single" w:sz="8" w:space="0" w:color="auto"/>
            </w:tcBorders>
            <w:shd w:val="clear" w:color="auto" w:fill="auto"/>
            <w:vAlign w:val="bottom"/>
          </w:tcPr>
          <w:p w14:paraId="228A09EF" w14:textId="77777777" w:rsidR="00A52778" w:rsidRPr="00460F9E" w:rsidRDefault="00A52778" w:rsidP="00FC3F8E">
            <w:pPr>
              <w:spacing w:line="219" w:lineRule="exact"/>
              <w:ind w:left="120"/>
              <w:rPr>
                <w:rFonts w:eastAsia="Times New Roman" w:cs="Times New Roman"/>
                <w:b/>
              </w:rPr>
            </w:pPr>
            <w:r w:rsidRPr="00460F9E">
              <w:rPr>
                <w:rFonts w:eastAsia="Times New Roman" w:cs="Times New Roman"/>
              </w:rPr>
              <w:t>Katalitik</w:t>
            </w:r>
          </w:p>
        </w:tc>
        <w:tc>
          <w:tcPr>
            <w:tcW w:w="6960" w:type="dxa"/>
            <w:vMerge/>
            <w:tcBorders>
              <w:right w:val="single" w:sz="8" w:space="0" w:color="auto"/>
            </w:tcBorders>
            <w:shd w:val="clear" w:color="auto" w:fill="auto"/>
            <w:vAlign w:val="bottom"/>
          </w:tcPr>
          <w:p w14:paraId="24ABEB18" w14:textId="77777777" w:rsidR="00A52778" w:rsidRPr="00460F9E" w:rsidRDefault="00A52778" w:rsidP="00FC3F8E">
            <w:pPr>
              <w:spacing w:line="0" w:lineRule="atLeast"/>
              <w:ind w:left="100"/>
              <w:rPr>
                <w:rFonts w:eastAsia="Times New Roman" w:cs="Times New Roman"/>
                <w:b/>
              </w:rPr>
            </w:pPr>
          </w:p>
        </w:tc>
      </w:tr>
      <w:tr w:rsidR="00A52778" w:rsidRPr="00460F9E" w14:paraId="640D0D0D" w14:textId="77777777" w:rsidTr="00FC3F8E">
        <w:trPr>
          <w:trHeight w:val="230"/>
        </w:trPr>
        <w:tc>
          <w:tcPr>
            <w:tcW w:w="1760" w:type="dxa"/>
            <w:tcBorders>
              <w:left w:val="single" w:sz="8" w:space="0" w:color="auto"/>
              <w:right w:val="single" w:sz="8" w:space="0" w:color="auto"/>
            </w:tcBorders>
            <w:shd w:val="clear" w:color="auto" w:fill="auto"/>
            <w:vAlign w:val="bottom"/>
          </w:tcPr>
          <w:p w14:paraId="6BD30005"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oksidasyon</w:t>
            </w:r>
          </w:p>
        </w:tc>
        <w:tc>
          <w:tcPr>
            <w:tcW w:w="6960" w:type="dxa"/>
            <w:vMerge/>
            <w:tcBorders>
              <w:right w:val="single" w:sz="8" w:space="0" w:color="auto"/>
            </w:tcBorders>
            <w:shd w:val="clear" w:color="auto" w:fill="auto"/>
            <w:vAlign w:val="bottom"/>
          </w:tcPr>
          <w:p w14:paraId="18B49D8E" w14:textId="77777777" w:rsidR="00A52778" w:rsidRPr="00460F9E" w:rsidRDefault="00A52778" w:rsidP="00FC3F8E">
            <w:pPr>
              <w:spacing w:line="0" w:lineRule="atLeast"/>
              <w:ind w:left="100"/>
              <w:rPr>
                <w:rFonts w:eastAsia="Times New Roman" w:cs="Times New Roman"/>
                <w:b/>
              </w:rPr>
            </w:pPr>
          </w:p>
        </w:tc>
      </w:tr>
      <w:tr w:rsidR="00A52778" w:rsidRPr="00460F9E" w14:paraId="1A90683F" w14:textId="77777777" w:rsidTr="00FC3F8E">
        <w:trPr>
          <w:trHeight w:val="230"/>
        </w:trPr>
        <w:tc>
          <w:tcPr>
            <w:tcW w:w="1760" w:type="dxa"/>
            <w:tcBorders>
              <w:left w:val="single" w:sz="8" w:space="0" w:color="auto"/>
              <w:right w:val="single" w:sz="8" w:space="0" w:color="auto"/>
            </w:tcBorders>
            <w:shd w:val="clear" w:color="auto" w:fill="auto"/>
            <w:vAlign w:val="bottom"/>
          </w:tcPr>
          <w:p w14:paraId="63BA9BF7" w14:textId="77777777" w:rsidR="00A52778" w:rsidRPr="00460F9E" w:rsidRDefault="00A52778" w:rsidP="00FC3F8E">
            <w:pPr>
              <w:spacing w:line="0" w:lineRule="atLeast"/>
              <w:rPr>
                <w:rFonts w:eastAsia="Times New Roman" w:cs="Times New Roman"/>
                <w:b/>
              </w:rPr>
            </w:pPr>
          </w:p>
        </w:tc>
        <w:tc>
          <w:tcPr>
            <w:tcW w:w="6960" w:type="dxa"/>
            <w:vMerge/>
            <w:tcBorders>
              <w:right w:val="single" w:sz="8" w:space="0" w:color="auto"/>
            </w:tcBorders>
            <w:shd w:val="clear" w:color="auto" w:fill="auto"/>
            <w:vAlign w:val="bottom"/>
          </w:tcPr>
          <w:p w14:paraId="08FE3052" w14:textId="77777777" w:rsidR="00A52778" w:rsidRPr="00460F9E" w:rsidRDefault="00A52778" w:rsidP="00FC3F8E">
            <w:pPr>
              <w:spacing w:line="0" w:lineRule="atLeast"/>
              <w:ind w:left="100"/>
              <w:rPr>
                <w:rFonts w:eastAsia="Times New Roman" w:cs="Times New Roman"/>
                <w:b/>
              </w:rPr>
            </w:pPr>
          </w:p>
        </w:tc>
      </w:tr>
      <w:tr w:rsidR="00A52778" w:rsidRPr="00460F9E" w14:paraId="126F8059" w14:textId="77777777" w:rsidTr="00FC3F8E">
        <w:trPr>
          <w:trHeight w:val="230"/>
        </w:trPr>
        <w:tc>
          <w:tcPr>
            <w:tcW w:w="1760" w:type="dxa"/>
            <w:tcBorders>
              <w:left w:val="single" w:sz="8" w:space="0" w:color="auto"/>
              <w:right w:val="single" w:sz="8" w:space="0" w:color="auto"/>
            </w:tcBorders>
            <w:shd w:val="clear" w:color="auto" w:fill="auto"/>
            <w:vAlign w:val="bottom"/>
          </w:tcPr>
          <w:p w14:paraId="30FC040B" w14:textId="77777777" w:rsidR="00A52778" w:rsidRPr="00460F9E" w:rsidRDefault="00A52778" w:rsidP="00FC3F8E">
            <w:pPr>
              <w:spacing w:line="0" w:lineRule="atLeast"/>
              <w:rPr>
                <w:rFonts w:eastAsia="Times New Roman" w:cs="Times New Roman"/>
                <w:b/>
              </w:rPr>
            </w:pPr>
          </w:p>
        </w:tc>
        <w:tc>
          <w:tcPr>
            <w:tcW w:w="6960" w:type="dxa"/>
            <w:vMerge/>
            <w:tcBorders>
              <w:right w:val="single" w:sz="8" w:space="0" w:color="auto"/>
            </w:tcBorders>
            <w:shd w:val="clear" w:color="auto" w:fill="auto"/>
            <w:vAlign w:val="bottom"/>
          </w:tcPr>
          <w:p w14:paraId="4F33D497" w14:textId="77777777" w:rsidR="00A52778" w:rsidRPr="00460F9E" w:rsidRDefault="00A52778" w:rsidP="00FC3F8E">
            <w:pPr>
              <w:spacing w:line="0" w:lineRule="atLeast"/>
              <w:ind w:left="100"/>
              <w:rPr>
                <w:rFonts w:eastAsia="Times New Roman" w:cs="Times New Roman"/>
                <w:b/>
              </w:rPr>
            </w:pPr>
          </w:p>
        </w:tc>
      </w:tr>
      <w:tr w:rsidR="00A52778" w:rsidRPr="00460F9E" w14:paraId="5A9AA989" w14:textId="77777777" w:rsidTr="00FC3F8E">
        <w:trPr>
          <w:trHeight w:val="228"/>
        </w:trPr>
        <w:tc>
          <w:tcPr>
            <w:tcW w:w="1760" w:type="dxa"/>
            <w:tcBorders>
              <w:left w:val="single" w:sz="8" w:space="0" w:color="auto"/>
              <w:right w:val="single" w:sz="8" w:space="0" w:color="auto"/>
            </w:tcBorders>
            <w:shd w:val="clear" w:color="auto" w:fill="auto"/>
            <w:vAlign w:val="bottom"/>
          </w:tcPr>
          <w:p w14:paraId="5A9B817D" w14:textId="77777777" w:rsidR="00A52778" w:rsidRPr="00460F9E" w:rsidRDefault="00A52778" w:rsidP="00FC3F8E">
            <w:pPr>
              <w:spacing w:line="0" w:lineRule="atLeast"/>
              <w:rPr>
                <w:rFonts w:eastAsia="Times New Roman" w:cs="Times New Roman"/>
                <w:b/>
                <w:sz w:val="19"/>
              </w:rPr>
            </w:pPr>
          </w:p>
        </w:tc>
        <w:tc>
          <w:tcPr>
            <w:tcW w:w="6960" w:type="dxa"/>
            <w:vMerge w:val="restart"/>
            <w:tcBorders>
              <w:right w:val="single" w:sz="8" w:space="0" w:color="auto"/>
            </w:tcBorders>
            <w:shd w:val="clear" w:color="auto" w:fill="auto"/>
            <w:vAlign w:val="bottom"/>
          </w:tcPr>
          <w:p w14:paraId="1AC38A3B"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Tipik olarak zeolitlerden oluşan moleküler elekler ('yumuşatıcılar'), yoğunlaştıcılardan veya oksitleyiciden önce, çıkış gazları sürecindeki yüksek VOC konsantrasyonlarını dengelemek için kullanılabilir.</w:t>
            </w:r>
          </w:p>
        </w:tc>
      </w:tr>
      <w:tr w:rsidR="00A52778" w:rsidRPr="00460F9E" w14:paraId="4DE98B07" w14:textId="77777777" w:rsidTr="00FC3F8E">
        <w:trPr>
          <w:trHeight w:val="230"/>
        </w:trPr>
        <w:tc>
          <w:tcPr>
            <w:tcW w:w="1760" w:type="dxa"/>
            <w:tcBorders>
              <w:left w:val="single" w:sz="8" w:space="0" w:color="auto"/>
              <w:right w:val="single" w:sz="8" w:space="0" w:color="auto"/>
            </w:tcBorders>
            <w:shd w:val="clear" w:color="auto" w:fill="auto"/>
            <w:vAlign w:val="bottom"/>
          </w:tcPr>
          <w:p w14:paraId="7A66DE22" w14:textId="77777777" w:rsidR="00A52778" w:rsidRPr="00460F9E" w:rsidRDefault="00A52778" w:rsidP="00FC3F8E">
            <w:pPr>
              <w:spacing w:line="0" w:lineRule="atLeast"/>
              <w:rPr>
                <w:rFonts w:eastAsia="Times New Roman" w:cs="Times New Roman"/>
                <w:b/>
              </w:rPr>
            </w:pPr>
          </w:p>
        </w:tc>
        <w:tc>
          <w:tcPr>
            <w:tcW w:w="6960" w:type="dxa"/>
            <w:vMerge/>
            <w:tcBorders>
              <w:right w:val="single" w:sz="8" w:space="0" w:color="auto"/>
            </w:tcBorders>
            <w:shd w:val="clear" w:color="auto" w:fill="auto"/>
            <w:vAlign w:val="bottom"/>
          </w:tcPr>
          <w:p w14:paraId="5764B7BC" w14:textId="77777777" w:rsidR="00A52778" w:rsidRPr="00460F9E" w:rsidRDefault="00A52778" w:rsidP="00FC3F8E">
            <w:pPr>
              <w:spacing w:line="0" w:lineRule="atLeast"/>
              <w:ind w:left="100"/>
              <w:rPr>
                <w:rFonts w:eastAsia="Times New Roman" w:cs="Times New Roman"/>
                <w:b/>
              </w:rPr>
            </w:pPr>
          </w:p>
        </w:tc>
      </w:tr>
      <w:tr w:rsidR="00A52778" w:rsidRPr="00460F9E" w14:paraId="0FD2740D" w14:textId="77777777" w:rsidTr="00FC3F8E">
        <w:trPr>
          <w:trHeight w:val="230"/>
        </w:trPr>
        <w:tc>
          <w:tcPr>
            <w:tcW w:w="1760" w:type="dxa"/>
            <w:tcBorders>
              <w:left w:val="single" w:sz="8" w:space="0" w:color="auto"/>
              <w:right w:val="single" w:sz="8" w:space="0" w:color="auto"/>
            </w:tcBorders>
            <w:shd w:val="clear" w:color="auto" w:fill="auto"/>
            <w:vAlign w:val="bottom"/>
          </w:tcPr>
          <w:p w14:paraId="13875C52" w14:textId="77777777" w:rsidR="00A52778" w:rsidRPr="00460F9E" w:rsidRDefault="00A52778" w:rsidP="00FC3F8E">
            <w:pPr>
              <w:spacing w:line="0" w:lineRule="atLeast"/>
              <w:rPr>
                <w:rFonts w:eastAsia="Times New Roman" w:cs="Times New Roman"/>
                <w:b/>
              </w:rPr>
            </w:pPr>
          </w:p>
        </w:tc>
        <w:tc>
          <w:tcPr>
            <w:tcW w:w="6960" w:type="dxa"/>
            <w:vMerge/>
            <w:tcBorders>
              <w:right w:val="single" w:sz="8" w:space="0" w:color="auto"/>
            </w:tcBorders>
            <w:shd w:val="clear" w:color="auto" w:fill="auto"/>
            <w:vAlign w:val="bottom"/>
          </w:tcPr>
          <w:p w14:paraId="4AED61EC" w14:textId="77777777" w:rsidR="00A52778" w:rsidRPr="00460F9E" w:rsidRDefault="00A52778" w:rsidP="00FC3F8E">
            <w:pPr>
              <w:spacing w:line="0" w:lineRule="atLeast"/>
              <w:ind w:left="100"/>
              <w:rPr>
                <w:rFonts w:eastAsia="Times New Roman" w:cs="Times New Roman"/>
                <w:b/>
              </w:rPr>
            </w:pPr>
          </w:p>
        </w:tc>
      </w:tr>
      <w:tr w:rsidR="00A52778" w:rsidRPr="00460F9E" w14:paraId="726F290D" w14:textId="77777777" w:rsidTr="00FC3F8E">
        <w:trPr>
          <w:trHeight w:val="131"/>
        </w:trPr>
        <w:tc>
          <w:tcPr>
            <w:tcW w:w="1760" w:type="dxa"/>
            <w:tcBorders>
              <w:left w:val="single" w:sz="8" w:space="0" w:color="auto"/>
              <w:bottom w:val="single" w:sz="8" w:space="0" w:color="auto"/>
              <w:right w:val="single" w:sz="8" w:space="0" w:color="auto"/>
            </w:tcBorders>
            <w:shd w:val="clear" w:color="auto" w:fill="auto"/>
            <w:vAlign w:val="bottom"/>
          </w:tcPr>
          <w:p w14:paraId="17BADDFB" w14:textId="77777777" w:rsidR="00A52778" w:rsidRPr="00460F9E" w:rsidRDefault="00A52778" w:rsidP="00FC3F8E">
            <w:pPr>
              <w:spacing w:line="0" w:lineRule="atLeast"/>
              <w:rPr>
                <w:rFonts w:eastAsia="Times New Roman" w:cs="Times New Roman"/>
                <w:b/>
                <w:sz w:val="11"/>
              </w:rPr>
            </w:pPr>
          </w:p>
        </w:tc>
        <w:tc>
          <w:tcPr>
            <w:tcW w:w="6960" w:type="dxa"/>
            <w:tcBorders>
              <w:bottom w:val="single" w:sz="8" w:space="0" w:color="auto"/>
              <w:right w:val="single" w:sz="8" w:space="0" w:color="auto"/>
            </w:tcBorders>
            <w:shd w:val="clear" w:color="auto" w:fill="auto"/>
            <w:vAlign w:val="bottom"/>
          </w:tcPr>
          <w:p w14:paraId="76E2B60E" w14:textId="77777777" w:rsidR="00A52778" w:rsidRPr="00460F9E" w:rsidRDefault="00A52778" w:rsidP="00FC3F8E">
            <w:pPr>
              <w:spacing w:line="0" w:lineRule="atLeast"/>
              <w:rPr>
                <w:rFonts w:eastAsia="Times New Roman" w:cs="Times New Roman"/>
                <w:b/>
                <w:sz w:val="11"/>
              </w:rPr>
            </w:pPr>
          </w:p>
        </w:tc>
      </w:tr>
    </w:tbl>
    <w:p w14:paraId="2D86BC34" w14:textId="77777777" w:rsidR="00A52778" w:rsidRPr="00460F9E" w:rsidRDefault="00A52778" w:rsidP="00A52778">
      <w:pPr>
        <w:spacing w:line="20" w:lineRule="exact"/>
        <w:rPr>
          <w:rFonts w:eastAsia="Times New Roman" w:cs="Times New Roman"/>
          <w:b/>
        </w:rPr>
      </w:pPr>
    </w:p>
    <w:p w14:paraId="24EEE0B2" w14:textId="77777777" w:rsidR="00A52778" w:rsidRPr="00460F9E" w:rsidRDefault="00A52778" w:rsidP="00A52778">
      <w:pPr>
        <w:spacing w:line="20" w:lineRule="exact"/>
        <w:rPr>
          <w:rFonts w:eastAsia="Times New Roman" w:cs="Times New Roman"/>
          <w:b/>
        </w:rPr>
        <w:sectPr w:rsidR="00A52778" w:rsidRPr="00460F9E">
          <w:pgSz w:w="11900" w:h="16838"/>
          <w:pgMar w:top="707" w:right="1440" w:bottom="145" w:left="1040" w:header="0" w:footer="0" w:gutter="0"/>
          <w:cols w:space="0" w:equalWidth="0">
            <w:col w:w="9426"/>
          </w:cols>
          <w:docGrid w:linePitch="360"/>
        </w:sectPr>
      </w:pPr>
    </w:p>
    <w:tbl>
      <w:tblPr>
        <w:tblStyle w:val="TabloKlavuzu"/>
        <w:tblW w:w="0" w:type="auto"/>
        <w:tblInd w:w="-5" w:type="dxa"/>
        <w:tblLook w:val="04A0" w:firstRow="1" w:lastRow="0" w:firstColumn="1" w:lastColumn="0" w:noHBand="0" w:noVBand="1"/>
      </w:tblPr>
      <w:tblGrid>
        <w:gridCol w:w="1838"/>
        <w:gridCol w:w="7572"/>
      </w:tblGrid>
      <w:tr w:rsidR="00A52778" w14:paraId="136603BE" w14:textId="77777777" w:rsidTr="00FC3F8E">
        <w:trPr>
          <w:trHeight w:val="527"/>
        </w:trPr>
        <w:tc>
          <w:tcPr>
            <w:tcW w:w="1838" w:type="dxa"/>
          </w:tcPr>
          <w:p w14:paraId="7B2EE347" w14:textId="77777777" w:rsidR="00A52778" w:rsidRPr="00740EA6" w:rsidRDefault="00A52778" w:rsidP="00FC3F8E">
            <w:pPr>
              <w:spacing w:line="200" w:lineRule="exact"/>
              <w:rPr>
                <w:rFonts w:eastAsia="Times New Roman" w:cs="Times New Roman"/>
                <w:b/>
              </w:rPr>
            </w:pPr>
          </w:p>
          <w:p w14:paraId="50D21A18" w14:textId="77777777" w:rsidR="00A52778" w:rsidRPr="00740EA6" w:rsidRDefault="00A52778" w:rsidP="00FC3F8E">
            <w:pPr>
              <w:rPr>
                <w:rFonts w:eastAsia="Times New Roman" w:cs="Times New Roman"/>
                <w:b/>
              </w:rPr>
            </w:pPr>
          </w:p>
          <w:p w14:paraId="273FFBF0" w14:textId="77777777" w:rsidR="00A52778" w:rsidRPr="00740EA6" w:rsidRDefault="00A52778" w:rsidP="00FC3F8E">
            <w:pPr>
              <w:rPr>
                <w:rFonts w:eastAsia="Times New Roman" w:cs="Times New Roman"/>
                <w:b/>
              </w:rPr>
            </w:pPr>
          </w:p>
          <w:p w14:paraId="5CB0EB45" w14:textId="77777777" w:rsidR="00A52778" w:rsidRPr="00740EA6" w:rsidRDefault="00A52778" w:rsidP="00FC3F8E">
            <w:pPr>
              <w:rPr>
                <w:rFonts w:eastAsia="Times New Roman" w:cs="Times New Roman"/>
                <w:b/>
              </w:rPr>
            </w:pPr>
          </w:p>
          <w:p w14:paraId="0A3EA20B" w14:textId="77777777" w:rsidR="00A52778" w:rsidRPr="00740EA6" w:rsidRDefault="00A52778" w:rsidP="00FC3F8E">
            <w:pPr>
              <w:rPr>
                <w:rFonts w:eastAsia="Times New Roman" w:cs="Times New Roman"/>
                <w:b/>
              </w:rPr>
            </w:pPr>
          </w:p>
          <w:p w14:paraId="1FDB29A9" w14:textId="77777777" w:rsidR="00A52778" w:rsidRPr="00740EA6" w:rsidRDefault="00A52778" w:rsidP="00FC3F8E">
            <w:pPr>
              <w:rPr>
                <w:rFonts w:eastAsia="Times New Roman" w:cs="Times New Roman"/>
                <w:b/>
              </w:rPr>
            </w:pPr>
          </w:p>
          <w:p w14:paraId="35D9EB92" w14:textId="77777777" w:rsidR="00A52778" w:rsidRPr="00740EA6" w:rsidRDefault="00A52778" w:rsidP="00FC3F8E">
            <w:pPr>
              <w:rPr>
                <w:rFonts w:eastAsia="Times New Roman" w:cs="Times New Roman"/>
                <w:b/>
              </w:rPr>
            </w:pPr>
          </w:p>
          <w:p w14:paraId="042F1C34" w14:textId="77777777" w:rsidR="00A52778" w:rsidRPr="00740EA6" w:rsidRDefault="00A52778" w:rsidP="00FC3F8E">
            <w:pPr>
              <w:rPr>
                <w:rFonts w:eastAsia="Times New Roman" w:cs="Times New Roman"/>
                <w:b/>
              </w:rPr>
            </w:pPr>
          </w:p>
          <w:p w14:paraId="1E59BA67" w14:textId="77777777" w:rsidR="00A52778" w:rsidRPr="00740EA6" w:rsidRDefault="00A52778" w:rsidP="00FC3F8E">
            <w:pPr>
              <w:rPr>
                <w:rFonts w:eastAsia="Times New Roman" w:cs="Times New Roman"/>
                <w:b/>
              </w:rPr>
            </w:pPr>
            <w:r w:rsidRPr="00740EA6">
              <w:rPr>
                <w:rFonts w:eastAsia="Times New Roman"/>
              </w:rPr>
              <w:t>Termal oksidasyon</w:t>
            </w:r>
          </w:p>
        </w:tc>
        <w:tc>
          <w:tcPr>
            <w:tcW w:w="7572" w:type="dxa"/>
          </w:tcPr>
          <w:p w14:paraId="7350CE24" w14:textId="77777777" w:rsidR="00A52778" w:rsidRPr="00740EA6" w:rsidRDefault="00A52778" w:rsidP="00FC3F8E">
            <w:pPr>
              <w:spacing w:line="200" w:lineRule="exact"/>
              <w:rPr>
                <w:rFonts w:eastAsia="Times New Roman"/>
                <w:b/>
                <w:bCs/>
              </w:rPr>
            </w:pPr>
            <w:r w:rsidRPr="00740EA6">
              <w:rPr>
                <w:rFonts w:eastAsia="Times New Roman"/>
                <w:bCs/>
              </w:rPr>
              <w:t>Yanıcı bileşiklerin bir yanma odasında hava veya oksijen ile kendi kendine tutuşma noktalarının üzerinde ısıtılarak ve yanmayı tamamlayıp karbondioksit ve suya dönüşecek kadar yüksek bir sıcaklıkta tutularak bir atık gaz akımında oksitlendiği azaltma tekniği. Tipik yanma sıcaklığı 800 °C ila 1 000 °C arasındadır</w:t>
            </w:r>
          </w:p>
          <w:p w14:paraId="7E013B47" w14:textId="77777777" w:rsidR="00A52778" w:rsidRPr="00740EA6" w:rsidRDefault="00A52778" w:rsidP="00FC3F8E">
            <w:pPr>
              <w:spacing w:line="0" w:lineRule="atLeast"/>
              <w:rPr>
                <w:rFonts w:eastAsia="Times New Roman"/>
                <w:b/>
              </w:rPr>
            </w:pPr>
            <w:r w:rsidRPr="00740EA6">
              <w:rPr>
                <w:rFonts w:eastAsia="Times New Roman"/>
              </w:rPr>
              <w:t>Çeşitli termal oksidasyon türleri kullanılmaktadır:</w:t>
            </w:r>
          </w:p>
          <w:p w14:paraId="104C0AE8" w14:textId="77777777" w:rsidR="00A52778" w:rsidRPr="00740EA6" w:rsidRDefault="00A52778" w:rsidP="00FC3F8E">
            <w:pPr>
              <w:spacing w:line="63" w:lineRule="exact"/>
              <w:rPr>
                <w:rFonts w:eastAsia="Times New Roman"/>
                <w:b/>
              </w:rPr>
            </w:pPr>
          </w:p>
          <w:p w14:paraId="504B205A" w14:textId="77777777" w:rsidR="00A52778" w:rsidRPr="00740EA6" w:rsidRDefault="00A52778" w:rsidP="00FC3F8E">
            <w:pPr>
              <w:spacing w:line="234" w:lineRule="auto"/>
              <w:ind w:left="580" w:right="120"/>
              <w:rPr>
                <w:rFonts w:eastAsia="Times New Roman"/>
                <w:b/>
              </w:rPr>
            </w:pPr>
            <w:r w:rsidRPr="00740EA6">
              <w:rPr>
                <w:rFonts w:eastAsia="Times New Roman"/>
              </w:rPr>
              <w:t xml:space="preserve">- Düz termal oksidasyon: yanma işleminden enerji geri kazanımı olmaksızın  </w:t>
            </w:r>
          </w:p>
          <w:p w14:paraId="6D24EDC4" w14:textId="77777777" w:rsidR="00A52778" w:rsidRPr="00740EA6" w:rsidRDefault="00A52778" w:rsidP="00FC3F8E">
            <w:pPr>
              <w:spacing w:line="234" w:lineRule="auto"/>
              <w:ind w:left="580" w:right="120"/>
              <w:rPr>
                <w:rFonts w:eastAsia="Times New Roman"/>
                <w:b/>
              </w:rPr>
            </w:pPr>
            <w:r w:rsidRPr="00740EA6">
              <w:rPr>
                <w:rFonts w:eastAsia="Times New Roman"/>
              </w:rPr>
              <w:t xml:space="preserve">  gerçekleşen termal oksidasyon.</w:t>
            </w:r>
          </w:p>
          <w:p w14:paraId="3CC26693" w14:textId="77777777" w:rsidR="00A52778" w:rsidRPr="00740EA6" w:rsidRDefault="00A52778" w:rsidP="00FC3F8E">
            <w:pPr>
              <w:spacing w:line="86" w:lineRule="exact"/>
              <w:rPr>
                <w:rFonts w:eastAsia="Times New Roman"/>
                <w:b/>
              </w:rPr>
            </w:pPr>
          </w:p>
          <w:p w14:paraId="08E5DE50" w14:textId="77777777" w:rsidR="00A52778" w:rsidRPr="00740EA6" w:rsidRDefault="00A52778" w:rsidP="00FC3F8E">
            <w:pPr>
              <w:spacing w:line="234" w:lineRule="auto"/>
              <w:ind w:left="580" w:right="120"/>
              <w:rPr>
                <w:rFonts w:eastAsia="Times New Roman"/>
                <w:b/>
              </w:rPr>
            </w:pPr>
            <w:r w:rsidRPr="00740EA6">
              <w:rPr>
                <w:rFonts w:eastAsia="Times New Roman"/>
              </w:rPr>
              <w:t xml:space="preserve">- Reküperatif termal oksidasyon: dolaylı ısı transferi yoluyla atık gazların </w:t>
            </w:r>
          </w:p>
          <w:p w14:paraId="758E4C6C" w14:textId="77777777" w:rsidR="00A52778" w:rsidRPr="00740EA6" w:rsidRDefault="00A52778" w:rsidP="00FC3F8E">
            <w:pPr>
              <w:spacing w:line="234" w:lineRule="auto"/>
              <w:ind w:left="580" w:right="120"/>
              <w:rPr>
                <w:rFonts w:eastAsia="Times New Roman"/>
                <w:b/>
              </w:rPr>
            </w:pPr>
            <w:r w:rsidRPr="00740EA6">
              <w:rPr>
                <w:rFonts w:eastAsia="Times New Roman"/>
              </w:rPr>
              <w:t xml:space="preserve">  ısısını kullanan termal oksidasyon.</w:t>
            </w:r>
          </w:p>
          <w:p w14:paraId="6F16AF43" w14:textId="77777777" w:rsidR="00A52778" w:rsidRPr="00740EA6" w:rsidRDefault="00A52778" w:rsidP="00FC3F8E">
            <w:pPr>
              <w:spacing w:line="75" w:lineRule="exact"/>
              <w:rPr>
                <w:rFonts w:eastAsia="Times New Roman"/>
                <w:b/>
              </w:rPr>
            </w:pPr>
          </w:p>
          <w:p w14:paraId="544E8A0F" w14:textId="77777777" w:rsidR="00A52778" w:rsidRPr="00740EA6" w:rsidRDefault="00A52778" w:rsidP="00FC3F8E">
            <w:pPr>
              <w:spacing w:line="0" w:lineRule="atLeast"/>
              <w:ind w:left="680"/>
              <w:rPr>
                <w:rFonts w:eastAsia="Times New Roman"/>
                <w:b/>
              </w:rPr>
            </w:pPr>
            <w:r w:rsidRPr="00740EA6">
              <w:rPr>
                <w:rFonts w:eastAsia="Times New Roman"/>
              </w:rPr>
              <w:t>- Rejeneratif termal oksidasyon:  termal oksidasyon, gelen  atık gaz çıkışının yanma odasına girmeden önce seramik dolgulu bir yataktan geçerken</w:t>
            </w:r>
          </w:p>
          <w:p w14:paraId="641350DE" w14:textId="77777777" w:rsidR="00A52778" w:rsidRPr="00740EA6" w:rsidRDefault="00A52778" w:rsidP="00FC3F8E">
            <w:pPr>
              <w:spacing w:line="219" w:lineRule="exact"/>
              <w:ind w:left="680"/>
              <w:rPr>
                <w:rFonts w:eastAsia="Times New Roman"/>
                <w:b/>
              </w:rPr>
            </w:pPr>
            <w:r w:rsidRPr="00740EA6">
              <w:rPr>
                <w:rFonts w:eastAsia="Times New Roman"/>
              </w:rPr>
              <w:t xml:space="preserve">  ısıtıldığı durumdur.  Arıtılmış sıcak gazlar bu odadan bir (veya daha</w:t>
            </w:r>
          </w:p>
          <w:p w14:paraId="5412324F" w14:textId="77777777" w:rsidR="00A52778" w:rsidRPr="00740EA6" w:rsidRDefault="00A52778" w:rsidP="00FC3F8E">
            <w:pPr>
              <w:spacing w:line="0" w:lineRule="atLeast"/>
              <w:ind w:left="680"/>
              <w:rPr>
                <w:rFonts w:eastAsia="Times New Roman"/>
                <w:b/>
              </w:rPr>
            </w:pPr>
            <w:r w:rsidRPr="00740EA6">
              <w:rPr>
                <w:rFonts w:eastAsia="Times New Roman"/>
              </w:rPr>
              <w:t xml:space="preserve">  fazla) seramik dolgulu yataktan (yataklardan) geçerek çıkar (daha önceki</w:t>
            </w:r>
          </w:p>
          <w:p w14:paraId="5920DC7C" w14:textId="77777777" w:rsidR="00A52778" w:rsidRPr="00740EA6" w:rsidRDefault="00A52778" w:rsidP="00FC3F8E">
            <w:pPr>
              <w:spacing w:line="0" w:lineRule="atLeast"/>
              <w:ind w:left="680"/>
              <w:rPr>
                <w:rFonts w:eastAsia="Times New Roman"/>
                <w:b/>
              </w:rPr>
            </w:pPr>
            <w:r w:rsidRPr="00740EA6">
              <w:rPr>
                <w:rFonts w:eastAsia="Times New Roman"/>
              </w:rPr>
              <w:t xml:space="preserve">  bir yanma döngüsünden gelen atık gaz akışı tarafından soğutulmuştur).</w:t>
            </w:r>
          </w:p>
          <w:p w14:paraId="5CB76E71" w14:textId="77777777" w:rsidR="00A52778" w:rsidRPr="00740EA6" w:rsidRDefault="00A52778" w:rsidP="00FC3F8E">
            <w:pPr>
              <w:spacing w:line="0" w:lineRule="atLeast"/>
              <w:ind w:left="680"/>
              <w:rPr>
                <w:rFonts w:eastAsia="Times New Roman"/>
                <w:b/>
              </w:rPr>
            </w:pPr>
            <w:r w:rsidRPr="00740EA6">
              <w:rPr>
                <w:rFonts w:eastAsia="Times New Roman"/>
              </w:rPr>
              <w:t xml:space="preserve">  Bu yeniden  ısıtılmış dolgulu yatak, yeni gelen atık gaz akışına ön   </w:t>
            </w:r>
          </w:p>
          <w:p w14:paraId="0414C663" w14:textId="77777777" w:rsidR="00A52778" w:rsidRPr="00740EA6" w:rsidRDefault="00A52778" w:rsidP="00FC3F8E">
            <w:pPr>
              <w:spacing w:line="0" w:lineRule="atLeast"/>
              <w:ind w:firstLine="720"/>
              <w:rPr>
                <w:rFonts w:eastAsia="Times New Roman"/>
                <w:b/>
              </w:rPr>
            </w:pPr>
            <w:r w:rsidRPr="00740EA6">
              <w:rPr>
                <w:rFonts w:eastAsia="Times New Roman"/>
              </w:rPr>
              <w:t xml:space="preserve">  ısıtma yaparak yeni bir yanma döngüsü başlatır</w:t>
            </w:r>
          </w:p>
          <w:p w14:paraId="2C0B7592" w14:textId="77777777" w:rsidR="00A52778" w:rsidRPr="00740EA6" w:rsidRDefault="00A52778" w:rsidP="00FC3F8E">
            <w:pPr>
              <w:spacing w:line="0" w:lineRule="atLeast"/>
              <w:rPr>
                <w:rFonts w:eastAsia="Times New Roman"/>
                <w:b/>
              </w:rPr>
            </w:pPr>
          </w:p>
          <w:p w14:paraId="4EAA1EF5" w14:textId="77777777" w:rsidR="00A52778" w:rsidRPr="00740EA6" w:rsidRDefault="00A52778" w:rsidP="00FC3F8E">
            <w:pPr>
              <w:spacing w:line="0" w:lineRule="atLeast"/>
              <w:rPr>
                <w:rFonts w:eastAsia="Times New Roman"/>
                <w:b/>
              </w:rPr>
            </w:pPr>
            <w:r w:rsidRPr="00740EA6">
              <w:rPr>
                <w:rFonts w:eastAsia="Times New Roman"/>
              </w:rPr>
              <w:t xml:space="preserve"> Düşük VOC konsantrasyonlu (örn. &lt;1 g/</w:t>
            </w:r>
            <w:r w:rsidRPr="00740EA6">
              <w:rPr>
                <w:rFonts w:eastAsia="Times New Roman"/>
                <w:sz w:val="18"/>
              </w:rPr>
              <w:t xml:space="preserve"> Nm</w:t>
            </w:r>
            <w:r w:rsidRPr="00740EA6">
              <w:rPr>
                <w:rFonts w:eastAsia="Times New Roman"/>
                <w:vertAlign w:val="superscript"/>
              </w:rPr>
              <w:t>3</w:t>
            </w:r>
            <w:r w:rsidRPr="00740EA6">
              <w:rPr>
                <w:rFonts w:eastAsia="Times New Roman"/>
              </w:rPr>
              <w:t>) proses çıkış gazları için adsorpsiyon (rotor veya sabit yatak, aktif karbon veya zeolitlerle) kullanılarak ön konsantrasyon adımları uygulanabilir. Yoğunlaştırıcıda adsorbe edilen VOC' ler ısıtılmış ortam havası veya atık gaz kullanılarak ayrıştırılır ve ortaya çıkan daha yüksek VOC konsantrasyonuna sahip hacim akışı oksitleyiciye yönlendirilir. Tipik olarak zeolitlerden oluşan moleküler elekler ('yumuşatıcılar'), proses çıkış gazlarındaki yüksek VOC konsantrasyonlarını dengelemek için yoğunlaştırıcılardan   veya oksitleyiciden önce kullanılabilir.</w:t>
            </w:r>
          </w:p>
          <w:p w14:paraId="6F726A54" w14:textId="77777777" w:rsidR="00A52778" w:rsidRPr="00740EA6" w:rsidRDefault="00A52778" w:rsidP="00FC3F8E">
            <w:pPr>
              <w:spacing w:line="200" w:lineRule="exact"/>
              <w:rPr>
                <w:rFonts w:eastAsia="Times New Roman" w:cs="Times New Roman"/>
                <w:b/>
              </w:rPr>
            </w:pPr>
          </w:p>
        </w:tc>
      </w:tr>
      <w:tr w:rsidR="00A52778" w14:paraId="4D4121D2" w14:textId="77777777" w:rsidTr="00FC3F8E">
        <w:trPr>
          <w:trHeight w:val="1040"/>
        </w:trPr>
        <w:tc>
          <w:tcPr>
            <w:tcW w:w="1838" w:type="dxa"/>
          </w:tcPr>
          <w:p w14:paraId="4BAA40CD" w14:textId="77777777" w:rsidR="00A52778" w:rsidRPr="00740EA6" w:rsidRDefault="00A52778" w:rsidP="00FC3F8E">
            <w:pPr>
              <w:spacing w:line="200" w:lineRule="exact"/>
              <w:rPr>
                <w:rFonts w:eastAsia="Times New Roman" w:cs="Times New Roman"/>
                <w:b/>
              </w:rPr>
            </w:pPr>
          </w:p>
          <w:p w14:paraId="5D84DBD3" w14:textId="77777777" w:rsidR="00A52778" w:rsidRPr="00740EA6" w:rsidRDefault="00A52778" w:rsidP="00FC3F8E">
            <w:pPr>
              <w:rPr>
                <w:rFonts w:eastAsia="Times New Roman" w:cs="Times New Roman"/>
                <w:b/>
              </w:rPr>
            </w:pPr>
          </w:p>
          <w:p w14:paraId="4CF2284F" w14:textId="77777777" w:rsidR="00A52778" w:rsidRPr="00740EA6" w:rsidRDefault="00A52778" w:rsidP="00FC3F8E">
            <w:pPr>
              <w:rPr>
                <w:rFonts w:eastAsia="Times New Roman" w:cs="Times New Roman"/>
                <w:b/>
              </w:rPr>
            </w:pPr>
          </w:p>
          <w:p w14:paraId="010145CE" w14:textId="77777777" w:rsidR="00A52778" w:rsidRPr="00740EA6" w:rsidRDefault="00A52778" w:rsidP="00FC3F8E">
            <w:pPr>
              <w:spacing w:line="0" w:lineRule="atLeast"/>
              <w:rPr>
                <w:rFonts w:eastAsia="Times New Roman" w:cs="Times New Roman"/>
                <w:b/>
                <w:color w:val="000000"/>
              </w:rPr>
            </w:pPr>
            <w:r w:rsidRPr="00740EA6">
              <w:rPr>
                <w:rFonts w:eastAsia="Times New Roman" w:cs="Times New Roman"/>
                <w:color w:val="000000"/>
              </w:rPr>
              <w:t xml:space="preserve">Seçici katalitik </w:t>
            </w:r>
          </w:p>
          <w:p w14:paraId="28DFA0EA" w14:textId="77777777" w:rsidR="00A52778" w:rsidRPr="00740EA6" w:rsidRDefault="00A52778" w:rsidP="00FC3F8E">
            <w:pPr>
              <w:spacing w:line="0" w:lineRule="atLeast"/>
              <w:rPr>
                <w:rFonts w:eastAsia="Times New Roman" w:cs="Times New Roman"/>
                <w:b/>
                <w:color w:val="000000"/>
              </w:rPr>
            </w:pPr>
            <w:r w:rsidRPr="00740EA6">
              <w:rPr>
                <w:rFonts w:eastAsia="Times New Roman" w:cs="Times New Roman"/>
                <w:color w:val="000000"/>
              </w:rPr>
              <w:t xml:space="preserve">  indirgeme </w:t>
            </w:r>
          </w:p>
          <w:p w14:paraId="262D09E0" w14:textId="77777777" w:rsidR="00A52778" w:rsidRPr="00740EA6" w:rsidRDefault="00A52778" w:rsidP="00FC3F8E">
            <w:pPr>
              <w:jc w:val="center"/>
              <w:rPr>
                <w:rFonts w:eastAsia="Times New Roman" w:cs="Times New Roman"/>
                <w:b/>
              </w:rPr>
            </w:pPr>
            <w:r w:rsidRPr="00740EA6">
              <w:rPr>
                <w:rFonts w:eastAsia="Times New Roman" w:cs="Times New Roman"/>
                <w:color w:val="000000"/>
              </w:rPr>
              <w:t xml:space="preserve">  (SCR)</w:t>
            </w:r>
          </w:p>
        </w:tc>
        <w:tc>
          <w:tcPr>
            <w:tcW w:w="7572" w:type="dxa"/>
            <w:vAlign w:val="bottom"/>
          </w:tcPr>
          <w:p w14:paraId="28E0A5B0" w14:textId="77777777" w:rsidR="00A52778" w:rsidRPr="00740EA6" w:rsidRDefault="00A52778" w:rsidP="00FC3F8E">
            <w:pPr>
              <w:spacing w:line="0" w:lineRule="atLeast"/>
              <w:ind w:left="100"/>
              <w:rPr>
                <w:rFonts w:eastAsia="Times New Roman"/>
                <w:b/>
              </w:rPr>
            </w:pPr>
            <w:r w:rsidRPr="00740EA6">
              <w:rPr>
                <w:rFonts w:eastAsia="Times New Roman"/>
              </w:rPr>
              <w:t>Azot oksitlerin bir katalizör varlığında amonyak veya üre ile seçici olarak indirgenmesi. Teknik, tipik olarak 200-450 °C civarında optimum bir çalışma sıcaklığında amonyak ile reaksiyona girerek NO</w:t>
            </w:r>
            <w:r w:rsidRPr="00740EA6">
              <w:rPr>
                <w:rFonts w:eastAsia="Times New Roman"/>
                <w:vertAlign w:val="subscript"/>
              </w:rPr>
              <w:t>X</w:t>
            </w:r>
            <w:r w:rsidRPr="00740EA6">
              <w:rPr>
                <w:rFonts w:eastAsia="Times New Roman"/>
              </w:rPr>
              <w:t xml:space="preserve"> ' in katalitik bir yatakta azota indirgenmesine dayanır.  Genel olarak amonyak sulu bir çözelti olarak enjekte edilir; amonyak kaynağı susuz amonyak veya üre çözeltisi de olabilir. Birkaç kat katalizör tabakası uygulanabilir. Bir veya daha fazla katman olarak yerleştirilen daha büyük bir katalizör yüzeyi daha yüksek bir NO</w:t>
            </w:r>
            <w:r w:rsidRPr="00740EA6">
              <w:rPr>
                <w:rFonts w:eastAsia="Times New Roman"/>
                <w:vertAlign w:val="subscript"/>
              </w:rPr>
              <w:t>X</w:t>
            </w:r>
            <w:r w:rsidRPr="00740EA6">
              <w:rPr>
                <w:rFonts w:eastAsia="Times New Roman"/>
              </w:rPr>
              <w:t xml:space="preserve"> azaltımı sağlar. "Kanal içi" (in-duct) veya "kayma" (slip) SCR, SNCR' yi aşağı akış SCR ile birleştirerek SNCR' den amonyak kaymasını azaltır.</w:t>
            </w:r>
          </w:p>
        </w:tc>
      </w:tr>
      <w:tr w:rsidR="00A52778" w14:paraId="74BC08CB" w14:textId="77777777" w:rsidTr="00FC3F8E">
        <w:tc>
          <w:tcPr>
            <w:tcW w:w="1838" w:type="dxa"/>
          </w:tcPr>
          <w:p w14:paraId="56BB656B" w14:textId="77777777" w:rsidR="00A52778" w:rsidRPr="00740EA6" w:rsidRDefault="00A52778" w:rsidP="00FC3F8E">
            <w:pPr>
              <w:spacing w:line="0" w:lineRule="atLeast"/>
              <w:rPr>
                <w:rFonts w:eastAsia="Times New Roman" w:cs="Times New Roman"/>
                <w:b/>
                <w:color w:val="000000"/>
              </w:rPr>
            </w:pPr>
            <w:r w:rsidRPr="00740EA6">
              <w:rPr>
                <w:rFonts w:eastAsia="Times New Roman" w:cs="Times New Roman"/>
                <w:color w:val="000000"/>
              </w:rPr>
              <w:t xml:space="preserve">Seçici katalitik </w:t>
            </w:r>
          </w:p>
          <w:p w14:paraId="6E2EA038" w14:textId="77777777" w:rsidR="00A52778" w:rsidRPr="00740EA6" w:rsidRDefault="00A52778" w:rsidP="00FC3F8E">
            <w:pPr>
              <w:spacing w:line="0" w:lineRule="atLeast"/>
              <w:rPr>
                <w:rFonts w:eastAsia="Times New Roman" w:cs="Times New Roman"/>
                <w:b/>
                <w:color w:val="000000"/>
              </w:rPr>
            </w:pPr>
            <w:r w:rsidRPr="00740EA6">
              <w:rPr>
                <w:rFonts w:eastAsia="Times New Roman" w:cs="Times New Roman"/>
                <w:color w:val="000000"/>
              </w:rPr>
              <w:t xml:space="preserve">  olmayan </w:t>
            </w:r>
          </w:p>
          <w:p w14:paraId="0DC58932" w14:textId="77777777" w:rsidR="00A52778" w:rsidRPr="00740EA6" w:rsidRDefault="00A52778" w:rsidP="00FC3F8E">
            <w:pPr>
              <w:spacing w:line="0" w:lineRule="atLeast"/>
              <w:rPr>
                <w:rFonts w:eastAsia="Times New Roman" w:cs="Times New Roman"/>
                <w:b/>
                <w:color w:val="000000"/>
              </w:rPr>
            </w:pPr>
            <w:r w:rsidRPr="00740EA6">
              <w:rPr>
                <w:rFonts w:eastAsia="Times New Roman" w:cs="Times New Roman"/>
                <w:color w:val="000000"/>
              </w:rPr>
              <w:t xml:space="preserve">  indirgeme </w:t>
            </w:r>
          </w:p>
          <w:p w14:paraId="6E2CF896" w14:textId="77777777" w:rsidR="00A52778" w:rsidRPr="00740EA6" w:rsidRDefault="00A52778" w:rsidP="00FC3F8E">
            <w:pPr>
              <w:spacing w:line="200" w:lineRule="exact"/>
              <w:rPr>
                <w:rFonts w:eastAsia="Times New Roman" w:cs="Times New Roman"/>
                <w:b/>
              </w:rPr>
            </w:pPr>
            <w:r w:rsidRPr="00740EA6">
              <w:rPr>
                <w:rFonts w:eastAsia="Times New Roman" w:cs="Times New Roman"/>
                <w:color w:val="000000"/>
              </w:rPr>
              <w:t xml:space="preserve">  (SNCR)</w:t>
            </w:r>
          </w:p>
        </w:tc>
        <w:tc>
          <w:tcPr>
            <w:tcW w:w="7572" w:type="dxa"/>
            <w:vAlign w:val="bottom"/>
          </w:tcPr>
          <w:p w14:paraId="4E497FE3" w14:textId="77777777" w:rsidR="00A52778" w:rsidRPr="00740EA6" w:rsidRDefault="00A52778" w:rsidP="00FC3F8E">
            <w:pPr>
              <w:spacing w:line="0" w:lineRule="atLeast"/>
              <w:ind w:left="100"/>
              <w:rPr>
                <w:rFonts w:eastAsia="Times New Roman"/>
                <w:b/>
              </w:rPr>
            </w:pPr>
            <w:r w:rsidRPr="00740EA6">
              <w:rPr>
                <w:rFonts w:eastAsia="Times New Roman"/>
              </w:rPr>
              <w:t>Azot oksitlerin amonyak veya üre ile yüksek sıcaklıklarda ve katalizör olmadan seçici olarak azota indirgenmesi.  Çalışma sıcaklığı skalası, optimum reaksiyon için 800 °C ila 1 000 °C arasında tutulur</w:t>
            </w:r>
          </w:p>
        </w:tc>
      </w:tr>
    </w:tbl>
    <w:p w14:paraId="6CAA5213" w14:textId="77777777" w:rsidR="00A52778" w:rsidRPr="00460F9E" w:rsidRDefault="00A52778" w:rsidP="00A52778">
      <w:pPr>
        <w:spacing w:line="200" w:lineRule="exact"/>
        <w:rPr>
          <w:rFonts w:eastAsia="Times New Roman" w:cs="Times New Roman"/>
          <w:b/>
        </w:rPr>
      </w:pPr>
    </w:p>
    <w:p w14:paraId="5D1B8655" w14:textId="77777777" w:rsidR="00A52778" w:rsidRPr="00460F9E" w:rsidRDefault="00A52778" w:rsidP="00A52778">
      <w:pPr>
        <w:spacing w:line="200" w:lineRule="exact"/>
        <w:rPr>
          <w:rFonts w:eastAsia="Times New Roman" w:cs="Times New Roman"/>
          <w:b/>
        </w:rPr>
      </w:pPr>
    </w:p>
    <w:p w14:paraId="03FD4638" w14:textId="77777777" w:rsidR="00A52778" w:rsidRPr="00460F9E" w:rsidRDefault="00A52778" w:rsidP="00A52778">
      <w:pPr>
        <w:spacing w:line="200" w:lineRule="exact"/>
        <w:rPr>
          <w:rFonts w:eastAsia="Times New Roman" w:cs="Times New Roman"/>
          <w:b/>
        </w:rPr>
      </w:pPr>
    </w:p>
    <w:p w14:paraId="267B95EE" w14:textId="77777777" w:rsidR="00A52778" w:rsidRPr="00460F9E" w:rsidRDefault="00A52778" w:rsidP="00A52778">
      <w:pPr>
        <w:spacing w:line="200" w:lineRule="exact"/>
        <w:rPr>
          <w:rFonts w:eastAsia="Times New Roman" w:cs="Times New Roman"/>
          <w:b/>
        </w:rPr>
      </w:pPr>
    </w:p>
    <w:p w14:paraId="6E339F27" w14:textId="77777777" w:rsidR="00A52778" w:rsidRPr="00460F9E" w:rsidRDefault="00A52778" w:rsidP="00A52778">
      <w:pPr>
        <w:spacing w:line="200" w:lineRule="exact"/>
        <w:rPr>
          <w:rFonts w:eastAsia="Times New Roman" w:cs="Times New Roman"/>
          <w:b/>
        </w:rPr>
      </w:pPr>
    </w:p>
    <w:p w14:paraId="4D6D9740" w14:textId="77777777" w:rsidR="00A52778" w:rsidRPr="00460F9E" w:rsidRDefault="00A52778" w:rsidP="00A52778">
      <w:pPr>
        <w:spacing w:line="200" w:lineRule="exact"/>
        <w:rPr>
          <w:rFonts w:eastAsia="Times New Roman" w:cs="Times New Roman"/>
          <w:b/>
        </w:rPr>
      </w:pPr>
    </w:p>
    <w:p w14:paraId="0050444D" w14:textId="77777777" w:rsidR="00A52778" w:rsidRPr="00460F9E" w:rsidRDefault="00A52778" w:rsidP="00A52778">
      <w:pPr>
        <w:spacing w:line="200" w:lineRule="exact"/>
        <w:rPr>
          <w:rFonts w:eastAsia="Times New Roman" w:cs="Times New Roman"/>
          <w:b/>
        </w:rPr>
      </w:pPr>
    </w:p>
    <w:p w14:paraId="2258ED7B" w14:textId="77777777" w:rsidR="00A52778" w:rsidRDefault="00A52778" w:rsidP="00A52778">
      <w:pPr>
        <w:tabs>
          <w:tab w:val="left" w:pos="2420"/>
        </w:tabs>
        <w:spacing w:line="0" w:lineRule="atLeast"/>
        <w:ind w:left="100"/>
        <w:rPr>
          <w:rFonts w:eastAsia="Times New Roman" w:cs="Times New Roman"/>
          <w:b/>
          <w:color w:val="0000FF"/>
        </w:rPr>
      </w:pPr>
    </w:p>
    <w:p w14:paraId="489B414E" w14:textId="77777777" w:rsidR="00A52778" w:rsidRDefault="00A52778" w:rsidP="00A52778">
      <w:pPr>
        <w:tabs>
          <w:tab w:val="left" w:pos="2420"/>
        </w:tabs>
        <w:spacing w:line="0" w:lineRule="atLeast"/>
        <w:ind w:left="100"/>
        <w:rPr>
          <w:rFonts w:eastAsia="Times New Roman" w:cs="Times New Roman"/>
          <w:b/>
          <w:color w:val="0000FF"/>
        </w:rPr>
      </w:pPr>
    </w:p>
    <w:p w14:paraId="0725295A" w14:textId="77777777" w:rsidR="00A52778" w:rsidRDefault="00A52778" w:rsidP="00A52778">
      <w:pPr>
        <w:tabs>
          <w:tab w:val="left" w:pos="2420"/>
        </w:tabs>
        <w:spacing w:line="0" w:lineRule="atLeast"/>
        <w:ind w:left="100"/>
        <w:rPr>
          <w:rFonts w:eastAsia="Times New Roman" w:cs="Times New Roman"/>
          <w:b/>
          <w:color w:val="0000FF"/>
        </w:rPr>
      </w:pPr>
    </w:p>
    <w:p w14:paraId="37B01745" w14:textId="77777777" w:rsidR="00A52778" w:rsidRDefault="00A52778" w:rsidP="00A52778">
      <w:pPr>
        <w:tabs>
          <w:tab w:val="left" w:pos="2420"/>
        </w:tabs>
        <w:spacing w:line="0" w:lineRule="atLeast"/>
        <w:ind w:left="100"/>
        <w:rPr>
          <w:rFonts w:eastAsia="Times New Roman" w:cs="Times New Roman"/>
          <w:b/>
          <w:color w:val="0000FF"/>
        </w:rPr>
      </w:pPr>
    </w:p>
    <w:p w14:paraId="79798708" w14:textId="77777777" w:rsidR="00A52778" w:rsidRDefault="00A52778" w:rsidP="00A52778">
      <w:pPr>
        <w:tabs>
          <w:tab w:val="left" w:pos="2420"/>
        </w:tabs>
        <w:spacing w:line="0" w:lineRule="atLeast"/>
        <w:ind w:left="100"/>
        <w:rPr>
          <w:rFonts w:eastAsia="Times New Roman" w:cs="Times New Roman"/>
          <w:b/>
          <w:color w:val="0000FF"/>
        </w:rPr>
      </w:pPr>
    </w:p>
    <w:p w14:paraId="463E3D5C" w14:textId="77777777" w:rsidR="00A52778" w:rsidRDefault="00A52778" w:rsidP="00A52778">
      <w:pPr>
        <w:tabs>
          <w:tab w:val="left" w:pos="2420"/>
        </w:tabs>
        <w:spacing w:line="0" w:lineRule="atLeast"/>
        <w:ind w:left="100"/>
        <w:rPr>
          <w:rFonts w:eastAsia="Times New Roman" w:cs="Times New Roman"/>
          <w:b/>
          <w:color w:val="0000FF"/>
        </w:rPr>
      </w:pPr>
    </w:p>
    <w:p w14:paraId="5CC4CB36" w14:textId="77777777" w:rsidR="00A52778" w:rsidRDefault="00A52778" w:rsidP="00A52778">
      <w:pPr>
        <w:tabs>
          <w:tab w:val="left" w:pos="2420"/>
        </w:tabs>
        <w:spacing w:line="0" w:lineRule="atLeast"/>
        <w:ind w:left="100"/>
        <w:rPr>
          <w:rFonts w:eastAsia="Times New Roman" w:cs="Times New Roman"/>
          <w:b/>
          <w:color w:val="0000FF"/>
        </w:rPr>
      </w:pPr>
    </w:p>
    <w:p w14:paraId="04B4B9D4" w14:textId="77777777" w:rsidR="00A52778" w:rsidRDefault="00A52778" w:rsidP="00A52778">
      <w:pPr>
        <w:tabs>
          <w:tab w:val="left" w:pos="2420"/>
        </w:tabs>
        <w:spacing w:line="0" w:lineRule="atLeast"/>
        <w:ind w:left="100"/>
        <w:rPr>
          <w:rFonts w:eastAsia="Times New Roman" w:cs="Times New Roman"/>
          <w:b/>
          <w:color w:val="0000FF"/>
        </w:rPr>
      </w:pPr>
    </w:p>
    <w:p w14:paraId="24499A03" w14:textId="77777777" w:rsidR="00A52778" w:rsidRDefault="00A52778" w:rsidP="00A52778">
      <w:pPr>
        <w:tabs>
          <w:tab w:val="left" w:pos="2420"/>
        </w:tabs>
        <w:spacing w:line="0" w:lineRule="atLeast"/>
        <w:ind w:left="100"/>
        <w:rPr>
          <w:rFonts w:eastAsia="Times New Roman" w:cs="Times New Roman"/>
          <w:b/>
          <w:color w:val="0000FF"/>
        </w:rPr>
      </w:pPr>
    </w:p>
    <w:p w14:paraId="36A62E12" w14:textId="77777777" w:rsidR="00A52778" w:rsidRDefault="00A52778" w:rsidP="00A52778">
      <w:pPr>
        <w:tabs>
          <w:tab w:val="left" w:pos="2420"/>
        </w:tabs>
        <w:spacing w:line="0" w:lineRule="atLeast"/>
        <w:ind w:left="100"/>
        <w:rPr>
          <w:rFonts w:eastAsia="Times New Roman" w:cs="Times New Roman"/>
          <w:b/>
          <w:color w:val="0000FF"/>
        </w:rPr>
      </w:pPr>
    </w:p>
    <w:p w14:paraId="20423F3C" w14:textId="77777777" w:rsidR="00A52778" w:rsidRPr="00460F9E" w:rsidRDefault="00A52778" w:rsidP="00A52778">
      <w:pPr>
        <w:tabs>
          <w:tab w:val="left" w:pos="2420"/>
        </w:tabs>
        <w:spacing w:line="0" w:lineRule="atLeast"/>
        <w:ind w:left="100"/>
        <w:rPr>
          <w:rFonts w:eastAsia="Times New Roman" w:cs="Times New Roman"/>
          <w:b/>
          <w:color w:val="0000FF"/>
        </w:rPr>
        <w:sectPr w:rsidR="00A52778" w:rsidRPr="00460F9E">
          <w:type w:val="continuous"/>
          <w:pgSz w:w="11900" w:h="16838"/>
          <w:pgMar w:top="707" w:right="1440" w:bottom="145" w:left="1040" w:header="0" w:footer="0" w:gutter="0"/>
          <w:cols w:space="0" w:equalWidth="0">
            <w:col w:w="9426"/>
          </w:cols>
          <w:docGrid w:linePitch="360"/>
        </w:sectPr>
      </w:pPr>
    </w:p>
    <w:p w14:paraId="28809A58" w14:textId="77777777" w:rsidR="00A52778" w:rsidRPr="00740EA6" w:rsidRDefault="00A52778" w:rsidP="00A52778">
      <w:pPr>
        <w:tabs>
          <w:tab w:val="left" w:pos="1220"/>
        </w:tabs>
        <w:spacing w:line="0" w:lineRule="atLeast"/>
        <w:ind w:left="120"/>
        <w:rPr>
          <w:rFonts w:eastAsia="Arial" w:cs="Times New Roman"/>
        </w:rPr>
      </w:pPr>
      <w:bookmarkStart w:id="354" w:name="page333"/>
      <w:bookmarkEnd w:id="354"/>
      <w:r>
        <w:rPr>
          <w:rFonts w:eastAsia="Arial" w:cs="Times New Roman"/>
        </w:rPr>
        <w:t>2</w:t>
      </w:r>
      <w:r w:rsidRPr="00740EA6">
        <w:rPr>
          <w:rFonts w:eastAsia="Arial" w:cs="Times New Roman"/>
        </w:rPr>
        <w:t>.4.2</w:t>
      </w:r>
      <w:r w:rsidRPr="00740EA6">
        <w:rPr>
          <w:rFonts w:eastAsia="Times New Roman" w:cs="Times New Roman"/>
        </w:rPr>
        <w:tab/>
      </w:r>
      <w:r w:rsidRPr="00740EA6">
        <w:rPr>
          <w:rFonts w:eastAsia="Arial" w:cs="Times New Roman"/>
        </w:rPr>
        <w:t>Havaya yayılı emisyonları izleme teknikleri</w:t>
      </w:r>
    </w:p>
    <w:p w14:paraId="68ADE8A0" w14:textId="77777777" w:rsidR="00A52778" w:rsidRPr="00460F9E" w:rsidRDefault="00A52778" w:rsidP="00A52778">
      <w:pPr>
        <w:spacing w:line="200" w:lineRule="exact"/>
        <w:rPr>
          <w:rFonts w:eastAsia="Times New Roman" w:cs="Times New Roman"/>
          <w:b/>
        </w:rPr>
      </w:pPr>
    </w:p>
    <w:p w14:paraId="72C226FA" w14:textId="77777777" w:rsidR="00A52778" w:rsidRPr="00460F9E" w:rsidRDefault="00A52778" w:rsidP="00A52778">
      <w:pPr>
        <w:spacing w:line="290" w:lineRule="exact"/>
        <w:rPr>
          <w:rFonts w:eastAsia="Times New Roman" w:cs="Times New Roman"/>
          <w:b/>
        </w:rPr>
      </w:pPr>
    </w:p>
    <w:tbl>
      <w:tblPr>
        <w:tblW w:w="0" w:type="auto"/>
        <w:tblInd w:w="110" w:type="dxa"/>
        <w:tblLayout w:type="fixed"/>
        <w:tblCellMar>
          <w:left w:w="0" w:type="dxa"/>
          <w:right w:w="0" w:type="dxa"/>
        </w:tblCellMar>
        <w:tblLook w:val="0000" w:firstRow="0" w:lastRow="0" w:firstColumn="0" w:lastColumn="0" w:noHBand="0" w:noVBand="0"/>
      </w:tblPr>
      <w:tblGrid>
        <w:gridCol w:w="780"/>
        <w:gridCol w:w="900"/>
        <w:gridCol w:w="6880"/>
      </w:tblGrid>
      <w:tr w:rsidR="00A52778" w:rsidRPr="00460F9E" w14:paraId="3F3AAD1A" w14:textId="77777777" w:rsidTr="00FC3F8E">
        <w:trPr>
          <w:trHeight w:val="239"/>
        </w:trPr>
        <w:tc>
          <w:tcPr>
            <w:tcW w:w="168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1D5E3165" w14:textId="77777777" w:rsidR="00A52778" w:rsidRPr="00740EA6" w:rsidRDefault="00A52778" w:rsidP="00FC3F8E">
            <w:pPr>
              <w:spacing w:line="0" w:lineRule="atLeast"/>
              <w:ind w:left="400"/>
              <w:rPr>
                <w:rFonts w:eastAsia="Times New Roman" w:cs="Times New Roman"/>
              </w:rPr>
            </w:pPr>
            <w:r w:rsidRPr="00740EA6">
              <w:rPr>
                <w:rFonts w:eastAsia="Times New Roman" w:cs="Times New Roman"/>
              </w:rPr>
              <w:t>Teknikler</w:t>
            </w:r>
          </w:p>
        </w:tc>
        <w:tc>
          <w:tcPr>
            <w:tcW w:w="6880" w:type="dxa"/>
            <w:tcBorders>
              <w:top w:val="single" w:sz="8" w:space="0" w:color="auto"/>
              <w:bottom w:val="single" w:sz="8" w:space="0" w:color="auto"/>
              <w:right w:val="single" w:sz="8" w:space="0" w:color="auto"/>
            </w:tcBorders>
            <w:shd w:val="clear" w:color="auto" w:fill="auto"/>
            <w:vAlign w:val="bottom"/>
          </w:tcPr>
          <w:p w14:paraId="4199AACF" w14:textId="77777777" w:rsidR="00A52778" w:rsidRPr="00740EA6" w:rsidRDefault="00A52778" w:rsidP="00FC3F8E">
            <w:pPr>
              <w:spacing w:line="0" w:lineRule="atLeast"/>
              <w:ind w:left="2920"/>
              <w:rPr>
                <w:rFonts w:eastAsia="Times New Roman" w:cs="Times New Roman"/>
              </w:rPr>
            </w:pPr>
            <w:r w:rsidRPr="00740EA6">
              <w:rPr>
                <w:rFonts w:eastAsia="Times New Roman" w:cs="Times New Roman"/>
                <w:w w:val="99"/>
              </w:rPr>
              <w:t>Tanımlamalar</w:t>
            </w:r>
          </w:p>
        </w:tc>
      </w:tr>
      <w:tr w:rsidR="00A52778" w:rsidRPr="00460F9E" w14:paraId="17644059" w14:textId="77777777" w:rsidTr="00FC3F8E">
        <w:trPr>
          <w:trHeight w:val="215"/>
        </w:trPr>
        <w:tc>
          <w:tcPr>
            <w:tcW w:w="780" w:type="dxa"/>
            <w:tcBorders>
              <w:left w:val="single" w:sz="8" w:space="0" w:color="auto"/>
            </w:tcBorders>
            <w:shd w:val="clear" w:color="auto" w:fill="auto"/>
            <w:vAlign w:val="bottom"/>
          </w:tcPr>
          <w:p w14:paraId="490F997C" w14:textId="77777777" w:rsidR="00A52778" w:rsidRPr="00460F9E" w:rsidRDefault="00A52778" w:rsidP="00FC3F8E">
            <w:pPr>
              <w:spacing w:line="0" w:lineRule="atLeast"/>
              <w:rPr>
                <w:rFonts w:eastAsia="Times New Roman" w:cs="Times New Roman"/>
                <w:b/>
                <w:sz w:val="18"/>
              </w:rPr>
            </w:pPr>
          </w:p>
        </w:tc>
        <w:tc>
          <w:tcPr>
            <w:tcW w:w="900" w:type="dxa"/>
            <w:tcBorders>
              <w:right w:val="single" w:sz="8" w:space="0" w:color="auto"/>
            </w:tcBorders>
            <w:shd w:val="clear" w:color="auto" w:fill="auto"/>
            <w:vAlign w:val="bottom"/>
          </w:tcPr>
          <w:p w14:paraId="767FF81F" w14:textId="77777777" w:rsidR="00A52778" w:rsidRPr="00460F9E" w:rsidRDefault="00A52778" w:rsidP="00FC3F8E">
            <w:pPr>
              <w:spacing w:line="0" w:lineRule="atLeast"/>
              <w:rPr>
                <w:rFonts w:eastAsia="Times New Roman" w:cs="Times New Roman"/>
                <w:b/>
                <w:sz w:val="18"/>
              </w:rPr>
            </w:pPr>
          </w:p>
        </w:tc>
        <w:tc>
          <w:tcPr>
            <w:tcW w:w="6880" w:type="dxa"/>
            <w:vMerge w:val="restart"/>
            <w:tcBorders>
              <w:right w:val="single" w:sz="8" w:space="0" w:color="auto"/>
            </w:tcBorders>
            <w:shd w:val="clear" w:color="auto" w:fill="auto"/>
            <w:vAlign w:val="center"/>
          </w:tcPr>
          <w:p w14:paraId="265EA171"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 xml:space="preserve">Diferansiyel absorpsiyon kullanan lazer tabanlı bir teknik olan LIDAR (ışık algılama ve mesafe ölçümü), radyo dalgası tabanlı RADAR' ın optik analoğudur. Teknik, lazer ışını darbelerinin atmosferik aerosoller tarafından geri saçılmasına ve bir teleskopla toplanan geri dönen ışığın spektral özelliklerinin analizine dayanır. </w:t>
            </w:r>
          </w:p>
        </w:tc>
      </w:tr>
      <w:tr w:rsidR="00A52778" w:rsidRPr="00460F9E" w14:paraId="78998A1F" w14:textId="77777777" w:rsidTr="00FC3F8E">
        <w:trPr>
          <w:trHeight w:val="230"/>
        </w:trPr>
        <w:tc>
          <w:tcPr>
            <w:tcW w:w="1680" w:type="dxa"/>
            <w:gridSpan w:val="2"/>
            <w:tcBorders>
              <w:left w:val="single" w:sz="8" w:space="0" w:color="auto"/>
              <w:right w:val="single" w:sz="8" w:space="0" w:color="auto"/>
            </w:tcBorders>
            <w:shd w:val="clear" w:color="auto" w:fill="auto"/>
            <w:vAlign w:val="bottom"/>
          </w:tcPr>
          <w:p w14:paraId="7C055711"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Diferansiyel</w:t>
            </w:r>
          </w:p>
        </w:tc>
        <w:tc>
          <w:tcPr>
            <w:tcW w:w="6880" w:type="dxa"/>
            <w:vMerge/>
            <w:tcBorders>
              <w:right w:val="single" w:sz="8" w:space="0" w:color="auto"/>
            </w:tcBorders>
            <w:shd w:val="clear" w:color="auto" w:fill="auto"/>
            <w:vAlign w:val="bottom"/>
          </w:tcPr>
          <w:p w14:paraId="73EA24FA" w14:textId="77777777" w:rsidR="00A52778" w:rsidRPr="00460F9E" w:rsidRDefault="00A52778" w:rsidP="00FC3F8E">
            <w:pPr>
              <w:spacing w:line="0" w:lineRule="atLeast"/>
              <w:ind w:left="100"/>
              <w:rPr>
                <w:rFonts w:eastAsia="Times New Roman" w:cs="Times New Roman"/>
                <w:b/>
              </w:rPr>
            </w:pPr>
          </w:p>
        </w:tc>
      </w:tr>
      <w:tr w:rsidR="00A52778" w:rsidRPr="00460F9E" w14:paraId="4A712A0C" w14:textId="77777777" w:rsidTr="00FC3F8E">
        <w:trPr>
          <w:trHeight w:val="230"/>
        </w:trPr>
        <w:tc>
          <w:tcPr>
            <w:tcW w:w="1680" w:type="dxa"/>
            <w:gridSpan w:val="2"/>
            <w:tcBorders>
              <w:left w:val="single" w:sz="8" w:space="0" w:color="auto"/>
              <w:right w:val="single" w:sz="8" w:space="0" w:color="auto"/>
            </w:tcBorders>
            <w:shd w:val="clear" w:color="auto" w:fill="auto"/>
            <w:vAlign w:val="bottom"/>
          </w:tcPr>
          <w:p w14:paraId="3554B87B"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absorpsiyon</w:t>
            </w:r>
          </w:p>
        </w:tc>
        <w:tc>
          <w:tcPr>
            <w:tcW w:w="6880" w:type="dxa"/>
            <w:vMerge/>
            <w:tcBorders>
              <w:right w:val="single" w:sz="8" w:space="0" w:color="auto"/>
            </w:tcBorders>
            <w:shd w:val="clear" w:color="auto" w:fill="auto"/>
            <w:vAlign w:val="bottom"/>
          </w:tcPr>
          <w:p w14:paraId="0E360BD9" w14:textId="77777777" w:rsidR="00A52778" w:rsidRPr="00460F9E" w:rsidRDefault="00A52778" w:rsidP="00FC3F8E">
            <w:pPr>
              <w:spacing w:line="0" w:lineRule="atLeast"/>
              <w:ind w:left="100"/>
              <w:rPr>
                <w:rFonts w:eastAsia="Times New Roman" w:cs="Times New Roman"/>
                <w:b/>
              </w:rPr>
            </w:pPr>
          </w:p>
        </w:tc>
      </w:tr>
      <w:tr w:rsidR="00A52778" w:rsidRPr="00460F9E" w14:paraId="3FF29441" w14:textId="77777777" w:rsidTr="00FC3F8E">
        <w:trPr>
          <w:trHeight w:val="230"/>
        </w:trPr>
        <w:tc>
          <w:tcPr>
            <w:tcW w:w="1680" w:type="dxa"/>
            <w:gridSpan w:val="2"/>
            <w:tcBorders>
              <w:left w:val="single" w:sz="8" w:space="0" w:color="auto"/>
              <w:right w:val="single" w:sz="8" w:space="0" w:color="auto"/>
            </w:tcBorders>
            <w:shd w:val="clear" w:color="auto" w:fill="auto"/>
            <w:vAlign w:val="bottom"/>
          </w:tcPr>
          <w:p w14:paraId="7266DA42"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LIDAR (DIAL)</w:t>
            </w:r>
          </w:p>
        </w:tc>
        <w:tc>
          <w:tcPr>
            <w:tcW w:w="6880" w:type="dxa"/>
            <w:vMerge/>
            <w:tcBorders>
              <w:right w:val="single" w:sz="8" w:space="0" w:color="auto"/>
            </w:tcBorders>
            <w:shd w:val="clear" w:color="auto" w:fill="auto"/>
            <w:vAlign w:val="bottom"/>
          </w:tcPr>
          <w:p w14:paraId="6ED01640" w14:textId="77777777" w:rsidR="00A52778" w:rsidRPr="00460F9E" w:rsidRDefault="00A52778" w:rsidP="00FC3F8E">
            <w:pPr>
              <w:spacing w:line="0" w:lineRule="atLeast"/>
              <w:ind w:left="100"/>
              <w:rPr>
                <w:rFonts w:eastAsia="Times New Roman" w:cs="Times New Roman"/>
                <w:b/>
              </w:rPr>
            </w:pPr>
          </w:p>
        </w:tc>
      </w:tr>
      <w:tr w:rsidR="00A52778" w:rsidRPr="00460F9E" w14:paraId="5140D8B3" w14:textId="77777777" w:rsidTr="00FC3F8E">
        <w:trPr>
          <w:trHeight w:val="233"/>
        </w:trPr>
        <w:tc>
          <w:tcPr>
            <w:tcW w:w="780" w:type="dxa"/>
            <w:tcBorders>
              <w:left w:val="single" w:sz="8" w:space="0" w:color="auto"/>
              <w:bottom w:val="single" w:sz="8" w:space="0" w:color="auto"/>
            </w:tcBorders>
            <w:shd w:val="clear" w:color="auto" w:fill="auto"/>
            <w:vAlign w:val="bottom"/>
          </w:tcPr>
          <w:p w14:paraId="582E56F5" w14:textId="77777777" w:rsidR="00A52778" w:rsidRPr="00460F9E" w:rsidRDefault="00A52778" w:rsidP="00FC3F8E">
            <w:pPr>
              <w:spacing w:line="0" w:lineRule="atLeast"/>
              <w:rPr>
                <w:rFonts w:eastAsia="Times New Roman" w:cs="Times New Roman"/>
                <w:b/>
              </w:rPr>
            </w:pPr>
          </w:p>
        </w:tc>
        <w:tc>
          <w:tcPr>
            <w:tcW w:w="900" w:type="dxa"/>
            <w:tcBorders>
              <w:bottom w:val="single" w:sz="8" w:space="0" w:color="auto"/>
              <w:right w:val="single" w:sz="8" w:space="0" w:color="auto"/>
            </w:tcBorders>
            <w:shd w:val="clear" w:color="auto" w:fill="auto"/>
            <w:vAlign w:val="bottom"/>
          </w:tcPr>
          <w:p w14:paraId="04CACA93" w14:textId="77777777" w:rsidR="00A52778" w:rsidRPr="00460F9E" w:rsidRDefault="00A52778" w:rsidP="00FC3F8E">
            <w:pPr>
              <w:spacing w:line="0" w:lineRule="atLeast"/>
              <w:rPr>
                <w:rFonts w:eastAsia="Times New Roman" w:cs="Times New Roman"/>
                <w:b/>
              </w:rPr>
            </w:pPr>
          </w:p>
        </w:tc>
        <w:tc>
          <w:tcPr>
            <w:tcW w:w="6880" w:type="dxa"/>
            <w:vMerge/>
            <w:tcBorders>
              <w:bottom w:val="single" w:sz="8" w:space="0" w:color="auto"/>
              <w:right w:val="single" w:sz="8" w:space="0" w:color="auto"/>
            </w:tcBorders>
            <w:shd w:val="clear" w:color="auto" w:fill="auto"/>
            <w:vAlign w:val="bottom"/>
          </w:tcPr>
          <w:p w14:paraId="72CA2D82" w14:textId="77777777" w:rsidR="00A52778" w:rsidRPr="00460F9E" w:rsidRDefault="00A52778" w:rsidP="00FC3F8E">
            <w:pPr>
              <w:spacing w:line="0" w:lineRule="atLeast"/>
              <w:ind w:left="100"/>
              <w:rPr>
                <w:rFonts w:eastAsia="Times New Roman" w:cs="Times New Roman"/>
                <w:b/>
              </w:rPr>
            </w:pPr>
          </w:p>
        </w:tc>
      </w:tr>
      <w:tr w:rsidR="00A52778" w:rsidRPr="00460F9E" w14:paraId="1A49F28A" w14:textId="77777777" w:rsidTr="00FC3F8E">
        <w:trPr>
          <w:trHeight w:val="217"/>
        </w:trPr>
        <w:tc>
          <w:tcPr>
            <w:tcW w:w="780" w:type="dxa"/>
            <w:tcBorders>
              <w:left w:val="single" w:sz="8" w:space="0" w:color="auto"/>
            </w:tcBorders>
            <w:shd w:val="clear" w:color="auto" w:fill="auto"/>
            <w:vAlign w:val="bottom"/>
          </w:tcPr>
          <w:p w14:paraId="3FC62A43" w14:textId="77777777" w:rsidR="00A52778" w:rsidRPr="00460F9E" w:rsidRDefault="00A52778" w:rsidP="00FC3F8E">
            <w:pPr>
              <w:spacing w:line="0" w:lineRule="atLeast"/>
              <w:rPr>
                <w:rFonts w:eastAsia="Times New Roman" w:cs="Times New Roman"/>
                <w:b/>
                <w:sz w:val="18"/>
              </w:rPr>
            </w:pPr>
          </w:p>
        </w:tc>
        <w:tc>
          <w:tcPr>
            <w:tcW w:w="900" w:type="dxa"/>
            <w:tcBorders>
              <w:right w:val="single" w:sz="8" w:space="0" w:color="auto"/>
            </w:tcBorders>
            <w:shd w:val="clear" w:color="auto" w:fill="auto"/>
            <w:vAlign w:val="bottom"/>
          </w:tcPr>
          <w:p w14:paraId="30502103" w14:textId="77777777" w:rsidR="00A52778" w:rsidRPr="00460F9E" w:rsidRDefault="00A52778" w:rsidP="00FC3F8E">
            <w:pPr>
              <w:spacing w:line="0" w:lineRule="atLeast"/>
              <w:rPr>
                <w:rFonts w:eastAsia="Times New Roman" w:cs="Times New Roman"/>
                <w:b/>
                <w:sz w:val="18"/>
              </w:rPr>
            </w:pPr>
          </w:p>
        </w:tc>
        <w:tc>
          <w:tcPr>
            <w:tcW w:w="6880" w:type="dxa"/>
            <w:vMerge w:val="restart"/>
            <w:tcBorders>
              <w:right w:val="single" w:sz="8" w:space="0" w:color="auto"/>
            </w:tcBorders>
            <w:shd w:val="clear" w:color="auto" w:fill="auto"/>
            <w:vAlign w:val="bottom"/>
          </w:tcPr>
          <w:p w14:paraId="0D0F2D4F"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Emisyon faktörleri, tesisten kaynaklanan emisyonları tahmin etmek için bir faaliyet oranıyla (örneğin üretim çıktısı) çarpılabilen sayılardır. Emisyon faktörleri genellikle benzer proses ekipmanları veya proses adımlarından oluşan bir popülasyonun test edilmesi yoluyla elde edilir. Bu bilgi, yayılan madde miktarını faaliyet büyüklüğünün genel bir ölçüsüyle ilişkilendirmek için kullanılabilir. Diğer bilgiler olmadan, emisyonları tahmin etmek için varsayılan emisyon faktörleri (örneğin literatür değerleri) kullanılabilir.</w:t>
            </w:r>
          </w:p>
        </w:tc>
      </w:tr>
      <w:tr w:rsidR="00A52778" w:rsidRPr="00460F9E" w14:paraId="53FA5814" w14:textId="77777777" w:rsidTr="00FC3F8E">
        <w:trPr>
          <w:trHeight w:val="228"/>
        </w:trPr>
        <w:tc>
          <w:tcPr>
            <w:tcW w:w="780" w:type="dxa"/>
            <w:tcBorders>
              <w:left w:val="single" w:sz="8" w:space="0" w:color="auto"/>
            </w:tcBorders>
            <w:shd w:val="clear" w:color="auto" w:fill="auto"/>
            <w:vAlign w:val="bottom"/>
          </w:tcPr>
          <w:p w14:paraId="21EA4C83" w14:textId="77777777" w:rsidR="00A52778" w:rsidRPr="00460F9E" w:rsidRDefault="00A52778" w:rsidP="00FC3F8E">
            <w:pPr>
              <w:spacing w:line="0" w:lineRule="atLeast"/>
              <w:rPr>
                <w:rFonts w:eastAsia="Times New Roman" w:cs="Times New Roman"/>
                <w:b/>
                <w:sz w:val="19"/>
              </w:rPr>
            </w:pPr>
          </w:p>
        </w:tc>
        <w:tc>
          <w:tcPr>
            <w:tcW w:w="900" w:type="dxa"/>
            <w:tcBorders>
              <w:right w:val="single" w:sz="8" w:space="0" w:color="auto"/>
            </w:tcBorders>
            <w:shd w:val="clear" w:color="auto" w:fill="auto"/>
            <w:vAlign w:val="bottom"/>
          </w:tcPr>
          <w:p w14:paraId="3485EFCB" w14:textId="77777777" w:rsidR="00A52778" w:rsidRPr="00460F9E" w:rsidRDefault="00A52778" w:rsidP="00FC3F8E">
            <w:pPr>
              <w:spacing w:line="0" w:lineRule="atLeast"/>
              <w:rPr>
                <w:rFonts w:eastAsia="Times New Roman" w:cs="Times New Roman"/>
                <w:b/>
                <w:sz w:val="19"/>
              </w:rPr>
            </w:pPr>
          </w:p>
        </w:tc>
        <w:tc>
          <w:tcPr>
            <w:tcW w:w="6880" w:type="dxa"/>
            <w:vMerge/>
            <w:tcBorders>
              <w:right w:val="single" w:sz="8" w:space="0" w:color="auto"/>
            </w:tcBorders>
            <w:shd w:val="clear" w:color="auto" w:fill="auto"/>
            <w:vAlign w:val="bottom"/>
          </w:tcPr>
          <w:p w14:paraId="114D0D0D" w14:textId="77777777" w:rsidR="00A52778" w:rsidRPr="00460F9E" w:rsidRDefault="00A52778" w:rsidP="00FC3F8E">
            <w:pPr>
              <w:spacing w:line="0" w:lineRule="atLeast"/>
              <w:ind w:left="100"/>
              <w:rPr>
                <w:rFonts w:eastAsia="Times New Roman" w:cs="Times New Roman"/>
                <w:b/>
              </w:rPr>
            </w:pPr>
          </w:p>
        </w:tc>
      </w:tr>
      <w:tr w:rsidR="00A52778" w:rsidRPr="00460F9E" w14:paraId="3E39A048" w14:textId="77777777" w:rsidTr="00FC3F8E">
        <w:trPr>
          <w:trHeight w:val="230"/>
        </w:trPr>
        <w:tc>
          <w:tcPr>
            <w:tcW w:w="780" w:type="dxa"/>
            <w:tcBorders>
              <w:left w:val="single" w:sz="8" w:space="0" w:color="auto"/>
            </w:tcBorders>
            <w:shd w:val="clear" w:color="auto" w:fill="auto"/>
            <w:vAlign w:val="bottom"/>
          </w:tcPr>
          <w:p w14:paraId="4611E57C" w14:textId="77777777" w:rsidR="00A52778" w:rsidRPr="00460F9E" w:rsidRDefault="00A52778" w:rsidP="00FC3F8E">
            <w:pPr>
              <w:spacing w:line="0" w:lineRule="atLeast"/>
              <w:rPr>
                <w:rFonts w:eastAsia="Times New Roman" w:cs="Times New Roman"/>
                <w:b/>
              </w:rPr>
            </w:pPr>
          </w:p>
        </w:tc>
        <w:tc>
          <w:tcPr>
            <w:tcW w:w="900" w:type="dxa"/>
            <w:tcBorders>
              <w:right w:val="single" w:sz="8" w:space="0" w:color="auto"/>
            </w:tcBorders>
            <w:shd w:val="clear" w:color="auto" w:fill="auto"/>
            <w:vAlign w:val="bottom"/>
          </w:tcPr>
          <w:p w14:paraId="379DA74E" w14:textId="77777777" w:rsidR="00A52778" w:rsidRPr="00460F9E" w:rsidRDefault="00A52778" w:rsidP="00FC3F8E">
            <w:pPr>
              <w:spacing w:line="0" w:lineRule="atLeast"/>
              <w:rPr>
                <w:rFonts w:eastAsia="Times New Roman" w:cs="Times New Roman"/>
                <w:b/>
              </w:rPr>
            </w:pPr>
          </w:p>
        </w:tc>
        <w:tc>
          <w:tcPr>
            <w:tcW w:w="6880" w:type="dxa"/>
            <w:vMerge/>
            <w:tcBorders>
              <w:right w:val="single" w:sz="8" w:space="0" w:color="auto"/>
            </w:tcBorders>
            <w:shd w:val="clear" w:color="auto" w:fill="auto"/>
            <w:vAlign w:val="bottom"/>
          </w:tcPr>
          <w:p w14:paraId="36282C56" w14:textId="77777777" w:rsidR="00A52778" w:rsidRPr="00460F9E" w:rsidRDefault="00A52778" w:rsidP="00FC3F8E">
            <w:pPr>
              <w:spacing w:line="0" w:lineRule="atLeast"/>
              <w:ind w:left="100"/>
              <w:rPr>
                <w:rFonts w:eastAsia="Times New Roman" w:cs="Times New Roman"/>
                <w:b/>
              </w:rPr>
            </w:pPr>
          </w:p>
        </w:tc>
      </w:tr>
      <w:tr w:rsidR="00A52778" w:rsidRPr="00460F9E" w14:paraId="3A1564B5" w14:textId="77777777" w:rsidTr="00FC3F8E">
        <w:trPr>
          <w:trHeight w:val="230"/>
        </w:trPr>
        <w:tc>
          <w:tcPr>
            <w:tcW w:w="780" w:type="dxa"/>
            <w:tcBorders>
              <w:left w:val="single" w:sz="8" w:space="0" w:color="auto"/>
            </w:tcBorders>
            <w:shd w:val="clear" w:color="auto" w:fill="auto"/>
            <w:vAlign w:val="bottom"/>
          </w:tcPr>
          <w:p w14:paraId="43C6B71C" w14:textId="77777777" w:rsidR="00A52778" w:rsidRPr="00460F9E" w:rsidRDefault="00A52778" w:rsidP="00FC3F8E">
            <w:pPr>
              <w:spacing w:line="0" w:lineRule="atLeast"/>
              <w:rPr>
                <w:rFonts w:eastAsia="Times New Roman" w:cs="Times New Roman"/>
                <w:b/>
              </w:rPr>
            </w:pPr>
          </w:p>
        </w:tc>
        <w:tc>
          <w:tcPr>
            <w:tcW w:w="900" w:type="dxa"/>
            <w:tcBorders>
              <w:right w:val="single" w:sz="8" w:space="0" w:color="auto"/>
            </w:tcBorders>
            <w:shd w:val="clear" w:color="auto" w:fill="auto"/>
            <w:vAlign w:val="bottom"/>
          </w:tcPr>
          <w:p w14:paraId="396B758E" w14:textId="77777777" w:rsidR="00A52778" w:rsidRPr="00460F9E" w:rsidRDefault="00A52778" w:rsidP="00FC3F8E">
            <w:pPr>
              <w:spacing w:line="0" w:lineRule="atLeast"/>
              <w:rPr>
                <w:rFonts w:eastAsia="Times New Roman" w:cs="Times New Roman"/>
                <w:b/>
              </w:rPr>
            </w:pPr>
          </w:p>
        </w:tc>
        <w:tc>
          <w:tcPr>
            <w:tcW w:w="6880" w:type="dxa"/>
            <w:vMerge/>
            <w:tcBorders>
              <w:right w:val="single" w:sz="8" w:space="0" w:color="auto"/>
            </w:tcBorders>
            <w:shd w:val="clear" w:color="auto" w:fill="auto"/>
            <w:vAlign w:val="bottom"/>
          </w:tcPr>
          <w:p w14:paraId="6A898DE4" w14:textId="77777777" w:rsidR="00A52778" w:rsidRPr="00460F9E" w:rsidRDefault="00A52778" w:rsidP="00FC3F8E">
            <w:pPr>
              <w:spacing w:line="0" w:lineRule="atLeast"/>
              <w:ind w:left="100"/>
              <w:rPr>
                <w:rFonts w:eastAsia="Times New Roman" w:cs="Times New Roman"/>
                <w:b/>
              </w:rPr>
            </w:pPr>
          </w:p>
        </w:tc>
      </w:tr>
      <w:tr w:rsidR="00A52778" w:rsidRPr="00460F9E" w14:paraId="1F054195" w14:textId="77777777" w:rsidTr="00FC3F8E">
        <w:trPr>
          <w:trHeight w:val="230"/>
        </w:trPr>
        <w:tc>
          <w:tcPr>
            <w:tcW w:w="1680" w:type="dxa"/>
            <w:gridSpan w:val="2"/>
            <w:tcBorders>
              <w:left w:val="single" w:sz="8" w:space="0" w:color="auto"/>
              <w:right w:val="single" w:sz="8" w:space="0" w:color="auto"/>
            </w:tcBorders>
            <w:shd w:val="clear" w:color="auto" w:fill="auto"/>
            <w:vAlign w:val="bottom"/>
          </w:tcPr>
          <w:p w14:paraId="61C5376A"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Emisyon faktörü</w:t>
            </w:r>
          </w:p>
        </w:tc>
        <w:tc>
          <w:tcPr>
            <w:tcW w:w="6880" w:type="dxa"/>
            <w:vMerge/>
            <w:tcBorders>
              <w:right w:val="single" w:sz="8" w:space="0" w:color="auto"/>
            </w:tcBorders>
            <w:shd w:val="clear" w:color="auto" w:fill="auto"/>
            <w:vAlign w:val="bottom"/>
          </w:tcPr>
          <w:p w14:paraId="65EBB82B" w14:textId="77777777" w:rsidR="00A52778" w:rsidRPr="00460F9E" w:rsidRDefault="00A52778" w:rsidP="00FC3F8E">
            <w:pPr>
              <w:spacing w:line="0" w:lineRule="atLeast"/>
              <w:ind w:left="100"/>
              <w:rPr>
                <w:rFonts w:eastAsia="Times New Roman" w:cs="Times New Roman"/>
                <w:b/>
              </w:rPr>
            </w:pPr>
          </w:p>
        </w:tc>
      </w:tr>
      <w:tr w:rsidR="00A52778" w:rsidRPr="00460F9E" w14:paraId="271CEE5F" w14:textId="77777777" w:rsidTr="00FC3F8E">
        <w:trPr>
          <w:trHeight w:val="230"/>
        </w:trPr>
        <w:tc>
          <w:tcPr>
            <w:tcW w:w="780" w:type="dxa"/>
            <w:tcBorders>
              <w:left w:val="single" w:sz="8" w:space="0" w:color="auto"/>
            </w:tcBorders>
            <w:shd w:val="clear" w:color="auto" w:fill="auto"/>
            <w:vAlign w:val="bottom"/>
          </w:tcPr>
          <w:p w14:paraId="27B1C38D" w14:textId="77777777" w:rsidR="00A52778" w:rsidRPr="00460F9E" w:rsidRDefault="00A52778" w:rsidP="00FC3F8E">
            <w:pPr>
              <w:spacing w:line="0" w:lineRule="atLeast"/>
              <w:rPr>
                <w:rFonts w:eastAsia="Times New Roman" w:cs="Times New Roman"/>
                <w:b/>
              </w:rPr>
            </w:pPr>
          </w:p>
        </w:tc>
        <w:tc>
          <w:tcPr>
            <w:tcW w:w="900" w:type="dxa"/>
            <w:tcBorders>
              <w:right w:val="single" w:sz="8" w:space="0" w:color="auto"/>
            </w:tcBorders>
            <w:shd w:val="clear" w:color="auto" w:fill="auto"/>
            <w:vAlign w:val="bottom"/>
          </w:tcPr>
          <w:p w14:paraId="69A7CA91" w14:textId="77777777" w:rsidR="00A52778" w:rsidRPr="00460F9E" w:rsidRDefault="00A52778" w:rsidP="00FC3F8E">
            <w:pPr>
              <w:spacing w:line="0" w:lineRule="atLeast"/>
              <w:rPr>
                <w:rFonts w:eastAsia="Times New Roman" w:cs="Times New Roman"/>
                <w:b/>
              </w:rPr>
            </w:pPr>
          </w:p>
        </w:tc>
        <w:tc>
          <w:tcPr>
            <w:tcW w:w="6880" w:type="dxa"/>
            <w:vMerge/>
            <w:tcBorders>
              <w:right w:val="single" w:sz="8" w:space="0" w:color="auto"/>
            </w:tcBorders>
            <w:shd w:val="clear" w:color="auto" w:fill="auto"/>
            <w:vAlign w:val="bottom"/>
          </w:tcPr>
          <w:p w14:paraId="65130E6A" w14:textId="77777777" w:rsidR="00A52778" w:rsidRPr="00460F9E" w:rsidRDefault="00A52778" w:rsidP="00FC3F8E">
            <w:pPr>
              <w:spacing w:line="0" w:lineRule="atLeast"/>
              <w:ind w:left="100"/>
              <w:rPr>
                <w:rFonts w:eastAsia="Times New Roman" w:cs="Times New Roman"/>
                <w:b/>
              </w:rPr>
            </w:pPr>
          </w:p>
        </w:tc>
      </w:tr>
      <w:tr w:rsidR="00A52778" w:rsidRPr="00460F9E" w14:paraId="26187C5D" w14:textId="77777777" w:rsidTr="00FC3F8E">
        <w:trPr>
          <w:trHeight w:val="230"/>
        </w:trPr>
        <w:tc>
          <w:tcPr>
            <w:tcW w:w="780" w:type="dxa"/>
            <w:tcBorders>
              <w:left w:val="single" w:sz="8" w:space="0" w:color="auto"/>
            </w:tcBorders>
            <w:shd w:val="clear" w:color="auto" w:fill="auto"/>
            <w:vAlign w:val="bottom"/>
          </w:tcPr>
          <w:p w14:paraId="1BF181A3" w14:textId="77777777" w:rsidR="00A52778" w:rsidRPr="00460F9E" w:rsidRDefault="00A52778" w:rsidP="00FC3F8E">
            <w:pPr>
              <w:spacing w:line="0" w:lineRule="atLeast"/>
              <w:rPr>
                <w:rFonts w:eastAsia="Times New Roman" w:cs="Times New Roman"/>
                <w:b/>
              </w:rPr>
            </w:pPr>
          </w:p>
        </w:tc>
        <w:tc>
          <w:tcPr>
            <w:tcW w:w="900" w:type="dxa"/>
            <w:tcBorders>
              <w:right w:val="single" w:sz="8" w:space="0" w:color="auto"/>
            </w:tcBorders>
            <w:shd w:val="clear" w:color="auto" w:fill="auto"/>
            <w:vAlign w:val="bottom"/>
          </w:tcPr>
          <w:p w14:paraId="1B071CDD" w14:textId="77777777" w:rsidR="00A52778" w:rsidRPr="00460F9E" w:rsidRDefault="00A52778" w:rsidP="00FC3F8E">
            <w:pPr>
              <w:spacing w:line="0" w:lineRule="atLeast"/>
              <w:rPr>
                <w:rFonts w:eastAsia="Times New Roman" w:cs="Times New Roman"/>
                <w:b/>
              </w:rPr>
            </w:pPr>
          </w:p>
        </w:tc>
        <w:tc>
          <w:tcPr>
            <w:tcW w:w="6880" w:type="dxa"/>
            <w:vMerge/>
            <w:tcBorders>
              <w:right w:val="single" w:sz="8" w:space="0" w:color="auto"/>
            </w:tcBorders>
            <w:shd w:val="clear" w:color="auto" w:fill="auto"/>
            <w:vAlign w:val="bottom"/>
          </w:tcPr>
          <w:p w14:paraId="7AEB0B2B" w14:textId="77777777" w:rsidR="00A52778" w:rsidRPr="00460F9E" w:rsidRDefault="00A52778" w:rsidP="00FC3F8E">
            <w:pPr>
              <w:spacing w:line="0" w:lineRule="atLeast"/>
              <w:ind w:left="100"/>
              <w:rPr>
                <w:rFonts w:eastAsia="Times New Roman" w:cs="Times New Roman"/>
                <w:b/>
              </w:rPr>
            </w:pPr>
          </w:p>
        </w:tc>
      </w:tr>
      <w:tr w:rsidR="00A52778" w:rsidRPr="00460F9E" w14:paraId="5B9B2F10" w14:textId="77777777" w:rsidTr="00FC3F8E">
        <w:trPr>
          <w:trHeight w:val="228"/>
        </w:trPr>
        <w:tc>
          <w:tcPr>
            <w:tcW w:w="780" w:type="dxa"/>
            <w:tcBorders>
              <w:left w:val="single" w:sz="8" w:space="0" w:color="auto"/>
            </w:tcBorders>
            <w:shd w:val="clear" w:color="auto" w:fill="auto"/>
            <w:vAlign w:val="bottom"/>
          </w:tcPr>
          <w:p w14:paraId="1467CC7C" w14:textId="77777777" w:rsidR="00A52778" w:rsidRPr="00460F9E" w:rsidRDefault="00A52778" w:rsidP="00FC3F8E">
            <w:pPr>
              <w:spacing w:line="0" w:lineRule="atLeast"/>
              <w:rPr>
                <w:rFonts w:eastAsia="Times New Roman" w:cs="Times New Roman"/>
                <w:b/>
                <w:sz w:val="19"/>
              </w:rPr>
            </w:pPr>
          </w:p>
        </w:tc>
        <w:tc>
          <w:tcPr>
            <w:tcW w:w="900" w:type="dxa"/>
            <w:tcBorders>
              <w:right w:val="single" w:sz="8" w:space="0" w:color="auto"/>
            </w:tcBorders>
            <w:shd w:val="clear" w:color="auto" w:fill="auto"/>
            <w:vAlign w:val="bottom"/>
          </w:tcPr>
          <w:p w14:paraId="6D1C7C92" w14:textId="77777777" w:rsidR="00A52778" w:rsidRPr="00460F9E" w:rsidRDefault="00A52778" w:rsidP="00FC3F8E">
            <w:pPr>
              <w:spacing w:line="0" w:lineRule="atLeast"/>
              <w:rPr>
                <w:rFonts w:eastAsia="Times New Roman" w:cs="Times New Roman"/>
                <w:b/>
                <w:sz w:val="19"/>
              </w:rPr>
            </w:pPr>
          </w:p>
        </w:tc>
        <w:tc>
          <w:tcPr>
            <w:tcW w:w="6880" w:type="dxa"/>
            <w:vMerge w:val="restart"/>
            <w:tcBorders>
              <w:right w:val="single" w:sz="8" w:space="0" w:color="auto"/>
            </w:tcBorders>
            <w:shd w:val="clear" w:color="auto" w:fill="auto"/>
            <w:vAlign w:val="bottom"/>
          </w:tcPr>
          <w:p w14:paraId="78E3F0D6"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Emisyon faktörleri genellikle yayılan bir maddenin kütlesinin, maddeyi yayan sürecin verimine bölünmesiyle ifade edilir.</w:t>
            </w:r>
          </w:p>
        </w:tc>
      </w:tr>
      <w:tr w:rsidR="00A52778" w:rsidRPr="00460F9E" w14:paraId="45DB923A" w14:textId="77777777" w:rsidTr="00FC3F8E">
        <w:trPr>
          <w:trHeight w:val="234"/>
        </w:trPr>
        <w:tc>
          <w:tcPr>
            <w:tcW w:w="780" w:type="dxa"/>
            <w:tcBorders>
              <w:left w:val="single" w:sz="8" w:space="0" w:color="auto"/>
              <w:bottom w:val="single" w:sz="8" w:space="0" w:color="auto"/>
            </w:tcBorders>
            <w:shd w:val="clear" w:color="auto" w:fill="auto"/>
            <w:vAlign w:val="bottom"/>
          </w:tcPr>
          <w:p w14:paraId="6B695340" w14:textId="77777777" w:rsidR="00A52778" w:rsidRPr="00460F9E" w:rsidRDefault="00A52778" w:rsidP="00FC3F8E">
            <w:pPr>
              <w:spacing w:line="0" w:lineRule="atLeast"/>
              <w:rPr>
                <w:rFonts w:eastAsia="Times New Roman" w:cs="Times New Roman"/>
                <w:b/>
              </w:rPr>
            </w:pPr>
          </w:p>
        </w:tc>
        <w:tc>
          <w:tcPr>
            <w:tcW w:w="900" w:type="dxa"/>
            <w:tcBorders>
              <w:bottom w:val="single" w:sz="8" w:space="0" w:color="auto"/>
              <w:right w:val="single" w:sz="8" w:space="0" w:color="auto"/>
            </w:tcBorders>
            <w:shd w:val="clear" w:color="auto" w:fill="auto"/>
            <w:vAlign w:val="bottom"/>
          </w:tcPr>
          <w:p w14:paraId="42ABA14E" w14:textId="77777777" w:rsidR="00A52778" w:rsidRPr="00460F9E" w:rsidRDefault="00A52778" w:rsidP="00FC3F8E">
            <w:pPr>
              <w:spacing w:line="0" w:lineRule="atLeast"/>
              <w:rPr>
                <w:rFonts w:eastAsia="Times New Roman" w:cs="Times New Roman"/>
                <w:b/>
              </w:rPr>
            </w:pPr>
          </w:p>
        </w:tc>
        <w:tc>
          <w:tcPr>
            <w:tcW w:w="6880" w:type="dxa"/>
            <w:vMerge/>
            <w:tcBorders>
              <w:bottom w:val="single" w:sz="8" w:space="0" w:color="auto"/>
              <w:right w:val="single" w:sz="8" w:space="0" w:color="auto"/>
            </w:tcBorders>
            <w:shd w:val="clear" w:color="auto" w:fill="auto"/>
            <w:vAlign w:val="bottom"/>
          </w:tcPr>
          <w:p w14:paraId="4D580C45" w14:textId="77777777" w:rsidR="00A52778" w:rsidRPr="00460F9E" w:rsidRDefault="00A52778" w:rsidP="00FC3F8E">
            <w:pPr>
              <w:spacing w:line="0" w:lineRule="atLeast"/>
              <w:ind w:left="100"/>
              <w:rPr>
                <w:rFonts w:eastAsia="Times New Roman" w:cs="Times New Roman"/>
                <w:b/>
              </w:rPr>
            </w:pPr>
          </w:p>
        </w:tc>
      </w:tr>
      <w:tr w:rsidR="00A52778" w:rsidRPr="00460F9E" w14:paraId="26EE7A88" w14:textId="77777777" w:rsidTr="00FC3F8E">
        <w:trPr>
          <w:trHeight w:val="960"/>
        </w:trPr>
        <w:tc>
          <w:tcPr>
            <w:tcW w:w="1680" w:type="dxa"/>
            <w:gridSpan w:val="2"/>
            <w:tcBorders>
              <w:left w:val="single" w:sz="8" w:space="0" w:color="auto"/>
              <w:right w:val="single" w:sz="8" w:space="0" w:color="auto"/>
            </w:tcBorders>
            <w:shd w:val="clear" w:color="auto" w:fill="auto"/>
            <w:vAlign w:val="center"/>
          </w:tcPr>
          <w:p w14:paraId="138588C6" w14:textId="77777777" w:rsidR="00A52778" w:rsidRPr="00460F9E" w:rsidRDefault="00A52778" w:rsidP="00FC3F8E">
            <w:pPr>
              <w:spacing w:line="0" w:lineRule="atLeast"/>
              <w:ind w:left="120"/>
              <w:rPr>
                <w:rFonts w:eastAsia="Times New Roman" w:cs="Times New Roman"/>
                <w:b/>
                <w:w w:val="97"/>
              </w:rPr>
            </w:pPr>
            <w:r w:rsidRPr="00460F9E">
              <w:rPr>
                <w:rFonts w:eastAsia="Times New Roman" w:cs="Times New Roman"/>
              </w:rPr>
              <w:t>Sızıntı Tespiti ve Onarım (LDAR) programı</w:t>
            </w:r>
          </w:p>
        </w:tc>
        <w:tc>
          <w:tcPr>
            <w:tcW w:w="6880" w:type="dxa"/>
            <w:tcBorders>
              <w:left w:val="single" w:sz="8" w:space="0" w:color="auto"/>
              <w:right w:val="single" w:sz="8" w:space="0" w:color="auto"/>
            </w:tcBorders>
            <w:shd w:val="clear" w:color="auto" w:fill="auto"/>
            <w:vAlign w:val="bottom"/>
          </w:tcPr>
          <w:p w14:paraId="04DCD545"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Sızıntı yapan bileşenlerin tespit edilmesi ve ardından onarılması veya değiştirilmesi yoluyla kaçak VOC emisyonlarının azaltılmasına yönelik yapılandırılmış bir yaklaşım. LDAR programı bir veya daha fazla dönemden oluşur. Bir dönem genellikle 1 yıl boyunca yürütülür ve ekipmanın belirli bir yüzdesi izlenir.</w:t>
            </w:r>
          </w:p>
        </w:tc>
      </w:tr>
      <w:tr w:rsidR="00A52778" w:rsidRPr="00460F9E" w14:paraId="42C749FA" w14:textId="77777777" w:rsidTr="00FC3F8E">
        <w:trPr>
          <w:trHeight w:val="59"/>
        </w:trPr>
        <w:tc>
          <w:tcPr>
            <w:tcW w:w="780" w:type="dxa"/>
            <w:tcBorders>
              <w:left w:val="single" w:sz="8" w:space="0" w:color="auto"/>
              <w:bottom w:val="single" w:sz="8" w:space="0" w:color="auto"/>
            </w:tcBorders>
            <w:shd w:val="clear" w:color="auto" w:fill="auto"/>
            <w:vAlign w:val="bottom"/>
          </w:tcPr>
          <w:p w14:paraId="25DF6B4E" w14:textId="77777777" w:rsidR="00A52778" w:rsidRPr="00460F9E" w:rsidRDefault="00A52778" w:rsidP="00FC3F8E">
            <w:pPr>
              <w:spacing w:line="0" w:lineRule="atLeast"/>
              <w:rPr>
                <w:rFonts w:eastAsia="Times New Roman" w:cs="Times New Roman"/>
                <w:b/>
                <w:sz w:val="5"/>
              </w:rPr>
            </w:pPr>
          </w:p>
        </w:tc>
        <w:tc>
          <w:tcPr>
            <w:tcW w:w="900" w:type="dxa"/>
            <w:tcBorders>
              <w:bottom w:val="single" w:sz="8" w:space="0" w:color="auto"/>
              <w:right w:val="single" w:sz="8" w:space="0" w:color="auto"/>
            </w:tcBorders>
            <w:shd w:val="clear" w:color="auto" w:fill="auto"/>
            <w:vAlign w:val="bottom"/>
          </w:tcPr>
          <w:p w14:paraId="07245626" w14:textId="77777777" w:rsidR="00A52778" w:rsidRPr="00460F9E" w:rsidRDefault="00A52778" w:rsidP="00FC3F8E">
            <w:pPr>
              <w:spacing w:line="0" w:lineRule="atLeast"/>
              <w:rPr>
                <w:rFonts w:eastAsia="Times New Roman" w:cs="Times New Roman"/>
                <w:b/>
                <w:sz w:val="5"/>
              </w:rPr>
            </w:pPr>
          </w:p>
        </w:tc>
        <w:tc>
          <w:tcPr>
            <w:tcW w:w="6880" w:type="dxa"/>
            <w:tcBorders>
              <w:bottom w:val="single" w:sz="8" w:space="0" w:color="auto"/>
              <w:right w:val="single" w:sz="8" w:space="0" w:color="auto"/>
            </w:tcBorders>
            <w:shd w:val="clear" w:color="auto" w:fill="auto"/>
            <w:vAlign w:val="bottom"/>
          </w:tcPr>
          <w:p w14:paraId="180995DF" w14:textId="77777777" w:rsidR="00A52778" w:rsidRPr="00460F9E" w:rsidRDefault="00A52778" w:rsidP="00FC3F8E">
            <w:pPr>
              <w:spacing w:line="0" w:lineRule="atLeast"/>
              <w:rPr>
                <w:rFonts w:eastAsia="Times New Roman" w:cs="Times New Roman"/>
                <w:b/>
                <w:sz w:val="5"/>
              </w:rPr>
            </w:pPr>
          </w:p>
        </w:tc>
      </w:tr>
      <w:tr w:rsidR="00A52778" w:rsidRPr="00460F9E" w14:paraId="55A3165A" w14:textId="77777777" w:rsidTr="00FC3F8E">
        <w:trPr>
          <w:trHeight w:val="262"/>
        </w:trPr>
        <w:tc>
          <w:tcPr>
            <w:tcW w:w="780" w:type="dxa"/>
            <w:tcBorders>
              <w:left w:val="single" w:sz="8" w:space="0" w:color="auto"/>
            </w:tcBorders>
            <w:shd w:val="clear" w:color="auto" w:fill="auto"/>
            <w:vAlign w:val="bottom"/>
          </w:tcPr>
          <w:p w14:paraId="726DDDF9" w14:textId="77777777" w:rsidR="00A52778" w:rsidRPr="00460F9E" w:rsidRDefault="00A52778" w:rsidP="00FC3F8E">
            <w:pPr>
              <w:spacing w:line="0" w:lineRule="atLeast"/>
              <w:rPr>
                <w:rFonts w:eastAsia="Times New Roman" w:cs="Times New Roman"/>
                <w:b/>
              </w:rPr>
            </w:pPr>
          </w:p>
        </w:tc>
        <w:tc>
          <w:tcPr>
            <w:tcW w:w="900" w:type="dxa"/>
            <w:tcBorders>
              <w:right w:val="single" w:sz="8" w:space="0" w:color="auto"/>
            </w:tcBorders>
            <w:shd w:val="clear" w:color="auto" w:fill="auto"/>
            <w:vAlign w:val="bottom"/>
          </w:tcPr>
          <w:p w14:paraId="7BE997B5" w14:textId="77777777" w:rsidR="00A52778" w:rsidRPr="00460F9E" w:rsidRDefault="00A52778" w:rsidP="00FC3F8E">
            <w:pPr>
              <w:spacing w:line="0" w:lineRule="atLeast"/>
              <w:rPr>
                <w:rFonts w:eastAsia="Times New Roman" w:cs="Times New Roman"/>
                <w:b/>
              </w:rPr>
            </w:pPr>
          </w:p>
        </w:tc>
        <w:tc>
          <w:tcPr>
            <w:tcW w:w="6880" w:type="dxa"/>
            <w:vMerge w:val="restart"/>
            <w:tcBorders>
              <w:right w:val="single" w:sz="8" w:space="0" w:color="auto"/>
            </w:tcBorders>
            <w:shd w:val="clear" w:color="auto" w:fill="auto"/>
            <w:vAlign w:val="center"/>
          </w:tcPr>
          <w:p w14:paraId="4B6DFD81"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Optik gaz görüntüleme , gaz sızıntılarının gerçek zamanlı olarak görüntülenmesini sağlayan küçük, hafif el tipi veya sabit kameralar kullanır, böylece önemli VOC sızıntılarını kolayca ve hızlı bir şekilde bulmak için ilgili ekipmanın görüntüsüyle birlikte bir video kaydedicide 'duman' olarak görünürler. Aktif sistemler, ekipman ve çevresine yansıyan geri saçılmış kızılötesi lazer ışığıyla bir görüntü üretir. Pasif sistemler ise ekipmanın ve çevresinin doğal kızılötesi radyasyonuna dayanır.</w:t>
            </w:r>
          </w:p>
        </w:tc>
      </w:tr>
      <w:tr w:rsidR="00A52778" w:rsidRPr="00460F9E" w14:paraId="6237CFF4" w14:textId="77777777" w:rsidTr="00FC3F8E">
        <w:trPr>
          <w:trHeight w:val="230"/>
        </w:trPr>
        <w:tc>
          <w:tcPr>
            <w:tcW w:w="780" w:type="dxa"/>
            <w:tcBorders>
              <w:left w:val="single" w:sz="8" w:space="0" w:color="auto"/>
            </w:tcBorders>
            <w:shd w:val="clear" w:color="auto" w:fill="auto"/>
            <w:vAlign w:val="bottom"/>
          </w:tcPr>
          <w:p w14:paraId="6C9D6863" w14:textId="77777777" w:rsidR="00A52778" w:rsidRPr="00460F9E" w:rsidRDefault="00A52778" w:rsidP="00FC3F8E">
            <w:pPr>
              <w:spacing w:line="0" w:lineRule="atLeast"/>
              <w:rPr>
                <w:rFonts w:eastAsia="Times New Roman" w:cs="Times New Roman"/>
                <w:b/>
              </w:rPr>
            </w:pPr>
          </w:p>
        </w:tc>
        <w:tc>
          <w:tcPr>
            <w:tcW w:w="900" w:type="dxa"/>
            <w:tcBorders>
              <w:right w:val="single" w:sz="4" w:space="0" w:color="auto"/>
            </w:tcBorders>
            <w:shd w:val="clear" w:color="auto" w:fill="auto"/>
            <w:vAlign w:val="bottom"/>
          </w:tcPr>
          <w:p w14:paraId="6DBA9B2B" w14:textId="77777777" w:rsidR="00A52778" w:rsidRPr="00460F9E" w:rsidRDefault="00A52778" w:rsidP="00FC3F8E">
            <w:pPr>
              <w:spacing w:line="0" w:lineRule="atLeast"/>
              <w:rPr>
                <w:rFonts w:eastAsia="Times New Roman" w:cs="Times New Roman"/>
                <w:b/>
              </w:rPr>
            </w:pPr>
          </w:p>
        </w:tc>
        <w:tc>
          <w:tcPr>
            <w:tcW w:w="6880" w:type="dxa"/>
            <w:vMerge/>
            <w:tcBorders>
              <w:left w:val="single" w:sz="4" w:space="0" w:color="auto"/>
              <w:right w:val="single" w:sz="8" w:space="0" w:color="auto"/>
            </w:tcBorders>
            <w:shd w:val="clear" w:color="auto" w:fill="auto"/>
            <w:vAlign w:val="bottom"/>
          </w:tcPr>
          <w:p w14:paraId="2ADFAE8B" w14:textId="77777777" w:rsidR="00A52778" w:rsidRPr="00460F9E" w:rsidRDefault="00A52778" w:rsidP="00FC3F8E">
            <w:pPr>
              <w:spacing w:line="0" w:lineRule="atLeast"/>
              <w:ind w:left="100"/>
              <w:rPr>
                <w:rFonts w:eastAsia="Times New Roman" w:cs="Times New Roman"/>
                <w:b/>
              </w:rPr>
            </w:pPr>
          </w:p>
        </w:tc>
      </w:tr>
      <w:tr w:rsidR="00A52778" w:rsidRPr="00460F9E" w14:paraId="72966A11" w14:textId="77777777" w:rsidTr="00FC3F8E">
        <w:trPr>
          <w:trHeight w:val="690"/>
        </w:trPr>
        <w:tc>
          <w:tcPr>
            <w:tcW w:w="1680" w:type="dxa"/>
            <w:gridSpan w:val="2"/>
            <w:tcBorders>
              <w:left w:val="single" w:sz="8" w:space="0" w:color="auto"/>
              <w:bottom w:val="nil"/>
              <w:right w:val="single" w:sz="4" w:space="0" w:color="auto"/>
            </w:tcBorders>
            <w:shd w:val="clear" w:color="auto" w:fill="auto"/>
            <w:vAlign w:val="bottom"/>
          </w:tcPr>
          <w:p w14:paraId="1231AC18"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Optik gaz </w:t>
            </w:r>
          </w:p>
          <w:p w14:paraId="16A3D024"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görüntüleme (OGI) </w:t>
            </w:r>
          </w:p>
          <w:p w14:paraId="2574AA21" w14:textId="77777777" w:rsidR="00A52778" w:rsidRPr="00460F9E" w:rsidRDefault="00A52778" w:rsidP="00FC3F8E">
            <w:pPr>
              <w:spacing w:line="0" w:lineRule="atLeast"/>
              <w:rPr>
                <w:rFonts w:eastAsia="Times New Roman" w:cs="Times New Roman"/>
                <w:b/>
              </w:rPr>
            </w:pPr>
            <w:r w:rsidRPr="00460F9E">
              <w:rPr>
                <w:rFonts w:eastAsia="Times New Roman" w:cs="Times New Roman"/>
              </w:rPr>
              <w:t xml:space="preserve">  yöntemleri</w:t>
            </w:r>
          </w:p>
        </w:tc>
        <w:tc>
          <w:tcPr>
            <w:tcW w:w="6880" w:type="dxa"/>
            <w:vMerge/>
            <w:tcBorders>
              <w:left w:val="single" w:sz="4" w:space="0" w:color="auto"/>
              <w:bottom w:val="nil"/>
              <w:right w:val="single" w:sz="8" w:space="0" w:color="auto"/>
            </w:tcBorders>
            <w:shd w:val="clear" w:color="auto" w:fill="auto"/>
            <w:vAlign w:val="bottom"/>
          </w:tcPr>
          <w:p w14:paraId="07AF7E8C" w14:textId="77777777" w:rsidR="00A52778" w:rsidRPr="00460F9E" w:rsidRDefault="00A52778" w:rsidP="00FC3F8E">
            <w:pPr>
              <w:spacing w:line="0" w:lineRule="atLeast"/>
              <w:ind w:left="100"/>
              <w:rPr>
                <w:rFonts w:eastAsia="Times New Roman" w:cs="Times New Roman"/>
                <w:b/>
              </w:rPr>
            </w:pPr>
          </w:p>
        </w:tc>
      </w:tr>
      <w:tr w:rsidR="00A52778" w:rsidRPr="00460F9E" w14:paraId="5DEB0B3F" w14:textId="77777777" w:rsidTr="00FC3F8E">
        <w:trPr>
          <w:trHeight w:val="230"/>
        </w:trPr>
        <w:tc>
          <w:tcPr>
            <w:tcW w:w="780" w:type="dxa"/>
            <w:tcBorders>
              <w:left w:val="single" w:sz="8" w:space="0" w:color="auto"/>
            </w:tcBorders>
            <w:shd w:val="clear" w:color="auto" w:fill="auto"/>
            <w:vAlign w:val="bottom"/>
          </w:tcPr>
          <w:p w14:paraId="0F700AA3" w14:textId="77777777" w:rsidR="00A52778" w:rsidRPr="00460F9E" w:rsidRDefault="00A52778" w:rsidP="00FC3F8E">
            <w:pPr>
              <w:spacing w:line="0" w:lineRule="atLeast"/>
              <w:rPr>
                <w:rFonts w:eastAsia="Times New Roman" w:cs="Times New Roman"/>
                <w:b/>
              </w:rPr>
            </w:pPr>
          </w:p>
        </w:tc>
        <w:tc>
          <w:tcPr>
            <w:tcW w:w="900" w:type="dxa"/>
            <w:tcBorders>
              <w:right w:val="single" w:sz="4" w:space="0" w:color="auto"/>
            </w:tcBorders>
            <w:shd w:val="clear" w:color="auto" w:fill="auto"/>
            <w:vAlign w:val="bottom"/>
          </w:tcPr>
          <w:p w14:paraId="5854B773" w14:textId="77777777" w:rsidR="00A52778" w:rsidRPr="00460F9E" w:rsidRDefault="00A52778" w:rsidP="00FC3F8E">
            <w:pPr>
              <w:spacing w:line="0" w:lineRule="atLeast"/>
              <w:rPr>
                <w:rFonts w:eastAsia="Times New Roman" w:cs="Times New Roman"/>
                <w:b/>
              </w:rPr>
            </w:pPr>
          </w:p>
        </w:tc>
        <w:tc>
          <w:tcPr>
            <w:tcW w:w="6880" w:type="dxa"/>
            <w:vMerge/>
            <w:tcBorders>
              <w:left w:val="single" w:sz="4" w:space="0" w:color="auto"/>
              <w:right w:val="single" w:sz="8" w:space="0" w:color="auto"/>
            </w:tcBorders>
            <w:shd w:val="clear" w:color="auto" w:fill="auto"/>
            <w:vAlign w:val="bottom"/>
          </w:tcPr>
          <w:p w14:paraId="450EA55F" w14:textId="77777777" w:rsidR="00A52778" w:rsidRPr="00460F9E" w:rsidRDefault="00A52778" w:rsidP="00FC3F8E">
            <w:pPr>
              <w:spacing w:line="0" w:lineRule="atLeast"/>
              <w:ind w:left="100"/>
              <w:rPr>
                <w:rFonts w:eastAsia="Times New Roman" w:cs="Times New Roman"/>
                <w:b/>
              </w:rPr>
            </w:pPr>
          </w:p>
        </w:tc>
      </w:tr>
      <w:tr w:rsidR="00A52778" w:rsidRPr="00460F9E" w14:paraId="3E16445D" w14:textId="77777777" w:rsidTr="00FC3F8E">
        <w:trPr>
          <w:trHeight w:val="230"/>
        </w:trPr>
        <w:tc>
          <w:tcPr>
            <w:tcW w:w="780" w:type="dxa"/>
            <w:tcBorders>
              <w:left w:val="single" w:sz="8" w:space="0" w:color="auto"/>
            </w:tcBorders>
            <w:shd w:val="clear" w:color="auto" w:fill="auto"/>
            <w:vAlign w:val="bottom"/>
          </w:tcPr>
          <w:p w14:paraId="1D1B52A5" w14:textId="77777777" w:rsidR="00A52778" w:rsidRPr="00460F9E" w:rsidRDefault="00A52778" w:rsidP="00FC3F8E">
            <w:pPr>
              <w:spacing w:line="0" w:lineRule="atLeast"/>
              <w:rPr>
                <w:rFonts w:eastAsia="Times New Roman" w:cs="Times New Roman"/>
                <w:b/>
              </w:rPr>
            </w:pPr>
          </w:p>
        </w:tc>
        <w:tc>
          <w:tcPr>
            <w:tcW w:w="900" w:type="dxa"/>
            <w:tcBorders>
              <w:right w:val="single" w:sz="4" w:space="0" w:color="auto"/>
            </w:tcBorders>
            <w:shd w:val="clear" w:color="auto" w:fill="auto"/>
            <w:vAlign w:val="bottom"/>
          </w:tcPr>
          <w:p w14:paraId="3C3E46DA" w14:textId="77777777" w:rsidR="00A52778" w:rsidRPr="00460F9E" w:rsidRDefault="00A52778" w:rsidP="00FC3F8E">
            <w:pPr>
              <w:spacing w:line="0" w:lineRule="atLeast"/>
              <w:rPr>
                <w:rFonts w:eastAsia="Times New Roman" w:cs="Times New Roman"/>
                <w:b/>
              </w:rPr>
            </w:pPr>
          </w:p>
        </w:tc>
        <w:tc>
          <w:tcPr>
            <w:tcW w:w="6880" w:type="dxa"/>
            <w:vMerge/>
            <w:tcBorders>
              <w:left w:val="single" w:sz="4" w:space="0" w:color="auto"/>
              <w:right w:val="single" w:sz="8" w:space="0" w:color="auto"/>
            </w:tcBorders>
            <w:shd w:val="clear" w:color="auto" w:fill="auto"/>
            <w:vAlign w:val="bottom"/>
          </w:tcPr>
          <w:p w14:paraId="3C30FAE7" w14:textId="77777777" w:rsidR="00A52778" w:rsidRPr="00460F9E" w:rsidRDefault="00A52778" w:rsidP="00FC3F8E">
            <w:pPr>
              <w:spacing w:line="0" w:lineRule="atLeast"/>
              <w:ind w:left="100"/>
              <w:rPr>
                <w:rFonts w:eastAsia="Times New Roman" w:cs="Times New Roman"/>
                <w:b/>
              </w:rPr>
            </w:pPr>
          </w:p>
        </w:tc>
      </w:tr>
      <w:tr w:rsidR="00A52778" w:rsidRPr="00460F9E" w14:paraId="3439E162" w14:textId="77777777" w:rsidTr="00FC3F8E">
        <w:trPr>
          <w:trHeight w:val="54"/>
        </w:trPr>
        <w:tc>
          <w:tcPr>
            <w:tcW w:w="780" w:type="dxa"/>
            <w:tcBorders>
              <w:left w:val="single" w:sz="8" w:space="0" w:color="auto"/>
              <w:bottom w:val="single" w:sz="8" w:space="0" w:color="auto"/>
            </w:tcBorders>
            <w:shd w:val="clear" w:color="auto" w:fill="auto"/>
            <w:vAlign w:val="bottom"/>
          </w:tcPr>
          <w:p w14:paraId="77497275" w14:textId="77777777" w:rsidR="00A52778" w:rsidRPr="00460F9E" w:rsidRDefault="00A52778" w:rsidP="00FC3F8E">
            <w:pPr>
              <w:spacing w:line="0" w:lineRule="atLeast"/>
              <w:rPr>
                <w:rFonts w:eastAsia="Times New Roman" w:cs="Times New Roman"/>
                <w:b/>
                <w:sz w:val="4"/>
              </w:rPr>
            </w:pPr>
          </w:p>
        </w:tc>
        <w:tc>
          <w:tcPr>
            <w:tcW w:w="900" w:type="dxa"/>
            <w:tcBorders>
              <w:bottom w:val="single" w:sz="8" w:space="0" w:color="auto"/>
              <w:right w:val="single" w:sz="8" w:space="0" w:color="auto"/>
            </w:tcBorders>
            <w:shd w:val="clear" w:color="auto" w:fill="auto"/>
            <w:vAlign w:val="bottom"/>
          </w:tcPr>
          <w:p w14:paraId="57B8E811" w14:textId="77777777" w:rsidR="00A52778" w:rsidRPr="00460F9E" w:rsidRDefault="00A52778" w:rsidP="00FC3F8E">
            <w:pPr>
              <w:spacing w:line="0" w:lineRule="atLeast"/>
              <w:rPr>
                <w:rFonts w:eastAsia="Times New Roman" w:cs="Times New Roman"/>
                <w:b/>
                <w:sz w:val="4"/>
              </w:rPr>
            </w:pPr>
          </w:p>
        </w:tc>
        <w:tc>
          <w:tcPr>
            <w:tcW w:w="6880" w:type="dxa"/>
            <w:tcBorders>
              <w:bottom w:val="single" w:sz="8" w:space="0" w:color="auto"/>
              <w:right w:val="single" w:sz="8" w:space="0" w:color="auto"/>
            </w:tcBorders>
            <w:shd w:val="clear" w:color="auto" w:fill="auto"/>
            <w:vAlign w:val="bottom"/>
          </w:tcPr>
          <w:p w14:paraId="6BABADDD" w14:textId="77777777" w:rsidR="00A52778" w:rsidRPr="00460F9E" w:rsidRDefault="00A52778" w:rsidP="00FC3F8E">
            <w:pPr>
              <w:spacing w:line="0" w:lineRule="atLeast"/>
              <w:rPr>
                <w:rFonts w:eastAsia="Times New Roman" w:cs="Times New Roman"/>
                <w:b/>
                <w:sz w:val="4"/>
              </w:rPr>
            </w:pPr>
          </w:p>
        </w:tc>
      </w:tr>
      <w:tr w:rsidR="00A52778" w:rsidRPr="00460F9E" w14:paraId="2FBF4D3A" w14:textId="77777777" w:rsidTr="00FC3F8E">
        <w:trPr>
          <w:trHeight w:val="969"/>
        </w:trPr>
        <w:tc>
          <w:tcPr>
            <w:tcW w:w="1680" w:type="dxa"/>
            <w:gridSpan w:val="2"/>
            <w:tcBorders>
              <w:left w:val="single" w:sz="8" w:space="0" w:color="auto"/>
              <w:bottom w:val="single" w:sz="4" w:space="0" w:color="auto"/>
              <w:right w:val="single" w:sz="8" w:space="0" w:color="auto"/>
            </w:tcBorders>
            <w:shd w:val="clear" w:color="auto" w:fill="auto"/>
            <w:vAlign w:val="center"/>
          </w:tcPr>
          <w:p w14:paraId="2B884E3C" w14:textId="77777777" w:rsidR="00A52778" w:rsidRPr="00460F9E" w:rsidRDefault="00A52778" w:rsidP="00FC3F8E">
            <w:pPr>
              <w:spacing w:line="0" w:lineRule="atLeast"/>
              <w:ind w:left="120"/>
              <w:rPr>
                <w:rFonts w:eastAsia="Times New Roman" w:cs="Times New Roman"/>
                <w:b/>
                <w:sz w:val="21"/>
              </w:rPr>
            </w:pPr>
            <w:r w:rsidRPr="00460F9E">
              <w:rPr>
                <w:rFonts w:eastAsia="Times New Roman" w:cs="Times New Roman"/>
              </w:rPr>
              <w:t>Güneş okültasyonu akısı (SOF)</w:t>
            </w:r>
          </w:p>
        </w:tc>
        <w:tc>
          <w:tcPr>
            <w:tcW w:w="6880" w:type="dxa"/>
            <w:tcBorders>
              <w:left w:val="single" w:sz="8" w:space="0" w:color="auto"/>
              <w:bottom w:val="single" w:sz="4" w:space="0" w:color="auto"/>
              <w:right w:val="single" w:sz="8" w:space="0" w:color="auto"/>
            </w:tcBorders>
            <w:shd w:val="clear" w:color="auto" w:fill="auto"/>
            <w:vAlign w:val="bottom"/>
          </w:tcPr>
          <w:p w14:paraId="272E2146"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Bu teknik, belirli bir coğrafi güzergah boyunca, rüzgar yönünü kesen ve VOC dumanlarını kesen geniş bant kızılötesi veya ultraviyole / görünür güneş ışığı spektrumunun kaydedilmesine ve spektrometrik Fourier Dönüşümü analizine dayanmaktadır.</w:t>
            </w:r>
          </w:p>
        </w:tc>
      </w:tr>
    </w:tbl>
    <w:p w14:paraId="590278E5" w14:textId="77777777" w:rsidR="00A52778" w:rsidRPr="00460F9E" w:rsidRDefault="00A52778" w:rsidP="00A52778">
      <w:pPr>
        <w:spacing w:line="20" w:lineRule="exact"/>
        <w:rPr>
          <w:rFonts w:eastAsia="Times New Roman" w:cs="Times New Roman"/>
          <w:b/>
        </w:rPr>
      </w:pPr>
      <w:r w:rsidRPr="00460F9E">
        <w:rPr>
          <w:rFonts w:eastAsia="Times New Roman" w:cs="Times New Roman"/>
          <w:b/>
          <w:noProof/>
          <w:lang w:val="tr-TR" w:eastAsia="tr-TR"/>
        </w:rPr>
        <mc:AlternateContent>
          <mc:Choice Requires="wps">
            <w:drawing>
              <wp:anchor distT="0" distB="0" distL="114300" distR="114300" simplePos="0" relativeHeight="251706368" behindDoc="1" locked="0" layoutInCell="1" allowOverlap="1" wp14:anchorId="16CC714A" wp14:editId="3C22DF3A">
                <wp:simplePos x="0" y="0"/>
                <wp:positionH relativeFrom="column">
                  <wp:posOffset>5471795</wp:posOffset>
                </wp:positionH>
                <wp:positionV relativeFrom="paragraph">
                  <wp:posOffset>-8890</wp:posOffset>
                </wp:positionV>
                <wp:extent cx="12700" cy="12065"/>
                <wp:effectExtent l="4445" t="0" r="1905" b="635"/>
                <wp:wrapNone/>
                <wp:docPr id="92" name="Dikdörtgen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39D04" id="Dikdörtgen 92" o:spid="_x0000_s1026" style="position:absolute;margin-left:430.85pt;margin-top:-.7pt;width:1pt;height:.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" fillcolor="black" strokecolor="white"/>
            </w:pict>
          </mc:Fallback>
        </mc:AlternateContent>
      </w:r>
    </w:p>
    <w:p w14:paraId="4EE4C654" w14:textId="77777777" w:rsidR="00A52778" w:rsidRDefault="00A52778" w:rsidP="00A52778">
      <w:pPr>
        <w:spacing w:line="200" w:lineRule="exact"/>
        <w:rPr>
          <w:rFonts w:eastAsia="Times New Roman" w:cs="Times New Roman"/>
          <w:b/>
        </w:rPr>
      </w:pPr>
    </w:p>
    <w:p w14:paraId="399955E3" w14:textId="77777777" w:rsidR="00A52778" w:rsidRPr="00460F9E" w:rsidRDefault="00A52778" w:rsidP="00A52778">
      <w:pPr>
        <w:spacing w:line="200" w:lineRule="exact"/>
        <w:rPr>
          <w:rFonts w:eastAsia="Times New Roman" w:cs="Times New Roman"/>
          <w:b/>
        </w:rPr>
      </w:pPr>
    </w:p>
    <w:p w14:paraId="49B913AE" w14:textId="77777777" w:rsidR="00A52778" w:rsidRPr="00740EA6" w:rsidRDefault="00A52778" w:rsidP="00A52778">
      <w:pPr>
        <w:tabs>
          <w:tab w:val="left" w:pos="1220"/>
        </w:tabs>
        <w:spacing w:line="0" w:lineRule="atLeast"/>
        <w:ind w:left="120"/>
        <w:rPr>
          <w:rFonts w:eastAsia="Arial" w:cs="Times New Roman"/>
        </w:rPr>
      </w:pPr>
      <w:r>
        <w:rPr>
          <w:rFonts w:eastAsia="Arial" w:cs="Times New Roman"/>
        </w:rPr>
        <w:t>2</w:t>
      </w:r>
      <w:r w:rsidRPr="00740EA6">
        <w:rPr>
          <w:rFonts w:eastAsia="Arial" w:cs="Times New Roman"/>
        </w:rPr>
        <w:t>.4.3</w:t>
      </w:r>
      <w:r w:rsidRPr="00740EA6">
        <w:rPr>
          <w:rFonts w:eastAsia="Times New Roman" w:cs="Times New Roman"/>
        </w:rPr>
        <w:tab/>
      </w:r>
      <w:r w:rsidRPr="00740EA6">
        <w:rPr>
          <w:rFonts w:eastAsia="Arial" w:cs="Times New Roman"/>
        </w:rPr>
        <w:t>Yayılı emisyonları azaltma teknikleri</w:t>
      </w:r>
    </w:p>
    <w:p w14:paraId="5C34C477" w14:textId="77777777" w:rsidR="00A52778" w:rsidRPr="00460F9E" w:rsidRDefault="00A52778" w:rsidP="00A52778">
      <w:pPr>
        <w:spacing w:line="200" w:lineRule="exact"/>
        <w:rPr>
          <w:rFonts w:eastAsia="Times New Roman" w:cs="Times New Roman"/>
          <w:b/>
        </w:rPr>
      </w:pPr>
    </w:p>
    <w:tbl>
      <w:tblPr>
        <w:tblW w:w="0" w:type="auto"/>
        <w:tblInd w:w="10" w:type="dxa"/>
        <w:tblLayout w:type="fixed"/>
        <w:tblCellMar>
          <w:left w:w="0" w:type="dxa"/>
          <w:right w:w="0" w:type="dxa"/>
        </w:tblCellMar>
        <w:tblLook w:val="0000" w:firstRow="0" w:lastRow="0" w:firstColumn="0" w:lastColumn="0" w:noHBand="0" w:noVBand="0"/>
      </w:tblPr>
      <w:tblGrid>
        <w:gridCol w:w="1720"/>
        <w:gridCol w:w="7040"/>
      </w:tblGrid>
      <w:tr w:rsidR="00A52778" w:rsidRPr="00460F9E" w14:paraId="063A8B6F" w14:textId="77777777" w:rsidTr="00FC3F8E">
        <w:trPr>
          <w:trHeight w:val="239"/>
        </w:trPr>
        <w:tc>
          <w:tcPr>
            <w:tcW w:w="1720" w:type="dxa"/>
            <w:tcBorders>
              <w:top w:val="single" w:sz="8" w:space="0" w:color="auto"/>
              <w:left w:val="single" w:sz="8" w:space="0" w:color="auto"/>
              <w:bottom w:val="single" w:sz="8" w:space="0" w:color="auto"/>
              <w:right w:val="single" w:sz="8" w:space="0" w:color="auto"/>
            </w:tcBorders>
            <w:shd w:val="clear" w:color="auto" w:fill="auto"/>
            <w:vAlign w:val="bottom"/>
          </w:tcPr>
          <w:p w14:paraId="19599AD3" w14:textId="77777777" w:rsidR="00A52778" w:rsidRPr="00460F9E" w:rsidRDefault="00A52778" w:rsidP="00FC3F8E">
            <w:pPr>
              <w:spacing w:line="0" w:lineRule="atLeast"/>
              <w:ind w:left="400"/>
              <w:rPr>
                <w:rFonts w:eastAsia="Times New Roman" w:cs="Times New Roman"/>
                <w:b/>
              </w:rPr>
            </w:pPr>
            <w:r w:rsidRPr="00460F9E">
              <w:rPr>
                <w:rFonts w:eastAsia="Times New Roman" w:cs="Times New Roman"/>
              </w:rPr>
              <w:t>Teknikler</w:t>
            </w:r>
          </w:p>
        </w:tc>
        <w:tc>
          <w:tcPr>
            <w:tcW w:w="7040" w:type="dxa"/>
            <w:tcBorders>
              <w:top w:val="single" w:sz="8" w:space="0" w:color="auto"/>
              <w:bottom w:val="single" w:sz="8" w:space="0" w:color="auto"/>
              <w:right w:val="single" w:sz="8" w:space="0" w:color="auto"/>
            </w:tcBorders>
            <w:shd w:val="clear" w:color="auto" w:fill="auto"/>
            <w:vAlign w:val="bottom"/>
          </w:tcPr>
          <w:p w14:paraId="1D955DC2" w14:textId="77777777" w:rsidR="00A52778" w:rsidRPr="00460F9E" w:rsidRDefault="00A52778" w:rsidP="00FC3F8E">
            <w:pPr>
              <w:spacing w:line="0" w:lineRule="atLeast"/>
              <w:ind w:left="3000"/>
              <w:rPr>
                <w:rFonts w:eastAsia="Times New Roman" w:cs="Times New Roman"/>
                <w:b/>
              </w:rPr>
            </w:pPr>
            <w:r w:rsidRPr="00460F9E">
              <w:rPr>
                <w:rFonts w:eastAsia="Times New Roman" w:cs="Times New Roman"/>
                <w:w w:val="99"/>
              </w:rPr>
              <w:t>Tanımlamalar</w:t>
            </w:r>
          </w:p>
        </w:tc>
      </w:tr>
      <w:tr w:rsidR="00A52778" w:rsidRPr="00460F9E" w14:paraId="5D19ECD6" w14:textId="77777777" w:rsidTr="00FC3F8E">
        <w:trPr>
          <w:trHeight w:val="984"/>
        </w:trPr>
        <w:tc>
          <w:tcPr>
            <w:tcW w:w="1720" w:type="dxa"/>
            <w:tcBorders>
              <w:left w:val="single" w:sz="8" w:space="0" w:color="auto"/>
              <w:right w:val="single" w:sz="8" w:space="0" w:color="auto"/>
            </w:tcBorders>
            <w:shd w:val="clear" w:color="auto" w:fill="auto"/>
            <w:vAlign w:val="center"/>
          </w:tcPr>
          <w:p w14:paraId="0F03DE65"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Gazdan arındırma ekstrüzyonu</w:t>
            </w:r>
          </w:p>
        </w:tc>
        <w:tc>
          <w:tcPr>
            <w:tcW w:w="7040" w:type="dxa"/>
            <w:tcBorders>
              <w:right w:val="single" w:sz="8" w:space="0" w:color="auto"/>
            </w:tcBorders>
            <w:shd w:val="clear" w:color="auto" w:fill="auto"/>
            <w:vAlign w:val="bottom"/>
          </w:tcPr>
          <w:p w14:paraId="22777D98" w14:textId="77777777" w:rsidR="00A52778" w:rsidRPr="00460F9E" w:rsidRDefault="00A52778" w:rsidP="00FC3F8E">
            <w:pPr>
              <w:spacing w:line="228" w:lineRule="exact"/>
              <w:ind w:left="100"/>
              <w:rPr>
                <w:rFonts w:eastAsia="Times New Roman" w:cs="Times New Roman"/>
                <w:b/>
              </w:rPr>
            </w:pPr>
            <w:r w:rsidRPr="00460F9E">
              <w:rPr>
                <w:rFonts w:eastAsia="Times New Roman" w:cs="Times New Roman"/>
              </w:rPr>
              <w:t>Konsantre kauçuk çözeltisi ekstrüzyon ile daha fazla işlendiğinde, ekstrüderin havalandırma deliğinden gelen solvent buharları (genellikle siklohekzan, hekzan, heptan, toluen, siklopentan, izopentan veya bunların karışımları) sıkıştırılır ve geri kazanıma gönderilir.</w:t>
            </w:r>
          </w:p>
        </w:tc>
      </w:tr>
      <w:tr w:rsidR="00A52778" w:rsidRPr="00460F9E" w14:paraId="77A5F6D0" w14:textId="77777777" w:rsidTr="00FC3F8E">
        <w:trPr>
          <w:trHeight w:val="90"/>
        </w:trPr>
        <w:tc>
          <w:tcPr>
            <w:tcW w:w="1720" w:type="dxa"/>
            <w:tcBorders>
              <w:left w:val="single" w:sz="8" w:space="0" w:color="auto"/>
              <w:bottom w:val="single" w:sz="8" w:space="0" w:color="auto"/>
              <w:right w:val="single" w:sz="8" w:space="0" w:color="auto"/>
            </w:tcBorders>
            <w:shd w:val="clear" w:color="auto" w:fill="auto"/>
            <w:vAlign w:val="bottom"/>
          </w:tcPr>
          <w:p w14:paraId="469FA58F" w14:textId="77777777" w:rsidR="00A52778" w:rsidRPr="00460F9E" w:rsidRDefault="00A52778" w:rsidP="00FC3F8E">
            <w:pPr>
              <w:spacing w:line="0" w:lineRule="atLeast"/>
              <w:rPr>
                <w:rFonts w:eastAsia="Times New Roman" w:cs="Times New Roman"/>
                <w:b/>
                <w:sz w:val="7"/>
              </w:rPr>
            </w:pPr>
          </w:p>
        </w:tc>
        <w:tc>
          <w:tcPr>
            <w:tcW w:w="7040" w:type="dxa"/>
            <w:tcBorders>
              <w:bottom w:val="single" w:sz="8" w:space="0" w:color="auto"/>
              <w:right w:val="single" w:sz="8" w:space="0" w:color="auto"/>
            </w:tcBorders>
            <w:shd w:val="clear" w:color="auto" w:fill="auto"/>
            <w:vAlign w:val="bottom"/>
          </w:tcPr>
          <w:p w14:paraId="759F344A" w14:textId="77777777" w:rsidR="00A52778" w:rsidRPr="00460F9E" w:rsidRDefault="00A52778" w:rsidP="00FC3F8E">
            <w:pPr>
              <w:spacing w:line="0" w:lineRule="atLeast"/>
              <w:rPr>
                <w:rFonts w:eastAsia="Times New Roman" w:cs="Times New Roman"/>
                <w:b/>
                <w:sz w:val="7"/>
              </w:rPr>
            </w:pPr>
          </w:p>
        </w:tc>
      </w:tr>
      <w:tr w:rsidR="00A52778" w:rsidRPr="00460F9E" w14:paraId="74482B1F" w14:textId="77777777" w:rsidTr="00FC3F8E">
        <w:trPr>
          <w:trHeight w:val="317"/>
        </w:trPr>
        <w:tc>
          <w:tcPr>
            <w:tcW w:w="1720" w:type="dxa"/>
            <w:tcBorders>
              <w:left w:val="single" w:sz="8" w:space="0" w:color="auto"/>
              <w:right w:val="single" w:sz="8" w:space="0" w:color="auto"/>
            </w:tcBorders>
            <w:shd w:val="clear" w:color="auto" w:fill="auto"/>
            <w:vAlign w:val="bottom"/>
          </w:tcPr>
          <w:p w14:paraId="34FA7430" w14:textId="77777777" w:rsidR="00A52778" w:rsidRPr="00460F9E" w:rsidRDefault="00A52778" w:rsidP="00FC3F8E">
            <w:pPr>
              <w:spacing w:line="0" w:lineRule="atLeast"/>
              <w:rPr>
                <w:rFonts w:eastAsia="Times New Roman" w:cs="Times New Roman"/>
                <w:b/>
              </w:rPr>
            </w:pPr>
          </w:p>
        </w:tc>
        <w:tc>
          <w:tcPr>
            <w:tcW w:w="7040" w:type="dxa"/>
            <w:vMerge w:val="restart"/>
            <w:tcBorders>
              <w:right w:val="single" w:sz="8" w:space="0" w:color="auto"/>
            </w:tcBorders>
            <w:shd w:val="clear" w:color="auto" w:fill="auto"/>
            <w:vAlign w:val="bottom"/>
          </w:tcPr>
          <w:p w14:paraId="07481B33" w14:textId="77777777" w:rsidR="00A52778" w:rsidRPr="00460F9E" w:rsidRDefault="00A52778" w:rsidP="00FC3F8E">
            <w:pPr>
              <w:spacing w:line="0" w:lineRule="atLeast"/>
              <w:ind w:left="100"/>
              <w:rPr>
                <w:rFonts w:eastAsia="Times New Roman" w:cs="Times New Roman"/>
                <w:b/>
              </w:rPr>
            </w:pPr>
            <w:r w:rsidRPr="00460F9E">
              <w:rPr>
                <w:rFonts w:eastAsia="Times New Roman" w:cs="Times New Roman"/>
              </w:rPr>
              <w:t>Polimerde bulunan VOC' ler gaz fazına aktarılır (örneğin buhar kullanılarak). Giderme verimi uygun bir sıcaklık, basınç ve bekleme süresi kombinasyonuyla ve serbest polimer yüzeyinin toplam polimer hacmine oranının maksimize edilmesiyle optimize edilebilir.</w:t>
            </w:r>
          </w:p>
        </w:tc>
      </w:tr>
      <w:tr w:rsidR="00A52778" w:rsidRPr="00460F9E" w14:paraId="6149E1A4" w14:textId="77777777" w:rsidTr="00FC3F8E">
        <w:trPr>
          <w:trHeight w:val="343"/>
        </w:trPr>
        <w:tc>
          <w:tcPr>
            <w:tcW w:w="1720" w:type="dxa"/>
            <w:tcBorders>
              <w:left w:val="single" w:sz="8" w:space="0" w:color="auto"/>
              <w:bottom w:val="nil"/>
              <w:right w:val="single" w:sz="8" w:space="0" w:color="auto"/>
            </w:tcBorders>
            <w:shd w:val="clear" w:color="auto" w:fill="auto"/>
            <w:vAlign w:val="bottom"/>
          </w:tcPr>
          <w:p w14:paraId="0FAB3BED"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Sıyırma</w:t>
            </w:r>
          </w:p>
        </w:tc>
        <w:tc>
          <w:tcPr>
            <w:tcW w:w="7040" w:type="dxa"/>
            <w:vMerge/>
            <w:tcBorders>
              <w:bottom w:val="nil"/>
              <w:right w:val="single" w:sz="8" w:space="0" w:color="auto"/>
            </w:tcBorders>
            <w:shd w:val="clear" w:color="auto" w:fill="auto"/>
            <w:vAlign w:val="bottom"/>
          </w:tcPr>
          <w:p w14:paraId="3726A9B9" w14:textId="77777777" w:rsidR="00A52778" w:rsidRPr="00460F9E" w:rsidRDefault="00A52778" w:rsidP="00FC3F8E">
            <w:pPr>
              <w:spacing w:line="0" w:lineRule="atLeast"/>
              <w:ind w:left="100"/>
              <w:rPr>
                <w:rFonts w:eastAsia="Times New Roman" w:cs="Times New Roman"/>
                <w:b/>
              </w:rPr>
            </w:pPr>
          </w:p>
        </w:tc>
      </w:tr>
      <w:tr w:rsidR="00A52778" w:rsidRPr="00460F9E" w14:paraId="2E2AC735" w14:textId="77777777" w:rsidTr="00FC3F8E">
        <w:trPr>
          <w:trHeight w:val="116"/>
        </w:trPr>
        <w:tc>
          <w:tcPr>
            <w:tcW w:w="1720" w:type="dxa"/>
            <w:tcBorders>
              <w:left w:val="single" w:sz="8" w:space="0" w:color="auto"/>
              <w:right w:val="single" w:sz="8" w:space="0" w:color="auto"/>
            </w:tcBorders>
            <w:shd w:val="clear" w:color="auto" w:fill="auto"/>
            <w:vAlign w:val="bottom"/>
          </w:tcPr>
          <w:p w14:paraId="6A623CB3" w14:textId="77777777" w:rsidR="00A52778" w:rsidRPr="00460F9E" w:rsidRDefault="00A52778" w:rsidP="00FC3F8E">
            <w:pPr>
              <w:spacing w:line="0" w:lineRule="atLeast"/>
              <w:rPr>
                <w:rFonts w:eastAsia="Times New Roman" w:cs="Times New Roman"/>
                <w:b/>
                <w:sz w:val="10"/>
              </w:rPr>
            </w:pPr>
          </w:p>
        </w:tc>
        <w:tc>
          <w:tcPr>
            <w:tcW w:w="7040" w:type="dxa"/>
            <w:vMerge/>
            <w:tcBorders>
              <w:right w:val="single" w:sz="8" w:space="0" w:color="auto"/>
            </w:tcBorders>
            <w:shd w:val="clear" w:color="auto" w:fill="auto"/>
            <w:vAlign w:val="bottom"/>
          </w:tcPr>
          <w:p w14:paraId="55BF7CFD" w14:textId="77777777" w:rsidR="00A52778" w:rsidRPr="00460F9E" w:rsidRDefault="00A52778" w:rsidP="00FC3F8E">
            <w:pPr>
              <w:spacing w:line="0" w:lineRule="atLeast"/>
              <w:ind w:left="100"/>
              <w:rPr>
                <w:rFonts w:eastAsia="Times New Roman" w:cs="Times New Roman"/>
                <w:b/>
                <w:sz w:val="10"/>
              </w:rPr>
            </w:pPr>
          </w:p>
        </w:tc>
      </w:tr>
      <w:tr w:rsidR="00A52778" w:rsidRPr="00460F9E" w14:paraId="7295933B" w14:textId="77777777" w:rsidTr="00FC3F8E">
        <w:trPr>
          <w:trHeight w:val="230"/>
        </w:trPr>
        <w:tc>
          <w:tcPr>
            <w:tcW w:w="1720" w:type="dxa"/>
            <w:tcBorders>
              <w:left w:val="single" w:sz="8" w:space="0" w:color="auto"/>
              <w:right w:val="single" w:sz="8" w:space="0" w:color="auto"/>
            </w:tcBorders>
            <w:shd w:val="clear" w:color="auto" w:fill="auto"/>
            <w:vAlign w:val="bottom"/>
          </w:tcPr>
          <w:p w14:paraId="3A29192A" w14:textId="77777777" w:rsidR="00A52778" w:rsidRPr="00460F9E" w:rsidRDefault="00A52778" w:rsidP="00FC3F8E">
            <w:pPr>
              <w:spacing w:line="0" w:lineRule="atLeast"/>
              <w:rPr>
                <w:rFonts w:eastAsia="Times New Roman" w:cs="Times New Roman"/>
                <w:b/>
              </w:rPr>
            </w:pPr>
          </w:p>
        </w:tc>
        <w:tc>
          <w:tcPr>
            <w:tcW w:w="7040" w:type="dxa"/>
            <w:vMerge/>
            <w:tcBorders>
              <w:right w:val="single" w:sz="8" w:space="0" w:color="auto"/>
            </w:tcBorders>
            <w:shd w:val="clear" w:color="auto" w:fill="auto"/>
            <w:vAlign w:val="bottom"/>
          </w:tcPr>
          <w:p w14:paraId="55B74316" w14:textId="77777777" w:rsidR="00A52778" w:rsidRPr="00460F9E" w:rsidRDefault="00A52778" w:rsidP="00FC3F8E">
            <w:pPr>
              <w:spacing w:line="0" w:lineRule="atLeast"/>
              <w:ind w:left="100"/>
              <w:rPr>
                <w:rFonts w:eastAsia="Times New Roman" w:cs="Times New Roman"/>
                <w:b/>
              </w:rPr>
            </w:pPr>
          </w:p>
        </w:tc>
      </w:tr>
      <w:tr w:rsidR="00A52778" w:rsidRPr="00460F9E" w14:paraId="1652A056" w14:textId="77777777" w:rsidTr="00FC3F8E">
        <w:trPr>
          <w:trHeight w:val="109"/>
        </w:trPr>
        <w:tc>
          <w:tcPr>
            <w:tcW w:w="1720" w:type="dxa"/>
            <w:tcBorders>
              <w:left w:val="single" w:sz="8" w:space="0" w:color="auto"/>
              <w:bottom w:val="single" w:sz="8" w:space="0" w:color="auto"/>
              <w:right w:val="single" w:sz="8" w:space="0" w:color="auto"/>
            </w:tcBorders>
            <w:shd w:val="clear" w:color="auto" w:fill="auto"/>
            <w:vAlign w:val="bottom"/>
          </w:tcPr>
          <w:p w14:paraId="6F3E4261" w14:textId="77777777" w:rsidR="00A52778" w:rsidRPr="00460F9E" w:rsidRDefault="00A52778" w:rsidP="00FC3F8E">
            <w:pPr>
              <w:spacing w:line="0" w:lineRule="atLeast"/>
              <w:rPr>
                <w:rFonts w:eastAsia="Times New Roman" w:cs="Times New Roman"/>
                <w:b/>
                <w:sz w:val="9"/>
              </w:rPr>
            </w:pPr>
          </w:p>
        </w:tc>
        <w:tc>
          <w:tcPr>
            <w:tcW w:w="7040" w:type="dxa"/>
            <w:tcBorders>
              <w:bottom w:val="single" w:sz="8" w:space="0" w:color="auto"/>
              <w:right w:val="single" w:sz="8" w:space="0" w:color="auto"/>
            </w:tcBorders>
            <w:shd w:val="clear" w:color="auto" w:fill="auto"/>
            <w:vAlign w:val="bottom"/>
          </w:tcPr>
          <w:p w14:paraId="42857E7F" w14:textId="77777777" w:rsidR="00A52778" w:rsidRPr="00460F9E" w:rsidRDefault="00A52778" w:rsidP="00FC3F8E">
            <w:pPr>
              <w:spacing w:line="0" w:lineRule="atLeast"/>
              <w:rPr>
                <w:rFonts w:eastAsia="Times New Roman" w:cs="Times New Roman"/>
                <w:b/>
                <w:sz w:val="9"/>
              </w:rPr>
            </w:pPr>
          </w:p>
        </w:tc>
      </w:tr>
      <w:tr w:rsidR="00A52778" w:rsidRPr="00460F9E" w14:paraId="33ABDEE0" w14:textId="77777777" w:rsidTr="00FC3F8E">
        <w:trPr>
          <w:trHeight w:val="293"/>
        </w:trPr>
        <w:tc>
          <w:tcPr>
            <w:tcW w:w="1720" w:type="dxa"/>
            <w:tcBorders>
              <w:left w:val="single" w:sz="8" w:space="0" w:color="auto"/>
              <w:right w:val="single" w:sz="8" w:space="0" w:color="auto"/>
            </w:tcBorders>
            <w:shd w:val="clear" w:color="auto" w:fill="auto"/>
            <w:vAlign w:val="bottom"/>
          </w:tcPr>
          <w:p w14:paraId="7ADDC0AE" w14:textId="77777777" w:rsidR="00A52778" w:rsidRPr="00460F9E" w:rsidRDefault="00A52778" w:rsidP="00FC3F8E">
            <w:pPr>
              <w:spacing w:line="0" w:lineRule="atLeast"/>
              <w:rPr>
                <w:rFonts w:eastAsia="Times New Roman" w:cs="Times New Roman"/>
                <w:b/>
              </w:rPr>
            </w:pPr>
          </w:p>
        </w:tc>
        <w:tc>
          <w:tcPr>
            <w:tcW w:w="7040" w:type="dxa"/>
            <w:vMerge w:val="restart"/>
            <w:tcBorders>
              <w:right w:val="single" w:sz="8" w:space="0" w:color="auto"/>
            </w:tcBorders>
            <w:shd w:val="clear" w:color="auto" w:fill="auto"/>
            <w:vAlign w:val="center"/>
          </w:tcPr>
          <w:p w14:paraId="2835D151" w14:textId="77777777" w:rsidR="00A52778" w:rsidRPr="00460F9E" w:rsidRDefault="00A52778" w:rsidP="00FC3F8E">
            <w:pPr>
              <w:spacing w:line="228" w:lineRule="exact"/>
              <w:ind w:left="100"/>
              <w:rPr>
                <w:rFonts w:eastAsia="Times New Roman" w:cs="Times New Roman"/>
                <w:b/>
              </w:rPr>
            </w:pPr>
            <w:r w:rsidRPr="00460F9E">
              <w:rPr>
                <w:rFonts w:eastAsia="Times New Roman" w:cs="Times New Roman"/>
              </w:rPr>
              <w:t>Bir alıcı ekipmandan (örneğin bir tank) gelen buhar, sıvı transferi sırasında yer değiştirir ve sıvının dağıtıldığı dağıtım ekipmanına geri gönderilir.</w:t>
            </w:r>
          </w:p>
        </w:tc>
      </w:tr>
      <w:tr w:rsidR="00A52778" w:rsidRPr="00460F9E" w14:paraId="784A501B" w14:textId="77777777" w:rsidTr="00FC3F8E">
        <w:trPr>
          <w:trHeight w:val="230"/>
        </w:trPr>
        <w:tc>
          <w:tcPr>
            <w:tcW w:w="1720" w:type="dxa"/>
            <w:tcBorders>
              <w:left w:val="single" w:sz="8" w:space="0" w:color="auto"/>
              <w:right w:val="single" w:sz="8" w:space="0" w:color="auto"/>
            </w:tcBorders>
            <w:shd w:val="clear" w:color="auto" w:fill="auto"/>
            <w:vAlign w:val="bottom"/>
          </w:tcPr>
          <w:p w14:paraId="63921808" w14:textId="77777777" w:rsidR="00A52778" w:rsidRPr="00460F9E" w:rsidRDefault="00A52778" w:rsidP="00FC3F8E">
            <w:pPr>
              <w:spacing w:line="0" w:lineRule="atLeast"/>
              <w:ind w:left="120"/>
              <w:rPr>
                <w:rFonts w:eastAsia="Times New Roman" w:cs="Times New Roman"/>
                <w:b/>
              </w:rPr>
            </w:pPr>
            <w:r w:rsidRPr="00460F9E">
              <w:rPr>
                <w:rFonts w:eastAsia="Times New Roman" w:cs="Times New Roman"/>
              </w:rPr>
              <w:t>Buhar dengelenmesi</w:t>
            </w:r>
          </w:p>
        </w:tc>
        <w:tc>
          <w:tcPr>
            <w:tcW w:w="7040" w:type="dxa"/>
            <w:vMerge/>
            <w:tcBorders>
              <w:right w:val="single" w:sz="8" w:space="0" w:color="auto"/>
            </w:tcBorders>
            <w:shd w:val="clear" w:color="auto" w:fill="auto"/>
            <w:vAlign w:val="bottom"/>
          </w:tcPr>
          <w:p w14:paraId="76B0D0E1" w14:textId="77777777" w:rsidR="00A52778" w:rsidRPr="00460F9E" w:rsidRDefault="00A52778" w:rsidP="00FC3F8E">
            <w:pPr>
              <w:spacing w:line="228" w:lineRule="exact"/>
              <w:ind w:left="100"/>
              <w:rPr>
                <w:rFonts w:eastAsia="Times New Roman" w:cs="Times New Roman"/>
                <w:b/>
              </w:rPr>
            </w:pPr>
          </w:p>
        </w:tc>
      </w:tr>
      <w:tr w:rsidR="00A52778" w:rsidRPr="00460F9E" w14:paraId="36F8F148" w14:textId="77777777" w:rsidTr="00FC3F8E">
        <w:trPr>
          <w:trHeight w:val="228"/>
        </w:trPr>
        <w:tc>
          <w:tcPr>
            <w:tcW w:w="1720" w:type="dxa"/>
            <w:tcBorders>
              <w:left w:val="single" w:sz="8" w:space="0" w:color="auto"/>
              <w:right w:val="single" w:sz="8" w:space="0" w:color="auto"/>
            </w:tcBorders>
            <w:shd w:val="clear" w:color="auto" w:fill="auto"/>
            <w:vAlign w:val="bottom"/>
          </w:tcPr>
          <w:p w14:paraId="55F00C20" w14:textId="77777777" w:rsidR="00A52778" w:rsidRPr="00460F9E" w:rsidRDefault="00A52778" w:rsidP="00FC3F8E">
            <w:pPr>
              <w:spacing w:line="0" w:lineRule="atLeast"/>
              <w:rPr>
                <w:rFonts w:eastAsia="Times New Roman" w:cs="Times New Roman"/>
                <w:b/>
                <w:sz w:val="19"/>
              </w:rPr>
            </w:pPr>
          </w:p>
        </w:tc>
        <w:tc>
          <w:tcPr>
            <w:tcW w:w="7040" w:type="dxa"/>
            <w:vMerge/>
            <w:tcBorders>
              <w:right w:val="single" w:sz="8" w:space="0" w:color="auto"/>
            </w:tcBorders>
            <w:shd w:val="clear" w:color="auto" w:fill="auto"/>
            <w:vAlign w:val="bottom"/>
          </w:tcPr>
          <w:p w14:paraId="750E0C40" w14:textId="77777777" w:rsidR="00A52778" w:rsidRPr="00460F9E" w:rsidRDefault="00A52778" w:rsidP="00FC3F8E">
            <w:pPr>
              <w:spacing w:line="228" w:lineRule="exact"/>
              <w:ind w:left="100"/>
              <w:rPr>
                <w:rFonts w:eastAsia="Times New Roman" w:cs="Times New Roman"/>
                <w:b/>
              </w:rPr>
            </w:pPr>
          </w:p>
        </w:tc>
      </w:tr>
      <w:tr w:rsidR="00A52778" w:rsidRPr="00460F9E" w14:paraId="7CC05AC3" w14:textId="77777777" w:rsidTr="00FC3F8E">
        <w:trPr>
          <w:trHeight w:val="85"/>
        </w:trPr>
        <w:tc>
          <w:tcPr>
            <w:tcW w:w="1720" w:type="dxa"/>
            <w:tcBorders>
              <w:left w:val="single" w:sz="8" w:space="0" w:color="auto"/>
              <w:bottom w:val="single" w:sz="8" w:space="0" w:color="auto"/>
              <w:right w:val="single" w:sz="8" w:space="0" w:color="auto"/>
            </w:tcBorders>
            <w:shd w:val="clear" w:color="auto" w:fill="auto"/>
            <w:vAlign w:val="bottom"/>
          </w:tcPr>
          <w:p w14:paraId="074D1EB7" w14:textId="77777777" w:rsidR="00A52778" w:rsidRPr="00460F9E" w:rsidRDefault="00A52778" w:rsidP="00FC3F8E">
            <w:pPr>
              <w:spacing w:line="0" w:lineRule="atLeast"/>
              <w:rPr>
                <w:rFonts w:eastAsia="Times New Roman" w:cs="Times New Roman"/>
                <w:b/>
                <w:sz w:val="7"/>
              </w:rPr>
            </w:pPr>
          </w:p>
        </w:tc>
        <w:tc>
          <w:tcPr>
            <w:tcW w:w="7040" w:type="dxa"/>
            <w:tcBorders>
              <w:bottom w:val="single" w:sz="8" w:space="0" w:color="auto"/>
              <w:right w:val="single" w:sz="8" w:space="0" w:color="auto"/>
            </w:tcBorders>
            <w:shd w:val="clear" w:color="auto" w:fill="auto"/>
            <w:vAlign w:val="bottom"/>
          </w:tcPr>
          <w:p w14:paraId="34A017DD" w14:textId="77777777" w:rsidR="00A52778" w:rsidRPr="00460F9E" w:rsidRDefault="00A52778" w:rsidP="00FC3F8E">
            <w:pPr>
              <w:spacing w:line="0" w:lineRule="atLeast"/>
              <w:rPr>
                <w:rFonts w:eastAsia="Times New Roman" w:cs="Times New Roman"/>
                <w:b/>
                <w:sz w:val="7"/>
              </w:rPr>
            </w:pPr>
          </w:p>
        </w:tc>
      </w:tr>
    </w:tbl>
    <w:p w14:paraId="5B22A1D8" w14:textId="195618A2" w:rsidR="00A52778" w:rsidRPr="00460F9E" w:rsidRDefault="00A52778" w:rsidP="00A52778">
      <w:pPr>
        <w:spacing w:line="20" w:lineRule="exact"/>
        <w:rPr>
          <w:rFonts w:eastAsia="Times New Roman" w:cs="Times New Roman"/>
          <w:b/>
        </w:rPr>
        <w:sectPr w:rsidR="00A52778" w:rsidRPr="00460F9E">
          <w:pgSz w:w="11900" w:h="16838"/>
          <w:pgMar w:top="707" w:right="1440" w:bottom="145" w:left="1020" w:header="0" w:footer="0" w:gutter="0"/>
          <w:cols w:space="0" w:equalWidth="0">
            <w:col w:w="9446"/>
          </w:cols>
          <w:docGrid w:linePitch="360"/>
        </w:sectPr>
      </w:pPr>
      <w:r w:rsidRPr="00460F9E">
        <w:rPr>
          <w:rFonts w:eastAsia="Times New Roman" w:cs="Times New Roman"/>
          <w:b/>
          <w:noProof/>
          <w:sz w:val="7"/>
          <w:lang w:val="tr-TR" w:eastAsia="tr-TR"/>
        </w:rPr>
        <mc:AlternateContent>
          <mc:Choice Requires="wps">
            <w:drawing>
              <wp:anchor distT="0" distB="0" distL="114300" distR="114300" simplePos="0" relativeHeight="251707392" behindDoc="1" locked="0" layoutInCell="1" allowOverlap="1" wp14:anchorId="20DA8884" wp14:editId="7AB3FEA0">
                <wp:simplePos x="0" y="0"/>
                <wp:positionH relativeFrom="column">
                  <wp:posOffset>5534660</wp:posOffset>
                </wp:positionH>
                <wp:positionV relativeFrom="paragraph">
                  <wp:posOffset>-1274445</wp:posOffset>
                </wp:positionV>
                <wp:extent cx="12065" cy="12700"/>
                <wp:effectExtent l="635" t="0" r="0" b="0"/>
                <wp:wrapNone/>
                <wp:docPr id="90" name="Dikdörtgen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9A7BD" id="Dikdörtgen 90" o:spid="_x0000_s1026" style="position:absolute;margin-left:435.8pt;margin-top:-100.35pt;width:.95pt;height: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" fillcolor="black" strokecolor="white"/>
            </w:pict>
          </mc:Fallback>
        </mc:AlternateContent>
      </w:r>
      <w:r w:rsidRPr="00460F9E">
        <w:rPr>
          <w:rFonts w:eastAsia="Times New Roman" w:cs="Times New Roman"/>
          <w:b/>
          <w:noProof/>
          <w:sz w:val="7"/>
          <w:lang w:val="tr-TR" w:eastAsia="tr-TR"/>
        </w:rPr>
        <mc:AlternateContent>
          <mc:Choice Requires="wps">
            <w:drawing>
              <wp:anchor distT="0" distB="0" distL="114300" distR="114300" simplePos="0" relativeHeight="251708416" behindDoc="1" locked="0" layoutInCell="1" allowOverlap="1" wp14:anchorId="663C35AF" wp14:editId="2EE47AA1">
                <wp:simplePos x="0" y="0"/>
                <wp:positionH relativeFrom="column">
                  <wp:posOffset>5534660</wp:posOffset>
                </wp:positionH>
                <wp:positionV relativeFrom="paragraph">
                  <wp:posOffset>-8890</wp:posOffset>
                </wp:positionV>
                <wp:extent cx="12065" cy="12065"/>
                <wp:effectExtent l="635" t="0" r="0" b="0"/>
                <wp:wrapNone/>
                <wp:docPr id="89" name="Dikdörtgen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12538" id="Dikdörtgen 89" o:spid="_x0000_s1026" style="position:absolute;margin-left:435.8pt;margin-top:-.7pt;width:.95pt;height:.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" fillcolor="black" strokecolor="white"/>
            </w:pict>
          </mc:Fallback>
        </mc:AlternateContent>
      </w:r>
    </w:p>
    <w:p w14:paraId="7311FB64" w14:textId="6FD6C023" w:rsidR="00A52778" w:rsidRPr="00A52778" w:rsidRDefault="00A52778" w:rsidP="00A52778"/>
    <w:sectPr w:rsidR="00A52778" w:rsidRPr="00A52778" w:rsidSect="00306DA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65FE3" w14:textId="77777777" w:rsidR="00BF2B30" w:rsidRDefault="00BF2B30" w:rsidP="00734BA9">
      <w:pPr>
        <w:spacing w:line="240" w:lineRule="auto"/>
      </w:pPr>
      <w:r>
        <w:separator/>
      </w:r>
    </w:p>
  </w:endnote>
  <w:endnote w:type="continuationSeparator" w:id="0">
    <w:p w14:paraId="5BB47052" w14:textId="77777777" w:rsidR="00BF2B30" w:rsidRDefault="00BF2B30" w:rsidP="00734BA9">
      <w:pPr>
        <w:spacing w:line="240" w:lineRule="auto"/>
      </w:pPr>
      <w:r>
        <w:continuationSeparator/>
      </w:r>
    </w:p>
  </w:endnote>
  <w:endnote w:type="continuationNotice" w:id="1">
    <w:p w14:paraId="77082B52" w14:textId="77777777" w:rsidR="00BF2B30" w:rsidRDefault="00BF2B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Microsoft Uighur">
    <w:altName w:val="Times New Roman"/>
    <w:panose1 w:val="02000000000000000000"/>
    <w:charset w:val="00"/>
    <w:family w:val="auto"/>
    <w:pitch w:val="variable"/>
    <w:sig w:usb0="80002023" w:usb1="80000002" w:usb2="00000008" w:usb3="00000000" w:csb0="00000041"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F DinDisplay Pro">
    <w:altName w:val="Times New Roman"/>
    <w:charset w:val="CC"/>
    <w:family w:val="auto"/>
    <w:pitch w:val="variable"/>
    <w:sig w:usb0="A00002BF" w:usb1="5000E0FB" w:usb2="00000000" w:usb3="00000000" w:csb0="0000019F" w:csb1="00000000"/>
  </w:font>
  <w:font w:name="Minion Pro Cond">
    <w:altName w:val="Yu Gothic"/>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A2"/>
    <w:family w:val="roman"/>
    <w:pitch w:val="variable"/>
    <w:sig w:usb0="E00002FF" w:usb1="420024FF" w:usb2="00000000" w:usb3="00000000" w:csb0="0000019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A2E2A" w14:textId="697D452A" w:rsidR="006E1E93" w:rsidRDefault="006E1E93">
    <w:pPr>
      <w:pStyle w:val="AltBilgi"/>
      <w:jc w:val="right"/>
    </w:pPr>
  </w:p>
  <w:p w14:paraId="577A00DC" w14:textId="77777777" w:rsidR="006E1E93" w:rsidRDefault="006E1E9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010470"/>
      <w:docPartObj>
        <w:docPartGallery w:val="Page Numbers (Bottom of Page)"/>
        <w:docPartUnique/>
      </w:docPartObj>
    </w:sdtPr>
    <w:sdtEndPr/>
    <w:sdtContent>
      <w:p w14:paraId="0A8D6145" w14:textId="2540AF4E" w:rsidR="006E1E93" w:rsidRDefault="006E1E93">
        <w:pPr>
          <w:pStyle w:val="AltBilgi"/>
          <w:jc w:val="right"/>
        </w:pPr>
        <w:r>
          <w:fldChar w:fldCharType="begin"/>
        </w:r>
        <w:r>
          <w:instrText>PAGE   \* MERGEFORMAT</w:instrText>
        </w:r>
        <w:r>
          <w:fldChar w:fldCharType="separate"/>
        </w:r>
        <w:r w:rsidR="002A1746" w:rsidRPr="002A1746">
          <w:rPr>
            <w:noProof/>
            <w:lang w:val="tr-TR"/>
          </w:rPr>
          <w:t>1</w:t>
        </w:r>
        <w:r>
          <w:fldChar w:fldCharType="end"/>
        </w:r>
      </w:p>
    </w:sdtContent>
  </w:sdt>
  <w:p w14:paraId="6CD95B52" w14:textId="77777777" w:rsidR="006E1E93" w:rsidRDefault="006E1E9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38F87" w14:textId="77777777" w:rsidR="00BF2B30" w:rsidRDefault="00BF2B30" w:rsidP="00734BA9">
      <w:pPr>
        <w:spacing w:line="240" w:lineRule="auto"/>
      </w:pPr>
      <w:r>
        <w:separator/>
      </w:r>
    </w:p>
  </w:footnote>
  <w:footnote w:type="continuationSeparator" w:id="0">
    <w:p w14:paraId="1D1A03C6" w14:textId="77777777" w:rsidR="00BF2B30" w:rsidRDefault="00BF2B30" w:rsidP="00734BA9">
      <w:pPr>
        <w:spacing w:line="240" w:lineRule="auto"/>
      </w:pPr>
      <w:r>
        <w:continuationSeparator/>
      </w:r>
    </w:p>
  </w:footnote>
  <w:footnote w:type="continuationNotice" w:id="1">
    <w:p w14:paraId="0E7AA2BE" w14:textId="77777777" w:rsidR="00BF2B30" w:rsidRDefault="00BF2B30">
      <w:pPr>
        <w:spacing w:line="240" w:lineRule="auto"/>
      </w:pPr>
    </w:p>
  </w:footnote>
  <w:footnote w:id="2">
    <w:p w14:paraId="41FE61AC" w14:textId="77777777" w:rsidR="006E1E93" w:rsidRPr="00416012" w:rsidRDefault="006E1E93" w:rsidP="00951FA4">
      <w:pPr>
        <w:pStyle w:val="DipnotMetni"/>
        <w:spacing w:before="0" w:after="0" w:line="240" w:lineRule="auto"/>
        <w:rPr>
          <w:rFonts w:ascii="Times New Roman" w:hAnsi="Times New Roman"/>
          <w:lang w:val="en-US"/>
        </w:rPr>
      </w:pPr>
      <w:r>
        <w:rPr>
          <w:rStyle w:val="DipnotBavurusu"/>
        </w:rPr>
        <w:footnoteRef/>
      </w:r>
      <w:r>
        <w:t xml:space="preserve"> </w:t>
      </w:r>
      <w:r w:rsidRPr="00416012">
        <w:rPr>
          <w:rFonts w:ascii="Times New Roman" w:hAnsi="Times New Roman"/>
        </w:rPr>
        <w:t xml:space="preserve">Bu performans seviyesinin normal </w:t>
      </w:r>
      <w:r w:rsidRPr="00416012">
        <w:rPr>
          <w:rFonts w:ascii="Times New Roman" w:hAnsi="Times New Roman" w:hint="eastAsia"/>
        </w:rPr>
        <w:t>ç</w:t>
      </w:r>
      <w:r w:rsidRPr="00416012">
        <w:rPr>
          <w:rFonts w:ascii="Times New Roman" w:hAnsi="Times New Roman"/>
        </w:rPr>
        <w:t>al</w:t>
      </w:r>
      <w:r w:rsidRPr="00416012">
        <w:rPr>
          <w:rFonts w:ascii="Times New Roman" w:hAnsi="Times New Roman" w:hint="eastAsia"/>
        </w:rPr>
        <w:t>ış</w:t>
      </w:r>
      <w:r w:rsidRPr="00416012">
        <w:rPr>
          <w:rFonts w:ascii="Times New Roman" w:hAnsi="Times New Roman"/>
        </w:rPr>
        <w:t>ma ko</w:t>
      </w:r>
      <w:r w:rsidRPr="00416012">
        <w:rPr>
          <w:rFonts w:ascii="Times New Roman" w:hAnsi="Times New Roman" w:hint="eastAsia"/>
        </w:rPr>
        <w:t>ş</w:t>
      </w:r>
      <w:r w:rsidRPr="00416012">
        <w:rPr>
          <w:rFonts w:ascii="Times New Roman" w:hAnsi="Times New Roman"/>
        </w:rPr>
        <w:t>ullar</w:t>
      </w:r>
      <w:r w:rsidRPr="00416012">
        <w:rPr>
          <w:rFonts w:ascii="Times New Roman" w:hAnsi="Times New Roman" w:hint="eastAsia"/>
        </w:rPr>
        <w:t>ı</w:t>
      </w:r>
      <w:r w:rsidRPr="00416012">
        <w:rPr>
          <w:rFonts w:ascii="Times New Roman" w:hAnsi="Times New Roman"/>
        </w:rPr>
        <w:t>yla ilgili olmad</w:t>
      </w:r>
      <w:r w:rsidRPr="00416012">
        <w:rPr>
          <w:rFonts w:ascii="Times New Roman" w:hAnsi="Times New Roman" w:hint="eastAsia"/>
        </w:rPr>
        <w:t>ığı</w:t>
      </w:r>
      <w:r w:rsidRPr="00416012">
        <w:rPr>
          <w:rFonts w:ascii="Times New Roman" w:hAnsi="Times New Roman"/>
        </w:rPr>
        <w:t xml:space="preserve"> g</w:t>
      </w:r>
      <w:r w:rsidRPr="00416012">
        <w:rPr>
          <w:rFonts w:ascii="Times New Roman" w:hAnsi="Times New Roman" w:hint="eastAsia"/>
        </w:rPr>
        <w:t>ö</w:t>
      </w:r>
      <w:r w:rsidRPr="00416012">
        <w:rPr>
          <w:rFonts w:ascii="Times New Roman" w:hAnsi="Times New Roman"/>
        </w:rPr>
        <w:t xml:space="preserve">z </w:t>
      </w:r>
      <w:r w:rsidRPr="00416012">
        <w:rPr>
          <w:rFonts w:ascii="Times New Roman" w:hAnsi="Times New Roman" w:hint="eastAsia"/>
        </w:rPr>
        <w:t>ö</w:t>
      </w:r>
      <w:r w:rsidRPr="00416012">
        <w:rPr>
          <w:rFonts w:ascii="Times New Roman" w:hAnsi="Times New Roman"/>
        </w:rPr>
        <w:t>n</w:t>
      </w:r>
      <w:r w:rsidRPr="00416012">
        <w:rPr>
          <w:rFonts w:ascii="Times New Roman" w:hAnsi="Times New Roman" w:hint="eastAsia"/>
        </w:rPr>
        <w:t>ü</w:t>
      </w:r>
      <w:r w:rsidRPr="00416012">
        <w:rPr>
          <w:rFonts w:ascii="Times New Roman" w:hAnsi="Times New Roman"/>
        </w:rPr>
        <w:t>ne al</w:t>
      </w:r>
      <w:r w:rsidRPr="00416012">
        <w:rPr>
          <w:rFonts w:ascii="Times New Roman" w:hAnsi="Times New Roman" w:hint="eastAsia"/>
        </w:rPr>
        <w:t>ı</w:t>
      </w:r>
      <w:r w:rsidRPr="00416012">
        <w:rPr>
          <w:rFonts w:ascii="Times New Roman" w:hAnsi="Times New Roman"/>
        </w:rPr>
        <w:t>nd</w:t>
      </w:r>
      <w:r w:rsidRPr="00416012">
        <w:rPr>
          <w:rFonts w:ascii="Times New Roman" w:hAnsi="Times New Roman" w:hint="eastAsia"/>
        </w:rPr>
        <w:t>ığı</w:t>
      </w:r>
      <w:r w:rsidRPr="00416012">
        <w:rPr>
          <w:rFonts w:ascii="Times New Roman" w:hAnsi="Times New Roman"/>
        </w:rPr>
        <w:t>nda</w:t>
      </w:r>
      <w:r w:rsidRPr="00416012">
        <w:rPr>
          <w:rFonts w:ascii="Times New Roman" w:hAnsi="Times New Roman"/>
          <w:lang w:val="en-US"/>
        </w:rPr>
        <w:t xml:space="preserve">, </w:t>
      </w:r>
      <w:r w:rsidRPr="00416012">
        <w:rPr>
          <w:rFonts w:ascii="Times New Roman" w:hAnsi="Times New Roman"/>
        </w:rPr>
        <w:t xml:space="preserve">Mevcut En </w:t>
      </w:r>
      <w:r w:rsidRPr="00416012">
        <w:rPr>
          <w:rFonts w:ascii="Times New Roman" w:hAnsi="Times New Roman" w:hint="eastAsia"/>
        </w:rPr>
        <w:t>İ</w:t>
      </w:r>
      <w:r w:rsidRPr="00416012">
        <w:rPr>
          <w:rFonts w:ascii="Times New Roman" w:hAnsi="Times New Roman"/>
        </w:rPr>
        <w:t>yi Tekniklerle ili</w:t>
      </w:r>
      <w:r w:rsidRPr="00416012">
        <w:rPr>
          <w:rFonts w:ascii="Times New Roman" w:hAnsi="Times New Roman" w:hint="eastAsia"/>
        </w:rPr>
        <w:t>ş</w:t>
      </w:r>
      <w:r w:rsidRPr="00416012">
        <w:rPr>
          <w:rFonts w:ascii="Times New Roman" w:hAnsi="Times New Roman"/>
        </w:rPr>
        <w:t>kili bir emisyon seviyesi de</w:t>
      </w:r>
      <w:r w:rsidRPr="00416012">
        <w:rPr>
          <w:rFonts w:ascii="Times New Roman" w:hAnsi="Times New Roman" w:hint="eastAsia"/>
        </w:rPr>
        <w:t>ğ</w:t>
      </w:r>
      <w:r w:rsidRPr="00416012">
        <w:rPr>
          <w:rFonts w:ascii="Times New Roman" w:hAnsi="Times New Roman"/>
        </w:rPr>
        <w:t>ildir.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6" w:space="0" w:color="0000FF"/>
      </w:tblBorders>
      <w:tblLayout w:type="fixed"/>
      <w:tblCellMar>
        <w:left w:w="57" w:type="dxa"/>
        <w:right w:w="57" w:type="dxa"/>
      </w:tblCellMar>
      <w:tblLook w:val="0000" w:firstRow="0" w:lastRow="0" w:firstColumn="0" w:lastColumn="0" w:noHBand="0" w:noVBand="0"/>
    </w:tblPr>
    <w:tblGrid>
      <w:gridCol w:w="8507"/>
    </w:tblGrid>
    <w:tr w:rsidR="006E1E93" w:rsidRPr="001B3DCB" w14:paraId="127436DE" w14:textId="77777777" w:rsidTr="006E1E93">
      <w:tc>
        <w:tcPr>
          <w:tcW w:w="8563" w:type="dxa"/>
          <w:shd w:val="clear" w:color="auto" w:fill="auto"/>
        </w:tcPr>
        <w:p w14:paraId="5F7123B8" w14:textId="77777777" w:rsidR="006E1E93" w:rsidRPr="001B3DCB" w:rsidRDefault="006E1E93" w:rsidP="006E1E93">
          <w:pPr>
            <w:spacing w:after="30"/>
            <w:rPr>
              <w:lang w:val="en-GB"/>
            </w:rPr>
          </w:pPr>
          <w:r w:rsidRPr="00B81192">
            <w:rPr>
              <w:b/>
              <w:color w:val="0000FF"/>
              <w:lang w:bidi="tr-TR"/>
            </w:rPr>
            <w:t>13.Bölüm</w:t>
          </w:r>
        </w:p>
      </w:tc>
    </w:tr>
  </w:tbl>
  <w:p w14:paraId="0F69A124" w14:textId="77777777" w:rsidR="006E1E93" w:rsidRPr="00716A24" w:rsidRDefault="006E1E93" w:rsidP="006E1E93">
    <w:pPr>
      <w:pStyle w:val="stBilgi"/>
      <w:rPr>
        <w:b/>
        <w:sz w:val="2"/>
        <w:szCs w:val="2"/>
      </w:rPr>
    </w:pPr>
    <w:r w:rsidRPr="00716A24">
      <w:rPr>
        <w:b/>
        <w:sz w:val="2"/>
        <w:lang w:bidi="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A6A10" w14:textId="77777777" w:rsidR="006E1E93" w:rsidRPr="00716A24" w:rsidRDefault="006E1E93" w:rsidP="006E1E93">
    <w:pPr>
      <w:pStyle w:val="stBilgi"/>
      <w:rPr>
        <w:b/>
        <w:sz w:val="2"/>
        <w:szCs w:val="2"/>
      </w:rPr>
    </w:pPr>
    <w:r w:rsidRPr="00716A24">
      <w:rPr>
        <w:b/>
        <w:sz w:val="2"/>
        <w:lang w:bidi="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C9"/>
    <w:multiLevelType w:val="hybridMultilevel"/>
    <w:tmpl w:val="28677B7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CA"/>
    <w:multiLevelType w:val="hybridMultilevel"/>
    <w:tmpl w:val="378D97C0"/>
    <w:lvl w:ilvl="0" w:tplc="FFFFFFFF">
      <w:start w:val="2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CB"/>
    <w:multiLevelType w:val="hybridMultilevel"/>
    <w:tmpl w:val="1D91467C"/>
    <w:lvl w:ilvl="0" w:tplc="FFFFFFFF">
      <w:start w:val="9"/>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CC"/>
    <w:multiLevelType w:val="hybridMultilevel"/>
    <w:tmpl w:val="316032BA"/>
    <w:lvl w:ilvl="0" w:tplc="FFFFFFFF">
      <w:start w:val="35"/>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CE"/>
    <w:multiLevelType w:val="hybridMultilevel"/>
    <w:tmpl w:val="13CDFCFC"/>
    <w:lvl w:ilvl="0" w:tplc="FFFFFFFF">
      <w:start w:val="1"/>
      <w:numFmt w:val="lowerLetter"/>
      <w:lvlText w:val="%1"/>
      <w:lvlJc w:val="left"/>
    </w:lvl>
    <w:lvl w:ilvl="1" w:tplc="FFFFFFFF">
      <w:start w:val="8"/>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CF"/>
    <w:multiLevelType w:val="hybridMultilevel"/>
    <w:tmpl w:val="471745E4"/>
    <w:lvl w:ilvl="0" w:tplc="FFFFFFFF">
      <w:start w:val="61"/>
      <w:numFmt w:val="lowerLetter"/>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D0"/>
    <w:multiLevelType w:val="hybridMultilevel"/>
    <w:tmpl w:val="01DDBC66"/>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D1"/>
    <w:multiLevelType w:val="hybridMultilevel"/>
    <w:tmpl w:val="30AADFDA"/>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D2"/>
    <w:multiLevelType w:val="hybridMultilevel"/>
    <w:tmpl w:val="30EADA60"/>
    <w:lvl w:ilvl="0" w:tplc="FFFFFFFF">
      <w:start w:val="1"/>
      <w:numFmt w:val="lowerRoman"/>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D3"/>
    <w:multiLevelType w:val="hybridMultilevel"/>
    <w:tmpl w:val="27179C0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D4"/>
    <w:multiLevelType w:val="hybridMultilevel"/>
    <w:tmpl w:val="5E636062"/>
    <w:lvl w:ilvl="0" w:tplc="FFFFFFFF">
      <w:start w:val="1"/>
      <w:numFmt w:val="lowerRoman"/>
      <w:lvlText w:val="%1"/>
      <w:lvlJc w:val="left"/>
    </w:lvl>
    <w:lvl w:ilvl="1" w:tplc="FFFFFFFF">
      <w:start w:val="1"/>
      <w:numFmt w:val="lowerLetter"/>
      <w:lvlText w:val="%2"/>
      <w:lvlJc w:val="left"/>
    </w:lvl>
    <w:lvl w:ilvl="2" w:tplc="FFFFFFFF">
      <w:start w:val="1"/>
      <w:numFmt w:val="lowerLetter"/>
      <w:lvlText w:val="%3"/>
      <w:lvlJc w:val="left"/>
    </w:lvl>
    <w:lvl w:ilvl="3" w:tplc="FFFFFFFF">
      <w:start w:val="15"/>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D5"/>
    <w:multiLevelType w:val="hybridMultilevel"/>
    <w:tmpl w:val="215641AE"/>
    <w:lvl w:ilvl="0" w:tplc="FFFFFFFF">
      <w:start w:val="1"/>
      <w:numFmt w:val="lowerRoman"/>
      <w:lvlText w:val="%1"/>
      <w:lvlJc w:val="left"/>
    </w:lvl>
    <w:lvl w:ilvl="1" w:tplc="FFFFFFFF">
      <w:start w:val="3"/>
      <w:numFmt w:val="lowerLetter"/>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D6"/>
    <w:multiLevelType w:val="hybridMultilevel"/>
    <w:tmpl w:val="53280662"/>
    <w:lvl w:ilvl="0" w:tplc="FFFFFFFF">
      <w:start w:val="4"/>
      <w:numFmt w:val="lowerRoman"/>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D7"/>
    <w:multiLevelType w:val="hybridMultilevel"/>
    <w:tmpl w:val="46B24DBC"/>
    <w:lvl w:ilvl="0" w:tplc="FFFFFFFF">
      <w:start w:val="1"/>
      <w:numFmt w:val="lowerLetter"/>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D8"/>
    <w:multiLevelType w:val="hybridMultilevel"/>
    <w:tmpl w:val="75B52782"/>
    <w:lvl w:ilvl="0" w:tplc="FFFFFFFF">
      <w:start w:val="22"/>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D9"/>
    <w:multiLevelType w:val="hybridMultilevel"/>
    <w:tmpl w:val="57CE66B4"/>
    <w:lvl w:ilvl="0" w:tplc="FFFFFFFF">
      <w:start w:val="6"/>
      <w:numFmt w:val="lowerRoman"/>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DD"/>
    <w:multiLevelType w:val="hybridMultilevel"/>
    <w:tmpl w:val="52AC7DF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DE"/>
    <w:multiLevelType w:val="hybridMultilevel"/>
    <w:tmpl w:val="00C4C3A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323246"/>
    <w:multiLevelType w:val="hybridMultilevel"/>
    <w:tmpl w:val="3ACABE90"/>
    <w:lvl w:ilvl="0" w:tplc="041F001B">
      <w:start w:val="1"/>
      <w:numFmt w:val="lowerRoman"/>
      <w:lvlText w:val="%1."/>
      <w:lvlJc w:val="right"/>
      <w:pPr>
        <w:ind w:left="23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00834ACA"/>
    <w:multiLevelType w:val="hybridMultilevel"/>
    <w:tmpl w:val="6C12794C"/>
    <w:lvl w:ilvl="0" w:tplc="C19AB7FC">
      <w:start w:val="1"/>
      <w:numFmt w:val="lowerLetter"/>
      <w:lvlText w:val="%1)"/>
      <w:lvlJc w:val="left"/>
      <w:pPr>
        <w:ind w:left="720" w:hanging="360"/>
      </w:pPr>
      <w:rPr>
        <w:rFonts w:ascii="Times New Roman" w:eastAsiaTheme="minorHAnsi" w:hAnsi="Times New Roman"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0892BF6"/>
    <w:multiLevelType w:val="hybridMultilevel"/>
    <w:tmpl w:val="FA1213F8"/>
    <w:lvl w:ilvl="0" w:tplc="FFFFFFFF">
      <w:start w:val="7"/>
      <w:numFmt w:val="decimal"/>
      <w:lvlText w:val="%1."/>
      <w:lvlJc w:val="left"/>
      <w:pPr>
        <w:ind w:left="2220" w:hanging="425"/>
        <w:jc w:val="right"/>
      </w:pPr>
      <w:rPr>
        <w:rFonts w:ascii="Times New Roman" w:eastAsia="Times New Roman" w:hAnsi="Times New Roman" w:cs="Times New Roman" w:hint="default"/>
        <w:w w:val="59"/>
        <w:sz w:val="22"/>
        <w:szCs w:val="22"/>
        <w:lang w:val="en-US" w:eastAsia="en-US" w:bidi="ar-SA"/>
      </w:rPr>
    </w:lvl>
    <w:lvl w:ilvl="1" w:tplc="FFFFFFFF">
      <w:start w:val="1"/>
      <w:numFmt w:val="decimal"/>
      <w:lvlText w:val="%2)"/>
      <w:lvlJc w:val="left"/>
      <w:pPr>
        <w:ind w:left="1660" w:hanging="360"/>
      </w:pPr>
      <w:rPr>
        <w:rFonts w:ascii="Times New Roman" w:eastAsia="Times New Roman" w:hAnsi="Times New Roman" w:cs="Times New Roman" w:hint="default"/>
        <w:w w:val="99"/>
        <w:sz w:val="22"/>
        <w:szCs w:val="22"/>
        <w:lang w:val="en-US" w:eastAsia="en-US" w:bidi="ar-SA"/>
      </w:rPr>
    </w:lvl>
    <w:lvl w:ilvl="2" w:tplc="C19AB7FC">
      <w:start w:val="1"/>
      <w:numFmt w:val="lowerLetter"/>
      <w:lvlText w:val="%3)"/>
      <w:lvlJc w:val="left"/>
      <w:pPr>
        <w:ind w:left="720" w:hanging="360"/>
      </w:pPr>
      <w:rPr>
        <w:rFonts w:ascii="Times New Roman" w:eastAsiaTheme="minorHAnsi" w:hAnsi="Times New Roman" w:cstheme="minorHAnsi"/>
      </w:rPr>
    </w:lvl>
    <w:lvl w:ilvl="3" w:tplc="FFFFFFFF">
      <w:numFmt w:val="bullet"/>
      <w:lvlText w:val="•"/>
      <w:lvlJc w:val="left"/>
      <w:pPr>
        <w:ind w:left="3980" w:hanging="360"/>
      </w:pPr>
      <w:rPr>
        <w:rFonts w:hint="default"/>
        <w:lang w:val="en-US" w:eastAsia="en-US" w:bidi="ar-SA"/>
      </w:rPr>
    </w:lvl>
    <w:lvl w:ilvl="4" w:tplc="FFFFFFFF">
      <w:numFmt w:val="bullet"/>
      <w:lvlText w:val="•"/>
      <w:lvlJc w:val="left"/>
      <w:pPr>
        <w:ind w:left="4860" w:hanging="360"/>
      </w:pPr>
      <w:rPr>
        <w:rFonts w:hint="default"/>
        <w:lang w:val="en-US" w:eastAsia="en-US" w:bidi="ar-SA"/>
      </w:rPr>
    </w:lvl>
    <w:lvl w:ilvl="5" w:tplc="FFFFFFFF">
      <w:numFmt w:val="bullet"/>
      <w:lvlText w:val="•"/>
      <w:lvlJc w:val="left"/>
      <w:pPr>
        <w:ind w:left="5740" w:hanging="360"/>
      </w:pPr>
      <w:rPr>
        <w:rFonts w:hint="default"/>
        <w:lang w:val="en-US" w:eastAsia="en-US" w:bidi="ar-SA"/>
      </w:rPr>
    </w:lvl>
    <w:lvl w:ilvl="6" w:tplc="FFFFFFFF">
      <w:numFmt w:val="bullet"/>
      <w:lvlText w:val="•"/>
      <w:lvlJc w:val="left"/>
      <w:pPr>
        <w:ind w:left="6620" w:hanging="360"/>
      </w:pPr>
      <w:rPr>
        <w:rFonts w:hint="default"/>
        <w:lang w:val="en-US" w:eastAsia="en-US" w:bidi="ar-SA"/>
      </w:rPr>
    </w:lvl>
    <w:lvl w:ilvl="7" w:tplc="FFFFFFFF">
      <w:numFmt w:val="bullet"/>
      <w:lvlText w:val="•"/>
      <w:lvlJc w:val="left"/>
      <w:pPr>
        <w:ind w:left="7500" w:hanging="360"/>
      </w:pPr>
      <w:rPr>
        <w:rFonts w:hint="default"/>
        <w:lang w:val="en-US" w:eastAsia="en-US" w:bidi="ar-SA"/>
      </w:rPr>
    </w:lvl>
    <w:lvl w:ilvl="8" w:tplc="FFFFFFFF">
      <w:numFmt w:val="bullet"/>
      <w:lvlText w:val="•"/>
      <w:lvlJc w:val="left"/>
      <w:pPr>
        <w:ind w:left="8380" w:hanging="360"/>
      </w:pPr>
      <w:rPr>
        <w:rFonts w:hint="default"/>
        <w:lang w:val="en-US" w:eastAsia="en-US" w:bidi="ar-SA"/>
      </w:rPr>
    </w:lvl>
  </w:abstractNum>
  <w:abstractNum w:abstractNumId="21" w15:restartNumberingAfterBreak="0">
    <w:nsid w:val="01846507"/>
    <w:multiLevelType w:val="hybridMultilevel"/>
    <w:tmpl w:val="F7BC8C04"/>
    <w:lvl w:ilvl="0" w:tplc="62F4B69C">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1BE778C"/>
    <w:multiLevelType w:val="hybridMultilevel"/>
    <w:tmpl w:val="5C5A75FC"/>
    <w:lvl w:ilvl="0" w:tplc="AFB8DD10">
      <w:start w:val="2"/>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01DA477A"/>
    <w:multiLevelType w:val="hybridMultilevel"/>
    <w:tmpl w:val="8A0450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3A86FB9"/>
    <w:multiLevelType w:val="hybridMultilevel"/>
    <w:tmpl w:val="D3A892AE"/>
    <w:lvl w:ilvl="0" w:tplc="FFFFFFFF">
      <w:numFmt w:val="bullet"/>
      <w:lvlText w:val="•"/>
      <w:lvlJc w:val="left"/>
      <w:pPr>
        <w:ind w:left="720" w:hanging="360"/>
      </w:pPr>
      <w:rPr>
        <w:rFonts w:ascii="Times New Roman" w:eastAsia="Georgia" w:hAnsi="Times New Roman" w:cs="Times New Roman" w:hint="default"/>
      </w:rPr>
    </w:lvl>
    <w:lvl w:ilvl="1" w:tplc="041F001B">
      <w:start w:val="1"/>
      <w:numFmt w:val="lowerRoman"/>
      <w:lvlText w:val="%2."/>
      <w:lvlJc w:val="right"/>
      <w:pPr>
        <w:ind w:left="26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3C963A9"/>
    <w:multiLevelType w:val="hybridMultilevel"/>
    <w:tmpl w:val="B2F6F54A"/>
    <w:lvl w:ilvl="0" w:tplc="FFFFFFFF">
      <w:start w:val="7"/>
      <w:numFmt w:val="decimal"/>
      <w:lvlText w:val="%1."/>
      <w:lvlJc w:val="left"/>
      <w:pPr>
        <w:ind w:left="2088" w:hanging="360"/>
        <w:jc w:val="right"/>
      </w:pPr>
      <w:rPr>
        <w:rFonts w:ascii="Times New Roman" w:eastAsia="Times New Roman" w:hAnsi="Times New Roman" w:cs="Times New Roman" w:hint="default"/>
        <w:w w:val="59"/>
        <w:sz w:val="22"/>
        <w:szCs w:val="22"/>
        <w:lang w:val="en-US" w:eastAsia="en-US" w:bidi="ar-SA"/>
      </w:rPr>
    </w:lvl>
    <w:lvl w:ilvl="1" w:tplc="C1F201DC">
      <w:start w:val="1"/>
      <w:numFmt w:val="lowerLetter"/>
      <w:lvlText w:val="%2)"/>
      <w:lvlJc w:val="right"/>
      <w:pPr>
        <w:ind w:left="1440" w:hanging="360"/>
      </w:pPr>
      <w:rPr>
        <w:rFonts w:ascii="Times New Roman" w:eastAsiaTheme="minorHAnsi" w:hAnsi="Times New Roman" w:cs="Times New Roman"/>
      </w:rPr>
    </w:lvl>
    <w:lvl w:ilvl="2" w:tplc="FFFFFFFF">
      <w:numFmt w:val="bullet"/>
      <w:lvlText w:val="•"/>
      <w:lvlJc w:val="left"/>
      <w:pPr>
        <w:ind w:left="2800" w:hanging="360"/>
      </w:pPr>
      <w:rPr>
        <w:rFonts w:hint="default"/>
        <w:lang w:val="en-US" w:eastAsia="en-US" w:bidi="ar-SA"/>
      </w:rPr>
    </w:lvl>
    <w:lvl w:ilvl="3" w:tplc="FFFFFFFF">
      <w:numFmt w:val="bullet"/>
      <w:lvlText w:val="•"/>
      <w:lvlJc w:val="left"/>
      <w:pPr>
        <w:ind w:left="3717" w:hanging="360"/>
      </w:pPr>
      <w:rPr>
        <w:rFonts w:hint="default"/>
        <w:lang w:val="en-US" w:eastAsia="en-US" w:bidi="ar-SA"/>
      </w:rPr>
    </w:lvl>
    <w:lvl w:ilvl="4" w:tplc="FFFFFFFF">
      <w:numFmt w:val="bullet"/>
      <w:lvlText w:val="•"/>
      <w:lvlJc w:val="left"/>
      <w:pPr>
        <w:ind w:left="4635" w:hanging="360"/>
      </w:pPr>
      <w:rPr>
        <w:rFonts w:hint="default"/>
        <w:lang w:val="en-US" w:eastAsia="en-US" w:bidi="ar-SA"/>
      </w:rPr>
    </w:lvl>
    <w:lvl w:ilvl="5" w:tplc="FFFFFFFF">
      <w:numFmt w:val="bullet"/>
      <w:lvlText w:val="•"/>
      <w:lvlJc w:val="left"/>
      <w:pPr>
        <w:ind w:left="5552" w:hanging="360"/>
      </w:pPr>
      <w:rPr>
        <w:rFonts w:hint="default"/>
        <w:lang w:val="en-US" w:eastAsia="en-US" w:bidi="ar-SA"/>
      </w:rPr>
    </w:lvl>
    <w:lvl w:ilvl="6" w:tplc="FFFFFFFF">
      <w:numFmt w:val="bullet"/>
      <w:lvlText w:val="•"/>
      <w:lvlJc w:val="left"/>
      <w:pPr>
        <w:ind w:left="6470" w:hanging="360"/>
      </w:pPr>
      <w:rPr>
        <w:rFonts w:hint="default"/>
        <w:lang w:val="en-US" w:eastAsia="en-US" w:bidi="ar-SA"/>
      </w:rPr>
    </w:lvl>
    <w:lvl w:ilvl="7" w:tplc="FFFFFFFF">
      <w:numFmt w:val="bullet"/>
      <w:lvlText w:val="•"/>
      <w:lvlJc w:val="left"/>
      <w:pPr>
        <w:ind w:left="7387" w:hanging="360"/>
      </w:pPr>
      <w:rPr>
        <w:rFonts w:hint="default"/>
        <w:lang w:val="en-US" w:eastAsia="en-US" w:bidi="ar-SA"/>
      </w:rPr>
    </w:lvl>
    <w:lvl w:ilvl="8" w:tplc="FFFFFFFF">
      <w:numFmt w:val="bullet"/>
      <w:lvlText w:val="•"/>
      <w:lvlJc w:val="left"/>
      <w:pPr>
        <w:ind w:left="8305" w:hanging="360"/>
      </w:pPr>
      <w:rPr>
        <w:rFonts w:hint="default"/>
        <w:lang w:val="en-US" w:eastAsia="en-US" w:bidi="ar-SA"/>
      </w:rPr>
    </w:lvl>
  </w:abstractNum>
  <w:abstractNum w:abstractNumId="26" w15:restartNumberingAfterBreak="0">
    <w:nsid w:val="04752128"/>
    <w:multiLevelType w:val="multilevel"/>
    <w:tmpl w:val="3C0CE5E8"/>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7" w15:restartNumberingAfterBreak="0">
    <w:nsid w:val="0518213B"/>
    <w:multiLevelType w:val="multilevel"/>
    <w:tmpl w:val="D278C7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05F95396"/>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8D44B5B"/>
    <w:multiLevelType w:val="hybridMultilevel"/>
    <w:tmpl w:val="5394A5FC"/>
    <w:lvl w:ilvl="0" w:tplc="FFFFFFFF">
      <w:start w:val="7"/>
      <w:numFmt w:val="decimal"/>
      <w:lvlText w:val="%1."/>
      <w:lvlJc w:val="left"/>
      <w:pPr>
        <w:ind w:left="2220" w:hanging="425"/>
        <w:jc w:val="right"/>
      </w:pPr>
      <w:rPr>
        <w:rFonts w:ascii="Times New Roman" w:eastAsia="Times New Roman" w:hAnsi="Times New Roman" w:cs="Times New Roman" w:hint="default"/>
        <w:w w:val="59"/>
        <w:sz w:val="22"/>
        <w:szCs w:val="22"/>
        <w:lang w:val="en-US" w:eastAsia="en-US" w:bidi="ar-SA"/>
      </w:rPr>
    </w:lvl>
    <w:lvl w:ilvl="1" w:tplc="FFFFFFFF">
      <w:start w:val="1"/>
      <w:numFmt w:val="decimal"/>
      <w:lvlText w:val="%2)"/>
      <w:lvlJc w:val="left"/>
      <w:pPr>
        <w:ind w:left="1660" w:hanging="360"/>
      </w:pPr>
      <w:rPr>
        <w:rFonts w:ascii="Times New Roman" w:eastAsia="Times New Roman" w:hAnsi="Times New Roman" w:cs="Times New Roman" w:hint="default"/>
        <w:w w:val="99"/>
        <w:sz w:val="22"/>
        <w:szCs w:val="22"/>
        <w:lang w:val="en-US" w:eastAsia="en-US" w:bidi="ar-SA"/>
      </w:rPr>
    </w:lvl>
    <w:lvl w:ilvl="2" w:tplc="C19AB7FC">
      <w:start w:val="1"/>
      <w:numFmt w:val="lowerLetter"/>
      <w:lvlText w:val="%3)"/>
      <w:lvlJc w:val="left"/>
      <w:pPr>
        <w:ind w:left="720" w:hanging="360"/>
      </w:pPr>
      <w:rPr>
        <w:rFonts w:ascii="Times New Roman" w:eastAsiaTheme="minorHAnsi" w:hAnsi="Times New Roman" w:cstheme="minorHAnsi"/>
      </w:rPr>
    </w:lvl>
    <w:lvl w:ilvl="3" w:tplc="FFFFFFFF">
      <w:numFmt w:val="bullet"/>
      <w:lvlText w:val="•"/>
      <w:lvlJc w:val="left"/>
      <w:pPr>
        <w:ind w:left="3980" w:hanging="360"/>
      </w:pPr>
      <w:rPr>
        <w:rFonts w:hint="default"/>
        <w:lang w:val="en-US" w:eastAsia="en-US" w:bidi="ar-SA"/>
      </w:rPr>
    </w:lvl>
    <w:lvl w:ilvl="4" w:tplc="FFFFFFFF">
      <w:numFmt w:val="bullet"/>
      <w:lvlText w:val="•"/>
      <w:lvlJc w:val="left"/>
      <w:pPr>
        <w:ind w:left="4860" w:hanging="360"/>
      </w:pPr>
      <w:rPr>
        <w:rFonts w:hint="default"/>
        <w:lang w:val="en-US" w:eastAsia="en-US" w:bidi="ar-SA"/>
      </w:rPr>
    </w:lvl>
    <w:lvl w:ilvl="5" w:tplc="FFFFFFFF">
      <w:numFmt w:val="bullet"/>
      <w:lvlText w:val="•"/>
      <w:lvlJc w:val="left"/>
      <w:pPr>
        <w:ind w:left="5740" w:hanging="360"/>
      </w:pPr>
      <w:rPr>
        <w:rFonts w:hint="default"/>
        <w:lang w:val="en-US" w:eastAsia="en-US" w:bidi="ar-SA"/>
      </w:rPr>
    </w:lvl>
    <w:lvl w:ilvl="6" w:tplc="FFFFFFFF">
      <w:numFmt w:val="bullet"/>
      <w:lvlText w:val="•"/>
      <w:lvlJc w:val="left"/>
      <w:pPr>
        <w:ind w:left="6620" w:hanging="360"/>
      </w:pPr>
      <w:rPr>
        <w:rFonts w:hint="default"/>
        <w:lang w:val="en-US" w:eastAsia="en-US" w:bidi="ar-SA"/>
      </w:rPr>
    </w:lvl>
    <w:lvl w:ilvl="7" w:tplc="FFFFFFFF">
      <w:numFmt w:val="bullet"/>
      <w:lvlText w:val="•"/>
      <w:lvlJc w:val="left"/>
      <w:pPr>
        <w:ind w:left="7500" w:hanging="360"/>
      </w:pPr>
      <w:rPr>
        <w:rFonts w:hint="default"/>
        <w:lang w:val="en-US" w:eastAsia="en-US" w:bidi="ar-SA"/>
      </w:rPr>
    </w:lvl>
    <w:lvl w:ilvl="8" w:tplc="FFFFFFFF">
      <w:numFmt w:val="bullet"/>
      <w:lvlText w:val="•"/>
      <w:lvlJc w:val="left"/>
      <w:pPr>
        <w:ind w:left="8380" w:hanging="360"/>
      </w:pPr>
      <w:rPr>
        <w:rFonts w:hint="default"/>
        <w:lang w:val="en-US" w:eastAsia="en-US" w:bidi="ar-SA"/>
      </w:rPr>
    </w:lvl>
  </w:abstractNum>
  <w:abstractNum w:abstractNumId="30" w15:restartNumberingAfterBreak="0">
    <w:nsid w:val="08E85FEF"/>
    <w:multiLevelType w:val="hybridMultilevel"/>
    <w:tmpl w:val="772EAF64"/>
    <w:lvl w:ilvl="0" w:tplc="C19AB7FC">
      <w:start w:val="1"/>
      <w:numFmt w:val="lowerLetter"/>
      <w:lvlText w:val="%1)"/>
      <w:lvlJc w:val="left"/>
      <w:pPr>
        <w:ind w:left="720" w:hanging="360"/>
      </w:pPr>
      <w:rPr>
        <w:rFonts w:ascii="Times New Roman" w:eastAsiaTheme="minorHAnsi" w:hAnsi="Times New Roman"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093C66BB"/>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9511CAC"/>
    <w:multiLevelType w:val="hybridMultilevel"/>
    <w:tmpl w:val="6E4028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AC847BB"/>
    <w:multiLevelType w:val="hybridMultilevel"/>
    <w:tmpl w:val="1AB27C64"/>
    <w:lvl w:ilvl="0" w:tplc="7420597A">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34" w15:restartNumberingAfterBreak="0">
    <w:nsid w:val="0AFD468E"/>
    <w:multiLevelType w:val="hybridMultilevel"/>
    <w:tmpl w:val="A66E5D2E"/>
    <w:lvl w:ilvl="0" w:tplc="FFFFFFFF">
      <w:numFmt w:val="bullet"/>
      <w:lvlText w:val="•"/>
      <w:lvlJc w:val="left"/>
      <w:pPr>
        <w:ind w:left="720" w:hanging="360"/>
      </w:pPr>
      <w:rPr>
        <w:rFonts w:ascii="Times New Roman" w:eastAsia="Georgia" w:hAnsi="Times New Roman" w:cs="Times New Roman" w:hint="default"/>
      </w:rPr>
    </w:lvl>
    <w:lvl w:ilvl="1" w:tplc="04090013">
      <w:start w:val="1"/>
      <w:numFmt w:val="upperRoman"/>
      <w:lvlText w:val="%2."/>
      <w:lvlJc w:val="right"/>
      <w:pPr>
        <w:ind w:left="1440" w:hanging="360"/>
      </w:pPr>
    </w:lvl>
    <w:lvl w:ilvl="2" w:tplc="AE382172">
      <w:start w:val="1"/>
      <w:numFmt w:val="decimal"/>
      <w:lvlText w:val="%3"/>
      <w:lvlJc w:val="left"/>
      <w:pPr>
        <w:ind w:left="36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B7962CC"/>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C2F2AFF"/>
    <w:multiLevelType w:val="hybridMultilevel"/>
    <w:tmpl w:val="64C672E2"/>
    <w:lvl w:ilvl="0" w:tplc="05865E42">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0C9F678A"/>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CBB02B5"/>
    <w:multiLevelType w:val="hybridMultilevel"/>
    <w:tmpl w:val="FF006312"/>
    <w:lvl w:ilvl="0" w:tplc="34C03942">
      <w:start w:val="2"/>
      <w:numFmt w:val="decimal"/>
      <w:lvlText w:val="(%1)"/>
      <w:lvlJc w:val="left"/>
      <w:pPr>
        <w:ind w:left="360" w:hanging="360"/>
      </w:pPr>
      <w:rPr>
        <w:rFonts w:hint="default"/>
      </w:rPr>
    </w:lvl>
    <w:lvl w:ilvl="1" w:tplc="041F0019" w:tentative="1">
      <w:start w:val="1"/>
      <w:numFmt w:val="lowerLetter"/>
      <w:lvlText w:val="%2."/>
      <w:lvlJc w:val="left"/>
      <w:pPr>
        <w:ind w:left="24" w:hanging="360"/>
      </w:pPr>
    </w:lvl>
    <w:lvl w:ilvl="2" w:tplc="041F001B" w:tentative="1">
      <w:start w:val="1"/>
      <w:numFmt w:val="lowerRoman"/>
      <w:lvlText w:val="%3."/>
      <w:lvlJc w:val="right"/>
      <w:pPr>
        <w:ind w:left="744" w:hanging="180"/>
      </w:pPr>
    </w:lvl>
    <w:lvl w:ilvl="3" w:tplc="041F000F" w:tentative="1">
      <w:start w:val="1"/>
      <w:numFmt w:val="decimal"/>
      <w:lvlText w:val="%4."/>
      <w:lvlJc w:val="left"/>
      <w:pPr>
        <w:ind w:left="1464" w:hanging="360"/>
      </w:pPr>
    </w:lvl>
    <w:lvl w:ilvl="4" w:tplc="041F0019" w:tentative="1">
      <w:start w:val="1"/>
      <w:numFmt w:val="lowerLetter"/>
      <w:lvlText w:val="%5."/>
      <w:lvlJc w:val="left"/>
      <w:pPr>
        <w:ind w:left="2184" w:hanging="360"/>
      </w:pPr>
    </w:lvl>
    <w:lvl w:ilvl="5" w:tplc="041F001B" w:tentative="1">
      <w:start w:val="1"/>
      <w:numFmt w:val="lowerRoman"/>
      <w:lvlText w:val="%6."/>
      <w:lvlJc w:val="right"/>
      <w:pPr>
        <w:ind w:left="2904" w:hanging="180"/>
      </w:pPr>
    </w:lvl>
    <w:lvl w:ilvl="6" w:tplc="041F000F" w:tentative="1">
      <w:start w:val="1"/>
      <w:numFmt w:val="decimal"/>
      <w:lvlText w:val="%7."/>
      <w:lvlJc w:val="left"/>
      <w:pPr>
        <w:ind w:left="3624" w:hanging="360"/>
      </w:pPr>
    </w:lvl>
    <w:lvl w:ilvl="7" w:tplc="041F0019" w:tentative="1">
      <w:start w:val="1"/>
      <w:numFmt w:val="lowerLetter"/>
      <w:lvlText w:val="%8."/>
      <w:lvlJc w:val="left"/>
      <w:pPr>
        <w:ind w:left="4344" w:hanging="360"/>
      </w:pPr>
    </w:lvl>
    <w:lvl w:ilvl="8" w:tplc="041F001B" w:tentative="1">
      <w:start w:val="1"/>
      <w:numFmt w:val="lowerRoman"/>
      <w:lvlText w:val="%9."/>
      <w:lvlJc w:val="right"/>
      <w:pPr>
        <w:ind w:left="5064" w:hanging="180"/>
      </w:pPr>
    </w:lvl>
  </w:abstractNum>
  <w:abstractNum w:abstractNumId="39" w15:restartNumberingAfterBreak="0">
    <w:nsid w:val="0D08172A"/>
    <w:multiLevelType w:val="hybridMultilevel"/>
    <w:tmpl w:val="A0F8BBAE"/>
    <w:lvl w:ilvl="0" w:tplc="A450239A">
      <w:start w:val="1"/>
      <w:numFmt w:val="decimal"/>
      <w:lvlText w:val="(%1)"/>
      <w:lvlJc w:val="left"/>
      <w:pPr>
        <w:ind w:left="108" w:hanging="238"/>
      </w:pPr>
      <w:rPr>
        <w:rFonts w:ascii="Times New Roman" w:eastAsia="Times New Roman" w:hAnsi="Times New Roman" w:cs="Times New Roman" w:hint="default"/>
        <w:w w:val="99"/>
        <w:sz w:val="18"/>
        <w:szCs w:val="18"/>
        <w:lang w:val="en-US" w:eastAsia="en-US" w:bidi="ar-SA"/>
      </w:rPr>
    </w:lvl>
    <w:lvl w:ilvl="1" w:tplc="3A8450C2">
      <w:numFmt w:val="bullet"/>
      <w:lvlText w:val="•"/>
      <w:lvlJc w:val="left"/>
      <w:pPr>
        <w:ind w:left="961" w:hanging="238"/>
      </w:pPr>
      <w:rPr>
        <w:rFonts w:hint="default"/>
        <w:lang w:val="en-US" w:eastAsia="en-US" w:bidi="ar-SA"/>
      </w:rPr>
    </w:lvl>
    <w:lvl w:ilvl="2" w:tplc="9A9CBD42">
      <w:numFmt w:val="bullet"/>
      <w:lvlText w:val="•"/>
      <w:lvlJc w:val="left"/>
      <w:pPr>
        <w:ind w:left="1822" w:hanging="238"/>
      </w:pPr>
      <w:rPr>
        <w:rFonts w:hint="default"/>
        <w:lang w:val="en-US" w:eastAsia="en-US" w:bidi="ar-SA"/>
      </w:rPr>
    </w:lvl>
    <w:lvl w:ilvl="3" w:tplc="1EBC6084">
      <w:numFmt w:val="bullet"/>
      <w:lvlText w:val="•"/>
      <w:lvlJc w:val="left"/>
      <w:pPr>
        <w:ind w:left="2683" w:hanging="238"/>
      </w:pPr>
      <w:rPr>
        <w:rFonts w:hint="default"/>
        <w:lang w:val="en-US" w:eastAsia="en-US" w:bidi="ar-SA"/>
      </w:rPr>
    </w:lvl>
    <w:lvl w:ilvl="4" w:tplc="432EB9F4">
      <w:numFmt w:val="bullet"/>
      <w:lvlText w:val="•"/>
      <w:lvlJc w:val="left"/>
      <w:pPr>
        <w:ind w:left="3545" w:hanging="238"/>
      </w:pPr>
      <w:rPr>
        <w:rFonts w:hint="default"/>
        <w:lang w:val="en-US" w:eastAsia="en-US" w:bidi="ar-SA"/>
      </w:rPr>
    </w:lvl>
    <w:lvl w:ilvl="5" w:tplc="4EB83E0C">
      <w:numFmt w:val="bullet"/>
      <w:lvlText w:val="•"/>
      <w:lvlJc w:val="left"/>
      <w:pPr>
        <w:ind w:left="4406" w:hanging="238"/>
      </w:pPr>
      <w:rPr>
        <w:rFonts w:hint="default"/>
        <w:lang w:val="en-US" w:eastAsia="en-US" w:bidi="ar-SA"/>
      </w:rPr>
    </w:lvl>
    <w:lvl w:ilvl="6" w:tplc="E7BA763A">
      <w:numFmt w:val="bullet"/>
      <w:lvlText w:val="•"/>
      <w:lvlJc w:val="left"/>
      <w:pPr>
        <w:ind w:left="5267" w:hanging="238"/>
      </w:pPr>
      <w:rPr>
        <w:rFonts w:hint="default"/>
        <w:lang w:val="en-US" w:eastAsia="en-US" w:bidi="ar-SA"/>
      </w:rPr>
    </w:lvl>
    <w:lvl w:ilvl="7" w:tplc="1638D116">
      <w:numFmt w:val="bullet"/>
      <w:lvlText w:val="•"/>
      <w:lvlJc w:val="left"/>
      <w:pPr>
        <w:ind w:left="6129" w:hanging="238"/>
      </w:pPr>
      <w:rPr>
        <w:rFonts w:hint="default"/>
        <w:lang w:val="en-US" w:eastAsia="en-US" w:bidi="ar-SA"/>
      </w:rPr>
    </w:lvl>
    <w:lvl w:ilvl="8" w:tplc="D7AC5E1A">
      <w:numFmt w:val="bullet"/>
      <w:lvlText w:val="•"/>
      <w:lvlJc w:val="left"/>
      <w:pPr>
        <w:ind w:left="6990" w:hanging="238"/>
      </w:pPr>
      <w:rPr>
        <w:rFonts w:hint="default"/>
        <w:lang w:val="en-US" w:eastAsia="en-US" w:bidi="ar-SA"/>
      </w:rPr>
    </w:lvl>
  </w:abstractNum>
  <w:abstractNum w:abstractNumId="40" w15:restartNumberingAfterBreak="0">
    <w:nsid w:val="0DB519CD"/>
    <w:multiLevelType w:val="hybridMultilevel"/>
    <w:tmpl w:val="EBB2A230"/>
    <w:lvl w:ilvl="0" w:tplc="04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0DDC5EE5"/>
    <w:multiLevelType w:val="hybridMultilevel"/>
    <w:tmpl w:val="9E0011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E2C6112"/>
    <w:multiLevelType w:val="hybridMultilevel"/>
    <w:tmpl w:val="EF7A9E4C"/>
    <w:lvl w:ilvl="0" w:tplc="AF7CBB20">
      <w:start w:val="2"/>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0E3546B6"/>
    <w:multiLevelType w:val="multilevel"/>
    <w:tmpl w:val="77EC1288"/>
    <w:styleLink w:val="GeerliListe7"/>
    <w:lvl w:ilvl="0">
      <w:start w:val="1"/>
      <w:numFmt w:val="lowerLetter"/>
      <w:lvlText w:val="%1)"/>
      <w:lvlJc w:val="left"/>
      <w:pPr>
        <w:ind w:left="1080" w:hanging="720"/>
      </w:pPr>
      <w:rPr>
        <w:rFonts w:ascii="Times New Roman" w:eastAsiaTheme="minorHAnsi" w:hAnsi="Times New Roman"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0EB67CAC"/>
    <w:multiLevelType w:val="hybridMultilevel"/>
    <w:tmpl w:val="0A2CA8DA"/>
    <w:lvl w:ilvl="0" w:tplc="591C0D86">
      <w:start w:val="1"/>
      <mc:AlternateContent>
        <mc:Choice Requires="w14">
          <w:numFmt w:val="custom" w:format="a, ç, ĝ, ..."/>
        </mc:Choice>
        <mc:Fallback>
          <w:numFmt w:val="decimal"/>
        </mc:Fallback>
      </mc:AlternateContent>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5" w15:restartNumberingAfterBreak="0">
    <w:nsid w:val="0F556CF1"/>
    <w:multiLevelType w:val="hybridMultilevel"/>
    <w:tmpl w:val="3E08347C"/>
    <w:lvl w:ilvl="0" w:tplc="26FE5CE4">
      <w:start w:val="1"/>
      <mc:AlternateContent>
        <mc:Choice Requires="w14">
          <w:numFmt w:val="custom" w:format="a, ç, ĝ, ..."/>
        </mc:Choice>
        <mc:Fallback>
          <w:numFmt w:val="decimal"/>
        </mc:Fallback>
      </mc:AlternateContent>
      <w:lvlText w:val="%1)"/>
      <w:lvlJc w:val="left"/>
      <w:pPr>
        <w:ind w:left="720" w:hanging="360"/>
      </w:pPr>
      <w:rPr>
        <w:rFonts w:ascii="Times New Roman" w:hAnsi="Times New Roman" w:hint="default"/>
        <w:b w:val="0"/>
        <w:i w:val="0"/>
        <w:sz w:val="22"/>
      </w:rPr>
    </w:lvl>
    <w:lvl w:ilvl="1" w:tplc="CA445138">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0F8F1E7E"/>
    <w:multiLevelType w:val="hybridMultilevel"/>
    <w:tmpl w:val="E99A767A"/>
    <w:lvl w:ilvl="0" w:tplc="04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120505AC"/>
    <w:multiLevelType w:val="hybridMultilevel"/>
    <w:tmpl w:val="F70E9278"/>
    <w:lvl w:ilvl="0" w:tplc="C19AB7FC">
      <w:start w:val="1"/>
      <w:numFmt w:val="lowerLetter"/>
      <w:lvlText w:val="%1)"/>
      <w:lvlJc w:val="left"/>
      <w:pPr>
        <w:ind w:left="720" w:hanging="360"/>
      </w:pPr>
      <w:rPr>
        <w:rFonts w:ascii="Times New Roman" w:eastAsiaTheme="minorHAnsi" w:hAnsi="Times New Roman" w:cstheme="minorHAnsi"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29637B4"/>
    <w:multiLevelType w:val="hybridMultilevel"/>
    <w:tmpl w:val="123CCA7C"/>
    <w:lvl w:ilvl="0" w:tplc="9D5ED11C">
      <w:start w:val="1"/>
      <w:numFmt w:val="lowerLetter"/>
      <w:lvlText w:val="(%1)"/>
      <w:lvlJc w:val="left"/>
      <w:pPr>
        <w:ind w:left="720" w:hanging="360"/>
      </w:pPr>
      <w:rPr>
        <w:rFonts w:hint="default"/>
      </w:rPr>
    </w:lvl>
    <w:lvl w:ilvl="1" w:tplc="041F001B">
      <w:start w:val="1"/>
      <w:numFmt w:val="lowerRoman"/>
      <w:lvlText w:val="%2."/>
      <w:lvlJc w:val="right"/>
      <w:pPr>
        <w:ind w:left="23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B11607"/>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54B19FB"/>
    <w:multiLevelType w:val="hybridMultilevel"/>
    <w:tmpl w:val="64C672E2"/>
    <w:lvl w:ilvl="0" w:tplc="05865E42">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1" w15:restartNumberingAfterBreak="0">
    <w:nsid w:val="15C6751E"/>
    <w:multiLevelType w:val="hybridMultilevel"/>
    <w:tmpl w:val="100E4426"/>
    <w:lvl w:ilvl="0" w:tplc="C19AB7FC">
      <w:start w:val="1"/>
      <w:numFmt w:val="lowerLetter"/>
      <w:lvlText w:val="%1)"/>
      <w:lvlJc w:val="left"/>
      <w:pPr>
        <w:ind w:left="720" w:hanging="360"/>
      </w:pPr>
      <w:rPr>
        <w:rFonts w:ascii="Times New Roman" w:eastAsiaTheme="minorHAnsi" w:hAnsi="Times New Roman"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17763E18"/>
    <w:multiLevelType w:val="hybridMultilevel"/>
    <w:tmpl w:val="7C4E3E92"/>
    <w:lvl w:ilvl="0" w:tplc="ECE22618">
      <w:numFmt w:val="bullet"/>
      <w:pStyle w:val="Table-"/>
      <w:lvlText w:val="-"/>
      <w:lvlJc w:val="left"/>
      <w:pPr>
        <w:ind w:left="382"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7990D2F"/>
    <w:multiLevelType w:val="hybridMultilevel"/>
    <w:tmpl w:val="EC202A26"/>
    <w:lvl w:ilvl="0" w:tplc="C19AB7FC">
      <w:start w:val="1"/>
      <w:numFmt w:val="lowerLetter"/>
      <w:lvlText w:val="%1)"/>
      <w:lvlJc w:val="left"/>
      <w:pPr>
        <w:ind w:left="720" w:hanging="360"/>
      </w:pPr>
      <w:rPr>
        <w:rFonts w:ascii="Times New Roman" w:eastAsiaTheme="minorHAnsi" w:hAnsi="Times New Roman"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8EC4C5A"/>
    <w:multiLevelType w:val="hybridMultilevel"/>
    <w:tmpl w:val="9EAA8106"/>
    <w:lvl w:ilvl="0" w:tplc="383CE966">
      <w:start w:val="1"/>
      <w:numFmt w:val="low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94B02DF"/>
    <w:multiLevelType w:val="multilevel"/>
    <w:tmpl w:val="7A4E73FA"/>
    <w:styleLink w:val="GeerliListe6"/>
    <w:lvl w:ilvl="0">
      <w:start w:val="1"/>
      <w:numFmt w:val="lowerLetter"/>
      <w:lvlText w:val="%1)"/>
      <w:lvlJc w:val="left"/>
      <w:pPr>
        <w:ind w:left="1080" w:hanging="720"/>
      </w:pPr>
      <w:rPr>
        <w:rFonts w:ascii="Times New Roman" w:eastAsiaTheme="minorHAnsi" w:hAnsi="Times New Roman"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996487A"/>
    <w:multiLevelType w:val="hybridMultilevel"/>
    <w:tmpl w:val="A316EF0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19BA29A7"/>
    <w:multiLevelType w:val="hybridMultilevel"/>
    <w:tmpl w:val="6FF22C12"/>
    <w:lvl w:ilvl="0" w:tplc="E2C0947E">
      <w:start w:val="3"/>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19CC5724"/>
    <w:multiLevelType w:val="hybridMultilevel"/>
    <w:tmpl w:val="07B2A97E"/>
    <w:lvl w:ilvl="0" w:tplc="C19AB7FC">
      <w:start w:val="1"/>
      <w:numFmt w:val="lowerLetter"/>
      <w:lvlText w:val="%1)"/>
      <w:lvlJc w:val="left"/>
      <w:pPr>
        <w:ind w:left="720" w:hanging="360"/>
      </w:pPr>
      <w:rPr>
        <w:rFonts w:ascii="Times New Roman" w:eastAsiaTheme="minorHAnsi" w:hAnsi="Times New Roman"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9D41DFD"/>
    <w:multiLevelType w:val="hybridMultilevel"/>
    <w:tmpl w:val="5C5A75FC"/>
    <w:lvl w:ilvl="0" w:tplc="AFB8DD10">
      <w:start w:val="2"/>
      <w:numFmt w:val="decimal"/>
      <w:lvlText w:val="(%1)"/>
      <w:lvlJc w:val="left"/>
      <w:pPr>
        <w:ind w:left="72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19FA4E63"/>
    <w:multiLevelType w:val="hybridMultilevel"/>
    <w:tmpl w:val="EF7A9E4C"/>
    <w:lvl w:ilvl="0" w:tplc="AF7CBB20">
      <w:start w:val="2"/>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1AAA2A04"/>
    <w:multiLevelType w:val="hybridMultilevel"/>
    <w:tmpl w:val="3E08347C"/>
    <w:lvl w:ilvl="0" w:tplc="26FE5CE4">
      <w:start w:val="1"/>
      <mc:AlternateContent>
        <mc:Choice Requires="w14">
          <w:numFmt w:val="custom" w:format="a, ç, ĝ, ..."/>
        </mc:Choice>
        <mc:Fallback>
          <w:numFmt w:val="decimal"/>
        </mc:Fallback>
      </mc:AlternateContent>
      <w:lvlText w:val="%1)"/>
      <w:lvlJc w:val="left"/>
      <w:pPr>
        <w:ind w:left="720" w:hanging="360"/>
      </w:pPr>
      <w:rPr>
        <w:rFonts w:ascii="Times New Roman" w:hAnsi="Times New Roman" w:hint="default"/>
        <w:b w:val="0"/>
        <w:i w:val="0"/>
        <w:sz w:val="22"/>
      </w:rPr>
    </w:lvl>
    <w:lvl w:ilvl="1" w:tplc="CA445138">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1BE13E58"/>
    <w:multiLevelType w:val="hybridMultilevel"/>
    <w:tmpl w:val="D5A84E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1D6B3E66"/>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1D8A7FB6"/>
    <w:multiLevelType w:val="hybridMultilevel"/>
    <w:tmpl w:val="7974D8F2"/>
    <w:lvl w:ilvl="0" w:tplc="C19AB7FC">
      <w:start w:val="1"/>
      <w:numFmt w:val="lowerLetter"/>
      <w:lvlText w:val="%1)"/>
      <w:lvlJc w:val="left"/>
      <w:pPr>
        <w:ind w:left="720" w:hanging="360"/>
      </w:pPr>
      <w:rPr>
        <w:rFonts w:ascii="Times New Roman" w:eastAsiaTheme="minorHAnsi" w:hAnsi="Times New Roman" w:cstheme="minorHAnsi"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1DB266E5"/>
    <w:multiLevelType w:val="hybridMultilevel"/>
    <w:tmpl w:val="3E163B1A"/>
    <w:lvl w:ilvl="0" w:tplc="C19AB7FC">
      <w:start w:val="1"/>
      <w:numFmt w:val="lowerLetter"/>
      <w:lvlText w:val="%1)"/>
      <w:lvlJc w:val="left"/>
      <w:pPr>
        <w:ind w:left="720" w:hanging="360"/>
      </w:pPr>
      <w:rPr>
        <w:rFonts w:ascii="Times New Roman" w:eastAsiaTheme="minorHAnsi" w:hAnsi="Times New Roman"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1DB727B8"/>
    <w:multiLevelType w:val="hybridMultilevel"/>
    <w:tmpl w:val="0B087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DC70659"/>
    <w:multiLevelType w:val="hybridMultilevel"/>
    <w:tmpl w:val="FF006312"/>
    <w:lvl w:ilvl="0" w:tplc="34C03942">
      <w:start w:val="2"/>
      <w:numFmt w:val="decimal"/>
      <w:lvlText w:val="(%1)"/>
      <w:lvlJc w:val="left"/>
      <w:pPr>
        <w:ind w:left="360" w:hanging="360"/>
      </w:pPr>
      <w:rPr>
        <w:rFonts w:hint="default"/>
      </w:rPr>
    </w:lvl>
    <w:lvl w:ilvl="1" w:tplc="041F0019" w:tentative="1">
      <w:start w:val="1"/>
      <w:numFmt w:val="lowerLetter"/>
      <w:lvlText w:val="%2."/>
      <w:lvlJc w:val="left"/>
      <w:pPr>
        <w:ind w:left="24" w:hanging="360"/>
      </w:pPr>
    </w:lvl>
    <w:lvl w:ilvl="2" w:tplc="041F001B" w:tentative="1">
      <w:start w:val="1"/>
      <w:numFmt w:val="lowerRoman"/>
      <w:lvlText w:val="%3."/>
      <w:lvlJc w:val="right"/>
      <w:pPr>
        <w:ind w:left="744" w:hanging="180"/>
      </w:pPr>
    </w:lvl>
    <w:lvl w:ilvl="3" w:tplc="041F000F" w:tentative="1">
      <w:start w:val="1"/>
      <w:numFmt w:val="decimal"/>
      <w:lvlText w:val="%4."/>
      <w:lvlJc w:val="left"/>
      <w:pPr>
        <w:ind w:left="1464" w:hanging="360"/>
      </w:pPr>
    </w:lvl>
    <w:lvl w:ilvl="4" w:tplc="041F0019" w:tentative="1">
      <w:start w:val="1"/>
      <w:numFmt w:val="lowerLetter"/>
      <w:lvlText w:val="%5."/>
      <w:lvlJc w:val="left"/>
      <w:pPr>
        <w:ind w:left="2184" w:hanging="360"/>
      </w:pPr>
    </w:lvl>
    <w:lvl w:ilvl="5" w:tplc="041F001B" w:tentative="1">
      <w:start w:val="1"/>
      <w:numFmt w:val="lowerRoman"/>
      <w:lvlText w:val="%6."/>
      <w:lvlJc w:val="right"/>
      <w:pPr>
        <w:ind w:left="2904" w:hanging="180"/>
      </w:pPr>
    </w:lvl>
    <w:lvl w:ilvl="6" w:tplc="041F000F" w:tentative="1">
      <w:start w:val="1"/>
      <w:numFmt w:val="decimal"/>
      <w:lvlText w:val="%7."/>
      <w:lvlJc w:val="left"/>
      <w:pPr>
        <w:ind w:left="3624" w:hanging="360"/>
      </w:pPr>
    </w:lvl>
    <w:lvl w:ilvl="7" w:tplc="041F0019" w:tentative="1">
      <w:start w:val="1"/>
      <w:numFmt w:val="lowerLetter"/>
      <w:lvlText w:val="%8."/>
      <w:lvlJc w:val="left"/>
      <w:pPr>
        <w:ind w:left="4344" w:hanging="360"/>
      </w:pPr>
    </w:lvl>
    <w:lvl w:ilvl="8" w:tplc="041F001B" w:tentative="1">
      <w:start w:val="1"/>
      <w:numFmt w:val="lowerRoman"/>
      <w:lvlText w:val="%9."/>
      <w:lvlJc w:val="right"/>
      <w:pPr>
        <w:ind w:left="5064" w:hanging="180"/>
      </w:pPr>
    </w:lvl>
  </w:abstractNum>
  <w:abstractNum w:abstractNumId="68" w15:restartNumberingAfterBreak="0">
    <w:nsid w:val="1E8B7EC2"/>
    <w:multiLevelType w:val="hybridMultilevel"/>
    <w:tmpl w:val="6F686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F0D6801"/>
    <w:multiLevelType w:val="hybridMultilevel"/>
    <w:tmpl w:val="54EC51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F220E6C"/>
    <w:multiLevelType w:val="hybridMultilevel"/>
    <w:tmpl w:val="BDFAAC02"/>
    <w:lvl w:ilvl="0" w:tplc="C19AB7FC">
      <w:start w:val="1"/>
      <w:numFmt w:val="lowerLetter"/>
      <w:lvlText w:val="%1)"/>
      <w:lvlJc w:val="left"/>
      <w:pPr>
        <w:ind w:left="720" w:hanging="360"/>
      </w:pPr>
      <w:rPr>
        <w:rFonts w:ascii="Times New Roman" w:eastAsiaTheme="minorHAnsi" w:hAnsi="Times New Roman"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FDB5EBC"/>
    <w:multiLevelType w:val="hybridMultilevel"/>
    <w:tmpl w:val="00EE2024"/>
    <w:lvl w:ilvl="0" w:tplc="7D605646">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0156C19"/>
    <w:multiLevelType w:val="hybridMultilevel"/>
    <w:tmpl w:val="971A60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12824A8"/>
    <w:multiLevelType w:val="multilevel"/>
    <w:tmpl w:val="1212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14D3F8B"/>
    <w:multiLevelType w:val="hybridMultilevel"/>
    <w:tmpl w:val="4120C646"/>
    <w:lvl w:ilvl="0" w:tplc="C19AB7FC">
      <w:start w:val="1"/>
      <w:numFmt w:val="lowerLetter"/>
      <w:lvlText w:val="%1)"/>
      <w:lvlJc w:val="left"/>
      <w:pPr>
        <w:ind w:left="1080" w:hanging="360"/>
      </w:pPr>
      <w:rPr>
        <w:rFonts w:ascii="Times New Roman" w:eastAsiaTheme="minorHAnsi" w:hAnsi="Times New Roman" w:cstheme="minorHAns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5" w15:restartNumberingAfterBreak="0">
    <w:nsid w:val="21660EBA"/>
    <w:multiLevelType w:val="multilevel"/>
    <w:tmpl w:val="3000E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21712A60"/>
    <w:multiLevelType w:val="hybridMultilevel"/>
    <w:tmpl w:val="BEF07C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2012924"/>
    <w:multiLevelType w:val="hybridMultilevel"/>
    <w:tmpl w:val="64C672E2"/>
    <w:lvl w:ilvl="0" w:tplc="05865E42">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8" w15:restartNumberingAfterBreak="0">
    <w:nsid w:val="238A1EBD"/>
    <w:multiLevelType w:val="hybridMultilevel"/>
    <w:tmpl w:val="7DACA712"/>
    <w:lvl w:ilvl="0" w:tplc="0409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23F641EE"/>
    <w:multiLevelType w:val="hybridMultilevel"/>
    <w:tmpl w:val="933E1992"/>
    <w:lvl w:ilvl="0" w:tplc="C19AB7FC">
      <w:start w:val="1"/>
      <w:numFmt w:val="lowerLetter"/>
      <w:lvlText w:val="%1)"/>
      <w:lvlJc w:val="left"/>
      <w:pPr>
        <w:ind w:left="1080" w:hanging="720"/>
      </w:pPr>
      <w:rPr>
        <w:rFonts w:ascii="Times New Roman" w:eastAsiaTheme="minorHAnsi" w:hAnsi="Times New Roman"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24AB5FCB"/>
    <w:multiLevelType w:val="hybridMultilevel"/>
    <w:tmpl w:val="85848D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4F62C07"/>
    <w:multiLevelType w:val="hybridMultilevel"/>
    <w:tmpl w:val="86BEB856"/>
    <w:lvl w:ilvl="0" w:tplc="0409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25C00185"/>
    <w:multiLevelType w:val="multilevel"/>
    <w:tmpl w:val="21784868"/>
    <w:lvl w:ilvl="0">
      <w:start w:val="5"/>
      <w:numFmt w:val="decimal"/>
      <w:lvlText w:val="%1"/>
      <w:lvlJc w:val="left"/>
      <w:pPr>
        <w:ind w:left="1005" w:hanging="853"/>
      </w:pPr>
      <w:rPr>
        <w:rFonts w:hint="default"/>
      </w:rPr>
    </w:lvl>
    <w:lvl w:ilvl="1">
      <w:start w:val="1"/>
      <w:numFmt w:val="decimal"/>
      <w:lvlText w:val="%1.%2"/>
      <w:lvlJc w:val="left"/>
      <w:pPr>
        <w:ind w:left="1005" w:hanging="853"/>
        <w:jc w:val="right"/>
      </w:pPr>
      <w:rPr>
        <w:rFonts w:ascii="Arial" w:eastAsia="Arial" w:hAnsi="Arial" w:hint="default"/>
        <w:b/>
        <w:bCs/>
        <w:sz w:val="28"/>
        <w:szCs w:val="28"/>
      </w:rPr>
    </w:lvl>
    <w:lvl w:ilvl="2">
      <w:start w:val="1"/>
      <w:numFmt w:val="lowerRoman"/>
      <w:lvlText w:val="%3."/>
      <w:lvlJc w:val="right"/>
      <w:pPr>
        <w:ind w:left="2340" w:hanging="360"/>
      </w:pPr>
    </w:lvl>
    <w:lvl w:ilvl="3">
      <w:start w:val="1"/>
      <w:numFmt w:val="bullet"/>
      <w:lvlText w:val="•"/>
      <w:lvlJc w:val="left"/>
      <w:pPr>
        <w:ind w:left="2007" w:hanging="536"/>
      </w:pPr>
      <w:rPr>
        <w:rFonts w:hint="default"/>
      </w:rPr>
    </w:lvl>
    <w:lvl w:ilvl="4">
      <w:start w:val="1"/>
      <w:numFmt w:val="bullet"/>
      <w:lvlText w:val="•"/>
      <w:lvlJc w:val="left"/>
      <w:pPr>
        <w:ind w:left="2940" w:hanging="536"/>
      </w:pPr>
      <w:rPr>
        <w:rFonts w:hint="default"/>
      </w:rPr>
    </w:lvl>
    <w:lvl w:ilvl="5">
      <w:start w:val="1"/>
      <w:numFmt w:val="bullet"/>
      <w:lvlText w:val="•"/>
      <w:lvlJc w:val="left"/>
      <w:pPr>
        <w:ind w:left="3874" w:hanging="536"/>
      </w:pPr>
      <w:rPr>
        <w:rFonts w:hint="default"/>
      </w:rPr>
    </w:lvl>
    <w:lvl w:ilvl="6">
      <w:start w:val="1"/>
      <w:numFmt w:val="bullet"/>
      <w:lvlText w:val="•"/>
      <w:lvlJc w:val="left"/>
      <w:pPr>
        <w:ind w:left="4807" w:hanging="536"/>
      </w:pPr>
      <w:rPr>
        <w:rFonts w:hint="default"/>
      </w:rPr>
    </w:lvl>
    <w:lvl w:ilvl="7">
      <w:start w:val="1"/>
      <w:numFmt w:val="bullet"/>
      <w:lvlText w:val="•"/>
      <w:lvlJc w:val="left"/>
      <w:pPr>
        <w:ind w:left="5741" w:hanging="536"/>
      </w:pPr>
      <w:rPr>
        <w:rFonts w:hint="default"/>
      </w:rPr>
    </w:lvl>
    <w:lvl w:ilvl="8">
      <w:start w:val="1"/>
      <w:numFmt w:val="bullet"/>
      <w:lvlText w:val="•"/>
      <w:lvlJc w:val="left"/>
      <w:pPr>
        <w:ind w:left="6674" w:hanging="536"/>
      </w:pPr>
      <w:rPr>
        <w:rFonts w:hint="default"/>
      </w:rPr>
    </w:lvl>
  </w:abstractNum>
  <w:abstractNum w:abstractNumId="83" w15:restartNumberingAfterBreak="0">
    <w:nsid w:val="27BC00F0"/>
    <w:multiLevelType w:val="multilevel"/>
    <w:tmpl w:val="6FD82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28556E9F"/>
    <w:multiLevelType w:val="hybridMultilevel"/>
    <w:tmpl w:val="237EDF6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2A926BDF"/>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AE70C23"/>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2AEA17D1"/>
    <w:multiLevelType w:val="hybridMultilevel"/>
    <w:tmpl w:val="133A0742"/>
    <w:lvl w:ilvl="0" w:tplc="C19AB7FC">
      <w:start w:val="1"/>
      <w:numFmt w:val="lowerLetter"/>
      <w:lvlText w:val="%1)"/>
      <w:lvlJc w:val="left"/>
      <w:pPr>
        <w:ind w:left="720" w:hanging="360"/>
      </w:pPr>
      <w:rPr>
        <w:rFonts w:ascii="Times New Roman" w:eastAsiaTheme="minorHAnsi" w:hAnsi="Times New Roman"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2B405F97"/>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B6D30BA"/>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2B936518"/>
    <w:multiLevelType w:val="multilevel"/>
    <w:tmpl w:val="3C0CE5E8"/>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1" w15:restartNumberingAfterBreak="0">
    <w:nsid w:val="2D710C70"/>
    <w:multiLevelType w:val="hybridMultilevel"/>
    <w:tmpl w:val="5F82894C"/>
    <w:lvl w:ilvl="0" w:tplc="0409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2D9E3DF3"/>
    <w:multiLevelType w:val="hybridMultilevel"/>
    <w:tmpl w:val="A0C8938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2E4E2A14"/>
    <w:multiLevelType w:val="hybridMultilevel"/>
    <w:tmpl w:val="27AA07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2E966D30"/>
    <w:multiLevelType w:val="hybridMultilevel"/>
    <w:tmpl w:val="19182F38"/>
    <w:lvl w:ilvl="0" w:tplc="591C0D8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2FAD45B0"/>
    <w:multiLevelType w:val="hybridMultilevel"/>
    <w:tmpl w:val="3C62E804"/>
    <w:lvl w:ilvl="0" w:tplc="973C81A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0126949"/>
    <w:multiLevelType w:val="multilevel"/>
    <w:tmpl w:val="3C0CE5E8"/>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7" w15:restartNumberingAfterBreak="0">
    <w:nsid w:val="3077050A"/>
    <w:multiLevelType w:val="multilevel"/>
    <w:tmpl w:val="E794D7A4"/>
    <w:styleLink w:val="GeerliListe5"/>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1EF51F1"/>
    <w:multiLevelType w:val="hybridMultilevel"/>
    <w:tmpl w:val="94806D10"/>
    <w:lvl w:ilvl="0" w:tplc="578E56F2">
      <w:start w:val="20"/>
      <w:numFmt w:val="bullet"/>
      <w:pStyle w:val="TextBullet"/>
      <w:lvlText w:val="-"/>
      <w:lvlJc w:val="left"/>
      <w:pPr>
        <w:ind w:left="717"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9" w15:restartNumberingAfterBreak="0">
    <w:nsid w:val="32BB7BD0"/>
    <w:multiLevelType w:val="hybridMultilevel"/>
    <w:tmpl w:val="7BAE496C"/>
    <w:lvl w:ilvl="0" w:tplc="13DAF03A">
      <w:start w:val="1"/>
      <w:numFmt w:val="lowerLetter"/>
      <w:lvlText w:val="%1)"/>
      <w:lvlJc w:val="left"/>
      <w:pPr>
        <w:ind w:left="720" w:hanging="360"/>
      </w:pPr>
      <w:rPr>
        <w:rFonts w:ascii="Times New Roman" w:eastAsiaTheme="minorHAnsi" w:hAnsi="Times New Roman"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3303312A"/>
    <w:multiLevelType w:val="hybridMultilevel"/>
    <w:tmpl w:val="B8C60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3E2161A"/>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34AF583C"/>
    <w:multiLevelType w:val="hybridMultilevel"/>
    <w:tmpl w:val="65863B7A"/>
    <w:lvl w:ilvl="0" w:tplc="A6047498">
      <w:start w:val="7"/>
      <w:numFmt w:val="decimal"/>
      <w:lvlText w:val="%1."/>
      <w:lvlJc w:val="left"/>
      <w:pPr>
        <w:ind w:left="2220" w:hanging="425"/>
        <w:jc w:val="right"/>
      </w:pPr>
      <w:rPr>
        <w:rFonts w:ascii="Times New Roman" w:eastAsia="Times New Roman" w:hAnsi="Times New Roman" w:cs="Times New Roman" w:hint="default"/>
        <w:w w:val="59"/>
        <w:sz w:val="22"/>
        <w:szCs w:val="22"/>
        <w:lang w:val="en-US" w:eastAsia="en-US" w:bidi="ar-SA"/>
      </w:rPr>
    </w:lvl>
    <w:lvl w:ilvl="1" w:tplc="524CA2CA">
      <w:start w:val="1"/>
      <w:numFmt w:val="decimal"/>
      <w:lvlText w:val="%2)"/>
      <w:lvlJc w:val="left"/>
      <w:pPr>
        <w:ind w:left="1660" w:hanging="360"/>
      </w:pPr>
      <w:rPr>
        <w:rFonts w:ascii="Times New Roman" w:eastAsia="Times New Roman" w:hAnsi="Times New Roman" w:cs="Times New Roman" w:hint="default"/>
        <w:w w:val="99"/>
        <w:sz w:val="22"/>
        <w:szCs w:val="22"/>
        <w:lang w:val="en-US" w:eastAsia="en-US" w:bidi="ar-SA"/>
      </w:rPr>
    </w:lvl>
    <w:lvl w:ilvl="2" w:tplc="C19AB7FC">
      <w:start w:val="1"/>
      <w:numFmt w:val="lowerLetter"/>
      <w:lvlText w:val="%3)"/>
      <w:lvlJc w:val="left"/>
      <w:pPr>
        <w:ind w:left="720" w:hanging="360"/>
      </w:pPr>
      <w:rPr>
        <w:rFonts w:ascii="Times New Roman" w:eastAsiaTheme="minorHAnsi" w:hAnsi="Times New Roman" w:cstheme="minorHAnsi"/>
      </w:rPr>
    </w:lvl>
    <w:lvl w:ilvl="3" w:tplc="0FC4128E">
      <w:numFmt w:val="bullet"/>
      <w:lvlText w:val="•"/>
      <w:lvlJc w:val="left"/>
      <w:pPr>
        <w:ind w:left="3980" w:hanging="360"/>
      </w:pPr>
      <w:rPr>
        <w:rFonts w:hint="default"/>
        <w:lang w:val="en-US" w:eastAsia="en-US" w:bidi="ar-SA"/>
      </w:rPr>
    </w:lvl>
    <w:lvl w:ilvl="4" w:tplc="4DC013FE">
      <w:numFmt w:val="bullet"/>
      <w:lvlText w:val="•"/>
      <w:lvlJc w:val="left"/>
      <w:pPr>
        <w:ind w:left="4860" w:hanging="360"/>
      </w:pPr>
      <w:rPr>
        <w:rFonts w:hint="default"/>
        <w:lang w:val="en-US" w:eastAsia="en-US" w:bidi="ar-SA"/>
      </w:rPr>
    </w:lvl>
    <w:lvl w:ilvl="5" w:tplc="3BAA732C">
      <w:numFmt w:val="bullet"/>
      <w:lvlText w:val="•"/>
      <w:lvlJc w:val="left"/>
      <w:pPr>
        <w:ind w:left="5740" w:hanging="360"/>
      </w:pPr>
      <w:rPr>
        <w:rFonts w:hint="default"/>
        <w:lang w:val="en-US" w:eastAsia="en-US" w:bidi="ar-SA"/>
      </w:rPr>
    </w:lvl>
    <w:lvl w:ilvl="6" w:tplc="C4B4AE4C">
      <w:numFmt w:val="bullet"/>
      <w:lvlText w:val="•"/>
      <w:lvlJc w:val="left"/>
      <w:pPr>
        <w:ind w:left="6620" w:hanging="360"/>
      </w:pPr>
      <w:rPr>
        <w:rFonts w:hint="default"/>
        <w:lang w:val="en-US" w:eastAsia="en-US" w:bidi="ar-SA"/>
      </w:rPr>
    </w:lvl>
    <w:lvl w:ilvl="7" w:tplc="41E8D1F8">
      <w:numFmt w:val="bullet"/>
      <w:lvlText w:val="•"/>
      <w:lvlJc w:val="left"/>
      <w:pPr>
        <w:ind w:left="7500" w:hanging="360"/>
      </w:pPr>
      <w:rPr>
        <w:rFonts w:hint="default"/>
        <w:lang w:val="en-US" w:eastAsia="en-US" w:bidi="ar-SA"/>
      </w:rPr>
    </w:lvl>
    <w:lvl w:ilvl="8" w:tplc="CD68AD94">
      <w:numFmt w:val="bullet"/>
      <w:lvlText w:val="•"/>
      <w:lvlJc w:val="left"/>
      <w:pPr>
        <w:ind w:left="8380" w:hanging="360"/>
      </w:pPr>
      <w:rPr>
        <w:rFonts w:hint="default"/>
        <w:lang w:val="en-US" w:eastAsia="en-US" w:bidi="ar-SA"/>
      </w:rPr>
    </w:lvl>
  </w:abstractNum>
  <w:abstractNum w:abstractNumId="103" w15:restartNumberingAfterBreak="0">
    <w:nsid w:val="34FF5E7D"/>
    <w:multiLevelType w:val="hybridMultilevel"/>
    <w:tmpl w:val="64C672E2"/>
    <w:lvl w:ilvl="0" w:tplc="05865E42">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4" w15:restartNumberingAfterBreak="0">
    <w:nsid w:val="356E0B8B"/>
    <w:multiLevelType w:val="hybridMultilevel"/>
    <w:tmpl w:val="97F081AE"/>
    <w:lvl w:ilvl="0" w:tplc="C19AB7FC">
      <w:start w:val="1"/>
      <w:numFmt w:val="lowerLetter"/>
      <w:lvlText w:val="%1)"/>
      <w:lvlJc w:val="left"/>
      <w:pPr>
        <w:ind w:left="720" w:hanging="360"/>
      </w:pPr>
      <w:rPr>
        <w:rFonts w:ascii="Times New Roman" w:eastAsiaTheme="minorHAnsi" w:hAnsi="Times New Roman"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6075CEF"/>
    <w:multiLevelType w:val="hybridMultilevel"/>
    <w:tmpl w:val="243EC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7C37D45"/>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39441733"/>
    <w:multiLevelType w:val="hybridMultilevel"/>
    <w:tmpl w:val="26FCFB4E"/>
    <w:lvl w:ilvl="0" w:tplc="CEE6F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8" w15:restartNumberingAfterBreak="0">
    <w:nsid w:val="398B4D20"/>
    <w:multiLevelType w:val="hybridMultilevel"/>
    <w:tmpl w:val="64C672E2"/>
    <w:lvl w:ilvl="0" w:tplc="05865E42">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9" w15:restartNumberingAfterBreak="0">
    <w:nsid w:val="3A14503B"/>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3AC43800"/>
    <w:multiLevelType w:val="multilevel"/>
    <w:tmpl w:val="3F1456D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1" w15:restartNumberingAfterBreak="0">
    <w:nsid w:val="3AEE7A26"/>
    <w:multiLevelType w:val="hybridMultilevel"/>
    <w:tmpl w:val="4386B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C373C6B"/>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3" w15:restartNumberingAfterBreak="0">
    <w:nsid w:val="3CA13B0F"/>
    <w:multiLevelType w:val="hybridMultilevel"/>
    <w:tmpl w:val="9B3254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4" w15:restartNumberingAfterBreak="0">
    <w:nsid w:val="3D7D34CB"/>
    <w:multiLevelType w:val="hybridMultilevel"/>
    <w:tmpl w:val="AC84C8AE"/>
    <w:lvl w:ilvl="0" w:tplc="9D5ED11C">
      <w:start w:val="1"/>
      <w:numFmt w:val="lowerLetter"/>
      <w:lvlText w:val="(%1)"/>
      <w:lvlJc w:val="left"/>
      <w:pPr>
        <w:ind w:left="720" w:hanging="360"/>
      </w:pPr>
      <w:rPr>
        <w:rFonts w:hint="default"/>
      </w:rPr>
    </w:lvl>
    <w:lvl w:ilvl="1" w:tplc="041F001B">
      <w:start w:val="1"/>
      <w:numFmt w:val="lowerRoman"/>
      <w:lvlText w:val="%2."/>
      <w:lvlJc w:val="right"/>
      <w:pPr>
        <w:ind w:left="23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E075066"/>
    <w:multiLevelType w:val="hybridMultilevel"/>
    <w:tmpl w:val="A2D8DD1C"/>
    <w:lvl w:ilvl="0" w:tplc="C19AB7FC">
      <w:start w:val="1"/>
      <w:numFmt w:val="lowerLetter"/>
      <w:lvlText w:val="%1)"/>
      <w:lvlJc w:val="left"/>
      <w:pPr>
        <w:ind w:left="720" w:hanging="360"/>
      </w:pPr>
      <w:rPr>
        <w:rFonts w:ascii="Times New Roman" w:eastAsiaTheme="minorHAnsi" w:hAnsi="Times New Roman" w:cstheme="minorHAnsi"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6" w15:restartNumberingAfterBreak="0">
    <w:nsid w:val="407053C9"/>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0C57B0F"/>
    <w:multiLevelType w:val="hybridMultilevel"/>
    <w:tmpl w:val="AC60852A"/>
    <w:lvl w:ilvl="0" w:tplc="041F001B">
      <w:start w:val="1"/>
      <w:numFmt w:val="lowerRoman"/>
      <w:lvlText w:val="%1."/>
      <w:lvlJc w:val="right"/>
      <w:pPr>
        <w:ind w:left="2340"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18" w15:restartNumberingAfterBreak="0">
    <w:nsid w:val="42322C1F"/>
    <w:multiLevelType w:val="hybridMultilevel"/>
    <w:tmpl w:val="C86C8024"/>
    <w:lvl w:ilvl="0" w:tplc="8B7EE086">
      <w:start w:val="1"/>
      <w:numFmt w:val="decimal"/>
      <w:lvlText w:val="(%1)"/>
      <w:lvlJc w:val="left"/>
      <w:pPr>
        <w:ind w:left="345" w:hanging="238"/>
      </w:pPr>
      <w:rPr>
        <w:rFonts w:ascii="Times New Roman" w:eastAsia="Times New Roman" w:hAnsi="Times New Roman" w:cs="Times New Roman" w:hint="default"/>
        <w:w w:val="99"/>
        <w:sz w:val="18"/>
        <w:szCs w:val="18"/>
        <w:lang w:val="en-US" w:eastAsia="en-US" w:bidi="ar-SA"/>
      </w:rPr>
    </w:lvl>
    <w:lvl w:ilvl="1" w:tplc="217C1D48">
      <w:numFmt w:val="bullet"/>
      <w:lvlText w:val="•"/>
      <w:lvlJc w:val="left"/>
      <w:pPr>
        <w:ind w:left="1177" w:hanging="238"/>
      </w:pPr>
      <w:rPr>
        <w:rFonts w:hint="default"/>
        <w:lang w:val="en-US" w:eastAsia="en-US" w:bidi="ar-SA"/>
      </w:rPr>
    </w:lvl>
    <w:lvl w:ilvl="2" w:tplc="96B2A502">
      <w:numFmt w:val="bullet"/>
      <w:lvlText w:val="•"/>
      <w:lvlJc w:val="left"/>
      <w:pPr>
        <w:ind w:left="2014" w:hanging="238"/>
      </w:pPr>
      <w:rPr>
        <w:rFonts w:hint="default"/>
        <w:lang w:val="en-US" w:eastAsia="en-US" w:bidi="ar-SA"/>
      </w:rPr>
    </w:lvl>
    <w:lvl w:ilvl="3" w:tplc="ACA6F37C">
      <w:numFmt w:val="bullet"/>
      <w:lvlText w:val="•"/>
      <w:lvlJc w:val="left"/>
      <w:pPr>
        <w:ind w:left="2851" w:hanging="238"/>
      </w:pPr>
      <w:rPr>
        <w:rFonts w:hint="default"/>
        <w:lang w:val="en-US" w:eastAsia="en-US" w:bidi="ar-SA"/>
      </w:rPr>
    </w:lvl>
    <w:lvl w:ilvl="4" w:tplc="7CC89A5C">
      <w:numFmt w:val="bullet"/>
      <w:lvlText w:val="•"/>
      <w:lvlJc w:val="left"/>
      <w:pPr>
        <w:ind w:left="3688" w:hanging="238"/>
      </w:pPr>
      <w:rPr>
        <w:rFonts w:hint="default"/>
        <w:lang w:val="en-US" w:eastAsia="en-US" w:bidi="ar-SA"/>
      </w:rPr>
    </w:lvl>
    <w:lvl w:ilvl="5" w:tplc="4FAA887A">
      <w:numFmt w:val="bullet"/>
      <w:lvlText w:val="•"/>
      <w:lvlJc w:val="left"/>
      <w:pPr>
        <w:ind w:left="4526" w:hanging="238"/>
      </w:pPr>
      <w:rPr>
        <w:rFonts w:hint="default"/>
        <w:lang w:val="en-US" w:eastAsia="en-US" w:bidi="ar-SA"/>
      </w:rPr>
    </w:lvl>
    <w:lvl w:ilvl="6" w:tplc="3E7ED4A8">
      <w:numFmt w:val="bullet"/>
      <w:lvlText w:val="•"/>
      <w:lvlJc w:val="left"/>
      <w:pPr>
        <w:ind w:left="5363" w:hanging="238"/>
      </w:pPr>
      <w:rPr>
        <w:rFonts w:hint="default"/>
        <w:lang w:val="en-US" w:eastAsia="en-US" w:bidi="ar-SA"/>
      </w:rPr>
    </w:lvl>
    <w:lvl w:ilvl="7" w:tplc="E2A8FC16">
      <w:numFmt w:val="bullet"/>
      <w:lvlText w:val="•"/>
      <w:lvlJc w:val="left"/>
      <w:pPr>
        <w:ind w:left="6200" w:hanging="238"/>
      </w:pPr>
      <w:rPr>
        <w:rFonts w:hint="default"/>
        <w:lang w:val="en-US" w:eastAsia="en-US" w:bidi="ar-SA"/>
      </w:rPr>
    </w:lvl>
    <w:lvl w:ilvl="8" w:tplc="67DA6C86">
      <w:numFmt w:val="bullet"/>
      <w:lvlText w:val="•"/>
      <w:lvlJc w:val="left"/>
      <w:pPr>
        <w:ind w:left="7037" w:hanging="238"/>
      </w:pPr>
      <w:rPr>
        <w:rFonts w:hint="default"/>
        <w:lang w:val="en-US" w:eastAsia="en-US" w:bidi="ar-SA"/>
      </w:rPr>
    </w:lvl>
  </w:abstractNum>
  <w:abstractNum w:abstractNumId="119" w15:restartNumberingAfterBreak="0">
    <w:nsid w:val="42D52A79"/>
    <w:multiLevelType w:val="hybridMultilevel"/>
    <w:tmpl w:val="2BF00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31B249F"/>
    <w:multiLevelType w:val="hybridMultilevel"/>
    <w:tmpl w:val="44BC3E08"/>
    <w:lvl w:ilvl="0" w:tplc="E0B03A0C">
      <w:start w:val="1"/>
      <mc:AlternateContent>
        <mc:Choice Requires="w14">
          <w:numFmt w:val="custom" w:format="a, ç, ĝ, ..."/>
        </mc:Choice>
        <mc:Fallback>
          <w:numFmt w:val="decimal"/>
        </mc:Fallback>
      </mc:AlternateContent>
      <w:lvlText w:val="%1)"/>
      <w:lvlJc w:val="left"/>
      <w:pPr>
        <w:ind w:left="1154" w:hanging="586"/>
      </w:pPr>
      <w:rPr>
        <w:rFonts w:hint="default"/>
        <w:sz w:val="22"/>
        <w:szCs w:val="22"/>
      </w:rPr>
    </w:lvl>
    <w:lvl w:ilvl="1" w:tplc="D89432A2">
      <w:start w:val="1"/>
      <w:numFmt w:val="bullet"/>
      <w:lvlText w:val="•"/>
      <w:lvlJc w:val="left"/>
      <w:pPr>
        <w:ind w:left="1963" w:hanging="586"/>
      </w:pPr>
      <w:rPr>
        <w:rFonts w:hint="default"/>
      </w:rPr>
    </w:lvl>
    <w:lvl w:ilvl="2" w:tplc="DCEA7F74">
      <w:start w:val="1"/>
      <w:numFmt w:val="bullet"/>
      <w:lvlText w:val="•"/>
      <w:lvlJc w:val="left"/>
      <w:pPr>
        <w:ind w:left="2773" w:hanging="586"/>
      </w:pPr>
      <w:rPr>
        <w:rFonts w:hint="default"/>
      </w:rPr>
    </w:lvl>
    <w:lvl w:ilvl="3" w:tplc="2A288EF6">
      <w:start w:val="1"/>
      <w:numFmt w:val="bullet"/>
      <w:lvlText w:val="•"/>
      <w:lvlJc w:val="left"/>
      <w:pPr>
        <w:ind w:left="3582" w:hanging="586"/>
      </w:pPr>
      <w:rPr>
        <w:rFonts w:hint="default"/>
      </w:rPr>
    </w:lvl>
    <w:lvl w:ilvl="4" w:tplc="D8442696">
      <w:start w:val="1"/>
      <w:numFmt w:val="bullet"/>
      <w:lvlText w:val="•"/>
      <w:lvlJc w:val="left"/>
      <w:pPr>
        <w:ind w:left="4391" w:hanging="586"/>
      </w:pPr>
      <w:rPr>
        <w:rFonts w:hint="default"/>
      </w:rPr>
    </w:lvl>
    <w:lvl w:ilvl="5" w:tplc="A7B8C9B0">
      <w:start w:val="1"/>
      <w:numFmt w:val="bullet"/>
      <w:lvlText w:val="•"/>
      <w:lvlJc w:val="left"/>
      <w:pPr>
        <w:ind w:left="5200" w:hanging="586"/>
      </w:pPr>
      <w:rPr>
        <w:rFonts w:hint="default"/>
      </w:rPr>
    </w:lvl>
    <w:lvl w:ilvl="6" w:tplc="EB2CAAA2">
      <w:start w:val="1"/>
      <w:numFmt w:val="bullet"/>
      <w:lvlText w:val="•"/>
      <w:lvlJc w:val="left"/>
      <w:pPr>
        <w:ind w:left="6009" w:hanging="586"/>
      </w:pPr>
      <w:rPr>
        <w:rFonts w:hint="default"/>
      </w:rPr>
    </w:lvl>
    <w:lvl w:ilvl="7" w:tplc="8C041F5C">
      <w:start w:val="1"/>
      <w:numFmt w:val="bullet"/>
      <w:lvlText w:val="•"/>
      <w:lvlJc w:val="left"/>
      <w:pPr>
        <w:ind w:left="6818" w:hanging="586"/>
      </w:pPr>
      <w:rPr>
        <w:rFonts w:hint="default"/>
      </w:rPr>
    </w:lvl>
    <w:lvl w:ilvl="8" w:tplc="58C4CB5A">
      <w:start w:val="1"/>
      <w:numFmt w:val="bullet"/>
      <w:lvlText w:val="•"/>
      <w:lvlJc w:val="left"/>
      <w:pPr>
        <w:ind w:left="7628" w:hanging="586"/>
      </w:pPr>
      <w:rPr>
        <w:rFonts w:hint="default"/>
      </w:rPr>
    </w:lvl>
  </w:abstractNum>
  <w:abstractNum w:abstractNumId="121" w15:restartNumberingAfterBreak="0">
    <w:nsid w:val="43280615"/>
    <w:multiLevelType w:val="multilevel"/>
    <w:tmpl w:val="582891F8"/>
    <w:styleLink w:val="GeerliListe9"/>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32F3091"/>
    <w:multiLevelType w:val="multilevel"/>
    <w:tmpl w:val="45448E82"/>
    <w:styleLink w:val="GeerliListe1"/>
    <w:lvl w:ilvl="0">
      <w:numFmt w:val="bullet"/>
      <w:lvlText w:val="•"/>
      <w:lvlJc w:val="left"/>
      <w:pPr>
        <w:ind w:left="720" w:hanging="360"/>
      </w:pPr>
      <w:rPr>
        <w:rFonts w:ascii="Times New Roman" w:eastAsia="Georgia" w:hAnsi="Times New Roman" w:cs="Times New Roman" w:hint="default"/>
      </w:rPr>
    </w:lvl>
    <w:lvl w:ilvl="1">
      <w:start w:val="1"/>
      <w:numFmt w:val="upperRoman"/>
      <w:lvlText w:val="%2."/>
      <w:lvlJc w:val="righ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391529D"/>
    <w:multiLevelType w:val="hybridMultilevel"/>
    <w:tmpl w:val="2D1299D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4" w15:restartNumberingAfterBreak="0">
    <w:nsid w:val="43CB11FD"/>
    <w:multiLevelType w:val="hybridMultilevel"/>
    <w:tmpl w:val="9DC633B6"/>
    <w:lvl w:ilvl="0" w:tplc="0409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5" w15:restartNumberingAfterBreak="0">
    <w:nsid w:val="4473208C"/>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4A35257"/>
    <w:multiLevelType w:val="hybridMultilevel"/>
    <w:tmpl w:val="29FACE6C"/>
    <w:lvl w:ilvl="0" w:tplc="963A9BAC">
      <w:start w:val="1"/>
      <w:numFmt w:val="decimal"/>
      <w:lvlText w:val="(%1)"/>
      <w:lvlJc w:val="left"/>
      <w:pPr>
        <w:ind w:left="333" w:hanging="226"/>
      </w:pPr>
      <w:rPr>
        <w:rFonts w:ascii="Times New Roman" w:eastAsia="Times New Roman" w:hAnsi="Times New Roman" w:cs="Times New Roman" w:hint="default"/>
        <w:spacing w:val="-4"/>
        <w:w w:val="99"/>
        <w:sz w:val="18"/>
        <w:szCs w:val="18"/>
        <w:lang w:val="en-US" w:eastAsia="en-US" w:bidi="ar-SA"/>
      </w:rPr>
    </w:lvl>
    <w:lvl w:ilvl="1" w:tplc="9AC636DA">
      <w:numFmt w:val="bullet"/>
      <w:lvlText w:val="•"/>
      <w:lvlJc w:val="left"/>
      <w:pPr>
        <w:ind w:left="1177" w:hanging="226"/>
      </w:pPr>
      <w:rPr>
        <w:rFonts w:hint="default"/>
        <w:lang w:val="en-US" w:eastAsia="en-US" w:bidi="ar-SA"/>
      </w:rPr>
    </w:lvl>
    <w:lvl w:ilvl="2" w:tplc="9854392A">
      <w:numFmt w:val="bullet"/>
      <w:lvlText w:val="•"/>
      <w:lvlJc w:val="left"/>
      <w:pPr>
        <w:ind w:left="2014" w:hanging="226"/>
      </w:pPr>
      <w:rPr>
        <w:rFonts w:hint="default"/>
        <w:lang w:val="en-US" w:eastAsia="en-US" w:bidi="ar-SA"/>
      </w:rPr>
    </w:lvl>
    <w:lvl w:ilvl="3" w:tplc="6D583EDA">
      <w:numFmt w:val="bullet"/>
      <w:lvlText w:val="•"/>
      <w:lvlJc w:val="left"/>
      <w:pPr>
        <w:ind w:left="2851" w:hanging="226"/>
      </w:pPr>
      <w:rPr>
        <w:rFonts w:hint="default"/>
        <w:lang w:val="en-US" w:eastAsia="en-US" w:bidi="ar-SA"/>
      </w:rPr>
    </w:lvl>
    <w:lvl w:ilvl="4" w:tplc="A0AC9336">
      <w:numFmt w:val="bullet"/>
      <w:lvlText w:val="•"/>
      <w:lvlJc w:val="left"/>
      <w:pPr>
        <w:ind w:left="3688" w:hanging="226"/>
      </w:pPr>
      <w:rPr>
        <w:rFonts w:hint="default"/>
        <w:lang w:val="en-US" w:eastAsia="en-US" w:bidi="ar-SA"/>
      </w:rPr>
    </w:lvl>
    <w:lvl w:ilvl="5" w:tplc="09DA347A">
      <w:numFmt w:val="bullet"/>
      <w:lvlText w:val="•"/>
      <w:lvlJc w:val="left"/>
      <w:pPr>
        <w:ind w:left="4526" w:hanging="226"/>
      </w:pPr>
      <w:rPr>
        <w:rFonts w:hint="default"/>
        <w:lang w:val="en-US" w:eastAsia="en-US" w:bidi="ar-SA"/>
      </w:rPr>
    </w:lvl>
    <w:lvl w:ilvl="6" w:tplc="9BCA352E">
      <w:numFmt w:val="bullet"/>
      <w:lvlText w:val="•"/>
      <w:lvlJc w:val="left"/>
      <w:pPr>
        <w:ind w:left="5363" w:hanging="226"/>
      </w:pPr>
      <w:rPr>
        <w:rFonts w:hint="default"/>
        <w:lang w:val="en-US" w:eastAsia="en-US" w:bidi="ar-SA"/>
      </w:rPr>
    </w:lvl>
    <w:lvl w:ilvl="7" w:tplc="8A266250">
      <w:numFmt w:val="bullet"/>
      <w:lvlText w:val="•"/>
      <w:lvlJc w:val="left"/>
      <w:pPr>
        <w:ind w:left="6200" w:hanging="226"/>
      </w:pPr>
      <w:rPr>
        <w:rFonts w:hint="default"/>
        <w:lang w:val="en-US" w:eastAsia="en-US" w:bidi="ar-SA"/>
      </w:rPr>
    </w:lvl>
    <w:lvl w:ilvl="8" w:tplc="0FF81FAE">
      <w:numFmt w:val="bullet"/>
      <w:lvlText w:val="•"/>
      <w:lvlJc w:val="left"/>
      <w:pPr>
        <w:ind w:left="7037" w:hanging="226"/>
      </w:pPr>
      <w:rPr>
        <w:rFonts w:hint="default"/>
        <w:lang w:val="en-US" w:eastAsia="en-US" w:bidi="ar-SA"/>
      </w:rPr>
    </w:lvl>
  </w:abstractNum>
  <w:abstractNum w:abstractNumId="127" w15:restartNumberingAfterBreak="0">
    <w:nsid w:val="44E241F1"/>
    <w:multiLevelType w:val="hybridMultilevel"/>
    <w:tmpl w:val="FAF2D6D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8" w15:restartNumberingAfterBreak="0">
    <w:nsid w:val="44FB0CD9"/>
    <w:multiLevelType w:val="hybridMultilevel"/>
    <w:tmpl w:val="859C3C94"/>
    <w:lvl w:ilvl="0" w:tplc="C19AB7FC">
      <w:start w:val="1"/>
      <w:numFmt w:val="lowerLetter"/>
      <w:lvlText w:val="%1)"/>
      <w:lvlJc w:val="left"/>
      <w:pPr>
        <w:ind w:left="720" w:hanging="360"/>
      </w:pPr>
      <w:rPr>
        <w:rFonts w:ascii="Times New Roman" w:eastAsiaTheme="minorHAnsi" w:hAnsi="Times New Roman"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462F3E50"/>
    <w:multiLevelType w:val="hybridMultilevel"/>
    <w:tmpl w:val="6BA06FD2"/>
    <w:lvl w:ilvl="0" w:tplc="0409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0" w15:restartNumberingAfterBreak="0">
    <w:nsid w:val="46492356"/>
    <w:multiLevelType w:val="hybridMultilevel"/>
    <w:tmpl w:val="F778584E"/>
    <w:lvl w:ilvl="0" w:tplc="1A6E2FE2">
      <w:start w:val="1"/>
      <w:numFmt w:val="lowerLetter"/>
      <w:lvlText w:val="%1)"/>
      <w:lvlJc w:val="left"/>
      <w:pPr>
        <w:ind w:left="720" w:hanging="360"/>
      </w:pPr>
      <w:rPr>
        <w:rFonts w:ascii="Times New Roman" w:eastAsiaTheme="minorHAnsi" w:hAnsi="Times New Roman"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1" w15:restartNumberingAfterBreak="0">
    <w:nsid w:val="469804EF"/>
    <w:multiLevelType w:val="multilevel"/>
    <w:tmpl w:val="28025EE2"/>
    <w:styleLink w:val="GeerliListe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8022660"/>
    <w:multiLevelType w:val="hybridMultilevel"/>
    <w:tmpl w:val="D2441D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3" w15:restartNumberingAfterBreak="0">
    <w:nsid w:val="48290437"/>
    <w:multiLevelType w:val="hybridMultilevel"/>
    <w:tmpl w:val="C088CA40"/>
    <w:lvl w:ilvl="0" w:tplc="A6F0B33E">
      <w:start w:val="1"/>
      <w:numFmt w:val="lowerLetter"/>
      <w:lvlText w:val="%1)"/>
      <w:lvlJc w:val="left"/>
      <w:pPr>
        <w:ind w:left="720" w:hanging="360"/>
      </w:pPr>
      <w:rPr>
        <w:rFonts w:ascii="Times New Roman" w:eastAsiaTheme="minorHAnsi" w:hAnsi="Times New Roman"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4" w15:restartNumberingAfterBreak="0">
    <w:nsid w:val="495E7283"/>
    <w:multiLevelType w:val="hybridMultilevel"/>
    <w:tmpl w:val="20000998"/>
    <w:lvl w:ilvl="0" w:tplc="C19AB7FC">
      <w:start w:val="1"/>
      <w:numFmt w:val="lowerLetter"/>
      <w:lvlText w:val="%1)"/>
      <w:lvlJc w:val="left"/>
      <w:pPr>
        <w:ind w:left="720" w:hanging="360"/>
      </w:pPr>
      <w:rPr>
        <w:rFonts w:ascii="Times New Roman" w:eastAsiaTheme="minorHAnsi" w:hAnsi="Times New Roman"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D50B2"/>
    <w:multiLevelType w:val="hybridMultilevel"/>
    <w:tmpl w:val="EDE62F0A"/>
    <w:lvl w:ilvl="0" w:tplc="C19AB7FC">
      <w:start w:val="1"/>
      <w:numFmt w:val="lowerLetter"/>
      <w:lvlText w:val="%1)"/>
      <w:lvlJc w:val="left"/>
      <w:pPr>
        <w:ind w:left="720" w:hanging="360"/>
      </w:pPr>
      <w:rPr>
        <w:rFonts w:ascii="Times New Roman" w:eastAsiaTheme="minorHAnsi" w:hAnsi="Times New Roman"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6" w15:restartNumberingAfterBreak="0">
    <w:nsid w:val="4B314AD7"/>
    <w:multiLevelType w:val="hybridMultilevel"/>
    <w:tmpl w:val="D2EAE304"/>
    <w:lvl w:ilvl="0" w:tplc="96A4A5C2">
      <w:start w:val="1"/>
      <w:numFmt w:val="decimal"/>
      <w:lvlText w:val="(%1)"/>
      <w:lvlJc w:val="left"/>
      <w:pPr>
        <w:ind w:left="333" w:hanging="226"/>
      </w:pPr>
      <w:rPr>
        <w:rFonts w:ascii="Times New Roman" w:eastAsia="Times New Roman" w:hAnsi="Times New Roman" w:cs="Times New Roman" w:hint="default"/>
        <w:spacing w:val="-4"/>
        <w:w w:val="99"/>
        <w:sz w:val="18"/>
        <w:szCs w:val="18"/>
        <w:lang w:val="en-US" w:eastAsia="en-US" w:bidi="ar-SA"/>
      </w:rPr>
    </w:lvl>
    <w:lvl w:ilvl="1" w:tplc="6EC8499C">
      <w:numFmt w:val="bullet"/>
      <w:lvlText w:val="•"/>
      <w:lvlJc w:val="left"/>
      <w:pPr>
        <w:ind w:left="1176" w:hanging="226"/>
      </w:pPr>
      <w:rPr>
        <w:rFonts w:hint="default"/>
        <w:lang w:val="en-US" w:eastAsia="en-US" w:bidi="ar-SA"/>
      </w:rPr>
    </w:lvl>
    <w:lvl w:ilvl="2" w:tplc="5F56DB7A">
      <w:numFmt w:val="bullet"/>
      <w:lvlText w:val="•"/>
      <w:lvlJc w:val="left"/>
      <w:pPr>
        <w:ind w:left="2012" w:hanging="226"/>
      </w:pPr>
      <w:rPr>
        <w:rFonts w:hint="default"/>
        <w:lang w:val="en-US" w:eastAsia="en-US" w:bidi="ar-SA"/>
      </w:rPr>
    </w:lvl>
    <w:lvl w:ilvl="3" w:tplc="8CC60934">
      <w:numFmt w:val="bullet"/>
      <w:lvlText w:val="•"/>
      <w:lvlJc w:val="left"/>
      <w:pPr>
        <w:ind w:left="2848" w:hanging="226"/>
      </w:pPr>
      <w:rPr>
        <w:rFonts w:hint="default"/>
        <w:lang w:val="en-US" w:eastAsia="en-US" w:bidi="ar-SA"/>
      </w:rPr>
    </w:lvl>
    <w:lvl w:ilvl="4" w:tplc="4D7E30E0">
      <w:numFmt w:val="bullet"/>
      <w:lvlText w:val="•"/>
      <w:lvlJc w:val="left"/>
      <w:pPr>
        <w:ind w:left="3684" w:hanging="226"/>
      </w:pPr>
      <w:rPr>
        <w:rFonts w:hint="default"/>
        <w:lang w:val="en-US" w:eastAsia="en-US" w:bidi="ar-SA"/>
      </w:rPr>
    </w:lvl>
    <w:lvl w:ilvl="5" w:tplc="88FA7CB0">
      <w:numFmt w:val="bullet"/>
      <w:lvlText w:val="•"/>
      <w:lvlJc w:val="left"/>
      <w:pPr>
        <w:ind w:left="4520" w:hanging="226"/>
      </w:pPr>
      <w:rPr>
        <w:rFonts w:hint="default"/>
        <w:lang w:val="en-US" w:eastAsia="en-US" w:bidi="ar-SA"/>
      </w:rPr>
    </w:lvl>
    <w:lvl w:ilvl="6" w:tplc="CDCC8AC0">
      <w:numFmt w:val="bullet"/>
      <w:lvlText w:val="•"/>
      <w:lvlJc w:val="left"/>
      <w:pPr>
        <w:ind w:left="5356" w:hanging="226"/>
      </w:pPr>
      <w:rPr>
        <w:rFonts w:hint="default"/>
        <w:lang w:val="en-US" w:eastAsia="en-US" w:bidi="ar-SA"/>
      </w:rPr>
    </w:lvl>
    <w:lvl w:ilvl="7" w:tplc="8054B474">
      <w:numFmt w:val="bullet"/>
      <w:lvlText w:val="•"/>
      <w:lvlJc w:val="left"/>
      <w:pPr>
        <w:ind w:left="6192" w:hanging="226"/>
      </w:pPr>
      <w:rPr>
        <w:rFonts w:hint="default"/>
        <w:lang w:val="en-US" w:eastAsia="en-US" w:bidi="ar-SA"/>
      </w:rPr>
    </w:lvl>
    <w:lvl w:ilvl="8" w:tplc="6DDAE21E">
      <w:numFmt w:val="bullet"/>
      <w:lvlText w:val="•"/>
      <w:lvlJc w:val="left"/>
      <w:pPr>
        <w:ind w:left="7028" w:hanging="226"/>
      </w:pPr>
      <w:rPr>
        <w:rFonts w:hint="default"/>
        <w:lang w:val="en-US" w:eastAsia="en-US" w:bidi="ar-SA"/>
      </w:rPr>
    </w:lvl>
  </w:abstractNum>
  <w:abstractNum w:abstractNumId="137" w15:restartNumberingAfterBreak="0">
    <w:nsid w:val="4C5F236B"/>
    <w:multiLevelType w:val="multilevel"/>
    <w:tmpl w:val="DA929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4EE319A8"/>
    <w:multiLevelType w:val="hybridMultilevel"/>
    <w:tmpl w:val="27569278"/>
    <w:lvl w:ilvl="0" w:tplc="C19AB7FC">
      <w:start w:val="1"/>
      <w:numFmt w:val="lowerLetter"/>
      <w:lvlText w:val="%1)"/>
      <w:lvlJc w:val="left"/>
      <w:pPr>
        <w:ind w:left="720" w:hanging="360"/>
      </w:pPr>
      <w:rPr>
        <w:rFonts w:ascii="Times New Roman" w:eastAsiaTheme="minorHAnsi" w:hAnsi="Times New Roman"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04D7090"/>
    <w:multiLevelType w:val="hybridMultilevel"/>
    <w:tmpl w:val="0A1E64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0" w15:restartNumberingAfterBreak="0">
    <w:nsid w:val="50E06C4C"/>
    <w:multiLevelType w:val="hybridMultilevel"/>
    <w:tmpl w:val="61EC31F8"/>
    <w:lvl w:ilvl="0" w:tplc="041F001B">
      <w:start w:val="1"/>
      <w:numFmt w:val="lowerRoman"/>
      <w:lvlText w:val="%1."/>
      <w:lvlJc w:val="right"/>
      <w:pPr>
        <w:ind w:left="2340"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41" w15:restartNumberingAfterBreak="0">
    <w:nsid w:val="51707891"/>
    <w:multiLevelType w:val="hybridMultilevel"/>
    <w:tmpl w:val="67CC9EB0"/>
    <w:lvl w:ilvl="0" w:tplc="E9948EAA">
      <w:start w:val="1"/>
      <w:numFmt w:val="lowerRoman"/>
      <w:lvlText w:val="%1."/>
      <w:lvlJc w:val="left"/>
      <w:pPr>
        <w:ind w:left="1080" w:hanging="720"/>
      </w:pPr>
      <w:rPr>
        <w:rFonts w:hint="default"/>
      </w:rPr>
    </w:lvl>
    <w:lvl w:ilvl="1" w:tplc="645CA01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2" w15:restartNumberingAfterBreak="0">
    <w:nsid w:val="51FD2229"/>
    <w:multiLevelType w:val="hybridMultilevel"/>
    <w:tmpl w:val="000E698E"/>
    <w:lvl w:ilvl="0" w:tplc="041F001B">
      <w:start w:val="1"/>
      <w:numFmt w:val="lowerRoman"/>
      <w:lvlText w:val="%1."/>
      <w:lvlJc w:val="right"/>
      <w:pPr>
        <w:ind w:left="2340"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43" w15:restartNumberingAfterBreak="0">
    <w:nsid w:val="52530D20"/>
    <w:multiLevelType w:val="hybridMultilevel"/>
    <w:tmpl w:val="81CCE9CC"/>
    <w:lvl w:ilvl="0" w:tplc="F1E8D352">
      <w:numFmt w:val="bullet"/>
      <w:lvlText w:val="-"/>
      <w:lvlJc w:val="left"/>
      <w:pPr>
        <w:ind w:left="223" w:hanging="116"/>
      </w:pPr>
      <w:rPr>
        <w:rFonts w:ascii="Times New Roman" w:eastAsia="Times New Roman" w:hAnsi="Times New Roman" w:cs="Times New Roman" w:hint="default"/>
        <w:w w:val="99"/>
        <w:sz w:val="20"/>
        <w:szCs w:val="20"/>
        <w:lang w:val="en-US" w:eastAsia="en-US" w:bidi="ar-SA"/>
      </w:rPr>
    </w:lvl>
    <w:lvl w:ilvl="1" w:tplc="69F8CC82">
      <w:numFmt w:val="bullet"/>
      <w:lvlText w:val="•"/>
      <w:lvlJc w:val="left"/>
      <w:pPr>
        <w:ind w:left="742" w:hanging="116"/>
      </w:pPr>
      <w:rPr>
        <w:rFonts w:hint="default"/>
        <w:lang w:val="en-US" w:eastAsia="en-US" w:bidi="ar-SA"/>
      </w:rPr>
    </w:lvl>
    <w:lvl w:ilvl="2" w:tplc="490EFFDA">
      <w:numFmt w:val="bullet"/>
      <w:lvlText w:val="•"/>
      <w:lvlJc w:val="left"/>
      <w:pPr>
        <w:ind w:left="1264" w:hanging="116"/>
      </w:pPr>
      <w:rPr>
        <w:rFonts w:hint="default"/>
        <w:lang w:val="en-US" w:eastAsia="en-US" w:bidi="ar-SA"/>
      </w:rPr>
    </w:lvl>
    <w:lvl w:ilvl="3" w:tplc="0DD4CB9A">
      <w:numFmt w:val="bullet"/>
      <w:lvlText w:val="•"/>
      <w:lvlJc w:val="left"/>
      <w:pPr>
        <w:ind w:left="1786" w:hanging="116"/>
      </w:pPr>
      <w:rPr>
        <w:rFonts w:hint="default"/>
        <w:lang w:val="en-US" w:eastAsia="en-US" w:bidi="ar-SA"/>
      </w:rPr>
    </w:lvl>
    <w:lvl w:ilvl="4" w:tplc="6248FB2E">
      <w:numFmt w:val="bullet"/>
      <w:lvlText w:val="•"/>
      <w:lvlJc w:val="left"/>
      <w:pPr>
        <w:ind w:left="2308" w:hanging="116"/>
      </w:pPr>
      <w:rPr>
        <w:rFonts w:hint="default"/>
        <w:lang w:val="en-US" w:eastAsia="en-US" w:bidi="ar-SA"/>
      </w:rPr>
    </w:lvl>
    <w:lvl w:ilvl="5" w:tplc="CF360060">
      <w:numFmt w:val="bullet"/>
      <w:lvlText w:val="•"/>
      <w:lvlJc w:val="left"/>
      <w:pPr>
        <w:ind w:left="2830" w:hanging="116"/>
      </w:pPr>
      <w:rPr>
        <w:rFonts w:hint="default"/>
        <w:lang w:val="en-US" w:eastAsia="en-US" w:bidi="ar-SA"/>
      </w:rPr>
    </w:lvl>
    <w:lvl w:ilvl="6" w:tplc="D236E92C">
      <w:numFmt w:val="bullet"/>
      <w:lvlText w:val="•"/>
      <w:lvlJc w:val="left"/>
      <w:pPr>
        <w:ind w:left="3352" w:hanging="116"/>
      </w:pPr>
      <w:rPr>
        <w:rFonts w:hint="default"/>
        <w:lang w:val="en-US" w:eastAsia="en-US" w:bidi="ar-SA"/>
      </w:rPr>
    </w:lvl>
    <w:lvl w:ilvl="7" w:tplc="D408E0EC">
      <w:numFmt w:val="bullet"/>
      <w:lvlText w:val="•"/>
      <w:lvlJc w:val="left"/>
      <w:pPr>
        <w:ind w:left="3874" w:hanging="116"/>
      </w:pPr>
      <w:rPr>
        <w:rFonts w:hint="default"/>
        <w:lang w:val="en-US" w:eastAsia="en-US" w:bidi="ar-SA"/>
      </w:rPr>
    </w:lvl>
    <w:lvl w:ilvl="8" w:tplc="40E4B6F0">
      <w:numFmt w:val="bullet"/>
      <w:lvlText w:val="•"/>
      <w:lvlJc w:val="left"/>
      <w:pPr>
        <w:ind w:left="4396" w:hanging="116"/>
      </w:pPr>
      <w:rPr>
        <w:rFonts w:hint="default"/>
        <w:lang w:val="en-US" w:eastAsia="en-US" w:bidi="ar-SA"/>
      </w:rPr>
    </w:lvl>
  </w:abstractNum>
  <w:abstractNum w:abstractNumId="144" w15:restartNumberingAfterBreak="0">
    <w:nsid w:val="52FE293A"/>
    <w:multiLevelType w:val="hybridMultilevel"/>
    <w:tmpl w:val="94168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2FF4BA1"/>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533E3CFF"/>
    <w:multiLevelType w:val="hybridMultilevel"/>
    <w:tmpl w:val="6082C824"/>
    <w:lvl w:ilvl="0" w:tplc="C19AB7FC">
      <w:start w:val="1"/>
      <w:numFmt w:val="lowerLetter"/>
      <w:lvlText w:val="%1)"/>
      <w:lvlJc w:val="left"/>
      <w:pPr>
        <w:ind w:left="720" w:hanging="360"/>
      </w:pPr>
      <w:rPr>
        <w:rFonts w:ascii="Times New Roman" w:eastAsiaTheme="minorHAnsi" w:hAnsi="Times New Roman"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7" w15:restartNumberingAfterBreak="0">
    <w:nsid w:val="543D7F9F"/>
    <w:multiLevelType w:val="hybridMultilevel"/>
    <w:tmpl w:val="738C4B0C"/>
    <w:lvl w:ilvl="0" w:tplc="676E58EA">
      <w:start w:val="5"/>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48" w15:restartNumberingAfterBreak="0">
    <w:nsid w:val="54F4624E"/>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5546286F"/>
    <w:multiLevelType w:val="hybridMultilevel"/>
    <w:tmpl w:val="CC8CC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0" w15:restartNumberingAfterBreak="0">
    <w:nsid w:val="557365EF"/>
    <w:multiLevelType w:val="hybridMultilevel"/>
    <w:tmpl w:val="B5ECB666"/>
    <w:lvl w:ilvl="0" w:tplc="371A2902">
      <w:start w:val="2"/>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1" w15:restartNumberingAfterBreak="0">
    <w:nsid w:val="56DB51C4"/>
    <w:multiLevelType w:val="hybridMultilevel"/>
    <w:tmpl w:val="33ACCF44"/>
    <w:lvl w:ilvl="0" w:tplc="591C0D86">
      <w:start w:val="1"/>
      <mc:AlternateContent>
        <mc:Choice Requires="w14">
          <w:numFmt w:val="custom" w:format="a, ç, ĝ, ..."/>
        </mc:Choice>
        <mc:Fallback>
          <w:numFmt w:val="decimal"/>
        </mc:Fallback>
      </mc:AlternateContent>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52" w15:restartNumberingAfterBreak="0">
    <w:nsid w:val="571C05A2"/>
    <w:multiLevelType w:val="hybridMultilevel"/>
    <w:tmpl w:val="4CE66D9E"/>
    <w:lvl w:ilvl="0" w:tplc="23BAEB38">
      <w:start w:val="1"/>
      <w:numFmt w:val="lowerRoman"/>
      <w:pStyle w:val="BulletList"/>
      <w:lvlText w:val="%1."/>
      <w:lvlJc w:val="right"/>
      <w:pPr>
        <w:ind w:left="1287" w:hanging="360"/>
      </w:pPr>
      <w:rPr>
        <w:rFonts w:hint="default"/>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3" w15:restartNumberingAfterBreak="0">
    <w:nsid w:val="5A2A43C8"/>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C7E092E"/>
    <w:multiLevelType w:val="hybridMultilevel"/>
    <w:tmpl w:val="BE04499A"/>
    <w:lvl w:ilvl="0" w:tplc="041F0017">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5" w15:restartNumberingAfterBreak="0">
    <w:nsid w:val="5D652BA6"/>
    <w:multiLevelType w:val="hybridMultilevel"/>
    <w:tmpl w:val="77F44682"/>
    <w:lvl w:ilvl="0" w:tplc="6FD01B94">
      <w:start w:val="1"/>
      <w:numFmt w:val="decimal"/>
      <w:lvlText w:val="(%1)"/>
      <w:lvlJc w:val="left"/>
      <w:pPr>
        <w:ind w:left="333" w:hanging="226"/>
      </w:pPr>
      <w:rPr>
        <w:rFonts w:ascii="Times New Roman" w:eastAsia="Times New Roman" w:hAnsi="Times New Roman" w:cs="Times New Roman" w:hint="default"/>
        <w:spacing w:val="-4"/>
        <w:w w:val="97"/>
        <w:sz w:val="18"/>
        <w:szCs w:val="18"/>
        <w:lang w:val="en-US" w:eastAsia="en-US" w:bidi="ar-SA"/>
      </w:rPr>
    </w:lvl>
    <w:lvl w:ilvl="1" w:tplc="56D80D6E">
      <w:numFmt w:val="bullet"/>
      <w:lvlText w:val="•"/>
      <w:lvlJc w:val="left"/>
      <w:pPr>
        <w:ind w:left="1142" w:hanging="226"/>
      </w:pPr>
      <w:rPr>
        <w:rFonts w:hint="default"/>
        <w:lang w:val="en-US" w:eastAsia="en-US" w:bidi="ar-SA"/>
      </w:rPr>
    </w:lvl>
    <w:lvl w:ilvl="2" w:tplc="7AD0F59E">
      <w:numFmt w:val="bullet"/>
      <w:lvlText w:val="•"/>
      <w:lvlJc w:val="left"/>
      <w:pPr>
        <w:ind w:left="1944" w:hanging="226"/>
      </w:pPr>
      <w:rPr>
        <w:rFonts w:hint="default"/>
        <w:lang w:val="en-US" w:eastAsia="en-US" w:bidi="ar-SA"/>
      </w:rPr>
    </w:lvl>
    <w:lvl w:ilvl="3" w:tplc="4FB896AC">
      <w:numFmt w:val="bullet"/>
      <w:lvlText w:val="•"/>
      <w:lvlJc w:val="left"/>
      <w:pPr>
        <w:ind w:left="2746" w:hanging="226"/>
      </w:pPr>
      <w:rPr>
        <w:rFonts w:hint="default"/>
        <w:lang w:val="en-US" w:eastAsia="en-US" w:bidi="ar-SA"/>
      </w:rPr>
    </w:lvl>
    <w:lvl w:ilvl="4" w:tplc="CD3C2974">
      <w:numFmt w:val="bullet"/>
      <w:lvlText w:val="•"/>
      <w:lvlJc w:val="left"/>
      <w:pPr>
        <w:ind w:left="3548" w:hanging="226"/>
      </w:pPr>
      <w:rPr>
        <w:rFonts w:hint="default"/>
        <w:lang w:val="en-US" w:eastAsia="en-US" w:bidi="ar-SA"/>
      </w:rPr>
    </w:lvl>
    <w:lvl w:ilvl="5" w:tplc="ADAE80A8">
      <w:numFmt w:val="bullet"/>
      <w:lvlText w:val="•"/>
      <w:lvlJc w:val="left"/>
      <w:pPr>
        <w:ind w:left="4350" w:hanging="226"/>
      </w:pPr>
      <w:rPr>
        <w:rFonts w:hint="default"/>
        <w:lang w:val="en-US" w:eastAsia="en-US" w:bidi="ar-SA"/>
      </w:rPr>
    </w:lvl>
    <w:lvl w:ilvl="6" w:tplc="3EC6892A">
      <w:numFmt w:val="bullet"/>
      <w:lvlText w:val="•"/>
      <w:lvlJc w:val="left"/>
      <w:pPr>
        <w:ind w:left="5152" w:hanging="226"/>
      </w:pPr>
      <w:rPr>
        <w:rFonts w:hint="default"/>
        <w:lang w:val="en-US" w:eastAsia="en-US" w:bidi="ar-SA"/>
      </w:rPr>
    </w:lvl>
    <w:lvl w:ilvl="7" w:tplc="71E28F7C">
      <w:numFmt w:val="bullet"/>
      <w:lvlText w:val="•"/>
      <w:lvlJc w:val="left"/>
      <w:pPr>
        <w:ind w:left="5954" w:hanging="226"/>
      </w:pPr>
      <w:rPr>
        <w:rFonts w:hint="default"/>
        <w:lang w:val="en-US" w:eastAsia="en-US" w:bidi="ar-SA"/>
      </w:rPr>
    </w:lvl>
    <w:lvl w:ilvl="8" w:tplc="09E02062">
      <w:numFmt w:val="bullet"/>
      <w:lvlText w:val="•"/>
      <w:lvlJc w:val="left"/>
      <w:pPr>
        <w:ind w:left="6756" w:hanging="226"/>
      </w:pPr>
      <w:rPr>
        <w:rFonts w:hint="default"/>
        <w:lang w:val="en-US" w:eastAsia="en-US" w:bidi="ar-SA"/>
      </w:rPr>
    </w:lvl>
  </w:abstractNum>
  <w:abstractNum w:abstractNumId="156" w15:restartNumberingAfterBreak="0">
    <w:nsid w:val="5DAC5CF0"/>
    <w:multiLevelType w:val="hybridMultilevel"/>
    <w:tmpl w:val="0B9EFB56"/>
    <w:lvl w:ilvl="0" w:tplc="C7AC85A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DEC7B8A"/>
    <w:multiLevelType w:val="hybridMultilevel"/>
    <w:tmpl w:val="627A581A"/>
    <w:lvl w:ilvl="0" w:tplc="A5C2AA74">
      <w:start w:val="1"/>
      <w:numFmt w:val="decimal"/>
      <w:pStyle w:val="Annexes"/>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EBF0401"/>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F340EDC"/>
    <w:multiLevelType w:val="hybridMultilevel"/>
    <w:tmpl w:val="A2E6C56C"/>
    <w:lvl w:ilvl="0" w:tplc="F5DA4FA8">
      <w:start w:val="1"/>
      <w:numFmt w:val="lowerRoman"/>
      <w:lvlText w:val="%1."/>
      <w:lvlJc w:val="left"/>
      <w:pPr>
        <w:ind w:left="2061" w:hanging="360"/>
      </w:pPr>
      <w:rPr>
        <w:rFonts w:hint="default"/>
      </w:rPr>
    </w:lvl>
    <w:lvl w:ilvl="1" w:tplc="041F0019" w:tentative="1">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abstractNum w:abstractNumId="160" w15:restartNumberingAfterBreak="0">
    <w:nsid w:val="6085270C"/>
    <w:multiLevelType w:val="hybridMultilevel"/>
    <w:tmpl w:val="5F2E04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1" w15:restartNumberingAfterBreak="0">
    <w:nsid w:val="60F9036D"/>
    <w:multiLevelType w:val="hybridMultilevel"/>
    <w:tmpl w:val="4114FF5C"/>
    <w:lvl w:ilvl="0" w:tplc="FCB43E12">
      <w:start w:val="1"/>
      <w:numFmt w:val="lowerLetter"/>
      <w:lvlText w:val="%1)"/>
      <w:lvlJc w:val="left"/>
      <w:pPr>
        <w:ind w:left="720" w:hanging="360"/>
      </w:pPr>
      <w:rPr>
        <w:rFonts w:ascii="Times New Roman" w:eastAsiaTheme="minorHAnsi" w:hAnsi="Times New Roman" w:cstheme="minorHAnsi"/>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2" w15:restartNumberingAfterBreak="0">
    <w:nsid w:val="613B6B71"/>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61E01C5F"/>
    <w:multiLevelType w:val="hybridMultilevel"/>
    <w:tmpl w:val="5B4CE378"/>
    <w:lvl w:ilvl="0" w:tplc="0CD0F91A">
      <w:start w:val="1"/>
      <w:numFmt w:val="lowerLetter"/>
      <w:lvlText w:val="%1)"/>
      <w:lvlJc w:val="left"/>
      <w:pPr>
        <w:ind w:left="720" w:hanging="360"/>
      </w:pPr>
      <w:rPr>
        <w:rFonts w:ascii="Times New Roman" w:eastAsiaTheme="minorHAnsi" w:hAnsi="Times New Roman"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4" w15:restartNumberingAfterBreak="0">
    <w:nsid w:val="61E850E8"/>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2BA40E0"/>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62C26CBB"/>
    <w:multiLevelType w:val="hybridMultilevel"/>
    <w:tmpl w:val="FC0C014C"/>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start w:val="1"/>
      <w:numFmt w:val="lowerRoman"/>
      <w:lvlText w:val="%3."/>
      <w:lvlJc w:val="right"/>
      <w:pPr>
        <w:ind w:left="2448"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7" w15:restartNumberingAfterBreak="0">
    <w:nsid w:val="637F4373"/>
    <w:multiLevelType w:val="multilevel"/>
    <w:tmpl w:val="C78AAECE"/>
    <w:styleLink w:val="GeerliListe4"/>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41F5839"/>
    <w:multiLevelType w:val="hybridMultilevel"/>
    <w:tmpl w:val="8DC8BAE2"/>
    <w:lvl w:ilvl="0" w:tplc="FFFFFFFF">
      <w:start w:val="1"/>
      <w:numFmt w:val="decimal"/>
      <w:lvlText w:val="(%1)"/>
      <w:lvlJc w:val="left"/>
      <w:pPr>
        <w:ind w:left="107" w:hanging="226"/>
      </w:pPr>
      <w:rPr>
        <w:rFonts w:ascii="Times New Roman" w:hAnsi="Times New Roman" w:hint="default"/>
        <w:spacing w:val="-4"/>
        <w:w w:val="99"/>
        <w:sz w:val="18"/>
        <w:szCs w:val="18"/>
        <w:lang w:val="en-US" w:eastAsia="en-US" w:bidi="ar-SA"/>
      </w:rPr>
    </w:lvl>
    <w:lvl w:ilvl="1" w:tplc="BE1E1670">
      <w:numFmt w:val="bullet"/>
      <w:lvlText w:val="•"/>
      <w:lvlJc w:val="left"/>
      <w:pPr>
        <w:ind w:left="950" w:hanging="226"/>
      </w:pPr>
      <w:rPr>
        <w:rFonts w:hint="default"/>
        <w:lang w:val="en-US" w:eastAsia="en-US" w:bidi="ar-SA"/>
      </w:rPr>
    </w:lvl>
    <w:lvl w:ilvl="2" w:tplc="1E0640E2">
      <w:numFmt w:val="bullet"/>
      <w:lvlText w:val="•"/>
      <w:lvlJc w:val="left"/>
      <w:pPr>
        <w:ind w:left="1801" w:hanging="226"/>
      </w:pPr>
      <w:rPr>
        <w:rFonts w:hint="default"/>
        <w:lang w:val="en-US" w:eastAsia="en-US" w:bidi="ar-SA"/>
      </w:rPr>
    </w:lvl>
    <w:lvl w:ilvl="3" w:tplc="7660D28A">
      <w:numFmt w:val="bullet"/>
      <w:lvlText w:val="•"/>
      <w:lvlJc w:val="left"/>
      <w:pPr>
        <w:ind w:left="2652" w:hanging="226"/>
      </w:pPr>
      <w:rPr>
        <w:rFonts w:hint="default"/>
        <w:lang w:val="en-US" w:eastAsia="en-US" w:bidi="ar-SA"/>
      </w:rPr>
    </w:lvl>
    <w:lvl w:ilvl="4" w:tplc="9B8498F4">
      <w:numFmt w:val="bullet"/>
      <w:lvlText w:val="•"/>
      <w:lvlJc w:val="left"/>
      <w:pPr>
        <w:ind w:left="3503" w:hanging="226"/>
      </w:pPr>
      <w:rPr>
        <w:rFonts w:hint="default"/>
        <w:lang w:val="en-US" w:eastAsia="en-US" w:bidi="ar-SA"/>
      </w:rPr>
    </w:lvl>
    <w:lvl w:ilvl="5" w:tplc="3CBA0232">
      <w:numFmt w:val="bullet"/>
      <w:lvlText w:val="•"/>
      <w:lvlJc w:val="left"/>
      <w:pPr>
        <w:ind w:left="4354" w:hanging="226"/>
      </w:pPr>
      <w:rPr>
        <w:rFonts w:hint="default"/>
        <w:lang w:val="en-US" w:eastAsia="en-US" w:bidi="ar-SA"/>
      </w:rPr>
    </w:lvl>
    <w:lvl w:ilvl="6" w:tplc="A4AE2F6A">
      <w:numFmt w:val="bullet"/>
      <w:lvlText w:val="•"/>
      <w:lvlJc w:val="left"/>
      <w:pPr>
        <w:ind w:left="5204" w:hanging="226"/>
      </w:pPr>
      <w:rPr>
        <w:rFonts w:hint="default"/>
        <w:lang w:val="en-US" w:eastAsia="en-US" w:bidi="ar-SA"/>
      </w:rPr>
    </w:lvl>
    <w:lvl w:ilvl="7" w:tplc="6B8E81D8">
      <w:numFmt w:val="bullet"/>
      <w:lvlText w:val="•"/>
      <w:lvlJc w:val="left"/>
      <w:pPr>
        <w:ind w:left="6055" w:hanging="226"/>
      </w:pPr>
      <w:rPr>
        <w:rFonts w:hint="default"/>
        <w:lang w:val="en-US" w:eastAsia="en-US" w:bidi="ar-SA"/>
      </w:rPr>
    </w:lvl>
    <w:lvl w:ilvl="8" w:tplc="AB8237F4">
      <w:numFmt w:val="bullet"/>
      <w:lvlText w:val="•"/>
      <w:lvlJc w:val="left"/>
      <w:pPr>
        <w:ind w:left="6906" w:hanging="226"/>
      </w:pPr>
      <w:rPr>
        <w:rFonts w:hint="default"/>
        <w:lang w:val="en-US" w:eastAsia="en-US" w:bidi="ar-SA"/>
      </w:rPr>
    </w:lvl>
  </w:abstractNum>
  <w:abstractNum w:abstractNumId="169" w15:restartNumberingAfterBreak="0">
    <w:nsid w:val="646C5B4A"/>
    <w:multiLevelType w:val="multilevel"/>
    <w:tmpl w:val="EDB4AC1A"/>
    <w:lvl w:ilvl="0">
      <w:start w:val="1"/>
      <w:numFmt w:val="decimal"/>
      <w:pStyle w:val="Balk1"/>
      <w:lvlText w:val="%1"/>
      <w:lvlJc w:val="left"/>
      <w:pPr>
        <w:ind w:left="432" w:hanging="432"/>
      </w:pPr>
      <w:rPr>
        <w:rFonts w:hint="default"/>
      </w:rPr>
    </w:lvl>
    <w:lvl w:ilvl="1">
      <w:start w:val="1"/>
      <w:numFmt w:val="decimal"/>
      <w:pStyle w:val="Balk2"/>
      <w:lvlText w:val="%1.%2"/>
      <w:lvlJc w:val="left"/>
      <w:pPr>
        <w:ind w:left="666"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170" w15:restartNumberingAfterBreak="0">
    <w:nsid w:val="64780C62"/>
    <w:multiLevelType w:val="hybridMultilevel"/>
    <w:tmpl w:val="5C9AF708"/>
    <w:lvl w:ilvl="0" w:tplc="F5DA4FA8">
      <w:start w:val="1"/>
      <w:numFmt w:val="lowerRoman"/>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1" w15:restartNumberingAfterBreak="0">
    <w:nsid w:val="653312E5"/>
    <w:multiLevelType w:val="hybridMultilevel"/>
    <w:tmpl w:val="EFECD3D8"/>
    <w:lvl w:ilvl="0" w:tplc="04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2" w15:restartNumberingAfterBreak="0">
    <w:nsid w:val="65F126E8"/>
    <w:multiLevelType w:val="hybridMultilevel"/>
    <w:tmpl w:val="B6CA0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8CE61DD"/>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68DB5FB4"/>
    <w:multiLevelType w:val="hybridMultilevel"/>
    <w:tmpl w:val="11541B6A"/>
    <w:lvl w:ilvl="0" w:tplc="0409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5" w15:restartNumberingAfterBreak="0">
    <w:nsid w:val="696E7F1D"/>
    <w:multiLevelType w:val="hybridMultilevel"/>
    <w:tmpl w:val="B2F02A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9A663C1"/>
    <w:multiLevelType w:val="hybridMultilevel"/>
    <w:tmpl w:val="5AE475B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7" w15:restartNumberingAfterBreak="0">
    <w:nsid w:val="6A5223B6"/>
    <w:multiLevelType w:val="multilevel"/>
    <w:tmpl w:val="506CC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6A9C4115"/>
    <w:multiLevelType w:val="hybridMultilevel"/>
    <w:tmpl w:val="03DA3F6E"/>
    <w:lvl w:ilvl="0" w:tplc="D52ED0D0">
      <w:start w:val="1"/>
      <w:numFmt w:val="lowerLetter"/>
      <w:lvlText w:val="%1)"/>
      <w:lvlJc w:val="left"/>
      <w:pPr>
        <w:ind w:left="720" w:hanging="360"/>
      </w:pPr>
      <w:rPr>
        <w:rFonts w:ascii="Times New Roman" w:eastAsiaTheme="minorHAnsi" w:hAnsi="Times New Roman"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9" w15:restartNumberingAfterBreak="0">
    <w:nsid w:val="6B24111D"/>
    <w:multiLevelType w:val="hybridMultilevel"/>
    <w:tmpl w:val="44BC3E08"/>
    <w:lvl w:ilvl="0" w:tplc="E0B03A0C">
      <w:start w:val="1"/>
      <mc:AlternateContent>
        <mc:Choice Requires="w14">
          <w:numFmt w:val="custom" w:format="a, ç, ĝ, ..."/>
        </mc:Choice>
        <mc:Fallback>
          <w:numFmt w:val="decimal"/>
        </mc:Fallback>
      </mc:AlternateContent>
      <w:lvlText w:val="%1)"/>
      <w:lvlJc w:val="left"/>
      <w:pPr>
        <w:ind w:left="1154" w:hanging="586"/>
      </w:pPr>
      <w:rPr>
        <w:rFonts w:hint="default"/>
        <w:sz w:val="22"/>
        <w:szCs w:val="22"/>
      </w:rPr>
    </w:lvl>
    <w:lvl w:ilvl="1" w:tplc="D89432A2">
      <w:start w:val="1"/>
      <w:numFmt w:val="bullet"/>
      <w:lvlText w:val="•"/>
      <w:lvlJc w:val="left"/>
      <w:pPr>
        <w:ind w:left="1963" w:hanging="586"/>
      </w:pPr>
      <w:rPr>
        <w:rFonts w:hint="default"/>
      </w:rPr>
    </w:lvl>
    <w:lvl w:ilvl="2" w:tplc="DCEA7F74">
      <w:start w:val="1"/>
      <w:numFmt w:val="bullet"/>
      <w:lvlText w:val="•"/>
      <w:lvlJc w:val="left"/>
      <w:pPr>
        <w:ind w:left="2773" w:hanging="586"/>
      </w:pPr>
      <w:rPr>
        <w:rFonts w:hint="default"/>
      </w:rPr>
    </w:lvl>
    <w:lvl w:ilvl="3" w:tplc="2A288EF6">
      <w:start w:val="1"/>
      <w:numFmt w:val="bullet"/>
      <w:lvlText w:val="•"/>
      <w:lvlJc w:val="left"/>
      <w:pPr>
        <w:ind w:left="3582" w:hanging="586"/>
      </w:pPr>
      <w:rPr>
        <w:rFonts w:hint="default"/>
      </w:rPr>
    </w:lvl>
    <w:lvl w:ilvl="4" w:tplc="D8442696">
      <w:start w:val="1"/>
      <w:numFmt w:val="bullet"/>
      <w:lvlText w:val="•"/>
      <w:lvlJc w:val="left"/>
      <w:pPr>
        <w:ind w:left="4391" w:hanging="586"/>
      </w:pPr>
      <w:rPr>
        <w:rFonts w:hint="default"/>
      </w:rPr>
    </w:lvl>
    <w:lvl w:ilvl="5" w:tplc="A7B8C9B0">
      <w:start w:val="1"/>
      <w:numFmt w:val="bullet"/>
      <w:lvlText w:val="•"/>
      <w:lvlJc w:val="left"/>
      <w:pPr>
        <w:ind w:left="5200" w:hanging="586"/>
      </w:pPr>
      <w:rPr>
        <w:rFonts w:hint="default"/>
      </w:rPr>
    </w:lvl>
    <w:lvl w:ilvl="6" w:tplc="EB2CAAA2">
      <w:start w:val="1"/>
      <w:numFmt w:val="bullet"/>
      <w:lvlText w:val="•"/>
      <w:lvlJc w:val="left"/>
      <w:pPr>
        <w:ind w:left="6009" w:hanging="586"/>
      </w:pPr>
      <w:rPr>
        <w:rFonts w:hint="default"/>
      </w:rPr>
    </w:lvl>
    <w:lvl w:ilvl="7" w:tplc="8C041F5C">
      <w:start w:val="1"/>
      <w:numFmt w:val="bullet"/>
      <w:lvlText w:val="•"/>
      <w:lvlJc w:val="left"/>
      <w:pPr>
        <w:ind w:left="6818" w:hanging="586"/>
      </w:pPr>
      <w:rPr>
        <w:rFonts w:hint="default"/>
      </w:rPr>
    </w:lvl>
    <w:lvl w:ilvl="8" w:tplc="58C4CB5A">
      <w:start w:val="1"/>
      <w:numFmt w:val="bullet"/>
      <w:lvlText w:val="•"/>
      <w:lvlJc w:val="left"/>
      <w:pPr>
        <w:ind w:left="7628" w:hanging="586"/>
      </w:pPr>
      <w:rPr>
        <w:rFonts w:hint="default"/>
      </w:rPr>
    </w:lvl>
  </w:abstractNum>
  <w:abstractNum w:abstractNumId="180" w15:restartNumberingAfterBreak="0">
    <w:nsid w:val="6C067AFC"/>
    <w:multiLevelType w:val="hybridMultilevel"/>
    <w:tmpl w:val="EC8C5D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1" w15:restartNumberingAfterBreak="0">
    <w:nsid w:val="6C65249B"/>
    <w:multiLevelType w:val="hybridMultilevel"/>
    <w:tmpl w:val="0C1E2BDA"/>
    <w:lvl w:ilvl="0" w:tplc="AFF279F4">
      <w:numFmt w:val="bullet"/>
      <w:lvlText w:val=""/>
      <w:lvlJc w:val="left"/>
      <w:pPr>
        <w:ind w:left="470" w:hanging="360"/>
      </w:pPr>
      <w:rPr>
        <w:rFonts w:ascii="Symbol" w:eastAsia="Symbol" w:hAnsi="Symbol" w:cs="Symbol" w:hint="default"/>
        <w:w w:val="99"/>
        <w:sz w:val="20"/>
        <w:szCs w:val="20"/>
        <w:lang w:val="en-US" w:eastAsia="en-US" w:bidi="ar-SA"/>
      </w:rPr>
    </w:lvl>
    <w:lvl w:ilvl="1" w:tplc="E738E3E2">
      <w:numFmt w:val="bullet"/>
      <w:lvlText w:val="•"/>
      <w:lvlJc w:val="left"/>
      <w:pPr>
        <w:ind w:left="1012" w:hanging="360"/>
      </w:pPr>
      <w:rPr>
        <w:rFonts w:hint="default"/>
        <w:lang w:val="en-US" w:eastAsia="en-US" w:bidi="ar-SA"/>
      </w:rPr>
    </w:lvl>
    <w:lvl w:ilvl="2" w:tplc="F0CE9AF8">
      <w:numFmt w:val="bullet"/>
      <w:lvlText w:val="•"/>
      <w:lvlJc w:val="left"/>
      <w:pPr>
        <w:ind w:left="1544" w:hanging="360"/>
      </w:pPr>
      <w:rPr>
        <w:rFonts w:hint="default"/>
        <w:lang w:val="en-US" w:eastAsia="en-US" w:bidi="ar-SA"/>
      </w:rPr>
    </w:lvl>
    <w:lvl w:ilvl="3" w:tplc="80E42626">
      <w:numFmt w:val="bullet"/>
      <w:lvlText w:val="•"/>
      <w:lvlJc w:val="left"/>
      <w:pPr>
        <w:ind w:left="2077" w:hanging="360"/>
      </w:pPr>
      <w:rPr>
        <w:rFonts w:hint="default"/>
        <w:lang w:val="en-US" w:eastAsia="en-US" w:bidi="ar-SA"/>
      </w:rPr>
    </w:lvl>
    <w:lvl w:ilvl="4" w:tplc="CB8404A6">
      <w:numFmt w:val="bullet"/>
      <w:lvlText w:val="•"/>
      <w:lvlJc w:val="left"/>
      <w:pPr>
        <w:ind w:left="2609" w:hanging="360"/>
      </w:pPr>
      <w:rPr>
        <w:rFonts w:hint="default"/>
        <w:lang w:val="en-US" w:eastAsia="en-US" w:bidi="ar-SA"/>
      </w:rPr>
    </w:lvl>
    <w:lvl w:ilvl="5" w:tplc="95DA5F10">
      <w:numFmt w:val="bullet"/>
      <w:lvlText w:val="•"/>
      <w:lvlJc w:val="left"/>
      <w:pPr>
        <w:ind w:left="3142" w:hanging="360"/>
      </w:pPr>
      <w:rPr>
        <w:rFonts w:hint="default"/>
        <w:lang w:val="en-US" w:eastAsia="en-US" w:bidi="ar-SA"/>
      </w:rPr>
    </w:lvl>
    <w:lvl w:ilvl="6" w:tplc="673E4A28">
      <w:numFmt w:val="bullet"/>
      <w:lvlText w:val="•"/>
      <w:lvlJc w:val="left"/>
      <w:pPr>
        <w:ind w:left="3674" w:hanging="360"/>
      </w:pPr>
      <w:rPr>
        <w:rFonts w:hint="default"/>
        <w:lang w:val="en-US" w:eastAsia="en-US" w:bidi="ar-SA"/>
      </w:rPr>
    </w:lvl>
    <w:lvl w:ilvl="7" w:tplc="4468A94A">
      <w:numFmt w:val="bullet"/>
      <w:lvlText w:val="•"/>
      <w:lvlJc w:val="left"/>
      <w:pPr>
        <w:ind w:left="4206" w:hanging="360"/>
      </w:pPr>
      <w:rPr>
        <w:rFonts w:hint="default"/>
        <w:lang w:val="en-US" w:eastAsia="en-US" w:bidi="ar-SA"/>
      </w:rPr>
    </w:lvl>
    <w:lvl w:ilvl="8" w:tplc="0E068050">
      <w:numFmt w:val="bullet"/>
      <w:lvlText w:val="•"/>
      <w:lvlJc w:val="left"/>
      <w:pPr>
        <w:ind w:left="4739" w:hanging="360"/>
      </w:pPr>
      <w:rPr>
        <w:rFonts w:hint="default"/>
        <w:lang w:val="en-US" w:eastAsia="en-US" w:bidi="ar-SA"/>
      </w:rPr>
    </w:lvl>
  </w:abstractNum>
  <w:abstractNum w:abstractNumId="182" w15:restartNumberingAfterBreak="0">
    <w:nsid w:val="6CE027D7"/>
    <w:multiLevelType w:val="hybridMultilevel"/>
    <w:tmpl w:val="27AA0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CEF4BEF"/>
    <w:multiLevelType w:val="hybridMultilevel"/>
    <w:tmpl w:val="BE04499A"/>
    <w:lvl w:ilvl="0" w:tplc="041F0017">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4" w15:restartNumberingAfterBreak="0">
    <w:nsid w:val="6D466DB4"/>
    <w:multiLevelType w:val="hybridMultilevel"/>
    <w:tmpl w:val="99EA561E"/>
    <w:lvl w:ilvl="0" w:tplc="0409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5" w15:restartNumberingAfterBreak="0">
    <w:nsid w:val="6DDD11C3"/>
    <w:multiLevelType w:val="hybridMultilevel"/>
    <w:tmpl w:val="150A959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6" w15:restartNumberingAfterBreak="0">
    <w:nsid w:val="6E0F7321"/>
    <w:multiLevelType w:val="hybridMultilevel"/>
    <w:tmpl w:val="9ED2699E"/>
    <w:lvl w:ilvl="0" w:tplc="0409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start w:val="1"/>
      <w:numFmt w:val="lowerRoman"/>
      <w:lvlText w:val="%3."/>
      <w:lvlJc w:val="right"/>
      <w:pPr>
        <w:ind w:left="2700" w:hanging="36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7" w15:restartNumberingAfterBreak="0">
    <w:nsid w:val="6E812266"/>
    <w:multiLevelType w:val="hybridMultilevel"/>
    <w:tmpl w:val="DD1ABA9E"/>
    <w:lvl w:ilvl="0" w:tplc="8416D3A8">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EBD088A"/>
    <w:multiLevelType w:val="hybridMultilevel"/>
    <w:tmpl w:val="25BA99BC"/>
    <w:lvl w:ilvl="0" w:tplc="FFFFFFFF">
      <w:numFmt w:val="bullet"/>
      <w:lvlText w:val="•"/>
      <w:lvlJc w:val="left"/>
      <w:pPr>
        <w:ind w:left="720" w:hanging="360"/>
      </w:pPr>
      <w:rPr>
        <w:rFonts w:ascii="Times New Roman" w:eastAsia="Georgia" w:hAnsi="Times New Roman" w:cs="Times New Roman" w:hint="default"/>
      </w:rPr>
    </w:lvl>
    <w:lvl w:ilvl="1" w:tplc="041F001B">
      <w:start w:val="1"/>
      <w:numFmt w:val="lowerRoman"/>
      <w:lvlText w:val="%2."/>
      <w:lvlJc w:val="right"/>
      <w:pPr>
        <w:ind w:left="2628" w:hanging="360"/>
      </w:pPr>
    </w:lvl>
    <w:lvl w:ilvl="2" w:tplc="FFFFFFFF">
      <w:start w:val="1"/>
      <w:numFmt w:val="decimal"/>
      <w:lvlText w:val="%3"/>
      <w:lvlJc w:val="left"/>
      <w:pPr>
        <w:ind w:left="36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6EDF3109"/>
    <w:multiLevelType w:val="hybridMultilevel"/>
    <w:tmpl w:val="93FE0C1E"/>
    <w:lvl w:ilvl="0" w:tplc="041F001B">
      <w:start w:val="1"/>
      <w:numFmt w:val="lowerRoman"/>
      <w:lvlText w:val="%1."/>
      <w:lvlJc w:val="right"/>
      <w:pPr>
        <w:ind w:left="2340" w:hanging="360"/>
      </w:pPr>
      <w:rPr>
        <w:rFonts w:hint="default"/>
      </w:rPr>
    </w:lvl>
    <w:lvl w:ilvl="1" w:tplc="10AA9DC4">
      <w:start w:val="1"/>
      <w:numFmt w:val="lowerLetter"/>
      <w:lvlText w:val="%2."/>
      <w:lvlJc w:val="left"/>
      <w:pPr>
        <w:ind w:left="2160" w:hanging="360"/>
      </w:pPr>
      <w:rPr>
        <w:rFonts w:ascii="Times New Roman" w:eastAsiaTheme="minorHAnsi" w:hAnsi="Times New Roman" w:cstheme="minorHAnsi"/>
      </w:r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0" w15:restartNumberingAfterBreak="0">
    <w:nsid w:val="6F515317"/>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7017022C"/>
    <w:multiLevelType w:val="multilevel"/>
    <w:tmpl w:val="6CA2DB24"/>
    <w:lvl w:ilvl="0">
      <w:start w:val="1"/>
      <w:numFmt w:val="decimal"/>
      <w:lvlText w:val="%1"/>
      <w:lvlJc w:val="left"/>
      <w:pPr>
        <w:ind w:left="360" w:hanging="360"/>
      </w:pPr>
      <w:rPr>
        <w:rFonts w:hint="default"/>
        <w:sz w:val="24"/>
        <w:szCs w:val="24"/>
      </w:rPr>
    </w:lvl>
    <w:lvl w:ilvl="1">
      <w:start w:val="1"/>
      <w:numFmt w:val="decimal"/>
      <w:lvlText w:val="%1.%2"/>
      <w:lvlJc w:val="left"/>
      <w:pPr>
        <w:ind w:left="432" w:hanging="432"/>
      </w:pPr>
      <w:rPr>
        <w:rFonts w:ascii="Times New Roman" w:hAnsi="Times New Roman" w:cs="Times New Roman" w:hint="default"/>
        <w:b/>
        <w:bCs/>
        <w:color w:val="auto"/>
        <w:sz w:val="24"/>
        <w:szCs w:val="24"/>
      </w:rPr>
    </w:lvl>
    <w:lvl w:ilvl="2">
      <w:start w:val="1"/>
      <w:numFmt w:val="decimal"/>
      <w:lvlText w:val="%1.%2.%3"/>
      <w:lvlJc w:val="left"/>
      <w:pPr>
        <w:ind w:left="504" w:hanging="504"/>
      </w:pPr>
      <w:rPr>
        <w:rFonts w:ascii="Times New Roman" w:hAnsi="Times New Roman" w:cs="Times New Roman" w:hint="default"/>
        <w:b/>
        <w:bCs/>
        <w:color w:val="auto"/>
        <w:sz w:val="24"/>
        <w:szCs w:val="22"/>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2" w15:restartNumberingAfterBreak="0">
    <w:nsid w:val="703E45A5"/>
    <w:multiLevelType w:val="hybridMultilevel"/>
    <w:tmpl w:val="3A58BB74"/>
    <w:lvl w:ilvl="0" w:tplc="C19AB7FC">
      <w:start w:val="1"/>
      <w:numFmt w:val="lowerLetter"/>
      <w:lvlText w:val="%1)"/>
      <w:lvlJc w:val="left"/>
      <w:pPr>
        <w:ind w:left="720" w:hanging="360"/>
      </w:pPr>
      <w:rPr>
        <w:rFonts w:ascii="Times New Roman" w:eastAsiaTheme="minorHAnsi" w:hAnsi="Times New Roman"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72F32440"/>
    <w:multiLevelType w:val="hybridMultilevel"/>
    <w:tmpl w:val="B83A03C2"/>
    <w:lvl w:ilvl="0" w:tplc="FFFFFFFF">
      <w:start w:val="7"/>
      <w:numFmt w:val="decimal"/>
      <w:lvlText w:val="%1."/>
      <w:lvlJc w:val="left"/>
      <w:pPr>
        <w:ind w:left="2220" w:hanging="425"/>
        <w:jc w:val="right"/>
      </w:pPr>
      <w:rPr>
        <w:rFonts w:ascii="Times New Roman" w:eastAsia="Times New Roman" w:hAnsi="Times New Roman" w:cs="Times New Roman" w:hint="default"/>
        <w:w w:val="59"/>
        <w:sz w:val="22"/>
        <w:szCs w:val="22"/>
        <w:lang w:val="en-US" w:eastAsia="en-US" w:bidi="ar-SA"/>
      </w:rPr>
    </w:lvl>
    <w:lvl w:ilvl="1" w:tplc="FFFFFFFF">
      <w:start w:val="1"/>
      <w:numFmt w:val="decimal"/>
      <w:lvlText w:val="%2)"/>
      <w:lvlJc w:val="left"/>
      <w:pPr>
        <w:ind w:left="1660" w:hanging="360"/>
      </w:pPr>
      <w:rPr>
        <w:rFonts w:ascii="Times New Roman" w:eastAsia="Times New Roman" w:hAnsi="Times New Roman" w:cs="Times New Roman" w:hint="default"/>
        <w:w w:val="99"/>
        <w:sz w:val="22"/>
        <w:szCs w:val="22"/>
        <w:lang w:val="en-US" w:eastAsia="en-US" w:bidi="ar-SA"/>
      </w:rPr>
    </w:lvl>
    <w:lvl w:ilvl="2" w:tplc="C19AB7FC">
      <w:start w:val="1"/>
      <w:numFmt w:val="lowerLetter"/>
      <w:lvlText w:val="%3)"/>
      <w:lvlJc w:val="left"/>
      <w:pPr>
        <w:ind w:left="720" w:hanging="360"/>
      </w:pPr>
      <w:rPr>
        <w:rFonts w:ascii="Times New Roman" w:eastAsiaTheme="minorHAnsi" w:hAnsi="Times New Roman" w:cstheme="minorHAnsi"/>
      </w:rPr>
    </w:lvl>
    <w:lvl w:ilvl="3" w:tplc="FFFFFFFF">
      <w:numFmt w:val="bullet"/>
      <w:lvlText w:val="•"/>
      <w:lvlJc w:val="left"/>
      <w:pPr>
        <w:ind w:left="3980" w:hanging="360"/>
      </w:pPr>
      <w:rPr>
        <w:rFonts w:hint="default"/>
        <w:lang w:val="en-US" w:eastAsia="en-US" w:bidi="ar-SA"/>
      </w:rPr>
    </w:lvl>
    <w:lvl w:ilvl="4" w:tplc="FFFFFFFF">
      <w:numFmt w:val="bullet"/>
      <w:lvlText w:val="•"/>
      <w:lvlJc w:val="left"/>
      <w:pPr>
        <w:ind w:left="4860" w:hanging="360"/>
      </w:pPr>
      <w:rPr>
        <w:rFonts w:hint="default"/>
        <w:lang w:val="en-US" w:eastAsia="en-US" w:bidi="ar-SA"/>
      </w:rPr>
    </w:lvl>
    <w:lvl w:ilvl="5" w:tplc="FFFFFFFF">
      <w:numFmt w:val="bullet"/>
      <w:lvlText w:val="•"/>
      <w:lvlJc w:val="left"/>
      <w:pPr>
        <w:ind w:left="5740" w:hanging="360"/>
      </w:pPr>
      <w:rPr>
        <w:rFonts w:hint="default"/>
        <w:lang w:val="en-US" w:eastAsia="en-US" w:bidi="ar-SA"/>
      </w:rPr>
    </w:lvl>
    <w:lvl w:ilvl="6" w:tplc="FFFFFFFF">
      <w:numFmt w:val="bullet"/>
      <w:lvlText w:val="•"/>
      <w:lvlJc w:val="left"/>
      <w:pPr>
        <w:ind w:left="6620" w:hanging="360"/>
      </w:pPr>
      <w:rPr>
        <w:rFonts w:hint="default"/>
        <w:lang w:val="en-US" w:eastAsia="en-US" w:bidi="ar-SA"/>
      </w:rPr>
    </w:lvl>
    <w:lvl w:ilvl="7" w:tplc="FFFFFFFF">
      <w:numFmt w:val="bullet"/>
      <w:lvlText w:val="•"/>
      <w:lvlJc w:val="left"/>
      <w:pPr>
        <w:ind w:left="7500" w:hanging="360"/>
      </w:pPr>
      <w:rPr>
        <w:rFonts w:hint="default"/>
        <w:lang w:val="en-US" w:eastAsia="en-US" w:bidi="ar-SA"/>
      </w:rPr>
    </w:lvl>
    <w:lvl w:ilvl="8" w:tplc="FFFFFFFF">
      <w:numFmt w:val="bullet"/>
      <w:lvlText w:val="•"/>
      <w:lvlJc w:val="left"/>
      <w:pPr>
        <w:ind w:left="8380" w:hanging="360"/>
      </w:pPr>
      <w:rPr>
        <w:rFonts w:hint="default"/>
        <w:lang w:val="en-US" w:eastAsia="en-US" w:bidi="ar-SA"/>
      </w:rPr>
    </w:lvl>
  </w:abstractNum>
  <w:abstractNum w:abstractNumId="194" w15:restartNumberingAfterBreak="0">
    <w:nsid w:val="730D0B2A"/>
    <w:multiLevelType w:val="multilevel"/>
    <w:tmpl w:val="F4DC2A8E"/>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95" w15:restartNumberingAfterBreak="0">
    <w:nsid w:val="739C07C8"/>
    <w:multiLevelType w:val="hybridMultilevel"/>
    <w:tmpl w:val="048E3052"/>
    <w:lvl w:ilvl="0" w:tplc="C19AB7FC">
      <w:start w:val="1"/>
      <w:numFmt w:val="lowerLetter"/>
      <w:lvlText w:val="%1)"/>
      <w:lvlJc w:val="left"/>
      <w:pPr>
        <w:ind w:left="720" w:hanging="360"/>
      </w:pPr>
      <w:rPr>
        <w:rFonts w:ascii="Times New Roman" w:eastAsiaTheme="minorHAnsi" w:hAnsi="Times New Roman" w:cstheme="minorHAnsi" w:hint="default"/>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40066A8"/>
    <w:multiLevelType w:val="hybridMultilevel"/>
    <w:tmpl w:val="1AFA6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41174A6"/>
    <w:multiLevelType w:val="hybridMultilevel"/>
    <w:tmpl w:val="919A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44C5D83"/>
    <w:multiLevelType w:val="hybridMultilevel"/>
    <w:tmpl w:val="56488A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4A52E28"/>
    <w:multiLevelType w:val="multilevel"/>
    <w:tmpl w:val="18666808"/>
    <w:styleLink w:val="GeerliList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4DA122A"/>
    <w:multiLevelType w:val="hybridMultilevel"/>
    <w:tmpl w:val="5EA2EFE0"/>
    <w:lvl w:ilvl="0" w:tplc="041F0019">
      <w:start w:val="1"/>
      <w:numFmt w:val="lowerLetter"/>
      <w:lvlText w:val="%1."/>
      <w:lvlJc w:val="left"/>
      <w:pPr>
        <w:ind w:left="720" w:hanging="360"/>
      </w:pPr>
      <w:rPr>
        <w:rFonts w:hint="default"/>
      </w:rPr>
    </w:lvl>
    <w:lvl w:ilvl="1" w:tplc="04090017">
      <w:start w:val="1"/>
      <w:numFmt w:val="lowerLetter"/>
      <w:lvlText w:val="%2)"/>
      <w:lvlJc w:val="left"/>
      <w:pPr>
        <w:ind w:left="72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1" w15:restartNumberingAfterBreak="0">
    <w:nsid w:val="75010030"/>
    <w:multiLevelType w:val="hybridMultilevel"/>
    <w:tmpl w:val="9CE47730"/>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2" w15:restartNumberingAfterBreak="0">
    <w:nsid w:val="75254D78"/>
    <w:multiLevelType w:val="hybridMultilevel"/>
    <w:tmpl w:val="6C5A5124"/>
    <w:lvl w:ilvl="0" w:tplc="F5DA4FA8">
      <w:start w:val="1"/>
      <w:numFmt w:val="lowerRoman"/>
      <w:lvlText w:val="%1."/>
      <w:lvlJc w:val="left"/>
      <w:pPr>
        <w:ind w:left="720" w:hanging="360"/>
      </w:pPr>
      <w:rPr>
        <w:rFonts w:hint="default"/>
      </w:rPr>
    </w:lvl>
    <w:lvl w:ilvl="1" w:tplc="04090017">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3" w15:restartNumberingAfterBreak="0">
    <w:nsid w:val="75587BE4"/>
    <w:multiLevelType w:val="hybridMultilevel"/>
    <w:tmpl w:val="73504D5A"/>
    <w:lvl w:ilvl="0" w:tplc="0409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4" w15:restartNumberingAfterBreak="0">
    <w:nsid w:val="762371AD"/>
    <w:multiLevelType w:val="hybridMultilevel"/>
    <w:tmpl w:val="B8C60E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76B13659"/>
    <w:multiLevelType w:val="hybridMultilevel"/>
    <w:tmpl w:val="7D0A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6E625D0"/>
    <w:multiLevelType w:val="multilevel"/>
    <w:tmpl w:val="933E1992"/>
    <w:styleLink w:val="GeerliListe8"/>
    <w:lvl w:ilvl="0">
      <w:start w:val="1"/>
      <w:numFmt w:val="lowerLetter"/>
      <w:lvlText w:val="%1)"/>
      <w:lvlJc w:val="left"/>
      <w:pPr>
        <w:ind w:left="1080" w:hanging="720"/>
      </w:pPr>
      <w:rPr>
        <w:rFonts w:ascii="Times New Roman" w:eastAsiaTheme="minorHAnsi" w:hAnsi="Times New Roman"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76FE2DA2"/>
    <w:multiLevelType w:val="hybridMultilevel"/>
    <w:tmpl w:val="64C672E2"/>
    <w:lvl w:ilvl="0" w:tplc="05865E42">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8" w15:restartNumberingAfterBreak="0">
    <w:nsid w:val="775B3679"/>
    <w:multiLevelType w:val="hybridMultilevel"/>
    <w:tmpl w:val="A8A2BEA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9" w15:restartNumberingAfterBreak="0">
    <w:nsid w:val="77901198"/>
    <w:multiLevelType w:val="hybridMultilevel"/>
    <w:tmpl w:val="41BC1E1E"/>
    <w:lvl w:ilvl="0" w:tplc="C62E4E14">
      <w:start w:val="1"/>
      <w:numFmt w:val="decimal"/>
      <w:lvlText w:val="(%1)"/>
      <w:lvlJc w:val="left"/>
      <w:pPr>
        <w:ind w:left="107" w:hanging="252"/>
      </w:pPr>
      <w:rPr>
        <w:rFonts w:ascii="Times New Roman" w:eastAsia="Times New Roman" w:hAnsi="Times New Roman" w:cs="Times New Roman" w:hint="default"/>
        <w:spacing w:val="-22"/>
        <w:w w:val="99"/>
        <w:sz w:val="18"/>
        <w:szCs w:val="18"/>
        <w:lang w:val="en-US" w:eastAsia="en-US" w:bidi="ar-SA"/>
      </w:rPr>
    </w:lvl>
    <w:lvl w:ilvl="1" w:tplc="B0145DF2">
      <w:numFmt w:val="bullet"/>
      <w:lvlText w:val="•"/>
      <w:lvlJc w:val="left"/>
      <w:pPr>
        <w:ind w:left="941" w:hanging="252"/>
      </w:pPr>
      <w:rPr>
        <w:rFonts w:hint="default"/>
        <w:lang w:val="en-US" w:eastAsia="en-US" w:bidi="ar-SA"/>
      </w:rPr>
    </w:lvl>
    <w:lvl w:ilvl="2" w:tplc="73F638BA">
      <w:numFmt w:val="bullet"/>
      <w:lvlText w:val="•"/>
      <w:lvlJc w:val="left"/>
      <w:pPr>
        <w:ind w:left="1783" w:hanging="252"/>
      </w:pPr>
      <w:rPr>
        <w:rFonts w:hint="default"/>
        <w:lang w:val="en-US" w:eastAsia="en-US" w:bidi="ar-SA"/>
      </w:rPr>
    </w:lvl>
    <w:lvl w:ilvl="3" w:tplc="9E22289C">
      <w:numFmt w:val="bullet"/>
      <w:lvlText w:val="•"/>
      <w:lvlJc w:val="left"/>
      <w:pPr>
        <w:ind w:left="2624" w:hanging="252"/>
      </w:pPr>
      <w:rPr>
        <w:rFonts w:hint="default"/>
        <w:lang w:val="en-US" w:eastAsia="en-US" w:bidi="ar-SA"/>
      </w:rPr>
    </w:lvl>
    <w:lvl w:ilvl="4" w:tplc="63E24B3E">
      <w:numFmt w:val="bullet"/>
      <w:lvlText w:val="•"/>
      <w:lvlJc w:val="left"/>
      <w:pPr>
        <w:ind w:left="3466" w:hanging="252"/>
      </w:pPr>
      <w:rPr>
        <w:rFonts w:hint="default"/>
        <w:lang w:val="en-US" w:eastAsia="en-US" w:bidi="ar-SA"/>
      </w:rPr>
    </w:lvl>
    <w:lvl w:ilvl="5" w:tplc="0DB2C1F6">
      <w:numFmt w:val="bullet"/>
      <w:lvlText w:val="•"/>
      <w:lvlJc w:val="left"/>
      <w:pPr>
        <w:ind w:left="4307" w:hanging="252"/>
      </w:pPr>
      <w:rPr>
        <w:rFonts w:hint="default"/>
        <w:lang w:val="en-US" w:eastAsia="en-US" w:bidi="ar-SA"/>
      </w:rPr>
    </w:lvl>
    <w:lvl w:ilvl="6" w:tplc="ADB2F792">
      <w:numFmt w:val="bullet"/>
      <w:lvlText w:val="•"/>
      <w:lvlJc w:val="left"/>
      <w:pPr>
        <w:ind w:left="5149" w:hanging="252"/>
      </w:pPr>
      <w:rPr>
        <w:rFonts w:hint="default"/>
        <w:lang w:val="en-US" w:eastAsia="en-US" w:bidi="ar-SA"/>
      </w:rPr>
    </w:lvl>
    <w:lvl w:ilvl="7" w:tplc="5B58CDD8">
      <w:numFmt w:val="bullet"/>
      <w:lvlText w:val="•"/>
      <w:lvlJc w:val="left"/>
      <w:pPr>
        <w:ind w:left="5990" w:hanging="252"/>
      </w:pPr>
      <w:rPr>
        <w:rFonts w:hint="default"/>
        <w:lang w:val="en-US" w:eastAsia="en-US" w:bidi="ar-SA"/>
      </w:rPr>
    </w:lvl>
    <w:lvl w:ilvl="8" w:tplc="5566C0FC">
      <w:numFmt w:val="bullet"/>
      <w:lvlText w:val="•"/>
      <w:lvlJc w:val="left"/>
      <w:pPr>
        <w:ind w:left="6832" w:hanging="252"/>
      </w:pPr>
      <w:rPr>
        <w:rFonts w:hint="default"/>
        <w:lang w:val="en-US" w:eastAsia="en-US" w:bidi="ar-SA"/>
      </w:rPr>
    </w:lvl>
  </w:abstractNum>
  <w:abstractNum w:abstractNumId="210" w15:restartNumberingAfterBreak="0">
    <w:nsid w:val="79284A29"/>
    <w:multiLevelType w:val="hybridMultilevel"/>
    <w:tmpl w:val="98100B0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1" w15:restartNumberingAfterBreak="0">
    <w:nsid w:val="796E4C5F"/>
    <w:multiLevelType w:val="multilevel"/>
    <w:tmpl w:val="F78ECA42"/>
    <w:lvl w:ilvl="0">
      <w:start w:val="1"/>
      <w:numFmt w:val="decimal"/>
      <w:lvlText w:val="%1"/>
      <w:lvlJc w:val="left"/>
      <w:pPr>
        <w:ind w:left="432" w:hanging="432"/>
      </w:pPr>
      <w:rPr>
        <w:rFonts w:hint="default"/>
      </w:rPr>
    </w:lvl>
    <w:lvl w:ilvl="1">
      <w:start w:val="1"/>
      <w:numFmt w:val="decimal"/>
      <w:lvlText w:val="%1.%2"/>
      <w:lvlJc w:val="left"/>
      <w:pPr>
        <w:ind w:left="66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2" w15:restartNumberingAfterBreak="0">
    <w:nsid w:val="79AB7321"/>
    <w:multiLevelType w:val="hybridMultilevel"/>
    <w:tmpl w:val="00EE2024"/>
    <w:lvl w:ilvl="0" w:tplc="FFFFFFFF">
      <w:start w:val="1"/>
      <w:numFmt w:val="lowerLetter"/>
      <w:lvlText w:val="%1)"/>
      <w:lvlJc w:val="left"/>
      <w:pPr>
        <w:ind w:left="720" w:hanging="360"/>
      </w:pPr>
      <w:rPr>
        <w:rFonts w:ascii="Times New Roman" w:eastAsia="Times New Roman" w:hAnsi="Times New Roman" w:cs="Times New Roman" w:hint="default"/>
        <w:b w:val="0"/>
        <w:b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9D5277F"/>
    <w:multiLevelType w:val="hybridMultilevel"/>
    <w:tmpl w:val="69B81848"/>
    <w:lvl w:ilvl="0" w:tplc="C31A61CC">
      <w:start w:val="1"/>
      <w:numFmt w:val="lowerLetter"/>
      <w:lvlText w:val="%1)"/>
      <w:lvlJc w:val="left"/>
      <w:pPr>
        <w:ind w:left="720" w:hanging="360"/>
      </w:pPr>
      <w:rPr>
        <w:rFonts w:ascii="Times New Roman" w:eastAsiaTheme="minorHAnsi" w:hAnsi="Times New Roman"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4" w15:restartNumberingAfterBreak="0">
    <w:nsid w:val="79F03864"/>
    <w:multiLevelType w:val="hybridMultilevel"/>
    <w:tmpl w:val="636EDC06"/>
    <w:lvl w:ilvl="0" w:tplc="4CA6E4D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A433B6D"/>
    <w:multiLevelType w:val="hybridMultilevel"/>
    <w:tmpl w:val="0C72CE60"/>
    <w:lvl w:ilvl="0" w:tplc="CA445138">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6" w15:restartNumberingAfterBreak="0">
    <w:nsid w:val="7AED322A"/>
    <w:multiLevelType w:val="hybridMultilevel"/>
    <w:tmpl w:val="C808547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7" w15:restartNumberingAfterBreak="0">
    <w:nsid w:val="7B024DC4"/>
    <w:multiLevelType w:val="multilevel"/>
    <w:tmpl w:val="3A02B858"/>
    <w:lvl w:ilvl="0">
      <w:start w:val="1"/>
      <w:numFmt w:val="decimal"/>
      <w:lvlText w:val="%1"/>
      <w:lvlJc w:val="left"/>
      <w:pPr>
        <w:ind w:left="432" w:hanging="432"/>
      </w:pPr>
      <w:rPr>
        <w:rFonts w:hint="default"/>
      </w:rPr>
    </w:lvl>
    <w:lvl w:ilvl="1">
      <w:start w:val="1"/>
      <w:numFmt w:val="decimal"/>
      <w:lvlText w:val="%1.%2"/>
      <w:lvlJc w:val="left"/>
      <w:pPr>
        <w:ind w:left="66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8" w15:restartNumberingAfterBreak="0">
    <w:nsid w:val="7C4B2EC1"/>
    <w:multiLevelType w:val="hybridMultilevel"/>
    <w:tmpl w:val="3D5EAF26"/>
    <w:lvl w:ilvl="0" w:tplc="C19AB7FC">
      <w:start w:val="1"/>
      <w:numFmt w:val="lowerLetter"/>
      <w:lvlText w:val="%1)"/>
      <w:lvlJc w:val="left"/>
      <w:pPr>
        <w:ind w:left="720" w:hanging="360"/>
      </w:pPr>
      <w:rPr>
        <w:rFonts w:ascii="Times New Roman" w:eastAsiaTheme="minorHAnsi" w:hAnsi="Times New Roman"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DA02D93"/>
    <w:multiLevelType w:val="hybridMultilevel"/>
    <w:tmpl w:val="1B76F262"/>
    <w:lvl w:ilvl="0" w:tplc="CA445138">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0" w15:restartNumberingAfterBreak="0">
    <w:nsid w:val="7DD77D42"/>
    <w:multiLevelType w:val="hybridMultilevel"/>
    <w:tmpl w:val="415A7FDC"/>
    <w:lvl w:ilvl="0" w:tplc="591C0D86">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1" w15:restartNumberingAfterBreak="0">
    <w:nsid w:val="7E252EB5"/>
    <w:multiLevelType w:val="hybridMultilevel"/>
    <w:tmpl w:val="21FE7888"/>
    <w:lvl w:ilvl="0" w:tplc="04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2" w15:restartNumberingAfterBreak="0">
    <w:nsid w:val="7F192B04"/>
    <w:multiLevelType w:val="hybridMultilevel"/>
    <w:tmpl w:val="64C672E2"/>
    <w:lvl w:ilvl="0" w:tplc="05865E42">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3" w15:restartNumberingAfterBreak="0">
    <w:nsid w:val="7F5A7F36"/>
    <w:multiLevelType w:val="hybridMultilevel"/>
    <w:tmpl w:val="3AC03D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F802306"/>
    <w:multiLevelType w:val="hybridMultilevel"/>
    <w:tmpl w:val="52C2635E"/>
    <w:lvl w:ilvl="0" w:tplc="A59C0504">
      <w:start w:val="1"/>
      <w:numFmt w:val="lowerLetter"/>
      <w:lvlText w:val="%1)"/>
      <w:lvlJc w:val="left"/>
      <w:pPr>
        <w:ind w:left="720" w:hanging="360"/>
      </w:pPr>
      <w:rPr>
        <w:rFonts w:ascii="Times New Roman" w:eastAsiaTheme="minorHAnsi" w:hAnsi="Times New Roman"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5" w15:restartNumberingAfterBreak="0">
    <w:nsid w:val="7FD010AB"/>
    <w:multiLevelType w:val="hybridMultilevel"/>
    <w:tmpl w:val="C84461B2"/>
    <w:lvl w:ilvl="0" w:tplc="FFFFFFFF">
      <w:start w:val="1"/>
      <w:numFmt w:val="bullet"/>
      <w:lvlText w:val=""/>
      <w:lvlJc w:val="left"/>
      <w:pPr>
        <w:ind w:left="720" w:hanging="360"/>
      </w:pPr>
      <w:rPr>
        <w:rFonts w:ascii="Symbol" w:hAnsi="Symbol" w:hint="default"/>
      </w:rPr>
    </w:lvl>
    <w:lvl w:ilvl="1" w:tplc="0B201098">
      <w:start w:val="1"/>
      <w:numFmt w:val="decimal"/>
      <w:lvlText w:val="%2"/>
      <w:lvlJc w:val="left"/>
      <w:pPr>
        <w:ind w:left="1440" w:hanging="360"/>
      </w:pPr>
      <w:rPr>
        <w:rFonts w:hint="default"/>
      </w:rPr>
    </w:lvl>
    <w:lvl w:ilvl="2" w:tplc="C19AB7FC">
      <w:start w:val="1"/>
      <w:numFmt w:val="lowerLetter"/>
      <w:lvlText w:val="%3)"/>
      <w:lvlJc w:val="left"/>
      <w:pPr>
        <w:ind w:left="720" w:hanging="360"/>
      </w:pPr>
      <w:rPr>
        <w:rFonts w:ascii="Times New Roman" w:eastAsiaTheme="minorHAnsi" w:hAnsi="Times New Roman" w:cstheme="minorHAnsi"/>
      </w:rPr>
    </w:lvl>
    <w:lvl w:ilvl="3" w:tplc="DE60AA84">
      <w:start w:val="1"/>
      <w:numFmt w:val="decimal"/>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7FDB422B"/>
    <w:multiLevelType w:val="hybridMultilevel"/>
    <w:tmpl w:val="C0A07552"/>
    <w:lvl w:ilvl="0" w:tplc="FFFFFFFF">
      <w:start w:val="7"/>
      <w:numFmt w:val="decimal"/>
      <w:lvlText w:val="%1."/>
      <w:lvlJc w:val="left"/>
      <w:pPr>
        <w:ind w:left="2220" w:hanging="425"/>
        <w:jc w:val="right"/>
      </w:pPr>
      <w:rPr>
        <w:rFonts w:ascii="Times New Roman" w:eastAsia="Times New Roman" w:hAnsi="Times New Roman" w:cs="Times New Roman" w:hint="default"/>
        <w:w w:val="59"/>
        <w:sz w:val="22"/>
        <w:szCs w:val="22"/>
        <w:lang w:val="en-US" w:eastAsia="en-US" w:bidi="ar-SA"/>
      </w:rPr>
    </w:lvl>
    <w:lvl w:ilvl="1" w:tplc="FFFFFFFF">
      <w:start w:val="1"/>
      <w:numFmt w:val="decimal"/>
      <w:lvlText w:val="%2)"/>
      <w:lvlJc w:val="left"/>
      <w:pPr>
        <w:ind w:left="1660" w:hanging="360"/>
      </w:pPr>
      <w:rPr>
        <w:rFonts w:ascii="Times New Roman" w:eastAsia="Times New Roman" w:hAnsi="Times New Roman" w:cs="Times New Roman" w:hint="default"/>
        <w:w w:val="99"/>
        <w:sz w:val="22"/>
        <w:szCs w:val="22"/>
        <w:lang w:val="en-US" w:eastAsia="en-US" w:bidi="ar-SA"/>
      </w:rPr>
    </w:lvl>
    <w:lvl w:ilvl="2" w:tplc="C19AB7FC">
      <w:start w:val="1"/>
      <w:numFmt w:val="lowerLetter"/>
      <w:lvlText w:val="%3)"/>
      <w:lvlJc w:val="left"/>
      <w:pPr>
        <w:ind w:left="720" w:hanging="360"/>
      </w:pPr>
      <w:rPr>
        <w:rFonts w:ascii="Times New Roman" w:eastAsiaTheme="minorHAnsi" w:hAnsi="Times New Roman" w:cstheme="minorHAnsi"/>
      </w:rPr>
    </w:lvl>
    <w:lvl w:ilvl="3" w:tplc="FFFFFFFF">
      <w:numFmt w:val="bullet"/>
      <w:lvlText w:val="•"/>
      <w:lvlJc w:val="left"/>
      <w:pPr>
        <w:ind w:left="3980" w:hanging="360"/>
      </w:pPr>
      <w:rPr>
        <w:rFonts w:hint="default"/>
        <w:lang w:val="en-US" w:eastAsia="en-US" w:bidi="ar-SA"/>
      </w:rPr>
    </w:lvl>
    <w:lvl w:ilvl="4" w:tplc="FFFFFFFF">
      <w:numFmt w:val="bullet"/>
      <w:lvlText w:val="•"/>
      <w:lvlJc w:val="left"/>
      <w:pPr>
        <w:ind w:left="4860" w:hanging="360"/>
      </w:pPr>
      <w:rPr>
        <w:rFonts w:hint="default"/>
        <w:lang w:val="en-US" w:eastAsia="en-US" w:bidi="ar-SA"/>
      </w:rPr>
    </w:lvl>
    <w:lvl w:ilvl="5" w:tplc="FFFFFFFF">
      <w:numFmt w:val="bullet"/>
      <w:lvlText w:val="•"/>
      <w:lvlJc w:val="left"/>
      <w:pPr>
        <w:ind w:left="5740" w:hanging="360"/>
      </w:pPr>
      <w:rPr>
        <w:rFonts w:hint="default"/>
        <w:lang w:val="en-US" w:eastAsia="en-US" w:bidi="ar-SA"/>
      </w:rPr>
    </w:lvl>
    <w:lvl w:ilvl="6" w:tplc="FFFFFFFF">
      <w:numFmt w:val="bullet"/>
      <w:lvlText w:val="•"/>
      <w:lvlJc w:val="left"/>
      <w:pPr>
        <w:ind w:left="6620" w:hanging="360"/>
      </w:pPr>
      <w:rPr>
        <w:rFonts w:hint="default"/>
        <w:lang w:val="en-US" w:eastAsia="en-US" w:bidi="ar-SA"/>
      </w:rPr>
    </w:lvl>
    <w:lvl w:ilvl="7" w:tplc="FFFFFFFF">
      <w:numFmt w:val="bullet"/>
      <w:lvlText w:val="•"/>
      <w:lvlJc w:val="left"/>
      <w:pPr>
        <w:ind w:left="7500" w:hanging="360"/>
      </w:pPr>
      <w:rPr>
        <w:rFonts w:hint="default"/>
        <w:lang w:val="en-US" w:eastAsia="en-US" w:bidi="ar-SA"/>
      </w:rPr>
    </w:lvl>
    <w:lvl w:ilvl="8" w:tplc="FFFFFFFF">
      <w:numFmt w:val="bullet"/>
      <w:lvlText w:val="•"/>
      <w:lvlJc w:val="left"/>
      <w:pPr>
        <w:ind w:left="8380" w:hanging="360"/>
      </w:pPr>
      <w:rPr>
        <w:rFonts w:hint="default"/>
        <w:lang w:val="en-US" w:eastAsia="en-US" w:bidi="ar-SA"/>
      </w:rPr>
    </w:lvl>
  </w:abstractNum>
  <w:num w:numId="1">
    <w:abstractNumId w:val="169"/>
  </w:num>
  <w:num w:numId="2">
    <w:abstractNumId w:val="98"/>
  </w:num>
  <w:num w:numId="3">
    <w:abstractNumId w:val="157"/>
  </w:num>
  <w:num w:numId="4">
    <w:abstractNumId w:val="52"/>
  </w:num>
  <w:num w:numId="5">
    <w:abstractNumId w:val="79"/>
  </w:num>
  <w:num w:numId="6">
    <w:abstractNumId w:val="152"/>
  </w:num>
  <w:num w:numId="7">
    <w:abstractNumId w:val="211"/>
  </w:num>
  <w:num w:numId="8">
    <w:abstractNumId w:val="45"/>
  </w:num>
  <w:num w:numId="9">
    <w:abstractNumId w:val="168"/>
  </w:num>
  <w:num w:numId="10">
    <w:abstractNumId w:val="126"/>
  </w:num>
  <w:num w:numId="11">
    <w:abstractNumId w:val="143"/>
  </w:num>
  <w:num w:numId="12">
    <w:abstractNumId w:val="141"/>
  </w:num>
  <w:num w:numId="13">
    <w:abstractNumId w:val="39"/>
  </w:num>
  <w:num w:numId="14">
    <w:abstractNumId w:val="136"/>
  </w:num>
  <w:num w:numId="15">
    <w:abstractNumId w:val="155"/>
  </w:num>
  <w:num w:numId="16">
    <w:abstractNumId w:val="118"/>
  </w:num>
  <w:num w:numId="17">
    <w:abstractNumId w:val="33"/>
  </w:num>
  <w:num w:numId="18">
    <w:abstractNumId w:val="191"/>
  </w:num>
  <w:num w:numId="19">
    <w:abstractNumId w:val="217"/>
  </w:num>
  <w:num w:numId="20">
    <w:abstractNumId w:val="202"/>
  </w:num>
  <w:num w:numId="21">
    <w:abstractNumId w:val="187"/>
  </w:num>
  <w:num w:numId="22">
    <w:abstractNumId w:val="71"/>
  </w:num>
  <w:num w:numId="23">
    <w:abstractNumId w:val="190"/>
  </w:num>
  <w:num w:numId="24">
    <w:abstractNumId w:val="101"/>
  </w:num>
  <w:num w:numId="25">
    <w:abstractNumId w:val="162"/>
  </w:num>
  <w:num w:numId="26">
    <w:abstractNumId w:val="153"/>
  </w:num>
  <w:num w:numId="27">
    <w:abstractNumId w:val="109"/>
  </w:num>
  <w:num w:numId="28">
    <w:abstractNumId w:val="88"/>
  </w:num>
  <w:num w:numId="29">
    <w:abstractNumId w:val="125"/>
  </w:num>
  <w:num w:numId="30">
    <w:abstractNumId w:val="106"/>
  </w:num>
  <w:num w:numId="31">
    <w:abstractNumId w:val="89"/>
  </w:num>
  <w:num w:numId="32">
    <w:abstractNumId w:val="28"/>
  </w:num>
  <w:num w:numId="33">
    <w:abstractNumId w:val="148"/>
  </w:num>
  <w:num w:numId="34">
    <w:abstractNumId w:val="212"/>
  </w:num>
  <w:num w:numId="35">
    <w:abstractNumId w:val="86"/>
  </w:num>
  <w:num w:numId="36">
    <w:abstractNumId w:val="116"/>
  </w:num>
  <w:num w:numId="37">
    <w:abstractNumId w:val="31"/>
  </w:num>
  <w:num w:numId="38">
    <w:abstractNumId w:val="145"/>
  </w:num>
  <w:num w:numId="39">
    <w:abstractNumId w:val="158"/>
  </w:num>
  <w:num w:numId="40">
    <w:abstractNumId w:val="35"/>
  </w:num>
  <w:num w:numId="41">
    <w:abstractNumId w:val="63"/>
  </w:num>
  <w:num w:numId="42">
    <w:abstractNumId w:val="164"/>
  </w:num>
  <w:num w:numId="43">
    <w:abstractNumId w:val="165"/>
  </w:num>
  <w:num w:numId="44">
    <w:abstractNumId w:val="173"/>
  </w:num>
  <w:num w:numId="45">
    <w:abstractNumId w:val="49"/>
  </w:num>
  <w:num w:numId="46">
    <w:abstractNumId w:val="85"/>
  </w:num>
  <w:num w:numId="47">
    <w:abstractNumId w:val="37"/>
  </w:num>
  <w:num w:numId="48">
    <w:abstractNumId w:val="21"/>
  </w:num>
  <w:num w:numId="49">
    <w:abstractNumId w:val="32"/>
  </w:num>
  <w:num w:numId="50">
    <w:abstractNumId w:val="119"/>
  </w:num>
  <w:num w:numId="51">
    <w:abstractNumId w:val="144"/>
  </w:num>
  <w:num w:numId="52">
    <w:abstractNumId w:val="214"/>
  </w:num>
  <w:num w:numId="53">
    <w:abstractNumId w:val="138"/>
  </w:num>
  <w:num w:numId="54">
    <w:abstractNumId w:val="218"/>
  </w:num>
  <w:num w:numId="55">
    <w:abstractNumId w:val="95"/>
  </w:num>
  <w:num w:numId="56">
    <w:abstractNumId w:val="195"/>
  </w:num>
  <w:num w:numId="57">
    <w:abstractNumId w:val="114"/>
  </w:num>
  <w:num w:numId="58">
    <w:abstractNumId w:val="48"/>
  </w:num>
  <w:num w:numId="59">
    <w:abstractNumId w:val="115"/>
  </w:num>
  <w:num w:numId="60">
    <w:abstractNumId w:val="82"/>
  </w:num>
  <w:num w:numId="61">
    <w:abstractNumId w:val="117"/>
  </w:num>
  <w:num w:numId="62">
    <w:abstractNumId w:val="140"/>
  </w:num>
  <w:num w:numId="63">
    <w:abstractNumId w:val="142"/>
  </w:num>
  <w:num w:numId="64">
    <w:abstractNumId w:val="64"/>
  </w:num>
  <w:num w:numId="65">
    <w:abstractNumId w:val="18"/>
  </w:num>
  <w:num w:numId="66">
    <w:abstractNumId w:val="47"/>
  </w:num>
  <w:num w:numId="67">
    <w:abstractNumId w:val="189"/>
  </w:num>
  <w:num w:numId="68">
    <w:abstractNumId w:val="111"/>
  </w:num>
  <w:num w:numId="69">
    <w:abstractNumId w:val="185"/>
  </w:num>
  <w:num w:numId="70">
    <w:abstractNumId w:val="180"/>
  </w:num>
  <w:num w:numId="71">
    <w:abstractNumId w:val="123"/>
  </w:num>
  <w:num w:numId="72">
    <w:abstractNumId w:val="112"/>
  </w:num>
  <w:num w:numId="73">
    <w:abstractNumId w:val="41"/>
  </w:num>
  <w:num w:numId="74">
    <w:abstractNumId w:val="223"/>
  </w:num>
  <w:num w:numId="75">
    <w:abstractNumId w:val="172"/>
  </w:num>
  <w:num w:numId="76">
    <w:abstractNumId w:val="72"/>
  </w:num>
  <w:num w:numId="77">
    <w:abstractNumId w:val="66"/>
  </w:num>
  <w:num w:numId="78">
    <w:abstractNumId w:val="69"/>
  </w:num>
  <w:num w:numId="79">
    <w:abstractNumId w:val="105"/>
  </w:num>
  <w:num w:numId="80">
    <w:abstractNumId w:val="68"/>
  </w:num>
  <w:num w:numId="81">
    <w:abstractNumId w:val="23"/>
  </w:num>
  <w:num w:numId="82">
    <w:abstractNumId w:val="100"/>
  </w:num>
  <w:num w:numId="83">
    <w:abstractNumId w:val="76"/>
  </w:num>
  <w:num w:numId="84">
    <w:abstractNumId w:val="196"/>
  </w:num>
  <w:num w:numId="85">
    <w:abstractNumId w:val="182"/>
  </w:num>
  <w:num w:numId="86">
    <w:abstractNumId w:val="80"/>
  </w:num>
  <w:num w:numId="87">
    <w:abstractNumId w:val="62"/>
  </w:num>
  <w:num w:numId="88">
    <w:abstractNumId w:val="93"/>
  </w:num>
  <w:num w:numId="89">
    <w:abstractNumId w:val="56"/>
  </w:num>
  <w:num w:numId="90">
    <w:abstractNumId w:val="54"/>
  </w:num>
  <w:num w:numId="91">
    <w:abstractNumId w:val="102"/>
  </w:num>
  <w:num w:numId="92">
    <w:abstractNumId w:val="34"/>
  </w:num>
  <w:num w:numId="93">
    <w:abstractNumId w:val="24"/>
  </w:num>
  <w:num w:numId="94">
    <w:abstractNumId w:val="25"/>
  </w:num>
  <w:num w:numId="95">
    <w:abstractNumId w:val="128"/>
  </w:num>
  <w:num w:numId="96">
    <w:abstractNumId w:val="30"/>
  </w:num>
  <w:num w:numId="97">
    <w:abstractNumId w:val="19"/>
  </w:num>
  <w:num w:numId="98">
    <w:abstractNumId w:val="193"/>
  </w:num>
  <w:num w:numId="99">
    <w:abstractNumId w:val="226"/>
  </w:num>
  <w:num w:numId="100">
    <w:abstractNumId w:val="29"/>
  </w:num>
  <w:num w:numId="101">
    <w:abstractNumId w:val="20"/>
  </w:num>
  <w:num w:numId="102">
    <w:abstractNumId w:val="225"/>
  </w:num>
  <w:num w:numId="103">
    <w:abstractNumId w:val="175"/>
  </w:num>
  <w:num w:numId="104">
    <w:abstractNumId w:val="58"/>
  </w:num>
  <w:num w:numId="105">
    <w:abstractNumId w:val="51"/>
  </w:num>
  <w:num w:numId="106">
    <w:abstractNumId w:val="104"/>
  </w:num>
  <w:num w:numId="107">
    <w:abstractNumId w:val="192"/>
  </w:num>
  <w:num w:numId="108">
    <w:abstractNumId w:val="70"/>
  </w:num>
  <w:num w:numId="109">
    <w:abstractNumId w:val="53"/>
  </w:num>
  <w:num w:numId="110">
    <w:abstractNumId w:val="65"/>
  </w:num>
  <w:num w:numId="111">
    <w:abstractNumId w:val="134"/>
  </w:num>
  <w:num w:numId="112">
    <w:abstractNumId w:val="216"/>
  </w:num>
  <w:num w:numId="113">
    <w:abstractNumId w:val="163"/>
  </w:num>
  <w:num w:numId="114">
    <w:abstractNumId w:val="130"/>
  </w:num>
  <w:num w:numId="115">
    <w:abstractNumId w:val="161"/>
  </w:num>
  <w:num w:numId="116">
    <w:abstractNumId w:val="224"/>
  </w:num>
  <w:num w:numId="117">
    <w:abstractNumId w:val="133"/>
  </w:num>
  <w:num w:numId="118">
    <w:abstractNumId w:val="178"/>
  </w:num>
  <w:num w:numId="119">
    <w:abstractNumId w:val="99"/>
  </w:num>
  <w:num w:numId="120">
    <w:abstractNumId w:val="213"/>
  </w:num>
  <w:num w:numId="121">
    <w:abstractNumId w:val="92"/>
  </w:num>
  <w:num w:numId="122">
    <w:abstractNumId w:val="127"/>
  </w:num>
  <w:num w:numId="123">
    <w:abstractNumId w:val="210"/>
  </w:num>
  <w:num w:numId="124">
    <w:abstractNumId w:val="200"/>
  </w:num>
  <w:num w:numId="125">
    <w:abstractNumId w:val="184"/>
  </w:num>
  <w:num w:numId="126">
    <w:abstractNumId w:val="81"/>
  </w:num>
  <w:num w:numId="127">
    <w:abstractNumId w:val="129"/>
  </w:num>
  <w:num w:numId="128">
    <w:abstractNumId w:val="203"/>
  </w:num>
  <w:num w:numId="129">
    <w:abstractNumId w:val="84"/>
  </w:num>
  <w:num w:numId="130">
    <w:abstractNumId w:val="124"/>
  </w:num>
  <w:num w:numId="131">
    <w:abstractNumId w:val="174"/>
  </w:num>
  <w:num w:numId="132">
    <w:abstractNumId w:val="91"/>
  </w:num>
  <w:num w:numId="133">
    <w:abstractNumId w:val="78"/>
  </w:num>
  <w:num w:numId="134">
    <w:abstractNumId w:val="103"/>
  </w:num>
  <w:num w:numId="135">
    <w:abstractNumId w:val="194"/>
  </w:num>
  <w:num w:numId="136">
    <w:abstractNumId w:val="90"/>
  </w:num>
  <w:num w:numId="137">
    <w:abstractNumId w:val="137"/>
  </w:num>
  <w:num w:numId="138">
    <w:abstractNumId w:val="122"/>
  </w:num>
  <w:num w:numId="139">
    <w:abstractNumId w:val="151"/>
  </w:num>
  <w:num w:numId="140">
    <w:abstractNumId w:val="44"/>
  </w:num>
  <w:num w:numId="141">
    <w:abstractNumId w:val="110"/>
  </w:num>
  <w:num w:numId="142">
    <w:abstractNumId w:val="170"/>
  </w:num>
  <w:num w:numId="143">
    <w:abstractNumId w:val="204"/>
  </w:num>
  <w:num w:numId="144">
    <w:abstractNumId w:val="159"/>
  </w:num>
  <w:num w:numId="145">
    <w:abstractNumId w:val="221"/>
  </w:num>
  <w:num w:numId="146">
    <w:abstractNumId w:val="131"/>
  </w:num>
  <w:num w:numId="147">
    <w:abstractNumId w:val="177"/>
  </w:num>
  <w:num w:numId="148">
    <w:abstractNumId w:val="186"/>
  </w:num>
  <w:num w:numId="149">
    <w:abstractNumId w:val="166"/>
  </w:num>
  <w:num w:numId="150">
    <w:abstractNumId w:val="199"/>
  </w:num>
  <w:num w:numId="151">
    <w:abstractNumId w:val="201"/>
  </w:num>
  <w:num w:numId="152">
    <w:abstractNumId w:val="40"/>
  </w:num>
  <w:num w:numId="153">
    <w:abstractNumId w:val="46"/>
  </w:num>
  <w:num w:numId="154">
    <w:abstractNumId w:val="171"/>
  </w:num>
  <w:num w:numId="155">
    <w:abstractNumId w:val="167"/>
  </w:num>
  <w:num w:numId="156">
    <w:abstractNumId w:val="97"/>
  </w:num>
  <w:num w:numId="157">
    <w:abstractNumId w:val="55"/>
  </w:num>
  <w:num w:numId="158">
    <w:abstractNumId w:val="43"/>
  </w:num>
  <w:num w:numId="159">
    <w:abstractNumId w:val="74"/>
  </w:num>
  <w:num w:numId="160">
    <w:abstractNumId w:val="206"/>
  </w:num>
  <w:num w:numId="161">
    <w:abstractNumId w:val="188"/>
  </w:num>
  <w:num w:numId="162">
    <w:abstractNumId w:val="135"/>
  </w:num>
  <w:num w:numId="163">
    <w:abstractNumId w:val="87"/>
  </w:num>
  <w:num w:numId="164">
    <w:abstractNumId w:val="146"/>
  </w:num>
  <w:num w:numId="165">
    <w:abstractNumId w:val="26"/>
  </w:num>
  <w:num w:numId="166">
    <w:abstractNumId w:val="96"/>
  </w:num>
  <w:num w:numId="167">
    <w:abstractNumId w:val="121"/>
  </w:num>
  <w:num w:numId="168">
    <w:abstractNumId w:val="75"/>
  </w:num>
  <w:num w:numId="169">
    <w:abstractNumId w:val="73"/>
  </w:num>
  <w:num w:numId="170">
    <w:abstractNumId w:val="209"/>
  </w:num>
  <w:num w:numId="171">
    <w:abstractNumId w:val="181"/>
  </w:num>
  <w:num w:numId="172">
    <w:abstractNumId w:val="150"/>
  </w:num>
  <w:num w:numId="173">
    <w:abstractNumId w:val="36"/>
  </w:num>
  <w:num w:numId="174">
    <w:abstractNumId w:val="60"/>
  </w:num>
  <w:num w:numId="175">
    <w:abstractNumId w:val="59"/>
  </w:num>
  <w:num w:numId="176">
    <w:abstractNumId w:val="219"/>
  </w:num>
  <w:num w:numId="177">
    <w:abstractNumId w:val="108"/>
  </w:num>
  <w:num w:numId="178">
    <w:abstractNumId w:val="38"/>
  </w:num>
  <w:num w:numId="179">
    <w:abstractNumId w:val="83"/>
  </w:num>
  <w:num w:numId="180">
    <w:abstractNumId w:val="27"/>
  </w:num>
  <w:num w:numId="181">
    <w:abstractNumId w:val="67"/>
  </w:num>
  <w:num w:numId="182">
    <w:abstractNumId w:val="120"/>
  </w:num>
  <w:num w:numId="183">
    <w:abstractNumId w:val="42"/>
  </w:num>
  <w:num w:numId="184">
    <w:abstractNumId w:val="215"/>
  </w:num>
  <w:num w:numId="185">
    <w:abstractNumId w:val="22"/>
  </w:num>
  <w:num w:numId="186">
    <w:abstractNumId w:val="57"/>
  </w:num>
  <w:num w:numId="187">
    <w:abstractNumId w:val="179"/>
  </w:num>
  <w:num w:numId="188">
    <w:abstractNumId w:val="50"/>
  </w:num>
  <w:num w:numId="189">
    <w:abstractNumId w:val="77"/>
  </w:num>
  <w:num w:numId="190">
    <w:abstractNumId w:val="154"/>
  </w:num>
  <w:num w:numId="191">
    <w:abstractNumId w:val="183"/>
  </w:num>
  <w:num w:numId="192">
    <w:abstractNumId w:val="220"/>
  </w:num>
  <w:num w:numId="193">
    <w:abstractNumId w:val="107"/>
  </w:num>
  <w:num w:numId="194">
    <w:abstractNumId w:val="94"/>
  </w:num>
  <w:num w:numId="195">
    <w:abstractNumId w:val="207"/>
  </w:num>
  <w:num w:numId="196">
    <w:abstractNumId w:val="222"/>
  </w:num>
  <w:num w:numId="197">
    <w:abstractNumId w:val="156"/>
  </w:num>
  <w:num w:numId="198">
    <w:abstractNumId w:val="197"/>
  </w:num>
  <w:num w:numId="199">
    <w:abstractNumId w:val="198"/>
  </w:num>
  <w:num w:numId="200">
    <w:abstractNumId w:val="205"/>
  </w:num>
  <w:num w:numId="201">
    <w:abstractNumId w:val="113"/>
  </w:num>
  <w:num w:numId="202">
    <w:abstractNumId w:val="61"/>
  </w:num>
  <w:num w:numId="203">
    <w:abstractNumId w:val="208"/>
  </w:num>
  <w:num w:numId="204">
    <w:abstractNumId w:val="0"/>
  </w:num>
  <w:num w:numId="205">
    <w:abstractNumId w:val="1"/>
  </w:num>
  <w:num w:numId="206">
    <w:abstractNumId w:val="2"/>
  </w:num>
  <w:num w:numId="207">
    <w:abstractNumId w:val="3"/>
  </w:num>
  <w:num w:numId="208">
    <w:abstractNumId w:val="4"/>
  </w:num>
  <w:num w:numId="209">
    <w:abstractNumId w:val="5"/>
  </w:num>
  <w:num w:numId="210">
    <w:abstractNumId w:val="6"/>
  </w:num>
  <w:num w:numId="211">
    <w:abstractNumId w:val="7"/>
  </w:num>
  <w:num w:numId="212">
    <w:abstractNumId w:val="8"/>
  </w:num>
  <w:num w:numId="213">
    <w:abstractNumId w:val="9"/>
  </w:num>
  <w:num w:numId="214">
    <w:abstractNumId w:val="10"/>
  </w:num>
  <w:num w:numId="215">
    <w:abstractNumId w:val="11"/>
  </w:num>
  <w:num w:numId="216">
    <w:abstractNumId w:val="12"/>
  </w:num>
  <w:num w:numId="217">
    <w:abstractNumId w:val="13"/>
  </w:num>
  <w:num w:numId="218">
    <w:abstractNumId w:val="14"/>
  </w:num>
  <w:num w:numId="219">
    <w:abstractNumId w:val="15"/>
  </w:num>
  <w:num w:numId="220">
    <w:abstractNumId w:val="16"/>
  </w:num>
  <w:num w:numId="221">
    <w:abstractNumId w:val="17"/>
  </w:num>
  <w:num w:numId="222">
    <w:abstractNumId w:val="139"/>
  </w:num>
  <w:num w:numId="223">
    <w:abstractNumId w:val="132"/>
  </w:num>
  <w:num w:numId="224">
    <w:abstractNumId w:val="147"/>
  </w:num>
  <w:num w:numId="225">
    <w:abstractNumId w:val="160"/>
  </w:num>
  <w:num w:numId="226">
    <w:abstractNumId w:val="176"/>
  </w:num>
  <w:num w:numId="227">
    <w:abstractNumId w:val="149"/>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3MDQytAAiS0tzMyUdpeDU4uLM/DyQAkOjWgAb6FhILQAAAA=="/>
  </w:docVars>
  <w:rsids>
    <w:rsidRoot w:val="00CA443F"/>
    <w:rsid w:val="00000168"/>
    <w:rsid w:val="0000052A"/>
    <w:rsid w:val="000006E1"/>
    <w:rsid w:val="000008A3"/>
    <w:rsid w:val="0000096C"/>
    <w:rsid w:val="00000EC5"/>
    <w:rsid w:val="000014A8"/>
    <w:rsid w:val="000014BF"/>
    <w:rsid w:val="00001816"/>
    <w:rsid w:val="00001D67"/>
    <w:rsid w:val="00002266"/>
    <w:rsid w:val="0000299C"/>
    <w:rsid w:val="00002E6B"/>
    <w:rsid w:val="000039B0"/>
    <w:rsid w:val="00003C06"/>
    <w:rsid w:val="00003DB8"/>
    <w:rsid w:val="0000452F"/>
    <w:rsid w:val="000047A1"/>
    <w:rsid w:val="00004830"/>
    <w:rsid w:val="00004ADF"/>
    <w:rsid w:val="00004B9A"/>
    <w:rsid w:val="0000535E"/>
    <w:rsid w:val="0000556B"/>
    <w:rsid w:val="00005A83"/>
    <w:rsid w:val="00005ACD"/>
    <w:rsid w:val="00006953"/>
    <w:rsid w:val="00006AFF"/>
    <w:rsid w:val="000071F5"/>
    <w:rsid w:val="000074C5"/>
    <w:rsid w:val="00007783"/>
    <w:rsid w:val="00007807"/>
    <w:rsid w:val="0000795B"/>
    <w:rsid w:val="00007980"/>
    <w:rsid w:val="00007DDB"/>
    <w:rsid w:val="00007EAC"/>
    <w:rsid w:val="00010216"/>
    <w:rsid w:val="000103D4"/>
    <w:rsid w:val="000103FC"/>
    <w:rsid w:val="0001063B"/>
    <w:rsid w:val="000109DD"/>
    <w:rsid w:val="00010A8E"/>
    <w:rsid w:val="000115EB"/>
    <w:rsid w:val="0001191F"/>
    <w:rsid w:val="0001220D"/>
    <w:rsid w:val="0001252B"/>
    <w:rsid w:val="00012B38"/>
    <w:rsid w:val="000132DE"/>
    <w:rsid w:val="000134BF"/>
    <w:rsid w:val="0001356D"/>
    <w:rsid w:val="00013610"/>
    <w:rsid w:val="00013839"/>
    <w:rsid w:val="00013AE4"/>
    <w:rsid w:val="0001409C"/>
    <w:rsid w:val="00014B63"/>
    <w:rsid w:val="00015753"/>
    <w:rsid w:val="0001582D"/>
    <w:rsid w:val="00015A0A"/>
    <w:rsid w:val="00015CED"/>
    <w:rsid w:val="0001610F"/>
    <w:rsid w:val="00016489"/>
    <w:rsid w:val="00016873"/>
    <w:rsid w:val="000169BA"/>
    <w:rsid w:val="00016E18"/>
    <w:rsid w:val="00016FCD"/>
    <w:rsid w:val="0001751B"/>
    <w:rsid w:val="00017647"/>
    <w:rsid w:val="00020872"/>
    <w:rsid w:val="0002088C"/>
    <w:rsid w:val="00021459"/>
    <w:rsid w:val="00021468"/>
    <w:rsid w:val="00021B76"/>
    <w:rsid w:val="0002257B"/>
    <w:rsid w:val="000226F6"/>
    <w:rsid w:val="00023773"/>
    <w:rsid w:val="000245ED"/>
    <w:rsid w:val="00024D1F"/>
    <w:rsid w:val="00024D2C"/>
    <w:rsid w:val="00025161"/>
    <w:rsid w:val="000252EB"/>
    <w:rsid w:val="000253CB"/>
    <w:rsid w:val="00025666"/>
    <w:rsid w:val="000259E9"/>
    <w:rsid w:val="00025C80"/>
    <w:rsid w:val="0002605B"/>
    <w:rsid w:val="000260F7"/>
    <w:rsid w:val="00026592"/>
    <w:rsid w:val="00026A9F"/>
    <w:rsid w:val="0002710B"/>
    <w:rsid w:val="0002737C"/>
    <w:rsid w:val="000275AF"/>
    <w:rsid w:val="00027720"/>
    <w:rsid w:val="00027914"/>
    <w:rsid w:val="00027C6A"/>
    <w:rsid w:val="0003013F"/>
    <w:rsid w:val="0003095F"/>
    <w:rsid w:val="00030DA3"/>
    <w:rsid w:val="00030F0A"/>
    <w:rsid w:val="00031032"/>
    <w:rsid w:val="00031151"/>
    <w:rsid w:val="00031C19"/>
    <w:rsid w:val="00031CB5"/>
    <w:rsid w:val="000320D1"/>
    <w:rsid w:val="00032781"/>
    <w:rsid w:val="0003280E"/>
    <w:rsid w:val="00032FF0"/>
    <w:rsid w:val="000333E4"/>
    <w:rsid w:val="000333F2"/>
    <w:rsid w:val="000335F0"/>
    <w:rsid w:val="00033B83"/>
    <w:rsid w:val="00033CF9"/>
    <w:rsid w:val="00033E32"/>
    <w:rsid w:val="000343EF"/>
    <w:rsid w:val="000346D3"/>
    <w:rsid w:val="00034C82"/>
    <w:rsid w:val="00034DC3"/>
    <w:rsid w:val="00035454"/>
    <w:rsid w:val="00035D06"/>
    <w:rsid w:val="00035D31"/>
    <w:rsid w:val="00035DC8"/>
    <w:rsid w:val="0003603D"/>
    <w:rsid w:val="00036388"/>
    <w:rsid w:val="0003682C"/>
    <w:rsid w:val="0003756F"/>
    <w:rsid w:val="00037B84"/>
    <w:rsid w:val="00037F70"/>
    <w:rsid w:val="00041813"/>
    <w:rsid w:val="00041B5C"/>
    <w:rsid w:val="00041BA1"/>
    <w:rsid w:val="000420FE"/>
    <w:rsid w:val="00042733"/>
    <w:rsid w:val="00042F4A"/>
    <w:rsid w:val="00043269"/>
    <w:rsid w:val="00043625"/>
    <w:rsid w:val="000439CC"/>
    <w:rsid w:val="00043B4C"/>
    <w:rsid w:val="00043CEC"/>
    <w:rsid w:val="00043EA1"/>
    <w:rsid w:val="00043FEC"/>
    <w:rsid w:val="00044122"/>
    <w:rsid w:val="00045DC1"/>
    <w:rsid w:val="00046685"/>
    <w:rsid w:val="00047364"/>
    <w:rsid w:val="0004737A"/>
    <w:rsid w:val="0004753A"/>
    <w:rsid w:val="00047573"/>
    <w:rsid w:val="000477CA"/>
    <w:rsid w:val="000479D7"/>
    <w:rsid w:val="0005017A"/>
    <w:rsid w:val="000509C2"/>
    <w:rsid w:val="00050D27"/>
    <w:rsid w:val="0005145D"/>
    <w:rsid w:val="000518C7"/>
    <w:rsid w:val="000519F2"/>
    <w:rsid w:val="00052553"/>
    <w:rsid w:val="00052877"/>
    <w:rsid w:val="000528E1"/>
    <w:rsid w:val="00052DC2"/>
    <w:rsid w:val="00052DCC"/>
    <w:rsid w:val="00052DEB"/>
    <w:rsid w:val="00053336"/>
    <w:rsid w:val="000533ED"/>
    <w:rsid w:val="0005344C"/>
    <w:rsid w:val="00053532"/>
    <w:rsid w:val="00053871"/>
    <w:rsid w:val="00053DCD"/>
    <w:rsid w:val="00053EAC"/>
    <w:rsid w:val="00053ECD"/>
    <w:rsid w:val="00055597"/>
    <w:rsid w:val="000557C0"/>
    <w:rsid w:val="000563DD"/>
    <w:rsid w:val="000566B1"/>
    <w:rsid w:val="000569B2"/>
    <w:rsid w:val="00056C9B"/>
    <w:rsid w:val="00056D91"/>
    <w:rsid w:val="00056E45"/>
    <w:rsid w:val="000570DF"/>
    <w:rsid w:val="0005737C"/>
    <w:rsid w:val="0005798F"/>
    <w:rsid w:val="00060048"/>
    <w:rsid w:val="00060055"/>
    <w:rsid w:val="000601F2"/>
    <w:rsid w:val="00060DEE"/>
    <w:rsid w:val="00061015"/>
    <w:rsid w:val="00061221"/>
    <w:rsid w:val="000618F9"/>
    <w:rsid w:val="00061C3F"/>
    <w:rsid w:val="00061ED6"/>
    <w:rsid w:val="00062017"/>
    <w:rsid w:val="00062661"/>
    <w:rsid w:val="00062910"/>
    <w:rsid w:val="00062B4E"/>
    <w:rsid w:val="00062F83"/>
    <w:rsid w:val="000630B0"/>
    <w:rsid w:val="0006342C"/>
    <w:rsid w:val="00063A51"/>
    <w:rsid w:val="00063E43"/>
    <w:rsid w:val="00063F9C"/>
    <w:rsid w:val="0006416A"/>
    <w:rsid w:val="00064368"/>
    <w:rsid w:val="0006448D"/>
    <w:rsid w:val="000645E3"/>
    <w:rsid w:val="000646DD"/>
    <w:rsid w:val="00064905"/>
    <w:rsid w:val="00064F70"/>
    <w:rsid w:val="00065C7A"/>
    <w:rsid w:val="0006609C"/>
    <w:rsid w:val="000660F3"/>
    <w:rsid w:val="00066133"/>
    <w:rsid w:val="00066456"/>
    <w:rsid w:val="0006680A"/>
    <w:rsid w:val="00066BF8"/>
    <w:rsid w:val="00067125"/>
    <w:rsid w:val="0006712A"/>
    <w:rsid w:val="0006716C"/>
    <w:rsid w:val="0006727D"/>
    <w:rsid w:val="00067310"/>
    <w:rsid w:val="0006748F"/>
    <w:rsid w:val="000679B9"/>
    <w:rsid w:val="00067A63"/>
    <w:rsid w:val="00070507"/>
    <w:rsid w:val="00070701"/>
    <w:rsid w:val="00070C29"/>
    <w:rsid w:val="00071507"/>
    <w:rsid w:val="000715D3"/>
    <w:rsid w:val="0007194A"/>
    <w:rsid w:val="00071BC7"/>
    <w:rsid w:val="0007213D"/>
    <w:rsid w:val="0007227D"/>
    <w:rsid w:val="000722D7"/>
    <w:rsid w:val="000723D7"/>
    <w:rsid w:val="00072E22"/>
    <w:rsid w:val="00072F98"/>
    <w:rsid w:val="000731F4"/>
    <w:rsid w:val="000734CB"/>
    <w:rsid w:val="00073965"/>
    <w:rsid w:val="0007398C"/>
    <w:rsid w:val="00073B0D"/>
    <w:rsid w:val="00073C10"/>
    <w:rsid w:val="00073D7D"/>
    <w:rsid w:val="0007454E"/>
    <w:rsid w:val="00074898"/>
    <w:rsid w:val="00074910"/>
    <w:rsid w:val="00074B93"/>
    <w:rsid w:val="00074EDB"/>
    <w:rsid w:val="00074F91"/>
    <w:rsid w:val="00075082"/>
    <w:rsid w:val="00075A14"/>
    <w:rsid w:val="00077599"/>
    <w:rsid w:val="00077D09"/>
    <w:rsid w:val="00077FC8"/>
    <w:rsid w:val="000802E5"/>
    <w:rsid w:val="000805C0"/>
    <w:rsid w:val="000808B2"/>
    <w:rsid w:val="00080949"/>
    <w:rsid w:val="00080E90"/>
    <w:rsid w:val="0008159D"/>
    <w:rsid w:val="000816D0"/>
    <w:rsid w:val="0008172F"/>
    <w:rsid w:val="000817F9"/>
    <w:rsid w:val="00081E47"/>
    <w:rsid w:val="00082025"/>
    <w:rsid w:val="00082052"/>
    <w:rsid w:val="000826F2"/>
    <w:rsid w:val="000828A9"/>
    <w:rsid w:val="00082F04"/>
    <w:rsid w:val="00083792"/>
    <w:rsid w:val="00083BE8"/>
    <w:rsid w:val="00084248"/>
    <w:rsid w:val="00084420"/>
    <w:rsid w:val="00084B16"/>
    <w:rsid w:val="00084D8D"/>
    <w:rsid w:val="000851F0"/>
    <w:rsid w:val="000854D7"/>
    <w:rsid w:val="00085CCD"/>
    <w:rsid w:val="000861AB"/>
    <w:rsid w:val="0008625D"/>
    <w:rsid w:val="00086D74"/>
    <w:rsid w:val="00086EEC"/>
    <w:rsid w:val="00087445"/>
    <w:rsid w:val="00087520"/>
    <w:rsid w:val="000875BD"/>
    <w:rsid w:val="00090007"/>
    <w:rsid w:val="000909C9"/>
    <w:rsid w:val="00090AC5"/>
    <w:rsid w:val="00090B91"/>
    <w:rsid w:val="00090BF0"/>
    <w:rsid w:val="00090E3E"/>
    <w:rsid w:val="00090EEC"/>
    <w:rsid w:val="000913CE"/>
    <w:rsid w:val="00091831"/>
    <w:rsid w:val="000918CE"/>
    <w:rsid w:val="000925CA"/>
    <w:rsid w:val="00092607"/>
    <w:rsid w:val="00092C10"/>
    <w:rsid w:val="00092F5F"/>
    <w:rsid w:val="0009360D"/>
    <w:rsid w:val="0009397D"/>
    <w:rsid w:val="00093A21"/>
    <w:rsid w:val="00094F17"/>
    <w:rsid w:val="0009514E"/>
    <w:rsid w:val="00095AD4"/>
    <w:rsid w:val="00095D54"/>
    <w:rsid w:val="000961FF"/>
    <w:rsid w:val="000968EA"/>
    <w:rsid w:val="00096AEA"/>
    <w:rsid w:val="00096BCE"/>
    <w:rsid w:val="00096D8A"/>
    <w:rsid w:val="00096F94"/>
    <w:rsid w:val="000979F8"/>
    <w:rsid w:val="00097B63"/>
    <w:rsid w:val="00097BAE"/>
    <w:rsid w:val="00097C53"/>
    <w:rsid w:val="00097E98"/>
    <w:rsid w:val="000A00DD"/>
    <w:rsid w:val="000A086E"/>
    <w:rsid w:val="000A10CA"/>
    <w:rsid w:val="000A1194"/>
    <w:rsid w:val="000A1BD2"/>
    <w:rsid w:val="000A2101"/>
    <w:rsid w:val="000A2D74"/>
    <w:rsid w:val="000A2F7F"/>
    <w:rsid w:val="000A3023"/>
    <w:rsid w:val="000A30A6"/>
    <w:rsid w:val="000A3419"/>
    <w:rsid w:val="000A361A"/>
    <w:rsid w:val="000A38AD"/>
    <w:rsid w:val="000A3C7B"/>
    <w:rsid w:val="000A4128"/>
    <w:rsid w:val="000A4B38"/>
    <w:rsid w:val="000A4BA9"/>
    <w:rsid w:val="000A4CCC"/>
    <w:rsid w:val="000A52B0"/>
    <w:rsid w:val="000A5740"/>
    <w:rsid w:val="000A58BF"/>
    <w:rsid w:val="000A58EA"/>
    <w:rsid w:val="000A64C7"/>
    <w:rsid w:val="000A6678"/>
    <w:rsid w:val="000A6D78"/>
    <w:rsid w:val="000A70A3"/>
    <w:rsid w:val="000A73D1"/>
    <w:rsid w:val="000A7D1F"/>
    <w:rsid w:val="000B01D2"/>
    <w:rsid w:val="000B0296"/>
    <w:rsid w:val="000B0BAA"/>
    <w:rsid w:val="000B0DF0"/>
    <w:rsid w:val="000B0DFA"/>
    <w:rsid w:val="000B1266"/>
    <w:rsid w:val="000B1321"/>
    <w:rsid w:val="000B1398"/>
    <w:rsid w:val="000B19FF"/>
    <w:rsid w:val="000B1ED1"/>
    <w:rsid w:val="000B1EE6"/>
    <w:rsid w:val="000B206D"/>
    <w:rsid w:val="000B219C"/>
    <w:rsid w:val="000B28F1"/>
    <w:rsid w:val="000B30C6"/>
    <w:rsid w:val="000B3302"/>
    <w:rsid w:val="000B393C"/>
    <w:rsid w:val="000B4011"/>
    <w:rsid w:val="000B4271"/>
    <w:rsid w:val="000B42E5"/>
    <w:rsid w:val="000B4482"/>
    <w:rsid w:val="000B46DD"/>
    <w:rsid w:val="000B53EE"/>
    <w:rsid w:val="000B54E1"/>
    <w:rsid w:val="000B57BE"/>
    <w:rsid w:val="000B5971"/>
    <w:rsid w:val="000B5A42"/>
    <w:rsid w:val="000B5C4D"/>
    <w:rsid w:val="000B6214"/>
    <w:rsid w:val="000B6241"/>
    <w:rsid w:val="000B6BBB"/>
    <w:rsid w:val="000B7186"/>
    <w:rsid w:val="000B7452"/>
    <w:rsid w:val="000B7954"/>
    <w:rsid w:val="000C01E6"/>
    <w:rsid w:val="000C05D1"/>
    <w:rsid w:val="000C076F"/>
    <w:rsid w:val="000C0B83"/>
    <w:rsid w:val="000C0D63"/>
    <w:rsid w:val="000C0D6C"/>
    <w:rsid w:val="000C1102"/>
    <w:rsid w:val="000C1587"/>
    <w:rsid w:val="000C16C9"/>
    <w:rsid w:val="000C18E9"/>
    <w:rsid w:val="000C20F7"/>
    <w:rsid w:val="000C2549"/>
    <w:rsid w:val="000C2619"/>
    <w:rsid w:val="000C275A"/>
    <w:rsid w:val="000C2796"/>
    <w:rsid w:val="000C2FAE"/>
    <w:rsid w:val="000C31CD"/>
    <w:rsid w:val="000C40FF"/>
    <w:rsid w:val="000C42D2"/>
    <w:rsid w:val="000C475F"/>
    <w:rsid w:val="000C4857"/>
    <w:rsid w:val="000C4928"/>
    <w:rsid w:val="000C4B28"/>
    <w:rsid w:val="000C59D6"/>
    <w:rsid w:val="000C5CD2"/>
    <w:rsid w:val="000C603D"/>
    <w:rsid w:val="000C6855"/>
    <w:rsid w:val="000C6C60"/>
    <w:rsid w:val="000C6E5B"/>
    <w:rsid w:val="000C73D0"/>
    <w:rsid w:val="000D0FF4"/>
    <w:rsid w:val="000D1198"/>
    <w:rsid w:val="000D12B9"/>
    <w:rsid w:val="000D1302"/>
    <w:rsid w:val="000D22BC"/>
    <w:rsid w:val="000D243B"/>
    <w:rsid w:val="000D28A7"/>
    <w:rsid w:val="000D2E3C"/>
    <w:rsid w:val="000D2ECE"/>
    <w:rsid w:val="000D2F28"/>
    <w:rsid w:val="000D31C3"/>
    <w:rsid w:val="000D3360"/>
    <w:rsid w:val="000D3536"/>
    <w:rsid w:val="000D3A8F"/>
    <w:rsid w:val="000D48B5"/>
    <w:rsid w:val="000D4A3D"/>
    <w:rsid w:val="000D4B29"/>
    <w:rsid w:val="000D4C56"/>
    <w:rsid w:val="000D525C"/>
    <w:rsid w:val="000D529F"/>
    <w:rsid w:val="000D629C"/>
    <w:rsid w:val="000D662E"/>
    <w:rsid w:val="000D66B6"/>
    <w:rsid w:val="000D69F5"/>
    <w:rsid w:val="000D6D4D"/>
    <w:rsid w:val="000D7293"/>
    <w:rsid w:val="000D77A8"/>
    <w:rsid w:val="000D78E7"/>
    <w:rsid w:val="000E013D"/>
    <w:rsid w:val="000E074E"/>
    <w:rsid w:val="000E0770"/>
    <w:rsid w:val="000E0ACD"/>
    <w:rsid w:val="000E0CD4"/>
    <w:rsid w:val="000E198B"/>
    <w:rsid w:val="000E1F9E"/>
    <w:rsid w:val="000E217C"/>
    <w:rsid w:val="000E2182"/>
    <w:rsid w:val="000E226F"/>
    <w:rsid w:val="000E2405"/>
    <w:rsid w:val="000E2C36"/>
    <w:rsid w:val="000E3210"/>
    <w:rsid w:val="000E365E"/>
    <w:rsid w:val="000E3679"/>
    <w:rsid w:val="000E3767"/>
    <w:rsid w:val="000E4B1A"/>
    <w:rsid w:val="000E4E48"/>
    <w:rsid w:val="000E5609"/>
    <w:rsid w:val="000E5718"/>
    <w:rsid w:val="000E5B78"/>
    <w:rsid w:val="000E5D5B"/>
    <w:rsid w:val="000E5DBB"/>
    <w:rsid w:val="000E5E74"/>
    <w:rsid w:val="000E62B8"/>
    <w:rsid w:val="000E657F"/>
    <w:rsid w:val="000E66EE"/>
    <w:rsid w:val="000E67AD"/>
    <w:rsid w:val="000E6960"/>
    <w:rsid w:val="000E6D76"/>
    <w:rsid w:val="000E6EC8"/>
    <w:rsid w:val="000E6F1F"/>
    <w:rsid w:val="000E7600"/>
    <w:rsid w:val="000E7CD5"/>
    <w:rsid w:val="000E7DAB"/>
    <w:rsid w:val="000F02B1"/>
    <w:rsid w:val="000F0795"/>
    <w:rsid w:val="000F0D1F"/>
    <w:rsid w:val="000F0ECD"/>
    <w:rsid w:val="000F132D"/>
    <w:rsid w:val="000F1401"/>
    <w:rsid w:val="000F2ABD"/>
    <w:rsid w:val="000F2F2E"/>
    <w:rsid w:val="000F33B0"/>
    <w:rsid w:val="000F3495"/>
    <w:rsid w:val="000F34C0"/>
    <w:rsid w:val="000F3B99"/>
    <w:rsid w:val="000F3F5F"/>
    <w:rsid w:val="000F44EF"/>
    <w:rsid w:val="000F4DB3"/>
    <w:rsid w:val="000F5B2B"/>
    <w:rsid w:val="000F5DE3"/>
    <w:rsid w:val="000F644D"/>
    <w:rsid w:val="000F64EE"/>
    <w:rsid w:val="000F6F7A"/>
    <w:rsid w:val="000F735E"/>
    <w:rsid w:val="000F73D3"/>
    <w:rsid w:val="000F7454"/>
    <w:rsid w:val="000F7641"/>
    <w:rsid w:val="000F7ACC"/>
    <w:rsid w:val="000F7B07"/>
    <w:rsid w:val="0010038E"/>
    <w:rsid w:val="001005F9"/>
    <w:rsid w:val="0010082E"/>
    <w:rsid w:val="00100CA9"/>
    <w:rsid w:val="00100F32"/>
    <w:rsid w:val="001022AD"/>
    <w:rsid w:val="001023A3"/>
    <w:rsid w:val="00102E1F"/>
    <w:rsid w:val="001031EE"/>
    <w:rsid w:val="00103254"/>
    <w:rsid w:val="00103DA4"/>
    <w:rsid w:val="00104154"/>
    <w:rsid w:val="001043BC"/>
    <w:rsid w:val="00105577"/>
    <w:rsid w:val="00105C26"/>
    <w:rsid w:val="00105D34"/>
    <w:rsid w:val="00106D30"/>
    <w:rsid w:val="0010779A"/>
    <w:rsid w:val="00107EB4"/>
    <w:rsid w:val="0011041B"/>
    <w:rsid w:val="001106DB"/>
    <w:rsid w:val="0011070D"/>
    <w:rsid w:val="00110E7C"/>
    <w:rsid w:val="00111076"/>
    <w:rsid w:val="00111119"/>
    <w:rsid w:val="001114A1"/>
    <w:rsid w:val="00111832"/>
    <w:rsid w:val="001118AC"/>
    <w:rsid w:val="00111CE0"/>
    <w:rsid w:val="00112064"/>
    <w:rsid w:val="001123D3"/>
    <w:rsid w:val="00112B4F"/>
    <w:rsid w:val="00112C84"/>
    <w:rsid w:val="0011313A"/>
    <w:rsid w:val="00113204"/>
    <w:rsid w:val="001134D1"/>
    <w:rsid w:val="00113E30"/>
    <w:rsid w:val="00113E38"/>
    <w:rsid w:val="00113E63"/>
    <w:rsid w:val="001141CB"/>
    <w:rsid w:val="00114485"/>
    <w:rsid w:val="00114C30"/>
    <w:rsid w:val="001150BA"/>
    <w:rsid w:val="0011521B"/>
    <w:rsid w:val="00115F9B"/>
    <w:rsid w:val="00116043"/>
    <w:rsid w:val="00116125"/>
    <w:rsid w:val="001161DA"/>
    <w:rsid w:val="0011622B"/>
    <w:rsid w:val="00116C54"/>
    <w:rsid w:val="00117116"/>
    <w:rsid w:val="00117A2C"/>
    <w:rsid w:val="00117B47"/>
    <w:rsid w:val="00117B67"/>
    <w:rsid w:val="00117BD5"/>
    <w:rsid w:val="0012016E"/>
    <w:rsid w:val="001205A7"/>
    <w:rsid w:val="00120B11"/>
    <w:rsid w:val="00120B93"/>
    <w:rsid w:val="00121421"/>
    <w:rsid w:val="001214E4"/>
    <w:rsid w:val="0012171A"/>
    <w:rsid w:val="001217F0"/>
    <w:rsid w:val="00121AB2"/>
    <w:rsid w:val="00122129"/>
    <w:rsid w:val="00122645"/>
    <w:rsid w:val="00122869"/>
    <w:rsid w:val="00122BB0"/>
    <w:rsid w:val="00122BB1"/>
    <w:rsid w:val="00122BC3"/>
    <w:rsid w:val="00122C74"/>
    <w:rsid w:val="001233BA"/>
    <w:rsid w:val="00123459"/>
    <w:rsid w:val="001234A1"/>
    <w:rsid w:val="00123719"/>
    <w:rsid w:val="001238E0"/>
    <w:rsid w:val="00123DAE"/>
    <w:rsid w:val="00124438"/>
    <w:rsid w:val="00124B97"/>
    <w:rsid w:val="001258CA"/>
    <w:rsid w:val="00125C28"/>
    <w:rsid w:val="00125CF7"/>
    <w:rsid w:val="00125D37"/>
    <w:rsid w:val="001260CA"/>
    <w:rsid w:val="00126710"/>
    <w:rsid w:val="0012701F"/>
    <w:rsid w:val="00127027"/>
    <w:rsid w:val="00127523"/>
    <w:rsid w:val="0013015C"/>
    <w:rsid w:val="001301FA"/>
    <w:rsid w:val="00130339"/>
    <w:rsid w:val="00130685"/>
    <w:rsid w:val="00130C8A"/>
    <w:rsid w:val="001310AD"/>
    <w:rsid w:val="0013135B"/>
    <w:rsid w:val="001316A6"/>
    <w:rsid w:val="00131A25"/>
    <w:rsid w:val="00131E86"/>
    <w:rsid w:val="001329F2"/>
    <w:rsid w:val="00132B9B"/>
    <w:rsid w:val="0013312A"/>
    <w:rsid w:val="00133293"/>
    <w:rsid w:val="001337BA"/>
    <w:rsid w:val="00133A68"/>
    <w:rsid w:val="00133D64"/>
    <w:rsid w:val="0013420E"/>
    <w:rsid w:val="0013448D"/>
    <w:rsid w:val="00135040"/>
    <w:rsid w:val="00135263"/>
    <w:rsid w:val="001353AC"/>
    <w:rsid w:val="00135620"/>
    <w:rsid w:val="001357A0"/>
    <w:rsid w:val="00135AC7"/>
    <w:rsid w:val="00135D82"/>
    <w:rsid w:val="00136063"/>
    <w:rsid w:val="001361A3"/>
    <w:rsid w:val="001363E9"/>
    <w:rsid w:val="0013680C"/>
    <w:rsid w:val="00136A64"/>
    <w:rsid w:val="00136B36"/>
    <w:rsid w:val="00136BCA"/>
    <w:rsid w:val="00136D9C"/>
    <w:rsid w:val="00136EB7"/>
    <w:rsid w:val="0013726C"/>
    <w:rsid w:val="00137467"/>
    <w:rsid w:val="001375CB"/>
    <w:rsid w:val="0013782B"/>
    <w:rsid w:val="00137BCC"/>
    <w:rsid w:val="001419DF"/>
    <w:rsid w:val="00141A9A"/>
    <w:rsid w:val="00141ADC"/>
    <w:rsid w:val="00141F8D"/>
    <w:rsid w:val="00142776"/>
    <w:rsid w:val="00142805"/>
    <w:rsid w:val="00142DBB"/>
    <w:rsid w:val="00142F0C"/>
    <w:rsid w:val="001435B5"/>
    <w:rsid w:val="00143A4E"/>
    <w:rsid w:val="00143DB4"/>
    <w:rsid w:val="00143FF4"/>
    <w:rsid w:val="001441A8"/>
    <w:rsid w:val="00144210"/>
    <w:rsid w:val="00144989"/>
    <w:rsid w:val="00144C6F"/>
    <w:rsid w:val="00144C76"/>
    <w:rsid w:val="001450E5"/>
    <w:rsid w:val="001452E0"/>
    <w:rsid w:val="00145C08"/>
    <w:rsid w:val="00145DCA"/>
    <w:rsid w:val="001468B4"/>
    <w:rsid w:val="00147102"/>
    <w:rsid w:val="00147261"/>
    <w:rsid w:val="001477A4"/>
    <w:rsid w:val="00150046"/>
    <w:rsid w:val="001501E3"/>
    <w:rsid w:val="00150B31"/>
    <w:rsid w:val="0015173A"/>
    <w:rsid w:val="001519EC"/>
    <w:rsid w:val="00151ED7"/>
    <w:rsid w:val="001526E6"/>
    <w:rsid w:val="0015285E"/>
    <w:rsid w:val="00153240"/>
    <w:rsid w:val="001534AD"/>
    <w:rsid w:val="00153D53"/>
    <w:rsid w:val="00153ECF"/>
    <w:rsid w:val="001540BE"/>
    <w:rsid w:val="001549E1"/>
    <w:rsid w:val="00155318"/>
    <w:rsid w:val="001553BF"/>
    <w:rsid w:val="0015590B"/>
    <w:rsid w:val="001559F0"/>
    <w:rsid w:val="00155D63"/>
    <w:rsid w:val="00156313"/>
    <w:rsid w:val="00156338"/>
    <w:rsid w:val="001566D3"/>
    <w:rsid w:val="00156A39"/>
    <w:rsid w:val="001571EB"/>
    <w:rsid w:val="00157208"/>
    <w:rsid w:val="00157342"/>
    <w:rsid w:val="0015735B"/>
    <w:rsid w:val="00157661"/>
    <w:rsid w:val="00157831"/>
    <w:rsid w:val="00157CDE"/>
    <w:rsid w:val="00157F2D"/>
    <w:rsid w:val="00157F9E"/>
    <w:rsid w:val="0016039B"/>
    <w:rsid w:val="00160531"/>
    <w:rsid w:val="00161003"/>
    <w:rsid w:val="00161127"/>
    <w:rsid w:val="00161388"/>
    <w:rsid w:val="001613C0"/>
    <w:rsid w:val="00161448"/>
    <w:rsid w:val="00161454"/>
    <w:rsid w:val="00161502"/>
    <w:rsid w:val="00161863"/>
    <w:rsid w:val="001623AB"/>
    <w:rsid w:val="00162638"/>
    <w:rsid w:val="00162EF1"/>
    <w:rsid w:val="00162FAB"/>
    <w:rsid w:val="00163590"/>
    <w:rsid w:val="00163D38"/>
    <w:rsid w:val="00163DCB"/>
    <w:rsid w:val="0016447C"/>
    <w:rsid w:val="00164F16"/>
    <w:rsid w:val="001653D4"/>
    <w:rsid w:val="00165579"/>
    <w:rsid w:val="001656D0"/>
    <w:rsid w:val="00165808"/>
    <w:rsid w:val="00166A2C"/>
    <w:rsid w:val="00167159"/>
    <w:rsid w:val="001679C3"/>
    <w:rsid w:val="00167B16"/>
    <w:rsid w:val="001702A6"/>
    <w:rsid w:val="0017061C"/>
    <w:rsid w:val="00170642"/>
    <w:rsid w:val="001706FE"/>
    <w:rsid w:val="00170D97"/>
    <w:rsid w:val="00170EE3"/>
    <w:rsid w:val="00171102"/>
    <w:rsid w:val="001713D3"/>
    <w:rsid w:val="001719C6"/>
    <w:rsid w:val="00172694"/>
    <w:rsid w:val="00172787"/>
    <w:rsid w:val="00172836"/>
    <w:rsid w:val="00172FD8"/>
    <w:rsid w:val="00173A4E"/>
    <w:rsid w:val="00173A97"/>
    <w:rsid w:val="00174AFF"/>
    <w:rsid w:val="0017530B"/>
    <w:rsid w:val="0017686C"/>
    <w:rsid w:val="00176877"/>
    <w:rsid w:val="00177335"/>
    <w:rsid w:val="001773BB"/>
    <w:rsid w:val="00177722"/>
    <w:rsid w:val="001777C2"/>
    <w:rsid w:val="001778F7"/>
    <w:rsid w:val="00177B90"/>
    <w:rsid w:val="00177BCB"/>
    <w:rsid w:val="00177D3E"/>
    <w:rsid w:val="00177D8C"/>
    <w:rsid w:val="00177E22"/>
    <w:rsid w:val="001802DB"/>
    <w:rsid w:val="00180496"/>
    <w:rsid w:val="0018049B"/>
    <w:rsid w:val="0018055F"/>
    <w:rsid w:val="00180AA5"/>
    <w:rsid w:val="00180C79"/>
    <w:rsid w:val="00180DB1"/>
    <w:rsid w:val="001819D2"/>
    <w:rsid w:val="001820D6"/>
    <w:rsid w:val="00182CE4"/>
    <w:rsid w:val="00182D1B"/>
    <w:rsid w:val="001832D2"/>
    <w:rsid w:val="00183343"/>
    <w:rsid w:val="00183C65"/>
    <w:rsid w:val="00185283"/>
    <w:rsid w:val="0018545A"/>
    <w:rsid w:val="0018587F"/>
    <w:rsid w:val="00185C5E"/>
    <w:rsid w:val="001864E0"/>
    <w:rsid w:val="001871EE"/>
    <w:rsid w:val="001872EB"/>
    <w:rsid w:val="00187527"/>
    <w:rsid w:val="00190104"/>
    <w:rsid w:val="00190C11"/>
    <w:rsid w:val="00190CA3"/>
    <w:rsid w:val="00190F9B"/>
    <w:rsid w:val="00191122"/>
    <w:rsid w:val="00191A8C"/>
    <w:rsid w:val="00191AD4"/>
    <w:rsid w:val="00192513"/>
    <w:rsid w:val="0019265D"/>
    <w:rsid w:val="00193194"/>
    <w:rsid w:val="00193395"/>
    <w:rsid w:val="0019341B"/>
    <w:rsid w:val="00193720"/>
    <w:rsid w:val="00193A24"/>
    <w:rsid w:val="00193C31"/>
    <w:rsid w:val="00193DB8"/>
    <w:rsid w:val="00194ACE"/>
    <w:rsid w:val="00194C7F"/>
    <w:rsid w:val="001950BF"/>
    <w:rsid w:val="0019554C"/>
    <w:rsid w:val="00195F5B"/>
    <w:rsid w:val="00196202"/>
    <w:rsid w:val="00196730"/>
    <w:rsid w:val="001968F5"/>
    <w:rsid w:val="00196ADD"/>
    <w:rsid w:val="00197363"/>
    <w:rsid w:val="00197724"/>
    <w:rsid w:val="00197A46"/>
    <w:rsid w:val="00197F55"/>
    <w:rsid w:val="001A00E5"/>
    <w:rsid w:val="001A0727"/>
    <w:rsid w:val="001A0764"/>
    <w:rsid w:val="001A0EBB"/>
    <w:rsid w:val="001A0F30"/>
    <w:rsid w:val="001A18B5"/>
    <w:rsid w:val="001A1FFA"/>
    <w:rsid w:val="001A22DC"/>
    <w:rsid w:val="001A250F"/>
    <w:rsid w:val="001A257D"/>
    <w:rsid w:val="001A28D0"/>
    <w:rsid w:val="001A2E1E"/>
    <w:rsid w:val="001A3748"/>
    <w:rsid w:val="001A3E18"/>
    <w:rsid w:val="001A3F05"/>
    <w:rsid w:val="001A407A"/>
    <w:rsid w:val="001A4266"/>
    <w:rsid w:val="001A42F5"/>
    <w:rsid w:val="001A4314"/>
    <w:rsid w:val="001A46ED"/>
    <w:rsid w:val="001A484A"/>
    <w:rsid w:val="001A4A19"/>
    <w:rsid w:val="001A4C14"/>
    <w:rsid w:val="001A4DD6"/>
    <w:rsid w:val="001A5848"/>
    <w:rsid w:val="001A6094"/>
    <w:rsid w:val="001A69C2"/>
    <w:rsid w:val="001A6A6D"/>
    <w:rsid w:val="001A6C7A"/>
    <w:rsid w:val="001A6DF1"/>
    <w:rsid w:val="001A72AE"/>
    <w:rsid w:val="001A7634"/>
    <w:rsid w:val="001A78E7"/>
    <w:rsid w:val="001A7AFD"/>
    <w:rsid w:val="001A7F3C"/>
    <w:rsid w:val="001B07CB"/>
    <w:rsid w:val="001B0853"/>
    <w:rsid w:val="001B0BAF"/>
    <w:rsid w:val="001B0E1B"/>
    <w:rsid w:val="001B1069"/>
    <w:rsid w:val="001B1636"/>
    <w:rsid w:val="001B1729"/>
    <w:rsid w:val="001B17E2"/>
    <w:rsid w:val="001B19CF"/>
    <w:rsid w:val="001B1D88"/>
    <w:rsid w:val="001B1E5E"/>
    <w:rsid w:val="001B1E9D"/>
    <w:rsid w:val="001B1FCC"/>
    <w:rsid w:val="001B215A"/>
    <w:rsid w:val="001B21FB"/>
    <w:rsid w:val="001B2465"/>
    <w:rsid w:val="001B2958"/>
    <w:rsid w:val="001B29A9"/>
    <w:rsid w:val="001B2A69"/>
    <w:rsid w:val="001B2AA9"/>
    <w:rsid w:val="001B2AF2"/>
    <w:rsid w:val="001B307E"/>
    <w:rsid w:val="001B30CE"/>
    <w:rsid w:val="001B4124"/>
    <w:rsid w:val="001B4BA1"/>
    <w:rsid w:val="001B4CA5"/>
    <w:rsid w:val="001B4F9E"/>
    <w:rsid w:val="001B518F"/>
    <w:rsid w:val="001B540E"/>
    <w:rsid w:val="001B5672"/>
    <w:rsid w:val="001B5729"/>
    <w:rsid w:val="001B57A6"/>
    <w:rsid w:val="001B57F0"/>
    <w:rsid w:val="001B5B3E"/>
    <w:rsid w:val="001B5BD6"/>
    <w:rsid w:val="001B5E92"/>
    <w:rsid w:val="001B5F2B"/>
    <w:rsid w:val="001B60CA"/>
    <w:rsid w:val="001B6152"/>
    <w:rsid w:val="001B61CF"/>
    <w:rsid w:val="001B63DB"/>
    <w:rsid w:val="001B65BF"/>
    <w:rsid w:val="001B67D1"/>
    <w:rsid w:val="001B6D60"/>
    <w:rsid w:val="001B7038"/>
    <w:rsid w:val="001B70B3"/>
    <w:rsid w:val="001B738D"/>
    <w:rsid w:val="001B78FD"/>
    <w:rsid w:val="001B7B35"/>
    <w:rsid w:val="001B7E2E"/>
    <w:rsid w:val="001B7E42"/>
    <w:rsid w:val="001B7F4E"/>
    <w:rsid w:val="001C0497"/>
    <w:rsid w:val="001C04E4"/>
    <w:rsid w:val="001C06D2"/>
    <w:rsid w:val="001C1084"/>
    <w:rsid w:val="001C1879"/>
    <w:rsid w:val="001C24FC"/>
    <w:rsid w:val="001C2717"/>
    <w:rsid w:val="001C29CA"/>
    <w:rsid w:val="001C2AD7"/>
    <w:rsid w:val="001C2CA5"/>
    <w:rsid w:val="001C32BB"/>
    <w:rsid w:val="001C35A5"/>
    <w:rsid w:val="001C3CA2"/>
    <w:rsid w:val="001C4BAD"/>
    <w:rsid w:val="001C4F85"/>
    <w:rsid w:val="001C55F9"/>
    <w:rsid w:val="001C5703"/>
    <w:rsid w:val="001C5EDE"/>
    <w:rsid w:val="001C61FD"/>
    <w:rsid w:val="001C6985"/>
    <w:rsid w:val="001C6A1F"/>
    <w:rsid w:val="001C6A7B"/>
    <w:rsid w:val="001C6E17"/>
    <w:rsid w:val="001C713C"/>
    <w:rsid w:val="001C7764"/>
    <w:rsid w:val="001C7826"/>
    <w:rsid w:val="001C7CD0"/>
    <w:rsid w:val="001C7D5E"/>
    <w:rsid w:val="001D00E5"/>
    <w:rsid w:val="001D0493"/>
    <w:rsid w:val="001D1183"/>
    <w:rsid w:val="001D1235"/>
    <w:rsid w:val="001D131E"/>
    <w:rsid w:val="001D216E"/>
    <w:rsid w:val="001D253C"/>
    <w:rsid w:val="001D26E4"/>
    <w:rsid w:val="001D2887"/>
    <w:rsid w:val="001D2A09"/>
    <w:rsid w:val="001D2C26"/>
    <w:rsid w:val="001D2E33"/>
    <w:rsid w:val="001D3150"/>
    <w:rsid w:val="001D364B"/>
    <w:rsid w:val="001D368F"/>
    <w:rsid w:val="001D3CD8"/>
    <w:rsid w:val="001D3EB9"/>
    <w:rsid w:val="001D433F"/>
    <w:rsid w:val="001D436F"/>
    <w:rsid w:val="001D4946"/>
    <w:rsid w:val="001D4B5D"/>
    <w:rsid w:val="001D5794"/>
    <w:rsid w:val="001D58BE"/>
    <w:rsid w:val="001D596D"/>
    <w:rsid w:val="001D5AB0"/>
    <w:rsid w:val="001D5B7A"/>
    <w:rsid w:val="001D5FF8"/>
    <w:rsid w:val="001D77C5"/>
    <w:rsid w:val="001D787A"/>
    <w:rsid w:val="001E07D3"/>
    <w:rsid w:val="001E0C79"/>
    <w:rsid w:val="001E0D8A"/>
    <w:rsid w:val="001E0E7D"/>
    <w:rsid w:val="001E122A"/>
    <w:rsid w:val="001E1974"/>
    <w:rsid w:val="001E1E46"/>
    <w:rsid w:val="001E2548"/>
    <w:rsid w:val="001E2849"/>
    <w:rsid w:val="001E2CCD"/>
    <w:rsid w:val="001E2EB9"/>
    <w:rsid w:val="001E31BD"/>
    <w:rsid w:val="001E3517"/>
    <w:rsid w:val="001E3A57"/>
    <w:rsid w:val="001E413A"/>
    <w:rsid w:val="001E41C7"/>
    <w:rsid w:val="001E46E1"/>
    <w:rsid w:val="001E46F8"/>
    <w:rsid w:val="001E48E0"/>
    <w:rsid w:val="001E49AB"/>
    <w:rsid w:val="001E4A0F"/>
    <w:rsid w:val="001E4A6B"/>
    <w:rsid w:val="001E4B4C"/>
    <w:rsid w:val="001E508F"/>
    <w:rsid w:val="001E58DB"/>
    <w:rsid w:val="001E5BD8"/>
    <w:rsid w:val="001E5C29"/>
    <w:rsid w:val="001E61F9"/>
    <w:rsid w:val="001E6739"/>
    <w:rsid w:val="001E6796"/>
    <w:rsid w:val="001E67D0"/>
    <w:rsid w:val="001E689D"/>
    <w:rsid w:val="001E6AF7"/>
    <w:rsid w:val="001E6D26"/>
    <w:rsid w:val="001E6D9A"/>
    <w:rsid w:val="001E74EA"/>
    <w:rsid w:val="001E777C"/>
    <w:rsid w:val="001E791A"/>
    <w:rsid w:val="001E7CAA"/>
    <w:rsid w:val="001E7E74"/>
    <w:rsid w:val="001F0295"/>
    <w:rsid w:val="001F03B0"/>
    <w:rsid w:val="001F06AD"/>
    <w:rsid w:val="001F0AB0"/>
    <w:rsid w:val="001F0D69"/>
    <w:rsid w:val="001F1E27"/>
    <w:rsid w:val="001F21FC"/>
    <w:rsid w:val="001F222B"/>
    <w:rsid w:val="001F22A0"/>
    <w:rsid w:val="001F31BE"/>
    <w:rsid w:val="001F349F"/>
    <w:rsid w:val="001F3508"/>
    <w:rsid w:val="001F3845"/>
    <w:rsid w:val="001F393C"/>
    <w:rsid w:val="001F474E"/>
    <w:rsid w:val="001F486E"/>
    <w:rsid w:val="001F4B2D"/>
    <w:rsid w:val="001F53F3"/>
    <w:rsid w:val="001F56C0"/>
    <w:rsid w:val="001F5CE2"/>
    <w:rsid w:val="001F618E"/>
    <w:rsid w:val="001F6553"/>
    <w:rsid w:val="001F70FB"/>
    <w:rsid w:val="001F7422"/>
    <w:rsid w:val="001F74BB"/>
    <w:rsid w:val="001F7675"/>
    <w:rsid w:val="001F7B56"/>
    <w:rsid w:val="001F7C9C"/>
    <w:rsid w:val="00200159"/>
    <w:rsid w:val="00200303"/>
    <w:rsid w:val="00200506"/>
    <w:rsid w:val="002006B7"/>
    <w:rsid w:val="00200A84"/>
    <w:rsid w:val="00200B7B"/>
    <w:rsid w:val="00200DA6"/>
    <w:rsid w:val="00200E60"/>
    <w:rsid w:val="00201223"/>
    <w:rsid w:val="002018A3"/>
    <w:rsid w:val="00202007"/>
    <w:rsid w:val="0020207C"/>
    <w:rsid w:val="00202476"/>
    <w:rsid w:val="0020293A"/>
    <w:rsid w:val="00202EC8"/>
    <w:rsid w:val="0020344B"/>
    <w:rsid w:val="00203904"/>
    <w:rsid w:val="00203C0B"/>
    <w:rsid w:val="00203C8F"/>
    <w:rsid w:val="00204306"/>
    <w:rsid w:val="0020500F"/>
    <w:rsid w:val="00205467"/>
    <w:rsid w:val="0020574E"/>
    <w:rsid w:val="00205914"/>
    <w:rsid w:val="00205EE2"/>
    <w:rsid w:val="00206091"/>
    <w:rsid w:val="002061EE"/>
    <w:rsid w:val="00206F0A"/>
    <w:rsid w:val="002070CB"/>
    <w:rsid w:val="0020757E"/>
    <w:rsid w:val="00207789"/>
    <w:rsid w:val="00207B50"/>
    <w:rsid w:val="00207BB3"/>
    <w:rsid w:val="00207FA5"/>
    <w:rsid w:val="002105B6"/>
    <w:rsid w:val="00210E3F"/>
    <w:rsid w:val="002113C9"/>
    <w:rsid w:val="00211EA8"/>
    <w:rsid w:val="00211F6A"/>
    <w:rsid w:val="0021208C"/>
    <w:rsid w:val="00212153"/>
    <w:rsid w:val="00212254"/>
    <w:rsid w:val="00212710"/>
    <w:rsid w:val="00212CCE"/>
    <w:rsid w:val="00212E74"/>
    <w:rsid w:val="00213433"/>
    <w:rsid w:val="00213AE4"/>
    <w:rsid w:val="00213C9C"/>
    <w:rsid w:val="00214456"/>
    <w:rsid w:val="0021479C"/>
    <w:rsid w:val="00214B0F"/>
    <w:rsid w:val="00214ED1"/>
    <w:rsid w:val="00215008"/>
    <w:rsid w:val="0021502A"/>
    <w:rsid w:val="002152E7"/>
    <w:rsid w:val="00215ACF"/>
    <w:rsid w:val="002161F9"/>
    <w:rsid w:val="002163F3"/>
    <w:rsid w:val="00216701"/>
    <w:rsid w:val="00216729"/>
    <w:rsid w:val="00216EA7"/>
    <w:rsid w:val="0021740A"/>
    <w:rsid w:val="00217D12"/>
    <w:rsid w:val="00217F1D"/>
    <w:rsid w:val="00217FF9"/>
    <w:rsid w:val="002200C6"/>
    <w:rsid w:val="002203FD"/>
    <w:rsid w:val="00220F29"/>
    <w:rsid w:val="002218C2"/>
    <w:rsid w:val="00221A40"/>
    <w:rsid w:val="00221C7C"/>
    <w:rsid w:val="00221CD9"/>
    <w:rsid w:val="00222154"/>
    <w:rsid w:val="0022237D"/>
    <w:rsid w:val="00222405"/>
    <w:rsid w:val="00222A21"/>
    <w:rsid w:val="00222A9D"/>
    <w:rsid w:val="002233BC"/>
    <w:rsid w:val="00223484"/>
    <w:rsid w:val="0022359C"/>
    <w:rsid w:val="00223762"/>
    <w:rsid w:val="00223892"/>
    <w:rsid w:val="002238D0"/>
    <w:rsid w:val="00223A58"/>
    <w:rsid w:val="00223CCF"/>
    <w:rsid w:val="002244F2"/>
    <w:rsid w:val="0022499E"/>
    <w:rsid w:val="00225568"/>
    <w:rsid w:val="00225D74"/>
    <w:rsid w:val="00226013"/>
    <w:rsid w:val="0022637F"/>
    <w:rsid w:val="002265F9"/>
    <w:rsid w:val="00226825"/>
    <w:rsid w:val="00226A3D"/>
    <w:rsid w:val="00227529"/>
    <w:rsid w:val="00227613"/>
    <w:rsid w:val="00230003"/>
    <w:rsid w:val="002302B9"/>
    <w:rsid w:val="00230664"/>
    <w:rsid w:val="00230782"/>
    <w:rsid w:val="00230AAB"/>
    <w:rsid w:val="00230C48"/>
    <w:rsid w:val="002310E6"/>
    <w:rsid w:val="00231630"/>
    <w:rsid w:val="00231B6C"/>
    <w:rsid w:val="00231FDE"/>
    <w:rsid w:val="00232055"/>
    <w:rsid w:val="002320B6"/>
    <w:rsid w:val="0023248C"/>
    <w:rsid w:val="00232634"/>
    <w:rsid w:val="0023269F"/>
    <w:rsid w:val="0023275F"/>
    <w:rsid w:val="00232ADC"/>
    <w:rsid w:val="00232C77"/>
    <w:rsid w:val="00232D95"/>
    <w:rsid w:val="00232E00"/>
    <w:rsid w:val="00232E53"/>
    <w:rsid w:val="00233AF7"/>
    <w:rsid w:val="00233F5D"/>
    <w:rsid w:val="0023410F"/>
    <w:rsid w:val="0023418F"/>
    <w:rsid w:val="00234430"/>
    <w:rsid w:val="0023445F"/>
    <w:rsid w:val="00234BF2"/>
    <w:rsid w:val="00234F0A"/>
    <w:rsid w:val="00235C5C"/>
    <w:rsid w:val="002365DA"/>
    <w:rsid w:val="002365DF"/>
    <w:rsid w:val="002366DF"/>
    <w:rsid w:val="00236953"/>
    <w:rsid w:val="002369B3"/>
    <w:rsid w:val="00236A69"/>
    <w:rsid w:val="00236AA8"/>
    <w:rsid w:val="002375DF"/>
    <w:rsid w:val="0023787C"/>
    <w:rsid w:val="002378C8"/>
    <w:rsid w:val="002378F7"/>
    <w:rsid w:val="0023792D"/>
    <w:rsid w:val="00237E73"/>
    <w:rsid w:val="00240122"/>
    <w:rsid w:val="0024068A"/>
    <w:rsid w:val="00240F39"/>
    <w:rsid w:val="002413DC"/>
    <w:rsid w:val="00241711"/>
    <w:rsid w:val="00241B77"/>
    <w:rsid w:val="002423E0"/>
    <w:rsid w:val="0024260D"/>
    <w:rsid w:val="00242F6D"/>
    <w:rsid w:val="00242FDD"/>
    <w:rsid w:val="00243501"/>
    <w:rsid w:val="002435D7"/>
    <w:rsid w:val="0024362C"/>
    <w:rsid w:val="00243B37"/>
    <w:rsid w:val="00245C0E"/>
    <w:rsid w:val="00245C32"/>
    <w:rsid w:val="00245C90"/>
    <w:rsid w:val="0024636A"/>
    <w:rsid w:val="00246435"/>
    <w:rsid w:val="00246484"/>
    <w:rsid w:val="002478C0"/>
    <w:rsid w:val="002479AB"/>
    <w:rsid w:val="00247CC4"/>
    <w:rsid w:val="00247F15"/>
    <w:rsid w:val="00250242"/>
    <w:rsid w:val="002504EE"/>
    <w:rsid w:val="00250F6D"/>
    <w:rsid w:val="0025158E"/>
    <w:rsid w:val="00251DAF"/>
    <w:rsid w:val="00252784"/>
    <w:rsid w:val="00252E71"/>
    <w:rsid w:val="00252F93"/>
    <w:rsid w:val="0025313B"/>
    <w:rsid w:val="0025347B"/>
    <w:rsid w:val="002534E4"/>
    <w:rsid w:val="0025363D"/>
    <w:rsid w:val="0025419F"/>
    <w:rsid w:val="0025437A"/>
    <w:rsid w:val="00254499"/>
    <w:rsid w:val="00254886"/>
    <w:rsid w:val="002549C8"/>
    <w:rsid w:val="002554A5"/>
    <w:rsid w:val="00255C2C"/>
    <w:rsid w:val="00255CA0"/>
    <w:rsid w:val="00255E01"/>
    <w:rsid w:val="00256080"/>
    <w:rsid w:val="002564F2"/>
    <w:rsid w:val="0025694B"/>
    <w:rsid w:val="002569CB"/>
    <w:rsid w:val="00256D9F"/>
    <w:rsid w:val="002572DD"/>
    <w:rsid w:val="002575FC"/>
    <w:rsid w:val="00257609"/>
    <w:rsid w:val="00257EF7"/>
    <w:rsid w:val="00257FEC"/>
    <w:rsid w:val="00260343"/>
    <w:rsid w:val="00260764"/>
    <w:rsid w:val="00260881"/>
    <w:rsid w:val="002609ED"/>
    <w:rsid w:val="002610C6"/>
    <w:rsid w:val="00261140"/>
    <w:rsid w:val="0026157E"/>
    <w:rsid w:val="00261780"/>
    <w:rsid w:val="00261795"/>
    <w:rsid w:val="002617A1"/>
    <w:rsid w:val="002627DC"/>
    <w:rsid w:val="0026291D"/>
    <w:rsid w:val="00262C8E"/>
    <w:rsid w:val="002630BE"/>
    <w:rsid w:val="00263724"/>
    <w:rsid w:val="00263956"/>
    <w:rsid w:val="002639D0"/>
    <w:rsid w:val="00264070"/>
    <w:rsid w:val="002644B4"/>
    <w:rsid w:val="002651A2"/>
    <w:rsid w:val="002653A1"/>
    <w:rsid w:val="00265653"/>
    <w:rsid w:val="00265B3F"/>
    <w:rsid w:val="00265B77"/>
    <w:rsid w:val="00266270"/>
    <w:rsid w:val="00266674"/>
    <w:rsid w:val="00266A32"/>
    <w:rsid w:val="00267393"/>
    <w:rsid w:val="00267725"/>
    <w:rsid w:val="00270274"/>
    <w:rsid w:val="00270455"/>
    <w:rsid w:val="002706B3"/>
    <w:rsid w:val="002706B5"/>
    <w:rsid w:val="002707A2"/>
    <w:rsid w:val="00270D91"/>
    <w:rsid w:val="00270DB8"/>
    <w:rsid w:val="00271552"/>
    <w:rsid w:val="00271AC1"/>
    <w:rsid w:val="0027228D"/>
    <w:rsid w:val="00272706"/>
    <w:rsid w:val="00272A83"/>
    <w:rsid w:val="00272F18"/>
    <w:rsid w:val="0027304B"/>
    <w:rsid w:val="002746D8"/>
    <w:rsid w:val="00274C87"/>
    <w:rsid w:val="00274DAA"/>
    <w:rsid w:val="0027510A"/>
    <w:rsid w:val="00275143"/>
    <w:rsid w:val="00275197"/>
    <w:rsid w:val="0027556C"/>
    <w:rsid w:val="00275665"/>
    <w:rsid w:val="0027574E"/>
    <w:rsid w:val="0027586D"/>
    <w:rsid w:val="00275CBF"/>
    <w:rsid w:val="00275CDA"/>
    <w:rsid w:val="00275D22"/>
    <w:rsid w:val="00275E3D"/>
    <w:rsid w:val="0027607C"/>
    <w:rsid w:val="002760B2"/>
    <w:rsid w:val="002762E3"/>
    <w:rsid w:val="00276BAC"/>
    <w:rsid w:val="0027713F"/>
    <w:rsid w:val="00277303"/>
    <w:rsid w:val="002775C4"/>
    <w:rsid w:val="00277874"/>
    <w:rsid w:val="00277B8B"/>
    <w:rsid w:val="00277C4D"/>
    <w:rsid w:val="00280248"/>
    <w:rsid w:val="00280361"/>
    <w:rsid w:val="00280BF7"/>
    <w:rsid w:val="00281080"/>
    <w:rsid w:val="002812FC"/>
    <w:rsid w:val="0028189C"/>
    <w:rsid w:val="00281A00"/>
    <w:rsid w:val="0028213F"/>
    <w:rsid w:val="0028235C"/>
    <w:rsid w:val="00282884"/>
    <w:rsid w:val="00282927"/>
    <w:rsid w:val="00282A9F"/>
    <w:rsid w:val="00282BA8"/>
    <w:rsid w:val="00282D17"/>
    <w:rsid w:val="00282DB0"/>
    <w:rsid w:val="002832B1"/>
    <w:rsid w:val="0028372A"/>
    <w:rsid w:val="00283740"/>
    <w:rsid w:val="002837AD"/>
    <w:rsid w:val="0028416E"/>
    <w:rsid w:val="00284479"/>
    <w:rsid w:val="002847CD"/>
    <w:rsid w:val="00284D9F"/>
    <w:rsid w:val="00285723"/>
    <w:rsid w:val="00285791"/>
    <w:rsid w:val="00285D93"/>
    <w:rsid w:val="00285F27"/>
    <w:rsid w:val="00286784"/>
    <w:rsid w:val="00287442"/>
    <w:rsid w:val="002875AF"/>
    <w:rsid w:val="002878DC"/>
    <w:rsid w:val="0029076F"/>
    <w:rsid w:val="0029079A"/>
    <w:rsid w:val="00290E80"/>
    <w:rsid w:val="00291189"/>
    <w:rsid w:val="0029165E"/>
    <w:rsid w:val="00291776"/>
    <w:rsid w:val="00291D22"/>
    <w:rsid w:val="00292253"/>
    <w:rsid w:val="0029252D"/>
    <w:rsid w:val="002926B6"/>
    <w:rsid w:val="00292853"/>
    <w:rsid w:val="0029298A"/>
    <w:rsid w:val="00292B70"/>
    <w:rsid w:val="00292CB8"/>
    <w:rsid w:val="00293003"/>
    <w:rsid w:val="00293037"/>
    <w:rsid w:val="002937F2"/>
    <w:rsid w:val="00293C16"/>
    <w:rsid w:val="00294139"/>
    <w:rsid w:val="00294BF7"/>
    <w:rsid w:val="00294EEF"/>
    <w:rsid w:val="00295015"/>
    <w:rsid w:val="002954D7"/>
    <w:rsid w:val="00295912"/>
    <w:rsid w:val="00296220"/>
    <w:rsid w:val="00296DBE"/>
    <w:rsid w:val="00297388"/>
    <w:rsid w:val="002978D7"/>
    <w:rsid w:val="002A01D9"/>
    <w:rsid w:val="002A0977"/>
    <w:rsid w:val="002A0AA3"/>
    <w:rsid w:val="002A140D"/>
    <w:rsid w:val="002A14F3"/>
    <w:rsid w:val="002A1726"/>
    <w:rsid w:val="002A1746"/>
    <w:rsid w:val="002A184E"/>
    <w:rsid w:val="002A1DAD"/>
    <w:rsid w:val="002A26C9"/>
    <w:rsid w:val="002A3159"/>
    <w:rsid w:val="002A32A5"/>
    <w:rsid w:val="002A37AE"/>
    <w:rsid w:val="002A3C45"/>
    <w:rsid w:val="002A3D3E"/>
    <w:rsid w:val="002A3FC6"/>
    <w:rsid w:val="002A4F32"/>
    <w:rsid w:val="002A5261"/>
    <w:rsid w:val="002A531F"/>
    <w:rsid w:val="002A55DC"/>
    <w:rsid w:val="002A562E"/>
    <w:rsid w:val="002A5CF1"/>
    <w:rsid w:val="002A643D"/>
    <w:rsid w:val="002A64A2"/>
    <w:rsid w:val="002A67BA"/>
    <w:rsid w:val="002A6AA1"/>
    <w:rsid w:val="002A6D88"/>
    <w:rsid w:val="002A72BF"/>
    <w:rsid w:val="002A77C2"/>
    <w:rsid w:val="002A7874"/>
    <w:rsid w:val="002B07A6"/>
    <w:rsid w:val="002B29A8"/>
    <w:rsid w:val="002B2D1D"/>
    <w:rsid w:val="002B2D81"/>
    <w:rsid w:val="002B301B"/>
    <w:rsid w:val="002B3257"/>
    <w:rsid w:val="002B3FC9"/>
    <w:rsid w:val="002B41AA"/>
    <w:rsid w:val="002B4A46"/>
    <w:rsid w:val="002B4FA0"/>
    <w:rsid w:val="002B4FFE"/>
    <w:rsid w:val="002B5971"/>
    <w:rsid w:val="002B5C66"/>
    <w:rsid w:val="002B60AB"/>
    <w:rsid w:val="002B6776"/>
    <w:rsid w:val="002B6AF8"/>
    <w:rsid w:val="002B6C11"/>
    <w:rsid w:val="002B6C85"/>
    <w:rsid w:val="002B6E03"/>
    <w:rsid w:val="002B718D"/>
    <w:rsid w:val="002B75FA"/>
    <w:rsid w:val="002B78C3"/>
    <w:rsid w:val="002B7B66"/>
    <w:rsid w:val="002B7DC0"/>
    <w:rsid w:val="002B7F4E"/>
    <w:rsid w:val="002B7FA6"/>
    <w:rsid w:val="002C04E3"/>
    <w:rsid w:val="002C0FD7"/>
    <w:rsid w:val="002C1877"/>
    <w:rsid w:val="002C1996"/>
    <w:rsid w:val="002C1C51"/>
    <w:rsid w:val="002C2210"/>
    <w:rsid w:val="002C2415"/>
    <w:rsid w:val="002C2A6E"/>
    <w:rsid w:val="002C2E1A"/>
    <w:rsid w:val="002C3288"/>
    <w:rsid w:val="002C333B"/>
    <w:rsid w:val="002C34D0"/>
    <w:rsid w:val="002C36C1"/>
    <w:rsid w:val="002C3925"/>
    <w:rsid w:val="002C4667"/>
    <w:rsid w:val="002C4709"/>
    <w:rsid w:val="002C47B6"/>
    <w:rsid w:val="002C4948"/>
    <w:rsid w:val="002C4DD6"/>
    <w:rsid w:val="002C4FD9"/>
    <w:rsid w:val="002C55E4"/>
    <w:rsid w:val="002C56DC"/>
    <w:rsid w:val="002C5FB5"/>
    <w:rsid w:val="002C6240"/>
    <w:rsid w:val="002C6A36"/>
    <w:rsid w:val="002C6D65"/>
    <w:rsid w:val="002C7758"/>
    <w:rsid w:val="002D0B35"/>
    <w:rsid w:val="002D0BBD"/>
    <w:rsid w:val="002D0E82"/>
    <w:rsid w:val="002D11BA"/>
    <w:rsid w:val="002D1588"/>
    <w:rsid w:val="002D17E3"/>
    <w:rsid w:val="002D1C18"/>
    <w:rsid w:val="002D1C53"/>
    <w:rsid w:val="002D20D8"/>
    <w:rsid w:val="002D21A8"/>
    <w:rsid w:val="002D3109"/>
    <w:rsid w:val="002D324D"/>
    <w:rsid w:val="002D356E"/>
    <w:rsid w:val="002D388D"/>
    <w:rsid w:val="002D42AB"/>
    <w:rsid w:val="002D46FC"/>
    <w:rsid w:val="002D48FC"/>
    <w:rsid w:val="002D4A6E"/>
    <w:rsid w:val="002D4B59"/>
    <w:rsid w:val="002D4CCB"/>
    <w:rsid w:val="002D4FA2"/>
    <w:rsid w:val="002D516B"/>
    <w:rsid w:val="002D5BA3"/>
    <w:rsid w:val="002D5CC7"/>
    <w:rsid w:val="002D68A4"/>
    <w:rsid w:val="002D6BA4"/>
    <w:rsid w:val="002D6F56"/>
    <w:rsid w:val="002D701A"/>
    <w:rsid w:val="002D76DA"/>
    <w:rsid w:val="002D774A"/>
    <w:rsid w:val="002D788C"/>
    <w:rsid w:val="002D7AE6"/>
    <w:rsid w:val="002D7EAE"/>
    <w:rsid w:val="002E0195"/>
    <w:rsid w:val="002E01BB"/>
    <w:rsid w:val="002E05B1"/>
    <w:rsid w:val="002E07CC"/>
    <w:rsid w:val="002E14AF"/>
    <w:rsid w:val="002E15D4"/>
    <w:rsid w:val="002E17AA"/>
    <w:rsid w:val="002E18F3"/>
    <w:rsid w:val="002E1907"/>
    <w:rsid w:val="002E19A3"/>
    <w:rsid w:val="002E19BB"/>
    <w:rsid w:val="002E1B84"/>
    <w:rsid w:val="002E1D6C"/>
    <w:rsid w:val="002E1EBD"/>
    <w:rsid w:val="002E21DB"/>
    <w:rsid w:val="002E24B0"/>
    <w:rsid w:val="002E25B1"/>
    <w:rsid w:val="002E25D6"/>
    <w:rsid w:val="002E269B"/>
    <w:rsid w:val="002E269D"/>
    <w:rsid w:val="002E295E"/>
    <w:rsid w:val="002E2A71"/>
    <w:rsid w:val="002E2BDB"/>
    <w:rsid w:val="002E3CB4"/>
    <w:rsid w:val="002E3F44"/>
    <w:rsid w:val="002E4111"/>
    <w:rsid w:val="002E4664"/>
    <w:rsid w:val="002E48D9"/>
    <w:rsid w:val="002E4D76"/>
    <w:rsid w:val="002E4DB7"/>
    <w:rsid w:val="002E4FA2"/>
    <w:rsid w:val="002E53B0"/>
    <w:rsid w:val="002E56BF"/>
    <w:rsid w:val="002E594E"/>
    <w:rsid w:val="002E64C1"/>
    <w:rsid w:val="002E6803"/>
    <w:rsid w:val="002E71F9"/>
    <w:rsid w:val="002E726B"/>
    <w:rsid w:val="002E7AD6"/>
    <w:rsid w:val="002F01A1"/>
    <w:rsid w:val="002F086A"/>
    <w:rsid w:val="002F0946"/>
    <w:rsid w:val="002F0AC4"/>
    <w:rsid w:val="002F0CB2"/>
    <w:rsid w:val="002F0D6D"/>
    <w:rsid w:val="002F13F2"/>
    <w:rsid w:val="002F197F"/>
    <w:rsid w:val="002F1E00"/>
    <w:rsid w:val="002F2430"/>
    <w:rsid w:val="002F24DB"/>
    <w:rsid w:val="002F28FC"/>
    <w:rsid w:val="002F2950"/>
    <w:rsid w:val="002F2B41"/>
    <w:rsid w:val="002F2B7A"/>
    <w:rsid w:val="002F2F07"/>
    <w:rsid w:val="002F354D"/>
    <w:rsid w:val="002F3A46"/>
    <w:rsid w:val="002F3FBB"/>
    <w:rsid w:val="002F3FD3"/>
    <w:rsid w:val="002F413C"/>
    <w:rsid w:val="002F4649"/>
    <w:rsid w:val="002F477A"/>
    <w:rsid w:val="002F4EA0"/>
    <w:rsid w:val="002F5298"/>
    <w:rsid w:val="002F537A"/>
    <w:rsid w:val="002F574F"/>
    <w:rsid w:val="002F58C8"/>
    <w:rsid w:val="002F5CD8"/>
    <w:rsid w:val="002F5D54"/>
    <w:rsid w:val="002F610B"/>
    <w:rsid w:val="002F618A"/>
    <w:rsid w:val="002F61D8"/>
    <w:rsid w:val="002F62F6"/>
    <w:rsid w:val="002F63EC"/>
    <w:rsid w:val="002F666E"/>
    <w:rsid w:val="002F68AB"/>
    <w:rsid w:val="002F729D"/>
    <w:rsid w:val="002F7417"/>
    <w:rsid w:val="002F7445"/>
    <w:rsid w:val="002F7ACA"/>
    <w:rsid w:val="002F7DA9"/>
    <w:rsid w:val="002F7F84"/>
    <w:rsid w:val="003004F1"/>
    <w:rsid w:val="00301559"/>
    <w:rsid w:val="0030166F"/>
    <w:rsid w:val="00301812"/>
    <w:rsid w:val="00301913"/>
    <w:rsid w:val="00301DA9"/>
    <w:rsid w:val="00301F32"/>
    <w:rsid w:val="003021CE"/>
    <w:rsid w:val="00302450"/>
    <w:rsid w:val="003029E7"/>
    <w:rsid w:val="003029FB"/>
    <w:rsid w:val="00304275"/>
    <w:rsid w:val="00304BD0"/>
    <w:rsid w:val="00304C6F"/>
    <w:rsid w:val="00305921"/>
    <w:rsid w:val="00305B85"/>
    <w:rsid w:val="00305C7C"/>
    <w:rsid w:val="003061B4"/>
    <w:rsid w:val="00306951"/>
    <w:rsid w:val="00306A01"/>
    <w:rsid w:val="00306D0C"/>
    <w:rsid w:val="00306DA1"/>
    <w:rsid w:val="00307160"/>
    <w:rsid w:val="0030777A"/>
    <w:rsid w:val="00307FCD"/>
    <w:rsid w:val="0031075C"/>
    <w:rsid w:val="003107E0"/>
    <w:rsid w:val="00310FB4"/>
    <w:rsid w:val="00311355"/>
    <w:rsid w:val="003114CF"/>
    <w:rsid w:val="00311612"/>
    <w:rsid w:val="00311739"/>
    <w:rsid w:val="003118ED"/>
    <w:rsid w:val="00311B9D"/>
    <w:rsid w:val="0031215A"/>
    <w:rsid w:val="003125CC"/>
    <w:rsid w:val="003128C4"/>
    <w:rsid w:val="00313064"/>
    <w:rsid w:val="00313205"/>
    <w:rsid w:val="003133C9"/>
    <w:rsid w:val="003135C7"/>
    <w:rsid w:val="00313872"/>
    <w:rsid w:val="0031435B"/>
    <w:rsid w:val="00314C14"/>
    <w:rsid w:val="00314C8C"/>
    <w:rsid w:val="00314D07"/>
    <w:rsid w:val="00314D4E"/>
    <w:rsid w:val="003151A5"/>
    <w:rsid w:val="003154F3"/>
    <w:rsid w:val="00315571"/>
    <w:rsid w:val="0031616B"/>
    <w:rsid w:val="0031618C"/>
    <w:rsid w:val="003161C7"/>
    <w:rsid w:val="00316F1B"/>
    <w:rsid w:val="0031706A"/>
    <w:rsid w:val="00317288"/>
    <w:rsid w:val="00317348"/>
    <w:rsid w:val="0032080F"/>
    <w:rsid w:val="00320D81"/>
    <w:rsid w:val="00320F83"/>
    <w:rsid w:val="00321377"/>
    <w:rsid w:val="00321A40"/>
    <w:rsid w:val="00321B41"/>
    <w:rsid w:val="00321C93"/>
    <w:rsid w:val="00322164"/>
    <w:rsid w:val="003223B3"/>
    <w:rsid w:val="003224FF"/>
    <w:rsid w:val="0032371B"/>
    <w:rsid w:val="003242A1"/>
    <w:rsid w:val="003251D8"/>
    <w:rsid w:val="003252CA"/>
    <w:rsid w:val="003254A0"/>
    <w:rsid w:val="003255D2"/>
    <w:rsid w:val="00325F2C"/>
    <w:rsid w:val="00326119"/>
    <w:rsid w:val="0032639F"/>
    <w:rsid w:val="00326CF8"/>
    <w:rsid w:val="00326DF6"/>
    <w:rsid w:val="00326F19"/>
    <w:rsid w:val="0032720A"/>
    <w:rsid w:val="0032757B"/>
    <w:rsid w:val="003305B2"/>
    <w:rsid w:val="00330A3A"/>
    <w:rsid w:val="00330BE3"/>
    <w:rsid w:val="0033189E"/>
    <w:rsid w:val="00331D2F"/>
    <w:rsid w:val="003322E0"/>
    <w:rsid w:val="0033297F"/>
    <w:rsid w:val="00332D35"/>
    <w:rsid w:val="00332EA6"/>
    <w:rsid w:val="00333171"/>
    <w:rsid w:val="003331A4"/>
    <w:rsid w:val="0033370C"/>
    <w:rsid w:val="00333E95"/>
    <w:rsid w:val="00334402"/>
    <w:rsid w:val="0033479D"/>
    <w:rsid w:val="00334832"/>
    <w:rsid w:val="0033486B"/>
    <w:rsid w:val="0033507D"/>
    <w:rsid w:val="00335344"/>
    <w:rsid w:val="0033534D"/>
    <w:rsid w:val="003363C8"/>
    <w:rsid w:val="003367A8"/>
    <w:rsid w:val="00337882"/>
    <w:rsid w:val="00340060"/>
    <w:rsid w:val="00340585"/>
    <w:rsid w:val="00340BF1"/>
    <w:rsid w:val="00341CA7"/>
    <w:rsid w:val="00341F6A"/>
    <w:rsid w:val="00342A01"/>
    <w:rsid w:val="0034317A"/>
    <w:rsid w:val="00343C0C"/>
    <w:rsid w:val="003443A7"/>
    <w:rsid w:val="003443D4"/>
    <w:rsid w:val="003444EA"/>
    <w:rsid w:val="00344A14"/>
    <w:rsid w:val="003451B4"/>
    <w:rsid w:val="00345E9E"/>
    <w:rsid w:val="00345EDA"/>
    <w:rsid w:val="00345F52"/>
    <w:rsid w:val="0034604F"/>
    <w:rsid w:val="00346129"/>
    <w:rsid w:val="00346625"/>
    <w:rsid w:val="00346FA9"/>
    <w:rsid w:val="00347605"/>
    <w:rsid w:val="00347CEF"/>
    <w:rsid w:val="00350248"/>
    <w:rsid w:val="0035047D"/>
    <w:rsid w:val="003506D1"/>
    <w:rsid w:val="00350AFF"/>
    <w:rsid w:val="00350EBF"/>
    <w:rsid w:val="003510A7"/>
    <w:rsid w:val="00351A0A"/>
    <w:rsid w:val="00351E52"/>
    <w:rsid w:val="0035201F"/>
    <w:rsid w:val="0035215F"/>
    <w:rsid w:val="00352181"/>
    <w:rsid w:val="00352A55"/>
    <w:rsid w:val="00352C5B"/>
    <w:rsid w:val="00352FE4"/>
    <w:rsid w:val="00353848"/>
    <w:rsid w:val="00354200"/>
    <w:rsid w:val="0035445C"/>
    <w:rsid w:val="00354658"/>
    <w:rsid w:val="00354923"/>
    <w:rsid w:val="00354DA8"/>
    <w:rsid w:val="00355365"/>
    <w:rsid w:val="00355488"/>
    <w:rsid w:val="00355745"/>
    <w:rsid w:val="00355753"/>
    <w:rsid w:val="00355FE7"/>
    <w:rsid w:val="003561C2"/>
    <w:rsid w:val="003566BB"/>
    <w:rsid w:val="00356C33"/>
    <w:rsid w:val="00356F73"/>
    <w:rsid w:val="0035707C"/>
    <w:rsid w:val="00357CBF"/>
    <w:rsid w:val="00357DE8"/>
    <w:rsid w:val="00360778"/>
    <w:rsid w:val="0036078A"/>
    <w:rsid w:val="00360D29"/>
    <w:rsid w:val="003610B9"/>
    <w:rsid w:val="00361A5C"/>
    <w:rsid w:val="00361DF2"/>
    <w:rsid w:val="00361E4B"/>
    <w:rsid w:val="0036209E"/>
    <w:rsid w:val="00362126"/>
    <w:rsid w:val="00362127"/>
    <w:rsid w:val="003625CB"/>
    <w:rsid w:val="003629A7"/>
    <w:rsid w:val="003630B5"/>
    <w:rsid w:val="00363CA4"/>
    <w:rsid w:val="00363FFC"/>
    <w:rsid w:val="0036412A"/>
    <w:rsid w:val="00364159"/>
    <w:rsid w:val="0036457C"/>
    <w:rsid w:val="003647B3"/>
    <w:rsid w:val="00364DE5"/>
    <w:rsid w:val="00364E4F"/>
    <w:rsid w:val="00364E72"/>
    <w:rsid w:val="003655B1"/>
    <w:rsid w:val="003657BE"/>
    <w:rsid w:val="00365BE5"/>
    <w:rsid w:val="00365C60"/>
    <w:rsid w:val="00365D37"/>
    <w:rsid w:val="00365D7F"/>
    <w:rsid w:val="00365FAD"/>
    <w:rsid w:val="00366239"/>
    <w:rsid w:val="00366425"/>
    <w:rsid w:val="00366ABD"/>
    <w:rsid w:val="00366BED"/>
    <w:rsid w:val="003675AD"/>
    <w:rsid w:val="00367C11"/>
    <w:rsid w:val="00367CD2"/>
    <w:rsid w:val="00367E21"/>
    <w:rsid w:val="003709E0"/>
    <w:rsid w:val="00370D09"/>
    <w:rsid w:val="00370EF5"/>
    <w:rsid w:val="00370F63"/>
    <w:rsid w:val="00371162"/>
    <w:rsid w:val="0037197E"/>
    <w:rsid w:val="00371F68"/>
    <w:rsid w:val="00372075"/>
    <w:rsid w:val="003721E6"/>
    <w:rsid w:val="003722E6"/>
    <w:rsid w:val="00372D9C"/>
    <w:rsid w:val="00372F0F"/>
    <w:rsid w:val="00373C56"/>
    <w:rsid w:val="00373D39"/>
    <w:rsid w:val="0037406E"/>
    <w:rsid w:val="0037423E"/>
    <w:rsid w:val="00375008"/>
    <w:rsid w:val="003753E5"/>
    <w:rsid w:val="00375F59"/>
    <w:rsid w:val="00376688"/>
    <w:rsid w:val="003766B3"/>
    <w:rsid w:val="00376814"/>
    <w:rsid w:val="00376946"/>
    <w:rsid w:val="0037726F"/>
    <w:rsid w:val="00377553"/>
    <w:rsid w:val="003776F7"/>
    <w:rsid w:val="00377735"/>
    <w:rsid w:val="00377EE5"/>
    <w:rsid w:val="003801C1"/>
    <w:rsid w:val="00380380"/>
    <w:rsid w:val="0038053E"/>
    <w:rsid w:val="003808CD"/>
    <w:rsid w:val="00380C16"/>
    <w:rsid w:val="00381100"/>
    <w:rsid w:val="00381373"/>
    <w:rsid w:val="00381969"/>
    <w:rsid w:val="00381A90"/>
    <w:rsid w:val="00381B45"/>
    <w:rsid w:val="00381D1F"/>
    <w:rsid w:val="00381D95"/>
    <w:rsid w:val="00381F32"/>
    <w:rsid w:val="00382012"/>
    <w:rsid w:val="0038267A"/>
    <w:rsid w:val="00382999"/>
    <w:rsid w:val="00382CAA"/>
    <w:rsid w:val="00382E37"/>
    <w:rsid w:val="003834E2"/>
    <w:rsid w:val="0038360E"/>
    <w:rsid w:val="00383AAA"/>
    <w:rsid w:val="00383AF0"/>
    <w:rsid w:val="00383F61"/>
    <w:rsid w:val="00383F70"/>
    <w:rsid w:val="003840A8"/>
    <w:rsid w:val="0038420C"/>
    <w:rsid w:val="003842CC"/>
    <w:rsid w:val="003847F7"/>
    <w:rsid w:val="00384C59"/>
    <w:rsid w:val="0038503B"/>
    <w:rsid w:val="00385229"/>
    <w:rsid w:val="0038549D"/>
    <w:rsid w:val="003855F0"/>
    <w:rsid w:val="0038562E"/>
    <w:rsid w:val="00385AA4"/>
    <w:rsid w:val="003867E5"/>
    <w:rsid w:val="00387B3D"/>
    <w:rsid w:val="00387F24"/>
    <w:rsid w:val="003901E7"/>
    <w:rsid w:val="00390625"/>
    <w:rsid w:val="00390922"/>
    <w:rsid w:val="00390A1C"/>
    <w:rsid w:val="00390C59"/>
    <w:rsid w:val="00391320"/>
    <w:rsid w:val="003915E8"/>
    <w:rsid w:val="003916B7"/>
    <w:rsid w:val="003916E6"/>
    <w:rsid w:val="00391B54"/>
    <w:rsid w:val="00391B7D"/>
    <w:rsid w:val="00391D2D"/>
    <w:rsid w:val="00391DB2"/>
    <w:rsid w:val="00391F6C"/>
    <w:rsid w:val="003923A4"/>
    <w:rsid w:val="003928F2"/>
    <w:rsid w:val="003932AF"/>
    <w:rsid w:val="00393725"/>
    <w:rsid w:val="00393E6C"/>
    <w:rsid w:val="00393FD0"/>
    <w:rsid w:val="003940C4"/>
    <w:rsid w:val="00394A1E"/>
    <w:rsid w:val="00394CA0"/>
    <w:rsid w:val="003951CD"/>
    <w:rsid w:val="00395574"/>
    <w:rsid w:val="003955C3"/>
    <w:rsid w:val="00395AA5"/>
    <w:rsid w:val="00395CA3"/>
    <w:rsid w:val="00395E74"/>
    <w:rsid w:val="003961AD"/>
    <w:rsid w:val="003964EE"/>
    <w:rsid w:val="00396832"/>
    <w:rsid w:val="00396B0B"/>
    <w:rsid w:val="00396BE9"/>
    <w:rsid w:val="00396E4F"/>
    <w:rsid w:val="0039701B"/>
    <w:rsid w:val="0039708A"/>
    <w:rsid w:val="00397B7D"/>
    <w:rsid w:val="003A0EBD"/>
    <w:rsid w:val="003A16E5"/>
    <w:rsid w:val="003A1A54"/>
    <w:rsid w:val="003A1B1C"/>
    <w:rsid w:val="003A1D08"/>
    <w:rsid w:val="003A2325"/>
    <w:rsid w:val="003A24B2"/>
    <w:rsid w:val="003A2E12"/>
    <w:rsid w:val="003A2E76"/>
    <w:rsid w:val="003A3270"/>
    <w:rsid w:val="003A34F1"/>
    <w:rsid w:val="003A35DA"/>
    <w:rsid w:val="003A3731"/>
    <w:rsid w:val="003A3B23"/>
    <w:rsid w:val="003A3CD9"/>
    <w:rsid w:val="003A3CEB"/>
    <w:rsid w:val="003A3E7F"/>
    <w:rsid w:val="003A3EA9"/>
    <w:rsid w:val="003A41D2"/>
    <w:rsid w:val="003A43F4"/>
    <w:rsid w:val="003A4711"/>
    <w:rsid w:val="003A48FD"/>
    <w:rsid w:val="003A4BF7"/>
    <w:rsid w:val="003A4D15"/>
    <w:rsid w:val="003A4EA7"/>
    <w:rsid w:val="003A4EE4"/>
    <w:rsid w:val="003A5113"/>
    <w:rsid w:val="003A521D"/>
    <w:rsid w:val="003A5AEC"/>
    <w:rsid w:val="003A5FD3"/>
    <w:rsid w:val="003A5FEF"/>
    <w:rsid w:val="003A634E"/>
    <w:rsid w:val="003A6AF6"/>
    <w:rsid w:val="003A6D16"/>
    <w:rsid w:val="003A6EFB"/>
    <w:rsid w:val="003A7536"/>
    <w:rsid w:val="003A78E7"/>
    <w:rsid w:val="003A7F7F"/>
    <w:rsid w:val="003B056B"/>
    <w:rsid w:val="003B0A33"/>
    <w:rsid w:val="003B1243"/>
    <w:rsid w:val="003B12A7"/>
    <w:rsid w:val="003B1C45"/>
    <w:rsid w:val="003B218B"/>
    <w:rsid w:val="003B2A2E"/>
    <w:rsid w:val="003B2B57"/>
    <w:rsid w:val="003B37AF"/>
    <w:rsid w:val="003B3AEA"/>
    <w:rsid w:val="003B3B94"/>
    <w:rsid w:val="003B3C44"/>
    <w:rsid w:val="003B3E36"/>
    <w:rsid w:val="003B4130"/>
    <w:rsid w:val="003B48C6"/>
    <w:rsid w:val="003B4F17"/>
    <w:rsid w:val="003B4FE8"/>
    <w:rsid w:val="003B5513"/>
    <w:rsid w:val="003B582F"/>
    <w:rsid w:val="003B58B2"/>
    <w:rsid w:val="003B5BA1"/>
    <w:rsid w:val="003B5C0E"/>
    <w:rsid w:val="003B633E"/>
    <w:rsid w:val="003B6521"/>
    <w:rsid w:val="003B69FD"/>
    <w:rsid w:val="003B6D7C"/>
    <w:rsid w:val="003B706E"/>
    <w:rsid w:val="003B78F2"/>
    <w:rsid w:val="003B7B19"/>
    <w:rsid w:val="003C021A"/>
    <w:rsid w:val="003C0223"/>
    <w:rsid w:val="003C085C"/>
    <w:rsid w:val="003C08E4"/>
    <w:rsid w:val="003C0A69"/>
    <w:rsid w:val="003C0BD1"/>
    <w:rsid w:val="003C0D1C"/>
    <w:rsid w:val="003C0E22"/>
    <w:rsid w:val="003C135F"/>
    <w:rsid w:val="003C1553"/>
    <w:rsid w:val="003C19F9"/>
    <w:rsid w:val="003C1AA9"/>
    <w:rsid w:val="003C227B"/>
    <w:rsid w:val="003C24F0"/>
    <w:rsid w:val="003C27CD"/>
    <w:rsid w:val="003C28B1"/>
    <w:rsid w:val="003C2DFC"/>
    <w:rsid w:val="003C3105"/>
    <w:rsid w:val="003C319B"/>
    <w:rsid w:val="003C32A0"/>
    <w:rsid w:val="003C3910"/>
    <w:rsid w:val="003C3BA3"/>
    <w:rsid w:val="003C4234"/>
    <w:rsid w:val="003C42D1"/>
    <w:rsid w:val="003C4870"/>
    <w:rsid w:val="003C4B19"/>
    <w:rsid w:val="003C4CAB"/>
    <w:rsid w:val="003C4FA6"/>
    <w:rsid w:val="003C5006"/>
    <w:rsid w:val="003C562D"/>
    <w:rsid w:val="003C566E"/>
    <w:rsid w:val="003C5761"/>
    <w:rsid w:val="003C5E04"/>
    <w:rsid w:val="003C62EA"/>
    <w:rsid w:val="003C661C"/>
    <w:rsid w:val="003C6859"/>
    <w:rsid w:val="003C6D88"/>
    <w:rsid w:val="003C707D"/>
    <w:rsid w:val="003C721F"/>
    <w:rsid w:val="003C77F7"/>
    <w:rsid w:val="003D00EE"/>
    <w:rsid w:val="003D015D"/>
    <w:rsid w:val="003D0493"/>
    <w:rsid w:val="003D0CA2"/>
    <w:rsid w:val="003D0E75"/>
    <w:rsid w:val="003D120A"/>
    <w:rsid w:val="003D1574"/>
    <w:rsid w:val="003D1657"/>
    <w:rsid w:val="003D1ACA"/>
    <w:rsid w:val="003D1FA4"/>
    <w:rsid w:val="003D2471"/>
    <w:rsid w:val="003D2B5D"/>
    <w:rsid w:val="003D2E45"/>
    <w:rsid w:val="003D2F96"/>
    <w:rsid w:val="003D3343"/>
    <w:rsid w:val="003D34D0"/>
    <w:rsid w:val="003D36C8"/>
    <w:rsid w:val="003D40AD"/>
    <w:rsid w:val="003D4525"/>
    <w:rsid w:val="003D4716"/>
    <w:rsid w:val="003D49CC"/>
    <w:rsid w:val="003D4BBB"/>
    <w:rsid w:val="003D5444"/>
    <w:rsid w:val="003D5528"/>
    <w:rsid w:val="003D5AD0"/>
    <w:rsid w:val="003D5E7F"/>
    <w:rsid w:val="003D64CE"/>
    <w:rsid w:val="003D6737"/>
    <w:rsid w:val="003D7028"/>
    <w:rsid w:val="003D7331"/>
    <w:rsid w:val="003E02AC"/>
    <w:rsid w:val="003E0AD2"/>
    <w:rsid w:val="003E0D94"/>
    <w:rsid w:val="003E0F42"/>
    <w:rsid w:val="003E10D3"/>
    <w:rsid w:val="003E1478"/>
    <w:rsid w:val="003E1E0A"/>
    <w:rsid w:val="003E1FD4"/>
    <w:rsid w:val="003E2B25"/>
    <w:rsid w:val="003E2C2D"/>
    <w:rsid w:val="003E309F"/>
    <w:rsid w:val="003E3156"/>
    <w:rsid w:val="003E328D"/>
    <w:rsid w:val="003E3CDC"/>
    <w:rsid w:val="003E3F71"/>
    <w:rsid w:val="003E3FA2"/>
    <w:rsid w:val="003E3FD5"/>
    <w:rsid w:val="003E4DF1"/>
    <w:rsid w:val="003E50F2"/>
    <w:rsid w:val="003E548C"/>
    <w:rsid w:val="003E5694"/>
    <w:rsid w:val="003E57F0"/>
    <w:rsid w:val="003E5AAF"/>
    <w:rsid w:val="003E63DC"/>
    <w:rsid w:val="003E64EE"/>
    <w:rsid w:val="003E64FB"/>
    <w:rsid w:val="003E653D"/>
    <w:rsid w:val="003E679A"/>
    <w:rsid w:val="003E69FD"/>
    <w:rsid w:val="003E6D07"/>
    <w:rsid w:val="003E70BE"/>
    <w:rsid w:val="003E73CB"/>
    <w:rsid w:val="003E740A"/>
    <w:rsid w:val="003E7C12"/>
    <w:rsid w:val="003F0200"/>
    <w:rsid w:val="003F039F"/>
    <w:rsid w:val="003F03EC"/>
    <w:rsid w:val="003F0543"/>
    <w:rsid w:val="003F06B1"/>
    <w:rsid w:val="003F0996"/>
    <w:rsid w:val="003F0AA1"/>
    <w:rsid w:val="003F0E40"/>
    <w:rsid w:val="003F1223"/>
    <w:rsid w:val="003F126C"/>
    <w:rsid w:val="003F1598"/>
    <w:rsid w:val="003F24A0"/>
    <w:rsid w:val="003F281A"/>
    <w:rsid w:val="003F2B6D"/>
    <w:rsid w:val="003F2C53"/>
    <w:rsid w:val="003F2FBA"/>
    <w:rsid w:val="003F31F5"/>
    <w:rsid w:val="003F3216"/>
    <w:rsid w:val="003F35F8"/>
    <w:rsid w:val="003F3A58"/>
    <w:rsid w:val="003F3C32"/>
    <w:rsid w:val="003F3D99"/>
    <w:rsid w:val="003F3EF5"/>
    <w:rsid w:val="003F3F4E"/>
    <w:rsid w:val="003F44E2"/>
    <w:rsid w:val="003F44F7"/>
    <w:rsid w:val="003F454F"/>
    <w:rsid w:val="003F4859"/>
    <w:rsid w:val="003F4E96"/>
    <w:rsid w:val="003F514D"/>
    <w:rsid w:val="003F5245"/>
    <w:rsid w:val="003F5A06"/>
    <w:rsid w:val="003F5B4E"/>
    <w:rsid w:val="003F5D73"/>
    <w:rsid w:val="003F6F3A"/>
    <w:rsid w:val="003F75FE"/>
    <w:rsid w:val="003F7629"/>
    <w:rsid w:val="003F790F"/>
    <w:rsid w:val="0040074B"/>
    <w:rsid w:val="00400A57"/>
    <w:rsid w:val="00400D37"/>
    <w:rsid w:val="00400D5D"/>
    <w:rsid w:val="00400F2A"/>
    <w:rsid w:val="00400FEA"/>
    <w:rsid w:val="00401185"/>
    <w:rsid w:val="00401259"/>
    <w:rsid w:val="00401404"/>
    <w:rsid w:val="00401698"/>
    <w:rsid w:val="004017A0"/>
    <w:rsid w:val="00401B06"/>
    <w:rsid w:val="00401C74"/>
    <w:rsid w:val="00401E27"/>
    <w:rsid w:val="00402719"/>
    <w:rsid w:val="0040277A"/>
    <w:rsid w:val="00402AD1"/>
    <w:rsid w:val="00402CB9"/>
    <w:rsid w:val="00402D1C"/>
    <w:rsid w:val="00403120"/>
    <w:rsid w:val="00403143"/>
    <w:rsid w:val="00403179"/>
    <w:rsid w:val="004032C1"/>
    <w:rsid w:val="004039C9"/>
    <w:rsid w:val="00403C69"/>
    <w:rsid w:val="00403F38"/>
    <w:rsid w:val="004041F2"/>
    <w:rsid w:val="00404596"/>
    <w:rsid w:val="004049FA"/>
    <w:rsid w:val="00404C23"/>
    <w:rsid w:val="00404DD5"/>
    <w:rsid w:val="004052C7"/>
    <w:rsid w:val="00405C33"/>
    <w:rsid w:val="00406313"/>
    <w:rsid w:val="0040641B"/>
    <w:rsid w:val="004067AD"/>
    <w:rsid w:val="004067E5"/>
    <w:rsid w:val="00406A70"/>
    <w:rsid w:val="00406C92"/>
    <w:rsid w:val="00406DEB"/>
    <w:rsid w:val="00407904"/>
    <w:rsid w:val="00407B68"/>
    <w:rsid w:val="00407C7B"/>
    <w:rsid w:val="00407F8D"/>
    <w:rsid w:val="00410453"/>
    <w:rsid w:val="004107A5"/>
    <w:rsid w:val="004109D2"/>
    <w:rsid w:val="00410B3A"/>
    <w:rsid w:val="00410DFE"/>
    <w:rsid w:val="00410F14"/>
    <w:rsid w:val="00411716"/>
    <w:rsid w:val="00411C70"/>
    <w:rsid w:val="00411E6E"/>
    <w:rsid w:val="0041226D"/>
    <w:rsid w:val="00412394"/>
    <w:rsid w:val="0041250E"/>
    <w:rsid w:val="00412BA1"/>
    <w:rsid w:val="00412CB9"/>
    <w:rsid w:val="00412D2B"/>
    <w:rsid w:val="00412D3F"/>
    <w:rsid w:val="00412E81"/>
    <w:rsid w:val="0041320D"/>
    <w:rsid w:val="00414CF9"/>
    <w:rsid w:val="0041526E"/>
    <w:rsid w:val="00415655"/>
    <w:rsid w:val="004156D0"/>
    <w:rsid w:val="00415C96"/>
    <w:rsid w:val="00415CFB"/>
    <w:rsid w:val="00417757"/>
    <w:rsid w:val="0041786D"/>
    <w:rsid w:val="00417C53"/>
    <w:rsid w:val="00417CA5"/>
    <w:rsid w:val="00417D27"/>
    <w:rsid w:val="00417D50"/>
    <w:rsid w:val="00420108"/>
    <w:rsid w:val="0042011D"/>
    <w:rsid w:val="0042054D"/>
    <w:rsid w:val="004205D0"/>
    <w:rsid w:val="00420746"/>
    <w:rsid w:val="004207B1"/>
    <w:rsid w:val="00420C72"/>
    <w:rsid w:val="00420EFB"/>
    <w:rsid w:val="004210EB"/>
    <w:rsid w:val="004211D8"/>
    <w:rsid w:val="00421806"/>
    <w:rsid w:val="00421B33"/>
    <w:rsid w:val="00421B6E"/>
    <w:rsid w:val="00421BB6"/>
    <w:rsid w:val="0042259C"/>
    <w:rsid w:val="004228AD"/>
    <w:rsid w:val="00422A5B"/>
    <w:rsid w:val="00422C93"/>
    <w:rsid w:val="00423026"/>
    <w:rsid w:val="004234F0"/>
    <w:rsid w:val="0042360F"/>
    <w:rsid w:val="00423959"/>
    <w:rsid w:val="00423AAE"/>
    <w:rsid w:val="00423BC5"/>
    <w:rsid w:val="00423BF9"/>
    <w:rsid w:val="00423C25"/>
    <w:rsid w:val="00423C8D"/>
    <w:rsid w:val="00424402"/>
    <w:rsid w:val="00424B4A"/>
    <w:rsid w:val="00425203"/>
    <w:rsid w:val="0042574B"/>
    <w:rsid w:val="00425B99"/>
    <w:rsid w:val="00425BA9"/>
    <w:rsid w:val="0042611B"/>
    <w:rsid w:val="00426950"/>
    <w:rsid w:val="00426D74"/>
    <w:rsid w:val="00426F8F"/>
    <w:rsid w:val="004270E1"/>
    <w:rsid w:val="00427DC1"/>
    <w:rsid w:val="00430D57"/>
    <w:rsid w:val="00430EDC"/>
    <w:rsid w:val="0043240F"/>
    <w:rsid w:val="0043292E"/>
    <w:rsid w:val="00432D49"/>
    <w:rsid w:val="00432DF5"/>
    <w:rsid w:val="0043322D"/>
    <w:rsid w:val="0043350A"/>
    <w:rsid w:val="00433941"/>
    <w:rsid w:val="0043394E"/>
    <w:rsid w:val="0043479A"/>
    <w:rsid w:val="0043482B"/>
    <w:rsid w:val="004351FF"/>
    <w:rsid w:val="00435310"/>
    <w:rsid w:val="00435A6E"/>
    <w:rsid w:val="00435CD5"/>
    <w:rsid w:val="00436815"/>
    <w:rsid w:val="00436D1D"/>
    <w:rsid w:val="00436D66"/>
    <w:rsid w:val="00437196"/>
    <w:rsid w:val="004372F9"/>
    <w:rsid w:val="00437363"/>
    <w:rsid w:val="004374FE"/>
    <w:rsid w:val="00437926"/>
    <w:rsid w:val="00437993"/>
    <w:rsid w:val="004379F7"/>
    <w:rsid w:val="00437BD5"/>
    <w:rsid w:val="00440500"/>
    <w:rsid w:val="004417F7"/>
    <w:rsid w:val="00441C29"/>
    <w:rsid w:val="004427BF"/>
    <w:rsid w:val="00442B56"/>
    <w:rsid w:val="00442CF8"/>
    <w:rsid w:val="00442E25"/>
    <w:rsid w:val="00442FF5"/>
    <w:rsid w:val="00443098"/>
    <w:rsid w:val="004430A9"/>
    <w:rsid w:val="00443158"/>
    <w:rsid w:val="00443A5B"/>
    <w:rsid w:val="00444A1C"/>
    <w:rsid w:val="00444CB5"/>
    <w:rsid w:val="004453EB"/>
    <w:rsid w:val="00445AF2"/>
    <w:rsid w:val="00445B7D"/>
    <w:rsid w:val="00446041"/>
    <w:rsid w:val="0044636D"/>
    <w:rsid w:val="0044689E"/>
    <w:rsid w:val="00446D36"/>
    <w:rsid w:val="00447942"/>
    <w:rsid w:val="004479F4"/>
    <w:rsid w:val="0045047E"/>
    <w:rsid w:val="0045087C"/>
    <w:rsid w:val="0045091D"/>
    <w:rsid w:val="00450A1B"/>
    <w:rsid w:val="00450C7E"/>
    <w:rsid w:val="004512B4"/>
    <w:rsid w:val="00451321"/>
    <w:rsid w:val="00451379"/>
    <w:rsid w:val="00451953"/>
    <w:rsid w:val="004525B7"/>
    <w:rsid w:val="004525F7"/>
    <w:rsid w:val="004527F0"/>
    <w:rsid w:val="00452BA7"/>
    <w:rsid w:val="00453196"/>
    <w:rsid w:val="004536D0"/>
    <w:rsid w:val="00453C8D"/>
    <w:rsid w:val="00453DFE"/>
    <w:rsid w:val="00453EDD"/>
    <w:rsid w:val="00453FD9"/>
    <w:rsid w:val="00454146"/>
    <w:rsid w:val="0045427B"/>
    <w:rsid w:val="00454C0A"/>
    <w:rsid w:val="00454E44"/>
    <w:rsid w:val="00455B78"/>
    <w:rsid w:val="00455EE3"/>
    <w:rsid w:val="00456010"/>
    <w:rsid w:val="00456358"/>
    <w:rsid w:val="0045637A"/>
    <w:rsid w:val="00456548"/>
    <w:rsid w:val="00456C29"/>
    <w:rsid w:val="00456F71"/>
    <w:rsid w:val="004575CC"/>
    <w:rsid w:val="004579C4"/>
    <w:rsid w:val="00457D18"/>
    <w:rsid w:val="00457F1D"/>
    <w:rsid w:val="00460386"/>
    <w:rsid w:val="00460537"/>
    <w:rsid w:val="00460BBF"/>
    <w:rsid w:val="004612BC"/>
    <w:rsid w:val="00461552"/>
    <w:rsid w:val="0046172A"/>
    <w:rsid w:val="00461BF7"/>
    <w:rsid w:val="00462925"/>
    <w:rsid w:val="00462BDC"/>
    <w:rsid w:val="00462EBF"/>
    <w:rsid w:val="00463439"/>
    <w:rsid w:val="00463721"/>
    <w:rsid w:val="00463A32"/>
    <w:rsid w:val="00463EE0"/>
    <w:rsid w:val="00464102"/>
    <w:rsid w:val="00464D5D"/>
    <w:rsid w:val="00464DAE"/>
    <w:rsid w:val="00465119"/>
    <w:rsid w:val="004655F5"/>
    <w:rsid w:val="00465742"/>
    <w:rsid w:val="00465744"/>
    <w:rsid w:val="00465B59"/>
    <w:rsid w:val="00465DB2"/>
    <w:rsid w:val="00465EC6"/>
    <w:rsid w:val="004662C0"/>
    <w:rsid w:val="0046649A"/>
    <w:rsid w:val="0046654E"/>
    <w:rsid w:val="00466E48"/>
    <w:rsid w:val="00466FE6"/>
    <w:rsid w:val="00467072"/>
    <w:rsid w:val="0046719D"/>
    <w:rsid w:val="0046723B"/>
    <w:rsid w:val="00467333"/>
    <w:rsid w:val="004673A1"/>
    <w:rsid w:val="0046740C"/>
    <w:rsid w:val="0046743E"/>
    <w:rsid w:val="00467615"/>
    <w:rsid w:val="004677FA"/>
    <w:rsid w:val="0046780E"/>
    <w:rsid w:val="00467A98"/>
    <w:rsid w:val="00470337"/>
    <w:rsid w:val="004704B5"/>
    <w:rsid w:val="004704D1"/>
    <w:rsid w:val="0047114F"/>
    <w:rsid w:val="00471B92"/>
    <w:rsid w:val="00471CFF"/>
    <w:rsid w:val="0047230A"/>
    <w:rsid w:val="00472372"/>
    <w:rsid w:val="00472467"/>
    <w:rsid w:val="004726F0"/>
    <w:rsid w:val="00472A01"/>
    <w:rsid w:val="00472CE2"/>
    <w:rsid w:val="00472EE6"/>
    <w:rsid w:val="004734F2"/>
    <w:rsid w:val="004738AC"/>
    <w:rsid w:val="00473AAB"/>
    <w:rsid w:val="00473BC1"/>
    <w:rsid w:val="004740AE"/>
    <w:rsid w:val="004741AD"/>
    <w:rsid w:val="0047462F"/>
    <w:rsid w:val="0047464E"/>
    <w:rsid w:val="00474902"/>
    <w:rsid w:val="00474B19"/>
    <w:rsid w:val="00474DA7"/>
    <w:rsid w:val="0047538B"/>
    <w:rsid w:val="00475501"/>
    <w:rsid w:val="004757A1"/>
    <w:rsid w:val="00476332"/>
    <w:rsid w:val="0047665A"/>
    <w:rsid w:val="00476999"/>
    <w:rsid w:val="00476DF6"/>
    <w:rsid w:val="00476F25"/>
    <w:rsid w:val="00476F71"/>
    <w:rsid w:val="00476FFF"/>
    <w:rsid w:val="0047716C"/>
    <w:rsid w:val="004771C7"/>
    <w:rsid w:val="004779D9"/>
    <w:rsid w:val="004779F3"/>
    <w:rsid w:val="00480050"/>
    <w:rsid w:val="0048009F"/>
    <w:rsid w:val="004801F8"/>
    <w:rsid w:val="00480C29"/>
    <w:rsid w:val="00480F35"/>
    <w:rsid w:val="004818C9"/>
    <w:rsid w:val="00481CBC"/>
    <w:rsid w:val="00481D63"/>
    <w:rsid w:val="00481FD3"/>
    <w:rsid w:val="0048224F"/>
    <w:rsid w:val="0048253E"/>
    <w:rsid w:val="0048395C"/>
    <w:rsid w:val="0048464E"/>
    <w:rsid w:val="004846E9"/>
    <w:rsid w:val="0048542E"/>
    <w:rsid w:val="00485509"/>
    <w:rsid w:val="0048672A"/>
    <w:rsid w:val="00486C5D"/>
    <w:rsid w:val="00487724"/>
    <w:rsid w:val="0049012F"/>
    <w:rsid w:val="004902CE"/>
    <w:rsid w:val="00490A95"/>
    <w:rsid w:val="00490E87"/>
    <w:rsid w:val="0049104C"/>
    <w:rsid w:val="00491AC6"/>
    <w:rsid w:val="00491D28"/>
    <w:rsid w:val="00491EAF"/>
    <w:rsid w:val="00491F33"/>
    <w:rsid w:val="00492200"/>
    <w:rsid w:val="00492305"/>
    <w:rsid w:val="0049238A"/>
    <w:rsid w:val="00492681"/>
    <w:rsid w:val="00492BA2"/>
    <w:rsid w:val="00492C01"/>
    <w:rsid w:val="00493499"/>
    <w:rsid w:val="00493808"/>
    <w:rsid w:val="00493DA6"/>
    <w:rsid w:val="0049418C"/>
    <w:rsid w:val="00494319"/>
    <w:rsid w:val="004944C4"/>
    <w:rsid w:val="0049477A"/>
    <w:rsid w:val="00494A2C"/>
    <w:rsid w:val="00494BA0"/>
    <w:rsid w:val="00494EA2"/>
    <w:rsid w:val="00495AE2"/>
    <w:rsid w:val="00496428"/>
    <w:rsid w:val="0049666F"/>
    <w:rsid w:val="00496ADC"/>
    <w:rsid w:val="004973F1"/>
    <w:rsid w:val="0049775C"/>
    <w:rsid w:val="004978D9"/>
    <w:rsid w:val="00497C1F"/>
    <w:rsid w:val="00497DF2"/>
    <w:rsid w:val="004A04C2"/>
    <w:rsid w:val="004A0642"/>
    <w:rsid w:val="004A07AC"/>
    <w:rsid w:val="004A0C6B"/>
    <w:rsid w:val="004A102B"/>
    <w:rsid w:val="004A2092"/>
    <w:rsid w:val="004A21AD"/>
    <w:rsid w:val="004A21EA"/>
    <w:rsid w:val="004A2201"/>
    <w:rsid w:val="004A2F52"/>
    <w:rsid w:val="004A2F74"/>
    <w:rsid w:val="004A2FEB"/>
    <w:rsid w:val="004A3303"/>
    <w:rsid w:val="004A3577"/>
    <w:rsid w:val="004A3662"/>
    <w:rsid w:val="004A37D3"/>
    <w:rsid w:val="004A3839"/>
    <w:rsid w:val="004A38EB"/>
    <w:rsid w:val="004A3CF5"/>
    <w:rsid w:val="004A3EBA"/>
    <w:rsid w:val="004A3FBD"/>
    <w:rsid w:val="004A4139"/>
    <w:rsid w:val="004A49CF"/>
    <w:rsid w:val="004A4AC9"/>
    <w:rsid w:val="004A5076"/>
    <w:rsid w:val="004A50FF"/>
    <w:rsid w:val="004A51BA"/>
    <w:rsid w:val="004A5881"/>
    <w:rsid w:val="004A64DE"/>
    <w:rsid w:val="004A6DE9"/>
    <w:rsid w:val="004A780B"/>
    <w:rsid w:val="004A793F"/>
    <w:rsid w:val="004B00DB"/>
    <w:rsid w:val="004B0136"/>
    <w:rsid w:val="004B01BC"/>
    <w:rsid w:val="004B03FC"/>
    <w:rsid w:val="004B07D9"/>
    <w:rsid w:val="004B0AE8"/>
    <w:rsid w:val="004B0B42"/>
    <w:rsid w:val="004B135C"/>
    <w:rsid w:val="004B15AB"/>
    <w:rsid w:val="004B1779"/>
    <w:rsid w:val="004B2217"/>
    <w:rsid w:val="004B23E4"/>
    <w:rsid w:val="004B2658"/>
    <w:rsid w:val="004B27E0"/>
    <w:rsid w:val="004B28EF"/>
    <w:rsid w:val="004B2F10"/>
    <w:rsid w:val="004B40A2"/>
    <w:rsid w:val="004B44C7"/>
    <w:rsid w:val="004B4D39"/>
    <w:rsid w:val="004B4D50"/>
    <w:rsid w:val="004B4F86"/>
    <w:rsid w:val="004B56B2"/>
    <w:rsid w:val="004B5717"/>
    <w:rsid w:val="004B5C01"/>
    <w:rsid w:val="004B5DA5"/>
    <w:rsid w:val="004B5E12"/>
    <w:rsid w:val="004B6A8B"/>
    <w:rsid w:val="004B73B5"/>
    <w:rsid w:val="004B7551"/>
    <w:rsid w:val="004B7696"/>
    <w:rsid w:val="004C0670"/>
    <w:rsid w:val="004C08B0"/>
    <w:rsid w:val="004C0FF8"/>
    <w:rsid w:val="004C13E4"/>
    <w:rsid w:val="004C1AFF"/>
    <w:rsid w:val="004C1B62"/>
    <w:rsid w:val="004C2394"/>
    <w:rsid w:val="004C23E7"/>
    <w:rsid w:val="004C2550"/>
    <w:rsid w:val="004C2E96"/>
    <w:rsid w:val="004C322E"/>
    <w:rsid w:val="004C360D"/>
    <w:rsid w:val="004C3A05"/>
    <w:rsid w:val="004C3F50"/>
    <w:rsid w:val="004C497D"/>
    <w:rsid w:val="004C4B34"/>
    <w:rsid w:val="004C4B65"/>
    <w:rsid w:val="004C4B90"/>
    <w:rsid w:val="004C4E00"/>
    <w:rsid w:val="004C4E7F"/>
    <w:rsid w:val="004C4FB4"/>
    <w:rsid w:val="004C52A7"/>
    <w:rsid w:val="004C613B"/>
    <w:rsid w:val="004C61CB"/>
    <w:rsid w:val="004C63F5"/>
    <w:rsid w:val="004C670F"/>
    <w:rsid w:val="004C6864"/>
    <w:rsid w:val="004C6BFB"/>
    <w:rsid w:val="004C6CDB"/>
    <w:rsid w:val="004C7156"/>
    <w:rsid w:val="004C72C4"/>
    <w:rsid w:val="004C7337"/>
    <w:rsid w:val="004C7AF3"/>
    <w:rsid w:val="004C7CDC"/>
    <w:rsid w:val="004D0157"/>
    <w:rsid w:val="004D018C"/>
    <w:rsid w:val="004D01D9"/>
    <w:rsid w:val="004D03A3"/>
    <w:rsid w:val="004D03B7"/>
    <w:rsid w:val="004D19D6"/>
    <w:rsid w:val="004D1A97"/>
    <w:rsid w:val="004D1DC6"/>
    <w:rsid w:val="004D221D"/>
    <w:rsid w:val="004D2456"/>
    <w:rsid w:val="004D2468"/>
    <w:rsid w:val="004D29F9"/>
    <w:rsid w:val="004D2E48"/>
    <w:rsid w:val="004D308D"/>
    <w:rsid w:val="004D3386"/>
    <w:rsid w:val="004D361D"/>
    <w:rsid w:val="004D3C73"/>
    <w:rsid w:val="004D3EE7"/>
    <w:rsid w:val="004D4074"/>
    <w:rsid w:val="004D43F4"/>
    <w:rsid w:val="004D45F5"/>
    <w:rsid w:val="004D48B2"/>
    <w:rsid w:val="004D496F"/>
    <w:rsid w:val="004D4A22"/>
    <w:rsid w:val="004D4A35"/>
    <w:rsid w:val="004D4B9D"/>
    <w:rsid w:val="004D5A70"/>
    <w:rsid w:val="004D6349"/>
    <w:rsid w:val="004D6526"/>
    <w:rsid w:val="004D6AD5"/>
    <w:rsid w:val="004D7545"/>
    <w:rsid w:val="004E013A"/>
    <w:rsid w:val="004E0AE0"/>
    <w:rsid w:val="004E0DA8"/>
    <w:rsid w:val="004E1462"/>
    <w:rsid w:val="004E159E"/>
    <w:rsid w:val="004E1D7B"/>
    <w:rsid w:val="004E1F0A"/>
    <w:rsid w:val="004E2478"/>
    <w:rsid w:val="004E2A5A"/>
    <w:rsid w:val="004E2D0F"/>
    <w:rsid w:val="004E2D79"/>
    <w:rsid w:val="004E2FB9"/>
    <w:rsid w:val="004E3002"/>
    <w:rsid w:val="004E336F"/>
    <w:rsid w:val="004E342E"/>
    <w:rsid w:val="004E3F1F"/>
    <w:rsid w:val="004E3FFE"/>
    <w:rsid w:val="004E4106"/>
    <w:rsid w:val="004E44C6"/>
    <w:rsid w:val="004E4BA7"/>
    <w:rsid w:val="004E5136"/>
    <w:rsid w:val="004E53D3"/>
    <w:rsid w:val="004E5540"/>
    <w:rsid w:val="004E5860"/>
    <w:rsid w:val="004E5A6A"/>
    <w:rsid w:val="004E5E88"/>
    <w:rsid w:val="004E5FE9"/>
    <w:rsid w:val="004E61B7"/>
    <w:rsid w:val="004E649D"/>
    <w:rsid w:val="004E65EA"/>
    <w:rsid w:val="004E6856"/>
    <w:rsid w:val="004E68DB"/>
    <w:rsid w:val="004E7134"/>
    <w:rsid w:val="004E75A1"/>
    <w:rsid w:val="004E7E94"/>
    <w:rsid w:val="004F03EC"/>
    <w:rsid w:val="004F054B"/>
    <w:rsid w:val="004F0BB0"/>
    <w:rsid w:val="004F1037"/>
    <w:rsid w:val="004F10A4"/>
    <w:rsid w:val="004F167B"/>
    <w:rsid w:val="004F1CE3"/>
    <w:rsid w:val="004F22DC"/>
    <w:rsid w:val="004F2739"/>
    <w:rsid w:val="004F2996"/>
    <w:rsid w:val="004F397D"/>
    <w:rsid w:val="004F3A55"/>
    <w:rsid w:val="004F3AA3"/>
    <w:rsid w:val="004F4264"/>
    <w:rsid w:val="004F445C"/>
    <w:rsid w:val="004F4690"/>
    <w:rsid w:val="004F4845"/>
    <w:rsid w:val="004F4C08"/>
    <w:rsid w:val="004F4FAE"/>
    <w:rsid w:val="004F53C7"/>
    <w:rsid w:val="004F5635"/>
    <w:rsid w:val="004F68DA"/>
    <w:rsid w:val="004F707B"/>
    <w:rsid w:val="004F7877"/>
    <w:rsid w:val="004F792B"/>
    <w:rsid w:val="004F7F97"/>
    <w:rsid w:val="005007BC"/>
    <w:rsid w:val="00500B34"/>
    <w:rsid w:val="00500C75"/>
    <w:rsid w:val="00500D03"/>
    <w:rsid w:val="00500D51"/>
    <w:rsid w:val="00501B5C"/>
    <w:rsid w:val="00502318"/>
    <w:rsid w:val="00502356"/>
    <w:rsid w:val="0050246E"/>
    <w:rsid w:val="005029DE"/>
    <w:rsid w:val="00502ABB"/>
    <w:rsid w:val="00502CC1"/>
    <w:rsid w:val="00503046"/>
    <w:rsid w:val="005035CA"/>
    <w:rsid w:val="005036DA"/>
    <w:rsid w:val="0050381C"/>
    <w:rsid w:val="00503920"/>
    <w:rsid w:val="00503C4D"/>
    <w:rsid w:val="005045F1"/>
    <w:rsid w:val="00504723"/>
    <w:rsid w:val="00504899"/>
    <w:rsid w:val="005049DC"/>
    <w:rsid w:val="00504A5B"/>
    <w:rsid w:val="005051C1"/>
    <w:rsid w:val="005051D4"/>
    <w:rsid w:val="0050559B"/>
    <w:rsid w:val="005061F5"/>
    <w:rsid w:val="00506740"/>
    <w:rsid w:val="00506F93"/>
    <w:rsid w:val="00507337"/>
    <w:rsid w:val="0050739C"/>
    <w:rsid w:val="00507849"/>
    <w:rsid w:val="0050788C"/>
    <w:rsid w:val="0050789A"/>
    <w:rsid w:val="00510382"/>
    <w:rsid w:val="00510618"/>
    <w:rsid w:val="00510DB9"/>
    <w:rsid w:val="00510FAF"/>
    <w:rsid w:val="00511C0D"/>
    <w:rsid w:val="00511D2F"/>
    <w:rsid w:val="00511E35"/>
    <w:rsid w:val="00512A3D"/>
    <w:rsid w:val="00513027"/>
    <w:rsid w:val="00513627"/>
    <w:rsid w:val="0051381C"/>
    <w:rsid w:val="00513A71"/>
    <w:rsid w:val="00513D45"/>
    <w:rsid w:val="00513DBF"/>
    <w:rsid w:val="00513E90"/>
    <w:rsid w:val="00513EEE"/>
    <w:rsid w:val="0051436A"/>
    <w:rsid w:val="0051449E"/>
    <w:rsid w:val="0051463E"/>
    <w:rsid w:val="00515008"/>
    <w:rsid w:val="00515A56"/>
    <w:rsid w:val="00515BB0"/>
    <w:rsid w:val="00515EDD"/>
    <w:rsid w:val="00516151"/>
    <w:rsid w:val="005161E9"/>
    <w:rsid w:val="005161FF"/>
    <w:rsid w:val="0051669D"/>
    <w:rsid w:val="0051758D"/>
    <w:rsid w:val="00517C4D"/>
    <w:rsid w:val="005201FF"/>
    <w:rsid w:val="0052097B"/>
    <w:rsid w:val="00520B1E"/>
    <w:rsid w:val="00521325"/>
    <w:rsid w:val="005222CB"/>
    <w:rsid w:val="005227D1"/>
    <w:rsid w:val="00522E7E"/>
    <w:rsid w:val="005234DE"/>
    <w:rsid w:val="0052378B"/>
    <w:rsid w:val="0052388A"/>
    <w:rsid w:val="0052388B"/>
    <w:rsid w:val="00523A08"/>
    <w:rsid w:val="005247A6"/>
    <w:rsid w:val="00524A12"/>
    <w:rsid w:val="0052530C"/>
    <w:rsid w:val="0052572F"/>
    <w:rsid w:val="00525CA2"/>
    <w:rsid w:val="00525CCD"/>
    <w:rsid w:val="00526085"/>
    <w:rsid w:val="0052615F"/>
    <w:rsid w:val="0052663D"/>
    <w:rsid w:val="00526666"/>
    <w:rsid w:val="0052676C"/>
    <w:rsid w:val="005268F5"/>
    <w:rsid w:val="00526C21"/>
    <w:rsid w:val="00526CFD"/>
    <w:rsid w:val="005275B3"/>
    <w:rsid w:val="00527A7B"/>
    <w:rsid w:val="00527ADA"/>
    <w:rsid w:val="00527C45"/>
    <w:rsid w:val="005300BE"/>
    <w:rsid w:val="0053055C"/>
    <w:rsid w:val="005306F5"/>
    <w:rsid w:val="00530823"/>
    <w:rsid w:val="00530B37"/>
    <w:rsid w:val="00530CE2"/>
    <w:rsid w:val="00530D03"/>
    <w:rsid w:val="00530E8E"/>
    <w:rsid w:val="00531506"/>
    <w:rsid w:val="00531729"/>
    <w:rsid w:val="005317E5"/>
    <w:rsid w:val="00531C03"/>
    <w:rsid w:val="00531EAE"/>
    <w:rsid w:val="005322C9"/>
    <w:rsid w:val="005323EF"/>
    <w:rsid w:val="0053285E"/>
    <w:rsid w:val="00532A72"/>
    <w:rsid w:val="00532B30"/>
    <w:rsid w:val="00532D2B"/>
    <w:rsid w:val="00532E63"/>
    <w:rsid w:val="005334FF"/>
    <w:rsid w:val="005335E0"/>
    <w:rsid w:val="0053366C"/>
    <w:rsid w:val="00533806"/>
    <w:rsid w:val="00533A54"/>
    <w:rsid w:val="00533D21"/>
    <w:rsid w:val="00533DD3"/>
    <w:rsid w:val="005341D9"/>
    <w:rsid w:val="00534288"/>
    <w:rsid w:val="00534318"/>
    <w:rsid w:val="005346E5"/>
    <w:rsid w:val="0053470C"/>
    <w:rsid w:val="00534FBE"/>
    <w:rsid w:val="00535014"/>
    <w:rsid w:val="00535046"/>
    <w:rsid w:val="0053534E"/>
    <w:rsid w:val="00535765"/>
    <w:rsid w:val="005359BB"/>
    <w:rsid w:val="005359DF"/>
    <w:rsid w:val="00535D05"/>
    <w:rsid w:val="00535D98"/>
    <w:rsid w:val="0053659D"/>
    <w:rsid w:val="00536DD6"/>
    <w:rsid w:val="0053707C"/>
    <w:rsid w:val="0053747A"/>
    <w:rsid w:val="00537E8F"/>
    <w:rsid w:val="00537FFE"/>
    <w:rsid w:val="00540199"/>
    <w:rsid w:val="005402AE"/>
    <w:rsid w:val="00540352"/>
    <w:rsid w:val="00540AE4"/>
    <w:rsid w:val="00540C63"/>
    <w:rsid w:val="00541C42"/>
    <w:rsid w:val="00541EC4"/>
    <w:rsid w:val="005421A2"/>
    <w:rsid w:val="005422CD"/>
    <w:rsid w:val="0054242B"/>
    <w:rsid w:val="00542914"/>
    <w:rsid w:val="00543084"/>
    <w:rsid w:val="005430E4"/>
    <w:rsid w:val="00543586"/>
    <w:rsid w:val="0054362A"/>
    <w:rsid w:val="00543888"/>
    <w:rsid w:val="005443D9"/>
    <w:rsid w:val="005445FF"/>
    <w:rsid w:val="00544A77"/>
    <w:rsid w:val="00544B87"/>
    <w:rsid w:val="00544FF2"/>
    <w:rsid w:val="005455BE"/>
    <w:rsid w:val="00545E9E"/>
    <w:rsid w:val="00546252"/>
    <w:rsid w:val="0054652F"/>
    <w:rsid w:val="005468C4"/>
    <w:rsid w:val="00546B0D"/>
    <w:rsid w:val="00546BCD"/>
    <w:rsid w:val="00546D7E"/>
    <w:rsid w:val="00547369"/>
    <w:rsid w:val="0054751D"/>
    <w:rsid w:val="00547B68"/>
    <w:rsid w:val="00547E74"/>
    <w:rsid w:val="00547EAE"/>
    <w:rsid w:val="0055001E"/>
    <w:rsid w:val="005513A6"/>
    <w:rsid w:val="005517A7"/>
    <w:rsid w:val="00551A6F"/>
    <w:rsid w:val="00552199"/>
    <w:rsid w:val="00552DDC"/>
    <w:rsid w:val="00553002"/>
    <w:rsid w:val="0055311A"/>
    <w:rsid w:val="00553856"/>
    <w:rsid w:val="00553B6C"/>
    <w:rsid w:val="005541E0"/>
    <w:rsid w:val="00554237"/>
    <w:rsid w:val="005556C9"/>
    <w:rsid w:val="00555764"/>
    <w:rsid w:val="00555A45"/>
    <w:rsid w:val="00555AC0"/>
    <w:rsid w:val="0055648F"/>
    <w:rsid w:val="005565AD"/>
    <w:rsid w:val="005566A1"/>
    <w:rsid w:val="00556814"/>
    <w:rsid w:val="005568B1"/>
    <w:rsid w:val="005568FF"/>
    <w:rsid w:val="00556FCB"/>
    <w:rsid w:val="005574F8"/>
    <w:rsid w:val="00557688"/>
    <w:rsid w:val="00557C97"/>
    <w:rsid w:val="00560618"/>
    <w:rsid w:val="00560690"/>
    <w:rsid w:val="00560809"/>
    <w:rsid w:val="00560B10"/>
    <w:rsid w:val="00560CC6"/>
    <w:rsid w:val="00560CF1"/>
    <w:rsid w:val="00560DF9"/>
    <w:rsid w:val="0056123E"/>
    <w:rsid w:val="005617A3"/>
    <w:rsid w:val="00561888"/>
    <w:rsid w:val="005623E6"/>
    <w:rsid w:val="00562417"/>
    <w:rsid w:val="00562433"/>
    <w:rsid w:val="0056298C"/>
    <w:rsid w:val="00562B55"/>
    <w:rsid w:val="00564399"/>
    <w:rsid w:val="005647C9"/>
    <w:rsid w:val="00564B7B"/>
    <w:rsid w:val="00564F2D"/>
    <w:rsid w:val="0056534C"/>
    <w:rsid w:val="005663F5"/>
    <w:rsid w:val="005664D3"/>
    <w:rsid w:val="0056696C"/>
    <w:rsid w:val="005669E7"/>
    <w:rsid w:val="00566B10"/>
    <w:rsid w:val="00566C8D"/>
    <w:rsid w:val="00566D97"/>
    <w:rsid w:val="0056751E"/>
    <w:rsid w:val="00567A52"/>
    <w:rsid w:val="00567DF0"/>
    <w:rsid w:val="00567FBC"/>
    <w:rsid w:val="00567FF7"/>
    <w:rsid w:val="005700A5"/>
    <w:rsid w:val="0057019C"/>
    <w:rsid w:val="0057046B"/>
    <w:rsid w:val="00570979"/>
    <w:rsid w:val="00570EF5"/>
    <w:rsid w:val="0057110D"/>
    <w:rsid w:val="005715A9"/>
    <w:rsid w:val="00571788"/>
    <w:rsid w:val="0057190A"/>
    <w:rsid w:val="00571A5D"/>
    <w:rsid w:val="00571C73"/>
    <w:rsid w:val="005720C2"/>
    <w:rsid w:val="005723B7"/>
    <w:rsid w:val="0057270F"/>
    <w:rsid w:val="00572A27"/>
    <w:rsid w:val="00572AC2"/>
    <w:rsid w:val="0057313C"/>
    <w:rsid w:val="00573E6C"/>
    <w:rsid w:val="005743E1"/>
    <w:rsid w:val="005746AA"/>
    <w:rsid w:val="005746D2"/>
    <w:rsid w:val="00574CEF"/>
    <w:rsid w:val="005752CB"/>
    <w:rsid w:val="00575575"/>
    <w:rsid w:val="00575596"/>
    <w:rsid w:val="005758D7"/>
    <w:rsid w:val="005759E9"/>
    <w:rsid w:val="00575A3E"/>
    <w:rsid w:val="00575A55"/>
    <w:rsid w:val="00575EB4"/>
    <w:rsid w:val="00576097"/>
    <w:rsid w:val="00576B08"/>
    <w:rsid w:val="00576B11"/>
    <w:rsid w:val="00576E8F"/>
    <w:rsid w:val="00576F69"/>
    <w:rsid w:val="005771BF"/>
    <w:rsid w:val="005776FE"/>
    <w:rsid w:val="0057773E"/>
    <w:rsid w:val="00577B82"/>
    <w:rsid w:val="00577BC6"/>
    <w:rsid w:val="00577F07"/>
    <w:rsid w:val="005800F9"/>
    <w:rsid w:val="00580925"/>
    <w:rsid w:val="00580F62"/>
    <w:rsid w:val="005811D3"/>
    <w:rsid w:val="00581449"/>
    <w:rsid w:val="00581468"/>
    <w:rsid w:val="00581833"/>
    <w:rsid w:val="00581A58"/>
    <w:rsid w:val="00581CD5"/>
    <w:rsid w:val="00582003"/>
    <w:rsid w:val="0058276B"/>
    <w:rsid w:val="00582BBE"/>
    <w:rsid w:val="00583B0F"/>
    <w:rsid w:val="00583D94"/>
    <w:rsid w:val="005840AA"/>
    <w:rsid w:val="00584406"/>
    <w:rsid w:val="005849E2"/>
    <w:rsid w:val="00584B89"/>
    <w:rsid w:val="00584EA6"/>
    <w:rsid w:val="00585009"/>
    <w:rsid w:val="0058500C"/>
    <w:rsid w:val="00585073"/>
    <w:rsid w:val="00585923"/>
    <w:rsid w:val="0058666E"/>
    <w:rsid w:val="005868A2"/>
    <w:rsid w:val="005869E0"/>
    <w:rsid w:val="00586B42"/>
    <w:rsid w:val="0058722A"/>
    <w:rsid w:val="0058752F"/>
    <w:rsid w:val="005876B8"/>
    <w:rsid w:val="00587BAB"/>
    <w:rsid w:val="00587F3B"/>
    <w:rsid w:val="00590067"/>
    <w:rsid w:val="00590218"/>
    <w:rsid w:val="005906BE"/>
    <w:rsid w:val="00590716"/>
    <w:rsid w:val="00590A66"/>
    <w:rsid w:val="00590BF8"/>
    <w:rsid w:val="005917F3"/>
    <w:rsid w:val="005918C3"/>
    <w:rsid w:val="00591919"/>
    <w:rsid w:val="00591CA0"/>
    <w:rsid w:val="00591D3F"/>
    <w:rsid w:val="00592177"/>
    <w:rsid w:val="00592CC5"/>
    <w:rsid w:val="00593940"/>
    <w:rsid w:val="00593D69"/>
    <w:rsid w:val="00593D96"/>
    <w:rsid w:val="0059410F"/>
    <w:rsid w:val="00594431"/>
    <w:rsid w:val="0059443E"/>
    <w:rsid w:val="005944B1"/>
    <w:rsid w:val="00594C03"/>
    <w:rsid w:val="00594F88"/>
    <w:rsid w:val="00595282"/>
    <w:rsid w:val="00595343"/>
    <w:rsid w:val="005953B9"/>
    <w:rsid w:val="005955A7"/>
    <w:rsid w:val="00595D4B"/>
    <w:rsid w:val="00595DBC"/>
    <w:rsid w:val="005964E2"/>
    <w:rsid w:val="00596884"/>
    <w:rsid w:val="0059696A"/>
    <w:rsid w:val="005973DB"/>
    <w:rsid w:val="00597933"/>
    <w:rsid w:val="0059795E"/>
    <w:rsid w:val="00597966"/>
    <w:rsid w:val="00597C95"/>
    <w:rsid w:val="005A08CC"/>
    <w:rsid w:val="005A0E48"/>
    <w:rsid w:val="005A1437"/>
    <w:rsid w:val="005A152C"/>
    <w:rsid w:val="005A16F3"/>
    <w:rsid w:val="005A215A"/>
    <w:rsid w:val="005A21FC"/>
    <w:rsid w:val="005A23D5"/>
    <w:rsid w:val="005A25A4"/>
    <w:rsid w:val="005A274A"/>
    <w:rsid w:val="005A28FB"/>
    <w:rsid w:val="005A29C4"/>
    <w:rsid w:val="005A3606"/>
    <w:rsid w:val="005A3628"/>
    <w:rsid w:val="005A39DD"/>
    <w:rsid w:val="005A3A8D"/>
    <w:rsid w:val="005A3AC1"/>
    <w:rsid w:val="005A3E56"/>
    <w:rsid w:val="005A434E"/>
    <w:rsid w:val="005A511B"/>
    <w:rsid w:val="005A53A6"/>
    <w:rsid w:val="005A543F"/>
    <w:rsid w:val="005A58DA"/>
    <w:rsid w:val="005A5A0F"/>
    <w:rsid w:val="005A6335"/>
    <w:rsid w:val="005A6562"/>
    <w:rsid w:val="005A69A8"/>
    <w:rsid w:val="005A6B5F"/>
    <w:rsid w:val="005A6BE2"/>
    <w:rsid w:val="005A6CD5"/>
    <w:rsid w:val="005A7A36"/>
    <w:rsid w:val="005A7F29"/>
    <w:rsid w:val="005B1260"/>
    <w:rsid w:val="005B12A4"/>
    <w:rsid w:val="005B13B7"/>
    <w:rsid w:val="005B18AB"/>
    <w:rsid w:val="005B1A40"/>
    <w:rsid w:val="005B2E3C"/>
    <w:rsid w:val="005B3283"/>
    <w:rsid w:val="005B3ACE"/>
    <w:rsid w:val="005B46CC"/>
    <w:rsid w:val="005B4704"/>
    <w:rsid w:val="005B488A"/>
    <w:rsid w:val="005B4CC4"/>
    <w:rsid w:val="005B4D17"/>
    <w:rsid w:val="005B4E57"/>
    <w:rsid w:val="005B5071"/>
    <w:rsid w:val="005B50C7"/>
    <w:rsid w:val="005B51A4"/>
    <w:rsid w:val="005B55BD"/>
    <w:rsid w:val="005B568B"/>
    <w:rsid w:val="005B56A9"/>
    <w:rsid w:val="005B57D1"/>
    <w:rsid w:val="005B59C6"/>
    <w:rsid w:val="005B5B42"/>
    <w:rsid w:val="005B5EA0"/>
    <w:rsid w:val="005B5EC8"/>
    <w:rsid w:val="005B647E"/>
    <w:rsid w:val="005B66D2"/>
    <w:rsid w:val="005B70D5"/>
    <w:rsid w:val="005B720D"/>
    <w:rsid w:val="005B72EA"/>
    <w:rsid w:val="005B7383"/>
    <w:rsid w:val="005B73E9"/>
    <w:rsid w:val="005C007D"/>
    <w:rsid w:val="005C05C8"/>
    <w:rsid w:val="005C0935"/>
    <w:rsid w:val="005C0937"/>
    <w:rsid w:val="005C0A12"/>
    <w:rsid w:val="005C0F93"/>
    <w:rsid w:val="005C120B"/>
    <w:rsid w:val="005C144D"/>
    <w:rsid w:val="005C1A5B"/>
    <w:rsid w:val="005C1E62"/>
    <w:rsid w:val="005C28B9"/>
    <w:rsid w:val="005C2AA5"/>
    <w:rsid w:val="005C2C99"/>
    <w:rsid w:val="005C2E8A"/>
    <w:rsid w:val="005C365F"/>
    <w:rsid w:val="005C3D03"/>
    <w:rsid w:val="005C3D8D"/>
    <w:rsid w:val="005C3FA7"/>
    <w:rsid w:val="005C41F6"/>
    <w:rsid w:val="005C5574"/>
    <w:rsid w:val="005C5B85"/>
    <w:rsid w:val="005C5C0D"/>
    <w:rsid w:val="005C5C8B"/>
    <w:rsid w:val="005C6257"/>
    <w:rsid w:val="005C6527"/>
    <w:rsid w:val="005C69F7"/>
    <w:rsid w:val="005C6AA8"/>
    <w:rsid w:val="005C6DDE"/>
    <w:rsid w:val="005C7033"/>
    <w:rsid w:val="005C73EA"/>
    <w:rsid w:val="005C7488"/>
    <w:rsid w:val="005C79E8"/>
    <w:rsid w:val="005C7D1F"/>
    <w:rsid w:val="005D0203"/>
    <w:rsid w:val="005D05EA"/>
    <w:rsid w:val="005D06C7"/>
    <w:rsid w:val="005D0800"/>
    <w:rsid w:val="005D0F8A"/>
    <w:rsid w:val="005D146E"/>
    <w:rsid w:val="005D1E2E"/>
    <w:rsid w:val="005D278E"/>
    <w:rsid w:val="005D317A"/>
    <w:rsid w:val="005D3366"/>
    <w:rsid w:val="005D3CB2"/>
    <w:rsid w:val="005D3E4B"/>
    <w:rsid w:val="005D4316"/>
    <w:rsid w:val="005D4484"/>
    <w:rsid w:val="005D46F9"/>
    <w:rsid w:val="005D4F36"/>
    <w:rsid w:val="005D534F"/>
    <w:rsid w:val="005D5F16"/>
    <w:rsid w:val="005D6381"/>
    <w:rsid w:val="005D6A4B"/>
    <w:rsid w:val="005D6C3C"/>
    <w:rsid w:val="005D6EF4"/>
    <w:rsid w:val="005D7910"/>
    <w:rsid w:val="005D7FE9"/>
    <w:rsid w:val="005E09D5"/>
    <w:rsid w:val="005E0B75"/>
    <w:rsid w:val="005E0FFE"/>
    <w:rsid w:val="005E18C8"/>
    <w:rsid w:val="005E19B6"/>
    <w:rsid w:val="005E1AAD"/>
    <w:rsid w:val="005E1BCB"/>
    <w:rsid w:val="005E1CA7"/>
    <w:rsid w:val="005E1F11"/>
    <w:rsid w:val="005E2F2A"/>
    <w:rsid w:val="005E33FE"/>
    <w:rsid w:val="005E3C5C"/>
    <w:rsid w:val="005E3C7D"/>
    <w:rsid w:val="005E3D83"/>
    <w:rsid w:val="005E3EE1"/>
    <w:rsid w:val="005E4D0E"/>
    <w:rsid w:val="005E4F88"/>
    <w:rsid w:val="005E5461"/>
    <w:rsid w:val="005E5AC9"/>
    <w:rsid w:val="005E5CC1"/>
    <w:rsid w:val="005E5E5A"/>
    <w:rsid w:val="005E5F5E"/>
    <w:rsid w:val="005E61D7"/>
    <w:rsid w:val="005E6292"/>
    <w:rsid w:val="005E62CA"/>
    <w:rsid w:val="005E6752"/>
    <w:rsid w:val="005E6993"/>
    <w:rsid w:val="005E73B9"/>
    <w:rsid w:val="005E7AB5"/>
    <w:rsid w:val="005E7D51"/>
    <w:rsid w:val="005E7E6E"/>
    <w:rsid w:val="005F0128"/>
    <w:rsid w:val="005F132B"/>
    <w:rsid w:val="005F1376"/>
    <w:rsid w:val="005F1595"/>
    <w:rsid w:val="005F1720"/>
    <w:rsid w:val="005F22F5"/>
    <w:rsid w:val="005F24F3"/>
    <w:rsid w:val="005F2870"/>
    <w:rsid w:val="005F3158"/>
    <w:rsid w:val="005F330E"/>
    <w:rsid w:val="005F35F3"/>
    <w:rsid w:val="005F4133"/>
    <w:rsid w:val="005F4F2A"/>
    <w:rsid w:val="005F5D82"/>
    <w:rsid w:val="005F5F7D"/>
    <w:rsid w:val="005F624E"/>
    <w:rsid w:val="005F6514"/>
    <w:rsid w:val="005F66B6"/>
    <w:rsid w:val="005F694C"/>
    <w:rsid w:val="005F75B1"/>
    <w:rsid w:val="005F76C4"/>
    <w:rsid w:val="00600112"/>
    <w:rsid w:val="00600364"/>
    <w:rsid w:val="0060041C"/>
    <w:rsid w:val="006005DA"/>
    <w:rsid w:val="006005F5"/>
    <w:rsid w:val="00600C61"/>
    <w:rsid w:val="0060129C"/>
    <w:rsid w:val="006012C5"/>
    <w:rsid w:val="00601519"/>
    <w:rsid w:val="00602327"/>
    <w:rsid w:val="0060321A"/>
    <w:rsid w:val="006032BC"/>
    <w:rsid w:val="006037B1"/>
    <w:rsid w:val="00604072"/>
    <w:rsid w:val="006043D0"/>
    <w:rsid w:val="00604B1F"/>
    <w:rsid w:val="006050A8"/>
    <w:rsid w:val="006056CE"/>
    <w:rsid w:val="0060598E"/>
    <w:rsid w:val="00605D80"/>
    <w:rsid w:val="00606765"/>
    <w:rsid w:val="00606A16"/>
    <w:rsid w:val="00606E59"/>
    <w:rsid w:val="00606E8C"/>
    <w:rsid w:val="0060706B"/>
    <w:rsid w:val="006073F4"/>
    <w:rsid w:val="00607C82"/>
    <w:rsid w:val="0061015A"/>
    <w:rsid w:val="006106BB"/>
    <w:rsid w:val="00610CDA"/>
    <w:rsid w:val="006118BA"/>
    <w:rsid w:val="00612439"/>
    <w:rsid w:val="00612648"/>
    <w:rsid w:val="006128D9"/>
    <w:rsid w:val="006133A3"/>
    <w:rsid w:val="00613552"/>
    <w:rsid w:val="00613A00"/>
    <w:rsid w:val="00613A0A"/>
    <w:rsid w:val="00613EFD"/>
    <w:rsid w:val="0061425A"/>
    <w:rsid w:val="00614604"/>
    <w:rsid w:val="006146A0"/>
    <w:rsid w:val="00614A55"/>
    <w:rsid w:val="00614BF6"/>
    <w:rsid w:val="00614C27"/>
    <w:rsid w:val="00615133"/>
    <w:rsid w:val="006155A9"/>
    <w:rsid w:val="006157F1"/>
    <w:rsid w:val="006160C0"/>
    <w:rsid w:val="006165E9"/>
    <w:rsid w:val="006169DF"/>
    <w:rsid w:val="00617283"/>
    <w:rsid w:val="00617752"/>
    <w:rsid w:val="0061775C"/>
    <w:rsid w:val="006179D4"/>
    <w:rsid w:val="00617F42"/>
    <w:rsid w:val="006200FE"/>
    <w:rsid w:val="006201FC"/>
    <w:rsid w:val="00620D41"/>
    <w:rsid w:val="006219AC"/>
    <w:rsid w:val="00621D17"/>
    <w:rsid w:val="00621EB0"/>
    <w:rsid w:val="00622061"/>
    <w:rsid w:val="0062210A"/>
    <w:rsid w:val="00622140"/>
    <w:rsid w:val="00622206"/>
    <w:rsid w:val="00622857"/>
    <w:rsid w:val="0062326F"/>
    <w:rsid w:val="00623CF3"/>
    <w:rsid w:val="00624BD1"/>
    <w:rsid w:val="0062511B"/>
    <w:rsid w:val="006256FD"/>
    <w:rsid w:val="006257E8"/>
    <w:rsid w:val="0062584F"/>
    <w:rsid w:val="00625DB7"/>
    <w:rsid w:val="00625DD0"/>
    <w:rsid w:val="006260C7"/>
    <w:rsid w:val="0062612E"/>
    <w:rsid w:val="006265D8"/>
    <w:rsid w:val="00626D62"/>
    <w:rsid w:val="00627072"/>
    <w:rsid w:val="0062783F"/>
    <w:rsid w:val="00627945"/>
    <w:rsid w:val="00630520"/>
    <w:rsid w:val="00630749"/>
    <w:rsid w:val="00630F06"/>
    <w:rsid w:val="00631013"/>
    <w:rsid w:val="0063120A"/>
    <w:rsid w:val="0063137F"/>
    <w:rsid w:val="0063189D"/>
    <w:rsid w:val="00631952"/>
    <w:rsid w:val="0063196D"/>
    <w:rsid w:val="00631C6C"/>
    <w:rsid w:val="006327BC"/>
    <w:rsid w:val="006327E5"/>
    <w:rsid w:val="00632DD6"/>
    <w:rsid w:val="006336BE"/>
    <w:rsid w:val="00633889"/>
    <w:rsid w:val="00633AA1"/>
    <w:rsid w:val="00633B41"/>
    <w:rsid w:val="00634117"/>
    <w:rsid w:val="0063444E"/>
    <w:rsid w:val="0063468F"/>
    <w:rsid w:val="006348B1"/>
    <w:rsid w:val="00634E81"/>
    <w:rsid w:val="006350BD"/>
    <w:rsid w:val="006352A5"/>
    <w:rsid w:val="006357F0"/>
    <w:rsid w:val="00635D09"/>
    <w:rsid w:val="00635ECA"/>
    <w:rsid w:val="006360BA"/>
    <w:rsid w:val="006361B5"/>
    <w:rsid w:val="0063670C"/>
    <w:rsid w:val="0063720B"/>
    <w:rsid w:val="0063755F"/>
    <w:rsid w:val="006378CD"/>
    <w:rsid w:val="00640852"/>
    <w:rsid w:val="00640D95"/>
    <w:rsid w:val="00640FD4"/>
    <w:rsid w:val="0064113C"/>
    <w:rsid w:val="0064186C"/>
    <w:rsid w:val="00641CF0"/>
    <w:rsid w:val="00642385"/>
    <w:rsid w:val="00642406"/>
    <w:rsid w:val="00642626"/>
    <w:rsid w:val="00642A17"/>
    <w:rsid w:val="00642D14"/>
    <w:rsid w:val="00643271"/>
    <w:rsid w:val="006436A4"/>
    <w:rsid w:val="00643D06"/>
    <w:rsid w:val="00643F8B"/>
    <w:rsid w:val="006440AA"/>
    <w:rsid w:val="0064457B"/>
    <w:rsid w:val="0064467F"/>
    <w:rsid w:val="006449B8"/>
    <w:rsid w:val="00644D38"/>
    <w:rsid w:val="00645020"/>
    <w:rsid w:val="00645045"/>
    <w:rsid w:val="006454A7"/>
    <w:rsid w:val="0064552A"/>
    <w:rsid w:val="00645A40"/>
    <w:rsid w:val="0064641F"/>
    <w:rsid w:val="0064676B"/>
    <w:rsid w:val="0064686D"/>
    <w:rsid w:val="0064687F"/>
    <w:rsid w:val="006468E5"/>
    <w:rsid w:val="00646A70"/>
    <w:rsid w:val="0064757C"/>
    <w:rsid w:val="0064769D"/>
    <w:rsid w:val="0064779F"/>
    <w:rsid w:val="006478EF"/>
    <w:rsid w:val="006479FD"/>
    <w:rsid w:val="00647A55"/>
    <w:rsid w:val="0065000E"/>
    <w:rsid w:val="006505E2"/>
    <w:rsid w:val="00650F3C"/>
    <w:rsid w:val="00651015"/>
    <w:rsid w:val="00651295"/>
    <w:rsid w:val="006512A4"/>
    <w:rsid w:val="00651736"/>
    <w:rsid w:val="00651D88"/>
    <w:rsid w:val="00651F67"/>
    <w:rsid w:val="00652198"/>
    <w:rsid w:val="006523AA"/>
    <w:rsid w:val="006525C9"/>
    <w:rsid w:val="00652600"/>
    <w:rsid w:val="00652895"/>
    <w:rsid w:val="00652B8F"/>
    <w:rsid w:val="00652CE8"/>
    <w:rsid w:val="006534F3"/>
    <w:rsid w:val="00653715"/>
    <w:rsid w:val="00653ABD"/>
    <w:rsid w:val="00653AFC"/>
    <w:rsid w:val="00653B5B"/>
    <w:rsid w:val="00653DF8"/>
    <w:rsid w:val="00653F6B"/>
    <w:rsid w:val="006541CA"/>
    <w:rsid w:val="0065447D"/>
    <w:rsid w:val="006547A1"/>
    <w:rsid w:val="00655888"/>
    <w:rsid w:val="00655D52"/>
    <w:rsid w:val="006567C6"/>
    <w:rsid w:val="00656B23"/>
    <w:rsid w:val="006570DB"/>
    <w:rsid w:val="006573AC"/>
    <w:rsid w:val="0065759C"/>
    <w:rsid w:val="006577C3"/>
    <w:rsid w:val="0065780D"/>
    <w:rsid w:val="00657837"/>
    <w:rsid w:val="006578A1"/>
    <w:rsid w:val="00657D63"/>
    <w:rsid w:val="00657F53"/>
    <w:rsid w:val="00657FE6"/>
    <w:rsid w:val="00660625"/>
    <w:rsid w:val="00660857"/>
    <w:rsid w:val="0066150B"/>
    <w:rsid w:val="00661630"/>
    <w:rsid w:val="00661979"/>
    <w:rsid w:val="00661991"/>
    <w:rsid w:val="00661AFA"/>
    <w:rsid w:val="00661F43"/>
    <w:rsid w:val="00663B8B"/>
    <w:rsid w:val="0066431F"/>
    <w:rsid w:val="00664629"/>
    <w:rsid w:val="00664730"/>
    <w:rsid w:val="006648BA"/>
    <w:rsid w:val="00664C30"/>
    <w:rsid w:val="00664EF3"/>
    <w:rsid w:val="00664F74"/>
    <w:rsid w:val="00665307"/>
    <w:rsid w:val="00665880"/>
    <w:rsid w:val="006659EB"/>
    <w:rsid w:val="00665BBB"/>
    <w:rsid w:val="00665D9A"/>
    <w:rsid w:val="006666AA"/>
    <w:rsid w:val="00666A8C"/>
    <w:rsid w:val="00666B70"/>
    <w:rsid w:val="00667462"/>
    <w:rsid w:val="006674D0"/>
    <w:rsid w:val="006674D3"/>
    <w:rsid w:val="006677B5"/>
    <w:rsid w:val="00667908"/>
    <w:rsid w:val="00667924"/>
    <w:rsid w:val="00667AFA"/>
    <w:rsid w:val="00667C67"/>
    <w:rsid w:val="00667D42"/>
    <w:rsid w:val="00667F61"/>
    <w:rsid w:val="00670D06"/>
    <w:rsid w:val="00671246"/>
    <w:rsid w:val="00671562"/>
    <w:rsid w:val="0067188D"/>
    <w:rsid w:val="00672E8E"/>
    <w:rsid w:val="006732F2"/>
    <w:rsid w:val="00673A90"/>
    <w:rsid w:val="00673BDB"/>
    <w:rsid w:val="006740ED"/>
    <w:rsid w:val="006749DE"/>
    <w:rsid w:val="00674C0F"/>
    <w:rsid w:val="00675148"/>
    <w:rsid w:val="006751EA"/>
    <w:rsid w:val="00675453"/>
    <w:rsid w:val="0067547B"/>
    <w:rsid w:val="0067562B"/>
    <w:rsid w:val="00675C96"/>
    <w:rsid w:val="00675D71"/>
    <w:rsid w:val="00675E1E"/>
    <w:rsid w:val="006760C5"/>
    <w:rsid w:val="00676503"/>
    <w:rsid w:val="006765D0"/>
    <w:rsid w:val="00676A4D"/>
    <w:rsid w:val="00676C29"/>
    <w:rsid w:val="00677074"/>
    <w:rsid w:val="0067731C"/>
    <w:rsid w:val="006773A9"/>
    <w:rsid w:val="00677BDF"/>
    <w:rsid w:val="00677FDE"/>
    <w:rsid w:val="00680160"/>
    <w:rsid w:val="00680523"/>
    <w:rsid w:val="0068061B"/>
    <w:rsid w:val="0068073E"/>
    <w:rsid w:val="006808E8"/>
    <w:rsid w:val="00680BBD"/>
    <w:rsid w:val="00680E79"/>
    <w:rsid w:val="00681A64"/>
    <w:rsid w:val="00681D93"/>
    <w:rsid w:val="00681EBE"/>
    <w:rsid w:val="006821DA"/>
    <w:rsid w:val="006822F9"/>
    <w:rsid w:val="006833C3"/>
    <w:rsid w:val="006837DF"/>
    <w:rsid w:val="00683C1E"/>
    <w:rsid w:val="006846FE"/>
    <w:rsid w:val="00685529"/>
    <w:rsid w:val="006859BF"/>
    <w:rsid w:val="00685C07"/>
    <w:rsid w:val="00685C92"/>
    <w:rsid w:val="006860FE"/>
    <w:rsid w:val="00686109"/>
    <w:rsid w:val="006863E4"/>
    <w:rsid w:val="0068669C"/>
    <w:rsid w:val="00686A58"/>
    <w:rsid w:val="00687030"/>
    <w:rsid w:val="00687071"/>
    <w:rsid w:val="00687677"/>
    <w:rsid w:val="006901F7"/>
    <w:rsid w:val="00690330"/>
    <w:rsid w:val="00690A35"/>
    <w:rsid w:val="00690EA1"/>
    <w:rsid w:val="0069104D"/>
    <w:rsid w:val="006917F8"/>
    <w:rsid w:val="00691A50"/>
    <w:rsid w:val="006920B9"/>
    <w:rsid w:val="0069222B"/>
    <w:rsid w:val="006924DB"/>
    <w:rsid w:val="00692D00"/>
    <w:rsid w:val="00692DB6"/>
    <w:rsid w:val="00692F0D"/>
    <w:rsid w:val="00692F21"/>
    <w:rsid w:val="0069336C"/>
    <w:rsid w:val="00693D2E"/>
    <w:rsid w:val="006940FB"/>
    <w:rsid w:val="0069425F"/>
    <w:rsid w:val="006944D6"/>
    <w:rsid w:val="0069450B"/>
    <w:rsid w:val="006949A1"/>
    <w:rsid w:val="00694BEB"/>
    <w:rsid w:val="00694D59"/>
    <w:rsid w:val="00695351"/>
    <w:rsid w:val="006957C2"/>
    <w:rsid w:val="00695A84"/>
    <w:rsid w:val="00695B44"/>
    <w:rsid w:val="00695B87"/>
    <w:rsid w:val="00695DD4"/>
    <w:rsid w:val="00696A42"/>
    <w:rsid w:val="00696B34"/>
    <w:rsid w:val="00696D6D"/>
    <w:rsid w:val="00697004"/>
    <w:rsid w:val="006972DD"/>
    <w:rsid w:val="00697300"/>
    <w:rsid w:val="006974C7"/>
    <w:rsid w:val="006975BE"/>
    <w:rsid w:val="0069791E"/>
    <w:rsid w:val="00697F14"/>
    <w:rsid w:val="006A03C9"/>
    <w:rsid w:val="006A063D"/>
    <w:rsid w:val="006A06DC"/>
    <w:rsid w:val="006A0720"/>
    <w:rsid w:val="006A138A"/>
    <w:rsid w:val="006A1A34"/>
    <w:rsid w:val="006A1C38"/>
    <w:rsid w:val="006A1F8D"/>
    <w:rsid w:val="006A2128"/>
    <w:rsid w:val="006A290D"/>
    <w:rsid w:val="006A3169"/>
    <w:rsid w:val="006A33BC"/>
    <w:rsid w:val="006A3E83"/>
    <w:rsid w:val="006A49BC"/>
    <w:rsid w:val="006A50C4"/>
    <w:rsid w:val="006A5338"/>
    <w:rsid w:val="006A5AF5"/>
    <w:rsid w:val="006A5C86"/>
    <w:rsid w:val="006A5CFD"/>
    <w:rsid w:val="006A6248"/>
    <w:rsid w:val="006A6366"/>
    <w:rsid w:val="006A69E2"/>
    <w:rsid w:val="006A6AE1"/>
    <w:rsid w:val="006A6C75"/>
    <w:rsid w:val="006A7AEE"/>
    <w:rsid w:val="006A7D48"/>
    <w:rsid w:val="006A7FBF"/>
    <w:rsid w:val="006B015E"/>
    <w:rsid w:val="006B0626"/>
    <w:rsid w:val="006B06BF"/>
    <w:rsid w:val="006B0B02"/>
    <w:rsid w:val="006B0CC0"/>
    <w:rsid w:val="006B10DB"/>
    <w:rsid w:val="006B13C6"/>
    <w:rsid w:val="006B16F5"/>
    <w:rsid w:val="006B1794"/>
    <w:rsid w:val="006B18B5"/>
    <w:rsid w:val="006B22FD"/>
    <w:rsid w:val="006B2432"/>
    <w:rsid w:val="006B26EB"/>
    <w:rsid w:val="006B2D53"/>
    <w:rsid w:val="006B2E17"/>
    <w:rsid w:val="006B371F"/>
    <w:rsid w:val="006B387B"/>
    <w:rsid w:val="006B3918"/>
    <w:rsid w:val="006B3C0E"/>
    <w:rsid w:val="006B3C56"/>
    <w:rsid w:val="006B43EF"/>
    <w:rsid w:val="006B45A2"/>
    <w:rsid w:val="006B45B0"/>
    <w:rsid w:val="006B4679"/>
    <w:rsid w:val="006B480C"/>
    <w:rsid w:val="006B493F"/>
    <w:rsid w:val="006B4C4B"/>
    <w:rsid w:val="006B519F"/>
    <w:rsid w:val="006B60B5"/>
    <w:rsid w:val="006B62D2"/>
    <w:rsid w:val="006B6598"/>
    <w:rsid w:val="006B65B5"/>
    <w:rsid w:val="006B6925"/>
    <w:rsid w:val="006B6D62"/>
    <w:rsid w:val="006B6FCC"/>
    <w:rsid w:val="006B7A99"/>
    <w:rsid w:val="006B7B92"/>
    <w:rsid w:val="006B7F9C"/>
    <w:rsid w:val="006C00D2"/>
    <w:rsid w:val="006C080B"/>
    <w:rsid w:val="006C0DDB"/>
    <w:rsid w:val="006C0EA8"/>
    <w:rsid w:val="006C1717"/>
    <w:rsid w:val="006C19DA"/>
    <w:rsid w:val="006C1CAD"/>
    <w:rsid w:val="006C1D2C"/>
    <w:rsid w:val="006C2023"/>
    <w:rsid w:val="006C221C"/>
    <w:rsid w:val="006C23B5"/>
    <w:rsid w:val="006C2415"/>
    <w:rsid w:val="006C247A"/>
    <w:rsid w:val="006C26B1"/>
    <w:rsid w:val="006C2BF4"/>
    <w:rsid w:val="006C2C11"/>
    <w:rsid w:val="006C2E64"/>
    <w:rsid w:val="006C30AD"/>
    <w:rsid w:val="006C30C6"/>
    <w:rsid w:val="006C31C5"/>
    <w:rsid w:val="006C3532"/>
    <w:rsid w:val="006C3897"/>
    <w:rsid w:val="006C3EAF"/>
    <w:rsid w:val="006C4DC0"/>
    <w:rsid w:val="006C4E91"/>
    <w:rsid w:val="006C546A"/>
    <w:rsid w:val="006C5BA8"/>
    <w:rsid w:val="006C5D46"/>
    <w:rsid w:val="006C6602"/>
    <w:rsid w:val="006C6D02"/>
    <w:rsid w:val="006C7230"/>
    <w:rsid w:val="006C7A3C"/>
    <w:rsid w:val="006C7A6F"/>
    <w:rsid w:val="006C7BF5"/>
    <w:rsid w:val="006D022D"/>
    <w:rsid w:val="006D1429"/>
    <w:rsid w:val="006D143C"/>
    <w:rsid w:val="006D15C6"/>
    <w:rsid w:val="006D1A2D"/>
    <w:rsid w:val="006D1A49"/>
    <w:rsid w:val="006D1CA0"/>
    <w:rsid w:val="006D202F"/>
    <w:rsid w:val="006D2DC5"/>
    <w:rsid w:val="006D3B78"/>
    <w:rsid w:val="006D3FD3"/>
    <w:rsid w:val="006D45AC"/>
    <w:rsid w:val="006D471A"/>
    <w:rsid w:val="006D5812"/>
    <w:rsid w:val="006D5A47"/>
    <w:rsid w:val="006D5FA5"/>
    <w:rsid w:val="006D6AA1"/>
    <w:rsid w:val="006D7697"/>
    <w:rsid w:val="006D775E"/>
    <w:rsid w:val="006D7989"/>
    <w:rsid w:val="006D7999"/>
    <w:rsid w:val="006D79A0"/>
    <w:rsid w:val="006D7D01"/>
    <w:rsid w:val="006D7E0F"/>
    <w:rsid w:val="006E00C6"/>
    <w:rsid w:val="006E02A6"/>
    <w:rsid w:val="006E05EA"/>
    <w:rsid w:val="006E126E"/>
    <w:rsid w:val="006E1400"/>
    <w:rsid w:val="006E1692"/>
    <w:rsid w:val="006E19DC"/>
    <w:rsid w:val="006E19E2"/>
    <w:rsid w:val="006E1B52"/>
    <w:rsid w:val="006E1C07"/>
    <w:rsid w:val="006E1E93"/>
    <w:rsid w:val="006E1F11"/>
    <w:rsid w:val="006E212F"/>
    <w:rsid w:val="006E2412"/>
    <w:rsid w:val="006E25D4"/>
    <w:rsid w:val="006E288D"/>
    <w:rsid w:val="006E2F87"/>
    <w:rsid w:val="006E3207"/>
    <w:rsid w:val="006E33AA"/>
    <w:rsid w:val="006E3697"/>
    <w:rsid w:val="006E3881"/>
    <w:rsid w:val="006E39FA"/>
    <w:rsid w:val="006E4A40"/>
    <w:rsid w:val="006E4ADE"/>
    <w:rsid w:val="006E520A"/>
    <w:rsid w:val="006E5463"/>
    <w:rsid w:val="006E596D"/>
    <w:rsid w:val="006E5C13"/>
    <w:rsid w:val="006E5EC3"/>
    <w:rsid w:val="006E5FC5"/>
    <w:rsid w:val="006E60F0"/>
    <w:rsid w:val="006E6195"/>
    <w:rsid w:val="006E65A6"/>
    <w:rsid w:val="006E6897"/>
    <w:rsid w:val="006E6BB8"/>
    <w:rsid w:val="006E73A5"/>
    <w:rsid w:val="006E75F9"/>
    <w:rsid w:val="006E76DE"/>
    <w:rsid w:val="006F0059"/>
    <w:rsid w:val="006F04C2"/>
    <w:rsid w:val="006F0898"/>
    <w:rsid w:val="006F197A"/>
    <w:rsid w:val="006F1F5A"/>
    <w:rsid w:val="006F21E7"/>
    <w:rsid w:val="006F31F2"/>
    <w:rsid w:val="006F39AE"/>
    <w:rsid w:val="006F3F21"/>
    <w:rsid w:val="006F4221"/>
    <w:rsid w:val="006F4330"/>
    <w:rsid w:val="006F5AF0"/>
    <w:rsid w:val="006F60B8"/>
    <w:rsid w:val="006F62F0"/>
    <w:rsid w:val="006F69EA"/>
    <w:rsid w:val="006F6DB6"/>
    <w:rsid w:val="006F6E2C"/>
    <w:rsid w:val="006F735B"/>
    <w:rsid w:val="006F7C3C"/>
    <w:rsid w:val="006F7E8B"/>
    <w:rsid w:val="007001DA"/>
    <w:rsid w:val="007006C0"/>
    <w:rsid w:val="007006F7"/>
    <w:rsid w:val="00700850"/>
    <w:rsid w:val="0070095F"/>
    <w:rsid w:val="00700FFC"/>
    <w:rsid w:val="007011C2"/>
    <w:rsid w:val="0070189F"/>
    <w:rsid w:val="0070193D"/>
    <w:rsid w:val="007020B2"/>
    <w:rsid w:val="00702548"/>
    <w:rsid w:val="007025D4"/>
    <w:rsid w:val="0070265F"/>
    <w:rsid w:val="007029F9"/>
    <w:rsid w:val="00702D8B"/>
    <w:rsid w:val="00702E95"/>
    <w:rsid w:val="00702F80"/>
    <w:rsid w:val="007030C0"/>
    <w:rsid w:val="007038E7"/>
    <w:rsid w:val="00703FBA"/>
    <w:rsid w:val="00704475"/>
    <w:rsid w:val="00704D4D"/>
    <w:rsid w:val="00704E90"/>
    <w:rsid w:val="00704EB0"/>
    <w:rsid w:val="00705189"/>
    <w:rsid w:val="0070547D"/>
    <w:rsid w:val="00705AEE"/>
    <w:rsid w:val="00706401"/>
    <w:rsid w:val="0070644C"/>
    <w:rsid w:val="007064FD"/>
    <w:rsid w:val="0070732F"/>
    <w:rsid w:val="00707B6F"/>
    <w:rsid w:val="00707BF6"/>
    <w:rsid w:val="00707C1F"/>
    <w:rsid w:val="007102D4"/>
    <w:rsid w:val="00710AFD"/>
    <w:rsid w:val="00710BF0"/>
    <w:rsid w:val="00710E04"/>
    <w:rsid w:val="00710FD1"/>
    <w:rsid w:val="0071145E"/>
    <w:rsid w:val="007119E6"/>
    <w:rsid w:val="00711BEF"/>
    <w:rsid w:val="0071224A"/>
    <w:rsid w:val="00712409"/>
    <w:rsid w:val="007124A5"/>
    <w:rsid w:val="00712647"/>
    <w:rsid w:val="00712A01"/>
    <w:rsid w:val="00712CDA"/>
    <w:rsid w:val="00712E61"/>
    <w:rsid w:val="00713467"/>
    <w:rsid w:val="00713860"/>
    <w:rsid w:val="00713F27"/>
    <w:rsid w:val="0071489B"/>
    <w:rsid w:val="00714E1B"/>
    <w:rsid w:val="007150C5"/>
    <w:rsid w:val="007156FD"/>
    <w:rsid w:val="0071617B"/>
    <w:rsid w:val="0071630A"/>
    <w:rsid w:val="0071673D"/>
    <w:rsid w:val="00716C52"/>
    <w:rsid w:val="00716D2E"/>
    <w:rsid w:val="00716D46"/>
    <w:rsid w:val="00716F96"/>
    <w:rsid w:val="00717012"/>
    <w:rsid w:val="00717F34"/>
    <w:rsid w:val="00720211"/>
    <w:rsid w:val="0072064A"/>
    <w:rsid w:val="00720FF2"/>
    <w:rsid w:val="00721318"/>
    <w:rsid w:val="007216F2"/>
    <w:rsid w:val="00721908"/>
    <w:rsid w:val="00721FA8"/>
    <w:rsid w:val="0072275F"/>
    <w:rsid w:val="00723069"/>
    <w:rsid w:val="007237E3"/>
    <w:rsid w:val="007242C9"/>
    <w:rsid w:val="0072457D"/>
    <w:rsid w:val="00724887"/>
    <w:rsid w:val="00724EDD"/>
    <w:rsid w:val="00725416"/>
    <w:rsid w:val="00725442"/>
    <w:rsid w:val="00725549"/>
    <w:rsid w:val="00725D79"/>
    <w:rsid w:val="00726404"/>
    <w:rsid w:val="00726425"/>
    <w:rsid w:val="007265EE"/>
    <w:rsid w:val="00726B25"/>
    <w:rsid w:val="00726E7A"/>
    <w:rsid w:val="00726F75"/>
    <w:rsid w:val="00727697"/>
    <w:rsid w:val="007277E0"/>
    <w:rsid w:val="007279F2"/>
    <w:rsid w:val="00727B18"/>
    <w:rsid w:val="007305BA"/>
    <w:rsid w:val="00730801"/>
    <w:rsid w:val="00731030"/>
    <w:rsid w:val="00731099"/>
    <w:rsid w:val="00731791"/>
    <w:rsid w:val="00732890"/>
    <w:rsid w:val="00732FA4"/>
    <w:rsid w:val="00732FF2"/>
    <w:rsid w:val="00733484"/>
    <w:rsid w:val="0073372F"/>
    <w:rsid w:val="007337AC"/>
    <w:rsid w:val="00733C93"/>
    <w:rsid w:val="007348F0"/>
    <w:rsid w:val="00734BA9"/>
    <w:rsid w:val="0073553E"/>
    <w:rsid w:val="007357E5"/>
    <w:rsid w:val="007358CB"/>
    <w:rsid w:val="007358CD"/>
    <w:rsid w:val="00735A66"/>
    <w:rsid w:val="00735B1A"/>
    <w:rsid w:val="00735B5A"/>
    <w:rsid w:val="0073615C"/>
    <w:rsid w:val="00736287"/>
    <w:rsid w:val="007377F5"/>
    <w:rsid w:val="007378FC"/>
    <w:rsid w:val="00737C66"/>
    <w:rsid w:val="00737D20"/>
    <w:rsid w:val="00737F1D"/>
    <w:rsid w:val="007405F1"/>
    <w:rsid w:val="0074072C"/>
    <w:rsid w:val="007408B4"/>
    <w:rsid w:val="00740B32"/>
    <w:rsid w:val="00741070"/>
    <w:rsid w:val="007413B3"/>
    <w:rsid w:val="00741E58"/>
    <w:rsid w:val="00742488"/>
    <w:rsid w:val="00742987"/>
    <w:rsid w:val="00742A93"/>
    <w:rsid w:val="00742C17"/>
    <w:rsid w:val="00743049"/>
    <w:rsid w:val="0074373C"/>
    <w:rsid w:val="007438DC"/>
    <w:rsid w:val="00743B37"/>
    <w:rsid w:val="00743DF1"/>
    <w:rsid w:val="00743F9D"/>
    <w:rsid w:val="007445CF"/>
    <w:rsid w:val="0074479C"/>
    <w:rsid w:val="00744A7F"/>
    <w:rsid w:val="007451BA"/>
    <w:rsid w:val="00745370"/>
    <w:rsid w:val="007454FB"/>
    <w:rsid w:val="007455EF"/>
    <w:rsid w:val="00745F16"/>
    <w:rsid w:val="00745F92"/>
    <w:rsid w:val="00746059"/>
    <w:rsid w:val="0074615D"/>
    <w:rsid w:val="007465B2"/>
    <w:rsid w:val="00746C62"/>
    <w:rsid w:val="00746CA7"/>
    <w:rsid w:val="00747473"/>
    <w:rsid w:val="007474C4"/>
    <w:rsid w:val="007479BE"/>
    <w:rsid w:val="00747DFA"/>
    <w:rsid w:val="007502BA"/>
    <w:rsid w:val="00750777"/>
    <w:rsid w:val="00750C0F"/>
    <w:rsid w:val="00750D1D"/>
    <w:rsid w:val="00751245"/>
    <w:rsid w:val="007512CA"/>
    <w:rsid w:val="00751420"/>
    <w:rsid w:val="00751790"/>
    <w:rsid w:val="00751965"/>
    <w:rsid w:val="00751D0C"/>
    <w:rsid w:val="00751F35"/>
    <w:rsid w:val="007522A3"/>
    <w:rsid w:val="007522C6"/>
    <w:rsid w:val="007536B0"/>
    <w:rsid w:val="007539C7"/>
    <w:rsid w:val="00753E64"/>
    <w:rsid w:val="0075466F"/>
    <w:rsid w:val="00755176"/>
    <w:rsid w:val="007554CB"/>
    <w:rsid w:val="0075562D"/>
    <w:rsid w:val="0075571B"/>
    <w:rsid w:val="007558EC"/>
    <w:rsid w:val="00755928"/>
    <w:rsid w:val="007559EC"/>
    <w:rsid w:val="00755E21"/>
    <w:rsid w:val="007569E0"/>
    <w:rsid w:val="00756CC1"/>
    <w:rsid w:val="00756E59"/>
    <w:rsid w:val="00757048"/>
    <w:rsid w:val="00757560"/>
    <w:rsid w:val="00757A91"/>
    <w:rsid w:val="00757B2C"/>
    <w:rsid w:val="00760235"/>
    <w:rsid w:val="00760593"/>
    <w:rsid w:val="00760A9B"/>
    <w:rsid w:val="00761257"/>
    <w:rsid w:val="0076132D"/>
    <w:rsid w:val="007614C4"/>
    <w:rsid w:val="00761582"/>
    <w:rsid w:val="007616E1"/>
    <w:rsid w:val="007626A3"/>
    <w:rsid w:val="00762ABA"/>
    <w:rsid w:val="00762D40"/>
    <w:rsid w:val="00762E18"/>
    <w:rsid w:val="00762F27"/>
    <w:rsid w:val="00763304"/>
    <w:rsid w:val="007639A3"/>
    <w:rsid w:val="0076411D"/>
    <w:rsid w:val="007642F1"/>
    <w:rsid w:val="00764594"/>
    <w:rsid w:val="00764CB4"/>
    <w:rsid w:val="00765271"/>
    <w:rsid w:val="00765434"/>
    <w:rsid w:val="00765516"/>
    <w:rsid w:val="0076562B"/>
    <w:rsid w:val="00766085"/>
    <w:rsid w:val="00766248"/>
    <w:rsid w:val="0076643C"/>
    <w:rsid w:val="00766997"/>
    <w:rsid w:val="00766C19"/>
    <w:rsid w:val="00767315"/>
    <w:rsid w:val="00767455"/>
    <w:rsid w:val="007675AD"/>
    <w:rsid w:val="0076792E"/>
    <w:rsid w:val="00767A3F"/>
    <w:rsid w:val="00767AC1"/>
    <w:rsid w:val="0077018F"/>
    <w:rsid w:val="0077027E"/>
    <w:rsid w:val="007708CE"/>
    <w:rsid w:val="00770FBA"/>
    <w:rsid w:val="00771867"/>
    <w:rsid w:val="007718D2"/>
    <w:rsid w:val="0077229E"/>
    <w:rsid w:val="00772598"/>
    <w:rsid w:val="00772A9B"/>
    <w:rsid w:val="007731ED"/>
    <w:rsid w:val="00773390"/>
    <w:rsid w:val="00773466"/>
    <w:rsid w:val="0077389C"/>
    <w:rsid w:val="00773A01"/>
    <w:rsid w:val="00773DBB"/>
    <w:rsid w:val="00773E95"/>
    <w:rsid w:val="00773F28"/>
    <w:rsid w:val="00773FF7"/>
    <w:rsid w:val="007744DC"/>
    <w:rsid w:val="0077461F"/>
    <w:rsid w:val="00774E3F"/>
    <w:rsid w:val="00775B37"/>
    <w:rsid w:val="00775E73"/>
    <w:rsid w:val="00776030"/>
    <w:rsid w:val="0077689D"/>
    <w:rsid w:val="00776954"/>
    <w:rsid w:val="00776BC6"/>
    <w:rsid w:val="0077718C"/>
    <w:rsid w:val="0077731E"/>
    <w:rsid w:val="0077790C"/>
    <w:rsid w:val="00777ECE"/>
    <w:rsid w:val="007800D5"/>
    <w:rsid w:val="00780285"/>
    <w:rsid w:val="0078066C"/>
    <w:rsid w:val="00780FF2"/>
    <w:rsid w:val="00781241"/>
    <w:rsid w:val="00781863"/>
    <w:rsid w:val="00782596"/>
    <w:rsid w:val="00782DBF"/>
    <w:rsid w:val="007832E0"/>
    <w:rsid w:val="007834F3"/>
    <w:rsid w:val="0078369F"/>
    <w:rsid w:val="007836CB"/>
    <w:rsid w:val="00783849"/>
    <w:rsid w:val="00783AFF"/>
    <w:rsid w:val="00783ED0"/>
    <w:rsid w:val="007843FA"/>
    <w:rsid w:val="007852FC"/>
    <w:rsid w:val="00785896"/>
    <w:rsid w:val="00785C93"/>
    <w:rsid w:val="00785D5F"/>
    <w:rsid w:val="0078621E"/>
    <w:rsid w:val="007862FA"/>
    <w:rsid w:val="00786411"/>
    <w:rsid w:val="00786659"/>
    <w:rsid w:val="00786722"/>
    <w:rsid w:val="00786BC8"/>
    <w:rsid w:val="00787A02"/>
    <w:rsid w:val="00787B3F"/>
    <w:rsid w:val="007901F7"/>
    <w:rsid w:val="00790237"/>
    <w:rsid w:val="0079045C"/>
    <w:rsid w:val="0079075A"/>
    <w:rsid w:val="007909DF"/>
    <w:rsid w:val="00790C70"/>
    <w:rsid w:val="00790DCF"/>
    <w:rsid w:val="00790F08"/>
    <w:rsid w:val="00790F25"/>
    <w:rsid w:val="00790FE6"/>
    <w:rsid w:val="0079129D"/>
    <w:rsid w:val="00791390"/>
    <w:rsid w:val="00791797"/>
    <w:rsid w:val="00791B2A"/>
    <w:rsid w:val="0079250B"/>
    <w:rsid w:val="007925B3"/>
    <w:rsid w:val="007926A9"/>
    <w:rsid w:val="0079297B"/>
    <w:rsid w:val="00792C08"/>
    <w:rsid w:val="00792C3D"/>
    <w:rsid w:val="00792F1B"/>
    <w:rsid w:val="00793B3B"/>
    <w:rsid w:val="00793F82"/>
    <w:rsid w:val="00794D67"/>
    <w:rsid w:val="007950E4"/>
    <w:rsid w:val="00795F0C"/>
    <w:rsid w:val="00796404"/>
    <w:rsid w:val="00796700"/>
    <w:rsid w:val="00796806"/>
    <w:rsid w:val="00796BD0"/>
    <w:rsid w:val="00796C68"/>
    <w:rsid w:val="00797478"/>
    <w:rsid w:val="007A00A4"/>
    <w:rsid w:val="007A015B"/>
    <w:rsid w:val="007A029E"/>
    <w:rsid w:val="007A02B3"/>
    <w:rsid w:val="007A0428"/>
    <w:rsid w:val="007A0719"/>
    <w:rsid w:val="007A0A04"/>
    <w:rsid w:val="007A129D"/>
    <w:rsid w:val="007A1873"/>
    <w:rsid w:val="007A1D99"/>
    <w:rsid w:val="007A2307"/>
    <w:rsid w:val="007A2BEF"/>
    <w:rsid w:val="007A2D75"/>
    <w:rsid w:val="007A3E9D"/>
    <w:rsid w:val="007A46E8"/>
    <w:rsid w:val="007A46ED"/>
    <w:rsid w:val="007A4A15"/>
    <w:rsid w:val="007A5137"/>
    <w:rsid w:val="007A58BD"/>
    <w:rsid w:val="007A60D2"/>
    <w:rsid w:val="007A6783"/>
    <w:rsid w:val="007A6A5D"/>
    <w:rsid w:val="007A6AC4"/>
    <w:rsid w:val="007A7400"/>
    <w:rsid w:val="007A795F"/>
    <w:rsid w:val="007B017B"/>
    <w:rsid w:val="007B087E"/>
    <w:rsid w:val="007B0FDF"/>
    <w:rsid w:val="007B17F2"/>
    <w:rsid w:val="007B1AAF"/>
    <w:rsid w:val="007B1AE7"/>
    <w:rsid w:val="007B1B69"/>
    <w:rsid w:val="007B21E6"/>
    <w:rsid w:val="007B2359"/>
    <w:rsid w:val="007B2941"/>
    <w:rsid w:val="007B2987"/>
    <w:rsid w:val="007B2F78"/>
    <w:rsid w:val="007B36EE"/>
    <w:rsid w:val="007B37DA"/>
    <w:rsid w:val="007B3813"/>
    <w:rsid w:val="007B38E7"/>
    <w:rsid w:val="007B3AD5"/>
    <w:rsid w:val="007B3B99"/>
    <w:rsid w:val="007B4672"/>
    <w:rsid w:val="007B491E"/>
    <w:rsid w:val="007B4A13"/>
    <w:rsid w:val="007B4D89"/>
    <w:rsid w:val="007B5557"/>
    <w:rsid w:val="007B5603"/>
    <w:rsid w:val="007B5D8D"/>
    <w:rsid w:val="007B5DC3"/>
    <w:rsid w:val="007B6120"/>
    <w:rsid w:val="007B6669"/>
    <w:rsid w:val="007B6B2C"/>
    <w:rsid w:val="007B6BA4"/>
    <w:rsid w:val="007B6F5C"/>
    <w:rsid w:val="007B7082"/>
    <w:rsid w:val="007B79EC"/>
    <w:rsid w:val="007C0093"/>
    <w:rsid w:val="007C0339"/>
    <w:rsid w:val="007C0BB7"/>
    <w:rsid w:val="007C0C55"/>
    <w:rsid w:val="007C0E19"/>
    <w:rsid w:val="007C13A1"/>
    <w:rsid w:val="007C17E4"/>
    <w:rsid w:val="007C18DF"/>
    <w:rsid w:val="007C2128"/>
    <w:rsid w:val="007C26C8"/>
    <w:rsid w:val="007C2759"/>
    <w:rsid w:val="007C2A78"/>
    <w:rsid w:val="007C2D59"/>
    <w:rsid w:val="007C2D79"/>
    <w:rsid w:val="007C376A"/>
    <w:rsid w:val="007C3859"/>
    <w:rsid w:val="007C3CDC"/>
    <w:rsid w:val="007C40CA"/>
    <w:rsid w:val="007C4385"/>
    <w:rsid w:val="007C43EB"/>
    <w:rsid w:val="007C489E"/>
    <w:rsid w:val="007C49BA"/>
    <w:rsid w:val="007C4D39"/>
    <w:rsid w:val="007C54DC"/>
    <w:rsid w:val="007C591C"/>
    <w:rsid w:val="007C5D0C"/>
    <w:rsid w:val="007C6405"/>
    <w:rsid w:val="007C66E9"/>
    <w:rsid w:val="007C68A7"/>
    <w:rsid w:val="007C6F5A"/>
    <w:rsid w:val="007C71DB"/>
    <w:rsid w:val="007C76D4"/>
    <w:rsid w:val="007C7A79"/>
    <w:rsid w:val="007C7D18"/>
    <w:rsid w:val="007D090E"/>
    <w:rsid w:val="007D0EE4"/>
    <w:rsid w:val="007D108A"/>
    <w:rsid w:val="007D1142"/>
    <w:rsid w:val="007D115F"/>
    <w:rsid w:val="007D1271"/>
    <w:rsid w:val="007D13BA"/>
    <w:rsid w:val="007D1D59"/>
    <w:rsid w:val="007D2C43"/>
    <w:rsid w:val="007D2F75"/>
    <w:rsid w:val="007D383E"/>
    <w:rsid w:val="007D39A4"/>
    <w:rsid w:val="007D39D0"/>
    <w:rsid w:val="007D4010"/>
    <w:rsid w:val="007D40BE"/>
    <w:rsid w:val="007D4601"/>
    <w:rsid w:val="007D4A8E"/>
    <w:rsid w:val="007D4B60"/>
    <w:rsid w:val="007D4E06"/>
    <w:rsid w:val="007D4EED"/>
    <w:rsid w:val="007D5195"/>
    <w:rsid w:val="007D53B2"/>
    <w:rsid w:val="007D5750"/>
    <w:rsid w:val="007D5D53"/>
    <w:rsid w:val="007D5EB4"/>
    <w:rsid w:val="007D6210"/>
    <w:rsid w:val="007D646B"/>
    <w:rsid w:val="007D6734"/>
    <w:rsid w:val="007D6B35"/>
    <w:rsid w:val="007E0303"/>
    <w:rsid w:val="007E052E"/>
    <w:rsid w:val="007E0A7A"/>
    <w:rsid w:val="007E0C4D"/>
    <w:rsid w:val="007E118E"/>
    <w:rsid w:val="007E1FF8"/>
    <w:rsid w:val="007E2A00"/>
    <w:rsid w:val="007E2B42"/>
    <w:rsid w:val="007E3377"/>
    <w:rsid w:val="007E360B"/>
    <w:rsid w:val="007E3E35"/>
    <w:rsid w:val="007E488B"/>
    <w:rsid w:val="007E4998"/>
    <w:rsid w:val="007E4D3F"/>
    <w:rsid w:val="007E4E0A"/>
    <w:rsid w:val="007E50C9"/>
    <w:rsid w:val="007E5141"/>
    <w:rsid w:val="007E58D0"/>
    <w:rsid w:val="007E5B98"/>
    <w:rsid w:val="007E61FC"/>
    <w:rsid w:val="007E68A3"/>
    <w:rsid w:val="007E6D61"/>
    <w:rsid w:val="007E7C7E"/>
    <w:rsid w:val="007F0016"/>
    <w:rsid w:val="007F0255"/>
    <w:rsid w:val="007F07FF"/>
    <w:rsid w:val="007F0A2C"/>
    <w:rsid w:val="007F1167"/>
    <w:rsid w:val="007F1260"/>
    <w:rsid w:val="007F1329"/>
    <w:rsid w:val="007F1333"/>
    <w:rsid w:val="007F143A"/>
    <w:rsid w:val="007F1913"/>
    <w:rsid w:val="007F2336"/>
    <w:rsid w:val="007F29BA"/>
    <w:rsid w:val="007F3078"/>
    <w:rsid w:val="007F3EFF"/>
    <w:rsid w:val="007F3FB0"/>
    <w:rsid w:val="007F4982"/>
    <w:rsid w:val="007F4B1E"/>
    <w:rsid w:val="007F4D6A"/>
    <w:rsid w:val="007F5AD6"/>
    <w:rsid w:val="007F5E85"/>
    <w:rsid w:val="007F5F5E"/>
    <w:rsid w:val="007F630E"/>
    <w:rsid w:val="007F66DB"/>
    <w:rsid w:val="007F674A"/>
    <w:rsid w:val="007F7096"/>
    <w:rsid w:val="007F786E"/>
    <w:rsid w:val="007F788D"/>
    <w:rsid w:val="007F7896"/>
    <w:rsid w:val="008004A5"/>
    <w:rsid w:val="00800CA2"/>
    <w:rsid w:val="00800E53"/>
    <w:rsid w:val="00801964"/>
    <w:rsid w:val="00801CD4"/>
    <w:rsid w:val="00801DBC"/>
    <w:rsid w:val="00801F4D"/>
    <w:rsid w:val="00802086"/>
    <w:rsid w:val="00802400"/>
    <w:rsid w:val="00802FD0"/>
    <w:rsid w:val="00803064"/>
    <w:rsid w:val="00803128"/>
    <w:rsid w:val="008039F5"/>
    <w:rsid w:val="00803EA1"/>
    <w:rsid w:val="0080478D"/>
    <w:rsid w:val="00804AA8"/>
    <w:rsid w:val="0080507B"/>
    <w:rsid w:val="0080528E"/>
    <w:rsid w:val="008057BA"/>
    <w:rsid w:val="00805C17"/>
    <w:rsid w:val="00805C48"/>
    <w:rsid w:val="00805CFE"/>
    <w:rsid w:val="00805E08"/>
    <w:rsid w:val="008063CF"/>
    <w:rsid w:val="0080650D"/>
    <w:rsid w:val="00806599"/>
    <w:rsid w:val="00806780"/>
    <w:rsid w:val="00806CD5"/>
    <w:rsid w:val="0080701A"/>
    <w:rsid w:val="00807E44"/>
    <w:rsid w:val="00807F65"/>
    <w:rsid w:val="00810654"/>
    <w:rsid w:val="008106CE"/>
    <w:rsid w:val="00810E2A"/>
    <w:rsid w:val="00810F60"/>
    <w:rsid w:val="0081109D"/>
    <w:rsid w:val="00811181"/>
    <w:rsid w:val="008115A2"/>
    <w:rsid w:val="00811BFE"/>
    <w:rsid w:val="00812378"/>
    <w:rsid w:val="008123F2"/>
    <w:rsid w:val="00812A3A"/>
    <w:rsid w:val="00813196"/>
    <w:rsid w:val="00813CC2"/>
    <w:rsid w:val="00813FF3"/>
    <w:rsid w:val="00813FFD"/>
    <w:rsid w:val="00814198"/>
    <w:rsid w:val="008146E9"/>
    <w:rsid w:val="0081482F"/>
    <w:rsid w:val="00814890"/>
    <w:rsid w:val="008148FA"/>
    <w:rsid w:val="008149A7"/>
    <w:rsid w:val="00814B9F"/>
    <w:rsid w:val="00814C45"/>
    <w:rsid w:val="00814EEB"/>
    <w:rsid w:val="00815052"/>
    <w:rsid w:val="00815500"/>
    <w:rsid w:val="00815568"/>
    <w:rsid w:val="008158E3"/>
    <w:rsid w:val="00815ADD"/>
    <w:rsid w:val="00815C74"/>
    <w:rsid w:val="00816257"/>
    <w:rsid w:val="0081675C"/>
    <w:rsid w:val="00817164"/>
    <w:rsid w:val="00817CC6"/>
    <w:rsid w:val="00817DD8"/>
    <w:rsid w:val="00820F88"/>
    <w:rsid w:val="008213EF"/>
    <w:rsid w:val="0082166F"/>
    <w:rsid w:val="008219F2"/>
    <w:rsid w:val="0082201B"/>
    <w:rsid w:val="0082225F"/>
    <w:rsid w:val="00822B7E"/>
    <w:rsid w:val="008231C3"/>
    <w:rsid w:val="00823203"/>
    <w:rsid w:val="0082322A"/>
    <w:rsid w:val="00823466"/>
    <w:rsid w:val="008235AD"/>
    <w:rsid w:val="008238C3"/>
    <w:rsid w:val="00823E11"/>
    <w:rsid w:val="0082403F"/>
    <w:rsid w:val="00824496"/>
    <w:rsid w:val="0082452F"/>
    <w:rsid w:val="00824660"/>
    <w:rsid w:val="0082480B"/>
    <w:rsid w:val="00824C40"/>
    <w:rsid w:val="0082539B"/>
    <w:rsid w:val="00825623"/>
    <w:rsid w:val="00825729"/>
    <w:rsid w:val="00825807"/>
    <w:rsid w:val="00825987"/>
    <w:rsid w:val="008259B4"/>
    <w:rsid w:val="00825FCB"/>
    <w:rsid w:val="0082602F"/>
    <w:rsid w:val="008261A9"/>
    <w:rsid w:val="00826430"/>
    <w:rsid w:val="00826698"/>
    <w:rsid w:val="00826E48"/>
    <w:rsid w:val="008275F3"/>
    <w:rsid w:val="008279CF"/>
    <w:rsid w:val="00830119"/>
    <w:rsid w:val="00830691"/>
    <w:rsid w:val="00830925"/>
    <w:rsid w:val="008309B8"/>
    <w:rsid w:val="00831798"/>
    <w:rsid w:val="00832291"/>
    <w:rsid w:val="008323C4"/>
    <w:rsid w:val="008324C4"/>
    <w:rsid w:val="008328E8"/>
    <w:rsid w:val="00832986"/>
    <w:rsid w:val="00832ADC"/>
    <w:rsid w:val="00832F0F"/>
    <w:rsid w:val="00833136"/>
    <w:rsid w:val="00833195"/>
    <w:rsid w:val="00833322"/>
    <w:rsid w:val="00833654"/>
    <w:rsid w:val="00834302"/>
    <w:rsid w:val="008348CB"/>
    <w:rsid w:val="00834994"/>
    <w:rsid w:val="00834AE5"/>
    <w:rsid w:val="00835074"/>
    <w:rsid w:val="00835087"/>
    <w:rsid w:val="00835411"/>
    <w:rsid w:val="008359D5"/>
    <w:rsid w:val="00835AE5"/>
    <w:rsid w:val="00835E1C"/>
    <w:rsid w:val="0083601F"/>
    <w:rsid w:val="008360BA"/>
    <w:rsid w:val="00836AFE"/>
    <w:rsid w:val="00836D81"/>
    <w:rsid w:val="0083771A"/>
    <w:rsid w:val="008378E7"/>
    <w:rsid w:val="00837A88"/>
    <w:rsid w:val="00837C96"/>
    <w:rsid w:val="00837EDF"/>
    <w:rsid w:val="00840106"/>
    <w:rsid w:val="00840201"/>
    <w:rsid w:val="0084067D"/>
    <w:rsid w:val="0084115E"/>
    <w:rsid w:val="008428B7"/>
    <w:rsid w:val="008431E1"/>
    <w:rsid w:val="00843645"/>
    <w:rsid w:val="008436CC"/>
    <w:rsid w:val="0084388A"/>
    <w:rsid w:val="00843C49"/>
    <w:rsid w:val="00843C63"/>
    <w:rsid w:val="00843DD3"/>
    <w:rsid w:val="00843EE8"/>
    <w:rsid w:val="008442EE"/>
    <w:rsid w:val="008447CA"/>
    <w:rsid w:val="00844994"/>
    <w:rsid w:val="00845468"/>
    <w:rsid w:val="00845851"/>
    <w:rsid w:val="00845F45"/>
    <w:rsid w:val="0084600B"/>
    <w:rsid w:val="0084611C"/>
    <w:rsid w:val="008468E5"/>
    <w:rsid w:val="008470F4"/>
    <w:rsid w:val="00847211"/>
    <w:rsid w:val="00847394"/>
    <w:rsid w:val="00847DA2"/>
    <w:rsid w:val="00847DF2"/>
    <w:rsid w:val="00847E7D"/>
    <w:rsid w:val="0085060A"/>
    <w:rsid w:val="00850933"/>
    <w:rsid w:val="00850B51"/>
    <w:rsid w:val="00851011"/>
    <w:rsid w:val="0085108C"/>
    <w:rsid w:val="008511AA"/>
    <w:rsid w:val="00851A90"/>
    <w:rsid w:val="00851C63"/>
    <w:rsid w:val="0085210D"/>
    <w:rsid w:val="00852168"/>
    <w:rsid w:val="008523E0"/>
    <w:rsid w:val="00852A65"/>
    <w:rsid w:val="008539C0"/>
    <w:rsid w:val="00854091"/>
    <w:rsid w:val="00854726"/>
    <w:rsid w:val="00854809"/>
    <w:rsid w:val="00854B1D"/>
    <w:rsid w:val="00854B30"/>
    <w:rsid w:val="00855239"/>
    <w:rsid w:val="008553F5"/>
    <w:rsid w:val="0085574F"/>
    <w:rsid w:val="00855794"/>
    <w:rsid w:val="00855AD4"/>
    <w:rsid w:val="00855C88"/>
    <w:rsid w:val="00855D7E"/>
    <w:rsid w:val="00855DBC"/>
    <w:rsid w:val="008561BA"/>
    <w:rsid w:val="0085658F"/>
    <w:rsid w:val="00857709"/>
    <w:rsid w:val="008601E4"/>
    <w:rsid w:val="00860269"/>
    <w:rsid w:val="00860940"/>
    <w:rsid w:val="00860A8B"/>
    <w:rsid w:val="00860BA7"/>
    <w:rsid w:val="00860E83"/>
    <w:rsid w:val="00860F4D"/>
    <w:rsid w:val="00861841"/>
    <w:rsid w:val="00861B3C"/>
    <w:rsid w:val="00861B8F"/>
    <w:rsid w:val="00861D9F"/>
    <w:rsid w:val="00861E16"/>
    <w:rsid w:val="00862E87"/>
    <w:rsid w:val="00863949"/>
    <w:rsid w:val="00863A01"/>
    <w:rsid w:val="00863E6F"/>
    <w:rsid w:val="008642EB"/>
    <w:rsid w:val="0086457E"/>
    <w:rsid w:val="008645E3"/>
    <w:rsid w:val="008656D4"/>
    <w:rsid w:val="0086596F"/>
    <w:rsid w:val="0086615E"/>
    <w:rsid w:val="008666FB"/>
    <w:rsid w:val="00866831"/>
    <w:rsid w:val="00866987"/>
    <w:rsid w:val="00866CA8"/>
    <w:rsid w:val="00866EDD"/>
    <w:rsid w:val="00866F7E"/>
    <w:rsid w:val="00867955"/>
    <w:rsid w:val="00867C30"/>
    <w:rsid w:val="00870162"/>
    <w:rsid w:val="00870245"/>
    <w:rsid w:val="00870317"/>
    <w:rsid w:val="00870841"/>
    <w:rsid w:val="00870AE9"/>
    <w:rsid w:val="00870D7D"/>
    <w:rsid w:val="00871671"/>
    <w:rsid w:val="0087169E"/>
    <w:rsid w:val="008717DB"/>
    <w:rsid w:val="0087189B"/>
    <w:rsid w:val="00871F47"/>
    <w:rsid w:val="00872309"/>
    <w:rsid w:val="00872585"/>
    <w:rsid w:val="008729B8"/>
    <w:rsid w:val="00872A43"/>
    <w:rsid w:val="00872C77"/>
    <w:rsid w:val="00872E7F"/>
    <w:rsid w:val="00873144"/>
    <w:rsid w:val="00873EA9"/>
    <w:rsid w:val="00874984"/>
    <w:rsid w:val="00874B6D"/>
    <w:rsid w:val="00874BC6"/>
    <w:rsid w:val="0087512E"/>
    <w:rsid w:val="008756A8"/>
    <w:rsid w:val="00875A63"/>
    <w:rsid w:val="00875C0A"/>
    <w:rsid w:val="00875DDE"/>
    <w:rsid w:val="00876D2F"/>
    <w:rsid w:val="00876FCF"/>
    <w:rsid w:val="00877275"/>
    <w:rsid w:val="00877446"/>
    <w:rsid w:val="008778FD"/>
    <w:rsid w:val="0087795E"/>
    <w:rsid w:val="00877BE9"/>
    <w:rsid w:val="00880287"/>
    <w:rsid w:val="008804A7"/>
    <w:rsid w:val="00881175"/>
    <w:rsid w:val="00881359"/>
    <w:rsid w:val="008813D9"/>
    <w:rsid w:val="00881411"/>
    <w:rsid w:val="00881451"/>
    <w:rsid w:val="00881501"/>
    <w:rsid w:val="00881853"/>
    <w:rsid w:val="008818D1"/>
    <w:rsid w:val="00881E93"/>
    <w:rsid w:val="008822BC"/>
    <w:rsid w:val="00882AC0"/>
    <w:rsid w:val="00882F30"/>
    <w:rsid w:val="008832B0"/>
    <w:rsid w:val="008832D1"/>
    <w:rsid w:val="00883D6A"/>
    <w:rsid w:val="008843F3"/>
    <w:rsid w:val="0088450F"/>
    <w:rsid w:val="00884976"/>
    <w:rsid w:val="00884DEF"/>
    <w:rsid w:val="008852F1"/>
    <w:rsid w:val="00885375"/>
    <w:rsid w:val="0088542E"/>
    <w:rsid w:val="00885659"/>
    <w:rsid w:val="00885796"/>
    <w:rsid w:val="00885A93"/>
    <w:rsid w:val="00885B80"/>
    <w:rsid w:val="00886687"/>
    <w:rsid w:val="008866D3"/>
    <w:rsid w:val="0088778C"/>
    <w:rsid w:val="00887954"/>
    <w:rsid w:val="0088797C"/>
    <w:rsid w:val="00887D38"/>
    <w:rsid w:val="0089084E"/>
    <w:rsid w:val="008909B1"/>
    <w:rsid w:val="00890E02"/>
    <w:rsid w:val="0089142E"/>
    <w:rsid w:val="008914D6"/>
    <w:rsid w:val="008918F6"/>
    <w:rsid w:val="00891C47"/>
    <w:rsid w:val="00891E81"/>
    <w:rsid w:val="008923DB"/>
    <w:rsid w:val="008926A2"/>
    <w:rsid w:val="00892D9F"/>
    <w:rsid w:val="008930C9"/>
    <w:rsid w:val="00893A3C"/>
    <w:rsid w:val="00893AB6"/>
    <w:rsid w:val="00893B6F"/>
    <w:rsid w:val="00893DD5"/>
    <w:rsid w:val="00893F76"/>
    <w:rsid w:val="00894139"/>
    <w:rsid w:val="00895020"/>
    <w:rsid w:val="00895722"/>
    <w:rsid w:val="00895EFE"/>
    <w:rsid w:val="0089604B"/>
    <w:rsid w:val="00896137"/>
    <w:rsid w:val="008962C1"/>
    <w:rsid w:val="008963EF"/>
    <w:rsid w:val="0089640E"/>
    <w:rsid w:val="008966B3"/>
    <w:rsid w:val="00896D4D"/>
    <w:rsid w:val="00897DDF"/>
    <w:rsid w:val="00897F66"/>
    <w:rsid w:val="008A01A4"/>
    <w:rsid w:val="008A0704"/>
    <w:rsid w:val="008A08BB"/>
    <w:rsid w:val="008A1102"/>
    <w:rsid w:val="008A129E"/>
    <w:rsid w:val="008A1323"/>
    <w:rsid w:val="008A17E3"/>
    <w:rsid w:val="008A1955"/>
    <w:rsid w:val="008A1A08"/>
    <w:rsid w:val="008A1A15"/>
    <w:rsid w:val="008A1DBA"/>
    <w:rsid w:val="008A2505"/>
    <w:rsid w:val="008A2962"/>
    <w:rsid w:val="008A2AFE"/>
    <w:rsid w:val="008A2D49"/>
    <w:rsid w:val="008A3AD8"/>
    <w:rsid w:val="008A3F2F"/>
    <w:rsid w:val="008A4F2B"/>
    <w:rsid w:val="008A5CB4"/>
    <w:rsid w:val="008A621E"/>
    <w:rsid w:val="008A6393"/>
    <w:rsid w:val="008A6E98"/>
    <w:rsid w:val="008A7396"/>
    <w:rsid w:val="008A744A"/>
    <w:rsid w:val="008A76A2"/>
    <w:rsid w:val="008B0127"/>
    <w:rsid w:val="008B0419"/>
    <w:rsid w:val="008B0F75"/>
    <w:rsid w:val="008B1444"/>
    <w:rsid w:val="008B1573"/>
    <w:rsid w:val="008B1C94"/>
    <w:rsid w:val="008B1EEE"/>
    <w:rsid w:val="008B2351"/>
    <w:rsid w:val="008B253D"/>
    <w:rsid w:val="008B2F54"/>
    <w:rsid w:val="008B2FD0"/>
    <w:rsid w:val="008B318D"/>
    <w:rsid w:val="008B3352"/>
    <w:rsid w:val="008B3377"/>
    <w:rsid w:val="008B34E0"/>
    <w:rsid w:val="008B3E86"/>
    <w:rsid w:val="008B4B17"/>
    <w:rsid w:val="008B4DEB"/>
    <w:rsid w:val="008B51B3"/>
    <w:rsid w:val="008B56C4"/>
    <w:rsid w:val="008B57F9"/>
    <w:rsid w:val="008B5991"/>
    <w:rsid w:val="008B5A2C"/>
    <w:rsid w:val="008B6120"/>
    <w:rsid w:val="008B62A6"/>
    <w:rsid w:val="008B63FB"/>
    <w:rsid w:val="008B6A1F"/>
    <w:rsid w:val="008B6BB4"/>
    <w:rsid w:val="008B73A3"/>
    <w:rsid w:val="008B7C8D"/>
    <w:rsid w:val="008C08A4"/>
    <w:rsid w:val="008C0A4E"/>
    <w:rsid w:val="008C0C26"/>
    <w:rsid w:val="008C0C99"/>
    <w:rsid w:val="008C0EC1"/>
    <w:rsid w:val="008C1B19"/>
    <w:rsid w:val="008C1CB6"/>
    <w:rsid w:val="008C1EA3"/>
    <w:rsid w:val="008C219F"/>
    <w:rsid w:val="008C2ED1"/>
    <w:rsid w:val="008C38F9"/>
    <w:rsid w:val="008C3C0C"/>
    <w:rsid w:val="008C3CA4"/>
    <w:rsid w:val="008C4A01"/>
    <w:rsid w:val="008C4B40"/>
    <w:rsid w:val="008C4CFD"/>
    <w:rsid w:val="008C4E6A"/>
    <w:rsid w:val="008C4F48"/>
    <w:rsid w:val="008C4F6B"/>
    <w:rsid w:val="008C4FF3"/>
    <w:rsid w:val="008C55EE"/>
    <w:rsid w:val="008C5619"/>
    <w:rsid w:val="008C5AAA"/>
    <w:rsid w:val="008C5B8C"/>
    <w:rsid w:val="008C5E96"/>
    <w:rsid w:val="008C6078"/>
    <w:rsid w:val="008C61B2"/>
    <w:rsid w:val="008C64AC"/>
    <w:rsid w:val="008C72DD"/>
    <w:rsid w:val="008C74D6"/>
    <w:rsid w:val="008C74F5"/>
    <w:rsid w:val="008C75DB"/>
    <w:rsid w:val="008C78D7"/>
    <w:rsid w:val="008C7EBB"/>
    <w:rsid w:val="008C7F4A"/>
    <w:rsid w:val="008D0019"/>
    <w:rsid w:val="008D052B"/>
    <w:rsid w:val="008D0B29"/>
    <w:rsid w:val="008D0DC3"/>
    <w:rsid w:val="008D0EDA"/>
    <w:rsid w:val="008D1564"/>
    <w:rsid w:val="008D1698"/>
    <w:rsid w:val="008D18CD"/>
    <w:rsid w:val="008D1D5D"/>
    <w:rsid w:val="008D21E0"/>
    <w:rsid w:val="008D2229"/>
    <w:rsid w:val="008D2D0E"/>
    <w:rsid w:val="008D2DB9"/>
    <w:rsid w:val="008D2E3B"/>
    <w:rsid w:val="008D313E"/>
    <w:rsid w:val="008D3321"/>
    <w:rsid w:val="008D3480"/>
    <w:rsid w:val="008D3F75"/>
    <w:rsid w:val="008D4145"/>
    <w:rsid w:val="008D41B1"/>
    <w:rsid w:val="008D45BF"/>
    <w:rsid w:val="008D4A4A"/>
    <w:rsid w:val="008D4C09"/>
    <w:rsid w:val="008D507E"/>
    <w:rsid w:val="008D51D3"/>
    <w:rsid w:val="008D565A"/>
    <w:rsid w:val="008D61F3"/>
    <w:rsid w:val="008D6439"/>
    <w:rsid w:val="008D64F5"/>
    <w:rsid w:val="008D6641"/>
    <w:rsid w:val="008D6B5C"/>
    <w:rsid w:val="008D6F42"/>
    <w:rsid w:val="008D7054"/>
    <w:rsid w:val="008D7196"/>
    <w:rsid w:val="008D791C"/>
    <w:rsid w:val="008D7CDB"/>
    <w:rsid w:val="008D7DE6"/>
    <w:rsid w:val="008E00B8"/>
    <w:rsid w:val="008E08E2"/>
    <w:rsid w:val="008E14E7"/>
    <w:rsid w:val="008E1708"/>
    <w:rsid w:val="008E1E5A"/>
    <w:rsid w:val="008E20AC"/>
    <w:rsid w:val="008E22FF"/>
    <w:rsid w:val="008E278A"/>
    <w:rsid w:val="008E2974"/>
    <w:rsid w:val="008E2BA0"/>
    <w:rsid w:val="008E2EA9"/>
    <w:rsid w:val="008E319C"/>
    <w:rsid w:val="008E31E5"/>
    <w:rsid w:val="008E320D"/>
    <w:rsid w:val="008E3338"/>
    <w:rsid w:val="008E34D8"/>
    <w:rsid w:val="008E368C"/>
    <w:rsid w:val="008E3D03"/>
    <w:rsid w:val="008E3D0F"/>
    <w:rsid w:val="008E4625"/>
    <w:rsid w:val="008E481C"/>
    <w:rsid w:val="008E4BAF"/>
    <w:rsid w:val="008E4BF1"/>
    <w:rsid w:val="008E4D05"/>
    <w:rsid w:val="008E53F5"/>
    <w:rsid w:val="008E57F6"/>
    <w:rsid w:val="008E5B36"/>
    <w:rsid w:val="008E6174"/>
    <w:rsid w:val="008E6861"/>
    <w:rsid w:val="008E6B11"/>
    <w:rsid w:val="008E6B47"/>
    <w:rsid w:val="008E6DA5"/>
    <w:rsid w:val="008E715C"/>
    <w:rsid w:val="008E79A5"/>
    <w:rsid w:val="008E7EC7"/>
    <w:rsid w:val="008F09CA"/>
    <w:rsid w:val="008F0AFD"/>
    <w:rsid w:val="008F0F9A"/>
    <w:rsid w:val="008F16F9"/>
    <w:rsid w:val="008F1811"/>
    <w:rsid w:val="008F1C36"/>
    <w:rsid w:val="008F2C35"/>
    <w:rsid w:val="008F2F9E"/>
    <w:rsid w:val="008F3255"/>
    <w:rsid w:val="008F3350"/>
    <w:rsid w:val="008F3473"/>
    <w:rsid w:val="008F37F9"/>
    <w:rsid w:val="008F3DB1"/>
    <w:rsid w:val="008F435A"/>
    <w:rsid w:val="008F45BA"/>
    <w:rsid w:val="008F48C5"/>
    <w:rsid w:val="008F583B"/>
    <w:rsid w:val="008F5E0E"/>
    <w:rsid w:val="008F5E6B"/>
    <w:rsid w:val="008F629E"/>
    <w:rsid w:val="008F67C8"/>
    <w:rsid w:val="008F7592"/>
    <w:rsid w:val="008F76FC"/>
    <w:rsid w:val="008F7DF3"/>
    <w:rsid w:val="0090026B"/>
    <w:rsid w:val="00900A81"/>
    <w:rsid w:val="009013C4"/>
    <w:rsid w:val="009016D3"/>
    <w:rsid w:val="0090183B"/>
    <w:rsid w:val="00901BD1"/>
    <w:rsid w:val="00901F48"/>
    <w:rsid w:val="009024B7"/>
    <w:rsid w:val="00902542"/>
    <w:rsid w:val="00902AB9"/>
    <w:rsid w:val="00902BDC"/>
    <w:rsid w:val="00902CE6"/>
    <w:rsid w:val="00902E70"/>
    <w:rsid w:val="00902F94"/>
    <w:rsid w:val="0090303E"/>
    <w:rsid w:val="0090328C"/>
    <w:rsid w:val="00903A89"/>
    <w:rsid w:val="00903AA5"/>
    <w:rsid w:val="00903D7A"/>
    <w:rsid w:val="00903E14"/>
    <w:rsid w:val="0090414F"/>
    <w:rsid w:val="009041E0"/>
    <w:rsid w:val="0090425F"/>
    <w:rsid w:val="00904578"/>
    <w:rsid w:val="00904876"/>
    <w:rsid w:val="00904891"/>
    <w:rsid w:val="0090523A"/>
    <w:rsid w:val="00905456"/>
    <w:rsid w:val="00905513"/>
    <w:rsid w:val="00905B21"/>
    <w:rsid w:val="009060E9"/>
    <w:rsid w:val="0090786A"/>
    <w:rsid w:val="00907B4B"/>
    <w:rsid w:val="00910248"/>
    <w:rsid w:val="009110DF"/>
    <w:rsid w:val="00912551"/>
    <w:rsid w:val="009133C9"/>
    <w:rsid w:val="0091354F"/>
    <w:rsid w:val="00913665"/>
    <w:rsid w:val="00913E20"/>
    <w:rsid w:val="009144B5"/>
    <w:rsid w:val="009149B3"/>
    <w:rsid w:val="009149D2"/>
    <w:rsid w:val="009150F9"/>
    <w:rsid w:val="0091591F"/>
    <w:rsid w:val="00915B80"/>
    <w:rsid w:val="00915E8A"/>
    <w:rsid w:val="00916A3D"/>
    <w:rsid w:val="00916D6A"/>
    <w:rsid w:val="0091700A"/>
    <w:rsid w:val="00917628"/>
    <w:rsid w:val="00920459"/>
    <w:rsid w:val="00920477"/>
    <w:rsid w:val="00920950"/>
    <w:rsid w:val="00920998"/>
    <w:rsid w:val="00920C10"/>
    <w:rsid w:val="00921E35"/>
    <w:rsid w:val="0092285B"/>
    <w:rsid w:val="00922FD5"/>
    <w:rsid w:val="00923226"/>
    <w:rsid w:val="009232E6"/>
    <w:rsid w:val="00923873"/>
    <w:rsid w:val="00923A51"/>
    <w:rsid w:val="0092413A"/>
    <w:rsid w:val="0092414F"/>
    <w:rsid w:val="0092460C"/>
    <w:rsid w:val="00924D5C"/>
    <w:rsid w:val="00924D66"/>
    <w:rsid w:val="00924F06"/>
    <w:rsid w:val="00925130"/>
    <w:rsid w:val="009251E3"/>
    <w:rsid w:val="00925493"/>
    <w:rsid w:val="009259E2"/>
    <w:rsid w:val="00925ED5"/>
    <w:rsid w:val="00925F62"/>
    <w:rsid w:val="009275A9"/>
    <w:rsid w:val="00930465"/>
    <w:rsid w:val="009306BF"/>
    <w:rsid w:val="009309A0"/>
    <w:rsid w:val="00930F5E"/>
    <w:rsid w:val="0093133C"/>
    <w:rsid w:val="00931438"/>
    <w:rsid w:val="00931B85"/>
    <w:rsid w:val="00931E65"/>
    <w:rsid w:val="00931EC5"/>
    <w:rsid w:val="0093280D"/>
    <w:rsid w:val="00932A14"/>
    <w:rsid w:val="00932F4E"/>
    <w:rsid w:val="0093329A"/>
    <w:rsid w:val="00933372"/>
    <w:rsid w:val="009333AC"/>
    <w:rsid w:val="009334E8"/>
    <w:rsid w:val="00933638"/>
    <w:rsid w:val="00933834"/>
    <w:rsid w:val="00933CD2"/>
    <w:rsid w:val="00933D7F"/>
    <w:rsid w:val="00933F30"/>
    <w:rsid w:val="00934449"/>
    <w:rsid w:val="00934549"/>
    <w:rsid w:val="009346C8"/>
    <w:rsid w:val="009348AB"/>
    <w:rsid w:val="009351BB"/>
    <w:rsid w:val="0093533D"/>
    <w:rsid w:val="00935B4B"/>
    <w:rsid w:val="00935B97"/>
    <w:rsid w:val="00935C79"/>
    <w:rsid w:val="00935DC9"/>
    <w:rsid w:val="0093609E"/>
    <w:rsid w:val="00940095"/>
    <w:rsid w:val="0094038E"/>
    <w:rsid w:val="009406A0"/>
    <w:rsid w:val="00940BB8"/>
    <w:rsid w:val="00940D10"/>
    <w:rsid w:val="00940D8C"/>
    <w:rsid w:val="009411E7"/>
    <w:rsid w:val="009414D6"/>
    <w:rsid w:val="00941C1A"/>
    <w:rsid w:val="00942977"/>
    <w:rsid w:val="009434BC"/>
    <w:rsid w:val="00943653"/>
    <w:rsid w:val="00943888"/>
    <w:rsid w:val="00943F88"/>
    <w:rsid w:val="00943FF9"/>
    <w:rsid w:val="009442E7"/>
    <w:rsid w:val="00944921"/>
    <w:rsid w:val="00944BA2"/>
    <w:rsid w:val="00945545"/>
    <w:rsid w:val="00945FF0"/>
    <w:rsid w:val="009467B8"/>
    <w:rsid w:val="00946875"/>
    <w:rsid w:val="00947D69"/>
    <w:rsid w:val="009504C9"/>
    <w:rsid w:val="00950900"/>
    <w:rsid w:val="0095093E"/>
    <w:rsid w:val="00950CED"/>
    <w:rsid w:val="00950EEE"/>
    <w:rsid w:val="0095145A"/>
    <w:rsid w:val="009518C0"/>
    <w:rsid w:val="00951FA4"/>
    <w:rsid w:val="00952437"/>
    <w:rsid w:val="00952EE1"/>
    <w:rsid w:val="00953108"/>
    <w:rsid w:val="009539BE"/>
    <w:rsid w:val="00953D2F"/>
    <w:rsid w:val="00953EB7"/>
    <w:rsid w:val="00953F9F"/>
    <w:rsid w:val="009541C9"/>
    <w:rsid w:val="0095475A"/>
    <w:rsid w:val="009549BB"/>
    <w:rsid w:val="00954A01"/>
    <w:rsid w:val="00954B70"/>
    <w:rsid w:val="009558EF"/>
    <w:rsid w:val="009558F7"/>
    <w:rsid w:val="00955941"/>
    <w:rsid w:val="00955CDD"/>
    <w:rsid w:val="00955E85"/>
    <w:rsid w:val="009567E4"/>
    <w:rsid w:val="00956803"/>
    <w:rsid w:val="00956828"/>
    <w:rsid w:val="00956BCD"/>
    <w:rsid w:val="00956DAF"/>
    <w:rsid w:val="00957027"/>
    <w:rsid w:val="00960202"/>
    <w:rsid w:val="00960321"/>
    <w:rsid w:val="009604E6"/>
    <w:rsid w:val="00960D74"/>
    <w:rsid w:val="00960EAF"/>
    <w:rsid w:val="00961009"/>
    <w:rsid w:val="00961535"/>
    <w:rsid w:val="009615CB"/>
    <w:rsid w:val="009615FB"/>
    <w:rsid w:val="009619AC"/>
    <w:rsid w:val="00961EEC"/>
    <w:rsid w:val="00961F65"/>
    <w:rsid w:val="00962192"/>
    <w:rsid w:val="0096222F"/>
    <w:rsid w:val="00962445"/>
    <w:rsid w:val="00962796"/>
    <w:rsid w:val="00962DD4"/>
    <w:rsid w:val="009631A1"/>
    <w:rsid w:val="009645D3"/>
    <w:rsid w:val="00965650"/>
    <w:rsid w:val="00965F75"/>
    <w:rsid w:val="009661ED"/>
    <w:rsid w:val="0096672C"/>
    <w:rsid w:val="00966C8C"/>
    <w:rsid w:val="00966DA2"/>
    <w:rsid w:val="0096736E"/>
    <w:rsid w:val="00967859"/>
    <w:rsid w:val="009703C9"/>
    <w:rsid w:val="00970590"/>
    <w:rsid w:val="00970650"/>
    <w:rsid w:val="009706BD"/>
    <w:rsid w:val="00971709"/>
    <w:rsid w:val="009717CC"/>
    <w:rsid w:val="00971819"/>
    <w:rsid w:val="00971E02"/>
    <w:rsid w:val="00971F01"/>
    <w:rsid w:val="00972026"/>
    <w:rsid w:val="00972295"/>
    <w:rsid w:val="00972454"/>
    <w:rsid w:val="00972469"/>
    <w:rsid w:val="00972D5D"/>
    <w:rsid w:val="009739DF"/>
    <w:rsid w:val="00973C76"/>
    <w:rsid w:val="009740DC"/>
    <w:rsid w:val="0097471B"/>
    <w:rsid w:val="00974D7A"/>
    <w:rsid w:val="00975366"/>
    <w:rsid w:val="0097551D"/>
    <w:rsid w:val="0097583B"/>
    <w:rsid w:val="00975954"/>
    <w:rsid w:val="00975CE0"/>
    <w:rsid w:val="009760C7"/>
    <w:rsid w:val="00976413"/>
    <w:rsid w:val="009767C9"/>
    <w:rsid w:val="00976A1A"/>
    <w:rsid w:val="00976D59"/>
    <w:rsid w:val="00976EA2"/>
    <w:rsid w:val="00977366"/>
    <w:rsid w:val="009775D1"/>
    <w:rsid w:val="009802D7"/>
    <w:rsid w:val="00980310"/>
    <w:rsid w:val="00980370"/>
    <w:rsid w:val="00980EE5"/>
    <w:rsid w:val="009812D4"/>
    <w:rsid w:val="009813E3"/>
    <w:rsid w:val="00981470"/>
    <w:rsid w:val="009814FD"/>
    <w:rsid w:val="0098195D"/>
    <w:rsid w:val="00981A9B"/>
    <w:rsid w:val="00982277"/>
    <w:rsid w:val="0098247C"/>
    <w:rsid w:val="0098251C"/>
    <w:rsid w:val="0098291D"/>
    <w:rsid w:val="00982A78"/>
    <w:rsid w:val="00982FF8"/>
    <w:rsid w:val="00983114"/>
    <w:rsid w:val="00983701"/>
    <w:rsid w:val="00983A57"/>
    <w:rsid w:val="00983C04"/>
    <w:rsid w:val="00983CFE"/>
    <w:rsid w:val="00983F34"/>
    <w:rsid w:val="00984162"/>
    <w:rsid w:val="009844BD"/>
    <w:rsid w:val="009844C2"/>
    <w:rsid w:val="009845F9"/>
    <w:rsid w:val="0098483D"/>
    <w:rsid w:val="00984CCC"/>
    <w:rsid w:val="00984DAD"/>
    <w:rsid w:val="00984E76"/>
    <w:rsid w:val="009850CC"/>
    <w:rsid w:val="00985406"/>
    <w:rsid w:val="00985654"/>
    <w:rsid w:val="009856BF"/>
    <w:rsid w:val="00985EE7"/>
    <w:rsid w:val="009867BF"/>
    <w:rsid w:val="00986B4C"/>
    <w:rsid w:val="00986E4B"/>
    <w:rsid w:val="00987494"/>
    <w:rsid w:val="009876A7"/>
    <w:rsid w:val="0098795D"/>
    <w:rsid w:val="00987A05"/>
    <w:rsid w:val="0099046B"/>
    <w:rsid w:val="009914A2"/>
    <w:rsid w:val="0099161F"/>
    <w:rsid w:val="0099179B"/>
    <w:rsid w:val="009917D2"/>
    <w:rsid w:val="00991839"/>
    <w:rsid w:val="00991C40"/>
    <w:rsid w:val="00991D86"/>
    <w:rsid w:val="0099244E"/>
    <w:rsid w:val="009924C2"/>
    <w:rsid w:val="0099256E"/>
    <w:rsid w:val="00992677"/>
    <w:rsid w:val="00992882"/>
    <w:rsid w:val="00992DFD"/>
    <w:rsid w:val="00993427"/>
    <w:rsid w:val="00995055"/>
    <w:rsid w:val="009950D2"/>
    <w:rsid w:val="009953F5"/>
    <w:rsid w:val="00995564"/>
    <w:rsid w:val="00995725"/>
    <w:rsid w:val="009958C4"/>
    <w:rsid w:val="00996288"/>
    <w:rsid w:val="009966F0"/>
    <w:rsid w:val="00996834"/>
    <w:rsid w:val="00996871"/>
    <w:rsid w:val="00996946"/>
    <w:rsid w:val="00996974"/>
    <w:rsid w:val="00996ADA"/>
    <w:rsid w:val="009972F9"/>
    <w:rsid w:val="009974B8"/>
    <w:rsid w:val="009977E3"/>
    <w:rsid w:val="009A008B"/>
    <w:rsid w:val="009A00FD"/>
    <w:rsid w:val="009A0A6C"/>
    <w:rsid w:val="009A11DB"/>
    <w:rsid w:val="009A12C0"/>
    <w:rsid w:val="009A148A"/>
    <w:rsid w:val="009A14F1"/>
    <w:rsid w:val="009A1C85"/>
    <w:rsid w:val="009A218D"/>
    <w:rsid w:val="009A2327"/>
    <w:rsid w:val="009A2680"/>
    <w:rsid w:val="009A2853"/>
    <w:rsid w:val="009A29A7"/>
    <w:rsid w:val="009A2C86"/>
    <w:rsid w:val="009A2E8B"/>
    <w:rsid w:val="009A30E5"/>
    <w:rsid w:val="009A3185"/>
    <w:rsid w:val="009A35D9"/>
    <w:rsid w:val="009A37E4"/>
    <w:rsid w:val="009A3DE8"/>
    <w:rsid w:val="009A4215"/>
    <w:rsid w:val="009A45BF"/>
    <w:rsid w:val="009A4731"/>
    <w:rsid w:val="009A47B6"/>
    <w:rsid w:val="009A48B2"/>
    <w:rsid w:val="009A4BE0"/>
    <w:rsid w:val="009A53D6"/>
    <w:rsid w:val="009A59A8"/>
    <w:rsid w:val="009A59DE"/>
    <w:rsid w:val="009A5A60"/>
    <w:rsid w:val="009A63B1"/>
    <w:rsid w:val="009A64B3"/>
    <w:rsid w:val="009A66E2"/>
    <w:rsid w:val="009A6A3D"/>
    <w:rsid w:val="009A6E16"/>
    <w:rsid w:val="009A70BB"/>
    <w:rsid w:val="009A779A"/>
    <w:rsid w:val="009A7FE7"/>
    <w:rsid w:val="009B0153"/>
    <w:rsid w:val="009B055D"/>
    <w:rsid w:val="009B0C5F"/>
    <w:rsid w:val="009B244C"/>
    <w:rsid w:val="009B31EC"/>
    <w:rsid w:val="009B335F"/>
    <w:rsid w:val="009B33F7"/>
    <w:rsid w:val="009B344D"/>
    <w:rsid w:val="009B36E1"/>
    <w:rsid w:val="009B38E9"/>
    <w:rsid w:val="009B4061"/>
    <w:rsid w:val="009B4450"/>
    <w:rsid w:val="009B4867"/>
    <w:rsid w:val="009B4CAF"/>
    <w:rsid w:val="009B4DC6"/>
    <w:rsid w:val="009B54B1"/>
    <w:rsid w:val="009B5832"/>
    <w:rsid w:val="009B5D9C"/>
    <w:rsid w:val="009B663D"/>
    <w:rsid w:val="009B66BD"/>
    <w:rsid w:val="009B67E6"/>
    <w:rsid w:val="009B6876"/>
    <w:rsid w:val="009B6F22"/>
    <w:rsid w:val="009B704B"/>
    <w:rsid w:val="009B76DD"/>
    <w:rsid w:val="009B7737"/>
    <w:rsid w:val="009B7E37"/>
    <w:rsid w:val="009C01BD"/>
    <w:rsid w:val="009C0226"/>
    <w:rsid w:val="009C12CD"/>
    <w:rsid w:val="009C19F0"/>
    <w:rsid w:val="009C1BA7"/>
    <w:rsid w:val="009C1C72"/>
    <w:rsid w:val="009C1D55"/>
    <w:rsid w:val="009C2001"/>
    <w:rsid w:val="009C2455"/>
    <w:rsid w:val="009C2957"/>
    <w:rsid w:val="009C2A8D"/>
    <w:rsid w:val="009C2B57"/>
    <w:rsid w:val="009C3356"/>
    <w:rsid w:val="009C3DD1"/>
    <w:rsid w:val="009C49C4"/>
    <w:rsid w:val="009C4BA0"/>
    <w:rsid w:val="009C50DD"/>
    <w:rsid w:val="009C5A90"/>
    <w:rsid w:val="009C5C71"/>
    <w:rsid w:val="009C61EE"/>
    <w:rsid w:val="009C6423"/>
    <w:rsid w:val="009C665E"/>
    <w:rsid w:val="009C6C6F"/>
    <w:rsid w:val="009C73C8"/>
    <w:rsid w:val="009C7D63"/>
    <w:rsid w:val="009D0F4B"/>
    <w:rsid w:val="009D10D5"/>
    <w:rsid w:val="009D13A9"/>
    <w:rsid w:val="009D13FA"/>
    <w:rsid w:val="009D1417"/>
    <w:rsid w:val="009D14BE"/>
    <w:rsid w:val="009D150F"/>
    <w:rsid w:val="009D172E"/>
    <w:rsid w:val="009D1B97"/>
    <w:rsid w:val="009D2334"/>
    <w:rsid w:val="009D272F"/>
    <w:rsid w:val="009D2816"/>
    <w:rsid w:val="009D2947"/>
    <w:rsid w:val="009D3011"/>
    <w:rsid w:val="009D34FD"/>
    <w:rsid w:val="009D5061"/>
    <w:rsid w:val="009D5127"/>
    <w:rsid w:val="009D51F2"/>
    <w:rsid w:val="009D560A"/>
    <w:rsid w:val="009D5A58"/>
    <w:rsid w:val="009D5BC5"/>
    <w:rsid w:val="009D63D6"/>
    <w:rsid w:val="009D63D8"/>
    <w:rsid w:val="009D6FF9"/>
    <w:rsid w:val="009D729D"/>
    <w:rsid w:val="009D741C"/>
    <w:rsid w:val="009E0565"/>
    <w:rsid w:val="009E06E5"/>
    <w:rsid w:val="009E07D1"/>
    <w:rsid w:val="009E0D2D"/>
    <w:rsid w:val="009E1065"/>
    <w:rsid w:val="009E1353"/>
    <w:rsid w:val="009E1543"/>
    <w:rsid w:val="009E1AC4"/>
    <w:rsid w:val="009E1C9E"/>
    <w:rsid w:val="009E26F0"/>
    <w:rsid w:val="009E286D"/>
    <w:rsid w:val="009E29BD"/>
    <w:rsid w:val="009E2ACB"/>
    <w:rsid w:val="009E2CAB"/>
    <w:rsid w:val="009E2E7A"/>
    <w:rsid w:val="009E2F9E"/>
    <w:rsid w:val="009E45D9"/>
    <w:rsid w:val="009E478B"/>
    <w:rsid w:val="009E5076"/>
    <w:rsid w:val="009E5BF7"/>
    <w:rsid w:val="009E626F"/>
    <w:rsid w:val="009E6754"/>
    <w:rsid w:val="009E7306"/>
    <w:rsid w:val="009E76D7"/>
    <w:rsid w:val="009E7982"/>
    <w:rsid w:val="009F00B2"/>
    <w:rsid w:val="009F067D"/>
    <w:rsid w:val="009F1124"/>
    <w:rsid w:val="009F130A"/>
    <w:rsid w:val="009F29D9"/>
    <w:rsid w:val="009F2E1E"/>
    <w:rsid w:val="009F34AB"/>
    <w:rsid w:val="009F418F"/>
    <w:rsid w:val="009F4487"/>
    <w:rsid w:val="009F4793"/>
    <w:rsid w:val="009F4986"/>
    <w:rsid w:val="009F4A62"/>
    <w:rsid w:val="009F4BFE"/>
    <w:rsid w:val="009F4C35"/>
    <w:rsid w:val="009F5296"/>
    <w:rsid w:val="009F52DA"/>
    <w:rsid w:val="009F57B7"/>
    <w:rsid w:val="009F58B8"/>
    <w:rsid w:val="009F65E4"/>
    <w:rsid w:val="009F6730"/>
    <w:rsid w:val="009F6752"/>
    <w:rsid w:val="009F6ABA"/>
    <w:rsid w:val="009F6C44"/>
    <w:rsid w:val="009F72F3"/>
    <w:rsid w:val="009F7476"/>
    <w:rsid w:val="009F76D1"/>
    <w:rsid w:val="009F7773"/>
    <w:rsid w:val="009F7792"/>
    <w:rsid w:val="00A00400"/>
    <w:rsid w:val="00A00753"/>
    <w:rsid w:val="00A00788"/>
    <w:rsid w:val="00A0084B"/>
    <w:rsid w:val="00A00975"/>
    <w:rsid w:val="00A00A81"/>
    <w:rsid w:val="00A00AFD"/>
    <w:rsid w:val="00A00D44"/>
    <w:rsid w:val="00A01560"/>
    <w:rsid w:val="00A015B0"/>
    <w:rsid w:val="00A0206A"/>
    <w:rsid w:val="00A02675"/>
    <w:rsid w:val="00A026A3"/>
    <w:rsid w:val="00A02B63"/>
    <w:rsid w:val="00A02F12"/>
    <w:rsid w:val="00A0303E"/>
    <w:rsid w:val="00A0305B"/>
    <w:rsid w:val="00A03598"/>
    <w:rsid w:val="00A03815"/>
    <w:rsid w:val="00A038A9"/>
    <w:rsid w:val="00A03B81"/>
    <w:rsid w:val="00A03B88"/>
    <w:rsid w:val="00A03FC3"/>
    <w:rsid w:val="00A049FA"/>
    <w:rsid w:val="00A04FF7"/>
    <w:rsid w:val="00A0597D"/>
    <w:rsid w:val="00A05992"/>
    <w:rsid w:val="00A05B84"/>
    <w:rsid w:val="00A05C48"/>
    <w:rsid w:val="00A05FAE"/>
    <w:rsid w:val="00A064E2"/>
    <w:rsid w:val="00A06A95"/>
    <w:rsid w:val="00A06EFF"/>
    <w:rsid w:val="00A06F7B"/>
    <w:rsid w:val="00A074E7"/>
    <w:rsid w:val="00A07CF2"/>
    <w:rsid w:val="00A10867"/>
    <w:rsid w:val="00A108C9"/>
    <w:rsid w:val="00A10C1B"/>
    <w:rsid w:val="00A1117D"/>
    <w:rsid w:val="00A1122B"/>
    <w:rsid w:val="00A1128B"/>
    <w:rsid w:val="00A12A58"/>
    <w:rsid w:val="00A12A70"/>
    <w:rsid w:val="00A12ED1"/>
    <w:rsid w:val="00A1320A"/>
    <w:rsid w:val="00A1329F"/>
    <w:rsid w:val="00A13ADC"/>
    <w:rsid w:val="00A13BD9"/>
    <w:rsid w:val="00A13CCB"/>
    <w:rsid w:val="00A14072"/>
    <w:rsid w:val="00A142DE"/>
    <w:rsid w:val="00A14672"/>
    <w:rsid w:val="00A14B70"/>
    <w:rsid w:val="00A15379"/>
    <w:rsid w:val="00A155E0"/>
    <w:rsid w:val="00A1583D"/>
    <w:rsid w:val="00A15D69"/>
    <w:rsid w:val="00A16566"/>
    <w:rsid w:val="00A16924"/>
    <w:rsid w:val="00A16990"/>
    <w:rsid w:val="00A16C81"/>
    <w:rsid w:val="00A16F43"/>
    <w:rsid w:val="00A16FCC"/>
    <w:rsid w:val="00A171C7"/>
    <w:rsid w:val="00A175A2"/>
    <w:rsid w:val="00A17B34"/>
    <w:rsid w:val="00A20618"/>
    <w:rsid w:val="00A20AB2"/>
    <w:rsid w:val="00A21E16"/>
    <w:rsid w:val="00A22081"/>
    <w:rsid w:val="00A22693"/>
    <w:rsid w:val="00A227E6"/>
    <w:rsid w:val="00A231C9"/>
    <w:rsid w:val="00A23358"/>
    <w:rsid w:val="00A233F3"/>
    <w:rsid w:val="00A23748"/>
    <w:rsid w:val="00A23CE4"/>
    <w:rsid w:val="00A24D43"/>
    <w:rsid w:val="00A24D90"/>
    <w:rsid w:val="00A2534C"/>
    <w:rsid w:val="00A254D5"/>
    <w:rsid w:val="00A258AD"/>
    <w:rsid w:val="00A2636E"/>
    <w:rsid w:val="00A2669B"/>
    <w:rsid w:val="00A26A02"/>
    <w:rsid w:val="00A26A12"/>
    <w:rsid w:val="00A26A13"/>
    <w:rsid w:val="00A26AAD"/>
    <w:rsid w:val="00A27485"/>
    <w:rsid w:val="00A274D5"/>
    <w:rsid w:val="00A276BC"/>
    <w:rsid w:val="00A27C5B"/>
    <w:rsid w:val="00A30133"/>
    <w:rsid w:val="00A30270"/>
    <w:rsid w:val="00A302CE"/>
    <w:rsid w:val="00A30427"/>
    <w:rsid w:val="00A3081A"/>
    <w:rsid w:val="00A30998"/>
    <w:rsid w:val="00A31101"/>
    <w:rsid w:val="00A312D0"/>
    <w:rsid w:val="00A3131F"/>
    <w:rsid w:val="00A31708"/>
    <w:rsid w:val="00A31941"/>
    <w:rsid w:val="00A31AB7"/>
    <w:rsid w:val="00A31D8C"/>
    <w:rsid w:val="00A31EB3"/>
    <w:rsid w:val="00A31EB5"/>
    <w:rsid w:val="00A31F1D"/>
    <w:rsid w:val="00A31FF1"/>
    <w:rsid w:val="00A323A0"/>
    <w:rsid w:val="00A32420"/>
    <w:rsid w:val="00A32D89"/>
    <w:rsid w:val="00A33187"/>
    <w:rsid w:val="00A33420"/>
    <w:rsid w:val="00A34252"/>
    <w:rsid w:val="00A343FD"/>
    <w:rsid w:val="00A344BD"/>
    <w:rsid w:val="00A3494E"/>
    <w:rsid w:val="00A34980"/>
    <w:rsid w:val="00A34AD7"/>
    <w:rsid w:val="00A34DA9"/>
    <w:rsid w:val="00A34F17"/>
    <w:rsid w:val="00A34F59"/>
    <w:rsid w:val="00A35058"/>
    <w:rsid w:val="00A3521D"/>
    <w:rsid w:val="00A35492"/>
    <w:rsid w:val="00A35550"/>
    <w:rsid w:val="00A358F6"/>
    <w:rsid w:val="00A35A22"/>
    <w:rsid w:val="00A35A60"/>
    <w:rsid w:val="00A3609B"/>
    <w:rsid w:val="00A361B1"/>
    <w:rsid w:val="00A3635D"/>
    <w:rsid w:val="00A364FE"/>
    <w:rsid w:val="00A366A6"/>
    <w:rsid w:val="00A36799"/>
    <w:rsid w:val="00A36BEF"/>
    <w:rsid w:val="00A36CEB"/>
    <w:rsid w:val="00A372E4"/>
    <w:rsid w:val="00A373A6"/>
    <w:rsid w:val="00A37580"/>
    <w:rsid w:val="00A375EB"/>
    <w:rsid w:val="00A37732"/>
    <w:rsid w:val="00A378DF"/>
    <w:rsid w:val="00A37CB9"/>
    <w:rsid w:val="00A408DC"/>
    <w:rsid w:val="00A40D09"/>
    <w:rsid w:val="00A4197D"/>
    <w:rsid w:val="00A424BE"/>
    <w:rsid w:val="00A42595"/>
    <w:rsid w:val="00A42A20"/>
    <w:rsid w:val="00A42BE6"/>
    <w:rsid w:val="00A42CB5"/>
    <w:rsid w:val="00A42FBF"/>
    <w:rsid w:val="00A43763"/>
    <w:rsid w:val="00A438A4"/>
    <w:rsid w:val="00A43CFB"/>
    <w:rsid w:val="00A43E88"/>
    <w:rsid w:val="00A44203"/>
    <w:rsid w:val="00A442F8"/>
    <w:rsid w:val="00A44D6F"/>
    <w:rsid w:val="00A4532C"/>
    <w:rsid w:val="00A45995"/>
    <w:rsid w:val="00A462A4"/>
    <w:rsid w:val="00A46A45"/>
    <w:rsid w:val="00A47737"/>
    <w:rsid w:val="00A47905"/>
    <w:rsid w:val="00A5008B"/>
    <w:rsid w:val="00A50C33"/>
    <w:rsid w:val="00A518AE"/>
    <w:rsid w:val="00A52778"/>
    <w:rsid w:val="00A528C8"/>
    <w:rsid w:val="00A529D9"/>
    <w:rsid w:val="00A53148"/>
    <w:rsid w:val="00A534AE"/>
    <w:rsid w:val="00A53E34"/>
    <w:rsid w:val="00A53E7A"/>
    <w:rsid w:val="00A53F4D"/>
    <w:rsid w:val="00A5403E"/>
    <w:rsid w:val="00A54151"/>
    <w:rsid w:val="00A5438B"/>
    <w:rsid w:val="00A546EA"/>
    <w:rsid w:val="00A548AC"/>
    <w:rsid w:val="00A54AE6"/>
    <w:rsid w:val="00A54EB0"/>
    <w:rsid w:val="00A5530A"/>
    <w:rsid w:val="00A55825"/>
    <w:rsid w:val="00A55A67"/>
    <w:rsid w:val="00A565CA"/>
    <w:rsid w:val="00A568A3"/>
    <w:rsid w:val="00A56A34"/>
    <w:rsid w:val="00A56B57"/>
    <w:rsid w:val="00A57367"/>
    <w:rsid w:val="00A579B0"/>
    <w:rsid w:val="00A57A4D"/>
    <w:rsid w:val="00A57C46"/>
    <w:rsid w:val="00A602AC"/>
    <w:rsid w:val="00A60F0F"/>
    <w:rsid w:val="00A61C06"/>
    <w:rsid w:val="00A61CB8"/>
    <w:rsid w:val="00A623EB"/>
    <w:rsid w:val="00A62C5E"/>
    <w:rsid w:val="00A62F24"/>
    <w:rsid w:val="00A62FE9"/>
    <w:rsid w:val="00A637BE"/>
    <w:rsid w:val="00A63813"/>
    <w:rsid w:val="00A6387E"/>
    <w:rsid w:val="00A639E5"/>
    <w:rsid w:val="00A63EF9"/>
    <w:rsid w:val="00A6460A"/>
    <w:rsid w:val="00A646D0"/>
    <w:rsid w:val="00A64BA0"/>
    <w:rsid w:val="00A64CB6"/>
    <w:rsid w:val="00A65067"/>
    <w:rsid w:val="00A650CC"/>
    <w:rsid w:val="00A65114"/>
    <w:rsid w:val="00A654AE"/>
    <w:rsid w:val="00A655F9"/>
    <w:rsid w:val="00A65C0C"/>
    <w:rsid w:val="00A65EA6"/>
    <w:rsid w:val="00A66848"/>
    <w:rsid w:val="00A66AE8"/>
    <w:rsid w:val="00A66E82"/>
    <w:rsid w:val="00A66F58"/>
    <w:rsid w:val="00A671EC"/>
    <w:rsid w:val="00A67584"/>
    <w:rsid w:val="00A6771A"/>
    <w:rsid w:val="00A67896"/>
    <w:rsid w:val="00A7008A"/>
    <w:rsid w:val="00A70C0E"/>
    <w:rsid w:val="00A70E35"/>
    <w:rsid w:val="00A71533"/>
    <w:rsid w:val="00A71838"/>
    <w:rsid w:val="00A71AC0"/>
    <w:rsid w:val="00A71F2E"/>
    <w:rsid w:val="00A7226F"/>
    <w:rsid w:val="00A726BE"/>
    <w:rsid w:val="00A734A1"/>
    <w:rsid w:val="00A738E5"/>
    <w:rsid w:val="00A74255"/>
    <w:rsid w:val="00A743EE"/>
    <w:rsid w:val="00A74961"/>
    <w:rsid w:val="00A74B03"/>
    <w:rsid w:val="00A74FE0"/>
    <w:rsid w:val="00A75259"/>
    <w:rsid w:val="00A752E4"/>
    <w:rsid w:val="00A75382"/>
    <w:rsid w:val="00A75747"/>
    <w:rsid w:val="00A759CF"/>
    <w:rsid w:val="00A75A8F"/>
    <w:rsid w:val="00A76A57"/>
    <w:rsid w:val="00A76EFA"/>
    <w:rsid w:val="00A77C37"/>
    <w:rsid w:val="00A80434"/>
    <w:rsid w:val="00A81057"/>
    <w:rsid w:val="00A81333"/>
    <w:rsid w:val="00A813DE"/>
    <w:rsid w:val="00A81A1D"/>
    <w:rsid w:val="00A81D59"/>
    <w:rsid w:val="00A81FB1"/>
    <w:rsid w:val="00A821F6"/>
    <w:rsid w:val="00A826D7"/>
    <w:rsid w:val="00A82908"/>
    <w:rsid w:val="00A82957"/>
    <w:rsid w:val="00A82B0A"/>
    <w:rsid w:val="00A82C1E"/>
    <w:rsid w:val="00A82CF1"/>
    <w:rsid w:val="00A82EA1"/>
    <w:rsid w:val="00A82F54"/>
    <w:rsid w:val="00A8308B"/>
    <w:rsid w:val="00A83245"/>
    <w:rsid w:val="00A832B2"/>
    <w:rsid w:val="00A83B19"/>
    <w:rsid w:val="00A83BED"/>
    <w:rsid w:val="00A84494"/>
    <w:rsid w:val="00A84AC1"/>
    <w:rsid w:val="00A84AE3"/>
    <w:rsid w:val="00A84B1C"/>
    <w:rsid w:val="00A851EF"/>
    <w:rsid w:val="00A85807"/>
    <w:rsid w:val="00A86100"/>
    <w:rsid w:val="00A86132"/>
    <w:rsid w:val="00A86856"/>
    <w:rsid w:val="00A8733D"/>
    <w:rsid w:val="00A87B51"/>
    <w:rsid w:val="00A87BE9"/>
    <w:rsid w:val="00A87E86"/>
    <w:rsid w:val="00A900C1"/>
    <w:rsid w:val="00A906A1"/>
    <w:rsid w:val="00A918DC"/>
    <w:rsid w:val="00A92407"/>
    <w:rsid w:val="00A92BBC"/>
    <w:rsid w:val="00A92C2B"/>
    <w:rsid w:val="00A92FE7"/>
    <w:rsid w:val="00A93846"/>
    <w:rsid w:val="00A93875"/>
    <w:rsid w:val="00A9391C"/>
    <w:rsid w:val="00A93B97"/>
    <w:rsid w:val="00A93D07"/>
    <w:rsid w:val="00A955DD"/>
    <w:rsid w:val="00A9577E"/>
    <w:rsid w:val="00A95DB9"/>
    <w:rsid w:val="00A95EB4"/>
    <w:rsid w:val="00A9669F"/>
    <w:rsid w:val="00A96B7A"/>
    <w:rsid w:val="00A9726B"/>
    <w:rsid w:val="00A973AC"/>
    <w:rsid w:val="00A97872"/>
    <w:rsid w:val="00A97A68"/>
    <w:rsid w:val="00A97FD8"/>
    <w:rsid w:val="00AA06CD"/>
    <w:rsid w:val="00AA0A91"/>
    <w:rsid w:val="00AA1113"/>
    <w:rsid w:val="00AA182E"/>
    <w:rsid w:val="00AA1AE9"/>
    <w:rsid w:val="00AA1F5E"/>
    <w:rsid w:val="00AA29F9"/>
    <w:rsid w:val="00AA2D1A"/>
    <w:rsid w:val="00AA2DB2"/>
    <w:rsid w:val="00AA3385"/>
    <w:rsid w:val="00AA33F7"/>
    <w:rsid w:val="00AA39C8"/>
    <w:rsid w:val="00AA3DEB"/>
    <w:rsid w:val="00AA3F4E"/>
    <w:rsid w:val="00AA437E"/>
    <w:rsid w:val="00AA4F9A"/>
    <w:rsid w:val="00AA5104"/>
    <w:rsid w:val="00AA596A"/>
    <w:rsid w:val="00AA5D20"/>
    <w:rsid w:val="00AA6212"/>
    <w:rsid w:val="00AA6297"/>
    <w:rsid w:val="00AA6541"/>
    <w:rsid w:val="00AA65A8"/>
    <w:rsid w:val="00AA696B"/>
    <w:rsid w:val="00AA6E07"/>
    <w:rsid w:val="00AA6F29"/>
    <w:rsid w:val="00AA7071"/>
    <w:rsid w:val="00AA76FC"/>
    <w:rsid w:val="00AA7966"/>
    <w:rsid w:val="00AA7CD4"/>
    <w:rsid w:val="00AB00E6"/>
    <w:rsid w:val="00AB04CF"/>
    <w:rsid w:val="00AB0943"/>
    <w:rsid w:val="00AB0A76"/>
    <w:rsid w:val="00AB0D21"/>
    <w:rsid w:val="00AB104C"/>
    <w:rsid w:val="00AB12AE"/>
    <w:rsid w:val="00AB130F"/>
    <w:rsid w:val="00AB163E"/>
    <w:rsid w:val="00AB17F5"/>
    <w:rsid w:val="00AB1F87"/>
    <w:rsid w:val="00AB2047"/>
    <w:rsid w:val="00AB21DE"/>
    <w:rsid w:val="00AB2A26"/>
    <w:rsid w:val="00AB2BDD"/>
    <w:rsid w:val="00AB2C8E"/>
    <w:rsid w:val="00AB42FF"/>
    <w:rsid w:val="00AB4477"/>
    <w:rsid w:val="00AB458D"/>
    <w:rsid w:val="00AB4813"/>
    <w:rsid w:val="00AB49F3"/>
    <w:rsid w:val="00AB51C8"/>
    <w:rsid w:val="00AB522E"/>
    <w:rsid w:val="00AB5239"/>
    <w:rsid w:val="00AB52E4"/>
    <w:rsid w:val="00AB52FD"/>
    <w:rsid w:val="00AB53E5"/>
    <w:rsid w:val="00AB57F5"/>
    <w:rsid w:val="00AB5D35"/>
    <w:rsid w:val="00AB706A"/>
    <w:rsid w:val="00AB72D9"/>
    <w:rsid w:val="00AB76EC"/>
    <w:rsid w:val="00AB77A8"/>
    <w:rsid w:val="00AC04FB"/>
    <w:rsid w:val="00AC05F6"/>
    <w:rsid w:val="00AC07E6"/>
    <w:rsid w:val="00AC0F5C"/>
    <w:rsid w:val="00AC1633"/>
    <w:rsid w:val="00AC190D"/>
    <w:rsid w:val="00AC1D6B"/>
    <w:rsid w:val="00AC27B4"/>
    <w:rsid w:val="00AC297B"/>
    <w:rsid w:val="00AC2E11"/>
    <w:rsid w:val="00AC2E48"/>
    <w:rsid w:val="00AC2F0D"/>
    <w:rsid w:val="00AC304C"/>
    <w:rsid w:val="00AC492C"/>
    <w:rsid w:val="00AC500D"/>
    <w:rsid w:val="00AC5046"/>
    <w:rsid w:val="00AC50A4"/>
    <w:rsid w:val="00AC67CB"/>
    <w:rsid w:val="00AC6D4D"/>
    <w:rsid w:val="00AC6D70"/>
    <w:rsid w:val="00AC7DA9"/>
    <w:rsid w:val="00AC7FED"/>
    <w:rsid w:val="00AD0641"/>
    <w:rsid w:val="00AD068F"/>
    <w:rsid w:val="00AD06CD"/>
    <w:rsid w:val="00AD0804"/>
    <w:rsid w:val="00AD09DA"/>
    <w:rsid w:val="00AD0BBF"/>
    <w:rsid w:val="00AD11E2"/>
    <w:rsid w:val="00AD17FD"/>
    <w:rsid w:val="00AD1CBA"/>
    <w:rsid w:val="00AD2076"/>
    <w:rsid w:val="00AD22BA"/>
    <w:rsid w:val="00AD244D"/>
    <w:rsid w:val="00AD2A56"/>
    <w:rsid w:val="00AD2E0F"/>
    <w:rsid w:val="00AD3961"/>
    <w:rsid w:val="00AD3F33"/>
    <w:rsid w:val="00AD4B94"/>
    <w:rsid w:val="00AD4DF2"/>
    <w:rsid w:val="00AD52B2"/>
    <w:rsid w:val="00AD55FA"/>
    <w:rsid w:val="00AD5704"/>
    <w:rsid w:val="00AD58D9"/>
    <w:rsid w:val="00AD5F8E"/>
    <w:rsid w:val="00AD6087"/>
    <w:rsid w:val="00AD61CB"/>
    <w:rsid w:val="00AD62F4"/>
    <w:rsid w:val="00AD6371"/>
    <w:rsid w:val="00AD66BA"/>
    <w:rsid w:val="00AD6DEC"/>
    <w:rsid w:val="00AD7265"/>
    <w:rsid w:val="00AD729C"/>
    <w:rsid w:val="00AD7581"/>
    <w:rsid w:val="00AD7CEC"/>
    <w:rsid w:val="00AE03F1"/>
    <w:rsid w:val="00AE0591"/>
    <w:rsid w:val="00AE0865"/>
    <w:rsid w:val="00AE0B8D"/>
    <w:rsid w:val="00AE0C0E"/>
    <w:rsid w:val="00AE15D9"/>
    <w:rsid w:val="00AE15FB"/>
    <w:rsid w:val="00AE1835"/>
    <w:rsid w:val="00AE1E6E"/>
    <w:rsid w:val="00AE24FC"/>
    <w:rsid w:val="00AE2836"/>
    <w:rsid w:val="00AE2B77"/>
    <w:rsid w:val="00AE3238"/>
    <w:rsid w:val="00AE3270"/>
    <w:rsid w:val="00AE380B"/>
    <w:rsid w:val="00AE382E"/>
    <w:rsid w:val="00AE3AD2"/>
    <w:rsid w:val="00AE3CE9"/>
    <w:rsid w:val="00AE3D9A"/>
    <w:rsid w:val="00AE4828"/>
    <w:rsid w:val="00AE5249"/>
    <w:rsid w:val="00AE52ED"/>
    <w:rsid w:val="00AE544B"/>
    <w:rsid w:val="00AE5669"/>
    <w:rsid w:val="00AE5942"/>
    <w:rsid w:val="00AE5B24"/>
    <w:rsid w:val="00AE5DB0"/>
    <w:rsid w:val="00AE62F4"/>
    <w:rsid w:val="00AE6B81"/>
    <w:rsid w:val="00AE6CB4"/>
    <w:rsid w:val="00AE7162"/>
    <w:rsid w:val="00AE7366"/>
    <w:rsid w:val="00AE7645"/>
    <w:rsid w:val="00AE7C95"/>
    <w:rsid w:val="00AE7DA6"/>
    <w:rsid w:val="00AE7DA7"/>
    <w:rsid w:val="00AE7FB4"/>
    <w:rsid w:val="00AF08FF"/>
    <w:rsid w:val="00AF0950"/>
    <w:rsid w:val="00AF0DF8"/>
    <w:rsid w:val="00AF0FE8"/>
    <w:rsid w:val="00AF103C"/>
    <w:rsid w:val="00AF10D4"/>
    <w:rsid w:val="00AF1167"/>
    <w:rsid w:val="00AF127E"/>
    <w:rsid w:val="00AF12B6"/>
    <w:rsid w:val="00AF13E2"/>
    <w:rsid w:val="00AF16D2"/>
    <w:rsid w:val="00AF173B"/>
    <w:rsid w:val="00AF1F94"/>
    <w:rsid w:val="00AF2187"/>
    <w:rsid w:val="00AF2325"/>
    <w:rsid w:val="00AF2613"/>
    <w:rsid w:val="00AF2A41"/>
    <w:rsid w:val="00AF2B44"/>
    <w:rsid w:val="00AF2FC2"/>
    <w:rsid w:val="00AF342D"/>
    <w:rsid w:val="00AF394A"/>
    <w:rsid w:val="00AF3C40"/>
    <w:rsid w:val="00AF428D"/>
    <w:rsid w:val="00AF43E3"/>
    <w:rsid w:val="00AF4F92"/>
    <w:rsid w:val="00AF55EF"/>
    <w:rsid w:val="00AF5DA2"/>
    <w:rsid w:val="00AF686A"/>
    <w:rsid w:val="00AF6C93"/>
    <w:rsid w:val="00AF6E98"/>
    <w:rsid w:val="00AF7AB5"/>
    <w:rsid w:val="00AF7B02"/>
    <w:rsid w:val="00AF7F89"/>
    <w:rsid w:val="00B00755"/>
    <w:rsid w:val="00B00A0B"/>
    <w:rsid w:val="00B00BFD"/>
    <w:rsid w:val="00B00ECF"/>
    <w:rsid w:val="00B01287"/>
    <w:rsid w:val="00B0135A"/>
    <w:rsid w:val="00B013AF"/>
    <w:rsid w:val="00B015B0"/>
    <w:rsid w:val="00B01703"/>
    <w:rsid w:val="00B017C9"/>
    <w:rsid w:val="00B01968"/>
    <w:rsid w:val="00B020E7"/>
    <w:rsid w:val="00B0236A"/>
    <w:rsid w:val="00B02713"/>
    <w:rsid w:val="00B02C7C"/>
    <w:rsid w:val="00B02DA7"/>
    <w:rsid w:val="00B034A4"/>
    <w:rsid w:val="00B03A7F"/>
    <w:rsid w:val="00B03E24"/>
    <w:rsid w:val="00B041B2"/>
    <w:rsid w:val="00B043C6"/>
    <w:rsid w:val="00B045DC"/>
    <w:rsid w:val="00B0461A"/>
    <w:rsid w:val="00B04A8F"/>
    <w:rsid w:val="00B05327"/>
    <w:rsid w:val="00B05468"/>
    <w:rsid w:val="00B0572A"/>
    <w:rsid w:val="00B0631D"/>
    <w:rsid w:val="00B06530"/>
    <w:rsid w:val="00B06CC4"/>
    <w:rsid w:val="00B06FC8"/>
    <w:rsid w:val="00B070B3"/>
    <w:rsid w:val="00B0749E"/>
    <w:rsid w:val="00B076AE"/>
    <w:rsid w:val="00B108A4"/>
    <w:rsid w:val="00B111C5"/>
    <w:rsid w:val="00B1193D"/>
    <w:rsid w:val="00B11A7C"/>
    <w:rsid w:val="00B12166"/>
    <w:rsid w:val="00B12223"/>
    <w:rsid w:val="00B12374"/>
    <w:rsid w:val="00B126B0"/>
    <w:rsid w:val="00B12BEE"/>
    <w:rsid w:val="00B12F6A"/>
    <w:rsid w:val="00B13112"/>
    <w:rsid w:val="00B1345F"/>
    <w:rsid w:val="00B13893"/>
    <w:rsid w:val="00B13AE0"/>
    <w:rsid w:val="00B13DD5"/>
    <w:rsid w:val="00B14BCA"/>
    <w:rsid w:val="00B158B5"/>
    <w:rsid w:val="00B15AD6"/>
    <w:rsid w:val="00B160B5"/>
    <w:rsid w:val="00B16387"/>
    <w:rsid w:val="00B16679"/>
    <w:rsid w:val="00B16B0F"/>
    <w:rsid w:val="00B16D97"/>
    <w:rsid w:val="00B200C1"/>
    <w:rsid w:val="00B20575"/>
    <w:rsid w:val="00B20832"/>
    <w:rsid w:val="00B20BE2"/>
    <w:rsid w:val="00B21006"/>
    <w:rsid w:val="00B2100E"/>
    <w:rsid w:val="00B21338"/>
    <w:rsid w:val="00B214F3"/>
    <w:rsid w:val="00B217C7"/>
    <w:rsid w:val="00B21814"/>
    <w:rsid w:val="00B21935"/>
    <w:rsid w:val="00B21972"/>
    <w:rsid w:val="00B21BE9"/>
    <w:rsid w:val="00B21BED"/>
    <w:rsid w:val="00B21E1B"/>
    <w:rsid w:val="00B22944"/>
    <w:rsid w:val="00B22AB8"/>
    <w:rsid w:val="00B235AF"/>
    <w:rsid w:val="00B23B45"/>
    <w:rsid w:val="00B23C10"/>
    <w:rsid w:val="00B240D0"/>
    <w:rsid w:val="00B24281"/>
    <w:rsid w:val="00B24503"/>
    <w:rsid w:val="00B2456A"/>
    <w:rsid w:val="00B24982"/>
    <w:rsid w:val="00B2498C"/>
    <w:rsid w:val="00B24B79"/>
    <w:rsid w:val="00B24D2D"/>
    <w:rsid w:val="00B24EDF"/>
    <w:rsid w:val="00B2555A"/>
    <w:rsid w:val="00B25CEB"/>
    <w:rsid w:val="00B2620A"/>
    <w:rsid w:val="00B265FF"/>
    <w:rsid w:val="00B26D08"/>
    <w:rsid w:val="00B2733D"/>
    <w:rsid w:val="00B30C9B"/>
    <w:rsid w:val="00B30EFA"/>
    <w:rsid w:val="00B310D5"/>
    <w:rsid w:val="00B31274"/>
    <w:rsid w:val="00B312CF"/>
    <w:rsid w:val="00B31511"/>
    <w:rsid w:val="00B31D50"/>
    <w:rsid w:val="00B31D75"/>
    <w:rsid w:val="00B31E9E"/>
    <w:rsid w:val="00B32134"/>
    <w:rsid w:val="00B32C94"/>
    <w:rsid w:val="00B32E6A"/>
    <w:rsid w:val="00B336D7"/>
    <w:rsid w:val="00B33855"/>
    <w:rsid w:val="00B33E57"/>
    <w:rsid w:val="00B33F81"/>
    <w:rsid w:val="00B34162"/>
    <w:rsid w:val="00B34AB7"/>
    <w:rsid w:val="00B34DA2"/>
    <w:rsid w:val="00B34DC9"/>
    <w:rsid w:val="00B353DB"/>
    <w:rsid w:val="00B3580C"/>
    <w:rsid w:val="00B3594C"/>
    <w:rsid w:val="00B35AC5"/>
    <w:rsid w:val="00B35EFD"/>
    <w:rsid w:val="00B360A2"/>
    <w:rsid w:val="00B36760"/>
    <w:rsid w:val="00B367B9"/>
    <w:rsid w:val="00B367EC"/>
    <w:rsid w:val="00B36B62"/>
    <w:rsid w:val="00B37093"/>
    <w:rsid w:val="00B373C7"/>
    <w:rsid w:val="00B40188"/>
    <w:rsid w:val="00B401F7"/>
    <w:rsid w:val="00B406EF"/>
    <w:rsid w:val="00B406FB"/>
    <w:rsid w:val="00B40765"/>
    <w:rsid w:val="00B408D3"/>
    <w:rsid w:val="00B40AA3"/>
    <w:rsid w:val="00B40E57"/>
    <w:rsid w:val="00B415E3"/>
    <w:rsid w:val="00B416B9"/>
    <w:rsid w:val="00B41D3B"/>
    <w:rsid w:val="00B41FAA"/>
    <w:rsid w:val="00B420F5"/>
    <w:rsid w:val="00B4284E"/>
    <w:rsid w:val="00B42BE3"/>
    <w:rsid w:val="00B4339D"/>
    <w:rsid w:val="00B43694"/>
    <w:rsid w:val="00B43769"/>
    <w:rsid w:val="00B43A9C"/>
    <w:rsid w:val="00B43CD0"/>
    <w:rsid w:val="00B450E1"/>
    <w:rsid w:val="00B45445"/>
    <w:rsid w:val="00B45DF8"/>
    <w:rsid w:val="00B45E5F"/>
    <w:rsid w:val="00B460EB"/>
    <w:rsid w:val="00B461B3"/>
    <w:rsid w:val="00B464BA"/>
    <w:rsid w:val="00B46BD6"/>
    <w:rsid w:val="00B46E19"/>
    <w:rsid w:val="00B47824"/>
    <w:rsid w:val="00B478F9"/>
    <w:rsid w:val="00B479A0"/>
    <w:rsid w:val="00B47FE8"/>
    <w:rsid w:val="00B503B5"/>
    <w:rsid w:val="00B50420"/>
    <w:rsid w:val="00B507C7"/>
    <w:rsid w:val="00B513EE"/>
    <w:rsid w:val="00B51410"/>
    <w:rsid w:val="00B5212A"/>
    <w:rsid w:val="00B522DD"/>
    <w:rsid w:val="00B5247E"/>
    <w:rsid w:val="00B52649"/>
    <w:rsid w:val="00B527E8"/>
    <w:rsid w:val="00B529BB"/>
    <w:rsid w:val="00B53123"/>
    <w:rsid w:val="00B53590"/>
    <w:rsid w:val="00B53E9C"/>
    <w:rsid w:val="00B541D5"/>
    <w:rsid w:val="00B541F5"/>
    <w:rsid w:val="00B544EE"/>
    <w:rsid w:val="00B54828"/>
    <w:rsid w:val="00B54867"/>
    <w:rsid w:val="00B54A23"/>
    <w:rsid w:val="00B54C95"/>
    <w:rsid w:val="00B54FF2"/>
    <w:rsid w:val="00B55019"/>
    <w:rsid w:val="00B550E5"/>
    <w:rsid w:val="00B552E0"/>
    <w:rsid w:val="00B5532D"/>
    <w:rsid w:val="00B566C7"/>
    <w:rsid w:val="00B567BF"/>
    <w:rsid w:val="00B56AB1"/>
    <w:rsid w:val="00B56B92"/>
    <w:rsid w:val="00B56EB5"/>
    <w:rsid w:val="00B56EF8"/>
    <w:rsid w:val="00B5734C"/>
    <w:rsid w:val="00B575AC"/>
    <w:rsid w:val="00B5791E"/>
    <w:rsid w:val="00B57A0F"/>
    <w:rsid w:val="00B57B41"/>
    <w:rsid w:val="00B57E17"/>
    <w:rsid w:val="00B6025A"/>
    <w:rsid w:val="00B60395"/>
    <w:rsid w:val="00B6069A"/>
    <w:rsid w:val="00B60936"/>
    <w:rsid w:val="00B61111"/>
    <w:rsid w:val="00B62A7D"/>
    <w:rsid w:val="00B62DF9"/>
    <w:rsid w:val="00B631E9"/>
    <w:rsid w:val="00B63493"/>
    <w:rsid w:val="00B637CF"/>
    <w:rsid w:val="00B63964"/>
    <w:rsid w:val="00B639E1"/>
    <w:rsid w:val="00B64056"/>
    <w:rsid w:val="00B64129"/>
    <w:rsid w:val="00B641D6"/>
    <w:rsid w:val="00B64A19"/>
    <w:rsid w:val="00B64AFE"/>
    <w:rsid w:val="00B651BF"/>
    <w:rsid w:val="00B655C7"/>
    <w:rsid w:val="00B65663"/>
    <w:rsid w:val="00B65A1A"/>
    <w:rsid w:val="00B65B3E"/>
    <w:rsid w:val="00B66035"/>
    <w:rsid w:val="00B66367"/>
    <w:rsid w:val="00B66AF4"/>
    <w:rsid w:val="00B66B3C"/>
    <w:rsid w:val="00B66D3F"/>
    <w:rsid w:val="00B67163"/>
    <w:rsid w:val="00B67218"/>
    <w:rsid w:val="00B67238"/>
    <w:rsid w:val="00B673C9"/>
    <w:rsid w:val="00B67744"/>
    <w:rsid w:val="00B7034B"/>
    <w:rsid w:val="00B70749"/>
    <w:rsid w:val="00B70B3D"/>
    <w:rsid w:val="00B70C87"/>
    <w:rsid w:val="00B70CA3"/>
    <w:rsid w:val="00B71260"/>
    <w:rsid w:val="00B712DB"/>
    <w:rsid w:val="00B71386"/>
    <w:rsid w:val="00B718F0"/>
    <w:rsid w:val="00B71DC1"/>
    <w:rsid w:val="00B71F72"/>
    <w:rsid w:val="00B722AC"/>
    <w:rsid w:val="00B7246E"/>
    <w:rsid w:val="00B72F95"/>
    <w:rsid w:val="00B73414"/>
    <w:rsid w:val="00B73CCC"/>
    <w:rsid w:val="00B73FD2"/>
    <w:rsid w:val="00B741B0"/>
    <w:rsid w:val="00B746A4"/>
    <w:rsid w:val="00B74985"/>
    <w:rsid w:val="00B74A2F"/>
    <w:rsid w:val="00B74E95"/>
    <w:rsid w:val="00B753F3"/>
    <w:rsid w:val="00B755AB"/>
    <w:rsid w:val="00B759C9"/>
    <w:rsid w:val="00B759D5"/>
    <w:rsid w:val="00B75C62"/>
    <w:rsid w:val="00B7604C"/>
    <w:rsid w:val="00B760EC"/>
    <w:rsid w:val="00B764EF"/>
    <w:rsid w:val="00B7697D"/>
    <w:rsid w:val="00B76E6F"/>
    <w:rsid w:val="00B77051"/>
    <w:rsid w:val="00B77361"/>
    <w:rsid w:val="00B774C2"/>
    <w:rsid w:val="00B77556"/>
    <w:rsid w:val="00B7775C"/>
    <w:rsid w:val="00B80289"/>
    <w:rsid w:val="00B80663"/>
    <w:rsid w:val="00B8076F"/>
    <w:rsid w:val="00B80A19"/>
    <w:rsid w:val="00B80CF9"/>
    <w:rsid w:val="00B817FF"/>
    <w:rsid w:val="00B81B38"/>
    <w:rsid w:val="00B81B76"/>
    <w:rsid w:val="00B82057"/>
    <w:rsid w:val="00B8277B"/>
    <w:rsid w:val="00B82BAD"/>
    <w:rsid w:val="00B830E1"/>
    <w:rsid w:val="00B8326B"/>
    <w:rsid w:val="00B83872"/>
    <w:rsid w:val="00B83A5B"/>
    <w:rsid w:val="00B8415B"/>
    <w:rsid w:val="00B84920"/>
    <w:rsid w:val="00B84C55"/>
    <w:rsid w:val="00B853E6"/>
    <w:rsid w:val="00B85894"/>
    <w:rsid w:val="00B8627A"/>
    <w:rsid w:val="00B867F5"/>
    <w:rsid w:val="00B86887"/>
    <w:rsid w:val="00B86BD4"/>
    <w:rsid w:val="00B86D4B"/>
    <w:rsid w:val="00B86DB4"/>
    <w:rsid w:val="00B86F26"/>
    <w:rsid w:val="00B870BC"/>
    <w:rsid w:val="00B87183"/>
    <w:rsid w:val="00B87386"/>
    <w:rsid w:val="00B8747E"/>
    <w:rsid w:val="00B8758A"/>
    <w:rsid w:val="00B878B1"/>
    <w:rsid w:val="00B878DA"/>
    <w:rsid w:val="00B87B22"/>
    <w:rsid w:val="00B9009F"/>
    <w:rsid w:val="00B90212"/>
    <w:rsid w:val="00B905E0"/>
    <w:rsid w:val="00B90762"/>
    <w:rsid w:val="00B9082A"/>
    <w:rsid w:val="00B9102F"/>
    <w:rsid w:val="00B91141"/>
    <w:rsid w:val="00B9120F"/>
    <w:rsid w:val="00B9123A"/>
    <w:rsid w:val="00B9133E"/>
    <w:rsid w:val="00B917D8"/>
    <w:rsid w:val="00B920FD"/>
    <w:rsid w:val="00B9235B"/>
    <w:rsid w:val="00B92A0C"/>
    <w:rsid w:val="00B92BAE"/>
    <w:rsid w:val="00B93169"/>
    <w:rsid w:val="00B9385F"/>
    <w:rsid w:val="00B9388F"/>
    <w:rsid w:val="00B93892"/>
    <w:rsid w:val="00B93AB2"/>
    <w:rsid w:val="00B943CD"/>
    <w:rsid w:val="00B9486B"/>
    <w:rsid w:val="00B9486F"/>
    <w:rsid w:val="00B94BA8"/>
    <w:rsid w:val="00B94C6F"/>
    <w:rsid w:val="00B94DD5"/>
    <w:rsid w:val="00B9515C"/>
    <w:rsid w:val="00B95438"/>
    <w:rsid w:val="00B96469"/>
    <w:rsid w:val="00B96779"/>
    <w:rsid w:val="00B96780"/>
    <w:rsid w:val="00B96C2F"/>
    <w:rsid w:val="00B974BC"/>
    <w:rsid w:val="00B976CF"/>
    <w:rsid w:val="00B97C8B"/>
    <w:rsid w:val="00B97CB6"/>
    <w:rsid w:val="00BA003B"/>
    <w:rsid w:val="00BA04A4"/>
    <w:rsid w:val="00BA07F9"/>
    <w:rsid w:val="00BA0AD2"/>
    <w:rsid w:val="00BA1A5C"/>
    <w:rsid w:val="00BA1FC0"/>
    <w:rsid w:val="00BA20A9"/>
    <w:rsid w:val="00BA2247"/>
    <w:rsid w:val="00BA2696"/>
    <w:rsid w:val="00BA2806"/>
    <w:rsid w:val="00BA338B"/>
    <w:rsid w:val="00BA376B"/>
    <w:rsid w:val="00BA3D02"/>
    <w:rsid w:val="00BA3DBA"/>
    <w:rsid w:val="00BA408B"/>
    <w:rsid w:val="00BA40FB"/>
    <w:rsid w:val="00BA41AC"/>
    <w:rsid w:val="00BA476B"/>
    <w:rsid w:val="00BA4E87"/>
    <w:rsid w:val="00BA4EFB"/>
    <w:rsid w:val="00BA502C"/>
    <w:rsid w:val="00BA598C"/>
    <w:rsid w:val="00BA59C1"/>
    <w:rsid w:val="00BA5CCC"/>
    <w:rsid w:val="00BA5CED"/>
    <w:rsid w:val="00BA5E9D"/>
    <w:rsid w:val="00BA60C0"/>
    <w:rsid w:val="00BA611F"/>
    <w:rsid w:val="00BA644F"/>
    <w:rsid w:val="00BA64F3"/>
    <w:rsid w:val="00BA672B"/>
    <w:rsid w:val="00BA67DD"/>
    <w:rsid w:val="00BA6812"/>
    <w:rsid w:val="00BA6BC4"/>
    <w:rsid w:val="00BA6C75"/>
    <w:rsid w:val="00BA732E"/>
    <w:rsid w:val="00BA758B"/>
    <w:rsid w:val="00BA7A63"/>
    <w:rsid w:val="00BA7D71"/>
    <w:rsid w:val="00BA7E15"/>
    <w:rsid w:val="00BB04A2"/>
    <w:rsid w:val="00BB07BB"/>
    <w:rsid w:val="00BB0D80"/>
    <w:rsid w:val="00BB1112"/>
    <w:rsid w:val="00BB1390"/>
    <w:rsid w:val="00BB1791"/>
    <w:rsid w:val="00BB1870"/>
    <w:rsid w:val="00BB26CA"/>
    <w:rsid w:val="00BB2AF6"/>
    <w:rsid w:val="00BB4708"/>
    <w:rsid w:val="00BB4948"/>
    <w:rsid w:val="00BB4B14"/>
    <w:rsid w:val="00BB4BEC"/>
    <w:rsid w:val="00BB4D2A"/>
    <w:rsid w:val="00BB56B6"/>
    <w:rsid w:val="00BB5898"/>
    <w:rsid w:val="00BB59E6"/>
    <w:rsid w:val="00BB5DD2"/>
    <w:rsid w:val="00BB65E9"/>
    <w:rsid w:val="00BB6DD6"/>
    <w:rsid w:val="00BB7019"/>
    <w:rsid w:val="00BB704F"/>
    <w:rsid w:val="00BB71DD"/>
    <w:rsid w:val="00BB730A"/>
    <w:rsid w:val="00BB742A"/>
    <w:rsid w:val="00BB7AAB"/>
    <w:rsid w:val="00BB7D49"/>
    <w:rsid w:val="00BB7DC0"/>
    <w:rsid w:val="00BB7E5D"/>
    <w:rsid w:val="00BB7E76"/>
    <w:rsid w:val="00BB7F22"/>
    <w:rsid w:val="00BC02E1"/>
    <w:rsid w:val="00BC03F9"/>
    <w:rsid w:val="00BC1C94"/>
    <w:rsid w:val="00BC21A1"/>
    <w:rsid w:val="00BC2CE0"/>
    <w:rsid w:val="00BC35BB"/>
    <w:rsid w:val="00BC3779"/>
    <w:rsid w:val="00BC3873"/>
    <w:rsid w:val="00BC3A2D"/>
    <w:rsid w:val="00BC3A33"/>
    <w:rsid w:val="00BC3AF9"/>
    <w:rsid w:val="00BC3EA5"/>
    <w:rsid w:val="00BC429F"/>
    <w:rsid w:val="00BC463A"/>
    <w:rsid w:val="00BC4CA1"/>
    <w:rsid w:val="00BC506C"/>
    <w:rsid w:val="00BC551D"/>
    <w:rsid w:val="00BC5B6B"/>
    <w:rsid w:val="00BC60AE"/>
    <w:rsid w:val="00BC689F"/>
    <w:rsid w:val="00BC6A48"/>
    <w:rsid w:val="00BC6BA2"/>
    <w:rsid w:val="00BC6D3A"/>
    <w:rsid w:val="00BC6F26"/>
    <w:rsid w:val="00BC786D"/>
    <w:rsid w:val="00BC7A82"/>
    <w:rsid w:val="00BC7EEE"/>
    <w:rsid w:val="00BC7FC8"/>
    <w:rsid w:val="00BD02DA"/>
    <w:rsid w:val="00BD1083"/>
    <w:rsid w:val="00BD11F2"/>
    <w:rsid w:val="00BD1F8D"/>
    <w:rsid w:val="00BD20DA"/>
    <w:rsid w:val="00BD23DE"/>
    <w:rsid w:val="00BD295A"/>
    <w:rsid w:val="00BD299E"/>
    <w:rsid w:val="00BD2C70"/>
    <w:rsid w:val="00BD2DF0"/>
    <w:rsid w:val="00BD30C9"/>
    <w:rsid w:val="00BD30DA"/>
    <w:rsid w:val="00BD3806"/>
    <w:rsid w:val="00BD4007"/>
    <w:rsid w:val="00BD45C4"/>
    <w:rsid w:val="00BD4BA7"/>
    <w:rsid w:val="00BD4C1E"/>
    <w:rsid w:val="00BD4EA4"/>
    <w:rsid w:val="00BD50F2"/>
    <w:rsid w:val="00BD53E5"/>
    <w:rsid w:val="00BD62E0"/>
    <w:rsid w:val="00BD72D1"/>
    <w:rsid w:val="00BD7723"/>
    <w:rsid w:val="00BD7725"/>
    <w:rsid w:val="00BD780E"/>
    <w:rsid w:val="00BD7837"/>
    <w:rsid w:val="00BD7A43"/>
    <w:rsid w:val="00BD7D09"/>
    <w:rsid w:val="00BD7E45"/>
    <w:rsid w:val="00BE022E"/>
    <w:rsid w:val="00BE039E"/>
    <w:rsid w:val="00BE03AA"/>
    <w:rsid w:val="00BE0828"/>
    <w:rsid w:val="00BE0BB6"/>
    <w:rsid w:val="00BE1C28"/>
    <w:rsid w:val="00BE1D71"/>
    <w:rsid w:val="00BE2365"/>
    <w:rsid w:val="00BE2ACB"/>
    <w:rsid w:val="00BE2D4B"/>
    <w:rsid w:val="00BE33FC"/>
    <w:rsid w:val="00BE3788"/>
    <w:rsid w:val="00BE3D93"/>
    <w:rsid w:val="00BE4072"/>
    <w:rsid w:val="00BE440A"/>
    <w:rsid w:val="00BE457E"/>
    <w:rsid w:val="00BE4873"/>
    <w:rsid w:val="00BE4FF3"/>
    <w:rsid w:val="00BE5073"/>
    <w:rsid w:val="00BE507A"/>
    <w:rsid w:val="00BE5569"/>
    <w:rsid w:val="00BE56F3"/>
    <w:rsid w:val="00BE6C17"/>
    <w:rsid w:val="00BE6C99"/>
    <w:rsid w:val="00BE6F42"/>
    <w:rsid w:val="00BE7EA6"/>
    <w:rsid w:val="00BF0349"/>
    <w:rsid w:val="00BF125A"/>
    <w:rsid w:val="00BF1297"/>
    <w:rsid w:val="00BF13E4"/>
    <w:rsid w:val="00BF14C8"/>
    <w:rsid w:val="00BF1C6A"/>
    <w:rsid w:val="00BF1CFF"/>
    <w:rsid w:val="00BF2940"/>
    <w:rsid w:val="00BF2966"/>
    <w:rsid w:val="00BF2B30"/>
    <w:rsid w:val="00BF3014"/>
    <w:rsid w:val="00BF37F4"/>
    <w:rsid w:val="00BF380D"/>
    <w:rsid w:val="00BF3A0B"/>
    <w:rsid w:val="00BF3C0F"/>
    <w:rsid w:val="00BF3E09"/>
    <w:rsid w:val="00BF44A5"/>
    <w:rsid w:val="00BF4B1C"/>
    <w:rsid w:val="00BF50CC"/>
    <w:rsid w:val="00BF541E"/>
    <w:rsid w:val="00BF5B77"/>
    <w:rsid w:val="00BF6936"/>
    <w:rsid w:val="00BF69AA"/>
    <w:rsid w:val="00BF6C55"/>
    <w:rsid w:val="00BF6E71"/>
    <w:rsid w:val="00BF7196"/>
    <w:rsid w:val="00BF7584"/>
    <w:rsid w:val="00BF75B9"/>
    <w:rsid w:val="00BF7958"/>
    <w:rsid w:val="00BF7EE4"/>
    <w:rsid w:val="00C003D4"/>
    <w:rsid w:val="00C0048E"/>
    <w:rsid w:val="00C004A0"/>
    <w:rsid w:val="00C00511"/>
    <w:rsid w:val="00C008EE"/>
    <w:rsid w:val="00C019A6"/>
    <w:rsid w:val="00C02179"/>
    <w:rsid w:val="00C02DF9"/>
    <w:rsid w:val="00C02EC2"/>
    <w:rsid w:val="00C02EFD"/>
    <w:rsid w:val="00C0322F"/>
    <w:rsid w:val="00C0326E"/>
    <w:rsid w:val="00C03461"/>
    <w:rsid w:val="00C03F1E"/>
    <w:rsid w:val="00C044D6"/>
    <w:rsid w:val="00C049CB"/>
    <w:rsid w:val="00C04A48"/>
    <w:rsid w:val="00C04B34"/>
    <w:rsid w:val="00C05097"/>
    <w:rsid w:val="00C0522E"/>
    <w:rsid w:val="00C055D8"/>
    <w:rsid w:val="00C05732"/>
    <w:rsid w:val="00C0576B"/>
    <w:rsid w:val="00C05BC5"/>
    <w:rsid w:val="00C05D0A"/>
    <w:rsid w:val="00C05FB1"/>
    <w:rsid w:val="00C06694"/>
    <w:rsid w:val="00C0705C"/>
    <w:rsid w:val="00C0710A"/>
    <w:rsid w:val="00C073C4"/>
    <w:rsid w:val="00C0754B"/>
    <w:rsid w:val="00C103F5"/>
    <w:rsid w:val="00C1064F"/>
    <w:rsid w:val="00C106A9"/>
    <w:rsid w:val="00C10CC5"/>
    <w:rsid w:val="00C10F5A"/>
    <w:rsid w:val="00C11197"/>
    <w:rsid w:val="00C112DC"/>
    <w:rsid w:val="00C11373"/>
    <w:rsid w:val="00C11556"/>
    <w:rsid w:val="00C11BE0"/>
    <w:rsid w:val="00C11C1F"/>
    <w:rsid w:val="00C11EF2"/>
    <w:rsid w:val="00C122F4"/>
    <w:rsid w:val="00C12456"/>
    <w:rsid w:val="00C12A08"/>
    <w:rsid w:val="00C131E8"/>
    <w:rsid w:val="00C13242"/>
    <w:rsid w:val="00C133F7"/>
    <w:rsid w:val="00C137C6"/>
    <w:rsid w:val="00C13958"/>
    <w:rsid w:val="00C1442A"/>
    <w:rsid w:val="00C1454F"/>
    <w:rsid w:val="00C14A22"/>
    <w:rsid w:val="00C14BE9"/>
    <w:rsid w:val="00C1501B"/>
    <w:rsid w:val="00C15080"/>
    <w:rsid w:val="00C15377"/>
    <w:rsid w:val="00C1579C"/>
    <w:rsid w:val="00C15CC2"/>
    <w:rsid w:val="00C15E3E"/>
    <w:rsid w:val="00C16E10"/>
    <w:rsid w:val="00C16F81"/>
    <w:rsid w:val="00C17107"/>
    <w:rsid w:val="00C172CF"/>
    <w:rsid w:val="00C173E8"/>
    <w:rsid w:val="00C17897"/>
    <w:rsid w:val="00C1797C"/>
    <w:rsid w:val="00C17C6F"/>
    <w:rsid w:val="00C17DE9"/>
    <w:rsid w:val="00C2014A"/>
    <w:rsid w:val="00C203B2"/>
    <w:rsid w:val="00C219EA"/>
    <w:rsid w:val="00C21FD2"/>
    <w:rsid w:val="00C22069"/>
    <w:rsid w:val="00C22780"/>
    <w:rsid w:val="00C228BC"/>
    <w:rsid w:val="00C2290B"/>
    <w:rsid w:val="00C22C4C"/>
    <w:rsid w:val="00C2367B"/>
    <w:rsid w:val="00C23833"/>
    <w:rsid w:val="00C23933"/>
    <w:rsid w:val="00C239B5"/>
    <w:rsid w:val="00C242B2"/>
    <w:rsid w:val="00C26469"/>
    <w:rsid w:val="00C265FA"/>
    <w:rsid w:val="00C26675"/>
    <w:rsid w:val="00C268C7"/>
    <w:rsid w:val="00C26BB0"/>
    <w:rsid w:val="00C26DF7"/>
    <w:rsid w:val="00C270CC"/>
    <w:rsid w:val="00C275F8"/>
    <w:rsid w:val="00C2762A"/>
    <w:rsid w:val="00C27A2F"/>
    <w:rsid w:val="00C27A45"/>
    <w:rsid w:val="00C27BB6"/>
    <w:rsid w:val="00C27CF6"/>
    <w:rsid w:val="00C27FCF"/>
    <w:rsid w:val="00C30B94"/>
    <w:rsid w:val="00C319AF"/>
    <w:rsid w:val="00C31A6F"/>
    <w:rsid w:val="00C31AC4"/>
    <w:rsid w:val="00C3202B"/>
    <w:rsid w:val="00C321A9"/>
    <w:rsid w:val="00C3246E"/>
    <w:rsid w:val="00C325BA"/>
    <w:rsid w:val="00C3284B"/>
    <w:rsid w:val="00C32D2F"/>
    <w:rsid w:val="00C32D68"/>
    <w:rsid w:val="00C33828"/>
    <w:rsid w:val="00C33B27"/>
    <w:rsid w:val="00C33B33"/>
    <w:rsid w:val="00C33B6C"/>
    <w:rsid w:val="00C33D7B"/>
    <w:rsid w:val="00C34079"/>
    <w:rsid w:val="00C3447E"/>
    <w:rsid w:val="00C346AD"/>
    <w:rsid w:val="00C35167"/>
    <w:rsid w:val="00C3533E"/>
    <w:rsid w:val="00C355E2"/>
    <w:rsid w:val="00C3608F"/>
    <w:rsid w:val="00C367DB"/>
    <w:rsid w:val="00C36827"/>
    <w:rsid w:val="00C401CF"/>
    <w:rsid w:val="00C40234"/>
    <w:rsid w:val="00C40754"/>
    <w:rsid w:val="00C40E5E"/>
    <w:rsid w:val="00C40E7E"/>
    <w:rsid w:val="00C411BD"/>
    <w:rsid w:val="00C417D0"/>
    <w:rsid w:val="00C41B16"/>
    <w:rsid w:val="00C420C6"/>
    <w:rsid w:val="00C421AA"/>
    <w:rsid w:val="00C421F8"/>
    <w:rsid w:val="00C4227D"/>
    <w:rsid w:val="00C42658"/>
    <w:rsid w:val="00C433CB"/>
    <w:rsid w:val="00C43647"/>
    <w:rsid w:val="00C4379F"/>
    <w:rsid w:val="00C43A06"/>
    <w:rsid w:val="00C44E96"/>
    <w:rsid w:val="00C44ECE"/>
    <w:rsid w:val="00C45162"/>
    <w:rsid w:val="00C452C4"/>
    <w:rsid w:val="00C45782"/>
    <w:rsid w:val="00C45804"/>
    <w:rsid w:val="00C459F6"/>
    <w:rsid w:val="00C45A5E"/>
    <w:rsid w:val="00C45FE1"/>
    <w:rsid w:val="00C4604A"/>
    <w:rsid w:val="00C46668"/>
    <w:rsid w:val="00C4688E"/>
    <w:rsid w:val="00C46AE1"/>
    <w:rsid w:val="00C4702A"/>
    <w:rsid w:val="00C470E4"/>
    <w:rsid w:val="00C4742D"/>
    <w:rsid w:val="00C4785B"/>
    <w:rsid w:val="00C47FF9"/>
    <w:rsid w:val="00C50502"/>
    <w:rsid w:val="00C5074F"/>
    <w:rsid w:val="00C508FA"/>
    <w:rsid w:val="00C5094A"/>
    <w:rsid w:val="00C50ADF"/>
    <w:rsid w:val="00C50B5E"/>
    <w:rsid w:val="00C50EC4"/>
    <w:rsid w:val="00C51091"/>
    <w:rsid w:val="00C5137C"/>
    <w:rsid w:val="00C51492"/>
    <w:rsid w:val="00C518F5"/>
    <w:rsid w:val="00C51AA7"/>
    <w:rsid w:val="00C51B05"/>
    <w:rsid w:val="00C51F78"/>
    <w:rsid w:val="00C523FB"/>
    <w:rsid w:val="00C526A7"/>
    <w:rsid w:val="00C52FBC"/>
    <w:rsid w:val="00C53A29"/>
    <w:rsid w:val="00C53E2A"/>
    <w:rsid w:val="00C53F4F"/>
    <w:rsid w:val="00C54574"/>
    <w:rsid w:val="00C546AE"/>
    <w:rsid w:val="00C5529A"/>
    <w:rsid w:val="00C55DF9"/>
    <w:rsid w:val="00C55FAB"/>
    <w:rsid w:val="00C5729F"/>
    <w:rsid w:val="00C57570"/>
    <w:rsid w:val="00C57727"/>
    <w:rsid w:val="00C579A9"/>
    <w:rsid w:val="00C57BD9"/>
    <w:rsid w:val="00C60644"/>
    <w:rsid w:val="00C6067A"/>
    <w:rsid w:val="00C606E1"/>
    <w:rsid w:val="00C60BFC"/>
    <w:rsid w:val="00C60CE5"/>
    <w:rsid w:val="00C60EB9"/>
    <w:rsid w:val="00C60FBD"/>
    <w:rsid w:val="00C612FF"/>
    <w:rsid w:val="00C6202D"/>
    <w:rsid w:val="00C6207D"/>
    <w:rsid w:val="00C620EA"/>
    <w:rsid w:val="00C6231C"/>
    <w:rsid w:val="00C62411"/>
    <w:rsid w:val="00C624FE"/>
    <w:rsid w:val="00C62570"/>
    <w:rsid w:val="00C62A65"/>
    <w:rsid w:val="00C6314B"/>
    <w:rsid w:val="00C634D7"/>
    <w:rsid w:val="00C63B8D"/>
    <w:rsid w:val="00C64E28"/>
    <w:rsid w:val="00C65B09"/>
    <w:rsid w:val="00C6684E"/>
    <w:rsid w:val="00C66850"/>
    <w:rsid w:val="00C66B8C"/>
    <w:rsid w:val="00C66CF8"/>
    <w:rsid w:val="00C66EF8"/>
    <w:rsid w:val="00C67353"/>
    <w:rsid w:val="00C67A70"/>
    <w:rsid w:val="00C67CEF"/>
    <w:rsid w:val="00C67D15"/>
    <w:rsid w:val="00C700C7"/>
    <w:rsid w:val="00C700E1"/>
    <w:rsid w:val="00C7035D"/>
    <w:rsid w:val="00C70A3C"/>
    <w:rsid w:val="00C70BD7"/>
    <w:rsid w:val="00C71F8A"/>
    <w:rsid w:val="00C71F8F"/>
    <w:rsid w:val="00C723B6"/>
    <w:rsid w:val="00C723CC"/>
    <w:rsid w:val="00C72B7F"/>
    <w:rsid w:val="00C732AD"/>
    <w:rsid w:val="00C73E21"/>
    <w:rsid w:val="00C740D9"/>
    <w:rsid w:val="00C7417C"/>
    <w:rsid w:val="00C745CF"/>
    <w:rsid w:val="00C748BB"/>
    <w:rsid w:val="00C74D4E"/>
    <w:rsid w:val="00C74E12"/>
    <w:rsid w:val="00C756A5"/>
    <w:rsid w:val="00C75739"/>
    <w:rsid w:val="00C757E1"/>
    <w:rsid w:val="00C75967"/>
    <w:rsid w:val="00C75B55"/>
    <w:rsid w:val="00C7607E"/>
    <w:rsid w:val="00C76120"/>
    <w:rsid w:val="00C764F4"/>
    <w:rsid w:val="00C76BF6"/>
    <w:rsid w:val="00C76E94"/>
    <w:rsid w:val="00C76FB9"/>
    <w:rsid w:val="00C770D9"/>
    <w:rsid w:val="00C77669"/>
    <w:rsid w:val="00C777DA"/>
    <w:rsid w:val="00C77886"/>
    <w:rsid w:val="00C77D8A"/>
    <w:rsid w:val="00C81218"/>
    <w:rsid w:val="00C81383"/>
    <w:rsid w:val="00C81643"/>
    <w:rsid w:val="00C81BB5"/>
    <w:rsid w:val="00C822EA"/>
    <w:rsid w:val="00C824E7"/>
    <w:rsid w:val="00C829E3"/>
    <w:rsid w:val="00C82D45"/>
    <w:rsid w:val="00C8340B"/>
    <w:rsid w:val="00C836FA"/>
    <w:rsid w:val="00C83E11"/>
    <w:rsid w:val="00C842F3"/>
    <w:rsid w:val="00C843F7"/>
    <w:rsid w:val="00C8478B"/>
    <w:rsid w:val="00C84F5D"/>
    <w:rsid w:val="00C85445"/>
    <w:rsid w:val="00C855CA"/>
    <w:rsid w:val="00C85D16"/>
    <w:rsid w:val="00C86185"/>
    <w:rsid w:val="00C86559"/>
    <w:rsid w:val="00C868CD"/>
    <w:rsid w:val="00C86B62"/>
    <w:rsid w:val="00C86C7C"/>
    <w:rsid w:val="00C8763A"/>
    <w:rsid w:val="00C87CF0"/>
    <w:rsid w:val="00C87D22"/>
    <w:rsid w:val="00C90622"/>
    <w:rsid w:val="00C90A84"/>
    <w:rsid w:val="00C90A85"/>
    <w:rsid w:val="00C90B9C"/>
    <w:rsid w:val="00C90CB3"/>
    <w:rsid w:val="00C90D1C"/>
    <w:rsid w:val="00C90DB3"/>
    <w:rsid w:val="00C90ED2"/>
    <w:rsid w:val="00C91593"/>
    <w:rsid w:val="00C918A2"/>
    <w:rsid w:val="00C91949"/>
    <w:rsid w:val="00C91DBA"/>
    <w:rsid w:val="00C91E19"/>
    <w:rsid w:val="00C91EE5"/>
    <w:rsid w:val="00C91EF6"/>
    <w:rsid w:val="00C92158"/>
    <w:rsid w:val="00C923DB"/>
    <w:rsid w:val="00C923DC"/>
    <w:rsid w:val="00C937C1"/>
    <w:rsid w:val="00C93B02"/>
    <w:rsid w:val="00C93FA0"/>
    <w:rsid w:val="00C93FE5"/>
    <w:rsid w:val="00C9408B"/>
    <w:rsid w:val="00C9420B"/>
    <w:rsid w:val="00C94276"/>
    <w:rsid w:val="00C944DE"/>
    <w:rsid w:val="00C944E7"/>
    <w:rsid w:val="00C9481E"/>
    <w:rsid w:val="00C948F8"/>
    <w:rsid w:val="00C94D77"/>
    <w:rsid w:val="00C960C0"/>
    <w:rsid w:val="00C9621F"/>
    <w:rsid w:val="00C963AA"/>
    <w:rsid w:val="00C967E4"/>
    <w:rsid w:val="00C96B9C"/>
    <w:rsid w:val="00C96C41"/>
    <w:rsid w:val="00C96C45"/>
    <w:rsid w:val="00C970C0"/>
    <w:rsid w:val="00CA08D2"/>
    <w:rsid w:val="00CA0961"/>
    <w:rsid w:val="00CA1156"/>
    <w:rsid w:val="00CA11D5"/>
    <w:rsid w:val="00CA1FF0"/>
    <w:rsid w:val="00CA20CC"/>
    <w:rsid w:val="00CA21A8"/>
    <w:rsid w:val="00CA21D8"/>
    <w:rsid w:val="00CA2737"/>
    <w:rsid w:val="00CA38CC"/>
    <w:rsid w:val="00CA39EF"/>
    <w:rsid w:val="00CA3A19"/>
    <w:rsid w:val="00CA3B3A"/>
    <w:rsid w:val="00CA3BD0"/>
    <w:rsid w:val="00CA3E82"/>
    <w:rsid w:val="00CA42EA"/>
    <w:rsid w:val="00CA443F"/>
    <w:rsid w:val="00CA494A"/>
    <w:rsid w:val="00CA4A3E"/>
    <w:rsid w:val="00CA4AA6"/>
    <w:rsid w:val="00CA53BC"/>
    <w:rsid w:val="00CA545F"/>
    <w:rsid w:val="00CA5B76"/>
    <w:rsid w:val="00CA60E1"/>
    <w:rsid w:val="00CA638F"/>
    <w:rsid w:val="00CA6517"/>
    <w:rsid w:val="00CA6CA4"/>
    <w:rsid w:val="00CA6E5A"/>
    <w:rsid w:val="00CA7087"/>
    <w:rsid w:val="00CA70A9"/>
    <w:rsid w:val="00CA770E"/>
    <w:rsid w:val="00CA7857"/>
    <w:rsid w:val="00CA79C5"/>
    <w:rsid w:val="00CA7A8A"/>
    <w:rsid w:val="00CA7BEC"/>
    <w:rsid w:val="00CA7FBE"/>
    <w:rsid w:val="00CB093E"/>
    <w:rsid w:val="00CB0E71"/>
    <w:rsid w:val="00CB1946"/>
    <w:rsid w:val="00CB1BF7"/>
    <w:rsid w:val="00CB205C"/>
    <w:rsid w:val="00CB26A8"/>
    <w:rsid w:val="00CB335D"/>
    <w:rsid w:val="00CB3539"/>
    <w:rsid w:val="00CB37DA"/>
    <w:rsid w:val="00CB431C"/>
    <w:rsid w:val="00CB4959"/>
    <w:rsid w:val="00CB4C71"/>
    <w:rsid w:val="00CB4DD9"/>
    <w:rsid w:val="00CB4E0E"/>
    <w:rsid w:val="00CB4E20"/>
    <w:rsid w:val="00CB5276"/>
    <w:rsid w:val="00CB5511"/>
    <w:rsid w:val="00CB5A31"/>
    <w:rsid w:val="00CB5B2B"/>
    <w:rsid w:val="00CB5C55"/>
    <w:rsid w:val="00CB5DB5"/>
    <w:rsid w:val="00CB5E3E"/>
    <w:rsid w:val="00CB610B"/>
    <w:rsid w:val="00CB61E3"/>
    <w:rsid w:val="00CB6B13"/>
    <w:rsid w:val="00CB6DA8"/>
    <w:rsid w:val="00CB733B"/>
    <w:rsid w:val="00CB7654"/>
    <w:rsid w:val="00CB7FDC"/>
    <w:rsid w:val="00CC0759"/>
    <w:rsid w:val="00CC0B0C"/>
    <w:rsid w:val="00CC0C4B"/>
    <w:rsid w:val="00CC1093"/>
    <w:rsid w:val="00CC1344"/>
    <w:rsid w:val="00CC1A5E"/>
    <w:rsid w:val="00CC1FC4"/>
    <w:rsid w:val="00CC1FE5"/>
    <w:rsid w:val="00CC1FF5"/>
    <w:rsid w:val="00CC2A09"/>
    <w:rsid w:val="00CC2C42"/>
    <w:rsid w:val="00CC2C9D"/>
    <w:rsid w:val="00CC2EED"/>
    <w:rsid w:val="00CC3165"/>
    <w:rsid w:val="00CC3449"/>
    <w:rsid w:val="00CC3B8B"/>
    <w:rsid w:val="00CC3D41"/>
    <w:rsid w:val="00CC3EE1"/>
    <w:rsid w:val="00CC4034"/>
    <w:rsid w:val="00CC416E"/>
    <w:rsid w:val="00CC42C1"/>
    <w:rsid w:val="00CC4473"/>
    <w:rsid w:val="00CC4A01"/>
    <w:rsid w:val="00CC4C18"/>
    <w:rsid w:val="00CC4D18"/>
    <w:rsid w:val="00CC5047"/>
    <w:rsid w:val="00CC52C6"/>
    <w:rsid w:val="00CC53A3"/>
    <w:rsid w:val="00CC67C0"/>
    <w:rsid w:val="00CC687C"/>
    <w:rsid w:val="00CC6DAA"/>
    <w:rsid w:val="00CC700A"/>
    <w:rsid w:val="00CC7979"/>
    <w:rsid w:val="00CC7C68"/>
    <w:rsid w:val="00CD0246"/>
    <w:rsid w:val="00CD0A4B"/>
    <w:rsid w:val="00CD0B78"/>
    <w:rsid w:val="00CD0F59"/>
    <w:rsid w:val="00CD10B9"/>
    <w:rsid w:val="00CD13DF"/>
    <w:rsid w:val="00CD1616"/>
    <w:rsid w:val="00CD19BF"/>
    <w:rsid w:val="00CD1D70"/>
    <w:rsid w:val="00CD219E"/>
    <w:rsid w:val="00CD24AF"/>
    <w:rsid w:val="00CD29D4"/>
    <w:rsid w:val="00CD3224"/>
    <w:rsid w:val="00CD3598"/>
    <w:rsid w:val="00CD3B8B"/>
    <w:rsid w:val="00CD3C93"/>
    <w:rsid w:val="00CD3F4F"/>
    <w:rsid w:val="00CD40E9"/>
    <w:rsid w:val="00CD4601"/>
    <w:rsid w:val="00CD4915"/>
    <w:rsid w:val="00CD49FB"/>
    <w:rsid w:val="00CD4B93"/>
    <w:rsid w:val="00CD4F75"/>
    <w:rsid w:val="00CD5899"/>
    <w:rsid w:val="00CD5A34"/>
    <w:rsid w:val="00CD5AC0"/>
    <w:rsid w:val="00CD5EEE"/>
    <w:rsid w:val="00CD678E"/>
    <w:rsid w:val="00CD69EC"/>
    <w:rsid w:val="00CD6A95"/>
    <w:rsid w:val="00CD6C86"/>
    <w:rsid w:val="00CD756D"/>
    <w:rsid w:val="00CD78D9"/>
    <w:rsid w:val="00CD7DFE"/>
    <w:rsid w:val="00CD7F52"/>
    <w:rsid w:val="00CE05C2"/>
    <w:rsid w:val="00CE07C0"/>
    <w:rsid w:val="00CE0860"/>
    <w:rsid w:val="00CE0A14"/>
    <w:rsid w:val="00CE0ADB"/>
    <w:rsid w:val="00CE17FA"/>
    <w:rsid w:val="00CE18E7"/>
    <w:rsid w:val="00CE1AB7"/>
    <w:rsid w:val="00CE1E35"/>
    <w:rsid w:val="00CE1E66"/>
    <w:rsid w:val="00CE211B"/>
    <w:rsid w:val="00CE286D"/>
    <w:rsid w:val="00CE2FF5"/>
    <w:rsid w:val="00CE41BC"/>
    <w:rsid w:val="00CE451B"/>
    <w:rsid w:val="00CE506F"/>
    <w:rsid w:val="00CE539E"/>
    <w:rsid w:val="00CE5D2C"/>
    <w:rsid w:val="00CE5E74"/>
    <w:rsid w:val="00CE608E"/>
    <w:rsid w:val="00CE6561"/>
    <w:rsid w:val="00CE678B"/>
    <w:rsid w:val="00CE686E"/>
    <w:rsid w:val="00CE68C8"/>
    <w:rsid w:val="00CE6900"/>
    <w:rsid w:val="00CE6E71"/>
    <w:rsid w:val="00CE7011"/>
    <w:rsid w:val="00CE7938"/>
    <w:rsid w:val="00CE7AA8"/>
    <w:rsid w:val="00CE7C8E"/>
    <w:rsid w:val="00CF0E3C"/>
    <w:rsid w:val="00CF1211"/>
    <w:rsid w:val="00CF18E7"/>
    <w:rsid w:val="00CF1EAE"/>
    <w:rsid w:val="00CF2498"/>
    <w:rsid w:val="00CF2865"/>
    <w:rsid w:val="00CF2EDF"/>
    <w:rsid w:val="00CF3022"/>
    <w:rsid w:val="00CF360A"/>
    <w:rsid w:val="00CF3640"/>
    <w:rsid w:val="00CF38AF"/>
    <w:rsid w:val="00CF39F4"/>
    <w:rsid w:val="00CF3F9C"/>
    <w:rsid w:val="00CF473C"/>
    <w:rsid w:val="00CF4E61"/>
    <w:rsid w:val="00CF4F23"/>
    <w:rsid w:val="00CF515A"/>
    <w:rsid w:val="00CF56AB"/>
    <w:rsid w:val="00CF57E0"/>
    <w:rsid w:val="00CF5C82"/>
    <w:rsid w:val="00CF5FE5"/>
    <w:rsid w:val="00CF63DB"/>
    <w:rsid w:val="00CF66BE"/>
    <w:rsid w:val="00CF68CF"/>
    <w:rsid w:val="00CF69D4"/>
    <w:rsid w:val="00CF6B83"/>
    <w:rsid w:val="00CF6C42"/>
    <w:rsid w:val="00CF7124"/>
    <w:rsid w:val="00CF7477"/>
    <w:rsid w:val="00CF780B"/>
    <w:rsid w:val="00CF7C37"/>
    <w:rsid w:val="00D01A07"/>
    <w:rsid w:val="00D01AF1"/>
    <w:rsid w:val="00D01FD3"/>
    <w:rsid w:val="00D02057"/>
    <w:rsid w:val="00D02247"/>
    <w:rsid w:val="00D024FD"/>
    <w:rsid w:val="00D0282F"/>
    <w:rsid w:val="00D029A1"/>
    <w:rsid w:val="00D02C62"/>
    <w:rsid w:val="00D02CD1"/>
    <w:rsid w:val="00D033E0"/>
    <w:rsid w:val="00D036CD"/>
    <w:rsid w:val="00D04607"/>
    <w:rsid w:val="00D047E8"/>
    <w:rsid w:val="00D04B11"/>
    <w:rsid w:val="00D05118"/>
    <w:rsid w:val="00D05401"/>
    <w:rsid w:val="00D06324"/>
    <w:rsid w:val="00D06B44"/>
    <w:rsid w:val="00D06E2C"/>
    <w:rsid w:val="00D07919"/>
    <w:rsid w:val="00D07946"/>
    <w:rsid w:val="00D1037C"/>
    <w:rsid w:val="00D1062D"/>
    <w:rsid w:val="00D10850"/>
    <w:rsid w:val="00D10A6F"/>
    <w:rsid w:val="00D10AA3"/>
    <w:rsid w:val="00D10CB9"/>
    <w:rsid w:val="00D119F7"/>
    <w:rsid w:val="00D11D31"/>
    <w:rsid w:val="00D11FAD"/>
    <w:rsid w:val="00D122D5"/>
    <w:rsid w:val="00D12707"/>
    <w:rsid w:val="00D12954"/>
    <w:rsid w:val="00D12F2F"/>
    <w:rsid w:val="00D13108"/>
    <w:rsid w:val="00D13234"/>
    <w:rsid w:val="00D13388"/>
    <w:rsid w:val="00D1448C"/>
    <w:rsid w:val="00D14886"/>
    <w:rsid w:val="00D14E92"/>
    <w:rsid w:val="00D151CA"/>
    <w:rsid w:val="00D15533"/>
    <w:rsid w:val="00D15FC3"/>
    <w:rsid w:val="00D16151"/>
    <w:rsid w:val="00D163AA"/>
    <w:rsid w:val="00D16503"/>
    <w:rsid w:val="00D169EA"/>
    <w:rsid w:val="00D16CA9"/>
    <w:rsid w:val="00D170F5"/>
    <w:rsid w:val="00D17D45"/>
    <w:rsid w:val="00D2055B"/>
    <w:rsid w:val="00D20E68"/>
    <w:rsid w:val="00D21338"/>
    <w:rsid w:val="00D2159F"/>
    <w:rsid w:val="00D218F3"/>
    <w:rsid w:val="00D223F9"/>
    <w:rsid w:val="00D226E6"/>
    <w:rsid w:val="00D22D42"/>
    <w:rsid w:val="00D22FFE"/>
    <w:rsid w:val="00D23894"/>
    <w:rsid w:val="00D23D9A"/>
    <w:rsid w:val="00D2405D"/>
    <w:rsid w:val="00D24E88"/>
    <w:rsid w:val="00D25F6B"/>
    <w:rsid w:val="00D2675C"/>
    <w:rsid w:val="00D268CC"/>
    <w:rsid w:val="00D26B83"/>
    <w:rsid w:val="00D26ED7"/>
    <w:rsid w:val="00D271CC"/>
    <w:rsid w:val="00D2779E"/>
    <w:rsid w:val="00D277E7"/>
    <w:rsid w:val="00D279DC"/>
    <w:rsid w:val="00D27DC0"/>
    <w:rsid w:val="00D30804"/>
    <w:rsid w:val="00D3089E"/>
    <w:rsid w:val="00D30AC6"/>
    <w:rsid w:val="00D31E1F"/>
    <w:rsid w:val="00D31E39"/>
    <w:rsid w:val="00D329A6"/>
    <w:rsid w:val="00D32A59"/>
    <w:rsid w:val="00D32A8E"/>
    <w:rsid w:val="00D330DA"/>
    <w:rsid w:val="00D33515"/>
    <w:rsid w:val="00D335A1"/>
    <w:rsid w:val="00D33A89"/>
    <w:rsid w:val="00D33D03"/>
    <w:rsid w:val="00D33ED3"/>
    <w:rsid w:val="00D34298"/>
    <w:rsid w:val="00D347D2"/>
    <w:rsid w:val="00D347D5"/>
    <w:rsid w:val="00D34B8B"/>
    <w:rsid w:val="00D34D9F"/>
    <w:rsid w:val="00D34DAC"/>
    <w:rsid w:val="00D351BA"/>
    <w:rsid w:val="00D35344"/>
    <w:rsid w:val="00D357B9"/>
    <w:rsid w:val="00D358CB"/>
    <w:rsid w:val="00D359B2"/>
    <w:rsid w:val="00D35DED"/>
    <w:rsid w:val="00D35DFC"/>
    <w:rsid w:val="00D35FC5"/>
    <w:rsid w:val="00D363D8"/>
    <w:rsid w:val="00D364AA"/>
    <w:rsid w:val="00D36618"/>
    <w:rsid w:val="00D36D07"/>
    <w:rsid w:val="00D36ED1"/>
    <w:rsid w:val="00D37071"/>
    <w:rsid w:val="00D3711B"/>
    <w:rsid w:val="00D37673"/>
    <w:rsid w:val="00D37BEE"/>
    <w:rsid w:val="00D37CC6"/>
    <w:rsid w:val="00D40120"/>
    <w:rsid w:val="00D405FB"/>
    <w:rsid w:val="00D40C40"/>
    <w:rsid w:val="00D41380"/>
    <w:rsid w:val="00D4159E"/>
    <w:rsid w:val="00D417C9"/>
    <w:rsid w:val="00D41AA9"/>
    <w:rsid w:val="00D425A8"/>
    <w:rsid w:val="00D425EA"/>
    <w:rsid w:val="00D429AE"/>
    <w:rsid w:val="00D434B2"/>
    <w:rsid w:val="00D4361D"/>
    <w:rsid w:val="00D43873"/>
    <w:rsid w:val="00D43B02"/>
    <w:rsid w:val="00D4505C"/>
    <w:rsid w:val="00D45687"/>
    <w:rsid w:val="00D45691"/>
    <w:rsid w:val="00D456CA"/>
    <w:rsid w:val="00D4581A"/>
    <w:rsid w:val="00D464EC"/>
    <w:rsid w:val="00D46C97"/>
    <w:rsid w:val="00D46D34"/>
    <w:rsid w:val="00D471CD"/>
    <w:rsid w:val="00D47576"/>
    <w:rsid w:val="00D478CB"/>
    <w:rsid w:val="00D47A6C"/>
    <w:rsid w:val="00D47DF5"/>
    <w:rsid w:val="00D47F5B"/>
    <w:rsid w:val="00D50167"/>
    <w:rsid w:val="00D50987"/>
    <w:rsid w:val="00D50DE0"/>
    <w:rsid w:val="00D50F9B"/>
    <w:rsid w:val="00D50FA3"/>
    <w:rsid w:val="00D511C3"/>
    <w:rsid w:val="00D5139B"/>
    <w:rsid w:val="00D518AB"/>
    <w:rsid w:val="00D521C1"/>
    <w:rsid w:val="00D522C9"/>
    <w:rsid w:val="00D522FD"/>
    <w:rsid w:val="00D525E4"/>
    <w:rsid w:val="00D52A2D"/>
    <w:rsid w:val="00D53C75"/>
    <w:rsid w:val="00D53D0A"/>
    <w:rsid w:val="00D542BC"/>
    <w:rsid w:val="00D5453B"/>
    <w:rsid w:val="00D5483C"/>
    <w:rsid w:val="00D551F4"/>
    <w:rsid w:val="00D55237"/>
    <w:rsid w:val="00D554E8"/>
    <w:rsid w:val="00D55C82"/>
    <w:rsid w:val="00D5695D"/>
    <w:rsid w:val="00D56EBB"/>
    <w:rsid w:val="00D56F1F"/>
    <w:rsid w:val="00D56FD9"/>
    <w:rsid w:val="00D57395"/>
    <w:rsid w:val="00D5743F"/>
    <w:rsid w:val="00D576E2"/>
    <w:rsid w:val="00D57703"/>
    <w:rsid w:val="00D57AE6"/>
    <w:rsid w:val="00D6035B"/>
    <w:rsid w:val="00D60662"/>
    <w:rsid w:val="00D607F8"/>
    <w:rsid w:val="00D60A9E"/>
    <w:rsid w:val="00D60BE6"/>
    <w:rsid w:val="00D61672"/>
    <w:rsid w:val="00D61913"/>
    <w:rsid w:val="00D61DDC"/>
    <w:rsid w:val="00D61ED3"/>
    <w:rsid w:val="00D61FB5"/>
    <w:rsid w:val="00D62632"/>
    <w:rsid w:val="00D62B24"/>
    <w:rsid w:val="00D62BE1"/>
    <w:rsid w:val="00D62FE3"/>
    <w:rsid w:val="00D63365"/>
    <w:rsid w:val="00D6367A"/>
    <w:rsid w:val="00D63D98"/>
    <w:rsid w:val="00D6439D"/>
    <w:rsid w:val="00D645BA"/>
    <w:rsid w:val="00D646F2"/>
    <w:rsid w:val="00D64C52"/>
    <w:rsid w:val="00D64E80"/>
    <w:rsid w:val="00D65216"/>
    <w:rsid w:val="00D65358"/>
    <w:rsid w:val="00D6549C"/>
    <w:rsid w:val="00D657EF"/>
    <w:rsid w:val="00D66B5C"/>
    <w:rsid w:val="00D66D8F"/>
    <w:rsid w:val="00D66FB1"/>
    <w:rsid w:val="00D672E7"/>
    <w:rsid w:val="00D67794"/>
    <w:rsid w:val="00D67B01"/>
    <w:rsid w:val="00D67E60"/>
    <w:rsid w:val="00D67F2D"/>
    <w:rsid w:val="00D67FE4"/>
    <w:rsid w:val="00D70A5C"/>
    <w:rsid w:val="00D70EC4"/>
    <w:rsid w:val="00D7111A"/>
    <w:rsid w:val="00D7115F"/>
    <w:rsid w:val="00D71358"/>
    <w:rsid w:val="00D71866"/>
    <w:rsid w:val="00D71991"/>
    <w:rsid w:val="00D71A13"/>
    <w:rsid w:val="00D71A5F"/>
    <w:rsid w:val="00D71C60"/>
    <w:rsid w:val="00D726C6"/>
    <w:rsid w:val="00D72BE3"/>
    <w:rsid w:val="00D737AC"/>
    <w:rsid w:val="00D737C8"/>
    <w:rsid w:val="00D73FCC"/>
    <w:rsid w:val="00D745BD"/>
    <w:rsid w:val="00D74623"/>
    <w:rsid w:val="00D747D7"/>
    <w:rsid w:val="00D7522D"/>
    <w:rsid w:val="00D75A98"/>
    <w:rsid w:val="00D75E8E"/>
    <w:rsid w:val="00D76051"/>
    <w:rsid w:val="00D764AF"/>
    <w:rsid w:val="00D765D9"/>
    <w:rsid w:val="00D767C9"/>
    <w:rsid w:val="00D7683D"/>
    <w:rsid w:val="00D76AED"/>
    <w:rsid w:val="00D76F24"/>
    <w:rsid w:val="00D779AA"/>
    <w:rsid w:val="00D77B48"/>
    <w:rsid w:val="00D77F37"/>
    <w:rsid w:val="00D80517"/>
    <w:rsid w:val="00D80D59"/>
    <w:rsid w:val="00D80FDC"/>
    <w:rsid w:val="00D816D7"/>
    <w:rsid w:val="00D81956"/>
    <w:rsid w:val="00D81F85"/>
    <w:rsid w:val="00D821E1"/>
    <w:rsid w:val="00D82A44"/>
    <w:rsid w:val="00D83073"/>
    <w:rsid w:val="00D83813"/>
    <w:rsid w:val="00D83879"/>
    <w:rsid w:val="00D83AAB"/>
    <w:rsid w:val="00D83C03"/>
    <w:rsid w:val="00D83F38"/>
    <w:rsid w:val="00D8405F"/>
    <w:rsid w:val="00D846AD"/>
    <w:rsid w:val="00D84FF0"/>
    <w:rsid w:val="00D85513"/>
    <w:rsid w:val="00D85592"/>
    <w:rsid w:val="00D8591E"/>
    <w:rsid w:val="00D859D9"/>
    <w:rsid w:val="00D862E6"/>
    <w:rsid w:val="00D86E90"/>
    <w:rsid w:val="00D8722F"/>
    <w:rsid w:val="00D875A9"/>
    <w:rsid w:val="00D875BA"/>
    <w:rsid w:val="00D879ED"/>
    <w:rsid w:val="00D87E45"/>
    <w:rsid w:val="00D87F13"/>
    <w:rsid w:val="00D90844"/>
    <w:rsid w:val="00D909E8"/>
    <w:rsid w:val="00D90BB2"/>
    <w:rsid w:val="00D90BCC"/>
    <w:rsid w:val="00D90CCE"/>
    <w:rsid w:val="00D90D75"/>
    <w:rsid w:val="00D90F8D"/>
    <w:rsid w:val="00D91138"/>
    <w:rsid w:val="00D918AA"/>
    <w:rsid w:val="00D91ABC"/>
    <w:rsid w:val="00D91D93"/>
    <w:rsid w:val="00D91DDC"/>
    <w:rsid w:val="00D91E04"/>
    <w:rsid w:val="00D9226F"/>
    <w:rsid w:val="00D927BC"/>
    <w:rsid w:val="00D92862"/>
    <w:rsid w:val="00D929CB"/>
    <w:rsid w:val="00D92DC8"/>
    <w:rsid w:val="00D92E55"/>
    <w:rsid w:val="00D930DD"/>
    <w:rsid w:val="00D93381"/>
    <w:rsid w:val="00D935EB"/>
    <w:rsid w:val="00D93739"/>
    <w:rsid w:val="00D93A1B"/>
    <w:rsid w:val="00D93EA5"/>
    <w:rsid w:val="00D94600"/>
    <w:rsid w:val="00D947D8"/>
    <w:rsid w:val="00D94AC5"/>
    <w:rsid w:val="00D94F9F"/>
    <w:rsid w:val="00D950B2"/>
    <w:rsid w:val="00D956CA"/>
    <w:rsid w:val="00D958BA"/>
    <w:rsid w:val="00D95AC2"/>
    <w:rsid w:val="00D95B74"/>
    <w:rsid w:val="00D96681"/>
    <w:rsid w:val="00D9683F"/>
    <w:rsid w:val="00D9695C"/>
    <w:rsid w:val="00D97839"/>
    <w:rsid w:val="00D97847"/>
    <w:rsid w:val="00D978A1"/>
    <w:rsid w:val="00D979A6"/>
    <w:rsid w:val="00D97A00"/>
    <w:rsid w:val="00D97BF1"/>
    <w:rsid w:val="00D97C6F"/>
    <w:rsid w:val="00DA05CE"/>
    <w:rsid w:val="00DA0B11"/>
    <w:rsid w:val="00DA0BE1"/>
    <w:rsid w:val="00DA1B90"/>
    <w:rsid w:val="00DA1E6A"/>
    <w:rsid w:val="00DA277F"/>
    <w:rsid w:val="00DA2A65"/>
    <w:rsid w:val="00DA2C6A"/>
    <w:rsid w:val="00DA2C8E"/>
    <w:rsid w:val="00DA3568"/>
    <w:rsid w:val="00DA36D2"/>
    <w:rsid w:val="00DA396F"/>
    <w:rsid w:val="00DA3D2F"/>
    <w:rsid w:val="00DA49C6"/>
    <w:rsid w:val="00DA4B47"/>
    <w:rsid w:val="00DA4BC5"/>
    <w:rsid w:val="00DA55C9"/>
    <w:rsid w:val="00DA576F"/>
    <w:rsid w:val="00DA57A9"/>
    <w:rsid w:val="00DA58CF"/>
    <w:rsid w:val="00DA5BD4"/>
    <w:rsid w:val="00DA5C66"/>
    <w:rsid w:val="00DA5E7E"/>
    <w:rsid w:val="00DA5FC3"/>
    <w:rsid w:val="00DA62E2"/>
    <w:rsid w:val="00DA62EC"/>
    <w:rsid w:val="00DA6592"/>
    <w:rsid w:val="00DA6A4E"/>
    <w:rsid w:val="00DA6D27"/>
    <w:rsid w:val="00DA6E0E"/>
    <w:rsid w:val="00DA6E59"/>
    <w:rsid w:val="00DA7274"/>
    <w:rsid w:val="00DA7C8F"/>
    <w:rsid w:val="00DB006A"/>
    <w:rsid w:val="00DB03C3"/>
    <w:rsid w:val="00DB05F4"/>
    <w:rsid w:val="00DB0DBA"/>
    <w:rsid w:val="00DB11B1"/>
    <w:rsid w:val="00DB1665"/>
    <w:rsid w:val="00DB178A"/>
    <w:rsid w:val="00DB1DDD"/>
    <w:rsid w:val="00DB1FC9"/>
    <w:rsid w:val="00DB2192"/>
    <w:rsid w:val="00DB21B3"/>
    <w:rsid w:val="00DB2331"/>
    <w:rsid w:val="00DB25B1"/>
    <w:rsid w:val="00DB28A3"/>
    <w:rsid w:val="00DB30CC"/>
    <w:rsid w:val="00DB3121"/>
    <w:rsid w:val="00DB338F"/>
    <w:rsid w:val="00DB35AF"/>
    <w:rsid w:val="00DB3D1D"/>
    <w:rsid w:val="00DB4446"/>
    <w:rsid w:val="00DB4C65"/>
    <w:rsid w:val="00DB4DF2"/>
    <w:rsid w:val="00DB57EB"/>
    <w:rsid w:val="00DB5A68"/>
    <w:rsid w:val="00DB6002"/>
    <w:rsid w:val="00DB6059"/>
    <w:rsid w:val="00DB67D5"/>
    <w:rsid w:val="00DB6A66"/>
    <w:rsid w:val="00DB70CC"/>
    <w:rsid w:val="00DB713F"/>
    <w:rsid w:val="00DB71ED"/>
    <w:rsid w:val="00DB753D"/>
    <w:rsid w:val="00DB794F"/>
    <w:rsid w:val="00DB7F25"/>
    <w:rsid w:val="00DC013C"/>
    <w:rsid w:val="00DC035A"/>
    <w:rsid w:val="00DC062C"/>
    <w:rsid w:val="00DC0B12"/>
    <w:rsid w:val="00DC0BF1"/>
    <w:rsid w:val="00DC0FE8"/>
    <w:rsid w:val="00DC1399"/>
    <w:rsid w:val="00DC17F0"/>
    <w:rsid w:val="00DC26E9"/>
    <w:rsid w:val="00DC328E"/>
    <w:rsid w:val="00DC35BF"/>
    <w:rsid w:val="00DC3797"/>
    <w:rsid w:val="00DC4505"/>
    <w:rsid w:val="00DC4B1A"/>
    <w:rsid w:val="00DC54F9"/>
    <w:rsid w:val="00DC55B1"/>
    <w:rsid w:val="00DC59FE"/>
    <w:rsid w:val="00DC5D67"/>
    <w:rsid w:val="00DC5D8F"/>
    <w:rsid w:val="00DC5E50"/>
    <w:rsid w:val="00DC624B"/>
    <w:rsid w:val="00DC6479"/>
    <w:rsid w:val="00DC754A"/>
    <w:rsid w:val="00DC798B"/>
    <w:rsid w:val="00DC7DF5"/>
    <w:rsid w:val="00DD0432"/>
    <w:rsid w:val="00DD0994"/>
    <w:rsid w:val="00DD0A76"/>
    <w:rsid w:val="00DD1407"/>
    <w:rsid w:val="00DD1446"/>
    <w:rsid w:val="00DD157B"/>
    <w:rsid w:val="00DD1DC4"/>
    <w:rsid w:val="00DD1DE8"/>
    <w:rsid w:val="00DD1EE3"/>
    <w:rsid w:val="00DD213E"/>
    <w:rsid w:val="00DD22FB"/>
    <w:rsid w:val="00DD2385"/>
    <w:rsid w:val="00DD2A17"/>
    <w:rsid w:val="00DD3044"/>
    <w:rsid w:val="00DD37F8"/>
    <w:rsid w:val="00DD3953"/>
    <w:rsid w:val="00DD3CDE"/>
    <w:rsid w:val="00DD3E61"/>
    <w:rsid w:val="00DD41A4"/>
    <w:rsid w:val="00DD41B3"/>
    <w:rsid w:val="00DD41BC"/>
    <w:rsid w:val="00DD42D6"/>
    <w:rsid w:val="00DD4442"/>
    <w:rsid w:val="00DD4573"/>
    <w:rsid w:val="00DD4769"/>
    <w:rsid w:val="00DD4D15"/>
    <w:rsid w:val="00DD563F"/>
    <w:rsid w:val="00DD56F2"/>
    <w:rsid w:val="00DD5CA8"/>
    <w:rsid w:val="00DD64C3"/>
    <w:rsid w:val="00DD6BCD"/>
    <w:rsid w:val="00DD7388"/>
    <w:rsid w:val="00DD798C"/>
    <w:rsid w:val="00DD7CB1"/>
    <w:rsid w:val="00DD7CB9"/>
    <w:rsid w:val="00DE0432"/>
    <w:rsid w:val="00DE1ADD"/>
    <w:rsid w:val="00DE2082"/>
    <w:rsid w:val="00DE2863"/>
    <w:rsid w:val="00DE2B41"/>
    <w:rsid w:val="00DE34B1"/>
    <w:rsid w:val="00DE3D55"/>
    <w:rsid w:val="00DE3D9C"/>
    <w:rsid w:val="00DE41D3"/>
    <w:rsid w:val="00DE49B1"/>
    <w:rsid w:val="00DE4AAB"/>
    <w:rsid w:val="00DE4B57"/>
    <w:rsid w:val="00DE506F"/>
    <w:rsid w:val="00DE50E4"/>
    <w:rsid w:val="00DE5119"/>
    <w:rsid w:val="00DE5142"/>
    <w:rsid w:val="00DE5519"/>
    <w:rsid w:val="00DE5AFD"/>
    <w:rsid w:val="00DE5EB5"/>
    <w:rsid w:val="00DE628C"/>
    <w:rsid w:val="00DE64A4"/>
    <w:rsid w:val="00DE7065"/>
    <w:rsid w:val="00DE717B"/>
    <w:rsid w:val="00DE71BD"/>
    <w:rsid w:val="00DE72B9"/>
    <w:rsid w:val="00DE7852"/>
    <w:rsid w:val="00DE7F26"/>
    <w:rsid w:val="00DF07A9"/>
    <w:rsid w:val="00DF0C72"/>
    <w:rsid w:val="00DF1292"/>
    <w:rsid w:val="00DF1BA2"/>
    <w:rsid w:val="00DF1E7D"/>
    <w:rsid w:val="00DF21ED"/>
    <w:rsid w:val="00DF2AF1"/>
    <w:rsid w:val="00DF2D61"/>
    <w:rsid w:val="00DF2E2F"/>
    <w:rsid w:val="00DF368E"/>
    <w:rsid w:val="00DF3DFC"/>
    <w:rsid w:val="00DF423B"/>
    <w:rsid w:val="00DF4586"/>
    <w:rsid w:val="00DF4633"/>
    <w:rsid w:val="00DF47BA"/>
    <w:rsid w:val="00DF4D86"/>
    <w:rsid w:val="00DF4E4B"/>
    <w:rsid w:val="00DF4F73"/>
    <w:rsid w:val="00DF5301"/>
    <w:rsid w:val="00DF53DD"/>
    <w:rsid w:val="00DF5964"/>
    <w:rsid w:val="00DF5A9C"/>
    <w:rsid w:val="00DF6322"/>
    <w:rsid w:val="00DF6AF9"/>
    <w:rsid w:val="00DF6F17"/>
    <w:rsid w:val="00DF71FB"/>
    <w:rsid w:val="00DF7280"/>
    <w:rsid w:val="00DF7398"/>
    <w:rsid w:val="00DF7E46"/>
    <w:rsid w:val="00E00041"/>
    <w:rsid w:val="00E007A0"/>
    <w:rsid w:val="00E007ED"/>
    <w:rsid w:val="00E00AE6"/>
    <w:rsid w:val="00E00D1E"/>
    <w:rsid w:val="00E00E35"/>
    <w:rsid w:val="00E01095"/>
    <w:rsid w:val="00E0135B"/>
    <w:rsid w:val="00E01A32"/>
    <w:rsid w:val="00E02532"/>
    <w:rsid w:val="00E02819"/>
    <w:rsid w:val="00E02AD0"/>
    <w:rsid w:val="00E0337D"/>
    <w:rsid w:val="00E044A5"/>
    <w:rsid w:val="00E044EB"/>
    <w:rsid w:val="00E0484E"/>
    <w:rsid w:val="00E04898"/>
    <w:rsid w:val="00E05032"/>
    <w:rsid w:val="00E05115"/>
    <w:rsid w:val="00E05BE5"/>
    <w:rsid w:val="00E0644C"/>
    <w:rsid w:val="00E06479"/>
    <w:rsid w:val="00E06603"/>
    <w:rsid w:val="00E06D4B"/>
    <w:rsid w:val="00E06EBD"/>
    <w:rsid w:val="00E07017"/>
    <w:rsid w:val="00E07183"/>
    <w:rsid w:val="00E072D5"/>
    <w:rsid w:val="00E0750F"/>
    <w:rsid w:val="00E07553"/>
    <w:rsid w:val="00E075EF"/>
    <w:rsid w:val="00E10049"/>
    <w:rsid w:val="00E1035A"/>
    <w:rsid w:val="00E1066D"/>
    <w:rsid w:val="00E1107F"/>
    <w:rsid w:val="00E123F7"/>
    <w:rsid w:val="00E125C3"/>
    <w:rsid w:val="00E12CBF"/>
    <w:rsid w:val="00E12D11"/>
    <w:rsid w:val="00E12F6D"/>
    <w:rsid w:val="00E1361C"/>
    <w:rsid w:val="00E137E3"/>
    <w:rsid w:val="00E14866"/>
    <w:rsid w:val="00E1487A"/>
    <w:rsid w:val="00E15001"/>
    <w:rsid w:val="00E150E2"/>
    <w:rsid w:val="00E156F7"/>
    <w:rsid w:val="00E15A70"/>
    <w:rsid w:val="00E1624B"/>
    <w:rsid w:val="00E164CC"/>
    <w:rsid w:val="00E168A5"/>
    <w:rsid w:val="00E169E6"/>
    <w:rsid w:val="00E16AAD"/>
    <w:rsid w:val="00E16C6A"/>
    <w:rsid w:val="00E16D4B"/>
    <w:rsid w:val="00E1717A"/>
    <w:rsid w:val="00E172E8"/>
    <w:rsid w:val="00E17F00"/>
    <w:rsid w:val="00E20018"/>
    <w:rsid w:val="00E203F1"/>
    <w:rsid w:val="00E20691"/>
    <w:rsid w:val="00E2071B"/>
    <w:rsid w:val="00E208ED"/>
    <w:rsid w:val="00E20B8F"/>
    <w:rsid w:val="00E210F9"/>
    <w:rsid w:val="00E21173"/>
    <w:rsid w:val="00E216F1"/>
    <w:rsid w:val="00E2182F"/>
    <w:rsid w:val="00E21AC7"/>
    <w:rsid w:val="00E21D9A"/>
    <w:rsid w:val="00E223A0"/>
    <w:rsid w:val="00E224E0"/>
    <w:rsid w:val="00E227F7"/>
    <w:rsid w:val="00E2281D"/>
    <w:rsid w:val="00E22BD1"/>
    <w:rsid w:val="00E22BDD"/>
    <w:rsid w:val="00E23192"/>
    <w:rsid w:val="00E23300"/>
    <w:rsid w:val="00E2355D"/>
    <w:rsid w:val="00E23D6D"/>
    <w:rsid w:val="00E23E13"/>
    <w:rsid w:val="00E2456E"/>
    <w:rsid w:val="00E24ACE"/>
    <w:rsid w:val="00E24D1C"/>
    <w:rsid w:val="00E24E14"/>
    <w:rsid w:val="00E24EA7"/>
    <w:rsid w:val="00E258F8"/>
    <w:rsid w:val="00E25C38"/>
    <w:rsid w:val="00E25E0C"/>
    <w:rsid w:val="00E26118"/>
    <w:rsid w:val="00E261A9"/>
    <w:rsid w:val="00E26478"/>
    <w:rsid w:val="00E26A2C"/>
    <w:rsid w:val="00E26AA9"/>
    <w:rsid w:val="00E26CA0"/>
    <w:rsid w:val="00E272FB"/>
    <w:rsid w:val="00E3007E"/>
    <w:rsid w:val="00E301AF"/>
    <w:rsid w:val="00E30A1B"/>
    <w:rsid w:val="00E30B58"/>
    <w:rsid w:val="00E310CD"/>
    <w:rsid w:val="00E31210"/>
    <w:rsid w:val="00E31831"/>
    <w:rsid w:val="00E31887"/>
    <w:rsid w:val="00E321BC"/>
    <w:rsid w:val="00E322FA"/>
    <w:rsid w:val="00E3265D"/>
    <w:rsid w:val="00E327F1"/>
    <w:rsid w:val="00E32B41"/>
    <w:rsid w:val="00E32D13"/>
    <w:rsid w:val="00E32EC2"/>
    <w:rsid w:val="00E33003"/>
    <w:rsid w:val="00E3324F"/>
    <w:rsid w:val="00E33C12"/>
    <w:rsid w:val="00E33DAE"/>
    <w:rsid w:val="00E33E9B"/>
    <w:rsid w:val="00E3416C"/>
    <w:rsid w:val="00E3418A"/>
    <w:rsid w:val="00E347D2"/>
    <w:rsid w:val="00E3582E"/>
    <w:rsid w:val="00E36045"/>
    <w:rsid w:val="00E361B8"/>
    <w:rsid w:val="00E36991"/>
    <w:rsid w:val="00E36999"/>
    <w:rsid w:val="00E36BDF"/>
    <w:rsid w:val="00E36C7D"/>
    <w:rsid w:val="00E37051"/>
    <w:rsid w:val="00E37C42"/>
    <w:rsid w:val="00E37FDA"/>
    <w:rsid w:val="00E40159"/>
    <w:rsid w:val="00E402A1"/>
    <w:rsid w:val="00E408BF"/>
    <w:rsid w:val="00E40CC6"/>
    <w:rsid w:val="00E40E11"/>
    <w:rsid w:val="00E40E1F"/>
    <w:rsid w:val="00E41080"/>
    <w:rsid w:val="00E41639"/>
    <w:rsid w:val="00E41A6B"/>
    <w:rsid w:val="00E41B6A"/>
    <w:rsid w:val="00E41E42"/>
    <w:rsid w:val="00E41FB8"/>
    <w:rsid w:val="00E42001"/>
    <w:rsid w:val="00E42A13"/>
    <w:rsid w:val="00E42B8D"/>
    <w:rsid w:val="00E42CE2"/>
    <w:rsid w:val="00E435B7"/>
    <w:rsid w:val="00E436ED"/>
    <w:rsid w:val="00E43759"/>
    <w:rsid w:val="00E43CB5"/>
    <w:rsid w:val="00E43ED5"/>
    <w:rsid w:val="00E43F69"/>
    <w:rsid w:val="00E44170"/>
    <w:rsid w:val="00E44174"/>
    <w:rsid w:val="00E44696"/>
    <w:rsid w:val="00E447A7"/>
    <w:rsid w:val="00E44882"/>
    <w:rsid w:val="00E448A5"/>
    <w:rsid w:val="00E44CA2"/>
    <w:rsid w:val="00E44CD6"/>
    <w:rsid w:val="00E4504D"/>
    <w:rsid w:val="00E455F6"/>
    <w:rsid w:val="00E458A8"/>
    <w:rsid w:val="00E46328"/>
    <w:rsid w:val="00E4676D"/>
    <w:rsid w:val="00E46907"/>
    <w:rsid w:val="00E46987"/>
    <w:rsid w:val="00E46A6C"/>
    <w:rsid w:val="00E46C91"/>
    <w:rsid w:val="00E46CA0"/>
    <w:rsid w:val="00E46EAB"/>
    <w:rsid w:val="00E471CA"/>
    <w:rsid w:val="00E473BA"/>
    <w:rsid w:val="00E47A17"/>
    <w:rsid w:val="00E47BD8"/>
    <w:rsid w:val="00E5020F"/>
    <w:rsid w:val="00E5074B"/>
    <w:rsid w:val="00E50821"/>
    <w:rsid w:val="00E50A64"/>
    <w:rsid w:val="00E50CF0"/>
    <w:rsid w:val="00E5102E"/>
    <w:rsid w:val="00E515D6"/>
    <w:rsid w:val="00E515D9"/>
    <w:rsid w:val="00E51835"/>
    <w:rsid w:val="00E51A6A"/>
    <w:rsid w:val="00E5205C"/>
    <w:rsid w:val="00E52489"/>
    <w:rsid w:val="00E53035"/>
    <w:rsid w:val="00E537B7"/>
    <w:rsid w:val="00E53DF3"/>
    <w:rsid w:val="00E53F70"/>
    <w:rsid w:val="00E543D3"/>
    <w:rsid w:val="00E54AE6"/>
    <w:rsid w:val="00E55113"/>
    <w:rsid w:val="00E55364"/>
    <w:rsid w:val="00E5551B"/>
    <w:rsid w:val="00E5552A"/>
    <w:rsid w:val="00E55682"/>
    <w:rsid w:val="00E55ED1"/>
    <w:rsid w:val="00E56382"/>
    <w:rsid w:val="00E567F8"/>
    <w:rsid w:val="00E569AE"/>
    <w:rsid w:val="00E57233"/>
    <w:rsid w:val="00E573C4"/>
    <w:rsid w:val="00E57475"/>
    <w:rsid w:val="00E579F9"/>
    <w:rsid w:val="00E57AFA"/>
    <w:rsid w:val="00E57C61"/>
    <w:rsid w:val="00E6024A"/>
    <w:rsid w:val="00E60310"/>
    <w:rsid w:val="00E60CB0"/>
    <w:rsid w:val="00E6178E"/>
    <w:rsid w:val="00E61A50"/>
    <w:rsid w:val="00E61D53"/>
    <w:rsid w:val="00E62033"/>
    <w:rsid w:val="00E62221"/>
    <w:rsid w:val="00E6243F"/>
    <w:rsid w:val="00E6372D"/>
    <w:rsid w:val="00E64292"/>
    <w:rsid w:val="00E64A00"/>
    <w:rsid w:val="00E64D10"/>
    <w:rsid w:val="00E64DF6"/>
    <w:rsid w:val="00E6528A"/>
    <w:rsid w:val="00E653E1"/>
    <w:rsid w:val="00E65B17"/>
    <w:rsid w:val="00E65C51"/>
    <w:rsid w:val="00E66366"/>
    <w:rsid w:val="00E66A6B"/>
    <w:rsid w:val="00E67409"/>
    <w:rsid w:val="00E67BFF"/>
    <w:rsid w:val="00E7027A"/>
    <w:rsid w:val="00E70BED"/>
    <w:rsid w:val="00E70DB2"/>
    <w:rsid w:val="00E70F92"/>
    <w:rsid w:val="00E71954"/>
    <w:rsid w:val="00E71B10"/>
    <w:rsid w:val="00E72789"/>
    <w:rsid w:val="00E7281E"/>
    <w:rsid w:val="00E729E9"/>
    <w:rsid w:val="00E72AB5"/>
    <w:rsid w:val="00E72E32"/>
    <w:rsid w:val="00E72FE4"/>
    <w:rsid w:val="00E73513"/>
    <w:rsid w:val="00E73D6F"/>
    <w:rsid w:val="00E73E84"/>
    <w:rsid w:val="00E73FAF"/>
    <w:rsid w:val="00E7426D"/>
    <w:rsid w:val="00E742AE"/>
    <w:rsid w:val="00E74335"/>
    <w:rsid w:val="00E7437F"/>
    <w:rsid w:val="00E747DC"/>
    <w:rsid w:val="00E74A02"/>
    <w:rsid w:val="00E7571A"/>
    <w:rsid w:val="00E757AE"/>
    <w:rsid w:val="00E7581E"/>
    <w:rsid w:val="00E75A39"/>
    <w:rsid w:val="00E75A4F"/>
    <w:rsid w:val="00E75E93"/>
    <w:rsid w:val="00E75F09"/>
    <w:rsid w:val="00E76063"/>
    <w:rsid w:val="00E769AD"/>
    <w:rsid w:val="00E76C57"/>
    <w:rsid w:val="00E76E31"/>
    <w:rsid w:val="00E76F32"/>
    <w:rsid w:val="00E77452"/>
    <w:rsid w:val="00E77852"/>
    <w:rsid w:val="00E77A31"/>
    <w:rsid w:val="00E77D19"/>
    <w:rsid w:val="00E80A73"/>
    <w:rsid w:val="00E80D74"/>
    <w:rsid w:val="00E81290"/>
    <w:rsid w:val="00E815C0"/>
    <w:rsid w:val="00E8163A"/>
    <w:rsid w:val="00E81819"/>
    <w:rsid w:val="00E81A61"/>
    <w:rsid w:val="00E82F9C"/>
    <w:rsid w:val="00E83810"/>
    <w:rsid w:val="00E83DB8"/>
    <w:rsid w:val="00E83E40"/>
    <w:rsid w:val="00E84120"/>
    <w:rsid w:val="00E84F1C"/>
    <w:rsid w:val="00E850F3"/>
    <w:rsid w:val="00E85434"/>
    <w:rsid w:val="00E85456"/>
    <w:rsid w:val="00E8579A"/>
    <w:rsid w:val="00E8592B"/>
    <w:rsid w:val="00E8594E"/>
    <w:rsid w:val="00E85958"/>
    <w:rsid w:val="00E85D95"/>
    <w:rsid w:val="00E85F54"/>
    <w:rsid w:val="00E862BD"/>
    <w:rsid w:val="00E86A4E"/>
    <w:rsid w:val="00E86F4C"/>
    <w:rsid w:val="00E873ED"/>
    <w:rsid w:val="00E90283"/>
    <w:rsid w:val="00E9082B"/>
    <w:rsid w:val="00E90F60"/>
    <w:rsid w:val="00E92086"/>
    <w:rsid w:val="00E92791"/>
    <w:rsid w:val="00E92F83"/>
    <w:rsid w:val="00E930ED"/>
    <w:rsid w:val="00E932CC"/>
    <w:rsid w:val="00E9376A"/>
    <w:rsid w:val="00E93C6D"/>
    <w:rsid w:val="00E9442A"/>
    <w:rsid w:val="00E9458C"/>
    <w:rsid w:val="00E94743"/>
    <w:rsid w:val="00E9488D"/>
    <w:rsid w:val="00E948FD"/>
    <w:rsid w:val="00E9490A"/>
    <w:rsid w:val="00E94B00"/>
    <w:rsid w:val="00E94EEB"/>
    <w:rsid w:val="00E96006"/>
    <w:rsid w:val="00E96B3A"/>
    <w:rsid w:val="00E96E14"/>
    <w:rsid w:val="00E972D3"/>
    <w:rsid w:val="00E97D57"/>
    <w:rsid w:val="00EA003C"/>
    <w:rsid w:val="00EA034C"/>
    <w:rsid w:val="00EA0599"/>
    <w:rsid w:val="00EA0EDF"/>
    <w:rsid w:val="00EA12A9"/>
    <w:rsid w:val="00EA1A35"/>
    <w:rsid w:val="00EA1D02"/>
    <w:rsid w:val="00EA2199"/>
    <w:rsid w:val="00EA21EC"/>
    <w:rsid w:val="00EA222F"/>
    <w:rsid w:val="00EA25B4"/>
    <w:rsid w:val="00EA2ACF"/>
    <w:rsid w:val="00EA2CAE"/>
    <w:rsid w:val="00EA35BF"/>
    <w:rsid w:val="00EA3EB1"/>
    <w:rsid w:val="00EA3F74"/>
    <w:rsid w:val="00EA3FAA"/>
    <w:rsid w:val="00EA44B5"/>
    <w:rsid w:val="00EA46E5"/>
    <w:rsid w:val="00EA4722"/>
    <w:rsid w:val="00EA47F7"/>
    <w:rsid w:val="00EA4A20"/>
    <w:rsid w:val="00EA4C31"/>
    <w:rsid w:val="00EA4E58"/>
    <w:rsid w:val="00EA528E"/>
    <w:rsid w:val="00EA5449"/>
    <w:rsid w:val="00EA54D7"/>
    <w:rsid w:val="00EA552F"/>
    <w:rsid w:val="00EA56A2"/>
    <w:rsid w:val="00EA594F"/>
    <w:rsid w:val="00EA5D19"/>
    <w:rsid w:val="00EA61A8"/>
    <w:rsid w:val="00EA6257"/>
    <w:rsid w:val="00EA63C0"/>
    <w:rsid w:val="00EA6B45"/>
    <w:rsid w:val="00EA6DC4"/>
    <w:rsid w:val="00EA6E3D"/>
    <w:rsid w:val="00EA74B8"/>
    <w:rsid w:val="00EA7775"/>
    <w:rsid w:val="00EB0318"/>
    <w:rsid w:val="00EB0E6C"/>
    <w:rsid w:val="00EB1120"/>
    <w:rsid w:val="00EB1426"/>
    <w:rsid w:val="00EB1498"/>
    <w:rsid w:val="00EB1E68"/>
    <w:rsid w:val="00EB202B"/>
    <w:rsid w:val="00EB213A"/>
    <w:rsid w:val="00EB2345"/>
    <w:rsid w:val="00EB25A6"/>
    <w:rsid w:val="00EB2864"/>
    <w:rsid w:val="00EB28CF"/>
    <w:rsid w:val="00EB375B"/>
    <w:rsid w:val="00EB37E7"/>
    <w:rsid w:val="00EB3979"/>
    <w:rsid w:val="00EB3AB1"/>
    <w:rsid w:val="00EB4086"/>
    <w:rsid w:val="00EB46D8"/>
    <w:rsid w:val="00EB543F"/>
    <w:rsid w:val="00EB56AA"/>
    <w:rsid w:val="00EB5815"/>
    <w:rsid w:val="00EB5A23"/>
    <w:rsid w:val="00EB5A4C"/>
    <w:rsid w:val="00EB6161"/>
    <w:rsid w:val="00EB6480"/>
    <w:rsid w:val="00EB650A"/>
    <w:rsid w:val="00EB6AB0"/>
    <w:rsid w:val="00EB6AFE"/>
    <w:rsid w:val="00EB6B54"/>
    <w:rsid w:val="00EB6ECC"/>
    <w:rsid w:val="00EB75C7"/>
    <w:rsid w:val="00EB790E"/>
    <w:rsid w:val="00EB7B64"/>
    <w:rsid w:val="00EB7B9D"/>
    <w:rsid w:val="00EB7E4F"/>
    <w:rsid w:val="00EC01A0"/>
    <w:rsid w:val="00EC026B"/>
    <w:rsid w:val="00EC07BD"/>
    <w:rsid w:val="00EC08F5"/>
    <w:rsid w:val="00EC0E3D"/>
    <w:rsid w:val="00EC0F0C"/>
    <w:rsid w:val="00EC0F8C"/>
    <w:rsid w:val="00EC1812"/>
    <w:rsid w:val="00EC1901"/>
    <w:rsid w:val="00EC1B9A"/>
    <w:rsid w:val="00EC1E77"/>
    <w:rsid w:val="00EC21E7"/>
    <w:rsid w:val="00EC21F4"/>
    <w:rsid w:val="00EC22D1"/>
    <w:rsid w:val="00EC22F3"/>
    <w:rsid w:val="00EC25A8"/>
    <w:rsid w:val="00EC289C"/>
    <w:rsid w:val="00EC2994"/>
    <w:rsid w:val="00EC299E"/>
    <w:rsid w:val="00EC320A"/>
    <w:rsid w:val="00EC3419"/>
    <w:rsid w:val="00EC37C1"/>
    <w:rsid w:val="00EC3EA0"/>
    <w:rsid w:val="00EC4115"/>
    <w:rsid w:val="00EC4312"/>
    <w:rsid w:val="00EC4579"/>
    <w:rsid w:val="00EC48EA"/>
    <w:rsid w:val="00EC57E8"/>
    <w:rsid w:val="00EC57EA"/>
    <w:rsid w:val="00EC5DB8"/>
    <w:rsid w:val="00EC5EE2"/>
    <w:rsid w:val="00EC623F"/>
    <w:rsid w:val="00EC63EF"/>
    <w:rsid w:val="00EC6647"/>
    <w:rsid w:val="00EC6802"/>
    <w:rsid w:val="00EC69AC"/>
    <w:rsid w:val="00EC6B7E"/>
    <w:rsid w:val="00EC7A2E"/>
    <w:rsid w:val="00EC7EC3"/>
    <w:rsid w:val="00EC7F03"/>
    <w:rsid w:val="00ED0638"/>
    <w:rsid w:val="00ED0765"/>
    <w:rsid w:val="00ED0A0B"/>
    <w:rsid w:val="00ED1BE3"/>
    <w:rsid w:val="00ED2003"/>
    <w:rsid w:val="00ED2081"/>
    <w:rsid w:val="00ED275C"/>
    <w:rsid w:val="00ED2776"/>
    <w:rsid w:val="00ED2C22"/>
    <w:rsid w:val="00ED3142"/>
    <w:rsid w:val="00ED324B"/>
    <w:rsid w:val="00ED3386"/>
    <w:rsid w:val="00ED377A"/>
    <w:rsid w:val="00ED42BF"/>
    <w:rsid w:val="00ED50CB"/>
    <w:rsid w:val="00ED52ED"/>
    <w:rsid w:val="00ED5D87"/>
    <w:rsid w:val="00ED6678"/>
    <w:rsid w:val="00ED6A33"/>
    <w:rsid w:val="00ED7180"/>
    <w:rsid w:val="00ED72EE"/>
    <w:rsid w:val="00ED786C"/>
    <w:rsid w:val="00ED7D67"/>
    <w:rsid w:val="00EE085F"/>
    <w:rsid w:val="00EE08B8"/>
    <w:rsid w:val="00EE0BB7"/>
    <w:rsid w:val="00EE1B0D"/>
    <w:rsid w:val="00EE1B6C"/>
    <w:rsid w:val="00EE1D05"/>
    <w:rsid w:val="00EE1D27"/>
    <w:rsid w:val="00EE28EA"/>
    <w:rsid w:val="00EE292D"/>
    <w:rsid w:val="00EE3E5B"/>
    <w:rsid w:val="00EE441F"/>
    <w:rsid w:val="00EE49D1"/>
    <w:rsid w:val="00EE504C"/>
    <w:rsid w:val="00EE5277"/>
    <w:rsid w:val="00EE5748"/>
    <w:rsid w:val="00EE575E"/>
    <w:rsid w:val="00EE60B7"/>
    <w:rsid w:val="00EE62C5"/>
    <w:rsid w:val="00EE6466"/>
    <w:rsid w:val="00EE64BD"/>
    <w:rsid w:val="00EE668E"/>
    <w:rsid w:val="00EE6C6D"/>
    <w:rsid w:val="00EE71D3"/>
    <w:rsid w:val="00EE7229"/>
    <w:rsid w:val="00EE7EA8"/>
    <w:rsid w:val="00EF085F"/>
    <w:rsid w:val="00EF08DF"/>
    <w:rsid w:val="00EF09D8"/>
    <w:rsid w:val="00EF0E2D"/>
    <w:rsid w:val="00EF12B5"/>
    <w:rsid w:val="00EF12D7"/>
    <w:rsid w:val="00EF15CE"/>
    <w:rsid w:val="00EF1C70"/>
    <w:rsid w:val="00EF1F2B"/>
    <w:rsid w:val="00EF243F"/>
    <w:rsid w:val="00EF2C4B"/>
    <w:rsid w:val="00EF2E06"/>
    <w:rsid w:val="00EF38DF"/>
    <w:rsid w:val="00EF3C29"/>
    <w:rsid w:val="00EF4A71"/>
    <w:rsid w:val="00EF4AE6"/>
    <w:rsid w:val="00EF564D"/>
    <w:rsid w:val="00EF57A6"/>
    <w:rsid w:val="00EF57E6"/>
    <w:rsid w:val="00EF5A5B"/>
    <w:rsid w:val="00EF6050"/>
    <w:rsid w:val="00EF61F1"/>
    <w:rsid w:val="00EF691C"/>
    <w:rsid w:val="00EF71A8"/>
    <w:rsid w:val="00EF71E5"/>
    <w:rsid w:val="00EF746B"/>
    <w:rsid w:val="00EF7D4F"/>
    <w:rsid w:val="00EF7DAA"/>
    <w:rsid w:val="00F00C75"/>
    <w:rsid w:val="00F00CF0"/>
    <w:rsid w:val="00F00EF3"/>
    <w:rsid w:val="00F018DA"/>
    <w:rsid w:val="00F01B79"/>
    <w:rsid w:val="00F01B7C"/>
    <w:rsid w:val="00F01E1F"/>
    <w:rsid w:val="00F01E4B"/>
    <w:rsid w:val="00F02150"/>
    <w:rsid w:val="00F02528"/>
    <w:rsid w:val="00F02B9F"/>
    <w:rsid w:val="00F02E23"/>
    <w:rsid w:val="00F030F3"/>
    <w:rsid w:val="00F0370D"/>
    <w:rsid w:val="00F0375E"/>
    <w:rsid w:val="00F03A0B"/>
    <w:rsid w:val="00F03C4B"/>
    <w:rsid w:val="00F03E73"/>
    <w:rsid w:val="00F03E92"/>
    <w:rsid w:val="00F04281"/>
    <w:rsid w:val="00F04646"/>
    <w:rsid w:val="00F04769"/>
    <w:rsid w:val="00F052E0"/>
    <w:rsid w:val="00F0590D"/>
    <w:rsid w:val="00F05BC9"/>
    <w:rsid w:val="00F05CDD"/>
    <w:rsid w:val="00F0665F"/>
    <w:rsid w:val="00F066BC"/>
    <w:rsid w:val="00F06C0F"/>
    <w:rsid w:val="00F06D23"/>
    <w:rsid w:val="00F06FB0"/>
    <w:rsid w:val="00F06FD8"/>
    <w:rsid w:val="00F0712F"/>
    <w:rsid w:val="00F07B7B"/>
    <w:rsid w:val="00F07BF0"/>
    <w:rsid w:val="00F07D3F"/>
    <w:rsid w:val="00F07E08"/>
    <w:rsid w:val="00F07EDF"/>
    <w:rsid w:val="00F103B9"/>
    <w:rsid w:val="00F10421"/>
    <w:rsid w:val="00F10516"/>
    <w:rsid w:val="00F105C0"/>
    <w:rsid w:val="00F10968"/>
    <w:rsid w:val="00F10DAD"/>
    <w:rsid w:val="00F110C5"/>
    <w:rsid w:val="00F116C2"/>
    <w:rsid w:val="00F117B5"/>
    <w:rsid w:val="00F11E67"/>
    <w:rsid w:val="00F11EBF"/>
    <w:rsid w:val="00F11F48"/>
    <w:rsid w:val="00F11F86"/>
    <w:rsid w:val="00F125DD"/>
    <w:rsid w:val="00F128FC"/>
    <w:rsid w:val="00F129EE"/>
    <w:rsid w:val="00F13166"/>
    <w:rsid w:val="00F1323B"/>
    <w:rsid w:val="00F137F9"/>
    <w:rsid w:val="00F13816"/>
    <w:rsid w:val="00F139DA"/>
    <w:rsid w:val="00F14575"/>
    <w:rsid w:val="00F149A2"/>
    <w:rsid w:val="00F14AA4"/>
    <w:rsid w:val="00F15336"/>
    <w:rsid w:val="00F15460"/>
    <w:rsid w:val="00F154F7"/>
    <w:rsid w:val="00F1560C"/>
    <w:rsid w:val="00F16241"/>
    <w:rsid w:val="00F170E5"/>
    <w:rsid w:val="00F172E2"/>
    <w:rsid w:val="00F17479"/>
    <w:rsid w:val="00F17998"/>
    <w:rsid w:val="00F179CC"/>
    <w:rsid w:val="00F17D83"/>
    <w:rsid w:val="00F20229"/>
    <w:rsid w:val="00F20434"/>
    <w:rsid w:val="00F204E8"/>
    <w:rsid w:val="00F20581"/>
    <w:rsid w:val="00F20833"/>
    <w:rsid w:val="00F20C60"/>
    <w:rsid w:val="00F20CEC"/>
    <w:rsid w:val="00F20D65"/>
    <w:rsid w:val="00F223A7"/>
    <w:rsid w:val="00F22468"/>
    <w:rsid w:val="00F22805"/>
    <w:rsid w:val="00F229EE"/>
    <w:rsid w:val="00F22BB2"/>
    <w:rsid w:val="00F230B0"/>
    <w:rsid w:val="00F23183"/>
    <w:rsid w:val="00F231B8"/>
    <w:rsid w:val="00F2330C"/>
    <w:rsid w:val="00F24438"/>
    <w:rsid w:val="00F248C5"/>
    <w:rsid w:val="00F2524F"/>
    <w:rsid w:val="00F25A68"/>
    <w:rsid w:val="00F25CEF"/>
    <w:rsid w:val="00F25E76"/>
    <w:rsid w:val="00F25FBF"/>
    <w:rsid w:val="00F26792"/>
    <w:rsid w:val="00F26B56"/>
    <w:rsid w:val="00F27467"/>
    <w:rsid w:val="00F277E9"/>
    <w:rsid w:val="00F27892"/>
    <w:rsid w:val="00F3003C"/>
    <w:rsid w:val="00F30486"/>
    <w:rsid w:val="00F30532"/>
    <w:rsid w:val="00F30D55"/>
    <w:rsid w:val="00F30DE2"/>
    <w:rsid w:val="00F30E51"/>
    <w:rsid w:val="00F31414"/>
    <w:rsid w:val="00F31521"/>
    <w:rsid w:val="00F31561"/>
    <w:rsid w:val="00F319F3"/>
    <w:rsid w:val="00F31A8A"/>
    <w:rsid w:val="00F31AF8"/>
    <w:rsid w:val="00F31B9B"/>
    <w:rsid w:val="00F31ECB"/>
    <w:rsid w:val="00F31F6D"/>
    <w:rsid w:val="00F31FD0"/>
    <w:rsid w:val="00F32322"/>
    <w:rsid w:val="00F32532"/>
    <w:rsid w:val="00F32717"/>
    <w:rsid w:val="00F3279C"/>
    <w:rsid w:val="00F33652"/>
    <w:rsid w:val="00F33B0D"/>
    <w:rsid w:val="00F3462E"/>
    <w:rsid w:val="00F34985"/>
    <w:rsid w:val="00F349C1"/>
    <w:rsid w:val="00F34A64"/>
    <w:rsid w:val="00F34D02"/>
    <w:rsid w:val="00F34E0D"/>
    <w:rsid w:val="00F3545C"/>
    <w:rsid w:val="00F35E77"/>
    <w:rsid w:val="00F35FDC"/>
    <w:rsid w:val="00F360C8"/>
    <w:rsid w:val="00F36518"/>
    <w:rsid w:val="00F365F6"/>
    <w:rsid w:val="00F36C88"/>
    <w:rsid w:val="00F36E61"/>
    <w:rsid w:val="00F37A56"/>
    <w:rsid w:val="00F37CD9"/>
    <w:rsid w:val="00F37F7A"/>
    <w:rsid w:val="00F40D82"/>
    <w:rsid w:val="00F4114B"/>
    <w:rsid w:val="00F41BA6"/>
    <w:rsid w:val="00F4203D"/>
    <w:rsid w:val="00F423C1"/>
    <w:rsid w:val="00F433A0"/>
    <w:rsid w:val="00F43424"/>
    <w:rsid w:val="00F43873"/>
    <w:rsid w:val="00F43FB4"/>
    <w:rsid w:val="00F447AE"/>
    <w:rsid w:val="00F44967"/>
    <w:rsid w:val="00F44E01"/>
    <w:rsid w:val="00F44E47"/>
    <w:rsid w:val="00F454AF"/>
    <w:rsid w:val="00F45525"/>
    <w:rsid w:val="00F45BD3"/>
    <w:rsid w:val="00F45DE8"/>
    <w:rsid w:val="00F45DFA"/>
    <w:rsid w:val="00F460E6"/>
    <w:rsid w:val="00F461F7"/>
    <w:rsid w:val="00F4626B"/>
    <w:rsid w:val="00F46576"/>
    <w:rsid w:val="00F4686B"/>
    <w:rsid w:val="00F4718D"/>
    <w:rsid w:val="00F477B1"/>
    <w:rsid w:val="00F47A1D"/>
    <w:rsid w:val="00F5005C"/>
    <w:rsid w:val="00F50315"/>
    <w:rsid w:val="00F50665"/>
    <w:rsid w:val="00F50C10"/>
    <w:rsid w:val="00F512D8"/>
    <w:rsid w:val="00F5143B"/>
    <w:rsid w:val="00F52709"/>
    <w:rsid w:val="00F52B3C"/>
    <w:rsid w:val="00F52B64"/>
    <w:rsid w:val="00F52DD5"/>
    <w:rsid w:val="00F52F65"/>
    <w:rsid w:val="00F53433"/>
    <w:rsid w:val="00F53949"/>
    <w:rsid w:val="00F539D7"/>
    <w:rsid w:val="00F53A7F"/>
    <w:rsid w:val="00F53C2A"/>
    <w:rsid w:val="00F54ADF"/>
    <w:rsid w:val="00F54C35"/>
    <w:rsid w:val="00F54D5E"/>
    <w:rsid w:val="00F54D82"/>
    <w:rsid w:val="00F54E8E"/>
    <w:rsid w:val="00F550B3"/>
    <w:rsid w:val="00F55287"/>
    <w:rsid w:val="00F5528B"/>
    <w:rsid w:val="00F55823"/>
    <w:rsid w:val="00F55F7C"/>
    <w:rsid w:val="00F55FBE"/>
    <w:rsid w:val="00F562EE"/>
    <w:rsid w:val="00F568AF"/>
    <w:rsid w:val="00F56A8B"/>
    <w:rsid w:val="00F5714A"/>
    <w:rsid w:val="00F5721A"/>
    <w:rsid w:val="00F574D7"/>
    <w:rsid w:val="00F57A9C"/>
    <w:rsid w:val="00F57BD1"/>
    <w:rsid w:val="00F57CE6"/>
    <w:rsid w:val="00F57F64"/>
    <w:rsid w:val="00F6055A"/>
    <w:rsid w:val="00F6064F"/>
    <w:rsid w:val="00F60847"/>
    <w:rsid w:val="00F608F0"/>
    <w:rsid w:val="00F60D9F"/>
    <w:rsid w:val="00F60EF2"/>
    <w:rsid w:val="00F60FC8"/>
    <w:rsid w:val="00F62B1A"/>
    <w:rsid w:val="00F63B47"/>
    <w:rsid w:val="00F643C6"/>
    <w:rsid w:val="00F6441B"/>
    <w:rsid w:val="00F64723"/>
    <w:rsid w:val="00F64FDB"/>
    <w:rsid w:val="00F6504B"/>
    <w:rsid w:val="00F65536"/>
    <w:rsid w:val="00F657B1"/>
    <w:rsid w:val="00F65EA3"/>
    <w:rsid w:val="00F65F70"/>
    <w:rsid w:val="00F66B3D"/>
    <w:rsid w:val="00F66E1E"/>
    <w:rsid w:val="00F66FBD"/>
    <w:rsid w:val="00F67238"/>
    <w:rsid w:val="00F700B1"/>
    <w:rsid w:val="00F703B0"/>
    <w:rsid w:val="00F704E6"/>
    <w:rsid w:val="00F7069B"/>
    <w:rsid w:val="00F70B68"/>
    <w:rsid w:val="00F70D97"/>
    <w:rsid w:val="00F70E0B"/>
    <w:rsid w:val="00F711DA"/>
    <w:rsid w:val="00F714AE"/>
    <w:rsid w:val="00F715F1"/>
    <w:rsid w:val="00F716DD"/>
    <w:rsid w:val="00F71A5C"/>
    <w:rsid w:val="00F71E1F"/>
    <w:rsid w:val="00F71E81"/>
    <w:rsid w:val="00F71FEA"/>
    <w:rsid w:val="00F72889"/>
    <w:rsid w:val="00F7299E"/>
    <w:rsid w:val="00F72AC5"/>
    <w:rsid w:val="00F72FBB"/>
    <w:rsid w:val="00F730FB"/>
    <w:rsid w:val="00F7325A"/>
    <w:rsid w:val="00F73272"/>
    <w:rsid w:val="00F73320"/>
    <w:rsid w:val="00F736CC"/>
    <w:rsid w:val="00F740D7"/>
    <w:rsid w:val="00F747AF"/>
    <w:rsid w:val="00F74B7C"/>
    <w:rsid w:val="00F74F01"/>
    <w:rsid w:val="00F75702"/>
    <w:rsid w:val="00F75841"/>
    <w:rsid w:val="00F75B6B"/>
    <w:rsid w:val="00F75CE1"/>
    <w:rsid w:val="00F75D54"/>
    <w:rsid w:val="00F75EB7"/>
    <w:rsid w:val="00F75F11"/>
    <w:rsid w:val="00F75FFC"/>
    <w:rsid w:val="00F76226"/>
    <w:rsid w:val="00F7648E"/>
    <w:rsid w:val="00F7676B"/>
    <w:rsid w:val="00F76A47"/>
    <w:rsid w:val="00F76AB8"/>
    <w:rsid w:val="00F76E23"/>
    <w:rsid w:val="00F76E9B"/>
    <w:rsid w:val="00F7700B"/>
    <w:rsid w:val="00F772C2"/>
    <w:rsid w:val="00F773DC"/>
    <w:rsid w:val="00F7775E"/>
    <w:rsid w:val="00F777B4"/>
    <w:rsid w:val="00F77CCD"/>
    <w:rsid w:val="00F801E8"/>
    <w:rsid w:val="00F803C1"/>
    <w:rsid w:val="00F807E2"/>
    <w:rsid w:val="00F809AA"/>
    <w:rsid w:val="00F810F5"/>
    <w:rsid w:val="00F81DE3"/>
    <w:rsid w:val="00F81E4B"/>
    <w:rsid w:val="00F82038"/>
    <w:rsid w:val="00F8207E"/>
    <w:rsid w:val="00F82139"/>
    <w:rsid w:val="00F82FEC"/>
    <w:rsid w:val="00F8306A"/>
    <w:rsid w:val="00F8364C"/>
    <w:rsid w:val="00F8368C"/>
    <w:rsid w:val="00F83E48"/>
    <w:rsid w:val="00F8453F"/>
    <w:rsid w:val="00F8479E"/>
    <w:rsid w:val="00F84B95"/>
    <w:rsid w:val="00F84CEC"/>
    <w:rsid w:val="00F84D86"/>
    <w:rsid w:val="00F85AB3"/>
    <w:rsid w:val="00F860D8"/>
    <w:rsid w:val="00F860F5"/>
    <w:rsid w:val="00F86373"/>
    <w:rsid w:val="00F866E8"/>
    <w:rsid w:val="00F86A3B"/>
    <w:rsid w:val="00F86E86"/>
    <w:rsid w:val="00F86F9F"/>
    <w:rsid w:val="00F8700D"/>
    <w:rsid w:val="00F8714B"/>
    <w:rsid w:val="00F87159"/>
    <w:rsid w:val="00F8725A"/>
    <w:rsid w:val="00F872AD"/>
    <w:rsid w:val="00F87307"/>
    <w:rsid w:val="00F87838"/>
    <w:rsid w:val="00F878DA"/>
    <w:rsid w:val="00F87967"/>
    <w:rsid w:val="00F90454"/>
    <w:rsid w:val="00F907E7"/>
    <w:rsid w:val="00F90B3A"/>
    <w:rsid w:val="00F90B97"/>
    <w:rsid w:val="00F90CFA"/>
    <w:rsid w:val="00F9138A"/>
    <w:rsid w:val="00F9175C"/>
    <w:rsid w:val="00F91A23"/>
    <w:rsid w:val="00F91D77"/>
    <w:rsid w:val="00F92412"/>
    <w:rsid w:val="00F92726"/>
    <w:rsid w:val="00F92E93"/>
    <w:rsid w:val="00F92F76"/>
    <w:rsid w:val="00F9322F"/>
    <w:rsid w:val="00F93335"/>
    <w:rsid w:val="00F93595"/>
    <w:rsid w:val="00F93D08"/>
    <w:rsid w:val="00F93E94"/>
    <w:rsid w:val="00F945A2"/>
    <w:rsid w:val="00F94923"/>
    <w:rsid w:val="00F9497A"/>
    <w:rsid w:val="00F95312"/>
    <w:rsid w:val="00F9548C"/>
    <w:rsid w:val="00F95935"/>
    <w:rsid w:val="00F959BE"/>
    <w:rsid w:val="00F95FB8"/>
    <w:rsid w:val="00F960C3"/>
    <w:rsid w:val="00F96A5B"/>
    <w:rsid w:val="00F96A76"/>
    <w:rsid w:val="00F96EA2"/>
    <w:rsid w:val="00F9711B"/>
    <w:rsid w:val="00F97358"/>
    <w:rsid w:val="00F97B89"/>
    <w:rsid w:val="00F97DDB"/>
    <w:rsid w:val="00FA014B"/>
    <w:rsid w:val="00FA0921"/>
    <w:rsid w:val="00FA0A1B"/>
    <w:rsid w:val="00FA0B22"/>
    <w:rsid w:val="00FA0B43"/>
    <w:rsid w:val="00FA0BC4"/>
    <w:rsid w:val="00FA0C52"/>
    <w:rsid w:val="00FA0CBC"/>
    <w:rsid w:val="00FA15C5"/>
    <w:rsid w:val="00FA16CF"/>
    <w:rsid w:val="00FA1E44"/>
    <w:rsid w:val="00FA1EAE"/>
    <w:rsid w:val="00FA31EA"/>
    <w:rsid w:val="00FA3275"/>
    <w:rsid w:val="00FA338B"/>
    <w:rsid w:val="00FA3393"/>
    <w:rsid w:val="00FA39A7"/>
    <w:rsid w:val="00FA3E20"/>
    <w:rsid w:val="00FA42E5"/>
    <w:rsid w:val="00FA4306"/>
    <w:rsid w:val="00FA437F"/>
    <w:rsid w:val="00FA47ED"/>
    <w:rsid w:val="00FA4D17"/>
    <w:rsid w:val="00FA533A"/>
    <w:rsid w:val="00FA5493"/>
    <w:rsid w:val="00FA5CA6"/>
    <w:rsid w:val="00FA650D"/>
    <w:rsid w:val="00FA65FC"/>
    <w:rsid w:val="00FA6778"/>
    <w:rsid w:val="00FA6E79"/>
    <w:rsid w:val="00FA74EB"/>
    <w:rsid w:val="00FA7651"/>
    <w:rsid w:val="00FA76D6"/>
    <w:rsid w:val="00FA77FD"/>
    <w:rsid w:val="00FA7FB5"/>
    <w:rsid w:val="00FA7FFD"/>
    <w:rsid w:val="00FB02A4"/>
    <w:rsid w:val="00FB0BCA"/>
    <w:rsid w:val="00FB0C1E"/>
    <w:rsid w:val="00FB0C8A"/>
    <w:rsid w:val="00FB0E94"/>
    <w:rsid w:val="00FB21C5"/>
    <w:rsid w:val="00FB242A"/>
    <w:rsid w:val="00FB287C"/>
    <w:rsid w:val="00FB2B3E"/>
    <w:rsid w:val="00FB2DA1"/>
    <w:rsid w:val="00FB30FB"/>
    <w:rsid w:val="00FB3448"/>
    <w:rsid w:val="00FB4417"/>
    <w:rsid w:val="00FB4767"/>
    <w:rsid w:val="00FB4EF4"/>
    <w:rsid w:val="00FB5638"/>
    <w:rsid w:val="00FB593D"/>
    <w:rsid w:val="00FB5B7E"/>
    <w:rsid w:val="00FB5B8C"/>
    <w:rsid w:val="00FB610D"/>
    <w:rsid w:val="00FB6340"/>
    <w:rsid w:val="00FB67D8"/>
    <w:rsid w:val="00FB6DBB"/>
    <w:rsid w:val="00FB700C"/>
    <w:rsid w:val="00FB719C"/>
    <w:rsid w:val="00FB72C9"/>
    <w:rsid w:val="00FB75A7"/>
    <w:rsid w:val="00FB7966"/>
    <w:rsid w:val="00FB79E0"/>
    <w:rsid w:val="00FB7A3E"/>
    <w:rsid w:val="00FC06B6"/>
    <w:rsid w:val="00FC093A"/>
    <w:rsid w:val="00FC1320"/>
    <w:rsid w:val="00FC161A"/>
    <w:rsid w:val="00FC1B83"/>
    <w:rsid w:val="00FC1C1F"/>
    <w:rsid w:val="00FC1C54"/>
    <w:rsid w:val="00FC212A"/>
    <w:rsid w:val="00FC213C"/>
    <w:rsid w:val="00FC23A7"/>
    <w:rsid w:val="00FC2762"/>
    <w:rsid w:val="00FC280F"/>
    <w:rsid w:val="00FC2D62"/>
    <w:rsid w:val="00FC2F13"/>
    <w:rsid w:val="00FC32FE"/>
    <w:rsid w:val="00FC39B0"/>
    <w:rsid w:val="00FC3ED6"/>
    <w:rsid w:val="00FC400D"/>
    <w:rsid w:val="00FC476B"/>
    <w:rsid w:val="00FC533F"/>
    <w:rsid w:val="00FC563B"/>
    <w:rsid w:val="00FC5FCF"/>
    <w:rsid w:val="00FC6478"/>
    <w:rsid w:val="00FC740C"/>
    <w:rsid w:val="00FC76F4"/>
    <w:rsid w:val="00FC7BE4"/>
    <w:rsid w:val="00FD0113"/>
    <w:rsid w:val="00FD0385"/>
    <w:rsid w:val="00FD0636"/>
    <w:rsid w:val="00FD06E1"/>
    <w:rsid w:val="00FD09E7"/>
    <w:rsid w:val="00FD0B8D"/>
    <w:rsid w:val="00FD0D4B"/>
    <w:rsid w:val="00FD192D"/>
    <w:rsid w:val="00FD1D62"/>
    <w:rsid w:val="00FD1F96"/>
    <w:rsid w:val="00FD2330"/>
    <w:rsid w:val="00FD234E"/>
    <w:rsid w:val="00FD2446"/>
    <w:rsid w:val="00FD2B2A"/>
    <w:rsid w:val="00FD2D2C"/>
    <w:rsid w:val="00FD3F11"/>
    <w:rsid w:val="00FD412C"/>
    <w:rsid w:val="00FD4626"/>
    <w:rsid w:val="00FD468E"/>
    <w:rsid w:val="00FD48DF"/>
    <w:rsid w:val="00FD4DCB"/>
    <w:rsid w:val="00FD50DF"/>
    <w:rsid w:val="00FD5269"/>
    <w:rsid w:val="00FD61C3"/>
    <w:rsid w:val="00FD6F44"/>
    <w:rsid w:val="00FD7712"/>
    <w:rsid w:val="00FD7A3F"/>
    <w:rsid w:val="00FD7BEE"/>
    <w:rsid w:val="00FD7CAB"/>
    <w:rsid w:val="00FD7D51"/>
    <w:rsid w:val="00FD7E36"/>
    <w:rsid w:val="00FE05F6"/>
    <w:rsid w:val="00FE0860"/>
    <w:rsid w:val="00FE0ADE"/>
    <w:rsid w:val="00FE14A6"/>
    <w:rsid w:val="00FE1A4A"/>
    <w:rsid w:val="00FE1AEB"/>
    <w:rsid w:val="00FE1B7F"/>
    <w:rsid w:val="00FE1F81"/>
    <w:rsid w:val="00FE2587"/>
    <w:rsid w:val="00FE2BDF"/>
    <w:rsid w:val="00FE42D3"/>
    <w:rsid w:val="00FE4B54"/>
    <w:rsid w:val="00FE4EEF"/>
    <w:rsid w:val="00FE4F96"/>
    <w:rsid w:val="00FE5048"/>
    <w:rsid w:val="00FE51BC"/>
    <w:rsid w:val="00FE5242"/>
    <w:rsid w:val="00FE57A3"/>
    <w:rsid w:val="00FE5940"/>
    <w:rsid w:val="00FE5A2F"/>
    <w:rsid w:val="00FE5E99"/>
    <w:rsid w:val="00FE5F5E"/>
    <w:rsid w:val="00FE6A16"/>
    <w:rsid w:val="00FE6DA6"/>
    <w:rsid w:val="00FE76E6"/>
    <w:rsid w:val="00FE7739"/>
    <w:rsid w:val="00FE7917"/>
    <w:rsid w:val="00FE7B96"/>
    <w:rsid w:val="00FE7D14"/>
    <w:rsid w:val="00FF000E"/>
    <w:rsid w:val="00FF003F"/>
    <w:rsid w:val="00FF008F"/>
    <w:rsid w:val="00FF01B5"/>
    <w:rsid w:val="00FF01C4"/>
    <w:rsid w:val="00FF04C6"/>
    <w:rsid w:val="00FF0524"/>
    <w:rsid w:val="00FF057B"/>
    <w:rsid w:val="00FF06BA"/>
    <w:rsid w:val="00FF0851"/>
    <w:rsid w:val="00FF0B4A"/>
    <w:rsid w:val="00FF0BB3"/>
    <w:rsid w:val="00FF0E69"/>
    <w:rsid w:val="00FF0F74"/>
    <w:rsid w:val="00FF100E"/>
    <w:rsid w:val="00FF151C"/>
    <w:rsid w:val="00FF186C"/>
    <w:rsid w:val="00FF1AEF"/>
    <w:rsid w:val="00FF1BB8"/>
    <w:rsid w:val="00FF24C3"/>
    <w:rsid w:val="00FF297A"/>
    <w:rsid w:val="00FF2B05"/>
    <w:rsid w:val="00FF305E"/>
    <w:rsid w:val="00FF35D1"/>
    <w:rsid w:val="00FF37C2"/>
    <w:rsid w:val="00FF3A62"/>
    <w:rsid w:val="00FF4250"/>
    <w:rsid w:val="00FF4E8A"/>
    <w:rsid w:val="00FF5826"/>
    <w:rsid w:val="00FF69E9"/>
    <w:rsid w:val="00FF714F"/>
    <w:rsid w:val="00FF7424"/>
    <w:rsid w:val="00FF7435"/>
    <w:rsid w:val="00FF7BCD"/>
  </w:rsids>
  <m:mathPr>
    <m:mathFont m:val="Cambria Math"/>
    <m:brkBin m:val="before"/>
    <m:brkBinSub m:val="--"/>
    <m:smallFrac m:val="0"/>
    <m:dispDef/>
    <m:lMargin m:val="0"/>
    <m:rMargin m:val="0"/>
    <m:defJc m:val="centerGroup"/>
    <m:wrapIndent m:val="1440"/>
    <m:intLim m:val="subSup"/>
    <m:naryLim m:val="undOvr"/>
  </m:mathPr>
  <w:themeFontLang w:val="tr-TR"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B9160"/>
  <w15:chartTrackingRefBased/>
  <w15:docId w15:val="{4F9F6760-2676-41F1-B5E7-BF00C4CE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rsid w:val="00CF6B83"/>
    <w:pPr>
      <w:spacing w:after="0" w:line="360" w:lineRule="auto"/>
      <w:jc w:val="both"/>
    </w:pPr>
    <w:rPr>
      <w:rFonts w:ascii="Times New Roman" w:hAnsi="Times New Roman" w:cstheme="minorHAnsi"/>
      <w:sz w:val="24"/>
      <w:lang w:val="en-US"/>
    </w:rPr>
  </w:style>
  <w:style w:type="paragraph" w:styleId="Balk1">
    <w:name w:val="heading 1"/>
    <w:basedOn w:val="Normal"/>
    <w:next w:val="Normal"/>
    <w:link w:val="Balk1Char"/>
    <w:uiPriority w:val="9"/>
    <w:qFormat/>
    <w:rsid w:val="003F75FE"/>
    <w:pPr>
      <w:keepNext/>
      <w:keepLines/>
      <w:numPr>
        <w:numId w:val="1"/>
      </w:numP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771867"/>
    <w:pPr>
      <w:keepNext/>
      <w:keepLines/>
      <w:numPr>
        <w:ilvl w:val="1"/>
        <w:numId w:val="1"/>
      </w:numPr>
      <w:spacing w:before="120" w:after="6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A97FD8"/>
    <w:pPr>
      <w:keepNext/>
      <w:keepLines/>
      <w:numPr>
        <w:ilvl w:val="2"/>
        <w:numId w:val="1"/>
      </w:numPr>
      <w:spacing w:before="240" w:after="120"/>
      <w:outlineLvl w:val="2"/>
    </w:pPr>
    <w:rPr>
      <w:rFonts w:eastAsiaTheme="majorEastAsia" w:cstheme="majorBidi"/>
      <w:b/>
      <w:szCs w:val="24"/>
    </w:rPr>
  </w:style>
  <w:style w:type="paragraph" w:styleId="Balk4">
    <w:name w:val="heading 4"/>
    <w:basedOn w:val="Normal"/>
    <w:next w:val="Normal"/>
    <w:link w:val="Balk4Char"/>
    <w:uiPriority w:val="9"/>
    <w:unhideWhenUsed/>
    <w:qFormat/>
    <w:rsid w:val="0071617B"/>
    <w:pPr>
      <w:keepNext/>
      <w:numPr>
        <w:ilvl w:val="3"/>
        <w:numId w:val="1"/>
      </w:numPr>
      <w:spacing w:before="240" w:after="120"/>
      <w:outlineLvl w:val="3"/>
    </w:pPr>
    <w:rPr>
      <w:b/>
      <w:bCs/>
      <w:szCs w:val="28"/>
    </w:rPr>
  </w:style>
  <w:style w:type="paragraph" w:styleId="Balk5">
    <w:name w:val="heading 5"/>
    <w:basedOn w:val="Normal"/>
    <w:next w:val="Normal"/>
    <w:link w:val="Balk5Char"/>
    <w:uiPriority w:val="9"/>
    <w:unhideWhenUsed/>
    <w:qFormat/>
    <w:rsid w:val="009876A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9876A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9876A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9876A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9876A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71617B"/>
    <w:rPr>
      <w:rFonts w:ascii="Times New Roman" w:hAnsi="Times New Roman" w:cstheme="minorHAnsi"/>
      <w:b/>
      <w:bCs/>
      <w:sz w:val="24"/>
      <w:szCs w:val="28"/>
      <w:lang w:val="en-US"/>
    </w:rPr>
  </w:style>
  <w:style w:type="character" w:customStyle="1" w:styleId="Balk5Char">
    <w:name w:val="Başlık 5 Char"/>
    <w:basedOn w:val="VarsaylanParagrafYazTipi"/>
    <w:link w:val="Balk5"/>
    <w:uiPriority w:val="9"/>
    <w:rsid w:val="009876A7"/>
    <w:rPr>
      <w:rFonts w:asciiTheme="majorHAnsi" w:eastAsiaTheme="majorEastAsia" w:hAnsiTheme="majorHAnsi" w:cstheme="majorBidi"/>
      <w:color w:val="2F5496" w:themeColor="accent1" w:themeShade="BF"/>
      <w:sz w:val="24"/>
      <w:lang w:val="en-US"/>
    </w:rPr>
  </w:style>
  <w:style w:type="character" w:customStyle="1" w:styleId="Balk6Char">
    <w:name w:val="Başlık 6 Char"/>
    <w:basedOn w:val="VarsaylanParagrafYazTipi"/>
    <w:link w:val="Balk6"/>
    <w:uiPriority w:val="9"/>
    <w:semiHidden/>
    <w:rsid w:val="009876A7"/>
    <w:rPr>
      <w:rFonts w:asciiTheme="majorHAnsi" w:eastAsiaTheme="majorEastAsia" w:hAnsiTheme="majorHAnsi" w:cstheme="majorBidi"/>
      <w:color w:val="1F3763" w:themeColor="accent1" w:themeShade="7F"/>
      <w:sz w:val="24"/>
      <w:lang w:val="en-US"/>
    </w:rPr>
  </w:style>
  <w:style w:type="character" w:customStyle="1" w:styleId="Balk7Char">
    <w:name w:val="Başlık 7 Char"/>
    <w:basedOn w:val="VarsaylanParagrafYazTipi"/>
    <w:link w:val="Balk7"/>
    <w:uiPriority w:val="9"/>
    <w:semiHidden/>
    <w:rsid w:val="009876A7"/>
    <w:rPr>
      <w:rFonts w:asciiTheme="majorHAnsi" w:eastAsiaTheme="majorEastAsia" w:hAnsiTheme="majorHAnsi" w:cstheme="majorBidi"/>
      <w:i/>
      <w:iCs/>
      <w:color w:val="1F3763" w:themeColor="accent1" w:themeShade="7F"/>
      <w:sz w:val="24"/>
      <w:lang w:val="en-US"/>
    </w:rPr>
  </w:style>
  <w:style w:type="character" w:customStyle="1" w:styleId="Balk8Char">
    <w:name w:val="Başlık 8 Char"/>
    <w:basedOn w:val="VarsaylanParagrafYazTipi"/>
    <w:link w:val="Balk8"/>
    <w:uiPriority w:val="9"/>
    <w:semiHidden/>
    <w:rsid w:val="009876A7"/>
    <w:rPr>
      <w:rFonts w:asciiTheme="majorHAnsi" w:eastAsiaTheme="majorEastAsia" w:hAnsiTheme="majorHAnsi" w:cstheme="majorBidi"/>
      <w:color w:val="272727" w:themeColor="text1" w:themeTint="D8"/>
      <w:sz w:val="21"/>
      <w:szCs w:val="21"/>
      <w:lang w:val="en-US"/>
    </w:rPr>
  </w:style>
  <w:style w:type="character" w:customStyle="1" w:styleId="Balk9Char">
    <w:name w:val="Başlık 9 Char"/>
    <w:basedOn w:val="VarsaylanParagrafYazTipi"/>
    <w:link w:val="Balk9"/>
    <w:uiPriority w:val="9"/>
    <w:semiHidden/>
    <w:rsid w:val="009876A7"/>
    <w:rPr>
      <w:rFonts w:asciiTheme="majorHAnsi" w:eastAsiaTheme="majorEastAsia" w:hAnsiTheme="majorHAnsi" w:cstheme="majorBidi"/>
      <w:i/>
      <w:iCs/>
      <w:color w:val="272727" w:themeColor="text1" w:themeTint="D8"/>
      <w:sz w:val="21"/>
      <w:szCs w:val="21"/>
      <w:lang w:val="en-US"/>
    </w:rPr>
  </w:style>
  <w:style w:type="paragraph" w:customStyle="1" w:styleId="Projecttitletable">
    <w:name w:val="Project title table"/>
    <w:basedOn w:val="Normal"/>
    <w:link w:val="ProjecttitletableChar"/>
    <w:autoRedefine/>
    <w:qFormat/>
    <w:rsid w:val="00590067"/>
    <w:pPr>
      <w:spacing w:line="276" w:lineRule="auto"/>
      <w:jc w:val="left"/>
    </w:pPr>
    <w:rPr>
      <w:sz w:val="20"/>
      <w:lang w:bidi="en-US"/>
    </w:rPr>
  </w:style>
  <w:style w:type="character" w:customStyle="1" w:styleId="ProjecttitletableChar">
    <w:name w:val="Project title table Char"/>
    <w:basedOn w:val="VarsaylanParagrafYazTipi"/>
    <w:link w:val="Projecttitletable"/>
    <w:rsid w:val="00590067"/>
    <w:rPr>
      <w:rFonts w:ascii="Times New Roman" w:hAnsi="Times New Roman" w:cstheme="minorHAnsi"/>
      <w:sz w:val="20"/>
      <w:lang w:val="en-US" w:bidi="en-US"/>
    </w:rPr>
  </w:style>
  <w:style w:type="paragraph" w:styleId="AklamaMetni">
    <w:name w:val="annotation text"/>
    <w:basedOn w:val="Normal"/>
    <w:link w:val="AklamaMetniChar"/>
    <w:uiPriority w:val="99"/>
    <w:unhideWhenUsed/>
    <w:rsid w:val="009876A7"/>
    <w:pPr>
      <w:spacing w:line="240" w:lineRule="auto"/>
    </w:pPr>
    <w:rPr>
      <w:sz w:val="20"/>
      <w:szCs w:val="20"/>
    </w:rPr>
  </w:style>
  <w:style w:type="character" w:customStyle="1" w:styleId="AklamaMetniChar">
    <w:name w:val="Açıklama Metni Char"/>
    <w:basedOn w:val="VarsaylanParagrafYazTipi"/>
    <w:link w:val="AklamaMetni"/>
    <w:uiPriority w:val="99"/>
    <w:rsid w:val="009876A7"/>
    <w:rPr>
      <w:rFonts w:ascii="Times New Roman" w:hAnsi="Times New Roman" w:cstheme="minorHAnsi"/>
      <w:sz w:val="20"/>
      <w:szCs w:val="20"/>
      <w:lang w:val="en-GB"/>
    </w:rPr>
  </w:style>
  <w:style w:type="character" w:styleId="AklamaBavurusu">
    <w:name w:val="annotation reference"/>
    <w:uiPriority w:val="99"/>
    <w:rsid w:val="009876A7"/>
    <w:rPr>
      <w:sz w:val="16"/>
    </w:rPr>
  </w:style>
  <w:style w:type="character" w:customStyle="1" w:styleId="Bahset1">
    <w:name w:val="Bahset1"/>
    <w:basedOn w:val="VarsaylanParagrafYazTipi"/>
    <w:uiPriority w:val="99"/>
    <w:unhideWhenUsed/>
    <w:rsid w:val="009876A7"/>
    <w:rPr>
      <w:color w:val="2B579A"/>
      <w:shd w:val="clear" w:color="auto" w:fill="E1DFDD"/>
    </w:rPr>
  </w:style>
  <w:style w:type="paragraph" w:styleId="stBilgi">
    <w:name w:val="header"/>
    <w:basedOn w:val="Normal"/>
    <w:link w:val="stBilgiChar"/>
    <w:uiPriority w:val="99"/>
    <w:unhideWhenUsed/>
    <w:rsid w:val="00734BA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34BA9"/>
    <w:rPr>
      <w:rFonts w:ascii="Times New Roman" w:hAnsi="Times New Roman" w:cstheme="minorHAnsi"/>
      <w:sz w:val="24"/>
      <w:lang w:val="en-US"/>
    </w:rPr>
  </w:style>
  <w:style w:type="paragraph" w:styleId="AltBilgi">
    <w:name w:val="footer"/>
    <w:basedOn w:val="Normal"/>
    <w:link w:val="AltBilgiChar"/>
    <w:uiPriority w:val="99"/>
    <w:unhideWhenUsed/>
    <w:rsid w:val="00734BA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4BA9"/>
    <w:rPr>
      <w:rFonts w:ascii="Times New Roman" w:hAnsi="Times New Roman" w:cstheme="minorHAnsi"/>
      <w:sz w:val="24"/>
      <w:lang w:val="en-US"/>
    </w:rPr>
  </w:style>
  <w:style w:type="character" w:customStyle="1" w:styleId="Balk1Char">
    <w:name w:val="Başlık 1 Char"/>
    <w:basedOn w:val="VarsaylanParagrafYazTipi"/>
    <w:link w:val="Balk1"/>
    <w:uiPriority w:val="9"/>
    <w:rsid w:val="003F75FE"/>
    <w:rPr>
      <w:rFonts w:ascii="Times New Roman" w:eastAsiaTheme="majorEastAsia" w:hAnsi="Times New Roman" w:cstheme="majorBidi"/>
      <w:b/>
      <w:sz w:val="24"/>
      <w:szCs w:val="32"/>
      <w:lang w:val="en-US"/>
    </w:rPr>
  </w:style>
  <w:style w:type="character" w:customStyle="1" w:styleId="Balk2Char">
    <w:name w:val="Başlık 2 Char"/>
    <w:basedOn w:val="VarsaylanParagrafYazTipi"/>
    <w:link w:val="Balk2"/>
    <w:uiPriority w:val="9"/>
    <w:rsid w:val="00771867"/>
    <w:rPr>
      <w:rFonts w:ascii="Times New Roman" w:eastAsiaTheme="majorEastAsia" w:hAnsi="Times New Roman" w:cstheme="majorBidi"/>
      <w:b/>
      <w:sz w:val="24"/>
      <w:szCs w:val="26"/>
      <w:lang w:val="en-US"/>
    </w:rPr>
  </w:style>
  <w:style w:type="character" w:customStyle="1" w:styleId="Balk3Char">
    <w:name w:val="Başlık 3 Char"/>
    <w:basedOn w:val="VarsaylanParagrafYazTipi"/>
    <w:link w:val="Balk3"/>
    <w:uiPriority w:val="9"/>
    <w:rsid w:val="00A97FD8"/>
    <w:rPr>
      <w:rFonts w:ascii="Times New Roman" w:eastAsiaTheme="majorEastAsia" w:hAnsi="Times New Roman" w:cstheme="majorBidi"/>
      <w:b/>
      <w:sz w:val="24"/>
      <w:szCs w:val="24"/>
      <w:lang w:val="en-US"/>
    </w:rPr>
  </w:style>
  <w:style w:type="paragraph" w:styleId="T4">
    <w:name w:val="toc 4"/>
    <w:basedOn w:val="Normal"/>
    <w:next w:val="Normal"/>
    <w:autoRedefine/>
    <w:uiPriority w:val="39"/>
    <w:unhideWhenUsed/>
    <w:rsid w:val="00FC740C"/>
    <w:pPr>
      <w:spacing w:after="100"/>
      <w:ind w:left="720"/>
    </w:pPr>
  </w:style>
  <w:style w:type="paragraph" w:styleId="T1">
    <w:name w:val="toc 1"/>
    <w:basedOn w:val="Normal"/>
    <w:next w:val="Normal"/>
    <w:autoRedefine/>
    <w:uiPriority w:val="39"/>
    <w:unhideWhenUsed/>
    <w:rsid w:val="00221C7C"/>
    <w:pPr>
      <w:tabs>
        <w:tab w:val="left" w:pos="480"/>
        <w:tab w:val="right" w:leader="dot" w:pos="9062"/>
      </w:tabs>
      <w:spacing w:before="240" w:after="100"/>
    </w:pPr>
  </w:style>
  <w:style w:type="paragraph" w:styleId="T2">
    <w:name w:val="toc 2"/>
    <w:basedOn w:val="Normal"/>
    <w:next w:val="Normal"/>
    <w:autoRedefine/>
    <w:uiPriority w:val="39"/>
    <w:unhideWhenUsed/>
    <w:rsid w:val="00064368"/>
    <w:pPr>
      <w:tabs>
        <w:tab w:val="left" w:pos="880"/>
        <w:tab w:val="right" w:leader="dot" w:pos="9062"/>
      </w:tabs>
      <w:spacing w:after="100"/>
      <w:ind w:left="240"/>
    </w:pPr>
  </w:style>
  <w:style w:type="character" w:styleId="Kpr">
    <w:name w:val="Hyperlink"/>
    <w:basedOn w:val="VarsaylanParagrafYazTipi"/>
    <w:uiPriority w:val="99"/>
    <w:unhideWhenUsed/>
    <w:qFormat/>
    <w:rsid w:val="00FC740C"/>
    <w:rPr>
      <w:color w:val="0563C1" w:themeColor="hyperlink"/>
      <w:u w:val="single"/>
    </w:rPr>
  </w:style>
  <w:style w:type="paragraph" w:styleId="ListeParagraf">
    <w:name w:val="List Paragraph"/>
    <w:aliases w:val="üçüncü başlık,PROVERE 1,Listenabsatz1,Bullet List Paragraph,Level 1 Bullet,Bullet List,Table of contents numbered,Liststycke SKL,Normal bullet 2,Bullet list,Bullet Points,Heading 2_sj,Dot pt,Numbered Para 1,List Paragraph Char Char Char"/>
    <w:basedOn w:val="Normal"/>
    <w:link w:val="ListeParagrafChar"/>
    <w:uiPriority w:val="34"/>
    <w:qFormat/>
    <w:rsid w:val="00317348"/>
    <w:pPr>
      <w:ind w:left="720"/>
      <w:contextualSpacing/>
    </w:pPr>
  </w:style>
  <w:style w:type="paragraph" w:styleId="AklamaKonusu">
    <w:name w:val="annotation subject"/>
    <w:basedOn w:val="AklamaMetni"/>
    <w:next w:val="AklamaMetni"/>
    <w:link w:val="AklamaKonusuChar"/>
    <w:uiPriority w:val="99"/>
    <w:semiHidden/>
    <w:unhideWhenUsed/>
    <w:rsid w:val="00B54FF2"/>
    <w:rPr>
      <w:b/>
      <w:bCs/>
    </w:rPr>
  </w:style>
  <w:style w:type="character" w:customStyle="1" w:styleId="AklamaKonusuChar">
    <w:name w:val="Açıklama Konusu Char"/>
    <w:basedOn w:val="AklamaMetniChar"/>
    <w:link w:val="AklamaKonusu"/>
    <w:uiPriority w:val="99"/>
    <w:semiHidden/>
    <w:rsid w:val="00B54FF2"/>
    <w:rPr>
      <w:rFonts w:ascii="Times New Roman" w:hAnsi="Times New Roman" w:cstheme="minorHAnsi"/>
      <w:b/>
      <w:bCs/>
      <w:sz w:val="20"/>
      <w:szCs w:val="20"/>
      <w:lang w:val="en-US"/>
    </w:rPr>
  </w:style>
  <w:style w:type="table" w:customStyle="1" w:styleId="TableGrid1">
    <w:name w:val="Table Grid1"/>
    <w:basedOn w:val="NormalTablo"/>
    <w:uiPriority w:val="39"/>
    <w:rsid w:val="00B36760"/>
    <w:pPr>
      <w:spacing w:after="0" w:line="240" w:lineRule="auto"/>
    </w:pPr>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color w:val="FFFFFF" w:themeColor="background1"/>
        <w:sz w:val="22"/>
      </w:rPr>
      <w:tblPr/>
      <w:trPr>
        <w:tblHeader/>
      </w:trPr>
      <w:tcPr>
        <w:shd w:val="clear" w:color="auto" w:fill="404040" w:themeFill="text1" w:themeFillTint="BF"/>
      </w:tcPr>
    </w:tblStylePr>
    <w:tblStylePr w:type="lastRow">
      <w:rPr>
        <w:rFonts w:ascii="Times New Roman" w:hAnsi="Times New Roman"/>
        <w:sz w:val="22"/>
      </w:rPr>
    </w:tblStylePr>
    <w:tblStylePr w:type="firstCol">
      <w:rPr>
        <w:rFonts w:ascii="Times New Roman" w:hAnsi="Times New Roman"/>
        <w:b/>
        <w:sz w:val="22"/>
      </w:rPr>
      <w:tblPr/>
      <w:tcPr>
        <w:shd w:val="clear" w:color="auto" w:fill="FFFFFF" w:themeFill="background1"/>
      </w:tcPr>
    </w:tblStylePr>
    <w:tblStylePr w:type="lastCol">
      <w:rPr>
        <w:rFonts w:ascii="Times New Roman" w:hAnsi="Times New Roman"/>
        <w:sz w:val="22"/>
      </w:rPr>
    </w:tblStylePr>
    <w:tblStylePr w:type="band1Vert">
      <w:rPr>
        <w:rFonts w:ascii="Times New Roman" w:hAnsi="Times New Roman"/>
        <w:sz w:val="22"/>
      </w:rPr>
    </w:tblStylePr>
    <w:tblStylePr w:type="band2Vert">
      <w:rPr>
        <w:rFonts w:ascii="Times New Roman" w:hAnsi="Times New Roman"/>
        <w:sz w:val="22"/>
      </w:rPr>
    </w:tblStylePr>
    <w:tblStylePr w:type="band1Horz">
      <w:rPr>
        <w:rFonts w:ascii="Times New Roman" w:hAnsi="Times New Roman"/>
        <w:sz w:val="22"/>
      </w:rPr>
    </w:tblStylePr>
    <w:tblStylePr w:type="band2Horz">
      <w:rPr>
        <w:rFonts w:ascii="Times New Roman" w:hAnsi="Times New Roman"/>
        <w:sz w:val="22"/>
      </w:rPr>
    </w:tblStylePr>
  </w:style>
  <w:style w:type="paragraph" w:styleId="ResimYazs">
    <w:name w:val="caption"/>
    <w:aliases w:val="Subtitle,Annex,Caption Char,Caption Char1 Char,Caption Char Char Char,Caption Char2 Char1 Char Char,Caption Char1 Char Char Char Char,Caption Char Char Char Char Char Char,Caption Char Char1 Char Char Char"/>
    <w:basedOn w:val="Normal"/>
    <w:next w:val="Normal"/>
    <w:link w:val="ResimYazsChar"/>
    <w:unhideWhenUsed/>
    <w:qFormat/>
    <w:rsid w:val="00E81290"/>
    <w:rPr>
      <w:b/>
      <w:iCs/>
      <w:color w:val="000000" w:themeColor="text1"/>
      <w:szCs w:val="18"/>
    </w:rPr>
  </w:style>
  <w:style w:type="character" w:customStyle="1" w:styleId="ResimYazsChar">
    <w:name w:val="Resim Yazısı Char"/>
    <w:aliases w:val="Subtitle Char,Annex Char,Caption Char Char,Caption Char1 Char Char,Caption Char Char Char Char,Caption Char2 Char1 Char Char Char,Caption Char1 Char Char Char Char Char,Caption Char Char Char Char Char Char Char"/>
    <w:basedOn w:val="VarsaylanParagrafYazTipi"/>
    <w:link w:val="ResimYazs"/>
    <w:rsid w:val="00E81290"/>
    <w:rPr>
      <w:rFonts w:ascii="Times New Roman" w:hAnsi="Times New Roman" w:cstheme="minorHAnsi"/>
      <w:b/>
      <w:iCs/>
      <w:color w:val="000000" w:themeColor="text1"/>
      <w:sz w:val="24"/>
      <w:szCs w:val="18"/>
      <w:lang w:val="en-US"/>
    </w:rPr>
  </w:style>
  <w:style w:type="character" w:customStyle="1" w:styleId="Bahset10">
    <w:name w:val="Bahset1"/>
    <w:basedOn w:val="VarsaylanParagrafYazTipi"/>
    <w:uiPriority w:val="99"/>
    <w:unhideWhenUsed/>
    <w:rsid w:val="00B86887"/>
    <w:rPr>
      <w:color w:val="2B579A"/>
      <w:shd w:val="clear" w:color="auto" w:fill="E1DFDD"/>
    </w:rPr>
  </w:style>
  <w:style w:type="paragraph" w:styleId="BalonMetni">
    <w:name w:val="Balloon Text"/>
    <w:basedOn w:val="Normal"/>
    <w:link w:val="BalonMetniChar"/>
    <w:uiPriority w:val="99"/>
    <w:unhideWhenUsed/>
    <w:rsid w:val="00B86887"/>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sid w:val="00B86887"/>
    <w:rPr>
      <w:rFonts w:ascii="Segoe UI" w:hAnsi="Segoe UI" w:cs="Segoe UI"/>
      <w:sz w:val="18"/>
      <w:szCs w:val="18"/>
      <w:lang w:val="en-US"/>
    </w:rPr>
  </w:style>
  <w:style w:type="paragraph" w:customStyle="1" w:styleId="Default">
    <w:name w:val="Default"/>
    <w:rsid w:val="00B86887"/>
    <w:pPr>
      <w:autoSpaceDE w:val="0"/>
      <w:autoSpaceDN w:val="0"/>
      <w:adjustRightInd w:val="0"/>
      <w:spacing w:after="0" w:line="240" w:lineRule="auto"/>
    </w:pPr>
    <w:rPr>
      <w:rFonts w:ascii="PF DinDisplay Pro" w:hAnsi="PF DinDisplay Pro" w:cs="PF DinDisplay Pro"/>
      <w:color w:val="000000"/>
      <w:sz w:val="24"/>
      <w:szCs w:val="24"/>
      <w:lang w:val="en-US"/>
    </w:rPr>
  </w:style>
  <w:style w:type="paragraph" w:styleId="Dzeltme">
    <w:name w:val="Revision"/>
    <w:hidden/>
    <w:uiPriority w:val="99"/>
    <w:semiHidden/>
    <w:rsid w:val="00B86887"/>
    <w:pPr>
      <w:spacing w:after="0" w:line="240" w:lineRule="auto"/>
    </w:pPr>
    <w:rPr>
      <w:rFonts w:ascii="Times New Roman" w:hAnsi="Times New Roman" w:cstheme="minorHAnsi"/>
      <w:sz w:val="24"/>
      <w:lang w:val="en-US"/>
    </w:rPr>
  </w:style>
  <w:style w:type="paragraph" w:styleId="T3">
    <w:name w:val="toc 3"/>
    <w:basedOn w:val="Normal"/>
    <w:next w:val="Normal"/>
    <w:autoRedefine/>
    <w:uiPriority w:val="39"/>
    <w:unhideWhenUsed/>
    <w:qFormat/>
    <w:rsid w:val="00B86887"/>
    <w:pPr>
      <w:spacing w:after="100"/>
      <w:ind w:left="480"/>
    </w:pPr>
  </w:style>
  <w:style w:type="paragraph" w:styleId="ekillerTablosu">
    <w:name w:val="table of figures"/>
    <w:basedOn w:val="Normal"/>
    <w:next w:val="Normal"/>
    <w:uiPriority w:val="99"/>
    <w:unhideWhenUsed/>
    <w:rsid w:val="00B86887"/>
  </w:style>
  <w:style w:type="paragraph" w:customStyle="1" w:styleId="Glossaryofterms">
    <w:name w:val="Glossary of terms"/>
    <w:basedOn w:val="Normal"/>
    <w:link w:val="GlossaryoftermsChar"/>
    <w:autoRedefine/>
    <w:qFormat/>
    <w:rsid w:val="00B86887"/>
    <w:pPr>
      <w:spacing w:before="40" w:after="40"/>
      <w:jc w:val="left"/>
    </w:pPr>
    <w:rPr>
      <w:sz w:val="22"/>
      <w:lang w:val="en-GB"/>
    </w:rPr>
  </w:style>
  <w:style w:type="character" w:customStyle="1" w:styleId="GlossaryoftermsChar">
    <w:name w:val="Glossary of terms Char"/>
    <w:basedOn w:val="VarsaylanParagrafYazTipi"/>
    <w:link w:val="Glossaryofterms"/>
    <w:rsid w:val="00B86887"/>
    <w:rPr>
      <w:rFonts w:ascii="Times New Roman" w:hAnsi="Times New Roman" w:cstheme="minorHAnsi"/>
      <w:lang w:val="en-GB"/>
    </w:rPr>
  </w:style>
  <w:style w:type="table" w:customStyle="1" w:styleId="TableGrid2">
    <w:name w:val="Table Grid2"/>
    <w:basedOn w:val="NormalTablo"/>
    <w:next w:val="TabloKlavuzu"/>
    <w:uiPriority w:val="39"/>
    <w:rsid w:val="00B8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B8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aliases w:val="BVI fnr,ftref,Footnote Reference Number,Footnote Reference_LVL6,Footnote Reference_LVL61,Footnote Reference_LVL62,Footnote Reference_LVL63,Footnote Reference_LVL64,fr,16 Point,Superscript 6 Point,Times 10 Point,Ref"/>
    <w:uiPriority w:val="99"/>
    <w:rsid w:val="00B86887"/>
    <w:rPr>
      <w:sz w:val="18"/>
      <w:vertAlign w:val="superscript"/>
    </w:rPr>
  </w:style>
  <w:style w:type="paragraph" w:styleId="DipnotMetni">
    <w:name w:val="footnote text"/>
    <w:aliases w:val="fn,Footnote Text Char Char Char,Footnote Text Char Char,Fußnote, Car Car,Car Car"/>
    <w:basedOn w:val="Normal"/>
    <w:link w:val="DipnotMetniChar"/>
    <w:uiPriority w:val="99"/>
    <w:qFormat/>
    <w:rsid w:val="00B86887"/>
    <w:pPr>
      <w:spacing w:before="240" w:after="120"/>
    </w:pPr>
    <w:rPr>
      <w:rFonts w:ascii="Minion Pro Cond" w:eastAsia="Times New Roman" w:hAnsi="Minion Pro Cond" w:cs="Times New Roman"/>
      <w:sz w:val="18"/>
      <w:szCs w:val="20"/>
      <w:lang w:val="x-none" w:eastAsia="x-none"/>
    </w:rPr>
  </w:style>
  <w:style w:type="character" w:customStyle="1" w:styleId="DipnotMetniChar">
    <w:name w:val="Dipnot Metni Char"/>
    <w:aliases w:val="fn Char,Footnote Text Char Char Char Char,Footnote Text Char Char Char1,Fußnote Char, Car Car Char,Car Car Char"/>
    <w:basedOn w:val="VarsaylanParagrafYazTipi"/>
    <w:link w:val="DipnotMetni"/>
    <w:uiPriority w:val="99"/>
    <w:rsid w:val="00B86887"/>
    <w:rPr>
      <w:rFonts w:ascii="Minion Pro Cond" w:eastAsia="Times New Roman" w:hAnsi="Minion Pro Cond" w:cs="Times New Roman"/>
      <w:sz w:val="18"/>
      <w:szCs w:val="20"/>
      <w:lang w:val="x-none" w:eastAsia="x-none"/>
    </w:rPr>
  </w:style>
  <w:style w:type="table" w:customStyle="1" w:styleId="ReportTable">
    <w:name w:val="ReportTable"/>
    <w:basedOn w:val="KlavuzuTablo4"/>
    <w:uiPriority w:val="99"/>
    <w:rsid w:val="00B86887"/>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
    <w:name w:val="Grid Table 4"/>
    <w:basedOn w:val="NormalTablo"/>
    <w:uiPriority w:val="49"/>
    <w:rsid w:val="00B868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3">
    <w:name w:val="List Table 3"/>
    <w:basedOn w:val="NormalTablo"/>
    <w:uiPriority w:val="48"/>
    <w:rsid w:val="00B8688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Text">
    <w:name w:val="Table-Text"/>
    <w:basedOn w:val="Normal"/>
    <w:link w:val="Table-TextChar"/>
    <w:autoRedefine/>
    <w:qFormat/>
    <w:rsid w:val="006B387B"/>
    <w:pPr>
      <w:spacing w:line="240" w:lineRule="auto"/>
      <w:jc w:val="left"/>
    </w:pPr>
    <w:rPr>
      <w:rFonts w:cstheme="minorBidi"/>
      <w:sz w:val="20"/>
    </w:rPr>
  </w:style>
  <w:style w:type="character" w:customStyle="1" w:styleId="Table-TextChar">
    <w:name w:val="Table-Text Char"/>
    <w:basedOn w:val="VarsaylanParagrafYazTipi"/>
    <w:link w:val="Table-Text"/>
    <w:rsid w:val="006B387B"/>
    <w:rPr>
      <w:rFonts w:ascii="Times New Roman" w:hAnsi="Times New Roman"/>
      <w:sz w:val="20"/>
      <w:lang w:val="en-US"/>
    </w:rPr>
  </w:style>
  <w:style w:type="paragraph" w:customStyle="1" w:styleId="TextBullet">
    <w:name w:val="Text Bullet"/>
    <w:basedOn w:val="Normal"/>
    <w:link w:val="TextBulletChar"/>
    <w:autoRedefine/>
    <w:qFormat/>
    <w:rsid w:val="009C2455"/>
    <w:pPr>
      <w:numPr>
        <w:numId w:val="2"/>
      </w:numPr>
      <w:contextualSpacing/>
    </w:pPr>
    <w:rPr>
      <w:color w:val="000000" w:themeColor="text1"/>
      <w:lang w:val="en-GB"/>
    </w:rPr>
  </w:style>
  <w:style w:type="character" w:customStyle="1" w:styleId="TextBulletChar">
    <w:name w:val="Text Bullet Char"/>
    <w:basedOn w:val="VarsaylanParagrafYazTipi"/>
    <w:link w:val="TextBullet"/>
    <w:rsid w:val="009C2455"/>
    <w:rPr>
      <w:rFonts w:ascii="Times New Roman" w:hAnsi="Times New Roman" w:cstheme="minorHAnsi"/>
      <w:color w:val="000000" w:themeColor="text1"/>
      <w:sz w:val="24"/>
      <w:lang w:val="en-GB"/>
    </w:rPr>
  </w:style>
  <w:style w:type="table" w:customStyle="1" w:styleId="ListTable31">
    <w:name w:val="List Table 31"/>
    <w:basedOn w:val="NormalTablo"/>
    <w:uiPriority w:val="48"/>
    <w:rsid w:val="00B86887"/>
    <w:pPr>
      <w:numPr>
        <w:numId w:val="6"/>
      </w:numPr>
      <w:spacing w:after="0" w:line="240" w:lineRule="auto"/>
      <w:ind w:left="720"/>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ListeParagrafChar">
    <w:name w:val="Liste Paragraf Char"/>
    <w:aliases w:val="üçüncü başlık Char,PROVERE 1 Char,Listenabsatz1 Char,Bullet List Paragraph Char,Level 1 Bullet Char,Bullet List Char,Table of contents numbered Char,Liststycke SKL Char,Normal bullet 2 Char,Bullet list Char,Bullet Points Char"/>
    <w:link w:val="ListeParagraf"/>
    <w:uiPriority w:val="34"/>
    <w:qFormat/>
    <w:locked/>
    <w:rsid w:val="00B86887"/>
    <w:rPr>
      <w:rFonts w:ascii="Times New Roman" w:hAnsi="Times New Roman" w:cstheme="minorHAnsi"/>
      <w:sz w:val="24"/>
      <w:lang w:val="en-US"/>
    </w:rPr>
  </w:style>
  <w:style w:type="paragraph" w:customStyle="1" w:styleId="Normaltext">
    <w:name w:val="Normal text"/>
    <w:basedOn w:val="Normal"/>
    <w:link w:val="NormaltextChar"/>
    <w:autoRedefine/>
    <w:qFormat/>
    <w:rsid w:val="004E1F0A"/>
    <w:pPr>
      <w:spacing w:before="240"/>
      <w:ind w:firstLine="720"/>
    </w:pPr>
    <w:rPr>
      <w:iCs/>
      <w:szCs w:val="18"/>
      <w:lang w:eastAsia="de-DE"/>
    </w:rPr>
  </w:style>
  <w:style w:type="character" w:customStyle="1" w:styleId="NormaltextChar">
    <w:name w:val="Normal text Char"/>
    <w:basedOn w:val="VarsaylanParagrafYazTipi"/>
    <w:link w:val="Normaltext"/>
    <w:rsid w:val="004E1F0A"/>
    <w:rPr>
      <w:rFonts w:ascii="Times New Roman" w:hAnsi="Times New Roman" w:cstheme="minorHAnsi"/>
      <w:iCs/>
      <w:sz w:val="24"/>
      <w:szCs w:val="18"/>
      <w:lang w:val="en-US" w:eastAsia="de-DE"/>
    </w:rPr>
  </w:style>
  <w:style w:type="table" w:customStyle="1" w:styleId="ListeTablo31">
    <w:name w:val="Liste Tablo 31"/>
    <w:basedOn w:val="NormalTablo"/>
    <w:uiPriority w:val="48"/>
    <w:rsid w:val="00B86887"/>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zmlenmeyenBahsetme1">
    <w:name w:val="Çözümlenmeyen Bahsetme1"/>
    <w:basedOn w:val="VarsaylanParagrafYazTipi"/>
    <w:uiPriority w:val="99"/>
    <w:semiHidden/>
    <w:unhideWhenUsed/>
    <w:rsid w:val="00B86887"/>
    <w:rPr>
      <w:color w:val="605E5C"/>
      <w:shd w:val="clear" w:color="auto" w:fill="E1DFDD"/>
    </w:rPr>
  </w:style>
  <w:style w:type="character" w:customStyle="1" w:styleId="Bahset2">
    <w:name w:val="Bahset2"/>
    <w:basedOn w:val="VarsaylanParagrafYazTipi"/>
    <w:uiPriority w:val="99"/>
    <w:unhideWhenUsed/>
    <w:rsid w:val="00B86887"/>
    <w:rPr>
      <w:color w:val="2B579A"/>
      <w:shd w:val="clear" w:color="auto" w:fill="E1DFDD"/>
    </w:rPr>
  </w:style>
  <w:style w:type="paragraph" w:customStyle="1" w:styleId="HDFootnote">
    <w:name w:val="HD_Footnote"/>
    <w:qFormat/>
    <w:rsid w:val="00B86887"/>
    <w:pPr>
      <w:spacing w:after="200" w:line="276" w:lineRule="auto"/>
    </w:pPr>
    <w:rPr>
      <w:rFonts w:eastAsia="Times New Roman"/>
      <w:sz w:val="16"/>
      <w:lang w:val="en-GB" w:bidi="en-US"/>
    </w:rPr>
  </w:style>
  <w:style w:type="character" w:styleId="zlenenKpr">
    <w:name w:val="FollowedHyperlink"/>
    <w:basedOn w:val="VarsaylanParagrafYazTipi"/>
    <w:uiPriority w:val="99"/>
    <w:semiHidden/>
    <w:unhideWhenUsed/>
    <w:rsid w:val="00B86887"/>
    <w:rPr>
      <w:color w:val="954F72" w:themeColor="followedHyperlink"/>
      <w:u w:val="single"/>
    </w:rPr>
  </w:style>
  <w:style w:type="character" w:customStyle="1" w:styleId="zmlenmeyenBahsetme2">
    <w:name w:val="Çözümlenmeyen Bahsetme2"/>
    <w:basedOn w:val="VarsaylanParagrafYazTipi"/>
    <w:uiPriority w:val="99"/>
    <w:semiHidden/>
    <w:unhideWhenUsed/>
    <w:rsid w:val="00B86887"/>
    <w:rPr>
      <w:color w:val="605E5C"/>
      <w:shd w:val="clear" w:color="auto" w:fill="E1DFDD"/>
    </w:rPr>
  </w:style>
  <w:style w:type="paragraph" w:customStyle="1" w:styleId="paragraph">
    <w:name w:val="paragraph"/>
    <w:basedOn w:val="Normal"/>
    <w:rsid w:val="007A58BD"/>
    <w:pPr>
      <w:spacing w:before="100" w:beforeAutospacing="1" w:after="100" w:afterAutospacing="1" w:line="240" w:lineRule="auto"/>
      <w:jc w:val="left"/>
    </w:pPr>
    <w:rPr>
      <w:rFonts w:eastAsia="Times New Roman" w:cs="Times New Roman"/>
      <w:szCs w:val="24"/>
      <w:lang w:val="tr-TR" w:eastAsia="tr-TR"/>
    </w:rPr>
  </w:style>
  <w:style w:type="character" w:customStyle="1" w:styleId="eop">
    <w:name w:val="eop"/>
    <w:basedOn w:val="VarsaylanParagrafYazTipi"/>
    <w:rsid w:val="007A58BD"/>
  </w:style>
  <w:style w:type="character" w:customStyle="1" w:styleId="normaltextrun">
    <w:name w:val="normaltextrun"/>
    <w:basedOn w:val="VarsaylanParagrafYazTipi"/>
    <w:rsid w:val="007A58BD"/>
  </w:style>
  <w:style w:type="character" w:customStyle="1" w:styleId="equationplaceholdertext">
    <w:name w:val="equationplaceholdertext"/>
    <w:basedOn w:val="VarsaylanParagrafYazTipi"/>
    <w:rsid w:val="007A58BD"/>
  </w:style>
  <w:style w:type="character" w:customStyle="1" w:styleId="scxw263059263">
    <w:name w:val="scxw263059263"/>
    <w:basedOn w:val="VarsaylanParagrafYazTipi"/>
    <w:rsid w:val="007A58BD"/>
  </w:style>
  <w:style w:type="character" w:customStyle="1" w:styleId="mo">
    <w:name w:val="mo"/>
    <w:basedOn w:val="VarsaylanParagrafYazTipi"/>
    <w:rsid w:val="007A58BD"/>
  </w:style>
  <w:style w:type="character" w:customStyle="1" w:styleId="mi">
    <w:name w:val="mi"/>
    <w:basedOn w:val="VarsaylanParagrafYazTipi"/>
    <w:rsid w:val="007A58BD"/>
  </w:style>
  <w:style w:type="character" w:customStyle="1" w:styleId="mn">
    <w:name w:val="mn"/>
    <w:basedOn w:val="VarsaylanParagrafYazTipi"/>
    <w:rsid w:val="007A58BD"/>
  </w:style>
  <w:style w:type="character" w:customStyle="1" w:styleId="mjxassistivemathml">
    <w:name w:val="mjx_assistive_mathml"/>
    <w:basedOn w:val="VarsaylanParagrafYazTipi"/>
    <w:rsid w:val="007A58BD"/>
  </w:style>
  <w:style w:type="character" w:customStyle="1" w:styleId="scxw147860125">
    <w:name w:val="scxw147860125"/>
    <w:basedOn w:val="VarsaylanParagrafYazTipi"/>
    <w:rsid w:val="007C7A79"/>
  </w:style>
  <w:style w:type="paragraph" w:customStyle="1" w:styleId="Tablefonttype">
    <w:name w:val="Table font type"/>
    <w:basedOn w:val="Normal"/>
    <w:link w:val="TablefonttypeChar"/>
    <w:autoRedefine/>
    <w:qFormat/>
    <w:rsid w:val="004D6526"/>
    <w:pPr>
      <w:framePr w:hSpace="180" w:wrap="around" w:vAnchor="text" w:hAnchor="text" w:y="-83"/>
      <w:spacing w:line="276" w:lineRule="auto"/>
      <w:contextualSpacing/>
    </w:pPr>
    <w:rPr>
      <w:rFonts w:eastAsia="Times New Roman" w:cs="Times New Roman"/>
      <w:color w:val="000000" w:themeColor="text1"/>
      <w:sz w:val="22"/>
      <w:szCs w:val="24"/>
      <w:lang w:bidi="en-US"/>
    </w:rPr>
  </w:style>
  <w:style w:type="character" w:customStyle="1" w:styleId="TablefonttypeChar">
    <w:name w:val="Table font type Char"/>
    <w:basedOn w:val="VarsaylanParagrafYazTipi"/>
    <w:link w:val="Tablefonttype"/>
    <w:rsid w:val="004D6526"/>
    <w:rPr>
      <w:rFonts w:ascii="Times New Roman" w:eastAsia="Times New Roman" w:hAnsi="Times New Roman" w:cs="Times New Roman"/>
      <w:color w:val="000000" w:themeColor="text1"/>
      <w:szCs w:val="24"/>
      <w:lang w:val="en-US" w:bidi="en-US"/>
    </w:rPr>
  </w:style>
  <w:style w:type="paragraph" w:styleId="Kaynaka">
    <w:name w:val="Bibliography"/>
    <w:basedOn w:val="Normal"/>
    <w:next w:val="Normal"/>
    <w:uiPriority w:val="37"/>
    <w:unhideWhenUsed/>
    <w:rsid w:val="009558F7"/>
  </w:style>
  <w:style w:type="character" w:customStyle="1" w:styleId="A1">
    <w:name w:val="A1"/>
    <w:uiPriority w:val="99"/>
    <w:rsid w:val="00CD5899"/>
    <w:rPr>
      <w:rFonts w:cs="PF DinDisplay Pro"/>
      <w:b/>
      <w:bCs/>
      <w:color w:val="000000"/>
    </w:rPr>
  </w:style>
  <w:style w:type="paragraph" w:styleId="T5">
    <w:name w:val="toc 5"/>
    <w:basedOn w:val="Normal"/>
    <w:next w:val="Normal"/>
    <w:autoRedefine/>
    <w:uiPriority w:val="39"/>
    <w:unhideWhenUsed/>
    <w:rsid w:val="003F6F3A"/>
    <w:pPr>
      <w:spacing w:after="100" w:line="259" w:lineRule="auto"/>
      <w:ind w:left="880"/>
      <w:jc w:val="left"/>
    </w:pPr>
    <w:rPr>
      <w:rFonts w:asciiTheme="minorHAnsi" w:eastAsiaTheme="minorEastAsia" w:hAnsiTheme="minorHAnsi" w:cstheme="minorBidi"/>
      <w:sz w:val="22"/>
    </w:rPr>
  </w:style>
  <w:style w:type="paragraph" w:styleId="T6">
    <w:name w:val="toc 6"/>
    <w:basedOn w:val="Normal"/>
    <w:next w:val="Normal"/>
    <w:autoRedefine/>
    <w:uiPriority w:val="39"/>
    <w:unhideWhenUsed/>
    <w:rsid w:val="003F6F3A"/>
    <w:pPr>
      <w:spacing w:after="100" w:line="259" w:lineRule="auto"/>
      <w:ind w:left="1100"/>
      <w:jc w:val="left"/>
    </w:pPr>
    <w:rPr>
      <w:rFonts w:asciiTheme="minorHAnsi" w:eastAsiaTheme="minorEastAsia" w:hAnsiTheme="minorHAnsi" w:cstheme="minorBidi"/>
      <w:sz w:val="22"/>
    </w:rPr>
  </w:style>
  <w:style w:type="paragraph" w:styleId="T7">
    <w:name w:val="toc 7"/>
    <w:basedOn w:val="Normal"/>
    <w:next w:val="Normal"/>
    <w:autoRedefine/>
    <w:uiPriority w:val="39"/>
    <w:unhideWhenUsed/>
    <w:rsid w:val="003F6F3A"/>
    <w:pPr>
      <w:spacing w:after="100" w:line="259" w:lineRule="auto"/>
      <w:ind w:left="1320"/>
      <w:jc w:val="left"/>
    </w:pPr>
    <w:rPr>
      <w:rFonts w:asciiTheme="minorHAnsi" w:eastAsiaTheme="minorEastAsia" w:hAnsiTheme="minorHAnsi" w:cstheme="minorBidi"/>
      <w:sz w:val="22"/>
    </w:rPr>
  </w:style>
  <w:style w:type="paragraph" w:styleId="T8">
    <w:name w:val="toc 8"/>
    <w:basedOn w:val="Normal"/>
    <w:next w:val="Normal"/>
    <w:autoRedefine/>
    <w:uiPriority w:val="39"/>
    <w:unhideWhenUsed/>
    <w:rsid w:val="003F6F3A"/>
    <w:pPr>
      <w:spacing w:after="100" w:line="259" w:lineRule="auto"/>
      <w:ind w:left="1540"/>
      <w:jc w:val="left"/>
    </w:pPr>
    <w:rPr>
      <w:rFonts w:asciiTheme="minorHAnsi" w:eastAsiaTheme="minorEastAsia" w:hAnsiTheme="minorHAnsi" w:cstheme="minorBidi"/>
      <w:sz w:val="22"/>
    </w:rPr>
  </w:style>
  <w:style w:type="paragraph" w:styleId="T9">
    <w:name w:val="toc 9"/>
    <w:basedOn w:val="Normal"/>
    <w:next w:val="Normal"/>
    <w:autoRedefine/>
    <w:uiPriority w:val="39"/>
    <w:unhideWhenUsed/>
    <w:rsid w:val="003F6F3A"/>
    <w:pPr>
      <w:spacing w:after="100" w:line="259" w:lineRule="auto"/>
      <w:ind w:left="1760"/>
      <w:jc w:val="left"/>
    </w:pPr>
    <w:rPr>
      <w:rFonts w:asciiTheme="minorHAnsi" w:eastAsiaTheme="minorEastAsia" w:hAnsiTheme="minorHAnsi" w:cstheme="minorBidi"/>
      <w:sz w:val="22"/>
    </w:rPr>
  </w:style>
  <w:style w:type="paragraph" w:customStyle="1" w:styleId="TableCaption">
    <w:name w:val="Table Caption"/>
    <w:basedOn w:val="ResimYazs"/>
    <w:link w:val="TableCaptionChar"/>
    <w:qFormat/>
    <w:rsid w:val="00D33515"/>
    <w:pPr>
      <w:keepNext/>
      <w:spacing w:before="360" w:after="120" w:line="240" w:lineRule="auto"/>
      <w:jc w:val="left"/>
    </w:pPr>
  </w:style>
  <w:style w:type="paragraph" w:customStyle="1" w:styleId="FigureCaption">
    <w:name w:val="Figure Caption"/>
    <w:basedOn w:val="Normal"/>
    <w:link w:val="FigureCaptionChar"/>
    <w:qFormat/>
    <w:rsid w:val="00D33515"/>
    <w:pPr>
      <w:spacing w:before="120" w:after="480" w:line="240" w:lineRule="auto"/>
    </w:pPr>
    <w:rPr>
      <w:b/>
    </w:rPr>
  </w:style>
  <w:style w:type="character" w:customStyle="1" w:styleId="TableCaptionChar">
    <w:name w:val="Table Caption Char"/>
    <w:basedOn w:val="ResimYazsChar"/>
    <w:link w:val="TableCaption"/>
    <w:rsid w:val="00D33515"/>
    <w:rPr>
      <w:rFonts w:ascii="Times New Roman" w:hAnsi="Times New Roman" w:cstheme="minorHAnsi"/>
      <w:b/>
      <w:iCs/>
      <w:color w:val="000000" w:themeColor="text1"/>
      <w:sz w:val="24"/>
      <w:szCs w:val="18"/>
      <w:lang w:val="en-US"/>
    </w:rPr>
  </w:style>
  <w:style w:type="character" w:customStyle="1" w:styleId="FigureCaptionChar">
    <w:name w:val="Figure Caption Char"/>
    <w:basedOn w:val="VarsaylanParagrafYazTipi"/>
    <w:link w:val="FigureCaption"/>
    <w:rsid w:val="00D33515"/>
    <w:rPr>
      <w:rFonts w:ascii="Times New Roman" w:hAnsi="Times New Roman" w:cstheme="minorHAnsi"/>
      <w:b/>
      <w:sz w:val="24"/>
      <w:lang w:val="en-US"/>
    </w:rPr>
  </w:style>
  <w:style w:type="paragraph" w:styleId="HTMLncedenBiimlendirilmi">
    <w:name w:val="HTML Preformatted"/>
    <w:basedOn w:val="Normal"/>
    <w:link w:val="HTMLncedenBiimlendirilmiChar"/>
    <w:uiPriority w:val="99"/>
    <w:semiHidden/>
    <w:unhideWhenUsed/>
    <w:rsid w:val="00771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771867"/>
    <w:rPr>
      <w:rFonts w:ascii="Courier New" w:eastAsia="Times New Roman" w:hAnsi="Courier New" w:cs="Courier New"/>
      <w:sz w:val="20"/>
      <w:szCs w:val="20"/>
      <w:lang w:val="en-US"/>
    </w:rPr>
  </w:style>
  <w:style w:type="character" w:customStyle="1" w:styleId="y2iqfc">
    <w:name w:val="y2iqfc"/>
    <w:basedOn w:val="VarsaylanParagrafYazTipi"/>
    <w:rsid w:val="00771867"/>
  </w:style>
  <w:style w:type="paragraph" w:styleId="bekMetni">
    <w:name w:val="Block Text"/>
    <w:basedOn w:val="Normal"/>
    <w:uiPriority w:val="99"/>
    <w:unhideWhenUsed/>
    <w:rsid w:val="00BA7A63"/>
    <w:pPr>
      <w:spacing w:before="120" w:after="120" w:line="276" w:lineRule="auto"/>
      <w:ind w:right="357"/>
    </w:pPr>
    <w:rPr>
      <w:lang w:val="en-GB"/>
    </w:rPr>
  </w:style>
  <w:style w:type="paragraph" w:customStyle="1" w:styleId="Annexes">
    <w:name w:val="Annexes"/>
    <w:basedOn w:val="Balk2"/>
    <w:link w:val="AnnexesChar"/>
    <w:qFormat/>
    <w:rsid w:val="00270DB8"/>
    <w:pPr>
      <w:numPr>
        <w:ilvl w:val="0"/>
        <w:numId w:val="3"/>
      </w:numPr>
    </w:pPr>
  </w:style>
  <w:style w:type="character" w:customStyle="1" w:styleId="AnnexesChar">
    <w:name w:val="Annexes Char"/>
    <w:basedOn w:val="Balk2Char"/>
    <w:link w:val="Annexes"/>
    <w:rsid w:val="00270DB8"/>
    <w:rPr>
      <w:rFonts w:ascii="Times New Roman" w:eastAsiaTheme="majorEastAsia" w:hAnsi="Times New Roman" w:cstheme="majorBidi"/>
      <w:b/>
      <w:sz w:val="24"/>
      <w:szCs w:val="26"/>
      <w:lang w:val="en-US"/>
    </w:rPr>
  </w:style>
  <w:style w:type="paragraph" w:customStyle="1" w:styleId="Table-">
    <w:name w:val="Table -"/>
    <w:basedOn w:val="ListeParagraf"/>
    <w:link w:val="Table-Char"/>
    <w:autoRedefine/>
    <w:qFormat/>
    <w:rsid w:val="00585009"/>
    <w:pPr>
      <w:numPr>
        <w:numId w:val="4"/>
      </w:numPr>
      <w:spacing w:line="276" w:lineRule="auto"/>
      <w:ind w:right="357"/>
      <w:jc w:val="left"/>
    </w:pPr>
    <w:rPr>
      <w:color w:val="000000" w:themeColor="text1"/>
      <w:sz w:val="22"/>
      <w:szCs w:val="20"/>
      <w:lang w:val="en-GB"/>
    </w:rPr>
  </w:style>
  <w:style w:type="character" w:customStyle="1" w:styleId="Table-Char">
    <w:name w:val="Table - Char"/>
    <w:basedOn w:val="VarsaylanParagrafYazTipi"/>
    <w:link w:val="Table-"/>
    <w:rsid w:val="00585009"/>
    <w:rPr>
      <w:rFonts w:ascii="Times New Roman" w:hAnsi="Times New Roman" w:cstheme="minorHAnsi"/>
      <w:color w:val="000000" w:themeColor="text1"/>
      <w:szCs w:val="20"/>
      <w:lang w:val="en-GB"/>
    </w:rPr>
  </w:style>
  <w:style w:type="character" w:styleId="YerTutucuMetni">
    <w:name w:val="Placeholder Text"/>
    <w:basedOn w:val="VarsaylanParagrafYazTipi"/>
    <w:uiPriority w:val="99"/>
    <w:semiHidden/>
    <w:rsid w:val="00460386"/>
    <w:rPr>
      <w:color w:val="808080"/>
    </w:rPr>
  </w:style>
  <w:style w:type="paragraph" w:customStyle="1" w:styleId="Sideheading">
    <w:name w:val="Side heading"/>
    <w:basedOn w:val="Normal"/>
    <w:link w:val="SideheadingChar"/>
    <w:qFormat/>
    <w:rsid w:val="008D61F3"/>
    <w:rPr>
      <w:b/>
    </w:rPr>
  </w:style>
  <w:style w:type="table" w:customStyle="1" w:styleId="TableNormal1">
    <w:name w:val="Table Normal1"/>
    <w:uiPriority w:val="2"/>
    <w:semiHidden/>
    <w:unhideWhenUsed/>
    <w:qFormat/>
    <w:rsid w:val="008D61F3"/>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SideheadingChar">
    <w:name w:val="Side heading Char"/>
    <w:basedOn w:val="VarsaylanParagrafYazTipi"/>
    <w:link w:val="Sideheading"/>
    <w:rsid w:val="008D61F3"/>
    <w:rPr>
      <w:rFonts w:ascii="Times New Roman" w:hAnsi="Times New Roman" w:cstheme="minorHAnsi"/>
      <w:b/>
      <w:sz w:val="24"/>
      <w:lang w:val="en-US"/>
    </w:rPr>
  </w:style>
  <w:style w:type="paragraph" w:customStyle="1" w:styleId="TableParagraph">
    <w:name w:val="Table Paragraph"/>
    <w:basedOn w:val="Normal"/>
    <w:uiPriority w:val="1"/>
    <w:qFormat/>
    <w:rsid w:val="008D61F3"/>
    <w:pPr>
      <w:widowControl w:val="0"/>
      <w:autoSpaceDE w:val="0"/>
      <w:autoSpaceDN w:val="0"/>
      <w:spacing w:line="240" w:lineRule="auto"/>
      <w:jc w:val="left"/>
    </w:pPr>
    <w:rPr>
      <w:rFonts w:eastAsia="Times New Roman" w:cs="Times New Roman"/>
      <w:lang w:val="tr-TR"/>
    </w:rPr>
  </w:style>
  <w:style w:type="paragraph" w:styleId="TBal">
    <w:name w:val="TOC Heading"/>
    <w:basedOn w:val="Balk1"/>
    <w:next w:val="Normal"/>
    <w:uiPriority w:val="39"/>
    <w:unhideWhenUsed/>
    <w:qFormat/>
    <w:rsid w:val="00221C7C"/>
    <w:pPr>
      <w:numPr>
        <w:numId w:val="0"/>
      </w:numPr>
      <w:spacing w:before="240" w:line="259" w:lineRule="auto"/>
      <w:jc w:val="left"/>
      <w:outlineLvl w:val="9"/>
    </w:pPr>
    <w:rPr>
      <w:rFonts w:asciiTheme="majorHAnsi" w:hAnsiTheme="majorHAnsi"/>
      <w:b w:val="0"/>
      <w:color w:val="2F5496" w:themeColor="accent1" w:themeShade="BF"/>
      <w:sz w:val="32"/>
    </w:rPr>
  </w:style>
  <w:style w:type="paragraph" w:styleId="GvdeMetni">
    <w:name w:val="Body Text"/>
    <w:basedOn w:val="Normal"/>
    <w:link w:val="GvdeMetniChar"/>
    <w:uiPriority w:val="1"/>
    <w:qFormat/>
    <w:rsid w:val="00532A72"/>
    <w:pPr>
      <w:widowControl w:val="0"/>
      <w:autoSpaceDE w:val="0"/>
      <w:autoSpaceDN w:val="0"/>
      <w:spacing w:line="240" w:lineRule="auto"/>
      <w:jc w:val="left"/>
    </w:pPr>
    <w:rPr>
      <w:rFonts w:eastAsia="Times New Roman" w:cs="Times New Roman"/>
      <w:sz w:val="22"/>
      <w:lang w:val="tr-TR"/>
    </w:rPr>
  </w:style>
  <w:style w:type="character" w:customStyle="1" w:styleId="GvdeMetniChar">
    <w:name w:val="Gövde Metni Char"/>
    <w:basedOn w:val="VarsaylanParagrafYazTipi"/>
    <w:link w:val="GvdeMetni"/>
    <w:uiPriority w:val="1"/>
    <w:rsid w:val="00532A72"/>
    <w:rPr>
      <w:rFonts w:ascii="Times New Roman" w:eastAsia="Times New Roman" w:hAnsi="Times New Roman" w:cs="Times New Roman"/>
    </w:rPr>
  </w:style>
  <w:style w:type="table" w:customStyle="1" w:styleId="TabloKlavuzu1">
    <w:name w:val="Tablo Kılavuzu1"/>
    <w:basedOn w:val="NormalTablo"/>
    <w:next w:val="TabloKlavuzu"/>
    <w:uiPriority w:val="39"/>
    <w:rsid w:val="001B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Liste-Vurgu11">
    <w:name w:val="Renkli Liste - Vurgu 11"/>
    <w:basedOn w:val="Normal"/>
    <w:qFormat/>
    <w:rsid w:val="007A6A5D"/>
    <w:pPr>
      <w:spacing w:after="60" w:line="252" w:lineRule="auto"/>
      <w:ind w:left="709"/>
      <w:jc w:val="left"/>
    </w:pPr>
    <w:rPr>
      <w:rFonts w:eastAsia="Times New Roman" w:cs="Calibri"/>
      <w:sz w:val="22"/>
      <w:lang w:val="tr-TR"/>
    </w:rPr>
  </w:style>
  <w:style w:type="paragraph" w:customStyle="1" w:styleId="BulletList">
    <w:name w:val="BulletList"/>
    <w:basedOn w:val="Normal"/>
    <w:link w:val="BulletListChar"/>
    <w:qFormat/>
    <w:rsid w:val="00304275"/>
    <w:pPr>
      <w:numPr>
        <w:numId w:val="6"/>
      </w:numPr>
      <w:spacing w:before="120" w:after="60" w:line="240" w:lineRule="auto"/>
    </w:pPr>
    <w:rPr>
      <w:rFonts w:eastAsia="Times New Roman" w:cs="Times New Roman"/>
      <w:sz w:val="22"/>
      <w:szCs w:val="24"/>
      <w:lang w:val="tr-TR" w:eastAsia="tr-TR"/>
    </w:rPr>
  </w:style>
  <w:style w:type="character" w:customStyle="1" w:styleId="BulletListChar">
    <w:name w:val="BulletList Char"/>
    <w:link w:val="BulletList"/>
    <w:rsid w:val="00304275"/>
    <w:rPr>
      <w:rFonts w:ascii="Times New Roman" w:eastAsia="Times New Roman" w:hAnsi="Times New Roman" w:cs="Times New Roman"/>
      <w:szCs w:val="24"/>
      <w:lang w:eastAsia="tr-TR"/>
    </w:rPr>
  </w:style>
  <w:style w:type="numbering" w:customStyle="1" w:styleId="ListeYok1">
    <w:name w:val="Liste Yok1"/>
    <w:next w:val="ListeYok"/>
    <w:uiPriority w:val="99"/>
    <w:semiHidden/>
    <w:unhideWhenUsed/>
    <w:rsid w:val="00BB704F"/>
  </w:style>
  <w:style w:type="table" w:customStyle="1" w:styleId="TabloKlavuzu2">
    <w:name w:val="Tablo Kılavuzu2"/>
    <w:basedOn w:val="NormalTablo"/>
    <w:next w:val="TabloKlavuzu"/>
    <w:uiPriority w:val="39"/>
    <w:rsid w:val="00BB704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hset3">
    <w:name w:val="Bahset3"/>
    <w:basedOn w:val="VarsaylanParagrafYazTipi"/>
    <w:uiPriority w:val="99"/>
    <w:unhideWhenUsed/>
    <w:rsid w:val="00BB704F"/>
    <w:rPr>
      <w:color w:val="2B579A"/>
      <w:shd w:val="clear" w:color="auto" w:fill="E1DFDD"/>
    </w:rPr>
  </w:style>
  <w:style w:type="table" w:customStyle="1" w:styleId="ListTable311">
    <w:name w:val="List Table 311"/>
    <w:basedOn w:val="NormalTablo"/>
    <w:uiPriority w:val="48"/>
    <w:rsid w:val="00BB704F"/>
    <w:pPr>
      <w:numPr>
        <w:numId w:val="6"/>
      </w:numPr>
      <w:spacing w:after="0" w:line="240" w:lineRule="auto"/>
      <w:ind w:left="720" w:hanging="720"/>
    </w:p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zmlenmeyenBahsetme3">
    <w:name w:val="Çözümlenmeyen Bahsetme3"/>
    <w:basedOn w:val="VarsaylanParagrafYazTipi"/>
    <w:uiPriority w:val="99"/>
    <w:semiHidden/>
    <w:unhideWhenUsed/>
    <w:rsid w:val="00BB704F"/>
    <w:rPr>
      <w:color w:val="605E5C"/>
      <w:shd w:val="clear" w:color="auto" w:fill="E1DFDD"/>
    </w:rPr>
  </w:style>
  <w:style w:type="numbering" w:customStyle="1" w:styleId="ListeYok2">
    <w:name w:val="Liste Yok2"/>
    <w:next w:val="ListeYok"/>
    <w:uiPriority w:val="99"/>
    <w:semiHidden/>
    <w:unhideWhenUsed/>
    <w:rsid w:val="00172694"/>
  </w:style>
  <w:style w:type="paragraph" w:styleId="NormalWeb">
    <w:name w:val="Normal (Web)"/>
    <w:basedOn w:val="Normal"/>
    <w:uiPriority w:val="99"/>
    <w:unhideWhenUsed/>
    <w:rsid w:val="00172694"/>
    <w:pPr>
      <w:spacing w:before="100" w:beforeAutospacing="1" w:after="100" w:afterAutospacing="1" w:line="276" w:lineRule="auto"/>
      <w:jc w:val="left"/>
    </w:pPr>
    <w:rPr>
      <w:rFonts w:eastAsiaTheme="minorEastAsia" w:cs="Times New Roman"/>
      <w:szCs w:val="24"/>
      <w:lang w:eastAsia="ko-KR"/>
    </w:rPr>
  </w:style>
  <w:style w:type="character" w:customStyle="1" w:styleId="Mention1">
    <w:name w:val="Mention1"/>
    <w:basedOn w:val="VarsaylanParagrafYazTipi"/>
    <w:uiPriority w:val="99"/>
    <w:unhideWhenUsed/>
    <w:rsid w:val="000F3B99"/>
    <w:rPr>
      <w:color w:val="2B579A"/>
      <w:shd w:val="clear" w:color="auto" w:fill="E1DFDD"/>
    </w:rPr>
  </w:style>
  <w:style w:type="character" w:customStyle="1" w:styleId="UnresolvedMention1">
    <w:name w:val="Unresolved Mention1"/>
    <w:basedOn w:val="VarsaylanParagrafYazTipi"/>
    <w:uiPriority w:val="99"/>
    <w:semiHidden/>
    <w:unhideWhenUsed/>
    <w:rsid w:val="000F3B99"/>
    <w:rPr>
      <w:color w:val="605E5C"/>
      <w:shd w:val="clear" w:color="auto" w:fill="E1DFDD"/>
    </w:rPr>
  </w:style>
  <w:style w:type="character" w:customStyle="1" w:styleId="cf01">
    <w:name w:val="cf01"/>
    <w:basedOn w:val="VarsaylanParagrafYazTipi"/>
    <w:rsid w:val="000F3B99"/>
    <w:rPr>
      <w:rFonts w:ascii="Segoe UI" w:hAnsi="Segoe UI" w:cs="Segoe UI" w:hint="default"/>
      <w:sz w:val="18"/>
      <w:szCs w:val="18"/>
    </w:rPr>
  </w:style>
  <w:style w:type="paragraph" w:customStyle="1" w:styleId="3-normalyaz">
    <w:name w:val="3-normalyaz"/>
    <w:basedOn w:val="Normal"/>
    <w:rsid w:val="00292B70"/>
    <w:pPr>
      <w:spacing w:before="100" w:beforeAutospacing="1" w:after="100" w:afterAutospacing="1" w:line="240" w:lineRule="auto"/>
      <w:jc w:val="left"/>
    </w:pPr>
    <w:rPr>
      <w:rFonts w:eastAsia="Times New Roman" w:cs="Times New Roman"/>
      <w:szCs w:val="24"/>
      <w:lang w:val="tr-TR" w:eastAsia="tr-TR"/>
    </w:rPr>
  </w:style>
  <w:style w:type="numbering" w:customStyle="1" w:styleId="GeerliListe1">
    <w:name w:val="Geçerli Liste1"/>
    <w:uiPriority w:val="99"/>
    <w:rsid w:val="00DB713F"/>
    <w:pPr>
      <w:numPr>
        <w:numId w:val="138"/>
      </w:numPr>
    </w:pPr>
  </w:style>
  <w:style w:type="character" w:styleId="SatrNumaras">
    <w:name w:val="line number"/>
    <w:basedOn w:val="VarsaylanParagrafYazTipi"/>
    <w:uiPriority w:val="99"/>
    <w:semiHidden/>
    <w:unhideWhenUsed/>
    <w:rsid w:val="006050A8"/>
  </w:style>
  <w:style w:type="numbering" w:customStyle="1" w:styleId="GeerliListe2">
    <w:name w:val="Geçerli Liste2"/>
    <w:uiPriority w:val="99"/>
    <w:rsid w:val="00E15001"/>
    <w:pPr>
      <w:numPr>
        <w:numId w:val="146"/>
      </w:numPr>
    </w:pPr>
  </w:style>
  <w:style w:type="character" w:styleId="SayfaNumaras">
    <w:name w:val="page number"/>
    <w:basedOn w:val="VarsaylanParagrafYazTipi"/>
    <w:uiPriority w:val="99"/>
    <w:semiHidden/>
    <w:unhideWhenUsed/>
    <w:rsid w:val="00396B0B"/>
  </w:style>
  <w:style w:type="numbering" w:customStyle="1" w:styleId="GeerliListe3">
    <w:name w:val="Geçerli Liste3"/>
    <w:uiPriority w:val="99"/>
    <w:rsid w:val="00D522C9"/>
    <w:pPr>
      <w:numPr>
        <w:numId w:val="150"/>
      </w:numPr>
    </w:pPr>
  </w:style>
  <w:style w:type="numbering" w:customStyle="1" w:styleId="GeerliListe4">
    <w:name w:val="Geçerli Liste4"/>
    <w:uiPriority w:val="99"/>
    <w:rsid w:val="00773DBB"/>
    <w:pPr>
      <w:numPr>
        <w:numId w:val="155"/>
      </w:numPr>
    </w:pPr>
  </w:style>
  <w:style w:type="numbering" w:customStyle="1" w:styleId="GeerliListe5">
    <w:name w:val="Geçerli Liste5"/>
    <w:uiPriority w:val="99"/>
    <w:rsid w:val="00773DBB"/>
    <w:pPr>
      <w:numPr>
        <w:numId w:val="156"/>
      </w:numPr>
    </w:pPr>
  </w:style>
  <w:style w:type="numbering" w:customStyle="1" w:styleId="GeerliListe6">
    <w:name w:val="Geçerli Liste6"/>
    <w:uiPriority w:val="99"/>
    <w:rsid w:val="00773DBB"/>
    <w:pPr>
      <w:numPr>
        <w:numId w:val="157"/>
      </w:numPr>
    </w:pPr>
  </w:style>
  <w:style w:type="numbering" w:customStyle="1" w:styleId="GeerliListe7">
    <w:name w:val="Geçerli Liste7"/>
    <w:uiPriority w:val="99"/>
    <w:rsid w:val="00773DBB"/>
    <w:pPr>
      <w:numPr>
        <w:numId w:val="158"/>
      </w:numPr>
    </w:pPr>
  </w:style>
  <w:style w:type="numbering" w:customStyle="1" w:styleId="GeerliListe8">
    <w:name w:val="Geçerli Liste8"/>
    <w:uiPriority w:val="99"/>
    <w:rsid w:val="00773DBB"/>
    <w:pPr>
      <w:numPr>
        <w:numId w:val="160"/>
      </w:numPr>
    </w:pPr>
  </w:style>
  <w:style w:type="numbering" w:customStyle="1" w:styleId="GeerliListe9">
    <w:name w:val="Geçerli Liste9"/>
    <w:uiPriority w:val="99"/>
    <w:rsid w:val="004662C0"/>
    <w:pPr>
      <w:numPr>
        <w:numId w:val="167"/>
      </w:numPr>
    </w:pPr>
  </w:style>
  <w:style w:type="character" w:customStyle="1" w:styleId="mord">
    <w:name w:val="mord"/>
    <w:basedOn w:val="VarsaylanParagrafYazTipi"/>
    <w:rsid w:val="00326F19"/>
  </w:style>
  <w:style w:type="character" w:customStyle="1" w:styleId="vlist-s">
    <w:name w:val="vlist-s"/>
    <w:basedOn w:val="VarsaylanParagrafYazTipi"/>
    <w:rsid w:val="00326F19"/>
  </w:style>
  <w:style w:type="character" w:customStyle="1" w:styleId="mrel">
    <w:name w:val="mrel"/>
    <w:basedOn w:val="VarsaylanParagrafYazTipi"/>
    <w:rsid w:val="00326F19"/>
  </w:style>
  <w:style w:type="character" w:customStyle="1" w:styleId="mopen">
    <w:name w:val="mopen"/>
    <w:basedOn w:val="VarsaylanParagrafYazTipi"/>
    <w:rsid w:val="00326F19"/>
  </w:style>
  <w:style w:type="character" w:customStyle="1" w:styleId="mop">
    <w:name w:val="mop"/>
    <w:basedOn w:val="VarsaylanParagrafYazTipi"/>
    <w:rsid w:val="00326F19"/>
  </w:style>
  <w:style w:type="character" w:customStyle="1" w:styleId="mbin">
    <w:name w:val="mbin"/>
    <w:basedOn w:val="VarsaylanParagrafYazTipi"/>
    <w:rsid w:val="00326F19"/>
  </w:style>
  <w:style w:type="character" w:customStyle="1" w:styleId="mclose">
    <w:name w:val="mclose"/>
    <w:basedOn w:val="VarsaylanParagrafYazTipi"/>
    <w:rsid w:val="00326F19"/>
  </w:style>
  <w:style w:type="table" w:customStyle="1" w:styleId="TableNormal11">
    <w:name w:val="Table Normal11"/>
    <w:uiPriority w:val="2"/>
    <w:semiHidden/>
    <w:unhideWhenUsed/>
    <w:qFormat/>
    <w:rsid w:val="007C2D79"/>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KitapBal">
    <w:name w:val="Book Title"/>
    <w:basedOn w:val="VarsaylanParagrafYazTipi"/>
    <w:uiPriority w:val="33"/>
    <w:qFormat/>
    <w:rsid w:val="00467A98"/>
    <w:rPr>
      <w:b/>
      <w:bCs/>
      <w:i/>
      <w:iCs/>
      <w:spacing w:val="5"/>
    </w:rPr>
  </w:style>
  <w:style w:type="character" w:styleId="GlBavuru">
    <w:name w:val="Intense Reference"/>
    <w:basedOn w:val="VarsaylanParagrafYazTipi"/>
    <w:uiPriority w:val="32"/>
    <w:qFormat/>
    <w:rsid w:val="00467A98"/>
    <w:rPr>
      <w:b/>
      <w:bCs/>
      <w:smallCaps/>
      <w:color w:val="4472C4" w:themeColor="accent1"/>
      <w:spacing w:val="5"/>
    </w:rPr>
  </w:style>
  <w:style w:type="character" w:customStyle="1" w:styleId="zmlenmeyenBahsetme">
    <w:name w:val="Çözümlenmeyen Bahsetme"/>
    <w:uiPriority w:val="99"/>
    <w:semiHidden/>
    <w:unhideWhenUsed/>
    <w:rsid w:val="00A52778"/>
    <w:rPr>
      <w:color w:val="605E5C"/>
      <w:shd w:val="clear" w:color="auto" w:fill="E1DFDD"/>
    </w:rPr>
  </w:style>
  <w:style w:type="character" w:styleId="Gl">
    <w:name w:val="Strong"/>
    <w:uiPriority w:val="22"/>
    <w:qFormat/>
    <w:rsid w:val="00A52778"/>
    <w:rPr>
      <w:b/>
      <w:bCs/>
    </w:rPr>
  </w:style>
  <w:style w:type="paragraph" w:styleId="AralkYok">
    <w:name w:val="No Spacing"/>
    <w:uiPriority w:val="1"/>
    <w:qFormat/>
    <w:rsid w:val="00A52778"/>
    <w:pPr>
      <w:spacing w:after="0" w:line="240" w:lineRule="auto"/>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601">
      <w:bodyDiv w:val="1"/>
      <w:marLeft w:val="0"/>
      <w:marRight w:val="0"/>
      <w:marTop w:val="0"/>
      <w:marBottom w:val="0"/>
      <w:divBdr>
        <w:top w:val="none" w:sz="0" w:space="0" w:color="auto"/>
        <w:left w:val="none" w:sz="0" w:space="0" w:color="auto"/>
        <w:bottom w:val="none" w:sz="0" w:space="0" w:color="auto"/>
        <w:right w:val="none" w:sz="0" w:space="0" w:color="auto"/>
      </w:divBdr>
    </w:div>
    <w:div w:id="7760121">
      <w:bodyDiv w:val="1"/>
      <w:marLeft w:val="0"/>
      <w:marRight w:val="0"/>
      <w:marTop w:val="0"/>
      <w:marBottom w:val="0"/>
      <w:divBdr>
        <w:top w:val="none" w:sz="0" w:space="0" w:color="auto"/>
        <w:left w:val="none" w:sz="0" w:space="0" w:color="auto"/>
        <w:bottom w:val="none" w:sz="0" w:space="0" w:color="auto"/>
        <w:right w:val="none" w:sz="0" w:space="0" w:color="auto"/>
      </w:divBdr>
    </w:div>
    <w:div w:id="7871453">
      <w:bodyDiv w:val="1"/>
      <w:marLeft w:val="0"/>
      <w:marRight w:val="0"/>
      <w:marTop w:val="0"/>
      <w:marBottom w:val="0"/>
      <w:divBdr>
        <w:top w:val="none" w:sz="0" w:space="0" w:color="auto"/>
        <w:left w:val="none" w:sz="0" w:space="0" w:color="auto"/>
        <w:bottom w:val="none" w:sz="0" w:space="0" w:color="auto"/>
        <w:right w:val="none" w:sz="0" w:space="0" w:color="auto"/>
      </w:divBdr>
    </w:div>
    <w:div w:id="8914508">
      <w:bodyDiv w:val="1"/>
      <w:marLeft w:val="0"/>
      <w:marRight w:val="0"/>
      <w:marTop w:val="0"/>
      <w:marBottom w:val="0"/>
      <w:divBdr>
        <w:top w:val="none" w:sz="0" w:space="0" w:color="auto"/>
        <w:left w:val="none" w:sz="0" w:space="0" w:color="auto"/>
        <w:bottom w:val="none" w:sz="0" w:space="0" w:color="auto"/>
        <w:right w:val="none" w:sz="0" w:space="0" w:color="auto"/>
      </w:divBdr>
    </w:div>
    <w:div w:id="33887946">
      <w:bodyDiv w:val="1"/>
      <w:marLeft w:val="0"/>
      <w:marRight w:val="0"/>
      <w:marTop w:val="0"/>
      <w:marBottom w:val="0"/>
      <w:divBdr>
        <w:top w:val="none" w:sz="0" w:space="0" w:color="auto"/>
        <w:left w:val="none" w:sz="0" w:space="0" w:color="auto"/>
        <w:bottom w:val="none" w:sz="0" w:space="0" w:color="auto"/>
        <w:right w:val="none" w:sz="0" w:space="0" w:color="auto"/>
      </w:divBdr>
    </w:div>
    <w:div w:id="34548750">
      <w:bodyDiv w:val="1"/>
      <w:marLeft w:val="0"/>
      <w:marRight w:val="0"/>
      <w:marTop w:val="0"/>
      <w:marBottom w:val="0"/>
      <w:divBdr>
        <w:top w:val="none" w:sz="0" w:space="0" w:color="auto"/>
        <w:left w:val="none" w:sz="0" w:space="0" w:color="auto"/>
        <w:bottom w:val="none" w:sz="0" w:space="0" w:color="auto"/>
        <w:right w:val="none" w:sz="0" w:space="0" w:color="auto"/>
      </w:divBdr>
      <w:divsChild>
        <w:div w:id="606275871">
          <w:marLeft w:val="0"/>
          <w:marRight w:val="0"/>
          <w:marTop w:val="0"/>
          <w:marBottom w:val="0"/>
          <w:divBdr>
            <w:top w:val="none" w:sz="0" w:space="0" w:color="auto"/>
            <w:left w:val="none" w:sz="0" w:space="0" w:color="auto"/>
            <w:bottom w:val="none" w:sz="0" w:space="0" w:color="auto"/>
            <w:right w:val="none" w:sz="0" w:space="0" w:color="auto"/>
          </w:divBdr>
          <w:divsChild>
            <w:div w:id="101003265">
              <w:marLeft w:val="0"/>
              <w:marRight w:val="0"/>
              <w:marTop w:val="0"/>
              <w:marBottom w:val="0"/>
              <w:divBdr>
                <w:top w:val="none" w:sz="0" w:space="0" w:color="auto"/>
                <w:left w:val="none" w:sz="0" w:space="0" w:color="auto"/>
                <w:bottom w:val="none" w:sz="0" w:space="0" w:color="auto"/>
                <w:right w:val="none" w:sz="0" w:space="0" w:color="auto"/>
              </w:divBdr>
              <w:divsChild>
                <w:div w:id="15391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526">
      <w:bodyDiv w:val="1"/>
      <w:marLeft w:val="0"/>
      <w:marRight w:val="0"/>
      <w:marTop w:val="0"/>
      <w:marBottom w:val="0"/>
      <w:divBdr>
        <w:top w:val="none" w:sz="0" w:space="0" w:color="auto"/>
        <w:left w:val="none" w:sz="0" w:space="0" w:color="auto"/>
        <w:bottom w:val="none" w:sz="0" w:space="0" w:color="auto"/>
        <w:right w:val="none" w:sz="0" w:space="0" w:color="auto"/>
      </w:divBdr>
    </w:div>
    <w:div w:id="41440229">
      <w:bodyDiv w:val="1"/>
      <w:marLeft w:val="0"/>
      <w:marRight w:val="0"/>
      <w:marTop w:val="0"/>
      <w:marBottom w:val="0"/>
      <w:divBdr>
        <w:top w:val="none" w:sz="0" w:space="0" w:color="auto"/>
        <w:left w:val="none" w:sz="0" w:space="0" w:color="auto"/>
        <w:bottom w:val="none" w:sz="0" w:space="0" w:color="auto"/>
        <w:right w:val="none" w:sz="0" w:space="0" w:color="auto"/>
      </w:divBdr>
    </w:div>
    <w:div w:id="44329986">
      <w:bodyDiv w:val="1"/>
      <w:marLeft w:val="0"/>
      <w:marRight w:val="0"/>
      <w:marTop w:val="0"/>
      <w:marBottom w:val="0"/>
      <w:divBdr>
        <w:top w:val="none" w:sz="0" w:space="0" w:color="auto"/>
        <w:left w:val="none" w:sz="0" w:space="0" w:color="auto"/>
        <w:bottom w:val="none" w:sz="0" w:space="0" w:color="auto"/>
        <w:right w:val="none" w:sz="0" w:space="0" w:color="auto"/>
      </w:divBdr>
    </w:div>
    <w:div w:id="80489039">
      <w:bodyDiv w:val="1"/>
      <w:marLeft w:val="0"/>
      <w:marRight w:val="0"/>
      <w:marTop w:val="0"/>
      <w:marBottom w:val="0"/>
      <w:divBdr>
        <w:top w:val="none" w:sz="0" w:space="0" w:color="auto"/>
        <w:left w:val="none" w:sz="0" w:space="0" w:color="auto"/>
        <w:bottom w:val="none" w:sz="0" w:space="0" w:color="auto"/>
        <w:right w:val="none" w:sz="0" w:space="0" w:color="auto"/>
      </w:divBdr>
    </w:div>
    <w:div w:id="84037478">
      <w:bodyDiv w:val="1"/>
      <w:marLeft w:val="0"/>
      <w:marRight w:val="0"/>
      <w:marTop w:val="0"/>
      <w:marBottom w:val="0"/>
      <w:divBdr>
        <w:top w:val="none" w:sz="0" w:space="0" w:color="auto"/>
        <w:left w:val="none" w:sz="0" w:space="0" w:color="auto"/>
        <w:bottom w:val="none" w:sz="0" w:space="0" w:color="auto"/>
        <w:right w:val="none" w:sz="0" w:space="0" w:color="auto"/>
      </w:divBdr>
    </w:div>
    <w:div w:id="85620586">
      <w:bodyDiv w:val="1"/>
      <w:marLeft w:val="0"/>
      <w:marRight w:val="0"/>
      <w:marTop w:val="0"/>
      <w:marBottom w:val="0"/>
      <w:divBdr>
        <w:top w:val="none" w:sz="0" w:space="0" w:color="auto"/>
        <w:left w:val="none" w:sz="0" w:space="0" w:color="auto"/>
        <w:bottom w:val="none" w:sz="0" w:space="0" w:color="auto"/>
        <w:right w:val="none" w:sz="0" w:space="0" w:color="auto"/>
      </w:divBdr>
    </w:div>
    <w:div w:id="87890300">
      <w:bodyDiv w:val="1"/>
      <w:marLeft w:val="0"/>
      <w:marRight w:val="0"/>
      <w:marTop w:val="0"/>
      <w:marBottom w:val="0"/>
      <w:divBdr>
        <w:top w:val="none" w:sz="0" w:space="0" w:color="auto"/>
        <w:left w:val="none" w:sz="0" w:space="0" w:color="auto"/>
        <w:bottom w:val="none" w:sz="0" w:space="0" w:color="auto"/>
        <w:right w:val="none" w:sz="0" w:space="0" w:color="auto"/>
      </w:divBdr>
    </w:div>
    <w:div w:id="88701825">
      <w:bodyDiv w:val="1"/>
      <w:marLeft w:val="0"/>
      <w:marRight w:val="0"/>
      <w:marTop w:val="0"/>
      <w:marBottom w:val="0"/>
      <w:divBdr>
        <w:top w:val="none" w:sz="0" w:space="0" w:color="auto"/>
        <w:left w:val="none" w:sz="0" w:space="0" w:color="auto"/>
        <w:bottom w:val="none" w:sz="0" w:space="0" w:color="auto"/>
        <w:right w:val="none" w:sz="0" w:space="0" w:color="auto"/>
      </w:divBdr>
    </w:div>
    <w:div w:id="90467891">
      <w:bodyDiv w:val="1"/>
      <w:marLeft w:val="0"/>
      <w:marRight w:val="0"/>
      <w:marTop w:val="0"/>
      <w:marBottom w:val="0"/>
      <w:divBdr>
        <w:top w:val="none" w:sz="0" w:space="0" w:color="auto"/>
        <w:left w:val="none" w:sz="0" w:space="0" w:color="auto"/>
        <w:bottom w:val="none" w:sz="0" w:space="0" w:color="auto"/>
        <w:right w:val="none" w:sz="0" w:space="0" w:color="auto"/>
      </w:divBdr>
    </w:div>
    <w:div w:id="105002027">
      <w:bodyDiv w:val="1"/>
      <w:marLeft w:val="0"/>
      <w:marRight w:val="0"/>
      <w:marTop w:val="0"/>
      <w:marBottom w:val="0"/>
      <w:divBdr>
        <w:top w:val="none" w:sz="0" w:space="0" w:color="auto"/>
        <w:left w:val="none" w:sz="0" w:space="0" w:color="auto"/>
        <w:bottom w:val="none" w:sz="0" w:space="0" w:color="auto"/>
        <w:right w:val="none" w:sz="0" w:space="0" w:color="auto"/>
      </w:divBdr>
    </w:div>
    <w:div w:id="111678235">
      <w:bodyDiv w:val="1"/>
      <w:marLeft w:val="0"/>
      <w:marRight w:val="0"/>
      <w:marTop w:val="0"/>
      <w:marBottom w:val="0"/>
      <w:divBdr>
        <w:top w:val="none" w:sz="0" w:space="0" w:color="auto"/>
        <w:left w:val="none" w:sz="0" w:space="0" w:color="auto"/>
        <w:bottom w:val="none" w:sz="0" w:space="0" w:color="auto"/>
        <w:right w:val="none" w:sz="0" w:space="0" w:color="auto"/>
      </w:divBdr>
    </w:div>
    <w:div w:id="121969794">
      <w:bodyDiv w:val="1"/>
      <w:marLeft w:val="0"/>
      <w:marRight w:val="0"/>
      <w:marTop w:val="0"/>
      <w:marBottom w:val="0"/>
      <w:divBdr>
        <w:top w:val="none" w:sz="0" w:space="0" w:color="auto"/>
        <w:left w:val="none" w:sz="0" w:space="0" w:color="auto"/>
        <w:bottom w:val="none" w:sz="0" w:space="0" w:color="auto"/>
        <w:right w:val="none" w:sz="0" w:space="0" w:color="auto"/>
      </w:divBdr>
    </w:div>
    <w:div w:id="122385186">
      <w:bodyDiv w:val="1"/>
      <w:marLeft w:val="0"/>
      <w:marRight w:val="0"/>
      <w:marTop w:val="0"/>
      <w:marBottom w:val="0"/>
      <w:divBdr>
        <w:top w:val="none" w:sz="0" w:space="0" w:color="auto"/>
        <w:left w:val="none" w:sz="0" w:space="0" w:color="auto"/>
        <w:bottom w:val="none" w:sz="0" w:space="0" w:color="auto"/>
        <w:right w:val="none" w:sz="0" w:space="0" w:color="auto"/>
      </w:divBdr>
    </w:div>
    <w:div w:id="123237092">
      <w:bodyDiv w:val="1"/>
      <w:marLeft w:val="0"/>
      <w:marRight w:val="0"/>
      <w:marTop w:val="0"/>
      <w:marBottom w:val="0"/>
      <w:divBdr>
        <w:top w:val="none" w:sz="0" w:space="0" w:color="auto"/>
        <w:left w:val="none" w:sz="0" w:space="0" w:color="auto"/>
        <w:bottom w:val="none" w:sz="0" w:space="0" w:color="auto"/>
        <w:right w:val="none" w:sz="0" w:space="0" w:color="auto"/>
      </w:divBdr>
    </w:div>
    <w:div w:id="136075608">
      <w:bodyDiv w:val="1"/>
      <w:marLeft w:val="0"/>
      <w:marRight w:val="0"/>
      <w:marTop w:val="0"/>
      <w:marBottom w:val="0"/>
      <w:divBdr>
        <w:top w:val="none" w:sz="0" w:space="0" w:color="auto"/>
        <w:left w:val="none" w:sz="0" w:space="0" w:color="auto"/>
        <w:bottom w:val="none" w:sz="0" w:space="0" w:color="auto"/>
        <w:right w:val="none" w:sz="0" w:space="0" w:color="auto"/>
      </w:divBdr>
    </w:div>
    <w:div w:id="136655970">
      <w:bodyDiv w:val="1"/>
      <w:marLeft w:val="0"/>
      <w:marRight w:val="0"/>
      <w:marTop w:val="0"/>
      <w:marBottom w:val="0"/>
      <w:divBdr>
        <w:top w:val="none" w:sz="0" w:space="0" w:color="auto"/>
        <w:left w:val="none" w:sz="0" w:space="0" w:color="auto"/>
        <w:bottom w:val="none" w:sz="0" w:space="0" w:color="auto"/>
        <w:right w:val="none" w:sz="0" w:space="0" w:color="auto"/>
      </w:divBdr>
    </w:div>
    <w:div w:id="144469023">
      <w:bodyDiv w:val="1"/>
      <w:marLeft w:val="0"/>
      <w:marRight w:val="0"/>
      <w:marTop w:val="0"/>
      <w:marBottom w:val="0"/>
      <w:divBdr>
        <w:top w:val="none" w:sz="0" w:space="0" w:color="auto"/>
        <w:left w:val="none" w:sz="0" w:space="0" w:color="auto"/>
        <w:bottom w:val="none" w:sz="0" w:space="0" w:color="auto"/>
        <w:right w:val="none" w:sz="0" w:space="0" w:color="auto"/>
      </w:divBdr>
    </w:div>
    <w:div w:id="147291206">
      <w:bodyDiv w:val="1"/>
      <w:marLeft w:val="0"/>
      <w:marRight w:val="0"/>
      <w:marTop w:val="0"/>
      <w:marBottom w:val="0"/>
      <w:divBdr>
        <w:top w:val="none" w:sz="0" w:space="0" w:color="auto"/>
        <w:left w:val="none" w:sz="0" w:space="0" w:color="auto"/>
        <w:bottom w:val="none" w:sz="0" w:space="0" w:color="auto"/>
        <w:right w:val="none" w:sz="0" w:space="0" w:color="auto"/>
      </w:divBdr>
    </w:div>
    <w:div w:id="162665420">
      <w:bodyDiv w:val="1"/>
      <w:marLeft w:val="0"/>
      <w:marRight w:val="0"/>
      <w:marTop w:val="0"/>
      <w:marBottom w:val="0"/>
      <w:divBdr>
        <w:top w:val="none" w:sz="0" w:space="0" w:color="auto"/>
        <w:left w:val="none" w:sz="0" w:space="0" w:color="auto"/>
        <w:bottom w:val="none" w:sz="0" w:space="0" w:color="auto"/>
        <w:right w:val="none" w:sz="0" w:space="0" w:color="auto"/>
      </w:divBdr>
    </w:div>
    <w:div w:id="187647810">
      <w:bodyDiv w:val="1"/>
      <w:marLeft w:val="0"/>
      <w:marRight w:val="0"/>
      <w:marTop w:val="0"/>
      <w:marBottom w:val="0"/>
      <w:divBdr>
        <w:top w:val="none" w:sz="0" w:space="0" w:color="auto"/>
        <w:left w:val="none" w:sz="0" w:space="0" w:color="auto"/>
        <w:bottom w:val="none" w:sz="0" w:space="0" w:color="auto"/>
        <w:right w:val="none" w:sz="0" w:space="0" w:color="auto"/>
      </w:divBdr>
    </w:div>
    <w:div w:id="192379400">
      <w:bodyDiv w:val="1"/>
      <w:marLeft w:val="0"/>
      <w:marRight w:val="0"/>
      <w:marTop w:val="0"/>
      <w:marBottom w:val="0"/>
      <w:divBdr>
        <w:top w:val="none" w:sz="0" w:space="0" w:color="auto"/>
        <w:left w:val="none" w:sz="0" w:space="0" w:color="auto"/>
        <w:bottom w:val="none" w:sz="0" w:space="0" w:color="auto"/>
        <w:right w:val="none" w:sz="0" w:space="0" w:color="auto"/>
      </w:divBdr>
    </w:div>
    <w:div w:id="201525378">
      <w:bodyDiv w:val="1"/>
      <w:marLeft w:val="0"/>
      <w:marRight w:val="0"/>
      <w:marTop w:val="0"/>
      <w:marBottom w:val="0"/>
      <w:divBdr>
        <w:top w:val="none" w:sz="0" w:space="0" w:color="auto"/>
        <w:left w:val="none" w:sz="0" w:space="0" w:color="auto"/>
        <w:bottom w:val="none" w:sz="0" w:space="0" w:color="auto"/>
        <w:right w:val="none" w:sz="0" w:space="0" w:color="auto"/>
      </w:divBdr>
    </w:div>
    <w:div w:id="216670951">
      <w:bodyDiv w:val="1"/>
      <w:marLeft w:val="0"/>
      <w:marRight w:val="0"/>
      <w:marTop w:val="0"/>
      <w:marBottom w:val="0"/>
      <w:divBdr>
        <w:top w:val="none" w:sz="0" w:space="0" w:color="auto"/>
        <w:left w:val="none" w:sz="0" w:space="0" w:color="auto"/>
        <w:bottom w:val="none" w:sz="0" w:space="0" w:color="auto"/>
        <w:right w:val="none" w:sz="0" w:space="0" w:color="auto"/>
      </w:divBdr>
    </w:div>
    <w:div w:id="223489637">
      <w:bodyDiv w:val="1"/>
      <w:marLeft w:val="0"/>
      <w:marRight w:val="0"/>
      <w:marTop w:val="0"/>
      <w:marBottom w:val="0"/>
      <w:divBdr>
        <w:top w:val="none" w:sz="0" w:space="0" w:color="auto"/>
        <w:left w:val="none" w:sz="0" w:space="0" w:color="auto"/>
        <w:bottom w:val="none" w:sz="0" w:space="0" w:color="auto"/>
        <w:right w:val="none" w:sz="0" w:space="0" w:color="auto"/>
      </w:divBdr>
    </w:div>
    <w:div w:id="251624161">
      <w:bodyDiv w:val="1"/>
      <w:marLeft w:val="0"/>
      <w:marRight w:val="0"/>
      <w:marTop w:val="0"/>
      <w:marBottom w:val="0"/>
      <w:divBdr>
        <w:top w:val="none" w:sz="0" w:space="0" w:color="auto"/>
        <w:left w:val="none" w:sz="0" w:space="0" w:color="auto"/>
        <w:bottom w:val="none" w:sz="0" w:space="0" w:color="auto"/>
        <w:right w:val="none" w:sz="0" w:space="0" w:color="auto"/>
      </w:divBdr>
    </w:div>
    <w:div w:id="255484423">
      <w:bodyDiv w:val="1"/>
      <w:marLeft w:val="0"/>
      <w:marRight w:val="0"/>
      <w:marTop w:val="0"/>
      <w:marBottom w:val="0"/>
      <w:divBdr>
        <w:top w:val="none" w:sz="0" w:space="0" w:color="auto"/>
        <w:left w:val="none" w:sz="0" w:space="0" w:color="auto"/>
        <w:bottom w:val="none" w:sz="0" w:space="0" w:color="auto"/>
        <w:right w:val="none" w:sz="0" w:space="0" w:color="auto"/>
      </w:divBdr>
    </w:div>
    <w:div w:id="281765851">
      <w:bodyDiv w:val="1"/>
      <w:marLeft w:val="0"/>
      <w:marRight w:val="0"/>
      <w:marTop w:val="0"/>
      <w:marBottom w:val="0"/>
      <w:divBdr>
        <w:top w:val="none" w:sz="0" w:space="0" w:color="auto"/>
        <w:left w:val="none" w:sz="0" w:space="0" w:color="auto"/>
        <w:bottom w:val="none" w:sz="0" w:space="0" w:color="auto"/>
        <w:right w:val="none" w:sz="0" w:space="0" w:color="auto"/>
      </w:divBdr>
    </w:div>
    <w:div w:id="306714742">
      <w:bodyDiv w:val="1"/>
      <w:marLeft w:val="0"/>
      <w:marRight w:val="0"/>
      <w:marTop w:val="0"/>
      <w:marBottom w:val="0"/>
      <w:divBdr>
        <w:top w:val="none" w:sz="0" w:space="0" w:color="auto"/>
        <w:left w:val="none" w:sz="0" w:space="0" w:color="auto"/>
        <w:bottom w:val="none" w:sz="0" w:space="0" w:color="auto"/>
        <w:right w:val="none" w:sz="0" w:space="0" w:color="auto"/>
      </w:divBdr>
    </w:div>
    <w:div w:id="314266543">
      <w:bodyDiv w:val="1"/>
      <w:marLeft w:val="0"/>
      <w:marRight w:val="0"/>
      <w:marTop w:val="0"/>
      <w:marBottom w:val="0"/>
      <w:divBdr>
        <w:top w:val="none" w:sz="0" w:space="0" w:color="auto"/>
        <w:left w:val="none" w:sz="0" w:space="0" w:color="auto"/>
        <w:bottom w:val="none" w:sz="0" w:space="0" w:color="auto"/>
        <w:right w:val="none" w:sz="0" w:space="0" w:color="auto"/>
      </w:divBdr>
    </w:div>
    <w:div w:id="316957480">
      <w:bodyDiv w:val="1"/>
      <w:marLeft w:val="0"/>
      <w:marRight w:val="0"/>
      <w:marTop w:val="0"/>
      <w:marBottom w:val="0"/>
      <w:divBdr>
        <w:top w:val="none" w:sz="0" w:space="0" w:color="auto"/>
        <w:left w:val="none" w:sz="0" w:space="0" w:color="auto"/>
        <w:bottom w:val="none" w:sz="0" w:space="0" w:color="auto"/>
        <w:right w:val="none" w:sz="0" w:space="0" w:color="auto"/>
      </w:divBdr>
      <w:divsChild>
        <w:div w:id="516189696">
          <w:marLeft w:val="0"/>
          <w:marRight w:val="0"/>
          <w:marTop w:val="0"/>
          <w:marBottom w:val="0"/>
          <w:divBdr>
            <w:top w:val="none" w:sz="0" w:space="0" w:color="auto"/>
            <w:left w:val="none" w:sz="0" w:space="0" w:color="auto"/>
            <w:bottom w:val="none" w:sz="0" w:space="0" w:color="auto"/>
            <w:right w:val="none" w:sz="0" w:space="0" w:color="auto"/>
          </w:divBdr>
          <w:divsChild>
            <w:div w:id="415639182">
              <w:marLeft w:val="0"/>
              <w:marRight w:val="0"/>
              <w:marTop w:val="0"/>
              <w:marBottom w:val="0"/>
              <w:divBdr>
                <w:top w:val="none" w:sz="0" w:space="0" w:color="auto"/>
                <w:left w:val="none" w:sz="0" w:space="0" w:color="auto"/>
                <w:bottom w:val="none" w:sz="0" w:space="0" w:color="auto"/>
                <w:right w:val="none" w:sz="0" w:space="0" w:color="auto"/>
              </w:divBdr>
              <w:divsChild>
                <w:div w:id="10285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9201">
      <w:bodyDiv w:val="1"/>
      <w:marLeft w:val="0"/>
      <w:marRight w:val="0"/>
      <w:marTop w:val="0"/>
      <w:marBottom w:val="0"/>
      <w:divBdr>
        <w:top w:val="none" w:sz="0" w:space="0" w:color="auto"/>
        <w:left w:val="none" w:sz="0" w:space="0" w:color="auto"/>
        <w:bottom w:val="none" w:sz="0" w:space="0" w:color="auto"/>
        <w:right w:val="none" w:sz="0" w:space="0" w:color="auto"/>
      </w:divBdr>
    </w:div>
    <w:div w:id="324211533">
      <w:bodyDiv w:val="1"/>
      <w:marLeft w:val="0"/>
      <w:marRight w:val="0"/>
      <w:marTop w:val="0"/>
      <w:marBottom w:val="0"/>
      <w:divBdr>
        <w:top w:val="none" w:sz="0" w:space="0" w:color="auto"/>
        <w:left w:val="none" w:sz="0" w:space="0" w:color="auto"/>
        <w:bottom w:val="none" w:sz="0" w:space="0" w:color="auto"/>
        <w:right w:val="none" w:sz="0" w:space="0" w:color="auto"/>
      </w:divBdr>
    </w:div>
    <w:div w:id="328101225">
      <w:bodyDiv w:val="1"/>
      <w:marLeft w:val="0"/>
      <w:marRight w:val="0"/>
      <w:marTop w:val="0"/>
      <w:marBottom w:val="0"/>
      <w:divBdr>
        <w:top w:val="none" w:sz="0" w:space="0" w:color="auto"/>
        <w:left w:val="none" w:sz="0" w:space="0" w:color="auto"/>
        <w:bottom w:val="none" w:sz="0" w:space="0" w:color="auto"/>
        <w:right w:val="none" w:sz="0" w:space="0" w:color="auto"/>
      </w:divBdr>
    </w:div>
    <w:div w:id="332295802">
      <w:bodyDiv w:val="1"/>
      <w:marLeft w:val="0"/>
      <w:marRight w:val="0"/>
      <w:marTop w:val="0"/>
      <w:marBottom w:val="0"/>
      <w:divBdr>
        <w:top w:val="none" w:sz="0" w:space="0" w:color="auto"/>
        <w:left w:val="none" w:sz="0" w:space="0" w:color="auto"/>
        <w:bottom w:val="none" w:sz="0" w:space="0" w:color="auto"/>
        <w:right w:val="none" w:sz="0" w:space="0" w:color="auto"/>
      </w:divBdr>
    </w:div>
    <w:div w:id="349533024">
      <w:bodyDiv w:val="1"/>
      <w:marLeft w:val="0"/>
      <w:marRight w:val="0"/>
      <w:marTop w:val="0"/>
      <w:marBottom w:val="0"/>
      <w:divBdr>
        <w:top w:val="none" w:sz="0" w:space="0" w:color="auto"/>
        <w:left w:val="none" w:sz="0" w:space="0" w:color="auto"/>
        <w:bottom w:val="none" w:sz="0" w:space="0" w:color="auto"/>
        <w:right w:val="none" w:sz="0" w:space="0" w:color="auto"/>
      </w:divBdr>
    </w:div>
    <w:div w:id="355230742">
      <w:bodyDiv w:val="1"/>
      <w:marLeft w:val="0"/>
      <w:marRight w:val="0"/>
      <w:marTop w:val="0"/>
      <w:marBottom w:val="0"/>
      <w:divBdr>
        <w:top w:val="none" w:sz="0" w:space="0" w:color="auto"/>
        <w:left w:val="none" w:sz="0" w:space="0" w:color="auto"/>
        <w:bottom w:val="none" w:sz="0" w:space="0" w:color="auto"/>
        <w:right w:val="none" w:sz="0" w:space="0" w:color="auto"/>
      </w:divBdr>
    </w:div>
    <w:div w:id="363093164">
      <w:bodyDiv w:val="1"/>
      <w:marLeft w:val="0"/>
      <w:marRight w:val="0"/>
      <w:marTop w:val="0"/>
      <w:marBottom w:val="0"/>
      <w:divBdr>
        <w:top w:val="none" w:sz="0" w:space="0" w:color="auto"/>
        <w:left w:val="none" w:sz="0" w:space="0" w:color="auto"/>
        <w:bottom w:val="none" w:sz="0" w:space="0" w:color="auto"/>
        <w:right w:val="none" w:sz="0" w:space="0" w:color="auto"/>
      </w:divBdr>
    </w:div>
    <w:div w:id="398987100">
      <w:bodyDiv w:val="1"/>
      <w:marLeft w:val="0"/>
      <w:marRight w:val="0"/>
      <w:marTop w:val="0"/>
      <w:marBottom w:val="0"/>
      <w:divBdr>
        <w:top w:val="none" w:sz="0" w:space="0" w:color="auto"/>
        <w:left w:val="none" w:sz="0" w:space="0" w:color="auto"/>
        <w:bottom w:val="none" w:sz="0" w:space="0" w:color="auto"/>
        <w:right w:val="none" w:sz="0" w:space="0" w:color="auto"/>
      </w:divBdr>
    </w:div>
    <w:div w:id="402145951">
      <w:bodyDiv w:val="1"/>
      <w:marLeft w:val="0"/>
      <w:marRight w:val="0"/>
      <w:marTop w:val="0"/>
      <w:marBottom w:val="0"/>
      <w:divBdr>
        <w:top w:val="none" w:sz="0" w:space="0" w:color="auto"/>
        <w:left w:val="none" w:sz="0" w:space="0" w:color="auto"/>
        <w:bottom w:val="none" w:sz="0" w:space="0" w:color="auto"/>
        <w:right w:val="none" w:sz="0" w:space="0" w:color="auto"/>
      </w:divBdr>
    </w:div>
    <w:div w:id="407579917">
      <w:bodyDiv w:val="1"/>
      <w:marLeft w:val="0"/>
      <w:marRight w:val="0"/>
      <w:marTop w:val="0"/>
      <w:marBottom w:val="0"/>
      <w:divBdr>
        <w:top w:val="none" w:sz="0" w:space="0" w:color="auto"/>
        <w:left w:val="none" w:sz="0" w:space="0" w:color="auto"/>
        <w:bottom w:val="none" w:sz="0" w:space="0" w:color="auto"/>
        <w:right w:val="none" w:sz="0" w:space="0" w:color="auto"/>
      </w:divBdr>
    </w:div>
    <w:div w:id="411975013">
      <w:bodyDiv w:val="1"/>
      <w:marLeft w:val="0"/>
      <w:marRight w:val="0"/>
      <w:marTop w:val="0"/>
      <w:marBottom w:val="0"/>
      <w:divBdr>
        <w:top w:val="none" w:sz="0" w:space="0" w:color="auto"/>
        <w:left w:val="none" w:sz="0" w:space="0" w:color="auto"/>
        <w:bottom w:val="none" w:sz="0" w:space="0" w:color="auto"/>
        <w:right w:val="none" w:sz="0" w:space="0" w:color="auto"/>
      </w:divBdr>
    </w:div>
    <w:div w:id="411977403">
      <w:bodyDiv w:val="1"/>
      <w:marLeft w:val="0"/>
      <w:marRight w:val="0"/>
      <w:marTop w:val="0"/>
      <w:marBottom w:val="0"/>
      <w:divBdr>
        <w:top w:val="none" w:sz="0" w:space="0" w:color="auto"/>
        <w:left w:val="none" w:sz="0" w:space="0" w:color="auto"/>
        <w:bottom w:val="none" w:sz="0" w:space="0" w:color="auto"/>
        <w:right w:val="none" w:sz="0" w:space="0" w:color="auto"/>
      </w:divBdr>
    </w:div>
    <w:div w:id="417755794">
      <w:bodyDiv w:val="1"/>
      <w:marLeft w:val="0"/>
      <w:marRight w:val="0"/>
      <w:marTop w:val="0"/>
      <w:marBottom w:val="0"/>
      <w:divBdr>
        <w:top w:val="none" w:sz="0" w:space="0" w:color="auto"/>
        <w:left w:val="none" w:sz="0" w:space="0" w:color="auto"/>
        <w:bottom w:val="none" w:sz="0" w:space="0" w:color="auto"/>
        <w:right w:val="none" w:sz="0" w:space="0" w:color="auto"/>
      </w:divBdr>
    </w:div>
    <w:div w:id="448010311">
      <w:bodyDiv w:val="1"/>
      <w:marLeft w:val="0"/>
      <w:marRight w:val="0"/>
      <w:marTop w:val="0"/>
      <w:marBottom w:val="0"/>
      <w:divBdr>
        <w:top w:val="none" w:sz="0" w:space="0" w:color="auto"/>
        <w:left w:val="none" w:sz="0" w:space="0" w:color="auto"/>
        <w:bottom w:val="none" w:sz="0" w:space="0" w:color="auto"/>
        <w:right w:val="none" w:sz="0" w:space="0" w:color="auto"/>
      </w:divBdr>
    </w:div>
    <w:div w:id="449397352">
      <w:bodyDiv w:val="1"/>
      <w:marLeft w:val="0"/>
      <w:marRight w:val="0"/>
      <w:marTop w:val="0"/>
      <w:marBottom w:val="0"/>
      <w:divBdr>
        <w:top w:val="none" w:sz="0" w:space="0" w:color="auto"/>
        <w:left w:val="none" w:sz="0" w:space="0" w:color="auto"/>
        <w:bottom w:val="none" w:sz="0" w:space="0" w:color="auto"/>
        <w:right w:val="none" w:sz="0" w:space="0" w:color="auto"/>
      </w:divBdr>
    </w:div>
    <w:div w:id="452557538">
      <w:bodyDiv w:val="1"/>
      <w:marLeft w:val="0"/>
      <w:marRight w:val="0"/>
      <w:marTop w:val="0"/>
      <w:marBottom w:val="0"/>
      <w:divBdr>
        <w:top w:val="none" w:sz="0" w:space="0" w:color="auto"/>
        <w:left w:val="none" w:sz="0" w:space="0" w:color="auto"/>
        <w:bottom w:val="none" w:sz="0" w:space="0" w:color="auto"/>
        <w:right w:val="none" w:sz="0" w:space="0" w:color="auto"/>
      </w:divBdr>
    </w:div>
    <w:div w:id="458303765">
      <w:bodyDiv w:val="1"/>
      <w:marLeft w:val="0"/>
      <w:marRight w:val="0"/>
      <w:marTop w:val="0"/>
      <w:marBottom w:val="0"/>
      <w:divBdr>
        <w:top w:val="none" w:sz="0" w:space="0" w:color="auto"/>
        <w:left w:val="none" w:sz="0" w:space="0" w:color="auto"/>
        <w:bottom w:val="none" w:sz="0" w:space="0" w:color="auto"/>
        <w:right w:val="none" w:sz="0" w:space="0" w:color="auto"/>
      </w:divBdr>
    </w:div>
    <w:div w:id="466512017">
      <w:bodyDiv w:val="1"/>
      <w:marLeft w:val="0"/>
      <w:marRight w:val="0"/>
      <w:marTop w:val="0"/>
      <w:marBottom w:val="0"/>
      <w:divBdr>
        <w:top w:val="none" w:sz="0" w:space="0" w:color="auto"/>
        <w:left w:val="none" w:sz="0" w:space="0" w:color="auto"/>
        <w:bottom w:val="none" w:sz="0" w:space="0" w:color="auto"/>
        <w:right w:val="none" w:sz="0" w:space="0" w:color="auto"/>
      </w:divBdr>
    </w:div>
    <w:div w:id="477694474">
      <w:bodyDiv w:val="1"/>
      <w:marLeft w:val="0"/>
      <w:marRight w:val="0"/>
      <w:marTop w:val="0"/>
      <w:marBottom w:val="0"/>
      <w:divBdr>
        <w:top w:val="none" w:sz="0" w:space="0" w:color="auto"/>
        <w:left w:val="none" w:sz="0" w:space="0" w:color="auto"/>
        <w:bottom w:val="none" w:sz="0" w:space="0" w:color="auto"/>
        <w:right w:val="none" w:sz="0" w:space="0" w:color="auto"/>
      </w:divBdr>
    </w:div>
    <w:div w:id="480969155">
      <w:bodyDiv w:val="1"/>
      <w:marLeft w:val="0"/>
      <w:marRight w:val="0"/>
      <w:marTop w:val="0"/>
      <w:marBottom w:val="0"/>
      <w:divBdr>
        <w:top w:val="none" w:sz="0" w:space="0" w:color="auto"/>
        <w:left w:val="none" w:sz="0" w:space="0" w:color="auto"/>
        <w:bottom w:val="none" w:sz="0" w:space="0" w:color="auto"/>
        <w:right w:val="none" w:sz="0" w:space="0" w:color="auto"/>
      </w:divBdr>
    </w:div>
    <w:div w:id="501776263">
      <w:bodyDiv w:val="1"/>
      <w:marLeft w:val="0"/>
      <w:marRight w:val="0"/>
      <w:marTop w:val="0"/>
      <w:marBottom w:val="0"/>
      <w:divBdr>
        <w:top w:val="none" w:sz="0" w:space="0" w:color="auto"/>
        <w:left w:val="none" w:sz="0" w:space="0" w:color="auto"/>
        <w:bottom w:val="none" w:sz="0" w:space="0" w:color="auto"/>
        <w:right w:val="none" w:sz="0" w:space="0" w:color="auto"/>
      </w:divBdr>
    </w:div>
    <w:div w:id="503865814">
      <w:bodyDiv w:val="1"/>
      <w:marLeft w:val="0"/>
      <w:marRight w:val="0"/>
      <w:marTop w:val="0"/>
      <w:marBottom w:val="0"/>
      <w:divBdr>
        <w:top w:val="none" w:sz="0" w:space="0" w:color="auto"/>
        <w:left w:val="none" w:sz="0" w:space="0" w:color="auto"/>
        <w:bottom w:val="none" w:sz="0" w:space="0" w:color="auto"/>
        <w:right w:val="none" w:sz="0" w:space="0" w:color="auto"/>
      </w:divBdr>
    </w:div>
    <w:div w:id="514350227">
      <w:bodyDiv w:val="1"/>
      <w:marLeft w:val="0"/>
      <w:marRight w:val="0"/>
      <w:marTop w:val="0"/>
      <w:marBottom w:val="0"/>
      <w:divBdr>
        <w:top w:val="none" w:sz="0" w:space="0" w:color="auto"/>
        <w:left w:val="none" w:sz="0" w:space="0" w:color="auto"/>
        <w:bottom w:val="none" w:sz="0" w:space="0" w:color="auto"/>
        <w:right w:val="none" w:sz="0" w:space="0" w:color="auto"/>
      </w:divBdr>
    </w:div>
    <w:div w:id="525796829">
      <w:bodyDiv w:val="1"/>
      <w:marLeft w:val="0"/>
      <w:marRight w:val="0"/>
      <w:marTop w:val="0"/>
      <w:marBottom w:val="0"/>
      <w:divBdr>
        <w:top w:val="none" w:sz="0" w:space="0" w:color="auto"/>
        <w:left w:val="none" w:sz="0" w:space="0" w:color="auto"/>
        <w:bottom w:val="none" w:sz="0" w:space="0" w:color="auto"/>
        <w:right w:val="none" w:sz="0" w:space="0" w:color="auto"/>
      </w:divBdr>
    </w:div>
    <w:div w:id="528689420">
      <w:bodyDiv w:val="1"/>
      <w:marLeft w:val="0"/>
      <w:marRight w:val="0"/>
      <w:marTop w:val="0"/>
      <w:marBottom w:val="0"/>
      <w:divBdr>
        <w:top w:val="none" w:sz="0" w:space="0" w:color="auto"/>
        <w:left w:val="none" w:sz="0" w:space="0" w:color="auto"/>
        <w:bottom w:val="none" w:sz="0" w:space="0" w:color="auto"/>
        <w:right w:val="none" w:sz="0" w:space="0" w:color="auto"/>
      </w:divBdr>
    </w:div>
    <w:div w:id="534319155">
      <w:bodyDiv w:val="1"/>
      <w:marLeft w:val="0"/>
      <w:marRight w:val="0"/>
      <w:marTop w:val="0"/>
      <w:marBottom w:val="0"/>
      <w:divBdr>
        <w:top w:val="none" w:sz="0" w:space="0" w:color="auto"/>
        <w:left w:val="none" w:sz="0" w:space="0" w:color="auto"/>
        <w:bottom w:val="none" w:sz="0" w:space="0" w:color="auto"/>
        <w:right w:val="none" w:sz="0" w:space="0" w:color="auto"/>
      </w:divBdr>
    </w:div>
    <w:div w:id="548538883">
      <w:bodyDiv w:val="1"/>
      <w:marLeft w:val="0"/>
      <w:marRight w:val="0"/>
      <w:marTop w:val="0"/>
      <w:marBottom w:val="0"/>
      <w:divBdr>
        <w:top w:val="none" w:sz="0" w:space="0" w:color="auto"/>
        <w:left w:val="none" w:sz="0" w:space="0" w:color="auto"/>
        <w:bottom w:val="none" w:sz="0" w:space="0" w:color="auto"/>
        <w:right w:val="none" w:sz="0" w:space="0" w:color="auto"/>
      </w:divBdr>
      <w:divsChild>
        <w:div w:id="34236521">
          <w:marLeft w:val="0"/>
          <w:marRight w:val="0"/>
          <w:marTop w:val="0"/>
          <w:marBottom w:val="0"/>
          <w:divBdr>
            <w:top w:val="none" w:sz="0" w:space="0" w:color="auto"/>
            <w:left w:val="none" w:sz="0" w:space="0" w:color="auto"/>
            <w:bottom w:val="none" w:sz="0" w:space="0" w:color="auto"/>
            <w:right w:val="none" w:sz="0" w:space="0" w:color="auto"/>
          </w:divBdr>
        </w:div>
      </w:divsChild>
    </w:div>
    <w:div w:id="557397574">
      <w:bodyDiv w:val="1"/>
      <w:marLeft w:val="0"/>
      <w:marRight w:val="0"/>
      <w:marTop w:val="0"/>
      <w:marBottom w:val="0"/>
      <w:divBdr>
        <w:top w:val="none" w:sz="0" w:space="0" w:color="auto"/>
        <w:left w:val="none" w:sz="0" w:space="0" w:color="auto"/>
        <w:bottom w:val="none" w:sz="0" w:space="0" w:color="auto"/>
        <w:right w:val="none" w:sz="0" w:space="0" w:color="auto"/>
      </w:divBdr>
    </w:div>
    <w:div w:id="569509992">
      <w:bodyDiv w:val="1"/>
      <w:marLeft w:val="0"/>
      <w:marRight w:val="0"/>
      <w:marTop w:val="0"/>
      <w:marBottom w:val="0"/>
      <w:divBdr>
        <w:top w:val="none" w:sz="0" w:space="0" w:color="auto"/>
        <w:left w:val="none" w:sz="0" w:space="0" w:color="auto"/>
        <w:bottom w:val="none" w:sz="0" w:space="0" w:color="auto"/>
        <w:right w:val="none" w:sz="0" w:space="0" w:color="auto"/>
      </w:divBdr>
      <w:divsChild>
        <w:div w:id="25715900">
          <w:marLeft w:val="0"/>
          <w:marRight w:val="0"/>
          <w:marTop w:val="0"/>
          <w:marBottom w:val="0"/>
          <w:divBdr>
            <w:top w:val="none" w:sz="0" w:space="0" w:color="auto"/>
            <w:left w:val="none" w:sz="0" w:space="0" w:color="auto"/>
            <w:bottom w:val="none" w:sz="0" w:space="0" w:color="auto"/>
            <w:right w:val="none" w:sz="0" w:space="0" w:color="auto"/>
          </w:divBdr>
        </w:div>
        <w:div w:id="229848391">
          <w:marLeft w:val="0"/>
          <w:marRight w:val="0"/>
          <w:marTop w:val="0"/>
          <w:marBottom w:val="0"/>
          <w:divBdr>
            <w:top w:val="none" w:sz="0" w:space="0" w:color="auto"/>
            <w:left w:val="none" w:sz="0" w:space="0" w:color="auto"/>
            <w:bottom w:val="none" w:sz="0" w:space="0" w:color="auto"/>
            <w:right w:val="none" w:sz="0" w:space="0" w:color="auto"/>
          </w:divBdr>
        </w:div>
        <w:div w:id="240021728">
          <w:marLeft w:val="0"/>
          <w:marRight w:val="0"/>
          <w:marTop w:val="0"/>
          <w:marBottom w:val="0"/>
          <w:divBdr>
            <w:top w:val="none" w:sz="0" w:space="0" w:color="auto"/>
            <w:left w:val="none" w:sz="0" w:space="0" w:color="auto"/>
            <w:bottom w:val="none" w:sz="0" w:space="0" w:color="auto"/>
            <w:right w:val="none" w:sz="0" w:space="0" w:color="auto"/>
          </w:divBdr>
        </w:div>
        <w:div w:id="295916942">
          <w:marLeft w:val="0"/>
          <w:marRight w:val="0"/>
          <w:marTop w:val="0"/>
          <w:marBottom w:val="0"/>
          <w:divBdr>
            <w:top w:val="none" w:sz="0" w:space="0" w:color="auto"/>
            <w:left w:val="none" w:sz="0" w:space="0" w:color="auto"/>
            <w:bottom w:val="none" w:sz="0" w:space="0" w:color="auto"/>
            <w:right w:val="none" w:sz="0" w:space="0" w:color="auto"/>
          </w:divBdr>
          <w:divsChild>
            <w:div w:id="1562323184">
              <w:marLeft w:val="-75"/>
              <w:marRight w:val="0"/>
              <w:marTop w:val="30"/>
              <w:marBottom w:val="30"/>
              <w:divBdr>
                <w:top w:val="none" w:sz="0" w:space="0" w:color="auto"/>
                <w:left w:val="none" w:sz="0" w:space="0" w:color="auto"/>
                <w:bottom w:val="none" w:sz="0" w:space="0" w:color="auto"/>
                <w:right w:val="none" w:sz="0" w:space="0" w:color="auto"/>
              </w:divBdr>
              <w:divsChild>
                <w:div w:id="191303245">
                  <w:marLeft w:val="0"/>
                  <w:marRight w:val="0"/>
                  <w:marTop w:val="0"/>
                  <w:marBottom w:val="0"/>
                  <w:divBdr>
                    <w:top w:val="none" w:sz="0" w:space="0" w:color="auto"/>
                    <w:left w:val="none" w:sz="0" w:space="0" w:color="auto"/>
                    <w:bottom w:val="none" w:sz="0" w:space="0" w:color="auto"/>
                    <w:right w:val="none" w:sz="0" w:space="0" w:color="auto"/>
                  </w:divBdr>
                  <w:divsChild>
                    <w:div w:id="1143232281">
                      <w:marLeft w:val="0"/>
                      <w:marRight w:val="0"/>
                      <w:marTop w:val="0"/>
                      <w:marBottom w:val="0"/>
                      <w:divBdr>
                        <w:top w:val="none" w:sz="0" w:space="0" w:color="auto"/>
                        <w:left w:val="none" w:sz="0" w:space="0" w:color="auto"/>
                        <w:bottom w:val="none" w:sz="0" w:space="0" w:color="auto"/>
                        <w:right w:val="none" w:sz="0" w:space="0" w:color="auto"/>
                      </w:divBdr>
                    </w:div>
                  </w:divsChild>
                </w:div>
                <w:div w:id="349528077">
                  <w:marLeft w:val="0"/>
                  <w:marRight w:val="0"/>
                  <w:marTop w:val="0"/>
                  <w:marBottom w:val="0"/>
                  <w:divBdr>
                    <w:top w:val="none" w:sz="0" w:space="0" w:color="auto"/>
                    <w:left w:val="none" w:sz="0" w:space="0" w:color="auto"/>
                    <w:bottom w:val="none" w:sz="0" w:space="0" w:color="auto"/>
                    <w:right w:val="none" w:sz="0" w:space="0" w:color="auto"/>
                  </w:divBdr>
                  <w:divsChild>
                    <w:div w:id="1450933314">
                      <w:marLeft w:val="0"/>
                      <w:marRight w:val="0"/>
                      <w:marTop w:val="0"/>
                      <w:marBottom w:val="0"/>
                      <w:divBdr>
                        <w:top w:val="none" w:sz="0" w:space="0" w:color="auto"/>
                        <w:left w:val="none" w:sz="0" w:space="0" w:color="auto"/>
                        <w:bottom w:val="none" w:sz="0" w:space="0" w:color="auto"/>
                        <w:right w:val="none" w:sz="0" w:space="0" w:color="auto"/>
                      </w:divBdr>
                    </w:div>
                  </w:divsChild>
                </w:div>
                <w:div w:id="386799795">
                  <w:marLeft w:val="0"/>
                  <w:marRight w:val="0"/>
                  <w:marTop w:val="0"/>
                  <w:marBottom w:val="0"/>
                  <w:divBdr>
                    <w:top w:val="none" w:sz="0" w:space="0" w:color="auto"/>
                    <w:left w:val="none" w:sz="0" w:space="0" w:color="auto"/>
                    <w:bottom w:val="none" w:sz="0" w:space="0" w:color="auto"/>
                    <w:right w:val="none" w:sz="0" w:space="0" w:color="auto"/>
                  </w:divBdr>
                  <w:divsChild>
                    <w:div w:id="594363621">
                      <w:marLeft w:val="0"/>
                      <w:marRight w:val="0"/>
                      <w:marTop w:val="0"/>
                      <w:marBottom w:val="0"/>
                      <w:divBdr>
                        <w:top w:val="none" w:sz="0" w:space="0" w:color="auto"/>
                        <w:left w:val="none" w:sz="0" w:space="0" w:color="auto"/>
                        <w:bottom w:val="none" w:sz="0" w:space="0" w:color="auto"/>
                        <w:right w:val="none" w:sz="0" w:space="0" w:color="auto"/>
                      </w:divBdr>
                    </w:div>
                  </w:divsChild>
                </w:div>
                <w:div w:id="697006845">
                  <w:marLeft w:val="0"/>
                  <w:marRight w:val="0"/>
                  <w:marTop w:val="0"/>
                  <w:marBottom w:val="0"/>
                  <w:divBdr>
                    <w:top w:val="none" w:sz="0" w:space="0" w:color="auto"/>
                    <w:left w:val="none" w:sz="0" w:space="0" w:color="auto"/>
                    <w:bottom w:val="none" w:sz="0" w:space="0" w:color="auto"/>
                    <w:right w:val="none" w:sz="0" w:space="0" w:color="auto"/>
                  </w:divBdr>
                  <w:divsChild>
                    <w:div w:id="328876441">
                      <w:marLeft w:val="0"/>
                      <w:marRight w:val="0"/>
                      <w:marTop w:val="0"/>
                      <w:marBottom w:val="0"/>
                      <w:divBdr>
                        <w:top w:val="none" w:sz="0" w:space="0" w:color="auto"/>
                        <w:left w:val="none" w:sz="0" w:space="0" w:color="auto"/>
                        <w:bottom w:val="none" w:sz="0" w:space="0" w:color="auto"/>
                        <w:right w:val="none" w:sz="0" w:space="0" w:color="auto"/>
                      </w:divBdr>
                    </w:div>
                  </w:divsChild>
                </w:div>
                <w:div w:id="744844234">
                  <w:marLeft w:val="0"/>
                  <w:marRight w:val="0"/>
                  <w:marTop w:val="0"/>
                  <w:marBottom w:val="0"/>
                  <w:divBdr>
                    <w:top w:val="none" w:sz="0" w:space="0" w:color="auto"/>
                    <w:left w:val="none" w:sz="0" w:space="0" w:color="auto"/>
                    <w:bottom w:val="none" w:sz="0" w:space="0" w:color="auto"/>
                    <w:right w:val="none" w:sz="0" w:space="0" w:color="auto"/>
                  </w:divBdr>
                  <w:divsChild>
                    <w:div w:id="1882472443">
                      <w:marLeft w:val="0"/>
                      <w:marRight w:val="0"/>
                      <w:marTop w:val="0"/>
                      <w:marBottom w:val="0"/>
                      <w:divBdr>
                        <w:top w:val="none" w:sz="0" w:space="0" w:color="auto"/>
                        <w:left w:val="none" w:sz="0" w:space="0" w:color="auto"/>
                        <w:bottom w:val="none" w:sz="0" w:space="0" w:color="auto"/>
                        <w:right w:val="none" w:sz="0" w:space="0" w:color="auto"/>
                      </w:divBdr>
                    </w:div>
                  </w:divsChild>
                </w:div>
                <w:div w:id="920992960">
                  <w:marLeft w:val="0"/>
                  <w:marRight w:val="0"/>
                  <w:marTop w:val="0"/>
                  <w:marBottom w:val="0"/>
                  <w:divBdr>
                    <w:top w:val="none" w:sz="0" w:space="0" w:color="auto"/>
                    <w:left w:val="none" w:sz="0" w:space="0" w:color="auto"/>
                    <w:bottom w:val="none" w:sz="0" w:space="0" w:color="auto"/>
                    <w:right w:val="none" w:sz="0" w:space="0" w:color="auto"/>
                  </w:divBdr>
                  <w:divsChild>
                    <w:div w:id="1117989919">
                      <w:marLeft w:val="0"/>
                      <w:marRight w:val="0"/>
                      <w:marTop w:val="0"/>
                      <w:marBottom w:val="0"/>
                      <w:divBdr>
                        <w:top w:val="none" w:sz="0" w:space="0" w:color="auto"/>
                        <w:left w:val="none" w:sz="0" w:space="0" w:color="auto"/>
                        <w:bottom w:val="none" w:sz="0" w:space="0" w:color="auto"/>
                        <w:right w:val="none" w:sz="0" w:space="0" w:color="auto"/>
                      </w:divBdr>
                    </w:div>
                  </w:divsChild>
                </w:div>
                <w:div w:id="938679152">
                  <w:marLeft w:val="0"/>
                  <w:marRight w:val="0"/>
                  <w:marTop w:val="0"/>
                  <w:marBottom w:val="0"/>
                  <w:divBdr>
                    <w:top w:val="none" w:sz="0" w:space="0" w:color="auto"/>
                    <w:left w:val="none" w:sz="0" w:space="0" w:color="auto"/>
                    <w:bottom w:val="none" w:sz="0" w:space="0" w:color="auto"/>
                    <w:right w:val="none" w:sz="0" w:space="0" w:color="auto"/>
                  </w:divBdr>
                  <w:divsChild>
                    <w:div w:id="107436510">
                      <w:marLeft w:val="0"/>
                      <w:marRight w:val="0"/>
                      <w:marTop w:val="0"/>
                      <w:marBottom w:val="0"/>
                      <w:divBdr>
                        <w:top w:val="none" w:sz="0" w:space="0" w:color="auto"/>
                        <w:left w:val="none" w:sz="0" w:space="0" w:color="auto"/>
                        <w:bottom w:val="none" w:sz="0" w:space="0" w:color="auto"/>
                        <w:right w:val="none" w:sz="0" w:space="0" w:color="auto"/>
                      </w:divBdr>
                    </w:div>
                  </w:divsChild>
                </w:div>
                <w:div w:id="939677669">
                  <w:marLeft w:val="0"/>
                  <w:marRight w:val="0"/>
                  <w:marTop w:val="0"/>
                  <w:marBottom w:val="0"/>
                  <w:divBdr>
                    <w:top w:val="none" w:sz="0" w:space="0" w:color="auto"/>
                    <w:left w:val="none" w:sz="0" w:space="0" w:color="auto"/>
                    <w:bottom w:val="none" w:sz="0" w:space="0" w:color="auto"/>
                    <w:right w:val="none" w:sz="0" w:space="0" w:color="auto"/>
                  </w:divBdr>
                  <w:divsChild>
                    <w:div w:id="1861167378">
                      <w:marLeft w:val="0"/>
                      <w:marRight w:val="0"/>
                      <w:marTop w:val="0"/>
                      <w:marBottom w:val="0"/>
                      <w:divBdr>
                        <w:top w:val="none" w:sz="0" w:space="0" w:color="auto"/>
                        <w:left w:val="none" w:sz="0" w:space="0" w:color="auto"/>
                        <w:bottom w:val="none" w:sz="0" w:space="0" w:color="auto"/>
                        <w:right w:val="none" w:sz="0" w:space="0" w:color="auto"/>
                      </w:divBdr>
                    </w:div>
                  </w:divsChild>
                </w:div>
                <w:div w:id="941373944">
                  <w:marLeft w:val="0"/>
                  <w:marRight w:val="0"/>
                  <w:marTop w:val="0"/>
                  <w:marBottom w:val="0"/>
                  <w:divBdr>
                    <w:top w:val="none" w:sz="0" w:space="0" w:color="auto"/>
                    <w:left w:val="none" w:sz="0" w:space="0" w:color="auto"/>
                    <w:bottom w:val="none" w:sz="0" w:space="0" w:color="auto"/>
                    <w:right w:val="none" w:sz="0" w:space="0" w:color="auto"/>
                  </w:divBdr>
                  <w:divsChild>
                    <w:div w:id="1465393249">
                      <w:marLeft w:val="0"/>
                      <w:marRight w:val="0"/>
                      <w:marTop w:val="0"/>
                      <w:marBottom w:val="0"/>
                      <w:divBdr>
                        <w:top w:val="none" w:sz="0" w:space="0" w:color="auto"/>
                        <w:left w:val="none" w:sz="0" w:space="0" w:color="auto"/>
                        <w:bottom w:val="none" w:sz="0" w:space="0" w:color="auto"/>
                        <w:right w:val="none" w:sz="0" w:space="0" w:color="auto"/>
                      </w:divBdr>
                    </w:div>
                  </w:divsChild>
                </w:div>
                <w:div w:id="1044449900">
                  <w:marLeft w:val="0"/>
                  <w:marRight w:val="0"/>
                  <w:marTop w:val="0"/>
                  <w:marBottom w:val="0"/>
                  <w:divBdr>
                    <w:top w:val="none" w:sz="0" w:space="0" w:color="auto"/>
                    <w:left w:val="none" w:sz="0" w:space="0" w:color="auto"/>
                    <w:bottom w:val="none" w:sz="0" w:space="0" w:color="auto"/>
                    <w:right w:val="none" w:sz="0" w:space="0" w:color="auto"/>
                  </w:divBdr>
                  <w:divsChild>
                    <w:div w:id="66078096">
                      <w:marLeft w:val="0"/>
                      <w:marRight w:val="0"/>
                      <w:marTop w:val="0"/>
                      <w:marBottom w:val="0"/>
                      <w:divBdr>
                        <w:top w:val="none" w:sz="0" w:space="0" w:color="auto"/>
                        <w:left w:val="none" w:sz="0" w:space="0" w:color="auto"/>
                        <w:bottom w:val="none" w:sz="0" w:space="0" w:color="auto"/>
                        <w:right w:val="none" w:sz="0" w:space="0" w:color="auto"/>
                      </w:divBdr>
                    </w:div>
                  </w:divsChild>
                </w:div>
                <w:div w:id="1063217787">
                  <w:marLeft w:val="0"/>
                  <w:marRight w:val="0"/>
                  <w:marTop w:val="0"/>
                  <w:marBottom w:val="0"/>
                  <w:divBdr>
                    <w:top w:val="none" w:sz="0" w:space="0" w:color="auto"/>
                    <w:left w:val="none" w:sz="0" w:space="0" w:color="auto"/>
                    <w:bottom w:val="none" w:sz="0" w:space="0" w:color="auto"/>
                    <w:right w:val="none" w:sz="0" w:space="0" w:color="auto"/>
                  </w:divBdr>
                  <w:divsChild>
                    <w:div w:id="2129230134">
                      <w:marLeft w:val="0"/>
                      <w:marRight w:val="0"/>
                      <w:marTop w:val="0"/>
                      <w:marBottom w:val="0"/>
                      <w:divBdr>
                        <w:top w:val="none" w:sz="0" w:space="0" w:color="auto"/>
                        <w:left w:val="none" w:sz="0" w:space="0" w:color="auto"/>
                        <w:bottom w:val="none" w:sz="0" w:space="0" w:color="auto"/>
                        <w:right w:val="none" w:sz="0" w:space="0" w:color="auto"/>
                      </w:divBdr>
                    </w:div>
                  </w:divsChild>
                </w:div>
                <w:div w:id="1125465725">
                  <w:marLeft w:val="0"/>
                  <w:marRight w:val="0"/>
                  <w:marTop w:val="0"/>
                  <w:marBottom w:val="0"/>
                  <w:divBdr>
                    <w:top w:val="none" w:sz="0" w:space="0" w:color="auto"/>
                    <w:left w:val="none" w:sz="0" w:space="0" w:color="auto"/>
                    <w:bottom w:val="none" w:sz="0" w:space="0" w:color="auto"/>
                    <w:right w:val="none" w:sz="0" w:space="0" w:color="auto"/>
                  </w:divBdr>
                  <w:divsChild>
                    <w:div w:id="1426999169">
                      <w:marLeft w:val="0"/>
                      <w:marRight w:val="0"/>
                      <w:marTop w:val="0"/>
                      <w:marBottom w:val="0"/>
                      <w:divBdr>
                        <w:top w:val="none" w:sz="0" w:space="0" w:color="auto"/>
                        <w:left w:val="none" w:sz="0" w:space="0" w:color="auto"/>
                        <w:bottom w:val="none" w:sz="0" w:space="0" w:color="auto"/>
                        <w:right w:val="none" w:sz="0" w:space="0" w:color="auto"/>
                      </w:divBdr>
                    </w:div>
                  </w:divsChild>
                </w:div>
                <w:div w:id="1190100719">
                  <w:marLeft w:val="0"/>
                  <w:marRight w:val="0"/>
                  <w:marTop w:val="0"/>
                  <w:marBottom w:val="0"/>
                  <w:divBdr>
                    <w:top w:val="none" w:sz="0" w:space="0" w:color="auto"/>
                    <w:left w:val="none" w:sz="0" w:space="0" w:color="auto"/>
                    <w:bottom w:val="none" w:sz="0" w:space="0" w:color="auto"/>
                    <w:right w:val="none" w:sz="0" w:space="0" w:color="auto"/>
                  </w:divBdr>
                  <w:divsChild>
                    <w:div w:id="523128736">
                      <w:marLeft w:val="0"/>
                      <w:marRight w:val="0"/>
                      <w:marTop w:val="0"/>
                      <w:marBottom w:val="0"/>
                      <w:divBdr>
                        <w:top w:val="none" w:sz="0" w:space="0" w:color="auto"/>
                        <w:left w:val="none" w:sz="0" w:space="0" w:color="auto"/>
                        <w:bottom w:val="none" w:sz="0" w:space="0" w:color="auto"/>
                        <w:right w:val="none" w:sz="0" w:space="0" w:color="auto"/>
                      </w:divBdr>
                    </w:div>
                  </w:divsChild>
                </w:div>
                <w:div w:id="1256665714">
                  <w:marLeft w:val="0"/>
                  <w:marRight w:val="0"/>
                  <w:marTop w:val="0"/>
                  <w:marBottom w:val="0"/>
                  <w:divBdr>
                    <w:top w:val="none" w:sz="0" w:space="0" w:color="auto"/>
                    <w:left w:val="none" w:sz="0" w:space="0" w:color="auto"/>
                    <w:bottom w:val="none" w:sz="0" w:space="0" w:color="auto"/>
                    <w:right w:val="none" w:sz="0" w:space="0" w:color="auto"/>
                  </w:divBdr>
                  <w:divsChild>
                    <w:div w:id="1670670155">
                      <w:marLeft w:val="0"/>
                      <w:marRight w:val="0"/>
                      <w:marTop w:val="0"/>
                      <w:marBottom w:val="0"/>
                      <w:divBdr>
                        <w:top w:val="none" w:sz="0" w:space="0" w:color="auto"/>
                        <w:left w:val="none" w:sz="0" w:space="0" w:color="auto"/>
                        <w:bottom w:val="none" w:sz="0" w:space="0" w:color="auto"/>
                        <w:right w:val="none" w:sz="0" w:space="0" w:color="auto"/>
                      </w:divBdr>
                    </w:div>
                  </w:divsChild>
                </w:div>
                <w:div w:id="1296762743">
                  <w:marLeft w:val="0"/>
                  <w:marRight w:val="0"/>
                  <w:marTop w:val="0"/>
                  <w:marBottom w:val="0"/>
                  <w:divBdr>
                    <w:top w:val="none" w:sz="0" w:space="0" w:color="auto"/>
                    <w:left w:val="none" w:sz="0" w:space="0" w:color="auto"/>
                    <w:bottom w:val="none" w:sz="0" w:space="0" w:color="auto"/>
                    <w:right w:val="none" w:sz="0" w:space="0" w:color="auto"/>
                  </w:divBdr>
                  <w:divsChild>
                    <w:div w:id="240525009">
                      <w:marLeft w:val="0"/>
                      <w:marRight w:val="0"/>
                      <w:marTop w:val="0"/>
                      <w:marBottom w:val="0"/>
                      <w:divBdr>
                        <w:top w:val="none" w:sz="0" w:space="0" w:color="auto"/>
                        <w:left w:val="none" w:sz="0" w:space="0" w:color="auto"/>
                        <w:bottom w:val="none" w:sz="0" w:space="0" w:color="auto"/>
                        <w:right w:val="none" w:sz="0" w:space="0" w:color="auto"/>
                      </w:divBdr>
                    </w:div>
                  </w:divsChild>
                </w:div>
                <w:div w:id="1329939253">
                  <w:marLeft w:val="0"/>
                  <w:marRight w:val="0"/>
                  <w:marTop w:val="0"/>
                  <w:marBottom w:val="0"/>
                  <w:divBdr>
                    <w:top w:val="none" w:sz="0" w:space="0" w:color="auto"/>
                    <w:left w:val="none" w:sz="0" w:space="0" w:color="auto"/>
                    <w:bottom w:val="none" w:sz="0" w:space="0" w:color="auto"/>
                    <w:right w:val="none" w:sz="0" w:space="0" w:color="auto"/>
                  </w:divBdr>
                  <w:divsChild>
                    <w:div w:id="1724060188">
                      <w:marLeft w:val="0"/>
                      <w:marRight w:val="0"/>
                      <w:marTop w:val="0"/>
                      <w:marBottom w:val="0"/>
                      <w:divBdr>
                        <w:top w:val="none" w:sz="0" w:space="0" w:color="auto"/>
                        <w:left w:val="none" w:sz="0" w:space="0" w:color="auto"/>
                        <w:bottom w:val="none" w:sz="0" w:space="0" w:color="auto"/>
                        <w:right w:val="none" w:sz="0" w:space="0" w:color="auto"/>
                      </w:divBdr>
                    </w:div>
                  </w:divsChild>
                </w:div>
                <w:div w:id="1516260639">
                  <w:marLeft w:val="0"/>
                  <w:marRight w:val="0"/>
                  <w:marTop w:val="0"/>
                  <w:marBottom w:val="0"/>
                  <w:divBdr>
                    <w:top w:val="none" w:sz="0" w:space="0" w:color="auto"/>
                    <w:left w:val="none" w:sz="0" w:space="0" w:color="auto"/>
                    <w:bottom w:val="none" w:sz="0" w:space="0" w:color="auto"/>
                    <w:right w:val="none" w:sz="0" w:space="0" w:color="auto"/>
                  </w:divBdr>
                  <w:divsChild>
                    <w:div w:id="557401182">
                      <w:marLeft w:val="0"/>
                      <w:marRight w:val="0"/>
                      <w:marTop w:val="0"/>
                      <w:marBottom w:val="0"/>
                      <w:divBdr>
                        <w:top w:val="none" w:sz="0" w:space="0" w:color="auto"/>
                        <w:left w:val="none" w:sz="0" w:space="0" w:color="auto"/>
                        <w:bottom w:val="none" w:sz="0" w:space="0" w:color="auto"/>
                        <w:right w:val="none" w:sz="0" w:space="0" w:color="auto"/>
                      </w:divBdr>
                    </w:div>
                  </w:divsChild>
                </w:div>
                <w:div w:id="1585188842">
                  <w:marLeft w:val="0"/>
                  <w:marRight w:val="0"/>
                  <w:marTop w:val="0"/>
                  <w:marBottom w:val="0"/>
                  <w:divBdr>
                    <w:top w:val="none" w:sz="0" w:space="0" w:color="auto"/>
                    <w:left w:val="none" w:sz="0" w:space="0" w:color="auto"/>
                    <w:bottom w:val="none" w:sz="0" w:space="0" w:color="auto"/>
                    <w:right w:val="none" w:sz="0" w:space="0" w:color="auto"/>
                  </w:divBdr>
                  <w:divsChild>
                    <w:div w:id="702288656">
                      <w:marLeft w:val="0"/>
                      <w:marRight w:val="0"/>
                      <w:marTop w:val="0"/>
                      <w:marBottom w:val="0"/>
                      <w:divBdr>
                        <w:top w:val="none" w:sz="0" w:space="0" w:color="auto"/>
                        <w:left w:val="none" w:sz="0" w:space="0" w:color="auto"/>
                        <w:bottom w:val="none" w:sz="0" w:space="0" w:color="auto"/>
                        <w:right w:val="none" w:sz="0" w:space="0" w:color="auto"/>
                      </w:divBdr>
                    </w:div>
                  </w:divsChild>
                </w:div>
                <w:div w:id="1617564266">
                  <w:marLeft w:val="0"/>
                  <w:marRight w:val="0"/>
                  <w:marTop w:val="0"/>
                  <w:marBottom w:val="0"/>
                  <w:divBdr>
                    <w:top w:val="none" w:sz="0" w:space="0" w:color="auto"/>
                    <w:left w:val="none" w:sz="0" w:space="0" w:color="auto"/>
                    <w:bottom w:val="none" w:sz="0" w:space="0" w:color="auto"/>
                    <w:right w:val="none" w:sz="0" w:space="0" w:color="auto"/>
                  </w:divBdr>
                  <w:divsChild>
                    <w:div w:id="505101349">
                      <w:marLeft w:val="0"/>
                      <w:marRight w:val="0"/>
                      <w:marTop w:val="0"/>
                      <w:marBottom w:val="0"/>
                      <w:divBdr>
                        <w:top w:val="none" w:sz="0" w:space="0" w:color="auto"/>
                        <w:left w:val="none" w:sz="0" w:space="0" w:color="auto"/>
                        <w:bottom w:val="none" w:sz="0" w:space="0" w:color="auto"/>
                        <w:right w:val="none" w:sz="0" w:space="0" w:color="auto"/>
                      </w:divBdr>
                    </w:div>
                  </w:divsChild>
                </w:div>
                <w:div w:id="1654673170">
                  <w:marLeft w:val="0"/>
                  <w:marRight w:val="0"/>
                  <w:marTop w:val="0"/>
                  <w:marBottom w:val="0"/>
                  <w:divBdr>
                    <w:top w:val="none" w:sz="0" w:space="0" w:color="auto"/>
                    <w:left w:val="none" w:sz="0" w:space="0" w:color="auto"/>
                    <w:bottom w:val="none" w:sz="0" w:space="0" w:color="auto"/>
                    <w:right w:val="none" w:sz="0" w:space="0" w:color="auto"/>
                  </w:divBdr>
                  <w:divsChild>
                    <w:div w:id="1056733845">
                      <w:marLeft w:val="0"/>
                      <w:marRight w:val="0"/>
                      <w:marTop w:val="0"/>
                      <w:marBottom w:val="0"/>
                      <w:divBdr>
                        <w:top w:val="none" w:sz="0" w:space="0" w:color="auto"/>
                        <w:left w:val="none" w:sz="0" w:space="0" w:color="auto"/>
                        <w:bottom w:val="none" w:sz="0" w:space="0" w:color="auto"/>
                        <w:right w:val="none" w:sz="0" w:space="0" w:color="auto"/>
                      </w:divBdr>
                    </w:div>
                  </w:divsChild>
                </w:div>
                <w:div w:id="1958755342">
                  <w:marLeft w:val="0"/>
                  <w:marRight w:val="0"/>
                  <w:marTop w:val="0"/>
                  <w:marBottom w:val="0"/>
                  <w:divBdr>
                    <w:top w:val="none" w:sz="0" w:space="0" w:color="auto"/>
                    <w:left w:val="none" w:sz="0" w:space="0" w:color="auto"/>
                    <w:bottom w:val="none" w:sz="0" w:space="0" w:color="auto"/>
                    <w:right w:val="none" w:sz="0" w:space="0" w:color="auto"/>
                  </w:divBdr>
                  <w:divsChild>
                    <w:div w:id="521944188">
                      <w:marLeft w:val="0"/>
                      <w:marRight w:val="0"/>
                      <w:marTop w:val="0"/>
                      <w:marBottom w:val="0"/>
                      <w:divBdr>
                        <w:top w:val="none" w:sz="0" w:space="0" w:color="auto"/>
                        <w:left w:val="none" w:sz="0" w:space="0" w:color="auto"/>
                        <w:bottom w:val="none" w:sz="0" w:space="0" w:color="auto"/>
                        <w:right w:val="none" w:sz="0" w:space="0" w:color="auto"/>
                      </w:divBdr>
                    </w:div>
                  </w:divsChild>
                </w:div>
                <w:div w:id="1993169717">
                  <w:marLeft w:val="0"/>
                  <w:marRight w:val="0"/>
                  <w:marTop w:val="0"/>
                  <w:marBottom w:val="0"/>
                  <w:divBdr>
                    <w:top w:val="none" w:sz="0" w:space="0" w:color="auto"/>
                    <w:left w:val="none" w:sz="0" w:space="0" w:color="auto"/>
                    <w:bottom w:val="none" w:sz="0" w:space="0" w:color="auto"/>
                    <w:right w:val="none" w:sz="0" w:space="0" w:color="auto"/>
                  </w:divBdr>
                  <w:divsChild>
                    <w:div w:id="2067604092">
                      <w:marLeft w:val="0"/>
                      <w:marRight w:val="0"/>
                      <w:marTop w:val="0"/>
                      <w:marBottom w:val="0"/>
                      <w:divBdr>
                        <w:top w:val="none" w:sz="0" w:space="0" w:color="auto"/>
                        <w:left w:val="none" w:sz="0" w:space="0" w:color="auto"/>
                        <w:bottom w:val="none" w:sz="0" w:space="0" w:color="auto"/>
                        <w:right w:val="none" w:sz="0" w:space="0" w:color="auto"/>
                      </w:divBdr>
                    </w:div>
                  </w:divsChild>
                </w:div>
                <w:div w:id="2108382766">
                  <w:marLeft w:val="0"/>
                  <w:marRight w:val="0"/>
                  <w:marTop w:val="0"/>
                  <w:marBottom w:val="0"/>
                  <w:divBdr>
                    <w:top w:val="none" w:sz="0" w:space="0" w:color="auto"/>
                    <w:left w:val="none" w:sz="0" w:space="0" w:color="auto"/>
                    <w:bottom w:val="none" w:sz="0" w:space="0" w:color="auto"/>
                    <w:right w:val="none" w:sz="0" w:space="0" w:color="auto"/>
                  </w:divBdr>
                  <w:divsChild>
                    <w:div w:id="1994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2010">
          <w:marLeft w:val="0"/>
          <w:marRight w:val="0"/>
          <w:marTop w:val="0"/>
          <w:marBottom w:val="0"/>
          <w:divBdr>
            <w:top w:val="none" w:sz="0" w:space="0" w:color="auto"/>
            <w:left w:val="none" w:sz="0" w:space="0" w:color="auto"/>
            <w:bottom w:val="none" w:sz="0" w:space="0" w:color="auto"/>
            <w:right w:val="none" w:sz="0" w:space="0" w:color="auto"/>
          </w:divBdr>
        </w:div>
        <w:div w:id="466512000">
          <w:marLeft w:val="0"/>
          <w:marRight w:val="0"/>
          <w:marTop w:val="0"/>
          <w:marBottom w:val="0"/>
          <w:divBdr>
            <w:top w:val="none" w:sz="0" w:space="0" w:color="auto"/>
            <w:left w:val="none" w:sz="0" w:space="0" w:color="auto"/>
            <w:bottom w:val="none" w:sz="0" w:space="0" w:color="auto"/>
            <w:right w:val="none" w:sz="0" w:space="0" w:color="auto"/>
          </w:divBdr>
          <w:divsChild>
            <w:div w:id="1937326806">
              <w:marLeft w:val="-75"/>
              <w:marRight w:val="0"/>
              <w:marTop w:val="30"/>
              <w:marBottom w:val="30"/>
              <w:divBdr>
                <w:top w:val="none" w:sz="0" w:space="0" w:color="auto"/>
                <w:left w:val="none" w:sz="0" w:space="0" w:color="auto"/>
                <w:bottom w:val="none" w:sz="0" w:space="0" w:color="auto"/>
                <w:right w:val="none" w:sz="0" w:space="0" w:color="auto"/>
              </w:divBdr>
              <w:divsChild>
                <w:div w:id="365839586">
                  <w:marLeft w:val="0"/>
                  <w:marRight w:val="0"/>
                  <w:marTop w:val="0"/>
                  <w:marBottom w:val="0"/>
                  <w:divBdr>
                    <w:top w:val="none" w:sz="0" w:space="0" w:color="auto"/>
                    <w:left w:val="none" w:sz="0" w:space="0" w:color="auto"/>
                    <w:bottom w:val="none" w:sz="0" w:space="0" w:color="auto"/>
                    <w:right w:val="none" w:sz="0" w:space="0" w:color="auto"/>
                  </w:divBdr>
                  <w:divsChild>
                    <w:div w:id="1184781512">
                      <w:marLeft w:val="0"/>
                      <w:marRight w:val="0"/>
                      <w:marTop w:val="0"/>
                      <w:marBottom w:val="0"/>
                      <w:divBdr>
                        <w:top w:val="none" w:sz="0" w:space="0" w:color="auto"/>
                        <w:left w:val="none" w:sz="0" w:space="0" w:color="auto"/>
                        <w:bottom w:val="none" w:sz="0" w:space="0" w:color="auto"/>
                        <w:right w:val="none" w:sz="0" w:space="0" w:color="auto"/>
                      </w:divBdr>
                    </w:div>
                  </w:divsChild>
                </w:div>
                <w:div w:id="504637516">
                  <w:marLeft w:val="0"/>
                  <w:marRight w:val="0"/>
                  <w:marTop w:val="0"/>
                  <w:marBottom w:val="0"/>
                  <w:divBdr>
                    <w:top w:val="none" w:sz="0" w:space="0" w:color="auto"/>
                    <w:left w:val="none" w:sz="0" w:space="0" w:color="auto"/>
                    <w:bottom w:val="none" w:sz="0" w:space="0" w:color="auto"/>
                    <w:right w:val="none" w:sz="0" w:space="0" w:color="auto"/>
                  </w:divBdr>
                  <w:divsChild>
                    <w:div w:id="1589075642">
                      <w:marLeft w:val="0"/>
                      <w:marRight w:val="0"/>
                      <w:marTop w:val="0"/>
                      <w:marBottom w:val="0"/>
                      <w:divBdr>
                        <w:top w:val="none" w:sz="0" w:space="0" w:color="auto"/>
                        <w:left w:val="none" w:sz="0" w:space="0" w:color="auto"/>
                        <w:bottom w:val="none" w:sz="0" w:space="0" w:color="auto"/>
                        <w:right w:val="none" w:sz="0" w:space="0" w:color="auto"/>
                      </w:divBdr>
                    </w:div>
                  </w:divsChild>
                </w:div>
                <w:div w:id="602686468">
                  <w:marLeft w:val="0"/>
                  <w:marRight w:val="0"/>
                  <w:marTop w:val="0"/>
                  <w:marBottom w:val="0"/>
                  <w:divBdr>
                    <w:top w:val="none" w:sz="0" w:space="0" w:color="auto"/>
                    <w:left w:val="none" w:sz="0" w:space="0" w:color="auto"/>
                    <w:bottom w:val="none" w:sz="0" w:space="0" w:color="auto"/>
                    <w:right w:val="none" w:sz="0" w:space="0" w:color="auto"/>
                  </w:divBdr>
                  <w:divsChild>
                    <w:div w:id="119492971">
                      <w:marLeft w:val="0"/>
                      <w:marRight w:val="0"/>
                      <w:marTop w:val="0"/>
                      <w:marBottom w:val="0"/>
                      <w:divBdr>
                        <w:top w:val="none" w:sz="0" w:space="0" w:color="auto"/>
                        <w:left w:val="none" w:sz="0" w:space="0" w:color="auto"/>
                        <w:bottom w:val="none" w:sz="0" w:space="0" w:color="auto"/>
                        <w:right w:val="none" w:sz="0" w:space="0" w:color="auto"/>
                      </w:divBdr>
                    </w:div>
                  </w:divsChild>
                </w:div>
                <w:div w:id="702021775">
                  <w:marLeft w:val="0"/>
                  <w:marRight w:val="0"/>
                  <w:marTop w:val="0"/>
                  <w:marBottom w:val="0"/>
                  <w:divBdr>
                    <w:top w:val="none" w:sz="0" w:space="0" w:color="auto"/>
                    <w:left w:val="none" w:sz="0" w:space="0" w:color="auto"/>
                    <w:bottom w:val="none" w:sz="0" w:space="0" w:color="auto"/>
                    <w:right w:val="none" w:sz="0" w:space="0" w:color="auto"/>
                  </w:divBdr>
                  <w:divsChild>
                    <w:div w:id="82649315">
                      <w:marLeft w:val="0"/>
                      <w:marRight w:val="0"/>
                      <w:marTop w:val="0"/>
                      <w:marBottom w:val="0"/>
                      <w:divBdr>
                        <w:top w:val="none" w:sz="0" w:space="0" w:color="auto"/>
                        <w:left w:val="none" w:sz="0" w:space="0" w:color="auto"/>
                        <w:bottom w:val="none" w:sz="0" w:space="0" w:color="auto"/>
                        <w:right w:val="none" w:sz="0" w:space="0" w:color="auto"/>
                      </w:divBdr>
                    </w:div>
                  </w:divsChild>
                </w:div>
                <w:div w:id="741561786">
                  <w:marLeft w:val="0"/>
                  <w:marRight w:val="0"/>
                  <w:marTop w:val="0"/>
                  <w:marBottom w:val="0"/>
                  <w:divBdr>
                    <w:top w:val="none" w:sz="0" w:space="0" w:color="auto"/>
                    <w:left w:val="none" w:sz="0" w:space="0" w:color="auto"/>
                    <w:bottom w:val="none" w:sz="0" w:space="0" w:color="auto"/>
                    <w:right w:val="none" w:sz="0" w:space="0" w:color="auto"/>
                  </w:divBdr>
                  <w:divsChild>
                    <w:div w:id="254365195">
                      <w:marLeft w:val="0"/>
                      <w:marRight w:val="0"/>
                      <w:marTop w:val="0"/>
                      <w:marBottom w:val="0"/>
                      <w:divBdr>
                        <w:top w:val="none" w:sz="0" w:space="0" w:color="auto"/>
                        <w:left w:val="none" w:sz="0" w:space="0" w:color="auto"/>
                        <w:bottom w:val="none" w:sz="0" w:space="0" w:color="auto"/>
                        <w:right w:val="none" w:sz="0" w:space="0" w:color="auto"/>
                      </w:divBdr>
                    </w:div>
                  </w:divsChild>
                </w:div>
                <w:div w:id="832797948">
                  <w:marLeft w:val="0"/>
                  <w:marRight w:val="0"/>
                  <w:marTop w:val="0"/>
                  <w:marBottom w:val="0"/>
                  <w:divBdr>
                    <w:top w:val="none" w:sz="0" w:space="0" w:color="auto"/>
                    <w:left w:val="none" w:sz="0" w:space="0" w:color="auto"/>
                    <w:bottom w:val="none" w:sz="0" w:space="0" w:color="auto"/>
                    <w:right w:val="none" w:sz="0" w:space="0" w:color="auto"/>
                  </w:divBdr>
                  <w:divsChild>
                    <w:div w:id="941841295">
                      <w:marLeft w:val="0"/>
                      <w:marRight w:val="0"/>
                      <w:marTop w:val="0"/>
                      <w:marBottom w:val="0"/>
                      <w:divBdr>
                        <w:top w:val="none" w:sz="0" w:space="0" w:color="auto"/>
                        <w:left w:val="none" w:sz="0" w:space="0" w:color="auto"/>
                        <w:bottom w:val="none" w:sz="0" w:space="0" w:color="auto"/>
                        <w:right w:val="none" w:sz="0" w:space="0" w:color="auto"/>
                      </w:divBdr>
                    </w:div>
                  </w:divsChild>
                </w:div>
                <w:div w:id="866604371">
                  <w:marLeft w:val="0"/>
                  <w:marRight w:val="0"/>
                  <w:marTop w:val="0"/>
                  <w:marBottom w:val="0"/>
                  <w:divBdr>
                    <w:top w:val="none" w:sz="0" w:space="0" w:color="auto"/>
                    <w:left w:val="none" w:sz="0" w:space="0" w:color="auto"/>
                    <w:bottom w:val="none" w:sz="0" w:space="0" w:color="auto"/>
                    <w:right w:val="none" w:sz="0" w:space="0" w:color="auto"/>
                  </w:divBdr>
                  <w:divsChild>
                    <w:div w:id="296034611">
                      <w:marLeft w:val="0"/>
                      <w:marRight w:val="0"/>
                      <w:marTop w:val="0"/>
                      <w:marBottom w:val="0"/>
                      <w:divBdr>
                        <w:top w:val="none" w:sz="0" w:space="0" w:color="auto"/>
                        <w:left w:val="none" w:sz="0" w:space="0" w:color="auto"/>
                        <w:bottom w:val="none" w:sz="0" w:space="0" w:color="auto"/>
                        <w:right w:val="none" w:sz="0" w:space="0" w:color="auto"/>
                      </w:divBdr>
                    </w:div>
                  </w:divsChild>
                </w:div>
                <w:div w:id="891044796">
                  <w:marLeft w:val="0"/>
                  <w:marRight w:val="0"/>
                  <w:marTop w:val="0"/>
                  <w:marBottom w:val="0"/>
                  <w:divBdr>
                    <w:top w:val="none" w:sz="0" w:space="0" w:color="auto"/>
                    <w:left w:val="none" w:sz="0" w:space="0" w:color="auto"/>
                    <w:bottom w:val="none" w:sz="0" w:space="0" w:color="auto"/>
                    <w:right w:val="none" w:sz="0" w:space="0" w:color="auto"/>
                  </w:divBdr>
                  <w:divsChild>
                    <w:div w:id="537546472">
                      <w:marLeft w:val="0"/>
                      <w:marRight w:val="0"/>
                      <w:marTop w:val="0"/>
                      <w:marBottom w:val="0"/>
                      <w:divBdr>
                        <w:top w:val="none" w:sz="0" w:space="0" w:color="auto"/>
                        <w:left w:val="none" w:sz="0" w:space="0" w:color="auto"/>
                        <w:bottom w:val="none" w:sz="0" w:space="0" w:color="auto"/>
                        <w:right w:val="none" w:sz="0" w:space="0" w:color="auto"/>
                      </w:divBdr>
                    </w:div>
                  </w:divsChild>
                </w:div>
                <w:div w:id="1028065013">
                  <w:marLeft w:val="0"/>
                  <w:marRight w:val="0"/>
                  <w:marTop w:val="0"/>
                  <w:marBottom w:val="0"/>
                  <w:divBdr>
                    <w:top w:val="none" w:sz="0" w:space="0" w:color="auto"/>
                    <w:left w:val="none" w:sz="0" w:space="0" w:color="auto"/>
                    <w:bottom w:val="none" w:sz="0" w:space="0" w:color="auto"/>
                    <w:right w:val="none" w:sz="0" w:space="0" w:color="auto"/>
                  </w:divBdr>
                  <w:divsChild>
                    <w:div w:id="1276517653">
                      <w:marLeft w:val="0"/>
                      <w:marRight w:val="0"/>
                      <w:marTop w:val="0"/>
                      <w:marBottom w:val="0"/>
                      <w:divBdr>
                        <w:top w:val="none" w:sz="0" w:space="0" w:color="auto"/>
                        <w:left w:val="none" w:sz="0" w:space="0" w:color="auto"/>
                        <w:bottom w:val="none" w:sz="0" w:space="0" w:color="auto"/>
                        <w:right w:val="none" w:sz="0" w:space="0" w:color="auto"/>
                      </w:divBdr>
                    </w:div>
                  </w:divsChild>
                </w:div>
                <w:div w:id="1114641189">
                  <w:marLeft w:val="0"/>
                  <w:marRight w:val="0"/>
                  <w:marTop w:val="0"/>
                  <w:marBottom w:val="0"/>
                  <w:divBdr>
                    <w:top w:val="none" w:sz="0" w:space="0" w:color="auto"/>
                    <w:left w:val="none" w:sz="0" w:space="0" w:color="auto"/>
                    <w:bottom w:val="none" w:sz="0" w:space="0" w:color="auto"/>
                    <w:right w:val="none" w:sz="0" w:space="0" w:color="auto"/>
                  </w:divBdr>
                  <w:divsChild>
                    <w:div w:id="1977367681">
                      <w:marLeft w:val="0"/>
                      <w:marRight w:val="0"/>
                      <w:marTop w:val="0"/>
                      <w:marBottom w:val="0"/>
                      <w:divBdr>
                        <w:top w:val="none" w:sz="0" w:space="0" w:color="auto"/>
                        <w:left w:val="none" w:sz="0" w:space="0" w:color="auto"/>
                        <w:bottom w:val="none" w:sz="0" w:space="0" w:color="auto"/>
                        <w:right w:val="none" w:sz="0" w:space="0" w:color="auto"/>
                      </w:divBdr>
                    </w:div>
                  </w:divsChild>
                </w:div>
                <w:div w:id="1218785311">
                  <w:marLeft w:val="0"/>
                  <w:marRight w:val="0"/>
                  <w:marTop w:val="0"/>
                  <w:marBottom w:val="0"/>
                  <w:divBdr>
                    <w:top w:val="none" w:sz="0" w:space="0" w:color="auto"/>
                    <w:left w:val="none" w:sz="0" w:space="0" w:color="auto"/>
                    <w:bottom w:val="none" w:sz="0" w:space="0" w:color="auto"/>
                    <w:right w:val="none" w:sz="0" w:space="0" w:color="auto"/>
                  </w:divBdr>
                  <w:divsChild>
                    <w:div w:id="2075423714">
                      <w:marLeft w:val="0"/>
                      <w:marRight w:val="0"/>
                      <w:marTop w:val="0"/>
                      <w:marBottom w:val="0"/>
                      <w:divBdr>
                        <w:top w:val="none" w:sz="0" w:space="0" w:color="auto"/>
                        <w:left w:val="none" w:sz="0" w:space="0" w:color="auto"/>
                        <w:bottom w:val="none" w:sz="0" w:space="0" w:color="auto"/>
                        <w:right w:val="none" w:sz="0" w:space="0" w:color="auto"/>
                      </w:divBdr>
                    </w:div>
                  </w:divsChild>
                </w:div>
                <w:div w:id="1357268129">
                  <w:marLeft w:val="0"/>
                  <w:marRight w:val="0"/>
                  <w:marTop w:val="0"/>
                  <w:marBottom w:val="0"/>
                  <w:divBdr>
                    <w:top w:val="none" w:sz="0" w:space="0" w:color="auto"/>
                    <w:left w:val="none" w:sz="0" w:space="0" w:color="auto"/>
                    <w:bottom w:val="none" w:sz="0" w:space="0" w:color="auto"/>
                    <w:right w:val="none" w:sz="0" w:space="0" w:color="auto"/>
                  </w:divBdr>
                  <w:divsChild>
                    <w:div w:id="1567187496">
                      <w:marLeft w:val="0"/>
                      <w:marRight w:val="0"/>
                      <w:marTop w:val="0"/>
                      <w:marBottom w:val="0"/>
                      <w:divBdr>
                        <w:top w:val="none" w:sz="0" w:space="0" w:color="auto"/>
                        <w:left w:val="none" w:sz="0" w:space="0" w:color="auto"/>
                        <w:bottom w:val="none" w:sz="0" w:space="0" w:color="auto"/>
                        <w:right w:val="none" w:sz="0" w:space="0" w:color="auto"/>
                      </w:divBdr>
                    </w:div>
                  </w:divsChild>
                </w:div>
                <w:div w:id="1464736252">
                  <w:marLeft w:val="0"/>
                  <w:marRight w:val="0"/>
                  <w:marTop w:val="0"/>
                  <w:marBottom w:val="0"/>
                  <w:divBdr>
                    <w:top w:val="none" w:sz="0" w:space="0" w:color="auto"/>
                    <w:left w:val="none" w:sz="0" w:space="0" w:color="auto"/>
                    <w:bottom w:val="none" w:sz="0" w:space="0" w:color="auto"/>
                    <w:right w:val="none" w:sz="0" w:space="0" w:color="auto"/>
                  </w:divBdr>
                  <w:divsChild>
                    <w:div w:id="1449854071">
                      <w:marLeft w:val="0"/>
                      <w:marRight w:val="0"/>
                      <w:marTop w:val="0"/>
                      <w:marBottom w:val="0"/>
                      <w:divBdr>
                        <w:top w:val="none" w:sz="0" w:space="0" w:color="auto"/>
                        <w:left w:val="none" w:sz="0" w:space="0" w:color="auto"/>
                        <w:bottom w:val="none" w:sz="0" w:space="0" w:color="auto"/>
                        <w:right w:val="none" w:sz="0" w:space="0" w:color="auto"/>
                      </w:divBdr>
                    </w:div>
                  </w:divsChild>
                </w:div>
                <w:div w:id="1473792785">
                  <w:marLeft w:val="0"/>
                  <w:marRight w:val="0"/>
                  <w:marTop w:val="0"/>
                  <w:marBottom w:val="0"/>
                  <w:divBdr>
                    <w:top w:val="none" w:sz="0" w:space="0" w:color="auto"/>
                    <w:left w:val="none" w:sz="0" w:space="0" w:color="auto"/>
                    <w:bottom w:val="none" w:sz="0" w:space="0" w:color="auto"/>
                    <w:right w:val="none" w:sz="0" w:space="0" w:color="auto"/>
                  </w:divBdr>
                  <w:divsChild>
                    <w:div w:id="1657808000">
                      <w:marLeft w:val="0"/>
                      <w:marRight w:val="0"/>
                      <w:marTop w:val="0"/>
                      <w:marBottom w:val="0"/>
                      <w:divBdr>
                        <w:top w:val="none" w:sz="0" w:space="0" w:color="auto"/>
                        <w:left w:val="none" w:sz="0" w:space="0" w:color="auto"/>
                        <w:bottom w:val="none" w:sz="0" w:space="0" w:color="auto"/>
                        <w:right w:val="none" w:sz="0" w:space="0" w:color="auto"/>
                      </w:divBdr>
                    </w:div>
                  </w:divsChild>
                </w:div>
                <w:div w:id="1500578743">
                  <w:marLeft w:val="0"/>
                  <w:marRight w:val="0"/>
                  <w:marTop w:val="0"/>
                  <w:marBottom w:val="0"/>
                  <w:divBdr>
                    <w:top w:val="none" w:sz="0" w:space="0" w:color="auto"/>
                    <w:left w:val="none" w:sz="0" w:space="0" w:color="auto"/>
                    <w:bottom w:val="none" w:sz="0" w:space="0" w:color="auto"/>
                    <w:right w:val="none" w:sz="0" w:space="0" w:color="auto"/>
                  </w:divBdr>
                  <w:divsChild>
                    <w:div w:id="1876384990">
                      <w:marLeft w:val="0"/>
                      <w:marRight w:val="0"/>
                      <w:marTop w:val="0"/>
                      <w:marBottom w:val="0"/>
                      <w:divBdr>
                        <w:top w:val="none" w:sz="0" w:space="0" w:color="auto"/>
                        <w:left w:val="none" w:sz="0" w:space="0" w:color="auto"/>
                        <w:bottom w:val="none" w:sz="0" w:space="0" w:color="auto"/>
                        <w:right w:val="none" w:sz="0" w:space="0" w:color="auto"/>
                      </w:divBdr>
                    </w:div>
                  </w:divsChild>
                </w:div>
                <w:div w:id="1504970630">
                  <w:marLeft w:val="0"/>
                  <w:marRight w:val="0"/>
                  <w:marTop w:val="0"/>
                  <w:marBottom w:val="0"/>
                  <w:divBdr>
                    <w:top w:val="none" w:sz="0" w:space="0" w:color="auto"/>
                    <w:left w:val="none" w:sz="0" w:space="0" w:color="auto"/>
                    <w:bottom w:val="none" w:sz="0" w:space="0" w:color="auto"/>
                    <w:right w:val="none" w:sz="0" w:space="0" w:color="auto"/>
                  </w:divBdr>
                  <w:divsChild>
                    <w:div w:id="134219342">
                      <w:marLeft w:val="0"/>
                      <w:marRight w:val="0"/>
                      <w:marTop w:val="0"/>
                      <w:marBottom w:val="0"/>
                      <w:divBdr>
                        <w:top w:val="none" w:sz="0" w:space="0" w:color="auto"/>
                        <w:left w:val="none" w:sz="0" w:space="0" w:color="auto"/>
                        <w:bottom w:val="none" w:sz="0" w:space="0" w:color="auto"/>
                        <w:right w:val="none" w:sz="0" w:space="0" w:color="auto"/>
                      </w:divBdr>
                    </w:div>
                  </w:divsChild>
                </w:div>
                <w:div w:id="1533373022">
                  <w:marLeft w:val="0"/>
                  <w:marRight w:val="0"/>
                  <w:marTop w:val="0"/>
                  <w:marBottom w:val="0"/>
                  <w:divBdr>
                    <w:top w:val="none" w:sz="0" w:space="0" w:color="auto"/>
                    <w:left w:val="none" w:sz="0" w:space="0" w:color="auto"/>
                    <w:bottom w:val="none" w:sz="0" w:space="0" w:color="auto"/>
                    <w:right w:val="none" w:sz="0" w:space="0" w:color="auto"/>
                  </w:divBdr>
                  <w:divsChild>
                    <w:div w:id="809901577">
                      <w:marLeft w:val="0"/>
                      <w:marRight w:val="0"/>
                      <w:marTop w:val="0"/>
                      <w:marBottom w:val="0"/>
                      <w:divBdr>
                        <w:top w:val="none" w:sz="0" w:space="0" w:color="auto"/>
                        <w:left w:val="none" w:sz="0" w:space="0" w:color="auto"/>
                        <w:bottom w:val="none" w:sz="0" w:space="0" w:color="auto"/>
                        <w:right w:val="none" w:sz="0" w:space="0" w:color="auto"/>
                      </w:divBdr>
                    </w:div>
                  </w:divsChild>
                </w:div>
                <w:div w:id="1587375656">
                  <w:marLeft w:val="0"/>
                  <w:marRight w:val="0"/>
                  <w:marTop w:val="0"/>
                  <w:marBottom w:val="0"/>
                  <w:divBdr>
                    <w:top w:val="none" w:sz="0" w:space="0" w:color="auto"/>
                    <w:left w:val="none" w:sz="0" w:space="0" w:color="auto"/>
                    <w:bottom w:val="none" w:sz="0" w:space="0" w:color="auto"/>
                    <w:right w:val="none" w:sz="0" w:space="0" w:color="auto"/>
                  </w:divBdr>
                  <w:divsChild>
                    <w:div w:id="1921982155">
                      <w:marLeft w:val="0"/>
                      <w:marRight w:val="0"/>
                      <w:marTop w:val="0"/>
                      <w:marBottom w:val="0"/>
                      <w:divBdr>
                        <w:top w:val="none" w:sz="0" w:space="0" w:color="auto"/>
                        <w:left w:val="none" w:sz="0" w:space="0" w:color="auto"/>
                        <w:bottom w:val="none" w:sz="0" w:space="0" w:color="auto"/>
                        <w:right w:val="none" w:sz="0" w:space="0" w:color="auto"/>
                      </w:divBdr>
                    </w:div>
                  </w:divsChild>
                </w:div>
                <w:div w:id="1597716289">
                  <w:marLeft w:val="0"/>
                  <w:marRight w:val="0"/>
                  <w:marTop w:val="0"/>
                  <w:marBottom w:val="0"/>
                  <w:divBdr>
                    <w:top w:val="none" w:sz="0" w:space="0" w:color="auto"/>
                    <w:left w:val="none" w:sz="0" w:space="0" w:color="auto"/>
                    <w:bottom w:val="none" w:sz="0" w:space="0" w:color="auto"/>
                    <w:right w:val="none" w:sz="0" w:space="0" w:color="auto"/>
                  </w:divBdr>
                  <w:divsChild>
                    <w:div w:id="1487093617">
                      <w:marLeft w:val="0"/>
                      <w:marRight w:val="0"/>
                      <w:marTop w:val="0"/>
                      <w:marBottom w:val="0"/>
                      <w:divBdr>
                        <w:top w:val="none" w:sz="0" w:space="0" w:color="auto"/>
                        <w:left w:val="none" w:sz="0" w:space="0" w:color="auto"/>
                        <w:bottom w:val="none" w:sz="0" w:space="0" w:color="auto"/>
                        <w:right w:val="none" w:sz="0" w:space="0" w:color="auto"/>
                      </w:divBdr>
                    </w:div>
                  </w:divsChild>
                </w:div>
                <w:div w:id="1620530748">
                  <w:marLeft w:val="0"/>
                  <w:marRight w:val="0"/>
                  <w:marTop w:val="0"/>
                  <w:marBottom w:val="0"/>
                  <w:divBdr>
                    <w:top w:val="none" w:sz="0" w:space="0" w:color="auto"/>
                    <w:left w:val="none" w:sz="0" w:space="0" w:color="auto"/>
                    <w:bottom w:val="none" w:sz="0" w:space="0" w:color="auto"/>
                    <w:right w:val="none" w:sz="0" w:space="0" w:color="auto"/>
                  </w:divBdr>
                  <w:divsChild>
                    <w:div w:id="806505767">
                      <w:marLeft w:val="0"/>
                      <w:marRight w:val="0"/>
                      <w:marTop w:val="0"/>
                      <w:marBottom w:val="0"/>
                      <w:divBdr>
                        <w:top w:val="none" w:sz="0" w:space="0" w:color="auto"/>
                        <w:left w:val="none" w:sz="0" w:space="0" w:color="auto"/>
                        <w:bottom w:val="none" w:sz="0" w:space="0" w:color="auto"/>
                        <w:right w:val="none" w:sz="0" w:space="0" w:color="auto"/>
                      </w:divBdr>
                    </w:div>
                  </w:divsChild>
                </w:div>
                <w:div w:id="1825390121">
                  <w:marLeft w:val="0"/>
                  <w:marRight w:val="0"/>
                  <w:marTop w:val="0"/>
                  <w:marBottom w:val="0"/>
                  <w:divBdr>
                    <w:top w:val="none" w:sz="0" w:space="0" w:color="auto"/>
                    <w:left w:val="none" w:sz="0" w:space="0" w:color="auto"/>
                    <w:bottom w:val="none" w:sz="0" w:space="0" w:color="auto"/>
                    <w:right w:val="none" w:sz="0" w:space="0" w:color="auto"/>
                  </w:divBdr>
                  <w:divsChild>
                    <w:div w:id="1782677092">
                      <w:marLeft w:val="0"/>
                      <w:marRight w:val="0"/>
                      <w:marTop w:val="0"/>
                      <w:marBottom w:val="0"/>
                      <w:divBdr>
                        <w:top w:val="none" w:sz="0" w:space="0" w:color="auto"/>
                        <w:left w:val="none" w:sz="0" w:space="0" w:color="auto"/>
                        <w:bottom w:val="none" w:sz="0" w:space="0" w:color="auto"/>
                        <w:right w:val="none" w:sz="0" w:space="0" w:color="auto"/>
                      </w:divBdr>
                    </w:div>
                  </w:divsChild>
                </w:div>
                <w:div w:id="1884364098">
                  <w:marLeft w:val="0"/>
                  <w:marRight w:val="0"/>
                  <w:marTop w:val="0"/>
                  <w:marBottom w:val="0"/>
                  <w:divBdr>
                    <w:top w:val="none" w:sz="0" w:space="0" w:color="auto"/>
                    <w:left w:val="none" w:sz="0" w:space="0" w:color="auto"/>
                    <w:bottom w:val="none" w:sz="0" w:space="0" w:color="auto"/>
                    <w:right w:val="none" w:sz="0" w:space="0" w:color="auto"/>
                  </w:divBdr>
                  <w:divsChild>
                    <w:div w:id="1825395871">
                      <w:marLeft w:val="0"/>
                      <w:marRight w:val="0"/>
                      <w:marTop w:val="0"/>
                      <w:marBottom w:val="0"/>
                      <w:divBdr>
                        <w:top w:val="none" w:sz="0" w:space="0" w:color="auto"/>
                        <w:left w:val="none" w:sz="0" w:space="0" w:color="auto"/>
                        <w:bottom w:val="none" w:sz="0" w:space="0" w:color="auto"/>
                        <w:right w:val="none" w:sz="0" w:space="0" w:color="auto"/>
                      </w:divBdr>
                    </w:div>
                  </w:divsChild>
                </w:div>
                <w:div w:id="2039119468">
                  <w:marLeft w:val="0"/>
                  <w:marRight w:val="0"/>
                  <w:marTop w:val="0"/>
                  <w:marBottom w:val="0"/>
                  <w:divBdr>
                    <w:top w:val="none" w:sz="0" w:space="0" w:color="auto"/>
                    <w:left w:val="none" w:sz="0" w:space="0" w:color="auto"/>
                    <w:bottom w:val="none" w:sz="0" w:space="0" w:color="auto"/>
                    <w:right w:val="none" w:sz="0" w:space="0" w:color="auto"/>
                  </w:divBdr>
                  <w:divsChild>
                    <w:div w:id="14875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5340">
          <w:marLeft w:val="0"/>
          <w:marRight w:val="0"/>
          <w:marTop w:val="0"/>
          <w:marBottom w:val="0"/>
          <w:divBdr>
            <w:top w:val="none" w:sz="0" w:space="0" w:color="auto"/>
            <w:left w:val="none" w:sz="0" w:space="0" w:color="auto"/>
            <w:bottom w:val="none" w:sz="0" w:space="0" w:color="auto"/>
            <w:right w:val="none" w:sz="0" w:space="0" w:color="auto"/>
          </w:divBdr>
        </w:div>
        <w:div w:id="544869661">
          <w:marLeft w:val="0"/>
          <w:marRight w:val="0"/>
          <w:marTop w:val="0"/>
          <w:marBottom w:val="0"/>
          <w:divBdr>
            <w:top w:val="none" w:sz="0" w:space="0" w:color="auto"/>
            <w:left w:val="none" w:sz="0" w:space="0" w:color="auto"/>
            <w:bottom w:val="none" w:sz="0" w:space="0" w:color="auto"/>
            <w:right w:val="none" w:sz="0" w:space="0" w:color="auto"/>
          </w:divBdr>
        </w:div>
        <w:div w:id="593128857">
          <w:marLeft w:val="0"/>
          <w:marRight w:val="0"/>
          <w:marTop w:val="0"/>
          <w:marBottom w:val="0"/>
          <w:divBdr>
            <w:top w:val="none" w:sz="0" w:space="0" w:color="auto"/>
            <w:left w:val="none" w:sz="0" w:space="0" w:color="auto"/>
            <w:bottom w:val="none" w:sz="0" w:space="0" w:color="auto"/>
            <w:right w:val="none" w:sz="0" w:space="0" w:color="auto"/>
          </w:divBdr>
        </w:div>
        <w:div w:id="835000415">
          <w:marLeft w:val="0"/>
          <w:marRight w:val="0"/>
          <w:marTop w:val="0"/>
          <w:marBottom w:val="0"/>
          <w:divBdr>
            <w:top w:val="none" w:sz="0" w:space="0" w:color="auto"/>
            <w:left w:val="none" w:sz="0" w:space="0" w:color="auto"/>
            <w:bottom w:val="none" w:sz="0" w:space="0" w:color="auto"/>
            <w:right w:val="none" w:sz="0" w:space="0" w:color="auto"/>
          </w:divBdr>
        </w:div>
        <w:div w:id="985738223">
          <w:marLeft w:val="0"/>
          <w:marRight w:val="0"/>
          <w:marTop w:val="0"/>
          <w:marBottom w:val="0"/>
          <w:divBdr>
            <w:top w:val="none" w:sz="0" w:space="0" w:color="auto"/>
            <w:left w:val="none" w:sz="0" w:space="0" w:color="auto"/>
            <w:bottom w:val="none" w:sz="0" w:space="0" w:color="auto"/>
            <w:right w:val="none" w:sz="0" w:space="0" w:color="auto"/>
          </w:divBdr>
        </w:div>
        <w:div w:id="1087652620">
          <w:marLeft w:val="0"/>
          <w:marRight w:val="0"/>
          <w:marTop w:val="0"/>
          <w:marBottom w:val="0"/>
          <w:divBdr>
            <w:top w:val="none" w:sz="0" w:space="0" w:color="auto"/>
            <w:left w:val="none" w:sz="0" w:space="0" w:color="auto"/>
            <w:bottom w:val="none" w:sz="0" w:space="0" w:color="auto"/>
            <w:right w:val="none" w:sz="0" w:space="0" w:color="auto"/>
          </w:divBdr>
        </w:div>
        <w:div w:id="1281838444">
          <w:marLeft w:val="0"/>
          <w:marRight w:val="0"/>
          <w:marTop w:val="0"/>
          <w:marBottom w:val="0"/>
          <w:divBdr>
            <w:top w:val="none" w:sz="0" w:space="0" w:color="auto"/>
            <w:left w:val="none" w:sz="0" w:space="0" w:color="auto"/>
            <w:bottom w:val="none" w:sz="0" w:space="0" w:color="auto"/>
            <w:right w:val="none" w:sz="0" w:space="0" w:color="auto"/>
          </w:divBdr>
        </w:div>
        <w:div w:id="1323199987">
          <w:marLeft w:val="0"/>
          <w:marRight w:val="0"/>
          <w:marTop w:val="0"/>
          <w:marBottom w:val="0"/>
          <w:divBdr>
            <w:top w:val="none" w:sz="0" w:space="0" w:color="auto"/>
            <w:left w:val="none" w:sz="0" w:space="0" w:color="auto"/>
            <w:bottom w:val="none" w:sz="0" w:space="0" w:color="auto"/>
            <w:right w:val="none" w:sz="0" w:space="0" w:color="auto"/>
          </w:divBdr>
        </w:div>
        <w:div w:id="1372808497">
          <w:marLeft w:val="0"/>
          <w:marRight w:val="0"/>
          <w:marTop w:val="0"/>
          <w:marBottom w:val="0"/>
          <w:divBdr>
            <w:top w:val="none" w:sz="0" w:space="0" w:color="auto"/>
            <w:left w:val="none" w:sz="0" w:space="0" w:color="auto"/>
            <w:bottom w:val="none" w:sz="0" w:space="0" w:color="auto"/>
            <w:right w:val="none" w:sz="0" w:space="0" w:color="auto"/>
          </w:divBdr>
        </w:div>
        <w:div w:id="1717007000">
          <w:marLeft w:val="0"/>
          <w:marRight w:val="0"/>
          <w:marTop w:val="0"/>
          <w:marBottom w:val="0"/>
          <w:divBdr>
            <w:top w:val="none" w:sz="0" w:space="0" w:color="auto"/>
            <w:left w:val="none" w:sz="0" w:space="0" w:color="auto"/>
            <w:bottom w:val="none" w:sz="0" w:space="0" w:color="auto"/>
            <w:right w:val="none" w:sz="0" w:space="0" w:color="auto"/>
          </w:divBdr>
        </w:div>
        <w:div w:id="1851868369">
          <w:marLeft w:val="0"/>
          <w:marRight w:val="0"/>
          <w:marTop w:val="0"/>
          <w:marBottom w:val="0"/>
          <w:divBdr>
            <w:top w:val="none" w:sz="0" w:space="0" w:color="auto"/>
            <w:left w:val="none" w:sz="0" w:space="0" w:color="auto"/>
            <w:bottom w:val="none" w:sz="0" w:space="0" w:color="auto"/>
            <w:right w:val="none" w:sz="0" w:space="0" w:color="auto"/>
          </w:divBdr>
        </w:div>
      </w:divsChild>
    </w:div>
    <w:div w:id="575356105">
      <w:bodyDiv w:val="1"/>
      <w:marLeft w:val="0"/>
      <w:marRight w:val="0"/>
      <w:marTop w:val="0"/>
      <w:marBottom w:val="0"/>
      <w:divBdr>
        <w:top w:val="none" w:sz="0" w:space="0" w:color="auto"/>
        <w:left w:val="none" w:sz="0" w:space="0" w:color="auto"/>
        <w:bottom w:val="none" w:sz="0" w:space="0" w:color="auto"/>
        <w:right w:val="none" w:sz="0" w:space="0" w:color="auto"/>
      </w:divBdr>
      <w:divsChild>
        <w:div w:id="1524635397">
          <w:marLeft w:val="0"/>
          <w:marRight w:val="0"/>
          <w:marTop w:val="0"/>
          <w:marBottom w:val="0"/>
          <w:divBdr>
            <w:top w:val="none" w:sz="0" w:space="0" w:color="auto"/>
            <w:left w:val="none" w:sz="0" w:space="0" w:color="auto"/>
            <w:bottom w:val="none" w:sz="0" w:space="0" w:color="auto"/>
            <w:right w:val="none" w:sz="0" w:space="0" w:color="auto"/>
          </w:divBdr>
          <w:divsChild>
            <w:div w:id="1166899828">
              <w:marLeft w:val="0"/>
              <w:marRight w:val="0"/>
              <w:marTop w:val="0"/>
              <w:marBottom w:val="0"/>
              <w:divBdr>
                <w:top w:val="none" w:sz="0" w:space="0" w:color="auto"/>
                <w:left w:val="none" w:sz="0" w:space="0" w:color="auto"/>
                <w:bottom w:val="none" w:sz="0" w:space="0" w:color="auto"/>
                <w:right w:val="none" w:sz="0" w:space="0" w:color="auto"/>
              </w:divBdr>
              <w:divsChild>
                <w:div w:id="13254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01187">
      <w:bodyDiv w:val="1"/>
      <w:marLeft w:val="0"/>
      <w:marRight w:val="0"/>
      <w:marTop w:val="0"/>
      <w:marBottom w:val="0"/>
      <w:divBdr>
        <w:top w:val="none" w:sz="0" w:space="0" w:color="auto"/>
        <w:left w:val="none" w:sz="0" w:space="0" w:color="auto"/>
        <w:bottom w:val="none" w:sz="0" w:space="0" w:color="auto"/>
        <w:right w:val="none" w:sz="0" w:space="0" w:color="auto"/>
      </w:divBdr>
    </w:div>
    <w:div w:id="590821148">
      <w:bodyDiv w:val="1"/>
      <w:marLeft w:val="0"/>
      <w:marRight w:val="0"/>
      <w:marTop w:val="0"/>
      <w:marBottom w:val="0"/>
      <w:divBdr>
        <w:top w:val="none" w:sz="0" w:space="0" w:color="auto"/>
        <w:left w:val="none" w:sz="0" w:space="0" w:color="auto"/>
        <w:bottom w:val="none" w:sz="0" w:space="0" w:color="auto"/>
        <w:right w:val="none" w:sz="0" w:space="0" w:color="auto"/>
      </w:divBdr>
    </w:div>
    <w:div w:id="596408864">
      <w:bodyDiv w:val="1"/>
      <w:marLeft w:val="0"/>
      <w:marRight w:val="0"/>
      <w:marTop w:val="0"/>
      <w:marBottom w:val="0"/>
      <w:divBdr>
        <w:top w:val="none" w:sz="0" w:space="0" w:color="auto"/>
        <w:left w:val="none" w:sz="0" w:space="0" w:color="auto"/>
        <w:bottom w:val="none" w:sz="0" w:space="0" w:color="auto"/>
        <w:right w:val="none" w:sz="0" w:space="0" w:color="auto"/>
      </w:divBdr>
    </w:div>
    <w:div w:id="621769647">
      <w:bodyDiv w:val="1"/>
      <w:marLeft w:val="0"/>
      <w:marRight w:val="0"/>
      <w:marTop w:val="0"/>
      <w:marBottom w:val="0"/>
      <w:divBdr>
        <w:top w:val="none" w:sz="0" w:space="0" w:color="auto"/>
        <w:left w:val="none" w:sz="0" w:space="0" w:color="auto"/>
        <w:bottom w:val="none" w:sz="0" w:space="0" w:color="auto"/>
        <w:right w:val="none" w:sz="0" w:space="0" w:color="auto"/>
      </w:divBdr>
    </w:div>
    <w:div w:id="639382981">
      <w:bodyDiv w:val="1"/>
      <w:marLeft w:val="0"/>
      <w:marRight w:val="0"/>
      <w:marTop w:val="0"/>
      <w:marBottom w:val="0"/>
      <w:divBdr>
        <w:top w:val="none" w:sz="0" w:space="0" w:color="auto"/>
        <w:left w:val="none" w:sz="0" w:space="0" w:color="auto"/>
        <w:bottom w:val="none" w:sz="0" w:space="0" w:color="auto"/>
        <w:right w:val="none" w:sz="0" w:space="0" w:color="auto"/>
      </w:divBdr>
    </w:div>
    <w:div w:id="653919895">
      <w:bodyDiv w:val="1"/>
      <w:marLeft w:val="0"/>
      <w:marRight w:val="0"/>
      <w:marTop w:val="0"/>
      <w:marBottom w:val="0"/>
      <w:divBdr>
        <w:top w:val="none" w:sz="0" w:space="0" w:color="auto"/>
        <w:left w:val="none" w:sz="0" w:space="0" w:color="auto"/>
        <w:bottom w:val="none" w:sz="0" w:space="0" w:color="auto"/>
        <w:right w:val="none" w:sz="0" w:space="0" w:color="auto"/>
      </w:divBdr>
    </w:div>
    <w:div w:id="656149411">
      <w:bodyDiv w:val="1"/>
      <w:marLeft w:val="0"/>
      <w:marRight w:val="0"/>
      <w:marTop w:val="0"/>
      <w:marBottom w:val="0"/>
      <w:divBdr>
        <w:top w:val="none" w:sz="0" w:space="0" w:color="auto"/>
        <w:left w:val="none" w:sz="0" w:space="0" w:color="auto"/>
        <w:bottom w:val="none" w:sz="0" w:space="0" w:color="auto"/>
        <w:right w:val="none" w:sz="0" w:space="0" w:color="auto"/>
      </w:divBdr>
    </w:div>
    <w:div w:id="671298499">
      <w:bodyDiv w:val="1"/>
      <w:marLeft w:val="0"/>
      <w:marRight w:val="0"/>
      <w:marTop w:val="0"/>
      <w:marBottom w:val="0"/>
      <w:divBdr>
        <w:top w:val="none" w:sz="0" w:space="0" w:color="auto"/>
        <w:left w:val="none" w:sz="0" w:space="0" w:color="auto"/>
        <w:bottom w:val="none" w:sz="0" w:space="0" w:color="auto"/>
        <w:right w:val="none" w:sz="0" w:space="0" w:color="auto"/>
      </w:divBdr>
    </w:div>
    <w:div w:id="687876180">
      <w:bodyDiv w:val="1"/>
      <w:marLeft w:val="0"/>
      <w:marRight w:val="0"/>
      <w:marTop w:val="0"/>
      <w:marBottom w:val="0"/>
      <w:divBdr>
        <w:top w:val="none" w:sz="0" w:space="0" w:color="auto"/>
        <w:left w:val="none" w:sz="0" w:space="0" w:color="auto"/>
        <w:bottom w:val="none" w:sz="0" w:space="0" w:color="auto"/>
        <w:right w:val="none" w:sz="0" w:space="0" w:color="auto"/>
      </w:divBdr>
    </w:div>
    <w:div w:id="702369279">
      <w:bodyDiv w:val="1"/>
      <w:marLeft w:val="0"/>
      <w:marRight w:val="0"/>
      <w:marTop w:val="0"/>
      <w:marBottom w:val="0"/>
      <w:divBdr>
        <w:top w:val="none" w:sz="0" w:space="0" w:color="auto"/>
        <w:left w:val="none" w:sz="0" w:space="0" w:color="auto"/>
        <w:bottom w:val="none" w:sz="0" w:space="0" w:color="auto"/>
        <w:right w:val="none" w:sz="0" w:space="0" w:color="auto"/>
      </w:divBdr>
    </w:div>
    <w:div w:id="709501545">
      <w:bodyDiv w:val="1"/>
      <w:marLeft w:val="0"/>
      <w:marRight w:val="0"/>
      <w:marTop w:val="0"/>
      <w:marBottom w:val="0"/>
      <w:divBdr>
        <w:top w:val="none" w:sz="0" w:space="0" w:color="auto"/>
        <w:left w:val="none" w:sz="0" w:space="0" w:color="auto"/>
        <w:bottom w:val="none" w:sz="0" w:space="0" w:color="auto"/>
        <w:right w:val="none" w:sz="0" w:space="0" w:color="auto"/>
      </w:divBdr>
    </w:div>
    <w:div w:id="715012754">
      <w:bodyDiv w:val="1"/>
      <w:marLeft w:val="0"/>
      <w:marRight w:val="0"/>
      <w:marTop w:val="0"/>
      <w:marBottom w:val="0"/>
      <w:divBdr>
        <w:top w:val="none" w:sz="0" w:space="0" w:color="auto"/>
        <w:left w:val="none" w:sz="0" w:space="0" w:color="auto"/>
        <w:bottom w:val="none" w:sz="0" w:space="0" w:color="auto"/>
        <w:right w:val="none" w:sz="0" w:space="0" w:color="auto"/>
      </w:divBdr>
      <w:divsChild>
        <w:div w:id="1006521414">
          <w:marLeft w:val="0"/>
          <w:marRight w:val="0"/>
          <w:marTop w:val="0"/>
          <w:marBottom w:val="0"/>
          <w:divBdr>
            <w:top w:val="none" w:sz="0" w:space="0" w:color="auto"/>
            <w:left w:val="none" w:sz="0" w:space="0" w:color="auto"/>
            <w:bottom w:val="none" w:sz="0" w:space="0" w:color="auto"/>
            <w:right w:val="none" w:sz="0" w:space="0" w:color="auto"/>
          </w:divBdr>
          <w:divsChild>
            <w:div w:id="394009667">
              <w:marLeft w:val="0"/>
              <w:marRight w:val="0"/>
              <w:marTop w:val="0"/>
              <w:marBottom w:val="0"/>
              <w:divBdr>
                <w:top w:val="none" w:sz="0" w:space="0" w:color="auto"/>
                <w:left w:val="none" w:sz="0" w:space="0" w:color="auto"/>
                <w:bottom w:val="none" w:sz="0" w:space="0" w:color="auto"/>
                <w:right w:val="none" w:sz="0" w:space="0" w:color="auto"/>
              </w:divBdr>
              <w:divsChild>
                <w:div w:id="16361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26159">
      <w:bodyDiv w:val="1"/>
      <w:marLeft w:val="0"/>
      <w:marRight w:val="0"/>
      <w:marTop w:val="0"/>
      <w:marBottom w:val="0"/>
      <w:divBdr>
        <w:top w:val="none" w:sz="0" w:space="0" w:color="auto"/>
        <w:left w:val="none" w:sz="0" w:space="0" w:color="auto"/>
        <w:bottom w:val="none" w:sz="0" w:space="0" w:color="auto"/>
        <w:right w:val="none" w:sz="0" w:space="0" w:color="auto"/>
      </w:divBdr>
    </w:div>
    <w:div w:id="735543273">
      <w:bodyDiv w:val="1"/>
      <w:marLeft w:val="0"/>
      <w:marRight w:val="0"/>
      <w:marTop w:val="0"/>
      <w:marBottom w:val="0"/>
      <w:divBdr>
        <w:top w:val="none" w:sz="0" w:space="0" w:color="auto"/>
        <w:left w:val="none" w:sz="0" w:space="0" w:color="auto"/>
        <w:bottom w:val="none" w:sz="0" w:space="0" w:color="auto"/>
        <w:right w:val="none" w:sz="0" w:space="0" w:color="auto"/>
      </w:divBdr>
    </w:div>
    <w:div w:id="746272304">
      <w:bodyDiv w:val="1"/>
      <w:marLeft w:val="0"/>
      <w:marRight w:val="0"/>
      <w:marTop w:val="0"/>
      <w:marBottom w:val="0"/>
      <w:divBdr>
        <w:top w:val="none" w:sz="0" w:space="0" w:color="auto"/>
        <w:left w:val="none" w:sz="0" w:space="0" w:color="auto"/>
        <w:bottom w:val="none" w:sz="0" w:space="0" w:color="auto"/>
        <w:right w:val="none" w:sz="0" w:space="0" w:color="auto"/>
      </w:divBdr>
    </w:div>
    <w:div w:id="770978255">
      <w:bodyDiv w:val="1"/>
      <w:marLeft w:val="0"/>
      <w:marRight w:val="0"/>
      <w:marTop w:val="0"/>
      <w:marBottom w:val="0"/>
      <w:divBdr>
        <w:top w:val="none" w:sz="0" w:space="0" w:color="auto"/>
        <w:left w:val="none" w:sz="0" w:space="0" w:color="auto"/>
        <w:bottom w:val="none" w:sz="0" w:space="0" w:color="auto"/>
        <w:right w:val="none" w:sz="0" w:space="0" w:color="auto"/>
      </w:divBdr>
    </w:div>
    <w:div w:id="776287859">
      <w:bodyDiv w:val="1"/>
      <w:marLeft w:val="0"/>
      <w:marRight w:val="0"/>
      <w:marTop w:val="0"/>
      <w:marBottom w:val="0"/>
      <w:divBdr>
        <w:top w:val="none" w:sz="0" w:space="0" w:color="auto"/>
        <w:left w:val="none" w:sz="0" w:space="0" w:color="auto"/>
        <w:bottom w:val="none" w:sz="0" w:space="0" w:color="auto"/>
        <w:right w:val="none" w:sz="0" w:space="0" w:color="auto"/>
      </w:divBdr>
    </w:div>
    <w:div w:id="778839740">
      <w:bodyDiv w:val="1"/>
      <w:marLeft w:val="0"/>
      <w:marRight w:val="0"/>
      <w:marTop w:val="0"/>
      <w:marBottom w:val="0"/>
      <w:divBdr>
        <w:top w:val="none" w:sz="0" w:space="0" w:color="auto"/>
        <w:left w:val="none" w:sz="0" w:space="0" w:color="auto"/>
        <w:bottom w:val="none" w:sz="0" w:space="0" w:color="auto"/>
        <w:right w:val="none" w:sz="0" w:space="0" w:color="auto"/>
      </w:divBdr>
    </w:div>
    <w:div w:id="779493931">
      <w:bodyDiv w:val="1"/>
      <w:marLeft w:val="0"/>
      <w:marRight w:val="0"/>
      <w:marTop w:val="0"/>
      <w:marBottom w:val="0"/>
      <w:divBdr>
        <w:top w:val="none" w:sz="0" w:space="0" w:color="auto"/>
        <w:left w:val="none" w:sz="0" w:space="0" w:color="auto"/>
        <w:bottom w:val="none" w:sz="0" w:space="0" w:color="auto"/>
        <w:right w:val="none" w:sz="0" w:space="0" w:color="auto"/>
      </w:divBdr>
    </w:div>
    <w:div w:id="784470342">
      <w:bodyDiv w:val="1"/>
      <w:marLeft w:val="0"/>
      <w:marRight w:val="0"/>
      <w:marTop w:val="0"/>
      <w:marBottom w:val="0"/>
      <w:divBdr>
        <w:top w:val="none" w:sz="0" w:space="0" w:color="auto"/>
        <w:left w:val="none" w:sz="0" w:space="0" w:color="auto"/>
        <w:bottom w:val="none" w:sz="0" w:space="0" w:color="auto"/>
        <w:right w:val="none" w:sz="0" w:space="0" w:color="auto"/>
      </w:divBdr>
    </w:div>
    <w:div w:id="794056524">
      <w:bodyDiv w:val="1"/>
      <w:marLeft w:val="0"/>
      <w:marRight w:val="0"/>
      <w:marTop w:val="0"/>
      <w:marBottom w:val="0"/>
      <w:divBdr>
        <w:top w:val="none" w:sz="0" w:space="0" w:color="auto"/>
        <w:left w:val="none" w:sz="0" w:space="0" w:color="auto"/>
        <w:bottom w:val="none" w:sz="0" w:space="0" w:color="auto"/>
        <w:right w:val="none" w:sz="0" w:space="0" w:color="auto"/>
      </w:divBdr>
    </w:div>
    <w:div w:id="794448611">
      <w:bodyDiv w:val="1"/>
      <w:marLeft w:val="0"/>
      <w:marRight w:val="0"/>
      <w:marTop w:val="0"/>
      <w:marBottom w:val="0"/>
      <w:divBdr>
        <w:top w:val="none" w:sz="0" w:space="0" w:color="auto"/>
        <w:left w:val="none" w:sz="0" w:space="0" w:color="auto"/>
        <w:bottom w:val="none" w:sz="0" w:space="0" w:color="auto"/>
        <w:right w:val="none" w:sz="0" w:space="0" w:color="auto"/>
      </w:divBdr>
    </w:div>
    <w:div w:id="795412036">
      <w:bodyDiv w:val="1"/>
      <w:marLeft w:val="0"/>
      <w:marRight w:val="0"/>
      <w:marTop w:val="0"/>
      <w:marBottom w:val="0"/>
      <w:divBdr>
        <w:top w:val="none" w:sz="0" w:space="0" w:color="auto"/>
        <w:left w:val="none" w:sz="0" w:space="0" w:color="auto"/>
        <w:bottom w:val="none" w:sz="0" w:space="0" w:color="auto"/>
        <w:right w:val="none" w:sz="0" w:space="0" w:color="auto"/>
      </w:divBdr>
    </w:div>
    <w:div w:id="808863050">
      <w:bodyDiv w:val="1"/>
      <w:marLeft w:val="0"/>
      <w:marRight w:val="0"/>
      <w:marTop w:val="0"/>
      <w:marBottom w:val="0"/>
      <w:divBdr>
        <w:top w:val="none" w:sz="0" w:space="0" w:color="auto"/>
        <w:left w:val="none" w:sz="0" w:space="0" w:color="auto"/>
        <w:bottom w:val="none" w:sz="0" w:space="0" w:color="auto"/>
        <w:right w:val="none" w:sz="0" w:space="0" w:color="auto"/>
      </w:divBdr>
    </w:div>
    <w:div w:id="818225686">
      <w:bodyDiv w:val="1"/>
      <w:marLeft w:val="0"/>
      <w:marRight w:val="0"/>
      <w:marTop w:val="0"/>
      <w:marBottom w:val="0"/>
      <w:divBdr>
        <w:top w:val="none" w:sz="0" w:space="0" w:color="auto"/>
        <w:left w:val="none" w:sz="0" w:space="0" w:color="auto"/>
        <w:bottom w:val="none" w:sz="0" w:space="0" w:color="auto"/>
        <w:right w:val="none" w:sz="0" w:space="0" w:color="auto"/>
      </w:divBdr>
    </w:div>
    <w:div w:id="827550401">
      <w:bodyDiv w:val="1"/>
      <w:marLeft w:val="0"/>
      <w:marRight w:val="0"/>
      <w:marTop w:val="0"/>
      <w:marBottom w:val="0"/>
      <w:divBdr>
        <w:top w:val="none" w:sz="0" w:space="0" w:color="auto"/>
        <w:left w:val="none" w:sz="0" w:space="0" w:color="auto"/>
        <w:bottom w:val="none" w:sz="0" w:space="0" w:color="auto"/>
        <w:right w:val="none" w:sz="0" w:space="0" w:color="auto"/>
      </w:divBdr>
    </w:div>
    <w:div w:id="837816072">
      <w:bodyDiv w:val="1"/>
      <w:marLeft w:val="0"/>
      <w:marRight w:val="0"/>
      <w:marTop w:val="0"/>
      <w:marBottom w:val="0"/>
      <w:divBdr>
        <w:top w:val="none" w:sz="0" w:space="0" w:color="auto"/>
        <w:left w:val="none" w:sz="0" w:space="0" w:color="auto"/>
        <w:bottom w:val="none" w:sz="0" w:space="0" w:color="auto"/>
        <w:right w:val="none" w:sz="0" w:space="0" w:color="auto"/>
      </w:divBdr>
    </w:div>
    <w:div w:id="843786591">
      <w:bodyDiv w:val="1"/>
      <w:marLeft w:val="0"/>
      <w:marRight w:val="0"/>
      <w:marTop w:val="0"/>
      <w:marBottom w:val="0"/>
      <w:divBdr>
        <w:top w:val="none" w:sz="0" w:space="0" w:color="auto"/>
        <w:left w:val="none" w:sz="0" w:space="0" w:color="auto"/>
        <w:bottom w:val="none" w:sz="0" w:space="0" w:color="auto"/>
        <w:right w:val="none" w:sz="0" w:space="0" w:color="auto"/>
      </w:divBdr>
    </w:div>
    <w:div w:id="871841402">
      <w:bodyDiv w:val="1"/>
      <w:marLeft w:val="0"/>
      <w:marRight w:val="0"/>
      <w:marTop w:val="0"/>
      <w:marBottom w:val="0"/>
      <w:divBdr>
        <w:top w:val="none" w:sz="0" w:space="0" w:color="auto"/>
        <w:left w:val="none" w:sz="0" w:space="0" w:color="auto"/>
        <w:bottom w:val="none" w:sz="0" w:space="0" w:color="auto"/>
        <w:right w:val="none" w:sz="0" w:space="0" w:color="auto"/>
      </w:divBdr>
    </w:div>
    <w:div w:id="872887799">
      <w:bodyDiv w:val="1"/>
      <w:marLeft w:val="0"/>
      <w:marRight w:val="0"/>
      <w:marTop w:val="0"/>
      <w:marBottom w:val="0"/>
      <w:divBdr>
        <w:top w:val="none" w:sz="0" w:space="0" w:color="auto"/>
        <w:left w:val="none" w:sz="0" w:space="0" w:color="auto"/>
        <w:bottom w:val="none" w:sz="0" w:space="0" w:color="auto"/>
        <w:right w:val="none" w:sz="0" w:space="0" w:color="auto"/>
      </w:divBdr>
    </w:div>
    <w:div w:id="903561596">
      <w:bodyDiv w:val="1"/>
      <w:marLeft w:val="0"/>
      <w:marRight w:val="0"/>
      <w:marTop w:val="0"/>
      <w:marBottom w:val="0"/>
      <w:divBdr>
        <w:top w:val="none" w:sz="0" w:space="0" w:color="auto"/>
        <w:left w:val="none" w:sz="0" w:space="0" w:color="auto"/>
        <w:bottom w:val="none" w:sz="0" w:space="0" w:color="auto"/>
        <w:right w:val="none" w:sz="0" w:space="0" w:color="auto"/>
      </w:divBdr>
    </w:div>
    <w:div w:id="929897493">
      <w:bodyDiv w:val="1"/>
      <w:marLeft w:val="0"/>
      <w:marRight w:val="0"/>
      <w:marTop w:val="0"/>
      <w:marBottom w:val="0"/>
      <w:divBdr>
        <w:top w:val="none" w:sz="0" w:space="0" w:color="auto"/>
        <w:left w:val="none" w:sz="0" w:space="0" w:color="auto"/>
        <w:bottom w:val="none" w:sz="0" w:space="0" w:color="auto"/>
        <w:right w:val="none" w:sz="0" w:space="0" w:color="auto"/>
      </w:divBdr>
    </w:div>
    <w:div w:id="939333776">
      <w:bodyDiv w:val="1"/>
      <w:marLeft w:val="0"/>
      <w:marRight w:val="0"/>
      <w:marTop w:val="0"/>
      <w:marBottom w:val="0"/>
      <w:divBdr>
        <w:top w:val="none" w:sz="0" w:space="0" w:color="auto"/>
        <w:left w:val="none" w:sz="0" w:space="0" w:color="auto"/>
        <w:bottom w:val="none" w:sz="0" w:space="0" w:color="auto"/>
        <w:right w:val="none" w:sz="0" w:space="0" w:color="auto"/>
      </w:divBdr>
    </w:div>
    <w:div w:id="951860181">
      <w:bodyDiv w:val="1"/>
      <w:marLeft w:val="0"/>
      <w:marRight w:val="0"/>
      <w:marTop w:val="0"/>
      <w:marBottom w:val="0"/>
      <w:divBdr>
        <w:top w:val="none" w:sz="0" w:space="0" w:color="auto"/>
        <w:left w:val="none" w:sz="0" w:space="0" w:color="auto"/>
        <w:bottom w:val="none" w:sz="0" w:space="0" w:color="auto"/>
        <w:right w:val="none" w:sz="0" w:space="0" w:color="auto"/>
      </w:divBdr>
    </w:div>
    <w:div w:id="954361549">
      <w:bodyDiv w:val="1"/>
      <w:marLeft w:val="0"/>
      <w:marRight w:val="0"/>
      <w:marTop w:val="0"/>
      <w:marBottom w:val="0"/>
      <w:divBdr>
        <w:top w:val="none" w:sz="0" w:space="0" w:color="auto"/>
        <w:left w:val="none" w:sz="0" w:space="0" w:color="auto"/>
        <w:bottom w:val="none" w:sz="0" w:space="0" w:color="auto"/>
        <w:right w:val="none" w:sz="0" w:space="0" w:color="auto"/>
      </w:divBdr>
    </w:div>
    <w:div w:id="969289662">
      <w:bodyDiv w:val="1"/>
      <w:marLeft w:val="0"/>
      <w:marRight w:val="0"/>
      <w:marTop w:val="0"/>
      <w:marBottom w:val="0"/>
      <w:divBdr>
        <w:top w:val="none" w:sz="0" w:space="0" w:color="auto"/>
        <w:left w:val="none" w:sz="0" w:space="0" w:color="auto"/>
        <w:bottom w:val="none" w:sz="0" w:space="0" w:color="auto"/>
        <w:right w:val="none" w:sz="0" w:space="0" w:color="auto"/>
      </w:divBdr>
    </w:div>
    <w:div w:id="970138688">
      <w:bodyDiv w:val="1"/>
      <w:marLeft w:val="0"/>
      <w:marRight w:val="0"/>
      <w:marTop w:val="0"/>
      <w:marBottom w:val="0"/>
      <w:divBdr>
        <w:top w:val="none" w:sz="0" w:space="0" w:color="auto"/>
        <w:left w:val="none" w:sz="0" w:space="0" w:color="auto"/>
        <w:bottom w:val="none" w:sz="0" w:space="0" w:color="auto"/>
        <w:right w:val="none" w:sz="0" w:space="0" w:color="auto"/>
      </w:divBdr>
    </w:div>
    <w:div w:id="976564952">
      <w:bodyDiv w:val="1"/>
      <w:marLeft w:val="0"/>
      <w:marRight w:val="0"/>
      <w:marTop w:val="0"/>
      <w:marBottom w:val="0"/>
      <w:divBdr>
        <w:top w:val="none" w:sz="0" w:space="0" w:color="auto"/>
        <w:left w:val="none" w:sz="0" w:space="0" w:color="auto"/>
        <w:bottom w:val="none" w:sz="0" w:space="0" w:color="auto"/>
        <w:right w:val="none" w:sz="0" w:space="0" w:color="auto"/>
      </w:divBdr>
    </w:div>
    <w:div w:id="978926240">
      <w:bodyDiv w:val="1"/>
      <w:marLeft w:val="0"/>
      <w:marRight w:val="0"/>
      <w:marTop w:val="0"/>
      <w:marBottom w:val="0"/>
      <w:divBdr>
        <w:top w:val="none" w:sz="0" w:space="0" w:color="auto"/>
        <w:left w:val="none" w:sz="0" w:space="0" w:color="auto"/>
        <w:bottom w:val="none" w:sz="0" w:space="0" w:color="auto"/>
        <w:right w:val="none" w:sz="0" w:space="0" w:color="auto"/>
      </w:divBdr>
    </w:div>
    <w:div w:id="981157448">
      <w:bodyDiv w:val="1"/>
      <w:marLeft w:val="0"/>
      <w:marRight w:val="0"/>
      <w:marTop w:val="0"/>
      <w:marBottom w:val="0"/>
      <w:divBdr>
        <w:top w:val="none" w:sz="0" w:space="0" w:color="auto"/>
        <w:left w:val="none" w:sz="0" w:space="0" w:color="auto"/>
        <w:bottom w:val="none" w:sz="0" w:space="0" w:color="auto"/>
        <w:right w:val="none" w:sz="0" w:space="0" w:color="auto"/>
      </w:divBdr>
    </w:div>
    <w:div w:id="986278739">
      <w:bodyDiv w:val="1"/>
      <w:marLeft w:val="0"/>
      <w:marRight w:val="0"/>
      <w:marTop w:val="0"/>
      <w:marBottom w:val="0"/>
      <w:divBdr>
        <w:top w:val="none" w:sz="0" w:space="0" w:color="auto"/>
        <w:left w:val="none" w:sz="0" w:space="0" w:color="auto"/>
        <w:bottom w:val="none" w:sz="0" w:space="0" w:color="auto"/>
        <w:right w:val="none" w:sz="0" w:space="0" w:color="auto"/>
      </w:divBdr>
    </w:div>
    <w:div w:id="1004624848">
      <w:bodyDiv w:val="1"/>
      <w:marLeft w:val="0"/>
      <w:marRight w:val="0"/>
      <w:marTop w:val="0"/>
      <w:marBottom w:val="0"/>
      <w:divBdr>
        <w:top w:val="none" w:sz="0" w:space="0" w:color="auto"/>
        <w:left w:val="none" w:sz="0" w:space="0" w:color="auto"/>
        <w:bottom w:val="none" w:sz="0" w:space="0" w:color="auto"/>
        <w:right w:val="none" w:sz="0" w:space="0" w:color="auto"/>
      </w:divBdr>
    </w:div>
    <w:div w:id="1020472008">
      <w:bodyDiv w:val="1"/>
      <w:marLeft w:val="0"/>
      <w:marRight w:val="0"/>
      <w:marTop w:val="0"/>
      <w:marBottom w:val="0"/>
      <w:divBdr>
        <w:top w:val="none" w:sz="0" w:space="0" w:color="auto"/>
        <w:left w:val="none" w:sz="0" w:space="0" w:color="auto"/>
        <w:bottom w:val="none" w:sz="0" w:space="0" w:color="auto"/>
        <w:right w:val="none" w:sz="0" w:space="0" w:color="auto"/>
      </w:divBdr>
    </w:div>
    <w:div w:id="1023560025">
      <w:bodyDiv w:val="1"/>
      <w:marLeft w:val="0"/>
      <w:marRight w:val="0"/>
      <w:marTop w:val="0"/>
      <w:marBottom w:val="0"/>
      <w:divBdr>
        <w:top w:val="none" w:sz="0" w:space="0" w:color="auto"/>
        <w:left w:val="none" w:sz="0" w:space="0" w:color="auto"/>
        <w:bottom w:val="none" w:sz="0" w:space="0" w:color="auto"/>
        <w:right w:val="none" w:sz="0" w:space="0" w:color="auto"/>
      </w:divBdr>
    </w:div>
    <w:div w:id="1030182695">
      <w:bodyDiv w:val="1"/>
      <w:marLeft w:val="0"/>
      <w:marRight w:val="0"/>
      <w:marTop w:val="0"/>
      <w:marBottom w:val="0"/>
      <w:divBdr>
        <w:top w:val="none" w:sz="0" w:space="0" w:color="auto"/>
        <w:left w:val="none" w:sz="0" w:space="0" w:color="auto"/>
        <w:bottom w:val="none" w:sz="0" w:space="0" w:color="auto"/>
        <w:right w:val="none" w:sz="0" w:space="0" w:color="auto"/>
      </w:divBdr>
      <w:divsChild>
        <w:div w:id="300690537">
          <w:marLeft w:val="0"/>
          <w:marRight w:val="0"/>
          <w:marTop w:val="0"/>
          <w:marBottom w:val="0"/>
          <w:divBdr>
            <w:top w:val="none" w:sz="0" w:space="0" w:color="auto"/>
            <w:left w:val="none" w:sz="0" w:space="0" w:color="auto"/>
            <w:bottom w:val="none" w:sz="0" w:space="0" w:color="auto"/>
            <w:right w:val="none" w:sz="0" w:space="0" w:color="auto"/>
          </w:divBdr>
          <w:divsChild>
            <w:div w:id="816917714">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48854">
      <w:bodyDiv w:val="1"/>
      <w:marLeft w:val="0"/>
      <w:marRight w:val="0"/>
      <w:marTop w:val="0"/>
      <w:marBottom w:val="0"/>
      <w:divBdr>
        <w:top w:val="none" w:sz="0" w:space="0" w:color="auto"/>
        <w:left w:val="none" w:sz="0" w:space="0" w:color="auto"/>
        <w:bottom w:val="none" w:sz="0" w:space="0" w:color="auto"/>
        <w:right w:val="none" w:sz="0" w:space="0" w:color="auto"/>
      </w:divBdr>
    </w:div>
    <w:div w:id="1069768132">
      <w:bodyDiv w:val="1"/>
      <w:marLeft w:val="0"/>
      <w:marRight w:val="0"/>
      <w:marTop w:val="0"/>
      <w:marBottom w:val="0"/>
      <w:divBdr>
        <w:top w:val="none" w:sz="0" w:space="0" w:color="auto"/>
        <w:left w:val="none" w:sz="0" w:space="0" w:color="auto"/>
        <w:bottom w:val="none" w:sz="0" w:space="0" w:color="auto"/>
        <w:right w:val="none" w:sz="0" w:space="0" w:color="auto"/>
      </w:divBdr>
      <w:divsChild>
        <w:div w:id="1675956116">
          <w:marLeft w:val="0"/>
          <w:marRight w:val="0"/>
          <w:marTop w:val="0"/>
          <w:marBottom w:val="0"/>
          <w:divBdr>
            <w:top w:val="none" w:sz="0" w:space="0" w:color="auto"/>
            <w:left w:val="none" w:sz="0" w:space="0" w:color="auto"/>
            <w:bottom w:val="none" w:sz="0" w:space="0" w:color="auto"/>
            <w:right w:val="none" w:sz="0" w:space="0" w:color="auto"/>
          </w:divBdr>
          <w:divsChild>
            <w:div w:id="1756052553">
              <w:marLeft w:val="0"/>
              <w:marRight w:val="0"/>
              <w:marTop w:val="0"/>
              <w:marBottom w:val="0"/>
              <w:divBdr>
                <w:top w:val="none" w:sz="0" w:space="0" w:color="auto"/>
                <w:left w:val="none" w:sz="0" w:space="0" w:color="auto"/>
                <w:bottom w:val="none" w:sz="0" w:space="0" w:color="auto"/>
                <w:right w:val="none" w:sz="0" w:space="0" w:color="auto"/>
              </w:divBdr>
              <w:divsChild>
                <w:div w:id="20314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85573">
      <w:bodyDiv w:val="1"/>
      <w:marLeft w:val="0"/>
      <w:marRight w:val="0"/>
      <w:marTop w:val="0"/>
      <w:marBottom w:val="0"/>
      <w:divBdr>
        <w:top w:val="none" w:sz="0" w:space="0" w:color="auto"/>
        <w:left w:val="none" w:sz="0" w:space="0" w:color="auto"/>
        <w:bottom w:val="none" w:sz="0" w:space="0" w:color="auto"/>
        <w:right w:val="none" w:sz="0" w:space="0" w:color="auto"/>
      </w:divBdr>
    </w:div>
    <w:div w:id="1087337820">
      <w:bodyDiv w:val="1"/>
      <w:marLeft w:val="0"/>
      <w:marRight w:val="0"/>
      <w:marTop w:val="0"/>
      <w:marBottom w:val="0"/>
      <w:divBdr>
        <w:top w:val="none" w:sz="0" w:space="0" w:color="auto"/>
        <w:left w:val="none" w:sz="0" w:space="0" w:color="auto"/>
        <w:bottom w:val="none" w:sz="0" w:space="0" w:color="auto"/>
        <w:right w:val="none" w:sz="0" w:space="0" w:color="auto"/>
      </w:divBdr>
    </w:div>
    <w:div w:id="1109853064">
      <w:bodyDiv w:val="1"/>
      <w:marLeft w:val="0"/>
      <w:marRight w:val="0"/>
      <w:marTop w:val="0"/>
      <w:marBottom w:val="0"/>
      <w:divBdr>
        <w:top w:val="none" w:sz="0" w:space="0" w:color="auto"/>
        <w:left w:val="none" w:sz="0" w:space="0" w:color="auto"/>
        <w:bottom w:val="none" w:sz="0" w:space="0" w:color="auto"/>
        <w:right w:val="none" w:sz="0" w:space="0" w:color="auto"/>
      </w:divBdr>
    </w:div>
    <w:div w:id="1113088806">
      <w:bodyDiv w:val="1"/>
      <w:marLeft w:val="0"/>
      <w:marRight w:val="0"/>
      <w:marTop w:val="0"/>
      <w:marBottom w:val="0"/>
      <w:divBdr>
        <w:top w:val="none" w:sz="0" w:space="0" w:color="auto"/>
        <w:left w:val="none" w:sz="0" w:space="0" w:color="auto"/>
        <w:bottom w:val="none" w:sz="0" w:space="0" w:color="auto"/>
        <w:right w:val="none" w:sz="0" w:space="0" w:color="auto"/>
      </w:divBdr>
    </w:div>
    <w:div w:id="1116101966">
      <w:bodyDiv w:val="1"/>
      <w:marLeft w:val="0"/>
      <w:marRight w:val="0"/>
      <w:marTop w:val="0"/>
      <w:marBottom w:val="0"/>
      <w:divBdr>
        <w:top w:val="none" w:sz="0" w:space="0" w:color="auto"/>
        <w:left w:val="none" w:sz="0" w:space="0" w:color="auto"/>
        <w:bottom w:val="none" w:sz="0" w:space="0" w:color="auto"/>
        <w:right w:val="none" w:sz="0" w:space="0" w:color="auto"/>
      </w:divBdr>
    </w:div>
    <w:div w:id="1126775261">
      <w:bodyDiv w:val="1"/>
      <w:marLeft w:val="0"/>
      <w:marRight w:val="0"/>
      <w:marTop w:val="0"/>
      <w:marBottom w:val="0"/>
      <w:divBdr>
        <w:top w:val="none" w:sz="0" w:space="0" w:color="auto"/>
        <w:left w:val="none" w:sz="0" w:space="0" w:color="auto"/>
        <w:bottom w:val="none" w:sz="0" w:space="0" w:color="auto"/>
        <w:right w:val="none" w:sz="0" w:space="0" w:color="auto"/>
      </w:divBdr>
    </w:div>
    <w:div w:id="1137649707">
      <w:bodyDiv w:val="1"/>
      <w:marLeft w:val="0"/>
      <w:marRight w:val="0"/>
      <w:marTop w:val="0"/>
      <w:marBottom w:val="0"/>
      <w:divBdr>
        <w:top w:val="none" w:sz="0" w:space="0" w:color="auto"/>
        <w:left w:val="none" w:sz="0" w:space="0" w:color="auto"/>
        <w:bottom w:val="none" w:sz="0" w:space="0" w:color="auto"/>
        <w:right w:val="none" w:sz="0" w:space="0" w:color="auto"/>
      </w:divBdr>
    </w:div>
    <w:div w:id="1137989090">
      <w:bodyDiv w:val="1"/>
      <w:marLeft w:val="0"/>
      <w:marRight w:val="0"/>
      <w:marTop w:val="0"/>
      <w:marBottom w:val="0"/>
      <w:divBdr>
        <w:top w:val="none" w:sz="0" w:space="0" w:color="auto"/>
        <w:left w:val="none" w:sz="0" w:space="0" w:color="auto"/>
        <w:bottom w:val="none" w:sz="0" w:space="0" w:color="auto"/>
        <w:right w:val="none" w:sz="0" w:space="0" w:color="auto"/>
      </w:divBdr>
    </w:div>
    <w:div w:id="1139570768">
      <w:bodyDiv w:val="1"/>
      <w:marLeft w:val="0"/>
      <w:marRight w:val="0"/>
      <w:marTop w:val="0"/>
      <w:marBottom w:val="0"/>
      <w:divBdr>
        <w:top w:val="none" w:sz="0" w:space="0" w:color="auto"/>
        <w:left w:val="none" w:sz="0" w:space="0" w:color="auto"/>
        <w:bottom w:val="none" w:sz="0" w:space="0" w:color="auto"/>
        <w:right w:val="none" w:sz="0" w:space="0" w:color="auto"/>
      </w:divBdr>
    </w:div>
    <w:div w:id="1141532684">
      <w:bodyDiv w:val="1"/>
      <w:marLeft w:val="0"/>
      <w:marRight w:val="0"/>
      <w:marTop w:val="0"/>
      <w:marBottom w:val="0"/>
      <w:divBdr>
        <w:top w:val="none" w:sz="0" w:space="0" w:color="auto"/>
        <w:left w:val="none" w:sz="0" w:space="0" w:color="auto"/>
        <w:bottom w:val="none" w:sz="0" w:space="0" w:color="auto"/>
        <w:right w:val="none" w:sz="0" w:space="0" w:color="auto"/>
      </w:divBdr>
    </w:div>
    <w:div w:id="1148519829">
      <w:bodyDiv w:val="1"/>
      <w:marLeft w:val="0"/>
      <w:marRight w:val="0"/>
      <w:marTop w:val="0"/>
      <w:marBottom w:val="0"/>
      <w:divBdr>
        <w:top w:val="none" w:sz="0" w:space="0" w:color="auto"/>
        <w:left w:val="none" w:sz="0" w:space="0" w:color="auto"/>
        <w:bottom w:val="none" w:sz="0" w:space="0" w:color="auto"/>
        <w:right w:val="none" w:sz="0" w:space="0" w:color="auto"/>
      </w:divBdr>
    </w:div>
    <w:div w:id="1168520090">
      <w:bodyDiv w:val="1"/>
      <w:marLeft w:val="0"/>
      <w:marRight w:val="0"/>
      <w:marTop w:val="0"/>
      <w:marBottom w:val="0"/>
      <w:divBdr>
        <w:top w:val="none" w:sz="0" w:space="0" w:color="auto"/>
        <w:left w:val="none" w:sz="0" w:space="0" w:color="auto"/>
        <w:bottom w:val="none" w:sz="0" w:space="0" w:color="auto"/>
        <w:right w:val="none" w:sz="0" w:space="0" w:color="auto"/>
      </w:divBdr>
    </w:div>
    <w:div w:id="1186094208">
      <w:bodyDiv w:val="1"/>
      <w:marLeft w:val="0"/>
      <w:marRight w:val="0"/>
      <w:marTop w:val="0"/>
      <w:marBottom w:val="0"/>
      <w:divBdr>
        <w:top w:val="none" w:sz="0" w:space="0" w:color="auto"/>
        <w:left w:val="none" w:sz="0" w:space="0" w:color="auto"/>
        <w:bottom w:val="none" w:sz="0" w:space="0" w:color="auto"/>
        <w:right w:val="none" w:sz="0" w:space="0" w:color="auto"/>
      </w:divBdr>
    </w:div>
    <w:div w:id="1188447024">
      <w:bodyDiv w:val="1"/>
      <w:marLeft w:val="0"/>
      <w:marRight w:val="0"/>
      <w:marTop w:val="0"/>
      <w:marBottom w:val="0"/>
      <w:divBdr>
        <w:top w:val="none" w:sz="0" w:space="0" w:color="auto"/>
        <w:left w:val="none" w:sz="0" w:space="0" w:color="auto"/>
        <w:bottom w:val="none" w:sz="0" w:space="0" w:color="auto"/>
        <w:right w:val="none" w:sz="0" w:space="0" w:color="auto"/>
      </w:divBdr>
    </w:div>
    <w:div w:id="1191996852">
      <w:bodyDiv w:val="1"/>
      <w:marLeft w:val="0"/>
      <w:marRight w:val="0"/>
      <w:marTop w:val="0"/>
      <w:marBottom w:val="0"/>
      <w:divBdr>
        <w:top w:val="none" w:sz="0" w:space="0" w:color="auto"/>
        <w:left w:val="none" w:sz="0" w:space="0" w:color="auto"/>
        <w:bottom w:val="none" w:sz="0" w:space="0" w:color="auto"/>
        <w:right w:val="none" w:sz="0" w:space="0" w:color="auto"/>
      </w:divBdr>
    </w:div>
    <w:div w:id="1204556217">
      <w:bodyDiv w:val="1"/>
      <w:marLeft w:val="0"/>
      <w:marRight w:val="0"/>
      <w:marTop w:val="0"/>
      <w:marBottom w:val="0"/>
      <w:divBdr>
        <w:top w:val="none" w:sz="0" w:space="0" w:color="auto"/>
        <w:left w:val="none" w:sz="0" w:space="0" w:color="auto"/>
        <w:bottom w:val="none" w:sz="0" w:space="0" w:color="auto"/>
        <w:right w:val="none" w:sz="0" w:space="0" w:color="auto"/>
      </w:divBdr>
    </w:div>
    <w:div w:id="1228226255">
      <w:bodyDiv w:val="1"/>
      <w:marLeft w:val="0"/>
      <w:marRight w:val="0"/>
      <w:marTop w:val="0"/>
      <w:marBottom w:val="0"/>
      <w:divBdr>
        <w:top w:val="none" w:sz="0" w:space="0" w:color="auto"/>
        <w:left w:val="none" w:sz="0" w:space="0" w:color="auto"/>
        <w:bottom w:val="none" w:sz="0" w:space="0" w:color="auto"/>
        <w:right w:val="none" w:sz="0" w:space="0" w:color="auto"/>
      </w:divBdr>
    </w:div>
    <w:div w:id="1239436218">
      <w:bodyDiv w:val="1"/>
      <w:marLeft w:val="0"/>
      <w:marRight w:val="0"/>
      <w:marTop w:val="0"/>
      <w:marBottom w:val="0"/>
      <w:divBdr>
        <w:top w:val="none" w:sz="0" w:space="0" w:color="auto"/>
        <w:left w:val="none" w:sz="0" w:space="0" w:color="auto"/>
        <w:bottom w:val="none" w:sz="0" w:space="0" w:color="auto"/>
        <w:right w:val="none" w:sz="0" w:space="0" w:color="auto"/>
      </w:divBdr>
    </w:div>
    <w:div w:id="1247957621">
      <w:bodyDiv w:val="1"/>
      <w:marLeft w:val="0"/>
      <w:marRight w:val="0"/>
      <w:marTop w:val="0"/>
      <w:marBottom w:val="0"/>
      <w:divBdr>
        <w:top w:val="none" w:sz="0" w:space="0" w:color="auto"/>
        <w:left w:val="none" w:sz="0" w:space="0" w:color="auto"/>
        <w:bottom w:val="none" w:sz="0" w:space="0" w:color="auto"/>
        <w:right w:val="none" w:sz="0" w:space="0" w:color="auto"/>
      </w:divBdr>
    </w:div>
    <w:div w:id="1258371604">
      <w:bodyDiv w:val="1"/>
      <w:marLeft w:val="0"/>
      <w:marRight w:val="0"/>
      <w:marTop w:val="0"/>
      <w:marBottom w:val="0"/>
      <w:divBdr>
        <w:top w:val="none" w:sz="0" w:space="0" w:color="auto"/>
        <w:left w:val="none" w:sz="0" w:space="0" w:color="auto"/>
        <w:bottom w:val="none" w:sz="0" w:space="0" w:color="auto"/>
        <w:right w:val="none" w:sz="0" w:space="0" w:color="auto"/>
      </w:divBdr>
    </w:div>
    <w:div w:id="1264456478">
      <w:bodyDiv w:val="1"/>
      <w:marLeft w:val="0"/>
      <w:marRight w:val="0"/>
      <w:marTop w:val="0"/>
      <w:marBottom w:val="0"/>
      <w:divBdr>
        <w:top w:val="none" w:sz="0" w:space="0" w:color="auto"/>
        <w:left w:val="none" w:sz="0" w:space="0" w:color="auto"/>
        <w:bottom w:val="none" w:sz="0" w:space="0" w:color="auto"/>
        <w:right w:val="none" w:sz="0" w:space="0" w:color="auto"/>
      </w:divBdr>
    </w:div>
    <w:div w:id="1281187854">
      <w:bodyDiv w:val="1"/>
      <w:marLeft w:val="0"/>
      <w:marRight w:val="0"/>
      <w:marTop w:val="0"/>
      <w:marBottom w:val="0"/>
      <w:divBdr>
        <w:top w:val="none" w:sz="0" w:space="0" w:color="auto"/>
        <w:left w:val="none" w:sz="0" w:space="0" w:color="auto"/>
        <w:bottom w:val="none" w:sz="0" w:space="0" w:color="auto"/>
        <w:right w:val="none" w:sz="0" w:space="0" w:color="auto"/>
      </w:divBdr>
    </w:div>
    <w:div w:id="1284730199">
      <w:bodyDiv w:val="1"/>
      <w:marLeft w:val="0"/>
      <w:marRight w:val="0"/>
      <w:marTop w:val="0"/>
      <w:marBottom w:val="0"/>
      <w:divBdr>
        <w:top w:val="none" w:sz="0" w:space="0" w:color="auto"/>
        <w:left w:val="none" w:sz="0" w:space="0" w:color="auto"/>
        <w:bottom w:val="none" w:sz="0" w:space="0" w:color="auto"/>
        <w:right w:val="none" w:sz="0" w:space="0" w:color="auto"/>
      </w:divBdr>
      <w:divsChild>
        <w:div w:id="1145508570">
          <w:marLeft w:val="0"/>
          <w:marRight w:val="0"/>
          <w:marTop w:val="0"/>
          <w:marBottom w:val="0"/>
          <w:divBdr>
            <w:top w:val="none" w:sz="0" w:space="0" w:color="auto"/>
            <w:left w:val="none" w:sz="0" w:space="0" w:color="auto"/>
            <w:bottom w:val="none" w:sz="0" w:space="0" w:color="auto"/>
            <w:right w:val="none" w:sz="0" w:space="0" w:color="auto"/>
          </w:divBdr>
        </w:div>
      </w:divsChild>
    </w:div>
    <w:div w:id="1286304710">
      <w:bodyDiv w:val="1"/>
      <w:marLeft w:val="0"/>
      <w:marRight w:val="0"/>
      <w:marTop w:val="0"/>
      <w:marBottom w:val="0"/>
      <w:divBdr>
        <w:top w:val="none" w:sz="0" w:space="0" w:color="auto"/>
        <w:left w:val="none" w:sz="0" w:space="0" w:color="auto"/>
        <w:bottom w:val="none" w:sz="0" w:space="0" w:color="auto"/>
        <w:right w:val="none" w:sz="0" w:space="0" w:color="auto"/>
      </w:divBdr>
    </w:div>
    <w:div w:id="1290012006">
      <w:bodyDiv w:val="1"/>
      <w:marLeft w:val="0"/>
      <w:marRight w:val="0"/>
      <w:marTop w:val="0"/>
      <w:marBottom w:val="0"/>
      <w:divBdr>
        <w:top w:val="none" w:sz="0" w:space="0" w:color="auto"/>
        <w:left w:val="none" w:sz="0" w:space="0" w:color="auto"/>
        <w:bottom w:val="none" w:sz="0" w:space="0" w:color="auto"/>
        <w:right w:val="none" w:sz="0" w:space="0" w:color="auto"/>
      </w:divBdr>
    </w:div>
    <w:div w:id="1291471447">
      <w:bodyDiv w:val="1"/>
      <w:marLeft w:val="0"/>
      <w:marRight w:val="0"/>
      <w:marTop w:val="0"/>
      <w:marBottom w:val="0"/>
      <w:divBdr>
        <w:top w:val="none" w:sz="0" w:space="0" w:color="auto"/>
        <w:left w:val="none" w:sz="0" w:space="0" w:color="auto"/>
        <w:bottom w:val="none" w:sz="0" w:space="0" w:color="auto"/>
        <w:right w:val="none" w:sz="0" w:space="0" w:color="auto"/>
      </w:divBdr>
    </w:div>
    <w:div w:id="1294099202">
      <w:bodyDiv w:val="1"/>
      <w:marLeft w:val="0"/>
      <w:marRight w:val="0"/>
      <w:marTop w:val="0"/>
      <w:marBottom w:val="0"/>
      <w:divBdr>
        <w:top w:val="none" w:sz="0" w:space="0" w:color="auto"/>
        <w:left w:val="none" w:sz="0" w:space="0" w:color="auto"/>
        <w:bottom w:val="none" w:sz="0" w:space="0" w:color="auto"/>
        <w:right w:val="none" w:sz="0" w:space="0" w:color="auto"/>
      </w:divBdr>
    </w:div>
    <w:div w:id="1303657418">
      <w:bodyDiv w:val="1"/>
      <w:marLeft w:val="0"/>
      <w:marRight w:val="0"/>
      <w:marTop w:val="0"/>
      <w:marBottom w:val="0"/>
      <w:divBdr>
        <w:top w:val="none" w:sz="0" w:space="0" w:color="auto"/>
        <w:left w:val="none" w:sz="0" w:space="0" w:color="auto"/>
        <w:bottom w:val="none" w:sz="0" w:space="0" w:color="auto"/>
        <w:right w:val="none" w:sz="0" w:space="0" w:color="auto"/>
      </w:divBdr>
    </w:div>
    <w:div w:id="1306004023">
      <w:bodyDiv w:val="1"/>
      <w:marLeft w:val="0"/>
      <w:marRight w:val="0"/>
      <w:marTop w:val="0"/>
      <w:marBottom w:val="0"/>
      <w:divBdr>
        <w:top w:val="none" w:sz="0" w:space="0" w:color="auto"/>
        <w:left w:val="none" w:sz="0" w:space="0" w:color="auto"/>
        <w:bottom w:val="none" w:sz="0" w:space="0" w:color="auto"/>
        <w:right w:val="none" w:sz="0" w:space="0" w:color="auto"/>
      </w:divBdr>
    </w:div>
    <w:div w:id="1329333110">
      <w:bodyDiv w:val="1"/>
      <w:marLeft w:val="0"/>
      <w:marRight w:val="0"/>
      <w:marTop w:val="0"/>
      <w:marBottom w:val="0"/>
      <w:divBdr>
        <w:top w:val="none" w:sz="0" w:space="0" w:color="auto"/>
        <w:left w:val="none" w:sz="0" w:space="0" w:color="auto"/>
        <w:bottom w:val="none" w:sz="0" w:space="0" w:color="auto"/>
        <w:right w:val="none" w:sz="0" w:space="0" w:color="auto"/>
      </w:divBdr>
    </w:div>
    <w:div w:id="1345014535">
      <w:bodyDiv w:val="1"/>
      <w:marLeft w:val="0"/>
      <w:marRight w:val="0"/>
      <w:marTop w:val="0"/>
      <w:marBottom w:val="0"/>
      <w:divBdr>
        <w:top w:val="none" w:sz="0" w:space="0" w:color="auto"/>
        <w:left w:val="none" w:sz="0" w:space="0" w:color="auto"/>
        <w:bottom w:val="none" w:sz="0" w:space="0" w:color="auto"/>
        <w:right w:val="none" w:sz="0" w:space="0" w:color="auto"/>
      </w:divBdr>
    </w:div>
    <w:div w:id="1374502724">
      <w:bodyDiv w:val="1"/>
      <w:marLeft w:val="0"/>
      <w:marRight w:val="0"/>
      <w:marTop w:val="0"/>
      <w:marBottom w:val="0"/>
      <w:divBdr>
        <w:top w:val="none" w:sz="0" w:space="0" w:color="auto"/>
        <w:left w:val="none" w:sz="0" w:space="0" w:color="auto"/>
        <w:bottom w:val="none" w:sz="0" w:space="0" w:color="auto"/>
        <w:right w:val="none" w:sz="0" w:space="0" w:color="auto"/>
      </w:divBdr>
    </w:div>
    <w:div w:id="1389500110">
      <w:bodyDiv w:val="1"/>
      <w:marLeft w:val="0"/>
      <w:marRight w:val="0"/>
      <w:marTop w:val="0"/>
      <w:marBottom w:val="0"/>
      <w:divBdr>
        <w:top w:val="none" w:sz="0" w:space="0" w:color="auto"/>
        <w:left w:val="none" w:sz="0" w:space="0" w:color="auto"/>
        <w:bottom w:val="none" w:sz="0" w:space="0" w:color="auto"/>
        <w:right w:val="none" w:sz="0" w:space="0" w:color="auto"/>
      </w:divBdr>
    </w:div>
    <w:div w:id="1393851082">
      <w:bodyDiv w:val="1"/>
      <w:marLeft w:val="0"/>
      <w:marRight w:val="0"/>
      <w:marTop w:val="0"/>
      <w:marBottom w:val="0"/>
      <w:divBdr>
        <w:top w:val="none" w:sz="0" w:space="0" w:color="auto"/>
        <w:left w:val="none" w:sz="0" w:space="0" w:color="auto"/>
        <w:bottom w:val="none" w:sz="0" w:space="0" w:color="auto"/>
        <w:right w:val="none" w:sz="0" w:space="0" w:color="auto"/>
      </w:divBdr>
    </w:div>
    <w:div w:id="1394424415">
      <w:bodyDiv w:val="1"/>
      <w:marLeft w:val="0"/>
      <w:marRight w:val="0"/>
      <w:marTop w:val="0"/>
      <w:marBottom w:val="0"/>
      <w:divBdr>
        <w:top w:val="none" w:sz="0" w:space="0" w:color="auto"/>
        <w:left w:val="none" w:sz="0" w:space="0" w:color="auto"/>
        <w:bottom w:val="none" w:sz="0" w:space="0" w:color="auto"/>
        <w:right w:val="none" w:sz="0" w:space="0" w:color="auto"/>
      </w:divBdr>
    </w:div>
    <w:div w:id="1405029178">
      <w:bodyDiv w:val="1"/>
      <w:marLeft w:val="0"/>
      <w:marRight w:val="0"/>
      <w:marTop w:val="0"/>
      <w:marBottom w:val="0"/>
      <w:divBdr>
        <w:top w:val="none" w:sz="0" w:space="0" w:color="auto"/>
        <w:left w:val="none" w:sz="0" w:space="0" w:color="auto"/>
        <w:bottom w:val="none" w:sz="0" w:space="0" w:color="auto"/>
        <w:right w:val="none" w:sz="0" w:space="0" w:color="auto"/>
      </w:divBdr>
      <w:divsChild>
        <w:div w:id="41563288">
          <w:marLeft w:val="0"/>
          <w:marRight w:val="0"/>
          <w:marTop w:val="0"/>
          <w:marBottom w:val="0"/>
          <w:divBdr>
            <w:top w:val="none" w:sz="0" w:space="0" w:color="auto"/>
            <w:left w:val="none" w:sz="0" w:space="0" w:color="auto"/>
            <w:bottom w:val="none" w:sz="0" w:space="0" w:color="auto"/>
            <w:right w:val="none" w:sz="0" w:space="0" w:color="auto"/>
          </w:divBdr>
          <w:divsChild>
            <w:div w:id="962004312">
              <w:marLeft w:val="0"/>
              <w:marRight w:val="0"/>
              <w:marTop w:val="0"/>
              <w:marBottom w:val="0"/>
              <w:divBdr>
                <w:top w:val="none" w:sz="0" w:space="0" w:color="auto"/>
                <w:left w:val="none" w:sz="0" w:space="0" w:color="auto"/>
                <w:bottom w:val="none" w:sz="0" w:space="0" w:color="auto"/>
                <w:right w:val="none" w:sz="0" w:space="0" w:color="auto"/>
              </w:divBdr>
              <w:divsChild>
                <w:div w:id="12796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6655">
      <w:bodyDiv w:val="1"/>
      <w:marLeft w:val="0"/>
      <w:marRight w:val="0"/>
      <w:marTop w:val="0"/>
      <w:marBottom w:val="0"/>
      <w:divBdr>
        <w:top w:val="none" w:sz="0" w:space="0" w:color="auto"/>
        <w:left w:val="none" w:sz="0" w:space="0" w:color="auto"/>
        <w:bottom w:val="none" w:sz="0" w:space="0" w:color="auto"/>
        <w:right w:val="none" w:sz="0" w:space="0" w:color="auto"/>
      </w:divBdr>
    </w:div>
    <w:div w:id="1418331594">
      <w:bodyDiv w:val="1"/>
      <w:marLeft w:val="0"/>
      <w:marRight w:val="0"/>
      <w:marTop w:val="0"/>
      <w:marBottom w:val="0"/>
      <w:divBdr>
        <w:top w:val="none" w:sz="0" w:space="0" w:color="auto"/>
        <w:left w:val="none" w:sz="0" w:space="0" w:color="auto"/>
        <w:bottom w:val="none" w:sz="0" w:space="0" w:color="auto"/>
        <w:right w:val="none" w:sz="0" w:space="0" w:color="auto"/>
      </w:divBdr>
    </w:div>
    <w:div w:id="1418671181">
      <w:bodyDiv w:val="1"/>
      <w:marLeft w:val="0"/>
      <w:marRight w:val="0"/>
      <w:marTop w:val="0"/>
      <w:marBottom w:val="0"/>
      <w:divBdr>
        <w:top w:val="none" w:sz="0" w:space="0" w:color="auto"/>
        <w:left w:val="none" w:sz="0" w:space="0" w:color="auto"/>
        <w:bottom w:val="none" w:sz="0" w:space="0" w:color="auto"/>
        <w:right w:val="none" w:sz="0" w:space="0" w:color="auto"/>
      </w:divBdr>
    </w:div>
    <w:div w:id="1431854401">
      <w:bodyDiv w:val="1"/>
      <w:marLeft w:val="0"/>
      <w:marRight w:val="0"/>
      <w:marTop w:val="0"/>
      <w:marBottom w:val="0"/>
      <w:divBdr>
        <w:top w:val="none" w:sz="0" w:space="0" w:color="auto"/>
        <w:left w:val="none" w:sz="0" w:space="0" w:color="auto"/>
        <w:bottom w:val="none" w:sz="0" w:space="0" w:color="auto"/>
        <w:right w:val="none" w:sz="0" w:space="0" w:color="auto"/>
      </w:divBdr>
    </w:div>
    <w:div w:id="1441337993">
      <w:bodyDiv w:val="1"/>
      <w:marLeft w:val="0"/>
      <w:marRight w:val="0"/>
      <w:marTop w:val="0"/>
      <w:marBottom w:val="0"/>
      <w:divBdr>
        <w:top w:val="none" w:sz="0" w:space="0" w:color="auto"/>
        <w:left w:val="none" w:sz="0" w:space="0" w:color="auto"/>
        <w:bottom w:val="none" w:sz="0" w:space="0" w:color="auto"/>
        <w:right w:val="none" w:sz="0" w:space="0" w:color="auto"/>
      </w:divBdr>
    </w:div>
    <w:div w:id="1449085587">
      <w:bodyDiv w:val="1"/>
      <w:marLeft w:val="0"/>
      <w:marRight w:val="0"/>
      <w:marTop w:val="0"/>
      <w:marBottom w:val="0"/>
      <w:divBdr>
        <w:top w:val="none" w:sz="0" w:space="0" w:color="auto"/>
        <w:left w:val="none" w:sz="0" w:space="0" w:color="auto"/>
        <w:bottom w:val="none" w:sz="0" w:space="0" w:color="auto"/>
        <w:right w:val="none" w:sz="0" w:space="0" w:color="auto"/>
      </w:divBdr>
      <w:divsChild>
        <w:div w:id="740372866">
          <w:marLeft w:val="0"/>
          <w:marRight w:val="0"/>
          <w:marTop w:val="0"/>
          <w:marBottom w:val="0"/>
          <w:divBdr>
            <w:top w:val="none" w:sz="0" w:space="0" w:color="auto"/>
            <w:left w:val="none" w:sz="0" w:space="0" w:color="auto"/>
            <w:bottom w:val="none" w:sz="0" w:space="0" w:color="auto"/>
            <w:right w:val="none" w:sz="0" w:space="0" w:color="auto"/>
          </w:divBdr>
          <w:divsChild>
            <w:div w:id="361901524">
              <w:marLeft w:val="0"/>
              <w:marRight w:val="0"/>
              <w:marTop w:val="0"/>
              <w:marBottom w:val="0"/>
              <w:divBdr>
                <w:top w:val="none" w:sz="0" w:space="0" w:color="auto"/>
                <w:left w:val="none" w:sz="0" w:space="0" w:color="auto"/>
                <w:bottom w:val="none" w:sz="0" w:space="0" w:color="auto"/>
                <w:right w:val="none" w:sz="0" w:space="0" w:color="auto"/>
              </w:divBdr>
              <w:divsChild>
                <w:div w:id="14924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41317">
      <w:bodyDiv w:val="1"/>
      <w:marLeft w:val="0"/>
      <w:marRight w:val="0"/>
      <w:marTop w:val="0"/>
      <w:marBottom w:val="0"/>
      <w:divBdr>
        <w:top w:val="none" w:sz="0" w:space="0" w:color="auto"/>
        <w:left w:val="none" w:sz="0" w:space="0" w:color="auto"/>
        <w:bottom w:val="none" w:sz="0" w:space="0" w:color="auto"/>
        <w:right w:val="none" w:sz="0" w:space="0" w:color="auto"/>
      </w:divBdr>
    </w:div>
    <w:div w:id="1465468064">
      <w:bodyDiv w:val="1"/>
      <w:marLeft w:val="0"/>
      <w:marRight w:val="0"/>
      <w:marTop w:val="0"/>
      <w:marBottom w:val="0"/>
      <w:divBdr>
        <w:top w:val="none" w:sz="0" w:space="0" w:color="auto"/>
        <w:left w:val="none" w:sz="0" w:space="0" w:color="auto"/>
        <w:bottom w:val="none" w:sz="0" w:space="0" w:color="auto"/>
        <w:right w:val="none" w:sz="0" w:space="0" w:color="auto"/>
      </w:divBdr>
    </w:div>
    <w:div w:id="1480000722">
      <w:bodyDiv w:val="1"/>
      <w:marLeft w:val="0"/>
      <w:marRight w:val="0"/>
      <w:marTop w:val="0"/>
      <w:marBottom w:val="0"/>
      <w:divBdr>
        <w:top w:val="none" w:sz="0" w:space="0" w:color="auto"/>
        <w:left w:val="none" w:sz="0" w:space="0" w:color="auto"/>
        <w:bottom w:val="none" w:sz="0" w:space="0" w:color="auto"/>
        <w:right w:val="none" w:sz="0" w:space="0" w:color="auto"/>
      </w:divBdr>
    </w:div>
    <w:div w:id="1491024018">
      <w:bodyDiv w:val="1"/>
      <w:marLeft w:val="0"/>
      <w:marRight w:val="0"/>
      <w:marTop w:val="0"/>
      <w:marBottom w:val="0"/>
      <w:divBdr>
        <w:top w:val="none" w:sz="0" w:space="0" w:color="auto"/>
        <w:left w:val="none" w:sz="0" w:space="0" w:color="auto"/>
        <w:bottom w:val="none" w:sz="0" w:space="0" w:color="auto"/>
        <w:right w:val="none" w:sz="0" w:space="0" w:color="auto"/>
      </w:divBdr>
    </w:div>
    <w:div w:id="1508325549">
      <w:bodyDiv w:val="1"/>
      <w:marLeft w:val="0"/>
      <w:marRight w:val="0"/>
      <w:marTop w:val="0"/>
      <w:marBottom w:val="0"/>
      <w:divBdr>
        <w:top w:val="none" w:sz="0" w:space="0" w:color="auto"/>
        <w:left w:val="none" w:sz="0" w:space="0" w:color="auto"/>
        <w:bottom w:val="none" w:sz="0" w:space="0" w:color="auto"/>
        <w:right w:val="none" w:sz="0" w:space="0" w:color="auto"/>
      </w:divBdr>
    </w:div>
    <w:div w:id="1520508934">
      <w:bodyDiv w:val="1"/>
      <w:marLeft w:val="0"/>
      <w:marRight w:val="0"/>
      <w:marTop w:val="0"/>
      <w:marBottom w:val="0"/>
      <w:divBdr>
        <w:top w:val="none" w:sz="0" w:space="0" w:color="auto"/>
        <w:left w:val="none" w:sz="0" w:space="0" w:color="auto"/>
        <w:bottom w:val="none" w:sz="0" w:space="0" w:color="auto"/>
        <w:right w:val="none" w:sz="0" w:space="0" w:color="auto"/>
      </w:divBdr>
    </w:div>
    <w:div w:id="1528064249">
      <w:bodyDiv w:val="1"/>
      <w:marLeft w:val="0"/>
      <w:marRight w:val="0"/>
      <w:marTop w:val="0"/>
      <w:marBottom w:val="0"/>
      <w:divBdr>
        <w:top w:val="none" w:sz="0" w:space="0" w:color="auto"/>
        <w:left w:val="none" w:sz="0" w:space="0" w:color="auto"/>
        <w:bottom w:val="none" w:sz="0" w:space="0" w:color="auto"/>
        <w:right w:val="none" w:sz="0" w:space="0" w:color="auto"/>
      </w:divBdr>
    </w:div>
    <w:div w:id="1531340740">
      <w:bodyDiv w:val="1"/>
      <w:marLeft w:val="0"/>
      <w:marRight w:val="0"/>
      <w:marTop w:val="0"/>
      <w:marBottom w:val="0"/>
      <w:divBdr>
        <w:top w:val="none" w:sz="0" w:space="0" w:color="auto"/>
        <w:left w:val="none" w:sz="0" w:space="0" w:color="auto"/>
        <w:bottom w:val="none" w:sz="0" w:space="0" w:color="auto"/>
        <w:right w:val="none" w:sz="0" w:space="0" w:color="auto"/>
      </w:divBdr>
    </w:div>
    <w:div w:id="1551454900">
      <w:bodyDiv w:val="1"/>
      <w:marLeft w:val="0"/>
      <w:marRight w:val="0"/>
      <w:marTop w:val="0"/>
      <w:marBottom w:val="0"/>
      <w:divBdr>
        <w:top w:val="none" w:sz="0" w:space="0" w:color="auto"/>
        <w:left w:val="none" w:sz="0" w:space="0" w:color="auto"/>
        <w:bottom w:val="none" w:sz="0" w:space="0" w:color="auto"/>
        <w:right w:val="none" w:sz="0" w:space="0" w:color="auto"/>
      </w:divBdr>
    </w:div>
    <w:div w:id="1572808155">
      <w:bodyDiv w:val="1"/>
      <w:marLeft w:val="0"/>
      <w:marRight w:val="0"/>
      <w:marTop w:val="0"/>
      <w:marBottom w:val="0"/>
      <w:divBdr>
        <w:top w:val="none" w:sz="0" w:space="0" w:color="auto"/>
        <w:left w:val="none" w:sz="0" w:space="0" w:color="auto"/>
        <w:bottom w:val="none" w:sz="0" w:space="0" w:color="auto"/>
        <w:right w:val="none" w:sz="0" w:space="0" w:color="auto"/>
      </w:divBdr>
    </w:div>
    <w:div w:id="1577662271">
      <w:bodyDiv w:val="1"/>
      <w:marLeft w:val="0"/>
      <w:marRight w:val="0"/>
      <w:marTop w:val="0"/>
      <w:marBottom w:val="0"/>
      <w:divBdr>
        <w:top w:val="none" w:sz="0" w:space="0" w:color="auto"/>
        <w:left w:val="none" w:sz="0" w:space="0" w:color="auto"/>
        <w:bottom w:val="none" w:sz="0" w:space="0" w:color="auto"/>
        <w:right w:val="none" w:sz="0" w:space="0" w:color="auto"/>
      </w:divBdr>
    </w:div>
    <w:div w:id="1600915697">
      <w:bodyDiv w:val="1"/>
      <w:marLeft w:val="0"/>
      <w:marRight w:val="0"/>
      <w:marTop w:val="0"/>
      <w:marBottom w:val="0"/>
      <w:divBdr>
        <w:top w:val="none" w:sz="0" w:space="0" w:color="auto"/>
        <w:left w:val="none" w:sz="0" w:space="0" w:color="auto"/>
        <w:bottom w:val="none" w:sz="0" w:space="0" w:color="auto"/>
        <w:right w:val="none" w:sz="0" w:space="0" w:color="auto"/>
      </w:divBdr>
    </w:div>
    <w:div w:id="1601912675">
      <w:bodyDiv w:val="1"/>
      <w:marLeft w:val="0"/>
      <w:marRight w:val="0"/>
      <w:marTop w:val="0"/>
      <w:marBottom w:val="0"/>
      <w:divBdr>
        <w:top w:val="none" w:sz="0" w:space="0" w:color="auto"/>
        <w:left w:val="none" w:sz="0" w:space="0" w:color="auto"/>
        <w:bottom w:val="none" w:sz="0" w:space="0" w:color="auto"/>
        <w:right w:val="none" w:sz="0" w:space="0" w:color="auto"/>
      </w:divBdr>
    </w:div>
    <w:div w:id="1603031883">
      <w:bodyDiv w:val="1"/>
      <w:marLeft w:val="0"/>
      <w:marRight w:val="0"/>
      <w:marTop w:val="0"/>
      <w:marBottom w:val="0"/>
      <w:divBdr>
        <w:top w:val="none" w:sz="0" w:space="0" w:color="auto"/>
        <w:left w:val="none" w:sz="0" w:space="0" w:color="auto"/>
        <w:bottom w:val="none" w:sz="0" w:space="0" w:color="auto"/>
        <w:right w:val="none" w:sz="0" w:space="0" w:color="auto"/>
      </w:divBdr>
    </w:div>
    <w:div w:id="1619406961">
      <w:bodyDiv w:val="1"/>
      <w:marLeft w:val="0"/>
      <w:marRight w:val="0"/>
      <w:marTop w:val="0"/>
      <w:marBottom w:val="0"/>
      <w:divBdr>
        <w:top w:val="none" w:sz="0" w:space="0" w:color="auto"/>
        <w:left w:val="none" w:sz="0" w:space="0" w:color="auto"/>
        <w:bottom w:val="none" w:sz="0" w:space="0" w:color="auto"/>
        <w:right w:val="none" w:sz="0" w:space="0" w:color="auto"/>
      </w:divBdr>
    </w:div>
    <w:div w:id="1628508994">
      <w:bodyDiv w:val="1"/>
      <w:marLeft w:val="0"/>
      <w:marRight w:val="0"/>
      <w:marTop w:val="0"/>
      <w:marBottom w:val="0"/>
      <w:divBdr>
        <w:top w:val="none" w:sz="0" w:space="0" w:color="auto"/>
        <w:left w:val="none" w:sz="0" w:space="0" w:color="auto"/>
        <w:bottom w:val="none" w:sz="0" w:space="0" w:color="auto"/>
        <w:right w:val="none" w:sz="0" w:space="0" w:color="auto"/>
      </w:divBdr>
    </w:div>
    <w:div w:id="1637562346">
      <w:bodyDiv w:val="1"/>
      <w:marLeft w:val="0"/>
      <w:marRight w:val="0"/>
      <w:marTop w:val="0"/>
      <w:marBottom w:val="0"/>
      <w:divBdr>
        <w:top w:val="none" w:sz="0" w:space="0" w:color="auto"/>
        <w:left w:val="none" w:sz="0" w:space="0" w:color="auto"/>
        <w:bottom w:val="none" w:sz="0" w:space="0" w:color="auto"/>
        <w:right w:val="none" w:sz="0" w:space="0" w:color="auto"/>
      </w:divBdr>
    </w:div>
    <w:div w:id="1651253384">
      <w:bodyDiv w:val="1"/>
      <w:marLeft w:val="0"/>
      <w:marRight w:val="0"/>
      <w:marTop w:val="0"/>
      <w:marBottom w:val="0"/>
      <w:divBdr>
        <w:top w:val="none" w:sz="0" w:space="0" w:color="auto"/>
        <w:left w:val="none" w:sz="0" w:space="0" w:color="auto"/>
        <w:bottom w:val="none" w:sz="0" w:space="0" w:color="auto"/>
        <w:right w:val="none" w:sz="0" w:space="0" w:color="auto"/>
      </w:divBdr>
    </w:div>
    <w:div w:id="1671518528">
      <w:bodyDiv w:val="1"/>
      <w:marLeft w:val="0"/>
      <w:marRight w:val="0"/>
      <w:marTop w:val="0"/>
      <w:marBottom w:val="0"/>
      <w:divBdr>
        <w:top w:val="none" w:sz="0" w:space="0" w:color="auto"/>
        <w:left w:val="none" w:sz="0" w:space="0" w:color="auto"/>
        <w:bottom w:val="none" w:sz="0" w:space="0" w:color="auto"/>
        <w:right w:val="none" w:sz="0" w:space="0" w:color="auto"/>
      </w:divBdr>
    </w:div>
    <w:div w:id="1684435853">
      <w:bodyDiv w:val="1"/>
      <w:marLeft w:val="0"/>
      <w:marRight w:val="0"/>
      <w:marTop w:val="0"/>
      <w:marBottom w:val="0"/>
      <w:divBdr>
        <w:top w:val="none" w:sz="0" w:space="0" w:color="auto"/>
        <w:left w:val="none" w:sz="0" w:space="0" w:color="auto"/>
        <w:bottom w:val="none" w:sz="0" w:space="0" w:color="auto"/>
        <w:right w:val="none" w:sz="0" w:space="0" w:color="auto"/>
      </w:divBdr>
    </w:div>
    <w:div w:id="1685589921">
      <w:bodyDiv w:val="1"/>
      <w:marLeft w:val="0"/>
      <w:marRight w:val="0"/>
      <w:marTop w:val="0"/>
      <w:marBottom w:val="0"/>
      <w:divBdr>
        <w:top w:val="none" w:sz="0" w:space="0" w:color="auto"/>
        <w:left w:val="none" w:sz="0" w:space="0" w:color="auto"/>
        <w:bottom w:val="none" w:sz="0" w:space="0" w:color="auto"/>
        <w:right w:val="none" w:sz="0" w:space="0" w:color="auto"/>
      </w:divBdr>
    </w:div>
    <w:div w:id="1693650465">
      <w:bodyDiv w:val="1"/>
      <w:marLeft w:val="0"/>
      <w:marRight w:val="0"/>
      <w:marTop w:val="0"/>
      <w:marBottom w:val="0"/>
      <w:divBdr>
        <w:top w:val="none" w:sz="0" w:space="0" w:color="auto"/>
        <w:left w:val="none" w:sz="0" w:space="0" w:color="auto"/>
        <w:bottom w:val="none" w:sz="0" w:space="0" w:color="auto"/>
        <w:right w:val="none" w:sz="0" w:space="0" w:color="auto"/>
      </w:divBdr>
    </w:div>
    <w:div w:id="1694041048">
      <w:bodyDiv w:val="1"/>
      <w:marLeft w:val="0"/>
      <w:marRight w:val="0"/>
      <w:marTop w:val="0"/>
      <w:marBottom w:val="0"/>
      <w:divBdr>
        <w:top w:val="none" w:sz="0" w:space="0" w:color="auto"/>
        <w:left w:val="none" w:sz="0" w:space="0" w:color="auto"/>
        <w:bottom w:val="none" w:sz="0" w:space="0" w:color="auto"/>
        <w:right w:val="none" w:sz="0" w:space="0" w:color="auto"/>
      </w:divBdr>
    </w:div>
    <w:div w:id="1700354540">
      <w:bodyDiv w:val="1"/>
      <w:marLeft w:val="0"/>
      <w:marRight w:val="0"/>
      <w:marTop w:val="0"/>
      <w:marBottom w:val="0"/>
      <w:divBdr>
        <w:top w:val="none" w:sz="0" w:space="0" w:color="auto"/>
        <w:left w:val="none" w:sz="0" w:space="0" w:color="auto"/>
        <w:bottom w:val="none" w:sz="0" w:space="0" w:color="auto"/>
        <w:right w:val="none" w:sz="0" w:space="0" w:color="auto"/>
      </w:divBdr>
    </w:div>
    <w:div w:id="1705401381">
      <w:bodyDiv w:val="1"/>
      <w:marLeft w:val="0"/>
      <w:marRight w:val="0"/>
      <w:marTop w:val="0"/>
      <w:marBottom w:val="0"/>
      <w:divBdr>
        <w:top w:val="none" w:sz="0" w:space="0" w:color="auto"/>
        <w:left w:val="none" w:sz="0" w:space="0" w:color="auto"/>
        <w:bottom w:val="none" w:sz="0" w:space="0" w:color="auto"/>
        <w:right w:val="none" w:sz="0" w:space="0" w:color="auto"/>
      </w:divBdr>
    </w:div>
    <w:div w:id="1722753341">
      <w:bodyDiv w:val="1"/>
      <w:marLeft w:val="0"/>
      <w:marRight w:val="0"/>
      <w:marTop w:val="0"/>
      <w:marBottom w:val="0"/>
      <w:divBdr>
        <w:top w:val="none" w:sz="0" w:space="0" w:color="auto"/>
        <w:left w:val="none" w:sz="0" w:space="0" w:color="auto"/>
        <w:bottom w:val="none" w:sz="0" w:space="0" w:color="auto"/>
        <w:right w:val="none" w:sz="0" w:space="0" w:color="auto"/>
      </w:divBdr>
    </w:div>
    <w:div w:id="1723018527">
      <w:bodyDiv w:val="1"/>
      <w:marLeft w:val="0"/>
      <w:marRight w:val="0"/>
      <w:marTop w:val="0"/>
      <w:marBottom w:val="0"/>
      <w:divBdr>
        <w:top w:val="none" w:sz="0" w:space="0" w:color="auto"/>
        <w:left w:val="none" w:sz="0" w:space="0" w:color="auto"/>
        <w:bottom w:val="none" w:sz="0" w:space="0" w:color="auto"/>
        <w:right w:val="none" w:sz="0" w:space="0" w:color="auto"/>
      </w:divBdr>
    </w:div>
    <w:div w:id="1723138185">
      <w:bodyDiv w:val="1"/>
      <w:marLeft w:val="0"/>
      <w:marRight w:val="0"/>
      <w:marTop w:val="0"/>
      <w:marBottom w:val="0"/>
      <w:divBdr>
        <w:top w:val="none" w:sz="0" w:space="0" w:color="auto"/>
        <w:left w:val="none" w:sz="0" w:space="0" w:color="auto"/>
        <w:bottom w:val="none" w:sz="0" w:space="0" w:color="auto"/>
        <w:right w:val="none" w:sz="0" w:space="0" w:color="auto"/>
      </w:divBdr>
    </w:div>
    <w:div w:id="1725062455">
      <w:bodyDiv w:val="1"/>
      <w:marLeft w:val="0"/>
      <w:marRight w:val="0"/>
      <w:marTop w:val="0"/>
      <w:marBottom w:val="0"/>
      <w:divBdr>
        <w:top w:val="none" w:sz="0" w:space="0" w:color="auto"/>
        <w:left w:val="none" w:sz="0" w:space="0" w:color="auto"/>
        <w:bottom w:val="none" w:sz="0" w:space="0" w:color="auto"/>
        <w:right w:val="none" w:sz="0" w:space="0" w:color="auto"/>
      </w:divBdr>
    </w:div>
    <w:div w:id="1742946742">
      <w:bodyDiv w:val="1"/>
      <w:marLeft w:val="0"/>
      <w:marRight w:val="0"/>
      <w:marTop w:val="0"/>
      <w:marBottom w:val="0"/>
      <w:divBdr>
        <w:top w:val="none" w:sz="0" w:space="0" w:color="auto"/>
        <w:left w:val="none" w:sz="0" w:space="0" w:color="auto"/>
        <w:bottom w:val="none" w:sz="0" w:space="0" w:color="auto"/>
        <w:right w:val="none" w:sz="0" w:space="0" w:color="auto"/>
      </w:divBdr>
    </w:div>
    <w:div w:id="1758362700">
      <w:bodyDiv w:val="1"/>
      <w:marLeft w:val="0"/>
      <w:marRight w:val="0"/>
      <w:marTop w:val="0"/>
      <w:marBottom w:val="0"/>
      <w:divBdr>
        <w:top w:val="none" w:sz="0" w:space="0" w:color="auto"/>
        <w:left w:val="none" w:sz="0" w:space="0" w:color="auto"/>
        <w:bottom w:val="none" w:sz="0" w:space="0" w:color="auto"/>
        <w:right w:val="none" w:sz="0" w:space="0" w:color="auto"/>
      </w:divBdr>
      <w:divsChild>
        <w:div w:id="1425571488">
          <w:marLeft w:val="0"/>
          <w:marRight w:val="0"/>
          <w:marTop w:val="0"/>
          <w:marBottom w:val="0"/>
          <w:divBdr>
            <w:top w:val="none" w:sz="0" w:space="0" w:color="auto"/>
            <w:left w:val="none" w:sz="0" w:space="0" w:color="auto"/>
            <w:bottom w:val="none" w:sz="0" w:space="0" w:color="auto"/>
            <w:right w:val="none" w:sz="0" w:space="0" w:color="auto"/>
          </w:divBdr>
          <w:divsChild>
            <w:div w:id="1414089672">
              <w:marLeft w:val="0"/>
              <w:marRight w:val="0"/>
              <w:marTop w:val="0"/>
              <w:marBottom w:val="0"/>
              <w:divBdr>
                <w:top w:val="none" w:sz="0" w:space="0" w:color="auto"/>
                <w:left w:val="none" w:sz="0" w:space="0" w:color="auto"/>
                <w:bottom w:val="none" w:sz="0" w:space="0" w:color="auto"/>
                <w:right w:val="none" w:sz="0" w:space="0" w:color="auto"/>
              </w:divBdr>
              <w:divsChild>
                <w:div w:id="13357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89828">
      <w:bodyDiv w:val="1"/>
      <w:marLeft w:val="0"/>
      <w:marRight w:val="0"/>
      <w:marTop w:val="0"/>
      <w:marBottom w:val="0"/>
      <w:divBdr>
        <w:top w:val="none" w:sz="0" w:space="0" w:color="auto"/>
        <w:left w:val="none" w:sz="0" w:space="0" w:color="auto"/>
        <w:bottom w:val="none" w:sz="0" w:space="0" w:color="auto"/>
        <w:right w:val="none" w:sz="0" w:space="0" w:color="auto"/>
      </w:divBdr>
    </w:div>
    <w:div w:id="1786801827">
      <w:bodyDiv w:val="1"/>
      <w:marLeft w:val="0"/>
      <w:marRight w:val="0"/>
      <w:marTop w:val="0"/>
      <w:marBottom w:val="0"/>
      <w:divBdr>
        <w:top w:val="none" w:sz="0" w:space="0" w:color="auto"/>
        <w:left w:val="none" w:sz="0" w:space="0" w:color="auto"/>
        <w:bottom w:val="none" w:sz="0" w:space="0" w:color="auto"/>
        <w:right w:val="none" w:sz="0" w:space="0" w:color="auto"/>
      </w:divBdr>
    </w:div>
    <w:div w:id="1805391565">
      <w:bodyDiv w:val="1"/>
      <w:marLeft w:val="0"/>
      <w:marRight w:val="0"/>
      <w:marTop w:val="0"/>
      <w:marBottom w:val="0"/>
      <w:divBdr>
        <w:top w:val="none" w:sz="0" w:space="0" w:color="auto"/>
        <w:left w:val="none" w:sz="0" w:space="0" w:color="auto"/>
        <w:bottom w:val="none" w:sz="0" w:space="0" w:color="auto"/>
        <w:right w:val="none" w:sz="0" w:space="0" w:color="auto"/>
      </w:divBdr>
    </w:div>
    <w:div w:id="1809518711">
      <w:bodyDiv w:val="1"/>
      <w:marLeft w:val="0"/>
      <w:marRight w:val="0"/>
      <w:marTop w:val="0"/>
      <w:marBottom w:val="0"/>
      <w:divBdr>
        <w:top w:val="none" w:sz="0" w:space="0" w:color="auto"/>
        <w:left w:val="none" w:sz="0" w:space="0" w:color="auto"/>
        <w:bottom w:val="none" w:sz="0" w:space="0" w:color="auto"/>
        <w:right w:val="none" w:sz="0" w:space="0" w:color="auto"/>
      </w:divBdr>
    </w:div>
    <w:div w:id="1813205960">
      <w:bodyDiv w:val="1"/>
      <w:marLeft w:val="0"/>
      <w:marRight w:val="0"/>
      <w:marTop w:val="0"/>
      <w:marBottom w:val="0"/>
      <w:divBdr>
        <w:top w:val="none" w:sz="0" w:space="0" w:color="auto"/>
        <w:left w:val="none" w:sz="0" w:space="0" w:color="auto"/>
        <w:bottom w:val="none" w:sz="0" w:space="0" w:color="auto"/>
        <w:right w:val="none" w:sz="0" w:space="0" w:color="auto"/>
      </w:divBdr>
    </w:div>
    <w:div w:id="1842546839">
      <w:bodyDiv w:val="1"/>
      <w:marLeft w:val="0"/>
      <w:marRight w:val="0"/>
      <w:marTop w:val="0"/>
      <w:marBottom w:val="0"/>
      <w:divBdr>
        <w:top w:val="none" w:sz="0" w:space="0" w:color="auto"/>
        <w:left w:val="none" w:sz="0" w:space="0" w:color="auto"/>
        <w:bottom w:val="none" w:sz="0" w:space="0" w:color="auto"/>
        <w:right w:val="none" w:sz="0" w:space="0" w:color="auto"/>
      </w:divBdr>
    </w:div>
    <w:div w:id="1851530135">
      <w:bodyDiv w:val="1"/>
      <w:marLeft w:val="0"/>
      <w:marRight w:val="0"/>
      <w:marTop w:val="0"/>
      <w:marBottom w:val="0"/>
      <w:divBdr>
        <w:top w:val="none" w:sz="0" w:space="0" w:color="auto"/>
        <w:left w:val="none" w:sz="0" w:space="0" w:color="auto"/>
        <w:bottom w:val="none" w:sz="0" w:space="0" w:color="auto"/>
        <w:right w:val="none" w:sz="0" w:space="0" w:color="auto"/>
      </w:divBdr>
    </w:div>
    <w:div w:id="1864855113">
      <w:bodyDiv w:val="1"/>
      <w:marLeft w:val="0"/>
      <w:marRight w:val="0"/>
      <w:marTop w:val="0"/>
      <w:marBottom w:val="0"/>
      <w:divBdr>
        <w:top w:val="none" w:sz="0" w:space="0" w:color="auto"/>
        <w:left w:val="none" w:sz="0" w:space="0" w:color="auto"/>
        <w:bottom w:val="none" w:sz="0" w:space="0" w:color="auto"/>
        <w:right w:val="none" w:sz="0" w:space="0" w:color="auto"/>
      </w:divBdr>
    </w:div>
    <w:div w:id="1880125504">
      <w:bodyDiv w:val="1"/>
      <w:marLeft w:val="0"/>
      <w:marRight w:val="0"/>
      <w:marTop w:val="0"/>
      <w:marBottom w:val="0"/>
      <w:divBdr>
        <w:top w:val="none" w:sz="0" w:space="0" w:color="auto"/>
        <w:left w:val="none" w:sz="0" w:space="0" w:color="auto"/>
        <w:bottom w:val="none" w:sz="0" w:space="0" w:color="auto"/>
        <w:right w:val="none" w:sz="0" w:space="0" w:color="auto"/>
      </w:divBdr>
    </w:div>
    <w:div w:id="1883903323">
      <w:bodyDiv w:val="1"/>
      <w:marLeft w:val="0"/>
      <w:marRight w:val="0"/>
      <w:marTop w:val="0"/>
      <w:marBottom w:val="0"/>
      <w:divBdr>
        <w:top w:val="none" w:sz="0" w:space="0" w:color="auto"/>
        <w:left w:val="none" w:sz="0" w:space="0" w:color="auto"/>
        <w:bottom w:val="none" w:sz="0" w:space="0" w:color="auto"/>
        <w:right w:val="none" w:sz="0" w:space="0" w:color="auto"/>
      </w:divBdr>
    </w:div>
    <w:div w:id="1921016694">
      <w:bodyDiv w:val="1"/>
      <w:marLeft w:val="0"/>
      <w:marRight w:val="0"/>
      <w:marTop w:val="0"/>
      <w:marBottom w:val="0"/>
      <w:divBdr>
        <w:top w:val="none" w:sz="0" w:space="0" w:color="auto"/>
        <w:left w:val="none" w:sz="0" w:space="0" w:color="auto"/>
        <w:bottom w:val="none" w:sz="0" w:space="0" w:color="auto"/>
        <w:right w:val="none" w:sz="0" w:space="0" w:color="auto"/>
      </w:divBdr>
    </w:div>
    <w:div w:id="1941639895">
      <w:bodyDiv w:val="1"/>
      <w:marLeft w:val="0"/>
      <w:marRight w:val="0"/>
      <w:marTop w:val="0"/>
      <w:marBottom w:val="0"/>
      <w:divBdr>
        <w:top w:val="none" w:sz="0" w:space="0" w:color="auto"/>
        <w:left w:val="none" w:sz="0" w:space="0" w:color="auto"/>
        <w:bottom w:val="none" w:sz="0" w:space="0" w:color="auto"/>
        <w:right w:val="none" w:sz="0" w:space="0" w:color="auto"/>
      </w:divBdr>
    </w:div>
    <w:div w:id="1945723633">
      <w:bodyDiv w:val="1"/>
      <w:marLeft w:val="0"/>
      <w:marRight w:val="0"/>
      <w:marTop w:val="0"/>
      <w:marBottom w:val="0"/>
      <w:divBdr>
        <w:top w:val="none" w:sz="0" w:space="0" w:color="auto"/>
        <w:left w:val="none" w:sz="0" w:space="0" w:color="auto"/>
        <w:bottom w:val="none" w:sz="0" w:space="0" w:color="auto"/>
        <w:right w:val="none" w:sz="0" w:space="0" w:color="auto"/>
      </w:divBdr>
    </w:div>
    <w:div w:id="1945764878">
      <w:bodyDiv w:val="1"/>
      <w:marLeft w:val="0"/>
      <w:marRight w:val="0"/>
      <w:marTop w:val="0"/>
      <w:marBottom w:val="0"/>
      <w:divBdr>
        <w:top w:val="none" w:sz="0" w:space="0" w:color="auto"/>
        <w:left w:val="none" w:sz="0" w:space="0" w:color="auto"/>
        <w:bottom w:val="none" w:sz="0" w:space="0" w:color="auto"/>
        <w:right w:val="none" w:sz="0" w:space="0" w:color="auto"/>
      </w:divBdr>
    </w:div>
    <w:div w:id="1958489518">
      <w:bodyDiv w:val="1"/>
      <w:marLeft w:val="0"/>
      <w:marRight w:val="0"/>
      <w:marTop w:val="0"/>
      <w:marBottom w:val="0"/>
      <w:divBdr>
        <w:top w:val="none" w:sz="0" w:space="0" w:color="auto"/>
        <w:left w:val="none" w:sz="0" w:space="0" w:color="auto"/>
        <w:bottom w:val="none" w:sz="0" w:space="0" w:color="auto"/>
        <w:right w:val="none" w:sz="0" w:space="0" w:color="auto"/>
      </w:divBdr>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
    <w:div w:id="1963611881">
      <w:bodyDiv w:val="1"/>
      <w:marLeft w:val="0"/>
      <w:marRight w:val="0"/>
      <w:marTop w:val="0"/>
      <w:marBottom w:val="0"/>
      <w:divBdr>
        <w:top w:val="none" w:sz="0" w:space="0" w:color="auto"/>
        <w:left w:val="none" w:sz="0" w:space="0" w:color="auto"/>
        <w:bottom w:val="none" w:sz="0" w:space="0" w:color="auto"/>
        <w:right w:val="none" w:sz="0" w:space="0" w:color="auto"/>
      </w:divBdr>
    </w:div>
    <w:div w:id="2010060217">
      <w:bodyDiv w:val="1"/>
      <w:marLeft w:val="0"/>
      <w:marRight w:val="0"/>
      <w:marTop w:val="0"/>
      <w:marBottom w:val="0"/>
      <w:divBdr>
        <w:top w:val="none" w:sz="0" w:space="0" w:color="auto"/>
        <w:left w:val="none" w:sz="0" w:space="0" w:color="auto"/>
        <w:bottom w:val="none" w:sz="0" w:space="0" w:color="auto"/>
        <w:right w:val="none" w:sz="0" w:space="0" w:color="auto"/>
      </w:divBdr>
    </w:div>
    <w:div w:id="2010597277">
      <w:bodyDiv w:val="1"/>
      <w:marLeft w:val="0"/>
      <w:marRight w:val="0"/>
      <w:marTop w:val="0"/>
      <w:marBottom w:val="0"/>
      <w:divBdr>
        <w:top w:val="none" w:sz="0" w:space="0" w:color="auto"/>
        <w:left w:val="none" w:sz="0" w:space="0" w:color="auto"/>
        <w:bottom w:val="none" w:sz="0" w:space="0" w:color="auto"/>
        <w:right w:val="none" w:sz="0" w:space="0" w:color="auto"/>
      </w:divBdr>
    </w:div>
    <w:div w:id="2015839993">
      <w:bodyDiv w:val="1"/>
      <w:marLeft w:val="0"/>
      <w:marRight w:val="0"/>
      <w:marTop w:val="0"/>
      <w:marBottom w:val="0"/>
      <w:divBdr>
        <w:top w:val="none" w:sz="0" w:space="0" w:color="auto"/>
        <w:left w:val="none" w:sz="0" w:space="0" w:color="auto"/>
        <w:bottom w:val="none" w:sz="0" w:space="0" w:color="auto"/>
        <w:right w:val="none" w:sz="0" w:space="0" w:color="auto"/>
      </w:divBdr>
    </w:div>
    <w:div w:id="2036075293">
      <w:bodyDiv w:val="1"/>
      <w:marLeft w:val="0"/>
      <w:marRight w:val="0"/>
      <w:marTop w:val="0"/>
      <w:marBottom w:val="0"/>
      <w:divBdr>
        <w:top w:val="none" w:sz="0" w:space="0" w:color="auto"/>
        <w:left w:val="none" w:sz="0" w:space="0" w:color="auto"/>
        <w:bottom w:val="none" w:sz="0" w:space="0" w:color="auto"/>
        <w:right w:val="none" w:sz="0" w:space="0" w:color="auto"/>
      </w:divBdr>
    </w:div>
    <w:div w:id="2043822783">
      <w:bodyDiv w:val="1"/>
      <w:marLeft w:val="0"/>
      <w:marRight w:val="0"/>
      <w:marTop w:val="0"/>
      <w:marBottom w:val="0"/>
      <w:divBdr>
        <w:top w:val="none" w:sz="0" w:space="0" w:color="auto"/>
        <w:left w:val="none" w:sz="0" w:space="0" w:color="auto"/>
        <w:bottom w:val="none" w:sz="0" w:space="0" w:color="auto"/>
        <w:right w:val="none" w:sz="0" w:space="0" w:color="auto"/>
      </w:divBdr>
    </w:div>
    <w:div w:id="2044868042">
      <w:bodyDiv w:val="1"/>
      <w:marLeft w:val="0"/>
      <w:marRight w:val="0"/>
      <w:marTop w:val="0"/>
      <w:marBottom w:val="0"/>
      <w:divBdr>
        <w:top w:val="none" w:sz="0" w:space="0" w:color="auto"/>
        <w:left w:val="none" w:sz="0" w:space="0" w:color="auto"/>
        <w:bottom w:val="none" w:sz="0" w:space="0" w:color="auto"/>
        <w:right w:val="none" w:sz="0" w:space="0" w:color="auto"/>
      </w:divBdr>
    </w:div>
    <w:div w:id="2046982707">
      <w:bodyDiv w:val="1"/>
      <w:marLeft w:val="0"/>
      <w:marRight w:val="0"/>
      <w:marTop w:val="0"/>
      <w:marBottom w:val="0"/>
      <w:divBdr>
        <w:top w:val="none" w:sz="0" w:space="0" w:color="auto"/>
        <w:left w:val="none" w:sz="0" w:space="0" w:color="auto"/>
        <w:bottom w:val="none" w:sz="0" w:space="0" w:color="auto"/>
        <w:right w:val="none" w:sz="0" w:space="0" w:color="auto"/>
      </w:divBdr>
    </w:div>
    <w:div w:id="2051998666">
      <w:bodyDiv w:val="1"/>
      <w:marLeft w:val="0"/>
      <w:marRight w:val="0"/>
      <w:marTop w:val="0"/>
      <w:marBottom w:val="0"/>
      <w:divBdr>
        <w:top w:val="none" w:sz="0" w:space="0" w:color="auto"/>
        <w:left w:val="none" w:sz="0" w:space="0" w:color="auto"/>
        <w:bottom w:val="none" w:sz="0" w:space="0" w:color="auto"/>
        <w:right w:val="none" w:sz="0" w:space="0" w:color="auto"/>
      </w:divBdr>
    </w:div>
    <w:div w:id="2058696300">
      <w:bodyDiv w:val="1"/>
      <w:marLeft w:val="0"/>
      <w:marRight w:val="0"/>
      <w:marTop w:val="0"/>
      <w:marBottom w:val="0"/>
      <w:divBdr>
        <w:top w:val="none" w:sz="0" w:space="0" w:color="auto"/>
        <w:left w:val="none" w:sz="0" w:space="0" w:color="auto"/>
        <w:bottom w:val="none" w:sz="0" w:space="0" w:color="auto"/>
        <w:right w:val="none" w:sz="0" w:space="0" w:color="auto"/>
      </w:divBdr>
    </w:div>
    <w:div w:id="2070490019">
      <w:bodyDiv w:val="1"/>
      <w:marLeft w:val="0"/>
      <w:marRight w:val="0"/>
      <w:marTop w:val="0"/>
      <w:marBottom w:val="0"/>
      <w:divBdr>
        <w:top w:val="none" w:sz="0" w:space="0" w:color="auto"/>
        <w:left w:val="none" w:sz="0" w:space="0" w:color="auto"/>
        <w:bottom w:val="none" w:sz="0" w:space="0" w:color="auto"/>
        <w:right w:val="none" w:sz="0" w:space="0" w:color="auto"/>
      </w:divBdr>
    </w:div>
    <w:div w:id="2076274325">
      <w:bodyDiv w:val="1"/>
      <w:marLeft w:val="0"/>
      <w:marRight w:val="0"/>
      <w:marTop w:val="0"/>
      <w:marBottom w:val="0"/>
      <w:divBdr>
        <w:top w:val="none" w:sz="0" w:space="0" w:color="auto"/>
        <w:left w:val="none" w:sz="0" w:space="0" w:color="auto"/>
        <w:bottom w:val="none" w:sz="0" w:space="0" w:color="auto"/>
        <w:right w:val="none" w:sz="0" w:space="0" w:color="auto"/>
      </w:divBdr>
    </w:div>
    <w:div w:id="2078431707">
      <w:bodyDiv w:val="1"/>
      <w:marLeft w:val="0"/>
      <w:marRight w:val="0"/>
      <w:marTop w:val="0"/>
      <w:marBottom w:val="0"/>
      <w:divBdr>
        <w:top w:val="none" w:sz="0" w:space="0" w:color="auto"/>
        <w:left w:val="none" w:sz="0" w:space="0" w:color="auto"/>
        <w:bottom w:val="none" w:sz="0" w:space="0" w:color="auto"/>
        <w:right w:val="none" w:sz="0" w:space="0" w:color="auto"/>
      </w:divBdr>
    </w:div>
    <w:div w:id="2126924673">
      <w:bodyDiv w:val="1"/>
      <w:marLeft w:val="0"/>
      <w:marRight w:val="0"/>
      <w:marTop w:val="0"/>
      <w:marBottom w:val="0"/>
      <w:divBdr>
        <w:top w:val="none" w:sz="0" w:space="0" w:color="auto"/>
        <w:left w:val="none" w:sz="0" w:space="0" w:color="auto"/>
        <w:bottom w:val="none" w:sz="0" w:space="0" w:color="auto"/>
        <w:right w:val="none" w:sz="0" w:space="0" w:color="auto"/>
      </w:divBdr>
    </w:div>
    <w:div w:id="212966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8073b6-3c35-47ec-bd0a-a1d0ba8cbf8f" xsi:nil="true"/>
    <lcf76f155ced4ddcb4097134ff3c332f xmlns="bde1a614-31f7-438d-beec-b6de3b6557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A3FC1E26E3BA4A907FBEE7D1494596" ma:contentTypeVersion="18" ma:contentTypeDescription="Create a new document." ma:contentTypeScope="" ma:versionID="8cbf9e9908a544af8761f7a941c65158">
  <xsd:schema xmlns:xsd="http://www.w3.org/2001/XMLSchema" xmlns:xs="http://www.w3.org/2001/XMLSchema" xmlns:p="http://schemas.microsoft.com/office/2006/metadata/properties" xmlns:ns2="bde1a614-31f7-438d-beec-b6de3b6557e4" xmlns:ns3="3e8073b6-3c35-47ec-bd0a-a1d0ba8cbf8f" targetNamespace="http://schemas.microsoft.com/office/2006/metadata/properties" ma:root="true" ma:fieldsID="1d31d5e06603306b38ed04d7d2438d06" ns2:_="" ns3:_="">
    <xsd:import namespace="bde1a614-31f7-438d-beec-b6de3b6557e4"/>
    <xsd:import namespace="3e8073b6-3c35-47ec-bd0a-a1d0ba8cbf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1a614-31f7-438d-beec-b6de3b655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ca36d1-af7c-46e5-adbe-7b61b864ef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073b6-3c35-47ec-bd0a-a1d0ba8cbf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36ed16-71c4-47f9-989c-d735444cd7e8}" ma:internalName="TaxCatchAll" ma:showField="CatchAllData" ma:web="3e8073b6-3c35-47ec-bd0a-a1d0ba8cbf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Swo15</b:Tag>
    <b:SourceType>Report</b:SourceType>
    <b:Guid>{A916264D-6F2B-4987-8B11-6F8548FF7E28}</b:Guid>
    <b:Title>Technical Assistance for Better Air Quality by Transposing the Large Combustion Plant Directive Regulatory Impact Assessment Report</b:Title>
    <b:Year>2015</b:Year>
    <b:Publisher>Turkish Ministry of Environment, Urbanization and Climate Change (MoEUCC)</b:Publisher>
    <b:City>Ankara</b:City>
    <b:Author>
      <b:Author>
        <b:NameList>
          <b:Person>
            <b:Last>Swords</b:Last>
            <b:First>Pat</b:First>
          </b:Person>
        </b:NameList>
      </b:Author>
    </b:Author>
    <b:RefOrder>5</b:RefOrder>
  </b:Source>
  <b:Source>
    <b:Tag>TCC19</b:Tag>
    <b:SourceType>Report</b:SourceType>
    <b:Guid>{69D53DFF-7548-4256-BE97-0AA0B092DCDE}</b:Guid>
    <b:Title>Eleventh Development Plan of Türkiye  (2019-2023)</b:Title>
    <b:Year>2019</b:Year>
    <b:Author>
      <b:Author>
        <b:NameList>
          <b:Person>
            <b:Last>T.C. Cumhurbaşkanlığı Strateji ve Bütçe Başkanlığı</b:Last>
          </b:Person>
        </b:NameList>
      </b:Author>
    </b:Author>
    <b:RefOrder>8</b:RefOrder>
  </b:Source>
  <b:Source>
    <b:Tag>Int21</b:Tag>
    <b:SourceType>Report</b:SourceType>
    <b:Guid>{1519E98D-3453-4D87-B76F-56D24CB0C1D3}</b:Guid>
    <b:Title>Turkey 2021 Energy Policy Review</b:Title>
    <b:Year>2021</b:Year>
    <b:Author>
      <b:Author>
        <b:NameList>
          <b:Person>
            <b:Last>International Energy Agency</b:Last>
          </b:Person>
        </b:NameList>
      </b:Author>
    </b:Author>
    <b:RefOrder>9</b:RefOrder>
  </b:Source>
  <b:Source>
    <b:Tag>Bou21</b:Tag>
    <b:SourceType>Report</b:SourceType>
    <b:Guid>{D33C8B87-6B01-4400-8009-02798D9B22A1}</b:Guid>
    <b:Title>Net Zero by 2050, A Roadmap for the Global Energy Sector</b:Title>
    <b:Year>2021</b:Year>
    <b:Publisher>International Energy Agency</b:Publisher>
    <b:Author>
      <b:Author>
        <b:NameList>
          <b:Person>
            <b:Last>Bouckaert</b:Last>
            <b:First>Stéphanie </b:First>
          </b:Person>
          <b:Person>
            <b:Last>Pales</b:Last>
            <b:First>Araceli Fernandez</b:First>
          </b:Person>
          <b:Person>
            <b:Last>McGlade</b:Last>
            <b:First>Christophe </b:First>
          </b:Person>
          <b:Person>
            <b:Last>Remme </b:Last>
            <b:First>Uwe </b:First>
          </b:Person>
          <b:Person>
            <b:Last>Wanner</b:Last>
            <b:First>Brent </b:First>
          </b:Person>
          <b:Person>
            <b:Last>Varro</b:Last>
            <b:First>Laszlo </b:First>
          </b:Person>
          <b:Person>
            <b:Last>D’Ambrosio</b:Last>
            <b:First>Davide </b:First>
          </b:Person>
          <b:Person>
            <b:Last>Spencer</b:Last>
            <b:First>Thomas </b:First>
          </b:Person>
          <b:Person>
            <b:Last>Abergel </b:Last>
            <b:First>Thibaut </b:First>
          </b:Person>
          <b:Person>
            <b:Last>Arsalane </b:Last>
            <b:First>Yasmine </b:First>
          </b:Person>
          <b:Person>
            <b:Last>Bains </b:Last>
            <b:First>Praveen </b:First>
          </b:Person>
          <b:Person>
            <b:Last>Bermudez Menendez </b:Last>
            <b:First>Jose Miguel</b:First>
          </b:Person>
          <b:Person>
            <b:Last>Connelly </b:Last>
            <b:First>Elizabeth </b:First>
          </b:Person>
          <b:Person>
            <b:Last>Crow </b:Last>
            <b:First>Daniel </b:First>
          </b:Person>
          <b:Person>
            <b:Last>Dasgupta </b:Last>
            <b:First>Amrita </b:First>
          </b:Person>
          <b:Person>
            <b:Last>Delmastro </b:Last>
            <b:First>Chiara </b:First>
          </b:Person>
          <b:Person>
            <b:Last>Goodson </b:Last>
            <b:First>Timothy </b:First>
          </b:Person>
          <b:Person>
            <b:Last>Gouy</b:Last>
            <b:First>Alexandre </b:First>
          </b:Person>
          <b:Person>
            <b:Last>Hugues </b:Last>
            <b:First>Paul </b:First>
          </b:Person>
          <b:Person>
            <b:Last>Lee </b:Last>
            <b:First>Lilly </b:First>
          </b:Person>
          <b:Person>
            <b:Last>Levi </b:Last>
            <b:First>Peter </b:First>
          </b:Person>
          <b:Person>
            <b:Last>Mandova </b:Last>
            <b:First>Hana </b:First>
          </b:Person>
          <b:Person>
            <b:Last>Millot </b:Last>
            <b:First>Ariane </b:First>
          </b:Person>
          <b:Person>
            <b:Last>Olejarnik </b:Last>
            <b:First>Paweł </b:First>
          </b:Person>
          <b:Person>
            <b:Last>Paoli </b:Last>
            <b:First>Leonardo </b:First>
          </b:Person>
          <b:Person>
            <b:Last>Papadimoulis </b:Last>
            <b:First>Faidon </b:First>
          </b:Person>
          <b:Person>
            <b:Last>Papapanagiotou </b:Last>
            <b:First>Sebastian </b:First>
          </b:Person>
          <b:Person>
            <b:Last>Pavan </b:Last>
            <b:First>Francesco </b:First>
          </b:Person>
          <b:Person>
            <b:Last>Petropoulos </b:Last>
            <b:First>Apostolos </b:First>
          </b:Person>
          <b:Person>
            <b:Last>Pośpiech </b:Last>
            <b:First>Ryszard </b:First>
          </b:Person>
          <b:Person>
            <b:Last>Staas</b:Last>
            <b:First>Leonie </b:First>
          </b:Person>
          <b:Person>
            <b:Last>Tattini </b:Last>
            <b:First>Jacopo </b:First>
          </b:Person>
          <b:Person>
            <b:Last>Teter </b:Last>
            <b:First>Jacob</b:First>
          </b:Person>
          <b:Person>
            <b:Last>Tonolo</b:Last>
            <b:First>Gianluca </b:First>
          </b:Person>
          <b:Person>
            <b:Last>Vass </b:Last>
            <b:First>Tiffany </b:First>
          </b:Person>
          <b:Person>
            <b:Last>Wetzel</b:Last>
            <b:First>Daniel </b:First>
          </b:Person>
        </b:NameList>
      </b:Author>
    </b:Author>
    <b:RefOrder>10</b:RefOrder>
  </b:Source>
  <b:Source>
    <b:Tag>Alp17</b:Tag>
    <b:SourceType>Report</b:SourceType>
    <b:Guid>{9037E0DB-BF14-4F85-AB90-4C6BDECD515E}</b:Guid>
    <b:Title>ENTEGRE ÇEVRE (EÇİ) TABİ ÇİMENTO ÜRETİM TESİSLERİNİN UYUM DURUMLARI VE GEREKLİLİKLERİN BELİRLENMESİ PROJESİ Nihai Rapor</b:Title>
    <b:Year>2017</b:Year>
    <b:Publisher>Ministry of Environment, Urbanization and Climate Change</b:Publisher>
    <b:City>Ankara</b:City>
    <b:Author>
      <b:Author>
        <b:NameList>
          <b:Person>
            <b:Last>Alp</b:Last>
            <b:First>Kadir</b:First>
          </b:Person>
          <b:Person>
            <b:Last>Toröz</b:Last>
            <b:First>İsmail</b:First>
          </b:Person>
          <b:Person>
            <b:Last>Okutan</b:Last>
            <b:First>Hasancan</b:First>
          </b:Person>
          <b:Person>
            <b:Last>Bayburtlu</b:Last>
            <b:First>Kadir</b:First>
          </b:Person>
          <b:Person>
            <b:Last>Özkul</b:Last>
            <b:First>Doğan</b:First>
          </b:Person>
          <b:Person>
            <b:Last>Dertli</b:Last>
            <b:First>Halil</b:First>
          </b:Person>
          <b:Person>
            <b:Last>Erşahin</b:Last>
            <b:First>Evren</b:First>
          </b:Person>
          <b:Person>
            <b:Last>Dereli</b:Last>
            <b:First>Kaan</b:First>
          </b:Person>
          <b:Person>
            <b:Last>Özgün</b:Last>
            <b:First>Hale</b:First>
          </b:Person>
          <b:Person>
            <b:Last>Özabalı Sabuncugil</b:Last>
            <b:First>Aslı</b:First>
          </b:Person>
        </b:NameList>
      </b:Author>
    </b:Author>
    <b:RefOrder>6</b:RefOrder>
  </b:Source>
  <b:Source>
    <b:Tag>IPP21</b:Tag>
    <b:SourceType>Report</b:SourceType>
    <b:Guid>{E743F193-454E-4B2C-86BB-404267A4AE59}</b:Guid>
    <b:LCID>en-US</b:LCID>
    <b:Author>
      <b:Author>
        <b:Corporate>IPPC METAL</b:Corporate>
      </b:Author>
    </b:Author>
    <b:Title>The Final Report for the Project of Evaluation of Metal Production and Processing Facilities within the Scope of IPPC</b:Title>
    <b:Year>2021</b:Year>
    <b:City>Ankara</b:City>
    <b:RefOrder>1</b:RefOrder>
  </b:Source>
  <b:Source>
    <b:Tag>BES20</b:Tag>
    <b:SourceType>Report</b:SourceType>
    <b:Guid>{F8351693-8AE0-463D-8E1A-4D548459DEAC}</b:Guid>
    <b:LCID>en-US</b:LCID>
    <b:Author>
      <b:Author>
        <b:Corporate>BESTU</b:Corporate>
      </b:Author>
    </b:Author>
    <b:Title>Belirli Sektörlerde Temiz Üretim Uygulamaları Projesi Final Raporu</b:Title>
    <b:Year>2020</b:Year>
    <b:Publisher>Çevre ve Şehircilik Bakanlığı - ODTÜ</b:Publisher>
    <b:City>Ankara</b:City>
    <b:RefOrder>7</b:RefOrder>
  </b:Source>
  <b:Source>
    <b:Tag>Aut16</b:Tag>
    <b:SourceType>Report</b:SourceType>
    <b:Guid>{0A5124C7-E776-45C6-ACA8-574295099CA3}</b:Guid>
    <b:LCID>en-US</b:LCID>
    <b:Author>
      <b:Author>
        <b:Corporate>Automotive Project</b:Corporate>
      </b:Author>
    </b:Author>
    <b:Title>Entegre Çevre İznine (EÇİ) Tabi Otomotiv Üretim Tesislerinin Uyum Durumları ve Gerekliliklerinin Belirlenmesi Projesi</b:Title>
    <b:Year>2016</b:Year>
    <b:Publisher>Çevre ve Şehircilik Bakanlığı - Ankara Yıldırım Beyazıt Üniversitesi</b:Publisher>
    <b:RefOrder>11</b:RefOrder>
  </b:Source>
  <b:Source>
    <b:Tag>Eur1</b:Tag>
    <b:SourceType>InternetSite</b:SourceType>
    <b:Guid>{DAE9D8B6-E500-4948-8BE3-692242202078}</b:Guid>
    <b:Author>
      <b:Author>
        <b:Corporate>European Commission</b:Corporate>
      </b:Author>
    </b:Author>
    <b:Title>Revision of the IPPC Directive</b:Title>
    <b:URL>https://ec.europa.eu/environment/archives/air/stationary/ippc/ippc_revision.htm</b:URL>
    <b:RefOrder>3</b:RefOrder>
  </b:Source>
  <b:Source>
    <b:Tag>Eur15</b:Tag>
    <b:SourceType>Report</b:SourceType>
    <b:Guid>{EFF7853B-FED7-4D84-868D-3A63A19D8C6E}</b:Guid>
    <b:Title>Study to analyse differences in costs of implementing EU policy</b:Title>
    <b:Year>2015</b:Year>
    <b:Author>
      <b:Author>
        <b:Corporate>European Commission</b:Corporate>
      </b:Author>
    </b:Author>
    <b:RefOrder>4</b:RefOrder>
  </b:Source>
  <b:Source>
    <b:Tag>ONe22</b:Tag>
    <b:SourceType>InternetSite</b:SourceType>
    <b:Guid>{48831B88-260E-4D1B-AC9A-DC0C8661D6AC}</b:Guid>
    <b:Title>Statista</b:Title>
    <b:Year>2022</b:Year>
    <b:LCID>en-US</b:LCID>
    <b:Author>
      <b:Author>
        <b:NameList>
          <b:Person>
            <b:Last>O'Neill</b:Last>
            <b:First>Aaron</b:First>
          </b:Person>
        </b:NameList>
      </b:Author>
    </b:Author>
    <b:Month>July</b:Month>
    <b:Day>27</b:Day>
    <b:URL>https://www.statista.com/statistics/267908/inflation-rate-in-eu-and-euro-area/</b:URL>
    <b:RefOrder>2</b:RefOrder>
  </b:Source>
</b:Sources>
</file>

<file path=customXml/itemProps1.xml><?xml version="1.0" encoding="utf-8"?>
<ds:datastoreItem xmlns:ds="http://schemas.openxmlformats.org/officeDocument/2006/customXml" ds:itemID="{09C81B57-3741-43E9-868E-F92E8B93A4B1}">
  <ds:schemaRefs>
    <ds:schemaRef ds:uri="http://schemas.microsoft.com/office/2006/metadata/properties"/>
    <ds:schemaRef ds:uri="http://schemas.microsoft.com/office/infopath/2007/PartnerControls"/>
    <ds:schemaRef ds:uri="3e8073b6-3c35-47ec-bd0a-a1d0ba8cbf8f"/>
    <ds:schemaRef ds:uri="bde1a614-31f7-438d-beec-b6de3b6557e4"/>
  </ds:schemaRefs>
</ds:datastoreItem>
</file>

<file path=customXml/itemProps2.xml><?xml version="1.0" encoding="utf-8"?>
<ds:datastoreItem xmlns:ds="http://schemas.openxmlformats.org/officeDocument/2006/customXml" ds:itemID="{F7D7B776-7199-48AD-BD4C-4111F31D2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1a614-31f7-438d-beec-b6de3b6557e4"/>
    <ds:schemaRef ds:uri="3e8073b6-3c35-47ec-bd0a-a1d0ba8cb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26ECA-DF89-4AAE-BA18-EF2F11016261}">
  <ds:schemaRefs>
    <ds:schemaRef ds:uri="http://schemas.microsoft.com/sharepoint/v3/contenttype/forms"/>
  </ds:schemaRefs>
</ds:datastoreItem>
</file>

<file path=customXml/itemProps4.xml><?xml version="1.0" encoding="utf-8"?>
<ds:datastoreItem xmlns:ds="http://schemas.openxmlformats.org/officeDocument/2006/customXml" ds:itemID="{4F7F59EB-92FA-443E-A755-A31605B8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234</Pages>
  <Words>74665</Words>
  <Characters>425593</Characters>
  <Application>Microsoft Office Word</Application>
  <DocSecurity>0</DocSecurity>
  <Lines>3546</Lines>
  <Paragraphs>998</Paragraphs>
  <ScaleCrop>false</ScaleCrop>
  <HeadingPairs>
    <vt:vector size="6" baseType="variant">
      <vt:variant>
        <vt:lpstr>Konu Başlığı</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499260</CharactersWithSpaces>
  <SharedDoc>false</SharedDoc>
  <HLinks>
    <vt:vector size="546" baseType="variant">
      <vt:variant>
        <vt:i4>917587</vt:i4>
      </vt:variant>
      <vt:variant>
        <vt:i4>648</vt:i4>
      </vt:variant>
      <vt:variant>
        <vt:i4>0</vt:i4>
      </vt:variant>
      <vt:variant>
        <vt:i4>5</vt:i4>
      </vt:variant>
      <vt:variant>
        <vt:lpwstr>https://eippcb.jrc.ec.europa.eu/reference/non-ferrous-metals-industries-0</vt:lpwstr>
      </vt:variant>
      <vt:variant>
        <vt:lpwstr/>
      </vt:variant>
      <vt:variant>
        <vt:i4>8126518</vt:i4>
      </vt:variant>
      <vt:variant>
        <vt:i4>510</vt:i4>
      </vt:variant>
      <vt:variant>
        <vt:i4>0</vt:i4>
      </vt:variant>
      <vt:variant>
        <vt:i4>5</vt:i4>
      </vt:variant>
      <vt:variant>
        <vt:lpwstr>https://tureng.com/en/turkish-english/independent industrialists and businessmen's association</vt:lpwstr>
      </vt:variant>
      <vt:variant>
        <vt:lpwstr/>
      </vt:variant>
      <vt:variant>
        <vt:i4>1703996</vt:i4>
      </vt:variant>
      <vt:variant>
        <vt:i4>503</vt:i4>
      </vt:variant>
      <vt:variant>
        <vt:i4>0</vt:i4>
      </vt:variant>
      <vt:variant>
        <vt:i4>5</vt:i4>
      </vt:variant>
      <vt:variant>
        <vt:lpwstr/>
      </vt:variant>
      <vt:variant>
        <vt:lpwstr>_Toc109738726</vt:lpwstr>
      </vt:variant>
      <vt:variant>
        <vt:i4>1703996</vt:i4>
      </vt:variant>
      <vt:variant>
        <vt:i4>497</vt:i4>
      </vt:variant>
      <vt:variant>
        <vt:i4>0</vt:i4>
      </vt:variant>
      <vt:variant>
        <vt:i4>5</vt:i4>
      </vt:variant>
      <vt:variant>
        <vt:lpwstr/>
      </vt:variant>
      <vt:variant>
        <vt:lpwstr>_Toc109738725</vt:lpwstr>
      </vt:variant>
      <vt:variant>
        <vt:i4>1703996</vt:i4>
      </vt:variant>
      <vt:variant>
        <vt:i4>491</vt:i4>
      </vt:variant>
      <vt:variant>
        <vt:i4>0</vt:i4>
      </vt:variant>
      <vt:variant>
        <vt:i4>5</vt:i4>
      </vt:variant>
      <vt:variant>
        <vt:lpwstr/>
      </vt:variant>
      <vt:variant>
        <vt:lpwstr>_Toc109738724</vt:lpwstr>
      </vt:variant>
      <vt:variant>
        <vt:i4>1703996</vt:i4>
      </vt:variant>
      <vt:variant>
        <vt:i4>485</vt:i4>
      </vt:variant>
      <vt:variant>
        <vt:i4>0</vt:i4>
      </vt:variant>
      <vt:variant>
        <vt:i4>5</vt:i4>
      </vt:variant>
      <vt:variant>
        <vt:lpwstr/>
      </vt:variant>
      <vt:variant>
        <vt:lpwstr>_Toc109738723</vt:lpwstr>
      </vt:variant>
      <vt:variant>
        <vt:i4>1703996</vt:i4>
      </vt:variant>
      <vt:variant>
        <vt:i4>479</vt:i4>
      </vt:variant>
      <vt:variant>
        <vt:i4>0</vt:i4>
      </vt:variant>
      <vt:variant>
        <vt:i4>5</vt:i4>
      </vt:variant>
      <vt:variant>
        <vt:lpwstr/>
      </vt:variant>
      <vt:variant>
        <vt:lpwstr>_Toc109738722</vt:lpwstr>
      </vt:variant>
      <vt:variant>
        <vt:i4>1703996</vt:i4>
      </vt:variant>
      <vt:variant>
        <vt:i4>473</vt:i4>
      </vt:variant>
      <vt:variant>
        <vt:i4>0</vt:i4>
      </vt:variant>
      <vt:variant>
        <vt:i4>5</vt:i4>
      </vt:variant>
      <vt:variant>
        <vt:lpwstr/>
      </vt:variant>
      <vt:variant>
        <vt:lpwstr>_Toc109738721</vt:lpwstr>
      </vt:variant>
      <vt:variant>
        <vt:i4>1703996</vt:i4>
      </vt:variant>
      <vt:variant>
        <vt:i4>467</vt:i4>
      </vt:variant>
      <vt:variant>
        <vt:i4>0</vt:i4>
      </vt:variant>
      <vt:variant>
        <vt:i4>5</vt:i4>
      </vt:variant>
      <vt:variant>
        <vt:lpwstr/>
      </vt:variant>
      <vt:variant>
        <vt:lpwstr>_Toc109738720</vt:lpwstr>
      </vt:variant>
      <vt:variant>
        <vt:i4>1638460</vt:i4>
      </vt:variant>
      <vt:variant>
        <vt:i4>461</vt:i4>
      </vt:variant>
      <vt:variant>
        <vt:i4>0</vt:i4>
      </vt:variant>
      <vt:variant>
        <vt:i4>5</vt:i4>
      </vt:variant>
      <vt:variant>
        <vt:lpwstr/>
      </vt:variant>
      <vt:variant>
        <vt:lpwstr>_Toc109738719</vt:lpwstr>
      </vt:variant>
      <vt:variant>
        <vt:i4>1966140</vt:i4>
      </vt:variant>
      <vt:variant>
        <vt:i4>452</vt:i4>
      </vt:variant>
      <vt:variant>
        <vt:i4>0</vt:i4>
      </vt:variant>
      <vt:variant>
        <vt:i4>5</vt:i4>
      </vt:variant>
      <vt:variant>
        <vt:lpwstr/>
      </vt:variant>
      <vt:variant>
        <vt:lpwstr>_Toc109737794</vt:lpwstr>
      </vt:variant>
      <vt:variant>
        <vt:i4>1966140</vt:i4>
      </vt:variant>
      <vt:variant>
        <vt:i4>446</vt:i4>
      </vt:variant>
      <vt:variant>
        <vt:i4>0</vt:i4>
      </vt:variant>
      <vt:variant>
        <vt:i4>5</vt:i4>
      </vt:variant>
      <vt:variant>
        <vt:lpwstr/>
      </vt:variant>
      <vt:variant>
        <vt:lpwstr>_Toc109737793</vt:lpwstr>
      </vt:variant>
      <vt:variant>
        <vt:i4>1966140</vt:i4>
      </vt:variant>
      <vt:variant>
        <vt:i4>440</vt:i4>
      </vt:variant>
      <vt:variant>
        <vt:i4>0</vt:i4>
      </vt:variant>
      <vt:variant>
        <vt:i4>5</vt:i4>
      </vt:variant>
      <vt:variant>
        <vt:lpwstr/>
      </vt:variant>
      <vt:variant>
        <vt:lpwstr>_Toc109737792</vt:lpwstr>
      </vt:variant>
      <vt:variant>
        <vt:i4>1966140</vt:i4>
      </vt:variant>
      <vt:variant>
        <vt:i4>434</vt:i4>
      </vt:variant>
      <vt:variant>
        <vt:i4>0</vt:i4>
      </vt:variant>
      <vt:variant>
        <vt:i4>5</vt:i4>
      </vt:variant>
      <vt:variant>
        <vt:lpwstr/>
      </vt:variant>
      <vt:variant>
        <vt:lpwstr>_Toc109737791</vt:lpwstr>
      </vt:variant>
      <vt:variant>
        <vt:i4>1966140</vt:i4>
      </vt:variant>
      <vt:variant>
        <vt:i4>428</vt:i4>
      </vt:variant>
      <vt:variant>
        <vt:i4>0</vt:i4>
      </vt:variant>
      <vt:variant>
        <vt:i4>5</vt:i4>
      </vt:variant>
      <vt:variant>
        <vt:lpwstr/>
      </vt:variant>
      <vt:variant>
        <vt:lpwstr>_Toc109737790</vt:lpwstr>
      </vt:variant>
      <vt:variant>
        <vt:i4>2031676</vt:i4>
      </vt:variant>
      <vt:variant>
        <vt:i4>422</vt:i4>
      </vt:variant>
      <vt:variant>
        <vt:i4>0</vt:i4>
      </vt:variant>
      <vt:variant>
        <vt:i4>5</vt:i4>
      </vt:variant>
      <vt:variant>
        <vt:lpwstr/>
      </vt:variant>
      <vt:variant>
        <vt:lpwstr>_Toc109737789</vt:lpwstr>
      </vt:variant>
      <vt:variant>
        <vt:i4>2031676</vt:i4>
      </vt:variant>
      <vt:variant>
        <vt:i4>416</vt:i4>
      </vt:variant>
      <vt:variant>
        <vt:i4>0</vt:i4>
      </vt:variant>
      <vt:variant>
        <vt:i4>5</vt:i4>
      </vt:variant>
      <vt:variant>
        <vt:lpwstr/>
      </vt:variant>
      <vt:variant>
        <vt:lpwstr>_Toc109737788</vt:lpwstr>
      </vt:variant>
      <vt:variant>
        <vt:i4>2031676</vt:i4>
      </vt:variant>
      <vt:variant>
        <vt:i4>410</vt:i4>
      </vt:variant>
      <vt:variant>
        <vt:i4>0</vt:i4>
      </vt:variant>
      <vt:variant>
        <vt:i4>5</vt:i4>
      </vt:variant>
      <vt:variant>
        <vt:lpwstr/>
      </vt:variant>
      <vt:variant>
        <vt:lpwstr>_Toc109737787</vt:lpwstr>
      </vt:variant>
      <vt:variant>
        <vt:i4>2031676</vt:i4>
      </vt:variant>
      <vt:variant>
        <vt:i4>404</vt:i4>
      </vt:variant>
      <vt:variant>
        <vt:i4>0</vt:i4>
      </vt:variant>
      <vt:variant>
        <vt:i4>5</vt:i4>
      </vt:variant>
      <vt:variant>
        <vt:lpwstr/>
      </vt:variant>
      <vt:variant>
        <vt:lpwstr>_Toc109737786</vt:lpwstr>
      </vt:variant>
      <vt:variant>
        <vt:i4>2031676</vt:i4>
      </vt:variant>
      <vt:variant>
        <vt:i4>398</vt:i4>
      </vt:variant>
      <vt:variant>
        <vt:i4>0</vt:i4>
      </vt:variant>
      <vt:variant>
        <vt:i4>5</vt:i4>
      </vt:variant>
      <vt:variant>
        <vt:lpwstr/>
      </vt:variant>
      <vt:variant>
        <vt:lpwstr>_Toc109737785</vt:lpwstr>
      </vt:variant>
      <vt:variant>
        <vt:i4>2031676</vt:i4>
      </vt:variant>
      <vt:variant>
        <vt:i4>392</vt:i4>
      </vt:variant>
      <vt:variant>
        <vt:i4>0</vt:i4>
      </vt:variant>
      <vt:variant>
        <vt:i4>5</vt:i4>
      </vt:variant>
      <vt:variant>
        <vt:lpwstr/>
      </vt:variant>
      <vt:variant>
        <vt:lpwstr>_Toc109737784</vt:lpwstr>
      </vt:variant>
      <vt:variant>
        <vt:i4>2031676</vt:i4>
      </vt:variant>
      <vt:variant>
        <vt:i4>386</vt:i4>
      </vt:variant>
      <vt:variant>
        <vt:i4>0</vt:i4>
      </vt:variant>
      <vt:variant>
        <vt:i4>5</vt:i4>
      </vt:variant>
      <vt:variant>
        <vt:lpwstr/>
      </vt:variant>
      <vt:variant>
        <vt:lpwstr>_Toc109737783</vt:lpwstr>
      </vt:variant>
      <vt:variant>
        <vt:i4>2031676</vt:i4>
      </vt:variant>
      <vt:variant>
        <vt:i4>380</vt:i4>
      </vt:variant>
      <vt:variant>
        <vt:i4>0</vt:i4>
      </vt:variant>
      <vt:variant>
        <vt:i4>5</vt:i4>
      </vt:variant>
      <vt:variant>
        <vt:lpwstr/>
      </vt:variant>
      <vt:variant>
        <vt:lpwstr>_Toc109737782</vt:lpwstr>
      </vt:variant>
      <vt:variant>
        <vt:i4>2031676</vt:i4>
      </vt:variant>
      <vt:variant>
        <vt:i4>374</vt:i4>
      </vt:variant>
      <vt:variant>
        <vt:i4>0</vt:i4>
      </vt:variant>
      <vt:variant>
        <vt:i4>5</vt:i4>
      </vt:variant>
      <vt:variant>
        <vt:lpwstr/>
      </vt:variant>
      <vt:variant>
        <vt:lpwstr>_Toc109737781</vt:lpwstr>
      </vt:variant>
      <vt:variant>
        <vt:i4>2031676</vt:i4>
      </vt:variant>
      <vt:variant>
        <vt:i4>368</vt:i4>
      </vt:variant>
      <vt:variant>
        <vt:i4>0</vt:i4>
      </vt:variant>
      <vt:variant>
        <vt:i4>5</vt:i4>
      </vt:variant>
      <vt:variant>
        <vt:lpwstr/>
      </vt:variant>
      <vt:variant>
        <vt:lpwstr>_Toc109737780</vt:lpwstr>
      </vt:variant>
      <vt:variant>
        <vt:i4>1048636</vt:i4>
      </vt:variant>
      <vt:variant>
        <vt:i4>362</vt:i4>
      </vt:variant>
      <vt:variant>
        <vt:i4>0</vt:i4>
      </vt:variant>
      <vt:variant>
        <vt:i4>5</vt:i4>
      </vt:variant>
      <vt:variant>
        <vt:lpwstr/>
      </vt:variant>
      <vt:variant>
        <vt:lpwstr>_Toc109737779</vt:lpwstr>
      </vt:variant>
      <vt:variant>
        <vt:i4>1048636</vt:i4>
      </vt:variant>
      <vt:variant>
        <vt:i4>356</vt:i4>
      </vt:variant>
      <vt:variant>
        <vt:i4>0</vt:i4>
      </vt:variant>
      <vt:variant>
        <vt:i4>5</vt:i4>
      </vt:variant>
      <vt:variant>
        <vt:lpwstr/>
      </vt:variant>
      <vt:variant>
        <vt:lpwstr>_Toc109737778</vt:lpwstr>
      </vt:variant>
      <vt:variant>
        <vt:i4>1048636</vt:i4>
      </vt:variant>
      <vt:variant>
        <vt:i4>350</vt:i4>
      </vt:variant>
      <vt:variant>
        <vt:i4>0</vt:i4>
      </vt:variant>
      <vt:variant>
        <vt:i4>5</vt:i4>
      </vt:variant>
      <vt:variant>
        <vt:lpwstr/>
      </vt:variant>
      <vt:variant>
        <vt:lpwstr>_Toc109737777</vt:lpwstr>
      </vt:variant>
      <vt:variant>
        <vt:i4>1048636</vt:i4>
      </vt:variant>
      <vt:variant>
        <vt:i4>344</vt:i4>
      </vt:variant>
      <vt:variant>
        <vt:i4>0</vt:i4>
      </vt:variant>
      <vt:variant>
        <vt:i4>5</vt:i4>
      </vt:variant>
      <vt:variant>
        <vt:lpwstr/>
      </vt:variant>
      <vt:variant>
        <vt:lpwstr>_Toc109737776</vt:lpwstr>
      </vt:variant>
      <vt:variant>
        <vt:i4>1048636</vt:i4>
      </vt:variant>
      <vt:variant>
        <vt:i4>338</vt:i4>
      </vt:variant>
      <vt:variant>
        <vt:i4>0</vt:i4>
      </vt:variant>
      <vt:variant>
        <vt:i4>5</vt:i4>
      </vt:variant>
      <vt:variant>
        <vt:lpwstr/>
      </vt:variant>
      <vt:variant>
        <vt:lpwstr>_Toc109737775</vt:lpwstr>
      </vt:variant>
      <vt:variant>
        <vt:i4>1048636</vt:i4>
      </vt:variant>
      <vt:variant>
        <vt:i4>332</vt:i4>
      </vt:variant>
      <vt:variant>
        <vt:i4>0</vt:i4>
      </vt:variant>
      <vt:variant>
        <vt:i4>5</vt:i4>
      </vt:variant>
      <vt:variant>
        <vt:lpwstr/>
      </vt:variant>
      <vt:variant>
        <vt:lpwstr>_Toc109737774</vt:lpwstr>
      </vt:variant>
      <vt:variant>
        <vt:i4>1048636</vt:i4>
      </vt:variant>
      <vt:variant>
        <vt:i4>326</vt:i4>
      </vt:variant>
      <vt:variant>
        <vt:i4>0</vt:i4>
      </vt:variant>
      <vt:variant>
        <vt:i4>5</vt:i4>
      </vt:variant>
      <vt:variant>
        <vt:lpwstr/>
      </vt:variant>
      <vt:variant>
        <vt:lpwstr>_Toc109737773</vt:lpwstr>
      </vt:variant>
      <vt:variant>
        <vt:i4>1048636</vt:i4>
      </vt:variant>
      <vt:variant>
        <vt:i4>320</vt:i4>
      </vt:variant>
      <vt:variant>
        <vt:i4>0</vt:i4>
      </vt:variant>
      <vt:variant>
        <vt:i4>5</vt:i4>
      </vt:variant>
      <vt:variant>
        <vt:lpwstr/>
      </vt:variant>
      <vt:variant>
        <vt:lpwstr>_Toc109737772</vt:lpwstr>
      </vt:variant>
      <vt:variant>
        <vt:i4>1048636</vt:i4>
      </vt:variant>
      <vt:variant>
        <vt:i4>314</vt:i4>
      </vt:variant>
      <vt:variant>
        <vt:i4>0</vt:i4>
      </vt:variant>
      <vt:variant>
        <vt:i4>5</vt:i4>
      </vt:variant>
      <vt:variant>
        <vt:lpwstr/>
      </vt:variant>
      <vt:variant>
        <vt:lpwstr>_Toc109737771</vt:lpwstr>
      </vt:variant>
      <vt:variant>
        <vt:i4>1048636</vt:i4>
      </vt:variant>
      <vt:variant>
        <vt:i4>308</vt:i4>
      </vt:variant>
      <vt:variant>
        <vt:i4>0</vt:i4>
      </vt:variant>
      <vt:variant>
        <vt:i4>5</vt:i4>
      </vt:variant>
      <vt:variant>
        <vt:lpwstr/>
      </vt:variant>
      <vt:variant>
        <vt:lpwstr>_Toc109737770</vt:lpwstr>
      </vt:variant>
      <vt:variant>
        <vt:i4>1114172</vt:i4>
      </vt:variant>
      <vt:variant>
        <vt:i4>302</vt:i4>
      </vt:variant>
      <vt:variant>
        <vt:i4>0</vt:i4>
      </vt:variant>
      <vt:variant>
        <vt:i4>5</vt:i4>
      </vt:variant>
      <vt:variant>
        <vt:lpwstr/>
      </vt:variant>
      <vt:variant>
        <vt:lpwstr>_Toc109737769</vt:lpwstr>
      </vt:variant>
      <vt:variant>
        <vt:i4>1114172</vt:i4>
      </vt:variant>
      <vt:variant>
        <vt:i4>296</vt:i4>
      </vt:variant>
      <vt:variant>
        <vt:i4>0</vt:i4>
      </vt:variant>
      <vt:variant>
        <vt:i4>5</vt:i4>
      </vt:variant>
      <vt:variant>
        <vt:lpwstr/>
      </vt:variant>
      <vt:variant>
        <vt:lpwstr>_Toc109737768</vt:lpwstr>
      </vt:variant>
      <vt:variant>
        <vt:i4>1114172</vt:i4>
      </vt:variant>
      <vt:variant>
        <vt:i4>290</vt:i4>
      </vt:variant>
      <vt:variant>
        <vt:i4>0</vt:i4>
      </vt:variant>
      <vt:variant>
        <vt:i4>5</vt:i4>
      </vt:variant>
      <vt:variant>
        <vt:lpwstr/>
      </vt:variant>
      <vt:variant>
        <vt:lpwstr>_Toc109737767</vt:lpwstr>
      </vt:variant>
      <vt:variant>
        <vt:i4>1114172</vt:i4>
      </vt:variant>
      <vt:variant>
        <vt:i4>284</vt:i4>
      </vt:variant>
      <vt:variant>
        <vt:i4>0</vt:i4>
      </vt:variant>
      <vt:variant>
        <vt:i4>5</vt:i4>
      </vt:variant>
      <vt:variant>
        <vt:lpwstr/>
      </vt:variant>
      <vt:variant>
        <vt:lpwstr>_Toc109737766</vt:lpwstr>
      </vt:variant>
      <vt:variant>
        <vt:i4>1114172</vt:i4>
      </vt:variant>
      <vt:variant>
        <vt:i4>278</vt:i4>
      </vt:variant>
      <vt:variant>
        <vt:i4>0</vt:i4>
      </vt:variant>
      <vt:variant>
        <vt:i4>5</vt:i4>
      </vt:variant>
      <vt:variant>
        <vt:lpwstr/>
      </vt:variant>
      <vt:variant>
        <vt:lpwstr>_Toc109737765</vt:lpwstr>
      </vt:variant>
      <vt:variant>
        <vt:i4>1114172</vt:i4>
      </vt:variant>
      <vt:variant>
        <vt:i4>272</vt:i4>
      </vt:variant>
      <vt:variant>
        <vt:i4>0</vt:i4>
      </vt:variant>
      <vt:variant>
        <vt:i4>5</vt:i4>
      </vt:variant>
      <vt:variant>
        <vt:lpwstr/>
      </vt:variant>
      <vt:variant>
        <vt:lpwstr>_Toc109737764</vt:lpwstr>
      </vt:variant>
      <vt:variant>
        <vt:i4>1114172</vt:i4>
      </vt:variant>
      <vt:variant>
        <vt:i4>266</vt:i4>
      </vt:variant>
      <vt:variant>
        <vt:i4>0</vt:i4>
      </vt:variant>
      <vt:variant>
        <vt:i4>5</vt:i4>
      </vt:variant>
      <vt:variant>
        <vt:lpwstr/>
      </vt:variant>
      <vt:variant>
        <vt:lpwstr>_Toc109737763</vt:lpwstr>
      </vt:variant>
      <vt:variant>
        <vt:i4>1114172</vt:i4>
      </vt:variant>
      <vt:variant>
        <vt:i4>260</vt:i4>
      </vt:variant>
      <vt:variant>
        <vt:i4>0</vt:i4>
      </vt:variant>
      <vt:variant>
        <vt:i4>5</vt:i4>
      </vt:variant>
      <vt:variant>
        <vt:lpwstr/>
      </vt:variant>
      <vt:variant>
        <vt:lpwstr>_Toc109737762</vt:lpwstr>
      </vt:variant>
      <vt:variant>
        <vt:i4>1114172</vt:i4>
      </vt:variant>
      <vt:variant>
        <vt:i4>254</vt:i4>
      </vt:variant>
      <vt:variant>
        <vt:i4>0</vt:i4>
      </vt:variant>
      <vt:variant>
        <vt:i4>5</vt:i4>
      </vt:variant>
      <vt:variant>
        <vt:lpwstr/>
      </vt:variant>
      <vt:variant>
        <vt:lpwstr>_Toc109737761</vt:lpwstr>
      </vt:variant>
      <vt:variant>
        <vt:i4>1114172</vt:i4>
      </vt:variant>
      <vt:variant>
        <vt:i4>248</vt:i4>
      </vt:variant>
      <vt:variant>
        <vt:i4>0</vt:i4>
      </vt:variant>
      <vt:variant>
        <vt:i4>5</vt:i4>
      </vt:variant>
      <vt:variant>
        <vt:lpwstr/>
      </vt:variant>
      <vt:variant>
        <vt:lpwstr>_Toc109737760</vt:lpwstr>
      </vt:variant>
      <vt:variant>
        <vt:i4>1179708</vt:i4>
      </vt:variant>
      <vt:variant>
        <vt:i4>242</vt:i4>
      </vt:variant>
      <vt:variant>
        <vt:i4>0</vt:i4>
      </vt:variant>
      <vt:variant>
        <vt:i4>5</vt:i4>
      </vt:variant>
      <vt:variant>
        <vt:lpwstr/>
      </vt:variant>
      <vt:variant>
        <vt:lpwstr>_Toc109737759</vt:lpwstr>
      </vt:variant>
      <vt:variant>
        <vt:i4>1179708</vt:i4>
      </vt:variant>
      <vt:variant>
        <vt:i4>236</vt:i4>
      </vt:variant>
      <vt:variant>
        <vt:i4>0</vt:i4>
      </vt:variant>
      <vt:variant>
        <vt:i4>5</vt:i4>
      </vt:variant>
      <vt:variant>
        <vt:lpwstr/>
      </vt:variant>
      <vt:variant>
        <vt:lpwstr>_Toc109737758</vt:lpwstr>
      </vt:variant>
      <vt:variant>
        <vt:i4>1048637</vt:i4>
      </vt:variant>
      <vt:variant>
        <vt:i4>227</vt:i4>
      </vt:variant>
      <vt:variant>
        <vt:i4>0</vt:i4>
      </vt:variant>
      <vt:variant>
        <vt:i4>5</vt:i4>
      </vt:variant>
      <vt:variant>
        <vt:lpwstr/>
      </vt:variant>
      <vt:variant>
        <vt:lpwstr>_Toc112661816</vt:lpwstr>
      </vt:variant>
      <vt:variant>
        <vt:i4>1048637</vt:i4>
      </vt:variant>
      <vt:variant>
        <vt:i4>221</vt:i4>
      </vt:variant>
      <vt:variant>
        <vt:i4>0</vt:i4>
      </vt:variant>
      <vt:variant>
        <vt:i4>5</vt:i4>
      </vt:variant>
      <vt:variant>
        <vt:lpwstr/>
      </vt:variant>
      <vt:variant>
        <vt:lpwstr>_Toc112661815</vt:lpwstr>
      </vt:variant>
      <vt:variant>
        <vt:i4>1048637</vt:i4>
      </vt:variant>
      <vt:variant>
        <vt:i4>215</vt:i4>
      </vt:variant>
      <vt:variant>
        <vt:i4>0</vt:i4>
      </vt:variant>
      <vt:variant>
        <vt:i4>5</vt:i4>
      </vt:variant>
      <vt:variant>
        <vt:lpwstr/>
      </vt:variant>
      <vt:variant>
        <vt:lpwstr>_Toc112661814</vt:lpwstr>
      </vt:variant>
      <vt:variant>
        <vt:i4>1048637</vt:i4>
      </vt:variant>
      <vt:variant>
        <vt:i4>209</vt:i4>
      </vt:variant>
      <vt:variant>
        <vt:i4>0</vt:i4>
      </vt:variant>
      <vt:variant>
        <vt:i4>5</vt:i4>
      </vt:variant>
      <vt:variant>
        <vt:lpwstr/>
      </vt:variant>
      <vt:variant>
        <vt:lpwstr>_Toc112661813</vt:lpwstr>
      </vt:variant>
      <vt:variant>
        <vt:i4>1048637</vt:i4>
      </vt:variant>
      <vt:variant>
        <vt:i4>203</vt:i4>
      </vt:variant>
      <vt:variant>
        <vt:i4>0</vt:i4>
      </vt:variant>
      <vt:variant>
        <vt:i4>5</vt:i4>
      </vt:variant>
      <vt:variant>
        <vt:lpwstr/>
      </vt:variant>
      <vt:variant>
        <vt:lpwstr>_Toc112661812</vt:lpwstr>
      </vt:variant>
      <vt:variant>
        <vt:i4>1048637</vt:i4>
      </vt:variant>
      <vt:variant>
        <vt:i4>197</vt:i4>
      </vt:variant>
      <vt:variant>
        <vt:i4>0</vt:i4>
      </vt:variant>
      <vt:variant>
        <vt:i4>5</vt:i4>
      </vt:variant>
      <vt:variant>
        <vt:lpwstr/>
      </vt:variant>
      <vt:variant>
        <vt:lpwstr>_Toc112661811</vt:lpwstr>
      </vt:variant>
      <vt:variant>
        <vt:i4>1048637</vt:i4>
      </vt:variant>
      <vt:variant>
        <vt:i4>191</vt:i4>
      </vt:variant>
      <vt:variant>
        <vt:i4>0</vt:i4>
      </vt:variant>
      <vt:variant>
        <vt:i4>5</vt:i4>
      </vt:variant>
      <vt:variant>
        <vt:lpwstr/>
      </vt:variant>
      <vt:variant>
        <vt:lpwstr>_Toc112661810</vt:lpwstr>
      </vt:variant>
      <vt:variant>
        <vt:i4>1114173</vt:i4>
      </vt:variant>
      <vt:variant>
        <vt:i4>185</vt:i4>
      </vt:variant>
      <vt:variant>
        <vt:i4>0</vt:i4>
      </vt:variant>
      <vt:variant>
        <vt:i4>5</vt:i4>
      </vt:variant>
      <vt:variant>
        <vt:lpwstr/>
      </vt:variant>
      <vt:variant>
        <vt:lpwstr>_Toc112661809</vt:lpwstr>
      </vt:variant>
      <vt:variant>
        <vt:i4>1114173</vt:i4>
      </vt:variant>
      <vt:variant>
        <vt:i4>179</vt:i4>
      </vt:variant>
      <vt:variant>
        <vt:i4>0</vt:i4>
      </vt:variant>
      <vt:variant>
        <vt:i4>5</vt:i4>
      </vt:variant>
      <vt:variant>
        <vt:lpwstr/>
      </vt:variant>
      <vt:variant>
        <vt:lpwstr>_Toc112661808</vt:lpwstr>
      </vt:variant>
      <vt:variant>
        <vt:i4>1114173</vt:i4>
      </vt:variant>
      <vt:variant>
        <vt:i4>173</vt:i4>
      </vt:variant>
      <vt:variant>
        <vt:i4>0</vt:i4>
      </vt:variant>
      <vt:variant>
        <vt:i4>5</vt:i4>
      </vt:variant>
      <vt:variant>
        <vt:lpwstr/>
      </vt:variant>
      <vt:variant>
        <vt:lpwstr>_Toc112661807</vt:lpwstr>
      </vt:variant>
      <vt:variant>
        <vt:i4>1114173</vt:i4>
      </vt:variant>
      <vt:variant>
        <vt:i4>167</vt:i4>
      </vt:variant>
      <vt:variant>
        <vt:i4>0</vt:i4>
      </vt:variant>
      <vt:variant>
        <vt:i4>5</vt:i4>
      </vt:variant>
      <vt:variant>
        <vt:lpwstr/>
      </vt:variant>
      <vt:variant>
        <vt:lpwstr>_Toc112661806</vt:lpwstr>
      </vt:variant>
      <vt:variant>
        <vt:i4>1114173</vt:i4>
      </vt:variant>
      <vt:variant>
        <vt:i4>161</vt:i4>
      </vt:variant>
      <vt:variant>
        <vt:i4>0</vt:i4>
      </vt:variant>
      <vt:variant>
        <vt:i4>5</vt:i4>
      </vt:variant>
      <vt:variant>
        <vt:lpwstr/>
      </vt:variant>
      <vt:variant>
        <vt:lpwstr>_Toc112661805</vt:lpwstr>
      </vt:variant>
      <vt:variant>
        <vt:i4>1114173</vt:i4>
      </vt:variant>
      <vt:variant>
        <vt:i4>155</vt:i4>
      </vt:variant>
      <vt:variant>
        <vt:i4>0</vt:i4>
      </vt:variant>
      <vt:variant>
        <vt:i4>5</vt:i4>
      </vt:variant>
      <vt:variant>
        <vt:lpwstr/>
      </vt:variant>
      <vt:variant>
        <vt:lpwstr>_Toc112661804</vt:lpwstr>
      </vt:variant>
      <vt:variant>
        <vt:i4>1114173</vt:i4>
      </vt:variant>
      <vt:variant>
        <vt:i4>149</vt:i4>
      </vt:variant>
      <vt:variant>
        <vt:i4>0</vt:i4>
      </vt:variant>
      <vt:variant>
        <vt:i4>5</vt:i4>
      </vt:variant>
      <vt:variant>
        <vt:lpwstr/>
      </vt:variant>
      <vt:variant>
        <vt:lpwstr>_Toc112661803</vt:lpwstr>
      </vt:variant>
      <vt:variant>
        <vt:i4>1114173</vt:i4>
      </vt:variant>
      <vt:variant>
        <vt:i4>143</vt:i4>
      </vt:variant>
      <vt:variant>
        <vt:i4>0</vt:i4>
      </vt:variant>
      <vt:variant>
        <vt:i4>5</vt:i4>
      </vt:variant>
      <vt:variant>
        <vt:lpwstr/>
      </vt:variant>
      <vt:variant>
        <vt:lpwstr>_Toc112661802</vt:lpwstr>
      </vt:variant>
      <vt:variant>
        <vt:i4>1114173</vt:i4>
      </vt:variant>
      <vt:variant>
        <vt:i4>137</vt:i4>
      </vt:variant>
      <vt:variant>
        <vt:i4>0</vt:i4>
      </vt:variant>
      <vt:variant>
        <vt:i4>5</vt:i4>
      </vt:variant>
      <vt:variant>
        <vt:lpwstr/>
      </vt:variant>
      <vt:variant>
        <vt:lpwstr>_Toc112661801</vt:lpwstr>
      </vt:variant>
      <vt:variant>
        <vt:i4>1114173</vt:i4>
      </vt:variant>
      <vt:variant>
        <vt:i4>131</vt:i4>
      </vt:variant>
      <vt:variant>
        <vt:i4>0</vt:i4>
      </vt:variant>
      <vt:variant>
        <vt:i4>5</vt:i4>
      </vt:variant>
      <vt:variant>
        <vt:lpwstr/>
      </vt:variant>
      <vt:variant>
        <vt:lpwstr>_Toc112661800</vt:lpwstr>
      </vt:variant>
      <vt:variant>
        <vt:i4>1572914</vt:i4>
      </vt:variant>
      <vt:variant>
        <vt:i4>125</vt:i4>
      </vt:variant>
      <vt:variant>
        <vt:i4>0</vt:i4>
      </vt:variant>
      <vt:variant>
        <vt:i4>5</vt:i4>
      </vt:variant>
      <vt:variant>
        <vt:lpwstr/>
      </vt:variant>
      <vt:variant>
        <vt:lpwstr>_Toc112661799</vt:lpwstr>
      </vt:variant>
      <vt:variant>
        <vt:i4>1572914</vt:i4>
      </vt:variant>
      <vt:variant>
        <vt:i4>119</vt:i4>
      </vt:variant>
      <vt:variant>
        <vt:i4>0</vt:i4>
      </vt:variant>
      <vt:variant>
        <vt:i4>5</vt:i4>
      </vt:variant>
      <vt:variant>
        <vt:lpwstr/>
      </vt:variant>
      <vt:variant>
        <vt:lpwstr>_Toc112661798</vt:lpwstr>
      </vt:variant>
      <vt:variant>
        <vt:i4>1572914</vt:i4>
      </vt:variant>
      <vt:variant>
        <vt:i4>113</vt:i4>
      </vt:variant>
      <vt:variant>
        <vt:i4>0</vt:i4>
      </vt:variant>
      <vt:variant>
        <vt:i4>5</vt:i4>
      </vt:variant>
      <vt:variant>
        <vt:lpwstr/>
      </vt:variant>
      <vt:variant>
        <vt:lpwstr>_Toc112661797</vt:lpwstr>
      </vt:variant>
      <vt:variant>
        <vt:i4>1572914</vt:i4>
      </vt:variant>
      <vt:variant>
        <vt:i4>107</vt:i4>
      </vt:variant>
      <vt:variant>
        <vt:i4>0</vt:i4>
      </vt:variant>
      <vt:variant>
        <vt:i4>5</vt:i4>
      </vt:variant>
      <vt:variant>
        <vt:lpwstr/>
      </vt:variant>
      <vt:variant>
        <vt:lpwstr>_Toc112661796</vt:lpwstr>
      </vt:variant>
      <vt:variant>
        <vt:i4>1572914</vt:i4>
      </vt:variant>
      <vt:variant>
        <vt:i4>101</vt:i4>
      </vt:variant>
      <vt:variant>
        <vt:i4>0</vt:i4>
      </vt:variant>
      <vt:variant>
        <vt:i4>5</vt:i4>
      </vt:variant>
      <vt:variant>
        <vt:lpwstr/>
      </vt:variant>
      <vt:variant>
        <vt:lpwstr>_Toc112661795</vt:lpwstr>
      </vt:variant>
      <vt:variant>
        <vt:i4>1572914</vt:i4>
      </vt:variant>
      <vt:variant>
        <vt:i4>95</vt:i4>
      </vt:variant>
      <vt:variant>
        <vt:i4>0</vt:i4>
      </vt:variant>
      <vt:variant>
        <vt:i4>5</vt:i4>
      </vt:variant>
      <vt:variant>
        <vt:lpwstr/>
      </vt:variant>
      <vt:variant>
        <vt:lpwstr>_Toc112661794</vt:lpwstr>
      </vt:variant>
      <vt:variant>
        <vt:i4>1572914</vt:i4>
      </vt:variant>
      <vt:variant>
        <vt:i4>89</vt:i4>
      </vt:variant>
      <vt:variant>
        <vt:i4>0</vt:i4>
      </vt:variant>
      <vt:variant>
        <vt:i4>5</vt:i4>
      </vt:variant>
      <vt:variant>
        <vt:lpwstr/>
      </vt:variant>
      <vt:variant>
        <vt:lpwstr>_Toc112661793</vt:lpwstr>
      </vt:variant>
      <vt:variant>
        <vt:i4>1572914</vt:i4>
      </vt:variant>
      <vt:variant>
        <vt:i4>83</vt:i4>
      </vt:variant>
      <vt:variant>
        <vt:i4>0</vt:i4>
      </vt:variant>
      <vt:variant>
        <vt:i4>5</vt:i4>
      </vt:variant>
      <vt:variant>
        <vt:lpwstr/>
      </vt:variant>
      <vt:variant>
        <vt:lpwstr>_Toc112661792</vt:lpwstr>
      </vt:variant>
      <vt:variant>
        <vt:i4>1572914</vt:i4>
      </vt:variant>
      <vt:variant>
        <vt:i4>77</vt:i4>
      </vt:variant>
      <vt:variant>
        <vt:i4>0</vt:i4>
      </vt:variant>
      <vt:variant>
        <vt:i4>5</vt:i4>
      </vt:variant>
      <vt:variant>
        <vt:lpwstr/>
      </vt:variant>
      <vt:variant>
        <vt:lpwstr>_Toc112661791</vt:lpwstr>
      </vt:variant>
      <vt:variant>
        <vt:i4>1572914</vt:i4>
      </vt:variant>
      <vt:variant>
        <vt:i4>71</vt:i4>
      </vt:variant>
      <vt:variant>
        <vt:i4>0</vt:i4>
      </vt:variant>
      <vt:variant>
        <vt:i4>5</vt:i4>
      </vt:variant>
      <vt:variant>
        <vt:lpwstr/>
      </vt:variant>
      <vt:variant>
        <vt:lpwstr>_Toc112661790</vt:lpwstr>
      </vt:variant>
      <vt:variant>
        <vt:i4>1638450</vt:i4>
      </vt:variant>
      <vt:variant>
        <vt:i4>65</vt:i4>
      </vt:variant>
      <vt:variant>
        <vt:i4>0</vt:i4>
      </vt:variant>
      <vt:variant>
        <vt:i4>5</vt:i4>
      </vt:variant>
      <vt:variant>
        <vt:lpwstr/>
      </vt:variant>
      <vt:variant>
        <vt:lpwstr>_Toc112661789</vt:lpwstr>
      </vt:variant>
      <vt:variant>
        <vt:i4>1638450</vt:i4>
      </vt:variant>
      <vt:variant>
        <vt:i4>59</vt:i4>
      </vt:variant>
      <vt:variant>
        <vt:i4>0</vt:i4>
      </vt:variant>
      <vt:variant>
        <vt:i4>5</vt:i4>
      </vt:variant>
      <vt:variant>
        <vt:lpwstr/>
      </vt:variant>
      <vt:variant>
        <vt:lpwstr>_Toc112661788</vt:lpwstr>
      </vt:variant>
      <vt:variant>
        <vt:i4>1638450</vt:i4>
      </vt:variant>
      <vt:variant>
        <vt:i4>53</vt:i4>
      </vt:variant>
      <vt:variant>
        <vt:i4>0</vt:i4>
      </vt:variant>
      <vt:variant>
        <vt:i4>5</vt:i4>
      </vt:variant>
      <vt:variant>
        <vt:lpwstr/>
      </vt:variant>
      <vt:variant>
        <vt:lpwstr>_Toc112661787</vt:lpwstr>
      </vt:variant>
      <vt:variant>
        <vt:i4>1638450</vt:i4>
      </vt:variant>
      <vt:variant>
        <vt:i4>47</vt:i4>
      </vt:variant>
      <vt:variant>
        <vt:i4>0</vt:i4>
      </vt:variant>
      <vt:variant>
        <vt:i4>5</vt:i4>
      </vt:variant>
      <vt:variant>
        <vt:lpwstr/>
      </vt:variant>
      <vt:variant>
        <vt:lpwstr>_Toc112661786</vt:lpwstr>
      </vt:variant>
      <vt:variant>
        <vt:i4>1638450</vt:i4>
      </vt:variant>
      <vt:variant>
        <vt:i4>41</vt:i4>
      </vt:variant>
      <vt:variant>
        <vt:i4>0</vt:i4>
      </vt:variant>
      <vt:variant>
        <vt:i4>5</vt:i4>
      </vt:variant>
      <vt:variant>
        <vt:lpwstr/>
      </vt:variant>
      <vt:variant>
        <vt:lpwstr>_Toc112661785</vt:lpwstr>
      </vt:variant>
      <vt:variant>
        <vt:i4>1638450</vt:i4>
      </vt:variant>
      <vt:variant>
        <vt:i4>35</vt:i4>
      </vt:variant>
      <vt:variant>
        <vt:i4>0</vt:i4>
      </vt:variant>
      <vt:variant>
        <vt:i4>5</vt:i4>
      </vt:variant>
      <vt:variant>
        <vt:lpwstr/>
      </vt:variant>
      <vt:variant>
        <vt:lpwstr>_Toc112661784</vt:lpwstr>
      </vt:variant>
      <vt:variant>
        <vt:i4>1638450</vt:i4>
      </vt:variant>
      <vt:variant>
        <vt:i4>29</vt:i4>
      </vt:variant>
      <vt:variant>
        <vt:i4>0</vt:i4>
      </vt:variant>
      <vt:variant>
        <vt:i4>5</vt:i4>
      </vt:variant>
      <vt:variant>
        <vt:lpwstr/>
      </vt:variant>
      <vt:variant>
        <vt:lpwstr>_Toc112661783</vt:lpwstr>
      </vt:variant>
      <vt:variant>
        <vt:i4>1638450</vt:i4>
      </vt:variant>
      <vt:variant>
        <vt:i4>23</vt:i4>
      </vt:variant>
      <vt:variant>
        <vt:i4>0</vt:i4>
      </vt:variant>
      <vt:variant>
        <vt:i4>5</vt:i4>
      </vt:variant>
      <vt:variant>
        <vt:lpwstr/>
      </vt:variant>
      <vt:variant>
        <vt:lpwstr>_Toc112661782</vt:lpwstr>
      </vt:variant>
      <vt:variant>
        <vt:i4>1638450</vt:i4>
      </vt:variant>
      <vt:variant>
        <vt:i4>17</vt:i4>
      </vt:variant>
      <vt:variant>
        <vt:i4>0</vt:i4>
      </vt:variant>
      <vt:variant>
        <vt:i4>5</vt:i4>
      </vt:variant>
      <vt:variant>
        <vt:lpwstr/>
      </vt:variant>
      <vt:variant>
        <vt:lpwstr>_Toc112661781</vt:lpwstr>
      </vt:variant>
      <vt:variant>
        <vt:i4>1638450</vt:i4>
      </vt:variant>
      <vt:variant>
        <vt:i4>11</vt:i4>
      </vt:variant>
      <vt:variant>
        <vt:i4>0</vt:i4>
      </vt:variant>
      <vt:variant>
        <vt:i4>5</vt:i4>
      </vt:variant>
      <vt:variant>
        <vt:lpwstr/>
      </vt:variant>
      <vt:variant>
        <vt:lpwstr>_Toc112661780</vt:lpwstr>
      </vt:variant>
      <vt:variant>
        <vt:i4>4194348</vt:i4>
      </vt:variant>
      <vt:variant>
        <vt:i4>6</vt:i4>
      </vt:variant>
      <vt:variant>
        <vt:i4>0</vt:i4>
      </vt:variant>
      <vt:variant>
        <vt:i4>5</vt:i4>
      </vt:variant>
      <vt:variant>
        <vt:lpwstr>mailto:dubravka.pajkin@gmail.com</vt:lpwstr>
      </vt:variant>
      <vt:variant>
        <vt:lpwstr/>
      </vt:variant>
      <vt:variant>
        <vt:i4>3145774</vt:i4>
      </vt:variant>
      <vt:variant>
        <vt:i4>3</vt:i4>
      </vt:variant>
      <vt:variant>
        <vt:i4>0</vt:i4>
      </vt:variant>
      <vt:variant>
        <vt:i4>5</vt:i4>
      </vt:variant>
      <vt:variant>
        <vt:lpwstr>mailto:rade_glomazic@dai.com</vt:lpwstr>
      </vt:variant>
      <vt:variant>
        <vt:lpwstr/>
      </vt:variant>
      <vt:variant>
        <vt:i4>917549</vt:i4>
      </vt:variant>
      <vt:variant>
        <vt:i4>0</vt:i4>
      </vt:variant>
      <vt:variant>
        <vt:i4>0</vt:i4>
      </vt:variant>
      <vt:variant>
        <vt:i4>5</vt:i4>
      </vt:variant>
      <vt:variant>
        <vt:lpwstr>mailto:iraci.bayer@csb.gov.tr</vt:lpwstr>
      </vt:variant>
      <vt:variant>
        <vt:lpwstr/>
      </vt:variant>
      <vt:variant>
        <vt:i4>8126588</vt:i4>
      </vt:variant>
      <vt:variant>
        <vt:i4>6</vt:i4>
      </vt:variant>
      <vt:variant>
        <vt:i4>0</vt:i4>
      </vt:variant>
      <vt:variant>
        <vt:i4>5</vt:i4>
      </vt:variant>
      <vt:variant>
        <vt:lpwstr>https://emis.vito.be/nl/bbt/bbt-tools/selectiesystemen/wass/technieken</vt:lpwstr>
      </vt:variant>
      <vt:variant>
        <vt:lpwstr/>
      </vt:variant>
      <vt:variant>
        <vt:i4>8061047</vt:i4>
      </vt:variant>
      <vt:variant>
        <vt:i4>3</vt:i4>
      </vt:variant>
      <vt:variant>
        <vt:i4>0</vt:i4>
      </vt:variant>
      <vt:variant>
        <vt:i4>5</vt:i4>
      </vt:variant>
      <vt:variant>
        <vt:lpwstr>https://iplo.nl/thema/lucht/technieken-beperking-luchtemissie/</vt:lpwstr>
      </vt:variant>
      <vt:variant>
        <vt:lpwstr/>
      </vt:variant>
      <vt:variant>
        <vt:i4>4391005</vt:i4>
      </vt:variant>
      <vt:variant>
        <vt:i4>0</vt:i4>
      </vt:variant>
      <vt:variant>
        <vt:i4>0</vt:i4>
      </vt:variant>
      <vt:variant>
        <vt:i4>5</vt:i4>
      </vt:variant>
      <vt:variant>
        <vt:lpwstr>https://www.rateinflation.com/inflation-rate/euro-area-historical-inflation-rate/</vt:lpwstr>
      </vt:variant>
      <vt:variant>
        <vt:lpwstr/>
      </vt:variant>
      <vt:variant>
        <vt:i4>655466</vt:i4>
      </vt:variant>
      <vt:variant>
        <vt:i4>0</vt:i4>
      </vt:variant>
      <vt:variant>
        <vt:i4>0</vt:i4>
      </vt:variant>
      <vt:variant>
        <vt:i4>5</vt:i4>
      </vt:variant>
      <vt:variant>
        <vt:lpwstr>mailto:elif.kucuk@ekodenge.com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Şeyma UÇAR SEÇGEL</dc:creator>
  <cp:keywords/>
  <dc:description/>
  <cp:lastModifiedBy>Makbule Bal</cp:lastModifiedBy>
  <cp:revision>3</cp:revision>
  <dcterms:created xsi:type="dcterms:W3CDTF">2025-03-13T14:28:00Z</dcterms:created>
  <dcterms:modified xsi:type="dcterms:W3CDTF">2025-03-14T06:30:00Z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0x01010004A3FC1E26E3BA4A907FBEE7D1494596</vt:lpwstr>
  </property>
  <property fmtid="{D5CDD505-2E9C-101B-9397-08002B2CF9AE}" pid="3" name="MediaServiceImageTags">
    <vt:lpwstr/>
  </property>
</Properties>
</file>